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EE35A57">
      <w:pPr>
        <w:pStyle w:val="80"/>
        <w:spacing w:before="120" w:beforeLines="50" w:after="120" w:afterLines="50" w:line="360" w:lineRule="auto"/>
        <w:jc w:val="center"/>
        <w:rPr>
          <w:b/>
          <w:bCs/>
          <w:color w:val="auto"/>
          <w:sz w:val="48"/>
          <w:szCs w:val="48"/>
          <w:highlight w:val="none"/>
        </w:rPr>
      </w:pPr>
      <w:bookmarkStart w:id="0" w:name="_Hlk35533331"/>
      <w:bookmarkEnd w:id="0"/>
      <w:bookmarkStart w:id="1" w:name="_Toc33967196"/>
      <w:bookmarkStart w:id="2" w:name="_Toc33967093"/>
    </w:p>
    <w:p w14:paraId="7801744F">
      <w:pPr>
        <w:pStyle w:val="80"/>
        <w:spacing w:before="120" w:beforeLines="50" w:after="120" w:afterLines="50" w:line="360" w:lineRule="auto"/>
        <w:jc w:val="center"/>
        <w:rPr>
          <w:b/>
          <w:bCs/>
          <w:color w:val="auto"/>
          <w:sz w:val="48"/>
          <w:szCs w:val="48"/>
          <w:highlight w:val="none"/>
        </w:rPr>
      </w:pPr>
      <w:r>
        <w:rPr>
          <w:b/>
          <w:bCs/>
          <w:color w:val="auto"/>
          <w:sz w:val="48"/>
          <w:szCs w:val="48"/>
          <w:highlight w:val="none"/>
        </w:rPr>
        <w:t>北部湾区域大型船舶维修保障及改装能力</w:t>
      </w:r>
    </w:p>
    <w:p w14:paraId="530DA434">
      <w:pPr>
        <w:pStyle w:val="80"/>
        <w:spacing w:before="120" w:beforeLines="50" w:after="120" w:afterLines="50" w:line="360" w:lineRule="auto"/>
        <w:jc w:val="center"/>
        <w:rPr>
          <w:b/>
          <w:bCs/>
          <w:color w:val="auto"/>
          <w:sz w:val="48"/>
          <w:szCs w:val="48"/>
          <w:highlight w:val="none"/>
        </w:rPr>
      </w:pPr>
      <w:r>
        <w:rPr>
          <w:b/>
          <w:bCs/>
          <w:color w:val="auto"/>
          <w:sz w:val="48"/>
          <w:szCs w:val="48"/>
          <w:highlight w:val="none"/>
        </w:rPr>
        <w:t>建设项目环境影响报告书</w:t>
      </w:r>
    </w:p>
    <w:p w14:paraId="4D614E9C">
      <w:pPr>
        <w:pStyle w:val="80"/>
        <w:spacing w:before="120" w:beforeLines="50" w:after="120" w:afterLines="50" w:line="360" w:lineRule="auto"/>
        <w:jc w:val="center"/>
        <w:rPr>
          <w:b/>
          <w:bCs/>
          <w:color w:val="auto"/>
          <w:sz w:val="44"/>
          <w:szCs w:val="44"/>
          <w:highlight w:val="none"/>
        </w:rPr>
      </w:pPr>
      <w:r>
        <w:rPr>
          <w:b/>
          <w:bCs/>
          <w:color w:val="auto"/>
          <w:sz w:val="44"/>
          <w:szCs w:val="44"/>
          <w:highlight w:val="none"/>
        </w:rPr>
        <w:t>（</w:t>
      </w:r>
      <w:r>
        <w:rPr>
          <w:rFonts w:hint="eastAsia"/>
          <w:b/>
          <w:bCs/>
          <w:color w:val="auto"/>
          <w:sz w:val="44"/>
          <w:szCs w:val="44"/>
          <w:highlight w:val="none"/>
          <w:lang w:eastAsia="zh-CN"/>
        </w:rPr>
        <w:t>公示</w:t>
      </w:r>
      <w:r>
        <w:rPr>
          <w:b/>
          <w:bCs/>
          <w:color w:val="auto"/>
          <w:sz w:val="44"/>
          <w:szCs w:val="44"/>
          <w:highlight w:val="none"/>
        </w:rPr>
        <w:t>稿）</w:t>
      </w:r>
    </w:p>
    <w:p w14:paraId="291189D8">
      <w:pPr>
        <w:pStyle w:val="80"/>
        <w:spacing w:before="120" w:beforeLines="50" w:after="120" w:afterLines="50" w:line="360" w:lineRule="auto"/>
        <w:jc w:val="center"/>
        <w:rPr>
          <w:color w:val="auto"/>
          <w:sz w:val="52"/>
          <w:szCs w:val="52"/>
          <w:highlight w:val="none"/>
        </w:rPr>
      </w:pPr>
    </w:p>
    <w:p w14:paraId="20E1EEC6">
      <w:pPr>
        <w:pStyle w:val="80"/>
        <w:spacing w:before="120" w:beforeLines="50" w:after="120" w:afterLines="50" w:line="360" w:lineRule="auto"/>
        <w:jc w:val="center"/>
        <w:rPr>
          <w:color w:val="auto"/>
          <w:sz w:val="52"/>
          <w:szCs w:val="52"/>
          <w:highlight w:val="none"/>
        </w:rPr>
      </w:pPr>
    </w:p>
    <w:p w14:paraId="5065CA24">
      <w:pPr>
        <w:pStyle w:val="80"/>
        <w:spacing w:before="120" w:beforeLines="50" w:after="120" w:afterLines="50" w:line="360" w:lineRule="auto"/>
        <w:jc w:val="center"/>
        <w:rPr>
          <w:color w:val="auto"/>
          <w:sz w:val="52"/>
          <w:szCs w:val="52"/>
          <w:highlight w:val="none"/>
        </w:rPr>
      </w:pPr>
    </w:p>
    <w:p w14:paraId="3DD37930">
      <w:pPr>
        <w:pStyle w:val="80"/>
        <w:spacing w:before="120" w:beforeLines="50" w:after="120" w:afterLines="50" w:line="360" w:lineRule="auto"/>
        <w:jc w:val="center"/>
        <w:rPr>
          <w:color w:val="auto"/>
          <w:sz w:val="52"/>
          <w:szCs w:val="52"/>
          <w:highlight w:val="none"/>
        </w:rPr>
      </w:pPr>
    </w:p>
    <w:p w14:paraId="5349F37E">
      <w:pPr>
        <w:pStyle w:val="80"/>
        <w:spacing w:before="120" w:beforeLines="50" w:after="120" w:afterLines="50" w:line="360" w:lineRule="auto"/>
        <w:jc w:val="center"/>
        <w:rPr>
          <w:color w:val="auto"/>
          <w:sz w:val="52"/>
          <w:szCs w:val="52"/>
          <w:highlight w:val="none"/>
        </w:rPr>
      </w:pPr>
    </w:p>
    <w:p w14:paraId="1691EA77">
      <w:pPr>
        <w:pStyle w:val="80"/>
        <w:spacing w:before="120" w:beforeLines="50" w:after="120" w:afterLines="50" w:line="360" w:lineRule="auto"/>
        <w:jc w:val="center"/>
        <w:rPr>
          <w:color w:val="auto"/>
          <w:sz w:val="52"/>
          <w:szCs w:val="52"/>
          <w:highlight w:val="none"/>
        </w:rPr>
      </w:pPr>
    </w:p>
    <w:p w14:paraId="76DC841C">
      <w:pPr>
        <w:pStyle w:val="80"/>
        <w:spacing w:before="120" w:beforeLines="50" w:after="120" w:afterLines="50" w:line="360" w:lineRule="auto"/>
        <w:jc w:val="center"/>
        <w:rPr>
          <w:color w:val="auto"/>
          <w:sz w:val="36"/>
          <w:szCs w:val="36"/>
          <w:highlight w:val="none"/>
        </w:rPr>
      </w:pPr>
    </w:p>
    <w:p w14:paraId="04C51ECF">
      <w:pPr>
        <w:pStyle w:val="80"/>
        <w:spacing w:before="120" w:beforeLines="50" w:after="120" w:afterLines="50" w:line="360" w:lineRule="auto"/>
        <w:jc w:val="center"/>
        <w:rPr>
          <w:b/>
          <w:bCs/>
          <w:color w:val="auto"/>
          <w:sz w:val="32"/>
          <w:szCs w:val="32"/>
          <w:highlight w:val="none"/>
        </w:rPr>
      </w:pPr>
      <w:r>
        <w:rPr>
          <w:b/>
          <w:bCs/>
          <w:color w:val="auto"/>
          <w:sz w:val="32"/>
          <w:szCs w:val="32"/>
          <w:highlight w:val="none"/>
        </w:rPr>
        <w:t>建设单位：中国船舶集团广西造船有限公司</w:t>
      </w:r>
    </w:p>
    <w:p w14:paraId="193BAFC3">
      <w:pPr>
        <w:pStyle w:val="80"/>
        <w:spacing w:before="120" w:beforeLines="50" w:after="120" w:afterLines="50" w:line="360" w:lineRule="auto"/>
        <w:jc w:val="center"/>
        <w:rPr>
          <w:b/>
          <w:bCs/>
          <w:color w:val="auto"/>
          <w:sz w:val="32"/>
          <w:szCs w:val="32"/>
          <w:highlight w:val="none"/>
        </w:rPr>
      </w:pPr>
      <w:r>
        <w:rPr>
          <w:b/>
          <w:bCs/>
          <w:color w:val="auto"/>
          <w:sz w:val="32"/>
          <w:szCs w:val="32"/>
          <w:highlight w:val="none"/>
        </w:rPr>
        <w:t>编制单位：广西南宁师源环保科技有限公司</w:t>
      </w:r>
    </w:p>
    <w:p w14:paraId="21D28709">
      <w:pPr>
        <w:topLinePunct w:val="0"/>
        <w:ind w:firstLine="0" w:firstLineChars="0"/>
        <w:jc w:val="center"/>
        <w:rPr>
          <w:b/>
          <w:bCs/>
          <w:color w:val="auto"/>
          <w:kern w:val="2"/>
          <w:sz w:val="32"/>
          <w:szCs w:val="32"/>
          <w:highlight w:val="none"/>
        </w:rPr>
        <w:sectPr>
          <w:headerReference r:id="rId7" w:type="first"/>
          <w:footerReference r:id="rId9" w:type="first"/>
          <w:headerReference r:id="rId5" w:type="default"/>
          <w:headerReference r:id="rId6" w:type="even"/>
          <w:footerReference r:id="rId8" w:type="even"/>
          <w:pgSz w:w="11906" w:h="16838"/>
          <w:pgMar w:top="1418" w:right="1134" w:bottom="1418" w:left="1418" w:header="851" w:footer="992" w:gutter="0"/>
          <w:pgNumType w:start="1"/>
          <w:cols w:space="720" w:num="1"/>
          <w:docGrid w:linePitch="312" w:charSpace="0"/>
        </w:sectPr>
      </w:pPr>
      <w:r>
        <w:rPr>
          <w:b/>
          <w:bCs/>
          <w:color w:val="auto"/>
          <w:kern w:val="2"/>
          <w:sz w:val="32"/>
          <w:szCs w:val="32"/>
          <w:highlight w:val="none"/>
        </w:rPr>
        <w:t>2026年</w:t>
      </w:r>
      <w:r>
        <w:rPr>
          <w:rFonts w:hint="eastAsia"/>
          <w:b/>
          <w:bCs/>
          <w:color w:val="auto"/>
          <w:kern w:val="2"/>
          <w:sz w:val="32"/>
          <w:szCs w:val="32"/>
          <w:highlight w:val="none"/>
        </w:rPr>
        <w:t>3</w:t>
      </w:r>
      <w:r>
        <w:rPr>
          <w:b/>
          <w:bCs/>
          <w:color w:val="auto"/>
          <w:kern w:val="2"/>
          <w:sz w:val="32"/>
          <w:szCs w:val="32"/>
          <w:highlight w:val="none"/>
        </w:rPr>
        <w:t>月</w:t>
      </w:r>
    </w:p>
    <w:tbl>
      <w:tblPr>
        <w:tblStyle w:val="93"/>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36"/>
        <w:gridCol w:w="4751"/>
      </w:tblGrid>
      <w:tr w14:paraId="023845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432" w:type="pct"/>
            <w:tcBorders>
              <w:tl2br w:val="nil"/>
              <w:tr2bl w:val="nil"/>
            </w:tcBorders>
            <w:vAlign w:val="center"/>
          </w:tcPr>
          <w:p w14:paraId="24932AC7">
            <w:pPr>
              <w:pStyle w:val="90"/>
              <w:spacing w:after="0" w:line="240" w:lineRule="auto"/>
              <w:ind w:firstLine="0" w:firstLineChars="0"/>
              <w:jc w:val="center"/>
              <w:rPr>
                <w:color w:val="auto"/>
                <w:sz w:val="21"/>
                <w:szCs w:val="21"/>
                <w:highlight w:val="none"/>
              </w:rPr>
            </w:pPr>
            <w:r>
              <w:rPr>
                <w:rFonts w:hint="eastAsia"/>
                <w:color w:val="auto"/>
                <w:sz w:val="21"/>
                <w:szCs w:val="21"/>
                <w:highlight w:val="none"/>
              </w:rPr>
              <w:drawing>
                <wp:inline distT="0" distB="0" distL="114300" distR="114300">
                  <wp:extent cx="2740025" cy="2182495"/>
                  <wp:effectExtent l="0" t="0" r="3175" b="8255"/>
                  <wp:docPr id="9" name="图片 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片1"/>
                          <pic:cNvPicPr>
                            <a:picLocks noChangeAspect="1"/>
                          </pic:cNvPicPr>
                        </pic:nvPicPr>
                        <pic:blipFill>
                          <a:blip r:embed="rId58"/>
                          <a:stretch>
                            <a:fillRect/>
                          </a:stretch>
                        </pic:blipFill>
                        <pic:spPr>
                          <a:xfrm>
                            <a:off x="0" y="0"/>
                            <a:ext cx="2740025" cy="2182495"/>
                          </a:xfrm>
                          <a:prstGeom prst="rect">
                            <a:avLst/>
                          </a:prstGeom>
                        </pic:spPr>
                      </pic:pic>
                    </a:graphicData>
                  </a:graphic>
                </wp:inline>
              </w:drawing>
            </w:r>
          </w:p>
        </w:tc>
        <w:tc>
          <w:tcPr>
            <w:tcW w:w="2567" w:type="pct"/>
            <w:tcBorders>
              <w:tl2br w:val="nil"/>
              <w:tr2bl w:val="nil"/>
            </w:tcBorders>
            <w:vAlign w:val="center"/>
          </w:tcPr>
          <w:p w14:paraId="3CDCEB36">
            <w:pPr>
              <w:pStyle w:val="90"/>
              <w:spacing w:after="0" w:line="240" w:lineRule="auto"/>
              <w:ind w:firstLine="0" w:firstLineChars="0"/>
              <w:jc w:val="center"/>
              <w:rPr>
                <w:color w:val="auto"/>
                <w:sz w:val="21"/>
                <w:szCs w:val="21"/>
                <w:highlight w:val="none"/>
              </w:rPr>
            </w:pPr>
            <w:r>
              <w:rPr>
                <w:color w:val="auto"/>
                <w:sz w:val="21"/>
                <w:highlight w:val="none"/>
              </w:rPr>
              <mc:AlternateContent>
                <mc:Choice Requires="wps">
                  <w:drawing>
                    <wp:anchor distT="0" distB="0" distL="114300" distR="114300" simplePos="0" relativeHeight="251670528" behindDoc="0" locked="0" layoutInCell="1" allowOverlap="1">
                      <wp:simplePos x="0" y="0"/>
                      <wp:positionH relativeFrom="column">
                        <wp:posOffset>1118870</wp:posOffset>
                      </wp:positionH>
                      <wp:positionV relativeFrom="paragraph">
                        <wp:posOffset>1171575</wp:posOffset>
                      </wp:positionV>
                      <wp:extent cx="1704340" cy="267335"/>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704340" cy="2673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764FCD">
                                  <w:pPr>
                                    <w:spacing w:line="240" w:lineRule="auto"/>
                                    <w:ind w:firstLine="0" w:firstLineChars="0"/>
                                    <w:rPr>
                                      <w:color w:val="FF0000"/>
                                      <w:sz w:val="21"/>
                                      <w:szCs w:val="21"/>
                                    </w:rPr>
                                  </w:pPr>
                                  <w:r>
                                    <w:rPr>
                                      <w:rFonts w:hint="eastAsia"/>
                                      <w:color w:val="FF0000"/>
                                      <w:sz w:val="21"/>
                                      <w:szCs w:val="21"/>
                                    </w:rPr>
                                    <w:t>现有“新祥生”浮船坞</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8.1pt;margin-top:92.25pt;height:21.05pt;width:134.2pt;z-index:251670528;mso-width-relative:page;mso-height-relative:page;" filled="f" stroked="f" coordsize="21600,21600" o:gfxdata="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&#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2z1o3bAAAACwEAAA8AAAAAAAAAAQAgAAAAIgAAAGRy&#10;cy9kb3ducmV2LnhtbFBLAQIUABQAAAAIAIdO4kByKcbYOwIAAGgEAAAOAAAAAAAAAAEAIAAAACoB&#10;AABkcnMvZTJvRG9jLnhtbFBLBQYAAAAABgAGAFkBAADXBQAAAAA=&#10;">
                      <v:fill on="f" focussize="0,0"/>
                      <v:stroke on="f" weight="0.5pt"/>
                      <v:imagedata o:title=""/>
                      <o:lock v:ext="edit" aspectratio="f"/>
                      <v:textbox>
                        <w:txbxContent>
                          <w:p w14:paraId="26764FCD">
                            <w:pPr>
                              <w:spacing w:line="240" w:lineRule="auto"/>
                              <w:ind w:firstLine="0" w:firstLineChars="0"/>
                              <w:rPr>
                                <w:color w:val="FF0000"/>
                                <w:sz w:val="21"/>
                                <w:szCs w:val="21"/>
                              </w:rPr>
                            </w:pPr>
                            <w:r>
                              <w:rPr>
                                <w:rFonts w:hint="eastAsia"/>
                                <w:color w:val="FF0000"/>
                                <w:sz w:val="21"/>
                                <w:szCs w:val="21"/>
                              </w:rPr>
                              <w:t>现有“新祥生”浮船坞</w:t>
                            </w:r>
                          </w:p>
                        </w:txbxContent>
                      </v:textbox>
                    </v:shape>
                  </w:pict>
                </mc:Fallback>
              </mc:AlternateContent>
            </w:r>
            <w:r>
              <w:rPr>
                <w:color w:val="auto"/>
                <w:sz w:val="21"/>
                <w:highlight w:val="none"/>
              </w:rPr>
              <w:drawing>
                <wp:inline distT="0" distB="0" distL="114300" distR="114300">
                  <wp:extent cx="2860040" cy="2144395"/>
                  <wp:effectExtent l="0" t="0" r="16510" b="8255"/>
                  <wp:docPr id="30" name="图片 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2"/>
                          <pic:cNvPicPr>
                            <a:picLocks noChangeAspect="1"/>
                          </pic:cNvPicPr>
                        </pic:nvPicPr>
                        <pic:blipFill>
                          <a:blip r:embed="rId59"/>
                          <a:stretch>
                            <a:fillRect/>
                          </a:stretch>
                        </pic:blipFill>
                        <pic:spPr>
                          <a:xfrm>
                            <a:off x="0" y="0"/>
                            <a:ext cx="2860040" cy="2144395"/>
                          </a:xfrm>
                          <a:prstGeom prst="rect">
                            <a:avLst/>
                          </a:prstGeom>
                        </pic:spPr>
                      </pic:pic>
                    </a:graphicData>
                  </a:graphic>
                </wp:inline>
              </w:drawing>
            </w:r>
          </w:p>
        </w:tc>
      </w:tr>
      <w:tr w14:paraId="3741AE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432" w:type="pct"/>
            <w:tcBorders>
              <w:tl2br w:val="nil"/>
              <w:tr2bl w:val="nil"/>
            </w:tcBorders>
            <w:vAlign w:val="center"/>
          </w:tcPr>
          <w:p w14:paraId="43BE7DD5">
            <w:pPr>
              <w:pStyle w:val="90"/>
              <w:spacing w:after="0" w:line="240" w:lineRule="auto"/>
              <w:ind w:firstLine="0" w:firstLineChars="0"/>
              <w:jc w:val="center"/>
              <w:rPr>
                <w:color w:val="auto"/>
                <w:sz w:val="21"/>
                <w:szCs w:val="21"/>
                <w:highlight w:val="none"/>
              </w:rPr>
            </w:pPr>
            <w:r>
              <w:rPr>
                <w:color w:val="auto"/>
                <w:sz w:val="21"/>
                <w:szCs w:val="21"/>
                <w:highlight w:val="none"/>
              </w:rPr>
              <w:t>5#码头</w:t>
            </w:r>
            <w:r>
              <w:rPr>
                <w:rFonts w:hint="eastAsia"/>
                <w:color w:val="auto"/>
                <w:sz w:val="21"/>
                <w:szCs w:val="21"/>
                <w:highlight w:val="none"/>
              </w:rPr>
              <w:t>现状</w:t>
            </w:r>
          </w:p>
        </w:tc>
        <w:tc>
          <w:tcPr>
            <w:tcW w:w="2567" w:type="pct"/>
            <w:tcBorders>
              <w:tl2br w:val="nil"/>
              <w:tr2bl w:val="nil"/>
            </w:tcBorders>
            <w:vAlign w:val="center"/>
          </w:tcPr>
          <w:p w14:paraId="7DEE3A5B">
            <w:pPr>
              <w:pStyle w:val="90"/>
              <w:spacing w:after="0" w:line="240" w:lineRule="auto"/>
              <w:ind w:firstLine="0" w:firstLineChars="0"/>
              <w:jc w:val="center"/>
              <w:rPr>
                <w:color w:val="auto"/>
                <w:sz w:val="21"/>
                <w:szCs w:val="21"/>
                <w:highlight w:val="none"/>
              </w:rPr>
            </w:pPr>
            <w:r>
              <w:rPr>
                <w:color w:val="auto"/>
                <w:sz w:val="21"/>
                <w:szCs w:val="21"/>
                <w:highlight w:val="none"/>
              </w:rPr>
              <w:t>现有浮船坞现状</w:t>
            </w:r>
          </w:p>
        </w:tc>
      </w:tr>
      <w:tr w14:paraId="7BF374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432" w:type="pct"/>
            <w:tcBorders>
              <w:tl2br w:val="nil"/>
              <w:tr2bl w:val="nil"/>
            </w:tcBorders>
            <w:vAlign w:val="center"/>
          </w:tcPr>
          <w:p w14:paraId="6DBFA980">
            <w:pPr>
              <w:pStyle w:val="90"/>
              <w:spacing w:after="0" w:line="240" w:lineRule="auto"/>
              <w:ind w:firstLine="0" w:firstLineChars="0"/>
              <w:jc w:val="center"/>
              <w:rPr>
                <w:color w:val="auto"/>
                <w:sz w:val="21"/>
                <w:szCs w:val="21"/>
                <w:highlight w:val="none"/>
              </w:rPr>
            </w:pPr>
            <w:r>
              <w:rPr>
                <w:color w:val="auto"/>
                <w:sz w:val="21"/>
                <w:szCs w:val="21"/>
                <w:highlight w:val="none"/>
              </w:rPr>
              <w:drawing>
                <wp:inline distT="0" distB="0" distL="114300" distR="114300">
                  <wp:extent cx="2686050" cy="2014220"/>
                  <wp:effectExtent l="0" t="0" r="0" b="5080"/>
                  <wp:docPr id="10" name="图片 10" descr="5d5f5b2f0312ba093a8e215d3ef12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5d5f5b2f0312ba093a8e215d3ef12ab"/>
                          <pic:cNvPicPr>
                            <a:picLocks noChangeAspect="1"/>
                          </pic:cNvPicPr>
                        </pic:nvPicPr>
                        <pic:blipFill>
                          <a:blip r:embed="rId60"/>
                          <a:stretch>
                            <a:fillRect/>
                          </a:stretch>
                        </pic:blipFill>
                        <pic:spPr>
                          <a:xfrm>
                            <a:off x="0" y="0"/>
                            <a:ext cx="2686050" cy="2014220"/>
                          </a:xfrm>
                          <a:prstGeom prst="rect">
                            <a:avLst/>
                          </a:prstGeom>
                        </pic:spPr>
                      </pic:pic>
                    </a:graphicData>
                  </a:graphic>
                </wp:inline>
              </w:drawing>
            </w:r>
          </w:p>
        </w:tc>
        <w:tc>
          <w:tcPr>
            <w:tcW w:w="2567" w:type="pct"/>
            <w:tcBorders>
              <w:tl2br w:val="nil"/>
              <w:tr2bl w:val="nil"/>
            </w:tcBorders>
            <w:vAlign w:val="center"/>
          </w:tcPr>
          <w:p w14:paraId="6CD67FD8">
            <w:pPr>
              <w:pStyle w:val="90"/>
              <w:spacing w:after="0" w:line="240" w:lineRule="auto"/>
              <w:ind w:firstLine="0" w:firstLineChars="0"/>
              <w:jc w:val="center"/>
              <w:rPr>
                <w:color w:val="auto"/>
                <w:sz w:val="21"/>
                <w:szCs w:val="21"/>
                <w:highlight w:val="none"/>
              </w:rPr>
            </w:pPr>
            <w:r>
              <w:rPr>
                <w:color w:val="auto"/>
                <w:sz w:val="21"/>
                <w:szCs w:val="21"/>
                <w:highlight w:val="none"/>
              </w:rPr>
              <w:drawing>
                <wp:inline distT="0" distB="0" distL="114300" distR="114300">
                  <wp:extent cx="2689860" cy="2016760"/>
                  <wp:effectExtent l="0" t="0" r="15240" b="2540"/>
                  <wp:docPr id="28" name="图片 28" descr="eaaa77e5844558ab9aa833d4275e0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eaaa77e5844558ab9aa833d4275e0bd"/>
                          <pic:cNvPicPr>
                            <a:picLocks noChangeAspect="1"/>
                          </pic:cNvPicPr>
                        </pic:nvPicPr>
                        <pic:blipFill>
                          <a:blip r:embed="rId61"/>
                          <a:stretch>
                            <a:fillRect/>
                          </a:stretch>
                        </pic:blipFill>
                        <pic:spPr>
                          <a:xfrm>
                            <a:off x="0" y="0"/>
                            <a:ext cx="2689860" cy="2016760"/>
                          </a:xfrm>
                          <a:prstGeom prst="rect">
                            <a:avLst/>
                          </a:prstGeom>
                        </pic:spPr>
                      </pic:pic>
                    </a:graphicData>
                  </a:graphic>
                </wp:inline>
              </w:drawing>
            </w:r>
          </w:p>
        </w:tc>
      </w:tr>
      <w:tr w14:paraId="19D34A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432" w:type="pct"/>
            <w:tcBorders>
              <w:tl2br w:val="nil"/>
              <w:tr2bl w:val="nil"/>
            </w:tcBorders>
            <w:vAlign w:val="center"/>
          </w:tcPr>
          <w:p w14:paraId="45C88BFE">
            <w:pPr>
              <w:pStyle w:val="90"/>
              <w:spacing w:after="0" w:line="240" w:lineRule="auto"/>
              <w:ind w:firstLine="0" w:firstLineChars="0"/>
              <w:jc w:val="center"/>
              <w:rPr>
                <w:color w:val="auto"/>
                <w:sz w:val="21"/>
                <w:szCs w:val="21"/>
                <w:highlight w:val="none"/>
              </w:rPr>
            </w:pPr>
            <w:r>
              <w:rPr>
                <w:color w:val="auto"/>
                <w:sz w:val="21"/>
                <w:szCs w:val="21"/>
                <w:highlight w:val="none"/>
              </w:rPr>
              <w:t>浮船坞建造位置现状</w:t>
            </w:r>
            <w:r>
              <w:rPr>
                <w:rFonts w:hint="eastAsia"/>
                <w:color w:val="auto"/>
                <w:sz w:val="21"/>
                <w:szCs w:val="21"/>
                <w:highlight w:val="none"/>
              </w:rPr>
              <w:t>（总装）</w:t>
            </w:r>
          </w:p>
        </w:tc>
        <w:tc>
          <w:tcPr>
            <w:tcW w:w="2567" w:type="pct"/>
            <w:tcBorders>
              <w:tl2br w:val="nil"/>
              <w:tr2bl w:val="nil"/>
            </w:tcBorders>
            <w:vAlign w:val="center"/>
          </w:tcPr>
          <w:p w14:paraId="39AF6C1C">
            <w:pPr>
              <w:pStyle w:val="90"/>
              <w:spacing w:after="0" w:line="240" w:lineRule="auto"/>
              <w:ind w:firstLine="0" w:firstLineChars="0"/>
              <w:jc w:val="center"/>
              <w:rPr>
                <w:color w:val="auto"/>
                <w:sz w:val="21"/>
                <w:szCs w:val="21"/>
                <w:highlight w:val="none"/>
              </w:rPr>
            </w:pPr>
            <w:r>
              <w:rPr>
                <w:color w:val="auto"/>
                <w:sz w:val="21"/>
                <w:szCs w:val="21"/>
                <w:highlight w:val="none"/>
              </w:rPr>
              <w:t>浮船坞建造位置现状</w:t>
            </w:r>
            <w:r>
              <w:rPr>
                <w:rFonts w:hint="eastAsia"/>
                <w:color w:val="auto"/>
                <w:sz w:val="21"/>
                <w:szCs w:val="21"/>
                <w:highlight w:val="none"/>
              </w:rPr>
              <w:t>（分装）</w:t>
            </w:r>
          </w:p>
        </w:tc>
      </w:tr>
      <w:tr w14:paraId="3F1571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432" w:type="pct"/>
            <w:tcBorders>
              <w:tl2br w:val="nil"/>
              <w:tr2bl w:val="nil"/>
            </w:tcBorders>
            <w:vAlign w:val="center"/>
          </w:tcPr>
          <w:p w14:paraId="59CC0945">
            <w:pPr>
              <w:pStyle w:val="90"/>
              <w:spacing w:after="0" w:line="240" w:lineRule="auto"/>
              <w:ind w:firstLine="0" w:firstLineChars="0"/>
              <w:jc w:val="center"/>
              <w:rPr>
                <w:color w:val="auto"/>
                <w:sz w:val="21"/>
                <w:szCs w:val="21"/>
                <w:highlight w:val="none"/>
              </w:rPr>
            </w:pPr>
            <w:r>
              <w:rPr>
                <w:color w:val="auto"/>
                <w:sz w:val="21"/>
                <w:szCs w:val="21"/>
                <w:highlight w:val="none"/>
              </w:rPr>
              <w:drawing>
                <wp:inline distT="0" distB="0" distL="114300" distR="114300">
                  <wp:extent cx="2731770" cy="2019935"/>
                  <wp:effectExtent l="0" t="0" r="11430" b="18415"/>
                  <wp:docPr id="16" name="图片 16" descr="be5c6888ec47bea3892c5d1c942b093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be5c6888ec47bea3892c5d1c942b093e(1"/>
                          <pic:cNvPicPr>
                            <a:picLocks noChangeAspect="1"/>
                          </pic:cNvPicPr>
                        </pic:nvPicPr>
                        <pic:blipFill>
                          <a:blip r:embed="rId62"/>
                          <a:srcRect l="13027" r="12674" b="26737"/>
                          <a:stretch>
                            <a:fillRect/>
                          </a:stretch>
                        </pic:blipFill>
                        <pic:spPr>
                          <a:xfrm>
                            <a:off x="0" y="0"/>
                            <a:ext cx="2731770" cy="2019935"/>
                          </a:xfrm>
                          <a:prstGeom prst="rect">
                            <a:avLst/>
                          </a:prstGeom>
                        </pic:spPr>
                      </pic:pic>
                    </a:graphicData>
                  </a:graphic>
                </wp:inline>
              </w:drawing>
            </w:r>
          </w:p>
        </w:tc>
        <w:tc>
          <w:tcPr>
            <w:tcW w:w="2567" w:type="pct"/>
            <w:tcBorders>
              <w:tl2br w:val="nil"/>
              <w:tr2bl w:val="nil"/>
            </w:tcBorders>
            <w:vAlign w:val="center"/>
          </w:tcPr>
          <w:p w14:paraId="038C7948">
            <w:pPr>
              <w:pStyle w:val="90"/>
              <w:spacing w:after="0" w:line="240" w:lineRule="auto"/>
              <w:ind w:firstLine="0" w:firstLineChars="0"/>
              <w:jc w:val="center"/>
              <w:rPr>
                <w:color w:val="auto"/>
                <w:sz w:val="21"/>
                <w:szCs w:val="21"/>
                <w:highlight w:val="none"/>
              </w:rPr>
            </w:pPr>
            <w:r>
              <w:rPr>
                <w:color w:val="auto"/>
                <w:sz w:val="21"/>
                <w:szCs w:val="21"/>
                <w:highlight w:val="none"/>
              </w:rPr>
              <w:drawing>
                <wp:inline distT="0" distB="0" distL="114300" distR="114300">
                  <wp:extent cx="2833370" cy="1977390"/>
                  <wp:effectExtent l="0" t="0" r="5080" b="3810"/>
                  <wp:docPr id="21" name="图片 21" descr="b5a99e06f42b3af5f5ce71a6d84c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b5a99e06f42b3af5f5ce71a6d84c709"/>
                          <pic:cNvPicPr>
                            <a:picLocks noChangeAspect="1"/>
                          </pic:cNvPicPr>
                        </pic:nvPicPr>
                        <pic:blipFill>
                          <a:blip r:embed="rId63"/>
                          <a:srcRect l="21659" t="31930" r="37200" b="29799"/>
                          <a:stretch>
                            <a:fillRect/>
                          </a:stretch>
                        </pic:blipFill>
                        <pic:spPr>
                          <a:xfrm>
                            <a:off x="0" y="0"/>
                            <a:ext cx="2833370" cy="1977390"/>
                          </a:xfrm>
                          <a:prstGeom prst="rect">
                            <a:avLst/>
                          </a:prstGeom>
                        </pic:spPr>
                      </pic:pic>
                    </a:graphicData>
                  </a:graphic>
                </wp:inline>
              </w:drawing>
            </w:r>
          </w:p>
        </w:tc>
      </w:tr>
      <w:tr w14:paraId="24B6C4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432" w:type="pct"/>
            <w:tcBorders>
              <w:tl2br w:val="nil"/>
              <w:tr2bl w:val="nil"/>
            </w:tcBorders>
            <w:vAlign w:val="center"/>
          </w:tcPr>
          <w:p w14:paraId="34A2051C">
            <w:pPr>
              <w:pStyle w:val="90"/>
              <w:spacing w:after="0" w:line="240" w:lineRule="auto"/>
              <w:ind w:firstLine="0" w:firstLineChars="0"/>
              <w:jc w:val="center"/>
              <w:rPr>
                <w:color w:val="auto"/>
                <w:sz w:val="21"/>
                <w:szCs w:val="21"/>
                <w:highlight w:val="none"/>
              </w:rPr>
            </w:pPr>
            <w:r>
              <w:rPr>
                <w:color w:val="auto"/>
                <w:sz w:val="21"/>
                <w:szCs w:val="21"/>
                <w:highlight w:val="none"/>
              </w:rPr>
              <w:t>现有废水处理站</w:t>
            </w:r>
          </w:p>
        </w:tc>
        <w:tc>
          <w:tcPr>
            <w:tcW w:w="2567" w:type="pct"/>
            <w:tcBorders>
              <w:tl2br w:val="nil"/>
              <w:tr2bl w:val="nil"/>
            </w:tcBorders>
            <w:vAlign w:val="center"/>
          </w:tcPr>
          <w:p w14:paraId="46AAE241">
            <w:pPr>
              <w:pStyle w:val="90"/>
              <w:spacing w:after="0" w:line="240" w:lineRule="auto"/>
              <w:ind w:firstLine="0" w:firstLineChars="0"/>
              <w:jc w:val="center"/>
              <w:rPr>
                <w:color w:val="auto"/>
                <w:sz w:val="21"/>
                <w:szCs w:val="21"/>
                <w:highlight w:val="none"/>
              </w:rPr>
            </w:pPr>
            <w:r>
              <w:rPr>
                <w:color w:val="auto"/>
                <w:sz w:val="21"/>
                <w:szCs w:val="21"/>
                <w:highlight w:val="none"/>
              </w:rPr>
              <w:t>现有生活污水处理设备</w:t>
            </w:r>
          </w:p>
        </w:tc>
      </w:tr>
      <w:tr w14:paraId="4A99D6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432" w:type="pct"/>
            <w:tcBorders>
              <w:tl2br w:val="nil"/>
              <w:tr2bl w:val="nil"/>
            </w:tcBorders>
            <w:vAlign w:val="center"/>
          </w:tcPr>
          <w:p w14:paraId="12A53F94">
            <w:pPr>
              <w:pStyle w:val="90"/>
              <w:spacing w:after="0" w:line="240" w:lineRule="auto"/>
              <w:ind w:firstLine="0" w:firstLineChars="0"/>
              <w:jc w:val="center"/>
              <w:rPr>
                <w:color w:val="auto"/>
                <w:sz w:val="21"/>
                <w:szCs w:val="21"/>
                <w:highlight w:val="none"/>
              </w:rPr>
            </w:pPr>
            <w:r>
              <w:rPr>
                <w:color w:val="auto"/>
                <w:sz w:val="21"/>
                <w:szCs w:val="21"/>
                <w:highlight w:val="none"/>
              </w:rPr>
              <w:drawing>
                <wp:inline distT="0" distB="0" distL="114300" distR="114300">
                  <wp:extent cx="2705100" cy="1932940"/>
                  <wp:effectExtent l="0" t="0" r="0" b="10160"/>
                  <wp:docPr id="12" name="图片 12" descr="24580e46eb9886e58fb303cb90309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4580e46eb9886e58fb303cb903097f"/>
                          <pic:cNvPicPr>
                            <a:picLocks noChangeAspect="1"/>
                          </pic:cNvPicPr>
                        </pic:nvPicPr>
                        <pic:blipFill>
                          <a:blip r:embed="rId64"/>
                          <a:srcRect r="4792" b="9277"/>
                          <a:stretch>
                            <a:fillRect/>
                          </a:stretch>
                        </pic:blipFill>
                        <pic:spPr>
                          <a:xfrm>
                            <a:off x="0" y="0"/>
                            <a:ext cx="2705100" cy="1932940"/>
                          </a:xfrm>
                          <a:prstGeom prst="rect">
                            <a:avLst/>
                          </a:prstGeom>
                        </pic:spPr>
                      </pic:pic>
                    </a:graphicData>
                  </a:graphic>
                </wp:inline>
              </w:drawing>
            </w:r>
          </w:p>
        </w:tc>
        <w:tc>
          <w:tcPr>
            <w:tcW w:w="2567" w:type="pct"/>
            <w:tcBorders>
              <w:tl2br w:val="nil"/>
              <w:tr2bl w:val="nil"/>
            </w:tcBorders>
            <w:vAlign w:val="center"/>
          </w:tcPr>
          <w:p w14:paraId="6884D2DA">
            <w:pPr>
              <w:pStyle w:val="90"/>
              <w:spacing w:after="0" w:line="240" w:lineRule="auto"/>
              <w:ind w:firstLine="0" w:firstLineChars="0"/>
              <w:jc w:val="center"/>
              <w:rPr>
                <w:color w:val="auto"/>
                <w:sz w:val="21"/>
                <w:szCs w:val="21"/>
                <w:highlight w:val="none"/>
              </w:rPr>
            </w:pPr>
            <w:r>
              <w:rPr>
                <w:rFonts w:hint="eastAsia"/>
                <w:color w:val="auto"/>
                <w:sz w:val="21"/>
                <w:szCs w:val="21"/>
                <w:highlight w:val="none"/>
              </w:rPr>
              <w:drawing>
                <wp:inline distT="0" distB="0" distL="114300" distR="114300">
                  <wp:extent cx="2628900" cy="1971675"/>
                  <wp:effectExtent l="0" t="0" r="0" b="9525"/>
                  <wp:docPr id="22" name="图片 22" descr="ea7d1fa78000a7fef77f8d922f474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ea7d1fa78000a7fef77f8d922f4740e"/>
                          <pic:cNvPicPr>
                            <a:picLocks noChangeAspect="1"/>
                          </pic:cNvPicPr>
                        </pic:nvPicPr>
                        <pic:blipFill>
                          <a:blip r:embed="rId65"/>
                          <a:stretch>
                            <a:fillRect/>
                          </a:stretch>
                        </pic:blipFill>
                        <pic:spPr>
                          <a:xfrm>
                            <a:off x="0" y="0"/>
                            <a:ext cx="2628900" cy="1971675"/>
                          </a:xfrm>
                          <a:prstGeom prst="rect">
                            <a:avLst/>
                          </a:prstGeom>
                        </pic:spPr>
                      </pic:pic>
                    </a:graphicData>
                  </a:graphic>
                </wp:inline>
              </w:drawing>
            </w:r>
          </w:p>
        </w:tc>
      </w:tr>
      <w:tr w14:paraId="62F184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432" w:type="pct"/>
            <w:tcBorders>
              <w:tl2br w:val="nil"/>
              <w:tr2bl w:val="nil"/>
            </w:tcBorders>
            <w:vAlign w:val="center"/>
          </w:tcPr>
          <w:p w14:paraId="0AD9103D">
            <w:pPr>
              <w:pStyle w:val="90"/>
              <w:spacing w:after="0" w:line="240" w:lineRule="auto"/>
              <w:ind w:firstLine="0" w:firstLineChars="0"/>
              <w:jc w:val="center"/>
              <w:rPr>
                <w:color w:val="auto"/>
                <w:sz w:val="21"/>
                <w:szCs w:val="21"/>
                <w:highlight w:val="none"/>
              </w:rPr>
            </w:pPr>
            <w:r>
              <w:rPr>
                <w:color w:val="auto"/>
                <w:sz w:val="21"/>
                <w:szCs w:val="21"/>
                <w:highlight w:val="none"/>
              </w:rPr>
              <w:t>现有危废暂存间</w:t>
            </w:r>
            <w:r>
              <w:rPr>
                <w:rFonts w:hint="eastAsia"/>
                <w:color w:val="auto"/>
                <w:sz w:val="21"/>
                <w:szCs w:val="21"/>
                <w:highlight w:val="none"/>
              </w:rPr>
              <w:t>、危化品库</w:t>
            </w:r>
          </w:p>
        </w:tc>
        <w:tc>
          <w:tcPr>
            <w:tcW w:w="2567" w:type="pct"/>
            <w:tcBorders>
              <w:tl2br w:val="nil"/>
              <w:tr2bl w:val="nil"/>
            </w:tcBorders>
            <w:vAlign w:val="center"/>
          </w:tcPr>
          <w:p w14:paraId="4450985A">
            <w:pPr>
              <w:pStyle w:val="90"/>
              <w:spacing w:after="0" w:line="240" w:lineRule="auto"/>
              <w:ind w:firstLine="0" w:firstLineChars="0"/>
              <w:jc w:val="center"/>
              <w:rPr>
                <w:color w:val="auto"/>
                <w:sz w:val="21"/>
                <w:szCs w:val="21"/>
                <w:highlight w:val="none"/>
              </w:rPr>
            </w:pPr>
            <w:r>
              <w:rPr>
                <w:color w:val="auto"/>
                <w:sz w:val="21"/>
                <w:szCs w:val="21"/>
                <w:highlight w:val="none"/>
              </w:rPr>
              <w:t>现有</w:t>
            </w:r>
            <w:r>
              <w:rPr>
                <w:rFonts w:hint="eastAsia"/>
                <w:color w:val="auto"/>
                <w:sz w:val="21"/>
                <w:szCs w:val="21"/>
                <w:highlight w:val="none"/>
              </w:rPr>
              <w:t>一般固废暂存间</w:t>
            </w:r>
          </w:p>
        </w:tc>
      </w:tr>
    </w:tbl>
    <w:p w14:paraId="666C2128">
      <w:pPr>
        <w:pStyle w:val="90"/>
        <w:ind w:firstLine="241"/>
        <w:jc w:val="center"/>
        <w:rPr>
          <w:b/>
          <w:bCs/>
          <w:color w:val="auto"/>
          <w:highlight w:val="none"/>
        </w:rPr>
        <w:sectPr>
          <w:pgSz w:w="11906" w:h="16838"/>
          <w:pgMar w:top="1134" w:right="1417" w:bottom="1134" w:left="1418" w:header="851" w:footer="992" w:gutter="0"/>
          <w:pgNumType w:start="1"/>
          <w:cols w:space="0" w:num="1"/>
          <w:docGrid w:linePitch="312" w:charSpace="0"/>
        </w:sectPr>
      </w:pPr>
      <w:r>
        <w:rPr>
          <w:b/>
          <w:bCs/>
          <w:color w:val="auto"/>
          <w:highlight w:val="none"/>
        </w:rPr>
        <w:t>项目环境现状图</w:t>
      </w:r>
    </w:p>
    <w:p w14:paraId="5D40F06B">
      <w:pPr>
        <w:pStyle w:val="589"/>
        <w:ind w:firstLine="0" w:firstLineChars="0"/>
        <w:jc w:val="center"/>
        <w:outlineLvl w:val="0"/>
        <w:rPr>
          <w:rFonts w:cs="Times New Roman" w:eastAsiaTheme="minorEastAsia"/>
          <w:b/>
          <w:color w:val="auto"/>
          <w:sz w:val="36"/>
          <w:szCs w:val="36"/>
          <w:highlight w:val="none"/>
        </w:rPr>
      </w:pPr>
      <w:bookmarkStart w:id="3" w:name="_Toc54686732"/>
      <w:bookmarkStart w:id="4" w:name="_Toc33967198"/>
      <w:bookmarkStart w:id="5" w:name="_Toc30296"/>
      <w:bookmarkStart w:id="6" w:name="_Toc33967094"/>
      <w:bookmarkStart w:id="7" w:name="_Toc9843"/>
      <w:bookmarkStart w:id="8" w:name="_Toc54686731"/>
      <w:r>
        <w:rPr>
          <w:rFonts w:cs="Times New Roman" w:eastAsiaTheme="minorEastAsia"/>
          <w:b/>
          <w:color w:val="auto"/>
          <w:sz w:val="36"/>
          <w:szCs w:val="36"/>
          <w:highlight w:val="none"/>
        </w:rPr>
        <w:t>概 述</w:t>
      </w:r>
      <w:bookmarkEnd w:id="3"/>
      <w:bookmarkEnd w:id="4"/>
      <w:bookmarkEnd w:id="5"/>
      <w:bookmarkEnd w:id="6"/>
      <w:bookmarkEnd w:id="7"/>
    </w:p>
    <w:p w14:paraId="1F542080">
      <w:pPr>
        <w:pStyle w:val="6"/>
        <w:rPr>
          <w:color w:val="auto"/>
          <w:sz w:val="32"/>
          <w:szCs w:val="32"/>
          <w:highlight w:val="none"/>
        </w:rPr>
      </w:pPr>
      <w:bookmarkStart w:id="9" w:name="_Toc54686733"/>
      <w:bookmarkStart w:id="10" w:name="_Toc27764"/>
      <w:bookmarkStart w:id="11" w:name="_Toc13647"/>
      <w:r>
        <w:rPr>
          <w:color w:val="auto"/>
          <w:sz w:val="32"/>
          <w:szCs w:val="32"/>
          <w:highlight w:val="none"/>
        </w:rPr>
        <w:t>一、建设项目简述及特点</w:t>
      </w:r>
      <w:bookmarkEnd w:id="9"/>
      <w:bookmarkEnd w:id="10"/>
      <w:bookmarkEnd w:id="11"/>
    </w:p>
    <w:p w14:paraId="796F89FD">
      <w:pPr>
        <w:pStyle w:val="589"/>
        <w:adjustRightInd w:val="0"/>
        <w:snapToGrid w:val="0"/>
        <w:ind w:firstLine="480"/>
        <w:rPr>
          <w:rFonts w:cs="Times New Roman"/>
          <w:color w:val="auto"/>
          <w:highlight w:val="none"/>
        </w:rPr>
      </w:pPr>
      <w:r>
        <w:rPr>
          <w:rFonts w:cs="Times New Roman"/>
          <w:color w:val="auto"/>
          <w:highlight w:val="none"/>
        </w:rPr>
        <w:t>中国船舶集团广西造船有限公司成立于2013年1月5日，注册地址为广西壮族自治区钦州市钦州港区三墩大道1号，是北部湾地区唯一的现代化船舶造修企业。</w:t>
      </w:r>
    </w:p>
    <w:p w14:paraId="470DB7A7">
      <w:pPr>
        <w:pStyle w:val="589"/>
        <w:adjustRightInd w:val="0"/>
        <w:snapToGrid w:val="0"/>
        <w:ind w:firstLine="480"/>
        <w:rPr>
          <w:rFonts w:cs="Times New Roman"/>
          <w:color w:val="auto"/>
          <w:highlight w:val="none"/>
        </w:rPr>
      </w:pPr>
      <w:r>
        <w:rPr>
          <w:rFonts w:cs="Times New Roman"/>
          <w:color w:val="auto"/>
          <w:highlight w:val="none"/>
        </w:rPr>
        <w:t>原中国船舶工业集团公司着眼船舶产业、防务能力布局和北部湾地区经济发展，于2012年与广西壮族自治区人民政府签署《中船钦州大型海工修造及保障基地项目合作协议》，共同谋划在钦州市钦州港区建设中船钦州大型海工修造及保障基地（简称“钦州基地”）</w:t>
      </w:r>
      <w:r>
        <w:rPr>
          <w:rFonts w:hint="eastAsia" w:cs="Times New Roman"/>
          <w:color w:val="auto"/>
          <w:highlight w:val="none"/>
        </w:rPr>
        <w:t>，</w:t>
      </w:r>
      <w:r>
        <w:rPr>
          <w:rFonts w:cs="Times New Roman"/>
          <w:color w:val="auto"/>
          <w:highlight w:val="none"/>
        </w:rPr>
        <w:t>规划在钦州港三墩作业区规划建设中船钦州大型海工修造及保障基地项目。项目规划岸线3500米，纵深500米~1200米，占地面积361万平方米（协议中明确用地5700亩），布局修船、造船、海洋工程、特种船舶、非船产品等业务板块，主要发展10万吨级以下造船、30万吨级以下船舶及海工产品的修理和改装、钢结构等非船产品制造以及相关船舶配套等业务。2013年初，原中国船舶工业集团公司在钦州市注册成立中国船舶集团广西造船有限公司（曾用名：中船广西船舶及海洋工程有限公司），负责钦州基地建设任务。</w:t>
      </w:r>
    </w:p>
    <w:p w14:paraId="744B6E89">
      <w:pPr>
        <w:pStyle w:val="589"/>
        <w:adjustRightInd w:val="0"/>
        <w:snapToGrid w:val="0"/>
        <w:ind w:firstLine="480"/>
        <w:rPr>
          <w:rFonts w:cs="Times New Roman"/>
          <w:color w:val="auto"/>
          <w:highlight w:val="none"/>
        </w:rPr>
      </w:pPr>
      <w:r>
        <w:rPr>
          <w:rFonts w:cs="Times New Roman"/>
          <w:color w:val="auto"/>
          <w:highlight w:val="none"/>
        </w:rPr>
        <w:t>钦州基地于2015年启动建设，占用土地约700亩（已取证约450亩，不含入股广西文船重工有限公司土地）、港池用海约1100亩，拥有10万吨级浮船坞和斜船台（临时设施）各一座；3座10万吨级码头，总长约1048米；3座生产车间，综合车间、下料加工车间、机电车间；1栋倒班宿舍楼、1栋员工宿舍楼；相关配套设施和动能站房。钦州基地经过多个项目的建设，逐步形成了修船、非船、造船能力。</w:t>
      </w:r>
    </w:p>
    <w:p w14:paraId="0CDC7B0E">
      <w:pPr>
        <w:pStyle w:val="589"/>
        <w:adjustRightInd w:val="0"/>
        <w:snapToGrid w:val="0"/>
        <w:ind w:firstLine="480"/>
        <w:rPr>
          <w:rFonts w:cs="Times New Roman"/>
          <w:color w:val="auto"/>
          <w:highlight w:val="none"/>
        </w:rPr>
      </w:pPr>
      <w:r>
        <w:rPr>
          <w:rFonts w:cs="Times New Roman"/>
          <w:color w:val="auto"/>
          <w:highlight w:val="none"/>
        </w:rPr>
        <w:t>其中中船钦州修船资源整合项目（以下简称“中船整合项目”）属于“钦州基地”的第一期第一阶段工程，第一阶段工程主要发展10万吨级以下船舶修理、改装及保障业务，“中船整合项目”</w:t>
      </w:r>
      <w:r>
        <w:rPr>
          <w:rFonts w:hint="eastAsia" w:cs="Times New Roman"/>
          <w:color w:val="auto"/>
          <w:highlight w:val="none"/>
        </w:rPr>
        <w:t>规划</w:t>
      </w:r>
      <w:r>
        <w:rPr>
          <w:rFonts w:cs="Times New Roman"/>
          <w:color w:val="auto"/>
          <w:highlight w:val="none"/>
        </w:rPr>
        <w:t>年修理1</w:t>
      </w:r>
      <w:r>
        <w:rPr>
          <w:rFonts w:hint="eastAsia" w:cs="Times New Roman"/>
          <w:color w:val="auto"/>
          <w:highlight w:val="none"/>
        </w:rPr>
        <w:t>5</w:t>
      </w:r>
      <w:r>
        <w:rPr>
          <w:rFonts w:cs="Times New Roman"/>
          <w:color w:val="auto"/>
          <w:highlight w:val="none"/>
        </w:rPr>
        <w:t>万吨级以下船舶</w:t>
      </w:r>
      <w:r>
        <w:rPr>
          <w:rFonts w:hint="eastAsia" w:cs="Times New Roman"/>
          <w:color w:val="auto"/>
          <w:highlight w:val="none"/>
        </w:rPr>
        <w:t>120</w:t>
      </w:r>
      <w:r>
        <w:rPr>
          <w:rFonts w:cs="Times New Roman"/>
          <w:color w:val="auto"/>
          <w:highlight w:val="none"/>
        </w:rPr>
        <w:t>艘的建造能力。该项目是中船集团公司着眼北部湾发展机遇，进行战略布点，弥补北部湾地区修船资源的空缺，对长江口地区企业浮船坞等存量修船设施进行整合利用，优化集团公司和国家产业布局的总体原则进行建设的。该项目于2015年5月26日获得《钦州市生态环境局关于中船钦州修船资源整合项目环境影响报告书的批复》（详见附件3-1），于2015年9月全面开工建设。2017年11月5日一期工程通过建设项目竣工环境保护验收（详见附件3-3）</w:t>
      </w:r>
      <w:r>
        <w:rPr>
          <w:rFonts w:hint="eastAsia" w:cs="Times New Roman"/>
          <w:color w:val="auto"/>
          <w:highlight w:val="none"/>
        </w:rPr>
        <w:t>，</w:t>
      </w:r>
      <w:r>
        <w:rPr>
          <w:rFonts w:cs="Times New Roman"/>
          <w:color w:val="auto"/>
          <w:highlight w:val="none"/>
        </w:rPr>
        <w:t>“中船整合项目”</w:t>
      </w:r>
      <w:r>
        <w:rPr>
          <w:rFonts w:hint="eastAsia" w:cs="Times New Roman"/>
          <w:color w:val="auto"/>
          <w:highlight w:val="none"/>
        </w:rPr>
        <w:t>一期工程</w:t>
      </w:r>
      <w:r>
        <w:rPr>
          <w:rFonts w:cs="Times New Roman"/>
          <w:color w:val="auto"/>
          <w:highlight w:val="none"/>
        </w:rPr>
        <w:t>具备年修理10万吨级以下船舶</w:t>
      </w:r>
      <w:r>
        <w:rPr>
          <w:rFonts w:hint="eastAsia" w:cs="Times New Roman"/>
          <w:color w:val="auto"/>
          <w:highlight w:val="none"/>
        </w:rPr>
        <w:t>90</w:t>
      </w:r>
      <w:r>
        <w:rPr>
          <w:rFonts w:cs="Times New Roman"/>
          <w:color w:val="auto"/>
          <w:highlight w:val="none"/>
        </w:rPr>
        <w:t>艘的建造能力。</w:t>
      </w:r>
      <w:r>
        <w:rPr>
          <w:rFonts w:hint="eastAsia" w:cs="Times New Roman"/>
          <w:color w:val="auto"/>
          <w:highlight w:val="none"/>
        </w:rPr>
        <w:t>一期工程</w:t>
      </w:r>
      <w:r>
        <w:rPr>
          <w:rFonts w:cs="Times New Roman"/>
          <w:color w:val="auto"/>
          <w:highlight w:val="none"/>
        </w:rPr>
        <w:t>于2017年底正式交付使用。</w:t>
      </w:r>
    </w:p>
    <w:p w14:paraId="0169702D">
      <w:pPr>
        <w:pStyle w:val="589"/>
        <w:adjustRightInd w:val="0"/>
        <w:snapToGrid w:val="0"/>
        <w:ind w:firstLine="480"/>
        <w:rPr>
          <w:rFonts w:cs="Times New Roman"/>
          <w:color w:val="auto"/>
          <w:highlight w:val="none"/>
        </w:rPr>
      </w:pPr>
      <w:r>
        <w:rPr>
          <w:rFonts w:cs="Times New Roman"/>
          <w:color w:val="auto"/>
          <w:highlight w:val="none"/>
        </w:rPr>
        <w:t>钦州基地建成后，由于地处开敞水域，较大的风浪导致浮船坞和码头作业条件差；基地码头泊位不足，无法满足修船订单需求；且适逢国家对于围填海项目政策趋严，广西</w:t>
      </w:r>
      <w:r>
        <w:rPr>
          <w:rFonts w:hint="eastAsia" w:cs="Times New Roman"/>
          <w:color w:val="auto"/>
          <w:highlight w:val="none"/>
        </w:rPr>
        <w:t>壮族</w:t>
      </w:r>
      <w:r>
        <w:rPr>
          <w:rFonts w:cs="Times New Roman"/>
          <w:color w:val="auto"/>
          <w:highlight w:val="none"/>
        </w:rPr>
        <w:t>自治区</w:t>
      </w:r>
      <w:r>
        <w:rPr>
          <w:rFonts w:hint="eastAsia"/>
          <w:color w:val="auto"/>
          <w:highlight w:val="none"/>
          <w:lang w:eastAsia="zh-CN"/>
        </w:rPr>
        <w:t>人民</w:t>
      </w:r>
      <w:r>
        <w:rPr>
          <w:rFonts w:cs="Times New Roman"/>
          <w:color w:val="auto"/>
          <w:highlight w:val="none"/>
        </w:rPr>
        <w:t>政府和钦州市政府均支持广西公司尽快处理“填海工程历史遗留问题”，给予了较好的政策支持。因此在基地内建设2#、5#码头项目，进一步补充完善了广西公司钦州基地修船设施条件，推动广西公司“修、造、非”业务拓展，支撑广西公司一体化改革和资源整合，有效排除修船作业中的安全生产隐患；也促成了码头与基地现有场地之间的填海造陆，获取了宝贵的工业用地和岸线。该项目于2021年12月9日获得《钦州市生态环境局关于中船广西海上风电装备产业基地南冀项目2#码头和5#码头工程环境影响报告书的批复》（详见附件3-4），项目于2022年1月开工建设，2023年4月完工，于2023年8月3日完成</w:t>
      </w:r>
      <w:r>
        <w:rPr>
          <w:rFonts w:hint="eastAsia" w:cs="Times New Roman"/>
          <w:color w:val="auto"/>
          <w:highlight w:val="none"/>
        </w:rPr>
        <w:t>环境保护</w:t>
      </w:r>
      <w:r>
        <w:rPr>
          <w:rFonts w:cs="Times New Roman"/>
          <w:color w:val="auto"/>
          <w:highlight w:val="none"/>
        </w:rPr>
        <w:t>自主验收（验收意见见附件3-5）。</w:t>
      </w:r>
    </w:p>
    <w:p w14:paraId="450128A4">
      <w:pPr>
        <w:pStyle w:val="589"/>
        <w:adjustRightInd w:val="0"/>
        <w:snapToGrid w:val="0"/>
        <w:ind w:firstLine="480"/>
        <w:rPr>
          <w:rFonts w:cs="Times New Roman"/>
          <w:color w:val="auto"/>
          <w:highlight w:val="none"/>
        </w:rPr>
      </w:pPr>
      <w:r>
        <w:rPr>
          <w:rFonts w:cs="Times New Roman"/>
          <w:color w:val="auto"/>
          <w:highlight w:val="none"/>
        </w:rPr>
        <w:t>中船钦州修船资源整合项目中“新祥生”浮船坞是2002年由上海船厂在一艘油船基础上改建而成的内河船坞。2016年，“新祥生”号浮船坞拖航至钦州基地开始修船作业。运行期间，定期向CCS年度检验、中间检验和换证检验，并根据检验意</w:t>
      </w:r>
      <w:r>
        <w:rPr>
          <w:rFonts w:hint="eastAsia" w:cs="Times New Roman"/>
          <w:color w:val="auto"/>
          <w:highlight w:val="none"/>
          <w:lang w:eastAsia="zh-CN"/>
        </w:rPr>
        <w:t>见及</w:t>
      </w:r>
      <w:r>
        <w:rPr>
          <w:rFonts w:cs="Times New Roman"/>
          <w:color w:val="auto"/>
          <w:highlight w:val="none"/>
        </w:rPr>
        <w:t>时进行维修保养。2025年5月已完成2025年度检验，下一次检验时间为2026年6月12日。根据年检该坞主体结构发生变形，主泵等关键设备失效，压载舱锈穿，坞吊故障频发，目前限定举力约为设计指标的70%。该坞由内河船坞改造而成，</w:t>
      </w:r>
      <w:r>
        <w:rPr>
          <w:rFonts w:hint="eastAsia" w:cs="Times New Roman"/>
          <w:color w:val="auto"/>
          <w:highlight w:val="none"/>
          <w:lang w:eastAsia="zh-CN"/>
        </w:rPr>
        <w:t>截至</w:t>
      </w:r>
      <w:r>
        <w:rPr>
          <w:rFonts w:cs="Times New Roman"/>
          <w:color w:val="auto"/>
          <w:highlight w:val="none"/>
        </w:rPr>
        <w:t>目前已服役23年。根据船级社年度检验和专项检查意见，为确保安全运行，中船广西公司立即采取降级使用措施，限制使用举力为16000吨（设计举力25000吨）。针对浮船坞存在的安全风险，中船广西制定专项维保资金预算，结合船级社检验和日常使用过程发现的隐患问题，及时开展维修保养。为确保安全，公司在每次作业时均安排全过程监控，每年开展定期检查，及时对能够到达的区域开展维护和修复，但</w:t>
      </w:r>
      <w:r>
        <w:rPr>
          <w:rFonts w:hint="eastAsia" w:cs="Times New Roman"/>
          <w:color w:val="auto"/>
          <w:highlight w:val="none"/>
        </w:rPr>
        <w:t>是浮船坞</w:t>
      </w:r>
      <w:r>
        <w:rPr>
          <w:rFonts w:cs="Times New Roman"/>
          <w:color w:val="auto"/>
          <w:highlight w:val="none"/>
        </w:rPr>
        <w:t>功能性损失、自然损耗的趋势无法扭转。该船坞安全运行风险巨大，一旦停台也将导致业务断线。</w:t>
      </w:r>
    </w:p>
    <w:p w14:paraId="5881018E">
      <w:pPr>
        <w:pStyle w:val="589"/>
        <w:adjustRightInd w:val="0"/>
        <w:snapToGrid w:val="0"/>
        <w:ind w:firstLine="480"/>
        <w:rPr>
          <w:rFonts w:cs="Times New Roman"/>
          <w:color w:val="auto"/>
          <w:highlight w:val="none"/>
        </w:rPr>
      </w:pPr>
      <w:r>
        <w:rPr>
          <w:rFonts w:cs="Times New Roman"/>
          <w:color w:val="auto"/>
          <w:highlight w:val="none"/>
        </w:rPr>
        <w:t>2023年建成的5#舾装码头未配备起重设备</w:t>
      </w:r>
      <w:r>
        <w:rPr>
          <w:rFonts w:hint="eastAsia" w:cs="Times New Roman"/>
          <w:color w:val="auto"/>
          <w:highlight w:val="none"/>
        </w:rPr>
        <w:t>（环评内容包含1台32t门吊机，该码头建成后未建设该门吊机）</w:t>
      </w:r>
      <w:r>
        <w:rPr>
          <w:rFonts w:cs="Times New Roman"/>
          <w:color w:val="auto"/>
          <w:highlight w:val="none"/>
        </w:rPr>
        <w:t>，投用后将无法进行大型部件吊装作业，码头仅能为船舶提供靠泊服务，舾装作业功能不能有效发挥。如使用汽车吊、履带吊等设备，则无法满足重大件、大跨距、高效吊装需求，且会产生高昂的费用，并存在吊机倾倒风险，严重制约生产作业。</w:t>
      </w:r>
    </w:p>
    <w:p w14:paraId="6825920E">
      <w:pPr>
        <w:pStyle w:val="589"/>
        <w:adjustRightInd w:val="0"/>
        <w:snapToGrid w:val="0"/>
        <w:ind w:firstLine="480"/>
        <w:rPr>
          <w:rFonts w:cs="Times New Roman"/>
          <w:color w:val="auto"/>
          <w:highlight w:val="none"/>
        </w:rPr>
      </w:pPr>
      <w:r>
        <w:rPr>
          <w:rFonts w:cs="Times New Roman"/>
          <w:color w:val="auto"/>
          <w:highlight w:val="none"/>
        </w:rPr>
        <w:t>综上所述，可以看出钦州基地当前面临着现有浮船坞存在重大安全隐患、舾装码头起重能力空白等问题。</w:t>
      </w:r>
      <w:r>
        <w:rPr>
          <w:rFonts w:hint="eastAsia" w:cs="Times New Roman"/>
          <w:color w:val="auto"/>
          <w:highlight w:val="none"/>
        </w:rPr>
        <w:t>本次技改建设</w:t>
      </w:r>
      <w:r>
        <w:rPr>
          <w:rFonts w:cs="Times New Roman"/>
          <w:color w:val="auto"/>
          <w:highlight w:val="none"/>
        </w:rPr>
        <w:t>1座10万吨级浮船坞置换“中船钦州修船资源整合项目”中老旧的10万吨级浮船坞；并在“中船广西海上风电装备产业基地南翼项目2#码头和5#码头工程”中的5#舾装码头内</w:t>
      </w:r>
      <w:r>
        <w:rPr>
          <w:rFonts w:hint="eastAsia" w:cs="Times New Roman"/>
          <w:color w:val="auto"/>
          <w:highlight w:val="none"/>
        </w:rPr>
        <w:t>扩建</w:t>
      </w:r>
      <w:r>
        <w:rPr>
          <w:rFonts w:cs="Times New Roman"/>
          <w:color w:val="auto"/>
          <w:highlight w:val="none"/>
        </w:rPr>
        <w:t>1台6070门座式起重机</w:t>
      </w:r>
      <w:r>
        <w:rPr>
          <w:rFonts w:hint="eastAsia" w:cs="Times New Roman"/>
          <w:color w:val="auto"/>
          <w:highlight w:val="none"/>
        </w:rPr>
        <w:t>（该项目环评内容包含1台32t门吊机，码头建成后未建设该门吊机，本次建设的</w:t>
      </w:r>
      <w:r>
        <w:rPr>
          <w:rFonts w:cs="Times New Roman"/>
          <w:color w:val="auto"/>
          <w:highlight w:val="none"/>
        </w:rPr>
        <w:t>1台6070门座式起重机</w:t>
      </w:r>
      <w:r>
        <w:rPr>
          <w:rFonts w:hint="eastAsia" w:cs="Times New Roman"/>
          <w:color w:val="auto"/>
          <w:highlight w:val="none"/>
        </w:rPr>
        <w:t>替代该环评中的1台32t门吊机）</w:t>
      </w:r>
      <w:r>
        <w:rPr>
          <w:rFonts w:cs="Times New Roman"/>
          <w:color w:val="auto"/>
          <w:highlight w:val="none"/>
        </w:rPr>
        <w:t>；通过本项目建设，在充分利用现有设施的基础上，</w:t>
      </w:r>
      <w:r>
        <w:rPr>
          <w:rFonts w:hint="eastAsia" w:cs="Times New Roman"/>
          <w:color w:val="auto"/>
          <w:highlight w:val="none"/>
        </w:rPr>
        <w:t>技改</w:t>
      </w:r>
      <w:r>
        <w:rPr>
          <w:rFonts w:cs="Times New Roman"/>
          <w:color w:val="auto"/>
          <w:highlight w:val="none"/>
        </w:rPr>
        <w:t>建设10万吨级浮船坞、</w:t>
      </w:r>
      <w:r>
        <w:rPr>
          <w:rFonts w:hint="eastAsia" w:cs="Times New Roman"/>
          <w:color w:val="auto"/>
          <w:highlight w:val="none"/>
        </w:rPr>
        <w:t>扩建</w:t>
      </w:r>
      <w:r>
        <w:rPr>
          <w:rFonts w:cs="Times New Roman"/>
          <w:color w:val="auto"/>
          <w:highlight w:val="none"/>
        </w:rPr>
        <w:t>5#码头门座式起重机等设施，使得钦州基地具备年修理和改造10万吨级以下各类船舶90艘/年的能力，并兼顾地区JP维修保障能力。因此，本项目的建设十分必要。</w:t>
      </w:r>
    </w:p>
    <w:p w14:paraId="04610B64">
      <w:pPr>
        <w:topLinePunct w:val="0"/>
        <w:ind w:firstLine="480"/>
        <w:rPr>
          <w:color w:val="auto"/>
          <w:highlight w:val="none"/>
          <w:u w:val="single"/>
        </w:rPr>
      </w:pPr>
      <w:r>
        <w:rPr>
          <w:rFonts w:hint="eastAsia"/>
          <w:color w:val="auto"/>
          <w:highlight w:val="none"/>
          <w:u w:val="single"/>
        </w:rPr>
        <w:t>本项目主要建设内容包括技改建设</w:t>
      </w:r>
      <w:r>
        <w:rPr>
          <w:color w:val="auto"/>
          <w:highlight w:val="none"/>
          <w:u w:val="single"/>
        </w:rPr>
        <w:t>1座10万吨级浮船坞（用于置换老旧10万吨级浮船坞）；在5#舾装码头</w:t>
      </w:r>
      <w:r>
        <w:rPr>
          <w:rFonts w:hint="eastAsia"/>
          <w:color w:val="auto"/>
          <w:highlight w:val="none"/>
          <w:u w:val="single"/>
        </w:rPr>
        <w:t>扩建</w:t>
      </w:r>
      <w:r>
        <w:rPr>
          <w:color w:val="auto"/>
          <w:highlight w:val="none"/>
          <w:u w:val="single"/>
        </w:rPr>
        <w:t>1台6070门座式起重机</w:t>
      </w:r>
      <w:r>
        <w:rPr>
          <w:rFonts w:hint="eastAsia"/>
          <w:color w:val="auto"/>
          <w:highlight w:val="none"/>
          <w:u w:val="single"/>
        </w:rPr>
        <w:t>（位于环评中原32t门座机位置）；</w:t>
      </w:r>
      <w:r>
        <w:rPr>
          <w:color w:val="auto"/>
          <w:highlight w:val="none"/>
          <w:u w:val="single"/>
        </w:rPr>
        <w:t>并建设浮船坞配套建造场地；配置焊割加工、起重运输、供配电等设备设施，硬化改造该配套场地约25621平方米，工艺设备约600台。</w:t>
      </w:r>
      <w:r>
        <w:rPr>
          <w:rFonts w:hint="eastAsia"/>
          <w:color w:val="auto"/>
          <w:highlight w:val="none"/>
          <w:u w:val="single"/>
        </w:rPr>
        <w:t>除本次建设内容外，项目依托的基地上的其他工程（如给排水工程、船体和机电综合车间生产工序、环保措施工程）</w:t>
      </w:r>
      <w:r>
        <w:rPr>
          <w:color w:val="auto"/>
          <w:highlight w:val="none"/>
          <w:u w:val="single"/>
        </w:rPr>
        <w:t>等</w:t>
      </w:r>
      <w:r>
        <w:rPr>
          <w:rFonts w:hint="eastAsia"/>
          <w:color w:val="auto"/>
          <w:highlight w:val="none"/>
          <w:u w:val="single"/>
        </w:rPr>
        <w:t>均</w:t>
      </w:r>
      <w:r>
        <w:rPr>
          <w:color w:val="auto"/>
          <w:highlight w:val="none"/>
          <w:u w:val="single"/>
        </w:rPr>
        <w:t>不变</w:t>
      </w:r>
      <w:r>
        <w:rPr>
          <w:rFonts w:hint="eastAsia"/>
          <w:color w:val="auto"/>
          <w:highlight w:val="none"/>
          <w:u w:val="single"/>
        </w:rPr>
        <w:t>。</w:t>
      </w:r>
    </w:p>
    <w:p w14:paraId="19FEA8D0">
      <w:pPr>
        <w:pStyle w:val="589"/>
        <w:ind w:firstLine="480"/>
        <w:rPr>
          <w:rFonts w:cs="Times New Roman"/>
          <w:color w:val="auto"/>
          <w:highlight w:val="none"/>
        </w:rPr>
      </w:pPr>
    </w:p>
    <w:p w14:paraId="599EF0DA">
      <w:pPr>
        <w:pStyle w:val="6"/>
        <w:rPr>
          <w:color w:val="auto"/>
          <w:sz w:val="32"/>
          <w:szCs w:val="32"/>
          <w:highlight w:val="none"/>
        </w:rPr>
      </w:pPr>
      <w:bookmarkStart w:id="12" w:name="_Toc24128"/>
      <w:bookmarkStart w:id="13" w:name="_Toc54686734"/>
      <w:bookmarkStart w:id="14" w:name="_Toc31930"/>
      <w:r>
        <w:rPr>
          <w:color w:val="auto"/>
          <w:sz w:val="32"/>
          <w:szCs w:val="32"/>
          <w:highlight w:val="none"/>
        </w:rPr>
        <w:t>二、环境影响评价工作过程</w:t>
      </w:r>
      <w:bookmarkEnd w:id="12"/>
      <w:bookmarkEnd w:id="13"/>
      <w:bookmarkEnd w:id="14"/>
    </w:p>
    <w:p w14:paraId="418ACB5D">
      <w:pPr>
        <w:tabs>
          <w:tab w:val="left" w:pos="6521"/>
        </w:tabs>
        <w:ind w:firstLine="480"/>
        <w:rPr>
          <w:rFonts w:eastAsiaTheme="minorEastAsia"/>
          <w:color w:val="auto"/>
          <w:highlight w:val="none"/>
        </w:rPr>
      </w:pPr>
      <w:r>
        <w:rPr>
          <w:rFonts w:eastAsiaTheme="minorEastAsia"/>
          <w:color w:val="auto"/>
          <w:highlight w:val="none"/>
        </w:rPr>
        <w:t>根据《中华人民共和国环境影响评价法》及环境保护部令第44号《建设项目环境影响评价分类管理名录》等文件的有关规定，项目属于《建设项目环境影响评价分类管理名录》（2021年版）中“三十四、铁路、船舶、航空航天和其他运输设备制造业37”中“船舶及相关装置制造373—造船、拆船、修船厂”，应编制环境影响报告书。</w:t>
      </w:r>
    </w:p>
    <w:p w14:paraId="04A88568">
      <w:pPr>
        <w:tabs>
          <w:tab w:val="left" w:pos="6521"/>
        </w:tabs>
        <w:ind w:firstLine="480"/>
        <w:rPr>
          <w:color w:val="auto"/>
          <w:highlight w:val="none"/>
        </w:rPr>
      </w:pPr>
      <w:r>
        <w:rPr>
          <w:rFonts w:eastAsiaTheme="minorEastAsia"/>
          <w:color w:val="auto"/>
          <w:highlight w:val="none"/>
        </w:rPr>
        <w:t>我公司接受建设单位委托后，立即组织有关专业技术人员实施了现场踏勘和资料调查收集，在此基础上，根据项目特点及周边具体情况进行了前期调研工作，按照《建设项目环境保护管理条例》和</w:t>
      </w:r>
      <w:r>
        <w:rPr>
          <w:rFonts w:hint="eastAsia" w:eastAsiaTheme="minorEastAsia"/>
          <w:color w:val="auto"/>
          <w:highlight w:val="none"/>
        </w:rPr>
        <w:t>各专题</w:t>
      </w:r>
      <w:r>
        <w:rPr>
          <w:rFonts w:eastAsiaTheme="minorEastAsia"/>
          <w:color w:val="auto"/>
          <w:highlight w:val="none"/>
        </w:rPr>
        <w:t>环境影响评价技术导则等法规和技术文件的要求，最终编制</w:t>
      </w:r>
      <w:r>
        <w:rPr>
          <w:color w:val="auto"/>
          <w:highlight w:val="none"/>
        </w:rPr>
        <w:t>完成了本项目的环境影响报告书</w:t>
      </w:r>
      <w:r>
        <w:rPr>
          <w:rFonts w:eastAsiaTheme="minorEastAsia"/>
          <w:color w:val="auto"/>
          <w:highlight w:val="none"/>
        </w:rPr>
        <w:t>。</w:t>
      </w:r>
    </w:p>
    <w:p w14:paraId="5012995B">
      <w:pPr>
        <w:pStyle w:val="6"/>
        <w:rPr>
          <w:color w:val="auto"/>
          <w:sz w:val="32"/>
          <w:szCs w:val="32"/>
          <w:highlight w:val="none"/>
        </w:rPr>
      </w:pPr>
      <w:bookmarkStart w:id="15" w:name="_Toc26766"/>
      <w:bookmarkStart w:id="16" w:name="_Toc6214"/>
      <w:bookmarkStart w:id="17" w:name="_Toc54686735"/>
      <w:r>
        <w:rPr>
          <w:color w:val="auto"/>
          <w:sz w:val="32"/>
          <w:szCs w:val="32"/>
          <w:highlight w:val="none"/>
        </w:rPr>
        <w:t>三、分析判定相关情况</w:t>
      </w:r>
      <w:bookmarkEnd w:id="15"/>
      <w:bookmarkEnd w:id="16"/>
      <w:bookmarkEnd w:id="17"/>
    </w:p>
    <w:p w14:paraId="74922933">
      <w:pPr>
        <w:pStyle w:val="7"/>
        <w:rPr>
          <w:color w:val="auto"/>
          <w:sz w:val="28"/>
          <w:highlight w:val="none"/>
        </w:rPr>
      </w:pPr>
      <w:r>
        <w:rPr>
          <w:color w:val="auto"/>
          <w:sz w:val="28"/>
          <w:highlight w:val="none"/>
        </w:rPr>
        <w:t>1、产业政策符合性分析</w:t>
      </w:r>
    </w:p>
    <w:p w14:paraId="26436E02">
      <w:pPr>
        <w:ind w:firstLine="480"/>
        <w:rPr>
          <w:snapToGrid w:val="0"/>
          <w:color w:val="auto"/>
          <w:highlight w:val="none"/>
        </w:rPr>
      </w:pPr>
      <w:r>
        <w:rPr>
          <w:color w:val="auto"/>
          <w:highlight w:val="none"/>
        </w:rPr>
        <w:t>根据</w:t>
      </w:r>
      <w:r>
        <w:rPr>
          <w:rFonts w:hint="eastAsia"/>
          <w:color w:val="auto"/>
          <w:highlight w:val="none"/>
          <w:lang w:eastAsia="zh-CN"/>
        </w:rPr>
        <w:t>国家发展改革委</w:t>
      </w:r>
      <w:r>
        <w:rPr>
          <w:color w:val="auto"/>
          <w:highlight w:val="none"/>
        </w:rPr>
        <w:t>《产业结构调整指导目录（2024年本）》，本项目10万吨级浮船坞、门座式起重机等设施，属于鼓励类中“十七、船舶及海洋工程装备——特种船舶和特殊用途船舶中的港口作业船和起重船”</w:t>
      </w:r>
      <w:r>
        <w:rPr>
          <w:snapToGrid w:val="0"/>
          <w:color w:val="auto"/>
          <w:highlight w:val="none"/>
        </w:rPr>
        <w:t>，</w:t>
      </w:r>
      <w:r>
        <w:rPr>
          <w:rFonts w:hint="eastAsia"/>
          <w:snapToGrid w:val="0"/>
          <w:color w:val="auto"/>
          <w:highlight w:val="none"/>
          <w:lang w:eastAsia="zh-CN"/>
        </w:rPr>
        <w:t>本</w:t>
      </w:r>
      <w:r>
        <w:rPr>
          <w:snapToGrid w:val="0"/>
          <w:color w:val="auto"/>
          <w:highlight w:val="none"/>
        </w:rPr>
        <w:t>项目的建设符合国家产业政策。</w:t>
      </w:r>
    </w:p>
    <w:p w14:paraId="03E00C89">
      <w:pPr>
        <w:pStyle w:val="7"/>
        <w:numPr>
          <w:ilvl w:val="0"/>
          <w:numId w:val="7"/>
        </w:numPr>
        <w:rPr>
          <w:color w:val="auto"/>
          <w:sz w:val="28"/>
          <w:highlight w:val="none"/>
        </w:rPr>
      </w:pPr>
      <w:r>
        <w:rPr>
          <w:color w:val="auto"/>
          <w:sz w:val="28"/>
          <w:highlight w:val="none"/>
        </w:rPr>
        <w:t>与海洋功能区划</w:t>
      </w:r>
      <w:r>
        <w:rPr>
          <w:rFonts w:hint="eastAsia"/>
          <w:color w:val="auto"/>
          <w:sz w:val="28"/>
          <w:highlight w:val="none"/>
        </w:rPr>
        <w:t>和海洋环境保护规划</w:t>
      </w:r>
      <w:r>
        <w:rPr>
          <w:color w:val="auto"/>
          <w:sz w:val="28"/>
          <w:highlight w:val="none"/>
        </w:rPr>
        <w:t>的符合性分析</w:t>
      </w:r>
    </w:p>
    <w:p w14:paraId="454D9406">
      <w:pPr>
        <w:pStyle w:val="8"/>
        <w:rPr>
          <w:color w:val="auto"/>
          <w:highlight w:val="none"/>
          <w:lang w:val="zh-CN"/>
        </w:rPr>
      </w:pPr>
      <w:r>
        <w:rPr>
          <w:color w:val="auto"/>
          <w:highlight w:val="none"/>
          <w:lang w:val="zh-CN"/>
        </w:rPr>
        <w:t>（</w:t>
      </w:r>
      <w:r>
        <w:rPr>
          <w:rFonts w:hint="eastAsia"/>
          <w:color w:val="auto"/>
          <w:highlight w:val="none"/>
        </w:rPr>
        <w:t>1</w:t>
      </w:r>
      <w:r>
        <w:rPr>
          <w:color w:val="auto"/>
          <w:highlight w:val="none"/>
          <w:lang w:val="zh-CN"/>
        </w:rPr>
        <w:t>）与《广西壮族自治区近岸海域环境功能区划调整方案》（桂环发〔2023〕9号）的符合性</w:t>
      </w:r>
    </w:p>
    <w:p w14:paraId="4C34831F">
      <w:pPr>
        <w:widowControl/>
        <w:ind w:firstLine="480"/>
        <w:rPr>
          <w:color w:val="auto"/>
          <w:highlight w:val="none"/>
        </w:rPr>
      </w:pPr>
      <w:r>
        <w:rPr>
          <w:color w:val="auto"/>
          <w:highlight w:val="none"/>
        </w:rPr>
        <w:t>根据《广西壮族自治区近岸海域环境功能区划调整方案》（桂环发〔2023〕9号），广西近岸海域调整为111个环境功能区，其中一类环境功能区10个，二类环境功能区29个，三类环境功能区24个，四类环境功能区48个。本项目用海范围均位于三墩港口工业区（GX059DⅣ），环境功能区类别为四类；功能区位置为三墩港口附近海域，分为</w:t>
      </w:r>
      <w:r>
        <w:rPr>
          <w:rFonts w:hint="eastAsia"/>
          <w:color w:val="auto"/>
          <w:highlight w:val="none"/>
        </w:rPr>
        <w:t>2</w:t>
      </w:r>
      <w:r>
        <w:rPr>
          <w:color w:val="auto"/>
          <w:highlight w:val="none"/>
        </w:rPr>
        <w:t>个区（除三墩排污混合区外），北区范围是E108°39′57″、N21°38′20″，E108°41′18″、N21°39′17″，E108°38′57″、N21°34′0″，E108°39′20″、N21°33′49″，E108°42′17″、N21°37′17″围成的海域；南区范围是E108°42′22″、N21°34′42″，E108°40′23″、N21°30′58″，E108°41′21″、N21°30′58″，E108°43′4″、N21°32′29″，E108°43′5″、N21°34′41″围成的海域，周围设0.5km水质过渡带。主导功能是港口、工业用海。水质保护目标是第四类。见附图6。</w:t>
      </w:r>
    </w:p>
    <w:p w14:paraId="1597070B">
      <w:pPr>
        <w:pStyle w:val="91"/>
        <w:adjustRightInd w:val="0"/>
        <w:snapToGrid w:val="0"/>
        <w:spacing w:after="0" w:line="360" w:lineRule="auto"/>
        <w:ind w:left="0" w:leftChars="0" w:firstLine="480"/>
        <w:rPr>
          <w:rFonts w:ascii="Times New Roman" w:hAnsi="Times New Roman" w:cs="Times New Roman"/>
          <w:color w:val="auto"/>
          <w:sz w:val="24"/>
          <w:highlight w:val="none"/>
        </w:rPr>
      </w:pPr>
      <w:r>
        <w:rPr>
          <w:rFonts w:ascii="Times New Roman" w:hAnsi="Times New Roman" w:cs="Times New Roman"/>
          <w:color w:val="auto"/>
          <w:sz w:val="24"/>
          <w:highlight w:val="none"/>
        </w:rPr>
        <w:t>本项目位于钦州基地内，中船广西公司钦州基地在2016年5月取得了周边海域的海域使用</w:t>
      </w:r>
      <w:r>
        <w:rPr>
          <w:rFonts w:hint="eastAsia" w:ascii="Times New Roman" w:hAnsi="Times New Roman" w:cs="Times New Roman"/>
          <w:color w:val="auto"/>
          <w:sz w:val="24"/>
          <w:highlight w:val="none"/>
        </w:rPr>
        <w:t>权</w:t>
      </w:r>
      <w:r>
        <w:rPr>
          <w:rFonts w:ascii="Times New Roman" w:hAnsi="Times New Roman" w:cs="Times New Roman"/>
          <w:color w:val="auto"/>
          <w:sz w:val="24"/>
          <w:highlight w:val="none"/>
        </w:rPr>
        <w:t>证，海域使用权证书（国海证2016B45070002236）见附件4，用海方式为“建设填海造地”。其中包括两块建设填海造地、一座透水构筑物和一座港池。本次10万吨级浮船坞、5#码头门座式起重机均位于钦州基地用地范围内。根据《海籍管理》海域使用的分类，本项目海域使用属于交通运输用海大类、港口用海小类。根据项目引用的海水水质监测报告，项目所在海域海水水质可达到四类标准，因此项目建设符合《广西壮族自治区近岸海域环境功能区划调整方案》（桂环发〔2023〕9号）。</w:t>
      </w:r>
    </w:p>
    <w:p w14:paraId="5DF5EF1C">
      <w:pPr>
        <w:pStyle w:val="8"/>
        <w:rPr>
          <w:color w:val="auto"/>
          <w:highlight w:val="none"/>
          <w:lang w:val="zh-CN"/>
        </w:rPr>
      </w:pPr>
      <w:r>
        <w:rPr>
          <w:color w:val="auto"/>
          <w:highlight w:val="none"/>
          <w:lang w:val="zh-CN"/>
        </w:rPr>
        <w:t>（</w:t>
      </w:r>
      <w:r>
        <w:rPr>
          <w:rFonts w:hint="eastAsia"/>
          <w:color w:val="auto"/>
          <w:highlight w:val="none"/>
        </w:rPr>
        <w:t>2</w:t>
      </w:r>
      <w:r>
        <w:rPr>
          <w:color w:val="auto"/>
          <w:highlight w:val="none"/>
          <w:lang w:val="zh-CN"/>
        </w:rPr>
        <w:t>）与《钦州市海洋生态环境保护“十四五”规划（2021－2025年）》的符合性</w:t>
      </w:r>
    </w:p>
    <w:p w14:paraId="3EE2F544">
      <w:pPr>
        <w:widowControl/>
        <w:ind w:firstLine="480"/>
        <w:rPr>
          <w:color w:val="auto"/>
          <w:highlight w:val="none"/>
        </w:rPr>
      </w:pPr>
      <w:r>
        <w:rPr>
          <w:color w:val="auto"/>
          <w:highlight w:val="none"/>
        </w:rPr>
        <w:t>2022年10月24日钦州市人民政府办公室印发了《钦州市海洋生态环境保护“十四五”规划（2021－2025年）》，规划提出：“实施港口（渔港）船舶污染综合整治。加强钦州港码头和船舶修造厂等绿色岸电、环卫设施、污水处理设施建设使用，统一纳入沿海城市基础设施建设规划。完成钦州港1座污染物转运码头建设，配备船舶污染物岸上专用接收设施，提升污染物接收设施运营管理水平，落实港口船舶污染物接收、转运、处置联合监管机制，加强国际船舶压舱水接收和处理设施建设。配置完善渔港垃圾收集转运设施，及时收集、清理、转运并处置渔港及到港渔船产生的垃圾和废弃渔网渔具。”</w:t>
      </w:r>
    </w:p>
    <w:p w14:paraId="23E8015B">
      <w:pPr>
        <w:widowControl/>
        <w:ind w:firstLine="480"/>
        <w:rPr>
          <w:color w:val="auto"/>
          <w:highlight w:val="none"/>
        </w:rPr>
      </w:pPr>
      <w:r>
        <w:rPr>
          <w:color w:val="auto"/>
          <w:highlight w:val="none"/>
        </w:rPr>
        <w:t>项目</w:t>
      </w:r>
      <w:r>
        <w:rPr>
          <w:rFonts w:hint="eastAsia"/>
          <w:color w:val="auto"/>
          <w:highlight w:val="none"/>
          <w:lang w:eastAsia="zh-CN"/>
        </w:rPr>
        <w:t>位于</w:t>
      </w:r>
      <w:r>
        <w:rPr>
          <w:color w:val="auto"/>
          <w:highlight w:val="none"/>
        </w:rPr>
        <w:t>钦州港三墩作业区，本</w:t>
      </w:r>
      <w:r>
        <w:rPr>
          <w:rFonts w:hint="eastAsia"/>
          <w:color w:val="auto"/>
          <w:highlight w:val="none"/>
        </w:rPr>
        <w:t>项目技改</w:t>
      </w:r>
      <w:r>
        <w:rPr>
          <w:color w:val="auto"/>
          <w:highlight w:val="none"/>
        </w:rPr>
        <w:t>建设10万吨级浮船坞、</w:t>
      </w:r>
      <w:r>
        <w:rPr>
          <w:rFonts w:hint="eastAsia"/>
          <w:color w:val="auto"/>
          <w:highlight w:val="none"/>
        </w:rPr>
        <w:t>扩建</w:t>
      </w:r>
      <w:r>
        <w:rPr>
          <w:color w:val="auto"/>
          <w:highlight w:val="none"/>
        </w:rPr>
        <w:t>5#码头门座式起重机等设施。浮船坞上配备污水收集容器，在船舶上进行初步处理后</w:t>
      </w:r>
      <w:r>
        <w:rPr>
          <w:rFonts w:hint="eastAsia"/>
          <w:color w:val="auto"/>
          <w:highlight w:val="none"/>
        </w:rPr>
        <w:t>采用罐车运至</w:t>
      </w:r>
      <w:r>
        <w:rPr>
          <w:color w:val="auto"/>
          <w:highlight w:val="none"/>
        </w:rPr>
        <w:t>钦州基地现有</w:t>
      </w:r>
      <w:r>
        <w:rPr>
          <w:rFonts w:hint="eastAsia"/>
          <w:color w:val="auto"/>
          <w:highlight w:val="none"/>
        </w:rPr>
        <w:t>污水处理设施</w:t>
      </w:r>
      <w:r>
        <w:rPr>
          <w:color w:val="auto"/>
          <w:highlight w:val="none"/>
        </w:rPr>
        <w:t>处理，</w:t>
      </w:r>
      <w:r>
        <w:rPr>
          <w:rFonts w:hint="eastAsia"/>
          <w:color w:val="auto"/>
          <w:highlight w:val="none"/>
        </w:rPr>
        <w:t>大部分回用，少部分不能回用的</w:t>
      </w:r>
      <w:r>
        <w:rPr>
          <w:color w:val="auto"/>
          <w:highlight w:val="none"/>
        </w:rPr>
        <w:t>定期由槽罐车运至大榄坪污水处理厂做进一步处理，不在项目区域海域排放。项目建设与《钦州市海洋生态环境保护“十四五”规划（2021－2025年）》的要求相符。</w:t>
      </w:r>
    </w:p>
    <w:p w14:paraId="1688B6C2">
      <w:pPr>
        <w:pStyle w:val="7"/>
        <w:numPr>
          <w:ilvl w:val="0"/>
          <w:numId w:val="7"/>
        </w:numPr>
        <w:rPr>
          <w:color w:val="auto"/>
          <w:sz w:val="28"/>
          <w:highlight w:val="none"/>
        </w:rPr>
      </w:pPr>
      <w:r>
        <w:rPr>
          <w:color w:val="auto"/>
          <w:sz w:val="28"/>
          <w:highlight w:val="none"/>
        </w:rPr>
        <w:t>与区域相关规划的符合性</w:t>
      </w:r>
    </w:p>
    <w:p w14:paraId="15D7FAE2">
      <w:pPr>
        <w:pStyle w:val="8"/>
        <w:rPr>
          <w:color w:val="auto"/>
          <w:highlight w:val="none"/>
          <w:lang w:val="zh-CN"/>
        </w:rPr>
      </w:pPr>
      <w:r>
        <w:rPr>
          <w:color w:val="auto"/>
          <w:highlight w:val="none"/>
          <w:lang w:val="zh-CN"/>
        </w:rPr>
        <w:t>（</w:t>
      </w:r>
      <w:r>
        <w:rPr>
          <w:color w:val="auto"/>
          <w:highlight w:val="none"/>
        </w:rPr>
        <w:t>1</w:t>
      </w:r>
      <w:r>
        <w:rPr>
          <w:color w:val="auto"/>
          <w:highlight w:val="none"/>
          <w:lang w:val="zh-CN"/>
        </w:rPr>
        <w:t>）与《北部湾港总体规划（2035年）》的符合性</w:t>
      </w:r>
    </w:p>
    <w:p w14:paraId="19C071BE">
      <w:pPr>
        <w:widowControl/>
        <w:ind w:firstLine="480"/>
        <w:rPr>
          <w:color w:val="auto"/>
          <w:highlight w:val="none"/>
        </w:rPr>
      </w:pPr>
      <w:r>
        <w:rPr>
          <w:color w:val="auto"/>
          <w:highlight w:val="none"/>
        </w:rPr>
        <w:t>《北部湾港总体规划（2035年）》于2023年1月6日通过交通运输部、广西壮族自治区人民政府联合审查。《北部湾港总体规划（2035年）》根据各港区现状基础、区位条件、发展潜力和北部湾港的性质功能，以及主要运输系统港口布局结论，全港规划形成“一港三域五核五区多港点”的总体格局</w:t>
      </w:r>
      <w:r>
        <w:rPr>
          <w:rFonts w:hint="eastAsia"/>
          <w:color w:val="auto"/>
          <w:highlight w:val="none"/>
        </w:rPr>
        <w:t>。</w:t>
      </w:r>
    </w:p>
    <w:p w14:paraId="06D83E00">
      <w:pPr>
        <w:widowControl/>
        <w:ind w:firstLine="480"/>
        <w:rPr>
          <w:color w:val="auto"/>
          <w:highlight w:val="none"/>
        </w:rPr>
      </w:pPr>
      <w:r>
        <w:rPr>
          <w:color w:val="auto"/>
          <w:highlight w:val="none"/>
        </w:rPr>
        <w:t>本项目位于三墩港区，根据规划</w:t>
      </w:r>
      <w:r>
        <w:rPr>
          <w:rFonts w:hint="eastAsia"/>
          <w:color w:val="auto"/>
          <w:highlight w:val="none"/>
        </w:rPr>
        <w:t>，</w:t>
      </w:r>
      <w:r>
        <w:rPr>
          <w:color w:val="auto"/>
          <w:highlight w:val="none"/>
        </w:rPr>
        <w:t>三墩港区位于大榄坪港区南侧，是钦州港域集装箱发展的拓展区，同时服务于规划的三墩石化园区和海工及修造船项目的发展，规划以集装箱和原油、油品和液体化工品运输为主，兼顾散杂货运输。</w:t>
      </w:r>
    </w:p>
    <w:p w14:paraId="30CF2D6A">
      <w:pPr>
        <w:widowControl/>
        <w:ind w:firstLine="480"/>
        <w:rPr>
          <w:color w:val="auto"/>
          <w:highlight w:val="none"/>
        </w:rPr>
      </w:pPr>
      <w:r>
        <w:rPr>
          <w:rFonts w:hint="eastAsia"/>
          <w:color w:val="auto"/>
          <w:highlight w:val="none"/>
        </w:rPr>
        <w:t>本项目位于</w:t>
      </w:r>
      <w:r>
        <w:rPr>
          <w:color w:val="auto"/>
          <w:highlight w:val="none"/>
        </w:rPr>
        <w:t>三墩港区</w:t>
      </w:r>
      <w:r>
        <w:rPr>
          <w:rFonts w:hint="eastAsia"/>
          <w:color w:val="auto"/>
          <w:highlight w:val="none"/>
        </w:rPr>
        <w:t>的海工装备配套码头区（见附图10），</w:t>
      </w:r>
      <w:r>
        <w:rPr>
          <w:color w:val="auto"/>
          <w:highlight w:val="none"/>
        </w:rPr>
        <w:t>本项目建成后，可使钦州基地具备年修理和改造10万吨级以下各类船舶90艘/年的能力，并兼顾地区JP维修保障能力。本工程功能定位符合《北部湾港总体规划（2035）》。</w:t>
      </w:r>
    </w:p>
    <w:p w14:paraId="170E03D1">
      <w:pPr>
        <w:pStyle w:val="91"/>
        <w:ind w:left="480" w:firstLine="480"/>
        <w:rPr>
          <w:rFonts w:ascii="Times New Roman" w:hAnsi="Times New Roman" w:cs="Times New Roman"/>
          <w:color w:val="auto"/>
          <w:sz w:val="24"/>
          <w:highlight w:val="none"/>
        </w:rPr>
      </w:pPr>
    </w:p>
    <w:p w14:paraId="0FB52745">
      <w:pPr>
        <w:pStyle w:val="90"/>
        <w:ind w:firstLine="240"/>
        <w:rPr>
          <w:color w:val="auto"/>
          <w:highlight w:val="none"/>
        </w:rPr>
      </w:pPr>
    </w:p>
    <w:p w14:paraId="33B03A57">
      <w:pPr>
        <w:pStyle w:val="8"/>
        <w:rPr>
          <w:color w:val="auto"/>
          <w:highlight w:val="none"/>
        </w:rPr>
      </w:pPr>
      <w:r>
        <w:rPr>
          <w:rFonts w:hint="eastAsia"/>
          <w:color w:val="auto"/>
          <w:highlight w:val="none"/>
        </w:rPr>
        <w:t>（2）与《中国（广西）自由贸易试验区钦州港片区国土空间分区规划（2023-2035年）》相符性分析</w:t>
      </w:r>
    </w:p>
    <w:p w14:paraId="0ABADEE5">
      <w:pPr>
        <w:pStyle w:val="90"/>
        <w:spacing w:after="0"/>
        <w:ind w:firstLine="482" w:firstLineChars="200"/>
        <w:rPr>
          <w:b/>
          <w:bCs/>
          <w:color w:val="auto"/>
          <w:highlight w:val="none"/>
        </w:rPr>
      </w:pPr>
      <w:r>
        <w:rPr>
          <w:rFonts w:hint="eastAsia"/>
          <w:b/>
          <w:bCs/>
          <w:color w:val="auto"/>
          <w:highlight w:val="none"/>
        </w:rPr>
        <w:t>①规划范围</w:t>
      </w:r>
    </w:p>
    <w:p w14:paraId="3E05AF03">
      <w:pPr>
        <w:pStyle w:val="90"/>
        <w:spacing w:after="0"/>
        <w:ind w:firstLine="480" w:firstLineChars="200"/>
        <w:rPr>
          <w:color w:val="auto"/>
          <w:highlight w:val="none"/>
        </w:rPr>
      </w:pPr>
      <w:r>
        <w:rPr>
          <w:rFonts w:hint="eastAsia"/>
          <w:color w:val="auto"/>
          <w:highlight w:val="none"/>
        </w:rPr>
        <w:t>规划范围为钦州港片区管辖范围，总面积：26209.41公顷。其中，陆域面积16286.65公顷，海域面积9922.75公顷。规划范围内城镇开发边界面积为7765.93公顷。</w:t>
      </w:r>
    </w:p>
    <w:p w14:paraId="7B17EC4A">
      <w:pPr>
        <w:pStyle w:val="90"/>
        <w:spacing w:after="0"/>
        <w:ind w:firstLine="482" w:firstLineChars="200"/>
        <w:rPr>
          <w:b/>
          <w:bCs/>
          <w:color w:val="auto"/>
          <w:highlight w:val="none"/>
        </w:rPr>
      </w:pPr>
      <w:r>
        <w:rPr>
          <w:rFonts w:hint="eastAsia"/>
          <w:b/>
          <w:bCs/>
          <w:color w:val="auto"/>
          <w:highlight w:val="none"/>
        </w:rPr>
        <w:t>②发展定位</w:t>
      </w:r>
    </w:p>
    <w:p w14:paraId="5FD0C9CB">
      <w:pPr>
        <w:pStyle w:val="90"/>
        <w:spacing w:after="0"/>
        <w:ind w:firstLine="480" w:firstLineChars="200"/>
        <w:rPr>
          <w:color w:val="auto"/>
          <w:highlight w:val="none"/>
        </w:rPr>
      </w:pPr>
      <w:r>
        <w:rPr>
          <w:rFonts w:hint="eastAsia"/>
          <w:color w:val="auto"/>
          <w:highlight w:val="none"/>
        </w:rPr>
        <w:t>国际重要航运中心和贸易平台。以中国（广西）自由贸易试验区钦州港片区为主导，统筹钦州综合保税区、中马钦州产业园区、北部湾集装箱干线港等众多国家和区域战略平台的政策优势，持续不断提升对外开放水平，建成国际重要航运中心和贸易平台。</w:t>
      </w:r>
    </w:p>
    <w:p w14:paraId="67DA54C6">
      <w:pPr>
        <w:pStyle w:val="90"/>
        <w:spacing w:after="0"/>
        <w:ind w:firstLine="480" w:firstLineChars="200"/>
        <w:rPr>
          <w:color w:val="auto"/>
          <w:highlight w:val="none"/>
        </w:rPr>
      </w:pPr>
      <w:r>
        <w:rPr>
          <w:rFonts w:hint="eastAsia"/>
          <w:color w:val="auto"/>
          <w:highlight w:val="none"/>
        </w:rPr>
        <w:t>国家重要的沿边临港产业园区。打造西南沿海地区最大的能源化工基地以及全国重要的原油、煤炭等战略性资源能源保障基地，壮大以石化化工、装备制造为核心临港产业体系，建设现代化的国家沿边临港产业园区。</w:t>
      </w:r>
    </w:p>
    <w:p w14:paraId="3DF31C93">
      <w:pPr>
        <w:pStyle w:val="90"/>
        <w:spacing w:after="0"/>
        <w:ind w:firstLine="480" w:firstLineChars="200"/>
        <w:rPr>
          <w:color w:val="auto"/>
          <w:highlight w:val="none"/>
        </w:rPr>
      </w:pPr>
      <w:r>
        <w:rPr>
          <w:rFonts w:hint="eastAsia"/>
          <w:color w:val="auto"/>
          <w:highlight w:val="none"/>
        </w:rPr>
        <w:t>向海经济示范区。以西部陆海新通道、平陆运河经济带、粤港澳大湾区战略腹地为支撑，突出钦州港片区“港口枢纽”的向海经济发展优势，构建跨区域产业供应链，推动钦州向海经济高质量发展。</w:t>
      </w:r>
    </w:p>
    <w:p w14:paraId="329C1BC7">
      <w:pPr>
        <w:pStyle w:val="90"/>
        <w:spacing w:after="0"/>
        <w:ind w:firstLine="480" w:firstLineChars="200"/>
        <w:rPr>
          <w:color w:val="auto"/>
          <w:highlight w:val="none"/>
        </w:rPr>
      </w:pPr>
      <w:r>
        <w:rPr>
          <w:rFonts w:hint="eastAsia"/>
          <w:color w:val="auto"/>
          <w:highlight w:val="none"/>
        </w:rPr>
        <w:t>国内国际双循环市场经营便利的门户港。对标国际高标准经贸规则，推动制度型开放，深化拓展与东盟国家在商贸、劳务、产业、科技、教育等领域合作，大力提升投资、贸易、消费、资金流动、人员往来、物流畅通等便利化水平，积极服务建设中国—东盟命运共同体，在促进国内国际双循环中发挥更大作用，打造市场经营便利的门户港。</w:t>
      </w:r>
    </w:p>
    <w:p w14:paraId="29E27C1C">
      <w:pPr>
        <w:pStyle w:val="90"/>
        <w:spacing w:after="0"/>
        <w:ind w:firstLine="482" w:firstLineChars="200"/>
        <w:rPr>
          <w:b/>
          <w:bCs/>
          <w:color w:val="auto"/>
          <w:highlight w:val="none"/>
        </w:rPr>
      </w:pPr>
      <w:r>
        <w:rPr>
          <w:rFonts w:hint="eastAsia"/>
          <w:b/>
          <w:bCs/>
          <w:color w:val="auto"/>
          <w:highlight w:val="none"/>
        </w:rPr>
        <w:t>③规划目标</w:t>
      </w:r>
    </w:p>
    <w:p w14:paraId="70BFF757">
      <w:pPr>
        <w:pStyle w:val="90"/>
        <w:spacing w:after="0"/>
        <w:ind w:firstLine="480" w:firstLineChars="200"/>
        <w:rPr>
          <w:color w:val="auto"/>
          <w:highlight w:val="none"/>
        </w:rPr>
      </w:pPr>
      <w:r>
        <w:rPr>
          <w:rFonts w:hint="eastAsia"/>
          <w:color w:val="auto"/>
          <w:highlight w:val="none"/>
        </w:rPr>
        <w:t>到2030年，钦州港片区完成整合建设。实现“国际门户港、自贸试验区、绿色石化园、滨海运河城”近期建设目标，形成绿色石化、化纤纺织服装、电子信息、生物医药、海洋装备制造、新能源材料及新能源汽车零部件六大产业集群。</w:t>
      </w:r>
    </w:p>
    <w:p w14:paraId="0F80B527">
      <w:pPr>
        <w:pStyle w:val="90"/>
        <w:spacing w:after="0"/>
        <w:ind w:firstLine="480" w:firstLineChars="200"/>
        <w:rPr>
          <w:color w:val="auto"/>
          <w:highlight w:val="none"/>
        </w:rPr>
      </w:pPr>
      <w:r>
        <w:rPr>
          <w:rFonts w:hint="eastAsia"/>
          <w:color w:val="auto"/>
          <w:highlight w:val="none"/>
        </w:rPr>
        <w:t>到2035年，全面建成“港产城”融合的国际自由贸易产业新区。更高水平上实现“国际门户港、自贸试验区、绿色石化园、滨海运河城”的发展愿景，建成有竞争力的现代化经济体系。成为面向东盟、服务“一带一路”、连接国内国际“双循环”新发展格局中的全国沿海重要城市；国际性交通枢纽基本建立，成为西部陆海新通道的重要枢纽城市。</w:t>
      </w:r>
    </w:p>
    <w:p w14:paraId="57B2460D">
      <w:pPr>
        <w:pStyle w:val="90"/>
        <w:spacing w:after="0"/>
        <w:ind w:firstLine="480" w:firstLineChars="200"/>
        <w:rPr>
          <w:color w:val="auto"/>
          <w:highlight w:val="none"/>
        </w:rPr>
      </w:pPr>
      <w:r>
        <w:rPr>
          <w:rFonts w:hint="eastAsia"/>
          <w:color w:val="auto"/>
          <w:highlight w:val="none"/>
        </w:rPr>
        <w:t>展望2050年，面向东盟的社会主义现代化滨海运河门户港全面建成，形成“江铁海”联动的现代化临港产业新城，各项经济社会发展指标达到国内领先水平，国土空间治理体系和治理能力实现现代化，全球链接能力显著提高。</w:t>
      </w:r>
    </w:p>
    <w:p w14:paraId="6D3632FE">
      <w:pPr>
        <w:pStyle w:val="90"/>
        <w:spacing w:after="0"/>
        <w:ind w:firstLine="482" w:firstLineChars="200"/>
        <w:rPr>
          <w:b/>
          <w:bCs/>
          <w:color w:val="auto"/>
          <w:highlight w:val="none"/>
        </w:rPr>
      </w:pPr>
      <w:r>
        <w:rPr>
          <w:rFonts w:hint="eastAsia"/>
          <w:b/>
          <w:bCs/>
          <w:color w:val="auto"/>
          <w:highlight w:val="none"/>
        </w:rPr>
        <w:t>④产业体系</w:t>
      </w:r>
    </w:p>
    <w:p w14:paraId="534F250C">
      <w:pPr>
        <w:pStyle w:val="90"/>
        <w:spacing w:after="0"/>
        <w:ind w:firstLine="480" w:firstLineChars="200"/>
        <w:rPr>
          <w:color w:val="auto"/>
          <w:highlight w:val="none"/>
        </w:rPr>
      </w:pPr>
      <w:r>
        <w:rPr>
          <w:rFonts w:hint="eastAsia"/>
          <w:color w:val="auto"/>
          <w:highlight w:val="none"/>
        </w:rPr>
        <w:t>聚焦发展绿色石化、航港物流二大战略主导产业，重点发展化纤纺织服装、电子信息、生物医药、海洋装备制造、新能源材料及新能源汽车零部件五大重点培育产业，提升发展林浆纸加工、粮油食品产业。</w:t>
      </w:r>
    </w:p>
    <w:p w14:paraId="1E4D110F">
      <w:pPr>
        <w:pStyle w:val="90"/>
        <w:spacing w:after="0"/>
        <w:ind w:firstLine="482" w:firstLineChars="200"/>
        <w:rPr>
          <w:b/>
          <w:bCs/>
          <w:color w:val="auto"/>
          <w:highlight w:val="none"/>
        </w:rPr>
      </w:pPr>
      <w:r>
        <w:rPr>
          <w:rFonts w:hint="eastAsia"/>
          <w:b/>
          <w:bCs/>
          <w:color w:val="auto"/>
          <w:highlight w:val="none"/>
        </w:rPr>
        <w:t>⑤空间结构</w:t>
      </w:r>
    </w:p>
    <w:p w14:paraId="0D941BCF">
      <w:pPr>
        <w:pStyle w:val="90"/>
        <w:spacing w:after="0"/>
        <w:ind w:firstLine="480" w:firstLineChars="200"/>
        <w:rPr>
          <w:color w:val="auto"/>
          <w:highlight w:val="none"/>
        </w:rPr>
      </w:pPr>
      <w:r>
        <w:rPr>
          <w:rFonts w:hint="eastAsia"/>
          <w:color w:val="auto"/>
          <w:highlight w:val="none"/>
        </w:rPr>
        <w:t>坚持产城融合的发展理念，整体以金鼓江海湾为核心，向两翼伸展形成东西港发展轴，将西港区（绿色石化园）、内湾区（生活区）、东港区（中马产业园、东港产业区、保税物流区、临港产业区）三区进行串联融合，形成以城市公服为基础、以产业为保障的蓝绿环绕的港航产城空间。整体构建港区“一湾环聚、两翼伸展、三区融合”的发展格局，形成“双轴三核一廊道，三区两心一岸线”的空间发展结构。</w:t>
      </w:r>
    </w:p>
    <w:p w14:paraId="05FB7FE3">
      <w:pPr>
        <w:pStyle w:val="38"/>
        <w:spacing w:after="0"/>
        <w:ind w:firstLine="480"/>
        <w:rPr>
          <w:color w:val="auto"/>
          <w:szCs w:val="28"/>
          <w:highlight w:val="none"/>
          <w:u w:val="single"/>
        </w:rPr>
      </w:pPr>
      <w:r>
        <w:rPr>
          <w:rFonts w:hint="eastAsia"/>
          <w:color w:val="auto"/>
          <w:highlight w:val="none"/>
          <w:u w:val="single"/>
        </w:rPr>
        <w:t>本项目位于钦州基地内，根据产业布局规划，属于海洋装备制造产业区，本项目建设，在充分利用钦州基地现有设施的基础上，补充建设10万吨级浮船坞、5#码头门座式起重机等设施，使得钦州基地具备年修理和改造10万吨级以下各类船舶90艘/年的能力，并兼顾地区JP维修保障能力。与项目所在区域产业规划相符。因此本项目的建设符合</w:t>
      </w:r>
      <w:r>
        <w:rPr>
          <w:rFonts w:hint="eastAsia"/>
          <w:color w:val="auto"/>
          <w:szCs w:val="28"/>
          <w:highlight w:val="none"/>
          <w:u w:val="single"/>
        </w:rPr>
        <w:t>《中国（广西）自由贸易试验区钦州港片区国土空间分区规划（2023-2035年）》。</w:t>
      </w:r>
    </w:p>
    <w:p w14:paraId="1C65D6F9">
      <w:pPr>
        <w:pStyle w:val="8"/>
        <w:rPr>
          <w:color w:val="auto"/>
          <w:highlight w:val="none"/>
          <w:u w:val="single"/>
        </w:rPr>
      </w:pPr>
      <w:r>
        <w:rPr>
          <w:rFonts w:hint="eastAsia"/>
          <w:color w:val="auto"/>
          <w:highlight w:val="none"/>
          <w:u w:val="single"/>
        </w:rPr>
        <w:t>（3）与《钦州市养殖水域滩涂规划》（2025-2035年）符合性</w:t>
      </w:r>
    </w:p>
    <w:p w14:paraId="09F4C815">
      <w:pPr>
        <w:pStyle w:val="38"/>
        <w:spacing w:after="0"/>
        <w:ind w:firstLine="480"/>
        <w:rPr>
          <w:color w:val="auto"/>
          <w:szCs w:val="28"/>
          <w:highlight w:val="none"/>
          <w:u w:val="single"/>
        </w:rPr>
      </w:pPr>
      <w:r>
        <w:rPr>
          <w:rFonts w:hint="eastAsia"/>
          <w:color w:val="auto"/>
          <w:szCs w:val="28"/>
          <w:highlight w:val="none"/>
          <w:u w:val="single"/>
        </w:rPr>
        <w:t>根据《钦州市养殖水域滩涂规划》（2025-2035年）：养殖水域滩涂功能区划分一级、二级和三级功能区。一级功能区包括禁止养殖区、限制养殖区和养殖区。禁止养殖区是指县级以上人民政府划定的禁止任何单位和个人开展水产养殖活动的区域；限制养殖区是县级以上人民政府划定的限定水产养殖规模和规定废物排放标准的区域；养殖区是县级以上人民政府划定的禁养区和限养区以外可开展水产养殖生产活动的其他水域滩涂区域。规划中，禁养区划分2个二级功能区，5个三级功能区；限养区分为2个二级功能区，4个三级功能区；养殖区按不同水域分为2个二级功能区，8个三级功能区。</w:t>
      </w:r>
    </w:p>
    <w:p w14:paraId="0EAC74E5">
      <w:pPr>
        <w:pStyle w:val="38"/>
        <w:spacing w:after="0"/>
        <w:ind w:firstLine="480"/>
        <w:rPr>
          <w:color w:val="auto"/>
          <w:szCs w:val="28"/>
          <w:highlight w:val="none"/>
          <w:u w:val="single"/>
        </w:rPr>
      </w:pPr>
      <w:r>
        <w:rPr>
          <w:rFonts w:hint="eastAsia"/>
          <w:color w:val="auto"/>
          <w:szCs w:val="28"/>
          <w:highlight w:val="none"/>
          <w:u w:val="single"/>
        </w:rPr>
        <w:t>根据钦州市养殖水域滩涂规划图，本项目所在海域位于1禁止养殖区-1.2公共设施安全禁养区-1.2.1港口、航道禁养区中的1.2.1-3三墩自贸区港口禁养区（见附图9），根据规划，禁止养殖区管理措施为：</w:t>
      </w:r>
    </w:p>
    <w:p w14:paraId="090D2F90">
      <w:pPr>
        <w:pStyle w:val="38"/>
        <w:spacing w:after="0"/>
        <w:ind w:firstLine="480"/>
        <w:rPr>
          <w:color w:val="auto"/>
          <w:szCs w:val="28"/>
          <w:highlight w:val="none"/>
          <w:u w:val="single"/>
        </w:rPr>
      </w:pPr>
      <w:r>
        <w:rPr>
          <w:rFonts w:hint="eastAsia"/>
          <w:color w:val="auto"/>
          <w:szCs w:val="28"/>
          <w:highlight w:val="none"/>
          <w:u w:val="single"/>
        </w:rPr>
        <w:t>（一）严格执行有关法律法规，禁养区内严禁新建任何水产养殖设施，已有的水产养殖设施由本级人民政府及相关部门负责限期搬迁或关停。</w:t>
      </w:r>
    </w:p>
    <w:p w14:paraId="59E66DE5">
      <w:pPr>
        <w:pStyle w:val="38"/>
        <w:spacing w:after="0"/>
        <w:ind w:firstLine="480"/>
        <w:rPr>
          <w:color w:val="auto"/>
          <w:szCs w:val="28"/>
          <w:highlight w:val="none"/>
          <w:u w:val="single"/>
        </w:rPr>
      </w:pPr>
      <w:r>
        <w:rPr>
          <w:rFonts w:hint="eastAsia"/>
          <w:color w:val="auto"/>
          <w:szCs w:val="28"/>
          <w:highlight w:val="none"/>
          <w:u w:val="single"/>
        </w:rPr>
        <w:t>（二）加强禁养区内水域生态系统保护，开展受损系统的恢复和修复，防止水生生物退化和生物多样性降低。重点保护中华白海豚栖息环境。</w:t>
      </w:r>
    </w:p>
    <w:p w14:paraId="7812C813">
      <w:pPr>
        <w:pStyle w:val="38"/>
        <w:spacing w:after="0"/>
        <w:ind w:firstLine="480"/>
        <w:rPr>
          <w:color w:val="auto"/>
          <w:szCs w:val="28"/>
          <w:highlight w:val="none"/>
          <w:u w:val="single"/>
        </w:rPr>
      </w:pPr>
      <w:r>
        <w:rPr>
          <w:rFonts w:hint="eastAsia"/>
          <w:color w:val="auto"/>
          <w:szCs w:val="28"/>
          <w:highlight w:val="none"/>
          <w:u w:val="single"/>
        </w:rPr>
        <w:t>（三）加强禁养区水质监控。禁养区水域水质执行该区域有关功能的水质标准。</w:t>
      </w:r>
    </w:p>
    <w:p w14:paraId="03927199">
      <w:pPr>
        <w:pStyle w:val="38"/>
        <w:spacing w:after="0"/>
        <w:ind w:firstLine="480"/>
        <w:rPr>
          <w:color w:val="auto"/>
          <w:szCs w:val="28"/>
          <w:highlight w:val="none"/>
          <w:u w:val="single"/>
        </w:rPr>
      </w:pPr>
      <w:r>
        <w:rPr>
          <w:rFonts w:hint="eastAsia"/>
          <w:color w:val="auto"/>
          <w:szCs w:val="28"/>
          <w:highlight w:val="none"/>
          <w:u w:val="single"/>
        </w:rPr>
        <w:t>（四）严禁向禁养区内水域滩涂排放生活污水、工业污水、船舶污水和固体垃圾及固体废物。</w:t>
      </w:r>
    </w:p>
    <w:p w14:paraId="241CB541">
      <w:pPr>
        <w:pStyle w:val="38"/>
        <w:spacing w:after="0"/>
        <w:ind w:firstLine="480"/>
        <w:rPr>
          <w:color w:val="auto"/>
          <w:szCs w:val="28"/>
          <w:highlight w:val="none"/>
          <w:u w:val="single"/>
        </w:rPr>
      </w:pPr>
      <w:r>
        <w:rPr>
          <w:rFonts w:hint="eastAsia"/>
          <w:color w:val="auto"/>
          <w:szCs w:val="28"/>
          <w:highlight w:val="none"/>
          <w:u w:val="single"/>
        </w:rPr>
        <w:t>（五）禁止在禁养区进行炸鱼、毒鱼、电鱼等破坏渔业资源的活动。</w:t>
      </w:r>
    </w:p>
    <w:p w14:paraId="7C623AB4">
      <w:pPr>
        <w:pStyle w:val="38"/>
        <w:spacing w:after="0"/>
        <w:ind w:firstLine="480"/>
        <w:rPr>
          <w:color w:val="auto"/>
          <w:szCs w:val="28"/>
          <w:highlight w:val="none"/>
          <w:u w:val="single"/>
        </w:rPr>
      </w:pPr>
      <w:r>
        <w:rPr>
          <w:rFonts w:hint="eastAsia"/>
          <w:color w:val="auto"/>
          <w:szCs w:val="28"/>
          <w:highlight w:val="none"/>
          <w:u w:val="single"/>
        </w:rPr>
        <w:t>本项目职工生活污水和初期雨水依托现有生活污水处理设备处理后进入配套的回用水池内储存，大部分回用，少部分采用罐车运至大榄坪污水处理厂做进一步处理；项目浮船坞修船产生的含油污水进入厂区现有废水处理站处理后通过污水管网进入生活污水处理设备配套的回用水池内储存，大部分回用，少部分定期由槽罐车运至大榄坪污水处理厂做进一步处理；因此本项目产生的废水均不在项目区域排放；项目固体废物均得到妥善处理，不在项目区域排放；并通过采取各项环保措施，加强船舶通航管理、建立完善的风险防范措施和事故应急预案，防止对海洋环境造成污染，因此项目</w:t>
      </w:r>
      <w:r>
        <w:rPr>
          <w:rFonts w:hint="eastAsia"/>
          <w:color w:val="auto"/>
          <w:szCs w:val="28"/>
          <w:highlight w:val="none"/>
          <w:u w:val="single"/>
          <w:lang w:eastAsia="zh-CN"/>
        </w:rPr>
        <w:t>建设</w:t>
      </w:r>
      <w:r>
        <w:rPr>
          <w:rFonts w:hint="eastAsia"/>
          <w:color w:val="auto"/>
          <w:szCs w:val="28"/>
          <w:highlight w:val="none"/>
          <w:u w:val="single"/>
        </w:rPr>
        <w:t>与《钦州市养殖水域滩涂规划》（2025-2035年）相符。</w:t>
      </w:r>
    </w:p>
    <w:p w14:paraId="5F72FF27">
      <w:pPr>
        <w:pStyle w:val="7"/>
        <w:numPr>
          <w:ilvl w:val="0"/>
          <w:numId w:val="7"/>
        </w:numPr>
        <w:rPr>
          <w:color w:val="auto"/>
          <w:sz w:val="28"/>
          <w:highlight w:val="none"/>
        </w:rPr>
      </w:pPr>
      <w:r>
        <w:rPr>
          <w:color w:val="auto"/>
          <w:sz w:val="28"/>
          <w:highlight w:val="none"/>
        </w:rPr>
        <w:t>与</w:t>
      </w:r>
      <w:r>
        <w:rPr>
          <w:rFonts w:hint="eastAsia"/>
          <w:color w:val="auto"/>
          <w:sz w:val="28"/>
          <w:highlight w:val="none"/>
        </w:rPr>
        <w:t>行业</w:t>
      </w:r>
      <w:r>
        <w:rPr>
          <w:color w:val="auto"/>
          <w:sz w:val="28"/>
          <w:highlight w:val="none"/>
        </w:rPr>
        <w:t>相关</w:t>
      </w:r>
      <w:r>
        <w:rPr>
          <w:rFonts w:hint="eastAsia"/>
          <w:color w:val="auto"/>
          <w:sz w:val="28"/>
          <w:highlight w:val="none"/>
        </w:rPr>
        <w:t>管理条例、治理方案</w:t>
      </w:r>
      <w:r>
        <w:rPr>
          <w:color w:val="auto"/>
          <w:sz w:val="28"/>
          <w:highlight w:val="none"/>
        </w:rPr>
        <w:t>的符合性</w:t>
      </w:r>
    </w:p>
    <w:p w14:paraId="59B36D6F">
      <w:pPr>
        <w:pStyle w:val="91"/>
        <w:adjustRightInd w:val="0"/>
        <w:snapToGrid w:val="0"/>
        <w:spacing w:after="0" w:line="360" w:lineRule="auto"/>
        <w:ind w:left="0" w:leftChars="0" w:firstLine="480"/>
        <w:rPr>
          <w:rFonts w:ascii="Times New Roman" w:hAnsi="Times New Roman" w:cs="Times New Roman"/>
          <w:color w:val="auto"/>
          <w:sz w:val="24"/>
          <w:highlight w:val="none"/>
        </w:rPr>
        <w:sectPr>
          <w:headerReference r:id="rId10" w:type="default"/>
          <w:footerReference r:id="rId11" w:type="default"/>
          <w:pgSz w:w="11906" w:h="16838"/>
          <w:pgMar w:top="1440" w:right="1701" w:bottom="1440" w:left="1701" w:header="851" w:footer="850" w:gutter="0"/>
          <w:cols w:space="0" w:num="1"/>
          <w:docGrid w:type="lines" w:linePitch="312" w:charSpace="0"/>
        </w:sectPr>
      </w:pPr>
      <w:r>
        <w:rPr>
          <w:rFonts w:hint="eastAsia" w:ascii="Times New Roman" w:hAnsi="Times New Roman" w:cs="Times New Roman"/>
          <w:color w:val="auto"/>
          <w:sz w:val="24"/>
          <w:highlight w:val="none"/>
        </w:rPr>
        <w:t>本项目与《船舶制造业绿色发展行动纲要（2024—2030 年）》、《防治船舶污染海洋环境管理条例》（国务院令第698号）等文件要求相符性见下表1~表2。</w:t>
      </w:r>
    </w:p>
    <w:p w14:paraId="537A153D">
      <w:pPr>
        <w:pStyle w:val="8"/>
        <w:rPr>
          <w:color w:val="auto"/>
          <w:highlight w:val="none"/>
          <w:lang w:val="zh-CN"/>
        </w:rPr>
      </w:pPr>
      <w:r>
        <w:rPr>
          <w:color w:val="auto"/>
          <w:highlight w:val="none"/>
          <w:lang w:val="zh-CN"/>
        </w:rPr>
        <w:t>（</w:t>
      </w:r>
      <w:r>
        <w:rPr>
          <w:rFonts w:hint="eastAsia"/>
          <w:color w:val="auto"/>
          <w:highlight w:val="none"/>
        </w:rPr>
        <w:t>1</w:t>
      </w:r>
      <w:r>
        <w:rPr>
          <w:color w:val="auto"/>
          <w:highlight w:val="none"/>
          <w:lang w:val="zh-CN"/>
        </w:rPr>
        <w:t>）与《</w:t>
      </w:r>
      <w:r>
        <w:rPr>
          <w:rFonts w:hint="eastAsia"/>
          <w:color w:val="auto"/>
          <w:highlight w:val="none"/>
          <w:lang w:val="zh-CN"/>
        </w:rPr>
        <w:t>船舶制造业绿色发展行动纲要（2024—2030 年）</w:t>
      </w:r>
      <w:r>
        <w:rPr>
          <w:color w:val="auto"/>
          <w:highlight w:val="none"/>
          <w:lang w:val="zh-CN"/>
        </w:rPr>
        <w:t>》符合性分析</w:t>
      </w:r>
    </w:p>
    <w:p w14:paraId="0D8D9DCE">
      <w:pPr>
        <w:topLinePunct w:val="0"/>
        <w:adjustRightInd/>
        <w:snapToGrid/>
        <w:spacing w:line="240" w:lineRule="auto"/>
        <w:ind w:firstLine="0" w:firstLineChars="0"/>
        <w:jc w:val="center"/>
        <w:rPr>
          <w:b/>
          <w:bCs/>
          <w:color w:val="auto"/>
          <w:sz w:val="21"/>
          <w:szCs w:val="21"/>
          <w:highlight w:val="none"/>
        </w:rPr>
      </w:pPr>
      <w:r>
        <w:rPr>
          <w:rFonts w:hint="eastAsia"/>
          <w:b/>
          <w:bCs/>
          <w:color w:val="auto"/>
          <w:sz w:val="21"/>
          <w:szCs w:val="21"/>
          <w:highlight w:val="none"/>
        </w:rPr>
        <w:t xml:space="preserve"> </w:t>
      </w:r>
      <w:r>
        <w:rPr>
          <w:rFonts w:hint="eastAsia"/>
          <w:b/>
          <w:bCs/>
          <w:color w:val="auto"/>
          <w:sz w:val="21"/>
          <w:szCs w:val="21"/>
          <w:highlight w:val="none"/>
          <w:lang w:val="zh-CN"/>
        </w:rPr>
        <w:t xml:space="preserve"> 表</w:t>
      </w:r>
      <w:r>
        <w:rPr>
          <w:rFonts w:hint="eastAsia"/>
          <w:b/>
          <w:bCs/>
          <w:color w:val="auto"/>
          <w:sz w:val="21"/>
          <w:szCs w:val="21"/>
          <w:highlight w:val="none"/>
        </w:rPr>
        <w:t>1 与《船舶制造业绿色发展行动纲要（2024—2030 年）》符合性分析（摘录适用条款）</w:t>
      </w:r>
    </w:p>
    <w:tbl>
      <w:tblPr>
        <w:tblStyle w:val="93"/>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09"/>
        <w:gridCol w:w="7790"/>
        <w:gridCol w:w="5226"/>
        <w:gridCol w:w="638"/>
      </w:tblGrid>
      <w:tr w14:paraId="75D7F9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0" w:type="pct"/>
            <w:tcBorders>
              <w:tl2br w:val="nil"/>
              <w:tr2bl w:val="nil"/>
            </w:tcBorders>
            <w:vAlign w:val="center"/>
          </w:tcPr>
          <w:p w14:paraId="0CEB96BF">
            <w:pPr>
              <w:tabs>
                <w:tab w:val="left" w:pos="808"/>
              </w:tabs>
              <w:spacing w:line="240" w:lineRule="auto"/>
              <w:ind w:left="-72" w:leftChars="-30" w:right="-72" w:rightChars="-30" w:firstLine="0" w:firstLineChars="0"/>
              <w:jc w:val="center"/>
              <w:rPr>
                <w:rFonts w:eastAsiaTheme="minorEastAsia"/>
                <w:b/>
                <w:bCs/>
                <w:color w:val="auto"/>
                <w:sz w:val="21"/>
                <w:highlight w:val="none"/>
              </w:rPr>
            </w:pPr>
            <w:r>
              <w:rPr>
                <w:rFonts w:hint="eastAsia" w:eastAsiaTheme="minorEastAsia"/>
                <w:b/>
                <w:bCs/>
                <w:color w:val="auto"/>
                <w:sz w:val="21"/>
                <w:highlight w:val="none"/>
              </w:rPr>
              <w:t>序号</w:t>
            </w:r>
          </w:p>
        </w:tc>
        <w:tc>
          <w:tcPr>
            <w:tcW w:w="2749" w:type="pct"/>
            <w:tcBorders>
              <w:tl2br w:val="nil"/>
              <w:tr2bl w:val="nil"/>
            </w:tcBorders>
            <w:vAlign w:val="center"/>
          </w:tcPr>
          <w:p w14:paraId="4502C5A0">
            <w:pPr>
              <w:tabs>
                <w:tab w:val="left" w:pos="808"/>
              </w:tabs>
              <w:spacing w:line="240" w:lineRule="auto"/>
              <w:ind w:left="-72" w:leftChars="-30" w:right="-72" w:rightChars="-30" w:firstLine="0" w:firstLineChars="0"/>
              <w:jc w:val="center"/>
              <w:rPr>
                <w:rFonts w:eastAsiaTheme="minorEastAsia"/>
                <w:b/>
                <w:bCs/>
                <w:color w:val="auto"/>
                <w:sz w:val="21"/>
                <w:highlight w:val="none"/>
              </w:rPr>
            </w:pPr>
            <w:r>
              <w:rPr>
                <w:rFonts w:eastAsiaTheme="minorEastAsia"/>
                <w:b/>
                <w:bCs/>
                <w:color w:val="auto"/>
                <w:sz w:val="21"/>
                <w:highlight w:val="none"/>
              </w:rPr>
              <w:t>内容或要求</w:t>
            </w:r>
          </w:p>
        </w:tc>
        <w:tc>
          <w:tcPr>
            <w:tcW w:w="1844" w:type="pct"/>
            <w:tcBorders>
              <w:tl2br w:val="nil"/>
              <w:tr2bl w:val="nil"/>
            </w:tcBorders>
            <w:vAlign w:val="center"/>
          </w:tcPr>
          <w:p w14:paraId="1664535C">
            <w:pPr>
              <w:tabs>
                <w:tab w:val="left" w:pos="808"/>
              </w:tabs>
              <w:spacing w:line="240" w:lineRule="auto"/>
              <w:ind w:left="-72" w:leftChars="-30" w:right="-72" w:rightChars="-30" w:firstLine="0" w:firstLineChars="0"/>
              <w:jc w:val="center"/>
              <w:rPr>
                <w:rFonts w:eastAsiaTheme="minorEastAsia"/>
                <w:b/>
                <w:bCs/>
                <w:color w:val="auto"/>
                <w:sz w:val="21"/>
                <w:highlight w:val="none"/>
              </w:rPr>
            </w:pPr>
            <w:r>
              <w:rPr>
                <w:rFonts w:eastAsiaTheme="minorEastAsia"/>
                <w:b/>
                <w:bCs/>
                <w:color w:val="auto"/>
                <w:sz w:val="21"/>
                <w:highlight w:val="none"/>
              </w:rPr>
              <w:t>项目情况</w:t>
            </w:r>
          </w:p>
        </w:tc>
        <w:tc>
          <w:tcPr>
            <w:tcW w:w="225" w:type="pct"/>
            <w:tcBorders>
              <w:tl2br w:val="nil"/>
              <w:tr2bl w:val="nil"/>
            </w:tcBorders>
            <w:vAlign w:val="center"/>
          </w:tcPr>
          <w:p w14:paraId="21DEA7CC">
            <w:pPr>
              <w:tabs>
                <w:tab w:val="left" w:pos="808"/>
              </w:tabs>
              <w:spacing w:line="240" w:lineRule="auto"/>
              <w:ind w:left="-72" w:leftChars="-30" w:right="-72" w:rightChars="-30" w:firstLine="0" w:firstLineChars="0"/>
              <w:jc w:val="center"/>
              <w:rPr>
                <w:rFonts w:eastAsiaTheme="minorEastAsia"/>
                <w:b/>
                <w:bCs/>
                <w:color w:val="auto"/>
                <w:sz w:val="21"/>
                <w:highlight w:val="none"/>
              </w:rPr>
            </w:pPr>
            <w:r>
              <w:rPr>
                <w:rFonts w:eastAsiaTheme="minorEastAsia"/>
                <w:b/>
                <w:bCs/>
                <w:color w:val="auto"/>
                <w:sz w:val="21"/>
                <w:highlight w:val="none"/>
              </w:rPr>
              <w:t>判定</w:t>
            </w:r>
          </w:p>
        </w:tc>
      </w:tr>
      <w:tr w14:paraId="562A4A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0" w:type="pct"/>
            <w:tcBorders>
              <w:tl2br w:val="nil"/>
              <w:tr2bl w:val="nil"/>
            </w:tcBorders>
            <w:vAlign w:val="center"/>
          </w:tcPr>
          <w:p w14:paraId="798B8CC5">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1</w:t>
            </w:r>
          </w:p>
        </w:tc>
        <w:tc>
          <w:tcPr>
            <w:tcW w:w="2749" w:type="pct"/>
            <w:tcBorders>
              <w:tl2br w:val="nil"/>
              <w:tr2bl w:val="nil"/>
            </w:tcBorders>
            <w:vAlign w:val="center"/>
          </w:tcPr>
          <w:p w14:paraId="79A469B5">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全面提升船舶绿色设计能力 。树立绿色产品设计理念，统筹考虑船舶产品的资源、能源、环境和产品属性，将节省资源、提高能效、降低碳排放、减少有毒有害物质使用等纳入船舶设计目标。完善绿色船舶产品设计方法，推动建立涵盖设计、制造、运营等环节的数字化协同设计体系。加强轻量化设计、模块大型化设计、无余量生产工艺和新材料应用等，优化船型、动力系统、节能技术装置等性能匹配。加强设计和制造协同仿真，探索船舶产品全生命周期仿真，提高船舶工业软件创新应用能力，从源头提升船舶制造、运营、修理、改装和拆解等环节的绿色化水平。</w:t>
            </w:r>
          </w:p>
        </w:tc>
        <w:tc>
          <w:tcPr>
            <w:tcW w:w="1844" w:type="pct"/>
            <w:tcBorders>
              <w:tl2br w:val="nil"/>
              <w:tr2bl w:val="nil"/>
            </w:tcBorders>
            <w:vAlign w:val="center"/>
          </w:tcPr>
          <w:p w14:paraId="3378469B">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项目坚持绿色产品设计理念，统筹考虑船舶产品的资源、能源、环境和产品属性，努力将节省资源、提高能效、降低碳排放、减少有毒有害物质使用等纳入船舶设计目标。</w:t>
            </w:r>
          </w:p>
          <w:p w14:paraId="283979E8">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项目完善绿色船舶产品设计方法，推动建立数字化协同设计体系。项目采用轻量化材料应用。项目从源头提升船舶制造、运营、修理、改装和拆解等环节的绿色化水平。</w:t>
            </w:r>
          </w:p>
        </w:tc>
        <w:tc>
          <w:tcPr>
            <w:tcW w:w="225" w:type="pct"/>
            <w:tcBorders>
              <w:tl2br w:val="nil"/>
              <w:tr2bl w:val="nil"/>
            </w:tcBorders>
            <w:vAlign w:val="center"/>
          </w:tcPr>
          <w:p w14:paraId="40068BB4">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符合</w:t>
            </w:r>
          </w:p>
        </w:tc>
      </w:tr>
      <w:tr w14:paraId="4E1546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0" w:type="pct"/>
            <w:tcBorders>
              <w:tl2br w:val="nil"/>
              <w:tr2bl w:val="nil"/>
            </w:tcBorders>
            <w:vAlign w:val="center"/>
          </w:tcPr>
          <w:p w14:paraId="2F82000A">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2</w:t>
            </w:r>
          </w:p>
        </w:tc>
        <w:tc>
          <w:tcPr>
            <w:tcW w:w="2749" w:type="pct"/>
            <w:tcBorders>
              <w:tl2br w:val="nil"/>
              <w:tr2bl w:val="nil"/>
            </w:tcBorders>
            <w:vAlign w:val="center"/>
          </w:tcPr>
          <w:p w14:paraId="29484F22">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加快绿色动力系统研发应用。实施船舶动力创新工程，提升传统燃油、LNG船用发动机效率，稳步扩大LNG船用发动机市场应用规模；推进甲醇、氨燃料等低碳零碳燃料船用发动机核心技术攻关，形成全功率谱系甲醇和氨燃料发动机研制能力，实现规模示范效应；积极稳妥扩大燃料电池、动力电池在船舶的应用范围；兼顾液化石油气（LPG）、生物柴油、乙醇等燃料船用发动机发展，开展氢燃料船用发动机技术研发，满足航运市场多元化绿色低碳发展需求。加快新能源燃料供给系统、尾气后处理系统、污染物排放监控系统等研发应用。</w:t>
            </w:r>
          </w:p>
        </w:tc>
        <w:tc>
          <w:tcPr>
            <w:tcW w:w="1844" w:type="pct"/>
            <w:tcBorders>
              <w:tl2br w:val="nil"/>
              <w:tr2bl w:val="nil"/>
            </w:tcBorders>
            <w:vAlign w:val="center"/>
          </w:tcPr>
          <w:p w14:paraId="56109A7A">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项目实施船舶动力创新工程，提升传统燃油船用发动机效率</w:t>
            </w:r>
          </w:p>
        </w:tc>
        <w:tc>
          <w:tcPr>
            <w:tcW w:w="225" w:type="pct"/>
            <w:tcBorders>
              <w:tl2br w:val="nil"/>
              <w:tr2bl w:val="nil"/>
            </w:tcBorders>
            <w:vAlign w:val="center"/>
          </w:tcPr>
          <w:p w14:paraId="56030CF7">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符合</w:t>
            </w:r>
          </w:p>
        </w:tc>
      </w:tr>
      <w:tr w14:paraId="100641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0" w:type="pct"/>
            <w:tcBorders>
              <w:tl2br w:val="nil"/>
              <w:tr2bl w:val="nil"/>
            </w:tcBorders>
            <w:vAlign w:val="center"/>
          </w:tcPr>
          <w:p w14:paraId="2150F090">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3</w:t>
            </w:r>
          </w:p>
        </w:tc>
        <w:tc>
          <w:tcPr>
            <w:tcW w:w="2749" w:type="pct"/>
            <w:tcBorders>
              <w:tl2br w:val="nil"/>
              <w:tr2bl w:val="nil"/>
            </w:tcBorders>
            <w:vAlign w:val="center"/>
          </w:tcPr>
          <w:p w14:paraId="392994F0">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推动船用配套设备绿色升级 。提升传统船用电力电气设备、舱室设备、甲板机械、环保设备等主要用能设备的能效水平。加快水动力节能、轴带发电、风力助推、太阳能发电、空气减阻、余热利用等船用节能低碳技术的研发应用。加强船用碳捕集装置、船舶生物污底清除装置、仿生防污减阻涂层材料等新型船用环保设备及材料研发应用。加强油污水、生活污水、生活垃圾等船舶污染物处理设备研发应用。加强新型绿色船用设备的质量和可靠性试验验证，加快市场推广。</w:t>
            </w:r>
          </w:p>
        </w:tc>
        <w:tc>
          <w:tcPr>
            <w:tcW w:w="1844" w:type="pct"/>
            <w:tcBorders>
              <w:tl2br w:val="nil"/>
              <w:tr2bl w:val="nil"/>
            </w:tcBorders>
            <w:vAlign w:val="center"/>
          </w:tcPr>
          <w:p w14:paraId="0B437FC0">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项目提升传统船用电力电气设备、舱室设备、甲板机械、环保设备等主要用能设备的能效水平。加强油污水、生活污水、生活垃圾等船舶污染物处理设备研发应用。加强新型绿色船用设备的质量和可靠性试验验证，加快市场推广。</w:t>
            </w:r>
          </w:p>
        </w:tc>
        <w:tc>
          <w:tcPr>
            <w:tcW w:w="225" w:type="pct"/>
            <w:tcBorders>
              <w:tl2br w:val="nil"/>
              <w:tr2bl w:val="nil"/>
            </w:tcBorders>
            <w:vAlign w:val="center"/>
          </w:tcPr>
          <w:p w14:paraId="3788A3F2">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符合</w:t>
            </w:r>
          </w:p>
        </w:tc>
      </w:tr>
      <w:tr w14:paraId="7E9A79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0" w:type="pct"/>
            <w:tcBorders>
              <w:tl2br w:val="nil"/>
              <w:tr2bl w:val="nil"/>
            </w:tcBorders>
            <w:vAlign w:val="center"/>
          </w:tcPr>
          <w:p w14:paraId="5B08A326">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4</w:t>
            </w:r>
          </w:p>
        </w:tc>
        <w:tc>
          <w:tcPr>
            <w:tcW w:w="2749" w:type="pct"/>
            <w:tcBorders>
              <w:tl2br w:val="nil"/>
              <w:tr2bl w:val="nil"/>
            </w:tcBorders>
            <w:vAlign w:val="center"/>
          </w:tcPr>
          <w:p w14:paraId="7567DD9D">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建立先进船舶总装建造体系 。实施船舶总装建造数字化提升工程，加快船舶总装建造数字化转型，加强精益管理，以数字化、标准化为手段，推动船舶总装建造企业提质增效、节能降碳，促进 5G、工业互联网等新一代信息技术融合应用。依托工业互联网平台，加强船舶设计制造协同管控，推动构建船厂数字基座，建立船厂供应链协同管控、并行建造资源调度与管理、质量安全环保（QHSE）、能源及碳足迹管控等全流程数字化协同管控体系，提升船厂数字化与精益管理水平。加快数字化工艺、智能装备等关键技术攻关和示范应用，打造数字车间和智能船厂。</w:t>
            </w:r>
          </w:p>
        </w:tc>
        <w:tc>
          <w:tcPr>
            <w:tcW w:w="1844" w:type="pct"/>
            <w:tcBorders>
              <w:tl2br w:val="nil"/>
              <w:tr2bl w:val="nil"/>
            </w:tcBorders>
            <w:vAlign w:val="center"/>
          </w:tcPr>
          <w:p w14:paraId="2CADD70F">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项目加强精益管理，推动船舶总装建造企业提质增效。推动行建造资源调度与管理、质量安全环保（QHSE）等全流程数字化协同管控体系，提升船厂数字化与精益管理水平。加快数字化工艺、智能装备等关键技术攻关和示范应用，打造数字车间和智能船厂。</w:t>
            </w:r>
          </w:p>
        </w:tc>
        <w:tc>
          <w:tcPr>
            <w:tcW w:w="225" w:type="pct"/>
            <w:tcBorders>
              <w:tl2br w:val="nil"/>
              <w:tr2bl w:val="nil"/>
            </w:tcBorders>
            <w:vAlign w:val="center"/>
          </w:tcPr>
          <w:p w14:paraId="24201A37">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符合</w:t>
            </w:r>
          </w:p>
        </w:tc>
      </w:tr>
      <w:tr w14:paraId="32FD5D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0" w:type="pct"/>
            <w:tcBorders>
              <w:tl2br w:val="nil"/>
              <w:tr2bl w:val="nil"/>
            </w:tcBorders>
            <w:vAlign w:val="center"/>
          </w:tcPr>
          <w:p w14:paraId="07364B07">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5</w:t>
            </w:r>
          </w:p>
        </w:tc>
        <w:tc>
          <w:tcPr>
            <w:tcW w:w="2749" w:type="pct"/>
            <w:tcBorders>
              <w:tl2br w:val="nil"/>
              <w:tr2bl w:val="nil"/>
            </w:tcBorders>
            <w:vAlign w:val="center"/>
          </w:tcPr>
          <w:p w14:paraId="48E90A8F">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推进建设全球绿色修船中心。大力发展绿色化、数字化修船，引领全球绿色修船产业发展。加快淘汰高耗能设备，全面推广超高压水除锈等绿色表面除锈技术，强化挥发性有机物（VOCs）综合治理，加强VOCs全过程、精细化管控，鼓励高固体分涂料、水性涂料等低VOCs含量涂料的应用，确保粉尘、挥发性有机物等污染物达标排放。建立循环利用和污染治理体系，加强废旧钢铁、有色金属等再生资源回收利用，提高水资源循环利用水平和污油水治理水平，提升坞修挥发性有机物治理减排能力，树立全球修船业绿色典范。加大运营船舶新能源动力系统改装和新型节能技术改造等绿色解决方案供给，提高浮式生产储油平台（FPSO）、邮轮、LNG船等高技术高附加值船舶的绿色化改造能力，为全球航运业提供高效、清洁、低碳的绿色修船解决方案。</w:t>
            </w:r>
          </w:p>
        </w:tc>
        <w:tc>
          <w:tcPr>
            <w:tcW w:w="1844" w:type="pct"/>
            <w:tcBorders>
              <w:tl2br w:val="nil"/>
              <w:tr2bl w:val="nil"/>
            </w:tcBorders>
            <w:vAlign w:val="center"/>
          </w:tcPr>
          <w:p w14:paraId="2F46E093">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项目不使用高耗能设备，全面推广超高压水除锈等绿色表面除锈技术，强化挥发性有机物（VOCs）综合治理，加强VOCs全过程、精细化管控，采用高固体分涂料、水性涂料等低VOCs含量涂料的应用，确保粉尘、挥发性有机物等污染物达标排放。建立循环利用和污染治理体系，加强废旧钢铁、有色金属等再生资源回收利用，提高水资源循环利用水平和污油水治理水平，提升坞修挥发性有机物治理减排能力。</w:t>
            </w:r>
          </w:p>
        </w:tc>
        <w:tc>
          <w:tcPr>
            <w:tcW w:w="225" w:type="pct"/>
            <w:tcBorders>
              <w:tl2br w:val="nil"/>
              <w:tr2bl w:val="nil"/>
            </w:tcBorders>
            <w:vAlign w:val="center"/>
          </w:tcPr>
          <w:p w14:paraId="4D222BF6">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符合</w:t>
            </w:r>
          </w:p>
        </w:tc>
      </w:tr>
      <w:tr w14:paraId="4B5E9B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0" w:type="pct"/>
            <w:tcBorders>
              <w:tl2br w:val="nil"/>
              <w:tr2bl w:val="nil"/>
            </w:tcBorders>
            <w:vAlign w:val="center"/>
          </w:tcPr>
          <w:p w14:paraId="3D09139B">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6</w:t>
            </w:r>
          </w:p>
        </w:tc>
        <w:tc>
          <w:tcPr>
            <w:tcW w:w="2749" w:type="pct"/>
            <w:tcBorders>
              <w:tl2br w:val="nil"/>
              <w:tr2bl w:val="nil"/>
            </w:tcBorders>
            <w:vAlign w:val="center"/>
          </w:tcPr>
          <w:p w14:paraId="2041F83A">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全面实施安全和环境无害化拆船 。严格落实船舶有害物质清单制度，从设计、建造源头建立严格管控体系。加强新材料研发，满足船舶建造和运营过程采用低有害或无害物质替代有害物质的相关要求。加大技术支持力度，提高船舶部件再加工、再制造和材料再利用技术水平，提升安全和环境无害化拆船能力。严格落实相关法律法规、国际公约和技术标准规范，普及船坞、船台和码头拆解模式，提高污染防治水平，严禁以冲滩方式拆解船舶。</w:t>
            </w:r>
          </w:p>
        </w:tc>
        <w:tc>
          <w:tcPr>
            <w:tcW w:w="1844" w:type="pct"/>
            <w:tcBorders>
              <w:tl2br w:val="nil"/>
              <w:tr2bl w:val="nil"/>
            </w:tcBorders>
            <w:vAlign w:val="center"/>
          </w:tcPr>
          <w:p w14:paraId="1DDC9786">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项目严格落实船舶有害物质清单制度，从设计、建造源头建立严格管控体系。加大技术支持力度，提高船舶部件再加工、再制造和材料再利用技术水平，提升安全和环境无害化拆船能力。严格落实相关法律法规、国际公约和技术标准规范，采用码头拆解模式，提高污染防治水平，不采用冲滩方式拆解船舶。</w:t>
            </w:r>
          </w:p>
        </w:tc>
        <w:tc>
          <w:tcPr>
            <w:tcW w:w="225" w:type="pct"/>
            <w:tcBorders>
              <w:tl2br w:val="nil"/>
              <w:tr2bl w:val="nil"/>
            </w:tcBorders>
            <w:vAlign w:val="center"/>
          </w:tcPr>
          <w:p w14:paraId="32ADA9FA">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符合</w:t>
            </w:r>
          </w:p>
        </w:tc>
      </w:tr>
      <w:tr w14:paraId="1780D0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0" w:type="pct"/>
            <w:tcBorders>
              <w:tl2br w:val="nil"/>
              <w:tr2bl w:val="nil"/>
            </w:tcBorders>
            <w:vAlign w:val="center"/>
          </w:tcPr>
          <w:p w14:paraId="077DD356">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7</w:t>
            </w:r>
          </w:p>
        </w:tc>
        <w:tc>
          <w:tcPr>
            <w:tcW w:w="2749" w:type="pct"/>
            <w:tcBorders>
              <w:tl2br w:val="nil"/>
              <w:tr2bl w:val="nil"/>
            </w:tcBorders>
            <w:vAlign w:val="center"/>
          </w:tcPr>
          <w:p w14:paraId="01212DD6">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拓展绿色低碳专项技术应用范围 。加快推进先进适用的绿色低碳专项技术应用，构建高效低碳的能源利用体系，提高清洁生产和资源循环利用水平。加强企业技术改造，提升切割机、电焊机、空压机、除湿机等终端用能设备能效水平，加快叉车、供热锅炉等终端设备电气化改造，推广绿色涂装、船舶岸电等技术应用，推动屋顶分布式光伏、分散式风电等可再生能源利用。实施和改进能源管理体系，提高能源管理智慧化水平。强化固体废物源头减量，加强固体废弃物规范化管理。推进先进适用节水技术和循环水应用，升级改造污水处理设施和废气处置设施，确保符合污染物排放标准。</w:t>
            </w:r>
          </w:p>
        </w:tc>
        <w:tc>
          <w:tcPr>
            <w:tcW w:w="1844" w:type="pct"/>
            <w:tcBorders>
              <w:tl2br w:val="nil"/>
              <w:tr2bl w:val="nil"/>
            </w:tcBorders>
            <w:vAlign w:val="center"/>
          </w:tcPr>
          <w:p w14:paraId="70E828EE">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项目加快推进先进适用的绿色低碳专项技术应用，构建高效低碳的能源利用体系，提高清洁生产和资源循环利用水平。加强企业技术改造，提升切割机、电焊机、空压机、除湿机等终端用能设备能效水平。强化固体废物源头减量，加强固体废弃物规范化管理。推进先进适用节水技术和循环水应用，升级改造污水处理设施和废气处置设施，确保符合污染物排放标准。</w:t>
            </w:r>
          </w:p>
        </w:tc>
        <w:tc>
          <w:tcPr>
            <w:tcW w:w="225" w:type="pct"/>
            <w:tcBorders>
              <w:tl2br w:val="nil"/>
              <w:tr2bl w:val="nil"/>
            </w:tcBorders>
            <w:vAlign w:val="center"/>
          </w:tcPr>
          <w:p w14:paraId="15772987">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符合</w:t>
            </w:r>
          </w:p>
        </w:tc>
      </w:tr>
      <w:tr w14:paraId="15FA0A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0" w:type="pct"/>
            <w:tcBorders>
              <w:tl2br w:val="nil"/>
              <w:tr2bl w:val="nil"/>
            </w:tcBorders>
            <w:vAlign w:val="center"/>
          </w:tcPr>
          <w:p w14:paraId="43D7EBA5">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8</w:t>
            </w:r>
          </w:p>
        </w:tc>
        <w:tc>
          <w:tcPr>
            <w:tcW w:w="2749" w:type="pct"/>
            <w:tcBorders>
              <w:tl2br w:val="nil"/>
              <w:tr2bl w:val="nil"/>
            </w:tcBorders>
            <w:vAlign w:val="center"/>
          </w:tcPr>
          <w:p w14:paraId="4D77ED3C">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加快建设绿色船舶配套供应链 。发挥总装建造企业的牵引作用，搭建船舶配套供应链平台，加强供应链企业绿色发展水平评价，研究将企业评价结果纳入供应链采购管理。研究建立船舶配套设备能效评估和认证体系，鼓励船舶配套供应链企业开展绿色生产、创建绿色工厂、生产绿色产品。</w:t>
            </w:r>
          </w:p>
        </w:tc>
        <w:tc>
          <w:tcPr>
            <w:tcW w:w="1844" w:type="pct"/>
            <w:tcBorders>
              <w:tl2br w:val="nil"/>
              <w:tr2bl w:val="nil"/>
            </w:tcBorders>
            <w:vAlign w:val="center"/>
          </w:tcPr>
          <w:p w14:paraId="0CD4FDE7">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项目研究建立船舶配套设备能效评估和认证体系，鼓励船舶配套供应链企业开展绿色生产、创建绿色工厂、生产绿色产品。</w:t>
            </w:r>
          </w:p>
        </w:tc>
        <w:tc>
          <w:tcPr>
            <w:tcW w:w="225" w:type="pct"/>
            <w:tcBorders>
              <w:tl2br w:val="nil"/>
              <w:tr2bl w:val="nil"/>
            </w:tcBorders>
            <w:vAlign w:val="center"/>
          </w:tcPr>
          <w:p w14:paraId="621D37FF">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符合</w:t>
            </w:r>
          </w:p>
        </w:tc>
      </w:tr>
      <w:tr w14:paraId="7000C7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0" w:type="pct"/>
            <w:tcBorders>
              <w:tl2br w:val="nil"/>
              <w:tr2bl w:val="nil"/>
            </w:tcBorders>
            <w:vAlign w:val="center"/>
          </w:tcPr>
          <w:p w14:paraId="3471BAAD">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9</w:t>
            </w:r>
          </w:p>
        </w:tc>
        <w:tc>
          <w:tcPr>
            <w:tcW w:w="2749" w:type="pct"/>
            <w:tcBorders>
              <w:tl2br w:val="nil"/>
              <w:tr2bl w:val="nil"/>
            </w:tcBorders>
            <w:vAlign w:val="center"/>
          </w:tcPr>
          <w:p w14:paraId="0A134116">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健全完善绿色低碳标准体系 。加强船舶工业绿色低碳发展标准体系顶层设计，建立健全标准体系。推进船舶工业碳排放核算、碳足迹核算、船舶设备能效评价等标准制订，优化标准供给结构，健全绿色低碳团体标准采信机制。加强船舶工业绿色低碳发展标准实施监督，建立健全标准质量评估和维护更新机制。</w:t>
            </w:r>
          </w:p>
        </w:tc>
        <w:tc>
          <w:tcPr>
            <w:tcW w:w="1844" w:type="pct"/>
            <w:tcBorders>
              <w:tl2br w:val="nil"/>
              <w:tr2bl w:val="nil"/>
            </w:tcBorders>
            <w:vAlign w:val="center"/>
          </w:tcPr>
          <w:p w14:paraId="1FB4B259">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项目加强船舶工业绿色低碳发展标准体系顶层设计，建立健全标准体系。加强船舶工业绿色低碳发展标准实施监督，建立健全标准质量评估和维护更新机制。</w:t>
            </w:r>
          </w:p>
        </w:tc>
        <w:tc>
          <w:tcPr>
            <w:tcW w:w="225" w:type="pct"/>
            <w:tcBorders>
              <w:tl2br w:val="nil"/>
              <w:tr2bl w:val="nil"/>
            </w:tcBorders>
            <w:vAlign w:val="center"/>
          </w:tcPr>
          <w:p w14:paraId="722AD380">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符合</w:t>
            </w:r>
          </w:p>
        </w:tc>
      </w:tr>
    </w:tbl>
    <w:p w14:paraId="68E58539">
      <w:pPr>
        <w:ind w:firstLine="480"/>
        <w:rPr>
          <w:color w:val="auto"/>
          <w:highlight w:val="none"/>
        </w:rPr>
      </w:pPr>
    </w:p>
    <w:p w14:paraId="4834DC5C">
      <w:pPr>
        <w:pStyle w:val="8"/>
        <w:rPr>
          <w:color w:val="auto"/>
          <w:highlight w:val="none"/>
        </w:rPr>
      </w:pPr>
      <w:r>
        <w:rPr>
          <w:rFonts w:hint="eastAsia"/>
          <w:color w:val="auto"/>
          <w:highlight w:val="none"/>
        </w:rPr>
        <w:t>（2）与《防治船舶污染海洋环境管理条例》（国务院令第698号）相符性</w:t>
      </w:r>
    </w:p>
    <w:p w14:paraId="2EF68A8B">
      <w:pPr>
        <w:topLinePunct w:val="0"/>
        <w:adjustRightInd/>
        <w:snapToGrid/>
        <w:spacing w:line="240" w:lineRule="auto"/>
        <w:ind w:firstLine="0" w:firstLineChars="0"/>
        <w:jc w:val="center"/>
        <w:rPr>
          <w:b/>
          <w:bCs/>
          <w:color w:val="auto"/>
          <w:sz w:val="21"/>
          <w:szCs w:val="21"/>
          <w:highlight w:val="none"/>
        </w:rPr>
      </w:pPr>
      <w:r>
        <w:rPr>
          <w:rFonts w:hint="eastAsia"/>
          <w:b/>
          <w:bCs/>
          <w:color w:val="auto"/>
          <w:sz w:val="21"/>
          <w:szCs w:val="21"/>
          <w:highlight w:val="none"/>
        </w:rPr>
        <w:t xml:space="preserve"> </w:t>
      </w:r>
      <w:r>
        <w:rPr>
          <w:rFonts w:hint="eastAsia"/>
          <w:b/>
          <w:bCs/>
          <w:color w:val="auto"/>
          <w:sz w:val="21"/>
          <w:szCs w:val="21"/>
          <w:highlight w:val="none"/>
          <w:lang w:val="zh-CN"/>
        </w:rPr>
        <w:t xml:space="preserve"> 表</w:t>
      </w:r>
      <w:r>
        <w:rPr>
          <w:rFonts w:hint="eastAsia"/>
          <w:b/>
          <w:bCs/>
          <w:color w:val="auto"/>
          <w:sz w:val="21"/>
          <w:szCs w:val="21"/>
          <w:highlight w:val="none"/>
        </w:rPr>
        <w:t>2 与《防治船舶污染海洋环境管理条例》符合性分析 （摘录适用条款）</w:t>
      </w:r>
    </w:p>
    <w:tbl>
      <w:tblPr>
        <w:tblStyle w:val="92"/>
        <w:tblpPr w:leftFromText="180" w:rightFromText="180" w:vertAnchor="text" w:tblpY="1"/>
        <w:tblOverlap w:val="never"/>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49"/>
        <w:gridCol w:w="4933"/>
        <w:gridCol w:w="881"/>
      </w:tblGrid>
      <w:tr w14:paraId="5B8E39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2947" w:type="pct"/>
            <w:tcBorders>
              <w:tl2br w:val="nil"/>
              <w:tr2bl w:val="nil"/>
            </w:tcBorders>
            <w:vAlign w:val="center"/>
          </w:tcPr>
          <w:p w14:paraId="432DB729">
            <w:pPr>
              <w:tabs>
                <w:tab w:val="left" w:pos="808"/>
              </w:tabs>
              <w:spacing w:line="240" w:lineRule="auto"/>
              <w:ind w:left="-72" w:leftChars="-30" w:right="-72" w:rightChars="-30" w:firstLine="0" w:firstLineChars="0"/>
              <w:jc w:val="center"/>
              <w:rPr>
                <w:rFonts w:eastAsiaTheme="minorEastAsia"/>
                <w:b/>
                <w:bCs/>
                <w:color w:val="auto"/>
                <w:sz w:val="21"/>
                <w:highlight w:val="none"/>
              </w:rPr>
            </w:pPr>
            <w:r>
              <w:rPr>
                <w:rFonts w:hint="eastAsia" w:eastAsiaTheme="minorEastAsia"/>
                <w:b/>
                <w:bCs/>
                <w:color w:val="auto"/>
                <w:sz w:val="21"/>
                <w:highlight w:val="none"/>
              </w:rPr>
              <w:t>条例内容</w:t>
            </w:r>
          </w:p>
        </w:tc>
        <w:tc>
          <w:tcPr>
            <w:tcW w:w="1741" w:type="pct"/>
            <w:tcBorders>
              <w:tl2br w:val="nil"/>
              <w:tr2bl w:val="nil"/>
            </w:tcBorders>
            <w:vAlign w:val="center"/>
          </w:tcPr>
          <w:p w14:paraId="4BD8705E">
            <w:pPr>
              <w:tabs>
                <w:tab w:val="left" w:pos="808"/>
              </w:tabs>
              <w:spacing w:line="240" w:lineRule="auto"/>
              <w:ind w:left="-72" w:leftChars="-30" w:right="-72" w:rightChars="-30" w:firstLine="0" w:firstLineChars="0"/>
              <w:jc w:val="center"/>
              <w:rPr>
                <w:rFonts w:eastAsiaTheme="minorEastAsia"/>
                <w:b/>
                <w:bCs/>
                <w:color w:val="auto"/>
                <w:sz w:val="21"/>
                <w:highlight w:val="none"/>
              </w:rPr>
            </w:pPr>
            <w:r>
              <w:rPr>
                <w:rFonts w:hint="eastAsia" w:eastAsiaTheme="minorEastAsia"/>
                <w:b/>
                <w:bCs/>
                <w:color w:val="auto"/>
                <w:sz w:val="21"/>
                <w:highlight w:val="none"/>
              </w:rPr>
              <w:t>项目情况</w:t>
            </w:r>
          </w:p>
        </w:tc>
        <w:tc>
          <w:tcPr>
            <w:tcW w:w="311" w:type="pct"/>
            <w:tcBorders>
              <w:tl2br w:val="nil"/>
              <w:tr2bl w:val="nil"/>
            </w:tcBorders>
            <w:vAlign w:val="center"/>
          </w:tcPr>
          <w:p w14:paraId="495BA322">
            <w:pPr>
              <w:tabs>
                <w:tab w:val="left" w:pos="808"/>
              </w:tabs>
              <w:spacing w:line="240" w:lineRule="auto"/>
              <w:ind w:left="-72" w:leftChars="-30" w:right="-72" w:rightChars="-30" w:firstLine="0" w:firstLineChars="0"/>
              <w:jc w:val="center"/>
              <w:rPr>
                <w:rFonts w:eastAsiaTheme="minorEastAsia"/>
                <w:b/>
                <w:bCs/>
                <w:color w:val="auto"/>
                <w:sz w:val="21"/>
                <w:highlight w:val="none"/>
              </w:rPr>
            </w:pPr>
            <w:r>
              <w:rPr>
                <w:rFonts w:hint="eastAsia" w:eastAsiaTheme="minorEastAsia"/>
                <w:b/>
                <w:bCs/>
                <w:color w:val="auto"/>
                <w:sz w:val="21"/>
                <w:highlight w:val="none"/>
              </w:rPr>
              <w:t>相符性</w:t>
            </w:r>
          </w:p>
        </w:tc>
      </w:tr>
      <w:tr w14:paraId="6C6F98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7" w:type="pct"/>
            <w:tcBorders>
              <w:tl2br w:val="nil"/>
              <w:tr2bl w:val="nil"/>
            </w:tcBorders>
            <w:vAlign w:val="center"/>
          </w:tcPr>
          <w:p w14:paraId="7A3352EC">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第十二条港口、码头、装卸站以及从事船舶修造的单位应当配备与其装卸货物种类和吞吐能力或者修造船舶能力相适应的污染监视设施和污染物接收设施，并使其处于良好状态。</w:t>
            </w:r>
          </w:p>
        </w:tc>
        <w:tc>
          <w:tcPr>
            <w:tcW w:w="1741" w:type="pct"/>
            <w:tcBorders>
              <w:tl2br w:val="nil"/>
              <w:tr2bl w:val="nil"/>
            </w:tcBorders>
            <w:vAlign w:val="center"/>
          </w:tcPr>
          <w:p w14:paraId="1E012C0F">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钦州基地已配套相适应的污染监视设施和污染物接收设施，并处于良好状态。</w:t>
            </w:r>
          </w:p>
        </w:tc>
        <w:tc>
          <w:tcPr>
            <w:tcW w:w="311" w:type="pct"/>
            <w:tcBorders>
              <w:tl2br w:val="nil"/>
              <w:tr2bl w:val="nil"/>
            </w:tcBorders>
            <w:vAlign w:val="center"/>
          </w:tcPr>
          <w:p w14:paraId="2E040CE6">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符合</w:t>
            </w:r>
          </w:p>
        </w:tc>
      </w:tr>
      <w:tr w14:paraId="119CF2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7" w:type="pct"/>
            <w:tcBorders>
              <w:tl2br w:val="nil"/>
              <w:tr2bl w:val="nil"/>
            </w:tcBorders>
            <w:vAlign w:val="center"/>
          </w:tcPr>
          <w:p w14:paraId="10289239">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第十三条港口、码头、装卸站以及从事船舶修造、打捞、拆解等作业活动的单位应当制定有关安全营运和防治污染的管理制度，按照国家有关防治船舶及其有关作业活动污染海洋环境的规范和标准，配备相应的防治污染设备和器材。</w:t>
            </w:r>
          </w:p>
          <w:p w14:paraId="7F7E5F68">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港口、码头、装卸站以及从事船舶修造、打捞、拆解等作业活动的单位，应当定期检查、维护配备的防治污染设备和器材，确保防治污染设备和器材符合防治船舶及其有关作业活动污染海洋环境的要求。</w:t>
            </w:r>
          </w:p>
        </w:tc>
        <w:tc>
          <w:tcPr>
            <w:tcW w:w="1741" w:type="pct"/>
            <w:tcBorders>
              <w:tl2br w:val="nil"/>
              <w:tr2bl w:val="nil"/>
            </w:tcBorders>
            <w:vAlign w:val="center"/>
          </w:tcPr>
          <w:p w14:paraId="2E1F1CA8">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项目制定有关安全营运和防治污染的管理制度，按照国家有关防治船舶及其有关作业活动污染海洋环境的规范和标准，配备相应的防治污染设备和器材。</w:t>
            </w:r>
          </w:p>
          <w:p w14:paraId="7A9B26E1">
            <w:pPr>
              <w:tabs>
                <w:tab w:val="left" w:pos="808"/>
              </w:tabs>
              <w:spacing w:line="240" w:lineRule="auto"/>
              <w:ind w:left="-72" w:leftChars="-30" w:right="-72" w:rightChars="-30" w:firstLine="0" w:firstLineChars="0"/>
              <w:rPr>
                <w:rFonts w:eastAsiaTheme="minorEastAsia"/>
                <w:color w:val="auto"/>
                <w:sz w:val="21"/>
                <w:highlight w:val="none"/>
              </w:rPr>
            </w:pPr>
            <w:r>
              <w:rPr>
                <w:rFonts w:hint="eastAsia" w:eastAsiaTheme="minorEastAsia"/>
                <w:color w:val="auto"/>
                <w:sz w:val="21"/>
                <w:highlight w:val="none"/>
              </w:rPr>
              <w:t>并定期检查、维护配备的防治污染设备和器材，确保防治污染设备和器材符合防治船舶及其有关作业活动污染海洋环境的要求。</w:t>
            </w:r>
          </w:p>
        </w:tc>
        <w:tc>
          <w:tcPr>
            <w:tcW w:w="311" w:type="pct"/>
            <w:tcBorders>
              <w:tl2br w:val="nil"/>
              <w:tr2bl w:val="nil"/>
            </w:tcBorders>
            <w:vAlign w:val="center"/>
          </w:tcPr>
          <w:p w14:paraId="2D2F7B61">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符合</w:t>
            </w:r>
          </w:p>
        </w:tc>
      </w:tr>
      <w:tr w14:paraId="6932CB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7" w:type="pct"/>
            <w:tcBorders>
              <w:tl2br w:val="nil"/>
              <w:tr2bl w:val="nil"/>
            </w:tcBorders>
            <w:vAlign w:val="center"/>
          </w:tcPr>
          <w:p w14:paraId="4D141141">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第十四条船舶所有人、经营人或者管理人应当制定防治船舶及其有关作业活动污染海洋环境的应急预案，并报海事管理机构备案。</w:t>
            </w:r>
          </w:p>
          <w:p w14:paraId="15E6C880">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港口、码头、装卸站的经营人以及有关作业单位应当制定防治船舶及其有关作业活动污染海洋环境的应急预案，并报海事管理机构和环境保护主管部门备案。</w:t>
            </w:r>
          </w:p>
          <w:p w14:paraId="51A6A0D4">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船舶、港口、码头、装卸站以及其他有关作业单位应当按照应急预案，定期组织演练，并做好相应记录</w:t>
            </w:r>
          </w:p>
        </w:tc>
        <w:tc>
          <w:tcPr>
            <w:tcW w:w="1741" w:type="pct"/>
            <w:tcBorders>
              <w:tl2br w:val="nil"/>
              <w:tr2bl w:val="nil"/>
            </w:tcBorders>
            <w:vAlign w:val="center"/>
          </w:tcPr>
          <w:p w14:paraId="0074C60D">
            <w:pPr>
              <w:tabs>
                <w:tab w:val="left" w:pos="808"/>
              </w:tabs>
              <w:spacing w:line="240" w:lineRule="auto"/>
              <w:ind w:left="-72" w:leftChars="-30" w:right="-72" w:rightChars="-30" w:firstLine="0" w:firstLineChars="0"/>
              <w:rPr>
                <w:rFonts w:eastAsiaTheme="minorEastAsia"/>
                <w:color w:val="auto"/>
                <w:sz w:val="21"/>
                <w:highlight w:val="none"/>
              </w:rPr>
            </w:pPr>
            <w:r>
              <w:rPr>
                <w:rFonts w:hint="eastAsia" w:eastAsiaTheme="minorEastAsia"/>
                <w:color w:val="auto"/>
                <w:sz w:val="21"/>
                <w:highlight w:val="none"/>
              </w:rPr>
              <w:t>企业已编制突发环境事故应急预案，并报海事管理机构和环境保护主管部门备案。企业将按照应急预案，定期组织演练，并做好相应记录</w:t>
            </w:r>
          </w:p>
        </w:tc>
        <w:tc>
          <w:tcPr>
            <w:tcW w:w="311" w:type="pct"/>
            <w:tcBorders>
              <w:tl2br w:val="nil"/>
              <w:tr2bl w:val="nil"/>
            </w:tcBorders>
            <w:vAlign w:val="center"/>
          </w:tcPr>
          <w:p w14:paraId="1ADE9CD1">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符合</w:t>
            </w:r>
          </w:p>
        </w:tc>
      </w:tr>
      <w:tr w14:paraId="207973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7" w:type="pct"/>
            <w:tcBorders>
              <w:tl2br w:val="nil"/>
              <w:tr2bl w:val="nil"/>
            </w:tcBorders>
            <w:vAlign w:val="center"/>
          </w:tcPr>
          <w:p w14:paraId="5CAF2CD8">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第十五条船舶在中华人民共和国管辖海域向海洋排放的船舶垃圾、生活污水、含油污水、含有毒有害物质污水、废气等污染物以及压载水，应当符合法律、行政法规、中华人民共和国缔结或者参加的国际条约以及相关标准的要求。</w:t>
            </w:r>
          </w:p>
          <w:p w14:paraId="47583C06">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船舶应当将不符合前款规定的排放要求的污染物排入港口接收设施或者由船舶污染物接收单位接收。</w:t>
            </w:r>
          </w:p>
          <w:p w14:paraId="1F039F0E">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船舶不得向依法划定的海洋自然保护区、海滨风景名胜区、重要渔业水域以及其他需要特别保护的海域排放船舶污染物。</w:t>
            </w:r>
          </w:p>
        </w:tc>
        <w:tc>
          <w:tcPr>
            <w:tcW w:w="1741" w:type="pct"/>
            <w:tcBorders>
              <w:tl2br w:val="nil"/>
              <w:tr2bl w:val="nil"/>
            </w:tcBorders>
            <w:vAlign w:val="center"/>
          </w:tcPr>
          <w:p w14:paraId="68F98CA3">
            <w:pPr>
              <w:tabs>
                <w:tab w:val="left" w:pos="808"/>
              </w:tabs>
              <w:spacing w:line="240" w:lineRule="auto"/>
              <w:ind w:left="-72" w:leftChars="-30" w:right="-72" w:rightChars="-30" w:firstLine="0" w:firstLineChars="0"/>
              <w:rPr>
                <w:rFonts w:eastAsiaTheme="minorEastAsia"/>
                <w:color w:val="auto"/>
                <w:sz w:val="21"/>
                <w:highlight w:val="none"/>
              </w:rPr>
            </w:pPr>
            <w:r>
              <w:rPr>
                <w:color w:val="auto"/>
                <w:kern w:val="2"/>
                <w:sz w:val="21"/>
                <w:szCs w:val="21"/>
                <w:highlight w:val="none"/>
              </w:rPr>
              <w:t>符合，项目废水均依托现有工程已有废水处理设施，经处理后</w:t>
            </w:r>
            <w:r>
              <w:rPr>
                <w:rFonts w:hint="eastAsia"/>
                <w:color w:val="auto"/>
                <w:kern w:val="2"/>
                <w:sz w:val="21"/>
                <w:szCs w:val="21"/>
                <w:highlight w:val="none"/>
              </w:rPr>
              <w:t>进入中水回用池储存，大部分回用，少部分不能回用的</w:t>
            </w:r>
            <w:r>
              <w:rPr>
                <w:color w:val="auto"/>
                <w:kern w:val="2"/>
                <w:sz w:val="21"/>
                <w:szCs w:val="21"/>
                <w:highlight w:val="none"/>
              </w:rPr>
              <w:t>采用罐车转运至</w:t>
            </w:r>
            <w:r>
              <w:rPr>
                <w:color w:val="auto"/>
                <w:sz w:val="21"/>
                <w:szCs w:val="21"/>
                <w:highlight w:val="none"/>
              </w:rPr>
              <w:t>大榄坪污水处理厂做进一步处理，</w:t>
            </w:r>
            <w:r>
              <w:rPr>
                <w:color w:val="auto"/>
                <w:kern w:val="2"/>
                <w:sz w:val="21"/>
                <w:szCs w:val="21"/>
                <w:highlight w:val="none"/>
              </w:rPr>
              <w:t>不向本项目区域海域排放</w:t>
            </w:r>
          </w:p>
        </w:tc>
        <w:tc>
          <w:tcPr>
            <w:tcW w:w="311" w:type="pct"/>
            <w:tcBorders>
              <w:tl2br w:val="nil"/>
              <w:tr2bl w:val="nil"/>
            </w:tcBorders>
            <w:vAlign w:val="center"/>
          </w:tcPr>
          <w:p w14:paraId="48953E07">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符合</w:t>
            </w:r>
          </w:p>
        </w:tc>
      </w:tr>
      <w:tr w14:paraId="1551D5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7" w:type="pct"/>
            <w:tcBorders>
              <w:tl2br w:val="nil"/>
              <w:tr2bl w:val="nil"/>
            </w:tcBorders>
            <w:vAlign w:val="center"/>
          </w:tcPr>
          <w:p w14:paraId="6E455181">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第二十条从事船舶清舱、洗舱、油料供受、装卸、过驳、修造、打捞、拆解，污染危害性货物装箱、充罐，污染清除作业以及利用船舶进行水上水下施工等作业活动的，应当遵守相关操作规程，并采取必要的安全和防治污染的措施。</w:t>
            </w:r>
          </w:p>
          <w:p w14:paraId="7454A3DE">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从事前款规定的作业活动的人员，应当具备相关安全和防治污染的专业知识和技能。</w:t>
            </w:r>
          </w:p>
        </w:tc>
        <w:tc>
          <w:tcPr>
            <w:tcW w:w="1741" w:type="pct"/>
            <w:tcBorders>
              <w:tl2br w:val="nil"/>
              <w:tr2bl w:val="nil"/>
            </w:tcBorders>
            <w:vAlign w:val="center"/>
          </w:tcPr>
          <w:p w14:paraId="6E1F6BF7">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color w:val="auto"/>
                <w:kern w:val="2"/>
                <w:sz w:val="21"/>
                <w:szCs w:val="21"/>
                <w:highlight w:val="none"/>
              </w:rPr>
              <w:t>项目为修船行业，建设过程</w:t>
            </w:r>
            <w:r>
              <w:rPr>
                <w:rFonts w:hint="eastAsia" w:eastAsiaTheme="minorEastAsia"/>
                <w:color w:val="auto"/>
                <w:sz w:val="21"/>
                <w:highlight w:val="none"/>
              </w:rPr>
              <w:t>遵守相关操作规程，并采取必要的安全和防治污染的措施。</w:t>
            </w:r>
          </w:p>
          <w:p w14:paraId="467DC75C">
            <w:pPr>
              <w:tabs>
                <w:tab w:val="left" w:pos="808"/>
              </w:tabs>
              <w:spacing w:line="240" w:lineRule="auto"/>
              <w:ind w:left="-72" w:leftChars="-30" w:right="-72" w:rightChars="-30" w:firstLine="0" w:firstLineChars="0"/>
              <w:rPr>
                <w:color w:val="auto"/>
                <w:kern w:val="2"/>
                <w:sz w:val="21"/>
                <w:szCs w:val="21"/>
                <w:highlight w:val="none"/>
              </w:rPr>
            </w:pPr>
          </w:p>
        </w:tc>
        <w:tc>
          <w:tcPr>
            <w:tcW w:w="311" w:type="pct"/>
            <w:tcBorders>
              <w:tl2br w:val="nil"/>
              <w:tr2bl w:val="nil"/>
            </w:tcBorders>
            <w:vAlign w:val="center"/>
          </w:tcPr>
          <w:p w14:paraId="6255EC29">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符合</w:t>
            </w:r>
          </w:p>
        </w:tc>
      </w:tr>
      <w:tr w14:paraId="0B3D6B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7" w:type="pct"/>
            <w:tcBorders>
              <w:tl2br w:val="nil"/>
              <w:tr2bl w:val="nil"/>
            </w:tcBorders>
            <w:vAlign w:val="center"/>
          </w:tcPr>
          <w:p w14:paraId="7F7D818A">
            <w:pPr>
              <w:tabs>
                <w:tab w:val="left" w:pos="808"/>
              </w:tabs>
              <w:spacing w:line="240" w:lineRule="auto"/>
              <w:ind w:left="-72" w:leftChars="-30" w:right="-72" w:rightChars="-30" w:firstLine="0" w:firstLineChars="0"/>
              <w:jc w:val="left"/>
              <w:rPr>
                <w:rFonts w:eastAsiaTheme="minorEastAsia"/>
                <w:color w:val="auto"/>
                <w:sz w:val="21"/>
                <w:highlight w:val="none"/>
              </w:rPr>
            </w:pPr>
            <w:r>
              <w:rPr>
                <w:rFonts w:hint="eastAsia" w:eastAsiaTheme="minorEastAsia"/>
                <w:color w:val="auto"/>
                <w:sz w:val="21"/>
                <w:highlight w:val="none"/>
              </w:rPr>
              <w:t>第二十九条船舶修造、水上拆解的地点应当符合环境功能区划和海洋功能区划。</w:t>
            </w:r>
          </w:p>
        </w:tc>
        <w:tc>
          <w:tcPr>
            <w:tcW w:w="1741" w:type="pct"/>
            <w:tcBorders>
              <w:tl2br w:val="nil"/>
              <w:tr2bl w:val="nil"/>
            </w:tcBorders>
            <w:vAlign w:val="center"/>
          </w:tcPr>
          <w:p w14:paraId="0CDF753C">
            <w:pPr>
              <w:tabs>
                <w:tab w:val="left" w:pos="808"/>
              </w:tabs>
              <w:spacing w:line="240" w:lineRule="auto"/>
              <w:ind w:left="-72" w:leftChars="-30" w:right="-72" w:rightChars="-30" w:firstLine="0" w:firstLineChars="0"/>
              <w:rPr>
                <w:color w:val="auto"/>
                <w:kern w:val="2"/>
                <w:sz w:val="21"/>
                <w:szCs w:val="21"/>
                <w:highlight w:val="none"/>
              </w:rPr>
            </w:pPr>
            <w:r>
              <w:rPr>
                <w:rFonts w:hint="eastAsia"/>
                <w:color w:val="auto"/>
                <w:kern w:val="2"/>
                <w:sz w:val="21"/>
                <w:szCs w:val="21"/>
                <w:highlight w:val="none"/>
              </w:rPr>
              <w:t>根据上文可知，本项目符合环境功能区划和海洋功能区划</w:t>
            </w:r>
          </w:p>
        </w:tc>
        <w:tc>
          <w:tcPr>
            <w:tcW w:w="311" w:type="pct"/>
            <w:tcBorders>
              <w:tl2br w:val="nil"/>
              <w:tr2bl w:val="nil"/>
            </w:tcBorders>
            <w:vAlign w:val="center"/>
          </w:tcPr>
          <w:p w14:paraId="73A13A10">
            <w:pPr>
              <w:tabs>
                <w:tab w:val="left" w:pos="808"/>
              </w:tabs>
              <w:spacing w:line="240" w:lineRule="auto"/>
              <w:ind w:left="-72" w:leftChars="-30" w:right="-72" w:rightChars="-30" w:firstLine="0" w:firstLineChars="0"/>
              <w:jc w:val="center"/>
              <w:rPr>
                <w:rFonts w:eastAsiaTheme="minorEastAsia"/>
                <w:color w:val="auto"/>
                <w:sz w:val="21"/>
                <w:highlight w:val="none"/>
              </w:rPr>
            </w:pPr>
            <w:r>
              <w:rPr>
                <w:rFonts w:hint="eastAsia" w:eastAsiaTheme="minorEastAsia"/>
                <w:color w:val="auto"/>
                <w:sz w:val="21"/>
                <w:highlight w:val="none"/>
              </w:rPr>
              <w:t>符合</w:t>
            </w:r>
          </w:p>
        </w:tc>
      </w:tr>
    </w:tbl>
    <w:p w14:paraId="4E57B89D">
      <w:pPr>
        <w:ind w:firstLine="480"/>
        <w:rPr>
          <w:color w:val="auto"/>
          <w:highlight w:val="none"/>
        </w:rPr>
        <w:sectPr>
          <w:headerReference r:id="rId12" w:type="default"/>
          <w:pgSz w:w="16838" w:h="11906" w:orient="landscape"/>
          <w:pgMar w:top="1417" w:right="1440" w:bottom="1417" w:left="1440" w:header="851" w:footer="850" w:gutter="0"/>
          <w:cols w:space="0" w:num="1"/>
          <w:docGrid w:type="lines" w:linePitch="336" w:charSpace="0"/>
        </w:sectPr>
      </w:pPr>
    </w:p>
    <w:p w14:paraId="16523BCD">
      <w:pPr>
        <w:pStyle w:val="8"/>
        <w:rPr>
          <w:color w:val="auto"/>
          <w:highlight w:val="none"/>
          <w:u w:val="single"/>
          <w:lang w:val="zh-CN"/>
        </w:rPr>
      </w:pPr>
      <w:r>
        <w:rPr>
          <w:rFonts w:hint="eastAsia"/>
          <w:color w:val="auto"/>
          <w:highlight w:val="none"/>
          <w:u w:val="single"/>
          <w:lang w:val="zh-CN"/>
        </w:rPr>
        <w:t>（</w:t>
      </w:r>
      <w:r>
        <w:rPr>
          <w:rFonts w:hint="eastAsia"/>
          <w:color w:val="auto"/>
          <w:highlight w:val="none"/>
          <w:u w:val="single"/>
        </w:rPr>
        <w:t>3</w:t>
      </w:r>
      <w:r>
        <w:rPr>
          <w:rFonts w:hint="eastAsia"/>
          <w:color w:val="auto"/>
          <w:highlight w:val="none"/>
          <w:u w:val="single"/>
          <w:lang w:val="zh-CN"/>
        </w:rPr>
        <w:t>）与《重点行业挥发性有机物综合治理方案》（环大气〔2019〕53号）的相符性分析</w:t>
      </w:r>
    </w:p>
    <w:p w14:paraId="6BCCD600">
      <w:pPr>
        <w:pStyle w:val="38"/>
        <w:ind w:firstLine="480"/>
        <w:rPr>
          <w:color w:val="auto"/>
          <w:highlight w:val="none"/>
          <w:u w:val="single"/>
        </w:rPr>
      </w:pPr>
      <w:r>
        <w:rPr>
          <w:color w:val="auto"/>
          <w:highlight w:val="none"/>
          <w:u w:val="single"/>
        </w:rPr>
        <w:t>本项目符合《重点行业挥发性有机物综合治理方案》（环大气〔2019〕53号）中的相关要求，具体分析见下表。</w:t>
      </w:r>
    </w:p>
    <w:p w14:paraId="2C3AB67C">
      <w:pPr>
        <w:topLinePunct w:val="0"/>
        <w:adjustRightInd/>
        <w:snapToGrid/>
        <w:spacing w:line="240" w:lineRule="auto"/>
        <w:ind w:firstLine="0" w:firstLineChars="0"/>
        <w:jc w:val="center"/>
        <w:rPr>
          <w:b/>
          <w:bCs/>
          <w:color w:val="auto"/>
          <w:sz w:val="21"/>
          <w:szCs w:val="21"/>
          <w:highlight w:val="none"/>
          <w:u w:val="single"/>
        </w:rPr>
      </w:pPr>
      <w:r>
        <w:rPr>
          <w:b/>
          <w:bCs/>
          <w:color w:val="auto"/>
          <w:sz w:val="21"/>
          <w:szCs w:val="21"/>
          <w:highlight w:val="none"/>
          <w:u w:val="single"/>
        </w:rPr>
        <w:t xml:space="preserve">表 </w:t>
      </w:r>
      <w:r>
        <w:rPr>
          <w:rFonts w:hint="eastAsia"/>
          <w:b/>
          <w:bCs/>
          <w:color w:val="auto"/>
          <w:sz w:val="21"/>
          <w:szCs w:val="21"/>
          <w:highlight w:val="none"/>
          <w:u w:val="single"/>
        </w:rPr>
        <w:t>3</w:t>
      </w:r>
      <w:r>
        <w:rPr>
          <w:b/>
          <w:bCs/>
          <w:color w:val="auto"/>
          <w:sz w:val="21"/>
          <w:szCs w:val="21"/>
          <w:highlight w:val="none"/>
          <w:u w:val="single"/>
        </w:rPr>
        <w:t xml:space="preserve"> 与《重点行业挥发性有机物综合治理方案》的相符性分析表</w:t>
      </w:r>
    </w:p>
    <w:tbl>
      <w:tblPr>
        <w:tblStyle w:val="92"/>
        <w:tblW w:w="4994"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549"/>
        <w:gridCol w:w="4795"/>
        <w:gridCol w:w="2587"/>
        <w:gridCol w:w="779"/>
      </w:tblGrid>
      <w:tr w14:paraId="4DA22FB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blHeader/>
        </w:trPr>
        <w:tc>
          <w:tcPr>
            <w:tcW w:w="315" w:type="pct"/>
            <w:tcBorders>
              <w:tl2br w:val="nil"/>
              <w:tr2bl w:val="nil"/>
            </w:tcBorders>
            <w:vAlign w:val="center"/>
          </w:tcPr>
          <w:p w14:paraId="63778FE2">
            <w:pPr>
              <w:widowControl/>
              <w:topLinePunct w:val="0"/>
              <w:spacing w:line="240" w:lineRule="auto"/>
              <w:ind w:left="-72" w:leftChars="-30" w:right="-72" w:rightChars="-30" w:firstLine="0" w:firstLineChars="0"/>
              <w:jc w:val="center"/>
              <w:textAlignment w:val="center"/>
              <w:rPr>
                <w:b/>
                <w:bCs/>
                <w:color w:val="auto"/>
                <w:sz w:val="21"/>
                <w:szCs w:val="21"/>
                <w:highlight w:val="none"/>
                <w:u w:val="single"/>
              </w:rPr>
            </w:pPr>
            <w:r>
              <w:rPr>
                <w:b/>
                <w:bCs/>
                <w:color w:val="auto"/>
                <w:sz w:val="21"/>
                <w:szCs w:val="21"/>
                <w:highlight w:val="none"/>
                <w:u w:val="single"/>
                <w:lang w:bidi="ar"/>
              </w:rPr>
              <w:t>序号</w:t>
            </w:r>
          </w:p>
        </w:tc>
        <w:tc>
          <w:tcPr>
            <w:tcW w:w="2752" w:type="pct"/>
            <w:tcBorders>
              <w:tl2br w:val="nil"/>
              <w:tr2bl w:val="nil"/>
            </w:tcBorders>
            <w:vAlign w:val="center"/>
          </w:tcPr>
          <w:p w14:paraId="7CD7ACF6">
            <w:pPr>
              <w:widowControl/>
              <w:topLinePunct w:val="0"/>
              <w:spacing w:line="240" w:lineRule="auto"/>
              <w:ind w:left="-72" w:leftChars="-30" w:right="-72" w:rightChars="-30" w:firstLine="0" w:firstLineChars="0"/>
              <w:jc w:val="center"/>
              <w:textAlignment w:val="center"/>
              <w:rPr>
                <w:b/>
                <w:bCs/>
                <w:color w:val="auto"/>
                <w:sz w:val="21"/>
                <w:szCs w:val="21"/>
                <w:highlight w:val="none"/>
                <w:u w:val="single"/>
              </w:rPr>
            </w:pPr>
            <w:r>
              <w:rPr>
                <w:b/>
                <w:bCs/>
                <w:color w:val="auto"/>
                <w:sz w:val="21"/>
                <w:szCs w:val="21"/>
                <w:highlight w:val="none"/>
                <w:u w:val="single"/>
                <w:lang w:bidi="ar"/>
              </w:rPr>
              <w:t>相关政策要求</w:t>
            </w:r>
          </w:p>
        </w:tc>
        <w:tc>
          <w:tcPr>
            <w:tcW w:w="1485" w:type="pct"/>
            <w:tcBorders>
              <w:tl2br w:val="nil"/>
              <w:tr2bl w:val="nil"/>
            </w:tcBorders>
            <w:vAlign w:val="center"/>
          </w:tcPr>
          <w:p w14:paraId="79134DBA">
            <w:pPr>
              <w:widowControl/>
              <w:topLinePunct w:val="0"/>
              <w:spacing w:line="240" w:lineRule="auto"/>
              <w:ind w:left="-72" w:leftChars="-30" w:right="-72" w:rightChars="-30" w:firstLine="0" w:firstLineChars="0"/>
              <w:jc w:val="center"/>
              <w:textAlignment w:val="center"/>
              <w:rPr>
                <w:b/>
                <w:bCs/>
                <w:color w:val="auto"/>
                <w:sz w:val="21"/>
                <w:szCs w:val="21"/>
                <w:highlight w:val="none"/>
                <w:u w:val="single"/>
              </w:rPr>
            </w:pPr>
            <w:r>
              <w:rPr>
                <w:b/>
                <w:bCs/>
                <w:color w:val="auto"/>
                <w:sz w:val="21"/>
                <w:szCs w:val="21"/>
                <w:highlight w:val="none"/>
                <w:u w:val="single"/>
                <w:lang w:bidi="ar"/>
              </w:rPr>
              <w:t>本项目情况</w:t>
            </w:r>
          </w:p>
        </w:tc>
        <w:tc>
          <w:tcPr>
            <w:tcW w:w="447" w:type="pct"/>
            <w:tcBorders>
              <w:tl2br w:val="nil"/>
              <w:tr2bl w:val="nil"/>
            </w:tcBorders>
            <w:vAlign w:val="center"/>
          </w:tcPr>
          <w:p w14:paraId="7499DC37">
            <w:pPr>
              <w:widowControl/>
              <w:topLinePunct w:val="0"/>
              <w:spacing w:line="240" w:lineRule="auto"/>
              <w:ind w:left="-72" w:leftChars="-30" w:right="-72" w:rightChars="-30" w:firstLine="0" w:firstLineChars="0"/>
              <w:jc w:val="center"/>
              <w:textAlignment w:val="center"/>
              <w:rPr>
                <w:b/>
                <w:bCs/>
                <w:color w:val="auto"/>
                <w:sz w:val="21"/>
                <w:szCs w:val="21"/>
                <w:highlight w:val="none"/>
                <w:u w:val="single"/>
              </w:rPr>
            </w:pPr>
            <w:r>
              <w:rPr>
                <w:b/>
                <w:bCs/>
                <w:color w:val="auto"/>
                <w:sz w:val="21"/>
                <w:szCs w:val="21"/>
                <w:highlight w:val="none"/>
                <w:u w:val="single"/>
                <w:lang w:bidi="ar"/>
              </w:rPr>
              <w:t>相符性</w:t>
            </w:r>
          </w:p>
        </w:tc>
      </w:tr>
      <w:tr w14:paraId="3DC0253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15" w:type="pct"/>
            <w:tcBorders>
              <w:tl2br w:val="nil"/>
              <w:tr2bl w:val="nil"/>
            </w:tcBorders>
            <w:vAlign w:val="center"/>
          </w:tcPr>
          <w:p w14:paraId="620DD540">
            <w:pPr>
              <w:widowControl/>
              <w:topLinePunct w:val="0"/>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 xml:space="preserve">1 </w:t>
            </w:r>
          </w:p>
        </w:tc>
        <w:tc>
          <w:tcPr>
            <w:tcW w:w="2752" w:type="pct"/>
            <w:tcBorders>
              <w:tl2br w:val="nil"/>
              <w:tr2bl w:val="nil"/>
            </w:tcBorders>
            <w:vAlign w:val="center"/>
          </w:tcPr>
          <w:p w14:paraId="47BADA8E">
            <w:pPr>
              <w:widowControl/>
              <w:topLinePunct w:val="0"/>
              <w:spacing w:line="240" w:lineRule="auto"/>
              <w:ind w:left="-72" w:leftChars="-30" w:right="-72" w:rightChars="-30" w:firstLine="420"/>
              <w:jc w:val="left"/>
              <w:textAlignment w:val="center"/>
              <w:rPr>
                <w:color w:val="auto"/>
                <w:sz w:val="21"/>
                <w:szCs w:val="21"/>
                <w:highlight w:val="none"/>
                <w:u w:val="single"/>
                <w:lang w:bidi="ar"/>
              </w:rPr>
            </w:pPr>
            <w:r>
              <w:rPr>
                <w:color w:val="auto"/>
                <w:sz w:val="21"/>
                <w:szCs w:val="21"/>
                <w:highlight w:val="none"/>
                <w:u w:val="single"/>
                <w:lang w:bidi="ar"/>
              </w:rPr>
              <w:t>大力推进源头替代。通过使用水性、粉末、高固体分、无溶剂、辐射固化等低VOCs含量的涂料，水性、辐射固化、植物基等低VOCs含量的油墨，水基、热熔、无溶剂、辐射固化、改性、生物降解等低VOCs含量的胶粘剂，以及低VOCs含量、低反应活性的清洗剂等，替代溶剂型涂料、油墨、胶粘剂、清洗剂等，从源头减少VOCs产生。</w:t>
            </w:r>
          </w:p>
          <w:p w14:paraId="665F5F69">
            <w:pPr>
              <w:widowControl/>
              <w:topLinePunct w:val="0"/>
              <w:spacing w:line="240" w:lineRule="auto"/>
              <w:ind w:left="-72" w:leftChars="-30" w:right="-72" w:rightChars="-30" w:firstLine="420"/>
              <w:jc w:val="left"/>
              <w:textAlignment w:val="center"/>
              <w:rPr>
                <w:color w:val="auto"/>
                <w:sz w:val="21"/>
                <w:szCs w:val="21"/>
                <w:highlight w:val="none"/>
                <w:u w:val="single"/>
              </w:rPr>
            </w:pPr>
            <w:r>
              <w:rPr>
                <w:color w:val="auto"/>
                <w:sz w:val="21"/>
                <w:szCs w:val="21"/>
                <w:highlight w:val="none"/>
                <w:u w:val="single"/>
                <w:lang w:bidi="ar"/>
              </w:rPr>
              <w:t>加强政策引导。企业采用符合国家有关低VOCs含量产品规定的涂料、油墨、胶粘剂等，排放浓度稳定达标且排放速率、排放绩效等满足相关规定的，相应生产工序可不要求建设末端治理设施。使用的原辅材料VOCs含量（质量比）低于10%的工序，可不要求采取无组织排放收集措施</w:t>
            </w:r>
          </w:p>
        </w:tc>
        <w:tc>
          <w:tcPr>
            <w:tcW w:w="1485" w:type="pct"/>
            <w:tcBorders>
              <w:tl2br w:val="nil"/>
              <w:tr2bl w:val="nil"/>
            </w:tcBorders>
            <w:vAlign w:val="center"/>
          </w:tcPr>
          <w:p w14:paraId="73DC3993">
            <w:pPr>
              <w:widowControl/>
              <w:topLinePunct w:val="0"/>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本项目</w:t>
            </w:r>
            <w:r>
              <w:rPr>
                <w:rFonts w:hint="eastAsia"/>
                <w:color w:val="auto"/>
                <w:sz w:val="21"/>
                <w:szCs w:val="21"/>
                <w:highlight w:val="none"/>
                <w:u w:val="single"/>
                <w:lang w:bidi="ar"/>
              </w:rPr>
              <w:t>喷漆过程均采用</w:t>
            </w:r>
            <w:r>
              <w:rPr>
                <w:color w:val="auto"/>
                <w:sz w:val="21"/>
                <w:szCs w:val="21"/>
                <w:highlight w:val="none"/>
                <w:u w:val="single"/>
                <w:lang w:bidi="ar"/>
              </w:rPr>
              <w:t>低VOCs含量</w:t>
            </w:r>
            <w:r>
              <w:rPr>
                <w:rFonts w:hint="eastAsia"/>
                <w:color w:val="auto"/>
                <w:sz w:val="21"/>
                <w:szCs w:val="21"/>
                <w:highlight w:val="none"/>
                <w:u w:val="single"/>
                <w:lang w:bidi="ar"/>
              </w:rPr>
              <w:t>的油漆，项目喷漆过程均为无组织排放，喷漆过程各污染物排放均能达标排放</w:t>
            </w:r>
            <w:r>
              <w:rPr>
                <w:color w:val="auto"/>
                <w:sz w:val="21"/>
                <w:szCs w:val="21"/>
                <w:highlight w:val="none"/>
                <w:u w:val="single"/>
                <w:lang w:bidi="ar"/>
              </w:rPr>
              <w:t>。</w:t>
            </w:r>
          </w:p>
        </w:tc>
        <w:tc>
          <w:tcPr>
            <w:tcW w:w="447" w:type="pct"/>
            <w:tcBorders>
              <w:tl2br w:val="nil"/>
              <w:tr2bl w:val="nil"/>
            </w:tcBorders>
            <w:vAlign w:val="center"/>
          </w:tcPr>
          <w:p w14:paraId="6299B4F6">
            <w:pPr>
              <w:widowControl/>
              <w:topLinePunct w:val="0"/>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符合</w:t>
            </w:r>
          </w:p>
        </w:tc>
      </w:tr>
      <w:tr w14:paraId="786D87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50" w:hRule="atLeast"/>
        </w:trPr>
        <w:tc>
          <w:tcPr>
            <w:tcW w:w="315" w:type="pct"/>
            <w:tcBorders>
              <w:tl2br w:val="nil"/>
              <w:tr2bl w:val="nil"/>
            </w:tcBorders>
            <w:vAlign w:val="center"/>
          </w:tcPr>
          <w:p w14:paraId="0F61C099">
            <w:pPr>
              <w:widowControl/>
              <w:topLinePunct w:val="0"/>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 xml:space="preserve">2 </w:t>
            </w:r>
          </w:p>
        </w:tc>
        <w:tc>
          <w:tcPr>
            <w:tcW w:w="2752" w:type="pct"/>
            <w:tcBorders>
              <w:tl2br w:val="nil"/>
              <w:tr2bl w:val="nil"/>
            </w:tcBorders>
            <w:vAlign w:val="center"/>
          </w:tcPr>
          <w:p w14:paraId="342677D6">
            <w:pPr>
              <w:widowControl/>
              <w:topLinePunct w:val="0"/>
              <w:spacing w:line="240" w:lineRule="auto"/>
              <w:ind w:left="-72" w:leftChars="-30" w:right="-72" w:rightChars="-30" w:firstLine="420"/>
              <w:jc w:val="left"/>
              <w:textAlignment w:val="center"/>
              <w:rPr>
                <w:color w:val="auto"/>
                <w:sz w:val="21"/>
                <w:szCs w:val="21"/>
                <w:highlight w:val="none"/>
                <w:u w:val="single"/>
                <w:lang w:bidi="ar"/>
              </w:rPr>
            </w:pPr>
            <w:r>
              <w:rPr>
                <w:color w:val="auto"/>
                <w:sz w:val="21"/>
                <w:szCs w:val="21"/>
                <w:highlight w:val="none"/>
                <w:u w:val="single"/>
                <w:lang w:bidi="ar"/>
              </w:rPr>
              <w:t>全面加强无组织排放控制。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w:t>
            </w:r>
          </w:p>
          <w:p w14:paraId="42D026CE">
            <w:pPr>
              <w:widowControl/>
              <w:topLinePunct w:val="0"/>
              <w:spacing w:line="240" w:lineRule="auto"/>
              <w:ind w:left="-72" w:leftChars="-30" w:right="-72" w:rightChars="-30" w:firstLine="420"/>
              <w:jc w:val="left"/>
              <w:textAlignment w:val="center"/>
              <w:rPr>
                <w:color w:val="auto"/>
                <w:sz w:val="21"/>
                <w:szCs w:val="21"/>
                <w:highlight w:val="none"/>
                <w:u w:val="single"/>
                <w:lang w:bidi="ar"/>
              </w:rPr>
            </w:pPr>
            <w:r>
              <w:rPr>
                <w:color w:val="auto"/>
                <w:sz w:val="21"/>
                <w:szCs w:val="21"/>
                <w:highlight w:val="none"/>
                <w:u w:val="single"/>
                <w:lang w:bidi="ar"/>
              </w:rPr>
              <w:t>加强设备与场所密闭管理。含VOCs物料应储存于密闭容器、包装袋，高效密封储罐，封闭式储库、料仓等。含VOCs物料转移和输送，应采用密闭管道或密闭容器、罐车等。高VOCs含量废水（废水液面上方100毫米处VOCs检测浓度超过200ppm，其中，重点区域超过100ppm，以碳计）的集输、储存和处理过程，应加盖密闭。含VOCs物料生产和使用过程，应采取有效收集措施或在密闭空间中操作。</w:t>
            </w:r>
          </w:p>
          <w:p w14:paraId="466D936A">
            <w:pPr>
              <w:widowControl/>
              <w:topLinePunct w:val="0"/>
              <w:spacing w:line="240" w:lineRule="auto"/>
              <w:ind w:left="-72" w:leftChars="-30" w:right="-72" w:rightChars="-30" w:firstLine="420"/>
              <w:jc w:val="left"/>
              <w:textAlignment w:val="center"/>
              <w:rPr>
                <w:color w:val="auto"/>
                <w:sz w:val="21"/>
                <w:szCs w:val="21"/>
                <w:highlight w:val="none"/>
                <w:u w:val="single"/>
                <w:lang w:bidi="ar"/>
              </w:rPr>
            </w:pPr>
            <w:r>
              <w:rPr>
                <w:color w:val="auto"/>
                <w:sz w:val="21"/>
                <w:szCs w:val="21"/>
                <w:highlight w:val="none"/>
                <w:u w:val="single"/>
                <w:lang w:bidi="ar"/>
              </w:rPr>
              <w:t>推进使用先进生产工艺。通过采用全密闭、连续化、自动化等生产技术，以及高效工艺与设备等，减少工艺过程无组织排放。挥发性有机液体装载优先采用底部装载方式。石化、化工行业重点推进使用低（无）泄漏的泵、压缩机、过滤机、离心机、干燥设备等，推广采用油品在线调和技术、密闭式循环水冷却系统等。工业涂装行业重点推进使用紧凑式涂装工艺，推广采用辊涂、静电喷涂、高压无气喷涂、空气辅助无气喷涂、热喷涂等涂装技术，鼓励企业采用自动化、智能化喷涂设备替代人工喷涂，减少使用空气喷涂技术。包装印刷行业大力推广使用无溶剂复合、挤出复合、共挤出复合技术，鼓励采用水性凹印、醇水凹印、辐射固化凹印、柔版印刷、无水胶印等印刷工艺。</w:t>
            </w:r>
          </w:p>
          <w:p w14:paraId="74BD1688">
            <w:pPr>
              <w:widowControl/>
              <w:topLinePunct w:val="0"/>
              <w:spacing w:line="240" w:lineRule="auto"/>
              <w:ind w:left="-72" w:leftChars="-30" w:right="-72" w:rightChars="-30" w:firstLine="420"/>
              <w:jc w:val="left"/>
              <w:textAlignment w:val="center"/>
              <w:rPr>
                <w:color w:val="auto"/>
                <w:sz w:val="21"/>
                <w:szCs w:val="21"/>
                <w:highlight w:val="none"/>
                <w:u w:val="single"/>
                <w:lang w:bidi="ar"/>
              </w:rPr>
            </w:pPr>
            <w:r>
              <w:rPr>
                <w:color w:val="auto"/>
                <w:sz w:val="21"/>
                <w:szCs w:val="21"/>
                <w:highlight w:val="none"/>
                <w:u w:val="single"/>
                <w:lang w:bidi="ar"/>
              </w:rPr>
              <w:t>提高废气收集率。遵循“应收尽收、分质收集”的原则，科学设计废气收集系统，将无组织排放转变为有组织排放进行控制。采用全密闭集气罩或密闭空间的，除行业有特殊要求外，应保持微负压状态，并根据相关规范合理设置通风量。采用局部集气罩的，距集气罩开口面最远处的VOCs无组织排放位置，控制风速应不低于0.3米/秒，有行业要求的按相关规定执行。</w:t>
            </w:r>
          </w:p>
          <w:p w14:paraId="1516551F">
            <w:pPr>
              <w:widowControl/>
              <w:topLinePunct w:val="0"/>
              <w:spacing w:line="240" w:lineRule="auto"/>
              <w:ind w:left="-72" w:leftChars="-30" w:right="-72" w:rightChars="-30" w:firstLine="420"/>
              <w:jc w:val="left"/>
              <w:textAlignment w:val="center"/>
              <w:rPr>
                <w:color w:val="auto"/>
                <w:sz w:val="21"/>
                <w:szCs w:val="21"/>
                <w:highlight w:val="none"/>
                <w:u w:val="single"/>
              </w:rPr>
            </w:pPr>
            <w:r>
              <w:rPr>
                <w:color w:val="auto"/>
                <w:sz w:val="21"/>
                <w:szCs w:val="21"/>
                <w:highlight w:val="none"/>
                <w:u w:val="single"/>
                <w:lang w:bidi="ar"/>
              </w:rPr>
              <w:t>加强设备与管线组件泄漏控制。企业中载有气态、液态VOCs物料的设备与管线组件，密封点数量大于等于2000个的，应按要求开展LDAR工作。石化企业按行业排放标准规定执行。</w:t>
            </w:r>
          </w:p>
        </w:tc>
        <w:tc>
          <w:tcPr>
            <w:tcW w:w="1485" w:type="pct"/>
            <w:tcBorders>
              <w:tl2br w:val="nil"/>
              <w:tr2bl w:val="nil"/>
            </w:tcBorders>
            <w:vAlign w:val="center"/>
          </w:tcPr>
          <w:p w14:paraId="14CC4787">
            <w:pPr>
              <w:widowControl/>
              <w:topLinePunct w:val="0"/>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本项目含VOCs物料均为密闭瓶装储存，采用密闭容器</w:t>
            </w:r>
            <w:r>
              <w:rPr>
                <w:rFonts w:hint="eastAsia"/>
                <w:color w:val="auto"/>
                <w:sz w:val="21"/>
                <w:szCs w:val="21"/>
                <w:highlight w:val="none"/>
                <w:u w:val="single"/>
                <w:lang w:bidi="ar"/>
              </w:rPr>
              <w:t>进行</w:t>
            </w:r>
            <w:r>
              <w:rPr>
                <w:color w:val="auto"/>
                <w:sz w:val="21"/>
                <w:szCs w:val="21"/>
                <w:highlight w:val="none"/>
                <w:u w:val="single"/>
                <w:lang w:bidi="ar"/>
              </w:rPr>
              <w:t>VOCs物料转移和输送</w:t>
            </w:r>
            <w:r>
              <w:rPr>
                <w:rFonts w:hint="eastAsia"/>
                <w:color w:val="auto"/>
                <w:sz w:val="21"/>
                <w:szCs w:val="21"/>
                <w:highlight w:val="none"/>
                <w:u w:val="single"/>
                <w:lang w:bidi="ar"/>
              </w:rPr>
              <w:t>；船坞内喷漆区域无法密闭设置，通过加强船体通风进行排放，均为无组织排放</w:t>
            </w:r>
            <w:r>
              <w:rPr>
                <w:color w:val="auto"/>
                <w:sz w:val="21"/>
                <w:szCs w:val="21"/>
                <w:highlight w:val="none"/>
                <w:u w:val="single"/>
                <w:lang w:bidi="ar"/>
              </w:rPr>
              <w:t>；</w:t>
            </w:r>
            <w:r>
              <w:rPr>
                <w:rFonts w:hint="eastAsia"/>
                <w:color w:val="auto"/>
                <w:sz w:val="21"/>
                <w:szCs w:val="21"/>
                <w:highlight w:val="none"/>
                <w:u w:val="single"/>
                <w:lang w:bidi="ar"/>
              </w:rPr>
              <w:t>项目采取高压无气喷涂方式，减少喷漆过程</w:t>
            </w:r>
            <w:r>
              <w:rPr>
                <w:color w:val="auto"/>
                <w:sz w:val="21"/>
                <w:szCs w:val="21"/>
                <w:highlight w:val="none"/>
                <w:u w:val="single"/>
                <w:lang w:bidi="ar"/>
              </w:rPr>
              <w:t>VOCs</w:t>
            </w:r>
            <w:r>
              <w:rPr>
                <w:rFonts w:hint="eastAsia"/>
                <w:color w:val="auto"/>
                <w:sz w:val="21"/>
                <w:szCs w:val="21"/>
                <w:highlight w:val="none"/>
                <w:u w:val="single"/>
                <w:lang w:bidi="ar"/>
              </w:rPr>
              <w:t>的挥发</w:t>
            </w:r>
            <w:r>
              <w:rPr>
                <w:color w:val="auto"/>
                <w:sz w:val="21"/>
                <w:szCs w:val="21"/>
                <w:highlight w:val="none"/>
                <w:u w:val="single"/>
                <w:lang w:bidi="ar"/>
              </w:rPr>
              <w:t>。</w:t>
            </w:r>
          </w:p>
        </w:tc>
        <w:tc>
          <w:tcPr>
            <w:tcW w:w="447" w:type="pct"/>
            <w:tcBorders>
              <w:tl2br w:val="nil"/>
              <w:tr2bl w:val="nil"/>
            </w:tcBorders>
            <w:vAlign w:val="center"/>
          </w:tcPr>
          <w:p w14:paraId="7BE0C188">
            <w:pPr>
              <w:widowControl/>
              <w:topLinePunct w:val="0"/>
              <w:spacing w:line="240" w:lineRule="auto"/>
              <w:ind w:left="-72" w:leftChars="-30" w:right="-72" w:rightChars="-30" w:firstLine="0" w:firstLineChars="0"/>
              <w:jc w:val="center"/>
              <w:textAlignment w:val="center"/>
              <w:rPr>
                <w:color w:val="auto"/>
                <w:sz w:val="21"/>
                <w:szCs w:val="21"/>
                <w:highlight w:val="none"/>
                <w:u w:val="single"/>
              </w:rPr>
            </w:pPr>
            <w:r>
              <w:rPr>
                <w:rFonts w:hint="eastAsia"/>
                <w:color w:val="auto"/>
                <w:sz w:val="21"/>
                <w:szCs w:val="21"/>
                <w:highlight w:val="none"/>
                <w:u w:val="single"/>
              </w:rPr>
              <w:t>符合</w:t>
            </w:r>
          </w:p>
        </w:tc>
      </w:tr>
      <w:tr w14:paraId="7F73B87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15" w:type="pct"/>
            <w:tcBorders>
              <w:tl2br w:val="nil"/>
              <w:tr2bl w:val="nil"/>
            </w:tcBorders>
            <w:vAlign w:val="center"/>
          </w:tcPr>
          <w:p w14:paraId="1CE6A9AE">
            <w:pPr>
              <w:widowControl/>
              <w:topLinePunct w:val="0"/>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 xml:space="preserve">3 </w:t>
            </w:r>
          </w:p>
        </w:tc>
        <w:tc>
          <w:tcPr>
            <w:tcW w:w="2752" w:type="pct"/>
            <w:tcBorders>
              <w:tl2br w:val="nil"/>
              <w:tr2bl w:val="nil"/>
            </w:tcBorders>
            <w:vAlign w:val="center"/>
          </w:tcPr>
          <w:p w14:paraId="580828D7">
            <w:pPr>
              <w:widowControl/>
              <w:topLinePunct w:val="0"/>
              <w:spacing w:line="240" w:lineRule="auto"/>
              <w:ind w:left="-72" w:leftChars="-30" w:right="-72" w:rightChars="-30" w:firstLine="420"/>
              <w:jc w:val="left"/>
              <w:textAlignment w:val="center"/>
              <w:rPr>
                <w:color w:val="auto"/>
                <w:sz w:val="21"/>
                <w:szCs w:val="21"/>
                <w:highlight w:val="none"/>
                <w:u w:val="single"/>
                <w:lang w:bidi="ar"/>
              </w:rPr>
            </w:pPr>
            <w:r>
              <w:rPr>
                <w:color w:val="auto"/>
                <w:sz w:val="21"/>
                <w:szCs w:val="21"/>
                <w:highlight w:val="none"/>
                <w:u w:val="single"/>
                <w:lang w:bidi="ar"/>
              </w:rPr>
              <w:t>推进建设适宜高效的治污设施。企业新建治污设施或对现有治污设施实施改造，应依据排放废气的浓度、组分、风量，温度、湿度、压力，以及生产工况等，合理选择治理技术。鼓励企业采用多种技术的组合工艺，提高VOCs治理效率。低浓度、大风量废气，宜采用沸石转轮吸附、活性炭吸附、减风增浓等浓缩技术，提高VOCs浓度后净化处理；高浓度废气，优先进行溶剂回收，难以回收的，宜采用高温焚烧、催化燃烧等技术。油气（溶剂）回收宜采用冷凝+吸附、吸附+吸收、膜分离+吸附等技术。低温等离子、光催化、光氧化技术主要适用于恶臭异味等治理；生物法主要适用于低浓度VOCs废气治理和恶臭异味治理。非水溶性的VOCs废气禁止采用水或水溶液喷淋吸收处理。采用一次性活性炭吸附技术的，应定期更换活性炭，废旧活性炭应再生或处理处置。有条件的工业园区和产业集群等，推广集中喷涂、溶剂集中回收、活性炭集中再生等，加强资源共享，提高VOCs治理效率。</w:t>
            </w:r>
          </w:p>
          <w:p w14:paraId="4C139586">
            <w:pPr>
              <w:widowControl/>
              <w:topLinePunct w:val="0"/>
              <w:spacing w:line="240" w:lineRule="auto"/>
              <w:ind w:left="-72" w:leftChars="-30" w:right="-72" w:rightChars="-30" w:firstLine="420"/>
              <w:jc w:val="left"/>
              <w:textAlignment w:val="center"/>
              <w:rPr>
                <w:color w:val="auto"/>
                <w:sz w:val="21"/>
                <w:szCs w:val="21"/>
                <w:highlight w:val="none"/>
                <w:u w:val="single"/>
                <w:lang w:bidi="ar"/>
              </w:rPr>
            </w:pPr>
            <w:r>
              <w:rPr>
                <w:color w:val="auto"/>
                <w:sz w:val="21"/>
                <w:szCs w:val="21"/>
                <w:highlight w:val="none"/>
                <w:u w:val="single"/>
                <w:lang w:bidi="ar"/>
              </w:rPr>
              <w:t>规范工程设计。采用吸附处理工艺的，应满足《吸附法工业有机废气治理工程技术规范》要求。采用催化燃烧工艺的，应满足《催化燃烧法工业有机废气治理工程技术规范》要求。采用蓄热燃烧等其他处理工艺的，应按相关技术规范要求设计。</w:t>
            </w:r>
          </w:p>
          <w:p w14:paraId="265C1238">
            <w:pPr>
              <w:widowControl/>
              <w:topLinePunct w:val="0"/>
              <w:spacing w:line="240" w:lineRule="auto"/>
              <w:ind w:left="-72" w:leftChars="-30" w:right="-72" w:rightChars="-30" w:firstLine="420"/>
              <w:jc w:val="left"/>
              <w:textAlignment w:val="center"/>
              <w:rPr>
                <w:color w:val="auto"/>
                <w:sz w:val="21"/>
                <w:szCs w:val="21"/>
                <w:highlight w:val="none"/>
                <w:u w:val="single"/>
              </w:rPr>
            </w:pPr>
            <w:r>
              <w:rPr>
                <w:color w:val="auto"/>
                <w:sz w:val="21"/>
                <w:szCs w:val="21"/>
                <w:highlight w:val="none"/>
                <w:u w:val="single"/>
                <w:lang w:bidi="ar"/>
              </w:rPr>
              <w:t>实行重点排放源排放浓度与去除效率双重控制。车间或生产设施收集排放的废气，VOCs初始排放速率大于等于3千克/小时、重点区域大于等于2千克/小时的，应加大控制力度，除确保排放浓度稳定达标外，还应实行去除效率控制，去除效率不低于80%；采用的原辅材料符合国家有关低VOCs含量产品规定的除外，有行业排放标准的按其相关规定执行。</w:t>
            </w:r>
          </w:p>
        </w:tc>
        <w:tc>
          <w:tcPr>
            <w:tcW w:w="1485" w:type="pct"/>
            <w:tcBorders>
              <w:tl2br w:val="nil"/>
              <w:tr2bl w:val="nil"/>
            </w:tcBorders>
            <w:vAlign w:val="center"/>
          </w:tcPr>
          <w:p w14:paraId="3533AE55">
            <w:pPr>
              <w:widowControl/>
              <w:topLinePunct w:val="0"/>
              <w:spacing w:line="240" w:lineRule="auto"/>
              <w:ind w:left="-72" w:leftChars="-30" w:right="-72" w:rightChars="-30" w:firstLine="0" w:firstLineChars="0"/>
              <w:jc w:val="center"/>
              <w:textAlignment w:val="center"/>
              <w:rPr>
                <w:color w:val="auto"/>
                <w:sz w:val="21"/>
                <w:szCs w:val="21"/>
                <w:highlight w:val="none"/>
                <w:u w:val="single"/>
              </w:rPr>
            </w:pPr>
            <w:r>
              <w:rPr>
                <w:rFonts w:hint="eastAsia"/>
                <w:color w:val="auto"/>
                <w:sz w:val="21"/>
                <w:szCs w:val="21"/>
                <w:highlight w:val="none"/>
                <w:u w:val="single"/>
                <w:lang w:bidi="ar"/>
              </w:rPr>
              <w:t>在实际坞修生产中，船坞喷漆点较为分散，且船坞设置在海边，风速较大，移动式废气收集处理设施收集率不高，对于室外进行的喷漆，目前尚无有效收集措施，因此本项目船坞喷漆废气主要采取无组织的形式排放。</w:t>
            </w:r>
          </w:p>
        </w:tc>
        <w:tc>
          <w:tcPr>
            <w:tcW w:w="447" w:type="pct"/>
            <w:tcBorders>
              <w:tl2br w:val="nil"/>
              <w:tr2bl w:val="nil"/>
            </w:tcBorders>
            <w:vAlign w:val="center"/>
          </w:tcPr>
          <w:p w14:paraId="1AB3D15E">
            <w:pPr>
              <w:widowControl/>
              <w:topLinePunct w:val="0"/>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符合</w:t>
            </w:r>
          </w:p>
        </w:tc>
      </w:tr>
      <w:tr w14:paraId="2BA81F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15" w:type="pct"/>
            <w:tcBorders>
              <w:tl2br w:val="nil"/>
              <w:tr2bl w:val="nil"/>
            </w:tcBorders>
            <w:vAlign w:val="center"/>
          </w:tcPr>
          <w:p w14:paraId="1579C691">
            <w:pPr>
              <w:widowControl/>
              <w:topLinePunct w:val="0"/>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 xml:space="preserve">4 </w:t>
            </w:r>
          </w:p>
        </w:tc>
        <w:tc>
          <w:tcPr>
            <w:tcW w:w="2752" w:type="pct"/>
            <w:tcBorders>
              <w:tl2br w:val="nil"/>
              <w:tr2bl w:val="nil"/>
            </w:tcBorders>
            <w:vAlign w:val="center"/>
          </w:tcPr>
          <w:p w14:paraId="7BC367D6">
            <w:pPr>
              <w:widowControl/>
              <w:topLinePunct w:val="0"/>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深入实施精细化管控。各地应围绕当地环境空气质量改善要求，根据O₃、PM2.5来源解析，结合行业污染排放特征和VOCs物质光化学反应活性等，确定本地区VOCs控制的重点行业和重点污染物，兼顾恶臭污染物和有毒有害物质控制等，提出有效管控方案，提高VOCs治理的精准性、针对性和有效性。加强企业运行管理，企业应系统梳理VOCs排放主要环节和工序，包括启停机、检维修作业等，制定具体操作规程，落实到具体责任人。健全内部考核制度。建立管理台账，记录企业生产和治污设施运行的关键参数，在线监控参数要确保能够实时调取，相关台账记录至少保存三年。</w:t>
            </w:r>
          </w:p>
        </w:tc>
        <w:tc>
          <w:tcPr>
            <w:tcW w:w="1485" w:type="pct"/>
            <w:tcBorders>
              <w:tl2br w:val="nil"/>
              <w:tr2bl w:val="nil"/>
            </w:tcBorders>
            <w:vAlign w:val="center"/>
          </w:tcPr>
          <w:p w14:paraId="127381AB">
            <w:pPr>
              <w:widowControl/>
              <w:topLinePunct w:val="0"/>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企业运营后拟完善的环境管理制度，梳理VOCs排放主要环节和工序，制定具体操作规程，建立管理台账，记录企业生产。和废气治理措施运行的关键参数，管理台账记录至少保存3年。</w:t>
            </w:r>
          </w:p>
        </w:tc>
        <w:tc>
          <w:tcPr>
            <w:tcW w:w="447" w:type="pct"/>
            <w:tcBorders>
              <w:tl2br w:val="nil"/>
              <w:tr2bl w:val="nil"/>
            </w:tcBorders>
            <w:vAlign w:val="center"/>
          </w:tcPr>
          <w:p w14:paraId="74423996">
            <w:pPr>
              <w:widowControl/>
              <w:topLinePunct w:val="0"/>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符合</w:t>
            </w:r>
          </w:p>
        </w:tc>
      </w:tr>
    </w:tbl>
    <w:p w14:paraId="6BD64D08">
      <w:pPr>
        <w:pStyle w:val="8"/>
        <w:rPr>
          <w:color w:val="auto"/>
          <w:highlight w:val="none"/>
          <w:u w:val="single"/>
        </w:rPr>
      </w:pPr>
      <w:r>
        <w:rPr>
          <w:rFonts w:hint="eastAsia"/>
          <w:color w:val="auto"/>
          <w:highlight w:val="none"/>
          <w:u w:val="single"/>
        </w:rPr>
        <w:t>（4）与《挥发性有机物无组织排放控制标准》（GB37822-2019）的相符性分析</w:t>
      </w:r>
    </w:p>
    <w:p w14:paraId="17560EAA">
      <w:pPr>
        <w:pStyle w:val="91"/>
        <w:adjustRightInd w:val="0"/>
        <w:snapToGrid w:val="0"/>
        <w:spacing w:after="0" w:line="360" w:lineRule="auto"/>
        <w:ind w:left="480" w:firstLine="480"/>
        <w:rPr>
          <w:rFonts w:ascii="Times New Roman" w:hAnsi="Times New Roman" w:cs="Times New Roman"/>
          <w:color w:val="auto"/>
          <w:sz w:val="24"/>
          <w:highlight w:val="none"/>
          <w:u w:val="single"/>
        </w:rPr>
      </w:pPr>
      <w:r>
        <w:rPr>
          <w:rFonts w:ascii="Times New Roman" w:hAnsi="Times New Roman" w:cs="Times New Roman"/>
          <w:color w:val="auto"/>
          <w:sz w:val="24"/>
          <w:highlight w:val="none"/>
          <w:u w:val="single"/>
        </w:rPr>
        <w:t>本项目符合《挥发性有机物无组织排放控制标准》（GB37822-2019）中的相关要求，具体分析见下表。</w:t>
      </w:r>
    </w:p>
    <w:p w14:paraId="5B7D52D1">
      <w:pPr>
        <w:topLinePunct w:val="0"/>
        <w:adjustRightInd/>
        <w:snapToGrid/>
        <w:spacing w:line="240" w:lineRule="auto"/>
        <w:ind w:firstLine="0" w:firstLineChars="0"/>
        <w:jc w:val="center"/>
        <w:rPr>
          <w:b/>
          <w:bCs/>
          <w:color w:val="auto"/>
          <w:sz w:val="21"/>
          <w:szCs w:val="21"/>
          <w:highlight w:val="none"/>
          <w:u w:val="single"/>
        </w:rPr>
      </w:pPr>
      <w:r>
        <w:rPr>
          <w:b/>
          <w:bCs/>
          <w:color w:val="auto"/>
          <w:sz w:val="21"/>
          <w:szCs w:val="21"/>
          <w:highlight w:val="none"/>
          <w:u w:val="single"/>
        </w:rPr>
        <w:t>表</w:t>
      </w:r>
      <w:r>
        <w:rPr>
          <w:rFonts w:hint="eastAsia"/>
          <w:b/>
          <w:bCs/>
          <w:color w:val="auto"/>
          <w:sz w:val="21"/>
          <w:szCs w:val="21"/>
          <w:highlight w:val="none"/>
          <w:u w:val="single"/>
        </w:rPr>
        <w:t>4</w:t>
      </w:r>
      <w:r>
        <w:rPr>
          <w:b/>
          <w:bCs/>
          <w:color w:val="auto"/>
          <w:sz w:val="21"/>
          <w:szCs w:val="21"/>
          <w:highlight w:val="none"/>
          <w:u w:val="single"/>
        </w:rPr>
        <w:t xml:space="preserve"> 与《挥发性有机物无组织排放控制标准》（GB37822-2019）的相符性分析表</w:t>
      </w:r>
    </w:p>
    <w:tbl>
      <w:tblPr>
        <w:tblStyle w:val="92"/>
        <w:tblW w:w="4994"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624"/>
        <w:gridCol w:w="4187"/>
        <w:gridCol w:w="3057"/>
        <w:gridCol w:w="842"/>
      </w:tblGrid>
      <w:tr w14:paraId="3DD809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blHeader/>
        </w:trPr>
        <w:tc>
          <w:tcPr>
            <w:tcW w:w="358" w:type="pct"/>
            <w:tcBorders>
              <w:tl2br w:val="nil"/>
              <w:tr2bl w:val="nil"/>
            </w:tcBorders>
            <w:vAlign w:val="center"/>
          </w:tcPr>
          <w:p w14:paraId="71DF0B91">
            <w:pPr>
              <w:widowControl/>
              <w:topLinePunct w:val="0"/>
              <w:spacing w:line="240" w:lineRule="auto"/>
              <w:ind w:firstLine="0" w:firstLineChars="0"/>
              <w:jc w:val="center"/>
              <w:textAlignment w:val="center"/>
              <w:rPr>
                <w:b/>
                <w:bCs/>
                <w:color w:val="auto"/>
                <w:sz w:val="21"/>
                <w:szCs w:val="21"/>
                <w:highlight w:val="none"/>
                <w:u w:val="single"/>
              </w:rPr>
            </w:pPr>
            <w:r>
              <w:rPr>
                <w:b/>
                <w:bCs/>
                <w:color w:val="auto"/>
                <w:sz w:val="21"/>
                <w:szCs w:val="21"/>
                <w:highlight w:val="none"/>
                <w:u w:val="single"/>
                <w:lang w:bidi="ar"/>
              </w:rPr>
              <w:t>序号</w:t>
            </w:r>
          </w:p>
        </w:tc>
        <w:tc>
          <w:tcPr>
            <w:tcW w:w="2403" w:type="pct"/>
            <w:tcBorders>
              <w:tl2br w:val="nil"/>
              <w:tr2bl w:val="nil"/>
            </w:tcBorders>
            <w:vAlign w:val="center"/>
          </w:tcPr>
          <w:p w14:paraId="14CBAC3E">
            <w:pPr>
              <w:widowControl/>
              <w:topLinePunct w:val="0"/>
              <w:spacing w:line="240" w:lineRule="auto"/>
              <w:ind w:firstLine="0" w:firstLineChars="0"/>
              <w:jc w:val="center"/>
              <w:textAlignment w:val="center"/>
              <w:rPr>
                <w:b/>
                <w:bCs/>
                <w:color w:val="auto"/>
                <w:sz w:val="21"/>
                <w:szCs w:val="21"/>
                <w:highlight w:val="none"/>
                <w:u w:val="single"/>
              </w:rPr>
            </w:pPr>
            <w:r>
              <w:rPr>
                <w:b/>
                <w:bCs/>
                <w:color w:val="auto"/>
                <w:sz w:val="21"/>
                <w:szCs w:val="21"/>
                <w:highlight w:val="none"/>
                <w:u w:val="single"/>
                <w:lang w:bidi="ar"/>
              </w:rPr>
              <w:t>相关政策要求</w:t>
            </w:r>
          </w:p>
        </w:tc>
        <w:tc>
          <w:tcPr>
            <w:tcW w:w="1754" w:type="pct"/>
            <w:tcBorders>
              <w:tl2br w:val="nil"/>
              <w:tr2bl w:val="nil"/>
            </w:tcBorders>
            <w:vAlign w:val="center"/>
          </w:tcPr>
          <w:p w14:paraId="649B9605">
            <w:pPr>
              <w:widowControl/>
              <w:topLinePunct w:val="0"/>
              <w:spacing w:line="240" w:lineRule="auto"/>
              <w:ind w:firstLine="0" w:firstLineChars="0"/>
              <w:jc w:val="center"/>
              <w:textAlignment w:val="center"/>
              <w:rPr>
                <w:b/>
                <w:bCs/>
                <w:color w:val="auto"/>
                <w:sz w:val="21"/>
                <w:szCs w:val="21"/>
                <w:highlight w:val="none"/>
                <w:u w:val="single"/>
              </w:rPr>
            </w:pPr>
            <w:r>
              <w:rPr>
                <w:b/>
                <w:bCs/>
                <w:color w:val="auto"/>
                <w:sz w:val="21"/>
                <w:szCs w:val="21"/>
                <w:highlight w:val="none"/>
                <w:u w:val="single"/>
                <w:lang w:bidi="ar"/>
              </w:rPr>
              <w:t>本项目情况</w:t>
            </w:r>
          </w:p>
        </w:tc>
        <w:tc>
          <w:tcPr>
            <w:tcW w:w="483" w:type="pct"/>
            <w:tcBorders>
              <w:tl2br w:val="nil"/>
              <w:tr2bl w:val="nil"/>
            </w:tcBorders>
            <w:vAlign w:val="center"/>
          </w:tcPr>
          <w:p w14:paraId="3FD7334E">
            <w:pPr>
              <w:widowControl/>
              <w:topLinePunct w:val="0"/>
              <w:spacing w:line="240" w:lineRule="auto"/>
              <w:ind w:firstLine="0" w:firstLineChars="0"/>
              <w:jc w:val="center"/>
              <w:textAlignment w:val="center"/>
              <w:rPr>
                <w:b/>
                <w:bCs/>
                <w:color w:val="auto"/>
                <w:sz w:val="21"/>
                <w:szCs w:val="21"/>
                <w:highlight w:val="none"/>
                <w:u w:val="single"/>
              </w:rPr>
            </w:pPr>
            <w:r>
              <w:rPr>
                <w:b/>
                <w:bCs/>
                <w:color w:val="auto"/>
                <w:sz w:val="21"/>
                <w:szCs w:val="21"/>
                <w:highlight w:val="none"/>
                <w:u w:val="single"/>
                <w:lang w:bidi="ar"/>
              </w:rPr>
              <w:t>相符性</w:t>
            </w:r>
          </w:p>
        </w:tc>
      </w:tr>
      <w:tr w14:paraId="3F95A07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58" w:type="pct"/>
            <w:tcBorders>
              <w:tl2br w:val="nil"/>
              <w:tr2bl w:val="nil"/>
            </w:tcBorders>
            <w:vAlign w:val="center"/>
          </w:tcPr>
          <w:p w14:paraId="2403C970">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1</w:t>
            </w:r>
          </w:p>
        </w:tc>
        <w:tc>
          <w:tcPr>
            <w:tcW w:w="2403" w:type="pct"/>
            <w:tcBorders>
              <w:tl2br w:val="nil"/>
              <w:tr2bl w:val="nil"/>
            </w:tcBorders>
            <w:vAlign w:val="center"/>
          </w:tcPr>
          <w:p w14:paraId="40538CB4">
            <w:pPr>
              <w:widowControl/>
              <w:topLinePunct w:val="0"/>
              <w:spacing w:line="240" w:lineRule="auto"/>
              <w:ind w:firstLine="0" w:firstLineChars="0"/>
              <w:textAlignment w:val="top"/>
              <w:rPr>
                <w:color w:val="auto"/>
                <w:sz w:val="21"/>
                <w:szCs w:val="21"/>
                <w:highlight w:val="none"/>
                <w:u w:val="single"/>
                <w:lang w:bidi="ar"/>
              </w:rPr>
            </w:pPr>
            <w:r>
              <w:rPr>
                <w:color w:val="auto"/>
                <w:sz w:val="21"/>
                <w:szCs w:val="21"/>
                <w:highlight w:val="none"/>
                <w:u w:val="single"/>
                <w:lang w:bidi="ar"/>
              </w:rPr>
              <w:t>VOCs物料应储存于密闭的容器、包装袋、储罐、储库、料仓中；</w:t>
            </w:r>
          </w:p>
          <w:p w14:paraId="6049A603">
            <w:pPr>
              <w:widowControl/>
              <w:topLinePunct w:val="0"/>
              <w:spacing w:line="240" w:lineRule="auto"/>
              <w:ind w:firstLine="0" w:firstLineChars="0"/>
              <w:textAlignment w:val="top"/>
              <w:rPr>
                <w:color w:val="auto"/>
                <w:sz w:val="21"/>
                <w:szCs w:val="21"/>
                <w:highlight w:val="none"/>
                <w:u w:val="single"/>
              </w:rPr>
            </w:pPr>
            <w:r>
              <w:rPr>
                <w:color w:val="auto"/>
                <w:sz w:val="21"/>
                <w:szCs w:val="21"/>
                <w:highlight w:val="none"/>
                <w:u w:val="single"/>
                <w:lang w:bidi="ar"/>
              </w:rPr>
              <w:t>盛装VOCs物料的容器或包装袋应存放于室内，或存放于设置有雨棚、遮阳和防渗设施的专用场地。盛装VOCs物料的容器或包装袋在非取用状态时应加盖、封口，保持密闭。</w:t>
            </w:r>
          </w:p>
        </w:tc>
        <w:tc>
          <w:tcPr>
            <w:tcW w:w="1754" w:type="pct"/>
            <w:tcBorders>
              <w:tl2br w:val="nil"/>
              <w:tr2bl w:val="nil"/>
            </w:tcBorders>
            <w:vAlign w:val="center"/>
          </w:tcPr>
          <w:p w14:paraId="0472AC04">
            <w:pPr>
              <w:widowControl/>
              <w:topLinePunct w:val="0"/>
              <w:spacing w:line="240" w:lineRule="auto"/>
              <w:ind w:firstLine="0" w:firstLineChars="0"/>
              <w:jc w:val="center"/>
              <w:textAlignment w:val="top"/>
              <w:rPr>
                <w:color w:val="auto"/>
                <w:sz w:val="21"/>
                <w:szCs w:val="21"/>
                <w:highlight w:val="none"/>
                <w:u w:val="single"/>
                <w:lang w:bidi="ar"/>
              </w:rPr>
            </w:pPr>
            <w:r>
              <w:rPr>
                <w:color w:val="auto"/>
                <w:sz w:val="21"/>
                <w:szCs w:val="21"/>
                <w:highlight w:val="none"/>
                <w:u w:val="single"/>
                <w:lang w:bidi="ar"/>
              </w:rPr>
              <w:t>本项目含VOCs物料均为密闭瓶装储存，</w:t>
            </w:r>
            <w:r>
              <w:rPr>
                <w:rFonts w:hint="eastAsia"/>
                <w:color w:val="auto"/>
                <w:sz w:val="21"/>
                <w:szCs w:val="21"/>
                <w:highlight w:val="none"/>
                <w:u w:val="single"/>
                <w:lang w:bidi="ar"/>
              </w:rPr>
              <w:t>储存于基地内现有危化品仓库中，危化品仓库为室内封闭式仓库；</w:t>
            </w:r>
          </w:p>
          <w:p w14:paraId="3E3DD0A6">
            <w:pPr>
              <w:widowControl/>
              <w:topLinePunct w:val="0"/>
              <w:spacing w:line="240" w:lineRule="auto"/>
              <w:ind w:firstLine="0" w:firstLineChars="0"/>
              <w:jc w:val="center"/>
              <w:textAlignment w:val="top"/>
              <w:rPr>
                <w:color w:val="auto"/>
                <w:sz w:val="21"/>
                <w:szCs w:val="21"/>
                <w:highlight w:val="none"/>
                <w:u w:val="single"/>
              </w:rPr>
            </w:pPr>
            <w:r>
              <w:rPr>
                <w:color w:val="auto"/>
                <w:sz w:val="21"/>
                <w:szCs w:val="21"/>
                <w:highlight w:val="none"/>
                <w:u w:val="single"/>
                <w:lang w:bidi="ar"/>
              </w:rPr>
              <w:t>盛装VOCs物料的容器在非取用状态时加盖、封口，保持密闭。</w:t>
            </w:r>
          </w:p>
        </w:tc>
        <w:tc>
          <w:tcPr>
            <w:tcW w:w="483" w:type="pct"/>
            <w:tcBorders>
              <w:tl2br w:val="nil"/>
              <w:tr2bl w:val="nil"/>
            </w:tcBorders>
            <w:vAlign w:val="center"/>
          </w:tcPr>
          <w:p w14:paraId="647A36CF">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符合</w:t>
            </w:r>
          </w:p>
        </w:tc>
      </w:tr>
      <w:tr w14:paraId="2E8D67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58" w:type="pct"/>
            <w:tcBorders>
              <w:tl2br w:val="nil"/>
              <w:tr2bl w:val="nil"/>
            </w:tcBorders>
            <w:vAlign w:val="center"/>
          </w:tcPr>
          <w:p w14:paraId="6A3A5D22">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2</w:t>
            </w:r>
          </w:p>
        </w:tc>
        <w:tc>
          <w:tcPr>
            <w:tcW w:w="2403" w:type="pct"/>
            <w:tcBorders>
              <w:tl2br w:val="nil"/>
              <w:tr2bl w:val="nil"/>
            </w:tcBorders>
            <w:vAlign w:val="center"/>
          </w:tcPr>
          <w:p w14:paraId="5C13C202">
            <w:pPr>
              <w:widowControl/>
              <w:topLinePunct w:val="0"/>
              <w:spacing w:line="240" w:lineRule="auto"/>
              <w:ind w:firstLine="0" w:firstLineChars="0"/>
              <w:textAlignment w:val="top"/>
              <w:rPr>
                <w:color w:val="auto"/>
                <w:sz w:val="21"/>
                <w:szCs w:val="21"/>
                <w:highlight w:val="none"/>
                <w:u w:val="single"/>
                <w:lang w:bidi="ar"/>
              </w:rPr>
            </w:pPr>
            <w:r>
              <w:rPr>
                <w:color w:val="auto"/>
                <w:sz w:val="21"/>
                <w:szCs w:val="21"/>
                <w:highlight w:val="none"/>
                <w:u w:val="single"/>
                <w:lang w:bidi="ar"/>
              </w:rPr>
              <w:t>储存真实蒸气压≥76.6kPa且储罐容积≥75m</w:t>
            </w:r>
            <w:r>
              <w:rPr>
                <w:rFonts w:hint="eastAsia"/>
                <w:color w:val="auto"/>
                <w:sz w:val="21"/>
                <w:szCs w:val="21"/>
                <w:highlight w:val="none"/>
                <w:u w:val="single"/>
                <w:vertAlign w:val="superscript"/>
                <w:lang w:bidi="ar"/>
              </w:rPr>
              <w:t>3</w:t>
            </w:r>
            <w:r>
              <w:rPr>
                <w:color w:val="auto"/>
                <w:sz w:val="21"/>
                <w:szCs w:val="21"/>
                <w:highlight w:val="none"/>
                <w:u w:val="single"/>
                <w:lang w:bidi="ar"/>
              </w:rPr>
              <w:t>的挥发性有机液体储罐，应采用低压罐、压力罐或其他等效措施</w:t>
            </w:r>
            <w:r>
              <w:rPr>
                <w:rFonts w:hint="eastAsia"/>
                <w:color w:val="auto"/>
                <w:sz w:val="21"/>
                <w:szCs w:val="21"/>
                <w:highlight w:val="none"/>
                <w:u w:val="single"/>
                <w:lang w:bidi="ar"/>
              </w:rPr>
              <w:t>；</w:t>
            </w:r>
          </w:p>
          <w:p w14:paraId="7D06ACB3">
            <w:pPr>
              <w:widowControl/>
              <w:topLinePunct w:val="0"/>
              <w:spacing w:line="240" w:lineRule="auto"/>
              <w:ind w:firstLine="0" w:firstLineChars="0"/>
              <w:textAlignment w:val="top"/>
              <w:rPr>
                <w:color w:val="auto"/>
                <w:sz w:val="21"/>
                <w:szCs w:val="21"/>
                <w:highlight w:val="none"/>
                <w:u w:val="single"/>
              </w:rPr>
            </w:pPr>
            <w:r>
              <w:rPr>
                <w:color w:val="auto"/>
                <w:sz w:val="21"/>
                <w:szCs w:val="21"/>
                <w:highlight w:val="none"/>
                <w:u w:val="single"/>
                <w:lang w:bidi="ar"/>
              </w:rPr>
              <w:t>储存真实蒸气压≥27.6kPa但&lt;76.6kPa且储罐容积≥75m³的挥发性有机液体储罐，应符合下列规定之一：采用浮顶罐，采用固定顶罐且排放的废气应收集处理并满足相关行业排放标准的要求，采用气相平衡系统等。</w:t>
            </w:r>
          </w:p>
        </w:tc>
        <w:tc>
          <w:tcPr>
            <w:tcW w:w="1754" w:type="pct"/>
            <w:tcBorders>
              <w:tl2br w:val="nil"/>
              <w:tr2bl w:val="nil"/>
            </w:tcBorders>
            <w:vAlign w:val="center"/>
          </w:tcPr>
          <w:p w14:paraId="041C5767">
            <w:pPr>
              <w:widowControl/>
              <w:topLinePunct w:val="0"/>
              <w:spacing w:line="240" w:lineRule="auto"/>
              <w:ind w:firstLine="0" w:firstLineChars="0"/>
              <w:jc w:val="center"/>
              <w:textAlignment w:val="bottom"/>
              <w:rPr>
                <w:color w:val="auto"/>
                <w:sz w:val="21"/>
                <w:szCs w:val="21"/>
                <w:highlight w:val="none"/>
                <w:u w:val="single"/>
              </w:rPr>
            </w:pPr>
            <w:r>
              <w:rPr>
                <w:color w:val="auto"/>
                <w:sz w:val="21"/>
                <w:szCs w:val="21"/>
                <w:highlight w:val="none"/>
                <w:u w:val="single"/>
                <w:lang w:bidi="ar"/>
              </w:rPr>
              <w:t>本项目的不涉及挥发性有机液体储罐。</w:t>
            </w:r>
          </w:p>
        </w:tc>
        <w:tc>
          <w:tcPr>
            <w:tcW w:w="483" w:type="pct"/>
            <w:tcBorders>
              <w:tl2br w:val="nil"/>
              <w:tr2bl w:val="nil"/>
            </w:tcBorders>
            <w:vAlign w:val="center"/>
          </w:tcPr>
          <w:p w14:paraId="4E51AE02">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符合</w:t>
            </w:r>
          </w:p>
        </w:tc>
      </w:tr>
      <w:tr w14:paraId="7654FB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58" w:type="pct"/>
            <w:tcBorders>
              <w:tl2br w:val="nil"/>
              <w:tr2bl w:val="nil"/>
            </w:tcBorders>
            <w:vAlign w:val="center"/>
          </w:tcPr>
          <w:p w14:paraId="01C005DC">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3</w:t>
            </w:r>
          </w:p>
        </w:tc>
        <w:tc>
          <w:tcPr>
            <w:tcW w:w="2403" w:type="pct"/>
            <w:tcBorders>
              <w:tl2br w:val="nil"/>
              <w:tr2bl w:val="nil"/>
            </w:tcBorders>
            <w:vAlign w:val="center"/>
          </w:tcPr>
          <w:p w14:paraId="3EAD6E16">
            <w:pPr>
              <w:widowControl/>
              <w:topLinePunct w:val="0"/>
              <w:spacing w:line="240" w:lineRule="auto"/>
              <w:ind w:firstLine="0" w:firstLineChars="0"/>
              <w:textAlignment w:val="center"/>
              <w:rPr>
                <w:color w:val="auto"/>
                <w:sz w:val="21"/>
                <w:szCs w:val="21"/>
                <w:highlight w:val="none"/>
                <w:u w:val="single"/>
              </w:rPr>
            </w:pPr>
            <w:r>
              <w:rPr>
                <w:color w:val="auto"/>
                <w:sz w:val="21"/>
                <w:szCs w:val="21"/>
                <w:highlight w:val="none"/>
                <w:u w:val="single"/>
                <w:lang w:bidi="ar"/>
              </w:rPr>
              <w:t>液态VOCs物料应采用密闭管道输送。采用非管道输送方式转移液态VOCs物料时，应采用密闭容器、罐车。</w:t>
            </w:r>
          </w:p>
        </w:tc>
        <w:tc>
          <w:tcPr>
            <w:tcW w:w="1754" w:type="pct"/>
            <w:vMerge w:val="restart"/>
            <w:tcBorders>
              <w:tl2br w:val="nil"/>
              <w:tr2bl w:val="nil"/>
            </w:tcBorders>
            <w:vAlign w:val="center"/>
          </w:tcPr>
          <w:p w14:paraId="1E651F6F">
            <w:pPr>
              <w:widowControl/>
              <w:topLinePunct w:val="0"/>
              <w:spacing w:line="240" w:lineRule="auto"/>
              <w:ind w:firstLine="0" w:firstLineChars="0"/>
              <w:textAlignment w:val="center"/>
              <w:rPr>
                <w:color w:val="auto"/>
                <w:sz w:val="21"/>
                <w:szCs w:val="21"/>
                <w:highlight w:val="none"/>
                <w:u w:val="single"/>
              </w:rPr>
            </w:pPr>
            <w:r>
              <w:rPr>
                <w:color w:val="auto"/>
                <w:sz w:val="21"/>
                <w:szCs w:val="21"/>
                <w:highlight w:val="none"/>
                <w:u w:val="single"/>
                <w:lang w:bidi="ar"/>
              </w:rPr>
              <w:t>本项目液态VOCs物料采用密闭容器</w:t>
            </w:r>
            <w:r>
              <w:rPr>
                <w:rFonts w:hint="eastAsia"/>
                <w:color w:val="auto"/>
                <w:sz w:val="21"/>
                <w:szCs w:val="21"/>
                <w:highlight w:val="none"/>
                <w:u w:val="single"/>
                <w:lang w:bidi="ar"/>
              </w:rPr>
              <w:t>进行</w:t>
            </w:r>
            <w:r>
              <w:rPr>
                <w:color w:val="auto"/>
                <w:sz w:val="21"/>
                <w:szCs w:val="21"/>
                <w:highlight w:val="none"/>
                <w:u w:val="single"/>
                <w:lang w:bidi="ar"/>
              </w:rPr>
              <w:t>VOCs物料转移和输送。</w:t>
            </w:r>
          </w:p>
        </w:tc>
        <w:tc>
          <w:tcPr>
            <w:tcW w:w="483" w:type="pct"/>
            <w:vMerge w:val="restart"/>
            <w:tcBorders>
              <w:tl2br w:val="nil"/>
              <w:tr2bl w:val="nil"/>
            </w:tcBorders>
            <w:vAlign w:val="center"/>
          </w:tcPr>
          <w:p w14:paraId="28739CD9">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符合</w:t>
            </w:r>
          </w:p>
        </w:tc>
      </w:tr>
      <w:tr w14:paraId="43715C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58" w:type="pct"/>
            <w:tcBorders>
              <w:tl2br w:val="nil"/>
              <w:tr2bl w:val="nil"/>
            </w:tcBorders>
            <w:vAlign w:val="center"/>
          </w:tcPr>
          <w:p w14:paraId="353434ED">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4</w:t>
            </w:r>
          </w:p>
        </w:tc>
        <w:tc>
          <w:tcPr>
            <w:tcW w:w="2403" w:type="pct"/>
            <w:tcBorders>
              <w:tl2br w:val="nil"/>
              <w:tr2bl w:val="nil"/>
            </w:tcBorders>
            <w:vAlign w:val="center"/>
          </w:tcPr>
          <w:p w14:paraId="2EDF4AA1">
            <w:pPr>
              <w:widowControl/>
              <w:topLinePunct w:val="0"/>
              <w:spacing w:line="240" w:lineRule="auto"/>
              <w:ind w:firstLine="0" w:firstLineChars="0"/>
              <w:textAlignment w:val="top"/>
              <w:rPr>
                <w:color w:val="auto"/>
                <w:sz w:val="21"/>
                <w:szCs w:val="21"/>
                <w:highlight w:val="none"/>
                <w:u w:val="single"/>
              </w:rPr>
            </w:pPr>
            <w:r>
              <w:rPr>
                <w:color w:val="auto"/>
                <w:sz w:val="21"/>
                <w:szCs w:val="21"/>
                <w:highlight w:val="none"/>
                <w:u w:val="single"/>
                <w:lang w:bidi="ar"/>
              </w:rPr>
              <w:t>液态VOCs物料应采用密闭管道输送方式或采用高位槽</w:t>
            </w:r>
            <w:r>
              <w:rPr>
                <w:rFonts w:hint="eastAsia"/>
                <w:color w:val="auto"/>
                <w:sz w:val="21"/>
                <w:szCs w:val="21"/>
                <w:highlight w:val="none"/>
                <w:u w:val="single"/>
                <w:lang w:bidi="ar"/>
              </w:rPr>
              <w:t>（</w:t>
            </w:r>
            <w:r>
              <w:rPr>
                <w:color w:val="auto"/>
                <w:sz w:val="21"/>
                <w:szCs w:val="21"/>
                <w:highlight w:val="none"/>
                <w:u w:val="single"/>
                <w:lang w:bidi="ar"/>
              </w:rPr>
              <w:t>罐</w:t>
            </w:r>
            <w:r>
              <w:rPr>
                <w:rFonts w:hint="eastAsia"/>
                <w:color w:val="auto"/>
                <w:sz w:val="21"/>
                <w:szCs w:val="21"/>
                <w:highlight w:val="none"/>
                <w:u w:val="single"/>
                <w:lang w:bidi="ar"/>
              </w:rPr>
              <w:t>）</w:t>
            </w:r>
            <w:r>
              <w:rPr>
                <w:color w:val="auto"/>
                <w:sz w:val="21"/>
                <w:szCs w:val="21"/>
                <w:highlight w:val="none"/>
                <w:u w:val="single"/>
                <w:lang w:bidi="ar"/>
              </w:rPr>
              <w:t>、桶泵等给料方式密闭投加。无法密闭投加的，应在密闭空间内操作，或进行局部气体收集，废气应排至VOCs废气收集处理系统；VOCs物料卸</w:t>
            </w:r>
            <w:r>
              <w:rPr>
                <w:rFonts w:hint="eastAsia"/>
                <w:color w:val="auto"/>
                <w:sz w:val="21"/>
                <w:szCs w:val="21"/>
                <w:highlight w:val="none"/>
                <w:u w:val="single"/>
                <w:lang w:bidi="ar"/>
              </w:rPr>
              <w:t>（</w:t>
            </w:r>
            <w:r>
              <w:rPr>
                <w:color w:val="auto"/>
                <w:sz w:val="21"/>
                <w:szCs w:val="21"/>
                <w:highlight w:val="none"/>
                <w:u w:val="single"/>
                <w:lang w:bidi="ar"/>
              </w:rPr>
              <w:t>出、放</w:t>
            </w:r>
            <w:r>
              <w:rPr>
                <w:rFonts w:hint="eastAsia"/>
                <w:color w:val="auto"/>
                <w:sz w:val="21"/>
                <w:szCs w:val="21"/>
                <w:highlight w:val="none"/>
                <w:u w:val="single"/>
                <w:lang w:bidi="ar"/>
              </w:rPr>
              <w:t>）</w:t>
            </w:r>
            <w:r>
              <w:rPr>
                <w:color w:val="auto"/>
                <w:sz w:val="21"/>
                <w:szCs w:val="21"/>
                <w:highlight w:val="none"/>
                <w:u w:val="single"/>
                <w:lang w:bidi="ar"/>
              </w:rPr>
              <w:t>料过程应密闭，卸料废气应排至VOCs废气收集处理系统；无法密闭的，应采取局部气体收集措施，废气应排至VOCs废气收集处理系统。</w:t>
            </w:r>
          </w:p>
        </w:tc>
        <w:tc>
          <w:tcPr>
            <w:tcW w:w="1754" w:type="pct"/>
            <w:vMerge w:val="continue"/>
            <w:tcBorders>
              <w:tl2br w:val="nil"/>
              <w:tr2bl w:val="nil"/>
            </w:tcBorders>
            <w:vAlign w:val="center"/>
          </w:tcPr>
          <w:p w14:paraId="473ED6DC">
            <w:pPr>
              <w:widowControl/>
              <w:topLinePunct w:val="0"/>
              <w:spacing w:line="240" w:lineRule="auto"/>
              <w:ind w:firstLine="0" w:firstLineChars="0"/>
              <w:jc w:val="center"/>
              <w:textAlignment w:val="center"/>
              <w:rPr>
                <w:color w:val="auto"/>
                <w:sz w:val="21"/>
                <w:szCs w:val="21"/>
                <w:highlight w:val="none"/>
                <w:u w:val="single"/>
              </w:rPr>
            </w:pPr>
          </w:p>
        </w:tc>
        <w:tc>
          <w:tcPr>
            <w:tcW w:w="483" w:type="pct"/>
            <w:vMerge w:val="continue"/>
            <w:tcBorders>
              <w:tl2br w:val="nil"/>
              <w:tr2bl w:val="nil"/>
            </w:tcBorders>
            <w:vAlign w:val="center"/>
          </w:tcPr>
          <w:p w14:paraId="50C57DA1">
            <w:pPr>
              <w:widowControl/>
              <w:topLinePunct w:val="0"/>
              <w:spacing w:line="240" w:lineRule="auto"/>
              <w:ind w:firstLine="0" w:firstLineChars="0"/>
              <w:jc w:val="center"/>
              <w:textAlignment w:val="center"/>
              <w:rPr>
                <w:color w:val="auto"/>
                <w:sz w:val="21"/>
                <w:szCs w:val="21"/>
                <w:highlight w:val="none"/>
                <w:u w:val="single"/>
              </w:rPr>
            </w:pPr>
          </w:p>
        </w:tc>
      </w:tr>
      <w:tr w14:paraId="2B2AB0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58" w:type="pct"/>
            <w:tcBorders>
              <w:tl2br w:val="nil"/>
              <w:tr2bl w:val="nil"/>
            </w:tcBorders>
            <w:vAlign w:val="center"/>
          </w:tcPr>
          <w:p w14:paraId="6F024A70">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5</w:t>
            </w:r>
          </w:p>
        </w:tc>
        <w:tc>
          <w:tcPr>
            <w:tcW w:w="2403" w:type="pct"/>
            <w:tcBorders>
              <w:tl2br w:val="nil"/>
              <w:tr2bl w:val="nil"/>
            </w:tcBorders>
            <w:vAlign w:val="center"/>
          </w:tcPr>
          <w:p w14:paraId="45EE9157">
            <w:pPr>
              <w:widowControl/>
              <w:topLinePunct w:val="0"/>
              <w:spacing w:line="240" w:lineRule="auto"/>
              <w:ind w:firstLine="0" w:firstLineChars="0"/>
              <w:textAlignment w:val="top"/>
              <w:rPr>
                <w:color w:val="auto"/>
                <w:sz w:val="21"/>
                <w:szCs w:val="21"/>
                <w:highlight w:val="none"/>
                <w:u w:val="single"/>
              </w:rPr>
            </w:pPr>
            <w:r>
              <w:rPr>
                <w:color w:val="auto"/>
                <w:sz w:val="21"/>
                <w:szCs w:val="21"/>
                <w:highlight w:val="none"/>
                <w:u w:val="single"/>
                <w:lang w:bidi="ar"/>
              </w:rPr>
              <w:t>反应设备进料置换废气、挥发排气、反应尾气等应排至VOCs废气收集处理系统；在反应期间，反应设备的进料口、出料口、搅拌口、观察孔等开口(孔)在不操作时应保持密闭。</w:t>
            </w:r>
          </w:p>
        </w:tc>
        <w:tc>
          <w:tcPr>
            <w:tcW w:w="1754" w:type="pct"/>
            <w:tcBorders>
              <w:tl2br w:val="nil"/>
              <w:tr2bl w:val="nil"/>
            </w:tcBorders>
            <w:vAlign w:val="center"/>
          </w:tcPr>
          <w:p w14:paraId="6C4A8ABF">
            <w:pPr>
              <w:widowControl/>
              <w:topLinePunct w:val="0"/>
              <w:spacing w:line="240" w:lineRule="auto"/>
              <w:ind w:firstLine="0" w:firstLineChars="0"/>
              <w:jc w:val="center"/>
              <w:textAlignment w:val="center"/>
              <w:rPr>
                <w:color w:val="auto"/>
                <w:sz w:val="21"/>
                <w:szCs w:val="21"/>
                <w:highlight w:val="none"/>
                <w:u w:val="single"/>
              </w:rPr>
            </w:pPr>
            <w:r>
              <w:rPr>
                <w:rFonts w:hint="eastAsia"/>
                <w:color w:val="auto"/>
                <w:sz w:val="21"/>
                <w:szCs w:val="21"/>
                <w:highlight w:val="none"/>
                <w:u w:val="single"/>
                <w:lang w:bidi="ar"/>
              </w:rPr>
              <w:t>本项目不涉及</w:t>
            </w:r>
            <w:r>
              <w:rPr>
                <w:color w:val="auto"/>
                <w:sz w:val="21"/>
                <w:szCs w:val="21"/>
                <w:highlight w:val="none"/>
                <w:u w:val="single"/>
                <w:lang w:bidi="ar"/>
              </w:rPr>
              <w:t>。</w:t>
            </w:r>
          </w:p>
        </w:tc>
        <w:tc>
          <w:tcPr>
            <w:tcW w:w="483" w:type="pct"/>
            <w:tcBorders>
              <w:tl2br w:val="nil"/>
              <w:tr2bl w:val="nil"/>
            </w:tcBorders>
            <w:vAlign w:val="center"/>
          </w:tcPr>
          <w:p w14:paraId="02B9C0EB">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符合</w:t>
            </w:r>
          </w:p>
        </w:tc>
      </w:tr>
      <w:tr w14:paraId="04344E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58" w:type="pct"/>
            <w:tcBorders>
              <w:tl2br w:val="nil"/>
              <w:tr2bl w:val="nil"/>
            </w:tcBorders>
            <w:vAlign w:val="center"/>
          </w:tcPr>
          <w:p w14:paraId="1FCF0E2A">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6</w:t>
            </w:r>
          </w:p>
        </w:tc>
        <w:tc>
          <w:tcPr>
            <w:tcW w:w="2403" w:type="pct"/>
            <w:tcBorders>
              <w:tl2br w:val="nil"/>
              <w:tr2bl w:val="nil"/>
            </w:tcBorders>
            <w:vAlign w:val="center"/>
          </w:tcPr>
          <w:p w14:paraId="655F1482">
            <w:pPr>
              <w:widowControl/>
              <w:topLinePunct w:val="0"/>
              <w:spacing w:line="240" w:lineRule="auto"/>
              <w:ind w:firstLine="0" w:firstLineChars="0"/>
              <w:textAlignment w:val="center"/>
              <w:rPr>
                <w:color w:val="auto"/>
                <w:sz w:val="21"/>
                <w:szCs w:val="21"/>
                <w:highlight w:val="none"/>
                <w:u w:val="single"/>
                <w:lang w:bidi="ar"/>
              </w:rPr>
            </w:pPr>
            <w:r>
              <w:rPr>
                <w:color w:val="auto"/>
                <w:sz w:val="21"/>
                <w:szCs w:val="21"/>
                <w:highlight w:val="none"/>
                <w:u w:val="single"/>
                <w:lang w:bidi="ar"/>
              </w:rPr>
              <w:t>离心、过滤单元操作应采用密闭式离心机、压滤机等设备，离心、过滤废气应排至VOCs废气收集处理系统。未采用密闭设备的，应在密闭空间内操作，或进行局部气体收集，废气应排至VOCs废气收集处理系统；</w:t>
            </w:r>
          </w:p>
          <w:p w14:paraId="0BA2A25C">
            <w:pPr>
              <w:widowControl/>
              <w:topLinePunct w:val="0"/>
              <w:spacing w:line="240" w:lineRule="auto"/>
              <w:ind w:firstLine="0" w:firstLineChars="0"/>
              <w:textAlignment w:val="center"/>
              <w:rPr>
                <w:color w:val="auto"/>
                <w:sz w:val="21"/>
                <w:szCs w:val="21"/>
                <w:highlight w:val="none"/>
                <w:u w:val="single"/>
                <w:lang w:bidi="ar"/>
              </w:rPr>
            </w:pPr>
            <w:r>
              <w:rPr>
                <w:color w:val="auto"/>
                <w:sz w:val="21"/>
                <w:szCs w:val="21"/>
                <w:highlight w:val="none"/>
                <w:u w:val="single"/>
                <w:lang w:bidi="ar"/>
              </w:rPr>
              <w:t>干燥单元操作应采用密闭干燥设备，干燥废气应排至VOCs废气收集处理系统。未采用密闭设备的，应在密闭空间内操作，或进行局部气体收集，废气应排至VOCs废气收集处理系统；</w:t>
            </w:r>
          </w:p>
          <w:p w14:paraId="793B62CF">
            <w:pPr>
              <w:widowControl/>
              <w:topLinePunct w:val="0"/>
              <w:spacing w:line="240" w:lineRule="auto"/>
              <w:ind w:firstLine="0" w:firstLineChars="0"/>
              <w:textAlignment w:val="center"/>
              <w:rPr>
                <w:color w:val="auto"/>
                <w:sz w:val="21"/>
                <w:szCs w:val="21"/>
                <w:highlight w:val="none"/>
                <w:u w:val="single"/>
              </w:rPr>
            </w:pPr>
            <w:r>
              <w:rPr>
                <w:color w:val="auto"/>
                <w:sz w:val="21"/>
                <w:szCs w:val="21"/>
                <w:highlight w:val="none"/>
                <w:u w:val="single"/>
                <w:lang w:bidi="ar"/>
              </w:rPr>
              <w:t>吸收、洗涤、蒸馏/精馏、萃取、结晶等单元操作排放的废气，冷凝单元操作排放的不凝尾气，吸附单元操作的脱附尾气等应排至VOCs废气收集处理系统；分离精制后的VOCs母液应密闭收集，母液储槽</w:t>
            </w:r>
            <w:r>
              <w:rPr>
                <w:rFonts w:hint="eastAsia"/>
                <w:color w:val="auto"/>
                <w:sz w:val="21"/>
                <w:szCs w:val="21"/>
                <w:highlight w:val="none"/>
                <w:u w:val="single"/>
                <w:lang w:bidi="ar"/>
              </w:rPr>
              <w:t>（</w:t>
            </w:r>
            <w:r>
              <w:rPr>
                <w:color w:val="auto"/>
                <w:sz w:val="21"/>
                <w:szCs w:val="21"/>
                <w:highlight w:val="none"/>
                <w:u w:val="single"/>
                <w:lang w:bidi="ar"/>
              </w:rPr>
              <w:t>罐</w:t>
            </w:r>
            <w:r>
              <w:rPr>
                <w:rFonts w:hint="eastAsia"/>
                <w:color w:val="auto"/>
                <w:sz w:val="21"/>
                <w:szCs w:val="21"/>
                <w:highlight w:val="none"/>
                <w:u w:val="single"/>
                <w:lang w:bidi="ar"/>
              </w:rPr>
              <w:t>）</w:t>
            </w:r>
            <w:r>
              <w:rPr>
                <w:color w:val="auto"/>
                <w:sz w:val="21"/>
                <w:szCs w:val="21"/>
                <w:highlight w:val="none"/>
                <w:u w:val="single"/>
                <w:lang w:bidi="ar"/>
              </w:rPr>
              <w:t>产生的废气应排至VOCs废气收集处理系统。</w:t>
            </w:r>
          </w:p>
        </w:tc>
        <w:tc>
          <w:tcPr>
            <w:tcW w:w="1754" w:type="pct"/>
            <w:tcBorders>
              <w:tl2br w:val="nil"/>
              <w:tr2bl w:val="nil"/>
            </w:tcBorders>
            <w:vAlign w:val="center"/>
          </w:tcPr>
          <w:p w14:paraId="764A92A9">
            <w:pPr>
              <w:widowControl/>
              <w:topLinePunct w:val="0"/>
              <w:spacing w:line="240" w:lineRule="auto"/>
              <w:ind w:firstLine="0" w:firstLineChars="0"/>
              <w:jc w:val="center"/>
              <w:textAlignment w:val="center"/>
              <w:rPr>
                <w:color w:val="auto"/>
                <w:sz w:val="21"/>
                <w:szCs w:val="21"/>
                <w:highlight w:val="none"/>
                <w:u w:val="single"/>
              </w:rPr>
            </w:pPr>
            <w:r>
              <w:rPr>
                <w:rFonts w:hint="eastAsia"/>
                <w:color w:val="auto"/>
                <w:sz w:val="21"/>
                <w:szCs w:val="21"/>
                <w:highlight w:val="none"/>
                <w:u w:val="single"/>
                <w:lang w:bidi="ar"/>
              </w:rPr>
              <w:t>项目不涉及</w:t>
            </w:r>
            <w:r>
              <w:rPr>
                <w:color w:val="auto"/>
                <w:sz w:val="21"/>
                <w:szCs w:val="21"/>
                <w:highlight w:val="none"/>
                <w:u w:val="single"/>
                <w:lang w:bidi="ar"/>
              </w:rPr>
              <w:t>。</w:t>
            </w:r>
          </w:p>
        </w:tc>
        <w:tc>
          <w:tcPr>
            <w:tcW w:w="483" w:type="pct"/>
            <w:tcBorders>
              <w:tl2br w:val="nil"/>
              <w:tr2bl w:val="nil"/>
            </w:tcBorders>
            <w:vAlign w:val="center"/>
          </w:tcPr>
          <w:p w14:paraId="25E95A27">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符合</w:t>
            </w:r>
          </w:p>
        </w:tc>
      </w:tr>
      <w:tr w14:paraId="32D237F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358" w:type="pct"/>
            <w:tcBorders>
              <w:tl2br w:val="nil"/>
              <w:tr2bl w:val="nil"/>
            </w:tcBorders>
            <w:vAlign w:val="center"/>
          </w:tcPr>
          <w:p w14:paraId="65ABD7E7">
            <w:pPr>
              <w:widowControl/>
              <w:topLinePunct w:val="0"/>
              <w:spacing w:line="240" w:lineRule="auto"/>
              <w:ind w:firstLine="0" w:firstLineChars="0"/>
              <w:jc w:val="center"/>
              <w:textAlignment w:val="center"/>
              <w:rPr>
                <w:color w:val="auto"/>
                <w:sz w:val="21"/>
                <w:szCs w:val="21"/>
                <w:highlight w:val="none"/>
                <w:u w:val="single"/>
              </w:rPr>
            </w:pPr>
            <w:r>
              <w:rPr>
                <w:rFonts w:hint="eastAsia"/>
                <w:color w:val="auto"/>
                <w:sz w:val="21"/>
                <w:szCs w:val="21"/>
                <w:highlight w:val="none"/>
                <w:u w:val="single"/>
                <w:lang w:bidi="ar"/>
              </w:rPr>
              <w:t>7</w:t>
            </w:r>
          </w:p>
        </w:tc>
        <w:tc>
          <w:tcPr>
            <w:tcW w:w="2403" w:type="pct"/>
            <w:tcBorders>
              <w:tl2br w:val="nil"/>
              <w:tr2bl w:val="nil"/>
            </w:tcBorders>
            <w:vAlign w:val="center"/>
          </w:tcPr>
          <w:p w14:paraId="0C869828">
            <w:pPr>
              <w:widowControl/>
              <w:topLinePunct w:val="0"/>
              <w:spacing w:line="240" w:lineRule="auto"/>
              <w:ind w:firstLine="0" w:firstLineChars="0"/>
              <w:textAlignment w:val="bottom"/>
              <w:rPr>
                <w:color w:val="auto"/>
                <w:sz w:val="21"/>
                <w:szCs w:val="21"/>
                <w:highlight w:val="none"/>
                <w:u w:val="single"/>
              </w:rPr>
            </w:pPr>
            <w:r>
              <w:rPr>
                <w:color w:val="auto"/>
                <w:sz w:val="21"/>
                <w:szCs w:val="21"/>
                <w:highlight w:val="none"/>
                <w:u w:val="single"/>
                <w:lang w:bidi="ar"/>
              </w:rPr>
              <w:t>企业应建立台账，记录含VOCs原辅材料和含VOCs产品的名称、使用量、回收量、废弃量、去向以及VOCs含量的信息。台账保存期限不少于3年。</w:t>
            </w:r>
          </w:p>
        </w:tc>
        <w:tc>
          <w:tcPr>
            <w:tcW w:w="1754" w:type="pct"/>
            <w:tcBorders>
              <w:tl2br w:val="nil"/>
              <w:tr2bl w:val="nil"/>
            </w:tcBorders>
            <w:vAlign w:val="center"/>
          </w:tcPr>
          <w:p w14:paraId="2287E4D7">
            <w:pPr>
              <w:widowControl/>
              <w:topLinePunct w:val="0"/>
              <w:spacing w:line="240" w:lineRule="auto"/>
              <w:ind w:firstLine="0" w:firstLineChars="0"/>
              <w:jc w:val="center"/>
              <w:textAlignment w:val="top"/>
              <w:rPr>
                <w:color w:val="auto"/>
                <w:sz w:val="21"/>
                <w:szCs w:val="21"/>
                <w:highlight w:val="none"/>
                <w:u w:val="single"/>
              </w:rPr>
            </w:pPr>
            <w:r>
              <w:rPr>
                <w:color w:val="auto"/>
                <w:sz w:val="21"/>
                <w:szCs w:val="21"/>
                <w:highlight w:val="none"/>
                <w:u w:val="single"/>
                <w:lang w:bidi="ar"/>
              </w:rPr>
              <w:t>建设单位根据《排污单位环境管理台账及排污许可证执行报告技术规范</w:t>
            </w:r>
            <w:r>
              <w:rPr>
                <w:rFonts w:hint="eastAsia"/>
                <w:color w:val="auto"/>
                <w:sz w:val="21"/>
                <w:szCs w:val="21"/>
                <w:highlight w:val="none"/>
                <w:u w:val="single"/>
                <w:lang w:bidi="ar"/>
              </w:rPr>
              <w:t xml:space="preserve"> </w:t>
            </w:r>
            <w:r>
              <w:rPr>
                <w:color w:val="auto"/>
                <w:sz w:val="21"/>
                <w:szCs w:val="21"/>
                <w:highlight w:val="none"/>
                <w:u w:val="single"/>
                <w:lang w:bidi="ar"/>
              </w:rPr>
              <w:t>总则(试行)》(HJ944-2018)要求，记录含VOCs原辅材料名称、使用量、回收量、废弃量、去向及VOCs含量等信息。同时，台账保存期限不少于3年。</w:t>
            </w:r>
          </w:p>
        </w:tc>
        <w:tc>
          <w:tcPr>
            <w:tcW w:w="483" w:type="pct"/>
            <w:tcBorders>
              <w:tl2br w:val="nil"/>
              <w:tr2bl w:val="nil"/>
            </w:tcBorders>
            <w:vAlign w:val="center"/>
          </w:tcPr>
          <w:p w14:paraId="5262C952">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符合</w:t>
            </w:r>
          </w:p>
        </w:tc>
      </w:tr>
      <w:tr w14:paraId="381361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58" w:type="pct"/>
            <w:tcBorders>
              <w:tl2br w:val="nil"/>
              <w:tr2bl w:val="nil"/>
            </w:tcBorders>
            <w:vAlign w:val="center"/>
          </w:tcPr>
          <w:p w14:paraId="45BABFA6">
            <w:pPr>
              <w:widowControl/>
              <w:topLinePunct w:val="0"/>
              <w:spacing w:line="240" w:lineRule="auto"/>
              <w:ind w:firstLine="0" w:firstLineChars="0"/>
              <w:jc w:val="center"/>
              <w:textAlignment w:val="center"/>
              <w:rPr>
                <w:color w:val="auto"/>
                <w:sz w:val="21"/>
                <w:szCs w:val="21"/>
                <w:highlight w:val="none"/>
                <w:u w:val="single"/>
              </w:rPr>
            </w:pPr>
            <w:r>
              <w:rPr>
                <w:rFonts w:hint="eastAsia"/>
                <w:color w:val="auto"/>
                <w:sz w:val="21"/>
                <w:szCs w:val="21"/>
                <w:highlight w:val="none"/>
                <w:u w:val="single"/>
                <w:lang w:bidi="ar"/>
              </w:rPr>
              <w:t>8</w:t>
            </w:r>
          </w:p>
        </w:tc>
        <w:tc>
          <w:tcPr>
            <w:tcW w:w="2403" w:type="pct"/>
            <w:tcBorders>
              <w:tl2br w:val="nil"/>
              <w:tr2bl w:val="nil"/>
            </w:tcBorders>
            <w:vAlign w:val="center"/>
          </w:tcPr>
          <w:p w14:paraId="28571BDF">
            <w:pPr>
              <w:widowControl/>
              <w:topLinePunct w:val="0"/>
              <w:spacing w:line="240" w:lineRule="auto"/>
              <w:ind w:firstLine="0" w:firstLineChars="0"/>
              <w:textAlignment w:val="top"/>
              <w:rPr>
                <w:color w:val="auto"/>
                <w:sz w:val="21"/>
                <w:szCs w:val="21"/>
                <w:highlight w:val="none"/>
                <w:u w:val="single"/>
              </w:rPr>
            </w:pPr>
            <w:r>
              <w:rPr>
                <w:color w:val="auto"/>
                <w:sz w:val="21"/>
                <w:szCs w:val="21"/>
                <w:highlight w:val="none"/>
                <w:u w:val="single"/>
                <w:lang w:bidi="ar"/>
              </w:rPr>
              <w:t>通风生产设备、操作工位、车间厂房等应在符合安全生产、职业卫生相关的前提下，根据行规作业规程与标准、工业建筑及结晶厂房通风设计规范等的要求，采用合理的通风量。</w:t>
            </w:r>
          </w:p>
        </w:tc>
        <w:tc>
          <w:tcPr>
            <w:tcW w:w="1754" w:type="pct"/>
            <w:tcBorders>
              <w:tl2br w:val="nil"/>
              <w:tr2bl w:val="nil"/>
            </w:tcBorders>
            <w:vAlign w:val="center"/>
          </w:tcPr>
          <w:p w14:paraId="30D50850">
            <w:pPr>
              <w:widowControl/>
              <w:topLinePunct w:val="0"/>
              <w:spacing w:line="240" w:lineRule="auto"/>
              <w:ind w:firstLine="0" w:firstLineChars="0"/>
              <w:jc w:val="center"/>
              <w:textAlignment w:val="bottom"/>
              <w:rPr>
                <w:color w:val="auto"/>
                <w:sz w:val="21"/>
                <w:szCs w:val="21"/>
                <w:highlight w:val="none"/>
                <w:u w:val="single"/>
              </w:rPr>
            </w:pPr>
            <w:r>
              <w:rPr>
                <w:color w:val="auto"/>
                <w:sz w:val="21"/>
                <w:szCs w:val="21"/>
                <w:highlight w:val="none"/>
                <w:u w:val="single"/>
                <w:lang w:bidi="ar"/>
              </w:rPr>
              <w:t>项目满足行规作业规程与标准、通风设计规范等要求。</w:t>
            </w:r>
          </w:p>
        </w:tc>
        <w:tc>
          <w:tcPr>
            <w:tcW w:w="483" w:type="pct"/>
            <w:tcBorders>
              <w:tl2br w:val="nil"/>
              <w:tr2bl w:val="nil"/>
            </w:tcBorders>
            <w:vAlign w:val="center"/>
          </w:tcPr>
          <w:p w14:paraId="77ACB7C8">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符合</w:t>
            </w:r>
          </w:p>
        </w:tc>
      </w:tr>
      <w:tr w14:paraId="52BDE5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603" w:hRule="atLeast"/>
        </w:trPr>
        <w:tc>
          <w:tcPr>
            <w:tcW w:w="358" w:type="pct"/>
            <w:vMerge w:val="restart"/>
            <w:tcBorders>
              <w:tl2br w:val="nil"/>
              <w:tr2bl w:val="nil"/>
            </w:tcBorders>
            <w:vAlign w:val="center"/>
          </w:tcPr>
          <w:p w14:paraId="5A9EAFB5">
            <w:pPr>
              <w:widowControl/>
              <w:topLinePunct w:val="0"/>
              <w:spacing w:line="240" w:lineRule="auto"/>
              <w:ind w:firstLine="0" w:firstLineChars="0"/>
              <w:jc w:val="center"/>
              <w:textAlignment w:val="center"/>
              <w:rPr>
                <w:color w:val="auto"/>
                <w:sz w:val="21"/>
                <w:szCs w:val="21"/>
                <w:highlight w:val="none"/>
                <w:u w:val="single"/>
              </w:rPr>
            </w:pPr>
            <w:r>
              <w:rPr>
                <w:rFonts w:hint="eastAsia"/>
                <w:color w:val="auto"/>
                <w:sz w:val="21"/>
                <w:szCs w:val="21"/>
                <w:highlight w:val="none"/>
                <w:u w:val="single"/>
                <w:lang w:bidi="ar"/>
              </w:rPr>
              <w:t>9</w:t>
            </w:r>
          </w:p>
        </w:tc>
        <w:tc>
          <w:tcPr>
            <w:tcW w:w="2403" w:type="pct"/>
            <w:tcBorders>
              <w:tl2br w:val="nil"/>
              <w:tr2bl w:val="nil"/>
            </w:tcBorders>
            <w:vAlign w:val="center"/>
          </w:tcPr>
          <w:p w14:paraId="14C78AB9">
            <w:pPr>
              <w:widowControl/>
              <w:topLinePunct w:val="0"/>
              <w:spacing w:line="240" w:lineRule="auto"/>
              <w:ind w:firstLine="0" w:firstLineChars="0"/>
              <w:textAlignment w:val="top"/>
              <w:rPr>
                <w:color w:val="auto"/>
                <w:sz w:val="21"/>
                <w:szCs w:val="21"/>
                <w:highlight w:val="none"/>
                <w:u w:val="single"/>
              </w:rPr>
            </w:pPr>
            <w:r>
              <w:rPr>
                <w:color w:val="auto"/>
                <w:sz w:val="21"/>
                <w:szCs w:val="21"/>
                <w:highlight w:val="none"/>
                <w:u w:val="single"/>
                <w:lang w:bidi="ar"/>
              </w:rPr>
              <w:t>载有VOCs物料的设备及其管道在开停工</w:t>
            </w:r>
            <w:r>
              <w:rPr>
                <w:rFonts w:hint="eastAsia"/>
                <w:color w:val="auto"/>
                <w:sz w:val="21"/>
                <w:szCs w:val="21"/>
                <w:highlight w:val="none"/>
                <w:u w:val="single"/>
                <w:lang w:bidi="ar"/>
              </w:rPr>
              <w:t>（</w:t>
            </w:r>
            <w:r>
              <w:rPr>
                <w:color w:val="auto"/>
                <w:sz w:val="21"/>
                <w:szCs w:val="21"/>
                <w:highlight w:val="none"/>
                <w:u w:val="single"/>
                <w:lang w:bidi="ar"/>
              </w:rPr>
              <w:t>车</w:t>
            </w:r>
            <w:r>
              <w:rPr>
                <w:rFonts w:hint="eastAsia"/>
                <w:color w:val="auto"/>
                <w:sz w:val="21"/>
                <w:szCs w:val="21"/>
                <w:highlight w:val="none"/>
                <w:u w:val="single"/>
                <w:lang w:bidi="ar"/>
              </w:rPr>
              <w:t>）</w:t>
            </w:r>
            <w:r>
              <w:rPr>
                <w:color w:val="auto"/>
                <w:sz w:val="21"/>
                <w:szCs w:val="21"/>
                <w:highlight w:val="none"/>
                <w:u w:val="single"/>
                <w:lang w:bidi="ar"/>
              </w:rPr>
              <w:t>、检维修和清洗时，应在退料阶段将残存物料退净，并用密闭容器盛装，退料过程废气应排至VOCs废气收集处理系统；清洗及吹扫过程排气应排至VOCs废气收集处理系统。</w:t>
            </w:r>
          </w:p>
        </w:tc>
        <w:tc>
          <w:tcPr>
            <w:tcW w:w="1754" w:type="pct"/>
            <w:tcBorders>
              <w:tl2br w:val="nil"/>
              <w:tr2bl w:val="nil"/>
            </w:tcBorders>
            <w:vAlign w:val="center"/>
          </w:tcPr>
          <w:p w14:paraId="46219820">
            <w:pPr>
              <w:widowControl/>
              <w:topLinePunct w:val="0"/>
              <w:spacing w:line="240" w:lineRule="auto"/>
              <w:ind w:firstLine="0" w:firstLineChars="0"/>
              <w:jc w:val="center"/>
              <w:textAlignment w:val="top"/>
              <w:rPr>
                <w:color w:val="auto"/>
                <w:sz w:val="21"/>
                <w:szCs w:val="21"/>
                <w:highlight w:val="none"/>
                <w:u w:val="single"/>
              </w:rPr>
            </w:pPr>
            <w:r>
              <w:rPr>
                <w:rFonts w:hint="eastAsia"/>
                <w:color w:val="auto"/>
                <w:sz w:val="21"/>
                <w:szCs w:val="21"/>
                <w:highlight w:val="none"/>
                <w:u w:val="single"/>
                <w:lang w:bidi="ar"/>
              </w:rPr>
              <w:t>项目喷漆过程采用的喷枪在换色过程需采用稀释剂进行清洗，</w:t>
            </w:r>
            <w:r>
              <w:rPr>
                <w:color w:val="auto"/>
                <w:sz w:val="21"/>
                <w:szCs w:val="21"/>
                <w:highlight w:val="none"/>
                <w:u w:val="single"/>
                <w:lang w:bidi="ar"/>
              </w:rPr>
              <w:t>在退料阶段将残存物料退净，</w:t>
            </w:r>
            <w:r>
              <w:rPr>
                <w:rFonts w:hint="eastAsia"/>
                <w:color w:val="auto"/>
                <w:sz w:val="21"/>
                <w:szCs w:val="21"/>
                <w:highlight w:val="none"/>
                <w:u w:val="single"/>
                <w:lang w:bidi="ar"/>
              </w:rPr>
              <w:t>清洗过程产生的漆渣交由有资质单位处理</w:t>
            </w:r>
            <w:r>
              <w:rPr>
                <w:color w:val="auto"/>
                <w:sz w:val="21"/>
                <w:szCs w:val="21"/>
                <w:highlight w:val="none"/>
                <w:u w:val="single"/>
                <w:lang w:bidi="ar"/>
              </w:rPr>
              <w:t>。</w:t>
            </w:r>
          </w:p>
        </w:tc>
        <w:tc>
          <w:tcPr>
            <w:tcW w:w="483" w:type="pct"/>
            <w:vMerge w:val="restart"/>
            <w:tcBorders>
              <w:tl2br w:val="nil"/>
              <w:tr2bl w:val="nil"/>
            </w:tcBorders>
            <w:vAlign w:val="center"/>
          </w:tcPr>
          <w:p w14:paraId="11D5D0F4">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符合</w:t>
            </w:r>
          </w:p>
        </w:tc>
      </w:tr>
      <w:tr w14:paraId="45EFFF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07" w:hRule="atLeast"/>
        </w:trPr>
        <w:tc>
          <w:tcPr>
            <w:tcW w:w="358" w:type="pct"/>
            <w:tcBorders>
              <w:tl2br w:val="nil"/>
              <w:tr2bl w:val="nil"/>
            </w:tcBorders>
            <w:vAlign w:val="center"/>
          </w:tcPr>
          <w:p w14:paraId="5A1A3691">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1</w:t>
            </w:r>
            <w:r>
              <w:rPr>
                <w:rFonts w:hint="eastAsia"/>
                <w:color w:val="auto"/>
                <w:sz w:val="21"/>
                <w:szCs w:val="21"/>
                <w:highlight w:val="none"/>
                <w:u w:val="single"/>
                <w:lang w:bidi="ar"/>
              </w:rPr>
              <w:t>0</w:t>
            </w:r>
          </w:p>
        </w:tc>
        <w:tc>
          <w:tcPr>
            <w:tcW w:w="2403" w:type="pct"/>
            <w:tcBorders>
              <w:tl2br w:val="nil"/>
              <w:tr2bl w:val="nil"/>
            </w:tcBorders>
            <w:vAlign w:val="center"/>
          </w:tcPr>
          <w:p w14:paraId="3AAC3510">
            <w:pPr>
              <w:widowControl/>
              <w:topLinePunct w:val="0"/>
              <w:spacing w:line="240" w:lineRule="auto"/>
              <w:ind w:firstLine="0" w:firstLineChars="0"/>
              <w:textAlignment w:val="top"/>
              <w:rPr>
                <w:color w:val="auto"/>
                <w:sz w:val="21"/>
                <w:szCs w:val="21"/>
                <w:highlight w:val="none"/>
                <w:u w:val="single"/>
              </w:rPr>
            </w:pPr>
            <w:r>
              <w:rPr>
                <w:color w:val="auto"/>
                <w:sz w:val="21"/>
                <w:szCs w:val="21"/>
                <w:highlight w:val="none"/>
                <w:u w:val="single"/>
                <w:lang w:bidi="ar"/>
              </w:rPr>
              <w:t>工艺过程产生的含VOCs废料</w:t>
            </w:r>
            <w:r>
              <w:rPr>
                <w:rFonts w:hint="eastAsia"/>
                <w:color w:val="auto"/>
                <w:sz w:val="21"/>
                <w:szCs w:val="21"/>
                <w:highlight w:val="none"/>
                <w:u w:val="single"/>
                <w:lang w:bidi="ar"/>
              </w:rPr>
              <w:t>（</w:t>
            </w:r>
            <w:r>
              <w:rPr>
                <w:color w:val="auto"/>
                <w:sz w:val="21"/>
                <w:szCs w:val="21"/>
                <w:highlight w:val="none"/>
                <w:u w:val="single"/>
                <w:lang w:bidi="ar"/>
              </w:rPr>
              <w:t>渣、液</w:t>
            </w:r>
            <w:r>
              <w:rPr>
                <w:rFonts w:hint="eastAsia"/>
                <w:color w:val="auto"/>
                <w:sz w:val="21"/>
                <w:szCs w:val="21"/>
                <w:highlight w:val="none"/>
                <w:u w:val="single"/>
                <w:lang w:bidi="ar"/>
              </w:rPr>
              <w:t>）</w:t>
            </w:r>
            <w:r>
              <w:rPr>
                <w:color w:val="auto"/>
                <w:sz w:val="21"/>
                <w:szCs w:val="21"/>
                <w:highlight w:val="none"/>
                <w:u w:val="single"/>
                <w:lang w:bidi="ar"/>
              </w:rPr>
              <w:t>应按照第5章、第6章的要求进行储存、转移和输送。盛装过VOCs物料的废包装容器应加盖</w:t>
            </w:r>
            <w:r>
              <w:rPr>
                <w:rFonts w:hint="eastAsia"/>
                <w:color w:val="auto"/>
                <w:sz w:val="21"/>
                <w:szCs w:val="21"/>
                <w:highlight w:val="none"/>
                <w:u w:val="single"/>
                <w:lang w:bidi="ar"/>
              </w:rPr>
              <w:t>密闭</w:t>
            </w:r>
            <w:r>
              <w:rPr>
                <w:color w:val="auto"/>
                <w:sz w:val="21"/>
                <w:szCs w:val="21"/>
                <w:highlight w:val="none"/>
                <w:u w:val="single"/>
                <w:lang w:bidi="ar"/>
              </w:rPr>
              <w:t>。</w:t>
            </w:r>
          </w:p>
        </w:tc>
        <w:tc>
          <w:tcPr>
            <w:tcW w:w="1754" w:type="pct"/>
            <w:tcBorders>
              <w:tl2br w:val="nil"/>
              <w:tr2bl w:val="nil"/>
            </w:tcBorders>
            <w:vAlign w:val="center"/>
          </w:tcPr>
          <w:p w14:paraId="7B7C7F39">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本项目生产过程中产生的含VOCs废料</w:t>
            </w:r>
            <w:r>
              <w:rPr>
                <w:rFonts w:hint="eastAsia"/>
                <w:color w:val="auto"/>
                <w:sz w:val="21"/>
                <w:szCs w:val="21"/>
                <w:highlight w:val="none"/>
                <w:u w:val="single"/>
                <w:lang w:bidi="ar"/>
              </w:rPr>
              <w:t>（</w:t>
            </w:r>
            <w:r>
              <w:rPr>
                <w:color w:val="auto"/>
                <w:sz w:val="21"/>
                <w:szCs w:val="21"/>
                <w:highlight w:val="none"/>
                <w:u w:val="single"/>
                <w:lang w:bidi="ar"/>
              </w:rPr>
              <w:t>渣、液</w:t>
            </w:r>
            <w:r>
              <w:rPr>
                <w:rFonts w:hint="eastAsia"/>
                <w:color w:val="auto"/>
                <w:sz w:val="21"/>
                <w:szCs w:val="21"/>
                <w:highlight w:val="none"/>
                <w:u w:val="single"/>
                <w:lang w:bidi="ar"/>
              </w:rPr>
              <w:t>）</w:t>
            </w:r>
            <w:r>
              <w:rPr>
                <w:color w:val="auto"/>
                <w:sz w:val="21"/>
                <w:szCs w:val="21"/>
                <w:highlight w:val="none"/>
                <w:u w:val="single"/>
                <w:lang w:bidi="ar"/>
              </w:rPr>
              <w:t>按照规范储存在</w:t>
            </w:r>
            <w:r>
              <w:rPr>
                <w:rFonts w:hint="eastAsia"/>
                <w:color w:val="auto"/>
                <w:sz w:val="21"/>
                <w:szCs w:val="21"/>
                <w:highlight w:val="none"/>
                <w:u w:val="single"/>
                <w:lang w:bidi="ar"/>
              </w:rPr>
              <w:t>现有</w:t>
            </w:r>
            <w:r>
              <w:rPr>
                <w:color w:val="auto"/>
                <w:sz w:val="21"/>
                <w:szCs w:val="21"/>
                <w:highlight w:val="none"/>
                <w:u w:val="single"/>
                <w:lang w:bidi="ar"/>
              </w:rPr>
              <w:t>危废暂存间内，盛装过VOCs物料的废包装容器加盖密闭储存在危废暂存间内，委托有资质单位定期清运。</w:t>
            </w:r>
          </w:p>
        </w:tc>
        <w:tc>
          <w:tcPr>
            <w:tcW w:w="483" w:type="pct"/>
            <w:tcBorders>
              <w:tl2br w:val="nil"/>
              <w:tr2bl w:val="nil"/>
            </w:tcBorders>
            <w:vAlign w:val="center"/>
          </w:tcPr>
          <w:p w14:paraId="7229BACB">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符合</w:t>
            </w:r>
          </w:p>
        </w:tc>
      </w:tr>
      <w:tr w14:paraId="363788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58" w:type="pct"/>
            <w:tcBorders>
              <w:tl2br w:val="nil"/>
              <w:tr2bl w:val="nil"/>
            </w:tcBorders>
            <w:vAlign w:val="center"/>
          </w:tcPr>
          <w:p w14:paraId="231C22F5">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1</w:t>
            </w:r>
            <w:r>
              <w:rPr>
                <w:rFonts w:hint="eastAsia"/>
                <w:color w:val="auto"/>
                <w:sz w:val="21"/>
                <w:szCs w:val="21"/>
                <w:highlight w:val="none"/>
                <w:u w:val="single"/>
                <w:lang w:bidi="ar"/>
              </w:rPr>
              <w:t>1</w:t>
            </w:r>
          </w:p>
        </w:tc>
        <w:tc>
          <w:tcPr>
            <w:tcW w:w="2403" w:type="pct"/>
            <w:tcBorders>
              <w:tl2br w:val="nil"/>
              <w:tr2bl w:val="nil"/>
            </w:tcBorders>
            <w:vAlign w:val="center"/>
          </w:tcPr>
          <w:p w14:paraId="0975D5CB">
            <w:pPr>
              <w:widowControl/>
              <w:topLinePunct w:val="0"/>
              <w:spacing w:line="240" w:lineRule="auto"/>
              <w:ind w:firstLine="0" w:firstLineChars="0"/>
              <w:textAlignment w:val="center"/>
              <w:rPr>
                <w:color w:val="auto"/>
                <w:sz w:val="21"/>
                <w:szCs w:val="21"/>
                <w:highlight w:val="none"/>
                <w:u w:val="single"/>
              </w:rPr>
            </w:pPr>
            <w:r>
              <w:rPr>
                <w:color w:val="auto"/>
                <w:sz w:val="21"/>
                <w:szCs w:val="21"/>
                <w:highlight w:val="none"/>
                <w:u w:val="single"/>
                <w:lang w:bidi="ar"/>
              </w:rPr>
              <w:t>废气收集系统的输送管道应密闭。废气收集系统应在负压下运行，若处于正压状态，应对输送管道组件的密封点进行泄漏检测，泄漏检测值不应超过500μmol/mol,亦不应有感官可察觉泄漏。</w:t>
            </w:r>
          </w:p>
        </w:tc>
        <w:tc>
          <w:tcPr>
            <w:tcW w:w="1754" w:type="pct"/>
            <w:tcBorders>
              <w:tl2br w:val="nil"/>
              <w:tr2bl w:val="nil"/>
            </w:tcBorders>
            <w:vAlign w:val="center"/>
          </w:tcPr>
          <w:p w14:paraId="0897767C">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项目</w:t>
            </w:r>
            <w:r>
              <w:rPr>
                <w:rFonts w:hint="eastAsia"/>
                <w:color w:val="auto"/>
                <w:sz w:val="21"/>
                <w:szCs w:val="21"/>
                <w:highlight w:val="none"/>
                <w:u w:val="single"/>
                <w:lang w:bidi="ar"/>
              </w:rPr>
              <w:t>不涉及</w:t>
            </w:r>
            <w:r>
              <w:rPr>
                <w:color w:val="auto"/>
                <w:sz w:val="21"/>
                <w:szCs w:val="21"/>
                <w:highlight w:val="none"/>
                <w:u w:val="single"/>
                <w:lang w:bidi="ar"/>
              </w:rPr>
              <w:t>。</w:t>
            </w:r>
          </w:p>
        </w:tc>
        <w:tc>
          <w:tcPr>
            <w:tcW w:w="483" w:type="pct"/>
            <w:tcBorders>
              <w:tl2br w:val="nil"/>
              <w:tr2bl w:val="nil"/>
            </w:tcBorders>
            <w:vAlign w:val="center"/>
          </w:tcPr>
          <w:p w14:paraId="35A92D31">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符合</w:t>
            </w:r>
          </w:p>
        </w:tc>
      </w:tr>
      <w:tr w14:paraId="6E7979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58" w:type="pct"/>
            <w:tcBorders>
              <w:tl2br w:val="nil"/>
              <w:tr2bl w:val="nil"/>
            </w:tcBorders>
            <w:vAlign w:val="center"/>
          </w:tcPr>
          <w:p w14:paraId="0B898A5B">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1</w:t>
            </w:r>
            <w:r>
              <w:rPr>
                <w:rFonts w:hint="eastAsia"/>
                <w:color w:val="auto"/>
                <w:sz w:val="21"/>
                <w:szCs w:val="21"/>
                <w:highlight w:val="none"/>
                <w:u w:val="single"/>
                <w:lang w:bidi="ar"/>
              </w:rPr>
              <w:t>2</w:t>
            </w:r>
          </w:p>
        </w:tc>
        <w:tc>
          <w:tcPr>
            <w:tcW w:w="2403" w:type="pct"/>
            <w:tcBorders>
              <w:tl2br w:val="nil"/>
              <w:tr2bl w:val="nil"/>
            </w:tcBorders>
            <w:vAlign w:val="center"/>
          </w:tcPr>
          <w:p w14:paraId="368D8E44">
            <w:pPr>
              <w:widowControl/>
              <w:topLinePunct w:val="0"/>
              <w:spacing w:line="240" w:lineRule="auto"/>
              <w:ind w:firstLine="0" w:firstLineChars="0"/>
              <w:textAlignment w:val="center"/>
              <w:rPr>
                <w:color w:val="auto"/>
                <w:sz w:val="21"/>
                <w:szCs w:val="21"/>
                <w:highlight w:val="none"/>
                <w:u w:val="single"/>
              </w:rPr>
            </w:pPr>
            <w:r>
              <w:rPr>
                <w:color w:val="auto"/>
                <w:sz w:val="21"/>
                <w:szCs w:val="21"/>
                <w:highlight w:val="none"/>
                <w:u w:val="single"/>
                <w:lang w:bidi="ar"/>
              </w:rPr>
              <w:t>VOCs废气收集处理系统污染物排放应符合GB16297或相关行业排放标准的规定。</w:t>
            </w:r>
          </w:p>
        </w:tc>
        <w:tc>
          <w:tcPr>
            <w:tcW w:w="1754" w:type="pct"/>
            <w:tcBorders>
              <w:tl2br w:val="nil"/>
              <w:tr2bl w:val="nil"/>
            </w:tcBorders>
            <w:vAlign w:val="center"/>
          </w:tcPr>
          <w:p w14:paraId="6F978BEF">
            <w:pPr>
              <w:widowControl/>
              <w:topLinePunct w:val="0"/>
              <w:spacing w:line="240" w:lineRule="auto"/>
              <w:ind w:firstLine="0" w:firstLineChars="0"/>
              <w:jc w:val="center"/>
              <w:textAlignment w:val="top"/>
              <w:rPr>
                <w:color w:val="auto"/>
                <w:sz w:val="21"/>
                <w:szCs w:val="21"/>
                <w:highlight w:val="none"/>
                <w:u w:val="single"/>
              </w:rPr>
            </w:pPr>
            <w:r>
              <w:rPr>
                <w:color w:val="auto"/>
                <w:sz w:val="21"/>
                <w:szCs w:val="21"/>
                <w:highlight w:val="none"/>
                <w:u w:val="single"/>
                <w:lang w:bidi="ar"/>
              </w:rPr>
              <w:t>项目废气收集处理系统污染物排放满足GB16297</w:t>
            </w:r>
          </w:p>
        </w:tc>
        <w:tc>
          <w:tcPr>
            <w:tcW w:w="483" w:type="pct"/>
            <w:tcBorders>
              <w:tl2br w:val="nil"/>
              <w:tr2bl w:val="nil"/>
            </w:tcBorders>
            <w:vAlign w:val="center"/>
          </w:tcPr>
          <w:p w14:paraId="23E049BC">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符合</w:t>
            </w:r>
          </w:p>
        </w:tc>
      </w:tr>
      <w:tr w14:paraId="01991F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58" w:type="pct"/>
            <w:tcBorders>
              <w:tl2br w:val="nil"/>
              <w:tr2bl w:val="nil"/>
            </w:tcBorders>
            <w:vAlign w:val="center"/>
          </w:tcPr>
          <w:p w14:paraId="4529AE6D">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1</w:t>
            </w:r>
            <w:r>
              <w:rPr>
                <w:rFonts w:hint="eastAsia"/>
                <w:color w:val="auto"/>
                <w:sz w:val="21"/>
                <w:szCs w:val="21"/>
                <w:highlight w:val="none"/>
                <w:u w:val="single"/>
                <w:lang w:bidi="ar"/>
              </w:rPr>
              <w:t>3</w:t>
            </w:r>
          </w:p>
        </w:tc>
        <w:tc>
          <w:tcPr>
            <w:tcW w:w="2403" w:type="pct"/>
            <w:tcBorders>
              <w:tl2br w:val="nil"/>
              <w:tr2bl w:val="nil"/>
            </w:tcBorders>
            <w:vAlign w:val="center"/>
          </w:tcPr>
          <w:p w14:paraId="6B155CBE">
            <w:pPr>
              <w:widowControl/>
              <w:topLinePunct w:val="0"/>
              <w:spacing w:line="240" w:lineRule="auto"/>
              <w:ind w:firstLine="0" w:firstLineChars="0"/>
              <w:textAlignment w:val="center"/>
              <w:rPr>
                <w:color w:val="auto"/>
                <w:sz w:val="21"/>
                <w:szCs w:val="21"/>
                <w:highlight w:val="none"/>
                <w:u w:val="single"/>
              </w:rPr>
            </w:pPr>
            <w:r>
              <w:rPr>
                <w:color w:val="auto"/>
                <w:sz w:val="21"/>
                <w:szCs w:val="21"/>
                <w:highlight w:val="none"/>
                <w:u w:val="single"/>
                <w:lang w:bidi="ar"/>
              </w:rPr>
              <w:t>对于工艺过程排放的含VOCs废水，集输系统应符合下列规定之一：a.采用密闭管道输送，接入口和排出口采取与环境空气隔离的措施；b.采用沟渠输送，若敞开液面上方100mm处VOCs检测浓度≥100μmol/mol,应加盖密闭，接入口和排出口采取与环境空气隔离的措施。</w:t>
            </w:r>
          </w:p>
        </w:tc>
        <w:tc>
          <w:tcPr>
            <w:tcW w:w="1754" w:type="pct"/>
            <w:vMerge w:val="restart"/>
            <w:tcBorders>
              <w:tl2br w:val="nil"/>
              <w:tr2bl w:val="nil"/>
            </w:tcBorders>
            <w:vAlign w:val="center"/>
          </w:tcPr>
          <w:p w14:paraId="2D93DA5D">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项目</w:t>
            </w:r>
            <w:r>
              <w:rPr>
                <w:rFonts w:hint="eastAsia"/>
                <w:color w:val="auto"/>
                <w:sz w:val="21"/>
                <w:szCs w:val="21"/>
                <w:highlight w:val="none"/>
                <w:u w:val="single"/>
                <w:lang w:bidi="ar"/>
              </w:rPr>
              <w:t>坞修工程产生的含油废水采用罐车转运至基地现有废水处理站处理</w:t>
            </w:r>
            <w:r>
              <w:rPr>
                <w:color w:val="auto"/>
                <w:sz w:val="21"/>
                <w:szCs w:val="21"/>
                <w:highlight w:val="none"/>
                <w:u w:val="single"/>
                <w:lang w:bidi="ar"/>
              </w:rPr>
              <w:t>。</w:t>
            </w:r>
          </w:p>
        </w:tc>
        <w:tc>
          <w:tcPr>
            <w:tcW w:w="483" w:type="pct"/>
            <w:vMerge w:val="restart"/>
            <w:tcBorders>
              <w:tl2br w:val="nil"/>
              <w:tr2bl w:val="nil"/>
            </w:tcBorders>
            <w:vAlign w:val="center"/>
          </w:tcPr>
          <w:p w14:paraId="1C2CE6A6">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符合</w:t>
            </w:r>
          </w:p>
        </w:tc>
      </w:tr>
      <w:tr w14:paraId="7C2CB8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58" w:type="pct"/>
            <w:tcBorders>
              <w:tl2br w:val="nil"/>
              <w:tr2bl w:val="nil"/>
            </w:tcBorders>
            <w:vAlign w:val="center"/>
          </w:tcPr>
          <w:p w14:paraId="6A476C1C">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1</w:t>
            </w:r>
            <w:r>
              <w:rPr>
                <w:rFonts w:hint="eastAsia"/>
                <w:color w:val="auto"/>
                <w:sz w:val="21"/>
                <w:szCs w:val="21"/>
                <w:highlight w:val="none"/>
                <w:u w:val="single"/>
                <w:lang w:bidi="ar"/>
              </w:rPr>
              <w:t>4</w:t>
            </w:r>
          </w:p>
        </w:tc>
        <w:tc>
          <w:tcPr>
            <w:tcW w:w="2403" w:type="pct"/>
            <w:tcBorders>
              <w:tl2br w:val="nil"/>
              <w:tr2bl w:val="nil"/>
            </w:tcBorders>
            <w:vAlign w:val="center"/>
          </w:tcPr>
          <w:p w14:paraId="510B6CF3">
            <w:pPr>
              <w:widowControl/>
              <w:topLinePunct w:val="0"/>
              <w:spacing w:line="240" w:lineRule="auto"/>
              <w:ind w:firstLine="0" w:firstLineChars="0"/>
              <w:textAlignment w:val="top"/>
              <w:rPr>
                <w:color w:val="auto"/>
                <w:sz w:val="21"/>
                <w:szCs w:val="21"/>
                <w:highlight w:val="none"/>
                <w:u w:val="single"/>
              </w:rPr>
            </w:pPr>
            <w:r>
              <w:rPr>
                <w:color w:val="auto"/>
                <w:sz w:val="21"/>
                <w:szCs w:val="21"/>
                <w:highlight w:val="none"/>
                <w:u w:val="single"/>
                <w:lang w:bidi="ar"/>
              </w:rPr>
              <w:t>含VOCs废水储存和处理设施敞开液面上方100mm处VOCs检测浓度≥100μmol/mol</w:t>
            </w:r>
            <w:r>
              <w:rPr>
                <w:rFonts w:hint="eastAsia"/>
                <w:color w:val="auto"/>
                <w:sz w:val="21"/>
                <w:szCs w:val="21"/>
                <w:highlight w:val="none"/>
                <w:u w:val="single"/>
                <w:lang w:bidi="ar"/>
              </w:rPr>
              <w:t>，</w:t>
            </w:r>
            <w:r>
              <w:rPr>
                <w:color w:val="auto"/>
                <w:sz w:val="21"/>
                <w:szCs w:val="21"/>
                <w:highlight w:val="none"/>
                <w:u w:val="single"/>
                <w:lang w:bidi="ar"/>
              </w:rPr>
              <w:t>应符合下列规定之一：a.采用浮动顶盖；b.采用固定顶盖，收集废气至VOCs废气收集处理系统；c.其他等效措施。</w:t>
            </w:r>
          </w:p>
        </w:tc>
        <w:tc>
          <w:tcPr>
            <w:tcW w:w="1754" w:type="pct"/>
            <w:vMerge w:val="continue"/>
            <w:tcBorders>
              <w:tl2br w:val="nil"/>
              <w:tr2bl w:val="nil"/>
            </w:tcBorders>
            <w:vAlign w:val="center"/>
          </w:tcPr>
          <w:p w14:paraId="3E5F9878">
            <w:pPr>
              <w:widowControl/>
              <w:topLinePunct w:val="0"/>
              <w:spacing w:line="240" w:lineRule="auto"/>
              <w:ind w:firstLine="0" w:firstLineChars="0"/>
              <w:jc w:val="center"/>
              <w:textAlignment w:val="bottom"/>
              <w:rPr>
                <w:color w:val="auto"/>
                <w:sz w:val="21"/>
                <w:szCs w:val="21"/>
                <w:highlight w:val="none"/>
                <w:u w:val="single"/>
              </w:rPr>
            </w:pPr>
          </w:p>
        </w:tc>
        <w:tc>
          <w:tcPr>
            <w:tcW w:w="483" w:type="pct"/>
            <w:vMerge w:val="continue"/>
            <w:tcBorders>
              <w:tl2br w:val="nil"/>
              <w:tr2bl w:val="nil"/>
            </w:tcBorders>
            <w:vAlign w:val="center"/>
          </w:tcPr>
          <w:p w14:paraId="74690689">
            <w:pPr>
              <w:widowControl/>
              <w:topLinePunct w:val="0"/>
              <w:spacing w:line="240" w:lineRule="auto"/>
              <w:ind w:firstLine="0" w:firstLineChars="0"/>
              <w:jc w:val="center"/>
              <w:textAlignment w:val="center"/>
              <w:rPr>
                <w:color w:val="auto"/>
                <w:sz w:val="21"/>
                <w:szCs w:val="21"/>
                <w:highlight w:val="none"/>
                <w:u w:val="single"/>
              </w:rPr>
            </w:pPr>
          </w:p>
        </w:tc>
      </w:tr>
      <w:tr w14:paraId="28C378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58" w:type="pct"/>
            <w:tcBorders>
              <w:tl2br w:val="nil"/>
              <w:tr2bl w:val="nil"/>
            </w:tcBorders>
            <w:vAlign w:val="center"/>
          </w:tcPr>
          <w:p w14:paraId="5ABDFE3C">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1</w:t>
            </w:r>
            <w:r>
              <w:rPr>
                <w:rFonts w:hint="eastAsia"/>
                <w:color w:val="auto"/>
                <w:sz w:val="21"/>
                <w:szCs w:val="21"/>
                <w:highlight w:val="none"/>
                <w:u w:val="single"/>
                <w:lang w:bidi="ar"/>
              </w:rPr>
              <w:t>5</w:t>
            </w:r>
          </w:p>
        </w:tc>
        <w:tc>
          <w:tcPr>
            <w:tcW w:w="2403" w:type="pct"/>
            <w:tcBorders>
              <w:tl2br w:val="nil"/>
              <w:tr2bl w:val="nil"/>
            </w:tcBorders>
            <w:vAlign w:val="center"/>
          </w:tcPr>
          <w:p w14:paraId="45CF23EE">
            <w:pPr>
              <w:widowControl/>
              <w:topLinePunct w:val="0"/>
              <w:spacing w:line="240" w:lineRule="auto"/>
              <w:ind w:firstLine="0" w:firstLineChars="0"/>
              <w:textAlignment w:val="center"/>
              <w:rPr>
                <w:color w:val="auto"/>
                <w:sz w:val="21"/>
                <w:szCs w:val="21"/>
                <w:highlight w:val="none"/>
                <w:u w:val="single"/>
              </w:rPr>
            </w:pPr>
            <w:r>
              <w:rPr>
                <w:color w:val="auto"/>
                <w:sz w:val="21"/>
                <w:szCs w:val="21"/>
                <w:highlight w:val="none"/>
                <w:u w:val="single"/>
                <w:lang w:bidi="ar"/>
              </w:rPr>
              <w:t>企业厂区内VOCs无组织排放监控点浓度应满足表A.1中特别限值6mg/m³</w:t>
            </w:r>
            <w:r>
              <w:rPr>
                <w:rFonts w:hint="eastAsia"/>
                <w:color w:val="auto"/>
                <w:sz w:val="21"/>
                <w:szCs w:val="21"/>
                <w:highlight w:val="none"/>
                <w:u w:val="single"/>
                <w:lang w:bidi="ar"/>
              </w:rPr>
              <w:t>（</w:t>
            </w:r>
            <w:r>
              <w:rPr>
                <w:color w:val="auto"/>
                <w:sz w:val="21"/>
                <w:szCs w:val="21"/>
                <w:highlight w:val="none"/>
                <w:u w:val="single"/>
                <w:lang w:bidi="ar"/>
              </w:rPr>
              <w:t>厂房外设置监控点，监控点处1h评价浓度值</w:t>
            </w:r>
            <w:r>
              <w:rPr>
                <w:rFonts w:hint="eastAsia"/>
                <w:color w:val="auto"/>
                <w:sz w:val="21"/>
                <w:szCs w:val="21"/>
                <w:highlight w:val="none"/>
                <w:u w:val="single"/>
                <w:lang w:bidi="ar"/>
              </w:rPr>
              <w:t>）</w:t>
            </w:r>
            <w:r>
              <w:rPr>
                <w:color w:val="auto"/>
                <w:sz w:val="21"/>
                <w:szCs w:val="21"/>
                <w:highlight w:val="none"/>
                <w:u w:val="single"/>
                <w:lang w:bidi="ar"/>
              </w:rPr>
              <w:t>。</w:t>
            </w:r>
          </w:p>
        </w:tc>
        <w:tc>
          <w:tcPr>
            <w:tcW w:w="1754" w:type="pct"/>
            <w:tcBorders>
              <w:tl2br w:val="nil"/>
              <w:tr2bl w:val="nil"/>
            </w:tcBorders>
            <w:vAlign w:val="center"/>
          </w:tcPr>
          <w:p w14:paraId="36A23D06">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根据预测结果，满足要求。环评监测计划中，要求在</w:t>
            </w:r>
            <w:r>
              <w:rPr>
                <w:rFonts w:hint="eastAsia"/>
                <w:color w:val="auto"/>
                <w:sz w:val="21"/>
                <w:szCs w:val="21"/>
                <w:highlight w:val="none"/>
                <w:u w:val="single"/>
                <w:lang w:bidi="ar"/>
              </w:rPr>
              <w:t>厂界</w:t>
            </w:r>
            <w:r>
              <w:rPr>
                <w:color w:val="auto"/>
                <w:sz w:val="21"/>
                <w:szCs w:val="21"/>
                <w:highlight w:val="none"/>
                <w:u w:val="single"/>
                <w:lang w:bidi="ar"/>
              </w:rPr>
              <w:t>外区域设置监控点</w:t>
            </w:r>
          </w:p>
        </w:tc>
        <w:tc>
          <w:tcPr>
            <w:tcW w:w="483" w:type="pct"/>
            <w:tcBorders>
              <w:tl2br w:val="nil"/>
              <w:tr2bl w:val="nil"/>
            </w:tcBorders>
            <w:vAlign w:val="center"/>
          </w:tcPr>
          <w:p w14:paraId="090BE7AC">
            <w:pPr>
              <w:widowControl/>
              <w:topLinePunct w:val="0"/>
              <w:spacing w:line="240" w:lineRule="auto"/>
              <w:ind w:firstLine="0" w:firstLineChars="0"/>
              <w:jc w:val="center"/>
              <w:textAlignment w:val="center"/>
              <w:rPr>
                <w:color w:val="auto"/>
                <w:sz w:val="21"/>
                <w:szCs w:val="21"/>
                <w:highlight w:val="none"/>
                <w:u w:val="single"/>
              </w:rPr>
            </w:pPr>
            <w:r>
              <w:rPr>
                <w:color w:val="auto"/>
                <w:sz w:val="21"/>
                <w:szCs w:val="21"/>
                <w:highlight w:val="none"/>
                <w:u w:val="single"/>
                <w:lang w:bidi="ar"/>
              </w:rPr>
              <w:t>符合</w:t>
            </w:r>
          </w:p>
        </w:tc>
      </w:tr>
    </w:tbl>
    <w:p w14:paraId="6DFEC0C4">
      <w:pPr>
        <w:pStyle w:val="9"/>
        <w:ind w:firstLine="0" w:firstLineChars="0"/>
        <w:rPr>
          <w:color w:val="auto"/>
          <w:highlight w:val="none"/>
          <w:lang w:val="zh-CN"/>
        </w:rPr>
      </w:pPr>
    </w:p>
    <w:p w14:paraId="61360D0C">
      <w:pPr>
        <w:pStyle w:val="7"/>
        <w:numPr>
          <w:ilvl w:val="0"/>
          <w:numId w:val="7"/>
        </w:numPr>
        <w:rPr>
          <w:color w:val="auto"/>
          <w:sz w:val="28"/>
          <w:highlight w:val="none"/>
        </w:rPr>
      </w:pPr>
      <w:r>
        <w:rPr>
          <w:color w:val="auto"/>
          <w:sz w:val="28"/>
          <w:highlight w:val="none"/>
        </w:rPr>
        <w:t>与生态环境分区管控符合性</w:t>
      </w:r>
    </w:p>
    <w:p w14:paraId="719F6A49">
      <w:pPr>
        <w:widowControl/>
        <w:ind w:firstLine="480"/>
        <w:rPr>
          <w:color w:val="auto"/>
          <w:highlight w:val="none"/>
        </w:rPr>
      </w:pPr>
      <w:r>
        <w:rPr>
          <w:color w:val="auto"/>
          <w:highlight w:val="none"/>
        </w:rPr>
        <w:t>根据《广西壮族自治区生态环境厅关于印发实施广西壮族自治区生态环境分区管控动态更新成果（2023年）的通知》（桂环规范〔2024〕3号）、《钦州市生态环境局关于印发钦州市生态环境分区管控动态更新成果（2023版）的通知》相关要求，分析论证项目与生态环境分区管控要求的相符性。</w:t>
      </w:r>
    </w:p>
    <w:p w14:paraId="0BBD6610">
      <w:pPr>
        <w:pStyle w:val="8"/>
        <w:rPr>
          <w:color w:val="auto"/>
          <w:highlight w:val="none"/>
          <w:lang w:val="zh-CN"/>
        </w:rPr>
      </w:pPr>
      <w:r>
        <w:rPr>
          <w:color w:val="auto"/>
          <w:highlight w:val="none"/>
          <w:lang w:val="zh-CN"/>
        </w:rPr>
        <w:t>（</w:t>
      </w:r>
      <w:r>
        <w:rPr>
          <w:color w:val="auto"/>
          <w:highlight w:val="none"/>
        </w:rPr>
        <w:t>1</w:t>
      </w:r>
      <w:r>
        <w:rPr>
          <w:color w:val="auto"/>
          <w:highlight w:val="none"/>
          <w:lang w:val="zh-CN"/>
        </w:rPr>
        <w:t>）项目与广西壮族自治区生态环境分区管控要求的相符性</w:t>
      </w:r>
    </w:p>
    <w:p w14:paraId="7C012AE2">
      <w:pPr>
        <w:widowControl/>
        <w:ind w:firstLine="480"/>
        <w:rPr>
          <w:color w:val="auto"/>
          <w:highlight w:val="none"/>
        </w:rPr>
      </w:pPr>
      <w:r>
        <w:rPr>
          <w:color w:val="auto"/>
          <w:highlight w:val="none"/>
        </w:rPr>
        <w:t>根据2024年8月自治区生态环境厅发布的《广西壮族自治区生态环境厅关于印发实施广西壮族自治区生态环境分区管控动态更新成果（2023年）的通知》（桂环规范〔2024〕3号），全区陆域共划分为1461个环境管控单元。其中，优先保护单元831个，重点管控单元519个，一般管控单元111个。近岸海域共划分为212个环境管控单元。其中，优先保护单元101个，重点管控单元72个，一般管控单元39个。</w:t>
      </w:r>
    </w:p>
    <w:p w14:paraId="53D70D59">
      <w:pPr>
        <w:widowControl/>
        <w:ind w:firstLine="480"/>
        <w:rPr>
          <w:color w:val="auto"/>
          <w:highlight w:val="none"/>
        </w:rPr>
        <w:sectPr>
          <w:headerReference r:id="rId13" w:type="default"/>
          <w:pgSz w:w="11906" w:h="16838"/>
          <w:pgMar w:top="1440" w:right="1701" w:bottom="1440" w:left="1701" w:header="851" w:footer="850" w:gutter="0"/>
          <w:cols w:space="0" w:num="1"/>
          <w:docGrid w:type="lines" w:linePitch="312" w:charSpace="0"/>
        </w:sectPr>
      </w:pPr>
      <w:r>
        <w:rPr>
          <w:color w:val="auto"/>
          <w:highlight w:val="none"/>
        </w:rPr>
        <w:t>本项目位于钦州市钦州港域三墩港区，属于北部湾经济区范围，根据《广西壮族自治区生态环境厅关于印发实施广西壮族自治区生态环境分区管控动态更新成果（2023年）的通知》（桂环规范〔2024〕3号），项目与北部湾经济区生态环境准入及管控要求相符性见表</w:t>
      </w:r>
      <w:r>
        <w:rPr>
          <w:rFonts w:hint="eastAsia"/>
          <w:color w:val="auto"/>
          <w:highlight w:val="none"/>
        </w:rPr>
        <w:t>5</w:t>
      </w:r>
      <w:r>
        <w:rPr>
          <w:color w:val="auto"/>
          <w:highlight w:val="none"/>
        </w:rPr>
        <w:t>。</w:t>
      </w:r>
    </w:p>
    <w:p w14:paraId="7C27E2E0">
      <w:pPr>
        <w:topLinePunct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表</w:t>
      </w:r>
      <w:r>
        <w:rPr>
          <w:rFonts w:hint="eastAsia"/>
          <w:b/>
          <w:bCs/>
          <w:color w:val="auto"/>
          <w:sz w:val="21"/>
          <w:szCs w:val="21"/>
          <w:highlight w:val="none"/>
        </w:rPr>
        <w:t>5</w:t>
      </w:r>
      <w:r>
        <w:rPr>
          <w:b/>
          <w:bCs/>
          <w:color w:val="auto"/>
          <w:sz w:val="21"/>
          <w:szCs w:val="21"/>
          <w:highlight w:val="none"/>
        </w:rPr>
        <w:t>项目与北部湾经济区生态环境准入及管控要求相符性分析一览表</w:t>
      </w:r>
    </w:p>
    <w:tbl>
      <w:tblPr>
        <w:tblStyle w:val="9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5"/>
        <w:gridCol w:w="1013"/>
        <w:gridCol w:w="945"/>
        <w:gridCol w:w="6815"/>
        <w:gridCol w:w="4079"/>
      </w:tblGrid>
      <w:tr w14:paraId="740803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91" w:type="pct"/>
            <w:tcBorders>
              <w:tl2br w:val="nil"/>
              <w:tr2bl w:val="nil"/>
            </w:tcBorders>
            <w:vAlign w:val="center"/>
          </w:tcPr>
          <w:p w14:paraId="21379986">
            <w:pPr>
              <w:pStyle w:val="1544"/>
              <w:topLinePunct w:val="0"/>
              <w:ind w:left="-48" w:leftChars="-20" w:right="-48" w:rightChars="-20" w:firstLine="0" w:firstLineChars="0"/>
              <w:rPr>
                <w:rFonts w:cs="Times New Roman"/>
                <w:color w:val="auto"/>
                <w:kern w:val="2"/>
                <w:szCs w:val="21"/>
                <w:highlight w:val="none"/>
              </w:rPr>
            </w:pPr>
            <w:r>
              <w:rPr>
                <w:rFonts w:cs="Times New Roman"/>
                <w:color w:val="auto"/>
                <w:kern w:val="2"/>
                <w:szCs w:val="21"/>
                <w:highlight w:val="none"/>
              </w:rPr>
              <w:t>适用分区</w:t>
            </w:r>
          </w:p>
        </w:tc>
        <w:tc>
          <w:tcPr>
            <w:tcW w:w="371" w:type="pct"/>
            <w:tcBorders>
              <w:tl2br w:val="nil"/>
              <w:tr2bl w:val="nil"/>
            </w:tcBorders>
            <w:vAlign w:val="center"/>
          </w:tcPr>
          <w:p w14:paraId="6D095DC1">
            <w:pPr>
              <w:pStyle w:val="1544"/>
              <w:topLinePunct w:val="0"/>
              <w:ind w:left="-48" w:leftChars="-20" w:right="-48" w:rightChars="-20" w:firstLine="0" w:firstLineChars="0"/>
              <w:rPr>
                <w:rFonts w:cs="Times New Roman"/>
                <w:color w:val="auto"/>
                <w:kern w:val="2"/>
                <w:szCs w:val="21"/>
                <w:highlight w:val="none"/>
              </w:rPr>
            </w:pPr>
            <w:r>
              <w:rPr>
                <w:rFonts w:cs="Times New Roman"/>
                <w:color w:val="auto"/>
                <w:kern w:val="2"/>
                <w:szCs w:val="21"/>
                <w:highlight w:val="none"/>
              </w:rPr>
              <w:t>适用对象</w:t>
            </w:r>
          </w:p>
        </w:tc>
        <w:tc>
          <w:tcPr>
            <w:tcW w:w="346" w:type="pct"/>
            <w:tcBorders>
              <w:tl2br w:val="nil"/>
              <w:tr2bl w:val="nil"/>
            </w:tcBorders>
            <w:vAlign w:val="center"/>
          </w:tcPr>
          <w:p w14:paraId="1B5E982C">
            <w:pPr>
              <w:pStyle w:val="1544"/>
              <w:topLinePunct w:val="0"/>
              <w:ind w:left="-48" w:leftChars="-20" w:right="-48" w:rightChars="-20" w:firstLine="0" w:firstLineChars="0"/>
              <w:rPr>
                <w:rFonts w:cs="Times New Roman"/>
                <w:color w:val="auto"/>
                <w:kern w:val="2"/>
                <w:szCs w:val="21"/>
                <w:highlight w:val="none"/>
              </w:rPr>
            </w:pPr>
            <w:r>
              <w:rPr>
                <w:rFonts w:cs="Times New Roman"/>
                <w:color w:val="auto"/>
                <w:kern w:val="2"/>
                <w:szCs w:val="21"/>
                <w:highlight w:val="none"/>
              </w:rPr>
              <w:t>管控要求类别</w:t>
            </w:r>
          </w:p>
        </w:tc>
        <w:tc>
          <w:tcPr>
            <w:tcW w:w="2496" w:type="pct"/>
            <w:tcBorders>
              <w:tl2br w:val="nil"/>
              <w:tr2bl w:val="nil"/>
            </w:tcBorders>
            <w:vAlign w:val="center"/>
          </w:tcPr>
          <w:p w14:paraId="1700888F">
            <w:pPr>
              <w:pStyle w:val="1544"/>
              <w:topLinePunct w:val="0"/>
              <w:ind w:left="-48" w:leftChars="-20" w:right="-48" w:rightChars="-20" w:firstLine="0" w:firstLineChars="0"/>
              <w:rPr>
                <w:rFonts w:cs="Times New Roman"/>
                <w:color w:val="auto"/>
                <w:kern w:val="2"/>
                <w:szCs w:val="21"/>
                <w:highlight w:val="none"/>
              </w:rPr>
            </w:pPr>
            <w:r>
              <w:rPr>
                <w:rFonts w:cs="Times New Roman"/>
                <w:color w:val="auto"/>
                <w:kern w:val="2"/>
                <w:szCs w:val="21"/>
                <w:highlight w:val="none"/>
              </w:rPr>
              <w:t>生态环境准入及管控要求</w:t>
            </w:r>
          </w:p>
        </w:tc>
        <w:tc>
          <w:tcPr>
            <w:tcW w:w="1494" w:type="pct"/>
            <w:tcBorders>
              <w:tl2br w:val="nil"/>
              <w:tr2bl w:val="nil"/>
            </w:tcBorders>
            <w:vAlign w:val="center"/>
          </w:tcPr>
          <w:p w14:paraId="0A838EC0">
            <w:pPr>
              <w:pStyle w:val="1544"/>
              <w:topLinePunct w:val="0"/>
              <w:ind w:left="-48" w:leftChars="-20" w:right="-48" w:rightChars="-20" w:firstLine="0" w:firstLineChars="0"/>
              <w:rPr>
                <w:rFonts w:cs="Times New Roman"/>
                <w:color w:val="auto"/>
                <w:kern w:val="2"/>
                <w:szCs w:val="21"/>
                <w:highlight w:val="none"/>
              </w:rPr>
            </w:pPr>
            <w:r>
              <w:rPr>
                <w:rFonts w:cs="Times New Roman"/>
                <w:color w:val="auto"/>
                <w:kern w:val="2"/>
                <w:szCs w:val="21"/>
                <w:highlight w:val="none"/>
              </w:rPr>
              <w:t>相符性</w:t>
            </w:r>
          </w:p>
        </w:tc>
      </w:tr>
      <w:tr w14:paraId="62BC1F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1" w:type="pct"/>
            <w:vMerge w:val="restart"/>
            <w:tcBorders>
              <w:tl2br w:val="nil"/>
              <w:tr2bl w:val="nil"/>
            </w:tcBorders>
            <w:vAlign w:val="center"/>
          </w:tcPr>
          <w:p w14:paraId="726B4AB1">
            <w:pPr>
              <w:pStyle w:val="181"/>
              <w:adjustRightInd w:val="0"/>
              <w:snapToGrid w:val="0"/>
              <w:spacing w:line="240" w:lineRule="auto"/>
              <w:ind w:left="-48" w:leftChars="-20" w:right="-48" w:rightChars="-20"/>
              <w:jc w:val="center"/>
              <w:rPr>
                <w:color w:val="auto"/>
                <w:sz w:val="21"/>
                <w:szCs w:val="21"/>
                <w:highlight w:val="none"/>
              </w:rPr>
            </w:pPr>
            <w:r>
              <w:rPr>
                <w:color w:val="auto"/>
                <w:sz w:val="21"/>
                <w:szCs w:val="21"/>
                <w:highlight w:val="none"/>
              </w:rPr>
              <w:t>北部湾经济区</w:t>
            </w:r>
          </w:p>
          <w:p w14:paraId="191D5121">
            <w:pPr>
              <w:pStyle w:val="181"/>
              <w:adjustRightInd w:val="0"/>
              <w:snapToGrid w:val="0"/>
              <w:spacing w:line="240" w:lineRule="auto"/>
              <w:ind w:left="-48" w:leftChars="-20" w:right="-48" w:rightChars="-20"/>
              <w:jc w:val="center"/>
              <w:rPr>
                <w:color w:val="auto"/>
                <w:sz w:val="21"/>
                <w:szCs w:val="21"/>
                <w:highlight w:val="none"/>
              </w:rPr>
            </w:pPr>
            <w:r>
              <w:rPr>
                <w:color w:val="auto"/>
                <w:sz w:val="21"/>
                <w:szCs w:val="21"/>
                <w:highlight w:val="none"/>
              </w:rPr>
              <w:t>全部分区</w:t>
            </w:r>
          </w:p>
        </w:tc>
        <w:tc>
          <w:tcPr>
            <w:tcW w:w="371" w:type="pct"/>
            <w:vMerge w:val="restart"/>
            <w:tcBorders>
              <w:tl2br w:val="nil"/>
              <w:tr2bl w:val="nil"/>
            </w:tcBorders>
            <w:vAlign w:val="center"/>
          </w:tcPr>
          <w:p w14:paraId="14BE16F6">
            <w:pPr>
              <w:pStyle w:val="181"/>
              <w:adjustRightInd w:val="0"/>
              <w:snapToGrid w:val="0"/>
              <w:spacing w:line="240" w:lineRule="auto"/>
              <w:ind w:left="-48" w:leftChars="-20" w:right="-48" w:rightChars="-20"/>
              <w:jc w:val="center"/>
              <w:rPr>
                <w:color w:val="auto"/>
                <w:sz w:val="21"/>
                <w:szCs w:val="21"/>
                <w:highlight w:val="none"/>
              </w:rPr>
            </w:pPr>
            <w:r>
              <w:rPr>
                <w:color w:val="auto"/>
                <w:sz w:val="21"/>
                <w:szCs w:val="21"/>
                <w:highlight w:val="none"/>
              </w:rPr>
              <w:t>北部湾经济区（本清单适用于南宁市、北海市、钦州市、防城港市、玉林市、崇左市）</w:t>
            </w:r>
          </w:p>
        </w:tc>
        <w:tc>
          <w:tcPr>
            <w:tcW w:w="346" w:type="pct"/>
            <w:vMerge w:val="restart"/>
            <w:tcBorders>
              <w:tl2br w:val="nil"/>
              <w:tr2bl w:val="nil"/>
            </w:tcBorders>
            <w:vAlign w:val="center"/>
          </w:tcPr>
          <w:p w14:paraId="5B83A924">
            <w:pPr>
              <w:pStyle w:val="181"/>
              <w:adjustRightInd w:val="0"/>
              <w:snapToGrid w:val="0"/>
              <w:spacing w:line="240" w:lineRule="auto"/>
              <w:ind w:left="-48" w:leftChars="-20" w:right="-48" w:rightChars="-20"/>
              <w:jc w:val="center"/>
              <w:rPr>
                <w:color w:val="auto"/>
                <w:sz w:val="21"/>
                <w:szCs w:val="21"/>
                <w:highlight w:val="none"/>
              </w:rPr>
            </w:pPr>
            <w:r>
              <w:rPr>
                <w:color w:val="auto"/>
                <w:sz w:val="21"/>
                <w:szCs w:val="21"/>
                <w:highlight w:val="none"/>
              </w:rPr>
              <w:t>空间布局约束</w:t>
            </w:r>
          </w:p>
        </w:tc>
        <w:tc>
          <w:tcPr>
            <w:tcW w:w="2496" w:type="pct"/>
            <w:tcBorders>
              <w:tl2br w:val="nil"/>
              <w:tr2bl w:val="nil"/>
            </w:tcBorders>
            <w:vAlign w:val="center"/>
          </w:tcPr>
          <w:p w14:paraId="64FCB8BF">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1．坚持高质量发展和高水平保护并重，引领广西高质量发展的重要增长极和成为具有区域影响力和带动力的重要增长极，建设宜居宜业宜游蓝色生态湾区。</w:t>
            </w:r>
          </w:p>
        </w:tc>
        <w:tc>
          <w:tcPr>
            <w:tcW w:w="1494" w:type="pct"/>
            <w:tcBorders>
              <w:tl2br w:val="nil"/>
              <w:tr2bl w:val="nil"/>
            </w:tcBorders>
            <w:vAlign w:val="center"/>
          </w:tcPr>
          <w:p w14:paraId="4E485C17">
            <w:pPr>
              <w:widowControl/>
              <w:topLinePunct w:val="0"/>
              <w:spacing w:line="240" w:lineRule="auto"/>
              <w:ind w:left="-48" w:leftChars="-20" w:right="-48" w:rightChars="-20" w:firstLine="0" w:firstLineChars="0"/>
              <w:jc w:val="left"/>
              <w:rPr>
                <w:color w:val="auto"/>
                <w:kern w:val="2"/>
                <w:sz w:val="21"/>
                <w:szCs w:val="21"/>
                <w:highlight w:val="none"/>
              </w:rPr>
            </w:pPr>
            <w:r>
              <w:rPr>
                <w:color w:val="auto"/>
                <w:kern w:val="2"/>
                <w:sz w:val="21"/>
                <w:szCs w:val="21"/>
                <w:highlight w:val="none"/>
              </w:rPr>
              <w:t xml:space="preserve">符合。 </w:t>
            </w:r>
          </w:p>
          <w:p w14:paraId="4901BCFD">
            <w:pPr>
              <w:widowControl/>
              <w:topLinePunct w:val="0"/>
              <w:spacing w:line="240" w:lineRule="auto"/>
              <w:ind w:left="-48" w:leftChars="-20" w:right="-48" w:rightChars="-20" w:firstLine="0" w:firstLineChars="0"/>
              <w:jc w:val="left"/>
              <w:rPr>
                <w:color w:val="auto"/>
                <w:kern w:val="2"/>
                <w:sz w:val="21"/>
                <w:szCs w:val="21"/>
                <w:highlight w:val="none"/>
              </w:rPr>
            </w:pPr>
            <w:r>
              <w:rPr>
                <w:color w:val="auto"/>
                <w:kern w:val="2"/>
                <w:sz w:val="21"/>
                <w:szCs w:val="21"/>
                <w:highlight w:val="none"/>
              </w:rPr>
              <w:t>本项目建设，在充分利用现有设施的基础上，</w:t>
            </w:r>
            <w:r>
              <w:rPr>
                <w:rFonts w:hint="eastAsia"/>
                <w:color w:val="auto"/>
                <w:kern w:val="2"/>
                <w:sz w:val="21"/>
                <w:szCs w:val="21"/>
                <w:highlight w:val="none"/>
              </w:rPr>
              <w:t>技改</w:t>
            </w:r>
            <w:r>
              <w:rPr>
                <w:color w:val="auto"/>
                <w:kern w:val="2"/>
                <w:sz w:val="21"/>
                <w:szCs w:val="21"/>
                <w:highlight w:val="none"/>
              </w:rPr>
              <w:t>建设10万吨级浮船坞、</w:t>
            </w:r>
            <w:r>
              <w:rPr>
                <w:rFonts w:hint="eastAsia"/>
                <w:color w:val="auto"/>
                <w:kern w:val="2"/>
                <w:sz w:val="21"/>
                <w:szCs w:val="21"/>
                <w:highlight w:val="none"/>
              </w:rPr>
              <w:t>扩建</w:t>
            </w:r>
            <w:r>
              <w:rPr>
                <w:color w:val="auto"/>
                <w:kern w:val="2"/>
                <w:sz w:val="21"/>
                <w:szCs w:val="21"/>
                <w:highlight w:val="none"/>
              </w:rPr>
              <w:t>5#码头门座式起重机等设施，使得钦州基地具备年修理和改造10万吨级以下各类船舶90艘/年的能力，并兼顾地区JP维修保障能力，坚持高质量绿色发展。</w:t>
            </w:r>
          </w:p>
        </w:tc>
      </w:tr>
      <w:tr w14:paraId="3DD6F2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1" w:type="pct"/>
            <w:vMerge w:val="continue"/>
            <w:tcBorders>
              <w:tl2br w:val="nil"/>
              <w:tr2bl w:val="nil"/>
            </w:tcBorders>
            <w:vAlign w:val="center"/>
          </w:tcPr>
          <w:p w14:paraId="66138F22">
            <w:pPr>
              <w:pStyle w:val="181"/>
              <w:adjustRightInd w:val="0"/>
              <w:snapToGrid w:val="0"/>
              <w:spacing w:line="240" w:lineRule="auto"/>
              <w:ind w:left="-48" w:leftChars="-20" w:right="-48" w:rightChars="-20"/>
              <w:jc w:val="center"/>
              <w:rPr>
                <w:color w:val="auto"/>
                <w:sz w:val="21"/>
                <w:szCs w:val="21"/>
                <w:highlight w:val="none"/>
              </w:rPr>
            </w:pPr>
          </w:p>
        </w:tc>
        <w:tc>
          <w:tcPr>
            <w:tcW w:w="371" w:type="pct"/>
            <w:vMerge w:val="continue"/>
            <w:tcBorders>
              <w:tl2br w:val="nil"/>
              <w:tr2bl w:val="nil"/>
            </w:tcBorders>
            <w:vAlign w:val="center"/>
          </w:tcPr>
          <w:p w14:paraId="1766F18E">
            <w:pPr>
              <w:pStyle w:val="181"/>
              <w:adjustRightInd w:val="0"/>
              <w:snapToGrid w:val="0"/>
              <w:spacing w:line="240" w:lineRule="auto"/>
              <w:ind w:left="-48" w:leftChars="-20" w:right="-48" w:rightChars="-20"/>
              <w:jc w:val="center"/>
              <w:rPr>
                <w:color w:val="auto"/>
                <w:sz w:val="21"/>
                <w:szCs w:val="21"/>
                <w:highlight w:val="none"/>
              </w:rPr>
            </w:pPr>
          </w:p>
        </w:tc>
        <w:tc>
          <w:tcPr>
            <w:tcW w:w="346" w:type="pct"/>
            <w:vMerge w:val="continue"/>
            <w:tcBorders>
              <w:tl2br w:val="nil"/>
              <w:tr2bl w:val="nil"/>
            </w:tcBorders>
            <w:vAlign w:val="center"/>
          </w:tcPr>
          <w:p w14:paraId="634DA522">
            <w:pPr>
              <w:pStyle w:val="181"/>
              <w:adjustRightInd w:val="0"/>
              <w:snapToGrid w:val="0"/>
              <w:spacing w:line="240" w:lineRule="auto"/>
              <w:ind w:left="-48" w:leftChars="-20" w:right="-48" w:rightChars="-20"/>
              <w:jc w:val="center"/>
              <w:rPr>
                <w:color w:val="auto"/>
                <w:sz w:val="21"/>
                <w:szCs w:val="21"/>
                <w:highlight w:val="none"/>
              </w:rPr>
            </w:pPr>
          </w:p>
        </w:tc>
        <w:tc>
          <w:tcPr>
            <w:tcW w:w="2496" w:type="pct"/>
            <w:tcBorders>
              <w:tl2br w:val="nil"/>
              <w:tr2bl w:val="nil"/>
            </w:tcBorders>
            <w:vAlign w:val="center"/>
          </w:tcPr>
          <w:p w14:paraId="34C4ED4F">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2．实行严格的资源环境生态红线管控，合理开发和节约资源，加强对水源林、防护林、湿地等生态系统的保护与修复。</w:t>
            </w:r>
          </w:p>
        </w:tc>
        <w:tc>
          <w:tcPr>
            <w:tcW w:w="1494" w:type="pct"/>
            <w:tcBorders>
              <w:tl2br w:val="nil"/>
              <w:tr2bl w:val="nil"/>
            </w:tcBorders>
            <w:vAlign w:val="center"/>
          </w:tcPr>
          <w:p w14:paraId="01D0AF05">
            <w:pPr>
              <w:widowControl/>
              <w:topLinePunct w:val="0"/>
              <w:spacing w:line="240" w:lineRule="auto"/>
              <w:ind w:left="-48" w:leftChars="-20" w:right="-48" w:rightChars="-20" w:firstLine="0" w:firstLineChars="0"/>
              <w:jc w:val="left"/>
              <w:rPr>
                <w:color w:val="auto"/>
                <w:kern w:val="2"/>
                <w:sz w:val="21"/>
                <w:szCs w:val="21"/>
                <w:highlight w:val="none"/>
              </w:rPr>
            </w:pPr>
            <w:r>
              <w:rPr>
                <w:color w:val="auto"/>
                <w:kern w:val="2"/>
                <w:sz w:val="21"/>
                <w:szCs w:val="21"/>
                <w:highlight w:val="none"/>
              </w:rPr>
              <w:t>符合，项目不涉及生态保护红线</w:t>
            </w:r>
          </w:p>
        </w:tc>
      </w:tr>
      <w:tr w14:paraId="7B363B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1" w:type="pct"/>
            <w:vMerge w:val="continue"/>
            <w:tcBorders>
              <w:tl2br w:val="nil"/>
              <w:tr2bl w:val="nil"/>
            </w:tcBorders>
            <w:vAlign w:val="center"/>
          </w:tcPr>
          <w:p w14:paraId="7A253EEE">
            <w:pPr>
              <w:pStyle w:val="181"/>
              <w:adjustRightInd w:val="0"/>
              <w:snapToGrid w:val="0"/>
              <w:spacing w:line="240" w:lineRule="auto"/>
              <w:ind w:left="-48" w:leftChars="-20" w:right="-48" w:rightChars="-20"/>
              <w:jc w:val="center"/>
              <w:rPr>
                <w:color w:val="auto"/>
                <w:sz w:val="21"/>
                <w:szCs w:val="21"/>
                <w:highlight w:val="none"/>
              </w:rPr>
            </w:pPr>
          </w:p>
        </w:tc>
        <w:tc>
          <w:tcPr>
            <w:tcW w:w="371" w:type="pct"/>
            <w:vMerge w:val="continue"/>
            <w:tcBorders>
              <w:tl2br w:val="nil"/>
              <w:tr2bl w:val="nil"/>
            </w:tcBorders>
            <w:vAlign w:val="center"/>
          </w:tcPr>
          <w:p w14:paraId="01EC2A86">
            <w:pPr>
              <w:pStyle w:val="181"/>
              <w:adjustRightInd w:val="0"/>
              <w:snapToGrid w:val="0"/>
              <w:spacing w:line="240" w:lineRule="auto"/>
              <w:ind w:left="-48" w:leftChars="-20" w:right="-48" w:rightChars="-20"/>
              <w:jc w:val="center"/>
              <w:rPr>
                <w:color w:val="auto"/>
                <w:sz w:val="21"/>
                <w:szCs w:val="21"/>
                <w:highlight w:val="none"/>
              </w:rPr>
            </w:pPr>
          </w:p>
        </w:tc>
        <w:tc>
          <w:tcPr>
            <w:tcW w:w="346" w:type="pct"/>
            <w:vMerge w:val="continue"/>
            <w:tcBorders>
              <w:tl2br w:val="nil"/>
              <w:tr2bl w:val="nil"/>
            </w:tcBorders>
            <w:vAlign w:val="center"/>
          </w:tcPr>
          <w:p w14:paraId="5C28061C">
            <w:pPr>
              <w:pStyle w:val="181"/>
              <w:adjustRightInd w:val="0"/>
              <w:snapToGrid w:val="0"/>
              <w:spacing w:line="240" w:lineRule="auto"/>
              <w:ind w:left="-48" w:leftChars="-20" w:right="-48" w:rightChars="-20"/>
              <w:jc w:val="center"/>
              <w:rPr>
                <w:color w:val="auto"/>
                <w:sz w:val="21"/>
                <w:szCs w:val="21"/>
                <w:highlight w:val="none"/>
              </w:rPr>
            </w:pPr>
          </w:p>
        </w:tc>
        <w:tc>
          <w:tcPr>
            <w:tcW w:w="2496" w:type="pct"/>
            <w:tcBorders>
              <w:tl2br w:val="nil"/>
              <w:tr2bl w:val="nil"/>
            </w:tcBorders>
            <w:vAlign w:val="center"/>
          </w:tcPr>
          <w:p w14:paraId="067F3931">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3．加大滨海湿地保护和修复力度，对红树林、珊瑚礁、海草床等重要海洋生态系统实行最严格的保护措施，加强珍稀濒危物种及重要海洋生态系统的生境保护。加强沿海防护林体系建设，加强对防城江、北仑河、钦江等重要江河源头区、湖库型饮用水源地等区域水土流失预防。推进互花米草防治。</w:t>
            </w:r>
          </w:p>
        </w:tc>
        <w:tc>
          <w:tcPr>
            <w:tcW w:w="1494" w:type="pct"/>
            <w:tcBorders>
              <w:tl2br w:val="nil"/>
              <w:tr2bl w:val="nil"/>
            </w:tcBorders>
            <w:vAlign w:val="center"/>
          </w:tcPr>
          <w:p w14:paraId="59C1CF30">
            <w:pPr>
              <w:widowControl/>
              <w:topLinePunct w:val="0"/>
              <w:spacing w:line="240" w:lineRule="auto"/>
              <w:ind w:left="-48" w:leftChars="-20" w:right="-48" w:rightChars="-20" w:firstLine="0" w:firstLineChars="0"/>
              <w:jc w:val="left"/>
              <w:rPr>
                <w:color w:val="auto"/>
                <w:kern w:val="2"/>
                <w:sz w:val="21"/>
                <w:szCs w:val="21"/>
                <w:highlight w:val="none"/>
              </w:rPr>
            </w:pPr>
            <w:r>
              <w:rPr>
                <w:color w:val="auto"/>
                <w:kern w:val="2"/>
                <w:sz w:val="21"/>
                <w:szCs w:val="21"/>
                <w:highlight w:val="none"/>
              </w:rPr>
              <w:t>符合，项目用地范围不涉及红树林、珊瑚礁、海草床等重要海洋生态系统</w:t>
            </w:r>
          </w:p>
        </w:tc>
      </w:tr>
      <w:tr w14:paraId="5CDA47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1" w:type="pct"/>
            <w:vMerge w:val="continue"/>
            <w:tcBorders>
              <w:tl2br w:val="nil"/>
              <w:tr2bl w:val="nil"/>
            </w:tcBorders>
            <w:vAlign w:val="center"/>
          </w:tcPr>
          <w:p w14:paraId="6A9E3FDC">
            <w:pPr>
              <w:pStyle w:val="181"/>
              <w:adjustRightInd w:val="0"/>
              <w:snapToGrid w:val="0"/>
              <w:spacing w:line="240" w:lineRule="auto"/>
              <w:ind w:left="-48" w:leftChars="-20" w:right="-48" w:rightChars="-20"/>
              <w:jc w:val="center"/>
              <w:rPr>
                <w:color w:val="auto"/>
                <w:sz w:val="21"/>
                <w:szCs w:val="21"/>
                <w:highlight w:val="none"/>
              </w:rPr>
            </w:pPr>
          </w:p>
        </w:tc>
        <w:tc>
          <w:tcPr>
            <w:tcW w:w="371" w:type="pct"/>
            <w:vMerge w:val="continue"/>
            <w:tcBorders>
              <w:tl2br w:val="nil"/>
              <w:tr2bl w:val="nil"/>
            </w:tcBorders>
            <w:vAlign w:val="center"/>
          </w:tcPr>
          <w:p w14:paraId="5404CD56">
            <w:pPr>
              <w:pStyle w:val="181"/>
              <w:adjustRightInd w:val="0"/>
              <w:snapToGrid w:val="0"/>
              <w:spacing w:line="240" w:lineRule="auto"/>
              <w:ind w:left="-48" w:leftChars="-20" w:right="-48" w:rightChars="-20"/>
              <w:jc w:val="center"/>
              <w:rPr>
                <w:color w:val="auto"/>
                <w:sz w:val="21"/>
                <w:szCs w:val="21"/>
                <w:highlight w:val="none"/>
              </w:rPr>
            </w:pPr>
          </w:p>
        </w:tc>
        <w:tc>
          <w:tcPr>
            <w:tcW w:w="346" w:type="pct"/>
            <w:vMerge w:val="continue"/>
            <w:tcBorders>
              <w:tl2br w:val="nil"/>
              <w:tr2bl w:val="nil"/>
            </w:tcBorders>
            <w:vAlign w:val="center"/>
          </w:tcPr>
          <w:p w14:paraId="57464417">
            <w:pPr>
              <w:pStyle w:val="181"/>
              <w:adjustRightInd w:val="0"/>
              <w:snapToGrid w:val="0"/>
              <w:spacing w:line="240" w:lineRule="auto"/>
              <w:ind w:left="-48" w:leftChars="-20" w:right="-48" w:rightChars="-20"/>
              <w:jc w:val="center"/>
              <w:rPr>
                <w:color w:val="auto"/>
                <w:sz w:val="21"/>
                <w:szCs w:val="21"/>
                <w:highlight w:val="none"/>
              </w:rPr>
            </w:pPr>
          </w:p>
        </w:tc>
        <w:tc>
          <w:tcPr>
            <w:tcW w:w="2496" w:type="pct"/>
            <w:tcBorders>
              <w:tl2br w:val="nil"/>
              <w:tr2bl w:val="nil"/>
            </w:tcBorders>
            <w:vAlign w:val="center"/>
          </w:tcPr>
          <w:p w14:paraId="3DAF1D1E">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4．严格围填海管控，</w:t>
            </w:r>
            <w:r>
              <w:rPr>
                <w:b/>
                <w:bCs/>
                <w:color w:val="auto"/>
                <w:sz w:val="21"/>
                <w:szCs w:val="21"/>
                <w:highlight w:val="none"/>
              </w:rPr>
              <w:t>禁止</w:t>
            </w:r>
            <w:r>
              <w:rPr>
                <w:color w:val="auto"/>
                <w:sz w:val="21"/>
                <w:szCs w:val="21"/>
                <w:highlight w:val="none"/>
              </w:rPr>
              <w:t>在海域内实施连岛行动。保护北部湾自然岸线，严格控制岸线利用项目准入门槛。合理有序开发利用滩涂资源。</w:t>
            </w:r>
          </w:p>
        </w:tc>
        <w:tc>
          <w:tcPr>
            <w:tcW w:w="1494" w:type="pct"/>
            <w:tcBorders>
              <w:tl2br w:val="nil"/>
              <w:tr2bl w:val="nil"/>
            </w:tcBorders>
            <w:vAlign w:val="center"/>
          </w:tcPr>
          <w:p w14:paraId="01FCDDEC">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符合，本项目岸线使用符合钦州港岸线规划，项目符合钦州市国土空间规划</w:t>
            </w:r>
          </w:p>
        </w:tc>
      </w:tr>
      <w:tr w14:paraId="2FA097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1" w:type="pct"/>
            <w:vMerge w:val="continue"/>
            <w:tcBorders>
              <w:tl2br w:val="nil"/>
              <w:tr2bl w:val="nil"/>
            </w:tcBorders>
            <w:vAlign w:val="center"/>
          </w:tcPr>
          <w:p w14:paraId="3D063AD9">
            <w:pPr>
              <w:pStyle w:val="181"/>
              <w:adjustRightInd w:val="0"/>
              <w:snapToGrid w:val="0"/>
              <w:spacing w:line="240" w:lineRule="auto"/>
              <w:ind w:left="-48" w:leftChars="-20" w:right="-48" w:rightChars="-20"/>
              <w:jc w:val="center"/>
              <w:rPr>
                <w:color w:val="auto"/>
                <w:sz w:val="21"/>
                <w:szCs w:val="21"/>
                <w:highlight w:val="none"/>
              </w:rPr>
            </w:pPr>
          </w:p>
        </w:tc>
        <w:tc>
          <w:tcPr>
            <w:tcW w:w="371" w:type="pct"/>
            <w:vMerge w:val="continue"/>
            <w:tcBorders>
              <w:tl2br w:val="nil"/>
              <w:tr2bl w:val="nil"/>
            </w:tcBorders>
            <w:vAlign w:val="center"/>
          </w:tcPr>
          <w:p w14:paraId="330C68F4">
            <w:pPr>
              <w:pStyle w:val="181"/>
              <w:adjustRightInd w:val="0"/>
              <w:snapToGrid w:val="0"/>
              <w:spacing w:line="240" w:lineRule="auto"/>
              <w:ind w:left="-48" w:leftChars="-20" w:right="-48" w:rightChars="-20"/>
              <w:jc w:val="center"/>
              <w:rPr>
                <w:color w:val="auto"/>
                <w:sz w:val="21"/>
                <w:szCs w:val="21"/>
                <w:highlight w:val="none"/>
              </w:rPr>
            </w:pPr>
          </w:p>
        </w:tc>
        <w:tc>
          <w:tcPr>
            <w:tcW w:w="346" w:type="pct"/>
            <w:vMerge w:val="continue"/>
            <w:tcBorders>
              <w:tl2br w:val="nil"/>
              <w:tr2bl w:val="nil"/>
            </w:tcBorders>
            <w:vAlign w:val="center"/>
          </w:tcPr>
          <w:p w14:paraId="7E233579">
            <w:pPr>
              <w:pStyle w:val="181"/>
              <w:adjustRightInd w:val="0"/>
              <w:snapToGrid w:val="0"/>
              <w:spacing w:line="240" w:lineRule="auto"/>
              <w:ind w:left="-48" w:leftChars="-20" w:right="-48" w:rightChars="-20"/>
              <w:jc w:val="center"/>
              <w:rPr>
                <w:color w:val="auto"/>
                <w:sz w:val="21"/>
                <w:szCs w:val="21"/>
                <w:highlight w:val="none"/>
              </w:rPr>
            </w:pPr>
          </w:p>
        </w:tc>
        <w:tc>
          <w:tcPr>
            <w:tcW w:w="2496" w:type="pct"/>
            <w:tcBorders>
              <w:tl2br w:val="nil"/>
              <w:tr2bl w:val="nil"/>
            </w:tcBorders>
            <w:vAlign w:val="center"/>
          </w:tcPr>
          <w:p w14:paraId="27C7652F">
            <w:pPr>
              <w:topLinePunct w:val="0"/>
              <w:spacing w:line="240" w:lineRule="auto"/>
              <w:ind w:left="-48" w:leftChars="-20" w:right="-48" w:rightChars="-20" w:firstLine="0" w:firstLineChars="0"/>
              <w:rPr>
                <w:color w:val="auto"/>
                <w:kern w:val="2"/>
                <w:sz w:val="21"/>
                <w:szCs w:val="21"/>
                <w:highlight w:val="none"/>
              </w:rPr>
            </w:pPr>
            <w:r>
              <w:rPr>
                <w:color w:val="auto"/>
                <w:sz w:val="21"/>
                <w:szCs w:val="21"/>
                <w:highlight w:val="none"/>
              </w:rPr>
              <w:t>5．南流江流域、廉州湾海域超过环境承载力的县市区严格区域主要污染物管控要求，新改扩“两高”、重点行业建设项目实行主要污染物区域削减方案。廉州湾沿岸新设排污口选址必须符合《中华人民共和国海洋环境保护法》《</w:t>
            </w:r>
            <w:r>
              <w:rPr>
                <w:rFonts w:hint="eastAsia"/>
                <w:color w:val="auto"/>
                <w:sz w:val="21"/>
                <w:szCs w:val="21"/>
                <w:highlight w:val="none"/>
                <w:lang w:eastAsia="zh-CN"/>
              </w:rPr>
              <w:t>中华人民共和国防治陆源污染物污染损害海洋环境管理条例</w:t>
            </w:r>
            <w:r>
              <w:rPr>
                <w:color w:val="auto"/>
                <w:sz w:val="21"/>
                <w:szCs w:val="21"/>
                <w:highlight w:val="none"/>
              </w:rPr>
              <w:t>》等有关规定。</w:t>
            </w:r>
          </w:p>
        </w:tc>
        <w:tc>
          <w:tcPr>
            <w:tcW w:w="1494" w:type="pct"/>
            <w:tcBorders>
              <w:tl2br w:val="nil"/>
              <w:tr2bl w:val="nil"/>
            </w:tcBorders>
            <w:vAlign w:val="center"/>
          </w:tcPr>
          <w:p w14:paraId="27818A3A">
            <w:pPr>
              <w:widowControl/>
              <w:topLinePunct w:val="0"/>
              <w:spacing w:line="240" w:lineRule="auto"/>
              <w:ind w:left="-48" w:leftChars="-20" w:right="-48" w:rightChars="-20" w:firstLine="0" w:firstLineChars="0"/>
              <w:jc w:val="left"/>
              <w:rPr>
                <w:color w:val="auto"/>
                <w:kern w:val="2"/>
                <w:sz w:val="21"/>
                <w:szCs w:val="21"/>
                <w:highlight w:val="none"/>
              </w:rPr>
            </w:pPr>
            <w:r>
              <w:rPr>
                <w:color w:val="auto"/>
                <w:kern w:val="2"/>
                <w:sz w:val="21"/>
                <w:szCs w:val="21"/>
                <w:highlight w:val="none"/>
              </w:rPr>
              <w:t>符合，项目不涉及</w:t>
            </w:r>
          </w:p>
        </w:tc>
      </w:tr>
      <w:tr w14:paraId="46474F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1" w:type="pct"/>
            <w:vMerge w:val="continue"/>
            <w:tcBorders>
              <w:tl2br w:val="nil"/>
              <w:tr2bl w:val="nil"/>
            </w:tcBorders>
            <w:vAlign w:val="center"/>
          </w:tcPr>
          <w:p w14:paraId="3EEE7CA8">
            <w:pPr>
              <w:pStyle w:val="181"/>
              <w:adjustRightInd w:val="0"/>
              <w:snapToGrid w:val="0"/>
              <w:spacing w:line="240" w:lineRule="auto"/>
              <w:ind w:left="-48" w:leftChars="-20" w:right="-48" w:rightChars="-20"/>
              <w:jc w:val="center"/>
              <w:rPr>
                <w:color w:val="auto"/>
                <w:sz w:val="21"/>
                <w:szCs w:val="21"/>
                <w:highlight w:val="none"/>
              </w:rPr>
            </w:pPr>
          </w:p>
        </w:tc>
        <w:tc>
          <w:tcPr>
            <w:tcW w:w="371" w:type="pct"/>
            <w:vMerge w:val="continue"/>
            <w:tcBorders>
              <w:tl2br w:val="nil"/>
              <w:tr2bl w:val="nil"/>
            </w:tcBorders>
            <w:vAlign w:val="center"/>
          </w:tcPr>
          <w:p w14:paraId="5E31198A">
            <w:pPr>
              <w:pStyle w:val="181"/>
              <w:adjustRightInd w:val="0"/>
              <w:snapToGrid w:val="0"/>
              <w:spacing w:line="240" w:lineRule="auto"/>
              <w:ind w:left="-48" w:leftChars="-20" w:right="-48" w:rightChars="-20"/>
              <w:jc w:val="center"/>
              <w:rPr>
                <w:color w:val="auto"/>
                <w:sz w:val="21"/>
                <w:szCs w:val="21"/>
                <w:highlight w:val="none"/>
              </w:rPr>
            </w:pPr>
          </w:p>
        </w:tc>
        <w:tc>
          <w:tcPr>
            <w:tcW w:w="346" w:type="pct"/>
            <w:vMerge w:val="continue"/>
            <w:tcBorders>
              <w:tl2br w:val="nil"/>
              <w:tr2bl w:val="nil"/>
            </w:tcBorders>
            <w:vAlign w:val="center"/>
          </w:tcPr>
          <w:p w14:paraId="1CAD9B2D">
            <w:pPr>
              <w:pStyle w:val="181"/>
              <w:adjustRightInd w:val="0"/>
              <w:snapToGrid w:val="0"/>
              <w:spacing w:line="240" w:lineRule="auto"/>
              <w:ind w:left="-48" w:leftChars="-20" w:right="-48" w:rightChars="-20"/>
              <w:jc w:val="center"/>
              <w:rPr>
                <w:color w:val="auto"/>
                <w:sz w:val="21"/>
                <w:szCs w:val="21"/>
                <w:highlight w:val="none"/>
              </w:rPr>
            </w:pPr>
          </w:p>
        </w:tc>
        <w:tc>
          <w:tcPr>
            <w:tcW w:w="2496" w:type="pct"/>
            <w:tcBorders>
              <w:tl2br w:val="nil"/>
              <w:tr2bl w:val="nil"/>
            </w:tcBorders>
            <w:vAlign w:val="center"/>
          </w:tcPr>
          <w:p w14:paraId="4B26D13B">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6．依法依规推动落后产能有序退出。</w:t>
            </w:r>
          </w:p>
        </w:tc>
        <w:tc>
          <w:tcPr>
            <w:tcW w:w="1494" w:type="pct"/>
            <w:tcBorders>
              <w:tl2br w:val="nil"/>
              <w:tr2bl w:val="nil"/>
            </w:tcBorders>
            <w:vAlign w:val="center"/>
          </w:tcPr>
          <w:p w14:paraId="2B35B401">
            <w:pPr>
              <w:widowControl/>
              <w:topLinePunct w:val="0"/>
              <w:spacing w:line="240" w:lineRule="auto"/>
              <w:ind w:left="-48" w:leftChars="-20" w:right="-48" w:rightChars="-20" w:firstLine="0" w:firstLineChars="0"/>
              <w:jc w:val="left"/>
              <w:rPr>
                <w:color w:val="auto"/>
                <w:kern w:val="2"/>
                <w:sz w:val="21"/>
                <w:szCs w:val="21"/>
                <w:highlight w:val="none"/>
              </w:rPr>
            </w:pPr>
            <w:r>
              <w:rPr>
                <w:color w:val="auto"/>
                <w:kern w:val="2"/>
                <w:sz w:val="21"/>
                <w:szCs w:val="21"/>
                <w:highlight w:val="none"/>
              </w:rPr>
              <w:t>符合，本项目</w:t>
            </w:r>
            <w:r>
              <w:rPr>
                <w:rFonts w:hint="eastAsia"/>
                <w:color w:val="auto"/>
                <w:kern w:val="2"/>
                <w:sz w:val="21"/>
                <w:szCs w:val="21"/>
                <w:highlight w:val="none"/>
              </w:rPr>
              <w:t>技改建设1座</w:t>
            </w:r>
            <w:r>
              <w:rPr>
                <w:color w:val="auto"/>
                <w:kern w:val="2"/>
                <w:sz w:val="21"/>
                <w:szCs w:val="21"/>
                <w:highlight w:val="none"/>
              </w:rPr>
              <w:t>10万吨级浮船坞代替老旧浮船坞，更换落后设备，可保障生产安全和项目产能</w:t>
            </w:r>
          </w:p>
        </w:tc>
      </w:tr>
      <w:tr w14:paraId="51EFA6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1" w:type="pct"/>
            <w:vMerge w:val="continue"/>
            <w:tcBorders>
              <w:tl2br w:val="nil"/>
              <w:tr2bl w:val="nil"/>
            </w:tcBorders>
            <w:vAlign w:val="center"/>
          </w:tcPr>
          <w:p w14:paraId="38C57421">
            <w:pPr>
              <w:pStyle w:val="181"/>
              <w:adjustRightInd w:val="0"/>
              <w:snapToGrid w:val="0"/>
              <w:spacing w:line="240" w:lineRule="auto"/>
              <w:ind w:left="-48" w:leftChars="-20" w:right="-48" w:rightChars="-20"/>
              <w:jc w:val="center"/>
              <w:rPr>
                <w:color w:val="auto"/>
                <w:sz w:val="21"/>
                <w:szCs w:val="21"/>
                <w:highlight w:val="none"/>
              </w:rPr>
            </w:pPr>
          </w:p>
        </w:tc>
        <w:tc>
          <w:tcPr>
            <w:tcW w:w="371" w:type="pct"/>
            <w:vMerge w:val="continue"/>
            <w:tcBorders>
              <w:tl2br w:val="nil"/>
              <w:tr2bl w:val="nil"/>
            </w:tcBorders>
            <w:vAlign w:val="center"/>
          </w:tcPr>
          <w:p w14:paraId="0A04DDC6">
            <w:pPr>
              <w:pStyle w:val="181"/>
              <w:adjustRightInd w:val="0"/>
              <w:snapToGrid w:val="0"/>
              <w:spacing w:line="240" w:lineRule="auto"/>
              <w:ind w:left="-48" w:leftChars="-20" w:right="-48" w:rightChars="-20"/>
              <w:jc w:val="center"/>
              <w:rPr>
                <w:color w:val="auto"/>
                <w:sz w:val="21"/>
                <w:szCs w:val="21"/>
                <w:highlight w:val="none"/>
              </w:rPr>
            </w:pPr>
          </w:p>
        </w:tc>
        <w:tc>
          <w:tcPr>
            <w:tcW w:w="346" w:type="pct"/>
            <w:vMerge w:val="continue"/>
            <w:tcBorders>
              <w:tl2br w:val="nil"/>
              <w:tr2bl w:val="nil"/>
            </w:tcBorders>
            <w:vAlign w:val="center"/>
          </w:tcPr>
          <w:p w14:paraId="77BCA8DA">
            <w:pPr>
              <w:pStyle w:val="181"/>
              <w:adjustRightInd w:val="0"/>
              <w:snapToGrid w:val="0"/>
              <w:spacing w:line="240" w:lineRule="auto"/>
              <w:ind w:left="-48" w:leftChars="-20" w:right="-48" w:rightChars="-20"/>
              <w:jc w:val="center"/>
              <w:rPr>
                <w:color w:val="auto"/>
                <w:sz w:val="21"/>
                <w:szCs w:val="21"/>
                <w:highlight w:val="none"/>
              </w:rPr>
            </w:pPr>
          </w:p>
        </w:tc>
        <w:tc>
          <w:tcPr>
            <w:tcW w:w="2496" w:type="pct"/>
            <w:tcBorders>
              <w:tl2br w:val="nil"/>
              <w:tr2bl w:val="nil"/>
            </w:tcBorders>
            <w:vAlign w:val="center"/>
          </w:tcPr>
          <w:p w14:paraId="1BA6AEAE">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7．严禁占用运河沿线两岸1公里范围内预留作为生态廊道的用地，科学规划平陆运河沿岸生态廊道空间和开发保护核心管制区。</w:t>
            </w:r>
          </w:p>
        </w:tc>
        <w:tc>
          <w:tcPr>
            <w:tcW w:w="1494" w:type="pct"/>
            <w:tcBorders>
              <w:tl2br w:val="nil"/>
              <w:tr2bl w:val="nil"/>
            </w:tcBorders>
            <w:vAlign w:val="center"/>
          </w:tcPr>
          <w:p w14:paraId="648809DF">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符合，项目不涉及</w:t>
            </w:r>
          </w:p>
        </w:tc>
      </w:tr>
      <w:tr w14:paraId="32D91A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1" w:type="pct"/>
            <w:vMerge w:val="continue"/>
            <w:tcBorders>
              <w:tl2br w:val="nil"/>
              <w:tr2bl w:val="nil"/>
            </w:tcBorders>
            <w:vAlign w:val="center"/>
          </w:tcPr>
          <w:p w14:paraId="71E0AFD1">
            <w:pPr>
              <w:pStyle w:val="181"/>
              <w:adjustRightInd w:val="0"/>
              <w:snapToGrid w:val="0"/>
              <w:spacing w:line="240" w:lineRule="auto"/>
              <w:ind w:left="-48" w:leftChars="-20" w:right="-48" w:rightChars="-20"/>
              <w:jc w:val="center"/>
              <w:rPr>
                <w:color w:val="auto"/>
                <w:sz w:val="21"/>
                <w:szCs w:val="21"/>
                <w:highlight w:val="none"/>
              </w:rPr>
            </w:pPr>
          </w:p>
        </w:tc>
        <w:tc>
          <w:tcPr>
            <w:tcW w:w="371" w:type="pct"/>
            <w:vMerge w:val="continue"/>
            <w:tcBorders>
              <w:tl2br w:val="nil"/>
              <w:tr2bl w:val="nil"/>
            </w:tcBorders>
            <w:vAlign w:val="center"/>
          </w:tcPr>
          <w:p w14:paraId="53C5CEB9">
            <w:pPr>
              <w:pStyle w:val="181"/>
              <w:adjustRightInd w:val="0"/>
              <w:snapToGrid w:val="0"/>
              <w:spacing w:line="240" w:lineRule="auto"/>
              <w:ind w:left="-48" w:leftChars="-20" w:right="-48" w:rightChars="-20"/>
              <w:jc w:val="center"/>
              <w:rPr>
                <w:color w:val="auto"/>
                <w:sz w:val="21"/>
                <w:szCs w:val="21"/>
                <w:highlight w:val="none"/>
              </w:rPr>
            </w:pPr>
          </w:p>
        </w:tc>
        <w:tc>
          <w:tcPr>
            <w:tcW w:w="346" w:type="pct"/>
            <w:vMerge w:val="continue"/>
            <w:tcBorders>
              <w:tl2br w:val="nil"/>
              <w:tr2bl w:val="nil"/>
            </w:tcBorders>
            <w:vAlign w:val="center"/>
          </w:tcPr>
          <w:p w14:paraId="66987B54">
            <w:pPr>
              <w:pStyle w:val="181"/>
              <w:adjustRightInd w:val="0"/>
              <w:snapToGrid w:val="0"/>
              <w:spacing w:line="240" w:lineRule="auto"/>
              <w:ind w:left="-48" w:leftChars="-20" w:right="-48" w:rightChars="-20"/>
              <w:jc w:val="center"/>
              <w:rPr>
                <w:color w:val="auto"/>
                <w:sz w:val="21"/>
                <w:szCs w:val="21"/>
                <w:highlight w:val="none"/>
              </w:rPr>
            </w:pPr>
          </w:p>
        </w:tc>
        <w:tc>
          <w:tcPr>
            <w:tcW w:w="2496" w:type="pct"/>
            <w:tcBorders>
              <w:tl2br w:val="nil"/>
              <w:tr2bl w:val="nil"/>
            </w:tcBorders>
            <w:vAlign w:val="center"/>
          </w:tcPr>
          <w:p w14:paraId="02C0237B">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8．执行平陆运河绿色工程防范管控重点清单、打造特色亮点清单，平陆运河绿色工程评估指标体系。</w:t>
            </w:r>
          </w:p>
        </w:tc>
        <w:tc>
          <w:tcPr>
            <w:tcW w:w="1494" w:type="pct"/>
            <w:tcBorders>
              <w:tl2br w:val="nil"/>
              <w:tr2bl w:val="nil"/>
            </w:tcBorders>
            <w:vAlign w:val="center"/>
          </w:tcPr>
          <w:p w14:paraId="201DD09F">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符合，项目不涉及</w:t>
            </w:r>
          </w:p>
        </w:tc>
      </w:tr>
      <w:tr w14:paraId="3D8DDF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1" w:type="pct"/>
            <w:vMerge w:val="continue"/>
            <w:tcBorders>
              <w:tl2br w:val="nil"/>
              <w:tr2bl w:val="nil"/>
            </w:tcBorders>
            <w:vAlign w:val="center"/>
          </w:tcPr>
          <w:p w14:paraId="4DD34288">
            <w:pPr>
              <w:pStyle w:val="181"/>
              <w:adjustRightInd w:val="0"/>
              <w:snapToGrid w:val="0"/>
              <w:spacing w:line="240" w:lineRule="auto"/>
              <w:ind w:left="-48" w:leftChars="-20" w:right="-48" w:rightChars="-20"/>
              <w:jc w:val="both"/>
              <w:rPr>
                <w:color w:val="auto"/>
                <w:sz w:val="21"/>
                <w:szCs w:val="21"/>
                <w:highlight w:val="none"/>
              </w:rPr>
            </w:pPr>
          </w:p>
        </w:tc>
        <w:tc>
          <w:tcPr>
            <w:tcW w:w="371" w:type="pct"/>
            <w:vMerge w:val="continue"/>
            <w:tcBorders>
              <w:tl2br w:val="nil"/>
              <w:tr2bl w:val="nil"/>
            </w:tcBorders>
            <w:vAlign w:val="center"/>
          </w:tcPr>
          <w:p w14:paraId="3CAC4295">
            <w:pPr>
              <w:pStyle w:val="181"/>
              <w:adjustRightInd w:val="0"/>
              <w:snapToGrid w:val="0"/>
              <w:spacing w:line="240" w:lineRule="auto"/>
              <w:ind w:left="-48" w:leftChars="-20" w:right="-48" w:rightChars="-20"/>
              <w:jc w:val="center"/>
              <w:rPr>
                <w:color w:val="auto"/>
                <w:sz w:val="21"/>
                <w:szCs w:val="21"/>
                <w:highlight w:val="none"/>
              </w:rPr>
            </w:pPr>
          </w:p>
        </w:tc>
        <w:tc>
          <w:tcPr>
            <w:tcW w:w="346" w:type="pct"/>
            <w:vMerge w:val="restart"/>
            <w:tcBorders>
              <w:tl2br w:val="nil"/>
              <w:tr2bl w:val="nil"/>
            </w:tcBorders>
            <w:vAlign w:val="center"/>
          </w:tcPr>
          <w:p w14:paraId="37832C8A">
            <w:pPr>
              <w:pStyle w:val="181"/>
              <w:adjustRightInd w:val="0"/>
              <w:snapToGrid w:val="0"/>
              <w:spacing w:line="240" w:lineRule="auto"/>
              <w:ind w:left="-48" w:leftChars="-20" w:right="-48" w:rightChars="-20"/>
              <w:jc w:val="center"/>
              <w:rPr>
                <w:color w:val="auto"/>
                <w:sz w:val="21"/>
                <w:szCs w:val="21"/>
                <w:highlight w:val="none"/>
              </w:rPr>
            </w:pPr>
            <w:r>
              <w:rPr>
                <w:color w:val="auto"/>
                <w:sz w:val="21"/>
                <w:szCs w:val="21"/>
                <w:highlight w:val="none"/>
              </w:rPr>
              <w:t>污染物排放管控</w:t>
            </w:r>
          </w:p>
        </w:tc>
        <w:tc>
          <w:tcPr>
            <w:tcW w:w="2496" w:type="pct"/>
            <w:tcBorders>
              <w:tl2br w:val="nil"/>
              <w:tr2bl w:val="nil"/>
            </w:tcBorders>
            <w:vAlign w:val="center"/>
          </w:tcPr>
          <w:p w14:paraId="3E507EE1">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1．坚持陆海统筹，强化重大海域、入海河流、海岸带的生态环境统筹协同管控，开展北部湾沿海城市生态环境综合治理。推行河长制、湖长制，持续推进钦江、南流江、九洲江等流域综合治理，鼓励施行生态养殖和清洁生产，从源头控制生产、生活污水排放。推行湾长制，协同推进近岸海域污染治理，实施蓝色海湾整治行动和北部湾入海河流综合治理工程，严格控制水产养殖污染、港口码头船舶污染、采沙污染。</w:t>
            </w:r>
          </w:p>
        </w:tc>
        <w:tc>
          <w:tcPr>
            <w:tcW w:w="1494" w:type="pct"/>
            <w:tcBorders>
              <w:tl2br w:val="nil"/>
              <w:tr2bl w:val="nil"/>
            </w:tcBorders>
            <w:vAlign w:val="center"/>
          </w:tcPr>
          <w:p w14:paraId="312041ED">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符合，项目对海洋水质及生态环境的影响主要为浮船坞船舶污水排放影响、环境风险事故导致的泄漏影响；项目废水均依托现有工程已有废水处理设施，经处理后</w:t>
            </w:r>
            <w:r>
              <w:rPr>
                <w:rFonts w:hint="eastAsia"/>
                <w:color w:val="auto"/>
                <w:sz w:val="21"/>
                <w:szCs w:val="21"/>
                <w:highlight w:val="none"/>
              </w:rPr>
              <w:t>回用或</w:t>
            </w:r>
            <w:r>
              <w:rPr>
                <w:color w:val="auto"/>
                <w:sz w:val="21"/>
                <w:szCs w:val="21"/>
                <w:highlight w:val="none"/>
              </w:rPr>
              <w:t>采用罐车转运至大榄坪污水处理厂做进一步处理，不向本项目区域海域排放；并通过采取各项环保措施，加强船舶通航管理、建立完善的风险防范措施和事故应急预案，防止对海洋环境造成污染</w:t>
            </w:r>
          </w:p>
        </w:tc>
      </w:tr>
      <w:tr w14:paraId="7A78A5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1" w:type="pct"/>
            <w:vMerge w:val="continue"/>
            <w:tcBorders>
              <w:tl2br w:val="nil"/>
              <w:tr2bl w:val="nil"/>
            </w:tcBorders>
            <w:vAlign w:val="center"/>
          </w:tcPr>
          <w:p w14:paraId="06D009AE">
            <w:pPr>
              <w:pStyle w:val="181"/>
              <w:adjustRightInd w:val="0"/>
              <w:snapToGrid w:val="0"/>
              <w:spacing w:line="240" w:lineRule="auto"/>
              <w:ind w:left="-48" w:leftChars="-20" w:right="-48" w:rightChars="-20"/>
              <w:jc w:val="both"/>
              <w:rPr>
                <w:color w:val="auto"/>
                <w:sz w:val="21"/>
                <w:szCs w:val="21"/>
                <w:highlight w:val="none"/>
              </w:rPr>
            </w:pPr>
          </w:p>
        </w:tc>
        <w:tc>
          <w:tcPr>
            <w:tcW w:w="371" w:type="pct"/>
            <w:vMerge w:val="continue"/>
            <w:tcBorders>
              <w:tl2br w:val="nil"/>
              <w:tr2bl w:val="nil"/>
            </w:tcBorders>
            <w:vAlign w:val="center"/>
          </w:tcPr>
          <w:p w14:paraId="761006E3">
            <w:pPr>
              <w:pStyle w:val="181"/>
              <w:adjustRightInd w:val="0"/>
              <w:snapToGrid w:val="0"/>
              <w:spacing w:line="240" w:lineRule="auto"/>
              <w:ind w:left="-48" w:leftChars="-20" w:right="-48" w:rightChars="-20"/>
              <w:jc w:val="both"/>
              <w:rPr>
                <w:color w:val="auto"/>
                <w:sz w:val="21"/>
                <w:szCs w:val="21"/>
                <w:highlight w:val="none"/>
              </w:rPr>
            </w:pPr>
          </w:p>
        </w:tc>
        <w:tc>
          <w:tcPr>
            <w:tcW w:w="346" w:type="pct"/>
            <w:vMerge w:val="continue"/>
            <w:tcBorders>
              <w:tl2br w:val="nil"/>
              <w:tr2bl w:val="nil"/>
            </w:tcBorders>
            <w:vAlign w:val="center"/>
          </w:tcPr>
          <w:p w14:paraId="5FE538E2">
            <w:pPr>
              <w:pStyle w:val="181"/>
              <w:adjustRightInd w:val="0"/>
              <w:snapToGrid w:val="0"/>
              <w:spacing w:line="240" w:lineRule="auto"/>
              <w:ind w:left="-48" w:leftChars="-20" w:right="-48" w:rightChars="-20"/>
              <w:jc w:val="both"/>
              <w:rPr>
                <w:color w:val="auto"/>
                <w:sz w:val="21"/>
                <w:szCs w:val="21"/>
                <w:highlight w:val="none"/>
              </w:rPr>
            </w:pPr>
          </w:p>
        </w:tc>
        <w:tc>
          <w:tcPr>
            <w:tcW w:w="2496" w:type="pct"/>
            <w:tcBorders>
              <w:tl2br w:val="nil"/>
              <w:tr2bl w:val="nil"/>
            </w:tcBorders>
            <w:vAlign w:val="center"/>
          </w:tcPr>
          <w:p w14:paraId="77C43135">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2．围绕建设蓝色海湾城市群，深入推进北钦防生态环境基础设施一体化，统筹推进北钦防三市生态环境齐保共治。加强港口码头环境保护基础设施建设，重点加强有色矿产、硫磺、煤等堆场配套环保设施建设。建立生态环境联防联治平台和机制，推动建立北部湾城市群跨行政区生态环境保护和生态补偿机制。</w:t>
            </w:r>
          </w:p>
        </w:tc>
        <w:tc>
          <w:tcPr>
            <w:tcW w:w="1494" w:type="pct"/>
            <w:tcBorders>
              <w:tl2br w:val="nil"/>
              <w:tr2bl w:val="nil"/>
            </w:tcBorders>
            <w:vAlign w:val="center"/>
          </w:tcPr>
          <w:p w14:paraId="3CA0A8CD">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符合，项目不涉及</w:t>
            </w:r>
          </w:p>
        </w:tc>
      </w:tr>
      <w:tr w14:paraId="4B58CE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1" w:type="pct"/>
            <w:vMerge w:val="continue"/>
            <w:tcBorders>
              <w:tl2br w:val="nil"/>
              <w:tr2bl w:val="nil"/>
            </w:tcBorders>
            <w:vAlign w:val="center"/>
          </w:tcPr>
          <w:p w14:paraId="0179AD15">
            <w:pPr>
              <w:pStyle w:val="181"/>
              <w:adjustRightInd w:val="0"/>
              <w:snapToGrid w:val="0"/>
              <w:spacing w:line="240" w:lineRule="auto"/>
              <w:ind w:left="-48" w:leftChars="-20" w:right="-48" w:rightChars="-20"/>
              <w:jc w:val="both"/>
              <w:rPr>
                <w:color w:val="auto"/>
                <w:sz w:val="21"/>
                <w:szCs w:val="21"/>
                <w:highlight w:val="none"/>
              </w:rPr>
            </w:pPr>
          </w:p>
        </w:tc>
        <w:tc>
          <w:tcPr>
            <w:tcW w:w="371" w:type="pct"/>
            <w:vMerge w:val="continue"/>
            <w:tcBorders>
              <w:tl2br w:val="nil"/>
              <w:tr2bl w:val="nil"/>
            </w:tcBorders>
            <w:vAlign w:val="center"/>
          </w:tcPr>
          <w:p w14:paraId="33F1A538">
            <w:pPr>
              <w:pStyle w:val="181"/>
              <w:adjustRightInd w:val="0"/>
              <w:snapToGrid w:val="0"/>
              <w:spacing w:line="240" w:lineRule="auto"/>
              <w:ind w:left="-48" w:leftChars="-20" w:right="-48" w:rightChars="-20"/>
              <w:jc w:val="both"/>
              <w:rPr>
                <w:color w:val="auto"/>
                <w:sz w:val="21"/>
                <w:szCs w:val="21"/>
                <w:highlight w:val="none"/>
              </w:rPr>
            </w:pPr>
          </w:p>
        </w:tc>
        <w:tc>
          <w:tcPr>
            <w:tcW w:w="346" w:type="pct"/>
            <w:vMerge w:val="continue"/>
            <w:tcBorders>
              <w:tl2br w:val="nil"/>
              <w:tr2bl w:val="nil"/>
            </w:tcBorders>
            <w:vAlign w:val="center"/>
          </w:tcPr>
          <w:p w14:paraId="585C1DB9">
            <w:pPr>
              <w:pStyle w:val="181"/>
              <w:adjustRightInd w:val="0"/>
              <w:snapToGrid w:val="0"/>
              <w:spacing w:line="240" w:lineRule="auto"/>
              <w:ind w:left="-48" w:leftChars="-20" w:right="-48" w:rightChars="-20"/>
              <w:jc w:val="both"/>
              <w:rPr>
                <w:color w:val="auto"/>
                <w:sz w:val="21"/>
                <w:szCs w:val="21"/>
                <w:highlight w:val="none"/>
              </w:rPr>
            </w:pPr>
          </w:p>
        </w:tc>
        <w:tc>
          <w:tcPr>
            <w:tcW w:w="2496" w:type="pct"/>
            <w:tcBorders>
              <w:tl2br w:val="nil"/>
              <w:tr2bl w:val="nil"/>
            </w:tcBorders>
            <w:vAlign w:val="center"/>
          </w:tcPr>
          <w:p w14:paraId="60ED3961">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3．推进区域大气污染联防联控。共同开展重点行业污染整治和重污染天气联合应对，加强挥发性有机化合物（VOCs）和氮氧化物（NOx）协同控制，协同应对区域多污染物，联合开展空气污染综合治理，改善空气质量。严格城市空气质量达标管理，改善城市环境空气质量，对大气质量改善进度进行监督和考核。</w:t>
            </w:r>
          </w:p>
        </w:tc>
        <w:tc>
          <w:tcPr>
            <w:tcW w:w="1494" w:type="pct"/>
            <w:tcBorders>
              <w:tl2br w:val="nil"/>
              <w:tr2bl w:val="nil"/>
            </w:tcBorders>
            <w:vAlign w:val="center"/>
          </w:tcPr>
          <w:p w14:paraId="07BF2771">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符合，本项目运营期浮船坞上修船作业会产生喷漆废气和少量粉尘；经采取相应措施后粉尘、挥发性气体等排放符合相关标准，不会对周边环境敏感目标造成重大不利影响。</w:t>
            </w:r>
          </w:p>
        </w:tc>
      </w:tr>
      <w:tr w14:paraId="4E98CC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1" w:type="pct"/>
            <w:vMerge w:val="continue"/>
            <w:tcBorders>
              <w:tl2br w:val="nil"/>
              <w:tr2bl w:val="nil"/>
            </w:tcBorders>
            <w:vAlign w:val="center"/>
          </w:tcPr>
          <w:p w14:paraId="28F4042A">
            <w:pPr>
              <w:pStyle w:val="181"/>
              <w:adjustRightInd w:val="0"/>
              <w:snapToGrid w:val="0"/>
              <w:spacing w:line="240" w:lineRule="auto"/>
              <w:ind w:left="-48" w:leftChars="-20" w:right="-48" w:rightChars="-20"/>
              <w:jc w:val="both"/>
              <w:rPr>
                <w:color w:val="auto"/>
                <w:sz w:val="21"/>
                <w:szCs w:val="21"/>
                <w:highlight w:val="none"/>
              </w:rPr>
            </w:pPr>
          </w:p>
        </w:tc>
        <w:tc>
          <w:tcPr>
            <w:tcW w:w="371" w:type="pct"/>
            <w:vMerge w:val="continue"/>
            <w:tcBorders>
              <w:tl2br w:val="nil"/>
              <w:tr2bl w:val="nil"/>
            </w:tcBorders>
            <w:vAlign w:val="center"/>
          </w:tcPr>
          <w:p w14:paraId="34508D8F">
            <w:pPr>
              <w:pStyle w:val="181"/>
              <w:adjustRightInd w:val="0"/>
              <w:snapToGrid w:val="0"/>
              <w:spacing w:line="240" w:lineRule="auto"/>
              <w:ind w:left="-48" w:leftChars="-20" w:right="-48" w:rightChars="-20"/>
              <w:jc w:val="both"/>
              <w:rPr>
                <w:color w:val="auto"/>
                <w:sz w:val="21"/>
                <w:szCs w:val="21"/>
                <w:highlight w:val="none"/>
              </w:rPr>
            </w:pPr>
          </w:p>
        </w:tc>
        <w:tc>
          <w:tcPr>
            <w:tcW w:w="346" w:type="pct"/>
            <w:vMerge w:val="continue"/>
            <w:tcBorders>
              <w:tl2br w:val="nil"/>
              <w:tr2bl w:val="nil"/>
            </w:tcBorders>
            <w:vAlign w:val="center"/>
          </w:tcPr>
          <w:p w14:paraId="115379AC">
            <w:pPr>
              <w:pStyle w:val="181"/>
              <w:adjustRightInd w:val="0"/>
              <w:snapToGrid w:val="0"/>
              <w:spacing w:line="240" w:lineRule="auto"/>
              <w:ind w:left="-48" w:leftChars="-20" w:right="-48" w:rightChars="-20"/>
              <w:jc w:val="both"/>
              <w:rPr>
                <w:color w:val="auto"/>
                <w:sz w:val="21"/>
                <w:szCs w:val="21"/>
                <w:highlight w:val="none"/>
              </w:rPr>
            </w:pPr>
          </w:p>
        </w:tc>
        <w:tc>
          <w:tcPr>
            <w:tcW w:w="2496" w:type="pct"/>
            <w:tcBorders>
              <w:tl2br w:val="nil"/>
              <w:tr2bl w:val="nil"/>
            </w:tcBorders>
            <w:vAlign w:val="center"/>
          </w:tcPr>
          <w:p w14:paraId="4A6F8357">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4．严格控制“两高”行业项目布局和建设，提升“两高”行业清洁生产和减污降碳水平。以碳达峰、碳中和愿景为导向，推动产业转型升级、能源结构优化。开展碳排放权、排污权交易试点。重点管控行业建设项目无主要污染物排放指标来源的，应提出有效的区域削减方案，确保项目投产后区域环境质量不恶化。</w:t>
            </w:r>
          </w:p>
        </w:tc>
        <w:tc>
          <w:tcPr>
            <w:tcW w:w="1494" w:type="pct"/>
            <w:tcBorders>
              <w:tl2br w:val="nil"/>
              <w:tr2bl w:val="nil"/>
            </w:tcBorders>
            <w:vAlign w:val="center"/>
          </w:tcPr>
          <w:p w14:paraId="330E81DD">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符合，项目不属于“两高”项目</w:t>
            </w:r>
          </w:p>
        </w:tc>
      </w:tr>
      <w:tr w14:paraId="03F946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1" w:type="pct"/>
            <w:vMerge w:val="continue"/>
            <w:tcBorders>
              <w:tl2br w:val="nil"/>
              <w:tr2bl w:val="nil"/>
            </w:tcBorders>
            <w:vAlign w:val="center"/>
          </w:tcPr>
          <w:p w14:paraId="56E1CD8E">
            <w:pPr>
              <w:pStyle w:val="181"/>
              <w:adjustRightInd w:val="0"/>
              <w:snapToGrid w:val="0"/>
              <w:spacing w:line="240" w:lineRule="auto"/>
              <w:ind w:left="-48" w:leftChars="-20" w:right="-48" w:rightChars="-20"/>
              <w:jc w:val="both"/>
              <w:rPr>
                <w:color w:val="auto"/>
                <w:sz w:val="21"/>
                <w:szCs w:val="21"/>
                <w:highlight w:val="none"/>
              </w:rPr>
            </w:pPr>
          </w:p>
        </w:tc>
        <w:tc>
          <w:tcPr>
            <w:tcW w:w="371" w:type="pct"/>
            <w:vMerge w:val="continue"/>
            <w:tcBorders>
              <w:tl2br w:val="nil"/>
              <w:tr2bl w:val="nil"/>
            </w:tcBorders>
            <w:vAlign w:val="center"/>
          </w:tcPr>
          <w:p w14:paraId="2F97B3E7">
            <w:pPr>
              <w:pStyle w:val="181"/>
              <w:adjustRightInd w:val="0"/>
              <w:snapToGrid w:val="0"/>
              <w:spacing w:line="240" w:lineRule="auto"/>
              <w:ind w:left="-48" w:leftChars="-20" w:right="-48" w:rightChars="-20"/>
              <w:jc w:val="both"/>
              <w:rPr>
                <w:color w:val="auto"/>
                <w:sz w:val="21"/>
                <w:szCs w:val="21"/>
                <w:highlight w:val="none"/>
              </w:rPr>
            </w:pPr>
          </w:p>
        </w:tc>
        <w:tc>
          <w:tcPr>
            <w:tcW w:w="346" w:type="pct"/>
            <w:vMerge w:val="continue"/>
            <w:tcBorders>
              <w:tl2br w:val="nil"/>
              <w:tr2bl w:val="nil"/>
            </w:tcBorders>
            <w:vAlign w:val="center"/>
          </w:tcPr>
          <w:p w14:paraId="69DD6D4C">
            <w:pPr>
              <w:pStyle w:val="181"/>
              <w:adjustRightInd w:val="0"/>
              <w:snapToGrid w:val="0"/>
              <w:spacing w:line="240" w:lineRule="auto"/>
              <w:ind w:left="-48" w:leftChars="-20" w:right="-48" w:rightChars="-20"/>
              <w:jc w:val="both"/>
              <w:rPr>
                <w:color w:val="auto"/>
                <w:sz w:val="21"/>
                <w:szCs w:val="21"/>
                <w:highlight w:val="none"/>
              </w:rPr>
            </w:pPr>
          </w:p>
        </w:tc>
        <w:tc>
          <w:tcPr>
            <w:tcW w:w="2496" w:type="pct"/>
            <w:tcBorders>
              <w:tl2br w:val="nil"/>
              <w:tr2bl w:val="nil"/>
            </w:tcBorders>
            <w:vAlign w:val="center"/>
          </w:tcPr>
          <w:p w14:paraId="6EB6E847">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5．以平陆运河、北部湾港为重点，加强船舶和港口污染防治，加快淘汰老旧船舶，鼓励引导高能耗船舶技术改造升级和提前退出。推动新能源、清洁能源动力船舶应用，加快港口供电设施建设，提高船舶岸电设施使用率。</w:t>
            </w:r>
          </w:p>
        </w:tc>
        <w:tc>
          <w:tcPr>
            <w:tcW w:w="1494" w:type="pct"/>
            <w:tcBorders>
              <w:tl2br w:val="nil"/>
              <w:tr2bl w:val="nil"/>
            </w:tcBorders>
            <w:vAlign w:val="center"/>
          </w:tcPr>
          <w:p w14:paraId="79F9ECAB">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符合，本项目</w:t>
            </w:r>
            <w:r>
              <w:rPr>
                <w:rFonts w:hint="eastAsia"/>
                <w:color w:val="auto"/>
                <w:sz w:val="21"/>
                <w:szCs w:val="21"/>
                <w:highlight w:val="none"/>
              </w:rPr>
              <w:t>技改建设1座</w:t>
            </w:r>
            <w:r>
              <w:rPr>
                <w:color w:val="auto"/>
                <w:sz w:val="21"/>
                <w:szCs w:val="21"/>
                <w:highlight w:val="none"/>
              </w:rPr>
              <w:t>10万吨级浮船坞代替老旧浮船坞，更换落后设备，保障生产安全</w:t>
            </w:r>
          </w:p>
        </w:tc>
      </w:tr>
      <w:tr w14:paraId="3DB791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1" w:type="pct"/>
            <w:vMerge w:val="continue"/>
            <w:tcBorders>
              <w:tl2br w:val="nil"/>
              <w:tr2bl w:val="nil"/>
            </w:tcBorders>
            <w:vAlign w:val="center"/>
          </w:tcPr>
          <w:p w14:paraId="0D04D42F">
            <w:pPr>
              <w:pStyle w:val="181"/>
              <w:adjustRightInd w:val="0"/>
              <w:snapToGrid w:val="0"/>
              <w:spacing w:line="240" w:lineRule="auto"/>
              <w:ind w:left="-48" w:leftChars="-20" w:right="-48" w:rightChars="-20"/>
              <w:jc w:val="both"/>
              <w:rPr>
                <w:color w:val="auto"/>
                <w:sz w:val="21"/>
                <w:szCs w:val="21"/>
                <w:highlight w:val="none"/>
              </w:rPr>
            </w:pPr>
          </w:p>
        </w:tc>
        <w:tc>
          <w:tcPr>
            <w:tcW w:w="371" w:type="pct"/>
            <w:vMerge w:val="continue"/>
            <w:tcBorders>
              <w:tl2br w:val="nil"/>
              <w:tr2bl w:val="nil"/>
            </w:tcBorders>
            <w:vAlign w:val="center"/>
          </w:tcPr>
          <w:p w14:paraId="0D4CC148">
            <w:pPr>
              <w:pStyle w:val="181"/>
              <w:adjustRightInd w:val="0"/>
              <w:snapToGrid w:val="0"/>
              <w:spacing w:line="240" w:lineRule="auto"/>
              <w:ind w:left="-48" w:leftChars="-20" w:right="-48" w:rightChars="-20"/>
              <w:jc w:val="both"/>
              <w:rPr>
                <w:color w:val="auto"/>
                <w:sz w:val="21"/>
                <w:szCs w:val="21"/>
                <w:highlight w:val="none"/>
              </w:rPr>
            </w:pPr>
          </w:p>
        </w:tc>
        <w:tc>
          <w:tcPr>
            <w:tcW w:w="346" w:type="pct"/>
            <w:vMerge w:val="continue"/>
            <w:tcBorders>
              <w:tl2br w:val="nil"/>
              <w:tr2bl w:val="nil"/>
            </w:tcBorders>
            <w:vAlign w:val="center"/>
          </w:tcPr>
          <w:p w14:paraId="549F8F18">
            <w:pPr>
              <w:pStyle w:val="181"/>
              <w:adjustRightInd w:val="0"/>
              <w:snapToGrid w:val="0"/>
              <w:spacing w:line="240" w:lineRule="auto"/>
              <w:ind w:left="-48" w:leftChars="-20" w:right="-48" w:rightChars="-20"/>
              <w:jc w:val="both"/>
              <w:rPr>
                <w:color w:val="auto"/>
                <w:sz w:val="21"/>
                <w:szCs w:val="21"/>
                <w:highlight w:val="none"/>
              </w:rPr>
            </w:pPr>
          </w:p>
        </w:tc>
        <w:tc>
          <w:tcPr>
            <w:tcW w:w="2496" w:type="pct"/>
            <w:tcBorders>
              <w:tl2br w:val="nil"/>
              <w:tr2bl w:val="nil"/>
            </w:tcBorders>
            <w:vAlign w:val="center"/>
          </w:tcPr>
          <w:p w14:paraId="08415E71">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6．平陆运河沿线城市实施生活污水集中处理设施能力提升全覆盖工程，开展城市污水处理设施差别化精准提标改造。</w:t>
            </w:r>
          </w:p>
        </w:tc>
        <w:tc>
          <w:tcPr>
            <w:tcW w:w="1494" w:type="pct"/>
            <w:tcBorders>
              <w:tl2br w:val="nil"/>
              <w:tr2bl w:val="nil"/>
            </w:tcBorders>
            <w:vAlign w:val="center"/>
          </w:tcPr>
          <w:p w14:paraId="4ED0DCE8">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符合，项目不涉及</w:t>
            </w:r>
          </w:p>
        </w:tc>
      </w:tr>
      <w:tr w14:paraId="621A10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1" w:type="pct"/>
            <w:vMerge w:val="continue"/>
            <w:tcBorders>
              <w:tl2br w:val="nil"/>
              <w:tr2bl w:val="nil"/>
            </w:tcBorders>
            <w:vAlign w:val="center"/>
          </w:tcPr>
          <w:p w14:paraId="46572C21">
            <w:pPr>
              <w:pStyle w:val="181"/>
              <w:adjustRightInd w:val="0"/>
              <w:snapToGrid w:val="0"/>
              <w:spacing w:line="240" w:lineRule="auto"/>
              <w:ind w:left="-48" w:leftChars="-20" w:right="-48" w:rightChars="-20"/>
              <w:jc w:val="both"/>
              <w:rPr>
                <w:color w:val="auto"/>
                <w:sz w:val="21"/>
                <w:szCs w:val="21"/>
                <w:highlight w:val="none"/>
              </w:rPr>
            </w:pPr>
          </w:p>
        </w:tc>
        <w:tc>
          <w:tcPr>
            <w:tcW w:w="371" w:type="pct"/>
            <w:vMerge w:val="continue"/>
            <w:tcBorders>
              <w:tl2br w:val="nil"/>
              <w:tr2bl w:val="nil"/>
            </w:tcBorders>
            <w:vAlign w:val="center"/>
          </w:tcPr>
          <w:p w14:paraId="1944D564">
            <w:pPr>
              <w:pStyle w:val="181"/>
              <w:adjustRightInd w:val="0"/>
              <w:snapToGrid w:val="0"/>
              <w:spacing w:line="240" w:lineRule="auto"/>
              <w:ind w:left="-48" w:leftChars="-20" w:right="-48" w:rightChars="-20"/>
              <w:jc w:val="both"/>
              <w:rPr>
                <w:color w:val="auto"/>
                <w:sz w:val="21"/>
                <w:szCs w:val="21"/>
                <w:highlight w:val="none"/>
              </w:rPr>
            </w:pPr>
          </w:p>
        </w:tc>
        <w:tc>
          <w:tcPr>
            <w:tcW w:w="346" w:type="pct"/>
            <w:vMerge w:val="restart"/>
            <w:tcBorders>
              <w:tl2br w:val="nil"/>
              <w:tr2bl w:val="nil"/>
            </w:tcBorders>
            <w:vAlign w:val="center"/>
          </w:tcPr>
          <w:p w14:paraId="00BB2A49">
            <w:pPr>
              <w:pStyle w:val="181"/>
              <w:adjustRightInd w:val="0"/>
              <w:snapToGrid w:val="0"/>
              <w:spacing w:line="240" w:lineRule="auto"/>
              <w:ind w:left="-48" w:leftChars="-20" w:right="-48" w:rightChars="-20"/>
              <w:jc w:val="center"/>
              <w:rPr>
                <w:color w:val="auto"/>
                <w:sz w:val="21"/>
                <w:szCs w:val="21"/>
                <w:highlight w:val="none"/>
              </w:rPr>
            </w:pPr>
            <w:r>
              <w:rPr>
                <w:color w:val="auto"/>
                <w:sz w:val="21"/>
                <w:szCs w:val="21"/>
                <w:highlight w:val="none"/>
              </w:rPr>
              <w:t>环境风险防控</w:t>
            </w:r>
          </w:p>
        </w:tc>
        <w:tc>
          <w:tcPr>
            <w:tcW w:w="2496" w:type="pct"/>
            <w:tcBorders>
              <w:tl2br w:val="nil"/>
              <w:tr2bl w:val="nil"/>
            </w:tcBorders>
            <w:vAlign w:val="center"/>
          </w:tcPr>
          <w:p w14:paraId="2751D48A">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1．强化沿海工业园区和沿海石油、石化、化工、冶炼及危化品储运等企业的环境风险防控。</w:t>
            </w:r>
          </w:p>
        </w:tc>
        <w:tc>
          <w:tcPr>
            <w:tcW w:w="1494" w:type="pct"/>
            <w:tcBorders>
              <w:tl2br w:val="nil"/>
              <w:tr2bl w:val="nil"/>
            </w:tcBorders>
            <w:vAlign w:val="center"/>
          </w:tcPr>
          <w:p w14:paraId="09537772">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符合，项目不涉及</w:t>
            </w:r>
          </w:p>
        </w:tc>
      </w:tr>
      <w:tr w14:paraId="2B3D78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1" w:type="pct"/>
            <w:vMerge w:val="continue"/>
            <w:tcBorders>
              <w:tl2br w:val="nil"/>
              <w:tr2bl w:val="nil"/>
            </w:tcBorders>
            <w:vAlign w:val="center"/>
          </w:tcPr>
          <w:p w14:paraId="1CE72E7D">
            <w:pPr>
              <w:pStyle w:val="181"/>
              <w:adjustRightInd w:val="0"/>
              <w:snapToGrid w:val="0"/>
              <w:spacing w:line="240" w:lineRule="auto"/>
              <w:ind w:left="-48" w:leftChars="-20" w:right="-48" w:rightChars="-20"/>
              <w:jc w:val="both"/>
              <w:rPr>
                <w:color w:val="auto"/>
                <w:sz w:val="21"/>
                <w:szCs w:val="21"/>
                <w:highlight w:val="none"/>
              </w:rPr>
            </w:pPr>
          </w:p>
        </w:tc>
        <w:tc>
          <w:tcPr>
            <w:tcW w:w="371" w:type="pct"/>
            <w:vMerge w:val="continue"/>
            <w:tcBorders>
              <w:tl2br w:val="nil"/>
              <w:tr2bl w:val="nil"/>
            </w:tcBorders>
            <w:vAlign w:val="center"/>
          </w:tcPr>
          <w:p w14:paraId="6BEF2628">
            <w:pPr>
              <w:pStyle w:val="181"/>
              <w:adjustRightInd w:val="0"/>
              <w:snapToGrid w:val="0"/>
              <w:spacing w:line="240" w:lineRule="auto"/>
              <w:ind w:left="-48" w:leftChars="-20" w:right="-48" w:rightChars="-20"/>
              <w:jc w:val="both"/>
              <w:rPr>
                <w:color w:val="auto"/>
                <w:sz w:val="21"/>
                <w:szCs w:val="21"/>
                <w:highlight w:val="none"/>
              </w:rPr>
            </w:pPr>
          </w:p>
        </w:tc>
        <w:tc>
          <w:tcPr>
            <w:tcW w:w="346" w:type="pct"/>
            <w:vMerge w:val="continue"/>
            <w:tcBorders>
              <w:tl2br w:val="nil"/>
              <w:tr2bl w:val="nil"/>
            </w:tcBorders>
            <w:vAlign w:val="center"/>
          </w:tcPr>
          <w:p w14:paraId="5097C7F0">
            <w:pPr>
              <w:pStyle w:val="181"/>
              <w:adjustRightInd w:val="0"/>
              <w:snapToGrid w:val="0"/>
              <w:spacing w:line="240" w:lineRule="auto"/>
              <w:ind w:left="-48" w:leftChars="-20" w:right="-48" w:rightChars="-20"/>
              <w:jc w:val="center"/>
              <w:rPr>
                <w:color w:val="auto"/>
                <w:sz w:val="21"/>
                <w:szCs w:val="21"/>
                <w:highlight w:val="none"/>
              </w:rPr>
            </w:pPr>
          </w:p>
        </w:tc>
        <w:tc>
          <w:tcPr>
            <w:tcW w:w="2496" w:type="pct"/>
            <w:tcBorders>
              <w:tl2br w:val="nil"/>
              <w:tr2bl w:val="nil"/>
            </w:tcBorders>
            <w:vAlign w:val="center"/>
          </w:tcPr>
          <w:p w14:paraId="69DE2251">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2．建立和完善海上溢油、危险化学品泄漏、赤潮应急反应预案，提升应对海洋突发环境事件能力，防范海上溢油、危险化学品泄漏等重大环境风险。加强海洋环境监测，实施海洋环境预警预报工程。</w:t>
            </w:r>
          </w:p>
        </w:tc>
        <w:tc>
          <w:tcPr>
            <w:tcW w:w="1494" w:type="pct"/>
            <w:tcBorders>
              <w:tl2br w:val="nil"/>
              <w:tr2bl w:val="nil"/>
            </w:tcBorders>
            <w:vAlign w:val="center"/>
          </w:tcPr>
          <w:p w14:paraId="09D77F5B">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项目通过采取各项环保措施，加强船舶通航管理、建立完善的风险防范措施和事故应急预案，防止对海洋环境造成污染</w:t>
            </w:r>
          </w:p>
        </w:tc>
      </w:tr>
      <w:tr w14:paraId="039704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1" w:type="pct"/>
            <w:vMerge w:val="continue"/>
            <w:tcBorders>
              <w:tl2br w:val="nil"/>
              <w:tr2bl w:val="nil"/>
            </w:tcBorders>
            <w:vAlign w:val="center"/>
          </w:tcPr>
          <w:p w14:paraId="703890C4">
            <w:pPr>
              <w:pStyle w:val="181"/>
              <w:adjustRightInd w:val="0"/>
              <w:snapToGrid w:val="0"/>
              <w:spacing w:line="240" w:lineRule="auto"/>
              <w:ind w:left="-48" w:leftChars="-20" w:right="-48" w:rightChars="-20"/>
              <w:jc w:val="both"/>
              <w:rPr>
                <w:color w:val="auto"/>
                <w:sz w:val="21"/>
                <w:szCs w:val="21"/>
                <w:highlight w:val="none"/>
              </w:rPr>
            </w:pPr>
          </w:p>
        </w:tc>
        <w:tc>
          <w:tcPr>
            <w:tcW w:w="371" w:type="pct"/>
            <w:vMerge w:val="continue"/>
            <w:tcBorders>
              <w:tl2br w:val="nil"/>
              <w:tr2bl w:val="nil"/>
            </w:tcBorders>
            <w:vAlign w:val="center"/>
          </w:tcPr>
          <w:p w14:paraId="4516AC69">
            <w:pPr>
              <w:pStyle w:val="181"/>
              <w:adjustRightInd w:val="0"/>
              <w:snapToGrid w:val="0"/>
              <w:spacing w:line="240" w:lineRule="auto"/>
              <w:ind w:left="-48" w:leftChars="-20" w:right="-48" w:rightChars="-20"/>
              <w:jc w:val="both"/>
              <w:rPr>
                <w:color w:val="auto"/>
                <w:sz w:val="21"/>
                <w:szCs w:val="21"/>
                <w:highlight w:val="none"/>
              </w:rPr>
            </w:pPr>
          </w:p>
        </w:tc>
        <w:tc>
          <w:tcPr>
            <w:tcW w:w="346" w:type="pct"/>
            <w:vMerge w:val="continue"/>
            <w:tcBorders>
              <w:tl2br w:val="nil"/>
              <w:tr2bl w:val="nil"/>
            </w:tcBorders>
            <w:vAlign w:val="center"/>
          </w:tcPr>
          <w:p w14:paraId="11E0FFB4">
            <w:pPr>
              <w:pStyle w:val="181"/>
              <w:adjustRightInd w:val="0"/>
              <w:snapToGrid w:val="0"/>
              <w:spacing w:line="240" w:lineRule="auto"/>
              <w:ind w:left="-48" w:leftChars="-20" w:right="-48" w:rightChars="-20"/>
              <w:jc w:val="center"/>
              <w:rPr>
                <w:color w:val="auto"/>
                <w:sz w:val="21"/>
                <w:szCs w:val="21"/>
                <w:highlight w:val="none"/>
              </w:rPr>
            </w:pPr>
          </w:p>
        </w:tc>
        <w:tc>
          <w:tcPr>
            <w:tcW w:w="2496" w:type="pct"/>
            <w:tcBorders>
              <w:tl2br w:val="nil"/>
              <w:tr2bl w:val="nil"/>
            </w:tcBorders>
            <w:vAlign w:val="center"/>
          </w:tcPr>
          <w:p w14:paraId="7FBE61C5">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3．实行严格的核污染监控管理，提升核安全治理能力，提高核设施安全水平，降低核安全风险，推进放射性污染防治，确保辐射环境质量保持良好，强化核辐射安全监管体系，消除核安全隐患。</w:t>
            </w:r>
          </w:p>
        </w:tc>
        <w:tc>
          <w:tcPr>
            <w:tcW w:w="1494" w:type="pct"/>
            <w:tcBorders>
              <w:tl2br w:val="nil"/>
              <w:tr2bl w:val="nil"/>
            </w:tcBorders>
            <w:vAlign w:val="center"/>
          </w:tcPr>
          <w:p w14:paraId="45B9CA69">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符合，项目不涉及</w:t>
            </w:r>
          </w:p>
        </w:tc>
      </w:tr>
      <w:tr w14:paraId="381B98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1" w:type="pct"/>
            <w:vMerge w:val="continue"/>
            <w:tcBorders>
              <w:tl2br w:val="nil"/>
              <w:tr2bl w:val="nil"/>
            </w:tcBorders>
            <w:vAlign w:val="center"/>
          </w:tcPr>
          <w:p w14:paraId="5385FB44">
            <w:pPr>
              <w:pStyle w:val="181"/>
              <w:adjustRightInd w:val="0"/>
              <w:snapToGrid w:val="0"/>
              <w:spacing w:line="240" w:lineRule="auto"/>
              <w:ind w:left="-48" w:leftChars="-20" w:right="-48" w:rightChars="-20"/>
              <w:jc w:val="both"/>
              <w:rPr>
                <w:color w:val="auto"/>
                <w:sz w:val="21"/>
                <w:szCs w:val="21"/>
                <w:highlight w:val="none"/>
              </w:rPr>
            </w:pPr>
          </w:p>
        </w:tc>
        <w:tc>
          <w:tcPr>
            <w:tcW w:w="371" w:type="pct"/>
            <w:vMerge w:val="continue"/>
            <w:tcBorders>
              <w:tl2br w:val="nil"/>
              <w:tr2bl w:val="nil"/>
            </w:tcBorders>
            <w:vAlign w:val="center"/>
          </w:tcPr>
          <w:p w14:paraId="56055005">
            <w:pPr>
              <w:pStyle w:val="181"/>
              <w:adjustRightInd w:val="0"/>
              <w:snapToGrid w:val="0"/>
              <w:spacing w:line="240" w:lineRule="auto"/>
              <w:ind w:left="-48" w:leftChars="-20" w:right="-48" w:rightChars="-20"/>
              <w:jc w:val="both"/>
              <w:rPr>
                <w:color w:val="auto"/>
                <w:sz w:val="21"/>
                <w:szCs w:val="21"/>
                <w:highlight w:val="none"/>
              </w:rPr>
            </w:pPr>
          </w:p>
        </w:tc>
        <w:tc>
          <w:tcPr>
            <w:tcW w:w="346" w:type="pct"/>
            <w:vMerge w:val="restart"/>
            <w:tcBorders>
              <w:tl2br w:val="nil"/>
              <w:tr2bl w:val="nil"/>
            </w:tcBorders>
            <w:vAlign w:val="center"/>
          </w:tcPr>
          <w:p w14:paraId="24DBB45F">
            <w:pPr>
              <w:pStyle w:val="181"/>
              <w:adjustRightInd w:val="0"/>
              <w:snapToGrid w:val="0"/>
              <w:spacing w:line="240" w:lineRule="auto"/>
              <w:ind w:left="-48" w:leftChars="-20" w:right="-48" w:rightChars="-20"/>
              <w:jc w:val="center"/>
              <w:rPr>
                <w:color w:val="auto"/>
                <w:sz w:val="21"/>
                <w:szCs w:val="21"/>
                <w:highlight w:val="none"/>
              </w:rPr>
            </w:pPr>
            <w:r>
              <w:rPr>
                <w:color w:val="auto"/>
                <w:sz w:val="21"/>
                <w:szCs w:val="21"/>
                <w:highlight w:val="none"/>
              </w:rPr>
              <w:t>资源开发利用效率要求</w:t>
            </w:r>
          </w:p>
        </w:tc>
        <w:tc>
          <w:tcPr>
            <w:tcW w:w="2496" w:type="pct"/>
            <w:tcBorders>
              <w:tl2br w:val="nil"/>
              <w:tr2bl w:val="nil"/>
            </w:tcBorders>
            <w:vAlign w:val="center"/>
          </w:tcPr>
          <w:p w14:paraId="1BA37136">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1．严格执行能耗“双控”，新建项目能源利用效率应达到国内先进水平。</w:t>
            </w:r>
          </w:p>
        </w:tc>
        <w:tc>
          <w:tcPr>
            <w:tcW w:w="1494" w:type="pct"/>
            <w:tcBorders>
              <w:tl2br w:val="nil"/>
              <w:tr2bl w:val="nil"/>
            </w:tcBorders>
            <w:vAlign w:val="center"/>
          </w:tcPr>
          <w:p w14:paraId="683AF025">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符合，项目不涉及</w:t>
            </w:r>
          </w:p>
        </w:tc>
      </w:tr>
      <w:tr w14:paraId="121B23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1" w:type="pct"/>
            <w:vMerge w:val="continue"/>
            <w:tcBorders>
              <w:tl2br w:val="nil"/>
              <w:tr2bl w:val="nil"/>
            </w:tcBorders>
            <w:vAlign w:val="center"/>
          </w:tcPr>
          <w:p w14:paraId="15C4B6A0">
            <w:pPr>
              <w:pStyle w:val="181"/>
              <w:adjustRightInd w:val="0"/>
              <w:snapToGrid w:val="0"/>
              <w:spacing w:line="240" w:lineRule="auto"/>
              <w:ind w:left="-48" w:leftChars="-20" w:right="-48" w:rightChars="-20"/>
              <w:jc w:val="both"/>
              <w:rPr>
                <w:color w:val="auto"/>
                <w:sz w:val="21"/>
                <w:szCs w:val="21"/>
                <w:highlight w:val="none"/>
              </w:rPr>
            </w:pPr>
          </w:p>
        </w:tc>
        <w:tc>
          <w:tcPr>
            <w:tcW w:w="371" w:type="pct"/>
            <w:vMerge w:val="continue"/>
            <w:tcBorders>
              <w:tl2br w:val="nil"/>
              <w:tr2bl w:val="nil"/>
            </w:tcBorders>
            <w:vAlign w:val="center"/>
          </w:tcPr>
          <w:p w14:paraId="369EC528">
            <w:pPr>
              <w:pStyle w:val="181"/>
              <w:adjustRightInd w:val="0"/>
              <w:snapToGrid w:val="0"/>
              <w:spacing w:line="240" w:lineRule="auto"/>
              <w:ind w:left="-48" w:leftChars="-20" w:right="-48" w:rightChars="-20"/>
              <w:jc w:val="both"/>
              <w:rPr>
                <w:color w:val="auto"/>
                <w:sz w:val="21"/>
                <w:szCs w:val="21"/>
                <w:highlight w:val="none"/>
              </w:rPr>
            </w:pPr>
          </w:p>
        </w:tc>
        <w:tc>
          <w:tcPr>
            <w:tcW w:w="346" w:type="pct"/>
            <w:vMerge w:val="continue"/>
            <w:tcBorders>
              <w:tl2br w:val="nil"/>
              <w:tr2bl w:val="nil"/>
            </w:tcBorders>
            <w:vAlign w:val="center"/>
          </w:tcPr>
          <w:p w14:paraId="03FE6FBE">
            <w:pPr>
              <w:pStyle w:val="181"/>
              <w:adjustRightInd w:val="0"/>
              <w:snapToGrid w:val="0"/>
              <w:spacing w:line="240" w:lineRule="auto"/>
              <w:ind w:left="-48" w:leftChars="-20" w:right="-48" w:rightChars="-20"/>
              <w:jc w:val="center"/>
              <w:rPr>
                <w:color w:val="auto"/>
                <w:sz w:val="21"/>
                <w:szCs w:val="21"/>
                <w:highlight w:val="none"/>
              </w:rPr>
            </w:pPr>
          </w:p>
        </w:tc>
        <w:tc>
          <w:tcPr>
            <w:tcW w:w="2496" w:type="pct"/>
            <w:tcBorders>
              <w:tl2br w:val="nil"/>
              <w:tr2bl w:val="nil"/>
            </w:tcBorders>
            <w:vAlign w:val="center"/>
          </w:tcPr>
          <w:p w14:paraId="53118831">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2．实施水资源消耗总量和强度“双控”。</w:t>
            </w:r>
          </w:p>
        </w:tc>
        <w:tc>
          <w:tcPr>
            <w:tcW w:w="1494" w:type="pct"/>
            <w:tcBorders>
              <w:tl2br w:val="nil"/>
              <w:tr2bl w:val="nil"/>
            </w:tcBorders>
            <w:vAlign w:val="center"/>
          </w:tcPr>
          <w:p w14:paraId="62A2942B">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符合，项目不涉及</w:t>
            </w:r>
          </w:p>
        </w:tc>
      </w:tr>
    </w:tbl>
    <w:p w14:paraId="3635109F">
      <w:pPr>
        <w:widowControl/>
        <w:ind w:firstLine="480"/>
        <w:rPr>
          <w:color w:val="auto"/>
          <w:highlight w:val="none"/>
        </w:rPr>
        <w:sectPr>
          <w:headerReference r:id="rId14" w:type="default"/>
          <w:pgSz w:w="16838" w:h="11906" w:orient="landscape"/>
          <w:pgMar w:top="1440" w:right="1701" w:bottom="1440" w:left="1701" w:header="851" w:footer="850" w:gutter="0"/>
          <w:cols w:space="0" w:num="1"/>
          <w:docGrid w:type="lines" w:linePitch="314" w:charSpace="0"/>
        </w:sectPr>
      </w:pPr>
    </w:p>
    <w:p w14:paraId="2CCB7D01">
      <w:pPr>
        <w:pStyle w:val="8"/>
        <w:rPr>
          <w:color w:val="auto"/>
          <w:highlight w:val="none"/>
          <w:lang w:val="zh-CN"/>
        </w:rPr>
      </w:pPr>
      <w:r>
        <w:rPr>
          <w:color w:val="auto"/>
          <w:highlight w:val="none"/>
        </w:rPr>
        <w:t>（2）</w:t>
      </w:r>
      <w:r>
        <w:rPr>
          <w:color w:val="auto"/>
          <w:highlight w:val="none"/>
          <w:lang w:val="zh-CN"/>
        </w:rPr>
        <w:t>项目与钦州市生态环境分区管控要求的相符性</w:t>
      </w:r>
    </w:p>
    <w:p w14:paraId="15874FA8">
      <w:pPr>
        <w:widowControl/>
        <w:ind w:firstLine="480"/>
        <w:rPr>
          <w:color w:val="auto"/>
          <w:highlight w:val="none"/>
        </w:rPr>
        <w:sectPr>
          <w:headerReference r:id="rId15" w:type="default"/>
          <w:pgSz w:w="11906" w:h="16838"/>
          <w:pgMar w:top="1440" w:right="1701" w:bottom="1440" w:left="1701" w:header="851" w:footer="850" w:gutter="0"/>
          <w:cols w:space="0" w:num="1"/>
          <w:docGrid w:type="lines" w:linePitch="312" w:charSpace="0"/>
        </w:sectPr>
      </w:pPr>
      <w:r>
        <w:rPr>
          <w:color w:val="auto"/>
          <w:highlight w:val="none"/>
        </w:rPr>
        <w:t>根据《钦州市生态环境局关于印发钦州市生态环境分区管控动态更新成果（2023版）的通知》：钦州市全市陆域共划分为64 个环境管控单元。其中，优先保护单元34个；重点管控单元26个；一般管控单元4个。近岸海域共划分为63个环境管控单元，其中，优先保护单元25个；重点管控单元31个；一般管控单元7个。本项目与钦州市生态环境准入及管控要求相符性见表</w:t>
      </w:r>
      <w:r>
        <w:rPr>
          <w:rFonts w:hint="eastAsia"/>
          <w:color w:val="auto"/>
          <w:highlight w:val="none"/>
        </w:rPr>
        <w:t>6</w:t>
      </w:r>
      <w:r>
        <w:rPr>
          <w:color w:val="auto"/>
          <w:highlight w:val="none"/>
        </w:rPr>
        <w:t>。</w:t>
      </w:r>
    </w:p>
    <w:p w14:paraId="03078DAB">
      <w:pPr>
        <w:topLinePunct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表</w:t>
      </w:r>
      <w:r>
        <w:rPr>
          <w:rFonts w:hint="eastAsia"/>
          <w:b/>
          <w:bCs/>
          <w:color w:val="auto"/>
          <w:sz w:val="21"/>
          <w:szCs w:val="21"/>
          <w:highlight w:val="none"/>
        </w:rPr>
        <w:t>6</w:t>
      </w:r>
      <w:r>
        <w:rPr>
          <w:b/>
          <w:bCs/>
          <w:color w:val="auto"/>
          <w:sz w:val="21"/>
          <w:szCs w:val="21"/>
          <w:highlight w:val="none"/>
        </w:rPr>
        <w:t>项目与钦州市生态环境准入及管控要求的相符性分析一览表</w:t>
      </w:r>
    </w:p>
    <w:tbl>
      <w:tblPr>
        <w:tblStyle w:val="92"/>
        <w:tblW w:w="4996"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830"/>
        <w:gridCol w:w="8772"/>
        <w:gridCol w:w="4561"/>
      </w:tblGrid>
      <w:tr w14:paraId="7B7654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blHeader/>
        </w:trPr>
        <w:tc>
          <w:tcPr>
            <w:tcW w:w="3389" w:type="pct"/>
            <w:gridSpan w:val="2"/>
            <w:tcBorders>
              <w:tl2br w:val="nil"/>
              <w:tr2bl w:val="nil"/>
            </w:tcBorders>
            <w:vAlign w:val="center"/>
          </w:tcPr>
          <w:p w14:paraId="53D27DFC">
            <w:pPr>
              <w:widowControl/>
              <w:topLinePunct w:val="0"/>
              <w:spacing w:line="240" w:lineRule="auto"/>
              <w:ind w:firstLine="0" w:firstLineChars="0"/>
              <w:jc w:val="center"/>
              <w:textAlignment w:val="center"/>
              <w:rPr>
                <w:b/>
                <w:bCs/>
                <w:color w:val="auto"/>
                <w:sz w:val="21"/>
                <w:szCs w:val="21"/>
                <w:highlight w:val="none"/>
                <w:lang w:bidi="ar"/>
              </w:rPr>
            </w:pPr>
            <w:r>
              <w:rPr>
                <w:b/>
                <w:bCs/>
                <w:color w:val="auto"/>
                <w:sz w:val="21"/>
                <w:szCs w:val="21"/>
                <w:highlight w:val="none"/>
                <w:lang w:bidi="ar"/>
              </w:rPr>
              <w:t>生态环境准入及管控要求</w:t>
            </w:r>
          </w:p>
        </w:tc>
        <w:tc>
          <w:tcPr>
            <w:tcW w:w="1610" w:type="pct"/>
            <w:tcBorders>
              <w:tl2br w:val="nil"/>
              <w:tr2bl w:val="nil"/>
            </w:tcBorders>
            <w:vAlign w:val="center"/>
          </w:tcPr>
          <w:p w14:paraId="4D381479">
            <w:pPr>
              <w:widowControl/>
              <w:topLinePunct w:val="0"/>
              <w:spacing w:line="240" w:lineRule="auto"/>
              <w:ind w:firstLine="0" w:firstLineChars="0"/>
              <w:jc w:val="center"/>
              <w:textAlignment w:val="center"/>
              <w:rPr>
                <w:b/>
                <w:bCs/>
                <w:color w:val="auto"/>
                <w:sz w:val="21"/>
                <w:szCs w:val="21"/>
                <w:highlight w:val="none"/>
                <w:lang w:bidi="ar"/>
              </w:rPr>
            </w:pPr>
            <w:r>
              <w:rPr>
                <w:b/>
                <w:bCs/>
                <w:color w:val="auto"/>
                <w:sz w:val="21"/>
                <w:szCs w:val="21"/>
                <w:highlight w:val="none"/>
                <w:lang w:bidi="ar"/>
              </w:rPr>
              <w:t>相符性</w:t>
            </w:r>
          </w:p>
        </w:tc>
      </w:tr>
      <w:tr w14:paraId="172FFB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93" w:type="pct"/>
            <w:vMerge w:val="restart"/>
            <w:tcBorders>
              <w:tl2br w:val="nil"/>
              <w:tr2bl w:val="nil"/>
            </w:tcBorders>
            <w:vAlign w:val="center"/>
          </w:tcPr>
          <w:p w14:paraId="058DE35A">
            <w:pPr>
              <w:widowControl/>
              <w:topLinePunct w:val="0"/>
              <w:spacing w:line="240" w:lineRule="auto"/>
              <w:ind w:firstLine="0" w:firstLineChars="0"/>
              <w:jc w:val="center"/>
              <w:textAlignment w:val="center"/>
              <w:rPr>
                <w:color w:val="auto"/>
                <w:sz w:val="21"/>
                <w:szCs w:val="21"/>
                <w:highlight w:val="none"/>
              </w:rPr>
            </w:pPr>
            <w:r>
              <w:rPr>
                <w:color w:val="auto"/>
                <w:sz w:val="21"/>
                <w:szCs w:val="21"/>
                <w:highlight w:val="none"/>
                <w:lang w:bidi="ar"/>
              </w:rPr>
              <w:t>空间布局</w:t>
            </w:r>
            <w:r>
              <w:rPr>
                <w:color w:val="auto"/>
                <w:sz w:val="21"/>
                <w:szCs w:val="21"/>
                <w:highlight w:val="none"/>
                <w:lang w:bidi="ar"/>
              </w:rPr>
              <w:br w:type="textWrapping"/>
            </w:r>
            <w:r>
              <w:rPr>
                <w:color w:val="auto"/>
                <w:sz w:val="21"/>
                <w:szCs w:val="21"/>
                <w:highlight w:val="none"/>
                <w:lang w:bidi="ar"/>
              </w:rPr>
              <w:t>约束</w:t>
            </w:r>
          </w:p>
        </w:tc>
        <w:tc>
          <w:tcPr>
            <w:tcW w:w="3096" w:type="pct"/>
            <w:tcBorders>
              <w:tl2br w:val="nil"/>
              <w:tr2bl w:val="nil"/>
            </w:tcBorders>
            <w:vAlign w:val="center"/>
          </w:tcPr>
          <w:p w14:paraId="2F579617">
            <w:pPr>
              <w:widowControl/>
              <w:topLinePunct w:val="0"/>
              <w:spacing w:line="240" w:lineRule="auto"/>
              <w:ind w:firstLine="0" w:firstLineChars="0"/>
              <w:jc w:val="left"/>
              <w:textAlignment w:val="center"/>
              <w:rPr>
                <w:color w:val="auto"/>
                <w:sz w:val="21"/>
                <w:szCs w:val="21"/>
                <w:highlight w:val="none"/>
              </w:rPr>
            </w:pPr>
            <w:r>
              <w:rPr>
                <w:color w:val="auto"/>
                <w:sz w:val="21"/>
                <w:szCs w:val="21"/>
                <w:highlight w:val="none"/>
                <w:lang w:bidi="ar"/>
              </w:rPr>
              <w:t>1. 自然保护地、水源保护区、公益林、天然林等具有法律地位，有管理条例、规定、办法的各类保护地，其管控要求原则上按照各类保护地的现行规定进行管理，重叠区域以最严格的要求进行管理。纳入生态保护红线管理的各类自然保护地，还应执行国家、自治区有关生态保护红线内各类开发活动的准入及管控规定和要求。</w:t>
            </w:r>
          </w:p>
        </w:tc>
        <w:tc>
          <w:tcPr>
            <w:tcW w:w="1610" w:type="pct"/>
            <w:tcBorders>
              <w:tl2br w:val="nil"/>
              <w:tr2bl w:val="nil"/>
            </w:tcBorders>
            <w:vAlign w:val="center"/>
          </w:tcPr>
          <w:p w14:paraId="4E25B224">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符合，项目不涉及自然保护地、水源保护区、公益林、天然林等各类保护地和生态保护红线</w:t>
            </w:r>
          </w:p>
        </w:tc>
      </w:tr>
      <w:tr w14:paraId="4E96F8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26CA713B">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tcPr>
          <w:p w14:paraId="3F66AD7D">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2.红树林依据《广西壮族自治区红树林资源保护条例》进行管理。开展红树林修复要依法依规进行，并符合红树林资源保护规划等相关要求。</w:t>
            </w:r>
          </w:p>
        </w:tc>
        <w:tc>
          <w:tcPr>
            <w:tcW w:w="1610" w:type="pct"/>
            <w:tcBorders>
              <w:tl2br w:val="nil"/>
              <w:tr2bl w:val="nil"/>
            </w:tcBorders>
          </w:tcPr>
          <w:p w14:paraId="611A7212">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符合，项目不涉及红树林</w:t>
            </w:r>
          </w:p>
        </w:tc>
      </w:tr>
      <w:tr w14:paraId="47AA5A7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10C1758D">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tcPr>
          <w:p w14:paraId="68C75D30">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3.重要湿地依据《中华人民共和国湿地保护法》《国家湿地公园管理办法》《广西壮族自治区湿地保护条例》进行管理。</w:t>
            </w:r>
          </w:p>
        </w:tc>
        <w:tc>
          <w:tcPr>
            <w:tcW w:w="1610" w:type="pct"/>
            <w:tcBorders>
              <w:tl2br w:val="nil"/>
              <w:tr2bl w:val="nil"/>
            </w:tcBorders>
          </w:tcPr>
          <w:p w14:paraId="434EF8C4">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符合，项目不涉及重要湿地</w:t>
            </w:r>
          </w:p>
        </w:tc>
      </w:tr>
      <w:tr w14:paraId="1B08C6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6D5E145F">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tcPr>
          <w:p w14:paraId="4D406BBC">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4.禁止城镇和工业发展占用自然保护区、湿地保护区及生态环境极为敏感地区，对已有的工业企业逐步搬迁，减缓城镇空间和生态空间叠加布局对生态空间的破坏和侵占程度。禁止在水源保护区、湿地、永久基本农田、陡坡区、地质灾害高易发区等地区建设和开发，严格限制自然保护区和湿地保护核心区人类活动；严格限制“两高”产业在十万大山、五皇山、六万大山、茅尾海等生物多样性保护区及水源涵养区等重点生态功能区的布局，鼓励发展生态保护型旅游业、生态农业，统筹推进特色农业和旅游业融合发展。</w:t>
            </w:r>
          </w:p>
        </w:tc>
        <w:tc>
          <w:tcPr>
            <w:tcW w:w="1610" w:type="pct"/>
            <w:tcBorders>
              <w:tl2br w:val="nil"/>
              <w:tr2bl w:val="nil"/>
            </w:tcBorders>
          </w:tcPr>
          <w:p w14:paraId="3B71E270">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符合，项目位于钦州港区三墩作业区，不涉及自然保护区、湿地保护区、水源保护区等</w:t>
            </w:r>
          </w:p>
        </w:tc>
      </w:tr>
      <w:tr w14:paraId="7C7B61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3AA2684B">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tcPr>
          <w:p w14:paraId="0387C5FD">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5.以供给侧结构性改革为导向，坚持培育新增产能与淘汰落后产能相结合，严格审批，防止新增落后产能。严格控制“两高”和产能过剩行业新上项目，遏制高耗能产业无序发展和低水平扩张。</w:t>
            </w:r>
          </w:p>
        </w:tc>
        <w:tc>
          <w:tcPr>
            <w:tcW w:w="1610" w:type="pct"/>
            <w:tcBorders>
              <w:tl2br w:val="nil"/>
              <w:tr2bl w:val="nil"/>
            </w:tcBorders>
          </w:tcPr>
          <w:p w14:paraId="0AC32BFE">
            <w:pPr>
              <w:widowControl/>
              <w:topLinePunct w:val="0"/>
              <w:spacing w:line="240" w:lineRule="auto"/>
              <w:ind w:firstLine="0" w:firstLineChars="0"/>
              <w:jc w:val="left"/>
              <w:textAlignment w:val="top"/>
              <w:rPr>
                <w:color w:val="auto"/>
                <w:sz w:val="21"/>
                <w:szCs w:val="21"/>
                <w:highlight w:val="none"/>
                <w:lang w:bidi="ar"/>
              </w:rPr>
            </w:pPr>
            <w:r>
              <w:rPr>
                <w:color w:val="auto"/>
                <w:kern w:val="2"/>
                <w:sz w:val="21"/>
                <w:szCs w:val="21"/>
                <w:highlight w:val="none"/>
              </w:rPr>
              <w:t>符合，本项目</w:t>
            </w:r>
            <w:r>
              <w:rPr>
                <w:rFonts w:hint="eastAsia"/>
                <w:color w:val="auto"/>
                <w:kern w:val="2"/>
                <w:sz w:val="21"/>
                <w:szCs w:val="21"/>
                <w:highlight w:val="none"/>
              </w:rPr>
              <w:t>技改建设1座</w:t>
            </w:r>
            <w:r>
              <w:rPr>
                <w:color w:val="auto"/>
                <w:kern w:val="2"/>
                <w:sz w:val="21"/>
                <w:szCs w:val="21"/>
                <w:highlight w:val="none"/>
              </w:rPr>
              <w:t>10万吨级浮船坞代替老旧浮船坞，更换落后设备，可保障生产安全和项目产能</w:t>
            </w:r>
          </w:p>
        </w:tc>
      </w:tr>
      <w:tr w14:paraId="35E6A7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2462D31B">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tcPr>
          <w:p w14:paraId="7E49751E">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6.全市产业准入执行《广西壮族自治区人民政府办公厅关于印发北钦防一体化产业协同发展限制布局清单(工业类2021年版)的通知》(桂政办函〔2021〕4号)要求，限制布局炼铁、炼钢、铝冶炼、平板玻璃制造。</w:t>
            </w:r>
          </w:p>
        </w:tc>
        <w:tc>
          <w:tcPr>
            <w:tcW w:w="1610" w:type="pct"/>
            <w:tcBorders>
              <w:tl2br w:val="nil"/>
              <w:tr2bl w:val="nil"/>
            </w:tcBorders>
          </w:tcPr>
          <w:p w14:paraId="631EF695">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符合，项目不属于炼铁、炼钢、铝冶炼、平板玻璃制造</w:t>
            </w:r>
          </w:p>
        </w:tc>
      </w:tr>
      <w:tr w14:paraId="2615D3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6CB64B2C">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tcPr>
          <w:p w14:paraId="286EC25C">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7.新建、扩建的石化、化工、焦化项目应按照《关于加强高耗能、高排放建设项目生态环境源头防控的指导意见》布设在依法合规设立并经规划环评的产业园区。</w:t>
            </w:r>
          </w:p>
        </w:tc>
        <w:tc>
          <w:tcPr>
            <w:tcW w:w="1610" w:type="pct"/>
            <w:tcBorders>
              <w:tl2br w:val="nil"/>
              <w:tr2bl w:val="nil"/>
            </w:tcBorders>
          </w:tcPr>
          <w:p w14:paraId="3C230223">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符合，项目不涉及</w:t>
            </w:r>
          </w:p>
        </w:tc>
      </w:tr>
      <w:tr w14:paraId="594AA3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2E6C4110">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tcPr>
          <w:p w14:paraId="0A08BC83">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8.禁止违法占用、损害自然岸线。海洋开发和海岸开发各类活动，大陆自然岸线保有率标准不低于35%、无居民海岛岸线长度保有率标准不低于85%。</w:t>
            </w:r>
          </w:p>
        </w:tc>
        <w:tc>
          <w:tcPr>
            <w:tcW w:w="1610" w:type="pct"/>
            <w:tcBorders>
              <w:tl2br w:val="nil"/>
              <w:tr2bl w:val="nil"/>
            </w:tcBorders>
          </w:tcPr>
          <w:p w14:paraId="0C349BD3">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项目位于钦州基地港池内，</w:t>
            </w:r>
            <w:r>
              <w:rPr>
                <w:color w:val="auto"/>
                <w:sz w:val="21"/>
                <w:szCs w:val="21"/>
                <w:highlight w:val="none"/>
              </w:rPr>
              <w:t>钦州基地已办理岸线使用相关手续。</w:t>
            </w:r>
            <w:r>
              <w:rPr>
                <w:color w:val="auto"/>
                <w:sz w:val="21"/>
                <w:szCs w:val="21"/>
                <w:highlight w:val="none"/>
                <w:lang w:bidi="ar"/>
              </w:rPr>
              <w:t>岸线使用符合《北部湾港总体规划（2035）》等相关规划</w:t>
            </w:r>
          </w:p>
        </w:tc>
      </w:tr>
      <w:tr w14:paraId="4EF542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1F7E9BE1">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tcPr>
          <w:p w14:paraId="572EBABD">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9.推进海域资源市场化配置，严控新增围填海造地，完善围填海总量管控，除国家重大战略项目外，全面停止新增围填海项目审批，全面清理非法占用海洋生态保护红线区域的围填海项目。</w:t>
            </w:r>
          </w:p>
        </w:tc>
        <w:tc>
          <w:tcPr>
            <w:tcW w:w="1610" w:type="pct"/>
            <w:tcBorders>
              <w:tl2br w:val="nil"/>
              <w:tr2bl w:val="nil"/>
            </w:tcBorders>
          </w:tcPr>
          <w:p w14:paraId="36BEC0BF">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本项目位于钦州基地港池内，已取得海域使用</w:t>
            </w:r>
            <w:r>
              <w:rPr>
                <w:rFonts w:hint="eastAsia"/>
                <w:color w:val="auto"/>
                <w:sz w:val="21"/>
                <w:szCs w:val="21"/>
                <w:highlight w:val="none"/>
                <w:lang w:bidi="ar"/>
              </w:rPr>
              <w:t>权</w:t>
            </w:r>
            <w:r>
              <w:rPr>
                <w:color w:val="auto"/>
                <w:sz w:val="21"/>
                <w:szCs w:val="21"/>
                <w:highlight w:val="none"/>
                <w:lang w:bidi="ar"/>
              </w:rPr>
              <w:t>证</w:t>
            </w:r>
            <w:r>
              <w:rPr>
                <w:rFonts w:hint="eastAsia"/>
                <w:color w:val="auto"/>
                <w:sz w:val="21"/>
                <w:szCs w:val="21"/>
                <w:highlight w:val="none"/>
                <w:lang w:bidi="ar"/>
              </w:rPr>
              <w:t>书</w:t>
            </w:r>
            <w:r>
              <w:rPr>
                <w:color w:val="auto"/>
                <w:sz w:val="21"/>
                <w:szCs w:val="21"/>
                <w:highlight w:val="none"/>
                <w:lang w:bidi="ar"/>
              </w:rPr>
              <w:t>。海域使用类型为交通运输用海中的港口用海，项目不占用海洋生态保护红线</w:t>
            </w:r>
          </w:p>
        </w:tc>
      </w:tr>
      <w:tr w14:paraId="16D428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31FD0818">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tcPr>
          <w:p w14:paraId="532C5A2F">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10.科学论证在三娘湾海洋保护区、茅尾海中部海洋保护区及周边区域的开发利用活动，严格落实保护区管理要求。</w:t>
            </w:r>
          </w:p>
        </w:tc>
        <w:tc>
          <w:tcPr>
            <w:tcW w:w="1610" w:type="pct"/>
            <w:tcBorders>
              <w:tl2br w:val="nil"/>
              <w:tr2bl w:val="nil"/>
            </w:tcBorders>
          </w:tcPr>
          <w:p w14:paraId="678C9244">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符合，项目不涉及三娘湾海洋保护区、茅尾海中部海洋保护区</w:t>
            </w:r>
          </w:p>
        </w:tc>
      </w:tr>
      <w:tr w14:paraId="6D9F4F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642A2761">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tcPr>
          <w:p w14:paraId="40359199">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11.严格按照相关法律法规及国土空间规划等要求，规范设置和监管入海排污口。禁止采挖海砂、设置直排排污口及其他破坏河口生态功能的开发活动。</w:t>
            </w:r>
          </w:p>
        </w:tc>
        <w:tc>
          <w:tcPr>
            <w:tcW w:w="1610" w:type="pct"/>
            <w:tcBorders>
              <w:tl2br w:val="nil"/>
              <w:tr2bl w:val="nil"/>
            </w:tcBorders>
          </w:tcPr>
          <w:p w14:paraId="621F80DB">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符合，项目不新增入海排污口，不涉及采挖海砂、设置直排排污口及其他破坏河口生态功能的开发活动</w:t>
            </w:r>
          </w:p>
        </w:tc>
      </w:tr>
      <w:tr w14:paraId="3BF7D9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13B75B86">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tcPr>
          <w:p w14:paraId="7C3EE371">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12.严禁圈占沙滩和红树林，禁止红树林海岸带内陆采石等破坏性活动。对红树林、海草床、滨海湿地等重要海洋生态系统实行最严格的保护措施，加强珍稀濒危物种及重要海洋生态系统的生境保护，加大滨海湿地的保护和修复力度。禁止红树林海岸带内陆采石等破坏性活动。禁止毁坏海岸防护设施、沿海防护林、沿海城镇园林和绿地。</w:t>
            </w:r>
          </w:p>
        </w:tc>
        <w:tc>
          <w:tcPr>
            <w:tcW w:w="1610" w:type="pct"/>
            <w:tcBorders>
              <w:tl2br w:val="nil"/>
              <w:tr2bl w:val="nil"/>
            </w:tcBorders>
          </w:tcPr>
          <w:p w14:paraId="13A855FF">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符合，项目不涉及</w:t>
            </w:r>
          </w:p>
        </w:tc>
      </w:tr>
      <w:tr w14:paraId="6B1B53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2E5FD061">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tcPr>
          <w:p w14:paraId="2CC9DAA7">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13.严格用途管制，坚持陆海统筹，严禁国家产业政策淘汰类、限制类项目在滨海湿地布局，实现山水林田湖草整体保护、系统修复、综合治理。</w:t>
            </w:r>
          </w:p>
        </w:tc>
        <w:tc>
          <w:tcPr>
            <w:tcW w:w="1610" w:type="pct"/>
            <w:tcBorders>
              <w:tl2br w:val="nil"/>
              <w:tr2bl w:val="nil"/>
            </w:tcBorders>
          </w:tcPr>
          <w:p w14:paraId="56D60219">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符合，项目不涉及</w:t>
            </w:r>
          </w:p>
        </w:tc>
      </w:tr>
      <w:tr w14:paraId="7A9026A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125478E4">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tcPr>
          <w:p w14:paraId="4DAE8BE2">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14.禁止在氮磷浓度严重超标的近岸海域新增或者扩大投饵、投肥海水养殖规模。</w:t>
            </w:r>
          </w:p>
        </w:tc>
        <w:tc>
          <w:tcPr>
            <w:tcW w:w="1610" w:type="pct"/>
            <w:tcBorders>
              <w:tl2br w:val="nil"/>
              <w:tr2bl w:val="nil"/>
            </w:tcBorders>
          </w:tcPr>
          <w:p w14:paraId="3C393AC3">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符合，项目不涉及</w:t>
            </w:r>
          </w:p>
        </w:tc>
      </w:tr>
      <w:tr w14:paraId="17DA22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0726B586">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tcPr>
          <w:p w14:paraId="730E90A5">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15.平陆运河沿线两岸原则上预留1公里作为生态廊道构建用地，将平陆运河沿线建设成为维护当地自然与文化特色的区域生物廊道、生境走廊、休闲绿道、风景廊道和绿色运河经济带等。</w:t>
            </w:r>
          </w:p>
        </w:tc>
        <w:tc>
          <w:tcPr>
            <w:tcW w:w="1610" w:type="pct"/>
            <w:tcBorders>
              <w:tl2br w:val="nil"/>
              <w:tr2bl w:val="nil"/>
            </w:tcBorders>
          </w:tcPr>
          <w:p w14:paraId="10D00846">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符合，项目不涉及</w:t>
            </w:r>
          </w:p>
        </w:tc>
      </w:tr>
      <w:tr w14:paraId="7AD3AB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266A3D67">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tcPr>
          <w:p w14:paraId="54C25509">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16.禁止平陆运河建设违规占用环评批复范围之外的红树林，严格落实红树林生态恢复和管护要求。</w:t>
            </w:r>
          </w:p>
        </w:tc>
        <w:tc>
          <w:tcPr>
            <w:tcW w:w="1610" w:type="pct"/>
            <w:tcBorders>
              <w:tl2br w:val="nil"/>
              <w:tr2bl w:val="nil"/>
            </w:tcBorders>
          </w:tcPr>
          <w:p w14:paraId="3E451216">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符合，项目不涉及</w:t>
            </w:r>
          </w:p>
        </w:tc>
      </w:tr>
      <w:tr w14:paraId="3EDFE8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2560D7D0">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tcPr>
          <w:p w14:paraId="0F440AD3">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17.除上述空间布局约束外，还应遵循国土空间规划管控要求。</w:t>
            </w:r>
          </w:p>
        </w:tc>
        <w:tc>
          <w:tcPr>
            <w:tcW w:w="1610" w:type="pct"/>
            <w:tcBorders>
              <w:tl2br w:val="nil"/>
              <w:tr2bl w:val="nil"/>
            </w:tcBorders>
          </w:tcPr>
          <w:p w14:paraId="40600656">
            <w:pPr>
              <w:widowControl/>
              <w:topLinePunct w:val="0"/>
              <w:spacing w:line="240" w:lineRule="auto"/>
              <w:ind w:firstLine="0" w:firstLineChars="0"/>
              <w:jc w:val="left"/>
              <w:textAlignment w:val="top"/>
              <w:rPr>
                <w:color w:val="auto"/>
                <w:sz w:val="21"/>
                <w:szCs w:val="21"/>
                <w:highlight w:val="none"/>
                <w:lang w:bidi="ar"/>
              </w:rPr>
            </w:pPr>
            <w:r>
              <w:rPr>
                <w:color w:val="auto"/>
                <w:sz w:val="21"/>
                <w:szCs w:val="21"/>
                <w:highlight w:val="none"/>
                <w:lang w:bidi="ar"/>
              </w:rPr>
              <w:t>符合，项目符合钦州市国土空间规划</w:t>
            </w:r>
            <w:r>
              <w:rPr>
                <w:rFonts w:hint="eastAsia"/>
                <w:color w:val="auto"/>
                <w:sz w:val="21"/>
                <w:szCs w:val="21"/>
                <w:highlight w:val="none"/>
                <w:lang w:bidi="ar"/>
              </w:rPr>
              <w:t>、中国（广西）自由贸易试验区钦州港片区国土空间分区规划</w:t>
            </w:r>
          </w:p>
        </w:tc>
      </w:tr>
      <w:tr w14:paraId="75F8B5F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73" w:hRule="atLeast"/>
        </w:trPr>
        <w:tc>
          <w:tcPr>
            <w:tcW w:w="293" w:type="pct"/>
            <w:vMerge w:val="restart"/>
            <w:tcBorders>
              <w:tl2br w:val="nil"/>
              <w:tr2bl w:val="nil"/>
            </w:tcBorders>
            <w:vAlign w:val="center"/>
          </w:tcPr>
          <w:p w14:paraId="2EDD1B37">
            <w:pPr>
              <w:widowControl/>
              <w:topLinePunct w:val="0"/>
              <w:spacing w:line="240" w:lineRule="auto"/>
              <w:ind w:firstLine="0" w:firstLineChars="0"/>
              <w:jc w:val="left"/>
              <w:textAlignment w:val="center"/>
              <w:rPr>
                <w:color w:val="auto"/>
                <w:sz w:val="21"/>
                <w:szCs w:val="21"/>
                <w:highlight w:val="none"/>
              </w:rPr>
            </w:pPr>
            <w:r>
              <w:rPr>
                <w:color w:val="auto"/>
                <w:sz w:val="21"/>
                <w:szCs w:val="21"/>
                <w:highlight w:val="none"/>
                <w:lang w:bidi="ar"/>
              </w:rPr>
              <w:t>污染物排放管控</w:t>
            </w:r>
          </w:p>
        </w:tc>
        <w:tc>
          <w:tcPr>
            <w:tcW w:w="3096" w:type="pct"/>
            <w:tcBorders>
              <w:tl2br w:val="nil"/>
              <w:tr2bl w:val="nil"/>
            </w:tcBorders>
            <w:vAlign w:val="center"/>
          </w:tcPr>
          <w:p w14:paraId="7369E984">
            <w:pPr>
              <w:widowControl/>
              <w:topLinePunct w:val="0"/>
              <w:spacing w:line="240" w:lineRule="auto"/>
              <w:ind w:firstLine="0" w:firstLineChars="0"/>
              <w:jc w:val="left"/>
              <w:textAlignment w:val="center"/>
              <w:rPr>
                <w:color w:val="auto"/>
                <w:sz w:val="21"/>
                <w:szCs w:val="21"/>
                <w:highlight w:val="none"/>
              </w:rPr>
            </w:pPr>
            <w:r>
              <w:rPr>
                <w:color w:val="auto"/>
                <w:sz w:val="21"/>
                <w:szCs w:val="21"/>
                <w:highlight w:val="none"/>
                <w:lang w:bidi="ar"/>
              </w:rPr>
              <w:t>1.以有色金属、建材、制糖、石化化工、造纸等行业为重点，推进节能改造和污染物深度治理；新建、改建、扩建的制浆造纸、印染、纺织、煤化工、石化、煤电等建设项目新增主要污染物排放应控制在区域总量的要求，确保环境质量达标。</w:t>
            </w:r>
          </w:p>
        </w:tc>
        <w:tc>
          <w:tcPr>
            <w:tcW w:w="1610" w:type="pct"/>
            <w:tcBorders>
              <w:tl2br w:val="nil"/>
              <w:tr2bl w:val="nil"/>
            </w:tcBorders>
            <w:vAlign w:val="center"/>
          </w:tcPr>
          <w:p w14:paraId="4130534E">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符合，项目不涉及</w:t>
            </w:r>
          </w:p>
        </w:tc>
      </w:tr>
      <w:tr w14:paraId="7888BA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6169D4BE">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vAlign w:val="center"/>
          </w:tcPr>
          <w:p w14:paraId="34135B5C">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2.持续加强工业集聚区污水集中处理设施建设，提高工业企业水循环利用率、污染物预处理能力及污染集中治理能力，补齐基础设施短板，按照“清污分流、雨污分流”原则，实施废水分类收集、分质处理，入园企业在达到国家或地方规定的排放标准后接入园区集中式污水处理设施稳定达标排放；加快推进深海排放基础设施建设。</w:t>
            </w:r>
          </w:p>
        </w:tc>
        <w:tc>
          <w:tcPr>
            <w:tcW w:w="1610" w:type="pct"/>
            <w:tcBorders>
              <w:tl2br w:val="nil"/>
              <w:tr2bl w:val="nil"/>
            </w:tcBorders>
            <w:vAlign w:val="center"/>
          </w:tcPr>
          <w:p w14:paraId="65A4A632">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符合，本项目</w:t>
            </w:r>
            <w:r>
              <w:rPr>
                <w:color w:val="auto"/>
                <w:kern w:val="2"/>
                <w:sz w:val="21"/>
                <w:szCs w:val="21"/>
                <w:highlight w:val="none"/>
              </w:rPr>
              <w:t>废水均依托现有工程已有废水处理设施，经处理后</w:t>
            </w:r>
            <w:r>
              <w:rPr>
                <w:rFonts w:hint="eastAsia"/>
                <w:color w:val="auto"/>
                <w:kern w:val="2"/>
                <w:sz w:val="21"/>
                <w:szCs w:val="21"/>
                <w:highlight w:val="none"/>
              </w:rPr>
              <w:t>回用或</w:t>
            </w:r>
            <w:r>
              <w:rPr>
                <w:color w:val="auto"/>
                <w:kern w:val="2"/>
                <w:sz w:val="21"/>
                <w:szCs w:val="21"/>
                <w:highlight w:val="none"/>
              </w:rPr>
              <w:t>采用罐车转运至</w:t>
            </w:r>
            <w:r>
              <w:rPr>
                <w:color w:val="auto"/>
                <w:sz w:val="21"/>
                <w:szCs w:val="21"/>
                <w:highlight w:val="none"/>
              </w:rPr>
              <w:t>大榄坪污水处理厂做进一步处理，</w:t>
            </w:r>
            <w:r>
              <w:rPr>
                <w:color w:val="auto"/>
                <w:kern w:val="2"/>
                <w:sz w:val="21"/>
                <w:szCs w:val="21"/>
                <w:highlight w:val="none"/>
              </w:rPr>
              <w:t>不向本项目区域海域排放</w:t>
            </w:r>
          </w:p>
        </w:tc>
      </w:tr>
      <w:tr w14:paraId="0DF81D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30746215">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vAlign w:val="center"/>
          </w:tcPr>
          <w:p w14:paraId="7BE39E43">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3.开展陆海统筹流域治理，深化钦江、大风江、茅岭江、南流江等流域水环境综合整治，钦江、南流江流域切实开展截污、拔污、清污、治污专项行动，以“控磷除氮”为重点，抓好养殖、生活、工业、农业面源等污染综合治理和河道生态修复，推进河流入海断面水质持续改善，进一步削减入海河流总氮、总磷等的排海量。全面开展茅尾海、钦州湾等重点海域综合整治。严厉打击非法用海抽砂行为，优化茅尾海等海域养殖规划布局，整治非法养殖。完善钦州港区污水截流及雨污分流、海上水产养殖尾水整治。</w:t>
            </w:r>
          </w:p>
        </w:tc>
        <w:tc>
          <w:tcPr>
            <w:tcW w:w="1610" w:type="pct"/>
            <w:tcBorders>
              <w:tl2br w:val="nil"/>
              <w:tr2bl w:val="nil"/>
            </w:tcBorders>
            <w:vAlign w:val="center"/>
          </w:tcPr>
          <w:p w14:paraId="663B59FD">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符合，项目不涉及</w:t>
            </w:r>
          </w:p>
        </w:tc>
      </w:tr>
      <w:tr w14:paraId="5F8854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0286C7AB">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vAlign w:val="center"/>
          </w:tcPr>
          <w:p w14:paraId="07A68D11">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4.完善城镇污水处理厂配套管网建设，加强乡镇级污水处理设施及配套管网建设和改造，实施雨污分流改造，持续开展入河排污口整治，强化城镇生活污染源治理，建立健全生活污水收集、处理体系，推进城镇污水处理设施和服务向农村延伸，提高污水收集处理率，污水处理设施应增加脱氮、除磷工序。持续推进市、县级城市黑臭水体整治。</w:t>
            </w:r>
          </w:p>
        </w:tc>
        <w:tc>
          <w:tcPr>
            <w:tcW w:w="1610" w:type="pct"/>
            <w:tcBorders>
              <w:tl2br w:val="nil"/>
              <w:tr2bl w:val="nil"/>
            </w:tcBorders>
            <w:vAlign w:val="center"/>
          </w:tcPr>
          <w:p w14:paraId="1B7E8385">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符合，项目不涉及</w:t>
            </w:r>
          </w:p>
        </w:tc>
      </w:tr>
      <w:tr w14:paraId="47CEB17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0C21A978">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vAlign w:val="center"/>
          </w:tcPr>
          <w:p w14:paraId="026F0769">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5.加强工业企业无组织废气排放控制，加强挥发性有机物(VOCs)排放企业综合防治，加快高效VOCs收集治理设施建设，大力提升VOCs排放收集率、去除率和治理设施运行率。推进工业涂装、石化、包装印刷、木材加工、汽修等行业和油品储运销的VOCs综合治理。</w:t>
            </w:r>
          </w:p>
        </w:tc>
        <w:tc>
          <w:tcPr>
            <w:tcW w:w="1610" w:type="pct"/>
            <w:tcBorders>
              <w:tl2br w:val="nil"/>
              <w:tr2bl w:val="nil"/>
            </w:tcBorders>
            <w:vAlign w:val="center"/>
          </w:tcPr>
          <w:p w14:paraId="787BFE10">
            <w:pPr>
              <w:pStyle w:val="181"/>
              <w:adjustRightInd w:val="0"/>
              <w:snapToGrid w:val="0"/>
              <w:spacing w:line="240" w:lineRule="auto"/>
              <w:ind w:left="-48" w:leftChars="-20" w:right="-48" w:rightChars="-20"/>
              <w:jc w:val="both"/>
              <w:rPr>
                <w:color w:val="auto"/>
                <w:sz w:val="21"/>
                <w:szCs w:val="21"/>
                <w:highlight w:val="none"/>
              </w:rPr>
            </w:pPr>
            <w:r>
              <w:rPr>
                <w:color w:val="auto"/>
                <w:sz w:val="21"/>
                <w:szCs w:val="21"/>
                <w:highlight w:val="none"/>
              </w:rPr>
              <w:t>符合，本项目运营期浮船坞上修船作业会产生喷漆废气和少量粉尘；经采取相应措施后粉尘、挥发性气体等排放符合相关标准，不会对周边环境敏感目标造成重大不利影响。</w:t>
            </w:r>
          </w:p>
        </w:tc>
      </w:tr>
      <w:tr w14:paraId="257242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5F7BD4C3">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vAlign w:val="center"/>
          </w:tcPr>
          <w:p w14:paraId="2C9E1A34">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6.完善园区集中供热设施，积极推广集中供热，有条件的工业聚集区建设集中喷涂工程中心，配备高效治污设施，替代企业独立喷涂工序。</w:t>
            </w:r>
          </w:p>
        </w:tc>
        <w:tc>
          <w:tcPr>
            <w:tcW w:w="1610" w:type="pct"/>
            <w:tcBorders>
              <w:tl2br w:val="nil"/>
              <w:tr2bl w:val="nil"/>
            </w:tcBorders>
            <w:vAlign w:val="center"/>
          </w:tcPr>
          <w:p w14:paraId="485FFCCE">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符合，项目不涉及</w:t>
            </w:r>
          </w:p>
        </w:tc>
      </w:tr>
      <w:tr w14:paraId="02E5E6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2B685688">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vAlign w:val="center"/>
          </w:tcPr>
          <w:p w14:paraId="5CCC5F18">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7.推进城镇生活垃圾处理基础设施扩能建设，强化渗滤液处理设施运营管理，防止渗滤液积存或违规倾倒垃圾渗滤液至市政管网；加强农村生活垃圾收运、处理体系建设，降低农村垃圾焚烧污染。</w:t>
            </w:r>
          </w:p>
        </w:tc>
        <w:tc>
          <w:tcPr>
            <w:tcW w:w="1610" w:type="pct"/>
            <w:tcBorders>
              <w:tl2br w:val="nil"/>
              <w:tr2bl w:val="nil"/>
            </w:tcBorders>
            <w:vAlign w:val="center"/>
          </w:tcPr>
          <w:p w14:paraId="276904B2">
            <w:pPr>
              <w:widowControl/>
              <w:topLinePunct w:val="0"/>
              <w:spacing w:line="240" w:lineRule="auto"/>
              <w:ind w:firstLine="0" w:firstLineChars="0"/>
              <w:jc w:val="left"/>
              <w:textAlignment w:val="center"/>
              <w:rPr>
                <w:rFonts w:hint="eastAsia" w:eastAsia="宋体"/>
                <w:color w:val="auto"/>
                <w:sz w:val="21"/>
                <w:szCs w:val="21"/>
                <w:highlight w:val="none"/>
                <w:lang w:eastAsia="zh-CN" w:bidi="ar"/>
              </w:rPr>
            </w:pPr>
            <w:r>
              <w:rPr>
                <w:color w:val="auto"/>
                <w:sz w:val="21"/>
                <w:szCs w:val="21"/>
                <w:highlight w:val="none"/>
                <w:lang w:bidi="ar"/>
              </w:rPr>
              <w:t>符合，项目</w:t>
            </w:r>
            <w:r>
              <w:rPr>
                <w:color w:val="auto"/>
                <w:kern w:val="2"/>
                <w:sz w:val="21"/>
                <w:szCs w:val="21"/>
                <w:highlight w:val="none"/>
              </w:rPr>
              <w:t>生活垃圾由环卫部门统一处理</w:t>
            </w:r>
            <w:r>
              <w:rPr>
                <w:rFonts w:hint="eastAsia"/>
                <w:color w:val="auto"/>
                <w:kern w:val="2"/>
                <w:sz w:val="21"/>
                <w:szCs w:val="21"/>
                <w:highlight w:val="none"/>
                <w:lang w:eastAsia="zh-CN"/>
              </w:rPr>
              <w:t>。</w:t>
            </w:r>
          </w:p>
        </w:tc>
      </w:tr>
      <w:tr w14:paraId="483191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48C87B11">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vAlign w:val="center"/>
          </w:tcPr>
          <w:p w14:paraId="4E26085B">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8.新建、改建、扩建涉及重点重金属排放建设项目依照相关规定实行总量控制。</w:t>
            </w:r>
          </w:p>
        </w:tc>
        <w:tc>
          <w:tcPr>
            <w:tcW w:w="1610" w:type="pct"/>
            <w:tcBorders>
              <w:tl2br w:val="nil"/>
              <w:tr2bl w:val="nil"/>
            </w:tcBorders>
            <w:vAlign w:val="center"/>
          </w:tcPr>
          <w:p w14:paraId="241B58FC">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符合，项目不涉及重金属排放</w:t>
            </w:r>
          </w:p>
        </w:tc>
      </w:tr>
      <w:tr w14:paraId="6BA1B7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30B2CED8">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vAlign w:val="center"/>
          </w:tcPr>
          <w:p w14:paraId="56B613DA">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9.新建“两高”项目应采用先进适用的工艺技术和装备，单位产品物耗、能耗、水耗等达到清洁生产先进水平，依法制定并严格落实防治土壤与地下水污染的措施。按照《关于加强重点行业建设项目区域削减措施监督管理的通知》要求，依据区域环境质量改善目标，制定配套区域污染物削减方案，采取有效的污染物区域削减措施，腾出足够的环境容量。</w:t>
            </w:r>
          </w:p>
        </w:tc>
        <w:tc>
          <w:tcPr>
            <w:tcW w:w="1610" w:type="pct"/>
            <w:tcBorders>
              <w:tl2br w:val="nil"/>
              <w:tr2bl w:val="nil"/>
            </w:tcBorders>
            <w:vAlign w:val="center"/>
          </w:tcPr>
          <w:p w14:paraId="222474CE">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符合，项目不属于“两高”项目</w:t>
            </w:r>
          </w:p>
        </w:tc>
      </w:tr>
      <w:tr w14:paraId="62D1FD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36156A26">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vAlign w:val="center"/>
          </w:tcPr>
          <w:p w14:paraId="6E9607A6">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10.加强海陆联动，严格控制陆源污染物排放。规范入海排污口设置，全面清理非法或设置不合理的入海排污口。加快推进钦州港三墩作业区配套深海排放管道工程。</w:t>
            </w:r>
          </w:p>
        </w:tc>
        <w:tc>
          <w:tcPr>
            <w:tcW w:w="1610" w:type="pct"/>
            <w:tcBorders>
              <w:tl2br w:val="nil"/>
              <w:tr2bl w:val="nil"/>
            </w:tcBorders>
            <w:vAlign w:val="center"/>
          </w:tcPr>
          <w:p w14:paraId="0CB04EF6">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符合，项目不新增入海排污口</w:t>
            </w:r>
          </w:p>
        </w:tc>
      </w:tr>
      <w:tr w14:paraId="3935866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2CF01758">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vAlign w:val="center"/>
          </w:tcPr>
          <w:p w14:paraId="11BC5BAB">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11.积极治理船舶污染，推进与城市公共转运及处置设施的有效衔接，全面贯彻落实《广西北部湾港船舶污染物接收、转运、处置能力评估及相应设施建设方案》，建设完善船舶污染物接收处理设施，提高含油污水、化学品洗舱水、船舶垃圾等接收处置能力及污染事故应急能力。加强钦州港码头和船舶修造厂等绿色岸电、环卫设施、污水处理设施建设使用。</w:t>
            </w:r>
          </w:p>
        </w:tc>
        <w:tc>
          <w:tcPr>
            <w:tcW w:w="1610" w:type="pct"/>
            <w:tcBorders>
              <w:tl2br w:val="nil"/>
              <w:tr2bl w:val="nil"/>
            </w:tcBorders>
            <w:vAlign w:val="center"/>
          </w:tcPr>
          <w:p w14:paraId="02157AA7">
            <w:pPr>
              <w:widowControl/>
              <w:topLinePunct w:val="0"/>
              <w:spacing w:line="240" w:lineRule="auto"/>
              <w:ind w:firstLine="0" w:firstLineChars="0"/>
              <w:jc w:val="left"/>
              <w:textAlignment w:val="center"/>
              <w:rPr>
                <w:color w:val="auto"/>
                <w:sz w:val="21"/>
                <w:szCs w:val="21"/>
                <w:highlight w:val="none"/>
              </w:rPr>
            </w:pPr>
            <w:r>
              <w:rPr>
                <w:color w:val="auto"/>
                <w:sz w:val="21"/>
                <w:szCs w:val="21"/>
                <w:highlight w:val="none"/>
                <w:lang w:bidi="ar"/>
              </w:rPr>
              <w:t>符合，</w:t>
            </w:r>
            <w:r>
              <w:rPr>
                <w:color w:val="auto"/>
                <w:sz w:val="21"/>
                <w:szCs w:val="21"/>
                <w:highlight w:val="none"/>
              </w:rPr>
              <w:t>项目职工生活污水依托现有</w:t>
            </w:r>
            <w:r>
              <w:rPr>
                <w:rFonts w:hint="eastAsia"/>
                <w:color w:val="auto"/>
                <w:sz w:val="21"/>
                <w:szCs w:val="21"/>
                <w:highlight w:val="none"/>
              </w:rPr>
              <w:t>生活污水处理一体化设备</w:t>
            </w:r>
            <w:r>
              <w:rPr>
                <w:color w:val="auto"/>
                <w:sz w:val="21"/>
                <w:szCs w:val="21"/>
                <w:highlight w:val="none"/>
              </w:rPr>
              <w:t>处理后</w:t>
            </w:r>
            <w:r>
              <w:rPr>
                <w:rFonts w:hint="eastAsia"/>
                <w:color w:val="auto"/>
                <w:sz w:val="21"/>
                <w:szCs w:val="21"/>
                <w:highlight w:val="none"/>
              </w:rPr>
              <w:t>进入配套的中水回用池储存，</w:t>
            </w:r>
            <w:r>
              <w:rPr>
                <w:color w:val="auto"/>
                <w:sz w:val="21"/>
                <w:szCs w:val="21"/>
                <w:highlight w:val="none"/>
              </w:rPr>
              <w:t>大部分回用，少部分</w:t>
            </w:r>
            <w:r>
              <w:rPr>
                <w:rFonts w:hint="eastAsia"/>
                <w:color w:val="auto"/>
                <w:sz w:val="21"/>
                <w:szCs w:val="21"/>
                <w:highlight w:val="none"/>
              </w:rPr>
              <w:t>不能回用的</w:t>
            </w:r>
            <w:r>
              <w:rPr>
                <w:color w:val="auto"/>
                <w:sz w:val="21"/>
                <w:szCs w:val="21"/>
                <w:highlight w:val="none"/>
              </w:rPr>
              <w:t>采用罐车运至大榄坪污水处理厂做进一步处理；</w:t>
            </w:r>
          </w:p>
          <w:p w14:paraId="0D0F0FBE">
            <w:pPr>
              <w:widowControl/>
              <w:topLinePunct w:val="0"/>
              <w:spacing w:line="240" w:lineRule="auto"/>
              <w:ind w:firstLine="0" w:firstLineChars="0"/>
              <w:jc w:val="left"/>
              <w:textAlignment w:val="center"/>
              <w:rPr>
                <w:color w:val="auto"/>
                <w:sz w:val="21"/>
                <w:szCs w:val="21"/>
                <w:highlight w:val="none"/>
              </w:rPr>
            </w:pPr>
            <w:r>
              <w:rPr>
                <w:color w:val="auto"/>
                <w:sz w:val="21"/>
                <w:szCs w:val="21"/>
                <w:highlight w:val="none"/>
              </w:rPr>
              <w:t>项目浮船坞修船产生的含油污水进入厂区现有污水处理站处理，</w:t>
            </w:r>
            <w:r>
              <w:rPr>
                <w:rFonts w:hint="eastAsia"/>
                <w:color w:val="auto"/>
                <w:sz w:val="21"/>
                <w:szCs w:val="21"/>
                <w:highlight w:val="none"/>
              </w:rPr>
              <w:t>通过污水管网进入中水回用池储存，大部分回用，少部分不能回用的</w:t>
            </w:r>
            <w:r>
              <w:rPr>
                <w:color w:val="auto"/>
                <w:sz w:val="21"/>
                <w:szCs w:val="21"/>
                <w:highlight w:val="none"/>
              </w:rPr>
              <w:t>定期由槽罐车运至大榄坪污水处理厂做进一步处理；</w:t>
            </w:r>
          </w:p>
          <w:p w14:paraId="15DBB2E9">
            <w:pPr>
              <w:widowControl/>
              <w:topLinePunct w:val="0"/>
              <w:spacing w:line="240" w:lineRule="auto"/>
              <w:ind w:firstLine="0" w:firstLineChars="0"/>
              <w:jc w:val="left"/>
              <w:textAlignment w:val="center"/>
              <w:rPr>
                <w:color w:val="auto"/>
                <w:sz w:val="21"/>
                <w:szCs w:val="21"/>
                <w:highlight w:val="none"/>
              </w:rPr>
            </w:pPr>
            <w:r>
              <w:rPr>
                <w:color w:val="auto"/>
                <w:sz w:val="21"/>
                <w:szCs w:val="21"/>
                <w:highlight w:val="none"/>
              </w:rPr>
              <w:t>浮船坞初期雨水</w:t>
            </w:r>
            <w:r>
              <w:rPr>
                <w:rFonts w:hint="eastAsia"/>
                <w:color w:val="auto"/>
                <w:sz w:val="21"/>
                <w:szCs w:val="21"/>
                <w:highlight w:val="none"/>
              </w:rPr>
              <w:t>经</w:t>
            </w:r>
            <w:r>
              <w:rPr>
                <w:color w:val="auto"/>
                <w:sz w:val="21"/>
                <w:szCs w:val="21"/>
                <w:highlight w:val="none"/>
              </w:rPr>
              <w:t>收集后，</w:t>
            </w:r>
            <w:r>
              <w:rPr>
                <w:rFonts w:hint="eastAsia"/>
                <w:color w:val="auto"/>
                <w:sz w:val="21"/>
                <w:szCs w:val="21"/>
                <w:highlight w:val="none"/>
              </w:rPr>
              <w:t>进</w:t>
            </w:r>
            <w:r>
              <w:rPr>
                <w:color w:val="auto"/>
                <w:sz w:val="21"/>
                <w:szCs w:val="21"/>
                <w:highlight w:val="none"/>
              </w:rPr>
              <w:t>入现有</w:t>
            </w:r>
            <w:r>
              <w:rPr>
                <w:rFonts w:hint="eastAsia"/>
                <w:color w:val="auto"/>
                <w:sz w:val="21"/>
                <w:szCs w:val="21"/>
                <w:highlight w:val="none"/>
              </w:rPr>
              <w:t>生活污水处理一体化设备</w:t>
            </w:r>
            <w:r>
              <w:rPr>
                <w:color w:val="auto"/>
                <w:sz w:val="21"/>
                <w:szCs w:val="21"/>
                <w:highlight w:val="none"/>
              </w:rPr>
              <w:t>处理后</w:t>
            </w:r>
            <w:r>
              <w:rPr>
                <w:rFonts w:hint="eastAsia"/>
                <w:color w:val="auto"/>
                <w:sz w:val="21"/>
                <w:szCs w:val="21"/>
                <w:highlight w:val="none"/>
              </w:rPr>
              <w:t>进入中水回用池储存，</w:t>
            </w:r>
            <w:r>
              <w:rPr>
                <w:color w:val="auto"/>
                <w:sz w:val="21"/>
                <w:szCs w:val="21"/>
                <w:highlight w:val="none"/>
              </w:rPr>
              <w:t>大部分回用，少部分</w:t>
            </w:r>
            <w:r>
              <w:rPr>
                <w:rFonts w:hint="eastAsia"/>
                <w:color w:val="auto"/>
                <w:sz w:val="21"/>
                <w:szCs w:val="21"/>
                <w:highlight w:val="none"/>
              </w:rPr>
              <w:t>不能回用的</w:t>
            </w:r>
            <w:r>
              <w:rPr>
                <w:color w:val="auto"/>
                <w:sz w:val="21"/>
                <w:szCs w:val="21"/>
                <w:highlight w:val="none"/>
              </w:rPr>
              <w:t>采用罐车运至大榄坪污水处理厂做进一步处理；</w:t>
            </w:r>
          </w:p>
          <w:p w14:paraId="286B58AC">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rPr>
              <w:t>因此本项目产生的废水均不在项目区域排放</w:t>
            </w:r>
          </w:p>
        </w:tc>
      </w:tr>
      <w:tr w14:paraId="64E8C7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557108CC">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vAlign w:val="center"/>
          </w:tcPr>
          <w:p w14:paraId="6C6B5C43">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12.加强港口码头环保基础设施处理和建设。完善堆场防风抑尘设施，降低扬尘污染。港区实行雨污分流和污水分质处理，防止堆场废水通过雨水沟直排入海，完善配套污水处理设施和管网建设，实现污水集中处理、回用或达标排放。</w:t>
            </w:r>
          </w:p>
        </w:tc>
        <w:tc>
          <w:tcPr>
            <w:tcW w:w="1610" w:type="pct"/>
            <w:tcBorders>
              <w:tl2br w:val="nil"/>
              <w:tr2bl w:val="nil"/>
            </w:tcBorders>
            <w:vAlign w:val="center"/>
          </w:tcPr>
          <w:p w14:paraId="6DBF7497">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符合。项目不涉及</w:t>
            </w:r>
          </w:p>
        </w:tc>
      </w:tr>
      <w:tr w14:paraId="1FAF23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513E5DCC">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vAlign w:val="center"/>
          </w:tcPr>
          <w:p w14:paraId="60A148CD">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13.污水离岸排放不得超过国家或者地方规定的排放标准。禁止向海域排放油类、酸液、碱液、剧毒废液和高、中水平放射性废水，严格控制向海域排放含有不易降解的有机物和重金属的废水，排放低水平放射性废水应当符合国家放射性污染防治标准，其他污染物的排放应当符合国家或者地方标准。含病原体的医疗污水、生活污水和工业废水必须经过处理，符合国家有关排放标准后，方能排入海域。含有机物和营养物质的工业废水、生活污水，应当严格控制向海湾、半封闭海及其他自净能力较差的海域排放。向海域排放含热废水，必须采取有效措施，保证邻近渔业水域的水温符合国家海洋环境质量标准，避免热污染对水产资源的危害。</w:t>
            </w:r>
          </w:p>
        </w:tc>
        <w:tc>
          <w:tcPr>
            <w:tcW w:w="1610" w:type="pct"/>
            <w:tcBorders>
              <w:tl2br w:val="nil"/>
              <w:tr2bl w:val="nil"/>
            </w:tcBorders>
            <w:vAlign w:val="center"/>
          </w:tcPr>
          <w:p w14:paraId="2672DDAE">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符合，项目废水依托现有污水处理设施处理</w:t>
            </w:r>
            <w:r>
              <w:rPr>
                <w:rFonts w:hint="eastAsia"/>
                <w:color w:val="auto"/>
                <w:sz w:val="21"/>
                <w:szCs w:val="21"/>
                <w:highlight w:val="none"/>
                <w:lang w:bidi="ar"/>
              </w:rPr>
              <w:t>后回用或</w:t>
            </w:r>
            <w:r>
              <w:rPr>
                <w:color w:val="auto"/>
                <w:sz w:val="21"/>
                <w:szCs w:val="21"/>
                <w:highlight w:val="none"/>
                <w:lang w:bidi="ar"/>
              </w:rPr>
              <w:t>采用罐车</w:t>
            </w:r>
            <w:r>
              <w:rPr>
                <w:color w:val="auto"/>
                <w:sz w:val="21"/>
                <w:szCs w:val="21"/>
                <w:highlight w:val="none"/>
              </w:rPr>
              <w:t>运至大榄坪污水处理厂做进一步处理；项目产生的废水均不在项目区域排放</w:t>
            </w:r>
          </w:p>
        </w:tc>
      </w:tr>
      <w:tr w14:paraId="25508C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1CF92215">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vAlign w:val="center"/>
          </w:tcPr>
          <w:p w14:paraId="1C9D3EDF">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14.按照养殖容量控制养殖规模和养殖密度，发展健康、生态养殖方式，推动海水养殖环保设施建设，规范海水养殖尾水排放，加强对蓝圆 和二长棘鲷产卵场的保护。旅游休闲娱乐区的污水和垃圾应科学处置、达标排放，禁止直接排入海域。</w:t>
            </w:r>
          </w:p>
        </w:tc>
        <w:tc>
          <w:tcPr>
            <w:tcW w:w="1610" w:type="pct"/>
            <w:tcBorders>
              <w:tl2br w:val="nil"/>
              <w:tr2bl w:val="nil"/>
            </w:tcBorders>
            <w:vAlign w:val="center"/>
          </w:tcPr>
          <w:p w14:paraId="5781B02D">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符合，项目不涉及</w:t>
            </w:r>
          </w:p>
        </w:tc>
      </w:tr>
      <w:tr w14:paraId="3D73CE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1E3A82F7">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vAlign w:val="center"/>
          </w:tcPr>
          <w:p w14:paraId="45BEF9AC">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15.推动造纸行业节能改造，加大有机废液、有机废物、生物质气体的回收利用，固体废物近零排放。</w:t>
            </w:r>
          </w:p>
        </w:tc>
        <w:tc>
          <w:tcPr>
            <w:tcW w:w="1610" w:type="pct"/>
            <w:tcBorders>
              <w:tl2br w:val="nil"/>
              <w:tr2bl w:val="nil"/>
            </w:tcBorders>
            <w:vAlign w:val="center"/>
          </w:tcPr>
          <w:p w14:paraId="4A7D2150">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符合，项目不涉及</w:t>
            </w:r>
          </w:p>
        </w:tc>
      </w:tr>
      <w:tr w14:paraId="002577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restart"/>
            <w:tcBorders>
              <w:tl2br w:val="nil"/>
              <w:tr2bl w:val="nil"/>
            </w:tcBorders>
            <w:vAlign w:val="center"/>
          </w:tcPr>
          <w:p w14:paraId="1EB7C08D">
            <w:pPr>
              <w:widowControl/>
              <w:topLinePunct w:val="0"/>
              <w:spacing w:line="240" w:lineRule="auto"/>
              <w:ind w:firstLine="0" w:firstLineChars="0"/>
              <w:jc w:val="left"/>
              <w:textAlignment w:val="center"/>
              <w:rPr>
                <w:color w:val="auto"/>
                <w:sz w:val="21"/>
                <w:szCs w:val="21"/>
                <w:highlight w:val="none"/>
              </w:rPr>
            </w:pPr>
            <w:r>
              <w:rPr>
                <w:color w:val="auto"/>
                <w:sz w:val="21"/>
                <w:szCs w:val="21"/>
                <w:highlight w:val="none"/>
                <w:lang w:bidi="ar"/>
              </w:rPr>
              <w:t>环境风险防控</w:t>
            </w:r>
          </w:p>
        </w:tc>
        <w:tc>
          <w:tcPr>
            <w:tcW w:w="3096" w:type="pct"/>
            <w:tcBorders>
              <w:tl2br w:val="nil"/>
              <w:tr2bl w:val="nil"/>
            </w:tcBorders>
            <w:vAlign w:val="center"/>
          </w:tcPr>
          <w:p w14:paraId="0A629EAB">
            <w:pPr>
              <w:widowControl/>
              <w:topLinePunct w:val="0"/>
              <w:spacing w:line="240" w:lineRule="auto"/>
              <w:ind w:firstLine="0" w:firstLineChars="0"/>
              <w:jc w:val="left"/>
              <w:textAlignment w:val="center"/>
              <w:rPr>
                <w:color w:val="auto"/>
                <w:sz w:val="21"/>
                <w:szCs w:val="21"/>
                <w:highlight w:val="none"/>
              </w:rPr>
            </w:pPr>
            <w:r>
              <w:rPr>
                <w:color w:val="auto"/>
                <w:sz w:val="21"/>
                <w:szCs w:val="21"/>
                <w:highlight w:val="none"/>
                <w:lang w:bidi="ar"/>
              </w:rPr>
              <w:t>1.强化环境风险源精准化管理，健全企业突发环境事件风险评估制度，动态更新重点环境风险源管理目录清单，建立信息齐全、数据准确的风险源及敏感保护目标的数据库，准确掌握重点环境风险源分布情况，重点加强较大及以上风险等级风险源的环境风险防范和应急预警管理。</w:t>
            </w:r>
          </w:p>
        </w:tc>
        <w:tc>
          <w:tcPr>
            <w:tcW w:w="1610" w:type="pct"/>
            <w:tcBorders>
              <w:tl2br w:val="nil"/>
              <w:tr2bl w:val="nil"/>
            </w:tcBorders>
            <w:vAlign w:val="center"/>
          </w:tcPr>
          <w:p w14:paraId="046DB781">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符合，项目不涉及</w:t>
            </w:r>
          </w:p>
        </w:tc>
      </w:tr>
      <w:tr w14:paraId="2133B9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3874A611">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vAlign w:val="center"/>
          </w:tcPr>
          <w:p w14:paraId="6E139DE9">
            <w:pPr>
              <w:widowControl/>
              <w:topLinePunct w:val="0"/>
              <w:spacing w:line="240" w:lineRule="auto"/>
              <w:ind w:firstLine="0" w:firstLineChars="0"/>
              <w:jc w:val="left"/>
              <w:textAlignment w:val="center"/>
              <w:rPr>
                <w:color w:val="auto"/>
                <w:sz w:val="21"/>
                <w:szCs w:val="21"/>
                <w:highlight w:val="none"/>
              </w:rPr>
            </w:pPr>
            <w:r>
              <w:rPr>
                <w:color w:val="auto"/>
                <w:sz w:val="21"/>
                <w:szCs w:val="21"/>
                <w:highlight w:val="none"/>
                <w:lang w:bidi="ar"/>
              </w:rPr>
              <w:t>2.选择涉重涉危企业、化工园区、集中式饮用水水源地等重要区域开展突发环境事件风险、环境健康风险评估，实施分类分级风险管控。</w:t>
            </w:r>
          </w:p>
        </w:tc>
        <w:tc>
          <w:tcPr>
            <w:tcW w:w="1610" w:type="pct"/>
            <w:tcBorders>
              <w:tl2br w:val="nil"/>
              <w:tr2bl w:val="nil"/>
            </w:tcBorders>
            <w:vAlign w:val="center"/>
          </w:tcPr>
          <w:p w14:paraId="019DE3AB">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符合，项目不涉及</w:t>
            </w:r>
          </w:p>
        </w:tc>
      </w:tr>
      <w:tr w14:paraId="41BA62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5860BEBD">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vAlign w:val="center"/>
          </w:tcPr>
          <w:p w14:paraId="12825070">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3.强化饮用水水源地环境风险排查，加强环境风险源管理，建立健全饮用水水源地应急预案。推进县级及以上饮用水水源地自动监测预警能力建设，实施水源地应急防护工程。加强大气污染防治协作和部门联动，建立健全大气污染联防联控机制。建立健全用地土壤环境联动监督管理机制，实行联动监管。</w:t>
            </w:r>
          </w:p>
        </w:tc>
        <w:tc>
          <w:tcPr>
            <w:tcW w:w="1610" w:type="pct"/>
            <w:tcBorders>
              <w:tl2br w:val="nil"/>
              <w:tr2bl w:val="nil"/>
            </w:tcBorders>
            <w:vAlign w:val="center"/>
          </w:tcPr>
          <w:p w14:paraId="2C54868C">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符合，项目不涉及</w:t>
            </w:r>
          </w:p>
        </w:tc>
      </w:tr>
      <w:tr w14:paraId="3726F5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2666960D">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vAlign w:val="center"/>
          </w:tcPr>
          <w:p w14:paraId="48974936">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4.严格建设项目环境准入，永久基本农田集中区域禁止规划新建可能造成土壤污染的建设项目；新(改、扩)建涉有毒有害物质可能造成土壤污染的建设项目，提出并落实污染防治要求。</w:t>
            </w:r>
          </w:p>
        </w:tc>
        <w:tc>
          <w:tcPr>
            <w:tcW w:w="1610" w:type="pct"/>
            <w:tcBorders>
              <w:tl2br w:val="nil"/>
              <w:tr2bl w:val="nil"/>
            </w:tcBorders>
            <w:vAlign w:val="center"/>
          </w:tcPr>
          <w:p w14:paraId="6EE08A4F">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符合，项目不涉及</w:t>
            </w:r>
          </w:p>
        </w:tc>
      </w:tr>
      <w:tr w14:paraId="07DADD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6CB48CD6">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vAlign w:val="center"/>
          </w:tcPr>
          <w:p w14:paraId="658BD97D">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5.强化全域矿产资源开发监管，建立矿石生态环境动态监测网络，禁止矿山废水、废气、废渣的无序排放。</w:t>
            </w:r>
          </w:p>
        </w:tc>
        <w:tc>
          <w:tcPr>
            <w:tcW w:w="1610" w:type="pct"/>
            <w:tcBorders>
              <w:tl2br w:val="nil"/>
              <w:tr2bl w:val="nil"/>
            </w:tcBorders>
            <w:vAlign w:val="center"/>
          </w:tcPr>
          <w:p w14:paraId="4123720B">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符合，项目不涉及</w:t>
            </w:r>
          </w:p>
        </w:tc>
      </w:tr>
      <w:tr w14:paraId="0E37808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726F3DC0">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vAlign w:val="center"/>
          </w:tcPr>
          <w:p w14:paraId="30A0E3F0">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6.严格管控涉海重大工程环境风险，全面排查陆域环境风险源、海上溢油、危险化学品泄漏等环境风险隐患，健全完善海上溢油及危化品泄漏污染环境应急响应机制，完善分类分级的海上应急监测及处置预案，在石化基地、危化品储存区等邻近海域部署快速监测能力和应急处置物资设备。建立健全海洋生态补偿和生态损害赔偿制度。</w:t>
            </w:r>
          </w:p>
        </w:tc>
        <w:tc>
          <w:tcPr>
            <w:tcW w:w="1610" w:type="pct"/>
            <w:tcBorders>
              <w:tl2br w:val="nil"/>
              <w:tr2bl w:val="nil"/>
            </w:tcBorders>
            <w:vAlign w:val="center"/>
          </w:tcPr>
          <w:p w14:paraId="27554B53">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符合，项目建立海上溢油污染环境应急响应机制，设置应急监测及处置预案，配备海上溢油风险应急物资。</w:t>
            </w:r>
          </w:p>
        </w:tc>
      </w:tr>
      <w:tr w14:paraId="158A5E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024A7890">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vAlign w:val="center"/>
          </w:tcPr>
          <w:p w14:paraId="7DFFE4A8">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7.强化沿海工业园区和沿海石油、石化、化工、冶炼及危化品储运等企业的环境风险防控，加强企业和园区环境应急物资储备。</w:t>
            </w:r>
          </w:p>
        </w:tc>
        <w:tc>
          <w:tcPr>
            <w:tcW w:w="1610" w:type="pct"/>
            <w:tcBorders>
              <w:tl2br w:val="nil"/>
              <w:tr2bl w:val="nil"/>
            </w:tcBorders>
            <w:vAlign w:val="center"/>
          </w:tcPr>
          <w:p w14:paraId="5CF3F1A6">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符合，项目配备海上溢油风险应急物资。</w:t>
            </w:r>
          </w:p>
        </w:tc>
      </w:tr>
      <w:tr w14:paraId="4EBFF3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78534005">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vAlign w:val="center"/>
          </w:tcPr>
          <w:p w14:paraId="2CCBF408">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8.加强海洋生态灾害应急体系建设，强化海水浴场、电厂取排水口等海洋生态灾害高风险区域的联防联控。</w:t>
            </w:r>
          </w:p>
        </w:tc>
        <w:tc>
          <w:tcPr>
            <w:tcW w:w="1610" w:type="pct"/>
            <w:tcBorders>
              <w:tl2br w:val="nil"/>
              <w:tr2bl w:val="nil"/>
            </w:tcBorders>
            <w:vAlign w:val="center"/>
          </w:tcPr>
          <w:p w14:paraId="275DA642">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符合，项目不涉及</w:t>
            </w:r>
          </w:p>
        </w:tc>
      </w:tr>
      <w:tr w14:paraId="25CA42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tcPr>
          <w:p w14:paraId="34E06D26">
            <w:pPr>
              <w:widowControl/>
              <w:topLinePunct w:val="0"/>
              <w:spacing w:line="240" w:lineRule="auto"/>
              <w:ind w:firstLine="0" w:firstLineChars="0"/>
              <w:jc w:val="left"/>
              <w:rPr>
                <w:color w:val="auto"/>
                <w:sz w:val="21"/>
                <w:szCs w:val="21"/>
                <w:highlight w:val="none"/>
              </w:rPr>
            </w:pPr>
          </w:p>
        </w:tc>
        <w:tc>
          <w:tcPr>
            <w:tcW w:w="3096" w:type="pct"/>
            <w:tcBorders>
              <w:tl2br w:val="nil"/>
              <w:tr2bl w:val="nil"/>
            </w:tcBorders>
            <w:vAlign w:val="center"/>
          </w:tcPr>
          <w:p w14:paraId="20C80AF2">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9.加强倾倒区使用状况监督管理工作，做好废弃物向海洋倾倒活动的风险管控。</w:t>
            </w:r>
          </w:p>
        </w:tc>
        <w:tc>
          <w:tcPr>
            <w:tcW w:w="1610" w:type="pct"/>
            <w:tcBorders>
              <w:tl2br w:val="nil"/>
              <w:tr2bl w:val="nil"/>
            </w:tcBorders>
            <w:vAlign w:val="center"/>
          </w:tcPr>
          <w:p w14:paraId="3558ABF9">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符合，项目</w:t>
            </w:r>
            <w:r>
              <w:rPr>
                <w:color w:val="auto"/>
                <w:kern w:val="2"/>
                <w:sz w:val="21"/>
                <w:szCs w:val="21"/>
                <w:highlight w:val="none"/>
              </w:rPr>
              <w:t>固体废物均能得到妥善处理，不向海洋排放</w:t>
            </w:r>
          </w:p>
        </w:tc>
      </w:tr>
      <w:tr w14:paraId="1A1037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restart"/>
            <w:tcBorders>
              <w:tl2br w:val="nil"/>
              <w:tr2bl w:val="nil"/>
            </w:tcBorders>
            <w:vAlign w:val="center"/>
          </w:tcPr>
          <w:p w14:paraId="5B766546">
            <w:pPr>
              <w:widowControl/>
              <w:topLinePunct w:val="0"/>
              <w:spacing w:line="240" w:lineRule="auto"/>
              <w:ind w:firstLine="0" w:firstLineChars="0"/>
              <w:jc w:val="center"/>
              <w:textAlignment w:val="center"/>
              <w:rPr>
                <w:color w:val="auto"/>
                <w:sz w:val="21"/>
                <w:szCs w:val="21"/>
                <w:highlight w:val="none"/>
              </w:rPr>
            </w:pPr>
            <w:r>
              <w:rPr>
                <w:color w:val="auto"/>
                <w:sz w:val="21"/>
                <w:szCs w:val="21"/>
                <w:highlight w:val="none"/>
                <w:lang w:bidi="ar"/>
              </w:rPr>
              <w:t>资源开发利用效率要求</w:t>
            </w:r>
          </w:p>
        </w:tc>
        <w:tc>
          <w:tcPr>
            <w:tcW w:w="3096" w:type="pct"/>
            <w:tcBorders>
              <w:tl2br w:val="nil"/>
              <w:tr2bl w:val="nil"/>
            </w:tcBorders>
            <w:vAlign w:val="center"/>
          </w:tcPr>
          <w:p w14:paraId="68180CD6">
            <w:pPr>
              <w:widowControl/>
              <w:topLinePunct w:val="0"/>
              <w:spacing w:line="240" w:lineRule="auto"/>
              <w:ind w:firstLine="0" w:firstLineChars="0"/>
              <w:jc w:val="left"/>
              <w:textAlignment w:val="center"/>
              <w:rPr>
                <w:color w:val="auto"/>
                <w:sz w:val="21"/>
                <w:szCs w:val="21"/>
                <w:highlight w:val="none"/>
              </w:rPr>
            </w:pPr>
            <w:r>
              <w:rPr>
                <w:color w:val="auto"/>
                <w:sz w:val="21"/>
                <w:szCs w:val="21"/>
                <w:highlight w:val="none"/>
                <w:lang w:bidi="ar"/>
              </w:rPr>
              <w:t>1.能源：强化和完善能耗双控制度，严格落实《石化化工重点行业严格能效约束推动节能降碳行动方案(2021-2025年)》等有关要求。推进绿色清洁能源生产，推进重点行业和重要领域绿色化改造，打造绿色园区和绿色企业，促进工业园区、产业集聚区低碳循环化发展。推动能源多元清洁发展，培育发展清洁能源和可再生能源产业，锂电池制造及风电、光伏发电、生物质发电等清洁能源产业发展要符合相应能源规划和国土空间规划的要求；推动能源清洁低碳安全高效利用，合理控制煤炭消费。落实国家碳排放达峰行动方案，降低碳排放强度。海洋石油勘探开发严格执行《中华人民共和国海洋石油勘探开发环境保护管理条例》要求。</w:t>
            </w:r>
          </w:p>
        </w:tc>
        <w:tc>
          <w:tcPr>
            <w:tcW w:w="1610" w:type="pct"/>
            <w:tcBorders>
              <w:tl2br w:val="nil"/>
              <w:tr2bl w:val="nil"/>
            </w:tcBorders>
            <w:vAlign w:val="center"/>
          </w:tcPr>
          <w:p w14:paraId="7DB168D9">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符合，项目不涉及</w:t>
            </w:r>
          </w:p>
        </w:tc>
      </w:tr>
      <w:tr w14:paraId="7F4D10A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9" w:hRule="atLeast"/>
        </w:trPr>
        <w:tc>
          <w:tcPr>
            <w:tcW w:w="293" w:type="pct"/>
            <w:vMerge w:val="continue"/>
            <w:tcBorders>
              <w:tl2br w:val="nil"/>
              <w:tr2bl w:val="nil"/>
            </w:tcBorders>
            <w:vAlign w:val="center"/>
          </w:tcPr>
          <w:p w14:paraId="7B296977">
            <w:pPr>
              <w:widowControl/>
              <w:topLinePunct w:val="0"/>
              <w:spacing w:line="240" w:lineRule="auto"/>
              <w:ind w:firstLine="0" w:firstLineChars="0"/>
              <w:jc w:val="center"/>
              <w:textAlignment w:val="center"/>
              <w:rPr>
                <w:color w:val="auto"/>
                <w:sz w:val="21"/>
                <w:szCs w:val="21"/>
                <w:highlight w:val="none"/>
                <w:lang w:bidi="ar"/>
              </w:rPr>
            </w:pPr>
          </w:p>
        </w:tc>
        <w:tc>
          <w:tcPr>
            <w:tcW w:w="3096" w:type="pct"/>
            <w:tcBorders>
              <w:tl2br w:val="nil"/>
              <w:tr2bl w:val="nil"/>
            </w:tcBorders>
            <w:vAlign w:val="center"/>
          </w:tcPr>
          <w:p w14:paraId="7EBFE347">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2.土地资源：严格执行自治区下达的土地资源利用总量及效率管控指标要求。突出节约集约用海原则，合理控制规模，优化空间布局，提高海域空间资源的整体使用效能。</w:t>
            </w:r>
          </w:p>
        </w:tc>
        <w:tc>
          <w:tcPr>
            <w:tcW w:w="1610" w:type="pct"/>
            <w:tcBorders>
              <w:tl2br w:val="nil"/>
              <w:tr2bl w:val="nil"/>
            </w:tcBorders>
            <w:vAlign w:val="center"/>
          </w:tcPr>
          <w:p w14:paraId="227F0E1C">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rPr>
              <w:t>符合。</w:t>
            </w:r>
            <w:r>
              <w:rPr>
                <w:color w:val="auto"/>
                <w:sz w:val="21"/>
                <w:szCs w:val="21"/>
                <w:highlight w:val="none"/>
                <w:lang w:bidi="ar"/>
              </w:rPr>
              <w:t>本项目位于钦州基地港池内，已取得海域使用许可证</w:t>
            </w:r>
            <w:r>
              <w:rPr>
                <w:color w:val="auto"/>
                <w:sz w:val="21"/>
                <w:szCs w:val="21"/>
                <w:highlight w:val="none"/>
              </w:rPr>
              <w:t>。</w:t>
            </w:r>
          </w:p>
        </w:tc>
      </w:tr>
      <w:tr w14:paraId="7BA5EE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vAlign w:val="center"/>
          </w:tcPr>
          <w:p w14:paraId="4A83BCC4">
            <w:pPr>
              <w:widowControl/>
              <w:topLinePunct w:val="0"/>
              <w:spacing w:line="240" w:lineRule="auto"/>
              <w:ind w:firstLine="0" w:firstLineChars="0"/>
              <w:jc w:val="center"/>
              <w:textAlignment w:val="center"/>
              <w:rPr>
                <w:color w:val="auto"/>
                <w:sz w:val="21"/>
                <w:szCs w:val="21"/>
                <w:highlight w:val="none"/>
                <w:lang w:bidi="ar"/>
              </w:rPr>
            </w:pPr>
          </w:p>
        </w:tc>
        <w:tc>
          <w:tcPr>
            <w:tcW w:w="3096" w:type="pct"/>
            <w:tcBorders>
              <w:tl2br w:val="nil"/>
              <w:tr2bl w:val="nil"/>
            </w:tcBorders>
            <w:vAlign w:val="center"/>
          </w:tcPr>
          <w:p w14:paraId="3AED81BF">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3.水资源：实行水资源消耗总量和强度“双控”。严格用水总量指标管理，健全市、县(区、市)行政区域的用水总量控制指标体系，统筹生活、生产、生态用水，大力推进农业、工业、城镇等领域节水。严格按照地下水开发利用控制目标控制地下水资源开采。</w:t>
            </w:r>
          </w:p>
        </w:tc>
        <w:tc>
          <w:tcPr>
            <w:tcW w:w="1610" w:type="pct"/>
            <w:tcBorders>
              <w:tl2br w:val="nil"/>
              <w:tr2bl w:val="nil"/>
            </w:tcBorders>
            <w:vAlign w:val="center"/>
          </w:tcPr>
          <w:p w14:paraId="44974E5C">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w:t>
            </w:r>
            <w:r>
              <w:rPr>
                <w:color w:val="auto"/>
                <w:sz w:val="21"/>
                <w:szCs w:val="21"/>
                <w:highlight w:val="none"/>
              </w:rPr>
              <w:t>。本项目运行过程中的用水主要为职工生活用水，用水量少，不会突破区域水资源利用上线。</w:t>
            </w:r>
          </w:p>
        </w:tc>
      </w:tr>
      <w:tr w14:paraId="2443EF8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vAlign w:val="center"/>
          </w:tcPr>
          <w:p w14:paraId="27B4A3E5">
            <w:pPr>
              <w:widowControl/>
              <w:topLinePunct w:val="0"/>
              <w:spacing w:line="240" w:lineRule="auto"/>
              <w:ind w:firstLine="0" w:firstLineChars="0"/>
              <w:jc w:val="center"/>
              <w:textAlignment w:val="center"/>
              <w:rPr>
                <w:color w:val="auto"/>
                <w:sz w:val="21"/>
                <w:szCs w:val="21"/>
                <w:highlight w:val="none"/>
                <w:lang w:bidi="ar"/>
              </w:rPr>
            </w:pPr>
          </w:p>
        </w:tc>
        <w:tc>
          <w:tcPr>
            <w:tcW w:w="3096" w:type="pct"/>
            <w:tcBorders>
              <w:tl2br w:val="nil"/>
              <w:tr2bl w:val="nil"/>
            </w:tcBorders>
            <w:vAlign w:val="center"/>
          </w:tcPr>
          <w:p w14:paraId="58005571">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4.矿产资源：严格执行自治区、市、县矿产资源总体规划中关于矿产资源开发管控和矿产资源高效利用的目标要求。着力提高资源开发利用效率和水平，加快发展绿色矿业；严格控制海岸线的开发建设、海砂开采活动，规范海砂资源开发秩序，加强海岸沙滩保护和矿产开发监管。</w:t>
            </w:r>
          </w:p>
        </w:tc>
        <w:tc>
          <w:tcPr>
            <w:tcW w:w="1610" w:type="pct"/>
            <w:tcBorders>
              <w:tl2br w:val="nil"/>
              <w:tr2bl w:val="nil"/>
            </w:tcBorders>
            <w:vAlign w:val="center"/>
          </w:tcPr>
          <w:p w14:paraId="1FDAB44F">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rPr>
              <w:t>符合。本项目不属于矿产资源开发利用行业。</w:t>
            </w:r>
          </w:p>
        </w:tc>
      </w:tr>
      <w:tr w14:paraId="1C0D01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vAlign w:val="center"/>
          </w:tcPr>
          <w:p w14:paraId="5D48C3B1">
            <w:pPr>
              <w:widowControl/>
              <w:topLinePunct w:val="0"/>
              <w:spacing w:line="240" w:lineRule="auto"/>
              <w:ind w:firstLine="0" w:firstLineChars="0"/>
              <w:jc w:val="center"/>
              <w:textAlignment w:val="center"/>
              <w:rPr>
                <w:color w:val="auto"/>
                <w:sz w:val="21"/>
                <w:szCs w:val="21"/>
                <w:highlight w:val="none"/>
                <w:lang w:bidi="ar"/>
              </w:rPr>
            </w:pPr>
          </w:p>
        </w:tc>
        <w:tc>
          <w:tcPr>
            <w:tcW w:w="3096" w:type="pct"/>
            <w:tcBorders>
              <w:tl2br w:val="nil"/>
              <w:tr2bl w:val="nil"/>
            </w:tcBorders>
            <w:vAlign w:val="center"/>
          </w:tcPr>
          <w:p w14:paraId="4B88393D">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5.岸线资源：涉及岸线开发的工业区和港区，应严格按照相关规划实施，控制占用岸线长度，提高岸线利用效率，加强污染防治。建设海岸生态隔离带；有效保护自然岸线和典型海洋生态系统，提高海洋生态服务功能，增强海洋碳汇功能。合理控制滨海旅游开发强度，科学有序发展海洋生态旅游。规范海岛资源开发，科学规划海岛岸线开发，保护海岛自然岸线。</w:t>
            </w:r>
          </w:p>
        </w:tc>
        <w:tc>
          <w:tcPr>
            <w:tcW w:w="1610" w:type="pct"/>
            <w:tcBorders>
              <w:tl2br w:val="nil"/>
              <w:tr2bl w:val="nil"/>
            </w:tcBorders>
            <w:vAlign w:val="center"/>
          </w:tcPr>
          <w:p w14:paraId="4408AE21">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项目位于钦州基地港池内，</w:t>
            </w:r>
            <w:r>
              <w:rPr>
                <w:color w:val="auto"/>
                <w:sz w:val="21"/>
                <w:szCs w:val="21"/>
                <w:highlight w:val="none"/>
              </w:rPr>
              <w:t>钦州基地已办理岸线使用相关手续。</w:t>
            </w:r>
            <w:r>
              <w:rPr>
                <w:color w:val="auto"/>
                <w:sz w:val="21"/>
                <w:szCs w:val="21"/>
                <w:highlight w:val="none"/>
                <w:lang w:bidi="ar"/>
              </w:rPr>
              <w:t>岸线使用符合《北部湾港总体规划（2035）》等相关规划</w:t>
            </w:r>
          </w:p>
        </w:tc>
      </w:tr>
      <w:tr w14:paraId="04E6AF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93" w:type="pct"/>
            <w:vMerge w:val="continue"/>
            <w:tcBorders>
              <w:tl2br w:val="nil"/>
              <w:tr2bl w:val="nil"/>
            </w:tcBorders>
            <w:vAlign w:val="center"/>
          </w:tcPr>
          <w:p w14:paraId="39EF34FB">
            <w:pPr>
              <w:widowControl/>
              <w:topLinePunct w:val="0"/>
              <w:spacing w:line="240" w:lineRule="auto"/>
              <w:ind w:firstLine="0" w:firstLineChars="0"/>
              <w:jc w:val="center"/>
              <w:textAlignment w:val="center"/>
              <w:rPr>
                <w:color w:val="auto"/>
                <w:sz w:val="21"/>
                <w:szCs w:val="21"/>
                <w:highlight w:val="none"/>
                <w:lang w:bidi="ar"/>
              </w:rPr>
            </w:pPr>
          </w:p>
        </w:tc>
        <w:tc>
          <w:tcPr>
            <w:tcW w:w="3096" w:type="pct"/>
            <w:tcBorders>
              <w:tl2br w:val="nil"/>
              <w:tr2bl w:val="nil"/>
            </w:tcBorders>
            <w:vAlign w:val="center"/>
          </w:tcPr>
          <w:p w14:paraId="28D05D6C">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6.高污染燃料禁燃区：禁止新建、扩建燃用高污染燃料的项目和设施，已经建成的应逐步或依法限期改用天然气、电或其他清洁能源。</w:t>
            </w:r>
          </w:p>
        </w:tc>
        <w:tc>
          <w:tcPr>
            <w:tcW w:w="1610" w:type="pct"/>
            <w:tcBorders>
              <w:tl2br w:val="nil"/>
              <w:tr2bl w:val="nil"/>
            </w:tcBorders>
            <w:vAlign w:val="center"/>
          </w:tcPr>
          <w:p w14:paraId="5C9CC2B6">
            <w:pPr>
              <w:widowControl/>
              <w:topLinePunct w:val="0"/>
              <w:spacing w:line="240" w:lineRule="auto"/>
              <w:ind w:firstLine="0" w:firstLineChars="0"/>
              <w:jc w:val="left"/>
              <w:textAlignment w:val="center"/>
              <w:rPr>
                <w:color w:val="auto"/>
                <w:sz w:val="21"/>
                <w:szCs w:val="21"/>
                <w:highlight w:val="none"/>
                <w:lang w:bidi="ar"/>
              </w:rPr>
            </w:pPr>
            <w:r>
              <w:rPr>
                <w:color w:val="auto"/>
                <w:sz w:val="21"/>
                <w:szCs w:val="21"/>
                <w:highlight w:val="none"/>
                <w:lang w:bidi="ar"/>
              </w:rPr>
              <w:t>符合，项目不涉及</w:t>
            </w:r>
          </w:p>
        </w:tc>
      </w:tr>
    </w:tbl>
    <w:p w14:paraId="20D7B935">
      <w:pPr>
        <w:pStyle w:val="33"/>
        <w:ind w:left="0" w:leftChars="0"/>
        <w:rPr>
          <w:color w:val="auto"/>
          <w:highlight w:val="none"/>
        </w:rPr>
        <w:sectPr>
          <w:headerReference r:id="rId16" w:type="default"/>
          <w:pgSz w:w="16838" w:h="11906" w:orient="landscape"/>
          <w:pgMar w:top="1440" w:right="1440" w:bottom="1440" w:left="1440" w:header="851" w:footer="992" w:gutter="0"/>
          <w:cols w:space="0" w:num="1"/>
          <w:docGrid w:linePitch="498" w:charSpace="0"/>
        </w:sectPr>
      </w:pPr>
    </w:p>
    <w:p w14:paraId="0EE8F468">
      <w:pPr>
        <w:pStyle w:val="8"/>
        <w:rPr>
          <w:color w:val="auto"/>
          <w:highlight w:val="none"/>
          <w:lang w:val="zh-CN"/>
        </w:rPr>
      </w:pPr>
      <w:r>
        <w:rPr>
          <w:color w:val="auto"/>
          <w:highlight w:val="none"/>
        </w:rPr>
        <w:t>（3）</w:t>
      </w:r>
      <w:r>
        <w:rPr>
          <w:color w:val="auto"/>
          <w:highlight w:val="none"/>
          <w:lang w:val="zh-CN"/>
        </w:rPr>
        <w:t>项目与涉及的生态环境管控单元要求的相符性</w:t>
      </w:r>
    </w:p>
    <w:p w14:paraId="19F4FE91">
      <w:pPr>
        <w:topLinePunct w:val="0"/>
        <w:ind w:firstLine="480"/>
        <w:jc w:val="left"/>
        <w:rPr>
          <w:color w:val="auto"/>
          <w:highlight w:val="none"/>
        </w:rPr>
      </w:pPr>
      <w:r>
        <w:rPr>
          <w:color w:val="auto"/>
          <w:highlight w:val="none"/>
        </w:rPr>
        <w:t>经与广西“生态云”平台中成果数据进行空间冲突分析（详见附件8），项目仅涉及</w:t>
      </w:r>
      <w:r>
        <w:rPr>
          <w:color w:val="auto"/>
          <w:highlight w:val="none"/>
          <w:lang w:bidi="ar"/>
        </w:rPr>
        <w:t>三墩污水深海排放区（三墩特殊用海区重点</w:t>
      </w:r>
      <w:r>
        <w:rPr>
          <w:color w:val="auto"/>
          <w:highlight w:val="none"/>
        </w:rPr>
        <w:t>管控单元</w:t>
      </w:r>
      <w:r>
        <w:rPr>
          <w:rFonts w:hint="eastAsia"/>
          <w:color w:val="auto"/>
          <w:highlight w:val="none"/>
        </w:rPr>
        <w:t>）</w:t>
      </w:r>
      <w:r>
        <w:rPr>
          <w:color w:val="auto"/>
          <w:highlight w:val="none"/>
        </w:rPr>
        <w:t>。</w:t>
      </w:r>
    </w:p>
    <w:p w14:paraId="66D6D0C6">
      <w:pPr>
        <w:topLinePunct w:val="0"/>
        <w:adjustRightInd/>
        <w:snapToGrid/>
        <w:spacing w:line="240" w:lineRule="auto"/>
        <w:ind w:firstLine="0" w:firstLineChars="0"/>
        <w:jc w:val="center"/>
        <w:rPr>
          <w:color w:val="auto"/>
          <w:highlight w:val="none"/>
        </w:rPr>
      </w:pPr>
      <w:r>
        <w:rPr>
          <w:color w:val="auto"/>
          <w:highlight w:val="none"/>
        </w:rPr>
        <w:drawing>
          <wp:inline distT="0" distB="0" distL="114300" distR="114300">
            <wp:extent cx="5784215" cy="3215005"/>
            <wp:effectExtent l="0" t="0" r="6985" b="4445"/>
            <wp:docPr id="8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60"/>
                    <pic:cNvPicPr>
                      <a:picLocks noChangeAspect="1"/>
                    </pic:cNvPicPr>
                  </pic:nvPicPr>
                  <pic:blipFill>
                    <a:blip r:embed="rId66"/>
                    <a:srcRect l="2066" t="5567" r="1333" b="13852"/>
                    <a:stretch>
                      <a:fillRect/>
                    </a:stretch>
                  </pic:blipFill>
                  <pic:spPr>
                    <a:xfrm>
                      <a:off x="0" y="0"/>
                      <a:ext cx="5784215" cy="3215005"/>
                    </a:xfrm>
                    <a:prstGeom prst="rect">
                      <a:avLst/>
                    </a:prstGeom>
                    <a:noFill/>
                    <a:ln>
                      <a:noFill/>
                    </a:ln>
                  </pic:spPr>
                </pic:pic>
              </a:graphicData>
            </a:graphic>
          </wp:inline>
        </w:drawing>
      </w:r>
    </w:p>
    <w:p w14:paraId="5A141C70">
      <w:pPr>
        <w:topLinePunct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图1项目与钦州市近岸海域管控单元位置关系图</w:t>
      </w:r>
    </w:p>
    <w:p w14:paraId="5093CCBA">
      <w:pPr>
        <w:topLinePunct w:val="0"/>
        <w:adjustRightInd/>
        <w:snapToGrid/>
        <w:spacing w:line="240" w:lineRule="auto"/>
        <w:ind w:firstLine="0" w:firstLineChars="0"/>
        <w:jc w:val="center"/>
        <w:rPr>
          <w:b/>
          <w:bCs/>
          <w:color w:val="auto"/>
          <w:sz w:val="21"/>
          <w:szCs w:val="21"/>
          <w:highlight w:val="none"/>
        </w:rPr>
      </w:pPr>
    </w:p>
    <w:p w14:paraId="5121E5D1">
      <w:pPr>
        <w:topLinePunct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表</w:t>
      </w:r>
      <w:r>
        <w:rPr>
          <w:rFonts w:hint="eastAsia"/>
          <w:b/>
          <w:bCs/>
          <w:color w:val="auto"/>
          <w:sz w:val="21"/>
          <w:szCs w:val="21"/>
          <w:highlight w:val="none"/>
        </w:rPr>
        <w:t>7</w:t>
      </w:r>
      <w:r>
        <w:rPr>
          <w:b/>
          <w:bCs/>
          <w:color w:val="auto"/>
          <w:sz w:val="21"/>
          <w:szCs w:val="21"/>
          <w:highlight w:val="none"/>
        </w:rPr>
        <w:t>本项目与涉及的环境管控单元管控要求相符性分析一览表</w:t>
      </w:r>
    </w:p>
    <w:tbl>
      <w:tblPr>
        <w:tblStyle w:val="93"/>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0"/>
        <w:gridCol w:w="796"/>
        <w:gridCol w:w="749"/>
        <w:gridCol w:w="704"/>
        <w:gridCol w:w="2940"/>
        <w:gridCol w:w="2676"/>
      </w:tblGrid>
      <w:tr w14:paraId="0B07D8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blHeader/>
        </w:trPr>
        <w:tc>
          <w:tcPr>
            <w:tcW w:w="487" w:type="pct"/>
            <w:tcBorders>
              <w:tl2br w:val="nil"/>
              <w:tr2bl w:val="nil"/>
            </w:tcBorders>
            <w:vAlign w:val="center"/>
          </w:tcPr>
          <w:p w14:paraId="1C7A727F">
            <w:pPr>
              <w:topLinePunct w:val="0"/>
              <w:spacing w:line="240" w:lineRule="auto"/>
              <w:ind w:left="-72" w:leftChars="-30" w:right="-72" w:rightChars="-30" w:firstLine="0" w:firstLineChars="0"/>
              <w:jc w:val="center"/>
              <w:rPr>
                <w:b/>
                <w:bCs/>
                <w:color w:val="auto"/>
                <w:sz w:val="21"/>
                <w:szCs w:val="21"/>
                <w:highlight w:val="none"/>
                <w:lang w:bidi="ar"/>
              </w:rPr>
            </w:pPr>
            <w:r>
              <w:rPr>
                <w:b/>
                <w:bCs/>
                <w:color w:val="auto"/>
                <w:sz w:val="21"/>
                <w:szCs w:val="21"/>
                <w:highlight w:val="none"/>
                <w:lang w:bidi="ar"/>
              </w:rPr>
              <w:t>管控单元编码</w:t>
            </w:r>
          </w:p>
        </w:tc>
        <w:tc>
          <w:tcPr>
            <w:tcW w:w="456" w:type="pct"/>
            <w:tcBorders>
              <w:tl2br w:val="nil"/>
              <w:tr2bl w:val="nil"/>
            </w:tcBorders>
            <w:vAlign w:val="center"/>
          </w:tcPr>
          <w:p w14:paraId="2087375F">
            <w:pPr>
              <w:topLinePunct w:val="0"/>
              <w:spacing w:line="240" w:lineRule="auto"/>
              <w:ind w:left="-72" w:leftChars="-30" w:right="-72" w:rightChars="-30" w:firstLine="0" w:firstLineChars="0"/>
              <w:jc w:val="center"/>
              <w:rPr>
                <w:b/>
                <w:bCs/>
                <w:color w:val="auto"/>
                <w:sz w:val="21"/>
                <w:szCs w:val="21"/>
                <w:highlight w:val="none"/>
                <w:lang w:bidi="ar"/>
              </w:rPr>
            </w:pPr>
            <w:r>
              <w:rPr>
                <w:b/>
                <w:bCs/>
                <w:color w:val="auto"/>
                <w:sz w:val="21"/>
                <w:szCs w:val="21"/>
                <w:highlight w:val="none"/>
                <w:lang w:bidi="ar"/>
              </w:rPr>
              <w:t>管控单元名称</w:t>
            </w:r>
          </w:p>
        </w:tc>
        <w:tc>
          <w:tcPr>
            <w:tcW w:w="430" w:type="pct"/>
            <w:tcBorders>
              <w:tl2br w:val="nil"/>
              <w:tr2bl w:val="nil"/>
            </w:tcBorders>
            <w:vAlign w:val="center"/>
          </w:tcPr>
          <w:p w14:paraId="7E640B0E">
            <w:pPr>
              <w:topLinePunct w:val="0"/>
              <w:spacing w:line="240" w:lineRule="auto"/>
              <w:ind w:left="-72" w:leftChars="-30" w:right="-72" w:rightChars="-30" w:firstLine="0" w:firstLineChars="0"/>
              <w:jc w:val="center"/>
              <w:rPr>
                <w:b/>
                <w:bCs/>
                <w:color w:val="auto"/>
                <w:sz w:val="21"/>
                <w:szCs w:val="21"/>
                <w:highlight w:val="none"/>
                <w:lang w:bidi="ar"/>
              </w:rPr>
            </w:pPr>
            <w:r>
              <w:rPr>
                <w:b/>
                <w:bCs/>
                <w:color w:val="auto"/>
                <w:sz w:val="21"/>
                <w:szCs w:val="21"/>
                <w:highlight w:val="none"/>
                <w:lang w:bidi="ar"/>
              </w:rPr>
              <w:t>管控单元分类</w:t>
            </w:r>
          </w:p>
        </w:tc>
        <w:tc>
          <w:tcPr>
            <w:tcW w:w="404" w:type="pct"/>
            <w:tcBorders>
              <w:tl2br w:val="nil"/>
              <w:tr2bl w:val="nil"/>
            </w:tcBorders>
            <w:vAlign w:val="center"/>
          </w:tcPr>
          <w:p w14:paraId="5F09063B">
            <w:pPr>
              <w:topLinePunct w:val="0"/>
              <w:spacing w:line="240" w:lineRule="auto"/>
              <w:ind w:left="-72" w:leftChars="-30" w:right="-72" w:rightChars="-30" w:firstLine="0" w:firstLineChars="0"/>
              <w:jc w:val="center"/>
              <w:rPr>
                <w:b/>
                <w:bCs/>
                <w:color w:val="auto"/>
                <w:sz w:val="21"/>
                <w:szCs w:val="21"/>
                <w:highlight w:val="none"/>
                <w:lang w:bidi="ar"/>
              </w:rPr>
            </w:pPr>
            <w:r>
              <w:rPr>
                <w:b/>
                <w:bCs/>
                <w:color w:val="auto"/>
                <w:sz w:val="21"/>
                <w:szCs w:val="21"/>
                <w:highlight w:val="none"/>
                <w:lang w:bidi="ar"/>
              </w:rPr>
              <w:t>管控类别</w:t>
            </w:r>
          </w:p>
        </w:tc>
        <w:tc>
          <w:tcPr>
            <w:tcW w:w="1686" w:type="pct"/>
            <w:tcBorders>
              <w:tl2br w:val="nil"/>
              <w:tr2bl w:val="nil"/>
            </w:tcBorders>
            <w:vAlign w:val="center"/>
          </w:tcPr>
          <w:p w14:paraId="7840DFDE">
            <w:pPr>
              <w:topLinePunct w:val="0"/>
              <w:spacing w:line="240" w:lineRule="auto"/>
              <w:ind w:left="-72" w:leftChars="-30" w:right="-72" w:rightChars="-30" w:firstLine="0" w:firstLineChars="0"/>
              <w:jc w:val="center"/>
              <w:rPr>
                <w:b/>
                <w:bCs/>
                <w:color w:val="auto"/>
                <w:sz w:val="21"/>
                <w:szCs w:val="21"/>
                <w:highlight w:val="none"/>
                <w:lang w:bidi="ar"/>
              </w:rPr>
            </w:pPr>
            <w:r>
              <w:rPr>
                <w:b/>
                <w:bCs/>
                <w:color w:val="auto"/>
                <w:sz w:val="21"/>
                <w:szCs w:val="21"/>
                <w:highlight w:val="none"/>
                <w:lang w:bidi="ar"/>
              </w:rPr>
              <w:t>管控要求</w:t>
            </w:r>
          </w:p>
        </w:tc>
        <w:tc>
          <w:tcPr>
            <w:tcW w:w="1534" w:type="pct"/>
            <w:tcBorders>
              <w:tl2br w:val="nil"/>
              <w:tr2bl w:val="nil"/>
            </w:tcBorders>
            <w:vAlign w:val="center"/>
          </w:tcPr>
          <w:p w14:paraId="6BD95111">
            <w:pPr>
              <w:topLinePunct w:val="0"/>
              <w:spacing w:line="240" w:lineRule="auto"/>
              <w:ind w:left="-72" w:leftChars="-30" w:right="-72" w:rightChars="-30" w:firstLine="0" w:firstLineChars="0"/>
              <w:jc w:val="center"/>
              <w:rPr>
                <w:b/>
                <w:bCs/>
                <w:color w:val="auto"/>
                <w:sz w:val="21"/>
                <w:szCs w:val="21"/>
                <w:highlight w:val="none"/>
                <w:lang w:bidi="ar"/>
              </w:rPr>
            </w:pPr>
            <w:r>
              <w:rPr>
                <w:b/>
                <w:bCs/>
                <w:color w:val="auto"/>
                <w:sz w:val="21"/>
                <w:szCs w:val="21"/>
                <w:highlight w:val="none"/>
                <w:lang w:bidi="ar"/>
              </w:rPr>
              <w:t>相符性分析</w:t>
            </w:r>
          </w:p>
        </w:tc>
      </w:tr>
      <w:tr w14:paraId="3CF167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7" w:type="pct"/>
            <w:vMerge w:val="restart"/>
            <w:tcBorders>
              <w:tl2br w:val="nil"/>
              <w:tr2bl w:val="nil"/>
            </w:tcBorders>
            <w:vAlign w:val="center"/>
          </w:tcPr>
          <w:p w14:paraId="46FA8968">
            <w:pPr>
              <w:topLinePunct w:val="0"/>
              <w:spacing w:line="240" w:lineRule="auto"/>
              <w:ind w:left="-72" w:leftChars="-30" w:right="-72" w:rightChars="-30" w:firstLine="0" w:firstLineChars="0"/>
              <w:jc w:val="center"/>
              <w:rPr>
                <w:color w:val="auto"/>
                <w:sz w:val="21"/>
                <w:szCs w:val="21"/>
                <w:highlight w:val="none"/>
                <w:lang w:bidi="ar"/>
              </w:rPr>
            </w:pPr>
            <w:r>
              <w:rPr>
                <w:color w:val="auto"/>
                <w:sz w:val="21"/>
                <w:szCs w:val="21"/>
                <w:highlight w:val="none"/>
                <w:lang w:bidi="ar"/>
              </w:rPr>
              <w:t>HY45070020014</w:t>
            </w:r>
          </w:p>
        </w:tc>
        <w:tc>
          <w:tcPr>
            <w:tcW w:w="456" w:type="pct"/>
            <w:vMerge w:val="restart"/>
            <w:tcBorders>
              <w:tl2br w:val="nil"/>
              <w:tr2bl w:val="nil"/>
            </w:tcBorders>
            <w:vAlign w:val="center"/>
          </w:tcPr>
          <w:p w14:paraId="14762F74">
            <w:pPr>
              <w:topLinePunct w:val="0"/>
              <w:spacing w:line="240" w:lineRule="auto"/>
              <w:ind w:left="-72" w:leftChars="-30" w:right="-72" w:rightChars="-30" w:firstLine="0" w:firstLineChars="0"/>
              <w:jc w:val="center"/>
              <w:rPr>
                <w:color w:val="auto"/>
                <w:sz w:val="21"/>
                <w:szCs w:val="21"/>
                <w:highlight w:val="none"/>
                <w:lang w:bidi="ar"/>
              </w:rPr>
            </w:pPr>
            <w:r>
              <w:rPr>
                <w:color w:val="auto"/>
                <w:sz w:val="21"/>
                <w:szCs w:val="21"/>
                <w:highlight w:val="none"/>
                <w:lang w:bidi="ar"/>
              </w:rPr>
              <w:t>三墩污水深海排放区（三墩特殊用海区）</w:t>
            </w:r>
          </w:p>
        </w:tc>
        <w:tc>
          <w:tcPr>
            <w:tcW w:w="430" w:type="pct"/>
            <w:vMerge w:val="restart"/>
            <w:tcBorders>
              <w:tl2br w:val="nil"/>
              <w:tr2bl w:val="nil"/>
            </w:tcBorders>
            <w:vAlign w:val="center"/>
          </w:tcPr>
          <w:p w14:paraId="1507325C">
            <w:pPr>
              <w:topLinePunct w:val="0"/>
              <w:spacing w:line="240" w:lineRule="auto"/>
              <w:ind w:left="-72" w:leftChars="-30" w:right="-72" w:rightChars="-30" w:firstLine="0" w:firstLineChars="0"/>
              <w:jc w:val="center"/>
              <w:rPr>
                <w:color w:val="auto"/>
                <w:sz w:val="21"/>
                <w:szCs w:val="21"/>
                <w:highlight w:val="none"/>
                <w:lang w:bidi="ar"/>
              </w:rPr>
            </w:pPr>
            <w:r>
              <w:rPr>
                <w:color w:val="auto"/>
                <w:sz w:val="21"/>
                <w:szCs w:val="21"/>
                <w:highlight w:val="none"/>
              </w:rPr>
              <w:t>重点管控单元</w:t>
            </w:r>
          </w:p>
        </w:tc>
        <w:tc>
          <w:tcPr>
            <w:tcW w:w="404" w:type="pct"/>
            <w:vMerge w:val="restart"/>
            <w:tcBorders>
              <w:tl2br w:val="nil"/>
              <w:tr2bl w:val="nil"/>
            </w:tcBorders>
            <w:vAlign w:val="center"/>
          </w:tcPr>
          <w:p w14:paraId="5023B642">
            <w:pPr>
              <w:pStyle w:val="9"/>
              <w:adjustRightInd w:val="0"/>
              <w:snapToGrid w:val="0"/>
              <w:spacing w:line="240" w:lineRule="auto"/>
              <w:ind w:left="-72" w:leftChars="-30" w:right="-72" w:rightChars="-30" w:firstLine="0" w:firstLineChars="0"/>
              <w:jc w:val="center"/>
              <w:rPr>
                <w:color w:val="auto"/>
                <w:sz w:val="21"/>
                <w:szCs w:val="21"/>
                <w:highlight w:val="none"/>
              </w:rPr>
            </w:pPr>
            <w:r>
              <w:rPr>
                <w:color w:val="auto"/>
                <w:sz w:val="21"/>
                <w:szCs w:val="21"/>
                <w:highlight w:val="none"/>
              </w:rPr>
              <w:t>空间布局约束</w:t>
            </w:r>
          </w:p>
        </w:tc>
        <w:tc>
          <w:tcPr>
            <w:tcW w:w="1686" w:type="pct"/>
            <w:tcBorders>
              <w:tl2br w:val="nil"/>
              <w:tr2bl w:val="nil"/>
            </w:tcBorders>
            <w:vAlign w:val="center"/>
          </w:tcPr>
          <w:p w14:paraId="0513DCB8">
            <w:pPr>
              <w:topLinePunct w:val="0"/>
              <w:spacing w:line="240" w:lineRule="auto"/>
              <w:ind w:left="-72" w:leftChars="-30" w:right="-72" w:rightChars="-30" w:firstLine="0" w:firstLineChars="0"/>
              <w:rPr>
                <w:color w:val="auto"/>
                <w:sz w:val="21"/>
                <w:szCs w:val="21"/>
                <w:highlight w:val="none"/>
              </w:rPr>
            </w:pPr>
            <w:r>
              <w:rPr>
                <w:color w:val="auto"/>
                <w:sz w:val="21"/>
                <w:szCs w:val="21"/>
                <w:highlight w:val="none"/>
              </w:rPr>
              <w:t>1．严格按照相关法律法规、国土空间规划以及海水动力条件等要求，经科学论证后，规范设置和监管入海排污口，并报设区的市级以上人民政府生态环境行政主管部门备案。</w:t>
            </w:r>
          </w:p>
        </w:tc>
        <w:tc>
          <w:tcPr>
            <w:tcW w:w="1534" w:type="pct"/>
            <w:tcBorders>
              <w:tl2br w:val="nil"/>
              <w:tr2bl w:val="nil"/>
            </w:tcBorders>
            <w:vAlign w:val="center"/>
          </w:tcPr>
          <w:p w14:paraId="6607310B">
            <w:pPr>
              <w:pStyle w:val="9"/>
              <w:adjustRightInd w:val="0"/>
              <w:snapToGrid w:val="0"/>
              <w:spacing w:line="240" w:lineRule="auto"/>
              <w:ind w:left="-72" w:leftChars="-30" w:right="-72" w:rightChars="-30" w:firstLine="0" w:firstLineChars="0"/>
              <w:rPr>
                <w:color w:val="auto"/>
                <w:sz w:val="21"/>
                <w:szCs w:val="21"/>
                <w:highlight w:val="none"/>
              </w:rPr>
            </w:pPr>
            <w:r>
              <w:rPr>
                <w:color w:val="auto"/>
                <w:sz w:val="21"/>
                <w:szCs w:val="21"/>
                <w:highlight w:val="none"/>
              </w:rPr>
              <w:t>符合，项目不新增入海排污口</w:t>
            </w:r>
          </w:p>
        </w:tc>
      </w:tr>
      <w:tr w14:paraId="795D57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7" w:type="pct"/>
            <w:vMerge w:val="continue"/>
            <w:tcBorders>
              <w:tl2br w:val="nil"/>
              <w:tr2bl w:val="nil"/>
            </w:tcBorders>
            <w:vAlign w:val="center"/>
          </w:tcPr>
          <w:p w14:paraId="1422911E">
            <w:pPr>
              <w:topLinePunct w:val="0"/>
              <w:spacing w:line="240" w:lineRule="auto"/>
              <w:ind w:left="-72" w:leftChars="-30" w:right="-72" w:rightChars="-30" w:firstLine="0" w:firstLineChars="0"/>
              <w:jc w:val="center"/>
              <w:rPr>
                <w:color w:val="auto"/>
                <w:sz w:val="21"/>
                <w:szCs w:val="21"/>
                <w:highlight w:val="none"/>
              </w:rPr>
            </w:pPr>
          </w:p>
        </w:tc>
        <w:tc>
          <w:tcPr>
            <w:tcW w:w="456" w:type="pct"/>
            <w:vMerge w:val="continue"/>
            <w:tcBorders>
              <w:tl2br w:val="nil"/>
              <w:tr2bl w:val="nil"/>
            </w:tcBorders>
            <w:vAlign w:val="center"/>
          </w:tcPr>
          <w:p w14:paraId="0D25F3C2">
            <w:pPr>
              <w:topLinePunct w:val="0"/>
              <w:spacing w:line="240" w:lineRule="auto"/>
              <w:ind w:left="-72" w:leftChars="-30" w:right="-72" w:rightChars="-30" w:firstLine="0" w:firstLineChars="0"/>
              <w:jc w:val="center"/>
              <w:rPr>
                <w:color w:val="auto"/>
                <w:sz w:val="21"/>
                <w:szCs w:val="21"/>
                <w:highlight w:val="none"/>
              </w:rPr>
            </w:pPr>
          </w:p>
        </w:tc>
        <w:tc>
          <w:tcPr>
            <w:tcW w:w="430" w:type="pct"/>
            <w:vMerge w:val="continue"/>
            <w:tcBorders>
              <w:tl2br w:val="nil"/>
              <w:tr2bl w:val="nil"/>
            </w:tcBorders>
            <w:vAlign w:val="center"/>
          </w:tcPr>
          <w:p w14:paraId="04051460">
            <w:pPr>
              <w:topLinePunct w:val="0"/>
              <w:spacing w:line="240" w:lineRule="auto"/>
              <w:ind w:left="-72" w:leftChars="-30" w:right="-72" w:rightChars="-30" w:firstLine="0" w:firstLineChars="0"/>
              <w:jc w:val="center"/>
              <w:rPr>
                <w:color w:val="auto"/>
                <w:sz w:val="21"/>
                <w:szCs w:val="21"/>
                <w:highlight w:val="none"/>
                <w:lang w:bidi="ar"/>
              </w:rPr>
            </w:pPr>
          </w:p>
        </w:tc>
        <w:tc>
          <w:tcPr>
            <w:tcW w:w="404" w:type="pct"/>
            <w:vMerge w:val="continue"/>
            <w:tcBorders>
              <w:tl2br w:val="nil"/>
              <w:tr2bl w:val="nil"/>
            </w:tcBorders>
            <w:vAlign w:val="center"/>
          </w:tcPr>
          <w:p w14:paraId="51EB5182">
            <w:pPr>
              <w:pStyle w:val="9"/>
              <w:adjustRightInd w:val="0"/>
              <w:snapToGrid w:val="0"/>
              <w:spacing w:line="240" w:lineRule="auto"/>
              <w:ind w:left="-72" w:leftChars="-30" w:right="-72" w:rightChars="-30" w:firstLine="0" w:firstLineChars="0"/>
              <w:jc w:val="center"/>
              <w:rPr>
                <w:color w:val="auto"/>
                <w:sz w:val="21"/>
                <w:szCs w:val="21"/>
                <w:highlight w:val="none"/>
              </w:rPr>
            </w:pPr>
          </w:p>
        </w:tc>
        <w:tc>
          <w:tcPr>
            <w:tcW w:w="1686" w:type="pct"/>
            <w:tcBorders>
              <w:tl2br w:val="nil"/>
              <w:tr2bl w:val="nil"/>
            </w:tcBorders>
            <w:vAlign w:val="center"/>
          </w:tcPr>
          <w:p w14:paraId="4BA2CFA1">
            <w:pPr>
              <w:topLinePunct w:val="0"/>
              <w:spacing w:line="240" w:lineRule="auto"/>
              <w:ind w:left="-72" w:leftChars="-30" w:right="-72" w:rightChars="-30" w:firstLine="0" w:firstLineChars="0"/>
              <w:rPr>
                <w:color w:val="auto"/>
                <w:sz w:val="21"/>
                <w:szCs w:val="21"/>
                <w:highlight w:val="none"/>
              </w:rPr>
            </w:pPr>
            <w:r>
              <w:rPr>
                <w:color w:val="auto"/>
                <w:sz w:val="21"/>
                <w:szCs w:val="21"/>
                <w:highlight w:val="none"/>
              </w:rPr>
              <w:t>2．加快推进深海排放基础设施建设，实行离岸排放。</w:t>
            </w:r>
          </w:p>
        </w:tc>
        <w:tc>
          <w:tcPr>
            <w:tcW w:w="1534" w:type="pct"/>
            <w:tcBorders>
              <w:tl2br w:val="nil"/>
              <w:tr2bl w:val="nil"/>
            </w:tcBorders>
            <w:vAlign w:val="center"/>
          </w:tcPr>
          <w:p w14:paraId="40042071">
            <w:pPr>
              <w:pStyle w:val="9"/>
              <w:adjustRightInd w:val="0"/>
              <w:snapToGrid w:val="0"/>
              <w:spacing w:line="240" w:lineRule="auto"/>
              <w:ind w:left="-72" w:leftChars="-30" w:right="-72" w:rightChars="-30" w:firstLine="0" w:firstLineChars="0"/>
              <w:rPr>
                <w:color w:val="auto"/>
                <w:sz w:val="21"/>
                <w:szCs w:val="21"/>
                <w:highlight w:val="none"/>
              </w:rPr>
            </w:pPr>
            <w:r>
              <w:rPr>
                <w:color w:val="auto"/>
                <w:sz w:val="21"/>
                <w:szCs w:val="21"/>
                <w:highlight w:val="none"/>
              </w:rPr>
              <w:t>符合，项目不涉及</w:t>
            </w:r>
          </w:p>
        </w:tc>
      </w:tr>
      <w:tr w14:paraId="7FD07E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487" w:type="pct"/>
            <w:vMerge w:val="continue"/>
            <w:tcBorders>
              <w:tl2br w:val="nil"/>
              <w:tr2bl w:val="nil"/>
            </w:tcBorders>
            <w:vAlign w:val="center"/>
          </w:tcPr>
          <w:p w14:paraId="0CF002A3">
            <w:pPr>
              <w:topLinePunct w:val="0"/>
              <w:spacing w:line="240" w:lineRule="auto"/>
              <w:ind w:left="-72" w:leftChars="-30" w:right="-72" w:rightChars="-30" w:firstLine="0" w:firstLineChars="0"/>
              <w:jc w:val="center"/>
              <w:rPr>
                <w:color w:val="auto"/>
                <w:sz w:val="21"/>
                <w:szCs w:val="21"/>
                <w:highlight w:val="none"/>
              </w:rPr>
            </w:pPr>
          </w:p>
        </w:tc>
        <w:tc>
          <w:tcPr>
            <w:tcW w:w="456" w:type="pct"/>
            <w:vMerge w:val="continue"/>
            <w:tcBorders>
              <w:tl2br w:val="nil"/>
              <w:tr2bl w:val="nil"/>
            </w:tcBorders>
            <w:vAlign w:val="center"/>
          </w:tcPr>
          <w:p w14:paraId="6EA1DB70">
            <w:pPr>
              <w:topLinePunct w:val="0"/>
              <w:spacing w:line="240" w:lineRule="auto"/>
              <w:ind w:left="-72" w:leftChars="-30" w:right="-72" w:rightChars="-30" w:firstLine="0" w:firstLineChars="0"/>
              <w:jc w:val="center"/>
              <w:rPr>
                <w:color w:val="auto"/>
                <w:sz w:val="21"/>
                <w:szCs w:val="21"/>
                <w:highlight w:val="none"/>
              </w:rPr>
            </w:pPr>
          </w:p>
        </w:tc>
        <w:tc>
          <w:tcPr>
            <w:tcW w:w="430" w:type="pct"/>
            <w:vMerge w:val="continue"/>
            <w:tcBorders>
              <w:tl2br w:val="nil"/>
              <w:tr2bl w:val="nil"/>
            </w:tcBorders>
            <w:vAlign w:val="center"/>
          </w:tcPr>
          <w:p w14:paraId="526C48AE">
            <w:pPr>
              <w:topLinePunct w:val="0"/>
              <w:spacing w:line="240" w:lineRule="auto"/>
              <w:ind w:left="-72" w:leftChars="-30" w:right="-72" w:rightChars="-30" w:firstLine="0" w:firstLineChars="0"/>
              <w:jc w:val="center"/>
              <w:rPr>
                <w:color w:val="auto"/>
                <w:sz w:val="21"/>
                <w:szCs w:val="21"/>
                <w:highlight w:val="none"/>
                <w:lang w:bidi="ar"/>
              </w:rPr>
            </w:pPr>
          </w:p>
        </w:tc>
        <w:tc>
          <w:tcPr>
            <w:tcW w:w="404" w:type="pct"/>
            <w:vMerge w:val="restart"/>
            <w:tcBorders>
              <w:tl2br w:val="nil"/>
              <w:tr2bl w:val="nil"/>
            </w:tcBorders>
            <w:vAlign w:val="center"/>
          </w:tcPr>
          <w:p w14:paraId="1F2D11C1">
            <w:pPr>
              <w:pStyle w:val="9"/>
              <w:adjustRightInd w:val="0"/>
              <w:snapToGrid w:val="0"/>
              <w:spacing w:line="240" w:lineRule="auto"/>
              <w:ind w:left="-72" w:leftChars="-30" w:right="-72" w:rightChars="-30" w:firstLine="0" w:firstLineChars="0"/>
              <w:jc w:val="center"/>
              <w:rPr>
                <w:color w:val="auto"/>
                <w:sz w:val="21"/>
                <w:szCs w:val="21"/>
                <w:highlight w:val="none"/>
              </w:rPr>
            </w:pPr>
            <w:r>
              <w:rPr>
                <w:color w:val="auto"/>
                <w:sz w:val="21"/>
                <w:szCs w:val="21"/>
                <w:highlight w:val="none"/>
              </w:rPr>
              <w:t>污染物排放管控</w:t>
            </w:r>
          </w:p>
        </w:tc>
        <w:tc>
          <w:tcPr>
            <w:tcW w:w="1686" w:type="pct"/>
            <w:tcBorders>
              <w:tl2br w:val="nil"/>
              <w:tr2bl w:val="nil"/>
            </w:tcBorders>
            <w:vAlign w:val="center"/>
          </w:tcPr>
          <w:p w14:paraId="1F0EEB16">
            <w:pPr>
              <w:topLinePunct w:val="0"/>
              <w:spacing w:line="240" w:lineRule="auto"/>
              <w:ind w:left="-72" w:leftChars="-30" w:right="-72" w:rightChars="-30" w:firstLine="0" w:firstLineChars="0"/>
              <w:rPr>
                <w:color w:val="auto"/>
                <w:sz w:val="21"/>
                <w:szCs w:val="21"/>
                <w:highlight w:val="none"/>
              </w:rPr>
            </w:pPr>
            <w:r>
              <w:rPr>
                <w:color w:val="auto"/>
                <w:sz w:val="21"/>
                <w:szCs w:val="21"/>
                <w:highlight w:val="none"/>
              </w:rPr>
              <w:t>1．污水离岸排放不得超过国家或者地方规定的排放标准。</w:t>
            </w:r>
          </w:p>
        </w:tc>
        <w:tc>
          <w:tcPr>
            <w:tcW w:w="1534" w:type="pct"/>
            <w:vMerge w:val="restart"/>
            <w:tcBorders>
              <w:tl2br w:val="nil"/>
              <w:tr2bl w:val="nil"/>
            </w:tcBorders>
            <w:vAlign w:val="center"/>
          </w:tcPr>
          <w:p w14:paraId="1A5D79E5">
            <w:pPr>
              <w:widowControl/>
              <w:topLinePunct w:val="0"/>
              <w:spacing w:line="240" w:lineRule="auto"/>
              <w:ind w:firstLine="0" w:firstLineChars="0"/>
              <w:jc w:val="left"/>
              <w:textAlignment w:val="center"/>
              <w:rPr>
                <w:color w:val="auto"/>
                <w:sz w:val="21"/>
                <w:szCs w:val="21"/>
                <w:highlight w:val="none"/>
              </w:rPr>
            </w:pPr>
            <w:r>
              <w:rPr>
                <w:color w:val="auto"/>
                <w:sz w:val="21"/>
                <w:szCs w:val="21"/>
                <w:highlight w:val="none"/>
                <w:lang w:bidi="ar"/>
              </w:rPr>
              <w:t>符合，</w:t>
            </w:r>
            <w:r>
              <w:rPr>
                <w:color w:val="auto"/>
                <w:sz w:val="21"/>
                <w:szCs w:val="21"/>
                <w:highlight w:val="none"/>
              </w:rPr>
              <w:t>项目职工生活污水依托现有</w:t>
            </w:r>
            <w:r>
              <w:rPr>
                <w:rFonts w:hint="eastAsia"/>
                <w:color w:val="auto"/>
                <w:sz w:val="21"/>
                <w:szCs w:val="21"/>
                <w:highlight w:val="none"/>
              </w:rPr>
              <w:t>生活污水处理一体化设备</w:t>
            </w:r>
            <w:r>
              <w:rPr>
                <w:color w:val="auto"/>
                <w:sz w:val="21"/>
                <w:szCs w:val="21"/>
                <w:highlight w:val="none"/>
              </w:rPr>
              <w:t>处理后</w:t>
            </w:r>
            <w:r>
              <w:rPr>
                <w:rFonts w:hint="eastAsia"/>
                <w:color w:val="auto"/>
                <w:sz w:val="21"/>
                <w:szCs w:val="21"/>
                <w:highlight w:val="none"/>
              </w:rPr>
              <w:t>进入中水回用池储存，</w:t>
            </w:r>
            <w:r>
              <w:rPr>
                <w:color w:val="auto"/>
                <w:sz w:val="21"/>
                <w:szCs w:val="21"/>
                <w:highlight w:val="none"/>
              </w:rPr>
              <w:t>大部分回用，少部分</w:t>
            </w:r>
            <w:r>
              <w:rPr>
                <w:rFonts w:hint="eastAsia"/>
                <w:color w:val="auto"/>
                <w:sz w:val="21"/>
                <w:szCs w:val="21"/>
                <w:highlight w:val="none"/>
              </w:rPr>
              <w:t>不能回用的</w:t>
            </w:r>
            <w:r>
              <w:rPr>
                <w:color w:val="auto"/>
                <w:sz w:val="21"/>
                <w:szCs w:val="21"/>
                <w:highlight w:val="none"/>
              </w:rPr>
              <w:t>采用罐车运至大榄坪污水处理厂做进一步处理；</w:t>
            </w:r>
          </w:p>
          <w:p w14:paraId="0F1A03F0">
            <w:pPr>
              <w:widowControl/>
              <w:topLinePunct w:val="0"/>
              <w:spacing w:line="240" w:lineRule="auto"/>
              <w:ind w:firstLine="0" w:firstLineChars="0"/>
              <w:jc w:val="left"/>
              <w:textAlignment w:val="center"/>
              <w:rPr>
                <w:color w:val="auto"/>
                <w:sz w:val="21"/>
                <w:szCs w:val="21"/>
                <w:highlight w:val="none"/>
              </w:rPr>
            </w:pPr>
            <w:r>
              <w:rPr>
                <w:color w:val="auto"/>
                <w:sz w:val="21"/>
                <w:szCs w:val="21"/>
                <w:highlight w:val="none"/>
              </w:rPr>
              <w:t>项目浮船坞修船产生的含油污水进入厂区现有污水处理站处理，</w:t>
            </w:r>
            <w:r>
              <w:rPr>
                <w:rFonts w:hint="eastAsia"/>
                <w:color w:val="auto"/>
                <w:sz w:val="21"/>
                <w:szCs w:val="21"/>
                <w:highlight w:val="none"/>
              </w:rPr>
              <w:t>通过污水管网进入中水回用池储存，大部分回用，少部分不能回用的</w:t>
            </w:r>
            <w:r>
              <w:rPr>
                <w:color w:val="auto"/>
                <w:sz w:val="21"/>
                <w:szCs w:val="21"/>
                <w:highlight w:val="none"/>
              </w:rPr>
              <w:t>定期由槽罐车运至大榄坪污水处理厂做进一步处理；</w:t>
            </w:r>
          </w:p>
          <w:p w14:paraId="7415B513">
            <w:pPr>
              <w:widowControl/>
              <w:topLinePunct w:val="0"/>
              <w:spacing w:line="240" w:lineRule="auto"/>
              <w:ind w:firstLine="0" w:firstLineChars="0"/>
              <w:jc w:val="left"/>
              <w:textAlignment w:val="center"/>
              <w:rPr>
                <w:color w:val="auto"/>
                <w:sz w:val="21"/>
                <w:szCs w:val="21"/>
                <w:highlight w:val="none"/>
              </w:rPr>
            </w:pPr>
            <w:r>
              <w:rPr>
                <w:color w:val="auto"/>
                <w:sz w:val="21"/>
                <w:szCs w:val="21"/>
                <w:highlight w:val="none"/>
              </w:rPr>
              <w:t>浮船坞初期雨水</w:t>
            </w:r>
            <w:r>
              <w:rPr>
                <w:rFonts w:hint="eastAsia"/>
                <w:color w:val="auto"/>
                <w:sz w:val="21"/>
                <w:szCs w:val="21"/>
                <w:highlight w:val="none"/>
              </w:rPr>
              <w:t>经</w:t>
            </w:r>
            <w:r>
              <w:rPr>
                <w:color w:val="auto"/>
                <w:sz w:val="21"/>
                <w:szCs w:val="21"/>
                <w:highlight w:val="none"/>
              </w:rPr>
              <w:t>收集后，</w:t>
            </w:r>
            <w:r>
              <w:rPr>
                <w:rFonts w:hint="eastAsia"/>
                <w:color w:val="auto"/>
                <w:sz w:val="21"/>
                <w:szCs w:val="21"/>
                <w:highlight w:val="none"/>
              </w:rPr>
              <w:t>进</w:t>
            </w:r>
            <w:r>
              <w:rPr>
                <w:color w:val="auto"/>
                <w:sz w:val="21"/>
                <w:szCs w:val="21"/>
                <w:highlight w:val="none"/>
              </w:rPr>
              <w:t>入现有</w:t>
            </w:r>
            <w:r>
              <w:rPr>
                <w:rFonts w:hint="eastAsia"/>
                <w:color w:val="auto"/>
                <w:sz w:val="21"/>
                <w:szCs w:val="21"/>
                <w:highlight w:val="none"/>
              </w:rPr>
              <w:t>生活污水处理一体化设备</w:t>
            </w:r>
            <w:r>
              <w:rPr>
                <w:color w:val="auto"/>
                <w:sz w:val="21"/>
                <w:szCs w:val="21"/>
                <w:highlight w:val="none"/>
              </w:rPr>
              <w:t>处理后</w:t>
            </w:r>
            <w:r>
              <w:rPr>
                <w:rFonts w:hint="eastAsia"/>
                <w:color w:val="auto"/>
                <w:sz w:val="21"/>
                <w:szCs w:val="21"/>
                <w:highlight w:val="none"/>
              </w:rPr>
              <w:t>进入中水回用池储存，</w:t>
            </w:r>
            <w:r>
              <w:rPr>
                <w:color w:val="auto"/>
                <w:sz w:val="21"/>
                <w:szCs w:val="21"/>
                <w:highlight w:val="none"/>
              </w:rPr>
              <w:t>大部分回用，少部分</w:t>
            </w:r>
            <w:r>
              <w:rPr>
                <w:rFonts w:hint="eastAsia"/>
                <w:color w:val="auto"/>
                <w:sz w:val="21"/>
                <w:szCs w:val="21"/>
                <w:highlight w:val="none"/>
              </w:rPr>
              <w:t>不能回用的</w:t>
            </w:r>
            <w:r>
              <w:rPr>
                <w:color w:val="auto"/>
                <w:sz w:val="21"/>
                <w:szCs w:val="21"/>
                <w:highlight w:val="none"/>
              </w:rPr>
              <w:t>采用罐车运至大榄坪污水处理厂做进一步处理；因此本项目产生的废水均不在项目区域排放</w:t>
            </w:r>
          </w:p>
        </w:tc>
      </w:tr>
      <w:tr w14:paraId="7D74CC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9" w:hRule="atLeast"/>
        </w:trPr>
        <w:tc>
          <w:tcPr>
            <w:tcW w:w="487" w:type="pct"/>
            <w:vMerge w:val="continue"/>
            <w:tcBorders>
              <w:tl2br w:val="nil"/>
              <w:tr2bl w:val="nil"/>
            </w:tcBorders>
            <w:vAlign w:val="center"/>
          </w:tcPr>
          <w:p w14:paraId="7C849FDE">
            <w:pPr>
              <w:topLinePunct w:val="0"/>
              <w:spacing w:line="240" w:lineRule="auto"/>
              <w:ind w:left="-72" w:leftChars="-30" w:right="-72" w:rightChars="-30" w:firstLine="0" w:firstLineChars="0"/>
              <w:jc w:val="center"/>
              <w:rPr>
                <w:color w:val="auto"/>
                <w:sz w:val="21"/>
                <w:szCs w:val="21"/>
                <w:highlight w:val="none"/>
                <w:lang w:bidi="ar"/>
              </w:rPr>
            </w:pPr>
          </w:p>
        </w:tc>
        <w:tc>
          <w:tcPr>
            <w:tcW w:w="456" w:type="pct"/>
            <w:vMerge w:val="continue"/>
            <w:tcBorders>
              <w:tl2br w:val="nil"/>
              <w:tr2bl w:val="nil"/>
            </w:tcBorders>
            <w:vAlign w:val="center"/>
          </w:tcPr>
          <w:p w14:paraId="06F5F1AD">
            <w:pPr>
              <w:topLinePunct w:val="0"/>
              <w:spacing w:line="240" w:lineRule="auto"/>
              <w:ind w:left="-72" w:leftChars="-30" w:right="-72" w:rightChars="-30" w:firstLine="0" w:firstLineChars="0"/>
              <w:jc w:val="center"/>
              <w:rPr>
                <w:color w:val="auto"/>
                <w:sz w:val="21"/>
                <w:szCs w:val="21"/>
                <w:highlight w:val="none"/>
                <w:lang w:bidi="ar"/>
              </w:rPr>
            </w:pPr>
          </w:p>
        </w:tc>
        <w:tc>
          <w:tcPr>
            <w:tcW w:w="430" w:type="pct"/>
            <w:vMerge w:val="continue"/>
            <w:tcBorders>
              <w:tl2br w:val="nil"/>
              <w:tr2bl w:val="nil"/>
            </w:tcBorders>
            <w:vAlign w:val="center"/>
          </w:tcPr>
          <w:p w14:paraId="24452E39">
            <w:pPr>
              <w:topLinePunct w:val="0"/>
              <w:spacing w:line="240" w:lineRule="auto"/>
              <w:ind w:left="-72" w:leftChars="-30" w:right="-72" w:rightChars="-30" w:firstLine="0" w:firstLineChars="0"/>
              <w:jc w:val="center"/>
              <w:rPr>
                <w:color w:val="auto"/>
                <w:sz w:val="21"/>
                <w:szCs w:val="21"/>
                <w:highlight w:val="none"/>
                <w:lang w:bidi="ar"/>
              </w:rPr>
            </w:pPr>
          </w:p>
        </w:tc>
        <w:tc>
          <w:tcPr>
            <w:tcW w:w="404" w:type="pct"/>
            <w:vMerge w:val="continue"/>
            <w:tcBorders>
              <w:tl2br w:val="nil"/>
              <w:tr2bl w:val="nil"/>
            </w:tcBorders>
            <w:vAlign w:val="center"/>
          </w:tcPr>
          <w:p w14:paraId="0D0B1947">
            <w:pPr>
              <w:pStyle w:val="9"/>
              <w:adjustRightInd w:val="0"/>
              <w:snapToGrid w:val="0"/>
              <w:spacing w:line="240" w:lineRule="auto"/>
              <w:ind w:left="-72" w:leftChars="-30" w:right="-72" w:rightChars="-30" w:firstLine="0" w:firstLineChars="0"/>
              <w:jc w:val="center"/>
              <w:rPr>
                <w:color w:val="auto"/>
                <w:sz w:val="21"/>
                <w:szCs w:val="21"/>
                <w:highlight w:val="none"/>
              </w:rPr>
            </w:pPr>
          </w:p>
        </w:tc>
        <w:tc>
          <w:tcPr>
            <w:tcW w:w="1686" w:type="pct"/>
            <w:tcBorders>
              <w:tl2br w:val="nil"/>
              <w:tr2bl w:val="nil"/>
            </w:tcBorders>
            <w:vAlign w:val="center"/>
          </w:tcPr>
          <w:p w14:paraId="7DD560BA">
            <w:pPr>
              <w:topLinePunct w:val="0"/>
              <w:spacing w:line="240" w:lineRule="auto"/>
              <w:ind w:left="-72" w:leftChars="-30" w:right="-72" w:rightChars="-30" w:firstLine="0" w:firstLineChars="0"/>
              <w:rPr>
                <w:color w:val="auto"/>
                <w:sz w:val="21"/>
                <w:szCs w:val="21"/>
                <w:highlight w:val="none"/>
              </w:rPr>
            </w:pPr>
            <w:r>
              <w:rPr>
                <w:color w:val="auto"/>
                <w:sz w:val="21"/>
                <w:szCs w:val="21"/>
                <w:highlight w:val="none"/>
              </w:rPr>
              <w:t>2．禁止向海域排放油类、酸液、碱液、剧毒废液和高、中水平放射性废水，严格控制向海域排放含有不易降解的有机物和重金属的废水，排放低水平放射性废水应当符合国家放射性污染防治标准，其他污染物的排放应当符合国家或者地方标准。</w:t>
            </w:r>
          </w:p>
        </w:tc>
        <w:tc>
          <w:tcPr>
            <w:tcW w:w="1534" w:type="pct"/>
            <w:vMerge w:val="continue"/>
            <w:tcBorders>
              <w:tl2br w:val="nil"/>
              <w:tr2bl w:val="nil"/>
            </w:tcBorders>
            <w:vAlign w:val="center"/>
          </w:tcPr>
          <w:p w14:paraId="7DECB8A7">
            <w:pPr>
              <w:pStyle w:val="9"/>
              <w:adjustRightInd w:val="0"/>
              <w:snapToGrid w:val="0"/>
              <w:spacing w:line="240" w:lineRule="auto"/>
              <w:ind w:left="-72" w:leftChars="-30" w:right="-72" w:rightChars="-30" w:firstLine="0" w:firstLineChars="0"/>
              <w:rPr>
                <w:color w:val="auto"/>
                <w:sz w:val="21"/>
                <w:szCs w:val="21"/>
                <w:highlight w:val="none"/>
              </w:rPr>
            </w:pPr>
          </w:p>
        </w:tc>
      </w:tr>
      <w:tr w14:paraId="409637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7" w:type="pct"/>
            <w:vMerge w:val="continue"/>
            <w:tcBorders>
              <w:tl2br w:val="nil"/>
              <w:tr2bl w:val="nil"/>
            </w:tcBorders>
            <w:vAlign w:val="center"/>
          </w:tcPr>
          <w:p w14:paraId="04E501CD">
            <w:pPr>
              <w:topLinePunct w:val="0"/>
              <w:spacing w:line="240" w:lineRule="auto"/>
              <w:ind w:left="-72" w:leftChars="-30" w:right="-72" w:rightChars="-30" w:firstLine="0" w:firstLineChars="0"/>
              <w:jc w:val="center"/>
              <w:rPr>
                <w:color w:val="auto"/>
                <w:sz w:val="21"/>
                <w:szCs w:val="21"/>
                <w:highlight w:val="none"/>
                <w:lang w:bidi="ar"/>
              </w:rPr>
            </w:pPr>
          </w:p>
        </w:tc>
        <w:tc>
          <w:tcPr>
            <w:tcW w:w="456" w:type="pct"/>
            <w:vMerge w:val="continue"/>
            <w:tcBorders>
              <w:tl2br w:val="nil"/>
              <w:tr2bl w:val="nil"/>
            </w:tcBorders>
            <w:vAlign w:val="center"/>
          </w:tcPr>
          <w:p w14:paraId="6082C726">
            <w:pPr>
              <w:topLinePunct w:val="0"/>
              <w:spacing w:line="240" w:lineRule="auto"/>
              <w:ind w:left="-72" w:leftChars="-30" w:right="-72" w:rightChars="-30" w:firstLine="0" w:firstLineChars="0"/>
              <w:jc w:val="center"/>
              <w:rPr>
                <w:color w:val="auto"/>
                <w:sz w:val="21"/>
                <w:szCs w:val="21"/>
                <w:highlight w:val="none"/>
                <w:lang w:bidi="ar"/>
              </w:rPr>
            </w:pPr>
          </w:p>
        </w:tc>
        <w:tc>
          <w:tcPr>
            <w:tcW w:w="430" w:type="pct"/>
            <w:vMerge w:val="continue"/>
            <w:tcBorders>
              <w:tl2br w:val="nil"/>
              <w:tr2bl w:val="nil"/>
            </w:tcBorders>
            <w:vAlign w:val="center"/>
          </w:tcPr>
          <w:p w14:paraId="141EE70E">
            <w:pPr>
              <w:topLinePunct w:val="0"/>
              <w:spacing w:line="240" w:lineRule="auto"/>
              <w:ind w:left="-72" w:leftChars="-30" w:right="-72" w:rightChars="-30" w:firstLine="0" w:firstLineChars="0"/>
              <w:jc w:val="center"/>
              <w:rPr>
                <w:color w:val="auto"/>
                <w:sz w:val="21"/>
                <w:szCs w:val="21"/>
                <w:highlight w:val="none"/>
                <w:lang w:bidi="ar"/>
              </w:rPr>
            </w:pPr>
          </w:p>
        </w:tc>
        <w:tc>
          <w:tcPr>
            <w:tcW w:w="404" w:type="pct"/>
            <w:vMerge w:val="continue"/>
            <w:tcBorders>
              <w:tl2br w:val="nil"/>
              <w:tr2bl w:val="nil"/>
            </w:tcBorders>
            <w:vAlign w:val="center"/>
          </w:tcPr>
          <w:p w14:paraId="0092CD4C">
            <w:pPr>
              <w:pStyle w:val="9"/>
              <w:adjustRightInd w:val="0"/>
              <w:snapToGrid w:val="0"/>
              <w:spacing w:line="240" w:lineRule="auto"/>
              <w:ind w:left="-72" w:leftChars="-30" w:right="-72" w:rightChars="-30" w:firstLine="0" w:firstLineChars="0"/>
              <w:jc w:val="center"/>
              <w:rPr>
                <w:color w:val="auto"/>
                <w:sz w:val="21"/>
                <w:szCs w:val="21"/>
                <w:highlight w:val="none"/>
              </w:rPr>
            </w:pPr>
          </w:p>
        </w:tc>
        <w:tc>
          <w:tcPr>
            <w:tcW w:w="1686" w:type="pct"/>
            <w:tcBorders>
              <w:tl2br w:val="nil"/>
              <w:tr2bl w:val="nil"/>
            </w:tcBorders>
            <w:vAlign w:val="center"/>
          </w:tcPr>
          <w:p w14:paraId="1ADA7B7C">
            <w:pPr>
              <w:topLinePunct w:val="0"/>
              <w:spacing w:line="240" w:lineRule="auto"/>
              <w:ind w:left="-72" w:leftChars="-30" w:right="-72" w:rightChars="-30" w:firstLine="0" w:firstLineChars="0"/>
              <w:rPr>
                <w:color w:val="auto"/>
                <w:sz w:val="21"/>
                <w:szCs w:val="21"/>
                <w:highlight w:val="none"/>
              </w:rPr>
            </w:pPr>
            <w:r>
              <w:rPr>
                <w:color w:val="auto"/>
                <w:sz w:val="21"/>
                <w:szCs w:val="21"/>
                <w:highlight w:val="none"/>
              </w:rPr>
              <w:t>3．含病原体的医疗污水、生活污水和工业废水必须经过处理，符合国家有关排放标准后，方能排入海域。</w:t>
            </w:r>
          </w:p>
        </w:tc>
        <w:tc>
          <w:tcPr>
            <w:tcW w:w="1534" w:type="pct"/>
            <w:vMerge w:val="continue"/>
            <w:tcBorders>
              <w:tl2br w:val="nil"/>
              <w:tr2bl w:val="nil"/>
            </w:tcBorders>
            <w:vAlign w:val="center"/>
          </w:tcPr>
          <w:p w14:paraId="4ABFF13B">
            <w:pPr>
              <w:pStyle w:val="9"/>
              <w:adjustRightInd w:val="0"/>
              <w:snapToGrid w:val="0"/>
              <w:spacing w:line="240" w:lineRule="auto"/>
              <w:ind w:left="-72" w:leftChars="-30" w:right="-72" w:rightChars="-30" w:firstLine="0" w:firstLineChars="0"/>
              <w:rPr>
                <w:color w:val="auto"/>
                <w:sz w:val="21"/>
                <w:szCs w:val="21"/>
                <w:highlight w:val="none"/>
              </w:rPr>
            </w:pPr>
          </w:p>
        </w:tc>
      </w:tr>
      <w:tr w14:paraId="255B52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7" w:type="pct"/>
            <w:vMerge w:val="continue"/>
            <w:tcBorders>
              <w:tl2br w:val="nil"/>
              <w:tr2bl w:val="nil"/>
            </w:tcBorders>
            <w:vAlign w:val="center"/>
          </w:tcPr>
          <w:p w14:paraId="5DE45061">
            <w:pPr>
              <w:topLinePunct w:val="0"/>
              <w:spacing w:line="240" w:lineRule="auto"/>
              <w:ind w:left="-72" w:leftChars="-30" w:right="-72" w:rightChars="-30" w:firstLine="0" w:firstLineChars="0"/>
              <w:jc w:val="center"/>
              <w:rPr>
                <w:color w:val="auto"/>
                <w:sz w:val="21"/>
                <w:szCs w:val="21"/>
                <w:highlight w:val="none"/>
                <w:lang w:bidi="ar"/>
              </w:rPr>
            </w:pPr>
          </w:p>
        </w:tc>
        <w:tc>
          <w:tcPr>
            <w:tcW w:w="456" w:type="pct"/>
            <w:vMerge w:val="continue"/>
            <w:tcBorders>
              <w:tl2br w:val="nil"/>
              <w:tr2bl w:val="nil"/>
            </w:tcBorders>
            <w:vAlign w:val="center"/>
          </w:tcPr>
          <w:p w14:paraId="1AEC7E78">
            <w:pPr>
              <w:topLinePunct w:val="0"/>
              <w:spacing w:line="240" w:lineRule="auto"/>
              <w:ind w:left="-72" w:leftChars="-30" w:right="-72" w:rightChars="-30" w:firstLine="0" w:firstLineChars="0"/>
              <w:jc w:val="center"/>
              <w:rPr>
                <w:color w:val="auto"/>
                <w:sz w:val="21"/>
                <w:szCs w:val="21"/>
                <w:highlight w:val="none"/>
                <w:lang w:bidi="ar"/>
              </w:rPr>
            </w:pPr>
          </w:p>
        </w:tc>
        <w:tc>
          <w:tcPr>
            <w:tcW w:w="430" w:type="pct"/>
            <w:vMerge w:val="continue"/>
            <w:tcBorders>
              <w:tl2br w:val="nil"/>
              <w:tr2bl w:val="nil"/>
            </w:tcBorders>
            <w:vAlign w:val="center"/>
          </w:tcPr>
          <w:p w14:paraId="7DBC8447">
            <w:pPr>
              <w:topLinePunct w:val="0"/>
              <w:spacing w:line="240" w:lineRule="auto"/>
              <w:ind w:left="-72" w:leftChars="-30" w:right="-72" w:rightChars="-30" w:firstLine="0" w:firstLineChars="0"/>
              <w:jc w:val="center"/>
              <w:rPr>
                <w:color w:val="auto"/>
                <w:sz w:val="21"/>
                <w:szCs w:val="21"/>
                <w:highlight w:val="none"/>
                <w:lang w:bidi="ar"/>
              </w:rPr>
            </w:pPr>
          </w:p>
        </w:tc>
        <w:tc>
          <w:tcPr>
            <w:tcW w:w="404" w:type="pct"/>
            <w:vMerge w:val="continue"/>
            <w:tcBorders>
              <w:tl2br w:val="nil"/>
              <w:tr2bl w:val="nil"/>
            </w:tcBorders>
            <w:vAlign w:val="center"/>
          </w:tcPr>
          <w:p w14:paraId="442B8AF5">
            <w:pPr>
              <w:pStyle w:val="9"/>
              <w:adjustRightInd w:val="0"/>
              <w:snapToGrid w:val="0"/>
              <w:spacing w:line="240" w:lineRule="auto"/>
              <w:ind w:left="-72" w:leftChars="-30" w:right="-72" w:rightChars="-30" w:firstLine="0" w:firstLineChars="0"/>
              <w:jc w:val="center"/>
              <w:rPr>
                <w:color w:val="auto"/>
                <w:sz w:val="21"/>
                <w:szCs w:val="21"/>
                <w:highlight w:val="none"/>
              </w:rPr>
            </w:pPr>
          </w:p>
        </w:tc>
        <w:tc>
          <w:tcPr>
            <w:tcW w:w="1686" w:type="pct"/>
            <w:tcBorders>
              <w:tl2br w:val="nil"/>
              <w:tr2bl w:val="nil"/>
            </w:tcBorders>
            <w:vAlign w:val="center"/>
          </w:tcPr>
          <w:p w14:paraId="557EB9E3">
            <w:pPr>
              <w:topLinePunct w:val="0"/>
              <w:spacing w:line="240" w:lineRule="auto"/>
              <w:ind w:left="-72" w:leftChars="-30" w:right="-72" w:rightChars="-30" w:firstLine="0" w:firstLineChars="0"/>
              <w:rPr>
                <w:color w:val="auto"/>
                <w:sz w:val="21"/>
                <w:szCs w:val="21"/>
                <w:highlight w:val="none"/>
              </w:rPr>
            </w:pPr>
            <w:r>
              <w:rPr>
                <w:color w:val="auto"/>
                <w:sz w:val="21"/>
                <w:szCs w:val="21"/>
                <w:highlight w:val="none"/>
              </w:rPr>
              <w:t>4．含有机物和营养物质的工业废水、生活污水，应当严格控制向海湾、半封闭海及其他自净能力较差的海域排放。</w:t>
            </w:r>
          </w:p>
        </w:tc>
        <w:tc>
          <w:tcPr>
            <w:tcW w:w="1534" w:type="pct"/>
            <w:vMerge w:val="continue"/>
            <w:tcBorders>
              <w:tl2br w:val="nil"/>
              <w:tr2bl w:val="nil"/>
            </w:tcBorders>
            <w:vAlign w:val="center"/>
          </w:tcPr>
          <w:p w14:paraId="79AE0DFB">
            <w:pPr>
              <w:pStyle w:val="9"/>
              <w:adjustRightInd w:val="0"/>
              <w:snapToGrid w:val="0"/>
              <w:spacing w:line="240" w:lineRule="auto"/>
              <w:ind w:left="-72" w:leftChars="-30" w:right="-72" w:rightChars="-30" w:firstLine="0" w:firstLineChars="0"/>
              <w:rPr>
                <w:color w:val="auto"/>
                <w:sz w:val="21"/>
                <w:szCs w:val="21"/>
                <w:highlight w:val="none"/>
              </w:rPr>
            </w:pPr>
          </w:p>
        </w:tc>
      </w:tr>
      <w:tr w14:paraId="363DBC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7" w:type="pct"/>
            <w:vMerge w:val="continue"/>
            <w:tcBorders>
              <w:tl2br w:val="nil"/>
              <w:tr2bl w:val="nil"/>
            </w:tcBorders>
            <w:vAlign w:val="center"/>
          </w:tcPr>
          <w:p w14:paraId="3B6CECF4">
            <w:pPr>
              <w:topLinePunct w:val="0"/>
              <w:spacing w:line="240" w:lineRule="auto"/>
              <w:ind w:left="-72" w:leftChars="-30" w:right="-72" w:rightChars="-30" w:firstLine="0" w:firstLineChars="0"/>
              <w:jc w:val="center"/>
              <w:rPr>
                <w:color w:val="auto"/>
                <w:sz w:val="21"/>
                <w:szCs w:val="21"/>
                <w:highlight w:val="none"/>
                <w:lang w:bidi="ar"/>
              </w:rPr>
            </w:pPr>
          </w:p>
        </w:tc>
        <w:tc>
          <w:tcPr>
            <w:tcW w:w="456" w:type="pct"/>
            <w:vMerge w:val="continue"/>
            <w:tcBorders>
              <w:tl2br w:val="nil"/>
              <w:tr2bl w:val="nil"/>
            </w:tcBorders>
            <w:vAlign w:val="center"/>
          </w:tcPr>
          <w:p w14:paraId="5CCB2D99">
            <w:pPr>
              <w:topLinePunct w:val="0"/>
              <w:spacing w:line="240" w:lineRule="auto"/>
              <w:ind w:left="-72" w:leftChars="-30" w:right="-72" w:rightChars="-30" w:firstLine="0" w:firstLineChars="0"/>
              <w:jc w:val="center"/>
              <w:rPr>
                <w:color w:val="auto"/>
                <w:sz w:val="21"/>
                <w:szCs w:val="21"/>
                <w:highlight w:val="none"/>
                <w:lang w:bidi="ar"/>
              </w:rPr>
            </w:pPr>
          </w:p>
        </w:tc>
        <w:tc>
          <w:tcPr>
            <w:tcW w:w="430" w:type="pct"/>
            <w:vMerge w:val="continue"/>
            <w:tcBorders>
              <w:tl2br w:val="nil"/>
              <w:tr2bl w:val="nil"/>
            </w:tcBorders>
            <w:vAlign w:val="center"/>
          </w:tcPr>
          <w:p w14:paraId="79A12211">
            <w:pPr>
              <w:topLinePunct w:val="0"/>
              <w:spacing w:line="240" w:lineRule="auto"/>
              <w:ind w:left="-72" w:leftChars="-30" w:right="-72" w:rightChars="-30" w:firstLine="0" w:firstLineChars="0"/>
              <w:jc w:val="center"/>
              <w:rPr>
                <w:color w:val="auto"/>
                <w:sz w:val="21"/>
                <w:szCs w:val="21"/>
                <w:highlight w:val="none"/>
                <w:lang w:bidi="ar"/>
              </w:rPr>
            </w:pPr>
          </w:p>
        </w:tc>
        <w:tc>
          <w:tcPr>
            <w:tcW w:w="404" w:type="pct"/>
            <w:vMerge w:val="continue"/>
            <w:tcBorders>
              <w:tl2br w:val="nil"/>
              <w:tr2bl w:val="nil"/>
            </w:tcBorders>
            <w:vAlign w:val="center"/>
          </w:tcPr>
          <w:p w14:paraId="35A4DE10">
            <w:pPr>
              <w:pStyle w:val="9"/>
              <w:adjustRightInd w:val="0"/>
              <w:snapToGrid w:val="0"/>
              <w:spacing w:line="240" w:lineRule="auto"/>
              <w:ind w:left="-72" w:leftChars="-30" w:right="-72" w:rightChars="-30" w:firstLine="0" w:firstLineChars="0"/>
              <w:jc w:val="center"/>
              <w:rPr>
                <w:color w:val="auto"/>
                <w:sz w:val="21"/>
                <w:szCs w:val="21"/>
                <w:highlight w:val="none"/>
              </w:rPr>
            </w:pPr>
          </w:p>
        </w:tc>
        <w:tc>
          <w:tcPr>
            <w:tcW w:w="1686" w:type="pct"/>
            <w:tcBorders>
              <w:tl2br w:val="nil"/>
              <w:tr2bl w:val="nil"/>
            </w:tcBorders>
            <w:vAlign w:val="center"/>
          </w:tcPr>
          <w:p w14:paraId="10E7D745">
            <w:pPr>
              <w:topLinePunct w:val="0"/>
              <w:spacing w:line="240" w:lineRule="auto"/>
              <w:ind w:left="-72" w:leftChars="-30" w:right="-72" w:rightChars="-30" w:firstLine="0" w:firstLineChars="0"/>
              <w:rPr>
                <w:color w:val="auto"/>
                <w:sz w:val="21"/>
                <w:szCs w:val="21"/>
                <w:highlight w:val="none"/>
              </w:rPr>
            </w:pPr>
            <w:r>
              <w:rPr>
                <w:color w:val="auto"/>
                <w:sz w:val="21"/>
                <w:szCs w:val="21"/>
                <w:highlight w:val="none"/>
              </w:rPr>
              <w:t>5．向海域排放含热废水，必须采取有效措施，保证邻近渔业水域的水温符合国家海洋环境质量标准，避免热污染对水产资源的危害。</w:t>
            </w:r>
          </w:p>
        </w:tc>
        <w:tc>
          <w:tcPr>
            <w:tcW w:w="1534" w:type="pct"/>
            <w:vMerge w:val="continue"/>
            <w:tcBorders>
              <w:tl2br w:val="nil"/>
              <w:tr2bl w:val="nil"/>
            </w:tcBorders>
            <w:vAlign w:val="center"/>
          </w:tcPr>
          <w:p w14:paraId="293A222C">
            <w:pPr>
              <w:pStyle w:val="9"/>
              <w:adjustRightInd w:val="0"/>
              <w:snapToGrid w:val="0"/>
              <w:spacing w:line="240" w:lineRule="auto"/>
              <w:ind w:left="-72" w:leftChars="-30" w:right="-72" w:rightChars="-30" w:firstLine="0" w:firstLineChars="0"/>
              <w:rPr>
                <w:color w:val="auto"/>
                <w:sz w:val="21"/>
                <w:szCs w:val="21"/>
                <w:highlight w:val="none"/>
              </w:rPr>
            </w:pPr>
          </w:p>
        </w:tc>
      </w:tr>
      <w:tr w14:paraId="12A7E3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7" w:type="pct"/>
            <w:vMerge w:val="continue"/>
            <w:tcBorders>
              <w:tl2br w:val="nil"/>
              <w:tr2bl w:val="nil"/>
            </w:tcBorders>
            <w:vAlign w:val="center"/>
          </w:tcPr>
          <w:p w14:paraId="798808ED">
            <w:pPr>
              <w:topLinePunct w:val="0"/>
              <w:spacing w:line="240" w:lineRule="auto"/>
              <w:ind w:left="-72" w:leftChars="-30" w:right="-72" w:rightChars="-30" w:firstLine="0" w:firstLineChars="0"/>
              <w:jc w:val="center"/>
              <w:rPr>
                <w:color w:val="auto"/>
                <w:sz w:val="21"/>
                <w:szCs w:val="21"/>
                <w:highlight w:val="none"/>
                <w:lang w:bidi="ar"/>
              </w:rPr>
            </w:pPr>
          </w:p>
        </w:tc>
        <w:tc>
          <w:tcPr>
            <w:tcW w:w="456" w:type="pct"/>
            <w:vMerge w:val="continue"/>
            <w:tcBorders>
              <w:tl2br w:val="nil"/>
              <w:tr2bl w:val="nil"/>
            </w:tcBorders>
            <w:vAlign w:val="center"/>
          </w:tcPr>
          <w:p w14:paraId="72CB7630">
            <w:pPr>
              <w:topLinePunct w:val="0"/>
              <w:spacing w:line="240" w:lineRule="auto"/>
              <w:ind w:left="-72" w:leftChars="-30" w:right="-72" w:rightChars="-30" w:firstLine="0" w:firstLineChars="0"/>
              <w:jc w:val="center"/>
              <w:rPr>
                <w:color w:val="auto"/>
                <w:sz w:val="21"/>
                <w:szCs w:val="21"/>
                <w:highlight w:val="none"/>
                <w:lang w:bidi="ar"/>
              </w:rPr>
            </w:pPr>
          </w:p>
        </w:tc>
        <w:tc>
          <w:tcPr>
            <w:tcW w:w="430" w:type="pct"/>
            <w:vMerge w:val="continue"/>
            <w:tcBorders>
              <w:tl2br w:val="nil"/>
              <w:tr2bl w:val="nil"/>
            </w:tcBorders>
            <w:vAlign w:val="center"/>
          </w:tcPr>
          <w:p w14:paraId="028206A7">
            <w:pPr>
              <w:topLinePunct w:val="0"/>
              <w:spacing w:line="240" w:lineRule="auto"/>
              <w:ind w:left="-72" w:leftChars="-30" w:right="-72" w:rightChars="-30" w:firstLine="0" w:firstLineChars="0"/>
              <w:jc w:val="center"/>
              <w:rPr>
                <w:color w:val="auto"/>
                <w:sz w:val="21"/>
                <w:szCs w:val="21"/>
                <w:highlight w:val="none"/>
                <w:lang w:bidi="ar"/>
              </w:rPr>
            </w:pPr>
          </w:p>
        </w:tc>
        <w:tc>
          <w:tcPr>
            <w:tcW w:w="404" w:type="pct"/>
            <w:vMerge w:val="restart"/>
            <w:tcBorders>
              <w:tl2br w:val="nil"/>
              <w:tr2bl w:val="nil"/>
            </w:tcBorders>
            <w:vAlign w:val="center"/>
          </w:tcPr>
          <w:p w14:paraId="5145E7D8">
            <w:pPr>
              <w:pStyle w:val="9"/>
              <w:adjustRightInd w:val="0"/>
              <w:snapToGrid w:val="0"/>
              <w:spacing w:line="240" w:lineRule="auto"/>
              <w:ind w:left="-72" w:leftChars="-30" w:right="-72" w:rightChars="-30" w:firstLine="0" w:firstLineChars="0"/>
              <w:jc w:val="center"/>
              <w:rPr>
                <w:color w:val="auto"/>
                <w:sz w:val="21"/>
                <w:szCs w:val="21"/>
                <w:highlight w:val="none"/>
              </w:rPr>
            </w:pPr>
            <w:r>
              <w:rPr>
                <w:color w:val="auto"/>
                <w:sz w:val="21"/>
                <w:szCs w:val="21"/>
                <w:highlight w:val="none"/>
              </w:rPr>
              <w:t>环境风险防控</w:t>
            </w:r>
          </w:p>
        </w:tc>
        <w:tc>
          <w:tcPr>
            <w:tcW w:w="1686" w:type="pct"/>
            <w:tcBorders>
              <w:tl2br w:val="nil"/>
              <w:tr2bl w:val="nil"/>
            </w:tcBorders>
            <w:vAlign w:val="center"/>
          </w:tcPr>
          <w:p w14:paraId="01DC25A3">
            <w:pPr>
              <w:pStyle w:val="271"/>
              <w:numPr>
                <w:ilvl w:val="255"/>
                <w:numId w:val="0"/>
              </w:numPr>
              <w:topLinePunct w:val="0"/>
              <w:adjustRightInd w:val="0"/>
              <w:snapToGrid w:val="0"/>
              <w:spacing w:line="240" w:lineRule="auto"/>
              <w:ind w:left="-72" w:leftChars="-30" w:right="-72" w:rightChars="-30"/>
              <w:rPr>
                <w:color w:val="auto"/>
                <w:sz w:val="21"/>
                <w:szCs w:val="21"/>
                <w:highlight w:val="none"/>
              </w:rPr>
            </w:pPr>
            <w:r>
              <w:rPr>
                <w:color w:val="auto"/>
                <w:sz w:val="21"/>
                <w:szCs w:val="21"/>
                <w:highlight w:val="none"/>
              </w:rPr>
              <w:t>1．深入强化入海排污口环境安全监管，提升海域水环境监察、监测能力，建立入海排污口长效管理机制，定期开展联合执法。</w:t>
            </w:r>
          </w:p>
        </w:tc>
        <w:tc>
          <w:tcPr>
            <w:tcW w:w="1534" w:type="pct"/>
            <w:vMerge w:val="restart"/>
            <w:tcBorders>
              <w:tl2br w:val="nil"/>
              <w:tr2bl w:val="nil"/>
            </w:tcBorders>
            <w:vAlign w:val="center"/>
          </w:tcPr>
          <w:p w14:paraId="759C925D">
            <w:pPr>
              <w:pStyle w:val="9"/>
              <w:adjustRightInd w:val="0"/>
              <w:snapToGrid w:val="0"/>
              <w:spacing w:line="240" w:lineRule="auto"/>
              <w:ind w:left="-72" w:leftChars="-30" w:right="-72" w:rightChars="-30" w:firstLine="0" w:firstLineChars="0"/>
              <w:rPr>
                <w:color w:val="auto"/>
                <w:sz w:val="21"/>
                <w:szCs w:val="21"/>
                <w:highlight w:val="none"/>
              </w:rPr>
            </w:pPr>
            <w:r>
              <w:rPr>
                <w:color w:val="auto"/>
                <w:kern w:val="0"/>
                <w:sz w:val="21"/>
                <w:szCs w:val="21"/>
                <w:highlight w:val="none"/>
                <w:lang w:bidi="ar"/>
              </w:rPr>
              <w:t>符合，项目建立海上溢油污染环境应急响应机制，设置应急监测及处置预案，配备海上溢油风险应急物资。</w:t>
            </w:r>
          </w:p>
        </w:tc>
      </w:tr>
      <w:tr w14:paraId="0E6B90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4" w:hRule="atLeast"/>
        </w:trPr>
        <w:tc>
          <w:tcPr>
            <w:tcW w:w="487" w:type="pct"/>
            <w:vMerge w:val="continue"/>
            <w:tcBorders>
              <w:tl2br w:val="nil"/>
              <w:tr2bl w:val="nil"/>
            </w:tcBorders>
            <w:vAlign w:val="center"/>
          </w:tcPr>
          <w:p w14:paraId="4DDB6DDD">
            <w:pPr>
              <w:topLinePunct w:val="0"/>
              <w:spacing w:line="240" w:lineRule="auto"/>
              <w:ind w:left="-72" w:leftChars="-30" w:right="-72" w:rightChars="-30" w:firstLine="0" w:firstLineChars="0"/>
              <w:jc w:val="center"/>
              <w:rPr>
                <w:color w:val="auto"/>
                <w:sz w:val="21"/>
                <w:szCs w:val="21"/>
                <w:highlight w:val="none"/>
                <w:lang w:bidi="ar"/>
              </w:rPr>
            </w:pPr>
          </w:p>
        </w:tc>
        <w:tc>
          <w:tcPr>
            <w:tcW w:w="456" w:type="pct"/>
            <w:vMerge w:val="continue"/>
            <w:tcBorders>
              <w:tl2br w:val="nil"/>
              <w:tr2bl w:val="nil"/>
            </w:tcBorders>
            <w:vAlign w:val="center"/>
          </w:tcPr>
          <w:p w14:paraId="7612A62D">
            <w:pPr>
              <w:topLinePunct w:val="0"/>
              <w:spacing w:line="240" w:lineRule="auto"/>
              <w:ind w:left="-72" w:leftChars="-30" w:right="-72" w:rightChars="-30" w:firstLine="0" w:firstLineChars="0"/>
              <w:jc w:val="center"/>
              <w:rPr>
                <w:color w:val="auto"/>
                <w:sz w:val="21"/>
                <w:szCs w:val="21"/>
                <w:highlight w:val="none"/>
                <w:lang w:bidi="ar"/>
              </w:rPr>
            </w:pPr>
          </w:p>
        </w:tc>
        <w:tc>
          <w:tcPr>
            <w:tcW w:w="430" w:type="pct"/>
            <w:vMerge w:val="continue"/>
            <w:tcBorders>
              <w:tl2br w:val="nil"/>
              <w:tr2bl w:val="nil"/>
            </w:tcBorders>
            <w:vAlign w:val="center"/>
          </w:tcPr>
          <w:p w14:paraId="447E05F5">
            <w:pPr>
              <w:topLinePunct w:val="0"/>
              <w:spacing w:line="240" w:lineRule="auto"/>
              <w:ind w:left="-72" w:leftChars="-30" w:right="-72" w:rightChars="-30" w:firstLine="0" w:firstLineChars="0"/>
              <w:jc w:val="center"/>
              <w:rPr>
                <w:color w:val="auto"/>
                <w:sz w:val="21"/>
                <w:szCs w:val="21"/>
                <w:highlight w:val="none"/>
                <w:lang w:bidi="ar"/>
              </w:rPr>
            </w:pPr>
          </w:p>
        </w:tc>
        <w:tc>
          <w:tcPr>
            <w:tcW w:w="404" w:type="pct"/>
            <w:vMerge w:val="continue"/>
            <w:tcBorders>
              <w:tl2br w:val="nil"/>
              <w:tr2bl w:val="nil"/>
            </w:tcBorders>
            <w:vAlign w:val="center"/>
          </w:tcPr>
          <w:p w14:paraId="31B75A5A">
            <w:pPr>
              <w:pStyle w:val="9"/>
              <w:adjustRightInd w:val="0"/>
              <w:snapToGrid w:val="0"/>
              <w:spacing w:line="240" w:lineRule="auto"/>
              <w:ind w:left="-72" w:leftChars="-30" w:right="-72" w:rightChars="-30" w:firstLine="0" w:firstLineChars="0"/>
              <w:jc w:val="center"/>
              <w:rPr>
                <w:color w:val="auto"/>
                <w:sz w:val="21"/>
                <w:szCs w:val="21"/>
                <w:highlight w:val="none"/>
              </w:rPr>
            </w:pPr>
          </w:p>
        </w:tc>
        <w:tc>
          <w:tcPr>
            <w:tcW w:w="1686" w:type="pct"/>
            <w:tcBorders>
              <w:tl2br w:val="nil"/>
              <w:tr2bl w:val="nil"/>
            </w:tcBorders>
            <w:vAlign w:val="center"/>
          </w:tcPr>
          <w:p w14:paraId="6211FA12">
            <w:pPr>
              <w:pStyle w:val="271"/>
              <w:numPr>
                <w:ilvl w:val="255"/>
                <w:numId w:val="0"/>
              </w:numPr>
              <w:topLinePunct w:val="0"/>
              <w:adjustRightInd w:val="0"/>
              <w:snapToGrid w:val="0"/>
              <w:spacing w:line="240" w:lineRule="auto"/>
              <w:ind w:left="-72" w:leftChars="-30" w:right="-72" w:rightChars="-30"/>
              <w:rPr>
                <w:color w:val="auto"/>
                <w:sz w:val="21"/>
                <w:szCs w:val="21"/>
                <w:highlight w:val="none"/>
              </w:rPr>
            </w:pPr>
            <w:r>
              <w:rPr>
                <w:color w:val="auto"/>
                <w:sz w:val="21"/>
                <w:szCs w:val="21"/>
                <w:highlight w:val="none"/>
              </w:rPr>
              <w:t>2．强化环境风险源精准化管理，健全突发环境事件风险评估制度，加强污染物排放浓度和总量监测监控，强化监控确保达标排放。</w:t>
            </w:r>
          </w:p>
        </w:tc>
        <w:tc>
          <w:tcPr>
            <w:tcW w:w="1534" w:type="pct"/>
            <w:vMerge w:val="continue"/>
            <w:tcBorders>
              <w:tl2br w:val="nil"/>
              <w:tr2bl w:val="nil"/>
            </w:tcBorders>
            <w:vAlign w:val="center"/>
          </w:tcPr>
          <w:p w14:paraId="66B37A66">
            <w:pPr>
              <w:pStyle w:val="9"/>
              <w:adjustRightInd w:val="0"/>
              <w:snapToGrid w:val="0"/>
              <w:spacing w:line="240" w:lineRule="auto"/>
              <w:ind w:left="-72" w:leftChars="-30" w:right="-72" w:rightChars="-30" w:firstLine="0" w:firstLineChars="0"/>
              <w:rPr>
                <w:color w:val="auto"/>
                <w:sz w:val="21"/>
                <w:szCs w:val="21"/>
                <w:highlight w:val="none"/>
              </w:rPr>
            </w:pPr>
          </w:p>
        </w:tc>
      </w:tr>
    </w:tbl>
    <w:p w14:paraId="4F94F724">
      <w:pPr>
        <w:ind w:firstLine="0" w:firstLineChars="0"/>
        <w:rPr>
          <w:color w:val="auto"/>
          <w:sz w:val="21"/>
          <w:szCs w:val="21"/>
          <w:highlight w:val="none"/>
        </w:rPr>
      </w:pPr>
    </w:p>
    <w:p w14:paraId="20DA0755">
      <w:pPr>
        <w:pStyle w:val="6"/>
        <w:rPr>
          <w:color w:val="auto"/>
          <w:sz w:val="32"/>
          <w:szCs w:val="32"/>
          <w:highlight w:val="none"/>
        </w:rPr>
      </w:pPr>
      <w:bookmarkStart w:id="18" w:name="_Toc54686736"/>
      <w:bookmarkStart w:id="19" w:name="_Toc13303"/>
      <w:bookmarkStart w:id="20" w:name="_Toc26935"/>
      <w:r>
        <w:rPr>
          <w:color w:val="auto"/>
          <w:sz w:val="32"/>
          <w:szCs w:val="32"/>
          <w:highlight w:val="none"/>
        </w:rPr>
        <w:t>四、关注的主要环境问题</w:t>
      </w:r>
      <w:bookmarkEnd w:id="18"/>
      <w:bookmarkEnd w:id="19"/>
      <w:bookmarkEnd w:id="20"/>
    </w:p>
    <w:p w14:paraId="675806E4">
      <w:pPr>
        <w:wordWrap w:val="0"/>
        <w:topLinePunct w:val="0"/>
        <w:ind w:firstLine="480"/>
        <w:rPr>
          <w:color w:val="auto"/>
          <w:highlight w:val="none"/>
        </w:rPr>
      </w:pPr>
      <w:r>
        <w:rPr>
          <w:color w:val="auto"/>
          <w:highlight w:val="none"/>
        </w:rPr>
        <w:t>工程关注的主要环境问题如下：</w:t>
      </w:r>
    </w:p>
    <w:p w14:paraId="370D4FD1">
      <w:pPr>
        <w:numPr>
          <w:ilvl w:val="0"/>
          <w:numId w:val="8"/>
        </w:numPr>
        <w:wordWrap w:val="0"/>
        <w:topLinePunct w:val="0"/>
        <w:ind w:firstLine="480"/>
        <w:rPr>
          <w:color w:val="auto"/>
          <w:highlight w:val="none"/>
        </w:rPr>
      </w:pPr>
      <w:r>
        <w:rPr>
          <w:color w:val="auto"/>
          <w:highlight w:val="none"/>
        </w:rPr>
        <w:t>重点分析项目建设具体内容，明确项目产生的污染物的实际源强及实际排放量；</w:t>
      </w:r>
    </w:p>
    <w:p w14:paraId="14BBC97D">
      <w:pPr>
        <w:numPr>
          <w:ilvl w:val="0"/>
          <w:numId w:val="8"/>
        </w:numPr>
        <w:wordWrap w:val="0"/>
        <w:topLinePunct w:val="0"/>
        <w:ind w:firstLine="480"/>
        <w:rPr>
          <w:color w:val="auto"/>
          <w:highlight w:val="none"/>
        </w:rPr>
      </w:pPr>
      <w:r>
        <w:rPr>
          <w:color w:val="auto"/>
          <w:highlight w:val="none"/>
        </w:rPr>
        <w:t>浮船坞施工过程产生局部水域的SS污染影响，造成水体中悬浮物浓度增加，对周边海洋环境的影响</w:t>
      </w:r>
      <w:r>
        <w:rPr>
          <w:rFonts w:hint="eastAsia"/>
          <w:color w:val="auto"/>
          <w:highlight w:val="none"/>
        </w:rPr>
        <w:t>；浮船坞喷漆过程产生的挥发性有机物，对大气环境的影响</w:t>
      </w:r>
      <w:r>
        <w:rPr>
          <w:color w:val="auto"/>
          <w:highlight w:val="none"/>
        </w:rPr>
        <w:t>；</w:t>
      </w:r>
    </w:p>
    <w:p w14:paraId="032D7B9C">
      <w:pPr>
        <w:numPr>
          <w:ilvl w:val="0"/>
          <w:numId w:val="8"/>
        </w:numPr>
        <w:wordWrap w:val="0"/>
        <w:topLinePunct w:val="0"/>
        <w:ind w:firstLine="480"/>
        <w:rPr>
          <w:color w:val="auto"/>
          <w:highlight w:val="none"/>
        </w:rPr>
      </w:pPr>
      <w:r>
        <w:rPr>
          <w:color w:val="auto"/>
          <w:highlight w:val="none"/>
        </w:rPr>
        <w:t>分析项目污染防治措施及风险防范措施等内容，并论证项目污染防治措施及风险防范措施的可行性；</w:t>
      </w:r>
    </w:p>
    <w:p w14:paraId="02EBAFD2">
      <w:pPr>
        <w:numPr>
          <w:ilvl w:val="0"/>
          <w:numId w:val="8"/>
        </w:numPr>
        <w:wordWrap w:val="0"/>
        <w:topLinePunct w:val="0"/>
        <w:ind w:firstLine="480"/>
        <w:rPr>
          <w:color w:val="auto"/>
          <w:highlight w:val="none"/>
        </w:rPr>
      </w:pPr>
      <w:r>
        <w:rPr>
          <w:color w:val="auto"/>
          <w:highlight w:val="none"/>
        </w:rPr>
        <w:t>分析论证项目运营期发生溢油事故对海域环境影响及防范应急措施。</w:t>
      </w:r>
    </w:p>
    <w:p w14:paraId="26C4BBD9">
      <w:pPr>
        <w:pStyle w:val="6"/>
        <w:rPr>
          <w:color w:val="auto"/>
          <w:sz w:val="32"/>
          <w:szCs w:val="32"/>
          <w:highlight w:val="none"/>
        </w:rPr>
      </w:pPr>
      <w:bookmarkStart w:id="21" w:name="_Toc15281"/>
      <w:bookmarkStart w:id="22" w:name="_Toc23444"/>
      <w:bookmarkStart w:id="23" w:name="_Toc54686737"/>
      <w:r>
        <w:rPr>
          <w:color w:val="auto"/>
          <w:sz w:val="32"/>
          <w:szCs w:val="32"/>
          <w:highlight w:val="none"/>
        </w:rPr>
        <w:t>五、报告书的主要结论</w:t>
      </w:r>
      <w:bookmarkEnd w:id="21"/>
      <w:bookmarkEnd w:id="22"/>
      <w:bookmarkEnd w:id="23"/>
    </w:p>
    <w:p w14:paraId="646732EA">
      <w:pPr>
        <w:ind w:firstLine="480"/>
        <w:rPr>
          <w:color w:val="auto"/>
          <w:highlight w:val="none"/>
        </w:rPr>
      </w:pPr>
      <w:r>
        <w:rPr>
          <w:color w:val="auto"/>
          <w:highlight w:val="none"/>
        </w:rPr>
        <w:t>北部湾区域大型船舶维修保障及改装能力建设项目符合国家的产业政策和地方相关规划。项目在严格遵守国家及地方相关法律、法规的要求，认真落实报告书中所提出的各项环境保护措施，并遵循“三同时”的前提下，项目达标排放的各种污染物对周围环境影响较小，不改变区域环境功能属性，环境风险水平可接受。因此，从环保角度分析，北部湾区域大型船舶维修保障及改装能力建设项目可行。</w:t>
      </w:r>
    </w:p>
    <w:p w14:paraId="66193151">
      <w:pPr>
        <w:ind w:firstLine="480"/>
        <w:rPr>
          <w:color w:val="auto"/>
          <w:highlight w:val="none"/>
        </w:rPr>
        <w:sectPr>
          <w:headerReference r:id="rId17" w:type="default"/>
          <w:pgSz w:w="11906" w:h="16838"/>
          <w:pgMar w:top="1440" w:right="1701" w:bottom="1440" w:left="1701" w:header="851" w:footer="992" w:gutter="0"/>
          <w:cols w:space="0" w:num="1"/>
          <w:docGrid w:linePitch="498" w:charSpace="0"/>
        </w:sectPr>
      </w:pPr>
    </w:p>
    <w:sdt>
      <w:sdtPr>
        <w:rPr>
          <w:rFonts w:cs="Times New Roman"/>
          <w:color w:val="auto"/>
          <w:kern w:val="0"/>
          <w:sz w:val="21"/>
          <w:highlight w:val="none"/>
        </w:rPr>
        <w:id w:val="147478097"/>
        <w15:color w:val="DBDBDB"/>
        <w:docPartObj>
          <w:docPartGallery w:val="Table of Contents"/>
          <w:docPartUnique/>
        </w:docPartObj>
      </w:sdtPr>
      <w:sdtEndPr>
        <w:rPr>
          <w:rFonts w:cs="Times New Roman"/>
          <w:color w:val="auto"/>
          <w:kern w:val="0"/>
          <w:sz w:val="24"/>
          <w:highlight w:val="none"/>
        </w:rPr>
      </w:sdtEndPr>
      <w:sdtContent>
        <w:p w14:paraId="6F85E95C">
          <w:pPr>
            <w:pStyle w:val="589"/>
            <w:ind w:firstLine="0" w:firstLineChars="0"/>
            <w:jc w:val="center"/>
            <w:outlineLvl w:val="0"/>
            <w:rPr>
              <w:rFonts w:cs="Times New Roman"/>
              <w:color w:val="auto"/>
              <w:highlight w:val="none"/>
            </w:rPr>
          </w:pPr>
          <w:bookmarkStart w:id="24" w:name="_Toc25503"/>
          <w:r>
            <w:rPr>
              <w:rFonts w:cs="Times New Roman" w:eastAsiaTheme="minorEastAsia"/>
              <w:b/>
              <w:color w:val="auto"/>
              <w:sz w:val="32"/>
              <w:szCs w:val="32"/>
              <w:highlight w:val="none"/>
            </w:rPr>
            <w:t>目录</w:t>
          </w:r>
          <w:bookmarkEnd w:id="24"/>
        </w:p>
        <w:p w14:paraId="7F564EB4">
          <w:pPr>
            <w:pStyle w:val="63"/>
            <w:tabs>
              <w:tab w:val="right" w:leader="dot" w:pos="8504"/>
            </w:tabs>
            <w:rPr>
              <w:color w:val="auto"/>
              <w:highlight w:val="none"/>
            </w:rPr>
          </w:pPr>
          <w:r>
            <w:rPr>
              <w:color w:val="auto"/>
              <w:highlight w:val="none"/>
            </w:rPr>
            <w:fldChar w:fldCharType="begin"/>
          </w:r>
          <w:r>
            <w:rPr>
              <w:color w:val="auto"/>
              <w:highlight w:val="none"/>
            </w:rPr>
            <w:instrText xml:space="preserve">TOC \o "1-2" \h \u </w:instrText>
          </w:r>
          <w:r>
            <w:rPr>
              <w:color w:val="auto"/>
              <w:highlight w:val="none"/>
            </w:rPr>
            <w:fldChar w:fldCharType="separate"/>
          </w:r>
          <w:r>
            <w:rPr>
              <w:color w:val="auto"/>
              <w:highlight w:val="none"/>
            </w:rPr>
            <w:fldChar w:fldCharType="begin"/>
          </w:r>
          <w:r>
            <w:rPr>
              <w:color w:val="auto"/>
              <w:highlight w:val="none"/>
            </w:rPr>
            <w:instrText xml:space="preserve"> HYPERLINK \l "_Toc30296" </w:instrText>
          </w:r>
          <w:r>
            <w:rPr>
              <w:color w:val="auto"/>
              <w:highlight w:val="none"/>
            </w:rPr>
            <w:fldChar w:fldCharType="separate"/>
          </w:r>
          <w:r>
            <w:rPr>
              <w:rFonts w:eastAsiaTheme="minorEastAsia"/>
              <w:color w:val="auto"/>
              <w:szCs w:val="36"/>
              <w:highlight w:val="none"/>
            </w:rPr>
            <w:t>概 述</w:t>
          </w:r>
          <w:r>
            <w:rPr>
              <w:color w:val="auto"/>
              <w:highlight w:val="none"/>
            </w:rPr>
            <w:tab/>
          </w:r>
          <w:r>
            <w:rPr>
              <w:color w:val="auto"/>
              <w:highlight w:val="none"/>
            </w:rPr>
            <w:fldChar w:fldCharType="begin"/>
          </w:r>
          <w:r>
            <w:rPr>
              <w:color w:val="auto"/>
              <w:highlight w:val="none"/>
            </w:rPr>
            <w:instrText xml:space="preserve"> PAGEREF _Toc30296 \h </w:instrText>
          </w:r>
          <w:r>
            <w:rPr>
              <w:color w:val="auto"/>
              <w:highlight w:val="none"/>
            </w:rPr>
            <w:fldChar w:fldCharType="separate"/>
          </w:r>
          <w:r>
            <w:rPr>
              <w:color w:val="auto"/>
              <w:highlight w:val="none"/>
            </w:rPr>
            <w:t>2</w:t>
          </w:r>
          <w:r>
            <w:rPr>
              <w:color w:val="auto"/>
              <w:highlight w:val="none"/>
            </w:rPr>
            <w:fldChar w:fldCharType="end"/>
          </w:r>
          <w:r>
            <w:rPr>
              <w:color w:val="auto"/>
              <w:highlight w:val="none"/>
            </w:rPr>
            <w:fldChar w:fldCharType="end"/>
          </w:r>
        </w:p>
        <w:p w14:paraId="2D1638F7">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"_Toc27764" </w:instrText>
          </w:r>
          <w:r>
            <w:rPr>
              <w:color w:val="auto"/>
              <w:highlight w:val="none"/>
            </w:rPr>
            <w:fldChar w:fldCharType="separate"/>
          </w:r>
          <w:r>
            <w:rPr>
              <w:color w:val="auto"/>
              <w:szCs w:val="32"/>
              <w:highlight w:val="none"/>
            </w:rPr>
            <w:t>一、建设项目简述及特点</w:t>
          </w:r>
          <w:r>
            <w:rPr>
              <w:color w:val="auto"/>
              <w:highlight w:val="none"/>
            </w:rPr>
            <w:tab/>
          </w:r>
          <w:r>
            <w:rPr>
              <w:color w:val="auto"/>
              <w:highlight w:val="none"/>
            </w:rPr>
            <w:fldChar w:fldCharType="begin"/>
          </w:r>
          <w:r>
            <w:rPr>
              <w:color w:val="auto"/>
              <w:highlight w:val="none"/>
            </w:rPr>
            <w:instrText xml:space="preserve"> PAGEREF _Toc27764 \h </w:instrText>
          </w:r>
          <w:r>
            <w:rPr>
              <w:color w:val="auto"/>
              <w:highlight w:val="none"/>
            </w:rPr>
            <w:fldChar w:fldCharType="separate"/>
          </w:r>
          <w:r>
            <w:rPr>
              <w:color w:val="auto"/>
              <w:highlight w:val="none"/>
            </w:rPr>
            <w:t>2</w:t>
          </w:r>
          <w:r>
            <w:rPr>
              <w:color w:val="auto"/>
              <w:highlight w:val="none"/>
            </w:rPr>
            <w:fldChar w:fldCharType="end"/>
          </w:r>
          <w:r>
            <w:rPr>
              <w:color w:val="auto"/>
              <w:highlight w:val="none"/>
            </w:rPr>
            <w:fldChar w:fldCharType="end"/>
          </w:r>
        </w:p>
        <w:p w14:paraId="48943306">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"_Toc31930" </w:instrText>
          </w:r>
          <w:r>
            <w:rPr>
              <w:color w:val="auto"/>
              <w:highlight w:val="none"/>
            </w:rPr>
            <w:fldChar w:fldCharType="separate"/>
          </w:r>
          <w:r>
            <w:rPr>
              <w:color w:val="auto"/>
              <w:szCs w:val="32"/>
              <w:highlight w:val="none"/>
            </w:rPr>
            <w:t>二、环境影响评价工作过程</w:t>
          </w:r>
          <w:r>
            <w:rPr>
              <w:color w:val="auto"/>
              <w:highlight w:val="none"/>
            </w:rPr>
            <w:tab/>
          </w:r>
          <w:r>
            <w:rPr>
              <w:color w:val="auto"/>
              <w:highlight w:val="none"/>
            </w:rPr>
            <w:fldChar w:fldCharType="begin"/>
          </w:r>
          <w:r>
            <w:rPr>
              <w:color w:val="auto"/>
              <w:highlight w:val="none"/>
            </w:rPr>
            <w:instrText xml:space="preserve"> PAGEREF _Toc31930 \h </w:instrText>
          </w:r>
          <w:r>
            <w:rPr>
              <w:color w:val="auto"/>
              <w:highlight w:val="none"/>
            </w:rPr>
            <w:fldChar w:fldCharType="separate"/>
          </w:r>
          <w:r>
            <w:rPr>
              <w:color w:val="auto"/>
              <w:highlight w:val="none"/>
            </w:rPr>
            <w:t>4</w:t>
          </w:r>
          <w:r>
            <w:rPr>
              <w:color w:val="auto"/>
              <w:highlight w:val="none"/>
            </w:rPr>
            <w:fldChar w:fldCharType="end"/>
          </w:r>
          <w:r>
            <w:rPr>
              <w:color w:val="auto"/>
              <w:highlight w:val="none"/>
            </w:rPr>
            <w:fldChar w:fldCharType="end"/>
          </w:r>
        </w:p>
        <w:p w14:paraId="7876381B">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"_Toc6214" </w:instrText>
          </w:r>
          <w:r>
            <w:rPr>
              <w:color w:val="auto"/>
              <w:highlight w:val="none"/>
            </w:rPr>
            <w:fldChar w:fldCharType="separate"/>
          </w:r>
          <w:r>
            <w:rPr>
              <w:color w:val="auto"/>
              <w:szCs w:val="32"/>
              <w:highlight w:val="none"/>
            </w:rPr>
            <w:t>三、分析判定相关情况</w:t>
          </w:r>
          <w:r>
            <w:rPr>
              <w:color w:val="auto"/>
              <w:highlight w:val="none"/>
            </w:rPr>
            <w:tab/>
          </w:r>
          <w:r>
            <w:rPr>
              <w:color w:val="auto"/>
              <w:highlight w:val="none"/>
            </w:rPr>
            <w:fldChar w:fldCharType="begin"/>
          </w:r>
          <w:r>
            <w:rPr>
              <w:color w:val="auto"/>
              <w:highlight w:val="none"/>
            </w:rPr>
            <w:instrText xml:space="preserve"> PAGEREF _Toc6214 \h </w:instrText>
          </w:r>
          <w:r>
            <w:rPr>
              <w:color w:val="auto"/>
              <w:highlight w:val="none"/>
            </w:rPr>
            <w:fldChar w:fldCharType="separate"/>
          </w:r>
          <w:r>
            <w:rPr>
              <w:color w:val="auto"/>
              <w:highlight w:val="none"/>
            </w:rPr>
            <w:t>5</w:t>
          </w:r>
          <w:r>
            <w:rPr>
              <w:color w:val="auto"/>
              <w:highlight w:val="none"/>
            </w:rPr>
            <w:fldChar w:fldCharType="end"/>
          </w:r>
          <w:r>
            <w:rPr>
              <w:color w:val="auto"/>
              <w:highlight w:val="none"/>
            </w:rPr>
            <w:fldChar w:fldCharType="end"/>
          </w:r>
        </w:p>
        <w:p w14:paraId="6A535639">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"_Toc13303" </w:instrText>
          </w:r>
          <w:r>
            <w:rPr>
              <w:color w:val="auto"/>
              <w:highlight w:val="none"/>
            </w:rPr>
            <w:fldChar w:fldCharType="separate"/>
          </w:r>
          <w:r>
            <w:rPr>
              <w:color w:val="auto"/>
              <w:szCs w:val="32"/>
              <w:highlight w:val="none"/>
            </w:rPr>
            <w:t>四、关注的主要环境问题</w:t>
          </w:r>
          <w:r>
            <w:rPr>
              <w:color w:val="auto"/>
              <w:highlight w:val="none"/>
            </w:rPr>
            <w:tab/>
          </w:r>
          <w:r>
            <w:rPr>
              <w:color w:val="auto"/>
              <w:highlight w:val="none"/>
            </w:rPr>
            <w:fldChar w:fldCharType="begin"/>
          </w:r>
          <w:r>
            <w:rPr>
              <w:color w:val="auto"/>
              <w:highlight w:val="none"/>
            </w:rPr>
            <w:instrText xml:space="preserve"> PAGEREF _Toc13303 \h </w:instrText>
          </w:r>
          <w:r>
            <w:rPr>
              <w:color w:val="auto"/>
              <w:highlight w:val="none"/>
            </w:rPr>
            <w:fldChar w:fldCharType="separate"/>
          </w:r>
          <w:r>
            <w:rPr>
              <w:color w:val="auto"/>
              <w:highlight w:val="none"/>
            </w:rPr>
            <w:t>29</w:t>
          </w:r>
          <w:r>
            <w:rPr>
              <w:color w:val="auto"/>
              <w:highlight w:val="none"/>
            </w:rPr>
            <w:fldChar w:fldCharType="end"/>
          </w:r>
          <w:r>
            <w:rPr>
              <w:color w:val="auto"/>
              <w:highlight w:val="none"/>
            </w:rPr>
            <w:fldChar w:fldCharType="end"/>
          </w:r>
        </w:p>
        <w:p w14:paraId="1A1FB0A3">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"_Toc23444" </w:instrText>
          </w:r>
          <w:r>
            <w:rPr>
              <w:color w:val="auto"/>
              <w:highlight w:val="none"/>
            </w:rPr>
            <w:fldChar w:fldCharType="separate"/>
          </w:r>
          <w:r>
            <w:rPr>
              <w:color w:val="auto"/>
              <w:szCs w:val="32"/>
              <w:highlight w:val="none"/>
            </w:rPr>
            <w:t>五、报告书的主要结论</w:t>
          </w:r>
          <w:r>
            <w:rPr>
              <w:color w:val="auto"/>
              <w:highlight w:val="none"/>
            </w:rPr>
            <w:tab/>
          </w:r>
          <w:r>
            <w:rPr>
              <w:color w:val="auto"/>
              <w:highlight w:val="none"/>
            </w:rPr>
            <w:fldChar w:fldCharType="begin"/>
          </w:r>
          <w:r>
            <w:rPr>
              <w:color w:val="auto"/>
              <w:highlight w:val="none"/>
            </w:rPr>
            <w:instrText xml:space="preserve"> PAGEREF _Toc23444 \h </w:instrText>
          </w:r>
          <w:r>
            <w:rPr>
              <w:color w:val="auto"/>
              <w:highlight w:val="none"/>
            </w:rPr>
            <w:fldChar w:fldCharType="separate"/>
          </w:r>
          <w:r>
            <w:rPr>
              <w:color w:val="auto"/>
              <w:highlight w:val="none"/>
            </w:rPr>
            <w:t>29</w:t>
          </w:r>
          <w:r>
            <w:rPr>
              <w:color w:val="auto"/>
              <w:highlight w:val="none"/>
            </w:rPr>
            <w:fldChar w:fldCharType="end"/>
          </w:r>
          <w:r>
            <w:rPr>
              <w:color w:val="auto"/>
              <w:highlight w:val="none"/>
            </w:rPr>
            <w:fldChar w:fldCharType="end"/>
          </w:r>
        </w:p>
        <w:p w14:paraId="4CC80E38">
          <w:pPr>
            <w:pStyle w:val="63"/>
            <w:tabs>
              <w:tab w:val="right" w:leader="dot" w:pos="8504"/>
            </w:tabs>
            <w:rPr>
              <w:color w:val="auto"/>
              <w:highlight w:val="none"/>
            </w:rPr>
          </w:pPr>
          <w:r>
            <w:rPr>
              <w:color w:val="auto"/>
              <w:highlight w:val="none"/>
            </w:rPr>
            <w:fldChar w:fldCharType="begin"/>
          </w:r>
          <w:r>
            <w:rPr>
              <w:color w:val="auto"/>
              <w:highlight w:val="none"/>
            </w:rPr>
            <w:instrText xml:space="preserve"> HYPERLINK \l "_Toc25503" </w:instrText>
          </w:r>
          <w:r>
            <w:rPr>
              <w:color w:val="auto"/>
              <w:highlight w:val="none"/>
            </w:rPr>
            <w:fldChar w:fldCharType="separate"/>
          </w:r>
          <w:r>
            <w:rPr>
              <w:rFonts w:eastAsiaTheme="minorEastAsia"/>
              <w:color w:val="auto"/>
              <w:kern w:val="2"/>
              <w:szCs w:val="32"/>
              <w:highlight w:val="none"/>
            </w:rPr>
            <w:t>目录</w:t>
          </w:r>
          <w:r>
            <w:rPr>
              <w:color w:val="auto"/>
              <w:highlight w:val="none"/>
            </w:rPr>
            <w:tab/>
          </w:r>
          <w:r>
            <w:rPr>
              <w:color w:val="auto"/>
              <w:highlight w:val="none"/>
            </w:rPr>
            <w:fldChar w:fldCharType="begin"/>
          </w:r>
          <w:r>
            <w:rPr>
              <w:color w:val="auto"/>
              <w:highlight w:val="none"/>
            </w:rPr>
            <w:instrText xml:space="preserve"> PAGEREF _Toc25503 \h </w:instrText>
          </w:r>
          <w:r>
            <w:rPr>
              <w:color w:val="auto"/>
              <w:highlight w:val="none"/>
            </w:rPr>
            <w:fldChar w:fldCharType="separate"/>
          </w:r>
          <w:r>
            <w:rPr>
              <w:color w:val="auto"/>
              <w:highlight w:val="none"/>
            </w:rPr>
            <w:t>I</w:t>
          </w:r>
          <w:r>
            <w:rPr>
              <w:color w:val="auto"/>
              <w:highlight w:val="none"/>
            </w:rPr>
            <w:fldChar w:fldCharType="end"/>
          </w:r>
          <w:r>
            <w:rPr>
              <w:color w:val="auto"/>
              <w:highlight w:val="none"/>
            </w:rPr>
            <w:fldChar w:fldCharType="end"/>
          </w:r>
        </w:p>
        <w:p w14:paraId="31D64C3E">
          <w:pPr>
            <w:pStyle w:val="63"/>
            <w:tabs>
              <w:tab w:val="right" w:leader="dot" w:pos="8504"/>
            </w:tabs>
            <w:rPr>
              <w:color w:val="auto"/>
              <w:highlight w:val="none"/>
            </w:rPr>
          </w:pPr>
          <w:r>
            <w:rPr>
              <w:color w:val="auto"/>
              <w:highlight w:val="none"/>
            </w:rPr>
            <w:fldChar w:fldCharType="begin"/>
          </w:r>
          <w:r>
            <w:rPr>
              <w:color w:val="auto"/>
              <w:highlight w:val="none"/>
            </w:rPr>
            <w:instrText xml:space="preserve"> HYPERLINK \l "_Toc16901" </w:instrText>
          </w:r>
          <w:r>
            <w:rPr>
              <w:color w:val="auto"/>
              <w:highlight w:val="none"/>
            </w:rPr>
            <w:fldChar w:fldCharType="separate"/>
          </w:r>
          <w:r>
            <w:rPr>
              <w:color w:val="auto"/>
              <w:szCs w:val="36"/>
              <w:highlight w:val="none"/>
            </w:rPr>
            <w:t>1、总则</w:t>
          </w:r>
          <w:r>
            <w:rPr>
              <w:color w:val="auto"/>
              <w:highlight w:val="none"/>
            </w:rPr>
            <w:tab/>
          </w:r>
          <w:r>
            <w:rPr>
              <w:color w:val="auto"/>
              <w:highlight w:val="none"/>
            </w:rPr>
            <w:fldChar w:fldCharType="begin"/>
          </w:r>
          <w:r>
            <w:rPr>
              <w:color w:val="auto"/>
              <w:highlight w:val="none"/>
            </w:rPr>
            <w:instrText xml:space="preserve"> PAGEREF _Toc16901 \h </w:instrText>
          </w:r>
          <w:r>
            <w:rPr>
              <w:color w:val="auto"/>
              <w:highlight w:val="none"/>
            </w:rPr>
            <w:fldChar w:fldCharType="separate"/>
          </w:r>
          <w:r>
            <w:rPr>
              <w:color w:val="auto"/>
              <w:highlight w:val="none"/>
            </w:rPr>
            <w:t>1</w:t>
          </w:r>
          <w:r>
            <w:rPr>
              <w:color w:val="auto"/>
              <w:highlight w:val="none"/>
            </w:rPr>
            <w:fldChar w:fldCharType="end"/>
          </w:r>
          <w:r>
            <w:rPr>
              <w:color w:val="auto"/>
              <w:highlight w:val="none"/>
            </w:rPr>
            <w:fldChar w:fldCharType="end"/>
          </w:r>
        </w:p>
        <w:p w14:paraId="0537AE75">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"_Toc10670" </w:instrText>
          </w:r>
          <w:r>
            <w:rPr>
              <w:color w:val="auto"/>
              <w:highlight w:val="none"/>
            </w:rPr>
            <w:fldChar w:fldCharType="separate"/>
          </w:r>
          <w:r>
            <w:rPr>
              <w:rFonts w:eastAsiaTheme="minorEastAsia"/>
              <w:color w:val="auto"/>
              <w:szCs w:val="32"/>
              <w:highlight w:val="none"/>
            </w:rPr>
            <w:t>1.1  编制依据</w:t>
          </w:r>
          <w:r>
            <w:rPr>
              <w:color w:val="auto"/>
              <w:highlight w:val="none"/>
            </w:rPr>
            <w:tab/>
          </w:r>
          <w:r>
            <w:rPr>
              <w:color w:val="auto"/>
              <w:highlight w:val="none"/>
            </w:rPr>
            <w:fldChar w:fldCharType="begin"/>
          </w:r>
          <w:r>
            <w:rPr>
              <w:color w:val="auto"/>
              <w:highlight w:val="none"/>
            </w:rPr>
            <w:instrText xml:space="preserve"> PAGEREF _Toc10670 \h </w:instrText>
          </w:r>
          <w:r>
            <w:rPr>
              <w:color w:val="auto"/>
              <w:highlight w:val="none"/>
            </w:rPr>
            <w:fldChar w:fldCharType="separate"/>
          </w:r>
          <w:r>
            <w:rPr>
              <w:color w:val="auto"/>
              <w:highlight w:val="none"/>
            </w:rPr>
            <w:t>1</w:t>
          </w:r>
          <w:r>
            <w:rPr>
              <w:color w:val="auto"/>
              <w:highlight w:val="none"/>
            </w:rPr>
            <w:fldChar w:fldCharType="end"/>
          </w:r>
          <w:r>
            <w:rPr>
              <w:color w:val="auto"/>
              <w:highlight w:val="none"/>
            </w:rPr>
            <w:fldChar w:fldCharType="end"/>
          </w:r>
        </w:p>
        <w:p w14:paraId="442C805E">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"_Toc30418" </w:instrText>
          </w:r>
          <w:r>
            <w:rPr>
              <w:color w:val="auto"/>
              <w:highlight w:val="none"/>
            </w:rPr>
            <w:fldChar w:fldCharType="separate"/>
          </w:r>
          <w:r>
            <w:rPr>
              <w:rFonts w:eastAsiaTheme="minorEastAsia"/>
              <w:color w:val="auto"/>
              <w:szCs w:val="32"/>
              <w:highlight w:val="none"/>
            </w:rPr>
            <w:t>1.2  环境影响因素识别和评价因子筛选</w:t>
          </w:r>
          <w:r>
            <w:rPr>
              <w:color w:val="auto"/>
              <w:highlight w:val="none"/>
            </w:rPr>
            <w:tab/>
          </w:r>
          <w:r>
            <w:rPr>
              <w:color w:val="auto"/>
              <w:highlight w:val="none"/>
            </w:rPr>
            <w:fldChar w:fldCharType="begin"/>
          </w:r>
          <w:r>
            <w:rPr>
              <w:color w:val="auto"/>
              <w:highlight w:val="none"/>
            </w:rPr>
            <w:instrText xml:space="preserve"> PAGEREF _Toc30418 \h </w:instrText>
          </w:r>
          <w:r>
            <w:rPr>
              <w:color w:val="auto"/>
              <w:highlight w:val="none"/>
            </w:rPr>
            <w:fldChar w:fldCharType="separate"/>
          </w:r>
          <w:r>
            <w:rPr>
              <w:color w:val="auto"/>
              <w:highlight w:val="none"/>
            </w:rPr>
            <w:t>4</w:t>
          </w:r>
          <w:r>
            <w:rPr>
              <w:color w:val="auto"/>
              <w:highlight w:val="none"/>
            </w:rPr>
            <w:fldChar w:fldCharType="end"/>
          </w:r>
          <w:r>
            <w:rPr>
              <w:color w:val="auto"/>
              <w:highlight w:val="none"/>
            </w:rPr>
            <w:fldChar w:fldCharType="end"/>
          </w:r>
        </w:p>
        <w:p w14:paraId="7A456306">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"_Toc7421" </w:instrText>
          </w:r>
          <w:r>
            <w:rPr>
              <w:color w:val="auto"/>
              <w:highlight w:val="none"/>
            </w:rPr>
            <w:fldChar w:fldCharType="separate"/>
          </w:r>
          <w:r>
            <w:rPr>
              <w:rFonts w:eastAsiaTheme="minorEastAsia"/>
              <w:color w:val="auto"/>
              <w:szCs w:val="32"/>
              <w:highlight w:val="none"/>
            </w:rPr>
            <w:t>1.3  环境功能区划及评价标准</w:t>
          </w:r>
          <w:r>
            <w:rPr>
              <w:color w:val="auto"/>
              <w:highlight w:val="none"/>
            </w:rPr>
            <w:tab/>
          </w:r>
          <w:r>
            <w:rPr>
              <w:color w:val="auto"/>
              <w:highlight w:val="none"/>
            </w:rPr>
            <w:fldChar w:fldCharType="begin"/>
          </w:r>
          <w:r>
            <w:rPr>
              <w:color w:val="auto"/>
              <w:highlight w:val="none"/>
            </w:rPr>
            <w:instrText xml:space="preserve"> PAGEREF _Toc7421 \h </w:instrText>
          </w:r>
          <w:r>
            <w:rPr>
              <w:color w:val="auto"/>
              <w:highlight w:val="none"/>
            </w:rPr>
            <w:fldChar w:fldCharType="separate"/>
          </w:r>
          <w:r>
            <w:rPr>
              <w:color w:val="auto"/>
              <w:highlight w:val="none"/>
            </w:rPr>
            <w:t>6</w:t>
          </w:r>
          <w:r>
            <w:rPr>
              <w:color w:val="auto"/>
              <w:highlight w:val="none"/>
            </w:rPr>
            <w:fldChar w:fldCharType="end"/>
          </w:r>
          <w:r>
            <w:rPr>
              <w:color w:val="auto"/>
              <w:highlight w:val="none"/>
            </w:rPr>
            <w:fldChar w:fldCharType="end"/>
          </w:r>
        </w:p>
        <w:p w14:paraId="52F4C4F4">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"_Toc29672" </w:instrText>
          </w:r>
          <w:r>
            <w:rPr>
              <w:color w:val="auto"/>
              <w:highlight w:val="none"/>
            </w:rPr>
            <w:fldChar w:fldCharType="separate"/>
          </w:r>
          <w:r>
            <w:rPr>
              <w:rFonts w:eastAsiaTheme="minorEastAsia"/>
              <w:color w:val="auto"/>
              <w:szCs w:val="32"/>
              <w:highlight w:val="none"/>
            </w:rPr>
            <w:t>1.4  评价工作等级及范围</w:t>
          </w:r>
          <w:r>
            <w:rPr>
              <w:color w:val="auto"/>
              <w:highlight w:val="none"/>
            </w:rPr>
            <w:tab/>
          </w:r>
          <w:r>
            <w:rPr>
              <w:color w:val="auto"/>
              <w:highlight w:val="none"/>
            </w:rPr>
            <w:fldChar w:fldCharType="begin"/>
          </w:r>
          <w:r>
            <w:rPr>
              <w:color w:val="auto"/>
              <w:highlight w:val="none"/>
            </w:rPr>
            <w:instrText xml:space="preserve"> PAGEREF _Toc29672 \h </w:instrText>
          </w:r>
          <w:r>
            <w:rPr>
              <w:color w:val="auto"/>
              <w:highlight w:val="none"/>
            </w:rPr>
            <w:fldChar w:fldCharType="separate"/>
          </w:r>
          <w:r>
            <w:rPr>
              <w:color w:val="auto"/>
              <w:highlight w:val="none"/>
            </w:rPr>
            <w:t>11</w:t>
          </w:r>
          <w:r>
            <w:rPr>
              <w:color w:val="auto"/>
              <w:highlight w:val="none"/>
            </w:rPr>
            <w:fldChar w:fldCharType="end"/>
          </w:r>
          <w:r>
            <w:rPr>
              <w:color w:val="auto"/>
              <w:highlight w:val="none"/>
            </w:rPr>
            <w:fldChar w:fldCharType="end"/>
          </w:r>
        </w:p>
        <w:p w14:paraId="1334B483">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"_Toc31828" </w:instrText>
          </w:r>
          <w:r>
            <w:rPr>
              <w:color w:val="auto"/>
              <w:highlight w:val="none"/>
            </w:rPr>
            <w:fldChar w:fldCharType="separate"/>
          </w:r>
          <w:r>
            <w:rPr>
              <w:rFonts w:eastAsiaTheme="minorEastAsia"/>
              <w:color w:val="auto"/>
              <w:szCs w:val="32"/>
              <w:highlight w:val="none"/>
            </w:rPr>
            <w:t>1.5  评价时段</w:t>
          </w:r>
          <w:r>
            <w:rPr>
              <w:color w:val="auto"/>
              <w:highlight w:val="none"/>
            </w:rPr>
            <w:tab/>
          </w:r>
          <w:r>
            <w:rPr>
              <w:color w:val="auto"/>
              <w:highlight w:val="none"/>
            </w:rPr>
            <w:fldChar w:fldCharType="begin"/>
          </w:r>
          <w:r>
            <w:rPr>
              <w:color w:val="auto"/>
              <w:highlight w:val="none"/>
            </w:rPr>
            <w:instrText xml:space="preserve"> PAGEREF _Toc31828 \h </w:instrText>
          </w:r>
          <w:r>
            <w:rPr>
              <w:color w:val="auto"/>
              <w:highlight w:val="none"/>
            </w:rPr>
            <w:fldChar w:fldCharType="separate"/>
          </w:r>
          <w:r>
            <w:rPr>
              <w:color w:val="auto"/>
              <w:highlight w:val="none"/>
            </w:rPr>
            <w:t>21</w:t>
          </w:r>
          <w:r>
            <w:rPr>
              <w:color w:val="auto"/>
              <w:highlight w:val="none"/>
            </w:rPr>
            <w:fldChar w:fldCharType="end"/>
          </w:r>
          <w:r>
            <w:rPr>
              <w:color w:val="auto"/>
              <w:highlight w:val="none"/>
            </w:rPr>
            <w:fldChar w:fldCharType="end"/>
          </w:r>
        </w:p>
        <w:p w14:paraId="67FDC055">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"_Toc16185" </w:instrText>
          </w:r>
          <w:r>
            <w:rPr>
              <w:color w:val="auto"/>
              <w:highlight w:val="none"/>
            </w:rPr>
            <w:fldChar w:fldCharType="separate"/>
          </w:r>
          <w:r>
            <w:rPr>
              <w:rFonts w:eastAsiaTheme="minorEastAsia"/>
              <w:color w:val="auto"/>
              <w:szCs w:val="32"/>
              <w:highlight w:val="none"/>
            </w:rPr>
            <w:t>1.6  评价主要技术和评价方法</w:t>
          </w:r>
          <w:r>
            <w:rPr>
              <w:color w:val="auto"/>
              <w:highlight w:val="none"/>
            </w:rPr>
            <w:tab/>
          </w:r>
          <w:r>
            <w:rPr>
              <w:color w:val="auto"/>
              <w:highlight w:val="none"/>
            </w:rPr>
            <w:fldChar w:fldCharType="begin"/>
          </w:r>
          <w:r>
            <w:rPr>
              <w:color w:val="auto"/>
              <w:highlight w:val="none"/>
            </w:rPr>
            <w:instrText xml:space="preserve"> PAGEREF _Toc16185 \h </w:instrText>
          </w:r>
          <w:r>
            <w:rPr>
              <w:color w:val="auto"/>
              <w:highlight w:val="none"/>
            </w:rPr>
            <w:fldChar w:fldCharType="separate"/>
          </w:r>
          <w:r>
            <w:rPr>
              <w:color w:val="auto"/>
              <w:highlight w:val="none"/>
            </w:rPr>
            <w:t>21</w:t>
          </w:r>
          <w:r>
            <w:rPr>
              <w:color w:val="auto"/>
              <w:highlight w:val="none"/>
            </w:rPr>
            <w:fldChar w:fldCharType="end"/>
          </w:r>
          <w:r>
            <w:rPr>
              <w:color w:val="auto"/>
              <w:highlight w:val="none"/>
            </w:rPr>
            <w:fldChar w:fldCharType="end"/>
          </w:r>
        </w:p>
        <w:p w14:paraId="0CC8664E">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"_Toc5887" </w:instrText>
          </w:r>
          <w:r>
            <w:rPr>
              <w:color w:val="auto"/>
              <w:highlight w:val="none"/>
            </w:rPr>
            <w:fldChar w:fldCharType="separate"/>
          </w:r>
          <w:r>
            <w:rPr>
              <w:rFonts w:eastAsiaTheme="minorEastAsia"/>
              <w:color w:val="auto"/>
              <w:szCs w:val="32"/>
              <w:highlight w:val="none"/>
            </w:rPr>
            <w:t>1.7  环境保护目标</w:t>
          </w:r>
          <w:r>
            <w:rPr>
              <w:color w:val="auto"/>
              <w:highlight w:val="none"/>
            </w:rPr>
            <w:tab/>
          </w:r>
          <w:r>
            <w:rPr>
              <w:color w:val="auto"/>
              <w:highlight w:val="none"/>
            </w:rPr>
            <w:fldChar w:fldCharType="begin"/>
          </w:r>
          <w:r>
            <w:rPr>
              <w:color w:val="auto"/>
              <w:highlight w:val="none"/>
            </w:rPr>
            <w:instrText xml:space="preserve"> PAGEREF _Toc5887 \h </w:instrText>
          </w:r>
          <w:r>
            <w:rPr>
              <w:color w:val="auto"/>
              <w:highlight w:val="none"/>
            </w:rPr>
            <w:fldChar w:fldCharType="separate"/>
          </w:r>
          <w:r>
            <w:rPr>
              <w:color w:val="auto"/>
              <w:highlight w:val="none"/>
            </w:rPr>
            <w:t>21</w:t>
          </w:r>
          <w:r>
            <w:rPr>
              <w:color w:val="auto"/>
              <w:highlight w:val="none"/>
            </w:rPr>
            <w:fldChar w:fldCharType="end"/>
          </w:r>
          <w:r>
            <w:rPr>
              <w:color w:val="auto"/>
              <w:highlight w:val="none"/>
            </w:rPr>
            <w:fldChar w:fldCharType="end"/>
          </w:r>
        </w:p>
        <w:p w14:paraId="7F09879D">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"_Toc20347" </w:instrText>
          </w:r>
          <w:r>
            <w:rPr>
              <w:color w:val="auto"/>
              <w:highlight w:val="none"/>
            </w:rPr>
            <w:fldChar w:fldCharType="separate"/>
          </w:r>
          <w:r>
            <w:rPr>
              <w:rFonts w:eastAsiaTheme="minorEastAsia"/>
              <w:color w:val="auto"/>
              <w:szCs w:val="32"/>
              <w:highlight w:val="none"/>
            </w:rPr>
            <w:t>1.8  评价工作程序</w:t>
          </w:r>
          <w:r>
            <w:rPr>
              <w:color w:val="auto"/>
              <w:highlight w:val="none"/>
            </w:rPr>
            <w:tab/>
          </w:r>
          <w:r>
            <w:rPr>
              <w:color w:val="auto"/>
              <w:highlight w:val="none"/>
            </w:rPr>
            <w:fldChar w:fldCharType="begin"/>
          </w:r>
          <w:r>
            <w:rPr>
              <w:color w:val="auto"/>
              <w:highlight w:val="none"/>
            </w:rPr>
            <w:instrText xml:space="preserve"> PAGEREF _Toc20347 \h </w:instrText>
          </w:r>
          <w:r>
            <w:rPr>
              <w:color w:val="auto"/>
              <w:highlight w:val="none"/>
            </w:rPr>
            <w:fldChar w:fldCharType="separate"/>
          </w:r>
          <w:r>
            <w:rPr>
              <w:color w:val="auto"/>
              <w:highlight w:val="none"/>
            </w:rPr>
            <w:t>21</w:t>
          </w:r>
          <w:r>
            <w:rPr>
              <w:color w:val="auto"/>
              <w:highlight w:val="none"/>
            </w:rPr>
            <w:fldChar w:fldCharType="end"/>
          </w:r>
          <w:r>
            <w:rPr>
              <w:color w:val="auto"/>
              <w:highlight w:val="none"/>
            </w:rPr>
            <w:fldChar w:fldCharType="end"/>
          </w:r>
        </w:p>
        <w:p w14:paraId="2BA4849A">
          <w:pPr>
            <w:pStyle w:val="63"/>
            <w:tabs>
              <w:tab w:val="right" w:leader="dot" w:pos="8504"/>
            </w:tabs>
            <w:rPr>
              <w:color w:val="auto"/>
              <w:highlight w:val="none"/>
            </w:rPr>
          </w:pPr>
          <w:r>
            <w:rPr>
              <w:color w:val="auto"/>
              <w:highlight w:val="none"/>
            </w:rPr>
            <w:fldChar w:fldCharType="begin"/>
          </w:r>
          <w:r>
            <w:rPr>
              <w:color w:val="auto"/>
              <w:highlight w:val="none"/>
            </w:rPr>
            <w:instrText xml:space="preserve"> HYPERLINK \l "_Toc17170" </w:instrText>
          </w:r>
          <w:r>
            <w:rPr>
              <w:color w:val="auto"/>
              <w:highlight w:val="none"/>
            </w:rPr>
            <w:fldChar w:fldCharType="separate"/>
          </w:r>
          <w:r>
            <w:rPr>
              <w:color w:val="auto"/>
              <w:szCs w:val="36"/>
              <w:highlight w:val="none"/>
            </w:rPr>
            <w:t>2、建设项目工程分析</w:t>
          </w:r>
          <w:r>
            <w:rPr>
              <w:color w:val="auto"/>
              <w:highlight w:val="none"/>
            </w:rPr>
            <w:tab/>
          </w:r>
          <w:r>
            <w:rPr>
              <w:color w:val="auto"/>
              <w:highlight w:val="none"/>
            </w:rPr>
            <w:fldChar w:fldCharType="begin"/>
          </w:r>
          <w:r>
            <w:rPr>
              <w:color w:val="auto"/>
              <w:highlight w:val="none"/>
            </w:rPr>
            <w:instrText xml:space="preserve"> PAGEREF _Toc17170 \h </w:instrText>
          </w:r>
          <w:r>
            <w:rPr>
              <w:color w:val="auto"/>
              <w:highlight w:val="none"/>
            </w:rPr>
            <w:fldChar w:fldCharType="separate"/>
          </w:r>
          <w:r>
            <w:rPr>
              <w:color w:val="auto"/>
              <w:highlight w:val="none"/>
            </w:rPr>
            <w:t>23</w:t>
          </w:r>
          <w:r>
            <w:rPr>
              <w:color w:val="auto"/>
              <w:highlight w:val="none"/>
            </w:rPr>
            <w:fldChar w:fldCharType="end"/>
          </w:r>
          <w:r>
            <w:rPr>
              <w:color w:val="auto"/>
              <w:highlight w:val="none"/>
            </w:rPr>
            <w:fldChar w:fldCharType="end"/>
          </w:r>
        </w:p>
        <w:p w14:paraId="617FD771">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"_Toc15325" </w:instrText>
          </w:r>
          <w:r>
            <w:rPr>
              <w:color w:val="auto"/>
              <w:highlight w:val="none"/>
            </w:rPr>
            <w:fldChar w:fldCharType="separate"/>
          </w:r>
          <w:r>
            <w:rPr>
              <w:rFonts w:eastAsiaTheme="minorEastAsia"/>
              <w:color w:val="auto"/>
              <w:szCs w:val="32"/>
              <w:highlight w:val="none"/>
            </w:rPr>
            <w:t>2.1现有工程概况</w:t>
          </w:r>
          <w:r>
            <w:rPr>
              <w:color w:val="auto"/>
              <w:highlight w:val="none"/>
            </w:rPr>
            <w:tab/>
          </w:r>
          <w:r>
            <w:rPr>
              <w:color w:val="auto"/>
              <w:highlight w:val="none"/>
            </w:rPr>
            <w:fldChar w:fldCharType="begin"/>
          </w:r>
          <w:r>
            <w:rPr>
              <w:color w:val="auto"/>
              <w:highlight w:val="none"/>
            </w:rPr>
            <w:instrText xml:space="preserve"> PAGEREF _Toc15325 \h </w:instrText>
          </w:r>
          <w:r>
            <w:rPr>
              <w:color w:val="auto"/>
              <w:highlight w:val="none"/>
            </w:rPr>
            <w:fldChar w:fldCharType="separate"/>
          </w:r>
          <w:r>
            <w:rPr>
              <w:color w:val="auto"/>
              <w:highlight w:val="none"/>
            </w:rPr>
            <w:t>23</w:t>
          </w:r>
          <w:r>
            <w:rPr>
              <w:color w:val="auto"/>
              <w:highlight w:val="none"/>
            </w:rPr>
            <w:fldChar w:fldCharType="end"/>
          </w:r>
          <w:r>
            <w:rPr>
              <w:color w:val="auto"/>
              <w:highlight w:val="none"/>
            </w:rPr>
            <w:fldChar w:fldCharType="end"/>
          </w:r>
        </w:p>
        <w:p w14:paraId="0078FF8B">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"_Toc5822" </w:instrText>
          </w:r>
          <w:r>
            <w:rPr>
              <w:color w:val="auto"/>
              <w:highlight w:val="none"/>
            </w:rPr>
            <w:fldChar w:fldCharType="separate"/>
          </w:r>
          <w:r>
            <w:rPr>
              <w:rFonts w:eastAsiaTheme="minorEastAsia"/>
              <w:color w:val="auto"/>
              <w:szCs w:val="32"/>
              <w:highlight w:val="none"/>
            </w:rPr>
            <w:t>2.2 拟建工程概况</w:t>
          </w:r>
          <w:r>
            <w:rPr>
              <w:color w:val="auto"/>
              <w:highlight w:val="none"/>
            </w:rPr>
            <w:tab/>
          </w:r>
          <w:r>
            <w:rPr>
              <w:color w:val="auto"/>
              <w:highlight w:val="none"/>
            </w:rPr>
            <w:fldChar w:fldCharType="begin"/>
          </w:r>
          <w:r>
            <w:rPr>
              <w:color w:val="auto"/>
              <w:highlight w:val="none"/>
            </w:rPr>
            <w:instrText xml:space="preserve"> PAGEREF _Toc5822 \h </w:instrText>
          </w:r>
          <w:r>
            <w:rPr>
              <w:color w:val="auto"/>
              <w:highlight w:val="none"/>
            </w:rPr>
            <w:fldChar w:fldCharType="separate"/>
          </w:r>
          <w:r>
            <w:rPr>
              <w:color w:val="auto"/>
              <w:highlight w:val="none"/>
            </w:rPr>
            <w:t>70</w:t>
          </w:r>
          <w:r>
            <w:rPr>
              <w:color w:val="auto"/>
              <w:highlight w:val="none"/>
            </w:rPr>
            <w:fldChar w:fldCharType="end"/>
          </w:r>
          <w:r>
            <w:rPr>
              <w:color w:val="auto"/>
              <w:highlight w:val="none"/>
            </w:rPr>
            <w:fldChar w:fldCharType="end"/>
          </w:r>
        </w:p>
        <w:p w14:paraId="3CF023C7">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"_Toc13955" </w:instrText>
          </w:r>
          <w:r>
            <w:rPr>
              <w:color w:val="auto"/>
              <w:highlight w:val="none"/>
            </w:rPr>
            <w:fldChar w:fldCharType="separate"/>
          </w:r>
          <w:r>
            <w:rPr>
              <w:rFonts w:eastAsiaTheme="minorEastAsia"/>
              <w:color w:val="auto"/>
              <w:szCs w:val="32"/>
              <w:highlight w:val="none"/>
            </w:rPr>
            <w:t>2.3  工艺流程及环境影响因素分析</w:t>
          </w:r>
          <w:r>
            <w:rPr>
              <w:color w:val="auto"/>
              <w:highlight w:val="none"/>
            </w:rPr>
            <w:tab/>
          </w:r>
          <w:r>
            <w:rPr>
              <w:color w:val="auto"/>
              <w:highlight w:val="none"/>
            </w:rPr>
            <w:fldChar w:fldCharType="begin"/>
          </w:r>
          <w:r>
            <w:rPr>
              <w:color w:val="auto"/>
              <w:highlight w:val="none"/>
            </w:rPr>
            <w:instrText xml:space="preserve"> PAGEREF _Toc13955 \h </w:instrText>
          </w:r>
          <w:r>
            <w:rPr>
              <w:color w:val="auto"/>
              <w:highlight w:val="none"/>
            </w:rPr>
            <w:fldChar w:fldCharType="separate"/>
          </w:r>
          <w:r>
            <w:rPr>
              <w:color w:val="auto"/>
              <w:highlight w:val="none"/>
            </w:rPr>
            <w:t>97</w:t>
          </w:r>
          <w:r>
            <w:rPr>
              <w:color w:val="auto"/>
              <w:highlight w:val="none"/>
            </w:rPr>
            <w:fldChar w:fldCharType="end"/>
          </w:r>
          <w:r>
            <w:rPr>
              <w:color w:val="auto"/>
              <w:highlight w:val="none"/>
            </w:rPr>
            <w:fldChar w:fldCharType="end"/>
          </w:r>
        </w:p>
        <w:p w14:paraId="6399708B">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"_Toc1385" </w:instrText>
          </w:r>
          <w:r>
            <w:rPr>
              <w:color w:val="auto"/>
              <w:highlight w:val="none"/>
            </w:rPr>
            <w:fldChar w:fldCharType="separate"/>
          </w:r>
          <w:r>
            <w:rPr>
              <w:rFonts w:eastAsiaTheme="minorEastAsia"/>
              <w:color w:val="auto"/>
              <w:szCs w:val="32"/>
              <w:highlight w:val="none"/>
            </w:rPr>
            <w:t>2.4  工程分析</w:t>
          </w:r>
          <w:r>
            <w:rPr>
              <w:color w:val="auto"/>
              <w:highlight w:val="none"/>
            </w:rPr>
            <w:tab/>
          </w:r>
          <w:r>
            <w:rPr>
              <w:color w:val="auto"/>
              <w:highlight w:val="none"/>
            </w:rPr>
            <w:fldChar w:fldCharType="begin"/>
          </w:r>
          <w:r>
            <w:rPr>
              <w:color w:val="auto"/>
              <w:highlight w:val="none"/>
            </w:rPr>
            <w:instrText xml:space="preserve"> PAGEREF _Toc1385 \h </w:instrText>
          </w:r>
          <w:r>
            <w:rPr>
              <w:color w:val="auto"/>
              <w:highlight w:val="none"/>
            </w:rPr>
            <w:fldChar w:fldCharType="separate"/>
          </w:r>
          <w:r>
            <w:rPr>
              <w:color w:val="auto"/>
              <w:highlight w:val="none"/>
            </w:rPr>
            <w:t>101</w:t>
          </w:r>
          <w:r>
            <w:rPr>
              <w:color w:val="auto"/>
              <w:highlight w:val="none"/>
            </w:rPr>
            <w:fldChar w:fldCharType="end"/>
          </w:r>
          <w:r>
            <w:rPr>
              <w:color w:val="auto"/>
              <w:highlight w:val="none"/>
            </w:rPr>
            <w:fldChar w:fldCharType="end"/>
          </w:r>
        </w:p>
        <w:p w14:paraId="107F7557">
          <w:pPr>
            <w:pStyle w:val="63"/>
            <w:tabs>
              <w:tab w:val="right" w:leader="dot" w:pos="8504"/>
            </w:tabs>
            <w:rPr>
              <w:color w:val="auto"/>
              <w:highlight w:val="none"/>
            </w:rPr>
          </w:pPr>
          <w:r>
            <w:rPr>
              <w:color w:val="auto"/>
              <w:highlight w:val="none"/>
            </w:rPr>
            <w:fldChar w:fldCharType="begin"/>
          </w:r>
          <w:r>
            <w:rPr>
              <w:color w:val="auto"/>
              <w:highlight w:val="none"/>
            </w:rPr>
            <w:instrText xml:space="preserve"> HYPERLINK \l "_Toc4040" </w:instrText>
          </w:r>
          <w:r>
            <w:rPr>
              <w:color w:val="auto"/>
              <w:highlight w:val="none"/>
            </w:rPr>
            <w:fldChar w:fldCharType="separate"/>
          </w:r>
          <w:r>
            <w:rPr>
              <w:color w:val="auto"/>
              <w:szCs w:val="36"/>
              <w:highlight w:val="none"/>
            </w:rPr>
            <w:t>3、环境现状调查与评价</w:t>
          </w:r>
          <w:r>
            <w:rPr>
              <w:color w:val="auto"/>
              <w:highlight w:val="none"/>
            </w:rPr>
            <w:tab/>
          </w:r>
          <w:r>
            <w:rPr>
              <w:color w:val="auto"/>
              <w:highlight w:val="none"/>
            </w:rPr>
            <w:fldChar w:fldCharType="begin"/>
          </w:r>
          <w:r>
            <w:rPr>
              <w:color w:val="auto"/>
              <w:highlight w:val="none"/>
            </w:rPr>
            <w:instrText xml:space="preserve"> PAGEREF _Toc4040 \h </w:instrText>
          </w:r>
          <w:r>
            <w:rPr>
              <w:color w:val="auto"/>
              <w:highlight w:val="none"/>
            </w:rPr>
            <w:fldChar w:fldCharType="separate"/>
          </w:r>
          <w:r>
            <w:rPr>
              <w:color w:val="auto"/>
              <w:highlight w:val="none"/>
            </w:rPr>
            <w:t>121</w:t>
          </w:r>
          <w:r>
            <w:rPr>
              <w:color w:val="auto"/>
              <w:highlight w:val="none"/>
            </w:rPr>
            <w:fldChar w:fldCharType="end"/>
          </w:r>
          <w:r>
            <w:rPr>
              <w:color w:val="auto"/>
              <w:highlight w:val="none"/>
            </w:rPr>
            <w:fldChar w:fldCharType="end"/>
          </w:r>
        </w:p>
        <w:p w14:paraId="04C55337">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"_Toc18021" </w:instrText>
          </w:r>
          <w:r>
            <w:rPr>
              <w:color w:val="auto"/>
              <w:highlight w:val="none"/>
            </w:rPr>
            <w:fldChar w:fldCharType="separate"/>
          </w:r>
          <w:r>
            <w:rPr>
              <w:rFonts w:eastAsiaTheme="minorEastAsia"/>
              <w:color w:val="auto"/>
              <w:szCs w:val="32"/>
              <w:highlight w:val="none"/>
            </w:rPr>
            <w:t>3.1  自然环境概况</w:t>
          </w:r>
          <w:r>
            <w:rPr>
              <w:color w:val="auto"/>
              <w:highlight w:val="none"/>
            </w:rPr>
            <w:tab/>
          </w:r>
          <w:r>
            <w:rPr>
              <w:color w:val="auto"/>
              <w:highlight w:val="none"/>
            </w:rPr>
            <w:fldChar w:fldCharType="begin"/>
          </w:r>
          <w:r>
            <w:rPr>
              <w:color w:val="auto"/>
              <w:highlight w:val="none"/>
            </w:rPr>
            <w:instrText xml:space="preserve"> PAGEREF _Toc18021 \h </w:instrText>
          </w:r>
          <w:r>
            <w:rPr>
              <w:color w:val="auto"/>
              <w:highlight w:val="none"/>
            </w:rPr>
            <w:fldChar w:fldCharType="separate"/>
          </w:r>
          <w:r>
            <w:rPr>
              <w:color w:val="auto"/>
              <w:highlight w:val="none"/>
            </w:rPr>
            <w:t>121</w:t>
          </w:r>
          <w:r>
            <w:rPr>
              <w:color w:val="auto"/>
              <w:highlight w:val="none"/>
            </w:rPr>
            <w:fldChar w:fldCharType="end"/>
          </w:r>
          <w:r>
            <w:rPr>
              <w:color w:val="auto"/>
              <w:highlight w:val="none"/>
            </w:rPr>
            <w:fldChar w:fldCharType="end"/>
          </w:r>
        </w:p>
        <w:p w14:paraId="211618D5">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"_Toc12433" </w:instrText>
          </w:r>
          <w:r>
            <w:rPr>
              <w:color w:val="auto"/>
              <w:highlight w:val="none"/>
            </w:rPr>
            <w:fldChar w:fldCharType="separate"/>
          </w:r>
          <w:r>
            <w:rPr>
              <w:rFonts w:eastAsiaTheme="minorEastAsia"/>
              <w:color w:val="auto"/>
              <w:szCs w:val="32"/>
              <w:highlight w:val="none"/>
            </w:rPr>
            <w:t>3.2  海洋资源概况及开发利用现状</w:t>
          </w:r>
          <w:r>
            <w:rPr>
              <w:color w:val="auto"/>
              <w:highlight w:val="none"/>
            </w:rPr>
            <w:tab/>
          </w:r>
          <w:r>
            <w:rPr>
              <w:color w:val="auto"/>
              <w:highlight w:val="none"/>
            </w:rPr>
            <w:fldChar w:fldCharType="begin"/>
          </w:r>
          <w:r>
            <w:rPr>
              <w:color w:val="auto"/>
              <w:highlight w:val="none"/>
            </w:rPr>
            <w:instrText xml:space="preserve"> PAGEREF _Toc12433 \h </w:instrText>
          </w:r>
          <w:r>
            <w:rPr>
              <w:color w:val="auto"/>
              <w:highlight w:val="none"/>
            </w:rPr>
            <w:fldChar w:fldCharType="separate"/>
          </w:r>
          <w:r>
            <w:rPr>
              <w:color w:val="auto"/>
              <w:highlight w:val="none"/>
            </w:rPr>
            <w:t>134</w:t>
          </w:r>
          <w:r>
            <w:rPr>
              <w:color w:val="auto"/>
              <w:highlight w:val="none"/>
            </w:rPr>
            <w:fldChar w:fldCharType="end"/>
          </w:r>
          <w:r>
            <w:rPr>
              <w:color w:val="auto"/>
              <w:highlight w:val="none"/>
            </w:rPr>
            <w:fldChar w:fldCharType="end"/>
          </w:r>
        </w:p>
        <w:p w14:paraId="67C37187">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"_Toc23158" </w:instrText>
          </w:r>
          <w:r>
            <w:rPr>
              <w:color w:val="auto"/>
              <w:highlight w:val="none"/>
            </w:rPr>
            <w:fldChar w:fldCharType="separate"/>
          </w:r>
          <w:r>
            <w:rPr>
              <w:rFonts w:eastAsiaTheme="minorEastAsia"/>
              <w:color w:val="auto"/>
              <w:szCs w:val="32"/>
              <w:highlight w:val="none"/>
            </w:rPr>
            <w:t>3.3  区域环境敏感区调查</w:t>
          </w:r>
          <w:r>
            <w:rPr>
              <w:color w:val="auto"/>
              <w:highlight w:val="none"/>
            </w:rPr>
            <w:tab/>
          </w:r>
          <w:r>
            <w:rPr>
              <w:color w:val="auto"/>
              <w:highlight w:val="none"/>
            </w:rPr>
            <w:fldChar w:fldCharType="begin"/>
          </w:r>
          <w:r>
            <w:rPr>
              <w:color w:val="auto"/>
              <w:highlight w:val="none"/>
            </w:rPr>
            <w:instrText xml:space="preserve"> PAGEREF _Toc23158 \h </w:instrText>
          </w:r>
          <w:r>
            <w:rPr>
              <w:color w:val="auto"/>
              <w:highlight w:val="none"/>
            </w:rPr>
            <w:fldChar w:fldCharType="separate"/>
          </w:r>
          <w:r>
            <w:rPr>
              <w:color w:val="auto"/>
              <w:highlight w:val="none"/>
            </w:rPr>
            <w:t>144</w:t>
          </w:r>
          <w:r>
            <w:rPr>
              <w:color w:val="auto"/>
              <w:highlight w:val="none"/>
            </w:rPr>
            <w:fldChar w:fldCharType="end"/>
          </w:r>
          <w:r>
            <w:rPr>
              <w:color w:val="auto"/>
              <w:highlight w:val="none"/>
            </w:rPr>
            <w:fldChar w:fldCharType="end"/>
          </w:r>
        </w:p>
        <w:p w14:paraId="4FE73331">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"_Toc11319" </w:instrText>
          </w:r>
          <w:r>
            <w:rPr>
              <w:color w:val="auto"/>
              <w:highlight w:val="none"/>
            </w:rPr>
            <w:fldChar w:fldCharType="separate"/>
          </w:r>
          <w:r>
            <w:rPr>
              <w:rFonts w:eastAsiaTheme="minorEastAsia"/>
              <w:color w:val="auto"/>
              <w:szCs w:val="32"/>
              <w:highlight w:val="none"/>
            </w:rPr>
            <w:t>3.4  环境质量现状调查与评价</w:t>
          </w:r>
          <w:r>
            <w:rPr>
              <w:color w:val="auto"/>
              <w:highlight w:val="none"/>
            </w:rPr>
            <w:tab/>
          </w:r>
          <w:r>
            <w:rPr>
              <w:color w:val="auto"/>
              <w:highlight w:val="none"/>
            </w:rPr>
            <w:fldChar w:fldCharType="begin"/>
          </w:r>
          <w:r>
            <w:rPr>
              <w:color w:val="auto"/>
              <w:highlight w:val="none"/>
            </w:rPr>
            <w:instrText xml:space="preserve"> PAGEREF _Toc11319 \h </w:instrText>
          </w:r>
          <w:r>
            <w:rPr>
              <w:color w:val="auto"/>
              <w:highlight w:val="none"/>
            </w:rPr>
            <w:fldChar w:fldCharType="separate"/>
          </w:r>
          <w:r>
            <w:rPr>
              <w:color w:val="auto"/>
              <w:highlight w:val="none"/>
            </w:rPr>
            <w:t>153</w:t>
          </w:r>
          <w:r>
            <w:rPr>
              <w:color w:val="auto"/>
              <w:highlight w:val="none"/>
            </w:rPr>
            <w:fldChar w:fldCharType="end"/>
          </w:r>
          <w:r>
            <w:rPr>
              <w:color w:val="auto"/>
              <w:highlight w:val="none"/>
            </w:rPr>
            <w:fldChar w:fldCharType="end"/>
          </w:r>
        </w:p>
        <w:p w14:paraId="73A3AEE5">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"_Toc28307" </w:instrText>
          </w:r>
          <w:r>
            <w:rPr>
              <w:color w:val="auto"/>
              <w:highlight w:val="none"/>
            </w:rPr>
            <w:fldChar w:fldCharType="separate"/>
          </w:r>
          <w:r>
            <w:rPr>
              <w:rFonts w:eastAsiaTheme="minorEastAsia"/>
              <w:color w:val="auto"/>
              <w:szCs w:val="32"/>
              <w:highlight w:val="none"/>
            </w:rPr>
            <w:t>3.5  区域污染源调查</w:t>
          </w:r>
          <w:r>
            <w:rPr>
              <w:color w:val="auto"/>
              <w:highlight w:val="none"/>
            </w:rPr>
            <w:tab/>
          </w:r>
          <w:r>
            <w:rPr>
              <w:color w:val="auto"/>
              <w:highlight w:val="none"/>
            </w:rPr>
            <w:fldChar w:fldCharType="begin"/>
          </w:r>
          <w:r>
            <w:rPr>
              <w:color w:val="auto"/>
              <w:highlight w:val="none"/>
            </w:rPr>
            <w:instrText xml:space="preserve"> PAGEREF _Toc28307 \h </w:instrText>
          </w:r>
          <w:r>
            <w:rPr>
              <w:color w:val="auto"/>
              <w:highlight w:val="none"/>
            </w:rPr>
            <w:fldChar w:fldCharType="separate"/>
          </w:r>
          <w:r>
            <w:rPr>
              <w:color w:val="auto"/>
              <w:highlight w:val="none"/>
            </w:rPr>
            <w:t>169</w:t>
          </w:r>
          <w:r>
            <w:rPr>
              <w:color w:val="auto"/>
              <w:highlight w:val="none"/>
            </w:rPr>
            <w:fldChar w:fldCharType="end"/>
          </w:r>
          <w:r>
            <w:rPr>
              <w:color w:val="auto"/>
              <w:highlight w:val="none"/>
            </w:rPr>
            <w:fldChar w:fldCharType="end"/>
          </w:r>
        </w:p>
        <w:p w14:paraId="69798E0F">
          <w:pPr>
            <w:pStyle w:val="63"/>
            <w:tabs>
              <w:tab w:val="right" w:leader="dot" w:pos="8504"/>
            </w:tabs>
            <w:rPr>
              <w:color w:val="auto"/>
              <w:highlight w:val="none"/>
            </w:rPr>
          </w:pPr>
          <w:r>
            <w:rPr>
              <w:color w:val="auto"/>
              <w:highlight w:val="none"/>
            </w:rPr>
            <w:fldChar w:fldCharType="begin"/>
          </w:r>
          <w:r>
            <w:rPr>
              <w:color w:val="auto"/>
              <w:highlight w:val="none"/>
            </w:rPr>
            <w:instrText xml:space="preserve"> HYPERLINK \l "_Toc20183" </w:instrText>
          </w:r>
          <w:r>
            <w:rPr>
              <w:color w:val="auto"/>
              <w:highlight w:val="none"/>
            </w:rPr>
            <w:fldChar w:fldCharType="separate"/>
          </w:r>
          <w:r>
            <w:rPr>
              <w:color w:val="auto"/>
              <w:szCs w:val="36"/>
              <w:highlight w:val="none"/>
            </w:rPr>
            <w:t>4、环境影响预测与评价</w:t>
          </w:r>
          <w:r>
            <w:rPr>
              <w:color w:val="auto"/>
              <w:highlight w:val="none"/>
            </w:rPr>
            <w:tab/>
          </w:r>
          <w:r>
            <w:rPr>
              <w:color w:val="auto"/>
              <w:highlight w:val="none"/>
            </w:rPr>
            <w:fldChar w:fldCharType="begin"/>
          </w:r>
          <w:r>
            <w:rPr>
              <w:color w:val="auto"/>
              <w:highlight w:val="none"/>
            </w:rPr>
            <w:instrText xml:space="preserve"> PAGEREF _Toc20183 \h </w:instrText>
          </w:r>
          <w:r>
            <w:rPr>
              <w:color w:val="auto"/>
              <w:highlight w:val="none"/>
            </w:rPr>
            <w:fldChar w:fldCharType="separate"/>
          </w:r>
          <w:r>
            <w:rPr>
              <w:color w:val="auto"/>
              <w:highlight w:val="none"/>
            </w:rPr>
            <w:t>171</w:t>
          </w:r>
          <w:r>
            <w:rPr>
              <w:color w:val="auto"/>
              <w:highlight w:val="none"/>
            </w:rPr>
            <w:fldChar w:fldCharType="end"/>
          </w:r>
          <w:r>
            <w:rPr>
              <w:color w:val="auto"/>
              <w:highlight w:val="none"/>
            </w:rPr>
            <w:fldChar w:fldCharType="end"/>
          </w:r>
        </w:p>
        <w:p w14:paraId="774BD3DA">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"_Toc3445" </w:instrText>
          </w:r>
          <w:r>
            <w:rPr>
              <w:color w:val="auto"/>
              <w:highlight w:val="none"/>
            </w:rPr>
            <w:fldChar w:fldCharType="separate"/>
          </w:r>
          <w:r>
            <w:rPr>
              <w:rFonts w:eastAsiaTheme="minorEastAsia"/>
              <w:color w:val="auto"/>
              <w:szCs w:val="32"/>
              <w:highlight w:val="none"/>
            </w:rPr>
            <w:t>4.1  施工期环境影响预测与评价</w:t>
          </w:r>
          <w:r>
            <w:rPr>
              <w:color w:val="auto"/>
              <w:highlight w:val="none"/>
            </w:rPr>
            <w:tab/>
          </w:r>
          <w:r>
            <w:rPr>
              <w:color w:val="auto"/>
              <w:highlight w:val="none"/>
            </w:rPr>
            <w:fldChar w:fldCharType="begin"/>
          </w:r>
          <w:r>
            <w:rPr>
              <w:color w:val="auto"/>
              <w:highlight w:val="none"/>
            </w:rPr>
            <w:instrText xml:space="preserve"> PAGEREF _Toc3445 \h </w:instrText>
          </w:r>
          <w:r>
            <w:rPr>
              <w:color w:val="auto"/>
              <w:highlight w:val="none"/>
            </w:rPr>
            <w:fldChar w:fldCharType="separate"/>
          </w:r>
          <w:r>
            <w:rPr>
              <w:color w:val="auto"/>
              <w:highlight w:val="none"/>
            </w:rPr>
            <w:t>171</w:t>
          </w:r>
          <w:r>
            <w:rPr>
              <w:color w:val="auto"/>
              <w:highlight w:val="none"/>
            </w:rPr>
            <w:fldChar w:fldCharType="end"/>
          </w:r>
          <w:r>
            <w:rPr>
              <w:color w:val="auto"/>
              <w:highlight w:val="none"/>
            </w:rPr>
            <w:fldChar w:fldCharType="end"/>
          </w:r>
        </w:p>
        <w:p w14:paraId="330B3C72">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"_Toc29447" </w:instrText>
          </w:r>
          <w:r>
            <w:rPr>
              <w:color w:val="auto"/>
              <w:highlight w:val="none"/>
            </w:rPr>
            <w:fldChar w:fldCharType="separate"/>
          </w:r>
          <w:r>
            <w:rPr>
              <w:rFonts w:eastAsiaTheme="minorEastAsia"/>
              <w:color w:val="auto"/>
              <w:szCs w:val="32"/>
              <w:highlight w:val="none"/>
            </w:rPr>
            <w:t>4.2  运营期环境影响预测与评价</w:t>
          </w:r>
          <w:r>
            <w:rPr>
              <w:color w:val="auto"/>
              <w:highlight w:val="none"/>
            </w:rPr>
            <w:tab/>
          </w:r>
          <w:r>
            <w:rPr>
              <w:color w:val="auto"/>
              <w:highlight w:val="none"/>
            </w:rPr>
            <w:fldChar w:fldCharType="begin"/>
          </w:r>
          <w:r>
            <w:rPr>
              <w:color w:val="auto"/>
              <w:highlight w:val="none"/>
            </w:rPr>
            <w:instrText xml:space="preserve"> PAGEREF _Toc29447 \h </w:instrText>
          </w:r>
          <w:r>
            <w:rPr>
              <w:color w:val="auto"/>
              <w:highlight w:val="none"/>
            </w:rPr>
            <w:fldChar w:fldCharType="separate"/>
          </w:r>
          <w:r>
            <w:rPr>
              <w:color w:val="auto"/>
              <w:highlight w:val="none"/>
            </w:rPr>
            <w:t>178</w:t>
          </w:r>
          <w:r>
            <w:rPr>
              <w:color w:val="auto"/>
              <w:highlight w:val="none"/>
            </w:rPr>
            <w:fldChar w:fldCharType="end"/>
          </w:r>
          <w:r>
            <w:rPr>
              <w:color w:val="auto"/>
              <w:highlight w:val="none"/>
            </w:rPr>
            <w:fldChar w:fldCharType="end"/>
          </w:r>
        </w:p>
        <w:p w14:paraId="511AAAC5">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"_Toc24320" </w:instrText>
          </w:r>
          <w:r>
            <w:rPr>
              <w:color w:val="auto"/>
              <w:highlight w:val="none"/>
            </w:rPr>
            <w:fldChar w:fldCharType="separate"/>
          </w:r>
          <w:r>
            <w:rPr>
              <w:rFonts w:eastAsiaTheme="minorEastAsia"/>
              <w:color w:val="auto"/>
              <w:szCs w:val="32"/>
              <w:highlight w:val="none"/>
            </w:rPr>
            <w:t>4.3  环境风险预测与评价</w:t>
          </w:r>
          <w:r>
            <w:rPr>
              <w:color w:val="auto"/>
              <w:highlight w:val="none"/>
            </w:rPr>
            <w:tab/>
          </w:r>
          <w:r>
            <w:rPr>
              <w:color w:val="auto"/>
              <w:highlight w:val="none"/>
            </w:rPr>
            <w:fldChar w:fldCharType="begin"/>
          </w:r>
          <w:r>
            <w:rPr>
              <w:color w:val="auto"/>
              <w:highlight w:val="none"/>
            </w:rPr>
            <w:instrText xml:space="preserve"> PAGEREF _Toc24320 \h </w:instrText>
          </w:r>
          <w:r>
            <w:rPr>
              <w:color w:val="auto"/>
              <w:highlight w:val="none"/>
            </w:rPr>
            <w:fldChar w:fldCharType="separate"/>
          </w:r>
          <w:r>
            <w:rPr>
              <w:color w:val="auto"/>
              <w:highlight w:val="none"/>
            </w:rPr>
            <w:t>198</w:t>
          </w:r>
          <w:r>
            <w:rPr>
              <w:color w:val="auto"/>
              <w:highlight w:val="none"/>
            </w:rPr>
            <w:fldChar w:fldCharType="end"/>
          </w:r>
          <w:r>
            <w:rPr>
              <w:color w:val="auto"/>
              <w:highlight w:val="none"/>
            </w:rPr>
            <w:fldChar w:fldCharType="end"/>
          </w:r>
        </w:p>
        <w:p w14:paraId="07161ABE">
          <w:pPr>
            <w:pStyle w:val="63"/>
            <w:tabs>
              <w:tab w:val="right" w:leader="dot" w:pos="8504"/>
            </w:tabs>
            <w:rPr>
              <w:color w:val="auto"/>
              <w:highlight w:val="none"/>
            </w:rPr>
          </w:pPr>
          <w:r>
            <w:rPr>
              <w:color w:val="auto"/>
              <w:highlight w:val="none"/>
            </w:rPr>
            <w:fldChar w:fldCharType="begin"/>
          </w:r>
          <w:r>
            <w:rPr>
              <w:color w:val="auto"/>
              <w:highlight w:val="none"/>
            </w:rPr>
            <w:instrText xml:space="preserve"> HYPERLINK \l "_Toc571" </w:instrText>
          </w:r>
          <w:r>
            <w:rPr>
              <w:color w:val="auto"/>
              <w:highlight w:val="none"/>
            </w:rPr>
            <w:fldChar w:fldCharType="separate"/>
          </w:r>
          <w:r>
            <w:rPr>
              <w:color w:val="auto"/>
              <w:szCs w:val="36"/>
              <w:highlight w:val="none"/>
            </w:rPr>
            <w:t>5、环境保护措施及其可行性论证</w:t>
          </w:r>
          <w:r>
            <w:rPr>
              <w:color w:val="auto"/>
              <w:highlight w:val="none"/>
            </w:rPr>
            <w:tab/>
          </w:r>
          <w:r>
            <w:rPr>
              <w:color w:val="auto"/>
              <w:highlight w:val="none"/>
            </w:rPr>
            <w:fldChar w:fldCharType="begin"/>
          </w:r>
          <w:r>
            <w:rPr>
              <w:color w:val="auto"/>
              <w:highlight w:val="none"/>
            </w:rPr>
            <w:instrText xml:space="preserve"> PAGEREF _Toc571 \h </w:instrText>
          </w:r>
          <w:r>
            <w:rPr>
              <w:color w:val="auto"/>
              <w:highlight w:val="none"/>
            </w:rPr>
            <w:fldChar w:fldCharType="separate"/>
          </w:r>
          <w:r>
            <w:rPr>
              <w:color w:val="auto"/>
              <w:highlight w:val="none"/>
            </w:rPr>
            <w:t>209</w:t>
          </w:r>
          <w:r>
            <w:rPr>
              <w:color w:val="auto"/>
              <w:highlight w:val="none"/>
            </w:rPr>
            <w:fldChar w:fldCharType="end"/>
          </w:r>
          <w:r>
            <w:rPr>
              <w:color w:val="auto"/>
              <w:highlight w:val="none"/>
            </w:rPr>
            <w:fldChar w:fldCharType="end"/>
          </w:r>
        </w:p>
        <w:p w14:paraId="760C8FF6">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"_Toc27525" </w:instrText>
          </w:r>
          <w:r>
            <w:rPr>
              <w:color w:val="auto"/>
              <w:highlight w:val="none"/>
            </w:rPr>
            <w:fldChar w:fldCharType="separate"/>
          </w:r>
          <w:r>
            <w:rPr>
              <w:rFonts w:eastAsiaTheme="minorEastAsia"/>
              <w:color w:val="auto"/>
              <w:szCs w:val="32"/>
              <w:highlight w:val="none"/>
            </w:rPr>
            <w:t>5.1  施工期环境保护措施</w:t>
          </w:r>
          <w:r>
            <w:rPr>
              <w:color w:val="auto"/>
              <w:highlight w:val="none"/>
            </w:rPr>
            <w:tab/>
          </w:r>
          <w:r>
            <w:rPr>
              <w:color w:val="auto"/>
              <w:highlight w:val="none"/>
            </w:rPr>
            <w:fldChar w:fldCharType="begin"/>
          </w:r>
          <w:r>
            <w:rPr>
              <w:color w:val="auto"/>
              <w:highlight w:val="none"/>
            </w:rPr>
            <w:instrText xml:space="preserve"> PAGEREF _Toc27525 \h </w:instrText>
          </w:r>
          <w:r>
            <w:rPr>
              <w:color w:val="auto"/>
              <w:highlight w:val="none"/>
            </w:rPr>
            <w:fldChar w:fldCharType="separate"/>
          </w:r>
          <w:r>
            <w:rPr>
              <w:color w:val="auto"/>
              <w:highlight w:val="none"/>
            </w:rPr>
            <w:t>209</w:t>
          </w:r>
          <w:r>
            <w:rPr>
              <w:color w:val="auto"/>
              <w:highlight w:val="none"/>
            </w:rPr>
            <w:fldChar w:fldCharType="end"/>
          </w:r>
          <w:r>
            <w:rPr>
              <w:color w:val="auto"/>
              <w:highlight w:val="none"/>
            </w:rPr>
            <w:fldChar w:fldCharType="end"/>
          </w:r>
        </w:p>
        <w:p w14:paraId="5AFBBF42">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"_Toc23914" </w:instrText>
          </w:r>
          <w:r>
            <w:rPr>
              <w:color w:val="auto"/>
              <w:highlight w:val="none"/>
            </w:rPr>
            <w:fldChar w:fldCharType="separate"/>
          </w:r>
          <w:r>
            <w:rPr>
              <w:rFonts w:eastAsiaTheme="minorEastAsia"/>
              <w:color w:val="auto"/>
              <w:szCs w:val="32"/>
              <w:highlight w:val="none"/>
            </w:rPr>
            <w:t>5.2  运营期环境保护措施</w:t>
          </w:r>
          <w:r>
            <w:rPr>
              <w:color w:val="auto"/>
              <w:highlight w:val="none"/>
            </w:rPr>
            <w:tab/>
          </w:r>
          <w:r>
            <w:rPr>
              <w:color w:val="auto"/>
              <w:highlight w:val="none"/>
            </w:rPr>
            <w:fldChar w:fldCharType="begin"/>
          </w:r>
          <w:r>
            <w:rPr>
              <w:color w:val="auto"/>
              <w:highlight w:val="none"/>
            </w:rPr>
            <w:instrText xml:space="preserve"> PAGEREF _Toc23914 \h </w:instrText>
          </w:r>
          <w:r>
            <w:rPr>
              <w:color w:val="auto"/>
              <w:highlight w:val="none"/>
            </w:rPr>
            <w:fldChar w:fldCharType="separate"/>
          </w:r>
          <w:r>
            <w:rPr>
              <w:color w:val="auto"/>
              <w:highlight w:val="none"/>
            </w:rPr>
            <w:t>211</w:t>
          </w:r>
          <w:r>
            <w:rPr>
              <w:color w:val="auto"/>
              <w:highlight w:val="none"/>
            </w:rPr>
            <w:fldChar w:fldCharType="end"/>
          </w:r>
          <w:r>
            <w:rPr>
              <w:color w:val="auto"/>
              <w:highlight w:val="none"/>
            </w:rPr>
            <w:fldChar w:fldCharType="end"/>
          </w:r>
        </w:p>
        <w:p w14:paraId="06E54097">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"_Toc19044" </w:instrText>
          </w:r>
          <w:r>
            <w:rPr>
              <w:color w:val="auto"/>
              <w:highlight w:val="none"/>
            </w:rPr>
            <w:fldChar w:fldCharType="separate"/>
          </w:r>
          <w:r>
            <w:rPr>
              <w:rFonts w:eastAsiaTheme="minorEastAsia"/>
              <w:color w:val="auto"/>
              <w:szCs w:val="32"/>
              <w:highlight w:val="none"/>
            </w:rPr>
            <w:t>5.3  环境风险防范措施</w:t>
          </w:r>
          <w:r>
            <w:rPr>
              <w:color w:val="auto"/>
              <w:highlight w:val="none"/>
            </w:rPr>
            <w:tab/>
          </w:r>
          <w:r>
            <w:rPr>
              <w:color w:val="auto"/>
              <w:highlight w:val="none"/>
            </w:rPr>
            <w:fldChar w:fldCharType="begin"/>
          </w:r>
          <w:r>
            <w:rPr>
              <w:color w:val="auto"/>
              <w:highlight w:val="none"/>
            </w:rPr>
            <w:instrText xml:space="preserve"> PAGEREF _Toc19044 \h </w:instrText>
          </w:r>
          <w:r>
            <w:rPr>
              <w:color w:val="auto"/>
              <w:highlight w:val="none"/>
            </w:rPr>
            <w:fldChar w:fldCharType="separate"/>
          </w:r>
          <w:r>
            <w:rPr>
              <w:color w:val="auto"/>
              <w:highlight w:val="none"/>
            </w:rPr>
            <w:t>217</w:t>
          </w:r>
          <w:r>
            <w:rPr>
              <w:color w:val="auto"/>
              <w:highlight w:val="none"/>
            </w:rPr>
            <w:fldChar w:fldCharType="end"/>
          </w:r>
          <w:r>
            <w:rPr>
              <w:color w:val="auto"/>
              <w:highlight w:val="none"/>
            </w:rPr>
            <w:fldChar w:fldCharType="end"/>
          </w:r>
        </w:p>
        <w:p w14:paraId="23EB8CC4">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"_Toc6058" </w:instrText>
          </w:r>
          <w:r>
            <w:rPr>
              <w:color w:val="auto"/>
              <w:highlight w:val="none"/>
            </w:rPr>
            <w:fldChar w:fldCharType="separate"/>
          </w:r>
          <w:r>
            <w:rPr>
              <w:rFonts w:eastAsiaTheme="minorEastAsia"/>
              <w:color w:val="auto"/>
              <w:szCs w:val="32"/>
              <w:highlight w:val="none"/>
            </w:rPr>
            <w:t>5.4  环保投资估算</w:t>
          </w:r>
          <w:r>
            <w:rPr>
              <w:color w:val="auto"/>
              <w:highlight w:val="none"/>
            </w:rPr>
            <w:tab/>
          </w:r>
          <w:r>
            <w:rPr>
              <w:color w:val="auto"/>
              <w:highlight w:val="none"/>
            </w:rPr>
            <w:fldChar w:fldCharType="begin"/>
          </w:r>
          <w:r>
            <w:rPr>
              <w:color w:val="auto"/>
              <w:highlight w:val="none"/>
            </w:rPr>
            <w:instrText xml:space="preserve"> PAGEREF _Toc6058 \h </w:instrText>
          </w:r>
          <w:r>
            <w:rPr>
              <w:color w:val="auto"/>
              <w:highlight w:val="none"/>
            </w:rPr>
            <w:fldChar w:fldCharType="separate"/>
          </w:r>
          <w:r>
            <w:rPr>
              <w:color w:val="auto"/>
              <w:highlight w:val="none"/>
            </w:rPr>
            <w:t>217</w:t>
          </w:r>
          <w:r>
            <w:rPr>
              <w:color w:val="auto"/>
              <w:highlight w:val="none"/>
            </w:rPr>
            <w:fldChar w:fldCharType="end"/>
          </w:r>
          <w:r>
            <w:rPr>
              <w:color w:val="auto"/>
              <w:highlight w:val="none"/>
            </w:rPr>
            <w:fldChar w:fldCharType="end"/>
          </w:r>
        </w:p>
        <w:p w14:paraId="1E83FF9D">
          <w:pPr>
            <w:pStyle w:val="63"/>
            <w:tabs>
              <w:tab w:val="right" w:leader="dot" w:pos="8504"/>
            </w:tabs>
            <w:rPr>
              <w:color w:val="auto"/>
              <w:highlight w:val="none"/>
            </w:rPr>
          </w:pPr>
          <w:r>
            <w:rPr>
              <w:color w:val="auto"/>
              <w:highlight w:val="none"/>
            </w:rPr>
            <w:fldChar w:fldCharType="begin"/>
          </w:r>
          <w:r>
            <w:rPr>
              <w:color w:val="auto"/>
              <w:highlight w:val="none"/>
            </w:rPr>
            <w:instrText xml:space="preserve"> HYPERLINK \l "_Toc7850" </w:instrText>
          </w:r>
          <w:r>
            <w:rPr>
              <w:color w:val="auto"/>
              <w:highlight w:val="none"/>
            </w:rPr>
            <w:fldChar w:fldCharType="separate"/>
          </w:r>
          <w:r>
            <w:rPr>
              <w:color w:val="auto"/>
              <w:szCs w:val="36"/>
              <w:highlight w:val="none"/>
            </w:rPr>
            <w:t>6、环境影响经济损益分析</w:t>
          </w:r>
          <w:r>
            <w:rPr>
              <w:color w:val="auto"/>
              <w:highlight w:val="none"/>
            </w:rPr>
            <w:tab/>
          </w:r>
          <w:r>
            <w:rPr>
              <w:color w:val="auto"/>
              <w:highlight w:val="none"/>
            </w:rPr>
            <w:fldChar w:fldCharType="begin"/>
          </w:r>
          <w:r>
            <w:rPr>
              <w:color w:val="auto"/>
              <w:highlight w:val="none"/>
            </w:rPr>
            <w:instrText xml:space="preserve"> PAGEREF _Toc7850 \h </w:instrText>
          </w:r>
          <w:r>
            <w:rPr>
              <w:color w:val="auto"/>
              <w:highlight w:val="none"/>
            </w:rPr>
            <w:fldChar w:fldCharType="separate"/>
          </w:r>
          <w:r>
            <w:rPr>
              <w:color w:val="auto"/>
              <w:highlight w:val="none"/>
            </w:rPr>
            <w:t>219</w:t>
          </w:r>
          <w:r>
            <w:rPr>
              <w:color w:val="auto"/>
              <w:highlight w:val="none"/>
            </w:rPr>
            <w:fldChar w:fldCharType="end"/>
          </w:r>
          <w:r>
            <w:rPr>
              <w:color w:val="auto"/>
              <w:highlight w:val="none"/>
            </w:rPr>
            <w:fldChar w:fldCharType="end"/>
          </w:r>
        </w:p>
        <w:p w14:paraId="48F1FDA8">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"_Toc31454" </w:instrText>
          </w:r>
          <w:r>
            <w:rPr>
              <w:color w:val="auto"/>
              <w:highlight w:val="none"/>
            </w:rPr>
            <w:fldChar w:fldCharType="separate"/>
          </w:r>
          <w:r>
            <w:rPr>
              <w:rFonts w:eastAsiaTheme="minorEastAsia"/>
              <w:color w:val="auto"/>
              <w:szCs w:val="32"/>
              <w:highlight w:val="none"/>
            </w:rPr>
            <w:t>6.1  经济效益分析</w:t>
          </w:r>
          <w:r>
            <w:rPr>
              <w:color w:val="auto"/>
              <w:highlight w:val="none"/>
            </w:rPr>
            <w:tab/>
          </w:r>
          <w:r>
            <w:rPr>
              <w:color w:val="auto"/>
              <w:highlight w:val="none"/>
            </w:rPr>
            <w:fldChar w:fldCharType="begin"/>
          </w:r>
          <w:r>
            <w:rPr>
              <w:color w:val="auto"/>
              <w:highlight w:val="none"/>
            </w:rPr>
            <w:instrText xml:space="preserve"> PAGEREF _Toc31454 \h </w:instrText>
          </w:r>
          <w:r>
            <w:rPr>
              <w:color w:val="auto"/>
              <w:highlight w:val="none"/>
            </w:rPr>
            <w:fldChar w:fldCharType="separate"/>
          </w:r>
          <w:r>
            <w:rPr>
              <w:color w:val="auto"/>
              <w:highlight w:val="none"/>
            </w:rPr>
            <w:t>219</w:t>
          </w:r>
          <w:r>
            <w:rPr>
              <w:color w:val="auto"/>
              <w:highlight w:val="none"/>
            </w:rPr>
            <w:fldChar w:fldCharType="end"/>
          </w:r>
          <w:r>
            <w:rPr>
              <w:color w:val="auto"/>
              <w:highlight w:val="none"/>
            </w:rPr>
            <w:fldChar w:fldCharType="end"/>
          </w:r>
        </w:p>
        <w:p w14:paraId="069CE4C9">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"_Toc6548" </w:instrText>
          </w:r>
          <w:r>
            <w:rPr>
              <w:color w:val="auto"/>
              <w:highlight w:val="none"/>
            </w:rPr>
            <w:fldChar w:fldCharType="separate"/>
          </w:r>
          <w:r>
            <w:rPr>
              <w:rFonts w:eastAsiaTheme="minorEastAsia"/>
              <w:color w:val="auto"/>
              <w:szCs w:val="32"/>
              <w:highlight w:val="none"/>
            </w:rPr>
            <w:t>6.2  社会效益分析</w:t>
          </w:r>
          <w:r>
            <w:rPr>
              <w:color w:val="auto"/>
              <w:highlight w:val="none"/>
            </w:rPr>
            <w:tab/>
          </w:r>
          <w:r>
            <w:rPr>
              <w:color w:val="auto"/>
              <w:highlight w:val="none"/>
            </w:rPr>
            <w:fldChar w:fldCharType="begin"/>
          </w:r>
          <w:r>
            <w:rPr>
              <w:color w:val="auto"/>
              <w:highlight w:val="none"/>
            </w:rPr>
            <w:instrText xml:space="preserve"> PAGEREF _Toc6548 \h </w:instrText>
          </w:r>
          <w:r>
            <w:rPr>
              <w:color w:val="auto"/>
              <w:highlight w:val="none"/>
            </w:rPr>
            <w:fldChar w:fldCharType="separate"/>
          </w:r>
          <w:r>
            <w:rPr>
              <w:color w:val="auto"/>
              <w:highlight w:val="none"/>
            </w:rPr>
            <w:t>219</w:t>
          </w:r>
          <w:r>
            <w:rPr>
              <w:color w:val="auto"/>
              <w:highlight w:val="none"/>
            </w:rPr>
            <w:fldChar w:fldCharType="end"/>
          </w:r>
          <w:r>
            <w:rPr>
              <w:color w:val="auto"/>
              <w:highlight w:val="none"/>
            </w:rPr>
            <w:fldChar w:fldCharType="end"/>
          </w:r>
        </w:p>
        <w:p w14:paraId="4C01A2D3">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"_Toc20143" </w:instrText>
          </w:r>
          <w:r>
            <w:rPr>
              <w:color w:val="auto"/>
              <w:highlight w:val="none"/>
            </w:rPr>
            <w:fldChar w:fldCharType="separate"/>
          </w:r>
          <w:r>
            <w:rPr>
              <w:rFonts w:eastAsiaTheme="minorEastAsia"/>
              <w:color w:val="auto"/>
              <w:szCs w:val="32"/>
              <w:highlight w:val="none"/>
            </w:rPr>
            <w:t>6.3  环境效益</w:t>
          </w:r>
          <w:r>
            <w:rPr>
              <w:color w:val="auto"/>
              <w:highlight w:val="none"/>
            </w:rPr>
            <w:tab/>
          </w:r>
          <w:r>
            <w:rPr>
              <w:color w:val="auto"/>
              <w:highlight w:val="none"/>
            </w:rPr>
            <w:fldChar w:fldCharType="begin"/>
          </w:r>
          <w:r>
            <w:rPr>
              <w:color w:val="auto"/>
              <w:highlight w:val="none"/>
            </w:rPr>
            <w:instrText xml:space="preserve"> PAGEREF _Toc20143 \h </w:instrText>
          </w:r>
          <w:r>
            <w:rPr>
              <w:color w:val="auto"/>
              <w:highlight w:val="none"/>
            </w:rPr>
            <w:fldChar w:fldCharType="separate"/>
          </w:r>
          <w:r>
            <w:rPr>
              <w:color w:val="auto"/>
              <w:highlight w:val="none"/>
            </w:rPr>
            <w:t>219</w:t>
          </w:r>
          <w:r>
            <w:rPr>
              <w:color w:val="auto"/>
              <w:highlight w:val="none"/>
            </w:rPr>
            <w:fldChar w:fldCharType="end"/>
          </w:r>
          <w:r>
            <w:rPr>
              <w:color w:val="auto"/>
              <w:highlight w:val="none"/>
            </w:rPr>
            <w:fldChar w:fldCharType="end"/>
          </w:r>
        </w:p>
        <w:p w14:paraId="75D04E24">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"_Toc14872" </w:instrText>
          </w:r>
          <w:r>
            <w:rPr>
              <w:color w:val="auto"/>
              <w:highlight w:val="none"/>
            </w:rPr>
            <w:fldChar w:fldCharType="separate"/>
          </w:r>
          <w:r>
            <w:rPr>
              <w:rFonts w:eastAsiaTheme="minorEastAsia"/>
              <w:color w:val="auto"/>
              <w:szCs w:val="32"/>
              <w:highlight w:val="none"/>
            </w:rPr>
            <w:t>6.4  小结</w:t>
          </w:r>
          <w:r>
            <w:rPr>
              <w:color w:val="auto"/>
              <w:highlight w:val="none"/>
            </w:rPr>
            <w:tab/>
          </w:r>
          <w:r>
            <w:rPr>
              <w:color w:val="auto"/>
              <w:highlight w:val="none"/>
            </w:rPr>
            <w:fldChar w:fldCharType="begin"/>
          </w:r>
          <w:r>
            <w:rPr>
              <w:color w:val="auto"/>
              <w:highlight w:val="none"/>
            </w:rPr>
            <w:instrText xml:space="preserve"> PAGEREF _Toc14872 \h </w:instrText>
          </w:r>
          <w:r>
            <w:rPr>
              <w:color w:val="auto"/>
              <w:highlight w:val="none"/>
            </w:rPr>
            <w:fldChar w:fldCharType="separate"/>
          </w:r>
          <w:r>
            <w:rPr>
              <w:color w:val="auto"/>
              <w:highlight w:val="none"/>
            </w:rPr>
            <w:t>220</w:t>
          </w:r>
          <w:r>
            <w:rPr>
              <w:color w:val="auto"/>
              <w:highlight w:val="none"/>
            </w:rPr>
            <w:fldChar w:fldCharType="end"/>
          </w:r>
          <w:r>
            <w:rPr>
              <w:color w:val="auto"/>
              <w:highlight w:val="none"/>
            </w:rPr>
            <w:fldChar w:fldCharType="end"/>
          </w:r>
        </w:p>
        <w:p w14:paraId="5352C4F2">
          <w:pPr>
            <w:pStyle w:val="63"/>
            <w:tabs>
              <w:tab w:val="right" w:leader="dot" w:pos="8504"/>
            </w:tabs>
            <w:rPr>
              <w:color w:val="auto"/>
              <w:highlight w:val="none"/>
            </w:rPr>
          </w:pPr>
          <w:r>
            <w:rPr>
              <w:color w:val="auto"/>
              <w:highlight w:val="none"/>
            </w:rPr>
            <w:fldChar w:fldCharType="begin"/>
          </w:r>
          <w:r>
            <w:rPr>
              <w:color w:val="auto"/>
              <w:highlight w:val="none"/>
            </w:rPr>
            <w:instrText xml:space="preserve"> HYPERLINK \l "_Toc23648" </w:instrText>
          </w:r>
          <w:r>
            <w:rPr>
              <w:color w:val="auto"/>
              <w:highlight w:val="none"/>
            </w:rPr>
            <w:fldChar w:fldCharType="separate"/>
          </w:r>
          <w:r>
            <w:rPr>
              <w:color w:val="auto"/>
              <w:szCs w:val="36"/>
              <w:highlight w:val="none"/>
            </w:rPr>
            <w:t>7、 环境管理与监测计划</w:t>
          </w:r>
          <w:r>
            <w:rPr>
              <w:color w:val="auto"/>
              <w:highlight w:val="none"/>
            </w:rPr>
            <w:tab/>
          </w:r>
          <w:r>
            <w:rPr>
              <w:color w:val="auto"/>
              <w:highlight w:val="none"/>
            </w:rPr>
            <w:fldChar w:fldCharType="begin"/>
          </w:r>
          <w:r>
            <w:rPr>
              <w:color w:val="auto"/>
              <w:highlight w:val="none"/>
            </w:rPr>
            <w:instrText xml:space="preserve"> PAGEREF _Toc23648 \h </w:instrText>
          </w:r>
          <w:r>
            <w:rPr>
              <w:color w:val="auto"/>
              <w:highlight w:val="none"/>
            </w:rPr>
            <w:fldChar w:fldCharType="separate"/>
          </w:r>
          <w:r>
            <w:rPr>
              <w:color w:val="auto"/>
              <w:highlight w:val="none"/>
            </w:rPr>
            <w:t>221</w:t>
          </w:r>
          <w:r>
            <w:rPr>
              <w:color w:val="auto"/>
              <w:highlight w:val="none"/>
            </w:rPr>
            <w:fldChar w:fldCharType="end"/>
          </w:r>
          <w:r>
            <w:rPr>
              <w:color w:val="auto"/>
              <w:highlight w:val="none"/>
            </w:rPr>
            <w:fldChar w:fldCharType="end"/>
          </w:r>
        </w:p>
        <w:p w14:paraId="295A5A26">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"_Toc31214" </w:instrText>
          </w:r>
          <w:r>
            <w:rPr>
              <w:color w:val="auto"/>
              <w:highlight w:val="none"/>
            </w:rPr>
            <w:fldChar w:fldCharType="separate"/>
          </w:r>
          <w:r>
            <w:rPr>
              <w:rFonts w:eastAsiaTheme="minorEastAsia"/>
              <w:color w:val="auto"/>
              <w:szCs w:val="32"/>
              <w:highlight w:val="none"/>
            </w:rPr>
            <w:t>7.1  环境管理</w:t>
          </w:r>
          <w:r>
            <w:rPr>
              <w:color w:val="auto"/>
              <w:highlight w:val="none"/>
            </w:rPr>
            <w:tab/>
          </w:r>
          <w:r>
            <w:rPr>
              <w:color w:val="auto"/>
              <w:highlight w:val="none"/>
            </w:rPr>
            <w:fldChar w:fldCharType="begin"/>
          </w:r>
          <w:r>
            <w:rPr>
              <w:color w:val="auto"/>
              <w:highlight w:val="none"/>
            </w:rPr>
            <w:instrText xml:space="preserve"> PAGEREF _Toc31214 \h </w:instrText>
          </w:r>
          <w:r>
            <w:rPr>
              <w:color w:val="auto"/>
              <w:highlight w:val="none"/>
            </w:rPr>
            <w:fldChar w:fldCharType="separate"/>
          </w:r>
          <w:r>
            <w:rPr>
              <w:color w:val="auto"/>
              <w:highlight w:val="none"/>
            </w:rPr>
            <w:t>221</w:t>
          </w:r>
          <w:r>
            <w:rPr>
              <w:color w:val="auto"/>
              <w:highlight w:val="none"/>
            </w:rPr>
            <w:fldChar w:fldCharType="end"/>
          </w:r>
          <w:r>
            <w:rPr>
              <w:color w:val="auto"/>
              <w:highlight w:val="none"/>
            </w:rPr>
            <w:fldChar w:fldCharType="end"/>
          </w:r>
        </w:p>
        <w:p w14:paraId="0A411C4E">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"_Toc15940" </w:instrText>
          </w:r>
          <w:r>
            <w:rPr>
              <w:color w:val="auto"/>
              <w:highlight w:val="none"/>
            </w:rPr>
            <w:fldChar w:fldCharType="separate"/>
          </w:r>
          <w:r>
            <w:rPr>
              <w:rFonts w:eastAsiaTheme="minorEastAsia"/>
              <w:color w:val="auto"/>
              <w:szCs w:val="32"/>
              <w:highlight w:val="none"/>
            </w:rPr>
            <w:t>7.2  排污管理要求</w:t>
          </w:r>
          <w:r>
            <w:rPr>
              <w:color w:val="auto"/>
              <w:highlight w:val="none"/>
            </w:rPr>
            <w:tab/>
          </w:r>
          <w:r>
            <w:rPr>
              <w:color w:val="auto"/>
              <w:highlight w:val="none"/>
            </w:rPr>
            <w:fldChar w:fldCharType="begin"/>
          </w:r>
          <w:r>
            <w:rPr>
              <w:color w:val="auto"/>
              <w:highlight w:val="none"/>
            </w:rPr>
            <w:instrText xml:space="preserve"> PAGEREF _Toc15940 \h </w:instrText>
          </w:r>
          <w:r>
            <w:rPr>
              <w:color w:val="auto"/>
              <w:highlight w:val="none"/>
            </w:rPr>
            <w:fldChar w:fldCharType="separate"/>
          </w:r>
          <w:r>
            <w:rPr>
              <w:color w:val="auto"/>
              <w:highlight w:val="none"/>
            </w:rPr>
            <w:t>223</w:t>
          </w:r>
          <w:r>
            <w:rPr>
              <w:color w:val="auto"/>
              <w:highlight w:val="none"/>
            </w:rPr>
            <w:fldChar w:fldCharType="end"/>
          </w:r>
          <w:r>
            <w:rPr>
              <w:color w:val="auto"/>
              <w:highlight w:val="none"/>
            </w:rPr>
            <w:fldChar w:fldCharType="end"/>
          </w:r>
        </w:p>
        <w:p w14:paraId="7EE78E29">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"_Toc23471" </w:instrText>
          </w:r>
          <w:r>
            <w:rPr>
              <w:color w:val="auto"/>
              <w:highlight w:val="none"/>
            </w:rPr>
            <w:fldChar w:fldCharType="separate"/>
          </w:r>
          <w:r>
            <w:rPr>
              <w:rFonts w:eastAsiaTheme="minorEastAsia"/>
              <w:color w:val="auto"/>
              <w:szCs w:val="32"/>
              <w:highlight w:val="none"/>
            </w:rPr>
            <w:t>7.3  环境监测计划</w:t>
          </w:r>
          <w:r>
            <w:rPr>
              <w:color w:val="auto"/>
              <w:highlight w:val="none"/>
            </w:rPr>
            <w:tab/>
          </w:r>
          <w:r>
            <w:rPr>
              <w:color w:val="auto"/>
              <w:highlight w:val="none"/>
            </w:rPr>
            <w:fldChar w:fldCharType="begin"/>
          </w:r>
          <w:r>
            <w:rPr>
              <w:color w:val="auto"/>
              <w:highlight w:val="none"/>
            </w:rPr>
            <w:instrText xml:space="preserve"> PAGEREF _Toc23471 \h </w:instrText>
          </w:r>
          <w:r>
            <w:rPr>
              <w:color w:val="auto"/>
              <w:highlight w:val="none"/>
            </w:rPr>
            <w:fldChar w:fldCharType="separate"/>
          </w:r>
          <w:r>
            <w:rPr>
              <w:color w:val="auto"/>
              <w:highlight w:val="none"/>
            </w:rPr>
            <w:t>227</w:t>
          </w:r>
          <w:r>
            <w:rPr>
              <w:color w:val="auto"/>
              <w:highlight w:val="none"/>
            </w:rPr>
            <w:fldChar w:fldCharType="end"/>
          </w:r>
          <w:r>
            <w:rPr>
              <w:color w:val="auto"/>
              <w:highlight w:val="none"/>
            </w:rPr>
            <w:fldChar w:fldCharType="end"/>
          </w:r>
        </w:p>
        <w:p w14:paraId="1445B315">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"_Toc16348" </w:instrText>
          </w:r>
          <w:r>
            <w:rPr>
              <w:color w:val="auto"/>
              <w:highlight w:val="none"/>
            </w:rPr>
            <w:fldChar w:fldCharType="separate"/>
          </w:r>
          <w:r>
            <w:rPr>
              <w:rFonts w:eastAsiaTheme="minorEastAsia"/>
              <w:color w:val="auto"/>
              <w:szCs w:val="32"/>
              <w:highlight w:val="none"/>
            </w:rPr>
            <w:t>7.4  环保设施“三同时”验收</w:t>
          </w:r>
          <w:r>
            <w:rPr>
              <w:color w:val="auto"/>
              <w:highlight w:val="none"/>
            </w:rPr>
            <w:tab/>
          </w:r>
          <w:r>
            <w:rPr>
              <w:color w:val="auto"/>
              <w:highlight w:val="none"/>
            </w:rPr>
            <w:fldChar w:fldCharType="begin"/>
          </w:r>
          <w:r>
            <w:rPr>
              <w:color w:val="auto"/>
              <w:highlight w:val="none"/>
            </w:rPr>
            <w:instrText xml:space="preserve"> PAGEREF _Toc16348 \h </w:instrText>
          </w:r>
          <w:r>
            <w:rPr>
              <w:color w:val="auto"/>
              <w:highlight w:val="none"/>
            </w:rPr>
            <w:fldChar w:fldCharType="separate"/>
          </w:r>
          <w:r>
            <w:rPr>
              <w:color w:val="auto"/>
              <w:highlight w:val="none"/>
            </w:rPr>
            <w:t>228</w:t>
          </w:r>
          <w:r>
            <w:rPr>
              <w:color w:val="auto"/>
              <w:highlight w:val="none"/>
            </w:rPr>
            <w:fldChar w:fldCharType="end"/>
          </w:r>
          <w:r>
            <w:rPr>
              <w:color w:val="auto"/>
              <w:highlight w:val="none"/>
            </w:rPr>
            <w:fldChar w:fldCharType="end"/>
          </w:r>
        </w:p>
        <w:p w14:paraId="50F3ED97">
          <w:pPr>
            <w:pStyle w:val="63"/>
            <w:tabs>
              <w:tab w:val="right" w:leader="dot" w:pos="8504"/>
            </w:tabs>
            <w:rPr>
              <w:color w:val="auto"/>
              <w:highlight w:val="none"/>
            </w:rPr>
          </w:pPr>
          <w:r>
            <w:rPr>
              <w:color w:val="auto"/>
              <w:highlight w:val="none"/>
            </w:rPr>
            <w:fldChar w:fldCharType="begin"/>
          </w:r>
          <w:r>
            <w:rPr>
              <w:color w:val="auto"/>
              <w:highlight w:val="none"/>
            </w:rPr>
            <w:instrText xml:space="preserve"> HYPERLINK \l "_Toc11000" </w:instrText>
          </w:r>
          <w:r>
            <w:rPr>
              <w:color w:val="auto"/>
              <w:highlight w:val="none"/>
            </w:rPr>
            <w:fldChar w:fldCharType="separate"/>
          </w:r>
          <w:r>
            <w:rPr>
              <w:color w:val="auto"/>
              <w:szCs w:val="36"/>
              <w:highlight w:val="none"/>
            </w:rPr>
            <w:t>8、环境影响评价结论</w:t>
          </w:r>
          <w:r>
            <w:rPr>
              <w:color w:val="auto"/>
              <w:highlight w:val="none"/>
            </w:rPr>
            <w:tab/>
          </w:r>
          <w:r>
            <w:rPr>
              <w:color w:val="auto"/>
              <w:highlight w:val="none"/>
            </w:rPr>
            <w:fldChar w:fldCharType="begin"/>
          </w:r>
          <w:r>
            <w:rPr>
              <w:color w:val="auto"/>
              <w:highlight w:val="none"/>
            </w:rPr>
            <w:instrText xml:space="preserve"> PAGEREF _Toc11000 \h </w:instrText>
          </w:r>
          <w:r>
            <w:rPr>
              <w:color w:val="auto"/>
              <w:highlight w:val="none"/>
            </w:rPr>
            <w:fldChar w:fldCharType="separate"/>
          </w:r>
          <w:r>
            <w:rPr>
              <w:color w:val="auto"/>
              <w:highlight w:val="none"/>
            </w:rPr>
            <w:t>231</w:t>
          </w:r>
          <w:r>
            <w:rPr>
              <w:color w:val="auto"/>
              <w:highlight w:val="none"/>
            </w:rPr>
            <w:fldChar w:fldCharType="end"/>
          </w:r>
          <w:r>
            <w:rPr>
              <w:color w:val="auto"/>
              <w:highlight w:val="none"/>
            </w:rPr>
            <w:fldChar w:fldCharType="end"/>
          </w:r>
        </w:p>
        <w:p w14:paraId="38EEA634">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"_Toc31720" </w:instrText>
          </w:r>
          <w:r>
            <w:rPr>
              <w:color w:val="auto"/>
              <w:highlight w:val="none"/>
            </w:rPr>
            <w:fldChar w:fldCharType="separate"/>
          </w:r>
          <w:r>
            <w:rPr>
              <w:rFonts w:eastAsiaTheme="minorEastAsia"/>
              <w:color w:val="auto"/>
              <w:szCs w:val="32"/>
              <w:highlight w:val="none"/>
            </w:rPr>
            <w:t>8.1  工程概况</w:t>
          </w:r>
          <w:r>
            <w:rPr>
              <w:color w:val="auto"/>
              <w:highlight w:val="none"/>
            </w:rPr>
            <w:tab/>
          </w:r>
          <w:r>
            <w:rPr>
              <w:color w:val="auto"/>
              <w:highlight w:val="none"/>
            </w:rPr>
            <w:fldChar w:fldCharType="begin"/>
          </w:r>
          <w:r>
            <w:rPr>
              <w:color w:val="auto"/>
              <w:highlight w:val="none"/>
            </w:rPr>
            <w:instrText xml:space="preserve"> PAGEREF _Toc31720 \h </w:instrText>
          </w:r>
          <w:r>
            <w:rPr>
              <w:color w:val="auto"/>
              <w:highlight w:val="none"/>
            </w:rPr>
            <w:fldChar w:fldCharType="separate"/>
          </w:r>
          <w:r>
            <w:rPr>
              <w:color w:val="auto"/>
              <w:highlight w:val="none"/>
            </w:rPr>
            <w:t>231</w:t>
          </w:r>
          <w:r>
            <w:rPr>
              <w:color w:val="auto"/>
              <w:highlight w:val="none"/>
            </w:rPr>
            <w:fldChar w:fldCharType="end"/>
          </w:r>
          <w:r>
            <w:rPr>
              <w:color w:val="auto"/>
              <w:highlight w:val="none"/>
            </w:rPr>
            <w:fldChar w:fldCharType="end"/>
          </w:r>
        </w:p>
        <w:p w14:paraId="366AE565">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"_Toc1730" </w:instrText>
          </w:r>
          <w:r>
            <w:rPr>
              <w:color w:val="auto"/>
              <w:highlight w:val="none"/>
            </w:rPr>
            <w:fldChar w:fldCharType="separate"/>
          </w:r>
          <w:r>
            <w:rPr>
              <w:rFonts w:eastAsiaTheme="minorEastAsia"/>
              <w:color w:val="auto"/>
              <w:szCs w:val="32"/>
              <w:highlight w:val="none"/>
            </w:rPr>
            <w:t>8.2  环境质量现状评价结论</w:t>
          </w:r>
          <w:r>
            <w:rPr>
              <w:color w:val="auto"/>
              <w:highlight w:val="none"/>
            </w:rPr>
            <w:tab/>
          </w:r>
          <w:r>
            <w:rPr>
              <w:color w:val="auto"/>
              <w:highlight w:val="none"/>
            </w:rPr>
            <w:fldChar w:fldCharType="begin"/>
          </w:r>
          <w:r>
            <w:rPr>
              <w:color w:val="auto"/>
              <w:highlight w:val="none"/>
            </w:rPr>
            <w:instrText xml:space="preserve"> PAGEREF _Toc1730 \h </w:instrText>
          </w:r>
          <w:r>
            <w:rPr>
              <w:color w:val="auto"/>
              <w:highlight w:val="none"/>
            </w:rPr>
            <w:fldChar w:fldCharType="separate"/>
          </w:r>
          <w:r>
            <w:rPr>
              <w:color w:val="auto"/>
              <w:highlight w:val="none"/>
            </w:rPr>
            <w:t>231</w:t>
          </w:r>
          <w:r>
            <w:rPr>
              <w:color w:val="auto"/>
              <w:highlight w:val="none"/>
            </w:rPr>
            <w:fldChar w:fldCharType="end"/>
          </w:r>
          <w:r>
            <w:rPr>
              <w:color w:val="auto"/>
              <w:highlight w:val="none"/>
            </w:rPr>
            <w:fldChar w:fldCharType="end"/>
          </w:r>
        </w:p>
        <w:p w14:paraId="3DEF18A0">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"_Toc4073" </w:instrText>
          </w:r>
          <w:r>
            <w:rPr>
              <w:color w:val="auto"/>
              <w:highlight w:val="none"/>
            </w:rPr>
            <w:fldChar w:fldCharType="separate"/>
          </w:r>
          <w:r>
            <w:rPr>
              <w:rFonts w:eastAsiaTheme="minorEastAsia"/>
              <w:color w:val="auto"/>
              <w:szCs w:val="32"/>
              <w:highlight w:val="none"/>
            </w:rPr>
            <w:t>8.3  污染物排放情况</w:t>
          </w:r>
          <w:r>
            <w:rPr>
              <w:color w:val="auto"/>
              <w:highlight w:val="none"/>
            </w:rPr>
            <w:tab/>
          </w:r>
          <w:r>
            <w:rPr>
              <w:color w:val="auto"/>
              <w:highlight w:val="none"/>
            </w:rPr>
            <w:fldChar w:fldCharType="begin"/>
          </w:r>
          <w:r>
            <w:rPr>
              <w:color w:val="auto"/>
              <w:highlight w:val="none"/>
            </w:rPr>
            <w:instrText xml:space="preserve"> PAGEREF _Toc4073 \h </w:instrText>
          </w:r>
          <w:r>
            <w:rPr>
              <w:color w:val="auto"/>
              <w:highlight w:val="none"/>
            </w:rPr>
            <w:fldChar w:fldCharType="separate"/>
          </w:r>
          <w:r>
            <w:rPr>
              <w:color w:val="auto"/>
              <w:highlight w:val="none"/>
            </w:rPr>
            <w:t>233</w:t>
          </w:r>
          <w:r>
            <w:rPr>
              <w:color w:val="auto"/>
              <w:highlight w:val="none"/>
            </w:rPr>
            <w:fldChar w:fldCharType="end"/>
          </w:r>
          <w:r>
            <w:rPr>
              <w:color w:val="auto"/>
              <w:highlight w:val="none"/>
            </w:rPr>
            <w:fldChar w:fldCharType="end"/>
          </w:r>
        </w:p>
        <w:p w14:paraId="1890902A">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"_Toc20292" </w:instrText>
          </w:r>
          <w:r>
            <w:rPr>
              <w:color w:val="auto"/>
              <w:highlight w:val="none"/>
            </w:rPr>
            <w:fldChar w:fldCharType="separate"/>
          </w:r>
          <w:r>
            <w:rPr>
              <w:rFonts w:eastAsiaTheme="minorEastAsia"/>
              <w:color w:val="auto"/>
              <w:szCs w:val="32"/>
              <w:highlight w:val="none"/>
            </w:rPr>
            <w:t>8.4主要环境影响</w:t>
          </w:r>
          <w:r>
            <w:rPr>
              <w:color w:val="auto"/>
              <w:highlight w:val="none"/>
            </w:rPr>
            <w:tab/>
          </w:r>
          <w:r>
            <w:rPr>
              <w:color w:val="auto"/>
              <w:highlight w:val="none"/>
            </w:rPr>
            <w:fldChar w:fldCharType="begin"/>
          </w:r>
          <w:r>
            <w:rPr>
              <w:color w:val="auto"/>
              <w:highlight w:val="none"/>
            </w:rPr>
            <w:instrText xml:space="preserve"> PAGEREF _Toc20292 \h </w:instrText>
          </w:r>
          <w:r>
            <w:rPr>
              <w:color w:val="auto"/>
              <w:highlight w:val="none"/>
            </w:rPr>
            <w:fldChar w:fldCharType="separate"/>
          </w:r>
          <w:r>
            <w:rPr>
              <w:color w:val="auto"/>
              <w:highlight w:val="none"/>
            </w:rPr>
            <w:t>236</w:t>
          </w:r>
          <w:r>
            <w:rPr>
              <w:color w:val="auto"/>
              <w:highlight w:val="none"/>
            </w:rPr>
            <w:fldChar w:fldCharType="end"/>
          </w:r>
          <w:r>
            <w:rPr>
              <w:color w:val="auto"/>
              <w:highlight w:val="none"/>
            </w:rPr>
            <w:fldChar w:fldCharType="end"/>
          </w:r>
        </w:p>
        <w:p w14:paraId="7CF74D28">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"_Toc14577" </w:instrText>
          </w:r>
          <w:r>
            <w:rPr>
              <w:color w:val="auto"/>
              <w:highlight w:val="none"/>
            </w:rPr>
            <w:fldChar w:fldCharType="separate"/>
          </w:r>
          <w:r>
            <w:rPr>
              <w:rFonts w:eastAsiaTheme="minorEastAsia"/>
              <w:color w:val="auto"/>
              <w:szCs w:val="32"/>
              <w:highlight w:val="none"/>
            </w:rPr>
            <w:t>8.5环境保护措施</w:t>
          </w:r>
          <w:r>
            <w:rPr>
              <w:color w:val="auto"/>
              <w:highlight w:val="none"/>
            </w:rPr>
            <w:tab/>
          </w:r>
          <w:r>
            <w:rPr>
              <w:color w:val="auto"/>
              <w:highlight w:val="none"/>
            </w:rPr>
            <w:fldChar w:fldCharType="begin"/>
          </w:r>
          <w:r>
            <w:rPr>
              <w:color w:val="auto"/>
              <w:highlight w:val="none"/>
            </w:rPr>
            <w:instrText xml:space="preserve"> PAGEREF _Toc14577 \h </w:instrText>
          </w:r>
          <w:r>
            <w:rPr>
              <w:color w:val="auto"/>
              <w:highlight w:val="none"/>
            </w:rPr>
            <w:fldChar w:fldCharType="separate"/>
          </w:r>
          <w:r>
            <w:rPr>
              <w:color w:val="auto"/>
              <w:highlight w:val="none"/>
            </w:rPr>
            <w:t>238</w:t>
          </w:r>
          <w:r>
            <w:rPr>
              <w:color w:val="auto"/>
              <w:highlight w:val="none"/>
            </w:rPr>
            <w:fldChar w:fldCharType="end"/>
          </w:r>
          <w:r>
            <w:rPr>
              <w:color w:val="auto"/>
              <w:highlight w:val="none"/>
            </w:rPr>
            <w:fldChar w:fldCharType="end"/>
          </w:r>
        </w:p>
        <w:p w14:paraId="3657F6AF">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"_Toc7196" </w:instrText>
          </w:r>
          <w:r>
            <w:rPr>
              <w:color w:val="auto"/>
              <w:highlight w:val="none"/>
            </w:rPr>
            <w:fldChar w:fldCharType="separate"/>
          </w:r>
          <w:r>
            <w:rPr>
              <w:rFonts w:eastAsiaTheme="minorEastAsia"/>
              <w:color w:val="auto"/>
              <w:szCs w:val="32"/>
              <w:highlight w:val="none"/>
            </w:rPr>
            <w:t>8.6  产业政策、选址合理性分析</w:t>
          </w:r>
          <w:r>
            <w:rPr>
              <w:color w:val="auto"/>
              <w:highlight w:val="none"/>
            </w:rPr>
            <w:tab/>
          </w:r>
          <w:r>
            <w:rPr>
              <w:color w:val="auto"/>
              <w:highlight w:val="none"/>
            </w:rPr>
            <w:fldChar w:fldCharType="begin"/>
          </w:r>
          <w:r>
            <w:rPr>
              <w:color w:val="auto"/>
              <w:highlight w:val="none"/>
            </w:rPr>
            <w:instrText xml:space="preserve"> PAGEREF _Toc7196 \h </w:instrText>
          </w:r>
          <w:r>
            <w:rPr>
              <w:color w:val="auto"/>
              <w:highlight w:val="none"/>
            </w:rPr>
            <w:fldChar w:fldCharType="separate"/>
          </w:r>
          <w:r>
            <w:rPr>
              <w:color w:val="auto"/>
              <w:highlight w:val="none"/>
            </w:rPr>
            <w:t>240</w:t>
          </w:r>
          <w:r>
            <w:rPr>
              <w:color w:val="auto"/>
              <w:highlight w:val="none"/>
            </w:rPr>
            <w:fldChar w:fldCharType="end"/>
          </w:r>
          <w:r>
            <w:rPr>
              <w:color w:val="auto"/>
              <w:highlight w:val="none"/>
            </w:rPr>
            <w:fldChar w:fldCharType="end"/>
          </w:r>
        </w:p>
        <w:p w14:paraId="679F7ADA">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"_Toc2995" </w:instrText>
          </w:r>
          <w:r>
            <w:rPr>
              <w:color w:val="auto"/>
              <w:highlight w:val="none"/>
            </w:rPr>
            <w:fldChar w:fldCharType="separate"/>
          </w:r>
          <w:r>
            <w:rPr>
              <w:rFonts w:eastAsiaTheme="minorEastAsia"/>
              <w:color w:val="auto"/>
              <w:szCs w:val="32"/>
              <w:highlight w:val="none"/>
            </w:rPr>
            <w:t>8.7  公众参与评价结论</w:t>
          </w:r>
          <w:r>
            <w:rPr>
              <w:color w:val="auto"/>
              <w:highlight w:val="none"/>
            </w:rPr>
            <w:tab/>
          </w:r>
          <w:r>
            <w:rPr>
              <w:color w:val="auto"/>
              <w:highlight w:val="none"/>
            </w:rPr>
            <w:fldChar w:fldCharType="begin"/>
          </w:r>
          <w:r>
            <w:rPr>
              <w:color w:val="auto"/>
              <w:highlight w:val="none"/>
            </w:rPr>
            <w:instrText xml:space="preserve"> PAGEREF _Toc2995 \h </w:instrText>
          </w:r>
          <w:r>
            <w:rPr>
              <w:color w:val="auto"/>
              <w:highlight w:val="none"/>
            </w:rPr>
            <w:fldChar w:fldCharType="separate"/>
          </w:r>
          <w:r>
            <w:rPr>
              <w:color w:val="auto"/>
              <w:highlight w:val="none"/>
            </w:rPr>
            <w:t>241</w:t>
          </w:r>
          <w:r>
            <w:rPr>
              <w:color w:val="auto"/>
              <w:highlight w:val="none"/>
            </w:rPr>
            <w:fldChar w:fldCharType="end"/>
          </w:r>
          <w:r>
            <w:rPr>
              <w:color w:val="auto"/>
              <w:highlight w:val="none"/>
            </w:rPr>
            <w:fldChar w:fldCharType="end"/>
          </w:r>
        </w:p>
        <w:p w14:paraId="6C38F0E2">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"_Toc17559" </w:instrText>
          </w:r>
          <w:r>
            <w:rPr>
              <w:color w:val="auto"/>
              <w:highlight w:val="none"/>
            </w:rPr>
            <w:fldChar w:fldCharType="separate"/>
          </w:r>
          <w:r>
            <w:rPr>
              <w:rFonts w:eastAsiaTheme="minorEastAsia"/>
              <w:color w:val="auto"/>
              <w:szCs w:val="32"/>
              <w:highlight w:val="none"/>
            </w:rPr>
            <w:t>8.8 环境影响经济损益分析结论</w:t>
          </w:r>
          <w:r>
            <w:rPr>
              <w:color w:val="auto"/>
              <w:highlight w:val="none"/>
            </w:rPr>
            <w:tab/>
          </w:r>
          <w:r>
            <w:rPr>
              <w:color w:val="auto"/>
              <w:highlight w:val="none"/>
            </w:rPr>
            <w:fldChar w:fldCharType="begin"/>
          </w:r>
          <w:r>
            <w:rPr>
              <w:color w:val="auto"/>
              <w:highlight w:val="none"/>
            </w:rPr>
            <w:instrText xml:space="preserve"> PAGEREF _Toc17559 \h </w:instrText>
          </w:r>
          <w:r>
            <w:rPr>
              <w:color w:val="auto"/>
              <w:highlight w:val="none"/>
            </w:rPr>
            <w:fldChar w:fldCharType="separate"/>
          </w:r>
          <w:r>
            <w:rPr>
              <w:color w:val="auto"/>
              <w:highlight w:val="none"/>
            </w:rPr>
            <w:t>241</w:t>
          </w:r>
          <w:r>
            <w:rPr>
              <w:color w:val="auto"/>
              <w:highlight w:val="none"/>
            </w:rPr>
            <w:fldChar w:fldCharType="end"/>
          </w:r>
          <w:r>
            <w:rPr>
              <w:color w:val="auto"/>
              <w:highlight w:val="none"/>
            </w:rPr>
            <w:fldChar w:fldCharType="end"/>
          </w:r>
        </w:p>
        <w:p w14:paraId="5F7DF953">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"_Toc18980" </w:instrText>
          </w:r>
          <w:r>
            <w:rPr>
              <w:color w:val="auto"/>
              <w:highlight w:val="none"/>
            </w:rPr>
            <w:fldChar w:fldCharType="separate"/>
          </w:r>
          <w:r>
            <w:rPr>
              <w:rFonts w:eastAsiaTheme="minorEastAsia"/>
              <w:color w:val="auto"/>
              <w:szCs w:val="32"/>
              <w:highlight w:val="none"/>
            </w:rPr>
            <w:t>8.9环境管理及监测计划</w:t>
          </w:r>
          <w:r>
            <w:rPr>
              <w:color w:val="auto"/>
              <w:highlight w:val="none"/>
            </w:rPr>
            <w:tab/>
          </w:r>
          <w:r>
            <w:rPr>
              <w:color w:val="auto"/>
              <w:highlight w:val="none"/>
            </w:rPr>
            <w:fldChar w:fldCharType="begin"/>
          </w:r>
          <w:r>
            <w:rPr>
              <w:color w:val="auto"/>
              <w:highlight w:val="none"/>
            </w:rPr>
            <w:instrText xml:space="preserve"> PAGEREF _Toc18980 \h </w:instrText>
          </w:r>
          <w:r>
            <w:rPr>
              <w:color w:val="auto"/>
              <w:highlight w:val="none"/>
            </w:rPr>
            <w:fldChar w:fldCharType="separate"/>
          </w:r>
          <w:r>
            <w:rPr>
              <w:color w:val="auto"/>
              <w:highlight w:val="none"/>
            </w:rPr>
            <w:t>241</w:t>
          </w:r>
          <w:r>
            <w:rPr>
              <w:color w:val="auto"/>
              <w:highlight w:val="none"/>
            </w:rPr>
            <w:fldChar w:fldCharType="end"/>
          </w:r>
          <w:r>
            <w:rPr>
              <w:color w:val="auto"/>
              <w:highlight w:val="none"/>
            </w:rPr>
            <w:fldChar w:fldCharType="end"/>
          </w:r>
        </w:p>
        <w:p w14:paraId="7ED2BC4A">
          <w:pPr>
            <w:pStyle w:val="78"/>
            <w:tabs>
              <w:tab w:val="right" w:leader="dot" w:pos="8504"/>
            </w:tabs>
            <w:ind w:firstLine="480"/>
            <w:rPr>
              <w:color w:val="auto"/>
              <w:highlight w:val="none"/>
            </w:rPr>
          </w:pPr>
          <w:r>
            <w:rPr>
              <w:color w:val="auto"/>
              <w:highlight w:val="none"/>
            </w:rPr>
            <w:fldChar w:fldCharType="begin"/>
          </w:r>
          <w:r>
            <w:rPr>
              <w:color w:val="auto"/>
              <w:highlight w:val="none"/>
            </w:rPr>
            <w:instrText xml:space="preserve"> HYPERLINK \l "_Toc4933" </w:instrText>
          </w:r>
          <w:r>
            <w:rPr>
              <w:color w:val="auto"/>
              <w:highlight w:val="none"/>
            </w:rPr>
            <w:fldChar w:fldCharType="separate"/>
          </w:r>
          <w:r>
            <w:rPr>
              <w:rFonts w:eastAsiaTheme="minorEastAsia"/>
              <w:color w:val="auto"/>
              <w:szCs w:val="32"/>
              <w:highlight w:val="none"/>
            </w:rPr>
            <w:t>8.10 结论</w:t>
          </w:r>
          <w:r>
            <w:rPr>
              <w:color w:val="auto"/>
              <w:highlight w:val="none"/>
            </w:rPr>
            <w:tab/>
          </w:r>
          <w:r>
            <w:rPr>
              <w:color w:val="auto"/>
              <w:highlight w:val="none"/>
            </w:rPr>
            <w:fldChar w:fldCharType="begin"/>
          </w:r>
          <w:r>
            <w:rPr>
              <w:color w:val="auto"/>
              <w:highlight w:val="none"/>
            </w:rPr>
            <w:instrText xml:space="preserve"> PAGEREF _Toc4933 \h </w:instrText>
          </w:r>
          <w:r>
            <w:rPr>
              <w:color w:val="auto"/>
              <w:highlight w:val="none"/>
            </w:rPr>
            <w:fldChar w:fldCharType="separate"/>
          </w:r>
          <w:r>
            <w:rPr>
              <w:color w:val="auto"/>
              <w:highlight w:val="none"/>
            </w:rPr>
            <w:t>241</w:t>
          </w:r>
          <w:r>
            <w:rPr>
              <w:color w:val="auto"/>
              <w:highlight w:val="none"/>
            </w:rPr>
            <w:fldChar w:fldCharType="end"/>
          </w:r>
          <w:r>
            <w:rPr>
              <w:color w:val="auto"/>
              <w:highlight w:val="none"/>
            </w:rPr>
            <w:fldChar w:fldCharType="end"/>
          </w:r>
        </w:p>
        <w:p w14:paraId="758E6C99">
          <w:pPr>
            <w:ind w:firstLine="480"/>
            <w:rPr>
              <w:color w:val="auto"/>
              <w:highlight w:val="none"/>
            </w:rPr>
          </w:pPr>
          <w:r>
            <w:rPr>
              <w:color w:val="auto"/>
              <w:highlight w:val="none"/>
            </w:rPr>
            <w:fldChar w:fldCharType="end"/>
          </w:r>
        </w:p>
      </w:sdtContent>
    </w:sdt>
    <w:p w14:paraId="73E92463">
      <w:pPr>
        <w:ind w:firstLine="0" w:firstLineChars="0"/>
        <w:rPr>
          <w:b/>
          <w:bCs/>
          <w:color w:val="auto"/>
          <w:highlight w:val="none"/>
        </w:rPr>
      </w:pPr>
      <w:r>
        <w:rPr>
          <w:b/>
          <w:bCs/>
          <w:color w:val="auto"/>
          <w:highlight w:val="none"/>
        </w:rPr>
        <w:t>附图：</w:t>
      </w:r>
    </w:p>
    <w:p w14:paraId="5225DF14">
      <w:pPr>
        <w:ind w:firstLine="480"/>
        <w:rPr>
          <w:color w:val="auto"/>
          <w:highlight w:val="none"/>
        </w:rPr>
      </w:pPr>
      <w:r>
        <w:rPr>
          <w:color w:val="auto"/>
          <w:highlight w:val="none"/>
        </w:rPr>
        <w:t>附图1 项目地理位置图</w:t>
      </w:r>
    </w:p>
    <w:p w14:paraId="11EBD883">
      <w:pPr>
        <w:ind w:firstLine="480"/>
        <w:rPr>
          <w:color w:val="auto"/>
          <w:highlight w:val="none"/>
        </w:rPr>
      </w:pPr>
      <w:r>
        <w:rPr>
          <w:rFonts w:hint="eastAsia"/>
          <w:color w:val="auto"/>
          <w:highlight w:val="none"/>
        </w:rPr>
        <w:t>附图2 钦州基地工程分布图</w:t>
      </w:r>
    </w:p>
    <w:p w14:paraId="1FDDCFB1">
      <w:pPr>
        <w:ind w:firstLine="480"/>
        <w:rPr>
          <w:color w:val="auto"/>
          <w:highlight w:val="none"/>
        </w:rPr>
      </w:pPr>
      <w:r>
        <w:rPr>
          <w:color w:val="auto"/>
          <w:highlight w:val="none"/>
        </w:rPr>
        <w:t>附图3 项目浮船坞、门吊机总平布置图</w:t>
      </w:r>
    </w:p>
    <w:p w14:paraId="1B757253">
      <w:pPr>
        <w:ind w:firstLine="480"/>
        <w:rPr>
          <w:color w:val="auto"/>
          <w:highlight w:val="none"/>
        </w:rPr>
      </w:pPr>
      <w:r>
        <w:rPr>
          <w:color w:val="auto"/>
          <w:highlight w:val="none"/>
        </w:rPr>
        <w:t>附图</w:t>
      </w:r>
      <w:r>
        <w:rPr>
          <w:rFonts w:hint="eastAsia"/>
          <w:color w:val="auto"/>
          <w:highlight w:val="none"/>
        </w:rPr>
        <w:t>4</w:t>
      </w:r>
      <w:r>
        <w:rPr>
          <w:color w:val="auto"/>
          <w:highlight w:val="none"/>
        </w:rPr>
        <w:t xml:space="preserve"> </w:t>
      </w:r>
      <w:r>
        <w:rPr>
          <w:rFonts w:hint="eastAsia"/>
          <w:color w:val="auto"/>
          <w:highlight w:val="none"/>
        </w:rPr>
        <w:t>项目</w:t>
      </w:r>
      <w:r>
        <w:rPr>
          <w:color w:val="auto"/>
          <w:highlight w:val="none"/>
        </w:rPr>
        <w:t>浮船坞分段组装场地布置图</w:t>
      </w:r>
    </w:p>
    <w:p w14:paraId="03AF9666">
      <w:pPr>
        <w:ind w:firstLine="480"/>
        <w:rPr>
          <w:color w:val="auto"/>
          <w:highlight w:val="none"/>
          <w:u w:val="single"/>
        </w:rPr>
      </w:pPr>
      <w:r>
        <w:rPr>
          <w:color w:val="auto"/>
          <w:highlight w:val="none"/>
          <w:u w:val="single"/>
        </w:rPr>
        <w:t>附图</w:t>
      </w:r>
      <w:r>
        <w:rPr>
          <w:rFonts w:hint="eastAsia"/>
          <w:color w:val="auto"/>
          <w:highlight w:val="none"/>
          <w:u w:val="single"/>
        </w:rPr>
        <w:t>5</w:t>
      </w:r>
      <w:r>
        <w:rPr>
          <w:color w:val="auto"/>
          <w:highlight w:val="none"/>
          <w:u w:val="single"/>
        </w:rPr>
        <w:t>项目与《中国（广西）自由贸易试验区钦州港片区国土空间分区规划（2023-2035年）》产业规划相对位置图</w:t>
      </w:r>
    </w:p>
    <w:p w14:paraId="02297C08">
      <w:pPr>
        <w:ind w:firstLine="480"/>
        <w:rPr>
          <w:color w:val="auto"/>
          <w:highlight w:val="none"/>
        </w:rPr>
      </w:pPr>
      <w:r>
        <w:rPr>
          <w:color w:val="auto"/>
          <w:highlight w:val="none"/>
        </w:rPr>
        <w:t>附图6 项目与广西壮族自治区近岸海域环境功能区划位置关系图</w:t>
      </w:r>
    </w:p>
    <w:p w14:paraId="0C88027F">
      <w:pPr>
        <w:ind w:firstLine="480"/>
        <w:rPr>
          <w:color w:val="auto"/>
          <w:highlight w:val="none"/>
        </w:rPr>
      </w:pPr>
      <w:r>
        <w:rPr>
          <w:color w:val="auto"/>
          <w:highlight w:val="none"/>
        </w:rPr>
        <w:t>附图</w:t>
      </w:r>
      <w:r>
        <w:rPr>
          <w:rFonts w:hint="eastAsia"/>
          <w:color w:val="auto"/>
          <w:highlight w:val="none"/>
        </w:rPr>
        <w:t>7</w:t>
      </w:r>
      <w:r>
        <w:rPr>
          <w:color w:val="auto"/>
          <w:highlight w:val="none"/>
        </w:rPr>
        <w:t xml:space="preserve"> 项目与钦州市近岸海域生态环境管控单元分类位置关系图</w:t>
      </w:r>
    </w:p>
    <w:p w14:paraId="58D46F78">
      <w:pPr>
        <w:ind w:firstLine="480"/>
        <w:rPr>
          <w:color w:val="auto"/>
          <w:highlight w:val="none"/>
        </w:rPr>
      </w:pPr>
      <w:r>
        <w:rPr>
          <w:color w:val="auto"/>
          <w:highlight w:val="none"/>
        </w:rPr>
        <w:t>附图8 项目与钦州市陆域生态环境管控单元分类位置关系图</w:t>
      </w:r>
    </w:p>
    <w:p w14:paraId="68C53B4E">
      <w:pPr>
        <w:ind w:firstLine="480"/>
        <w:rPr>
          <w:color w:val="auto"/>
          <w:highlight w:val="none"/>
          <w:u w:val="single"/>
        </w:rPr>
      </w:pPr>
      <w:r>
        <w:rPr>
          <w:color w:val="auto"/>
          <w:highlight w:val="none"/>
          <w:u w:val="single"/>
        </w:rPr>
        <w:t>附图9 项目与钦州市养殖水域滩涂规划位置关系图</w:t>
      </w:r>
    </w:p>
    <w:p w14:paraId="7180FF64">
      <w:pPr>
        <w:ind w:firstLine="480"/>
        <w:rPr>
          <w:color w:val="auto"/>
          <w:highlight w:val="none"/>
        </w:rPr>
      </w:pPr>
      <w:r>
        <w:rPr>
          <w:color w:val="auto"/>
          <w:highlight w:val="none"/>
        </w:rPr>
        <w:t>附图10 项目与钦州港域规划图的位置关系图</w:t>
      </w:r>
    </w:p>
    <w:p w14:paraId="7CD29A48">
      <w:pPr>
        <w:ind w:firstLine="480"/>
        <w:rPr>
          <w:color w:val="auto"/>
          <w:highlight w:val="none"/>
        </w:rPr>
      </w:pPr>
      <w:r>
        <w:rPr>
          <w:color w:val="auto"/>
          <w:highlight w:val="none"/>
        </w:rPr>
        <w:t>附图1</w:t>
      </w:r>
      <w:r>
        <w:rPr>
          <w:rFonts w:hint="eastAsia"/>
          <w:color w:val="auto"/>
          <w:highlight w:val="none"/>
        </w:rPr>
        <w:t>1</w:t>
      </w:r>
      <w:r>
        <w:rPr>
          <w:color w:val="auto"/>
          <w:highlight w:val="none"/>
        </w:rPr>
        <w:t>项目与钦州市中心城区声环境功能区划的位置关系图</w:t>
      </w:r>
    </w:p>
    <w:p w14:paraId="3675BF35">
      <w:pPr>
        <w:ind w:firstLine="480"/>
        <w:rPr>
          <w:color w:val="auto"/>
          <w:highlight w:val="none"/>
        </w:rPr>
      </w:pPr>
      <w:r>
        <w:rPr>
          <w:color w:val="auto"/>
          <w:highlight w:val="none"/>
        </w:rPr>
        <w:t>附图1</w:t>
      </w:r>
      <w:r>
        <w:rPr>
          <w:rFonts w:hint="eastAsia"/>
          <w:color w:val="auto"/>
          <w:highlight w:val="none"/>
        </w:rPr>
        <w:t>2</w:t>
      </w:r>
      <w:r>
        <w:rPr>
          <w:color w:val="auto"/>
          <w:highlight w:val="none"/>
        </w:rPr>
        <w:t xml:space="preserve"> 项目环境现状监测布点图</w:t>
      </w:r>
    </w:p>
    <w:p w14:paraId="5E352241">
      <w:pPr>
        <w:ind w:firstLine="480"/>
        <w:rPr>
          <w:color w:val="auto"/>
          <w:highlight w:val="none"/>
        </w:rPr>
      </w:pPr>
      <w:r>
        <w:rPr>
          <w:color w:val="auto"/>
          <w:highlight w:val="none"/>
        </w:rPr>
        <w:t>附图1</w:t>
      </w:r>
      <w:r>
        <w:rPr>
          <w:rFonts w:hint="eastAsia"/>
          <w:color w:val="auto"/>
          <w:highlight w:val="none"/>
        </w:rPr>
        <w:t>3</w:t>
      </w:r>
      <w:r>
        <w:rPr>
          <w:color w:val="auto"/>
          <w:highlight w:val="none"/>
        </w:rPr>
        <w:t xml:space="preserve"> 项目评价范围及环境保护目标分布图</w:t>
      </w:r>
    </w:p>
    <w:p w14:paraId="376FF4D3">
      <w:pPr>
        <w:ind w:firstLine="480"/>
        <w:rPr>
          <w:color w:val="auto"/>
          <w:highlight w:val="none"/>
        </w:rPr>
      </w:pPr>
    </w:p>
    <w:p w14:paraId="5D101AFE">
      <w:pPr>
        <w:ind w:firstLine="0" w:firstLineChars="0"/>
        <w:rPr>
          <w:b/>
          <w:bCs/>
          <w:color w:val="auto"/>
          <w:highlight w:val="none"/>
        </w:rPr>
      </w:pPr>
      <w:r>
        <w:rPr>
          <w:b/>
          <w:bCs/>
          <w:color w:val="auto"/>
          <w:highlight w:val="none"/>
        </w:rPr>
        <w:t>附件：</w:t>
      </w:r>
    </w:p>
    <w:p w14:paraId="4DE86208">
      <w:pPr>
        <w:ind w:firstLine="480"/>
        <w:rPr>
          <w:color w:val="auto"/>
          <w:highlight w:val="none"/>
        </w:rPr>
      </w:pPr>
      <w:r>
        <w:rPr>
          <w:color w:val="auto"/>
          <w:highlight w:val="none"/>
        </w:rPr>
        <w:t>附件1项目环评委托书</w:t>
      </w:r>
    </w:p>
    <w:p w14:paraId="6705ABFD">
      <w:pPr>
        <w:ind w:firstLine="480"/>
        <w:rPr>
          <w:color w:val="auto"/>
          <w:highlight w:val="none"/>
        </w:rPr>
      </w:pPr>
      <w:r>
        <w:rPr>
          <w:color w:val="auto"/>
          <w:highlight w:val="none"/>
        </w:rPr>
        <w:t>附件2 项目备案文件</w:t>
      </w:r>
    </w:p>
    <w:p w14:paraId="5FA3F601">
      <w:pPr>
        <w:ind w:firstLine="480"/>
        <w:rPr>
          <w:color w:val="auto"/>
          <w:highlight w:val="none"/>
        </w:rPr>
      </w:pPr>
      <w:r>
        <w:rPr>
          <w:color w:val="auto"/>
          <w:highlight w:val="none"/>
        </w:rPr>
        <w:t>附件3 现有工程环评批复及验收批复</w:t>
      </w:r>
    </w:p>
    <w:p w14:paraId="30217030">
      <w:pPr>
        <w:ind w:firstLine="480"/>
        <w:rPr>
          <w:color w:val="auto"/>
          <w:highlight w:val="none"/>
        </w:rPr>
      </w:pPr>
      <w:r>
        <w:rPr>
          <w:color w:val="auto"/>
          <w:highlight w:val="none"/>
        </w:rPr>
        <w:t>附件4 海域使用权证</w:t>
      </w:r>
    </w:p>
    <w:p w14:paraId="0DD9A387">
      <w:pPr>
        <w:ind w:firstLine="480"/>
        <w:rPr>
          <w:color w:val="auto"/>
          <w:highlight w:val="none"/>
        </w:rPr>
      </w:pPr>
      <w:r>
        <w:rPr>
          <w:color w:val="auto"/>
          <w:highlight w:val="none"/>
        </w:rPr>
        <w:t>附件5 广西壮族自治区交通运输厅关于北部湾港钦州港域三墩港区中船2号5号8号泊位工程使用港口非深水岸线的批复</w:t>
      </w:r>
    </w:p>
    <w:p w14:paraId="71632D75">
      <w:pPr>
        <w:ind w:firstLine="480"/>
        <w:rPr>
          <w:color w:val="auto"/>
          <w:highlight w:val="none"/>
        </w:rPr>
      </w:pPr>
      <w:r>
        <w:rPr>
          <w:color w:val="auto"/>
          <w:highlight w:val="none"/>
        </w:rPr>
        <w:t>附件</w:t>
      </w:r>
      <w:r>
        <w:rPr>
          <w:rFonts w:hint="eastAsia"/>
          <w:color w:val="auto"/>
          <w:highlight w:val="none"/>
        </w:rPr>
        <w:t>6</w:t>
      </w:r>
      <w:r>
        <w:rPr>
          <w:color w:val="auto"/>
          <w:highlight w:val="none"/>
        </w:rPr>
        <w:t xml:space="preserve"> 关于北部湾区域大型船舶维修保障及改装能力建设项目研判初步结论</w:t>
      </w:r>
    </w:p>
    <w:p w14:paraId="04D3E349">
      <w:pPr>
        <w:ind w:firstLine="480"/>
        <w:rPr>
          <w:color w:val="auto"/>
          <w:highlight w:val="none"/>
        </w:rPr>
      </w:pPr>
      <w:r>
        <w:rPr>
          <w:color w:val="auto"/>
          <w:highlight w:val="none"/>
        </w:rPr>
        <w:t>附件</w:t>
      </w:r>
      <w:r>
        <w:rPr>
          <w:rFonts w:hint="eastAsia"/>
          <w:color w:val="auto"/>
          <w:highlight w:val="none"/>
        </w:rPr>
        <w:t>7</w:t>
      </w:r>
      <w:r>
        <w:rPr>
          <w:color w:val="auto"/>
          <w:highlight w:val="none"/>
        </w:rPr>
        <w:t xml:space="preserve"> 现有工程接收油污水、油泥、油渣接收处理合同</w:t>
      </w:r>
    </w:p>
    <w:p w14:paraId="4FC30BB6">
      <w:pPr>
        <w:ind w:firstLine="480"/>
        <w:rPr>
          <w:color w:val="auto"/>
          <w:highlight w:val="none"/>
        </w:rPr>
      </w:pPr>
      <w:r>
        <w:rPr>
          <w:color w:val="auto"/>
          <w:highlight w:val="none"/>
        </w:rPr>
        <w:t>附件</w:t>
      </w:r>
      <w:r>
        <w:rPr>
          <w:rFonts w:hint="eastAsia"/>
          <w:color w:val="auto"/>
          <w:highlight w:val="none"/>
        </w:rPr>
        <w:t>8</w:t>
      </w:r>
      <w:r>
        <w:rPr>
          <w:color w:val="auto"/>
          <w:highlight w:val="none"/>
        </w:rPr>
        <w:t xml:space="preserve"> 现有工程危废处置合同</w:t>
      </w:r>
    </w:p>
    <w:p w14:paraId="08A514B2">
      <w:pPr>
        <w:ind w:firstLine="480"/>
        <w:rPr>
          <w:color w:val="auto"/>
          <w:highlight w:val="none"/>
        </w:rPr>
      </w:pPr>
      <w:r>
        <w:rPr>
          <w:rFonts w:hint="eastAsia"/>
          <w:color w:val="auto"/>
          <w:highlight w:val="none"/>
        </w:rPr>
        <w:t>附件9 项目环境现状监测报告</w:t>
      </w:r>
    </w:p>
    <w:p w14:paraId="4017A065">
      <w:pPr>
        <w:ind w:firstLine="480"/>
        <w:rPr>
          <w:color w:val="auto"/>
          <w:highlight w:val="none"/>
        </w:rPr>
      </w:pPr>
      <w:r>
        <w:rPr>
          <w:rFonts w:hint="eastAsia"/>
          <w:color w:val="auto"/>
          <w:highlight w:val="none"/>
        </w:rPr>
        <w:t>附件10 项目主要使用的油漆成分分析报告</w:t>
      </w:r>
    </w:p>
    <w:p w14:paraId="65711137">
      <w:pPr>
        <w:ind w:firstLine="0" w:firstLineChars="0"/>
        <w:rPr>
          <w:b/>
          <w:bCs/>
          <w:color w:val="auto"/>
          <w:highlight w:val="none"/>
        </w:rPr>
      </w:pPr>
    </w:p>
    <w:p w14:paraId="3DAE529B">
      <w:pPr>
        <w:ind w:firstLine="0" w:firstLineChars="0"/>
        <w:rPr>
          <w:b/>
          <w:bCs/>
          <w:color w:val="auto"/>
          <w:highlight w:val="none"/>
        </w:rPr>
      </w:pPr>
    </w:p>
    <w:p w14:paraId="63A3E62A">
      <w:pPr>
        <w:ind w:firstLine="0" w:firstLineChars="0"/>
        <w:rPr>
          <w:b/>
          <w:bCs/>
          <w:color w:val="auto"/>
          <w:highlight w:val="none"/>
        </w:rPr>
      </w:pPr>
      <w:r>
        <w:rPr>
          <w:b/>
          <w:bCs/>
          <w:color w:val="auto"/>
          <w:highlight w:val="none"/>
        </w:rPr>
        <w:t>附表：</w:t>
      </w:r>
    </w:p>
    <w:p w14:paraId="21C1BBA4">
      <w:pPr>
        <w:ind w:firstLine="480"/>
        <w:rPr>
          <w:color w:val="auto"/>
          <w:highlight w:val="none"/>
        </w:rPr>
      </w:pPr>
      <w:r>
        <w:rPr>
          <w:color w:val="auto"/>
          <w:highlight w:val="none"/>
        </w:rPr>
        <w:t>附表1大气环境影响评价自查表</w:t>
      </w:r>
    </w:p>
    <w:p w14:paraId="20484903">
      <w:pPr>
        <w:ind w:firstLine="480"/>
        <w:rPr>
          <w:color w:val="auto"/>
          <w:highlight w:val="none"/>
        </w:rPr>
      </w:pPr>
      <w:r>
        <w:rPr>
          <w:color w:val="auto"/>
          <w:highlight w:val="none"/>
        </w:rPr>
        <w:t>附表2 地表水环境影响评价自查表</w:t>
      </w:r>
    </w:p>
    <w:p w14:paraId="1025C80B">
      <w:pPr>
        <w:ind w:firstLine="480"/>
        <w:rPr>
          <w:color w:val="auto"/>
          <w:highlight w:val="none"/>
        </w:rPr>
      </w:pPr>
      <w:r>
        <w:rPr>
          <w:color w:val="auto"/>
          <w:highlight w:val="none"/>
        </w:rPr>
        <w:t>附表3 建设项目声环境影响评价自查表</w:t>
      </w:r>
    </w:p>
    <w:p w14:paraId="1477FA35">
      <w:pPr>
        <w:ind w:firstLine="480"/>
        <w:rPr>
          <w:color w:val="auto"/>
          <w:highlight w:val="none"/>
        </w:rPr>
      </w:pPr>
      <w:r>
        <w:rPr>
          <w:color w:val="auto"/>
          <w:highlight w:val="none"/>
        </w:rPr>
        <w:t>附表4 环境风险评价自查表</w:t>
      </w:r>
    </w:p>
    <w:p w14:paraId="59C67D2C">
      <w:pPr>
        <w:ind w:firstLine="480"/>
        <w:rPr>
          <w:color w:val="auto"/>
          <w:highlight w:val="none"/>
        </w:rPr>
      </w:pPr>
      <w:r>
        <w:rPr>
          <w:rFonts w:hint="eastAsia"/>
          <w:color w:val="auto"/>
          <w:highlight w:val="none"/>
        </w:rPr>
        <w:t>附表5 海洋环境评价自查表</w:t>
      </w:r>
    </w:p>
    <w:p w14:paraId="2EBCEA7C">
      <w:pPr>
        <w:ind w:firstLine="480"/>
        <w:rPr>
          <w:color w:val="auto"/>
          <w:highlight w:val="none"/>
        </w:rPr>
        <w:sectPr>
          <w:headerReference r:id="rId18" w:type="default"/>
          <w:footerReference r:id="rId19" w:type="default"/>
          <w:pgSz w:w="11906" w:h="16838"/>
          <w:pgMar w:top="1440" w:right="1701" w:bottom="1440" w:left="1701" w:header="851" w:footer="992" w:gutter="0"/>
          <w:pgNumType w:fmt="upperRoman" w:start="1"/>
          <w:cols w:space="0" w:num="1"/>
          <w:docGrid w:linePitch="498" w:charSpace="0"/>
        </w:sectPr>
      </w:pPr>
      <w:r>
        <w:rPr>
          <w:color w:val="auto"/>
          <w:highlight w:val="none"/>
        </w:rPr>
        <w:t>附表</w:t>
      </w:r>
      <w:r>
        <w:rPr>
          <w:rFonts w:hint="eastAsia"/>
          <w:color w:val="auto"/>
          <w:highlight w:val="none"/>
        </w:rPr>
        <w:t>6</w:t>
      </w:r>
      <w:r>
        <w:rPr>
          <w:color w:val="auto"/>
          <w:highlight w:val="none"/>
        </w:rPr>
        <w:t xml:space="preserve"> 建设项目环境影响报告书审批基础信息表</w:t>
      </w:r>
    </w:p>
    <w:bookmarkEnd w:id="1"/>
    <w:bookmarkEnd w:id="2"/>
    <w:bookmarkEnd w:id="8"/>
    <w:p w14:paraId="207C674C">
      <w:pPr>
        <w:pStyle w:val="5"/>
        <w:numPr>
          <w:ilvl w:val="0"/>
          <w:numId w:val="9"/>
        </w:numPr>
        <w:jc w:val="center"/>
        <w:rPr>
          <w:color w:val="auto"/>
          <w:sz w:val="36"/>
          <w:szCs w:val="36"/>
          <w:highlight w:val="none"/>
        </w:rPr>
      </w:pPr>
      <w:bookmarkStart w:id="25" w:name="_Toc33967199"/>
      <w:bookmarkStart w:id="26" w:name="_Toc10757"/>
      <w:bookmarkStart w:id="27" w:name="_Toc16901"/>
      <w:bookmarkStart w:id="28" w:name="_Toc33967095"/>
      <w:r>
        <w:rPr>
          <w:color w:val="auto"/>
          <w:sz w:val="36"/>
          <w:szCs w:val="36"/>
          <w:highlight w:val="none"/>
        </w:rPr>
        <w:t>总则</w:t>
      </w:r>
      <w:bookmarkEnd w:id="25"/>
      <w:bookmarkEnd w:id="26"/>
      <w:bookmarkEnd w:id="27"/>
      <w:bookmarkEnd w:id="28"/>
    </w:p>
    <w:p w14:paraId="5F9396B0">
      <w:pPr>
        <w:pStyle w:val="6"/>
        <w:numPr>
          <w:ilvl w:val="1"/>
          <w:numId w:val="9"/>
        </w:numPr>
        <w:rPr>
          <w:color w:val="auto"/>
          <w:sz w:val="32"/>
          <w:szCs w:val="32"/>
          <w:highlight w:val="none"/>
        </w:rPr>
      </w:pPr>
      <w:bookmarkStart w:id="29" w:name="_Toc475975327"/>
      <w:bookmarkStart w:id="30" w:name="_Toc33967096"/>
      <w:bookmarkStart w:id="31" w:name="_Toc10670"/>
      <w:bookmarkStart w:id="32" w:name="_Toc22825"/>
      <w:bookmarkStart w:id="33" w:name="_Toc33967200"/>
      <w:bookmarkStart w:id="34" w:name="_Toc188242305"/>
      <w:bookmarkStart w:id="35" w:name="_Toc184022973"/>
      <w:bookmarkStart w:id="36" w:name="_Toc255304480"/>
      <w:bookmarkStart w:id="37" w:name="_Toc184443623"/>
      <w:bookmarkStart w:id="38" w:name="_Toc187631275"/>
      <w:bookmarkStart w:id="39" w:name="_Toc182194758"/>
      <w:bookmarkStart w:id="40" w:name="_Toc237169817"/>
      <w:bookmarkStart w:id="41" w:name="_Toc181680709"/>
      <w:r>
        <w:rPr>
          <w:color w:val="auto"/>
          <w:sz w:val="32"/>
          <w:szCs w:val="32"/>
          <w:highlight w:val="none"/>
        </w:rPr>
        <w:t xml:space="preserve"> 编制依据</w:t>
      </w:r>
      <w:bookmarkEnd w:id="29"/>
      <w:bookmarkEnd w:id="30"/>
      <w:bookmarkEnd w:id="31"/>
      <w:bookmarkEnd w:id="32"/>
      <w:bookmarkEnd w:id="33"/>
    </w:p>
    <w:p w14:paraId="3C08D41A">
      <w:pPr>
        <w:pStyle w:val="7"/>
        <w:numPr>
          <w:ilvl w:val="2"/>
          <w:numId w:val="9"/>
        </w:numPr>
        <w:rPr>
          <w:color w:val="auto"/>
          <w:sz w:val="28"/>
          <w:highlight w:val="none"/>
        </w:rPr>
      </w:pPr>
      <w:bookmarkStart w:id="42" w:name="_Toc13145610"/>
      <w:bookmarkStart w:id="43" w:name="_Toc33967097"/>
      <w:bookmarkStart w:id="44" w:name="_Toc19992"/>
      <w:bookmarkStart w:id="45" w:name="_Toc33967201"/>
      <w:r>
        <w:rPr>
          <w:color w:val="auto"/>
          <w:sz w:val="28"/>
          <w:highlight w:val="none"/>
        </w:rPr>
        <w:t>国家法律法规、部门规章及规范性文件</w:t>
      </w:r>
    </w:p>
    <w:bookmarkEnd w:id="42"/>
    <w:p w14:paraId="39BDAE15">
      <w:pPr>
        <w:widowControl/>
        <w:numPr>
          <w:ilvl w:val="0"/>
          <w:numId w:val="10"/>
        </w:numPr>
        <w:ind w:left="0" w:firstLine="480"/>
        <w:rPr>
          <w:color w:val="auto"/>
          <w:highlight w:val="none"/>
        </w:rPr>
      </w:pPr>
      <w:r>
        <w:rPr>
          <w:color w:val="auto"/>
          <w:highlight w:val="none"/>
        </w:rPr>
        <w:t>《中华人民共和国环境保护法》（2015.01.01施行）；</w:t>
      </w:r>
    </w:p>
    <w:p w14:paraId="3CCC1DCB">
      <w:pPr>
        <w:widowControl/>
        <w:numPr>
          <w:ilvl w:val="0"/>
          <w:numId w:val="10"/>
        </w:numPr>
        <w:ind w:left="0" w:firstLine="480"/>
        <w:rPr>
          <w:color w:val="auto"/>
          <w:highlight w:val="none"/>
        </w:rPr>
      </w:pPr>
      <w:r>
        <w:rPr>
          <w:color w:val="auto"/>
          <w:highlight w:val="none"/>
        </w:rPr>
        <w:t>《中华人民共和国环境影响评价法》（2018.12.29施行）；</w:t>
      </w:r>
    </w:p>
    <w:p w14:paraId="7D9FB721">
      <w:pPr>
        <w:pStyle w:val="91"/>
        <w:widowControl/>
        <w:numPr>
          <w:ilvl w:val="0"/>
          <w:numId w:val="10"/>
        </w:numPr>
        <w:adjustRightInd w:val="0"/>
        <w:snapToGrid w:val="0"/>
        <w:spacing w:after="0" w:line="360" w:lineRule="auto"/>
        <w:ind w:left="0" w:leftChars="0" w:firstLine="480"/>
        <w:rPr>
          <w:rFonts w:ascii="Times New Roman" w:hAnsi="Times New Roman" w:cs="Times New Roman" w:eastAsiaTheme="minorEastAsia"/>
          <w:color w:val="auto"/>
          <w:sz w:val="24"/>
          <w:highlight w:val="none"/>
        </w:rPr>
      </w:pPr>
      <w:r>
        <w:rPr>
          <w:rFonts w:ascii="Times New Roman" w:hAnsi="Times New Roman" w:cs="Times New Roman" w:eastAsiaTheme="minorEastAsia"/>
          <w:color w:val="auto"/>
          <w:sz w:val="24"/>
          <w:highlight w:val="none"/>
        </w:rPr>
        <w:t>《中华人民共和国海洋环境保护法》（2024.01.01</w:t>
      </w:r>
      <w:r>
        <w:rPr>
          <w:rFonts w:ascii="Times New Roman" w:hAnsi="Times New Roman" w:cs="Times New Roman"/>
          <w:color w:val="auto"/>
          <w:sz w:val="24"/>
          <w:highlight w:val="none"/>
        </w:rPr>
        <w:t>施行</w:t>
      </w:r>
      <w:r>
        <w:rPr>
          <w:rFonts w:ascii="Times New Roman" w:hAnsi="Times New Roman" w:cs="Times New Roman" w:eastAsiaTheme="minorEastAsia"/>
          <w:color w:val="auto"/>
          <w:sz w:val="24"/>
          <w:highlight w:val="none"/>
        </w:rPr>
        <w:t>）；</w:t>
      </w:r>
    </w:p>
    <w:p w14:paraId="73416AA4">
      <w:pPr>
        <w:pStyle w:val="91"/>
        <w:widowControl/>
        <w:numPr>
          <w:ilvl w:val="0"/>
          <w:numId w:val="10"/>
        </w:numPr>
        <w:adjustRightInd w:val="0"/>
        <w:snapToGrid w:val="0"/>
        <w:spacing w:after="0" w:line="360" w:lineRule="auto"/>
        <w:ind w:left="0" w:leftChars="0" w:firstLine="480"/>
        <w:rPr>
          <w:rFonts w:ascii="Times New Roman" w:hAnsi="Times New Roman" w:cs="Times New Roman" w:eastAsiaTheme="minorEastAsia"/>
          <w:color w:val="auto"/>
          <w:sz w:val="24"/>
          <w:highlight w:val="none"/>
        </w:rPr>
      </w:pPr>
      <w:r>
        <w:rPr>
          <w:rFonts w:ascii="Times New Roman" w:hAnsi="Times New Roman" w:cs="Times New Roman" w:eastAsiaTheme="minorEastAsia"/>
          <w:color w:val="auto"/>
          <w:sz w:val="24"/>
          <w:highlight w:val="none"/>
        </w:rPr>
        <w:t>《中华人民共和国海域使用管理法》（2002.01.01施行）；</w:t>
      </w:r>
    </w:p>
    <w:p w14:paraId="2FA506F2">
      <w:pPr>
        <w:pStyle w:val="91"/>
        <w:widowControl/>
        <w:numPr>
          <w:ilvl w:val="0"/>
          <w:numId w:val="10"/>
        </w:numPr>
        <w:adjustRightInd w:val="0"/>
        <w:snapToGrid w:val="0"/>
        <w:spacing w:after="0" w:line="360" w:lineRule="auto"/>
        <w:ind w:left="0" w:leftChars="0" w:firstLine="480"/>
        <w:rPr>
          <w:rFonts w:ascii="Times New Roman" w:hAnsi="Times New Roman" w:cs="Times New Roman" w:eastAsiaTheme="minorEastAsia"/>
          <w:color w:val="auto"/>
          <w:sz w:val="24"/>
          <w:highlight w:val="none"/>
        </w:rPr>
      </w:pPr>
      <w:r>
        <w:rPr>
          <w:rFonts w:ascii="Times New Roman" w:hAnsi="Times New Roman" w:cs="Times New Roman" w:eastAsiaTheme="minorEastAsia"/>
          <w:color w:val="auto"/>
          <w:sz w:val="24"/>
          <w:highlight w:val="none"/>
        </w:rPr>
        <w:t>《中华人民共和国海上交通安全法》（2021.09.01施行）；</w:t>
      </w:r>
    </w:p>
    <w:p w14:paraId="69084502">
      <w:pPr>
        <w:pStyle w:val="91"/>
        <w:widowControl/>
        <w:numPr>
          <w:ilvl w:val="0"/>
          <w:numId w:val="10"/>
        </w:numPr>
        <w:adjustRightInd w:val="0"/>
        <w:snapToGrid w:val="0"/>
        <w:spacing w:after="0" w:line="360" w:lineRule="auto"/>
        <w:ind w:left="0" w:leftChars="0" w:firstLine="480"/>
        <w:rPr>
          <w:rFonts w:ascii="Times New Roman" w:hAnsi="Times New Roman" w:cs="Times New Roman" w:eastAsiaTheme="minorEastAsia"/>
          <w:color w:val="auto"/>
          <w:sz w:val="24"/>
          <w:highlight w:val="none"/>
        </w:rPr>
      </w:pPr>
      <w:r>
        <w:rPr>
          <w:rFonts w:ascii="Times New Roman" w:hAnsi="Times New Roman" w:cs="Times New Roman" w:eastAsiaTheme="minorEastAsia"/>
          <w:color w:val="auto"/>
          <w:sz w:val="24"/>
          <w:highlight w:val="none"/>
        </w:rPr>
        <w:t>《中华人民共和国水上水下作业和活动通航安全管理规定》（交通运输部令2021年第24号，2021.09.01）；</w:t>
      </w:r>
    </w:p>
    <w:p w14:paraId="7D4C486C">
      <w:pPr>
        <w:pStyle w:val="91"/>
        <w:widowControl/>
        <w:numPr>
          <w:ilvl w:val="0"/>
          <w:numId w:val="10"/>
        </w:numPr>
        <w:adjustRightInd w:val="0"/>
        <w:snapToGrid w:val="0"/>
        <w:spacing w:after="0" w:line="360" w:lineRule="auto"/>
        <w:ind w:left="0" w:leftChars="0" w:firstLine="480"/>
        <w:rPr>
          <w:rFonts w:ascii="Times New Roman" w:hAnsi="Times New Roman" w:cs="Times New Roman" w:eastAsiaTheme="minorEastAsia"/>
          <w:color w:val="auto"/>
          <w:sz w:val="24"/>
          <w:highlight w:val="none"/>
        </w:rPr>
      </w:pPr>
      <w:r>
        <w:rPr>
          <w:rFonts w:ascii="Times New Roman" w:hAnsi="Times New Roman" w:cs="Times New Roman" w:eastAsiaTheme="minorEastAsia"/>
          <w:color w:val="auto"/>
          <w:sz w:val="24"/>
          <w:highlight w:val="none"/>
        </w:rPr>
        <w:t>《中华人民共和国航道法》（2016.09.01施行）；</w:t>
      </w:r>
    </w:p>
    <w:p w14:paraId="72834A3F">
      <w:pPr>
        <w:pStyle w:val="91"/>
        <w:widowControl/>
        <w:numPr>
          <w:ilvl w:val="0"/>
          <w:numId w:val="10"/>
        </w:numPr>
        <w:adjustRightInd w:val="0"/>
        <w:snapToGrid w:val="0"/>
        <w:spacing w:after="0" w:line="360" w:lineRule="auto"/>
        <w:ind w:left="0" w:leftChars="0" w:firstLine="480"/>
        <w:rPr>
          <w:rFonts w:ascii="Times New Roman" w:hAnsi="Times New Roman" w:cs="Times New Roman" w:eastAsiaTheme="minorEastAsia"/>
          <w:color w:val="auto"/>
          <w:sz w:val="24"/>
          <w:highlight w:val="none"/>
        </w:rPr>
      </w:pPr>
      <w:r>
        <w:rPr>
          <w:rFonts w:ascii="Times New Roman" w:hAnsi="Times New Roman" w:cs="Times New Roman" w:eastAsiaTheme="minorEastAsia"/>
          <w:color w:val="auto"/>
          <w:sz w:val="24"/>
          <w:highlight w:val="none"/>
        </w:rPr>
        <w:t>《中华人民共和国大气污染防治法》</w:t>
      </w:r>
      <w:r>
        <w:rPr>
          <w:rFonts w:ascii="Times New Roman" w:hAnsi="Times New Roman" w:cs="Times New Roman"/>
          <w:color w:val="auto"/>
          <w:sz w:val="24"/>
          <w:highlight w:val="none"/>
        </w:rPr>
        <w:t>（2016.01.01施行）</w:t>
      </w:r>
      <w:r>
        <w:rPr>
          <w:rFonts w:ascii="Times New Roman" w:hAnsi="Times New Roman" w:cs="Times New Roman" w:eastAsiaTheme="minorEastAsia"/>
          <w:color w:val="auto"/>
          <w:sz w:val="24"/>
          <w:highlight w:val="none"/>
        </w:rPr>
        <w:t>；</w:t>
      </w:r>
    </w:p>
    <w:p w14:paraId="31C44C32">
      <w:pPr>
        <w:widowControl/>
        <w:numPr>
          <w:ilvl w:val="0"/>
          <w:numId w:val="10"/>
        </w:numPr>
        <w:ind w:left="0" w:firstLine="480"/>
        <w:rPr>
          <w:color w:val="auto"/>
          <w:highlight w:val="none"/>
        </w:rPr>
      </w:pPr>
      <w:r>
        <w:rPr>
          <w:color w:val="auto"/>
          <w:highlight w:val="none"/>
        </w:rPr>
        <w:t>《中华人民共和国水污染防治法》（2018.01.01施行）；</w:t>
      </w:r>
    </w:p>
    <w:p w14:paraId="52ABF700">
      <w:pPr>
        <w:widowControl/>
        <w:numPr>
          <w:ilvl w:val="0"/>
          <w:numId w:val="10"/>
        </w:numPr>
        <w:ind w:left="0" w:firstLine="480"/>
        <w:rPr>
          <w:color w:val="auto"/>
          <w:highlight w:val="none"/>
        </w:rPr>
      </w:pPr>
      <w:r>
        <w:rPr>
          <w:color w:val="auto"/>
          <w:highlight w:val="none"/>
        </w:rPr>
        <w:t>《中华人民共和国噪声污染防治法》（2022.06.05施行）；</w:t>
      </w:r>
    </w:p>
    <w:p w14:paraId="2A2F96DD">
      <w:pPr>
        <w:widowControl/>
        <w:numPr>
          <w:ilvl w:val="0"/>
          <w:numId w:val="10"/>
        </w:numPr>
        <w:ind w:left="0" w:firstLine="480"/>
        <w:rPr>
          <w:color w:val="auto"/>
          <w:highlight w:val="none"/>
        </w:rPr>
      </w:pPr>
      <w:r>
        <w:rPr>
          <w:color w:val="auto"/>
          <w:highlight w:val="none"/>
        </w:rPr>
        <w:t>《中华人民共和国固体废物污染环境防治法》（2020.09.01施行）；</w:t>
      </w:r>
    </w:p>
    <w:p w14:paraId="7EBB6A48">
      <w:pPr>
        <w:widowControl/>
        <w:numPr>
          <w:ilvl w:val="0"/>
          <w:numId w:val="10"/>
        </w:numPr>
        <w:ind w:left="0" w:firstLine="480"/>
        <w:rPr>
          <w:color w:val="auto"/>
          <w:highlight w:val="none"/>
        </w:rPr>
      </w:pPr>
      <w:r>
        <w:rPr>
          <w:color w:val="auto"/>
          <w:highlight w:val="none"/>
        </w:rPr>
        <w:t>《中华人民共和国野生动物保护法》（2023.05.01施行）；</w:t>
      </w:r>
    </w:p>
    <w:p w14:paraId="76E94FBA">
      <w:pPr>
        <w:widowControl/>
        <w:numPr>
          <w:ilvl w:val="0"/>
          <w:numId w:val="10"/>
        </w:numPr>
        <w:ind w:left="0" w:firstLine="480"/>
        <w:rPr>
          <w:color w:val="auto"/>
          <w:highlight w:val="none"/>
          <w:u w:val="single"/>
        </w:rPr>
      </w:pPr>
      <w:r>
        <w:rPr>
          <w:color w:val="auto"/>
          <w:highlight w:val="none"/>
          <w:u w:val="single"/>
        </w:rPr>
        <w:t>《中华人民共和国渔业法》（2026.05.01施行）；</w:t>
      </w:r>
    </w:p>
    <w:p w14:paraId="6FA49145">
      <w:pPr>
        <w:widowControl/>
        <w:numPr>
          <w:ilvl w:val="0"/>
          <w:numId w:val="10"/>
        </w:numPr>
        <w:ind w:left="0" w:firstLine="480"/>
        <w:rPr>
          <w:color w:val="auto"/>
          <w:highlight w:val="none"/>
        </w:rPr>
      </w:pPr>
      <w:r>
        <w:rPr>
          <w:color w:val="auto"/>
          <w:highlight w:val="none"/>
        </w:rPr>
        <w:t>《中华人民共和国渔业法实施细则》（2020.11.29施行）；</w:t>
      </w:r>
    </w:p>
    <w:p w14:paraId="17660A44">
      <w:pPr>
        <w:widowControl/>
        <w:numPr>
          <w:ilvl w:val="0"/>
          <w:numId w:val="10"/>
        </w:numPr>
        <w:ind w:left="0" w:firstLine="480"/>
        <w:rPr>
          <w:color w:val="auto"/>
          <w:highlight w:val="none"/>
        </w:rPr>
      </w:pPr>
      <w:r>
        <w:rPr>
          <w:color w:val="auto"/>
          <w:highlight w:val="none"/>
        </w:rPr>
        <w:t>《中华人民共和国水生野生动物保护实施条例》（2013年修订）；</w:t>
      </w:r>
    </w:p>
    <w:p w14:paraId="40A49278">
      <w:pPr>
        <w:widowControl/>
        <w:numPr>
          <w:ilvl w:val="0"/>
          <w:numId w:val="10"/>
        </w:numPr>
        <w:ind w:left="0" w:firstLine="480"/>
        <w:rPr>
          <w:color w:val="auto"/>
          <w:highlight w:val="none"/>
        </w:rPr>
      </w:pPr>
      <w:r>
        <w:rPr>
          <w:color w:val="auto"/>
          <w:highlight w:val="none"/>
        </w:rPr>
        <w:t>《防治海洋工程建设项目污染损害海洋环境管理条例》（2018年修订）；</w:t>
      </w:r>
    </w:p>
    <w:p w14:paraId="0493CF2D">
      <w:pPr>
        <w:widowControl/>
        <w:numPr>
          <w:ilvl w:val="0"/>
          <w:numId w:val="10"/>
        </w:numPr>
        <w:ind w:left="0" w:firstLine="480"/>
        <w:rPr>
          <w:color w:val="auto"/>
          <w:highlight w:val="none"/>
        </w:rPr>
      </w:pPr>
      <w:r>
        <w:rPr>
          <w:color w:val="auto"/>
          <w:highlight w:val="none"/>
        </w:rPr>
        <w:t>《防治船舶污染海洋环境管理条例》（国务院令第561号）；</w:t>
      </w:r>
    </w:p>
    <w:p w14:paraId="357FB310">
      <w:pPr>
        <w:widowControl/>
        <w:numPr>
          <w:ilvl w:val="0"/>
          <w:numId w:val="10"/>
        </w:numPr>
        <w:ind w:left="0" w:firstLine="480"/>
        <w:rPr>
          <w:color w:val="auto"/>
          <w:highlight w:val="none"/>
          <w:u w:val="single"/>
        </w:rPr>
      </w:pPr>
      <w:r>
        <w:rPr>
          <w:color w:val="auto"/>
          <w:highlight w:val="none"/>
          <w:u w:val="single"/>
        </w:rPr>
        <w:t>《</w:t>
      </w:r>
      <w:bookmarkStart w:id="46" w:name="OLE_LINK1"/>
      <w:bookmarkStart w:id="47" w:name="OLE_LINK4"/>
      <w:r>
        <w:rPr>
          <w:color w:val="auto"/>
          <w:highlight w:val="none"/>
          <w:u w:val="single"/>
        </w:rPr>
        <w:t>中华人民共和国船舶及其有关作业活动污染海洋环境防治管理规定</w:t>
      </w:r>
      <w:bookmarkEnd w:id="46"/>
      <w:bookmarkEnd w:id="47"/>
      <w:r>
        <w:rPr>
          <w:color w:val="auto"/>
          <w:highlight w:val="none"/>
          <w:u w:val="single"/>
        </w:rPr>
        <w:t>》（2017.05.02</w:t>
      </w:r>
      <w:r>
        <w:rPr>
          <w:rFonts w:hint="eastAsia"/>
          <w:color w:val="auto"/>
          <w:highlight w:val="none"/>
          <w:u w:val="single"/>
        </w:rPr>
        <w:t>修正</w:t>
      </w:r>
      <w:r>
        <w:rPr>
          <w:color w:val="auto"/>
          <w:highlight w:val="none"/>
          <w:u w:val="single"/>
        </w:rPr>
        <w:t>）；</w:t>
      </w:r>
    </w:p>
    <w:p w14:paraId="7F052BC0">
      <w:pPr>
        <w:widowControl/>
        <w:numPr>
          <w:ilvl w:val="0"/>
          <w:numId w:val="10"/>
        </w:numPr>
        <w:ind w:left="0" w:firstLine="480"/>
        <w:rPr>
          <w:color w:val="auto"/>
          <w:highlight w:val="none"/>
        </w:rPr>
      </w:pPr>
      <w:r>
        <w:rPr>
          <w:color w:val="auto"/>
          <w:highlight w:val="none"/>
        </w:rPr>
        <w:t>《国家海洋局关于印发海洋工程环境影响评价管理规定的通知》（国海规范〔2017〕7号）；</w:t>
      </w:r>
    </w:p>
    <w:p w14:paraId="046C54C6">
      <w:pPr>
        <w:widowControl/>
        <w:numPr>
          <w:ilvl w:val="0"/>
          <w:numId w:val="10"/>
        </w:numPr>
        <w:ind w:left="0" w:firstLine="480"/>
        <w:rPr>
          <w:color w:val="auto"/>
          <w:highlight w:val="none"/>
        </w:rPr>
      </w:pPr>
      <w:r>
        <w:rPr>
          <w:color w:val="auto"/>
          <w:highlight w:val="none"/>
        </w:rPr>
        <w:t>《自然资源部 生态环境部 国家林业和草原局关于加强生态保护红线管理的通知（试行）》（自然资发〔2022〕142号）；</w:t>
      </w:r>
    </w:p>
    <w:p w14:paraId="4AFCD252">
      <w:pPr>
        <w:widowControl/>
        <w:numPr>
          <w:ilvl w:val="0"/>
          <w:numId w:val="10"/>
        </w:numPr>
        <w:ind w:left="0" w:firstLine="480"/>
        <w:rPr>
          <w:color w:val="auto"/>
          <w:highlight w:val="none"/>
        </w:rPr>
      </w:pPr>
      <w:r>
        <w:rPr>
          <w:color w:val="auto"/>
          <w:highlight w:val="none"/>
        </w:rPr>
        <w:t>《自然资源部关于进一步做好用地用海要素保障的通知》（自然资发〔2023〕89号，2023.06.13）；</w:t>
      </w:r>
    </w:p>
    <w:p w14:paraId="601D7BF0">
      <w:pPr>
        <w:widowControl/>
        <w:numPr>
          <w:ilvl w:val="0"/>
          <w:numId w:val="10"/>
        </w:numPr>
        <w:ind w:left="0" w:firstLine="480"/>
        <w:rPr>
          <w:color w:val="auto"/>
          <w:highlight w:val="none"/>
        </w:rPr>
      </w:pPr>
      <w:r>
        <w:rPr>
          <w:color w:val="auto"/>
          <w:highlight w:val="none"/>
        </w:rPr>
        <w:t>《建设项目环境保护管理条例》（2017年修订）；</w:t>
      </w:r>
    </w:p>
    <w:p w14:paraId="66289275">
      <w:pPr>
        <w:widowControl/>
        <w:numPr>
          <w:ilvl w:val="0"/>
          <w:numId w:val="10"/>
        </w:numPr>
        <w:ind w:left="0" w:firstLine="480"/>
        <w:rPr>
          <w:color w:val="auto"/>
          <w:highlight w:val="none"/>
        </w:rPr>
      </w:pPr>
      <w:r>
        <w:rPr>
          <w:color w:val="auto"/>
          <w:highlight w:val="none"/>
        </w:rPr>
        <w:t>《建设项目环境影响评价分类管理名录》（2021年修订）；</w:t>
      </w:r>
    </w:p>
    <w:p w14:paraId="3D877E67">
      <w:pPr>
        <w:widowControl/>
        <w:numPr>
          <w:ilvl w:val="0"/>
          <w:numId w:val="10"/>
        </w:numPr>
        <w:ind w:left="0" w:firstLine="480"/>
        <w:rPr>
          <w:color w:val="auto"/>
          <w:highlight w:val="none"/>
        </w:rPr>
      </w:pPr>
      <w:r>
        <w:rPr>
          <w:color w:val="auto"/>
          <w:highlight w:val="none"/>
        </w:rPr>
        <w:t>《环境影响评价公众参与办法》（生态环境部令第4号）；</w:t>
      </w:r>
    </w:p>
    <w:p w14:paraId="1208FE7A">
      <w:pPr>
        <w:widowControl/>
        <w:numPr>
          <w:ilvl w:val="0"/>
          <w:numId w:val="10"/>
        </w:numPr>
        <w:ind w:left="0" w:firstLine="480"/>
        <w:rPr>
          <w:color w:val="auto"/>
          <w:highlight w:val="none"/>
        </w:rPr>
      </w:pPr>
      <w:r>
        <w:rPr>
          <w:color w:val="auto"/>
          <w:highlight w:val="none"/>
        </w:rPr>
        <w:t>《水污染防治行动计划》（国发〔2015〕17号）；</w:t>
      </w:r>
    </w:p>
    <w:p w14:paraId="7E17459D">
      <w:pPr>
        <w:widowControl/>
        <w:numPr>
          <w:ilvl w:val="0"/>
          <w:numId w:val="10"/>
        </w:numPr>
        <w:ind w:left="0" w:firstLine="480"/>
        <w:rPr>
          <w:color w:val="auto"/>
          <w:highlight w:val="none"/>
        </w:rPr>
      </w:pPr>
      <w:r>
        <w:rPr>
          <w:color w:val="auto"/>
          <w:highlight w:val="none"/>
        </w:rPr>
        <w:t>《产业结构调整指导目录（2024年本）》。</w:t>
      </w:r>
    </w:p>
    <w:p w14:paraId="5DD69A2F">
      <w:pPr>
        <w:pStyle w:val="7"/>
        <w:numPr>
          <w:ilvl w:val="2"/>
          <w:numId w:val="9"/>
        </w:numPr>
        <w:rPr>
          <w:color w:val="auto"/>
          <w:sz w:val="28"/>
          <w:highlight w:val="none"/>
        </w:rPr>
      </w:pPr>
      <w:r>
        <w:rPr>
          <w:color w:val="auto"/>
          <w:sz w:val="28"/>
          <w:highlight w:val="none"/>
        </w:rPr>
        <w:t>地方法规、规章及规范性文件</w:t>
      </w:r>
    </w:p>
    <w:p w14:paraId="0CE5EA8C">
      <w:pPr>
        <w:widowControl/>
        <w:numPr>
          <w:ilvl w:val="0"/>
          <w:numId w:val="11"/>
        </w:numPr>
        <w:ind w:left="0" w:firstLine="480"/>
        <w:rPr>
          <w:color w:val="auto"/>
          <w:highlight w:val="none"/>
        </w:rPr>
      </w:pPr>
      <w:r>
        <w:rPr>
          <w:color w:val="auto"/>
          <w:highlight w:val="none"/>
        </w:rPr>
        <w:t>《广西壮族自治区环境保护条例》（2019.07.25施行）；</w:t>
      </w:r>
    </w:p>
    <w:p w14:paraId="6B63BECB">
      <w:pPr>
        <w:widowControl/>
        <w:numPr>
          <w:ilvl w:val="0"/>
          <w:numId w:val="11"/>
        </w:numPr>
        <w:ind w:left="0" w:firstLine="480"/>
        <w:rPr>
          <w:color w:val="auto"/>
          <w:highlight w:val="none"/>
        </w:rPr>
      </w:pPr>
      <w:r>
        <w:rPr>
          <w:color w:val="auto"/>
          <w:highlight w:val="none"/>
        </w:rPr>
        <w:t>《广西壮族自治区海洋环境保护条例》（2018.09.30施行）</w:t>
      </w:r>
    </w:p>
    <w:p w14:paraId="6C9B6BF4">
      <w:pPr>
        <w:widowControl/>
        <w:numPr>
          <w:ilvl w:val="0"/>
          <w:numId w:val="11"/>
        </w:numPr>
        <w:ind w:left="0" w:firstLine="480"/>
        <w:rPr>
          <w:color w:val="auto"/>
          <w:highlight w:val="none"/>
        </w:rPr>
      </w:pPr>
      <w:r>
        <w:rPr>
          <w:color w:val="auto"/>
          <w:highlight w:val="none"/>
        </w:rPr>
        <w:t>《广西壮族自治区航道管理条例》（2019.07.25施行）；</w:t>
      </w:r>
    </w:p>
    <w:p w14:paraId="2189535F">
      <w:pPr>
        <w:widowControl/>
        <w:numPr>
          <w:ilvl w:val="0"/>
          <w:numId w:val="11"/>
        </w:numPr>
        <w:ind w:left="0" w:firstLine="480"/>
        <w:rPr>
          <w:color w:val="auto"/>
          <w:highlight w:val="none"/>
        </w:rPr>
      </w:pPr>
      <w:r>
        <w:rPr>
          <w:color w:val="auto"/>
          <w:highlight w:val="none"/>
        </w:rPr>
        <w:t>《广西壮族自治区海洋生态补偿管理办法》（2019.10.09施行）；</w:t>
      </w:r>
    </w:p>
    <w:p w14:paraId="2C50345C">
      <w:pPr>
        <w:widowControl/>
        <w:numPr>
          <w:ilvl w:val="0"/>
          <w:numId w:val="11"/>
        </w:numPr>
        <w:ind w:left="0" w:firstLine="480"/>
        <w:rPr>
          <w:color w:val="auto"/>
          <w:highlight w:val="none"/>
          <w:u w:val="single"/>
        </w:rPr>
      </w:pPr>
      <w:r>
        <w:rPr>
          <w:color w:val="auto"/>
          <w:highlight w:val="none"/>
          <w:u w:val="single"/>
        </w:rPr>
        <w:t>《广西壮族自治区海域使用管理条例》（2024.11.28修正）</w:t>
      </w:r>
    </w:p>
    <w:p w14:paraId="1BF586E4">
      <w:pPr>
        <w:widowControl/>
        <w:numPr>
          <w:ilvl w:val="0"/>
          <w:numId w:val="11"/>
        </w:numPr>
        <w:ind w:left="0" w:firstLine="480"/>
        <w:rPr>
          <w:color w:val="auto"/>
          <w:highlight w:val="none"/>
        </w:rPr>
      </w:pPr>
      <w:r>
        <w:rPr>
          <w:color w:val="auto"/>
          <w:highlight w:val="none"/>
        </w:rPr>
        <w:t>《</w:t>
      </w:r>
      <w:bookmarkStart w:id="48" w:name="OLE_LINK7"/>
      <w:r>
        <w:rPr>
          <w:color w:val="auto"/>
          <w:highlight w:val="none"/>
        </w:rPr>
        <w:t>广西壮族自治区野生动物保护条例</w:t>
      </w:r>
      <w:bookmarkEnd w:id="48"/>
      <w:r>
        <w:rPr>
          <w:color w:val="auto"/>
          <w:highlight w:val="none"/>
        </w:rPr>
        <w:t>》（2023.07.01施行）；</w:t>
      </w:r>
    </w:p>
    <w:p w14:paraId="354487A9">
      <w:pPr>
        <w:widowControl/>
        <w:numPr>
          <w:ilvl w:val="0"/>
          <w:numId w:val="11"/>
        </w:numPr>
        <w:ind w:left="0" w:firstLine="480"/>
        <w:rPr>
          <w:color w:val="auto"/>
          <w:highlight w:val="none"/>
        </w:rPr>
      </w:pPr>
      <w:r>
        <w:rPr>
          <w:color w:val="auto"/>
          <w:highlight w:val="none"/>
        </w:rPr>
        <w:t>《广西壮族自治区野生植物保护办法》（2016年修正）；</w:t>
      </w:r>
    </w:p>
    <w:p w14:paraId="21152607">
      <w:pPr>
        <w:widowControl/>
        <w:numPr>
          <w:ilvl w:val="0"/>
          <w:numId w:val="11"/>
        </w:numPr>
        <w:ind w:left="0" w:firstLine="480"/>
        <w:rPr>
          <w:color w:val="auto"/>
          <w:highlight w:val="none"/>
        </w:rPr>
      </w:pPr>
      <w:r>
        <w:rPr>
          <w:color w:val="auto"/>
          <w:highlight w:val="none"/>
        </w:rPr>
        <w:t>《广西壮族自治区大气污染防治条例》（2019.01.01施行）；</w:t>
      </w:r>
    </w:p>
    <w:p w14:paraId="4360A6E5">
      <w:pPr>
        <w:widowControl/>
        <w:numPr>
          <w:ilvl w:val="0"/>
          <w:numId w:val="11"/>
        </w:numPr>
        <w:ind w:left="0" w:firstLine="480"/>
        <w:rPr>
          <w:color w:val="auto"/>
          <w:highlight w:val="none"/>
        </w:rPr>
      </w:pPr>
      <w:r>
        <w:rPr>
          <w:color w:val="auto"/>
          <w:highlight w:val="none"/>
        </w:rPr>
        <w:t>《广西壮族自治区水污染防治条例》（2020.05.01施行）；</w:t>
      </w:r>
    </w:p>
    <w:p w14:paraId="6DEF7C8D">
      <w:pPr>
        <w:widowControl/>
        <w:numPr>
          <w:ilvl w:val="0"/>
          <w:numId w:val="11"/>
        </w:numPr>
        <w:ind w:left="0" w:firstLine="480"/>
        <w:rPr>
          <w:color w:val="auto"/>
          <w:highlight w:val="none"/>
        </w:rPr>
      </w:pPr>
      <w:r>
        <w:rPr>
          <w:color w:val="auto"/>
          <w:highlight w:val="none"/>
        </w:rPr>
        <w:t>《广西壮族自治区大气污染防治行动工作方案》（桂政办发〔2014〕9号）；</w:t>
      </w:r>
    </w:p>
    <w:p w14:paraId="178A1381">
      <w:pPr>
        <w:widowControl/>
        <w:numPr>
          <w:ilvl w:val="0"/>
          <w:numId w:val="11"/>
        </w:numPr>
        <w:ind w:left="0" w:firstLine="480"/>
        <w:rPr>
          <w:color w:val="auto"/>
          <w:highlight w:val="none"/>
        </w:rPr>
      </w:pPr>
      <w:r>
        <w:rPr>
          <w:color w:val="auto"/>
          <w:highlight w:val="none"/>
        </w:rPr>
        <w:t>《广西水污染防治行动计划工作方案》（桂政办发〔2015〕131号）；</w:t>
      </w:r>
    </w:p>
    <w:p w14:paraId="271AED18">
      <w:pPr>
        <w:widowControl/>
        <w:numPr>
          <w:ilvl w:val="0"/>
          <w:numId w:val="11"/>
        </w:numPr>
        <w:ind w:left="0" w:firstLine="480"/>
        <w:rPr>
          <w:color w:val="auto"/>
          <w:highlight w:val="none"/>
        </w:rPr>
      </w:pPr>
      <w:r>
        <w:rPr>
          <w:color w:val="auto"/>
          <w:highlight w:val="none"/>
        </w:rPr>
        <w:t>《广西壮族自治区建设项目环境影响评价文件分级审批管理办法》（2025年修订版）；</w:t>
      </w:r>
    </w:p>
    <w:p w14:paraId="4F067228">
      <w:pPr>
        <w:widowControl/>
        <w:numPr>
          <w:ilvl w:val="0"/>
          <w:numId w:val="11"/>
        </w:numPr>
        <w:ind w:left="0" w:firstLine="480"/>
        <w:rPr>
          <w:color w:val="auto"/>
          <w:highlight w:val="none"/>
        </w:rPr>
      </w:pPr>
      <w:r>
        <w:rPr>
          <w:color w:val="auto"/>
          <w:highlight w:val="none"/>
        </w:rPr>
        <w:t>《广西壮族自治区生态环境厅等部门关于印发 &lt;广西生态保护正面清单（2022）&gt;和&lt;广西生态保护禁止事项清单（2022）&gt;的通知》；</w:t>
      </w:r>
    </w:p>
    <w:p w14:paraId="45564A76">
      <w:pPr>
        <w:widowControl/>
        <w:numPr>
          <w:ilvl w:val="0"/>
          <w:numId w:val="11"/>
        </w:numPr>
        <w:ind w:left="0" w:firstLine="480"/>
        <w:rPr>
          <w:color w:val="auto"/>
          <w:highlight w:val="none"/>
        </w:rPr>
      </w:pPr>
      <w:r>
        <w:rPr>
          <w:color w:val="auto"/>
          <w:highlight w:val="none"/>
        </w:rPr>
        <w:t>《广西壮族自治区生物多样性保护战略与行动计划（2013-2030年）》（桂环发〔2014〕12号）；</w:t>
      </w:r>
    </w:p>
    <w:p w14:paraId="1A737A38">
      <w:pPr>
        <w:widowControl/>
        <w:numPr>
          <w:ilvl w:val="0"/>
          <w:numId w:val="11"/>
        </w:numPr>
        <w:ind w:left="0" w:firstLine="480"/>
        <w:rPr>
          <w:color w:val="auto"/>
          <w:highlight w:val="none"/>
        </w:rPr>
      </w:pPr>
      <w:r>
        <w:rPr>
          <w:color w:val="auto"/>
          <w:highlight w:val="none"/>
        </w:rPr>
        <w:t>《广西壮族自治区自然资源厅“三区三线”划定实施方案》（桂自然资发〔2022〕45号）；</w:t>
      </w:r>
    </w:p>
    <w:p w14:paraId="5B2478A7">
      <w:pPr>
        <w:widowControl/>
        <w:numPr>
          <w:ilvl w:val="0"/>
          <w:numId w:val="11"/>
        </w:numPr>
        <w:ind w:left="0" w:firstLine="480"/>
        <w:rPr>
          <w:color w:val="auto"/>
          <w:highlight w:val="none"/>
        </w:rPr>
      </w:pPr>
      <w:r>
        <w:rPr>
          <w:color w:val="auto"/>
          <w:highlight w:val="none"/>
        </w:rPr>
        <w:t>《广西壮族自治区生态环境厅关于印发广西壮族自治区“三线一单”生态环境分区管控暂行管理规定》的通知（桂环规范〔2022〕10号）；</w:t>
      </w:r>
    </w:p>
    <w:p w14:paraId="2135955B">
      <w:pPr>
        <w:widowControl/>
        <w:numPr>
          <w:ilvl w:val="0"/>
          <w:numId w:val="11"/>
        </w:numPr>
        <w:ind w:left="0" w:firstLine="480"/>
        <w:rPr>
          <w:color w:val="auto"/>
          <w:highlight w:val="none"/>
        </w:rPr>
      </w:pPr>
      <w:r>
        <w:rPr>
          <w:color w:val="auto"/>
          <w:highlight w:val="none"/>
        </w:rPr>
        <w:t>《广西生态保护红线监管办法（试行）》（广西壮族自治区自然资源厅、广西壮族自治区生态环境厅、广西壮族自治区林业局、广西壮族自治区海洋局，桂自然资规〔2023〕4号，2023.06.29）；</w:t>
      </w:r>
    </w:p>
    <w:p w14:paraId="1FAF931C">
      <w:pPr>
        <w:widowControl/>
        <w:numPr>
          <w:ilvl w:val="0"/>
          <w:numId w:val="11"/>
        </w:numPr>
        <w:ind w:left="0" w:firstLine="480"/>
        <w:rPr>
          <w:color w:val="auto"/>
          <w:highlight w:val="none"/>
        </w:rPr>
      </w:pPr>
      <w:r>
        <w:rPr>
          <w:color w:val="auto"/>
          <w:highlight w:val="none"/>
        </w:rPr>
        <w:t>《广西壮族自治区生态环境厅关于印发实施广西壮族自治区生态环境分区管控动态更新成果（2023年）》的通知（桂环规范〔2024〕3号）；</w:t>
      </w:r>
    </w:p>
    <w:p w14:paraId="2DAB64DA">
      <w:pPr>
        <w:widowControl/>
        <w:numPr>
          <w:ilvl w:val="0"/>
          <w:numId w:val="11"/>
        </w:numPr>
        <w:ind w:left="0" w:firstLine="480"/>
        <w:rPr>
          <w:color w:val="auto"/>
          <w:highlight w:val="none"/>
        </w:rPr>
      </w:pPr>
      <w:r>
        <w:rPr>
          <w:color w:val="auto"/>
          <w:highlight w:val="none"/>
        </w:rPr>
        <w:t>钦州市生态环境局关于印发《钦州市生态环境分区管控动态更新成果（2023版）》的通知。</w:t>
      </w:r>
    </w:p>
    <w:p w14:paraId="2348C435">
      <w:pPr>
        <w:pStyle w:val="7"/>
        <w:numPr>
          <w:ilvl w:val="2"/>
          <w:numId w:val="9"/>
        </w:numPr>
        <w:rPr>
          <w:color w:val="auto"/>
          <w:sz w:val="28"/>
          <w:highlight w:val="none"/>
        </w:rPr>
      </w:pPr>
      <w:r>
        <w:rPr>
          <w:color w:val="auto"/>
          <w:sz w:val="28"/>
          <w:highlight w:val="none"/>
        </w:rPr>
        <w:t>技术导则与规范</w:t>
      </w:r>
    </w:p>
    <w:p w14:paraId="399BE3E5">
      <w:pPr>
        <w:widowControl/>
        <w:numPr>
          <w:ilvl w:val="0"/>
          <w:numId w:val="12"/>
        </w:numPr>
        <w:pBdr>
          <w:top w:val="none" w:color="auto" w:sz="0" w:space="1"/>
          <w:left w:val="none" w:color="auto" w:sz="0" w:space="4"/>
          <w:bottom w:val="none" w:color="auto" w:sz="0" w:space="1"/>
          <w:right w:val="none" w:color="auto" w:sz="0" w:space="4"/>
        </w:pBdr>
        <w:ind w:firstLine="480"/>
        <w:rPr>
          <w:color w:val="auto"/>
          <w:highlight w:val="none"/>
        </w:rPr>
      </w:pPr>
      <w:r>
        <w:rPr>
          <w:color w:val="auto"/>
          <w:highlight w:val="none"/>
        </w:rPr>
        <w:t>《建设项目环境影响评价技术导则  总纲》（HJ2.1-2016）；</w:t>
      </w:r>
    </w:p>
    <w:p w14:paraId="2C829C56">
      <w:pPr>
        <w:widowControl/>
        <w:numPr>
          <w:ilvl w:val="0"/>
          <w:numId w:val="12"/>
        </w:numPr>
        <w:pBdr>
          <w:top w:val="none" w:color="auto" w:sz="0" w:space="1"/>
          <w:left w:val="none" w:color="auto" w:sz="0" w:space="4"/>
          <w:bottom w:val="none" w:color="auto" w:sz="0" w:space="1"/>
          <w:right w:val="none" w:color="auto" w:sz="0" w:space="4"/>
        </w:pBdr>
        <w:ind w:firstLine="480"/>
        <w:rPr>
          <w:color w:val="auto"/>
          <w:highlight w:val="none"/>
        </w:rPr>
      </w:pPr>
      <w:bookmarkStart w:id="49" w:name="_Hlk192773517"/>
      <w:r>
        <w:rPr>
          <w:color w:val="auto"/>
          <w:highlight w:val="none"/>
        </w:rPr>
        <w:t>《环境影响评价技术导则  海洋生态环境》</w:t>
      </w:r>
      <w:bookmarkEnd w:id="49"/>
      <w:r>
        <w:rPr>
          <w:color w:val="auto"/>
          <w:highlight w:val="none"/>
        </w:rPr>
        <w:t>（HJ 1409-2025）；</w:t>
      </w:r>
    </w:p>
    <w:p w14:paraId="29B46869">
      <w:pPr>
        <w:widowControl/>
        <w:numPr>
          <w:ilvl w:val="0"/>
          <w:numId w:val="12"/>
        </w:numPr>
        <w:pBdr>
          <w:top w:val="none" w:color="auto" w:sz="0" w:space="1"/>
          <w:left w:val="none" w:color="auto" w:sz="0" w:space="4"/>
          <w:bottom w:val="none" w:color="auto" w:sz="0" w:space="1"/>
          <w:right w:val="none" w:color="auto" w:sz="0" w:space="4"/>
        </w:pBdr>
        <w:ind w:firstLine="480"/>
        <w:rPr>
          <w:color w:val="auto"/>
          <w:highlight w:val="none"/>
        </w:rPr>
      </w:pPr>
      <w:r>
        <w:rPr>
          <w:color w:val="auto"/>
          <w:highlight w:val="none"/>
        </w:rPr>
        <w:t>《环境影响评价技术导则  大气环境》（HJ2.2-2018）；</w:t>
      </w:r>
    </w:p>
    <w:p w14:paraId="09163D78">
      <w:pPr>
        <w:widowControl/>
        <w:numPr>
          <w:ilvl w:val="0"/>
          <w:numId w:val="12"/>
        </w:numPr>
        <w:pBdr>
          <w:top w:val="none" w:color="auto" w:sz="0" w:space="1"/>
          <w:left w:val="none" w:color="auto" w:sz="0" w:space="4"/>
          <w:bottom w:val="none" w:color="auto" w:sz="0" w:space="1"/>
          <w:right w:val="none" w:color="auto" w:sz="0" w:space="4"/>
        </w:pBdr>
        <w:ind w:firstLine="480"/>
        <w:rPr>
          <w:color w:val="auto"/>
          <w:highlight w:val="none"/>
        </w:rPr>
      </w:pPr>
      <w:r>
        <w:rPr>
          <w:color w:val="auto"/>
          <w:highlight w:val="none"/>
        </w:rPr>
        <w:t>《环境影响评价技术导则 地下水环境》（HJ610-2016）</w:t>
      </w:r>
    </w:p>
    <w:p w14:paraId="3540D659">
      <w:pPr>
        <w:widowControl/>
        <w:numPr>
          <w:ilvl w:val="0"/>
          <w:numId w:val="12"/>
        </w:numPr>
        <w:pBdr>
          <w:top w:val="none" w:color="auto" w:sz="0" w:space="1"/>
          <w:left w:val="none" w:color="auto" w:sz="0" w:space="4"/>
          <w:bottom w:val="none" w:color="auto" w:sz="0" w:space="1"/>
          <w:right w:val="none" w:color="auto" w:sz="0" w:space="4"/>
        </w:pBdr>
        <w:ind w:firstLine="480"/>
        <w:rPr>
          <w:color w:val="auto"/>
          <w:highlight w:val="none"/>
        </w:rPr>
      </w:pPr>
      <w:r>
        <w:rPr>
          <w:color w:val="auto"/>
          <w:highlight w:val="none"/>
        </w:rPr>
        <w:t>《环境影响评价技术导则  声环境》（HJ2.4-2021）；</w:t>
      </w:r>
    </w:p>
    <w:p w14:paraId="136BDF30">
      <w:pPr>
        <w:widowControl/>
        <w:numPr>
          <w:ilvl w:val="0"/>
          <w:numId w:val="12"/>
        </w:numPr>
        <w:pBdr>
          <w:top w:val="none" w:color="auto" w:sz="0" w:space="1"/>
          <w:left w:val="none" w:color="auto" w:sz="0" w:space="4"/>
          <w:bottom w:val="none" w:color="auto" w:sz="0" w:space="1"/>
          <w:right w:val="none" w:color="auto" w:sz="0" w:space="4"/>
        </w:pBdr>
        <w:ind w:firstLine="480"/>
        <w:rPr>
          <w:color w:val="auto"/>
          <w:highlight w:val="none"/>
        </w:rPr>
      </w:pPr>
      <w:r>
        <w:rPr>
          <w:color w:val="auto"/>
          <w:highlight w:val="none"/>
        </w:rPr>
        <w:t>《环境影响评价技术导则 土壤环境（试行）》（HJ 964-2018）；</w:t>
      </w:r>
    </w:p>
    <w:p w14:paraId="2C5DF986">
      <w:pPr>
        <w:widowControl/>
        <w:numPr>
          <w:ilvl w:val="0"/>
          <w:numId w:val="12"/>
        </w:numPr>
        <w:pBdr>
          <w:top w:val="none" w:color="auto" w:sz="0" w:space="1"/>
          <w:left w:val="none" w:color="auto" w:sz="0" w:space="4"/>
          <w:bottom w:val="none" w:color="auto" w:sz="0" w:space="1"/>
          <w:right w:val="none" w:color="auto" w:sz="0" w:space="4"/>
        </w:pBdr>
        <w:ind w:firstLine="480"/>
        <w:rPr>
          <w:color w:val="auto"/>
          <w:highlight w:val="none"/>
        </w:rPr>
      </w:pPr>
      <w:r>
        <w:rPr>
          <w:color w:val="auto"/>
          <w:highlight w:val="none"/>
        </w:rPr>
        <w:t>《环境影响评价技术导则  生态影响》（HJ19-2022）；</w:t>
      </w:r>
    </w:p>
    <w:p w14:paraId="2C3A4F4A">
      <w:pPr>
        <w:widowControl/>
        <w:numPr>
          <w:ilvl w:val="0"/>
          <w:numId w:val="12"/>
        </w:numPr>
        <w:pBdr>
          <w:top w:val="none" w:color="auto" w:sz="0" w:space="1"/>
          <w:left w:val="none" w:color="auto" w:sz="0" w:space="4"/>
          <w:bottom w:val="none" w:color="auto" w:sz="0" w:space="1"/>
          <w:right w:val="none" w:color="auto" w:sz="0" w:space="4"/>
        </w:pBdr>
        <w:ind w:firstLine="480"/>
        <w:rPr>
          <w:color w:val="auto"/>
          <w:highlight w:val="none"/>
        </w:rPr>
      </w:pPr>
      <w:r>
        <w:rPr>
          <w:color w:val="auto"/>
          <w:highlight w:val="none"/>
        </w:rPr>
        <w:t>《建设项目环境风险评价技术导则》（HJ169-2018）；</w:t>
      </w:r>
    </w:p>
    <w:p w14:paraId="540099E8">
      <w:pPr>
        <w:widowControl/>
        <w:numPr>
          <w:ilvl w:val="0"/>
          <w:numId w:val="12"/>
        </w:numPr>
        <w:pBdr>
          <w:top w:val="none" w:color="auto" w:sz="0" w:space="1"/>
          <w:left w:val="none" w:color="auto" w:sz="0" w:space="4"/>
          <w:bottom w:val="none" w:color="auto" w:sz="0" w:space="1"/>
          <w:right w:val="none" w:color="auto" w:sz="0" w:space="4"/>
        </w:pBdr>
        <w:ind w:firstLine="480"/>
        <w:rPr>
          <w:color w:val="auto"/>
          <w:highlight w:val="none"/>
        </w:rPr>
      </w:pPr>
      <w:r>
        <w:rPr>
          <w:color w:val="auto"/>
          <w:highlight w:val="none"/>
        </w:rPr>
        <w:t>《水运工程建设项目环境影响评价指南》（JTST105-2021）</w:t>
      </w:r>
      <w:r>
        <w:rPr>
          <w:rFonts w:hint="eastAsia"/>
          <w:color w:val="auto"/>
          <w:highlight w:val="none"/>
        </w:rPr>
        <w:t>；</w:t>
      </w:r>
    </w:p>
    <w:p w14:paraId="361D32D2">
      <w:pPr>
        <w:widowControl/>
        <w:numPr>
          <w:ilvl w:val="0"/>
          <w:numId w:val="12"/>
        </w:numPr>
        <w:pBdr>
          <w:top w:val="none" w:color="auto" w:sz="0" w:space="1"/>
          <w:left w:val="none" w:color="auto" w:sz="0" w:space="4"/>
          <w:bottom w:val="none" w:color="auto" w:sz="0" w:space="1"/>
          <w:right w:val="none" w:color="auto" w:sz="0" w:space="4"/>
        </w:pBdr>
        <w:ind w:firstLine="480"/>
        <w:rPr>
          <w:color w:val="auto"/>
          <w:highlight w:val="none"/>
        </w:rPr>
      </w:pPr>
      <w:r>
        <w:rPr>
          <w:color w:val="auto"/>
          <w:highlight w:val="none"/>
        </w:rPr>
        <w:t>《水上溢油环境风险评估技术导则》（JT/T1143-2017）</w:t>
      </w:r>
      <w:r>
        <w:rPr>
          <w:rFonts w:hint="eastAsia"/>
          <w:color w:val="auto"/>
          <w:highlight w:val="none"/>
        </w:rPr>
        <w:t>；</w:t>
      </w:r>
    </w:p>
    <w:p w14:paraId="19337E74">
      <w:pPr>
        <w:widowControl/>
        <w:numPr>
          <w:ilvl w:val="0"/>
          <w:numId w:val="12"/>
        </w:numPr>
        <w:pBdr>
          <w:top w:val="none" w:color="auto" w:sz="0" w:space="1"/>
          <w:left w:val="none" w:color="auto" w:sz="0" w:space="4"/>
          <w:bottom w:val="none" w:color="auto" w:sz="0" w:space="1"/>
          <w:right w:val="none" w:color="auto" w:sz="0" w:space="4"/>
        </w:pBdr>
        <w:ind w:firstLine="480"/>
        <w:rPr>
          <w:color w:val="auto"/>
          <w:highlight w:val="none"/>
        </w:rPr>
      </w:pPr>
      <w:r>
        <w:rPr>
          <w:color w:val="auto"/>
          <w:highlight w:val="none"/>
        </w:rPr>
        <w:t>《海洋调查规范》（GB/T12763-2007）；</w:t>
      </w:r>
    </w:p>
    <w:p w14:paraId="6786EBA6">
      <w:pPr>
        <w:widowControl/>
        <w:numPr>
          <w:ilvl w:val="0"/>
          <w:numId w:val="12"/>
        </w:numPr>
        <w:pBdr>
          <w:top w:val="none" w:color="auto" w:sz="0" w:space="1"/>
          <w:left w:val="none" w:color="auto" w:sz="0" w:space="4"/>
          <w:bottom w:val="none" w:color="auto" w:sz="0" w:space="1"/>
          <w:right w:val="none" w:color="auto" w:sz="0" w:space="4"/>
        </w:pBdr>
        <w:ind w:firstLine="480"/>
        <w:rPr>
          <w:color w:val="auto"/>
          <w:highlight w:val="none"/>
        </w:rPr>
      </w:pPr>
      <w:r>
        <w:rPr>
          <w:color w:val="auto"/>
          <w:highlight w:val="none"/>
        </w:rPr>
        <w:t>《海洋监测规范》（GB17378-2007）；</w:t>
      </w:r>
    </w:p>
    <w:p w14:paraId="3E0B3265">
      <w:pPr>
        <w:widowControl/>
        <w:numPr>
          <w:ilvl w:val="0"/>
          <w:numId w:val="12"/>
        </w:numPr>
        <w:pBdr>
          <w:top w:val="none" w:color="auto" w:sz="0" w:space="1"/>
          <w:left w:val="none" w:color="auto" w:sz="0" w:space="4"/>
          <w:bottom w:val="none" w:color="auto" w:sz="0" w:space="1"/>
          <w:right w:val="none" w:color="auto" w:sz="0" w:space="4"/>
        </w:pBdr>
        <w:ind w:firstLine="480"/>
        <w:rPr>
          <w:color w:val="auto"/>
          <w:highlight w:val="none"/>
        </w:rPr>
      </w:pPr>
      <w:r>
        <w:rPr>
          <w:color w:val="auto"/>
          <w:highlight w:val="none"/>
        </w:rPr>
        <w:t>《海洋观测规范第2部分：海滨观测》（GB/T 14914.2-2019）；</w:t>
      </w:r>
    </w:p>
    <w:p w14:paraId="4E992688">
      <w:pPr>
        <w:widowControl/>
        <w:numPr>
          <w:ilvl w:val="0"/>
          <w:numId w:val="12"/>
        </w:numPr>
        <w:pBdr>
          <w:top w:val="none" w:color="auto" w:sz="0" w:space="1"/>
          <w:left w:val="none" w:color="auto" w:sz="0" w:space="4"/>
          <w:bottom w:val="none" w:color="auto" w:sz="0" w:space="1"/>
          <w:right w:val="none" w:color="auto" w:sz="0" w:space="4"/>
        </w:pBdr>
        <w:ind w:firstLine="480"/>
        <w:rPr>
          <w:color w:val="auto"/>
          <w:highlight w:val="none"/>
        </w:rPr>
      </w:pPr>
      <w:r>
        <w:rPr>
          <w:color w:val="auto"/>
          <w:highlight w:val="none"/>
        </w:rPr>
        <w:t>《近岸海域环境监测技术规范第一部分总则》等10 项标准（HJ442-2020）；</w:t>
      </w:r>
    </w:p>
    <w:p w14:paraId="64680114">
      <w:pPr>
        <w:widowControl/>
        <w:numPr>
          <w:ilvl w:val="0"/>
          <w:numId w:val="12"/>
        </w:numPr>
        <w:pBdr>
          <w:top w:val="none" w:color="auto" w:sz="0" w:space="1"/>
          <w:left w:val="none" w:color="auto" w:sz="0" w:space="4"/>
          <w:bottom w:val="none" w:color="auto" w:sz="0" w:space="1"/>
          <w:right w:val="none" w:color="auto" w:sz="0" w:space="4"/>
        </w:pBdr>
        <w:ind w:firstLine="480"/>
        <w:rPr>
          <w:color w:val="auto"/>
          <w:highlight w:val="none"/>
        </w:rPr>
      </w:pPr>
      <w:r>
        <w:rPr>
          <w:color w:val="auto"/>
          <w:highlight w:val="none"/>
        </w:rPr>
        <w:t>《建设项目对海洋生物资源影响评价技术规程》（SC/T9110-2007）；</w:t>
      </w:r>
    </w:p>
    <w:p w14:paraId="04FE35A9">
      <w:pPr>
        <w:widowControl/>
        <w:numPr>
          <w:ilvl w:val="0"/>
          <w:numId w:val="12"/>
        </w:numPr>
        <w:pBdr>
          <w:top w:val="none" w:color="auto" w:sz="0" w:space="1"/>
          <w:left w:val="none" w:color="auto" w:sz="0" w:space="4"/>
          <w:bottom w:val="none" w:color="auto" w:sz="0" w:space="1"/>
          <w:right w:val="none" w:color="auto" w:sz="0" w:space="4"/>
        </w:pBdr>
        <w:ind w:firstLine="480"/>
        <w:rPr>
          <w:color w:val="auto"/>
          <w:highlight w:val="none"/>
        </w:rPr>
      </w:pPr>
      <w:r>
        <w:rPr>
          <w:color w:val="auto"/>
          <w:highlight w:val="none"/>
        </w:rPr>
        <w:t>《建设项目海洋环境影响跟踪监测技术规程》（国家海洋局，2002年4月）。</w:t>
      </w:r>
    </w:p>
    <w:p w14:paraId="275D3C42">
      <w:pPr>
        <w:pStyle w:val="7"/>
        <w:numPr>
          <w:ilvl w:val="2"/>
          <w:numId w:val="9"/>
        </w:numPr>
        <w:rPr>
          <w:color w:val="auto"/>
          <w:sz w:val="28"/>
          <w:highlight w:val="none"/>
        </w:rPr>
      </w:pPr>
      <w:r>
        <w:rPr>
          <w:color w:val="auto"/>
          <w:sz w:val="28"/>
          <w:highlight w:val="none"/>
        </w:rPr>
        <w:t>相关规划</w:t>
      </w:r>
    </w:p>
    <w:p w14:paraId="3EDD7BBB">
      <w:pPr>
        <w:widowControl/>
        <w:numPr>
          <w:ilvl w:val="0"/>
          <w:numId w:val="13"/>
        </w:numPr>
        <w:ind w:firstLine="488"/>
        <w:jc w:val="left"/>
        <w:rPr>
          <w:color w:val="auto"/>
          <w:spacing w:val="2"/>
          <w:highlight w:val="none"/>
        </w:rPr>
      </w:pPr>
      <w:r>
        <w:rPr>
          <w:color w:val="auto"/>
          <w:spacing w:val="2"/>
          <w:highlight w:val="none"/>
        </w:rPr>
        <w:t>《广西壮族自治区海洋环境保护规划》（2016-2025）；</w:t>
      </w:r>
    </w:p>
    <w:p w14:paraId="51E080E9">
      <w:pPr>
        <w:widowControl/>
        <w:numPr>
          <w:ilvl w:val="0"/>
          <w:numId w:val="13"/>
        </w:numPr>
        <w:ind w:firstLine="488"/>
        <w:jc w:val="left"/>
        <w:rPr>
          <w:color w:val="auto"/>
          <w:spacing w:val="2"/>
          <w:highlight w:val="none"/>
        </w:rPr>
      </w:pPr>
      <w:r>
        <w:rPr>
          <w:color w:val="auto"/>
          <w:spacing w:val="2"/>
          <w:highlight w:val="none"/>
        </w:rPr>
        <w:t>《广西壮族自治区近岸海域环境功能区划调整方案》，桂环发〔2023〕85号；</w:t>
      </w:r>
    </w:p>
    <w:p w14:paraId="2CBE4B87">
      <w:pPr>
        <w:widowControl/>
        <w:numPr>
          <w:ilvl w:val="0"/>
          <w:numId w:val="13"/>
        </w:numPr>
        <w:ind w:firstLine="488"/>
        <w:jc w:val="left"/>
        <w:rPr>
          <w:color w:val="auto"/>
          <w:spacing w:val="2"/>
          <w:highlight w:val="none"/>
        </w:rPr>
      </w:pPr>
      <w:r>
        <w:rPr>
          <w:color w:val="auto"/>
          <w:spacing w:val="2"/>
          <w:highlight w:val="none"/>
        </w:rPr>
        <w:t>《广西壮族自治区主体功能区规划》，桂政发〔2012〕89号；</w:t>
      </w:r>
    </w:p>
    <w:p w14:paraId="1B644E91">
      <w:pPr>
        <w:widowControl/>
        <w:numPr>
          <w:ilvl w:val="0"/>
          <w:numId w:val="13"/>
        </w:numPr>
        <w:ind w:firstLine="488"/>
        <w:jc w:val="left"/>
        <w:rPr>
          <w:color w:val="auto"/>
          <w:spacing w:val="2"/>
          <w:highlight w:val="none"/>
        </w:rPr>
      </w:pPr>
      <w:r>
        <w:rPr>
          <w:color w:val="auto"/>
          <w:spacing w:val="2"/>
          <w:highlight w:val="none"/>
        </w:rPr>
        <w:t>《广西壮族自治区生态功能区划》，桂政办发〔2008〕8号；</w:t>
      </w:r>
    </w:p>
    <w:p w14:paraId="7226BFF4">
      <w:pPr>
        <w:widowControl/>
        <w:numPr>
          <w:ilvl w:val="0"/>
          <w:numId w:val="13"/>
        </w:numPr>
        <w:ind w:firstLine="488"/>
        <w:jc w:val="left"/>
        <w:rPr>
          <w:color w:val="auto"/>
          <w:spacing w:val="2"/>
          <w:highlight w:val="none"/>
        </w:rPr>
      </w:pPr>
      <w:r>
        <w:rPr>
          <w:color w:val="auto"/>
          <w:spacing w:val="2"/>
          <w:highlight w:val="none"/>
        </w:rPr>
        <w:t>《广西生态环境保护“十四五”规划》，桂政办发〔2021〕145号；</w:t>
      </w:r>
    </w:p>
    <w:p w14:paraId="539EE515">
      <w:pPr>
        <w:widowControl/>
        <w:numPr>
          <w:ilvl w:val="0"/>
          <w:numId w:val="13"/>
        </w:numPr>
        <w:ind w:firstLine="488"/>
        <w:jc w:val="left"/>
        <w:rPr>
          <w:color w:val="auto"/>
          <w:spacing w:val="2"/>
          <w:highlight w:val="none"/>
        </w:rPr>
      </w:pPr>
      <w:r>
        <w:rPr>
          <w:color w:val="auto"/>
          <w:spacing w:val="2"/>
          <w:highlight w:val="none"/>
        </w:rPr>
        <w:t>《广西壮族自治区海洋生态环境保护高质量发展“十四五”规划》，桂环发〔2022〕3号，2022年2月；</w:t>
      </w:r>
    </w:p>
    <w:p w14:paraId="11C730C5">
      <w:pPr>
        <w:widowControl/>
        <w:numPr>
          <w:ilvl w:val="0"/>
          <w:numId w:val="13"/>
        </w:numPr>
        <w:ind w:firstLine="488"/>
        <w:jc w:val="left"/>
        <w:rPr>
          <w:color w:val="auto"/>
          <w:spacing w:val="2"/>
          <w:highlight w:val="none"/>
        </w:rPr>
      </w:pPr>
      <w:r>
        <w:rPr>
          <w:color w:val="auto"/>
          <w:spacing w:val="2"/>
          <w:highlight w:val="none"/>
        </w:rPr>
        <w:t>《广西壮族自治区国土空间规划（2021-2035年）》，国函〔2023〕149号；</w:t>
      </w:r>
    </w:p>
    <w:p w14:paraId="21A6BCC0">
      <w:pPr>
        <w:widowControl/>
        <w:numPr>
          <w:ilvl w:val="0"/>
          <w:numId w:val="13"/>
        </w:numPr>
        <w:ind w:firstLine="488"/>
        <w:jc w:val="left"/>
        <w:rPr>
          <w:color w:val="auto"/>
          <w:spacing w:val="2"/>
          <w:highlight w:val="none"/>
        </w:rPr>
      </w:pPr>
      <w:r>
        <w:rPr>
          <w:color w:val="auto"/>
          <w:spacing w:val="2"/>
          <w:highlight w:val="none"/>
        </w:rPr>
        <w:t>《钦州市国土空间总体规划（2021—2035年）》，桂政函〔2024〕17号；</w:t>
      </w:r>
    </w:p>
    <w:p w14:paraId="14A3DAA8">
      <w:pPr>
        <w:widowControl/>
        <w:numPr>
          <w:ilvl w:val="0"/>
          <w:numId w:val="13"/>
        </w:numPr>
        <w:ind w:firstLine="488"/>
        <w:jc w:val="left"/>
        <w:rPr>
          <w:color w:val="auto"/>
          <w:spacing w:val="2"/>
          <w:highlight w:val="none"/>
        </w:rPr>
      </w:pPr>
      <w:r>
        <w:rPr>
          <w:color w:val="auto"/>
          <w:spacing w:val="2"/>
          <w:highlight w:val="none"/>
        </w:rPr>
        <w:t>《北部湾港总体规划（2035年）》，交通运输部、广西壮族自治区人民政府，2024年6月；</w:t>
      </w:r>
    </w:p>
    <w:p w14:paraId="6D082EC1">
      <w:pPr>
        <w:widowControl/>
        <w:numPr>
          <w:ilvl w:val="0"/>
          <w:numId w:val="13"/>
        </w:numPr>
        <w:ind w:firstLine="488"/>
        <w:jc w:val="left"/>
        <w:rPr>
          <w:color w:val="auto"/>
          <w:spacing w:val="2"/>
          <w:highlight w:val="none"/>
          <w:u w:val="single"/>
        </w:rPr>
      </w:pPr>
      <w:r>
        <w:rPr>
          <w:color w:val="auto"/>
          <w:spacing w:val="2"/>
          <w:highlight w:val="none"/>
          <w:u w:val="single"/>
        </w:rPr>
        <w:t>《中国（广西）自由贸易试验区钦州港片区国土空间分区规划（2023-2035年）》</w:t>
      </w:r>
      <w:r>
        <w:rPr>
          <w:rFonts w:hint="eastAsia"/>
          <w:color w:val="auto"/>
          <w:spacing w:val="2"/>
          <w:highlight w:val="none"/>
          <w:u w:val="single"/>
        </w:rPr>
        <w:t>；</w:t>
      </w:r>
    </w:p>
    <w:p w14:paraId="6DF68624">
      <w:pPr>
        <w:widowControl/>
        <w:numPr>
          <w:ilvl w:val="0"/>
          <w:numId w:val="13"/>
        </w:numPr>
        <w:ind w:firstLine="488"/>
        <w:jc w:val="left"/>
        <w:rPr>
          <w:color w:val="auto"/>
          <w:spacing w:val="2"/>
          <w:highlight w:val="none"/>
          <w:u w:val="single"/>
        </w:rPr>
      </w:pPr>
      <w:r>
        <w:rPr>
          <w:color w:val="auto"/>
          <w:spacing w:val="2"/>
          <w:highlight w:val="none"/>
        </w:rPr>
        <w:t>《钦州市海洋生态环境保护“十四五”规划（2021-2025年）》，钦政办〔2022〕34号；</w:t>
      </w:r>
    </w:p>
    <w:p w14:paraId="2584FFCD">
      <w:pPr>
        <w:widowControl/>
        <w:numPr>
          <w:ilvl w:val="0"/>
          <w:numId w:val="13"/>
        </w:numPr>
        <w:ind w:firstLine="488"/>
        <w:jc w:val="left"/>
        <w:rPr>
          <w:color w:val="auto"/>
          <w:spacing w:val="2"/>
          <w:highlight w:val="none"/>
          <w:u w:val="single"/>
        </w:rPr>
      </w:pPr>
      <w:r>
        <w:rPr>
          <w:rFonts w:hint="eastAsia"/>
          <w:color w:val="auto"/>
          <w:spacing w:val="2"/>
          <w:highlight w:val="none"/>
          <w:u w:val="single"/>
        </w:rPr>
        <w:t>《钦州市养殖水域滩涂规划》（2025-2035年）；</w:t>
      </w:r>
    </w:p>
    <w:p w14:paraId="7A562486">
      <w:pPr>
        <w:widowControl/>
        <w:numPr>
          <w:ilvl w:val="0"/>
          <w:numId w:val="13"/>
        </w:numPr>
        <w:ind w:firstLine="488"/>
        <w:jc w:val="left"/>
        <w:rPr>
          <w:color w:val="auto"/>
          <w:spacing w:val="2"/>
          <w:highlight w:val="none"/>
        </w:rPr>
      </w:pPr>
      <w:r>
        <w:rPr>
          <w:color w:val="auto"/>
          <w:spacing w:val="2"/>
          <w:highlight w:val="none"/>
        </w:rPr>
        <w:t>《钦州市中心城区声环境功能区划》，钦政办规〔2023〕11号。</w:t>
      </w:r>
    </w:p>
    <w:p w14:paraId="55C42CB4">
      <w:pPr>
        <w:pStyle w:val="7"/>
        <w:numPr>
          <w:ilvl w:val="2"/>
          <w:numId w:val="9"/>
        </w:numPr>
        <w:rPr>
          <w:color w:val="auto"/>
          <w:sz w:val="28"/>
          <w:highlight w:val="none"/>
        </w:rPr>
      </w:pPr>
      <w:r>
        <w:rPr>
          <w:color w:val="auto"/>
          <w:sz w:val="28"/>
          <w:highlight w:val="none"/>
        </w:rPr>
        <w:t>项目相关技术文件、资料</w:t>
      </w:r>
    </w:p>
    <w:p w14:paraId="61F3D153">
      <w:pPr>
        <w:pStyle w:val="878"/>
        <w:numPr>
          <w:ilvl w:val="0"/>
          <w:numId w:val="14"/>
        </w:numPr>
        <w:ind w:firstLineChars="0"/>
        <w:rPr>
          <w:rFonts w:cs="Times New Roman" w:eastAsiaTheme="minorEastAsia"/>
          <w:color w:val="auto"/>
          <w:sz w:val="24"/>
          <w:szCs w:val="24"/>
          <w:highlight w:val="none"/>
        </w:rPr>
      </w:pPr>
      <w:r>
        <w:rPr>
          <w:rFonts w:cs="Times New Roman" w:eastAsiaTheme="minorEastAsia"/>
          <w:color w:val="auto"/>
          <w:sz w:val="24"/>
          <w:szCs w:val="24"/>
          <w:highlight w:val="none"/>
        </w:rPr>
        <w:t>环评委托书；</w:t>
      </w:r>
    </w:p>
    <w:p w14:paraId="61B2587C">
      <w:pPr>
        <w:pStyle w:val="878"/>
        <w:numPr>
          <w:ilvl w:val="0"/>
          <w:numId w:val="14"/>
        </w:numPr>
        <w:ind w:firstLineChars="0"/>
        <w:rPr>
          <w:rFonts w:cs="Times New Roman" w:eastAsiaTheme="minorEastAsia"/>
          <w:color w:val="auto"/>
          <w:sz w:val="24"/>
          <w:szCs w:val="24"/>
          <w:highlight w:val="none"/>
        </w:rPr>
      </w:pPr>
      <w:r>
        <w:rPr>
          <w:rFonts w:cs="Times New Roman" w:eastAsiaTheme="minorEastAsia"/>
          <w:color w:val="auto"/>
          <w:sz w:val="24"/>
          <w:szCs w:val="24"/>
          <w:highlight w:val="none"/>
        </w:rPr>
        <w:t>项目可行性研究报告；</w:t>
      </w:r>
    </w:p>
    <w:p w14:paraId="11F96624">
      <w:pPr>
        <w:pStyle w:val="878"/>
        <w:numPr>
          <w:ilvl w:val="0"/>
          <w:numId w:val="14"/>
        </w:numPr>
        <w:ind w:firstLineChars="0"/>
        <w:rPr>
          <w:rFonts w:cs="Times New Roman" w:eastAsiaTheme="minorEastAsia"/>
          <w:color w:val="auto"/>
          <w:sz w:val="24"/>
          <w:szCs w:val="24"/>
          <w:highlight w:val="none"/>
        </w:rPr>
      </w:pPr>
      <w:r>
        <w:rPr>
          <w:rFonts w:cs="Times New Roman" w:eastAsiaTheme="minorEastAsia"/>
          <w:color w:val="auto"/>
          <w:sz w:val="24"/>
          <w:szCs w:val="24"/>
          <w:highlight w:val="none"/>
        </w:rPr>
        <w:t>项目备案文件；</w:t>
      </w:r>
    </w:p>
    <w:p w14:paraId="27D0256F">
      <w:pPr>
        <w:pStyle w:val="878"/>
        <w:numPr>
          <w:ilvl w:val="0"/>
          <w:numId w:val="14"/>
        </w:numPr>
        <w:ind w:firstLineChars="0"/>
        <w:rPr>
          <w:rFonts w:cs="Times New Roman" w:eastAsiaTheme="minorEastAsia"/>
          <w:color w:val="auto"/>
          <w:sz w:val="24"/>
          <w:szCs w:val="24"/>
          <w:highlight w:val="none"/>
        </w:rPr>
      </w:pPr>
      <w:r>
        <w:rPr>
          <w:rFonts w:cs="Times New Roman" w:eastAsiaTheme="minorEastAsia"/>
          <w:color w:val="auto"/>
          <w:sz w:val="24"/>
          <w:szCs w:val="24"/>
          <w:highlight w:val="none"/>
        </w:rPr>
        <w:t>其他与项目有关的资料文件</w:t>
      </w:r>
      <w:r>
        <w:rPr>
          <w:rFonts w:hint="eastAsia" w:cs="Times New Roman" w:eastAsiaTheme="minorEastAsia"/>
          <w:color w:val="auto"/>
          <w:sz w:val="24"/>
          <w:szCs w:val="24"/>
          <w:highlight w:val="none"/>
        </w:rPr>
        <w:t>。</w:t>
      </w:r>
    </w:p>
    <w:p w14:paraId="7738C932">
      <w:pPr>
        <w:pStyle w:val="878"/>
        <w:ind w:left="420" w:firstLine="0" w:firstLineChars="0"/>
        <w:rPr>
          <w:rFonts w:cs="Times New Roman" w:eastAsiaTheme="minorEastAsia"/>
          <w:color w:val="auto"/>
          <w:sz w:val="24"/>
          <w:szCs w:val="24"/>
          <w:highlight w:val="none"/>
        </w:rPr>
      </w:pPr>
    </w:p>
    <w:p w14:paraId="588B7401">
      <w:pPr>
        <w:pStyle w:val="6"/>
        <w:numPr>
          <w:ilvl w:val="1"/>
          <w:numId w:val="9"/>
        </w:numPr>
        <w:rPr>
          <w:color w:val="auto"/>
          <w:sz w:val="32"/>
          <w:szCs w:val="32"/>
          <w:highlight w:val="none"/>
        </w:rPr>
      </w:pPr>
      <w:bookmarkStart w:id="50" w:name="_Toc30418"/>
      <w:r>
        <w:rPr>
          <w:color w:val="auto"/>
          <w:sz w:val="32"/>
          <w:szCs w:val="32"/>
          <w:highlight w:val="none"/>
        </w:rPr>
        <w:t>环境影响因素识别和评价因子筛选</w:t>
      </w:r>
      <w:bookmarkEnd w:id="43"/>
      <w:bookmarkEnd w:id="44"/>
      <w:bookmarkEnd w:id="45"/>
      <w:bookmarkEnd w:id="50"/>
    </w:p>
    <w:p w14:paraId="78EE397B">
      <w:pPr>
        <w:pStyle w:val="7"/>
        <w:numPr>
          <w:ilvl w:val="2"/>
          <w:numId w:val="9"/>
        </w:numPr>
        <w:rPr>
          <w:color w:val="auto"/>
          <w:sz w:val="28"/>
          <w:highlight w:val="none"/>
        </w:rPr>
      </w:pPr>
      <w:r>
        <w:rPr>
          <w:color w:val="auto"/>
          <w:sz w:val="28"/>
          <w:highlight w:val="none"/>
        </w:rPr>
        <w:t>环境影响因素识别</w:t>
      </w:r>
    </w:p>
    <w:p w14:paraId="66200BD5">
      <w:pPr>
        <w:ind w:firstLine="480"/>
        <w:rPr>
          <w:rFonts w:eastAsiaTheme="minorEastAsia"/>
          <w:color w:val="auto"/>
          <w:highlight w:val="none"/>
        </w:rPr>
      </w:pPr>
      <w:bookmarkStart w:id="51" w:name="_Toc20743559"/>
      <w:r>
        <w:rPr>
          <w:rFonts w:eastAsiaTheme="minorEastAsia"/>
          <w:color w:val="auto"/>
          <w:highlight w:val="none"/>
        </w:rPr>
        <w:t>根据项目的特点及现场勘查，分析出项目施工期和运营期主要污染</w:t>
      </w:r>
      <w:r>
        <w:rPr>
          <w:rFonts w:hint="eastAsia" w:eastAsiaTheme="minorEastAsia"/>
          <w:color w:val="auto"/>
          <w:highlight w:val="none"/>
          <w:lang w:eastAsia="zh-CN"/>
        </w:rPr>
        <w:t>物</w:t>
      </w:r>
      <w:r>
        <w:rPr>
          <w:rFonts w:eastAsiaTheme="minorEastAsia"/>
          <w:color w:val="auto"/>
          <w:highlight w:val="none"/>
        </w:rPr>
        <w:t>特征及可能对环境造成的影响。根据项目不同阶段主要污染物特征、环境影响性质、环境影响类型及程度，定性分析建设项目对社会、经济、环境各要素可能产生的影响，详见表1.2-1、1.2-2。</w:t>
      </w:r>
    </w:p>
    <w:p w14:paraId="7672D6CC">
      <w:pPr>
        <w:pStyle w:val="7"/>
        <w:numPr>
          <w:ilvl w:val="2"/>
          <w:numId w:val="9"/>
        </w:numPr>
        <w:rPr>
          <w:color w:val="auto"/>
          <w:sz w:val="28"/>
          <w:highlight w:val="none"/>
        </w:rPr>
      </w:pPr>
      <w:r>
        <w:rPr>
          <w:color w:val="auto"/>
          <w:sz w:val="28"/>
          <w:highlight w:val="none"/>
        </w:rPr>
        <w:t>评价因子筛选</w:t>
      </w:r>
      <w:bookmarkEnd w:id="51"/>
    </w:p>
    <w:p w14:paraId="2EA749F2">
      <w:pPr>
        <w:ind w:firstLine="480"/>
        <w:rPr>
          <w:rFonts w:eastAsiaTheme="minorEastAsia"/>
          <w:color w:val="auto"/>
          <w:highlight w:val="none"/>
          <w:lang w:val="en-GB"/>
        </w:rPr>
      </w:pPr>
      <w:bookmarkStart w:id="52" w:name="_Toc33967202"/>
      <w:bookmarkStart w:id="53" w:name="_Toc33967098"/>
      <w:r>
        <w:rPr>
          <w:rFonts w:eastAsiaTheme="minorEastAsia"/>
          <w:color w:val="auto"/>
          <w:highlight w:val="none"/>
          <w:lang w:val="en-GB"/>
        </w:rPr>
        <w:t>根据表1.2-1、1.2-2环境影响因子识别筛选，确定本次评价现状和预测评价因子，结果见表1.2-3。</w:t>
      </w:r>
    </w:p>
    <w:p w14:paraId="62CC89E0">
      <w:pPr>
        <w:pStyle w:val="38"/>
        <w:spacing w:after="0" w:line="240" w:lineRule="auto"/>
        <w:ind w:firstLine="0" w:firstLineChars="0"/>
        <w:jc w:val="center"/>
        <w:rPr>
          <w:b/>
          <w:color w:val="auto"/>
          <w:sz w:val="21"/>
          <w:szCs w:val="21"/>
          <w:highlight w:val="none"/>
        </w:rPr>
      </w:pPr>
    </w:p>
    <w:p w14:paraId="5BD242B8">
      <w:pPr>
        <w:pStyle w:val="38"/>
        <w:spacing w:after="0" w:line="240" w:lineRule="auto"/>
        <w:ind w:firstLine="0" w:firstLineChars="0"/>
        <w:jc w:val="center"/>
        <w:rPr>
          <w:b/>
          <w:color w:val="auto"/>
          <w:sz w:val="21"/>
          <w:szCs w:val="21"/>
          <w:highlight w:val="none"/>
        </w:rPr>
      </w:pPr>
      <w:r>
        <w:rPr>
          <w:b/>
          <w:color w:val="auto"/>
          <w:sz w:val="21"/>
          <w:szCs w:val="21"/>
          <w:highlight w:val="none"/>
        </w:rPr>
        <w:t>表1.2-1  项目建设工程环境影响因子识别表</w:t>
      </w:r>
    </w:p>
    <w:tbl>
      <w:tblPr>
        <w:tblStyle w:val="93"/>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59"/>
        <w:gridCol w:w="1125"/>
        <w:gridCol w:w="2351"/>
        <w:gridCol w:w="2568"/>
        <w:gridCol w:w="912"/>
        <w:gridCol w:w="754"/>
        <w:gridCol w:w="1010"/>
      </w:tblGrid>
      <w:tr w14:paraId="4DD026F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01" w:type="pct"/>
            <w:vAlign w:val="center"/>
          </w:tcPr>
          <w:p w14:paraId="2C567FB6">
            <w:pPr>
              <w:spacing w:line="240" w:lineRule="auto"/>
              <w:ind w:firstLine="0" w:firstLineChars="0"/>
              <w:jc w:val="center"/>
              <w:rPr>
                <w:b/>
                <w:bCs/>
                <w:color w:val="auto"/>
                <w:sz w:val="21"/>
                <w:szCs w:val="21"/>
                <w:highlight w:val="none"/>
              </w:rPr>
            </w:pPr>
            <w:r>
              <w:rPr>
                <w:b/>
                <w:bCs/>
                <w:color w:val="auto"/>
                <w:sz w:val="21"/>
                <w:szCs w:val="21"/>
                <w:highlight w:val="none"/>
              </w:rPr>
              <w:t>阶段</w:t>
            </w:r>
          </w:p>
        </w:tc>
        <w:tc>
          <w:tcPr>
            <w:tcW w:w="606" w:type="pct"/>
            <w:vAlign w:val="center"/>
          </w:tcPr>
          <w:p w14:paraId="0D6E2E0E">
            <w:pPr>
              <w:spacing w:line="240" w:lineRule="auto"/>
              <w:ind w:firstLine="0" w:firstLineChars="0"/>
              <w:jc w:val="center"/>
              <w:rPr>
                <w:b/>
                <w:bCs/>
                <w:color w:val="auto"/>
                <w:sz w:val="21"/>
                <w:szCs w:val="21"/>
                <w:highlight w:val="none"/>
              </w:rPr>
            </w:pPr>
            <w:r>
              <w:rPr>
                <w:b/>
                <w:bCs/>
                <w:color w:val="auto"/>
                <w:sz w:val="21"/>
                <w:szCs w:val="21"/>
                <w:highlight w:val="none"/>
              </w:rPr>
              <w:t>类别</w:t>
            </w:r>
          </w:p>
        </w:tc>
        <w:tc>
          <w:tcPr>
            <w:tcW w:w="1266" w:type="pct"/>
            <w:vAlign w:val="center"/>
          </w:tcPr>
          <w:p w14:paraId="56E986C2">
            <w:pPr>
              <w:spacing w:line="240" w:lineRule="auto"/>
              <w:ind w:firstLine="0" w:firstLineChars="0"/>
              <w:jc w:val="center"/>
              <w:rPr>
                <w:b/>
                <w:bCs/>
                <w:color w:val="auto"/>
                <w:sz w:val="21"/>
                <w:szCs w:val="21"/>
                <w:highlight w:val="none"/>
              </w:rPr>
            </w:pPr>
            <w:r>
              <w:rPr>
                <w:b/>
                <w:bCs/>
                <w:color w:val="auto"/>
                <w:sz w:val="21"/>
                <w:szCs w:val="21"/>
                <w:highlight w:val="none"/>
              </w:rPr>
              <w:t>来源</w:t>
            </w:r>
          </w:p>
        </w:tc>
        <w:tc>
          <w:tcPr>
            <w:tcW w:w="1383" w:type="pct"/>
            <w:vAlign w:val="center"/>
          </w:tcPr>
          <w:p w14:paraId="57E398BE">
            <w:pPr>
              <w:spacing w:line="240" w:lineRule="auto"/>
              <w:ind w:firstLine="0" w:firstLineChars="0"/>
              <w:jc w:val="center"/>
              <w:rPr>
                <w:b/>
                <w:bCs/>
                <w:color w:val="auto"/>
                <w:sz w:val="21"/>
                <w:szCs w:val="21"/>
                <w:highlight w:val="none"/>
              </w:rPr>
            </w:pPr>
            <w:r>
              <w:rPr>
                <w:b/>
                <w:bCs/>
                <w:color w:val="auto"/>
                <w:sz w:val="21"/>
                <w:szCs w:val="21"/>
                <w:highlight w:val="none"/>
              </w:rPr>
              <w:t>主要污染因子</w:t>
            </w:r>
          </w:p>
        </w:tc>
        <w:tc>
          <w:tcPr>
            <w:tcW w:w="491" w:type="pct"/>
            <w:vAlign w:val="center"/>
          </w:tcPr>
          <w:p w14:paraId="516789D0">
            <w:pPr>
              <w:spacing w:line="240" w:lineRule="auto"/>
              <w:ind w:firstLine="0" w:firstLineChars="0"/>
              <w:jc w:val="center"/>
              <w:rPr>
                <w:b/>
                <w:bCs/>
                <w:color w:val="auto"/>
                <w:sz w:val="21"/>
                <w:szCs w:val="21"/>
                <w:highlight w:val="none"/>
              </w:rPr>
            </w:pPr>
            <w:r>
              <w:rPr>
                <w:b/>
                <w:bCs/>
                <w:color w:val="auto"/>
                <w:sz w:val="21"/>
                <w:szCs w:val="21"/>
                <w:highlight w:val="none"/>
              </w:rPr>
              <w:t>排放</w:t>
            </w:r>
          </w:p>
          <w:p w14:paraId="0C1ED3C5">
            <w:pPr>
              <w:spacing w:line="240" w:lineRule="auto"/>
              <w:ind w:firstLine="0" w:firstLineChars="0"/>
              <w:jc w:val="center"/>
              <w:rPr>
                <w:b/>
                <w:bCs/>
                <w:color w:val="auto"/>
                <w:sz w:val="21"/>
                <w:szCs w:val="21"/>
                <w:highlight w:val="none"/>
              </w:rPr>
            </w:pPr>
            <w:r>
              <w:rPr>
                <w:b/>
                <w:bCs/>
                <w:color w:val="auto"/>
                <w:sz w:val="21"/>
                <w:szCs w:val="21"/>
                <w:highlight w:val="none"/>
              </w:rPr>
              <w:t>位置</w:t>
            </w:r>
          </w:p>
        </w:tc>
        <w:tc>
          <w:tcPr>
            <w:tcW w:w="406" w:type="pct"/>
            <w:vAlign w:val="center"/>
          </w:tcPr>
          <w:p w14:paraId="15AEF2ED">
            <w:pPr>
              <w:spacing w:line="240" w:lineRule="auto"/>
              <w:ind w:firstLine="0" w:firstLineChars="0"/>
              <w:jc w:val="center"/>
              <w:rPr>
                <w:b/>
                <w:bCs/>
                <w:color w:val="auto"/>
                <w:sz w:val="21"/>
                <w:szCs w:val="21"/>
                <w:highlight w:val="none"/>
              </w:rPr>
            </w:pPr>
            <w:r>
              <w:rPr>
                <w:b/>
                <w:bCs/>
                <w:color w:val="auto"/>
                <w:sz w:val="21"/>
                <w:szCs w:val="21"/>
                <w:highlight w:val="none"/>
              </w:rPr>
              <w:t>污染程度</w:t>
            </w:r>
          </w:p>
        </w:tc>
        <w:tc>
          <w:tcPr>
            <w:tcW w:w="544" w:type="pct"/>
            <w:vAlign w:val="center"/>
          </w:tcPr>
          <w:p w14:paraId="73AA3713">
            <w:pPr>
              <w:spacing w:line="240" w:lineRule="auto"/>
              <w:ind w:firstLine="0" w:firstLineChars="0"/>
              <w:jc w:val="center"/>
              <w:rPr>
                <w:b/>
                <w:bCs/>
                <w:color w:val="auto"/>
                <w:sz w:val="21"/>
                <w:szCs w:val="21"/>
                <w:highlight w:val="none"/>
              </w:rPr>
            </w:pPr>
            <w:r>
              <w:rPr>
                <w:b/>
                <w:bCs/>
                <w:color w:val="auto"/>
                <w:sz w:val="21"/>
                <w:szCs w:val="21"/>
                <w:highlight w:val="none"/>
              </w:rPr>
              <w:t>污染</w:t>
            </w:r>
          </w:p>
          <w:p w14:paraId="640FD0F5">
            <w:pPr>
              <w:spacing w:line="240" w:lineRule="auto"/>
              <w:ind w:firstLine="0" w:firstLineChars="0"/>
              <w:jc w:val="center"/>
              <w:rPr>
                <w:b/>
                <w:bCs/>
                <w:color w:val="auto"/>
                <w:sz w:val="21"/>
                <w:szCs w:val="21"/>
                <w:highlight w:val="none"/>
              </w:rPr>
            </w:pPr>
            <w:r>
              <w:rPr>
                <w:b/>
                <w:bCs/>
                <w:color w:val="auto"/>
                <w:sz w:val="21"/>
                <w:szCs w:val="21"/>
                <w:highlight w:val="none"/>
              </w:rPr>
              <w:t>特点</w:t>
            </w:r>
          </w:p>
        </w:tc>
      </w:tr>
      <w:tr w14:paraId="5A7F47D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1" w:type="pct"/>
            <w:vMerge w:val="restart"/>
            <w:vAlign w:val="center"/>
          </w:tcPr>
          <w:p w14:paraId="45748589">
            <w:pPr>
              <w:spacing w:line="240" w:lineRule="auto"/>
              <w:ind w:firstLine="0" w:firstLineChars="0"/>
              <w:jc w:val="center"/>
              <w:rPr>
                <w:color w:val="auto"/>
                <w:sz w:val="21"/>
                <w:szCs w:val="21"/>
                <w:highlight w:val="none"/>
              </w:rPr>
            </w:pPr>
            <w:r>
              <w:rPr>
                <w:color w:val="auto"/>
                <w:sz w:val="21"/>
                <w:szCs w:val="21"/>
                <w:highlight w:val="none"/>
              </w:rPr>
              <w:t>施工期</w:t>
            </w:r>
          </w:p>
        </w:tc>
        <w:tc>
          <w:tcPr>
            <w:tcW w:w="606" w:type="pct"/>
            <w:vAlign w:val="center"/>
          </w:tcPr>
          <w:p w14:paraId="2233B981">
            <w:pPr>
              <w:spacing w:line="240" w:lineRule="auto"/>
              <w:ind w:firstLine="0" w:firstLineChars="0"/>
              <w:jc w:val="center"/>
              <w:rPr>
                <w:color w:val="auto"/>
                <w:sz w:val="21"/>
                <w:szCs w:val="21"/>
                <w:highlight w:val="none"/>
              </w:rPr>
            </w:pPr>
            <w:r>
              <w:rPr>
                <w:color w:val="auto"/>
                <w:sz w:val="21"/>
                <w:szCs w:val="21"/>
                <w:highlight w:val="none"/>
              </w:rPr>
              <w:t>生态环境</w:t>
            </w:r>
          </w:p>
        </w:tc>
        <w:tc>
          <w:tcPr>
            <w:tcW w:w="1266" w:type="pct"/>
            <w:vAlign w:val="center"/>
          </w:tcPr>
          <w:p w14:paraId="35605072">
            <w:pPr>
              <w:spacing w:line="240" w:lineRule="auto"/>
              <w:ind w:firstLine="0" w:firstLineChars="0"/>
              <w:jc w:val="center"/>
              <w:rPr>
                <w:color w:val="auto"/>
                <w:sz w:val="21"/>
                <w:szCs w:val="21"/>
                <w:highlight w:val="none"/>
              </w:rPr>
            </w:pPr>
            <w:r>
              <w:rPr>
                <w:color w:val="auto"/>
                <w:sz w:val="21"/>
                <w:szCs w:val="21"/>
                <w:highlight w:val="none"/>
              </w:rPr>
              <w:t>锚块投放</w:t>
            </w:r>
          </w:p>
        </w:tc>
        <w:tc>
          <w:tcPr>
            <w:tcW w:w="1383" w:type="pct"/>
            <w:vAlign w:val="center"/>
          </w:tcPr>
          <w:p w14:paraId="4AFB034D">
            <w:pPr>
              <w:spacing w:line="240" w:lineRule="auto"/>
              <w:ind w:firstLine="0" w:firstLineChars="0"/>
              <w:jc w:val="center"/>
              <w:rPr>
                <w:color w:val="auto"/>
                <w:sz w:val="21"/>
                <w:szCs w:val="21"/>
                <w:highlight w:val="none"/>
              </w:rPr>
            </w:pPr>
            <w:r>
              <w:rPr>
                <w:color w:val="auto"/>
                <w:sz w:val="21"/>
                <w:szCs w:val="21"/>
                <w:highlight w:val="none"/>
              </w:rPr>
              <w:t>SS</w:t>
            </w:r>
          </w:p>
        </w:tc>
        <w:tc>
          <w:tcPr>
            <w:tcW w:w="491" w:type="pct"/>
            <w:vAlign w:val="center"/>
          </w:tcPr>
          <w:p w14:paraId="1ABA6B4E">
            <w:pPr>
              <w:spacing w:line="240" w:lineRule="auto"/>
              <w:ind w:firstLine="0" w:firstLineChars="0"/>
              <w:jc w:val="center"/>
              <w:rPr>
                <w:color w:val="auto"/>
                <w:sz w:val="21"/>
                <w:szCs w:val="21"/>
                <w:highlight w:val="none"/>
              </w:rPr>
            </w:pPr>
            <w:r>
              <w:rPr>
                <w:color w:val="auto"/>
                <w:sz w:val="21"/>
                <w:szCs w:val="21"/>
                <w:highlight w:val="none"/>
              </w:rPr>
              <w:t>施工区</w:t>
            </w:r>
          </w:p>
        </w:tc>
        <w:tc>
          <w:tcPr>
            <w:tcW w:w="406" w:type="pct"/>
            <w:vAlign w:val="center"/>
          </w:tcPr>
          <w:p w14:paraId="7CB34A00">
            <w:pPr>
              <w:spacing w:line="240" w:lineRule="auto"/>
              <w:ind w:firstLine="0" w:firstLineChars="0"/>
              <w:jc w:val="center"/>
              <w:rPr>
                <w:color w:val="auto"/>
                <w:sz w:val="21"/>
                <w:szCs w:val="21"/>
                <w:highlight w:val="none"/>
              </w:rPr>
            </w:pPr>
            <w:r>
              <w:rPr>
                <w:color w:val="auto"/>
                <w:sz w:val="21"/>
                <w:szCs w:val="21"/>
                <w:highlight w:val="none"/>
              </w:rPr>
              <w:t>轻度</w:t>
            </w:r>
          </w:p>
        </w:tc>
        <w:tc>
          <w:tcPr>
            <w:tcW w:w="544" w:type="pct"/>
            <w:vAlign w:val="center"/>
          </w:tcPr>
          <w:p w14:paraId="052AEAD3">
            <w:pPr>
              <w:spacing w:line="240" w:lineRule="auto"/>
              <w:ind w:firstLine="0" w:firstLineChars="0"/>
              <w:jc w:val="center"/>
              <w:rPr>
                <w:color w:val="auto"/>
                <w:sz w:val="21"/>
                <w:szCs w:val="21"/>
                <w:highlight w:val="none"/>
              </w:rPr>
            </w:pPr>
            <w:r>
              <w:rPr>
                <w:color w:val="auto"/>
                <w:sz w:val="21"/>
                <w:szCs w:val="21"/>
                <w:highlight w:val="none"/>
              </w:rPr>
              <w:t>间断性</w:t>
            </w:r>
          </w:p>
        </w:tc>
      </w:tr>
      <w:tr w14:paraId="6A104E5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1" w:type="pct"/>
            <w:vMerge w:val="continue"/>
            <w:vAlign w:val="center"/>
          </w:tcPr>
          <w:p w14:paraId="5FF3DCDE">
            <w:pPr>
              <w:spacing w:line="240" w:lineRule="auto"/>
              <w:ind w:firstLine="0" w:firstLineChars="0"/>
              <w:jc w:val="center"/>
              <w:rPr>
                <w:color w:val="auto"/>
                <w:sz w:val="21"/>
                <w:szCs w:val="21"/>
                <w:highlight w:val="none"/>
              </w:rPr>
            </w:pPr>
          </w:p>
        </w:tc>
        <w:tc>
          <w:tcPr>
            <w:tcW w:w="606" w:type="pct"/>
            <w:vAlign w:val="center"/>
          </w:tcPr>
          <w:p w14:paraId="296D21B8">
            <w:pPr>
              <w:spacing w:line="240" w:lineRule="auto"/>
              <w:ind w:firstLine="0" w:firstLineChars="0"/>
              <w:jc w:val="center"/>
              <w:rPr>
                <w:color w:val="auto"/>
                <w:sz w:val="21"/>
                <w:szCs w:val="21"/>
                <w:highlight w:val="none"/>
              </w:rPr>
            </w:pPr>
            <w:r>
              <w:rPr>
                <w:color w:val="auto"/>
                <w:sz w:val="21"/>
                <w:szCs w:val="21"/>
                <w:highlight w:val="none"/>
              </w:rPr>
              <w:t>声环境</w:t>
            </w:r>
          </w:p>
        </w:tc>
        <w:tc>
          <w:tcPr>
            <w:tcW w:w="1266" w:type="pct"/>
            <w:vAlign w:val="center"/>
          </w:tcPr>
          <w:p w14:paraId="5AB346FD">
            <w:pPr>
              <w:spacing w:line="240" w:lineRule="auto"/>
              <w:ind w:firstLine="0" w:firstLineChars="0"/>
              <w:jc w:val="center"/>
              <w:rPr>
                <w:color w:val="auto"/>
                <w:sz w:val="21"/>
                <w:szCs w:val="21"/>
                <w:highlight w:val="none"/>
              </w:rPr>
            </w:pPr>
            <w:r>
              <w:rPr>
                <w:color w:val="auto"/>
                <w:sz w:val="21"/>
                <w:szCs w:val="21"/>
                <w:highlight w:val="none"/>
              </w:rPr>
              <w:t>运输车辆、施工机械</w:t>
            </w:r>
          </w:p>
        </w:tc>
        <w:tc>
          <w:tcPr>
            <w:tcW w:w="1383" w:type="pct"/>
            <w:vAlign w:val="center"/>
          </w:tcPr>
          <w:p w14:paraId="2AB74C20">
            <w:pPr>
              <w:spacing w:line="240" w:lineRule="auto"/>
              <w:ind w:firstLine="0" w:firstLineChars="0"/>
              <w:jc w:val="center"/>
              <w:rPr>
                <w:color w:val="auto"/>
                <w:sz w:val="21"/>
                <w:szCs w:val="21"/>
                <w:highlight w:val="none"/>
              </w:rPr>
            </w:pPr>
            <w:r>
              <w:rPr>
                <w:color w:val="auto"/>
                <w:sz w:val="21"/>
                <w:szCs w:val="21"/>
                <w:highlight w:val="none"/>
              </w:rPr>
              <w:t>噪声</w:t>
            </w:r>
          </w:p>
        </w:tc>
        <w:tc>
          <w:tcPr>
            <w:tcW w:w="491" w:type="pct"/>
            <w:vAlign w:val="center"/>
          </w:tcPr>
          <w:p w14:paraId="54F036E6">
            <w:pPr>
              <w:spacing w:line="240" w:lineRule="auto"/>
              <w:ind w:firstLine="0" w:firstLineChars="0"/>
              <w:jc w:val="center"/>
              <w:rPr>
                <w:color w:val="auto"/>
                <w:sz w:val="21"/>
                <w:szCs w:val="21"/>
                <w:highlight w:val="none"/>
              </w:rPr>
            </w:pPr>
            <w:r>
              <w:rPr>
                <w:color w:val="auto"/>
                <w:sz w:val="21"/>
                <w:szCs w:val="21"/>
                <w:highlight w:val="none"/>
              </w:rPr>
              <w:t>施工区</w:t>
            </w:r>
          </w:p>
        </w:tc>
        <w:tc>
          <w:tcPr>
            <w:tcW w:w="406" w:type="pct"/>
            <w:vAlign w:val="center"/>
          </w:tcPr>
          <w:p w14:paraId="1E76F624">
            <w:pPr>
              <w:spacing w:line="240" w:lineRule="auto"/>
              <w:ind w:firstLine="0" w:firstLineChars="0"/>
              <w:jc w:val="center"/>
              <w:rPr>
                <w:color w:val="auto"/>
                <w:sz w:val="21"/>
                <w:szCs w:val="21"/>
                <w:highlight w:val="none"/>
              </w:rPr>
            </w:pPr>
            <w:r>
              <w:rPr>
                <w:color w:val="auto"/>
                <w:sz w:val="21"/>
                <w:szCs w:val="21"/>
                <w:highlight w:val="none"/>
              </w:rPr>
              <w:t>中等</w:t>
            </w:r>
          </w:p>
        </w:tc>
        <w:tc>
          <w:tcPr>
            <w:tcW w:w="544" w:type="pct"/>
            <w:vAlign w:val="center"/>
          </w:tcPr>
          <w:p w14:paraId="54CD7BB9">
            <w:pPr>
              <w:spacing w:line="240" w:lineRule="auto"/>
              <w:ind w:firstLine="0" w:firstLineChars="0"/>
              <w:jc w:val="center"/>
              <w:rPr>
                <w:color w:val="auto"/>
                <w:sz w:val="21"/>
                <w:szCs w:val="21"/>
                <w:highlight w:val="none"/>
              </w:rPr>
            </w:pPr>
            <w:r>
              <w:rPr>
                <w:color w:val="auto"/>
                <w:sz w:val="21"/>
                <w:szCs w:val="21"/>
                <w:highlight w:val="none"/>
              </w:rPr>
              <w:t>间断性</w:t>
            </w:r>
          </w:p>
        </w:tc>
      </w:tr>
      <w:tr w14:paraId="5FADA4D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1" w:type="pct"/>
            <w:vMerge w:val="continue"/>
            <w:vAlign w:val="center"/>
          </w:tcPr>
          <w:p w14:paraId="0E9A02D3">
            <w:pPr>
              <w:spacing w:line="240" w:lineRule="auto"/>
              <w:ind w:firstLine="0" w:firstLineChars="0"/>
              <w:jc w:val="center"/>
              <w:rPr>
                <w:color w:val="auto"/>
                <w:sz w:val="21"/>
                <w:szCs w:val="21"/>
                <w:highlight w:val="none"/>
              </w:rPr>
            </w:pPr>
          </w:p>
        </w:tc>
        <w:tc>
          <w:tcPr>
            <w:tcW w:w="606" w:type="pct"/>
            <w:vAlign w:val="center"/>
          </w:tcPr>
          <w:p w14:paraId="456B1A5D">
            <w:pPr>
              <w:spacing w:line="240" w:lineRule="auto"/>
              <w:ind w:firstLine="0" w:firstLineChars="0"/>
              <w:jc w:val="center"/>
              <w:rPr>
                <w:color w:val="auto"/>
                <w:sz w:val="21"/>
                <w:szCs w:val="21"/>
                <w:highlight w:val="none"/>
              </w:rPr>
            </w:pPr>
            <w:r>
              <w:rPr>
                <w:color w:val="auto"/>
                <w:sz w:val="21"/>
                <w:szCs w:val="21"/>
                <w:highlight w:val="none"/>
              </w:rPr>
              <w:t>环境空气</w:t>
            </w:r>
          </w:p>
        </w:tc>
        <w:tc>
          <w:tcPr>
            <w:tcW w:w="1266" w:type="pct"/>
            <w:vAlign w:val="center"/>
          </w:tcPr>
          <w:p w14:paraId="38DF4717">
            <w:pPr>
              <w:spacing w:line="240" w:lineRule="auto"/>
              <w:ind w:firstLine="0" w:firstLineChars="0"/>
              <w:jc w:val="center"/>
              <w:rPr>
                <w:color w:val="auto"/>
                <w:sz w:val="21"/>
                <w:szCs w:val="21"/>
                <w:highlight w:val="none"/>
              </w:rPr>
            </w:pPr>
            <w:r>
              <w:rPr>
                <w:color w:val="auto"/>
                <w:sz w:val="21"/>
                <w:szCs w:val="21"/>
                <w:highlight w:val="none"/>
              </w:rPr>
              <w:t>焊接烟尘、施工扬尘、运输扬尘、道路运输车辆及机械尾气</w:t>
            </w:r>
          </w:p>
        </w:tc>
        <w:tc>
          <w:tcPr>
            <w:tcW w:w="1383" w:type="pct"/>
            <w:vAlign w:val="center"/>
          </w:tcPr>
          <w:p w14:paraId="68B70702">
            <w:pPr>
              <w:spacing w:line="240" w:lineRule="auto"/>
              <w:ind w:firstLine="0" w:firstLineChars="0"/>
              <w:jc w:val="center"/>
              <w:rPr>
                <w:color w:val="auto"/>
                <w:sz w:val="21"/>
                <w:szCs w:val="21"/>
                <w:highlight w:val="none"/>
              </w:rPr>
            </w:pPr>
            <w:r>
              <w:rPr>
                <w:color w:val="auto"/>
                <w:sz w:val="21"/>
                <w:szCs w:val="21"/>
                <w:highlight w:val="none"/>
              </w:rPr>
              <w:t>TSP、NO</w:t>
            </w:r>
            <w:r>
              <w:rPr>
                <w:color w:val="auto"/>
                <w:sz w:val="21"/>
                <w:szCs w:val="21"/>
                <w:highlight w:val="none"/>
                <w:vertAlign w:val="subscript"/>
              </w:rPr>
              <w:t>X</w:t>
            </w:r>
            <w:r>
              <w:rPr>
                <w:color w:val="auto"/>
                <w:sz w:val="21"/>
                <w:szCs w:val="21"/>
                <w:highlight w:val="none"/>
              </w:rPr>
              <w:t>、CO等</w:t>
            </w:r>
          </w:p>
        </w:tc>
        <w:tc>
          <w:tcPr>
            <w:tcW w:w="491" w:type="pct"/>
            <w:vAlign w:val="center"/>
          </w:tcPr>
          <w:p w14:paraId="5094C6C5">
            <w:pPr>
              <w:spacing w:line="240" w:lineRule="auto"/>
              <w:ind w:firstLine="0" w:firstLineChars="0"/>
              <w:jc w:val="center"/>
              <w:rPr>
                <w:color w:val="auto"/>
                <w:sz w:val="21"/>
                <w:szCs w:val="21"/>
                <w:highlight w:val="none"/>
              </w:rPr>
            </w:pPr>
            <w:r>
              <w:rPr>
                <w:color w:val="auto"/>
                <w:sz w:val="21"/>
                <w:szCs w:val="21"/>
                <w:highlight w:val="none"/>
              </w:rPr>
              <w:t>施工区</w:t>
            </w:r>
          </w:p>
        </w:tc>
        <w:tc>
          <w:tcPr>
            <w:tcW w:w="406" w:type="pct"/>
            <w:vAlign w:val="center"/>
          </w:tcPr>
          <w:p w14:paraId="769A54BF">
            <w:pPr>
              <w:spacing w:line="240" w:lineRule="auto"/>
              <w:ind w:firstLine="0" w:firstLineChars="0"/>
              <w:jc w:val="center"/>
              <w:rPr>
                <w:color w:val="auto"/>
                <w:sz w:val="21"/>
                <w:szCs w:val="21"/>
                <w:highlight w:val="none"/>
              </w:rPr>
            </w:pPr>
            <w:r>
              <w:rPr>
                <w:color w:val="auto"/>
                <w:sz w:val="21"/>
                <w:szCs w:val="21"/>
                <w:highlight w:val="none"/>
              </w:rPr>
              <w:t>轻度</w:t>
            </w:r>
          </w:p>
        </w:tc>
        <w:tc>
          <w:tcPr>
            <w:tcW w:w="544" w:type="pct"/>
            <w:vAlign w:val="center"/>
          </w:tcPr>
          <w:p w14:paraId="19B213C8">
            <w:pPr>
              <w:spacing w:line="240" w:lineRule="auto"/>
              <w:ind w:firstLine="0" w:firstLineChars="0"/>
              <w:jc w:val="center"/>
              <w:rPr>
                <w:color w:val="auto"/>
                <w:sz w:val="21"/>
                <w:szCs w:val="21"/>
                <w:highlight w:val="none"/>
              </w:rPr>
            </w:pPr>
            <w:r>
              <w:rPr>
                <w:color w:val="auto"/>
                <w:sz w:val="21"/>
                <w:szCs w:val="21"/>
                <w:highlight w:val="none"/>
              </w:rPr>
              <w:t>间断性</w:t>
            </w:r>
          </w:p>
        </w:tc>
      </w:tr>
      <w:tr w14:paraId="48CED51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1" w:type="pct"/>
            <w:vMerge w:val="continue"/>
            <w:vAlign w:val="center"/>
          </w:tcPr>
          <w:p w14:paraId="2398B281">
            <w:pPr>
              <w:spacing w:line="240" w:lineRule="auto"/>
              <w:ind w:firstLine="0" w:firstLineChars="0"/>
              <w:jc w:val="center"/>
              <w:rPr>
                <w:color w:val="auto"/>
                <w:sz w:val="21"/>
                <w:szCs w:val="21"/>
                <w:highlight w:val="none"/>
              </w:rPr>
            </w:pPr>
          </w:p>
        </w:tc>
        <w:tc>
          <w:tcPr>
            <w:tcW w:w="606" w:type="pct"/>
            <w:vAlign w:val="center"/>
          </w:tcPr>
          <w:p w14:paraId="3404CAC4">
            <w:pPr>
              <w:spacing w:line="240" w:lineRule="auto"/>
              <w:ind w:firstLine="0" w:firstLineChars="0"/>
              <w:jc w:val="center"/>
              <w:rPr>
                <w:color w:val="auto"/>
                <w:sz w:val="21"/>
                <w:szCs w:val="21"/>
                <w:highlight w:val="none"/>
              </w:rPr>
            </w:pPr>
            <w:r>
              <w:rPr>
                <w:color w:val="auto"/>
                <w:sz w:val="21"/>
                <w:szCs w:val="21"/>
                <w:highlight w:val="none"/>
              </w:rPr>
              <w:t>水环境</w:t>
            </w:r>
          </w:p>
        </w:tc>
        <w:tc>
          <w:tcPr>
            <w:tcW w:w="1266" w:type="pct"/>
            <w:vAlign w:val="center"/>
          </w:tcPr>
          <w:p w14:paraId="36E39B1E">
            <w:pPr>
              <w:spacing w:line="240" w:lineRule="auto"/>
              <w:ind w:firstLine="0" w:firstLineChars="0"/>
              <w:jc w:val="center"/>
              <w:rPr>
                <w:color w:val="auto"/>
                <w:sz w:val="21"/>
                <w:szCs w:val="21"/>
                <w:highlight w:val="none"/>
              </w:rPr>
            </w:pPr>
            <w:r>
              <w:rPr>
                <w:color w:val="auto"/>
                <w:sz w:val="21"/>
                <w:szCs w:val="21"/>
                <w:highlight w:val="none"/>
              </w:rPr>
              <w:t>生活污水</w:t>
            </w:r>
          </w:p>
        </w:tc>
        <w:tc>
          <w:tcPr>
            <w:tcW w:w="1383" w:type="pct"/>
            <w:vAlign w:val="center"/>
          </w:tcPr>
          <w:p w14:paraId="54C2A68A">
            <w:pPr>
              <w:spacing w:line="240" w:lineRule="auto"/>
              <w:ind w:firstLine="0" w:firstLineChars="0"/>
              <w:jc w:val="center"/>
              <w:rPr>
                <w:color w:val="auto"/>
                <w:sz w:val="21"/>
                <w:szCs w:val="21"/>
                <w:highlight w:val="none"/>
              </w:rPr>
            </w:pPr>
            <w:r>
              <w:rPr>
                <w:color w:val="auto"/>
                <w:sz w:val="21"/>
                <w:szCs w:val="21"/>
                <w:highlight w:val="none"/>
              </w:rPr>
              <w:t>BOD</w:t>
            </w:r>
            <w:r>
              <w:rPr>
                <w:color w:val="auto"/>
                <w:sz w:val="21"/>
                <w:szCs w:val="21"/>
                <w:highlight w:val="none"/>
                <w:vertAlign w:val="subscript"/>
              </w:rPr>
              <w:t>5</w:t>
            </w:r>
            <w:r>
              <w:rPr>
                <w:color w:val="auto"/>
                <w:sz w:val="21"/>
                <w:szCs w:val="21"/>
                <w:highlight w:val="none"/>
              </w:rPr>
              <w:t>、COD、SS、NH</w:t>
            </w:r>
            <w:r>
              <w:rPr>
                <w:color w:val="auto"/>
                <w:sz w:val="21"/>
                <w:szCs w:val="21"/>
                <w:highlight w:val="none"/>
                <w:vertAlign w:val="subscript"/>
              </w:rPr>
              <w:t>3</w:t>
            </w:r>
            <w:r>
              <w:rPr>
                <w:color w:val="auto"/>
                <w:sz w:val="21"/>
                <w:szCs w:val="21"/>
                <w:highlight w:val="none"/>
              </w:rPr>
              <w:t>-N、石油类</w:t>
            </w:r>
          </w:p>
        </w:tc>
        <w:tc>
          <w:tcPr>
            <w:tcW w:w="491" w:type="pct"/>
            <w:vAlign w:val="center"/>
          </w:tcPr>
          <w:p w14:paraId="4A7BD167">
            <w:pPr>
              <w:spacing w:line="240" w:lineRule="auto"/>
              <w:ind w:firstLine="0" w:firstLineChars="0"/>
              <w:jc w:val="center"/>
              <w:rPr>
                <w:color w:val="auto"/>
                <w:sz w:val="21"/>
                <w:szCs w:val="21"/>
                <w:highlight w:val="none"/>
              </w:rPr>
            </w:pPr>
            <w:r>
              <w:rPr>
                <w:color w:val="auto"/>
                <w:sz w:val="21"/>
                <w:szCs w:val="21"/>
                <w:highlight w:val="none"/>
              </w:rPr>
              <w:t>施工区</w:t>
            </w:r>
          </w:p>
        </w:tc>
        <w:tc>
          <w:tcPr>
            <w:tcW w:w="406" w:type="pct"/>
            <w:vAlign w:val="center"/>
          </w:tcPr>
          <w:p w14:paraId="0B1D2B05">
            <w:pPr>
              <w:spacing w:line="240" w:lineRule="auto"/>
              <w:ind w:firstLine="0" w:firstLineChars="0"/>
              <w:jc w:val="center"/>
              <w:rPr>
                <w:color w:val="auto"/>
                <w:sz w:val="21"/>
                <w:szCs w:val="21"/>
                <w:highlight w:val="none"/>
              </w:rPr>
            </w:pPr>
            <w:r>
              <w:rPr>
                <w:color w:val="auto"/>
                <w:sz w:val="21"/>
                <w:szCs w:val="21"/>
                <w:highlight w:val="none"/>
              </w:rPr>
              <w:t>轻度</w:t>
            </w:r>
          </w:p>
        </w:tc>
        <w:tc>
          <w:tcPr>
            <w:tcW w:w="544" w:type="pct"/>
            <w:vAlign w:val="center"/>
          </w:tcPr>
          <w:p w14:paraId="7908270B">
            <w:pPr>
              <w:spacing w:line="240" w:lineRule="auto"/>
              <w:ind w:firstLine="0" w:firstLineChars="0"/>
              <w:jc w:val="center"/>
              <w:rPr>
                <w:color w:val="auto"/>
                <w:sz w:val="21"/>
                <w:szCs w:val="21"/>
                <w:highlight w:val="none"/>
              </w:rPr>
            </w:pPr>
            <w:r>
              <w:rPr>
                <w:color w:val="auto"/>
                <w:sz w:val="21"/>
                <w:szCs w:val="21"/>
                <w:highlight w:val="none"/>
              </w:rPr>
              <w:t>间断性</w:t>
            </w:r>
          </w:p>
        </w:tc>
      </w:tr>
      <w:tr w14:paraId="26C710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1" w:type="pct"/>
            <w:vMerge w:val="continue"/>
            <w:vAlign w:val="center"/>
          </w:tcPr>
          <w:p w14:paraId="41D1DC8D">
            <w:pPr>
              <w:spacing w:line="240" w:lineRule="auto"/>
              <w:ind w:firstLine="0" w:firstLineChars="0"/>
              <w:jc w:val="center"/>
              <w:rPr>
                <w:color w:val="auto"/>
                <w:sz w:val="21"/>
                <w:szCs w:val="21"/>
                <w:highlight w:val="none"/>
              </w:rPr>
            </w:pPr>
          </w:p>
        </w:tc>
        <w:tc>
          <w:tcPr>
            <w:tcW w:w="606" w:type="pct"/>
            <w:vMerge w:val="restart"/>
            <w:vAlign w:val="center"/>
          </w:tcPr>
          <w:p w14:paraId="2B06D71B">
            <w:pPr>
              <w:spacing w:line="240" w:lineRule="auto"/>
              <w:ind w:firstLine="0" w:firstLineChars="0"/>
              <w:jc w:val="center"/>
              <w:rPr>
                <w:color w:val="auto"/>
                <w:sz w:val="21"/>
                <w:szCs w:val="21"/>
                <w:highlight w:val="none"/>
              </w:rPr>
            </w:pPr>
            <w:r>
              <w:rPr>
                <w:color w:val="auto"/>
                <w:sz w:val="21"/>
                <w:szCs w:val="21"/>
                <w:highlight w:val="none"/>
              </w:rPr>
              <w:t>固体</w:t>
            </w:r>
          </w:p>
          <w:p w14:paraId="4076DE08">
            <w:pPr>
              <w:spacing w:line="240" w:lineRule="auto"/>
              <w:ind w:firstLine="0" w:firstLineChars="0"/>
              <w:jc w:val="center"/>
              <w:rPr>
                <w:color w:val="auto"/>
                <w:sz w:val="21"/>
                <w:szCs w:val="21"/>
                <w:highlight w:val="none"/>
              </w:rPr>
            </w:pPr>
            <w:r>
              <w:rPr>
                <w:color w:val="auto"/>
                <w:sz w:val="21"/>
                <w:szCs w:val="21"/>
                <w:highlight w:val="none"/>
              </w:rPr>
              <w:t>废物</w:t>
            </w:r>
          </w:p>
        </w:tc>
        <w:tc>
          <w:tcPr>
            <w:tcW w:w="1266" w:type="pct"/>
            <w:vAlign w:val="center"/>
          </w:tcPr>
          <w:p w14:paraId="2B30ADBA">
            <w:pPr>
              <w:spacing w:line="240" w:lineRule="auto"/>
              <w:ind w:firstLine="0" w:firstLineChars="0"/>
              <w:jc w:val="center"/>
              <w:rPr>
                <w:color w:val="auto"/>
                <w:sz w:val="21"/>
                <w:szCs w:val="21"/>
                <w:highlight w:val="none"/>
              </w:rPr>
            </w:pPr>
            <w:r>
              <w:rPr>
                <w:color w:val="auto"/>
                <w:sz w:val="21"/>
                <w:szCs w:val="21"/>
                <w:highlight w:val="none"/>
              </w:rPr>
              <w:t>生活垃圾</w:t>
            </w:r>
          </w:p>
        </w:tc>
        <w:tc>
          <w:tcPr>
            <w:tcW w:w="1383" w:type="pct"/>
            <w:vAlign w:val="center"/>
          </w:tcPr>
          <w:p w14:paraId="058583BA">
            <w:pPr>
              <w:spacing w:line="240" w:lineRule="auto"/>
              <w:ind w:firstLine="0" w:firstLineChars="0"/>
              <w:jc w:val="center"/>
              <w:rPr>
                <w:color w:val="auto"/>
                <w:sz w:val="21"/>
                <w:szCs w:val="21"/>
                <w:highlight w:val="none"/>
              </w:rPr>
            </w:pPr>
            <w:r>
              <w:rPr>
                <w:color w:val="auto"/>
                <w:sz w:val="21"/>
                <w:szCs w:val="21"/>
                <w:highlight w:val="none"/>
              </w:rPr>
              <w:t>包装袋、废纸等</w:t>
            </w:r>
          </w:p>
        </w:tc>
        <w:tc>
          <w:tcPr>
            <w:tcW w:w="491" w:type="pct"/>
            <w:vMerge w:val="restart"/>
            <w:vAlign w:val="center"/>
          </w:tcPr>
          <w:p w14:paraId="6E1B3129">
            <w:pPr>
              <w:spacing w:line="240" w:lineRule="auto"/>
              <w:ind w:firstLine="0" w:firstLineChars="0"/>
              <w:jc w:val="center"/>
              <w:rPr>
                <w:color w:val="auto"/>
                <w:sz w:val="21"/>
                <w:szCs w:val="21"/>
                <w:highlight w:val="none"/>
              </w:rPr>
            </w:pPr>
            <w:r>
              <w:rPr>
                <w:color w:val="auto"/>
                <w:sz w:val="21"/>
                <w:szCs w:val="21"/>
                <w:highlight w:val="none"/>
              </w:rPr>
              <w:t>施工区</w:t>
            </w:r>
          </w:p>
        </w:tc>
        <w:tc>
          <w:tcPr>
            <w:tcW w:w="406" w:type="pct"/>
            <w:vMerge w:val="restart"/>
            <w:vAlign w:val="center"/>
          </w:tcPr>
          <w:p w14:paraId="2439F3BF">
            <w:pPr>
              <w:spacing w:line="240" w:lineRule="auto"/>
              <w:ind w:firstLine="0" w:firstLineChars="0"/>
              <w:jc w:val="center"/>
              <w:rPr>
                <w:color w:val="auto"/>
                <w:sz w:val="21"/>
                <w:szCs w:val="21"/>
                <w:highlight w:val="none"/>
              </w:rPr>
            </w:pPr>
            <w:r>
              <w:rPr>
                <w:color w:val="auto"/>
                <w:sz w:val="21"/>
                <w:szCs w:val="21"/>
                <w:highlight w:val="none"/>
              </w:rPr>
              <w:t>轻度</w:t>
            </w:r>
          </w:p>
        </w:tc>
        <w:tc>
          <w:tcPr>
            <w:tcW w:w="544" w:type="pct"/>
            <w:vAlign w:val="center"/>
          </w:tcPr>
          <w:p w14:paraId="5E48B7FB">
            <w:pPr>
              <w:spacing w:line="240" w:lineRule="auto"/>
              <w:ind w:firstLine="0" w:firstLineChars="0"/>
              <w:jc w:val="center"/>
              <w:rPr>
                <w:color w:val="auto"/>
                <w:sz w:val="21"/>
                <w:szCs w:val="21"/>
                <w:highlight w:val="none"/>
              </w:rPr>
            </w:pPr>
            <w:r>
              <w:rPr>
                <w:color w:val="auto"/>
                <w:sz w:val="21"/>
                <w:szCs w:val="21"/>
                <w:highlight w:val="none"/>
              </w:rPr>
              <w:t>间断性</w:t>
            </w:r>
          </w:p>
        </w:tc>
      </w:tr>
      <w:tr w14:paraId="5952C4B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1" w:type="pct"/>
            <w:vMerge w:val="continue"/>
            <w:vAlign w:val="center"/>
          </w:tcPr>
          <w:p w14:paraId="3DE2CC71">
            <w:pPr>
              <w:spacing w:line="240" w:lineRule="auto"/>
              <w:ind w:firstLine="0" w:firstLineChars="0"/>
              <w:jc w:val="center"/>
              <w:rPr>
                <w:color w:val="auto"/>
                <w:sz w:val="21"/>
                <w:szCs w:val="21"/>
                <w:highlight w:val="none"/>
              </w:rPr>
            </w:pPr>
          </w:p>
        </w:tc>
        <w:tc>
          <w:tcPr>
            <w:tcW w:w="606" w:type="pct"/>
            <w:vMerge w:val="continue"/>
            <w:vAlign w:val="center"/>
          </w:tcPr>
          <w:p w14:paraId="40C9D66E">
            <w:pPr>
              <w:spacing w:line="240" w:lineRule="auto"/>
              <w:ind w:firstLine="0" w:firstLineChars="0"/>
              <w:jc w:val="center"/>
              <w:rPr>
                <w:color w:val="auto"/>
                <w:sz w:val="21"/>
                <w:szCs w:val="21"/>
                <w:highlight w:val="none"/>
              </w:rPr>
            </w:pPr>
          </w:p>
        </w:tc>
        <w:tc>
          <w:tcPr>
            <w:tcW w:w="1266" w:type="pct"/>
            <w:vAlign w:val="center"/>
          </w:tcPr>
          <w:p w14:paraId="1A340976">
            <w:pPr>
              <w:spacing w:line="240" w:lineRule="auto"/>
              <w:ind w:firstLine="0" w:firstLineChars="0"/>
              <w:jc w:val="center"/>
              <w:rPr>
                <w:color w:val="auto"/>
                <w:sz w:val="21"/>
                <w:szCs w:val="21"/>
                <w:highlight w:val="none"/>
              </w:rPr>
            </w:pPr>
            <w:r>
              <w:rPr>
                <w:color w:val="auto"/>
                <w:sz w:val="21"/>
                <w:szCs w:val="21"/>
                <w:highlight w:val="none"/>
              </w:rPr>
              <w:t>建筑垃圾</w:t>
            </w:r>
          </w:p>
        </w:tc>
        <w:tc>
          <w:tcPr>
            <w:tcW w:w="1383" w:type="pct"/>
            <w:vAlign w:val="center"/>
          </w:tcPr>
          <w:p w14:paraId="595BC2FE">
            <w:pPr>
              <w:spacing w:line="240" w:lineRule="auto"/>
              <w:ind w:firstLine="0" w:firstLineChars="0"/>
              <w:jc w:val="center"/>
              <w:rPr>
                <w:color w:val="auto"/>
                <w:sz w:val="21"/>
                <w:szCs w:val="21"/>
                <w:highlight w:val="none"/>
              </w:rPr>
            </w:pPr>
            <w:r>
              <w:rPr>
                <w:color w:val="auto"/>
                <w:sz w:val="21"/>
                <w:szCs w:val="21"/>
                <w:highlight w:val="none"/>
              </w:rPr>
              <w:t>建筑废渣等</w:t>
            </w:r>
          </w:p>
        </w:tc>
        <w:tc>
          <w:tcPr>
            <w:tcW w:w="491" w:type="pct"/>
            <w:vMerge w:val="continue"/>
            <w:vAlign w:val="center"/>
          </w:tcPr>
          <w:p w14:paraId="30545CEC">
            <w:pPr>
              <w:spacing w:line="240" w:lineRule="auto"/>
              <w:ind w:firstLine="0" w:firstLineChars="0"/>
              <w:jc w:val="center"/>
              <w:rPr>
                <w:color w:val="auto"/>
                <w:sz w:val="21"/>
                <w:szCs w:val="21"/>
                <w:highlight w:val="none"/>
              </w:rPr>
            </w:pPr>
          </w:p>
        </w:tc>
        <w:tc>
          <w:tcPr>
            <w:tcW w:w="406" w:type="pct"/>
            <w:vMerge w:val="continue"/>
            <w:vAlign w:val="center"/>
          </w:tcPr>
          <w:p w14:paraId="2F7D8AA0">
            <w:pPr>
              <w:spacing w:line="240" w:lineRule="auto"/>
              <w:ind w:firstLine="0" w:firstLineChars="0"/>
              <w:jc w:val="center"/>
              <w:rPr>
                <w:color w:val="auto"/>
                <w:sz w:val="21"/>
                <w:szCs w:val="21"/>
                <w:highlight w:val="none"/>
              </w:rPr>
            </w:pPr>
          </w:p>
        </w:tc>
        <w:tc>
          <w:tcPr>
            <w:tcW w:w="544" w:type="pct"/>
            <w:vAlign w:val="center"/>
          </w:tcPr>
          <w:p w14:paraId="7E3BDB23">
            <w:pPr>
              <w:spacing w:line="240" w:lineRule="auto"/>
              <w:ind w:firstLine="0" w:firstLineChars="0"/>
              <w:jc w:val="center"/>
              <w:rPr>
                <w:color w:val="auto"/>
                <w:sz w:val="21"/>
                <w:szCs w:val="21"/>
                <w:highlight w:val="none"/>
              </w:rPr>
            </w:pPr>
            <w:r>
              <w:rPr>
                <w:color w:val="auto"/>
                <w:sz w:val="21"/>
                <w:szCs w:val="21"/>
                <w:highlight w:val="none"/>
              </w:rPr>
              <w:t>间断性</w:t>
            </w:r>
          </w:p>
        </w:tc>
      </w:tr>
      <w:tr w14:paraId="4FED241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1" w:type="pct"/>
            <w:vMerge w:val="restart"/>
            <w:vAlign w:val="center"/>
          </w:tcPr>
          <w:p w14:paraId="5750F1F3">
            <w:pPr>
              <w:spacing w:line="240" w:lineRule="auto"/>
              <w:ind w:firstLine="0" w:firstLineChars="0"/>
              <w:jc w:val="center"/>
              <w:rPr>
                <w:color w:val="auto"/>
                <w:sz w:val="21"/>
                <w:szCs w:val="21"/>
                <w:highlight w:val="none"/>
              </w:rPr>
            </w:pPr>
            <w:r>
              <w:rPr>
                <w:color w:val="auto"/>
                <w:sz w:val="21"/>
                <w:szCs w:val="21"/>
                <w:highlight w:val="none"/>
              </w:rPr>
              <w:t>运营期</w:t>
            </w:r>
          </w:p>
        </w:tc>
        <w:tc>
          <w:tcPr>
            <w:tcW w:w="606" w:type="pct"/>
            <w:vMerge w:val="restart"/>
            <w:vAlign w:val="center"/>
          </w:tcPr>
          <w:p w14:paraId="575ED8D5">
            <w:pPr>
              <w:spacing w:line="240" w:lineRule="auto"/>
              <w:ind w:firstLine="0" w:firstLineChars="0"/>
              <w:jc w:val="center"/>
              <w:rPr>
                <w:color w:val="auto"/>
                <w:sz w:val="21"/>
                <w:szCs w:val="21"/>
                <w:highlight w:val="none"/>
              </w:rPr>
            </w:pPr>
            <w:r>
              <w:rPr>
                <w:color w:val="auto"/>
                <w:sz w:val="21"/>
                <w:szCs w:val="21"/>
                <w:highlight w:val="none"/>
              </w:rPr>
              <w:t>废水</w:t>
            </w:r>
          </w:p>
        </w:tc>
        <w:tc>
          <w:tcPr>
            <w:tcW w:w="1266" w:type="pct"/>
            <w:vAlign w:val="center"/>
          </w:tcPr>
          <w:p w14:paraId="6CB1503F">
            <w:pPr>
              <w:spacing w:line="240" w:lineRule="auto"/>
              <w:ind w:firstLine="0" w:firstLineChars="0"/>
              <w:jc w:val="center"/>
              <w:rPr>
                <w:color w:val="auto"/>
                <w:sz w:val="21"/>
                <w:szCs w:val="21"/>
                <w:highlight w:val="none"/>
              </w:rPr>
            </w:pPr>
            <w:r>
              <w:rPr>
                <w:color w:val="auto"/>
                <w:sz w:val="21"/>
                <w:szCs w:val="21"/>
                <w:highlight w:val="none"/>
              </w:rPr>
              <w:t>生活污水</w:t>
            </w:r>
          </w:p>
        </w:tc>
        <w:tc>
          <w:tcPr>
            <w:tcW w:w="1383" w:type="pct"/>
            <w:vAlign w:val="center"/>
          </w:tcPr>
          <w:p w14:paraId="69607E2A">
            <w:pPr>
              <w:spacing w:line="240" w:lineRule="auto"/>
              <w:ind w:firstLine="0" w:firstLineChars="0"/>
              <w:jc w:val="center"/>
              <w:rPr>
                <w:color w:val="auto"/>
                <w:sz w:val="21"/>
                <w:szCs w:val="21"/>
                <w:highlight w:val="none"/>
              </w:rPr>
            </w:pPr>
            <w:r>
              <w:rPr>
                <w:color w:val="auto"/>
                <w:sz w:val="21"/>
                <w:szCs w:val="21"/>
                <w:highlight w:val="none"/>
              </w:rPr>
              <w:t>BOD</w:t>
            </w:r>
            <w:r>
              <w:rPr>
                <w:color w:val="auto"/>
                <w:sz w:val="21"/>
                <w:szCs w:val="21"/>
                <w:highlight w:val="none"/>
                <w:vertAlign w:val="subscript"/>
              </w:rPr>
              <w:t>5</w:t>
            </w:r>
            <w:r>
              <w:rPr>
                <w:color w:val="auto"/>
                <w:sz w:val="21"/>
                <w:szCs w:val="21"/>
                <w:highlight w:val="none"/>
              </w:rPr>
              <w:t>、COD、NH</w:t>
            </w:r>
            <w:r>
              <w:rPr>
                <w:color w:val="auto"/>
                <w:sz w:val="21"/>
                <w:szCs w:val="21"/>
                <w:highlight w:val="none"/>
                <w:vertAlign w:val="subscript"/>
              </w:rPr>
              <w:t>3</w:t>
            </w:r>
            <w:r>
              <w:rPr>
                <w:color w:val="auto"/>
                <w:sz w:val="21"/>
                <w:szCs w:val="21"/>
                <w:highlight w:val="none"/>
              </w:rPr>
              <w:t>-N、动植物油、SS等</w:t>
            </w:r>
          </w:p>
        </w:tc>
        <w:tc>
          <w:tcPr>
            <w:tcW w:w="491" w:type="pct"/>
            <w:vAlign w:val="center"/>
          </w:tcPr>
          <w:p w14:paraId="35D50612">
            <w:pPr>
              <w:spacing w:line="240" w:lineRule="auto"/>
              <w:ind w:firstLine="0" w:firstLineChars="0"/>
              <w:jc w:val="center"/>
              <w:rPr>
                <w:color w:val="auto"/>
                <w:sz w:val="21"/>
                <w:szCs w:val="21"/>
                <w:highlight w:val="none"/>
              </w:rPr>
            </w:pPr>
            <w:r>
              <w:rPr>
                <w:color w:val="auto"/>
                <w:sz w:val="21"/>
                <w:szCs w:val="21"/>
                <w:highlight w:val="none"/>
              </w:rPr>
              <w:t>办公区</w:t>
            </w:r>
          </w:p>
        </w:tc>
        <w:tc>
          <w:tcPr>
            <w:tcW w:w="406" w:type="pct"/>
            <w:vAlign w:val="center"/>
          </w:tcPr>
          <w:p w14:paraId="4856C132">
            <w:pPr>
              <w:spacing w:line="240" w:lineRule="auto"/>
              <w:ind w:firstLine="0" w:firstLineChars="0"/>
              <w:jc w:val="center"/>
              <w:rPr>
                <w:color w:val="auto"/>
                <w:sz w:val="21"/>
                <w:szCs w:val="21"/>
                <w:highlight w:val="none"/>
              </w:rPr>
            </w:pPr>
            <w:r>
              <w:rPr>
                <w:color w:val="auto"/>
                <w:sz w:val="21"/>
                <w:szCs w:val="21"/>
                <w:highlight w:val="none"/>
              </w:rPr>
              <w:t>轻度</w:t>
            </w:r>
          </w:p>
        </w:tc>
        <w:tc>
          <w:tcPr>
            <w:tcW w:w="544" w:type="pct"/>
            <w:vAlign w:val="center"/>
          </w:tcPr>
          <w:p w14:paraId="433E8124">
            <w:pPr>
              <w:spacing w:line="240" w:lineRule="auto"/>
              <w:ind w:firstLine="0" w:firstLineChars="0"/>
              <w:jc w:val="center"/>
              <w:rPr>
                <w:color w:val="auto"/>
                <w:sz w:val="21"/>
                <w:szCs w:val="21"/>
                <w:highlight w:val="none"/>
              </w:rPr>
            </w:pPr>
            <w:r>
              <w:rPr>
                <w:color w:val="auto"/>
                <w:sz w:val="21"/>
                <w:szCs w:val="21"/>
                <w:highlight w:val="none"/>
              </w:rPr>
              <w:t>间断性</w:t>
            </w:r>
          </w:p>
        </w:tc>
      </w:tr>
      <w:tr w14:paraId="4AFE32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1" w:type="pct"/>
            <w:vMerge w:val="continue"/>
            <w:vAlign w:val="center"/>
          </w:tcPr>
          <w:p w14:paraId="578E29F2">
            <w:pPr>
              <w:spacing w:line="240" w:lineRule="auto"/>
              <w:ind w:firstLine="0" w:firstLineChars="0"/>
              <w:jc w:val="center"/>
              <w:rPr>
                <w:color w:val="auto"/>
                <w:sz w:val="21"/>
                <w:szCs w:val="21"/>
                <w:highlight w:val="none"/>
              </w:rPr>
            </w:pPr>
          </w:p>
        </w:tc>
        <w:tc>
          <w:tcPr>
            <w:tcW w:w="606" w:type="pct"/>
            <w:vMerge w:val="continue"/>
            <w:vAlign w:val="center"/>
          </w:tcPr>
          <w:p w14:paraId="03EC0D79">
            <w:pPr>
              <w:spacing w:line="240" w:lineRule="auto"/>
              <w:ind w:firstLine="0" w:firstLineChars="0"/>
              <w:jc w:val="center"/>
              <w:rPr>
                <w:color w:val="auto"/>
                <w:sz w:val="21"/>
                <w:szCs w:val="21"/>
                <w:highlight w:val="none"/>
              </w:rPr>
            </w:pPr>
          </w:p>
        </w:tc>
        <w:tc>
          <w:tcPr>
            <w:tcW w:w="1266" w:type="pct"/>
            <w:vAlign w:val="center"/>
          </w:tcPr>
          <w:p w14:paraId="11CD854B">
            <w:pPr>
              <w:spacing w:line="240" w:lineRule="auto"/>
              <w:ind w:firstLine="0" w:firstLineChars="0"/>
              <w:jc w:val="center"/>
              <w:rPr>
                <w:color w:val="auto"/>
                <w:sz w:val="21"/>
                <w:szCs w:val="21"/>
                <w:highlight w:val="none"/>
              </w:rPr>
            </w:pPr>
            <w:r>
              <w:rPr>
                <w:color w:val="auto"/>
                <w:sz w:val="21"/>
                <w:szCs w:val="21"/>
                <w:highlight w:val="none"/>
              </w:rPr>
              <w:t>含油废水</w:t>
            </w:r>
          </w:p>
        </w:tc>
        <w:tc>
          <w:tcPr>
            <w:tcW w:w="1383" w:type="pct"/>
            <w:vAlign w:val="center"/>
          </w:tcPr>
          <w:p w14:paraId="147F59C7">
            <w:pPr>
              <w:spacing w:line="240" w:lineRule="auto"/>
              <w:ind w:firstLine="0" w:firstLineChars="0"/>
              <w:jc w:val="center"/>
              <w:rPr>
                <w:color w:val="auto"/>
                <w:sz w:val="21"/>
                <w:szCs w:val="21"/>
                <w:highlight w:val="none"/>
              </w:rPr>
            </w:pPr>
            <w:r>
              <w:rPr>
                <w:color w:val="auto"/>
                <w:sz w:val="21"/>
                <w:szCs w:val="21"/>
                <w:highlight w:val="none"/>
              </w:rPr>
              <w:t>BOD</w:t>
            </w:r>
            <w:r>
              <w:rPr>
                <w:color w:val="auto"/>
                <w:sz w:val="21"/>
                <w:szCs w:val="21"/>
                <w:highlight w:val="none"/>
                <w:vertAlign w:val="subscript"/>
              </w:rPr>
              <w:t>5</w:t>
            </w:r>
            <w:r>
              <w:rPr>
                <w:color w:val="auto"/>
                <w:sz w:val="21"/>
                <w:szCs w:val="21"/>
                <w:highlight w:val="none"/>
              </w:rPr>
              <w:t>、COD、NH</w:t>
            </w:r>
            <w:r>
              <w:rPr>
                <w:color w:val="auto"/>
                <w:sz w:val="21"/>
                <w:szCs w:val="21"/>
                <w:highlight w:val="none"/>
                <w:vertAlign w:val="subscript"/>
              </w:rPr>
              <w:t>3</w:t>
            </w:r>
            <w:r>
              <w:rPr>
                <w:color w:val="auto"/>
                <w:sz w:val="21"/>
                <w:szCs w:val="21"/>
                <w:highlight w:val="none"/>
              </w:rPr>
              <w:t>-N、石油类等</w:t>
            </w:r>
          </w:p>
        </w:tc>
        <w:tc>
          <w:tcPr>
            <w:tcW w:w="491" w:type="pct"/>
            <w:vAlign w:val="center"/>
          </w:tcPr>
          <w:p w14:paraId="74A3DE5D">
            <w:pPr>
              <w:spacing w:line="240" w:lineRule="auto"/>
              <w:ind w:firstLine="0" w:firstLineChars="0"/>
              <w:jc w:val="center"/>
              <w:rPr>
                <w:color w:val="auto"/>
                <w:sz w:val="21"/>
                <w:szCs w:val="21"/>
                <w:highlight w:val="none"/>
              </w:rPr>
            </w:pPr>
            <w:r>
              <w:rPr>
                <w:color w:val="auto"/>
                <w:sz w:val="21"/>
                <w:szCs w:val="21"/>
                <w:highlight w:val="none"/>
              </w:rPr>
              <w:t>作业区</w:t>
            </w:r>
          </w:p>
        </w:tc>
        <w:tc>
          <w:tcPr>
            <w:tcW w:w="406" w:type="pct"/>
            <w:vAlign w:val="center"/>
          </w:tcPr>
          <w:p w14:paraId="4D968308">
            <w:pPr>
              <w:spacing w:line="240" w:lineRule="auto"/>
              <w:ind w:firstLine="0" w:firstLineChars="0"/>
              <w:jc w:val="center"/>
              <w:rPr>
                <w:color w:val="auto"/>
                <w:sz w:val="21"/>
                <w:szCs w:val="21"/>
                <w:highlight w:val="none"/>
              </w:rPr>
            </w:pPr>
            <w:r>
              <w:rPr>
                <w:color w:val="auto"/>
                <w:sz w:val="21"/>
                <w:szCs w:val="21"/>
                <w:highlight w:val="none"/>
              </w:rPr>
              <w:t>轻度</w:t>
            </w:r>
          </w:p>
        </w:tc>
        <w:tc>
          <w:tcPr>
            <w:tcW w:w="544" w:type="pct"/>
            <w:vAlign w:val="center"/>
          </w:tcPr>
          <w:p w14:paraId="222D9D74">
            <w:pPr>
              <w:spacing w:line="240" w:lineRule="auto"/>
              <w:ind w:firstLine="0" w:firstLineChars="0"/>
              <w:jc w:val="center"/>
              <w:rPr>
                <w:color w:val="auto"/>
                <w:sz w:val="21"/>
                <w:szCs w:val="21"/>
                <w:highlight w:val="none"/>
              </w:rPr>
            </w:pPr>
            <w:r>
              <w:rPr>
                <w:color w:val="auto"/>
                <w:sz w:val="21"/>
                <w:szCs w:val="21"/>
                <w:highlight w:val="none"/>
              </w:rPr>
              <w:t>间断性</w:t>
            </w:r>
          </w:p>
        </w:tc>
      </w:tr>
      <w:tr w14:paraId="1CE980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1" w:type="pct"/>
            <w:vMerge w:val="continue"/>
            <w:vAlign w:val="center"/>
          </w:tcPr>
          <w:p w14:paraId="14F46207">
            <w:pPr>
              <w:spacing w:line="240" w:lineRule="auto"/>
              <w:ind w:firstLine="0" w:firstLineChars="0"/>
              <w:jc w:val="center"/>
              <w:rPr>
                <w:color w:val="auto"/>
                <w:sz w:val="21"/>
                <w:szCs w:val="21"/>
                <w:highlight w:val="none"/>
              </w:rPr>
            </w:pPr>
          </w:p>
        </w:tc>
        <w:tc>
          <w:tcPr>
            <w:tcW w:w="606" w:type="pct"/>
            <w:vMerge w:val="continue"/>
            <w:vAlign w:val="center"/>
          </w:tcPr>
          <w:p w14:paraId="7E61554B">
            <w:pPr>
              <w:spacing w:line="240" w:lineRule="auto"/>
              <w:ind w:firstLine="0" w:firstLineChars="0"/>
              <w:jc w:val="center"/>
              <w:rPr>
                <w:color w:val="auto"/>
                <w:sz w:val="21"/>
                <w:szCs w:val="21"/>
                <w:highlight w:val="none"/>
              </w:rPr>
            </w:pPr>
          </w:p>
        </w:tc>
        <w:tc>
          <w:tcPr>
            <w:tcW w:w="1266" w:type="pct"/>
            <w:vAlign w:val="center"/>
          </w:tcPr>
          <w:p w14:paraId="77122BA2">
            <w:pPr>
              <w:spacing w:line="240" w:lineRule="auto"/>
              <w:ind w:firstLine="0" w:firstLineChars="0"/>
              <w:jc w:val="center"/>
              <w:rPr>
                <w:color w:val="auto"/>
                <w:sz w:val="21"/>
                <w:szCs w:val="21"/>
                <w:highlight w:val="none"/>
              </w:rPr>
            </w:pPr>
            <w:r>
              <w:rPr>
                <w:rFonts w:hint="eastAsia"/>
                <w:color w:val="auto"/>
                <w:sz w:val="21"/>
                <w:szCs w:val="21"/>
                <w:highlight w:val="none"/>
              </w:rPr>
              <w:t>初期雨水</w:t>
            </w:r>
          </w:p>
        </w:tc>
        <w:tc>
          <w:tcPr>
            <w:tcW w:w="1383" w:type="pct"/>
            <w:vAlign w:val="center"/>
          </w:tcPr>
          <w:p w14:paraId="0F20DCC4">
            <w:pPr>
              <w:spacing w:line="240" w:lineRule="auto"/>
              <w:ind w:firstLine="0" w:firstLineChars="0"/>
              <w:jc w:val="center"/>
              <w:rPr>
                <w:color w:val="auto"/>
                <w:sz w:val="21"/>
                <w:szCs w:val="21"/>
                <w:highlight w:val="none"/>
              </w:rPr>
            </w:pPr>
            <w:r>
              <w:rPr>
                <w:color w:val="auto"/>
                <w:sz w:val="21"/>
                <w:szCs w:val="21"/>
                <w:highlight w:val="none"/>
              </w:rPr>
              <w:t>SS、石油类</w:t>
            </w:r>
          </w:p>
        </w:tc>
        <w:tc>
          <w:tcPr>
            <w:tcW w:w="491" w:type="pct"/>
            <w:vAlign w:val="center"/>
          </w:tcPr>
          <w:p w14:paraId="7AC208DE">
            <w:pPr>
              <w:spacing w:line="240" w:lineRule="auto"/>
              <w:ind w:firstLine="0" w:firstLineChars="0"/>
              <w:jc w:val="center"/>
              <w:rPr>
                <w:color w:val="auto"/>
                <w:sz w:val="21"/>
                <w:szCs w:val="21"/>
                <w:highlight w:val="none"/>
              </w:rPr>
            </w:pPr>
            <w:r>
              <w:rPr>
                <w:color w:val="auto"/>
                <w:sz w:val="21"/>
                <w:szCs w:val="21"/>
                <w:highlight w:val="none"/>
              </w:rPr>
              <w:t>作业区</w:t>
            </w:r>
          </w:p>
        </w:tc>
        <w:tc>
          <w:tcPr>
            <w:tcW w:w="406" w:type="pct"/>
            <w:vAlign w:val="center"/>
          </w:tcPr>
          <w:p w14:paraId="00DB194C">
            <w:pPr>
              <w:spacing w:line="240" w:lineRule="auto"/>
              <w:ind w:firstLine="0" w:firstLineChars="0"/>
              <w:jc w:val="center"/>
              <w:rPr>
                <w:color w:val="auto"/>
                <w:sz w:val="21"/>
                <w:szCs w:val="21"/>
                <w:highlight w:val="none"/>
              </w:rPr>
            </w:pPr>
            <w:r>
              <w:rPr>
                <w:color w:val="auto"/>
                <w:sz w:val="21"/>
                <w:szCs w:val="21"/>
                <w:highlight w:val="none"/>
              </w:rPr>
              <w:t>轻度</w:t>
            </w:r>
          </w:p>
        </w:tc>
        <w:tc>
          <w:tcPr>
            <w:tcW w:w="544" w:type="pct"/>
            <w:vAlign w:val="center"/>
          </w:tcPr>
          <w:p w14:paraId="70663AC5">
            <w:pPr>
              <w:spacing w:line="240" w:lineRule="auto"/>
              <w:ind w:firstLine="0" w:firstLineChars="0"/>
              <w:jc w:val="center"/>
              <w:rPr>
                <w:color w:val="auto"/>
                <w:sz w:val="21"/>
                <w:szCs w:val="21"/>
                <w:highlight w:val="none"/>
              </w:rPr>
            </w:pPr>
            <w:r>
              <w:rPr>
                <w:color w:val="auto"/>
                <w:sz w:val="21"/>
                <w:szCs w:val="21"/>
                <w:highlight w:val="none"/>
              </w:rPr>
              <w:t>间断性</w:t>
            </w:r>
          </w:p>
        </w:tc>
      </w:tr>
      <w:tr w14:paraId="1F9DE8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1" w:type="pct"/>
            <w:vMerge w:val="continue"/>
            <w:vAlign w:val="center"/>
          </w:tcPr>
          <w:p w14:paraId="44EC8642">
            <w:pPr>
              <w:spacing w:line="240" w:lineRule="auto"/>
              <w:ind w:firstLine="0" w:firstLineChars="0"/>
              <w:jc w:val="center"/>
              <w:rPr>
                <w:color w:val="auto"/>
                <w:sz w:val="21"/>
                <w:szCs w:val="21"/>
                <w:highlight w:val="none"/>
              </w:rPr>
            </w:pPr>
          </w:p>
        </w:tc>
        <w:tc>
          <w:tcPr>
            <w:tcW w:w="606" w:type="pct"/>
            <w:vAlign w:val="center"/>
          </w:tcPr>
          <w:p w14:paraId="40E75BDB">
            <w:pPr>
              <w:spacing w:line="240" w:lineRule="auto"/>
              <w:ind w:firstLine="0" w:firstLineChars="0"/>
              <w:jc w:val="center"/>
              <w:rPr>
                <w:color w:val="auto"/>
                <w:sz w:val="21"/>
                <w:szCs w:val="21"/>
                <w:highlight w:val="none"/>
              </w:rPr>
            </w:pPr>
            <w:r>
              <w:rPr>
                <w:color w:val="auto"/>
                <w:sz w:val="21"/>
                <w:szCs w:val="21"/>
                <w:highlight w:val="none"/>
              </w:rPr>
              <w:t>废气</w:t>
            </w:r>
          </w:p>
        </w:tc>
        <w:tc>
          <w:tcPr>
            <w:tcW w:w="1266" w:type="pct"/>
            <w:vAlign w:val="center"/>
          </w:tcPr>
          <w:p w14:paraId="06BBBE26">
            <w:pPr>
              <w:spacing w:line="240" w:lineRule="auto"/>
              <w:ind w:firstLine="0" w:firstLineChars="0"/>
              <w:jc w:val="center"/>
              <w:rPr>
                <w:color w:val="auto"/>
                <w:sz w:val="21"/>
                <w:szCs w:val="21"/>
                <w:highlight w:val="none"/>
              </w:rPr>
            </w:pPr>
            <w:r>
              <w:rPr>
                <w:color w:val="auto"/>
                <w:sz w:val="21"/>
                <w:szCs w:val="21"/>
                <w:highlight w:val="none"/>
              </w:rPr>
              <w:t>喷漆有机废气、焊接烟尘、除锈粉尘及切割粉尘</w:t>
            </w:r>
          </w:p>
        </w:tc>
        <w:tc>
          <w:tcPr>
            <w:tcW w:w="1383" w:type="pct"/>
            <w:vAlign w:val="center"/>
          </w:tcPr>
          <w:p w14:paraId="6B7A6642">
            <w:pPr>
              <w:spacing w:line="240" w:lineRule="auto"/>
              <w:ind w:firstLine="0" w:firstLineChars="0"/>
              <w:jc w:val="center"/>
              <w:rPr>
                <w:color w:val="auto"/>
                <w:sz w:val="21"/>
                <w:szCs w:val="21"/>
                <w:highlight w:val="none"/>
              </w:rPr>
            </w:pPr>
            <w:r>
              <w:rPr>
                <w:color w:val="auto"/>
                <w:sz w:val="21"/>
                <w:szCs w:val="21"/>
                <w:highlight w:val="none"/>
              </w:rPr>
              <w:t>TSP、</w:t>
            </w:r>
            <w:r>
              <w:rPr>
                <w:rStyle w:val="110"/>
                <w:rFonts w:hint="eastAsia"/>
                <w:color w:val="auto"/>
                <w:highlight w:val="none"/>
              </w:rPr>
              <w:t>T</w:t>
            </w:r>
            <w:r>
              <w:rPr>
                <w:rStyle w:val="110"/>
                <w:color w:val="auto"/>
                <w:highlight w:val="none"/>
              </w:rPr>
              <w:t>VOC、二甲苯</w:t>
            </w:r>
          </w:p>
        </w:tc>
        <w:tc>
          <w:tcPr>
            <w:tcW w:w="491" w:type="pct"/>
            <w:vAlign w:val="center"/>
          </w:tcPr>
          <w:p w14:paraId="51B1E37E">
            <w:pPr>
              <w:spacing w:line="240" w:lineRule="auto"/>
              <w:ind w:firstLine="0" w:firstLineChars="0"/>
              <w:jc w:val="center"/>
              <w:rPr>
                <w:color w:val="auto"/>
                <w:sz w:val="21"/>
                <w:szCs w:val="21"/>
                <w:highlight w:val="none"/>
              </w:rPr>
            </w:pPr>
            <w:r>
              <w:rPr>
                <w:color w:val="auto"/>
                <w:sz w:val="21"/>
                <w:szCs w:val="21"/>
                <w:highlight w:val="none"/>
              </w:rPr>
              <w:t>作业区</w:t>
            </w:r>
          </w:p>
        </w:tc>
        <w:tc>
          <w:tcPr>
            <w:tcW w:w="406" w:type="pct"/>
            <w:vAlign w:val="center"/>
          </w:tcPr>
          <w:p w14:paraId="307139CF">
            <w:pPr>
              <w:spacing w:line="240" w:lineRule="auto"/>
              <w:ind w:firstLine="0" w:firstLineChars="0"/>
              <w:jc w:val="center"/>
              <w:rPr>
                <w:color w:val="auto"/>
                <w:sz w:val="21"/>
                <w:szCs w:val="21"/>
                <w:highlight w:val="none"/>
              </w:rPr>
            </w:pPr>
            <w:r>
              <w:rPr>
                <w:color w:val="auto"/>
                <w:sz w:val="21"/>
                <w:szCs w:val="21"/>
                <w:highlight w:val="none"/>
              </w:rPr>
              <w:t>中度</w:t>
            </w:r>
          </w:p>
        </w:tc>
        <w:tc>
          <w:tcPr>
            <w:tcW w:w="544" w:type="pct"/>
            <w:vAlign w:val="center"/>
          </w:tcPr>
          <w:p w14:paraId="02C3764C">
            <w:pPr>
              <w:spacing w:line="240" w:lineRule="auto"/>
              <w:ind w:firstLine="0" w:firstLineChars="0"/>
              <w:jc w:val="center"/>
              <w:rPr>
                <w:color w:val="auto"/>
                <w:sz w:val="21"/>
                <w:szCs w:val="21"/>
                <w:highlight w:val="none"/>
              </w:rPr>
            </w:pPr>
            <w:r>
              <w:rPr>
                <w:color w:val="auto"/>
                <w:sz w:val="21"/>
                <w:szCs w:val="21"/>
                <w:highlight w:val="none"/>
              </w:rPr>
              <w:t>间断性</w:t>
            </w:r>
          </w:p>
        </w:tc>
      </w:tr>
      <w:tr w14:paraId="4377E43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1" w:type="pct"/>
            <w:vMerge w:val="continue"/>
            <w:vAlign w:val="center"/>
          </w:tcPr>
          <w:p w14:paraId="07F2F423">
            <w:pPr>
              <w:spacing w:line="240" w:lineRule="auto"/>
              <w:ind w:firstLine="0" w:firstLineChars="0"/>
              <w:jc w:val="center"/>
              <w:rPr>
                <w:color w:val="auto"/>
                <w:sz w:val="21"/>
                <w:szCs w:val="21"/>
                <w:highlight w:val="none"/>
              </w:rPr>
            </w:pPr>
          </w:p>
        </w:tc>
        <w:tc>
          <w:tcPr>
            <w:tcW w:w="606" w:type="pct"/>
            <w:vAlign w:val="center"/>
          </w:tcPr>
          <w:p w14:paraId="0E8CA64E">
            <w:pPr>
              <w:spacing w:line="240" w:lineRule="auto"/>
              <w:ind w:firstLine="0" w:firstLineChars="0"/>
              <w:jc w:val="center"/>
              <w:rPr>
                <w:color w:val="auto"/>
                <w:sz w:val="21"/>
                <w:szCs w:val="21"/>
                <w:highlight w:val="none"/>
              </w:rPr>
            </w:pPr>
            <w:r>
              <w:rPr>
                <w:color w:val="auto"/>
                <w:sz w:val="21"/>
                <w:szCs w:val="21"/>
                <w:highlight w:val="none"/>
              </w:rPr>
              <w:t>噪声</w:t>
            </w:r>
          </w:p>
        </w:tc>
        <w:tc>
          <w:tcPr>
            <w:tcW w:w="1266" w:type="pct"/>
            <w:vAlign w:val="center"/>
          </w:tcPr>
          <w:p w14:paraId="44D4ABAB">
            <w:pPr>
              <w:spacing w:line="240" w:lineRule="auto"/>
              <w:ind w:firstLine="0" w:firstLineChars="0"/>
              <w:jc w:val="center"/>
              <w:rPr>
                <w:color w:val="auto"/>
                <w:sz w:val="21"/>
                <w:szCs w:val="21"/>
                <w:highlight w:val="none"/>
              </w:rPr>
            </w:pPr>
            <w:r>
              <w:rPr>
                <w:color w:val="auto"/>
                <w:sz w:val="21"/>
                <w:szCs w:val="21"/>
                <w:highlight w:val="none"/>
              </w:rPr>
              <w:t>工作机械、运输船舶及运输车辆</w:t>
            </w:r>
          </w:p>
        </w:tc>
        <w:tc>
          <w:tcPr>
            <w:tcW w:w="1383" w:type="pct"/>
            <w:vAlign w:val="center"/>
          </w:tcPr>
          <w:p w14:paraId="2DCA94D7">
            <w:pPr>
              <w:spacing w:line="240" w:lineRule="auto"/>
              <w:ind w:firstLine="0" w:firstLineChars="0"/>
              <w:jc w:val="center"/>
              <w:rPr>
                <w:color w:val="auto"/>
                <w:sz w:val="21"/>
                <w:szCs w:val="21"/>
                <w:highlight w:val="none"/>
              </w:rPr>
            </w:pPr>
            <w:r>
              <w:rPr>
                <w:color w:val="auto"/>
                <w:sz w:val="21"/>
                <w:szCs w:val="21"/>
                <w:highlight w:val="none"/>
              </w:rPr>
              <w:t>噪声</w:t>
            </w:r>
          </w:p>
        </w:tc>
        <w:tc>
          <w:tcPr>
            <w:tcW w:w="491" w:type="pct"/>
            <w:vAlign w:val="center"/>
          </w:tcPr>
          <w:p w14:paraId="4FBCCE27">
            <w:pPr>
              <w:spacing w:line="240" w:lineRule="auto"/>
              <w:ind w:firstLine="0" w:firstLineChars="0"/>
              <w:jc w:val="center"/>
              <w:rPr>
                <w:color w:val="auto"/>
                <w:sz w:val="21"/>
                <w:szCs w:val="21"/>
                <w:highlight w:val="none"/>
              </w:rPr>
            </w:pPr>
            <w:r>
              <w:rPr>
                <w:color w:val="auto"/>
                <w:sz w:val="21"/>
                <w:szCs w:val="21"/>
                <w:highlight w:val="none"/>
              </w:rPr>
              <w:t>作业区</w:t>
            </w:r>
          </w:p>
        </w:tc>
        <w:tc>
          <w:tcPr>
            <w:tcW w:w="406" w:type="pct"/>
            <w:vAlign w:val="center"/>
          </w:tcPr>
          <w:p w14:paraId="193D840A">
            <w:pPr>
              <w:spacing w:line="240" w:lineRule="auto"/>
              <w:ind w:firstLine="0" w:firstLineChars="0"/>
              <w:jc w:val="center"/>
              <w:rPr>
                <w:color w:val="auto"/>
                <w:sz w:val="21"/>
                <w:szCs w:val="21"/>
                <w:highlight w:val="none"/>
              </w:rPr>
            </w:pPr>
            <w:r>
              <w:rPr>
                <w:color w:val="auto"/>
                <w:sz w:val="21"/>
                <w:szCs w:val="21"/>
                <w:highlight w:val="none"/>
              </w:rPr>
              <w:t>轻度</w:t>
            </w:r>
          </w:p>
        </w:tc>
        <w:tc>
          <w:tcPr>
            <w:tcW w:w="544" w:type="pct"/>
            <w:vAlign w:val="center"/>
          </w:tcPr>
          <w:p w14:paraId="67FF2D40">
            <w:pPr>
              <w:spacing w:line="240" w:lineRule="auto"/>
              <w:ind w:firstLine="0" w:firstLineChars="0"/>
              <w:jc w:val="center"/>
              <w:rPr>
                <w:color w:val="auto"/>
                <w:sz w:val="21"/>
                <w:szCs w:val="21"/>
                <w:highlight w:val="none"/>
              </w:rPr>
            </w:pPr>
            <w:r>
              <w:rPr>
                <w:color w:val="auto"/>
                <w:sz w:val="21"/>
                <w:szCs w:val="21"/>
                <w:highlight w:val="none"/>
              </w:rPr>
              <w:t>连续性</w:t>
            </w:r>
          </w:p>
        </w:tc>
      </w:tr>
      <w:tr w14:paraId="017C6BD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1" w:type="pct"/>
            <w:vMerge w:val="continue"/>
            <w:vAlign w:val="center"/>
          </w:tcPr>
          <w:p w14:paraId="697BD8E4">
            <w:pPr>
              <w:spacing w:line="240" w:lineRule="auto"/>
              <w:ind w:firstLine="0" w:firstLineChars="0"/>
              <w:jc w:val="center"/>
              <w:rPr>
                <w:color w:val="auto"/>
                <w:sz w:val="21"/>
                <w:szCs w:val="21"/>
                <w:highlight w:val="none"/>
              </w:rPr>
            </w:pPr>
          </w:p>
        </w:tc>
        <w:tc>
          <w:tcPr>
            <w:tcW w:w="606" w:type="pct"/>
            <w:vMerge w:val="restart"/>
            <w:vAlign w:val="center"/>
          </w:tcPr>
          <w:p w14:paraId="4F3C8FC6">
            <w:pPr>
              <w:spacing w:line="240" w:lineRule="auto"/>
              <w:ind w:firstLine="0" w:firstLineChars="0"/>
              <w:jc w:val="center"/>
              <w:rPr>
                <w:color w:val="auto"/>
                <w:sz w:val="21"/>
                <w:szCs w:val="21"/>
                <w:highlight w:val="none"/>
              </w:rPr>
            </w:pPr>
            <w:r>
              <w:rPr>
                <w:color w:val="auto"/>
                <w:sz w:val="21"/>
                <w:szCs w:val="21"/>
                <w:highlight w:val="none"/>
              </w:rPr>
              <w:t>固体</w:t>
            </w:r>
          </w:p>
          <w:p w14:paraId="61647CD0">
            <w:pPr>
              <w:spacing w:line="240" w:lineRule="auto"/>
              <w:ind w:firstLine="0" w:firstLineChars="0"/>
              <w:jc w:val="center"/>
              <w:rPr>
                <w:color w:val="auto"/>
                <w:sz w:val="21"/>
                <w:szCs w:val="21"/>
                <w:highlight w:val="none"/>
              </w:rPr>
            </w:pPr>
            <w:r>
              <w:rPr>
                <w:color w:val="auto"/>
                <w:sz w:val="21"/>
                <w:szCs w:val="21"/>
                <w:highlight w:val="none"/>
              </w:rPr>
              <w:t>废物</w:t>
            </w:r>
          </w:p>
        </w:tc>
        <w:tc>
          <w:tcPr>
            <w:tcW w:w="1266" w:type="pct"/>
            <w:vAlign w:val="center"/>
          </w:tcPr>
          <w:p w14:paraId="67152841">
            <w:pPr>
              <w:spacing w:line="240" w:lineRule="auto"/>
              <w:ind w:firstLine="0" w:firstLineChars="0"/>
              <w:jc w:val="center"/>
              <w:rPr>
                <w:color w:val="auto"/>
                <w:sz w:val="21"/>
                <w:szCs w:val="21"/>
                <w:highlight w:val="none"/>
              </w:rPr>
            </w:pPr>
            <w:r>
              <w:rPr>
                <w:color w:val="auto"/>
                <w:sz w:val="21"/>
                <w:szCs w:val="21"/>
                <w:highlight w:val="none"/>
              </w:rPr>
              <w:t>生活垃圾</w:t>
            </w:r>
          </w:p>
        </w:tc>
        <w:tc>
          <w:tcPr>
            <w:tcW w:w="1383" w:type="pct"/>
            <w:vAlign w:val="center"/>
          </w:tcPr>
          <w:p w14:paraId="31B626A6">
            <w:pPr>
              <w:spacing w:line="240" w:lineRule="auto"/>
              <w:ind w:firstLine="0" w:firstLineChars="0"/>
              <w:jc w:val="center"/>
              <w:rPr>
                <w:color w:val="auto"/>
                <w:sz w:val="21"/>
                <w:szCs w:val="21"/>
                <w:highlight w:val="none"/>
              </w:rPr>
            </w:pPr>
            <w:r>
              <w:rPr>
                <w:color w:val="auto"/>
                <w:sz w:val="21"/>
                <w:szCs w:val="21"/>
                <w:highlight w:val="none"/>
              </w:rPr>
              <w:t>废纸、废包装等</w:t>
            </w:r>
          </w:p>
        </w:tc>
        <w:tc>
          <w:tcPr>
            <w:tcW w:w="491" w:type="pct"/>
            <w:vAlign w:val="center"/>
          </w:tcPr>
          <w:p w14:paraId="33F56A66">
            <w:pPr>
              <w:spacing w:line="240" w:lineRule="auto"/>
              <w:ind w:firstLine="0" w:firstLineChars="0"/>
              <w:jc w:val="center"/>
              <w:rPr>
                <w:color w:val="auto"/>
                <w:sz w:val="21"/>
                <w:szCs w:val="21"/>
                <w:highlight w:val="none"/>
              </w:rPr>
            </w:pPr>
            <w:r>
              <w:rPr>
                <w:color w:val="auto"/>
                <w:sz w:val="21"/>
                <w:szCs w:val="21"/>
                <w:highlight w:val="none"/>
              </w:rPr>
              <w:t>办公区</w:t>
            </w:r>
          </w:p>
        </w:tc>
        <w:tc>
          <w:tcPr>
            <w:tcW w:w="406" w:type="pct"/>
            <w:vAlign w:val="center"/>
          </w:tcPr>
          <w:p w14:paraId="68FF9874">
            <w:pPr>
              <w:spacing w:line="240" w:lineRule="auto"/>
              <w:ind w:firstLine="0" w:firstLineChars="0"/>
              <w:jc w:val="center"/>
              <w:rPr>
                <w:color w:val="auto"/>
                <w:sz w:val="21"/>
                <w:szCs w:val="21"/>
                <w:highlight w:val="none"/>
              </w:rPr>
            </w:pPr>
            <w:r>
              <w:rPr>
                <w:color w:val="auto"/>
                <w:sz w:val="21"/>
                <w:szCs w:val="21"/>
                <w:highlight w:val="none"/>
              </w:rPr>
              <w:t>轻度</w:t>
            </w:r>
          </w:p>
        </w:tc>
        <w:tc>
          <w:tcPr>
            <w:tcW w:w="544" w:type="pct"/>
            <w:vAlign w:val="center"/>
          </w:tcPr>
          <w:p w14:paraId="30888C55">
            <w:pPr>
              <w:spacing w:line="240" w:lineRule="auto"/>
              <w:ind w:firstLine="0" w:firstLineChars="0"/>
              <w:jc w:val="center"/>
              <w:rPr>
                <w:color w:val="auto"/>
                <w:sz w:val="21"/>
                <w:szCs w:val="21"/>
                <w:highlight w:val="none"/>
              </w:rPr>
            </w:pPr>
            <w:r>
              <w:rPr>
                <w:color w:val="auto"/>
                <w:sz w:val="21"/>
                <w:szCs w:val="21"/>
                <w:highlight w:val="none"/>
              </w:rPr>
              <w:t>间断性</w:t>
            </w:r>
          </w:p>
        </w:tc>
      </w:tr>
      <w:tr w14:paraId="0FE0D23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1" w:type="pct"/>
            <w:vMerge w:val="continue"/>
            <w:vAlign w:val="center"/>
          </w:tcPr>
          <w:p w14:paraId="1D415A6A">
            <w:pPr>
              <w:spacing w:line="240" w:lineRule="auto"/>
              <w:ind w:firstLine="0" w:firstLineChars="0"/>
              <w:jc w:val="center"/>
              <w:rPr>
                <w:color w:val="auto"/>
                <w:sz w:val="21"/>
                <w:szCs w:val="21"/>
                <w:highlight w:val="none"/>
              </w:rPr>
            </w:pPr>
          </w:p>
        </w:tc>
        <w:tc>
          <w:tcPr>
            <w:tcW w:w="606" w:type="pct"/>
            <w:vMerge w:val="continue"/>
            <w:vAlign w:val="center"/>
          </w:tcPr>
          <w:p w14:paraId="6F366966">
            <w:pPr>
              <w:spacing w:line="240" w:lineRule="auto"/>
              <w:ind w:firstLine="0" w:firstLineChars="0"/>
              <w:jc w:val="center"/>
              <w:rPr>
                <w:color w:val="auto"/>
                <w:sz w:val="21"/>
                <w:szCs w:val="21"/>
                <w:highlight w:val="none"/>
              </w:rPr>
            </w:pPr>
          </w:p>
        </w:tc>
        <w:tc>
          <w:tcPr>
            <w:tcW w:w="1266" w:type="pct"/>
            <w:vAlign w:val="center"/>
          </w:tcPr>
          <w:p w14:paraId="1576720B">
            <w:pPr>
              <w:spacing w:line="240" w:lineRule="auto"/>
              <w:ind w:firstLine="0" w:firstLineChars="0"/>
              <w:jc w:val="center"/>
              <w:rPr>
                <w:color w:val="auto"/>
                <w:sz w:val="21"/>
                <w:szCs w:val="21"/>
                <w:highlight w:val="none"/>
              </w:rPr>
            </w:pPr>
            <w:r>
              <w:rPr>
                <w:color w:val="auto"/>
                <w:sz w:val="21"/>
                <w:szCs w:val="21"/>
                <w:highlight w:val="none"/>
              </w:rPr>
              <w:t>生产垃圾</w:t>
            </w:r>
          </w:p>
        </w:tc>
        <w:tc>
          <w:tcPr>
            <w:tcW w:w="1383" w:type="pct"/>
            <w:vAlign w:val="center"/>
          </w:tcPr>
          <w:p w14:paraId="7C01D527">
            <w:pPr>
              <w:spacing w:line="240" w:lineRule="auto"/>
              <w:ind w:firstLine="0" w:firstLineChars="0"/>
              <w:jc w:val="center"/>
              <w:rPr>
                <w:color w:val="auto"/>
                <w:sz w:val="21"/>
                <w:szCs w:val="21"/>
                <w:highlight w:val="none"/>
              </w:rPr>
            </w:pPr>
            <w:r>
              <w:rPr>
                <w:color w:val="auto"/>
                <w:sz w:val="21"/>
                <w:szCs w:val="21"/>
                <w:highlight w:val="none"/>
              </w:rPr>
              <w:t>一般固体废物、危险废物</w:t>
            </w:r>
          </w:p>
        </w:tc>
        <w:tc>
          <w:tcPr>
            <w:tcW w:w="491" w:type="pct"/>
            <w:vAlign w:val="center"/>
          </w:tcPr>
          <w:p w14:paraId="6D5B2C1B">
            <w:pPr>
              <w:spacing w:line="240" w:lineRule="auto"/>
              <w:ind w:firstLine="0" w:firstLineChars="0"/>
              <w:jc w:val="center"/>
              <w:rPr>
                <w:color w:val="auto"/>
                <w:sz w:val="21"/>
                <w:szCs w:val="21"/>
                <w:highlight w:val="none"/>
              </w:rPr>
            </w:pPr>
            <w:r>
              <w:rPr>
                <w:color w:val="auto"/>
                <w:sz w:val="21"/>
                <w:szCs w:val="21"/>
                <w:highlight w:val="none"/>
              </w:rPr>
              <w:t>作业区</w:t>
            </w:r>
          </w:p>
        </w:tc>
        <w:tc>
          <w:tcPr>
            <w:tcW w:w="406" w:type="pct"/>
            <w:vAlign w:val="center"/>
          </w:tcPr>
          <w:p w14:paraId="5DB7FA39">
            <w:pPr>
              <w:spacing w:line="240" w:lineRule="auto"/>
              <w:ind w:firstLine="0" w:firstLineChars="0"/>
              <w:jc w:val="center"/>
              <w:rPr>
                <w:color w:val="auto"/>
                <w:sz w:val="21"/>
                <w:szCs w:val="21"/>
                <w:highlight w:val="none"/>
              </w:rPr>
            </w:pPr>
            <w:r>
              <w:rPr>
                <w:color w:val="auto"/>
                <w:sz w:val="21"/>
                <w:szCs w:val="21"/>
                <w:highlight w:val="none"/>
              </w:rPr>
              <w:t>轻度</w:t>
            </w:r>
          </w:p>
        </w:tc>
        <w:tc>
          <w:tcPr>
            <w:tcW w:w="544" w:type="pct"/>
            <w:vAlign w:val="center"/>
          </w:tcPr>
          <w:p w14:paraId="760744A1">
            <w:pPr>
              <w:spacing w:line="240" w:lineRule="auto"/>
              <w:ind w:firstLine="0" w:firstLineChars="0"/>
              <w:jc w:val="center"/>
              <w:rPr>
                <w:color w:val="auto"/>
                <w:sz w:val="21"/>
                <w:szCs w:val="21"/>
                <w:highlight w:val="none"/>
              </w:rPr>
            </w:pPr>
            <w:r>
              <w:rPr>
                <w:color w:val="auto"/>
                <w:sz w:val="21"/>
                <w:szCs w:val="21"/>
                <w:highlight w:val="none"/>
              </w:rPr>
              <w:t>间断性</w:t>
            </w:r>
          </w:p>
        </w:tc>
      </w:tr>
    </w:tbl>
    <w:p w14:paraId="3EED8064">
      <w:pPr>
        <w:pStyle w:val="38"/>
        <w:spacing w:before="120" w:beforeLines="50" w:after="0" w:line="240" w:lineRule="auto"/>
        <w:ind w:firstLine="0" w:firstLineChars="0"/>
        <w:jc w:val="center"/>
        <w:rPr>
          <w:b/>
          <w:color w:val="auto"/>
          <w:sz w:val="21"/>
          <w:szCs w:val="21"/>
          <w:highlight w:val="none"/>
        </w:rPr>
      </w:pPr>
    </w:p>
    <w:p w14:paraId="38635232">
      <w:pPr>
        <w:pStyle w:val="38"/>
        <w:spacing w:before="120" w:beforeLines="50" w:after="0" w:line="240" w:lineRule="auto"/>
        <w:ind w:firstLine="0" w:firstLineChars="0"/>
        <w:jc w:val="center"/>
        <w:rPr>
          <w:b/>
          <w:color w:val="auto"/>
          <w:sz w:val="21"/>
          <w:szCs w:val="21"/>
          <w:highlight w:val="none"/>
        </w:rPr>
      </w:pPr>
      <w:r>
        <w:rPr>
          <w:b/>
          <w:color w:val="auto"/>
          <w:sz w:val="21"/>
          <w:szCs w:val="21"/>
          <w:highlight w:val="none"/>
        </w:rPr>
        <w:t>表1.2-2  环境影响类型及程度一览表</w:t>
      </w:r>
    </w:p>
    <w:tbl>
      <w:tblPr>
        <w:tblStyle w:val="93"/>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40"/>
        <w:gridCol w:w="3000"/>
        <w:gridCol w:w="1461"/>
        <w:gridCol w:w="1333"/>
        <w:gridCol w:w="724"/>
        <w:gridCol w:w="817"/>
        <w:gridCol w:w="767"/>
        <w:gridCol w:w="737"/>
      </w:tblGrid>
      <w:tr w14:paraId="70949A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853" w:type="pct"/>
            <w:gridSpan w:val="2"/>
            <w:vMerge w:val="restart"/>
            <w:vAlign w:val="center"/>
          </w:tcPr>
          <w:p w14:paraId="55552825">
            <w:pPr>
              <w:pStyle w:val="523"/>
              <w:adjustRightInd w:val="0"/>
              <w:snapToGrid w:val="0"/>
              <w:spacing w:line="240" w:lineRule="auto"/>
              <w:ind w:left="-72" w:leftChars="-30" w:right="-72" w:rightChars="-30"/>
              <w:rPr>
                <w:b/>
                <w:bCs w:val="0"/>
                <w:color w:val="auto"/>
                <w:highlight w:val="none"/>
                <w:lang w:val="en-GB"/>
              </w:rPr>
            </w:pPr>
            <w:r>
              <w:rPr>
                <w:b/>
                <w:bCs w:val="0"/>
                <w:color w:val="auto"/>
                <w:highlight w:val="none"/>
                <w:lang w:val="en-GB"/>
              </w:rPr>
              <w:t>影响环境资源的活动</w:t>
            </w:r>
          </w:p>
        </w:tc>
        <w:tc>
          <w:tcPr>
            <w:tcW w:w="787" w:type="pct"/>
            <w:vMerge w:val="restart"/>
            <w:vAlign w:val="center"/>
          </w:tcPr>
          <w:p w14:paraId="3EF2076E">
            <w:pPr>
              <w:pStyle w:val="523"/>
              <w:adjustRightInd w:val="0"/>
              <w:snapToGrid w:val="0"/>
              <w:spacing w:line="240" w:lineRule="auto"/>
              <w:ind w:left="-72" w:leftChars="-30" w:right="-72" w:rightChars="-30"/>
              <w:rPr>
                <w:b/>
                <w:bCs w:val="0"/>
                <w:color w:val="auto"/>
                <w:highlight w:val="none"/>
                <w:lang w:val="en-GB"/>
              </w:rPr>
            </w:pPr>
            <w:r>
              <w:rPr>
                <w:b/>
                <w:bCs w:val="0"/>
                <w:color w:val="auto"/>
                <w:highlight w:val="none"/>
                <w:lang w:val="en-GB"/>
              </w:rPr>
              <w:t>影响因子</w:t>
            </w:r>
          </w:p>
        </w:tc>
        <w:tc>
          <w:tcPr>
            <w:tcW w:w="718" w:type="pct"/>
            <w:vMerge w:val="restart"/>
            <w:vAlign w:val="center"/>
          </w:tcPr>
          <w:p w14:paraId="6613E7B1">
            <w:pPr>
              <w:pStyle w:val="523"/>
              <w:adjustRightInd w:val="0"/>
              <w:snapToGrid w:val="0"/>
              <w:spacing w:line="240" w:lineRule="auto"/>
              <w:ind w:left="-72" w:leftChars="-30" w:right="-72" w:rightChars="-30"/>
              <w:rPr>
                <w:b/>
                <w:bCs w:val="0"/>
                <w:color w:val="auto"/>
                <w:highlight w:val="none"/>
                <w:lang w:val="en-GB"/>
              </w:rPr>
            </w:pPr>
            <w:r>
              <w:rPr>
                <w:b/>
                <w:bCs w:val="0"/>
                <w:color w:val="auto"/>
                <w:highlight w:val="none"/>
                <w:lang w:val="en-GB"/>
              </w:rPr>
              <w:t>影响对象</w:t>
            </w:r>
          </w:p>
        </w:tc>
        <w:tc>
          <w:tcPr>
            <w:tcW w:w="830" w:type="pct"/>
            <w:gridSpan w:val="2"/>
            <w:vAlign w:val="center"/>
          </w:tcPr>
          <w:p w14:paraId="24AC5E40">
            <w:pPr>
              <w:pStyle w:val="523"/>
              <w:adjustRightInd w:val="0"/>
              <w:snapToGrid w:val="0"/>
              <w:spacing w:line="240" w:lineRule="auto"/>
              <w:ind w:left="-72" w:leftChars="-30" w:right="-72" w:rightChars="-30"/>
              <w:rPr>
                <w:b/>
                <w:bCs w:val="0"/>
                <w:color w:val="auto"/>
                <w:highlight w:val="none"/>
                <w:lang w:val="en-GB"/>
              </w:rPr>
            </w:pPr>
            <w:r>
              <w:rPr>
                <w:b/>
                <w:bCs w:val="0"/>
                <w:color w:val="auto"/>
                <w:highlight w:val="none"/>
                <w:lang w:val="en-GB"/>
              </w:rPr>
              <w:t>影响类型</w:t>
            </w:r>
          </w:p>
        </w:tc>
        <w:tc>
          <w:tcPr>
            <w:tcW w:w="810" w:type="pct"/>
            <w:gridSpan w:val="2"/>
            <w:vAlign w:val="center"/>
          </w:tcPr>
          <w:p w14:paraId="03A874C7">
            <w:pPr>
              <w:pStyle w:val="523"/>
              <w:adjustRightInd w:val="0"/>
              <w:snapToGrid w:val="0"/>
              <w:spacing w:line="240" w:lineRule="auto"/>
              <w:ind w:left="-72" w:leftChars="-30" w:right="-72" w:rightChars="-30"/>
              <w:rPr>
                <w:b/>
                <w:bCs w:val="0"/>
                <w:color w:val="auto"/>
                <w:highlight w:val="none"/>
                <w:lang w:val="en-GB"/>
              </w:rPr>
            </w:pPr>
            <w:r>
              <w:rPr>
                <w:b/>
                <w:bCs w:val="0"/>
                <w:color w:val="auto"/>
                <w:highlight w:val="none"/>
                <w:lang w:val="en-GB"/>
              </w:rPr>
              <w:t>影响性质</w:t>
            </w:r>
          </w:p>
        </w:tc>
      </w:tr>
      <w:tr w14:paraId="533BB1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853" w:type="pct"/>
            <w:gridSpan w:val="2"/>
            <w:vMerge w:val="continue"/>
            <w:vAlign w:val="center"/>
          </w:tcPr>
          <w:p w14:paraId="0FEEB703">
            <w:pPr>
              <w:pStyle w:val="523"/>
              <w:adjustRightInd w:val="0"/>
              <w:snapToGrid w:val="0"/>
              <w:spacing w:line="240" w:lineRule="auto"/>
              <w:ind w:left="-72" w:leftChars="-30" w:right="-72" w:rightChars="-30"/>
              <w:rPr>
                <w:b/>
                <w:bCs w:val="0"/>
                <w:color w:val="auto"/>
                <w:highlight w:val="none"/>
                <w:lang w:val="en-GB"/>
              </w:rPr>
            </w:pPr>
          </w:p>
        </w:tc>
        <w:tc>
          <w:tcPr>
            <w:tcW w:w="787" w:type="pct"/>
            <w:vMerge w:val="continue"/>
            <w:vAlign w:val="center"/>
          </w:tcPr>
          <w:p w14:paraId="53EFAA42">
            <w:pPr>
              <w:pStyle w:val="523"/>
              <w:adjustRightInd w:val="0"/>
              <w:snapToGrid w:val="0"/>
              <w:spacing w:line="240" w:lineRule="auto"/>
              <w:ind w:left="-72" w:leftChars="-30" w:right="-72" w:rightChars="-30"/>
              <w:rPr>
                <w:b/>
                <w:bCs w:val="0"/>
                <w:color w:val="auto"/>
                <w:highlight w:val="none"/>
                <w:lang w:val="en-GB"/>
              </w:rPr>
            </w:pPr>
          </w:p>
        </w:tc>
        <w:tc>
          <w:tcPr>
            <w:tcW w:w="718" w:type="pct"/>
            <w:vMerge w:val="continue"/>
            <w:vAlign w:val="center"/>
          </w:tcPr>
          <w:p w14:paraId="2C637A59">
            <w:pPr>
              <w:pStyle w:val="523"/>
              <w:adjustRightInd w:val="0"/>
              <w:snapToGrid w:val="0"/>
              <w:spacing w:line="240" w:lineRule="auto"/>
              <w:ind w:left="-72" w:leftChars="-30" w:right="-72" w:rightChars="-30"/>
              <w:rPr>
                <w:b/>
                <w:bCs w:val="0"/>
                <w:color w:val="auto"/>
                <w:highlight w:val="none"/>
                <w:lang w:val="en-GB"/>
              </w:rPr>
            </w:pPr>
          </w:p>
        </w:tc>
        <w:tc>
          <w:tcPr>
            <w:tcW w:w="390" w:type="pct"/>
            <w:vAlign w:val="center"/>
          </w:tcPr>
          <w:p w14:paraId="7F597009">
            <w:pPr>
              <w:pStyle w:val="523"/>
              <w:adjustRightInd w:val="0"/>
              <w:snapToGrid w:val="0"/>
              <w:spacing w:line="240" w:lineRule="auto"/>
              <w:ind w:left="-72" w:leftChars="-30" w:right="-72" w:rightChars="-30"/>
              <w:rPr>
                <w:b/>
                <w:bCs w:val="0"/>
                <w:color w:val="auto"/>
                <w:highlight w:val="none"/>
                <w:lang w:val="en-GB"/>
              </w:rPr>
            </w:pPr>
            <w:r>
              <w:rPr>
                <w:b/>
                <w:bCs w:val="0"/>
                <w:color w:val="auto"/>
                <w:highlight w:val="none"/>
                <w:lang w:val="en-GB"/>
              </w:rPr>
              <w:t>长期</w:t>
            </w:r>
          </w:p>
        </w:tc>
        <w:tc>
          <w:tcPr>
            <w:tcW w:w="440" w:type="pct"/>
            <w:vAlign w:val="center"/>
          </w:tcPr>
          <w:p w14:paraId="252C02F4">
            <w:pPr>
              <w:pStyle w:val="523"/>
              <w:adjustRightInd w:val="0"/>
              <w:snapToGrid w:val="0"/>
              <w:spacing w:line="240" w:lineRule="auto"/>
              <w:ind w:left="-72" w:leftChars="-30" w:right="-72" w:rightChars="-30"/>
              <w:rPr>
                <w:b/>
                <w:bCs w:val="0"/>
                <w:color w:val="auto"/>
                <w:highlight w:val="none"/>
                <w:lang w:val="en-GB"/>
              </w:rPr>
            </w:pPr>
            <w:r>
              <w:rPr>
                <w:b/>
                <w:bCs w:val="0"/>
                <w:color w:val="auto"/>
                <w:highlight w:val="none"/>
                <w:lang w:val="en-GB"/>
              </w:rPr>
              <w:t>短期</w:t>
            </w:r>
          </w:p>
        </w:tc>
        <w:tc>
          <w:tcPr>
            <w:tcW w:w="413" w:type="pct"/>
            <w:vAlign w:val="center"/>
          </w:tcPr>
          <w:p w14:paraId="247A23E2">
            <w:pPr>
              <w:pStyle w:val="523"/>
              <w:adjustRightInd w:val="0"/>
              <w:snapToGrid w:val="0"/>
              <w:spacing w:line="240" w:lineRule="auto"/>
              <w:ind w:left="-72" w:leftChars="-30" w:right="-72" w:rightChars="-30"/>
              <w:rPr>
                <w:b/>
                <w:bCs w:val="0"/>
                <w:color w:val="auto"/>
                <w:highlight w:val="none"/>
                <w:lang w:val="en-GB"/>
              </w:rPr>
            </w:pPr>
            <w:r>
              <w:rPr>
                <w:b/>
                <w:bCs w:val="0"/>
                <w:color w:val="auto"/>
                <w:highlight w:val="none"/>
                <w:lang w:val="en-GB"/>
              </w:rPr>
              <w:t>有利</w:t>
            </w:r>
          </w:p>
        </w:tc>
        <w:tc>
          <w:tcPr>
            <w:tcW w:w="397" w:type="pct"/>
            <w:vAlign w:val="center"/>
          </w:tcPr>
          <w:p w14:paraId="7CBF5563">
            <w:pPr>
              <w:pStyle w:val="523"/>
              <w:adjustRightInd w:val="0"/>
              <w:snapToGrid w:val="0"/>
              <w:spacing w:line="240" w:lineRule="auto"/>
              <w:ind w:left="-72" w:leftChars="-30" w:right="-72" w:rightChars="-30"/>
              <w:rPr>
                <w:b/>
                <w:bCs w:val="0"/>
                <w:color w:val="auto"/>
                <w:highlight w:val="none"/>
                <w:lang w:val="en-GB"/>
              </w:rPr>
            </w:pPr>
            <w:r>
              <w:rPr>
                <w:b/>
                <w:bCs w:val="0"/>
                <w:color w:val="auto"/>
                <w:highlight w:val="none"/>
                <w:lang w:val="en-GB"/>
              </w:rPr>
              <w:t>不利</w:t>
            </w:r>
          </w:p>
        </w:tc>
      </w:tr>
      <w:tr w14:paraId="4485E5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7" w:type="pct"/>
            <w:vMerge w:val="restart"/>
            <w:vAlign w:val="center"/>
          </w:tcPr>
          <w:p w14:paraId="340E8875">
            <w:pPr>
              <w:pStyle w:val="523"/>
              <w:adjustRightInd w:val="0"/>
              <w:snapToGrid w:val="0"/>
              <w:spacing w:line="240" w:lineRule="auto"/>
              <w:ind w:left="-72" w:leftChars="-30" w:right="-72" w:rightChars="-30"/>
              <w:rPr>
                <w:color w:val="auto"/>
                <w:highlight w:val="none"/>
                <w:lang w:val="en-GB"/>
              </w:rPr>
            </w:pPr>
            <w:r>
              <w:rPr>
                <w:color w:val="auto"/>
                <w:highlight w:val="none"/>
                <w:lang w:val="en-GB"/>
              </w:rPr>
              <w:t>施工期</w:t>
            </w:r>
          </w:p>
        </w:tc>
        <w:tc>
          <w:tcPr>
            <w:tcW w:w="1616" w:type="pct"/>
            <w:vAlign w:val="center"/>
          </w:tcPr>
          <w:p w14:paraId="2C95B909">
            <w:pPr>
              <w:pStyle w:val="523"/>
              <w:adjustRightInd w:val="0"/>
              <w:snapToGrid w:val="0"/>
              <w:spacing w:line="240" w:lineRule="auto"/>
              <w:ind w:left="-72" w:leftChars="-30" w:right="-72" w:rightChars="-30"/>
              <w:rPr>
                <w:color w:val="auto"/>
                <w:highlight w:val="none"/>
                <w:lang w:val="en-GB"/>
              </w:rPr>
            </w:pPr>
            <w:r>
              <w:rPr>
                <w:color w:val="auto"/>
                <w:highlight w:val="none"/>
                <w:lang w:val="en-GB"/>
              </w:rPr>
              <w:t>土建施工</w:t>
            </w:r>
          </w:p>
        </w:tc>
        <w:tc>
          <w:tcPr>
            <w:tcW w:w="787" w:type="pct"/>
            <w:vAlign w:val="center"/>
          </w:tcPr>
          <w:p w14:paraId="06E86185">
            <w:pPr>
              <w:pStyle w:val="523"/>
              <w:adjustRightInd w:val="0"/>
              <w:snapToGrid w:val="0"/>
              <w:spacing w:line="240" w:lineRule="auto"/>
              <w:ind w:left="-72" w:leftChars="-30" w:right="-72" w:rightChars="-30"/>
              <w:rPr>
                <w:color w:val="auto"/>
                <w:highlight w:val="none"/>
                <w:lang w:val="en-GB"/>
              </w:rPr>
            </w:pPr>
            <w:r>
              <w:rPr>
                <w:color w:val="auto"/>
                <w:highlight w:val="none"/>
                <w:lang w:val="en-GB"/>
              </w:rPr>
              <w:t>扬尘、噪声、水土流失、固废</w:t>
            </w:r>
          </w:p>
        </w:tc>
        <w:tc>
          <w:tcPr>
            <w:tcW w:w="718" w:type="pct"/>
            <w:vAlign w:val="center"/>
          </w:tcPr>
          <w:p w14:paraId="1BF1D73A">
            <w:pPr>
              <w:pStyle w:val="523"/>
              <w:adjustRightInd w:val="0"/>
              <w:snapToGrid w:val="0"/>
              <w:spacing w:line="240" w:lineRule="auto"/>
              <w:ind w:left="-72" w:leftChars="-30" w:right="-72" w:rightChars="-30"/>
              <w:rPr>
                <w:color w:val="auto"/>
                <w:highlight w:val="none"/>
                <w:lang w:val="en-GB"/>
              </w:rPr>
            </w:pPr>
            <w:r>
              <w:rPr>
                <w:color w:val="auto"/>
                <w:highlight w:val="none"/>
                <w:lang w:val="en-GB"/>
              </w:rPr>
              <w:t>大气、声、生态环境</w:t>
            </w:r>
          </w:p>
        </w:tc>
        <w:tc>
          <w:tcPr>
            <w:tcW w:w="390" w:type="pct"/>
            <w:vAlign w:val="center"/>
          </w:tcPr>
          <w:p w14:paraId="27DA907B">
            <w:pPr>
              <w:pStyle w:val="523"/>
              <w:adjustRightInd w:val="0"/>
              <w:snapToGrid w:val="0"/>
              <w:spacing w:line="240" w:lineRule="auto"/>
              <w:ind w:left="-72" w:leftChars="-30" w:right="-72" w:rightChars="-30"/>
              <w:rPr>
                <w:color w:val="auto"/>
                <w:highlight w:val="none"/>
                <w:lang w:val="en-GB"/>
              </w:rPr>
            </w:pPr>
          </w:p>
        </w:tc>
        <w:tc>
          <w:tcPr>
            <w:tcW w:w="440" w:type="pct"/>
            <w:vAlign w:val="center"/>
          </w:tcPr>
          <w:p w14:paraId="06E5924F">
            <w:pPr>
              <w:pStyle w:val="523"/>
              <w:adjustRightInd w:val="0"/>
              <w:snapToGrid w:val="0"/>
              <w:spacing w:line="240" w:lineRule="auto"/>
              <w:ind w:left="-72" w:leftChars="-30" w:right="-72" w:rightChars="-30"/>
              <w:rPr>
                <w:color w:val="auto"/>
                <w:highlight w:val="none"/>
                <w:lang w:val="en-GB"/>
              </w:rPr>
            </w:pPr>
            <w:r>
              <w:rPr>
                <w:color w:val="auto"/>
                <w:highlight w:val="none"/>
                <w:lang w:val="en-GB"/>
              </w:rPr>
              <w:t>√</w:t>
            </w:r>
          </w:p>
        </w:tc>
        <w:tc>
          <w:tcPr>
            <w:tcW w:w="413" w:type="pct"/>
            <w:vAlign w:val="center"/>
          </w:tcPr>
          <w:p w14:paraId="302A8916">
            <w:pPr>
              <w:pStyle w:val="523"/>
              <w:adjustRightInd w:val="0"/>
              <w:snapToGrid w:val="0"/>
              <w:spacing w:line="240" w:lineRule="auto"/>
              <w:ind w:left="-72" w:leftChars="-30" w:right="-72" w:rightChars="-30"/>
              <w:rPr>
                <w:color w:val="auto"/>
                <w:highlight w:val="none"/>
                <w:lang w:val="en-GB"/>
              </w:rPr>
            </w:pPr>
          </w:p>
        </w:tc>
        <w:tc>
          <w:tcPr>
            <w:tcW w:w="397" w:type="pct"/>
            <w:vAlign w:val="center"/>
          </w:tcPr>
          <w:p w14:paraId="6AD9E728">
            <w:pPr>
              <w:pStyle w:val="523"/>
              <w:adjustRightInd w:val="0"/>
              <w:snapToGrid w:val="0"/>
              <w:spacing w:line="240" w:lineRule="auto"/>
              <w:ind w:left="-72" w:leftChars="-30" w:right="-72" w:rightChars="-30"/>
              <w:rPr>
                <w:color w:val="auto"/>
                <w:highlight w:val="none"/>
                <w:lang w:val="en-GB"/>
              </w:rPr>
            </w:pPr>
            <w:r>
              <w:rPr>
                <w:color w:val="auto"/>
                <w:highlight w:val="none"/>
                <w:lang w:val="en-GB"/>
              </w:rPr>
              <w:t>√</w:t>
            </w:r>
          </w:p>
        </w:tc>
      </w:tr>
      <w:tr w14:paraId="602F566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7" w:type="pct"/>
            <w:vMerge w:val="continue"/>
            <w:vAlign w:val="center"/>
          </w:tcPr>
          <w:p w14:paraId="5FBDEA8B">
            <w:pPr>
              <w:pStyle w:val="523"/>
              <w:adjustRightInd w:val="0"/>
              <w:snapToGrid w:val="0"/>
              <w:spacing w:line="240" w:lineRule="auto"/>
              <w:ind w:left="-72" w:leftChars="-30" w:right="-72" w:rightChars="-30"/>
              <w:rPr>
                <w:color w:val="auto"/>
                <w:highlight w:val="none"/>
                <w:lang w:val="en-GB"/>
              </w:rPr>
            </w:pPr>
          </w:p>
        </w:tc>
        <w:tc>
          <w:tcPr>
            <w:tcW w:w="1616" w:type="pct"/>
            <w:vAlign w:val="center"/>
          </w:tcPr>
          <w:p w14:paraId="13DBBFB3">
            <w:pPr>
              <w:pStyle w:val="523"/>
              <w:adjustRightInd w:val="0"/>
              <w:snapToGrid w:val="0"/>
              <w:spacing w:line="240" w:lineRule="auto"/>
              <w:ind w:left="-72" w:leftChars="-30" w:right="-72" w:rightChars="-30"/>
              <w:rPr>
                <w:color w:val="auto"/>
                <w:highlight w:val="none"/>
                <w:lang w:val="en-GB"/>
              </w:rPr>
            </w:pPr>
            <w:r>
              <w:rPr>
                <w:color w:val="auto"/>
                <w:highlight w:val="none"/>
                <w:lang w:val="en-GB"/>
              </w:rPr>
              <w:t>物料运输</w:t>
            </w:r>
          </w:p>
        </w:tc>
        <w:tc>
          <w:tcPr>
            <w:tcW w:w="787" w:type="pct"/>
            <w:vAlign w:val="center"/>
          </w:tcPr>
          <w:p w14:paraId="7055EA66">
            <w:pPr>
              <w:pStyle w:val="523"/>
              <w:adjustRightInd w:val="0"/>
              <w:snapToGrid w:val="0"/>
              <w:spacing w:line="240" w:lineRule="auto"/>
              <w:ind w:left="-72" w:leftChars="-30" w:right="-72" w:rightChars="-30"/>
              <w:rPr>
                <w:color w:val="auto"/>
                <w:highlight w:val="none"/>
                <w:lang w:val="en-GB"/>
              </w:rPr>
            </w:pPr>
            <w:r>
              <w:rPr>
                <w:color w:val="auto"/>
                <w:highlight w:val="none"/>
                <w:lang w:val="en-GB"/>
              </w:rPr>
              <w:t>废气、噪声</w:t>
            </w:r>
          </w:p>
        </w:tc>
        <w:tc>
          <w:tcPr>
            <w:tcW w:w="718" w:type="pct"/>
            <w:vAlign w:val="center"/>
          </w:tcPr>
          <w:p w14:paraId="2B0E49FC">
            <w:pPr>
              <w:pStyle w:val="523"/>
              <w:adjustRightInd w:val="0"/>
              <w:snapToGrid w:val="0"/>
              <w:spacing w:line="240" w:lineRule="auto"/>
              <w:ind w:left="-72" w:leftChars="-30" w:right="-72" w:rightChars="-30"/>
              <w:rPr>
                <w:color w:val="auto"/>
                <w:highlight w:val="none"/>
                <w:lang w:val="en-GB"/>
              </w:rPr>
            </w:pPr>
            <w:r>
              <w:rPr>
                <w:color w:val="auto"/>
                <w:highlight w:val="none"/>
                <w:lang w:val="en-GB"/>
              </w:rPr>
              <w:t>大气、声环境</w:t>
            </w:r>
          </w:p>
        </w:tc>
        <w:tc>
          <w:tcPr>
            <w:tcW w:w="390" w:type="pct"/>
            <w:vAlign w:val="center"/>
          </w:tcPr>
          <w:p w14:paraId="5E3916FF">
            <w:pPr>
              <w:pStyle w:val="523"/>
              <w:adjustRightInd w:val="0"/>
              <w:snapToGrid w:val="0"/>
              <w:spacing w:line="240" w:lineRule="auto"/>
              <w:ind w:left="-72" w:leftChars="-30" w:right="-72" w:rightChars="-30"/>
              <w:rPr>
                <w:color w:val="auto"/>
                <w:highlight w:val="none"/>
                <w:lang w:val="en-GB"/>
              </w:rPr>
            </w:pPr>
          </w:p>
        </w:tc>
        <w:tc>
          <w:tcPr>
            <w:tcW w:w="440" w:type="pct"/>
            <w:vAlign w:val="center"/>
          </w:tcPr>
          <w:p w14:paraId="4F34154B">
            <w:pPr>
              <w:pStyle w:val="523"/>
              <w:adjustRightInd w:val="0"/>
              <w:snapToGrid w:val="0"/>
              <w:spacing w:line="240" w:lineRule="auto"/>
              <w:ind w:left="-72" w:leftChars="-30" w:right="-72" w:rightChars="-30"/>
              <w:rPr>
                <w:color w:val="auto"/>
                <w:highlight w:val="none"/>
                <w:lang w:val="en-GB"/>
              </w:rPr>
            </w:pPr>
            <w:r>
              <w:rPr>
                <w:color w:val="auto"/>
                <w:highlight w:val="none"/>
                <w:lang w:val="en-GB"/>
              </w:rPr>
              <w:t>√</w:t>
            </w:r>
          </w:p>
        </w:tc>
        <w:tc>
          <w:tcPr>
            <w:tcW w:w="413" w:type="pct"/>
            <w:vAlign w:val="center"/>
          </w:tcPr>
          <w:p w14:paraId="1C21C43A">
            <w:pPr>
              <w:pStyle w:val="523"/>
              <w:adjustRightInd w:val="0"/>
              <w:snapToGrid w:val="0"/>
              <w:spacing w:line="240" w:lineRule="auto"/>
              <w:ind w:left="-72" w:leftChars="-30" w:right="-72" w:rightChars="-30"/>
              <w:rPr>
                <w:color w:val="auto"/>
                <w:highlight w:val="none"/>
                <w:lang w:val="en-GB"/>
              </w:rPr>
            </w:pPr>
          </w:p>
        </w:tc>
        <w:tc>
          <w:tcPr>
            <w:tcW w:w="397" w:type="pct"/>
            <w:vAlign w:val="center"/>
          </w:tcPr>
          <w:p w14:paraId="5671A0B6">
            <w:pPr>
              <w:pStyle w:val="523"/>
              <w:adjustRightInd w:val="0"/>
              <w:snapToGrid w:val="0"/>
              <w:spacing w:line="240" w:lineRule="auto"/>
              <w:ind w:left="-72" w:leftChars="-30" w:right="-72" w:rightChars="-30"/>
              <w:rPr>
                <w:color w:val="auto"/>
                <w:highlight w:val="none"/>
                <w:lang w:val="en-GB"/>
              </w:rPr>
            </w:pPr>
            <w:r>
              <w:rPr>
                <w:color w:val="auto"/>
                <w:highlight w:val="none"/>
                <w:lang w:val="en-GB"/>
              </w:rPr>
              <w:t>√</w:t>
            </w:r>
          </w:p>
        </w:tc>
      </w:tr>
      <w:tr w14:paraId="7D04A5E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7" w:type="pct"/>
            <w:vMerge w:val="continue"/>
            <w:vAlign w:val="center"/>
          </w:tcPr>
          <w:p w14:paraId="1313C4E2">
            <w:pPr>
              <w:pStyle w:val="523"/>
              <w:adjustRightInd w:val="0"/>
              <w:snapToGrid w:val="0"/>
              <w:spacing w:line="240" w:lineRule="auto"/>
              <w:ind w:left="-72" w:leftChars="-30" w:right="-72" w:rightChars="-30"/>
              <w:rPr>
                <w:color w:val="auto"/>
                <w:highlight w:val="none"/>
                <w:lang w:val="en-GB"/>
              </w:rPr>
            </w:pPr>
          </w:p>
        </w:tc>
        <w:tc>
          <w:tcPr>
            <w:tcW w:w="1616" w:type="pct"/>
            <w:vAlign w:val="center"/>
          </w:tcPr>
          <w:p w14:paraId="7874BC6F">
            <w:pPr>
              <w:pStyle w:val="523"/>
              <w:adjustRightInd w:val="0"/>
              <w:snapToGrid w:val="0"/>
              <w:spacing w:line="240" w:lineRule="auto"/>
              <w:ind w:left="-72" w:leftChars="-30" w:right="-72" w:rightChars="-30"/>
              <w:rPr>
                <w:color w:val="auto"/>
                <w:highlight w:val="none"/>
                <w:lang w:val="en-GB"/>
              </w:rPr>
            </w:pPr>
            <w:r>
              <w:rPr>
                <w:color w:val="auto"/>
                <w:highlight w:val="none"/>
                <w:lang w:val="en-GB"/>
              </w:rPr>
              <w:t>设备安装与调整</w:t>
            </w:r>
          </w:p>
        </w:tc>
        <w:tc>
          <w:tcPr>
            <w:tcW w:w="787" w:type="pct"/>
            <w:vAlign w:val="center"/>
          </w:tcPr>
          <w:p w14:paraId="316DE037">
            <w:pPr>
              <w:pStyle w:val="523"/>
              <w:adjustRightInd w:val="0"/>
              <w:snapToGrid w:val="0"/>
              <w:spacing w:line="240" w:lineRule="auto"/>
              <w:ind w:left="-72" w:leftChars="-30" w:right="-72" w:rightChars="-30"/>
              <w:rPr>
                <w:color w:val="auto"/>
                <w:highlight w:val="none"/>
                <w:lang w:val="en-GB"/>
              </w:rPr>
            </w:pPr>
            <w:r>
              <w:rPr>
                <w:color w:val="auto"/>
                <w:highlight w:val="none"/>
                <w:lang w:val="en-GB"/>
              </w:rPr>
              <w:t>噪声</w:t>
            </w:r>
          </w:p>
        </w:tc>
        <w:tc>
          <w:tcPr>
            <w:tcW w:w="718" w:type="pct"/>
            <w:vAlign w:val="center"/>
          </w:tcPr>
          <w:p w14:paraId="5F3F7B6A">
            <w:pPr>
              <w:pStyle w:val="523"/>
              <w:adjustRightInd w:val="0"/>
              <w:snapToGrid w:val="0"/>
              <w:spacing w:line="240" w:lineRule="auto"/>
              <w:ind w:left="-72" w:leftChars="-30" w:right="-72" w:rightChars="-30"/>
              <w:rPr>
                <w:color w:val="auto"/>
                <w:highlight w:val="none"/>
                <w:lang w:val="en-GB"/>
              </w:rPr>
            </w:pPr>
            <w:r>
              <w:rPr>
                <w:color w:val="auto"/>
                <w:highlight w:val="none"/>
                <w:lang w:val="en-GB"/>
              </w:rPr>
              <w:t>声环境</w:t>
            </w:r>
          </w:p>
        </w:tc>
        <w:tc>
          <w:tcPr>
            <w:tcW w:w="390" w:type="pct"/>
            <w:vAlign w:val="center"/>
          </w:tcPr>
          <w:p w14:paraId="216E7EC1">
            <w:pPr>
              <w:pStyle w:val="523"/>
              <w:adjustRightInd w:val="0"/>
              <w:snapToGrid w:val="0"/>
              <w:spacing w:line="240" w:lineRule="auto"/>
              <w:ind w:left="-72" w:leftChars="-30" w:right="-72" w:rightChars="-30"/>
              <w:rPr>
                <w:color w:val="auto"/>
                <w:highlight w:val="none"/>
                <w:lang w:val="en-GB"/>
              </w:rPr>
            </w:pPr>
          </w:p>
        </w:tc>
        <w:tc>
          <w:tcPr>
            <w:tcW w:w="440" w:type="pct"/>
            <w:vAlign w:val="center"/>
          </w:tcPr>
          <w:p w14:paraId="27018583">
            <w:pPr>
              <w:pStyle w:val="523"/>
              <w:adjustRightInd w:val="0"/>
              <w:snapToGrid w:val="0"/>
              <w:spacing w:line="240" w:lineRule="auto"/>
              <w:ind w:left="-72" w:leftChars="-30" w:right="-72" w:rightChars="-30"/>
              <w:rPr>
                <w:color w:val="auto"/>
                <w:highlight w:val="none"/>
                <w:lang w:val="en-GB"/>
              </w:rPr>
            </w:pPr>
            <w:r>
              <w:rPr>
                <w:color w:val="auto"/>
                <w:highlight w:val="none"/>
                <w:lang w:val="en-GB"/>
              </w:rPr>
              <w:t>√</w:t>
            </w:r>
          </w:p>
        </w:tc>
        <w:tc>
          <w:tcPr>
            <w:tcW w:w="413" w:type="pct"/>
            <w:vAlign w:val="center"/>
          </w:tcPr>
          <w:p w14:paraId="006BAC70">
            <w:pPr>
              <w:pStyle w:val="523"/>
              <w:adjustRightInd w:val="0"/>
              <w:snapToGrid w:val="0"/>
              <w:spacing w:line="240" w:lineRule="auto"/>
              <w:ind w:left="-72" w:leftChars="-30" w:right="-72" w:rightChars="-30"/>
              <w:rPr>
                <w:color w:val="auto"/>
                <w:highlight w:val="none"/>
                <w:lang w:val="en-GB"/>
              </w:rPr>
            </w:pPr>
          </w:p>
        </w:tc>
        <w:tc>
          <w:tcPr>
            <w:tcW w:w="397" w:type="pct"/>
            <w:vAlign w:val="center"/>
          </w:tcPr>
          <w:p w14:paraId="3DC300DB">
            <w:pPr>
              <w:pStyle w:val="523"/>
              <w:adjustRightInd w:val="0"/>
              <w:snapToGrid w:val="0"/>
              <w:spacing w:line="240" w:lineRule="auto"/>
              <w:ind w:left="-72" w:leftChars="-30" w:right="-72" w:rightChars="-30"/>
              <w:rPr>
                <w:color w:val="auto"/>
                <w:highlight w:val="none"/>
                <w:lang w:val="en-GB"/>
              </w:rPr>
            </w:pPr>
            <w:r>
              <w:rPr>
                <w:color w:val="auto"/>
                <w:highlight w:val="none"/>
                <w:lang w:val="en-GB"/>
              </w:rPr>
              <w:t>√</w:t>
            </w:r>
          </w:p>
        </w:tc>
      </w:tr>
      <w:tr w14:paraId="11A4CF1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7" w:type="pct"/>
            <w:vMerge w:val="continue"/>
            <w:vAlign w:val="center"/>
          </w:tcPr>
          <w:p w14:paraId="365E6EA2">
            <w:pPr>
              <w:pStyle w:val="523"/>
              <w:adjustRightInd w:val="0"/>
              <w:snapToGrid w:val="0"/>
              <w:spacing w:line="240" w:lineRule="auto"/>
              <w:ind w:left="-72" w:leftChars="-30" w:right="-72" w:rightChars="-30"/>
              <w:rPr>
                <w:color w:val="auto"/>
                <w:highlight w:val="none"/>
                <w:lang w:val="en-GB"/>
              </w:rPr>
            </w:pPr>
          </w:p>
        </w:tc>
        <w:tc>
          <w:tcPr>
            <w:tcW w:w="1616" w:type="pct"/>
            <w:vAlign w:val="center"/>
          </w:tcPr>
          <w:p w14:paraId="5FC7084E">
            <w:pPr>
              <w:pStyle w:val="523"/>
              <w:adjustRightInd w:val="0"/>
              <w:snapToGrid w:val="0"/>
              <w:spacing w:line="240" w:lineRule="auto"/>
              <w:ind w:left="-72" w:leftChars="-30" w:right="-72" w:rightChars="-30"/>
              <w:rPr>
                <w:color w:val="auto"/>
                <w:highlight w:val="none"/>
                <w:lang w:val="en-GB"/>
              </w:rPr>
            </w:pPr>
            <w:r>
              <w:rPr>
                <w:color w:val="auto"/>
                <w:highlight w:val="none"/>
                <w:lang w:val="en-GB"/>
              </w:rPr>
              <w:t>作业机械、车辆尾气</w:t>
            </w:r>
          </w:p>
        </w:tc>
        <w:tc>
          <w:tcPr>
            <w:tcW w:w="787" w:type="pct"/>
            <w:vAlign w:val="center"/>
          </w:tcPr>
          <w:p w14:paraId="71966ECD">
            <w:pPr>
              <w:pStyle w:val="523"/>
              <w:adjustRightInd w:val="0"/>
              <w:snapToGrid w:val="0"/>
              <w:spacing w:line="240" w:lineRule="auto"/>
              <w:ind w:left="-72" w:leftChars="-30" w:right="-72" w:rightChars="-30"/>
              <w:rPr>
                <w:color w:val="auto"/>
                <w:highlight w:val="none"/>
                <w:lang w:val="en-GB"/>
              </w:rPr>
            </w:pPr>
            <w:r>
              <w:rPr>
                <w:color w:val="auto"/>
                <w:highlight w:val="none"/>
                <w:lang w:val="en-GB"/>
              </w:rPr>
              <w:t>废气</w:t>
            </w:r>
          </w:p>
        </w:tc>
        <w:tc>
          <w:tcPr>
            <w:tcW w:w="718" w:type="pct"/>
            <w:vAlign w:val="center"/>
          </w:tcPr>
          <w:p w14:paraId="33259FD7">
            <w:pPr>
              <w:pStyle w:val="523"/>
              <w:adjustRightInd w:val="0"/>
              <w:snapToGrid w:val="0"/>
              <w:spacing w:line="240" w:lineRule="auto"/>
              <w:ind w:left="-72" w:leftChars="-30" w:right="-72" w:rightChars="-30"/>
              <w:rPr>
                <w:color w:val="auto"/>
                <w:highlight w:val="none"/>
                <w:lang w:val="en-GB"/>
              </w:rPr>
            </w:pPr>
            <w:r>
              <w:rPr>
                <w:color w:val="auto"/>
                <w:highlight w:val="none"/>
                <w:lang w:val="en-GB"/>
              </w:rPr>
              <w:t>大气环境</w:t>
            </w:r>
          </w:p>
        </w:tc>
        <w:tc>
          <w:tcPr>
            <w:tcW w:w="390" w:type="pct"/>
            <w:vAlign w:val="center"/>
          </w:tcPr>
          <w:p w14:paraId="4571CE33">
            <w:pPr>
              <w:pStyle w:val="523"/>
              <w:adjustRightInd w:val="0"/>
              <w:snapToGrid w:val="0"/>
              <w:spacing w:line="240" w:lineRule="auto"/>
              <w:ind w:left="-72" w:leftChars="-30" w:right="-72" w:rightChars="-30"/>
              <w:rPr>
                <w:color w:val="auto"/>
                <w:highlight w:val="none"/>
                <w:lang w:val="en-GB"/>
              </w:rPr>
            </w:pPr>
          </w:p>
        </w:tc>
        <w:tc>
          <w:tcPr>
            <w:tcW w:w="440" w:type="pct"/>
            <w:vAlign w:val="center"/>
          </w:tcPr>
          <w:p w14:paraId="3A00653A">
            <w:pPr>
              <w:pStyle w:val="523"/>
              <w:adjustRightInd w:val="0"/>
              <w:snapToGrid w:val="0"/>
              <w:spacing w:line="240" w:lineRule="auto"/>
              <w:ind w:left="-72" w:leftChars="-30" w:right="-72" w:rightChars="-30"/>
              <w:rPr>
                <w:color w:val="auto"/>
                <w:highlight w:val="none"/>
                <w:lang w:val="en-GB"/>
              </w:rPr>
            </w:pPr>
            <w:r>
              <w:rPr>
                <w:color w:val="auto"/>
                <w:highlight w:val="none"/>
                <w:lang w:val="en-GB"/>
              </w:rPr>
              <w:t>√</w:t>
            </w:r>
          </w:p>
        </w:tc>
        <w:tc>
          <w:tcPr>
            <w:tcW w:w="413" w:type="pct"/>
            <w:vAlign w:val="center"/>
          </w:tcPr>
          <w:p w14:paraId="3C382EB9">
            <w:pPr>
              <w:pStyle w:val="523"/>
              <w:adjustRightInd w:val="0"/>
              <w:snapToGrid w:val="0"/>
              <w:spacing w:line="240" w:lineRule="auto"/>
              <w:ind w:left="-72" w:leftChars="-30" w:right="-72" w:rightChars="-30"/>
              <w:rPr>
                <w:color w:val="auto"/>
                <w:highlight w:val="none"/>
                <w:lang w:val="en-GB"/>
              </w:rPr>
            </w:pPr>
          </w:p>
        </w:tc>
        <w:tc>
          <w:tcPr>
            <w:tcW w:w="397" w:type="pct"/>
            <w:vAlign w:val="center"/>
          </w:tcPr>
          <w:p w14:paraId="52654214">
            <w:pPr>
              <w:pStyle w:val="523"/>
              <w:adjustRightInd w:val="0"/>
              <w:snapToGrid w:val="0"/>
              <w:spacing w:line="240" w:lineRule="auto"/>
              <w:ind w:left="-72" w:leftChars="-30" w:right="-72" w:rightChars="-30"/>
              <w:rPr>
                <w:color w:val="auto"/>
                <w:highlight w:val="none"/>
                <w:lang w:val="en-GB"/>
              </w:rPr>
            </w:pPr>
            <w:r>
              <w:rPr>
                <w:color w:val="auto"/>
                <w:highlight w:val="none"/>
                <w:lang w:val="en-GB"/>
              </w:rPr>
              <w:t>√</w:t>
            </w:r>
          </w:p>
        </w:tc>
      </w:tr>
      <w:tr w14:paraId="005E5F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7" w:type="pct"/>
            <w:vMerge w:val="continue"/>
            <w:vAlign w:val="center"/>
          </w:tcPr>
          <w:p w14:paraId="7AA84B76">
            <w:pPr>
              <w:pStyle w:val="523"/>
              <w:adjustRightInd w:val="0"/>
              <w:snapToGrid w:val="0"/>
              <w:spacing w:line="240" w:lineRule="auto"/>
              <w:ind w:left="-72" w:leftChars="-30" w:right="-72" w:rightChars="-30"/>
              <w:rPr>
                <w:color w:val="auto"/>
                <w:highlight w:val="none"/>
                <w:lang w:val="en-GB"/>
              </w:rPr>
            </w:pPr>
          </w:p>
        </w:tc>
        <w:tc>
          <w:tcPr>
            <w:tcW w:w="1616" w:type="pct"/>
            <w:vAlign w:val="center"/>
          </w:tcPr>
          <w:p w14:paraId="2563E5FB">
            <w:pPr>
              <w:pStyle w:val="523"/>
              <w:adjustRightInd w:val="0"/>
              <w:snapToGrid w:val="0"/>
              <w:spacing w:line="240" w:lineRule="auto"/>
              <w:ind w:left="-72" w:leftChars="-30" w:right="-72" w:rightChars="-30"/>
              <w:rPr>
                <w:color w:val="auto"/>
                <w:highlight w:val="none"/>
                <w:lang w:val="en-GB"/>
              </w:rPr>
            </w:pPr>
            <w:r>
              <w:rPr>
                <w:color w:val="auto"/>
                <w:highlight w:val="none"/>
                <w:lang w:val="en-GB"/>
              </w:rPr>
              <w:t>锚块投放</w:t>
            </w:r>
          </w:p>
        </w:tc>
        <w:tc>
          <w:tcPr>
            <w:tcW w:w="787" w:type="pct"/>
            <w:vAlign w:val="center"/>
          </w:tcPr>
          <w:p w14:paraId="047A8842">
            <w:pPr>
              <w:pStyle w:val="523"/>
              <w:adjustRightInd w:val="0"/>
              <w:snapToGrid w:val="0"/>
              <w:spacing w:line="240" w:lineRule="auto"/>
              <w:ind w:left="-72" w:leftChars="-30" w:right="-72" w:rightChars="-30"/>
              <w:rPr>
                <w:color w:val="auto"/>
                <w:highlight w:val="none"/>
                <w:lang w:val="en-GB"/>
              </w:rPr>
            </w:pPr>
            <w:r>
              <w:rPr>
                <w:color w:val="auto"/>
                <w:highlight w:val="none"/>
                <w:lang w:val="en-GB"/>
              </w:rPr>
              <w:t>悬浮物</w:t>
            </w:r>
          </w:p>
        </w:tc>
        <w:tc>
          <w:tcPr>
            <w:tcW w:w="718" w:type="pct"/>
            <w:vAlign w:val="center"/>
          </w:tcPr>
          <w:p w14:paraId="6BC9F6AF">
            <w:pPr>
              <w:pStyle w:val="523"/>
              <w:adjustRightInd w:val="0"/>
              <w:snapToGrid w:val="0"/>
              <w:spacing w:line="240" w:lineRule="auto"/>
              <w:ind w:left="-72" w:leftChars="-30" w:right="-72" w:rightChars="-30"/>
              <w:rPr>
                <w:color w:val="auto"/>
                <w:highlight w:val="none"/>
                <w:lang w:val="en-GB"/>
              </w:rPr>
            </w:pPr>
            <w:r>
              <w:rPr>
                <w:color w:val="auto"/>
                <w:highlight w:val="none"/>
                <w:lang w:val="en-GB"/>
              </w:rPr>
              <w:t>海水水质、海洋生态环境</w:t>
            </w:r>
          </w:p>
        </w:tc>
        <w:tc>
          <w:tcPr>
            <w:tcW w:w="390" w:type="pct"/>
            <w:vAlign w:val="center"/>
          </w:tcPr>
          <w:p w14:paraId="3E0985F2">
            <w:pPr>
              <w:pStyle w:val="523"/>
              <w:adjustRightInd w:val="0"/>
              <w:snapToGrid w:val="0"/>
              <w:spacing w:line="240" w:lineRule="auto"/>
              <w:ind w:left="-72" w:leftChars="-30" w:right="-72" w:rightChars="-30"/>
              <w:rPr>
                <w:color w:val="auto"/>
                <w:highlight w:val="none"/>
                <w:lang w:val="en-GB"/>
              </w:rPr>
            </w:pPr>
          </w:p>
        </w:tc>
        <w:tc>
          <w:tcPr>
            <w:tcW w:w="440" w:type="pct"/>
            <w:vAlign w:val="center"/>
          </w:tcPr>
          <w:p w14:paraId="0E645DD3">
            <w:pPr>
              <w:pStyle w:val="523"/>
              <w:adjustRightInd w:val="0"/>
              <w:snapToGrid w:val="0"/>
              <w:spacing w:line="240" w:lineRule="auto"/>
              <w:ind w:left="-72" w:leftChars="-30" w:right="-72" w:rightChars="-30"/>
              <w:rPr>
                <w:color w:val="auto"/>
                <w:highlight w:val="none"/>
                <w:lang w:val="en-GB"/>
              </w:rPr>
            </w:pPr>
            <w:r>
              <w:rPr>
                <w:color w:val="auto"/>
                <w:highlight w:val="none"/>
                <w:lang w:val="en-GB"/>
              </w:rPr>
              <w:t>√</w:t>
            </w:r>
          </w:p>
        </w:tc>
        <w:tc>
          <w:tcPr>
            <w:tcW w:w="413" w:type="pct"/>
            <w:vAlign w:val="center"/>
          </w:tcPr>
          <w:p w14:paraId="3B701103">
            <w:pPr>
              <w:pStyle w:val="523"/>
              <w:adjustRightInd w:val="0"/>
              <w:snapToGrid w:val="0"/>
              <w:spacing w:line="240" w:lineRule="auto"/>
              <w:ind w:left="-72" w:leftChars="-30" w:right="-72" w:rightChars="-30"/>
              <w:rPr>
                <w:color w:val="auto"/>
                <w:highlight w:val="none"/>
                <w:lang w:val="en-GB"/>
              </w:rPr>
            </w:pPr>
          </w:p>
        </w:tc>
        <w:tc>
          <w:tcPr>
            <w:tcW w:w="397" w:type="pct"/>
            <w:vAlign w:val="center"/>
          </w:tcPr>
          <w:p w14:paraId="5549841E">
            <w:pPr>
              <w:pStyle w:val="523"/>
              <w:adjustRightInd w:val="0"/>
              <w:snapToGrid w:val="0"/>
              <w:spacing w:line="240" w:lineRule="auto"/>
              <w:ind w:left="-72" w:leftChars="-30" w:right="-72" w:rightChars="-30"/>
              <w:rPr>
                <w:color w:val="auto"/>
                <w:highlight w:val="none"/>
                <w:lang w:val="en-GB"/>
              </w:rPr>
            </w:pPr>
            <w:r>
              <w:rPr>
                <w:color w:val="auto"/>
                <w:highlight w:val="none"/>
                <w:lang w:val="en-GB"/>
              </w:rPr>
              <w:t>√</w:t>
            </w:r>
          </w:p>
        </w:tc>
      </w:tr>
      <w:tr w14:paraId="40AD7DD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7" w:type="pct"/>
            <w:vMerge w:val="restart"/>
            <w:vAlign w:val="center"/>
          </w:tcPr>
          <w:p w14:paraId="3F843FDF">
            <w:pPr>
              <w:pStyle w:val="523"/>
              <w:adjustRightInd w:val="0"/>
              <w:snapToGrid w:val="0"/>
              <w:spacing w:line="240" w:lineRule="auto"/>
              <w:ind w:left="-72" w:leftChars="-30" w:right="-72" w:rightChars="-30"/>
              <w:rPr>
                <w:color w:val="auto"/>
                <w:highlight w:val="none"/>
                <w:lang w:val="en-GB"/>
              </w:rPr>
            </w:pPr>
            <w:r>
              <w:rPr>
                <w:color w:val="auto"/>
                <w:highlight w:val="none"/>
                <w:lang w:val="en-GB"/>
              </w:rPr>
              <w:t>运营期</w:t>
            </w:r>
          </w:p>
        </w:tc>
        <w:tc>
          <w:tcPr>
            <w:tcW w:w="1616" w:type="pct"/>
            <w:vAlign w:val="center"/>
          </w:tcPr>
          <w:p w14:paraId="4F9328D3">
            <w:pPr>
              <w:pStyle w:val="523"/>
              <w:adjustRightInd w:val="0"/>
              <w:snapToGrid w:val="0"/>
              <w:spacing w:line="240" w:lineRule="auto"/>
              <w:ind w:left="-72" w:leftChars="-30" w:right="-72" w:rightChars="-30"/>
              <w:rPr>
                <w:color w:val="auto"/>
                <w:highlight w:val="none"/>
                <w:lang w:val="en-GB"/>
              </w:rPr>
            </w:pPr>
            <w:r>
              <w:rPr>
                <w:color w:val="auto"/>
                <w:highlight w:val="none"/>
              </w:rPr>
              <w:t>喷漆有机废气、焊接烟尘、除锈粉尘及切割粉尘</w:t>
            </w:r>
          </w:p>
        </w:tc>
        <w:tc>
          <w:tcPr>
            <w:tcW w:w="787" w:type="pct"/>
            <w:vAlign w:val="center"/>
          </w:tcPr>
          <w:p w14:paraId="5B921492">
            <w:pPr>
              <w:pStyle w:val="523"/>
              <w:adjustRightInd w:val="0"/>
              <w:snapToGrid w:val="0"/>
              <w:spacing w:line="240" w:lineRule="auto"/>
              <w:ind w:left="-72" w:leftChars="-30" w:right="-72" w:rightChars="-30"/>
              <w:rPr>
                <w:color w:val="auto"/>
                <w:highlight w:val="none"/>
                <w:lang w:val="en-GB"/>
              </w:rPr>
            </w:pPr>
            <w:r>
              <w:rPr>
                <w:color w:val="auto"/>
                <w:highlight w:val="none"/>
                <w:lang w:val="en-GB"/>
              </w:rPr>
              <w:t>废气</w:t>
            </w:r>
          </w:p>
        </w:tc>
        <w:tc>
          <w:tcPr>
            <w:tcW w:w="718" w:type="pct"/>
            <w:vAlign w:val="center"/>
          </w:tcPr>
          <w:p w14:paraId="0E2C10CA">
            <w:pPr>
              <w:pStyle w:val="523"/>
              <w:adjustRightInd w:val="0"/>
              <w:snapToGrid w:val="0"/>
              <w:spacing w:line="240" w:lineRule="auto"/>
              <w:ind w:left="-72" w:leftChars="-30" w:right="-72" w:rightChars="-30"/>
              <w:rPr>
                <w:color w:val="auto"/>
                <w:highlight w:val="none"/>
                <w:lang w:val="en-GB"/>
              </w:rPr>
            </w:pPr>
            <w:r>
              <w:rPr>
                <w:color w:val="auto"/>
                <w:highlight w:val="none"/>
                <w:lang w:val="en-GB"/>
              </w:rPr>
              <w:t>大气环境</w:t>
            </w:r>
          </w:p>
        </w:tc>
        <w:tc>
          <w:tcPr>
            <w:tcW w:w="390" w:type="pct"/>
            <w:vAlign w:val="center"/>
          </w:tcPr>
          <w:p w14:paraId="4B8CD080">
            <w:pPr>
              <w:pStyle w:val="523"/>
              <w:adjustRightInd w:val="0"/>
              <w:snapToGrid w:val="0"/>
              <w:spacing w:line="240" w:lineRule="auto"/>
              <w:ind w:left="-72" w:leftChars="-30" w:right="-72" w:rightChars="-30"/>
              <w:rPr>
                <w:color w:val="auto"/>
                <w:highlight w:val="none"/>
                <w:lang w:val="en-GB"/>
              </w:rPr>
            </w:pPr>
            <w:r>
              <w:rPr>
                <w:color w:val="auto"/>
                <w:highlight w:val="none"/>
                <w:lang w:val="en-GB"/>
              </w:rPr>
              <w:t>√</w:t>
            </w:r>
          </w:p>
        </w:tc>
        <w:tc>
          <w:tcPr>
            <w:tcW w:w="440" w:type="pct"/>
            <w:vAlign w:val="center"/>
          </w:tcPr>
          <w:p w14:paraId="7427A466">
            <w:pPr>
              <w:pStyle w:val="523"/>
              <w:adjustRightInd w:val="0"/>
              <w:snapToGrid w:val="0"/>
              <w:spacing w:line="240" w:lineRule="auto"/>
              <w:ind w:left="-72" w:leftChars="-30" w:right="-72" w:rightChars="-30"/>
              <w:rPr>
                <w:color w:val="auto"/>
                <w:highlight w:val="none"/>
                <w:lang w:val="en-GB"/>
              </w:rPr>
            </w:pPr>
          </w:p>
        </w:tc>
        <w:tc>
          <w:tcPr>
            <w:tcW w:w="413" w:type="pct"/>
            <w:vAlign w:val="center"/>
          </w:tcPr>
          <w:p w14:paraId="2FDADE75">
            <w:pPr>
              <w:pStyle w:val="523"/>
              <w:adjustRightInd w:val="0"/>
              <w:snapToGrid w:val="0"/>
              <w:spacing w:line="240" w:lineRule="auto"/>
              <w:ind w:left="-72" w:leftChars="-30" w:right="-72" w:rightChars="-30"/>
              <w:rPr>
                <w:color w:val="auto"/>
                <w:highlight w:val="none"/>
                <w:lang w:val="en-GB"/>
              </w:rPr>
            </w:pPr>
          </w:p>
        </w:tc>
        <w:tc>
          <w:tcPr>
            <w:tcW w:w="397" w:type="pct"/>
            <w:vAlign w:val="center"/>
          </w:tcPr>
          <w:p w14:paraId="7A94FCA7">
            <w:pPr>
              <w:pStyle w:val="523"/>
              <w:adjustRightInd w:val="0"/>
              <w:snapToGrid w:val="0"/>
              <w:spacing w:line="240" w:lineRule="auto"/>
              <w:ind w:left="-72" w:leftChars="-30" w:right="-72" w:rightChars="-30"/>
              <w:rPr>
                <w:color w:val="auto"/>
                <w:highlight w:val="none"/>
                <w:lang w:val="en-GB"/>
              </w:rPr>
            </w:pPr>
            <w:r>
              <w:rPr>
                <w:color w:val="auto"/>
                <w:highlight w:val="none"/>
                <w:lang w:val="en-GB"/>
              </w:rPr>
              <w:t>√</w:t>
            </w:r>
          </w:p>
        </w:tc>
      </w:tr>
      <w:tr w14:paraId="4461AD8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7" w:type="pct"/>
            <w:vMerge w:val="continue"/>
            <w:vAlign w:val="center"/>
          </w:tcPr>
          <w:p w14:paraId="5AC08B2C">
            <w:pPr>
              <w:pStyle w:val="523"/>
              <w:adjustRightInd w:val="0"/>
              <w:snapToGrid w:val="0"/>
              <w:spacing w:line="240" w:lineRule="auto"/>
              <w:ind w:left="-72" w:leftChars="-30" w:right="-72" w:rightChars="-30"/>
              <w:rPr>
                <w:color w:val="auto"/>
                <w:highlight w:val="none"/>
                <w:lang w:val="en-GB"/>
              </w:rPr>
            </w:pPr>
          </w:p>
        </w:tc>
        <w:tc>
          <w:tcPr>
            <w:tcW w:w="1616" w:type="pct"/>
            <w:vAlign w:val="center"/>
          </w:tcPr>
          <w:p w14:paraId="27A8056E">
            <w:pPr>
              <w:pStyle w:val="523"/>
              <w:adjustRightInd w:val="0"/>
              <w:snapToGrid w:val="0"/>
              <w:spacing w:line="240" w:lineRule="auto"/>
              <w:ind w:left="-72" w:leftChars="-30" w:right="-72" w:rightChars="-30"/>
              <w:rPr>
                <w:color w:val="auto"/>
                <w:highlight w:val="none"/>
                <w:lang w:val="en-GB"/>
              </w:rPr>
            </w:pPr>
            <w:r>
              <w:rPr>
                <w:color w:val="auto"/>
                <w:highlight w:val="none"/>
                <w:lang w:val="en-GB"/>
              </w:rPr>
              <w:t>生产废水、生活污水</w:t>
            </w:r>
            <w:r>
              <w:rPr>
                <w:rFonts w:hint="eastAsia"/>
                <w:color w:val="auto"/>
                <w:highlight w:val="none"/>
                <w:lang w:val="en-GB"/>
              </w:rPr>
              <w:t>、初期雨水</w:t>
            </w:r>
          </w:p>
        </w:tc>
        <w:tc>
          <w:tcPr>
            <w:tcW w:w="787" w:type="pct"/>
            <w:vAlign w:val="center"/>
          </w:tcPr>
          <w:p w14:paraId="73E51CC2">
            <w:pPr>
              <w:pStyle w:val="523"/>
              <w:adjustRightInd w:val="0"/>
              <w:snapToGrid w:val="0"/>
              <w:spacing w:line="240" w:lineRule="auto"/>
              <w:ind w:left="-72" w:leftChars="-30" w:right="-72" w:rightChars="-30"/>
              <w:rPr>
                <w:color w:val="auto"/>
                <w:highlight w:val="none"/>
                <w:lang w:val="en-GB"/>
              </w:rPr>
            </w:pPr>
            <w:r>
              <w:rPr>
                <w:color w:val="auto"/>
                <w:highlight w:val="none"/>
                <w:lang w:val="en-GB"/>
              </w:rPr>
              <w:t>废水</w:t>
            </w:r>
          </w:p>
        </w:tc>
        <w:tc>
          <w:tcPr>
            <w:tcW w:w="718" w:type="pct"/>
            <w:vAlign w:val="center"/>
          </w:tcPr>
          <w:p w14:paraId="378D297A">
            <w:pPr>
              <w:pStyle w:val="523"/>
              <w:adjustRightInd w:val="0"/>
              <w:snapToGrid w:val="0"/>
              <w:spacing w:line="240" w:lineRule="auto"/>
              <w:ind w:left="-72" w:leftChars="-30" w:right="-72" w:rightChars="-30"/>
              <w:rPr>
                <w:color w:val="auto"/>
                <w:highlight w:val="none"/>
                <w:lang w:val="en-GB"/>
              </w:rPr>
            </w:pPr>
            <w:r>
              <w:rPr>
                <w:color w:val="auto"/>
                <w:highlight w:val="none"/>
                <w:lang w:val="en-GB"/>
              </w:rPr>
              <w:t>地表水</w:t>
            </w:r>
          </w:p>
        </w:tc>
        <w:tc>
          <w:tcPr>
            <w:tcW w:w="390" w:type="pct"/>
            <w:vAlign w:val="center"/>
          </w:tcPr>
          <w:p w14:paraId="3D7CEF7C">
            <w:pPr>
              <w:pStyle w:val="523"/>
              <w:adjustRightInd w:val="0"/>
              <w:snapToGrid w:val="0"/>
              <w:spacing w:line="240" w:lineRule="auto"/>
              <w:ind w:left="-72" w:leftChars="-30" w:right="-72" w:rightChars="-30"/>
              <w:rPr>
                <w:color w:val="auto"/>
                <w:highlight w:val="none"/>
                <w:lang w:val="en-GB"/>
              </w:rPr>
            </w:pPr>
            <w:r>
              <w:rPr>
                <w:color w:val="auto"/>
                <w:highlight w:val="none"/>
                <w:lang w:val="en-GB"/>
              </w:rPr>
              <w:t>√</w:t>
            </w:r>
          </w:p>
        </w:tc>
        <w:tc>
          <w:tcPr>
            <w:tcW w:w="440" w:type="pct"/>
            <w:vAlign w:val="center"/>
          </w:tcPr>
          <w:p w14:paraId="7CFC2A6E">
            <w:pPr>
              <w:pStyle w:val="523"/>
              <w:adjustRightInd w:val="0"/>
              <w:snapToGrid w:val="0"/>
              <w:spacing w:line="240" w:lineRule="auto"/>
              <w:ind w:left="-72" w:leftChars="-30" w:right="-72" w:rightChars="-30"/>
              <w:rPr>
                <w:color w:val="auto"/>
                <w:highlight w:val="none"/>
                <w:lang w:val="en-GB"/>
              </w:rPr>
            </w:pPr>
          </w:p>
        </w:tc>
        <w:tc>
          <w:tcPr>
            <w:tcW w:w="413" w:type="pct"/>
            <w:vAlign w:val="center"/>
          </w:tcPr>
          <w:p w14:paraId="70F4BB9D">
            <w:pPr>
              <w:pStyle w:val="523"/>
              <w:adjustRightInd w:val="0"/>
              <w:snapToGrid w:val="0"/>
              <w:spacing w:line="240" w:lineRule="auto"/>
              <w:ind w:left="-72" w:leftChars="-30" w:right="-72" w:rightChars="-30"/>
              <w:rPr>
                <w:color w:val="auto"/>
                <w:highlight w:val="none"/>
                <w:lang w:val="en-GB"/>
              </w:rPr>
            </w:pPr>
          </w:p>
        </w:tc>
        <w:tc>
          <w:tcPr>
            <w:tcW w:w="397" w:type="pct"/>
            <w:vAlign w:val="center"/>
          </w:tcPr>
          <w:p w14:paraId="77CE6766">
            <w:pPr>
              <w:pStyle w:val="523"/>
              <w:adjustRightInd w:val="0"/>
              <w:snapToGrid w:val="0"/>
              <w:spacing w:line="240" w:lineRule="auto"/>
              <w:ind w:left="-72" w:leftChars="-30" w:right="-72" w:rightChars="-30"/>
              <w:rPr>
                <w:color w:val="auto"/>
                <w:highlight w:val="none"/>
                <w:lang w:val="en-GB"/>
              </w:rPr>
            </w:pPr>
            <w:r>
              <w:rPr>
                <w:color w:val="auto"/>
                <w:highlight w:val="none"/>
                <w:lang w:val="en-GB"/>
              </w:rPr>
              <w:t>√</w:t>
            </w:r>
          </w:p>
        </w:tc>
      </w:tr>
      <w:tr w14:paraId="418C1A8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7" w:type="pct"/>
            <w:vMerge w:val="continue"/>
            <w:vAlign w:val="center"/>
          </w:tcPr>
          <w:p w14:paraId="724A655C">
            <w:pPr>
              <w:pStyle w:val="523"/>
              <w:adjustRightInd w:val="0"/>
              <w:snapToGrid w:val="0"/>
              <w:spacing w:line="240" w:lineRule="auto"/>
              <w:ind w:left="-72" w:leftChars="-30" w:right="-72" w:rightChars="-30"/>
              <w:rPr>
                <w:color w:val="auto"/>
                <w:highlight w:val="none"/>
                <w:lang w:val="en-GB"/>
              </w:rPr>
            </w:pPr>
          </w:p>
        </w:tc>
        <w:tc>
          <w:tcPr>
            <w:tcW w:w="1616" w:type="pct"/>
            <w:vAlign w:val="center"/>
          </w:tcPr>
          <w:p w14:paraId="2B1F7468">
            <w:pPr>
              <w:pStyle w:val="523"/>
              <w:adjustRightInd w:val="0"/>
              <w:snapToGrid w:val="0"/>
              <w:spacing w:line="240" w:lineRule="auto"/>
              <w:ind w:left="-72" w:leftChars="-30" w:right="-72" w:rightChars="-30"/>
              <w:rPr>
                <w:color w:val="auto"/>
                <w:highlight w:val="none"/>
                <w:lang w:val="en-GB"/>
              </w:rPr>
            </w:pPr>
            <w:r>
              <w:rPr>
                <w:color w:val="auto"/>
                <w:highlight w:val="none"/>
                <w:lang w:val="en-GB"/>
              </w:rPr>
              <w:t>货物装卸及运输</w:t>
            </w:r>
          </w:p>
        </w:tc>
        <w:tc>
          <w:tcPr>
            <w:tcW w:w="787" w:type="pct"/>
            <w:vAlign w:val="center"/>
          </w:tcPr>
          <w:p w14:paraId="70C18887">
            <w:pPr>
              <w:pStyle w:val="523"/>
              <w:adjustRightInd w:val="0"/>
              <w:snapToGrid w:val="0"/>
              <w:spacing w:line="240" w:lineRule="auto"/>
              <w:ind w:left="-72" w:leftChars="-30" w:right="-72" w:rightChars="-30"/>
              <w:rPr>
                <w:color w:val="auto"/>
                <w:highlight w:val="none"/>
                <w:lang w:val="en-GB"/>
              </w:rPr>
            </w:pPr>
            <w:r>
              <w:rPr>
                <w:color w:val="auto"/>
                <w:highlight w:val="none"/>
                <w:lang w:val="en-GB"/>
              </w:rPr>
              <w:t>噪声</w:t>
            </w:r>
          </w:p>
        </w:tc>
        <w:tc>
          <w:tcPr>
            <w:tcW w:w="718" w:type="pct"/>
            <w:vAlign w:val="center"/>
          </w:tcPr>
          <w:p w14:paraId="4B9F9F93">
            <w:pPr>
              <w:pStyle w:val="523"/>
              <w:adjustRightInd w:val="0"/>
              <w:snapToGrid w:val="0"/>
              <w:spacing w:line="240" w:lineRule="auto"/>
              <w:ind w:left="-72" w:leftChars="-30" w:right="-72" w:rightChars="-30"/>
              <w:rPr>
                <w:color w:val="auto"/>
                <w:highlight w:val="none"/>
                <w:lang w:val="en-GB"/>
              </w:rPr>
            </w:pPr>
            <w:r>
              <w:rPr>
                <w:color w:val="auto"/>
                <w:highlight w:val="none"/>
                <w:lang w:val="en-GB"/>
              </w:rPr>
              <w:t>声环境</w:t>
            </w:r>
          </w:p>
        </w:tc>
        <w:tc>
          <w:tcPr>
            <w:tcW w:w="390" w:type="pct"/>
            <w:vAlign w:val="center"/>
          </w:tcPr>
          <w:p w14:paraId="45B9A00C">
            <w:pPr>
              <w:pStyle w:val="523"/>
              <w:adjustRightInd w:val="0"/>
              <w:snapToGrid w:val="0"/>
              <w:spacing w:line="240" w:lineRule="auto"/>
              <w:ind w:left="-72" w:leftChars="-30" w:right="-72" w:rightChars="-30"/>
              <w:rPr>
                <w:color w:val="auto"/>
                <w:highlight w:val="none"/>
                <w:lang w:val="en-GB"/>
              </w:rPr>
            </w:pPr>
            <w:r>
              <w:rPr>
                <w:color w:val="auto"/>
                <w:highlight w:val="none"/>
                <w:lang w:val="en-GB"/>
              </w:rPr>
              <w:t>√</w:t>
            </w:r>
          </w:p>
        </w:tc>
        <w:tc>
          <w:tcPr>
            <w:tcW w:w="440" w:type="pct"/>
            <w:vAlign w:val="center"/>
          </w:tcPr>
          <w:p w14:paraId="7D3DB76F">
            <w:pPr>
              <w:pStyle w:val="523"/>
              <w:adjustRightInd w:val="0"/>
              <w:snapToGrid w:val="0"/>
              <w:spacing w:line="240" w:lineRule="auto"/>
              <w:ind w:left="-72" w:leftChars="-30" w:right="-72" w:rightChars="-30"/>
              <w:rPr>
                <w:color w:val="auto"/>
                <w:highlight w:val="none"/>
                <w:lang w:val="en-GB"/>
              </w:rPr>
            </w:pPr>
          </w:p>
        </w:tc>
        <w:tc>
          <w:tcPr>
            <w:tcW w:w="413" w:type="pct"/>
            <w:vAlign w:val="center"/>
          </w:tcPr>
          <w:p w14:paraId="43B31DAD">
            <w:pPr>
              <w:pStyle w:val="523"/>
              <w:adjustRightInd w:val="0"/>
              <w:snapToGrid w:val="0"/>
              <w:spacing w:line="240" w:lineRule="auto"/>
              <w:ind w:left="-72" w:leftChars="-30" w:right="-72" w:rightChars="-30"/>
              <w:rPr>
                <w:color w:val="auto"/>
                <w:highlight w:val="none"/>
                <w:lang w:val="en-GB"/>
              </w:rPr>
            </w:pPr>
          </w:p>
        </w:tc>
        <w:tc>
          <w:tcPr>
            <w:tcW w:w="397" w:type="pct"/>
            <w:vAlign w:val="center"/>
          </w:tcPr>
          <w:p w14:paraId="49865588">
            <w:pPr>
              <w:pStyle w:val="523"/>
              <w:adjustRightInd w:val="0"/>
              <w:snapToGrid w:val="0"/>
              <w:spacing w:line="240" w:lineRule="auto"/>
              <w:ind w:left="-72" w:leftChars="-30" w:right="-72" w:rightChars="-30"/>
              <w:rPr>
                <w:color w:val="auto"/>
                <w:highlight w:val="none"/>
                <w:lang w:val="en-GB"/>
              </w:rPr>
            </w:pPr>
            <w:r>
              <w:rPr>
                <w:color w:val="auto"/>
                <w:highlight w:val="none"/>
                <w:lang w:val="en-GB"/>
              </w:rPr>
              <w:t>√</w:t>
            </w:r>
          </w:p>
        </w:tc>
      </w:tr>
      <w:tr w14:paraId="17CF78C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7" w:type="pct"/>
            <w:vMerge w:val="continue"/>
            <w:vAlign w:val="center"/>
          </w:tcPr>
          <w:p w14:paraId="36E25189">
            <w:pPr>
              <w:pStyle w:val="523"/>
              <w:adjustRightInd w:val="0"/>
              <w:snapToGrid w:val="0"/>
              <w:spacing w:line="240" w:lineRule="auto"/>
              <w:ind w:left="-72" w:leftChars="-30" w:right="-72" w:rightChars="-30"/>
              <w:rPr>
                <w:color w:val="auto"/>
                <w:highlight w:val="none"/>
                <w:lang w:val="en-GB"/>
              </w:rPr>
            </w:pPr>
          </w:p>
        </w:tc>
        <w:tc>
          <w:tcPr>
            <w:tcW w:w="1616" w:type="pct"/>
            <w:vAlign w:val="center"/>
          </w:tcPr>
          <w:p w14:paraId="235EB9DB">
            <w:pPr>
              <w:pStyle w:val="523"/>
              <w:adjustRightInd w:val="0"/>
              <w:snapToGrid w:val="0"/>
              <w:spacing w:line="240" w:lineRule="auto"/>
              <w:ind w:left="-72" w:leftChars="-30" w:right="-72" w:rightChars="-30"/>
              <w:rPr>
                <w:color w:val="auto"/>
                <w:highlight w:val="none"/>
                <w:lang w:val="en-GB"/>
              </w:rPr>
            </w:pPr>
            <w:r>
              <w:rPr>
                <w:color w:val="auto"/>
                <w:highlight w:val="none"/>
                <w:lang w:val="en-GB"/>
              </w:rPr>
              <w:t>员工生活垃圾、船舶生活垃圾、机修废物、</w:t>
            </w:r>
            <w:r>
              <w:rPr>
                <w:rFonts w:hint="eastAsia"/>
                <w:color w:val="auto"/>
                <w:highlight w:val="none"/>
                <w:lang w:val="en-GB"/>
              </w:rPr>
              <w:t>漆渣、</w:t>
            </w:r>
            <w:r>
              <w:rPr>
                <w:color w:val="auto"/>
                <w:highlight w:val="none"/>
                <w:lang w:val="en-GB"/>
              </w:rPr>
              <w:t>油漆桶</w:t>
            </w:r>
          </w:p>
        </w:tc>
        <w:tc>
          <w:tcPr>
            <w:tcW w:w="787" w:type="pct"/>
            <w:vAlign w:val="center"/>
          </w:tcPr>
          <w:p w14:paraId="040CCC2C">
            <w:pPr>
              <w:pStyle w:val="523"/>
              <w:adjustRightInd w:val="0"/>
              <w:snapToGrid w:val="0"/>
              <w:spacing w:line="240" w:lineRule="auto"/>
              <w:ind w:left="-72" w:leftChars="-30" w:right="-72" w:rightChars="-30"/>
              <w:rPr>
                <w:color w:val="auto"/>
                <w:highlight w:val="none"/>
                <w:lang w:val="en-GB"/>
              </w:rPr>
            </w:pPr>
            <w:r>
              <w:rPr>
                <w:color w:val="auto"/>
                <w:highlight w:val="none"/>
                <w:lang w:val="en-GB"/>
              </w:rPr>
              <w:t>固体废物</w:t>
            </w:r>
          </w:p>
        </w:tc>
        <w:tc>
          <w:tcPr>
            <w:tcW w:w="718" w:type="pct"/>
            <w:vAlign w:val="center"/>
          </w:tcPr>
          <w:p w14:paraId="7A015DA4">
            <w:pPr>
              <w:pStyle w:val="523"/>
              <w:adjustRightInd w:val="0"/>
              <w:snapToGrid w:val="0"/>
              <w:spacing w:line="240" w:lineRule="auto"/>
              <w:ind w:left="-72" w:leftChars="-30" w:right="-72" w:rightChars="-30"/>
              <w:rPr>
                <w:color w:val="auto"/>
                <w:highlight w:val="none"/>
                <w:lang w:val="en-GB"/>
              </w:rPr>
            </w:pPr>
            <w:r>
              <w:rPr>
                <w:color w:val="auto"/>
                <w:highlight w:val="none"/>
                <w:lang w:val="en-GB"/>
              </w:rPr>
              <w:t>生态环境</w:t>
            </w:r>
          </w:p>
        </w:tc>
        <w:tc>
          <w:tcPr>
            <w:tcW w:w="390" w:type="pct"/>
            <w:vAlign w:val="center"/>
          </w:tcPr>
          <w:p w14:paraId="21725C7C">
            <w:pPr>
              <w:pStyle w:val="523"/>
              <w:adjustRightInd w:val="0"/>
              <w:snapToGrid w:val="0"/>
              <w:spacing w:line="240" w:lineRule="auto"/>
              <w:ind w:left="-72" w:leftChars="-30" w:right="-72" w:rightChars="-30"/>
              <w:rPr>
                <w:color w:val="auto"/>
                <w:highlight w:val="none"/>
                <w:lang w:val="en-GB"/>
              </w:rPr>
            </w:pPr>
            <w:r>
              <w:rPr>
                <w:color w:val="auto"/>
                <w:highlight w:val="none"/>
                <w:lang w:val="en-GB"/>
              </w:rPr>
              <w:t>√</w:t>
            </w:r>
          </w:p>
        </w:tc>
        <w:tc>
          <w:tcPr>
            <w:tcW w:w="440" w:type="pct"/>
            <w:vAlign w:val="center"/>
          </w:tcPr>
          <w:p w14:paraId="3B52B6EC">
            <w:pPr>
              <w:pStyle w:val="523"/>
              <w:adjustRightInd w:val="0"/>
              <w:snapToGrid w:val="0"/>
              <w:spacing w:line="240" w:lineRule="auto"/>
              <w:ind w:left="-72" w:leftChars="-30" w:right="-72" w:rightChars="-30"/>
              <w:rPr>
                <w:color w:val="auto"/>
                <w:highlight w:val="none"/>
                <w:lang w:val="en-GB"/>
              </w:rPr>
            </w:pPr>
          </w:p>
        </w:tc>
        <w:tc>
          <w:tcPr>
            <w:tcW w:w="413" w:type="pct"/>
            <w:vAlign w:val="center"/>
          </w:tcPr>
          <w:p w14:paraId="6F404636">
            <w:pPr>
              <w:pStyle w:val="523"/>
              <w:adjustRightInd w:val="0"/>
              <w:snapToGrid w:val="0"/>
              <w:spacing w:line="240" w:lineRule="auto"/>
              <w:ind w:left="-72" w:leftChars="-30" w:right="-72" w:rightChars="-30"/>
              <w:rPr>
                <w:color w:val="auto"/>
                <w:highlight w:val="none"/>
                <w:lang w:val="en-GB"/>
              </w:rPr>
            </w:pPr>
          </w:p>
        </w:tc>
        <w:tc>
          <w:tcPr>
            <w:tcW w:w="397" w:type="pct"/>
            <w:vAlign w:val="center"/>
          </w:tcPr>
          <w:p w14:paraId="0FD27497">
            <w:pPr>
              <w:pStyle w:val="523"/>
              <w:adjustRightInd w:val="0"/>
              <w:snapToGrid w:val="0"/>
              <w:spacing w:line="240" w:lineRule="auto"/>
              <w:ind w:left="-72" w:leftChars="-30" w:right="-72" w:rightChars="-30"/>
              <w:rPr>
                <w:color w:val="auto"/>
                <w:highlight w:val="none"/>
                <w:lang w:val="en-GB"/>
              </w:rPr>
            </w:pPr>
            <w:r>
              <w:rPr>
                <w:color w:val="auto"/>
                <w:highlight w:val="none"/>
                <w:lang w:val="en-GB"/>
              </w:rPr>
              <w:t>√</w:t>
            </w:r>
          </w:p>
        </w:tc>
      </w:tr>
    </w:tbl>
    <w:p w14:paraId="0D5965C7">
      <w:pPr>
        <w:pStyle w:val="38"/>
        <w:spacing w:after="0" w:line="240" w:lineRule="auto"/>
        <w:ind w:firstLine="0" w:firstLineChars="0"/>
        <w:jc w:val="center"/>
        <w:rPr>
          <w:b/>
          <w:color w:val="auto"/>
          <w:sz w:val="21"/>
          <w:szCs w:val="21"/>
          <w:highlight w:val="none"/>
        </w:rPr>
      </w:pPr>
    </w:p>
    <w:p w14:paraId="39A243F5">
      <w:pPr>
        <w:pStyle w:val="38"/>
        <w:spacing w:after="0" w:line="240" w:lineRule="auto"/>
        <w:ind w:firstLine="0" w:firstLineChars="0"/>
        <w:jc w:val="center"/>
        <w:rPr>
          <w:b/>
          <w:color w:val="auto"/>
          <w:sz w:val="21"/>
          <w:szCs w:val="21"/>
          <w:highlight w:val="none"/>
        </w:rPr>
      </w:pPr>
    </w:p>
    <w:p w14:paraId="2115DE7B">
      <w:pPr>
        <w:pStyle w:val="38"/>
        <w:spacing w:after="0" w:line="240" w:lineRule="auto"/>
        <w:ind w:firstLine="0" w:firstLineChars="0"/>
        <w:jc w:val="center"/>
        <w:rPr>
          <w:b/>
          <w:color w:val="auto"/>
          <w:sz w:val="21"/>
          <w:szCs w:val="21"/>
          <w:highlight w:val="none"/>
        </w:rPr>
      </w:pPr>
    </w:p>
    <w:p w14:paraId="5F04CB4E">
      <w:pPr>
        <w:pStyle w:val="38"/>
        <w:spacing w:after="0" w:line="240" w:lineRule="auto"/>
        <w:ind w:firstLine="0" w:firstLineChars="0"/>
        <w:jc w:val="center"/>
        <w:rPr>
          <w:b/>
          <w:color w:val="auto"/>
          <w:sz w:val="21"/>
          <w:szCs w:val="21"/>
          <w:highlight w:val="none"/>
        </w:rPr>
      </w:pPr>
      <w:r>
        <w:rPr>
          <w:b/>
          <w:color w:val="auto"/>
          <w:sz w:val="21"/>
          <w:szCs w:val="21"/>
          <w:highlight w:val="none"/>
        </w:rPr>
        <w:t>表1.2-3  评价因子筛选结果</w:t>
      </w:r>
    </w:p>
    <w:tbl>
      <w:tblPr>
        <w:tblStyle w:val="9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98"/>
        <w:gridCol w:w="1037"/>
        <w:gridCol w:w="5641"/>
        <w:gridCol w:w="2010"/>
      </w:tblGrid>
      <w:tr w14:paraId="2D6C59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2" w:type="pct"/>
            <w:tcBorders>
              <w:tl2br w:val="nil"/>
              <w:tr2bl w:val="nil"/>
            </w:tcBorders>
            <w:vAlign w:val="center"/>
          </w:tcPr>
          <w:p w14:paraId="55F85922">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时期</w:t>
            </w:r>
          </w:p>
        </w:tc>
        <w:tc>
          <w:tcPr>
            <w:tcW w:w="558" w:type="pct"/>
            <w:tcBorders>
              <w:tl2br w:val="nil"/>
              <w:tr2bl w:val="nil"/>
            </w:tcBorders>
            <w:vAlign w:val="center"/>
          </w:tcPr>
          <w:p w14:paraId="33805979">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环境要素</w:t>
            </w:r>
          </w:p>
        </w:tc>
        <w:tc>
          <w:tcPr>
            <w:tcW w:w="3036" w:type="pct"/>
            <w:tcBorders>
              <w:tl2br w:val="nil"/>
              <w:tr2bl w:val="nil"/>
            </w:tcBorders>
            <w:vAlign w:val="center"/>
          </w:tcPr>
          <w:p w14:paraId="5DF554EA">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现状评价因子</w:t>
            </w:r>
          </w:p>
        </w:tc>
        <w:tc>
          <w:tcPr>
            <w:tcW w:w="1082" w:type="pct"/>
            <w:tcBorders>
              <w:tl2br w:val="nil"/>
              <w:tr2bl w:val="nil"/>
            </w:tcBorders>
            <w:vAlign w:val="center"/>
          </w:tcPr>
          <w:p w14:paraId="27C78CAC">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预测因子、影响分析</w:t>
            </w:r>
          </w:p>
        </w:tc>
      </w:tr>
      <w:tr w14:paraId="755CE8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2" w:type="pct"/>
            <w:vMerge w:val="restart"/>
            <w:tcBorders>
              <w:tl2br w:val="nil"/>
              <w:tr2bl w:val="nil"/>
            </w:tcBorders>
            <w:vAlign w:val="center"/>
          </w:tcPr>
          <w:p w14:paraId="30A06ABD">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陆域环境</w:t>
            </w:r>
          </w:p>
        </w:tc>
        <w:tc>
          <w:tcPr>
            <w:tcW w:w="558" w:type="pct"/>
            <w:tcBorders>
              <w:tl2br w:val="nil"/>
              <w:tr2bl w:val="nil"/>
            </w:tcBorders>
            <w:vAlign w:val="center"/>
          </w:tcPr>
          <w:p w14:paraId="152B9E8B">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环境空气</w:t>
            </w:r>
          </w:p>
        </w:tc>
        <w:tc>
          <w:tcPr>
            <w:tcW w:w="3036" w:type="pct"/>
            <w:tcBorders>
              <w:tl2br w:val="nil"/>
              <w:tr2bl w:val="nil"/>
            </w:tcBorders>
            <w:vAlign w:val="center"/>
          </w:tcPr>
          <w:p w14:paraId="456DF1B8">
            <w:pPr>
              <w:spacing w:line="240" w:lineRule="auto"/>
              <w:ind w:left="-72" w:leftChars="-30" w:right="-72" w:rightChars="-30" w:firstLine="0" w:firstLineChars="0"/>
              <w:jc w:val="center"/>
              <w:rPr>
                <w:rFonts w:eastAsia="仿宋_GB2312"/>
                <w:color w:val="auto"/>
                <w:sz w:val="21"/>
                <w:szCs w:val="21"/>
                <w:highlight w:val="none"/>
              </w:rPr>
            </w:pPr>
            <w:r>
              <w:rPr>
                <w:color w:val="auto"/>
                <w:sz w:val="21"/>
                <w:szCs w:val="21"/>
                <w:highlight w:val="none"/>
              </w:rPr>
              <w:t>PM</w:t>
            </w:r>
            <w:r>
              <w:rPr>
                <w:color w:val="auto"/>
                <w:sz w:val="21"/>
                <w:szCs w:val="21"/>
                <w:highlight w:val="none"/>
                <w:vertAlign w:val="subscript"/>
              </w:rPr>
              <w:t>2.5</w:t>
            </w:r>
            <w:r>
              <w:rPr>
                <w:color w:val="auto"/>
                <w:sz w:val="21"/>
                <w:szCs w:val="21"/>
                <w:highlight w:val="none"/>
              </w:rPr>
              <w:t>、PM</w:t>
            </w:r>
            <w:r>
              <w:rPr>
                <w:color w:val="auto"/>
                <w:sz w:val="21"/>
                <w:szCs w:val="21"/>
                <w:highlight w:val="none"/>
                <w:vertAlign w:val="subscript"/>
              </w:rPr>
              <w:t>10</w:t>
            </w:r>
            <w:r>
              <w:rPr>
                <w:color w:val="auto"/>
                <w:sz w:val="21"/>
                <w:szCs w:val="21"/>
                <w:highlight w:val="none"/>
              </w:rPr>
              <w:t>、SO</w:t>
            </w:r>
            <w:r>
              <w:rPr>
                <w:color w:val="auto"/>
                <w:sz w:val="21"/>
                <w:szCs w:val="21"/>
                <w:highlight w:val="none"/>
                <w:vertAlign w:val="subscript"/>
              </w:rPr>
              <w:t>2</w:t>
            </w:r>
            <w:r>
              <w:rPr>
                <w:color w:val="auto"/>
                <w:sz w:val="21"/>
                <w:szCs w:val="21"/>
                <w:highlight w:val="none"/>
              </w:rPr>
              <w:t>、NO</w:t>
            </w:r>
            <w:r>
              <w:rPr>
                <w:color w:val="auto"/>
                <w:sz w:val="21"/>
                <w:szCs w:val="21"/>
                <w:highlight w:val="none"/>
                <w:vertAlign w:val="subscript"/>
              </w:rPr>
              <w:t>2</w:t>
            </w:r>
            <w:r>
              <w:rPr>
                <w:color w:val="auto"/>
                <w:sz w:val="21"/>
                <w:szCs w:val="21"/>
                <w:highlight w:val="none"/>
              </w:rPr>
              <w:t>、O</w:t>
            </w:r>
            <w:r>
              <w:rPr>
                <w:color w:val="auto"/>
                <w:sz w:val="21"/>
                <w:szCs w:val="21"/>
                <w:highlight w:val="none"/>
                <w:vertAlign w:val="subscript"/>
              </w:rPr>
              <w:t>3</w:t>
            </w:r>
            <w:r>
              <w:rPr>
                <w:color w:val="auto"/>
                <w:sz w:val="21"/>
                <w:szCs w:val="21"/>
                <w:highlight w:val="none"/>
              </w:rPr>
              <w:t>、TSP、CO</w:t>
            </w:r>
            <w:r>
              <w:rPr>
                <w:rStyle w:val="110"/>
                <w:rFonts w:eastAsia="仿宋_GB2312"/>
                <w:color w:val="auto"/>
                <w:highlight w:val="none"/>
              </w:rPr>
              <w:t>、</w:t>
            </w:r>
            <w:r>
              <w:rPr>
                <w:rStyle w:val="110"/>
                <w:rFonts w:hint="eastAsia" w:eastAsia="仿宋_GB2312"/>
                <w:color w:val="auto"/>
                <w:highlight w:val="none"/>
              </w:rPr>
              <w:t>T</w:t>
            </w:r>
            <w:r>
              <w:rPr>
                <w:rStyle w:val="110"/>
                <w:rFonts w:eastAsia="华文仿宋"/>
                <w:color w:val="auto"/>
                <w:highlight w:val="none"/>
              </w:rPr>
              <w:t>VOC、</w:t>
            </w:r>
            <w:r>
              <w:rPr>
                <w:rStyle w:val="110"/>
                <w:color w:val="auto"/>
                <w:highlight w:val="none"/>
              </w:rPr>
              <w:t>二甲苯</w:t>
            </w:r>
          </w:p>
        </w:tc>
        <w:tc>
          <w:tcPr>
            <w:tcW w:w="1082" w:type="pct"/>
            <w:tcBorders>
              <w:tl2br w:val="nil"/>
              <w:tr2bl w:val="nil"/>
            </w:tcBorders>
            <w:vAlign w:val="center"/>
          </w:tcPr>
          <w:p w14:paraId="25DEF4AA">
            <w:pPr>
              <w:spacing w:line="240" w:lineRule="auto"/>
              <w:ind w:left="-72" w:leftChars="-30" w:right="-72" w:rightChars="-30" w:firstLine="0" w:firstLineChars="0"/>
              <w:jc w:val="center"/>
              <w:rPr>
                <w:color w:val="auto"/>
                <w:sz w:val="21"/>
                <w:szCs w:val="21"/>
                <w:highlight w:val="none"/>
              </w:rPr>
            </w:pPr>
            <w:r>
              <w:rPr>
                <w:rStyle w:val="110"/>
                <w:rFonts w:hint="eastAsia" w:eastAsia="华文仿宋"/>
                <w:color w:val="auto"/>
                <w:highlight w:val="none"/>
              </w:rPr>
              <w:t>T</w:t>
            </w:r>
            <w:r>
              <w:rPr>
                <w:rStyle w:val="110"/>
                <w:rFonts w:eastAsia="华文仿宋"/>
                <w:color w:val="auto"/>
                <w:highlight w:val="none"/>
              </w:rPr>
              <w:t>VOC、</w:t>
            </w:r>
            <w:r>
              <w:rPr>
                <w:rStyle w:val="110"/>
                <w:color w:val="auto"/>
                <w:highlight w:val="none"/>
              </w:rPr>
              <w:t>二甲苯</w:t>
            </w:r>
            <w:r>
              <w:rPr>
                <w:color w:val="auto"/>
                <w:sz w:val="21"/>
                <w:szCs w:val="21"/>
                <w:highlight w:val="none"/>
              </w:rPr>
              <w:t>、TSP</w:t>
            </w:r>
          </w:p>
        </w:tc>
      </w:tr>
      <w:tr w14:paraId="058CF0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2" w:type="pct"/>
            <w:vMerge w:val="continue"/>
            <w:tcBorders>
              <w:tl2br w:val="nil"/>
              <w:tr2bl w:val="nil"/>
            </w:tcBorders>
            <w:vAlign w:val="center"/>
          </w:tcPr>
          <w:p w14:paraId="0860139B">
            <w:pPr>
              <w:spacing w:line="240" w:lineRule="auto"/>
              <w:ind w:left="-72" w:leftChars="-30" w:right="-72" w:rightChars="-30" w:firstLine="0" w:firstLineChars="0"/>
              <w:jc w:val="center"/>
              <w:rPr>
                <w:color w:val="auto"/>
                <w:sz w:val="21"/>
                <w:szCs w:val="21"/>
                <w:highlight w:val="none"/>
              </w:rPr>
            </w:pPr>
          </w:p>
        </w:tc>
        <w:tc>
          <w:tcPr>
            <w:tcW w:w="558" w:type="pct"/>
            <w:tcBorders>
              <w:tl2br w:val="nil"/>
              <w:tr2bl w:val="nil"/>
            </w:tcBorders>
            <w:vAlign w:val="center"/>
          </w:tcPr>
          <w:p w14:paraId="68DCD695">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声环境</w:t>
            </w:r>
          </w:p>
        </w:tc>
        <w:tc>
          <w:tcPr>
            <w:tcW w:w="3036" w:type="pct"/>
            <w:tcBorders>
              <w:tl2br w:val="nil"/>
              <w:tr2bl w:val="nil"/>
            </w:tcBorders>
            <w:vAlign w:val="center"/>
          </w:tcPr>
          <w:p w14:paraId="7B20F196">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等效连续A声级Leq[A]</w:t>
            </w:r>
          </w:p>
        </w:tc>
        <w:tc>
          <w:tcPr>
            <w:tcW w:w="1082" w:type="pct"/>
            <w:tcBorders>
              <w:tl2br w:val="nil"/>
              <w:tr2bl w:val="nil"/>
            </w:tcBorders>
            <w:vAlign w:val="center"/>
          </w:tcPr>
          <w:p w14:paraId="39E0F111">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Leq[A]</w:t>
            </w:r>
          </w:p>
        </w:tc>
      </w:tr>
      <w:tr w14:paraId="1678BC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2" w:type="pct"/>
            <w:vMerge w:val="continue"/>
            <w:tcBorders>
              <w:tl2br w:val="nil"/>
              <w:tr2bl w:val="nil"/>
            </w:tcBorders>
            <w:vAlign w:val="center"/>
          </w:tcPr>
          <w:p w14:paraId="0AF1F687">
            <w:pPr>
              <w:spacing w:line="240" w:lineRule="auto"/>
              <w:ind w:left="-72" w:leftChars="-30" w:right="-72" w:rightChars="-30" w:firstLine="0" w:firstLineChars="0"/>
              <w:jc w:val="center"/>
              <w:rPr>
                <w:color w:val="auto"/>
                <w:sz w:val="21"/>
                <w:szCs w:val="21"/>
                <w:highlight w:val="none"/>
              </w:rPr>
            </w:pPr>
          </w:p>
        </w:tc>
        <w:tc>
          <w:tcPr>
            <w:tcW w:w="558" w:type="pct"/>
            <w:tcBorders>
              <w:tl2br w:val="nil"/>
              <w:tr2bl w:val="nil"/>
            </w:tcBorders>
            <w:vAlign w:val="center"/>
          </w:tcPr>
          <w:p w14:paraId="7F8B3EBA">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固体废物</w:t>
            </w:r>
          </w:p>
        </w:tc>
        <w:tc>
          <w:tcPr>
            <w:tcW w:w="3036" w:type="pct"/>
            <w:tcBorders>
              <w:tl2br w:val="nil"/>
              <w:tr2bl w:val="nil"/>
            </w:tcBorders>
            <w:vAlign w:val="center"/>
          </w:tcPr>
          <w:p w14:paraId="1BF273C9">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一般固体废物、生活垃圾、危险废物</w:t>
            </w:r>
          </w:p>
        </w:tc>
        <w:tc>
          <w:tcPr>
            <w:tcW w:w="1082" w:type="pct"/>
            <w:tcBorders>
              <w:tl2br w:val="nil"/>
              <w:tr2bl w:val="nil"/>
            </w:tcBorders>
            <w:vAlign w:val="center"/>
          </w:tcPr>
          <w:p w14:paraId="3F50B691">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w:t>
            </w:r>
          </w:p>
        </w:tc>
      </w:tr>
      <w:tr w14:paraId="55D788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2" w:type="pct"/>
            <w:vMerge w:val="continue"/>
            <w:tcBorders>
              <w:tl2br w:val="nil"/>
              <w:tr2bl w:val="nil"/>
            </w:tcBorders>
            <w:vAlign w:val="center"/>
          </w:tcPr>
          <w:p w14:paraId="30E9522B">
            <w:pPr>
              <w:spacing w:line="240" w:lineRule="auto"/>
              <w:ind w:left="-72" w:leftChars="-30" w:right="-72" w:rightChars="-30" w:firstLine="0" w:firstLineChars="0"/>
              <w:jc w:val="center"/>
              <w:rPr>
                <w:color w:val="auto"/>
                <w:sz w:val="21"/>
                <w:szCs w:val="21"/>
                <w:highlight w:val="none"/>
              </w:rPr>
            </w:pPr>
          </w:p>
        </w:tc>
        <w:tc>
          <w:tcPr>
            <w:tcW w:w="558" w:type="pct"/>
            <w:tcBorders>
              <w:tl2br w:val="nil"/>
              <w:tr2bl w:val="nil"/>
            </w:tcBorders>
            <w:vAlign w:val="center"/>
          </w:tcPr>
          <w:p w14:paraId="020201C2">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环境风险</w:t>
            </w:r>
          </w:p>
        </w:tc>
        <w:tc>
          <w:tcPr>
            <w:tcW w:w="3036" w:type="pct"/>
            <w:tcBorders>
              <w:tl2br w:val="nil"/>
              <w:tr2bl w:val="nil"/>
            </w:tcBorders>
            <w:vAlign w:val="center"/>
          </w:tcPr>
          <w:p w14:paraId="220A238E">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船舶溢油风险</w:t>
            </w:r>
          </w:p>
        </w:tc>
        <w:tc>
          <w:tcPr>
            <w:tcW w:w="1082" w:type="pct"/>
            <w:tcBorders>
              <w:tl2br w:val="nil"/>
              <w:tr2bl w:val="nil"/>
            </w:tcBorders>
            <w:vAlign w:val="center"/>
          </w:tcPr>
          <w:p w14:paraId="7A02BB47">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船舶溢油风险</w:t>
            </w:r>
          </w:p>
        </w:tc>
      </w:tr>
      <w:tr w14:paraId="7EADFB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2" w:type="pct"/>
            <w:vMerge w:val="restart"/>
            <w:tcBorders>
              <w:tl2br w:val="nil"/>
              <w:tr2bl w:val="nil"/>
            </w:tcBorders>
            <w:vAlign w:val="center"/>
          </w:tcPr>
          <w:p w14:paraId="489F8449">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海洋环境</w:t>
            </w:r>
          </w:p>
        </w:tc>
        <w:tc>
          <w:tcPr>
            <w:tcW w:w="558" w:type="pct"/>
            <w:tcBorders>
              <w:tl2br w:val="nil"/>
              <w:tr2bl w:val="nil"/>
            </w:tcBorders>
            <w:vAlign w:val="center"/>
          </w:tcPr>
          <w:p w14:paraId="2AA2BB4A">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海水水质</w:t>
            </w:r>
          </w:p>
        </w:tc>
        <w:tc>
          <w:tcPr>
            <w:tcW w:w="3036" w:type="pct"/>
            <w:tcBorders>
              <w:tl2br w:val="nil"/>
              <w:tr2bl w:val="nil"/>
            </w:tcBorders>
            <w:vAlign w:val="center"/>
          </w:tcPr>
          <w:p w14:paraId="3FF7C665">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水温、透明度、水深、pH、盐度、悬浮物、生化需氧量、化学需氧量、硫化物、溶解氧、硝酸盐氮、亚硝酸盐氮、氨氮、活性磷酸盐、挥发性酚、油类、铜、铅、锌、镉、汞、砷、铬</w:t>
            </w:r>
          </w:p>
        </w:tc>
        <w:tc>
          <w:tcPr>
            <w:tcW w:w="1082" w:type="pct"/>
            <w:tcBorders>
              <w:tl2br w:val="nil"/>
              <w:tr2bl w:val="nil"/>
            </w:tcBorders>
            <w:vAlign w:val="center"/>
          </w:tcPr>
          <w:p w14:paraId="1F82F998">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定性分析</w:t>
            </w:r>
          </w:p>
        </w:tc>
      </w:tr>
      <w:tr w14:paraId="6EFF38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2" w:type="pct"/>
            <w:vMerge w:val="continue"/>
            <w:tcBorders>
              <w:tl2br w:val="nil"/>
              <w:tr2bl w:val="nil"/>
            </w:tcBorders>
            <w:vAlign w:val="center"/>
          </w:tcPr>
          <w:p w14:paraId="73863DAD">
            <w:pPr>
              <w:spacing w:line="240" w:lineRule="auto"/>
              <w:ind w:left="-72" w:leftChars="-30" w:right="-72" w:rightChars="-30" w:firstLine="0" w:firstLineChars="0"/>
              <w:jc w:val="center"/>
              <w:rPr>
                <w:color w:val="auto"/>
                <w:sz w:val="21"/>
                <w:szCs w:val="21"/>
                <w:highlight w:val="none"/>
              </w:rPr>
            </w:pPr>
          </w:p>
        </w:tc>
        <w:tc>
          <w:tcPr>
            <w:tcW w:w="558" w:type="pct"/>
            <w:tcBorders>
              <w:tl2br w:val="nil"/>
              <w:tr2bl w:val="nil"/>
            </w:tcBorders>
            <w:vAlign w:val="center"/>
          </w:tcPr>
          <w:p w14:paraId="7FF90929">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海域生态</w:t>
            </w:r>
          </w:p>
        </w:tc>
        <w:tc>
          <w:tcPr>
            <w:tcW w:w="3036" w:type="pct"/>
            <w:tcBorders>
              <w:tl2br w:val="nil"/>
              <w:tr2bl w:val="nil"/>
            </w:tcBorders>
            <w:vAlign w:val="center"/>
          </w:tcPr>
          <w:p w14:paraId="0FE158B7">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叶绿素a与初级生产力、浮游植物、浮游动物、底栖生物、生物质量</w:t>
            </w:r>
          </w:p>
        </w:tc>
        <w:tc>
          <w:tcPr>
            <w:tcW w:w="1082" w:type="pct"/>
            <w:tcBorders>
              <w:tl2br w:val="nil"/>
              <w:tr2bl w:val="nil"/>
            </w:tcBorders>
            <w:vAlign w:val="center"/>
          </w:tcPr>
          <w:p w14:paraId="531530D5">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定性分析</w:t>
            </w:r>
          </w:p>
        </w:tc>
      </w:tr>
    </w:tbl>
    <w:p w14:paraId="503090F0">
      <w:pPr>
        <w:ind w:firstLine="480"/>
        <w:rPr>
          <w:color w:val="auto"/>
          <w:highlight w:val="none"/>
        </w:rPr>
      </w:pPr>
    </w:p>
    <w:p w14:paraId="72351EC7">
      <w:pPr>
        <w:pStyle w:val="6"/>
        <w:numPr>
          <w:ilvl w:val="1"/>
          <w:numId w:val="9"/>
        </w:numPr>
        <w:rPr>
          <w:color w:val="auto"/>
          <w:sz w:val="32"/>
          <w:szCs w:val="32"/>
          <w:highlight w:val="none"/>
        </w:rPr>
      </w:pPr>
      <w:bookmarkStart w:id="54" w:name="_Toc4521"/>
      <w:bookmarkStart w:id="55" w:name="_Toc7421"/>
      <w:r>
        <w:rPr>
          <w:color w:val="auto"/>
          <w:sz w:val="32"/>
          <w:szCs w:val="32"/>
          <w:highlight w:val="none"/>
        </w:rPr>
        <w:t>环境功能区划及评价标准</w:t>
      </w:r>
      <w:bookmarkEnd w:id="52"/>
      <w:bookmarkEnd w:id="53"/>
      <w:bookmarkEnd w:id="54"/>
      <w:bookmarkEnd w:id="55"/>
    </w:p>
    <w:p w14:paraId="7AEA9F17">
      <w:pPr>
        <w:pStyle w:val="7"/>
        <w:numPr>
          <w:ilvl w:val="2"/>
          <w:numId w:val="9"/>
        </w:numPr>
        <w:rPr>
          <w:color w:val="auto"/>
          <w:sz w:val="28"/>
          <w:highlight w:val="none"/>
        </w:rPr>
      </w:pPr>
      <w:r>
        <w:rPr>
          <w:color w:val="auto"/>
          <w:sz w:val="28"/>
          <w:highlight w:val="none"/>
        </w:rPr>
        <w:t>环境功能区划</w:t>
      </w:r>
    </w:p>
    <w:p w14:paraId="15E63DA7">
      <w:pPr>
        <w:ind w:firstLine="480"/>
        <w:rPr>
          <w:color w:val="auto"/>
          <w:highlight w:val="none"/>
        </w:rPr>
      </w:pPr>
      <w:r>
        <w:rPr>
          <w:color w:val="auto"/>
          <w:highlight w:val="none"/>
        </w:rPr>
        <w:t>（1）环境空气</w:t>
      </w:r>
    </w:p>
    <w:p w14:paraId="3CD7F2BB">
      <w:pPr>
        <w:ind w:firstLine="480"/>
        <w:rPr>
          <w:color w:val="auto"/>
          <w:highlight w:val="none"/>
        </w:rPr>
      </w:pPr>
      <w:r>
        <w:rPr>
          <w:color w:val="auto"/>
          <w:highlight w:val="none"/>
        </w:rPr>
        <w:t>工程所在地环境空气质量执行《环境空气质量标准》（</w:t>
      </w:r>
      <w:r>
        <w:rPr>
          <w:rFonts w:hint="eastAsia"/>
          <w:color w:val="auto"/>
          <w:highlight w:val="none"/>
        </w:rPr>
        <w:t>GB3095-2026</w:t>
      </w:r>
      <w:r>
        <w:rPr>
          <w:color w:val="auto"/>
          <w:highlight w:val="none"/>
        </w:rPr>
        <w:t>）二级标准。</w:t>
      </w:r>
    </w:p>
    <w:p w14:paraId="4387B937">
      <w:pPr>
        <w:ind w:firstLine="480"/>
        <w:rPr>
          <w:color w:val="auto"/>
          <w:highlight w:val="none"/>
        </w:rPr>
      </w:pPr>
      <w:r>
        <w:rPr>
          <w:color w:val="auto"/>
          <w:highlight w:val="none"/>
        </w:rPr>
        <w:t>（2）海洋环境</w:t>
      </w:r>
    </w:p>
    <w:p w14:paraId="48D93F2F">
      <w:pPr>
        <w:ind w:firstLine="480"/>
        <w:rPr>
          <w:color w:val="auto"/>
          <w:highlight w:val="none"/>
          <w:u w:val="single"/>
        </w:rPr>
      </w:pPr>
      <w:r>
        <w:rPr>
          <w:rFonts w:hint="eastAsia"/>
          <w:color w:val="auto"/>
          <w:highlight w:val="none"/>
          <w:u w:val="single"/>
        </w:rPr>
        <w:t>根据《中国（广西）自由贸易试验区钦州港片区国土空间分区规划（2</w:t>
      </w:r>
      <w:r>
        <w:rPr>
          <w:color w:val="auto"/>
          <w:highlight w:val="none"/>
          <w:u w:val="single"/>
        </w:rPr>
        <w:t>023-2035</w:t>
      </w:r>
      <w:r>
        <w:rPr>
          <w:rFonts w:hint="eastAsia"/>
          <w:color w:val="auto"/>
          <w:highlight w:val="none"/>
          <w:u w:val="single"/>
        </w:rPr>
        <w:t>）》：“海水环境标准要按《海水水质标准》（GB3097-1997）中的标准，根据钦州港海域水质要求进行设定”，</w:t>
      </w:r>
      <w:r>
        <w:rPr>
          <w:color w:val="auto"/>
          <w:highlight w:val="none"/>
          <w:u w:val="single"/>
        </w:rPr>
        <w:t>根据《广西壮族自治区近岸海域环境功能区划调整方案》（桂环发〔2023〕9号），项目位于三墩港口工业区（GX059DⅣ），主导功能为港口、工业用海，水质保护目标为四类。</w:t>
      </w:r>
    </w:p>
    <w:p w14:paraId="5159BD7F">
      <w:pPr>
        <w:ind w:firstLine="480"/>
        <w:rPr>
          <w:color w:val="auto"/>
          <w:highlight w:val="none"/>
        </w:rPr>
      </w:pPr>
      <w:r>
        <w:rPr>
          <w:color w:val="auto"/>
          <w:highlight w:val="none"/>
        </w:rPr>
        <w:t>（3）声环境</w:t>
      </w:r>
    </w:p>
    <w:p w14:paraId="7AC79FA7">
      <w:pPr>
        <w:ind w:firstLine="480"/>
        <w:rPr>
          <w:color w:val="auto"/>
          <w:highlight w:val="none"/>
        </w:rPr>
      </w:pPr>
      <w:r>
        <w:rPr>
          <w:color w:val="auto"/>
          <w:highlight w:val="none"/>
        </w:rPr>
        <w:t>根据《钦州市城市声环境功能区划方案（2018－2023年）》区域声环境划分为3类声功能区，声环境质量执行《声环境质量标准》（GB3096-2008）3类区标准。</w:t>
      </w:r>
    </w:p>
    <w:p w14:paraId="5744C6CC">
      <w:pPr>
        <w:pStyle w:val="7"/>
        <w:numPr>
          <w:ilvl w:val="2"/>
          <w:numId w:val="9"/>
        </w:numPr>
        <w:rPr>
          <w:color w:val="auto"/>
          <w:sz w:val="28"/>
          <w:highlight w:val="none"/>
        </w:rPr>
      </w:pPr>
      <w:r>
        <w:rPr>
          <w:color w:val="auto"/>
          <w:sz w:val="28"/>
          <w:highlight w:val="none"/>
        </w:rPr>
        <w:t>环境质量标准</w:t>
      </w:r>
    </w:p>
    <w:p w14:paraId="048B6724">
      <w:pPr>
        <w:pStyle w:val="533"/>
        <w:numPr>
          <w:ilvl w:val="3"/>
          <w:numId w:val="9"/>
        </w:numPr>
        <w:rPr>
          <w:color w:val="auto"/>
          <w:szCs w:val="24"/>
          <w:highlight w:val="none"/>
        </w:rPr>
      </w:pPr>
      <w:r>
        <w:rPr>
          <w:color w:val="auto"/>
          <w:szCs w:val="24"/>
          <w:highlight w:val="none"/>
        </w:rPr>
        <w:t>环境空气</w:t>
      </w:r>
    </w:p>
    <w:p w14:paraId="73007A2F">
      <w:pPr>
        <w:ind w:firstLine="480"/>
        <w:rPr>
          <w:color w:val="auto"/>
          <w:highlight w:val="none"/>
        </w:rPr>
      </w:pPr>
      <w:r>
        <w:rPr>
          <w:color w:val="auto"/>
          <w:highlight w:val="none"/>
          <w:u w:val="single"/>
        </w:rPr>
        <w:t>项目所在区域属环境空气二类功能区，环境空气质量执行《环境空气质量标准》</w:t>
      </w:r>
      <w:r>
        <w:rPr>
          <w:rFonts w:hint="eastAsia"/>
          <w:color w:val="auto"/>
          <w:highlight w:val="none"/>
          <w:u w:val="single"/>
        </w:rPr>
        <w:t>（</w:t>
      </w:r>
      <w:r>
        <w:rPr>
          <w:color w:val="auto"/>
          <w:highlight w:val="none"/>
          <w:u w:val="single"/>
        </w:rPr>
        <w:t>GB3095-2026</w:t>
      </w:r>
      <w:r>
        <w:rPr>
          <w:rFonts w:hint="eastAsia"/>
          <w:color w:val="auto"/>
          <w:highlight w:val="none"/>
          <w:u w:val="single"/>
        </w:rPr>
        <w:t>）</w:t>
      </w:r>
      <w:r>
        <w:rPr>
          <w:color w:val="auto"/>
          <w:highlight w:val="none"/>
          <w:u w:val="single"/>
        </w:rPr>
        <w:t>二级标准，</w:t>
      </w:r>
      <w:r>
        <w:rPr>
          <w:rFonts w:hint="eastAsia"/>
          <w:color w:val="auto"/>
          <w:highlight w:val="none"/>
          <w:u w:val="single"/>
        </w:rPr>
        <w:t>其中，截至2030年12月31日，环境空气污染物基本项目按过渡阶段浓度限值执行</w:t>
      </w:r>
      <w:r>
        <w:rPr>
          <w:color w:val="auto"/>
          <w:highlight w:val="none"/>
          <w:u w:val="single"/>
        </w:rPr>
        <w:t>；</w:t>
      </w:r>
      <w:r>
        <w:rPr>
          <w:color w:val="auto"/>
          <w:highlight w:val="none"/>
        </w:rPr>
        <w:t>二甲苯、TVOC执行《环境影响评价技术导则  大气环境》（HJ2.2-2018）附录D中的浓度参考限值，非甲烷总烃参考</w:t>
      </w:r>
      <w:r>
        <w:rPr>
          <w:rFonts w:eastAsiaTheme="minorEastAsia"/>
          <w:color w:val="auto"/>
          <w:highlight w:val="none"/>
        </w:rPr>
        <w:t>《大气污染物综合排放标准详解》中质量浓度限值要求，</w:t>
      </w:r>
      <w:r>
        <w:rPr>
          <w:color w:val="auto"/>
          <w:highlight w:val="none"/>
        </w:rPr>
        <w:t>具体数值详见表1.3-1。</w:t>
      </w:r>
    </w:p>
    <w:p w14:paraId="745C606C">
      <w:pPr>
        <w:pStyle w:val="38"/>
        <w:spacing w:after="0" w:line="240" w:lineRule="auto"/>
        <w:ind w:firstLine="0" w:firstLineChars="0"/>
        <w:jc w:val="center"/>
        <w:rPr>
          <w:b/>
          <w:color w:val="auto"/>
          <w:sz w:val="21"/>
          <w:szCs w:val="21"/>
          <w:highlight w:val="none"/>
        </w:rPr>
      </w:pPr>
      <w:r>
        <w:rPr>
          <w:b/>
          <w:color w:val="auto"/>
          <w:sz w:val="21"/>
          <w:szCs w:val="21"/>
          <w:highlight w:val="none"/>
        </w:rPr>
        <w:t>表1.3-1  《环境空气质量标准》（</w:t>
      </w:r>
      <w:r>
        <w:rPr>
          <w:rFonts w:hint="eastAsia"/>
          <w:b/>
          <w:color w:val="auto"/>
          <w:sz w:val="21"/>
          <w:szCs w:val="21"/>
          <w:highlight w:val="none"/>
        </w:rPr>
        <w:t>GB3095-2026</w:t>
      </w:r>
      <w:r>
        <w:rPr>
          <w:b/>
          <w:color w:val="auto"/>
          <w:sz w:val="21"/>
          <w:szCs w:val="21"/>
          <w:highlight w:val="none"/>
        </w:rPr>
        <w:t>）（摘录）</w:t>
      </w:r>
      <w:r>
        <w:rPr>
          <w:rFonts w:hint="eastAsia"/>
          <w:b/>
          <w:color w:val="auto"/>
          <w:sz w:val="21"/>
          <w:szCs w:val="21"/>
          <w:highlight w:val="none"/>
        </w:rPr>
        <w:t xml:space="preserve"> 单位：</w:t>
      </w:r>
      <w:r>
        <w:rPr>
          <w:rFonts w:eastAsiaTheme="minorEastAsia"/>
          <w:b/>
          <w:bCs/>
          <w:color w:val="auto"/>
          <w:sz w:val="21"/>
          <w:szCs w:val="21"/>
          <w:highlight w:val="none"/>
        </w:rPr>
        <w:t>µg/m</w:t>
      </w:r>
      <w:r>
        <w:rPr>
          <w:rFonts w:eastAsiaTheme="minorEastAsia"/>
          <w:b/>
          <w:bCs/>
          <w:color w:val="auto"/>
          <w:sz w:val="21"/>
          <w:szCs w:val="21"/>
          <w:highlight w:val="none"/>
          <w:vertAlign w:val="superscript"/>
        </w:rPr>
        <w:t>3</w:t>
      </w:r>
      <w:r>
        <w:rPr>
          <w:rFonts w:eastAsiaTheme="minorEastAsia"/>
          <w:b/>
          <w:bCs/>
          <w:color w:val="auto"/>
          <w:sz w:val="21"/>
          <w:szCs w:val="21"/>
          <w:highlight w:val="none"/>
        </w:rPr>
        <w:t>，CO为mg/m</w:t>
      </w:r>
      <w:r>
        <w:rPr>
          <w:rFonts w:eastAsiaTheme="minorEastAsia"/>
          <w:b/>
          <w:bCs/>
          <w:color w:val="auto"/>
          <w:sz w:val="21"/>
          <w:szCs w:val="21"/>
          <w:highlight w:val="none"/>
          <w:vertAlign w:val="superscript"/>
        </w:rPr>
        <w:t>3</w:t>
      </w:r>
    </w:p>
    <w:tbl>
      <w:tblPr>
        <w:tblStyle w:val="92"/>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544"/>
        <w:gridCol w:w="1408"/>
        <w:gridCol w:w="1276"/>
        <w:gridCol w:w="1558"/>
        <w:gridCol w:w="1137"/>
        <w:gridCol w:w="3363"/>
      </w:tblGrid>
      <w:tr w14:paraId="6B2088F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tblHeader/>
          <w:jc w:val="center"/>
        </w:trPr>
        <w:tc>
          <w:tcPr>
            <w:tcW w:w="293" w:type="pct"/>
            <w:vAlign w:val="center"/>
          </w:tcPr>
          <w:p w14:paraId="16EBF91C">
            <w:pPr>
              <w:spacing w:line="240" w:lineRule="auto"/>
              <w:ind w:firstLine="0" w:firstLineChars="0"/>
              <w:jc w:val="center"/>
              <w:rPr>
                <w:rFonts w:eastAsiaTheme="minorEastAsia"/>
                <w:b/>
                <w:bCs/>
                <w:color w:val="auto"/>
                <w:sz w:val="21"/>
                <w:szCs w:val="21"/>
                <w:highlight w:val="none"/>
                <w:u w:val="single"/>
              </w:rPr>
            </w:pPr>
            <w:r>
              <w:rPr>
                <w:rFonts w:eastAsiaTheme="minorEastAsia"/>
                <w:b/>
                <w:bCs/>
                <w:color w:val="auto"/>
                <w:sz w:val="21"/>
                <w:szCs w:val="21"/>
                <w:highlight w:val="none"/>
                <w:u w:val="single"/>
              </w:rPr>
              <w:t>编号</w:t>
            </w:r>
          </w:p>
        </w:tc>
        <w:tc>
          <w:tcPr>
            <w:tcW w:w="758" w:type="pct"/>
            <w:vAlign w:val="center"/>
          </w:tcPr>
          <w:p w14:paraId="75C073F8">
            <w:pPr>
              <w:spacing w:line="240" w:lineRule="auto"/>
              <w:ind w:firstLine="0" w:firstLineChars="0"/>
              <w:jc w:val="center"/>
              <w:rPr>
                <w:rFonts w:eastAsiaTheme="minorEastAsia"/>
                <w:b/>
                <w:bCs/>
                <w:color w:val="auto"/>
                <w:sz w:val="21"/>
                <w:szCs w:val="21"/>
                <w:highlight w:val="none"/>
                <w:u w:val="single"/>
              </w:rPr>
            </w:pPr>
            <w:r>
              <w:rPr>
                <w:rFonts w:eastAsiaTheme="minorEastAsia"/>
                <w:b/>
                <w:bCs/>
                <w:color w:val="auto"/>
                <w:sz w:val="21"/>
                <w:szCs w:val="21"/>
                <w:highlight w:val="none"/>
                <w:u w:val="single"/>
              </w:rPr>
              <w:t>污染因子</w:t>
            </w:r>
          </w:p>
        </w:tc>
        <w:tc>
          <w:tcPr>
            <w:tcW w:w="687" w:type="pct"/>
            <w:vAlign w:val="center"/>
          </w:tcPr>
          <w:p w14:paraId="732DF843">
            <w:pPr>
              <w:spacing w:line="240" w:lineRule="auto"/>
              <w:ind w:firstLine="0" w:firstLineChars="0"/>
              <w:jc w:val="center"/>
              <w:rPr>
                <w:rFonts w:eastAsiaTheme="minorEastAsia"/>
                <w:b/>
                <w:bCs/>
                <w:color w:val="auto"/>
                <w:sz w:val="21"/>
                <w:szCs w:val="21"/>
                <w:highlight w:val="none"/>
                <w:u w:val="single"/>
              </w:rPr>
            </w:pPr>
            <w:r>
              <w:rPr>
                <w:rFonts w:eastAsiaTheme="minorEastAsia"/>
                <w:b/>
                <w:bCs/>
                <w:color w:val="auto"/>
                <w:sz w:val="21"/>
                <w:szCs w:val="21"/>
                <w:highlight w:val="none"/>
                <w:u w:val="single"/>
              </w:rPr>
              <w:t>取值时间</w:t>
            </w:r>
          </w:p>
        </w:tc>
        <w:tc>
          <w:tcPr>
            <w:tcW w:w="839" w:type="pct"/>
            <w:vAlign w:val="center"/>
          </w:tcPr>
          <w:p w14:paraId="459A1641">
            <w:pPr>
              <w:pStyle w:val="181"/>
              <w:snapToGrid w:val="0"/>
              <w:jc w:val="center"/>
              <w:textAlignment w:val="center"/>
              <w:rPr>
                <w:b/>
                <w:iCs/>
                <w:snapToGrid w:val="0"/>
                <w:color w:val="auto"/>
                <w:sz w:val="21"/>
                <w:szCs w:val="21"/>
                <w:highlight w:val="none"/>
                <w:u w:val="single"/>
              </w:rPr>
            </w:pPr>
            <w:r>
              <w:rPr>
                <w:rFonts w:hint="eastAsia"/>
                <w:b/>
                <w:iCs/>
                <w:snapToGrid w:val="0"/>
                <w:color w:val="auto"/>
                <w:sz w:val="21"/>
                <w:szCs w:val="21"/>
                <w:highlight w:val="none"/>
                <w:u w:val="single"/>
              </w:rPr>
              <w:t>过渡阶段浓度限值</w:t>
            </w:r>
            <w:r>
              <w:rPr>
                <w:b/>
                <w:iCs/>
                <w:snapToGrid w:val="0"/>
                <w:color w:val="auto"/>
                <w:sz w:val="21"/>
                <w:szCs w:val="21"/>
                <w:highlight w:val="none"/>
                <w:u w:val="single"/>
              </w:rPr>
              <w:t>（二级）</w:t>
            </w:r>
          </w:p>
        </w:tc>
        <w:tc>
          <w:tcPr>
            <w:tcW w:w="612" w:type="pct"/>
            <w:vAlign w:val="center"/>
          </w:tcPr>
          <w:p w14:paraId="43549574">
            <w:pPr>
              <w:pStyle w:val="181"/>
              <w:snapToGrid w:val="0"/>
              <w:jc w:val="center"/>
              <w:textAlignment w:val="center"/>
              <w:rPr>
                <w:b/>
                <w:iCs/>
                <w:snapToGrid w:val="0"/>
                <w:color w:val="auto"/>
                <w:sz w:val="21"/>
                <w:szCs w:val="21"/>
                <w:highlight w:val="none"/>
                <w:u w:val="single"/>
              </w:rPr>
            </w:pPr>
            <w:r>
              <w:rPr>
                <w:b/>
                <w:iCs/>
                <w:snapToGrid w:val="0"/>
                <w:color w:val="auto"/>
                <w:sz w:val="21"/>
                <w:szCs w:val="21"/>
                <w:highlight w:val="none"/>
                <w:u w:val="single"/>
              </w:rPr>
              <w:t>浓度限值（二级）</w:t>
            </w:r>
          </w:p>
        </w:tc>
        <w:tc>
          <w:tcPr>
            <w:tcW w:w="1811" w:type="pct"/>
            <w:vAlign w:val="center"/>
          </w:tcPr>
          <w:p w14:paraId="1EF654D1">
            <w:pPr>
              <w:spacing w:line="240" w:lineRule="auto"/>
              <w:ind w:firstLine="0" w:firstLineChars="0"/>
              <w:jc w:val="center"/>
              <w:rPr>
                <w:rFonts w:eastAsiaTheme="minorEastAsia"/>
                <w:b/>
                <w:bCs/>
                <w:color w:val="auto"/>
                <w:sz w:val="21"/>
                <w:szCs w:val="21"/>
                <w:highlight w:val="none"/>
                <w:u w:val="single"/>
              </w:rPr>
            </w:pPr>
            <w:r>
              <w:rPr>
                <w:rFonts w:eastAsiaTheme="minorEastAsia"/>
                <w:b/>
                <w:bCs/>
                <w:color w:val="auto"/>
                <w:sz w:val="21"/>
                <w:szCs w:val="21"/>
                <w:highlight w:val="none"/>
                <w:u w:val="single"/>
              </w:rPr>
              <w:t>选用标准</w:t>
            </w:r>
          </w:p>
        </w:tc>
      </w:tr>
      <w:tr w14:paraId="1E242E5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293" w:type="pct"/>
            <w:vMerge w:val="restart"/>
            <w:vAlign w:val="center"/>
          </w:tcPr>
          <w:p w14:paraId="5A32C6DD">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1</w:t>
            </w:r>
          </w:p>
        </w:tc>
        <w:tc>
          <w:tcPr>
            <w:tcW w:w="758" w:type="pct"/>
            <w:vMerge w:val="restart"/>
            <w:vAlign w:val="center"/>
          </w:tcPr>
          <w:p w14:paraId="6903FE66">
            <w:pPr>
              <w:spacing w:line="240" w:lineRule="auto"/>
              <w:ind w:firstLine="0" w:firstLineChars="0"/>
              <w:jc w:val="center"/>
              <w:rPr>
                <w:rFonts w:eastAsiaTheme="minorEastAsia"/>
                <w:color w:val="auto"/>
                <w:sz w:val="21"/>
                <w:szCs w:val="21"/>
                <w:highlight w:val="none"/>
                <w:u w:val="single"/>
                <w:vertAlign w:val="subscript"/>
              </w:rPr>
            </w:pPr>
            <w:r>
              <w:rPr>
                <w:rFonts w:eastAsiaTheme="minorEastAsia"/>
                <w:color w:val="auto"/>
                <w:sz w:val="21"/>
                <w:szCs w:val="21"/>
                <w:highlight w:val="none"/>
                <w:u w:val="single"/>
              </w:rPr>
              <w:t>SO</w:t>
            </w:r>
            <w:r>
              <w:rPr>
                <w:rFonts w:eastAsiaTheme="minorEastAsia"/>
                <w:color w:val="auto"/>
                <w:sz w:val="21"/>
                <w:szCs w:val="21"/>
                <w:highlight w:val="none"/>
                <w:u w:val="single"/>
                <w:vertAlign w:val="subscript"/>
              </w:rPr>
              <w:t>2</w:t>
            </w:r>
          </w:p>
        </w:tc>
        <w:tc>
          <w:tcPr>
            <w:tcW w:w="687" w:type="pct"/>
            <w:vAlign w:val="center"/>
          </w:tcPr>
          <w:p w14:paraId="59438165">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年平均</w:t>
            </w:r>
          </w:p>
        </w:tc>
        <w:tc>
          <w:tcPr>
            <w:tcW w:w="839" w:type="pct"/>
            <w:vAlign w:val="center"/>
          </w:tcPr>
          <w:p w14:paraId="0DC7E094">
            <w:pPr>
              <w:pStyle w:val="181"/>
              <w:snapToGrid w:val="0"/>
              <w:jc w:val="center"/>
              <w:textAlignment w:val="center"/>
              <w:rPr>
                <w:bCs/>
                <w:iCs/>
                <w:snapToGrid w:val="0"/>
                <w:color w:val="auto"/>
                <w:sz w:val="21"/>
                <w:szCs w:val="21"/>
                <w:highlight w:val="none"/>
                <w:u w:val="single"/>
              </w:rPr>
            </w:pPr>
            <w:r>
              <w:rPr>
                <w:rFonts w:hint="eastAsia"/>
                <w:bCs/>
                <w:iCs/>
                <w:snapToGrid w:val="0"/>
                <w:color w:val="auto"/>
                <w:sz w:val="21"/>
                <w:szCs w:val="21"/>
                <w:highlight w:val="none"/>
                <w:u w:val="single"/>
              </w:rPr>
              <w:t>6</w:t>
            </w:r>
            <w:r>
              <w:rPr>
                <w:bCs/>
                <w:iCs/>
                <w:snapToGrid w:val="0"/>
                <w:color w:val="auto"/>
                <w:sz w:val="21"/>
                <w:szCs w:val="21"/>
                <w:highlight w:val="none"/>
                <w:u w:val="single"/>
              </w:rPr>
              <w:t>0</w:t>
            </w:r>
          </w:p>
        </w:tc>
        <w:tc>
          <w:tcPr>
            <w:tcW w:w="612" w:type="pct"/>
            <w:vAlign w:val="center"/>
          </w:tcPr>
          <w:p w14:paraId="47FF3BEC">
            <w:pPr>
              <w:pStyle w:val="181"/>
              <w:snapToGrid w:val="0"/>
              <w:jc w:val="center"/>
              <w:textAlignment w:val="center"/>
              <w:rPr>
                <w:bCs/>
                <w:iCs/>
                <w:snapToGrid w:val="0"/>
                <w:color w:val="auto"/>
                <w:sz w:val="21"/>
                <w:szCs w:val="21"/>
                <w:highlight w:val="none"/>
                <w:u w:val="single"/>
              </w:rPr>
            </w:pPr>
            <w:r>
              <w:rPr>
                <w:rFonts w:hint="eastAsia"/>
                <w:bCs/>
                <w:iCs/>
                <w:snapToGrid w:val="0"/>
                <w:color w:val="auto"/>
                <w:sz w:val="21"/>
                <w:szCs w:val="21"/>
                <w:highlight w:val="none"/>
                <w:u w:val="single"/>
              </w:rPr>
              <w:t>2</w:t>
            </w:r>
            <w:r>
              <w:rPr>
                <w:bCs/>
                <w:iCs/>
                <w:snapToGrid w:val="0"/>
                <w:color w:val="auto"/>
                <w:sz w:val="21"/>
                <w:szCs w:val="21"/>
                <w:highlight w:val="none"/>
                <w:u w:val="single"/>
              </w:rPr>
              <w:t>0</w:t>
            </w:r>
          </w:p>
        </w:tc>
        <w:tc>
          <w:tcPr>
            <w:tcW w:w="1811" w:type="pct"/>
            <w:vMerge w:val="restart"/>
            <w:vAlign w:val="center"/>
          </w:tcPr>
          <w:p w14:paraId="25AAA261">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《环境空气质量标准》（GB3095-2026）</w:t>
            </w:r>
          </w:p>
        </w:tc>
      </w:tr>
      <w:tr w14:paraId="593F1DF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293" w:type="pct"/>
            <w:vMerge w:val="continue"/>
            <w:vAlign w:val="center"/>
          </w:tcPr>
          <w:p w14:paraId="6D11B36A">
            <w:pPr>
              <w:spacing w:line="240" w:lineRule="auto"/>
              <w:ind w:firstLine="0" w:firstLineChars="0"/>
              <w:jc w:val="center"/>
              <w:rPr>
                <w:rFonts w:eastAsiaTheme="minorEastAsia"/>
                <w:color w:val="auto"/>
                <w:sz w:val="21"/>
                <w:szCs w:val="21"/>
                <w:highlight w:val="none"/>
                <w:u w:val="single"/>
              </w:rPr>
            </w:pPr>
          </w:p>
        </w:tc>
        <w:tc>
          <w:tcPr>
            <w:tcW w:w="758" w:type="pct"/>
            <w:vMerge w:val="continue"/>
            <w:vAlign w:val="center"/>
          </w:tcPr>
          <w:p w14:paraId="5B1CC91D">
            <w:pPr>
              <w:spacing w:line="240" w:lineRule="auto"/>
              <w:ind w:firstLine="0" w:firstLineChars="0"/>
              <w:jc w:val="center"/>
              <w:rPr>
                <w:rFonts w:eastAsiaTheme="minorEastAsia"/>
                <w:color w:val="auto"/>
                <w:sz w:val="21"/>
                <w:szCs w:val="21"/>
                <w:highlight w:val="none"/>
                <w:u w:val="single"/>
              </w:rPr>
            </w:pPr>
          </w:p>
        </w:tc>
        <w:tc>
          <w:tcPr>
            <w:tcW w:w="687" w:type="pct"/>
            <w:vAlign w:val="center"/>
          </w:tcPr>
          <w:p w14:paraId="7A5C550B">
            <w:pPr>
              <w:spacing w:line="240" w:lineRule="auto"/>
              <w:ind w:firstLine="0" w:firstLineChars="0"/>
              <w:jc w:val="center"/>
              <w:rPr>
                <w:rFonts w:eastAsiaTheme="minorEastAsia"/>
                <w:color w:val="auto"/>
                <w:sz w:val="21"/>
                <w:szCs w:val="21"/>
                <w:highlight w:val="none"/>
                <w:u w:val="single"/>
              </w:rPr>
            </w:pPr>
            <w:r>
              <w:rPr>
                <w:rFonts w:hint="eastAsia" w:eastAsiaTheme="minorEastAsia"/>
                <w:color w:val="auto"/>
                <w:sz w:val="21"/>
                <w:szCs w:val="21"/>
                <w:highlight w:val="none"/>
                <w:u w:val="single"/>
              </w:rPr>
              <w:t>日</w:t>
            </w:r>
            <w:r>
              <w:rPr>
                <w:rFonts w:eastAsiaTheme="minorEastAsia"/>
                <w:color w:val="auto"/>
                <w:sz w:val="21"/>
                <w:szCs w:val="21"/>
                <w:highlight w:val="none"/>
                <w:u w:val="single"/>
              </w:rPr>
              <w:t>平均</w:t>
            </w:r>
          </w:p>
        </w:tc>
        <w:tc>
          <w:tcPr>
            <w:tcW w:w="839" w:type="pct"/>
            <w:vAlign w:val="center"/>
          </w:tcPr>
          <w:p w14:paraId="43377C55">
            <w:pPr>
              <w:pStyle w:val="181"/>
              <w:snapToGrid w:val="0"/>
              <w:jc w:val="center"/>
              <w:textAlignment w:val="center"/>
              <w:rPr>
                <w:bCs/>
                <w:iCs/>
                <w:snapToGrid w:val="0"/>
                <w:color w:val="auto"/>
                <w:sz w:val="21"/>
                <w:szCs w:val="21"/>
                <w:highlight w:val="none"/>
                <w:u w:val="single"/>
              </w:rPr>
            </w:pPr>
            <w:r>
              <w:rPr>
                <w:rFonts w:hint="eastAsia"/>
                <w:bCs/>
                <w:iCs/>
                <w:snapToGrid w:val="0"/>
                <w:color w:val="auto"/>
                <w:sz w:val="21"/>
                <w:szCs w:val="21"/>
                <w:highlight w:val="none"/>
                <w:u w:val="single"/>
              </w:rPr>
              <w:t>1</w:t>
            </w:r>
            <w:r>
              <w:rPr>
                <w:bCs/>
                <w:iCs/>
                <w:snapToGrid w:val="0"/>
                <w:color w:val="auto"/>
                <w:sz w:val="21"/>
                <w:szCs w:val="21"/>
                <w:highlight w:val="none"/>
                <w:u w:val="single"/>
              </w:rPr>
              <w:t>50</w:t>
            </w:r>
          </w:p>
        </w:tc>
        <w:tc>
          <w:tcPr>
            <w:tcW w:w="612" w:type="pct"/>
            <w:vAlign w:val="center"/>
          </w:tcPr>
          <w:p w14:paraId="42A9B41A">
            <w:pPr>
              <w:pStyle w:val="181"/>
              <w:snapToGrid w:val="0"/>
              <w:jc w:val="center"/>
              <w:textAlignment w:val="center"/>
              <w:rPr>
                <w:bCs/>
                <w:iCs/>
                <w:snapToGrid w:val="0"/>
                <w:color w:val="auto"/>
                <w:sz w:val="21"/>
                <w:szCs w:val="21"/>
                <w:highlight w:val="none"/>
                <w:u w:val="single"/>
              </w:rPr>
            </w:pPr>
            <w:r>
              <w:rPr>
                <w:rFonts w:hint="eastAsia"/>
                <w:bCs/>
                <w:iCs/>
                <w:snapToGrid w:val="0"/>
                <w:color w:val="auto"/>
                <w:sz w:val="21"/>
                <w:szCs w:val="21"/>
                <w:highlight w:val="none"/>
                <w:u w:val="single"/>
              </w:rPr>
              <w:t>5</w:t>
            </w:r>
            <w:r>
              <w:rPr>
                <w:bCs/>
                <w:iCs/>
                <w:snapToGrid w:val="0"/>
                <w:color w:val="auto"/>
                <w:sz w:val="21"/>
                <w:szCs w:val="21"/>
                <w:highlight w:val="none"/>
                <w:u w:val="single"/>
              </w:rPr>
              <w:t>0</w:t>
            </w:r>
          </w:p>
        </w:tc>
        <w:tc>
          <w:tcPr>
            <w:tcW w:w="1811" w:type="pct"/>
            <w:vMerge w:val="continue"/>
            <w:vAlign w:val="center"/>
          </w:tcPr>
          <w:p w14:paraId="036F2084">
            <w:pPr>
              <w:spacing w:line="240" w:lineRule="auto"/>
              <w:ind w:firstLine="0" w:firstLineChars="0"/>
              <w:jc w:val="center"/>
              <w:rPr>
                <w:rFonts w:eastAsiaTheme="minorEastAsia"/>
                <w:color w:val="auto"/>
                <w:sz w:val="21"/>
                <w:szCs w:val="21"/>
                <w:highlight w:val="none"/>
                <w:u w:val="single"/>
              </w:rPr>
            </w:pPr>
          </w:p>
        </w:tc>
      </w:tr>
      <w:tr w14:paraId="72A956D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293" w:type="pct"/>
            <w:vMerge w:val="continue"/>
            <w:vAlign w:val="center"/>
          </w:tcPr>
          <w:p w14:paraId="656DD83C">
            <w:pPr>
              <w:spacing w:line="240" w:lineRule="auto"/>
              <w:ind w:firstLine="0" w:firstLineChars="0"/>
              <w:jc w:val="center"/>
              <w:rPr>
                <w:rFonts w:eastAsiaTheme="minorEastAsia"/>
                <w:color w:val="auto"/>
                <w:sz w:val="21"/>
                <w:szCs w:val="21"/>
                <w:highlight w:val="none"/>
                <w:u w:val="single"/>
              </w:rPr>
            </w:pPr>
          </w:p>
        </w:tc>
        <w:tc>
          <w:tcPr>
            <w:tcW w:w="758" w:type="pct"/>
            <w:vMerge w:val="continue"/>
            <w:vAlign w:val="center"/>
          </w:tcPr>
          <w:p w14:paraId="420D5C86">
            <w:pPr>
              <w:spacing w:line="240" w:lineRule="auto"/>
              <w:ind w:firstLine="0" w:firstLineChars="0"/>
              <w:jc w:val="center"/>
              <w:rPr>
                <w:rFonts w:eastAsiaTheme="minorEastAsia"/>
                <w:color w:val="auto"/>
                <w:sz w:val="21"/>
                <w:szCs w:val="21"/>
                <w:highlight w:val="none"/>
                <w:u w:val="single"/>
              </w:rPr>
            </w:pPr>
          </w:p>
        </w:tc>
        <w:tc>
          <w:tcPr>
            <w:tcW w:w="687" w:type="pct"/>
            <w:vAlign w:val="center"/>
          </w:tcPr>
          <w:p w14:paraId="15A35BA5">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1小时平均</w:t>
            </w:r>
          </w:p>
        </w:tc>
        <w:tc>
          <w:tcPr>
            <w:tcW w:w="839" w:type="pct"/>
            <w:vAlign w:val="center"/>
          </w:tcPr>
          <w:p w14:paraId="36FF900D">
            <w:pPr>
              <w:pStyle w:val="181"/>
              <w:snapToGrid w:val="0"/>
              <w:jc w:val="center"/>
              <w:textAlignment w:val="center"/>
              <w:rPr>
                <w:bCs/>
                <w:iCs/>
                <w:snapToGrid w:val="0"/>
                <w:color w:val="auto"/>
                <w:sz w:val="21"/>
                <w:szCs w:val="21"/>
                <w:highlight w:val="none"/>
                <w:u w:val="single"/>
              </w:rPr>
            </w:pPr>
            <w:r>
              <w:rPr>
                <w:rFonts w:hint="eastAsia"/>
                <w:bCs/>
                <w:iCs/>
                <w:snapToGrid w:val="0"/>
                <w:color w:val="auto"/>
                <w:sz w:val="21"/>
                <w:szCs w:val="21"/>
                <w:highlight w:val="none"/>
                <w:u w:val="single"/>
              </w:rPr>
              <w:t>5</w:t>
            </w:r>
            <w:r>
              <w:rPr>
                <w:bCs/>
                <w:iCs/>
                <w:snapToGrid w:val="0"/>
                <w:color w:val="auto"/>
                <w:sz w:val="21"/>
                <w:szCs w:val="21"/>
                <w:highlight w:val="none"/>
                <w:u w:val="single"/>
              </w:rPr>
              <w:t>00</w:t>
            </w:r>
          </w:p>
        </w:tc>
        <w:tc>
          <w:tcPr>
            <w:tcW w:w="612" w:type="pct"/>
            <w:vAlign w:val="center"/>
          </w:tcPr>
          <w:p w14:paraId="054604AA">
            <w:pPr>
              <w:pStyle w:val="181"/>
              <w:snapToGrid w:val="0"/>
              <w:jc w:val="center"/>
              <w:textAlignment w:val="center"/>
              <w:rPr>
                <w:bCs/>
                <w:iCs/>
                <w:snapToGrid w:val="0"/>
                <w:color w:val="auto"/>
                <w:sz w:val="21"/>
                <w:szCs w:val="21"/>
                <w:highlight w:val="none"/>
                <w:u w:val="single"/>
              </w:rPr>
            </w:pPr>
            <w:r>
              <w:rPr>
                <w:rFonts w:hint="eastAsia"/>
                <w:bCs/>
                <w:iCs/>
                <w:snapToGrid w:val="0"/>
                <w:color w:val="auto"/>
                <w:sz w:val="21"/>
                <w:szCs w:val="21"/>
                <w:highlight w:val="none"/>
                <w:u w:val="single"/>
              </w:rPr>
              <w:t>1</w:t>
            </w:r>
            <w:r>
              <w:rPr>
                <w:bCs/>
                <w:iCs/>
                <w:snapToGrid w:val="0"/>
                <w:color w:val="auto"/>
                <w:sz w:val="21"/>
                <w:szCs w:val="21"/>
                <w:highlight w:val="none"/>
                <w:u w:val="single"/>
              </w:rPr>
              <w:t>50</w:t>
            </w:r>
          </w:p>
        </w:tc>
        <w:tc>
          <w:tcPr>
            <w:tcW w:w="1811" w:type="pct"/>
            <w:vMerge w:val="continue"/>
            <w:vAlign w:val="center"/>
          </w:tcPr>
          <w:p w14:paraId="6A2D9B3D">
            <w:pPr>
              <w:spacing w:line="240" w:lineRule="auto"/>
              <w:ind w:firstLine="0" w:firstLineChars="0"/>
              <w:jc w:val="center"/>
              <w:rPr>
                <w:rFonts w:eastAsiaTheme="minorEastAsia"/>
                <w:color w:val="auto"/>
                <w:sz w:val="21"/>
                <w:szCs w:val="21"/>
                <w:highlight w:val="none"/>
                <w:u w:val="single"/>
              </w:rPr>
            </w:pPr>
          </w:p>
        </w:tc>
      </w:tr>
      <w:tr w14:paraId="2048A82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293" w:type="pct"/>
            <w:vMerge w:val="restart"/>
            <w:vAlign w:val="center"/>
          </w:tcPr>
          <w:p w14:paraId="657459BA">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2</w:t>
            </w:r>
          </w:p>
        </w:tc>
        <w:tc>
          <w:tcPr>
            <w:tcW w:w="758" w:type="pct"/>
            <w:vMerge w:val="restart"/>
            <w:vAlign w:val="center"/>
          </w:tcPr>
          <w:p w14:paraId="3BA331A0">
            <w:pPr>
              <w:spacing w:line="240" w:lineRule="auto"/>
              <w:ind w:firstLine="0" w:firstLineChars="0"/>
              <w:jc w:val="center"/>
              <w:rPr>
                <w:rFonts w:eastAsiaTheme="minorEastAsia"/>
                <w:color w:val="auto"/>
                <w:sz w:val="21"/>
                <w:szCs w:val="21"/>
                <w:highlight w:val="none"/>
                <w:u w:val="single"/>
                <w:vertAlign w:val="subscript"/>
              </w:rPr>
            </w:pPr>
            <w:r>
              <w:rPr>
                <w:rFonts w:eastAsiaTheme="minorEastAsia"/>
                <w:color w:val="auto"/>
                <w:sz w:val="21"/>
                <w:szCs w:val="21"/>
                <w:highlight w:val="none"/>
                <w:u w:val="single"/>
              </w:rPr>
              <w:t>NO</w:t>
            </w:r>
            <w:r>
              <w:rPr>
                <w:rFonts w:eastAsiaTheme="minorEastAsia"/>
                <w:color w:val="auto"/>
                <w:sz w:val="21"/>
                <w:szCs w:val="21"/>
                <w:highlight w:val="none"/>
                <w:u w:val="single"/>
                <w:vertAlign w:val="subscript"/>
              </w:rPr>
              <w:t>2</w:t>
            </w:r>
          </w:p>
        </w:tc>
        <w:tc>
          <w:tcPr>
            <w:tcW w:w="687" w:type="pct"/>
            <w:vAlign w:val="center"/>
          </w:tcPr>
          <w:p w14:paraId="7EB3A708">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年平均</w:t>
            </w:r>
          </w:p>
        </w:tc>
        <w:tc>
          <w:tcPr>
            <w:tcW w:w="839" w:type="pct"/>
            <w:vAlign w:val="center"/>
          </w:tcPr>
          <w:p w14:paraId="4D1BCAED">
            <w:pPr>
              <w:pStyle w:val="181"/>
              <w:snapToGrid w:val="0"/>
              <w:jc w:val="center"/>
              <w:textAlignment w:val="center"/>
              <w:rPr>
                <w:bCs/>
                <w:iCs/>
                <w:snapToGrid w:val="0"/>
                <w:color w:val="auto"/>
                <w:sz w:val="21"/>
                <w:szCs w:val="21"/>
                <w:highlight w:val="none"/>
                <w:u w:val="single"/>
              </w:rPr>
            </w:pPr>
            <w:r>
              <w:rPr>
                <w:rFonts w:hint="eastAsia"/>
                <w:bCs/>
                <w:iCs/>
                <w:snapToGrid w:val="0"/>
                <w:color w:val="auto"/>
                <w:sz w:val="21"/>
                <w:szCs w:val="21"/>
                <w:highlight w:val="none"/>
                <w:u w:val="single"/>
              </w:rPr>
              <w:t>4</w:t>
            </w:r>
            <w:r>
              <w:rPr>
                <w:bCs/>
                <w:iCs/>
                <w:snapToGrid w:val="0"/>
                <w:color w:val="auto"/>
                <w:sz w:val="21"/>
                <w:szCs w:val="21"/>
                <w:highlight w:val="none"/>
                <w:u w:val="single"/>
              </w:rPr>
              <w:t>0</w:t>
            </w:r>
          </w:p>
        </w:tc>
        <w:tc>
          <w:tcPr>
            <w:tcW w:w="612" w:type="pct"/>
            <w:vAlign w:val="center"/>
          </w:tcPr>
          <w:p w14:paraId="3E44CB07">
            <w:pPr>
              <w:pStyle w:val="181"/>
              <w:snapToGrid w:val="0"/>
              <w:jc w:val="center"/>
              <w:textAlignment w:val="center"/>
              <w:rPr>
                <w:bCs/>
                <w:iCs/>
                <w:snapToGrid w:val="0"/>
                <w:color w:val="auto"/>
                <w:sz w:val="21"/>
                <w:szCs w:val="21"/>
                <w:highlight w:val="none"/>
                <w:u w:val="single"/>
              </w:rPr>
            </w:pPr>
            <w:r>
              <w:rPr>
                <w:rFonts w:hint="eastAsia"/>
                <w:bCs/>
                <w:iCs/>
                <w:snapToGrid w:val="0"/>
                <w:color w:val="auto"/>
                <w:sz w:val="21"/>
                <w:szCs w:val="21"/>
                <w:highlight w:val="none"/>
                <w:u w:val="single"/>
              </w:rPr>
              <w:t>3</w:t>
            </w:r>
            <w:r>
              <w:rPr>
                <w:bCs/>
                <w:iCs/>
                <w:snapToGrid w:val="0"/>
                <w:color w:val="auto"/>
                <w:sz w:val="21"/>
                <w:szCs w:val="21"/>
                <w:highlight w:val="none"/>
                <w:u w:val="single"/>
              </w:rPr>
              <w:t>0</w:t>
            </w:r>
          </w:p>
        </w:tc>
        <w:tc>
          <w:tcPr>
            <w:tcW w:w="1811" w:type="pct"/>
            <w:vMerge w:val="continue"/>
            <w:vAlign w:val="center"/>
          </w:tcPr>
          <w:p w14:paraId="702D98B7">
            <w:pPr>
              <w:spacing w:line="240" w:lineRule="auto"/>
              <w:ind w:firstLine="0" w:firstLineChars="0"/>
              <w:jc w:val="center"/>
              <w:rPr>
                <w:rFonts w:eastAsiaTheme="minorEastAsia"/>
                <w:color w:val="auto"/>
                <w:sz w:val="21"/>
                <w:szCs w:val="21"/>
                <w:highlight w:val="none"/>
                <w:u w:val="single"/>
              </w:rPr>
            </w:pPr>
          </w:p>
        </w:tc>
      </w:tr>
      <w:tr w14:paraId="411D836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293" w:type="pct"/>
            <w:vMerge w:val="continue"/>
            <w:vAlign w:val="center"/>
          </w:tcPr>
          <w:p w14:paraId="1E66D960">
            <w:pPr>
              <w:spacing w:line="240" w:lineRule="auto"/>
              <w:ind w:firstLine="0" w:firstLineChars="0"/>
              <w:jc w:val="center"/>
              <w:rPr>
                <w:rFonts w:eastAsiaTheme="minorEastAsia"/>
                <w:color w:val="auto"/>
                <w:sz w:val="21"/>
                <w:szCs w:val="21"/>
                <w:highlight w:val="none"/>
                <w:u w:val="single"/>
              </w:rPr>
            </w:pPr>
          </w:p>
        </w:tc>
        <w:tc>
          <w:tcPr>
            <w:tcW w:w="758" w:type="pct"/>
            <w:vMerge w:val="continue"/>
            <w:vAlign w:val="center"/>
          </w:tcPr>
          <w:p w14:paraId="6AADF41D">
            <w:pPr>
              <w:spacing w:line="240" w:lineRule="auto"/>
              <w:ind w:firstLine="0" w:firstLineChars="0"/>
              <w:jc w:val="center"/>
              <w:rPr>
                <w:rFonts w:eastAsiaTheme="minorEastAsia"/>
                <w:color w:val="auto"/>
                <w:sz w:val="21"/>
                <w:szCs w:val="21"/>
                <w:highlight w:val="none"/>
                <w:u w:val="single"/>
              </w:rPr>
            </w:pPr>
          </w:p>
        </w:tc>
        <w:tc>
          <w:tcPr>
            <w:tcW w:w="687" w:type="pct"/>
            <w:vAlign w:val="center"/>
          </w:tcPr>
          <w:p w14:paraId="2E7AFE3D">
            <w:pPr>
              <w:spacing w:line="240" w:lineRule="auto"/>
              <w:ind w:firstLine="0" w:firstLineChars="0"/>
              <w:jc w:val="center"/>
              <w:rPr>
                <w:rFonts w:eastAsiaTheme="minorEastAsia"/>
                <w:color w:val="auto"/>
                <w:sz w:val="21"/>
                <w:szCs w:val="21"/>
                <w:highlight w:val="none"/>
                <w:u w:val="single"/>
              </w:rPr>
            </w:pPr>
            <w:r>
              <w:rPr>
                <w:rFonts w:hint="eastAsia" w:eastAsiaTheme="minorEastAsia"/>
                <w:color w:val="auto"/>
                <w:sz w:val="21"/>
                <w:szCs w:val="21"/>
                <w:highlight w:val="none"/>
                <w:u w:val="single"/>
              </w:rPr>
              <w:t>日</w:t>
            </w:r>
            <w:r>
              <w:rPr>
                <w:rFonts w:eastAsiaTheme="minorEastAsia"/>
                <w:color w:val="auto"/>
                <w:sz w:val="21"/>
                <w:szCs w:val="21"/>
                <w:highlight w:val="none"/>
                <w:u w:val="single"/>
              </w:rPr>
              <w:t>平均</w:t>
            </w:r>
          </w:p>
        </w:tc>
        <w:tc>
          <w:tcPr>
            <w:tcW w:w="839" w:type="pct"/>
            <w:vAlign w:val="center"/>
          </w:tcPr>
          <w:p w14:paraId="3F782DBF">
            <w:pPr>
              <w:pStyle w:val="181"/>
              <w:snapToGrid w:val="0"/>
              <w:jc w:val="center"/>
              <w:textAlignment w:val="center"/>
              <w:rPr>
                <w:bCs/>
                <w:iCs/>
                <w:snapToGrid w:val="0"/>
                <w:color w:val="auto"/>
                <w:sz w:val="21"/>
                <w:szCs w:val="21"/>
                <w:highlight w:val="none"/>
                <w:u w:val="single"/>
              </w:rPr>
            </w:pPr>
            <w:r>
              <w:rPr>
                <w:bCs/>
                <w:iCs/>
                <w:snapToGrid w:val="0"/>
                <w:color w:val="auto"/>
                <w:sz w:val="21"/>
                <w:szCs w:val="21"/>
                <w:highlight w:val="none"/>
                <w:u w:val="single"/>
              </w:rPr>
              <w:t>8</w:t>
            </w:r>
            <w:r>
              <w:rPr>
                <w:rFonts w:hint="eastAsia"/>
                <w:bCs/>
                <w:iCs/>
                <w:snapToGrid w:val="0"/>
                <w:color w:val="auto"/>
                <w:sz w:val="21"/>
                <w:szCs w:val="21"/>
                <w:highlight w:val="none"/>
                <w:u w:val="single"/>
              </w:rPr>
              <w:t>0</w:t>
            </w:r>
          </w:p>
        </w:tc>
        <w:tc>
          <w:tcPr>
            <w:tcW w:w="612" w:type="pct"/>
            <w:vAlign w:val="center"/>
          </w:tcPr>
          <w:p w14:paraId="007FCC16">
            <w:pPr>
              <w:pStyle w:val="181"/>
              <w:snapToGrid w:val="0"/>
              <w:jc w:val="center"/>
              <w:textAlignment w:val="center"/>
              <w:rPr>
                <w:bCs/>
                <w:iCs/>
                <w:snapToGrid w:val="0"/>
                <w:color w:val="auto"/>
                <w:sz w:val="21"/>
                <w:szCs w:val="21"/>
                <w:highlight w:val="none"/>
                <w:u w:val="single"/>
              </w:rPr>
            </w:pPr>
            <w:r>
              <w:rPr>
                <w:rFonts w:hint="eastAsia"/>
                <w:bCs/>
                <w:iCs/>
                <w:snapToGrid w:val="0"/>
                <w:color w:val="auto"/>
                <w:sz w:val="21"/>
                <w:szCs w:val="21"/>
                <w:highlight w:val="none"/>
                <w:u w:val="single"/>
              </w:rPr>
              <w:t>5</w:t>
            </w:r>
            <w:r>
              <w:rPr>
                <w:bCs/>
                <w:iCs/>
                <w:snapToGrid w:val="0"/>
                <w:color w:val="auto"/>
                <w:sz w:val="21"/>
                <w:szCs w:val="21"/>
                <w:highlight w:val="none"/>
                <w:u w:val="single"/>
              </w:rPr>
              <w:t>0</w:t>
            </w:r>
          </w:p>
        </w:tc>
        <w:tc>
          <w:tcPr>
            <w:tcW w:w="1811" w:type="pct"/>
            <w:vMerge w:val="continue"/>
            <w:vAlign w:val="center"/>
          </w:tcPr>
          <w:p w14:paraId="41C51759">
            <w:pPr>
              <w:spacing w:line="240" w:lineRule="auto"/>
              <w:ind w:firstLine="0" w:firstLineChars="0"/>
              <w:jc w:val="center"/>
              <w:rPr>
                <w:rFonts w:eastAsiaTheme="minorEastAsia"/>
                <w:color w:val="auto"/>
                <w:sz w:val="21"/>
                <w:szCs w:val="21"/>
                <w:highlight w:val="none"/>
                <w:u w:val="single"/>
              </w:rPr>
            </w:pPr>
          </w:p>
        </w:tc>
      </w:tr>
      <w:tr w14:paraId="0257C3A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293" w:type="pct"/>
            <w:vMerge w:val="continue"/>
            <w:vAlign w:val="center"/>
          </w:tcPr>
          <w:p w14:paraId="24460192">
            <w:pPr>
              <w:spacing w:line="240" w:lineRule="auto"/>
              <w:ind w:firstLine="0" w:firstLineChars="0"/>
              <w:jc w:val="center"/>
              <w:rPr>
                <w:rFonts w:eastAsiaTheme="minorEastAsia"/>
                <w:color w:val="auto"/>
                <w:sz w:val="21"/>
                <w:szCs w:val="21"/>
                <w:highlight w:val="none"/>
                <w:u w:val="single"/>
              </w:rPr>
            </w:pPr>
          </w:p>
        </w:tc>
        <w:tc>
          <w:tcPr>
            <w:tcW w:w="758" w:type="pct"/>
            <w:vMerge w:val="continue"/>
            <w:vAlign w:val="center"/>
          </w:tcPr>
          <w:p w14:paraId="2CB71602">
            <w:pPr>
              <w:spacing w:line="240" w:lineRule="auto"/>
              <w:ind w:firstLine="0" w:firstLineChars="0"/>
              <w:jc w:val="center"/>
              <w:rPr>
                <w:rFonts w:eastAsiaTheme="minorEastAsia"/>
                <w:color w:val="auto"/>
                <w:sz w:val="21"/>
                <w:szCs w:val="21"/>
                <w:highlight w:val="none"/>
                <w:u w:val="single"/>
              </w:rPr>
            </w:pPr>
          </w:p>
        </w:tc>
        <w:tc>
          <w:tcPr>
            <w:tcW w:w="687" w:type="pct"/>
            <w:vAlign w:val="center"/>
          </w:tcPr>
          <w:p w14:paraId="06D407A6">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1小时平均</w:t>
            </w:r>
          </w:p>
        </w:tc>
        <w:tc>
          <w:tcPr>
            <w:tcW w:w="839" w:type="pct"/>
            <w:vAlign w:val="center"/>
          </w:tcPr>
          <w:p w14:paraId="0F361245">
            <w:pPr>
              <w:pStyle w:val="181"/>
              <w:snapToGrid w:val="0"/>
              <w:jc w:val="center"/>
              <w:textAlignment w:val="center"/>
              <w:rPr>
                <w:bCs/>
                <w:iCs/>
                <w:snapToGrid w:val="0"/>
                <w:color w:val="auto"/>
                <w:sz w:val="21"/>
                <w:szCs w:val="21"/>
                <w:highlight w:val="none"/>
                <w:u w:val="single"/>
              </w:rPr>
            </w:pPr>
            <w:r>
              <w:rPr>
                <w:rFonts w:hint="eastAsia"/>
                <w:bCs/>
                <w:iCs/>
                <w:snapToGrid w:val="0"/>
                <w:color w:val="auto"/>
                <w:sz w:val="21"/>
                <w:szCs w:val="21"/>
                <w:highlight w:val="none"/>
                <w:u w:val="single"/>
              </w:rPr>
              <w:t>2</w:t>
            </w:r>
            <w:r>
              <w:rPr>
                <w:bCs/>
                <w:iCs/>
                <w:snapToGrid w:val="0"/>
                <w:color w:val="auto"/>
                <w:sz w:val="21"/>
                <w:szCs w:val="21"/>
                <w:highlight w:val="none"/>
                <w:u w:val="single"/>
              </w:rPr>
              <w:t>00</w:t>
            </w:r>
          </w:p>
        </w:tc>
        <w:tc>
          <w:tcPr>
            <w:tcW w:w="612" w:type="pct"/>
            <w:vAlign w:val="center"/>
          </w:tcPr>
          <w:p w14:paraId="2867A5ED">
            <w:pPr>
              <w:pStyle w:val="181"/>
              <w:snapToGrid w:val="0"/>
              <w:jc w:val="center"/>
              <w:textAlignment w:val="center"/>
              <w:rPr>
                <w:bCs/>
                <w:iCs/>
                <w:snapToGrid w:val="0"/>
                <w:color w:val="auto"/>
                <w:sz w:val="21"/>
                <w:szCs w:val="21"/>
                <w:highlight w:val="none"/>
                <w:u w:val="single"/>
              </w:rPr>
            </w:pPr>
            <w:r>
              <w:rPr>
                <w:rFonts w:hint="eastAsia"/>
                <w:bCs/>
                <w:iCs/>
                <w:snapToGrid w:val="0"/>
                <w:color w:val="auto"/>
                <w:sz w:val="21"/>
                <w:szCs w:val="21"/>
                <w:highlight w:val="none"/>
                <w:u w:val="single"/>
              </w:rPr>
              <w:t>2</w:t>
            </w:r>
            <w:r>
              <w:rPr>
                <w:bCs/>
                <w:iCs/>
                <w:snapToGrid w:val="0"/>
                <w:color w:val="auto"/>
                <w:sz w:val="21"/>
                <w:szCs w:val="21"/>
                <w:highlight w:val="none"/>
                <w:u w:val="single"/>
              </w:rPr>
              <w:t>00</w:t>
            </w:r>
          </w:p>
        </w:tc>
        <w:tc>
          <w:tcPr>
            <w:tcW w:w="1811" w:type="pct"/>
            <w:vMerge w:val="continue"/>
            <w:vAlign w:val="center"/>
          </w:tcPr>
          <w:p w14:paraId="2B554C2A">
            <w:pPr>
              <w:spacing w:line="240" w:lineRule="auto"/>
              <w:ind w:firstLine="0" w:firstLineChars="0"/>
              <w:jc w:val="center"/>
              <w:rPr>
                <w:rFonts w:eastAsiaTheme="minorEastAsia"/>
                <w:color w:val="auto"/>
                <w:sz w:val="21"/>
                <w:szCs w:val="21"/>
                <w:highlight w:val="none"/>
                <w:u w:val="single"/>
              </w:rPr>
            </w:pPr>
          </w:p>
        </w:tc>
      </w:tr>
      <w:tr w14:paraId="1830F94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293" w:type="pct"/>
            <w:vMerge w:val="restart"/>
            <w:vAlign w:val="center"/>
          </w:tcPr>
          <w:p w14:paraId="7BF9695A">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3</w:t>
            </w:r>
          </w:p>
        </w:tc>
        <w:tc>
          <w:tcPr>
            <w:tcW w:w="758" w:type="pct"/>
            <w:vMerge w:val="restart"/>
            <w:vAlign w:val="center"/>
          </w:tcPr>
          <w:p w14:paraId="2A4BAECA">
            <w:pPr>
              <w:spacing w:line="240" w:lineRule="auto"/>
              <w:ind w:firstLine="0" w:firstLineChars="0"/>
              <w:jc w:val="center"/>
              <w:rPr>
                <w:rFonts w:eastAsiaTheme="minorEastAsia"/>
                <w:color w:val="auto"/>
                <w:sz w:val="21"/>
                <w:szCs w:val="21"/>
                <w:highlight w:val="none"/>
                <w:u w:val="single"/>
                <w:vertAlign w:val="subscript"/>
              </w:rPr>
            </w:pPr>
            <w:r>
              <w:rPr>
                <w:rFonts w:eastAsiaTheme="minorEastAsia"/>
                <w:color w:val="auto"/>
                <w:sz w:val="21"/>
                <w:szCs w:val="21"/>
                <w:highlight w:val="none"/>
                <w:u w:val="single"/>
              </w:rPr>
              <w:t>PM</w:t>
            </w:r>
            <w:r>
              <w:rPr>
                <w:rFonts w:eastAsiaTheme="minorEastAsia"/>
                <w:color w:val="auto"/>
                <w:sz w:val="21"/>
                <w:szCs w:val="21"/>
                <w:highlight w:val="none"/>
                <w:u w:val="single"/>
                <w:vertAlign w:val="subscript"/>
              </w:rPr>
              <w:t>10</w:t>
            </w:r>
          </w:p>
        </w:tc>
        <w:tc>
          <w:tcPr>
            <w:tcW w:w="687" w:type="pct"/>
            <w:vAlign w:val="center"/>
          </w:tcPr>
          <w:p w14:paraId="347D46FD">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年平均</w:t>
            </w:r>
          </w:p>
        </w:tc>
        <w:tc>
          <w:tcPr>
            <w:tcW w:w="839" w:type="pct"/>
            <w:vAlign w:val="center"/>
          </w:tcPr>
          <w:p w14:paraId="451915F3">
            <w:pPr>
              <w:pStyle w:val="181"/>
              <w:snapToGrid w:val="0"/>
              <w:jc w:val="center"/>
              <w:textAlignment w:val="center"/>
              <w:rPr>
                <w:bCs/>
                <w:iCs/>
                <w:snapToGrid w:val="0"/>
                <w:color w:val="auto"/>
                <w:sz w:val="21"/>
                <w:szCs w:val="21"/>
                <w:highlight w:val="none"/>
                <w:u w:val="single"/>
              </w:rPr>
            </w:pPr>
            <w:r>
              <w:rPr>
                <w:rFonts w:hint="eastAsia"/>
                <w:bCs/>
                <w:iCs/>
                <w:snapToGrid w:val="0"/>
                <w:color w:val="auto"/>
                <w:sz w:val="21"/>
                <w:szCs w:val="21"/>
                <w:highlight w:val="none"/>
                <w:u w:val="single"/>
              </w:rPr>
              <w:t>6</w:t>
            </w:r>
            <w:r>
              <w:rPr>
                <w:bCs/>
                <w:iCs/>
                <w:snapToGrid w:val="0"/>
                <w:color w:val="auto"/>
                <w:sz w:val="21"/>
                <w:szCs w:val="21"/>
                <w:highlight w:val="none"/>
                <w:u w:val="single"/>
              </w:rPr>
              <w:t>0</w:t>
            </w:r>
          </w:p>
        </w:tc>
        <w:tc>
          <w:tcPr>
            <w:tcW w:w="612" w:type="pct"/>
            <w:vAlign w:val="center"/>
          </w:tcPr>
          <w:p w14:paraId="6E6BF466">
            <w:pPr>
              <w:pStyle w:val="181"/>
              <w:snapToGrid w:val="0"/>
              <w:jc w:val="center"/>
              <w:textAlignment w:val="center"/>
              <w:rPr>
                <w:bCs/>
                <w:iCs/>
                <w:snapToGrid w:val="0"/>
                <w:color w:val="auto"/>
                <w:sz w:val="21"/>
                <w:szCs w:val="21"/>
                <w:highlight w:val="none"/>
                <w:u w:val="single"/>
              </w:rPr>
            </w:pPr>
            <w:r>
              <w:rPr>
                <w:rFonts w:hint="eastAsia"/>
                <w:bCs/>
                <w:iCs/>
                <w:snapToGrid w:val="0"/>
                <w:color w:val="auto"/>
                <w:sz w:val="21"/>
                <w:szCs w:val="21"/>
                <w:highlight w:val="none"/>
                <w:u w:val="single"/>
              </w:rPr>
              <w:t>5</w:t>
            </w:r>
            <w:r>
              <w:rPr>
                <w:bCs/>
                <w:iCs/>
                <w:snapToGrid w:val="0"/>
                <w:color w:val="auto"/>
                <w:sz w:val="21"/>
                <w:szCs w:val="21"/>
                <w:highlight w:val="none"/>
                <w:u w:val="single"/>
              </w:rPr>
              <w:t>0</w:t>
            </w:r>
          </w:p>
        </w:tc>
        <w:tc>
          <w:tcPr>
            <w:tcW w:w="1811" w:type="pct"/>
            <w:vMerge w:val="continue"/>
            <w:vAlign w:val="center"/>
          </w:tcPr>
          <w:p w14:paraId="3E8BE730">
            <w:pPr>
              <w:spacing w:line="240" w:lineRule="auto"/>
              <w:ind w:firstLine="0" w:firstLineChars="0"/>
              <w:jc w:val="center"/>
              <w:rPr>
                <w:rFonts w:eastAsiaTheme="minorEastAsia"/>
                <w:color w:val="auto"/>
                <w:sz w:val="21"/>
                <w:szCs w:val="21"/>
                <w:highlight w:val="none"/>
                <w:u w:val="single"/>
              </w:rPr>
            </w:pPr>
          </w:p>
        </w:tc>
      </w:tr>
      <w:tr w14:paraId="2EE74F3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293" w:type="pct"/>
            <w:vMerge w:val="continue"/>
            <w:vAlign w:val="center"/>
          </w:tcPr>
          <w:p w14:paraId="29D7CE4B">
            <w:pPr>
              <w:spacing w:line="240" w:lineRule="auto"/>
              <w:ind w:firstLine="0" w:firstLineChars="0"/>
              <w:jc w:val="center"/>
              <w:rPr>
                <w:rFonts w:eastAsiaTheme="minorEastAsia"/>
                <w:color w:val="auto"/>
                <w:sz w:val="21"/>
                <w:szCs w:val="21"/>
                <w:highlight w:val="none"/>
                <w:u w:val="single"/>
              </w:rPr>
            </w:pPr>
          </w:p>
        </w:tc>
        <w:tc>
          <w:tcPr>
            <w:tcW w:w="758" w:type="pct"/>
            <w:vMerge w:val="continue"/>
            <w:vAlign w:val="center"/>
          </w:tcPr>
          <w:p w14:paraId="5711E13F">
            <w:pPr>
              <w:spacing w:line="240" w:lineRule="auto"/>
              <w:ind w:firstLine="0" w:firstLineChars="0"/>
              <w:jc w:val="center"/>
              <w:rPr>
                <w:rFonts w:eastAsiaTheme="minorEastAsia"/>
                <w:color w:val="auto"/>
                <w:sz w:val="21"/>
                <w:szCs w:val="21"/>
                <w:highlight w:val="none"/>
                <w:u w:val="single"/>
              </w:rPr>
            </w:pPr>
          </w:p>
        </w:tc>
        <w:tc>
          <w:tcPr>
            <w:tcW w:w="687" w:type="pct"/>
            <w:vAlign w:val="center"/>
          </w:tcPr>
          <w:p w14:paraId="63FB0B18">
            <w:pPr>
              <w:spacing w:line="240" w:lineRule="auto"/>
              <w:ind w:firstLine="0" w:firstLineChars="0"/>
              <w:jc w:val="center"/>
              <w:rPr>
                <w:rFonts w:eastAsiaTheme="minorEastAsia"/>
                <w:color w:val="auto"/>
                <w:sz w:val="21"/>
                <w:szCs w:val="21"/>
                <w:highlight w:val="none"/>
                <w:u w:val="single"/>
              </w:rPr>
            </w:pPr>
            <w:r>
              <w:rPr>
                <w:rFonts w:hint="eastAsia" w:eastAsiaTheme="minorEastAsia"/>
                <w:color w:val="auto"/>
                <w:sz w:val="21"/>
                <w:szCs w:val="21"/>
                <w:highlight w:val="none"/>
                <w:u w:val="single"/>
              </w:rPr>
              <w:t>日</w:t>
            </w:r>
            <w:r>
              <w:rPr>
                <w:rFonts w:eastAsiaTheme="minorEastAsia"/>
                <w:color w:val="auto"/>
                <w:sz w:val="21"/>
                <w:szCs w:val="21"/>
                <w:highlight w:val="none"/>
                <w:u w:val="single"/>
              </w:rPr>
              <w:t>平均</w:t>
            </w:r>
          </w:p>
        </w:tc>
        <w:tc>
          <w:tcPr>
            <w:tcW w:w="839" w:type="pct"/>
            <w:vAlign w:val="center"/>
          </w:tcPr>
          <w:p w14:paraId="30E5966C">
            <w:pPr>
              <w:pStyle w:val="181"/>
              <w:snapToGrid w:val="0"/>
              <w:jc w:val="center"/>
              <w:textAlignment w:val="center"/>
              <w:rPr>
                <w:bCs/>
                <w:iCs/>
                <w:snapToGrid w:val="0"/>
                <w:color w:val="auto"/>
                <w:sz w:val="21"/>
                <w:szCs w:val="21"/>
                <w:highlight w:val="none"/>
                <w:u w:val="single"/>
              </w:rPr>
            </w:pPr>
            <w:r>
              <w:rPr>
                <w:rFonts w:hint="eastAsia"/>
                <w:bCs/>
                <w:iCs/>
                <w:snapToGrid w:val="0"/>
                <w:color w:val="auto"/>
                <w:sz w:val="21"/>
                <w:szCs w:val="21"/>
                <w:highlight w:val="none"/>
                <w:u w:val="single"/>
              </w:rPr>
              <w:t>1</w:t>
            </w:r>
            <w:r>
              <w:rPr>
                <w:bCs/>
                <w:iCs/>
                <w:snapToGrid w:val="0"/>
                <w:color w:val="auto"/>
                <w:sz w:val="21"/>
                <w:szCs w:val="21"/>
                <w:highlight w:val="none"/>
                <w:u w:val="single"/>
              </w:rPr>
              <w:t>20</w:t>
            </w:r>
          </w:p>
        </w:tc>
        <w:tc>
          <w:tcPr>
            <w:tcW w:w="612" w:type="pct"/>
            <w:vAlign w:val="center"/>
          </w:tcPr>
          <w:p w14:paraId="72C88CFD">
            <w:pPr>
              <w:pStyle w:val="181"/>
              <w:snapToGrid w:val="0"/>
              <w:jc w:val="center"/>
              <w:textAlignment w:val="center"/>
              <w:rPr>
                <w:bCs/>
                <w:iCs/>
                <w:snapToGrid w:val="0"/>
                <w:color w:val="auto"/>
                <w:sz w:val="21"/>
                <w:szCs w:val="21"/>
                <w:highlight w:val="none"/>
                <w:u w:val="single"/>
              </w:rPr>
            </w:pPr>
            <w:r>
              <w:rPr>
                <w:rFonts w:hint="eastAsia"/>
                <w:bCs/>
                <w:iCs/>
                <w:snapToGrid w:val="0"/>
                <w:color w:val="auto"/>
                <w:sz w:val="21"/>
                <w:szCs w:val="21"/>
                <w:highlight w:val="none"/>
                <w:u w:val="single"/>
              </w:rPr>
              <w:t>1</w:t>
            </w:r>
            <w:r>
              <w:rPr>
                <w:bCs/>
                <w:iCs/>
                <w:snapToGrid w:val="0"/>
                <w:color w:val="auto"/>
                <w:sz w:val="21"/>
                <w:szCs w:val="21"/>
                <w:highlight w:val="none"/>
                <w:u w:val="single"/>
              </w:rPr>
              <w:t>00</w:t>
            </w:r>
          </w:p>
        </w:tc>
        <w:tc>
          <w:tcPr>
            <w:tcW w:w="1811" w:type="pct"/>
            <w:vMerge w:val="continue"/>
            <w:vAlign w:val="center"/>
          </w:tcPr>
          <w:p w14:paraId="12D5CB5C">
            <w:pPr>
              <w:spacing w:line="240" w:lineRule="auto"/>
              <w:ind w:firstLine="0" w:firstLineChars="0"/>
              <w:jc w:val="center"/>
              <w:rPr>
                <w:rFonts w:eastAsiaTheme="minorEastAsia"/>
                <w:color w:val="auto"/>
                <w:sz w:val="21"/>
                <w:szCs w:val="21"/>
                <w:highlight w:val="none"/>
                <w:u w:val="single"/>
              </w:rPr>
            </w:pPr>
          </w:p>
        </w:tc>
      </w:tr>
      <w:tr w14:paraId="03D12EC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293" w:type="pct"/>
            <w:vMerge w:val="restart"/>
            <w:vAlign w:val="center"/>
          </w:tcPr>
          <w:p w14:paraId="7AD756DB">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4</w:t>
            </w:r>
          </w:p>
        </w:tc>
        <w:tc>
          <w:tcPr>
            <w:tcW w:w="758" w:type="pct"/>
            <w:vMerge w:val="restart"/>
            <w:vAlign w:val="center"/>
          </w:tcPr>
          <w:p w14:paraId="322C1A41">
            <w:pPr>
              <w:spacing w:line="240" w:lineRule="auto"/>
              <w:ind w:firstLine="0" w:firstLineChars="0"/>
              <w:jc w:val="center"/>
              <w:rPr>
                <w:rFonts w:eastAsiaTheme="minorEastAsia"/>
                <w:color w:val="auto"/>
                <w:sz w:val="21"/>
                <w:szCs w:val="21"/>
                <w:highlight w:val="none"/>
                <w:u w:val="single"/>
                <w:vertAlign w:val="subscript"/>
              </w:rPr>
            </w:pPr>
            <w:r>
              <w:rPr>
                <w:rFonts w:eastAsiaTheme="minorEastAsia"/>
                <w:color w:val="auto"/>
                <w:sz w:val="21"/>
                <w:szCs w:val="21"/>
                <w:highlight w:val="none"/>
                <w:u w:val="single"/>
              </w:rPr>
              <w:t>PM</w:t>
            </w:r>
            <w:r>
              <w:rPr>
                <w:rFonts w:eastAsiaTheme="minorEastAsia"/>
                <w:color w:val="auto"/>
                <w:sz w:val="21"/>
                <w:szCs w:val="21"/>
                <w:highlight w:val="none"/>
                <w:u w:val="single"/>
                <w:vertAlign w:val="subscript"/>
              </w:rPr>
              <w:t>2.5</w:t>
            </w:r>
          </w:p>
        </w:tc>
        <w:tc>
          <w:tcPr>
            <w:tcW w:w="687" w:type="pct"/>
            <w:vAlign w:val="center"/>
          </w:tcPr>
          <w:p w14:paraId="60F7EB7B">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年平均</w:t>
            </w:r>
          </w:p>
        </w:tc>
        <w:tc>
          <w:tcPr>
            <w:tcW w:w="839" w:type="pct"/>
            <w:vAlign w:val="center"/>
          </w:tcPr>
          <w:p w14:paraId="2211AC8C">
            <w:pPr>
              <w:pStyle w:val="181"/>
              <w:snapToGrid w:val="0"/>
              <w:jc w:val="center"/>
              <w:textAlignment w:val="center"/>
              <w:rPr>
                <w:bCs/>
                <w:iCs/>
                <w:snapToGrid w:val="0"/>
                <w:color w:val="auto"/>
                <w:sz w:val="21"/>
                <w:szCs w:val="21"/>
                <w:highlight w:val="none"/>
                <w:u w:val="single"/>
              </w:rPr>
            </w:pPr>
            <w:r>
              <w:rPr>
                <w:rFonts w:hint="eastAsia"/>
                <w:bCs/>
                <w:iCs/>
                <w:snapToGrid w:val="0"/>
                <w:color w:val="auto"/>
                <w:sz w:val="21"/>
                <w:szCs w:val="21"/>
                <w:highlight w:val="none"/>
                <w:u w:val="single"/>
              </w:rPr>
              <w:t>3</w:t>
            </w:r>
            <w:r>
              <w:rPr>
                <w:bCs/>
                <w:iCs/>
                <w:snapToGrid w:val="0"/>
                <w:color w:val="auto"/>
                <w:sz w:val="21"/>
                <w:szCs w:val="21"/>
                <w:highlight w:val="none"/>
                <w:u w:val="single"/>
              </w:rPr>
              <w:t>0</w:t>
            </w:r>
          </w:p>
        </w:tc>
        <w:tc>
          <w:tcPr>
            <w:tcW w:w="612" w:type="pct"/>
            <w:vAlign w:val="center"/>
          </w:tcPr>
          <w:p w14:paraId="1B1528B0">
            <w:pPr>
              <w:pStyle w:val="181"/>
              <w:snapToGrid w:val="0"/>
              <w:jc w:val="center"/>
              <w:textAlignment w:val="center"/>
              <w:rPr>
                <w:bCs/>
                <w:iCs/>
                <w:snapToGrid w:val="0"/>
                <w:color w:val="auto"/>
                <w:sz w:val="21"/>
                <w:szCs w:val="21"/>
                <w:highlight w:val="none"/>
                <w:u w:val="single"/>
              </w:rPr>
            </w:pPr>
            <w:r>
              <w:rPr>
                <w:rFonts w:hint="eastAsia"/>
                <w:bCs/>
                <w:iCs/>
                <w:snapToGrid w:val="0"/>
                <w:color w:val="auto"/>
                <w:sz w:val="21"/>
                <w:szCs w:val="21"/>
                <w:highlight w:val="none"/>
                <w:u w:val="single"/>
              </w:rPr>
              <w:t>2</w:t>
            </w:r>
            <w:r>
              <w:rPr>
                <w:bCs/>
                <w:iCs/>
                <w:snapToGrid w:val="0"/>
                <w:color w:val="auto"/>
                <w:sz w:val="21"/>
                <w:szCs w:val="21"/>
                <w:highlight w:val="none"/>
                <w:u w:val="single"/>
              </w:rPr>
              <w:t>5</w:t>
            </w:r>
          </w:p>
        </w:tc>
        <w:tc>
          <w:tcPr>
            <w:tcW w:w="1811" w:type="pct"/>
            <w:vMerge w:val="continue"/>
            <w:vAlign w:val="center"/>
          </w:tcPr>
          <w:p w14:paraId="15C6B9C3">
            <w:pPr>
              <w:spacing w:line="240" w:lineRule="auto"/>
              <w:ind w:firstLine="0" w:firstLineChars="0"/>
              <w:jc w:val="center"/>
              <w:rPr>
                <w:rFonts w:eastAsiaTheme="minorEastAsia"/>
                <w:color w:val="auto"/>
                <w:sz w:val="21"/>
                <w:szCs w:val="21"/>
                <w:highlight w:val="none"/>
                <w:u w:val="single"/>
              </w:rPr>
            </w:pPr>
          </w:p>
        </w:tc>
      </w:tr>
      <w:tr w14:paraId="1BEB3DF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293" w:type="pct"/>
            <w:vMerge w:val="continue"/>
            <w:vAlign w:val="center"/>
          </w:tcPr>
          <w:p w14:paraId="0AFD5AD3">
            <w:pPr>
              <w:spacing w:line="240" w:lineRule="auto"/>
              <w:ind w:firstLine="0" w:firstLineChars="0"/>
              <w:jc w:val="center"/>
              <w:rPr>
                <w:rFonts w:eastAsiaTheme="minorEastAsia"/>
                <w:color w:val="auto"/>
                <w:sz w:val="21"/>
                <w:szCs w:val="21"/>
                <w:highlight w:val="none"/>
                <w:u w:val="single"/>
              </w:rPr>
            </w:pPr>
          </w:p>
        </w:tc>
        <w:tc>
          <w:tcPr>
            <w:tcW w:w="758" w:type="pct"/>
            <w:vMerge w:val="continue"/>
            <w:vAlign w:val="center"/>
          </w:tcPr>
          <w:p w14:paraId="3491F6CB">
            <w:pPr>
              <w:spacing w:line="240" w:lineRule="auto"/>
              <w:ind w:firstLine="0" w:firstLineChars="0"/>
              <w:jc w:val="center"/>
              <w:rPr>
                <w:rFonts w:eastAsiaTheme="minorEastAsia"/>
                <w:color w:val="auto"/>
                <w:sz w:val="21"/>
                <w:szCs w:val="21"/>
                <w:highlight w:val="none"/>
                <w:u w:val="single"/>
              </w:rPr>
            </w:pPr>
          </w:p>
        </w:tc>
        <w:tc>
          <w:tcPr>
            <w:tcW w:w="687" w:type="pct"/>
            <w:vAlign w:val="center"/>
          </w:tcPr>
          <w:p w14:paraId="5EB58EAE">
            <w:pPr>
              <w:spacing w:line="240" w:lineRule="auto"/>
              <w:ind w:firstLine="0" w:firstLineChars="0"/>
              <w:jc w:val="center"/>
              <w:rPr>
                <w:rFonts w:eastAsiaTheme="minorEastAsia"/>
                <w:color w:val="auto"/>
                <w:sz w:val="21"/>
                <w:szCs w:val="21"/>
                <w:highlight w:val="none"/>
                <w:u w:val="single"/>
              </w:rPr>
            </w:pPr>
            <w:r>
              <w:rPr>
                <w:rFonts w:hint="eastAsia" w:eastAsiaTheme="minorEastAsia"/>
                <w:color w:val="auto"/>
                <w:sz w:val="21"/>
                <w:szCs w:val="21"/>
                <w:highlight w:val="none"/>
                <w:u w:val="single"/>
              </w:rPr>
              <w:t>日</w:t>
            </w:r>
            <w:r>
              <w:rPr>
                <w:rFonts w:eastAsiaTheme="minorEastAsia"/>
                <w:color w:val="auto"/>
                <w:sz w:val="21"/>
                <w:szCs w:val="21"/>
                <w:highlight w:val="none"/>
                <w:u w:val="single"/>
              </w:rPr>
              <w:t>平均</w:t>
            </w:r>
          </w:p>
        </w:tc>
        <w:tc>
          <w:tcPr>
            <w:tcW w:w="839" w:type="pct"/>
            <w:vAlign w:val="center"/>
          </w:tcPr>
          <w:p w14:paraId="762F873E">
            <w:pPr>
              <w:pStyle w:val="181"/>
              <w:snapToGrid w:val="0"/>
              <w:jc w:val="center"/>
              <w:textAlignment w:val="center"/>
              <w:rPr>
                <w:bCs/>
                <w:iCs/>
                <w:snapToGrid w:val="0"/>
                <w:color w:val="auto"/>
                <w:sz w:val="21"/>
                <w:szCs w:val="21"/>
                <w:highlight w:val="none"/>
                <w:u w:val="single"/>
              </w:rPr>
            </w:pPr>
            <w:r>
              <w:rPr>
                <w:rFonts w:hint="eastAsia"/>
                <w:bCs/>
                <w:iCs/>
                <w:snapToGrid w:val="0"/>
                <w:color w:val="auto"/>
                <w:sz w:val="21"/>
                <w:szCs w:val="21"/>
                <w:highlight w:val="none"/>
                <w:u w:val="single"/>
              </w:rPr>
              <w:t>6</w:t>
            </w:r>
            <w:r>
              <w:rPr>
                <w:bCs/>
                <w:iCs/>
                <w:snapToGrid w:val="0"/>
                <w:color w:val="auto"/>
                <w:sz w:val="21"/>
                <w:szCs w:val="21"/>
                <w:highlight w:val="none"/>
                <w:u w:val="single"/>
              </w:rPr>
              <w:t>0</w:t>
            </w:r>
          </w:p>
        </w:tc>
        <w:tc>
          <w:tcPr>
            <w:tcW w:w="612" w:type="pct"/>
            <w:vAlign w:val="center"/>
          </w:tcPr>
          <w:p w14:paraId="18645428">
            <w:pPr>
              <w:pStyle w:val="181"/>
              <w:snapToGrid w:val="0"/>
              <w:jc w:val="center"/>
              <w:textAlignment w:val="center"/>
              <w:rPr>
                <w:bCs/>
                <w:iCs/>
                <w:snapToGrid w:val="0"/>
                <w:color w:val="auto"/>
                <w:sz w:val="21"/>
                <w:szCs w:val="21"/>
                <w:highlight w:val="none"/>
                <w:u w:val="single"/>
              </w:rPr>
            </w:pPr>
            <w:r>
              <w:rPr>
                <w:rFonts w:hint="eastAsia"/>
                <w:bCs/>
                <w:iCs/>
                <w:snapToGrid w:val="0"/>
                <w:color w:val="auto"/>
                <w:sz w:val="21"/>
                <w:szCs w:val="21"/>
                <w:highlight w:val="none"/>
                <w:u w:val="single"/>
              </w:rPr>
              <w:t>5</w:t>
            </w:r>
            <w:r>
              <w:rPr>
                <w:bCs/>
                <w:iCs/>
                <w:snapToGrid w:val="0"/>
                <w:color w:val="auto"/>
                <w:sz w:val="21"/>
                <w:szCs w:val="21"/>
                <w:highlight w:val="none"/>
                <w:u w:val="single"/>
              </w:rPr>
              <w:t>0</w:t>
            </w:r>
          </w:p>
        </w:tc>
        <w:tc>
          <w:tcPr>
            <w:tcW w:w="1811" w:type="pct"/>
            <w:vMerge w:val="continue"/>
            <w:vAlign w:val="center"/>
          </w:tcPr>
          <w:p w14:paraId="5BFD351B">
            <w:pPr>
              <w:spacing w:line="240" w:lineRule="auto"/>
              <w:ind w:firstLine="0" w:firstLineChars="0"/>
              <w:jc w:val="center"/>
              <w:rPr>
                <w:rFonts w:eastAsiaTheme="minorEastAsia"/>
                <w:color w:val="auto"/>
                <w:sz w:val="21"/>
                <w:szCs w:val="21"/>
                <w:highlight w:val="none"/>
                <w:u w:val="single"/>
              </w:rPr>
            </w:pPr>
          </w:p>
        </w:tc>
      </w:tr>
      <w:tr w14:paraId="4E32A61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293" w:type="pct"/>
            <w:vMerge w:val="restart"/>
            <w:vAlign w:val="center"/>
          </w:tcPr>
          <w:p w14:paraId="2AB477C2">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5</w:t>
            </w:r>
          </w:p>
        </w:tc>
        <w:tc>
          <w:tcPr>
            <w:tcW w:w="758" w:type="pct"/>
            <w:vMerge w:val="restart"/>
            <w:vAlign w:val="center"/>
          </w:tcPr>
          <w:p w14:paraId="68631734">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CO</w:t>
            </w:r>
          </w:p>
        </w:tc>
        <w:tc>
          <w:tcPr>
            <w:tcW w:w="687" w:type="pct"/>
            <w:vAlign w:val="center"/>
          </w:tcPr>
          <w:p w14:paraId="3C7E1BE7">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1小时平均</w:t>
            </w:r>
          </w:p>
        </w:tc>
        <w:tc>
          <w:tcPr>
            <w:tcW w:w="839" w:type="pct"/>
            <w:vAlign w:val="center"/>
          </w:tcPr>
          <w:p w14:paraId="4D0149FA">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10</w:t>
            </w:r>
          </w:p>
        </w:tc>
        <w:tc>
          <w:tcPr>
            <w:tcW w:w="612" w:type="pct"/>
            <w:vAlign w:val="center"/>
          </w:tcPr>
          <w:p w14:paraId="457FEC96">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10</w:t>
            </w:r>
          </w:p>
        </w:tc>
        <w:tc>
          <w:tcPr>
            <w:tcW w:w="1811" w:type="pct"/>
            <w:vMerge w:val="continue"/>
            <w:vAlign w:val="center"/>
          </w:tcPr>
          <w:p w14:paraId="57A41E7E">
            <w:pPr>
              <w:spacing w:line="240" w:lineRule="auto"/>
              <w:ind w:firstLine="0" w:firstLineChars="0"/>
              <w:jc w:val="center"/>
              <w:rPr>
                <w:rFonts w:eastAsiaTheme="minorEastAsia"/>
                <w:color w:val="auto"/>
                <w:sz w:val="21"/>
                <w:szCs w:val="21"/>
                <w:highlight w:val="none"/>
                <w:u w:val="single"/>
              </w:rPr>
            </w:pPr>
          </w:p>
        </w:tc>
      </w:tr>
      <w:tr w14:paraId="6F2369A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293" w:type="pct"/>
            <w:vMerge w:val="continue"/>
            <w:vAlign w:val="center"/>
          </w:tcPr>
          <w:p w14:paraId="081B4DF4">
            <w:pPr>
              <w:spacing w:line="240" w:lineRule="auto"/>
              <w:ind w:firstLine="0" w:firstLineChars="0"/>
              <w:jc w:val="center"/>
              <w:rPr>
                <w:rFonts w:eastAsiaTheme="minorEastAsia"/>
                <w:color w:val="auto"/>
                <w:sz w:val="21"/>
                <w:szCs w:val="21"/>
                <w:highlight w:val="none"/>
                <w:u w:val="single"/>
              </w:rPr>
            </w:pPr>
          </w:p>
        </w:tc>
        <w:tc>
          <w:tcPr>
            <w:tcW w:w="758" w:type="pct"/>
            <w:vMerge w:val="continue"/>
            <w:vAlign w:val="center"/>
          </w:tcPr>
          <w:p w14:paraId="1A8A2B96">
            <w:pPr>
              <w:spacing w:line="240" w:lineRule="auto"/>
              <w:ind w:firstLine="0" w:firstLineChars="0"/>
              <w:jc w:val="center"/>
              <w:rPr>
                <w:rFonts w:eastAsiaTheme="minorEastAsia"/>
                <w:color w:val="auto"/>
                <w:sz w:val="21"/>
                <w:szCs w:val="21"/>
                <w:highlight w:val="none"/>
                <w:u w:val="single"/>
              </w:rPr>
            </w:pPr>
          </w:p>
        </w:tc>
        <w:tc>
          <w:tcPr>
            <w:tcW w:w="687" w:type="pct"/>
            <w:vAlign w:val="center"/>
          </w:tcPr>
          <w:p w14:paraId="41B6D7D5">
            <w:pPr>
              <w:spacing w:line="240" w:lineRule="auto"/>
              <w:ind w:firstLine="0" w:firstLineChars="0"/>
              <w:jc w:val="center"/>
              <w:rPr>
                <w:rFonts w:eastAsiaTheme="minorEastAsia"/>
                <w:color w:val="auto"/>
                <w:sz w:val="21"/>
                <w:szCs w:val="21"/>
                <w:highlight w:val="none"/>
                <w:u w:val="single"/>
              </w:rPr>
            </w:pPr>
            <w:r>
              <w:rPr>
                <w:rFonts w:hint="eastAsia" w:eastAsiaTheme="minorEastAsia"/>
                <w:color w:val="auto"/>
                <w:sz w:val="21"/>
                <w:szCs w:val="21"/>
                <w:highlight w:val="none"/>
                <w:u w:val="single"/>
              </w:rPr>
              <w:t>日</w:t>
            </w:r>
            <w:r>
              <w:rPr>
                <w:rFonts w:eastAsiaTheme="minorEastAsia"/>
                <w:color w:val="auto"/>
                <w:sz w:val="21"/>
                <w:szCs w:val="21"/>
                <w:highlight w:val="none"/>
                <w:u w:val="single"/>
              </w:rPr>
              <w:t>平均</w:t>
            </w:r>
          </w:p>
        </w:tc>
        <w:tc>
          <w:tcPr>
            <w:tcW w:w="839" w:type="pct"/>
            <w:vAlign w:val="center"/>
          </w:tcPr>
          <w:p w14:paraId="1E82E504">
            <w:pPr>
              <w:spacing w:line="240" w:lineRule="auto"/>
              <w:ind w:firstLine="0" w:firstLineChars="0"/>
              <w:jc w:val="center"/>
              <w:rPr>
                <w:rFonts w:eastAsiaTheme="minorEastAsia"/>
                <w:b/>
                <w:bCs/>
                <w:color w:val="auto"/>
                <w:sz w:val="21"/>
                <w:szCs w:val="21"/>
                <w:highlight w:val="none"/>
                <w:u w:val="single"/>
              </w:rPr>
            </w:pPr>
            <w:r>
              <w:rPr>
                <w:rFonts w:eastAsiaTheme="minorEastAsia"/>
                <w:color w:val="auto"/>
                <w:sz w:val="21"/>
                <w:szCs w:val="21"/>
                <w:highlight w:val="none"/>
                <w:u w:val="single"/>
              </w:rPr>
              <w:t>4</w:t>
            </w:r>
          </w:p>
        </w:tc>
        <w:tc>
          <w:tcPr>
            <w:tcW w:w="612" w:type="pct"/>
            <w:vAlign w:val="center"/>
          </w:tcPr>
          <w:p w14:paraId="1E988DBE">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4</w:t>
            </w:r>
          </w:p>
        </w:tc>
        <w:tc>
          <w:tcPr>
            <w:tcW w:w="1811" w:type="pct"/>
            <w:vMerge w:val="continue"/>
            <w:vAlign w:val="center"/>
          </w:tcPr>
          <w:p w14:paraId="5D8269D8">
            <w:pPr>
              <w:spacing w:line="240" w:lineRule="auto"/>
              <w:ind w:firstLine="0" w:firstLineChars="0"/>
              <w:jc w:val="center"/>
              <w:rPr>
                <w:rFonts w:eastAsiaTheme="minorEastAsia"/>
                <w:color w:val="auto"/>
                <w:sz w:val="21"/>
                <w:szCs w:val="21"/>
                <w:highlight w:val="none"/>
                <w:u w:val="single"/>
              </w:rPr>
            </w:pPr>
          </w:p>
        </w:tc>
      </w:tr>
      <w:tr w14:paraId="603B8D8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293" w:type="pct"/>
            <w:vMerge w:val="restart"/>
            <w:vAlign w:val="center"/>
          </w:tcPr>
          <w:p w14:paraId="3C99BC08">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6</w:t>
            </w:r>
          </w:p>
        </w:tc>
        <w:tc>
          <w:tcPr>
            <w:tcW w:w="758" w:type="pct"/>
            <w:vMerge w:val="restart"/>
            <w:vAlign w:val="center"/>
          </w:tcPr>
          <w:p w14:paraId="70CF62EF">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O</w:t>
            </w:r>
            <w:r>
              <w:rPr>
                <w:rFonts w:eastAsiaTheme="minorEastAsia"/>
                <w:color w:val="auto"/>
                <w:sz w:val="21"/>
                <w:szCs w:val="21"/>
                <w:highlight w:val="none"/>
                <w:u w:val="single"/>
                <w:vertAlign w:val="subscript"/>
              </w:rPr>
              <w:t>3</w:t>
            </w:r>
          </w:p>
        </w:tc>
        <w:tc>
          <w:tcPr>
            <w:tcW w:w="687" w:type="pct"/>
            <w:vAlign w:val="center"/>
          </w:tcPr>
          <w:p w14:paraId="5F135778">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日最大8小时平均</w:t>
            </w:r>
          </w:p>
        </w:tc>
        <w:tc>
          <w:tcPr>
            <w:tcW w:w="839" w:type="pct"/>
            <w:vAlign w:val="center"/>
          </w:tcPr>
          <w:p w14:paraId="040F7F1F">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160</w:t>
            </w:r>
          </w:p>
        </w:tc>
        <w:tc>
          <w:tcPr>
            <w:tcW w:w="612" w:type="pct"/>
            <w:vAlign w:val="center"/>
          </w:tcPr>
          <w:p w14:paraId="618C8AA5">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160</w:t>
            </w:r>
          </w:p>
        </w:tc>
        <w:tc>
          <w:tcPr>
            <w:tcW w:w="1811" w:type="pct"/>
            <w:vMerge w:val="continue"/>
            <w:vAlign w:val="center"/>
          </w:tcPr>
          <w:p w14:paraId="67AFD998">
            <w:pPr>
              <w:spacing w:line="240" w:lineRule="auto"/>
              <w:ind w:firstLine="0" w:firstLineChars="0"/>
              <w:jc w:val="center"/>
              <w:rPr>
                <w:rFonts w:eastAsiaTheme="minorEastAsia"/>
                <w:color w:val="auto"/>
                <w:sz w:val="21"/>
                <w:szCs w:val="21"/>
                <w:highlight w:val="none"/>
                <w:u w:val="single"/>
              </w:rPr>
            </w:pPr>
          </w:p>
        </w:tc>
      </w:tr>
      <w:tr w14:paraId="50363AC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293" w:type="pct"/>
            <w:vMerge w:val="continue"/>
            <w:vAlign w:val="center"/>
          </w:tcPr>
          <w:p w14:paraId="67B0A6A4">
            <w:pPr>
              <w:spacing w:line="240" w:lineRule="auto"/>
              <w:ind w:firstLine="0" w:firstLineChars="0"/>
              <w:jc w:val="center"/>
              <w:rPr>
                <w:rFonts w:eastAsiaTheme="minorEastAsia"/>
                <w:color w:val="auto"/>
                <w:sz w:val="21"/>
                <w:szCs w:val="21"/>
                <w:highlight w:val="none"/>
                <w:u w:val="single"/>
              </w:rPr>
            </w:pPr>
          </w:p>
        </w:tc>
        <w:tc>
          <w:tcPr>
            <w:tcW w:w="758" w:type="pct"/>
            <w:vMerge w:val="continue"/>
            <w:vAlign w:val="center"/>
          </w:tcPr>
          <w:p w14:paraId="7EF5C96D">
            <w:pPr>
              <w:spacing w:line="240" w:lineRule="auto"/>
              <w:ind w:firstLine="0" w:firstLineChars="0"/>
              <w:jc w:val="center"/>
              <w:rPr>
                <w:rFonts w:eastAsiaTheme="minorEastAsia"/>
                <w:color w:val="auto"/>
                <w:sz w:val="21"/>
                <w:szCs w:val="21"/>
                <w:highlight w:val="none"/>
                <w:u w:val="single"/>
              </w:rPr>
            </w:pPr>
          </w:p>
        </w:tc>
        <w:tc>
          <w:tcPr>
            <w:tcW w:w="687" w:type="pct"/>
            <w:vAlign w:val="center"/>
          </w:tcPr>
          <w:p w14:paraId="363D515C">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1小时平均</w:t>
            </w:r>
          </w:p>
        </w:tc>
        <w:tc>
          <w:tcPr>
            <w:tcW w:w="839" w:type="pct"/>
            <w:vAlign w:val="center"/>
          </w:tcPr>
          <w:p w14:paraId="69670C83">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200</w:t>
            </w:r>
          </w:p>
        </w:tc>
        <w:tc>
          <w:tcPr>
            <w:tcW w:w="612" w:type="pct"/>
            <w:vAlign w:val="center"/>
          </w:tcPr>
          <w:p w14:paraId="3157F27B">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200</w:t>
            </w:r>
          </w:p>
        </w:tc>
        <w:tc>
          <w:tcPr>
            <w:tcW w:w="1811" w:type="pct"/>
            <w:vMerge w:val="continue"/>
            <w:vAlign w:val="center"/>
          </w:tcPr>
          <w:p w14:paraId="15FE19F3">
            <w:pPr>
              <w:spacing w:line="240" w:lineRule="auto"/>
              <w:ind w:firstLine="0" w:firstLineChars="0"/>
              <w:jc w:val="center"/>
              <w:rPr>
                <w:rFonts w:eastAsiaTheme="minorEastAsia"/>
                <w:color w:val="auto"/>
                <w:sz w:val="21"/>
                <w:szCs w:val="21"/>
                <w:highlight w:val="none"/>
                <w:u w:val="single"/>
              </w:rPr>
            </w:pPr>
          </w:p>
        </w:tc>
      </w:tr>
      <w:tr w14:paraId="264C291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293" w:type="pct"/>
            <w:vMerge w:val="restart"/>
            <w:vAlign w:val="center"/>
          </w:tcPr>
          <w:p w14:paraId="4B7979F2">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7</w:t>
            </w:r>
          </w:p>
        </w:tc>
        <w:tc>
          <w:tcPr>
            <w:tcW w:w="758" w:type="pct"/>
            <w:vMerge w:val="restart"/>
            <w:vAlign w:val="center"/>
          </w:tcPr>
          <w:p w14:paraId="0E4825B7">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TSP</w:t>
            </w:r>
          </w:p>
        </w:tc>
        <w:tc>
          <w:tcPr>
            <w:tcW w:w="687" w:type="pct"/>
            <w:vAlign w:val="center"/>
          </w:tcPr>
          <w:p w14:paraId="00DB8712">
            <w:pPr>
              <w:spacing w:line="240" w:lineRule="auto"/>
              <w:ind w:firstLine="0" w:firstLineChars="0"/>
              <w:jc w:val="center"/>
              <w:rPr>
                <w:rFonts w:eastAsiaTheme="minorEastAsia"/>
                <w:color w:val="auto"/>
                <w:sz w:val="21"/>
                <w:szCs w:val="21"/>
                <w:highlight w:val="none"/>
                <w:u w:val="single"/>
              </w:rPr>
            </w:pPr>
            <w:r>
              <w:rPr>
                <w:rFonts w:hint="eastAsia" w:eastAsiaTheme="minorEastAsia"/>
                <w:color w:val="auto"/>
                <w:sz w:val="21"/>
                <w:szCs w:val="21"/>
                <w:highlight w:val="none"/>
                <w:u w:val="single"/>
              </w:rPr>
              <w:t>日</w:t>
            </w:r>
            <w:r>
              <w:rPr>
                <w:rFonts w:eastAsiaTheme="minorEastAsia"/>
                <w:color w:val="auto"/>
                <w:sz w:val="21"/>
                <w:szCs w:val="21"/>
                <w:highlight w:val="none"/>
                <w:u w:val="single"/>
              </w:rPr>
              <w:t>平均</w:t>
            </w:r>
          </w:p>
        </w:tc>
        <w:tc>
          <w:tcPr>
            <w:tcW w:w="1451" w:type="pct"/>
            <w:gridSpan w:val="2"/>
            <w:vAlign w:val="center"/>
          </w:tcPr>
          <w:p w14:paraId="00D969C0">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300</w:t>
            </w:r>
          </w:p>
        </w:tc>
        <w:tc>
          <w:tcPr>
            <w:tcW w:w="1811" w:type="pct"/>
            <w:vMerge w:val="continue"/>
            <w:vAlign w:val="center"/>
          </w:tcPr>
          <w:p w14:paraId="2FBAA4AC">
            <w:pPr>
              <w:spacing w:line="240" w:lineRule="auto"/>
              <w:ind w:firstLine="0" w:firstLineChars="0"/>
              <w:jc w:val="center"/>
              <w:rPr>
                <w:rFonts w:eastAsiaTheme="minorEastAsia"/>
                <w:color w:val="auto"/>
                <w:sz w:val="21"/>
                <w:szCs w:val="21"/>
                <w:highlight w:val="none"/>
                <w:u w:val="single"/>
              </w:rPr>
            </w:pPr>
          </w:p>
        </w:tc>
      </w:tr>
      <w:tr w14:paraId="354C491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293" w:type="pct"/>
            <w:vMerge w:val="continue"/>
            <w:vAlign w:val="center"/>
          </w:tcPr>
          <w:p w14:paraId="52D25228">
            <w:pPr>
              <w:spacing w:line="240" w:lineRule="auto"/>
              <w:ind w:firstLine="0" w:firstLineChars="0"/>
              <w:jc w:val="center"/>
              <w:rPr>
                <w:rFonts w:eastAsiaTheme="minorEastAsia"/>
                <w:color w:val="auto"/>
                <w:sz w:val="21"/>
                <w:szCs w:val="21"/>
                <w:highlight w:val="none"/>
                <w:u w:val="single"/>
              </w:rPr>
            </w:pPr>
          </w:p>
        </w:tc>
        <w:tc>
          <w:tcPr>
            <w:tcW w:w="758" w:type="pct"/>
            <w:vMerge w:val="continue"/>
            <w:vAlign w:val="center"/>
          </w:tcPr>
          <w:p w14:paraId="69A69A17">
            <w:pPr>
              <w:spacing w:line="240" w:lineRule="auto"/>
              <w:ind w:firstLine="0" w:firstLineChars="0"/>
              <w:jc w:val="center"/>
              <w:rPr>
                <w:rFonts w:eastAsiaTheme="minorEastAsia"/>
                <w:color w:val="auto"/>
                <w:sz w:val="21"/>
                <w:szCs w:val="21"/>
                <w:highlight w:val="none"/>
                <w:u w:val="single"/>
              </w:rPr>
            </w:pPr>
          </w:p>
        </w:tc>
        <w:tc>
          <w:tcPr>
            <w:tcW w:w="687" w:type="pct"/>
            <w:vAlign w:val="center"/>
          </w:tcPr>
          <w:p w14:paraId="37724683">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年平均</w:t>
            </w:r>
          </w:p>
        </w:tc>
        <w:tc>
          <w:tcPr>
            <w:tcW w:w="1451" w:type="pct"/>
            <w:gridSpan w:val="2"/>
            <w:vAlign w:val="center"/>
          </w:tcPr>
          <w:p w14:paraId="3607E77B">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200</w:t>
            </w:r>
          </w:p>
        </w:tc>
        <w:tc>
          <w:tcPr>
            <w:tcW w:w="1811" w:type="pct"/>
            <w:vMerge w:val="continue"/>
            <w:vAlign w:val="center"/>
          </w:tcPr>
          <w:p w14:paraId="684835FE">
            <w:pPr>
              <w:spacing w:line="240" w:lineRule="auto"/>
              <w:ind w:firstLine="0" w:firstLineChars="0"/>
              <w:jc w:val="center"/>
              <w:rPr>
                <w:rFonts w:eastAsiaTheme="minorEastAsia"/>
                <w:color w:val="auto"/>
                <w:sz w:val="21"/>
                <w:szCs w:val="21"/>
                <w:highlight w:val="none"/>
                <w:u w:val="single"/>
              </w:rPr>
            </w:pPr>
          </w:p>
        </w:tc>
      </w:tr>
      <w:tr w14:paraId="15CAEBB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293" w:type="pct"/>
            <w:vAlign w:val="center"/>
          </w:tcPr>
          <w:p w14:paraId="4A9C957A">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8</w:t>
            </w:r>
          </w:p>
        </w:tc>
        <w:tc>
          <w:tcPr>
            <w:tcW w:w="758" w:type="pct"/>
            <w:vAlign w:val="center"/>
          </w:tcPr>
          <w:p w14:paraId="741F43E8">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二甲苯</w:t>
            </w:r>
          </w:p>
        </w:tc>
        <w:tc>
          <w:tcPr>
            <w:tcW w:w="687" w:type="pct"/>
            <w:vAlign w:val="center"/>
          </w:tcPr>
          <w:p w14:paraId="6E7D0C45">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1小时平均</w:t>
            </w:r>
          </w:p>
        </w:tc>
        <w:tc>
          <w:tcPr>
            <w:tcW w:w="1451" w:type="pct"/>
            <w:gridSpan w:val="2"/>
            <w:vAlign w:val="center"/>
          </w:tcPr>
          <w:p w14:paraId="4E4CAFF9">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200</w:t>
            </w:r>
          </w:p>
        </w:tc>
        <w:tc>
          <w:tcPr>
            <w:tcW w:w="1811" w:type="pct"/>
            <w:vMerge w:val="restart"/>
            <w:vAlign w:val="center"/>
          </w:tcPr>
          <w:p w14:paraId="6F07B580">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《环境影响评价技术导则  大气环境》（HJ2.2-2018）附录D</w:t>
            </w:r>
          </w:p>
        </w:tc>
      </w:tr>
      <w:tr w14:paraId="3D6B6E7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293" w:type="pct"/>
            <w:vAlign w:val="center"/>
          </w:tcPr>
          <w:p w14:paraId="24C24512">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9</w:t>
            </w:r>
          </w:p>
        </w:tc>
        <w:tc>
          <w:tcPr>
            <w:tcW w:w="758" w:type="pct"/>
            <w:vAlign w:val="center"/>
          </w:tcPr>
          <w:p w14:paraId="4BE078BD">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TVOC</w:t>
            </w:r>
          </w:p>
        </w:tc>
        <w:tc>
          <w:tcPr>
            <w:tcW w:w="687" w:type="pct"/>
            <w:vAlign w:val="center"/>
          </w:tcPr>
          <w:p w14:paraId="7D84C326">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8小时平均</w:t>
            </w:r>
          </w:p>
        </w:tc>
        <w:tc>
          <w:tcPr>
            <w:tcW w:w="1451" w:type="pct"/>
            <w:gridSpan w:val="2"/>
            <w:vAlign w:val="center"/>
          </w:tcPr>
          <w:p w14:paraId="693F767F">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600</w:t>
            </w:r>
          </w:p>
        </w:tc>
        <w:tc>
          <w:tcPr>
            <w:tcW w:w="1811" w:type="pct"/>
            <w:vMerge w:val="continue"/>
            <w:vAlign w:val="center"/>
          </w:tcPr>
          <w:p w14:paraId="42B1E358">
            <w:pPr>
              <w:spacing w:line="240" w:lineRule="auto"/>
              <w:ind w:firstLine="0" w:firstLineChars="0"/>
              <w:jc w:val="center"/>
              <w:rPr>
                <w:rFonts w:eastAsiaTheme="minorEastAsia"/>
                <w:color w:val="auto"/>
                <w:sz w:val="21"/>
                <w:szCs w:val="21"/>
                <w:highlight w:val="none"/>
                <w:u w:val="single"/>
              </w:rPr>
            </w:pPr>
          </w:p>
        </w:tc>
      </w:tr>
      <w:tr w14:paraId="18A9E69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293" w:type="pct"/>
            <w:vAlign w:val="center"/>
          </w:tcPr>
          <w:p w14:paraId="5D79168E">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10</w:t>
            </w:r>
          </w:p>
        </w:tc>
        <w:tc>
          <w:tcPr>
            <w:tcW w:w="758" w:type="pct"/>
            <w:vAlign w:val="center"/>
          </w:tcPr>
          <w:p w14:paraId="09632B31">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非甲烷总烃</w:t>
            </w:r>
          </w:p>
        </w:tc>
        <w:tc>
          <w:tcPr>
            <w:tcW w:w="687" w:type="pct"/>
            <w:vAlign w:val="center"/>
          </w:tcPr>
          <w:p w14:paraId="3C7CB5F7">
            <w:pPr>
              <w:spacing w:line="240" w:lineRule="auto"/>
              <w:ind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1小时平均</w:t>
            </w:r>
          </w:p>
        </w:tc>
        <w:tc>
          <w:tcPr>
            <w:tcW w:w="1451" w:type="pct"/>
            <w:gridSpan w:val="2"/>
            <w:vAlign w:val="center"/>
          </w:tcPr>
          <w:p w14:paraId="175DA34B">
            <w:pPr>
              <w:spacing w:line="240" w:lineRule="auto"/>
              <w:ind w:firstLine="0" w:firstLineChars="0"/>
              <w:jc w:val="center"/>
              <w:rPr>
                <w:bCs/>
                <w:color w:val="auto"/>
                <w:sz w:val="21"/>
                <w:szCs w:val="21"/>
                <w:highlight w:val="none"/>
                <w:u w:val="single"/>
              </w:rPr>
            </w:pPr>
            <w:r>
              <w:rPr>
                <w:rFonts w:eastAsiaTheme="minorEastAsia"/>
                <w:color w:val="auto"/>
                <w:sz w:val="21"/>
                <w:szCs w:val="21"/>
                <w:highlight w:val="none"/>
                <w:u w:val="single"/>
              </w:rPr>
              <w:t>2000</w:t>
            </w:r>
          </w:p>
        </w:tc>
        <w:tc>
          <w:tcPr>
            <w:tcW w:w="1811" w:type="pct"/>
            <w:vAlign w:val="center"/>
          </w:tcPr>
          <w:p w14:paraId="7E4E308F">
            <w:pPr>
              <w:spacing w:line="240" w:lineRule="auto"/>
              <w:ind w:firstLine="0" w:firstLineChars="0"/>
              <w:jc w:val="center"/>
              <w:rPr>
                <w:rFonts w:eastAsiaTheme="minorEastAsia"/>
                <w:color w:val="auto"/>
                <w:sz w:val="21"/>
                <w:szCs w:val="21"/>
                <w:highlight w:val="none"/>
                <w:u w:val="single"/>
              </w:rPr>
            </w:pPr>
            <w:bookmarkStart w:id="56" w:name="_Hlk218521159"/>
            <w:r>
              <w:rPr>
                <w:bCs/>
                <w:color w:val="auto"/>
                <w:sz w:val="21"/>
                <w:szCs w:val="21"/>
                <w:highlight w:val="none"/>
                <w:u w:val="single"/>
              </w:rPr>
              <w:t>《大气污染物综合排放标准详解》</w:t>
            </w:r>
            <w:bookmarkEnd w:id="56"/>
          </w:p>
        </w:tc>
      </w:tr>
    </w:tbl>
    <w:p w14:paraId="4901213A">
      <w:pPr>
        <w:ind w:firstLine="480"/>
        <w:rPr>
          <w:color w:val="auto"/>
          <w:highlight w:val="none"/>
        </w:rPr>
      </w:pPr>
    </w:p>
    <w:p w14:paraId="4B648224">
      <w:pPr>
        <w:pStyle w:val="533"/>
        <w:numPr>
          <w:ilvl w:val="3"/>
          <w:numId w:val="9"/>
        </w:numPr>
        <w:rPr>
          <w:color w:val="auto"/>
          <w:szCs w:val="24"/>
          <w:highlight w:val="none"/>
        </w:rPr>
      </w:pPr>
      <w:r>
        <w:rPr>
          <w:color w:val="auto"/>
          <w:szCs w:val="24"/>
          <w:highlight w:val="none"/>
        </w:rPr>
        <w:t>声环境</w:t>
      </w:r>
    </w:p>
    <w:p w14:paraId="69E17146">
      <w:pPr>
        <w:ind w:firstLine="480"/>
        <w:rPr>
          <w:color w:val="auto"/>
          <w:highlight w:val="none"/>
        </w:rPr>
      </w:pPr>
      <w:r>
        <w:rPr>
          <w:color w:val="auto"/>
          <w:highlight w:val="none"/>
        </w:rPr>
        <w:t>根据《钦州市城市声环境功能区划方案（2018－2023年）》，本项目区域声环境划分为3类声功能区，执行《声环境质量标准》（GB3096-2008）中3类标准。具体见下表1.3-2。</w:t>
      </w:r>
    </w:p>
    <w:p w14:paraId="08C36E3D">
      <w:pPr>
        <w:pStyle w:val="38"/>
        <w:spacing w:after="0" w:line="240" w:lineRule="auto"/>
        <w:ind w:firstLine="0" w:firstLineChars="0"/>
        <w:jc w:val="center"/>
        <w:rPr>
          <w:b/>
          <w:color w:val="auto"/>
          <w:sz w:val="21"/>
          <w:szCs w:val="21"/>
          <w:highlight w:val="none"/>
        </w:rPr>
      </w:pPr>
      <w:r>
        <w:rPr>
          <w:b/>
          <w:color w:val="auto"/>
          <w:sz w:val="21"/>
          <w:szCs w:val="21"/>
          <w:highlight w:val="none"/>
        </w:rPr>
        <w:t>表1.3-2 《声环境质量标准》（GB3096-2008）（摘录）</w:t>
      </w:r>
    </w:p>
    <w:tbl>
      <w:tblPr>
        <w:tblStyle w:val="92"/>
        <w:tblW w:w="907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985"/>
        <w:gridCol w:w="4137"/>
        <w:gridCol w:w="2950"/>
      </w:tblGrid>
      <w:tr w14:paraId="79E0D2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85" w:type="dxa"/>
            <w:vAlign w:val="center"/>
          </w:tcPr>
          <w:p w14:paraId="4C68CB8A">
            <w:pPr>
              <w:pStyle w:val="523"/>
              <w:spacing w:line="240" w:lineRule="auto"/>
              <w:ind w:left="0" w:leftChars="0" w:right="0" w:rightChars="0"/>
              <w:rPr>
                <w:b/>
                <w:bCs w:val="0"/>
                <w:color w:val="auto"/>
                <w:highlight w:val="none"/>
              </w:rPr>
            </w:pPr>
            <w:r>
              <w:rPr>
                <w:b/>
                <w:bCs w:val="0"/>
                <w:color w:val="auto"/>
                <w:highlight w:val="none"/>
              </w:rPr>
              <w:t>类别</w:t>
            </w:r>
          </w:p>
        </w:tc>
        <w:tc>
          <w:tcPr>
            <w:tcW w:w="4137" w:type="dxa"/>
            <w:vAlign w:val="center"/>
          </w:tcPr>
          <w:p w14:paraId="6B553B81">
            <w:pPr>
              <w:pStyle w:val="523"/>
              <w:spacing w:line="240" w:lineRule="auto"/>
              <w:ind w:left="0" w:leftChars="0" w:right="0" w:rightChars="0"/>
              <w:rPr>
                <w:b/>
                <w:bCs w:val="0"/>
                <w:color w:val="auto"/>
                <w:highlight w:val="none"/>
              </w:rPr>
            </w:pPr>
            <w:r>
              <w:rPr>
                <w:b/>
                <w:bCs w:val="0"/>
                <w:color w:val="auto"/>
                <w:highlight w:val="none"/>
              </w:rPr>
              <w:t>昼间（单位：dB（A））</w:t>
            </w:r>
          </w:p>
        </w:tc>
        <w:tc>
          <w:tcPr>
            <w:tcW w:w="2950" w:type="dxa"/>
            <w:vAlign w:val="center"/>
          </w:tcPr>
          <w:p w14:paraId="3FD8C3EB">
            <w:pPr>
              <w:pStyle w:val="523"/>
              <w:spacing w:line="240" w:lineRule="auto"/>
              <w:ind w:left="0" w:leftChars="0" w:right="0" w:rightChars="0"/>
              <w:rPr>
                <w:b/>
                <w:bCs w:val="0"/>
                <w:color w:val="auto"/>
                <w:highlight w:val="none"/>
              </w:rPr>
            </w:pPr>
            <w:r>
              <w:rPr>
                <w:b/>
                <w:bCs w:val="0"/>
                <w:color w:val="auto"/>
                <w:highlight w:val="none"/>
              </w:rPr>
              <w:t>夜间（单位：dB（A））</w:t>
            </w:r>
          </w:p>
        </w:tc>
      </w:tr>
      <w:tr w14:paraId="3368464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85" w:type="dxa"/>
            <w:vAlign w:val="center"/>
          </w:tcPr>
          <w:p w14:paraId="40EC1750">
            <w:pPr>
              <w:pStyle w:val="523"/>
              <w:spacing w:line="240" w:lineRule="auto"/>
              <w:ind w:left="0" w:leftChars="0" w:right="0" w:rightChars="0"/>
              <w:rPr>
                <w:color w:val="auto"/>
                <w:highlight w:val="none"/>
              </w:rPr>
            </w:pPr>
            <w:r>
              <w:rPr>
                <w:color w:val="auto"/>
                <w:highlight w:val="none"/>
              </w:rPr>
              <w:t>3类</w:t>
            </w:r>
          </w:p>
        </w:tc>
        <w:tc>
          <w:tcPr>
            <w:tcW w:w="4137" w:type="dxa"/>
            <w:vAlign w:val="center"/>
          </w:tcPr>
          <w:p w14:paraId="3C47216B">
            <w:pPr>
              <w:pStyle w:val="523"/>
              <w:spacing w:line="240" w:lineRule="auto"/>
              <w:ind w:left="0" w:leftChars="0" w:right="0" w:rightChars="0"/>
              <w:rPr>
                <w:color w:val="auto"/>
                <w:highlight w:val="none"/>
              </w:rPr>
            </w:pPr>
            <w:r>
              <w:rPr>
                <w:color w:val="auto"/>
                <w:highlight w:val="none"/>
              </w:rPr>
              <w:t>65</w:t>
            </w:r>
          </w:p>
        </w:tc>
        <w:tc>
          <w:tcPr>
            <w:tcW w:w="2950" w:type="dxa"/>
            <w:vAlign w:val="center"/>
          </w:tcPr>
          <w:p w14:paraId="0FD9D90B">
            <w:pPr>
              <w:pStyle w:val="523"/>
              <w:spacing w:line="240" w:lineRule="auto"/>
              <w:ind w:left="0" w:leftChars="0" w:right="0" w:rightChars="0"/>
              <w:rPr>
                <w:color w:val="auto"/>
                <w:highlight w:val="none"/>
              </w:rPr>
            </w:pPr>
            <w:r>
              <w:rPr>
                <w:color w:val="auto"/>
                <w:highlight w:val="none"/>
              </w:rPr>
              <w:t>55</w:t>
            </w:r>
          </w:p>
        </w:tc>
      </w:tr>
    </w:tbl>
    <w:p w14:paraId="425DC081">
      <w:pPr>
        <w:pStyle w:val="38"/>
        <w:spacing w:after="0" w:line="240" w:lineRule="auto"/>
        <w:ind w:firstLine="0" w:firstLineChars="0"/>
        <w:jc w:val="center"/>
        <w:rPr>
          <w:color w:val="auto"/>
          <w:highlight w:val="none"/>
        </w:rPr>
      </w:pPr>
    </w:p>
    <w:p w14:paraId="21AEE81C">
      <w:pPr>
        <w:pStyle w:val="533"/>
        <w:numPr>
          <w:ilvl w:val="3"/>
          <w:numId w:val="9"/>
        </w:numPr>
        <w:rPr>
          <w:color w:val="auto"/>
          <w:szCs w:val="24"/>
          <w:highlight w:val="none"/>
        </w:rPr>
      </w:pPr>
      <w:r>
        <w:rPr>
          <w:color w:val="auto"/>
          <w:szCs w:val="24"/>
          <w:highlight w:val="none"/>
        </w:rPr>
        <w:t>海水水质标准</w:t>
      </w:r>
    </w:p>
    <w:p w14:paraId="7761A939">
      <w:pPr>
        <w:ind w:firstLine="480"/>
        <w:rPr>
          <w:color w:val="auto"/>
          <w:highlight w:val="none"/>
        </w:rPr>
      </w:pPr>
      <w:r>
        <w:rPr>
          <w:color w:val="auto"/>
          <w:highlight w:val="none"/>
          <w:u w:val="single"/>
        </w:rPr>
        <w:t>根据《广西壮族自治区近岸海域环境功能区划调整方案》（桂环发〔2023〕9号）</w:t>
      </w:r>
      <w:r>
        <w:rPr>
          <w:rFonts w:hint="eastAsia"/>
          <w:color w:val="auto"/>
          <w:highlight w:val="none"/>
          <w:u w:val="single"/>
        </w:rPr>
        <w:t>，</w:t>
      </w:r>
      <w:r>
        <w:rPr>
          <w:color w:val="auto"/>
          <w:highlight w:val="none"/>
          <w:u w:val="single"/>
        </w:rPr>
        <w:t>评价</w:t>
      </w:r>
      <w:r>
        <w:rPr>
          <w:rFonts w:hint="eastAsia"/>
          <w:color w:val="auto"/>
          <w:highlight w:val="none"/>
          <w:u w:val="single"/>
        </w:rPr>
        <w:t>范围内</w:t>
      </w:r>
      <w:r>
        <w:rPr>
          <w:color w:val="auto"/>
          <w:highlight w:val="none"/>
          <w:u w:val="single"/>
        </w:rPr>
        <w:t>海域功能区划属于</w:t>
      </w:r>
      <w:r>
        <w:rPr>
          <w:rFonts w:hint="eastAsia"/>
          <w:color w:val="auto"/>
          <w:highlight w:val="none"/>
          <w:u w:val="single"/>
        </w:rPr>
        <w:t>二类、三类、</w:t>
      </w:r>
      <w:r>
        <w:rPr>
          <w:color w:val="auto"/>
          <w:highlight w:val="none"/>
          <w:u w:val="single"/>
        </w:rPr>
        <w:t>四类功能区，</w:t>
      </w:r>
      <w:bookmarkStart w:id="57" w:name="_Hlk87021381"/>
      <w:r>
        <w:rPr>
          <w:color w:val="auto"/>
          <w:highlight w:val="none"/>
          <w:u w:val="single"/>
        </w:rPr>
        <w:t>海水水质执行《海水水质标准》（GB3097-1997）第</w:t>
      </w:r>
      <w:r>
        <w:rPr>
          <w:rFonts w:hint="eastAsia"/>
          <w:color w:val="auto"/>
          <w:highlight w:val="none"/>
          <w:u w:val="single"/>
        </w:rPr>
        <w:t>二类、三类、</w:t>
      </w:r>
      <w:r>
        <w:rPr>
          <w:color w:val="auto"/>
          <w:highlight w:val="none"/>
          <w:u w:val="single"/>
        </w:rPr>
        <w:t>四类标准</w:t>
      </w:r>
      <w:bookmarkEnd w:id="57"/>
      <w:r>
        <w:rPr>
          <w:color w:val="auto"/>
          <w:highlight w:val="none"/>
          <w:u w:val="single"/>
        </w:rPr>
        <w:t>；</w:t>
      </w:r>
      <w:bookmarkStart w:id="58" w:name="OLE_LINK13"/>
      <w:bookmarkStart w:id="59" w:name="OLE_LINK8"/>
      <w:r>
        <w:rPr>
          <w:color w:val="auto"/>
          <w:highlight w:val="none"/>
          <w:u w:val="single"/>
        </w:rPr>
        <w:t>海洋生物中贝类执行《海洋生物质量》（GB18421-2001）中的第</w:t>
      </w:r>
      <w:r>
        <w:rPr>
          <w:rFonts w:hint="eastAsia"/>
          <w:color w:val="auto"/>
          <w:highlight w:val="none"/>
          <w:u w:val="single"/>
        </w:rPr>
        <w:t>一、二、</w:t>
      </w:r>
      <w:r>
        <w:rPr>
          <w:color w:val="auto"/>
          <w:highlight w:val="none"/>
          <w:u w:val="single"/>
        </w:rPr>
        <w:t>三类标准，</w:t>
      </w:r>
      <w:r>
        <w:rPr>
          <w:color w:val="auto"/>
          <w:highlight w:val="none"/>
        </w:rPr>
        <w:t>鱼类、软体类（非双壳贝类）、甲壳类执行《环境影响评价技术导则海洋生态环境》（HJ 1409-2025）“附录C其他海洋生物质量参考值”，铬含量评价标准采用《全国海岸带和海涂资源综合调查简明规程》中规定的生物质量标准</w:t>
      </w:r>
      <w:bookmarkEnd w:id="58"/>
      <w:bookmarkEnd w:id="59"/>
      <w:r>
        <w:rPr>
          <w:color w:val="auto"/>
          <w:highlight w:val="none"/>
        </w:rPr>
        <w:t>。详见表1.3-3~表1.3-</w:t>
      </w:r>
      <w:r>
        <w:rPr>
          <w:rFonts w:hint="eastAsia"/>
          <w:color w:val="auto"/>
          <w:highlight w:val="none"/>
        </w:rPr>
        <w:t>4</w:t>
      </w:r>
      <w:r>
        <w:rPr>
          <w:color w:val="auto"/>
          <w:highlight w:val="none"/>
        </w:rPr>
        <w:t>。</w:t>
      </w:r>
    </w:p>
    <w:p w14:paraId="78A5EDF5">
      <w:pPr>
        <w:pStyle w:val="38"/>
        <w:spacing w:after="0" w:line="240" w:lineRule="auto"/>
        <w:ind w:firstLine="0" w:firstLineChars="0"/>
        <w:jc w:val="center"/>
        <w:rPr>
          <w:b/>
          <w:color w:val="auto"/>
          <w:sz w:val="21"/>
          <w:szCs w:val="21"/>
          <w:highlight w:val="none"/>
          <w:u w:val="single"/>
        </w:rPr>
      </w:pPr>
      <w:r>
        <w:rPr>
          <w:b/>
          <w:color w:val="auto"/>
          <w:sz w:val="21"/>
          <w:szCs w:val="21"/>
          <w:highlight w:val="none"/>
          <w:u w:val="single"/>
        </w:rPr>
        <w:t>表1.3-3  《海水水质标准》（GB 3097-1997）（摘录） 单位：mg/L（pH值除外）</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7"/>
        <w:gridCol w:w="1969"/>
        <w:gridCol w:w="2030"/>
        <w:gridCol w:w="2269"/>
        <w:gridCol w:w="2231"/>
      </w:tblGrid>
      <w:tr w14:paraId="601299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424" w:type="pct"/>
            <w:tcBorders>
              <w:tl2br w:val="nil"/>
              <w:tr2bl w:val="nil"/>
            </w:tcBorders>
            <w:vAlign w:val="center"/>
          </w:tcPr>
          <w:p w14:paraId="48742CB1">
            <w:pPr>
              <w:spacing w:line="240" w:lineRule="auto"/>
              <w:ind w:firstLine="0" w:firstLineChars="0"/>
              <w:jc w:val="center"/>
              <w:rPr>
                <w:b/>
                <w:color w:val="auto"/>
                <w:sz w:val="21"/>
                <w:szCs w:val="21"/>
                <w:highlight w:val="none"/>
                <w:u w:val="single"/>
              </w:rPr>
            </w:pPr>
            <w:r>
              <w:rPr>
                <w:b/>
                <w:color w:val="auto"/>
                <w:sz w:val="21"/>
                <w:szCs w:val="21"/>
                <w:highlight w:val="none"/>
                <w:u w:val="single"/>
              </w:rPr>
              <w:t>序号</w:t>
            </w:r>
          </w:p>
        </w:tc>
        <w:tc>
          <w:tcPr>
            <w:tcW w:w="1060" w:type="pct"/>
            <w:tcBorders>
              <w:tl2br w:val="nil"/>
              <w:tr2bl w:val="nil"/>
            </w:tcBorders>
            <w:vAlign w:val="center"/>
          </w:tcPr>
          <w:p w14:paraId="2BE351F3">
            <w:pPr>
              <w:spacing w:line="240" w:lineRule="auto"/>
              <w:ind w:firstLine="0" w:firstLineChars="0"/>
              <w:jc w:val="center"/>
              <w:rPr>
                <w:b/>
                <w:color w:val="auto"/>
                <w:sz w:val="21"/>
                <w:szCs w:val="21"/>
                <w:highlight w:val="none"/>
                <w:u w:val="single"/>
              </w:rPr>
            </w:pPr>
            <w:r>
              <w:rPr>
                <w:b/>
                <w:color w:val="auto"/>
                <w:sz w:val="21"/>
                <w:szCs w:val="21"/>
                <w:highlight w:val="none"/>
                <w:u w:val="single"/>
              </w:rPr>
              <w:t>项目</w:t>
            </w:r>
          </w:p>
        </w:tc>
        <w:tc>
          <w:tcPr>
            <w:tcW w:w="1093" w:type="pct"/>
            <w:tcBorders>
              <w:tl2br w:val="nil"/>
              <w:tr2bl w:val="nil"/>
            </w:tcBorders>
            <w:vAlign w:val="center"/>
          </w:tcPr>
          <w:p w14:paraId="4ACBB457">
            <w:pPr>
              <w:spacing w:line="240" w:lineRule="auto"/>
              <w:ind w:firstLine="0" w:firstLineChars="0"/>
              <w:jc w:val="center"/>
              <w:rPr>
                <w:b/>
                <w:color w:val="auto"/>
                <w:sz w:val="21"/>
                <w:szCs w:val="21"/>
                <w:highlight w:val="none"/>
                <w:u w:val="single"/>
                <w:shd w:val="pct10" w:color="auto" w:fill="FFFFFF"/>
              </w:rPr>
            </w:pPr>
            <w:r>
              <w:rPr>
                <w:b/>
                <w:color w:val="auto"/>
                <w:sz w:val="21"/>
                <w:szCs w:val="21"/>
                <w:highlight w:val="none"/>
                <w:u w:val="single"/>
              </w:rPr>
              <w:t>第二类</w:t>
            </w:r>
          </w:p>
        </w:tc>
        <w:tc>
          <w:tcPr>
            <w:tcW w:w="1222" w:type="pct"/>
            <w:tcBorders>
              <w:tl2br w:val="nil"/>
              <w:tr2bl w:val="nil"/>
            </w:tcBorders>
            <w:vAlign w:val="center"/>
          </w:tcPr>
          <w:p w14:paraId="03D23803">
            <w:pPr>
              <w:spacing w:line="240" w:lineRule="auto"/>
              <w:ind w:firstLine="0" w:firstLineChars="0"/>
              <w:jc w:val="center"/>
              <w:rPr>
                <w:b/>
                <w:color w:val="auto"/>
                <w:sz w:val="21"/>
                <w:szCs w:val="21"/>
                <w:highlight w:val="none"/>
                <w:u w:val="single"/>
              </w:rPr>
            </w:pPr>
            <w:r>
              <w:rPr>
                <w:b/>
                <w:color w:val="auto"/>
                <w:sz w:val="21"/>
                <w:szCs w:val="21"/>
                <w:highlight w:val="none"/>
                <w:u w:val="single"/>
              </w:rPr>
              <w:t>第三类</w:t>
            </w:r>
          </w:p>
        </w:tc>
        <w:tc>
          <w:tcPr>
            <w:tcW w:w="1201" w:type="pct"/>
            <w:tcBorders>
              <w:tl2br w:val="nil"/>
              <w:tr2bl w:val="nil"/>
            </w:tcBorders>
            <w:vAlign w:val="center"/>
          </w:tcPr>
          <w:p w14:paraId="32BB8CBA">
            <w:pPr>
              <w:spacing w:line="240" w:lineRule="auto"/>
              <w:ind w:firstLine="0" w:firstLineChars="0"/>
              <w:jc w:val="center"/>
              <w:rPr>
                <w:b/>
                <w:color w:val="auto"/>
                <w:sz w:val="21"/>
                <w:szCs w:val="21"/>
                <w:highlight w:val="none"/>
                <w:u w:val="single"/>
              </w:rPr>
            </w:pPr>
            <w:r>
              <w:rPr>
                <w:b/>
                <w:color w:val="auto"/>
                <w:sz w:val="21"/>
                <w:szCs w:val="21"/>
                <w:highlight w:val="none"/>
                <w:u w:val="single"/>
              </w:rPr>
              <w:t>第四类</w:t>
            </w:r>
          </w:p>
        </w:tc>
      </w:tr>
      <w:tr w14:paraId="4B72F8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4" w:type="pct"/>
            <w:tcBorders>
              <w:tl2br w:val="nil"/>
              <w:tr2bl w:val="nil"/>
            </w:tcBorders>
            <w:vAlign w:val="center"/>
          </w:tcPr>
          <w:p w14:paraId="44A7270F">
            <w:pPr>
              <w:spacing w:line="240" w:lineRule="auto"/>
              <w:ind w:firstLine="0" w:firstLineChars="0"/>
              <w:jc w:val="center"/>
              <w:rPr>
                <w:color w:val="auto"/>
                <w:sz w:val="21"/>
                <w:szCs w:val="21"/>
                <w:highlight w:val="none"/>
                <w:u w:val="single"/>
              </w:rPr>
            </w:pPr>
            <w:r>
              <w:rPr>
                <w:color w:val="auto"/>
                <w:sz w:val="21"/>
                <w:szCs w:val="21"/>
                <w:highlight w:val="none"/>
                <w:u w:val="single"/>
              </w:rPr>
              <w:t>1</w:t>
            </w:r>
          </w:p>
        </w:tc>
        <w:tc>
          <w:tcPr>
            <w:tcW w:w="1060" w:type="pct"/>
            <w:tcBorders>
              <w:tl2br w:val="nil"/>
              <w:tr2bl w:val="nil"/>
            </w:tcBorders>
            <w:vAlign w:val="center"/>
          </w:tcPr>
          <w:p w14:paraId="5B9232C1">
            <w:pPr>
              <w:spacing w:line="240" w:lineRule="auto"/>
              <w:ind w:firstLine="0" w:firstLineChars="0"/>
              <w:jc w:val="center"/>
              <w:rPr>
                <w:color w:val="auto"/>
                <w:sz w:val="21"/>
                <w:szCs w:val="21"/>
                <w:highlight w:val="none"/>
                <w:u w:val="single"/>
              </w:rPr>
            </w:pPr>
            <w:r>
              <w:rPr>
                <w:snapToGrid w:val="0"/>
                <w:color w:val="auto"/>
                <w:kern w:val="28"/>
                <w:sz w:val="21"/>
                <w:szCs w:val="21"/>
                <w:highlight w:val="none"/>
                <w:u w:val="single"/>
              </w:rPr>
              <w:t>悬浮物</w:t>
            </w:r>
          </w:p>
        </w:tc>
        <w:tc>
          <w:tcPr>
            <w:tcW w:w="1093" w:type="pct"/>
            <w:tcBorders>
              <w:tl2br w:val="nil"/>
              <w:tr2bl w:val="nil"/>
            </w:tcBorders>
            <w:vAlign w:val="center"/>
          </w:tcPr>
          <w:p w14:paraId="12B1FAD2">
            <w:pPr>
              <w:spacing w:line="240" w:lineRule="auto"/>
              <w:ind w:firstLine="0" w:firstLineChars="0"/>
              <w:jc w:val="center"/>
              <w:rPr>
                <w:color w:val="auto"/>
                <w:sz w:val="21"/>
                <w:szCs w:val="21"/>
                <w:highlight w:val="none"/>
                <w:u w:val="single"/>
              </w:rPr>
            </w:pPr>
            <w:r>
              <w:rPr>
                <w:color w:val="auto"/>
                <w:sz w:val="21"/>
                <w:szCs w:val="21"/>
                <w:highlight w:val="none"/>
                <w:u w:val="single"/>
              </w:rPr>
              <w:t>人为增加的量≤10</w:t>
            </w:r>
          </w:p>
        </w:tc>
        <w:tc>
          <w:tcPr>
            <w:tcW w:w="1222" w:type="pct"/>
            <w:tcBorders>
              <w:tl2br w:val="nil"/>
              <w:tr2bl w:val="nil"/>
            </w:tcBorders>
            <w:vAlign w:val="center"/>
          </w:tcPr>
          <w:p w14:paraId="50F0028F">
            <w:pPr>
              <w:spacing w:line="240" w:lineRule="auto"/>
              <w:ind w:firstLine="0" w:firstLineChars="0"/>
              <w:jc w:val="center"/>
              <w:rPr>
                <w:color w:val="auto"/>
                <w:sz w:val="21"/>
                <w:szCs w:val="21"/>
                <w:highlight w:val="none"/>
                <w:u w:val="single"/>
              </w:rPr>
            </w:pPr>
            <w:r>
              <w:rPr>
                <w:color w:val="auto"/>
                <w:sz w:val="21"/>
                <w:szCs w:val="21"/>
                <w:highlight w:val="none"/>
                <w:u w:val="single"/>
              </w:rPr>
              <w:t>人为增加的量≤100</w:t>
            </w:r>
          </w:p>
        </w:tc>
        <w:tc>
          <w:tcPr>
            <w:tcW w:w="1201" w:type="pct"/>
            <w:tcBorders>
              <w:tl2br w:val="nil"/>
              <w:tr2bl w:val="nil"/>
            </w:tcBorders>
            <w:vAlign w:val="center"/>
          </w:tcPr>
          <w:p w14:paraId="229F119A">
            <w:pPr>
              <w:spacing w:line="240" w:lineRule="auto"/>
              <w:ind w:firstLine="0" w:firstLineChars="0"/>
              <w:jc w:val="center"/>
              <w:rPr>
                <w:color w:val="auto"/>
                <w:sz w:val="21"/>
                <w:szCs w:val="21"/>
                <w:highlight w:val="none"/>
                <w:u w:val="single"/>
              </w:rPr>
            </w:pPr>
            <w:r>
              <w:rPr>
                <w:color w:val="auto"/>
                <w:sz w:val="21"/>
                <w:szCs w:val="21"/>
                <w:highlight w:val="none"/>
                <w:u w:val="single"/>
              </w:rPr>
              <w:t>人为增加的量≤150</w:t>
            </w:r>
          </w:p>
        </w:tc>
      </w:tr>
      <w:tr w14:paraId="16DAB5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4" w:type="pct"/>
            <w:tcBorders>
              <w:tl2br w:val="nil"/>
              <w:tr2bl w:val="nil"/>
            </w:tcBorders>
            <w:vAlign w:val="center"/>
          </w:tcPr>
          <w:p w14:paraId="14BE5D69">
            <w:pPr>
              <w:spacing w:line="240" w:lineRule="auto"/>
              <w:ind w:firstLine="0" w:firstLineChars="0"/>
              <w:jc w:val="center"/>
              <w:rPr>
                <w:color w:val="auto"/>
                <w:sz w:val="21"/>
                <w:szCs w:val="21"/>
                <w:highlight w:val="none"/>
                <w:u w:val="single"/>
              </w:rPr>
            </w:pPr>
            <w:r>
              <w:rPr>
                <w:color w:val="auto"/>
                <w:sz w:val="21"/>
                <w:szCs w:val="21"/>
                <w:highlight w:val="none"/>
                <w:u w:val="single"/>
              </w:rPr>
              <w:t>2</w:t>
            </w:r>
          </w:p>
        </w:tc>
        <w:tc>
          <w:tcPr>
            <w:tcW w:w="1060" w:type="pct"/>
            <w:tcBorders>
              <w:tl2br w:val="nil"/>
              <w:tr2bl w:val="nil"/>
            </w:tcBorders>
            <w:vAlign w:val="center"/>
          </w:tcPr>
          <w:p w14:paraId="66122F54">
            <w:pPr>
              <w:spacing w:line="240" w:lineRule="auto"/>
              <w:ind w:firstLine="0" w:firstLineChars="0"/>
              <w:jc w:val="center"/>
              <w:rPr>
                <w:color w:val="auto"/>
                <w:sz w:val="21"/>
                <w:szCs w:val="21"/>
                <w:highlight w:val="none"/>
                <w:u w:val="single"/>
              </w:rPr>
            </w:pPr>
            <w:r>
              <w:rPr>
                <w:color w:val="auto"/>
                <w:sz w:val="21"/>
                <w:szCs w:val="21"/>
                <w:highlight w:val="none"/>
                <w:u w:val="single"/>
              </w:rPr>
              <w:t>pH值</w:t>
            </w:r>
          </w:p>
        </w:tc>
        <w:tc>
          <w:tcPr>
            <w:tcW w:w="1093" w:type="pct"/>
            <w:tcBorders>
              <w:tl2br w:val="nil"/>
              <w:tr2bl w:val="nil"/>
            </w:tcBorders>
            <w:vAlign w:val="center"/>
          </w:tcPr>
          <w:p w14:paraId="18F918D7">
            <w:pPr>
              <w:spacing w:line="240" w:lineRule="auto"/>
              <w:ind w:firstLine="0" w:firstLineChars="0"/>
              <w:jc w:val="center"/>
              <w:rPr>
                <w:color w:val="auto"/>
                <w:sz w:val="21"/>
                <w:szCs w:val="21"/>
                <w:highlight w:val="none"/>
                <w:u w:val="single"/>
              </w:rPr>
            </w:pPr>
            <w:r>
              <w:rPr>
                <w:color w:val="auto"/>
                <w:sz w:val="21"/>
                <w:szCs w:val="21"/>
                <w:highlight w:val="none"/>
                <w:u w:val="single"/>
              </w:rPr>
              <w:t>7.8～8.5</w:t>
            </w:r>
          </w:p>
        </w:tc>
        <w:tc>
          <w:tcPr>
            <w:tcW w:w="2422" w:type="pct"/>
            <w:gridSpan w:val="2"/>
            <w:tcBorders>
              <w:tl2br w:val="nil"/>
              <w:tr2bl w:val="nil"/>
            </w:tcBorders>
            <w:vAlign w:val="center"/>
          </w:tcPr>
          <w:p w14:paraId="5D761A45">
            <w:pPr>
              <w:spacing w:line="240" w:lineRule="auto"/>
              <w:ind w:firstLine="0" w:firstLineChars="0"/>
              <w:jc w:val="center"/>
              <w:rPr>
                <w:color w:val="auto"/>
                <w:sz w:val="21"/>
                <w:szCs w:val="21"/>
                <w:highlight w:val="none"/>
                <w:u w:val="single"/>
              </w:rPr>
            </w:pPr>
            <w:r>
              <w:rPr>
                <w:color w:val="auto"/>
                <w:sz w:val="21"/>
                <w:szCs w:val="21"/>
                <w:highlight w:val="none"/>
                <w:u w:val="single"/>
              </w:rPr>
              <w:t>6.8～8.8</w:t>
            </w:r>
          </w:p>
        </w:tc>
      </w:tr>
      <w:tr w14:paraId="454057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4" w:type="pct"/>
            <w:tcBorders>
              <w:tl2br w:val="nil"/>
              <w:tr2bl w:val="nil"/>
            </w:tcBorders>
            <w:vAlign w:val="center"/>
          </w:tcPr>
          <w:p w14:paraId="5F742FC0">
            <w:pPr>
              <w:spacing w:line="240" w:lineRule="auto"/>
              <w:ind w:firstLine="0" w:firstLineChars="0"/>
              <w:jc w:val="center"/>
              <w:rPr>
                <w:color w:val="auto"/>
                <w:sz w:val="21"/>
                <w:szCs w:val="21"/>
                <w:highlight w:val="none"/>
                <w:u w:val="single"/>
              </w:rPr>
            </w:pPr>
            <w:r>
              <w:rPr>
                <w:color w:val="auto"/>
                <w:sz w:val="21"/>
                <w:szCs w:val="21"/>
                <w:highlight w:val="none"/>
                <w:u w:val="single"/>
              </w:rPr>
              <w:t>3</w:t>
            </w:r>
          </w:p>
        </w:tc>
        <w:tc>
          <w:tcPr>
            <w:tcW w:w="1060" w:type="pct"/>
            <w:tcBorders>
              <w:tl2br w:val="nil"/>
              <w:tr2bl w:val="nil"/>
            </w:tcBorders>
            <w:vAlign w:val="center"/>
          </w:tcPr>
          <w:p w14:paraId="0758BBCF">
            <w:pPr>
              <w:spacing w:line="240" w:lineRule="auto"/>
              <w:ind w:firstLine="0" w:firstLineChars="0"/>
              <w:jc w:val="center"/>
              <w:rPr>
                <w:color w:val="auto"/>
                <w:sz w:val="21"/>
                <w:szCs w:val="21"/>
                <w:highlight w:val="none"/>
                <w:u w:val="single"/>
              </w:rPr>
            </w:pPr>
            <w:r>
              <w:rPr>
                <w:snapToGrid w:val="0"/>
                <w:color w:val="auto"/>
                <w:kern w:val="28"/>
                <w:sz w:val="21"/>
                <w:szCs w:val="21"/>
                <w:highlight w:val="none"/>
                <w:u w:val="single"/>
              </w:rPr>
              <w:t xml:space="preserve">溶解氧 </w:t>
            </w:r>
            <w:r>
              <w:rPr>
                <w:color w:val="auto"/>
                <w:sz w:val="21"/>
                <w:szCs w:val="21"/>
                <w:highlight w:val="none"/>
                <w:u w:val="single"/>
              </w:rPr>
              <w:t>＞</w:t>
            </w:r>
          </w:p>
        </w:tc>
        <w:tc>
          <w:tcPr>
            <w:tcW w:w="1093" w:type="pct"/>
            <w:tcBorders>
              <w:tl2br w:val="nil"/>
              <w:tr2bl w:val="nil"/>
            </w:tcBorders>
            <w:vAlign w:val="center"/>
          </w:tcPr>
          <w:p w14:paraId="7229AC9E">
            <w:pPr>
              <w:spacing w:line="240" w:lineRule="auto"/>
              <w:ind w:firstLine="0" w:firstLineChars="0"/>
              <w:jc w:val="center"/>
              <w:rPr>
                <w:color w:val="auto"/>
                <w:sz w:val="21"/>
                <w:szCs w:val="21"/>
                <w:highlight w:val="none"/>
                <w:u w:val="single"/>
              </w:rPr>
            </w:pPr>
            <w:r>
              <w:rPr>
                <w:color w:val="auto"/>
                <w:sz w:val="21"/>
                <w:szCs w:val="21"/>
                <w:highlight w:val="none"/>
                <w:u w:val="single"/>
              </w:rPr>
              <w:t>5</w:t>
            </w:r>
          </w:p>
        </w:tc>
        <w:tc>
          <w:tcPr>
            <w:tcW w:w="1222" w:type="pct"/>
            <w:tcBorders>
              <w:tl2br w:val="nil"/>
              <w:tr2bl w:val="nil"/>
            </w:tcBorders>
            <w:vAlign w:val="center"/>
          </w:tcPr>
          <w:p w14:paraId="43D020FC">
            <w:pPr>
              <w:spacing w:line="240" w:lineRule="auto"/>
              <w:ind w:firstLine="0" w:firstLineChars="0"/>
              <w:jc w:val="center"/>
              <w:rPr>
                <w:color w:val="auto"/>
                <w:sz w:val="21"/>
                <w:szCs w:val="21"/>
                <w:highlight w:val="none"/>
                <w:u w:val="single"/>
              </w:rPr>
            </w:pPr>
            <w:r>
              <w:rPr>
                <w:color w:val="auto"/>
                <w:sz w:val="21"/>
                <w:szCs w:val="21"/>
                <w:highlight w:val="none"/>
                <w:u w:val="single"/>
              </w:rPr>
              <w:t>4</w:t>
            </w:r>
          </w:p>
        </w:tc>
        <w:tc>
          <w:tcPr>
            <w:tcW w:w="1201" w:type="pct"/>
            <w:tcBorders>
              <w:tl2br w:val="nil"/>
              <w:tr2bl w:val="nil"/>
            </w:tcBorders>
            <w:vAlign w:val="center"/>
          </w:tcPr>
          <w:p w14:paraId="228E397E">
            <w:pPr>
              <w:spacing w:line="240" w:lineRule="auto"/>
              <w:ind w:firstLine="0" w:firstLineChars="0"/>
              <w:jc w:val="center"/>
              <w:rPr>
                <w:color w:val="auto"/>
                <w:sz w:val="21"/>
                <w:szCs w:val="21"/>
                <w:highlight w:val="none"/>
                <w:u w:val="single"/>
              </w:rPr>
            </w:pPr>
            <w:r>
              <w:rPr>
                <w:color w:val="auto"/>
                <w:sz w:val="21"/>
                <w:szCs w:val="21"/>
                <w:highlight w:val="none"/>
                <w:u w:val="single"/>
              </w:rPr>
              <w:t>3</w:t>
            </w:r>
          </w:p>
        </w:tc>
      </w:tr>
      <w:tr w14:paraId="61DDA3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4" w:type="pct"/>
            <w:tcBorders>
              <w:tl2br w:val="nil"/>
              <w:tr2bl w:val="nil"/>
            </w:tcBorders>
            <w:vAlign w:val="center"/>
          </w:tcPr>
          <w:p w14:paraId="5064544A">
            <w:pPr>
              <w:spacing w:line="240" w:lineRule="auto"/>
              <w:ind w:firstLine="0" w:firstLineChars="0"/>
              <w:jc w:val="center"/>
              <w:rPr>
                <w:color w:val="auto"/>
                <w:sz w:val="21"/>
                <w:szCs w:val="21"/>
                <w:highlight w:val="none"/>
                <w:u w:val="single"/>
              </w:rPr>
            </w:pPr>
            <w:r>
              <w:rPr>
                <w:color w:val="auto"/>
                <w:sz w:val="21"/>
                <w:szCs w:val="21"/>
                <w:highlight w:val="none"/>
                <w:u w:val="single"/>
              </w:rPr>
              <w:t>4</w:t>
            </w:r>
          </w:p>
        </w:tc>
        <w:tc>
          <w:tcPr>
            <w:tcW w:w="1060" w:type="pct"/>
            <w:tcBorders>
              <w:tl2br w:val="nil"/>
              <w:tr2bl w:val="nil"/>
            </w:tcBorders>
            <w:vAlign w:val="center"/>
          </w:tcPr>
          <w:p w14:paraId="34027BFE">
            <w:pPr>
              <w:spacing w:line="240" w:lineRule="auto"/>
              <w:ind w:firstLine="0" w:firstLineChars="0"/>
              <w:jc w:val="center"/>
              <w:rPr>
                <w:color w:val="auto"/>
                <w:sz w:val="21"/>
                <w:szCs w:val="21"/>
                <w:highlight w:val="none"/>
                <w:u w:val="single"/>
              </w:rPr>
            </w:pPr>
            <w:r>
              <w:rPr>
                <w:snapToGrid w:val="0"/>
                <w:color w:val="auto"/>
                <w:kern w:val="28"/>
                <w:sz w:val="21"/>
                <w:szCs w:val="21"/>
                <w:highlight w:val="none"/>
                <w:u w:val="single"/>
              </w:rPr>
              <w:t xml:space="preserve">化学需氧量 </w:t>
            </w:r>
            <w:r>
              <w:rPr>
                <w:color w:val="auto"/>
                <w:sz w:val="21"/>
                <w:szCs w:val="21"/>
                <w:highlight w:val="none"/>
                <w:u w:val="single"/>
              </w:rPr>
              <w:t>≤</w:t>
            </w:r>
          </w:p>
        </w:tc>
        <w:tc>
          <w:tcPr>
            <w:tcW w:w="1093" w:type="pct"/>
            <w:tcBorders>
              <w:tl2br w:val="nil"/>
              <w:tr2bl w:val="nil"/>
            </w:tcBorders>
            <w:vAlign w:val="center"/>
          </w:tcPr>
          <w:p w14:paraId="5E5B8255">
            <w:pPr>
              <w:spacing w:line="240" w:lineRule="auto"/>
              <w:ind w:firstLine="0" w:firstLineChars="0"/>
              <w:jc w:val="center"/>
              <w:rPr>
                <w:color w:val="auto"/>
                <w:sz w:val="21"/>
                <w:szCs w:val="21"/>
                <w:highlight w:val="none"/>
                <w:u w:val="single"/>
              </w:rPr>
            </w:pPr>
            <w:r>
              <w:rPr>
                <w:color w:val="auto"/>
                <w:sz w:val="21"/>
                <w:szCs w:val="21"/>
                <w:highlight w:val="none"/>
                <w:u w:val="single"/>
              </w:rPr>
              <w:t>3</w:t>
            </w:r>
          </w:p>
        </w:tc>
        <w:tc>
          <w:tcPr>
            <w:tcW w:w="1222" w:type="pct"/>
            <w:tcBorders>
              <w:tl2br w:val="nil"/>
              <w:tr2bl w:val="nil"/>
            </w:tcBorders>
            <w:vAlign w:val="center"/>
          </w:tcPr>
          <w:p w14:paraId="77A3E685">
            <w:pPr>
              <w:spacing w:line="240" w:lineRule="auto"/>
              <w:ind w:firstLine="0" w:firstLineChars="0"/>
              <w:jc w:val="center"/>
              <w:rPr>
                <w:color w:val="auto"/>
                <w:sz w:val="21"/>
                <w:szCs w:val="21"/>
                <w:highlight w:val="none"/>
                <w:u w:val="single"/>
              </w:rPr>
            </w:pPr>
            <w:r>
              <w:rPr>
                <w:color w:val="auto"/>
                <w:sz w:val="21"/>
                <w:szCs w:val="21"/>
                <w:highlight w:val="none"/>
                <w:u w:val="single"/>
              </w:rPr>
              <w:t>4</w:t>
            </w:r>
          </w:p>
        </w:tc>
        <w:tc>
          <w:tcPr>
            <w:tcW w:w="1201" w:type="pct"/>
            <w:tcBorders>
              <w:tl2br w:val="nil"/>
              <w:tr2bl w:val="nil"/>
            </w:tcBorders>
            <w:vAlign w:val="center"/>
          </w:tcPr>
          <w:p w14:paraId="65CF6EE1">
            <w:pPr>
              <w:spacing w:line="240" w:lineRule="auto"/>
              <w:ind w:firstLine="0" w:firstLineChars="0"/>
              <w:jc w:val="center"/>
              <w:rPr>
                <w:color w:val="auto"/>
                <w:sz w:val="21"/>
                <w:szCs w:val="21"/>
                <w:highlight w:val="none"/>
                <w:u w:val="single"/>
              </w:rPr>
            </w:pPr>
            <w:r>
              <w:rPr>
                <w:color w:val="auto"/>
                <w:sz w:val="21"/>
                <w:szCs w:val="21"/>
                <w:highlight w:val="none"/>
                <w:u w:val="single"/>
              </w:rPr>
              <w:t>5</w:t>
            </w:r>
          </w:p>
        </w:tc>
      </w:tr>
      <w:tr w14:paraId="68D23F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4" w:type="pct"/>
            <w:tcBorders>
              <w:tl2br w:val="nil"/>
              <w:tr2bl w:val="nil"/>
            </w:tcBorders>
            <w:vAlign w:val="center"/>
          </w:tcPr>
          <w:p w14:paraId="0EDA1A13">
            <w:pPr>
              <w:spacing w:line="240" w:lineRule="auto"/>
              <w:ind w:firstLine="0" w:firstLineChars="0"/>
              <w:jc w:val="center"/>
              <w:rPr>
                <w:color w:val="auto"/>
                <w:sz w:val="21"/>
                <w:szCs w:val="21"/>
                <w:highlight w:val="none"/>
                <w:u w:val="single"/>
              </w:rPr>
            </w:pPr>
            <w:r>
              <w:rPr>
                <w:color w:val="auto"/>
                <w:sz w:val="21"/>
                <w:szCs w:val="21"/>
                <w:highlight w:val="none"/>
                <w:u w:val="single"/>
              </w:rPr>
              <w:t>5</w:t>
            </w:r>
          </w:p>
        </w:tc>
        <w:tc>
          <w:tcPr>
            <w:tcW w:w="1060" w:type="pct"/>
            <w:tcBorders>
              <w:tl2br w:val="nil"/>
              <w:tr2bl w:val="nil"/>
            </w:tcBorders>
            <w:vAlign w:val="center"/>
          </w:tcPr>
          <w:p w14:paraId="6026F72F">
            <w:pPr>
              <w:spacing w:line="240" w:lineRule="auto"/>
              <w:ind w:firstLine="0" w:firstLineChars="0"/>
              <w:jc w:val="center"/>
              <w:rPr>
                <w:snapToGrid w:val="0"/>
                <w:color w:val="auto"/>
                <w:kern w:val="28"/>
                <w:sz w:val="21"/>
                <w:szCs w:val="21"/>
                <w:highlight w:val="none"/>
                <w:u w:val="single"/>
              </w:rPr>
            </w:pPr>
            <w:r>
              <w:rPr>
                <w:snapToGrid w:val="0"/>
                <w:color w:val="auto"/>
                <w:kern w:val="28"/>
                <w:sz w:val="21"/>
                <w:szCs w:val="21"/>
                <w:highlight w:val="none"/>
                <w:u w:val="single"/>
              </w:rPr>
              <w:t xml:space="preserve">挥发性酚 </w:t>
            </w:r>
            <w:r>
              <w:rPr>
                <w:color w:val="auto"/>
                <w:sz w:val="21"/>
                <w:szCs w:val="21"/>
                <w:highlight w:val="none"/>
                <w:u w:val="single"/>
              </w:rPr>
              <w:t>≤</w:t>
            </w:r>
          </w:p>
        </w:tc>
        <w:tc>
          <w:tcPr>
            <w:tcW w:w="1093" w:type="pct"/>
            <w:tcBorders>
              <w:tl2br w:val="nil"/>
              <w:tr2bl w:val="nil"/>
            </w:tcBorders>
            <w:vAlign w:val="center"/>
          </w:tcPr>
          <w:p w14:paraId="51E5AD53">
            <w:pPr>
              <w:spacing w:line="240" w:lineRule="auto"/>
              <w:ind w:firstLine="0" w:firstLineChars="0"/>
              <w:jc w:val="center"/>
              <w:rPr>
                <w:color w:val="auto"/>
                <w:sz w:val="21"/>
                <w:szCs w:val="21"/>
                <w:highlight w:val="none"/>
                <w:u w:val="single"/>
              </w:rPr>
            </w:pPr>
            <w:r>
              <w:rPr>
                <w:color w:val="auto"/>
                <w:sz w:val="21"/>
                <w:szCs w:val="21"/>
                <w:highlight w:val="none"/>
                <w:u w:val="single"/>
              </w:rPr>
              <w:t>0.005</w:t>
            </w:r>
          </w:p>
        </w:tc>
        <w:tc>
          <w:tcPr>
            <w:tcW w:w="1222" w:type="pct"/>
            <w:tcBorders>
              <w:tl2br w:val="nil"/>
              <w:tr2bl w:val="nil"/>
            </w:tcBorders>
            <w:vAlign w:val="center"/>
          </w:tcPr>
          <w:p w14:paraId="73372E87">
            <w:pPr>
              <w:spacing w:line="240" w:lineRule="auto"/>
              <w:ind w:firstLine="0" w:firstLineChars="0"/>
              <w:jc w:val="center"/>
              <w:rPr>
                <w:color w:val="auto"/>
                <w:sz w:val="21"/>
                <w:szCs w:val="21"/>
                <w:highlight w:val="none"/>
                <w:u w:val="single"/>
              </w:rPr>
            </w:pPr>
            <w:r>
              <w:rPr>
                <w:color w:val="auto"/>
                <w:sz w:val="21"/>
                <w:szCs w:val="21"/>
                <w:highlight w:val="none"/>
                <w:u w:val="single"/>
              </w:rPr>
              <w:t>0.010</w:t>
            </w:r>
          </w:p>
        </w:tc>
        <w:tc>
          <w:tcPr>
            <w:tcW w:w="1201" w:type="pct"/>
            <w:tcBorders>
              <w:tl2br w:val="nil"/>
              <w:tr2bl w:val="nil"/>
            </w:tcBorders>
            <w:vAlign w:val="center"/>
          </w:tcPr>
          <w:p w14:paraId="2700E808">
            <w:pPr>
              <w:spacing w:line="240" w:lineRule="auto"/>
              <w:ind w:firstLine="0" w:firstLineChars="0"/>
              <w:jc w:val="center"/>
              <w:rPr>
                <w:color w:val="auto"/>
                <w:sz w:val="21"/>
                <w:szCs w:val="21"/>
                <w:highlight w:val="none"/>
                <w:u w:val="single"/>
              </w:rPr>
            </w:pPr>
            <w:r>
              <w:rPr>
                <w:color w:val="auto"/>
                <w:sz w:val="21"/>
                <w:szCs w:val="21"/>
                <w:highlight w:val="none"/>
                <w:u w:val="single"/>
              </w:rPr>
              <w:t>0.050</w:t>
            </w:r>
          </w:p>
        </w:tc>
      </w:tr>
      <w:tr w14:paraId="7D6E53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4" w:type="pct"/>
            <w:tcBorders>
              <w:tl2br w:val="nil"/>
              <w:tr2bl w:val="nil"/>
            </w:tcBorders>
            <w:vAlign w:val="center"/>
          </w:tcPr>
          <w:p w14:paraId="64D999C9">
            <w:pPr>
              <w:spacing w:line="240" w:lineRule="auto"/>
              <w:ind w:firstLine="0" w:firstLineChars="0"/>
              <w:jc w:val="center"/>
              <w:rPr>
                <w:color w:val="auto"/>
                <w:sz w:val="21"/>
                <w:szCs w:val="21"/>
                <w:highlight w:val="none"/>
                <w:u w:val="single"/>
              </w:rPr>
            </w:pPr>
            <w:r>
              <w:rPr>
                <w:color w:val="auto"/>
                <w:sz w:val="21"/>
                <w:szCs w:val="21"/>
                <w:highlight w:val="none"/>
                <w:u w:val="single"/>
              </w:rPr>
              <w:t>6</w:t>
            </w:r>
          </w:p>
        </w:tc>
        <w:tc>
          <w:tcPr>
            <w:tcW w:w="1060" w:type="pct"/>
            <w:tcBorders>
              <w:tl2br w:val="nil"/>
              <w:tr2bl w:val="nil"/>
            </w:tcBorders>
            <w:vAlign w:val="center"/>
          </w:tcPr>
          <w:p w14:paraId="0AEDA0E5">
            <w:pPr>
              <w:spacing w:line="240" w:lineRule="auto"/>
              <w:ind w:firstLine="0" w:firstLineChars="0"/>
              <w:jc w:val="center"/>
              <w:rPr>
                <w:color w:val="auto"/>
                <w:sz w:val="21"/>
                <w:szCs w:val="21"/>
                <w:highlight w:val="none"/>
                <w:u w:val="single"/>
              </w:rPr>
            </w:pPr>
            <w:r>
              <w:rPr>
                <w:color w:val="auto"/>
                <w:sz w:val="21"/>
                <w:szCs w:val="21"/>
                <w:highlight w:val="none"/>
                <w:u w:val="single"/>
              </w:rPr>
              <w:t>无机氮 ≤</w:t>
            </w:r>
          </w:p>
        </w:tc>
        <w:tc>
          <w:tcPr>
            <w:tcW w:w="1093" w:type="pct"/>
            <w:tcBorders>
              <w:tl2br w:val="nil"/>
              <w:tr2bl w:val="nil"/>
            </w:tcBorders>
            <w:vAlign w:val="center"/>
          </w:tcPr>
          <w:p w14:paraId="594221BE">
            <w:pPr>
              <w:spacing w:line="240" w:lineRule="auto"/>
              <w:ind w:firstLine="0" w:firstLineChars="0"/>
              <w:jc w:val="center"/>
              <w:rPr>
                <w:color w:val="auto"/>
                <w:sz w:val="21"/>
                <w:szCs w:val="21"/>
                <w:highlight w:val="none"/>
                <w:u w:val="single"/>
              </w:rPr>
            </w:pPr>
            <w:r>
              <w:rPr>
                <w:color w:val="auto"/>
                <w:sz w:val="21"/>
                <w:szCs w:val="21"/>
                <w:highlight w:val="none"/>
                <w:u w:val="single"/>
              </w:rPr>
              <w:t>0.30</w:t>
            </w:r>
          </w:p>
        </w:tc>
        <w:tc>
          <w:tcPr>
            <w:tcW w:w="1222" w:type="pct"/>
            <w:tcBorders>
              <w:tl2br w:val="nil"/>
              <w:tr2bl w:val="nil"/>
            </w:tcBorders>
            <w:vAlign w:val="center"/>
          </w:tcPr>
          <w:p w14:paraId="59156AD6">
            <w:pPr>
              <w:spacing w:line="240" w:lineRule="auto"/>
              <w:ind w:firstLine="0" w:firstLineChars="0"/>
              <w:jc w:val="center"/>
              <w:rPr>
                <w:color w:val="auto"/>
                <w:sz w:val="21"/>
                <w:szCs w:val="21"/>
                <w:highlight w:val="none"/>
                <w:u w:val="single"/>
              </w:rPr>
            </w:pPr>
            <w:r>
              <w:rPr>
                <w:color w:val="auto"/>
                <w:sz w:val="21"/>
                <w:szCs w:val="21"/>
                <w:highlight w:val="none"/>
                <w:u w:val="single"/>
              </w:rPr>
              <w:t>0.40</w:t>
            </w:r>
          </w:p>
        </w:tc>
        <w:tc>
          <w:tcPr>
            <w:tcW w:w="1201" w:type="pct"/>
            <w:tcBorders>
              <w:tl2br w:val="nil"/>
              <w:tr2bl w:val="nil"/>
            </w:tcBorders>
            <w:vAlign w:val="center"/>
          </w:tcPr>
          <w:p w14:paraId="25B07467">
            <w:pPr>
              <w:spacing w:line="240" w:lineRule="auto"/>
              <w:ind w:firstLine="0" w:firstLineChars="0"/>
              <w:jc w:val="center"/>
              <w:rPr>
                <w:color w:val="auto"/>
                <w:sz w:val="21"/>
                <w:szCs w:val="21"/>
                <w:highlight w:val="none"/>
                <w:u w:val="single"/>
              </w:rPr>
            </w:pPr>
            <w:r>
              <w:rPr>
                <w:color w:val="auto"/>
                <w:sz w:val="21"/>
                <w:szCs w:val="21"/>
                <w:highlight w:val="none"/>
                <w:u w:val="single"/>
              </w:rPr>
              <w:t>0.50</w:t>
            </w:r>
          </w:p>
        </w:tc>
      </w:tr>
      <w:tr w14:paraId="1DE019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4" w:type="pct"/>
            <w:tcBorders>
              <w:tl2br w:val="nil"/>
              <w:tr2bl w:val="nil"/>
            </w:tcBorders>
            <w:vAlign w:val="center"/>
          </w:tcPr>
          <w:p w14:paraId="0C743BEA">
            <w:pPr>
              <w:spacing w:line="240" w:lineRule="auto"/>
              <w:ind w:firstLine="0" w:firstLineChars="0"/>
              <w:jc w:val="center"/>
              <w:rPr>
                <w:color w:val="auto"/>
                <w:sz w:val="21"/>
                <w:szCs w:val="21"/>
                <w:highlight w:val="none"/>
                <w:u w:val="single"/>
              </w:rPr>
            </w:pPr>
            <w:r>
              <w:rPr>
                <w:color w:val="auto"/>
                <w:sz w:val="21"/>
                <w:szCs w:val="21"/>
                <w:highlight w:val="none"/>
                <w:u w:val="single"/>
              </w:rPr>
              <w:t>7</w:t>
            </w:r>
          </w:p>
        </w:tc>
        <w:tc>
          <w:tcPr>
            <w:tcW w:w="1060" w:type="pct"/>
            <w:tcBorders>
              <w:tl2br w:val="nil"/>
              <w:tr2bl w:val="nil"/>
            </w:tcBorders>
            <w:vAlign w:val="center"/>
          </w:tcPr>
          <w:p w14:paraId="622B49F6">
            <w:pPr>
              <w:spacing w:line="240" w:lineRule="auto"/>
              <w:ind w:firstLine="0" w:firstLineChars="0"/>
              <w:jc w:val="center"/>
              <w:rPr>
                <w:color w:val="auto"/>
                <w:sz w:val="21"/>
                <w:szCs w:val="21"/>
                <w:highlight w:val="none"/>
                <w:u w:val="single"/>
              </w:rPr>
            </w:pPr>
            <w:r>
              <w:rPr>
                <w:color w:val="auto"/>
                <w:sz w:val="21"/>
                <w:szCs w:val="21"/>
                <w:highlight w:val="none"/>
                <w:u w:val="single"/>
              </w:rPr>
              <w:t>活性磷酸盐 ≤</w:t>
            </w:r>
          </w:p>
        </w:tc>
        <w:tc>
          <w:tcPr>
            <w:tcW w:w="2315" w:type="pct"/>
            <w:gridSpan w:val="2"/>
            <w:tcBorders>
              <w:tl2br w:val="nil"/>
              <w:tr2bl w:val="nil"/>
            </w:tcBorders>
            <w:vAlign w:val="center"/>
          </w:tcPr>
          <w:p w14:paraId="31C146EC">
            <w:pPr>
              <w:spacing w:line="240" w:lineRule="auto"/>
              <w:ind w:firstLine="0" w:firstLineChars="0"/>
              <w:jc w:val="center"/>
              <w:rPr>
                <w:color w:val="auto"/>
                <w:sz w:val="21"/>
                <w:szCs w:val="21"/>
                <w:highlight w:val="none"/>
                <w:u w:val="single"/>
              </w:rPr>
            </w:pPr>
            <w:r>
              <w:rPr>
                <w:color w:val="auto"/>
                <w:sz w:val="21"/>
                <w:szCs w:val="21"/>
                <w:highlight w:val="none"/>
                <w:u w:val="single"/>
              </w:rPr>
              <w:t>0.030</w:t>
            </w:r>
          </w:p>
        </w:tc>
        <w:tc>
          <w:tcPr>
            <w:tcW w:w="1201" w:type="pct"/>
            <w:tcBorders>
              <w:tl2br w:val="nil"/>
              <w:tr2bl w:val="nil"/>
            </w:tcBorders>
            <w:vAlign w:val="center"/>
          </w:tcPr>
          <w:p w14:paraId="5ECA9C6E">
            <w:pPr>
              <w:spacing w:line="240" w:lineRule="auto"/>
              <w:ind w:firstLine="0" w:firstLineChars="0"/>
              <w:jc w:val="center"/>
              <w:rPr>
                <w:color w:val="auto"/>
                <w:sz w:val="21"/>
                <w:szCs w:val="21"/>
                <w:highlight w:val="none"/>
                <w:u w:val="single"/>
              </w:rPr>
            </w:pPr>
            <w:r>
              <w:rPr>
                <w:color w:val="auto"/>
                <w:sz w:val="21"/>
                <w:szCs w:val="21"/>
                <w:highlight w:val="none"/>
                <w:u w:val="single"/>
              </w:rPr>
              <w:t>0.045</w:t>
            </w:r>
          </w:p>
        </w:tc>
      </w:tr>
      <w:tr w14:paraId="15A010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4" w:type="pct"/>
            <w:tcBorders>
              <w:tl2br w:val="nil"/>
              <w:tr2bl w:val="nil"/>
            </w:tcBorders>
            <w:vAlign w:val="center"/>
          </w:tcPr>
          <w:p w14:paraId="394C9DA2">
            <w:pPr>
              <w:spacing w:line="240" w:lineRule="auto"/>
              <w:ind w:firstLine="0" w:firstLineChars="0"/>
              <w:jc w:val="center"/>
              <w:rPr>
                <w:color w:val="auto"/>
                <w:sz w:val="21"/>
                <w:szCs w:val="21"/>
                <w:highlight w:val="none"/>
                <w:u w:val="single"/>
              </w:rPr>
            </w:pPr>
            <w:r>
              <w:rPr>
                <w:color w:val="auto"/>
                <w:sz w:val="21"/>
                <w:szCs w:val="21"/>
                <w:highlight w:val="none"/>
                <w:u w:val="single"/>
              </w:rPr>
              <w:t>8</w:t>
            </w:r>
          </w:p>
        </w:tc>
        <w:tc>
          <w:tcPr>
            <w:tcW w:w="1060" w:type="pct"/>
            <w:tcBorders>
              <w:tl2br w:val="nil"/>
              <w:tr2bl w:val="nil"/>
            </w:tcBorders>
            <w:vAlign w:val="center"/>
          </w:tcPr>
          <w:p w14:paraId="4B4816BC">
            <w:pPr>
              <w:spacing w:line="240" w:lineRule="auto"/>
              <w:ind w:firstLine="0" w:firstLineChars="0"/>
              <w:jc w:val="center"/>
              <w:rPr>
                <w:snapToGrid w:val="0"/>
                <w:color w:val="auto"/>
                <w:kern w:val="28"/>
                <w:sz w:val="21"/>
                <w:szCs w:val="21"/>
                <w:highlight w:val="none"/>
                <w:u w:val="single"/>
              </w:rPr>
            </w:pPr>
            <w:r>
              <w:rPr>
                <w:snapToGrid w:val="0"/>
                <w:color w:val="auto"/>
                <w:kern w:val="28"/>
                <w:sz w:val="21"/>
                <w:szCs w:val="21"/>
                <w:highlight w:val="none"/>
                <w:u w:val="single"/>
              </w:rPr>
              <w:t xml:space="preserve">汞 </w:t>
            </w:r>
            <w:r>
              <w:rPr>
                <w:color w:val="auto"/>
                <w:sz w:val="21"/>
                <w:szCs w:val="21"/>
                <w:highlight w:val="none"/>
                <w:u w:val="single"/>
              </w:rPr>
              <w:t>≤</w:t>
            </w:r>
          </w:p>
        </w:tc>
        <w:tc>
          <w:tcPr>
            <w:tcW w:w="2315" w:type="pct"/>
            <w:gridSpan w:val="2"/>
            <w:tcBorders>
              <w:tl2br w:val="nil"/>
              <w:tr2bl w:val="nil"/>
            </w:tcBorders>
            <w:vAlign w:val="center"/>
          </w:tcPr>
          <w:p w14:paraId="279CFDB2">
            <w:pPr>
              <w:spacing w:line="240" w:lineRule="auto"/>
              <w:ind w:firstLine="0" w:firstLineChars="0"/>
              <w:jc w:val="center"/>
              <w:rPr>
                <w:color w:val="auto"/>
                <w:sz w:val="21"/>
                <w:szCs w:val="21"/>
                <w:highlight w:val="none"/>
                <w:u w:val="single"/>
              </w:rPr>
            </w:pPr>
            <w:r>
              <w:rPr>
                <w:color w:val="auto"/>
                <w:sz w:val="21"/>
                <w:szCs w:val="21"/>
                <w:highlight w:val="none"/>
                <w:u w:val="single"/>
              </w:rPr>
              <w:t>0.0002</w:t>
            </w:r>
          </w:p>
        </w:tc>
        <w:tc>
          <w:tcPr>
            <w:tcW w:w="1201" w:type="pct"/>
            <w:tcBorders>
              <w:tl2br w:val="nil"/>
              <w:tr2bl w:val="nil"/>
            </w:tcBorders>
            <w:vAlign w:val="center"/>
          </w:tcPr>
          <w:p w14:paraId="4CBD4F82">
            <w:pPr>
              <w:spacing w:line="240" w:lineRule="auto"/>
              <w:ind w:firstLine="0" w:firstLineChars="0"/>
              <w:jc w:val="center"/>
              <w:rPr>
                <w:color w:val="auto"/>
                <w:sz w:val="21"/>
                <w:szCs w:val="21"/>
                <w:highlight w:val="none"/>
                <w:u w:val="single"/>
              </w:rPr>
            </w:pPr>
            <w:r>
              <w:rPr>
                <w:color w:val="auto"/>
                <w:sz w:val="21"/>
                <w:szCs w:val="21"/>
                <w:highlight w:val="none"/>
                <w:u w:val="single"/>
              </w:rPr>
              <w:t>0.0005</w:t>
            </w:r>
          </w:p>
        </w:tc>
      </w:tr>
      <w:tr w14:paraId="513DB3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4" w:type="pct"/>
            <w:tcBorders>
              <w:tl2br w:val="nil"/>
              <w:tr2bl w:val="nil"/>
            </w:tcBorders>
            <w:vAlign w:val="center"/>
          </w:tcPr>
          <w:p w14:paraId="38AFB6D9">
            <w:pPr>
              <w:spacing w:line="240" w:lineRule="auto"/>
              <w:ind w:firstLine="0" w:firstLineChars="0"/>
              <w:jc w:val="center"/>
              <w:rPr>
                <w:color w:val="auto"/>
                <w:sz w:val="21"/>
                <w:szCs w:val="21"/>
                <w:highlight w:val="none"/>
                <w:u w:val="single"/>
              </w:rPr>
            </w:pPr>
            <w:r>
              <w:rPr>
                <w:color w:val="auto"/>
                <w:sz w:val="21"/>
                <w:szCs w:val="21"/>
                <w:highlight w:val="none"/>
                <w:u w:val="single"/>
              </w:rPr>
              <w:t>9</w:t>
            </w:r>
          </w:p>
        </w:tc>
        <w:tc>
          <w:tcPr>
            <w:tcW w:w="1060" w:type="pct"/>
            <w:tcBorders>
              <w:tl2br w:val="nil"/>
              <w:tr2bl w:val="nil"/>
            </w:tcBorders>
            <w:vAlign w:val="center"/>
          </w:tcPr>
          <w:p w14:paraId="48066A8A">
            <w:pPr>
              <w:spacing w:line="240" w:lineRule="auto"/>
              <w:ind w:firstLine="0" w:firstLineChars="0"/>
              <w:jc w:val="center"/>
              <w:rPr>
                <w:color w:val="auto"/>
                <w:sz w:val="21"/>
                <w:szCs w:val="21"/>
                <w:highlight w:val="none"/>
                <w:u w:val="single"/>
              </w:rPr>
            </w:pPr>
            <w:r>
              <w:rPr>
                <w:snapToGrid w:val="0"/>
                <w:color w:val="auto"/>
                <w:kern w:val="28"/>
                <w:sz w:val="21"/>
                <w:szCs w:val="21"/>
                <w:highlight w:val="none"/>
                <w:u w:val="single"/>
              </w:rPr>
              <w:t xml:space="preserve">铅 </w:t>
            </w:r>
            <w:r>
              <w:rPr>
                <w:color w:val="auto"/>
                <w:sz w:val="21"/>
                <w:szCs w:val="21"/>
                <w:highlight w:val="none"/>
                <w:u w:val="single"/>
              </w:rPr>
              <w:t>≤</w:t>
            </w:r>
          </w:p>
        </w:tc>
        <w:tc>
          <w:tcPr>
            <w:tcW w:w="1093" w:type="pct"/>
            <w:tcBorders>
              <w:tl2br w:val="nil"/>
              <w:tr2bl w:val="nil"/>
            </w:tcBorders>
            <w:vAlign w:val="center"/>
          </w:tcPr>
          <w:p w14:paraId="39320374">
            <w:pPr>
              <w:spacing w:line="240" w:lineRule="auto"/>
              <w:ind w:firstLine="0" w:firstLineChars="0"/>
              <w:jc w:val="center"/>
              <w:rPr>
                <w:color w:val="auto"/>
                <w:sz w:val="21"/>
                <w:szCs w:val="21"/>
                <w:highlight w:val="none"/>
                <w:u w:val="single"/>
              </w:rPr>
            </w:pPr>
            <w:r>
              <w:rPr>
                <w:color w:val="auto"/>
                <w:sz w:val="21"/>
                <w:szCs w:val="21"/>
                <w:highlight w:val="none"/>
                <w:u w:val="single"/>
              </w:rPr>
              <w:t>0.005</w:t>
            </w:r>
          </w:p>
        </w:tc>
        <w:tc>
          <w:tcPr>
            <w:tcW w:w="1222" w:type="pct"/>
            <w:tcBorders>
              <w:tl2br w:val="nil"/>
              <w:tr2bl w:val="nil"/>
            </w:tcBorders>
            <w:vAlign w:val="center"/>
          </w:tcPr>
          <w:p w14:paraId="4EBB5261">
            <w:pPr>
              <w:spacing w:line="240" w:lineRule="auto"/>
              <w:ind w:firstLine="0" w:firstLineChars="0"/>
              <w:jc w:val="center"/>
              <w:rPr>
                <w:color w:val="auto"/>
                <w:sz w:val="21"/>
                <w:szCs w:val="21"/>
                <w:highlight w:val="none"/>
                <w:u w:val="single"/>
              </w:rPr>
            </w:pPr>
            <w:r>
              <w:rPr>
                <w:color w:val="auto"/>
                <w:sz w:val="21"/>
                <w:szCs w:val="21"/>
                <w:highlight w:val="none"/>
                <w:u w:val="single"/>
              </w:rPr>
              <w:t>0.010</w:t>
            </w:r>
          </w:p>
        </w:tc>
        <w:tc>
          <w:tcPr>
            <w:tcW w:w="1201" w:type="pct"/>
            <w:tcBorders>
              <w:tl2br w:val="nil"/>
              <w:tr2bl w:val="nil"/>
            </w:tcBorders>
            <w:vAlign w:val="center"/>
          </w:tcPr>
          <w:p w14:paraId="035439E5">
            <w:pPr>
              <w:spacing w:line="240" w:lineRule="auto"/>
              <w:ind w:firstLine="0" w:firstLineChars="0"/>
              <w:jc w:val="center"/>
              <w:rPr>
                <w:color w:val="auto"/>
                <w:sz w:val="21"/>
                <w:szCs w:val="21"/>
                <w:highlight w:val="none"/>
                <w:u w:val="single"/>
              </w:rPr>
            </w:pPr>
            <w:r>
              <w:rPr>
                <w:color w:val="auto"/>
                <w:sz w:val="21"/>
                <w:szCs w:val="21"/>
                <w:highlight w:val="none"/>
                <w:u w:val="single"/>
              </w:rPr>
              <w:t>0.050</w:t>
            </w:r>
          </w:p>
        </w:tc>
      </w:tr>
      <w:tr w14:paraId="5C623E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4" w:type="pct"/>
            <w:tcBorders>
              <w:tl2br w:val="nil"/>
              <w:tr2bl w:val="nil"/>
            </w:tcBorders>
            <w:vAlign w:val="center"/>
          </w:tcPr>
          <w:p w14:paraId="472870E2">
            <w:pPr>
              <w:spacing w:line="240" w:lineRule="auto"/>
              <w:ind w:firstLine="0" w:firstLineChars="0"/>
              <w:jc w:val="center"/>
              <w:rPr>
                <w:color w:val="auto"/>
                <w:sz w:val="21"/>
                <w:szCs w:val="21"/>
                <w:highlight w:val="none"/>
                <w:u w:val="single"/>
              </w:rPr>
            </w:pPr>
            <w:r>
              <w:rPr>
                <w:color w:val="auto"/>
                <w:sz w:val="21"/>
                <w:szCs w:val="21"/>
                <w:highlight w:val="none"/>
                <w:u w:val="single"/>
              </w:rPr>
              <w:t>10</w:t>
            </w:r>
          </w:p>
        </w:tc>
        <w:tc>
          <w:tcPr>
            <w:tcW w:w="1060" w:type="pct"/>
            <w:tcBorders>
              <w:tl2br w:val="nil"/>
              <w:tr2bl w:val="nil"/>
            </w:tcBorders>
            <w:vAlign w:val="center"/>
          </w:tcPr>
          <w:p w14:paraId="757F66AA">
            <w:pPr>
              <w:spacing w:line="240" w:lineRule="auto"/>
              <w:ind w:firstLine="0" w:firstLineChars="0"/>
              <w:jc w:val="center"/>
              <w:rPr>
                <w:color w:val="auto"/>
                <w:sz w:val="21"/>
                <w:szCs w:val="21"/>
                <w:highlight w:val="none"/>
                <w:u w:val="single"/>
              </w:rPr>
            </w:pPr>
            <w:r>
              <w:rPr>
                <w:snapToGrid w:val="0"/>
                <w:color w:val="auto"/>
                <w:kern w:val="28"/>
                <w:sz w:val="21"/>
                <w:szCs w:val="21"/>
                <w:highlight w:val="none"/>
                <w:u w:val="single"/>
              </w:rPr>
              <w:t xml:space="preserve">锌 </w:t>
            </w:r>
            <w:r>
              <w:rPr>
                <w:color w:val="auto"/>
                <w:sz w:val="21"/>
                <w:szCs w:val="21"/>
                <w:highlight w:val="none"/>
                <w:u w:val="single"/>
              </w:rPr>
              <w:t>≤</w:t>
            </w:r>
          </w:p>
        </w:tc>
        <w:tc>
          <w:tcPr>
            <w:tcW w:w="1093" w:type="pct"/>
            <w:tcBorders>
              <w:tl2br w:val="nil"/>
              <w:tr2bl w:val="nil"/>
            </w:tcBorders>
            <w:vAlign w:val="center"/>
          </w:tcPr>
          <w:p w14:paraId="33927C6C">
            <w:pPr>
              <w:spacing w:line="240" w:lineRule="auto"/>
              <w:ind w:firstLine="0" w:firstLineChars="0"/>
              <w:jc w:val="center"/>
              <w:rPr>
                <w:color w:val="auto"/>
                <w:sz w:val="21"/>
                <w:szCs w:val="21"/>
                <w:highlight w:val="none"/>
                <w:u w:val="single"/>
              </w:rPr>
            </w:pPr>
            <w:r>
              <w:rPr>
                <w:color w:val="auto"/>
                <w:sz w:val="21"/>
                <w:szCs w:val="21"/>
                <w:highlight w:val="none"/>
                <w:u w:val="single"/>
              </w:rPr>
              <w:t>0.050</w:t>
            </w:r>
          </w:p>
        </w:tc>
        <w:tc>
          <w:tcPr>
            <w:tcW w:w="1222" w:type="pct"/>
            <w:tcBorders>
              <w:tl2br w:val="nil"/>
              <w:tr2bl w:val="nil"/>
            </w:tcBorders>
            <w:vAlign w:val="center"/>
          </w:tcPr>
          <w:p w14:paraId="15BC0E08">
            <w:pPr>
              <w:spacing w:line="240" w:lineRule="auto"/>
              <w:ind w:firstLine="0" w:firstLineChars="0"/>
              <w:jc w:val="center"/>
              <w:rPr>
                <w:color w:val="auto"/>
                <w:sz w:val="21"/>
                <w:szCs w:val="21"/>
                <w:highlight w:val="none"/>
                <w:u w:val="single"/>
              </w:rPr>
            </w:pPr>
            <w:r>
              <w:rPr>
                <w:color w:val="auto"/>
                <w:sz w:val="21"/>
                <w:szCs w:val="21"/>
                <w:highlight w:val="none"/>
                <w:u w:val="single"/>
              </w:rPr>
              <w:t>0.10</w:t>
            </w:r>
          </w:p>
        </w:tc>
        <w:tc>
          <w:tcPr>
            <w:tcW w:w="1201" w:type="pct"/>
            <w:tcBorders>
              <w:tl2br w:val="nil"/>
              <w:tr2bl w:val="nil"/>
            </w:tcBorders>
            <w:vAlign w:val="center"/>
          </w:tcPr>
          <w:p w14:paraId="6A7317BB">
            <w:pPr>
              <w:spacing w:line="240" w:lineRule="auto"/>
              <w:ind w:firstLine="0" w:firstLineChars="0"/>
              <w:jc w:val="center"/>
              <w:rPr>
                <w:color w:val="auto"/>
                <w:sz w:val="21"/>
                <w:szCs w:val="21"/>
                <w:highlight w:val="none"/>
                <w:u w:val="single"/>
              </w:rPr>
            </w:pPr>
            <w:r>
              <w:rPr>
                <w:color w:val="auto"/>
                <w:sz w:val="21"/>
                <w:szCs w:val="21"/>
                <w:highlight w:val="none"/>
                <w:u w:val="single"/>
              </w:rPr>
              <w:t>0.50</w:t>
            </w:r>
          </w:p>
        </w:tc>
      </w:tr>
      <w:tr w14:paraId="319D46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4" w:type="pct"/>
            <w:tcBorders>
              <w:tl2br w:val="nil"/>
              <w:tr2bl w:val="nil"/>
            </w:tcBorders>
            <w:vAlign w:val="center"/>
          </w:tcPr>
          <w:p w14:paraId="3FF409E9">
            <w:pPr>
              <w:spacing w:line="240" w:lineRule="auto"/>
              <w:ind w:firstLine="0" w:firstLineChars="0"/>
              <w:jc w:val="center"/>
              <w:rPr>
                <w:color w:val="auto"/>
                <w:sz w:val="21"/>
                <w:szCs w:val="21"/>
                <w:highlight w:val="none"/>
                <w:u w:val="single"/>
              </w:rPr>
            </w:pPr>
            <w:r>
              <w:rPr>
                <w:color w:val="auto"/>
                <w:sz w:val="21"/>
                <w:szCs w:val="21"/>
                <w:highlight w:val="none"/>
                <w:u w:val="single"/>
              </w:rPr>
              <w:t>11</w:t>
            </w:r>
          </w:p>
        </w:tc>
        <w:tc>
          <w:tcPr>
            <w:tcW w:w="1060" w:type="pct"/>
            <w:tcBorders>
              <w:tl2br w:val="nil"/>
              <w:tr2bl w:val="nil"/>
            </w:tcBorders>
            <w:vAlign w:val="center"/>
          </w:tcPr>
          <w:p w14:paraId="102D1387">
            <w:pPr>
              <w:spacing w:line="240" w:lineRule="auto"/>
              <w:ind w:firstLine="0" w:firstLineChars="0"/>
              <w:jc w:val="center"/>
              <w:rPr>
                <w:color w:val="auto"/>
                <w:sz w:val="21"/>
                <w:szCs w:val="21"/>
                <w:highlight w:val="none"/>
                <w:u w:val="single"/>
              </w:rPr>
            </w:pPr>
            <w:r>
              <w:rPr>
                <w:color w:val="auto"/>
                <w:sz w:val="21"/>
                <w:szCs w:val="21"/>
                <w:highlight w:val="none"/>
                <w:u w:val="single"/>
              </w:rPr>
              <w:t>镉 ≤</w:t>
            </w:r>
          </w:p>
        </w:tc>
        <w:tc>
          <w:tcPr>
            <w:tcW w:w="1093" w:type="pct"/>
            <w:tcBorders>
              <w:tl2br w:val="nil"/>
              <w:tr2bl w:val="nil"/>
            </w:tcBorders>
            <w:vAlign w:val="center"/>
          </w:tcPr>
          <w:p w14:paraId="2C52DA64">
            <w:pPr>
              <w:spacing w:line="240" w:lineRule="auto"/>
              <w:ind w:firstLine="0" w:firstLineChars="0"/>
              <w:jc w:val="center"/>
              <w:rPr>
                <w:color w:val="auto"/>
                <w:sz w:val="21"/>
                <w:szCs w:val="21"/>
                <w:highlight w:val="none"/>
                <w:u w:val="single"/>
              </w:rPr>
            </w:pPr>
            <w:r>
              <w:rPr>
                <w:color w:val="auto"/>
                <w:sz w:val="21"/>
                <w:szCs w:val="21"/>
                <w:highlight w:val="none"/>
                <w:u w:val="single"/>
              </w:rPr>
              <w:t>0.005</w:t>
            </w:r>
          </w:p>
        </w:tc>
        <w:tc>
          <w:tcPr>
            <w:tcW w:w="2422" w:type="pct"/>
            <w:gridSpan w:val="2"/>
            <w:tcBorders>
              <w:tl2br w:val="nil"/>
              <w:tr2bl w:val="nil"/>
            </w:tcBorders>
            <w:vAlign w:val="center"/>
          </w:tcPr>
          <w:p w14:paraId="0190F896">
            <w:pPr>
              <w:spacing w:line="240" w:lineRule="auto"/>
              <w:ind w:firstLine="0" w:firstLineChars="0"/>
              <w:jc w:val="center"/>
              <w:rPr>
                <w:color w:val="auto"/>
                <w:sz w:val="21"/>
                <w:szCs w:val="21"/>
                <w:highlight w:val="none"/>
                <w:u w:val="single"/>
              </w:rPr>
            </w:pPr>
            <w:r>
              <w:rPr>
                <w:color w:val="auto"/>
                <w:sz w:val="21"/>
                <w:szCs w:val="21"/>
                <w:highlight w:val="none"/>
                <w:u w:val="single"/>
              </w:rPr>
              <w:t>0.010</w:t>
            </w:r>
          </w:p>
        </w:tc>
      </w:tr>
      <w:tr w14:paraId="7335E9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4" w:type="pct"/>
            <w:tcBorders>
              <w:tl2br w:val="nil"/>
              <w:tr2bl w:val="nil"/>
            </w:tcBorders>
            <w:vAlign w:val="center"/>
          </w:tcPr>
          <w:p w14:paraId="799AAC60">
            <w:pPr>
              <w:spacing w:line="240" w:lineRule="auto"/>
              <w:ind w:firstLine="0" w:firstLineChars="0"/>
              <w:jc w:val="center"/>
              <w:rPr>
                <w:color w:val="auto"/>
                <w:sz w:val="21"/>
                <w:szCs w:val="21"/>
                <w:highlight w:val="none"/>
                <w:u w:val="single"/>
              </w:rPr>
            </w:pPr>
            <w:r>
              <w:rPr>
                <w:color w:val="auto"/>
                <w:sz w:val="21"/>
                <w:szCs w:val="21"/>
                <w:highlight w:val="none"/>
                <w:u w:val="single"/>
              </w:rPr>
              <w:t>12</w:t>
            </w:r>
          </w:p>
        </w:tc>
        <w:tc>
          <w:tcPr>
            <w:tcW w:w="1060" w:type="pct"/>
            <w:tcBorders>
              <w:tl2br w:val="nil"/>
              <w:tr2bl w:val="nil"/>
            </w:tcBorders>
            <w:vAlign w:val="center"/>
          </w:tcPr>
          <w:p w14:paraId="3DD3DDC4">
            <w:pPr>
              <w:spacing w:line="240" w:lineRule="auto"/>
              <w:ind w:firstLine="0" w:firstLineChars="0"/>
              <w:jc w:val="center"/>
              <w:rPr>
                <w:color w:val="auto"/>
                <w:sz w:val="21"/>
                <w:szCs w:val="21"/>
                <w:highlight w:val="none"/>
                <w:u w:val="single"/>
              </w:rPr>
            </w:pPr>
            <w:r>
              <w:rPr>
                <w:color w:val="auto"/>
                <w:sz w:val="21"/>
                <w:szCs w:val="21"/>
                <w:highlight w:val="none"/>
                <w:u w:val="single"/>
              </w:rPr>
              <w:t>总铬 ≤</w:t>
            </w:r>
          </w:p>
        </w:tc>
        <w:tc>
          <w:tcPr>
            <w:tcW w:w="1093" w:type="pct"/>
            <w:tcBorders>
              <w:tl2br w:val="nil"/>
              <w:tr2bl w:val="nil"/>
            </w:tcBorders>
            <w:vAlign w:val="center"/>
          </w:tcPr>
          <w:p w14:paraId="03EF863E">
            <w:pPr>
              <w:spacing w:line="240" w:lineRule="auto"/>
              <w:ind w:firstLine="0" w:firstLineChars="0"/>
              <w:jc w:val="center"/>
              <w:rPr>
                <w:color w:val="auto"/>
                <w:sz w:val="21"/>
                <w:szCs w:val="21"/>
                <w:highlight w:val="none"/>
                <w:u w:val="single"/>
              </w:rPr>
            </w:pPr>
            <w:r>
              <w:rPr>
                <w:color w:val="auto"/>
                <w:sz w:val="21"/>
                <w:szCs w:val="21"/>
                <w:highlight w:val="none"/>
                <w:u w:val="single"/>
              </w:rPr>
              <w:t>0.10</w:t>
            </w:r>
          </w:p>
        </w:tc>
        <w:tc>
          <w:tcPr>
            <w:tcW w:w="1222" w:type="pct"/>
            <w:tcBorders>
              <w:tl2br w:val="nil"/>
              <w:tr2bl w:val="nil"/>
            </w:tcBorders>
            <w:vAlign w:val="center"/>
          </w:tcPr>
          <w:p w14:paraId="16FDAA6E">
            <w:pPr>
              <w:spacing w:line="240" w:lineRule="auto"/>
              <w:ind w:firstLine="0" w:firstLineChars="0"/>
              <w:jc w:val="center"/>
              <w:rPr>
                <w:color w:val="auto"/>
                <w:sz w:val="21"/>
                <w:szCs w:val="21"/>
                <w:highlight w:val="none"/>
                <w:u w:val="single"/>
              </w:rPr>
            </w:pPr>
            <w:r>
              <w:rPr>
                <w:color w:val="auto"/>
                <w:sz w:val="21"/>
                <w:szCs w:val="21"/>
                <w:highlight w:val="none"/>
                <w:u w:val="single"/>
              </w:rPr>
              <w:t>0.20</w:t>
            </w:r>
          </w:p>
        </w:tc>
        <w:tc>
          <w:tcPr>
            <w:tcW w:w="1201" w:type="pct"/>
            <w:tcBorders>
              <w:tl2br w:val="nil"/>
              <w:tr2bl w:val="nil"/>
            </w:tcBorders>
            <w:vAlign w:val="center"/>
          </w:tcPr>
          <w:p w14:paraId="1C7FF064">
            <w:pPr>
              <w:spacing w:line="240" w:lineRule="auto"/>
              <w:ind w:firstLine="0" w:firstLineChars="0"/>
              <w:jc w:val="center"/>
              <w:rPr>
                <w:color w:val="auto"/>
                <w:sz w:val="21"/>
                <w:szCs w:val="21"/>
                <w:highlight w:val="none"/>
                <w:u w:val="single"/>
              </w:rPr>
            </w:pPr>
            <w:r>
              <w:rPr>
                <w:color w:val="auto"/>
                <w:sz w:val="21"/>
                <w:szCs w:val="21"/>
                <w:highlight w:val="none"/>
                <w:u w:val="single"/>
              </w:rPr>
              <w:t>0.50</w:t>
            </w:r>
          </w:p>
        </w:tc>
      </w:tr>
      <w:tr w14:paraId="4E1CD4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4" w:type="pct"/>
            <w:tcBorders>
              <w:tl2br w:val="nil"/>
              <w:tr2bl w:val="nil"/>
            </w:tcBorders>
            <w:vAlign w:val="center"/>
          </w:tcPr>
          <w:p w14:paraId="763F0357">
            <w:pPr>
              <w:spacing w:line="240" w:lineRule="auto"/>
              <w:ind w:firstLine="0" w:firstLineChars="0"/>
              <w:jc w:val="center"/>
              <w:rPr>
                <w:color w:val="auto"/>
                <w:sz w:val="21"/>
                <w:szCs w:val="21"/>
                <w:highlight w:val="none"/>
                <w:u w:val="single"/>
              </w:rPr>
            </w:pPr>
            <w:r>
              <w:rPr>
                <w:color w:val="auto"/>
                <w:sz w:val="21"/>
                <w:szCs w:val="21"/>
                <w:highlight w:val="none"/>
                <w:u w:val="single"/>
              </w:rPr>
              <w:t>13</w:t>
            </w:r>
          </w:p>
        </w:tc>
        <w:tc>
          <w:tcPr>
            <w:tcW w:w="1060" w:type="pct"/>
            <w:tcBorders>
              <w:tl2br w:val="nil"/>
              <w:tr2bl w:val="nil"/>
            </w:tcBorders>
            <w:vAlign w:val="center"/>
          </w:tcPr>
          <w:p w14:paraId="6A701006">
            <w:pPr>
              <w:spacing w:line="240" w:lineRule="auto"/>
              <w:ind w:firstLine="0" w:firstLineChars="0"/>
              <w:jc w:val="center"/>
              <w:rPr>
                <w:color w:val="auto"/>
                <w:sz w:val="21"/>
                <w:szCs w:val="21"/>
                <w:highlight w:val="none"/>
                <w:u w:val="single"/>
              </w:rPr>
            </w:pPr>
            <w:r>
              <w:rPr>
                <w:snapToGrid w:val="0"/>
                <w:color w:val="auto"/>
                <w:kern w:val="28"/>
                <w:sz w:val="21"/>
                <w:szCs w:val="21"/>
                <w:highlight w:val="none"/>
                <w:u w:val="single"/>
              </w:rPr>
              <w:t xml:space="preserve">铜 </w:t>
            </w:r>
            <w:r>
              <w:rPr>
                <w:color w:val="auto"/>
                <w:sz w:val="21"/>
                <w:szCs w:val="21"/>
                <w:highlight w:val="none"/>
                <w:u w:val="single"/>
              </w:rPr>
              <w:t>≤</w:t>
            </w:r>
          </w:p>
        </w:tc>
        <w:tc>
          <w:tcPr>
            <w:tcW w:w="1093" w:type="pct"/>
            <w:tcBorders>
              <w:tl2br w:val="nil"/>
              <w:tr2bl w:val="nil"/>
            </w:tcBorders>
            <w:vAlign w:val="center"/>
          </w:tcPr>
          <w:p w14:paraId="682393EA">
            <w:pPr>
              <w:spacing w:line="240" w:lineRule="auto"/>
              <w:ind w:firstLine="0" w:firstLineChars="0"/>
              <w:jc w:val="center"/>
              <w:rPr>
                <w:color w:val="auto"/>
                <w:sz w:val="21"/>
                <w:szCs w:val="21"/>
                <w:highlight w:val="none"/>
                <w:u w:val="single"/>
              </w:rPr>
            </w:pPr>
            <w:r>
              <w:rPr>
                <w:color w:val="auto"/>
                <w:sz w:val="21"/>
                <w:szCs w:val="21"/>
                <w:highlight w:val="none"/>
                <w:u w:val="single"/>
              </w:rPr>
              <w:t>0.010</w:t>
            </w:r>
          </w:p>
        </w:tc>
        <w:tc>
          <w:tcPr>
            <w:tcW w:w="2422" w:type="pct"/>
            <w:gridSpan w:val="2"/>
            <w:tcBorders>
              <w:tl2br w:val="nil"/>
              <w:tr2bl w:val="nil"/>
            </w:tcBorders>
            <w:vAlign w:val="center"/>
          </w:tcPr>
          <w:p w14:paraId="37EE5AC4">
            <w:pPr>
              <w:spacing w:line="240" w:lineRule="auto"/>
              <w:ind w:firstLine="0" w:firstLineChars="0"/>
              <w:jc w:val="center"/>
              <w:rPr>
                <w:color w:val="auto"/>
                <w:sz w:val="21"/>
                <w:szCs w:val="21"/>
                <w:highlight w:val="none"/>
                <w:u w:val="single"/>
              </w:rPr>
            </w:pPr>
            <w:r>
              <w:rPr>
                <w:color w:val="auto"/>
                <w:sz w:val="21"/>
                <w:szCs w:val="21"/>
                <w:highlight w:val="none"/>
                <w:u w:val="single"/>
              </w:rPr>
              <w:t>0.050</w:t>
            </w:r>
          </w:p>
        </w:tc>
      </w:tr>
      <w:tr w14:paraId="6CFBA8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4" w:type="pct"/>
            <w:tcBorders>
              <w:tl2br w:val="nil"/>
              <w:tr2bl w:val="nil"/>
            </w:tcBorders>
            <w:vAlign w:val="center"/>
          </w:tcPr>
          <w:p w14:paraId="43023E3E">
            <w:pPr>
              <w:spacing w:line="240" w:lineRule="auto"/>
              <w:ind w:firstLine="0" w:firstLineChars="0"/>
              <w:jc w:val="center"/>
              <w:rPr>
                <w:color w:val="auto"/>
                <w:sz w:val="21"/>
                <w:szCs w:val="21"/>
                <w:highlight w:val="none"/>
                <w:u w:val="single"/>
              </w:rPr>
            </w:pPr>
            <w:r>
              <w:rPr>
                <w:color w:val="auto"/>
                <w:sz w:val="21"/>
                <w:szCs w:val="21"/>
                <w:highlight w:val="none"/>
                <w:u w:val="single"/>
              </w:rPr>
              <w:t>14</w:t>
            </w:r>
          </w:p>
        </w:tc>
        <w:tc>
          <w:tcPr>
            <w:tcW w:w="1060" w:type="pct"/>
            <w:tcBorders>
              <w:tl2br w:val="nil"/>
              <w:tr2bl w:val="nil"/>
            </w:tcBorders>
            <w:vAlign w:val="center"/>
          </w:tcPr>
          <w:p w14:paraId="481AA4F8">
            <w:pPr>
              <w:spacing w:line="240" w:lineRule="auto"/>
              <w:ind w:firstLine="0" w:firstLineChars="0"/>
              <w:jc w:val="center"/>
              <w:rPr>
                <w:color w:val="auto"/>
                <w:sz w:val="21"/>
                <w:szCs w:val="21"/>
                <w:highlight w:val="none"/>
                <w:u w:val="single"/>
              </w:rPr>
            </w:pPr>
            <w:r>
              <w:rPr>
                <w:snapToGrid w:val="0"/>
                <w:color w:val="auto"/>
                <w:kern w:val="28"/>
                <w:sz w:val="21"/>
                <w:szCs w:val="21"/>
                <w:highlight w:val="none"/>
                <w:u w:val="single"/>
              </w:rPr>
              <w:t xml:space="preserve">砷 </w:t>
            </w:r>
            <w:r>
              <w:rPr>
                <w:color w:val="auto"/>
                <w:sz w:val="21"/>
                <w:szCs w:val="21"/>
                <w:highlight w:val="none"/>
                <w:u w:val="single"/>
              </w:rPr>
              <w:t>≤</w:t>
            </w:r>
          </w:p>
        </w:tc>
        <w:tc>
          <w:tcPr>
            <w:tcW w:w="1093" w:type="pct"/>
            <w:tcBorders>
              <w:tl2br w:val="nil"/>
              <w:tr2bl w:val="nil"/>
            </w:tcBorders>
            <w:vAlign w:val="center"/>
          </w:tcPr>
          <w:p w14:paraId="41378CC5">
            <w:pPr>
              <w:spacing w:line="240" w:lineRule="auto"/>
              <w:ind w:firstLine="0" w:firstLineChars="0"/>
              <w:jc w:val="center"/>
              <w:rPr>
                <w:color w:val="auto"/>
                <w:sz w:val="21"/>
                <w:szCs w:val="21"/>
                <w:highlight w:val="none"/>
                <w:u w:val="single"/>
              </w:rPr>
            </w:pPr>
            <w:r>
              <w:rPr>
                <w:color w:val="auto"/>
                <w:sz w:val="21"/>
                <w:szCs w:val="21"/>
                <w:highlight w:val="none"/>
                <w:u w:val="single"/>
              </w:rPr>
              <w:t>0.030</w:t>
            </w:r>
          </w:p>
        </w:tc>
        <w:tc>
          <w:tcPr>
            <w:tcW w:w="2422" w:type="pct"/>
            <w:gridSpan w:val="2"/>
            <w:tcBorders>
              <w:tl2br w:val="nil"/>
              <w:tr2bl w:val="nil"/>
            </w:tcBorders>
            <w:vAlign w:val="center"/>
          </w:tcPr>
          <w:p w14:paraId="0B2030C5">
            <w:pPr>
              <w:spacing w:line="240" w:lineRule="auto"/>
              <w:ind w:firstLine="0" w:firstLineChars="0"/>
              <w:jc w:val="center"/>
              <w:rPr>
                <w:color w:val="auto"/>
                <w:sz w:val="21"/>
                <w:szCs w:val="21"/>
                <w:highlight w:val="none"/>
                <w:u w:val="single"/>
              </w:rPr>
            </w:pPr>
            <w:r>
              <w:rPr>
                <w:color w:val="auto"/>
                <w:sz w:val="21"/>
                <w:szCs w:val="21"/>
                <w:highlight w:val="none"/>
                <w:u w:val="single"/>
              </w:rPr>
              <w:t>0.050</w:t>
            </w:r>
          </w:p>
        </w:tc>
      </w:tr>
      <w:tr w14:paraId="75D911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4" w:type="pct"/>
            <w:tcBorders>
              <w:tl2br w:val="nil"/>
              <w:tr2bl w:val="nil"/>
            </w:tcBorders>
            <w:vAlign w:val="center"/>
          </w:tcPr>
          <w:p w14:paraId="0D883D0F">
            <w:pPr>
              <w:spacing w:line="240" w:lineRule="auto"/>
              <w:ind w:firstLine="0" w:firstLineChars="0"/>
              <w:jc w:val="center"/>
              <w:rPr>
                <w:color w:val="auto"/>
                <w:sz w:val="21"/>
                <w:szCs w:val="21"/>
                <w:highlight w:val="none"/>
                <w:u w:val="single"/>
              </w:rPr>
            </w:pPr>
            <w:r>
              <w:rPr>
                <w:color w:val="auto"/>
                <w:sz w:val="21"/>
                <w:szCs w:val="21"/>
                <w:highlight w:val="none"/>
                <w:u w:val="single"/>
              </w:rPr>
              <w:t>15</w:t>
            </w:r>
          </w:p>
        </w:tc>
        <w:tc>
          <w:tcPr>
            <w:tcW w:w="1060" w:type="pct"/>
            <w:tcBorders>
              <w:tl2br w:val="nil"/>
              <w:tr2bl w:val="nil"/>
            </w:tcBorders>
            <w:vAlign w:val="center"/>
          </w:tcPr>
          <w:p w14:paraId="3E9B27EA">
            <w:pPr>
              <w:spacing w:line="240" w:lineRule="auto"/>
              <w:ind w:firstLine="0" w:firstLineChars="0"/>
              <w:jc w:val="center"/>
              <w:rPr>
                <w:color w:val="auto"/>
                <w:sz w:val="21"/>
                <w:szCs w:val="21"/>
                <w:highlight w:val="none"/>
                <w:u w:val="single"/>
              </w:rPr>
            </w:pPr>
            <w:r>
              <w:rPr>
                <w:color w:val="auto"/>
                <w:sz w:val="21"/>
                <w:szCs w:val="21"/>
                <w:highlight w:val="none"/>
                <w:u w:val="single"/>
              </w:rPr>
              <w:t>石油类 ≤</w:t>
            </w:r>
          </w:p>
        </w:tc>
        <w:tc>
          <w:tcPr>
            <w:tcW w:w="1093" w:type="pct"/>
            <w:tcBorders>
              <w:tl2br w:val="nil"/>
              <w:tr2bl w:val="nil"/>
            </w:tcBorders>
            <w:vAlign w:val="center"/>
          </w:tcPr>
          <w:p w14:paraId="61571013">
            <w:pPr>
              <w:spacing w:line="240" w:lineRule="auto"/>
              <w:ind w:firstLine="0" w:firstLineChars="0"/>
              <w:jc w:val="center"/>
              <w:rPr>
                <w:color w:val="auto"/>
                <w:sz w:val="21"/>
                <w:szCs w:val="21"/>
                <w:highlight w:val="none"/>
                <w:u w:val="single"/>
              </w:rPr>
            </w:pPr>
            <w:r>
              <w:rPr>
                <w:color w:val="auto"/>
                <w:sz w:val="21"/>
                <w:szCs w:val="21"/>
                <w:highlight w:val="none"/>
                <w:u w:val="single"/>
              </w:rPr>
              <w:t>0.05</w:t>
            </w:r>
          </w:p>
        </w:tc>
        <w:tc>
          <w:tcPr>
            <w:tcW w:w="1222" w:type="pct"/>
            <w:tcBorders>
              <w:tl2br w:val="nil"/>
              <w:tr2bl w:val="nil"/>
            </w:tcBorders>
            <w:vAlign w:val="center"/>
          </w:tcPr>
          <w:p w14:paraId="6410A176">
            <w:pPr>
              <w:spacing w:line="240" w:lineRule="auto"/>
              <w:ind w:firstLine="0" w:firstLineChars="0"/>
              <w:jc w:val="center"/>
              <w:rPr>
                <w:color w:val="auto"/>
                <w:sz w:val="21"/>
                <w:szCs w:val="21"/>
                <w:highlight w:val="none"/>
                <w:u w:val="single"/>
              </w:rPr>
            </w:pPr>
            <w:r>
              <w:rPr>
                <w:color w:val="auto"/>
                <w:sz w:val="21"/>
                <w:szCs w:val="21"/>
                <w:highlight w:val="none"/>
                <w:u w:val="single"/>
              </w:rPr>
              <w:t>0.30</w:t>
            </w:r>
          </w:p>
        </w:tc>
        <w:tc>
          <w:tcPr>
            <w:tcW w:w="1201" w:type="pct"/>
            <w:tcBorders>
              <w:tl2br w:val="nil"/>
              <w:tr2bl w:val="nil"/>
            </w:tcBorders>
            <w:vAlign w:val="center"/>
          </w:tcPr>
          <w:p w14:paraId="6D0F0FAB">
            <w:pPr>
              <w:spacing w:line="240" w:lineRule="auto"/>
              <w:ind w:firstLine="0" w:firstLineChars="0"/>
              <w:jc w:val="center"/>
              <w:rPr>
                <w:color w:val="auto"/>
                <w:sz w:val="21"/>
                <w:szCs w:val="21"/>
                <w:highlight w:val="none"/>
                <w:u w:val="single"/>
              </w:rPr>
            </w:pPr>
            <w:r>
              <w:rPr>
                <w:color w:val="auto"/>
                <w:sz w:val="21"/>
                <w:szCs w:val="21"/>
                <w:highlight w:val="none"/>
                <w:u w:val="single"/>
              </w:rPr>
              <w:t>0.50</w:t>
            </w:r>
          </w:p>
        </w:tc>
      </w:tr>
      <w:tr w14:paraId="149A71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4" w:type="pct"/>
            <w:tcBorders>
              <w:tl2br w:val="nil"/>
              <w:tr2bl w:val="nil"/>
            </w:tcBorders>
            <w:vAlign w:val="center"/>
          </w:tcPr>
          <w:p w14:paraId="2376AC86">
            <w:pPr>
              <w:spacing w:line="240" w:lineRule="auto"/>
              <w:ind w:firstLine="0" w:firstLineChars="0"/>
              <w:jc w:val="center"/>
              <w:rPr>
                <w:color w:val="auto"/>
                <w:sz w:val="21"/>
                <w:szCs w:val="21"/>
                <w:highlight w:val="none"/>
                <w:u w:val="single"/>
              </w:rPr>
            </w:pPr>
            <w:r>
              <w:rPr>
                <w:color w:val="auto"/>
                <w:sz w:val="21"/>
                <w:szCs w:val="21"/>
                <w:highlight w:val="none"/>
                <w:u w:val="single"/>
              </w:rPr>
              <w:t>16</w:t>
            </w:r>
          </w:p>
        </w:tc>
        <w:tc>
          <w:tcPr>
            <w:tcW w:w="1060" w:type="pct"/>
            <w:tcBorders>
              <w:tl2br w:val="nil"/>
              <w:tr2bl w:val="nil"/>
            </w:tcBorders>
            <w:vAlign w:val="center"/>
          </w:tcPr>
          <w:p w14:paraId="1AC54B0D">
            <w:pPr>
              <w:spacing w:line="240" w:lineRule="auto"/>
              <w:ind w:firstLine="0" w:firstLineChars="0"/>
              <w:jc w:val="center"/>
              <w:rPr>
                <w:color w:val="auto"/>
                <w:sz w:val="21"/>
                <w:szCs w:val="21"/>
                <w:highlight w:val="none"/>
                <w:u w:val="single"/>
              </w:rPr>
            </w:pPr>
            <w:r>
              <w:rPr>
                <w:color w:val="auto"/>
                <w:sz w:val="21"/>
                <w:szCs w:val="21"/>
                <w:highlight w:val="none"/>
                <w:u w:val="single"/>
              </w:rPr>
              <w:t>硫化物 ≤</w:t>
            </w:r>
          </w:p>
        </w:tc>
        <w:tc>
          <w:tcPr>
            <w:tcW w:w="1093" w:type="pct"/>
            <w:tcBorders>
              <w:tl2br w:val="nil"/>
              <w:tr2bl w:val="nil"/>
            </w:tcBorders>
            <w:vAlign w:val="center"/>
          </w:tcPr>
          <w:p w14:paraId="1DDCF84F">
            <w:pPr>
              <w:spacing w:line="240" w:lineRule="auto"/>
              <w:ind w:firstLine="0" w:firstLineChars="0"/>
              <w:jc w:val="center"/>
              <w:rPr>
                <w:color w:val="auto"/>
                <w:sz w:val="21"/>
                <w:szCs w:val="21"/>
                <w:highlight w:val="none"/>
                <w:u w:val="single"/>
              </w:rPr>
            </w:pPr>
            <w:r>
              <w:rPr>
                <w:color w:val="auto"/>
                <w:sz w:val="21"/>
                <w:szCs w:val="21"/>
                <w:highlight w:val="none"/>
                <w:u w:val="single"/>
              </w:rPr>
              <w:t>0.05</w:t>
            </w:r>
          </w:p>
        </w:tc>
        <w:tc>
          <w:tcPr>
            <w:tcW w:w="1222" w:type="pct"/>
            <w:tcBorders>
              <w:tl2br w:val="nil"/>
              <w:tr2bl w:val="nil"/>
            </w:tcBorders>
            <w:vAlign w:val="center"/>
          </w:tcPr>
          <w:p w14:paraId="412EA639">
            <w:pPr>
              <w:spacing w:line="240" w:lineRule="auto"/>
              <w:ind w:firstLine="0" w:firstLineChars="0"/>
              <w:jc w:val="center"/>
              <w:rPr>
                <w:color w:val="auto"/>
                <w:sz w:val="21"/>
                <w:szCs w:val="21"/>
                <w:highlight w:val="none"/>
                <w:u w:val="single"/>
              </w:rPr>
            </w:pPr>
            <w:r>
              <w:rPr>
                <w:color w:val="auto"/>
                <w:sz w:val="21"/>
                <w:szCs w:val="21"/>
                <w:highlight w:val="none"/>
                <w:u w:val="single"/>
              </w:rPr>
              <w:t>0.10</w:t>
            </w:r>
          </w:p>
        </w:tc>
        <w:tc>
          <w:tcPr>
            <w:tcW w:w="1201" w:type="pct"/>
            <w:tcBorders>
              <w:tl2br w:val="nil"/>
              <w:tr2bl w:val="nil"/>
            </w:tcBorders>
            <w:vAlign w:val="center"/>
          </w:tcPr>
          <w:p w14:paraId="35ABA309">
            <w:pPr>
              <w:spacing w:line="240" w:lineRule="auto"/>
              <w:ind w:firstLine="0" w:firstLineChars="0"/>
              <w:jc w:val="center"/>
              <w:rPr>
                <w:color w:val="auto"/>
                <w:sz w:val="21"/>
                <w:szCs w:val="21"/>
                <w:highlight w:val="none"/>
                <w:u w:val="single"/>
              </w:rPr>
            </w:pPr>
            <w:r>
              <w:rPr>
                <w:color w:val="auto"/>
                <w:sz w:val="21"/>
                <w:szCs w:val="21"/>
                <w:highlight w:val="none"/>
                <w:u w:val="single"/>
              </w:rPr>
              <w:t>0.25</w:t>
            </w:r>
          </w:p>
        </w:tc>
      </w:tr>
    </w:tbl>
    <w:p w14:paraId="11A5CB41">
      <w:pPr>
        <w:pStyle w:val="38"/>
        <w:spacing w:after="0" w:line="240" w:lineRule="auto"/>
        <w:ind w:firstLine="0" w:firstLineChars="0"/>
        <w:jc w:val="center"/>
        <w:rPr>
          <w:b/>
          <w:color w:val="auto"/>
          <w:sz w:val="21"/>
          <w:szCs w:val="21"/>
          <w:highlight w:val="none"/>
          <w:u w:val="single"/>
        </w:rPr>
      </w:pPr>
    </w:p>
    <w:p w14:paraId="20734260">
      <w:pPr>
        <w:pStyle w:val="38"/>
        <w:spacing w:after="0" w:line="240" w:lineRule="auto"/>
        <w:ind w:firstLine="0" w:firstLineChars="0"/>
        <w:jc w:val="center"/>
        <w:rPr>
          <w:b/>
          <w:color w:val="auto"/>
          <w:sz w:val="21"/>
          <w:szCs w:val="21"/>
          <w:highlight w:val="none"/>
          <w:u w:val="single"/>
        </w:rPr>
      </w:pPr>
      <w:r>
        <w:rPr>
          <w:b/>
          <w:color w:val="auto"/>
          <w:sz w:val="21"/>
          <w:szCs w:val="21"/>
          <w:highlight w:val="none"/>
          <w:u w:val="single"/>
        </w:rPr>
        <w:t>表1.3-4    海洋生物质量（鲜重）（单位：mg/kg）</w:t>
      </w:r>
    </w:p>
    <w:p w14:paraId="00C6147A">
      <w:pPr>
        <w:kinsoku w:val="0"/>
        <w:overflowPunct w:val="0"/>
        <w:spacing w:before="6" w:line="10" w:lineRule="exact"/>
        <w:ind w:firstLine="40"/>
        <w:rPr>
          <w:color w:val="auto"/>
          <w:sz w:val="2"/>
          <w:szCs w:val="2"/>
          <w:highlight w:val="none"/>
          <w:u w:val="single"/>
        </w:rPr>
      </w:pPr>
    </w:p>
    <w:tbl>
      <w:tblPr>
        <w:tblStyle w:val="154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49"/>
        <w:gridCol w:w="1530"/>
        <w:gridCol w:w="1530"/>
        <w:gridCol w:w="1811"/>
        <w:gridCol w:w="1673"/>
        <w:gridCol w:w="782"/>
        <w:gridCol w:w="911"/>
      </w:tblGrid>
      <w:tr w14:paraId="250093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65" w:type="pct"/>
            <w:vAlign w:val="center"/>
          </w:tcPr>
          <w:p w14:paraId="4A0C3741">
            <w:pPr>
              <w:pStyle w:val="584"/>
              <w:kinsoku w:val="0"/>
              <w:overflowPunct w:val="0"/>
              <w:spacing w:line="240" w:lineRule="auto"/>
              <w:ind w:firstLine="0" w:firstLineChars="0"/>
              <w:jc w:val="center"/>
              <w:textAlignment w:val="center"/>
              <w:rPr>
                <w:rFonts w:ascii="Times New Roman" w:hAnsi="Times New Roman" w:cs="Times New Roman"/>
                <w:b/>
                <w:bCs w:val="0"/>
                <w:iCs/>
                <w:snapToGrid w:val="0"/>
                <w:color w:val="auto"/>
                <w:sz w:val="21"/>
                <w:szCs w:val="21"/>
                <w:highlight w:val="none"/>
                <w:u w:val="single"/>
              </w:rPr>
            </w:pPr>
            <w:r>
              <w:rPr>
                <w:rFonts w:ascii="Times New Roman" w:hAnsi="Times New Roman" w:cs="Times New Roman"/>
                <w:b/>
                <w:bCs w:val="0"/>
                <w:iCs/>
                <w:snapToGrid w:val="0"/>
                <w:color w:val="auto"/>
                <w:sz w:val="21"/>
                <w:szCs w:val="21"/>
                <w:highlight w:val="none"/>
                <w:u w:val="single"/>
              </w:rPr>
              <w:t>项目</w:t>
            </w:r>
          </w:p>
        </w:tc>
        <w:tc>
          <w:tcPr>
            <w:tcW w:w="824" w:type="pct"/>
            <w:vAlign w:val="center"/>
          </w:tcPr>
          <w:p w14:paraId="26430DB1">
            <w:pPr>
              <w:pStyle w:val="584"/>
              <w:kinsoku w:val="0"/>
              <w:overflowPunct w:val="0"/>
              <w:spacing w:line="240" w:lineRule="auto"/>
              <w:ind w:firstLine="0" w:firstLineChars="0"/>
              <w:jc w:val="center"/>
              <w:textAlignment w:val="center"/>
              <w:rPr>
                <w:rFonts w:ascii="Times New Roman" w:hAnsi="Times New Roman" w:cs="Times New Roman"/>
                <w:b/>
                <w:bCs w:val="0"/>
                <w:iCs/>
                <w:snapToGrid w:val="0"/>
                <w:color w:val="auto"/>
                <w:sz w:val="21"/>
                <w:szCs w:val="21"/>
                <w:highlight w:val="none"/>
                <w:u w:val="single"/>
              </w:rPr>
            </w:pPr>
            <w:r>
              <w:rPr>
                <w:rFonts w:ascii="Times New Roman" w:hAnsi="Times New Roman" w:cs="Times New Roman"/>
                <w:b/>
                <w:bCs w:val="0"/>
                <w:iCs/>
                <w:snapToGrid w:val="0"/>
                <w:color w:val="auto"/>
                <w:sz w:val="21"/>
                <w:szCs w:val="21"/>
                <w:highlight w:val="none"/>
                <w:u w:val="single"/>
              </w:rPr>
              <w:t>贝类</w:t>
            </w:r>
            <w:r>
              <w:rPr>
                <w:rFonts w:hint="eastAsia" w:ascii="Times New Roman" w:hAnsi="Times New Roman" w:cs="Times New Roman"/>
                <w:b/>
                <w:bCs w:val="0"/>
                <w:iCs/>
                <w:snapToGrid w:val="0"/>
                <w:color w:val="auto"/>
                <w:sz w:val="21"/>
                <w:szCs w:val="21"/>
                <w:highlight w:val="none"/>
                <w:u w:val="single"/>
              </w:rPr>
              <w:t>一</w:t>
            </w:r>
            <w:r>
              <w:rPr>
                <w:rFonts w:ascii="Times New Roman" w:hAnsi="Times New Roman" w:cs="Times New Roman"/>
                <w:b/>
                <w:bCs w:val="0"/>
                <w:iCs/>
                <w:snapToGrid w:val="0"/>
                <w:color w:val="auto"/>
                <w:sz w:val="21"/>
                <w:szCs w:val="21"/>
                <w:highlight w:val="none"/>
                <w:u w:val="single"/>
              </w:rPr>
              <w:t>类</w:t>
            </w:r>
            <w:r>
              <w:rPr>
                <w:rFonts w:ascii="Times New Roman" w:hAnsi="Times New Roman" w:cs="Times New Roman"/>
                <w:b/>
                <w:bCs w:val="0"/>
                <w:iCs/>
                <w:snapToGrid w:val="0"/>
                <w:color w:val="auto"/>
                <w:spacing w:val="-3"/>
                <w:sz w:val="21"/>
                <w:szCs w:val="21"/>
                <w:highlight w:val="none"/>
                <w:u w:val="single"/>
              </w:rPr>
              <w:t>标</w:t>
            </w:r>
            <w:r>
              <w:rPr>
                <w:rFonts w:ascii="Times New Roman" w:hAnsi="Times New Roman" w:cs="Times New Roman"/>
                <w:b/>
                <w:bCs w:val="0"/>
                <w:iCs/>
                <w:snapToGrid w:val="0"/>
                <w:color w:val="auto"/>
                <w:sz w:val="21"/>
                <w:szCs w:val="21"/>
                <w:highlight w:val="none"/>
                <w:u w:val="single"/>
              </w:rPr>
              <w:t>准</w:t>
            </w:r>
          </w:p>
        </w:tc>
        <w:tc>
          <w:tcPr>
            <w:tcW w:w="824" w:type="pct"/>
            <w:vAlign w:val="center"/>
          </w:tcPr>
          <w:p w14:paraId="7F9CEAE2">
            <w:pPr>
              <w:pStyle w:val="584"/>
              <w:kinsoku w:val="0"/>
              <w:overflowPunct w:val="0"/>
              <w:spacing w:line="240" w:lineRule="auto"/>
              <w:ind w:firstLine="0" w:firstLineChars="0"/>
              <w:jc w:val="center"/>
              <w:textAlignment w:val="center"/>
              <w:rPr>
                <w:rFonts w:ascii="Times New Roman" w:hAnsi="Times New Roman" w:cs="Times New Roman"/>
                <w:b/>
                <w:bCs w:val="0"/>
                <w:iCs/>
                <w:snapToGrid w:val="0"/>
                <w:color w:val="auto"/>
                <w:sz w:val="21"/>
                <w:szCs w:val="21"/>
                <w:highlight w:val="none"/>
                <w:u w:val="single"/>
              </w:rPr>
            </w:pPr>
            <w:r>
              <w:rPr>
                <w:rFonts w:ascii="Times New Roman" w:hAnsi="Times New Roman" w:cs="Times New Roman"/>
                <w:b/>
                <w:bCs w:val="0"/>
                <w:iCs/>
                <w:snapToGrid w:val="0"/>
                <w:color w:val="auto"/>
                <w:sz w:val="21"/>
                <w:szCs w:val="21"/>
                <w:highlight w:val="none"/>
                <w:u w:val="single"/>
              </w:rPr>
              <w:t>贝类</w:t>
            </w:r>
            <w:r>
              <w:rPr>
                <w:rFonts w:hint="eastAsia" w:ascii="Times New Roman" w:hAnsi="Times New Roman" w:cs="Times New Roman"/>
                <w:b/>
                <w:bCs w:val="0"/>
                <w:iCs/>
                <w:snapToGrid w:val="0"/>
                <w:color w:val="auto"/>
                <w:sz w:val="21"/>
                <w:szCs w:val="21"/>
                <w:highlight w:val="none"/>
                <w:u w:val="single"/>
              </w:rPr>
              <w:t>二</w:t>
            </w:r>
            <w:r>
              <w:rPr>
                <w:rFonts w:ascii="Times New Roman" w:hAnsi="Times New Roman" w:cs="Times New Roman"/>
                <w:b/>
                <w:bCs w:val="0"/>
                <w:iCs/>
                <w:snapToGrid w:val="0"/>
                <w:color w:val="auto"/>
                <w:sz w:val="21"/>
                <w:szCs w:val="21"/>
                <w:highlight w:val="none"/>
                <w:u w:val="single"/>
              </w:rPr>
              <w:t>类</w:t>
            </w:r>
            <w:r>
              <w:rPr>
                <w:rFonts w:ascii="Times New Roman" w:hAnsi="Times New Roman" w:cs="Times New Roman"/>
                <w:b/>
                <w:bCs w:val="0"/>
                <w:iCs/>
                <w:snapToGrid w:val="0"/>
                <w:color w:val="auto"/>
                <w:spacing w:val="-3"/>
                <w:sz w:val="21"/>
                <w:szCs w:val="21"/>
                <w:highlight w:val="none"/>
                <w:u w:val="single"/>
              </w:rPr>
              <w:t>标</w:t>
            </w:r>
            <w:r>
              <w:rPr>
                <w:rFonts w:ascii="Times New Roman" w:hAnsi="Times New Roman" w:cs="Times New Roman"/>
                <w:b/>
                <w:bCs w:val="0"/>
                <w:iCs/>
                <w:snapToGrid w:val="0"/>
                <w:color w:val="auto"/>
                <w:sz w:val="21"/>
                <w:szCs w:val="21"/>
                <w:highlight w:val="none"/>
                <w:u w:val="single"/>
              </w:rPr>
              <w:t>准</w:t>
            </w:r>
          </w:p>
        </w:tc>
        <w:tc>
          <w:tcPr>
            <w:tcW w:w="975" w:type="pct"/>
            <w:vAlign w:val="center"/>
          </w:tcPr>
          <w:p w14:paraId="7E6523F8">
            <w:pPr>
              <w:pStyle w:val="584"/>
              <w:kinsoku w:val="0"/>
              <w:overflowPunct w:val="0"/>
              <w:spacing w:line="240" w:lineRule="auto"/>
              <w:ind w:firstLine="0" w:firstLineChars="0"/>
              <w:jc w:val="center"/>
              <w:textAlignment w:val="center"/>
              <w:rPr>
                <w:rFonts w:ascii="Times New Roman" w:hAnsi="Times New Roman" w:cs="Times New Roman"/>
                <w:b/>
                <w:bCs w:val="0"/>
                <w:iCs/>
                <w:snapToGrid w:val="0"/>
                <w:color w:val="auto"/>
                <w:sz w:val="21"/>
                <w:szCs w:val="21"/>
                <w:highlight w:val="none"/>
                <w:u w:val="single"/>
              </w:rPr>
            </w:pPr>
            <w:r>
              <w:rPr>
                <w:rFonts w:ascii="Times New Roman" w:hAnsi="Times New Roman" w:cs="Times New Roman"/>
                <w:b/>
                <w:bCs w:val="0"/>
                <w:iCs/>
                <w:snapToGrid w:val="0"/>
                <w:color w:val="auto"/>
                <w:sz w:val="21"/>
                <w:szCs w:val="21"/>
                <w:highlight w:val="none"/>
                <w:u w:val="single"/>
              </w:rPr>
              <w:t>贝类三类</w:t>
            </w:r>
            <w:r>
              <w:rPr>
                <w:rFonts w:ascii="Times New Roman" w:hAnsi="Times New Roman" w:cs="Times New Roman"/>
                <w:b/>
                <w:bCs w:val="0"/>
                <w:iCs/>
                <w:snapToGrid w:val="0"/>
                <w:color w:val="auto"/>
                <w:spacing w:val="-3"/>
                <w:sz w:val="21"/>
                <w:szCs w:val="21"/>
                <w:highlight w:val="none"/>
                <w:u w:val="single"/>
              </w:rPr>
              <w:t>标</w:t>
            </w:r>
            <w:r>
              <w:rPr>
                <w:rFonts w:ascii="Times New Roman" w:hAnsi="Times New Roman" w:cs="Times New Roman"/>
                <w:b/>
                <w:bCs w:val="0"/>
                <w:iCs/>
                <w:snapToGrid w:val="0"/>
                <w:color w:val="auto"/>
                <w:sz w:val="21"/>
                <w:szCs w:val="21"/>
                <w:highlight w:val="none"/>
                <w:u w:val="single"/>
              </w:rPr>
              <w:t>准</w:t>
            </w:r>
          </w:p>
        </w:tc>
        <w:tc>
          <w:tcPr>
            <w:tcW w:w="901" w:type="pct"/>
            <w:vAlign w:val="center"/>
          </w:tcPr>
          <w:p w14:paraId="0921EFB0">
            <w:pPr>
              <w:pStyle w:val="584"/>
              <w:kinsoku w:val="0"/>
              <w:overflowPunct w:val="0"/>
              <w:spacing w:line="240" w:lineRule="auto"/>
              <w:ind w:firstLine="0" w:firstLineChars="0"/>
              <w:jc w:val="center"/>
              <w:textAlignment w:val="center"/>
              <w:rPr>
                <w:rFonts w:ascii="Times New Roman" w:hAnsi="Times New Roman" w:eastAsia="MS Mincho" w:cs="Times New Roman"/>
                <w:b/>
                <w:bCs w:val="0"/>
                <w:iCs/>
                <w:snapToGrid w:val="0"/>
                <w:color w:val="auto"/>
                <w:sz w:val="21"/>
                <w:szCs w:val="21"/>
                <w:highlight w:val="none"/>
                <w:u w:val="single"/>
              </w:rPr>
            </w:pPr>
            <w:r>
              <w:rPr>
                <w:rFonts w:ascii="Times New Roman" w:hAnsi="Times New Roman" w:cs="Times New Roman"/>
                <w:b/>
                <w:bCs w:val="0"/>
                <w:iCs/>
                <w:snapToGrid w:val="0"/>
                <w:color w:val="auto"/>
                <w:sz w:val="21"/>
                <w:szCs w:val="21"/>
                <w:highlight w:val="none"/>
                <w:u w:val="single"/>
              </w:rPr>
              <w:t>软体</w:t>
            </w:r>
            <w:r>
              <w:rPr>
                <w:rFonts w:ascii="Times New Roman" w:hAnsi="Times New Roman" w:cs="Times New Roman"/>
                <w:b/>
                <w:bCs w:val="0"/>
                <w:iCs/>
                <w:snapToGrid w:val="0"/>
                <w:color w:val="auto"/>
                <w:spacing w:val="-3"/>
                <w:sz w:val="21"/>
                <w:szCs w:val="21"/>
                <w:highlight w:val="none"/>
                <w:u w:val="single"/>
              </w:rPr>
              <w:t>类</w:t>
            </w:r>
            <w:r>
              <w:rPr>
                <w:rFonts w:ascii="Times New Roman" w:hAnsi="Times New Roman" w:cs="Times New Roman"/>
                <w:b/>
                <w:bCs w:val="0"/>
                <w:iCs/>
                <w:snapToGrid w:val="0"/>
                <w:color w:val="auto"/>
                <w:sz w:val="21"/>
                <w:szCs w:val="21"/>
                <w:highlight w:val="none"/>
                <w:u w:val="single"/>
              </w:rPr>
              <w:t>（非双壳贝类）</w:t>
            </w:r>
          </w:p>
        </w:tc>
        <w:tc>
          <w:tcPr>
            <w:tcW w:w="421" w:type="pct"/>
            <w:vAlign w:val="center"/>
          </w:tcPr>
          <w:p w14:paraId="75F4D986">
            <w:pPr>
              <w:pStyle w:val="584"/>
              <w:kinsoku w:val="0"/>
              <w:overflowPunct w:val="0"/>
              <w:spacing w:line="240" w:lineRule="auto"/>
              <w:ind w:firstLine="0" w:firstLineChars="0"/>
              <w:jc w:val="center"/>
              <w:textAlignment w:val="center"/>
              <w:rPr>
                <w:rFonts w:ascii="Times New Roman" w:hAnsi="Times New Roman" w:eastAsia="MS Mincho" w:cs="Times New Roman"/>
                <w:b/>
                <w:bCs w:val="0"/>
                <w:iCs/>
                <w:snapToGrid w:val="0"/>
                <w:color w:val="auto"/>
                <w:sz w:val="21"/>
                <w:szCs w:val="21"/>
                <w:highlight w:val="none"/>
                <w:u w:val="single"/>
              </w:rPr>
            </w:pPr>
            <w:r>
              <w:rPr>
                <w:rFonts w:ascii="Times New Roman" w:hAnsi="Times New Roman" w:cs="Times New Roman"/>
                <w:b/>
                <w:bCs w:val="0"/>
                <w:iCs/>
                <w:snapToGrid w:val="0"/>
                <w:color w:val="auto"/>
                <w:sz w:val="21"/>
                <w:szCs w:val="21"/>
                <w:highlight w:val="none"/>
                <w:u w:val="single"/>
              </w:rPr>
              <w:t>甲壳类</w:t>
            </w:r>
          </w:p>
        </w:tc>
        <w:tc>
          <w:tcPr>
            <w:tcW w:w="490" w:type="pct"/>
            <w:vAlign w:val="center"/>
          </w:tcPr>
          <w:p w14:paraId="4D49D86C">
            <w:pPr>
              <w:pStyle w:val="584"/>
              <w:kinsoku w:val="0"/>
              <w:overflowPunct w:val="0"/>
              <w:spacing w:line="240" w:lineRule="auto"/>
              <w:ind w:firstLine="0" w:firstLineChars="0"/>
              <w:jc w:val="center"/>
              <w:textAlignment w:val="center"/>
              <w:rPr>
                <w:rFonts w:ascii="Times New Roman" w:hAnsi="Times New Roman" w:eastAsia="MS Mincho" w:cs="Times New Roman"/>
                <w:b/>
                <w:bCs w:val="0"/>
                <w:iCs/>
                <w:snapToGrid w:val="0"/>
                <w:color w:val="auto"/>
                <w:sz w:val="21"/>
                <w:szCs w:val="21"/>
                <w:highlight w:val="none"/>
                <w:u w:val="single"/>
              </w:rPr>
            </w:pPr>
            <w:r>
              <w:rPr>
                <w:rFonts w:ascii="Times New Roman" w:hAnsi="Times New Roman" w:cs="Times New Roman"/>
                <w:b/>
                <w:bCs w:val="0"/>
                <w:iCs/>
                <w:snapToGrid w:val="0"/>
                <w:color w:val="auto"/>
                <w:sz w:val="21"/>
                <w:szCs w:val="21"/>
                <w:highlight w:val="none"/>
                <w:u w:val="single"/>
              </w:rPr>
              <w:t>鱼类</w:t>
            </w:r>
          </w:p>
        </w:tc>
      </w:tr>
      <w:tr w14:paraId="7E01BE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5" w:type="pct"/>
            <w:vAlign w:val="center"/>
          </w:tcPr>
          <w:p w14:paraId="2216688A">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铬≤</w:t>
            </w:r>
          </w:p>
        </w:tc>
        <w:tc>
          <w:tcPr>
            <w:tcW w:w="824" w:type="pct"/>
            <w:vAlign w:val="center"/>
          </w:tcPr>
          <w:p w14:paraId="0AAB3C1F">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0.5</w:t>
            </w:r>
          </w:p>
        </w:tc>
        <w:tc>
          <w:tcPr>
            <w:tcW w:w="824" w:type="pct"/>
            <w:vAlign w:val="center"/>
          </w:tcPr>
          <w:p w14:paraId="0FDB0FBD">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hint="eastAsia" w:ascii="Times New Roman" w:hAnsi="Times New Roman" w:cs="Times New Roman"/>
                <w:bCs/>
                <w:iCs/>
                <w:snapToGrid w:val="0"/>
                <w:color w:val="auto"/>
                <w:sz w:val="21"/>
                <w:szCs w:val="21"/>
                <w:highlight w:val="none"/>
                <w:u w:val="single"/>
              </w:rPr>
              <w:t>2</w:t>
            </w:r>
            <w:r>
              <w:rPr>
                <w:rFonts w:ascii="Times New Roman" w:hAnsi="Times New Roman" w:cs="Times New Roman"/>
                <w:bCs/>
                <w:iCs/>
                <w:snapToGrid w:val="0"/>
                <w:color w:val="auto"/>
                <w:sz w:val="21"/>
                <w:szCs w:val="21"/>
                <w:highlight w:val="none"/>
                <w:u w:val="single"/>
              </w:rPr>
              <w:t>.0</w:t>
            </w:r>
          </w:p>
        </w:tc>
        <w:tc>
          <w:tcPr>
            <w:tcW w:w="975" w:type="pct"/>
            <w:vAlign w:val="center"/>
          </w:tcPr>
          <w:p w14:paraId="523AC9A2">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6.0</w:t>
            </w:r>
          </w:p>
        </w:tc>
        <w:tc>
          <w:tcPr>
            <w:tcW w:w="901" w:type="pct"/>
            <w:vAlign w:val="center"/>
          </w:tcPr>
          <w:p w14:paraId="34563CC5">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5.5</w:t>
            </w:r>
          </w:p>
        </w:tc>
        <w:tc>
          <w:tcPr>
            <w:tcW w:w="421" w:type="pct"/>
            <w:vAlign w:val="center"/>
          </w:tcPr>
          <w:p w14:paraId="6B662123">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1.5</w:t>
            </w:r>
          </w:p>
        </w:tc>
        <w:tc>
          <w:tcPr>
            <w:tcW w:w="490" w:type="pct"/>
            <w:vAlign w:val="center"/>
          </w:tcPr>
          <w:p w14:paraId="4812382C">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1.5</w:t>
            </w:r>
          </w:p>
        </w:tc>
      </w:tr>
      <w:tr w14:paraId="78B9AE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5" w:type="pct"/>
            <w:vAlign w:val="center"/>
          </w:tcPr>
          <w:p w14:paraId="23F948BA">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铜≤</w:t>
            </w:r>
          </w:p>
        </w:tc>
        <w:tc>
          <w:tcPr>
            <w:tcW w:w="824" w:type="pct"/>
            <w:vAlign w:val="center"/>
          </w:tcPr>
          <w:p w14:paraId="1435AD79">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10</w:t>
            </w:r>
          </w:p>
        </w:tc>
        <w:tc>
          <w:tcPr>
            <w:tcW w:w="824" w:type="pct"/>
            <w:vAlign w:val="center"/>
          </w:tcPr>
          <w:p w14:paraId="718F7B9D">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hint="eastAsia" w:ascii="Times New Roman" w:hAnsi="Times New Roman" w:cs="Times New Roman"/>
                <w:bCs/>
                <w:iCs/>
                <w:snapToGrid w:val="0"/>
                <w:color w:val="auto"/>
                <w:sz w:val="21"/>
                <w:szCs w:val="21"/>
                <w:highlight w:val="none"/>
                <w:u w:val="single"/>
              </w:rPr>
              <w:t>2</w:t>
            </w:r>
            <w:r>
              <w:rPr>
                <w:rFonts w:ascii="Times New Roman" w:hAnsi="Times New Roman" w:cs="Times New Roman"/>
                <w:bCs/>
                <w:iCs/>
                <w:snapToGrid w:val="0"/>
                <w:color w:val="auto"/>
                <w:sz w:val="21"/>
                <w:szCs w:val="21"/>
                <w:highlight w:val="none"/>
                <w:u w:val="single"/>
              </w:rPr>
              <w:t>5</w:t>
            </w:r>
          </w:p>
        </w:tc>
        <w:tc>
          <w:tcPr>
            <w:tcW w:w="975" w:type="pct"/>
            <w:vAlign w:val="center"/>
          </w:tcPr>
          <w:p w14:paraId="0015064F">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50（牡蛎100）</w:t>
            </w:r>
          </w:p>
        </w:tc>
        <w:tc>
          <w:tcPr>
            <w:tcW w:w="901" w:type="pct"/>
            <w:vAlign w:val="center"/>
          </w:tcPr>
          <w:p w14:paraId="419FC79C">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100</w:t>
            </w:r>
          </w:p>
        </w:tc>
        <w:tc>
          <w:tcPr>
            <w:tcW w:w="421" w:type="pct"/>
            <w:vAlign w:val="center"/>
          </w:tcPr>
          <w:p w14:paraId="29B98D62">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100</w:t>
            </w:r>
          </w:p>
        </w:tc>
        <w:tc>
          <w:tcPr>
            <w:tcW w:w="490" w:type="pct"/>
            <w:vAlign w:val="center"/>
          </w:tcPr>
          <w:p w14:paraId="4E71A452">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20</w:t>
            </w:r>
          </w:p>
        </w:tc>
      </w:tr>
      <w:tr w14:paraId="0E73CD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5" w:type="pct"/>
            <w:vAlign w:val="center"/>
          </w:tcPr>
          <w:p w14:paraId="06705C8E">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锌≤</w:t>
            </w:r>
          </w:p>
        </w:tc>
        <w:tc>
          <w:tcPr>
            <w:tcW w:w="824" w:type="pct"/>
            <w:vAlign w:val="center"/>
          </w:tcPr>
          <w:p w14:paraId="1A98EC54">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20</w:t>
            </w:r>
          </w:p>
        </w:tc>
        <w:tc>
          <w:tcPr>
            <w:tcW w:w="824" w:type="pct"/>
            <w:vAlign w:val="center"/>
          </w:tcPr>
          <w:p w14:paraId="3BC822C7">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hint="eastAsia" w:ascii="Times New Roman" w:hAnsi="Times New Roman" w:cs="Times New Roman"/>
                <w:bCs/>
                <w:iCs/>
                <w:snapToGrid w:val="0"/>
                <w:color w:val="auto"/>
                <w:sz w:val="21"/>
                <w:szCs w:val="21"/>
                <w:highlight w:val="none"/>
                <w:u w:val="single"/>
              </w:rPr>
              <w:t>5</w:t>
            </w:r>
            <w:r>
              <w:rPr>
                <w:rFonts w:ascii="Times New Roman" w:hAnsi="Times New Roman" w:cs="Times New Roman"/>
                <w:bCs/>
                <w:iCs/>
                <w:snapToGrid w:val="0"/>
                <w:color w:val="auto"/>
                <w:sz w:val="21"/>
                <w:szCs w:val="21"/>
                <w:highlight w:val="none"/>
                <w:u w:val="single"/>
              </w:rPr>
              <w:t>0</w:t>
            </w:r>
          </w:p>
        </w:tc>
        <w:tc>
          <w:tcPr>
            <w:tcW w:w="975" w:type="pct"/>
            <w:vAlign w:val="center"/>
          </w:tcPr>
          <w:p w14:paraId="2680317D">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100（牡蛎500）</w:t>
            </w:r>
          </w:p>
        </w:tc>
        <w:tc>
          <w:tcPr>
            <w:tcW w:w="901" w:type="pct"/>
            <w:vAlign w:val="center"/>
          </w:tcPr>
          <w:p w14:paraId="1EF74D1F">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250</w:t>
            </w:r>
          </w:p>
        </w:tc>
        <w:tc>
          <w:tcPr>
            <w:tcW w:w="421" w:type="pct"/>
            <w:vAlign w:val="center"/>
          </w:tcPr>
          <w:p w14:paraId="10566765">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150</w:t>
            </w:r>
          </w:p>
        </w:tc>
        <w:tc>
          <w:tcPr>
            <w:tcW w:w="490" w:type="pct"/>
            <w:vAlign w:val="center"/>
          </w:tcPr>
          <w:p w14:paraId="5DC94BF5">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40</w:t>
            </w:r>
          </w:p>
        </w:tc>
      </w:tr>
      <w:tr w14:paraId="4D1F5B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5" w:type="pct"/>
            <w:vAlign w:val="center"/>
          </w:tcPr>
          <w:p w14:paraId="0BA606E5">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砷≤</w:t>
            </w:r>
          </w:p>
        </w:tc>
        <w:tc>
          <w:tcPr>
            <w:tcW w:w="824" w:type="pct"/>
            <w:vAlign w:val="center"/>
          </w:tcPr>
          <w:p w14:paraId="1012B81F">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1</w:t>
            </w:r>
          </w:p>
        </w:tc>
        <w:tc>
          <w:tcPr>
            <w:tcW w:w="824" w:type="pct"/>
            <w:vAlign w:val="center"/>
          </w:tcPr>
          <w:p w14:paraId="5E3D3930">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hint="eastAsia" w:ascii="Times New Roman" w:hAnsi="Times New Roman" w:cs="Times New Roman"/>
                <w:bCs/>
                <w:iCs/>
                <w:snapToGrid w:val="0"/>
                <w:color w:val="auto"/>
                <w:sz w:val="21"/>
                <w:szCs w:val="21"/>
                <w:highlight w:val="none"/>
                <w:u w:val="single"/>
              </w:rPr>
              <w:t>5</w:t>
            </w:r>
            <w:r>
              <w:rPr>
                <w:rFonts w:ascii="Times New Roman" w:hAnsi="Times New Roman" w:cs="Times New Roman"/>
                <w:bCs/>
                <w:iCs/>
                <w:snapToGrid w:val="0"/>
                <w:color w:val="auto"/>
                <w:sz w:val="21"/>
                <w:szCs w:val="21"/>
                <w:highlight w:val="none"/>
                <w:u w:val="single"/>
              </w:rPr>
              <w:t>.0</w:t>
            </w:r>
          </w:p>
        </w:tc>
        <w:tc>
          <w:tcPr>
            <w:tcW w:w="975" w:type="pct"/>
            <w:vAlign w:val="center"/>
          </w:tcPr>
          <w:p w14:paraId="2833F4F1">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8.0</w:t>
            </w:r>
          </w:p>
        </w:tc>
        <w:tc>
          <w:tcPr>
            <w:tcW w:w="901" w:type="pct"/>
            <w:vAlign w:val="center"/>
          </w:tcPr>
          <w:p w14:paraId="6C48806A">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1</w:t>
            </w:r>
          </w:p>
        </w:tc>
        <w:tc>
          <w:tcPr>
            <w:tcW w:w="421" w:type="pct"/>
            <w:vAlign w:val="center"/>
          </w:tcPr>
          <w:p w14:paraId="34734B8F">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1</w:t>
            </w:r>
          </w:p>
        </w:tc>
        <w:tc>
          <w:tcPr>
            <w:tcW w:w="490" w:type="pct"/>
            <w:vAlign w:val="center"/>
          </w:tcPr>
          <w:p w14:paraId="462679E7">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1</w:t>
            </w:r>
          </w:p>
        </w:tc>
      </w:tr>
      <w:tr w14:paraId="01CF94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5" w:type="pct"/>
            <w:vAlign w:val="center"/>
          </w:tcPr>
          <w:p w14:paraId="46FE5E48">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镉≤</w:t>
            </w:r>
          </w:p>
        </w:tc>
        <w:tc>
          <w:tcPr>
            <w:tcW w:w="824" w:type="pct"/>
            <w:vAlign w:val="center"/>
          </w:tcPr>
          <w:p w14:paraId="3DBA0131">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0.2</w:t>
            </w:r>
          </w:p>
        </w:tc>
        <w:tc>
          <w:tcPr>
            <w:tcW w:w="824" w:type="pct"/>
            <w:vAlign w:val="center"/>
          </w:tcPr>
          <w:p w14:paraId="22E61871">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hint="eastAsia" w:ascii="Times New Roman" w:hAnsi="Times New Roman" w:cs="Times New Roman"/>
                <w:bCs/>
                <w:iCs/>
                <w:snapToGrid w:val="0"/>
                <w:color w:val="auto"/>
                <w:sz w:val="21"/>
                <w:szCs w:val="21"/>
                <w:highlight w:val="none"/>
                <w:u w:val="single"/>
              </w:rPr>
              <w:t>2</w:t>
            </w:r>
            <w:r>
              <w:rPr>
                <w:rFonts w:ascii="Times New Roman" w:hAnsi="Times New Roman" w:cs="Times New Roman"/>
                <w:bCs/>
                <w:iCs/>
                <w:snapToGrid w:val="0"/>
                <w:color w:val="auto"/>
                <w:sz w:val="21"/>
                <w:szCs w:val="21"/>
                <w:highlight w:val="none"/>
                <w:u w:val="single"/>
              </w:rPr>
              <w:t>.0</w:t>
            </w:r>
          </w:p>
        </w:tc>
        <w:tc>
          <w:tcPr>
            <w:tcW w:w="975" w:type="pct"/>
            <w:vAlign w:val="center"/>
          </w:tcPr>
          <w:p w14:paraId="2032EC26">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5.0</w:t>
            </w:r>
          </w:p>
        </w:tc>
        <w:tc>
          <w:tcPr>
            <w:tcW w:w="901" w:type="pct"/>
            <w:vAlign w:val="center"/>
          </w:tcPr>
          <w:p w14:paraId="5C9A221A">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5.5</w:t>
            </w:r>
          </w:p>
        </w:tc>
        <w:tc>
          <w:tcPr>
            <w:tcW w:w="421" w:type="pct"/>
            <w:vAlign w:val="center"/>
          </w:tcPr>
          <w:p w14:paraId="201B3768">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2.0</w:t>
            </w:r>
          </w:p>
        </w:tc>
        <w:tc>
          <w:tcPr>
            <w:tcW w:w="490" w:type="pct"/>
            <w:vAlign w:val="center"/>
          </w:tcPr>
          <w:p w14:paraId="4F296334">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0.6</w:t>
            </w:r>
          </w:p>
        </w:tc>
      </w:tr>
      <w:tr w14:paraId="024C42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5" w:type="pct"/>
            <w:vAlign w:val="center"/>
          </w:tcPr>
          <w:p w14:paraId="1376B38B">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汞≤</w:t>
            </w:r>
          </w:p>
        </w:tc>
        <w:tc>
          <w:tcPr>
            <w:tcW w:w="824" w:type="pct"/>
            <w:vAlign w:val="center"/>
          </w:tcPr>
          <w:p w14:paraId="7A0D354C">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0.05</w:t>
            </w:r>
          </w:p>
        </w:tc>
        <w:tc>
          <w:tcPr>
            <w:tcW w:w="824" w:type="pct"/>
            <w:vAlign w:val="center"/>
          </w:tcPr>
          <w:p w14:paraId="0BF82033">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hint="eastAsia" w:ascii="Times New Roman" w:hAnsi="Times New Roman" w:cs="Times New Roman"/>
                <w:bCs/>
                <w:iCs/>
                <w:snapToGrid w:val="0"/>
                <w:color w:val="auto"/>
                <w:sz w:val="21"/>
                <w:szCs w:val="21"/>
                <w:highlight w:val="none"/>
                <w:u w:val="single"/>
              </w:rPr>
              <w:t>0</w:t>
            </w:r>
            <w:r>
              <w:rPr>
                <w:rFonts w:ascii="Times New Roman" w:hAnsi="Times New Roman" w:cs="Times New Roman"/>
                <w:bCs/>
                <w:iCs/>
                <w:snapToGrid w:val="0"/>
                <w:color w:val="auto"/>
                <w:sz w:val="21"/>
                <w:szCs w:val="21"/>
                <w:highlight w:val="none"/>
                <w:u w:val="single"/>
              </w:rPr>
              <w:t>.10</w:t>
            </w:r>
          </w:p>
        </w:tc>
        <w:tc>
          <w:tcPr>
            <w:tcW w:w="975" w:type="pct"/>
            <w:vAlign w:val="center"/>
          </w:tcPr>
          <w:p w14:paraId="663720FA">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0.30</w:t>
            </w:r>
          </w:p>
        </w:tc>
        <w:tc>
          <w:tcPr>
            <w:tcW w:w="901" w:type="pct"/>
            <w:vAlign w:val="center"/>
          </w:tcPr>
          <w:p w14:paraId="6BF906C3">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0.3</w:t>
            </w:r>
          </w:p>
        </w:tc>
        <w:tc>
          <w:tcPr>
            <w:tcW w:w="421" w:type="pct"/>
            <w:vAlign w:val="center"/>
          </w:tcPr>
          <w:p w14:paraId="4B854EEA">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0.2</w:t>
            </w:r>
          </w:p>
        </w:tc>
        <w:tc>
          <w:tcPr>
            <w:tcW w:w="490" w:type="pct"/>
            <w:vAlign w:val="center"/>
          </w:tcPr>
          <w:p w14:paraId="54314C63">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0.3</w:t>
            </w:r>
          </w:p>
        </w:tc>
      </w:tr>
      <w:tr w14:paraId="5CF128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5" w:type="pct"/>
            <w:vAlign w:val="center"/>
          </w:tcPr>
          <w:p w14:paraId="42A35F6A">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铅≤</w:t>
            </w:r>
          </w:p>
        </w:tc>
        <w:tc>
          <w:tcPr>
            <w:tcW w:w="824" w:type="pct"/>
            <w:vAlign w:val="center"/>
          </w:tcPr>
          <w:p w14:paraId="317E8E35">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0.1</w:t>
            </w:r>
          </w:p>
        </w:tc>
        <w:tc>
          <w:tcPr>
            <w:tcW w:w="824" w:type="pct"/>
            <w:vAlign w:val="center"/>
          </w:tcPr>
          <w:p w14:paraId="69E127D4">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hint="eastAsia" w:ascii="Times New Roman" w:hAnsi="Times New Roman" w:cs="Times New Roman"/>
                <w:bCs/>
                <w:iCs/>
                <w:snapToGrid w:val="0"/>
                <w:color w:val="auto"/>
                <w:sz w:val="21"/>
                <w:szCs w:val="21"/>
                <w:highlight w:val="none"/>
                <w:u w:val="single"/>
              </w:rPr>
              <w:t>2</w:t>
            </w:r>
            <w:r>
              <w:rPr>
                <w:rFonts w:ascii="Times New Roman" w:hAnsi="Times New Roman" w:cs="Times New Roman"/>
                <w:bCs/>
                <w:iCs/>
                <w:snapToGrid w:val="0"/>
                <w:color w:val="auto"/>
                <w:sz w:val="21"/>
                <w:szCs w:val="21"/>
                <w:highlight w:val="none"/>
                <w:u w:val="single"/>
              </w:rPr>
              <w:t>.0</w:t>
            </w:r>
          </w:p>
        </w:tc>
        <w:tc>
          <w:tcPr>
            <w:tcW w:w="975" w:type="pct"/>
            <w:vAlign w:val="center"/>
          </w:tcPr>
          <w:p w14:paraId="0A0334B1">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6.0</w:t>
            </w:r>
          </w:p>
        </w:tc>
        <w:tc>
          <w:tcPr>
            <w:tcW w:w="901" w:type="pct"/>
            <w:vAlign w:val="center"/>
          </w:tcPr>
          <w:p w14:paraId="380911CA">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10</w:t>
            </w:r>
          </w:p>
        </w:tc>
        <w:tc>
          <w:tcPr>
            <w:tcW w:w="421" w:type="pct"/>
            <w:vAlign w:val="center"/>
          </w:tcPr>
          <w:p w14:paraId="4EFC41A8">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2</w:t>
            </w:r>
          </w:p>
        </w:tc>
        <w:tc>
          <w:tcPr>
            <w:tcW w:w="490" w:type="pct"/>
            <w:vAlign w:val="center"/>
          </w:tcPr>
          <w:p w14:paraId="3E6FAA9D">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2</w:t>
            </w:r>
          </w:p>
        </w:tc>
      </w:tr>
      <w:tr w14:paraId="720115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5" w:type="pct"/>
            <w:vAlign w:val="center"/>
          </w:tcPr>
          <w:p w14:paraId="2A9A1420">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石油烃</w:t>
            </w:r>
          </w:p>
        </w:tc>
        <w:tc>
          <w:tcPr>
            <w:tcW w:w="824" w:type="pct"/>
            <w:vAlign w:val="center"/>
          </w:tcPr>
          <w:p w14:paraId="429AE26B">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15</w:t>
            </w:r>
          </w:p>
        </w:tc>
        <w:tc>
          <w:tcPr>
            <w:tcW w:w="824" w:type="pct"/>
            <w:vAlign w:val="center"/>
          </w:tcPr>
          <w:p w14:paraId="12BF3650">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hint="eastAsia" w:ascii="Times New Roman" w:hAnsi="Times New Roman" w:cs="Times New Roman"/>
                <w:bCs/>
                <w:iCs/>
                <w:snapToGrid w:val="0"/>
                <w:color w:val="auto"/>
                <w:sz w:val="21"/>
                <w:szCs w:val="21"/>
                <w:highlight w:val="none"/>
                <w:u w:val="single"/>
              </w:rPr>
              <w:t>5</w:t>
            </w:r>
            <w:r>
              <w:rPr>
                <w:rFonts w:ascii="Times New Roman" w:hAnsi="Times New Roman" w:cs="Times New Roman"/>
                <w:bCs/>
                <w:iCs/>
                <w:snapToGrid w:val="0"/>
                <w:color w:val="auto"/>
                <w:sz w:val="21"/>
                <w:szCs w:val="21"/>
                <w:highlight w:val="none"/>
                <w:u w:val="single"/>
              </w:rPr>
              <w:t>0</w:t>
            </w:r>
          </w:p>
        </w:tc>
        <w:tc>
          <w:tcPr>
            <w:tcW w:w="975" w:type="pct"/>
            <w:vAlign w:val="center"/>
          </w:tcPr>
          <w:p w14:paraId="2C5387F8">
            <w:pPr>
              <w:pStyle w:val="584"/>
              <w:kinsoku w:val="0"/>
              <w:overflowPunct w:val="0"/>
              <w:spacing w:line="240" w:lineRule="auto"/>
              <w:ind w:firstLine="0" w:firstLineChars="0"/>
              <w:jc w:val="center"/>
              <w:textAlignment w:val="center"/>
              <w:rPr>
                <w:rFonts w:ascii="Times New Roman" w:hAnsi="Times New Roman"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50</w:t>
            </w:r>
          </w:p>
        </w:tc>
        <w:tc>
          <w:tcPr>
            <w:tcW w:w="901" w:type="pct"/>
            <w:vAlign w:val="center"/>
          </w:tcPr>
          <w:p w14:paraId="1B93F41C">
            <w:pPr>
              <w:pStyle w:val="584"/>
              <w:kinsoku w:val="0"/>
              <w:overflowPunct w:val="0"/>
              <w:spacing w:line="240" w:lineRule="auto"/>
              <w:ind w:firstLine="0" w:firstLineChars="0"/>
              <w:jc w:val="center"/>
              <w:textAlignment w:val="center"/>
              <w:rPr>
                <w:rFonts w:ascii="Times New Roman" w:hAnsi="Times New Roman" w:eastAsia="MS Mincho" w:cs="Times New Roman"/>
                <w:bCs/>
                <w:iCs/>
                <w:snapToGrid w:val="0"/>
                <w:color w:val="auto"/>
                <w:sz w:val="21"/>
                <w:szCs w:val="21"/>
                <w:highlight w:val="none"/>
                <w:u w:val="single"/>
                <w:lang w:eastAsia="ja-JP"/>
              </w:rPr>
            </w:pPr>
            <w:r>
              <w:rPr>
                <w:rFonts w:ascii="Times New Roman" w:hAnsi="Times New Roman" w:cs="Times New Roman"/>
                <w:bCs/>
                <w:iCs/>
                <w:snapToGrid w:val="0"/>
                <w:color w:val="auto"/>
                <w:sz w:val="21"/>
                <w:szCs w:val="21"/>
                <w:highlight w:val="none"/>
                <w:u w:val="single"/>
              </w:rPr>
              <w:t>20</w:t>
            </w:r>
          </w:p>
        </w:tc>
        <w:tc>
          <w:tcPr>
            <w:tcW w:w="421" w:type="pct"/>
            <w:vAlign w:val="center"/>
          </w:tcPr>
          <w:p w14:paraId="1608A6CC">
            <w:pPr>
              <w:pStyle w:val="584"/>
              <w:kinsoku w:val="0"/>
              <w:overflowPunct w:val="0"/>
              <w:spacing w:line="240" w:lineRule="auto"/>
              <w:ind w:firstLine="0" w:firstLineChars="0"/>
              <w:jc w:val="center"/>
              <w:textAlignment w:val="center"/>
              <w:rPr>
                <w:rFonts w:ascii="Times New Roman" w:hAnsi="Times New Roman" w:eastAsia="MS Mincho"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20</w:t>
            </w:r>
          </w:p>
        </w:tc>
        <w:tc>
          <w:tcPr>
            <w:tcW w:w="490" w:type="pct"/>
            <w:vAlign w:val="center"/>
          </w:tcPr>
          <w:p w14:paraId="64F3A4AB">
            <w:pPr>
              <w:pStyle w:val="584"/>
              <w:kinsoku w:val="0"/>
              <w:overflowPunct w:val="0"/>
              <w:spacing w:line="240" w:lineRule="auto"/>
              <w:ind w:firstLine="0" w:firstLineChars="0"/>
              <w:jc w:val="center"/>
              <w:textAlignment w:val="center"/>
              <w:rPr>
                <w:rFonts w:ascii="Times New Roman" w:hAnsi="Times New Roman" w:eastAsia="MS Mincho" w:cs="Times New Roman"/>
                <w:bCs/>
                <w:iCs/>
                <w:snapToGrid w:val="0"/>
                <w:color w:val="auto"/>
                <w:sz w:val="21"/>
                <w:szCs w:val="21"/>
                <w:highlight w:val="none"/>
                <w:u w:val="single"/>
              </w:rPr>
            </w:pPr>
            <w:r>
              <w:rPr>
                <w:rFonts w:ascii="Times New Roman" w:hAnsi="Times New Roman" w:cs="Times New Roman"/>
                <w:bCs/>
                <w:iCs/>
                <w:snapToGrid w:val="0"/>
                <w:color w:val="auto"/>
                <w:sz w:val="21"/>
                <w:szCs w:val="21"/>
                <w:highlight w:val="none"/>
                <w:u w:val="single"/>
              </w:rPr>
              <w:t>20</w:t>
            </w:r>
          </w:p>
        </w:tc>
      </w:tr>
    </w:tbl>
    <w:p w14:paraId="1008576F">
      <w:pPr>
        <w:ind w:firstLine="480"/>
        <w:rPr>
          <w:color w:val="auto"/>
          <w:highlight w:val="none"/>
          <w:u w:val="single"/>
        </w:rPr>
      </w:pPr>
    </w:p>
    <w:p w14:paraId="13C754A1">
      <w:pPr>
        <w:ind w:firstLine="480"/>
        <w:rPr>
          <w:color w:val="auto"/>
          <w:highlight w:val="none"/>
          <w:u w:val="single"/>
        </w:rPr>
      </w:pPr>
    </w:p>
    <w:p w14:paraId="5A7D6DA0">
      <w:pPr>
        <w:pStyle w:val="7"/>
        <w:numPr>
          <w:ilvl w:val="2"/>
          <w:numId w:val="9"/>
        </w:numPr>
        <w:rPr>
          <w:color w:val="auto"/>
          <w:sz w:val="28"/>
          <w:highlight w:val="none"/>
          <w:u w:val="single"/>
        </w:rPr>
      </w:pPr>
      <w:r>
        <w:rPr>
          <w:color w:val="auto"/>
          <w:sz w:val="28"/>
          <w:highlight w:val="none"/>
          <w:u w:val="single"/>
        </w:rPr>
        <w:t>污染物排放标准</w:t>
      </w:r>
    </w:p>
    <w:p w14:paraId="18E38CA9">
      <w:pPr>
        <w:pStyle w:val="533"/>
        <w:numPr>
          <w:ilvl w:val="3"/>
          <w:numId w:val="9"/>
        </w:numPr>
        <w:rPr>
          <w:color w:val="auto"/>
          <w:szCs w:val="24"/>
          <w:highlight w:val="none"/>
        </w:rPr>
      </w:pPr>
      <w:r>
        <w:rPr>
          <w:color w:val="auto"/>
          <w:szCs w:val="24"/>
          <w:highlight w:val="none"/>
        </w:rPr>
        <w:t>大气污染物</w:t>
      </w:r>
    </w:p>
    <w:p w14:paraId="6C97FAB2">
      <w:pPr>
        <w:ind w:firstLine="480"/>
        <w:rPr>
          <w:bCs/>
          <w:color w:val="auto"/>
          <w:highlight w:val="none"/>
        </w:rPr>
      </w:pPr>
      <w:r>
        <w:rPr>
          <w:bCs/>
          <w:color w:val="auto"/>
          <w:highlight w:val="none"/>
        </w:rPr>
        <w:t>本项目粉尘、二甲苯执行《大气污染物综合排放标准》（GB16297-1996）周界外浓度最高点无组织排放监控浓度限值；</w:t>
      </w:r>
      <w:r>
        <w:rPr>
          <w:color w:val="auto"/>
          <w:highlight w:val="none"/>
        </w:rPr>
        <w:t>厂区内</w:t>
      </w:r>
      <w:r>
        <w:rPr>
          <w:rFonts w:hint="eastAsia"/>
          <w:color w:val="auto"/>
          <w:highlight w:val="none"/>
        </w:rPr>
        <w:t>挥发性有机物</w:t>
      </w:r>
      <w:r>
        <w:rPr>
          <w:color w:val="auto"/>
          <w:highlight w:val="none"/>
        </w:rPr>
        <w:t>执行《挥发性有机物无组织排放控制标准》（GB37822-2019）附录A中厂区内</w:t>
      </w:r>
      <w:r>
        <w:rPr>
          <w:rFonts w:hint="eastAsia"/>
          <w:color w:val="auto"/>
          <w:highlight w:val="none"/>
        </w:rPr>
        <w:t>挥发性有机物</w:t>
      </w:r>
      <w:r>
        <w:rPr>
          <w:color w:val="auto"/>
          <w:highlight w:val="none"/>
        </w:rPr>
        <w:t>无组织排放限值。</w:t>
      </w:r>
      <w:r>
        <w:rPr>
          <w:bCs/>
          <w:color w:val="auto"/>
          <w:highlight w:val="none"/>
        </w:rPr>
        <w:t>船舶废气排放执行《MARPOL73/78》公约标准。标准值详见表1.3-</w:t>
      </w:r>
      <w:r>
        <w:rPr>
          <w:rFonts w:hint="eastAsia"/>
          <w:bCs/>
          <w:color w:val="auto"/>
          <w:highlight w:val="none"/>
        </w:rPr>
        <w:t>5</w:t>
      </w:r>
      <w:r>
        <w:rPr>
          <w:bCs/>
          <w:color w:val="auto"/>
          <w:highlight w:val="none"/>
        </w:rPr>
        <w:t>~1.3-</w:t>
      </w:r>
      <w:r>
        <w:rPr>
          <w:rFonts w:hint="eastAsia"/>
          <w:bCs/>
          <w:color w:val="auto"/>
          <w:highlight w:val="none"/>
        </w:rPr>
        <w:t>7</w:t>
      </w:r>
      <w:r>
        <w:rPr>
          <w:bCs/>
          <w:color w:val="auto"/>
          <w:highlight w:val="none"/>
        </w:rPr>
        <w:t>。</w:t>
      </w:r>
    </w:p>
    <w:p w14:paraId="1D796D8F">
      <w:pPr>
        <w:pStyle w:val="38"/>
        <w:spacing w:after="0" w:line="240" w:lineRule="auto"/>
        <w:ind w:firstLine="0" w:firstLineChars="0"/>
        <w:jc w:val="center"/>
        <w:rPr>
          <w:b/>
          <w:color w:val="auto"/>
          <w:sz w:val="21"/>
          <w:szCs w:val="21"/>
          <w:highlight w:val="none"/>
        </w:rPr>
      </w:pPr>
      <w:r>
        <w:rPr>
          <w:b/>
          <w:color w:val="auto"/>
          <w:sz w:val="21"/>
          <w:szCs w:val="21"/>
          <w:highlight w:val="none"/>
        </w:rPr>
        <w:t>表1.3-5  《大气污染物综合排放标准》（GB16297-1996）（摘录）</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89"/>
        <w:gridCol w:w="2636"/>
        <w:gridCol w:w="2794"/>
        <w:gridCol w:w="2861"/>
      </w:tblGrid>
      <w:tr w14:paraId="322DDD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3" w:type="pct"/>
            <w:vMerge w:val="restart"/>
            <w:vAlign w:val="center"/>
          </w:tcPr>
          <w:p w14:paraId="566CDA32">
            <w:pPr>
              <w:pStyle w:val="523"/>
              <w:spacing w:line="240" w:lineRule="auto"/>
              <w:ind w:left="0" w:leftChars="0" w:right="0" w:rightChars="0"/>
              <w:rPr>
                <w:b/>
                <w:bCs w:val="0"/>
                <w:color w:val="auto"/>
                <w:highlight w:val="none"/>
              </w:rPr>
            </w:pPr>
            <w:r>
              <w:rPr>
                <w:b/>
                <w:bCs w:val="0"/>
                <w:color w:val="auto"/>
                <w:highlight w:val="none"/>
              </w:rPr>
              <w:t>序号</w:t>
            </w:r>
          </w:p>
        </w:tc>
        <w:tc>
          <w:tcPr>
            <w:tcW w:w="1420" w:type="pct"/>
            <w:vMerge w:val="restart"/>
            <w:vAlign w:val="center"/>
          </w:tcPr>
          <w:p w14:paraId="28FB8270">
            <w:pPr>
              <w:pStyle w:val="523"/>
              <w:spacing w:line="240" w:lineRule="auto"/>
              <w:ind w:left="0" w:leftChars="0" w:right="0" w:rightChars="0"/>
              <w:rPr>
                <w:b/>
                <w:bCs w:val="0"/>
                <w:color w:val="auto"/>
                <w:highlight w:val="none"/>
              </w:rPr>
            </w:pPr>
            <w:r>
              <w:rPr>
                <w:b/>
                <w:bCs w:val="0"/>
                <w:color w:val="auto"/>
                <w:highlight w:val="none"/>
              </w:rPr>
              <w:t>污染物</w:t>
            </w:r>
          </w:p>
        </w:tc>
        <w:tc>
          <w:tcPr>
            <w:tcW w:w="3046" w:type="pct"/>
            <w:gridSpan w:val="2"/>
            <w:vAlign w:val="center"/>
          </w:tcPr>
          <w:p w14:paraId="53C7C719">
            <w:pPr>
              <w:pStyle w:val="523"/>
              <w:spacing w:line="240" w:lineRule="auto"/>
              <w:ind w:left="0" w:leftChars="0" w:right="0" w:rightChars="0"/>
              <w:rPr>
                <w:b/>
                <w:bCs w:val="0"/>
                <w:color w:val="auto"/>
                <w:highlight w:val="none"/>
              </w:rPr>
            </w:pPr>
            <w:r>
              <w:rPr>
                <w:b/>
                <w:bCs w:val="0"/>
                <w:color w:val="auto"/>
                <w:highlight w:val="none"/>
              </w:rPr>
              <w:t>无组织排放监测浓度限值</w:t>
            </w:r>
          </w:p>
        </w:tc>
      </w:tr>
      <w:tr w14:paraId="627995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3" w:type="pct"/>
            <w:vMerge w:val="continue"/>
            <w:vAlign w:val="center"/>
          </w:tcPr>
          <w:p w14:paraId="249F1124">
            <w:pPr>
              <w:pStyle w:val="523"/>
              <w:spacing w:line="240" w:lineRule="auto"/>
              <w:ind w:left="0" w:leftChars="0" w:right="0" w:rightChars="0"/>
              <w:rPr>
                <w:b/>
                <w:bCs w:val="0"/>
                <w:color w:val="auto"/>
                <w:highlight w:val="none"/>
              </w:rPr>
            </w:pPr>
          </w:p>
        </w:tc>
        <w:tc>
          <w:tcPr>
            <w:tcW w:w="1420" w:type="pct"/>
            <w:vMerge w:val="continue"/>
            <w:vAlign w:val="center"/>
          </w:tcPr>
          <w:p w14:paraId="05616840">
            <w:pPr>
              <w:pStyle w:val="523"/>
              <w:spacing w:line="240" w:lineRule="auto"/>
              <w:ind w:left="0" w:leftChars="0" w:right="0" w:rightChars="0"/>
              <w:rPr>
                <w:b/>
                <w:bCs w:val="0"/>
                <w:color w:val="auto"/>
                <w:highlight w:val="none"/>
              </w:rPr>
            </w:pPr>
          </w:p>
        </w:tc>
        <w:tc>
          <w:tcPr>
            <w:tcW w:w="1505" w:type="pct"/>
            <w:vAlign w:val="center"/>
          </w:tcPr>
          <w:p w14:paraId="04E90E62">
            <w:pPr>
              <w:pStyle w:val="523"/>
              <w:spacing w:line="240" w:lineRule="auto"/>
              <w:ind w:left="0" w:leftChars="0" w:right="0" w:rightChars="0"/>
              <w:rPr>
                <w:b/>
                <w:bCs w:val="0"/>
                <w:color w:val="auto"/>
                <w:highlight w:val="none"/>
              </w:rPr>
            </w:pPr>
            <w:r>
              <w:rPr>
                <w:b/>
                <w:bCs w:val="0"/>
                <w:color w:val="auto"/>
                <w:highlight w:val="none"/>
              </w:rPr>
              <w:t>监控点</w:t>
            </w:r>
          </w:p>
        </w:tc>
        <w:tc>
          <w:tcPr>
            <w:tcW w:w="1541" w:type="pct"/>
            <w:vAlign w:val="center"/>
          </w:tcPr>
          <w:p w14:paraId="7BD982BD">
            <w:pPr>
              <w:pStyle w:val="523"/>
              <w:spacing w:line="240" w:lineRule="auto"/>
              <w:ind w:left="0" w:leftChars="0" w:right="0" w:rightChars="0"/>
              <w:rPr>
                <w:b/>
                <w:bCs w:val="0"/>
                <w:color w:val="auto"/>
                <w:highlight w:val="none"/>
              </w:rPr>
            </w:pPr>
            <w:r>
              <w:rPr>
                <w:b/>
                <w:bCs w:val="0"/>
                <w:color w:val="auto"/>
                <w:highlight w:val="none"/>
              </w:rPr>
              <w:t>浓度（mg/m</w:t>
            </w:r>
            <w:r>
              <w:rPr>
                <w:b/>
                <w:bCs w:val="0"/>
                <w:color w:val="auto"/>
                <w:highlight w:val="none"/>
                <w:vertAlign w:val="superscript"/>
              </w:rPr>
              <w:t>3</w:t>
            </w:r>
            <w:r>
              <w:rPr>
                <w:b/>
                <w:bCs w:val="0"/>
                <w:color w:val="auto"/>
                <w:highlight w:val="none"/>
              </w:rPr>
              <w:t>）</w:t>
            </w:r>
          </w:p>
        </w:tc>
      </w:tr>
      <w:tr w14:paraId="36769A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3" w:type="pct"/>
            <w:vAlign w:val="center"/>
          </w:tcPr>
          <w:p w14:paraId="6D5FBD8C">
            <w:pPr>
              <w:pStyle w:val="523"/>
              <w:spacing w:line="240" w:lineRule="auto"/>
              <w:ind w:left="0" w:leftChars="0" w:right="0" w:rightChars="0"/>
              <w:rPr>
                <w:color w:val="auto"/>
                <w:highlight w:val="none"/>
              </w:rPr>
            </w:pPr>
            <w:r>
              <w:rPr>
                <w:color w:val="auto"/>
                <w:highlight w:val="none"/>
              </w:rPr>
              <w:t>1</w:t>
            </w:r>
          </w:p>
        </w:tc>
        <w:tc>
          <w:tcPr>
            <w:tcW w:w="1420" w:type="pct"/>
            <w:vAlign w:val="center"/>
          </w:tcPr>
          <w:p w14:paraId="0CF78306">
            <w:pPr>
              <w:pStyle w:val="523"/>
              <w:spacing w:line="240" w:lineRule="auto"/>
              <w:ind w:left="0" w:leftChars="0" w:right="0" w:rightChars="0"/>
              <w:rPr>
                <w:color w:val="auto"/>
                <w:highlight w:val="none"/>
              </w:rPr>
            </w:pPr>
            <w:r>
              <w:rPr>
                <w:color w:val="auto"/>
                <w:highlight w:val="none"/>
              </w:rPr>
              <w:t>总悬浮颗粒物（TSP）</w:t>
            </w:r>
          </w:p>
        </w:tc>
        <w:tc>
          <w:tcPr>
            <w:tcW w:w="1505" w:type="pct"/>
            <w:vMerge w:val="restart"/>
            <w:vAlign w:val="center"/>
          </w:tcPr>
          <w:p w14:paraId="0E6A24AC">
            <w:pPr>
              <w:pStyle w:val="523"/>
              <w:spacing w:line="240" w:lineRule="auto"/>
              <w:ind w:left="0" w:leftChars="0" w:right="0" w:rightChars="0"/>
              <w:rPr>
                <w:color w:val="auto"/>
                <w:highlight w:val="none"/>
              </w:rPr>
            </w:pPr>
            <w:r>
              <w:rPr>
                <w:color w:val="auto"/>
                <w:highlight w:val="none"/>
              </w:rPr>
              <w:t>周界外浓度最高点</w:t>
            </w:r>
          </w:p>
        </w:tc>
        <w:tc>
          <w:tcPr>
            <w:tcW w:w="1541" w:type="pct"/>
            <w:vAlign w:val="center"/>
          </w:tcPr>
          <w:p w14:paraId="190D8366">
            <w:pPr>
              <w:pStyle w:val="523"/>
              <w:spacing w:line="240" w:lineRule="auto"/>
              <w:ind w:left="0" w:leftChars="0" w:right="0" w:rightChars="0"/>
              <w:rPr>
                <w:color w:val="auto"/>
                <w:highlight w:val="none"/>
              </w:rPr>
            </w:pPr>
            <w:r>
              <w:rPr>
                <w:color w:val="auto"/>
                <w:highlight w:val="none"/>
              </w:rPr>
              <w:t>1.0</w:t>
            </w:r>
          </w:p>
        </w:tc>
      </w:tr>
      <w:tr w14:paraId="0E24596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3" w:type="pct"/>
            <w:vAlign w:val="center"/>
          </w:tcPr>
          <w:p w14:paraId="7F094E6F">
            <w:pPr>
              <w:pStyle w:val="523"/>
              <w:spacing w:line="240" w:lineRule="auto"/>
              <w:ind w:left="0" w:leftChars="0" w:right="0" w:rightChars="0"/>
              <w:rPr>
                <w:color w:val="auto"/>
                <w:highlight w:val="none"/>
              </w:rPr>
            </w:pPr>
            <w:r>
              <w:rPr>
                <w:color w:val="auto"/>
                <w:highlight w:val="none"/>
              </w:rPr>
              <w:t>2</w:t>
            </w:r>
          </w:p>
        </w:tc>
        <w:tc>
          <w:tcPr>
            <w:tcW w:w="1420" w:type="pct"/>
            <w:vAlign w:val="center"/>
          </w:tcPr>
          <w:p w14:paraId="231304D1">
            <w:pPr>
              <w:pStyle w:val="523"/>
              <w:spacing w:line="240" w:lineRule="auto"/>
              <w:ind w:left="0" w:leftChars="0" w:right="0" w:rightChars="0"/>
              <w:rPr>
                <w:color w:val="auto"/>
                <w:highlight w:val="none"/>
              </w:rPr>
            </w:pPr>
            <w:r>
              <w:rPr>
                <w:color w:val="auto"/>
                <w:highlight w:val="none"/>
              </w:rPr>
              <w:t>SO</w:t>
            </w:r>
            <w:r>
              <w:rPr>
                <w:color w:val="auto"/>
                <w:highlight w:val="none"/>
                <w:vertAlign w:val="subscript"/>
              </w:rPr>
              <w:t>2</w:t>
            </w:r>
          </w:p>
        </w:tc>
        <w:tc>
          <w:tcPr>
            <w:tcW w:w="1505" w:type="pct"/>
            <w:vMerge w:val="continue"/>
            <w:vAlign w:val="center"/>
          </w:tcPr>
          <w:p w14:paraId="2BAC8F95">
            <w:pPr>
              <w:pStyle w:val="523"/>
              <w:spacing w:line="240" w:lineRule="auto"/>
              <w:ind w:left="0" w:leftChars="0" w:right="0" w:rightChars="0"/>
              <w:rPr>
                <w:color w:val="auto"/>
                <w:highlight w:val="none"/>
              </w:rPr>
            </w:pPr>
          </w:p>
        </w:tc>
        <w:tc>
          <w:tcPr>
            <w:tcW w:w="1541" w:type="pct"/>
            <w:vAlign w:val="center"/>
          </w:tcPr>
          <w:p w14:paraId="160D0FD0">
            <w:pPr>
              <w:pStyle w:val="523"/>
              <w:spacing w:line="240" w:lineRule="auto"/>
              <w:ind w:left="0" w:leftChars="0" w:right="0" w:rightChars="0"/>
              <w:rPr>
                <w:color w:val="auto"/>
                <w:highlight w:val="none"/>
              </w:rPr>
            </w:pPr>
            <w:r>
              <w:rPr>
                <w:color w:val="auto"/>
                <w:highlight w:val="none"/>
              </w:rPr>
              <w:t>0.4</w:t>
            </w:r>
          </w:p>
        </w:tc>
      </w:tr>
      <w:tr w14:paraId="252CDD1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3" w:type="pct"/>
            <w:vAlign w:val="center"/>
          </w:tcPr>
          <w:p w14:paraId="2385CEA2">
            <w:pPr>
              <w:pStyle w:val="523"/>
              <w:spacing w:line="240" w:lineRule="auto"/>
              <w:ind w:left="0" w:leftChars="0" w:right="0" w:rightChars="0"/>
              <w:rPr>
                <w:color w:val="auto"/>
                <w:highlight w:val="none"/>
              </w:rPr>
            </w:pPr>
            <w:r>
              <w:rPr>
                <w:color w:val="auto"/>
                <w:highlight w:val="none"/>
              </w:rPr>
              <w:t>3</w:t>
            </w:r>
          </w:p>
        </w:tc>
        <w:tc>
          <w:tcPr>
            <w:tcW w:w="1420" w:type="pct"/>
            <w:vAlign w:val="center"/>
          </w:tcPr>
          <w:p w14:paraId="5F54E202">
            <w:pPr>
              <w:pStyle w:val="523"/>
              <w:spacing w:line="240" w:lineRule="auto"/>
              <w:ind w:left="0" w:leftChars="0" w:right="0" w:rightChars="0"/>
              <w:rPr>
                <w:color w:val="auto"/>
                <w:highlight w:val="none"/>
              </w:rPr>
            </w:pPr>
            <w:r>
              <w:rPr>
                <w:color w:val="auto"/>
                <w:highlight w:val="none"/>
              </w:rPr>
              <w:t>NOx</w:t>
            </w:r>
          </w:p>
        </w:tc>
        <w:tc>
          <w:tcPr>
            <w:tcW w:w="1505" w:type="pct"/>
            <w:vMerge w:val="continue"/>
            <w:vAlign w:val="center"/>
          </w:tcPr>
          <w:p w14:paraId="566F59AA">
            <w:pPr>
              <w:pStyle w:val="523"/>
              <w:spacing w:line="240" w:lineRule="auto"/>
              <w:ind w:left="0" w:leftChars="0" w:right="0" w:rightChars="0"/>
              <w:rPr>
                <w:color w:val="auto"/>
                <w:highlight w:val="none"/>
              </w:rPr>
            </w:pPr>
          </w:p>
        </w:tc>
        <w:tc>
          <w:tcPr>
            <w:tcW w:w="1541" w:type="pct"/>
            <w:vAlign w:val="center"/>
          </w:tcPr>
          <w:p w14:paraId="08CFC107">
            <w:pPr>
              <w:pStyle w:val="523"/>
              <w:spacing w:line="240" w:lineRule="auto"/>
              <w:ind w:left="0" w:leftChars="0" w:right="0" w:rightChars="0"/>
              <w:rPr>
                <w:color w:val="auto"/>
                <w:highlight w:val="none"/>
              </w:rPr>
            </w:pPr>
            <w:r>
              <w:rPr>
                <w:color w:val="auto"/>
                <w:highlight w:val="none"/>
              </w:rPr>
              <w:t>0.12</w:t>
            </w:r>
          </w:p>
        </w:tc>
      </w:tr>
      <w:tr w14:paraId="0100818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3" w:type="pct"/>
            <w:vAlign w:val="center"/>
          </w:tcPr>
          <w:p w14:paraId="452ABA5C">
            <w:pPr>
              <w:pStyle w:val="523"/>
              <w:spacing w:line="240" w:lineRule="auto"/>
              <w:ind w:left="0" w:leftChars="0" w:right="0" w:rightChars="0"/>
              <w:rPr>
                <w:color w:val="auto"/>
                <w:highlight w:val="none"/>
              </w:rPr>
            </w:pPr>
            <w:r>
              <w:rPr>
                <w:color w:val="auto"/>
                <w:highlight w:val="none"/>
              </w:rPr>
              <w:t>4</w:t>
            </w:r>
          </w:p>
        </w:tc>
        <w:tc>
          <w:tcPr>
            <w:tcW w:w="1420" w:type="pct"/>
            <w:vAlign w:val="center"/>
          </w:tcPr>
          <w:p w14:paraId="133C30B1">
            <w:pPr>
              <w:pStyle w:val="523"/>
              <w:spacing w:line="240" w:lineRule="auto"/>
              <w:ind w:left="0" w:leftChars="0" w:right="0" w:rightChars="0"/>
              <w:rPr>
                <w:color w:val="auto"/>
                <w:highlight w:val="none"/>
              </w:rPr>
            </w:pPr>
            <w:r>
              <w:rPr>
                <w:color w:val="auto"/>
                <w:highlight w:val="none"/>
              </w:rPr>
              <w:t>二甲苯</w:t>
            </w:r>
          </w:p>
        </w:tc>
        <w:tc>
          <w:tcPr>
            <w:tcW w:w="1505" w:type="pct"/>
            <w:vMerge w:val="continue"/>
            <w:vAlign w:val="center"/>
          </w:tcPr>
          <w:p w14:paraId="0724C4E8">
            <w:pPr>
              <w:pStyle w:val="523"/>
              <w:spacing w:line="240" w:lineRule="auto"/>
              <w:ind w:left="0" w:leftChars="0" w:right="0" w:rightChars="0"/>
              <w:rPr>
                <w:color w:val="auto"/>
                <w:highlight w:val="none"/>
              </w:rPr>
            </w:pPr>
          </w:p>
        </w:tc>
        <w:tc>
          <w:tcPr>
            <w:tcW w:w="1541" w:type="pct"/>
            <w:vAlign w:val="center"/>
          </w:tcPr>
          <w:p w14:paraId="28A29A27">
            <w:pPr>
              <w:pStyle w:val="523"/>
              <w:spacing w:line="240" w:lineRule="auto"/>
              <w:ind w:left="0" w:leftChars="0" w:right="0" w:rightChars="0"/>
              <w:rPr>
                <w:color w:val="auto"/>
                <w:highlight w:val="none"/>
              </w:rPr>
            </w:pPr>
            <w:r>
              <w:rPr>
                <w:color w:val="auto"/>
                <w:highlight w:val="none"/>
              </w:rPr>
              <w:t>1.2</w:t>
            </w:r>
          </w:p>
        </w:tc>
      </w:tr>
    </w:tbl>
    <w:p w14:paraId="0B766DE4">
      <w:pPr>
        <w:pStyle w:val="38"/>
        <w:spacing w:after="0" w:line="240" w:lineRule="auto"/>
        <w:ind w:firstLine="0" w:firstLineChars="0"/>
        <w:jc w:val="center"/>
        <w:rPr>
          <w:b/>
          <w:color w:val="auto"/>
          <w:sz w:val="21"/>
          <w:szCs w:val="21"/>
          <w:highlight w:val="none"/>
        </w:rPr>
      </w:pPr>
    </w:p>
    <w:p w14:paraId="596286BD">
      <w:pPr>
        <w:pStyle w:val="38"/>
        <w:spacing w:after="0" w:line="240" w:lineRule="auto"/>
        <w:ind w:firstLine="0" w:firstLineChars="0"/>
        <w:jc w:val="center"/>
        <w:rPr>
          <w:b/>
          <w:color w:val="auto"/>
          <w:sz w:val="21"/>
          <w:szCs w:val="21"/>
          <w:highlight w:val="none"/>
        </w:rPr>
      </w:pPr>
      <w:r>
        <w:rPr>
          <w:b/>
          <w:color w:val="auto"/>
          <w:sz w:val="21"/>
          <w:szCs w:val="21"/>
          <w:highlight w:val="none"/>
        </w:rPr>
        <w:t>表1.3-6 《挥发性有机物无组织排放控制标准》（GB37822-2019）（摘录）单位mg/m</w:t>
      </w:r>
      <w:r>
        <w:rPr>
          <w:b/>
          <w:color w:val="auto"/>
          <w:sz w:val="21"/>
          <w:szCs w:val="21"/>
          <w:highlight w:val="none"/>
          <w:vertAlign w:val="superscript"/>
        </w:rPr>
        <w:t>3</w:t>
      </w:r>
      <w:r>
        <w:rPr>
          <w:b/>
          <w:color w:val="auto"/>
          <w:sz w:val="21"/>
          <w:szCs w:val="21"/>
          <w:highlight w:val="none"/>
        </w:rPr>
        <w:t xml:space="preserve"> </w:t>
      </w:r>
    </w:p>
    <w:tbl>
      <w:tblPr>
        <w:tblStyle w:val="9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18"/>
        <w:gridCol w:w="1237"/>
        <w:gridCol w:w="1510"/>
        <w:gridCol w:w="2916"/>
        <w:gridCol w:w="2201"/>
      </w:tblGrid>
      <w:tr w14:paraId="69DFCB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4" w:type="pct"/>
            <w:vAlign w:val="center"/>
          </w:tcPr>
          <w:p w14:paraId="33D7EDDF">
            <w:pPr>
              <w:spacing w:line="240" w:lineRule="auto"/>
              <w:ind w:firstLine="0" w:firstLineChars="0"/>
              <w:jc w:val="center"/>
              <w:rPr>
                <w:b/>
                <w:bCs/>
                <w:color w:val="auto"/>
                <w:sz w:val="21"/>
                <w:szCs w:val="21"/>
                <w:highlight w:val="none"/>
              </w:rPr>
            </w:pPr>
            <w:r>
              <w:rPr>
                <w:b/>
                <w:bCs/>
                <w:color w:val="auto"/>
                <w:sz w:val="21"/>
                <w:szCs w:val="21"/>
                <w:highlight w:val="none"/>
              </w:rPr>
              <w:t>污染物项目</w:t>
            </w:r>
          </w:p>
        </w:tc>
        <w:tc>
          <w:tcPr>
            <w:tcW w:w="666" w:type="pct"/>
            <w:vAlign w:val="center"/>
          </w:tcPr>
          <w:p w14:paraId="7DCD40B3">
            <w:pPr>
              <w:spacing w:line="240" w:lineRule="auto"/>
              <w:ind w:firstLine="0" w:firstLineChars="0"/>
              <w:jc w:val="center"/>
              <w:rPr>
                <w:b/>
                <w:bCs/>
                <w:color w:val="auto"/>
                <w:sz w:val="21"/>
                <w:szCs w:val="21"/>
                <w:highlight w:val="none"/>
              </w:rPr>
            </w:pPr>
            <w:r>
              <w:rPr>
                <w:b/>
                <w:bCs/>
                <w:color w:val="auto"/>
                <w:sz w:val="21"/>
                <w:szCs w:val="21"/>
                <w:highlight w:val="none"/>
              </w:rPr>
              <w:t>排放限值</w:t>
            </w:r>
          </w:p>
        </w:tc>
        <w:tc>
          <w:tcPr>
            <w:tcW w:w="813" w:type="pct"/>
            <w:vAlign w:val="center"/>
          </w:tcPr>
          <w:p w14:paraId="4638182D">
            <w:pPr>
              <w:spacing w:line="240" w:lineRule="auto"/>
              <w:ind w:firstLine="0" w:firstLineChars="0"/>
              <w:jc w:val="center"/>
              <w:rPr>
                <w:b/>
                <w:bCs/>
                <w:color w:val="auto"/>
                <w:sz w:val="21"/>
                <w:szCs w:val="21"/>
                <w:highlight w:val="none"/>
              </w:rPr>
            </w:pPr>
            <w:r>
              <w:rPr>
                <w:b/>
                <w:bCs/>
                <w:color w:val="auto"/>
                <w:sz w:val="21"/>
                <w:szCs w:val="21"/>
                <w:highlight w:val="none"/>
              </w:rPr>
              <w:t>特别排放限值</w:t>
            </w:r>
          </w:p>
        </w:tc>
        <w:tc>
          <w:tcPr>
            <w:tcW w:w="1570" w:type="pct"/>
            <w:vAlign w:val="center"/>
          </w:tcPr>
          <w:p w14:paraId="710447A4">
            <w:pPr>
              <w:spacing w:line="240" w:lineRule="auto"/>
              <w:ind w:firstLine="0" w:firstLineChars="0"/>
              <w:jc w:val="center"/>
              <w:rPr>
                <w:b/>
                <w:bCs/>
                <w:color w:val="auto"/>
                <w:sz w:val="21"/>
                <w:szCs w:val="21"/>
                <w:highlight w:val="none"/>
              </w:rPr>
            </w:pPr>
            <w:r>
              <w:rPr>
                <w:b/>
                <w:bCs/>
                <w:color w:val="auto"/>
                <w:sz w:val="21"/>
                <w:szCs w:val="21"/>
                <w:highlight w:val="none"/>
              </w:rPr>
              <w:t>限值含义</w:t>
            </w:r>
          </w:p>
        </w:tc>
        <w:tc>
          <w:tcPr>
            <w:tcW w:w="1185" w:type="pct"/>
            <w:vAlign w:val="center"/>
          </w:tcPr>
          <w:p w14:paraId="4C3D61DA">
            <w:pPr>
              <w:spacing w:line="240" w:lineRule="auto"/>
              <w:ind w:firstLine="0" w:firstLineChars="0"/>
              <w:jc w:val="center"/>
              <w:rPr>
                <w:b/>
                <w:bCs/>
                <w:color w:val="auto"/>
                <w:sz w:val="21"/>
                <w:szCs w:val="21"/>
                <w:highlight w:val="none"/>
              </w:rPr>
            </w:pPr>
            <w:r>
              <w:rPr>
                <w:b/>
                <w:bCs/>
                <w:color w:val="auto"/>
                <w:sz w:val="21"/>
                <w:szCs w:val="21"/>
                <w:highlight w:val="none"/>
              </w:rPr>
              <w:t>无组织排放监控位置</w:t>
            </w:r>
          </w:p>
        </w:tc>
      </w:tr>
      <w:tr w14:paraId="7CBB5D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4" w:type="pct"/>
            <w:vMerge w:val="restart"/>
            <w:vAlign w:val="center"/>
          </w:tcPr>
          <w:p w14:paraId="497C956C">
            <w:pPr>
              <w:spacing w:line="240" w:lineRule="auto"/>
              <w:ind w:firstLine="0" w:firstLineChars="0"/>
              <w:jc w:val="center"/>
              <w:rPr>
                <w:color w:val="auto"/>
                <w:sz w:val="21"/>
                <w:szCs w:val="21"/>
                <w:highlight w:val="none"/>
              </w:rPr>
            </w:pPr>
            <w:r>
              <w:rPr>
                <w:color w:val="auto"/>
                <w:sz w:val="21"/>
                <w:szCs w:val="21"/>
                <w:highlight w:val="none"/>
              </w:rPr>
              <w:t>NMHC</w:t>
            </w:r>
          </w:p>
        </w:tc>
        <w:tc>
          <w:tcPr>
            <w:tcW w:w="666" w:type="pct"/>
            <w:vAlign w:val="center"/>
          </w:tcPr>
          <w:p w14:paraId="4B7D2DD2">
            <w:pPr>
              <w:spacing w:line="240" w:lineRule="auto"/>
              <w:ind w:firstLine="0" w:firstLineChars="0"/>
              <w:jc w:val="center"/>
              <w:rPr>
                <w:color w:val="auto"/>
                <w:sz w:val="21"/>
                <w:szCs w:val="21"/>
                <w:highlight w:val="none"/>
              </w:rPr>
            </w:pPr>
            <w:r>
              <w:rPr>
                <w:color w:val="auto"/>
                <w:sz w:val="21"/>
                <w:szCs w:val="21"/>
                <w:highlight w:val="none"/>
              </w:rPr>
              <w:t>10</w:t>
            </w:r>
          </w:p>
        </w:tc>
        <w:tc>
          <w:tcPr>
            <w:tcW w:w="813" w:type="pct"/>
            <w:vAlign w:val="center"/>
          </w:tcPr>
          <w:p w14:paraId="1C53A61C">
            <w:pPr>
              <w:spacing w:line="240" w:lineRule="auto"/>
              <w:ind w:firstLine="0" w:firstLineChars="0"/>
              <w:jc w:val="center"/>
              <w:rPr>
                <w:color w:val="auto"/>
                <w:sz w:val="21"/>
                <w:szCs w:val="21"/>
                <w:highlight w:val="none"/>
              </w:rPr>
            </w:pPr>
            <w:r>
              <w:rPr>
                <w:color w:val="auto"/>
                <w:sz w:val="21"/>
                <w:szCs w:val="21"/>
                <w:highlight w:val="none"/>
              </w:rPr>
              <w:t>6</w:t>
            </w:r>
          </w:p>
        </w:tc>
        <w:tc>
          <w:tcPr>
            <w:tcW w:w="1570" w:type="pct"/>
            <w:vAlign w:val="center"/>
          </w:tcPr>
          <w:p w14:paraId="50184B53">
            <w:pPr>
              <w:spacing w:line="240" w:lineRule="auto"/>
              <w:ind w:firstLine="0" w:firstLineChars="0"/>
              <w:jc w:val="center"/>
              <w:rPr>
                <w:color w:val="auto"/>
                <w:sz w:val="21"/>
                <w:szCs w:val="21"/>
                <w:highlight w:val="none"/>
              </w:rPr>
            </w:pPr>
            <w:r>
              <w:rPr>
                <w:color w:val="auto"/>
                <w:sz w:val="21"/>
                <w:szCs w:val="21"/>
                <w:highlight w:val="none"/>
              </w:rPr>
              <w:t>监控点处1h平均浓度值</w:t>
            </w:r>
          </w:p>
        </w:tc>
        <w:tc>
          <w:tcPr>
            <w:tcW w:w="1185" w:type="pct"/>
            <w:vMerge w:val="restart"/>
            <w:vAlign w:val="center"/>
          </w:tcPr>
          <w:p w14:paraId="4F0E901C">
            <w:pPr>
              <w:spacing w:line="240" w:lineRule="auto"/>
              <w:ind w:firstLine="0" w:firstLineChars="0"/>
              <w:jc w:val="center"/>
              <w:rPr>
                <w:color w:val="auto"/>
                <w:sz w:val="21"/>
                <w:szCs w:val="21"/>
                <w:highlight w:val="none"/>
              </w:rPr>
            </w:pPr>
            <w:r>
              <w:rPr>
                <w:color w:val="auto"/>
                <w:sz w:val="21"/>
                <w:szCs w:val="21"/>
                <w:highlight w:val="none"/>
              </w:rPr>
              <w:t>在厂房外设置监控点</w:t>
            </w:r>
          </w:p>
        </w:tc>
      </w:tr>
      <w:tr w14:paraId="5A38F7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4" w:type="pct"/>
            <w:vMerge w:val="continue"/>
            <w:vAlign w:val="center"/>
          </w:tcPr>
          <w:p w14:paraId="3B04EDEB">
            <w:pPr>
              <w:spacing w:line="240" w:lineRule="auto"/>
              <w:ind w:firstLine="0" w:firstLineChars="0"/>
              <w:jc w:val="center"/>
              <w:rPr>
                <w:color w:val="auto"/>
                <w:sz w:val="21"/>
                <w:szCs w:val="21"/>
                <w:highlight w:val="none"/>
              </w:rPr>
            </w:pPr>
          </w:p>
        </w:tc>
        <w:tc>
          <w:tcPr>
            <w:tcW w:w="666" w:type="pct"/>
            <w:vAlign w:val="center"/>
          </w:tcPr>
          <w:p w14:paraId="47281BD3">
            <w:pPr>
              <w:spacing w:line="240" w:lineRule="auto"/>
              <w:ind w:firstLine="0" w:firstLineChars="0"/>
              <w:jc w:val="center"/>
              <w:rPr>
                <w:color w:val="auto"/>
                <w:sz w:val="21"/>
                <w:szCs w:val="21"/>
                <w:highlight w:val="none"/>
              </w:rPr>
            </w:pPr>
            <w:r>
              <w:rPr>
                <w:color w:val="auto"/>
                <w:sz w:val="21"/>
                <w:szCs w:val="21"/>
                <w:highlight w:val="none"/>
              </w:rPr>
              <w:t>30</w:t>
            </w:r>
          </w:p>
        </w:tc>
        <w:tc>
          <w:tcPr>
            <w:tcW w:w="813" w:type="pct"/>
            <w:vAlign w:val="center"/>
          </w:tcPr>
          <w:p w14:paraId="68C0441E">
            <w:pPr>
              <w:spacing w:line="240" w:lineRule="auto"/>
              <w:ind w:firstLine="0" w:firstLineChars="0"/>
              <w:jc w:val="center"/>
              <w:rPr>
                <w:color w:val="auto"/>
                <w:sz w:val="21"/>
                <w:szCs w:val="21"/>
                <w:highlight w:val="none"/>
              </w:rPr>
            </w:pPr>
            <w:r>
              <w:rPr>
                <w:color w:val="auto"/>
                <w:sz w:val="21"/>
                <w:szCs w:val="21"/>
                <w:highlight w:val="none"/>
              </w:rPr>
              <w:t>20</w:t>
            </w:r>
          </w:p>
        </w:tc>
        <w:tc>
          <w:tcPr>
            <w:tcW w:w="1570" w:type="pct"/>
            <w:vAlign w:val="center"/>
          </w:tcPr>
          <w:p w14:paraId="33022444">
            <w:pPr>
              <w:spacing w:line="240" w:lineRule="auto"/>
              <w:ind w:firstLine="0" w:firstLineChars="0"/>
              <w:jc w:val="center"/>
              <w:rPr>
                <w:color w:val="auto"/>
                <w:sz w:val="21"/>
                <w:szCs w:val="21"/>
                <w:highlight w:val="none"/>
              </w:rPr>
            </w:pPr>
            <w:r>
              <w:rPr>
                <w:color w:val="auto"/>
                <w:sz w:val="21"/>
                <w:szCs w:val="21"/>
                <w:highlight w:val="none"/>
              </w:rPr>
              <w:t>监控点处任意一次浓度值</w:t>
            </w:r>
          </w:p>
        </w:tc>
        <w:tc>
          <w:tcPr>
            <w:tcW w:w="1185" w:type="pct"/>
            <w:vMerge w:val="continue"/>
            <w:vAlign w:val="center"/>
          </w:tcPr>
          <w:p w14:paraId="743617B9">
            <w:pPr>
              <w:spacing w:line="240" w:lineRule="auto"/>
              <w:ind w:firstLine="0" w:firstLineChars="0"/>
              <w:jc w:val="center"/>
              <w:rPr>
                <w:color w:val="auto"/>
                <w:sz w:val="21"/>
                <w:szCs w:val="21"/>
                <w:highlight w:val="none"/>
              </w:rPr>
            </w:pPr>
          </w:p>
        </w:tc>
      </w:tr>
    </w:tbl>
    <w:p w14:paraId="568C8309">
      <w:pPr>
        <w:pStyle w:val="38"/>
        <w:spacing w:after="0" w:line="240" w:lineRule="auto"/>
        <w:ind w:firstLine="0" w:firstLineChars="0"/>
        <w:jc w:val="center"/>
        <w:rPr>
          <w:b/>
          <w:color w:val="auto"/>
          <w:sz w:val="21"/>
          <w:szCs w:val="21"/>
          <w:highlight w:val="none"/>
        </w:rPr>
      </w:pPr>
    </w:p>
    <w:p w14:paraId="678BC9BB">
      <w:pPr>
        <w:pStyle w:val="38"/>
        <w:spacing w:after="0" w:line="240" w:lineRule="auto"/>
        <w:ind w:firstLine="0" w:firstLineChars="0"/>
        <w:jc w:val="center"/>
        <w:rPr>
          <w:b/>
          <w:color w:val="auto"/>
          <w:sz w:val="21"/>
          <w:szCs w:val="21"/>
          <w:highlight w:val="none"/>
        </w:rPr>
      </w:pPr>
      <w:r>
        <w:rPr>
          <w:b/>
          <w:color w:val="auto"/>
          <w:sz w:val="21"/>
          <w:szCs w:val="21"/>
          <w:highlight w:val="none"/>
        </w:rPr>
        <w:t>表 1.3-7 船舶废气排放标准（《MARPOL73/78》公约标准）</w:t>
      </w:r>
    </w:p>
    <w:tbl>
      <w:tblPr>
        <w:tblStyle w:val="92"/>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274"/>
        <w:gridCol w:w="2335"/>
        <w:gridCol w:w="2335"/>
        <w:gridCol w:w="2340"/>
      </w:tblGrid>
      <w:tr w14:paraId="66647D2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25" w:type="pct"/>
            <w:vMerge w:val="restart"/>
            <w:vAlign w:val="center"/>
          </w:tcPr>
          <w:p w14:paraId="78C7067D">
            <w:pPr>
              <w:pStyle w:val="523"/>
              <w:spacing w:line="240" w:lineRule="auto"/>
              <w:ind w:left="0" w:leftChars="0" w:right="0" w:rightChars="0"/>
              <w:rPr>
                <w:color w:val="auto"/>
                <w:highlight w:val="none"/>
              </w:rPr>
            </w:pPr>
            <w:bookmarkStart w:id="60" w:name="_Ref347221489"/>
            <w:r>
              <w:rPr>
                <w:color w:val="auto"/>
                <w:highlight w:val="none"/>
              </w:rPr>
              <w:t>SO</w:t>
            </w:r>
            <w:r>
              <w:rPr>
                <w:color w:val="auto"/>
                <w:highlight w:val="none"/>
                <w:vertAlign w:val="subscript"/>
              </w:rPr>
              <w:t>2</w:t>
            </w:r>
            <w:bookmarkEnd w:id="60"/>
          </w:p>
        </w:tc>
        <w:tc>
          <w:tcPr>
            <w:tcW w:w="3774" w:type="pct"/>
            <w:gridSpan w:val="3"/>
            <w:vAlign w:val="center"/>
          </w:tcPr>
          <w:p w14:paraId="0650D769">
            <w:pPr>
              <w:pStyle w:val="523"/>
              <w:spacing w:line="240" w:lineRule="auto"/>
              <w:ind w:left="0" w:leftChars="0" w:right="0" w:rightChars="0"/>
              <w:rPr>
                <w:color w:val="auto"/>
                <w:highlight w:val="none"/>
              </w:rPr>
            </w:pPr>
            <w:r>
              <w:rPr>
                <w:color w:val="auto"/>
                <w:highlight w:val="none"/>
              </w:rPr>
              <w:t>NO</w:t>
            </w:r>
            <w:r>
              <w:rPr>
                <w:color w:val="auto"/>
                <w:highlight w:val="none"/>
                <w:vertAlign w:val="subscript"/>
              </w:rPr>
              <w:t>2</w:t>
            </w:r>
            <w:r>
              <w:rPr>
                <w:color w:val="auto"/>
                <w:highlight w:val="none"/>
              </w:rPr>
              <w:t>（g/</w:t>
            </w:r>
            <w:r>
              <w:rPr>
                <w:rFonts w:hint="eastAsia"/>
                <w:color w:val="auto"/>
                <w:highlight w:val="none"/>
                <w:lang w:eastAsia="zh-CN"/>
              </w:rPr>
              <w:t>kW</w:t>
            </w:r>
            <w:r>
              <w:rPr>
                <w:color w:val="auto"/>
                <w:highlight w:val="none"/>
              </w:rPr>
              <w:t>·h）</w:t>
            </w:r>
          </w:p>
        </w:tc>
      </w:tr>
      <w:tr w14:paraId="2D68030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25" w:type="pct"/>
            <w:vMerge w:val="continue"/>
            <w:vAlign w:val="center"/>
          </w:tcPr>
          <w:p w14:paraId="38215EB7">
            <w:pPr>
              <w:pStyle w:val="523"/>
              <w:spacing w:line="240" w:lineRule="auto"/>
              <w:ind w:left="0" w:leftChars="0" w:right="0" w:rightChars="0"/>
              <w:rPr>
                <w:color w:val="auto"/>
                <w:highlight w:val="none"/>
              </w:rPr>
            </w:pPr>
          </w:p>
        </w:tc>
        <w:tc>
          <w:tcPr>
            <w:tcW w:w="1257" w:type="pct"/>
            <w:vAlign w:val="center"/>
          </w:tcPr>
          <w:p w14:paraId="733B5264">
            <w:pPr>
              <w:pStyle w:val="523"/>
              <w:spacing w:line="240" w:lineRule="auto"/>
              <w:ind w:left="0" w:leftChars="0" w:right="0" w:rightChars="0"/>
              <w:rPr>
                <w:color w:val="auto"/>
                <w:highlight w:val="none"/>
              </w:rPr>
            </w:pPr>
            <w:r>
              <w:rPr>
                <w:color w:val="auto"/>
                <w:highlight w:val="none"/>
              </w:rPr>
              <w:t>N＜130</w:t>
            </w:r>
          </w:p>
        </w:tc>
        <w:tc>
          <w:tcPr>
            <w:tcW w:w="1257" w:type="pct"/>
            <w:vAlign w:val="center"/>
          </w:tcPr>
          <w:p w14:paraId="45D4C435">
            <w:pPr>
              <w:pStyle w:val="523"/>
              <w:spacing w:line="240" w:lineRule="auto"/>
              <w:ind w:left="0" w:leftChars="0" w:right="0" w:rightChars="0"/>
              <w:rPr>
                <w:color w:val="auto"/>
                <w:highlight w:val="none"/>
              </w:rPr>
            </w:pPr>
            <w:r>
              <w:rPr>
                <w:color w:val="auto"/>
                <w:highlight w:val="none"/>
              </w:rPr>
              <w:t>2000＞N＞130</w:t>
            </w:r>
          </w:p>
        </w:tc>
        <w:tc>
          <w:tcPr>
            <w:tcW w:w="1259" w:type="pct"/>
            <w:vAlign w:val="center"/>
          </w:tcPr>
          <w:p w14:paraId="0E780517">
            <w:pPr>
              <w:pStyle w:val="523"/>
              <w:spacing w:line="240" w:lineRule="auto"/>
              <w:ind w:left="0" w:leftChars="0" w:right="0" w:rightChars="0"/>
              <w:rPr>
                <w:color w:val="auto"/>
                <w:highlight w:val="none"/>
              </w:rPr>
            </w:pPr>
            <w:r>
              <w:rPr>
                <w:color w:val="auto"/>
                <w:highlight w:val="none"/>
              </w:rPr>
              <w:t>N＞2000</w:t>
            </w:r>
          </w:p>
        </w:tc>
      </w:tr>
      <w:tr w14:paraId="32C27E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25" w:type="pct"/>
            <w:vAlign w:val="center"/>
          </w:tcPr>
          <w:p w14:paraId="0A49A5F9">
            <w:pPr>
              <w:pStyle w:val="523"/>
              <w:spacing w:line="240" w:lineRule="auto"/>
              <w:ind w:left="0" w:leftChars="0" w:right="0" w:rightChars="0"/>
              <w:rPr>
                <w:color w:val="auto"/>
                <w:highlight w:val="none"/>
              </w:rPr>
            </w:pPr>
            <w:r>
              <w:rPr>
                <w:color w:val="auto"/>
                <w:highlight w:val="none"/>
              </w:rPr>
              <w:t>燃油中硫份小于4.5%</w:t>
            </w:r>
          </w:p>
        </w:tc>
        <w:tc>
          <w:tcPr>
            <w:tcW w:w="1257" w:type="pct"/>
            <w:vAlign w:val="center"/>
          </w:tcPr>
          <w:p w14:paraId="4671074A">
            <w:pPr>
              <w:pStyle w:val="523"/>
              <w:spacing w:line="240" w:lineRule="auto"/>
              <w:ind w:left="0" w:leftChars="0" w:right="0" w:rightChars="0"/>
              <w:rPr>
                <w:color w:val="auto"/>
                <w:highlight w:val="none"/>
              </w:rPr>
            </w:pPr>
            <w:r>
              <w:rPr>
                <w:color w:val="auto"/>
                <w:highlight w:val="none"/>
              </w:rPr>
              <w:t>17</w:t>
            </w:r>
          </w:p>
        </w:tc>
        <w:tc>
          <w:tcPr>
            <w:tcW w:w="1257" w:type="pct"/>
            <w:vAlign w:val="center"/>
          </w:tcPr>
          <w:p w14:paraId="793186CF">
            <w:pPr>
              <w:pStyle w:val="523"/>
              <w:spacing w:line="240" w:lineRule="auto"/>
              <w:ind w:left="0" w:leftChars="0" w:right="0" w:rightChars="0"/>
              <w:rPr>
                <w:color w:val="auto"/>
                <w:highlight w:val="none"/>
              </w:rPr>
            </w:pPr>
            <w:r>
              <w:rPr>
                <w:color w:val="auto"/>
                <w:highlight w:val="none"/>
              </w:rPr>
              <w:t>45×N</w:t>
            </w:r>
            <w:r>
              <w:rPr>
                <w:color w:val="auto"/>
                <w:highlight w:val="none"/>
                <w:vertAlign w:val="superscript"/>
              </w:rPr>
              <w:t>-0.2</w:t>
            </w:r>
          </w:p>
        </w:tc>
        <w:tc>
          <w:tcPr>
            <w:tcW w:w="1259" w:type="pct"/>
            <w:vAlign w:val="center"/>
          </w:tcPr>
          <w:p w14:paraId="7C0DA6BC">
            <w:pPr>
              <w:pStyle w:val="523"/>
              <w:spacing w:line="240" w:lineRule="auto"/>
              <w:ind w:left="0" w:leftChars="0" w:right="0" w:rightChars="0"/>
              <w:rPr>
                <w:color w:val="auto"/>
                <w:highlight w:val="none"/>
              </w:rPr>
            </w:pPr>
            <w:r>
              <w:rPr>
                <w:color w:val="auto"/>
                <w:highlight w:val="none"/>
              </w:rPr>
              <w:t>9.8</w:t>
            </w:r>
          </w:p>
        </w:tc>
      </w:tr>
    </w:tbl>
    <w:p w14:paraId="6A6C4C09">
      <w:pPr>
        <w:ind w:left="480" w:leftChars="200" w:firstLine="0" w:firstLineChars="0"/>
        <w:rPr>
          <w:color w:val="auto"/>
          <w:highlight w:val="none"/>
        </w:rPr>
      </w:pPr>
    </w:p>
    <w:p w14:paraId="47C313B9">
      <w:pPr>
        <w:pStyle w:val="533"/>
        <w:numPr>
          <w:ilvl w:val="3"/>
          <w:numId w:val="9"/>
        </w:numPr>
        <w:rPr>
          <w:color w:val="auto"/>
          <w:szCs w:val="24"/>
          <w:highlight w:val="none"/>
        </w:rPr>
      </w:pPr>
      <w:r>
        <w:rPr>
          <w:color w:val="auto"/>
          <w:szCs w:val="24"/>
          <w:highlight w:val="none"/>
        </w:rPr>
        <w:t>水污染物</w:t>
      </w:r>
    </w:p>
    <w:p w14:paraId="21D8831D">
      <w:pPr>
        <w:ind w:firstLine="480"/>
        <w:rPr>
          <w:color w:val="auto"/>
          <w:szCs w:val="20"/>
          <w:highlight w:val="none"/>
        </w:rPr>
      </w:pPr>
      <w:r>
        <w:rPr>
          <w:color w:val="auto"/>
          <w:szCs w:val="20"/>
          <w:highlight w:val="none"/>
        </w:rPr>
        <w:t>运营期废水主要来自</w:t>
      </w:r>
      <w:r>
        <w:rPr>
          <w:rFonts w:hint="eastAsia"/>
          <w:color w:val="auto"/>
          <w:szCs w:val="20"/>
          <w:highlight w:val="none"/>
        </w:rPr>
        <w:t>职工生活污水、含油</w:t>
      </w:r>
      <w:r>
        <w:rPr>
          <w:color w:val="auto"/>
          <w:szCs w:val="20"/>
          <w:highlight w:val="none"/>
        </w:rPr>
        <w:t>污水</w:t>
      </w:r>
      <w:r>
        <w:rPr>
          <w:rFonts w:hint="eastAsia"/>
          <w:color w:val="auto"/>
          <w:szCs w:val="20"/>
          <w:highlight w:val="none"/>
        </w:rPr>
        <w:t>和初期雨水</w:t>
      </w:r>
      <w:r>
        <w:rPr>
          <w:color w:val="auto"/>
          <w:szCs w:val="20"/>
          <w:highlight w:val="none"/>
        </w:rPr>
        <w:t>。</w:t>
      </w:r>
    </w:p>
    <w:p w14:paraId="0A2AC063">
      <w:pPr>
        <w:ind w:firstLine="482"/>
        <w:rPr>
          <w:b/>
          <w:bCs/>
          <w:color w:val="auto"/>
          <w:szCs w:val="20"/>
          <w:highlight w:val="none"/>
        </w:rPr>
      </w:pPr>
      <w:r>
        <w:rPr>
          <w:b/>
          <w:bCs/>
          <w:color w:val="auto"/>
          <w:szCs w:val="20"/>
          <w:highlight w:val="none"/>
        </w:rPr>
        <w:t>（1）船舶污水</w:t>
      </w:r>
    </w:p>
    <w:p w14:paraId="25234911">
      <w:pPr>
        <w:ind w:firstLine="480"/>
        <w:rPr>
          <w:color w:val="auto"/>
          <w:szCs w:val="20"/>
          <w:highlight w:val="none"/>
        </w:rPr>
      </w:pPr>
      <w:r>
        <w:rPr>
          <w:rFonts w:hint="eastAsia" w:ascii="宋体" w:hAnsi="宋体" w:cs="宋体"/>
          <w:color w:val="auto"/>
          <w:szCs w:val="20"/>
          <w:highlight w:val="none"/>
        </w:rPr>
        <w:t>①</w:t>
      </w:r>
      <w:r>
        <w:rPr>
          <w:rFonts w:hint="eastAsia"/>
          <w:color w:val="auto"/>
          <w:szCs w:val="20"/>
          <w:highlight w:val="none"/>
        </w:rPr>
        <w:t>待修</w:t>
      </w:r>
      <w:r>
        <w:rPr>
          <w:color w:val="auto"/>
          <w:szCs w:val="20"/>
          <w:highlight w:val="none"/>
        </w:rPr>
        <w:t>船舶压舱水</w:t>
      </w:r>
      <w:r>
        <w:rPr>
          <w:rFonts w:hint="eastAsia"/>
          <w:color w:val="auto"/>
          <w:szCs w:val="20"/>
          <w:highlight w:val="none"/>
        </w:rPr>
        <w:t>在进坞前需</w:t>
      </w:r>
      <w:r>
        <w:rPr>
          <w:color w:val="auto"/>
          <w:szCs w:val="20"/>
          <w:highlight w:val="none"/>
        </w:rPr>
        <w:t>委托有资质的船舶清理服务公司收集处理，本工程不接收处理到港船舶压舱载水</w:t>
      </w:r>
      <w:r>
        <w:rPr>
          <w:rFonts w:hint="eastAsia"/>
          <w:color w:val="auto"/>
          <w:szCs w:val="20"/>
          <w:highlight w:val="none"/>
        </w:rPr>
        <w:t>；</w:t>
      </w:r>
    </w:p>
    <w:p w14:paraId="55B6E65E">
      <w:pPr>
        <w:ind w:firstLine="480"/>
        <w:rPr>
          <w:color w:val="auto"/>
          <w:szCs w:val="20"/>
          <w:highlight w:val="none"/>
        </w:rPr>
      </w:pPr>
      <w:r>
        <w:rPr>
          <w:rFonts w:hint="eastAsia" w:ascii="宋体" w:hAnsi="宋体" w:cs="宋体"/>
          <w:color w:val="auto"/>
          <w:szCs w:val="20"/>
          <w:highlight w:val="none"/>
        </w:rPr>
        <w:t>②</w:t>
      </w:r>
      <w:r>
        <w:rPr>
          <w:color w:val="auto"/>
          <w:szCs w:val="20"/>
          <w:highlight w:val="none"/>
        </w:rPr>
        <w:t>待修船舶洗舱委托钦州市苏南船舶服务有限公司承担，并通过清洗作业船舶带走清理过程产生的洗舱废水</w:t>
      </w:r>
      <w:r>
        <w:rPr>
          <w:rFonts w:hint="eastAsia"/>
          <w:color w:val="auto"/>
          <w:szCs w:val="20"/>
          <w:highlight w:val="none"/>
        </w:rPr>
        <w:t>；</w:t>
      </w:r>
    </w:p>
    <w:p w14:paraId="64B09224">
      <w:pPr>
        <w:ind w:firstLine="480"/>
        <w:rPr>
          <w:color w:val="auto"/>
          <w:highlight w:val="none"/>
          <w:u w:val="single"/>
        </w:rPr>
      </w:pPr>
      <w:r>
        <w:rPr>
          <w:rFonts w:hint="eastAsia" w:ascii="宋体" w:hAnsi="宋体" w:cs="宋体"/>
          <w:color w:val="auto"/>
          <w:szCs w:val="20"/>
          <w:highlight w:val="none"/>
        </w:rPr>
        <w:t>因此项目生产废水主要为高压冲洗废水和含油污水；</w:t>
      </w:r>
      <w:r>
        <w:rPr>
          <w:rFonts w:hint="eastAsia"/>
          <w:color w:val="auto"/>
          <w:szCs w:val="20"/>
          <w:highlight w:val="none"/>
        </w:rPr>
        <w:t>其中待修</w:t>
      </w:r>
      <w:r>
        <w:rPr>
          <w:color w:val="auto"/>
          <w:szCs w:val="20"/>
          <w:highlight w:val="none"/>
        </w:rPr>
        <w:t>船舶高压冲洗废水经收集沉淀后回用于船体高压冲洗或船坞清洗，不外排</w:t>
      </w:r>
      <w:r>
        <w:rPr>
          <w:rFonts w:hint="eastAsia"/>
          <w:color w:val="auto"/>
          <w:szCs w:val="20"/>
          <w:highlight w:val="none"/>
        </w:rPr>
        <w:t>；</w:t>
      </w:r>
      <w:r>
        <w:rPr>
          <w:rFonts w:hint="eastAsia" w:ascii="宋体" w:hAnsi="宋体" w:cs="宋体"/>
          <w:color w:val="auto"/>
          <w:szCs w:val="20"/>
          <w:highlight w:val="none"/>
        </w:rPr>
        <w:t>因此</w:t>
      </w:r>
      <w:r>
        <w:rPr>
          <w:rFonts w:hint="eastAsia" w:ascii="宋体" w:hAnsi="宋体" w:cs="宋体"/>
          <w:color w:val="auto"/>
          <w:szCs w:val="20"/>
          <w:highlight w:val="none"/>
          <w:u w:val="single"/>
        </w:rPr>
        <w:t>船舶污水主要来自</w:t>
      </w:r>
      <w:r>
        <w:rPr>
          <w:color w:val="auto"/>
          <w:highlight w:val="none"/>
          <w:u w:val="single"/>
        </w:rPr>
        <w:t>项目坞修</w:t>
      </w:r>
      <w:r>
        <w:rPr>
          <w:rFonts w:hint="eastAsia"/>
          <w:color w:val="auto"/>
          <w:highlight w:val="none"/>
          <w:u w:val="single"/>
        </w:rPr>
        <w:t>过程</w:t>
      </w:r>
      <w:r>
        <w:rPr>
          <w:color w:val="auto"/>
          <w:highlight w:val="none"/>
          <w:u w:val="single"/>
        </w:rPr>
        <w:t>产生的含油废水（机舱含油废水、坞底含油废水、坞内清洗含油废水等）</w:t>
      </w:r>
      <w:r>
        <w:rPr>
          <w:rFonts w:hint="eastAsia"/>
          <w:color w:val="auto"/>
          <w:highlight w:val="none"/>
          <w:u w:val="single"/>
        </w:rPr>
        <w:t>，含油废水经浮船坞配套的污水舱收集后，采用罐车运至</w:t>
      </w:r>
      <w:r>
        <w:rPr>
          <w:color w:val="auto"/>
          <w:highlight w:val="none"/>
          <w:u w:val="single"/>
        </w:rPr>
        <w:t>厂区废水处理站的含油废水处理系统处理达到《污水综合排放标准》（GB8978-1996）三级标准后，</w:t>
      </w:r>
      <w:r>
        <w:rPr>
          <w:color w:val="auto"/>
          <w:szCs w:val="20"/>
          <w:highlight w:val="none"/>
          <w:u w:val="single"/>
        </w:rPr>
        <w:t>经厂区污水管道排入</w:t>
      </w:r>
      <w:r>
        <w:rPr>
          <w:rFonts w:hint="eastAsia"/>
          <w:color w:val="auto"/>
          <w:szCs w:val="20"/>
          <w:highlight w:val="none"/>
          <w:u w:val="single"/>
        </w:rPr>
        <w:t>生活污水处理设备配套的中水回用池储存，</w:t>
      </w:r>
      <w:r>
        <w:rPr>
          <w:color w:val="auto"/>
          <w:szCs w:val="20"/>
          <w:highlight w:val="none"/>
          <w:u w:val="single"/>
        </w:rPr>
        <w:t>大部分回用于厂区绿化及降尘，少部分不能回用的由槽罐车运至大榄坪污水处理厂处理</w:t>
      </w:r>
      <w:r>
        <w:rPr>
          <w:rFonts w:hint="eastAsia"/>
          <w:color w:val="auto"/>
          <w:highlight w:val="none"/>
          <w:u w:val="single"/>
        </w:rPr>
        <w:t>。</w:t>
      </w:r>
    </w:p>
    <w:p w14:paraId="64E361CB">
      <w:pPr>
        <w:ind w:firstLine="482"/>
        <w:rPr>
          <w:b/>
          <w:bCs/>
          <w:color w:val="auto"/>
          <w:highlight w:val="none"/>
        </w:rPr>
      </w:pPr>
      <w:r>
        <w:rPr>
          <w:rFonts w:hint="eastAsia"/>
          <w:b/>
          <w:bCs/>
          <w:color w:val="auto"/>
          <w:highlight w:val="none"/>
        </w:rPr>
        <w:t>（2）生活污水</w:t>
      </w:r>
    </w:p>
    <w:p w14:paraId="022B861C">
      <w:pPr>
        <w:ind w:firstLine="480"/>
        <w:rPr>
          <w:color w:val="auto"/>
          <w:highlight w:val="none"/>
        </w:rPr>
      </w:pPr>
      <w:r>
        <w:rPr>
          <w:color w:val="auto"/>
          <w:highlight w:val="none"/>
        </w:rPr>
        <w:t>项目不新增作业人员，作业人员依托现有工作人员，工人生活污水依托基地陆域生活污水处理系统。经生活污水处理一体化设备（处理规模300m</w:t>
      </w:r>
      <w:r>
        <w:rPr>
          <w:color w:val="auto"/>
          <w:highlight w:val="none"/>
          <w:vertAlign w:val="superscript"/>
        </w:rPr>
        <w:t>3</w:t>
      </w:r>
      <w:r>
        <w:rPr>
          <w:color w:val="auto"/>
          <w:highlight w:val="none"/>
        </w:rPr>
        <w:t>/d）处理</w:t>
      </w:r>
      <w:r>
        <w:rPr>
          <w:rFonts w:hint="eastAsia"/>
          <w:color w:val="auto"/>
          <w:highlight w:val="none"/>
        </w:rPr>
        <w:t>后</w:t>
      </w:r>
      <w:r>
        <w:rPr>
          <w:rFonts w:hint="eastAsia"/>
          <w:color w:val="auto"/>
          <w:szCs w:val="20"/>
          <w:highlight w:val="none"/>
        </w:rPr>
        <w:t>，进入配套的中水回用池储存，</w:t>
      </w:r>
      <w:r>
        <w:rPr>
          <w:color w:val="auto"/>
          <w:szCs w:val="20"/>
          <w:highlight w:val="none"/>
        </w:rPr>
        <w:t>大部分回用于厂区绿化及降尘，少部分不能回用的由槽罐车运至大榄坪污水处理厂处理</w:t>
      </w:r>
      <w:r>
        <w:rPr>
          <w:color w:val="auto"/>
          <w:highlight w:val="none"/>
        </w:rPr>
        <w:t>。</w:t>
      </w:r>
    </w:p>
    <w:p w14:paraId="5AC4A016">
      <w:pPr>
        <w:pStyle w:val="91"/>
        <w:adjustRightInd w:val="0"/>
        <w:snapToGrid w:val="0"/>
        <w:spacing w:after="0" w:line="360" w:lineRule="auto"/>
        <w:ind w:left="0" w:leftChars="0" w:firstLine="482"/>
        <w:rPr>
          <w:rFonts w:ascii="Times New Roman" w:hAnsi="Times New Roman" w:cs="Times New Roman"/>
          <w:b/>
          <w:bCs/>
          <w:color w:val="auto"/>
          <w:sz w:val="24"/>
          <w:highlight w:val="none"/>
        </w:rPr>
      </w:pPr>
      <w:r>
        <w:rPr>
          <w:rFonts w:hint="eastAsia" w:ascii="Times New Roman" w:hAnsi="Times New Roman" w:cs="Times New Roman"/>
          <w:b/>
          <w:bCs/>
          <w:color w:val="auto"/>
          <w:sz w:val="24"/>
          <w:highlight w:val="none"/>
        </w:rPr>
        <w:t>（3）初期雨水</w:t>
      </w:r>
    </w:p>
    <w:p w14:paraId="443E4383">
      <w:pPr>
        <w:ind w:firstLine="480"/>
        <w:rPr>
          <w:color w:val="auto"/>
          <w:highlight w:val="none"/>
          <w:u w:val="single"/>
        </w:rPr>
      </w:pPr>
      <w:r>
        <w:rPr>
          <w:color w:val="auto"/>
          <w:szCs w:val="20"/>
          <w:highlight w:val="none"/>
        </w:rPr>
        <w:t>项目</w:t>
      </w:r>
      <w:r>
        <w:rPr>
          <w:rFonts w:hint="eastAsia"/>
          <w:color w:val="auto"/>
          <w:szCs w:val="20"/>
          <w:highlight w:val="none"/>
        </w:rPr>
        <w:t>在浮船坞上</w:t>
      </w:r>
      <w:r>
        <w:rPr>
          <w:color w:val="auto"/>
          <w:szCs w:val="20"/>
          <w:highlight w:val="none"/>
        </w:rPr>
        <w:t>配套建设1个初期雨水收集池，</w:t>
      </w:r>
      <w:r>
        <w:rPr>
          <w:rFonts w:hint="eastAsia"/>
          <w:color w:val="auto"/>
          <w:szCs w:val="20"/>
          <w:highlight w:val="none"/>
        </w:rPr>
        <w:t>浮船坞</w:t>
      </w:r>
      <w:r>
        <w:rPr>
          <w:color w:val="auto"/>
          <w:szCs w:val="20"/>
          <w:highlight w:val="none"/>
        </w:rPr>
        <w:t>初期雨水</w:t>
      </w:r>
      <w:r>
        <w:rPr>
          <w:rFonts w:hint="eastAsia"/>
          <w:color w:val="auto"/>
          <w:szCs w:val="20"/>
          <w:highlight w:val="none"/>
        </w:rPr>
        <w:t>经</w:t>
      </w:r>
      <w:r>
        <w:rPr>
          <w:color w:val="auto"/>
          <w:szCs w:val="20"/>
          <w:highlight w:val="none"/>
        </w:rPr>
        <w:t>收集后</w:t>
      </w:r>
      <w:r>
        <w:rPr>
          <w:rFonts w:hint="eastAsia" w:eastAsiaTheme="minorEastAsia"/>
          <w:color w:val="auto"/>
          <w:highlight w:val="none"/>
          <w:u w:val="single"/>
        </w:rPr>
        <w:t>采用罐车转运至钦州基地陆域现有</w:t>
      </w:r>
      <w:r>
        <w:rPr>
          <w:color w:val="auto"/>
          <w:szCs w:val="20"/>
          <w:highlight w:val="none"/>
          <w:u w:val="single"/>
        </w:rPr>
        <w:t>生活污水处理一体化设备（处理规模300m</w:t>
      </w:r>
      <w:r>
        <w:rPr>
          <w:color w:val="auto"/>
          <w:szCs w:val="20"/>
          <w:highlight w:val="none"/>
          <w:u w:val="single"/>
          <w:vertAlign w:val="superscript"/>
        </w:rPr>
        <w:t>3</w:t>
      </w:r>
      <w:r>
        <w:rPr>
          <w:color w:val="auto"/>
          <w:szCs w:val="20"/>
          <w:highlight w:val="none"/>
          <w:u w:val="single"/>
        </w:rPr>
        <w:t>/d）处理</w:t>
      </w:r>
      <w:r>
        <w:rPr>
          <w:rFonts w:hint="eastAsia"/>
          <w:color w:val="auto"/>
          <w:szCs w:val="20"/>
          <w:highlight w:val="none"/>
          <w:u w:val="single"/>
        </w:rPr>
        <w:t>，后进入中水回用池储存，</w:t>
      </w:r>
      <w:r>
        <w:rPr>
          <w:color w:val="auto"/>
          <w:szCs w:val="20"/>
          <w:highlight w:val="none"/>
          <w:u w:val="single"/>
        </w:rPr>
        <w:t>大部分回用于厂区绿化及降尘，少部分不能回用的由槽罐车运至大榄坪污水处理厂处理</w:t>
      </w:r>
      <w:r>
        <w:rPr>
          <w:color w:val="auto"/>
          <w:highlight w:val="none"/>
          <w:u w:val="single"/>
        </w:rPr>
        <w:t>。</w:t>
      </w:r>
    </w:p>
    <w:p w14:paraId="23B0C911">
      <w:pPr>
        <w:ind w:firstLine="480"/>
        <w:rPr>
          <w:color w:val="auto"/>
          <w:highlight w:val="none"/>
        </w:rPr>
      </w:pPr>
      <w:r>
        <w:rPr>
          <w:color w:val="auto"/>
          <w:highlight w:val="none"/>
        </w:rPr>
        <w:t>大榄坪污水处理厂尾水排放执行《城镇污水处理厂污染物排放标准》（GB18918-2002）一级A标准后排放。</w:t>
      </w:r>
    </w:p>
    <w:p w14:paraId="501E47CC">
      <w:pPr>
        <w:pStyle w:val="38"/>
        <w:spacing w:after="0" w:line="240" w:lineRule="auto"/>
        <w:ind w:firstLine="0" w:firstLineChars="0"/>
        <w:jc w:val="center"/>
        <w:rPr>
          <w:b/>
          <w:color w:val="auto"/>
          <w:sz w:val="21"/>
          <w:szCs w:val="21"/>
          <w:highlight w:val="none"/>
        </w:rPr>
      </w:pPr>
      <w:r>
        <w:rPr>
          <w:b/>
          <w:color w:val="auto"/>
          <w:sz w:val="21"/>
          <w:szCs w:val="21"/>
          <w:highlight w:val="none"/>
        </w:rPr>
        <w:t>表1.3-</w:t>
      </w:r>
      <w:r>
        <w:rPr>
          <w:rFonts w:hint="eastAsia"/>
          <w:b/>
          <w:color w:val="auto"/>
          <w:sz w:val="21"/>
          <w:szCs w:val="21"/>
          <w:highlight w:val="none"/>
        </w:rPr>
        <w:t>8</w:t>
      </w:r>
      <w:r>
        <w:rPr>
          <w:b/>
          <w:color w:val="auto"/>
          <w:sz w:val="21"/>
          <w:szCs w:val="21"/>
          <w:highlight w:val="none"/>
        </w:rPr>
        <w:t xml:space="preserve"> 《城镇污水处理厂污染物排放标准》（GB18918-2002）一级A标准（摘录）</w:t>
      </w:r>
    </w:p>
    <w:tbl>
      <w:tblPr>
        <w:tblStyle w:val="92"/>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92"/>
        <w:gridCol w:w="3329"/>
        <w:gridCol w:w="4763"/>
      </w:tblGrid>
      <w:tr w14:paraId="5D6CE1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42" w:type="pct"/>
            <w:tcBorders>
              <w:tl2br w:val="nil"/>
              <w:tr2bl w:val="nil"/>
            </w:tcBorders>
            <w:vAlign w:val="center"/>
          </w:tcPr>
          <w:p w14:paraId="34B546E9">
            <w:pPr>
              <w:overflowPunct w:val="0"/>
              <w:autoSpaceDE w:val="0"/>
              <w:autoSpaceDN w:val="0"/>
              <w:spacing w:line="240" w:lineRule="auto"/>
              <w:ind w:firstLine="0" w:firstLineChars="0"/>
              <w:jc w:val="center"/>
              <w:textAlignment w:val="bottom"/>
              <w:rPr>
                <w:b/>
                <w:color w:val="auto"/>
                <w:sz w:val="21"/>
                <w:szCs w:val="21"/>
                <w:highlight w:val="none"/>
              </w:rPr>
            </w:pPr>
            <w:r>
              <w:rPr>
                <w:b/>
                <w:color w:val="auto"/>
                <w:sz w:val="21"/>
                <w:szCs w:val="21"/>
                <w:highlight w:val="none"/>
              </w:rPr>
              <w:t>序号</w:t>
            </w:r>
          </w:p>
        </w:tc>
        <w:tc>
          <w:tcPr>
            <w:tcW w:w="1793" w:type="pct"/>
            <w:tcBorders>
              <w:tl2br w:val="nil"/>
              <w:tr2bl w:val="nil"/>
            </w:tcBorders>
            <w:vAlign w:val="center"/>
          </w:tcPr>
          <w:p w14:paraId="296E1E68">
            <w:pPr>
              <w:spacing w:line="240" w:lineRule="auto"/>
              <w:ind w:firstLine="0" w:firstLineChars="0"/>
              <w:jc w:val="center"/>
              <w:rPr>
                <w:b/>
                <w:color w:val="auto"/>
                <w:sz w:val="21"/>
                <w:szCs w:val="21"/>
                <w:highlight w:val="none"/>
              </w:rPr>
            </w:pPr>
            <w:r>
              <w:rPr>
                <w:b/>
                <w:color w:val="auto"/>
                <w:sz w:val="21"/>
                <w:szCs w:val="21"/>
                <w:highlight w:val="none"/>
              </w:rPr>
              <w:t>污染物</w:t>
            </w:r>
          </w:p>
        </w:tc>
        <w:tc>
          <w:tcPr>
            <w:tcW w:w="2565" w:type="pct"/>
            <w:tcBorders>
              <w:tl2br w:val="nil"/>
              <w:tr2bl w:val="nil"/>
            </w:tcBorders>
            <w:vAlign w:val="center"/>
          </w:tcPr>
          <w:p w14:paraId="00913362">
            <w:pPr>
              <w:overflowPunct w:val="0"/>
              <w:autoSpaceDE w:val="0"/>
              <w:autoSpaceDN w:val="0"/>
              <w:spacing w:line="240" w:lineRule="auto"/>
              <w:ind w:firstLine="0" w:firstLineChars="0"/>
              <w:jc w:val="center"/>
              <w:textAlignment w:val="bottom"/>
              <w:rPr>
                <w:b/>
                <w:color w:val="auto"/>
                <w:sz w:val="21"/>
                <w:szCs w:val="21"/>
                <w:highlight w:val="none"/>
              </w:rPr>
            </w:pPr>
            <w:r>
              <w:rPr>
                <w:b/>
                <w:color w:val="auto"/>
                <w:sz w:val="21"/>
                <w:szCs w:val="21"/>
                <w:highlight w:val="none"/>
              </w:rPr>
              <w:t>标准限值</w:t>
            </w:r>
          </w:p>
        </w:tc>
      </w:tr>
      <w:tr w14:paraId="5962D6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pct"/>
            <w:tcBorders>
              <w:tl2br w:val="nil"/>
              <w:tr2bl w:val="nil"/>
            </w:tcBorders>
            <w:vAlign w:val="center"/>
          </w:tcPr>
          <w:p w14:paraId="351521AF">
            <w:pPr>
              <w:spacing w:line="240" w:lineRule="auto"/>
              <w:ind w:firstLine="0" w:firstLineChars="0"/>
              <w:jc w:val="center"/>
              <w:rPr>
                <w:color w:val="auto"/>
                <w:sz w:val="21"/>
                <w:szCs w:val="21"/>
                <w:highlight w:val="none"/>
              </w:rPr>
            </w:pPr>
            <w:r>
              <w:rPr>
                <w:color w:val="auto"/>
                <w:sz w:val="21"/>
                <w:szCs w:val="21"/>
                <w:highlight w:val="none"/>
              </w:rPr>
              <w:t>1</w:t>
            </w:r>
          </w:p>
        </w:tc>
        <w:tc>
          <w:tcPr>
            <w:tcW w:w="1793" w:type="pct"/>
            <w:tcBorders>
              <w:tl2br w:val="nil"/>
              <w:tr2bl w:val="nil"/>
            </w:tcBorders>
            <w:vAlign w:val="center"/>
          </w:tcPr>
          <w:p w14:paraId="06B9FE82">
            <w:pPr>
              <w:spacing w:line="240" w:lineRule="auto"/>
              <w:ind w:firstLine="0" w:firstLineChars="0"/>
              <w:jc w:val="center"/>
              <w:rPr>
                <w:color w:val="auto"/>
                <w:sz w:val="21"/>
                <w:szCs w:val="21"/>
                <w:highlight w:val="none"/>
              </w:rPr>
            </w:pPr>
            <w:r>
              <w:rPr>
                <w:color w:val="auto"/>
                <w:sz w:val="21"/>
                <w:szCs w:val="21"/>
                <w:highlight w:val="none"/>
              </w:rPr>
              <w:t>pH</w:t>
            </w:r>
          </w:p>
        </w:tc>
        <w:tc>
          <w:tcPr>
            <w:tcW w:w="2565" w:type="pct"/>
            <w:tcBorders>
              <w:tl2br w:val="nil"/>
              <w:tr2bl w:val="nil"/>
            </w:tcBorders>
            <w:vAlign w:val="center"/>
          </w:tcPr>
          <w:p w14:paraId="28658317">
            <w:pPr>
              <w:spacing w:line="240" w:lineRule="auto"/>
              <w:ind w:firstLine="0" w:firstLineChars="0"/>
              <w:jc w:val="center"/>
              <w:rPr>
                <w:color w:val="auto"/>
                <w:sz w:val="21"/>
                <w:szCs w:val="21"/>
                <w:highlight w:val="none"/>
              </w:rPr>
            </w:pPr>
            <w:r>
              <w:rPr>
                <w:color w:val="auto"/>
                <w:sz w:val="21"/>
                <w:szCs w:val="21"/>
                <w:highlight w:val="none"/>
              </w:rPr>
              <w:t>6~9</w:t>
            </w:r>
          </w:p>
        </w:tc>
      </w:tr>
      <w:tr w14:paraId="18075D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pct"/>
            <w:tcBorders>
              <w:tl2br w:val="nil"/>
              <w:tr2bl w:val="nil"/>
            </w:tcBorders>
            <w:vAlign w:val="center"/>
          </w:tcPr>
          <w:p w14:paraId="3FC17D36">
            <w:pPr>
              <w:spacing w:line="240" w:lineRule="auto"/>
              <w:ind w:firstLine="0" w:firstLineChars="0"/>
              <w:jc w:val="center"/>
              <w:rPr>
                <w:color w:val="auto"/>
                <w:sz w:val="21"/>
                <w:szCs w:val="21"/>
                <w:highlight w:val="none"/>
              </w:rPr>
            </w:pPr>
            <w:r>
              <w:rPr>
                <w:color w:val="auto"/>
                <w:sz w:val="21"/>
                <w:szCs w:val="21"/>
                <w:highlight w:val="none"/>
              </w:rPr>
              <w:t>2</w:t>
            </w:r>
          </w:p>
        </w:tc>
        <w:tc>
          <w:tcPr>
            <w:tcW w:w="1793" w:type="pct"/>
            <w:tcBorders>
              <w:tl2br w:val="nil"/>
              <w:tr2bl w:val="nil"/>
            </w:tcBorders>
            <w:vAlign w:val="center"/>
          </w:tcPr>
          <w:p w14:paraId="7CED4A0B">
            <w:pPr>
              <w:spacing w:line="240" w:lineRule="auto"/>
              <w:ind w:firstLine="0" w:firstLineChars="0"/>
              <w:jc w:val="center"/>
              <w:rPr>
                <w:color w:val="auto"/>
                <w:sz w:val="21"/>
                <w:szCs w:val="21"/>
                <w:highlight w:val="none"/>
              </w:rPr>
            </w:pPr>
            <w:r>
              <w:rPr>
                <w:color w:val="auto"/>
                <w:sz w:val="21"/>
                <w:szCs w:val="21"/>
                <w:highlight w:val="none"/>
              </w:rPr>
              <w:t>色度（稀释倍数）</w:t>
            </w:r>
          </w:p>
        </w:tc>
        <w:tc>
          <w:tcPr>
            <w:tcW w:w="2565" w:type="pct"/>
            <w:tcBorders>
              <w:tl2br w:val="nil"/>
              <w:tr2bl w:val="nil"/>
            </w:tcBorders>
            <w:vAlign w:val="center"/>
          </w:tcPr>
          <w:p w14:paraId="363E8880">
            <w:pPr>
              <w:spacing w:line="240" w:lineRule="auto"/>
              <w:ind w:firstLine="0" w:firstLineChars="0"/>
              <w:jc w:val="center"/>
              <w:rPr>
                <w:color w:val="auto"/>
                <w:sz w:val="21"/>
                <w:szCs w:val="21"/>
                <w:highlight w:val="none"/>
              </w:rPr>
            </w:pPr>
            <w:r>
              <w:rPr>
                <w:color w:val="auto"/>
                <w:sz w:val="21"/>
                <w:szCs w:val="21"/>
                <w:highlight w:val="none"/>
              </w:rPr>
              <w:t>30</w:t>
            </w:r>
          </w:p>
        </w:tc>
      </w:tr>
      <w:tr w14:paraId="2F2C43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pct"/>
            <w:tcBorders>
              <w:tl2br w:val="nil"/>
              <w:tr2bl w:val="nil"/>
            </w:tcBorders>
            <w:vAlign w:val="center"/>
          </w:tcPr>
          <w:p w14:paraId="6DA4AB59">
            <w:pPr>
              <w:spacing w:line="240" w:lineRule="auto"/>
              <w:ind w:firstLine="0" w:firstLineChars="0"/>
              <w:jc w:val="center"/>
              <w:rPr>
                <w:color w:val="auto"/>
                <w:sz w:val="21"/>
                <w:szCs w:val="21"/>
                <w:highlight w:val="none"/>
              </w:rPr>
            </w:pPr>
            <w:r>
              <w:rPr>
                <w:color w:val="auto"/>
                <w:sz w:val="21"/>
                <w:szCs w:val="21"/>
                <w:highlight w:val="none"/>
              </w:rPr>
              <w:t>3</w:t>
            </w:r>
          </w:p>
        </w:tc>
        <w:tc>
          <w:tcPr>
            <w:tcW w:w="1793" w:type="pct"/>
            <w:tcBorders>
              <w:tl2br w:val="nil"/>
              <w:tr2bl w:val="nil"/>
            </w:tcBorders>
            <w:vAlign w:val="center"/>
          </w:tcPr>
          <w:p w14:paraId="614E674C">
            <w:pPr>
              <w:spacing w:line="240" w:lineRule="auto"/>
              <w:ind w:firstLine="0" w:firstLineChars="0"/>
              <w:jc w:val="center"/>
              <w:rPr>
                <w:color w:val="auto"/>
                <w:sz w:val="21"/>
                <w:szCs w:val="21"/>
                <w:highlight w:val="none"/>
              </w:rPr>
            </w:pPr>
            <w:r>
              <w:rPr>
                <w:color w:val="auto"/>
                <w:sz w:val="21"/>
                <w:szCs w:val="21"/>
                <w:highlight w:val="none"/>
              </w:rPr>
              <w:t>悬浮物（mg/L）</w:t>
            </w:r>
          </w:p>
        </w:tc>
        <w:tc>
          <w:tcPr>
            <w:tcW w:w="2565" w:type="pct"/>
            <w:tcBorders>
              <w:tl2br w:val="nil"/>
              <w:tr2bl w:val="nil"/>
            </w:tcBorders>
            <w:vAlign w:val="center"/>
          </w:tcPr>
          <w:p w14:paraId="17DDB317">
            <w:pPr>
              <w:spacing w:line="240" w:lineRule="auto"/>
              <w:ind w:firstLine="0" w:firstLineChars="0"/>
              <w:jc w:val="center"/>
              <w:rPr>
                <w:color w:val="auto"/>
                <w:sz w:val="21"/>
                <w:szCs w:val="21"/>
                <w:highlight w:val="none"/>
              </w:rPr>
            </w:pPr>
            <w:r>
              <w:rPr>
                <w:color w:val="auto"/>
                <w:sz w:val="21"/>
                <w:szCs w:val="21"/>
                <w:highlight w:val="none"/>
              </w:rPr>
              <w:t>10</w:t>
            </w:r>
          </w:p>
        </w:tc>
      </w:tr>
      <w:tr w14:paraId="172878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pct"/>
            <w:tcBorders>
              <w:tl2br w:val="nil"/>
              <w:tr2bl w:val="nil"/>
            </w:tcBorders>
            <w:vAlign w:val="center"/>
          </w:tcPr>
          <w:p w14:paraId="501672A4">
            <w:pPr>
              <w:spacing w:line="240" w:lineRule="auto"/>
              <w:ind w:firstLine="0" w:firstLineChars="0"/>
              <w:jc w:val="center"/>
              <w:rPr>
                <w:color w:val="auto"/>
                <w:sz w:val="21"/>
                <w:szCs w:val="21"/>
                <w:highlight w:val="none"/>
              </w:rPr>
            </w:pPr>
            <w:r>
              <w:rPr>
                <w:color w:val="auto"/>
                <w:sz w:val="21"/>
                <w:szCs w:val="21"/>
                <w:highlight w:val="none"/>
              </w:rPr>
              <w:t>4</w:t>
            </w:r>
          </w:p>
        </w:tc>
        <w:tc>
          <w:tcPr>
            <w:tcW w:w="1793" w:type="pct"/>
            <w:tcBorders>
              <w:tl2br w:val="nil"/>
              <w:tr2bl w:val="nil"/>
            </w:tcBorders>
            <w:vAlign w:val="center"/>
          </w:tcPr>
          <w:p w14:paraId="0838DAA5">
            <w:pPr>
              <w:spacing w:line="240" w:lineRule="auto"/>
              <w:ind w:firstLine="0" w:firstLineChars="0"/>
              <w:jc w:val="center"/>
              <w:rPr>
                <w:color w:val="auto"/>
                <w:sz w:val="21"/>
                <w:szCs w:val="21"/>
                <w:highlight w:val="none"/>
              </w:rPr>
            </w:pPr>
            <w:r>
              <w:rPr>
                <w:color w:val="auto"/>
                <w:sz w:val="21"/>
                <w:szCs w:val="21"/>
                <w:highlight w:val="none"/>
              </w:rPr>
              <w:t>生化需氧量（mg/L）</w:t>
            </w:r>
          </w:p>
        </w:tc>
        <w:tc>
          <w:tcPr>
            <w:tcW w:w="2565" w:type="pct"/>
            <w:tcBorders>
              <w:tl2br w:val="nil"/>
              <w:tr2bl w:val="nil"/>
            </w:tcBorders>
            <w:vAlign w:val="center"/>
          </w:tcPr>
          <w:p w14:paraId="08288FFC">
            <w:pPr>
              <w:spacing w:line="240" w:lineRule="auto"/>
              <w:ind w:firstLine="0" w:firstLineChars="0"/>
              <w:jc w:val="center"/>
              <w:rPr>
                <w:color w:val="auto"/>
                <w:sz w:val="21"/>
                <w:szCs w:val="21"/>
                <w:highlight w:val="none"/>
              </w:rPr>
            </w:pPr>
            <w:r>
              <w:rPr>
                <w:color w:val="auto"/>
                <w:sz w:val="21"/>
                <w:szCs w:val="21"/>
                <w:highlight w:val="none"/>
              </w:rPr>
              <w:t>10</w:t>
            </w:r>
          </w:p>
        </w:tc>
      </w:tr>
      <w:tr w14:paraId="037A48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pct"/>
            <w:tcBorders>
              <w:tl2br w:val="nil"/>
              <w:tr2bl w:val="nil"/>
            </w:tcBorders>
            <w:vAlign w:val="center"/>
          </w:tcPr>
          <w:p w14:paraId="0697816A">
            <w:pPr>
              <w:spacing w:line="240" w:lineRule="auto"/>
              <w:ind w:firstLine="0" w:firstLineChars="0"/>
              <w:jc w:val="center"/>
              <w:rPr>
                <w:color w:val="auto"/>
                <w:sz w:val="21"/>
                <w:szCs w:val="21"/>
                <w:highlight w:val="none"/>
              </w:rPr>
            </w:pPr>
            <w:r>
              <w:rPr>
                <w:color w:val="auto"/>
                <w:sz w:val="21"/>
                <w:szCs w:val="21"/>
                <w:highlight w:val="none"/>
              </w:rPr>
              <w:t>5</w:t>
            </w:r>
          </w:p>
        </w:tc>
        <w:tc>
          <w:tcPr>
            <w:tcW w:w="1793" w:type="pct"/>
            <w:tcBorders>
              <w:tl2br w:val="nil"/>
              <w:tr2bl w:val="nil"/>
            </w:tcBorders>
            <w:vAlign w:val="center"/>
          </w:tcPr>
          <w:p w14:paraId="7D4C66EB">
            <w:pPr>
              <w:spacing w:line="240" w:lineRule="auto"/>
              <w:ind w:firstLine="0" w:firstLineChars="0"/>
              <w:jc w:val="center"/>
              <w:rPr>
                <w:color w:val="auto"/>
                <w:sz w:val="21"/>
                <w:szCs w:val="21"/>
                <w:highlight w:val="none"/>
              </w:rPr>
            </w:pPr>
            <w:r>
              <w:rPr>
                <w:color w:val="auto"/>
                <w:sz w:val="21"/>
                <w:szCs w:val="21"/>
                <w:highlight w:val="none"/>
              </w:rPr>
              <w:t>化学需氧量（mg/L）</w:t>
            </w:r>
          </w:p>
        </w:tc>
        <w:tc>
          <w:tcPr>
            <w:tcW w:w="2565" w:type="pct"/>
            <w:tcBorders>
              <w:tl2br w:val="nil"/>
              <w:tr2bl w:val="nil"/>
            </w:tcBorders>
            <w:vAlign w:val="center"/>
          </w:tcPr>
          <w:p w14:paraId="7715340A">
            <w:pPr>
              <w:spacing w:line="240" w:lineRule="auto"/>
              <w:ind w:firstLine="0" w:firstLineChars="0"/>
              <w:jc w:val="center"/>
              <w:rPr>
                <w:color w:val="auto"/>
                <w:sz w:val="21"/>
                <w:szCs w:val="21"/>
                <w:highlight w:val="none"/>
              </w:rPr>
            </w:pPr>
            <w:r>
              <w:rPr>
                <w:color w:val="auto"/>
                <w:sz w:val="21"/>
                <w:szCs w:val="21"/>
                <w:highlight w:val="none"/>
              </w:rPr>
              <w:t>50</w:t>
            </w:r>
          </w:p>
        </w:tc>
      </w:tr>
      <w:tr w14:paraId="348351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pct"/>
            <w:tcBorders>
              <w:tl2br w:val="nil"/>
              <w:tr2bl w:val="nil"/>
            </w:tcBorders>
            <w:vAlign w:val="center"/>
          </w:tcPr>
          <w:p w14:paraId="0538C9D3">
            <w:pPr>
              <w:spacing w:line="240" w:lineRule="auto"/>
              <w:ind w:firstLine="0" w:firstLineChars="0"/>
              <w:jc w:val="center"/>
              <w:rPr>
                <w:color w:val="auto"/>
                <w:sz w:val="21"/>
                <w:szCs w:val="21"/>
                <w:highlight w:val="none"/>
              </w:rPr>
            </w:pPr>
            <w:r>
              <w:rPr>
                <w:color w:val="auto"/>
                <w:sz w:val="21"/>
                <w:szCs w:val="21"/>
                <w:highlight w:val="none"/>
              </w:rPr>
              <w:t>6</w:t>
            </w:r>
          </w:p>
        </w:tc>
        <w:tc>
          <w:tcPr>
            <w:tcW w:w="1793" w:type="pct"/>
            <w:tcBorders>
              <w:tl2br w:val="nil"/>
              <w:tr2bl w:val="nil"/>
            </w:tcBorders>
            <w:vAlign w:val="center"/>
          </w:tcPr>
          <w:p w14:paraId="6EA369C8">
            <w:pPr>
              <w:spacing w:line="240" w:lineRule="auto"/>
              <w:ind w:firstLine="0" w:firstLineChars="0"/>
              <w:jc w:val="center"/>
              <w:rPr>
                <w:color w:val="auto"/>
                <w:sz w:val="21"/>
                <w:szCs w:val="21"/>
                <w:highlight w:val="none"/>
              </w:rPr>
            </w:pPr>
            <w:r>
              <w:rPr>
                <w:color w:val="auto"/>
                <w:sz w:val="21"/>
                <w:szCs w:val="21"/>
                <w:highlight w:val="none"/>
              </w:rPr>
              <w:t>氨氮（mg/L）</w:t>
            </w:r>
          </w:p>
        </w:tc>
        <w:tc>
          <w:tcPr>
            <w:tcW w:w="2565" w:type="pct"/>
            <w:tcBorders>
              <w:tl2br w:val="nil"/>
              <w:tr2bl w:val="nil"/>
            </w:tcBorders>
            <w:vAlign w:val="center"/>
          </w:tcPr>
          <w:p w14:paraId="0E1E1E76">
            <w:pPr>
              <w:spacing w:line="240" w:lineRule="auto"/>
              <w:ind w:firstLine="0" w:firstLineChars="0"/>
              <w:jc w:val="center"/>
              <w:rPr>
                <w:color w:val="auto"/>
                <w:sz w:val="21"/>
                <w:szCs w:val="21"/>
                <w:highlight w:val="none"/>
              </w:rPr>
            </w:pPr>
            <w:r>
              <w:rPr>
                <w:color w:val="auto"/>
                <w:sz w:val="21"/>
                <w:szCs w:val="21"/>
                <w:highlight w:val="none"/>
              </w:rPr>
              <w:t>5</w:t>
            </w:r>
          </w:p>
        </w:tc>
      </w:tr>
      <w:tr w14:paraId="7E8618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pct"/>
            <w:tcBorders>
              <w:tl2br w:val="nil"/>
              <w:tr2bl w:val="nil"/>
            </w:tcBorders>
            <w:vAlign w:val="center"/>
          </w:tcPr>
          <w:p w14:paraId="2CDF999B">
            <w:pPr>
              <w:spacing w:line="240" w:lineRule="auto"/>
              <w:ind w:firstLine="0" w:firstLineChars="0"/>
              <w:jc w:val="center"/>
              <w:rPr>
                <w:color w:val="auto"/>
                <w:sz w:val="21"/>
                <w:szCs w:val="21"/>
                <w:highlight w:val="none"/>
              </w:rPr>
            </w:pPr>
            <w:r>
              <w:rPr>
                <w:color w:val="auto"/>
                <w:sz w:val="21"/>
                <w:szCs w:val="21"/>
                <w:highlight w:val="none"/>
              </w:rPr>
              <w:t>7</w:t>
            </w:r>
          </w:p>
        </w:tc>
        <w:tc>
          <w:tcPr>
            <w:tcW w:w="1793" w:type="pct"/>
            <w:tcBorders>
              <w:tl2br w:val="nil"/>
              <w:tr2bl w:val="nil"/>
            </w:tcBorders>
            <w:vAlign w:val="center"/>
          </w:tcPr>
          <w:p w14:paraId="19149C6A">
            <w:pPr>
              <w:spacing w:line="240" w:lineRule="auto"/>
              <w:ind w:firstLine="0" w:firstLineChars="0"/>
              <w:jc w:val="center"/>
              <w:rPr>
                <w:color w:val="auto"/>
                <w:sz w:val="21"/>
                <w:szCs w:val="21"/>
                <w:highlight w:val="none"/>
              </w:rPr>
            </w:pPr>
            <w:r>
              <w:rPr>
                <w:color w:val="auto"/>
                <w:sz w:val="21"/>
                <w:szCs w:val="21"/>
                <w:highlight w:val="none"/>
              </w:rPr>
              <w:t>石油类（mg/L）</w:t>
            </w:r>
          </w:p>
        </w:tc>
        <w:tc>
          <w:tcPr>
            <w:tcW w:w="2565" w:type="pct"/>
            <w:tcBorders>
              <w:tl2br w:val="nil"/>
              <w:tr2bl w:val="nil"/>
            </w:tcBorders>
            <w:vAlign w:val="center"/>
          </w:tcPr>
          <w:p w14:paraId="46C13E76">
            <w:pPr>
              <w:spacing w:line="240" w:lineRule="auto"/>
              <w:ind w:firstLine="0" w:firstLineChars="0"/>
              <w:jc w:val="center"/>
              <w:rPr>
                <w:color w:val="auto"/>
                <w:sz w:val="21"/>
                <w:szCs w:val="21"/>
                <w:highlight w:val="none"/>
              </w:rPr>
            </w:pPr>
            <w:r>
              <w:rPr>
                <w:color w:val="auto"/>
                <w:sz w:val="21"/>
                <w:szCs w:val="21"/>
                <w:highlight w:val="none"/>
              </w:rPr>
              <w:t>1</w:t>
            </w:r>
          </w:p>
        </w:tc>
      </w:tr>
    </w:tbl>
    <w:p w14:paraId="795EF6DE">
      <w:pPr>
        <w:pStyle w:val="533"/>
        <w:numPr>
          <w:ilvl w:val="3"/>
          <w:numId w:val="9"/>
        </w:numPr>
        <w:rPr>
          <w:color w:val="auto"/>
          <w:szCs w:val="24"/>
          <w:highlight w:val="none"/>
        </w:rPr>
      </w:pPr>
      <w:r>
        <w:rPr>
          <w:color w:val="auto"/>
          <w:szCs w:val="24"/>
          <w:highlight w:val="none"/>
        </w:rPr>
        <w:t>噪声</w:t>
      </w:r>
    </w:p>
    <w:p w14:paraId="4B31AC24">
      <w:pPr>
        <w:widowControl/>
        <w:ind w:firstLine="480"/>
        <w:rPr>
          <w:rFonts w:eastAsiaTheme="minorEastAsia"/>
          <w:color w:val="auto"/>
          <w:highlight w:val="none"/>
        </w:rPr>
      </w:pPr>
      <w:r>
        <w:rPr>
          <w:bCs/>
          <w:color w:val="auto"/>
          <w:highlight w:val="none"/>
        </w:rPr>
        <w:t>施工期场界噪声执行《建筑施工噪声排放标准》（GB12523-2025），具体数值见表1.3-</w:t>
      </w:r>
      <w:r>
        <w:rPr>
          <w:rFonts w:hint="eastAsia"/>
          <w:bCs/>
          <w:color w:val="auto"/>
          <w:highlight w:val="none"/>
        </w:rPr>
        <w:t>9</w:t>
      </w:r>
      <w:r>
        <w:rPr>
          <w:bCs/>
          <w:color w:val="auto"/>
          <w:highlight w:val="none"/>
        </w:rPr>
        <w:t>；</w:t>
      </w:r>
    </w:p>
    <w:p w14:paraId="4BA5C6E8">
      <w:pPr>
        <w:pStyle w:val="38"/>
        <w:spacing w:after="0" w:line="240" w:lineRule="auto"/>
        <w:ind w:firstLine="0" w:firstLineChars="0"/>
        <w:jc w:val="center"/>
        <w:rPr>
          <w:b/>
          <w:color w:val="auto"/>
          <w:sz w:val="21"/>
          <w:szCs w:val="21"/>
          <w:highlight w:val="none"/>
        </w:rPr>
      </w:pPr>
      <w:r>
        <w:rPr>
          <w:b/>
          <w:color w:val="auto"/>
          <w:sz w:val="21"/>
          <w:szCs w:val="21"/>
          <w:highlight w:val="none"/>
        </w:rPr>
        <w:t>表1.3-</w:t>
      </w:r>
      <w:r>
        <w:rPr>
          <w:rFonts w:hint="eastAsia"/>
          <w:b/>
          <w:color w:val="auto"/>
          <w:sz w:val="21"/>
          <w:szCs w:val="21"/>
          <w:highlight w:val="none"/>
        </w:rPr>
        <w:t>9</w:t>
      </w:r>
      <w:r>
        <w:rPr>
          <w:b/>
          <w:color w:val="auto"/>
          <w:sz w:val="21"/>
          <w:szCs w:val="21"/>
          <w:highlight w:val="none"/>
        </w:rPr>
        <w:t xml:space="preserve"> 《建筑施工噪声排放标准》（GB12523-2025）（摘录）</w:t>
      </w:r>
    </w:p>
    <w:tbl>
      <w:tblPr>
        <w:tblStyle w:val="92"/>
        <w:tblW w:w="907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4394"/>
        <w:gridCol w:w="4678"/>
      </w:tblGrid>
      <w:tr w14:paraId="6DD49A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394" w:type="dxa"/>
            <w:vAlign w:val="center"/>
          </w:tcPr>
          <w:p w14:paraId="31CC865A">
            <w:pPr>
              <w:pStyle w:val="523"/>
              <w:spacing w:line="240" w:lineRule="auto"/>
              <w:ind w:left="0" w:leftChars="0" w:right="0" w:rightChars="0"/>
              <w:rPr>
                <w:color w:val="auto"/>
                <w:highlight w:val="none"/>
              </w:rPr>
            </w:pPr>
            <w:r>
              <w:rPr>
                <w:color w:val="auto"/>
                <w:highlight w:val="none"/>
              </w:rPr>
              <w:t>昼间</w:t>
            </w:r>
          </w:p>
        </w:tc>
        <w:tc>
          <w:tcPr>
            <w:tcW w:w="4678" w:type="dxa"/>
            <w:vAlign w:val="center"/>
          </w:tcPr>
          <w:p w14:paraId="0E4AFCE5">
            <w:pPr>
              <w:pStyle w:val="523"/>
              <w:spacing w:line="240" w:lineRule="auto"/>
              <w:ind w:left="0" w:leftChars="0" w:right="0" w:rightChars="0"/>
              <w:rPr>
                <w:color w:val="auto"/>
                <w:highlight w:val="none"/>
              </w:rPr>
            </w:pPr>
            <w:r>
              <w:rPr>
                <w:color w:val="auto"/>
                <w:highlight w:val="none"/>
              </w:rPr>
              <w:t>夜间</w:t>
            </w:r>
          </w:p>
        </w:tc>
      </w:tr>
      <w:tr w14:paraId="03F331C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394" w:type="dxa"/>
            <w:vAlign w:val="center"/>
          </w:tcPr>
          <w:p w14:paraId="103D1099">
            <w:pPr>
              <w:pStyle w:val="588"/>
              <w:widowControl w:val="0"/>
              <w:rPr>
                <w:b w:val="0"/>
                <w:color w:val="auto"/>
                <w:highlight w:val="none"/>
              </w:rPr>
            </w:pPr>
            <w:r>
              <w:rPr>
                <w:b w:val="0"/>
                <w:color w:val="auto"/>
                <w:highlight w:val="none"/>
              </w:rPr>
              <w:t>70</w:t>
            </w:r>
            <w:r>
              <w:rPr>
                <w:rFonts w:eastAsiaTheme="minorEastAsia"/>
                <w:b w:val="0"/>
                <w:color w:val="auto"/>
                <w:kern w:val="0"/>
                <w:highlight w:val="none"/>
              </w:rPr>
              <w:t>dB（A）</w:t>
            </w:r>
          </w:p>
        </w:tc>
        <w:tc>
          <w:tcPr>
            <w:tcW w:w="4678" w:type="dxa"/>
            <w:vAlign w:val="center"/>
          </w:tcPr>
          <w:p w14:paraId="11B265AC">
            <w:pPr>
              <w:pStyle w:val="588"/>
              <w:widowControl w:val="0"/>
              <w:rPr>
                <w:b w:val="0"/>
                <w:color w:val="auto"/>
                <w:highlight w:val="none"/>
              </w:rPr>
            </w:pPr>
            <w:r>
              <w:rPr>
                <w:b w:val="0"/>
                <w:color w:val="auto"/>
                <w:highlight w:val="none"/>
              </w:rPr>
              <w:t>55</w:t>
            </w:r>
            <w:r>
              <w:rPr>
                <w:rFonts w:eastAsiaTheme="minorEastAsia"/>
                <w:b w:val="0"/>
                <w:color w:val="auto"/>
                <w:kern w:val="0"/>
                <w:highlight w:val="none"/>
              </w:rPr>
              <w:t>dB（A）</w:t>
            </w:r>
          </w:p>
        </w:tc>
      </w:tr>
    </w:tbl>
    <w:p w14:paraId="23C98546">
      <w:pPr>
        <w:pStyle w:val="38"/>
        <w:spacing w:after="0" w:line="240" w:lineRule="auto"/>
        <w:ind w:firstLine="0" w:firstLineChars="0"/>
        <w:jc w:val="center"/>
        <w:rPr>
          <w:rFonts w:eastAsiaTheme="minorEastAsia"/>
          <w:color w:val="auto"/>
          <w:highlight w:val="none"/>
        </w:rPr>
      </w:pPr>
    </w:p>
    <w:p w14:paraId="050A8A14">
      <w:pPr>
        <w:pStyle w:val="38"/>
        <w:spacing w:after="0"/>
        <w:ind w:firstLine="480"/>
        <w:jc w:val="left"/>
        <w:rPr>
          <w:b/>
          <w:color w:val="auto"/>
          <w:sz w:val="21"/>
          <w:szCs w:val="21"/>
          <w:highlight w:val="none"/>
        </w:rPr>
      </w:pPr>
      <w:r>
        <w:rPr>
          <w:rFonts w:eastAsiaTheme="minorEastAsia"/>
          <w:color w:val="auto"/>
          <w:highlight w:val="none"/>
        </w:rPr>
        <w:t>运营期厂界执行《工业企业厂界环境噪声排放标准》（GB12348-2008）中3类标准，具体见下表1.3-1</w:t>
      </w:r>
      <w:r>
        <w:rPr>
          <w:rFonts w:hint="eastAsia" w:eastAsiaTheme="minorEastAsia"/>
          <w:color w:val="auto"/>
          <w:highlight w:val="none"/>
        </w:rPr>
        <w:t>0</w:t>
      </w:r>
      <w:r>
        <w:rPr>
          <w:rFonts w:eastAsiaTheme="minorEastAsia"/>
          <w:color w:val="auto"/>
          <w:highlight w:val="none"/>
        </w:rPr>
        <w:t>。</w:t>
      </w:r>
    </w:p>
    <w:p w14:paraId="005FC4DC">
      <w:pPr>
        <w:pStyle w:val="38"/>
        <w:spacing w:after="0" w:line="240" w:lineRule="auto"/>
        <w:ind w:firstLine="0" w:firstLineChars="0"/>
        <w:jc w:val="center"/>
        <w:rPr>
          <w:b/>
          <w:color w:val="auto"/>
          <w:sz w:val="21"/>
          <w:szCs w:val="21"/>
          <w:highlight w:val="none"/>
        </w:rPr>
      </w:pPr>
      <w:r>
        <w:rPr>
          <w:b/>
          <w:color w:val="auto"/>
          <w:sz w:val="21"/>
          <w:szCs w:val="21"/>
          <w:highlight w:val="none"/>
        </w:rPr>
        <w:t>表1.3-1</w:t>
      </w:r>
      <w:r>
        <w:rPr>
          <w:rFonts w:hint="eastAsia"/>
          <w:b/>
          <w:color w:val="auto"/>
          <w:sz w:val="21"/>
          <w:szCs w:val="21"/>
          <w:highlight w:val="none"/>
        </w:rPr>
        <w:t>0</w:t>
      </w:r>
      <w:r>
        <w:rPr>
          <w:b/>
          <w:color w:val="auto"/>
          <w:sz w:val="21"/>
          <w:szCs w:val="21"/>
          <w:highlight w:val="none"/>
        </w:rPr>
        <w:t xml:space="preserve">  《工业企业厂界环境噪声排放标准》（GB12348-2008）（摘录）</w:t>
      </w:r>
    </w:p>
    <w:tbl>
      <w:tblPr>
        <w:tblStyle w:val="92"/>
        <w:tblW w:w="907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676"/>
        <w:gridCol w:w="3198"/>
        <w:gridCol w:w="3198"/>
      </w:tblGrid>
      <w:tr w14:paraId="48E1DC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76" w:type="dxa"/>
            <w:vAlign w:val="center"/>
          </w:tcPr>
          <w:p w14:paraId="750FEA1C">
            <w:pPr>
              <w:pStyle w:val="523"/>
              <w:spacing w:line="240" w:lineRule="auto"/>
              <w:ind w:left="0" w:leftChars="0" w:right="0" w:rightChars="0"/>
              <w:rPr>
                <w:color w:val="auto"/>
                <w:highlight w:val="none"/>
              </w:rPr>
            </w:pPr>
            <w:r>
              <w:rPr>
                <w:color w:val="auto"/>
                <w:highlight w:val="none"/>
              </w:rPr>
              <w:t>类别</w:t>
            </w:r>
          </w:p>
        </w:tc>
        <w:tc>
          <w:tcPr>
            <w:tcW w:w="3198" w:type="dxa"/>
            <w:vAlign w:val="center"/>
          </w:tcPr>
          <w:p w14:paraId="7E952B3B">
            <w:pPr>
              <w:pStyle w:val="523"/>
              <w:spacing w:line="240" w:lineRule="auto"/>
              <w:ind w:left="0" w:leftChars="0" w:right="0" w:rightChars="0"/>
              <w:rPr>
                <w:color w:val="auto"/>
                <w:highlight w:val="none"/>
              </w:rPr>
            </w:pPr>
            <w:r>
              <w:rPr>
                <w:color w:val="auto"/>
                <w:highlight w:val="none"/>
              </w:rPr>
              <w:t>昼间</w:t>
            </w:r>
          </w:p>
        </w:tc>
        <w:tc>
          <w:tcPr>
            <w:tcW w:w="3198" w:type="dxa"/>
            <w:vAlign w:val="center"/>
          </w:tcPr>
          <w:p w14:paraId="3BA876C9">
            <w:pPr>
              <w:pStyle w:val="523"/>
              <w:spacing w:line="240" w:lineRule="auto"/>
              <w:ind w:left="0" w:leftChars="0" w:right="0" w:rightChars="0"/>
              <w:rPr>
                <w:color w:val="auto"/>
                <w:highlight w:val="none"/>
              </w:rPr>
            </w:pPr>
            <w:r>
              <w:rPr>
                <w:color w:val="auto"/>
                <w:highlight w:val="none"/>
              </w:rPr>
              <w:t>夜间</w:t>
            </w:r>
          </w:p>
        </w:tc>
      </w:tr>
      <w:tr w14:paraId="6CA8DB3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76" w:type="dxa"/>
            <w:vAlign w:val="center"/>
          </w:tcPr>
          <w:p w14:paraId="1BDCBD82">
            <w:pPr>
              <w:pStyle w:val="523"/>
              <w:spacing w:line="240" w:lineRule="auto"/>
              <w:ind w:left="0" w:leftChars="0" w:right="0" w:rightChars="0"/>
              <w:rPr>
                <w:color w:val="auto"/>
                <w:highlight w:val="none"/>
              </w:rPr>
            </w:pPr>
            <w:r>
              <w:rPr>
                <w:color w:val="auto"/>
                <w:highlight w:val="none"/>
              </w:rPr>
              <w:t>3类</w:t>
            </w:r>
          </w:p>
        </w:tc>
        <w:tc>
          <w:tcPr>
            <w:tcW w:w="3198" w:type="dxa"/>
            <w:vAlign w:val="center"/>
          </w:tcPr>
          <w:p w14:paraId="7E5EEF14">
            <w:pPr>
              <w:pStyle w:val="523"/>
              <w:spacing w:line="240" w:lineRule="auto"/>
              <w:ind w:left="0" w:leftChars="0" w:right="0" w:rightChars="0"/>
              <w:rPr>
                <w:color w:val="auto"/>
                <w:highlight w:val="none"/>
              </w:rPr>
            </w:pPr>
            <w:r>
              <w:rPr>
                <w:color w:val="auto"/>
                <w:highlight w:val="none"/>
              </w:rPr>
              <w:t>65dB（A）</w:t>
            </w:r>
          </w:p>
        </w:tc>
        <w:tc>
          <w:tcPr>
            <w:tcW w:w="3198" w:type="dxa"/>
            <w:vAlign w:val="center"/>
          </w:tcPr>
          <w:p w14:paraId="1B06BDB7">
            <w:pPr>
              <w:pStyle w:val="523"/>
              <w:spacing w:line="240" w:lineRule="auto"/>
              <w:ind w:left="0" w:leftChars="0" w:right="0" w:rightChars="0"/>
              <w:rPr>
                <w:color w:val="auto"/>
                <w:highlight w:val="none"/>
              </w:rPr>
            </w:pPr>
            <w:r>
              <w:rPr>
                <w:color w:val="auto"/>
                <w:highlight w:val="none"/>
              </w:rPr>
              <w:t>55dB（A）</w:t>
            </w:r>
          </w:p>
        </w:tc>
      </w:tr>
    </w:tbl>
    <w:p w14:paraId="24EF911F">
      <w:pPr>
        <w:ind w:left="480" w:leftChars="200" w:firstLine="0" w:firstLineChars="0"/>
        <w:rPr>
          <w:color w:val="auto"/>
          <w:highlight w:val="none"/>
        </w:rPr>
      </w:pPr>
    </w:p>
    <w:p w14:paraId="159F23B6">
      <w:pPr>
        <w:pStyle w:val="533"/>
        <w:numPr>
          <w:ilvl w:val="3"/>
          <w:numId w:val="9"/>
        </w:numPr>
        <w:rPr>
          <w:color w:val="auto"/>
          <w:szCs w:val="24"/>
          <w:highlight w:val="none"/>
        </w:rPr>
      </w:pPr>
      <w:r>
        <w:rPr>
          <w:color w:val="auto"/>
          <w:szCs w:val="24"/>
          <w:highlight w:val="none"/>
        </w:rPr>
        <w:t>固体废物</w:t>
      </w:r>
    </w:p>
    <w:p w14:paraId="1529C19B">
      <w:pPr>
        <w:ind w:firstLine="480"/>
        <w:rPr>
          <w:bCs/>
          <w:color w:val="auto"/>
          <w:highlight w:val="none"/>
        </w:rPr>
      </w:pPr>
      <w:r>
        <w:rPr>
          <w:bCs/>
          <w:color w:val="auto"/>
          <w:highlight w:val="none"/>
        </w:rPr>
        <w:t>项目一般固体废物执行《一般工业固体废物贮存和填埋污染控制标准》（GB18599-2020），船舶垃圾处置按《船舶水污染物排放控制标准》（GB3552-2018）要求执行</w:t>
      </w:r>
      <w:r>
        <w:rPr>
          <w:rFonts w:hint="eastAsia"/>
          <w:bCs/>
          <w:color w:val="auto"/>
          <w:highlight w:val="none"/>
        </w:rPr>
        <w:t>；</w:t>
      </w:r>
      <w:r>
        <w:rPr>
          <w:bCs/>
          <w:color w:val="auto"/>
          <w:highlight w:val="none"/>
        </w:rPr>
        <w:t>危险废物执行《危险废物贮存污染控制标准》（GB18597-2023）</w:t>
      </w:r>
      <w:r>
        <w:rPr>
          <w:rFonts w:hint="eastAsia"/>
          <w:bCs/>
          <w:color w:val="auto"/>
          <w:highlight w:val="none"/>
        </w:rPr>
        <w:t>。</w:t>
      </w:r>
    </w:p>
    <w:p w14:paraId="7DF50B88">
      <w:pPr>
        <w:ind w:firstLine="480"/>
        <w:rPr>
          <w:bCs/>
          <w:color w:val="auto"/>
          <w:highlight w:val="none"/>
        </w:rPr>
      </w:pPr>
    </w:p>
    <w:p w14:paraId="3CC85166">
      <w:pPr>
        <w:pStyle w:val="6"/>
        <w:numPr>
          <w:ilvl w:val="1"/>
          <w:numId w:val="9"/>
        </w:numPr>
        <w:rPr>
          <w:color w:val="auto"/>
          <w:sz w:val="32"/>
          <w:szCs w:val="32"/>
          <w:highlight w:val="none"/>
        </w:rPr>
      </w:pPr>
      <w:bookmarkStart w:id="61" w:name="_Toc33967099"/>
      <w:bookmarkStart w:id="62" w:name="_Toc29672"/>
      <w:bookmarkStart w:id="63" w:name="_Toc33967203"/>
      <w:bookmarkStart w:id="64" w:name="_Toc9102"/>
      <w:r>
        <w:rPr>
          <w:color w:val="auto"/>
          <w:sz w:val="32"/>
          <w:szCs w:val="32"/>
          <w:highlight w:val="none"/>
        </w:rPr>
        <w:t>评价工作等级及范围</w:t>
      </w:r>
      <w:bookmarkEnd w:id="61"/>
      <w:bookmarkEnd w:id="62"/>
      <w:bookmarkEnd w:id="63"/>
      <w:bookmarkEnd w:id="64"/>
    </w:p>
    <w:p w14:paraId="6BE78C98">
      <w:pPr>
        <w:pStyle w:val="7"/>
        <w:numPr>
          <w:ilvl w:val="2"/>
          <w:numId w:val="9"/>
        </w:numPr>
        <w:rPr>
          <w:color w:val="auto"/>
          <w:sz w:val="28"/>
          <w:highlight w:val="none"/>
        </w:rPr>
      </w:pPr>
      <w:r>
        <w:rPr>
          <w:color w:val="auto"/>
          <w:sz w:val="28"/>
          <w:highlight w:val="none"/>
        </w:rPr>
        <w:t>大气评价等级及范围</w:t>
      </w:r>
    </w:p>
    <w:p w14:paraId="2D099B8E">
      <w:pPr>
        <w:pStyle w:val="38"/>
        <w:spacing w:after="0"/>
        <w:ind w:firstLine="482"/>
        <w:rPr>
          <w:b/>
          <w:bCs/>
          <w:color w:val="auto"/>
          <w:highlight w:val="none"/>
        </w:rPr>
      </w:pPr>
      <w:r>
        <w:rPr>
          <w:b/>
          <w:bCs/>
          <w:color w:val="auto"/>
          <w:highlight w:val="none"/>
        </w:rPr>
        <w:t>（1）评价等级</w:t>
      </w:r>
    </w:p>
    <w:p w14:paraId="64A165A2">
      <w:pPr>
        <w:pStyle w:val="38"/>
        <w:spacing w:after="0"/>
        <w:ind w:firstLine="480"/>
        <w:rPr>
          <w:color w:val="auto"/>
          <w:highlight w:val="none"/>
        </w:rPr>
      </w:pPr>
      <w:r>
        <w:rPr>
          <w:color w:val="auto"/>
          <w:highlight w:val="none"/>
        </w:rPr>
        <w:t>根据《环境影响评价技术导则  大气环境》（</w:t>
      </w:r>
      <w:r>
        <w:rPr>
          <w:rFonts w:eastAsia="Times New Roman"/>
          <w:color w:val="auto"/>
          <w:highlight w:val="none"/>
        </w:rPr>
        <w:t>HJ2.2-2018</w:t>
      </w:r>
      <w:r>
        <w:rPr>
          <w:color w:val="auto"/>
          <w:highlight w:val="none"/>
        </w:rPr>
        <w:t>）评价工作等级判定方法，评价等级判定依据为最大地面浓度占标率</w:t>
      </w:r>
      <w:r>
        <w:rPr>
          <w:rFonts w:eastAsia="Times New Roman"/>
          <w:color w:val="auto"/>
          <w:highlight w:val="none"/>
        </w:rPr>
        <w:t>Pi</w:t>
      </w:r>
      <w:r>
        <w:rPr>
          <w:color w:val="auto"/>
          <w:highlight w:val="none"/>
        </w:rPr>
        <w:t>（第</w:t>
      </w:r>
      <w:r>
        <w:rPr>
          <w:rFonts w:eastAsia="Times New Roman"/>
          <w:color w:val="auto"/>
          <w:highlight w:val="none"/>
        </w:rPr>
        <w:t>i</w:t>
      </w:r>
      <w:r>
        <w:rPr>
          <w:color w:val="auto"/>
          <w:highlight w:val="none"/>
        </w:rPr>
        <w:t>个污染物），及第</w:t>
      </w:r>
      <w:r>
        <w:rPr>
          <w:rFonts w:eastAsia="Times New Roman"/>
          <w:color w:val="auto"/>
          <w:highlight w:val="none"/>
        </w:rPr>
        <w:t>i</w:t>
      </w:r>
      <w:r>
        <w:rPr>
          <w:color w:val="auto"/>
          <w:highlight w:val="none"/>
        </w:rPr>
        <w:t>个污染物的地面浓度达到标准限值</w:t>
      </w:r>
      <w:r>
        <w:rPr>
          <w:rFonts w:eastAsia="Times New Roman"/>
          <w:color w:val="auto"/>
          <w:highlight w:val="none"/>
        </w:rPr>
        <w:t>10%</w:t>
      </w:r>
      <w:r>
        <w:rPr>
          <w:color w:val="auto"/>
          <w:highlight w:val="none"/>
        </w:rPr>
        <w:t>时所对应的最远距离</w:t>
      </w:r>
      <w:r>
        <w:rPr>
          <w:rFonts w:eastAsia="Times New Roman"/>
          <w:color w:val="auto"/>
          <w:highlight w:val="none"/>
        </w:rPr>
        <w:t>D10%</w:t>
      </w:r>
      <w:r>
        <w:rPr>
          <w:color w:val="auto"/>
          <w:highlight w:val="none"/>
        </w:rPr>
        <w:t>，</w:t>
      </w:r>
      <w:r>
        <w:rPr>
          <w:rFonts w:eastAsia="Times New Roman"/>
          <w:color w:val="auto"/>
          <w:highlight w:val="none"/>
        </w:rPr>
        <w:t>Pi</w:t>
      </w:r>
      <w:r>
        <w:rPr>
          <w:color w:val="auto"/>
          <w:highlight w:val="none"/>
        </w:rPr>
        <w:t>的定义为：</w:t>
      </w:r>
    </w:p>
    <w:p w14:paraId="1EC4E9E5">
      <w:pPr>
        <w:ind w:firstLine="480"/>
        <w:jc w:val="center"/>
        <w:rPr>
          <w:color w:val="auto"/>
          <w:highlight w:val="none"/>
        </w:rPr>
      </w:pPr>
      <m:oMathPara>
        <m:oMath>
          <m:sSub>
            <m:sSubPr>
              <m:ctrlPr>
                <w:rPr>
                  <w:rFonts w:ascii="Cambria Math" w:hAnsi="Cambria Math"/>
                  <w:color w:val="auto"/>
                  <w:highlight w:val="none"/>
                </w:rPr>
              </m:ctrlPr>
            </m:sSubPr>
            <m:e>
              <m:r>
                <m:rPr>
                  <m:nor/>
                  <m:sty m:val="p"/>
                </m:rPr>
                <w:rPr>
                  <w:b w:val="0"/>
                  <w:i w:val="0"/>
                  <w:color w:val="auto"/>
                  <w:highlight w:val="none"/>
                </w:rPr>
                <m:t>P</m:t>
              </m:r>
              <m:ctrlPr>
                <w:rPr>
                  <w:rFonts w:ascii="Cambria Math" w:hAnsi="Cambria Math"/>
                  <w:color w:val="auto"/>
                  <w:highlight w:val="none"/>
                </w:rPr>
              </m:ctrlPr>
            </m:e>
            <m:sub>
              <m:r>
                <m:rPr>
                  <m:nor/>
                </m:rPr>
                <w:rPr>
                  <w:i/>
                  <w:color w:val="auto"/>
                  <w:highlight w:val="none"/>
                </w:rPr>
                <m:t>i</m:t>
              </m:r>
              <m:ctrlPr>
                <w:rPr>
                  <w:rFonts w:ascii="Cambria Math" w:hAnsi="Cambria Math"/>
                  <w:color w:val="auto"/>
                  <w:highlight w:val="none"/>
                </w:rPr>
              </m:ctrlPr>
            </m:sub>
          </m:sSub>
          <m:r>
            <m:rPr>
              <m:nor/>
              <m:sty m:val="p"/>
            </m:rPr>
            <w:rPr>
              <w:rFonts w:eastAsia="Times New Roman"/>
              <w:b w:val="0"/>
              <w:i w:val="0"/>
              <w:color w:val="auto"/>
              <w:highlight w:val="none"/>
            </w:rPr>
            <m:t>=</m:t>
          </m:r>
          <m:f>
            <m:fPr>
              <m:ctrlPr>
                <w:rPr>
                  <w:rFonts w:ascii="Cambria Math" w:hAnsi="Cambria Math" w:eastAsiaTheme="minorEastAsia"/>
                  <w:color w:val="auto"/>
                  <w:highlight w:val="none"/>
                </w:rPr>
              </m:ctrlPr>
            </m:fPr>
            <m:num>
              <m:sSub>
                <m:sSubPr>
                  <m:ctrlPr>
                    <w:rPr>
                      <w:rFonts w:ascii="Cambria Math" w:hAnsi="Cambria Math" w:eastAsiaTheme="minorEastAsia"/>
                      <w:color w:val="auto"/>
                      <w:highlight w:val="none"/>
                    </w:rPr>
                  </m:ctrlPr>
                </m:sSubPr>
                <m:e>
                  <m:r>
                    <m:rPr>
                      <m:nor/>
                    </m:rPr>
                    <w:rPr>
                      <w:rFonts w:eastAsiaTheme="minorEastAsia"/>
                      <w:i/>
                      <w:color w:val="auto"/>
                      <w:highlight w:val="none"/>
                    </w:rPr>
                    <m:t>C</m:t>
                  </m:r>
                  <m:ctrlPr>
                    <w:rPr>
                      <w:rFonts w:ascii="Cambria Math" w:hAnsi="Cambria Math" w:eastAsiaTheme="minorEastAsia"/>
                      <w:color w:val="auto"/>
                      <w:highlight w:val="none"/>
                    </w:rPr>
                  </m:ctrlPr>
                </m:e>
                <m:sub>
                  <m:r>
                    <m:rPr>
                      <m:nor/>
                    </m:rPr>
                    <w:rPr>
                      <w:rFonts w:eastAsiaTheme="minorEastAsia"/>
                      <w:i/>
                      <w:color w:val="auto"/>
                      <w:highlight w:val="none"/>
                    </w:rPr>
                    <m:t>i</m:t>
                  </m:r>
                  <m:ctrlPr>
                    <w:rPr>
                      <w:rFonts w:ascii="Cambria Math" w:hAnsi="Cambria Math" w:eastAsiaTheme="minorEastAsia"/>
                      <w:color w:val="auto"/>
                      <w:highlight w:val="none"/>
                    </w:rPr>
                  </m:ctrlPr>
                </m:sub>
              </m:sSub>
              <m:ctrlPr>
                <w:rPr>
                  <w:rFonts w:ascii="Cambria Math" w:hAnsi="Cambria Math" w:eastAsia="Times New Roman"/>
                  <w:color w:val="auto"/>
                  <w:highlight w:val="none"/>
                </w:rPr>
              </m:ctrlPr>
            </m:num>
            <m:den>
              <m:sSub>
                <m:sSubPr>
                  <m:ctrlPr>
                    <w:rPr>
                      <w:rFonts w:ascii="Cambria Math" w:hAnsi="Cambria Math" w:eastAsia="Times New Roman"/>
                      <w:i/>
                      <w:color w:val="auto"/>
                      <w:highlight w:val="none"/>
                    </w:rPr>
                  </m:ctrlPr>
                </m:sSubPr>
                <m:e>
                  <m:r>
                    <m:rPr>
                      <m:nor/>
                    </m:rPr>
                    <w:rPr>
                      <w:rFonts w:eastAsia="Times New Roman"/>
                      <w:i/>
                      <w:color w:val="auto"/>
                      <w:highlight w:val="none"/>
                    </w:rPr>
                    <m:t>C</m:t>
                  </m:r>
                  <m:ctrlPr>
                    <w:rPr>
                      <w:rFonts w:ascii="Cambria Math" w:hAnsi="Cambria Math" w:eastAsia="Times New Roman"/>
                      <w:i/>
                      <w:color w:val="auto"/>
                      <w:highlight w:val="none"/>
                    </w:rPr>
                  </m:ctrlPr>
                </m:e>
                <m:sub>
                  <m:r>
                    <m:rPr>
                      <m:nor/>
                      <m:sty m:val="p"/>
                    </m:rPr>
                    <w:rPr>
                      <w:rFonts w:eastAsia="Times New Roman"/>
                      <w:b w:val="0"/>
                      <w:i w:val="0"/>
                      <w:color w:val="auto"/>
                      <w:highlight w:val="none"/>
                    </w:rPr>
                    <m:t>0</m:t>
                  </m:r>
                  <m:r>
                    <m:rPr>
                      <m:nor/>
                    </m:rPr>
                    <w:rPr>
                      <w:rFonts w:eastAsia="Times New Roman"/>
                      <w:i/>
                      <w:color w:val="auto"/>
                      <w:highlight w:val="none"/>
                    </w:rPr>
                    <m:t>i</m:t>
                  </m:r>
                  <m:ctrlPr>
                    <w:rPr>
                      <w:rFonts w:ascii="Cambria Math" w:hAnsi="Cambria Math" w:eastAsia="Times New Roman"/>
                      <w:i/>
                      <w:color w:val="auto"/>
                      <w:highlight w:val="none"/>
                    </w:rPr>
                  </m:ctrlPr>
                </m:sub>
              </m:sSub>
              <m:ctrlPr>
                <w:rPr>
                  <w:rFonts w:ascii="Cambria Math" w:hAnsi="Cambria Math" w:eastAsiaTheme="minorEastAsia"/>
                  <w:color w:val="auto"/>
                  <w:highlight w:val="none"/>
                </w:rPr>
              </m:ctrlPr>
            </m:den>
          </m:f>
          <m:r>
            <m:rPr>
              <m:nor/>
              <m:sty m:val="p"/>
            </m:rPr>
            <w:rPr>
              <w:rFonts w:eastAsiaTheme="minorEastAsia"/>
              <w:b w:val="0"/>
              <w:i w:val="0"/>
              <w:color w:val="auto"/>
              <w:highlight w:val="none"/>
            </w:rPr>
            <m:t>×100%</m:t>
          </m:r>
        </m:oMath>
      </m:oMathPara>
    </w:p>
    <w:p w14:paraId="034DBB34">
      <w:pPr>
        <w:pStyle w:val="38"/>
        <w:spacing w:after="0"/>
        <w:ind w:firstLine="480"/>
        <w:rPr>
          <w:color w:val="auto"/>
          <w:highlight w:val="none"/>
        </w:rPr>
      </w:pPr>
      <w:r>
        <w:rPr>
          <w:color w:val="auto"/>
          <w:highlight w:val="none"/>
        </w:rPr>
        <w:t>上述公式中：</w:t>
      </w:r>
    </w:p>
    <w:p w14:paraId="58137888">
      <w:pPr>
        <w:pStyle w:val="38"/>
        <w:spacing w:after="0"/>
        <w:ind w:firstLine="720" w:firstLineChars="300"/>
        <w:rPr>
          <w:rFonts w:eastAsia="Times New Roman"/>
          <w:color w:val="auto"/>
          <w:highlight w:val="none"/>
        </w:rPr>
      </w:pPr>
      <w:r>
        <w:rPr>
          <w:rFonts w:eastAsia="Times New Roman"/>
          <w:color w:val="auto"/>
          <w:highlight w:val="none"/>
        </w:rPr>
        <w:t>P</w:t>
      </w:r>
      <w:r>
        <w:rPr>
          <w:rFonts w:eastAsia="Times New Roman"/>
          <w:color w:val="auto"/>
          <w:highlight w:val="none"/>
          <w:vertAlign w:val="subscript"/>
        </w:rPr>
        <w:t>i</w:t>
      </w:r>
      <w:r>
        <w:rPr>
          <w:color w:val="auto"/>
          <w:highlight w:val="none"/>
        </w:rPr>
        <w:t>——第</w:t>
      </w:r>
      <w:r>
        <w:rPr>
          <w:rFonts w:eastAsia="Times New Roman"/>
          <w:color w:val="auto"/>
          <w:highlight w:val="none"/>
        </w:rPr>
        <w:t>i</w:t>
      </w:r>
      <w:r>
        <w:rPr>
          <w:color w:val="auto"/>
          <w:highlight w:val="none"/>
        </w:rPr>
        <w:t>个污染物的最大地面质量浓度占标率，</w:t>
      </w:r>
      <w:r>
        <w:rPr>
          <w:rFonts w:eastAsia="Times New Roman"/>
          <w:color w:val="auto"/>
          <w:highlight w:val="none"/>
        </w:rPr>
        <w:t>%</w:t>
      </w:r>
      <w:r>
        <w:rPr>
          <w:color w:val="auto"/>
          <w:highlight w:val="none"/>
        </w:rPr>
        <w:t>。</w:t>
      </w:r>
    </w:p>
    <w:p w14:paraId="7E03CD8D">
      <w:pPr>
        <w:pStyle w:val="38"/>
        <w:spacing w:after="0"/>
        <w:ind w:firstLine="720" w:firstLineChars="300"/>
        <w:rPr>
          <w:color w:val="auto"/>
          <w:highlight w:val="none"/>
        </w:rPr>
      </w:pPr>
      <w:r>
        <w:rPr>
          <w:rFonts w:eastAsia="Times New Roman"/>
          <w:color w:val="auto"/>
          <w:highlight w:val="none"/>
        </w:rPr>
        <w:t>C</w:t>
      </w:r>
      <w:r>
        <w:rPr>
          <w:rFonts w:eastAsia="Times New Roman"/>
          <w:color w:val="auto"/>
          <w:highlight w:val="none"/>
          <w:vertAlign w:val="subscript"/>
        </w:rPr>
        <w:t>i</w:t>
      </w:r>
      <w:r>
        <w:rPr>
          <w:color w:val="auto"/>
          <w:highlight w:val="none"/>
        </w:rPr>
        <w:t>——采用估算模式计算出的第</w:t>
      </w:r>
      <w:r>
        <w:rPr>
          <w:rFonts w:eastAsia="Times New Roman"/>
          <w:color w:val="auto"/>
          <w:highlight w:val="none"/>
        </w:rPr>
        <w:t xml:space="preserve">i </w:t>
      </w:r>
      <w:r>
        <w:rPr>
          <w:color w:val="auto"/>
          <w:highlight w:val="none"/>
        </w:rPr>
        <w:t>个污染物的最大1h地面质量浓度，</w:t>
      </w:r>
      <w:r>
        <w:rPr>
          <w:rFonts w:eastAsia="Times New Roman"/>
          <w:color w:val="auto"/>
          <w:highlight w:val="none"/>
        </w:rPr>
        <w:t>mg/m</w:t>
      </w:r>
      <w:r>
        <w:rPr>
          <w:rFonts w:eastAsia="Times New Roman"/>
          <w:color w:val="auto"/>
          <w:highlight w:val="none"/>
          <w:vertAlign w:val="superscript"/>
        </w:rPr>
        <w:t>3</w:t>
      </w:r>
      <w:r>
        <w:rPr>
          <w:color w:val="auto"/>
          <w:highlight w:val="none"/>
        </w:rPr>
        <w:t>。</w:t>
      </w:r>
    </w:p>
    <w:p w14:paraId="72F18A63">
      <w:pPr>
        <w:pStyle w:val="38"/>
        <w:spacing w:after="0"/>
        <w:ind w:firstLine="720" w:firstLineChars="300"/>
        <w:rPr>
          <w:color w:val="auto"/>
          <w:highlight w:val="none"/>
        </w:rPr>
      </w:pPr>
      <w:r>
        <w:rPr>
          <w:rFonts w:eastAsia="Times New Roman"/>
          <w:color w:val="auto"/>
          <w:highlight w:val="none"/>
        </w:rPr>
        <w:t>C</w:t>
      </w:r>
      <w:r>
        <w:rPr>
          <w:rFonts w:eastAsia="Times New Roman"/>
          <w:color w:val="auto"/>
          <w:highlight w:val="none"/>
          <w:vertAlign w:val="subscript"/>
        </w:rPr>
        <w:t>0i</w:t>
      </w:r>
      <w:r>
        <w:rPr>
          <w:color w:val="auto"/>
          <w:highlight w:val="none"/>
        </w:rPr>
        <w:t>——第</w:t>
      </w:r>
      <w:r>
        <w:rPr>
          <w:rFonts w:eastAsia="Times New Roman"/>
          <w:color w:val="auto"/>
          <w:highlight w:val="none"/>
        </w:rPr>
        <w:t>i</w:t>
      </w:r>
      <w:r>
        <w:rPr>
          <w:color w:val="auto"/>
          <w:highlight w:val="none"/>
        </w:rPr>
        <w:t>个污染物的环境空气质量浓度标准，</w:t>
      </w:r>
      <w:r>
        <w:rPr>
          <w:rFonts w:eastAsia="Times New Roman"/>
          <w:color w:val="auto"/>
          <w:highlight w:val="none"/>
        </w:rPr>
        <w:t>mg/m</w:t>
      </w:r>
      <w:r>
        <w:rPr>
          <w:rFonts w:eastAsia="Times New Roman"/>
          <w:color w:val="auto"/>
          <w:highlight w:val="none"/>
          <w:vertAlign w:val="superscript"/>
        </w:rPr>
        <w:t>3</w:t>
      </w:r>
      <w:r>
        <w:rPr>
          <w:color w:val="auto"/>
          <w:highlight w:val="none"/>
        </w:rPr>
        <w:t>。</w:t>
      </w:r>
    </w:p>
    <w:p w14:paraId="3756F505">
      <w:pPr>
        <w:pStyle w:val="38"/>
        <w:spacing w:after="0"/>
        <w:ind w:firstLine="720" w:firstLineChars="300"/>
        <w:rPr>
          <w:color w:val="auto"/>
          <w:highlight w:val="none"/>
        </w:rPr>
      </w:pPr>
      <w:r>
        <w:rPr>
          <w:rFonts w:eastAsia="Times New Roman"/>
          <w:color w:val="auto"/>
          <w:highlight w:val="none"/>
        </w:rPr>
        <w:t>C</w:t>
      </w:r>
      <w:r>
        <w:rPr>
          <w:rFonts w:eastAsia="Times New Roman"/>
          <w:color w:val="auto"/>
          <w:highlight w:val="none"/>
          <w:vertAlign w:val="subscript"/>
        </w:rPr>
        <w:t>0i</w:t>
      </w:r>
      <w:r>
        <w:rPr>
          <w:color w:val="auto"/>
          <w:highlight w:val="none"/>
        </w:rPr>
        <w:t>——般选用《环境空气质量标准》（</w:t>
      </w:r>
      <w:r>
        <w:rPr>
          <w:rFonts w:hint="eastAsia"/>
          <w:color w:val="auto"/>
          <w:highlight w:val="none"/>
        </w:rPr>
        <w:t>GB3095-2026</w:t>
      </w:r>
      <w:r>
        <w:rPr>
          <w:color w:val="auto"/>
          <w:highlight w:val="none"/>
        </w:rPr>
        <w:t>）中</w:t>
      </w:r>
      <w:r>
        <w:rPr>
          <w:rFonts w:eastAsia="Times New Roman"/>
          <w:color w:val="auto"/>
          <w:highlight w:val="none"/>
        </w:rPr>
        <w:t>1</w:t>
      </w:r>
      <w:r>
        <w:rPr>
          <w:color w:val="auto"/>
          <w:highlight w:val="none"/>
        </w:rPr>
        <w:t>小时平均取样时间的二级标准的浓度限值；对于没有小时浓度限值的污染物，可取日平均浓度限值的三倍值。</w:t>
      </w:r>
      <w:r>
        <w:rPr>
          <w:rFonts w:eastAsia="Times New Roman"/>
          <w:color w:val="auto"/>
          <w:highlight w:val="none"/>
        </w:rPr>
        <w:t>TSP</w:t>
      </w:r>
      <w:r>
        <w:rPr>
          <w:color w:val="auto"/>
          <w:highlight w:val="none"/>
        </w:rPr>
        <w:t>取《环境空气质量标准》（</w:t>
      </w:r>
      <w:r>
        <w:rPr>
          <w:rFonts w:eastAsia="Times New Roman"/>
          <w:color w:val="auto"/>
          <w:highlight w:val="none"/>
        </w:rPr>
        <w:t>GB</w:t>
      </w:r>
      <w:r>
        <w:rPr>
          <w:rFonts w:eastAsiaTheme="minorEastAsia"/>
          <w:color w:val="auto"/>
          <w:highlight w:val="none"/>
        </w:rPr>
        <w:t xml:space="preserve"> </w:t>
      </w:r>
      <w:r>
        <w:rPr>
          <w:rFonts w:hint="eastAsia"/>
          <w:color w:val="auto"/>
          <w:highlight w:val="none"/>
        </w:rPr>
        <w:t>3095-2026</w:t>
      </w:r>
      <w:r>
        <w:rPr>
          <w:color w:val="auto"/>
          <w:highlight w:val="none"/>
        </w:rPr>
        <w:t>）日均浓度限值的三倍值。评价工作等级判据见表</w:t>
      </w:r>
      <w:r>
        <w:rPr>
          <w:rFonts w:eastAsiaTheme="minorEastAsia"/>
          <w:color w:val="auto"/>
          <w:highlight w:val="none"/>
        </w:rPr>
        <w:t>1.4-1</w:t>
      </w:r>
      <w:r>
        <w:rPr>
          <w:color w:val="auto"/>
          <w:highlight w:val="none"/>
        </w:rPr>
        <w:t>。</w:t>
      </w:r>
    </w:p>
    <w:p w14:paraId="1E02A0CD">
      <w:pPr>
        <w:pStyle w:val="38"/>
        <w:spacing w:after="0" w:line="240" w:lineRule="auto"/>
        <w:ind w:firstLine="0" w:firstLineChars="0"/>
        <w:jc w:val="center"/>
        <w:rPr>
          <w:b/>
          <w:color w:val="auto"/>
          <w:sz w:val="21"/>
          <w:szCs w:val="21"/>
          <w:highlight w:val="none"/>
        </w:rPr>
      </w:pPr>
      <w:r>
        <w:rPr>
          <w:b/>
          <w:color w:val="auto"/>
          <w:sz w:val="21"/>
          <w:szCs w:val="21"/>
          <w:highlight w:val="none"/>
        </w:rPr>
        <w:t xml:space="preserve">1.4-1 </w:t>
      </w:r>
      <w:r>
        <w:rPr>
          <w:b/>
          <w:color w:val="auto"/>
          <w:sz w:val="21"/>
          <w:szCs w:val="21"/>
          <w:highlight w:val="none"/>
        </w:rPr>
        <w:tab/>
      </w:r>
      <w:r>
        <w:rPr>
          <w:b/>
          <w:color w:val="auto"/>
          <w:sz w:val="21"/>
          <w:szCs w:val="21"/>
          <w:highlight w:val="none"/>
        </w:rPr>
        <w:t xml:space="preserve"> 环境空气评价等级划分表</w:t>
      </w:r>
    </w:p>
    <w:tbl>
      <w:tblPr>
        <w:tblStyle w:val="92"/>
        <w:tblW w:w="907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2107"/>
        <w:gridCol w:w="6965"/>
      </w:tblGrid>
      <w:tr w14:paraId="5BF7318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2107" w:type="dxa"/>
            <w:vAlign w:val="center"/>
          </w:tcPr>
          <w:p w14:paraId="65DFA619">
            <w:pPr>
              <w:pStyle w:val="523"/>
              <w:spacing w:line="240" w:lineRule="auto"/>
              <w:ind w:left="0" w:leftChars="0" w:right="0" w:rightChars="0"/>
              <w:rPr>
                <w:b/>
                <w:color w:val="auto"/>
                <w:highlight w:val="none"/>
              </w:rPr>
            </w:pPr>
            <w:r>
              <w:rPr>
                <w:b/>
                <w:color w:val="auto"/>
                <w:highlight w:val="none"/>
              </w:rPr>
              <w:t>评价工作等级</w:t>
            </w:r>
          </w:p>
        </w:tc>
        <w:tc>
          <w:tcPr>
            <w:tcW w:w="6965" w:type="dxa"/>
            <w:vAlign w:val="center"/>
          </w:tcPr>
          <w:p w14:paraId="4FF3EDD0">
            <w:pPr>
              <w:pStyle w:val="523"/>
              <w:spacing w:line="240" w:lineRule="auto"/>
              <w:ind w:left="0" w:leftChars="0" w:right="0" w:rightChars="0"/>
              <w:rPr>
                <w:b/>
                <w:color w:val="auto"/>
                <w:highlight w:val="none"/>
              </w:rPr>
            </w:pPr>
            <w:r>
              <w:rPr>
                <w:b/>
                <w:color w:val="auto"/>
                <w:highlight w:val="none"/>
              </w:rPr>
              <w:t>评价工作分级判据</w:t>
            </w:r>
          </w:p>
        </w:tc>
      </w:tr>
      <w:tr w14:paraId="5DAA2F5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2107" w:type="dxa"/>
            <w:vAlign w:val="center"/>
          </w:tcPr>
          <w:p w14:paraId="3533261D">
            <w:pPr>
              <w:pStyle w:val="523"/>
              <w:spacing w:line="240" w:lineRule="auto"/>
              <w:ind w:left="0" w:leftChars="0" w:right="0" w:rightChars="0"/>
              <w:rPr>
                <w:bCs w:val="0"/>
                <w:color w:val="auto"/>
                <w:highlight w:val="none"/>
              </w:rPr>
            </w:pPr>
            <w:r>
              <w:rPr>
                <w:bCs w:val="0"/>
                <w:color w:val="auto"/>
                <w:highlight w:val="none"/>
              </w:rPr>
              <w:t>一级</w:t>
            </w:r>
          </w:p>
        </w:tc>
        <w:tc>
          <w:tcPr>
            <w:tcW w:w="6965" w:type="dxa"/>
            <w:vAlign w:val="center"/>
          </w:tcPr>
          <w:p w14:paraId="0649F0DE">
            <w:pPr>
              <w:pStyle w:val="523"/>
              <w:spacing w:line="240" w:lineRule="auto"/>
              <w:ind w:left="0" w:leftChars="0" w:right="0" w:rightChars="0"/>
              <w:rPr>
                <w:bCs w:val="0"/>
                <w:color w:val="auto"/>
                <w:highlight w:val="none"/>
              </w:rPr>
            </w:pPr>
            <w:r>
              <w:rPr>
                <w:bCs w:val="0"/>
                <w:color w:val="auto"/>
                <w:highlight w:val="none"/>
              </w:rPr>
              <w:t>P</w:t>
            </w:r>
            <w:r>
              <w:rPr>
                <w:bCs w:val="0"/>
                <w:color w:val="auto"/>
                <w:highlight w:val="none"/>
                <w:vertAlign w:val="subscript"/>
              </w:rPr>
              <w:t>max</w:t>
            </w:r>
            <w:r>
              <w:rPr>
                <w:bCs w:val="0"/>
                <w:color w:val="auto"/>
                <w:highlight w:val="none"/>
              </w:rPr>
              <w:t>≥10%</w:t>
            </w:r>
          </w:p>
        </w:tc>
      </w:tr>
      <w:tr w14:paraId="68D717B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2107" w:type="dxa"/>
            <w:vAlign w:val="center"/>
          </w:tcPr>
          <w:p w14:paraId="64E618E1">
            <w:pPr>
              <w:pStyle w:val="523"/>
              <w:spacing w:line="240" w:lineRule="auto"/>
              <w:ind w:left="0" w:leftChars="0" w:right="0" w:rightChars="0"/>
              <w:rPr>
                <w:bCs w:val="0"/>
                <w:color w:val="auto"/>
                <w:highlight w:val="none"/>
              </w:rPr>
            </w:pPr>
            <w:r>
              <w:rPr>
                <w:bCs w:val="0"/>
                <w:color w:val="auto"/>
                <w:highlight w:val="none"/>
              </w:rPr>
              <w:t>二级</w:t>
            </w:r>
          </w:p>
        </w:tc>
        <w:tc>
          <w:tcPr>
            <w:tcW w:w="6965" w:type="dxa"/>
            <w:vAlign w:val="center"/>
          </w:tcPr>
          <w:p w14:paraId="6A556380">
            <w:pPr>
              <w:pStyle w:val="523"/>
              <w:spacing w:line="240" w:lineRule="auto"/>
              <w:ind w:left="0" w:leftChars="0" w:right="0" w:rightChars="0"/>
              <w:rPr>
                <w:bCs w:val="0"/>
                <w:color w:val="auto"/>
                <w:highlight w:val="none"/>
              </w:rPr>
            </w:pPr>
            <w:r>
              <w:rPr>
                <w:bCs w:val="0"/>
                <w:color w:val="auto"/>
                <w:highlight w:val="none"/>
              </w:rPr>
              <w:t>1%≤P</w:t>
            </w:r>
            <w:r>
              <w:rPr>
                <w:bCs w:val="0"/>
                <w:color w:val="auto"/>
                <w:highlight w:val="none"/>
                <w:vertAlign w:val="subscript"/>
              </w:rPr>
              <w:t>max</w:t>
            </w:r>
            <w:r>
              <w:rPr>
                <w:bCs w:val="0"/>
                <w:color w:val="auto"/>
                <w:highlight w:val="none"/>
              </w:rPr>
              <w:t>＜10%</w:t>
            </w:r>
          </w:p>
        </w:tc>
      </w:tr>
      <w:tr w14:paraId="1273023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2107" w:type="dxa"/>
            <w:vAlign w:val="center"/>
          </w:tcPr>
          <w:p w14:paraId="1EB4B440">
            <w:pPr>
              <w:pStyle w:val="523"/>
              <w:spacing w:line="240" w:lineRule="auto"/>
              <w:ind w:left="0" w:leftChars="0" w:right="0" w:rightChars="0"/>
              <w:rPr>
                <w:bCs w:val="0"/>
                <w:color w:val="auto"/>
                <w:highlight w:val="none"/>
              </w:rPr>
            </w:pPr>
            <w:r>
              <w:rPr>
                <w:bCs w:val="0"/>
                <w:color w:val="auto"/>
                <w:highlight w:val="none"/>
              </w:rPr>
              <w:t>三级</w:t>
            </w:r>
          </w:p>
        </w:tc>
        <w:tc>
          <w:tcPr>
            <w:tcW w:w="6965" w:type="dxa"/>
            <w:vAlign w:val="center"/>
          </w:tcPr>
          <w:p w14:paraId="1573B1A7">
            <w:pPr>
              <w:pStyle w:val="523"/>
              <w:spacing w:line="240" w:lineRule="auto"/>
              <w:ind w:left="0" w:leftChars="0" w:right="0" w:rightChars="0"/>
              <w:rPr>
                <w:bCs w:val="0"/>
                <w:color w:val="auto"/>
                <w:highlight w:val="none"/>
              </w:rPr>
            </w:pPr>
            <w:r>
              <w:rPr>
                <w:bCs w:val="0"/>
                <w:color w:val="auto"/>
                <w:highlight w:val="none"/>
              </w:rPr>
              <w:t>P</w:t>
            </w:r>
            <w:r>
              <w:rPr>
                <w:bCs w:val="0"/>
                <w:color w:val="auto"/>
                <w:highlight w:val="none"/>
                <w:vertAlign w:val="subscript"/>
              </w:rPr>
              <w:t>max</w:t>
            </w:r>
            <w:r>
              <w:rPr>
                <w:bCs w:val="0"/>
                <w:color w:val="auto"/>
                <w:highlight w:val="none"/>
              </w:rPr>
              <w:t>＜1%</w:t>
            </w:r>
          </w:p>
        </w:tc>
      </w:tr>
    </w:tbl>
    <w:p w14:paraId="612830A6">
      <w:pPr>
        <w:ind w:firstLine="480"/>
        <w:rPr>
          <w:color w:val="auto"/>
          <w:highlight w:val="none"/>
        </w:rPr>
      </w:pPr>
    </w:p>
    <w:p w14:paraId="5DDF2D24">
      <w:pPr>
        <w:ind w:firstLine="480"/>
        <w:rPr>
          <w:color w:val="auto"/>
          <w:highlight w:val="none"/>
        </w:rPr>
      </w:pPr>
      <w:r>
        <w:rPr>
          <w:color w:val="auto"/>
          <w:highlight w:val="none"/>
        </w:rPr>
        <w:t>估算模型参数见1.4-2。</w:t>
      </w:r>
    </w:p>
    <w:p w14:paraId="45534780">
      <w:pPr>
        <w:pStyle w:val="38"/>
        <w:spacing w:after="0" w:line="240" w:lineRule="auto"/>
        <w:ind w:firstLine="0" w:firstLineChars="0"/>
        <w:jc w:val="center"/>
        <w:rPr>
          <w:b/>
          <w:color w:val="auto"/>
          <w:sz w:val="21"/>
          <w:szCs w:val="21"/>
          <w:highlight w:val="none"/>
        </w:rPr>
      </w:pPr>
      <w:r>
        <w:rPr>
          <w:b/>
          <w:color w:val="auto"/>
          <w:sz w:val="21"/>
          <w:szCs w:val="21"/>
          <w:highlight w:val="none"/>
        </w:rPr>
        <w:t>表1.4-2  估算模型参数表</w:t>
      </w:r>
    </w:p>
    <w:tbl>
      <w:tblPr>
        <w:tblStyle w:val="9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98"/>
        <w:gridCol w:w="3182"/>
        <w:gridCol w:w="3106"/>
      </w:tblGrid>
      <w:tr w14:paraId="43D93B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3327" w:type="pct"/>
            <w:gridSpan w:val="2"/>
            <w:vAlign w:val="center"/>
          </w:tcPr>
          <w:p w14:paraId="26EADE95">
            <w:pPr>
              <w:spacing w:line="240" w:lineRule="auto"/>
              <w:ind w:firstLine="0" w:firstLineChars="0"/>
              <w:jc w:val="center"/>
              <w:rPr>
                <w:b/>
                <w:bCs/>
                <w:color w:val="auto"/>
                <w:sz w:val="21"/>
                <w:szCs w:val="21"/>
                <w:highlight w:val="none"/>
              </w:rPr>
            </w:pPr>
            <w:r>
              <w:rPr>
                <w:b/>
                <w:bCs/>
                <w:color w:val="auto"/>
                <w:sz w:val="21"/>
                <w:szCs w:val="21"/>
                <w:highlight w:val="none"/>
              </w:rPr>
              <w:t>参数</w:t>
            </w:r>
          </w:p>
        </w:tc>
        <w:tc>
          <w:tcPr>
            <w:tcW w:w="1672" w:type="pct"/>
            <w:vAlign w:val="center"/>
          </w:tcPr>
          <w:p w14:paraId="1B69C5E2">
            <w:pPr>
              <w:spacing w:line="240" w:lineRule="auto"/>
              <w:ind w:firstLine="0" w:firstLineChars="0"/>
              <w:jc w:val="center"/>
              <w:rPr>
                <w:b/>
                <w:bCs/>
                <w:color w:val="auto"/>
                <w:sz w:val="21"/>
                <w:szCs w:val="21"/>
                <w:highlight w:val="none"/>
              </w:rPr>
            </w:pPr>
            <w:r>
              <w:rPr>
                <w:b/>
                <w:bCs/>
                <w:color w:val="auto"/>
                <w:sz w:val="21"/>
                <w:szCs w:val="21"/>
                <w:highlight w:val="none"/>
              </w:rPr>
              <w:t>取值</w:t>
            </w:r>
          </w:p>
        </w:tc>
      </w:tr>
      <w:tr w14:paraId="55762F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614" w:type="pct"/>
            <w:vMerge w:val="restart"/>
            <w:vAlign w:val="center"/>
          </w:tcPr>
          <w:p w14:paraId="7FBC4F25">
            <w:pPr>
              <w:spacing w:line="240" w:lineRule="auto"/>
              <w:ind w:firstLine="0" w:firstLineChars="0"/>
              <w:jc w:val="center"/>
              <w:rPr>
                <w:color w:val="auto"/>
                <w:sz w:val="21"/>
                <w:szCs w:val="21"/>
                <w:highlight w:val="none"/>
              </w:rPr>
            </w:pPr>
            <w:r>
              <w:rPr>
                <w:color w:val="auto"/>
                <w:sz w:val="21"/>
                <w:szCs w:val="21"/>
                <w:highlight w:val="none"/>
              </w:rPr>
              <w:t>城市/农村选项</w:t>
            </w:r>
          </w:p>
        </w:tc>
        <w:tc>
          <w:tcPr>
            <w:tcW w:w="1712" w:type="pct"/>
            <w:vAlign w:val="center"/>
          </w:tcPr>
          <w:p w14:paraId="76353952">
            <w:pPr>
              <w:spacing w:line="240" w:lineRule="auto"/>
              <w:ind w:firstLine="0" w:firstLineChars="0"/>
              <w:jc w:val="center"/>
              <w:rPr>
                <w:color w:val="auto"/>
                <w:sz w:val="21"/>
                <w:szCs w:val="21"/>
                <w:highlight w:val="none"/>
              </w:rPr>
            </w:pPr>
            <w:r>
              <w:rPr>
                <w:color w:val="auto"/>
                <w:sz w:val="21"/>
                <w:szCs w:val="21"/>
                <w:highlight w:val="none"/>
              </w:rPr>
              <w:t>城市/农村</w:t>
            </w:r>
          </w:p>
        </w:tc>
        <w:tc>
          <w:tcPr>
            <w:tcW w:w="1672" w:type="pct"/>
            <w:vAlign w:val="center"/>
          </w:tcPr>
          <w:p w14:paraId="72E4FACB">
            <w:pPr>
              <w:spacing w:line="240" w:lineRule="auto"/>
              <w:ind w:firstLine="0" w:firstLineChars="0"/>
              <w:jc w:val="center"/>
              <w:rPr>
                <w:color w:val="auto"/>
                <w:sz w:val="21"/>
                <w:szCs w:val="21"/>
                <w:highlight w:val="none"/>
              </w:rPr>
            </w:pPr>
            <w:r>
              <w:rPr>
                <w:color w:val="auto"/>
                <w:sz w:val="21"/>
                <w:szCs w:val="21"/>
                <w:highlight w:val="none"/>
              </w:rPr>
              <w:t>城市</w:t>
            </w:r>
          </w:p>
        </w:tc>
      </w:tr>
      <w:tr w14:paraId="68D112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614" w:type="pct"/>
            <w:vMerge w:val="continue"/>
            <w:vAlign w:val="center"/>
          </w:tcPr>
          <w:p w14:paraId="31FFFE60">
            <w:pPr>
              <w:spacing w:line="240" w:lineRule="auto"/>
              <w:ind w:firstLine="0" w:firstLineChars="0"/>
              <w:jc w:val="center"/>
              <w:rPr>
                <w:color w:val="auto"/>
                <w:sz w:val="21"/>
                <w:szCs w:val="21"/>
                <w:highlight w:val="none"/>
              </w:rPr>
            </w:pPr>
          </w:p>
        </w:tc>
        <w:tc>
          <w:tcPr>
            <w:tcW w:w="1712" w:type="pct"/>
            <w:vAlign w:val="center"/>
          </w:tcPr>
          <w:p w14:paraId="44CE64F8">
            <w:pPr>
              <w:spacing w:line="240" w:lineRule="auto"/>
              <w:ind w:firstLine="0" w:firstLineChars="0"/>
              <w:jc w:val="center"/>
              <w:rPr>
                <w:color w:val="auto"/>
                <w:sz w:val="21"/>
                <w:szCs w:val="21"/>
                <w:highlight w:val="none"/>
              </w:rPr>
            </w:pPr>
            <w:r>
              <w:rPr>
                <w:color w:val="auto"/>
                <w:sz w:val="21"/>
                <w:szCs w:val="21"/>
                <w:highlight w:val="none"/>
              </w:rPr>
              <w:t>人口数</w:t>
            </w:r>
          </w:p>
        </w:tc>
        <w:tc>
          <w:tcPr>
            <w:tcW w:w="1672" w:type="pct"/>
            <w:vAlign w:val="center"/>
          </w:tcPr>
          <w:p w14:paraId="3D044B7F">
            <w:pPr>
              <w:spacing w:line="240" w:lineRule="auto"/>
              <w:ind w:firstLine="0" w:firstLineChars="0"/>
              <w:jc w:val="center"/>
              <w:rPr>
                <w:color w:val="auto"/>
                <w:sz w:val="21"/>
                <w:szCs w:val="21"/>
                <w:highlight w:val="none"/>
              </w:rPr>
            </w:pPr>
            <w:r>
              <w:rPr>
                <w:color w:val="auto"/>
                <w:sz w:val="21"/>
                <w:szCs w:val="21"/>
                <w:highlight w:val="none"/>
              </w:rPr>
              <w:t>4.3万人</w:t>
            </w:r>
          </w:p>
        </w:tc>
      </w:tr>
      <w:tr w14:paraId="41559A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3327" w:type="pct"/>
            <w:gridSpan w:val="2"/>
            <w:vAlign w:val="center"/>
          </w:tcPr>
          <w:p w14:paraId="37D160AD">
            <w:pPr>
              <w:spacing w:line="240" w:lineRule="auto"/>
              <w:ind w:firstLine="0" w:firstLineChars="0"/>
              <w:jc w:val="center"/>
              <w:rPr>
                <w:color w:val="auto"/>
                <w:sz w:val="21"/>
                <w:szCs w:val="21"/>
                <w:highlight w:val="none"/>
              </w:rPr>
            </w:pPr>
            <w:r>
              <w:rPr>
                <w:color w:val="auto"/>
                <w:sz w:val="21"/>
                <w:szCs w:val="21"/>
                <w:highlight w:val="none"/>
              </w:rPr>
              <w:t>最高环境温度/℃</w:t>
            </w:r>
          </w:p>
        </w:tc>
        <w:tc>
          <w:tcPr>
            <w:tcW w:w="1672" w:type="pct"/>
            <w:vAlign w:val="center"/>
          </w:tcPr>
          <w:p w14:paraId="7676A99B">
            <w:pPr>
              <w:spacing w:line="240" w:lineRule="auto"/>
              <w:ind w:firstLine="0" w:firstLineChars="0"/>
              <w:jc w:val="center"/>
              <w:rPr>
                <w:color w:val="auto"/>
                <w:sz w:val="21"/>
                <w:szCs w:val="21"/>
                <w:highlight w:val="none"/>
              </w:rPr>
            </w:pPr>
            <w:r>
              <w:rPr>
                <w:color w:val="auto"/>
                <w:sz w:val="21"/>
                <w:szCs w:val="21"/>
                <w:highlight w:val="none"/>
              </w:rPr>
              <w:t>36.8°C</w:t>
            </w:r>
          </w:p>
        </w:tc>
      </w:tr>
      <w:tr w14:paraId="330A6D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3327" w:type="pct"/>
            <w:gridSpan w:val="2"/>
            <w:vAlign w:val="center"/>
          </w:tcPr>
          <w:p w14:paraId="0C177EE0">
            <w:pPr>
              <w:spacing w:line="240" w:lineRule="auto"/>
              <w:ind w:firstLine="0" w:firstLineChars="0"/>
              <w:jc w:val="center"/>
              <w:rPr>
                <w:color w:val="auto"/>
                <w:sz w:val="21"/>
                <w:szCs w:val="21"/>
                <w:highlight w:val="none"/>
              </w:rPr>
            </w:pPr>
            <w:r>
              <w:rPr>
                <w:color w:val="auto"/>
                <w:sz w:val="21"/>
                <w:szCs w:val="21"/>
                <w:highlight w:val="none"/>
              </w:rPr>
              <w:t>最低环境温度/℃</w:t>
            </w:r>
          </w:p>
        </w:tc>
        <w:tc>
          <w:tcPr>
            <w:tcW w:w="1672" w:type="pct"/>
            <w:vAlign w:val="center"/>
          </w:tcPr>
          <w:p w14:paraId="7C6B14D0">
            <w:pPr>
              <w:spacing w:line="240" w:lineRule="auto"/>
              <w:ind w:firstLine="0" w:firstLineChars="0"/>
              <w:jc w:val="center"/>
              <w:rPr>
                <w:color w:val="auto"/>
                <w:sz w:val="21"/>
                <w:szCs w:val="21"/>
                <w:highlight w:val="none"/>
              </w:rPr>
            </w:pPr>
            <w:r>
              <w:rPr>
                <w:color w:val="auto"/>
                <w:sz w:val="21"/>
                <w:szCs w:val="21"/>
                <w:highlight w:val="none"/>
              </w:rPr>
              <w:t>5°C</w:t>
            </w:r>
          </w:p>
        </w:tc>
      </w:tr>
      <w:tr w14:paraId="5D2C2E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3327" w:type="pct"/>
            <w:gridSpan w:val="2"/>
            <w:vAlign w:val="center"/>
          </w:tcPr>
          <w:p w14:paraId="321E0792">
            <w:pPr>
              <w:spacing w:line="240" w:lineRule="auto"/>
              <w:ind w:firstLine="0" w:firstLineChars="0"/>
              <w:jc w:val="center"/>
              <w:rPr>
                <w:color w:val="auto"/>
                <w:sz w:val="21"/>
                <w:szCs w:val="21"/>
                <w:highlight w:val="none"/>
              </w:rPr>
            </w:pPr>
            <w:r>
              <w:rPr>
                <w:color w:val="auto"/>
                <w:sz w:val="21"/>
                <w:szCs w:val="21"/>
                <w:highlight w:val="none"/>
              </w:rPr>
              <w:t>土地利用类型</w:t>
            </w:r>
          </w:p>
        </w:tc>
        <w:tc>
          <w:tcPr>
            <w:tcW w:w="1672" w:type="pct"/>
            <w:vAlign w:val="center"/>
          </w:tcPr>
          <w:p w14:paraId="45154CB2">
            <w:pPr>
              <w:spacing w:line="240" w:lineRule="auto"/>
              <w:ind w:firstLine="0" w:firstLineChars="0"/>
              <w:jc w:val="center"/>
              <w:rPr>
                <w:color w:val="auto"/>
                <w:sz w:val="21"/>
                <w:szCs w:val="21"/>
                <w:highlight w:val="none"/>
              </w:rPr>
            </w:pPr>
            <w:r>
              <w:rPr>
                <w:color w:val="auto"/>
                <w:sz w:val="21"/>
                <w:szCs w:val="21"/>
                <w:highlight w:val="none"/>
              </w:rPr>
              <w:t>城市</w:t>
            </w:r>
          </w:p>
        </w:tc>
      </w:tr>
      <w:tr w14:paraId="359C70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3327" w:type="pct"/>
            <w:gridSpan w:val="2"/>
            <w:vAlign w:val="center"/>
          </w:tcPr>
          <w:p w14:paraId="03062B97">
            <w:pPr>
              <w:spacing w:line="240" w:lineRule="auto"/>
              <w:ind w:firstLine="0" w:firstLineChars="0"/>
              <w:jc w:val="center"/>
              <w:rPr>
                <w:color w:val="auto"/>
                <w:sz w:val="21"/>
                <w:szCs w:val="21"/>
                <w:highlight w:val="none"/>
              </w:rPr>
            </w:pPr>
            <w:r>
              <w:rPr>
                <w:color w:val="auto"/>
                <w:sz w:val="21"/>
                <w:szCs w:val="21"/>
                <w:highlight w:val="none"/>
              </w:rPr>
              <w:t>区域湿度条件</w:t>
            </w:r>
          </w:p>
        </w:tc>
        <w:tc>
          <w:tcPr>
            <w:tcW w:w="1672" w:type="pct"/>
            <w:vAlign w:val="center"/>
          </w:tcPr>
          <w:p w14:paraId="1EC2E373">
            <w:pPr>
              <w:spacing w:line="240" w:lineRule="auto"/>
              <w:ind w:firstLine="0" w:firstLineChars="0"/>
              <w:jc w:val="center"/>
              <w:rPr>
                <w:color w:val="auto"/>
                <w:sz w:val="21"/>
                <w:szCs w:val="21"/>
                <w:highlight w:val="none"/>
              </w:rPr>
            </w:pPr>
            <w:r>
              <w:rPr>
                <w:color w:val="auto"/>
                <w:sz w:val="21"/>
                <w:szCs w:val="21"/>
                <w:highlight w:val="none"/>
              </w:rPr>
              <w:t>潮湿地区</w:t>
            </w:r>
          </w:p>
        </w:tc>
      </w:tr>
      <w:tr w14:paraId="7BC2CC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3327" w:type="pct"/>
            <w:gridSpan w:val="2"/>
            <w:vAlign w:val="center"/>
          </w:tcPr>
          <w:p w14:paraId="4DA6C1CB">
            <w:pPr>
              <w:spacing w:line="240" w:lineRule="auto"/>
              <w:ind w:firstLine="0" w:firstLineChars="0"/>
              <w:jc w:val="center"/>
              <w:rPr>
                <w:color w:val="auto"/>
                <w:sz w:val="21"/>
                <w:szCs w:val="21"/>
                <w:highlight w:val="none"/>
              </w:rPr>
            </w:pPr>
            <w:r>
              <w:rPr>
                <w:color w:val="auto"/>
                <w:sz w:val="21"/>
                <w:szCs w:val="21"/>
                <w:highlight w:val="none"/>
              </w:rPr>
              <w:t>是否考虑地形</w:t>
            </w:r>
          </w:p>
        </w:tc>
        <w:tc>
          <w:tcPr>
            <w:tcW w:w="1672" w:type="pct"/>
            <w:vAlign w:val="center"/>
          </w:tcPr>
          <w:p w14:paraId="11657193">
            <w:pPr>
              <w:spacing w:line="240" w:lineRule="auto"/>
              <w:ind w:firstLine="0" w:firstLineChars="0"/>
              <w:jc w:val="center"/>
              <w:rPr>
                <w:color w:val="auto"/>
                <w:sz w:val="21"/>
                <w:szCs w:val="21"/>
                <w:highlight w:val="none"/>
              </w:rPr>
            </w:pPr>
            <w:r>
              <w:rPr>
                <w:color w:val="auto"/>
                <w:sz w:val="21"/>
                <w:szCs w:val="21"/>
                <w:highlight w:val="none"/>
              </w:rPr>
              <w:t>是/90m（分辨率）</w:t>
            </w:r>
          </w:p>
        </w:tc>
      </w:tr>
      <w:tr w14:paraId="7A2F46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3327" w:type="pct"/>
            <w:gridSpan w:val="2"/>
            <w:vAlign w:val="center"/>
          </w:tcPr>
          <w:p w14:paraId="7B246CC7">
            <w:pPr>
              <w:spacing w:line="240" w:lineRule="auto"/>
              <w:ind w:firstLine="0" w:firstLineChars="0"/>
              <w:jc w:val="center"/>
              <w:rPr>
                <w:color w:val="auto"/>
                <w:sz w:val="21"/>
                <w:szCs w:val="21"/>
                <w:highlight w:val="none"/>
              </w:rPr>
            </w:pPr>
            <w:r>
              <w:rPr>
                <w:color w:val="auto"/>
                <w:sz w:val="21"/>
                <w:szCs w:val="21"/>
                <w:highlight w:val="none"/>
              </w:rPr>
              <w:t>是否考虑岸线熏烟</w:t>
            </w:r>
          </w:p>
        </w:tc>
        <w:tc>
          <w:tcPr>
            <w:tcW w:w="1672" w:type="pct"/>
            <w:vAlign w:val="center"/>
          </w:tcPr>
          <w:p w14:paraId="3F6E0129">
            <w:pPr>
              <w:spacing w:line="240" w:lineRule="auto"/>
              <w:ind w:firstLine="0" w:firstLineChars="0"/>
              <w:jc w:val="center"/>
              <w:rPr>
                <w:color w:val="auto"/>
                <w:sz w:val="21"/>
                <w:szCs w:val="21"/>
                <w:highlight w:val="none"/>
              </w:rPr>
            </w:pPr>
            <w:r>
              <w:rPr>
                <w:color w:val="auto"/>
                <w:sz w:val="21"/>
                <w:szCs w:val="21"/>
                <w:highlight w:val="none"/>
              </w:rPr>
              <w:t>是</w:t>
            </w:r>
          </w:p>
        </w:tc>
      </w:tr>
    </w:tbl>
    <w:p w14:paraId="02BFF0ED">
      <w:pPr>
        <w:ind w:firstLine="480"/>
        <w:rPr>
          <w:color w:val="auto"/>
          <w:highlight w:val="none"/>
        </w:rPr>
      </w:pPr>
      <w:r>
        <w:rPr>
          <w:color w:val="auto"/>
          <w:highlight w:val="none"/>
        </w:rPr>
        <w:t>本项目主要大气污染物为TSP、二甲苯和</w:t>
      </w:r>
      <w:r>
        <w:rPr>
          <w:rFonts w:hint="eastAsia"/>
          <w:color w:val="auto"/>
          <w:highlight w:val="none"/>
        </w:rPr>
        <w:t>T</w:t>
      </w:r>
      <w:r>
        <w:rPr>
          <w:color w:val="auto"/>
          <w:highlight w:val="none"/>
        </w:rPr>
        <w:t>VOC。根据《环境评价技术导则 大气环境》（HJ2.2-2018），利用AERSCREEN估算模型分别计算污染物的下风向轴线浓度及相应的占标率。估算结果详见表1.4-3。</w:t>
      </w:r>
    </w:p>
    <w:p w14:paraId="188A61E2">
      <w:pPr>
        <w:pStyle w:val="38"/>
        <w:spacing w:after="0" w:line="240" w:lineRule="auto"/>
        <w:ind w:firstLine="0" w:firstLineChars="0"/>
        <w:jc w:val="center"/>
        <w:rPr>
          <w:b/>
          <w:color w:val="auto"/>
          <w:sz w:val="21"/>
          <w:szCs w:val="21"/>
          <w:highlight w:val="none"/>
        </w:rPr>
      </w:pPr>
      <w:r>
        <w:rPr>
          <w:b/>
          <w:color w:val="auto"/>
          <w:sz w:val="21"/>
          <w:szCs w:val="21"/>
          <w:highlight w:val="none"/>
        </w:rPr>
        <w:t>表1.4-3项目废气排放下风向贡献浓度预测结果</w:t>
      </w:r>
    </w:p>
    <w:tbl>
      <w:tblPr>
        <w:tblStyle w:val="93"/>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1103"/>
        <w:gridCol w:w="1051"/>
        <w:gridCol w:w="897"/>
        <w:gridCol w:w="725"/>
        <w:gridCol w:w="1061"/>
        <w:gridCol w:w="737"/>
        <w:gridCol w:w="707"/>
        <w:gridCol w:w="1034"/>
        <w:gridCol w:w="896"/>
        <w:gridCol w:w="642"/>
      </w:tblGrid>
      <w:tr w14:paraId="6196D0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9" w:type="pct"/>
            <w:vMerge w:val="restart"/>
            <w:tcBorders>
              <w:tl2br w:val="nil"/>
              <w:tr2bl w:val="nil"/>
            </w:tcBorders>
            <w:vAlign w:val="center"/>
          </w:tcPr>
          <w:p w14:paraId="0FD9CDE9">
            <w:pPr>
              <w:spacing w:line="240" w:lineRule="auto"/>
              <w:ind w:firstLine="0" w:firstLineChars="0"/>
              <w:jc w:val="center"/>
              <w:rPr>
                <w:b/>
                <w:bCs/>
                <w:color w:val="auto"/>
                <w:sz w:val="21"/>
                <w:szCs w:val="21"/>
                <w:highlight w:val="none"/>
              </w:rPr>
            </w:pPr>
            <w:r>
              <w:rPr>
                <w:b/>
                <w:bCs/>
                <w:color w:val="auto"/>
                <w:sz w:val="21"/>
                <w:szCs w:val="21"/>
                <w:highlight w:val="none"/>
              </w:rPr>
              <w:t>序号</w:t>
            </w:r>
          </w:p>
        </w:tc>
        <w:tc>
          <w:tcPr>
            <w:tcW w:w="594" w:type="pct"/>
            <w:vMerge w:val="restart"/>
            <w:tcBorders>
              <w:tl2br w:val="nil"/>
              <w:tr2bl w:val="nil"/>
            </w:tcBorders>
            <w:vAlign w:val="center"/>
          </w:tcPr>
          <w:p w14:paraId="31BD0D9B">
            <w:pPr>
              <w:spacing w:line="240" w:lineRule="auto"/>
              <w:ind w:firstLine="0" w:firstLineChars="0"/>
              <w:jc w:val="center"/>
              <w:rPr>
                <w:b/>
                <w:bCs/>
                <w:color w:val="auto"/>
                <w:sz w:val="21"/>
                <w:szCs w:val="21"/>
                <w:highlight w:val="none"/>
              </w:rPr>
            </w:pPr>
            <w:r>
              <w:rPr>
                <w:b/>
                <w:bCs/>
                <w:color w:val="auto"/>
                <w:sz w:val="21"/>
                <w:szCs w:val="21"/>
                <w:highlight w:val="none"/>
              </w:rPr>
              <w:t>污染源</w:t>
            </w:r>
          </w:p>
        </w:tc>
        <w:tc>
          <w:tcPr>
            <w:tcW w:w="1439" w:type="pct"/>
            <w:gridSpan w:val="3"/>
            <w:tcBorders>
              <w:tl2br w:val="nil"/>
              <w:tr2bl w:val="nil"/>
            </w:tcBorders>
            <w:vAlign w:val="center"/>
          </w:tcPr>
          <w:p w14:paraId="3CBFC25C">
            <w:pPr>
              <w:spacing w:line="240" w:lineRule="auto"/>
              <w:ind w:firstLine="0" w:firstLineChars="0"/>
              <w:jc w:val="center"/>
              <w:rPr>
                <w:b/>
                <w:bCs/>
                <w:color w:val="auto"/>
                <w:sz w:val="21"/>
                <w:szCs w:val="21"/>
                <w:highlight w:val="none"/>
              </w:rPr>
            </w:pPr>
            <w:r>
              <w:rPr>
                <w:b/>
                <w:bCs/>
                <w:color w:val="auto"/>
                <w:sz w:val="21"/>
                <w:szCs w:val="21"/>
                <w:highlight w:val="none"/>
              </w:rPr>
              <w:t>二甲苯</w:t>
            </w:r>
          </w:p>
        </w:tc>
        <w:tc>
          <w:tcPr>
            <w:tcW w:w="1349" w:type="pct"/>
            <w:gridSpan w:val="3"/>
            <w:tcBorders>
              <w:tl2br w:val="nil"/>
              <w:tr2bl w:val="nil"/>
            </w:tcBorders>
            <w:vAlign w:val="center"/>
          </w:tcPr>
          <w:p w14:paraId="23900F1A">
            <w:pPr>
              <w:spacing w:line="240" w:lineRule="auto"/>
              <w:ind w:firstLine="0" w:firstLineChars="0"/>
              <w:jc w:val="center"/>
              <w:rPr>
                <w:b/>
                <w:bCs/>
                <w:color w:val="auto"/>
                <w:sz w:val="21"/>
                <w:szCs w:val="21"/>
                <w:highlight w:val="none"/>
              </w:rPr>
            </w:pPr>
            <w:r>
              <w:rPr>
                <w:rFonts w:hint="eastAsia"/>
                <w:b/>
                <w:bCs/>
                <w:color w:val="auto"/>
                <w:sz w:val="21"/>
                <w:szCs w:val="21"/>
                <w:highlight w:val="none"/>
              </w:rPr>
              <w:t>T</w:t>
            </w:r>
            <w:r>
              <w:rPr>
                <w:b/>
                <w:bCs/>
                <w:color w:val="auto"/>
                <w:sz w:val="21"/>
                <w:szCs w:val="21"/>
                <w:highlight w:val="none"/>
              </w:rPr>
              <w:t>VOC</w:t>
            </w:r>
          </w:p>
        </w:tc>
        <w:tc>
          <w:tcPr>
            <w:tcW w:w="1386" w:type="pct"/>
            <w:gridSpan w:val="3"/>
            <w:tcBorders>
              <w:tl2br w:val="nil"/>
              <w:tr2bl w:val="nil"/>
            </w:tcBorders>
            <w:vAlign w:val="center"/>
          </w:tcPr>
          <w:p w14:paraId="68A01D74">
            <w:pPr>
              <w:spacing w:line="240" w:lineRule="auto"/>
              <w:ind w:firstLine="0" w:firstLineChars="0"/>
              <w:jc w:val="center"/>
              <w:rPr>
                <w:b/>
                <w:bCs/>
                <w:color w:val="auto"/>
                <w:sz w:val="21"/>
                <w:szCs w:val="21"/>
                <w:highlight w:val="none"/>
              </w:rPr>
            </w:pPr>
            <w:r>
              <w:rPr>
                <w:b/>
                <w:bCs/>
                <w:color w:val="auto"/>
                <w:sz w:val="21"/>
                <w:szCs w:val="21"/>
                <w:highlight w:val="none"/>
              </w:rPr>
              <w:t>TSP</w:t>
            </w:r>
          </w:p>
        </w:tc>
      </w:tr>
      <w:tr w14:paraId="109A53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9" w:type="pct"/>
            <w:vMerge w:val="continue"/>
            <w:tcBorders>
              <w:tl2br w:val="nil"/>
              <w:tr2bl w:val="nil"/>
            </w:tcBorders>
            <w:vAlign w:val="center"/>
          </w:tcPr>
          <w:p w14:paraId="71BBEF95">
            <w:pPr>
              <w:spacing w:line="240" w:lineRule="auto"/>
              <w:ind w:firstLine="0" w:firstLineChars="0"/>
              <w:jc w:val="center"/>
              <w:rPr>
                <w:b/>
                <w:bCs/>
                <w:color w:val="auto"/>
                <w:sz w:val="21"/>
                <w:szCs w:val="21"/>
                <w:highlight w:val="none"/>
              </w:rPr>
            </w:pPr>
          </w:p>
        </w:tc>
        <w:tc>
          <w:tcPr>
            <w:tcW w:w="594" w:type="pct"/>
            <w:vMerge w:val="continue"/>
            <w:tcBorders>
              <w:tl2br w:val="nil"/>
              <w:tr2bl w:val="nil"/>
            </w:tcBorders>
            <w:vAlign w:val="center"/>
          </w:tcPr>
          <w:p w14:paraId="51E326A8">
            <w:pPr>
              <w:spacing w:line="240" w:lineRule="auto"/>
              <w:ind w:firstLine="0" w:firstLineChars="0"/>
              <w:jc w:val="center"/>
              <w:rPr>
                <w:b/>
                <w:bCs/>
                <w:color w:val="auto"/>
                <w:sz w:val="21"/>
                <w:szCs w:val="21"/>
                <w:highlight w:val="none"/>
              </w:rPr>
            </w:pPr>
          </w:p>
        </w:tc>
        <w:tc>
          <w:tcPr>
            <w:tcW w:w="566" w:type="pct"/>
            <w:tcBorders>
              <w:tl2br w:val="nil"/>
              <w:tr2bl w:val="nil"/>
            </w:tcBorders>
            <w:vAlign w:val="center"/>
          </w:tcPr>
          <w:p w14:paraId="124EDADE">
            <w:pPr>
              <w:spacing w:line="240" w:lineRule="auto"/>
              <w:ind w:firstLine="0" w:firstLineChars="0"/>
              <w:jc w:val="center"/>
              <w:rPr>
                <w:b/>
                <w:bCs/>
                <w:color w:val="auto"/>
                <w:sz w:val="21"/>
                <w:szCs w:val="21"/>
                <w:highlight w:val="none"/>
              </w:rPr>
            </w:pPr>
            <w:r>
              <w:rPr>
                <w:b/>
                <w:bCs/>
                <w:color w:val="auto"/>
                <w:sz w:val="21"/>
                <w:szCs w:val="21"/>
                <w:highlight w:val="none"/>
              </w:rPr>
              <w:t>最大质量浓度（mg/m</w:t>
            </w:r>
            <w:r>
              <w:rPr>
                <w:b/>
                <w:bCs/>
                <w:color w:val="auto"/>
                <w:sz w:val="21"/>
                <w:szCs w:val="21"/>
                <w:highlight w:val="none"/>
                <w:vertAlign w:val="superscript"/>
              </w:rPr>
              <w:t>3</w:t>
            </w:r>
            <w:r>
              <w:rPr>
                <w:b/>
                <w:bCs/>
                <w:color w:val="auto"/>
                <w:sz w:val="21"/>
                <w:szCs w:val="21"/>
                <w:highlight w:val="none"/>
              </w:rPr>
              <w:t>）</w:t>
            </w:r>
          </w:p>
        </w:tc>
        <w:tc>
          <w:tcPr>
            <w:tcW w:w="483" w:type="pct"/>
            <w:tcBorders>
              <w:tl2br w:val="nil"/>
              <w:tr2bl w:val="nil"/>
            </w:tcBorders>
            <w:vAlign w:val="center"/>
          </w:tcPr>
          <w:p w14:paraId="762F3656">
            <w:pPr>
              <w:spacing w:line="240" w:lineRule="auto"/>
              <w:ind w:firstLine="0" w:firstLineChars="0"/>
              <w:jc w:val="center"/>
              <w:rPr>
                <w:b/>
                <w:bCs/>
                <w:color w:val="auto"/>
                <w:sz w:val="21"/>
                <w:szCs w:val="21"/>
                <w:highlight w:val="none"/>
              </w:rPr>
            </w:pPr>
            <w:r>
              <w:rPr>
                <w:b/>
                <w:bCs/>
                <w:color w:val="auto"/>
                <w:sz w:val="21"/>
                <w:szCs w:val="21"/>
                <w:highlight w:val="none"/>
              </w:rPr>
              <w:t>最大占标率/%</w:t>
            </w:r>
          </w:p>
        </w:tc>
        <w:tc>
          <w:tcPr>
            <w:tcW w:w="389" w:type="pct"/>
            <w:tcBorders>
              <w:tl2br w:val="nil"/>
              <w:tr2bl w:val="nil"/>
            </w:tcBorders>
            <w:vAlign w:val="center"/>
          </w:tcPr>
          <w:p w14:paraId="0C446A38">
            <w:pPr>
              <w:spacing w:line="240" w:lineRule="auto"/>
              <w:ind w:firstLine="0" w:firstLineChars="0"/>
              <w:jc w:val="center"/>
              <w:rPr>
                <w:b/>
                <w:bCs/>
                <w:color w:val="auto"/>
                <w:sz w:val="21"/>
                <w:szCs w:val="21"/>
                <w:highlight w:val="none"/>
              </w:rPr>
            </w:pPr>
            <w:r>
              <w:rPr>
                <w:b/>
                <w:bCs/>
                <w:color w:val="auto"/>
                <w:sz w:val="21"/>
                <w:szCs w:val="21"/>
                <w:highlight w:val="none"/>
              </w:rPr>
              <w:t>D10%/m</w:t>
            </w:r>
          </w:p>
        </w:tc>
        <w:tc>
          <w:tcPr>
            <w:tcW w:w="571" w:type="pct"/>
            <w:tcBorders>
              <w:tl2br w:val="nil"/>
              <w:tr2bl w:val="nil"/>
            </w:tcBorders>
            <w:vAlign w:val="center"/>
          </w:tcPr>
          <w:p w14:paraId="37ABAC41">
            <w:pPr>
              <w:spacing w:line="240" w:lineRule="auto"/>
              <w:ind w:firstLine="0" w:firstLineChars="0"/>
              <w:jc w:val="center"/>
              <w:rPr>
                <w:b/>
                <w:bCs/>
                <w:color w:val="auto"/>
                <w:sz w:val="21"/>
                <w:szCs w:val="21"/>
                <w:highlight w:val="none"/>
              </w:rPr>
            </w:pPr>
            <w:r>
              <w:rPr>
                <w:b/>
                <w:bCs/>
                <w:color w:val="auto"/>
                <w:sz w:val="21"/>
                <w:szCs w:val="21"/>
                <w:highlight w:val="none"/>
              </w:rPr>
              <w:t>最大质量浓度（mg/m</w:t>
            </w:r>
            <w:r>
              <w:rPr>
                <w:b/>
                <w:bCs/>
                <w:color w:val="auto"/>
                <w:sz w:val="21"/>
                <w:szCs w:val="21"/>
                <w:highlight w:val="none"/>
                <w:vertAlign w:val="superscript"/>
              </w:rPr>
              <w:t>3</w:t>
            </w:r>
            <w:r>
              <w:rPr>
                <w:b/>
                <w:bCs/>
                <w:color w:val="auto"/>
                <w:sz w:val="21"/>
                <w:szCs w:val="21"/>
                <w:highlight w:val="none"/>
              </w:rPr>
              <w:t>）</w:t>
            </w:r>
          </w:p>
        </w:tc>
        <w:tc>
          <w:tcPr>
            <w:tcW w:w="397" w:type="pct"/>
            <w:tcBorders>
              <w:tl2br w:val="nil"/>
              <w:tr2bl w:val="nil"/>
            </w:tcBorders>
            <w:vAlign w:val="center"/>
          </w:tcPr>
          <w:p w14:paraId="4FFBFF25">
            <w:pPr>
              <w:spacing w:line="240" w:lineRule="auto"/>
              <w:ind w:firstLine="0" w:firstLineChars="0"/>
              <w:jc w:val="center"/>
              <w:rPr>
                <w:b/>
                <w:bCs/>
                <w:color w:val="auto"/>
                <w:sz w:val="21"/>
                <w:szCs w:val="21"/>
                <w:highlight w:val="none"/>
              </w:rPr>
            </w:pPr>
            <w:r>
              <w:rPr>
                <w:b/>
                <w:bCs/>
                <w:color w:val="auto"/>
                <w:sz w:val="21"/>
                <w:szCs w:val="21"/>
                <w:highlight w:val="none"/>
              </w:rPr>
              <w:t>最大占标率/%</w:t>
            </w:r>
          </w:p>
        </w:tc>
        <w:tc>
          <w:tcPr>
            <w:tcW w:w="380" w:type="pct"/>
            <w:tcBorders>
              <w:tl2br w:val="nil"/>
              <w:tr2bl w:val="nil"/>
            </w:tcBorders>
            <w:vAlign w:val="center"/>
          </w:tcPr>
          <w:p w14:paraId="11781DDD">
            <w:pPr>
              <w:spacing w:line="240" w:lineRule="auto"/>
              <w:ind w:firstLine="0" w:firstLineChars="0"/>
              <w:jc w:val="center"/>
              <w:rPr>
                <w:b/>
                <w:bCs/>
                <w:color w:val="auto"/>
                <w:sz w:val="21"/>
                <w:szCs w:val="21"/>
                <w:highlight w:val="none"/>
              </w:rPr>
            </w:pPr>
            <w:r>
              <w:rPr>
                <w:b/>
                <w:bCs/>
                <w:color w:val="auto"/>
                <w:sz w:val="21"/>
                <w:szCs w:val="21"/>
                <w:highlight w:val="none"/>
              </w:rPr>
              <w:t>D10%/m</w:t>
            </w:r>
          </w:p>
        </w:tc>
        <w:tc>
          <w:tcPr>
            <w:tcW w:w="557" w:type="pct"/>
            <w:tcBorders>
              <w:tl2br w:val="nil"/>
              <w:tr2bl w:val="nil"/>
            </w:tcBorders>
            <w:vAlign w:val="center"/>
          </w:tcPr>
          <w:p w14:paraId="481E5E95">
            <w:pPr>
              <w:spacing w:line="240" w:lineRule="auto"/>
              <w:ind w:firstLine="0" w:firstLineChars="0"/>
              <w:jc w:val="center"/>
              <w:rPr>
                <w:b/>
                <w:bCs/>
                <w:color w:val="auto"/>
                <w:sz w:val="21"/>
                <w:szCs w:val="21"/>
                <w:highlight w:val="none"/>
              </w:rPr>
            </w:pPr>
            <w:r>
              <w:rPr>
                <w:b/>
                <w:bCs/>
                <w:color w:val="auto"/>
                <w:sz w:val="21"/>
                <w:szCs w:val="21"/>
                <w:highlight w:val="none"/>
              </w:rPr>
              <w:t>最大质量浓度（mg/m</w:t>
            </w:r>
            <w:r>
              <w:rPr>
                <w:b/>
                <w:bCs/>
                <w:color w:val="auto"/>
                <w:sz w:val="21"/>
                <w:szCs w:val="21"/>
                <w:highlight w:val="none"/>
                <w:vertAlign w:val="superscript"/>
              </w:rPr>
              <w:t>3</w:t>
            </w:r>
            <w:r>
              <w:rPr>
                <w:b/>
                <w:bCs/>
                <w:color w:val="auto"/>
                <w:sz w:val="21"/>
                <w:szCs w:val="21"/>
                <w:highlight w:val="none"/>
              </w:rPr>
              <w:t>）</w:t>
            </w:r>
          </w:p>
        </w:tc>
        <w:tc>
          <w:tcPr>
            <w:tcW w:w="483" w:type="pct"/>
            <w:tcBorders>
              <w:tl2br w:val="nil"/>
              <w:tr2bl w:val="nil"/>
            </w:tcBorders>
            <w:vAlign w:val="center"/>
          </w:tcPr>
          <w:p w14:paraId="501F55EA">
            <w:pPr>
              <w:spacing w:line="240" w:lineRule="auto"/>
              <w:ind w:firstLine="0" w:firstLineChars="0"/>
              <w:jc w:val="center"/>
              <w:rPr>
                <w:b/>
                <w:bCs/>
                <w:color w:val="auto"/>
                <w:sz w:val="21"/>
                <w:szCs w:val="21"/>
                <w:highlight w:val="none"/>
              </w:rPr>
            </w:pPr>
            <w:r>
              <w:rPr>
                <w:b/>
                <w:bCs/>
                <w:color w:val="auto"/>
                <w:sz w:val="21"/>
                <w:szCs w:val="21"/>
                <w:highlight w:val="none"/>
              </w:rPr>
              <w:t>最大占标率/%</w:t>
            </w:r>
          </w:p>
        </w:tc>
        <w:tc>
          <w:tcPr>
            <w:tcW w:w="345" w:type="pct"/>
            <w:tcBorders>
              <w:tl2br w:val="nil"/>
              <w:tr2bl w:val="nil"/>
            </w:tcBorders>
            <w:vAlign w:val="center"/>
          </w:tcPr>
          <w:p w14:paraId="5D2FDF67">
            <w:pPr>
              <w:spacing w:line="240" w:lineRule="auto"/>
              <w:ind w:firstLine="0" w:firstLineChars="0"/>
              <w:jc w:val="center"/>
              <w:rPr>
                <w:b/>
                <w:bCs/>
                <w:color w:val="auto"/>
                <w:sz w:val="21"/>
                <w:szCs w:val="21"/>
                <w:highlight w:val="none"/>
              </w:rPr>
            </w:pPr>
            <w:r>
              <w:rPr>
                <w:b/>
                <w:bCs/>
                <w:color w:val="auto"/>
                <w:sz w:val="21"/>
                <w:szCs w:val="21"/>
                <w:highlight w:val="none"/>
              </w:rPr>
              <w:t>D10%/m</w:t>
            </w:r>
          </w:p>
        </w:tc>
      </w:tr>
      <w:tr w14:paraId="5DDD05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9" w:type="pct"/>
            <w:tcBorders>
              <w:tl2br w:val="nil"/>
              <w:tr2bl w:val="nil"/>
            </w:tcBorders>
            <w:vAlign w:val="center"/>
          </w:tcPr>
          <w:p w14:paraId="0B8BC4B8">
            <w:pPr>
              <w:spacing w:line="240" w:lineRule="auto"/>
              <w:ind w:firstLine="0" w:firstLineChars="0"/>
              <w:jc w:val="center"/>
              <w:rPr>
                <w:color w:val="auto"/>
                <w:sz w:val="21"/>
                <w:szCs w:val="21"/>
                <w:highlight w:val="none"/>
              </w:rPr>
            </w:pPr>
            <w:r>
              <w:rPr>
                <w:color w:val="auto"/>
                <w:sz w:val="21"/>
                <w:szCs w:val="21"/>
                <w:highlight w:val="none"/>
              </w:rPr>
              <w:t>1</w:t>
            </w:r>
          </w:p>
        </w:tc>
        <w:tc>
          <w:tcPr>
            <w:tcW w:w="594" w:type="pct"/>
            <w:tcBorders>
              <w:tl2br w:val="nil"/>
              <w:tr2bl w:val="nil"/>
            </w:tcBorders>
            <w:vAlign w:val="center"/>
          </w:tcPr>
          <w:p w14:paraId="0C0683C4">
            <w:pPr>
              <w:spacing w:line="240" w:lineRule="auto"/>
              <w:ind w:firstLine="0" w:firstLineChars="0"/>
              <w:jc w:val="center"/>
              <w:rPr>
                <w:color w:val="auto"/>
                <w:sz w:val="21"/>
                <w:szCs w:val="21"/>
                <w:highlight w:val="none"/>
              </w:rPr>
            </w:pPr>
            <w:r>
              <w:rPr>
                <w:color w:val="auto"/>
                <w:sz w:val="21"/>
                <w:szCs w:val="21"/>
                <w:highlight w:val="none"/>
              </w:rPr>
              <w:t>浮船坞无组织废气</w:t>
            </w:r>
          </w:p>
        </w:tc>
        <w:tc>
          <w:tcPr>
            <w:tcW w:w="566" w:type="pct"/>
            <w:tcBorders>
              <w:tl2br w:val="nil"/>
              <w:tr2bl w:val="nil"/>
            </w:tcBorders>
            <w:vAlign w:val="center"/>
          </w:tcPr>
          <w:p w14:paraId="70F99D2A">
            <w:pPr>
              <w:spacing w:line="240" w:lineRule="auto"/>
              <w:ind w:firstLine="0" w:firstLineChars="0"/>
              <w:jc w:val="center"/>
              <w:rPr>
                <w:color w:val="auto"/>
                <w:sz w:val="21"/>
                <w:szCs w:val="21"/>
                <w:highlight w:val="none"/>
              </w:rPr>
            </w:pPr>
            <w:r>
              <w:rPr>
                <w:color w:val="auto"/>
                <w:sz w:val="21"/>
                <w:szCs w:val="21"/>
                <w:highlight w:val="none"/>
              </w:rPr>
              <w:t>0.17921</w:t>
            </w:r>
          </w:p>
        </w:tc>
        <w:tc>
          <w:tcPr>
            <w:tcW w:w="483" w:type="pct"/>
            <w:tcBorders>
              <w:tl2br w:val="nil"/>
              <w:tr2bl w:val="nil"/>
            </w:tcBorders>
            <w:vAlign w:val="center"/>
          </w:tcPr>
          <w:p w14:paraId="330F3F7B">
            <w:pPr>
              <w:spacing w:line="240" w:lineRule="auto"/>
              <w:ind w:firstLine="0" w:firstLineChars="0"/>
              <w:jc w:val="center"/>
              <w:rPr>
                <w:color w:val="auto"/>
                <w:sz w:val="21"/>
                <w:szCs w:val="21"/>
                <w:highlight w:val="none"/>
              </w:rPr>
            </w:pPr>
            <w:r>
              <w:rPr>
                <w:color w:val="auto"/>
                <w:sz w:val="21"/>
                <w:szCs w:val="21"/>
                <w:highlight w:val="none"/>
              </w:rPr>
              <w:t>89.61</w:t>
            </w:r>
            <w:r>
              <w:rPr>
                <w:color w:val="auto"/>
                <w:sz w:val="21"/>
                <w:szCs w:val="21"/>
                <w:highlight w:val="none"/>
              </w:rPr>
              <w:tab/>
            </w:r>
          </w:p>
        </w:tc>
        <w:tc>
          <w:tcPr>
            <w:tcW w:w="389" w:type="pct"/>
            <w:tcBorders>
              <w:tl2br w:val="nil"/>
              <w:tr2bl w:val="nil"/>
            </w:tcBorders>
            <w:vAlign w:val="center"/>
          </w:tcPr>
          <w:p w14:paraId="6B0328D3">
            <w:pPr>
              <w:spacing w:line="240" w:lineRule="auto"/>
              <w:ind w:firstLine="0" w:firstLineChars="0"/>
              <w:jc w:val="center"/>
              <w:rPr>
                <w:color w:val="auto"/>
                <w:sz w:val="21"/>
                <w:szCs w:val="21"/>
                <w:highlight w:val="none"/>
              </w:rPr>
            </w:pPr>
            <w:r>
              <w:rPr>
                <w:color w:val="auto"/>
                <w:sz w:val="21"/>
                <w:szCs w:val="21"/>
                <w:highlight w:val="none"/>
              </w:rPr>
              <w:t>3500</w:t>
            </w:r>
          </w:p>
        </w:tc>
        <w:tc>
          <w:tcPr>
            <w:tcW w:w="571" w:type="pct"/>
            <w:tcBorders>
              <w:tl2br w:val="nil"/>
              <w:tr2bl w:val="nil"/>
            </w:tcBorders>
            <w:vAlign w:val="center"/>
          </w:tcPr>
          <w:p w14:paraId="73420A01">
            <w:pPr>
              <w:spacing w:line="240" w:lineRule="auto"/>
              <w:ind w:firstLine="0" w:firstLineChars="0"/>
              <w:jc w:val="center"/>
              <w:rPr>
                <w:color w:val="auto"/>
                <w:sz w:val="21"/>
                <w:szCs w:val="21"/>
                <w:highlight w:val="none"/>
              </w:rPr>
            </w:pPr>
            <w:r>
              <w:rPr>
                <w:color w:val="auto"/>
                <w:sz w:val="21"/>
                <w:szCs w:val="21"/>
                <w:highlight w:val="none"/>
              </w:rPr>
              <w:t>0.71684</w:t>
            </w:r>
          </w:p>
        </w:tc>
        <w:tc>
          <w:tcPr>
            <w:tcW w:w="397" w:type="pct"/>
            <w:tcBorders>
              <w:tl2br w:val="nil"/>
              <w:tr2bl w:val="nil"/>
            </w:tcBorders>
            <w:vAlign w:val="center"/>
          </w:tcPr>
          <w:p w14:paraId="4786C32C">
            <w:pPr>
              <w:spacing w:line="240" w:lineRule="auto"/>
              <w:ind w:firstLine="0" w:firstLineChars="0"/>
              <w:jc w:val="center"/>
              <w:rPr>
                <w:color w:val="auto"/>
                <w:sz w:val="21"/>
                <w:szCs w:val="21"/>
                <w:highlight w:val="none"/>
              </w:rPr>
            </w:pPr>
            <w:r>
              <w:rPr>
                <w:color w:val="auto"/>
                <w:sz w:val="21"/>
                <w:szCs w:val="21"/>
                <w:highlight w:val="none"/>
              </w:rPr>
              <w:t>59.74</w:t>
            </w:r>
          </w:p>
        </w:tc>
        <w:tc>
          <w:tcPr>
            <w:tcW w:w="380" w:type="pct"/>
            <w:tcBorders>
              <w:tl2br w:val="nil"/>
              <w:tr2bl w:val="nil"/>
            </w:tcBorders>
            <w:vAlign w:val="center"/>
          </w:tcPr>
          <w:p w14:paraId="17FA3DBD">
            <w:pPr>
              <w:spacing w:line="240" w:lineRule="auto"/>
              <w:ind w:firstLine="0" w:firstLineChars="0"/>
              <w:jc w:val="center"/>
              <w:rPr>
                <w:color w:val="auto"/>
                <w:sz w:val="21"/>
                <w:szCs w:val="21"/>
                <w:highlight w:val="none"/>
              </w:rPr>
            </w:pPr>
            <w:r>
              <w:rPr>
                <w:color w:val="auto"/>
                <w:sz w:val="21"/>
                <w:szCs w:val="21"/>
                <w:highlight w:val="none"/>
              </w:rPr>
              <w:t>2525</w:t>
            </w:r>
          </w:p>
        </w:tc>
        <w:tc>
          <w:tcPr>
            <w:tcW w:w="557" w:type="pct"/>
            <w:tcBorders>
              <w:tl2br w:val="nil"/>
              <w:tr2bl w:val="nil"/>
            </w:tcBorders>
            <w:vAlign w:val="center"/>
          </w:tcPr>
          <w:p w14:paraId="761F2B76">
            <w:pPr>
              <w:spacing w:line="240" w:lineRule="auto"/>
              <w:ind w:firstLine="0" w:firstLineChars="0"/>
              <w:jc w:val="center"/>
              <w:rPr>
                <w:color w:val="auto"/>
                <w:sz w:val="21"/>
                <w:szCs w:val="21"/>
                <w:highlight w:val="none"/>
              </w:rPr>
            </w:pPr>
            <w:r>
              <w:rPr>
                <w:color w:val="auto"/>
                <w:sz w:val="21"/>
                <w:szCs w:val="21"/>
                <w:highlight w:val="none"/>
              </w:rPr>
              <w:t>0.5</w:t>
            </w:r>
            <w:r>
              <w:rPr>
                <w:rFonts w:hint="eastAsia"/>
                <w:color w:val="auto"/>
                <w:sz w:val="21"/>
                <w:szCs w:val="21"/>
                <w:highlight w:val="none"/>
              </w:rPr>
              <w:t>1671</w:t>
            </w:r>
          </w:p>
        </w:tc>
        <w:tc>
          <w:tcPr>
            <w:tcW w:w="483" w:type="pct"/>
            <w:tcBorders>
              <w:tl2br w:val="nil"/>
              <w:tr2bl w:val="nil"/>
            </w:tcBorders>
            <w:vAlign w:val="center"/>
          </w:tcPr>
          <w:p w14:paraId="24D349BA">
            <w:pPr>
              <w:spacing w:line="240" w:lineRule="auto"/>
              <w:ind w:firstLine="0" w:firstLineChars="0"/>
              <w:jc w:val="center"/>
              <w:rPr>
                <w:color w:val="auto"/>
                <w:sz w:val="21"/>
                <w:szCs w:val="21"/>
                <w:highlight w:val="none"/>
              </w:rPr>
            </w:pPr>
            <w:r>
              <w:rPr>
                <w:color w:val="auto"/>
                <w:sz w:val="21"/>
                <w:szCs w:val="21"/>
                <w:highlight w:val="none"/>
              </w:rPr>
              <w:t>5</w:t>
            </w:r>
            <w:r>
              <w:rPr>
                <w:rFonts w:hint="eastAsia"/>
                <w:color w:val="auto"/>
                <w:sz w:val="21"/>
                <w:szCs w:val="21"/>
                <w:highlight w:val="none"/>
              </w:rPr>
              <w:t>7.41</w:t>
            </w:r>
          </w:p>
        </w:tc>
        <w:tc>
          <w:tcPr>
            <w:tcW w:w="345" w:type="pct"/>
            <w:tcBorders>
              <w:tl2br w:val="nil"/>
              <w:tr2bl w:val="nil"/>
            </w:tcBorders>
            <w:vAlign w:val="center"/>
          </w:tcPr>
          <w:p w14:paraId="58C021C9">
            <w:pPr>
              <w:spacing w:line="240" w:lineRule="auto"/>
              <w:ind w:firstLine="0" w:firstLineChars="0"/>
              <w:jc w:val="center"/>
              <w:rPr>
                <w:color w:val="auto"/>
                <w:sz w:val="21"/>
                <w:szCs w:val="21"/>
                <w:highlight w:val="none"/>
              </w:rPr>
            </w:pPr>
            <w:r>
              <w:rPr>
                <w:color w:val="auto"/>
                <w:sz w:val="21"/>
                <w:szCs w:val="21"/>
                <w:highlight w:val="none"/>
              </w:rPr>
              <w:t>2</w:t>
            </w:r>
            <w:r>
              <w:rPr>
                <w:rFonts w:hint="eastAsia"/>
                <w:color w:val="auto"/>
                <w:sz w:val="21"/>
                <w:szCs w:val="21"/>
                <w:highlight w:val="none"/>
              </w:rPr>
              <w:t>450</w:t>
            </w:r>
          </w:p>
        </w:tc>
      </w:tr>
    </w:tbl>
    <w:p w14:paraId="031E1016">
      <w:pPr>
        <w:pStyle w:val="26"/>
        <w:spacing w:before="120" w:beforeLines="50"/>
        <w:ind w:firstLine="480"/>
        <w:rPr>
          <w:rFonts w:ascii="Times New Roman" w:hAnsi="Times New Roman"/>
          <w:color w:val="auto"/>
          <w:highlight w:val="none"/>
        </w:rPr>
      </w:pPr>
      <w:r>
        <w:rPr>
          <w:rFonts w:ascii="Times New Roman" w:hAnsi="Times New Roman"/>
          <w:color w:val="auto"/>
          <w:highlight w:val="none"/>
        </w:rPr>
        <w:t>根据上表可知，项目大气污染物最大排放浓度为喷漆过程排放的二甲苯无组织废气，其最大落地浓度为</w:t>
      </w:r>
      <w:r>
        <w:rPr>
          <w:rFonts w:ascii="Times New Roman" w:hAnsi="Times New Roman"/>
          <w:color w:val="auto"/>
          <w:highlight w:val="none"/>
          <w:lang w:bidi="zh-CN"/>
        </w:rPr>
        <w:t>0.17921</w:t>
      </w:r>
      <w:r>
        <w:rPr>
          <w:rFonts w:ascii="Times New Roman" w:hAnsi="Times New Roman"/>
          <w:color w:val="auto"/>
          <w:highlight w:val="none"/>
        </w:rPr>
        <w:t>mg/m</w:t>
      </w:r>
      <w:r>
        <w:rPr>
          <w:rFonts w:ascii="Times New Roman" w:hAnsi="Times New Roman"/>
          <w:color w:val="auto"/>
          <w:highlight w:val="none"/>
          <w:vertAlign w:val="superscript"/>
        </w:rPr>
        <w:t>3</w:t>
      </w:r>
      <w:r>
        <w:rPr>
          <w:rFonts w:ascii="Times New Roman" w:hAnsi="Times New Roman"/>
          <w:color w:val="auto"/>
          <w:highlight w:val="none"/>
        </w:rPr>
        <w:t>，最大地面浓度占标率为Pmax=89.61%，根据《环境影响评价技术导则 大气环境》（HJ2.2-2018），项目大气环境评价工作等级定为一级。</w:t>
      </w:r>
    </w:p>
    <w:p w14:paraId="335BCE32">
      <w:pPr>
        <w:pStyle w:val="38"/>
        <w:spacing w:after="0"/>
        <w:ind w:firstLine="482"/>
        <w:rPr>
          <w:b/>
          <w:bCs/>
          <w:color w:val="auto"/>
          <w:highlight w:val="none"/>
        </w:rPr>
      </w:pPr>
      <w:r>
        <w:rPr>
          <w:b/>
          <w:bCs/>
          <w:color w:val="auto"/>
          <w:highlight w:val="none"/>
        </w:rPr>
        <w:t>（2）评价范围</w:t>
      </w:r>
    </w:p>
    <w:p w14:paraId="64022277">
      <w:pPr>
        <w:ind w:firstLine="480"/>
        <w:rPr>
          <w:color w:val="auto"/>
          <w:highlight w:val="none"/>
        </w:rPr>
      </w:pPr>
      <w:r>
        <w:rPr>
          <w:color w:val="auto"/>
          <w:highlight w:val="none"/>
        </w:rPr>
        <w:t>根据《环境影响评价技术导则 大气环境》（HJ 2.2-2018）：5.4.1一级评价项目根据建设项目排放污染物的最远影响距离（D10%）确定大气环境影响评价范围。即以项目厂址为中心区域，自厂界外延D10%的矩形区域作为大气环境影响评价范围。当D10%超过25km时，确定评价范围为边长50km的矩形区域；当D10%小于2.5km时，评价范围边长取5km。本项目占标率10%的最远距离D10%为3500m（喷漆过程排放的二甲苯无组织废气），</w:t>
      </w:r>
      <w:r>
        <w:rPr>
          <w:rFonts w:hint="eastAsia"/>
          <w:color w:val="auto"/>
          <w:highlight w:val="none"/>
        </w:rPr>
        <w:t>因此项目大气环境影响</w:t>
      </w:r>
      <w:r>
        <w:rPr>
          <w:color w:val="auto"/>
          <w:highlight w:val="none"/>
        </w:rPr>
        <w:t>评价范围</w:t>
      </w:r>
      <w:r>
        <w:rPr>
          <w:rFonts w:hint="eastAsia"/>
          <w:color w:val="auto"/>
          <w:highlight w:val="none"/>
        </w:rPr>
        <w:t>为厂址为中心，</w:t>
      </w:r>
      <w:r>
        <w:rPr>
          <w:color w:val="auto"/>
          <w:highlight w:val="none"/>
        </w:rPr>
        <w:t>边长</w:t>
      </w:r>
      <w:r>
        <w:rPr>
          <w:rFonts w:hint="eastAsia"/>
          <w:color w:val="auto"/>
          <w:highlight w:val="none"/>
        </w:rPr>
        <w:t>为</w:t>
      </w:r>
      <w:r>
        <w:rPr>
          <w:color w:val="auto"/>
          <w:highlight w:val="none"/>
        </w:rPr>
        <w:t>7km的矩形区域。</w:t>
      </w:r>
    </w:p>
    <w:p w14:paraId="40F118F4">
      <w:pPr>
        <w:pStyle w:val="7"/>
        <w:numPr>
          <w:ilvl w:val="2"/>
          <w:numId w:val="9"/>
        </w:numPr>
        <w:rPr>
          <w:color w:val="auto"/>
          <w:sz w:val="28"/>
          <w:highlight w:val="none"/>
        </w:rPr>
      </w:pPr>
      <w:r>
        <w:rPr>
          <w:color w:val="auto"/>
          <w:sz w:val="28"/>
          <w:highlight w:val="none"/>
        </w:rPr>
        <w:t>地表水评价等级及范围</w:t>
      </w:r>
    </w:p>
    <w:p w14:paraId="7C572DCA">
      <w:pPr>
        <w:ind w:firstLine="480"/>
        <w:rPr>
          <w:rFonts w:eastAsiaTheme="minorEastAsia"/>
          <w:color w:val="auto"/>
          <w:highlight w:val="none"/>
        </w:rPr>
      </w:pPr>
      <w:r>
        <w:rPr>
          <w:rFonts w:eastAsiaTheme="minorEastAsia"/>
          <w:color w:val="auto"/>
          <w:highlight w:val="none"/>
        </w:rPr>
        <w:t>本项目属于船舶维修改装建设工程，根据《环境影响评价技术导则</w:t>
      </w:r>
      <w:r>
        <w:rPr>
          <w:rFonts w:hint="eastAsia" w:eastAsiaTheme="minorEastAsia"/>
          <w:color w:val="auto"/>
          <w:highlight w:val="none"/>
        </w:rPr>
        <w:t xml:space="preserve"> </w:t>
      </w:r>
      <w:r>
        <w:rPr>
          <w:rFonts w:eastAsiaTheme="minorEastAsia"/>
          <w:color w:val="auto"/>
          <w:highlight w:val="none"/>
        </w:rPr>
        <w:t>地表水环境》 （HJ2.3-2018），项目水环境影响类型包括水污染影响和水文要素影响两类，为复合影响型。</w:t>
      </w:r>
    </w:p>
    <w:p w14:paraId="3784A6D4">
      <w:pPr>
        <w:pStyle w:val="533"/>
        <w:numPr>
          <w:ilvl w:val="3"/>
          <w:numId w:val="9"/>
        </w:numPr>
        <w:rPr>
          <w:color w:val="auto"/>
          <w:szCs w:val="24"/>
          <w:highlight w:val="none"/>
        </w:rPr>
      </w:pPr>
      <w:r>
        <w:rPr>
          <w:color w:val="auto"/>
          <w:szCs w:val="24"/>
          <w:highlight w:val="none"/>
        </w:rPr>
        <w:t>水污染影响</w:t>
      </w:r>
    </w:p>
    <w:p w14:paraId="7700E403">
      <w:pPr>
        <w:ind w:firstLine="480"/>
        <w:rPr>
          <w:rFonts w:eastAsiaTheme="minorEastAsia"/>
          <w:color w:val="auto"/>
          <w:highlight w:val="none"/>
        </w:rPr>
      </w:pPr>
      <w:r>
        <w:rPr>
          <w:rFonts w:eastAsiaTheme="minorEastAsia"/>
          <w:color w:val="auto"/>
          <w:highlight w:val="none"/>
        </w:rPr>
        <w:t>依据《环境影响评价技术导则  地表水环境》（HJ2.3-2018）</w:t>
      </w:r>
      <w:r>
        <w:rPr>
          <w:rFonts w:eastAsiaTheme="minorEastAsia"/>
          <w:color w:val="auto"/>
          <w:highlight w:val="none"/>
        </w:rPr>
        <w:tab/>
      </w:r>
      <w:r>
        <w:rPr>
          <w:rFonts w:eastAsiaTheme="minorEastAsia"/>
          <w:color w:val="auto"/>
          <w:highlight w:val="none"/>
        </w:rPr>
        <w:t>评价工作分级规定，水污染影响型评价等级判定具体见表1.4-4。</w:t>
      </w:r>
    </w:p>
    <w:p w14:paraId="78382E7D">
      <w:pPr>
        <w:pStyle w:val="38"/>
        <w:spacing w:after="0" w:line="240" w:lineRule="auto"/>
        <w:ind w:firstLine="0" w:firstLineChars="0"/>
        <w:jc w:val="center"/>
        <w:rPr>
          <w:b/>
          <w:color w:val="auto"/>
          <w:sz w:val="21"/>
          <w:szCs w:val="21"/>
          <w:highlight w:val="none"/>
        </w:rPr>
      </w:pPr>
      <w:r>
        <w:rPr>
          <w:b/>
          <w:color w:val="auto"/>
          <w:sz w:val="21"/>
          <w:szCs w:val="21"/>
          <w:highlight w:val="none"/>
        </w:rPr>
        <w:t>表1.4-4  水污染</w:t>
      </w:r>
      <w:r>
        <w:rPr>
          <w:rFonts w:hint="eastAsia"/>
          <w:b/>
          <w:color w:val="auto"/>
          <w:sz w:val="21"/>
          <w:szCs w:val="21"/>
          <w:highlight w:val="none"/>
          <w:lang w:eastAsia="zh-CN"/>
        </w:rPr>
        <w:t>影响</w:t>
      </w:r>
      <w:r>
        <w:rPr>
          <w:b/>
          <w:color w:val="auto"/>
          <w:sz w:val="21"/>
          <w:szCs w:val="21"/>
          <w:highlight w:val="none"/>
        </w:rPr>
        <w:t>型建设项目评价等级判定表</w:t>
      </w:r>
    </w:p>
    <w:tbl>
      <w:tblPr>
        <w:tblStyle w:val="92"/>
        <w:tblW w:w="907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18"/>
        <w:gridCol w:w="1701"/>
        <w:gridCol w:w="5953"/>
      </w:tblGrid>
      <w:tr w14:paraId="2A2164D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18" w:type="dxa"/>
            <w:vMerge w:val="restart"/>
            <w:vAlign w:val="center"/>
          </w:tcPr>
          <w:p w14:paraId="1E5C64BA">
            <w:pPr>
              <w:pStyle w:val="523"/>
              <w:adjustRightInd w:val="0"/>
              <w:snapToGrid w:val="0"/>
              <w:spacing w:line="240" w:lineRule="auto"/>
              <w:ind w:left="0" w:leftChars="0" w:right="0" w:rightChars="0"/>
              <w:rPr>
                <w:color w:val="auto"/>
                <w:highlight w:val="none"/>
              </w:rPr>
            </w:pPr>
            <w:r>
              <w:rPr>
                <w:color w:val="auto"/>
                <w:highlight w:val="none"/>
              </w:rPr>
              <w:t>评价等级</w:t>
            </w:r>
          </w:p>
        </w:tc>
        <w:tc>
          <w:tcPr>
            <w:tcW w:w="7654" w:type="dxa"/>
            <w:gridSpan w:val="2"/>
            <w:vAlign w:val="center"/>
          </w:tcPr>
          <w:p w14:paraId="5990FC06">
            <w:pPr>
              <w:pStyle w:val="523"/>
              <w:adjustRightInd w:val="0"/>
              <w:snapToGrid w:val="0"/>
              <w:spacing w:line="240" w:lineRule="auto"/>
              <w:ind w:left="0" w:leftChars="0" w:right="0" w:rightChars="0"/>
              <w:rPr>
                <w:color w:val="auto"/>
                <w:highlight w:val="none"/>
              </w:rPr>
            </w:pPr>
            <w:r>
              <w:rPr>
                <w:color w:val="auto"/>
                <w:highlight w:val="none"/>
              </w:rPr>
              <w:t>判定依据</w:t>
            </w:r>
          </w:p>
        </w:tc>
      </w:tr>
      <w:tr w14:paraId="782FD8E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18" w:type="dxa"/>
            <w:vMerge w:val="continue"/>
            <w:vAlign w:val="center"/>
          </w:tcPr>
          <w:p w14:paraId="5E25A2AE">
            <w:pPr>
              <w:pStyle w:val="523"/>
              <w:adjustRightInd w:val="0"/>
              <w:snapToGrid w:val="0"/>
              <w:spacing w:line="240" w:lineRule="auto"/>
              <w:ind w:left="0" w:leftChars="0" w:right="0" w:rightChars="0"/>
              <w:rPr>
                <w:color w:val="auto"/>
                <w:highlight w:val="none"/>
              </w:rPr>
            </w:pPr>
          </w:p>
        </w:tc>
        <w:tc>
          <w:tcPr>
            <w:tcW w:w="1701" w:type="dxa"/>
            <w:vAlign w:val="center"/>
          </w:tcPr>
          <w:p w14:paraId="64DED79B">
            <w:pPr>
              <w:pStyle w:val="523"/>
              <w:adjustRightInd w:val="0"/>
              <w:snapToGrid w:val="0"/>
              <w:spacing w:line="240" w:lineRule="auto"/>
              <w:ind w:left="0" w:leftChars="0" w:right="0" w:rightChars="0"/>
              <w:rPr>
                <w:color w:val="auto"/>
                <w:highlight w:val="none"/>
              </w:rPr>
            </w:pPr>
            <w:r>
              <w:rPr>
                <w:color w:val="auto"/>
                <w:highlight w:val="none"/>
              </w:rPr>
              <w:t>排放方式</w:t>
            </w:r>
          </w:p>
        </w:tc>
        <w:tc>
          <w:tcPr>
            <w:tcW w:w="5953" w:type="dxa"/>
            <w:vAlign w:val="center"/>
          </w:tcPr>
          <w:p w14:paraId="540252D0">
            <w:pPr>
              <w:pStyle w:val="523"/>
              <w:adjustRightInd w:val="0"/>
              <w:snapToGrid w:val="0"/>
              <w:spacing w:line="240" w:lineRule="auto"/>
              <w:ind w:left="0" w:leftChars="0" w:right="0" w:rightChars="0"/>
              <w:rPr>
                <w:color w:val="auto"/>
                <w:highlight w:val="none"/>
              </w:rPr>
            </w:pPr>
            <w:r>
              <w:rPr>
                <w:color w:val="auto"/>
                <w:highlight w:val="none"/>
              </w:rPr>
              <w:t>废水排放量Q/（m</w:t>
            </w:r>
            <w:r>
              <w:rPr>
                <w:color w:val="auto"/>
                <w:highlight w:val="none"/>
                <w:vertAlign w:val="superscript"/>
              </w:rPr>
              <w:t>3</w:t>
            </w:r>
            <w:r>
              <w:rPr>
                <w:color w:val="auto"/>
                <w:highlight w:val="none"/>
              </w:rPr>
              <w:t>/d）；水污染物当量数W/（无量纲）</w:t>
            </w:r>
          </w:p>
        </w:tc>
      </w:tr>
      <w:tr w14:paraId="7C4054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18" w:type="dxa"/>
            <w:vAlign w:val="center"/>
          </w:tcPr>
          <w:p w14:paraId="5EA183AA">
            <w:pPr>
              <w:pStyle w:val="523"/>
              <w:adjustRightInd w:val="0"/>
              <w:snapToGrid w:val="0"/>
              <w:spacing w:line="240" w:lineRule="auto"/>
              <w:ind w:left="0" w:leftChars="0" w:right="0" w:rightChars="0"/>
              <w:rPr>
                <w:color w:val="auto"/>
                <w:highlight w:val="none"/>
              </w:rPr>
            </w:pPr>
            <w:r>
              <w:rPr>
                <w:color w:val="auto"/>
                <w:highlight w:val="none"/>
              </w:rPr>
              <w:t>一级</w:t>
            </w:r>
          </w:p>
        </w:tc>
        <w:tc>
          <w:tcPr>
            <w:tcW w:w="1701" w:type="dxa"/>
            <w:vAlign w:val="center"/>
          </w:tcPr>
          <w:p w14:paraId="7544F7EE">
            <w:pPr>
              <w:pStyle w:val="523"/>
              <w:adjustRightInd w:val="0"/>
              <w:snapToGrid w:val="0"/>
              <w:spacing w:line="240" w:lineRule="auto"/>
              <w:ind w:left="0" w:leftChars="0" w:right="0" w:rightChars="0"/>
              <w:rPr>
                <w:color w:val="auto"/>
                <w:highlight w:val="none"/>
              </w:rPr>
            </w:pPr>
            <w:r>
              <w:rPr>
                <w:color w:val="auto"/>
                <w:highlight w:val="none"/>
              </w:rPr>
              <w:t>直接排放</w:t>
            </w:r>
          </w:p>
        </w:tc>
        <w:tc>
          <w:tcPr>
            <w:tcW w:w="5953" w:type="dxa"/>
            <w:vAlign w:val="center"/>
          </w:tcPr>
          <w:p w14:paraId="71E86A3B">
            <w:pPr>
              <w:pStyle w:val="523"/>
              <w:adjustRightInd w:val="0"/>
              <w:snapToGrid w:val="0"/>
              <w:spacing w:line="240" w:lineRule="auto"/>
              <w:ind w:left="0" w:leftChars="0" w:right="0" w:rightChars="0"/>
              <w:rPr>
                <w:color w:val="auto"/>
                <w:highlight w:val="none"/>
              </w:rPr>
            </w:pPr>
            <w:r>
              <w:rPr>
                <w:color w:val="auto"/>
                <w:highlight w:val="none"/>
              </w:rPr>
              <w:t>Q≥20000或W≥60000</w:t>
            </w:r>
          </w:p>
        </w:tc>
      </w:tr>
      <w:tr w14:paraId="71A796C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18" w:type="dxa"/>
            <w:vAlign w:val="center"/>
          </w:tcPr>
          <w:p w14:paraId="4AF81CC1">
            <w:pPr>
              <w:pStyle w:val="523"/>
              <w:adjustRightInd w:val="0"/>
              <w:snapToGrid w:val="0"/>
              <w:spacing w:line="240" w:lineRule="auto"/>
              <w:ind w:left="0" w:leftChars="0" w:right="0" w:rightChars="0"/>
              <w:rPr>
                <w:color w:val="auto"/>
                <w:highlight w:val="none"/>
              </w:rPr>
            </w:pPr>
            <w:r>
              <w:rPr>
                <w:color w:val="auto"/>
                <w:highlight w:val="none"/>
              </w:rPr>
              <w:t>二级</w:t>
            </w:r>
          </w:p>
        </w:tc>
        <w:tc>
          <w:tcPr>
            <w:tcW w:w="1701" w:type="dxa"/>
            <w:vAlign w:val="center"/>
          </w:tcPr>
          <w:p w14:paraId="2B74043D">
            <w:pPr>
              <w:pStyle w:val="523"/>
              <w:adjustRightInd w:val="0"/>
              <w:snapToGrid w:val="0"/>
              <w:spacing w:line="240" w:lineRule="auto"/>
              <w:ind w:left="0" w:leftChars="0" w:right="0" w:rightChars="0"/>
              <w:rPr>
                <w:color w:val="auto"/>
                <w:highlight w:val="none"/>
              </w:rPr>
            </w:pPr>
            <w:r>
              <w:rPr>
                <w:color w:val="auto"/>
                <w:highlight w:val="none"/>
              </w:rPr>
              <w:t>直接排放</w:t>
            </w:r>
          </w:p>
        </w:tc>
        <w:tc>
          <w:tcPr>
            <w:tcW w:w="5953" w:type="dxa"/>
            <w:vAlign w:val="center"/>
          </w:tcPr>
          <w:p w14:paraId="1CD34FC2">
            <w:pPr>
              <w:pStyle w:val="523"/>
              <w:adjustRightInd w:val="0"/>
              <w:snapToGrid w:val="0"/>
              <w:spacing w:line="240" w:lineRule="auto"/>
              <w:ind w:left="0" w:leftChars="0" w:right="0" w:rightChars="0"/>
              <w:rPr>
                <w:color w:val="auto"/>
                <w:highlight w:val="none"/>
              </w:rPr>
            </w:pPr>
            <w:r>
              <w:rPr>
                <w:color w:val="auto"/>
                <w:highlight w:val="none"/>
              </w:rPr>
              <w:t>其他</w:t>
            </w:r>
          </w:p>
        </w:tc>
      </w:tr>
      <w:tr w14:paraId="12470EC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18" w:type="dxa"/>
            <w:vAlign w:val="center"/>
          </w:tcPr>
          <w:p w14:paraId="455006D7">
            <w:pPr>
              <w:pStyle w:val="523"/>
              <w:adjustRightInd w:val="0"/>
              <w:snapToGrid w:val="0"/>
              <w:spacing w:line="240" w:lineRule="auto"/>
              <w:ind w:left="0" w:leftChars="0" w:right="0" w:rightChars="0"/>
              <w:rPr>
                <w:color w:val="auto"/>
                <w:highlight w:val="none"/>
              </w:rPr>
            </w:pPr>
            <w:r>
              <w:rPr>
                <w:color w:val="auto"/>
                <w:highlight w:val="none"/>
              </w:rPr>
              <w:t>三级A</w:t>
            </w:r>
          </w:p>
        </w:tc>
        <w:tc>
          <w:tcPr>
            <w:tcW w:w="1701" w:type="dxa"/>
            <w:vAlign w:val="center"/>
          </w:tcPr>
          <w:p w14:paraId="2A2348F0">
            <w:pPr>
              <w:pStyle w:val="523"/>
              <w:adjustRightInd w:val="0"/>
              <w:snapToGrid w:val="0"/>
              <w:spacing w:line="240" w:lineRule="auto"/>
              <w:ind w:left="0" w:leftChars="0" w:right="0" w:rightChars="0"/>
              <w:rPr>
                <w:color w:val="auto"/>
                <w:highlight w:val="none"/>
              </w:rPr>
            </w:pPr>
            <w:r>
              <w:rPr>
                <w:color w:val="auto"/>
                <w:highlight w:val="none"/>
              </w:rPr>
              <w:t>直接排放</w:t>
            </w:r>
          </w:p>
        </w:tc>
        <w:tc>
          <w:tcPr>
            <w:tcW w:w="5953" w:type="dxa"/>
            <w:vAlign w:val="center"/>
          </w:tcPr>
          <w:p w14:paraId="26B1E912">
            <w:pPr>
              <w:pStyle w:val="523"/>
              <w:adjustRightInd w:val="0"/>
              <w:snapToGrid w:val="0"/>
              <w:spacing w:line="240" w:lineRule="auto"/>
              <w:ind w:left="0" w:leftChars="0" w:right="0" w:rightChars="0"/>
              <w:rPr>
                <w:color w:val="auto"/>
                <w:highlight w:val="none"/>
              </w:rPr>
            </w:pPr>
            <w:r>
              <w:rPr>
                <w:color w:val="auto"/>
                <w:highlight w:val="none"/>
              </w:rPr>
              <w:t>Q＜200且W＜6000</w:t>
            </w:r>
          </w:p>
        </w:tc>
      </w:tr>
      <w:tr w14:paraId="2FACF99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18" w:type="dxa"/>
            <w:vAlign w:val="center"/>
          </w:tcPr>
          <w:p w14:paraId="4B0E23A9">
            <w:pPr>
              <w:pStyle w:val="523"/>
              <w:adjustRightInd w:val="0"/>
              <w:snapToGrid w:val="0"/>
              <w:spacing w:line="240" w:lineRule="auto"/>
              <w:ind w:left="0" w:leftChars="0" w:right="0" w:rightChars="0"/>
              <w:rPr>
                <w:color w:val="auto"/>
                <w:highlight w:val="none"/>
              </w:rPr>
            </w:pPr>
            <w:r>
              <w:rPr>
                <w:color w:val="auto"/>
                <w:highlight w:val="none"/>
              </w:rPr>
              <w:t>三级B</w:t>
            </w:r>
          </w:p>
        </w:tc>
        <w:tc>
          <w:tcPr>
            <w:tcW w:w="1701" w:type="dxa"/>
            <w:vAlign w:val="center"/>
          </w:tcPr>
          <w:p w14:paraId="787AD58B">
            <w:pPr>
              <w:pStyle w:val="523"/>
              <w:adjustRightInd w:val="0"/>
              <w:snapToGrid w:val="0"/>
              <w:spacing w:line="240" w:lineRule="auto"/>
              <w:ind w:left="0" w:leftChars="0" w:right="0" w:rightChars="0"/>
              <w:rPr>
                <w:color w:val="auto"/>
                <w:highlight w:val="none"/>
              </w:rPr>
            </w:pPr>
            <w:r>
              <w:rPr>
                <w:color w:val="auto"/>
                <w:highlight w:val="none"/>
              </w:rPr>
              <w:t>间接排放</w:t>
            </w:r>
          </w:p>
        </w:tc>
        <w:tc>
          <w:tcPr>
            <w:tcW w:w="5953" w:type="dxa"/>
            <w:vAlign w:val="center"/>
          </w:tcPr>
          <w:p w14:paraId="1B5F3CD2">
            <w:pPr>
              <w:pStyle w:val="523"/>
              <w:adjustRightInd w:val="0"/>
              <w:snapToGrid w:val="0"/>
              <w:spacing w:line="240" w:lineRule="auto"/>
              <w:ind w:left="0" w:leftChars="0" w:right="0" w:rightChars="0"/>
              <w:rPr>
                <w:color w:val="auto"/>
                <w:highlight w:val="none"/>
              </w:rPr>
            </w:pPr>
            <w:r>
              <w:rPr>
                <w:color w:val="auto"/>
                <w:highlight w:val="none"/>
              </w:rPr>
              <w:t>—</w:t>
            </w:r>
          </w:p>
        </w:tc>
      </w:tr>
      <w:tr w14:paraId="7169BF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072" w:type="dxa"/>
            <w:gridSpan w:val="3"/>
            <w:vAlign w:val="center"/>
          </w:tcPr>
          <w:p w14:paraId="19EEE8C6">
            <w:pPr>
              <w:pStyle w:val="523"/>
              <w:adjustRightInd w:val="0"/>
              <w:snapToGrid w:val="0"/>
              <w:spacing w:line="240" w:lineRule="auto"/>
              <w:ind w:left="0" w:leftChars="0" w:right="0" w:rightChars="0"/>
              <w:jc w:val="left"/>
              <w:rPr>
                <w:color w:val="auto"/>
                <w:highlight w:val="none"/>
              </w:rPr>
            </w:pPr>
            <w:r>
              <w:rPr>
                <w:color w:val="auto"/>
                <w:highlight w:val="none"/>
              </w:rPr>
              <w:t>注1：水污染物当量数等于该污染物的年排放量除以该污染物的污染当量值（附录A），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14:paraId="7D64B723">
            <w:pPr>
              <w:pStyle w:val="523"/>
              <w:adjustRightInd w:val="0"/>
              <w:snapToGrid w:val="0"/>
              <w:spacing w:line="240" w:lineRule="auto"/>
              <w:ind w:left="0" w:leftChars="0" w:right="0" w:rightChars="0"/>
              <w:jc w:val="left"/>
              <w:rPr>
                <w:color w:val="auto"/>
                <w:highlight w:val="none"/>
              </w:rPr>
            </w:pPr>
            <w:r>
              <w:rPr>
                <w:color w:val="auto"/>
                <w:highlight w:val="none"/>
              </w:rPr>
              <w:t>注2：废水排放量按行业排放标准中规定的废水种类统计，没有相关行业排放标准要求的通过工程分析合理确定，应统计含热量大的冷却水的排放量，可不统计间接冷却水、循环水及其它含污染物极少的清净下水的排放量。</w:t>
            </w:r>
          </w:p>
          <w:p w14:paraId="1BD2B74C">
            <w:pPr>
              <w:pStyle w:val="523"/>
              <w:adjustRightInd w:val="0"/>
              <w:snapToGrid w:val="0"/>
              <w:spacing w:line="240" w:lineRule="auto"/>
              <w:ind w:left="0" w:leftChars="0" w:right="0" w:rightChars="0"/>
              <w:jc w:val="left"/>
              <w:rPr>
                <w:color w:val="auto"/>
                <w:highlight w:val="none"/>
              </w:rPr>
            </w:pPr>
            <w:r>
              <w:rPr>
                <w:color w:val="auto"/>
                <w:highlight w:val="none"/>
              </w:rPr>
              <w:t>注3：厂区存在堆积物（露天堆放的原料、燃料、废渣等以及垃圾堆放场）、降尘污染的，应将初期雨水纳入废水排放量，相应的主要污染物纳入水污染当量计算。</w:t>
            </w:r>
          </w:p>
          <w:p w14:paraId="7DCEA291">
            <w:pPr>
              <w:pStyle w:val="523"/>
              <w:adjustRightInd w:val="0"/>
              <w:snapToGrid w:val="0"/>
              <w:spacing w:line="240" w:lineRule="auto"/>
              <w:ind w:left="0" w:leftChars="0" w:right="0" w:rightChars="0"/>
              <w:jc w:val="left"/>
              <w:rPr>
                <w:color w:val="auto"/>
                <w:highlight w:val="none"/>
              </w:rPr>
            </w:pPr>
            <w:r>
              <w:rPr>
                <w:color w:val="auto"/>
                <w:highlight w:val="none"/>
              </w:rPr>
              <w:t>注4：建设项目直接排放第一污染物的，其评价等级为一级；建设项目直接排放的污染物为</w:t>
            </w:r>
            <w:r>
              <w:rPr>
                <w:rFonts w:hint="eastAsia"/>
                <w:color w:val="auto"/>
                <w:highlight w:val="none"/>
                <w:lang w:eastAsia="zh-CN"/>
              </w:rPr>
              <w:t>受纳水体</w:t>
            </w:r>
            <w:r>
              <w:rPr>
                <w:color w:val="auto"/>
                <w:highlight w:val="none"/>
              </w:rPr>
              <w:t>超标因子的，评价等级不低于二级。</w:t>
            </w:r>
          </w:p>
          <w:p w14:paraId="7B3F8B36">
            <w:pPr>
              <w:pStyle w:val="523"/>
              <w:adjustRightInd w:val="0"/>
              <w:snapToGrid w:val="0"/>
              <w:spacing w:line="240" w:lineRule="auto"/>
              <w:ind w:left="0" w:leftChars="0" w:right="0" w:rightChars="0"/>
              <w:jc w:val="left"/>
              <w:rPr>
                <w:color w:val="auto"/>
                <w:highlight w:val="none"/>
              </w:rPr>
            </w:pPr>
            <w:r>
              <w:rPr>
                <w:color w:val="auto"/>
                <w:highlight w:val="none"/>
              </w:rPr>
              <w:t>注5：直接排放受纳水体影响范围设计饮用水水源保护区、饮用水取水口、重点保护与珍稀水生生物的栖息地、重要水生生物的自然产卵场等保护目标时，评价等级不低于二级。</w:t>
            </w:r>
          </w:p>
          <w:p w14:paraId="4FCC7E3E">
            <w:pPr>
              <w:pStyle w:val="523"/>
              <w:adjustRightInd w:val="0"/>
              <w:snapToGrid w:val="0"/>
              <w:spacing w:line="240" w:lineRule="auto"/>
              <w:ind w:left="0" w:leftChars="0" w:right="0" w:rightChars="0"/>
              <w:jc w:val="left"/>
              <w:rPr>
                <w:color w:val="auto"/>
                <w:highlight w:val="none"/>
              </w:rPr>
            </w:pPr>
            <w:r>
              <w:rPr>
                <w:color w:val="auto"/>
                <w:highlight w:val="none"/>
              </w:rPr>
              <w:t>注6：建设项目向河流、湖库排放温排水引起受纳水体水温变化超过水环境质量标准要求，且评价范围有水温敏感目标时，评价等级为一级。</w:t>
            </w:r>
          </w:p>
          <w:p w14:paraId="7313F274">
            <w:pPr>
              <w:pStyle w:val="523"/>
              <w:adjustRightInd w:val="0"/>
              <w:snapToGrid w:val="0"/>
              <w:spacing w:line="240" w:lineRule="auto"/>
              <w:ind w:left="0" w:leftChars="0" w:right="0" w:rightChars="0"/>
              <w:jc w:val="left"/>
              <w:rPr>
                <w:color w:val="auto"/>
                <w:highlight w:val="none"/>
              </w:rPr>
            </w:pPr>
            <w:r>
              <w:rPr>
                <w:color w:val="auto"/>
                <w:highlight w:val="none"/>
              </w:rPr>
              <w:t>注7：建设项目利用海水作为调节温度介质，排水量为Q≥500万m</w:t>
            </w:r>
            <w:r>
              <w:rPr>
                <w:color w:val="auto"/>
                <w:highlight w:val="none"/>
                <w:vertAlign w:val="superscript"/>
              </w:rPr>
              <w:t>3</w:t>
            </w:r>
            <w:r>
              <w:rPr>
                <w:color w:val="auto"/>
                <w:highlight w:val="none"/>
              </w:rPr>
              <w:t>/d，评价等级为一级；排水量＜500万m</w:t>
            </w:r>
            <w:r>
              <w:rPr>
                <w:color w:val="auto"/>
                <w:highlight w:val="none"/>
                <w:vertAlign w:val="superscript"/>
              </w:rPr>
              <w:t>3</w:t>
            </w:r>
            <w:r>
              <w:rPr>
                <w:color w:val="auto"/>
                <w:highlight w:val="none"/>
              </w:rPr>
              <w:t>/d，评价等级为二级。</w:t>
            </w:r>
          </w:p>
          <w:p w14:paraId="5F49357D">
            <w:pPr>
              <w:pStyle w:val="523"/>
              <w:adjustRightInd w:val="0"/>
              <w:snapToGrid w:val="0"/>
              <w:spacing w:line="240" w:lineRule="auto"/>
              <w:ind w:left="0" w:leftChars="0" w:right="0" w:rightChars="0"/>
              <w:jc w:val="left"/>
              <w:rPr>
                <w:color w:val="auto"/>
                <w:highlight w:val="none"/>
              </w:rPr>
            </w:pPr>
            <w:r>
              <w:rPr>
                <w:color w:val="auto"/>
                <w:highlight w:val="none"/>
              </w:rPr>
              <w:t>注8：仅涉及清净下水排放的，如其排放水质满足受纳水体水环境质量标准要求的，评价等级为三级A。</w:t>
            </w:r>
          </w:p>
          <w:p w14:paraId="1695E53D">
            <w:pPr>
              <w:pStyle w:val="523"/>
              <w:adjustRightInd w:val="0"/>
              <w:snapToGrid w:val="0"/>
              <w:spacing w:line="240" w:lineRule="auto"/>
              <w:ind w:left="0" w:leftChars="0" w:right="0" w:rightChars="0"/>
              <w:jc w:val="left"/>
              <w:rPr>
                <w:color w:val="auto"/>
                <w:highlight w:val="none"/>
              </w:rPr>
            </w:pPr>
            <w:r>
              <w:rPr>
                <w:color w:val="auto"/>
                <w:highlight w:val="none"/>
              </w:rPr>
              <w:t>注9：依托现有排放口，且对外环境未新增排放污染物的直接排放建设项目，评价等级按照间接排放，定为三级B。</w:t>
            </w:r>
          </w:p>
          <w:p w14:paraId="0F880D0F">
            <w:pPr>
              <w:pStyle w:val="523"/>
              <w:adjustRightInd w:val="0"/>
              <w:snapToGrid w:val="0"/>
              <w:spacing w:line="240" w:lineRule="auto"/>
              <w:ind w:left="0" w:leftChars="0" w:right="0" w:rightChars="0"/>
              <w:jc w:val="left"/>
              <w:rPr>
                <w:color w:val="auto"/>
                <w:highlight w:val="none"/>
              </w:rPr>
            </w:pPr>
            <w:r>
              <w:rPr>
                <w:color w:val="auto"/>
                <w:highlight w:val="none"/>
              </w:rPr>
              <w:t>注10：建设项目生产工艺中有废水产生，但作为回水利用，不排放到外环境的，按三级B评价。</w:t>
            </w:r>
          </w:p>
        </w:tc>
      </w:tr>
    </w:tbl>
    <w:p w14:paraId="00DB1368">
      <w:pPr>
        <w:spacing w:before="120" w:beforeLines="50"/>
        <w:ind w:firstLine="480"/>
        <w:rPr>
          <w:rFonts w:eastAsiaTheme="minorEastAsia"/>
          <w:color w:val="auto"/>
          <w:highlight w:val="none"/>
        </w:rPr>
      </w:pPr>
      <w:r>
        <w:rPr>
          <w:rFonts w:hint="eastAsia" w:eastAsiaTheme="minorEastAsia"/>
          <w:color w:val="auto"/>
          <w:highlight w:val="none"/>
        </w:rPr>
        <w:t>项目运营期产生的废水依托现有废水处理设施处理后回用或运去</w:t>
      </w:r>
      <w:r>
        <w:rPr>
          <w:color w:val="auto"/>
          <w:highlight w:val="none"/>
        </w:rPr>
        <w:t>大榄坪污水处理厂处理</w:t>
      </w:r>
      <w:r>
        <w:rPr>
          <w:rFonts w:hint="eastAsia"/>
          <w:color w:val="auto"/>
          <w:highlight w:val="none"/>
        </w:rPr>
        <w:t>达标后</w:t>
      </w:r>
      <w:r>
        <w:rPr>
          <w:color w:val="auto"/>
          <w:highlight w:val="none"/>
        </w:rPr>
        <w:t>排放，不在本区域排放</w:t>
      </w:r>
      <w:r>
        <w:rPr>
          <w:rFonts w:eastAsiaTheme="minorEastAsia"/>
          <w:color w:val="auto"/>
          <w:highlight w:val="none"/>
        </w:rPr>
        <w:t>，依据水污染影响判定评价等级为三级B。</w:t>
      </w:r>
    </w:p>
    <w:p w14:paraId="6F843ABF">
      <w:pPr>
        <w:pStyle w:val="91"/>
        <w:ind w:left="480"/>
        <w:rPr>
          <w:color w:val="auto"/>
          <w:highlight w:val="none"/>
        </w:rPr>
      </w:pPr>
    </w:p>
    <w:p w14:paraId="3ECE938B">
      <w:pPr>
        <w:pStyle w:val="533"/>
        <w:numPr>
          <w:ilvl w:val="3"/>
          <w:numId w:val="9"/>
        </w:numPr>
        <w:rPr>
          <w:color w:val="auto"/>
          <w:szCs w:val="24"/>
          <w:highlight w:val="none"/>
        </w:rPr>
      </w:pPr>
      <w:r>
        <w:rPr>
          <w:color w:val="auto"/>
          <w:szCs w:val="24"/>
          <w:highlight w:val="none"/>
        </w:rPr>
        <w:t>水文要素影响</w:t>
      </w:r>
    </w:p>
    <w:p w14:paraId="15FF1EEE">
      <w:pPr>
        <w:ind w:firstLine="390" w:firstLineChars="150"/>
        <w:jc w:val="left"/>
        <w:rPr>
          <w:rFonts w:eastAsiaTheme="minorEastAsia"/>
          <w:color w:val="auto"/>
          <w:spacing w:val="10"/>
          <w:highlight w:val="none"/>
        </w:rPr>
      </w:pPr>
      <w:r>
        <w:rPr>
          <w:rFonts w:eastAsiaTheme="minorEastAsia"/>
          <w:color w:val="auto"/>
          <w:spacing w:val="10"/>
          <w:highlight w:val="none"/>
        </w:rPr>
        <w:t>根据《环境影响评价技术导则  地表水环境》（HJ2.3-2018），水文要素影响型建设项目评价等级划分根据水温、径流与受影响地表水域等三类水文要素的影响程度进行判定，具体见表1.4-5。</w:t>
      </w:r>
    </w:p>
    <w:p w14:paraId="50DDF04F">
      <w:pPr>
        <w:pStyle w:val="38"/>
        <w:spacing w:after="0" w:line="240" w:lineRule="auto"/>
        <w:ind w:firstLine="0" w:firstLineChars="0"/>
        <w:jc w:val="center"/>
        <w:rPr>
          <w:b/>
          <w:color w:val="auto"/>
          <w:sz w:val="21"/>
          <w:szCs w:val="21"/>
          <w:highlight w:val="none"/>
        </w:rPr>
      </w:pPr>
      <w:r>
        <w:rPr>
          <w:b/>
          <w:color w:val="auto"/>
          <w:sz w:val="21"/>
          <w:szCs w:val="21"/>
          <w:highlight w:val="none"/>
        </w:rPr>
        <w:t>表1.4-5 水文要素影响型建设项目评价等级判定</w:t>
      </w:r>
    </w:p>
    <w:tbl>
      <w:tblPr>
        <w:tblStyle w:val="93"/>
        <w:tblW w:w="907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72"/>
        <w:gridCol w:w="1271"/>
        <w:gridCol w:w="1164"/>
        <w:gridCol w:w="1129"/>
        <w:gridCol w:w="1461"/>
        <w:gridCol w:w="1694"/>
        <w:gridCol w:w="1681"/>
      </w:tblGrid>
      <w:tr w14:paraId="377D526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2" w:type="dxa"/>
            <w:vMerge w:val="restart"/>
            <w:vAlign w:val="center"/>
          </w:tcPr>
          <w:p w14:paraId="6D58E302">
            <w:pPr>
              <w:pStyle w:val="523"/>
              <w:adjustRightInd w:val="0"/>
              <w:snapToGrid w:val="0"/>
              <w:spacing w:line="240" w:lineRule="auto"/>
              <w:ind w:left="-72" w:leftChars="-30" w:right="-72" w:rightChars="-30"/>
              <w:rPr>
                <w:color w:val="auto"/>
                <w:highlight w:val="none"/>
              </w:rPr>
            </w:pPr>
            <w:r>
              <w:rPr>
                <w:color w:val="auto"/>
                <w:highlight w:val="none"/>
              </w:rPr>
              <w:t>评价等级</w:t>
            </w:r>
          </w:p>
        </w:tc>
        <w:tc>
          <w:tcPr>
            <w:tcW w:w="1271" w:type="dxa"/>
            <w:vAlign w:val="center"/>
          </w:tcPr>
          <w:p w14:paraId="0609BB8A">
            <w:pPr>
              <w:pStyle w:val="523"/>
              <w:adjustRightInd w:val="0"/>
              <w:snapToGrid w:val="0"/>
              <w:spacing w:line="240" w:lineRule="auto"/>
              <w:ind w:left="-72" w:leftChars="-30" w:right="-72" w:rightChars="-30"/>
              <w:rPr>
                <w:color w:val="auto"/>
                <w:highlight w:val="none"/>
              </w:rPr>
            </w:pPr>
            <w:r>
              <w:rPr>
                <w:color w:val="auto"/>
                <w:highlight w:val="none"/>
              </w:rPr>
              <w:t>水温</w:t>
            </w:r>
          </w:p>
        </w:tc>
        <w:tc>
          <w:tcPr>
            <w:tcW w:w="2293" w:type="dxa"/>
            <w:gridSpan w:val="2"/>
            <w:vAlign w:val="center"/>
          </w:tcPr>
          <w:p w14:paraId="3E6C61B1">
            <w:pPr>
              <w:pStyle w:val="523"/>
              <w:adjustRightInd w:val="0"/>
              <w:snapToGrid w:val="0"/>
              <w:spacing w:line="240" w:lineRule="auto"/>
              <w:ind w:left="-72" w:leftChars="-30" w:right="-72" w:rightChars="-30"/>
              <w:rPr>
                <w:color w:val="auto"/>
                <w:highlight w:val="none"/>
              </w:rPr>
            </w:pPr>
            <w:r>
              <w:rPr>
                <w:color w:val="auto"/>
                <w:highlight w:val="none"/>
              </w:rPr>
              <w:t>径流</w:t>
            </w:r>
          </w:p>
        </w:tc>
        <w:tc>
          <w:tcPr>
            <w:tcW w:w="4836" w:type="dxa"/>
            <w:gridSpan w:val="3"/>
            <w:vAlign w:val="center"/>
          </w:tcPr>
          <w:p w14:paraId="5EECA4DB">
            <w:pPr>
              <w:pStyle w:val="523"/>
              <w:adjustRightInd w:val="0"/>
              <w:snapToGrid w:val="0"/>
              <w:spacing w:line="240" w:lineRule="auto"/>
              <w:ind w:left="-72" w:leftChars="-30" w:right="-72" w:rightChars="-30"/>
              <w:rPr>
                <w:color w:val="auto"/>
                <w:highlight w:val="none"/>
              </w:rPr>
            </w:pPr>
            <w:r>
              <w:rPr>
                <w:color w:val="auto"/>
                <w:highlight w:val="none"/>
              </w:rPr>
              <w:t>受影响地表水域</w:t>
            </w:r>
          </w:p>
        </w:tc>
      </w:tr>
      <w:tr w14:paraId="75B26D3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2" w:type="dxa"/>
            <w:vMerge w:val="continue"/>
            <w:vAlign w:val="center"/>
          </w:tcPr>
          <w:p w14:paraId="5DD01CE0">
            <w:pPr>
              <w:pStyle w:val="523"/>
              <w:adjustRightInd w:val="0"/>
              <w:snapToGrid w:val="0"/>
              <w:spacing w:line="240" w:lineRule="auto"/>
              <w:ind w:left="-72" w:leftChars="-30" w:right="-72" w:rightChars="-30"/>
              <w:rPr>
                <w:color w:val="auto"/>
                <w:highlight w:val="none"/>
              </w:rPr>
            </w:pPr>
          </w:p>
        </w:tc>
        <w:tc>
          <w:tcPr>
            <w:tcW w:w="1271" w:type="dxa"/>
            <w:vMerge w:val="restart"/>
            <w:vAlign w:val="center"/>
          </w:tcPr>
          <w:p w14:paraId="13F0B231">
            <w:pPr>
              <w:pStyle w:val="523"/>
              <w:adjustRightInd w:val="0"/>
              <w:snapToGrid w:val="0"/>
              <w:spacing w:line="240" w:lineRule="auto"/>
              <w:ind w:left="-72" w:leftChars="-30" w:right="-72" w:rightChars="-30"/>
              <w:rPr>
                <w:color w:val="auto"/>
                <w:highlight w:val="none"/>
              </w:rPr>
            </w:pPr>
            <w:r>
              <w:rPr>
                <w:color w:val="auto"/>
                <w:highlight w:val="none"/>
              </w:rPr>
              <w:t>年径流量与总库容百分比α/%</w:t>
            </w:r>
          </w:p>
        </w:tc>
        <w:tc>
          <w:tcPr>
            <w:tcW w:w="1164" w:type="dxa"/>
            <w:vMerge w:val="restart"/>
            <w:vAlign w:val="center"/>
          </w:tcPr>
          <w:p w14:paraId="13F0BC19">
            <w:pPr>
              <w:pStyle w:val="523"/>
              <w:adjustRightInd w:val="0"/>
              <w:snapToGrid w:val="0"/>
              <w:spacing w:line="240" w:lineRule="auto"/>
              <w:ind w:left="-72" w:leftChars="-30" w:right="-72" w:rightChars="-30"/>
              <w:rPr>
                <w:color w:val="auto"/>
                <w:highlight w:val="none"/>
              </w:rPr>
            </w:pPr>
            <w:r>
              <w:rPr>
                <w:color w:val="auto"/>
                <w:highlight w:val="none"/>
              </w:rPr>
              <w:t>兴利库容与年径流量百分比β/%</w:t>
            </w:r>
          </w:p>
        </w:tc>
        <w:tc>
          <w:tcPr>
            <w:tcW w:w="1129" w:type="dxa"/>
            <w:vMerge w:val="restart"/>
            <w:vAlign w:val="center"/>
          </w:tcPr>
          <w:p w14:paraId="156CCAB3">
            <w:pPr>
              <w:pStyle w:val="523"/>
              <w:adjustRightInd w:val="0"/>
              <w:snapToGrid w:val="0"/>
              <w:spacing w:line="240" w:lineRule="auto"/>
              <w:ind w:left="-72" w:leftChars="-30" w:right="-72" w:rightChars="-30"/>
              <w:rPr>
                <w:color w:val="auto"/>
                <w:highlight w:val="none"/>
              </w:rPr>
            </w:pPr>
            <w:r>
              <w:rPr>
                <w:color w:val="auto"/>
                <w:highlight w:val="none"/>
              </w:rPr>
              <w:t>取水量占多年平均径流量百分比γ/%</w:t>
            </w:r>
          </w:p>
        </w:tc>
        <w:tc>
          <w:tcPr>
            <w:tcW w:w="3155" w:type="dxa"/>
            <w:gridSpan w:val="2"/>
            <w:vAlign w:val="center"/>
          </w:tcPr>
          <w:p w14:paraId="09A8F0AD">
            <w:pPr>
              <w:pStyle w:val="523"/>
              <w:adjustRightInd w:val="0"/>
              <w:snapToGrid w:val="0"/>
              <w:spacing w:line="240" w:lineRule="auto"/>
              <w:ind w:left="-72" w:leftChars="-30" w:right="-72" w:rightChars="-30"/>
              <w:rPr>
                <w:color w:val="auto"/>
                <w:highlight w:val="none"/>
              </w:rPr>
            </w:pPr>
            <w:r>
              <w:rPr>
                <w:color w:val="auto"/>
                <w:highlight w:val="none"/>
              </w:rPr>
              <w:t>工程垂直投影面积及外扩范围A</w:t>
            </w:r>
            <w:r>
              <w:rPr>
                <w:color w:val="auto"/>
                <w:highlight w:val="none"/>
                <w:vertAlign w:val="subscript"/>
              </w:rPr>
              <w:t>1</w:t>
            </w:r>
            <w:r>
              <w:rPr>
                <w:color w:val="auto"/>
                <w:highlight w:val="none"/>
              </w:rPr>
              <w:t>/km</w:t>
            </w:r>
            <w:r>
              <w:rPr>
                <w:color w:val="auto"/>
                <w:highlight w:val="none"/>
                <w:vertAlign w:val="superscript"/>
              </w:rPr>
              <w:t>2</w:t>
            </w:r>
            <w:r>
              <w:rPr>
                <w:color w:val="auto"/>
                <w:highlight w:val="none"/>
              </w:rPr>
              <w:t>；</w:t>
            </w:r>
          </w:p>
          <w:p w14:paraId="3125C071">
            <w:pPr>
              <w:pStyle w:val="523"/>
              <w:adjustRightInd w:val="0"/>
              <w:snapToGrid w:val="0"/>
              <w:spacing w:line="240" w:lineRule="auto"/>
              <w:ind w:left="-72" w:leftChars="-30" w:right="-72" w:rightChars="-30"/>
              <w:rPr>
                <w:color w:val="auto"/>
                <w:highlight w:val="none"/>
              </w:rPr>
            </w:pPr>
            <w:r>
              <w:rPr>
                <w:color w:val="auto"/>
                <w:highlight w:val="none"/>
              </w:rPr>
              <w:t>工程扰动水底面积A</w:t>
            </w:r>
            <w:r>
              <w:rPr>
                <w:color w:val="auto"/>
                <w:highlight w:val="none"/>
                <w:vertAlign w:val="subscript"/>
              </w:rPr>
              <w:t>2</w:t>
            </w:r>
            <w:r>
              <w:rPr>
                <w:color w:val="auto"/>
                <w:highlight w:val="none"/>
              </w:rPr>
              <w:t>/km</w:t>
            </w:r>
            <w:r>
              <w:rPr>
                <w:color w:val="auto"/>
                <w:highlight w:val="none"/>
                <w:vertAlign w:val="superscript"/>
              </w:rPr>
              <w:t>2</w:t>
            </w:r>
            <w:r>
              <w:rPr>
                <w:color w:val="auto"/>
                <w:highlight w:val="none"/>
              </w:rPr>
              <w:t>；</w:t>
            </w:r>
          </w:p>
          <w:p w14:paraId="10546D3F">
            <w:pPr>
              <w:pStyle w:val="523"/>
              <w:adjustRightInd w:val="0"/>
              <w:snapToGrid w:val="0"/>
              <w:spacing w:line="240" w:lineRule="auto"/>
              <w:ind w:left="-72" w:leftChars="-30" w:right="-72" w:rightChars="-30"/>
              <w:rPr>
                <w:color w:val="auto"/>
                <w:highlight w:val="none"/>
              </w:rPr>
            </w:pPr>
            <w:r>
              <w:rPr>
                <w:color w:val="auto"/>
                <w:highlight w:val="none"/>
              </w:rPr>
              <w:t>过水断面宽度占用比例或占用水域面积比R/%</w:t>
            </w:r>
          </w:p>
        </w:tc>
        <w:tc>
          <w:tcPr>
            <w:tcW w:w="1681" w:type="dxa"/>
            <w:vAlign w:val="center"/>
          </w:tcPr>
          <w:p w14:paraId="11EFB439">
            <w:pPr>
              <w:pStyle w:val="523"/>
              <w:adjustRightInd w:val="0"/>
              <w:snapToGrid w:val="0"/>
              <w:spacing w:line="240" w:lineRule="auto"/>
              <w:ind w:left="-72" w:leftChars="-30" w:right="-72" w:rightChars="-30"/>
              <w:rPr>
                <w:color w:val="auto"/>
                <w:highlight w:val="none"/>
              </w:rPr>
            </w:pPr>
            <w:r>
              <w:rPr>
                <w:color w:val="auto"/>
                <w:highlight w:val="none"/>
              </w:rPr>
              <w:t>工程垂直投影面积及外扩范围A</w:t>
            </w:r>
            <w:r>
              <w:rPr>
                <w:color w:val="auto"/>
                <w:highlight w:val="none"/>
                <w:vertAlign w:val="subscript"/>
              </w:rPr>
              <w:t>1</w:t>
            </w:r>
            <w:r>
              <w:rPr>
                <w:color w:val="auto"/>
                <w:highlight w:val="none"/>
              </w:rPr>
              <w:t>/km</w:t>
            </w:r>
            <w:r>
              <w:rPr>
                <w:color w:val="auto"/>
                <w:highlight w:val="none"/>
                <w:vertAlign w:val="superscript"/>
              </w:rPr>
              <w:t>2</w:t>
            </w:r>
            <w:r>
              <w:rPr>
                <w:color w:val="auto"/>
                <w:highlight w:val="none"/>
              </w:rPr>
              <w:t>；</w:t>
            </w:r>
          </w:p>
          <w:p w14:paraId="33E1BA3C">
            <w:pPr>
              <w:pStyle w:val="523"/>
              <w:adjustRightInd w:val="0"/>
              <w:snapToGrid w:val="0"/>
              <w:spacing w:line="240" w:lineRule="auto"/>
              <w:ind w:left="-72" w:leftChars="-30" w:right="-72" w:rightChars="-30"/>
              <w:rPr>
                <w:color w:val="auto"/>
                <w:highlight w:val="none"/>
              </w:rPr>
            </w:pPr>
            <w:r>
              <w:rPr>
                <w:color w:val="auto"/>
                <w:highlight w:val="none"/>
              </w:rPr>
              <w:t>工程扰动水底面积A</w:t>
            </w:r>
            <w:r>
              <w:rPr>
                <w:color w:val="auto"/>
                <w:highlight w:val="none"/>
                <w:vertAlign w:val="subscript"/>
              </w:rPr>
              <w:t>2</w:t>
            </w:r>
            <w:r>
              <w:rPr>
                <w:color w:val="auto"/>
                <w:highlight w:val="none"/>
              </w:rPr>
              <w:t>/km</w:t>
            </w:r>
            <w:r>
              <w:rPr>
                <w:color w:val="auto"/>
                <w:highlight w:val="none"/>
                <w:vertAlign w:val="superscript"/>
              </w:rPr>
              <w:t>2</w:t>
            </w:r>
            <w:r>
              <w:rPr>
                <w:color w:val="auto"/>
                <w:highlight w:val="none"/>
              </w:rPr>
              <w:t>；</w:t>
            </w:r>
          </w:p>
        </w:tc>
      </w:tr>
      <w:tr w14:paraId="7AA052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2" w:type="dxa"/>
            <w:vMerge w:val="continue"/>
            <w:vAlign w:val="center"/>
          </w:tcPr>
          <w:p w14:paraId="59155DAE">
            <w:pPr>
              <w:pStyle w:val="523"/>
              <w:adjustRightInd w:val="0"/>
              <w:snapToGrid w:val="0"/>
              <w:spacing w:line="240" w:lineRule="auto"/>
              <w:ind w:left="-72" w:leftChars="-30" w:right="-72" w:rightChars="-30"/>
              <w:rPr>
                <w:color w:val="auto"/>
                <w:highlight w:val="none"/>
              </w:rPr>
            </w:pPr>
          </w:p>
        </w:tc>
        <w:tc>
          <w:tcPr>
            <w:tcW w:w="1271" w:type="dxa"/>
            <w:vMerge w:val="continue"/>
            <w:vAlign w:val="center"/>
          </w:tcPr>
          <w:p w14:paraId="23B7AFC2">
            <w:pPr>
              <w:pStyle w:val="523"/>
              <w:adjustRightInd w:val="0"/>
              <w:snapToGrid w:val="0"/>
              <w:spacing w:line="240" w:lineRule="auto"/>
              <w:ind w:left="-72" w:leftChars="-30" w:right="-72" w:rightChars="-30"/>
              <w:rPr>
                <w:color w:val="auto"/>
                <w:highlight w:val="none"/>
              </w:rPr>
            </w:pPr>
          </w:p>
        </w:tc>
        <w:tc>
          <w:tcPr>
            <w:tcW w:w="1164" w:type="dxa"/>
            <w:vMerge w:val="continue"/>
            <w:vAlign w:val="center"/>
          </w:tcPr>
          <w:p w14:paraId="58DE6D42">
            <w:pPr>
              <w:pStyle w:val="523"/>
              <w:adjustRightInd w:val="0"/>
              <w:snapToGrid w:val="0"/>
              <w:spacing w:line="240" w:lineRule="auto"/>
              <w:ind w:left="-72" w:leftChars="-30" w:right="-72" w:rightChars="-30"/>
              <w:rPr>
                <w:color w:val="auto"/>
                <w:highlight w:val="none"/>
              </w:rPr>
            </w:pPr>
          </w:p>
        </w:tc>
        <w:tc>
          <w:tcPr>
            <w:tcW w:w="1129" w:type="dxa"/>
            <w:vMerge w:val="continue"/>
            <w:vAlign w:val="center"/>
          </w:tcPr>
          <w:p w14:paraId="68125743">
            <w:pPr>
              <w:pStyle w:val="523"/>
              <w:adjustRightInd w:val="0"/>
              <w:snapToGrid w:val="0"/>
              <w:spacing w:line="240" w:lineRule="auto"/>
              <w:ind w:left="-72" w:leftChars="-30" w:right="-72" w:rightChars="-30"/>
              <w:rPr>
                <w:color w:val="auto"/>
                <w:highlight w:val="none"/>
              </w:rPr>
            </w:pPr>
          </w:p>
        </w:tc>
        <w:tc>
          <w:tcPr>
            <w:tcW w:w="1461" w:type="dxa"/>
            <w:vAlign w:val="center"/>
          </w:tcPr>
          <w:p w14:paraId="22AAA0D3">
            <w:pPr>
              <w:pStyle w:val="523"/>
              <w:adjustRightInd w:val="0"/>
              <w:snapToGrid w:val="0"/>
              <w:spacing w:line="240" w:lineRule="auto"/>
              <w:ind w:left="-72" w:leftChars="-30" w:right="-72" w:rightChars="-30"/>
              <w:rPr>
                <w:color w:val="auto"/>
                <w:highlight w:val="none"/>
              </w:rPr>
            </w:pPr>
            <w:r>
              <w:rPr>
                <w:color w:val="auto"/>
                <w:highlight w:val="none"/>
              </w:rPr>
              <w:t>河流</w:t>
            </w:r>
          </w:p>
        </w:tc>
        <w:tc>
          <w:tcPr>
            <w:tcW w:w="1694" w:type="dxa"/>
            <w:vAlign w:val="center"/>
          </w:tcPr>
          <w:p w14:paraId="06E87F52">
            <w:pPr>
              <w:pStyle w:val="523"/>
              <w:adjustRightInd w:val="0"/>
              <w:snapToGrid w:val="0"/>
              <w:spacing w:line="240" w:lineRule="auto"/>
              <w:ind w:left="-72" w:leftChars="-30" w:right="-72" w:rightChars="-30"/>
              <w:rPr>
                <w:color w:val="auto"/>
                <w:highlight w:val="none"/>
              </w:rPr>
            </w:pPr>
            <w:r>
              <w:rPr>
                <w:color w:val="auto"/>
                <w:highlight w:val="none"/>
              </w:rPr>
              <w:t>湖库</w:t>
            </w:r>
          </w:p>
        </w:tc>
        <w:tc>
          <w:tcPr>
            <w:tcW w:w="1681" w:type="dxa"/>
            <w:vAlign w:val="center"/>
          </w:tcPr>
          <w:p w14:paraId="206916E7">
            <w:pPr>
              <w:pStyle w:val="523"/>
              <w:adjustRightInd w:val="0"/>
              <w:snapToGrid w:val="0"/>
              <w:spacing w:line="240" w:lineRule="auto"/>
              <w:ind w:left="-72" w:leftChars="-30" w:right="-72" w:rightChars="-30"/>
              <w:rPr>
                <w:color w:val="auto"/>
                <w:highlight w:val="none"/>
              </w:rPr>
            </w:pPr>
            <w:r>
              <w:rPr>
                <w:color w:val="auto"/>
                <w:highlight w:val="none"/>
              </w:rPr>
              <w:t>入海河口、近岸海域</w:t>
            </w:r>
          </w:p>
        </w:tc>
      </w:tr>
      <w:tr w14:paraId="6E2AD5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2" w:type="dxa"/>
            <w:vAlign w:val="center"/>
          </w:tcPr>
          <w:p w14:paraId="738B61EE">
            <w:pPr>
              <w:pStyle w:val="523"/>
              <w:adjustRightInd w:val="0"/>
              <w:snapToGrid w:val="0"/>
              <w:spacing w:line="240" w:lineRule="auto"/>
              <w:ind w:left="-72" w:leftChars="-30" w:right="-72" w:rightChars="-30"/>
              <w:rPr>
                <w:color w:val="auto"/>
                <w:highlight w:val="none"/>
              </w:rPr>
            </w:pPr>
            <w:r>
              <w:rPr>
                <w:color w:val="auto"/>
                <w:highlight w:val="none"/>
              </w:rPr>
              <w:t>一级</w:t>
            </w:r>
          </w:p>
        </w:tc>
        <w:tc>
          <w:tcPr>
            <w:tcW w:w="1271" w:type="dxa"/>
            <w:vAlign w:val="center"/>
          </w:tcPr>
          <w:p w14:paraId="4538D395">
            <w:pPr>
              <w:pStyle w:val="523"/>
              <w:adjustRightInd w:val="0"/>
              <w:snapToGrid w:val="0"/>
              <w:spacing w:line="240" w:lineRule="auto"/>
              <w:ind w:left="-72" w:leftChars="-30" w:right="-72" w:rightChars="-30"/>
              <w:rPr>
                <w:color w:val="auto"/>
                <w:highlight w:val="none"/>
              </w:rPr>
            </w:pPr>
            <w:r>
              <w:rPr>
                <w:color w:val="auto"/>
                <w:highlight w:val="none"/>
              </w:rPr>
              <w:t>α≤10；或稳定分层</w:t>
            </w:r>
          </w:p>
        </w:tc>
        <w:tc>
          <w:tcPr>
            <w:tcW w:w="1164" w:type="dxa"/>
            <w:vAlign w:val="center"/>
          </w:tcPr>
          <w:p w14:paraId="3019D92A">
            <w:pPr>
              <w:pStyle w:val="523"/>
              <w:adjustRightInd w:val="0"/>
              <w:snapToGrid w:val="0"/>
              <w:spacing w:line="240" w:lineRule="auto"/>
              <w:ind w:left="-72" w:leftChars="-30" w:right="-72" w:rightChars="-30"/>
              <w:rPr>
                <w:color w:val="auto"/>
                <w:highlight w:val="none"/>
              </w:rPr>
            </w:pPr>
            <w:r>
              <w:rPr>
                <w:color w:val="auto"/>
                <w:highlight w:val="none"/>
              </w:rPr>
              <w:t>β≥20；或完全年调节与多年调节</w:t>
            </w:r>
          </w:p>
        </w:tc>
        <w:tc>
          <w:tcPr>
            <w:tcW w:w="1129" w:type="dxa"/>
            <w:vAlign w:val="center"/>
          </w:tcPr>
          <w:p w14:paraId="6AACF885">
            <w:pPr>
              <w:pStyle w:val="523"/>
              <w:adjustRightInd w:val="0"/>
              <w:snapToGrid w:val="0"/>
              <w:spacing w:line="240" w:lineRule="auto"/>
              <w:ind w:left="-72" w:leftChars="-30" w:right="-72" w:rightChars="-30"/>
              <w:rPr>
                <w:color w:val="auto"/>
                <w:highlight w:val="none"/>
              </w:rPr>
            </w:pPr>
            <w:r>
              <w:rPr>
                <w:color w:val="auto"/>
                <w:highlight w:val="none"/>
              </w:rPr>
              <w:t>γ≥30</w:t>
            </w:r>
          </w:p>
        </w:tc>
        <w:tc>
          <w:tcPr>
            <w:tcW w:w="1461" w:type="dxa"/>
            <w:vAlign w:val="center"/>
          </w:tcPr>
          <w:p w14:paraId="08C70579">
            <w:pPr>
              <w:pStyle w:val="523"/>
              <w:adjustRightInd w:val="0"/>
              <w:snapToGrid w:val="0"/>
              <w:spacing w:line="240" w:lineRule="auto"/>
              <w:ind w:left="-72" w:leftChars="-30" w:right="-72" w:rightChars="-30"/>
              <w:rPr>
                <w:color w:val="auto"/>
                <w:highlight w:val="none"/>
              </w:rPr>
            </w:pPr>
            <w:r>
              <w:rPr>
                <w:color w:val="auto"/>
                <w:highlight w:val="none"/>
              </w:rPr>
              <w:t>A</w:t>
            </w:r>
            <w:r>
              <w:rPr>
                <w:color w:val="auto"/>
                <w:highlight w:val="none"/>
                <w:vertAlign w:val="subscript"/>
              </w:rPr>
              <w:t>1</w:t>
            </w:r>
            <w:r>
              <w:rPr>
                <w:color w:val="auto"/>
                <w:highlight w:val="none"/>
              </w:rPr>
              <w:t>≥0.3；</w:t>
            </w:r>
          </w:p>
          <w:p w14:paraId="5629AFCC">
            <w:pPr>
              <w:pStyle w:val="523"/>
              <w:adjustRightInd w:val="0"/>
              <w:snapToGrid w:val="0"/>
              <w:spacing w:line="240" w:lineRule="auto"/>
              <w:ind w:left="-72" w:leftChars="-30" w:right="-72" w:rightChars="-30"/>
              <w:rPr>
                <w:color w:val="auto"/>
                <w:highlight w:val="none"/>
              </w:rPr>
            </w:pPr>
            <w:r>
              <w:rPr>
                <w:color w:val="auto"/>
                <w:highlight w:val="none"/>
              </w:rPr>
              <w:t>或A</w:t>
            </w:r>
            <w:r>
              <w:rPr>
                <w:color w:val="auto"/>
                <w:highlight w:val="none"/>
                <w:vertAlign w:val="subscript"/>
              </w:rPr>
              <w:t>2</w:t>
            </w:r>
            <w:r>
              <w:rPr>
                <w:color w:val="auto"/>
                <w:highlight w:val="none"/>
              </w:rPr>
              <w:t>≥1.5；</w:t>
            </w:r>
          </w:p>
          <w:p w14:paraId="184A11D5">
            <w:pPr>
              <w:pStyle w:val="523"/>
              <w:adjustRightInd w:val="0"/>
              <w:snapToGrid w:val="0"/>
              <w:spacing w:line="240" w:lineRule="auto"/>
              <w:ind w:left="-72" w:leftChars="-30" w:right="-72" w:rightChars="-30"/>
              <w:rPr>
                <w:color w:val="auto"/>
                <w:highlight w:val="none"/>
              </w:rPr>
            </w:pPr>
            <w:r>
              <w:rPr>
                <w:color w:val="auto"/>
                <w:highlight w:val="none"/>
              </w:rPr>
              <w:t>或R≥10</w:t>
            </w:r>
          </w:p>
        </w:tc>
        <w:tc>
          <w:tcPr>
            <w:tcW w:w="1694" w:type="dxa"/>
            <w:vAlign w:val="center"/>
          </w:tcPr>
          <w:p w14:paraId="6C9AE15B">
            <w:pPr>
              <w:pStyle w:val="523"/>
              <w:adjustRightInd w:val="0"/>
              <w:snapToGrid w:val="0"/>
              <w:spacing w:line="240" w:lineRule="auto"/>
              <w:ind w:left="-72" w:leftChars="-30" w:right="-72" w:rightChars="-30"/>
              <w:rPr>
                <w:color w:val="auto"/>
                <w:highlight w:val="none"/>
              </w:rPr>
            </w:pPr>
            <w:r>
              <w:rPr>
                <w:color w:val="auto"/>
                <w:highlight w:val="none"/>
              </w:rPr>
              <w:t>A</w:t>
            </w:r>
            <w:r>
              <w:rPr>
                <w:color w:val="auto"/>
                <w:highlight w:val="none"/>
                <w:vertAlign w:val="subscript"/>
              </w:rPr>
              <w:t>1</w:t>
            </w:r>
            <w:r>
              <w:rPr>
                <w:color w:val="auto"/>
                <w:highlight w:val="none"/>
              </w:rPr>
              <w:t>≥0.3；</w:t>
            </w:r>
          </w:p>
          <w:p w14:paraId="0CC45D1E">
            <w:pPr>
              <w:pStyle w:val="523"/>
              <w:adjustRightInd w:val="0"/>
              <w:snapToGrid w:val="0"/>
              <w:spacing w:line="240" w:lineRule="auto"/>
              <w:ind w:left="-72" w:leftChars="-30" w:right="-72" w:rightChars="-30"/>
              <w:rPr>
                <w:color w:val="auto"/>
                <w:highlight w:val="none"/>
              </w:rPr>
            </w:pPr>
            <w:r>
              <w:rPr>
                <w:color w:val="auto"/>
                <w:highlight w:val="none"/>
              </w:rPr>
              <w:t>或A</w:t>
            </w:r>
            <w:r>
              <w:rPr>
                <w:color w:val="auto"/>
                <w:highlight w:val="none"/>
                <w:vertAlign w:val="subscript"/>
              </w:rPr>
              <w:t>2</w:t>
            </w:r>
            <w:r>
              <w:rPr>
                <w:color w:val="auto"/>
                <w:highlight w:val="none"/>
              </w:rPr>
              <w:t>≥1.5；</w:t>
            </w:r>
          </w:p>
          <w:p w14:paraId="64350184">
            <w:pPr>
              <w:pStyle w:val="523"/>
              <w:adjustRightInd w:val="0"/>
              <w:snapToGrid w:val="0"/>
              <w:spacing w:line="240" w:lineRule="auto"/>
              <w:ind w:left="-72" w:leftChars="-30" w:right="-72" w:rightChars="-30"/>
              <w:rPr>
                <w:color w:val="auto"/>
                <w:highlight w:val="none"/>
              </w:rPr>
            </w:pPr>
            <w:r>
              <w:rPr>
                <w:color w:val="auto"/>
                <w:highlight w:val="none"/>
              </w:rPr>
              <w:t>或R≥20</w:t>
            </w:r>
          </w:p>
        </w:tc>
        <w:tc>
          <w:tcPr>
            <w:tcW w:w="1681" w:type="dxa"/>
            <w:vAlign w:val="center"/>
          </w:tcPr>
          <w:p w14:paraId="608818F1">
            <w:pPr>
              <w:pStyle w:val="523"/>
              <w:adjustRightInd w:val="0"/>
              <w:snapToGrid w:val="0"/>
              <w:spacing w:line="240" w:lineRule="auto"/>
              <w:ind w:left="-72" w:leftChars="-30" w:right="-72" w:rightChars="-30"/>
              <w:rPr>
                <w:color w:val="auto"/>
                <w:highlight w:val="none"/>
              </w:rPr>
            </w:pPr>
            <w:r>
              <w:rPr>
                <w:color w:val="auto"/>
                <w:highlight w:val="none"/>
              </w:rPr>
              <w:t>A</w:t>
            </w:r>
            <w:r>
              <w:rPr>
                <w:color w:val="auto"/>
                <w:highlight w:val="none"/>
                <w:vertAlign w:val="subscript"/>
              </w:rPr>
              <w:t>1</w:t>
            </w:r>
            <w:r>
              <w:rPr>
                <w:color w:val="auto"/>
                <w:highlight w:val="none"/>
              </w:rPr>
              <w:t>≥0.5；</w:t>
            </w:r>
          </w:p>
          <w:p w14:paraId="6031B648">
            <w:pPr>
              <w:pStyle w:val="523"/>
              <w:adjustRightInd w:val="0"/>
              <w:snapToGrid w:val="0"/>
              <w:spacing w:line="240" w:lineRule="auto"/>
              <w:ind w:left="-72" w:leftChars="-30" w:right="-72" w:rightChars="-30"/>
              <w:rPr>
                <w:color w:val="auto"/>
                <w:highlight w:val="none"/>
              </w:rPr>
            </w:pPr>
            <w:r>
              <w:rPr>
                <w:color w:val="auto"/>
                <w:highlight w:val="none"/>
              </w:rPr>
              <w:t>或A</w:t>
            </w:r>
            <w:r>
              <w:rPr>
                <w:color w:val="auto"/>
                <w:highlight w:val="none"/>
                <w:vertAlign w:val="subscript"/>
              </w:rPr>
              <w:t>2</w:t>
            </w:r>
            <w:r>
              <w:rPr>
                <w:color w:val="auto"/>
                <w:highlight w:val="none"/>
              </w:rPr>
              <w:t>≥3</w:t>
            </w:r>
          </w:p>
        </w:tc>
      </w:tr>
      <w:tr w14:paraId="38984AA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2" w:type="dxa"/>
            <w:vAlign w:val="center"/>
          </w:tcPr>
          <w:p w14:paraId="7C3E2454">
            <w:pPr>
              <w:pStyle w:val="523"/>
              <w:adjustRightInd w:val="0"/>
              <w:snapToGrid w:val="0"/>
              <w:spacing w:line="240" w:lineRule="auto"/>
              <w:ind w:left="-72" w:leftChars="-30" w:right="-72" w:rightChars="-30"/>
              <w:rPr>
                <w:color w:val="auto"/>
                <w:highlight w:val="none"/>
              </w:rPr>
            </w:pPr>
            <w:r>
              <w:rPr>
                <w:color w:val="auto"/>
                <w:highlight w:val="none"/>
              </w:rPr>
              <w:t>二级</w:t>
            </w:r>
          </w:p>
        </w:tc>
        <w:tc>
          <w:tcPr>
            <w:tcW w:w="1271" w:type="dxa"/>
            <w:vAlign w:val="center"/>
          </w:tcPr>
          <w:p w14:paraId="77049B48">
            <w:pPr>
              <w:pStyle w:val="523"/>
              <w:adjustRightInd w:val="0"/>
              <w:snapToGrid w:val="0"/>
              <w:spacing w:line="240" w:lineRule="auto"/>
              <w:ind w:left="-72" w:leftChars="-30" w:right="-72" w:rightChars="-30"/>
              <w:rPr>
                <w:color w:val="auto"/>
                <w:highlight w:val="none"/>
              </w:rPr>
            </w:pPr>
            <w:r>
              <w:rPr>
                <w:color w:val="auto"/>
                <w:highlight w:val="none"/>
              </w:rPr>
              <w:t>20＞α＞10；或不稳定分层</w:t>
            </w:r>
          </w:p>
        </w:tc>
        <w:tc>
          <w:tcPr>
            <w:tcW w:w="1164" w:type="dxa"/>
            <w:vAlign w:val="center"/>
          </w:tcPr>
          <w:p w14:paraId="06C6013C">
            <w:pPr>
              <w:pStyle w:val="523"/>
              <w:adjustRightInd w:val="0"/>
              <w:snapToGrid w:val="0"/>
              <w:spacing w:line="240" w:lineRule="auto"/>
              <w:ind w:left="-72" w:leftChars="-30" w:right="-72" w:rightChars="-30"/>
              <w:rPr>
                <w:color w:val="auto"/>
                <w:highlight w:val="none"/>
              </w:rPr>
            </w:pPr>
            <w:r>
              <w:rPr>
                <w:color w:val="auto"/>
                <w:highlight w:val="none"/>
              </w:rPr>
              <w:t>20＞β＞2；或季调节与不完全年调节</w:t>
            </w:r>
          </w:p>
        </w:tc>
        <w:tc>
          <w:tcPr>
            <w:tcW w:w="1129" w:type="dxa"/>
            <w:vAlign w:val="center"/>
          </w:tcPr>
          <w:p w14:paraId="752A19CF">
            <w:pPr>
              <w:pStyle w:val="523"/>
              <w:adjustRightInd w:val="0"/>
              <w:snapToGrid w:val="0"/>
              <w:spacing w:line="240" w:lineRule="auto"/>
              <w:ind w:left="-72" w:leftChars="-30" w:right="-72" w:rightChars="-30"/>
              <w:rPr>
                <w:color w:val="auto"/>
                <w:highlight w:val="none"/>
              </w:rPr>
            </w:pPr>
            <w:r>
              <w:rPr>
                <w:color w:val="auto"/>
                <w:highlight w:val="none"/>
              </w:rPr>
              <w:t>30＞γ＞10</w:t>
            </w:r>
          </w:p>
        </w:tc>
        <w:tc>
          <w:tcPr>
            <w:tcW w:w="1461" w:type="dxa"/>
            <w:vAlign w:val="center"/>
          </w:tcPr>
          <w:p w14:paraId="6B2D112F">
            <w:pPr>
              <w:pStyle w:val="523"/>
              <w:adjustRightInd w:val="0"/>
              <w:snapToGrid w:val="0"/>
              <w:spacing w:line="240" w:lineRule="auto"/>
              <w:ind w:left="-72" w:leftChars="-30" w:right="-72" w:rightChars="-30"/>
              <w:rPr>
                <w:color w:val="auto"/>
                <w:highlight w:val="none"/>
              </w:rPr>
            </w:pPr>
            <w:r>
              <w:rPr>
                <w:color w:val="auto"/>
                <w:highlight w:val="none"/>
              </w:rPr>
              <w:t>0.3＞A</w:t>
            </w:r>
            <w:r>
              <w:rPr>
                <w:color w:val="auto"/>
                <w:highlight w:val="none"/>
                <w:vertAlign w:val="subscript"/>
              </w:rPr>
              <w:t>1</w:t>
            </w:r>
            <w:r>
              <w:rPr>
                <w:color w:val="auto"/>
                <w:highlight w:val="none"/>
              </w:rPr>
              <w:t>＞0.05；或1.5＞A</w:t>
            </w:r>
            <w:r>
              <w:rPr>
                <w:color w:val="auto"/>
                <w:highlight w:val="none"/>
                <w:vertAlign w:val="subscript"/>
              </w:rPr>
              <w:t>2</w:t>
            </w:r>
            <w:r>
              <w:rPr>
                <w:color w:val="auto"/>
                <w:highlight w:val="none"/>
              </w:rPr>
              <w:t>＞0.2；或10＞R＞5</w:t>
            </w:r>
          </w:p>
        </w:tc>
        <w:tc>
          <w:tcPr>
            <w:tcW w:w="1694" w:type="dxa"/>
            <w:vAlign w:val="center"/>
          </w:tcPr>
          <w:p w14:paraId="3AF922FF">
            <w:pPr>
              <w:pStyle w:val="523"/>
              <w:adjustRightInd w:val="0"/>
              <w:snapToGrid w:val="0"/>
              <w:spacing w:line="240" w:lineRule="auto"/>
              <w:ind w:left="-72" w:leftChars="-30" w:right="-72" w:rightChars="-30"/>
              <w:rPr>
                <w:color w:val="auto"/>
                <w:highlight w:val="none"/>
              </w:rPr>
            </w:pPr>
            <w:r>
              <w:rPr>
                <w:color w:val="auto"/>
                <w:highlight w:val="none"/>
              </w:rPr>
              <w:t>0.3＞A</w:t>
            </w:r>
            <w:r>
              <w:rPr>
                <w:color w:val="auto"/>
                <w:highlight w:val="none"/>
                <w:vertAlign w:val="subscript"/>
              </w:rPr>
              <w:t>1</w:t>
            </w:r>
            <w:r>
              <w:rPr>
                <w:color w:val="auto"/>
                <w:highlight w:val="none"/>
              </w:rPr>
              <w:t>＞0.05；</w:t>
            </w:r>
          </w:p>
          <w:p w14:paraId="02C07246">
            <w:pPr>
              <w:pStyle w:val="523"/>
              <w:adjustRightInd w:val="0"/>
              <w:snapToGrid w:val="0"/>
              <w:spacing w:line="240" w:lineRule="auto"/>
              <w:ind w:left="-72" w:leftChars="-30" w:right="-72" w:rightChars="-30"/>
              <w:rPr>
                <w:color w:val="auto"/>
                <w:highlight w:val="none"/>
              </w:rPr>
            </w:pPr>
            <w:r>
              <w:rPr>
                <w:color w:val="auto"/>
                <w:highlight w:val="none"/>
              </w:rPr>
              <w:t>或1.5＞A</w:t>
            </w:r>
            <w:r>
              <w:rPr>
                <w:color w:val="auto"/>
                <w:highlight w:val="none"/>
                <w:vertAlign w:val="subscript"/>
              </w:rPr>
              <w:t>2</w:t>
            </w:r>
            <w:r>
              <w:rPr>
                <w:color w:val="auto"/>
                <w:highlight w:val="none"/>
              </w:rPr>
              <w:t>＞0.2；</w:t>
            </w:r>
          </w:p>
          <w:p w14:paraId="2BEC8E8B">
            <w:pPr>
              <w:pStyle w:val="523"/>
              <w:adjustRightInd w:val="0"/>
              <w:snapToGrid w:val="0"/>
              <w:spacing w:line="240" w:lineRule="auto"/>
              <w:ind w:left="-72" w:leftChars="-30" w:right="-72" w:rightChars="-30"/>
              <w:rPr>
                <w:color w:val="auto"/>
                <w:highlight w:val="none"/>
              </w:rPr>
            </w:pPr>
            <w:r>
              <w:rPr>
                <w:color w:val="auto"/>
                <w:highlight w:val="none"/>
              </w:rPr>
              <w:t>或20＞R＞5</w:t>
            </w:r>
          </w:p>
        </w:tc>
        <w:tc>
          <w:tcPr>
            <w:tcW w:w="1681" w:type="dxa"/>
            <w:vAlign w:val="center"/>
          </w:tcPr>
          <w:p w14:paraId="2D253D4C">
            <w:pPr>
              <w:pStyle w:val="523"/>
              <w:adjustRightInd w:val="0"/>
              <w:snapToGrid w:val="0"/>
              <w:spacing w:line="240" w:lineRule="auto"/>
              <w:ind w:left="-72" w:leftChars="-30" w:right="-72" w:rightChars="-30"/>
              <w:rPr>
                <w:color w:val="auto"/>
                <w:highlight w:val="none"/>
              </w:rPr>
            </w:pPr>
            <w:r>
              <w:rPr>
                <w:color w:val="auto"/>
                <w:highlight w:val="none"/>
              </w:rPr>
              <w:t>0.5＞A</w:t>
            </w:r>
            <w:r>
              <w:rPr>
                <w:color w:val="auto"/>
                <w:highlight w:val="none"/>
                <w:vertAlign w:val="subscript"/>
              </w:rPr>
              <w:t>1</w:t>
            </w:r>
            <w:r>
              <w:rPr>
                <w:color w:val="auto"/>
                <w:highlight w:val="none"/>
              </w:rPr>
              <w:t>＞0.15；</w:t>
            </w:r>
          </w:p>
          <w:p w14:paraId="08AD4C14">
            <w:pPr>
              <w:pStyle w:val="523"/>
              <w:adjustRightInd w:val="0"/>
              <w:snapToGrid w:val="0"/>
              <w:spacing w:line="240" w:lineRule="auto"/>
              <w:ind w:left="-72" w:leftChars="-30" w:right="-72" w:rightChars="-30"/>
              <w:rPr>
                <w:color w:val="auto"/>
                <w:highlight w:val="none"/>
              </w:rPr>
            </w:pPr>
            <w:r>
              <w:rPr>
                <w:color w:val="auto"/>
                <w:highlight w:val="none"/>
              </w:rPr>
              <w:t>或3＞A</w:t>
            </w:r>
            <w:r>
              <w:rPr>
                <w:color w:val="auto"/>
                <w:highlight w:val="none"/>
                <w:vertAlign w:val="subscript"/>
              </w:rPr>
              <w:t>2</w:t>
            </w:r>
            <w:r>
              <w:rPr>
                <w:color w:val="auto"/>
                <w:highlight w:val="none"/>
              </w:rPr>
              <w:t>＞0.5</w:t>
            </w:r>
          </w:p>
          <w:p w14:paraId="7B4C48F8">
            <w:pPr>
              <w:pStyle w:val="523"/>
              <w:adjustRightInd w:val="0"/>
              <w:snapToGrid w:val="0"/>
              <w:spacing w:line="240" w:lineRule="auto"/>
              <w:ind w:left="-72" w:leftChars="-30" w:right="-72" w:rightChars="-30"/>
              <w:rPr>
                <w:color w:val="auto"/>
                <w:highlight w:val="none"/>
              </w:rPr>
            </w:pPr>
          </w:p>
        </w:tc>
      </w:tr>
      <w:tr w14:paraId="794677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2" w:type="dxa"/>
            <w:vAlign w:val="center"/>
          </w:tcPr>
          <w:p w14:paraId="4574CC8C">
            <w:pPr>
              <w:pStyle w:val="523"/>
              <w:adjustRightInd w:val="0"/>
              <w:snapToGrid w:val="0"/>
              <w:spacing w:line="240" w:lineRule="auto"/>
              <w:ind w:left="-72" w:leftChars="-30" w:right="-72" w:rightChars="-30"/>
              <w:rPr>
                <w:color w:val="auto"/>
                <w:highlight w:val="none"/>
              </w:rPr>
            </w:pPr>
            <w:r>
              <w:rPr>
                <w:color w:val="auto"/>
                <w:highlight w:val="none"/>
              </w:rPr>
              <w:t>三级</w:t>
            </w:r>
          </w:p>
        </w:tc>
        <w:tc>
          <w:tcPr>
            <w:tcW w:w="1271" w:type="dxa"/>
            <w:vAlign w:val="center"/>
          </w:tcPr>
          <w:p w14:paraId="2CD7F592">
            <w:pPr>
              <w:pStyle w:val="523"/>
              <w:adjustRightInd w:val="0"/>
              <w:snapToGrid w:val="0"/>
              <w:spacing w:line="240" w:lineRule="auto"/>
              <w:ind w:left="-72" w:leftChars="-30" w:right="-72" w:rightChars="-30"/>
              <w:rPr>
                <w:color w:val="auto"/>
                <w:highlight w:val="none"/>
              </w:rPr>
            </w:pPr>
            <w:r>
              <w:rPr>
                <w:color w:val="auto"/>
                <w:highlight w:val="none"/>
              </w:rPr>
              <w:t>α≥20；或混合型</w:t>
            </w:r>
          </w:p>
        </w:tc>
        <w:tc>
          <w:tcPr>
            <w:tcW w:w="1164" w:type="dxa"/>
            <w:vAlign w:val="center"/>
          </w:tcPr>
          <w:p w14:paraId="73F4AC4A">
            <w:pPr>
              <w:pStyle w:val="523"/>
              <w:adjustRightInd w:val="0"/>
              <w:snapToGrid w:val="0"/>
              <w:spacing w:line="240" w:lineRule="auto"/>
              <w:ind w:left="-72" w:leftChars="-30" w:right="-72" w:rightChars="-30"/>
              <w:rPr>
                <w:color w:val="auto"/>
                <w:highlight w:val="none"/>
              </w:rPr>
            </w:pPr>
            <w:r>
              <w:rPr>
                <w:color w:val="auto"/>
                <w:highlight w:val="none"/>
              </w:rPr>
              <w:t>β≤2；或无调节</w:t>
            </w:r>
          </w:p>
        </w:tc>
        <w:tc>
          <w:tcPr>
            <w:tcW w:w="1129" w:type="dxa"/>
            <w:vAlign w:val="center"/>
          </w:tcPr>
          <w:p w14:paraId="0C829350">
            <w:pPr>
              <w:pStyle w:val="523"/>
              <w:adjustRightInd w:val="0"/>
              <w:snapToGrid w:val="0"/>
              <w:spacing w:line="240" w:lineRule="auto"/>
              <w:ind w:left="-72" w:leftChars="-30" w:right="-72" w:rightChars="-30"/>
              <w:rPr>
                <w:color w:val="auto"/>
                <w:highlight w:val="none"/>
              </w:rPr>
            </w:pPr>
            <w:r>
              <w:rPr>
                <w:color w:val="auto"/>
                <w:highlight w:val="none"/>
              </w:rPr>
              <w:t>γ≤10</w:t>
            </w:r>
          </w:p>
        </w:tc>
        <w:tc>
          <w:tcPr>
            <w:tcW w:w="1461" w:type="dxa"/>
            <w:vAlign w:val="center"/>
          </w:tcPr>
          <w:p w14:paraId="085A246E">
            <w:pPr>
              <w:pStyle w:val="523"/>
              <w:adjustRightInd w:val="0"/>
              <w:snapToGrid w:val="0"/>
              <w:spacing w:line="240" w:lineRule="auto"/>
              <w:ind w:left="-72" w:leftChars="-30" w:right="-72" w:rightChars="-30"/>
              <w:rPr>
                <w:color w:val="auto"/>
                <w:highlight w:val="none"/>
              </w:rPr>
            </w:pPr>
            <w:r>
              <w:rPr>
                <w:color w:val="auto"/>
                <w:highlight w:val="none"/>
              </w:rPr>
              <w:t>A</w:t>
            </w:r>
            <w:r>
              <w:rPr>
                <w:color w:val="auto"/>
                <w:highlight w:val="none"/>
                <w:vertAlign w:val="subscript"/>
              </w:rPr>
              <w:t>1</w:t>
            </w:r>
            <w:r>
              <w:rPr>
                <w:color w:val="auto"/>
                <w:highlight w:val="none"/>
              </w:rPr>
              <w:t>≤0.05；</w:t>
            </w:r>
          </w:p>
          <w:p w14:paraId="05344491">
            <w:pPr>
              <w:pStyle w:val="523"/>
              <w:adjustRightInd w:val="0"/>
              <w:snapToGrid w:val="0"/>
              <w:spacing w:line="240" w:lineRule="auto"/>
              <w:ind w:left="-72" w:leftChars="-30" w:right="-72" w:rightChars="-30"/>
              <w:rPr>
                <w:color w:val="auto"/>
                <w:highlight w:val="none"/>
              </w:rPr>
            </w:pPr>
            <w:r>
              <w:rPr>
                <w:color w:val="auto"/>
                <w:highlight w:val="none"/>
              </w:rPr>
              <w:t>或A</w:t>
            </w:r>
            <w:r>
              <w:rPr>
                <w:color w:val="auto"/>
                <w:highlight w:val="none"/>
                <w:vertAlign w:val="subscript"/>
              </w:rPr>
              <w:t>2</w:t>
            </w:r>
            <w:r>
              <w:rPr>
                <w:color w:val="auto"/>
                <w:highlight w:val="none"/>
              </w:rPr>
              <w:t>≤0.2；</w:t>
            </w:r>
          </w:p>
          <w:p w14:paraId="41370F6B">
            <w:pPr>
              <w:pStyle w:val="523"/>
              <w:adjustRightInd w:val="0"/>
              <w:snapToGrid w:val="0"/>
              <w:spacing w:line="240" w:lineRule="auto"/>
              <w:ind w:left="-72" w:leftChars="-30" w:right="-72" w:rightChars="-30"/>
              <w:rPr>
                <w:color w:val="auto"/>
                <w:highlight w:val="none"/>
              </w:rPr>
            </w:pPr>
            <w:r>
              <w:rPr>
                <w:color w:val="auto"/>
                <w:highlight w:val="none"/>
              </w:rPr>
              <w:t>或R≤5</w:t>
            </w:r>
          </w:p>
        </w:tc>
        <w:tc>
          <w:tcPr>
            <w:tcW w:w="1694" w:type="dxa"/>
            <w:vAlign w:val="center"/>
          </w:tcPr>
          <w:p w14:paraId="7857642B">
            <w:pPr>
              <w:pStyle w:val="523"/>
              <w:adjustRightInd w:val="0"/>
              <w:snapToGrid w:val="0"/>
              <w:spacing w:line="240" w:lineRule="auto"/>
              <w:ind w:left="-72" w:leftChars="-30" w:right="-72" w:rightChars="-30"/>
              <w:rPr>
                <w:color w:val="auto"/>
                <w:highlight w:val="none"/>
              </w:rPr>
            </w:pPr>
            <w:r>
              <w:rPr>
                <w:color w:val="auto"/>
                <w:highlight w:val="none"/>
              </w:rPr>
              <w:t>A</w:t>
            </w:r>
            <w:r>
              <w:rPr>
                <w:color w:val="auto"/>
                <w:highlight w:val="none"/>
                <w:vertAlign w:val="subscript"/>
              </w:rPr>
              <w:t>1</w:t>
            </w:r>
            <w:r>
              <w:rPr>
                <w:color w:val="auto"/>
                <w:highlight w:val="none"/>
              </w:rPr>
              <w:t>≤0.05；</w:t>
            </w:r>
          </w:p>
          <w:p w14:paraId="4BAABFD4">
            <w:pPr>
              <w:pStyle w:val="523"/>
              <w:adjustRightInd w:val="0"/>
              <w:snapToGrid w:val="0"/>
              <w:spacing w:line="240" w:lineRule="auto"/>
              <w:ind w:left="-72" w:leftChars="-30" w:right="-72" w:rightChars="-30"/>
              <w:rPr>
                <w:color w:val="auto"/>
                <w:highlight w:val="none"/>
              </w:rPr>
            </w:pPr>
            <w:r>
              <w:rPr>
                <w:color w:val="auto"/>
                <w:highlight w:val="none"/>
              </w:rPr>
              <w:t>或A</w:t>
            </w:r>
            <w:r>
              <w:rPr>
                <w:color w:val="auto"/>
                <w:highlight w:val="none"/>
                <w:vertAlign w:val="subscript"/>
              </w:rPr>
              <w:t>2</w:t>
            </w:r>
            <w:r>
              <w:rPr>
                <w:color w:val="auto"/>
                <w:highlight w:val="none"/>
              </w:rPr>
              <w:t>≤0.2；</w:t>
            </w:r>
          </w:p>
          <w:p w14:paraId="708E0BBE">
            <w:pPr>
              <w:pStyle w:val="523"/>
              <w:adjustRightInd w:val="0"/>
              <w:snapToGrid w:val="0"/>
              <w:spacing w:line="240" w:lineRule="auto"/>
              <w:ind w:left="-72" w:leftChars="-30" w:right="-72" w:rightChars="-30"/>
              <w:rPr>
                <w:color w:val="auto"/>
                <w:highlight w:val="none"/>
              </w:rPr>
            </w:pPr>
            <w:r>
              <w:rPr>
                <w:color w:val="auto"/>
                <w:highlight w:val="none"/>
              </w:rPr>
              <w:t>或R≤5</w:t>
            </w:r>
          </w:p>
        </w:tc>
        <w:tc>
          <w:tcPr>
            <w:tcW w:w="1681" w:type="dxa"/>
            <w:vAlign w:val="center"/>
          </w:tcPr>
          <w:p w14:paraId="14656F2A">
            <w:pPr>
              <w:pStyle w:val="523"/>
              <w:adjustRightInd w:val="0"/>
              <w:snapToGrid w:val="0"/>
              <w:spacing w:line="240" w:lineRule="auto"/>
              <w:ind w:left="-72" w:leftChars="-30" w:right="-72" w:rightChars="-30"/>
              <w:rPr>
                <w:color w:val="auto"/>
                <w:highlight w:val="none"/>
              </w:rPr>
            </w:pPr>
            <w:r>
              <w:rPr>
                <w:color w:val="auto"/>
                <w:highlight w:val="none"/>
              </w:rPr>
              <w:t>A</w:t>
            </w:r>
            <w:r>
              <w:rPr>
                <w:color w:val="auto"/>
                <w:highlight w:val="none"/>
                <w:vertAlign w:val="subscript"/>
              </w:rPr>
              <w:t>1</w:t>
            </w:r>
            <w:r>
              <w:rPr>
                <w:color w:val="auto"/>
                <w:highlight w:val="none"/>
              </w:rPr>
              <w:t>≤0.15；</w:t>
            </w:r>
          </w:p>
          <w:p w14:paraId="12664A8B">
            <w:pPr>
              <w:pStyle w:val="523"/>
              <w:adjustRightInd w:val="0"/>
              <w:snapToGrid w:val="0"/>
              <w:spacing w:line="240" w:lineRule="auto"/>
              <w:ind w:left="-72" w:leftChars="-30" w:right="-72" w:rightChars="-30"/>
              <w:rPr>
                <w:color w:val="auto"/>
                <w:highlight w:val="none"/>
              </w:rPr>
            </w:pPr>
            <w:r>
              <w:rPr>
                <w:color w:val="auto"/>
                <w:highlight w:val="none"/>
              </w:rPr>
              <w:t>或A</w:t>
            </w:r>
            <w:r>
              <w:rPr>
                <w:color w:val="auto"/>
                <w:highlight w:val="none"/>
                <w:vertAlign w:val="subscript"/>
              </w:rPr>
              <w:t>2</w:t>
            </w:r>
            <w:r>
              <w:rPr>
                <w:color w:val="auto"/>
                <w:highlight w:val="none"/>
              </w:rPr>
              <w:t>≤0.5；</w:t>
            </w:r>
          </w:p>
        </w:tc>
      </w:tr>
      <w:tr w14:paraId="2946E1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072" w:type="dxa"/>
            <w:gridSpan w:val="7"/>
            <w:vAlign w:val="center"/>
          </w:tcPr>
          <w:p w14:paraId="1F5ECFFB">
            <w:pPr>
              <w:pStyle w:val="523"/>
              <w:adjustRightInd w:val="0"/>
              <w:snapToGrid w:val="0"/>
              <w:spacing w:line="240" w:lineRule="auto"/>
              <w:ind w:left="-72" w:leftChars="-30" w:right="-72" w:rightChars="-30"/>
              <w:jc w:val="both"/>
              <w:rPr>
                <w:color w:val="auto"/>
                <w:highlight w:val="none"/>
              </w:rPr>
            </w:pPr>
            <w:r>
              <w:rPr>
                <w:color w:val="auto"/>
                <w:highlight w:val="none"/>
              </w:rPr>
              <w:t>注1：影响范围涉及饮用水水源保护区、重点保护与珍稀水生生物的栖息地，重要水生生物的自然产卵场、自然保护区等保护目标，评价等级不低于二级。</w:t>
            </w:r>
          </w:p>
          <w:p w14:paraId="135DA0E2">
            <w:pPr>
              <w:pStyle w:val="523"/>
              <w:adjustRightInd w:val="0"/>
              <w:snapToGrid w:val="0"/>
              <w:spacing w:line="240" w:lineRule="auto"/>
              <w:ind w:left="-72" w:leftChars="-30" w:right="-72" w:rightChars="-30"/>
              <w:jc w:val="both"/>
              <w:rPr>
                <w:color w:val="auto"/>
                <w:highlight w:val="none"/>
              </w:rPr>
            </w:pPr>
            <w:r>
              <w:rPr>
                <w:color w:val="auto"/>
                <w:highlight w:val="none"/>
              </w:rPr>
              <w:t>注2：跨流域调水、引水式电站、可能受到河流感潮河段影响，评价等级不低于二级。</w:t>
            </w:r>
          </w:p>
          <w:p w14:paraId="09F1C9A2">
            <w:pPr>
              <w:pStyle w:val="523"/>
              <w:adjustRightInd w:val="0"/>
              <w:snapToGrid w:val="0"/>
              <w:spacing w:line="240" w:lineRule="auto"/>
              <w:ind w:left="-72" w:leftChars="-30" w:right="-72" w:rightChars="-30"/>
              <w:jc w:val="both"/>
              <w:rPr>
                <w:color w:val="auto"/>
                <w:highlight w:val="none"/>
              </w:rPr>
            </w:pPr>
            <w:r>
              <w:rPr>
                <w:color w:val="auto"/>
                <w:highlight w:val="none"/>
              </w:rPr>
              <w:t>注3：造成入海河口（湾口）宽度束窄（束窄尺度达到原宽度的5%以上），评价等级应不低于二级。</w:t>
            </w:r>
          </w:p>
          <w:p w14:paraId="1BD102ED">
            <w:pPr>
              <w:pStyle w:val="523"/>
              <w:adjustRightInd w:val="0"/>
              <w:snapToGrid w:val="0"/>
              <w:spacing w:line="240" w:lineRule="auto"/>
              <w:ind w:left="-72" w:leftChars="-30" w:right="-72" w:rightChars="-30"/>
              <w:jc w:val="both"/>
              <w:rPr>
                <w:color w:val="auto"/>
                <w:highlight w:val="none"/>
              </w:rPr>
            </w:pPr>
            <w:r>
              <w:rPr>
                <w:color w:val="auto"/>
                <w:highlight w:val="none"/>
              </w:rPr>
              <w:t>注4：对不透水的单方向建筑尺度较大的水工建筑物（如防波堤、导流堤等），其与潮流或水流主流向切线垂直方向投影长度大于2km时，评价等级不低于二级。</w:t>
            </w:r>
          </w:p>
          <w:p w14:paraId="3C6A04FB">
            <w:pPr>
              <w:pStyle w:val="523"/>
              <w:adjustRightInd w:val="0"/>
              <w:snapToGrid w:val="0"/>
              <w:spacing w:line="240" w:lineRule="auto"/>
              <w:ind w:left="-72" w:leftChars="-30" w:right="-72" w:rightChars="-30"/>
              <w:jc w:val="both"/>
              <w:rPr>
                <w:color w:val="auto"/>
                <w:highlight w:val="none"/>
              </w:rPr>
            </w:pPr>
            <w:r>
              <w:rPr>
                <w:color w:val="auto"/>
                <w:highlight w:val="none"/>
              </w:rPr>
              <w:t>注5：允许在一类海域建设的项目，评价等级为一级。</w:t>
            </w:r>
          </w:p>
          <w:p w14:paraId="4A4DE494">
            <w:pPr>
              <w:pStyle w:val="523"/>
              <w:adjustRightInd w:val="0"/>
              <w:snapToGrid w:val="0"/>
              <w:spacing w:line="240" w:lineRule="auto"/>
              <w:ind w:left="-72" w:leftChars="-30" w:right="-72" w:rightChars="-30"/>
              <w:jc w:val="both"/>
              <w:rPr>
                <w:color w:val="auto"/>
                <w:highlight w:val="none"/>
              </w:rPr>
            </w:pPr>
            <w:r>
              <w:rPr>
                <w:color w:val="auto"/>
                <w:highlight w:val="none"/>
              </w:rPr>
              <w:t>注6：同时存在多个水文要素影响的建设项目，分别判定种水文要素影响评价等级，并取其中最高等级作业水文要素影响型建设项目评价等级。</w:t>
            </w:r>
          </w:p>
        </w:tc>
      </w:tr>
    </w:tbl>
    <w:p w14:paraId="1F57EFFD">
      <w:pPr>
        <w:spacing w:before="120" w:beforeLines="50"/>
        <w:ind w:firstLine="480"/>
        <w:rPr>
          <w:rFonts w:eastAsiaTheme="minorEastAsia"/>
          <w:color w:val="auto"/>
          <w:highlight w:val="none"/>
        </w:rPr>
      </w:pPr>
      <w:r>
        <w:rPr>
          <w:rFonts w:eastAsiaTheme="minorEastAsia"/>
          <w:color w:val="auto"/>
          <w:highlight w:val="none"/>
        </w:rPr>
        <w:t>本项目扰动水底部分主要为锚块投放扰动，A</w:t>
      </w:r>
      <w:r>
        <w:rPr>
          <w:rFonts w:eastAsiaTheme="minorEastAsia"/>
          <w:color w:val="auto"/>
          <w:highlight w:val="none"/>
          <w:vertAlign w:val="subscript"/>
        </w:rPr>
        <w:t>2</w:t>
      </w:r>
      <w:r>
        <w:rPr>
          <w:rFonts w:eastAsiaTheme="minorEastAsia"/>
          <w:color w:val="auto"/>
          <w:highlight w:val="none"/>
        </w:rPr>
        <w:t>=0.001km</w:t>
      </w:r>
      <w:r>
        <w:rPr>
          <w:rFonts w:eastAsiaTheme="minorEastAsia"/>
          <w:color w:val="auto"/>
          <w:highlight w:val="none"/>
          <w:vertAlign w:val="superscript"/>
        </w:rPr>
        <w:t>2</w:t>
      </w:r>
      <w:r>
        <w:rPr>
          <w:rFonts w:eastAsiaTheme="minorEastAsia"/>
          <w:color w:val="auto"/>
          <w:highlight w:val="none"/>
        </w:rPr>
        <w:t>≤0.5km</w:t>
      </w:r>
      <w:r>
        <w:rPr>
          <w:rFonts w:eastAsiaTheme="minorEastAsia"/>
          <w:color w:val="auto"/>
          <w:highlight w:val="none"/>
          <w:vertAlign w:val="superscript"/>
        </w:rPr>
        <w:t>2</w:t>
      </w:r>
      <w:r>
        <w:rPr>
          <w:rFonts w:eastAsiaTheme="minorEastAsia"/>
          <w:color w:val="auto"/>
          <w:highlight w:val="none"/>
        </w:rPr>
        <w:t>，依据水文要素影响范围，判定评价等级为三级。</w:t>
      </w:r>
    </w:p>
    <w:p w14:paraId="0B9E9148">
      <w:pPr>
        <w:pStyle w:val="7"/>
        <w:numPr>
          <w:ilvl w:val="2"/>
          <w:numId w:val="9"/>
        </w:numPr>
        <w:rPr>
          <w:color w:val="auto"/>
          <w:sz w:val="28"/>
          <w:highlight w:val="none"/>
        </w:rPr>
      </w:pPr>
      <w:r>
        <w:rPr>
          <w:color w:val="auto"/>
          <w:sz w:val="28"/>
          <w:highlight w:val="none"/>
        </w:rPr>
        <w:t>海洋生态环境评价等级及范围</w:t>
      </w:r>
    </w:p>
    <w:p w14:paraId="5D383EDC">
      <w:pPr>
        <w:ind w:firstLine="482"/>
        <w:jc w:val="left"/>
        <w:rPr>
          <w:b/>
          <w:bCs/>
          <w:color w:val="auto"/>
          <w:highlight w:val="none"/>
        </w:rPr>
      </w:pPr>
      <w:r>
        <w:rPr>
          <w:b/>
          <w:bCs/>
          <w:color w:val="auto"/>
          <w:highlight w:val="none"/>
        </w:rPr>
        <w:t>（1）评价等级</w:t>
      </w:r>
    </w:p>
    <w:p w14:paraId="51D0779B">
      <w:pPr>
        <w:ind w:firstLine="480"/>
        <w:jc w:val="left"/>
        <w:rPr>
          <w:color w:val="auto"/>
          <w:highlight w:val="none"/>
        </w:rPr>
      </w:pPr>
      <w:r>
        <w:rPr>
          <w:color w:val="auto"/>
          <w:highlight w:val="none"/>
        </w:rPr>
        <w:t>本项目属于船舶维修改装建设工程，主要建设内容包括</w:t>
      </w:r>
      <w:r>
        <w:rPr>
          <w:rFonts w:hint="eastAsia"/>
          <w:color w:val="auto"/>
          <w:highlight w:val="none"/>
        </w:rPr>
        <w:t>技改建设</w:t>
      </w:r>
      <w:r>
        <w:rPr>
          <w:color w:val="auto"/>
          <w:highlight w:val="none"/>
        </w:rPr>
        <w:t>1座10万吨级浮船坞，置换老旧浮船坞</w:t>
      </w:r>
      <w:r>
        <w:rPr>
          <w:rFonts w:hint="eastAsia"/>
          <w:color w:val="auto"/>
          <w:highlight w:val="none"/>
        </w:rPr>
        <w:t>；在</w:t>
      </w:r>
      <w:r>
        <w:rPr>
          <w:color w:val="auto"/>
          <w:highlight w:val="none"/>
        </w:rPr>
        <w:t>5#码头</w:t>
      </w:r>
      <w:r>
        <w:rPr>
          <w:rFonts w:hint="eastAsia"/>
          <w:color w:val="auto"/>
          <w:highlight w:val="none"/>
        </w:rPr>
        <w:t>扩建1台</w:t>
      </w:r>
      <w:r>
        <w:rPr>
          <w:color w:val="auto"/>
          <w:highlight w:val="none"/>
        </w:rPr>
        <w:t>门座式起重机</w:t>
      </w:r>
      <w:r>
        <w:rPr>
          <w:rFonts w:hint="eastAsia"/>
          <w:color w:val="auto"/>
          <w:highlight w:val="none"/>
        </w:rPr>
        <w:t>；</w:t>
      </w:r>
      <w:r>
        <w:rPr>
          <w:color w:val="auto"/>
          <w:highlight w:val="none"/>
        </w:rPr>
        <w:t>对浮船坞配套场地进行硬化处理</w:t>
      </w:r>
      <w:r>
        <w:rPr>
          <w:rFonts w:hint="eastAsia"/>
          <w:color w:val="auto"/>
          <w:highlight w:val="none"/>
        </w:rPr>
        <w:t>。</w:t>
      </w:r>
      <w:r>
        <w:rPr>
          <w:color w:val="auto"/>
          <w:highlight w:val="none"/>
        </w:rPr>
        <w:t>用海类型属于各类海上平台及浮式设施工程，</w:t>
      </w:r>
      <w:r>
        <w:rPr>
          <w:rFonts w:hint="eastAsia"/>
          <w:color w:val="auto"/>
          <w:highlight w:val="none"/>
        </w:rPr>
        <w:t>本次建设的</w:t>
      </w:r>
      <w:r>
        <w:rPr>
          <w:color w:val="auto"/>
          <w:highlight w:val="none"/>
        </w:rPr>
        <w:t>浮船坞依托现有坞坑安放</w:t>
      </w:r>
      <w:r>
        <w:rPr>
          <w:rFonts w:hint="eastAsia"/>
          <w:color w:val="auto"/>
          <w:highlight w:val="none"/>
        </w:rPr>
        <w:t>（无需扩建坞坑）</w:t>
      </w:r>
      <w:r>
        <w:rPr>
          <w:color w:val="auto"/>
          <w:highlight w:val="none"/>
        </w:rPr>
        <w:t>，坞坑占用海域面积21375m</w:t>
      </w:r>
      <w:r>
        <w:rPr>
          <w:color w:val="auto"/>
          <w:highlight w:val="none"/>
          <w:vertAlign w:val="superscript"/>
        </w:rPr>
        <w:t>2</w:t>
      </w:r>
      <w:r>
        <w:rPr>
          <w:color w:val="auto"/>
          <w:highlight w:val="none"/>
        </w:rPr>
        <w:t>，根据新增船坞尺寸，需新增浮坞锚块5座，锚块总面积为1125m</w:t>
      </w:r>
      <w:r>
        <w:rPr>
          <w:color w:val="auto"/>
          <w:highlight w:val="none"/>
          <w:vertAlign w:val="superscript"/>
        </w:rPr>
        <w:t>2</w:t>
      </w:r>
      <w:r>
        <w:rPr>
          <w:color w:val="auto"/>
          <w:highlight w:val="none"/>
        </w:rPr>
        <w:t>（225m</w:t>
      </w:r>
      <w:r>
        <w:rPr>
          <w:color w:val="auto"/>
          <w:highlight w:val="none"/>
          <w:vertAlign w:val="superscript"/>
        </w:rPr>
        <w:t>2</w:t>
      </w:r>
      <w:r>
        <w:rPr>
          <w:color w:val="auto"/>
          <w:highlight w:val="none"/>
        </w:rPr>
        <w:t>×5），浮船坞配套建造场地位于中船钦州修船资源整合项目用海范围，已取得海域使用权并完成填海建设，项目无新增用海区域，本项目仅进行场地硬化施工，不涉及清淤疏浚。</w:t>
      </w:r>
    </w:p>
    <w:p w14:paraId="45894E8C">
      <w:pPr>
        <w:ind w:firstLine="480"/>
        <w:jc w:val="left"/>
        <w:rPr>
          <w:color w:val="auto"/>
          <w:highlight w:val="none"/>
          <w:lang w:bidi="ar"/>
        </w:rPr>
      </w:pPr>
      <w:r>
        <w:rPr>
          <w:color w:val="auto"/>
          <w:highlight w:val="none"/>
        </w:rPr>
        <w:t>项目施工期及运营期无废水外排，对海洋环境的影响主要为浮船坞安放时，新增浮坞锚块投放对海底的扰动，扰动面积为1125 m</w:t>
      </w:r>
      <w:r>
        <w:rPr>
          <w:color w:val="auto"/>
          <w:highlight w:val="none"/>
          <w:vertAlign w:val="superscript"/>
        </w:rPr>
        <w:t>2</w:t>
      </w:r>
      <w:r>
        <w:rPr>
          <w:color w:val="auto"/>
          <w:highlight w:val="none"/>
        </w:rPr>
        <w:t>，项目所在区域不涉及海洋生态敏感区，根据</w:t>
      </w:r>
      <w:r>
        <w:rPr>
          <w:color w:val="auto"/>
          <w:highlight w:val="none"/>
          <w:lang w:bidi="ar"/>
        </w:rPr>
        <w:t>《环境影响评价技术导则 海洋生态环境》（HJ1409-2025），项目海洋生态环境评价等级为三级评价，详见表1.4-6。</w:t>
      </w:r>
    </w:p>
    <w:p w14:paraId="3F973783">
      <w:pPr>
        <w:pStyle w:val="38"/>
        <w:spacing w:after="0" w:line="240" w:lineRule="auto"/>
        <w:ind w:firstLine="0" w:firstLineChars="0"/>
        <w:jc w:val="center"/>
        <w:rPr>
          <w:b/>
          <w:color w:val="auto"/>
          <w:sz w:val="21"/>
          <w:szCs w:val="21"/>
          <w:highlight w:val="none"/>
        </w:rPr>
      </w:pPr>
      <w:r>
        <w:rPr>
          <w:b/>
          <w:color w:val="auto"/>
          <w:sz w:val="21"/>
          <w:szCs w:val="21"/>
          <w:highlight w:val="none"/>
        </w:rPr>
        <w:t xml:space="preserve">表1.4-6  </w:t>
      </w:r>
      <w:bookmarkStart w:id="65" w:name="1.3.3_评价等级"/>
      <w:bookmarkEnd w:id="65"/>
      <w:bookmarkStart w:id="66" w:name="1.3.2_环评文件类别的判定"/>
      <w:bookmarkEnd w:id="66"/>
      <w:r>
        <w:rPr>
          <w:b/>
          <w:color w:val="auto"/>
          <w:sz w:val="21"/>
          <w:szCs w:val="21"/>
          <w:highlight w:val="none"/>
        </w:rPr>
        <w:t>项目海洋生态环境影响评价等级判定表</w:t>
      </w:r>
    </w:p>
    <w:tbl>
      <w:tblPr>
        <w:tblStyle w:val="1557"/>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921"/>
        <w:gridCol w:w="1678"/>
        <w:gridCol w:w="945"/>
        <w:gridCol w:w="1345"/>
        <w:gridCol w:w="1030"/>
        <w:gridCol w:w="1360"/>
      </w:tblGrid>
      <w:tr w14:paraId="3C0940B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Pr>
        <w:tc>
          <w:tcPr>
            <w:tcW w:w="2478" w:type="pct"/>
            <w:gridSpan w:val="2"/>
            <w:tcBorders>
              <w:tl2br w:val="single" w:color="auto" w:sz="4" w:space="0"/>
            </w:tcBorders>
            <w:vAlign w:val="center"/>
          </w:tcPr>
          <w:p w14:paraId="27397096">
            <w:pPr>
              <w:pStyle w:val="584"/>
              <w:kinsoku w:val="0"/>
              <w:overflowPunct w:val="0"/>
              <w:spacing w:line="240" w:lineRule="auto"/>
              <w:ind w:firstLine="0" w:firstLineChars="0"/>
              <w:jc w:val="center"/>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 xml:space="preserve">              评价等级</w:t>
            </w:r>
          </w:p>
          <w:p w14:paraId="61A0F5B8">
            <w:pPr>
              <w:pStyle w:val="584"/>
              <w:kinsoku w:val="0"/>
              <w:overflowPunct w:val="0"/>
              <w:spacing w:line="240" w:lineRule="auto"/>
              <w:ind w:firstLine="0" w:firstLineChars="0"/>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影响类型</w:t>
            </w:r>
          </w:p>
        </w:tc>
        <w:tc>
          <w:tcPr>
            <w:tcW w:w="509" w:type="pct"/>
            <w:vAlign w:val="center"/>
          </w:tcPr>
          <w:p w14:paraId="76FF7BC4">
            <w:pPr>
              <w:pStyle w:val="584"/>
              <w:kinsoku w:val="0"/>
              <w:overflowPunct w:val="0"/>
              <w:spacing w:line="240" w:lineRule="auto"/>
              <w:ind w:firstLine="0" w:firstLineChars="0"/>
              <w:jc w:val="center"/>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1</w:t>
            </w:r>
          </w:p>
        </w:tc>
        <w:tc>
          <w:tcPr>
            <w:tcW w:w="725" w:type="pct"/>
            <w:vAlign w:val="center"/>
          </w:tcPr>
          <w:p w14:paraId="423C0BEF">
            <w:pPr>
              <w:pStyle w:val="584"/>
              <w:kinsoku w:val="0"/>
              <w:overflowPunct w:val="0"/>
              <w:spacing w:line="240" w:lineRule="auto"/>
              <w:ind w:firstLine="0" w:firstLineChars="0"/>
              <w:jc w:val="center"/>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2</w:t>
            </w:r>
          </w:p>
        </w:tc>
        <w:tc>
          <w:tcPr>
            <w:tcW w:w="555" w:type="pct"/>
            <w:vAlign w:val="center"/>
          </w:tcPr>
          <w:p w14:paraId="14A2A1E0">
            <w:pPr>
              <w:pStyle w:val="584"/>
              <w:kinsoku w:val="0"/>
              <w:overflowPunct w:val="0"/>
              <w:spacing w:line="240" w:lineRule="auto"/>
              <w:ind w:firstLine="0" w:firstLineChars="0"/>
              <w:jc w:val="center"/>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3</w:t>
            </w:r>
          </w:p>
        </w:tc>
        <w:tc>
          <w:tcPr>
            <w:tcW w:w="731" w:type="pct"/>
            <w:vAlign w:val="center"/>
          </w:tcPr>
          <w:p w14:paraId="3E28BDE1">
            <w:pPr>
              <w:pStyle w:val="584"/>
              <w:kinsoku w:val="0"/>
              <w:overflowPunct w:val="0"/>
              <w:spacing w:line="240" w:lineRule="auto"/>
              <w:ind w:firstLine="0" w:firstLineChars="0"/>
              <w:jc w:val="center"/>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本项目情况</w:t>
            </w:r>
          </w:p>
        </w:tc>
      </w:tr>
      <w:tr w14:paraId="171455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Pr>
        <w:tc>
          <w:tcPr>
            <w:tcW w:w="1574" w:type="pct"/>
            <w:vMerge w:val="restart"/>
            <w:vAlign w:val="center"/>
          </w:tcPr>
          <w:p w14:paraId="4A04C6D5">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废水排放量 Q（10</w:t>
            </w:r>
            <w:r>
              <w:rPr>
                <w:rFonts w:ascii="Times New Roman" w:hAnsi="Times New Roman" w:cs="Times New Roman"/>
                <w:color w:val="auto"/>
                <w:sz w:val="21"/>
                <w:szCs w:val="21"/>
                <w:highlight w:val="none"/>
                <w:vertAlign w:val="superscript"/>
              </w:rPr>
              <w:t>4</w:t>
            </w:r>
            <w:r>
              <w:rPr>
                <w:rFonts w:ascii="Times New Roman" w:hAnsi="Times New Roman" w:cs="Times New Roman"/>
                <w:color w:val="auto"/>
                <w:sz w:val="21"/>
                <w:szCs w:val="21"/>
                <w:highlight w:val="none"/>
              </w:rPr>
              <w:t>m</w:t>
            </w:r>
            <w:r>
              <w:rPr>
                <w:rFonts w:ascii="Times New Roman" w:hAnsi="Times New Roman" w:cs="Times New Roman"/>
                <w:color w:val="auto"/>
                <w:sz w:val="21"/>
                <w:szCs w:val="21"/>
                <w:highlight w:val="none"/>
                <w:vertAlign w:val="superscript"/>
              </w:rPr>
              <w:t>3</w:t>
            </w:r>
            <w:r>
              <w:rPr>
                <w:rFonts w:ascii="Times New Roman" w:hAnsi="Times New Roman" w:cs="Times New Roman"/>
                <w:color w:val="auto"/>
                <w:sz w:val="21"/>
                <w:szCs w:val="21"/>
                <w:highlight w:val="none"/>
              </w:rPr>
              <w:t>/d）</w:t>
            </w:r>
            <w:r>
              <w:rPr>
                <w:rFonts w:ascii="Times New Roman" w:hAnsi="Times New Roman" w:cs="Times New Roman"/>
                <w:color w:val="auto"/>
                <w:position w:val="8"/>
                <w:sz w:val="21"/>
                <w:szCs w:val="21"/>
                <w:highlight w:val="none"/>
              </w:rPr>
              <w:t>a</w:t>
            </w:r>
          </w:p>
        </w:tc>
        <w:tc>
          <w:tcPr>
            <w:tcW w:w="903" w:type="pct"/>
            <w:vAlign w:val="center"/>
          </w:tcPr>
          <w:p w14:paraId="344CBA1D">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含A类污染物</w:t>
            </w:r>
          </w:p>
        </w:tc>
        <w:tc>
          <w:tcPr>
            <w:tcW w:w="509" w:type="pct"/>
            <w:vAlign w:val="center"/>
          </w:tcPr>
          <w:p w14:paraId="7E8CB11D">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Q≥2</w:t>
            </w:r>
          </w:p>
        </w:tc>
        <w:tc>
          <w:tcPr>
            <w:tcW w:w="725" w:type="pct"/>
            <w:vAlign w:val="center"/>
          </w:tcPr>
          <w:p w14:paraId="7673A9C8">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0.5≤Q＜2</w:t>
            </w:r>
          </w:p>
        </w:tc>
        <w:tc>
          <w:tcPr>
            <w:tcW w:w="555" w:type="pct"/>
            <w:vAlign w:val="center"/>
          </w:tcPr>
          <w:p w14:paraId="4E454E6C">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Q＜0.5</w:t>
            </w:r>
          </w:p>
        </w:tc>
        <w:tc>
          <w:tcPr>
            <w:tcW w:w="731" w:type="pct"/>
            <w:vAlign w:val="center"/>
          </w:tcPr>
          <w:p w14:paraId="53DE6D4F">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p>
        </w:tc>
      </w:tr>
      <w:tr w14:paraId="313413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Pr>
        <w:tc>
          <w:tcPr>
            <w:tcW w:w="1574" w:type="pct"/>
            <w:vMerge w:val="continue"/>
            <w:vAlign w:val="center"/>
          </w:tcPr>
          <w:p w14:paraId="020DD106">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p>
        </w:tc>
        <w:tc>
          <w:tcPr>
            <w:tcW w:w="903" w:type="pct"/>
            <w:vAlign w:val="center"/>
          </w:tcPr>
          <w:p w14:paraId="6718757F">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含B类污染物</w:t>
            </w:r>
          </w:p>
        </w:tc>
        <w:tc>
          <w:tcPr>
            <w:tcW w:w="509" w:type="pct"/>
            <w:vAlign w:val="center"/>
          </w:tcPr>
          <w:p w14:paraId="30606A53">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Q≥20</w:t>
            </w:r>
          </w:p>
        </w:tc>
        <w:tc>
          <w:tcPr>
            <w:tcW w:w="725" w:type="pct"/>
            <w:vAlign w:val="center"/>
          </w:tcPr>
          <w:p w14:paraId="7DDBACD1">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5≤Q＜20</w:t>
            </w:r>
          </w:p>
        </w:tc>
        <w:tc>
          <w:tcPr>
            <w:tcW w:w="555" w:type="pct"/>
            <w:vAlign w:val="center"/>
          </w:tcPr>
          <w:p w14:paraId="6F81D6BE">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Q＜5</w:t>
            </w:r>
          </w:p>
        </w:tc>
        <w:tc>
          <w:tcPr>
            <w:tcW w:w="731" w:type="pct"/>
            <w:vAlign w:val="center"/>
          </w:tcPr>
          <w:p w14:paraId="63182AF0">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p>
        </w:tc>
      </w:tr>
      <w:tr w14:paraId="05DB4FE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Pr>
        <w:tc>
          <w:tcPr>
            <w:tcW w:w="1574" w:type="pct"/>
            <w:vMerge w:val="continue"/>
            <w:vAlign w:val="center"/>
          </w:tcPr>
          <w:p w14:paraId="35CAC537">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p>
        </w:tc>
        <w:tc>
          <w:tcPr>
            <w:tcW w:w="903" w:type="pct"/>
            <w:vAlign w:val="center"/>
          </w:tcPr>
          <w:p w14:paraId="3EFCA85F">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含C类污染物</w:t>
            </w:r>
          </w:p>
        </w:tc>
        <w:tc>
          <w:tcPr>
            <w:tcW w:w="509" w:type="pct"/>
            <w:vAlign w:val="center"/>
          </w:tcPr>
          <w:p w14:paraId="7DD412BC">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Q≥500</w:t>
            </w:r>
          </w:p>
        </w:tc>
        <w:tc>
          <w:tcPr>
            <w:tcW w:w="725" w:type="pct"/>
            <w:tcBorders>
              <w:bottom w:val="single" w:color="auto" w:sz="6" w:space="0"/>
            </w:tcBorders>
            <w:vAlign w:val="center"/>
          </w:tcPr>
          <w:p w14:paraId="4BDFA86A">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50≤Q＜500</w:t>
            </w:r>
          </w:p>
        </w:tc>
        <w:tc>
          <w:tcPr>
            <w:tcW w:w="555" w:type="pct"/>
            <w:tcBorders>
              <w:bottom w:val="single" w:color="auto" w:sz="6" w:space="0"/>
            </w:tcBorders>
            <w:vAlign w:val="center"/>
          </w:tcPr>
          <w:p w14:paraId="5E4CB68F">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Q＜50</w:t>
            </w:r>
          </w:p>
        </w:tc>
        <w:tc>
          <w:tcPr>
            <w:tcW w:w="731" w:type="pct"/>
            <w:vAlign w:val="center"/>
          </w:tcPr>
          <w:p w14:paraId="400473CD">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p>
        </w:tc>
      </w:tr>
      <w:tr w14:paraId="09292D9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Pr>
        <w:tc>
          <w:tcPr>
            <w:tcW w:w="2478" w:type="pct"/>
            <w:gridSpan w:val="2"/>
            <w:vAlign w:val="center"/>
          </w:tcPr>
          <w:p w14:paraId="4993F407">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水下开挖/回填量 Q（10</w:t>
            </w:r>
            <w:r>
              <w:rPr>
                <w:rFonts w:ascii="Times New Roman" w:hAnsi="Times New Roman" w:cs="Times New Roman"/>
                <w:color w:val="auto"/>
                <w:sz w:val="21"/>
                <w:szCs w:val="21"/>
                <w:highlight w:val="none"/>
                <w:vertAlign w:val="superscript"/>
              </w:rPr>
              <w:t>4</w:t>
            </w:r>
            <w:r>
              <w:rPr>
                <w:rFonts w:ascii="Times New Roman" w:hAnsi="Times New Roman" w:cs="Times New Roman"/>
                <w:color w:val="auto"/>
                <w:sz w:val="21"/>
                <w:szCs w:val="21"/>
                <w:highlight w:val="none"/>
              </w:rPr>
              <w:t>m</w:t>
            </w:r>
            <w:r>
              <w:rPr>
                <w:rFonts w:ascii="Times New Roman" w:hAnsi="Times New Roman" w:cs="Times New Roman"/>
                <w:color w:val="auto"/>
                <w:sz w:val="21"/>
                <w:szCs w:val="21"/>
                <w:highlight w:val="none"/>
                <w:vertAlign w:val="superscript"/>
              </w:rPr>
              <w:t>3</w:t>
            </w:r>
            <w:r>
              <w:rPr>
                <w:rFonts w:ascii="Times New Roman" w:hAnsi="Times New Roman" w:cs="Times New Roman"/>
                <w:color w:val="auto"/>
                <w:sz w:val="21"/>
                <w:szCs w:val="21"/>
                <w:highlight w:val="none"/>
              </w:rPr>
              <w:t>/d）</w:t>
            </w:r>
            <w:r>
              <w:rPr>
                <w:rFonts w:ascii="Times New Roman" w:hAnsi="Times New Roman" w:cs="Times New Roman"/>
                <w:color w:val="auto"/>
                <w:position w:val="8"/>
                <w:sz w:val="21"/>
                <w:szCs w:val="21"/>
                <w:highlight w:val="none"/>
              </w:rPr>
              <w:t>b</w:t>
            </w:r>
          </w:p>
        </w:tc>
        <w:tc>
          <w:tcPr>
            <w:tcW w:w="509" w:type="pct"/>
            <w:vAlign w:val="center"/>
          </w:tcPr>
          <w:p w14:paraId="4C059E76">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Q≥500</w:t>
            </w:r>
          </w:p>
        </w:tc>
        <w:tc>
          <w:tcPr>
            <w:tcW w:w="725" w:type="pct"/>
            <w:tcBorders>
              <w:top w:val="single" w:color="auto" w:sz="6" w:space="0"/>
              <w:bottom w:val="single" w:color="auto" w:sz="6" w:space="0"/>
            </w:tcBorders>
            <w:vAlign w:val="center"/>
          </w:tcPr>
          <w:p w14:paraId="0E9D009E">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100≤Q＜500</w:t>
            </w:r>
          </w:p>
        </w:tc>
        <w:tc>
          <w:tcPr>
            <w:tcW w:w="555" w:type="pct"/>
            <w:tcBorders>
              <w:top w:val="single" w:color="auto" w:sz="6" w:space="0"/>
              <w:bottom w:val="single" w:color="auto" w:sz="6" w:space="0"/>
            </w:tcBorders>
            <w:vAlign w:val="center"/>
          </w:tcPr>
          <w:p w14:paraId="382D6885">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Q＜100</w:t>
            </w:r>
          </w:p>
        </w:tc>
        <w:tc>
          <w:tcPr>
            <w:tcW w:w="731" w:type="pct"/>
            <w:vAlign w:val="center"/>
          </w:tcPr>
          <w:p w14:paraId="410F75DB">
            <w:pPr>
              <w:pStyle w:val="584"/>
              <w:kinsoku w:val="0"/>
              <w:overflowPunct w:val="0"/>
              <w:spacing w:line="240" w:lineRule="auto"/>
              <w:ind w:firstLine="0" w:firstLineChars="0"/>
              <w:jc w:val="center"/>
              <w:rPr>
                <w:rFonts w:ascii="Times New Roman" w:hAnsi="Times New Roman" w:cs="Times New Roman"/>
                <w:color w:val="auto"/>
                <w:sz w:val="21"/>
                <w:szCs w:val="21"/>
                <w:highlight w:val="none"/>
                <w:lang w:val="en-US"/>
              </w:rPr>
            </w:pPr>
          </w:p>
        </w:tc>
      </w:tr>
      <w:tr w14:paraId="0F3540A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Pr>
        <w:tc>
          <w:tcPr>
            <w:tcW w:w="2478" w:type="pct"/>
            <w:gridSpan w:val="2"/>
            <w:vAlign w:val="center"/>
          </w:tcPr>
          <w:p w14:paraId="0BC714A9">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泥浆及钻屑排放量 Q（10</w:t>
            </w:r>
            <w:r>
              <w:rPr>
                <w:rFonts w:ascii="Times New Roman" w:hAnsi="Times New Roman" w:cs="Times New Roman"/>
                <w:color w:val="auto"/>
                <w:sz w:val="21"/>
                <w:szCs w:val="21"/>
                <w:highlight w:val="none"/>
                <w:vertAlign w:val="superscript"/>
              </w:rPr>
              <w:t>4</w:t>
            </w:r>
            <w:r>
              <w:rPr>
                <w:rFonts w:ascii="Times New Roman" w:hAnsi="Times New Roman" w:cs="Times New Roman"/>
                <w:color w:val="auto"/>
                <w:sz w:val="21"/>
                <w:szCs w:val="21"/>
                <w:highlight w:val="none"/>
              </w:rPr>
              <w:t>m</w:t>
            </w:r>
            <w:r>
              <w:rPr>
                <w:rFonts w:ascii="Times New Roman" w:hAnsi="Times New Roman" w:cs="Times New Roman"/>
                <w:color w:val="auto"/>
                <w:sz w:val="21"/>
                <w:szCs w:val="21"/>
                <w:highlight w:val="none"/>
                <w:vertAlign w:val="superscript"/>
              </w:rPr>
              <w:t>3</w:t>
            </w:r>
            <w:r>
              <w:rPr>
                <w:rFonts w:ascii="Times New Roman" w:hAnsi="Times New Roman" w:cs="Times New Roman"/>
                <w:color w:val="auto"/>
                <w:sz w:val="21"/>
                <w:szCs w:val="21"/>
                <w:highlight w:val="none"/>
              </w:rPr>
              <w:t>/d）</w:t>
            </w:r>
          </w:p>
        </w:tc>
        <w:tc>
          <w:tcPr>
            <w:tcW w:w="509" w:type="pct"/>
            <w:vAlign w:val="center"/>
          </w:tcPr>
          <w:p w14:paraId="6F705535">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Q≥10</w:t>
            </w:r>
          </w:p>
        </w:tc>
        <w:tc>
          <w:tcPr>
            <w:tcW w:w="725" w:type="pct"/>
            <w:tcBorders>
              <w:top w:val="single" w:color="auto" w:sz="6" w:space="0"/>
              <w:bottom w:val="single" w:color="auto" w:sz="6" w:space="0"/>
            </w:tcBorders>
            <w:vAlign w:val="center"/>
          </w:tcPr>
          <w:p w14:paraId="4381CCD6">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5≤Q＜10</w:t>
            </w:r>
          </w:p>
        </w:tc>
        <w:tc>
          <w:tcPr>
            <w:tcW w:w="555" w:type="pct"/>
            <w:tcBorders>
              <w:top w:val="single" w:color="auto" w:sz="6" w:space="0"/>
              <w:bottom w:val="single" w:color="auto" w:sz="6" w:space="0"/>
            </w:tcBorders>
            <w:vAlign w:val="center"/>
          </w:tcPr>
          <w:p w14:paraId="659C0DE0">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Q＜5</w:t>
            </w:r>
          </w:p>
        </w:tc>
        <w:tc>
          <w:tcPr>
            <w:tcW w:w="731" w:type="pct"/>
            <w:vAlign w:val="center"/>
          </w:tcPr>
          <w:p w14:paraId="2ECD25F0">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p>
        </w:tc>
      </w:tr>
      <w:tr w14:paraId="27D9A82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Pr>
        <w:tc>
          <w:tcPr>
            <w:tcW w:w="2478" w:type="pct"/>
            <w:gridSpan w:val="2"/>
            <w:vAlign w:val="center"/>
          </w:tcPr>
          <w:p w14:paraId="08FF1A8C">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挖沟埋设管缆总长度 L（km）</w:t>
            </w:r>
            <w:r>
              <w:rPr>
                <w:rFonts w:ascii="Times New Roman" w:hAnsi="Times New Roman" w:cs="Times New Roman"/>
                <w:color w:val="auto"/>
                <w:position w:val="8"/>
                <w:sz w:val="21"/>
                <w:szCs w:val="21"/>
                <w:highlight w:val="none"/>
              </w:rPr>
              <w:t>c</w:t>
            </w:r>
          </w:p>
        </w:tc>
        <w:tc>
          <w:tcPr>
            <w:tcW w:w="509" w:type="pct"/>
            <w:vAlign w:val="center"/>
          </w:tcPr>
          <w:p w14:paraId="3DAA1D57">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L≥100</w:t>
            </w:r>
          </w:p>
        </w:tc>
        <w:tc>
          <w:tcPr>
            <w:tcW w:w="725" w:type="pct"/>
            <w:tcBorders>
              <w:top w:val="single" w:color="auto" w:sz="6" w:space="0"/>
              <w:bottom w:val="single" w:color="auto" w:sz="6" w:space="0"/>
            </w:tcBorders>
            <w:vAlign w:val="center"/>
          </w:tcPr>
          <w:p w14:paraId="42345A16">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60≤L＜100</w:t>
            </w:r>
          </w:p>
        </w:tc>
        <w:tc>
          <w:tcPr>
            <w:tcW w:w="555" w:type="pct"/>
            <w:tcBorders>
              <w:top w:val="single" w:color="auto" w:sz="6" w:space="0"/>
              <w:bottom w:val="single" w:color="auto" w:sz="6" w:space="0"/>
            </w:tcBorders>
            <w:vAlign w:val="center"/>
          </w:tcPr>
          <w:p w14:paraId="6D70E2C5">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L＜60</w:t>
            </w:r>
          </w:p>
        </w:tc>
        <w:tc>
          <w:tcPr>
            <w:tcW w:w="731" w:type="pct"/>
            <w:vAlign w:val="center"/>
          </w:tcPr>
          <w:p w14:paraId="1EB8852C">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p>
        </w:tc>
      </w:tr>
      <w:tr w14:paraId="312647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Pr>
        <w:tc>
          <w:tcPr>
            <w:tcW w:w="2478" w:type="pct"/>
            <w:gridSpan w:val="2"/>
            <w:vAlign w:val="center"/>
          </w:tcPr>
          <w:p w14:paraId="6414985D">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水下炸礁、爆破挤淤工程量 Q（10</w:t>
            </w:r>
            <w:r>
              <w:rPr>
                <w:rFonts w:ascii="Times New Roman" w:hAnsi="Times New Roman" w:cs="Times New Roman"/>
                <w:color w:val="auto"/>
                <w:sz w:val="21"/>
                <w:szCs w:val="21"/>
                <w:highlight w:val="none"/>
                <w:vertAlign w:val="superscript"/>
              </w:rPr>
              <w:t>4</w:t>
            </w:r>
            <w:r>
              <w:rPr>
                <w:rFonts w:ascii="Times New Roman" w:hAnsi="Times New Roman" w:cs="Times New Roman"/>
                <w:color w:val="auto"/>
                <w:sz w:val="21"/>
                <w:szCs w:val="21"/>
                <w:highlight w:val="none"/>
              </w:rPr>
              <w:t>m</w:t>
            </w:r>
            <w:r>
              <w:rPr>
                <w:rFonts w:ascii="Times New Roman" w:hAnsi="Times New Roman" w:cs="Times New Roman"/>
                <w:color w:val="auto"/>
                <w:sz w:val="21"/>
                <w:szCs w:val="21"/>
                <w:highlight w:val="none"/>
                <w:vertAlign w:val="superscript"/>
              </w:rPr>
              <w:t>3</w:t>
            </w:r>
            <w:r>
              <w:rPr>
                <w:rFonts w:ascii="Times New Roman" w:hAnsi="Times New Roman" w:cs="Times New Roman"/>
                <w:color w:val="auto"/>
                <w:sz w:val="21"/>
                <w:szCs w:val="21"/>
                <w:highlight w:val="none"/>
              </w:rPr>
              <w:t>）</w:t>
            </w:r>
            <w:r>
              <w:rPr>
                <w:rFonts w:ascii="Times New Roman" w:hAnsi="Times New Roman" w:cs="Times New Roman"/>
                <w:color w:val="auto"/>
                <w:position w:val="8"/>
                <w:sz w:val="21"/>
                <w:szCs w:val="21"/>
                <w:highlight w:val="none"/>
              </w:rPr>
              <w:t>d</w:t>
            </w:r>
          </w:p>
        </w:tc>
        <w:tc>
          <w:tcPr>
            <w:tcW w:w="509" w:type="pct"/>
            <w:vAlign w:val="center"/>
          </w:tcPr>
          <w:p w14:paraId="05260A78">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Q≥6</w:t>
            </w:r>
          </w:p>
        </w:tc>
        <w:tc>
          <w:tcPr>
            <w:tcW w:w="725" w:type="pct"/>
            <w:tcBorders>
              <w:top w:val="single" w:color="auto" w:sz="6" w:space="0"/>
              <w:bottom w:val="single" w:color="auto" w:sz="6" w:space="0"/>
            </w:tcBorders>
            <w:vAlign w:val="center"/>
          </w:tcPr>
          <w:p w14:paraId="1F6C598A">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0.2≤Q＜6</w:t>
            </w:r>
          </w:p>
        </w:tc>
        <w:tc>
          <w:tcPr>
            <w:tcW w:w="555" w:type="pct"/>
            <w:tcBorders>
              <w:top w:val="single" w:color="auto" w:sz="6" w:space="0"/>
              <w:bottom w:val="single" w:color="auto" w:sz="6" w:space="0"/>
            </w:tcBorders>
            <w:vAlign w:val="center"/>
          </w:tcPr>
          <w:p w14:paraId="1AB3C29A">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Q＜0.2</w:t>
            </w:r>
          </w:p>
        </w:tc>
        <w:tc>
          <w:tcPr>
            <w:tcW w:w="731" w:type="pct"/>
            <w:vAlign w:val="center"/>
          </w:tcPr>
          <w:p w14:paraId="7D3D3BA6">
            <w:pPr>
              <w:pStyle w:val="584"/>
              <w:kinsoku w:val="0"/>
              <w:overflowPunct w:val="0"/>
              <w:spacing w:line="240" w:lineRule="auto"/>
              <w:ind w:firstLine="0" w:firstLineChars="0"/>
              <w:jc w:val="center"/>
              <w:rPr>
                <w:rFonts w:ascii="Times New Roman" w:hAnsi="Times New Roman" w:cs="Times New Roman"/>
                <w:color w:val="auto"/>
                <w:sz w:val="21"/>
                <w:szCs w:val="21"/>
                <w:highlight w:val="none"/>
                <w:lang w:val="en-US"/>
              </w:rPr>
            </w:pPr>
          </w:p>
        </w:tc>
      </w:tr>
      <w:tr w14:paraId="3DDBDEE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Pr>
        <w:tc>
          <w:tcPr>
            <w:tcW w:w="2478" w:type="pct"/>
            <w:gridSpan w:val="2"/>
            <w:vAlign w:val="center"/>
          </w:tcPr>
          <w:p w14:paraId="249FCD2B">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入海河口（湾口）宽度束窄/拓宽尺度占原宽度的比例 R%</w:t>
            </w:r>
          </w:p>
        </w:tc>
        <w:tc>
          <w:tcPr>
            <w:tcW w:w="509" w:type="pct"/>
            <w:vAlign w:val="center"/>
          </w:tcPr>
          <w:p w14:paraId="218EA2F8">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R≥5</w:t>
            </w:r>
          </w:p>
        </w:tc>
        <w:tc>
          <w:tcPr>
            <w:tcW w:w="725" w:type="pct"/>
            <w:tcBorders>
              <w:top w:val="single" w:color="auto" w:sz="6" w:space="0"/>
              <w:bottom w:val="single" w:color="auto" w:sz="6" w:space="0"/>
            </w:tcBorders>
            <w:vAlign w:val="center"/>
          </w:tcPr>
          <w:p w14:paraId="780ECE58">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1＜R＜5</w:t>
            </w:r>
          </w:p>
        </w:tc>
        <w:tc>
          <w:tcPr>
            <w:tcW w:w="555" w:type="pct"/>
            <w:tcBorders>
              <w:top w:val="single" w:color="auto" w:sz="6" w:space="0"/>
              <w:bottom w:val="single" w:color="auto" w:sz="6" w:space="0"/>
            </w:tcBorders>
            <w:vAlign w:val="center"/>
          </w:tcPr>
          <w:p w14:paraId="6B0F0665">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R≤1</w:t>
            </w:r>
          </w:p>
        </w:tc>
        <w:tc>
          <w:tcPr>
            <w:tcW w:w="731" w:type="pct"/>
            <w:vAlign w:val="center"/>
          </w:tcPr>
          <w:p w14:paraId="3A75376B">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p>
        </w:tc>
      </w:tr>
      <w:tr w14:paraId="785F56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Pr>
        <w:tc>
          <w:tcPr>
            <w:tcW w:w="1574" w:type="pct"/>
            <w:vMerge w:val="restart"/>
            <w:vAlign w:val="center"/>
          </w:tcPr>
          <w:p w14:paraId="37035EB8">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用海面积S（hm</w:t>
            </w:r>
            <w:r>
              <w:rPr>
                <w:rFonts w:ascii="Times New Roman" w:hAnsi="Times New Roman" w:cs="Times New Roman"/>
                <w:color w:val="auto"/>
                <w:sz w:val="21"/>
                <w:szCs w:val="21"/>
                <w:highlight w:val="none"/>
                <w:vertAlign w:val="superscript"/>
              </w:rPr>
              <w:t>2</w:t>
            </w:r>
            <w:r>
              <w:rPr>
                <w:rFonts w:ascii="Times New Roman" w:hAnsi="Times New Roman" w:cs="Times New Roman"/>
                <w:color w:val="auto"/>
                <w:sz w:val="21"/>
                <w:szCs w:val="21"/>
                <w:highlight w:val="none"/>
              </w:rPr>
              <w:t>）</w:t>
            </w:r>
          </w:p>
        </w:tc>
        <w:tc>
          <w:tcPr>
            <w:tcW w:w="903" w:type="pct"/>
            <w:vAlign w:val="center"/>
          </w:tcPr>
          <w:p w14:paraId="17559D07">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围海</w:t>
            </w:r>
          </w:p>
        </w:tc>
        <w:tc>
          <w:tcPr>
            <w:tcW w:w="509" w:type="pct"/>
            <w:vAlign w:val="center"/>
          </w:tcPr>
          <w:p w14:paraId="4A75C366">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S≥100</w:t>
            </w:r>
          </w:p>
        </w:tc>
        <w:tc>
          <w:tcPr>
            <w:tcW w:w="725" w:type="pct"/>
            <w:tcBorders>
              <w:top w:val="single" w:color="auto" w:sz="6" w:space="0"/>
              <w:bottom w:val="single" w:color="auto" w:sz="6" w:space="0"/>
            </w:tcBorders>
            <w:vAlign w:val="center"/>
          </w:tcPr>
          <w:p w14:paraId="22D60031">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S＜100</w:t>
            </w:r>
          </w:p>
        </w:tc>
        <w:tc>
          <w:tcPr>
            <w:tcW w:w="555" w:type="pct"/>
            <w:tcBorders>
              <w:top w:val="single" w:color="auto" w:sz="6" w:space="0"/>
              <w:bottom w:val="single" w:color="auto" w:sz="6" w:space="0"/>
            </w:tcBorders>
            <w:vAlign w:val="center"/>
          </w:tcPr>
          <w:p w14:paraId="06D20D01">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731" w:type="pct"/>
            <w:vAlign w:val="center"/>
          </w:tcPr>
          <w:p w14:paraId="4349917E">
            <w:pPr>
              <w:pStyle w:val="584"/>
              <w:kinsoku w:val="0"/>
              <w:overflowPunct w:val="0"/>
              <w:spacing w:line="240" w:lineRule="auto"/>
              <w:ind w:firstLine="0" w:firstLineChars="0"/>
              <w:jc w:val="center"/>
              <w:rPr>
                <w:rFonts w:ascii="Times New Roman" w:hAnsi="Times New Roman" w:cs="Times New Roman"/>
                <w:color w:val="auto"/>
                <w:sz w:val="21"/>
                <w:szCs w:val="21"/>
                <w:highlight w:val="none"/>
                <w:lang w:val="en-US"/>
              </w:rPr>
            </w:pPr>
          </w:p>
        </w:tc>
      </w:tr>
      <w:tr w14:paraId="20B045A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Pr>
        <w:tc>
          <w:tcPr>
            <w:tcW w:w="1574" w:type="pct"/>
            <w:vMerge w:val="continue"/>
            <w:vAlign w:val="center"/>
          </w:tcPr>
          <w:p w14:paraId="7C7720A6">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p>
        </w:tc>
        <w:tc>
          <w:tcPr>
            <w:tcW w:w="903" w:type="pct"/>
            <w:vAlign w:val="center"/>
          </w:tcPr>
          <w:p w14:paraId="012C6E3B">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填海</w:t>
            </w:r>
          </w:p>
        </w:tc>
        <w:tc>
          <w:tcPr>
            <w:tcW w:w="509" w:type="pct"/>
            <w:vAlign w:val="center"/>
          </w:tcPr>
          <w:p w14:paraId="208D6C88">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S≥50</w:t>
            </w:r>
          </w:p>
        </w:tc>
        <w:tc>
          <w:tcPr>
            <w:tcW w:w="725" w:type="pct"/>
            <w:tcBorders>
              <w:top w:val="single" w:color="auto" w:sz="6" w:space="0"/>
              <w:bottom w:val="single" w:color="auto" w:sz="6" w:space="0"/>
            </w:tcBorders>
            <w:vAlign w:val="center"/>
          </w:tcPr>
          <w:p w14:paraId="6C895F7E">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S＜50</w:t>
            </w:r>
          </w:p>
        </w:tc>
        <w:tc>
          <w:tcPr>
            <w:tcW w:w="555" w:type="pct"/>
            <w:tcBorders>
              <w:top w:val="single" w:color="auto" w:sz="6" w:space="0"/>
              <w:bottom w:val="single" w:color="auto" w:sz="6" w:space="0"/>
            </w:tcBorders>
            <w:vAlign w:val="center"/>
          </w:tcPr>
          <w:p w14:paraId="6D21520E">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731" w:type="pct"/>
            <w:vAlign w:val="center"/>
          </w:tcPr>
          <w:p w14:paraId="3255CD43">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p>
        </w:tc>
      </w:tr>
      <w:tr w14:paraId="58EEEA5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Pr>
        <w:tc>
          <w:tcPr>
            <w:tcW w:w="1574" w:type="pct"/>
            <w:vMerge w:val="continue"/>
            <w:vAlign w:val="center"/>
          </w:tcPr>
          <w:p w14:paraId="256CE7FE">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p>
        </w:tc>
        <w:tc>
          <w:tcPr>
            <w:tcW w:w="903" w:type="pct"/>
            <w:vAlign w:val="center"/>
          </w:tcPr>
          <w:p w14:paraId="5E0CCA52">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其他用海</w:t>
            </w:r>
            <w:r>
              <w:rPr>
                <w:rFonts w:ascii="Times New Roman" w:hAnsi="Times New Roman" w:cs="Times New Roman"/>
                <w:color w:val="auto"/>
                <w:position w:val="8"/>
                <w:sz w:val="21"/>
                <w:szCs w:val="21"/>
                <w:highlight w:val="none"/>
              </w:rPr>
              <w:t>e</w:t>
            </w:r>
          </w:p>
        </w:tc>
        <w:tc>
          <w:tcPr>
            <w:tcW w:w="509" w:type="pct"/>
            <w:vAlign w:val="center"/>
          </w:tcPr>
          <w:p w14:paraId="2BBA9DD5">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S≥200</w:t>
            </w:r>
          </w:p>
        </w:tc>
        <w:tc>
          <w:tcPr>
            <w:tcW w:w="725" w:type="pct"/>
            <w:tcBorders>
              <w:top w:val="single" w:color="auto" w:sz="6" w:space="0"/>
              <w:bottom w:val="single" w:color="auto" w:sz="6" w:space="0"/>
            </w:tcBorders>
            <w:vAlign w:val="center"/>
          </w:tcPr>
          <w:p w14:paraId="3145B964">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100≤S＜200</w:t>
            </w:r>
          </w:p>
        </w:tc>
        <w:tc>
          <w:tcPr>
            <w:tcW w:w="555" w:type="pct"/>
            <w:tcBorders>
              <w:top w:val="single" w:color="auto" w:sz="6" w:space="0"/>
              <w:bottom w:val="single" w:color="auto" w:sz="6" w:space="0"/>
            </w:tcBorders>
            <w:vAlign w:val="center"/>
          </w:tcPr>
          <w:p w14:paraId="5AE5EFF8">
            <w:pPr>
              <w:pStyle w:val="584"/>
              <w:kinsoku w:val="0"/>
              <w:overflowPunct w:val="0"/>
              <w:spacing w:line="240" w:lineRule="auto"/>
              <w:ind w:firstLine="0" w:firstLineChars="0"/>
              <w:jc w:val="center"/>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S＜100</w:t>
            </w:r>
          </w:p>
        </w:tc>
        <w:tc>
          <w:tcPr>
            <w:tcW w:w="731" w:type="pct"/>
            <w:vAlign w:val="center"/>
          </w:tcPr>
          <w:p w14:paraId="4233D13D">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2.1375</w:t>
            </w:r>
          </w:p>
        </w:tc>
      </w:tr>
      <w:tr w14:paraId="2496B7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Pr>
        <w:tc>
          <w:tcPr>
            <w:tcW w:w="1574" w:type="pct"/>
            <w:vMerge w:val="restart"/>
            <w:vAlign w:val="center"/>
          </w:tcPr>
          <w:p w14:paraId="60A051D6">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线性水工构筑物轴线长度 L（km）</w:t>
            </w:r>
          </w:p>
        </w:tc>
        <w:tc>
          <w:tcPr>
            <w:tcW w:w="903" w:type="pct"/>
            <w:vAlign w:val="center"/>
          </w:tcPr>
          <w:p w14:paraId="017056DD">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透水</w:t>
            </w:r>
          </w:p>
        </w:tc>
        <w:tc>
          <w:tcPr>
            <w:tcW w:w="509" w:type="pct"/>
            <w:vAlign w:val="center"/>
          </w:tcPr>
          <w:p w14:paraId="4DC100C6">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L≥5</w:t>
            </w:r>
          </w:p>
        </w:tc>
        <w:tc>
          <w:tcPr>
            <w:tcW w:w="725" w:type="pct"/>
            <w:tcBorders>
              <w:top w:val="single" w:color="auto" w:sz="6" w:space="0"/>
              <w:bottom w:val="single" w:color="auto" w:sz="6" w:space="0"/>
            </w:tcBorders>
            <w:vAlign w:val="center"/>
          </w:tcPr>
          <w:p w14:paraId="00479762">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1≤L＜5</w:t>
            </w:r>
          </w:p>
        </w:tc>
        <w:tc>
          <w:tcPr>
            <w:tcW w:w="555" w:type="pct"/>
            <w:tcBorders>
              <w:top w:val="single" w:color="auto" w:sz="6" w:space="0"/>
              <w:bottom w:val="single" w:color="auto" w:sz="6" w:space="0"/>
            </w:tcBorders>
            <w:vAlign w:val="center"/>
          </w:tcPr>
          <w:p w14:paraId="5587354F">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L＜1</w:t>
            </w:r>
          </w:p>
        </w:tc>
        <w:tc>
          <w:tcPr>
            <w:tcW w:w="731" w:type="pct"/>
            <w:vAlign w:val="center"/>
          </w:tcPr>
          <w:p w14:paraId="3F150612">
            <w:pPr>
              <w:pStyle w:val="584"/>
              <w:kinsoku w:val="0"/>
              <w:overflowPunct w:val="0"/>
              <w:spacing w:line="240" w:lineRule="auto"/>
              <w:ind w:firstLine="0" w:firstLineChars="0"/>
              <w:jc w:val="center"/>
              <w:rPr>
                <w:rFonts w:ascii="Times New Roman" w:hAnsi="Times New Roman" w:cs="Times New Roman"/>
                <w:color w:val="auto"/>
                <w:sz w:val="21"/>
                <w:szCs w:val="21"/>
                <w:highlight w:val="none"/>
                <w:lang w:val="en-US"/>
              </w:rPr>
            </w:pPr>
          </w:p>
        </w:tc>
      </w:tr>
      <w:tr w14:paraId="542CC2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Pr>
        <w:tc>
          <w:tcPr>
            <w:tcW w:w="1574" w:type="pct"/>
            <w:vMerge w:val="continue"/>
            <w:vAlign w:val="center"/>
          </w:tcPr>
          <w:p w14:paraId="45145170">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p>
        </w:tc>
        <w:tc>
          <w:tcPr>
            <w:tcW w:w="903" w:type="pct"/>
            <w:vAlign w:val="center"/>
          </w:tcPr>
          <w:p w14:paraId="378505DD">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非透水</w:t>
            </w:r>
          </w:p>
        </w:tc>
        <w:tc>
          <w:tcPr>
            <w:tcW w:w="509" w:type="pct"/>
            <w:vAlign w:val="center"/>
          </w:tcPr>
          <w:p w14:paraId="053EB067">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L≥2</w:t>
            </w:r>
          </w:p>
        </w:tc>
        <w:tc>
          <w:tcPr>
            <w:tcW w:w="725" w:type="pct"/>
            <w:tcBorders>
              <w:top w:val="single" w:color="auto" w:sz="6" w:space="0"/>
              <w:bottom w:val="single" w:color="auto" w:sz="6" w:space="0"/>
            </w:tcBorders>
            <w:vAlign w:val="center"/>
          </w:tcPr>
          <w:p w14:paraId="51020CF9">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0.5≤L＜2</w:t>
            </w:r>
          </w:p>
        </w:tc>
        <w:tc>
          <w:tcPr>
            <w:tcW w:w="555" w:type="pct"/>
            <w:tcBorders>
              <w:top w:val="single" w:color="auto" w:sz="6" w:space="0"/>
              <w:bottom w:val="single" w:color="auto" w:sz="6" w:space="0"/>
            </w:tcBorders>
            <w:vAlign w:val="center"/>
          </w:tcPr>
          <w:p w14:paraId="56B89714">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L＜0.5</w:t>
            </w:r>
          </w:p>
        </w:tc>
        <w:tc>
          <w:tcPr>
            <w:tcW w:w="731" w:type="pct"/>
            <w:vAlign w:val="center"/>
          </w:tcPr>
          <w:p w14:paraId="0288C651">
            <w:pPr>
              <w:pStyle w:val="584"/>
              <w:kinsoku w:val="0"/>
              <w:overflowPunct w:val="0"/>
              <w:spacing w:line="240" w:lineRule="auto"/>
              <w:ind w:firstLine="0" w:firstLineChars="0"/>
              <w:jc w:val="center"/>
              <w:rPr>
                <w:rFonts w:ascii="Times New Roman" w:hAnsi="Times New Roman" w:cs="Times New Roman"/>
                <w:color w:val="auto"/>
                <w:sz w:val="21"/>
                <w:szCs w:val="21"/>
                <w:highlight w:val="none"/>
                <w:lang w:val="en-US"/>
              </w:rPr>
            </w:pPr>
          </w:p>
        </w:tc>
      </w:tr>
      <w:tr w14:paraId="51FEB33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Pr>
        <w:tc>
          <w:tcPr>
            <w:tcW w:w="2478" w:type="pct"/>
            <w:gridSpan w:val="2"/>
            <w:vAlign w:val="center"/>
          </w:tcPr>
          <w:p w14:paraId="541D6881">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人工鱼礁固体投放量 Q（空方10</w:t>
            </w:r>
            <w:r>
              <w:rPr>
                <w:rFonts w:ascii="Times New Roman" w:hAnsi="Times New Roman" w:cs="Times New Roman"/>
                <w:color w:val="auto"/>
                <w:sz w:val="21"/>
                <w:szCs w:val="21"/>
                <w:highlight w:val="none"/>
                <w:vertAlign w:val="superscript"/>
              </w:rPr>
              <w:t>4</w:t>
            </w:r>
            <w:r>
              <w:rPr>
                <w:rFonts w:ascii="Times New Roman" w:hAnsi="Times New Roman" w:cs="Times New Roman"/>
                <w:color w:val="auto"/>
                <w:sz w:val="21"/>
                <w:szCs w:val="21"/>
                <w:highlight w:val="none"/>
              </w:rPr>
              <w:t>m</w:t>
            </w:r>
            <w:r>
              <w:rPr>
                <w:rFonts w:ascii="Times New Roman" w:hAnsi="Times New Roman" w:cs="Times New Roman"/>
                <w:color w:val="auto"/>
                <w:sz w:val="21"/>
                <w:szCs w:val="21"/>
                <w:highlight w:val="none"/>
                <w:vertAlign w:val="superscript"/>
              </w:rPr>
              <w:t>3</w:t>
            </w:r>
            <w:r>
              <w:rPr>
                <w:rFonts w:ascii="Times New Roman" w:hAnsi="Times New Roman" w:cs="Times New Roman"/>
                <w:color w:val="auto"/>
                <w:sz w:val="21"/>
                <w:szCs w:val="21"/>
                <w:highlight w:val="none"/>
              </w:rPr>
              <w:t>）</w:t>
            </w:r>
          </w:p>
        </w:tc>
        <w:tc>
          <w:tcPr>
            <w:tcW w:w="509" w:type="pct"/>
            <w:vAlign w:val="center"/>
          </w:tcPr>
          <w:p w14:paraId="073F1068">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Q≥10</w:t>
            </w:r>
          </w:p>
        </w:tc>
        <w:tc>
          <w:tcPr>
            <w:tcW w:w="725" w:type="pct"/>
            <w:tcBorders>
              <w:top w:val="single" w:color="auto" w:sz="6" w:space="0"/>
            </w:tcBorders>
            <w:vAlign w:val="center"/>
          </w:tcPr>
          <w:p w14:paraId="19651CB5">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5≤Q＜10</w:t>
            </w:r>
          </w:p>
        </w:tc>
        <w:tc>
          <w:tcPr>
            <w:tcW w:w="555" w:type="pct"/>
            <w:tcBorders>
              <w:top w:val="single" w:color="auto" w:sz="6" w:space="0"/>
            </w:tcBorders>
            <w:vAlign w:val="center"/>
          </w:tcPr>
          <w:p w14:paraId="570B04B3">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Q＜5</w:t>
            </w:r>
          </w:p>
        </w:tc>
        <w:tc>
          <w:tcPr>
            <w:tcW w:w="731" w:type="pct"/>
            <w:vAlign w:val="center"/>
          </w:tcPr>
          <w:p w14:paraId="5CC022AA">
            <w:pPr>
              <w:pStyle w:val="584"/>
              <w:kinsoku w:val="0"/>
              <w:overflowPunct w:val="0"/>
              <w:spacing w:line="240" w:lineRule="auto"/>
              <w:ind w:firstLine="0" w:firstLineChars="0"/>
              <w:jc w:val="center"/>
              <w:rPr>
                <w:rFonts w:ascii="Times New Roman" w:hAnsi="Times New Roman" w:cs="Times New Roman"/>
                <w:color w:val="auto"/>
                <w:sz w:val="21"/>
                <w:szCs w:val="21"/>
                <w:highlight w:val="none"/>
              </w:rPr>
            </w:pPr>
          </w:p>
        </w:tc>
      </w:tr>
      <w:tr w14:paraId="464F97C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Pr>
        <w:tc>
          <w:tcPr>
            <w:tcW w:w="5000" w:type="pct"/>
            <w:gridSpan w:val="6"/>
            <w:vAlign w:val="center"/>
          </w:tcPr>
          <w:p w14:paraId="332E2E8E">
            <w:pPr>
              <w:kinsoku w:val="0"/>
              <w:overflowPunct w:val="0"/>
              <w:spacing w:line="240" w:lineRule="auto"/>
              <w:ind w:firstLine="0" w:firstLineChars="0"/>
              <w:jc w:val="left"/>
              <w:rPr>
                <w:color w:val="auto"/>
                <w:sz w:val="21"/>
                <w:szCs w:val="21"/>
                <w:highlight w:val="none"/>
              </w:rPr>
            </w:pPr>
            <w:r>
              <w:rPr>
                <w:color w:val="auto"/>
                <w:sz w:val="21"/>
                <w:szCs w:val="21"/>
                <w:highlight w:val="none"/>
              </w:rPr>
              <w:t>a：排放口位于近岸海域以外海域的评价等级降低一级（最低为3级）建设项目排放的污染物为受纳水体超标因子，评价等级应不低于2级。</w:t>
            </w:r>
          </w:p>
          <w:p w14:paraId="0DBCD4CE">
            <w:pPr>
              <w:kinsoku w:val="0"/>
              <w:overflowPunct w:val="0"/>
              <w:spacing w:line="240" w:lineRule="auto"/>
              <w:ind w:firstLine="0" w:firstLineChars="0"/>
              <w:jc w:val="left"/>
              <w:rPr>
                <w:color w:val="auto"/>
                <w:sz w:val="21"/>
                <w:szCs w:val="21"/>
                <w:highlight w:val="none"/>
              </w:rPr>
            </w:pPr>
            <w:r>
              <w:rPr>
                <w:color w:val="auto"/>
                <w:sz w:val="21"/>
                <w:szCs w:val="21"/>
                <w:highlight w:val="none"/>
              </w:rPr>
              <w:t xml:space="preserve">b：海底隧道按水下开挖（回填）量划分评价等级，采用盾构、钻爆方式施工的海底隧道，评价等级降低一级（最低为3级）。 </w:t>
            </w:r>
          </w:p>
          <w:p w14:paraId="203CA6CC">
            <w:pPr>
              <w:kinsoku w:val="0"/>
              <w:overflowPunct w:val="0"/>
              <w:spacing w:line="240" w:lineRule="auto"/>
              <w:ind w:firstLine="0" w:firstLineChars="0"/>
              <w:jc w:val="left"/>
              <w:rPr>
                <w:color w:val="auto"/>
                <w:sz w:val="21"/>
                <w:szCs w:val="21"/>
                <w:highlight w:val="none"/>
              </w:rPr>
            </w:pPr>
            <w:r>
              <w:rPr>
                <w:color w:val="auto"/>
                <w:sz w:val="21"/>
                <w:szCs w:val="21"/>
                <w:highlight w:val="none"/>
              </w:rPr>
              <w:t xml:space="preserve">c：挖沟埋设管缆总长度以挖沟累积长度计。 </w:t>
            </w:r>
          </w:p>
          <w:p w14:paraId="51D7B048">
            <w:pPr>
              <w:kinsoku w:val="0"/>
              <w:overflowPunct w:val="0"/>
              <w:spacing w:line="240" w:lineRule="auto"/>
              <w:ind w:firstLine="0" w:firstLineChars="0"/>
              <w:jc w:val="left"/>
              <w:rPr>
                <w:color w:val="auto"/>
                <w:sz w:val="21"/>
                <w:szCs w:val="21"/>
                <w:highlight w:val="none"/>
              </w:rPr>
            </w:pPr>
            <w:r>
              <w:rPr>
                <w:color w:val="auto"/>
                <w:sz w:val="21"/>
                <w:szCs w:val="21"/>
                <w:highlight w:val="none"/>
              </w:rPr>
              <w:t>d：爆破挤淤工程量以挤出淤泥量计。</w:t>
            </w:r>
          </w:p>
          <w:p w14:paraId="5A92A1A2">
            <w:pPr>
              <w:kinsoku w:val="0"/>
              <w:overflowPunct w:val="0"/>
              <w:spacing w:line="240" w:lineRule="auto"/>
              <w:ind w:firstLine="0" w:firstLineChars="0"/>
              <w:jc w:val="left"/>
              <w:rPr>
                <w:color w:val="auto"/>
                <w:sz w:val="21"/>
                <w:szCs w:val="21"/>
                <w:highlight w:val="none"/>
              </w:rPr>
            </w:pPr>
            <w:r>
              <w:rPr>
                <w:color w:val="auto"/>
                <w:sz w:val="21"/>
                <w:szCs w:val="21"/>
                <w:highlight w:val="none"/>
              </w:rPr>
              <w:t>e：其他用海主要指海上风电、海上太阳能发电、海水养殖等开放式用海建设项目；不投加饵料的海水养殖项目，评价等级为3级。</w:t>
            </w:r>
          </w:p>
        </w:tc>
      </w:tr>
    </w:tbl>
    <w:p w14:paraId="767E4B30">
      <w:pPr>
        <w:pStyle w:val="589"/>
        <w:adjustRightInd w:val="0"/>
        <w:snapToGrid w:val="0"/>
        <w:ind w:firstLine="482"/>
        <w:rPr>
          <w:rFonts w:cs="Times New Roman"/>
          <w:b/>
          <w:bCs/>
          <w:color w:val="auto"/>
          <w:highlight w:val="none"/>
        </w:rPr>
      </w:pPr>
      <w:r>
        <w:rPr>
          <w:rFonts w:cs="Times New Roman"/>
          <w:b/>
          <w:bCs/>
          <w:color w:val="auto"/>
          <w:highlight w:val="none"/>
        </w:rPr>
        <w:t>（2）评价范围</w:t>
      </w:r>
    </w:p>
    <w:p w14:paraId="66175C7B">
      <w:pPr>
        <w:pStyle w:val="589"/>
        <w:adjustRightInd w:val="0"/>
        <w:snapToGrid w:val="0"/>
        <w:ind w:firstLine="480"/>
        <w:rPr>
          <w:rFonts w:cs="Times New Roman"/>
          <w:color w:val="auto"/>
          <w:highlight w:val="none"/>
        </w:rPr>
      </w:pPr>
      <w:r>
        <w:rPr>
          <w:rFonts w:cs="Times New Roman"/>
          <w:color w:val="auto"/>
          <w:highlight w:val="none"/>
        </w:rPr>
        <w:t>根据《环境影响评价技术导则海洋 生态环境》（HJ 1409-2025），海洋生态环境影响评价范围应覆盖建设项目整体实施后可能对海洋生态环境造成影响的范围。评价范围以建设项目平面布置外缘线向外的扩展距离确定，三级评价项目在潮流主流向的扩展距离应不小于1km～5km，垂直于潮流主流向的扩展距离以不小于主流向扩展距离的1/2为宜。根据上述原则，确定海洋生态环境评价范围为项目边界向南北扩展5km、东西各扩展2.5km的范围。</w:t>
      </w:r>
    </w:p>
    <w:p w14:paraId="2943D831">
      <w:pPr>
        <w:pStyle w:val="7"/>
        <w:numPr>
          <w:ilvl w:val="2"/>
          <w:numId w:val="9"/>
        </w:numPr>
        <w:rPr>
          <w:color w:val="auto"/>
          <w:sz w:val="28"/>
          <w:highlight w:val="none"/>
        </w:rPr>
      </w:pPr>
      <w:r>
        <w:rPr>
          <w:color w:val="auto"/>
          <w:sz w:val="28"/>
          <w:highlight w:val="none"/>
        </w:rPr>
        <w:t>地下水评价等级及范围</w:t>
      </w:r>
    </w:p>
    <w:p w14:paraId="2AC98CCB">
      <w:pPr>
        <w:pStyle w:val="589"/>
        <w:ind w:firstLine="480"/>
        <w:rPr>
          <w:rFonts w:cs="Times New Roman"/>
          <w:color w:val="auto"/>
          <w:highlight w:val="none"/>
        </w:rPr>
      </w:pPr>
      <w:r>
        <w:rPr>
          <w:rFonts w:cs="Times New Roman"/>
          <w:color w:val="auto"/>
          <w:highlight w:val="none"/>
        </w:rPr>
        <w:t>本项目属于《环境影响评价技术导则 地下水环境》（HJ610-2016）附录A中“75、船舶及相关装置制造—拆船、修船”类别，属于“Ⅲ类建设项目”，由于项目浮船坞所在区域为海域，不涉及地下水影响，故本项目不进行地下水影响评价。</w:t>
      </w:r>
    </w:p>
    <w:p w14:paraId="112B1C0B">
      <w:pPr>
        <w:pStyle w:val="7"/>
        <w:numPr>
          <w:ilvl w:val="2"/>
          <w:numId w:val="9"/>
        </w:numPr>
        <w:rPr>
          <w:color w:val="auto"/>
          <w:sz w:val="28"/>
          <w:highlight w:val="none"/>
        </w:rPr>
      </w:pPr>
      <w:r>
        <w:rPr>
          <w:color w:val="auto"/>
          <w:sz w:val="28"/>
          <w:highlight w:val="none"/>
        </w:rPr>
        <w:t>声评价等级及范围</w:t>
      </w:r>
    </w:p>
    <w:p w14:paraId="3DDF92BC">
      <w:pPr>
        <w:pStyle w:val="589"/>
        <w:ind w:firstLine="480"/>
        <w:rPr>
          <w:rFonts w:cs="Times New Roman"/>
          <w:color w:val="auto"/>
          <w:highlight w:val="none"/>
        </w:rPr>
      </w:pPr>
      <w:r>
        <w:rPr>
          <w:rFonts w:cs="Times New Roman"/>
          <w:color w:val="auto"/>
          <w:highlight w:val="none"/>
        </w:rPr>
        <w:t>本项目所在地环境声功能区划属于3类区，声环境执行《声环境质量标准》（GB3096-2008）3类标准。项目主要噪声源是来往船舶、浮船坞内修船设备、码头起重机等设备噪声，项目投产后噪声级增高量在3dB(A)以下，且受影响人口变化不大，声环境影响评价工作等级为三级，评价范围为厂界外200m的范围内。</w:t>
      </w:r>
    </w:p>
    <w:p w14:paraId="450D0DBD">
      <w:pPr>
        <w:pStyle w:val="7"/>
        <w:numPr>
          <w:ilvl w:val="2"/>
          <w:numId w:val="9"/>
        </w:numPr>
        <w:rPr>
          <w:color w:val="auto"/>
          <w:sz w:val="28"/>
          <w:highlight w:val="none"/>
        </w:rPr>
      </w:pPr>
      <w:r>
        <w:rPr>
          <w:color w:val="auto"/>
          <w:sz w:val="28"/>
          <w:highlight w:val="none"/>
        </w:rPr>
        <w:t>生态评价等级及范围</w:t>
      </w:r>
    </w:p>
    <w:p w14:paraId="20D4E487">
      <w:pPr>
        <w:topLinePunct w:val="0"/>
        <w:ind w:firstLine="480"/>
        <w:rPr>
          <w:bCs/>
          <w:color w:val="auto"/>
          <w:szCs w:val="20"/>
          <w:highlight w:val="none"/>
        </w:rPr>
      </w:pPr>
      <w:r>
        <w:rPr>
          <w:bCs/>
          <w:color w:val="auto"/>
          <w:szCs w:val="20"/>
          <w:highlight w:val="none"/>
        </w:rPr>
        <w:t>本项目建设与广西壮族自治区生态环境分区管控要求、钦州市生态环境分区管控要求相符，且</w:t>
      </w:r>
      <w:r>
        <w:rPr>
          <w:color w:val="auto"/>
          <w:szCs w:val="32"/>
          <w:highlight w:val="none"/>
        </w:rPr>
        <w:t>位于“中船整合项目”用地范围内，无新增用地，</w:t>
      </w:r>
      <w:r>
        <w:rPr>
          <w:bCs/>
          <w:color w:val="auto"/>
          <w:szCs w:val="20"/>
          <w:highlight w:val="none"/>
        </w:rPr>
        <w:t>根据《环境影响评价技术导则  生态影响》（HJ19-2022），本项目可不确定评价等级，直接进行生态影响简单分析，不设生态影响评价范围</w:t>
      </w:r>
      <w:r>
        <w:rPr>
          <w:rFonts w:hint="eastAsia"/>
          <w:bCs/>
          <w:color w:val="auto"/>
          <w:szCs w:val="20"/>
          <w:highlight w:val="none"/>
        </w:rPr>
        <w:t>。</w:t>
      </w:r>
    </w:p>
    <w:p w14:paraId="224FD2DB">
      <w:pPr>
        <w:topLinePunct w:val="0"/>
        <w:ind w:firstLine="480"/>
        <w:rPr>
          <w:rFonts w:eastAsiaTheme="minorEastAsia"/>
          <w:color w:val="auto"/>
          <w:highlight w:val="none"/>
        </w:rPr>
      </w:pPr>
    </w:p>
    <w:p w14:paraId="6B58DDCB">
      <w:pPr>
        <w:pStyle w:val="7"/>
        <w:numPr>
          <w:ilvl w:val="2"/>
          <w:numId w:val="9"/>
        </w:numPr>
        <w:rPr>
          <w:color w:val="auto"/>
          <w:sz w:val="28"/>
          <w:highlight w:val="none"/>
        </w:rPr>
      </w:pPr>
      <w:r>
        <w:rPr>
          <w:color w:val="auto"/>
          <w:sz w:val="28"/>
          <w:highlight w:val="none"/>
        </w:rPr>
        <w:t>风险评价等级及范围</w:t>
      </w:r>
    </w:p>
    <w:p w14:paraId="4B41A477">
      <w:pPr>
        <w:pStyle w:val="533"/>
        <w:numPr>
          <w:ilvl w:val="3"/>
          <w:numId w:val="9"/>
        </w:numPr>
        <w:rPr>
          <w:color w:val="auto"/>
          <w:szCs w:val="24"/>
          <w:highlight w:val="none"/>
        </w:rPr>
      </w:pPr>
      <w:r>
        <w:rPr>
          <w:color w:val="auto"/>
          <w:szCs w:val="24"/>
          <w:highlight w:val="none"/>
        </w:rPr>
        <w:t>风险潜势初判</w:t>
      </w:r>
    </w:p>
    <w:p w14:paraId="304F3C7A">
      <w:pPr>
        <w:ind w:firstLine="480"/>
        <w:rPr>
          <w:color w:val="auto"/>
          <w:highlight w:val="none"/>
        </w:rPr>
      </w:pPr>
      <w:r>
        <w:rPr>
          <w:color w:val="auto"/>
          <w:highlight w:val="none"/>
        </w:rPr>
        <w:t>根据《建设项目环境风险评价技术导</w:t>
      </w:r>
      <w:r>
        <w:rPr>
          <w:color w:val="auto"/>
          <w:spacing w:val="5"/>
          <w:highlight w:val="none"/>
        </w:rPr>
        <w:t>则</w:t>
      </w:r>
      <w:r>
        <w:rPr>
          <w:color w:val="auto"/>
          <w:spacing w:val="-58"/>
          <w:highlight w:val="none"/>
        </w:rPr>
        <w:t>》</w:t>
      </w:r>
      <w:r>
        <w:rPr>
          <w:color w:val="auto"/>
          <w:highlight w:val="none"/>
        </w:rPr>
        <w:t>（H</w:t>
      </w:r>
      <w:r>
        <w:rPr>
          <w:color w:val="auto"/>
          <w:spacing w:val="-2"/>
          <w:highlight w:val="none"/>
        </w:rPr>
        <w:t>J</w:t>
      </w:r>
      <w:r>
        <w:rPr>
          <w:color w:val="auto"/>
          <w:highlight w:val="none"/>
        </w:rPr>
        <w:t>169</w:t>
      </w:r>
      <w:r>
        <w:rPr>
          <w:color w:val="auto"/>
          <w:spacing w:val="2"/>
          <w:highlight w:val="none"/>
        </w:rPr>
        <w:t>-</w:t>
      </w:r>
      <w:r>
        <w:rPr>
          <w:color w:val="auto"/>
          <w:highlight w:val="none"/>
        </w:rPr>
        <w:t>2018</w:t>
      </w:r>
      <w:r>
        <w:rPr>
          <w:color w:val="auto"/>
          <w:spacing w:val="-29"/>
          <w:highlight w:val="none"/>
        </w:rPr>
        <w:t>）：“</w:t>
      </w:r>
      <w:r>
        <w:rPr>
          <w:color w:val="auto"/>
          <w:highlight w:val="none"/>
        </w:rPr>
        <w:t>4.3 环境风险评价工作等级分为一级、二级、三级，根据建设项目涉及的物质及工艺系统危险性和所在地的环境敏感性确定环境风险潜势，按照下表确定评价工作等级。风险潜势为Ⅳ及以上，进行一级评价；风险潜势为Ⅲ，进行二级评价；风险潜势为II，进行三级评价；风险潜势为I，可开展简单分析</w:t>
      </w:r>
      <w:r>
        <w:rPr>
          <w:color w:val="auto"/>
          <w:spacing w:val="-29"/>
          <w:highlight w:val="none"/>
        </w:rPr>
        <w:t>”</w:t>
      </w:r>
      <w:r>
        <w:rPr>
          <w:color w:val="auto"/>
          <w:highlight w:val="none"/>
        </w:rPr>
        <w:t>。</w:t>
      </w:r>
    </w:p>
    <w:p w14:paraId="6ACFE697">
      <w:pPr>
        <w:pStyle w:val="38"/>
        <w:spacing w:after="0" w:line="240" w:lineRule="auto"/>
        <w:ind w:firstLine="0" w:firstLineChars="0"/>
        <w:jc w:val="center"/>
        <w:rPr>
          <w:b/>
          <w:color w:val="auto"/>
          <w:sz w:val="21"/>
          <w:szCs w:val="21"/>
          <w:highlight w:val="none"/>
        </w:rPr>
      </w:pPr>
      <w:r>
        <w:rPr>
          <w:b/>
          <w:color w:val="auto"/>
          <w:sz w:val="21"/>
          <w:szCs w:val="21"/>
          <w:highlight w:val="none"/>
        </w:rPr>
        <w:t>表1.4-7  建设项目环境风险评价等级划分</w:t>
      </w:r>
    </w:p>
    <w:tbl>
      <w:tblPr>
        <w:tblStyle w:val="92"/>
        <w:tblW w:w="5000"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1768"/>
        <w:gridCol w:w="1867"/>
        <w:gridCol w:w="1382"/>
        <w:gridCol w:w="2179"/>
        <w:gridCol w:w="1874"/>
      </w:tblGrid>
      <w:tr w14:paraId="6A60A22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975" w:type="pct"/>
            <w:vAlign w:val="center"/>
          </w:tcPr>
          <w:p w14:paraId="44CE19A1">
            <w:pPr>
              <w:pStyle w:val="523"/>
              <w:spacing w:line="240" w:lineRule="auto"/>
              <w:ind w:left="0" w:leftChars="0" w:right="0" w:rightChars="0"/>
              <w:rPr>
                <w:color w:val="auto"/>
                <w:highlight w:val="none"/>
              </w:rPr>
            </w:pPr>
            <w:r>
              <w:rPr>
                <w:color w:val="auto"/>
                <w:highlight w:val="none"/>
              </w:rPr>
              <w:t>环境风险潜势</w:t>
            </w:r>
          </w:p>
        </w:tc>
        <w:tc>
          <w:tcPr>
            <w:tcW w:w="1029" w:type="pct"/>
            <w:tcBorders>
              <w:tl2br w:val="nil"/>
              <w:tr2bl w:val="nil"/>
            </w:tcBorders>
            <w:vAlign w:val="center"/>
          </w:tcPr>
          <w:p w14:paraId="31BA092F">
            <w:pPr>
              <w:pStyle w:val="523"/>
              <w:spacing w:line="240" w:lineRule="auto"/>
              <w:ind w:left="0" w:leftChars="0" w:right="0" w:rightChars="0"/>
              <w:rPr>
                <w:color w:val="auto"/>
                <w:highlight w:val="none"/>
              </w:rPr>
            </w:pPr>
            <w:r>
              <w:rPr>
                <w:color w:val="auto"/>
                <w:highlight w:val="none"/>
              </w:rPr>
              <w:t>Ⅳ、Ⅳ</w:t>
            </w:r>
            <w:r>
              <w:rPr>
                <w:color w:val="auto"/>
                <w:highlight w:val="none"/>
                <w:vertAlign w:val="superscript"/>
              </w:rPr>
              <w:t>+</w:t>
            </w:r>
          </w:p>
        </w:tc>
        <w:tc>
          <w:tcPr>
            <w:tcW w:w="762" w:type="pct"/>
            <w:tcBorders>
              <w:tl2br w:val="nil"/>
              <w:tr2bl w:val="nil"/>
            </w:tcBorders>
            <w:vAlign w:val="center"/>
          </w:tcPr>
          <w:p w14:paraId="48FF25CB">
            <w:pPr>
              <w:pStyle w:val="523"/>
              <w:spacing w:line="240" w:lineRule="auto"/>
              <w:ind w:left="0" w:leftChars="0" w:right="0" w:rightChars="0"/>
              <w:rPr>
                <w:color w:val="auto"/>
                <w:highlight w:val="none"/>
              </w:rPr>
            </w:pPr>
            <w:r>
              <w:rPr>
                <w:color w:val="auto"/>
                <w:highlight w:val="none"/>
              </w:rPr>
              <w:t>Ⅲ</w:t>
            </w:r>
          </w:p>
        </w:tc>
        <w:tc>
          <w:tcPr>
            <w:tcW w:w="1201" w:type="pct"/>
            <w:tcBorders>
              <w:tl2br w:val="nil"/>
              <w:tr2bl w:val="nil"/>
            </w:tcBorders>
            <w:vAlign w:val="center"/>
          </w:tcPr>
          <w:p w14:paraId="7F59AECA">
            <w:pPr>
              <w:pStyle w:val="523"/>
              <w:spacing w:line="240" w:lineRule="auto"/>
              <w:ind w:left="0" w:leftChars="0" w:right="0" w:rightChars="0"/>
              <w:rPr>
                <w:color w:val="auto"/>
                <w:highlight w:val="none"/>
              </w:rPr>
            </w:pPr>
            <w:r>
              <w:rPr>
                <w:color w:val="auto"/>
                <w:highlight w:val="none"/>
              </w:rPr>
              <w:t>II</w:t>
            </w:r>
          </w:p>
        </w:tc>
        <w:tc>
          <w:tcPr>
            <w:tcW w:w="1033" w:type="pct"/>
            <w:tcBorders>
              <w:tl2br w:val="nil"/>
              <w:tr2bl w:val="nil"/>
            </w:tcBorders>
            <w:vAlign w:val="center"/>
          </w:tcPr>
          <w:p w14:paraId="2E93779E">
            <w:pPr>
              <w:pStyle w:val="523"/>
              <w:spacing w:line="240" w:lineRule="auto"/>
              <w:ind w:left="0" w:leftChars="0" w:right="0" w:rightChars="0"/>
              <w:rPr>
                <w:color w:val="auto"/>
                <w:highlight w:val="none"/>
              </w:rPr>
            </w:pPr>
            <w:r>
              <w:rPr>
                <w:color w:val="auto"/>
                <w:highlight w:val="none"/>
              </w:rPr>
              <w:t>I</w:t>
            </w:r>
          </w:p>
        </w:tc>
      </w:tr>
      <w:tr w14:paraId="6C1A2E0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975" w:type="pct"/>
            <w:tcBorders>
              <w:tl2br w:val="nil"/>
              <w:tr2bl w:val="nil"/>
            </w:tcBorders>
            <w:vAlign w:val="center"/>
          </w:tcPr>
          <w:p w14:paraId="183A2730">
            <w:pPr>
              <w:pStyle w:val="523"/>
              <w:spacing w:line="240" w:lineRule="auto"/>
              <w:ind w:left="0" w:leftChars="0" w:right="0" w:rightChars="0"/>
              <w:rPr>
                <w:color w:val="auto"/>
                <w:highlight w:val="none"/>
              </w:rPr>
            </w:pPr>
            <w:r>
              <w:rPr>
                <w:color w:val="auto"/>
                <w:highlight w:val="none"/>
              </w:rPr>
              <w:t>评价工作等级</w:t>
            </w:r>
          </w:p>
        </w:tc>
        <w:tc>
          <w:tcPr>
            <w:tcW w:w="1029" w:type="pct"/>
            <w:tcBorders>
              <w:tl2br w:val="nil"/>
              <w:tr2bl w:val="nil"/>
            </w:tcBorders>
            <w:vAlign w:val="center"/>
          </w:tcPr>
          <w:p w14:paraId="09FE0E91">
            <w:pPr>
              <w:pStyle w:val="523"/>
              <w:spacing w:line="240" w:lineRule="auto"/>
              <w:ind w:left="0" w:leftChars="0" w:right="0" w:rightChars="0"/>
              <w:rPr>
                <w:color w:val="auto"/>
                <w:highlight w:val="none"/>
              </w:rPr>
            </w:pPr>
            <w:r>
              <w:rPr>
                <w:color w:val="auto"/>
                <w:highlight w:val="none"/>
              </w:rPr>
              <w:t>一</w:t>
            </w:r>
          </w:p>
        </w:tc>
        <w:tc>
          <w:tcPr>
            <w:tcW w:w="762" w:type="pct"/>
            <w:tcBorders>
              <w:tl2br w:val="nil"/>
              <w:tr2bl w:val="nil"/>
            </w:tcBorders>
            <w:vAlign w:val="center"/>
          </w:tcPr>
          <w:p w14:paraId="72819801">
            <w:pPr>
              <w:pStyle w:val="523"/>
              <w:spacing w:line="240" w:lineRule="auto"/>
              <w:ind w:left="0" w:leftChars="0" w:right="0" w:rightChars="0"/>
              <w:rPr>
                <w:color w:val="auto"/>
                <w:highlight w:val="none"/>
              </w:rPr>
            </w:pPr>
            <w:r>
              <w:rPr>
                <w:color w:val="auto"/>
                <w:highlight w:val="none"/>
              </w:rPr>
              <w:t>二</w:t>
            </w:r>
          </w:p>
        </w:tc>
        <w:tc>
          <w:tcPr>
            <w:tcW w:w="1201" w:type="pct"/>
            <w:tcBorders>
              <w:tl2br w:val="nil"/>
              <w:tr2bl w:val="nil"/>
            </w:tcBorders>
            <w:vAlign w:val="center"/>
          </w:tcPr>
          <w:p w14:paraId="70B15B91">
            <w:pPr>
              <w:pStyle w:val="523"/>
              <w:spacing w:line="240" w:lineRule="auto"/>
              <w:ind w:left="0" w:leftChars="0" w:right="0" w:rightChars="0"/>
              <w:rPr>
                <w:color w:val="auto"/>
                <w:highlight w:val="none"/>
              </w:rPr>
            </w:pPr>
            <w:r>
              <w:rPr>
                <w:color w:val="auto"/>
                <w:highlight w:val="none"/>
              </w:rPr>
              <w:t>三</w:t>
            </w:r>
          </w:p>
        </w:tc>
        <w:tc>
          <w:tcPr>
            <w:tcW w:w="1033" w:type="pct"/>
            <w:tcBorders>
              <w:tl2br w:val="nil"/>
              <w:tr2bl w:val="nil"/>
            </w:tcBorders>
            <w:vAlign w:val="center"/>
          </w:tcPr>
          <w:p w14:paraId="5F12B798">
            <w:pPr>
              <w:pStyle w:val="523"/>
              <w:spacing w:line="240" w:lineRule="auto"/>
              <w:ind w:left="0" w:leftChars="0" w:right="0" w:rightChars="0"/>
              <w:rPr>
                <w:color w:val="auto"/>
                <w:highlight w:val="none"/>
              </w:rPr>
            </w:pPr>
            <w:r>
              <w:rPr>
                <w:color w:val="auto"/>
                <w:highlight w:val="none"/>
              </w:rPr>
              <w:t>简单分析a</w:t>
            </w:r>
          </w:p>
        </w:tc>
      </w:tr>
      <w:tr w14:paraId="193FED9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5000" w:type="pct"/>
            <w:gridSpan w:val="5"/>
            <w:tcBorders>
              <w:tl2br w:val="nil"/>
              <w:tr2bl w:val="nil"/>
            </w:tcBorders>
            <w:vAlign w:val="center"/>
          </w:tcPr>
          <w:p w14:paraId="43651E15">
            <w:pPr>
              <w:pStyle w:val="523"/>
              <w:spacing w:line="240" w:lineRule="auto"/>
              <w:ind w:left="0" w:leftChars="0" w:right="0" w:rightChars="0"/>
              <w:jc w:val="left"/>
              <w:rPr>
                <w:color w:val="auto"/>
                <w:highlight w:val="none"/>
              </w:rPr>
            </w:pPr>
            <w:r>
              <w:rPr>
                <w:color w:val="auto"/>
                <w:highlight w:val="none"/>
              </w:rPr>
              <w:t>a是相对于详细评价工作内容而言，在描述危险物质、环境影响途径、环境危害后果、风险防范措施等方面给出定性的说明。见附录A。</w:t>
            </w:r>
          </w:p>
        </w:tc>
      </w:tr>
    </w:tbl>
    <w:p w14:paraId="4489704C">
      <w:pPr>
        <w:ind w:firstLine="480"/>
        <w:rPr>
          <w:color w:val="auto"/>
          <w:highlight w:val="none"/>
        </w:rPr>
      </w:pPr>
    </w:p>
    <w:p w14:paraId="67A5FC48">
      <w:pPr>
        <w:pStyle w:val="533"/>
        <w:numPr>
          <w:ilvl w:val="3"/>
          <w:numId w:val="9"/>
        </w:numPr>
        <w:rPr>
          <w:color w:val="auto"/>
          <w:szCs w:val="24"/>
          <w:highlight w:val="none"/>
        </w:rPr>
      </w:pPr>
      <w:r>
        <w:rPr>
          <w:color w:val="auto"/>
          <w:szCs w:val="24"/>
          <w:highlight w:val="none"/>
        </w:rPr>
        <w:t>环境风险潜势划分</w:t>
      </w:r>
    </w:p>
    <w:p w14:paraId="65CC4CD7">
      <w:pPr>
        <w:ind w:firstLine="480"/>
        <w:rPr>
          <w:color w:val="auto"/>
          <w:highlight w:val="none"/>
        </w:rPr>
      </w:pPr>
      <w:r>
        <w:rPr>
          <w:color w:val="auto"/>
          <w:highlight w:val="none"/>
        </w:rPr>
        <w:t>建设项目环境风险潜势划分为Ⅰ、Ⅱ、Ⅲ、Ⅳ/Ⅳ</w:t>
      </w:r>
      <w:r>
        <w:rPr>
          <w:color w:val="auto"/>
          <w:highlight w:val="none"/>
          <w:vertAlign w:val="superscript"/>
        </w:rPr>
        <w:t>+</w:t>
      </w:r>
      <w:r>
        <w:rPr>
          <w:color w:val="auto"/>
          <w:highlight w:val="none"/>
        </w:rPr>
        <w:t>级。根据建设项目涉及的物质和工艺系统的危险性及其所在地的环境敏感程度，结合事故情形下环境影响途径，对建设项目潜在环境危害程度进行概化分析，项目环境风险潜势划分见表1.4-8。</w:t>
      </w:r>
    </w:p>
    <w:p w14:paraId="69ACC984">
      <w:pPr>
        <w:pStyle w:val="38"/>
        <w:spacing w:after="0" w:line="240" w:lineRule="auto"/>
        <w:ind w:firstLine="0" w:firstLineChars="0"/>
        <w:jc w:val="center"/>
        <w:rPr>
          <w:b/>
          <w:color w:val="auto"/>
          <w:sz w:val="21"/>
          <w:szCs w:val="21"/>
          <w:highlight w:val="none"/>
        </w:rPr>
      </w:pPr>
    </w:p>
    <w:p w14:paraId="24BBBEFF">
      <w:pPr>
        <w:pStyle w:val="38"/>
        <w:spacing w:after="0" w:line="240" w:lineRule="auto"/>
        <w:ind w:firstLine="0" w:firstLineChars="0"/>
        <w:jc w:val="center"/>
        <w:rPr>
          <w:b/>
          <w:color w:val="auto"/>
          <w:sz w:val="21"/>
          <w:szCs w:val="21"/>
          <w:highlight w:val="none"/>
        </w:rPr>
      </w:pPr>
    </w:p>
    <w:p w14:paraId="519B01A5">
      <w:pPr>
        <w:pStyle w:val="38"/>
        <w:spacing w:after="0" w:line="240" w:lineRule="auto"/>
        <w:ind w:firstLine="0" w:firstLineChars="0"/>
        <w:jc w:val="center"/>
        <w:rPr>
          <w:b/>
          <w:color w:val="auto"/>
          <w:sz w:val="21"/>
          <w:szCs w:val="21"/>
          <w:highlight w:val="none"/>
        </w:rPr>
      </w:pPr>
    </w:p>
    <w:p w14:paraId="429AFBF2">
      <w:pPr>
        <w:pStyle w:val="38"/>
        <w:spacing w:after="0" w:line="240" w:lineRule="auto"/>
        <w:ind w:firstLine="0" w:firstLineChars="0"/>
        <w:jc w:val="center"/>
        <w:rPr>
          <w:b/>
          <w:color w:val="auto"/>
          <w:sz w:val="21"/>
          <w:szCs w:val="21"/>
          <w:highlight w:val="none"/>
        </w:rPr>
      </w:pPr>
      <w:r>
        <w:rPr>
          <w:b/>
          <w:color w:val="auto"/>
          <w:sz w:val="21"/>
          <w:szCs w:val="21"/>
          <w:highlight w:val="none"/>
        </w:rPr>
        <w:t>表1.4-8  建设项目环境风险潜势划分</w:t>
      </w:r>
    </w:p>
    <w:tbl>
      <w:tblPr>
        <w:tblStyle w:val="92"/>
        <w:tblW w:w="5000"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2683"/>
        <w:gridCol w:w="1567"/>
        <w:gridCol w:w="1613"/>
        <w:gridCol w:w="1582"/>
        <w:gridCol w:w="1625"/>
      </w:tblGrid>
      <w:tr w14:paraId="6F92DDB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2" w:hRule="atLeast"/>
        </w:trPr>
        <w:tc>
          <w:tcPr>
            <w:tcW w:w="1479" w:type="pct"/>
            <w:vMerge w:val="restart"/>
            <w:vAlign w:val="center"/>
          </w:tcPr>
          <w:p w14:paraId="4EC0470F">
            <w:pPr>
              <w:pStyle w:val="523"/>
              <w:spacing w:line="240" w:lineRule="auto"/>
              <w:ind w:left="0" w:leftChars="0" w:right="0" w:rightChars="0"/>
              <w:rPr>
                <w:b/>
                <w:bCs w:val="0"/>
                <w:color w:val="auto"/>
                <w:highlight w:val="none"/>
              </w:rPr>
            </w:pPr>
            <w:r>
              <w:rPr>
                <w:b/>
                <w:bCs w:val="0"/>
                <w:color w:val="auto"/>
                <w:highlight w:val="none"/>
              </w:rPr>
              <w:t>环境敏感程度（E）</w:t>
            </w:r>
          </w:p>
        </w:tc>
        <w:tc>
          <w:tcPr>
            <w:tcW w:w="3521" w:type="pct"/>
            <w:gridSpan w:val="4"/>
            <w:tcBorders>
              <w:tl2br w:val="nil"/>
              <w:tr2bl w:val="nil"/>
            </w:tcBorders>
            <w:vAlign w:val="center"/>
          </w:tcPr>
          <w:p w14:paraId="4172E39D">
            <w:pPr>
              <w:pStyle w:val="523"/>
              <w:spacing w:line="240" w:lineRule="auto"/>
              <w:ind w:left="0" w:leftChars="0" w:right="0" w:rightChars="0"/>
              <w:rPr>
                <w:b/>
                <w:bCs w:val="0"/>
                <w:color w:val="auto"/>
                <w:highlight w:val="none"/>
              </w:rPr>
            </w:pPr>
            <w:r>
              <w:rPr>
                <w:b/>
                <w:bCs w:val="0"/>
                <w:color w:val="auto"/>
                <w:highlight w:val="none"/>
              </w:rPr>
              <w:t>危险物质及工艺系统危险性（P）</w:t>
            </w:r>
          </w:p>
        </w:tc>
      </w:tr>
      <w:tr w14:paraId="0B8EF96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2" w:hRule="atLeast"/>
        </w:trPr>
        <w:tc>
          <w:tcPr>
            <w:tcW w:w="1479" w:type="pct"/>
            <w:vMerge w:val="continue"/>
            <w:vAlign w:val="center"/>
          </w:tcPr>
          <w:p w14:paraId="7050B3F5">
            <w:pPr>
              <w:pStyle w:val="523"/>
              <w:spacing w:line="240" w:lineRule="auto"/>
              <w:ind w:left="0" w:leftChars="0" w:right="0" w:rightChars="0"/>
              <w:rPr>
                <w:b/>
                <w:bCs w:val="0"/>
                <w:color w:val="auto"/>
                <w:highlight w:val="none"/>
              </w:rPr>
            </w:pPr>
          </w:p>
        </w:tc>
        <w:tc>
          <w:tcPr>
            <w:tcW w:w="864" w:type="pct"/>
            <w:tcBorders>
              <w:tl2br w:val="nil"/>
              <w:tr2bl w:val="nil"/>
            </w:tcBorders>
            <w:vAlign w:val="center"/>
          </w:tcPr>
          <w:p w14:paraId="6314AF38">
            <w:pPr>
              <w:pStyle w:val="523"/>
              <w:spacing w:line="240" w:lineRule="auto"/>
              <w:ind w:left="0" w:leftChars="0" w:right="0" w:rightChars="0"/>
              <w:rPr>
                <w:b/>
                <w:bCs w:val="0"/>
                <w:color w:val="auto"/>
                <w:highlight w:val="none"/>
              </w:rPr>
            </w:pPr>
            <w:r>
              <w:rPr>
                <w:b/>
                <w:bCs w:val="0"/>
                <w:color w:val="auto"/>
                <w:highlight w:val="none"/>
              </w:rPr>
              <w:t>极高危害（P1）</w:t>
            </w:r>
          </w:p>
        </w:tc>
        <w:tc>
          <w:tcPr>
            <w:tcW w:w="889" w:type="pct"/>
            <w:tcBorders>
              <w:tl2br w:val="nil"/>
              <w:tr2bl w:val="nil"/>
            </w:tcBorders>
            <w:vAlign w:val="center"/>
          </w:tcPr>
          <w:p w14:paraId="2B92E2DE">
            <w:pPr>
              <w:pStyle w:val="523"/>
              <w:spacing w:line="240" w:lineRule="auto"/>
              <w:ind w:left="0" w:leftChars="0" w:right="0" w:rightChars="0"/>
              <w:rPr>
                <w:b/>
                <w:bCs w:val="0"/>
                <w:color w:val="auto"/>
                <w:highlight w:val="none"/>
              </w:rPr>
            </w:pPr>
            <w:r>
              <w:rPr>
                <w:b/>
                <w:bCs w:val="0"/>
                <w:color w:val="auto"/>
                <w:highlight w:val="none"/>
              </w:rPr>
              <w:t>高度危害（P2）</w:t>
            </w:r>
          </w:p>
        </w:tc>
        <w:tc>
          <w:tcPr>
            <w:tcW w:w="872" w:type="pct"/>
            <w:tcBorders>
              <w:tl2br w:val="nil"/>
              <w:tr2bl w:val="nil"/>
            </w:tcBorders>
            <w:vAlign w:val="center"/>
          </w:tcPr>
          <w:p w14:paraId="3D162B3A">
            <w:pPr>
              <w:pStyle w:val="523"/>
              <w:spacing w:line="240" w:lineRule="auto"/>
              <w:ind w:left="0" w:leftChars="0" w:right="0" w:rightChars="0"/>
              <w:rPr>
                <w:b/>
                <w:bCs w:val="0"/>
                <w:color w:val="auto"/>
                <w:highlight w:val="none"/>
              </w:rPr>
            </w:pPr>
            <w:r>
              <w:rPr>
                <w:b/>
                <w:bCs w:val="0"/>
                <w:color w:val="auto"/>
                <w:highlight w:val="none"/>
              </w:rPr>
              <w:t>中度危害（P3）</w:t>
            </w:r>
          </w:p>
        </w:tc>
        <w:tc>
          <w:tcPr>
            <w:tcW w:w="897" w:type="pct"/>
            <w:tcBorders>
              <w:tl2br w:val="nil"/>
              <w:tr2bl w:val="nil"/>
            </w:tcBorders>
            <w:vAlign w:val="center"/>
          </w:tcPr>
          <w:p w14:paraId="16851BFA">
            <w:pPr>
              <w:pStyle w:val="523"/>
              <w:spacing w:line="240" w:lineRule="auto"/>
              <w:ind w:left="0" w:leftChars="0" w:right="0" w:rightChars="0"/>
              <w:rPr>
                <w:b/>
                <w:bCs w:val="0"/>
                <w:color w:val="auto"/>
                <w:highlight w:val="none"/>
              </w:rPr>
            </w:pPr>
            <w:r>
              <w:rPr>
                <w:b/>
                <w:bCs w:val="0"/>
                <w:color w:val="auto"/>
                <w:highlight w:val="none"/>
              </w:rPr>
              <w:t>轻度危害（P4）</w:t>
            </w:r>
          </w:p>
        </w:tc>
      </w:tr>
      <w:tr w14:paraId="06E7E0D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2" w:hRule="atLeast"/>
        </w:trPr>
        <w:tc>
          <w:tcPr>
            <w:tcW w:w="1479" w:type="pct"/>
            <w:tcBorders>
              <w:tl2br w:val="nil"/>
              <w:tr2bl w:val="nil"/>
            </w:tcBorders>
            <w:vAlign w:val="center"/>
          </w:tcPr>
          <w:p w14:paraId="07018A28">
            <w:pPr>
              <w:pStyle w:val="523"/>
              <w:spacing w:line="240" w:lineRule="auto"/>
              <w:ind w:left="0" w:leftChars="0" w:right="0" w:rightChars="0"/>
              <w:rPr>
                <w:color w:val="auto"/>
                <w:highlight w:val="none"/>
              </w:rPr>
            </w:pPr>
            <w:r>
              <w:rPr>
                <w:color w:val="auto"/>
                <w:highlight w:val="none"/>
              </w:rPr>
              <w:t>环境高度敏感区（E1）</w:t>
            </w:r>
          </w:p>
        </w:tc>
        <w:tc>
          <w:tcPr>
            <w:tcW w:w="864" w:type="pct"/>
            <w:tcBorders>
              <w:tl2br w:val="nil"/>
              <w:tr2bl w:val="nil"/>
            </w:tcBorders>
            <w:vAlign w:val="center"/>
          </w:tcPr>
          <w:p w14:paraId="611DCF6F">
            <w:pPr>
              <w:pStyle w:val="523"/>
              <w:spacing w:line="240" w:lineRule="auto"/>
              <w:ind w:left="0" w:leftChars="0" w:right="0" w:rightChars="0"/>
              <w:rPr>
                <w:color w:val="auto"/>
                <w:highlight w:val="none"/>
              </w:rPr>
            </w:pPr>
            <w:r>
              <w:rPr>
                <w:color w:val="auto"/>
                <w:highlight w:val="none"/>
              </w:rPr>
              <w:t>Ⅳ+</w:t>
            </w:r>
          </w:p>
        </w:tc>
        <w:tc>
          <w:tcPr>
            <w:tcW w:w="889" w:type="pct"/>
            <w:tcBorders>
              <w:tl2br w:val="nil"/>
              <w:tr2bl w:val="nil"/>
            </w:tcBorders>
            <w:vAlign w:val="center"/>
          </w:tcPr>
          <w:p w14:paraId="4FABCA49">
            <w:pPr>
              <w:pStyle w:val="523"/>
              <w:spacing w:line="240" w:lineRule="auto"/>
              <w:ind w:left="0" w:leftChars="0" w:right="0" w:rightChars="0"/>
              <w:rPr>
                <w:color w:val="auto"/>
                <w:highlight w:val="none"/>
              </w:rPr>
            </w:pPr>
            <w:r>
              <w:rPr>
                <w:color w:val="auto"/>
                <w:highlight w:val="none"/>
              </w:rPr>
              <w:t>Ⅳ</w:t>
            </w:r>
          </w:p>
        </w:tc>
        <w:tc>
          <w:tcPr>
            <w:tcW w:w="872" w:type="pct"/>
            <w:tcBorders>
              <w:tl2br w:val="nil"/>
              <w:tr2bl w:val="nil"/>
            </w:tcBorders>
            <w:vAlign w:val="center"/>
          </w:tcPr>
          <w:p w14:paraId="0C7C411E">
            <w:pPr>
              <w:pStyle w:val="523"/>
              <w:spacing w:line="240" w:lineRule="auto"/>
              <w:ind w:left="0" w:leftChars="0" w:right="0" w:rightChars="0"/>
              <w:rPr>
                <w:color w:val="auto"/>
                <w:highlight w:val="none"/>
              </w:rPr>
            </w:pPr>
            <w:r>
              <w:rPr>
                <w:color w:val="auto"/>
                <w:highlight w:val="none"/>
              </w:rPr>
              <w:t>Ⅲ</w:t>
            </w:r>
          </w:p>
        </w:tc>
        <w:tc>
          <w:tcPr>
            <w:tcW w:w="897" w:type="pct"/>
            <w:tcBorders>
              <w:tl2br w:val="nil"/>
              <w:tr2bl w:val="nil"/>
            </w:tcBorders>
            <w:vAlign w:val="center"/>
          </w:tcPr>
          <w:p w14:paraId="15DAD346">
            <w:pPr>
              <w:pStyle w:val="523"/>
              <w:spacing w:line="240" w:lineRule="auto"/>
              <w:ind w:left="0" w:leftChars="0" w:right="0" w:rightChars="0"/>
              <w:rPr>
                <w:color w:val="auto"/>
                <w:highlight w:val="none"/>
              </w:rPr>
            </w:pPr>
            <w:r>
              <w:rPr>
                <w:color w:val="auto"/>
                <w:highlight w:val="none"/>
              </w:rPr>
              <w:t>Ⅲ</w:t>
            </w:r>
          </w:p>
        </w:tc>
      </w:tr>
      <w:tr w14:paraId="7A16B00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2" w:hRule="atLeast"/>
        </w:trPr>
        <w:tc>
          <w:tcPr>
            <w:tcW w:w="1479" w:type="pct"/>
            <w:tcBorders>
              <w:tl2br w:val="nil"/>
              <w:tr2bl w:val="nil"/>
            </w:tcBorders>
            <w:vAlign w:val="center"/>
          </w:tcPr>
          <w:p w14:paraId="08A8C191">
            <w:pPr>
              <w:pStyle w:val="523"/>
              <w:spacing w:line="240" w:lineRule="auto"/>
              <w:ind w:left="0" w:leftChars="0" w:right="0" w:rightChars="0"/>
              <w:rPr>
                <w:color w:val="auto"/>
                <w:highlight w:val="none"/>
              </w:rPr>
            </w:pPr>
            <w:r>
              <w:rPr>
                <w:color w:val="auto"/>
                <w:highlight w:val="none"/>
              </w:rPr>
              <w:t>环境中度敏感区（E2）</w:t>
            </w:r>
          </w:p>
        </w:tc>
        <w:tc>
          <w:tcPr>
            <w:tcW w:w="864" w:type="pct"/>
            <w:tcBorders>
              <w:tl2br w:val="nil"/>
              <w:tr2bl w:val="nil"/>
            </w:tcBorders>
            <w:vAlign w:val="center"/>
          </w:tcPr>
          <w:p w14:paraId="4D169305">
            <w:pPr>
              <w:pStyle w:val="523"/>
              <w:spacing w:line="240" w:lineRule="auto"/>
              <w:ind w:left="0" w:leftChars="0" w:right="0" w:rightChars="0"/>
              <w:rPr>
                <w:color w:val="auto"/>
                <w:highlight w:val="none"/>
              </w:rPr>
            </w:pPr>
            <w:r>
              <w:rPr>
                <w:color w:val="auto"/>
                <w:highlight w:val="none"/>
              </w:rPr>
              <w:t>Ⅳ</w:t>
            </w:r>
          </w:p>
        </w:tc>
        <w:tc>
          <w:tcPr>
            <w:tcW w:w="889" w:type="pct"/>
            <w:tcBorders>
              <w:tl2br w:val="nil"/>
              <w:tr2bl w:val="nil"/>
            </w:tcBorders>
            <w:vAlign w:val="center"/>
          </w:tcPr>
          <w:p w14:paraId="7612FB42">
            <w:pPr>
              <w:pStyle w:val="523"/>
              <w:spacing w:line="240" w:lineRule="auto"/>
              <w:ind w:left="0" w:leftChars="0" w:right="0" w:rightChars="0"/>
              <w:rPr>
                <w:color w:val="auto"/>
                <w:highlight w:val="none"/>
              </w:rPr>
            </w:pPr>
            <w:r>
              <w:rPr>
                <w:color w:val="auto"/>
                <w:highlight w:val="none"/>
              </w:rPr>
              <w:t>Ⅲ</w:t>
            </w:r>
          </w:p>
        </w:tc>
        <w:tc>
          <w:tcPr>
            <w:tcW w:w="872" w:type="pct"/>
            <w:tcBorders>
              <w:tl2br w:val="nil"/>
              <w:tr2bl w:val="nil"/>
            </w:tcBorders>
            <w:vAlign w:val="center"/>
          </w:tcPr>
          <w:p w14:paraId="513E0804">
            <w:pPr>
              <w:pStyle w:val="523"/>
              <w:spacing w:line="240" w:lineRule="auto"/>
              <w:ind w:left="0" w:leftChars="0" w:right="0" w:rightChars="0"/>
              <w:rPr>
                <w:color w:val="auto"/>
                <w:highlight w:val="none"/>
              </w:rPr>
            </w:pPr>
            <w:r>
              <w:rPr>
                <w:color w:val="auto"/>
                <w:highlight w:val="none"/>
              </w:rPr>
              <w:t>Ⅲ</w:t>
            </w:r>
          </w:p>
        </w:tc>
        <w:tc>
          <w:tcPr>
            <w:tcW w:w="897" w:type="pct"/>
            <w:tcBorders>
              <w:tl2br w:val="nil"/>
              <w:tr2bl w:val="nil"/>
            </w:tcBorders>
            <w:vAlign w:val="center"/>
          </w:tcPr>
          <w:p w14:paraId="53C650CD">
            <w:pPr>
              <w:pStyle w:val="523"/>
              <w:spacing w:line="240" w:lineRule="auto"/>
              <w:ind w:left="0" w:leftChars="0" w:right="0" w:rightChars="0"/>
              <w:rPr>
                <w:color w:val="auto"/>
                <w:highlight w:val="none"/>
              </w:rPr>
            </w:pPr>
            <w:r>
              <w:rPr>
                <w:color w:val="auto"/>
                <w:highlight w:val="none"/>
              </w:rPr>
              <w:t>II</w:t>
            </w:r>
          </w:p>
        </w:tc>
      </w:tr>
      <w:tr w14:paraId="11F015B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2" w:hRule="atLeast"/>
        </w:trPr>
        <w:tc>
          <w:tcPr>
            <w:tcW w:w="1479" w:type="pct"/>
            <w:tcBorders>
              <w:tl2br w:val="nil"/>
              <w:tr2bl w:val="nil"/>
            </w:tcBorders>
            <w:vAlign w:val="center"/>
          </w:tcPr>
          <w:p w14:paraId="536BB111">
            <w:pPr>
              <w:pStyle w:val="523"/>
              <w:spacing w:line="240" w:lineRule="auto"/>
              <w:ind w:left="0" w:leftChars="0" w:right="0" w:rightChars="0"/>
              <w:rPr>
                <w:color w:val="auto"/>
                <w:highlight w:val="none"/>
              </w:rPr>
            </w:pPr>
            <w:r>
              <w:rPr>
                <w:color w:val="auto"/>
                <w:highlight w:val="none"/>
              </w:rPr>
              <w:t>环境低度敏感区（E3）</w:t>
            </w:r>
          </w:p>
        </w:tc>
        <w:tc>
          <w:tcPr>
            <w:tcW w:w="864" w:type="pct"/>
            <w:tcBorders>
              <w:tl2br w:val="nil"/>
              <w:tr2bl w:val="nil"/>
            </w:tcBorders>
            <w:vAlign w:val="center"/>
          </w:tcPr>
          <w:p w14:paraId="6574BFC0">
            <w:pPr>
              <w:pStyle w:val="523"/>
              <w:spacing w:line="240" w:lineRule="auto"/>
              <w:ind w:left="0" w:leftChars="0" w:right="0" w:rightChars="0"/>
              <w:rPr>
                <w:color w:val="auto"/>
                <w:highlight w:val="none"/>
              </w:rPr>
            </w:pPr>
            <w:r>
              <w:rPr>
                <w:color w:val="auto"/>
                <w:highlight w:val="none"/>
              </w:rPr>
              <w:t>Ⅲ</w:t>
            </w:r>
          </w:p>
        </w:tc>
        <w:tc>
          <w:tcPr>
            <w:tcW w:w="889" w:type="pct"/>
            <w:tcBorders>
              <w:tl2br w:val="nil"/>
              <w:tr2bl w:val="nil"/>
            </w:tcBorders>
            <w:vAlign w:val="center"/>
          </w:tcPr>
          <w:p w14:paraId="4AED1C24">
            <w:pPr>
              <w:pStyle w:val="523"/>
              <w:spacing w:line="240" w:lineRule="auto"/>
              <w:ind w:left="0" w:leftChars="0" w:right="0" w:rightChars="0"/>
              <w:rPr>
                <w:color w:val="auto"/>
                <w:highlight w:val="none"/>
              </w:rPr>
            </w:pPr>
            <w:r>
              <w:rPr>
                <w:color w:val="auto"/>
                <w:highlight w:val="none"/>
              </w:rPr>
              <w:t>Ⅲ</w:t>
            </w:r>
          </w:p>
        </w:tc>
        <w:tc>
          <w:tcPr>
            <w:tcW w:w="872" w:type="pct"/>
            <w:tcBorders>
              <w:tl2br w:val="nil"/>
              <w:tr2bl w:val="nil"/>
            </w:tcBorders>
            <w:vAlign w:val="center"/>
          </w:tcPr>
          <w:p w14:paraId="055D606E">
            <w:pPr>
              <w:pStyle w:val="523"/>
              <w:spacing w:line="240" w:lineRule="auto"/>
              <w:ind w:left="0" w:leftChars="0" w:right="0" w:rightChars="0"/>
              <w:rPr>
                <w:color w:val="auto"/>
                <w:highlight w:val="none"/>
              </w:rPr>
            </w:pPr>
            <w:r>
              <w:rPr>
                <w:color w:val="auto"/>
                <w:highlight w:val="none"/>
              </w:rPr>
              <w:t>II</w:t>
            </w:r>
          </w:p>
        </w:tc>
        <w:tc>
          <w:tcPr>
            <w:tcW w:w="897" w:type="pct"/>
            <w:tcBorders>
              <w:tl2br w:val="nil"/>
              <w:tr2bl w:val="nil"/>
            </w:tcBorders>
            <w:vAlign w:val="center"/>
          </w:tcPr>
          <w:p w14:paraId="6A491D25">
            <w:pPr>
              <w:pStyle w:val="523"/>
              <w:spacing w:line="240" w:lineRule="auto"/>
              <w:ind w:left="0" w:leftChars="0" w:right="0" w:rightChars="0"/>
              <w:rPr>
                <w:color w:val="auto"/>
                <w:highlight w:val="none"/>
              </w:rPr>
            </w:pPr>
            <w:r>
              <w:rPr>
                <w:color w:val="auto"/>
                <w:highlight w:val="none"/>
              </w:rPr>
              <w:t>I</w:t>
            </w:r>
          </w:p>
        </w:tc>
      </w:tr>
      <w:tr w14:paraId="52875DE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2" w:hRule="atLeast"/>
        </w:trPr>
        <w:tc>
          <w:tcPr>
            <w:tcW w:w="5000" w:type="pct"/>
            <w:gridSpan w:val="5"/>
            <w:tcBorders>
              <w:tl2br w:val="nil"/>
              <w:tr2bl w:val="nil"/>
            </w:tcBorders>
            <w:vAlign w:val="center"/>
          </w:tcPr>
          <w:p w14:paraId="427D0DCE">
            <w:pPr>
              <w:pStyle w:val="523"/>
              <w:spacing w:line="240" w:lineRule="auto"/>
              <w:ind w:left="0" w:leftChars="0" w:right="0" w:rightChars="0"/>
              <w:rPr>
                <w:color w:val="auto"/>
                <w:highlight w:val="none"/>
              </w:rPr>
            </w:pPr>
            <w:r>
              <w:rPr>
                <w:color w:val="auto"/>
                <w:highlight w:val="none"/>
              </w:rPr>
              <w:t>注：Ⅳ+为极高环境风险</w:t>
            </w:r>
          </w:p>
        </w:tc>
      </w:tr>
    </w:tbl>
    <w:p w14:paraId="2E29EDAA">
      <w:pPr>
        <w:spacing w:before="120" w:beforeLines="50"/>
        <w:ind w:firstLine="480"/>
        <w:rPr>
          <w:color w:val="auto"/>
          <w:highlight w:val="none"/>
        </w:rPr>
      </w:pPr>
      <w:r>
        <w:rPr>
          <w:color w:val="auto"/>
          <w:highlight w:val="none"/>
        </w:rPr>
        <w:t>其中，危险物质及工艺系统危险性（P）与危险物质数量与临界量比值（Q）、行业及生产工艺（M）有关。</w:t>
      </w:r>
    </w:p>
    <w:p w14:paraId="198F5393">
      <w:pPr>
        <w:pStyle w:val="533"/>
        <w:numPr>
          <w:ilvl w:val="3"/>
          <w:numId w:val="9"/>
        </w:numPr>
        <w:rPr>
          <w:color w:val="auto"/>
          <w:szCs w:val="24"/>
          <w:highlight w:val="none"/>
        </w:rPr>
      </w:pPr>
      <w:r>
        <w:rPr>
          <w:color w:val="auto"/>
          <w:szCs w:val="24"/>
          <w:highlight w:val="none"/>
        </w:rPr>
        <w:t>危险物质及工艺系统危险性（P）</w:t>
      </w:r>
    </w:p>
    <w:p w14:paraId="2A85E673">
      <w:pPr>
        <w:widowControl/>
        <w:ind w:firstLine="480"/>
        <w:rPr>
          <w:rFonts w:eastAsiaTheme="minorEastAsia"/>
          <w:color w:val="auto"/>
          <w:highlight w:val="none"/>
        </w:rPr>
      </w:pPr>
      <w:r>
        <w:rPr>
          <w:rFonts w:eastAsiaTheme="minorEastAsia"/>
          <w:color w:val="auto"/>
          <w:highlight w:val="none"/>
        </w:rPr>
        <w:t>根据《建设项目环境风险评价技术导则》（HJ169-2018），危险物质及工艺系统危险性（P）分级判定如下：</w:t>
      </w:r>
    </w:p>
    <w:p w14:paraId="6DE69E85">
      <w:pPr>
        <w:adjustRightInd/>
        <w:snapToGrid/>
        <w:ind w:firstLine="482"/>
        <w:rPr>
          <w:b/>
          <w:bCs/>
          <w:color w:val="auto"/>
          <w:highlight w:val="none"/>
        </w:rPr>
      </w:pPr>
      <w:r>
        <w:rPr>
          <w:b/>
          <w:bCs/>
          <w:color w:val="auto"/>
          <w:highlight w:val="none"/>
        </w:rPr>
        <w:t>（1）危险物质数量与临界量比值（Q）</w:t>
      </w:r>
    </w:p>
    <w:p w14:paraId="435C3EDD">
      <w:pPr>
        <w:ind w:firstLine="480"/>
        <w:textAlignment w:val="baseline"/>
        <w:rPr>
          <w:color w:val="auto"/>
          <w:highlight w:val="none"/>
        </w:rPr>
      </w:pPr>
      <w:r>
        <w:rPr>
          <w:color w:val="auto"/>
          <w:highlight w:val="none"/>
        </w:rPr>
        <w:t>计算所涉及的每种危险物质在厂界内的最大存在总量与其对应临界量的比值Q。当只涉及一种危险物质时，计算该物质的总量与其临界比值，即为Q；当存在多种危险物质时则按下式计算物质总量与其临界比值（Q）：</w:t>
      </w:r>
    </w:p>
    <w:p w14:paraId="44E48983">
      <w:pPr>
        <w:ind w:firstLine="480"/>
        <w:jc w:val="center"/>
        <w:textAlignment w:val="baseline"/>
        <w:rPr>
          <w:color w:val="auto"/>
          <w:highlight w:val="none"/>
        </w:rPr>
      </w:pPr>
      <w:r>
        <w:rPr>
          <w:color w:val="auto"/>
          <w:highlight w:val="none"/>
        </w:rPr>
        <w:object>
          <v:shape id="_x0000_i1025" o:spt="75" type="#_x0000_t75" style="height:31.9pt;width:145.3pt;" o:ole="t" filled="f" o:preferrelative="t" stroked="f" coordsize="21600,21600">
            <v:path/>
            <v:fill on="f" focussize="0,0"/>
            <v:stroke on="f" joinstyle="miter"/>
            <v:imagedata r:id="rId68" o:title=""/>
            <o:lock v:ext="edit" aspectratio="t"/>
            <w10:wrap type="none"/>
            <w10:anchorlock/>
          </v:shape>
          <o:OLEObject Type="Embed" ProgID="Equations" ShapeID="_x0000_i1025" DrawAspect="Content" ObjectID="_1468075725" r:id="rId67">
            <o:LockedField>false</o:LockedField>
          </o:OLEObject>
        </w:object>
      </w:r>
    </w:p>
    <w:p w14:paraId="0E7C4FA5">
      <w:pPr>
        <w:ind w:firstLine="480"/>
        <w:textAlignment w:val="baseline"/>
        <w:rPr>
          <w:color w:val="auto"/>
          <w:highlight w:val="none"/>
        </w:rPr>
      </w:pPr>
      <w:r>
        <w:rPr>
          <w:color w:val="auto"/>
          <w:highlight w:val="none"/>
        </w:rPr>
        <w:t>式中：q</w:t>
      </w:r>
      <w:r>
        <w:rPr>
          <w:color w:val="auto"/>
          <w:highlight w:val="none"/>
          <w:vertAlign w:val="subscript"/>
        </w:rPr>
        <w:t>1</w:t>
      </w:r>
      <w:r>
        <w:rPr>
          <w:color w:val="auto"/>
          <w:highlight w:val="none"/>
        </w:rPr>
        <w:t>、q</w:t>
      </w:r>
      <w:r>
        <w:rPr>
          <w:color w:val="auto"/>
          <w:highlight w:val="none"/>
          <w:vertAlign w:val="subscript"/>
        </w:rPr>
        <w:t>2</w:t>
      </w:r>
      <w:r>
        <w:rPr>
          <w:color w:val="auto"/>
          <w:highlight w:val="none"/>
        </w:rPr>
        <w:t>……qn——每种危险物质的最大存在总量，t；</w:t>
      </w:r>
    </w:p>
    <w:p w14:paraId="52081361">
      <w:pPr>
        <w:ind w:firstLine="1200" w:firstLineChars="500"/>
        <w:textAlignment w:val="baseline"/>
        <w:rPr>
          <w:color w:val="auto"/>
          <w:highlight w:val="none"/>
        </w:rPr>
      </w:pPr>
      <w:r>
        <w:rPr>
          <w:color w:val="auto"/>
          <w:highlight w:val="none"/>
        </w:rPr>
        <w:t>Q</w:t>
      </w:r>
      <w:r>
        <w:rPr>
          <w:color w:val="auto"/>
          <w:highlight w:val="none"/>
          <w:vertAlign w:val="subscript"/>
        </w:rPr>
        <w:t>1</w:t>
      </w:r>
      <w:r>
        <w:rPr>
          <w:color w:val="auto"/>
          <w:highlight w:val="none"/>
        </w:rPr>
        <w:t>、Q</w:t>
      </w:r>
      <w:r>
        <w:rPr>
          <w:color w:val="auto"/>
          <w:highlight w:val="none"/>
          <w:vertAlign w:val="subscript"/>
        </w:rPr>
        <w:t>2</w:t>
      </w:r>
      <w:r>
        <w:rPr>
          <w:color w:val="auto"/>
          <w:highlight w:val="none"/>
        </w:rPr>
        <w:t>……Qn——每种危险物质的临界量，t。</w:t>
      </w:r>
    </w:p>
    <w:p w14:paraId="1ADC510C">
      <w:pPr>
        <w:ind w:firstLine="480"/>
        <w:textAlignment w:val="baseline"/>
        <w:rPr>
          <w:color w:val="auto"/>
          <w:highlight w:val="none"/>
        </w:rPr>
      </w:pPr>
      <w:r>
        <w:rPr>
          <w:color w:val="auto"/>
          <w:highlight w:val="none"/>
        </w:rPr>
        <w:t>当Q＜1时，该项目环境风险潜势为</w:t>
      </w:r>
      <w:r>
        <w:rPr>
          <w:color w:val="auto"/>
          <w:highlight w:val="none"/>
        </w:rPr>
        <w:fldChar w:fldCharType="begin"/>
      </w:r>
      <w:r>
        <w:rPr>
          <w:color w:val="auto"/>
          <w:highlight w:val="none"/>
        </w:rPr>
        <w:instrText xml:space="preserve"> = 1 \* ROMAN \* MERGEFORMAT </w:instrText>
      </w:r>
      <w:r>
        <w:rPr>
          <w:color w:val="auto"/>
          <w:highlight w:val="none"/>
        </w:rPr>
        <w:fldChar w:fldCharType="separate"/>
      </w:r>
      <w:r>
        <w:rPr>
          <w:color w:val="auto"/>
          <w:highlight w:val="none"/>
        </w:rPr>
        <w:t>I</w:t>
      </w:r>
      <w:r>
        <w:rPr>
          <w:color w:val="auto"/>
          <w:highlight w:val="none"/>
        </w:rPr>
        <w:fldChar w:fldCharType="end"/>
      </w:r>
      <w:r>
        <w:rPr>
          <w:color w:val="auto"/>
          <w:highlight w:val="none"/>
        </w:rPr>
        <w:t>。</w:t>
      </w:r>
    </w:p>
    <w:p w14:paraId="111E06EA">
      <w:pPr>
        <w:ind w:firstLine="480"/>
        <w:textAlignment w:val="baseline"/>
        <w:rPr>
          <w:color w:val="auto"/>
          <w:highlight w:val="none"/>
        </w:rPr>
      </w:pPr>
      <w:r>
        <w:rPr>
          <w:color w:val="auto"/>
          <w:highlight w:val="none"/>
        </w:rPr>
        <w:t>当Q</w:t>
      </w:r>
      <w:r>
        <w:rPr>
          <w:rFonts w:eastAsia="仿宋_GB2312"/>
          <w:color w:val="auto"/>
          <w:highlight w:val="none"/>
        </w:rPr>
        <w:t>≥</w:t>
      </w:r>
      <w:r>
        <w:rPr>
          <w:color w:val="auto"/>
          <w:highlight w:val="none"/>
        </w:rPr>
        <w:t>1时，将Q值划分为（1）1</w:t>
      </w:r>
      <w:r>
        <w:rPr>
          <w:rFonts w:eastAsia="仿宋_GB2312"/>
          <w:color w:val="auto"/>
          <w:highlight w:val="none"/>
        </w:rPr>
        <w:t>≤</w:t>
      </w:r>
      <w:r>
        <w:rPr>
          <w:color w:val="auto"/>
          <w:highlight w:val="none"/>
        </w:rPr>
        <w:t>Q＜10；（2）10</w:t>
      </w:r>
      <w:r>
        <w:rPr>
          <w:rFonts w:eastAsia="仿宋_GB2312"/>
          <w:color w:val="auto"/>
          <w:highlight w:val="none"/>
        </w:rPr>
        <w:t>≤</w:t>
      </w:r>
      <w:r>
        <w:rPr>
          <w:color w:val="auto"/>
          <w:highlight w:val="none"/>
        </w:rPr>
        <w:t>Q＜100；（3）Q</w:t>
      </w:r>
      <w:r>
        <w:rPr>
          <w:rFonts w:eastAsia="仿宋_GB2312"/>
          <w:color w:val="auto"/>
          <w:highlight w:val="none"/>
        </w:rPr>
        <w:t>≥</w:t>
      </w:r>
      <w:r>
        <w:rPr>
          <w:color w:val="auto"/>
          <w:highlight w:val="none"/>
        </w:rPr>
        <w:t>100。</w:t>
      </w:r>
    </w:p>
    <w:p w14:paraId="47FBF269">
      <w:pPr>
        <w:ind w:firstLine="480"/>
        <w:rPr>
          <w:color w:val="auto"/>
          <w:highlight w:val="none"/>
          <w:u w:val="single"/>
        </w:rPr>
      </w:pPr>
      <w:r>
        <w:rPr>
          <w:color w:val="auto"/>
          <w:highlight w:val="none"/>
        </w:rPr>
        <w:t>本项目建成后进行船舶维修、改造，涉及的危险物质主要有油漆（含稀释剂）、废机油、废液压油、以及修理船只自带的燃料油品等，</w:t>
      </w:r>
      <w:r>
        <w:rPr>
          <w:rFonts w:hint="eastAsia"/>
          <w:color w:val="auto"/>
          <w:highlight w:val="none"/>
          <w:u w:val="single"/>
        </w:rPr>
        <w:t>本项目为改建工程，改建后浮船坞不设调漆间及油漆储存库，全厂油漆使用量不变，</w:t>
      </w:r>
      <w:r>
        <w:rPr>
          <w:color w:val="auto"/>
          <w:highlight w:val="none"/>
          <w:u w:val="single"/>
        </w:rPr>
        <w:t>修船使用的油漆储存于基地</w:t>
      </w:r>
      <w:r>
        <w:rPr>
          <w:rFonts w:hint="eastAsia"/>
          <w:color w:val="auto"/>
          <w:highlight w:val="none"/>
          <w:u w:val="single"/>
          <w:lang w:eastAsia="zh-CN"/>
        </w:rPr>
        <w:t>陆域上</w:t>
      </w:r>
      <w:r>
        <w:rPr>
          <w:rFonts w:hint="eastAsia"/>
          <w:color w:val="auto"/>
          <w:highlight w:val="none"/>
          <w:u w:val="single"/>
        </w:rPr>
        <w:t>危化品</w:t>
      </w:r>
      <w:r>
        <w:rPr>
          <w:color w:val="auto"/>
          <w:highlight w:val="none"/>
          <w:u w:val="single"/>
        </w:rPr>
        <w:t>仓库内，</w:t>
      </w:r>
      <w:r>
        <w:rPr>
          <w:rFonts w:hint="eastAsia"/>
          <w:color w:val="auto"/>
          <w:highlight w:val="none"/>
          <w:u w:val="single"/>
        </w:rPr>
        <w:t>储存位置及最大储存量不变</w:t>
      </w:r>
      <w:r>
        <w:rPr>
          <w:color w:val="auto"/>
          <w:highlight w:val="none"/>
          <w:u w:val="single"/>
        </w:rPr>
        <w:t>；</w:t>
      </w:r>
      <w:r>
        <w:rPr>
          <w:rFonts w:hint="eastAsia"/>
          <w:color w:val="auto"/>
          <w:highlight w:val="none"/>
          <w:u w:val="single"/>
        </w:rPr>
        <w:t>本项目浮船坞进行船舶维修改造作业时，产生废油、废</w:t>
      </w:r>
      <w:bookmarkStart w:id="67" w:name="OLE_LINK9"/>
      <w:r>
        <w:rPr>
          <w:rFonts w:hint="eastAsia"/>
          <w:color w:val="auto"/>
          <w:highlight w:val="none"/>
          <w:u w:val="single"/>
        </w:rPr>
        <w:t>乳化液</w:t>
      </w:r>
      <w:bookmarkEnd w:id="67"/>
      <w:r>
        <w:rPr>
          <w:rFonts w:hint="eastAsia"/>
          <w:color w:val="auto"/>
          <w:highlight w:val="none"/>
          <w:u w:val="single"/>
        </w:rPr>
        <w:t>约</w:t>
      </w:r>
      <w:r>
        <w:rPr>
          <w:color w:val="auto"/>
          <w:highlight w:val="none"/>
          <w:u w:val="single"/>
        </w:rPr>
        <w:t>30.5t/a</w:t>
      </w:r>
      <w:r>
        <w:rPr>
          <w:rFonts w:hint="eastAsia"/>
          <w:color w:val="auto"/>
          <w:highlight w:val="none"/>
          <w:u w:val="single"/>
        </w:rPr>
        <w:t>，</w:t>
      </w:r>
      <w:r>
        <w:rPr>
          <w:color w:val="auto"/>
          <w:highlight w:val="none"/>
          <w:u w:val="single"/>
        </w:rPr>
        <w:t>产生后</w:t>
      </w:r>
      <w:r>
        <w:rPr>
          <w:rFonts w:hint="eastAsia"/>
          <w:color w:val="auto"/>
          <w:highlight w:val="none"/>
          <w:u w:val="single"/>
        </w:rPr>
        <w:t>依托</w:t>
      </w:r>
      <w:r>
        <w:rPr>
          <w:color w:val="auto"/>
          <w:highlight w:val="none"/>
          <w:u w:val="single"/>
        </w:rPr>
        <w:t>基地</w:t>
      </w:r>
      <w:r>
        <w:rPr>
          <w:rFonts w:hint="eastAsia"/>
          <w:color w:val="auto"/>
          <w:highlight w:val="none"/>
          <w:u w:val="single"/>
        </w:rPr>
        <w:t>现有</w:t>
      </w:r>
      <w:r>
        <w:rPr>
          <w:color w:val="auto"/>
          <w:highlight w:val="none"/>
          <w:u w:val="single"/>
        </w:rPr>
        <w:t>危险废物暂存库</w:t>
      </w:r>
      <w:r>
        <w:rPr>
          <w:rFonts w:hint="eastAsia"/>
          <w:color w:val="auto"/>
          <w:highlight w:val="none"/>
          <w:u w:val="single"/>
        </w:rPr>
        <w:t>贮存，项目建成后危废暂存库废矿物油（废油、废乳化液）最大暂存量约4</w:t>
      </w:r>
      <w:r>
        <w:rPr>
          <w:color w:val="auto"/>
          <w:highlight w:val="none"/>
          <w:u w:val="single"/>
        </w:rPr>
        <w:t>2.57t/a；船舶燃料油在储油舱内，进行船舶维修工作时可能发生溢油事故，风险物质储存量按最大船型（10万吨级）油舱载油量</w:t>
      </w:r>
      <w:r>
        <w:rPr>
          <w:rFonts w:hint="eastAsia"/>
          <w:color w:val="auto"/>
          <w:highlight w:val="none"/>
          <w:u w:val="single"/>
          <w:lang w:eastAsia="zh-CN"/>
        </w:rPr>
        <w:t>级</w:t>
      </w:r>
      <w:r>
        <w:rPr>
          <w:color w:val="auto"/>
          <w:highlight w:val="none"/>
          <w:u w:val="single"/>
        </w:rPr>
        <w:t>计算，根据《水上溢油环境风险评估技术导则（JT/T 1143-2017）》附录C散货船考虑，燃油舱最大载油量取5300m</w:t>
      </w:r>
      <w:r>
        <w:rPr>
          <w:color w:val="auto"/>
          <w:highlight w:val="none"/>
          <w:u w:val="single"/>
          <w:vertAlign w:val="superscript"/>
        </w:rPr>
        <w:t>3</w:t>
      </w:r>
      <w:r>
        <w:rPr>
          <w:color w:val="auto"/>
          <w:highlight w:val="none"/>
          <w:u w:val="single"/>
        </w:rPr>
        <w:t>，实载率取80%，则船舶燃油舱载油量为4240 m</w:t>
      </w:r>
      <w:r>
        <w:rPr>
          <w:color w:val="auto"/>
          <w:highlight w:val="none"/>
          <w:u w:val="single"/>
          <w:vertAlign w:val="superscript"/>
        </w:rPr>
        <w:t>3</w:t>
      </w:r>
      <w:r>
        <w:rPr>
          <w:color w:val="auto"/>
          <w:highlight w:val="none"/>
          <w:u w:val="single"/>
        </w:rPr>
        <w:t>（3756.64t）。</w:t>
      </w:r>
    </w:p>
    <w:p w14:paraId="278F70DA">
      <w:pPr>
        <w:ind w:firstLine="480"/>
        <w:rPr>
          <w:b/>
          <w:color w:val="auto"/>
          <w:highlight w:val="none"/>
          <w:u w:val="single"/>
        </w:rPr>
      </w:pPr>
      <w:r>
        <w:rPr>
          <w:color w:val="auto"/>
          <w:highlight w:val="none"/>
          <w:u w:val="single"/>
        </w:rPr>
        <w:t>根据《环境影响评价技术导则 海洋生态环境》（HJ 1409-2025）附录G：油类物质的临界量为100t，项目Q值计算结果为</w:t>
      </w:r>
      <w:r>
        <w:rPr>
          <w:rFonts w:hint="eastAsia"/>
          <w:color w:val="auto"/>
          <w:highlight w:val="none"/>
          <w:u w:val="single"/>
        </w:rPr>
        <w:t>3</w:t>
      </w:r>
      <w:r>
        <w:rPr>
          <w:color w:val="auto"/>
          <w:highlight w:val="none"/>
          <w:u w:val="single"/>
        </w:rPr>
        <w:t>7.9921</w:t>
      </w:r>
      <w:r>
        <w:rPr>
          <w:rFonts w:hint="eastAsia"/>
          <w:color w:val="auto"/>
          <w:highlight w:val="none"/>
          <w:u w:val="single"/>
        </w:rPr>
        <w:t>，详见表1</w:t>
      </w:r>
      <w:r>
        <w:rPr>
          <w:color w:val="auto"/>
          <w:highlight w:val="none"/>
          <w:u w:val="single"/>
        </w:rPr>
        <w:t>.4-9。</w:t>
      </w:r>
    </w:p>
    <w:p w14:paraId="44E91258">
      <w:pPr>
        <w:pStyle w:val="38"/>
        <w:spacing w:after="0" w:line="240" w:lineRule="auto"/>
        <w:ind w:firstLine="0" w:firstLineChars="0"/>
        <w:jc w:val="center"/>
        <w:rPr>
          <w:b/>
          <w:color w:val="auto"/>
          <w:sz w:val="21"/>
          <w:szCs w:val="21"/>
          <w:highlight w:val="none"/>
          <w:u w:val="single"/>
        </w:rPr>
      </w:pPr>
      <w:r>
        <w:rPr>
          <w:b/>
          <w:color w:val="auto"/>
          <w:sz w:val="21"/>
          <w:szCs w:val="21"/>
          <w:highlight w:val="none"/>
          <w:u w:val="single"/>
        </w:rPr>
        <w:t>表1.4-9  项目Q值计算表</w:t>
      </w:r>
    </w:p>
    <w:tbl>
      <w:tblPr>
        <w:tblStyle w:val="92"/>
        <w:tblW w:w="5000"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2514"/>
        <w:gridCol w:w="1455"/>
        <w:gridCol w:w="1560"/>
        <w:gridCol w:w="1513"/>
        <w:gridCol w:w="2028"/>
      </w:tblGrid>
      <w:tr w14:paraId="00D5FE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386" w:type="pct"/>
            <w:tcBorders>
              <w:top w:val="single" w:color="000000" w:sz="12" w:space="0"/>
              <w:left w:val="nil"/>
            </w:tcBorders>
            <w:vAlign w:val="center"/>
          </w:tcPr>
          <w:p w14:paraId="3C7187D2">
            <w:pPr>
              <w:spacing w:line="240" w:lineRule="auto"/>
              <w:ind w:firstLine="0" w:firstLineChars="0"/>
              <w:jc w:val="center"/>
              <w:rPr>
                <w:b/>
                <w:color w:val="auto"/>
                <w:sz w:val="21"/>
                <w:szCs w:val="21"/>
                <w:highlight w:val="none"/>
                <w:u w:val="single"/>
              </w:rPr>
            </w:pPr>
            <w:r>
              <w:rPr>
                <w:b/>
                <w:color w:val="auto"/>
                <w:sz w:val="21"/>
                <w:szCs w:val="21"/>
                <w:highlight w:val="none"/>
                <w:u w:val="single"/>
              </w:rPr>
              <w:t>物质名称</w:t>
            </w:r>
          </w:p>
        </w:tc>
        <w:tc>
          <w:tcPr>
            <w:tcW w:w="802" w:type="pct"/>
            <w:tcBorders>
              <w:top w:val="single" w:color="000000" w:sz="12" w:space="0"/>
              <w:right w:val="single" w:color="auto" w:sz="4" w:space="0"/>
            </w:tcBorders>
            <w:vAlign w:val="center"/>
          </w:tcPr>
          <w:p w14:paraId="6A745290">
            <w:pPr>
              <w:spacing w:line="240" w:lineRule="auto"/>
              <w:ind w:firstLine="0" w:firstLineChars="0"/>
              <w:jc w:val="center"/>
              <w:rPr>
                <w:b/>
                <w:color w:val="auto"/>
                <w:sz w:val="21"/>
                <w:szCs w:val="21"/>
                <w:highlight w:val="none"/>
                <w:u w:val="single"/>
              </w:rPr>
            </w:pPr>
            <w:r>
              <w:rPr>
                <w:b/>
                <w:color w:val="auto"/>
                <w:sz w:val="21"/>
                <w:szCs w:val="21"/>
                <w:highlight w:val="none"/>
                <w:u w:val="single"/>
              </w:rPr>
              <w:t>储存位置</w:t>
            </w:r>
          </w:p>
        </w:tc>
        <w:tc>
          <w:tcPr>
            <w:tcW w:w="860" w:type="pct"/>
            <w:tcBorders>
              <w:top w:val="single" w:color="000000" w:sz="12" w:space="0"/>
              <w:left w:val="single" w:color="auto" w:sz="4" w:space="0"/>
            </w:tcBorders>
            <w:vAlign w:val="center"/>
          </w:tcPr>
          <w:p w14:paraId="0B903EE6">
            <w:pPr>
              <w:spacing w:line="240" w:lineRule="auto"/>
              <w:ind w:firstLine="0" w:firstLineChars="0"/>
              <w:jc w:val="center"/>
              <w:rPr>
                <w:b/>
                <w:color w:val="auto"/>
                <w:sz w:val="21"/>
                <w:szCs w:val="21"/>
                <w:highlight w:val="none"/>
                <w:u w:val="single"/>
              </w:rPr>
            </w:pPr>
            <w:r>
              <w:rPr>
                <w:b/>
                <w:color w:val="auto"/>
                <w:sz w:val="21"/>
                <w:szCs w:val="21"/>
                <w:highlight w:val="none"/>
                <w:u w:val="single"/>
              </w:rPr>
              <w:t>最大储量（t）</w:t>
            </w:r>
          </w:p>
        </w:tc>
        <w:tc>
          <w:tcPr>
            <w:tcW w:w="834" w:type="pct"/>
            <w:tcBorders>
              <w:top w:val="single" w:color="000000" w:sz="12" w:space="0"/>
            </w:tcBorders>
            <w:vAlign w:val="center"/>
          </w:tcPr>
          <w:p w14:paraId="37C9B634">
            <w:pPr>
              <w:spacing w:line="240" w:lineRule="auto"/>
              <w:ind w:firstLine="0" w:firstLineChars="0"/>
              <w:jc w:val="center"/>
              <w:rPr>
                <w:b/>
                <w:color w:val="auto"/>
                <w:sz w:val="21"/>
                <w:szCs w:val="21"/>
                <w:highlight w:val="none"/>
                <w:u w:val="single"/>
              </w:rPr>
            </w:pPr>
            <w:r>
              <w:rPr>
                <w:b/>
                <w:color w:val="auto"/>
                <w:sz w:val="21"/>
                <w:szCs w:val="21"/>
                <w:highlight w:val="none"/>
                <w:u w:val="single"/>
              </w:rPr>
              <w:t>临界量（t）</w:t>
            </w:r>
          </w:p>
        </w:tc>
        <w:tc>
          <w:tcPr>
            <w:tcW w:w="1118" w:type="pct"/>
            <w:tcBorders>
              <w:top w:val="single" w:color="000000" w:sz="12" w:space="0"/>
              <w:right w:val="nil"/>
            </w:tcBorders>
            <w:vAlign w:val="center"/>
          </w:tcPr>
          <w:p w14:paraId="505FA8A7">
            <w:pPr>
              <w:spacing w:line="240" w:lineRule="auto"/>
              <w:ind w:firstLine="0" w:firstLineChars="0"/>
              <w:jc w:val="center"/>
              <w:rPr>
                <w:b/>
                <w:color w:val="auto"/>
                <w:sz w:val="21"/>
                <w:szCs w:val="21"/>
                <w:highlight w:val="none"/>
                <w:u w:val="single"/>
              </w:rPr>
            </w:pPr>
            <w:r>
              <w:rPr>
                <w:b/>
                <w:color w:val="auto"/>
                <w:sz w:val="21"/>
                <w:szCs w:val="21"/>
                <w:highlight w:val="none"/>
                <w:u w:val="single"/>
              </w:rPr>
              <w:t>Q值</w:t>
            </w:r>
          </w:p>
        </w:tc>
      </w:tr>
      <w:tr w14:paraId="020F08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386" w:type="pct"/>
            <w:tcBorders>
              <w:left w:val="nil"/>
            </w:tcBorders>
            <w:vAlign w:val="center"/>
          </w:tcPr>
          <w:p w14:paraId="2C958EC0">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船舶燃料油</w:t>
            </w:r>
          </w:p>
        </w:tc>
        <w:tc>
          <w:tcPr>
            <w:tcW w:w="802" w:type="pct"/>
            <w:tcBorders>
              <w:right w:val="single" w:color="auto" w:sz="4" w:space="0"/>
            </w:tcBorders>
            <w:vAlign w:val="center"/>
          </w:tcPr>
          <w:p w14:paraId="00921AB2">
            <w:pPr>
              <w:spacing w:line="240" w:lineRule="auto"/>
              <w:ind w:firstLine="0" w:firstLineChars="0"/>
              <w:jc w:val="center"/>
              <w:rPr>
                <w:bCs/>
                <w:color w:val="auto"/>
                <w:sz w:val="21"/>
                <w:szCs w:val="21"/>
                <w:highlight w:val="none"/>
                <w:u w:val="single"/>
              </w:rPr>
            </w:pPr>
            <w:r>
              <w:rPr>
                <w:bCs/>
                <w:color w:val="auto"/>
                <w:sz w:val="21"/>
                <w:szCs w:val="21"/>
                <w:highlight w:val="none"/>
                <w:u w:val="single"/>
              </w:rPr>
              <w:t>油舱</w:t>
            </w:r>
          </w:p>
        </w:tc>
        <w:tc>
          <w:tcPr>
            <w:tcW w:w="860" w:type="pct"/>
            <w:tcBorders>
              <w:left w:val="single" w:color="auto" w:sz="4" w:space="0"/>
            </w:tcBorders>
            <w:vAlign w:val="center"/>
          </w:tcPr>
          <w:p w14:paraId="0016CD76">
            <w:pPr>
              <w:spacing w:line="240" w:lineRule="auto"/>
              <w:ind w:firstLine="0" w:firstLineChars="0"/>
              <w:jc w:val="center"/>
              <w:rPr>
                <w:bCs/>
                <w:color w:val="auto"/>
                <w:sz w:val="21"/>
                <w:szCs w:val="21"/>
                <w:highlight w:val="none"/>
                <w:u w:val="single"/>
              </w:rPr>
            </w:pPr>
            <w:r>
              <w:rPr>
                <w:bCs/>
                <w:color w:val="auto"/>
                <w:sz w:val="21"/>
                <w:szCs w:val="21"/>
                <w:highlight w:val="none"/>
                <w:u w:val="single"/>
              </w:rPr>
              <w:t>3756.64</w:t>
            </w:r>
          </w:p>
        </w:tc>
        <w:tc>
          <w:tcPr>
            <w:tcW w:w="834" w:type="pct"/>
            <w:vAlign w:val="center"/>
          </w:tcPr>
          <w:p w14:paraId="05D4D8D6">
            <w:pPr>
              <w:spacing w:line="240" w:lineRule="auto"/>
              <w:ind w:firstLine="0" w:firstLineChars="0"/>
              <w:jc w:val="center"/>
              <w:rPr>
                <w:bCs/>
                <w:color w:val="auto"/>
                <w:sz w:val="21"/>
                <w:szCs w:val="21"/>
                <w:highlight w:val="none"/>
                <w:u w:val="single"/>
              </w:rPr>
            </w:pPr>
            <w:r>
              <w:rPr>
                <w:bCs/>
                <w:color w:val="auto"/>
                <w:sz w:val="21"/>
                <w:szCs w:val="21"/>
                <w:highlight w:val="none"/>
                <w:u w:val="single"/>
              </w:rPr>
              <w:t>100</w:t>
            </w:r>
          </w:p>
        </w:tc>
        <w:tc>
          <w:tcPr>
            <w:tcW w:w="1118" w:type="pct"/>
            <w:tcBorders>
              <w:right w:val="nil"/>
            </w:tcBorders>
            <w:vAlign w:val="center"/>
          </w:tcPr>
          <w:p w14:paraId="518F5079">
            <w:pPr>
              <w:spacing w:line="240" w:lineRule="auto"/>
              <w:ind w:firstLine="0" w:firstLineChars="0"/>
              <w:jc w:val="center"/>
              <w:rPr>
                <w:bCs/>
                <w:color w:val="auto"/>
                <w:sz w:val="21"/>
                <w:szCs w:val="21"/>
                <w:highlight w:val="none"/>
                <w:u w:val="single"/>
              </w:rPr>
            </w:pPr>
            <w:r>
              <w:rPr>
                <w:bCs/>
                <w:color w:val="auto"/>
                <w:sz w:val="21"/>
                <w:szCs w:val="21"/>
                <w:highlight w:val="none"/>
                <w:u w:val="single"/>
              </w:rPr>
              <w:t>37.5664</w:t>
            </w:r>
          </w:p>
        </w:tc>
      </w:tr>
      <w:tr w14:paraId="1D0CF0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386" w:type="pct"/>
            <w:tcBorders>
              <w:left w:val="nil"/>
            </w:tcBorders>
            <w:vAlign w:val="center"/>
          </w:tcPr>
          <w:p w14:paraId="15D6CBB0">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废矿物油</w:t>
            </w:r>
          </w:p>
        </w:tc>
        <w:tc>
          <w:tcPr>
            <w:tcW w:w="802" w:type="pct"/>
            <w:tcBorders>
              <w:right w:val="single" w:color="auto" w:sz="4" w:space="0"/>
            </w:tcBorders>
            <w:vAlign w:val="center"/>
          </w:tcPr>
          <w:p w14:paraId="6C50D303">
            <w:pPr>
              <w:spacing w:line="240" w:lineRule="auto"/>
              <w:ind w:firstLine="0" w:firstLineChars="0"/>
              <w:jc w:val="center"/>
              <w:rPr>
                <w:bCs/>
                <w:color w:val="auto"/>
                <w:sz w:val="21"/>
                <w:szCs w:val="21"/>
                <w:highlight w:val="none"/>
                <w:u w:val="single"/>
              </w:rPr>
            </w:pPr>
            <w:r>
              <w:rPr>
                <w:bCs/>
                <w:color w:val="auto"/>
                <w:sz w:val="21"/>
                <w:szCs w:val="21"/>
                <w:highlight w:val="none"/>
                <w:u w:val="single"/>
              </w:rPr>
              <w:t>危废暂存库</w:t>
            </w:r>
          </w:p>
        </w:tc>
        <w:tc>
          <w:tcPr>
            <w:tcW w:w="860" w:type="pct"/>
            <w:tcBorders>
              <w:left w:val="single" w:color="auto" w:sz="4" w:space="0"/>
            </w:tcBorders>
            <w:vAlign w:val="center"/>
          </w:tcPr>
          <w:p w14:paraId="73BC1425">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4</w:t>
            </w:r>
            <w:r>
              <w:rPr>
                <w:bCs/>
                <w:color w:val="auto"/>
                <w:sz w:val="21"/>
                <w:szCs w:val="21"/>
                <w:highlight w:val="none"/>
                <w:u w:val="single"/>
              </w:rPr>
              <w:t>2.57</w:t>
            </w:r>
          </w:p>
        </w:tc>
        <w:tc>
          <w:tcPr>
            <w:tcW w:w="834" w:type="pct"/>
            <w:vAlign w:val="center"/>
          </w:tcPr>
          <w:p w14:paraId="115DCB9A">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1</w:t>
            </w:r>
            <w:r>
              <w:rPr>
                <w:bCs/>
                <w:color w:val="auto"/>
                <w:sz w:val="21"/>
                <w:szCs w:val="21"/>
                <w:highlight w:val="none"/>
                <w:u w:val="single"/>
              </w:rPr>
              <w:t>00</w:t>
            </w:r>
          </w:p>
        </w:tc>
        <w:tc>
          <w:tcPr>
            <w:tcW w:w="1118" w:type="pct"/>
            <w:tcBorders>
              <w:right w:val="nil"/>
            </w:tcBorders>
            <w:vAlign w:val="center"/>
          </w:tcPr>
          <w:p w14:paraId="565885AC">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0</w:t>
            </w:r>
            <w:r>
              <w:rPr>
                <w:bCs/>
                <w:color w:val="auto"/>
                <w:sz w:val="21"/>
                <w:szCs w:val="21"/>
                <w:highlight w:val="none"/>
                <w:u w:val="single"/>
              </w:rPr>
              <w:t>.4257</w:t>
            </w:r>
          </w:p>
        </w:tc>
      </w:tr>
      <w:tr w14:paraId="1DE717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882" w:type="pct"/>
            <w:gridSpan w:val="4"/>
            <w:tcBorders>
              <w:left w:val="nil"/>
              <w:bottom w:val="single" w:color="000000" w:sz="12" w:space="0"/>
            </w:tcBorders>
            <w:vAlign w:val="center"/>
          </w:tcPr>
          <w:p w14:paraId="1467B0C4">
            <w:pPr>
              <w:spacing w:line="240" w:lineRule="auto"/>
              <w:ind w:firstLine="0" w:firstLineChars="0"/>
              <w:jc w:val="center"/>
              <w:rPr>
                <w:b/>
                <w:color w:val="auto"/>
                <w:sz w:val="21"/>
                <w:szCs w:val="21"/>
                <w:highlight w:val="none"/>
                <w:u w:val="single"/>
              </w:rPr>
            </w:pPr>
            <w:r>
              <w:rPr>
                <w:b/>
                <w:color w:val="auto"/>
                <w:sz w:val="21"/>
                <w:szCs w:val="21"/>
                <w:highlight w:val="none"/>
                <w:u w:val="single"/>
              </w:rPr>
              <w:t>合计</w:t>
            </w:r>
          </w:p>
        </w:tc>
        <w:tc>
          <w:tcPr>
            <w:tcW w:w="1118" w:type="pct"/>
            <w:tcBorders>
              <w:bottom w:val="single" w:color="000000" w:sz="12" w:space="0"/>
              <w:right w:val="nil"/>
            </w:tcBorders>
            <w:vAlign w:val="center"/>
          </w:tcPr>
          <w:p w14:paraId="68F519AE">
            <w:pPr>
              <w:spacing w:line="240" w:lineRule="auto"/>
              <w:ind w:firstLine="0" w:firstLineChars="0"/>
              <w:jc w:val="center"/>
              <w:rPr>
                <w:b/>
                <w:color w:val="auto"/>
                <w:sz w:val="21"/>
                <w:szCs w:val="21"/>
                <w:highlight w:val="none"/>
                <w:u w:val="single"/>
              </w:rPr>
            </w:pPr>
            <w:r>
              <w:rPr>
                <w:b/>
                <w:color w:val="auto"/>
                <w:sz w:val="21"/>
                <w:szCs w:val="21"/>
                <w:highlight w:val="none"/>
                <w:u w:val="single"/>
              </w:rPr>
              <w:fldChar w:fldCharType="begin"/>
            </w:r>
            <w:r>
              <w:rPr>
                <w:b/>
                <w:color w:val="auto"/>
                <w:sz w:val="21"/>
                <w:szCs w:val="21"/>
                <w:highlight w:val="none"/>
                <w:u w:val="single"/>
              </w:rPr>
              <w:instrText xml:space="preserve"> </w:instrText>
            </w:r>
            <w:r>
              <w:rPr>
                <w:rFonts w:hint="eastAsia"/>
                <w:b/>
                <w:color w:val="auto"/>
                <w:sz w:val="21"/>
                <w:szCs w:val="21"/>
                <w:highlight w:val="none"/>
                <w:u w:val="single"/>
              </w:rPr>
              <w:instrText xml:space="preserve">=SUM(ABOVE)</w:instrText>
            </w:r>
            <w:r>
              <w:rPr>
                <w:b/>
                <w:color w:val="auto"/>
                <w:sz w:val="21"/>
                <w:szCs w:val="21"/>
                <w:highlight w:val="none"/>
                <w:u w:val="single"/>
              </w:rPr>
              <w:instrText xml:space="preserve"> </w:instrText>
            </w:r>
            <w:r>
              <w:rPr>
                <w:b/>
                <w:color w:val="auto"/>
                <w:sz w:val="21"/>
                <w:szCs w:val="21"/>
                <w:highlight w:val="none"/>
                <w:u w:val="single"/>
              </w:rPr>
              <w:fldChar w:fldCharType="separate"/>
            </w:r>
            <w:r>
              <w:rPr>
                <w:b/>
                <w:color w:val="auto"/>
                <w:sz w:val="21"/>
                <w:szCs w:val="21"/>
                <w:highlight w:val="none"/>
                <w:u w:val="single"/>
              </w:rPr>
              <w:t>37.9921</w:t>
            </w:r>
            <w:r>
              <w:rPr>
                <w:b/>
                <w:color w:val="auto"/>
                <w:sz w:val="21"/>
                <w:szCs w:val="21"/>
                <w:highlight w:val="none"/>
                <w:u w:val="single"/>
              </w:rPr>
              <w:fldChar w:fldCharType="end"/>
            </w:r>
          </w:p>
        </w:tc>
      </w:tr>
    </w:tbl>
    <w:p w14:paraId="457119ED">
      <w:pPr>
        <w:ind w:firstLine="480"/>
        <w:rPr>
          <w:bCs/>
          <w:color w:val="auto"/>
          <w:kern w:val="2"/>
          <w:highlight w:val="none"/>
          <w:u w:val="single"/>
        </w:rPr>
      </w:pPr>
      <w:r>
        <w:rPr>
          <w:color w:val="auto"/>
          <w:highlight w:val="none"/>
          <w:u w:val="single"/>
        </w:rPr>
        <w:t>项目Q值为</w:t>
      </w:r>
      <w:r>
        <w:rPr>
          <w:rFonts w:hint="eastAsia"/>
          <w:color w:val="auto"/>
          <w:highlight w:val="none"/>
          <w:u w:val="single"/>
        </w:rPr>
        <w:t>37.</w:t>
      </w:r>
      <w:r>
        <w:rPr>
          <w:color w:val="auto"/>
          <w:highlight w:val="none"/>
          <w:u w:val="single"/>
        </w:rPr>
        <w:t>9921，属于</w:t>
      </w:r>
      <w:r>
        <w:rPr>
          <w:rFonts w:hint="eastAsia"/>
          <w:color w:val="auto"/>
          <w:highlight w:val="none"/>
          <w:u w:val="single"/>
        </w:rPr>
        <w:t>1</w:t>
      </w:r>
      <w:r>
        <w:rPr>
          <w:color w:val="auto"/>
          <w:highlight w:val="none"/>
          <w:u w:val="single"/>
        </w:rPr>
        <w:t>0≤Q</w:t>
      </w:r>
      <w:r>
        <w:rPr>
          <w:rFonts w:hint="eastAsia"/>
          <w:color w:val="auto"/>
          <w:highlight w:val="none"/>
          <w:u w:val="single"/>
        </w:rPr>
        <w:t>＜</w:t>
      </w:r>
      <w:r>
        <w:rPr>
          <w:color w:val="auto"/>
          <w:highlight w:val="none"/>
          <w:u w:val="single"/>
        </w:rPr>
        <w:t>100。</w:t>
      </w:r>
    </w:p>
    <w:p w14:paraId="1EFC6740">
      <w:pPr>
        <w:adjustRightInd/>
        <w:snapToGrid/>
        <w:ind w:firstLine="482"/>
        <w:rPr>
          <w:b/>
          <w:bCs/>
          <w:color w:val="auto"/>
          <w:highlight w:val="none"/>
        </w:rPr>
      </w:pPr>
      <w:r>
        <w:rPr>
          <w:b/>
          <w:bCs/>
          <w:color w:val="auto"/>
          <w:highlight w:val="none"/>
        </w:rPr>
        <w:t>（2）行业及生产工艺（M）</w:t>
      </w:r>
    </w:p>
    <w:p w14:paraId="5411C709">
      <w:pPr>
        <w:ind w:firstLine="480"/>
        <w:rPr>
          <w:color w:val="auto"/>
          <w:highlight w:val="none"/>
        </w:rPr>
      </w:pPr>
      <w:r>
        <w:rPr>
          <w:color w:val="auto"/>
          <w:highlight w:val="none"/>
        </w:rPr>
        <w:t>分析项目所属行业及生产工艺特点，按照表1.4-1</w:t>
      </w:r>
      <w:r>
        <w:rPr>
          <w:rFonts w:hint="eastAsia"/>
          <w:color w:val="auto"/>
          <w:highlight w:val="none"/>
        </w:rPr>
        <w:t>0</w:t>
      </w:r>
      <w:r>
        <w:rPr>
          <w:color w:val="auto"/>
          <w:highlight w:val="none"/>
        </w:rPr>
        <w:t>评估生产工艺情况。具有多套工艺单元的项目，对每套生产工艺分别评分并求和。将 M 划分为（1）M＞20；（2）10＜M≤20；（3）5＜M≤10；（4）M=5，分别以 M1、M2、M3 和 M4 表示。</w:t>
      </w:r>
    </w:p>
    <w:p w14:paraId="490D745E">
      <w:pPr>
        <w:pStyle w:val="38"/>
        <w:spacing w:after="0" w:line="240" w:lineRule="auto"/>
        <w:ind w:firstLine="0" w:firstLineChars="0"/>
        <w:jc w:val="center"/>
        <w:rPr>
          <w:b/>
          <w:color w:val="auto"/>
          <w:sz w:val="21"/>
          <w:szCs w:val="21"/>
          <w:highlight w:val="none"/>
        </w:rPr>
      </w:pPr>
      <w:r>
        <w:rPr>
          <w:b/>
          <w:color w:val="auto"/>
          <w:sz w:val="21"/>
          <w:szCs w:val="21"/>
          <w:highlight w:val="none"/>
        </w:rPr>
        <w:t>表1.4-10  行业及生产工艺（M）</w:t>
      </w:r>
    </w:p>
    <w:tbl>
      <w:tblPr>
        <w:tblStyle w:val="9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44"/>
        <w:gridCol w:w="6333"/>
        <w:gridCol w:w="1209"/>
      </w:tblGrid>
      <w:tr w14:paraId="45E829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939" w:type="pct"/>
            <w:tcBorders>
              <w:tl2br w:val="nil"/>
              <w:tr2bl w:val="nil"/>
            </w:tcBorders>
            <w:vAlign w:val="center"/>
          </w:tcPr>
          <w:p w14:paraId="24361AA8">
            <w:pPr>
              <w:spacing w:line="240" w:lineRule="auto"/>
              <w:ind w:firstLine="0" w:firstLineChars="0"/>
              <w:jc w:val="center"/>
              <w:rPr>
                <w:b/>
                <w:color w:val="auto"/>
                <w:sz w:val="21"/>
                <w:szCs w:val="21"/>
                <w:highlight w:val="none"/>
              </w:rPr>
            </w:pPr>
            <w:r>
              <w:rPr>
                <w:b/>
                <w:color w:val="auto"/>
                <w:sz w:val="21"/>
                <w:szCs w:val="21"/>
                <w:highlight w:val="none"/>
              </w:rPr>
              <w:t>行业</w:t>
            </w:r>
          </w:p>
        </w:tc>
        <w:tc>
          <w:tcPr>
            <w:tcW w:w="3410" w:type="pct"/>
            <w:tcBorders>
              <w:tl2br w:val="nil"/>
              <w:tr2bl w:val="nil"/>
            </w:tcBorders>
            <w:vAlign w:val="center"/>
          </w:tcPr>
          <w:p w14:paraId="4AA97712">
            <w:pPr>
              <w:spacing w:line="240" w:lineRule="auto"/>
              <w:ind w:firstLine="0" w:firstLineChars="0"/>
              <w:jc w:val="center"/>
              <w:rPr>
                <w:b/>
                <w:color w:val="auto"/>
                <w:sz w:val="21"/>
                <w:szCs w:val="21"/>
                <w:highlight w:val="none"/>
              </w:rPr>
            </w:pPr>
            <w:r>
              <w:rPr>
                <w:b/>
                <w:color w:val="auto"/>
                <w:sz w:val="21"/>
                <w:szCs w:val="21"/>
                <w:highlight w:val="none"/>
              </w:rPr>
              <w:t>评估依据</w:t>
            </w:r>
          </w:p>
        </w:tc>
        <w:tc>
          <w:tcPr>
            <w:tcW w:w="651" w:type="pct"/>
            <w:tcBorders>
              <w:tl2br w:val="nil"/>
              <w:tr2bl w:val="nil"/>
            </w:tcBorders>
            <w:vAlign w:val="center"/>
          </w:tcPr>
          <w:p w14:paraId="6249D7C9">
            <w:pPr>
              <w:spacing w:line="240" w:lineRule="auto"/>
              <w:ind w:firstLine="0" w:firstLineChars="0"/>
              <w:jc w:val="center"/>
              <w:rPr>
                <w:b/>
                <w:color w:val="auto"/>
                <w:sz w:val="21"/>
                <w:szCs w:val="21"/>
                <w:highlight w:val="none"/>
              </w:rPr>
            </w:pPr>
            <w:r>
              <w:rPr>
                <w:b/>
                <w:color w:val="auto"/>
                <w:sz w:val="21"/>
                <w:szCs w:val="21"/>
                <w:highlight w:val="none"/>
              </w:rPr>
              <w:t>分值</w:t>
            </w:r>
          </w:p>
        </w:tc>
      </w:tr>
      <w:tr w14:paraId="51721C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9" w:type="pct"/>
            <w:vMerge w:val="restart"/>
            <w:tcBorders>
              <w:tl2br w:val="nil"/>
              <w:tr2bl w:val="nil"/>
            </w:tcBorders>
            <w:vAlign w:val="center"/>
          </w:tcPr>
          <w:p w14:paraId="76904B16">
            <w:pPr>
              <w:spacing w:line="240" w:lineRule="auto"/>
              <w:ind w:firstLine="0" w:firstLineChars="0"/>
              <w:jc w:val="center"/>
              <w:rPr>
                <w:bCs/>
                <w:color w:val="auto"/>
                <w:sz w:val="21"/>
                <w:szCs w:val="21"/>
                <w:highlight w:val="none"/>
              </w:rPr>
            </w:pPr>
            <w:r>
              <w:rPr>
                <w:bCs/>
                <w:color w:val="auto"/>
                <w:sz w:val="21"/>
                <w:szCs w:val="21"/>
                <w:highlight w:val="none"/>
              </w:rPr>
              <w:t>石化、化工、医药、轻工、化纤、有色冶炼等</w:t>
            </w:r>
          </w:p>
          <w:p w14:paraId="189D84E7">
            <w:pPr>
              <w:spacing w:line="240" w:lineRule="auto"/>
              <w:ind w:firstLine="0" w:firstLineChars="0"/>
              <w:jc w:val="center"/>
              <w:rPr>
                <w:bCs/>
                <w:color w:val="auto"/>
                <w:sz w:val="21"/>
                <w:szCs w:val="21"/>
                <w:highlight w:val="none"/>
              </w:rPr>
            </w:pPr>
          </w:p>
        </w:tc>
        <w:tc>
          <w:tcPr>
            <w:tcW w:w="3410" w:type="pct"/>
            <w:tcBorders>
              <w:tl2br w:val="nil"/>
              <w:tr2bl w:val="nil"/>
            </w:tcBorders>
            <w:vAlign w:val="center"/>
          </w:tcPr>
          <w:p w14:paraId="6E0059C6">
            <w:pPr>
              <w:spacing w:line="240" w:lineRule="auto"/>
              <w:ind w:firstLine="0" w:firstLineChars="0"/>
              <w:rPr>
                <w:bCs/>
                <w:color w:val="auto"/>
                <w:sz w:val="21"/>
                <w:szCs w:val="21"/>
                <w:highlight w:val="none"/>
              </w:rPr>
            </w:pPr>
            <w:r>
              <w:rPr>
                <w:bCs/>
                <w:color w:val="auto"/>
                <w:sz w:val="21"/>
                <w:szCs w:val="21"/>
                <w:highlight w:val="none"/>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651" w:type="pct"/>
            <w:tcBorders>
              <w:tl2br w:val="nil"/>
              <w:tr2bl w:val="nil"/>
            </w:tcBorders>
            <w:vAlign w:val="center"/>
          </w:tcPr>
          <w:p w14:paraId="1E80E230">
            <w:pPr>
              <w:spacing w:line="240" w:lineRule="auto"/>
              <w:ind w:firstLine="0" w:firstLineChars="0"/>
              <w:jc w:val="center"/>
              <w:rPr>
                <w:bCs/>
                <w:color w:val="auto"/>
                <w:sz w:val="21"/>
                <w:szCs w:val="21"/>
                <w:highlight w:val="none"/>
              </w:rPr>
            </w:pPr>
            <w:r>
              <w:rPr>
                <w:bCs/>
                <w:color w:val="auto"/>
                <w:sz w:val="21"/>
                <w:szCs w:val="21"/>
                <w:highlight w:val="none"/>
              </w:rPr>
              <w:t>10/套</w:t>
            </w:r>
          </w:p>
        </w:tc>
      </w:tr>
      <w:tr w14:paraId="7F02B7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9" w:type="pct"/>
            <w:vMerge w:val="continue"/>
            <w:tcBorders>
              <w:tl2br w:val="nil"/>
              <w:tr2bl w:val="nil"/>
            </w:tcBorders>
            <w:vAlign w:val="center"/>
          </w:tcPr>
          <w:p w14:paraId="21BF7578">
            <w:pPr>
              <w:spacing w:line="240" w:lineRule="auto"/>
              <w:ind w:firstLine="0" w:firstLineChars="0"/>
              <w:jc w:val="center"/>
              <w:rPr>
                <w:bCs/>
                <w:color w:val="auto"/>
                <w:sz w:val="21"/>
                <w:szCs w:val="21"/>
                <w:highlight w:val="none"/>
              </w:rPr>
            </w:pPr>
          </w:p>
        </w:tc>
        <w:tc>
          <w:tcPr>
            <w:tcW w:w="3410" w:type="pct"/>
            <w:tcBorders>
              <w:tl2br w:val="nil"/>
              <w:tr2bl w:val="nil"/>
            </w:tcBorders>
            <w:vAlign w:val="center"/>
          </w:tcPr>
          <w:p w14:paraId="490A414E">
            <w:pPr>
              <w:spacing w:line="240" w:lineRule="auto"/>
              <w:ind w:firstLine="0" w:firstLineChars="0"/>
              <w:rPr>
                <w:bCs/>
                <w:color w:val="auto"/>
                <w:sz w:val="21"/>
                <w:szCs w:val="21"/>
                <w:highlight w:val="none"/>
              </w:rPr>
            </w:pPr>
            <w:r>
              <w:rPr>
                <w:bCs/>
                <w:color w:val="auto"/>
                <w:sz w:val="21"/>
                <w:szCs w:val="21"/>
                <w:highlight w:val="none"/>
              </w:rPr>
              <w:t>无机酸制酸工艺、焦化工艺</w:t>
            </w:r>
          </w:p>
        </w:tc>
        <w:tc>
          <w:tcPr>
            <w:tcW w:w="651" w:type="pct"/>
            <w:tcBorders>
              <w:tl2br w:val="nil"/>
              <w:tr2bl w:val="nil"/>
            </w:tcBorders>
            <w:vAlign w:val="center"/>
          </w:tcPr>
          <w:p w14:paraId="29781678">
            <w:pPr>
              <w:spacing w:line="240" w:lineRule="auto"/>
              <w:ind w:firstLine="0" w:firstLineChars="0"/>
              <w:jc w:val="center"/>
              <w:rPr>
                <w:bCs/>
                <w:color w:val="auto"/>
                <w:sz w:val="21"/>
                <w:szCs w:val="21"/>
                <w:highlight w:val="none"/>
              </w:rPr>
            </w:pPr>
            <w:r>
              <w:rPr>
                <w:bCs/>
                <w:color w:val="auto"/>
                <w:sz w:val="21"/>
                <w:szCs w:val="21"/>
                <w:highlight w:val="none"/>
              </w:rPr>
              <w:t>5/套</w:t>
            </w:r>
          </w:p>
        </w:tc>
      </w:tr>
      <w:tr w14:paraId="5E49A9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9" w:type="pct"/>
            <w:vMerge w:val="continue"/>
            <w:tcBorders>
              <w:tl2br w:val="nil"/>
              <w:tr2bl w:val="nil"/>
            </w:tcBorders>
            <w:vAlign w:val="center"/>
          </w:tcPr>
          <w:p w14:paraId="26544A97">
            <w:pPr>
              <w:spacing w:line="240" w:lineRule="auto"/>
              <w:ind w:firstLine="0" w:firstLineChars="0"/>
              <w:jc w:val="center"/>
              <w:rPr>
                <w:bCs/>
                <w:color w:val="auto"/>
                <w:sz w:val="21"/>
                <w:szCs w:val="21"/>
                <w:highlight w:val="none"/>
              </w:rPr>
            </w:pPr>
          </w:p>
        </w:tc>
        <w:tc>
          <w:tcPr>
            <w:tcW w:w="3410" w:type="pct"/>
            <w:tcBorders>
              <w:tl2br w:val="nil"/>
              <w:tr2bl w:val="nil"/>
            </w:tcBorders>
            <w:vAlign w:val="center"/>
          </w:tcPr>
          <w:p w14:paraId="0ABE4A6A">
            <w:pPr>
              <w:spacing w:line="240" w:lineRule="auto"/>
              <w:ind w:firstLine="0" w:firstLineChars="0"/>
              <w:rPr>
                <w:bCs/>
                <w:color w:val="auto"/>
                <w:sz w:val="21"/>
                <w:szCs w:val="21"/>
                <w:highlight w:val="none"/>
              </w:rPr>
            </w:pPr>
            <w:r>
              <w:rPr>
                <w:bCs/>
                <w:color w:val="auto"/>
                <w:sz w:val="21"/>
                <w:szCs w:val="21"/>
                <w:highlight w:val="none"/>
              </w:rPr>
              <w:t>其他高温或高压，且涉及危险物质的工艺过程a 、危险物质贮存罐区</w:t>
            </w:r>
          </w:p>
        </w:tc>
        <w:tc>
          <w:tcPr>
            <w:tcW w:w="651" w:type="pct"/>
            <w:tcBorders>
              <w:tl2br w:val="nil"/>
              <w:tr2bl w:val="nil"/>
            </w:tcBorders>
            <w:vAlign w:val="center"/>
          </w:tcPr>
          <w:p w14:paraId="413989E4">
            <w:pPr>
              <w:spacing w:line="240" w:lineRule="auto"/>
              <w:ind w:firstLine="0" w:firstLineChars="0"/>
              <w:jc w:val="center"/>
              <w:rPr>
                <w:bCs/>
                <w:color w:val="auto"/>
                <w:sz w:val="21"/>
                <w:szCs w:val="21"/>
                <w:highlight w:val="none"/>
              </w:rPr>
            </w:pPr>
            <w:r>
              <w:rPr>
                <w:bCs/>
                <w:color w:val="auto"/>
                <w:sz w:val="21"/>
                <w:szCs w:val="21"/>
                <w:highlight w:val="none"/>
              </w:rPr>
              <w:t>5/套</w:t>
            </w:r>
          </w:p>
          <w:p w14:paraId="576BD14F">
            <w:pPr>
              <w:spacing w:line="240" w:lineRule="auto"/>
              <w:ind w:firstLine="0" w:firstLineChars="0"/>
              <w:jc w:val="center"/>
              <w:rPr>
                <w:bCs/>
                <w:color w:val="auto"/>
                <w:sz w:val="21"/>
                <w:szCs w:val="21"/>
                <w:highlight w:val="none"/>
              </w:rPr>
            </w:pPr>
            <w:r>
              <w:rPr>
                <w:bCs/>
                <w:color w:val="auto"/>
                <w:sz w:val="21"/>
                <w:szCs w:val="21"/>
                <w:highlight w:val="none"/>
              </w:rPr>
              <w:t>（罐区）</w:t>
            </w:r>
          </w:p>
        </w:tc>
      </w:tr>
      <w:tr w14:paraId="4A37E4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9" w:type="pct"/>
            <w:tcBorders>
              <w:tl2br w:val="nil"/>
              <w:tr2bl w:val="nil"/>
            </w:tcBorders>
            <w:vAlign w:val="center"/>
          </w:tcPr>
          <w:p w14:paraId="4AFC53FC">
            <w:pPr>
              <w:spacing w:line="240" w:lineRule="auto"/>
              <w:ind w:firstLine="0" w:firstLineChars="0"/>
              <w:jc w:val="center"/>
              <w:rPr>
                <w:bCs/>
                <w:color w:val="auto"/>
                <w:sz w:val="21"/>
                <w:szCs w:val="21"/>
                <w:highlight w:val="none"/>
              </w:rPr>
            </w:pPr>
            <w:r>
              <w:rPr>
                <w:bCs/>
                <w:color w:val="auto"/>
                <w:sz w:val="21"/>
                <w:szCs w:val="21"/>
                <w:highlight w:val="none"/>
              </w:rPr>
              <w:t>管道、港口/码头等</w:t>
            </w:r>
          </w:p>
        </w:tc>
        <w:tc>
          <w:tcPr>
            <w:tcW w:w="3410" w:type="pct"/>
            <w:tcBorders>
              <w:tl2br w:val="nil"/>
              <w:tr2bl w:val="nil"/>
            </w:tcBorders>
            <w:vAlign w:val="center"/>
          </w:tcPr>
          <w:p w14:paraId="4D2EB89F">
            <w:pPr>
              <w:spacing w:line="240" w:lineRule="auto"/>
              <w:ind w:firstLine="0" w:firstLineChars="0"/>
              <w:rPr>
                <w:bCs/>
                <w:color w:val="auto"/>
                <w:sz w:val="21"/>
                <w:szCs w:val="21"/>
                <w:highlight w:val="none"/>
              </w:rPr>
            </w:pPr>
            <w:r>
              <w:rPr>
                <w:bCs/>
                <w:color w:val="auto"/>
                <w:sz w:val="21"/>
                <w:szCs w:val="21"/>
                <w:highlight w:val="none"/>
              </w:rPr>
              <w:t>涉及危险物质管道运输项目、港口/码头等</w:t>
            </w:r>
          </w:p>
        </w:tc>
        <w:tc>
          <w:tcPr>
            <w:tcW w:w="651" w:type="pct"/>
            <w:tcBorders>
              <w:tl2br w:val="nil"/>
              <w:tr2bl w:val="nil"/>
            </w:tcBorders>
            <w:vAlign w:val="center"/>
          </w:tcPr>
          <w:p w14:paraId="146D8FF2">
            <w:pPr>
              <w:spacing w:line="240" w:lineRule="auto"/>
              <w:ind w:firstLine="0" w:firstLineChars="0"/>
              <w:jc w:val="center"/>
              <w:rPr>
                <w:bCs/>
                <w:color w:val="auto"/>
                <w:sz w:val="21"/>
                <w:szCs w:val="21"/>
                <w:highlight w:val="none"/>
              </w:rPr>
            </w:pPr>
            <w:r>
              <w:rPr>
                <w:bCs/>
                <w:color w:val="auto"/>
                <w:sz w:val="21"/>
                <w:szCs w:val="21"/>
                <w:highlight w:val="none"/>
              </w:rPr>
              <w:t>10</w:t>
            </w:r>
          </w:p>
        </w:tc>
      </w:tr>
      <w:tr w14:paraId="24A9CD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9" w:type="pct"/>
            <w:tcBorders>
              <w:tl2br w:val="nil"/>
              <w:tr2bl w:val="nil"/>
            </w:tcBorders>
            <w:vAlign w:val="center"/>
          </w:tcPr>
          <w:p w14:paraId="5D5039B3">
            <w:pPr>
              <w:spacing w:line="240" w:lineRule="auto"/>
              <w:ind w:firstLine="0" w:firstLineChars="0"/>
              <w:jc w:val="center"/>
              <w:rPr>
                <w:bCs/>
                <w:color w:val="auto"/>
                <w:sz w:val="21"/>
                <w:szCs w:val="21"/>
                <w:highlight w:val="none"/>
              </w:rPr>
            </w:pPr>
            <w:r>
              <w:rPr>
                <w:bCs/>
                <w:color w:val="auto"/>
                <w:sz w:val="21"/>
                <w:szCs w:val="21"/>
                <w:highlight w:val="none"/>
              </w:rPr>
              <w:t>石油天然气</w:t>
            </w:r>
          </w:p>
        </w:tc>
        <w:tc>
          <w:tcPr>
            <w:tcW w:w="3410" w:type="pct"/>
            <w:tcBorders>
              <w:tl2br w:val="nil"/>
              <w:tr2bl w:val="nil"/>
            </w:tcBorders>
            <w:vAlign w:val="center"/>
          </w:tcPr>
          <w:p w14:paraId="69C26396">
            <w:pPr>
              <w:spacing w:line="240" w:lineRule="auto"/>
              <w:ind w:firstLine="0" w:firstLineChars="0"/>
              <w:rPr>
                <w:bCs/>
                <w:color w:val="auto"/>
                <w:sz w:val="21"/>
                <w:szCs w:val="21"/>
                <w:highlight w:val="none"/>
              </w:rPr>
            </w:pPr>
            <w:r>
              <w:rPr>
                <w:bCs/>
                <w:color w:val="auto"/>
                <w:sz w:val="21"/>
                <w:szCs w:val="21"/>
                <w:highlight w:val="none"/>
              </w:rPr>
              <w:t>石油、天然气、页岩气开采（含净化），气库（不含加气站的气库），油库（不含加气站的油库）、油气管线b （不含城镇燃气管线）</w:t>
            </w:r>
          </w:p>
        </w:tc>
        <w:tc>
          <w:tcPr>
            <w:tcW w:w="651" w:type="pct"/>
            <w:tcBorders>
              <w:tl2br w:val="nil"/>
              <w:tr2bl w:val="nil"/>
            </w:tcBorders>
            <w:vAlign w:val="center"/>
          </w:tcPr>
          <w:p w14:paraId="61737058">
            <w:pPr>
              <w:spacing w:line="240" w:lineRule="auto"/>
              <w:ind w:firstLine="0" w:firstLineChars="0"/>
              <w:jc w:val="center"/>
              <w:rPr>
                <w:bCs/>
                <w:color w:val="auto"/>
                <w:sz w:val="21"/>
                <w:szCs w:val="21"/>
                <w:highlight w:val="none"/>
              </w:rPr>
            </w:pPr>
            <w:r>
              <w:rPr>
                <w:bCs/>
                <w:color w:val="auto"/>
                <w:sz w:val="21"/>
                <w:szCs w:val="21"/>
                <w:highlight w:val="none"/>
              </w:rPr>
              <w:t>10</w:t>
            </w:r>
          </w:p>
        </w:tc>
      </w:tr>
      <w:tr w14:paraId="3E863A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9" w:type="pct"/>
            <w:tcBorders>
              <w:tl2br w:val="nil"/>
              <w:tr2bl w:val="nil"/>
            </w:tcBorders>
            <w:vAlign w:val="center"/>
          </w:tcPr>
          <w:p w14:paraId="2143C99A">
            <w:pPr>
              <w:spacing w:line="240" w:lineRule="auto"/>
              <w:ind w:firstLine="0" w:firstLineChars="0"/>
              <w:jc w:val="center"/>
              <w:rPr>
                <w:bCs/>
                <w:color w:val="auto"/>
                <w:sz w:val="21"/>
                <w:szCs w:val="21"/>
                <w:highlight w:val="none"/>
              </w:rPr>
            </w:pPr>
            <w:r>
              <w:rPr>
                <w:bCs/>
                <w:color w:val="auto"/>
                <w:sz w:val="21"/>
                <w:szCs w:val="21"/>
                <w:highlight w:val="none"/>
              </w:rPr>
              <w:t>其他</w:t>
            </w:r>
          </w:p>
        </w:tc>
        <w:tc>
          <w:tcPr>
            <w:tcW w:w="3410" w:type="pct"/>
            <w:tcBorders>
              <w:tl2br w:val="nil"/>
              <w:tr2bl w:val="nil"/>
            </w:tcBorders>
            <w:vAlign w:val="center"/>
          </w:tcPr>
          <w:p w14:paraId="4099E06D">
            <w:pPr>
              <w:spacing w:line="240" w:lineRule="auto"/>
              <w:ind w:firstLine="0" w:firstLineChars="0"/>
              <w:rPr>
                <w:bCs/>
                <w:color w:val="auto"/>
                <w:sz w:val="21"/>
                <w:szCs w:val="21"/>
                <w:highlight w:val="none"/>
              </w:rPr>
            </w:pPr>
            <w:r>
              <w:rPr>
                <w:bCs/>
                <w:color w:val="auto"/>
                <w:sz w:val="21"/>
                <w:szCs w:val="21"/>
                <w:highlight w:val="none"/>
              </w:rPr>
              <w:t>涉及危险物质使用、贮存的项目</w:t>
            </w:r>
          </w:p>
        </w:tc>
        <w:tc>
          <w:tcPr>
            <w:tcW w:w="651" w:type="pct"/>
            <w:tcBorders>
              <w:tl2br w:val="nil"/>
              <w:tr2bl w:val="nil"/>
            </w:tcBorders>
            <w:vAlign w:val="center"/>
          </w:tcPr>
          <w:p w14:paraId="6A439A60">
            <w:pPr>
              <w:spacing w:line="240" w:lineRule="auto"/>
              <w:ind w:firstLine="0" w:firstLineChars="0"/>
              <w:jc w:val="center"/>
              <w:rPr>
                <w:bCs/>
                <w:color w:val="auto"/>
                <w:sz w:val="21"/>
                <w:szCs w:val="21"/>
                <w:highlight w:val="none"/>
              </w:rPr>
            </w:pPr>
            <w:r>
              <w:rPr>
                <w:bCs/>
                <w:color w:val="auto"/>
                <w:sz w:val="21"/>
                <w:szCs w:val="21"/>
                <w:highlight w:val="none"/>
              </w:rPr>
              <w:t>5</w:t>
            </w:r>
          </w:p>
        </w:tc>
      </w:tr>
      <w:tr w14:paraId="7DED4D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3"/>
            <w:tcBorders>
              <w:tl2br w:val="nil"/>
              <w:tr2bl w:val="nil"/>
            </w:tcBorders>
            <w:vAlign w:val="center"/>
          </w:tcPr>
          <w:p w14:paraId="3E7E3FD9">
            <w:pPr>
              <w:spacing w:line="240" w:lineRule="auto"/>
              <w:ind w:firstLine="0" w:firstLineChars="0"/>
              <w:jc w:val="left"/>
              <w:rPr>
                <w:bCs/>
                <w:color w:val="auto"/>
                <w:sz w:val="21"/>
                <w:szCs w:val="21"/>
                <w:highlight w:val="none"/>
              </w:rPr>
            </w:pPr>
            <w:r>
              <w:rPr>
                <w:bCs/>
                <w:color w:val="auto"/>
                <w:sz w:val="21"/>
                <w:szCs w:val="21"/>
                <w:highlight w:val="none"/>
              </w:rPr>
              <w:t>a 高温指工艺温度≥300℃，高压指压力容器的设计压力（P）≥10.0MPa；</w:t>
            </w:r>
          </w:p>
          <w:p w14:paraId="0C644665">
            <w:pPr>
              <w:spacing w:line="240" w:lineRule="auto"/>
              <w:ind w:firstLine="0" w:firstLineChars="0"/>
              <w:jc w:val="left"/>
              <w:rPr>
                <w:bCs/>
                <w:color w:val="auto"/>
                <w:sz w:val="21"/>
                <w:szCs w:val="21"/>
                <w:highlight w:val="none"/>
              </w:rPr>
            </w:pPr>
            <w:r>
              <w:rPr>
                <w:bCs/>
                <w:color w:val="auto"/>
                <w:sz w:val="21"/>
                <w:szCs w:val="21"/>
                <w:highlight w:val="none"/>
              </w:rPr>
              <w:t>b 长输管道运输项目应按站场、管线分段进行评价。</w:t>
            </w:r>
          </w:p>
        </w:tc>
      </w:tr>
    </w:tbl>
    <w:p w14:paraId="13B02809">
      <w:pPr>
        <w:spacing w:before="120" w:beforeLines="50"/>
        <w:ind w:firstLine="480"/>
        <w:rPr>
          <w:color w:val="auto"/>
          <w:highlight w:val="none"/>
        </w:rPr>
      </w:pPr>
      <w:r>
        <w:rPr>
          <w:color w:val="auto"/>
          <w:highlight w:val="none"/>
        </w:rPr>
        <w:t>项目使用了柴油，因此属于“其他”中“涉及危险物质的使用”，因此M=5，属 M4。</w:t>
      </w:r>
    </w:p>
    <w:p w14:paraId="67FCA0BB">
      <w:pPr>
        <w:adjustRightInd/>
        <w:snapToGrid/>
        <w:ind w:firstLine="482"/>
        <w:rPr>
          <w:b/>
          <w:bCs/>
          <w:color w:val="auto"/>
          <w:highlight w:val="none"/>
        </w:rPr>
      </w:pPr>
      <w:r>
        <w:rPr>
          <w:b/>
          <w:bCs/>
          <w:color w:val="auto"/>
          <w:highlight w:val="none"/>
        </w:rPr>
        <w:t>（3）险物质及工艺系统危险性（P）分级</w:t>
      </w:r>
    </w:p>
    <w:p w14:paraId="61AF205D">
      <w:pPr>
        <w:ind w:firstLine="480"/>
        <w:rPr>
          <w:color w:val="auto"/>
          <w:highlight w:val="none"/>
        </w:rPr>
      </w:pPr>
      <w:r>
        <w:rPr>
          <w:color w:val="auto"/>
          <w:highlight w:val="none"/>
        </w:rPr>
        <w:t>根据危险物质数量与临界量比值（Q）和行业及生产工艺（M），按照表 1.4-14确定危险物质及工艺系统危险性等级（P），分别以 P1、P2、P3、P4 表示。</w:t>
      </w:r>
    </w:p>
    <w:p w14:paraId="16798859">
      <w:pPr>
        <w:pStyle w:val="38"/>
        <w:spacing w:after="0" w:line="240" w:lineRule="auto"/>
        <w:ind w:firstLine="0" w:firstLineChars="0"/>
        <w:jc w:val="center"/>
        <w:rPr>
          <w:b/>
          <w:color w:val="auto"/>
          <w:sz w:val="21"/>
          <w:szCs w:val="21"/>
          <w:highlight w:val="none"/>
        </w:rPr>
      </w:pPr>
      <w:r>
        <w:rPr>
          <w:b/>
          <w:color w:val="auto"/>
          <w:sz w:val="21"/>
          <w:szCs w:val="21"/>
          <w:highlight w:val="none"/>
        </w:rPr>
        <w:t>表1.4-11 危险物质及工艺系统危险性等级判断（P）</w:t>
      </w:r>
    </w:p>
    <w:tbl>
      <w:tblPr>
        <w:tblStyle w:val="92"/>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674"/>
        <w:gridCol w:w="1564"/>
        <w:gridCol w:w="1608"/>
        <w:gridCol w:w="1515"/>
        <w:gridCol w:w="1709"/>
      </w:tblGrid>
      <w:tr w14:paraId="7829BE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474" w:type="pct"/>
            <w:vMerge w:val="restart"/>
            <w:tcBorders>
              <w:left w:val="nil"/>
            </w:tcBorders>
            <w:vAlign w:val="center"/>
          </w:tcPr>
          <w:p w14:paraId="4F707BC6">
            <w:pPr>
              <w:spacing w:line="240" w:lineRule="auto"/>
              <w:ind w:firstLine="0" w:firstLineChars="0"/>
              <w:jc w:val="center"/>
              <w:rPr>
                <w:bCs/>
                <w:color w:val="auto"/>
                <w:sz w:val="21"/>
                <w:szCs w:val="21"/>
                <w:highlight w:val="none"/>
              </w:rPr>
            </w:pPr>
            <w:r>
              <w:rPr>
                <w:bCs/>
                <w:color w:val="auto"/>
                <w:sz w:val="21"/>
                <w:szCs w:val="21"/>
                <w:highlight w:val="none"/>
              </w:rPr>
              <w:t>危险物质数量与临界量比值（Q）</w:t>
            </w:r>
          </w:p>
        </w:tc>
        <w:tc>
          <w:tcPr>
            <w:tcW w:w="3525" w:type="pct"/>
            <w:gridSpan w:val="4"/>
            <w:tcBorders>
              <w:right w:val="nil"/>
            </w:tcBorders>
            <w:vAlign w:val="center"/>
          </w:tcPr>
          <w:p w14:paraId="294932AC">
            <w:pPr>
              <w:spacing w:line="240" w:lineRule="auto"/>
              <w:ind w:firstLine="0" w:firstLineChars="0"/>
              <w:jc w:val="center"/>
              <w:rPr>
                <w:bCs/>
                <w:color w:val="auto"/>
                <w:sz w:val="21"/>
                <w:szCs w:val="21"/>
                <w:highlight w:val="none"/>
              </w:rPr>
            </w:pPr>
            <w:r>
              <w:rPr>
                <w:bCs/>
                <w:color w:val="auto"/>
                <w:sz w:val="21"/>
                <w:szCs w:val="21"/>
                <w:highlight w:val="none"/>
              </w:rPr>
              <w:t>行业及生产工艺（M）</w:t>
            </w:r>
          </w:p>
        </w:tc>
      </w:tr>
      <w:tr w14:paraId="17F0A1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474" w:type="pct"/>
            <w:vMerge w:val="continue"/>
            <w:tcBorders>
              <w:left w:val="nil"/>
            </w:tcBorders>
            <w:vAlign w:val="center"/>
          </w:tcPr>
          <w:p w14:paraId="748BD79C">
            <w:pPr>
              <w:spacing w:line="240" w:lineRule="auto"/>
              <w:ind w:firstLine="0" w:firstLineChars="0"/>
              <w:jc w:val="center"/>
              <w:rPr>
                <w:bCs/>
                <w:color w:val="auto"/>
                <w:sz w:val="21"/>
                <w:szCs w:val="21"/>
                <w:highlight w:val="none"/>
              </w:rPr>
            </w:pPr>
          </w:p>
        </w:tc>
        <w:tc>
          <w:tcPr>
            <w:tcW w:w="862" w:type="pct"/>
            <w:vAlign w:val="center"/>
          </w:tcPr>
          <w:p w14:paraId="33DB65D9">
            <w:pPr>
              <w:spacing w:line="240" w:lineRule="auto"/>
              <w:ind w:firstLine="0" w:firstLineChars="0"/>
              <w:jc w:val="center"/>
              <w:rPr>
                <w:bCs/>
                <w:color w:val="auto"/>
                <w:sz w:val="21"/>
                <w:szCs w:val="21"/>
                <w:highlight w:val="none"/>
              </w:rPr>
            </w:pPr>
            <w:r>
              <w:rPr>
                <w:bCs/>
                <w:color w:val="auto"/>
                <w:sz w:val="21"/>
                <w:szCs w:val="21"/>
                <w:highlight w:val="none"/>
              </w:rPr>
              <w:t>M1</w:t>
            </w:r>
          </w:p>
        </w:tc>
        <w:tc>
          <w:tcPr>
            <w:tcW w:w="886" w:type="pct"/>
            <w:vAlign w:val="center"/>
          </w:tcPr>
          <w:p w14:paraId="02DEF826">
            <w:pPr>
              <w:spacing w:line="240" w:lineRule="auto"/>
              <w:ind w:firstLine="0" w:firstLineChars="0"/>
              <w:jc w:val="center"/>
              <w:rPr>
                <w:bCs/>
                <w:color w:val="auto"/>
                <w:sz w:val="21"/>
                <w:szCs w:val="21"/>
                <w:highlight w:val="none"/>
              </w:rPr>
            </w:pPr>
            <w:r>
              <w:rPr>
                <w:bCs/>
                <w:color w:val="auto"/>
                <w:sz w:val="21"/>
                <w:szCs w:val="21"/>
                <w:highlight w:val="none"/>
              </w:rPr>
              <w:t>M2</w:t>
            </w:r>
          </w:p>
        </w:tc>
        <w:tc>
          <w:tcPr>
            <w:tcW w:w="835" w:type="pct"/>
            <w:vAlign w:val="center"/>
          </w:tcPr>
          <w:p w14:paraId="3EE273C4">
            <w:pPr>
              <w:spacing w:line="240" w:lineRule="auto"/>
              <w:ind w:firstLine="0" w:firstLineChars="0"/>
              <w:jc w:val="center"/>
              <w:rPr>
                <w:bCs/>
                <w:color w:val="auto"/>
                <w:sz w:val="21"/>
                <w:szCs w:val="21"/>
                <w:highlight w:val="none"/>
              </w:rPr>
            </w:pPr>
            <w:r>
              <w:rPr>
                <w:bCs/>
                <w:color w:val="auto"/>
                <w:sz w:val="21"/>
                <w:szCs w:val="21"/>
                <w:highlight w:val="none"/>
              </w:rPr>
              <w:t>M3</w:t>
            </w:r>
          </w:p>
        </w:tc>
        <w:tc>
          <w:tcPr>
            <w:tcW w:w="942" w:type="pct"/>
            <w:tcBorders>
              <w:right w:val="nil"/>
            </w:tcBorders>
            <w:vAlign w:val="center"/>
          </w:tcPr>
          <w:p w14:paraId="107FF542">
            <w:pPr>
              <w:spacing w:line="240" w:lineRule="auto"/>
              <w:ind w:firstLine="0" w:firstLineChars="0"/>
              <w:jc w:val="center"/>
              <w:rPr>
                <w:bCs/>
                <w:color w:val="auto"/>
                <w:sz w:val="21"/>
                <w:szCs w:val="21"/>
                <w:highlight w:val="none"/>
              </w:rPr>
            </w:pPr>
            <w:r>
              <w:rPr>
                <w:bCs/>
                <w:color w:val="auto"/>
                <w:sz w:val="21"/>
                <w:szCs w:val="21"/>
                <w:highlight w:val="none"/>
              </w:rPr>
              <w:t>M4</w:t>
            </w:r>
          </w:p>
        </w:tc>
      </w:tr>
      <w:tr w14:paraId="5E04BD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474" w:type="pct"/>
            <w:tcBorders>
              <w:left w:val="nil"/>
            </w:tcBorders>
            <w:vAlign w:val="center"/>
          </w:tcPr>
          <w:p w14:paraId="05689C8E">
            <w:pPr>
              <w:spacing w:line="240" w:lineRule="auto"/>
              <w:ind w:firstLine="0" w:firstLineChars="0"/>
              <w:jc w:val="center"/>
              <w:rPr>
                <w:bCs/>
                <w:color w:val="auto"/>
                <w:sz w:val="21"/>
                <w:szCs w:val="21"/>
                <w:highlight w:val="none"/>
              </w:rPr>
            </w:pPr>
            <w:r>
              <w:rPr>
                <w:bCs/>
                <w:color w:val="auto"/>
                <w:sz w:val="21"/>
                <w:szCs w:val="21"/>
                <w:highlight w:val="none"/>
              </w:rPr>
              <w:t>Q≥100</w:t>
            </w:r>
          </w:p>
        </w:tc>
        <w:tc>
          <w:tcPr>
            <w:tcW w:w="862" w:type="pct"/>
            <w:vAlign w:val="center"/>
          </w:tcPr>
          <w:p w14:paraId="194AB30E">
            <w:pPr>
              <w:spacing w:line="240" w:lineRule="auto"/>
              <w:ind w:firstLine="0" w:firstLineChars="0"/>
              <w:jc w:val="center"/>
              <w:rPr>
                <w:bCs/>
                <w:color w:val="auto"/>
                <w:sz w:val="21"/>
                <w:szCs w:val="21"/>
                <w:highlight w:val="none"/>
              </w:rPr>
            </w:pPr>
            <w:r>
              <w:rPr>
                <w:bCs/>
                <w:color w:val="auto"/>
                <w:sz w:val="21"/>
                <w:szCs w:val="21"/>
                <w:highlight w:val="none"/>
              </w:rPr>
              <w:t>P1</w:t>
            </w:r>
          </w:p>
        </w:tc>
        <w:tc>
          <w:tcPr>
            <w:tcW w:w="886" w:type="pct"/>
            <w:vAlign w:val="center"/>
          </w:tcPr>
          <w:p w14:paraId="61C3CDCA">
            <w:pPr>
              <w:spacing w:line="240" w:lineRule="auto"/>
              <w:ind w:firstLine="0" w:firstLineChars="0"/>
              <w:jc w:val="center"/>
              <w:rPr>
                <w:bCs/>
                <w:color w:val="auto"/>
                <w:sz w:val="21"/>
                <w:szCs w:val="21"/>
                <w:highlight w:val="none"/>
              </w:rPr>
            </w:pPr>
            <w:r>
              <w:rPr>
                <w:bCs/>
                <w:color w:val="auto"/>
                <w:sz w:val="21"/>
                <w:szCs w:val="21"/>
                <w:highlight w:val="none"/>
              </w:rPr>
              <w:t>P1</w:t>
            </w:r>
          </w:p>
        </w:tc>
        <w:tc>
          <w:tcPr>
            <w:tcW w:w="835" w:type="pct"/>
            <w:vAlign w:val="center"/>
          </w:tcPr>
          <w:p w14:paraId="2FBAB6F2">
            <w:pPr>
              <w:spacing w:line="240" w:lineRule="auto"/>
              <w:ind w:firstLine="0" w:firstLineChars="0"/>
              <w:jc w:val="center"/>
              <w:rPr>
                <w:bCs/>
                <w:color w:val="auto"/>
                <w:sz w:val="21"/>
                <w:szCs w:val="21"/>
                <w:highlight w:val="none"/>
              </w:rPr>
            </w:pPr>
            <w:r>
              <w:rPr>
                <w:bCs/>
                <w:color w:val="auto"/>
                <w:sz w:val="21"/>
                <w:szCs w:val="21"/>
                <w:highlight w:val="none"/>
              </w:rPr>
              <w:t>P2</w:t>
            </w:r>
          </w:p>
        </w:tc>
        <w:tc>
          <w:tcPr>
            <w:tcW w:w="942" w:type="pct"/>
            <w:tcBorders>
              <w:right w:val="nil"/>
            </w:tcBorders>
            <w:vAlign w:val="center"/>
          </w:tcPr>
          <w:p w14:paraId="29091F5B">
            <w:pPr>
              <w:spacing w:line="240" w:lineRule="auto"/>
              <w:ind w:firstLine="0" w:firstLineChars="0"/>
              <w:jc w:val="center"/>
              <w:rPr>
                <w:bCs/>
                <w:color w:val="auto"/>
                <w:sz w:val="21"/>
                <w:szCs w:val="21"/>
                <w:highlight w:val="none"/>
              </w:rPr>
            </w:pPr>
            <w:r>
              <w:rPr>
                <w:bCs/>
                <w:color w:val="auto"/>
                <w:sz w:val="21"/>
                <w:szCs w:val="21"/>
                <w:highlight w:val="none"/>
              </w:rPr>
              <w:t>P3</w:t>
            </w:r>
          </w:p>
        </w:tc>
      </w:tr>
      <w:tr w14:paraId="3DB9F1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474" w:type="pct"/>
            <w:tcBorders>
              <w:left w:val="nil"/>
            </w:tcBorders>
            <w:vAlign w:val="center"/>
          </w:tcPr>
          <w:p w14:paraId="76F22FD8">
            <w:pPr>
              <w:spacing w:line="240" w:lineRule="auto"/>
              <w:ind w:firstLine="0" w:firstLineChars="0"/>
              <w:jc w:val="center"/>
              <w:rPr>
                <w:bCs/>
                <w:color w:val="auto"/>
                <w:sz w:val="21"/>
                <w:szCs w:val="21"/>
                <w:highlight w:val="none"/>
              </w:rPr>
            </w:pPr>
            <w:r>
              <w:rPr>
                <w:bCs/>
                <w:color w:val="auto"/>
                <w:sz w:val="21"/>
                <w:szCs w:val="21"/>
                <w:highlight w:val="none"/>
              </w:rPr>
              <w:t>10≤Q＜100</w:t>
            </w:r>
          </w:p>
        </w:tc>
        <w:tc>
          <w:tcPr>
            <w:tcW w:w="862" w:type="pct"/>
            <w:vAlign w:val="center"/>
          </w:tcPr>
          <w:p w14:paraId="44227185">
            <w:pPr>
              <w:spacing w:line="240" w:lineRule="auto"/>
              <w:ind w:firstLine="0" w:firstLineChars="0"/>
              <w:jc w:val="center"/>
              <w:rPr>
                <w:bCs/>
                <w:color w:val="auto"/>
                <w:sz w:val="21"/>
                <w:szCs w:val="21"/>
                <w:highlight w:val="none"/>
              </w:rPr>
            </w:pPr>
            <w:r>
              <w:rPr>
                <w:bCs/>
                <w:color w:val="auto"/>
                <w:sz w:val="21"/>
                <w:szCs w:val="21"/>
                <w:highlight w:val="none"/>
              </w:rPr>
              <w:t>P1</w:t>
            </w:r>
          </w:p>
        </w:tc>
        <w:tc>
          <w:tcPr>
            <w:tcW w:w="886" w:type="pct"/>
            <w:vAlign w:val="center"/>
          </w:tcPr>
          <w:p w14:paraId="7869E57D">
            <w:pPr>
              <w:spacing w:line="240" w:lineRule="auto"/>
              <w:ind w:firstLine="0" w:firstLineChars="0"/>
              <w:jc w:val="center"/>
              <w:rPr>
                <w:bCs/>
                <w:color w:val="auto"/>
                <w:sz w:val="21"/>
                <w:szCs w:val="21"/>
                <w:highlight w:val="none"/>
              </w:rPr>
            </w:pPr>
            <w:r>
              <w:rPr>
                <w:bCs/>
                <w:color w:val="auto"/>
                <w:sz w:val="21"/>
                <w:szCs w:val="21"/>
                <w:highlight w:val="none"/>
              </w:rPr>
              <w:t>P2</w:t>
            </w:r>
          </w:p>
        </w:tc>
        <w:tc>
          <w:tcPr>
            <w:tcW w:w="835" w:type="pct"/>
            <w:vAlign w:val="center"/>
          </w:tcPr>
          <w:p w14:paraId="1195D503">
            <w:pPr>
              <w:spacing w:line="240" w:lineRule="auto"/>
              <w:ind w:firstLine="0" w:firstLineChars="0"/>
              <w:jc w:val="center"/>
              <w:rPr>
                <w:bCs/>
                <w:color w:val="auto"/>
                <w:sz w:val="21"/>
                <w:szCs w:val="21"/>
                <w:highlight w:val="none"/>
              </w:rPr>
            </w:pPr>
            <w:r>
              <w:rPr>
                <w:bCs/>
                <w:color w:val="auto"/>
                <w:sz w:val="21"/>
                <w:szCs w:val="21"/>
                <w:highlight w:val="none"/>
              </w:rPr>
              <w:t>P3</w:t>
            </w:r>
          </w:p>
        </w:tc>
        <w:tc>
          <w:tcPr>
            <w:tcW w:w="942" w:type="pct"/>
            <w:tcBorders>
              <w:right w:val="nil"/>
            </w:tcBorders>
            <w:shd w:val="clear" w:color="auto" w:fill="D7D7D7" w:themeFill="background1" w:themeFillShade="D8"/>
            <w:vAlign w:val="center"/>
          </w:tcPr>
          <w:p w14:paraId="3C199D72">
            <w:pPr>
              <w:spacing w:line="240" w:lineRule="auto"/>
              <w:ind w:firstLine="0" w:firstLineChars="0"/>
              <w:jc w:val="center"/>
              <w:rPr>
                <w:bCs/>
                <w:color w:val="auto"/>
                <w:sz w:val="21"/>
                <w:szCs w:val="21"/>
                <w:highlight w:val="none"/>
              </w:rPr>
            </w:pPr>
            <w:r>
              <w:rPr>
                <w:bCs/>
                <w:color w:val="auto"/>
                <w:sz w:val="21"/>
                <w:szCs w:val="21"/>
                <w:highlight w:val="none"/>
              </w:rPr>
              <w:t>P4</w:t>
            </w:r>
          </w:p>
        </w:tc>
      </w:tr>
      <w:tr w14:paraId="483F48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474" w:type="pct"/>
            <w:tcBorders>
              <w:left w:val="nil"/>
            </w:tcBorders>
            <w:vAlign w:val="center"/>
          </w:tcPr>
          <w:p w14:paraId="2175D2CC">
            <w:pPr>
              <w:spacing w:line="240" w:lineRule="auto"/>
              <w:ind w:firstLine="0" w:firstLineChars="0"/>
              <w:jc w:val="center"/>
              <w:rPr>
                <w:bCs/>
                <w:color w:val="auto"/>
                <w:sz w:val="21"/>
                <w:szCs w:val="21"/>
                <w:highlight w:val="none"/>
              </w:rPr>
            </w:pPr>
            <w:r>
              <w:rPr>
                <w:bCs/>
                <w:color w:val="auto"/>
                <w:sz w:val="21"/>
                <w:szCs w:val="21"/>
                <w:highlight w:val="none"/>
              </w:rPr>
              <w:t>1≤Q＜10</w:t>
            </w:r>
          </w:p>
        </w:tc>
        <w:tc>
          <w:tcPr>
            <w:tcW w:w="862" w:type="pct"/>
            <w:vAlign w:val="center"/>
          </w:tcPr>
          <w:p w14:paraId="4024A4A4">
            <w:pPr>
              <w:spacing w:line="240" w:lineRule="auto"/>
              <w:ind w:firstLine="0" w:firstLineChars="0"/>
              <w:jc w:val="center"/>
              <w:rPr>
                <w:bCs/>
                <w:color w:val="auto"/>
                <w:sz w:val="21"/>
                <w:szCs w:val="21"/>
                <w:highlight w:val="none"/>
              </w:rPr>
            </w:pPr>
            <w:r>
              <w:rPr>
                <w:bCs/>
                <w:color w:val="auto"/>
                <w:sz w:val="21"/>
                <w:szCs w:val="21"/>
                <w:highlight w:val="none"/>
              </w:rPr>
              <w:t>P2</w:t>
            </w:r>
          </w:p>
        </w:tc>
        <w:tc>
          <w:tcPr>
            <w:tcW w:w="886" w:type="pct"/>
            <w:vAlign w:val="center"/>
          </w:tcPr>
          <w:p w14:paraId="58CCFAD3">
            <w:pPr>
              <w:spacing w:line="240" w:lineRule="auto"/>
              <w:ind w:firstLine="0" w:firstLineChars="0"/>
              <w:jc w:val="center"/>
              <w:rPr>
                <w:bCs/>
                <w:color w:val="auto"/>
                <w:sz w:val="21"/>
                <w:szCs w:val="21"/>
                <w:highlight w:val="none"/>
              </w:rPr>
            </w:pPr>
            <w:r>
              <w:rPr>
                <w:bCs/>
                <w:color w:val="auto"/>
                <w:sz w:val="21"/>
                <w:szCs w:val="21"/>
                <w:highlight w:val="none"/>
              </w:rPr>
              <w:t>P3</w:t>
            </w:r>
          </w:p>
        </w:tc>
        <w:tc>
          <w:tcPr>
            <w:tcW w:w="835" w:type="pct"/>
            <w:vAlign w:val="center"/>
          </w:tcPr>
          <w:p w14:paraId="4ABF42EC">
            <w:pPr>
              <w:spacing w:line="240" w:lineRule="auto"/>
              <w:ind w:firstLine="0" w:firstLineChars="0"/>
              <w:jc w:val="center"/>
              <w:rPr>
                <w:bCs/>
                <w:color w:val="auto"/>
                <w:sz w:val="21"/>
                <w:szCs w:val="21"/>
                <w:highlight w:val="none"/>
              </w:rPr>
            </w:pPr>
            <w:r>
              <w:rPr>
                <w:bCs/>
                <w:color w:val="auto"/>
                <w:sz w:val="21"/>
                <w:szCs w:val="21"/>
                <w:highlight w:val="none"/>
              </w:rPr>
              <w:t>P4</w:t>
            </w:r>
          </w:p>
        </w:tc>
        <w:tc>
          <w:tcPr>
            <w:tcW w:w="942" w:type="pct"/>
            <w:tcBorders>
              <w:right w:val="nil"/>
            </w:tcBorders>
            <w:vAlign w:val="center"/>
          </w:tcPr>
          <w:p w14:paraId="26774282">
            <w:pPr>
              <w:spacing w:line="240" w:lineRule="auto"/>
              <w:ind w:firstLine="0" w:firstLineChars="0"/>
              <w:jc w:val="center"/>
              <w:rPr>
                <w:bCs/>
                <w:color w:val="auto"/>
                <w:sz w:val="21"/>
                <w:szCs w:val="21"/>
                <w:highlight w:val="none"/>
              </w:rPr>
            </w:pPr>
            <w:r>
              <w:rPr>
                <w:bCs/>
                <w:color w:val="auto"/>
                <w:sz w:val="21"/>
                <w:szCs w:val="21"/>
                <w:highlight w:val="none"/>
              </w:rPr>
              <w:t>P4</w:t>
            </w:r>
          </w:p>
        </w:tc>
      </w:tr>
    </w:tbl>
    <w:p w14:paraId="3EDA7B95">
      <w:pPr>
        <w:spacing w:before="120" w:beforeLines="50"/>
        <w:ind w:firstLine="480"/>
        <w:rPr>
          <w:color w:val="auto"/>
          <w:highlight w:val="none"/>
        </w:rPr>
      </w:pPr>
      <w:r>
        <w:rPr>
          <w:color w:val="auto"/>
          <w:highlight w:val="none"/>
        </w:rPr>
        <w:t>根据以上分析，</w:t>
      </w:r>
      <w:bookmarkStart w:id="68" w:name="_Hlk87284141"/>
      <w:r>
        <w:rPr>
          <w:color w:val="auto"/>
          <w:highlight w:val="none"/>
        </w:rPr>
        <w:t>本项目行业及生产工艺为M4，危险物质数量与临界量比值为</w:t>
      </w:r>
      <w:r>
        <w:rPr>
          <w:rFonts w:hint="eastAsia"/>
          <w:color w:val="auto"/>
          <w:highlight w:val="none"/>
        </w:rPr>
        <w:t>1</w:t>
      </w:r>
      <w:r>
        <w:rPr>
          <w:color w:val="auto"/>
          <w:highlight w:val="none"/>
        </w:rPr>
        <w:t>0≤Q</w:t>
      </w:r>
      <w:r>
        <w:rPr>
          <w:rFonts w:hint="eastAsia"/>
          <w:color w:val="auto"/>
          <w:highlight w:val="none"/>
        </w:rPr>
        <w:t>＜</w:t>
      </w:r>
      <w:r>
        <w:rPr>
          <w:color w:val="auto"/>
          <w:highlight w:val="none"/>
        </w:rPr>
        <w:t>100，对比上表可知，项目危险物质及工艺系统危险性等级判断为P</w:t>
      </w:r>
      <w:bookmarkEnd w:id="68"/>
      <w:r>
        <w:rPr>
          <w:rFonts w:hint="eastAsia"/>
          <w:color w:val="auto"/>
          <w:highlight w:val="none"/>
        </w:rPr>
        <w:t>4</w:t>
      </w:r>
      <w:r>
        <w:rPr>
          <w:color w:val="auto"/>
          <w:highlight w:val="none"/>
        </w:rPr>
        <w:t>。</w:t>
      </w:r>
    </w:p>
    <w:p w14:paraId="5EC3D94B">
      <w:pPr>
        <w:pStyle w:val="533"/>
        <w:numPr>
          <w:ilvl w:val="3"/>
          <w:numId w:val="9"/>
        </w:numPr>
        <w:spacing w:before="120" w:beforeLines="50"/>
        <w:rPr>
          <w:color w:val="auto"/>
          <w:szCs w:val="24"/>
          <w:highlight w:val="none"/>
        </w:rPr>
      </w:pPr>
      <w:r>
        <w:rPr>
          <w:color w:val="auto"/>
          <w:szCs w:val="24"/>
          <w:highlight w:val="none"/>
        </w:rPr>
        <w:t>环境敏感程度（E）的分级确定</w:t>
      </w:r>
    </w:p>
    <w:p w14:paraId="1A740E1B">
      <w:pPr>
        <w:ind w:firstLine="480"/>
        <w:rPr>
          <w:color w:val="auto"/>
          <w:highlight w:val="none"/>
        </w:rPr>
      </w:pPr>
      <w:r>
        <w:rPr>
          <w:color w:val="auto"/>
          <w:highlight w:val="none"/>
        </w:rPr>
        <w:t>本项目浮船坞所在位置为海域，不涉及地下水，环境风险受体主要为大气环境、海洋，因此主要调查大气环境及海洋生态环境敏感程度。</w:t>
      </w:r>
    </w:p>
    <w:p w14:paraId="714DDEF3">
      <w:pPr>
        <w:ind w:firstLine="482"/>
        <w:rPr>
          <w:b/>
          <w:bCs/>
          <w:color w:val="auto"/>
          <w:highlight w:val="none"/>
        </w:rPr>
      </w:pPr>
      <w:r>
        <w:rPr>
          <w:b/>
          <w:bCs/>
          <w:color w:val="auto"/>
          <w:highlight w:val="none"/>
        </w:rPr>
        <w:t>（1）大气环境</w:t>
      </w:r>
    </w:p>
    <w:p w14:paraId="536EF282">
      <w:pPr>
        <w:ind w:firstLine="480"/>
        <w:rPr>
          <w:color w:val="auto"/>
          <w:highlight w:val="none"/>
        </w:rPr>
      </w:pPr>
      <w:r>
        <w:rPr>
          <w:color w:val="auto"/>
          <w:highlight w:val="none"/>
        </w:rPr>
        <w:t>依据环境敏感目标环境敏感性及人口密度划分环境风险受体的敏感性，共分为三种类型，E1为环境高度敏感区，E2为环境中度敏感区，E3为环境低度敏感区，分级原则见表1.4-12。</w:t>
      </w:r>
    </w:p>
    <w:p w14:paraId="625A4429">
      <w:pPr>
        <w:pStyle w:val="38"/>
        <w:spacing w:after="0" w:line="240" w:lineRule="auto"/>
        <w:ind w:firstLine="0" w:firstLineChars="0"/>
        <w:jc w:val="center"/>
        <w:rPr>
          <w:b/>
          <w:color w:val="auto"/>
          <w:sz w:val="21"/>
          <w:szCs w:val="21"/>
          <w:highlight w:val="none"/>
        </w:rPr>
      </w:pPr>
      <w:r>
        <w:rPr>
          <w:b/>
          <w:color w:val="auto"/>
          <w:sz w:val="21"/>
          <w:szCs w:val="21"/>
          <w:highlight w:val="none"/>
        </w:rPr>
        <w:t>表1.4-12大气环境敏感程度分级</w:t>
      </w:r>
    </w:p>
    <w:tbl>
      <w:tblPr>
        <w:tblStyle w:val="9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65"/>
        <w:gridCol w:w="8521"/>
      </w:tblGrid>
      <w:tr w14:paraId="6A7E0C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2" w:type="pct"/>
            <w:tcBorders>
              <w:left w:val="nil"/>
            </w:tcBorders>
            <w:vAlign w:val="center"/>
          </w:tcPr>
          <w:p w14:paraId="3BF5B80E">
            <w:pPr>
              <w:spacing w:line="240" w:lineRule="auto"/>
              <w:ind w:firstLine="0" w:firstLineChars="0"/>
              <w:jc w:val="center"/>
              <w:rPr>
                <w:b/>
                <w:color w:val="auto"/>
                <w:sz w:val="21"/>
                <w:szCs w:val="21"/>
                <w:highlight w:val="none"/>
              </w:rPr>
            </w:pPr>
            <w:r>
              <w:rPr>
                <w:b/>
                <w:color w:val="auto"/>
                <w:sz w:val="21"/>
                <w:szCs w:val="21"/>
                <w:highlight w:val="none"/>
              </w:rPr>
              <w:t>分级</w:t>
            </w:r>
          </w:p>
        </w:tc>
        <w:tc>
          <w:tcPr>
            <w:tcW w:w="4587" w:type="pct"/>
            <w:tcBorders>
              <w:right w:val="nil"/>
            </w:tcBorders>
            <w:vAlign w:val="center"/>
          </w:tcPr>
          <w:p w14:paraId="5CA2BEC9">
            <w:pPr>
              <w:spacing w:line="240" w:lineRule="auto"/>
              <w:ind w:firstLine="0" w:firstLineChars="0"/>
              <w:jc w:val="center"/>
              <w:rPr>
                <w:b/>
                <w:color w:val="auto"/>
                <w:sz w:val="21"/>
                <w:szCs w:val="21"/>
                <w:highlight w:val="none"/>
              </w:rPr>
            </w:pPr>
            <w:r>
              <w:rPr>
                <w:b/>
                <w:color w:val="auto"/>
                <w:sz w:val="21"/>
                <w:szCs w:val="21"/>
                <w:highlight w:val="none"/>
              </w:rPr>
              <w:t>大气环境敏感性</w:t>
            </w:r>
          </w:p>
        </w:tc>
      </w:tr>
      <w:tr w14:paraId="1B390B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2" w:type="pct"/>
            <w:tcBorders>
              <w:left w:val="nil"/>
            </w:tcBorders>
            <w:vAlign w:val="center"/>
          </w:tcPr>
          <w:p w14:paraId="00BAD7AC">
            <w:pPr>
              <w:spacing w:line="240" w:lineRule="auto"/>
              <w:ind w:firstLine="0" w:firstLineChars="0"/>
              <w:jc w:val="center"/>
              <w:rPr>
                <w:bCs/>
                <w:color w:val="auto"/>
                <w:sz w:val="21"/>
                <w:szCs w:val="21"/>
                <w:highlight w:val="none"/>
              </w:rPr>
            </w:pPr>
            <w:r>
              <w:rPr>
                <w:bCs/>
                <w:color w:val="auto"/>
                <w:sz w:val="21"/>
                <w:szCs w:val="21"/>
                <w:highlight w:val="none"/>
              </w:rPr>
              <w:t>E1</w:t>
            </w:r>
          </w:p>
        </w:tc>
        <w:tc>
          <w:tcPr>
            <w:tcW w:w="4587" w:type="pct"/>
            <w:tcBorders>
              <w:right w:val="nil"/>
            </w:tcBorders>
            <w:vAlign w:val="center"/>
          </w:tcPr>
          <w:p w14:paraId="1AF09962">
            <w:pPr>
              <w:spacing w:line="240" w:lineRule="auto"/>
              <w:ind w:firstLine="0" w:firstLineChars="0"/>
              <w:jc w:val="center"/>
              <w:rPr>
                <w:bCs/>
                <w:color w:val="auto"/>
                <w:sz w:val="21"/>
                <w:szCs w:val="21"/>
                <w:highlight w:val="none"/>
              </w:rPr>
            </w:pPr>
            <w:r>
              <w:rPr>
                <w:bCs/>
                <w:color w:val="auto"/>
                <w:sz w:val="21"/>
                <w:szCs w:val="21"/>
                <w:highlight w:val="none"/>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r>
      <w:tr w14:paraId="3AB706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2" w:type="pct"/>
            <w:tcBorders>
              <w:left w:val="nil"/>
            </w:tcBorders>
            <w:vAlign w:val="center"/>
          </w:tcPr>
          <w:p w14:paraId="76779312">
            <w:pPr>
              <w:spacing w:line="240" w:lineRule="auto"/>
              <w:ind w:firstLine="0" w:firstLineChars="0"/>
              <w:jc w:val="center"/>
              <w:rPr>
                <w:bCs/>
                <w:color w:val="auto"/>
                <w:sz w:val="21"/>
                <w:szCs w:val="21"/>
                <w:highlight w:val="none"/>
              </w:rPr>
            </w:pPr>
            <w:r>
              <w:rPr>
                <w:bCs/>
                <w:color w:val="auto"/>
                <w:sz w:val="21"/>
                <w:szCs w:val="21"/>
                <w:highlight w:val="none"/>
              </w:rPr>
              <w:t>E2</w:t>
            </w:r>
          </w:p>
        </w:tc>
        <w:tc>
          <w:tcPr>
            <w:tcW w:w="4587" w:type="pct"/>
            <w:tcBorders>
              <w:right w:val="nil"/>
            </w:tcBorders>
            <w:vAlign w:val="center"/>
          </w:tcPr>
          <w:p w14:paraId="64520C84">
            <w:pPr>
              <w:spacing w:line="240" w:lineRule="auto"/>
              <w:ind w:firstLine="0" w:firstLineChars="0"/>
              <w:jc w:val="center"/>
              <w:rPr>
                <w:bCs/>
                <w:color w:val="auto"/>
                <w:sz w:val="21"/>
                <w:szCs w:val="21"/>
                <w:highlight w:val="none"/>
              </w:rPr>
            </w:pPr>
            <w:r>
              <w:rPr>
                <w:bCs/>
                <w:color w:val="auto"/>
                <w:sz w:val="21"/>
                <w:szCs w:val="21"/>
                <w:highlight w:val="none"/>
              </w:rP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r>
      <w:tr w14:paraId="2984C0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2" w:type="pct"/>
            <w:tcBorders>
              <w:left w:val="nil"/>
            </w:tcBorders>
            <w:vAlign w:val="center"/>
          </w:tcPr>
          <w:p w14:paraId="1A865729">
            <w:pPr>
              <w:spacing w:line="240" w:lineRule="auto"/>
              <w:ind w:firstLine="0" w:firstLineChars="0"/>
              <w:jc w:val="center"/>
              <w:rPr>
                <w:bCs/>
                <w:color w:val="auto"/>
                <w:sz w:val="21"/>
                <w:szCs w:val="21"/>
                <w:highlight w:val="none"/>
              </w:rPr>
            </w:pPr>
            <w:r>
              <w:rPr>
                <w:bCs/>
                <w:color w:val="auto"/>
                <w:sz w:val="21"/>
                <w:szCs w:val="21"/>
                <w:highlight w:val="none"/>
              </w:rPr>
              <w:t>E3</w:t>
            </w:r>
          </w:p>
        </w:tc>
        <w:tc>
          <w:tcPr>
            <w:tcW w:w="4587" w:type="pct"/>
            <w:tcBorders>
              <w:right w:val="nil"/>
            </w:tcBorders>
            <w:vAlign w:val="center"/>
          </w:tcPr>
          <w:p w14:paraId="2ECA7F5C">
            <w:pPr>
              <w:spacing w:line="240" w:lineRule="auto"/>
              <w:ind w:firstLine="0" w:firstLineChars="0"/>
              <w:jc w:val="center"/>
              <w:rPr>
                <w:bCs/>
                <w:color w:val="auto"/>
                <w:sz w:val="21"/>
                <w:szCs w:val="21"/>
                <w:highlight w:val="none"/>
              </w:rPr>
            </w:pPr>
            <w:r>
              <w:rPr>
                <w:bCs/>
                <w:color w:val="auto"/>
                <w:sz w:val="21"/>
                <w:szCs w:val="21"/>
                <w:highlight w:val="none"/>
              </w:rPr>
              <w:t>周边5km范围内居住区、医疗卫生、文化教育、科研、行政办公等机构人口总数小于1万人；或周边500m范围内人口总数小于500人；油气、化学品输送管线管段周边200m范围内，每千米管段人口数小于100人。</w:t>
            </w:r>
          </w:p>
        </w:tc>
      </w:tr>
    </w:tbl>
    <w:p w14:paraId="64D973F8">
      <w:pPr>
        <w:spacing w:before="120" w:beforeLines="50"/>
        <w:ind w:firstLine="480"/>
        <w:rPr>
          <w:color w:val="auto"/>
          <w:highlight w:val="none"/>
        </w:rPr>
      </w:pPr>
      <w:bookmarkStart w:id="69" w:name="_Hlk87284168"/>
      <w:bookmarkStart w:id="70" w:name="_Hlk87284541"/>
      <w:r>
        <w:rPr>
          <w:color w:val="auto"/>
          <w:highlight w:val="none"/>
        </w:rPr>
        <w:t>项目周边 5km 范围无居民居住区、医疗卫生、文化教育、科研、行政办公等机构因此，对照上表，项目大气环境敏感程度分级属于E3。</w:t>
      </w:r>
      <w:bookmarkEnd w:id="69"/>
    </w:p>
    <w:p w14:paraId="0542D4E7">
      <w:pPr>
        <w:ind w:firstLine="482"/>
        <w:rPr>
          <w:b/>
          <w:bCs/>
          <w:color w:val="auto"/>
          <w:highlight w:val="none"/>
        </w:rPr>
      </w:pPr>
      <w:r>
        <w:rPr>
          <w:b/>
          <w:bCs/>
          <w:color w:val="auto"/>
          <w:highlight w:val="none"/>
        </w:rPr>
        <w:t>（2）海洋生态环境</w:t>
      </w:r>
    </w:p>
    <w:p w14:paraId="6FEE534B">
      <w:pPr>
        <w:ind w:firstLine="480"/>
        <w:rPr>
          <w:color w:val="auto"/>
          <w:highlight w:val="none"/>
        </w:rPr>
      </w:pPr>
      <w:r>
        <w:rPr>
          <w:color w:val="auto"/>
          <w:highlight w:val="none"/>
        </w:rPr>
        <w:t>根据《环境影响评价技术导则 海洋生态环境》（HJ 1409-2025）中“G.3 环境敏感程度（E），”依据事故情况下危险物质泄漏可能影响生态敏感区的情况，分为三种类型，E1 为环境高度敏感区，E2 为环境中度敏感区，E3 为环境低度敏感区，详见下表。</w:t>
      </w:r>
    </w:p>
    <w:p w14:paraId="24FE58FD">
      <w:pPr>
        <w:pStyle w:val="38"/>
        <w:spacing w:after="0" w:line="240" w:lineRule="auto"/>
        <w:ind w:firstLine="0" w:firstLineChars="0"/>
        <w:jc w:val="center"/>
        <w:rPr>
          <w:b/>
          <w:color w:val="auto"/>
          <w:sz w:val="21"/>
          <w:szCs w:val="21"/>
          <w:highlight w:val="none"/>
        </w:rPr>
      </w:pPr>
      <w:r>
        <w:rPr>
          <w:b/>
          <w:color w:val="auto"/>
          <w:sz w:val="21"/>
          <w:szCs w:val="21"/>
          <w:highlight w:val="none"/>
        </w:rPr>
        <w:t>表1.4-13 环境敏感程度分级</w:t>
      </w:r>
    </w:p>
    <w:tbl>
      <w:tblPr>
        <w:tblStyle w:val="154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68"/>
        <w:gridCol w:w="8018"/>
      </w:tblGrid>
      <w:tr w14:paraId="6058EE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vAlign w:val="center"/>
          </w:tcPr>
          <w:p w14:paraId="4CA89563">
            <w:pPr>
              <w:pStyle w:val="584"/>
              <w:kinsoku w:val="0"/>
              <w:overflowPunct w:val="0"/>
              <w:spacing w:line="240" w:lineRule="auto"/>
              <w:ind w:firstLine="0" w:firstLineChars="0"/>
              <w:jc w:val="center"/>
              <w:textAlignment w:val="center"/>
              <w:rPr>
                <w:rFonts w:ascii="Times New Roman" w:hAnsi="Times New Roman" w:cs="Times New Roman" w:eastAsiaTheme="minorEastAsia"/>
                <w:b/>
                <w:bCs w:val="0"/>
                <w:iCs/>
                <w:snapToGrid w:val="0"/>
                <w:color w:val="auto"/>
                <w:sz w:val="21"/>
                <w:szCs w:val="21"/>
                <w:highlight w:val="none"/>
              </w:rPr>
            </w:pPr>
            <w:r>
              <w:rPr>
                <w:rFonts w:ascii="Times New Roman" w:hAnsi="Times New Roman" w:cs="Times New Roman" w:eastAsiaTheme="minorEastAsia"/>
                <w:b/>
                <w:bCs w:val="0"/>
                <w:iCs/>
                <w:snapToGrid w:val="0"/>
                <w:color w:val="auto"/>
                <w:sz w:val="21"/>
                <w:szCs w:val="21"/>
                <w:highlight w:val="none"/>
              </w:rPr>
              <w:t>敏感性</w:t>
            </w:r>
          </w:p>
        </w:tc>
        <w:tc>
          <w:tcPr>
            <w:tcW w:w="4317" w:type="pct"/>
            <w:vAlign w:val="center"/>
          </w:tcPr>
          <w:p w14:paraId="7A77C8A2">
            <w:pPr>
              <w:pStyle w:val="584"/>
              <w:kinsoku w:val="0"/>
              <w:overflowPunct w:val="0"/>
              <w:spacing w:line="240" w:lineRule="auto"/>
              <w:ind w:firstLine="0" w:firstLineChars="0"/>
              <w:jc w:val="center"/>
              <w:textAlignment w:val="center"/>
              <w:rPr>
                <w:rFonts w:ascii="Times New Roman" w:hAnsi="Times New Roman" w:cs="Times New Roman" w:eastAsiaTheme="minorEastAsia"/>
                <w:b/>
                <w:bCs w:val="0"/>
                <w:iCs/>
                <w:snapToGrid w:val="0"/>
                <w:color w:val="auto"/>
                <w:sz w:val="21"/>
                <w:szCs w:val="21"/>
                <w:highlight w:val="none"/>
              </w:rPr>
            </w:pPr>
            <w:r>
              <w:rPr>
                <w:rFonts w:ascii="Times New Roman" w:hAnsi="Times New Roman" w:cs="Times New Roman" w:eastAsiaTheme="minorEastAsia"/>
                <w:b/>
                <w:bCs w:val="0"/>
                <w:iCs/>
                <w:snapToGrid w:val="0"/>
                <w:color w:val="auto"/>
                <w:sz w:val="21"/>
                <w:szCs w:val="21"/>
                <w:highlight w:val="none"/>
              </w:rPr>
              <w:t>环境敏感特征</w:t>
            </w:r>
          </w:p>
        </w:tc>
      </w:tr>
      <w:tr w14:paraId="3DB35F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vAlign w:val="center"/>
          </w:tcPr>
          <w:p w14:paraId="4EC67E9C">
            <w:pPr>
              <w:pStyle w:val="584"/>
              <w:kinsoku w:val="0"/>
              <w:overflowPunct w:val="0"/>
              <w:spacing w:line="240" w:lineRule="auto"/>
              <w:ind w:firstLine="0" w:firstLineChars="0"/>
              <w:jc w:val="center"/>
              <w:textAlignment w:val="center"/>
              <w:rPr>
                <w:rFonts w:ascii="Times New Roman" w:hAnsi="Times New Roman" w:cs="Times New Roman" w:eastAsiaTheme="minorEastAsia"/>
                <w:bCs/>
                <w:iCs/>
                <w:snapToGrid w:val="0"/>
                <w:color w:val="auto"/>
                <w:sz w:val="21"/>
                <w:szCs w:val="21"/>
                <w:highlight w:val="none"/>
              </w:rPr>
            </w:pPr>
            <w:r>
              <w:rPr>
                <w:rFonts w:ascii="Times New Roman" w:hAnsi="Times New Roman" w:cs="Times New Roman" w:eastAsiaTheme="minorEastAsia"/>
                <w:bCs/>
                <w:iCs/>
                <w:snapToGrid w:val="0"/>
                <w:color w:val="auto"/>
                <w:sz w:val="21"/>
                <w:szCs w:val="21"/>
                <w:highlight w:val="none"/>
              </w:rPr>
              <w:t>E1</w:t>
            </w:r>
          </w:p>
        </w:tc>
        <w:tc>
          <w:tcPr>
            <w:tcW w:w="4317" w:type="pct"/>
            <w:vAlign w:val="center"/>
          </w:tcPr>
          <w:p w14:paraId="2FF3F965">
            <w:pPr>
              <w:pStyle w:val="584"/>
              <w:kinsoku w:val="0"/>
              <w:overflowPunct w:val="0"/>
              <w:spacing w:line="240" w:lineRule="auto"/>
              <w:ind w:firstLine="0" w:firstLineChars="0"/>
              <w:jc w:val="center"/>
              <w:textAlignment w:val="center"/>
              <w:rPr>
                <w:rFonts w:ascii="Times New Roman" w:hAnsi="Times New Roman" w:cs="Times New Roman" w:eastAsiaTheme="minorEastAsia"/>
                <w:bCs/>
                <w:iCs/>
                <w:snapToGrid w:val="0"/>
                <w:color w:val="auto"/>
                <w:sz w:val="21"/>
                <w:szCs w:val="21"/>
                <w:highlight w:val="none"/>
              </w:rPr>
            </w:pPr>
            <w:r>
              <w:rPr>
                <w:rFonts w:ascii="Times New Roman" w:hAnsi="Times New Roman" w:cs="Times New Roman" w:eastAsiaTheme="minorEastAsia"/>
                <w:bCs/>
                <w:iCs/>
                <w:snapToGrid w:val="0"/>
                <w:color w:val="auto"/>
                <w:sz w:val="21"/>
                <w:szCs w:val="21"/>
                <w:highlight w:val="none"/>
              </w:rPr>
              <w:t>危险物质泄漏到海洋的排放点位于海水水质分类第一类区域或重要敏感区</w:t>
            </w:r>
          </w:p>
        </w:tc>
      </w:tr>
      <w:tr w14:paraId="16ED82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vAlign w:val="center"/>
          </w:tcPr>
          <w:p w14:paraId="25655F1E">
            <w:pPr>
              <w:pStyle w:val="584"/>
              <w:kinsoku w:val="0"/>
              <w:overflowPunct w:val="0"/>
              <w:spacing w:line="240" w:lineRule="auto"/>
              <w:ind w:firstLine="0" w:firstLineChars="0"/>
              <w:jc w:val="center"/>
              <w:textAlignment w:val="center"/>
              <w:rPr>
                <w:rFonts w:ascii="Times New Roman" w:hAnsi="Times New Roman" w:cs="Times New Roman" w:eastAsiaTheme="minorEastAsia"/>
                <w:bCs/>
                <w:iCs/>
                <w:snapToGrid w:val="0"/>
                <w:color w:val="auto"/>
                <w:sz w:val="21"/>
                <w:szCs w:val="21"/>
                <w:highlight w:val="none"/>
              </w:rPr>
            </w:pPr>
            <w:r>
              <w:rPr>
                <w:rFonts w:ascii="Times New Roman" w:hAnsi="Times New Roman" w:cs="Times New Roman" w:eastAsiaTheme="minorEastAsia"/>
                <w:bCs/>
                <w:iCs/>
                <w:snapToGrid w:val="0"/>
                <w:color w:val="auto"/>
                <w:sz w:val="21"/>
                <w:szCs w:val="21"/>
                <w:highlight w:val="none"/>
              </w:rPr>
              <w:t>E2</w:t>
            </w:r>
          </w:p>
        </w:tc>
        <w:tc>
          <w:tcPr>
            <w:tcW w:w="4317" w:type="pct"/>
            <w:vAlign w:val="center"/>
          </w:tcPr>
          <w:p w14:paraId="3CFED2E5">
            <w:pPr>
              <w:pStyle w:val="584"/>
              <w:kinsoku w:val="0"/>
              <w:overflowPunct w:val="0"/>
              <w:spacing w:line="240" w:lineRule="auto"/>
              <w:ind w:firstLine="0" w:firstLineChars="0"/>
              <w:jc w:val="center"/>
              <w:textAlignment w:val="center"/>
              <w:rPr>
                <w:rFonts w:ascii="Times New Roman" w:hAnsi="Times New Roman" w:cs="Times New Roman" w:eastAsiaTheme="minorEastAsia"/>
                <w:bCs/>
                <w:iCs/>
                <w:snapToGrid w:val="0"/>
                <w:color w:val="auto"/>
                <w:sz w:val="21"/>
                <w:szCs w:val="21"/>
                <w:highlight w:val="none"/>
              </w:rPr>
            </w:pPr>
            <w:r>
              <w:rPr>
                <w:rFonts w:ascii="Times New Roman" w:hAnsi="Times New Roman" w:cs="Times New Roman" w:eastAsiaTheme="minorEastAsia"/>
                <w:bCs/>
                <w:iCs/>
                <w:snapToGrid w:val="0"/>
                <w:color w:val="auto"/>
                <w:sz w:val="21"/>
                <w:szCs w:val="21"/>
                <w:highlight w:val="none"/>
              </w:rPr>
              <w:t>危险物质泄漏到海洋的排放点位于海水水质分类第二类区域或一般敏感区</w:t>
            </w:r>
          </w:p>
        </w:tc>
      </w:tr>
      <w:tr w14:paraId="76CB79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vAlign w:val="center"/>
          </w:tcPr>
          <w:p w14:paraId="30B7CE2C">
            <w:pPr>
              <w:pStyle w:val="584"/>
              <w:kinsoku w:val="0"/>
              <w:overflowPunct w:val="0"/>
              <w:spacing w:line="240" w:lineRule="auto"/>
              <w:ind w:firstLine="0" w:firstLineChars="0"/>
              <w:jc w:val="center"/>
              <w:textAlignment w:val="center"/>
              <w:rPr>
                <w:rFonts w:ascii="Times New Roman" w:hAnsi="Times New Roman" w:cs="Times New Roman" w:eastAsiaTheme="minorEastAsia"/>
                <w:bCs/>
                <w:iCs/>
                <w:snapToGrid w:val="0"/>
                <w:color w:val="auto"/>
                <w:sz w:val="21"/>
                <w:szCs w:val="21"/>
                <w:highlight w:val="none"/>
              </w:rPr>
            </w:pPr>
            <w:r>
              <w:rPr>
                <w:rFonts w:ascii="Times New Roman" w:hAnsi="Times New Roman" w:cs="Times New Roman" w:eastAsiaTheme="minorEastAsia"/>
                <w:bCs/>
                <w:iCs/>
                <w:snapToGrid w:val="0"/>
                <w:color w:val="auto"/>
                <w:sz w:val="21"/>
                <w:szCs w:val="21"/>
                <w:highlight w:val="none"/>
              </w:rPr>
              <w:t>E3</w:t>
            </w:r>
          </w:p>
        </w:tc>
        <w:tc>
          <w:tcPr>
            <w:tcW w:w="4317" w:type="pct"/>
            <w:vAlign w:val="center"/>
          </w:tcPr>
          <w:p w14:paraId="166D365E">
            <w:pPr>
              <w:pStyle w:val="584"/>
              <w:kinsoku w:val="0"/>
              <w:overflowPunct w:val="0"/>
              <w:spacing w:line="240" w:lineRule="auto"/>
              <w:ind w:firstLine="0" w:firstLineChars="0"/>
              <w:jc w:val="center"/>
              <w:textAlignment w:val="center"/>
              <w:rPr>
                <w:rFonts w:ascii="Times New Roman" w:hAnsi="Times New Roman" w:cs="Times New Roman" w:eastAsiaTheme="minorEastAsia"/>
                <w:bCs/>
                <w:iCs/>
                <w:snapToGrid w:val="0"/>
                <w:color w:val="auto"/>
                <w:sz w:val="21"/>
                <w:szCs w:val="21"/>
                <w:highlight w:val="none"/>
              </w:rPr>
            </w:pPr>
            <w:r>
              <w:rPr>
                <w:rFonts w:ascii="Times New Roman" w:hAnsi="Times New Roman" w:cs="Times New Roman" w:eastAsiaTheme="minorEastAsia"/>
                <w:bCs/>
                <w:iCs/>
                <w:snapToGrid w:val="0"/>
                <w:color w:val="auto"/>
                <w:sz w:val="21"/>
                <w:szCs w:val="21"/>
                <w:highlight w:val="none"/>
              </w:rPr>
              <w:t>上述地区之外的其他地区</w:t>
            </w:r>
          </w:p>
        </w:tc>
      </w:tr>
    </w:tbl>
    <w:p w14:paraId="76FF5804">
      <w:pPr>
        <w:pStyle w:val="1537"/>
        <w:adjustRightInd w:val="0"/>
        <w:snapToGrid w:val="0"/>
        <w:spacing w:before="120" w:beforeLines="50" w:line="360" w:lineRule="auto"/>
        <w:ind w:firstLine="480"/>
        <w:rPr>
          <w:color w:val="auto"/>
          <w:highlight w:val="none"/>
        </w:rPr>
      </w:pPr>
      <w:r>
        <w:rPr>
          <w:color w:val="auto"/>
          <w:highlight w:val="none"/>
        </w:rPr>
        <w:t>项目浮船坞用海区域位于海水水质分类第四类区域，不涉及海洋生态敏感区，属于环境低度敏感区域（E3）</w:t>
      </w:r>
      <w:r>
        <w:rPr>
          <w:rFonts w:hint="eastAsia"/>
          <w:color w:val="auto"/>
          <w:highlight w:val="none"/>
        </w:rPr>
        <w:t>。</w:t>
      </w:r>
    </w:p>
    <w:bookmarkEnd w:id="70"/>
    <w:p w14:paraId="3CE07B7A">
      <w:pPr>
        <w:pStyle w:val="533"/>
        <w:numPr>
          <w:ilvl w:val="3"/>
          <w:numId w:val="9"/>
        </w:numPr>
        <w:rPr>
          <w:color w:val="auto"/>
          <w:szCs w:val="24"/>
          <w:highlight w:val="none"/>
        </w:rPr>
      </w:pPr>
      <w:r>
        <w:rPr>
          <w:color w:val="auto"/>
          <w:szCs w:val="24"/>
          <w:highlight w:val="none"/>
        </w:rPr>
        <w:t>评价等级</w:t>
      </w:r>
    </w:p>
    <w:p w14:paraId="0AEDD210">
      <w:pPr>
        <w:pStyle w:val="1537"/>
        <w:adjustRightInd w:val="0"/>
        <w:snapToGrid w:val="0"/>
        <w:spacing w:before="0" w:line="360" w:lineRule="auto"/>
        <w:ind w:firstLine="480"/>
        <w:rPr>
          <w:color w:val="auto"/>
          <w:kern w:val="0"/>
          <w:szCs w:val="24"/>
          <w:highlight w:val="none"/>
          <w:u w:val="single"/>
        </w:rPr>
      </w:pPr>
      <w:r>
        <w:rPr>
          <w:color w:val="auto"/>
          <w:kern w:val="0"/>
          <w:szCs w:val="24"/>
          <w:highlight w:val="none"/>
          <w:u w:val="single"/>
        </w:rPr>
        <w:t>本项目环境风险评价等级为</w:t>
      </w:r>
      <w:r>
        <w:rPr>
          <w:rFonts w:hint="eastAsia"/>
          <w:color w:val="auto"/>
          <w:kern w:val="0"/>
          <w:szCs w:val="24"/>
          <w:highlight w:val="none"/>
          <w:u w:val="single"/>
        </w:rPr>
        <w:t>简单分析</w:t>
      </w:r>
      <w:r>
        <w:rPr>
          <w:color w:val="auto"/>
          <w:kern w:val="0"/>
          <w:szCs w:val="24"/>
          <w:highlight w:val="none"/>
          <w:u w:val="single"/>
        </w:rPr>
        <w:t>。</w:t>
      </w:r>
    </w:p>
    <w:p w14:paraId="60A06203">
      <w:pPr>
        <w:pStyle w:val="38"/>
        <w:spacing w:after="0" w:line="240" w:lineRule="auto"/>
        <w:ind w:firstLine="0" w:firstLineChars="0"/>
        <w:jc w:val="center"/>
        <w:rPr>
          <w:b/>
          <w:color w:val="auto"/>
          <w:sz w:val="21"/>
          <w:szCs w:val="21"/>
          <w:highlight w:val="none"/>
        </w:rPr>
      </w:pPr>
      <w:r>
        <w:rPr>
          <w:b/>
          <w:color w:val="auto"/>
          <w:sz w:val="21"/>
          <w:szCs w:val="21"/>
          <w:highlight w:val="none"/>
        </w:rPr>
        <w:t>表1.4-14  项目环境风险评价等级</w:t>
      </w:r>
    </w:p>
    <w:tbl>
      <w:tblPr>
        <w:tblStyle w:val="9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6"/>
        <w:gridCol w:w="1579"/>
        <w:gridCol w:w="1771"/>
        <w:gridCol w:w="1771"/>
        <w:gridCol w:w="1533"/>
        <w:gridCol w:w="1856"/>
      </w:tblGrid>
      <w:tr w14:paraId="4D3A17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8" w:type="pct"/>
            <w:gridSpan w:val="2"/>
            <w:tcBorders>
              <w:tl2br w:val="nil"/>
              <w:tr2bl w:val="nil"/>
            </w:tcBorders>
            <w:vAlign w:val="center"/>
          </w:tcPr>
          <w:p w14:paraId="03DD01C2">
            <w:pPr>
              <w:pStyle w:val="523"/>
              <w:snapToGrid w:val="0"/>
              <w:spacing w:line="240" w:lineRule="auto"/>
              <w:ind w:left="0" w:leftChars="0" w:right="0" w:rightChars="0"/>
              <w:contextualSpacing w:val="0"/>
              <w:rPr>
                <w:b/>
                <w:bCs w:val="0"/>
                <w:color w:val="auto"/>
                <w:highlight w:val="none"/>
              </w:rPr>
            </w:pPr>
            <w:r>
              <w:rPr>
                <w:b/>
                <w:bCs w:val="0"/>
                <w:color w:val="auto"/>
                <w:highlight w:val="none"/>
              </w:rPr>
              <w:t>环境要素</w:t>
            </w:r>
          </w:p>
        </w:tc>
        <w:tc>
          <w:tcPr>
            <w:tcW w:w="953" w:type="pct"/>
            <w:tcBorders>
              <w:tl2br w:val="nil"/>
              <w:tr2bl w:val="nil"/>
            </w:tcBorders>
            <w:vAlign w:val="center"/>
          </w:tcPr>
          <w:p w14:paraId="50991BD5">
            <w:pPr>
              <w:pStyle w:val="523"/>
              <w:snapToGrid w:val="0"/>
              <w:spacing w:line="240" w:lineRule="auto"/>
              <w:ind w:left="0" w:leftChars="0" w:right="0" w:rightChars="0"/>
              <w:contextualSpacing w:val="0"/>
              <w:rPr>
                <w:b/>
                <w:bCs w:val="0"/>
                <w:color w:val="auto"/>
                <w:highlight w:val="none"/>
              </w:rPr>
            </w:pPr>
            <w:r>
              <w:rPr>
                <w:b/>
                <w:bCs w:val="0"/>
                <w:color w:val="auto"/>
                <w:highlight w:val="none"/>
              </w:rPr>
              <w:t>危险物质及工艺系统危险性（P）</w:t>
            </w:r>
          </w:p>
        </w:tc>
        <w:tc>
          <w:tcPr>
            <w:tcW w:w="953" w:type="pct"/>
            <w:tcBorders>
              <w:tl2br w:val="nil"/>
              <w:tr2bl w:val="nil"/>
            </w:tcBorders>
            <w:vAlign w:val="center"/>
          </w:tcPr>
          <w:p w14:paraId="1CCDA89A">
            <w:pPr>
              <w:pStyle w:val="523"/>
              <w:snapToGrid w:val="0"/>
              <w:spacing w:line="240" w:lineRule="auto"/>
              <w:ind w:left="0" w:leftChars="0" w:right="0" w:rightChars="0"/>
              <w:contextualSpacing w:val="0"/>
              <w:rPr>
                <w:b/>
                <w:bCs w:val="0"/>
                <w:color w:val="auto"/>
                <w:highlight w:val="none"/>
              </w:rPr>
            </w:pPr>
            <w:r>
              <w:rPr>
                <w:b/>
                <w:bCs w:val="0"/>
                <w:color w:val="auto"/>
                <w:highlight w:val="none"/>
              </w:rPr>
              <w:t>环境敏感程度（E）</w:t>
            </w:r>
          </w:p>
        </w:tc>
        <w:tc>
          <w:tcPr>
            <w:tcW w:w="825" w:type="pct"/>
            <w:tcBorders>
              <w:tl2br w:val="nil"/>
              <w:tr2bl w:val="nil"/>
            </w:tcBorders>
            <w:vAlign w:val="center"/>
          </w:tcPr>
          <w:p w14:paraId="18C9D6D7">
            <w:pPr>
              <w:pStyle w:val="523"/>
              <w:snapToGrid w:val="0"/>
              <w:spacing w:line="240" w:lineRule="auto"/>
              <w:ind w:left="0" w:leftChars="0" w:right="0" w:rightChars="0"/>
              <w:contextualSpacing w:val="0"/>
              <w:rPr>
                <w:b/>
                <w:bCs w:val="0"/>
                <w:color w:val="auto"/>
                <w:highlight w:val="none"/>
              </w:rPr>
            </w:pPr>
            <w:r>
              <w:rPr>
                <w:b/>
                <w:bCs w:val="0"/>
                <w:color w:val="auto"/>
                <w:highlight w:val="none"/>
              </w:rPr>
              <w:t>环境潜势</w:t>
            </w:r>
          </w:p>
        </w:tc>
        <w:tc>
          <w:tcPr>
            <w:tcW w:w="999" w:type="pct"/>
            <w:tcBorders>
              <w:tl2br w:val="nil"/>
              <w:tr2bl w:val="nil"/>
            </w:tcBorders>
            <w:vAlign w:val="center"/>
          </w:tcPr>
          <w:p w14:paraId="1243C71B">
            <w:pPr>
              <w:pStyle w:val="523"/>
              <w:snapToGrid w:val="0"/>
              <w:spacing w:line="240" w:lineRule="auto"/>
              <w:ind w:left="0" w:leftChars="0" w:right="0" w:rightChars="0"/>
              <w:contextualSpacing w:val="0"/>
              <w:rPr>
                <w:b/>
                <w:bCs w:val="0"/>
                <w:color w:val="auto"/>
                <w:highlight w:val="none"/>
              </w:rPr>
            </w:pPr>
            <w:r>
              <w:rPr>
                <w:b/>
                <w:bCs w:val="0"/>
                <w:color w:val="auto"/>
                <w:highlight w:val="none"/>
              </w:rPr>
              <w:t>评价等级</w:t>
            </w:r>
          </w:p>
        </w:tc>
      </w:tr>
      <w:tr w14:paraId="0077AF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8" w:type="pct"/>
            <w:vMerge w:val="restart"/>
            <w:tcBorders>
              <w:tl2br w:val="nil"/>
              <w:tr2bl w:val="nil"/>
            </w:tcBorders>
            <w:vAlign w:val="center"/>
          </w:tcPr>
          <w:p w14:paraId="48B1ACC8">
            <w:pPr>
              <w:pStyle w:val="523"/>
              <w:snapToGrid w:val="0"/>
              <w:spacing w:line="240" w:lineRule="auto"/>
              <w:ind w:left="0" w:leftChars="0" w:right="0" w:rightChars="0"/>
              <w:contextualSpacing w:val="0"/>
              <w:rPr>
                <w:color w:val="auto"/>
                <w:highlight w:val="none"/>
              </w:rPr>
            </w:pPr>
            <w:r>
              <w:rPr>
                <w:color w:val="auto"/>
                <w:highlight w:val="none"/>
              </w:rPr>
              <w:t>环境风险</w:t>
            </w:r>
          </w:p>
        </w:tc>
        <w:tc>
          <w:tcPr>
            <w:tcW w:w="849" w:type="pct"/>
            <w:tcBorders>
              <w:tl2br w:val="nil"/>
              <w:tr2bl w:val="nil"/>
            </w:tcBorders>
            <w:vAlign w:val="center"/>
          </w:tcPr>
          <w:p w14:paraId="633E6366">
            <w:pPr>
              <w:pStyle w:val="523"/>
              <w:snapToGrid w:val="0"/>
              <w:spacing w:line="240" w:lineRule="auto"/>
              <w:ind w:left="0" w:leftChars="0" w:right="0" w:rightChars="0"/>
              <w:contextualSpacing w:val="0"/>
              <w:rPr>
                <w:color w:val="auto"/>
                <w:highlight w:val="none"/>
              </w:rPr>
            </w:pPr>
            <w:r>
              <w:rPr>
                <w:color w:val="auto"/>
                <w:highlight w:val="none"/>
              </w:rPr>
              <w:t>大气环境</w:t>
            </w:r>
          </w:p>
        </w:tc>
        <w:tc>
          <w:tcPr>
            <w:tcW w:w="953" w:type="pct"/>
            <w:tcBorders>
              <w:tl2br w:val="nil"/>
              <w:tr2bl w:val="nil"/>
            </w:tcBorders>
            <w:vAlign w:val="center"/>
          </w:tcPr>
          <w:p w14:paraId="6B782BB9">
            <w:pPr>
              <w:pStyle w:val="523"/>
              <w:snapToGrid w:val="0"/>
              <w:spacing w:line="240" w:lineRule="auto"/>
              <w:ind w:left="0" w:leftChars="0" w:right="0" w:rightChars="0"/>
              <w:contextualSpacing w:val="0"/>
              <w:rPr>
                <w:color w:val="auto"/>
                <w:highlight w:val="none"/>
              </w:rPr>
            </w:pPr>
            <w:r>
              <w:rPr>
                <w:color w:val="auto"/>
                <w:highlight w:val="none"/>
              </w:rPr>
              <w:t>P4</w:t>
            </w:r>
          </w:p>
        </w:tc>
        <w:tc>
          <w:tcPr>
            <w:tcW w:w="953" w:type="pct"/>
            <w:tcBorders>
              <w:tl2br w:val="nil"/>
              <w:tr2bl w:val="nil"/>
            </w:tcBorders>
            <w:vAlign w:val="center"/>
          </w:tcPr>
          <w:p w14:paraId="7C325915">
            <w:pPr>
              <w:pStyle w:val="523"/>
              <w:snapToGrid w:val="0"/>
              <w:spacing w:line="240" w:lineRule="auto"/>
              <w:ind w:left="0" w:leftChars="0" w:right="0" w:rightChars="0"/>
              <w:contextualSpacing w:val="0"/>
              <w:rPr>
                <w:color w:val="auto"/>
                <w:highlight w:val="none"/>
              </w:rPr>
            </w:pPr>
            <w:r>
              <w:rPr>
                <w:color w:val="auto"/>
                <w:highlight w:val="none"/>
              </w:rPr>
              <w:t>E3</w:t>
            </w:r>
          </w:p>
        </w:tc>
        <w:tc>
          <w:tcPr>
            <w:tcW w:w="825" w:type="pct"/>
            <w:tcBorders>
              <w:tl2br w:val="nil"/>
              <w:tr2bl w:val="nil"/>
            </w:tcBorders>
            <w:vAlign w:val="center"/>
          </w:tcPr>
          <w:p w14:paraId="329064A7">
            <w:pPr>
              <w:pStyle w:val="523"/>
              <w:snapToGrid w:val="0"/>
              <w:spacing w:line="240" w:lineRule="auto"/>
              <w:ind w:left="0" w:leftChars="0" w:right="0" w:rightChars="0"/>
              <w:contextualSpacing w:val="0"/>
              <w:rPr>
                <w:color w:val="auto"/>
                <w:highlight w:val="none"/>
              </w:rPr>
            </w:pPr>
            <w:r>
              <w:rPr>
                <w:color w:val="auto"/>
                <w:highlight w:val="none"/>
              </w:rPr>
              <w:t>I</w:t>
            </w:r>
          </w:p>
        </w:tc>
        <w:tc>
          <w:tcPr>
            <w:tcW w:w="999" w:type="pct"/>
            <w:tcBorders>
              <w:tl2br w:val="nil"/>
              <w:tr2bl w:val="nil"/>
            </w:tcBorders>
            <w:vAlign w:val="center"/>
          </w:tcPr>
          <w:p w14:paraId="68723567">
            <w:pPr>
              <w:pStyle w:val="523"/>
              <w:snapToGrid w:val="0"/>
              <w:spacing w:line="240" w:lineRule="auto"/>
              <w:ind w:left="0" w:leftChars="0" w:right="0" w:rightChars="0"/>
              <w:contextualSpacing w:val="0"/>
              <w:rPr>
                <w:color w:val="auto"/>
                <w:highlight w:val="none"/>
              </w:rPr>
            </w:pPr>
            <w:r>
              <w:rPr>
                <w:rFonts w:hint="eastAsia"/>
                <w:color w:val="auto"/>
                <w:highlight w:val="none"/>
              </w:rPr>
              <w:t>简单分析</w:t>
            </w:r>
          </w:p>
        </w:tc>
      </w:tr>
      <w:tr w14:paraId="172962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8" w:type="pct"/>
            <w:vMerge w:val="continue"/>
            <w:tcBorders>
              <w:tl2br w:val="nil"/>
              <w:tr2bl w:val="nil"/>
            </w:tcBorders>
            <w:vAlign w:val="center"/>
          </w:tcPr>
          <w:p w14:paraId="0A8EB7A3">
            <w:pPr>
              <w:pStyle w:val="523"/>
              <w:snapToGrid w:val="0"/>
              <w:spacing w:line="240" w:lineRule="auto"/>
              <w:ind w:left="0" w:leftChars="0" w:right="0" w:rightChars="0"/>
              <w:contextualSpacing w:val="0"/>
              <w:rPr>
                <w:color w:val="auto"/>
                <w:highlight w:val="none"/>
              </w:rPr>
            </w:pPr>
          </w:p>
        </w:tc>
        <w:tc>
          <w:tcPr>
            <w:tcW w:w="849" w:type="pct"/>
            <w:tcBorders>
              <w:tl2br w:val="nil"/>
              <w:tr2bl w:val="nil"/>
            </w:tcBorders>
            <w:vAlign w:val="center"/>
          </w:tcPr>
          <w:p w14:paraId="20279493">
            <w:pPr>
              <w:pStyle w:val="523"/>
              <w:snapToGrid w:val="0"/>
              <w:spacing w:line="240" w:lineRule="auto"/>
              <w:ind w:left="0" w:leftChars="0" w:right="0" w:rightChars="0"/>
              <w:contextualSpacing w:val="0"/>
              <w:rPr>
                <w:color w:val="auto"/>
                <w:highlight w:val="none"/>
              </w:rPr>
            </w:pPr>
            <w:r>
              <w:rPr>
                <w:color w:val="auto"/>
                <w:highlight w:val="none"/>
              </w:rPr>
              <w:t>海洋生态环境</w:t>
            </w:r>
          </w:p>
        </w:tc>
        <w:tc>
          <w:tcPr>
            <w:tcW w:w="953" w:type="pct"/>
            <w:tcBorders>
              <w:tl2br w:val="nil"/>
              <w:tr2bl w:val="nil"/>
            </w:tcBorders>
            <w:vAlign w:val="center"/>
          </w:tcPr>
          <w:p w14:paraId="297B9EC3">
            <w:pPr>
              <w:pStyle w:val="523"/>
              <w:snapToGrid w:val="0"/>
              <w:spacing w:line="240" w:lineRule="auto"/>
              <w:ind w:left="0" w:leftChars="0" w:right="0" w:rightChars="0"/>
              <w:contextualSpacing w:val="0"/>
              <w:rPr>
                <w:color w:val="auto"/>
                <w:highlight w:val="none"/>
              </w:rPr>
            </w:pPr>
            <w:r>
              <w:rPr>
                <w:color w:val="auto"/>
                <w:highlight w:val="none"/>
              </w:rPr>
              <w:t>P4</w:t>
            </w:r>
          </w:p>
        </w:tc>
        <w:tc>
          <w:tcPr>
            <w:tcW w:w="953" w:type="pct"/>
            <w:tcBorders>
              <w:tl2br w:val="nil"/>
              <w:tr2bl w:val="nil"/>
            </w:tcBorders>
            <w:vAlign w:val="center"/>
          </w:tcPr>
          <w:p w14:paraId="06866863">
            <w:pPr>
              <w:pStyle w:val="523"/>
              <w:snapToGrid w:val="0"/>
              <w:spacing w:line="240" w:lineRule="auto"/>
              <w:ind w:left="0" w:leftChars="0" w:right="0" w:rightChars="0"/>
              <w:contextualSpacing w:val="0"/>
              <w:rPr>
                <w:color w:val="auto"/>
                <w:highlight w:val="none"/>
              </w:rPr>
            </w:pPr>
            <w:r>
              <w:rPr>
                <w:color w:val="auto"/>
                <w:highlight w:val="none"/>
              </w:rPr>
              <w:t>E3</w:t>
            </w:r>
          </w:p>
        </w:tc>
        <w:tc>
          <w:tcPr>
            <w:tcW w:w="825" w:type="pct"/>
            <w:tcBorders>
              <w:tl2br w:val="nil"/>
              <w:tr2bl w:val="nil"/>
            </w:tcBorders>
            <w:vAlign w:val="center"/>
          </w:tcPr>
          <w:p w14:paraId="6D5F4902">
            <w:pPr>
              <w:pStyle w:val="523"/>
              <w:snapToGrid w:val="0"/>
              <w:spacing w:line="240" w:lineRule="auto"/>
              <w:ind w:left="0" w:leftChars="0" w:right="0" w:rightChars="0"/>
              <w:contextualSpacing w:val="0"/>
              <w:rPr>
                <w:color w:val="auto"/>
                <w:highlight w:val="none"/>
              </w:rPr>
            </w:pPr>
            <w:r>
              <w:rPr>
                <w:color w:val="auto"/>
                <w:highlight w:val="none"/>
              </w:rPr>
              <w:t>I</w:t>
            </w:r>
          </w:p>
        </w:tc>
        <w:tc>
          <w:tcPr>
            <w:tcW w:w="999" w:type="pct"/>
            <w:tcBorders>
              <w:tl2br w:val="nil"/>
              <w:tr2bl w:val="nil"/>
            </w:tcBorders>
            <w:vAlign w:val="center"/>
          </w:tcPr>
          <w:p w14:paraId="7B80CC45">
            <w:pPr>
              <w:pStyle w:val="523"/>
              <w:snapToGrid w:val="0"/>
              <w:spacing w:line="240" w:lineRule="auto"/>
              <w:ind w:left="0" w:leftChars="0" w:right="0" w:rightChars="0"/>
              <w:contextualSpacing w:val="0"/>
              <w:rPr>
                <w:color w:val="auto"/>
                <w:highlight w:val="none"/>
              </w:rPr>
            </w:pPr>
            <w:r>
              <w:rPr>
                <w:rFonts w:hint="eastAsia"/>
                <w:color w:val="auto"/>
                <w:highlight w:val="none"/>
              </w:rPr>
              <w:t>简单分析</w:t>
            </w:r>
          </w:p>
        </w:tc>
      </w:tr>
      <w:tr w14:paraId="180116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8" w:type="pct"/>
            <w:vMerge w:val="continue"/>
            <w:tcBorders>
              <w:tl2br w:val="nil"/>
              <w:tr2bl w:val="nil"/>
            </w:tcBorders>
            <w:vAlign w:val="center"/>
          </w:tcPr>
          <w:p w14:paraId="29C54C02">
            <w:pPr>
              <w:pStyle w:val="523"/>
              <w:snapToGrid w:val="0"/>
              <w:spacing w:line="240" w:lineRule="auto"/>
              <w:ind w:left="0" w:leftChars="0" w:right="0" w:rightChars="0"/>
              <w:contextualSpacing w:val="0"/>
              <w:rPr>
                <w:color w:val="auto"/>
                <w:highlight w:val="none"/>
              </w:rPr>
            </w:pPr>
          </w:p>
        </w:tc>
        <w:tc>
          <w:tcPr>
            <w:tcW w:w="3581" w:type="pct"/>
            <w:gridSpan w:val="4"/>
            <w:tcBorders>
              <w:tl2br w:val="nil"/>
              <w:tr2bl w:val="nil"/>
            </w:tcBorders>
            <w:vAlign w:val="center"/>
          </w:tcPr>
          <w:p w14:paraId="1101B2C2">
            <w:pPr>
              <w:pStyle w:val="523"/>
              <w:snapToGrid w:val="0"/>
              <w:spacing w:line="240" w:lineRule="auto"/>
              <w:ind w:left="0" w:leftChars="0" w:right="0" w:rightChars="0"/>
              <w:contextualSpacing w:val="0"/>
              <w:rPr>
                <w:color w:val="auto"/>
                <w:highlight w:val="none"/>
              </w:rPr>
            </w:pPr>
            <w:r>
              <w:rPr>
                <w:b/>
                <w:bCs w:val="0"/>
                <w:color w:val="auto"/>
                <w:highlight w:val="none"/>
              </w:rPr>
              <w:t>综合评价等级</w:t>
            </w:r>
          </w:p>
        </w:tc>
        <w:tc>
          <w:tcPr>
            <w:tcW w:w="999" w:type="pct"/>
            <w:tcBorders>
              <w:tl2br w:val="nil"/>
              <w:tr2bl w:val="nil"/>
            </w:tcBorders>
            <w:vAlign w:val="center"/>
          </w:tcPr>
          <w:p w14:paraId="093381A4">
            <w:pPr>
              <w:pStyle w:val="523"/>
              <w:snapToGrid w:val="0"/>
              <w:spacing w:line="240" w:lineRule="auto"/>
              <w:ind w:left="0" w:leftChars="0" w:right="0" w:rightChars="0"/>
              <w:contextualSpacing w:val="0"/>
              <w:rPr>
                <w:b/>
                <w:bCs w:val="0"/>
                <w:color w:val="auto"/>
                <w:highlight w:val="none"/>
              </w:rPr>
            </w:pPr>
            <w:r>
              <w:rPr>
                <w:rFonts w:hint="eastAsia"/>
                <w:b/>
                <w:bCs w:val="0"/>
                <w:color w:val="auto"/>
                <w:highlight w:val="none"/>
              </w:rPr>
              <w:t>简单分析</w:t>
            </w:r>
          </w:p>
        </w:tc>
      </w:tr>
    </w:tbl>
    <w:p w14:paraId="7CD435A5">
      <w:pPr>
        <w:pStyle w:val="533"/>
        <w:numPr>
          <w:ilvl w:val="3"/>
          <w:numId w:val="9"/>
        </w:numPr>
        <w:spacing w:before="240" w:beforeLines="100"/>
        <w:rPr>
          <w:color w:val="auto"/>
          <w:szCs w:val="24"/>
          <w:highlight w:val="none"/>
        </w:rPr>
      </w:pPr>
      <w:r>
        <w:rPr>
          <w:color w:val="auto"/>
          <w:szCs w:val="24"/>
          <w:highlight w:val="none"/>
        </w:rPr>
        <w:t>风险评价范围</w:t>
      </w:r>
    </w:p>
    <w:p w14:paraId="741AFB37">
      <w:pPr>
        <w:spacing w:before="120" w:beforeLines="50"/>
        <w:ind w:firstLine="480"/>
        <w:rPr>
          <w:color w:val="auto"/>
          <w:kern w:val="2"/>
          <w:szCs w:val="20"/>
          <w:highlight w:val="none"/>
        </w:rPr>
      </w:pPr>
      <w:r>
        <w:rPr>
          <w:color w:val="auto"/>
          <w:kern w:val="2"/>
          <w:szCs w:val="20"/>
          <w:highlight w:val="none"/>
        </w:rPr>
        <w:t>本项目</w:t>
      </w:r>
      <w:r>
        <w:rPr>
          <w:rFonts w:hint="eastAsia"/>
          <w:color w:val="auto"/>
          <w:kern w:val="2"/>
          <w:szCs w:val="20"/>
          <w:highlight w:val="none"/>
        </w:rPr>
        <w:t>风险评价等级为简单分析</w:t>
      </w:r>
      <w:r>
        <w:rPr>
          <w:color w:val="auto"/>
          <w:kern w:val="2"/>
          <w:szCs w:val="20"/>
          <w:highlight w:val="none"/>
        </w:rPr>
        <w:t>，根据《建设项目环境风险评价技术导则》（HJ169-2018），</w:t>
      </w:r>
      <w:r>
        <w:rPr>
          <w:rFonts w:hint="eastAsia"/>
          <w:color w:val="auto"/>
          <w:kern w:val="2"/>
          <w:szCs w:val="20"/>
          <w:highlight w:val="none"/>
        </w:rPr>
        <w:t>无需设置评价范围</w:t>
      </w:r>
      <w:r>
        <w:rPr>
          <w:color w:val="auto"/>
          <w:kern w:val="2"/>
          <w:szCs w:val="20"/>
          <w:highlight w:val="none"/>
        </w:rPr>
        <w:t>。</w:t>
      </w:r>
    </w:p>
    <w:p w14:paraId="4A246BFC">
      <w:pPr>
        <w:pStyle w:val="7"/>
        <w:numPr>
          <w:ilvl w:val="2"/>
          <w:numId w:val="9"/>
        </w:numPr>
        <w:spacing w:before="120" w:beforeLines="50"/>
        <w:rPr>
          <w:color w:val="auto"/>
          <w:sz w:val="28"/>
          <w:highlight w:val="none"/>
        </w:rPr>
      </w:pPr>
      <w:r>
        <w:rPr>
          <w:color w:val="auto"/>
          <w:sz w:val="28"/>
          <w:highlight w:val="none"/>
        </w:rPr>
        <w:t>壤评价等级及范围</w:t>
      </w:r>
    </w:p>
    <w:p w14:paraId="724F77E3">
      <w:pPr>
        <w:pStyle w:val="38"/>
        <w:spacing w:after="0"/>
        <w:ind w:firstLine="480"/>
        <w:rPr>
          <w:rFonts w:eastAsiaTheme="minorEastAsia"/>
          <w:color w:val="auto"/>
          <w:highlight w:val="none"/>
        </w:rPr>
      </w:pPr>
      <w:r>
        <w:rPr>
          <w:rFonts w:eastAsiaTheme="minorEastAsia"/>
          <w:color w:val="auto"/>
          <w:highlight w:val="none"/>
        </w:rPr>
        <w:t>项目主要从事船舶维修、改造，根据《环境影响评价技术导则  土壤环境（试行）》（HJ964-2018）中附录A土壤环境影响评价行业分类表，项目属于“设备制造、金属制品、汽车制造及其他用品制造”中</w:t>
      </w:r>
      <w:r>
        <w:rPr>
          <w:color w:val="auto"/>
          <w:highlight w:val="none"/>
          <w:lang w:eastAsia="ja-JP"/>
        </w:rPr>
        <w:t>Ⅰ</w:t>
      </w:r>
      <w:r>
        <w:rPr>
          <w:rFonts w:eastAsiaTheme="minorEastAsia"/>
          <w:color w:val="auto"/>
          <w:highlight w:val="none"/>
        </w:rPr>
        <w:t>类项目，但由于项目浮船坞所在区域为海域，不涉及土壤影响，故本项目不进行土壤环境影响评价。</w:t>
      </w:r>
    </w:p>
    <w:p w14:paraId="6DB73B65">
      <w:pPr>
        <w:pStyle w:val="7"/>
        <w:numPr>
          <w:ilvl w:val="2"/>
          <w:numId w:val="9"/>
        </w:numPr>
        <w:spacing w:before="120" w:beforeLines="50"/>
        <w:rPr>
          <w:color w:val="auto"/>
          <w:sz w:val="28"/>
          <w:highlight w:val="none"/>
        </w:rPr>
      </w:pPr>
      <w:r>
        <w:rPr>
          <w:color w:val="auto"/>
          <w:sz w:val="28"/>
          <w:highlight w:val="none"/>
        </w:rPr>
        <w:t>评价工作等级及范围汇总</w:t>
      </w:r>
    </w:p>
    <w:p w14:paraId="296E7C51">
      <w:pPr>
        <w:ind w:firstLine="480"/>
        <w:rPr>
          <w:rFonts w:eastAsiaTheme="minorEastAsia"/>
          <w:color w:val="auto"/>
          <w:highlight w:val="none"/>
        </w:rPr>
      </w:pPr>
      <w:r>
        <w:rPr>
          <w:rFonts w:eastAsiaTheme="minorEastAsia"/>
          <w:color w:val="auto"/>
          <w:highlight w:val="none"/>
        </w:rPr>
        <w:t>本项目各环境要素评价工作等级及范围汇总见下表。</w:t>
      </w:r>
    </w:p>
    <w:p w14:paraId="0EA3F530">
      <w:pPr>
        <w:pStyle w:val="38"/>
        <w:spacing w:after="0" w:line="240" w:lineRule="auto"/>
        <w:ind w:firstLine="0" w:firstLineChars="0"/>
        <w:jc w:val="center"/>
        <w:rPr>
          <w:b/>
          <w:color w:val="auto"/>
          <w:sz w:val="21"/>
          <w:szCs w:val="21"/>
          <w:highlight w:val="none"/>
        </w:rPr>
      </w:pPr>
      <w:r>
        <w:rPr>
          <w:b/>
          <w:color w:val="auto"/>
          <w:sz w:val="21"/>
          <w:szCs w:val="21"/>
          <w:highlight w:val="none"/>
        </w:rPr>
        <w:t>表1.4-15 项目各环境要素评价工作等级及范围汇总表</w:t>
      </w:r>
    </w:p>
    <w:tbl>
      <w:tblPr>
        <w:tblStyle w:val="9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1"/>
        <w:gridCol w:w="915"/>
        <w:gridCol w:w="1245"/>
        <w:gridCol w:w="960"/>
        <w:gridCol w:w="3690"/>
        <w:gridCol w:w="1779"/>
      </w:tblGrid>
      <w:tr w14:paraId="07FA06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481" w:type="dxa"/>
            <w:tcBorders>
              <w:tl2br w:val="nil"/>
              <w:tr2bl w:val="nil"/>
            </w:tcBorders>
            <w:vAlign w:val="center"/>
          </w:tcPr>
          <w:p w14:paraId="4301EA09">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序号</w:t>
            </w:r>
          </w:p>
        </w:tc>
        <w:tc>
          <w:tcPr>
            <w:tcW w:w="2160" w:type="dxa"/>
            <w:gridSpan w:val="2"/>
            <w:tcBorders>
              <w:tl2br w:val="nil"/>
              <w:tr2bl w:val="nil"/>
            </w:tcBorders>
            <w:vAlign w:val="center"/>
          </w:tcPr>
          <w:p w14:paraId="3B7C2C91">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环境要素</w:t>
            </w:r>
          </w:p>
        </w:tc>
        <w:tc>
          <w:tcPr>
            <w:tcW w:w="960" w:type="dxa"/>
            <w:tcBorders>
              <w:tl2br w:val="nil"/>
              <w:tr2bl w:val="nil"/>
            </w:tcBorders>
            <w:vAlign w:val="center"/>
          </w:tcPr>
          <w:p w14:paraId="25C69397">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评价等级</w:t>
            </w:r>
          </w:p>
        </w:tc>
        <w:tc>
          <w:tcPr>
            <w:tcW w:w="3690" w:type="dxa"/>
            <w:tcBorders>
              <w:tl2br w:val="nil"/>
              <w:tr2bl w:val="nil"/>
            </w:tcBorders>
            <w:vAlign w:val="center"/>
          </w:tcPr>
          <w:p w14:paraId="4E18C452">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评价范围</w:t>
            </w:r>
          </w:p>
        </w:tc>
        <w:tc>
          <w:tcPr>
            <w:tcW w:w="1779" w:type="dxa"/>
            <w:tcBorders>
              <w:tl2br w:val="nil"/>
              <w:tr2bl w:val="nil"/>
            </w:tcBorders>
            <w:vAlign w:val="center"/>
          </w:tcPr>
          <w:p w14:paraId="27306E09">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备注</w:t>
            </w:r>
          </w:p>
        </w:tc>
      </w:tr>
      <w:tr w14:paraId="1D4DD8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dxa"/>
            <w:tcBorders>
              <w:tl2br w:val="nil"/>
              <w:tr2bl w:val="nil"/>
            </w:tcBorders>
            <w:vAlign w:val="center"/>
          </w:tcPr>
          <w:p w14:paraId="1DD7E498">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1</w:t>
            </w:r>
          </w:p>
        </w:tc>
        <w:tc>
          <w:tcPr>
            <w:tcW w:w="2160" w:type="dxa"/>
            <w:gridSpan w:val="2"/>
            <w:tcBorders>
              <w:tl2br w:val="nil"/>
              <w:tr2bl w:val="nil"/>
            </w:tcBorders>
            <w:vAlign w:val="center"/>
          </w:tcPr>
          <w:p w14:paraId="7E69665E">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大气环境</w:t>
            </w:r>
          </w:p>
        </w:tc>
        <w:tc>
          <w:tcPr>
            <w:tcW w:w="960" w:type="dxa"/>
            <w:tcBorders>
              <w:tl2br w:val="nil"/>
              <w:tr2bl w:val="nil"/>
            </w:tcBorders>
            <w:vAlign w:val="center"/>
          </w:tcPr>
          <w:p w14:paraId="2C892B78">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一级</w:t>
            </w:r>
          </w:p>
        </w:tc>
        <w:tc>
          <w:tcPr>
            <w:tcW w:w="3690" w:type="dxa"/>
            <w:tcBorders>
              <w:tl2br w:val="nil"/>
              <w:tr2bl w:val="nil"/>
            </w:tcBorders>
            <w:vAlign w:val="center"/>
          </w:tcPr>
          <w:p w14:paraId="2555763C">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以项目厂址为中心，边长为7km的矩形区域</w:t>
            </w:r>
          </w:p>
        </w:tc>
        <w:tc>
          <w:tcPr>
            <w:tcW w:w="1779" w:type="dxa"/>
            <w:tcBorders>
              <w:tl2br w:val="nil"/>
              <w:tr2bl w:val="nil"/>
            </w:tcBorders>
            <w:vAlign w:val="center"/>
          </w:tcPr>
          <w:p w14:paraId="5AA594E4">
            <w:pPr>
              <w:spacing w:line="240" w:lineRule="auto"/>
              <w:ind w:left="-72" w:leftChars="-30" w:right="-72" w:rightChars="-30" w:firstLine="0" w:firstLineChars="0"/>
              <w:jc w:val="center"/>
              <w:rPr>
                <w:color w:val="auto"/>
                <w:sz w:val="21"/>
                <w:szCs w:val="21"/>
                <w:highlight w:val="none"/>
              </w:rPr>
            </w:pPr>
          </w:p>
        </w:tc>
      </w:tr>
      <w:tr w14:paraId="0D9A42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481" w:type="dxa"/>
            <w:vMerge w:val="restart"/>
            <w:tcBorders>
              <w:tl2br w:val="nil"/>
              <w:tr2bl w:val="nil"/>
            </w:tcBorders>
            <w:vAlign w:val="center"/>
          </w:tcPr>
          <w:p w14:paraId="4E73BEA2">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2</w:t>
            </w:r>
          </w:p>
        </w:tc>
        <w:tc>
          <w:tcPr>
            <w:tcW w:w="915" w:type="dxa"/>
            <w:vMerge w:val="restart"/>
            <w:tcBorders>
              <w:tl2br w:val="nil"/>
              <w:tr2bl w:val="nil"/>
            </w:tcBorders>
            <w:vAlign w:val="center"/>
          </w:tcPr>
          <w:p w14:paraId="4965372D">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地表水环境</w:t>
            </w:r>
          </w:p>
        </w:tc>
        <w:tc>
          <w:tcPr>
            <w:tcW w:w="1245" w:type="dxa"/>
            <w:tcBorders>
              <w:tl2br w:val="nil"/>
              <w:tr2bl w:val="nil"/>
            </w:tcBorders>
            <w:vAlign w:val="center"/>
          </w:tcPr>
          <w:p w14:paraId="4B028985">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水污染型</w:t>
            </w:r>
          </w:p>
        </w:tc>
        <w:tc>
          <w:tcPr>
            <w:tcW w:w="960" w:type="dxa"/>
            <w:tcBorders>
              <w:tl2br w:val="nil"/>
              <w:tr2bl w:val="nil"/>
            </w:tcBorders>
            <w:vAlign w:val="center"/>
          </w:tcPr>
          <w:p w14:paraId="3B629ACB">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三级B</w:t>
            </w:r>
          </w:p>
        </w:tc>
        <w:tc>
          <w:tcPr>
            <w:tcW w:w="3690" w:type="dxa"/>
            <w:tcBorders>
              <w:tl2br w:val="nil"/>
              <w:tr2bl w:val="nil"/>
            </w:tcBorders>
            <w:vAlign w:val="center"/>
          </w:tcPr>
          <w:p w14:paraId="50D931AA">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w:t>
            </w:r>
          </w:p>
        </w:tc>
        <w:tc>
          <w:tcPr>
            <w:tcW w:w="1779" w:type="dxa"/>
            <w:tcBorders>
              <w:tl2br w:val="nil"/>
              <w:tr2bl w:val="nil"/>
            </w:tcBorders>
            <w:vAlign w:val="center"/>
          </w:tcPr>
          <w:p w14:paraId="37533162">
            <w:pPr>
              <w:spacing w:line="240" w:lineRule="auto"/>
              <w:ind w:left="-72" w:leftChars="-30" w:right="-72" w:rightChars="-30" w:firstLine="0" w:firstLineChars="0"/>
              <w:jc w:val="center"/>
              <w:rPr>
                <w:color w:val="auto"/>
                <w:sz w:val="21"/>
                <w:szCs w:val="21"/>
                <w:highlight w:val="none"/>
              </w:rPr>
            </w:pPr>
          </w:p>
        </w:tc>
      </w:tr>
      <w:tr w14:paraId="0A504F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481" w:type="dxa"/>
            <w:vMerge w:val="continue"/>
            <w:tcBorders>
              <w:tl2br w:val="nil"/>
              <w:tr2bl w:val="nil"/>
            </w:tcBorders>
            <w:vAlign w:val="center"/>
          </w:tcPr>
          <w:p w14:paraId="71EDC182">
            <w:pPr>
              <w:spacing w:line="240" w:lineRule="auto"/>
              <w:ind w:left="-72" w:leftChars="-30" w:right="-72" w:rightChars="-30" w:firstLine="0" w:firstLineChars="0"/>
              <w:jc w:val="center"/>
              <w:rPr>
                <w:color w:val="auto"/>
                <w:sz w:val="21"/>
                <w:szCs w:val="21"/>
                <w:highlight w:val="none"/>
              </w:rPr>
            </w:pPr>
          </w:p>
        </w:tc>
        <w:tc>
          <w:tcPr>
            <w:tcW w:w="915" w:type="dxa"/>
            <w:vMerge w:val="continue"/>
            <w:tcBorders>
              <w:tl2br w:val="nil"/>
              <w:tr2bl w:val="nil"/>
            </w:tcBorders>
            <w:vAlign w:val="center"/>
          </w:tcPr>
          <w:p w14:paraId="49259402">
            <w:pPr>
              <w:spacing w:line="240" w:lineRule="auto"/>
              <w:ind w:left="-72" w:leftChars="-30" w:right="-72" w:rightChars="-30" w:firstLine="0" w:firstLineChars="0"/>
              <w:jc w:val="center"/>
              <w:rPr>
                <w:color w:val="auto"/>
                <w:sz w:val="21"/>
                <w:szCs w:val="21"/>
                <w:highlight w:val="none"/>
              </w:rPr>
            </w:pPr>
          </w:p>
        </w:tc>
        <w:tc>
          <w:tcPr>
            <w:tcW w:w="1245" w:type="dxa"/>
            <w:tcBorders>
              <w:tl2br w:val="nil"/>
              <w:tr2bl w:val="nil"/>
            </w:tcBorders>
            <w:vAlign w:val="center"/>
          </w:tcPr>
          <w:p w14:paraId="41ABED43">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水文要素型</w:t>
            </w:r>
          </w:p>
        </w:tc>
        <w:tc>
          <w:tcPr>
            <w:tcW w:w="960" w:type="dxa"/>
            <w:tcBorders>
              <w:tl2br w:val="nil"/>
              <w:tr2bl w:val="nil"/>
            </w:tcBorders>
            <w:vAlign w:val="center"/>
          </w:tcPr>
          <w:p w14:paraId="7BBA09B0">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三级</w:t>
            </w:r>
          </w:p>
        </w:tc>
        <w:tc>
          <w:tcPr>
            <w:tcW w:w="3690" w:type="dxa"/>
            <w:tcBorders>
              <w:tl2br w:val="nil"/>
              <w:tr2bl w:val="nil"/>
            </w:tcBorders>
            <w:vAlign w:val="center"/>
          </w:tcPr>
          <w:p w14:paraId="2B12A9C9">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w:t>
            </w:r>
          </w:p>
        </w:tc>
        <w:tc>
          <w:tcPr>
            <w:tcW w:w="1779" w:type="dxa"/>
            <w:tcBorders>
              <w:tl2br w:val="nil"/>
              <w:tr2bl w:val="nil"/>
            </w:tcBorders>
            <w:vAlign w:val="center"/>
          </w:tcPr>
          <w:p w14:paraId="06085FD0">
            <w:pPr>
              <w:spacing w:line="240" w:lineRule="auto"/>
              <w:ind w:left="-72" w:leftChars="-30" w:right="-72" w:rightChars="-30" w:firstLine="0" w:firstLineChars="0"/>
              <w:jc w:val="center"/>
              <w:rPr>
                <w:color w:val="auto"/>
                <w:sz w:val="21"/>
                <w:szCs w:val="21"/>
                <w:highlight w:val="none"/>
              </w:rPr>
            </w:pPr>
          </w:p>
        </w:tc>
      </w:tr>
      <w:tr w14:paraId="2574BE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dxa"/>
            <w:tcBorders>
              <w:tl2br w:val="nil"/>
              <w:tr2bl w:val="nil"/>
            </w:tcBorders>
            <w:vAlign w:val="center"/>
          </w:tcPr>
          <w:p w14:paraId="45FC6BC4">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3</w:t>
            </w:r>
          </w:p>
        </w:tc>
        <w:tc>
          <w:tcPr>
            <w:tcW w:w="2160" w:type="dxa"/>
            <w:gridSpan w:val="2"/>
            <w:tcBorders>
              <w:tl2br w:val="nil"/>
              <w:tr2bl w:val="nil"/>
            </w:tcBorders>
            <w:vAlign w:val="center"/>
          </w:tcPr>
          <w:p w14:paraId="7FBF162A">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海洋生态环境</w:t>
            </w:r>
          </w:p>
        </w:tc>
        <w:tc>
          <w:tcPr>
            <w:tcW w:w="960" w:type="dxa"/>
            <w:tcBorders>
              <w:tl2br w:val="nil"/>
              <w:tr2bl w:val="nil"/>
            </w:tcBorders>
            <w:vAlign w:val="center"/>
          </w:tcPr>
          <w:p w14:paraId="60C252E6">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三级</w:t>
            </w:r>
          </w:p>
        </w:tc>
        <w:tc>
          <w:tcPr>
            <w:tcW w:w="3690" w:type="dxa"/>
            <w:tcBorders>
              <w:tl2br w:val="nil"/>
              <w:tr2bl w:val="nil"/>
            </w:tcBorders>
            <w:vAlign w:val="center"/>
          </w:tcPr>
          <w:p w14:paraId="19F33552">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项目边界向南北扩展5km、东西各扩展2.5km的范围。</w:t>
            </w:r>
          </w:p>
        </w:tc>
        <w:tc>
          <w:tcPr>
            <w:tcW w:w="1779" w:type="dxa"/>
            <w:tcBorders>
              <w:tl2br w:val="nil"/>
              <w:tr2bl w:val="nil"/>
            </w:tcBorders>
            <w:vAlign w:val="center"/>
          </w:tcPr>
          <w:p w14:paraId="2251569E">
            <w:pPr>
              <w:spacing w:line="240" w:lineRule="auto"/>
              <w:ind w:left="-72" w:leftChars="-30" w:right="-72" w:rightChars="-30" w:firstLine="0" w:firstLineChars="0"/>
              <w:jc w:val="center"/>
              <w:rPr>
                <w:color w:val="auto"/>
                <w:sz w:val="21"/>
                <w:szCs w:val="21"/>
                <w:highlight w:val="none"/>
              </w:rPr>
            </w:pPr>
          </w:p>
        </w:tc>
      </w:tr>
      <w:tr w14:paraId="0DB7CC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dxa"/>
            <w:tcBorders>
              <w:tl2br w:val="nil"/>
              <w:tr2bl w:val="nil"/>
            </w:tcBorders>
            <w:vAlign w:val="center"/>
          </w:tcPr>
          <w:p w14:paraId="0AB712BC">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4</w:t>
            </w:r>
          </w:p>
        </w:tc>
        <w:tc>
          <w:tcPr>
            <w:tcW w:w="2160" w:type="dxa"/>
            <w:gridSpan w:val="2"/>
            <w:tcBorders>
              <w:tl2br w:val="nil"/>
              <w:tr2bl w:val="nil"/>
            </w:tcBorders>
            <w:vAlign w:val="center"/>
          </w:tcPr>
          <w:p w14:paraId="2C5664D4">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声环境</w:t>
            </w:r>
          </w:p>
        </w:tc>
        <w:tc>
          <w:tcPr>
            <w:tcW w:w="960" w:type="dxa"/>
            <w:tcBorders>
              <w:tl2br w:val="nil"/>
              <w:tr2bl w:val="nil"/>
            </w:tcBorders>
            <w:vAlign w:val="center"/>
          </w:tcPr>
          <w:p w14:paraId="0966EB24">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三级</w:t>
            </w:r>
          </w:p>
        </w:tc>
        <w:tc>
          <w:tcPr>
            <w:tcW w:w="3690" w:type="dxa"/>
            <w:tcBorders>
              <w:tl2br w:val="nil"/>
              <w:tr2bl w:val="nil"/>
            </w:tcBorders>
            <w:vAlign w:val="center"/>
          </w:tcPr>
          <w:p w14:paraId="4C577A8D">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厂界外延200m范围</w:t>
            </w:r>
          </w:p>
        </w:tc>
        <w:tc>
          <w:tcPr>
            <w:tcW w:w="1779" w:type="dxa"/>
            <w:tcBorders>
              <w:tl2br w:val="nil"/>
              <w:tr2bl w:val="nil"/>
            </w:tcBorders>
            <w:vAlign w:val="center"/>
          </w:tcPr>
          <w:p w14:paraId="53054F15">
            <w:pPr>
              <w:spacing w:line="240" w:lineRule="auto"/>
              <w:ind w:left="-72" w:leftChars="-30" w:right="-72" w:rightChars="-30" w:firstLine="0" w:firstLineChars="0"/>
              <w:jc w:val="center"/>
              <w:rPr>
                <w:color w:val="auto"/>
                <w:sz w:val="21"/>
                <w:szCs w:val="21"/>
                <w:highlight w:val="none"/>
              </w:rPr>
            </w:pPr>
          </w:p>
        </w:tc>
      </w:tr>
      <w:tr w14:paraId="4ECEAC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dxa"/>
            <w:tcBorders>
              <w:tl2br w:val="nil"/>
              <w:tr2bl w:val="nil"/>
            </w:tcBorders>
            <w:vAlign w:val="center"/>
          </w:tcPr>
          <w:p w14:paraId="5F40097C">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5</w:t>
            </w:r>
          </w:p>
        </w:tc>
        <w:tc>
          <w:tcPr>
            <w:tcW w:w="2160" w:type="dxa"/>
            <w:gridSpan w:val="2"/>
            <w:tcBorders>
              <w:tl2br w:val="nil"/>
              <w:tr2bl w:val="nil"/>
            </w:tcBorders>
            <w:vAlign w:val="center"/>
          </w:tcPr>
          <w:p w14:paraId="36B8B263">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生态环境</w:t>
            </w:r>
          </w:p>
        </w:tc>
        <w:tc>
          <w:tcPr>
            <w:tcW w:w="960" w:type="dxa"/>
            <w:tcBorders>
              <w:tl2br w:val="nil"/>
              <w:tr2bl w:val="nil"/>
            </w:tcBorders>
            <w:vAlign w:val="center"/>
          </w:tcPr>
          <w:p w14:paraId="66A05FB9">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三级</w:t>
            </w:r>
          </w:p>
        </w:tc>
        <w:tc>
          <w:tcPr>
            <w:tcW w:w="3690" w:type="dxa"/>
            <w:tcBorders>
              <w:tl2br w:val="nil"/>
              <w:tr2bl w:val="nil"/>
            </w:tcBorders>
            <w:vAlign w:val="center"/>
          </w:tcPr>
          <w:p w14:paraId="31851B4B">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厂界外延200m范围</w:t>
            </w:r>
          </w:p>
        </w:tc>
        <w:tc>
          <w:tcPr>
            <w:tcW w:w="1779" w:type="dxa"/>
            <w:tcBorders>
              <w:tl2br w:val="nil"/>
              <w:tr2bl w:val="nil"/>
            </w:tcBorders>
            <w:vAlign w:val="center"/>
          </w:tcPr>
          <w:p w14:paraId="5A74D2FA">
            <w:pPr>
              <w:spacing w:line="240" w:lineRule="auto"/>
              <w:ind w:left="-72" w:leftChars="-30" w:right="-72" w:rightChars="-30" w:firstLine="0" w:firstLineChars="0"/>
              <w:jc w:val="center"/>
              <w:rPr>
                <w:color w:val="auto"/>
                <w:sz w:val="21"/>
                <w:szCs w:val="21"/>
                <w:highlight w:val="none"/>
              </w:rPr>
            </w:pPr>
          </w:p>
        </w:tc>
      </w:tr>
      <w:tr w14:paraId="24EA97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dxa"/>
            <w:tcBorders>
              <w:tl2br w:val="nil"/>
              <w:tr2bl w:val="nil"/>
            </w:tcBorders>
            <w:vAlign w:val="center"/>
          </w:tcPr>
          <w:p w14:paraId="69C1F807">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6</w:t>
            </w:r>
          </w:p>
        </w:tc>
        <w:tc>
          <w:tcPr>
            <w:tcW w:w="2160" w:type="dxa"/>
            <w:gridSpan w:val="2"/>
            <w:tcBorders>
              <w:tl2br w:val="nil"/>
              <w:tr2bl w:val="nil"/>
            </w:tcBorders>
            <w:vAlign w:val="center"/>
          </w:tcPr>
          <w:p w14:paraId="51550653">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环境风险</w:t>
            </w:r>
          </w:p>
        </w:tc>
        <w:tc>
          <w:tcPr>
            <w:tcW w:w="960" w:type="dxa"/>
            <w:tcBorders>
              <w:tl2br w:val="nil"/>
              <w:tr2bl w:val="nil"/>
            </w:tcBorders>
            <w:vAlign w:val="center"/>
          </w:tcPr>
          <w:p w14:paraId="45E07991">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简单分析</w:t>
            </w:r>
          </w:p>
        </w:tc>
        <w:tc>
          <w:tcPr>
            <w:tcW w:w="3690" w:type="dxa"/>
            <w:tcBorders>
              <w:tl2br w:val="nil"/>
              <w:tr2bl w:val="nil"/>
            </w:tcBorders>
            <w:vAlign w:val="center"/>
          </w:tcPr>
          <w:p w14:paraId="4FA47A3B">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简单分析，不设置评价范围</w:t>
            </w:r>
          </w:p>
        </w:tc>
        <w:tc>
          <w:tcPr>
            <w:tcW w:w="1779" w:type="dxa"/>
            <w:tcBorders>
              <w:tl2br w:val="nil"/>
              <w:tr2bl w:val="nil"/>
            </w:tcBorders>
            <w:vAlign w:val="center"/>
          </w:tcPr>
          <w:p w14:paraId="73F1F901">
            <w:pPr>
              <w:spacing w:line="240" w:lineRule="auto"/>
              <w:ind w:left="-72" w:leftChars="-30" w:right="-72" w:rightChars="-30" w:firstLine="0" w:firstLineChars="0"/>
              <w:jc w:val="center"/>
              <w:rPr>
                <w:color w:val="auto"/>
                <w:sz w:val="21"/>
                <w:szCs w:val="21"/>
                <w:highlight w:val="none"/>
              </w:rPr>
            </w:pPr>
          </w:p>
        </w:tc>
      </w:tr>
      <w:tr w14:paraId="45023C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dxa"/>
            <w:tcBorders>
              <w:tl2br w:val="nil"/>
              <w:tr2bl w:val="nil"/>
            </w:tcBorders>
            <w:vAlign w:val="center"/>
          </w:tcPr>
          <w:p w14:paraId="56CF21E3">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7</w:t>
            </w:r>
          </w:p>
        </w:tc>
        <w:tc>
          <w:tcPr>
            <w:tcW w:w="2160" w:type="dxa"/>
            <w:gridSpan w:val="2"/>
            <w:tcBorders>
              <w:tl2br w:val="nil"/>
              <w:tr2bl w:val="nil"/>
            </w:tcBorders>
            <w:vAlign w:val="center"/>
          </w:tcPr>
          <w:p w14:paraId="6353F00F">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地下水环境</w:t>
            </w:r>
          </w:p>
        </w:tc>
        <w:tc>
          <w:tcPr>
            <w:tcW w:w="4650" w:type="dxa"/>
            <w:gridSpan w:val="2"/>
            <w:tcBorders>
              <w:tl2br w:val="nil"/>
              <w:tr2bl w:val="nil"/>
            </w:tcBorders>
            <w:vAlign w:val="center"/>
          </w:tcPr>
          <w:p w14:paraId="262D4D30">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本次评价不进行地下水影响评价</w:t>
            </w:r>
          </w:p>
        </w:tc>
        <w:tc>
          <w:tcPr>
            <w:tcW w:w="1779" w:type="dxa"/>
            <w:tcBorders>
              <w:tl2br w:val="nil"/>
              <w:tr2bl w:val="nil"/>
            </w:tcBorders>
            <w:vAlign w:val="center"/>
          </w:tcPr>
          <w:p w14:paraId="32F6E6D5">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项目浮船坞所在区域为海域，不涉及地下水影响</w:t>
            </w:r>
          </w:p>
        </w:tc>
      </w:tr>
      <w:tr w14:paraId="36E69E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dxa"/>
            <w:tcBorders>
              <w:tl2br w:val="nil"/>
              <w:tr2bl w:val="nil"/>
            </w:tcBorders>
            <w:vAlign w:val="center"/>
          </w:tcPr>
          <w:p w14:paraId="01CFC498">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8</w:t>
            </w:r>
          </w:p>
        </w:tc>
        <w:tc>
          <w:tcPr>
            <w:tcW w:w="2160" w:type="dxa"/>
            <w:gridSpan w:val="2"/>
            <w:tcBorders>
              <w:tl2br w:val="nil"/>
              <w:tr2bl w:val="nil"/>
            </w:tcBorders>
            <w:vAlign w:val="center"/>
          </w:tcPr>
          <w:p w14:paraId="1AB5A94D">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土壤环境</w:t>
            </w:r>
          </w:p>
        </w:tc>
        <w:tc>
          <w:tcPr>
            <w:tcW w:w="4650" w:type="dxa"/>
            <w:gridSpan w:val="2"/>
            <w:tcBorders>
              <w:tl2br w:val="nil"/>
              <w:tr2bl w:val="nil"/>
            </w:tcBorders>
            <w:vAlign w:val="center"/>
          </w:tcPr>
          <w:p w14:paraId="462CBDA6">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本次评价不进行土壤环境影响评价</w:t>
            </w:r>
          </w:p>
        </w:tc>
        <w:tc>
          <w:tcPr>
            <w:tcW w:w="1779" w:type="dxa"/>
            <w:tcBorders>
              <w:tl2br w:val="nil"/>
              <w:tr2bl w:val="nil"/>
            </w:tcBorders>
            <w:vAlign w:val="center"/>
          </w:tcPr>
          <w:p w14:paraId="3D746F82">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项目浮船坞所在区域为海域，不涉及土壤影响</w:t>
            </w:r>
          </w:p>
        </w:tc>
      </w:tr>
    </w:tbl>
    <w:p w14:paraId="4865F5E2">
      <w:pPr>
        <w:pStyle w:val="6"/>
        <w:numPr>
          <w:ilvl w:val="1"/>
          <w:numId w:val="9"/>
        </w:numPr>
        <w:rPr>
          <w:color w:val="auto"/>
          <w:sz w:val="32"/>
          <w:szCs w:val="32"/>
          <w:highlight w:val="none"/>
        </w:rPr>
      </w:pPr>
      <w:bookmarkStart w:id="71" w:name="_Toc19716"/>
      <w:bookmarkStart w:id="72" w:name="_Toc31828"/>
      <w:r>
        <w:rPr>
          <w:color w:val="auto"/>
          <w:sz w:val="32"/>
          <w:szCs w:val="32"/>
          <w:highlight w:val="none"/>
        </w:rPr>
        <w:t>评价时段</w:t>
      </w:r>
      <w:bookmarkEnd w:id="71"/>
      <w:bookmarkEnd w:id="72"/>
    </w:p>
    <w:p w14:paraId="0A96C4C8">
      <w:pPr>
        <w:widowControl/>
        <w:snapToGrid/>
        <w:ind w:firstLine="480"/>
        <w:jc w:val="left"/>
        <w:rPr>
          <w:color w:val="auto"/>
          <w:highlight w:val="none"/>
        </w:rPr>
      </w:pPr>
      <w:r>
        <w:rPr>
          <w:color w:val="auto"/>
          <w:highlight w:val="none"/>
        </w:rPr>
        <w:t>评价时段分施工期和运营期，计划施工期为36个月，运营期以项目竣工正式运营后为评价时段。</w:t>
      </w:r>
    </w:p>
    <w:p w14:paraId="5507F2CA">
      <w:pPr>
        <w:pStyle w:val="6"/>
        <w:numPr>
          <w:ilvl w:val="1"/>
          <w:numId w:val="9"/>
        </w:numPr>
        <w:rPr>
          <w:color w:val="auto"/>
          <w:sz w:val="32"/>
          <w:szCs w:val="32"/>
          <w:highlight w:val="none"/>
        </w:rPr>
      </w:pPr>
      <w:bookmarkStart w:id="73" w:name="_Toc33967205"/>
      <w:bookmarkStart w:id="74" w:name="_Toc5215"/>
      <w:bookmarkStart w:id="75" w:name="_Toc16185"/>
      <w:bookmarkStart w:id="76" w:name="_Toc33967101"/>
      <w:r>
        <w:rPr>
          <w:color w:val="auto"/>
          <w:sz w:val="32"/>
          <w:szCs w:val="32"/>
          <w:highlight w:val="none"/>
        </w:rPr>
        <w:t>评价主要技术和评价方法</w:t>
      </w:r>
      <w:bookmarkEnd w:id="73"/>
      <w:bookmarkEnd w:id="74"/>
      <w:bookmarkEnd w:id="75"/>
      <w:bookmarkEnd w:id="76"/>
    </w:p>
    <w:p w14:paraId="2CFA09D3">
      <w:pPr>
        <w:pStyle w:val="7"/>
        <w:numPr>
          <w:ilvl w:val="2"/>
          <w:numId w:val="9"/>
        </w:numPr>
        <w:rPr>
          <w:color w:val="auto"/>
          <w:sz w:val="28"/>
          <w:highlight w:val="none"/>
        </w:rPr>
      </w:pPr>
      <w:r>
        <w:rPr>
          <w:color w:val="auto"/>
          <w:sz w:val="28"/>
          <w:highlight w:val="none"/>
        </w:rPr>
        <w:t>评价原则</w:t>
      </w:r>
    </w:p>
    <w:p w14:paraId="0F57A059">
      <w:pPr>
        <w:ind w:firstLine="480"/>
        <w:rPr>
          <w:color w:val="auto"/>
          <w:highlight w:val="none"/>
        </w:rPr>
      </w:pPr>
      <w:r>
        <w:rPr>
          <w:color w:val="auto"/>
          <w:highlight w:val="none"/>
        </w:rPr>
        <w:t>本报告以国家环境保护法律、法规为依据，以</w:t>
      </w:r>
      <w:r>
        <w:rPr>
          <w:rFonts w:hint="eastAsia"/>
          <w:color w:val="auto"/>
          <w:highlight w:val="none"/>
          <w:lang w:eastAsia="zh-CN"/>
        </w:rPr>
        <w:t>生态环境部</w:t>
      </w:r>
      <w:r>
        <w:rPr>
          <w:color w:val="auto"/>
          <w:highlight w:val="none"/>
        </w:rPr>
        <w:t>颁布的有关环评导则为指导，结合项目特点，充分利用现有资料并补充必要的现状监测，结合工程设计数据，预测、分析拟建项目的实施及运营对环境造成的影响，最后从方案合理、技术、环境可行的角度提出相应的环保措施与建议。</w:t>
      </w:r>
    </w:p>
    <w:p w14:paraId="2FAF2EC1">
      <w:pPr>
        <w:pStyle w:val="7"/>
        <w:numPr>
          <w:ilvl w:val="2"/>
          <w:numId w:val="9"/>
        </w:numPr>
        <w:rPr>
          <w:color w:val="auto"/>
          <w:sz w:val="28"/>
          <w:highlight w:val="none"/>
        </w:rPr>
      </w:pPr>
      <w:r>
        <w:rPr>
          <w:color w:val="auto"/>
          <w:sz w:val="28"/>
          <w:highlight w:val="none"/>
        </w:rPr>
        <w:t>评价方法</w:t>
      </w:r>
    </w:p>
    <w:p w14:paraId="6EA17355">
      <w:pPr>
        <w:ind w:firstLine="480"/>
        <w:rPr>
          <w:color w:val="auto"/>
          <w:highlight w:val="none"/>
        </w:rPr>
      </w:pPr>
      <w:r>
        <w:rPr>
          <w:color w:val="auto"/>
          <w:highlight w:val="none"/>
        </w:rPr>
        <w:t>（1）现状评价采用钦州市生态环境局公布的环境年报及补充现状监测以及调研统计分析等方法。</w:t>
      </w:r>
    </w:p>
    <w:p w14:paraId="42D2802F">
      <w:pPr>
        <w:ind w:firstLine="480"/>
        <w:rPr>
          <w:color w:val="auto"/>
          <w:highlight w:val="none"/>
        </w:rPr>
      </w:pPr>
      <w:r>
        <w:rPr>
          <w:color w:val="auto"/>
          <w:highlight w:val="none"/>
        </w:rPr>
        <w:t>（2）调查环境现状、预测环境影响；以清洁生产、环境影响综合防治和可持续发展为原则制订环保对策并反馈设计。</w:t>
      </w:r>
    </w:p>
    <w:p w14:paraId="208C721A">
      <w:pPr>
        <w:ind w:firstLine="480"/>
        <w:rPr>
          <w:color w:val="auto"/>
          <w:highlight w:val="none"/>
        </w:rPr>
      </w:pPr>
      <w:r>
        <w:rPr>
          <w:color w:val="auto"/>
          <w:highlight w:val="none"/>
        </w:rPr>
        <w:t>（3）具体对水环境、环境空气、环境噪声采用模式计算和类比分析法进行预测评价；对生态环境采用调研分析及类比分析法。</w:t>
      </w:r>
    </w:p>
    <w:p w14:paraId="47021FEB">
      <w:pPr>
        <w:pStyle w:val="6"/>
        <w:numPr>
          <w:ilvl w:val="1"/>
          <w:numId w:val="9"/>
        </w:numPr>
        <w:rPr>
          <w:color w:val="auto"/>
          <w:sz w:val="32"/>
          <w:szCs w:val="32"/>
          <w:highlight w:val="none"/>
        </w:rPr>
      </w:pPr>
      <w:bookmarkStart w:id="77" w:name="_Toc33967204"/>
      <w:bookmarkStart w:id="78" w:name="_Toc5887"/>
      <w:bookmarkStart w:id="79" w:name="_Toc33967100"/>
      <w:bookmarkStart w:id="80" w:name="_Toc3976"/>
      <w:r>
        <w:rPr>
          <w:color w:val="auto"/>
          <w:sz w:val="32"/>
          <w:szCs w:val="32"/>
          <w:highlight w:val="none"/>
        </w:rPr>
        <w:t>环境保护目标</w:t>
      </w:r>
      <w:bookmarkEnd w:id="77"/>
      <w:bookmarkEnd w:id="78"/>
      <w:bookmarkEnd w:id="79"/>
      <w:bookmarkEnd w:id="80"/>
    </w:p>
    <w:p w14:paraId="378F575C">
      <w:pPr>
        <w:widowControl/>
        <w:ind w:firstLine="480"/>
        <w:jc w:val="left"/>
        <w:rPr>
          <w:rFonts w:eastAsiaTheme="minorEastAsia"/>
          <w:color w:val="auto"/>
          <w:highlight w:val="none"/>
        </w:rPr>
      </w:pPr>
      <w:r>
        <w:rPr>
          <w:rFonts w:eastAsiaTheme="minorEastAsia"/>
          <w:color w:val="auto"/>
          <w:highlight w:val="none"/>
        </w:rPr>
        <w:t>本工程建设将在水域产生悬浮泥沙，向周边海域扩散，如发生燃料油</w:t>
      </w:r>
      <w:r>
        <w:rPr>
          <w:rFonts w:hint="eastAsia" w:eastAsiaTheme="minorEastAsia"/>
          <w:color w:val="auto"/>
          <w:highlight w:val="none"/>
          <w:lang w:eastAsia="zh-CN"/>
        </w:rPr>
        <w:t>泄漏</w:t>
      </w:r>
      <w:r>
        <w:rPr>
          <w:rFonts w:eastAsiaTheme="minorEastAsia"/>
          <w:color w:val="auto"/>
          <w:highlight w:val="none"/>
        </w:rPr>
        <w:t>事故，也有可能对周边海域造成污染，在一定程度上影响了周边保护区、旅游区、养殖区、农渔业区的水质环境和生态环境，因此，将评价范围内存在的上述功能区或海域使用区界定为环境保护目标。</w:t>
      </w:r>
    </w:p>
    <w:p w14:paraId="111727DC">
      <w:pPr>
        <w:widowControl/>
        <w:ind w:firstLine="480"/>
        <w:jc w:val="left"/>
        <w:rPr>
          <w:rFonts w:eastAsiaTheme="minorEastAsia"/>
          <w:color w:val="auto"/>
          <w:highlight w:val="none"/>
        </w:rPr>
      </w:pPr>
      <w:bookmarkStart w:id="81" w:name="_Toc20347"/>
      <w:r>
        <w:rPr>
          <w:rFonts w:eastAsiaTheme="minorEastAsia"/>
          <w:color w:val="auto"/>
          <w:highlight w:val="none"/>
        </w:rPr>
        <w:t>根据项目与周边环境敏感区位置关系分析，项目评价范围涉及的环境保护目标主要有</w:t>
      </w:r>
      <w:r>
        <w:rPr>
          <w:color w:val="auto"/>
          <w:highlight w:val="none"/>
        </w:rPr>
        <w:t>三娘湾旅游休闲娱乐区、钦州港青菜头南浅海滩涂养殖区，</w:t>
      </w:r>
      <w:r>
        <w:rPr>
          <w:rFonts w:hint="eastAsia"/>
          <w:color w:val="auto"/>
          <w:highlight w:val="none"/>
          <w:u w:val="single"/>
        </w:rPr>
        <w:t>此外，项目周边分布有较多蚝排，根据《钦州市养殖水域滩涂规划》（2025-2035年），项目周边为禁养区，现状蚝排养殖区与规划不符，随着规划实施，需限期搬迁或关停，考虑现阶段项目施工有可能对其造成影响，本次评价将其列入环境保护目标，同时建议尽快开展搬迁工作。</w:t>
      </w:r>
      <w:r>
        <w:rPr>
          <w:rFonts w:eastAsiaTheme="minorEastAsia"/>
          <w:color w:val="auto"/>
          <w:highlight w:val="none"/>
        </w:rPr>
        <w:t>本项目评价范围内</w:t>
      </w:r>
      <w:r>
        <w:rPr>
          <w:rFonts w:hint="eastAsia" w:eastAsiaTheme="minorEastAsia"/>
          <w:color w:val="auto"/>
          <w:highlight w:val="none"/>
        </w:rPr>
        <w:t>环境保护目标</w:t>
      </w:r>
      <w:r>
        <w:rPr>
          <w:rFonts w:eastAsiaTheme="minorEastAsia"/>
          <w:color w:val="auto"/>
          <w:highlight w:val="none"/>
        </w:rPr>
        <w:t>详见表1.7-1、附图12</w:t>
      </w:r>
      <w:r>
        <w:rPr>
          <w:rFonts w:hint="eastAsia" w:eastAsiaTheme="minorEastAsia"/>
          <w:color w:val="auto"/>
          <w:highlight w:val="none"/>
        </w:rPr>
        <w:t>，</w:t>
      </w:r>
      <w:r>
        <w:rPr>
          <w:rFonts w:eastAsiaTheme="minorEastAsia"/>
          <w:color w:val="auto"/>
          <w:highlight w:val="none"/>
        </w:rPr>
        <w:t>评价范围内无大气环境和声环境保护目标。</w:t>
      </w:r>
    </w:p>
    <w:p w14:paraId="4060E8AE">
      <w:pPr>
        <w:pStyle w:val="38"/>
        <w:spacing w:after="0" w:line="240" w:lineRule="auto"/>
        <w:ind w:firstLine="0" w:firstLineChars="0"/>
        <w:jc w:val="center"/>
        <w:rPr>
          <w:b/>
          <w:color w:val="auto"/>
          <w:sz w:val="21"/>
          <w:szCs w:val="21"/>
          <w:highlight w:val="none"/>
          <w:u w:val="single"/>
        </w:rPr>
      </w:pPr>
      <w:r>
        <w:rPr>
          <w:b/>
          <w:color w:val="auto"/>
          <w:sz w:val="21"/>
          <w:szCs w:val="21"/>
          <w:highlight w:val="none"/>
          <w:u w:val="single"/>
        </w:rPr>
        <w:t>表 1.7-1 工程</w:t>
      </w:r>
      <w:r>
        <w:rPr>
          <w:rFonts w:hint="eastAsia"/>
          <w:b/>
          <w:color w:val="auto"/>
          <w:sz w:val="21"/>
          <w:szCs w:val="21"/>
          <w:highlight w:val="none"/>
          <w:u w:val="single"/>
        </w:rPr>
        <w:t>评价范围内环境保护目标情况一览表</w:t>
      </w:r>
    </w:p>
    <w:tbl>
      <w:tblPr>
        <w:tblStyle w:val="9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620"/>
        <w:gridCol w:w="964"/>
        <w:gridCol w:w="1762"/>
        <w:gridCol w:w="2940"/>
      </w:tblGrid>
      <w:tr w14:paraId="35411E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949" w:type="pct"/>
            <w:tcBorders>
              <w:tl2br w:val="nil"/>
              <w:tr2bl w:val="nil"/>
            </w:tcBorders>
            <w:vAlign w:val="center"/>
          </w:tcPr>
          <w:p w14:paraId="60CB392B">
            <w:pPr>
              <w:spacing w:line="240" w:lineRule="auto"/>
              <w:ind w:left="-72" w:leftChars="-30" w:right="-72" w:rightChars="-30" w:firstLine="0" w:firstLineChars="0"/>
              <w:jc w:val="center"/>
              <w:rPr>
                <w:b/>
                <w:color w:val="auto"/>
                <w:sz w:val="21"/>
                <w:szCs w:val="21"/>
                <w:highlight w:val="none"/>
                <w:u w:val="single"/>
              </w:rPr>
            </w:pPr>
            <w:r>
              <w:rPr>
                <w:b/>
                <w:color w:val="auto"/>
                <w:sz w:val="21"/>
                <w:szCs w:val="21"/>
                <w:highlight w:val="none"/>
                <w:u w:val="single"/>
              </w:rPr>
              <w:t>环境保护目标名称</w:t>
            </w:r>
          </w:p>
        </w:tc>
        <w:tc>
          <w:tcPr>
            <w:tcW w:w="519" w:type="pct"/>
            <w:tcBorders>
              <w:tl2br w:val="nil"/>
              <w:tr2bl w:val="nil"/>
            </w:tcBorders>
            <w:vAlign w:val="center"/>
          </w:tcPr>
          <w:p w14:paraId="6F5D1E47">
            <w:pPr>
              <w:spacing w:line="240" w:lineRule="auto"/>
              <w:ind w:left="-72" w:leftChars="-30" w:right="-72" w:rightChars="-30" w:firstLine="0" w:firstLineChars="0"/>
              <w:jc w:val="center"/>
              <w:rPr>
                <w:b/>
                <w:color w:val="auto"/>
                <w:sz w:val="21"/>
                <w:szCs w:val="21"/>
                <w:highlight w:val="none"/>
                <w:u w:val="single"/>
              </w:rPr>
            </w:pPr>
            <w:r>
              <w:rPr>
                <w:b/>
                <w:color w:val="auto"/>
                <w:sz w:val="21"/>
                <w:szCs w:val="21"/>
                <w:highlight w:val="none"/>
                <w:u w:val="single"/>
              </w:rPr>
              <w:t>方位</w:t>
            </w:r>
          </w:p>
        </w:tc>
        <w:tc>
          <w:tcPr>
            <w:tcW w:w="949" w:type="pct"/>
            <w:tcBorders>
              <w:tl2br w:val="nil"/>
              <w:tr2bl w:val="nil"/>
            </w:tcBorders>
            <w:vAlign w:val="center"/>
          </w:tcPr>
          <w:p w14:paraId="625F8D11">
            <w:pPr>
              <w:spacing w:line="240" w:lineRule="auto"/>
              <w:ind w:left="-72" w:leftChars="-30" w:right="-72" w:rightChars="-30" w:firstLine="0" w:firstLineChars="0"/>
              <w:jc w:val="center"/>
              <w:rPr>
                <w:b/>
                <w:color w:val="auto"/>
                <w:sz w:val="21"/>
                <w:szCs w:val="21"/>
                <w:highlight w:val="none"/>
                <w:u w:val="single"/>
              </w:rPr>
            </w:pPr>
            <w:r>
              <w:rPr>
                <w:b/>
                <w:color w:val="auto"/>
                <w:sz w:val="21"/>
                <w:szCs w:val="21"/>
                <w:highlight w:val="none"/>
                <w:u w:val="single"/>
              </w:rPr>
              <w:t>最近距离（km）</w:t>
            </w:r>
          </w:p>
        </w:tc>
        <w:tc>
          <w:tcPr>
            <w:tcW w:w="1584" w:type="pct"/>
            <w:tcBorders>
              <w:tl2br w:val="nil"/>
              <w:tr2bl w:val="nil"/>
            </w:tcBorders>
            <w:vAlign w:val="center"/>
          </w:tcPr>
          <w:p w14:paraId="06B3A803">
            <w:pPr>
              <w:spacing w:line="240" w:lineRule="auto"/>
              <w:ind w:left="-72" w:leftChars="-30" w:right="-72" w:rightChars="-30" w:firstLine="0" w:firstLineChars="0"/>
              <w:jc w:val="center"/>
              <w:rPr>
                <w:b/>
                <w:color w:val="auto"/>
                <w:sz w:val="21"/>
                <w:szCs w:val="21"/>
                <w:highlight w:val="none"/>
                <w:u w:val="single"/>
              </w:rPr>
            </w:pPr>
            <w:r>
              <w:rPr>
                <w:b/>
                <w:color w:val="auto"/>
                <w:sz w:val="21"/>
                <w:szCs w:val="21"/>
                <w:highlight w:val="none"/>
                <w:u w:val="single"/>
              </w:rPr>
              <w:t>保护内容</w:t>
            </w:r>
          </w:p>
        </w:tc>
      </w:tr>
      <w:tr w14:paraId="435EE2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49" w:type="pct"/>
            <w:tcBorders>
              <w:tl2br w:val="nil"/>
              <w:tr2bl w:val="nil"/>
            </w:tcBorders>
            <w:vAlign w:val="center"/>
          </w:tcPr>
          <w:p w14:paraId="1E3FFDE5">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钦州港青菜头南浅海滩涂养殖区</w:t>
            </w:r>
          </w:p>
        </w:tc>
        <w:tc>
          <w:tcPr>
            <w:tcW w:w="519" w:type="pct"/>
            <w:tcBorders>
              <w:tl2br w:val="nil"/>
              <w:tr2bl w:val="nil"/>
            </w:tcBorders>
            <w:vAlign w:val="center"/>
          </w:tcPr>
          <w:p w14:paraId="17FC0F03">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W</w:t>
            </w:r>
          </w:p>
        </w:tc>
        <w:tc>
          <w:tcPr>
            <w:tcW w:w="949" w:type="pct"/>
            <w:tcBorders>
              <w:tl2br w:val="nil"/>
              <w:tr2bl w:val="nil"/>
            </w:tcBorders>
            <w:vAlign w:val="center"/>
          </w:tcPr>
          <w:p w14:paraId="3BD8B13E">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5</w:t>
            </w:r>
          </w:p>
        </w:tc>
        <w:tc>
          <w:tcPr>
            <w:tcW w:w="1584" w:type="pct"/>
            <w:tcBorders>
              <w:tl2br w:val="nil"/>
              <w:tr2bl w:val="nil"/>
            </w:tcBorders>
            <w:vAlign w:val="center"/>
          </w:tcPr>
          <w:p w14:paraId="0314787C">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海洋生态环境和物种多样性</w:t>
            </w:r>
          </w:p>
        </w:tc>
      </w:tr>
      <w:tr w14:paraId="377627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49" w:type="pct"/>
            <w:tcBorders>
              <w:tl2br w:val="nil"/>
              <w:tr2bl w:val="nil"/>
            </w:tcBorders>
            <w:vAlign w:val="center"/>
          </w:tcPr>
          <w:p w14:paraId="2A178383">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三娘湾旅游娱乐区</w:t>
            </w:r>
          </w:p>
        </w:tc>
        <w:tc>
          <w:tcPr>
            <w:tcW w:w="519" w:type="pct"/>
            <w:tcBorders>
              <w:tl2br w:val="nil"/>
              <w:tr2bl w:val="nil"/>
            </w:tcBorders>
            <w:vAlign w:val="center"/>
          </w:tcPr>
          <w:p w14:paraId="631CF4AE">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NE</w:t>
            </w:r>
          </w:p>
        </w:tc>
        <w:tc>
          <w:tcPr>
            <w:tcW w:w="949" w:type="pct"/>
            <w:tcBorders>
              <w:tl2br w:val="nil"/>
              <w:tr2bl w:val="nil"/>
            </w:tcBorders>
            <w:vAlign w:val="center"/>
          </w:tcPr>
          <w:p w14:paraId="68E3AAF9">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4.5</w:t>
            </w:r>
          </w:p>
        </w:tc>
        <w:tc>
          <w:tcPr>
            <w:tcW w:w="1584" w:type="pct"/>
            <w:tcBorders>
              <w:tl2br w:val="nil"/>
              <w:tr2bl w:val="nil"/>
            </w:tcBorders>
            <w:vAlign w:val="center"/>
          </w:tcPr>
          <w:p w14:paraId="012304A7">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水质、生态环境</w:t>
            </w:r>
          </w:p>
        </w:tc>
      </w:tr>
      <w:tr w14:paraId="35A9BC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49" w:type="pct"/>
            <w:tcBorders>
              <w:tl2br w:val="nil"/>
              <w:tr2bl w:val="nil"/>
            </w:tcBorders>
            <w:vAlign w:val="center"/>
          </w:tcPr>
          <w:p w14:paraId="4ACC9F03">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项目周边蚝排养殖区</w:t>
            </w:r>
          </w:p>
        </w:tc>
        <w:tc>
          <w:tcPr>
            <w:tcW w:w="519" w:type="pct"/>
            <w:tcBorders>
              <w:tl2br w:val="nil"/>
              <w:tr2bl w:val="nil"/>
            </w:tcBorders>
            <w:vAlign w:val="center"/>
          </w:tcPr>
          <w:p w14:paraId="26FD1673">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w:t>
            </w:r>
          </w:p>
        </w:tc>
        <w:tc>
          <w:tcPr>
            <w:tcW w:w="949" w:type="pct"/>
            <w:tcBorders>
              <w:tl2br w:val="nil"/>
              <w:tr2bl w:val="nil"/>
            </w:tcBorders>
            <w:vAlign w:val="center"/>
          </w:tcPr>
          <w:p w14:paraId="565303E1">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w:t>
            </w:r>
            <w:r>
              <w:rPr>
                <w:color w:val="auto"/>
                <w:sz w:val="21"/>
                <w:szCs w:val="21"/>
                <w:highlight w:val="none"/>
                <w:u w:val="single"/>
              </w:rPr>
              <w:t>.0</w:t>
            </w:r>
          </w:p>
        </w:tc>
        <w:tc>
          <w:tcPr>
            <w:tcW w:w="1584" w:type="pct"/>
            <w:tcBorders>
              <w:tl2br w:val="nil"/>
              <w:tr2bl w:val="nil"/>
            </w:tcBorders>
            <w:vAlign w:val="center"/>
          </w:tcPr>
          <w:p w14:paraId="49C8C13A">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水质、生态环境</w:t>
            </w:r>
          </w:p>
        </w:tc>
      </w:tr>
    </w:tbl>
    <w:p w14:paraId="56CEC045">
      <w:pPr>
        <w:bidi w:val="0"/>
        <w:rPr>
          <w:color w:val="auto"/>
          <w:highlight w:val="none"/>
        </w:rPr>
      </w:pPr>
    </w:p>
    <w:p w14:paraId="4BC0431B">
      <w:pPr>
        <w:pStyle w:val="6"/>
        <w:numPr>
          <w:ilvl w:val="1"/>
          <w:numId w:val="9"/>
        </w:numPr>
        <w:rPr>
          <w:color w:val="auto"/>
          <w:sz w:val="32"/>
          <w:szCs w:val="32"/>
          <w:highlight w:val="none"/>
        </w:rPr>
      </w:pPr>
      <w:r>
        <w:rPr>
          <w:color w:val="auto"/>
          <w:sz w:val="32"/>
          <w:szCs w:val="32"/>
          <w:highlight w:val="none"/>
        </w:rPr>
        <w:t>评价工作程序</w:t>
      </w:r>
      <w:bookmarkEnd w:id="81"/>
    </w:p>
    <w:p w14:paraId="29DB3934">
      <w:pPr>
        <w:ind w:firstLine="480"/>
        <w:rPr>
          <w:rFonts w:eastAsiaTheme="minorEastAsia"/>
          <w:color w:val="auto"/>
          <w:highlight w:val="none"/>
        </w:rPr>
      </w:pPr>
      <w:r>
        <w:rPr>
          <w:rFonts w:eastAsiaTheme="minorEastAsia"/>
          <w:color w:val="auto"/>
          <w:highlight w:val="none"/>
        </w:rPr>
        <w:t>项目环评工作过程分为三个阶段：调查分析和工作方案制定阶段，分析论证和预测评价阶段，环境影响报告书编制阶段，见图1.8-1。</w:t>
      </w:r>
    </w:p>
    <w:p w14:paraId="3BF0B23D">
      <w:pPr>
        <w:pStyle w:val="38"/>
        <w:spacing w:after="0" w:line="240" w:lineRule="auto"/>
        <w:ind w:firstLine="0" w:firstLineChars="0"/>
        <w:jc w:val="center"/>
        <w:rPr>
          <w:color w:val="auto"/>
          <w:highlight w:val="none"/>
        </w:rPr>
      </w:pPr>
      <w:r>
        <w:rPr>
          <w:color w:val="auto"/>
          <w:highlight w:val="none"/>
        </w:rPr>
        <w:drawing>
          <wp:inline distT="0" distB="0" distL="114300" distR="114300">
            <wp:extent cx="5758180" cy="5516880"/>
            <wp:effectExtent l="0" t="0" r="13970" b="7620"/>
            <wp:docPr id="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
                    <pic:cNvPicPr>
                      <a:picLocks noChangeAspect="1"/>
                    </pic:cNvPicPr>
                  </pic:nvPicPr>
                  <pic:blipFill>
                    <a:blip r:embed="rId69"/>
                    <a:stretch>
                      <a:fillRect/>
                    </a:stretch>
                  </pic:blipFill>
                  <pic:spPr>
                    <a:xfrm>
                      <a:off x="0" y="0"/>
                      <a:ext cx="5758180" cy="5516880"/>
                    </a:xfrm>
                    <a:prstGeom prst="rect">
                      <a:avLst/>
                    </a:prstGeom>
                    <a:noFill/>
                    <a:ln>
                      <a:noFill/>
                    </a:ln>
                  </pic:spPr>
                </pic:pic>
              </a:graphicData>
            </a:graphic>
          </wp:inline>
        </w:drawing>
      </w:r>
    </w:p>
    <w:p w14:paraId="1BF2B185">
      <w:pPr>
        <w:pStyle w:val="38"/>
        <w:spacing w:after="0" w:line="240" w:lineRule="auto"/>
        <w:ind w:firstLine="0" w:firstLineChars="0"/>
        <w:jc w:val="center"/>
        <w:rPr>
          <w:b/>
          <w:color w:val="auto"/>
          <w:sz w:val="21"/>
          <w:szCs w:val="21"/>
          <w:highlight w:val="none"/>
        </w:rPr>
      </w:pPr>
      <w:r>
        <w:rPr>
          <w:b/>
          <w:color w:val="auto"/>
          <w:sz w:val="21"/>
          <w:szCs w:val="21"/>
          <w:highlight w:val="none"/>
        </w:rPr>
        <w:t>图1.8-1建设项目环境影响评价工作程序图</w:t>
      </w:r>
    </w:p>
    <w:p w14:paraId="4890E93F">
      <w:pPr>
        <w:ind w:firstLine="480"/>
        <w:rPr>
          <w:color w:val="auto"/>
          <w:highlight w:val="none"/>
        </w:rPr>
      </w:pPr>
    </w:p>
    <w:p w14:paraId="7A50FCFC">
      <w:pPr>
        <w:ind w:firstLine="480"/>
        <w:rPr>
          <w:color w:val="auto"/>
          <w:highlight w:val="none"/>
        </w:rPr>
      </w:pPr>
    </w:p>
    <w:p w14:paraId="10064D5B">
      <w:pPr>
        <w:ind w:firstLine="0" w:firstLineChars="0"/>
        <w:jc w:val="center"/>
        <w:textAlignment w:val="baseline"/>
        <w:rPr>
          <w:rFonts w:eastAsiaTheme="minorEastAsia"/>
          <w:b/>
          <w:color w:val="auto"/>
          <w:highlight w:val="none"/>
        </w:rPr>
        <w:sectPr>
          <w:headerReference r:id="rId20" w:type="default"/>
          <w:footerReference r:id="rId21" w:type="default"/>
          <w:pgSz w:w="11906" w:h="16838"/>
          <w:pgMar w:top="1559" w:right="1418" w:bottom="1503" w:left="1418" w:header="851" w:footer="964" w:gutter="0"/>
          <w:pgNumType w:start="1"/>
          <w:cols w:space="720" w:num="1"/>
          <w:docGrid w:linePitch="326" w:charSpace="836"/>
        </w:sectPr>
      </w:pPr>
    </w:p>
    <w:p w14:paraId="5CD24EA2">
      <w:pPr>
        <w:pStyle w:val="5"/>
        <w:numPr>
          <w:ilvl w:val="0"/>
          <w:numId w:val="9"/>
        </w:numPr>
        <w:jc w:val="center"/>
        <w:rPr>
          <w:color w:val="auto"/>
          <w:sz w:val="36"/>
          <w:szCs w:val="36"/>
          <w:highlight w:val="none"/>
        </w:rPr>
      </w:pPr>
      <w:bookmarkStart w:id="82" w:name="_Toc475975345"/>
      <w:bookmarkStart w:id="83" w:name="_Toc33967103"/>
      <w:bookmarkStart w:id="84" w:name="_Toc33967207"/>
      <w:bookmarkStart w:id="85" w:name="_Hlk39234157"/>
      <w:bookmarkStart w:id="86" w:name="_Toc17170"/>
      <w:bookmarkStart w:id="87" w:name="_Toc8049"/>
      <w:r>
        <w:rPr>
          <w:color w:val="auto"/>
          <w:sz w:val="36"/>
          <w:szCs w:val="36"/>
          <w:highlight w:val="none"/>
        </w:rPr>
        <w:t>建设项目工程</w:t>
      </w:r>
      <w:bookmarkEnd w:id="82"/>
      <w:r>
        <w:rPr>
          <w:color w:val="auto"/>
          <w:sz w:val="36"/>
          <w:szCs w:val="36"/>
          <w:highlight w:val="none"/>
        </w:rPr>
        <w:t>分析</w:t>
      </w:r>
      <w:bookmarkEnd w:id="83"/>
      <w:bookmarkEnd w:id="84"/>
      <w:bookmarkEnd w:id="85"/>
      <w:bookmarkEnd w:id="86"/>
      <w:bookmarkEnd w:id="87"/>
    </w:p>
    <w:bookmarkEnd w:id="34"/>
    <w:bookmarkEnd w:id="35"/>
    <w:bookmarkEnd w:id="36"/>
    <w:bookmarkEnd w:id="37"/>
    <w:bookmarkEnd w:id="38"/>
    <w:bookmarkEnd w:id="39"/>
    <w:bookmarkEnd w:id="40"/>
    <w:bookmarkEnd w:id="41"/>
    <w:p w14:paraId="0B1F8DFF">
      <w:pPr>
        <w:pStyle w:val="522"/>
        <w:rPr>
          <w:rFonts w:ascii="Times New Roman" w:hAnsi="Times New Roman"/>
          <w:color w:val="auto"/>
          <w:highlight w:val="none"/>
        </w:rPr>
      </w:pPr>
      <w:bookmarkStart w:id="88" w:name="_Toc28573"/>
      <w:bookmarkStart w:id="89" w:name="_Toc33967208"/>
      <w:bookmarkStart w:id="90" w:name="_Toc33967104"/>
      <w:r>
        <w:rPr>
          <w:rFonts w:hint="eastAsia" w:ascii="Times New Roman" w:hAnsi="Times New Roman"/>
          <w:color w:val="auto"/>
          <w:highlight w:val="none"/>
        </w:rPr>
        <w:t>本项目位于钦州基地内。</w:t>
      </w:r>
      <w:r>
        <w:rPr>
          <w:rFonts w:ascii="Times New Roman" w:hAnsi="Times New Roman"/>
          <w:color w:val="auto"/>
          <w:highlight w:val="none"/>
        </w:rPr>
        <w:t>项目</w:t>
      </w:r>
      <w:r>
        <w:rPr>
          <w:rFonts w:hint="eastAsia" w:ascii="Times New Roman" w:hAnsi="Times New Roman"/>
          <w:color w:val="auto"/>
          <w:highlight w:val="none"/>
        </w:rPr>
        <w:t>技改建设</w:t>
      </w:r>
      <w:r>
        <w:rPr>
          <w:rFonts w:ascii="Times New Roman" w:hAnsi="Times New Roman"/>
          <w:color w:val="auto"/>
          <w:highlight w:val="none"/>
        </w:rPr>
        <w:t>1座10万吨级浮船坞用于置换“中船钦州修船资源整合项目”中的老旧10万吨级浮船坞，新浮船坞采用抛锚的方式布置在原新祥生号浮船坞位置（布置于中船基地的港池内，靠近5#码头），并利用原钢引桥和趸船与陆域连通，可维修或改造10万吨级及以下的船舶；并在“中船广西海上风电装备产业基地南翼项目2#码头和5#码头工程”中的5#舾装码头内</w:t>
      </w:r>
      <w:r>
        <w:rPr>
          <w:rFonts w:hint="eastAsia" w:ascii="Times New Roman" w:hAnsi="Times New Roman"/>
          <w:color w:val="auto"/>
          <w:highlight w:val="none"/>
        </w:rPr>
        <w:t>扩建</w:t>
      </w:r>
      <w:r>
        <w:rPr>
          <w:rFonts w:ascii="Times New Roman" w:hAnsi="Times New Roman"/>
          <w:color w:val="auto"/>
          <w:highlight w:val="none"/>
        </w:rPr>
        <w:t>1台6070门座式起重机，以满足5#码头修、造船舾装作业的需求。</w:t>
      </w:r>
    </w:p>
    <w:p w14:paraId="54972DC0">
      <w:pPr>
        <w:pStyle w:val="6"/>
        <w:numPr>
          <w:ilvl w:val="1"/>
          <w:numId w:val="9"/>
        </w:numPr>
        <w:rPr>
          <w:color w:val="auto"/>
          <w:sz w:val="32"/>
          <w:szCs w:val="32"/>
          <w:highlight w:val="none"/>
        </w:rPr>
      </w:pPr>
      <w:bookmarkStart w:id="91" w:name="_Toc15325"/>
      <w:r>
        <w:rPr>
          <w:color w:val="auto"/>
          <w:sz w:val="32"/>
          <w:szCs w:val="32"/>
          <w:highlight w:val="none"/>
        </w:rPr>
        <w:t>现有工程概况</w:t>
      </w:r>
      <w:bookmarkEnd w:id="88"/>
      <w:bookmarkEnd w:id="91"/>
    </w:p>
    <w:p w14:paraId="46C30ED8">
      <w:pPr>
        <w:pStyle w:val="7"/>
        <w:numPr>
          <w:ilvl w:val="2"/>
          <w:numId w:val="9"/>
        </w:numPr>
        <w:rPr>
          <w:color w:val="auto"/>
          <w:sz w:val="28"/>
          <w:highlight w:val="none"/>
        </w:rPr>
      </w:pPr>
      <w:r>
        <w:rPr>
          <w:color w:val="auto"/>
          <w:sz w:val="28"/>
          <w:highlight w:val="none"/>
        </w:rPr>
        <w:t>“钦州基地”概况</w:t>
      </w:r>
    </w:p>
    <w:p w14:paraId="441D441E">
      <w:pPr>
        <w:pStyle w:val="589"/>
        <w:ind w:firstLine="480"/>
        <w:rPr>
          <w:rFonts w:cs="Times New Roman"/>
          <w:color w:val="auto"/>
          <w:highlight w:val="none"/>
        </w:rPr>
      </w:pPr>
      <w:r>
        <w:rPr>
          <w:rFonts w:cs="Times New Roman"/>
          <w:color w:val="auto"/>
          <w:highlight w:val="none"/>
        </w:rPr>
        <w:t>原中国船舶工业集团公司着眼船舶产业、防务能力布局和北部湾地区经济发展，于2012年与广西壮族自治区人民政府签署《中船钦州大型海工修造及保障基地项目合作协议》，共同谋划在钦州市钦州港区建设中船钦州大型海工修造及保障基地（简称“钦州基地”）</w:t>
      </w:r>
      <w:r>
        <w:rPr>
          <w:rFonts w:hint="eastAsia" w:cs="Times New Roman"/>
          <w:color w:val="auto"/>
          <w:highlight w:val="none"/>
        </w:rPr>
        <w:t>，</w:t>
      </w:r>
      <w:r>
        <w:rPr>
          <w:rFonts w:cs="Times New Roman"/>
          <w:color w:val="auto"/>
          <w:highlight w:val="none"/>
        </w:rPr>
        <w:t>规划在钦州港三墩作业区规划建设中船钦州大型海工修造及保障基地项目。项目规划岸线3500米，纵深500米~1200米，占地面积361万平方米（协议中明确用地5700亩），布局修船、造船、海洋工程、特种船舶、非船产品等业务板块，主要发展10万吨级以下造船、30万吨级以下船舶及海工产品的修理和改装、钢结构等非船产品制造以及相关船舶配套等业务。2013年初，原中国船舶工业集团公司在钦州市注册成立中国船舶集团广西造船有限公司（曾用名：中船广西船舶及海洋工程有限公司），负责钦州基地建设任务。</w:t>
      </w:r>
    </w:p>
    <w:p w14:paraId="31CB0FF6">
      <w:pPr>
        <w:pStyle w:val="589"/>
        <w:ind w:firstLine="480"/>
        <w:rPr>
          <w:rFonts w:cs="Times New Roman"/>
          <w:color w:val="auto"/>
          <w:highlight w:val="none"/>
        </w:rPr>
      </w:pPr>
      <w:r>
        <w:rPr>
          <w:rFonts w:cs="Times New Roman"/>
          <w:color w:val="auto"/>
          <w:highlight w:val="none"/>
        </w:rPr>
        <w:t>钦州基地于2015年启动建设，占用土地约700亩（已取证约450亩，不含入股广西文船重工有限公司土地）、港池用海约1100亩，拥有10万吨级浮船坞和斜船台（临时设施）各一座；3座10万吨级码头，总长约1048米；3座生产车间，综合车间、下料加工车间、机电车间；1栋倒班宿舍楼、1栋员工宿舍楼；相关配套设施和动能站房。钦州基地经过多个项目的建设，逐步形成了修船、非船、造船能力。</w:t>
      </w:r>
    </w:p>
    <w:p w14:paraId="56301AC5">
      <w:pPr>
        <w:widowControl/>
        <w:ind w:firstLine="480"/>
        <w:jc w:val="left"/>
        <w:rPr>
          <w:color w:val="auto"/>
          <w:highlight w:val="none"/>
        </w:rPr>
      </w:pPr>
      <w:r>
        <w:rPr>
          <w:color w:val="auto"/>
          <w:highlight w:val="none"/>
        </w:rPr>
        <w:t>目前“钦州基地”建有中船钦州修船资源整合项目、中船钦州广船设施设备资源利用项目、中船钦州风电塔柔性生产线项目、中船广西海上风电装备产业基地南翼项目2#码头和5#码头工程项目等4个项目。</w:t>
      </w:r>
    </w:p>
    <w:p w14:paraId="0E7FDF92">
      <w:pPr>
        <w:ind w:firstLine="482"/>
        <w:rPr>
          <w:b/>
          <w:bCs/>
          <w:color w:val="auto"/>
          <w:highlight w:val="none"/>
        </w:rPr>
      </w:pPr>
    </w:p>
    <w:p w14:paraId="5AB09C02">
      <w:pPr>
        <w:ind w:firstLine="482"/>
        <w:rPr>
          <w:b/>
          <w:bCs/>
          <w:color w:val="auto"/>
          <w:highlight w:val="none"/>
        </w:rPr>
      </w:pPr>
      <w:r>
        <w:rPr>
          <w:b/>
          <w:bCs/>
          <w:color w:val="auto"/>
          <w:highlight w:val="none"/>
        </w:rPr>
        <w:t>（1）中船钦州修船资源整合项目</w:t>
      </w:r>
    </w:p>
    <w:p w14:paraId="445DECDE">
      <w:pPr>
        <w:widowControl/>
        <w:ind w:firstLine="480"/>
        <w:rPr>
          <w:color w:val="auto"/>
          <w:highlight w:val="none"/>
        </w:rPr>
      </w:pPr>
      <w:r>
        <w:rPr>
          <w:color w:val="auto"/>
          <w:highlight w:val="none"/>
        </w:rPr>
        <w:t>中船钦州修船资源整合项目属于中船钦州大型海工修造及保障基地总体规划的第一期第一阶段工程；2015年5月原钦州市环境保护局对该项目进行了批复（钦港环管字﹝2015﹞13号）</w:t>
      </w:r>
      <w:r>
        <w:rPr>
          <w:rFonts w:hint="eastAsia"/>
          <w:color w:val="auto"/>
          <w:highlight w:val="none"/>
        </w:rPr>
        <w:t>，</w:t>
      </w:r>
      <w:r>
        <w:rPr>
          <w:color w:val="auto"/>
          <w:highlight w:val="none"/>
        </w:rPr>
        <w:t>见附件3-1。</w:t>
      </w:r>
    </w:p>
    <w:p w14:paraId="6254C8F4">
      <w:pPr>
        <w:ind w:firstLine="480"/>
        <w:rPr>
          <w:color w:val="auto"/>
          <w:highlight w:val="none"/>
        </w:rPr>
      </w:pPr>
      <w:r>
        <w:rPr>
          <w:color w:val="auto"/>
          <w:highlight w:val="none"/>
        </w:rPr>
        <w:t>中船钦州修船资源整合项目于2015年9月22日开始动工建设；项目原本建设内容为中船集团公司长江口地区调配搬迁10万吨级、15万吨级浮船坞各一座至“钦州基地”，建成后年修理15万吨级以下各型船舶及海洋工程产品120艘，但因工程进度、港口需求等原因，中船钦州修船资源整合项目进行分期建设，一期工程建设内容为中船集团公司长江口地区调配搬迁10万吨级浮船坞一座至“钦州基地”，并配套建设船舶及海洋工程修理区，建成后年修理10万吨级以下各型船舶及海洋工程产品90艘。2017年11月5日中船广船船舶及海洋工程有限公司组织自行验收，一期工程竣工环境保护验收意见同意该项目通过建设项目竣工环境保护验收（验收意见详见附件3-3）。</w:t>
      </w:r>
      <w:r>
        <w:rPr>
          <w:rFonts w:hint="eastAsia"/>
          <w:color w:val="auto"/>
          <w:highlight w:val="none"/>
        </w:rPr>
        <w:t>二期工程未有建设规划。</w:t>
      </w:r>
    </w:p>
    <w:p w14:paraId="69AE1D58">
      <w:pPr>
        <w:ind w:firstLine="482"/>
        <w:rPr>
          <w:b/>
          <w:bCs/>
          <w:color w:val="auto"/>
          <w:highlight w:val="none"/>
        </w:rPr>
      </w:pPr>
      <w:r>
        <w:rPr>
          <w:b/>
          <w:bCs/>
          <w:color w:val="auto"/>
          <w:highlight w:val="none"/>
        </w:rPr>
        <w:t>（2）中船钦州广船设施设备资源利用项目</w:t>
      </w:r>
    </w:p>
    <w:p w14:paraId="57A8979A">
      <w:pPr>
        <w:widowControl/>
        <w:ind w:firstLine="480"/>
        <w:rPr>
          <w:color w:val="auto"/>
          <w:szCs w:val="32"/>
          <w:highlight w:val="none"/>
        </w:rPr>
      </w:pPr>
      <w:r>
        <w:rPr>
          <w:color w:val="auto"/>
          <w:szCs w:val="32"/>
          <w:highlight w:val="none"/>
        </w:rPr>
        <w:t>2019年，中船广西船舶及海洋工程有限公司依托中船钦州修船资源整合项目现有厂区用地，通过中船钦州广船设施设备资源利用项目，建设了下料加工车间、机电车间、机加工的中转堆场、起重机轨道等，配置切割机、起重机等相关设备，配套建设相关场地及公用和辅助措施；建成后年加工修船钢板</w:t>
      </w:r>
      <w:r>
        <w:rPr>
          <w:color w:val="auto"/>
          <w:szCs w:val="32"/>
          <w:highlight w:val="none"/>
        </w:rPr>
        <w:tab/>
      </w:r>
      <w:r>
        <w:rPr>
          <w:color w:val="auto"/>
          <w:szCs w:val="32"/>
          <w:highlight w:val="none"/>
        </w:rPr>
        <w:t>2万吨。2019年12月钦州市生态环境局对中船钦州广船设施设备资源利用项目进行了批复（钦港环管字〔2019〕20号）。</w:t>
      </w:r>
    </w:p>
    <w:p w14:paraId="79CCD897">
      <w:pPr>
        <w:widowControl/>
        <w:ind w:firstLine="480"/>
        <w:rPr>
          <w:color w:val="auto"/>
          <w:highlight w:val="none"/>
        </w:rPr>
      </w:pPr>
      <w:r>
        <w:rPr>
          <w:color w:val="auto"/>
          <w:szCs w:val="32"/>
          <w:highlight w:val="none"/>
        </w:rPr>
        <w:t>中船钦州广船设施设备资源利用项目</w:t>
      </w:r>
      <w:r>
        <w:rPr>
          <w:rFonts w:eastAsiaTheme="minorEastAsia"/>
          <w:color w:val="auto"/>
          <w:highlight w:val="none"/>
          <w:lang w:val="zh-CN"/>
        </w:rPr>
        <w:t>开工建设时间</w:t>
      </w:r>
      <w:r>
        <w:rPr>
          <w:rFonts w:eastAsiaTheme="minorEastAsia"/>
          <w:color w:val="auto"/>
          <w:highlight w:val="none"/>
        </w:rPr>
        <w:t>为</w:t>
      </w:r>
      <w:r>
        <w:rPr>
          <w:rFonts w:eastAsiaTheme="minorEastAsia"/>
          <w:color w:val="auto"/>
          <w:highlight w:val="none"/>
          <w:lang w:val="zh-CN"/>
        </w:rPr>
        <w:t>2019年12月，20</w:t>
      </w:r>
      <w:r>
        <w:rPr>
          <w:rFonts w:eastAsiaTheme="minorEastAsia"/>
          <w:color w:val="auto"/>
          <w:highlight w:val="none"/>
        </w:rPr>
        <w:t>21</w:t>
      </w:r>
      <w:r>
        <w:rPr>
          <w:rFonts w:eastAsiaTheme="minorEastAsia"/>
          <w:color w:val="auto"/>
          <w:highlight w:val="none"/>
          <w:lang w:val="zh-CN"/>
        </w:rPr>
        <w:t>年</w:t>
      </w:r>
      <w:r>
        <w:rPr>
          <w:rFonts w:eastAsiaTheme="minorEastAsia"/>
          <w:color w:val="auto"/>
          <w:highlight w:val="none"/>
        </w:rPr>
        <w:t>10</w:t>
      </w:r>
      <w:r>
        <w:rPr>
          <w:rFonts w:eastAsiaTheme="minorEastAsia"/>
          <w:color w:val="auto"/>
          <w:highlight w:val="none"/>
          <w:lang w:val="zh-CN"/>
        </w:rPr>
        <w:t>月</w:t>
      </w:r>
      <w:r>
        <w:rPr>
          <w:rFonts w:eastAsiaTheme="minorEastAsia"/>
          <w:color w:val="auto"/>
          <w:highlight w:val="none"/>
        </w:rPr>
        <w:t>27</w:t>
      </w:r>
      <w:r>
        <w:rPr>
          <w:rFonts w:eastAsiaTheme="minorEastAsia"/>
          <w:color w:val="auto"/>
          <w:highlight w:val="none"/>
          <w:lang w:val="zh-CN"/>
        </w:rPr>
        <w:t>日中船广船船舶及海洋工程有限公司组织自行验收，</w:t>
      </w:r>
      <w:r>
        <w:rPr>
          <w:rFonts w:eastAsiaTheme="minorEastAsia"/>
          <w:color w:val="auto"/>
          <w:highlight w:val="none"/>
        </w:rPr>
        <w:t>中</w:t>
      </w:r>
      <w:r>
        <w:rPr>
          <w:rFonts w:eastAsiaTheme="minorEastAsia"/>
          <w:color w:val="auto"/>
          <w:highlight w:val="none"/>
          <w:lang w:val="zh-CN"/>
        </w:rPr>
        <w:t>船钦州广船设施设备资源利用项目竣工环境保护验收意见同意该项目通过建设项目竣工环境保护验收。</w:t>
      </w:r>
    </w:p>
    <w:p w14:paraId="429E1D67">
      <w:pPr>
        <w:ind w:firstLine="482"/>
        <w:rPr>
          <w:b/>
          <w:bCs/>
          <w:color w:val="auto"/>
          <w:highlight w:val="none"/>
        </w:rPr>
      </w:pPr>
      <w:r>
        <w:rPr>
          <w:b/>
          <w:bCs/>
          <w:color w:val="auto"/>
          <w:highlight w:val="none"/>
        </w:rPr>
        <w:t>（3）中船钦州风电塔柔性生产线项目</w:t>
      </w:r>
    </w:p>
    <w:p w14:paraId="46DADEB2">
      <w:pPr>
        <w:widowControl/>
        <w:ind w:firstLine="480"/>
        <w:rPr>
          <w:color w:val="auto"/>
          <w:highlight w:val="none"/>
        </w:rPr>
      </w:pPr>
      <w:r>
        <w:rPr>
          <w:color w:val="auto"/>
          <w:szCs w:val="32"/>
          <w:highlight w:val="none"/>
        </w:rPr>
        <w:t>中船广西船舶及海洋工程有限公司充分利用</w:t>
      </w:r>
      <w:r>
        <w:rPr>
          <w:color w:val="auto"/>
          <w:highlight w:val="none"/>
        </w:rPr>
        <w:t>“钦州基地”</w:t>
      </w:r>
      <w:r>
        <w:rPr>
          <w:color w:val="auto"/>
          <w:szCs w:val="32"/>
          <w:highlight w:val="none"/>
        </w:rPr>
        <w:t>现有资源为基础，抢占北部湾风电市场，依托中船钦州修船资源整合项目现有厂区用地和厂房及辅助工程，新建一条建成年产风塔塔筒筒节500段的生产线。</w:t>
      </w:r>
      <w:r>
        <w:rPr>
          <w:rFonts w:hint="eastAsia"/>
          <w:color w:val="auto"/>
          <w:szCs w:val="32"/>
          <w:highlight w:val="none"/>
        </w:rPr>
        <w:t>主要</w:t>
      </w:r>
      <w:r>
        <w:rPr>
          <w:color w:val="auto"/>
          <w:szCs w:val="32"/>
          <w:highlight w:val="none"/>
        </w:rPr>
        <w:t>建设内容包括：风塔制作场地、风塔包装及发运场地、风塔转运场地、运输场地、喷砂间、喷漆间，并改造利用“中船整合项目”现有船体和机电综合车间，添置生产工艺设备和配套倒班宿舍、道路、绿化及水、电、动力网络等生活设施，建成年产风塔塔筒筒节500段/a生产线。风电塔柔性生产线已于2017年底完工投产，2018年初风塔生产线即完成了达纲生产。</w:t>
      </w:r>
      <w:r>
        <w:rPr>
          <w:rFonts w:eastAsia="F2"/>
          <w:color w:val="auto"/>
          <w:highlight w:val="none"/>
          <w:lang w:bidi="ar"/>
        </w:rPr>
        <w:t>中船钦州风电塔柔性生产线项目（以下简称</w:t>
      </w:r>
      <w:r>
        <w:rPr>
          <w:color w:val="auto"/>
          <w:highlight w:val="none"/>
          <w:lang w:bidi="ar"/>
        </w:rPr>
        <w:t>“</w:t>
      </w:r>
      <w:r>
        <w:rPr>
          <w:rFonts w:eastAsia="F2"/>
          <w:color w:val="auto"/>
          <w:highlight w:val="none"/>
          <w:lang w:bidi="ar"/>
        </w:rPr>
        <w:t>风电塔柔性生产线项目</w:t>
      </w:r>
      <w:r>
        <w:rPr>
          <w:color w:val="auto"/>
          <w:highlight w:val="none"/>
          <w:lang w:bidi="ar"/>
        </w:rPr>
        <w:t>”</w:t>
      </w:r>
      <w:r>
        <w:rPr>
          <w:rFonts w:eastAsia="F2"/>
          <w:color w:val="auto"/>
          <w:highlight w:val="none"/>
          <w:lang w:bidi="ar"/>
        </w:rPr>
        <w:t>）于2021年1月获得环评批复。</w:t>
      </w:r>
      <w:r>
        <w:rPr>
          <w:color w:val="auto"/>
          <w:szCs w:val="32"/>
          <w:highlight w:val="none"/>
        </w:rPr>
        <w:t>2022年底</w:t>
      </w:r>
      <w:r>
        <w:rPr>
          <w:rFonts w:eastAsia="F2"/>
          <w:color w:val="auto"/>
          <w:highlight w:val="none"/>
          <w:lang w:bidi="ar"/>
        </w:rPr>
        <w:t>中船钦州风电塔柔性生产线项目</w:t>
      </w:r>
      <w:r>
        <w:rPr>
          <w:color w:val="auto"/>
          <w:highlight w:val="none"/>
          <w:lang w:bidi="ar"/>
        </w:rPr>
        <w:t>已通过</w:t>
      </w:r>
      <w:r>
        <w:rPr>
          <w:rFonts w:eastAsiaTheme="minorEastAsia"/>
          <w:color w:val="auto"/>
          <w:highlight w:val="none"/>
          <w:lang w:val="zh-CN"/>
        </w:rPr>
        <w:t>建设项目竣工环境保护自主验收</w:t>
      </w:r>
      <w:r>
        <w:rPr>
          <w:rFonts w:eastAsia="F2"/>
          <w:color w:val="auto"/>
          <w:highlight w:val="none"/>
          <w:lang w:bidi="ar"/>
        </w:rPr>
        <w:t>。</w:t>
      </w:r>
    </w:p>
    <w:p w14:paraId="559E2A2E">
      <w:pPr>
        <w:ind w:firstLine="482"/>
        <w:rPr>
          <w:b/>
          <w:bCs/>
          <w:color w:val="auto"/>
          <w:highlight w:val="none"/>
        </w:rPr>
      </w:pPr>
      <w:r>
        <w:rPr>
          <w:b/>
          <w:bCs/>
          <w:color w:val="auto"/>
          <w:highlight w:val="none"/>
        </w:rPr>
        <w:t>（4）中船广西海上风电装备产业基地南翼项目2#码头和5#码头工程项目</w:t>
      </w:r>
    </w:p>
    <w:p w14:paraId="2FC5068C">
      <w:pPr>
        <w:widowControl/>
        <w:ind w:firstLine="480"/>
        <w:rPr>
          <w:color w:val="auto"/>
          <w:highlight w:val="none"/>
        </w:rPr>
      </w:pPr>
      <w:r>
        <w:rPr>
          <w:color w:val="auto"/>
          <w:highlight w:val="none"/>
        </w:rPr>
        <w:t>2021年，</w:t>
      </w:r>
      <w:r>
        <w:rPr>
          <w:color w:val="auto"/>
          <w:szCs w:val="32"/>
          <w:highlight w:val="none"/>
        </w:rPr>
        <w:t>中船广西船舶及海洋工程有限公司</w:t>
      </w:r>
      <w:r>
        <w:rPr>
          <w:rFonts w:hint="eastAsia"/>
          <w:color w:val="auto"/>
          <w:highlight w:val="none"/>
        </w:rPr>
        <w:t>在</w:t>
      </w:r>
      <w:r>
        <w:rPr>
          <w:color w:val="auto"/>
          <w:highlight w:val="none"/>
        </w:rPr>
        <w:t>“钦州基地”</w:t>
      </w:r>
      <w:r>
        <w:rPr>
          <w:rFonts w:hint="eastAsia"/>
          <w:color w:val="auto"/>
          <w:highlight w:val="none"/>
        </w:rPr>
        <w:t>建设</w:t>
      </w:r>
      <w:r>
        <w:rPr>
          <w:color w:val="auto"/>
          <w:highlight w:val="none"/>
        </w:rPr>
        <w:t>2#码头和5#码头，2#码头和5#码头用地范围也位于</w:t>
      </w:r>
      <w:r>
        <w:rPr>
          <w:color w:val="auto"/>
          <w:szCs w:val="32"/>
          <w:highlight w:val="none"/>
        </w:rPr>
        <w:t>“中船整合项目”</w:t>
      </w:r>
      <w:r>
        <w:rPr>
          <w:color w:val="auto"/>
          <w:highlight w:val="none"/>
        </w:rPr>
        <w:t>用地范围内。2021年12月9日，该项目取得了《钦州市生态环境局关于中船广西海上风电装备产业基地南冀项目2#码头和5#码头工程环境影响报告书的批复》（自贸钦港审批环〔2021〕14号），见附件3-4。该项目于2022年1月开工建设，2023年4月完工，于2023年8月3日</w:t>
      </w:r>
      <w:r>
        <w:rPr>
          <w:color w:val="auto"/>
          <w:highlight w:val="none"/>
          <w:lang w:bidi="ar"/>
        </w:rPr>
        <w:t>中船广船船舶及海洋工程有限公司组织自行验收，中船广西海上风电装备产业基地南冀项目2#码头和5#码头工程竣工环境保护验收意见同意该项目通过建设项目竣工环境保护验收</w:t>
      </w:r>
      <w:r>
        <w:rPr>
          <w:color w:val="auto"/>
          <w:highlight w:val="none"/>
        </w:rPr>
        <w:t>，见附件3-5。</w:t>
      </w:r>
    </w:p>
    <w:p w14:paraId="3498E88D">
      <w:pPr>
        <w:pStyle w:val="91"/>
        <w:ind w:left="0" w:leftChars="0" w:firstLine="0" w:firstLineChars="0"/>
        <w:rPr>
          <w:rFonts w:ascii="Times New Roman" w:hAnsi="Times New Roman" w:cs="Times New Roman"/>
          <w:color w:val="auto"/>
          <w:highlight w:val="none"/>
        </w:rPr>
      </w:pPr>
      <w:r>
        <w:rPr>
          <w:rFonts w:ascii="Times New Roman" w:hAnsi="Times New Roman" w:cs="Times New Roman"/>
          <w:color w:val="auto"/>
          <w:highlight w:val="none"/>
        </w:rPr>
        <w:drawing>
          <wp:inline distT="0" distB="0" distL="114300" distR="114300">
            <wp:extent cx="5917565" cy="3804920"/>
            <wp:effectExtent l="9525" t="9525" r="16510" b="14605"/>
            <wp:docPr id="1" name="图片 1" descr="已建区域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已建区域2"/>
                    <pic:cNvPicPr>
                      <a:picLocks noChangeAspect="1"/>
                    </pic:cNvPicPr>
                  </pic:nvPicPr>
                  <pic:blipFill>
                    <a:blip r:embed="rId70"/>
                    <a:stretch>
                      <a:fillRect/>
                    </a:stretch>
                  </pic:blipFill>
                  <pic:spPr>
                    <a:xfrm>
                      <a:off x="0" y="0"/>
                      <a:ext cx="5917565" cy="3804920"/>
                    </a:xfrm>
                    <a:prstGeom prst="rect">
                      <a:avLst/>
                    </a:prstGeom>
                    <a:ln>
                      <a:solidFill>
                        <a:schemeClr val="tx1"/>
                      </a:solidFill>
                    </a:ln>
                  </pic:spPr>
                </pic:pic>
              </a:graphicData>
            </a:graphic>
          </wp:inline>
        </w:drawing>
      </w:r>
    </w:p>
    <w:p w14:paraId="691E2BD5">
      <w:pPr>
        <w:pStyle w:val="38"/>
        <w:spacing w:after="0" w:line="240" w:lineRule="auto"/>
        <w:ind w:firstLine="0" w:firstLineChars="0"/>
        <w:jc w:val="center"/>
        <w:rPr>
          <w:b/>
          <w:color w:val="auto"/>
          <w:sz w:val="21"/>
          <w:szCs w:val="21"/>
          <w:highlight w:val="none"/>
        </w:rPr>
      </w:pPr>
      <w:r>
        <w:rPr>
          <w:b/>
          <w:color w:val="auto"/>
          <w:sz w:val="21"/>
          <w:szCs w:val="21"/>
          <w:highlight w:val="none"/>
        </w:rPr>
        <w:t>图2.1-1钦州基地现有项目总平面布置图</w:t>
      </w:r>
    </w:p>
    <w:p w14:paraId="45847693">
      <w:pPr>
        <w:pStyle w:val="91"/>
        <w:ind w:left="480"/>
        <w:rPr>
          <w:rFonts w:ascii="Times New Roman" w:hAnsi="Times New Roman" w:cs="Times New Roman"/>
          <w:color w:val="auto"/>
          <w:highlight w:val="none"/>
        </w:rPr>
        <w:sectPr>
          <w:headerReference r:id="rId22" w:type="default"/>
          <w:pgSz w:w="11906" w:h="16838"/>
          <w:pgMar w:top="1559" w:right="1418" w:bottom="1503" w:left="1418" w:header="851" w:footer="964" w:gutter="0"/>
          <w:cols w:space="720" w:num="1"/>
          <w:docGrid w:linePitch="326" w:charSpace="0"/>
        </w:sectPr>
      </w:pPr>
    </w:p>
    <w:p w14:paraId="05C5CA56">
      <w:pPr>
        <w:pStyle w:val="38"/>
        <w:spacing w:after="0" w:line="240" w:lineRule="auto"/>
        <w:ind w:firstLine="0" w:firstLineChars="0"/>
        <w:jc w:val="center"/>
        <w:rPr>
          <w:b/>
          <w:color w:val="auto"/>
          <w:sz w:val="21"/>
          <w:szCs w:val="21"/>
          <w:highlight w:val="none"/>
        </w:rPr>
      </w:pPr>
      <w:r>
        <w:rPr>
          <w:b/>
          <w:color w:val="auto"/>
          <w:sz w:val="21"/>
          <w:szCs w:val="21"/>
          <w:highlight w:val="none"/>
        </w:rPr>
        <w:t>表2.1-1钦州基地现有项目环保手续履行情况</w:t>
      </w:r>
    </w:p>
    <w:tbl>
      <w:tblPr>
        <w:tblStyle w:val="92"/>
        <w:tblW w:w="4996"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752"/>
        <w:gridCol w:w="1606"/>
        <w:gridCol w:w="6059"/>
        <w:gridCol w:w="1634"/>
        <w:gridCol w:w="1421"/>
        <w:gridCol w:w="2509"/>
      </w:tblGrid>
      <w:tr w14:paraId="562CA4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69" w:type="pct"/>
            <w:vMerge w:val="restart"/>
            <w:tcBorders>
              <w:tl2br w:val="nil"/>
              <w:tr2bl w:val="nil"/>
            </w:tcBorders>
            <w:vAlign w:val="center"/>
          </w:tcPr>
          <w:p w14:paraId="0FEFEC0F">
            <w:pPr>
              <w:widowControl/>
              <w:topLinePunct w:val="0"/>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lang w:bidi="ar"/>
              </w:rPr>
              <w:t>序号</w:t>
            </w:r>
          </w:p>
        </w:tc>
        <w:tc>
          <w:tcPr>
            <w:tcW w:w="574" w:type="pct"/>
            <w:vMerge w:val="restart"/>
            <w:tcBorders>
              <w:tl2br w:val="nil"/>
              <w:tr2bl w:val="nil"/>
            </w:tcBorders>
            <w:vAlign w:val="center"/>
          </w:tcPr>
          <w:p w14:paraId="023FB260">
            <w:pPr>
              <w:widowControl/>
              <w:topLinePunct w:val="0"/>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lang w:bidi="ar"/>
              </w:rPr>
              <w:t>项目名称</w:t>
            </w:r>
          </w:p>
        </w:tc>
        <w:tc>
          <w:tcPr>
            <w:tcW w:w="2166" w:type="pct"/>
            <w:vMerge w:val="restart"/>
            <w:tcBorders>
              <w:tl2br w:val="nil"/>
              <w:tr2bl w:val="nil"/>
            </w:tcBorders>
            <w:vAlign w:val="center"/>
          </w:tcPr>
          <w:p w14:paraId="60AAC5D2">
            <w:pPr>
              <w:widowControl/>
              <w:topLinePunct w:val="0"/>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lang w:bidi="ar"/>
              </w:rPr>
              <w:t>生产规模</w:t>
            </w:r>
          </w:p>
        </w:tc>
        <w:tc>
          <w:tcPr>
            <w:tcW w:w="1092" w:type="pct"/>
            <w:gridSpan w:val="2"/>
            <w:tcBorders>
              <w:tl2br w:val="nil"/>
              <w:tr2bl w:val="nil"/>
            </w:tcBorders>
            <w:vAlign w:val="center"/>
          </w:tcPr>
          <w:p w14:paraId="1273E4EF">
            <w:pPr>
              <w:widowControl/>
              <w:topLinePunct w:val="0"/>
              <w:spacing w:line="240" w:lineRule="auto"/>
              <w:ind w:left="-72" w:leftChars="-30" w:right="-72" w:rightChars="-30" w:firstLine="0" w:firstLineChars="0"/>
              <w:jc w:val="center"/>
              <w:textAlignment w:val="center"/>
              <w:rPr>
                <w:b/>
                <w:bCs/>
                <w:color w:val="auto"/>
                <w:sz w:val="21"/>
                <w:szCs w:val="21"/>
                <w:highlight w:val="none"/>
                <w:lang w:bidi="ar"/>
              </w:rPr>
            </w:pPr>
            <w:r>
              <w:rPr>
                <w:b/>
                <w:bCs/>
                <w:color w:val="auto"/>
                <w:sz w:val="21"/>
                <w:szCs w:val="21"/>
                <w:highlight w:val="none"/>
                <w:lang w:bidi="ar"/>
              </w:rPr>
              <w:t>环保手续办理情况</w:t>
            </w:r>
          </w:p>
        </w:tc>
        <w:tc>
          <w:tcPr>
            <w:tcW w:w="897" w:type="pct"/>
            <w:vMerge w:val="restart"/>
            <w:tcBorders>
              <w:tl2br w:val="nil"/>
              <w:tr2bl w:val="nil"/>
            </w:tcBorders>
            <w:vAlign w:val="center"/>
          </w:tcPr>
          <w:p w14:paraId="03224E90">
            <w:pPr>
              <w:widowControl/>
              <w:topLinePunct w:val="0"/>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lang w:bidi="ar"/>
              </w:rPr>
              <w:t>建设情况</w:t>
            </w:r>
          </w:p>
        </w:tc>
      </w:tr>
      <w:tr w14:paraId="5A5FCF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69" w:type="pct"/>
            <w:vMerge w:val="continue"/>
            <w:tcBorders>
              <w:tl2br w:val="nil"/>
              <w:tr2bl w:val="nil"/>
            </w:tcBorders>
            <w:vAlign w:val="center"/>
          </w:tcPr>
          <w:p w14:paraId="09ADF48D">
            <w:pPr>
              <w:widowControl/>
              <w:topLinePunct w:val="0"/>
              <w:spacing w:line="240" w:lineRule="auto"/>
              <w:ind w:left="-72" w:leftChars="-30" w:right="-72" w:rightChars="-30" w:firstLine="0" w:firstLineChars="0"/>
              <w:jc w:val="center"/>
              <w:textAlignment w:val="center"/>
              <w:rPr>
                <w:color w:val="auto"/>
                <w:sz w:val="21"/>
                <w:szCs w:val="21"/>
                <w:highlight w:val="none"/>
              </w:rPr>
            </w:pPr>
          </w:p>
        </w:tc>
        <w:tc>
          <w:tcPr>
            <w:tcW w:w="574" w:type="pct"/>
            <w:vMerge w:val="continue"/>
            <w:tcBorders>
              <w:tl2br w:val="nil"/>
              <w:tr2bl w:val="nil"/>
            </w:tcBorders>
            <w:vAlign w:val="center"/>
          </w:tcPr>
          <w:p w14:paraId="718B79BF">
            <w:pPr>
              <w:widowControl/>
              <w:topLinePunct w:val="0"/>
              <w:spacing w:line="240" w:lineRule="auto"/>
              <w:ind w:left="-72" w:leftChars="-30" w:right="-72" w:rightChars="-30" w:firstLine="0" w:firstLineChars="0"/>
              <w:jc w:val="center"/>
              <w:textAlignment w:val="center"/>
              <w:rPr>
                <w:color w:val="auto"/>
                <w:sz w:val="21"/>
                <w:szCs w:val="21"/>
                <w:highlight w:val="none"/>
              </w:rPr>
            </w:pPr>
          </w:p>
        </w:tc>
        <w:tc>
          <w:tcPr>
            <w:tcW w:w="2166" w:type="pct"/>
            <w:vMerge w:val="continue"/>
            <w:tcBorders>
              <w:tl2br w:val="nil"/>
              <w:tr2bl w:val="nil"/>
            </w:tcBorders>
            <w:vAlign w:val="center"/>
          </w:tcPr>
          <w:p w14:paraId="0ECA7AE4">
            <w:pPr>
              <w:widowControl/>
              <w:topLinePunct w:val="0"/>
              <w:spacing w:line="240" w:lineRule="auto"/>
              <w:ind w:left="-72" w:leftChars="-30" w:right="-72" w:rightChars="-30" w:firstLine="0" w:firstLineChars="0"/>
              <w:jc w:val="center"/>
              <w:textAlignment w:val="center"/>
              <w:rPr>
                <w:color w:val="auto"/>
                <w:sz w:val="21"/>
                <w:szCs w:val="21"/>
                <w:highlight w:val="none"/>
              </w:rPr>
            </w:pPr>
          </w:p>
        </w:tc>
        <w:tc>
          <w:tcPr>
            <w:tcW w:w="584" w:type="pct"/>
            <w:tcBorders>
              <w:tl2br w:val="nil"/>
              <w:tr2bl w:val="nil"/>
            </w:tcBorders>
            <w:vAlign w:val="center"/>
          </w:tcPr>
          <w:p w14:paraId="08D942E4">
            <w:pPr>
              <w:widowControl/>
              <w:topLinePunct w:val="0"/>
              <w:spacing w:line="240" w:lineRule="auto"/>
              <w:ind w:left="-72" w:leftChars="-30" w:right="-72" w:rightChars="-30" w:firstLine="0" w:firstLineChars="0"/>
              <w:jc w:val="center"/>
              <w:textAlignment w:val="center"/>
              <w:rPr>
                <w:b/>
                <w:bCs/>
                <w:color w:val="auto"/>
                <w:sz w:val="21"/>
                <w:szCs w:val="21"/>
                <w:highlight w:val="none"/>
                <w:lang w:bidi="ar"/>
              </w:rPr>
            </w:pPr>
            <w:r>
              <w:rPr>
                <w:b/>
                <w:bCs/>
                <w:color w:val="auto"/>
                <w:sz w:val="21"/>
                <w:szCs w:val="21"/>
                <w:highlight w:val="none"/>
                <w:lang w:bidi="ar"/>
              </w:rPr>
              <w:t>环评</w:t>
            </w:r>
          </w:p>
        </w:tc>
        <w:tc>
          <w:tcPr>
            <w:tcW w:w="508" w:type="pct"/>
            <w:tcBorders>
              <w:tl2br w:val="nil"/>
              <w:tr2bl w:val="nil"/>
            </w:tcBorders>
            <w:vAlign w:val="center"/>
          </w:tcPr>
          <w:p w14:paraId="11E7D1F0">
            <w:pPr>
              <w:widowControl/>
              <w:topLinePunct w:val="0"/>
              <w:spacing w:line="240" w:lineRule="auto"/>
              <w:ind w:left="-72" w:leftChars="-30" w:right="-72" w:rightChars="-30" w:firstLine="0" w:firstLineChars="0"/>
              <w:jc w:val="center"/>
              <w:textAlignment w:val="center"/>
              <w:rPr>
                <w:b/>
                <w:bCs/>
                <w:color w:val="auto"/>
                <w:sz w:val="21"/>
                <w:szCs w:val="21"/>
                <w:highlight w:val="none"/>
                <w:lang w:bidi="ar"/>
              </w:rPr>
            </w:pPr>
            <w:r>
              <w:rPr>
                <w:b/>
                <w:bCs/>
                <w:color w:val="auto"/>
                <w:sz w:val="21"/>
                <w:szCs w:val="21"/>
                <w:highlight w:val="none"/>
                <w:lang w:bidi="ar"/>
              </w:rPr>
              <w:t>验收</w:t>
            </w:r>
          </w:p>
        </w:tc>
        <w:tc>
          <w:tcPr>
            <w:tcW w:w="897" w:type="pct"/>
            <w:vMerge w:val="continue"/>
            <w:tcBorders>
              <w:tl2br w:val="nil"/>
              <w:tr2bl w:val="nil"/>
            </w:tcBorders>
            <w:vAlign w:val="center"/>
          </w:tcPr>
          <w:p w14:paraId="056DA501">
            <w:pPr>
              <w:widowControl/>
              <w:topLinePunct w:val="0"/>
              <w:spacing w:line="240" w:lineRule="auto"/>
              <w:ind w:left="-72" w:leftChars="-30" w:right="-72" w:rightChars="-30" w:firstLine="0" w:firstLineChars="0"/>
              <w:jc w:val="center"/>
              <w:textAlignment w:val="center"/>
              <w:rPr>
                <w:b/>
                <w:bCs/>
                <w:color w:val="auto"/>
                <w:sz w:val="21"/>
                <w:szCs w:val="21"/>
                <w:highlight w:val="none"/>
                <w:lang w:bidi="ar"/>
              </w:rPr>
            </w:pPr>
          </w:p>
        </w:tc>
      </w:tr>
      <w:tr w14:paraId="757D10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69" w:type="pct"/>
            <w:tcBorders>
              <w:tl2br w:val="nil"/>
              <w:tr2bl w:val="nil"/>
            </w:tcBorders>
            <w:vAlign w:val="center"/>
          </w:tcPr>
          <w:p w14:paraId="28A4C3E4">
            <w:pPr>
              <w:widowControl/>
              <w:topLinePunct w:val="0"/>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1</w:t>
            </w:r>
          </w:p>
        </w:tc>
        <w:tc>
          <w:tcPr>
            <w:tcW w:w="574" w:type="pct"/>
            <w:tcBorders>
              <w:tl2br w:val="nil"/>
              <w:tr2bl w:val="nil"/>
            </w:tcBorders>
            <w:vAlign w:val="center"/>
          </w:tcPr>
          <w:p w14:paraId="53FBC603">
            <w:pPr>
              <w:widowControl/>
              <w:topLinePunct w:val="0"/>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中船钦州修船资源整合项目</w:t>
            </w:r>
          </w:p>
        </w:tc>
        <w:tc>
          <w:tcPr>
            <w:tcW w:w="2166" w:type="pct"/>
            <w:tcBorders>
              <w:tl2br w:val="nil"/>
              <w:tr2bl w:val="nil"/>
            </w:tcBorders>
            <w:vAlign w:val="center"/>
          </w:tcPr>
          <w:p w14:paraId="7CE8462A">
            <w:pPr>
              <w:widowControl/>
              <w:topLinePunct w:val="0"/>
              <w:spacing w:line="240" w:lineRule="auto"/>
              <w:ind w:left="-72" w:leftChars="-30" w:right="-72" w:rightChars="-30" w:firstLine="0" w:firstLineChars="0"/>
              <w:jc w:val="left"/>
              <w:textAlignment w:val="center"/>
              <w:rPr>
                <w:color w:val="auto"/>
                <w:sz w:val="21"/>
                <w:szCs w:val="21"/>
                <w:highlight w:val="none"/>
              </w:rPr>
            </w:pPr>
            <w:r>
              <w:rPr>
                <w:rFonts w:hint="eastAsia"/>
                <w:color w:val="auto"/>
                <w:sz w:val="21"/>
                <w:szCs w:val="21"/>
                <w:highlight w:val="none"/>
              </w:rPr>
              <w:t>环评中</w:t>
            </w:r>
            <w:r>
              <w:rPr>
                <w:color w:val="auto"/>
                <w:sz w:val="21"/>
                <w:szCs w:val="21"/>
                <w:highlight w:val="none"/>
              </w:rPr>
              <w:t>建设内容为中船集团公司长江口地区调配搬迁10万吨级、15万吨级浮船坞各一座至钦州基地，建成后年修理15万吨级以下各型船舶及海洋工程产品120艘。</w:t>
            </w:r>
          </w:p>
          <w:p w14:paraId="75D8BABB">
            <w:pPr>
              <w:widowControl/>
              <w:topLinePunct w:val="0"/>
              <w:spacing w:line="240" w:lineRule="auto"/>
              <w:ind w:left="-72" w:leftChars="-30" w:right="-72" w:rightChars="-30" w:firstLine="0" w:firstLineChars="0"/>
              <w:jc w:val="left"/>
              <w:textAlignment w:val="center"/>
              <w:rPr>
                <w:color w:val="auto"/>
                <w:highlight w:val="none"/>
              </w:rPr>
            </w:pPr>
            <w:r>
              <w:rPr>
                <w:color w:val="auto"/>
                <w:sz w:val="21"/>
                <w:szCs w:val="21"/>
                <w:highlight w:val="none"/>
              </w:rPr>
              <w:t>但因工程进度、港口需求等原因，中船钦州修船资源整合项目进行分期建设，</w:t>
            </w:r>
            <w:r>
              <w:rPr>
                <w:b/>
                <w:bCs/>
                <w:color w:val="auto"/>
                <w:sz w:val="21"/>
                <w:szCs w:val="21"/>
                <w:highlight w:val="none"/>
              </w:rPr>
              <w:t>一期工程建设内容为</w:t>
            </w:r>
            <w:r>
              <w:rPr>
                <w:color w:val="auto"/>
                <w:sz w:val="21"/>
                <w:szCs w:val="21"/>
                <w:highlight w:val="none"/>
              </w:rPr>
              <w:t>中船集团公司长江口地区调配搬迁10万吨级浮船坞一座至钦州基地，并配套建设船舶及海洋工程修理区，建成后年修理10万吨级以下各型船舶及海洋工程产品90艘。</w:t>
            </w:r>
            <w:r>
              <w:rPr>
                <w:rStyle w:val="110"/>
                <w:rFonts w:hint="eastAsia"/>
                <w:b/>
                <w:bCs/>
                <w:color w:val="auto"/>
                <w:highlight w:val="none"/>
              </w:rPr>
              <w:t>二期工程目前未有建设计划。</w:t>
            </w:r>
          </w:p>
          <w:p w14:paraId="16809358">
            <w:pPr>
              <w:pStyle w:val="91"/>
              <w:ind w:left="0" w:leftChars="0" w:firstLine="0" w:firstLineChars="0"/>
              <w:jc w:val="left"/>
              <w:rPr>
                <w:color w:val="auto"/>
                <w:highlight w:val="none"/>
              </w:rPr>
            </w:pPr>
            <w:r>
              <w:rPr>
                <w:rFonts w:hint="eastAsia"/>
                <w:color w:val="auto"/>
                <w:highlight w:val="none"/>
              </w:rPr>
              <w:t>（即环评包含了一、二期工程内容；验收仅验收了一期建设内容。）</w:t>
            </w:r>
          </w:p>
        </w:tc>
        <w:tc>
          <w:tcPr>
            <w:tcW w:w="584" w:type="pct"/>
            <w:tcBorders>
              <w:tl2br w:val="nil"/>
              <w:tr2bl w:val="nil"/>
            </w:tcBorders>
            <w:vAlign w:val="center"/>
          </w:tcPr>
          <w:p w14:paraId="5DA150BD">
            <w:pPr>
              <w:widowControl/>
              <w:topLinePunct w:val="0"/>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钦港环管字(2015)13号</w:t>
            </w:r>
          </w:p>
        </w:tc>
        <w:tc>
          <w:tcPr>
            <w:tcW w:w="508" w:type="pct"/>
            <w:tcBorders>
              <w:tl2br w:val="nil"/>
              <w:tr2bl w:val="nil"/>
            </w:tcBorders>
            <w:vAlign w:val="center"/>
          </w:tcPr>
          <w:p w14:paraId="10A33E3A">
            <w:pPr>
              <w:widowControl/>
              <w:topLinePunct w:val="0"/>
              <w:spacing w:line="240" w:lineRule="auto"/>
              <w:ind w:left="-72" w:leftChars="-30" w:right="-72" w:rightChars="-30" w:firstLine="0" w:firstLineChars="0"/>
              <w:jc w:val="center"/>
              <w:textAlignment w:val="center"/>
              <w:rPr>
                <w:color w:val="auto"/>
                <w:sz w:val="21"/>
                <w:szCs w:val="21"/>
                <w:highlight w:val="none"/>
                <w:lang w:bidi="ar"/>
              </w:rPr>
            </w:pPr>
            <w:r>
              <w:rPr>
                <w:color w:val="auto"/>
                <w:sz w:val="21"/>
                <w:szCs w:val="21"/>
                <w:highlight w:val="none"/>
              </w:rPr>
              <w:t>2017年11月5日一期工程已完成自主验收</w:t>
            </w:r>
          </w:p>
        </w:tc>
        <w:tc>
          <w:tcPr>
            <w:tcW w:w="897" w:type="pct"/>
            <w:tcBorders>
              <w:tl2br w:val="nil"/>
              <w:tr2bl w:val="nil"/>
            </w:tcBorders>
            <w:vAlign w:val="center"/>
          </w:tcPr>
          <w:p w14:paraId="6196E932">
            <w:pPr>
              <w:widowControl/>
              <w:topLinePunct w:val="0"/>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于2015年9月22日开始动工建设，项目一期工程于2016年7月建成并进行设备调试运行</w:t>
            </w:r>
          </w:p>
        </w:tc>
      </w:tr>
      <w:tr w14:paraId="3464810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69" w:type="pct"/>
            <w:tcBorders>
              <w:tl2br w:val="nil"/>
              <w:tr2bl w:val="nil"/>
            </w:tcBorders>
            <w:vAlign w:val="center"/>
          </w:tcPr>
          <w:p w14:paraId="59FC9EC3">
            <w:pPr>
              <w:widowControl/>
              <w:topLinePunct w:val="0"/>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2</w:t>
            </w:r>
          </w:p>
        </w:tc>
        <w:tc>
          <w:tcPr>
            <w:tcW w:w="574" w:type="pct"/>
            <w:tcBorders>
              <w:tl2br w:val="nil"/>
              <w:tr2bl w:val="nil"/>
            </w:tcBorders>
            <w:vAlign w:val="center"/>
          </w:tcPr>
          <w:p w14:paraId="4B638CC2">
            <w:pPr>
              <w:widowControl/>
              <w:topLinePunct w:val="0"/>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中船钦州广船设施设备资源利用项目</w:t>
            </w:r>
          </w:p>
        </w:tc>
        <w:tc>
          <w:tcPr>
            <w:tcW w:w="2166" w:type="pct"/>
            <w:tcBorders>
              <w:tl2br w:val="nil"/>
              <w:tr2bl w:val="nil"/>
            </w:tcBorders>
            <w:vAlign w:val="center"/>
          </w:tcPr>
          <w:p w14:paraId="451BDA39">
            <w:pPr>
              <w:widowControl/>
              <w:topLinePunct w:val="0"/>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主要建设内容为建设下料加工车间、机电车间、机加工的中转堆场、起重机轨道等，配置切割机、起重机等相关设备，配套建设相关场地及公用和辅助措施；建成后年加工修船钢板</w:t>
            </w:r>
            <w:r>
              <w:rPr>
                <w:color w:val="auto"/>
                <w:sz w:val="21"/>
                <w:szCs w:val="21"/>
                <w:highlight w:val="none"/>
              </w:rPr>
              <w:tab/>
            </w:r>
            <w:r>
              <w:rPr>
                <w:color w:val="auto"/>
                <w:sz w:val="21"/>
                <w:szCs w:val="21"/>
                <w:highlight w:val="none"/>
              </w:rPr>
              <w:t>2万吨</w:t>
            </w:r>
          </w:p>
        </w:tc>
        <w:tc>
          <w:tcPr>
            <w:tcW w:w="584" w:type="pct"/>
            <w:tcBorders>
              <w:tl2br w:val="nil"/>
              <w:tr2bl w:val="nil"/>
            </w:tcBorders>
            <w:vAlign w:val="center"/>
          </w:tcPr>
          <w:p w14:paraId="588F9E30">
            <w:pPr>
              <w:widowControl/>
              <w:topLinePunct w:val="0"/>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钦港环管字〔2019〕20号</w:t>
            </w:r>
          </w:p>
        </w:tc>
        <w:tc>
          <w:tcPr>
            <w:tcW w:w="508" w:type="pct"/>
            <w:tcBorders>
              <w:tl2br w:val="nil"/>
              <w:tr2bl w:val="nil"/>
            </w:tcBorders>
            <w:vAlign w:val="center"/>
          </w:tcPr>
          <w:p w14:paraId="18B47D58">
            <w:pPr>
              <w:widowControl/>
              <w:topLinePunct w:val="0"/>
              <w:spacing w:line="240" w:lineRule="auto"/>
              <w:ind w:left="-72" w:leftChars="-30" w:right="-72" w:rightChars="-30" w:firstLine="0" w:firstLineChars="0"/>
              <w:jc w:val="center"/>
              <w:textAlignment w:val="center"/>
              <w:rPr>
                <w:color w:val="auto"/>
                <w:sz w:val="21"/>
                <w:szCs w:val="21"/>
                <w:highlight w:val="none"/>
                <w:lang w:bidi="ar"/>
              </w:rPr>
            </w:pPr>
            <w:r>
              <w:rPr>
                <w:color w:val="auto"/>
                <w:sz w:val="21"/>
                <w:szCs w:val="21"/>
                <w:highlight w:val="none"/>
              </w:rPr>
              <w:t>2021年10月27日已完成自主验收</w:t>
            </w:r>
          </w:p>
        </w:tc>
        <w:tc>
          <w:tcPr>
            <w:tcW w:w="897" w:type="pct"/>
            <w:tcBorders>
              <w:tl2br w:val="nil"/>
              <w:tr2bl w:val="nil"/>
            </w:tcBorders>
            <w:vAlign w:val="center"/>
          </w:tcPr>
          <w:p w14:paraId="5F394DA4">
            <w:pPr>
              <w:widowControl/>
              <w:topLinePunct w:val="0"/>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2019年12月开工建设，2021年10月建成</w:t>
            </w:r>
          </w:p>
        </w:tc>
      </w:tr>
      <w:tr w14:paraId="110464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69" w:type="pct"/>
            <w:tcBorders>
              <w:tl2br w:val="nil"/>
              <w:tr2bl w:val="nil"/>
            </w:tcBorders>
            <w:vAlign w:val="center"/>
          </w:tcPr>
          <w:p w14:paraId="0EB65AA3">
            <w:pPr>
              <w:widowControl/>
              <w:topLinePunct w:val="0"/>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3</w:t>
            </w:r>
          </w:p>
        </w:tc>
        <w:tc>
          <w:tcPr>
            <w:tcW w:w="574" w:type="pct"/>
            <w:tcBorders>
              <w:tl2br w:val="nil"/>
              <w:tr2bl w:val="nil"/>
            </w:tcBorders>
            <w:vAlign w:val="center"/>
          </w:tcPr>
          <w:p w14:paraId="04BFCD13">
            <w:pPr>
              <w:widowControl/>
              <w:topLinePunct w:val="0"/>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中船钦州风电塔柔性生产线项目</w:t>
            </w:r>
          </w:p>
        </w:tc>
        <w:tc>
          <w:tcPr>
            <w:tcW w:w="2166" w:type="pct"/>
            <w:tcBorders>
              <w:tl2br w:val="nil"/>
              <w:tr2bl w:val="nil"/>
            </w:tcBorders>
            <w:vAlign w:val="center"/>
          </w:tcPr>
          <w:p w14:paraId="4D2B0BAC">
            <w:pPr>
              <w:widowControl/>
              <w:topLinePunct w:val="0"/>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建设风塔制作场地、风塔包装及发运场地、风塔转运场地、运输场地、喷砂间、喷漆间，并改造利用现有船体和机电综合车间，添置生产工艺设备和配套倒班宿舍、道路、绿化及水、电、动力网络等生活设施，建成后自身可实现年产风塔塔筒筒节500段的生产能力</w:t>
            </w:r>
          </w:p>
        </w:tc>
        <w:tc>
          <w:tcPr>
            <w:tcW w:w="584" w:type="pct"/>
            <w:tcBorders>
              <w:tl2br w:val="nil"/>
              <w:tr2bl w:val="nil"/>
            </w:tcBorders>
            <w:vAlign w:val="center"/>
          </w:tcPr>
          <w:p w14:paraId="076BA10D">
            <w:pPr>
              <w:widowControl/>
              <w:topLinePunct w:val="0"/>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于2021年1月获得环评批复</w:t>
            </w:r>
          </w:p>
        </w:tc>
        <w:tc>
          <w:tcPr>
            <w:tcW w:w="508" w:type="pct"/>
            <w:tcBorders>
              <w:tl2br w:val="nil"/>
              <w:tr2bl w:val="nil"/>
            </w:tcBorders>
            <w:vAlign w:val="center"/>
          </w:tcPr>
          <w:p w14:paraId="470E21D9">
            <w:pPr>
              <w:widowControl/>
              <w:topLinePunct w:val="0"/>
              <w:spacing w:line="240" w:lineRule="auto"/>
              <w:ind w:left="-72" w:leftChars="-30" w:right="-72" w:rightChars="-30" w:firstLine="0" w:firstLineChars="0"/>
              <w:jc w:val="center"/>
              <w:textAlignment w:val="center"/>
              <w:rPr>
                <w:color w:val="auto"/>
                <w:sz w:val="21"/>
                <w:szCs w:val="21"/>
                <w:highlight w:val="none"/>
                <w:lang w:bidi="ar"/>
              </w:rPr>
            </w:pPr>
            <w:r>
              <w:rPr>
                <w:color w:val="auto"/>
                <w:sz w:val="21"/>
                <w:szCs w:val="21"/>
                <w:highlight w:val="none"/>
                <w:lang w:bidi="ar"/>
              </w:rPr>
              <w:t>已完成自主验收</w:t>
            </w:r>
          </w:p>
        </w:tc>
        <w:tc>
          <w:tcPr>
            <w:tcW w:w="897" w:type="pct"/>
            <w:tcBorders>
              <w:tl2br w:val="nil"/>
              <w:tr2bl w:val="nil"/>
            </w:tcBorders>
            <w:vAlign w:val="center"/>
          </w:tcPr>
          <w:p w14:paraId="04356F88">
            <w:pPr>
              <w:widowControl/>
              <w:topLinePunct w:val="0"/>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于2017年底完工投产，2018年初完成了达纲生产。</w:t>
            </w:r>
          </w:p>
        </w:tc>
      </w:tr>
      <w:tr w14:paraId="4EF0E4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69" w:type="pct"/>
            <w:tcBorders>
              <w:tl2br w:val="nil"/>
              <w:tr2bl w:val="nil"/>
            </w:tcBorders>
            <w:vAlign w:val="center"/>
          </w:tcPr>
          <w:p w14:paraId="709F1FF2">
            <w:pPr>
              <w:widowControl/>
              <w:topLinePunct w:val="0"/>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4</w:t>
            </w:r>
          </w:p>
        </w:tc>
        <w:tc>
          <w:tcPr>
            <w:tcW w:w="574" w:type="pct"/>
            <w:tcBorders>
              <w:tl2br w:val="nil"/>
              <w:tr2bl w:val="nil"/>
            </w:tcBorders>
            <w:vAlign w:val="center"/>
          </w:tcPr>
          <w:p w14:paraId="23996BB2">
            <w:pPr>
              <w:widowControl/>
              <w:topLinePunct w:val="0"/>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中船广西海上风电装备产业基地南翼项目2#码头和5#码头工程项目</w:t>
            </w:r>
          </w:p>
        </w:tc>
        <w:tc>
          <w:tcPr>
            <w:tcW w:w="2166" w:type="pct"/>
            <w:tcBorders>
              <w:tl2br w:val="nil"/>
              <w:tr2bl w:val="nil"/>
            </w:tcBorders>
            <w:vAlign w:val="center"/>
          </w:tcPr>
          <w:p w14:paraId="4FC54AFA">
            <w:pPr>
              <w:widowControl/>
              <w:topLinePunct w:val="0"/>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主要建设内容为：2#出运码头、5#舾装码头、配套建设0#配电站（473m2）、配套水域疏浚、建设外场水、电、气管网和局部道路。</w:t>
            </w:r>
          </w:p>
          <w:p w14:paraId="5EDA4551">
            <w:pPr>
              <w:widowControl/>
              <w:topLinePunct w:val="0"/>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5#码头为舾装码头；2#码头主要为海工重件出运码头，兼顾作为舾装码头使用。2#码头产品采用该码头靠泊船型出运产品，最大运输频率为3种船舶类型（10万吨级、7万吨级、3万吨级）每年运输3次，每次停留5天</w:t>
            </w:r>
          </w:p>
        </w:tc>
        <w:tc>
          <w:tcPr>
            <w:tcW w:w="584" w:type="pct"/>
            <w:tcBorders>
              <w:tl2br w:val="nil"/>
              <w:tr2bl w:val="nil"/>
            </w:tcBorders>
            <w:vAlign w:val="center"/>
          </w:tcPr>
          <w:p w14:paraId="76A20EDC">
            <w:pPr>
              <w:widowControl/>
              <w:topLinePunct w:val="0"/>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自贸钦港审批环〔2021〕14号</w:t>
            </w:r>
          </w:p>
        </w:tc>
        <w:tc>
          <w:tcPr>
            <w:tcW w:w="508" w:type="pct"/>
            <w:tcBorders>
              <w:tl2br w:val="nil"/>
              <w:tr2bl w:val="nil"/>
            </w:tcBorders>
            <w:vAlign w:val="center"/>
          </w:tcPr>
          <w:p w14:paraId="42211757">
            <w:pPr>
              <w:widowControl/>
              <w:topLinePunct w:val="0"/>
              <w:spacing w:line="240" w:lineRule="auto"/>
              <w:ind w:left="-72" w:leftChars="-30" w:right="-72" w:rightChars="-30" w:firstLine="0" w:firstLineChars="0"/>
              <w:jc w:val="center"/>
              <w:textAlignment w:val="center"/>
              <w:rPr>
                <w:color w:val="auto"/>
                <w:sz w:val="21"/>
                <w:szCs w:val="21"/>
                <w:highlight w:val="none"/>
                <w:lang w:bidi="ar"/>
              </w:rPr>
            </w:pPr>
            <w:r>
              <w:rPr>
                <w:color w:val="auto"/>
                <w:sz w:val="21"/>
                <w:szCs w:val="21"/>
                <w:highlight w:val="none"/>
                <w:lang w:bidi="ar"/>
              </w:rPr>
              <w:t>2023年8月3日完成自主验收</w:t>
            </w:r>
          </w:p>
        </w:tc>
        <w:tc>
          <w:tcPr>
            <w:tcW w:w="897" w:type="pct"/>
            <w:tcBorders>
              <w:tl2br w:val="nil"/>
              <w:tr2bl w:val="nil"/>
            </w:tcBorders>
            <w:vAlign w:val="center"/>
          </w:tcPr>
          <w:p w14:paraId="0A89438B">
            <w:pPr>
              <w:widowControl/>
              <w:topLinePunct w:val="0"/>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于2022年1月开工建设，于2023年4月完工</w:t>
            </w:r>
          </w:p>
        </w:tc>
      </w:tr>
    </w:tbl>
    <w:p w14:paraId="0A72DEF3">
      <w:pPr>
        <w:pStyle w:val="91"/>
        <w:spacing w:after="0"/>
        <w:ind w:left="0" w:leftChars="0" w:firstLine="0" w:firstLineChars="0"/>
        <w:rPr>
          <w:rFonts w:ascii="Times New Roman" w:hAnsi="Times New Roman" w:cs="Times New Roman"/>
          <w:color w:val="auto"/>
          <w:highlight w:val="none"/>
        </w:rPr>
      </w:pPr>
      <w:r>
        <w:rPr>
          <w:rFonts w:ascii="Times New Roman" w:hAnsi="Times New Roman" w:cs="Times New Roman"/>
          <w:b/>
          <w:bCs/>
          <w:color w:val="auto"/>
          <w:highlight w:val="none"/>
        </w:rPr>
        <w:t>注：中船广西船舶及海洋工程有限公司于2023年7月17日更名为中国船舶集团广西造船有限公司。</w:t>
      </w:r>
    </w:p>
    <w:p w14:paraId="73DFD19D">
      <w:pPr>
        <w:pStyle w:val="91"/>
        <w:ind w:left="480"/>
        <w:rPr>
          <w:rFonts w:ascii="Times New Roman" w:hAnsi="Times New Roman" w:cs="Times New Roman"/>
          <w:color w:val="auto"/>
          <w:highlight w:val="none"/>
        </w:rPr>
        <w:sectPr>
          <w:headerReference r:id="rId23" w:type="default"/>
          <w:pgSz w:w="16838" w:h="11906" w:orient="landscape"/>
          <w:pgMar w:top="1418" w:right="1559" w:bottom="1418" w:left="1503" w:header="851" w:footer="964" w:gutter="0"/>
          <w:cols w:space="720" w:num="1"/>
          <w:docGrid w:linePitch="326" w:charSpace="0"/>
        </w:sectPr>
      </w:pPr>
    </w:p>
    <w:p w14:paraId="6C795CDC">
      <w:pPr>
        <w:pStyle w:val="7"/>
        <w:numPr>
          <w:ilvl w:val="2"/>
          <w:numId w:val="9"/>
        </w:numPr>
        <w:rPr>
          <w:color w:val="auto"/>
          <w:sz w:val="28"/>
          <w:highlight w:val="none"/>
        </w:rPr>
      </w:pPr>
      <w:r>
        <w:rPr>
          <w:color w:val="auto"/>
          <w:sz w:val="28"/>
          <w:highlight w:val="none"/>
        </w:rPr>
        <w:t>“钦州基地”现有工程污染物排放情况</w:t>
      </w:r>
    </w:p>
    <w:p w14:paraId="06EC4243">
      <w:pPr>
        <w:pStyle w:val="3"/>
        <w:adjustRightInd w:val="0"/>
        <w:snapToGrid w:val="0"/>
        <w:spacing w:line="360" w:lineRule="auto"/>
        <w:ind w:left="0" w:firstLine="480" w:firstLineChars="200"/>
        <w:rPr>
          <w:rFonts w:ascii="Times New Roman" w:hAnsi="Times New Roman"/>
          <w:b w:val="0"/>
          <w:bCs w:val="0"/>
          <w:color w:val="auto"/>
          <w:kern w:val="0"/>
          <w:sz w:val="24"/>
          <w:szCs w:val="24"/>
          <w:highlight w:val="none"/>
        </w:rPr>
      </w:pPr>
      <w:r>
        <w:rPr>
          <w:rFonts w:ascii="Times New Roman" w:hAnsi="Times New Roman"/>
          <w:b w:val="0"/>
          <w:bCs w:val="0"/>
          <w:color w:val="auto"/>
          <w:kern w:val="0"/>
          <w:sz w:val="24"/>
          <w:szCs w:val="24"/>
          <w:highlight w:val="none"/>
        </w:rPr>
        <w:t>根据“钦州基地”现有工程验收报告、环评报告等相关资料，对钦州基地内现有工程主要污染物排放进行汇总，详见下表。</w:t>
      </w:r>
    </w:p>
    <w:p w14:paraId="30B6ABD4">
      <w:pPr>
        <w:pStyle w:val="38"/>
        <w:spacing w:after="0" w:line="240" w:lineRule="auto"/>
        <w:ind w:firstLine="0" w:firstLineChars="0"/>
        <w:jc w:val="center"/>
        <w:rPr>
          <w:b/>
          <w:color w:val="auto"/>
          <w:sz w:val="21"/>
          <w:szCs w:val="21"/>
          <w:highlight w:val="none"/>
        </w:rPr>
      </w:pPr>
      <w:r>
        <w:rPr>
          <w:b/>
          <w:color w:val="auto"/>
          <w:sz w:val="21"/>
          <w:szCs w:val="21"/>
          <w:highlight w:val="none"/>
        </w:rPr>
        <w:t>表2.1-2 “钦州基地”现有工程“三废”主要污染物排放汇总表</w:t>
      </w:r>
    </w:p>
    <w:tbl>
      <w:tblPr>
        <w:tblStyle w:val="92"/>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1"/>
        <w:gridCol w:w="945"/>
        <w:gridCol w:w="1404"/>
        <w:gridCol w:w="1252"/>
        <w:gridCol w:w="1179"/>
        <w:gridCol w:w="1291"/>
        <w:gridCol w:w="1259"/>
        <w:gridCol w:w="1458"/>
      </w:tblGrid>
      <w:tr w14:paraId="513EF6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774" w:type="pct"/>
            <w:gridSpan w:val="2"/>
            <w:tcBorders>
              <w:tl2br w:val="nil"/>
              <w:tr2bl w:val="nil"/>
            </w:tcBorders>
            <w:vAlign w:val="center"/>
          </w:tcPr>
          <w:p w14:paraId="6AEAB34A">
            <w:pPr>
              <w:spacing w:line="240" w:lineRule="auto"/>
              <w:ind w:firstLine="0" w:firstLineChars="0"/>
              <w:jc w:val="center"/>
              <w:rPr>
                <w:b/>
                <w:bCs/>
                <w:color w:val="auto"/>
                <w:sz w:val="21"/>
                <w:szCs w:val="21"/>
                <w:highlight w:val="none"/>
              </w:rPr>
            </w:pPr>
            <w:r>
              <w:rPr>
                <w:b/>
                <w:bCs/>
                <w:color w:val="auto"/>
                <w:sz w:val="21"/>
                <w:szCs w:val="21"/>
                <w:highlight w:val="none"/>
              </w:rPr>
              <w:t>污染物种类</w:t>
            </w:r>
          </w:p>
        </w:tc>
        <w:tc>
          <w:tcPr>
            <w:tcW w:w="756" w:type="pct"/>
            <w:tcBorders>
              <w:tl2br w:val="nil"/>
              <w:tr2bl w:val="nil"/>
            </w:tcBorders>
            <w:vAlign w:val="center"/>
          </w:tcPr>
          <w:p w14:paraId="48ECFE77">
            <w:pPr>
              <w:spacing w:line="240" w:lineRule="auto"/>
              <w:ind w:firstLine="0" w:firstLineChars="0"/>
              <w:jc w:val="center"/>
              <w:rPr>
                <w:b/>
                <w:bCs/>
                <w:color w:val="auto"/>
                <w:sz w:val="21"/>
                <w:szCs w:val="21"/>
                <w:highlight w:val="none"/>
              </w:rPr>
            </w:pPr>
            <w:r>
              <w:rPr>
                <w:b/>
                <w:bCs/>
                <w:color w:val="auto"/>
                <w:sz w:val="21"/>
                <w:szCs w:val="21"/>
                <w:highlight w:val="none"/>
              </w:rPr>
              <w:t>污染物名称</w:t>
            </w:r>
          </w:p>
        </w:tc>
        <w:tc>
          <w:tcPr>
            <w:tcW w:w="674" w:type="pct"/>
            <w:tcBorders>
              <w:tl2br w:val="nil"/>
              <w:tr2bl w:val="nil"/>
            </w:tcBorders>
            <w:vAlign w:val="center"/>
          </w:tcPr>
          <w:p w14:paraId="46EAFA50">
            <w:pPr>
              <w:spacing w:line="240" w:lineRule="auto"/>
              <w:ind w:firstLine="0" w:firstLineChars="0"/>
              <w:jc w:val="center"/>
              <w:rPr>
                <w:b/>
                <w:bCs/>
                <w:color w:val="auto"/>
                <w:sz w:val="21"/>
                <w:szCs w:val="21"/>
                <w:highlight w:val="none"/>
              </w:rPr>
            </w:pPr>
            <w:r>
              <w:rPr>
                <w:b/>
                <w:bCs/>
                <w:color w:val="auto"/>
                <w:sz w:val="21"/>
                <w:szCs w:val="21"/>
                <w:highlight w:val="none"/>
              </w:rPr>
              <w:t>中船钦州修船资源整</w:t>
            </w:r>
            <w:r>
              <w:rPr>
                <w:rFonts w:hint="eastAsia"/>
                <w:b/>
                <w:bCs/>
                <w:color w:val="auto"/>
                <w:sz w:val="21"/>
                <w:szCs w:val="21"/>
                <w:highlight w:val="none"/>
              </w:rPr>
              <w:t>7</w:t>
            </w:r>
            <w:r>
              <w:rPr>
                <w:b/>
                <w:bCs/>
                <w:color w:val="auto"/>
                <w:sz w:val="21"/>
                <w:szCs w:val="21"/>
                <w:highlight w:val="none"/>
              </w:rPr>
              <w:t>合项目一期工程（t/a）</w:t>
            </w:r>
          </w:p>
        </w:tc>
        <w:tc>
          <w:tcPr>
            <w:tcW w:w="635" w:type="pct"/>
            <w:tcBorders>
              <w:tl2br w:val="nil"/>
              <w:tr2bl w:val="nil"/>
            </w:tcBorders>
            <w:vAlign w:val="center"/>
          </w:tcPr>
          <w:p w14:paraId="3F91BC29">
            <w:pPr>
              <w:spacing w:line="240" w:lineRule="auto"/>
              <w:ind w:firstLine="0" w:firstLineChars="0"/>
              <w:jc w:val="center"/>
              <w:rPr>
                <w:b/>
                <w:bCs/>
                <w:color w:val="auto"/>
                <w:sz w:val="21"/>
                <w:szCs w:val="21"/>
                <w:highlight w:val="none"/>
              </w:rPr>
            </w:pPr>
            <w:r>
              <w:rPr>
                <w:b/>
                <w:bCs/>
                <w:color w:val="auto"/>
                <w:sz w:val="21"/>
                <w:szCs w:val="21"/>
                <w:highlight w:val="none"/>
              </w:rPr>
              <w:t>中船钦州广船设施设备资源利用项目（t/a）</w:t>
            </w:r>
          </w:p>
        </w:tc>
        <w:tc>
          <w:tcPr>
            <w:tcW w:w="695" w:type="pct"/>
            <w:tcBorders>
              <w:tl2br w:val="nil"/>
              <w:tr2bl w:val="nil"/>
            </w:tcBorders>
            <w:vAlign w:val="center"/>
          </w:tcPr>
          <w:p w14:paraId="54EC365A">
            <w:pPr>
              <w:spacing w:line="240" w:lineRule="auto"/>
              <w:ind w:firstLine="0" w:firstLineChars="0"/>
              <w:jc w:val="center"/>
              <w:rPr>
                <w:b/>
                <w:bCs/>
                <w:color w:val="auto"/>
                <w:sz w:val="21"/>
                <w:szCs w:val="21"/>
                <w:highlight w:val="none"/>
              </w:rPr>
            </w:pPr>
            <w:r>
              <w:rPr>
                <w:b/>
                <w:bCs/>
                <w:color w:val="auto"/>
                <w:sz w:val="21"/>
                <w:szCs w:val="21"/>
                <w:highlight w:val="none"/>
              </w:rPr>
              <w:t>中船钦州风电塔柔性生产线项目</w:t>
            </w:r>
          </w:p>
          <w:p w14:paraId="04EE0326">
            <w:pPr>
              <w:spacing w:line="240" w:lineRule="auto"/>
              <w:ind w:firstLine="0" w:firstLineChars="0"/>
              <w:jc w:val="center"/>
              <w:rPr>
                <w:b/>
                <w:bCs/>
                <w:color w:val="auto"/>
                <w:sz w:val="21"/>
                <w:szCs w:val="21"/>
                <w:highlight w:val="none"/>
              </w:rPr>
            </w:pPr>
            <w:r>
              <w:rPr>
                <w:b/>
                <w:bCs/>
                <w:color w:val="auto"/>
                <w:sz w:val="21"/>
                <w:szCs w:val="21"/>
                <w:highlight w:val="none"/>
              </w:rPr>
              <w:t>（t/a）</w:t>
            </w:r>
          </w:p>
        </w:tc>
        <w:tc>
          <w:tcPr>
            <w:tcW w:w="678" w:type="pct"/>
            <w:tcBorders>
              <w:tl2br w:val="nil"/>
              <w:tr2bl w:val="nil"/>
            </w:tcBorders>
            <w:vAlign w:val="center"/>
          </w:tcPr>
          <w:p w14:paraId="39FB8439">
            <w:pPr>
              <w:spacing w:line="240" w:lineRule="auto"/>
              <w:ind w:firstLine="0" w:firstLineChars="0"/>
              <w:jc w:val="center"/>
              <w:rPr>
                <w:b/>
                <w:bCs/>
                <w:color w:val="auto"/>
                <w:sz w:val="21"/>
                <w:szCs w:val="21"/>
                <w:highlight w:val="none"/>
              </w:rPr>
            </w:pPr>
            <w:r>
              <w:rPr>
                <w:b/>
                <w:bCs/>
                <w:color w:val="auto"/>
                <w:sz w:val="21"/>
                <w:szCs w:val="21"/>
                <w:highlight w:val="none"/>
              </w:rPr>
              <w:t>2#码头和5#码头工程项目（t/a）</w:t>
            </w:r>
          </w:p>
        </w:tc>
        <w:tc>
          <w:tcPr>
            <w:tcW w:w="785" w:type="pct"/>
            <w:tcBorders>
              <w:tl2br w:val="nil"/>
              <w:tr2bl w:val="nil"/>
            </w:tcBorders>
            <w:vAlign w:val="center"/>
          </w:tcPr>
          <w:p w14:paraId="010C5A20">
            <w:pPr>
              <w:spacing w:line="240" w:lineRule="auto"/>
              <w:ind w:firstLine="0" w:firstLineChars="0"/>
              <w:jc w:val="center"/>
              <w:rPr>
                <w:b/>
                <w:bCs/>
                <w:color w:val="auto"/>
                <w:sz w:val="21"/>
                <w:szCs w:val="21"/>
                <w:highlight w:val="none"/>
              </w:rPr>
            </w:pPr>
            <w:r>
              <w:rPr>
                <w:b/>
                <w:bCs/>
                <w:color w:val="auto"/>
                <w:sz w:val="21"/>
                <w:szCs w:val="21"/>
                <w:highlight w:val="none"/>
              </w:rPr>
              <w:t>排放量</w:t>
            </w:r>
          </w:p>
          <w:p w14:paraId="51EA21D1">
            <w:pPr>
              <w:spacing w:line="240" w:lineRule="auto"/>
              <w:ind w:firstLine="0" w:firstLineChars="0"/>
              <w:jc w:val="center"/>
              <w:rPr>
                <w:b/>
                <w:bCs/>
                <w:color w:val="auto"/>
                <w:sz w:val="21"/>
                <w:szCs w:val="21"/>
                <w:highlight w:val="none"/>
              </w:rPr>
            </w:pPr>
            <w:r>
              <w:rPr>
                <w:b/>
                <w:bCs/>
                <w:color w:val="auto"/>
                <w:sz w:val="21"/>
                <w:szCs w:val="21"/>
                <w:highlight w:val="none"/>
              </w:rPr>
              <w:t>合计</w:t>
            </w:r>
          </w:p>
          <w:p w14:paraId="1E201E81">
            <w:pPr>
              <w:spacing w:line="240" w:lineRule="auto"/>
              <w:ind w:firstLine="0" w:firstLineChars="0"/>
              <w:jc w:val="center"/>
              <w:rPr>
                <w:b/>
                <w:bCs/>
                <w:color w:val="auto"/>
                <w:sz w:val="21"/>
                <w:szCs w:val="21"/>
                <w:highlight w:val="none"/>
              </w:rPr>
            </w:pPr>
            <w:r>
              <w:rPr>
                <w:b/>
                <w:bCs/>
                <w:color w:val="auto"/>
                <w:sz w:val="21"/>
                <w:szCs w:val="21"/>
                <w:highlight w:val="none"/>
              </w:rPr>
              <w:t>（t/a）</w:t>
            </w:r>
          </w:p>
        </w:tc>
      </w:tr>
      <w:tr w14:paraId="554234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restart"/>
            <w:tcBorders>
              <w:tl2br w:val="nil"/>
              <w:tr2bl w:val="nil"/>
            </w:tcBorders>
            <w:vAlign w:val="center"/>
          </w:tcPr>
          <w:p w14:paraId="777263F4">
            <w:pPr>
              <w:spacing w:line="240" w:lineRule="auto"/>
              <w:ind w:firstLine="0" w:firstLineChars="0"/>
              <w:jc w:val="center"/>
              <w:rPr>
                <w:bCs/>
                <w:color w:val="auto"/>
                <w:sz w:val="21"/>
                <w:szCs w:val="21"/>
                <w:highlight w:val="none"/>
                <w:u w:val="single"/>
              </w:rPr>
            </w:pPr>
            <w:r>
              <w:rPr>
                <w:bCs/>
                <w:color w:val="auto"/>
                <w:sz w:val="21"/>
                <w:szCs w:val="21"/>
                <w:highlight w:val="none"/>
                <w:u w:val="single"/>
              </w:rPr>
              <w:t>废气</w:t>
            </w:r>
          </w:p>
        </w:tc>
        <w:tc>
          <w:tcPr>
            <w:tcW w:w="509" w:type="pct"/>
            <w:vMerge w:val="restart"/>
            <w:tcBorders>
              <w:tl2br w:val="nil"/>
              <w:tr2bl w:val="nil"/>
            </w:tcBorders>
            <w:vAlign w:val="center"/>
          </w:tcPr>
          <w:p w14:paraId="7A7184EB">
            <w:pPr>
              <w:spacing w:line="240" w:lineRule="auto"/>
              <w:ind w:firstLine="0" w:firstLineChars="0"/>
              <w:jc w:val="center"/>
              <w:rPr>
                <w:bCs/>
                <w:color w:val="auto"/>
                <w:sz w:val="21"/>
                <w:szCs w:val="21"/>
                <w:highlight w:val="none"/>
                <w:u w:val="single"/>
              </w:rPr>
            </w:pPr>
            <w:r>
              <w:rPr>
                <w:bCs/>
                <w:color w:val="auto"/>
                <w:sz w:val="21"/>
                <w:szCs w:val="21"/>
                <w:highlight w:val="none"/>
                <w:u w:val="single"/>
              </w:rPr>
              <w:t>有组织</w:t>
            </w:r>
          </w:p>
        </w:tc>
        <w:tc>
          <w:tcPr>
            <w:tcW w:w="756" w:type="pct"/>
            <w:tcBorders>
              <w:tl2br w:val="nil"/>
              <w:tr2bl w:val="nil"/>
            </w:tcBorders>
            <w:vAlign w:val="center"/>
          </w:tcPr>
          <w:p w14:paraId="7005202F">
            <w:pPr>
              <w:spacing w:line="240" w:lineRule="auto"/>
              <w:ind w:firstLine="0" w:firstLineChars="0"/>
              <w:jc w:val="center"/>
              <w:rPr>
                <w:bCs/>
                <w:color w:val="auto"/>
                <w:sz w:val="21"/>
                <w:szCs w:val="21"/>
                <w:highlight w:val="none"/>
                <w:u w:val="single"/>
              </w:rPr>
            </w:pPr>
            <w:r>
              <w:rPr>
                <w:bCs/>
                <w:color w:val="auto"/>
                <w:sz w:val="21"/>
                <w:szCs w:val="21"/>
                <w:highlight w:val="none"/>
                <w:u w:val="single"/>
              </w:rPr>
              <w:t>苯</w:t>
            </w:r>
          </w:p>
        </w:tc>
        <w:tc>
          <w:tcPr>
            <w:tcW w:w="674" w:type="pct"/>
            <w:tcBorders>
              <w:tl2br w:val="nil"/>
              <w:tr2bl w:val="nil"/>
            </w:tcBorders>
            <w:vAlign w:val="center"/>
          </w:tcPr>
          <w:p w14:paraId="0FB08BCF">
            <w:pPr>
              <w:spacing w:line="240" w:lineRule="auto"/>
              <w:ind w:firstLine="0" w:firstLineChars="0"/>
              <w:jc w:val="center"/>
              <w:rPr>
                <w:color w:val="auto"/>
                <w:sz w:val="21"/>
                <w:szCs w:val="21"/>
                <w:highlight w:val="none"/>
                <w:u w:val="single"/>
              </w:rPr>
            </w:pPr>
            <w:r>
              <w:rPr>
                <w:color w:val="auto"/>
                <w:sz w:val="21"/>
                <w:szCs w:val="21"/>
                <w:highlight w:val="none"/>
                <w:u w:val="single"/>
              </w:rPr>
              <w:t>1.82×10</w:t>
            </w:r>
            <w:r>
              <w:rPr>
                <w:color w:val="auto"/>
                <w:sz w:val="21"/>
                <w:szCs w:val="21"/>
                <w:highlight w:val="none"/>
                <w:u w:val="single"/>
                <w:vertAlign w:val="superscript"/>
              </w:rPr>
              <w:t>-5</w:t>
            </w:r>
          </w:p>
        </w:tc>
        <w:tc>
          <w:tcPr>
            <w:tcW w:w="635" w:type="pct"/>
            <w:tcBorders>
              <w:tl2br w:val="nil"/>
              <w:tr2bl w:val="nil"/>
            </w:tcBorders>
            <w:vAlign w:val="center"/>
          </w:tcPr>
          <w:p w14:paraId="02F04ADC">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695" w:type="pct"/>
            <w:tcBorders>
              <w:tl2br w:val="nil"/>
              <w:tr2bl w:val="nil"/>
            </w:tcBorders>
            <w:vAlign w:val="center"/>
          </w:tcPr>
          <w:p w14:paraId="57749869">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678" w:type="pct"/>
            <w:tcBorders>
              <w:tl2br w:val="nil"/>
              <w:tr2bl w:val="nil"/>
            </w:tcBorders>
            <w:vAlign w:val="center"/>
          </w:tcPr>
          <w:p w14:paraId="2F07E0B8">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785" w:type="pct"/>
            <w:tcBorders>
              <w:tl2br w:val="nil"/>
              <w:tr2bl w:val="nil"/>
            </w:tcBorders>
            <w:vAlign w:val="center"/>
          </w:tcPr>
          <w:p w14:paraId="5C44C4E4">
            <w:pPr>
              <w:spacing w:line="240" w:lineRule="auto"/>
              <w:ind w:firstLine="0" w:firstLineChars="0"/>
              <w:jc w:val="center"/>
              <w:rPr>
                <w:color w:val="auto"/>
                <w:sz w:val="21"/>
                <w:szCs w:val="21"/>
                <w:highlight w:val="none"/>
                <w:u w:val="single"/>
              </w:rPr>
            </w:pPr>
            <w:r>
              <w:rPr>
                <w:color w:val="auto"/>
                <w:sz w:val="21"/>
                <w:szCs w:val="21"/>
                <w:highlight w:val="none"/>
                <w:u w:val="single"/>
              </w:rPr>
              <w:t>1.82×10</w:t>
            </w:r>
            <w:r>
              <w:rPr>
                <w:color w:val="auto"/>
                <w:sz w:val="21"/>
                <w:szCs w:val="21"/>
                <w:highlight w:val="none"/>
                <w:u w:val="single"/>
                <w:vertAlign w:val="superscript"/>
              </w:rPr>
              <w:t>-5</w:t>
            </w:r>
          </w:p>
        </w:tc>
      </w:tr>
      <w:tr w14:paraId="0635D6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67EC70A5">
            <w:pPr>
              <w:spacing w:line="240" w:lineRule="auto"/>
              <w:ind w:firstLine="0" w:firstLineChars="0"/>
              <w:jc w:val="center"/>
              <w:rPr>
                <w:bCs/>
                <w:color w:val="auto"/>
                <w:sz w:val="21"/>
                <w:szCs w:val="21"/>
                <w:highlight w:val="none"/>
                <w:u w:val="single"/>
              </w:rPr>
            </w:pPr>
          </w:p>
        </w:tc>
        <w:tc>
          <w:tcPr>
            <w:tcW w:w="509" w:type="pct"/>
            <w:vMerge w:val="continue"/>
            <w:tcBorders>
              <w:tl2br w:val="nil"/>
              <w:tr2bl w:val="nil"/>
            </w:tcBorders>
            <w:vAlign w:val="center"/>
          </w:tcPr>
          <w:p w14:paraId="74AA5DED">
            <w:pPr>
              <w:spacing w:line="240" w:lineRule="auto"/>
              <w:ind w:firstLine="0" w:firstLineChars="0"/>
              <w:jc w:val="center"/>
              <w:rPr>
                <w:bCs/>
                <w:color w:val="auto"/>
                <w:sz w:val="21"/>
                <w:szCs w:val="21"/>
                <w:highlight w:val="none"/>
                <w:u w:val="single"/>
              </w:rPr>
            </w:pPr>
          </w:p>
        </w:tc>
        <w:tc>
          <w:tcPr>
            <w:tcW w:w="756" w:type="pct"/>
            <w:tcBorders>
              <w:tl2br w:val="nil"/>
              <w:tr2bl w:val="nil"/>
            </w:tcBorders>
            <w:vAlign w:val="center"/>
          </w:tcPr>
          <w:p w14:paraId="46E25431">
            <w:pPr>
              <w:spacing w:line="240" w:lineRule="auto"/>
              <w:ind w:firstLine="0" w:firstLineChars="0"/>
              <w:jc w:val="center"/>
              <w:rPr>
                <w:bCs/>
                <w:color w:val="auto"/>
                <w:sz w:val="21"/>
                <w:szCs w:val="21"/>
                <w:highlight w:val="none"/>
                <w:u w:val="single"/>
              </w:rPr>
            </w:pPr>
            <w:r>
              <w:rPr>
                <w:bCs/>
                <w:color w:val="auto"/>
                <w:sz w:val="21"/>
                <w:szCs w:val="21"/>
                <w:highlight w:val="none"/>
                <w:u w:val="single"/>
              </w:rPr>
              <w:t>甲苯</w:t>
            </w:r>
          </w:p>
        </w:tc>
        <w:tc>
          <w:tcPr>
            <w:tcW w:w="674" w:type="pct"/>
            <w:tcBorders>
              <w:tl2br w:val="nil"/>
              <w:tr2bl w:val="nil"/>
            </w:tcBorders>
            <w:vAlign w:val="center"/>
          </w:tcPr>
          <w:p w14:paraId="73C4C8D2">
            <w:pPr>
              <w:spacing w:line="240" w:lineRule="auto"/>
              <w:ind w:firstLine="0" w:firstLineChars="0"/>
              <w:jc w:val="center"/>
              <w:rPr>
                <w:color w:val="auto"/>
                <w:sz w:val="21"/>
                <w:szCs w:val="21"/>
                <w:highlight w:val="none"/>
                <w:u w:val="single"/>
              </w:rPr>
            </w:pPr>
            <w:r>
              <w:rPr>
                <w:color w:val="auto"/>
                <w:sz w:val="21"/>
                <w:szCs w:val="21"/>
                <w:highlight w:val="none"/>
                <w:u w:val="single"/>
              </w:rPr>
              <w:t>1.86×10</w:t>
            </w:r>
            <w:r>
              <w:rPr>
                <w:color w:val="auto"/>
                <w:sz w:val="21"/>
                <w:szCs w:val="21"/>
                <w:highlight w:val="none"/>
                <w:u w:val="single"/>
                <w:vertAlign w:val="superscript"/>
              </w:rPr>
              <w:t>-5</w:t>
            </w:r>
          </w:p>
        </w:tc>
        <w:tc>
          <w:tcPr>
            <w:tcW w:w="635" w:type="pct"/>
            <w:tcBorders>
              <w:tl2br w:val="nil"/>
              <w:tr2bl w:val="nil"/>
            </w:tcBorders>
            <w:vAlign w:val="center"/>
          </w:tcPr>
          <w:p w14:paraId="5F590524">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695" w:type="pct"/>
            <w:tcBorders>
              <w:tl2br w:val="nil"/>
              <w:tr2bl w:val="nil"/>
            </w:tcBorders>
            <w:vAlign w:val="center"/>
          </w:tcPr>
          <w:p w14:paraId="752722CC">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678" w:type="pct"/>
            <w:tcBorders>
              <w:tl2br w:val="nil"/>
              <w:tr2bl w:val="nil"/>
            </w:tcBorders>
            <w:vAlign w:val="center"/>
          </w:tcPr>
          <w:p w14:paraId="796EDB73">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785" w:type="pct"/>
            <w:tcBorders>
              <w:tl2br w:val="nil"/>
              <w:tr2bl w:val="nil"/>
            </w:tcBorders>
            <w:vAlign w:val="center"/>
          </w:tcPr>
          <w:p w14:paraId="2CE5C7FC">
            <w:pPr>
              <w:spacing w:line="240" w:lineRule="auto"/>
              <w:ind w:firstLine="0" w:firstLineChars="0"/>
              <w:jc w:val="center"/>
              <w:rPr>
                <w:color w:val="auto"/>
                <w:sz w:val="21"/>
                <w:szCs w:val="21"/>
                <w:highlight w:val="none"/>
                <w:u w:val="single"/>
              </w:rPr>
            </w:pPr>
            <w:r>
              <w:rPr>
                <w:color w:val="auto"/>
                <w:sz w:val="21"/>
                <w:szCs w:val="21"/>
                <w:highlight w:val="none"/>
                <w:u w:val="single"/>
              </w:rPr>
              <w:t>1.86×10</w:t>
            </w:r>
            <w:r>
              <w:rPr>
                <w:color w:val="auto"/>
                <w:sz w:val="21"/>
                <w:szCs w:val="21"/>
                <w:highlight w:val="none"/>
                <w:u w:val="single"/>
                <w:vertAlign w:val="superscript"/>
              </w:rPr>
              <w:t>-5</w:t>
            </w:r>
          </w:p>
        </w:tc>
      </w:tr>
      <w:tr w14:paraId="5C6DB1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5A638F31">
            <w:pPr>
              <w:spacing w:line="240" w:lineRule="auto"/>
              <w:ind w:firstLine="0" w:firstLineChars="0"/>
              <w:jc w:val="center"/>
              <w:rPr>
                <w:bCs/>
                <w:color w:val="auto"/>
                <w:sz w:val="21"/>
                <w:szCs w:val="21"/>
                <w:highlight w:val="none"/>
                <w:u w:val="single"/>
              </w:rPr>
            </w:pPr>
          </w:p>
        </w:tc>
        <w:tc>
          <w:tcPr>
            <w:tcW w:w="509" w:type="pct"/>
            <w:vMerge w:val="continue"/>
            <w:tcBorders>
              <w:tl2br w:val="nil"/>
              <w:tr2bl w:val="nil"/>
            </w:tcBorders>
            <w:vAlign w:val="center"/>
          </w:tcPr>
          <w:p w14:paraId="38792C49">
            <w:pPr>
              <w:spacing w:line="240" w:lineRule="auto"/>
              <w:ind w:firstLine="0" w:firstLineChars="0"/>
              <w:jc w:val="center"/>
              <w:rPr>
                <w:bCs/>
                <w:color w:val="auto"/>
                <w:sz w:val="21"/>
                <w:szCs w:val="21"/>
                <w:highlight w:val="none"/>
                <w:u w:val="single"/>
              </w:rPr>
            </w:pPr>
          </w:p>
        </w:tc>
        <w:tc>
          <w:tcPr>
            <w:tcW w:w="756" w:type="pct"/>
            <w:tcBorders>
              <w:tl2br w:val="nil"/>
              <w:tr2bl w:val="nil"/>
            </w:tcBorders>
            <w:vAlign w:val="center"/>
          </w:tcPr>
          <w:p w14:paraId="1BA4AC10">
            <w:pPr>
              <w:spacing w:line="240" w:lineRule="auto"/>
              <w:ind w:firstLine="0" w:firstLineChars="0"/>
              <w:jc w:val="center"/>
              <w:rPr>
                <w:bCs/>
                <w:color w:val="auto"/>
                <w:sz w:val="21"/>
                <w:szCs w:val="21"/>
                <w:highlight w:val="none"/>
                <w:u w:val="single"/>
              </w:rPr>
            </w:pPr>
            <w:r>
              <w:rPr>
                <w:bCs/>
                <w:color w:val="auto"/>
                <w:sz w:val="21"/>
                <w:szCs w:val="21"/>
                <w:highlight w:val="none"/>
                <w:u w:val="single"/>
              </w:rPr>
              <w:t>二甲苯</w:t>
            </w:r>
          </w:p>
        </w:tc>
        <w:tc>
          <w:tcPr>
            <w:tcW w:w="674" w:type="pct"/>
            <w:tcBorders>
              <w:tl2br w:val="nil"/>
              <w:tr2bl w:val="nil"/>
            </w:tcBorders>
            <w:vAlign w:val="center"/>
          </w:tcPr>
          <w:p w14:paraId="1769967D">
            <w:pPr>
              <w:spacing w:line="240" w:lineRule="auto"/>
              <w:ind w:firstLine="0" w:firstLineChars="0"/>
              <w:jc w:val="center"/>
              <w:rPr>
                <w:color w:val="auto"/>
                <w:sz w:val="21"/>
                <w:szCs w:val="21"/>
                <w:highlight w:val="none"/>
                <w:u w:val="single"/>
              </w:rPr>
            </w:pPr>
            <w:r>
              <w:rPr>
                <w:rFonts w:eastAsia="仿宋"/>
                <w:bCs/>
                <w:color w:val="auto"/>
                <w:sz w:val="21"/>
                <w:szCs w:val="21"/>
                <w:highlight w:val="none"/>
                <w:u w:val="single"/>
              </w:rPr>
              <w:t>2.81</w:t>
            </w:r>
            <w:r>
              <w:rPr>
                <w:rFonts w:eastAsia="仿宋"/>
                <w:color w:val="auto"/>
                <w:sz w:val="21"/>
                <w:szCs w:val="21"/>
                <w:highlight w:val="none"/>
                <w:u w:val="single"/>
              </w:rPr>
              <w:t>×10</w:t>
            </w:r>
            <w:r>
              <w:rPr>
                <w:rFonts w:eastAsia="仿宋"/>
                <w:color w:val="auto"/>
                <w:sz w:val="21"/>
                <w:szCs w:val="21"/>
                <w:highlight w:val="none"/>
                <w:u w:val="single"/>
                <w:vertAlign w:val="superscript"/>
              </w:rPr>
              <w:t>-5</w:t>
            </w:r>
          </w:p>
        </w:tc>
        <w:tc>
          <w:tcPr>
            <w:tcW w:w="635" w:type="pct"/>
            <w:tcBorders>
              <w:tl2br w:val="nil"/>
              <w:tr2bl w:val="nil"/>
            </w:tcBorders>
            <w:vAlign w:val="center"/>
          </w:tcPr>
          <w:p w14:paraId="48BF077C">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695" w:type="pct"/>
            <w:tcBorders>
              <w:tl2br w:val="nil"/>
              <w:tr2bl w:val="nil"/>
            </w:tcBorders>
            <w:vAlign w:val="center"/>
          </w:tcPr>
          <w:p w14:paraId="638F0439">
            <w:pPr>
              <w:spacing w:line="240" w:lineRule="auto"/>
              <w:ind w:firstLine="0" w:firstLineChars="0"/>
              <w:jc w:val="center"/>
              <w:rPr>
                <w:color w:val="auto"/>
                <w:sz w:val="21"/>
                <w:szCs w:val="21"/>
                <w:highlight w:val="none"/>
                <w:u w:val="single"/>
              </w:rPr>
            </w:pPr>
            <w:r>
              <w:rPr>
                <w:color w:val="auto"/>
                <w:sz w:val="21"/>
                <w:szCs w:val="21"/>
                <w:highlight w:val="none"/>
                <w:u w:val="single"/>
              </w:rPr>
              <w:t>1.32</w:t>
            </w:r>
          </w:p>
        </w:tc>
        <w:tc>
          <w:tcPr>
            <w:tcW w:w="678" w:type="pct"/>
            <w:tcBorders>
              <w:tl2br w:val="nil"/>
              <w:tr2bl w:val="nil"/>
            </w:tcBorders>
            <w:vAlign w:val="center"/>
          </w:tcPr>
          <w:p w14:paraId="00A1F94B">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785" w:type="pct"/>
            <w:tcBorders>
              <w:tl2br w:val="nil"/>
              <w:tr2bl w:val="nil"/>
            </w:tcBorders>
            <w:vAlign w:val="center"/>
          </w:tcPr>
          <w:p w14:paraId="60E56C04">
            <w:pPr>
              <w:spacing w:line="240" w:lineRule="auto"/>
              <w:ind w:firstLine="0" w:firstLineChars="0"/>
              <w:jc w:val="center"/>
              <w:rPr>
                <w:color w:val="auto"/>
                <w:sz w:val="21"/>
                <w:szCs w:val="21"/>
                <w:highlight w:val="none"/>
                <w:u w:val="single"/>
              </w:rPr>
            </w:pPr>
            <w:r>
              <w:rPr>
                <w:color w:val="auto"/>
                <w:sz w:val="21"/>
                <w:szCs w:val="21"/>
                <w:highlight w:val="none"/>
                <w:u w:val="single"/>
              </w:rPr>
              <w:t>1.32003</w:t>
            </w:r>
          </w:p>
        </w:tc>
      </w:tr>
      <w:tr w14:paraId="6696CA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772CCA68">
            <w:pPr>
              <w:spacing w:line="240" w:lineRule="auto"/>
              <w:ind w:firstLine="0" w:firstLineChars="0"/>
              <w:jc w:val="center"/>
              <w:rPr>
                <w:bCs/>
                <w:color w:val="auto"/>
                <w:sz w:val="21"/>
                <w:szCs w:val="21"/>
                <w:highlight w:val="none"/>
                <w:u w:val="single"/>
              </w:rPr>
            </w:pPr>
          </w:p>
        </w:tc>
        <w:tc>
          <w:tcPr>
            <w:tcW w:w="509" w:type="pct"/>
            <w:vMerge w:val="continue"/>
            <w:tcBorders>
              <w:tl2br w:val="nil"/>
              <w:tr2bl w:val="nil"/>
            </w:tcBorders>
            <w:vAlign w:val="center"/>
          </w:tcPr>
          <w:p w14:paraId="0C5DDD76">
            <w:pPr>
              <w:spacing w:line="240" w:lineRule="auto"/>
              <w:ind w:firstLine="0" w:firstLineChars="0"/>
              <w:jc w:val="center"/>
              <w:rPr>
                <w:bCs/>
                <w:color w:val="auto"/>
                <w:sz w:val="21"/>
                <w:szCs w:val="21"/>
                <w:highlight w:val="none"/>
                <w:u w:val="single"/>
              </w:rPr>
            </w:pPr>
          </w:p>
        </w:tc>
        <w:tc>
          <w:tcPr>
            <w:tcW w:w="756" w:type="pct"/>
            <w:tcBorders>
              <w:tl2br w:val="nil"/>
              <w:tr2bl w:val="nil"/>
            </w:tcBorders>
            <w:vAlign w:val="center"/>
          </w:tcPr>
          <w:p w14:paraId="0805BE14">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T</w:t>
            </w:r>
            <w:r>
              <w:rPr>
                <w:bCs/>
                <w:color w:val="auto"/>
                <w:sz w:val="21"/>
                <w:szCs w:val="21"/>
                <w:highlight w:val="none"/>
                <w:u w:val="single"/>
              </w:rPr>
              <w:t>VOC</w:t>
            </w:r>
          </w:p>
        </w:tc>
        <w:tc>
          <w:tcPr>
            <w:tcW w:w="674" w:type="pct"/>
            <w:tcBorders>
              <w:tl2br w:val="nil"/>
              <w:tr2bl w:val="nil"/>
            </w:tcBorders>
            <w:vAlign w:val="center"/>
          </w:tcPr>
          <w:p w14:paraId="5F59C04F">
            <w:pPr>
              <w:spacing w:line="240" w:lineRule="auto"/>
              <w:ind w:firstLine="0" w:firstLineChars="0"/>
              <w:jc w:val="center"/>
              <w:rPr>
                <w:color w:val="auto"/>
                <w:sz w:val="21"/>
                <w:szCs w:val="21"/>
                <w:highlight w:val="none"/>
                <w:u w:val="single"/>
              </w:rPr>
            </w:pPr>
            <w:r>
              <w:rPr>
                <w:bCs/>
                <w:color w:val="auto"/>
                <w:sz w:val="21"/>
                <w:szCs w:val="21"/>
                <w:highlight w:val="none"/>
                <w:u w:val="single"/>
              </w:rPr>
              <w:t>0.299</w:t>
            </w:r>
          </w:p>
        </w:tc>
        <w:tc>
          <w:tcPr>
            <w:tcW w:w="635" w:type="pct"/>
            <w:tcBorders>
              <w:tl2br w:val="nil"/>
              <w:tr2bl w:val="nil"/>
            </w:tcBorders>
            <w:vAlign w:val="center"/>
          </w:tcPr>
          <w:p w14:paraId="113375A3">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695" w:type="pct"/>
            <w:tcBorders>
              <w:tl2br w:val="nil"/>
              <w:tr2bl w:val="nil"/>
            </w:tcBorders>
            <w:vAlign w:val="center"/>
          </w:tcPr>
          <w:p w14:paraId="7E34A702">
            <w:pPr>
              <w:spacing w:line="240" w:lineRule="auto"/>
              <w:ind w:firstLine="0" w:firstLineChars="0"/>
              <w:jc w:val="center"/>
              <w:rPr>
                <w:color w:val="auto"/>
                <w:sz w:val="21"/>
                <w:szCs w:val="21"/>
                <w:highlight w:val="none"/>
                <w:u w:val="single"/>
              </w:rPr>
            </w:pPr>
            <w:r>
              <w:rPr>
                <w:color w:val="auto"/>
                <w:sz w:val="21"/>
                <w:szCs w:val="21"/>
                <w:highlight w:val="none"/>
                <w:u w:val="single"/>
              </w:rPr>
              <w:t>3.28</w:t>
            </w:r>
          </w:p>
        </w:tc>
        <w:tc>
          <w:tcPr>
            <w:tcW w:w="678" w:type="pct"/>
            <w:tcBorders>
              <w:tl2br w:val="nil"/>
              <w:tr2bl w:val="nil"/>
            </w:tcBorders>
            <w:vAlign w:val="center"/>
          </w:tcPr>
          <w:p w14:paraId="44F7EBCA">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785" w:type="pct"/>
            <w:tcBorders>
              <w:tl2br w:val="nil"/>
              <w:tr2bl w:val="nil"/>
            </w:tcBorders>
            <w:vAlign w:val="center"/>
          </w:tcPr>
          <w:p w14:paraId="761D8C28">
            <w:pPr>
              <w:spacing w:line="240" w:lineRule="auto"/>
              <w:ind w:firstLine="0" w:firstLineChars="0"/>
              <w:jc w:val="center"/>
              <w:rPr>
                <w:color w:val="auto"/>
                <w:sz w:val="21"/>
                <w:szCs w:val="21"/>
                <w:highlight w:val="none"/>
                <w:u w:val="single"/>
              </w:rPr>
            </w:pPr>
            <w:r>
              <w:rPr>
                <w:color w:val="auto"/>
                <w:sz w:val="21"/>
                <w:szCs w:val="21"/>
                <w:highlight w:val="none"/>
                <w:u w:val="single"/>
              </w:rPr>
              <w:t>3.579</w:t>
            </w:r>
          </w:p>
        </w:tc>
      </w:tr>
      <w:tr w14:paraId="79B5B6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41DCAC4B">
            <w:pPr>
              <w:spacing w:line="240" w:lineRule="auto"/>
              <w:ind w:firstLine="0" w:firstLineChars="0"/>
              <w:jc w:val="center"/>
              <w:rPr>
                <w:bCs/>
                <w:color w:val="auto"/>
                <w:sz w:val="21"/>
                <w:szCs w:val="21"/>
                <w:highlight w:val="none"/>
                <w:u w:val="single"/>
              </w:rPr>
            </w:pPr>
          </w:p>
        </w:tc>
        <w:tc>
          <w:tcPr>
            <w:tcW w:w="509" w:type="pct"/>
            <w:vMerge w:val="continue"/>
            <w:tcBorders>
              <w:tl2br w:val="nil"/>
              <w:tr2bl w:val="nil"/>
            </w:tcBorders>
            <w:vAlign w:val="center"/>
          </w:tcPr>
          <w:p w14:paraId="49CA806D">
            <w:pPr>
              <w:spacing w:line="240" w:lineRule="auto"/>
              <w:ind w:firstLine="0" w:firstLineChars="0"/>
              <w:jc w:val="center"/>
              <w:rPr>
                <w:bCs/>
                <w:color w:val="auto"/>
                <w:sz w:val="21"/>
                <w:szCs w:val="21"/>
                <w:highlight w:val="none"/>
                <w:u w:val="single"/>
              </w:rPr>
            </w:pPr>
          </w:p>
        </w:tc>
        <w:tc>
          <w:tcPr>
            <w:tcW w:w="756" w:type="pct"/>
            <w:tcBorders>
              <w:tl2br w:val="nil"/>
              <w:tr2bl w:val="nil"/>
            </w:tcBorders>
            <w:vAlign w:val="center"/>
          </w:tcPr>
          <w:p w14:paraId="78ADC4DD">
            <w:pPr>
              <w:spacing w:line="240" w:lineRule="auto"/>
              <w:ind w:firstLine="0" w:firstLineChars="0"/>
              <w:jc w:val="center"/>
              <w:rPr>
                <w:bCs/>
                <w:color w:val="auto"/>
                <w:sz w:val="21"/>
                <w:szCs w:val="21"/>
                <w:highlight w:val="none"/>
                <w:u w:val="single"/>
              </w:rPr>
            </w:pPr>
            <w:r>
              <w:rPr>
                <w:bCs/>
                <w:color w:val="auto"/>
                <w:sz w:val="21"/>
                <w:szCs w:val="21"/>
                <w:highlight w:val="none"/>
                <w:u w:val="single"/>
              </w:rPr>
              <w:t>HCl</w:t>
            </w:r>
          </w:p>
        </w:tc>
        <w:tc>
          <w:tcPr>
            <w:tcW w:w="674" w:type="pct"/>
            <w:tcBorders>
              <w:tl2br w:val="nil"/>
              <w:tr2bl w:val="nil"/>
            </w:tcBorders>
            <w:vAlign w:val="center"/>
          </w:tcPr>
          <w:p w14:paraId="3D66485F">
            <w:pPr>
              <w:spacing w:line="240" w:lineRule="auto"/>
              <w:ind w:firstLine="0" w:firstLineChars="0"/>
              <w:jc w:val="center"/>
              <w:rPr>
                <w:color w:val="auto"/>
                <w:sz w:val="21"/>
                <w:szCs w:val="21"/>
                <w:highlight w:val="none"/>
                <w:u w:val="single"/>
              </w:rPr>
            </w:pPr>
            <w:r>
              <w:rPr>
                <w:color w:val="auto"/>
                <w:sz w:val="21"/>
                <w:szCs w:val="21"/>
                <w:highlight w:val="none"/>
                <w:u w:val="single"/>
              </w:rPr>
              <w:t>0.183</w:t>
            </w:r>
          </w:p>
        </w:tc>
        <w:tc>
          <w:tcPr>
            <w:tcW w:w="635" w:type="pct"/>
            <w:tcBorders>
              <w:tl2br w:val="nil"/>
              <w:tr2bl w:val="nil"/>
            </w:tcBorders>
            <w:vAlign w:val="center"/>
          </w:tcPr>
          <w:p w14:paraId="17F3488B">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695" w:type="pct"/>
            <w:tcBorders>
              <w:tl2br w:val="nil"/>
              <w:tr2bl w:val="nil"/>
            </w:tcBorders>
            <w:vAlign w:val="center"/>
          </w:tcPr>
          <w:p w14:paraId="6B32C2C7">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678" w:type="pct"/>
            <w:tcBorders>
              <w:tl2br w:val="nil"/>
              <w:tr2bl w:val="nil"/>
            </w:tcBorders>
            <w:vAlign w:val="center"/>
          </w:tcPr>
          <w:p w14:paraId="156734AC">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785" w:type="pct"/>
            <w:tcBorders>
              <w:tl2br w:val="nil"/>
              <w:tr2bl w:val="nil"/>
            </w:tcBorders>
            <w:vAlign w:val="center"/>
          </w:tcPr>
          <w:p w14:paraId="335C5F03">
            <w:pPr>
              <w:spacing w:line="240" w:lineRule="auto"/>
              <w:ind w:firstLine="0" w:firstLineChars="0"/>
              <w:jc w:val="center"/>
              <w:rPr>
                <w:color w:val="auto"/>
                <w:sz w:val="21"/>
                <w:szCs w:val="21"/>
                <w:highlight w:val="none"/>
                <w:u w:val="single"/>
              </w:rPr>
            </w:pPr>
            <w:r>
              <w:rPr>
                <w:color w:val="auto"/>
                <w:sz w:val="21"/>
                <w:szCs w:val="21"/>
                <w:highlight w:val="none"/>
                <w:u w:val="single"/>
              </w:rPr>
              <w:t>0.183</w:t>
            </w:r>
          </w:p>
        </w:tc>
      </w:tr>
      <w:tr w14:paraId="2EA4E1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4B1CBB7E">
            <w:pPr>
              <w:spacing w:line="240" w:lineRule="auto"/>
              <w:ind w:firstLine="0" w:firstLineChars="0"/>
              <w:jc w:val="center"/>
              <w:rPr>
                <w:bCs/>
                <w:color w:val="auto"/>
                <w:sz w:val="21"/>
                <w:szCs w:val="21"/>
                <w:highlight w:val="none"/>
                <w:u w:val="single"/>
              </w:rPr>
            </w:pPr>
          </w:p>
        </w:tc>
        <w:tc>
          <w:tcPr>
            <w:tcW w:w="509" w:type="pct"/>
            <w:vMerge w:val="continue"/>
            <w:tcBorders>
              <w:tl2br w:val="nil"/>
              <w:tr2bl w:val="nil"/>
            </w:tcBorders>
            <w:vAlign w:val="center"/>
          </w:tcPr>
          <w:p w14:paraId="2851A452">
            <w:pPr>
              <w:spacing w:line="240" w:lineRule="auto"/>
              <w:ind w:firstLine="0" w:firstLineChars="0"/>
              <w:jc w:val="center"/>
              <w:rPr>
                <w:bCs/>
                <w:color w:val="auto"/>
                <w:sz w:val="21"/>
                <w:szCs w:val="21"/>
                <w:highlight w:val="none"/>
                <w:u w:val="single"/>
              </w:rPr>
            </w:pPr>
          </w:p>
        </w:tc>
        <w:tc>
          <w:tcPr>
            <w:tcW w:w="756" w:type="pct"/>
            <w:tcBorders>
              <w:tl2br w:val="nil"/>
              <w:tr2bl w:val="nil"/>
            </w:tcBorders>
            <w:vAlign w:val="center"/>
          </w:tcPr>
          <w:p w14:paraId="5F19A592">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硫酸雾</w:t>
            </w:r>
          </w:p>
        </w:tc>
        <w:tc>
          <w:tcPr>
            <w:tcW w:w="674" w:type="pct"/>
            <w:tcBorders>
              <w:tl2br w:val="nil"/>
              <w:tr2bl w:val="nil"/>
            </w:tcBorders>
            <w:vAlign w:val="center"/>
          </w:tcPr>
          <w:p w14:paraId="75F1AC53">
            <w:pPr>
              <w:spacing w:line="240" w:lineRule="auto"/>
              <w:ind w:firstLine="0" w:firstLineChars="0"/>
              <w:jc w:val="center"/>
              <w:rPr>
                <w:color w:val="auto"/>
                <w:sz w:val="21"/>
                <w:szCs w:val="21"/>
                <w:highlight w:val="none"/>
                <w:u w:val="single"/>
              </w:rPr>
            </w:pPr>
            <w:r>
              <w:rPr>
                <w:bCs/>
                <w:color w:val="auto"/>
                <w:sz w:val="21"/>
                <w:szCs w:val="21"/>
                <w:highlight w:val="none"/>
                <w:u w:val="single"/>
              </w:rPr>
              <w:t>0.277</w:t>
            </w:r>
          </w:p>
        </w:tc>
        <w:tc>
          <w:tcPr>
            <w:tcW w:w="635" w:type="pct"/>
            <w:tcBorders>
              <w:tl2br w:val="nil"/>
              <w:tr2bl w:val="nil"/>
            </w:tcBorders>
            <w:vAlign w:val="center"/>
          </w:tcPr>
          <w:p w14:paraId="536CE7A2">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695" w:type="pct"/>
            <w:tcBorders>
              <w:tl2br w:val="nil"/>
              <w:tr2bl w:val="nil"/>
            </w:tcBorders>
            <w:vAlign w:val="center"/>
          </w:tcPr>
          <w:p w14:paraId="13FF18E2">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678" w:type="pct"/>
            <w:tcBorders>
              <w:tl2br w:val="nil"/>
              <w:tr2bl w:val="nil"/>
            </w:tcBorders>
            <w:vAlign w:val="center"/>
          </w:tcPr>
          <w:p w14:paraId="3C6A4036">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785" w:type="pct"/>
            <w:tcBorders>
              <w:tl2br w:val="nil"/>
              <w:tr2bl w:val="nil"/>
            </w:tcBorders>
            <w:vAlign w:val="center"/>
          </w:tcPr>
          <w:p w14:paraId="532E349A">
            <w:pPr>
              <w:spacing w:line="240" w:lineRule="auto"/>
              <w:ind w:firstLine="0" w:firstLineChars="0"/>
              <w:jc w:val="center"/>
              <w:rPr>
                <w:color w:val="auto"/>
                <w:sz w:val="21"/>
                <w:szCs w:val="21"/>
                <w:highlight w:val="none"/>
                <w:u w:val="single"/>
              </w:rPr>
            </w:pPr>
            <w:r>
              <w:rPr>
                <w:bCs/>
                <w:color w:val="auto"/>
                <w:sz w:val="21"/>
                <w:szCs w:val="21"/>
                <w:highlight w:val="none"/>
                <w:u w:val="single"/>
              </w:rPr>
              <w:t>0.277</w:t>
            </w:r>
          </w:p>
        </w:tc>
      </w:tr>
      <w:tr w14:paraId="33FEF7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06752226">
            <w:pPr>
              <w:spacing w:line="240" w:lineRule="auto"/>
              <w:ind w:firstLine="0" w:firstLineChars="0"/>
              <w:jc w:val="center"/>
              <w:rPr>
                <w:bCs/>
                <w:color w:val="auto"/>
                <w:sz w:val="21"/>
                <w:szCs w:val="21"/>
                <w:highlight w:val="none"/>
                <w:u w:val="single"/>
              </w:rPr>
            </w:pPr>
          </w:p>
        </w:tc>
        <w:tc>
          <w:tcPr>
            <w:tcW w:w="509" w:type="pct"/>
            <w:vMerge w:val="continue"/>
            <w:tcBorders>
              <w:tl2br w:val="nil"/>
              <w:tr2bl w:val="nil"/>
            </w:tcBorders>
            <w:vAlign w:val="center"/>
          </w:tcPr>
          <w:p w14:paraId="56ABC367">
            <w:pPr>
              <w:spacing w:line="240" w:lineRule="auto"/>
              <w:ind w:firstLine="0" w:firstLineChars="0"/>
              <w:jc w:val="center"/>
              <w:rPr>
                <w:bCs/>
                <w:color w:val="auto"/>
                <w:sz w:val="21"/>
                <w:szCs w:val="21"/>
                <w:highlight w:val="none"/>
                <w:u w:val="single"/>
              </w:rPr>
            </w:pPr>
          </w:p>
        </w:tc>
        <w:tc>
          <w:tcPr>
            <w:tcW w:w="756" w:type="pct"/>
            <w:tcBorders>
              <w:tl2br w:val="nil"/>
              <w:tr2bl w:val="nil"/>
            </w:tcBorders>
            <w:vAlign w:val="center"/>
          </w:tcPr>
          <w:p w14:paraId="167417B8">
            <w:pPr>
              <w:spacing w:line="240" w:lineRule="auto"/>
              <w:ind w:firstLine="0" w:firstLineChars="0"/>
              <w:jc w:val="center"/>
              <w:rPr>
                <w:bCs/>
                <w:color w:val="auto"/>
                <w:sz w:val="21"/>
                <w:szCs w:val="21"/>
                <w:highlight w:val="none"/>
                <w:u w:val="single"/>
              </w:rPr>
            </w:pPr>
            <w:r>
              <w:rPr>
                <w:bCs/>
                <w:color w:val="auto"/>
                <w:sz w:val="21"/>
                <w:szCs w:val="21"/>
                <w:highlight w:val="none"/>
                <w:u w:val="single"/>
              </w:rPr>
              <w:t>颗粒物</w:t>
            </w:r>
          </w:p>
        </w:tc>
        <w:tc>
          <w:tcPr>
            <w:tcW w:w="674" w:type="pct"/>
            <w:tcBorders>
              <w:tl2br w:val="nil"/>
              <w:tr2bl w:val="nil"/>
            </w:tcBorders>
            <w:vAlign w:val="center"/>
          </w:tcPr>
          <w:p w14:paraId="7EBEA463">
            <w:pPr>
              <w:spacing w:line="240" w:lineRule="auto"/>
              <w:ind w:firstLine="0" w:firstLineChars="0"/>
              <w:jc w:val="center"/>
              <w:rPr>
                <w:bCs/>
                <w:color w:val="auto"/>
                <w:sz w:val="21"/>
                <w:szCs w:val="21"/>
                <w:highlight w:val="none"/>
                <w:u w:val="single"/>
              </w:rPr>
            </w:pPr>
            <w:r>
              <w:rPr>
                <w:bCs/>
                <w:color w:val="auto"/>
                <w:sz w:val="21"/>
                <w:szCs w:val="21"/>
                <w:highlight w:val="none"/>
                <w:u w:val="single"/>
              </w:rPr>
              <w:t>/</w:t>
            </w:r>
          </w:p>
        </w:tc>
        <w:tc>
          <w:tcPr>
            <w:tcW w:w="635" w:type="pct"/>
            <w:tcBorders>
              <w:tl2br w:val="nil"/>
              <w:tr2bl w:val="nil"/>
            </w:tcBorders>
            <w:vAlign w:val="center"/>
          </w:tcPr>
          <w:p w14:paraId="72B57328">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695" w:type="pct"/>
            <w:tcBorders>
              <w:tl2br w:val="nil"/>
              <w:tr2bl w:val="nil"/>
            </w:tcBorders>
            <w:vAlign w:val="center"/>
          </w:tcPr>
          <w:p w14:paraId="360FB5DA">
            <w:pPr>
              <w:spacing w:line="240" w:lineRule="auto"/>
              <w:ind w:firstLine="0" w:firstLineChars="0"/>
              <w:jc w:val="center"/>
              <w:rPr>
                <w:color w:val="auto"/>
                <w:sz w:val="21"/>
                <w:szCs w:val="21"/>
                <w:highlight w:val="none"/>
                <w:u w:val="single"/>
              </w:rPr>
            </w:pPr>
            <w:r>
              <w:rPr>
                <w:color w:val="auto"/>
                <w:sz w:val="21"/>
                <w:szCs w:val="21"/>
                <w:highlight w:val="none"/>
                <w:u w:val="single"/>
              </w:rPr>
              <w:t>0.18</w:t>
            </w:r>
          </w:p>
        </w:tc>
        <w:tc>
          <w:tcPr>
            <w:tcW w:w="678" w:type="pct"/>
            <w:tcBorders>
              <w:tl2br w:val="nil"/>
              <w:tr2bl w:val="nil"/>
            </w:tcBorders>
            <w:vAlign w:val="center"/>
          </w:tcPr>
          <w:p w14:paraId="13C02A77">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785" w:type="pct"/>
            <w:tcBorders>
              <w:tl2br w:val="nil"/>
              <w:tr2bl w:val="nil"/>
            </w:tcBorders>
            <w:vAlign w:val="center"/>
          </w:tcPr>
          <w:p w14:paraId="4E29C888">
            <w:pPr>
              <w:spacing w:line="240" w:lineRule="auto"/>
              <w:ind w:firstLine="0" w:firstLineChars="0"/>
              <w:jc w:val="center"/>
              <w:rPr>
                <w:color w:val="auto"/>
                <w:sz w:val="21"/>
                <w:szCs w:val="21"/>
                <w:highlight w:val="none"/>
                <w:u w:val="single"/>
              </w:rPr>
            </w:pPr>
            <w:r>
              <w:rPr>
                <w:color w:val="auto"/>
                <w:sz w:val="21"/>
                <w:szCs w:val="21"/>
                <w:highlight w:val="none"/>
                <w:u w:val="single"/>
              </w:rPr>
              <w:t>0.18</w:t>
            </w:r>
          </w:p>
        </w:tc>
      </w:tr>
      <w:tr w14:paraId="64DDE8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575D5728">
            <w:pPr>
              <w:spacing w:line="240" w:lineRule="auto"/>
              <w:ind w:firstLine="0" w:firstLineChars="0"/>
              <w:jc w:val="center"/>
              <w:rPr>
                <w:bCs/>
                <w:color w:val="auto"/>
                <w:sz w:val="21"/>
                <w:szCs w:val="21"/>
                <w:highlight w:val="none"/>
                <w:u w:val="single"/>
              </w:rPr>
            </w:pPr>
          </w:p>
        </w:tc>
        <w:tc>
          <w:tcPr>
            <w:tcW w:w="509" w:type="pct"/>
            <w:vMerge w:val="continue"/>
            <w:tcBorders>
              <w:tl2br w:val="nil"/>
              <w:tr2bl w:val="nil"/>
            </w:tcBorders>
            <w:vAlign w:val="center"/>
          </w:tcPr>
          <w:p w14:paraId="32E58342">
            <w:pPr>
              <w:spacing w:line="240" w:lineRule="auto"/>
              <w:ind w:firstLine="0" w:firstLineChars="0"/>
              <w:jc w:val="center"/>
              <w:rPr>
                <w:bCs/>
                <w:color w:val="auto"/>
                <w:sz w:val="21"/>
                <w:szCs w:val="21"/>
                <w:highlight w:val="none"/>
                <w:u w:val="single"/>
              </w:rPr>
            </w:pPr>
          </w:p>
        </w:tc>
        <w:tc>
          <w:tcPr>
            <w:tcW w:w="756" w:type="pct"/>
            <w:tcBorders>
              <w:tl2br w:val="nil"/>
              <w:tr2bl w:val="nil"/>
            </w:tcBorders>
            <w:vAlign w:val="center"/>
          </w:tcPr>
          <w:p w14:paraId="29E939C5">
            <w:pPr>
              <w:spacing w:line="240" w:lineRule="auto"/>
              <w:ind w:firstLine="0" w:firstLineChars="0"/>
              <w:jc w:val="center"/>
              <w:rPr>
                <w:bCs/>
                <w:color w:val="auto"/>
                <w:sz w:val="21"/>
                <w:szCs w:val="21"/>
                <w:highlight w:val="none"/>
                <w:u w:val="single"/>
              </w:rPr>
            </w:pPr>
            <w:r>
              <w:rPr>
                <w:color w:val="auto"/>
                <w:sz w:val="21"/>
                <w:szCs w:val="21"/>
                <w:highlight w:val="none"/>
                <w:u w:val="single"/>
              </w:rPr>
              <w:t>漆雾</w:t>
            </w:r>
          </w:p>
        </w:tc>
        <w:tc>
          <w:tcPr>
            <w:tcW w:w="674" w:type="pct"/>
            <w:tcBorders>
              <w:tl2br w:val="nil"/>
              <w:tr2bl w:val="nil"/>
            </w:tcBorders>
            <w:vAlign w:val="center"/>
          </w:tcPr>
          <w:p w14:paraId="7359F648">
            <w:pPr>
              <w:spacing w:line="240" w:lineRule="auto"/>
              <w:ind w:firstLine="0" w:firstLineChars="0"/>
              <w:jc w:val="center"/>
              <w:rPr>
                <w:bCs/>
                <w:color w:val="auto"/>
                <w:sz w:val="21"/>
                <w:szCs w:val="21"/>
                <w:highlight w:val="none"/>
                <w:u w:val="single"/>
              </w:rPr>
            </w:pPr>
            <w:r>
              <w:rPr>
                <w:bCs/>
                <w:color w:val="auto"/>
                <w:sz w:val="21"/>
                <w:szCs w:val="21"/>
                <w:highlight w:val="none"/>
                <w:u w:val="single"/>
              </w:rPr>
              <w:t>/</w:t>
            </w:r>
          </w:p>
        </w:tc>
        <w:tc>
          <w:tcPr>
            <w:tcW w:w="635" w:type="pct"/>
            <w:tcBorders>
              <w:tl2br w:val="nil"/>
              <w:tr2bl w:val="nil"/>
            </w:tcBorders>
            <w:vAlign w:val="center"/>
          </w:tcPr>
          <w:p w14:paraId="5D4A1F71">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695" w:type="pct"/>
            <w:tcBorders>
              <w:tl2br w:val="nil"/>
              <w:tr2bl w:val="nil"/>
            </w:tcBorders>
            <w:vAlign w:val="center"/>
          </w:tcPr>
          <w:p w14:paraId="7FA5127B">
            <w:pPr>
              <w:spacing w:line="240" w:lineRule="auto"/>
              <w:ind w:firstLine="0" w:firstLineChars="0"/>
              <w:jc w:val="center"/>
              <w:rPr>
                <w:color w:val="auto"/>
                <w:sz w:val="21"/>
                <w:szCs w:val="21"/>
                <w:highlight w:val="none"/>
                <w:u w:val="single"/>
              </w:rPr>
            </w:pPr>
            <w:r>
              <w:rPr>
                <w:color w:val="auto"/>
                <w:sz w:val="21"/>
                <w:szCs w:val="21"/>
                <w:highlight w:val="none"/>
                <w:u w:val="single"/>
              </w:rPr>
              <w:t>0.27</w:t>
            </w:r>
          </w:p>
        </w:tc>
        <w:tc>
          <w:tcPr>
            <w:tcW w:w="678" w:type="pct"/>
            <w:tcBorders>
              <w:tl2br w:val="nil"/>
              <w:tr2bl w:val="nil"/>
            </w:tcBorders>
            <w:vAlign w:val="center"/>
          </w:tcPr>
          <w:p w14:paraId="7AC2F01E">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785" w:type="pct"/>
            <w:tcBorders>
              <w:tl2br w:val="nil"/>
              <w:tr2bl w:val="nil"/>
            </w:tcBorders>
            <w:vAlign w:val="center"/>
          </w:tcPr>
          <w:p w14:paraId="23829D6B">
            <w:pPr>
              <w:spacing w:line="240" w:lineRule="auto"/>
              <w:ind w:firstLine="0" w:firstLineChars="0"/>
              <w:jc w:val="center"/>
              <w:rPr>
                <w:color w:val="auto"/>
                <w:sz w:val="21"/>
                <w:szCs w:val="21"/>
                <w:highlight w:val="none"/>
                <w:u w:val="single"/>
              </w:rPr>
            </w:pPr>
            <w:r>
              <w:rPr>
                <w:color w:val="auto"/>
                <w:sz w:val="21"/>
                <w:szCs w:val="21"/>
                <w:highlight w:val="none"/>
                <w:u w:val="single"/>
              </w:rPr>
              <w:t>0.27</w:t>
            </w:r>
          </w:p>
        </w:tc>
      </w:tr>
      <w:tr w14:paraId="0E0960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30357BF7">
            <w:pPr>
              <w:spacing w:line="240" w:lineRule="auto"/>
              <w:ind w:firstLine="0" w:firstLineChars="0"/>
              <w:jc w:val="center"/>
              <w:rPr>
                <w:bCs/>
                <w:color w:val="auto"/>
                <w:sz w:val="21"/>
                <w:szCs w:val="21"/>
                <w:highlight w:val="none"/>
              </w:rPr>
            </w:pPr>
          </w:p>
        </w:tc>
        <w:tc>
          <w:tcPr>
            <w:tcW w:w="509" w:type="pct"/>
            <w:vMerge w:val="restart"/>
            <w:tcBorders>
              <w:tl2br w:val="nil"/>
              <w:tr2bl w:val="nil"/>
            </w:tcBorders>
            <w:vAlign w:val="center"/>
          </w:tcPr>
          <w:p w14:paraId="0EE17126">
            <w:pPr>
              <w:spacing w:line="240" w:lineRule="auto"/>
              <w:ind w:firstLine="0" w:firstLineChars="0"/>
              <w:jc w:val="center"/>
              <w:rPr>
                <w:bCs/>
                <w:color w:val="auto"/>
                <w:sz w:val="21"/>
                <w:szCs w:val="21"/>
                <w:highlight w:val="none"/>
              </w:rPr>
            </w:pPr>
            <w:r>
              <w:rPr>
                <w:bCs/>
                <w:color w:val="auto"/>
                <w:sz w:val="21"/>
                <w:szCs w:val="21"/>
                <w:highlight w:val="none"/>
              </w:rPr>
              <w:t>无组织</w:t>
            </w:r>
          </w:p>
        </w:tc>
        <w:tc>
          <w:tcPr>
            <w:tcW w:w="756" w:type="pct"/>
            <w:tcBorders>
              <w:tl2br w:val="nil"/>
              <w:tr2bl w:val="nil"/>
            </w:tcBorders>
            <w:vAlign w:val="center"/>
          </w:tcPr>
          <w:p w14:paraId="79BE7E0A">
            <w:pPr>
              <w:spacing w:line="240" w:lineRule="auto"/>
              <w:ind w:firstLine="0" w:firstLineChars="0"/>
              <w:jc w:val="center"/>
              <w:rPr>
                <w:bCs/>
                <w:color w:val="auto"/>
                <w:sz w:val="21"/>
                <w:szCs w:val="21"/>
                <w:highlight w:val="none"/>
              </w:rPr>
            </w:pPr>
            <w:r>
              <w:rPr>
                <w:bCs/>
                <w:color w:val="auto"/>
                <w:sz w:val="21"/>
                <w:szCs w:val="21"/>
                <w:highlight w:val="none"/>
              </w:rPr>
              <w:t>颗粒物</w:t>
            </w:r>
          </w:p>
        </w:tc>
        <w:tc>
          <w:tcPr>
            <w:tcW w:w="674" w:type="pct"/>
            <w:tcBorders>
              <w:tl2br w:val="nil"/>
              <w:tr2bl w:val="nil"/>
            </w:tcBorders>
            <w:vAlign w:val="center"/>
          </w:tcPr>
          <w:p w14:paraId="1BF65187">
            <w:pPr>
              <w:spacing w:line="240" w:lineRule="auto"/>
              <w:ind w:firstLine="0" w:firstLineChars="0"/>
              <w:jc w:val="center"/>
              <w:rPr>
                <w:bCs/>
                <w:color w:val="auto"/>
                <w:sz w:val="21"/>
                <w:szCs w:val="21"/>
                <w:highlight w:val="none"/>
              </w:rPr>
            </w:pPr>
            <w:r>
              <w:rPr>
                <w:rFonts w:hint="eastAsia"/>
                <w:bCs/>
                <w:color w:val="auto"/>
                <w:sz w:val="21"/>
                <w:szCs w:val="21"/>
                <w:highlight w:val="none"/>
              </w:rPr>
              <w:t>4.82</w:t>
            </w:r>
          </w:p>
        </w:tc>
        <w:tc>
          <w:tcPr>
            <w:tcW w:w="635" w:type="pct"/>
            <w:tcBorders>
              <w:tl2br w:val="nil"/>
              <w:tr2bl w:val="nil"/>
            </w:tcBorders>
            <w:vAlign w:val="center"/>
          </w:tcPr>
          <w:p w14:paraId="53A26050">
            <w:pPr>
              <w:spacing w:line="240" w:lineRule="auto"/>
              <w:ind w:firstLine="0" w:firstLineChars="0"/>
              <w:jc w:val="center"/>
              <w:rPr>
                <w:color w:val="auto"/>
                <w:sz w:val="21"/>
                <w:szCs w:val="21"/>
                <w:highlight w:val="none"/>
              </w:rPr>
            </w:pPr>
            <w:r>
              <w:rPr>
                <w:color w:val="auto"/>
                <w:sz w:val="21"/>
                <w:szCs w:val="21"/>
                <w:highlight w:val="none"/>
              </w:rPr>
              <w:t xml:space="preserve">0.124  </w:t>
            </w:r>
          </w:p>
        </w:tc>
        <w:tc>
          <w:tcPr>
            <w:tcW w:w="695" w:type="pct"/>
            <w:tcBorders>
              <w:tl2br w:val="nil"/>
              <w:tr2bl w:val="nil"/>
            </w:tcBorders>
            <w:vAlign w:val="center"/>
          </w:tcPr>
          <w:p w14:paraId="1755C6B7">
            <w:pPr>
              <w:spacing w:line="240" w:lineRule="auto"/>
              <w:ind w:firstLine="0" w:firstLineChars="0"/>
              <w:jc w:val="center"/>
              <w:rPr>
                <w:color w:val="auto"/>
                <w:sz w:val="21"/>
                <w:szCs w:val="21"/>
                <w:highlight w:val="none"/>
              </w:rPr>
            </w:pPr>
            <w:r>
              <w:rPr>
                <w:color w:val="auto"/>
                <w:sz w:val="21"/>
                <w:szCs w:val="21"/>
                <w:highlight w:val="none"/>
              </w:rPr>
              <w:t>2.264</w:t>
            </w:r>
          </w:p>
        </w:tc>
        <w:tc>
          <w:tcPr>
            <w:tcW w:w="678" w:type="pct"/>
            <w:tcBorders>
              <w:tl2br w:val="nil"/>
              <w:tr2bl w:val="nil"/>
            </w:tcBorders>
            <w:vAlign w:val="center"/>
          </w:tcPr>
          <w:p w14:paraId="50B5124D">
            <w:pPr>
              <w:spacing w:line="240" w:lineRule="auto"/>
              <w:ind w:firstLine="0" w:firstLineChars="0"/>
              <w:jc w:val="center"/>
              <w:rPr>
                <w:color w:val="auto"/>
                <w:sz w:val="21"/>
                <w:szCs w:val="21"/>
                <w:highlight w:val="none"/>
              </w:rPr>
            </w:pPr>
            <w:r>
              <w:rPr>
                <w:color w:val="auto"/>
                <w:sz w:val="21"/>
                <w:szCs w:val="21"/>
                <w:highlight w:val="none"/>
              </w:rPr>
              <w:t>1.864</w:t>
            </w:r>
          </w:p>
        </w:tc>
        <w:tc>
          <w:tcPr>
            <w:tcW w:w="785" w:type="pct"/>
            <w:tcBorders>
              <w:tl2br w:val="nil"/>
              <w:tr2bl w:val="nil"/>
            </w:tcBorders>
            <w:vAlign w:val="center"/>
          </w:tcPr>
          <w:p w14:paraId="4D8BFA2D">
            <w:pPr>
              <w:spacing w:line="240" w:lineRule="auto"/>
              <w:ind w:firstLine="0" w:firstLineChars="0"/>
              <w:jc w:val="center"/>
              <w:rPr>
                <w:color w:val="auto"/>
                <w:sz w:val="21"/>
                <w:szCs w:val="21"/>
                <w:highlight w:val="none"/>
              </w:rPr>
            </w:pPr>
            <w:r>
              <w:rPr>
                <w:rFonts w:hint="eastAsia"/>
                <w:color w:val="auto"/>
                <w:sz w:val="21"/>
                <w:szCs w:val="21"/>
                <w:highlight w:val="none"/>
              </w:rPr>
              <w:t>9.072</w:t>
            </w:r>
          </w:p>
        </w:tc>
      </w:tr>
      <w:tr w14:paraId="255CA3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18D71526">
            <w:pPr>
              <w:spacing w:line="240" w:lineRule="auto"/>
              <w:ind w:firstLine="0" w:firstLineChars="0"/>
              <w:jc w:val="center"/>
              <w:rPr>
                <w:bCs/>
                <w:color w:val="auto"/>
                <w:sz w:val="21"/>
                <w:szCs w:val="21"/>
                <w:highlight w:val="none"/>
              </w:rPr>
            </w:pPr>
          </w:p>
        </w:tc>
        <w:tc>
          <w:tcPr>
            <w:tcW w:w="509" w:type="pct"/>
            <w:vMerge w:val="continue"/>
            <w:tcBorders>
              <w:tl2br w:val="nil"/>
              <w:tr2bl w:val="nil"/>
            </w:tcBorders>
            <w:vAlign w:val="center"/>
          </w:tcPr>
          <w:p w14:paraId="0E53121F">
            <w:pPr>
              <w:spacing w:line="240" w:lineRule="auto"/>
              <w:ind w:firstLine="0" w:firstLineChars="0"/>
              <w:jc w:val="center"/>
              <w:rPr>
                <w:bCs/>
                <w:color w:val="auto"/>
                <w:sz w:val="21"/>
                <w:szCs w:val="21"/>
                <w:highlight w:val="none"/>
              </w:rPr>
            </w:pPr>
          </w:p>
        </w:tc>
        <w:tc>
          <w:tcPr>
            <w:tcW w:w="756" w:type="pct"/>
            <w:tcBorders>
              <w:tl2br w:val="nil"/>
              <w:tr2bl w:val="nil"/>
            </w:tcBorders>
            <w:vAlign w:val="center"/>
          </w:tcPr>
          <w:p w14:paraId="23EAF566">
            <w:pPr>
              <w:spacing w:line="240" w:lineRule="auto"/>
              <w:ind w:firstLine="0" w:firstLineChars="0"/>
              <w:jc w:val="center"/>
              <w:rPr>
                <w:bCs/>
                <w:color w:val="auto"/>
                <w:sz w:val="21"/>
                <w:szCs w:val="21"/>
                <w:highlight w:val="none"/>
              </w:rPr>
            </w:pPr>
            <w:r>
              <w:rPr>
                <w:bCs/>
                <w:color w:val="auto"/>
                <w:sz w:val="21"/>
                <w:szCs w:val="21"/>
                <w:highlight w:val="none"/>
              </w:rPr>
              <w:t>漆雾</w:t>
            </w:r>
          </w:p>
        </w:tc>
        <w:tc>
          <w:tcPr>
            <w:tcW w:w="674" w:type="pct"/>
            <w:tcBorders>
              <w:tl2br w:val="nil"/>
              <w:tr2bl w:val="nil"/>
            </w:tcBorders>
            <w:vAlign w:val="center"/>
          </w:tcPr>
          <w:p w14:paraId="07D4FE22">
            <w:pPr>
              <w:spacing w:line="240" w:lineRule="auto"/>
              <w:ind w:firstLine="0" w:firstLineChars="0"/>
              <w:jc w:val="center"/>
              <w:rPr>
                <w:bCs/>
                <w:color w:val="auto"/>
                <w:sz w:val="21"/>
                <w:szCs w:val="21"/>
                <w:highlight w:val="none"/>
              </w:rPr>
            </w:pPr>
            <w:r>
              <w:rPr>
                <w:rFonts w:hint="eastAsia"/>
                <w:bCs/>
                <w:color w:val="auto"/>
                <w:sz w:val="21"/>
                <w:szCs w:val="21"/>
                <w:highlight w:val="none"/>
              </w:rPr>
              <w:t>5.15</w:t>
            </w:r>
          </w:p>
        </w:tc>
        <w:tc>
          <w:tcPr>
            <w:tcW w:w="635" w:type="pct"/>
            <w:tcBorders>
              <w:tl2br w:val="nil"/>
              <w:tr2bl w:val="nil"/>
            </w:tcBorders>
            <w:vAlign w:val="center"/>
          </w:tcPr>
          <w:p w14:paraId="11261B0C">
            <w:pPr>
              <w:spacing w:line="240" w:lineRule="auto"/>
              <w:ind w:firstLine="0" w:firstLineChars="0"/>
              <w:jc w:val="center"/>
              <w:rPr>
                <w:color w:val="auto"/>
                <w:sz w:val="21"/>
                <w:szCs w:val="21"/>
                <w:highlight w:val="none"/>
              </w:rPr>
            </w:pPr>
            <w:r>
              <w:rPr>
                <w:bCs/>
                <w:color w:val="auto"/>
                <w:sz w:val="21"/>
                <w:szCs w:val="21"/>
                <w:highlight w:val="none"/>
              </w:rPr>
              <w:t>/</w:t>
            </w:r>
          </w:p>
        </w:tc>
        <w:tc>
          <w:tcPr>
            <w:tcW w:w="695" w:type="pct"/>
            <w:tcBorders>
              <w:tl2br w:val="nil"/>
              <w:tr2bl w:val="nil"/>
            </w:tcBorders>
            <w:vAlign w:val="center"/>
          </w:tcPr>
          <w:p w14:paraId="7DE853C7">
            <w:pPr>
              <w:spacing w:line="240" w:lineRule="auto"/>
              <w:ind w:firstLine="0" w:firstLineChars="0"/>
              <w:jc w:val="center"/>
              <w:rPr>
                <w:bCs/>
                <w:color w:val="auto"/>
                <w:sz w:val="21"/>
                <w:szCs w:val="21"/>
                <w:highlight w:val="none"/>
              </w:rPr>
            </w:pPr>
            <w:r>
              <w:rPr>
                <w:bCs/>
                <w:color w:val="auto"/>
                <w:sz w:val="21"/>
                <w:szCs w:val="21"/>
                <w:highlight w:val="none"/>
              </w:rPr>
              <w:t>0.6</w:t>
            </w:r>
          </w:p>
        </w:tc>
        <w:tc>
          <w:tcPr>
            <w:tcW w:w="678" w:type="pct"/>
            <w:tcBorders>
              <w:tl2br w:val="nil"/>
              <w:tr2bl w:val="nil"/>
            </w:tcBorders>
            <w:vAlign w:val="center"/>
          </w:tcPr>
          <w:p w14:paraId="54E2F0E1">
            <w:pPr>
              <w:spacing w:line="240" w:lineRule="auto"/>
              <w:ind w:firstLine="0" w:firstLineChars="0"/>
              <w:jc w:val="center"/>
              <w:rPr>
                <w:color w:val="auto"/>
                <w:sz w:val="21"/>
                <w:szCs w:val="21"/>
                <w:highlight w:val="none"/>
              </w:rPr>
            </w:pPr>
            <w:r>
              <w:rPr>
                <w:bCs/>
                <w:color w:val="auto"/>
                <w:sz w:val="21"/>
                <w:szCs w:val="21"/>
                <w:highlight w:val="none"/>
              </w:rPr>
              <w:t>/</w:t>
            </w:r>
          </w:p>
        </w:tc>
        <w:tc>
          <w:tcPr>
            <w:tcW w:w="785" w:type="pct"/>
            <w:tcBorders>
              <w:tl2br w:val="nil"/>
              <w:tr2bl w:val="nil"/>
            </w:tcBorders>
            <w:vAlign w:val="center"/>
          </w:tcPr>
          <w:p w14:paraId="213FBDAF">
            <w:pPr>
              <w:spacing w:line="240" w:lineRule="auto"/>
              <w:ind w:firstLine="0" w:firstLineChars="0"/>
              <w:jc w:val="center"/>
              <w:rPr>
                <w:color w:val="auto"/>
                <w:sz w:val="21"/>
                <w:szCs w:val="21"/>
                <w:highlight w:val="none"/>
              </w:rPr>
            </w:pPr>
            <w:r>
              <w:rPr>
                <w:color w:val="auto"/>
                <w:sz w:val="21"/>
                <w:szCs w:val="21"/>
                <w:highlight w:val="none"/>
              </w:rPr>
              <w:t>5.75</w:t>
            </w:r>
          </w:p>
        </w:tc>
      </w:tr>
      <w:tr w14:paraId="573FA6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6DEC4BC3">
            <w:pPr>
              <w:spacing w:line="240" w:lineRule="auto"/>
              <w:ind w:firstLine="0" w:firstLineChars="0"/>
              <w:jc w:val="center"/>
              <w:rPr>
                <w:bCs/>
                <w:color w:val="auto"/>
                <w:sz w:val="21"/>
                <w:szCs w:val="21"/>
                <w:highlight w:val="none"/>
              </w:rPr>
            </w:pPr>
          </w:p>
        </w:tc>
        <w:tc>
          <w:tcPr>
            <w:tcW w:w="509" w:type="pct"/>
            <w:vMerge w:val="continue"/>
            <w:tcBorders>
              <w:tl2br w:val="nil"/>
              <w:tr2bl w:val="nil"/>
            </w:tcBorders>
            <w:vAlign w:val="center"/>
          </w:tcPr>
          <w:p w14:paraId="1D2358F3">
            <w:pPr>
              <w:spacing w:line="240" w:lineRule="auto"/>
              <w:ind w:firstLine="0" w:firstLineChars="0"/>
              <w:jc w:val="center"/>
              <w:rPr>
                <w:bCs/>
                <w:color w:val="auto"/>
                <w:sz w:val="21"/>
                <w:szCs w:val="21"/>
                <w:highlight w:val="none"/>
              </w:rPr>
            </w:pPr>
          </w:p>
        </w:tc>
        <w:tc>
          <w:tcPr>
            <w:tcW w:w="756" w:type="pct"/>
            <w:tcBorders>
              <w:tl2br w:val="nil"/>
              <w:tr2bl w:val="nil"/>
            </w:tcBorders>
            <w:vAlign w:val="center"/>
          </w:tcPr>
          <w:p w14:paraId="70182556">
            <w:pPr>
              <w:spacing w:line="240" w:lineRule="auto"/>
              <w:ind w:firstLine="0" w:firstLineChars="0"/>
              <w:jc w:val="center"/>
              <w:rPr>
                <w:bCs/>
                <w:color w:val="auto"/>
                <w:sz w:val="21"/>
                <w:szCs w:val="21"/>
                <w:highlight w:val="none"/>
              </w:rPr>
            </w:pPr>
            <w:r>
              <w:rPr>
                <w:rFonts w:hint="eastAsia"/>
                <w:bCs/>
                <w:color w:val="auto"/>
                <w:sz w:val="21"/>
                <w:szCs w:val="21"/>
                <w:highlight w:val="none"/>
              </w:rPr>
              <w:t>T</w:t>
            </w:r>
            <w:r>
              <w:rPr>
                <w:bCs/>
                <w:color w:val="auto"/>
                <w:sz w:val="21"/>
                <w:szCs w:val="21"/>
                <w:highlight w:val="none"/>
              </w:rPr>
              <w:t>VOC</w:t>
            </w:r>
          </w:p>
        </w:tc>
        <w:tc>
          <w:tcPr>
            <w:tcW w:w="674" w:type="pct"/>
            <w:tcBorders>
              <w:tl2br w:val="nil"/>
              <w:tr2bl w:val="nil"/>
            </w:tcBorders>
            <w:vAlign w:val="center"/>
          </w:tcPr>
          <w:p w14:paraId="695D43E2">
            <w:pPr>
              <w:spacing w:line="240" w:lineRule="auto"/>
              <w:ind w:firstLine="0" w:firstLineChars="0"/>
              <w:jc w:val="center"/>
              <w:rPr>
                <w:bCs/>
                <w:color w:val="auto"/>
                <w:sz w:val="21"/>
                <w:szCs w:val="21"/>
                <w:highlight w:val="none"/>
              </w:rPr>
            </w:pPr>
            <w:r>
              <w:rPr>
                <w:rFonts w:hint="eastAsia"/>
                <w:bCs/>
                <w:color w:val="auto"/>
                <w:sz w:val="21"/>
                <w:szCs w:val="21"/>
                <w:highlight w:val="none"/>
              </w:rPr>
              <w:t>58.86</w:t>
            </w:r>
          </w:p>
        </w:tc>
        <w:tc>
          <w:tcPr>
            <w:tcW w:w="635" w:type="pct"/>
            <w:tcBorders>
              <w:tl2br w:val="nil"/>
              <w:tr2bl w:val="nil"/>
            </w:tcBorders>
            <w:vAlign w:val="center"/>
          </w:tcPr>
          <w:p w14:paraId="3A0227D1">
            <w:pPr>
              <w:spacing w:line="240" w:lineRule="auto"/>
              <w:ind w:firstLine="0" w:firstLineChars="0"/>
              <w:jc w:val="center"/>
              <w:rPr>
                <w:bCs/>
                <w:color w:val="auto"/>
                <w:sz w:val="21"/>
                <w:szCs w:val="21"/>
                <w:highlight w:val="none"/>
              </w:rPr>
            </w:pPr>
            <w:r>
              <w:rPr>
                <w:bCs/>
                <w:color w:val="auto"/>
                <w:sz w:val="21"/>
                <w:szCs w:val="21"/>
                <w:highlight w:val="none"/>
              </w:rPr>
              <w:t>/</w:t>
            </w:r>
          </w:p>
        </w:tc>
        <w:tc>
          <w:tcPr>
            <w:tcW w:w="695" w:type="pct"/>
            <w:tcBorders>
              <w:tl2br w:val="nil"/>
              <w:tr2bl w:val="nil"/>
            </w:tcBorders>
            <w:vAlign w:val="center"/>
          </w:tcPr>
          <w:p w14:paraId="7FBE5A48">
            <w:pPr>
              <w:spacing w:line="240" w:lineRule="auto"/>
              <w:ind w:firstLine="0" w:firstLineChars="0"/>
              <w:jc w:val="center"/>
              <w:rPr>
                <w:bCs/>
                <w:color w:val="auto"/>
                <w:sz w:val="21"/>
                <w:szCs w:val="21"/>
                <w:highlight w:val="none"/>
              </w:rPr>
            </w:pPr>
            <w:r>
              <w:rPr>
                <w:color w:val="auto"/>
                <w:sz w:val="21"/>
                <w:szCs w:val="21"/>
                <w:highlight w:val="none"/>
              </w:rPr>
              <w:t xml:space="preserve">5.54  </w:t>
            </w:r>
          </w:p>
        </w:tc>
        <w:tc>
          <w:tcPr>
            <w:tcW w:w="678" w:type="pct"/>
            <w:tcBorders>
              <w:tl2br w:val="nil"/>
              <w:tr2bl w:val="nil"/>
            </w:tcBorders>
            <w:vAlign w:val="center"/>
          </w:tcPr>
          <w:p w14:paraId="449A88CC">
            <w:pPr>
              <w:spacing w:line="240" w:lineRule="auto"/>
              <w:ind w:firstLine="0" w:firstLineChars="0"/>
              <w:jc w:val="center"/>
              <w:rPr>
                <w:color w:val="auto"/>
                <w:sz w:val="21"/>
                <w:szCs w:val="21"/>
                <w:highlight w:val="none"/>
              </w:rPr>
            </w:pPr>
            <w:r>
              <w:rPr>
                <w:color w:val="auto"/>
                <w:sz w:val="21"/>
                <w:szCs w:val="21"/>
                <w:highlight w:val="none"/>
              </w:rPr>
              <w:t>0.47</w:t>
            </w:r>
          </w:p>
        </w:tc>
        <w:tc>
          <w:tcPr>
            <w:tcW w:w="785" w:type="pct"/>
            <w:tcBorders>
              <w:tl2br w:val="nil"/>
              <w:tr2bl w:val="nil"/>
            </w:tcBorders>
            <w:vAlign w:val="center"/>
          </w:tcPr>
          <w:p w14:paraId="777ED1B3">
            <w:pPr>
              <w:spacing w:line="240" w:lineRule="auto"/>
              <w:ind w:firstLine="0" w:firstLineChars="0"/>
              <w:jc w:val="center"/>
              <w:rPr>
                <w:color w:val="auto"/>
                <w:sz w:val="21"/>
                <w:szCs w:val="21"/>
                <w:highlight w:val="none"/>
              </w:rPr>
            </w:pPr>
            <w:r>
              <w:rPr>
                <w:color w:val="auto"/>
                <w:sz w:val="21"/>
                <w:szCs w:val="21"/>
                <w:highlight w:val="none"/>
              </w:rPr>
              <w:t>64.87</w:t>
            </w:r>
          </w:p>
        </w:tc>
      </w:tr>
      <w:tr w14:paraId="0081B7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3FEFF4F2">
            <w:pPr>
              <w:spacing w:line="240" w:lineRule="auto"/>
              <w:ind w:firstLine="0" w:firstLineChars="0"/>
              <w:jc w:val="center"/>
              <w:rPr>
                <w:bCs/>
                <w:color w:val="auto"/>
                <w:sz w:val="21"/>
                <w:szCs w:val="21"/>
                <w:highlight w:val="none"/>
              </w:rPr>
            </w:pPr>
          </w:p>
        </w:tc>
        <w:tc>
          <w:tcPr>
            <w:tcW w:w="509" w:type="pct"/>
            <w:vMerge w:val="continue"/>
            <w:tcBorders>
              <w:tl2br w:val="nil"/>
              <w:tr2bl w:val="nil"/>
            </w:tcBorders>
            <w:vAlign w:val="center"/>
          </w:tcPr>
          <w:p w14:paraId="7394D143">
            <w:pPr>
              <w:spacing w:line="240" w:lineRule="auto"/>
              <w:ind w:firstLine="0" w:firstLineChars="0"/>
              <w:jc w:val="center"/>
              <w:rPr>
                <w:bCs/>
                <w:color w:val="auto"/>
                <w:sz w:val="21"/>
                <w:szCs w:val="21"/>
                <w:highlight w:val="none"/>
              </w:rPr>
            </w:pPr>
          </w:p>
        </w:tc>
        <w:tc>
          <w:tcPr>
            <w:tcW w:w="756" w:type="pct"/>
            <w:tcBorders>
              <w:tl2br w:val="nil"/>
              <w:tr2bl w:val="nil"/>
            </w:tcBorders>
            <w:vAlign w:val="center"/>
          </w:tcPr>
          <w:p w14:paraId="2F2CE004">
            <w:pPr>
              <w:spacing w:line="240" w:lineRule="auto"/>
              <w:ind w:firstLine="0" w:firstLineChars="0"/>
              <w:jc w:val="center"/>
              <w:rPr>
                <w:bCs/>
                <w:color w:val="auto"/>
                <w:sz w:val="21"/>
                <w:szCs w:val="21"/>
                <w:highlight w:val="none"/>
              </w:rPr>
            </w:pPr>
            <w:r>
              <w:rPr>
                <w:bCs/>
                <w:color w:val="auto"/>
                <w:sz w:val="21"/>
                <w:szCs w:val="21"/>
                <w:highlight w:val="none"/>
              </w:rPr>
              <w:t>二甲苯</w:t>
            </w:r>
          </w:p>
        </w:tc>
        <w:tc>
          <w:tcPr>
            <w:tcW w:w="674" w:type="pct"/>
            <w:tcBorders>
              <w:tl2br w:val="nil"/>
              <w:tr2bl w:val="nil"/>
            </w:tcBorders>
            <w:vAlign w:val="center"/>
          </w:tcPr>
          <w:p w14:paraId="679AC9D9">
            <w:pPr>
              <w:spacing w:line="240" w:lineRule="auto"/>
              <w:ind w:firstLine="0" w:firstLineChars="0"/>
              <w:jc w:val="center"/>
              <w:rPr>
                <w:bCs/>
                <w:color w:val="auto"/>
                <w:sz w:val="21"/>
                <w:szCs w:val="21"/>
                <w:highlight w:val="none"/>
              </w:rPr>
            </w:pPr>
            <w:r>
              <w:rPr>
                <w:rFonts w:hint="eastAsia"/>
                <w:bCs/>
                <w:color w:val="auto"/>
                <w:sz w:val="21"/>
                <w:szCs w:val="21"/>
                <w:highlight w:val="none"/>
              </w:rPr>
              <w:t>14.71</w:t>
            </w:r>
          </w:p>
        </w:tc>
        <w:tc>
          <w:tcPr>
            <w:tcW w:w="635" w:type="pct"/>
            <w:tcBorders>
              <w:tl2br w:val="nil"/>
              <w:tr2bl w:val="nil"/>
            </w:tcBorders>
            <w:vAlign w:val="center"/>
          </w:tcPr>
          <w:p w14:paraId="383E8637">
            <w:pPr>
              <w:spacing w:line="240" w:lineRule="auto"/>
              <w:ind w:firstLine="0" w:firstLineChars="0"/>
              <w:jc w:val="center"/>
              <w:rPr>
                <w:bCs/>
                <w:color w:val="auto"/>
                <w:sz w:val="21"/>
                <w:szCs w:val="21"/>
                <w:highlight w:val="none"/>
              </w:rPr>
            </w:pPr>
            <w:r>
              <w:rPr>
                <w:bCs/>
                <w:color w:val="auto"/>
                <w:sz w:val="21"/>
                <w:szCs w:val="21"/>
                <w:highlight w:val="none"/>
              </w:rPr>
              <w:t>/</w:t>
            </w:r>
          </w:p>
        </w:tc>
        <w:tc>
          <w:tcPr>
            <w:tcW w:w="695" w:type="pct"/>
            <w:tcBorders>
              <w:tl2br w:val="nil"/>
              <w:tr2bl w:val="nil"/>
            </w:tcBorders>
            <w:vAlign w:val="center"/>
          </w:tcPr>
          <w:p w14:paraId="51AFB389">
            <w:pPr>
              <w:spacing w:line="240" w:lineRule="auto"/>
              <w:ind w:firstLine="0" w:firstLineChars="0"/>
              <w:jc w:val="center"/>
              <w:rPr>
                <w:bCs/>
                <w:color w:val="auto"/>
                <w:sz w:val="21"/>
                <w:szCs w:val="21"/>
                <w:highlight w:val="none"/>
              </w:rPr>
            </w:pPr>
            <w:r>
              <w:rPr>
                <w:color w:val="auto"/>
                <w:sz w:val="21"/>
                <w:szCs w:val="21"/>
                <w:highlight w:val="none"/>
              </w:rPr>
              <w:t xml:space="preserve">2.16  </w:t>
            </w:r>
          </w:p>
        </w:tc>
        <w:tc>
          <w:tcPr>
            <w:tcW w:w="678" w:type="pct"/>
            <w:tcBorders>
              <w:tl2br w:val="nil"/>
              <w:tr2bl w:val="nil"/>
            </w:tcBorders>
            <w:vAlign w:val="center"/>
          </w:tcPr>
          <w:p w14:paraId="5C877A84">
            <w:pPr>
              <w:spacing w:line="240" w:lineRule="auto"/>
              <w:ind w:firstLine="0" w:firstLineChars="0"/>
              <w:jc w:val="center"/>
              <w:rPr>
                <w:color w:val="auto"/>
                <w:sz w:val="21"/>
                <w:szCs w:val="21"/>
                <w:highlight w:val="none"/>
              </w:rPr>
            </w:pPr>
            <w:r>
              <w:rPr>
                <w:color w:val="auto"/>
                <w:sz w:val="21"/>
                <w:szCs w:val="21"/>
                <w:highlight w:val="none"/>
              </w:rPr>
              <w:t>0.12</w:t>
            </w:r>
          </w:p>
        </w:tc>
        <w:tc>
          <w:tcPr>
            <w:tcW w:w="785" w:type="pct"/>
            <w:tcBorders>
              <w:tl2br w:val="nil"/>
              <w:tr2bl w:val="nil"/>
            </w:tcBorders>
            <w:vAlign w:val="center"/>
          </w:tcPr>
          <w:p w14:paraId="5473FB6F">
            <w:pPr>
              <w:spacing w:line="240" w:lineRule="auto"/>
              <w:ind w:firstLine="0" w:firstLineChars="0"/>
              <w:jc w:val="center"/>
              <w:rPr>
                <w:color w:val="auto"/>
                <w:sz w:val="21"/>
                <w:szCs w:val="21"/>
                <w:highlight w:val="none"/>
              </w:rPr>
            </w:pPr>
            <w:r>
              <w:rPr>
                <w:color w:val="auto"/>
                <w:sz w:val="21"/>
                <w:szCs w:val="21"/>
                <w:highlight w:val="none"/>
              </w:rPr>
              <w:t>16.99</w:t>
            </w:r>
          </w:p>
        </w:tc>
      </w:tr>
      <w:tr w14:paraId="7DBDC9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0B5F071D">
            <w:pPr>
              <w:spacing w:line="240" w:lineRule="auto"/>
              <w:ind w:firstLine="0" w:firstLineChars="0"/>
              <w:jc w:val="center"/>
              <w:rPr>
                <w:bCs/>
                <w:color w:val="auto"/>
                <w:sz w:val="21"/>
                <w:szCs w:val="21"/>
                <w:highlight w:val="none"/>
              </w:rPr>
            </w:pPr>
          </w:p>
        </w:tc>
        <w:tc>
          <w:tcPr>
            <w:tcW w:w="509" w:type="pct"/>
            <w:vMerge w:val="continue"/>
            <w:tcBorders>
              <w:tl2br w:val="nil"/>
              <w:tr2bl w:val="nil"/>
            </w:tcBorders>
            <w:vAlign w:val="center"/>
          </w:tcPr>
          <w:p w14:paraId="57A08B3F">
            <w:pPr>
              <w:spacing w:line="240" w:lineRule="auto"/>
              <w:ind w:firstLine="0" w:firstLineChars="0"/>
              <w:jc w:val="center"/>
              <w:rPr>
                <w:bCs/>
                <w:color w:val="auto"/>
                <w:sz w:val="21"/>
                <w:szCs w:val="21"/>
                <w:highlight w:val="none"/>
              </w:rPr>
            </w:pPr>
          </w:p>
        </w:tc>
        <w:tc>
          <w:tcPr>
            <w:tcW w:w="756" w:type="pct"/>
            <w:tcBorders>
              <w:tl2br w:val="nil"/>
              <w:tr2bl w:val="nil"/>
            </w:tcBorders>
            <w:vAlign w:val="center"/>
          </w:tcPr>
          <w:p w14:paraId="450ADF91">
            <w:pPr>
              <w:spacing w:line="240" w:lineRule="auto"/>
              <w:ind w:firstLine="0" w:firstLineChars="0"/>
              <w:jc w:val="center"/>
              <w:rPr>
                <w:bCs/>
                <w:color w:val="auto"/>
                <w:sz w:val="21"/>
                <w:szCs w:val="21"/>
                <w:highlight w:val="none"/>
              </w:rPr>
            </w:pPr>
            <w:r>
              <w:rPr>
                <w:bCs/>
                <w:color w:val="auto"/>
                <w:sz w:val="21"/>
                <w:szCs w:val="21"/>
                <w:highlight w:val="none"/>
              </w:rPr>
              <w:t>SO</w:t>
            </w:r>
            <w:r>
              <w:rPr>
                <w:bCs/>
                <w:color w:val="auto"/>
                <w:sz w:val="21"/>
                <w:szCs w:val="21"/>
                <w:highlight w:val="none"/>
                <w:vertAlign w:val="subscript"/>
              </w:rPr>
              <w:t>2</w:t>
            </w:r>
          </w:p>
        </w:tc>
        <w:tc>
          <w:tcPr>
            <w:tcW w:w="674" w:type="pct"/>
            <w:tcBorders>
              <w:tl2br w:val="nil"/>
              <w:tr2bl w:val="nil"/>
            </w:tcBorders>
            <w:vAlign w:val="center"/>
          </w:tcPr>
          <w:p w14:paraId="4D2FA095">
            <w:pPr>
              <w:spacing w:line="240" w:lineRule="auto"/>
              <w:ind w:firstLine="0" w:firstLineChars="0"/>
              <w:jc w:val="center"/>
              <w:rPr>
                <w:bCs/>
                <w:color w:val="auto"/>
                <w:sz w:val="21"/>
                <w:szCs w:val="21"/>
                <w:highlight w:val="none"/>
              </w:rPr>
            </w:pPr>
            <w:r>
              <w:rPr>
                <w:bCs/>
                <w:color w:val="auto"/>
                <w:sz w:val="21"/>
                <w:szCs w:val="21"/>
                <w:highlight w:val="none"/>
              </w:rPr>
              <w:t>/</w:t>
            </w:r>
          </w:p>
        </w:tc>
        <w:tc>
          <w:tcPr>
            <w:tcW w:w="635" w:type="pct"/>
            <w:tcBorders>
              <w:tl2br w:val="nil"/>
              <w:tr2bl w:val="nil"/>
            </w:tcBorders>
            <w:vAlign w:val="center"/>
          </w:tcPr>
          <w:p w14:paraId="373044FA">
            <w:pPr>
              <w:spacing w:line="240" w:lineRule="auto"/>
              <w:ind w:firstLine="0" w:firstLineChars="0"/>
              <w:jc w:val="center"/>
              <w:rPr>
                <w:bCs/>
                <w:color w:val="auto"/>
                <w:sz w:val="21"/>
                <w:szCs w:val="21"/>
                <w:highlight w:val="none"/>
              </w:rPr>
            </w:pPr>
            <w:r>
              <w:rPr>
                <w:bCs/>
                <w:color w:val="auto"/>
                <w:sz w:val="21"/>
                <w:szCs w:val="21"/>
                <w:highlight w:val="none"/>
              </w:rPr>
              <w:t xml:space="preserve">0.0042 </w:t>
            </w:r>
          </w:p>
        </w:tc>
        <w:tc>
          <w:tcPr>
            <w:tcW w:w="695" w:type="pct"/>
            <w:tcBorders>
              <w:tl2br w:val="nil"/>
              <w:tr2bl w:val="nil"/>
            </w:tcBorders>
            <w:vAlign w:val="center"/>
          </w:tcPr>
          <w:p w14:paraId="51D30449">
            <w:pPr>
              <w:spacing w:line="240" w:lineRule="auto"/>
              <w:ind w:firstLine="0" w:firstLineChars="0"/>
              <w:jc w:val="center"/>
              <w:rPr>
                <w:bCs/>
                <w:color w:val="auto"/>
                <w:sz w:val="21"/>
                <w:szCs w:val="21"/>
                <w:highlight w:val="none"/>
              </w:rPr>
            </w:pPr>
            <w:r>
              <w:rPr>
                <w:bCs/>
                <w:color w:val="auto"/>
                <w:sz w:val="21"/>
                <w:szCs w:val="21"/>
                <w:highlight w:val="none"/>
              </w:rPr>
              <w:t>/</w:t>
            </w:r>
          </w:p>
        </w:tc>
        <w:tc>
          <w:tcPr>
            <w:tcW w:w="678" w:type="pct"/>
            <w:tcBorders>
              <w:tl2br w:val="nil"/>
              <w:tr2bl w:val="nil"/>
            </w:tcBorders>
            <w:vAlign w:val="center"/>
          </w:tcPr>
          <w:p w14:paraId="275839B7">
            <w:pPr>
              <w:spacing w:line="240" w:lineRule="auto"/>
              <w:ind w:firstLine="0" w:firstLineChars="0"/>
              <w:jc w:val="center"/>
              <w:rPr>
                <w:color w:val="auto"/>
                <w:sz w:val="21"/>
                <w:szCs w:val="21"/>
                <w:highlight w:val="none"/>
              </w:rPr>
            </w:pPr>
            <w:r>
              <w:rPr>
                <w:color w:val="auto"/>
                <w:sz w:val="21"/>
                <w:szCs w:val="21"/>
                <w:highlight w:val="none"/>
              </w:rPr>
              <w:t xml:space="preserve">0.028 </w:t>
            </w:r>
          </w:p>
        </w:tc>
        <w:tc>
          <w:tcPr>
            <w:tcW w:w="785" w:type="pct"/>
            <w:tcBorders>
              <w:tl2br w:val="nil"/>
              <w:tr2bl w:val="nil"/>
            </w:tcBorders>
            <w:vAlign w:val="center"/>
          </w:tcPr>
          <w:p w14:paraId="7EAAE91C">
            <w:pPr>
              <w:spacing w:line="240" w:lineRule="auto"/>
              <w:ind w:firstLine="0" w:firstLineChars="0"/>
              <w:jc w:val="center"/>
              <w:rPr>
                <w:color w:val="auto"/>
                <w:sz w:val="21"/>
                <w:szCs w:val="21"/>
                <w:highlight w:val="none"/>
              </w:rPr>
            </w:pPr>
            <w:r>
              <w:rPr>
                <w:color w:val="auto"/>
                <w:sz w:val="21"/>
                <w:szCs w:val="21"/>
                <w:highlight w:val="none"/>
              </w:rPr>
              <w:t>0.0322</w:t>
            </w:r>
          </w:p>
        </w:tc>
      </w:tr>
      <w:tr w14:paraId="1CC70B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74F6E6E6">
            <w:pPr>
              <w:spacing w:line="240" w:lineRule="auto"/>
              <w:ind w:firstLine="0" w:firstLineChars="0"/>
              <w:jc w:val="center"/>
              <w:rPr>
                <w:bCs/>
                <w:color w:val="auto"/>
                <w:sz w:val="21"/>
                <w:szCs w:val="21"/>
                <w:highlight w:val="none"/>
              </w:rPr>
            </w:pPr>
          </w:p>
        </w:tc>
        <w:tc>
          <w:tcPr>
            <w:tcW w:w="509" w:type="pct"/>
            <w:vMerge w:val="continue"/>
            <w:tcBorders>
              <w:tl2br w:val="nil"/>
              <w:tr2bl w:val="nil"/>
            </w:tcBorders>
            <w:vAlign w:val="center"/>
          </w:tcPr>
          <w:p w14:paraId="3F04F2E0">
            <w:pPr>
              <w:spacing w:line="240" w:lineRule="auto"/>
              <w:ind w:firstLine="0" w:firstLineChars="0"/>
              <w:jc w:val="center"/>
              <w:rPr>
                <w:bCs/>
                <w:color w:val="auto"/>
                <w:sz w:val="21"/>
                <w:szCs w:val="21"/>
                <w:highlight w:val="none"/>
              </w:rPr>
            </w:pPr>
          </w:p>
        </w:tc>
        <w:tc>
          <w:tcPr>
            <w:tcW w:w="756" w:type="pct"/>
            <w:tcBorders>
              <w:tl2br w:val="nil"/>
              <w:tr2bl w:val="nil"/>
            </w:tcBorders>
            <w:vAlign w:val="center"/>
          </w:tcPr>
          <w:p w14:paraId="3BE655D0">
            <w:pPr>
              <w:spacing w:line="240" w:lineRule="auto"/>
              <w:ind w:firstLine="0" w:firstLineChars="0"/>
              <w:jc w:val="center"/>
              <w:rPr>
                <w:color w:val="auto"/>
                <w:sz w:val="21"/>
                <w:szCs w:val="21"/>
                <w:highlight w:val="none"/>
              </w:rPr>
            </w:pPr>
            <w:r>
              <w:rPr>
                <w:color w:val="auto"/>
                <w:sz w:val="21"/>
                <w:szCs w:val="21"/>
                <w:highlight w:val="none"/>
              </w:rPr>
              <w:t>NOx</w:t>
            </w:r>
          </w:p>
        </w:tc>
        <w:tc>
          <w:tcPr>
            <w:tcW w:w="674" w:type="pct"/>
            <w:tcBorders>
              <w:tl2br w:val="nil"/>
              <w:tr2bl w:val="nil"/>
            </w:tcBorders>
            <w:vAlign w:val="center"/>
          </w:tcPr>
          <w:p w14:paraId="0E76EF9F">
            <w:pPr>
              <w:spacing w:line="240" w:lineRule="auto"/>
              <w:ind w:firstLine="0" w:firstLineChars="0"/>
              <w:jc w:val="center"/>
              <w:rPr>
                <w:bCs/>
                <w:color w:val="auto"/>
                <w:sz w:val="21"/>
                <w:szCs w:val="21"/>
                <w:highlight w:val="none"/>
              </w:rPr>
            </w:pPr>
            <w:r>
              <w:rPr>
                <w:bCs/>
                <w:color w:val="auto"/>
                <w:sz w:val="21"/>
                <w:szCs w:val="21"/>
                <w:highlight w:val="none"/>
              </w:rPr>
              <w:t>/</w:t>
            </w:r>
          </w:p>
        </w:tc>
        <w:tc>
          <w:tcPr>
            <w:tcW w:w="635" w:type="pct"/>
            <w:tcBorders>
              <w:tl2br w:val="nil"/>
              <w:tr2bl w:val="nil"/>
            </w:tcBorders>
            <w:vAlign w:val="center"/>
          </w:tcPr>
          <w:p w14:paraId="03D35F30">
            <w:pPr>
              <w:spacing w:line="240" w:lineRule="auto"/>
              <w:ind w:firstLine="0" w:firstLineChars="0"/>
              <w:jc w:val="center"/>
              <w:rPr>
                <w:bCs/>
                <w:color w:val="auto"/>
                <w:sz w:val="21"/>
                <w:szCs w:val="21"/>
                <w:highlight w:val="none"/>
              </w:rPr>
            </w:pPr>
            <w:r>
              <w:rPr>
                <w:bCs/>
                <w:color w:val="auto"/>
                <w:sz w:val="21"/>
                <w:szCs w:val="21"/>
                <w:highlight w:val="none"/>
              </w:rPr>
              <w:t>/</w:t>
            </w:r>
          </w:p>
        </w:tc>
        <w:tc>
          <w:tcPr>
            <w:tcW w:w="695" w:type="pct"/>
            <w:tcBorders>
              <w:tl2br w:val="nil"/>
              <w:tr2bl w:val="nil"/>
            </w:tcBorders>
            <w:vAlign w:val="center"/>
          </w:tcPr>
          <w:p w14:paraId="5EF75F4C">
            <w:pPr>
              <w:spacing w:line="240" w:lineRule="auto"/>
              <w:ind w:firstLine="0" w:firstLineChars="0"/>
              <w:jc w:val="center"/>
              <w:rPr>
                <w:bCs/>
                <w:color w:val="auto"/>
                <w:sz w:val="21"/>
                <w:szCs w:val="21"/>
                <w:highlight w:val="none"/>
              </w:rPr>
            </w:pPr>
            <w:r>
              <w:rPr>
                <w:bCs/>
                <w:color w:val="auto"/>
                <w:sz w:val="21"/>
                <w:szCs w:val="21"/>
                <w:highlight w:val="none"/>
              </w:rPr>
              <w:t>/</w:t>
            </w:r>
          </w:p>
        </w:tc>
        <w:tc>
          <w:tcPr>
            <w:tcW w:w="678" w:type="pct"/>
            <w:tcBorders>
              <w:tl2br w:val="nil"/>
              <w:tr2bl w:val="nil"/>
            </w:tcBorders>
            <w:vAlign w:val="center"/>
          </w:tcPr>
          <w:p w14:paraId="530FBC8D">
            <w:pPr>
              <w:spacing w:line="240" w:lineRule="auto"/>
              <w:ind w:firstLine="0" w:firstLineChars="0"/>
              <w:jc w:val="center"/>
              <w:rPr>
                <w:color w:val="auto"/>
                <w:sz w:val="21"/>
                <w:szCs w:val="21"/>
                <w:highlight w:val="none"/>
              </w:rPr>
            </w:pPr>
            <w:r>
              <w:rPr>
                <w:color w:val="auto"/>
                <w:sz w:val="21"/>
                <w:szCs w:val="21"/>
                <w:highlight w:val="none"/>
              </w:rPr>
              <w:t>0.363</w:t>
            </w:r>
          </w:p>
        </w:tc>
        <w:tc>
          <w:tcPr>
            <w:tcW w:w="785" w:type="pct"/>
            <w:tcBorders>
              <w:tl2br w:val="nil"/>
              <w:tr2bl w:val="nil"/>
            </w:tcBorders>
            <w:vAlign w:val="center"/>
          </w:tcPr>
          <w:p w14:paraId="1DC1542D">
            <w:pPr>
              <w:spacing w:line="240" w:lineRule="auto"/>
              <w:ind w:firstLine="0" w:firstLineChars="0"/>
              <w:jc w:val="center"/>
              <w:rPr>
                <w:color w:val="auto"/>
                <w:sz w:val="21"/>
                <w:szCs w:val="21"/>
                <w:highlight w:val="none"/>
              </w:rPr>
            </w:pPr>
            <w:r>
              <w:rPr>
                <w:color w:val="auto"/>
                <w:sz w:val="21"/>
                <w:szCs w:val="21"/>
                <w:highlight w:val="none"/>
              </w:rPr>
              <w:t>0.363</w:t>
            </w:r>
          </w:p>
        </w:tc>
      </w:tr>
      <w:tr w14:paraId="740A68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1B1E8B4E">
            <w:pPr>
              <w:spacing w:line="240" w:lineRule="auto"/>
              <w:ind w:firstLine="0" w:firstLineChars="0"/>
              <w:jc w:val="center"/>
              <w:rPr>
                <w:bCs/>
                <w:color w:val="auto"/>
                <w:sz w:val="21"/>
                <w:szCs w:val="21"/>
                <w:highlight w:val="none"/>
              </w:rPr>
            </w:pPr>
          </w:p>
        </w:tc>
        <w:tc>
          <w:tcPr>
            <w:tcW w:w="509" w:type="pct"/>
            <w:vMerge w:val="continue"/>
            <w:tcBorders>
              <w:tl2br w:val="nil"/>
              <w:tr2bl w:val="nil"/>
            </w:tcBorders>
            <w:vAlign w:val="center"/>
          </w:tcPr>
          <w:p w14:paraId="7DD2F265">
            <w:pPr>
              <w:spacing w:line="240" w:lineRule="auto"/>
              <w:ind w:firstLine="0" w:firstLineChars="0"/>
              <w:jc w:val="center"/>
              <w:rPr>
                <w:bCs/>
                <w:color w:val="auto"/>
                <w:sz w:val="21"/>
                <w:szCs w:val="21"/>
                <w:highlight w:val="none"/>
              </w:rPr>
            </w:pPr>
          </w:p>
        </w:tc>
        <w:tc>
          <w:tcPr>
            <w:tcW w:w="756" w:type="pct"/>
            <w:tcBorders>
              <w:tl2br w:val="nil"/>
              <w:tr2bl w:val="nil"/>
            </w:tcBorders>
            <w:vAlign w:val="center"/>
          </w:tcPr>
          <w:p w14:paraId="20A9FC56">
            <w:pPr>
              <w:spacing w:line="240" w:lineRule="auto"/>
              <w:ind w:firstLine="0" w:firstLineChars="0"/>
              <w:jc w:val="center"/>
              <w:rPr>
                <w:color w:val="auto"/>
                <w:sz w:val="21"/>
                <w:szCs w:val="21"/>
                <w:highlight w:val="none"/>
              </w:rPr>
            </w:pPr>
            <w:r>
              <w:rPr>
                <w:color w:val="auto"/>
                <w:sz w:val="21"/>
                <w:szCs w:val="21"/>
                <w:highlight w:val="none"/>
              </w:rPr>
              <w:t>CO</w:t>
            </w:r>
          </w:p>
        </w:tc>
        <w:tc>
          <w:tcPr>
            <w:tcW w:w="674" w:type="pct"/>
            <w:tcBorders>
              <w:tl2br w:val="nil"/>
              <w:tr2bl w:val="nil"/>
            </w:tcBorders>
            <w:vAlign w:val="center"/>
          </w:tcPr>
          <w:p w14:paraId="34423B98">
            <w:pPr>
              <w:spacing w:line="240" w:lineRule="auto"/>
              <w:ind w:firstLine="0" w:firstLineChars="0"/>
              <w:jc w:val="center"/>
              <w:rPr>
                <w:bCs/>
                <w:color w:val="auto"/>
                <w:sz w:val="21"/>
                <w:szCs w:val="21"/>
                <w:highlight w:val="none"/>
              </w:rPr>
            </w:pPr>
            <w:r>
              <w:rPr>
                <w:bCs/>
                <w:color w:val="auto"/>
                <w:sz w:val="21"/>
                <w:szCs w:val="21"/>
                <w:highlight w:val="none"/>
              </w:rPr>
              <w:t>/</w:t>
            </w:r>
          </w:p>
        </w:tc>
        <w:tc>
          <w:tcPr>
            <w:tcW w:w="635" w:type="pct"/>
            <w:tcBorders>
              <w:tl2br w:val="nil"/>
              <w:tr2bl w:val="nil"/>
            </w:tcBorders>
            <w:vAlign w:val="center"/>
          </w:tcPr>
          <w:p w14:paraId="6BF51394">
            <w:pPr>
              <w:spacing w:line="240" w:lineRule="auto"/>
              <w:ind w:firstLine="0" w:firstLineChars="0"/>
              <w:jc w:val="center"/>
              <w:rPr>
                <w:bCs/>
                <w:color w:val="auto"/>
                <w:sz w:val="21"/>
                <w:szCs w:val="21"/>
                <w:highlight w:val="none"/>
              </w:rPr>
            </w:pPr>
            <w:r>
              <w:rPr>
                <w:bCs/>
                <w:color w:val="auto"/>
                <w:sz w:val="21"/>
                <w:szCs w:val="21"/>
                <w:highlight w:val="none"/>
              </w:rPr>
              <w:t>/</w:t>
            </w:r>
          </w:p>
        </w:tc>
        <w:tc>
          <w:tcPr>
            <w:tcW w:w="695" w:type="pct"/>
            <w:tcBorders>
              <w:tl2br w:val="nil"/>
              <w:tr2bl w:val="nil"/>
            </w:tcBorders>
            <w:vAlign w:val="center"/>
          </w:tcPr>
          <w:p w14:paraId="33FCFB0B">
            <w:pPr>
              <w:spacing w:line="240" w:lineRule="auto"/>
              <w:ind w:firstLine="0" w:firstLineChars="0"/>
              <w:jc w:val="center"/>
              <w:rPr>
                <w:bCs/>
                <w:color w:val="auto"/>
                <w:sz w:val="21"/>
                <w:szCs w:val="21"/>
                <w:highlight w:val="none"/>
              </w:rPr>
            </w:pPr>
            <w:r>
              <w:rPr>
                <w:bCs/>
                <w:color w:val="auto"/>
                <w:sz w:val="21"/>
                <w:szCs w:val="21"/>
                <w:highlight w:val="none"/>
              </w:rPr>
              <w:t>/</w:t>
            </w:r>
          </w:p>
        </w:tc>
        <w:tc>
          <w:tcPr>
            <w:tcW w:w="678" w:type="pct"/>
            <w:tcBorders>
              <w:tl2br w:val="nil"/>
              <w:tr2bl w:val="nil"/>
            </w:tcBorders>
            <w:vAlign w:val="center"/>
          </w:tcPr>
          <w:p w14:paraId="0B37AC97">
            <w:pPr>
              <w:spacing w:line="240" w:lineRule="auto"/>
              <w:ind w:firstLine="0" w:firstLineChars="0"/>
              <w:jc w:val="center"/>
              <w:rPr>
                <w:color w:val="auto"/>
                <w:sz w:val="21"/>
                <w:szCs w:val="21"/>
                <w:highlight w:val="none"/>
              </w:rPr>
            </w:pPr>
            <w:r>
              <w:rPr>
                <w:color w:val="auto"/>
                <w:sz w:val="21"/>
                <w:szCs w:val="21"/>
                <w:highlight w:val="none"/>
              </w:rPr>
              <w:t>0.247</w:t>
            </w:r>
          </w:p>
        </w:tc>
        <w:tc>
          <w:tcPr>
            <w:tcW w:w="785" w:type="pct"/>
            <w:tcBorders>
              <w:tl2br w:val="nil"/>
              <w:tr2bl w:val="nil"/>
            </w:tcBorders>
            <w:vAlign w:val="center"/>
          </w:tcPr>
          <w:p w14:paraId="71E4DD4B">
            <w:pPr>
              <w:spacing w:line="240" w:lineRule="auto"/>
              <w:ind w:firstLine="0" w:firstLineChars="0"/>
              <w:jc w:val="center"/>
              <w:rPr>
                <w:color w:val="auto"/>
                <w:sz w:val="21"/>
                <w:szCs w:val="21"/>
                <w:highlight w:val="none"/>
              </w:rPr>
            </w:pPr>
            <w:r>
              <w:rPr>
                <w:color w:val="auto"/>
                <w:sz w:val="21"/>
                <w:szCs w:val="21"/>
                <w:highlight w:val="none"/>
              </w:rPr>
              <w:t>0.247</w:t>
            </w:r>
          </w:p>
        </w:tc>
      </w:tr>
      <w:tr w14:paraId="1BD525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4" w:type="pct"/>
            <w:gridSpan w:val="2"/>
            <w:vMerge w:val="restart"/>
            <w:tcBorders>
              <w:tl2br w:val="nil"/>
              <w:tr2bl w:val="nil"/>
            </w:tcBorders>
            <w:vAlign w:val="center"/>
          </w:tcPr>
          <w:p w14:paraId="3F0BC849">
            <w:pPr>
              <w:spacing w:line="240" w:lineRule="auto"/>
              <w:ind w:firstLine="0" w:firstLineChars="0"/>
              <w:jc w:val="center"/>
              <w:rPr>
                <w:bCs/>
                <w:color w:val="auto"/>
                <w:sz w:val="21"/>
                <w:szCs w:val="21"/>
                <w:highlight w:val="none"/>
              </w:rPr>
            </w:pPr>
            <w:r>
              <w:rPr>
                <w:bCs/>
                <w:color w:val="auto"/>
                <w:sz w:val="21"/>
                <w:szCs w:val="21"/>
                <w:highlight w:val="none"/>
              </w:rPr>
              <w:t>废水</w:t>
            </w:r>
          </w:p>
        </w:tc>
        <w:tc>
          <w:tcPr>
            <w:tcW w:w="756" w:type="pct"/>
            <w:tcBorders>
              <w:tl2br w:val="nil"/>
              <w:tr2bl w:val="nil"/>
            </w:tcBorders>
            <w:vAlign w:val="center"/>
          </w:tcPr>
          <w:p w14:paraId="420F6BB1">
            <w:pPr>
              <w:spacing w:line="240" w:lineRule="auto"/>
              <w:ind w:firstLine="0" w:firstLineChars="0"/>
              <w:jc w:val="center"/>
              <w:rPr>
                <w:rFonts w:hint="eastAsia" w:eastAsia="宋体"/>
                <w:bCs/>
                <w:color w:val="auto"/>
                <w:sz w:val="21"/>
                <w:szCs w:val="21"/>
                <w:highlight w:val="none"/>
                <w:u w:val="single"/>
                <w:lang w:eastAsia="zh-CN"/>
              </w:rPr>
            </w:pPr>
            <w:r>
              <w:rPr>
                <w:rFonts w:hint="eastAsia"/>
                <w:bCs/>
                <w:color w:val="auto"/>
                <w:sz w:val="21"/>
                <w:szCs w:val="21"/>
                <w:highlight w:val="none"/>
                <w:u w:val="single"/>
                <w:lang w:eastAsia="zh-CN"/>
              </w:rPr>
              <w:t>排水量</w:t>
            </w:r>
          </w:p>
        </w:tc>
        <w:tc>
          <w:tcPr>
            <w:tcW w:w="674" w:type="pct"/>
            <w:tcBorders>
              <w:tl2br w:val="nil"/>
              <w:tr2bl w:val="nil"/>
            </w:tcBorders>
            <w:vAlign w:val="center"/>
          </w:tcPr>
          <w:p w14:paraId="64A3309A">
            <w:pPr>
              <w:spacing w:line="240" w:lineRule="auto"/>
              <w:ind w:firstLine="0" w:firstLineChars="0"/>
              <w:jc w:val="center"/>
              <w:rPr>
                <w:rFonts w:hint="default" w:eastAsia="宋体"/>
                <w:bCs/>
                <w:color w:val="auto"/>
                <w:sz w:val="21"/>
                <w:szCs w:val="21"/>
                <w:highlight w:val="none"/>
                <w:u w:val="single"/>
                <w:lang w:val="en-US" w:eastAsia="zh-CN"/>
              </w:rPr>
            </w:pPr>
            <w:r>
              <w:rPr>
                <w:rFonts w:hint="eastAsia"/>
                <w:bCs/>
                <w:color w:val="auto"/>
                <w:sz w:val="21"/>
                <w:szCs w:val="21"/>
                <w:highlight w:val="none"/>
                <w:u w:val="single"/>
                <w:lang w:val="en-US" w:eastAsia="zh-CN"/>
              </w:rPr>
              <w:t>4209.3</w:t>
            </w:r>
          </w:p>
        </w:tc>
        <w:tc>
          <w:tcPr>
            <w:tcW w:w="635" w:type="pct"/>
            <w:tcBorders>
              <w:tl2br w:val="nil"/>
              <w:tr2bl w:val="nil"/>
            </w:tcBorders>
            <w:vAlign w:val="center"/>
          </w:tcPr>
          <w:p w14:paraId="638C72D6">
            <w:pPr>
              <w:spacing w:line="240" w:lineRule="auto"/>
              <w:ind w:firstLine="0" w:firstLineChars="0"/>
              <w:jc w:val="center"/>
              <w:rPr>
                <w:rFonts w:hint="eastAsia" w:eastAsia="宋体"/>
                <w:bCs/>
                <w:color w:val="auto"/>
                <w:sz w:val="21"/>
                <w:szCs w:val="21"/>
                <w:highlight w:val="none"/>
                <w:u w:val="single"/>
                <w:lang w:eastAsia="zh-CN"/>
              </w:rPr>
            </w:pPr>
            <w:r>
              <w:rPr>
                <w:rFonts w:hint="eastAsia"/>
                <w:bCs/>
                <w:color w:val="auto"/>
                <w:sz w:val="21"/>
                <w:szCs w:val="21"/>
                <w:highlight w:val="none"/>
                <w:u w:val="single"/>
                <w:lang w:val="en-US" w:eastAsia="zh-CN"/>
              </w:rPr>
              <w:t>/</w:t>
            </w:r>
          </w:p>
        </w:tc>
        <w:tc>
          <w:tcPr>
            <w:tcW w:w="695" w:type="pct"/>
            <w:tcBorders>
              <w:tl2br w:val="nil"/>
              <w:tr2bl w:val="nil"/>
            </w:tcBorders>
            <w:vAlign w:val="center"/>
          </w:tcPr>
          <w:p w14:paraId="1E1E755A">
            <w:pPr>
              <w:spacing w:line="240" w:lineRule="auto"/>
              <w:ind w:firstLine="0" w:firstLineChars="0"/>
              <w:jc w:val="center"/>
              <w:rPr>
                <w:bCs/>
                <w:color w:val="auto"/>
                <w:sz w:val="21"/>
                <w:szCs w:val="21"/>
                <w:highlight w:val="none"/>
                <w:u w:val="single"/>
              </w:rPr>
            </w:pPr>
            <w:r>
              <w:rPr>
                <w:bCs/>
                <w:color w:val="auto"/>
                <w:sz w:val="21"/>
                <w:szCs w:val="21"/>
                <w:highlight w:val="none"/>
                <w:u w:val="single"/>
              </w:rPr>
              <w:t>/</w:t>
            </w:r>
          </w:p>
        </w:tc>
        <w:tc>
          <w:tcPr>
            <w:tcW w:w="678" w:type="pct"/>
            <w:tcBorders>
              <w:tl2br w:val="nil"/>
              <w:tr2bl w:val="nil"/>
            </w:tcBorders>
            <w:vAlign w:val="center"/>
          </w:tcPr>
          <w:p w14:paraId="1188CFF8">
            <w:pPr>
              <w:spacing w:line="240" w:lineRule="auto"/>
              <w:ind w:firstLine="0" w:firstLineChars="0"/>
              <w:jc w:val="center"/>
              <w:rPr>
                <w:bCs/>
                <w:color w:val="auto"/>
                <w:sz w:val="21"/>
                <w:szCs w:val="21"/>
                <w:highlight w:val="none"/>
                <w:u w:val="single"/>
              </w:rPr>
            </w:pPr>
            <w:r>
              <w:rPr>
                <w:bCs/>
                <w:color w:val="auto"/>
                <w:sz w:val="21"/>
                <w:szCs w:val="21"/>
                <w:highlight w:val="none"/>
                <w:u w:val="single"/>
              </w:rPr>
              <w:t>/</w:t>
            </w:r>
          </w:p>
        </w:tc>
        <w:tc>
          <w:tcPr>
            <w:tcW w:w="785" w:type="pct"/>
            <w:tcBorders>
              <w:tl2br w:val="nil"/>
              <w:tr2bl w:val="nil"/>
            </w:tcBorders>
            <w:vAlign w:val="center"/>
          </w:tcPr>
          <w:p w14:paraId="489F2181">
            <w:pPr>
              <w:spacing w:line="240" w:lineRule="auto"/>
              <w:ind w:firstLine="0" w:firstLineChars="0"/>
              <w:jc w:val="center"/>
              <w:rPr>
                <w:rFonts w:hint="eastAsia"/>
                <w:bCs/>
                <w:color w:val="auto"/>
                <w:sz w:val="21"/>
                <w:szCs w:val="21"/>
                <w:highlight w:val="none"/>
                <w:u w:val="single"/>
                <w:lang w:val="en-US" w:eastAsia="zh-CN"/>
              </w:rPr>
            </w:pPr>
            <w:r>
              <w:rPr>
                <w:rFonts w:hint="eastAsia"/>
                <w:bCs/>
                <w:color w:val="auto"/>
                <w:sz w:val="21"/>
                <w:szCs w:val="21"/>
                <w:highlight w:val="none"/>
                <w:u w:val="single"/>
                <w:lang w:val="en-US" w:eastAsia="zh-CN"/>
              </w:rPr>
              <w:t xml:space="preserve">0.4209 </w:t>
            </w:r>
          </w:p>
        </w:tc>
      </w:tr>
      <w:tr w14:paraId="6A1176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4" w:type="pct"/>
            <w:gridSpan w:val="2"/>
            <w:vMerge w:val="continue"/>
            <w:tcBorders>
              <w:tl2br w:val="nil"/>
              <w:tr2bl w:val="nil"/>
            </w:tcBorders>
            <w:vAlign w:val="center"/>
          </w:tcPr>
          <w:p w14:paraId="5B0BD4CC">
            <w:pPr>
              <w:spacing w:line="240" w:lineRule="auto"/>
              <w:ind w:firstLine="0" w:firstLineChars="0"/>
              <w:jc w:val="center"/>
              <w:rPr>
                <w:bCs/>
                <w:color w:val="auto"/>
                <w:sz w:val="21"/>
                <w:szCs w:val="21"/>
                <w:highlight w:val="none"/>
              </w:rPr>
            </w:pPr>
          </w:p>
        </w:tc>
        <w:tc>
          <w:tcPr>
            <w:tcW w:w="756" w:type="pct"/>
            <w:tcBorders>
              <w:tl2br w:val="nil"/>
              <w:tr2bl w:val="nil"/>
            </w:tcBorders>
            <w:vAlign w:val="center"/>
          </w:tcPr>
          <w:p w14:paraId="6FEF6C46">
            <w:pPr>
              <w:spacing w:line="240" w:lineRule="auto"/>
              <w:ind w:firstLine="0" w:firstLineChars="0"/>
              <w:jc w:val="center"/>
              <w:rPr>
                <w:bCs/>
                <w:color w:val="auto"/>
                <w:sz w:val="21"/>
                <w:szCs w:val="21"/>
                <w:highlight w:val="none"/>
                <w:u w:val="single"/>
              </w:rPr>
            </w:pPr>
            <w:r>
              <w:rPr>
                <w:bCs/>
                <w:color w:val="auto"/>
                <w:sz w:val="21"/>
                <w:szCs w:val="21"/>
                <w:highlight w:val="none"/>
                <w:u w:val="single"/>
              </w:rPr>
              <w:t>化学需氧量</w:t>
            </w:r>
          </w:p>
        </w:tc>
        <w:tc>
          <w:tcPr>
            <w:tcW w:w="674" w:type="pct"/>
            <w:tcBorders>
              <w:tl2br w:val="nil"/>
              <w:tr2bl w:val="nil"/>
            </w:tcBorders>
            <w:vAlign w:val="center"/>
          </w:tcPr>
          <w:p w14:paraId="4F19B549">
            <w:pPr>
              <w:spacing w:line="240" w:lineRule="auto"/>
              <w:ind w:firstLine="0" w:firstLineChars="0"/>
              <w:jc w:val="center"/>
              <w:rPr>
                <w:rFonts w:hint="eastAsia"/>
                <w:bCs/>
                <w:color w:val="auto"/>
                <w:sz w:val="21"/>
                <w:szCs w:val="21"/>
                <w:highlight w:val="none"/>
                <w:u w:val="single"/>
                <w:lang w:val="en-US" w:eastAsia="zh-CN"/>
              </w:rPr>
            </w:pPr>
            <w:r>
              <w:rPr>
                <w:rFonts w:hint="eastAsia"/>
                <w:bCs/>
                <w:color w:val="auto"/>
                <w:sz w:val="21"/>
                <w:szCs w:val="21"/>
                <w:highlight w:val="none"/>
                <w:u w:val="single"/>
                <w:lang w:val="en-US" w:eastAsia="zh-CN"/>
              </w:rPr>
              <w:t xml:space="preserve">0.4209 </w:t>
            </w:r>
          </w:p>
        </w:tc>
        <w:tc>
          <w:tcPr>
            <w:tcW w:w="635" w:type="pct"/>
            <w:tcBorders>
              <w:tl2br w:val="nil"/>
              <w:tr2bl w:val="nil"/>
            </w:tcBorders>
            <w:vAlign w:val="center"/>
          </w:tcPr>
          <w:p w14:paraId="284C951A">
            <w:pPr>
              <w:spacing w:line="240" w:lineRule="auto"/>
              <w:ind w:firstLine="0" w:firstLineChars="0"/>
              <w:jc w:val="center"/>
              <w:rPr>
                <w:bCs/>
                <w:color w:val="auto"/>
                <w:sz w:val="21"/>
                <w:szCs w:val="21"/>
                <w:highlight w:val="none"/>
                <w:u w:val="single"/>
              </w:rPr>
            </w:pPr>
            <w:r>
              <w:rPr>
                <w:bCs/>
                <w:color w:val="auto"/>
                <w:sz w:val="21"/>
                <w:szCs w:val="21"/>
                <w:highlight w:val="none"/>
                <w:u w:val="single"/>
              </w:rPr>
              <w:t>/</w:t>
            </w:r>
          </w:p>
        </w:tc>
        <w:tc>
          <w:tcPr>
            <w:tcW w:w="695" w:type="pct"/>
            <w:tcBorders>
              <w:tl2br w:val="nil"/>
              <w:tr2bl w:val="nil"/>
            </w:tcBorders>
            <w:vAlign w:val="center"/>
          </w:tcPr>
          <w:p w14:paraId="1D00C949">
            <w:pPr>
              <w:spacing w:line="240" w:lineRule="auto"/>
              <w:ind w:firstLine="0" w:firstLineChars="0"/>
              <w:jc w:val="center"/>
              <w:rPr>
                <w:bCs/>
                <w:color w:val="auto"/>
                <w:sz w:val="21"/>
                <w:szCs w:val="21"/>
                <w:highlight w:val="none"/>
                <w:u w:val="single"/>
              </w:rPr>
            </w:pPr>
            <w:r>
              <w:rPr>
                <w:bCs/>
                <w:color w:val="auto"/>
                <w:sz w:val="21"/>
                <w:szCs w:val="21"/>
                <w:highlight w:val="none"/>
                <w:u w:val="single"/>
              </w:rPr>
              <w:t>/</w:t>
            </w:r>
          </w:p>
        </w:tc>
        <w:tc>
          <w:tcPr>
            <w:tcW w:w="678" w:type="pct"/>
            <w:tcBorders>
              <w:tl2br w:val="nil"/>
              <w:tr2bl w:val="nil"/>
            </w:tcBorders>
            <w:vAlign w:val="center"/>
          </w:tcPr>
          <w:p w14:paraId="4236A9E5">
            <w:pPr>
              <w:spacing w:line="240" w:lineRule="auto"/>
              <w:ind w:firstLine="0" w:firstLineChars="0"/>
              <w:jc w:val="center"/>
              <w:rPr>
                <w:bCs/>
                <w:color w:val="auto"/>
                <w:sz w:val="21"/>
                <w:szCs w:val="21"/>
                <w:highlight w:val="none"/>
                <w:u w:val="single"/>
              </w:rPr>
            </w:pPr>
            <w:r>
              <w:rPr>
                <w:bCs/>
                <w:color w:val="auto"/>
                <w:sz w:val="21"/>
                <w:szCs w:val="21"/>
                <w:highlight w:val="none"/>
                <w:u w:val="single"/>
              </w:rPr>
              <w:t>/</w:t>
            </w:r>
          </w:p>
        </w:tc>
        <w:tc>
          <w:tcPr>
            <w:tcW w:w="785" w:type="pct"/>
            <w:tcBorders>
              <w:tl2br w:val="nil"/>
              <w:tr2bl w:val="nil"/>
            </w:tcBorders>
            <w:vAlign w:val="center"/>
          </w:tcPr>
          <w:p w14:paraId="46208EC2">
            <w:pPr>
              <w:spacing w:line="240" w:lineRule="auto"/>
              <w:ind w:firstLine="0" w:firstLineChars="0"/>
              <w:jc w:val="center"/>
              <w:rPr>
                <w:rFonts w:hint="eastAsia"/>
                <w:bCs/>
                <w:color w:val="auto"/>
                <w:sz w:val="21"/>
                <w:szCs w:val="21"/>
                <w:highlight w:val="none"/>
                <w:u w:val="single"/>
                <w:lang w:val="en-US" w:eastAsia="zh-CN"/>
              </w:rPr>
            </w:pPr>
            <w:r>
              <w:rPr>
                <w:rFonts w:hint="eastAsia"/>
                <w:bCs/>
                <w:color w:val="auto"/>
                <w:sz w:val="21"/>
                <w:szCs w:val="21"/>
                <w:highlight w:val="none"/>
                <w:u w:val="single"/>
                <w:lang w:val="en-US" w:eastAsia="zh-CN"/>
              </w:rPr>
              <w:t xml:space="preserve">0.0337 </w:t>
            </w:r>
          </w:p>
        </w:tc>
      </w:tr>
      <w:tr w14:paraId="484AE4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4" w:type="pct"/>
            <w:gridSpan w:val="2"/>
            <w:vMerge w:val="continue"/>
            <w:tcBorders>
              <w:tl2br w:val="nil"/>
              <w:tr2bl w:val="nil"/>
            </w:tcBorders>
            <w:vAlign w:val="center"/>
          </w:tcPr>
          <w:p w14:paraId="2E826542">
            <w:pPr>
              <w:spacing w:line="240" w:lineRule="auto"/>
              <w:ind w:firstLine="0" w:firstLineChars="0"/>
              <w:jc w:val="center"/>
              <w:rPr>
                <w:bCs/>
                <w:color w:val="auto"/>
                <w:sz w:val="21"/>
                <w:szCs w:val="21"/>
                <w:highlight w:val="none"/>
              </w:rPr>
            </w:pPr>
          </w:p>
        </w:tc>
        <w:tc>
          <w:tcPr>
            <w:tcW w:w="756" w:type="pct"/>
            <w:tcBorders>
              <w:tl2br w:val="nil"/>
              <w:tr2bl w:val="nil"/>
            </w:tcBorders>
            <w:vAlign w:val="center"/>
          </w:tcPr>
          <w:p w14:paraId="5B735C4F">
            <w:pPr>
              <w:spacing w:line="240" w:lineRule="auto"/>
              <w:ind w:firstLine="0" w:firstLineChars="0"/>
              <w:jc w:val="center"/>
              <w:rPr>
                <w:bCs/>
                <w:color w:val="auto"/>
                <w:sz w:val="21"/>
                <w:szCs w:val="21"/>
                <w:highlight w:val="none"/>
                <w:u w:val="single"/>
              </w:rPr>
            </w:pPr>
            <w:r>
              <w:rPr>
                <w:bCs/>
                <w:color w:val="auto"/>
                <w:sz w:val="21"/>
                <w:szCs w:val="21"/>
                <w:highlight w:val="none"/>
                <w:u w:val="single"/>
              </w:rPr>
              <w:t>氨氮</w:t>
            </w:r>
          </w:p>
        </w:tc>
        <w:tc>
          <w:tcPr>
            <w:tcW w:w="674" w:type="pct"/>
            <w:tcBorders>
              <w:tl2br w:val="nil"/>
              <w:tr2bl w:val="nil"/>
            </w:tcBorders>
            <w:vAlign w:val="center"/>
          </w:tcPr>
          <w:p w14:paraId="73A9198A">
            <w:pPr>
              <w:spacing w:line="240" w:lineRule="auto"/>
              <w:ind w:firstLine="0" w:firstLineChars="0"/>
              <w:jc w:val="center"/>
              <w:rPr>
                <w:rFonts w:hint="eastAsia"/>
                <w:bCs/>
                <w:color w:val="auto"/>
                <w:sz w:val="21"/>
                <w:szCs w:val="21"/>
                <w:highlight w:val="none"/>
                <w:u w:val="single"/>
                <w:lang w:val="en-US" w:eastAsia="zh-CN"/>
              </w:rPr>
            </w:pPr>
            <w:r>
              <w:rPr>
                <w:rFonts w:hint="eastAsia"/>
                <w:bCs/>
                <w:color w:val="auto"/>
                <w:sz w:val="21"/>
                <w:szCs w:val="21"/>
                <w:highlight w:val="none"/>
                <w:u w:val="single"/>
                <w:lang w:val="en-US" w:eastAsia="zh-CN"/>
              </w:rPr>
              <w:t xml:space="preserve">0.0337 </w:t>
            </w:r>
          </w:p>
        </w:tc>
        <w:tc>
          <w:tcPr>
            <w:tcW w:w="635" w:type="pct"/>
            <w:tcBorders>
              <w:tl2br w:val="nil"/>
              <w:tr2bl w:val="nil"/>
            </w:tcBorders>
            <w:vAlign w:val="center"/>
          </w:tcPr>
          <w:p w14:paraId="3945B0FA">
            <w:pPr>
              <w:spacing w:line="240" w:lineRule="auto"/>
              <w:ind w:firstLine="0" w:firstLineChars="0"/>
              <w:jc w:val="center"/>
              <w:rPr>
                <w:bCs/>
                <w:color w:val="auto"/>
                <w:sz w:val="21"/>
                <w:szCs w:val="21"/>
                <w:highlight w:val="none"/>
                <w:u w:val="single"/>
              </w:rPr>
            </w:pPr>
            <w:r>
              <w:rPr>
                <w:bCs/>
                <w:color w:val="auto"/>
                <w:sz w:val="21"/>
                <w:szCs w:val="21"/>
                <w:highlight w:val="none"/>
                <w:u w:val="single"/>
              </w:rPr>
              <w:t>/</w:t>
            </w:r>
          </w:p>
        </w:tc>
        <w:tc>
          <w:tcPr>
            <w:tcW w:w="695" w:type="pct"/>
            <w:tcBorders>
              <w:tl2br w:val="nil"/>
              <w:tr2bl w:val="nil"/>
            </w:tcBorders>
            <w:vAlign w:val="center"/>
          </w:tcPr>
          <w:p w14:paraId="41A34BC0">
            <w:pPr>
              <w:spacing w:line="240" w:lineRule="auto"/>
              <w:ind w:firstLine="0" w:firstLineChars="0"/>
              <w:jc w:val="center"/>
              <w:rPr>
                <w:bCs/>
                <w:color w:val="auto"/>
                <w:sz w:val="21"/>
                <w:szCs w:val="21"/>
                <w:highlight w:val="none"/>
                <w:u w:val="single"/>
              </w:rPr>
            </w:pPr>
            <w:r>
              <w:rPr>
                <w:bCs/>
                <w:color w:val="auto"/>
                <w:sz w:val="21"/>
                <w:szCs w:val="21"/>
                <w:highlight w:val="none"/>
                <w:u w:val="single"/>
              </w:rPr>
              <w:t>/</w:t>
            </w:r>
          </w:p>
        </w:tc>
        <w:tc>
          <w:tcPr>
            <w:tcW w:w="678" w:type="pct"/>
            <w:tcBorders>
              <w:tl2br w:val="nil"/>
              <w:tr2bl w:val="nil"/>
            </w:tcBorders>
            <w:vAlign w:val="center"/>
          </w:tcPr>
          <w:p w14:paraId="309DD1ED">
            <w:pPr>
              <w:spacing w:line="240" w:lineRule="auto"/>
              <w:ind w:firstLine="0" w:firstLineChars="0"/>
              <w:jc w:val="center"/>
              <w:rPr>
                <w:bCs/>
                <w:color w:val="auto"/>
                <w:sz w:val="21"/>
                <w:szCs w:val="21"/>
                <w:highlight w:val="none"/>
                <w:u w:val="single"/>
              </w:rPr>
            </w:pPr>
            <w:r>
              <w:rPr>
                <w:bCs/>
                <w:color w:val="auto"/>
                <w:sz w:val="21"/>
                <w:szCs w:val="21"/>
                <w:highlight w:val="none"/>
                <w:u w:val="single"/>
              </w:rPr>
              <w:t>/</w:t>
            </w:r>
          </w:p>
        </w:tc>
        <w:tc>
          <w:tcPr>
            <w:tcW w:w="785" w:type="pct"/>
            <w:tcBorders>
              <w:tl2br w:val="nil"/>
              <w:tr2bl w:val="nil"/>
            </w:tcBorders>
            <w:vAlign w:val="center"/>
          </w:tcPr>
          <w:p w14:paraId="318B4E62">
            <w:pPr>
              <w:spacing w:line="240" w:lineRule="auto"/>
              <w:ind w:firstLine="0" w:firstLineChars="0"/>
              <w:jc w:val="center"/>
              <w:rPr>
                <w:rFonts w:hint="eastAsia"/>
                <w:bCs/>
                <w:color w:val="auto"/>
                <w:sz w:val="21"/>
                <w:szCs w:val="21"/>
                <w:highlight w:val="none"/>
                <w:u w:val="single"/>
                <w:lang w:val="en-US" w:eastAsia="zh-CN"/>
              </w:rPr>
            </w:pPr>
            <w:r>
              <w:rPr>
                <w:rFonts w:hint="eastAsia"/>
                <w:bCs/>
                <w:color w:val="auto"/>
                <w:sz w:val="21"/>
                <w:szCs w:val="21"/>
                <w:highlight w:val="none"/>
                <w:u w:val="single"/>
                <w:lang w:val="en-US" w:eastAsia="zh-CN"/>
              </w:rPr>
              <w:t xml:space="preserve">0.4209 </w:t>
            </w:r>
          </w:p>
        </w:tc>
      </w:tr>
      <w:tr w14:paraId="47841D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restart"/>
            <w:tcBorders>
              <w:tl2br w:val="nil"/>
              <w:tr2bl w:val="nil"/>
            </w:tcBorders>
            <w:vAlign w:val="center"/>
          </w:tcPr>
          <w:p w14:paraId="4CDAE856">
            <w:pPr>
              <w:spacing w:line="240" w:lineRule="auto"/>
              <w:ind w:firstLine="0" w:firstLineChars="0"/>
              <w:jc w:val="center"/>
              <w:rPr>
                <w:bCs/>
                <w:color w:val="auto"/>
                <w:sz w:val="21"/>
                <w:szCs w:val="21"/>
                <w:highlight w:val="none"/>
              </w:rPr>
            </w:pPr>
            <w:r>
              <w:rPr>
                <w:bCs/>
                <w:color w:val="auto"/>
                <w:sz w:val="21"/>
                <w:szCs w:val="21"/>
                <w:highlight w:val="none"/>
              </w:rPr>
              <w:t>固废</w:t>
            </w:r>
          </w:p>
        </w:tc>
        <w:tc>
          <w:tcPr>
            <w:tcW w:w="509" w:type="pct"/>
            <w:vMerge w:val="restart"/>
            <w:tcBorders>
              <w:tl2br w:val="nil"/>
              <w:tr2bl w:val="nil"/>
            </w:tcBorders>
            <w:vAlign w:val="center"/>
          </w:tcPr>
          <w:p w14:paraId="05101891">
            <w:pPr>
              <w:spacing w:line="240" w:lineRule="auto"/>
              <w:ind w:firstLine="0" w:firstLineChars="0"/>
              <w:jc w:val="center"/>
              <w:rPr>
                <w:bCs/>
                <w:color w:val="auto"/>
                <w:sz w:val="21"/>
                <w:szCs w:val="21"/>
                <w:highlight w:val="none"/>
              </w:rPr>
            </w:pPr>
            <w:r>
              <w:rPr>
                <w:bCs/>
                <w:color w:val="auto"/>
                <w:sz w:val="21"/>
                <w:szCs w:val="21"/>
                <w:highlight w:val="none"/>
              </w:rPr>
              <w:t>危险废物</w:t>
            </w:r>
          </w:p>
        </w:tc>
        <w:tc>
          <w:tcPr>
            <w:tcW w:w="756" w:type="pct"/>
            <w:tcBorders>
              <w:tl2br w:val="nil"/>
              <w:tr2bl w:val="nil"/>
            </w:tcBorders>
            <w:vAlign w:val="center"/>
          </w:tcPr>
          <w:p w14:paraId="558B26AD">
            <w:pPr>
              <w:spacing w:line="240" w:lineRule="auto"/>
              <w:ind w:firstLine="0" w:firstLineChars="0"/>
              <w:jc w:val="center"/>
              <w:rPr>
                <w:bCs/>
                <w:color w:val="auto"/>
                <w:sz w:val="21"/>
                <w:szCs w:val="21"/>
                <w:highlight w:val="none"/>
              </w:rPr>
            </w:pPr>
            <w:r>
              <w:rPr>
                <w:bCs/>
                <w:color w:val="auto"/>
                <w:sz w:val="21"/>
                <w:szCs w:val="21"/>
                <w:highlight w:val="none"/>
              </w:rPr>
              <w:t>船舶废油</w:t>
            </w:r>
          </w:p>
        </w:tc>
        <w:tc>
          <w:tcPr>
            <w:tcW w:w="674" w:type="pct"/>
            <w:tcBorders>
              <w:tl2br w:val="nil"/>
              <w:tr2bl w:val="nil"/>
            </w:tcBorders>
            <w:vAlign w:val="center"/>
          </w:tcPr>
          <w:p w14:paraId="565796EF">
            <w:pPr>
              <w:spacing w:line="240" w:lineRule="auto"/>
              <w:ind w:firstLine="0" w:firstLineChars="0"/>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120</w:t>
            </w:r>
          </w:p>
        </w:tc>
        <w:tc>
          <w:tcPr>
            <w:tcW w:w="635" w:type="pct"/>
            <w:tcBorders>
              <w:tl2br w:val="nil"/>
              <w:tr2bl w:val="nil"/>
            </w:tcBorders>
            <w:vAlign w:val="center"/>
          </w:tcPr>
          <w:p w14:paraId="794631BA">
            <w:pPr>
              <w:spacing w:line="240" w:lineRule="auto"/>
              <w:ind w:firstLine="0" w:firstLineChars="0"/>
              <w:jc w:val="center"/>
              <w:rPr>
                <w:bCs/>
                <w:color w:val="auto"/>
                <w:sz w:val="21"/>
                <w:szCs w:val="21"/>
                <w:highlight w:val="none"/>
              </w:rPr>
            </w:pPr>
            <w:r>
              <w:rPr>
                <w:bCs/>
                <w:color w:val="auto"/>
                <w:sz w:val="21"/>
                <w:szCs w:val="21"/>
                <w:highlight w:val="none"/>
              </w:rPr>
              <w:t>/</w:t>
            </w:r>
          </w:p>
        </w:tc>
        <w:tc>
          <w:tcPr>
            <w:tcW w:w="695" w:type="pct"/>
            <w:tcBorders>
              <w:tl2br w:val="nil"/>
              <w:tr2bl w:val="nil"/>
            </w:tcBorders>
            <w:vAlign w:val="center"/>
          </w:tcPr>
          <w:p w14:paraId="14EEA3C9">
            <w:pPr>
              <w:spacing w:line="240" w:lineRule="auto"/>
              <w:ind w:firstLine="0" w:firstLineChars="0"/>
              <w:jc w:val="center"/>
              <w:rPr>
                <w:bCs/>
                <w:color w:val="auto"/>
                <w:sz w:val="21"/>
                <w:szCs w:val="21"/>
                <w:highlight w:val="none"/>
              </w:rPr>
            </w:pPr>
            <w:r>
              <w:rPr>
                <w:bCs/>
                <w:color w:val="auto"/>
                <w:sz w:val="21"/>
                <w:szCs w:val="21"/>
                <w:highlight w:val="none"/>
              </w:rPr>
              <w:t>/</w:t>
            </w:r>
          </w:p>
        </w:tc>
        <w:tc>
          <w:tcPr>
            <w:tcW w:w="678" w:type="pct"/>
            <w:tcBorders>
              <w:tl2br w:val="nil"/>
              <w:tr2bl w:val="nil"/>
            </w:tcBorders>
            <w:vAlign w:val="center"/>
          </w:tcPr>
          <w:p w14:paraId="220E0933">
            <w:pPr>
              <w:spacing w:line="240" w:lineRule="auto"/>
              <w:ind w:firstLine="0" w:firstLineChars="0"/>
              <w:jc w:val="center"/>
              <w:rPr>
                <w:bCs/>
                <w:color w:val="auto"/>
                <w:sz w:val="21"/>
                <w:szCs w:val="21"/>
                <w:highlight w:val="none"/>
              </w:rPr>
            </w:pPr>
            <w:r>
              <w:rPr>
                <w:bCs/>
                <w:color w:val="auto"/>
                <w:sz w:val="21"/>
                <w:szCs w:val="21"/>
                <w:highlight w:val="none"/>
              </w:rPr>
              <w:t>/</w:t>
            </w:r>
          </w:p>
        </w:tc>
        <w:tc>
          <w:tcPr>
            <w:tcW w:w="785" w:type="pct"/>
            <w:tcBorders>
              <w:tl2br w:val="nil"/>
              <w:tr2bl w:val="nil"/>
            </w:tcBorders>
            <w:vAlign w:val="center"/>
          </w:tcPr>
          <w:p w14:paraId="0F839F54">
            <w:pPr>
              <w:spacing w:line="240" w:lineRule="auto"/>
              <w:ind w:firstLine="0" w:firstLineChars="0"/>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120</w:t>
            </w:r>
          </w:p>
        </w:tc>
      </w:tr>
      <w:tr w14:paraId="567C2A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325A6245">
            <w:pPr>
              <w:spacing w:line="240" w:lineRule="auto"/>
              <w:ind w:firstLine="0" w:firstLineChars="0"/>
              <w:jc w:val="center"/>
              <w:rPr>
                <w:bCs/>
                <w:color w:val="auto"/>
                <w:sz w:val="21"/>
                <w:szCs w:val="21"/>
                <w:highlight w:val="none"/>
              </w:rPr>
            </w:pPr>
          </w:p>
        </w:tc>
        <w:tc>
          <w:tcPr>
            <w:tcW w:w="509" w:type="pct"/>
            <w:vMerge w:val="continue"/>
            <w:tcBorders>
              <w:tl2br w:val="nil"/>
              <w:tr2bl w:val="nil"/>
            </w:tcBorders>
            <w:vAlign w:val="center"/>
          </w:tcPr>
          <w:p w14:paraId="5078CAE8">
            <w:pPr>
              <w:spacing w:line="240" w:lineRule="auto"/>
              <w:ind w:firstLine="0" w:firstLineChars="0"/>
              <w:jc w:val="center"/>
              <w:rPr>
                <w:bCs/>
                <w:color w:val="auto"/>
                <w:sz w:val="21"/>
                <w:szCs w:val="21"/>
                <w:highlight w:val="none"/>
              </w:rPr>
            </w:pPr>
          </w:p>
        </w:tc>
        <w:tc>
          <w:tcPr>
            <w:tcW w:w="756" w:type="pct"/>
            <w:tcBorders>
              <w:tl2br w:val="nil"/>
              <w:tr2bl w:val="nil"/>
            </w:tcBorders>
            <w:vAlign w:val="center"/>
          </w:tcPr>
          <w:p w14:paraId="450CF7F4">
            <w:pPr>
              <w:spacing w:line="240" w:lineRule="auto"/>
              <w:ind w:firstLine="0" w:firstLineChars="0"/>
              <w:jc w:val="center"/>
              <w:rPr>
                <w:bCs/>
                <w:color w:val="auto"/>
                <w:sz w:val="21"/>
                <w:szCs w:val="21"/>
                <w:highlight w:val="none"/>
              </w:rPr>
            </w:pPr>
            <w:r>
              <w:rPr>
                <w:bCs/>
                <w:color w:val="auto"/>
                <w:sz w:val="21"/>
                <w:szCs w:val="21"/>
                <w:highlight w:val="none"/>
              </w:rPr>
              <w:t>废乳化液</w:t>
            </w:r>
          </w:p>
        </w:tc>
        <w:tc>
          <w:tcPr>
            <w:tcW w:w="674" w:type="pct"/>
            <w:tcBorders>
              <w:tl2br w:val="nil"/>
              <w:tr2bl w:val="nil"/>
            </w:tcBorders>
            <w:vAlign w:val="center"/>
          </w:tcPr>
          <w:p w14:paraId="1D912508">
            <w:pPr>
              <w:spacing w:line="240" w:lineRule="auto"/>
              <w:ind w:firstLine="0" w:firstLineChars="0"/>
              <w:jc w:val="center"/>
              <w:rPr>
                <w:bCs/>
                <w:color w:val="auto"/>
                <w:sz w:val="21"/>
                <w:szCs w:val="21"/>
                <w:highlight w:val="none"/>
              </w:rPr>
            </w:pPr>
            <w:r>
              <w:rPr>
                <w:bCs/>
                <w:color w:val="auto"/>
                <w:sz w:val="21"/>
                <w:szCs w:val="21"/>
                <w:highlight w:val="none"/>
              </w:rPr>
              <w:t>1.0</w:t>
            </w:r>
          </w:p>
        </w:tc>
        <w:tc>
          <w:tcPr>
            <w:tcW w:w="635" w:type="pct"/>
            <w:tcBorders>
              <w:tl2br w:val="nil"/>
              <w:tr2bl w:val="nil"/>
            </w:tcBorders>
            <w:vAlign w:val="center"/>
          </w:tcPr>
          <w:p w14:paraId="64467221">
            <w:pPr>
              <w:spacing w:line="240" w:lineRule="auto"/>
              <w:ind w:firstLine="0" w:firstLineChars="0"/>
              <w:jc w:val="center"/>
              <w:rPr>
                <w:bCs/>
                <w:color w:val="auto"/>
                <w:sz w:val="21"/>
                <w:szCs w:val="21"/>
                <w:highlight w:val="none"/>
              </w:rPr>
            </w:pPr>
            <w:r>
              <w:rPr>
                <w:bCs/>
                <w:color w:val="auto"/>
                <w:sz w:val="21"/>
                <w:szCs w:val="21"/>
                <w:highlight w:val="none"/>
              </w:rPr>
              <w:t>/</w:t>
            </w:r>
          </w:p>
        </w:tc>
        <w:tc>
          <w:tcPr>
            <w:tcW w:w="695" w:type="pct"/>
            <w:tcBorders>
              <w:tl2br w:val="nil"/>
              <w:tr2bl w:val="nil"/>
            </w:tcBorders>
            <w:vAlign w:val="center"/>
          </w:tcPr>
          <w:p w14:paraId="7D954E1A">
            <w:pPr>
              <w:spacing w:line="240" w:lineRule="auto"/>
              <w:ind w:firstLine="0" w:firstLineChars="0"/>
              <w:jc w:val="center"/>
              <w:rPr>
                <w:bCs/>
                <w:color w:val="auto"/>
                <w:sz w:val="21"/>
                <w:szCs w:val="21"/>
                <w:highlight w:val="none"/>
              </w:rPr>
            </w:pPr>
            <w:r>
              <w:rPr>
                <w:bCs/>
                <w:color w:val="auto"/>
                <w:sz w:val="21"/>
                <w:szCs w:val="21"/>
                <w:highlight w:val="none"/>
              </w:rPr>
              <w:t>/</w:t>
            </w:r>
          </w:p>
        </w:tc>
        <w:tc>
          <w:tcPr>
            <w:tcW w:w="678" w:type="pct"/>
            <w:tcBorders>
              <w:tl2br w:val="nil"/>
              <w:tr2bl w:val="nil"/>
            </w:tcBorders>
            <w:vAlign w:val="center"/>
          </w:tcPr>
          <w:p w14:paraId="63E22DC9">
            <w:pPr>
              <w:spacing w:line="240" w:lineRule="auto"/>
              <w:ind w:firstLine="0" w:firstLineChars="0"/>
              <w:jc w:val="center"/>
              <w:rPr>
                <w:bCs/>
                <w:color w:val="auto"/>
                <w:sz w:val="21"/>
                <w:szCs w:val="21"/>
                <w:highlight w:val="none"/>
              </w:rPr>
            </w:pPr>
            <w:r>
              <w:rPr>
                <w:bCs/>
                <w:color w:val="auto"/>
                <w:sz w:val="21"/>
                <w:szCs w:val="21"/>
                <w:highlight w:val="none"/>
              </w:rPr>
              <w:t>/</w:t>
            </w:r>
          </w:p>
        </w:tc>
        <w:tc>
          <w:tcPr>
            <w:tcW w:w="785" w:type="pct"/>
            <w:tcBorders>
              <w:tl2br w:val="nil"/>
              <w:tr2bl w:val="nil"/>
            </w:tcBorders>
            <w:vAlign w:val="center"/>
          </w:tcPr>
          <w:p w14:paraId="7703590C">
            <w:pPr>
              <w:spacing w:line="240" w:lineRule="auto"/>
              <w:ind w:firstLine="0" w:firstLineChars="0"/>
              <w:jc w:val="center"/>
              <w:rPr>
                <w:bCs/>
                <w:color w:val="auto"/>
                <w:sz w:val="21"/>
                <w:szCs w:val="21"/>
                <w:highlight w:val="none"/>
              </w:rPr>
            </w:pPr>
            <w:r>
              <w:rPr>
                <w:bCs/>
                <w:color w:val="auto"/>
                <w:sz w:val="21"/>
                <w:szCs w:val="21"/>
                <w:highlight w:val="none"/>
              </w:rPr>
              <w:t>1.0</w:t>
            </w:r>
          </w:p>
        </w:tc>
      </w:tr>
      <w:tr w14:paraId="0C785E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746AF442">
            <w:pPr>
              <w:spacing w:line="240" w:lineRule="auto"/>
              <w:ind w:firstLine="0" w:firstLineChars="0"/>
              <w:jc w:val="center"/>
              <w:rPr>
                <w:bCs/>
                <w:color w:val="auto"/>
                <w:sz w:val="21"/>
                <w:szCs w:val="21"/>
                <w:highlight w:val="none"/>
              </w:rPr>
            </w:pPr>
          </w:p>
        </w:tc>
        <w:tc>
          <w:tcPr>
            <w:tcW w:w="509" w:type="pct"/>
            <w:vMerge w:val="continue"/>
            <w:tcBorders>
              <w:tl2br w:val="nil"/>
              <w:tr2bl w:val="nil"/>
            </w:tcBorders>
            <w:vAlign w:val="center"/>
          </w:tcPr>
          <w:p w14:paraId="4629881B">
            <w:pPr>
              <w:spacing w:line="240" w:lineRule="auto"/>
              <w:ind w:firstLine="0" w:firstLineChars="0"/>
              <w:jc w:val="center"/>
              <w:rPr>
                <w:bCs/>
                <w:color w:val="auto"/>
                <w:sz w:val="21"/>
                <w:szCs w:val="21"/>
                <w:highlight w:val="none"/>
              </w:rPr>
            </w:pPr>
          </w:p>
        </w:tc>
        <w:tc>
          <w:tcPr>
            <w:tcW w:w="756" w:type="pct"/>
            <w:tcBorders>
              <w:tl2br w:val="nil"/>
              <w:tr2bl w:val="nil"/>
            </w:tcBorders>
            <w:vAlign w:val="center"/>
          </w:tcPr>
          <w:p w14:paraId="42573EAA">
            <w:pPr>
              <w:spacing w:line="240" w:lineRule="auto"/>
              <w:ind w:firstLine="0" w:firstLineChars="0"/>
              <w:jc w:val="center"/>
              <w:rPr>
                <w:bCs/>
                <w:color w:val="auto"/>
                <w:sz w:val="21"/>
                <w:szCs w:val="21"/>
                <w:highlight w:val="none"/>
              </w:rPr>
            </w:pPr>
            <w:r>
              <w:rPr>
                <w:bCs/>
                <w:color w:val="auto"/>
                <w:sz w:val="21"/>
                <w:szCs w:val="21"/>
                <w:highlight w:val="none"/>
              </w:rPr>
              <w:t>浸漆废液</w:t>
            </w:r>
          </w:p>
        </w:tc>
        <w:tc>
          <w:tcPr>
            <w:tcW w:w="674" w:type="pct"/>
            <w:tcBorders>
              <w:tl2br w:val="nil"/>
              <w:tr2bl w:val="nil"/>
            </w:tcBorders>
            <w:vAlign w:val="center"/>
          </w:tcPr>
          <w:p w14:paraId="280BC4D8">
            <w:pPr>
              <w:spacing w:line="240" w:lineRule="auto"/>
              <w:ind w:firstLine="0" w:firstLineChars="0"/>
              <w:jc w:val="center"/>
              <w:rPr>
                <w:bCs/>
                <w:color w:val="auto"/>
                <w:sz w:val="21"/>
                <w:szCs w:val="21"/>
                <w:highlight w:val="none"/>
              </w:rPr>
            </w:pPr>
            <w:r>
              <w:rPr>
                <w:bCs/>
                <w:color w:val="auto"/>
                <w:sz w:val="21"/>
                <w:szCs w:val="21"/>
                <w:highlight w:val="none"/>
              </w:rPr>
              <w:t>0.2</w:t>
            </w:r>
          </w:p>
        </w:tc>
        <w:tc>
          <w:tcPr>
            <w:tcW w:w="635" w:type="pct"/>
            <w:tcBorders>
              <w:tl2br w:val="nil"/>
              <w:tr2bl w:val="nil"/>
            </w:tcBorders>
            <w:vAlign w:val="center"/>
          </w:tcPr>
          <w:p w14:paraId="668B5813">
            <w:pPr>
              <w:spacing w:line="240" w:lineRule="auto"/>
              <w:ind w:firstLine="0" w:firstLineChars="0"/>
              <w:jc w:val="center"/>
              <w:rPr>
                <w:bCs/>
                <w:color w:val="auto"/>
                <w:sz w:val="21"/>
                <w:szCs w:val="21"/>
                <w:highlight w:val="none"/>
              </w:rPr>
            </w:pPr>
            <w:r>
              <w:rPr>
                <w:bCs/>
                <w:color w:val="auto"/>
                <w:sz w:val="21"/>
                <w:szCs w:val="21"/>
                <w:highlight w:val="none"/>
              </w:rPr>
              <w:t>/</w:t>
            </w:r>
          </w:p>
        </w:tc>
        <w:tc>
          <w:tcPr>
            <w:tcW w:w="695" w:type="pct"/>
            <w:tcBorders>
              <w:tl2br w:val="nil"/>
              <w:tr2bl w:val="nil"/>
            </w:tcBorders>
            <w:vAlign w:val="center"/>
          </w:tcPr>
          <w:p w14:paraId="0ABEC74B">
            <w:pPr>
              <w:spacing w:line="240" w:lineRule="auto"/>
              <w:ind w:firstLine="0" w:firstLineChars="0"/>
              <w:jc w:val="center"/>
              <w:rPr>
                <w:bCs/>
                <w:color w:val="auto"/>
                <w:sz w:val="21"/>
                <w:szCs w:val="21"/>
                <w:highlight w:val="none"/>
              </w:rPr>
            </w:pPr>
            <w:r>
              <w:rPr>
                <w:bCs/>
                <w:color w:val="auto"/>
                <w:sz w:val="21"/>
                <w:szCs w:val="21"/>
                <w:highlight w:val="none"/>
              </w:rPr>
              <w:t>/</w:t>
            </w:r>
          </w:p>
        </w:tc>
        <w:tc>
          <w:tcPr>
            <w:tcW w:w="678" w:type="pct"/>
            <w:tcBorders>
              <w:tl2br w:val="nil"/>
              <w:tr2bl w:val="nil"/>
            </w:tcBorders>
            <w:vAlign w:val="center"/>
          </w:tcPr>
          <w:p w14:paraId="53F03B6C">
            <w:pPr>
              <w:spacing w:line="240" w:lineRule="auto"/>
              <w:ind w:firstLine="0" w:firstLineChars="0"/>
              <w:jc w:val="center"/>
              <w:rPr>
                <w:bCs/>
                <w:color w:val="auto"/>
                <w:sz w:val="21"/>
                <w:szCs w:val="21"/>
                <w:highlight w:val="none"/>
              </w:rPr>
            </w:pPr>
            <w:r>
              <w:rPr>
                <w:bCs/>
                <w:color w:val="auto"/>
                <w:sz w:val="21"/>
                <w:szCs w:val="21"/>
                <w:highlight w:val="none"/>
              </w:rPr>
              <w:t>/</w:t>
            </w:r>
          </w:p>
        </w:tc>
        <w:tc>
          <w:tcPr>
            <w:tcW w:w="785" w:type="pct"/>
            <w:tcBorders>
              <w:tl2br w:val="nil"/>
              <w:tr2bl w:val="nil"/>
            </w:tcBorders>
            <w:vAlign w:val="center"/>
          </w:tcPr>
          <w:p w14:paraId="42247A65">
            <w:pPr>
              <w:spacing w:line="240" w:lineRule="auto"/>
              <w:ind w:firstLine="0" w:firstLineChars="0"/>
              <w:jc w:val="center"/>
              <w:rPr>
                <w:bCs/>
                <w:color w:val="auto"/>
                <w:sz w:val="21"/>
                <w:szCs w:val="21"/>
                <w:highlight w:val="none"/>
              </w:rPr>
            </w:pPr>
            <w:r>
              <w:rPr>
                <w:bCs/>
                <w:color w:val="auto"/>
                <w:sz w:val="21"/>
                <w:szCs w:val="21"/>
                <w:highlight w:val="none"/>
              </w:rPr>
              <w:t>0.2</w:t>
            </w:r>
          </w:p>
        </w:tc>
      </w:tr>
      <w:tr w14:paraId="0D7206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00D0AD68">
            <w:pPr>
              <w:spacing w:line="240" w:lineRule="auto"/>
              <w:ind w:firstLine="0" w:firstLineChars="0"/>
              <w:jc w:val="center"/>
              <w:rPr>
                <w:bCs/>
                <w:color w:val="auto"/>
                <w:sz w:val="21"/>
                <w:szCs w:val="21"/>
                <w:highlight w:val="none"/>
              </w:rPr>
            </w:pPr>
          </w:p>
        </w:tc>
        <w:tc>
          <w:tcPr>
            <w:tcW w:w="509" w:type="pct"/>
            <w:vMerge w:val="continue"/>
            <w:tcBorders>
              <w:tl2br w:val="nil"/>
              <w:tr2bl w:val="nil"/>
            </w:tcBorders>
            <w:vAlign w:val="center"/>
          </w:tcPr>
          <w:p w14:paraId="60992241">
            <w:pPr>
              <w:spacing w:line="240" w:lineRule="auto"/>
              <w:ind w:firstLine="0" w:firstLineChars="0"/>
              <w:jc w:val="center"/>
              <w:rPr>
                <w:bCs/>
                <w:color w:val="auto"/>
                <w:sz w:val="21"/>
                <w:szCs w:val="21"/>
                <w:highlight w:val="none"/>
              </w:rPr>
            </w:pPr>
          </w:p>
        </w:tc>
        <w:tc>
          <w:tcPr>
            <w:tcW w:w="756" w:type="pct"/>
            <w:tcBorders>
              <w:tl2br w:val="nil"/>
              <w:tr2bl w:val="nil"/>
            </w:tcBorders>
            <w:vAlign w:val="center"/>
          </w:tcPr>
          <w:p w14:paraId="6DC40FA6">
            <w:pPr>
              <w:spacing w:line="240" w:lineRule="auto"/>
              <w:ind w:firstLine="0" w:firstLineChars="0"/>
              <w:jc w:val="center"/>
              <w:rPr>
                <w:bCs/>
                <w:color w:val="auto"/>
                <w:sz w:val="21"/>
                <w:szCs w:val="21"/>
                <w:highlight w:val="none"/>
              </w:rPr>
            </w:pPr>
            <w:r>
              <w:rPr>
                <w:bCs/>
                <w:color w:val="auto"/>
                <w:sz w:val="21"/>
                <w:szCs w:val="21"/>
                <w:highlight w:val="none"/>
              </w:rPr>
              <w:t>漆渣</w:t>
            </w:r>
          </w:p>
        </w:tc>
        <w:tc>
          <w:tcPr>
            <w:tcW w:w="674" w:type="pct"/>
            <w:tcBorders>
              <w:tl2br w:val="nil"/>
              <w:tr2bl w:val="nil"/>
            </w:tcBorders>
            <w:vAlign w:val="center"/>
          </w:tcPr>
          <w:p w14:paraId="15993829">
            <w:pPr>
              <w:spacing w:line="240" w:lineRule="auto"/>
              <w:ind w:firstLine="0" w:firstLineChars="0"/>
              <w:jc w:val="center"/>
              <w:rPr>
                <w:bCs/>
                <w:color w:val="auto"/>
                <w:sz w:val="21"/>
                <w:szCs w:val="21"/>
                <w:highlight w:val="none"/>
              </w:rPr>
            </w:pPr>
            <w:r>
              <w:rPr>
                <w:rFonts w:hint="eastAsia"/>
                <w:bCs/>
                <w:color w:val="auto"/>
                <w:sz w:val="21"/>
                <w:szCs w:val="21"/>
                <w:highlight w:val="none"/>
              </w:rPr>
              <w:t>21.27</w:t>
            </w:r>
          </w:p>
        </w:tc>
        <w:tc>
          <w:tcPr>
            <w:tcW w:w="635" w:type="pct"/>
            <w:tcBorders>
              <w:tl2br w:val="nil"/>
              <w:tr2bl w:val="nil"/>
            </w:tcBorders>
            <w:vAlign w:val="center"/>
          </w:tcPr>
          <w:p w14:paraId="320C4341">
            <w:pPr>
              <w:spacing w:line="240" w:lineRule="auto"/>
              <w:ind w:firstLine="0" w:firstLineChars="0"/>
              <w:jc w:val="center"/>
              <w:rPr>
                <w:bCs/>
                <w:color w:val="auto"/>
                <w:sz w:val="21"/>
                <w:szCs w:val="21"/>
                <w:highlight w:val="none"/>
              </w:rPr>
            </w:pPr>
            <w:r>
              <w:rPr>
                <w:bCs/>
                <w:color w:val="auto"/>
                <w:sz w:val="21"/>
                <w:szCs w:val="21"/>
                <w:highlight w:val="none"/>
              </w:rPr>
              <w:t>/</w:t>
            </w:r>
          </w:p>
        </w:tc>
        <w:tc>
          <w:tcPr>
            <w:tcW w:w="695" w:type="pct"/>
            <w:tcBorders>
              <w:tl2br w:val="nil"/>
              <w:tr2bl w:val="nil"/>
            </w:tcBorders>
            <w:vAlign w:val="center"/>
          </w:tcPr>
          <w:p w14:paraId="1B7CDD99">
            <w:pPr>
              <w:spacing w:line="240" w:lineRule="auto"/>
              <w:ind w:firstLine="0" w:firstLineChars="0"/>
              <w:jc w:val="center"/>
              <w:rPr>
                <w:bCs/>
                <w:color w:val="auto"/>
                <w:sz w:val="21"/>
                <w:szCs w:val="21"/>
                <w:highlight w:val="none"/>
              </w:rPr>
            </w:pPr>
            <w:r>
              <w:rPr>
                <w:bCs/>
                <w:color w:val="auto"/>
                <w:sz w:val="21"/>
                <w:szCs w:val="21"/>
                <w:highlight w:val="none"/>
              </w:rPr>
              <w:t>0.60</w:t>
            </w:r>
          </w:p>
        </w:tc>
        <w:tc>
          <w:tcPr>
            <w:tcW w:w="678" w:type="pct"/>
            <w:tcBorders>
              <w:tl2br w:val="nil"/>
              <w:tr2bl w:val="nil"/>
            </w:tcBorders>
            <w:vAlign w:val="center"/>
          </w:tcPr>
          <w:p w14:paraId="204DE6EA">
            <w:pPr>
              <w:spacing w:line="240" w:lineRule="auto"/>
              <w:ind w:firstLine="0" w:firstLineChars="0"/>
              <w:jc w:val="center"/>
              <w:rPr>
                <w:bCs/>
                <w:color w:val="auto"/>
                <w:sz w:val="21"/>
                <w:szCs w:val="21"/>
                <w:highlight w:val="none"/>
              </w:rPr>
            </w:pPr>
            <w:r>
              <w:rPr>
                <w:bCs/>
                <w:color w:val="auto"/>
                <w:sz w:val="21"/>
                <w:szCs w:val="21"/>
                <w:highlight w:val="none"/>
              </w:rPr>
              <w:t>/</w:t>
            </w:r>
          </w:p>
        </w:tc>
        <w:tc>
          <w:tcPr>
            <w:tcW w:w="785" w:type="pct"/>
            <w:tcBorders>
              <w:tl2br w:val="nil"/>
              <w:tr2bl w:val="nil"/>
            </w:tcBorders>
            <w:vAlign w:val="center"/>
          </w:tcPr>
          <w:p w14:paraId="67A0588D">
            <w:pPr>
              <w:spacing w:line="240" w:lineRule="auto"/>
              <w:ind w:firstLine="0" w:firstLineChars="0"/>
              <w:jc w:val="center"/>
              <w:rPr>
                <w:color w:val="auto"/>
                <w:sz w:val="21"/>
                <w:szCs w:val="21"/>
                <w:highlight w:val="none"/>
              </w:rPr>
            </w:pPr>
            <w:r>
              <w:rPr>
                <w:rFonts w:hint="eastAsia"/>
                <w:color w:val="auto"/>
                <w:sz w:val="21"/>
                <w:szCs w:val="21"/>
                <w:highlight w:val="none"/>
              </w:rPr>
              <w:t>21.8</w:t>
            </w:r>
            <w:r>
              <w:rPr>
                <w:color w:val="auto"/>
                <w:sz w:val="21"/>
                <w:szCs w:val="21"/>
                <w:highlight w:val="none"/>
              </w:rPr>
              <w:t>7</w:t>
            </w:r>
          </w:p>
        </w:tc>
      </w:tr>
      <w:tr w14:paraId="08607B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6A665D60">
            <w:pPr>
              <w:spacing w:line="240" w:lineRule="auto"/>
              <w:ind w:firstLine="0" w:firstLineChars="0"/>
              <w:jc w:val="center"/>
              <w:rPr>
                <w:bCs/>
                <w:color w:val="auto"/>
                <w:sz w:val="21"/>
                <w:szCs w:val="21"/>
                <w:highlight w:val="none"/>
              </w:rPr>
            </w:pPr>
          </w:p>
        </w:tc>
        <w:tc>
          <w:tcPr>
            <w:tcW w:w="509" w:type="pct"/>
            <w:vMerge w:val="continue"/>
            <w:tcBorders>
              <w:tl2br w:val="nil"/>
              <w:tr2bl w:val="nil"/>
            </w:tcBorders>
            <w:vAlign w:val="center"/>
          </w:tcPr>
          <w:p w14:paraId="74191871">
            <w:pPr>
              <w:spacing w:line="240" w:lineRule="auto"/>
              <w:ind w:firstLine="0" w:firstLineChars="0"/>
              <w:jc w:val="center"/>
              <w:rPr>
                <w:bCs/>
                <w:color w:val="auto"/>
                <w:sz w:val="21"/>
                <w:szCs w:val="21"/>
                <w:highlight w:val="none"/>
              </w:rPr>
            </w:pPr>
          </w:p>
        </w:tc>
        <w:tc>
          <w:tcPr>
            <w:tcW w:w="756" w:type="pct"/>
            <w:tcBorders>
              <w:tl2br w:val="nil"/>
              <w:tr2bl w:val="nil"/>
            </w:tcBorders>
            <w:vAlign w:val="center"/>
          </w:tcPr>
          <w:p w14:paraId="01CBAED3">
            <w:pPr>
              <w:spacing w:line="240" w:lineRule="auto"/>
              <w:ind w:firstLine="0" w:firstLineChars="0"/>
              <w:jc w:val="center"/>
              <w:rPr>
                <w:bCs/>
                <w:color w:val="auto"/>
                <w:sz w:val="21"/>
                <w:szCs w:val="21"/>
                <w:highlight w:val="none"/>
              </w:rPr>
            </w:pPr>
            <w:r>
              <w:rPr>
                <w:bCs/>
                <w:color w:val="auto"/>
                <w:sz w:val="21"/>
                <w:szCs w:val="21"/>
                <w:highlight w:val="none"/>
              </w:rPr>
              <w:t>废活性炭</w:t>
            </w:r>
          </w:p>
        </w:tc>
        <w:tc>
          <w:tcPr>
            <w:tcW w:w="674" w:type="pct"/>
            <w:tcBorders>
              <w:tl2br w:val="nil"/>
              <w:tr2bl w:val="nil"/>
            </w:tcBorders>
            <w:vAlign w:val="center"/>
          </w:tcPr>
          <w:p w14:paraId="7DFE8D38">
            <w:pPr>
              <w:spacing w:line="240" w:lineRule="auto"/>
              <w:ind w:firstLine="0" w:firstLineChars="0"/>
              <w:jc w:val="center"/>
              <w:rPr>
                <w:bCs/>
                <w:color w:val="auto"/>
                <w:sz w:val="21"/>
                <w:szCs w:val="21"/>
                <w:highlight w:val="none"/>
              </w:rPr>
            </w:pPr>
            <w:r>
              <w:rPr>
                <w:bCs/>
                <w:color w:val="auto"/>
                <w:sz w:val="21"/>
                <w:szCs w:val="21"/>
                <w:highlight w:val="none"/>
              </w:rPr>
              <w:t>0.8</w:t>
            </w:r>
          </w:p>
        </w:tc>
        <w:tc>
          <w:tcPr>
            <w:tcW w:w="635" w:type="pct"/>
            <w:tcBorders>
              <w:tl2br w:val="nil"/>
              <w:tr2bl w:val="nil"/>
            </w:tcBorders>
            <w:vAlign w:val="center"/>
          </w:tcPr>
          <w:p w14:paraId="297CA2DF">
            <w:pPr>
              <w:spacing w:line="240" w:lineRule="auto"/>
              <w:ind w:firstLine="0" w:firstLineChars="0"/>
              <w:jc w:val="center"/>
              <w:rPr>
                <w:bCs/>
                <w:color w:val="auto"/>
                <w:sz w:val="21"/>
                <w:szCs w:val="21"/>
                <w:highlight w:val="none"/>
              </w:rPr>
            </w:pPr>
            <w:r>
              <w:rPr>
                <w:bCs/>
                <w:color w:val="auto"/>
                <w:sz w:val="21"/>
                <w:szCs w:val="21"/>
                <w:highlight w:val="none"/>
              </w:rPr>
              <w:t>/</w:t>
            </w:r>
          </w:p>
        </w:tc>
        <w:tc>
          <w:tcPr>
            <w:tcW w:w="695" w:type="pct"/>
            <w:tcBorders>
              <w:tl2br w:val="nil"/>
              <w:tr2bl w:val="nil"/>
            </w:tcBorders>
            <w:vAlign w:val="center"/>
          </w:tcPr>
          <w:p w14:paraId="2D81036E">
            <w:pPr>
              <w:spacing w:line="240" w:lineRule="auto"/>
              <w:ind w:firstLine="0" w:firstLineChars="0"/>
              <w:jc w:val="center"/>
              <w:rPr>
                <w:bCs/>
                <w:color w:val="auto"/>
                <w:sz w:val="21"/>
                <w:szCs w:val="21"/>
                <w:highlight w:val="none"/>
              </w:rPr>
            </w:pPr>
            <w:r>
              <w:rPr>
                <w:bCs/>
                <w:color w:val="auto"/>
                <w:sz w:val="21"/>
                <w:szCs w:val="21"/>
                <w:highlight w:val="none"/>
              </w:rPr>
              <w:t>0.8</w:t>
            </w:r>
          </w:p>
        </w:tc>
        <w:tc>
          <w:tcPr>
            <w:tcW w:w="678" w:type="pct"/>
            <w:tcBorders>
              <w:tl2br w:val="nil"/>
              <w:tr2bl w:val="nil"/>
            </w:tcBorders>
            <w:vAlign w:val="center"/>
          </w:tcPr>
          <w:p w14:paraId="496D5233">
            <w:pPr>
              <w:spacing w:line="240" w:lineRule="auto"/>
              <w:ind w:firstLine="0" w:firstLineChars="0"/>
              <w:jc w:val="center"/>
              <w:rPr>
                <w:bCs/>
                <w:color w:val="auto"/>
                <w:sz w:val="21"/>
                <w:szCs w:val="21"/>
                <w:highlight w:val="none"/>
              </w:rPr>
            </w:pPr>
            <w:r>
              <w:rPr>
                <w:bCs/>
                <w:color w:val="auto"/>
                <w:sz w:val="21"/>
                <w:szCs w:val="21"/>
                <w:highlight w:val="none"/>
              </w:rPr>
              <w:t>/</w:t>
            </w:r>
          </w:p>
        </w:tc>
        <w:tc>
          <w:tcPr>
            <w:tcW w:w="785" w:type="pct"/>
            <w:tcBorders>
              <w:tl2br w:val="nil"/>
              <w:tr2bl w:val="nil"/>
            </w:tcBorders>
            <w:vAlign w:val="center"/>
          </w:tcPr>
          <w:p w14:paraId="01F7540F">
            <w:pPr>
              <w:spacing w:line="240" w:lineRule="auto"/>
              <w:ind w:firstLine="0" w:firstLineChars="0"/>
              <w:jc w:val="center"/>
              <w:rPr>
                <w:color w:val="auto"/>
                <w:sz w:val="21"/>
                <w:szCs w:val="21"/>
                <w:highlight w:val="none"/>
              </w:rPr>
            </w:pPr>
            <w:r>
              <w:rPr>
                <w:color w:val="auto"/>
                <w:sz w:val="21"/>
                <w:szCs w:val="21"/>
                <w:highlight w:val="none"/>
              </w:rPr>
              <w:t>1.6</w:t>
            </w:r>
          </w:p>
        </w:tc>
      </w:tr>
      <w:tr w14:paraId="0935B2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78744B9F">
            <w:pPr>
              <w:spacing w:line="240" w:lineRule="auto"/>
              <w:ind w:firstLine="0" w:firstLineChars="0"/>
              <w:jc w:val="center"/>
              <w:rPr>
                <w:bCs/>
                <w:color w:val="auto"/>
                <w:sz w:val="21"/>
                <w:szCs w:val="21"/>
                <w:highlight w:val="none"/>
              </w:rPr>
            </w:pPr>
          </w:p>
        </w:tc>
        <w:tc>
          <w:tcPr>
            <w:tcW w:w="509" w:type="pct"/>
            <w:vMerge w:val="continue"/>
            <w:tcBorders>
              <w:tl2br w:val="nil"/>
              <w:tr2bl w:val="nil"/>
            </w:tcBorders>
            <w:vAlign w:val="center"/>
          </w:tcPr>
          <w:p w14:paraId="20860C10">
            <w:pPr>
              <w:spacing w:line="240" w:lineRule="auto"/>
              <w:ind w:firstLine="0" w:firstLineChars="0"/>
              <w:jc w:val="center"/>
              <w:rPr>
                <w:bCs/>
                <w:color w:val="auto"/>
                <w:sz w:val="21"/>
                <w:szCs w:val="21"/>
                <w:highlight w:val="none"/>
              </w:rPr>
            </w:pPr>
          </w:p>
        </w:tc>
        <w:tc>
          <w:tcPr>
            <w:tcW w:w="756" w:type="pct"/>
            <w:tcBorders>
              <w:tl2br w:val="nil"/>
              <w:tr2bl w:val="nil"/>
            </w:tcBorders>
            <w:vAlign w:val="center"/>
          </w:tcPr>
          <w:p w14:paraId="51898F5D">
            <w:pPr>
              <w:spacing w:line="240" w:lineRule="auto"/>
              <w:ind w:firstLine="0" w:firstLineChars="0"/>
              <w:jc w:val="center"/>
              <w:rPr>
                <w:bCs/>
                <w:color w:val="auto"/>
                <w:sz w:val="21"/>
                <w:szCs w:val="21"/>
                <w:highlight w:val="none"/>
              </w:rPr>
            </w:pPr>
            <w:r>
              <w:rPr>
                <w:bCs/>
                <w:color w:val="auto"/>
                <w:sz w:val="21"/>
                <w:szCs w:val="21"/>
                <w:highlight w:val="none"/>
              </w:rPr>
              <w:t>废油污泥</w:t>
            </w:r>
          </w:p>
        </w:tc>
        <w:tc>
          <w:tcPr>
            <w:tcW w:w="674" w:type="pct"/>
            <w:tcBorders>
              <w:tl2br w:val="nil"/>
              <w:tr2bl w:val="nil"/>
            </w:tcBorders>
            <w:vAlign w:val="center"/>
          </w:tcPr>
          <w:p w14:paraId="254DBC8D">
            <w:pPr>
              <w:spacing w:line="240" w:lineRule="auto"/>
              <w:ind w:firstLine="0" w:firstLineChars="0"/>
              <w:jc w:val="center"/>
              <w:rPr>
                <w:bCs/>
                <w:color w:val="auto"/>
                <w:sz w:val="21"/>
                <w:szCs w:val="21"/>
                <w:highlight w:val="none"/>
              </w:rPr>
            </w:pPr>
            <w:r>
              <w:rPr>
                <w:bCs/>
                <w:color w:val="auto"/>
                <w:sz w:val="21"/>
                <w:szCs w:val="21"/>
                <w:highlight w:val="none"/>
              </w:rPr>
              <w:t>0.2</w:t>
            </w:r>
          </w:p>
        </w:tc>
        <w:tc>
          <w:tcPr>
            <w:tcW w:w="635" w:type="pct"/>
            <w:tcBorders>
              <w:tl2br w:val="nil"/>
              <w:tr2bl w:val="nil"/>
            </w:tcBorders>
            <w:vAlign w:val="center"/>
          </w:tcPr>
          <w:p w14:paraId="324737ED">
            <w:pPr>
              <w:spacing w:line="240" w:lineRule="auto"/>
              <w:ind w:firstLine="0" w:firstLineChars="0"/>
              <w:jc w:val="center"/>
              <w:rPr>
                <w:bCs/>
                <w:color w:val="auto"/>
                <w:sz w:val="21"/>
                <w:szCs w:val="21"/>
                <w:highlight w:val="none"/>
              </w:rPr>
            </w:pPr>
            <w:r>
              <w:rPr>
                <w:bCs/>
                <w:color w:val="auto"/>
                <w:sz w:val="21"/>
                <w:szCs w:val="21"/>
                <w:highlight w:val="none"/>
              </w:rPr>
              <w:t>/</w:t>
            </w:r>
          </w:p>
        </w:tc>
        <w:tc>
          <w:tcPr>
            <w:tcW w:w="695" w:type="pct"/>
            <w:tcBorders>
              <w:tl2br w:val="nil"/>
              <w:tr2bl w:val="nil"/>
            </w:tcBorders>
            <w:vAlign w:val="center"/>
          </w:tcPr>
          <w:p w14:paraId="71395C9B">
            <w:pPr>
              <w:spacing w:line="240" w:lineRule="auto"/>
              <w:ind w:firstLine="0" w:firstLineChars="0"/>
              <w:jc w:val="center"/>
              <w:rPr>
                <w:bCs/>
                <w:color w:val="auto"/>
                <w:sz w:val="21"/>
                <w:szCs w:val="21"/>
                <w:highlight w:val="none"/>
              </w:rPr>
            </w:pPr>
            <w:r>
              <w:rPr>
                <w:bCs/>
                <w:color w:val="auto"/>
                <w:sz w:val="21"/>
                <w:szCs w:val="21"/>
                <w:highlight w:val="none"/>
              </w:rPr>
              <w:t>/</w:t>
            </w:r>
          </w:p>
        </w:tc>
        <w:tc>
          <w:tcPr>
            <w:tcW w:w="678" w:type="pct"/>
            <w:tcBorders>
              <w:tl2br w:val="nil"/>
              <w:tr2bl w:val="nil"/>
            </w:tcBorders>
            <w:vAlign w:val="center"/>
          </w:tcPr>
          <w:p w14:paraId="40A29A86">
            <w:pPr>
              <w:spacing w:line="240" w:lineRule="auto"/>
              <w:ind w:firstLine="0" w:firstLineChars="0"/>
              <w:jc w:val="center"/>
              <w:rPr>
                <w:bCs/>
                <w:color w:val="auto"/>
                <w:sz w:val="21"/>
                <w:szCs w:val="21"/>
                <w:highlight w:val="none"/>
              </w:rPr>
            </w:pPr>
            <w:r>
              <w:rPr>
                <w:bCs/>
                <w:color w:val="auto"/>
                <w:sz w:val="21"/>
                <w:szCs w:val="21"/>
                <w:highlight w:val="none"/>
              </w:rPr>
              <w:t>/</w:t>
            </w:r>
          </w:p>
        </w:tc>
        <w:tc>
          <w:tcPr>
            <w:tcW w:w="785" w:type="pct"/>
            <w:tcBorders>
              <w:tl2br w:val="nil"/>
              <w:tr2bl w:val="nil"/>
            </w:tcBorders>
            <w:vAlign w:val="center"/>
          </w:tcPr>
          <w:p w14:paraId="390ED608">
            <w:pPr>
              <w:spacing w:line="240" w:lineRule="auto"/>
              <w:ind w:firstLine="0" w:firstLineChars="0"/>
              <w:jc w:val="center"/>
              <w:rPr>
                <w:color w:val="auto"/>
                <w:sz w:val="21"/>
                <w:szCs w:val="21"/>
                <w:highlight w:val="none"/>
              </w:rPr>
            </w:pPr>
            <w:r>
              <w:rPr>
                <w:color w:val="auto"/>
                <w:sz w:val="21"/>
                <w:szCs w:val="21"/>
                <w:highlight w:val="none"/>
              </w:rPr>
              <w:t>0.2</w:t>
            </w:r>
          </w:p>
        </w:tc>
      </w:tr>
      <w:tr w14:paraId="54BEF3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6BFE1D9B">
            <w:pPr>
              <w:spacing w:line="240" w:lineRule="auto"/>
              <w:ind w:firstLine="0" w:firstLineChars="0"/>
              <w:jc w:val="center"/>
              <w:rPr>
                <w:bCs/>
                <w:color w:val="auto"/>
                <w:sz w:val="21"/>
                <w:szCs w:val="21"/>
                <w:highlight w:val="none"/>
              </w:rPr>
            </w:pPr>
          </w:p>
        </w:tc>
        <w:tc>
          <w:tcPr>
            <w:tcW w:w="509" w:type="pct"/>
            <w:vMerge w:val="continue"/>
            <w:tcBorders>
              <w:tl2br w:val="nil"/>
              <w:tr2bl w:val="nil"/>
            </w:tcBorders>
            <w:vAlign w:val="center"/>
          </w:tcPr>
          <w:p w14:paraId="0EC2A9D0">
            <w:pPr>
              <w:spacing w:line="240" w:lineRule="auto"/>
              <w:ind w:firstLine="0" w:firstLineChars="0"/>
              <w:jc w:val="center"/>
              <w:rPr>
                <w:bCs/>
                <w:color w:val="auto"/>
                <w:sz w:val="21"/>
                <w:szCs w:val="21"/>
                <w:highlight w:val="none"/>
              </w:rPr>
            </w:pPr>
          </w:p>
        </w:tc>
        <w:tc>
          <w:tcPr>
            <w:tcW w:w="756" w:type="pct"/>
            <w:tcBorders>
              <w:tl2br w:val="nil"/>
              <w:tr2bl w:val="nil"/>
            </w:tcBorders>
            <w:vAlign w:val="center"/>
          </w:tcPr>
          <w:p w14:paraId="5CF9569E">
            <w:pPr>
              <w:spacing w:line="240" w:lineRule="auto"/>
              <w:ind w:firstLine="0" w:firstLineChars="0"/>
              <w:jc w:val="center"/>
              <w:rPr>
                <w:bCs/>
                <w:color w:val="auto"/>
                <w:sz w:val="21"/>
                <w:szCs w:val="21"/>
                <w:highlight w:val="none"/>
              </w:rPr>
            </w:pPr>
            <w:r>
              <w:rPr>
                <w:bCs/>
                <w:color w:val="auto"/>
                <w:sz w:val="21"/>
                <w:szCs w:val="21"/>
                <w:highlight w:val="none"/>
              </w:rPr>
              <w:t>废油漆桶</w:t>
            </w:r>
          </w:p>
        </w:tc>
        <w:tc>
          <w:tcPr>
            <w:tcW w:w="674" w:type="pct"/>
            <w:tcBorders>
              <w:tl2br w:val="nil"/>
              <w:tr2bl w:val="nil"/>
            </w:tcBorders>
            <w:vAlign w:val="center"/>
          </w:tcPr>
          <w:p w14:paraId="647CE53B">
            <w:pPr>
              <w:spacing w:line="240" w:lineRule="auto"/>
              <w:ind w:firstLine="0" w:firstLineChars="0"/>
              <w:jc w:val="center"/>
              <w:rPr>
                <w:bCs/>
                <w:color w:val="auto"/>
                <w:sz w:val="21"/>
                <w:szCs w:val="21"/>
                <w:highlight w:val="none"/>
              </w:rPr>
            </w:pPr>
            <w:r>
              <w:rPr>
                <w:bCs/>
                <w:color w:val="auto"/>
                <w:sz w:val="21"/>
                <w:szCs w:val="21"/>
                <w:highlight w:val="none"/>
              </w:rPr>
              <w:t>30</w:t>
            </w:r>
          </w:p>
        </w:tc>
        <w:tc>
          <w:tcPr>
            <w:tcW w:w="635" w:type="pct"/>
            <w:tcBorders>
              <w:tl2br w:val="nil"/>
              <w:tr2bl w:val="nil"/>
            </w:tcBorders>
            <w:vAlign w:val="center"/>
          </w:tcPr>
          <w:p w14:paraId="2672EF9D">
            <w:pPr>
              <w:spacing w:line="240" w:lineRule="auto"/>
              <w:ind w:firstLine="0" w:firstLineChars="0"/>
              <w:jc w:val="center"/>
              <w:rPr>
                <w:bCs/>
                <w:color w:val="auto"/>
                <w:sz w:val="21"/>
                <w:szCs w:val="21"/>
                <w:highlight w:val="none"/>
              </w:rPr>
            </w:pPr>
            <w:r>
              <w:rPr>
                <w:bCs/>
                <w:color w:val="auto"/>
                <w:sz w:val="21"/>
                <w:szCs w:val="21"/>
                <w:highlight w:val="none"/>
              </w:rPr>
              <w:t>/</w:t>
            </w:r>
          </w:p>
        </w:tc>
        <w:tc>
          <w:tcPr>
            <w:tcW w:w="695" w:type="pct"/>
            <w:tcBorders>
              <w:tl2br w:val="nil"/>
              <w:tr2bl w:val="nil"/>
            </w:tcBorders>
            <w:vAlign w:val="center"/>
          </w:tcPr>
          <w:p w14:paraId="225F1215">
            <w:pPr>
              <w:spacing w:line="240" w:lineRule="auto"/>
              <w:ind w:firstLine="0" w:firstLineChars="0"/>
              <w:jc w:val="center"/>
              <w:rPr>
                <w:bCs/>
                <w:color w:val="auto"/>
                <w:sz w:val="21"/>
                <w:szCs w:val="21"/>
                <w:highlight w:val="none"/>
              </w:rPr>
            </w:pPr>
            <w:r>
              <w:rPr>
                <w:bCs/>
                <w:color w:val="auto"/>
                <w:sz w:val="21"/>
                <w:szCs w:val="21"/>
                <w:highlight w:val="none"/>
              </w:rPr>
              <w:t>1</w:t>
            </w:r>
          </w:p>
        </w:tc>
        <w:tc>
          <w:tcPr>
            <w:tcW w:w="678" w:type="pct"/>
            <w:tcBorders>
              <w:tl2br w:val="nil"/>
              <w:tr2bl w:val="nil"/>
            </w:tcBorders>
            <w:vAlign w:val="center"/>
          </w:tcPr>
          <w:p w14:paraId="34458460">
            <w:pPr>
              <w:spacing w:line="240" w:lineRule="auto"/>
              <w:ind w:firstLine="0" w:firstLineChars="0"/>
              <w:jc w:val="center"/>
              <w:rPr>
                <w:bCs/>
                <w:color w:val="auto"/>
                <w:sz w:val="21"/>
                <w:szCs w:val="21"/>
                <w:highlight w:val="none"/>
              </w:rPr>
            </w:pPr>
            <w:r>
              <w:rPr>
                <w:bCs/>
                <w:color w:val="auto"/>
                <w:sz w:val="21"/>
                <w:szCs w:val="21"/>
                <w:highlight w:val="none"/>
              </w:rPr>
              <w:t>0.1</w:t>
            </w:r>
          </w:p>
        </w:tc>
        <w:tc>
          <w:tcPr>
            <w:tcW w:w="785" w:type="pct"/>
            <w:tcBorders>
              <w:tl2br w:val="nil"/>
              <w:tr2bl w:val="nil"/>
            </w:tcBorders>
            <w:vAlign w:val="center"/>
          </w:tcPr>
          <w:p w14:paraId="69F41B0F">
            <w:pPr>
              <w:spacing w:line="240" w:lineRule="auto"/>
              <w:ind w:firstLine="0" w:firstLineChars="0"/>
              <w:jc w:val="center"/>
              <w:rPr>
                <w:color w:val="auto"/>
                <w:sz w:val="21"/>
                <w:szCs w:val="21"/>
                <w:highlight w:val="none"/>
              </w:rPr>
            </w:pPr>
            <w:r>
              <w:rPr>
                <w:color w:val="auto"/>
                <w:sz w:val="21"/>
                <w:szCs w:val="21"/>
                <w:highlight w:val="none"/>
              </w:rPr>
              <w:t>31.1</w:t>
            </w:r>
          </w:p>
        </w:tc>
      </w:tr>
      <w:tr w14:paraId="1F5A57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3C915D28">
            <w:pPr>
              <w:spacing w:line="240" w:lineRule="auto"/>
              <w:ind w:firstLine="0" w:firstLineChars="0"/>
              <w:jc w:val="center"/>
              <w:rPr>
                <w:bCs/>
                <w:color w:val="auto"/>
                <w:sz w:val="21"/>
                <w:szCs w:val="21"/>
                <w:highlight w:val="none"/>
              </w:rPr>
            </w:pPr>
          </w:p>
        </w:tc>
        <w:tc>
          <w:tcPr>
            <w:tcW w:w="509" w:type="pct"/>
            <w:vMerge w:val="continue"/>
            <w:tcBorders>
              <w:tl2br w:val="nil"/>
              <w:tr2bl w:val="nil"/>
            </w:tcBorders>
            <w:vAlign w:val="center"/>
          </w:tcPr>
          <w:p w14:paraId="2FAF9C94">
            <w:pPr>
              <w:spacing w:line="240" w:lineRule="auto"/>
              <w:ind w:firstLine="0" w:firstLineChars="0"/>
              <w:jc w:val="center"/>
              <w:rPr>
                <w:bCs/>
                <w:color w:val="auto"/>
                <w:sz w:val="21"/>
                <w:szCs w:val="21"/>
                <w:highlight w:val="none"/>
              </w:rPr>
            </w:pPr>
          </w:p>
        </w:tc>
        <w:tc>
          <w:tcPr>
            <w:tcW w:w="756" w:type="pct"/>
            <w:tcBorders>
              <w:tl2br w:val="nil"/>
              <w:tr2bl w:val="nil"/>
            </w:tcBorders>
            <w:vAlign w:val="center"/>
          </w:tcPr>
          <w:p w14:paraId="7F169375">
            <w:pPr>
              <w:spacing w:line="240" w:lineRule="auto"/>
              <w:ind w:firstLine="0" w:firstLineChars="0"/>
              <w:jc w:val="center"/>
              <w:rPr>
                <w:color w:val="auto"/>
                <w:sz w:val="21"/>
                <w:szCs w:val="21"/>
                <w:highlight w:val="none"/>
              </w:rPr>
            </w:pPr>
            <w:r>
              <w:rPr>
                <w:color w:val="auto"/>
                <w:sz w:val="21"/>
                <w:szCs w:val="21"/>
                <w:highlight w:val="none"/>
              </w:rPr>
              <w:t>废稀释剂</w:t>
            </w:r>
          </w:p>
        </w:tc>
        <w:tc>
          <w:tcPr>
            <w:tcW w:w="674" w:type="pct"/>
            <w:tcBorders>
              <w:tl2br w:val="nil"/>
              <w:tr2bl w:val="nil"/>
            </w:tcBorders>
            <w:vAlign w:val="center"/>
          </w:tcPr>
          <w:p w14:paraId="2023EA77">
            <w:pPr>
              <w:spacing w:line="240" w:lineRule="auto"/>
              <w:ind w:firstLine="0" w:firstLineChars="0"/>
              <w:jc w:val="center"/>
              <w:rPr>
                <w:color w:val="auto"/>
                <w:sz w:val="21"/>
                <w:szCs w:val="21"/>
                <w:highlight w:val="none"/>
              </w:rPr>
            </w:pPr>
            <w:r>
              <w:rPr>
                <w:bCs/>
                <w:color w:val="auto"/>
                <w:sz w:val="21"/>
                <w:szCs w:val="21"/>
                <w:highlight w:val="none"/>
              </w:rPr>
              <w:t>/</w:t>
            </w:r>
          </w:p>
        </w:tc>
        <w:tc>
          <w:tcPr>
            <w:tcW w:w="635" w:type="pct"/>
            <w:tcBorders>
              <w:tl2br w:val="nil"/>
              <w:tr2bl w:val="nil"/>
            </w:tcBorders>
            <w:vAlign w:val="center"/>
          </w:tcPr>
          <w:p w14:paraId="1CE68D8E">
            <w:pPr>
              <w:spacing w:line="240" w:lineRule="auto"/>
              <w:ind w:firstLine="0" w:firstLineChars="0"/>
              <w:jc w:val="center"/>
              <w:rPr>
                <w:color w:val="auto"/>
                <w:sz w:val="21"/>
                <w:szCs w:val="21"/>
                <w:highlight w:val="none"/>
              </w:rPr>
            </w:pPr>
            <w:r>
              <w:rPr>
                <w:bCs/>
                <w:color w:val="auto"/>
                <w:sz w:val="21"/>
                <w:szCs w:val="21"/>
                <w:highlight w:val="none"/>
              </w:rPr>
              <w:t>/</w:t>
            </w:r>
          </w:p>
        </w:tc>
        <w:tc>
          <w:tcPr>
            <w:tcW w:w="695" w:type="pct"/>
            <w:tcBorders>
              <w:tl2br w:val="nil"/>
              <w:tr2bl w:val="nil"/>
            </w:tcBorders>
            <w:vAlign w:val="center"/>
          </w:tcPr>
          <w:p w14:paraId="53D14E83">
            <w:pPr>
              <w:spacing w:line="240" w:lineRule="auto"/>
              <w:ind w:firstLine="0" w:firstLineChars="0"/>
              <w:jc w:val="center"/>
              <w:rPr>
                <w:bCs/>
                <w:color w:val="auto"/>
                <w:sz w:val="21"/>
                <w:szCs w:val="21"/>
                <w:highlight w:val="none"/>
              </w:rPr>
            </w:pPr>
            <w:r>
              <w:rPr>
                <w:bCs/>
                <w:color w:val="auto"/>
                <w:sz w:val="21"/>
                <w:szCs w:val="21"/>
                <w:highlight w:val="none"/>
              </w:rPr>
              <w:t>0.9</w:t>
            </w:r>
          </w:p>
        </w:tc>
        <w:tc>
          <w:tcPr>
            <w:tcW w:w="678" w:type="pct"/>
            <w:tcBorders>
              <w:tl2br w:val="nil"/>
              <w:tr2bl w:val="nil"/>
            </w:tcBorders>
            <w:vAlign w:val="center"/>
          </w:tcPr>
          <w:p w14:paraId="1FBDCDD6">
            <w:pPr>
              <w:spacing w:line="240" w:lineRule="auto"/>
              <w:ind w:firstLine="0" w:firstLineChars="0"/>
              <w:jc w:val="center"/>
              <w:rPr>
                <w:color w:val="auto"/>
                <w:sz w:val="21"/>
                <w:szCs w:val="21"/>
                <w:highlight w:val="none"/>
              </w:rPr>
            </w:pPr>
            <w:r>
              <w:rPr>
                <w:bCs/>
                <w:color w:val="auto"/>
                <w:sz w:val="21"/>
                <w:szCs w:val="21"/>
                <w:highlight w:val="none"/>
              </w:rPr>
              <w:t>/</w:t>
            </w:r>
          </w:p>
        </w:tc>
        <w:tc>
          <w:tcPr>
            <w:tcW w:w="785" w:type="pct"/>
            <w:tcBorders>
              <w:tl2br w:val="nil"/>
              <w:tr2bl w:val="nil"/>
            </w:tcBorders>
            <w:vAlign w:val="center"/>
          </w:tcPr>
          <w:p w14:paraId="4F8E40D7">
            <w:pPr>
              <w:spacing w:line="240" w:lineRule="auto"/>
              <w:ind w:firstLine="0" w:firstLineChars="0"/>
              <w:jc w:val="center"/>
              <w:rPr>
                <w:color w:val="auto"/>
                <w:sz w:val="21"/>
                <w:szCs w:val="21"/>
                <w:highlight w:val="none"/>
              </w:rPr>
            </w:pPr>
            <w:r>
              <w:rPr>
                <w:color w:val="auto"/>
                <w:sz w:val="21"/>
                <w:szCs w:val="21"/>
                <w:highlight w:val="none"/>
              </w:rPr>
              <w:t>0.9</w:t>
            </w:r>
          </w:p>
        </w:tc>
      </w:tr>
      <w:tr w14:paraId="584F23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67DB3904">
            <w:pPr>
              <w:spacing w:line="240" w:lineRule="auto"/>
              <w:ind w:firstLine="0" w:firstLineChars="0"/>
              <w:jc w:val="center"/>
              <w:rPr>
                <w:bCs/>
                <w:color w:val="auto"/>
                <w:sz w:val="21"/>
                <w:szCs w:val="21"/>
                <w:highlight w:val="none"/>
              </w:rPr>
            </w:pPr>
          </w:p>
        </w:tc>
        <w:tc>
          <w:tcPr>
            <w:tcW w:w="509" w:type="pct"/>
            <w:vMerge w:val="continue"/>
            <w:tcBorders>
              <w:tl2br w:val="nil"/>
              <w:tr2bl w:val="nil"/>
            </w:tcBorders>
            <w:vAlign w:val="center"/>
          </w:tcPr>
          <w:p w14:paraId="602729CA">
            <w:pPr>
              <w:spacing w:line="240" w:lineRule="auto"/>
              <w:ind w:firstLine="0" w:firstLineChars="0"/>
              <w:jc w:val="center"/>
              <w:rPr>
                <w:bCs/>
                <w:color w:val="auto"/>
                <w:sz w:val="21"/>
                <w:szCs w:val="21"/>
                <w:highlight w:val="none"/>
              </w:rPr>
            </w:pPr>
          </w:p>
        </w:tc>
        <w:tc>
          <w:tcPr>
            <w:tcW w:w="756" w:type="pct"/>
            <w:tcBorders>
              <w:tl2br w:val="nil"/>
              <w:tr2bl w:val="nil"/>
            </w:tcBorders>
            <w:vAlign w:val="center"/>
          </w:tcPr>
          <w:p w14:paraId="597B1455">
            <w:pPr>
              <w:spacing w:line="240" w:lineRule="auto"/>
              <w:ind w:firstLine="0" w:firstLineChars="0"/>
              <w:jc w:val="center"/>
              <w:rPr>
                <w:color w:val="auto"/>
                <w:sz w:val="21"/>
                <w:szCs w:val="21"/>
                <w:highlight w:val="none"/>
              </w:rPr>
            </w:pPr>
            <w:r>
              <w:rPr>
                <w:color w:val="auto"/>
                <w:sz w:val="21"/>
                <w:szCs w:val="21"/>
                <w:highlight w:val="none"/>
              </w:rPr>
              <w:t>废过滤棉</w:t>
            </w:r>
          </w:p>
        </w:tc>
        <w:tc>
          <w:tcPr>
            <w:tcW w:w="674" w:type="pct"/>
            <w:tcBorders>
              <w:tl2br w:val="nil"/>
              <w:tr2bl w:val="nil"/>
            </w:tcBorders>
            <w:vAlign w:val="center"/>
          </w:tcPr>
          <w:p w14:paraId="61C7D492">
            <w:pPr>
              <w:spacing w:line="240" w:lineRule="auto"/>
              <w:ind w:firstLine="0" w:firstLineChars="0"/>
              <w:jc w:val="center"/>
              <w:rPr>
                <w:bCs/>
                <w:color w:val="auto"/>
                <w:sz w:val="21"/>
                <w:szCs w:val="21"/>
                <w:highlight w:val="none"/>
              </w:rPr>
            </w:pPr>
            <w:r>
              <w:rPr>
                <w:bCs/>
                <w:color w:val="auto"/>
                <w:sz w:val="21"/>
                <w:szCs w:val="21"/>
                <w:highlight w:val="none"/>
              </w:rPr>
              <w:t>/</w:t>
            </w:r>
          </w:p>
        </w:tc>
        <w:tc>
          <w:tcPr>
            <w:tcW w:w="635" w:type="pct"/>
            <w:tcBorders>
              <w:tl2br w:val="nil"/>
              <w:tr2bl w:val="nil"/>
            </w:tcBorders>
            <w:vAlign w:val="center"/>
          </w:tcPr>
          <w:p w14:paraId="4A32E11F">
            <w:pPr>
              <w:spacing w:line="240" w:lineRule="auto"/>
              <w:ind w:firstLine="0" w:firstLineChars="0"/>
              <w:jc w:val="center"/>
              <w:rPr>
                <w:bCs/>
                <w:color w:val="auto"/>
                <w:sz w:val="21"/>
                <w:szCs w:val="21"/>
                <w:highlight w:val="none"/>
              </w:rPr>
            </w:pPr>
            <w:r>
              <w:rPr>
                <w:bCs/>
                <w:color w:val="auto"/>
                <w:sz w:val="21"/>
                <w:szCs w:val="21"/>
                <w:highlight w:val="none"/>
              </w:rPr>
              <w:t>/</w:t>
            </w:r>
          </w:p>
        </w:tc>
        <w:tc>
          <w:tcPr>
            <w:tcW w:w="695" w:type="pct"/>
            <w:tcBorders>
              <w:tl2br w:val="nil"/>
              <w:tr2bl w:val="nil"/>
            </w:tcBorders>
            <w:vAlign w:val="center"/>
          </w:tcPr>
          <w:p w14:paraId="1CF33450">
            <w:pPr>
              <w:spacing w:line="240" w:lineRule="auto"/>
              <w:ind w:firstLine="0" w:firstLineChars="0"/>
              <w:jc w:val="center"/>
              <w:rPr>
                <w:color w:val="auto"/>
                <w:sz w:val="21"/>
                <w:szCs w:val="21"/>
                <w:highlight w:val="none"/>
              </w:rPr>
            </w:pPr>
            <w:r>
              <w:rPr>
                <w:color w:val="auto"/>
                <w:sz w:val="21"/>
                <w:szCs w:val="21"/>
                <w:highlight w:val="none"/>
              </w:rPr>
              <w:t xml:space="preserve">34.56  </w:t>
            </w:r>
          </w:p>
        </w:tc>
        <w:tc>
          <w:tcPr>
            <w:tcW w:w="678" w:type="pct"/>
            <w:tcBorders>
              <w:tl2br w:val="nil"/>
              <w:tr2bl w:val="nil"/>
            </w:tcBorders>
            <w:vAlign w:val="center"/>
          </w:tcPr>
          <w:p w14:paraId="392A9091">
            <w:pPr>
              <w:spacing w:line="240" w:lineRule="auto"/>
              <w:ind w:firstLine="0" w:firstLineChars="0"/>
              <w:jc w:val="center"/>
              <w:rPr>
                <w:bCs/>
                <w:color w:val="auto"/>
                <w:sz w:val="21"/>
                <w:szCs w:val="21"/>
                <w:highlight w:val="none"/>
              </w:rPr>
            </w:pPr>
            <w:r>
              <w:rPr>
                <w:bCs/>
                <w:color w:val="auto"/>
                <w:sz w:val="21"/>
                <w:szCs w:val="21"/>
                <w:highlight w:val="none"/>
              </w:rPr>
              <w:t>/</w:t>
            </w:r>
          </w:p>
        </w:tc>
        <w:tc>
          <w:tcPr>
            <w:tcW w:w="785" w:type="pct"/>
            <w:tcBorders>
              <w:tl2br w:val="nil"/>
              <w:tr2bl w:val="nil"/>
            </w:tcBorders>
            <w:vAlign w:val="center"/>
          </w:tcPr>
          <w:p w14:paraId="30F8EAA9">
            <w:pPr>
              <w:spacing w:line="240" w:lineRule="auto"/>
              <w:ind w:firstLine="0" w:firstLineChars="0"/>
              <w:jc w:val="center"/>
              <w:rPr>
                <w:color w:val="auto"/>
                <w:sz w:val="21"/>
                <w:szCs w:val="21"/>
                <w:highlight w:val="none"/>
              </w:rPr>
            </w:pPr>
            <w:r>
              <w:rPr>
                <w:color w:val="auto"/>
                <w:sz w:val="21"/>
                <w:szCs w:val="21"/>
                <w:highlight w:val="none"/>
              </w:rPr>
              <w:t>34.56</w:t>
            </w:r>
          </w:p>
        </w:tc>
      </w:tr>
      <w:tr w14:paraId="010F50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6EFF578C">
            <w:pPr>
              <w:spacing w:line="240" w:lineRule="auto"/>
              <w:ind w:firstLine="0" w:firstLineChars="0"/>
              <w:jc w:val="center"/>
              <w:rPr>
                <w:bCs/>
                <w:color w:val="auto"/>
                <w:sz w:val="21"/>
                <w:szCs w:val="21"/>
                <w:highlight w:val="none"/>
              </w:rPr>
            </w:pPr>
          </w:p>
        </w:tc>
        <w:tc>
          <w:tcPr>
            <w:tcW w:w="509" w:type="pct"/>
            <w:vMerge w:val="continue"/>
            <w:tcBorders>
              <w:tl2br w:val="nil"/>
              <w:tr2bl w:val="nil"/>
            </w:tcBorders>
            <w:vAlign w:val="center"/>
          </w:tcPr>
          <w:p w14:paraId="54CE82CE">
            <w:pPr>
              <w:spacing w:line="240" w:lineRule="auto"/>
              <w:ind w:firstLine="0" w:firstLineChars="0"/>
              <w:jc w:val="center"/>
              <w:rPr>
                <w:bCs/>
                <w:color w:val="auto"/>
                <w:sz w:val="21"/>
                <w:szCs w:val="21"/>
                <w:highlight w:val="none"/>
              </w:rPr>
            </w:pPr>
          </w:p>
        </w:tc>
        <w:tc>
          <w:tcPr>
            <w:tcW w:w="756" w:type="pct"/>
            <w:tcBorders>
              <w:tl2br w:val="nil"/>
              <w:tr2bl w:val="nil"/>
            </w:tcBorders>
            <w:vAlign w:val="center"/>
          </w:tcPr>
          <w:p w14:paraId="117CF6E0">
            <w:pPr>
              <w:spacing w:line="240" w:lineRule="auto"/>
              <w:ind w:firstLine="0" w:firstLineChars="0"/>
              <w:jc w:val="center"/>
              <w:rPr>
                <w:color w:val="auto"/>
                <w:sz w:val="21"/>
                <w:szCs w:val="21"/>
                <w:highlight w:val="none"/>
              </w:rPr>
            </w:pPr>
            <w:r>
              <w:rPr>
                <w:color w:val="auto"/>
                <w:sz w:val="21"/>
                <w:szCs w:val="21"/>
                <w:highlight w:val="none"/>
              </w:rPr>
              <w:t>废催化剂</w:t>
            </w:r>
          </w:p>
        </w:tc>
        <w:tc>
          <w:tcPr>
            <w:tcW w:w="674" w:type="pct"/>
            <w:tcBorders>
              <w:tl2br w:val="nil"/>
              <w:tr2bl w:val="nil"/>
            </w:tcBorders>
            <w:vAlign w:val="center"/>
          </w:tcPr>
          <w:p w14:paraId="0217A148">
            <w:pPr>
              <w:spacing w:line="240" w:lineRule="auto"/>
              <w:ind w:firstLine="0" w:firstLineChars="0"/>
              <w:jc w:val="center"/>
              <w:rPr>
                <w:bCs/>
                <w:color w:val="auto"/>
                <w:sz w:val="21"/>
                <w:szCs w:val="21"/>
                <w:highlight w:val="none"/>
              </w:rPr>
            </w:pPr>
            <w:r>
              <w:rPr>
                <w:bCs/>
                <w:color w:val="auto"/>
                <w:sz w:val="21"/>
                <w:szCs w:val="21"/>
                <w:highlight w:val="none"/>
              </w:rPr>
              <w:t>/</w:t>
            </w:r>
          </w:p>
        </w:tc>
        <w:tc>
          <w:tcPr>
            <w:tcW w:w="635" w:type="pct"/>
            <w:tcBorders>
              <w:tl2br w:val="nil"/>
              <w:tr2bl w:val="nil"/>
            </w:tcBorders>
            <w:vAlign w:val="center"/>
          </w:tcPr>
          <w:p w14:paraId="5F92F995">
            <w:pPr>
              <w:spacing w:line="240" w:lineRule="auto"/>
              <w:ind w:firstLine="0" w:firstLineChars="0"/>
              <w:jc w:val="center"/>
              <w:rPr>
                <w:bCs/>
                <w:color w:val="auto"/>
                <w:sz w:val="21"/>
                <w:szCs w:val="21"/>
                <w:highlight w:val="none"/>
              </w:rPr>
            </w:pPr>
            <w:r>
              <w:rPr>
                <w:bCs/>
                <w:color w:val="auto"/>
                <w:sz w:val="21"/>
                <w:szCs w:val="21"/>
                <w:highlight w:val="none"/>
              </w:rPr>
              <w:t>/</w:t>
            </w:r>
          </w:p>
        </w:tc>
        <w:tc>
          <w:tcPr>
            <w:tcW w:w="695" w:type="pct"/>
            <w:tcBorders>
              <w:tl2br w:val="nil"/>
              <w:tr2bl w:val="nil"/>
            </w:tcBorders>
            <w:vAlign w:val="center"/>
          </w:tcPr>
          <w:p w14:paraId="247DAC57">
            <w:pPr>
              <w:spacing w:line="240" w:lineRule="auto"/>
              <w:ind w:firstLine="0" w:firstLineChars="0"/>
              <w:jc w:val="center"/>
              <w:rPr>
                <w:color w:val="auto"/>
                <w:sz w:val="21"/>
                <w:szCs w:val="21"/>
                <w:highlight w:val="none"/>
              </w:rPr>
            </w:pPr>
            <w:r>
              <w:rPr>
                <w:color w:val="auto"/>
                <w:sz w:val="21"/>
                <w:szCs w:val="21"/>
                <w:highlight w:val="none"/>
              </w:rPr>
              <w:t>0.01</w:t>
            </w:r>
          </w:p>
        </w:tc>
        <w:tc>
          <w:tcPr>
            <w:tcW w:w="678" w:type="pct"/>
            <w:tcBorders>
              <w:tl2br w:val="nil"/>
              <w:tr2bl w:val="nil"/>
            </w:tcBorders>
            <w:vAlign w:val="center"/>
          </w:tcPr>
          <w:p w14:paraId="04493C9B">
            <w:pPr>
              <w:spacing w:line="240" w:lineRule="auto"/>
              <w:ind w:firstLine="0" w:firstLineChars="0"/>
              <w:jc w:val="center"/>
              <w:rPr>
                <w:bCs/>
                <w:color w:val="auto"/>
                <w:sz w:val="21"/>
                <w:szCs w:val="21"/>
                <w:highlight w:val="none"/>
              </w:rPr>
            </w:pPr>
          </w:p>
        </w:tc>
        <w:tc>
          <w:tcPr>
            <w:tcW w:w="785" w:type="pct"/>
            <w:tcBorders>
              <w:tl2br w:val="nil"/>
              <w:tr2bl w:val="nil"/>
            </w:tcBorders>
            <w:vAlign w:val="center"/>
          </w:tcPr>
          <w:p w14:paraId="08A6C63A">
            <w:pPr>
              <w:spacing w:line="240" w:lineRule="auto"/>
              <w:ind w:firstLine="0" w:firstLineChars="0"/>
              <w:jc w:val="center"/>
              <w:rPr>
                <w:color w:val="auto"/>
                <w:sz w:val="21"/>
                <w:szCs w:val="21"/>
                <w:highlight w:val="none"/>
              </w:rPr>
            </w:pPr>
            <w:r>
              <w:rPr>
                <w:color w:val="auto"/>
                <w:sz w:val="21"/>
                <w:szCs w:val="21"/>
                <w:highlight w:val="none"/>
              </w:rPr>
              <w:t>0.01</w:t>
            </w:r>
          </w:p>
        </w:tc>
      </w:tr>
      <w:tr w14:paraId="35365D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43857A8A">
            <w:pPr>
              <w:spacing w:line="240" w:lineRule="auto"/>
              <w:ind w:firstLine="0" w:firstLineChars="0"/>
              <w:jc w:val="center"/>
              <w:rPr>
                <w:bCs/>
                <w:color w:val="auto"/>
                <w:sz w:val="21"/>
                <w:szCs w:val="21"/>
                <w:highlight w:val="none"/>
              </w:rPr>
            </w:pPr>
          </w:p>
        </w:tc>
        <w:tc>
          <w:tcPr>
            <w:tcW w:w="509" w:type="pct"/>
            <w:vMerge w:val="continue"/>
            <w:tcBorders>
              <w:tl2br w:val="nil"/>
              <w:tr2bl w:val="nil"/>
            </w:tcBorders>
            <w:vAlign w:val="center"/>
          </w:tcPr>
          <w:p w14:paraId="72BAE62F">
            <w:pPr>
              <w:spacing w:line="240" w:lineRule="auto"/>
              <w:ind w:firstLine="0" w:firstLineChars="0"/>
              <w:jc w:val="center"/>
              <w:rPr>
                <w:bCs/>
                <w:color w:val="auto"/>
                <w:sz w:val="21"/>
                <w:szCs w:val="21"/>
                <w:highlight w:val="none"/>
              </w:rPr>
            </w:pPr>
          </w:p>
        </w:tc>
        <w:tc>
          <w:tcPr>
            <w:tcW w:w="756" w:type="pct"/>
            <w:tcBorders>
              <w:tl2br w:val="nil"/>
              <w:tr2bl w:val="nil"/>
            </w:tcBorders>
            <w:vAlign w:val="center"/>
          </w:tcPr>
          <w:p w14:paraId="071D8D84">
            <w:pPr>
              <w:spacing w:line="240" w:lineRule="auto"/>
              <w:ind w:firstLine="0" w:firstLineChars="0"/>
              <w:jc w:val="center"/>
              <w:rPr>
                <w:color w:val="auto"/>
                <w:sz w:val="21"/>
                <w:szCs w:val="21"/>
                <w:highlight w:val="none"/>
              </w:rPr>
            </w:pPr>
            <w:r>
              <w:rPr>
                <w:color w:val="auto"/>
                <w:sz w:val="21"/>
                <w:szCs w:val="21"/>
                <w:highlight w:val="none"/>
              </w:rPr>
              <w:t>废润滑油</w:t>
            </w:r>
          </w:p>
        </w:tc>
        <w:tc>
          <w:tcPr>
            <w:tcW w:w="674" w:type="pct"/>
            <w:tcBorders>
              <w:tl2br w:val="nil"/>
              <w:tr2bl w:val="nil"/>
            </w:tcBorders>
            <w:vAlign w:val="center"/>
          </w:tcPr>
          <w:p w14:paraId="13CABEEC">
            <w:pPr>
              <w:spacing w:line="240" w:lineRule="auto"/>
              <w:ind w:firstLine="0" w:firstLineChars="0"/>
              <w:jc w:val="center"/>
              <w:rPr>
                <w:color w:val="auto"/>
                <w:sz w:val="21"/>
                <w:szCs w:val="21"/>
                <w:highlight w:val="none"/>
              </w:rPr>
            </w:pPr>
            <w:r>
              <w:rPr>
                <w:bCs/>
                <w:color w:val="auto"/>
                <w:sz w:val="21"/>
                <w:szCs w:val="21"/>
                <w:highlight w:val="none"/>
              </w:rPr>
              <w:t>/</w:t>
            </w:r>
          </w:p>
        </w:tc>
        <w:tc>
          <w:tcPr>
            <w:tcW w:w="635" w:type="pct"/>
            <w:tcBorders>
              <w:tl2br w:val="nil"/>
              <w:tr2bl w:val="nil"/>
            </w:tcBorders>
            <w:vAlign w:val="center"/>
          </w:tcPr>
          <w:p w14:paraId="640B1F86">
            <w:pPr>
              <w:spacing w:line="240" w:lineRule="auto"/>
              <w:ind w:firstLine="0" w:firstLineChars="0"/>
              <w:jc w:val="center"/>
              <w:rPr>
                <w:color w:val="auto"/>
                <w:sz w:val="21"/>
                <w:szCs w:val="21"/>
                <w:highlight w:val="none"/>
              </w:rPr>
            </w:pPr>
            <w:r>
              <w:rPr>
                <w:bCs/>
                <w:color w:val="auto"/>
                <w:sz w:val="21"/>
                <w:szCs w:val="21"/>
                <w:highlight w:val="none"/>
              </w:rPr>
              <w:t>/</w:t>
            </w:r>
          </w:p>
        </w:tc>
        <w:tc>
          <w:tcPr>
            <w:tcW w:w="695" w:type="pct"/>
            <w:tcBorders>
              <w:tl2br w:val="nil"/>
              <w:tr2bl w:val="nil"/>
            </w:tcBorders>
            <w:vAlign w:val="center"/>
          </w:tcPr>
          <w:p w14:paraId="19C555F0">
            <w:pPr>
              <w:spacing w:line="240" w:lineRule="auto"/>
              <w:ind w:firstLine="0" w:firstLineChars="0"/>
              <w:jc w:val="center"/>
              <w:rPr>
                <w:color w:val="auto"/>
                <w:sz w:val="21"/>
                <w:szCs w:val="21"/>
                <w:highlight w:val="none"/>
              </w:rPr>
            </w:pPr>
            <w:r>
              <w:rPr>
                <w:color w:val="auto"/>
                <w:sz w:val="21"/>
                <w:szCs w:val="21"/>
                <w:highlight w:val="none"/>
              </w:rPr>
              <w:t>0.4</w:t>
            </w:r>
          </w:p>
        </w:tc>
        <w:tc>
          <w:tcPr>
            <w:tcW w:w="678" w:type="pct"/>
            <w:tcBorders>
              <w:tl2br w:val="nil"/>
              <w:tr2bl w:val="nil"/>
            </w:tcBorders>
            <w:vAlign w:val="center"/>
          </w:tcPr>
          <w:p w14:paraId="427E8E23">
            <w:pPr>
              <w:spacing w:line="240" w:lineRule="auto"/>
              <w:ind w:firstLine="0" w:firstLineChars="0"/>
              <w:jc w:val="center"/>
              <w:rPr>
                <w:bCs/>
                <w:color w:val="auto"/>
                <w:sz w:val="21"/>
                <w:szCs w:val="21"/>
                <w:highlight w:val="none"/>
              </w:rPr>
            </w:pPr>
            <w:r>
              <w:rPr>
                <w:bCs/>
                <w:color w:val="auto"/>
                <w:sz w:val="21"/>
                <w:szCs w:val="21"/>
                <w:highlight w:val="none"/>
              </w:rPr>
              <w:t>0.6</w:t>
            </w:r>
          </w:p>
        </w:tc>
        <w:tc>
          <w:tcPr>
            <w:tcW w:w="785" w:type="pct"/>
            <w:tcBorders>
              <w:tl2br w:val="nil"/>
              <w:tr2bl w:val="nil"/>
            </w:tcBorders>
            <w:vAlign w:val="center"/>
          </w:tcPr>
          <w:p w14:paraId="0C1FA62A">
            <w:pPr>
              <w:spacing w:line="240" w:lineRule="auto"/>
              <w:ind w:firstLine="0" w:firstLineChars="0"/>
              <w:jc w:val="center"/>
              <w:rPr>
                <w:color w:val="auto"/>
                <w:sz w:val="21"/>
                <w:szCs w:val="21"/>
                <w:highlight w:val="none"/>
              </w:rPr>
            </w:pPr>
            <w:r>
              <w:rPr>
                <w:color w:val="auto"/>
                <w:sz w:val="21"/>
                <w:szCs w:val="21"/>
                <w:highlight w:val="none"/>
              </w:rPr>
              <w:t>1</w:t>
            </w:r>
          </w:p>
        </w:tc>
      </w:tr>
      <w:tr w14:paraId="3ACDF8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01B71C9E">
            <w:pPr>
              <w:spacing w:line="240" w:lineRule="auto"/>
              <w:ind w:firstLine="0" w:firstLineChars="0"/>
              <w:jc w:val="center"/>
              <w:rPr>
                <w:bCs/>
                <w:color w:val="auto"/>
                <w:sz w:val="21"/>
                <w:szCs w:val="21"/>
                <w:highlight w:val="none"/>
              </w:rPr>
            </w:pPr>
          </w:p>
        </w:tc>
        <w:tc>
          <w:tcPr>
            <w:tcW w:w="509" w:type="pct"/>
            <w:vMerge w:val="continue"/>
            <w:tcBorders>
              <w:tl2br w:val="nil"/>
              <w:tr2bl w:val="nil"/>
            </w:tcBorders>
            <w:vAlign w:val="center"/>
          </w:tcPr>
          <w:p w14:paraId="68D17DA9">
            <w:pPr>
              <w:spacing w:line="240" w:lineRule="auto"/>
              <w:ind w:firstLine="0" w:firstLineChars="0"/>
              <w:jc w:val="center"/>
              <w:rPr>
                <w:bCs/>
                <w:color w:val="auto"/>
                <w:sz w:val="21"/>
                <w:szCs w:val="21"/>
                <w:highlight w:val="none"/>
              </w:rPr>
            </w:pPr>
          </w:p>
        </w:tc>
        <w:tc>
          <w:tcPr>
            <w:tcW w:w="756" w:type="pct"/>
            <w:tcBorders>
              <w:tl2br w:val="nil"/>
              <w:tr2bl w:val="nil"/>
            </w:tcBorders>
            <w:vAlign w:val="center"/>
          </w:tcPr>
          <w:p w14:paraId="47CEB94D">
            <w:pPr>
              <w:spacing w:line="240" w:lineRule="auto"/>
              <w:ind w:firstLine="0" w:firstLineChars="0"/>
              <w:jc w:val="center"/>
              <w:rPr>
                <w:color w:val="auto"/>
                <w:sz w:val="21"/>
                <w:szCs w:val="21"/>
                <w:highlight w:val="none"/>
              </w:rPr>
            </w:pPr>
            <w:r>
              <w:rPr>
                <w:color w:val="auto"/>
                <w:sz w:val="21"/>
                <w:szCs w:val="21"/>
                <w:highlight w:val="none"/>
              </w:rPr>
              <w:t>含油抹布</w:t>
            </w:r>
          </w:p>
        </w:tc>
        <w:tc>
          <w:tcPr>
            <w:tcW w:w="674" w:type="pct"/>
            <w:tcBorders>
              <w:tl2br w:val="nil"/>
              <w:tr2bl w:val="nil"/>
            </w:tcBorders>
            <w:vAlign w:val="center"/>
          </w:tcPr>
          <w:p w14:paraId="60A7A7F2">
            <w:pPr>
              <w:spacing w:line="240" w:lineRule="auto"/>
              <w:ind w:firstLine="0" w:firstLineChars="0"/>
              <w:jc w:val="center"/>
              <w:rPr>
                <w:bCs/>
                <w:color w:val="auto"/>
                <w:sz w:val="21"/>
                <w:szCs w:val="21"/>
                <w:highlight w:val="none"/>
              </w:rPr>
            </w:pPr>
            <w:r>
              <w:rPr>
                <w:bCs/>
                <w:color w:val="auto"/>
                <w:sz w:val="21"/>
                <w:szCs w:val="21"/>
                <w:highlight w:val="none"/>
              </w:rPr>
              <w:t>/</w:t>
            </w:r>
          </w:p>
        </w:tc>
        <w:tc>
          <w:tcPr>
            <w:tcW w:w="635" w:type="pct"/>
            <w:tcBorders>
              <w:tl2br w:val="nil"/>
              <w:tr2bl w:val="nil"/>
            </w:tcBorders>
            <w:vAlign w:val="center"/>
          </w:tcPr>
          <w:p w14:paraId="1AE2DB1D">
            <w:pPr>
              <w:spacing w:line="240" w:lineRule="auto"/>
              <w:ind w:firstLine="0" w:firstLineChars="0"/>
              <w:jc w:val="center"/>
              <w:rPr>
                <w:bCs/>
                <w:color w:val="auto"/>
                <w:sz w:val="21"/>
                <w:szCs w:val="21"/>
                <w:highlight w:val="none"/>
              </w:rPr>
            </w:pPr>
            <w:r>
              <w:rPr>
                <w:bCs/>
                <w:color w:val="auto"/>
                <w:sz w:val="21"/>
                <w:szCs w:val="21"/>
                <w:highlight w:val="none"/>
              </w:rPr>
              <w:t>/</w:t>
            </w:r>
          </w:p>
        </w:tc>
        <w:tc>
          <w:tcPr>
            <w:tcW w:w="695" w:type="pct"/>
            <w:tcBorders>
              <w:tl2br w:val="nil"/>
              <w:tr2bl w:val="nil"/>
            </w:tcBorders>
            <w:vAlign w:val="center"/>
          </w:tcPr>
          <w:p w14:paraId="0BFCA61B">
            <w:pPr>
              <w:spacing w:line="240" w:lineRule="auto"/>
              <w:ind w:firstLine="0" w:firstLineChars="0"/>
              <w:jc w:val="center"/>
              <w:rPr>
                <w:color w:val="auto"/>
                <w:sz w:val="21"/>
                <w:szCs w:val="21"/>
                <w:highlight w:val="none"/>
              </w:rPr>
            </w:pPr>
            <w:r>
              <w:rPr>
                <w:color w:val="auto"/>
                <w:sz w:val="21"/>
                <w:szCs w:val="21"/>
                <w:highlight w:val="none"/>
              </w:rPr>
              <w:t>0.5</w:t>
            </w:r>
          </w:p>
        </w:tc>
        <w:tc>
          <w:tcPr>
            <w:tcW w:w="678" w:type="pct"/>
            <w:tcBorders>
              <w:tl2br w:val="nil"/>
              <w:tr2bl w:val="nil"/>
            </w:tcBorders>
            <w:vAlign w:val="center"/>
          </w:tcPr>
          <w:p w14:paraId="767D009E">
            <w:pPr>
              <w:spacing w:line="240" w:lineRule="auto"/>
              <w:ind w:firstLine="0" w:firstLineChars="0"/>
              <w:jc w:val="center"/>
              <w:rPr>
                <w:color w:val="auto"/>
                <w:sz w:val="21"/>
                <w:szCs w:val="21"/>
                <w:highlight w:val="none"/>
              </w:rPr>
            </w:pPr>
            <w:r>
              <w:rPr>
                <w:bCs/>
                <w:color w:val="auto"/>
                <w:sz w:val="21"/>
                <w:szCs w:val="21"/>
                <w:highlight w:val="none"/>
              </w:rPr>
              <w:t>/</w:t>
            </w:r>
          </w:p>
        </w:tc>
        <w:tc>
          <w:tcPr>
            <w:tcW w:w="785" w:type="pct"/>
            <w:tcBorders>
              <w:tl2br w:val="nil"/>
              <w:tr2bl w:val="nil"/>
            </w:tcBorders>
            <w:vAlign w:val="center"/>
          </w:tcPr>
          <w:p w14:paraId="348DB10C">
            <w:pPr>
              <w:spacing w:line="240" w:lineRule="auto"/>
              <w:ind w:firstLine="0" w:firstLineChars="0"/>
              <w:jc w:val="center"/>
              <w:rPr>
                <w:color w:val="auto"/>
                <w:sz w:val="21"/>
                <w:szCs w:val="21"/>
                <w:highlight w:val="none"/>
              </w:rPr>
            </w:pPr>
            <w:r>
              <w:rPr>
                <w:color w:val="auto"/>
                <w:sz w:val="21"/>
                <w:szCs w:val="21"/>
                <w:highlight w:val="none"/>
              </w:rPr>
              <w:t>0.5</w:t>
            </w:r>
          </w:p>
        </w:tc>
      </w:tr>
      <w:tr w14:paraId="3F0E77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0ACC73A2">
            <w:pPr>
              <w:spacing w:line="240" w:lineRule="auto"/>
              <w:ind w:firstLine="0" w:firstLineChars="0"/>
              <w:jc w:val="center"/>
              <w:rPr>
                <w:bCs/>
                <w:color w:val="auto"/>
                <w:sz w:val="21"/>
                <w:szCs w:val="21"/>
                <w:highlight w:val="none"/>
              </w:rPr>
            </w:pPr>
          </w:p>
        </w:tc>
        <w:tc>
          <w:tcPr>
            <w:tcW w:w="509" w:type="pct"/>
            <w:vMerge w:val="continue"/>
            <w:tcBorders>
              <w:tl2br w:val="nil"/>
              <w:tr2bl w:val="nil"/>
            </w:tcBorders>
            <w:vAlign w:val="center"/>
          </w:tcPr>
          <w:p w14:paraId="607CC2D3">
            <w:pPr>
              <w:spacing w:line="240" w:lineRule="auto"/>
              <w:ind w:firstLine="0" w:firstLineChars="0"/>
              <w:jc w:val="center"/>
              <w:rPr>
                <w:bCs/>
                <w:color w:val="auto"/>
                <w:sz w:val="21"/>
                <w:szCs w:val="21"/>
                <w:highlight w:val="none"/>
              </w:rPr>
            </w:pPr>
          </w:p>
        </w:tc>
        <w:tc>
          <w:tcPr>
            <w:tcW w:w="756" w:type="pct"/>
            <w:tcBorders>
              <w:tl2br w:val="nil"/>
              <w:tr2bl w:val="nil"/>
            </w:tcBorders>
            <w:vAlign w:val="center"/>
          </w:tcPr>
          <w:p w14:paraId="2D4B029A">
            <w:pPr>
              <w:spacing w:line="240" w:lineRule="auto"/>
              <w:ind w:firstLine="0" w:firstLineChars="0"/>
              <w:jc w:val="center"/>
              <w:rPr>
                <w:color w:val="auto"/>
                <w:sz w:val="21"/>
                <w:szCs w:val="21"/>
                <w:highlight w:val="none"/>
              </w:rPr>
            </w:pPr>
            <w:r>
              <w:rPr>
                <w:color w:val="auto"/>
                <w:sz w:val="21"/>
                <w:szCs w:val="21"/>
                <w:highlight w:val="none"/>
              </w:rPr>
              <w:t>废液压油</w:t>
            </w:r>
          </w:p>
        </w:tc>
        <w:tc>
          <w:tcPr>
            <w:tcW w:w="674" w:type="pct"/>
            <w:tcBorders>
              <w:tl2br w:val="nil"/>
              <w:tr2bl w:val="nil"/>
            </w:tcBorders>
            <w:vAlign w:val="center"/>
          </w:tcPr>
          <w:p w14:paraId="31AFA1A4">
            <w:pPr>
              <w:spacing w:line="240" w:lineRule="auto"/>
              <w:ind w:firstLine="0" w:firstLineChars="0"/>
              <w:jc w:val="center"/>
              <w:rPr>
                <w:bCs/>
                <w:color w:val="auto"/>
                <w:sz w:val="21"/>
                <w:szCs w:val="21"/>
                <w:highlight w:val="none"/>
              </w:rPr>
            </w:pPr>
            <w:r>
              <w:rPr>
                <w:bCs/>
                <w:color w:val="auto"/>
                <w:sz w:val="21"/>
                <w:szCs w:val="21"/>
                <w:highlight w:val="none"/>
              </w:rPr>
              <w:t>/</w:t>
            </w:r>
          </w:p>
        </w:tc>
        <w:tc>
          <w:tcPr>
            <w:tcW w:w="635" w:type="pct"/>
            <w:tcBorders>
              <w:tl2br w:val="nil"/>
              <w:tr2bl w:val="nil"/>
            </w:tcBorders>
            <w:vAlign w:val="center"/>
          </w:tcPr>
          <w:p w14:paraId="39D8E64C">
            <w:pPr>
              <w:spacing w:line="240" w:lineRule="auto"/>
              <w:ind w:firstLine="0" w:firstLineChars="0"/>
              <w:jc w:val="center"/>
              <w:rPr>
                <w:bCs/>
                <w:color w:val="auto"/>
                <w:sz w:val="21"/>
                <w:szCs w:val="21"/>
                <w:highlight w:val="none"/>
              </w:rPr>
            </w:pPr>
            <w:r>
              <w:rPr>
                <w:bCs/>
                <w:color w:val="auto"/>
                <w:sz w:val="21"/>
                <w:szCs w:val="21"/>
                <w:highlight w:val="none"/>
              </w:rPr>
              <w:t>0.17</w:t>
            </w:r>
          </w:p>
        </w:tc>
        <w:tc>
          <w:tcPr>
            <w:tcW w:w="695" w:type="pct"/>
            <w:tcBorders>
              <w:tl2br w:val="nil"/>
              <w:tr2bl w:val="nil"/>
            </w:tcBorders>
            <w:vAlign w:val="center"/>
          </w:tcPr>
          <w:p w14:paraId="5107C3A8">
            <w:pPr>
              <w:spacing w:line="240" w:lineRule="auto"/>
              <w:ind w:firstLine="0" w:firstLineChars="0"/>
              <w:jc w:val="center"/>
              <w:rPr>
                <w:color w:val="auto"/>
                <w:sz w:val="21"/>
                <w:szCs w:val="21"/>
                <w:highlight w:val="none"/>
              </w:rPr>
            </w:pPr>
            <w:r>
              <w:rPr>
                <w:color w:val="auto"/>
                <w:sz w:val="21"/>
                <w:szCs w:val="21"/>
                <w:highlight w:val="none"/>
              </w:rPr>
              <w:t>0.4</w:t>
            </w:r>
          </w:p>
        </w:tc>
        <w:tc>
          <w:tcPr>
            <w:tcW w:w="678" w:type="pct"/>
            <w:tcBorders>
              <w:tl2br w:val="nil"/>
              <w:tr2bl w:val="nil"/>
            </w:tcBorders>
            <w:vAlign w:val="center"/>
          </w:tcPr>
          <w:p w14:paraId="31E9D9E6">
            <w:pPr>
              <w:spacing w:line="240" w:lineRule="auto"/>
              <w:ind w:firstLine="0" w:firstLineChars="0"/>
              <w:jc w:val="center"/>
              <w:rPr>
                <w:bCs/>
                <w:color w:val="auto"/>
                <w:sz w:val="21"/>
                <w:szCs w:val="21"/>
                <w:highlight w:val="none"/>
              </w:rPr>
            </w:pPr>
            <w:r>
              <w:rPr>
                <w:bCs/>
                <w:color w:val="auto"/>
                <w:sz w:val="21"/>
                <w:szCs w:val="21"/>
                <w:highlight w:val="none"/>
              </w:rPr>
              <w:t>/</w:t>
            </w:r>
          </w:p>
        </w:tc>
        <w:tc>
          <w:tcPr>
            <w:tcW w:w="785" w:type="pct"/>
            <w:tcBorders>
              <w:tl2br w:val="nil"/>
              <w:tr2bl w:val="nil"/>
            </w:tcBorders>
            <w:vAlign w:val="center"/>
          </w:tcPr>
          <w:p w14:paraId="73592C89">
            <w:pPr>
              <w:spacing w:line="240" w:lineRule="auto"/>
              <w:ind w:firstLine="0" w:firstLineChars="0"/>
              <w:jc w:val="center"/>
              <w:rPr>
                <w:color w:val="auto"/>
                <w:sz w:val="21"/>
                <w:szCs w:val="21"/>
                <w:highlight w:val="none"/>
              </w:rPr>
            </w:pPr>
            <w:r>
              <w:rPr>
                <w:color w:val="auto"/>
                <w:sz w:val="21"/>
                <w:szCs w:val="21"/>
                <w:highlight w:val="none"/>
              </w:rPr>
              <w:t>0.57</w:t>
            </w:r>
          </w:p>
        </w:tc>
      </w:tr>
      <w:tr w14:paraId="59106B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29152E36">
            <w:pPr>
              <w:spacing w:line="240" w:lineRule="auto"/>
              <w:ind w:firstLine="0" w:firstLineChars="0"/>
              <w:jc w:val="center"/>
              <w:rPr>
                <w:bCs/>
                <w:color w:val="auto"/>
                <w:sz w:val="21"/>
                <w:szCs w:val="21"/>
                <w:highlight w:val="none"/>
              </w:rPr>
            </w:pPr>
          </w:p>
        </w:tc>
        <w:tc>
          <w:tcPr>
            <w:tcW w:w="509" w:type="pct"/>
            <w:vMerge w:val="restart"/>
            <w:tcBorders>
              <w:tl2br w:val="nil"/>
              <w:tr2bl w:val="nil"/>
            </w:tcBorders>
            <w:vAlign w:val="center"/>
          </w:tcPr>
          <w:p w14:paraId="2C9A9433">
            <w:pPr>
              <w:spacing w:line="240" w:lineRule="auto"/>
              <w:ind w:firstLine="0" w:firstLineChars="0"/>
              <w:jc w:val="center"/>
              <w:rPr>
                <w:bCs/>
                <w:color w:val="auto"/>
                <w:sz w:val="21"/>
                <w:szCs w:val="21"/>
                <w:highlight w:val="none"/>
              </w:rPr>
            </w:pPr>
            <w:r>
              <w:rPr>
                <w:bCs/>
                <w:color w:val="auto"/>
                <w:sz w:val="21"/>
                <w:szCs w:val="21"/>
                <w:highlight w:val="none"/>
              </w:rPr>
              <w:t>一般固废</w:t>
            </w:r>
          </w:p>
        </w:tc>
        <w:tc>
          <w:tcPr>
            <w:tcW w:w="756" w:type="pct"/>
            <w:tcBorders>
              <w:tl2br w:val="nil"/>
              <w:tr2bl w:val="nil"/>
            </w:tcBorders>
            <w:vAlign w:val="center"/>
          </w:tcPr>
          <w:p w14:paraId="4134466A">
            <w:pPr>
              <w:spacing w:line="240" w:lineRule="auto"/>
              <w:ind w:firstLine="0" w:firstLineChars="0"/>
              <w:jc w:val="center"/>
              <w:rPr>
                <w:bCs/>
                <w:color w:val="auto"/>
                <w:sz w:val="21"/>
                <w:szCs w:val="21"/>
                <w:highlight w:val="none"/>
              </w:rPr>
            </w:pPr>
            <w:r>
              <w:rPr>
                <w:bCs/>
                <w:color w:val="auto"/>
                <w:sz w:val="21"/>
                <w:szCs w:val="21"/>
                <w:highlight w:val="none"/>
              </w:rPr>
              <w:t>钢材切割废料、废焊料、焊渣、废铜矿砂及铁锈、粉尘、</w:t>
            </w:r>
            <w:r>
              <w:rPr>
                <w:color w:val="auto"/>
                <w:sz w:val="21"/>
                <w:szCs w:val="21"/>
                <w:highlight w:val="none"/>
              </w:rPr>
              <w:t>更换滤纸</w:t>
            </w:r>
          </w:p>
        </w:tc>
        <w:tc>
          <w:tcPr>
            <w:tcW w:w="674" w:type="pct"/>
            <w:tcBorders>
              <w:tl2br w:val="nil"/>
              <w:tr2bl w:val="nil"/>
            </w:tcBorders>
            <w:vAlign w:val="center"/>
          </w:tcPr>
          <w:p w14:paraId="0D7E1AD7">
            <w:pPr>
              <w:spacing w:line="240" w:lineRule="auto"/>
              <w:ind w:firstLine="0" w:firstLineChars="0"/>
              <w:jc w:val="center"/>
              <w:rPr>
                <w:bCs/>
                <w:color w:val="auto"/>
                <w:sz w:val="21"/>
                <w:szCs w:val="21"/>
                <w:highlight w:val="none"/>
              </w:rPr>
            </w:pPr>
            <w:r>
              <w:rPr>
                <w:bCs/>
                <w:color w:val="auto"/>
                <w:sz w:val="21"/>
                <w:szCs w:val="21"/>
                <w:highlight w:val="none"/>
              </w:rPr>
              <w:t>3751.15</w:t>
            </w:r>
          </w:p>
        </w:tc>
        <w:tc>
          <w:tcPr>
            <w:tcW w:w="635" w:type="pct"/>
            <w:tcBorders>
              <w:tl2br w:val="nil"/>
              <w:tr2bl w:val="nil"/>
            </w:tcBorders>
            <w:vAlign w:val="center"/>
          </w:tcPr>
          <w:p w14:paraId="39D864C6">
            <w:pPr>
              <w:spacing w:line="240" w:lineRule="auto"/>
              <w:ind w:firstLine="0" w:firstLineChars="0"/>
              <w:jc w:val="center"/>
              <w:rPr>
                <w:bCs/>
                <w:color w:val="auto"/>
                <w:sz w:val="21"/>
                <w:szCs w:val="21"/>
                <w:highlight w:val="none"/>
              </w:rPr>
            </w:pPr>
            <w:r>
              <w:rPr>
                <w:bCs/>
                <w:color w:val="auto"/>
                <w:sz w:val="21"/>
                <w:szCs w:val="21"/>
                <w:highlight w:val="none"/>
              </w:rPr>
              <w:t xml:space="preserve">82.16  </w:t>
            </w:r>
          </w:p>
        </w:tc>
        <w:tc>
          <w:tcPr>
            <w:tcW w:w="695" w:type="pct"/>
            <w:tcBorders>
              <w:tl2br w:val="nil"/>
              <w:tr2bl w:val="nil"/>
            </w:tcBorders>
            <w:vAlign w:val="center"/>
          </w:tcPr>
          <w:p w14:paraId="3D9EE263">
            <w:pPr>
              <w:spacing w:line="240" w:lineRule="auto"/>
              <w:ind w:firstLine="0" w:firstLineChars="0"/>
              <w:jc w:val="center"/>
              <w:rPr>
                <w:bCs/>
                <w:color w:val="auto"/>
                <w:sz w:val="21"/>
                <w:szCs w:val="21"/>
                <w:highlight w:val="none"/>
              </w:rPr>
            </w:pPr>
            <w:r>
              <w:rPr>
                <w:bCs/>
                <w:color w:val="auto"/>
                <w:sz w:val="21"/>
                <w:szCs w:val="21"/>
                <w:highlight w:val="none"/>
              </w:rPr>
              <w:t>819.55</w:t>
            </w:r>
          </w:p>
        </w:tc>
        <w:tc>
          <w:tcPr>
            <w:tcW w:w="678" w:type="pct"/>
            <w:tcBorders>
              <w:tl2br w:val="nil"/>
              <w:tr2bl w:val="nil"/>
            </w:tcBorders>
            <w:vAlign w:val="center"/>
          </w:tcPr>
          <w:p w14:paraId="135FBD5E">
            <w:pPr>
              <w:spacing w:line="240" w:lineRule="auto"/>
              <w:ind w:firstLine="0" w:firstLineChars="0"/>
              <w:jc w:val="center"/>
              <w:rPr>
                <w:bCs/>
                <w:color w:val="auto"/>
                <w:sz w:val="21"/>
                <w:szCs w:val="21"/>
                <w:highlight w:val="none"/>
              </w:rPr>
            </w:pPr>
            <w:r>
              <w:rPr>
                <w:bCs/>
                <w:color w:val="auto"/>
                <w:sz w:val="21"/>
                <w:szCs w:val="21"/>
                <w:highlight w:val="none"/>
              </w:rPr>
              <w:t>/</w:t>
            </w:r>
          </w:p>
        </w:tc>
        <w:tc>
          <w:tcPr>
            <w:tcW w:w="785" w:type="pct"/>
            <w:tcBorders>
              <w:tl2br w:val="nil"/>
              <w:tr2bl w:val="nil"/>
            </w:tcBorders>
            <w:vAlign w:val="center"/>
          </w:tcPr>
          <w:p w14:paraId="5AF08AF9">
            <w:pPr>
              <w:spacing w:line="240" w:lineRule="auto"/>
              <w:ind w:firstLine="0" w:firstLineChars="0"/>
              <w:jc w:val="center"/>
              <w:rPr>
                <w:color w:val="auto"/>
                <w:sz w:val="21"/>
                <w:szCs w:val="21"/>
                <w:highlight w:val="none"/>
              </w:rPr>
            </w:pPr>
            <w:r>
              <w:rPr>
                <w:color w:val="auto"/>
                <w:sz w:val="21"/>
                <w:szCs w:val="21"/>
                <w:highlight w:val="none"/>
              </w:rPr>
              <w:t>4652.86</w:t>
            </w:r>
          </w:p>
        </w:tc>
      </w:tr>
      <w:tr w14:paraId="19402D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66031AF6">
            <w:pPr>
              <w:spacing w:line="240" w:lineRule="auto"/>
              <w:ind w:firstLine="0" w:firstLineChars="0"/>
              <w:jc w:val="center"/>
              <w:rPr>
                <w:bCs/>
                <w:color w:val="auto"/>
                <w:sz w:val="21"/>
                <w:szCs w:val="21"/>
                <w:highlight w:val="none"/>
              </w:rPr>
            </w:pPr>
          </w:p>
        </w:tc>
        <w:tc>
          <w:tcPr>
            <w:tcW w:w="509" w:type="pct"/>
            <w:vMerge w:val="continue"/>
            <w:tcBorders>
              <w:tl2br w:val="nil"/>
              <w:tr2bl w:val="nil"/>
            </w:tcBorders>
            <w:vAlign w:val="center"/>
          </w:tcPr>
          <w:p w14:paraId="202E4AA0">
            <w:pPr>
              <w:spacing w:line="240" w:lineRule="auto"/>
              <w:ind w:firstLine="0" w:firstLineChars="0"/>
              <w:jc w:val="center"/>
              <w:rPr>
                <w:bCs/>
                <w:color w:val="auto"/>
                <w:sz w:val="21"/>
                <w:szCs w:val="21"/>
                <w:highlight w:val="none"/>
              </w:rPr>
            </w:pPr>
          </w:p>
        </w:tc>
        <w:tc>
          <w:tcPr>
            <w:tcW w:w="756" w:type="pct"/>
            <w:tcBorders>
              <w:tl2br w:val="nil"/>
              <w:tr2bl w:val="nil"/>
            </w:tcBorders>
            <w:vAlign w:val="center"/>
          </w:tcPr>
          <w:p w14:paraId="2AF1AE3F">
            <w:pPr>
              <w:spacing w:line="240" w:lineRule="auto"/>
              <w:ind w:firstLine="0" w:firstLineChars="0"/>
              <w:jc w:val="center"/>
              <w:rPr>
                <w:bCs/>
                <w:color w:val="auto"/>
                <w:sz w:val="21"/>
                <w:szCs w:val="21"/>
                <w:highlight w:val="none"/>
              </w:rPr>
            </w:pPr>
            <w:r>
              <w:rPr>
                <w:color w:val="auto"/>
                <w:sz w:val="21"/>
                <w:szCs w:val="21"/>
                <w:highlight w:val="none"/>
              </w:rPr>
              <w:t>初期雨水沉渣</w:t>
            </w:r>
          </w:p>
        </w:tc>
        <w:tc>
          <w:tcPr>
            <w:tcW w:w="674" w:type="pct"/>
            <w:tcBorders>
              <w:tl2br w:val="nil"/>
              <w:tr2bl w:val="nil"/>
            </w:tcBorders>
            <w:vAlign w:val="center"/>
          </w:tcPr>
          <w:p w14:paraId="14B683BA">
            <w:pPr>
              <w:spacing w:line="240" w:lineRule="auto"/>
              <w:ind w:firstLine="0" w:firstLineChars="0"/>
              <w:jc w:val="center"/>
              <w:rPr>
                <w:bCs/>
                <w:color w:val="auto"/>
                <w:sz w:val="21"/>
                <w:szCs w:val="21"/>
                <w:highlight w:val="none"/>
              </w:rPr>
            </w:pPr>
            <w:r>
              <w:rPr>
                <w:bCs/>
                <w:color w:val="auto"/>
                <w:sz w:val="21"/>
                <w:szCs w:val="21"/>
                <w:highlight w:val="none"/>
              </w:rPr>
              <w:t>/</w:t>
            </w:r>
          </w:p>
        </w:tc>
        <w:tc>
          <w:tcPr>
            <w:tcW w:w="635" w:type="pct"/>
            <w:tcBorders>
              <w:tl2br w:val="nil"/>
              <w:tr2bl w:val="nil"/>
            </w:tcBorders>
            <w:vAlign w:val="center"/>
          </w:tcPr>
          <w:p w14:paraId="38E82C12">
            <w:pPr>
              <w:spacing w:line="240" w:lineRule="auto"/>
              <w:ind w:firstLine="0" w:firstLineChars="0"/>
              <w:jc w:val="center"/>
              <w:rPr>
                <w:bCs/>
                <w:color w:val="auto"/>
                <w:sz w:val="21"/>
                <w:szCs w:val="21"/>
                <w:highlight w:val="none"/>
              </w:rPr>
            </w:pPr>
            <w:r>
              <w:rPr>
                <w:bCs/>
                <w:color w:val="auto"/>
                <w:sz w:val="21"/>
                <w:szCs w:val="21"/>
                <w:highlight w:val="none"/>
              </w:rPr>
              <w:t>/</w:t>
            </w:r>
          </w:p>
        </w:tc>
        <w:tc>
          <w:tcPr>
            <w:tcW w:w="695" w:type="pct"/>
            <w:tcBorders>
              <w:tl2br w:val="nil"/>
              <w:tr2bl w:val="nil"/>
            </w:tcBorders>
            <w:vAlign w:val="center"/>
          </w:tcPr>
          <w:p w14:paraId="3DEF7C8A">
            <w:pPr>
              <w:spacing w:line="240" w:lineRule="auto"/>
              <w:ind w:firstLine="0" w:firstLineChars="0"/>
              <w:jc w:val="center"/>
              <w:rPr>
                <w:bCs/>
                <w:color w:val="auto"/>
                <w:sz w:val="21"/>
                <w:szCs w:val="21"/>
                <w:highlight w:val="none"/>
              </w:rPr>
            </w:pPr>
            <w:r>
              <w:rPr>
                <w:bCs/>
                <w:color w:val="auto"/>
                <w:sz w:val="21"/>
                <w:szCs w:val="21"/>
                <w:highlight w:val="none"/>
              </w:rPr>
              <w:t>/</w:t>
            </w:r>
          </w:p>
        </w:tc>
        <w:tc>
          <w:tcPr>
            <w:tcW w:w="678" w:type="pct"/>
            <w:tcBorders>
              <w:tl2br w:val="nil"/>
              <w:tr2bl w:val="nil"/>
            </w:tcBorders>
            <w:vAlign w:val="center"/>
          </w:tcPr>
          <w:p w14:paraId="27899758">
            <w:pPr>
              <w:spacing w:line="240" w:lineRule="auto"/>
              <w:ind w:firstLine="0" w:firstLineChars="0"/>
              <w:jc w:val="center"/>
              <w:rPr>
                <w:bCs/>
                <w:color w:val="auto"/>
                <w:sz w:val="21"/>
                <w:szCs w:val="21"/>
                <w:highlight w:val="none"/>
              </w:rPr>
            </w:pPr>
            <w:r>
              <w:rPr>
                <w:bCs/>
                <w:color w:val="auto"/>
                <w:sz w:val="21"/>
                <w:szCs w:val="21"/>
                <w:highlight w:val="none"/>
              </w:rPr>
              <w:t>43.3kg/次</w:t>
            </w:r>
          </w:p>
        </w:tc>
        <w:tc>
          <w:tcPr>
            <w:tcW w:w="785" w:type="pct"/>
            <w:tcBorders>
              <w:tl2br w:val="nil"/>
              <w:tr2bl w:val="nil"/>
            </w:tcBorders>
            <w:vAlign w:val="center"/>
          </w:tcPr>
          <w:p w14:paraId="647FE34F">
            <w:pPr>
              <w:spacing w:line="240" w:lineRule="auto"/>
              <w:ind w:firstLine="0" w:firstLineChars="0"/>
              <w:jc w:val="center"/>
              <w:rPr>
                <w:color w:val="auto"/>
                <w:sz w:val="21"/>
                <w:szCs w:val="21"/>
                <w:highlight w:val="none"/>
              </w:rPr>
            </w:pPr>
            <w:r>
              <w:rPr>
                <w:color w:val="auto"/>
                <w:sz w:val="21"/>
                <w:szCs w:val="21"/>
                <w:highlight w:val="none"/>
              </w:rPr>
              <w:t>43.3kg/次</w:t>
            </w:r>
          </w:p>
        </w:tc>
      </w:tr>
      <w:tr w14:paraId="6A64FC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4E1CC096">
            <w:pPr>
              <w:spacing w:line="240" w:lineRule="auto"/>
              <w:ind w:firstLine="0" w:firstLineChars="0"/>
              <w:jc w:val="center"/>
              <w:rPr>
                <w:bCs/>
                <w:color w:val="auto"/>
                <w:sz w:val="21"/>
                <w:szCs w:val="21"/>
                <w:highlight w:val="none"/>
              </w:rPr>
            </w:pPr>
          </w:p>
        </w:tc>
        <w:tc>
          <w:tcPr>
            <w:tcW w:w="509" w:type="pct"/>
            <w:vMerge w:val="continue"/>
            <w:tcBorders>
              <w:tl2br w:val="nil"/>
              <w:tr2bl w:val="nil"/>
            </w:tcBorders>
            <w:vAlign w:val="center"/>
          </w:tcPr>
          <w:p w14:paraId="40152797">
            <w:pPr>
              <w:spacing w:line="240" w:lineRule="auto"/>
              <w:ind w:firstLine="0" w:firstLineChars="0"/>
              <w:jc w:val="center"/>
              <w:rPr>
                <w:bCs/>
                <w:color w:val="auto"/>
                <w:sz w:val="21"/>
                <w:szCs w:val="21"/>
                <w:highlight w:val="none"/>
              </w:rPr>
            </w:pPr>
          </w:p>
        </w:tc>
        <w:tc>
          <w:tcPr>
            <w:tcW w:w="756" w:type="pct"/>
            <w:tcBorders>
              <w:tl2br w:val="nil"/>
              <w:tr2bl w:val="nil"/>
            </w:tcBorders>
            <w:shd w:val="clear" w:color="auto" w:fill="auto"/>
            <w:vAlign w:val="center"/>
          </w:tcPr>
          <w:p w14:paraId="18D6DB60">
            <w:pPr>
              <w:spacing w:line="240" w:lineRule="auto"/>
              <w:ind w:firstLine="0" w:firstLineChars="0"/>
              <w:jc w:val="center"/>
              <w:rPr>
                <w:rFonts w:ascii="Times New Roman" w:hAnsi="Times New Roman" w:eastAsia="宋体" w:cs="Times New Roman"/>
                <w:bCs/>
                <w:color w:val="auto"/>
                <w:sz w:val="21"/>
                <w:szCs w:val="21"/>
                <w:highlight w:val="none"/>
                <w:lang w:val="en-US" w:eastAsia="zh-CN" w:bidi="ar-SA"/>
              </w:rPr>
            </w:pPr>
            <w:r>
              <w:rPr>
                <w:color w:val="auto"/>
                <w:sz w:val="21"/>
                <w:szCs w:val="21"/>
                <w:highlight w:val="none"/>
              </w:rPr>
              <w:t>检修垃圾</w:t>
            </w:r>
          </w:p>
        </w:tc>
        <w:tc>
          <w:tcPr>
            <w:tcW w:w="674" w:type="pct"/>
            <w:tcBorders>
              <w:tl2br w:val="nil"/>
              <w:tr2bl w:val="nil"/>
            </w:tcBorders>
            <w:vAlign w:val="center"/>
          </w:tcPr>
          <w:p w14:paraId="069C9151">
            <w:pPr>
              <w:spacing w:line="240" w:lineRule="auto"/>
              <w:ind w:firstLine="0" w:firstLineChars="0"/>
              <w:jc w:val="center"/>
              <w:rPr>
                <w:bCs/>
                <w:color w:val="auto"/>
                <w:sz w:val="21"/>
                <w:szCs w:val="21"/>
                <w:highlight w:val="none"/>
              </w:rPr>
            </w:pPr>
            <w:r>
              <w:rPr>
                <w:bCs/>
                <w:color w:val="auto"/>
                <w:sz w:val="21"/>
                <w:szCs w:val="21"/>
                <w:highlight w:val="none"/>
              </w:rPr>
              <w:t>/</w:t>
            </w:r>
          </w:p>
        </w:tc>
        <w:tc>
          <w:tcPr>
            <w:tcW w:w="635" w:type="pct"/>
            <w:tcBorders>
              <w:tl2br w:val="nil"/>
              <w:tr2bl w:val="nil"/>
            </w:tcBorders>
            <w:vAlign w:val="center"/>
          </w:tcPr>
          <w:p w14:paraId="3F7F9283">
            <w:pPr>
              <w:spacing w:line="240" w:lineRule="auto"/>
              <w:ind w:firstLine="0" w:firstLineChars="0"/>
              <w:jc w:val="center"/>
              <w:rPr>
                <w:bCs/>
                <w:color w:val="auto"/>
                <w:sz w:val="21"/>
                <w:szCs w:val="21"/>
                <w:highlight w:val="none"/>
              </w:rPr>
            </w:pPr>
            <w:r>
              <w:rPr>
                <w:bCs/>
                <w:color w:val="auto"/>
                <w:sz w:val="21"/>
                <w:szCs w:val="21"/>
                <w:highlight w:val="none"/>
              </w:rPr>
              <w:t>/</w:t>
            </w:r>
          </w:p>
        </w:tc>
        <w:tc>
          <w:tcPr>
            <w:tcW w:w="695" w:type="pct"/>
            <w:tcBorders>
              <w:tl2br w:val="nil"/>
              <w:tr2bl w:val="nil"/>
            </w:tcBorders>
            <w:vAlign w:val="center"/>
          </w:tcPr>
          <w:p w14:paraId="1C248D60">
            <w:pPr>
              <w:spacing w:line="240" w:lineRule="auto"/>
              <w:ind w:firstLine="0" w:firstLineChars="0"/>
              <w:jc w:val="center"/>
              <w:rPr>
                <w:bCs/>
                <w:color w:val="auto"/>
                <w:sz w:val="21"/>
                <w:szCs w:val="21"/>
                <w:highlight w:val="none"/>
              </w:rPr>
            </w:pPr>
            <w:r>
              <w:rPr>
                <w:bCs/>
                <w:color w:val="auto"/>
                <w:sz w:val="21"/>
                <w:szCs w:val="21"/>
                <w:highlight w:val="none"/>
              </w:rPr>
              <w:t>/</w:t>
            </w:r>
          </w:p>
        </w:tc>
        <w:tc>
          <w:tcPr>
            <w:tcW w:w="678" w:type="pct"/>
            <w:tcBorders>
              <w:tl2br w:val="nil"/>
              <w:tr2bl w:val="nil"/>
            </w:tcBorders>
            <w:vAlign w:val="center"/>
          </w:tcPr>
          <w:p w14:paraId="415050ED">
            <w:pPr>
              <w:spacing w:line="240" w:lineRule="auto"/>
              <w:ind w:firstLine="0" w:firstLineChars="0"/>
              <w:jc w:val="center"/>
              <w:rPr>
                <w:bCs/>
                <w:color w:val="auto"/>
                <w:sz w:val="21"/>
                <w:szCs w:val="21"/>
                <w:highlight w:val="none"/>
              </w:rPr>
            </w:pPr>
            <w:r>
              <w:rPr>
                <w:bCs/>
                <w:color w:val="auto"/>
                <w:sz w:val="21"/>
                <w:szCs w:val="21"/>
                <w:highlight w:val="none"/>
              </w:rPr>
              <w:t>0.9</w:t>
            </w:r>
          </w:p>
        </w:tc>
        <w:tc>
          <w:tcPr>
            <w:tcW w:w="785" w:type="pct"/>
            <w:tcBorders>
              <w:tl2br w:val="nil"/>
              <w:tr2bl w:val="nil"/>
            </w:tcBorders>
            <w:vAlign w:val="center"/>
          </w:tcPr>
          <w:p w14:paraId="413D5EA7">
            <w:pPr>
              <w:spacing w:line="240" w:lineRule="auto"/>
              <w:ind w:firstLine="0" w:firstLineChars="0"/>
              <w:jc w:val="center"/>
              <w:rPr>
                <w:color w:val="auto"/>
                <w:sz w:val="21"/>
                <w:szCs w:val="21"/>
                <w:highlight w:val="none"/>
              </w:rPr>
            </w:pPr>
            <w:r>
              <w:rPr>
                <w:color w:val="auto"/>
                <w:sz w:val="21"/>
                <w:szCs w:val="21"/>
                <w:highlight w:val="none"/>
              </w:rPr>
              <w:t>0.9</w:t>
            </w:r>
          </w:p>
        </w:tc>
      </w:tr>
      <w:tr w14:paraId="0C8C91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tcBorders>
              <w:tl2br w:val="nil"/>
              <w:tr2bl w:val="nil"/>
            </w:tcBorders>
            <w:vAlign w:val="center"/>
          </w:tcPr>
          <w:p w14:paraId="3F2DAC9E">
            <w:pPr>
              <w:spacing w:line="240" w:lineRule="auto"/>
              <w:ind w:firstLine="0" w:firstLineChars="0"/>
              <w:jc w:val="center"/>
              <w:rPr>
                <w:bCs/>
                <w:color w:val="auto"/>
                <w:sz w:val="21"/>
                <w:szCs w:val="21"/>
                <w:highlight w:val="none"/>
              </w:rPr>
            </w:pPr>
          </w:p>
        </w:tc>
        <w:tc>
          <w:tcPr>
            <w:tcW w:w="509" w:type="pct"/>
            <w:vMerge w:val="continue"/>
            <w:tcBorders>
              <w:tl2br w:val="nil"/>
              <w:tr2bl w:val="nil"/>
            </w:tcBorders>
            <w:vAlign w:val="center"/>
          </w:tcPr>
          <w:p w14:paraId="5643F7EC">
            <w:pPr>
              <w:spacing w:line="240" w:lineRule="auto"/>
              <w:ind w:firstLine="0" w:firstLineChars="0"/>
              <w:jc w:val="center"/>
              <w:rPr>
                <w:bCs/>
                <w:color w:val="auto"/>
                <w:sz w:val="21"/>
                <w:szCs w:val="21"/>
                <w:highlight w:val="none"/>
              </w:rPr>
            </w:pPr>
          </w:p>
        </w:tc>
        <w:tc>
          <w:tcPr>
            <w:tcW w:w="756" w:type="pct"/>
            <w:tcBorders>
              <w:tl2br w:val="nil"/>
              <w:tr2bl w:val="nil"/>
            </w:tcBorders>
            <w:shd w:val="clear" w:color="auto" w:fill="auto"/>
            <w:vAlign w:val="center"/>
          </w:tcPr>
          <w:p w14:paraId="3EA0868A">
            <w:pPr>
              <w:spacing w:line="240" w:lineRule="auto"/>
              <w:ind w:firstLine="0" w:firstLineChars="0"/>
              <w:jc w:val="center"/>
              <w:rPr>
                <w:rFonts w:ascii="Times New Roman" w:hAnsi="Times New Roman" w:eastAsia="宋体" w:cs="Times New Roman"/>
                <w:bCs/>
                <w:color w:val="auto"/>
                <w:sz w:val="21"/>
                <w:szCs w:val="21"/>
                <w:highlight w:val="none"/>
                <w:lang w:val="en-US" w:eastAsia="zh-CN" w:bidi="ar-SA"/>
              </w:rPr>
            </w:pPr>
            <w:r>
              <w:rPr>
                <w:bCs/>
                <w:color w:val="auto"/>
                <w:sz w:val="21"/>
                <w:szCs w:val="21"/>
                <w:highlight w:val="none"/>
              </w:rPr>
              <w:t>生活垃圾</w:t>
            </w:r>
          </w:p>
        </w:tc>
        <w:tc>
          <w:tcPr>
            <w:tcW w:w="674" w:type="pct"/>
            <w:tcBorders>
              <w:tl2br w:val="nil"/>
              <w:tr2bl w:val="nil"/>
            </w:tcBorders>
            <w:vAlign w:val="center"/>
          </w:tcPr>
          <w:p w14:paraId="088B005D">
            <w:pPr>
              <w:spacing w:line="240" w:lineRule="auto"/>
              <w:ind w:firstLine="0" w:firstLineChars="0"/>
              <w:jc w:val="center"/>
              <w:rPr>
                <w:bCs/>
                <w:color w:val="auto"/>
                <w:sz w:val="21"/>
                <w:szCs w:val="21"/>
                <w:highlight w:val="none"/>
              </w:rPr>
            </w:pPr>
            <w:r>
              <w:rPr>
                <w:bCs/>
                <w:color w:val="auto"/>
                <w:sz w:val="21"/>
                <w:szCs w:val="21"/>
                <w:highlight w:val="none"/>
              </w:rPr>
              <w:t>61.05</w:t>
            </w:r>
          </w:p>
        </w:tc>
        <w:tc>
          <w:tcPr>
            <w:tcW w:w="635" w:type="pct"/>
            <w:tcBorders>
              <w:tl2br w:val="nil"/>
              <w:tr2bl w:val="nil"/>
            </w:tcBorders>
            <w:vAlign w:val="center"/>
          </w:tcPr>
          <w:p w14:paraId="5799AB47">
            <w:pPr>
              <w:spacing w:line="240" w:lineRule="auto"/>
              <w:ind w:firstLine="0" w:firstLineChars="0"/>
              <w:jc w:val="center"/>
              <w:rPr>
                <w:bCs/>
                <w:color w:val="auto"/>
                <w:sz w:val="21"/>
                <w:szCs w:val="21"/>
                <w:highlight w:val="none"/>
              </w:rPr>
            </w:pPr>
            <w:r>
              <w:rPr>
                <w:bCs/>
                <w:color w:val="auto"/>
                <w:sz w:val="21"/>
                <w:szCs w:val="21"/>
                <w:highlight w:val="none"/>
              </w:rPr>
              <w:t>/</w:t>
            </w:r>
          </w:p>
        </w:tc>
        <w:tc>
          <w:tcPr>
            <w:tcW w:w="695" w:type="pct"/>
            <w:tcBorders>
              <w:tl2br w:val="nil"/>
              <w:tr2bl w:val="nil"/>
            </w:tcBorders>
            <w:vAlign w:val="center"/>
          </w:tcPr>
          <w:p w14:paraId="3D4CA52D">
            <w:pPr>
              <w:spacing w:line="240" w:lineRule="auto"/>
              <w:ind w:firstLine="0" w:firstLineChars="0"/>
              <w:jc w:val="center"/>
              <w:rPr>
                <w:bCs/>
                <w:color w:val="auto"/>
                <w:sz w:val="21"/>
                <w:szCs w:val="21"/>
                <w:highlight w:val="none"/>
              </w:rPr>
            </w:pPr>
            <w:r>
              <w:rPr>
                <w:bCs/>
                <w:color w:val="auto"/>
                <w:sz w:val="21"/>
                <w:szCs w:val="21"/>
                <w:highlight w:val="none"/>
              </w:rPr>
              <w:t>/</w:t>
            </w:r>
          </w:p>
        </w:tc>
        <w:tc>
          <w:tcPr>
            <w:tcW w:w="678" w:type="pct"/>
            <w:tcBorders>
              <w:tl2br w:val="nil"/>
              <w:tr2bl w:val="nil"/>
            </w:tcBorders>
            <w:vAlign w:val="center"/>
          </w:tcPr>
          <w:p w14:paraId="406975C8">
            <w:pPr>
              <w:spacing w:line="240" w:lineRule="auto"/>
              <w:ind w:firstLine="0" w:firstLineChars="0"/>
              <w:jc w:val="center"/>
              <w:rPr>
                <w:bCs/>
                <w:color w:val="auto"/>
                <w:sz w:val="21"/>
                <w:szCs w:val="21"/>
                <w:highlight w:val="none"/>
              </w:rPr>
            </w:pPr>
            <w:r>
              <w:rPr>
                <w:bCs/>
                <w:color w:val="auto"/>
                <w:sz w:val="21"/>
                <w:szCs w:val="21"/>
                <w:highlight w:val="none"/>
              </w:rPr>
              <w:t>38.6</w:t>
            </w:r>
          </w:p>
        </w:tc>
        <w:tc>
          <w:tcPr>
            <w:tcW w:w="785" w:type="pct"/>
            <w:tcBorders>
              <w:tl2br w:val="nil"/>
              <w:tr2bl w:val="nil"/>
            </w:tcBorders>
            <w:vAlign w:val="center"/>
          </w:tcPr>
          <w:p w14:paraId="28D8499B">
            <w:pPr>
              <w:spacing w:line="240" w:lineRule="auto"/>
              <w:ind w:firstLine="0" w:firstLineChars="0"/>
              <w:jc w:val="center"/>
              <w:rPr>
                <w:color w:val="auto"/>
                <w:sz w:val="21"/>
                <w:szCs w:val="21"/>
                <w:highlight w:val="none"/>
              </w:rPr>
            </w:pPr>
            <w:r>
              <w:rPr>
                <w:color w:val="auto"/>
                <w:sz w:val="21"/>
                <w:szCs w:val="21"/>
                <w:highlight w:val="none"/>
              </w:rPr>
              <w:t>99.65</w:t>
            </w:r>
          </w:p>
        </w:tc>
      </w:tr>
    </w:tbl>
    <w:p w14:paraId="07C54506">
      <w:pPr>
        <w:spacing w:line="240" w:lineRule="auto"/>
        <w:ind w:firstLine="482"/>
        <w:rPr>
          <w:color w:val="auto"/>
          <w:highlight w:val="none"/>
          <w:u w:val="single"/>
        </w:rPr>
      </w:pPr>
      <w:r>
        <w:rPr>
          <w:rFonts w:hint="eastAsia"/>
          <w:b/>
          <w:bCs/>
          <w:color w:val="auto"/>
          <w:highlight w:val="none"/>
          <w:u w:val="single"/>
        </w:rPr>
        <w:t>注：</w:t>
      </w:r>
      <w:r>
        <w:rPr>
          <w:rFonts w:hint="eastAsia"/>
          <w:b/>
          <w:bCs/>
          <w:color w:val="auto"/>
          <w:sz w:val="21"/>
          <w:szCs w:val="21"/>
          <w:highlight w:val="none"/>
          <w:u w:val="single"/>
        </w:rPr>
        <w:t>2025年“</w:t>
      </w:r>
      <w:r>
        <w:rPr>
          <w:b/>
          <w:bCs/>
          <w:color w:val="auto"/>
          <w:sz w:val="21"/>
          <w:szCs w:val="21"/>
          <w:highlight w:val="none"/>
          <w:u w:val="single"/>
        </w:rPr>
        <w:t>中船钦州修船资源整合项目一期工程</w:t>
      </w:r>
      <w:r>
        <w:rPr>
          <w:rFonts w:hint="eastAsia"/>
          <w:b/>
          <w:bCs/>
          <w:color w:val="auto"/>
          <w:sz w:val="21"/>
          <w:szCs w:val="21"/>
          <w:highlight w:val="none"/>
          <w:u w:val="single"/>
        </w:rPr>
        <w:t>”实际产能为设计产能的70%，因此该项目的污染物有组织排放量按2025年企业自行监测数据/70%进行折算。</w:t>
      </w:r>
    </w:p>
    <w:p w14:paraId="35F5BA51">
      <w:pPr>
        <w:ind w:firstLine="480"/>
        <w:rPr>
          <w:color w:val="auto"/>
          <w:highlight w:val="none"/>
        </w:rPr>
      </w:pPr>
    </w:p>
    <w:p w14:paraId="2EF985AD">
      <w:pPr>
        <w:ind w:firstLine="480"/>
        <w:rPr>
          <w:b/>
          <w:bCs/>
          <w:color w:val="auto"/>
          <w:highlight w:val="none"/>
        </w:rPr>
      </w:pPr>
      <w:r>
        <w:rPr>
          <w:color w:val="auto"/>
          <w:highlight w:val="none"/>
        </w:rPr>
        <w:t>本项目</w:t>
      </w:r>
      <w:r>
        <w:rPr>
          <w:rFonts w:hint="eastAsia"/>
          <w:color w:val="auto"/>
          <w:highlight w:val="none"/>
        </w:rPr>
        <w:t>技改建设的</w:t>
      </w:r>
      <w:r>
        <w:rPr>
          <w:color w:val="auto"/>
          <w:highlight w:val="none"/>
        </w:rPr>
        <w:t>1座10万吨级浮船坞仅涉及</w:t>
      </w:r>
      <w:r>
        <w:rPr>
          <w:rFonts w:hint="eastAsia"/>
          <w:color w:val="auto"/>
          <w:highlight w:val="none"/>
        </w:rPr>
        <w:t>“</w:t>
      </w:r>
      <w:r>
        <w:rPr>
          <w:color w:val="auto"/>
          <w:highlight w:val="none"/>
        </w:rPr>
        <w:t>中船钦州修船资源整合项目</w:t>
      </w:r>
      <w:r>
        <w:rPr>
          <w:rFonts w:hint="eastAsia"/>
          <w:color w:val="auto"/>
          <w:highlight w:val="none"/>
        </w:rPr>
        <w:t>”</w:t>
      </w:r>
      <w:r>
        <w:rPr>
          <w:color w:val="auto"/>
          <w:highlight w:val="none"/>
        </w:rPr>
        <w:t>，</w:t>
      </w:r>
      <w:r>
        <w:rPr>
          <w:rFonts w:hint="eastAsia"/>
          <w:color w:val="auto"/>
          <w:highlight w:val="none"/>
        </w:rPr>
        <w:t>扩建的</w:t>
      </w:r>
      <w:r>
        <w:rPr>
          <w:color w:val="auto"/>
          <w:highlight w:val="none"/>
        </w:rPr>
        <w:t>1台6070门座式起重机仅涉及</w:t>
      </w:r>
      <w:r>
        <w:rPr>
          <w:rFonts w:hint="eastAsia"/>
          <w:color w:val="auto"/>
          <w:highlight w:val="none"/>
        </w:rPr>
        <w:t>“</w:t>
      </w:r>
      <w:r>
        <w:rPr>
          <w:color w:val="auto"/>
          <w:highlight w:val="none"/>
        </w:rPr>
        <w:t>中船广西海上风电装备产业基地南翼项目2#码头和5#码头工程项目</w:t>
      </w:r>
      <w:r>
        <w:rPr>
          <w:rFonts w:hint="eastAsia"/>
          <w:color w:val="auto"/>
          <w:highlight w:val="none"/>
        </w:rPr>
        <w:t>”</w:t>
      </w:r>
      <w:r>
        <w:rPr>
          <w:color w:val="auto"/>
          <w:highlight w:val="none"/>
        </w:rPr>
        <w:t>；不涉及基地其他生产工序，因此本次评价重点对</w:t>
      </w:r>
      <w:r>
        <w:rPr>
          <w:rFonts w:hint="eastAsia"/>
          <w:color w:val="auto"/>
          <w:highlight w:val="none"/>
        </w:rPr>
        <w:t>“</w:t>
      </w:r>
      <w:r>
        <w:rPr>
          <w:color w:val="auto"/>
          <w:highlight w:val="none"/>
        </w:rPr>
        <w:t>中船钦州修船资源整合项目</w:t>
      </w:r>
      <w:r>
        <w:rPr>
          <w:rFonts w:hint="eastAsia"/>
          <w:color w:val="auto"/>
          <w:highlight w:val="none"/>
        </w:rPr>
        <w:t>”</w:t>
      </w:r>
      <w:r>
        <w:rPr>
          <w:color w:val="auto"/>
          <w:highlight w:val="none"/>
        </w:rPr>
        <w:t>、</w:t>
      </w:r>
      <w:r>
        <w:rPr>
          <w:rFonts w:hint="eastAsia"/>
          <w:color w:val="auto"/>
          <w:highlight w:val="none"/>
        </w:rPr>
        <w:t>“</w:t>
      </w:r>
      <w:r>
        <w:rPr>
          <w:color w:val="auto"/>
          <w:highlight w:val="none"/>
        </w:rPr>
        <w:t>中船广西海上风电装备产业基地南翼项目2#码头和5#码头工程项目</w:t>
      </w:r>
      <w:r>
        <w:rPr>
          <w:rFonts w:hint="eastAsia"/>
          <w:color w:val="auto"/>
          <w:highlight w:val="none"/>
        </w:rPr>
        <w:t>”</w:t>
      </w:r>
      <w:r>
        <w:rPr>
          <w:color w:val="auto"/>
          <w:highlight w:val="none"/>
        </w:rPr>
        <w:t>建设情况及污染物排放情况进行调查，</w:t>
      </w:r>
      <w:r>
        <w:rPr>
          <w:b/>
          <w:bCs/>
          <w:color w:val="auto"/>
          <w:highlight w:val="none"/>
        </w:rPr>
        <w:t>详见下文“2.1.3中船钦州修船资源整合项目概况”、“2.1.4中船广西海上风电装备产业基地南翼项目2#码头和5#码头工程项目概况”。</w:t>
      </w:r>
    </w:p>
    <w:p w14:paraId="0B124B43">
      <w:pPr>
        <w:pStyle w:val="7"/>
        <w:numPr>
          <w:ilvl w:val="2"/>
          <w:numId w:val="9"/>
        </w:numPr>
        <w:rPr>
          <w:color w:val="auto"/>
          <w:sz w:val="28"/>
          <w:highlight w:val="none"/>
        </w:rPr>
      </w:pPr>
      <w:r>
        <w:rPr>
          <w:color w:val="auto"/>
          <w:sz w:val="28"/>
          <w:highlight w:val="none"/>
        </w:rPr>
        <w:t>中船钦州修船资源整合项目概况</w:t>
      </w:r>
    </w:p>
    <w:p w14:paraId="57DE0DF9">
      <w:pPr>
        <w:pStyle w:val="533"/>
        <w:numPr>
          <w:ilvl w:val="3"/>
          <w:numId w:val="9"/>
        </w:numPr>
        <w:rPr>
          <w:color w:val="auto"/>
          <w:szCs w:val="24"/>
          <w:highlight w:val="none"/>
        </w:rPr>
      </w:pPr>
      <w:r>
        <w:rPr>
          <w:color w:val="auto"/>
          <w:szCs w:val="24"/>
          <w:highlight w:val="none"/>
        </w:rPr>
        <w:t>工程内容及规模</w:t>
      </w:r>
    </w:p>
    <w:p w14:paraId="7CCAF1FB">
      <w:pPr>
        <w:ind w:firstLine="480"/>
        <w:rPr>
          <w:color w:val="auto"/>
          <w:highlight w:val="none"/>
        </w:rPr>
      </w:pPr>
      <w:r>
        <w:rPr>
          <w:color w:val="auto"/>
          <w:highlight w:val="none"/>
        </w:rPr>
        <w:t>中船钦州修船资源整合项目原建设内容为中船集团公司长江口地区调配搬迁10万吨级、15万吨级浮船坞各一座至“钦州基地”，建成后年修理15万吨级以下各型船舶及海洋工程产品120艘。但因工程进度、港口需求等原因，中船钦州修船资源整合项目进行分期建设，一期工程建设内容为中船集团公司长江口地区调配搬迁10万吨级浮船坞一座至“钦州基地”，并配套建设船舶及海洋工程修理区，</w:t>
      </w:r>
      <w:r>
        <w:rPr>
          <w:rFonts w:hint="eastAsia"/>
          <w:color w:val="auto"/>
          <w:highlight w:val="none"/>
        </w:rPr>
        <w:t>项目建设内容</w:t>
      </w:r>
      <w:r>
        <w:rPr>
          <w:color w:val="auto"/>
          <w:highlight w:val="none"/>
        </w:rPr>
        <w:t>包括：直立式驳岸395m、船体和机电综合车间等生产设施、生产辅助及公用设施等，建成后年修理10万吨级以下各型船舶及海洋工程产品90艘。其中：公用工程包括给水排水及供配电设施等；环保设施包括厂区污水处理站、生活污水和食堂污水治理设施、浸漆车间和烘房排气系统、废水收集池废气处理系统、厨房油烟净化系统、危废暂存间和一般固废堆场。</w:t>
      </w:r>
    </w:p>
    <w:p w14:paraId="10B212F0">
      <w:pPr>
        <w:pStyle w:val="38"/>
        <w:spacing w:after="0" w:line="240" w:lineRule="auto"/>
        <w:ind w:firstLine="0" w:firstLineChars="0"/>
        <w:jc w:val="center"/>
        <w:rPr>
          <w:b/>
          <w:color w:val="auto"/>
          <w:sz w:val="21"/>
          <w:szCs w:val="21"/>
          <w:highlight w:val="none"/>
        </w:rPr>
      </w:pPr>
      <w:r>
        <w:rPr>
          <w:b/>
          <w:color w:val="auto"/>
          <w:sz w:val="21"/>
          <w:szCs w:val="21"/>
          <w:highlight w:val="none"/>
        </w:rPr>
        <w:t>表2.1-3  中船钦州修船资源整合项目实际建设内容对比情况表</w:t>
      </w:r>
    </w:p>
    <w:tbl>
      <w:tblPr>
        <w:tblStyle w:val="9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4"/>
        <w:gridCol w:w="739"/>
        <w:gridCol w:w="394"/>
        <w:gridCol w:w="1172"/>
        <w:gridCol w:w="3525"/>
        <w:gridCol w:w="2812"/>
      </w:tblGrid>
      <w:tr w14:paraId="22A80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blHeader/>
          <w:jc w:val="center"/>
        </w:trPr>
        <w:tc>
          <w:tcPr>
            <w:tcW w:w="1587" w:type="pct"/>
            <w:gridSpan w:val="4"/>
            <w:tcBorders>
              <w:top w:val="single" w:color="auto" w:sz="12" w:space="0"/>
              <w:left w:val="nil"/>
            </w:tcBorders>
            <w:vAlign w:val="center"/>
          </w:tcPr>
          <w:p w14:paraId="1A8D3245">
            <w:pPr>
              <w:spacing w:line="240" w:lineRule="auto"/>
              <w:ind w:firstLine="0" w:firstLineChars="0"/>
              <w:jc w:val="center"/>
              <w:rPr>
                <w:b/>
                <w:color w:val="auto"/>
                <w:sz w:val="21"/>
                <w:szCs w:val="21"/>
                <w:highlight w:val="none"/>
              </w:rPr>
            </w:pPr>
            <w:r>
              <w:rPr>
                <w:b/>
                <w:color w:val="auto"/>
                <w:sz w:val="21"/>
                <w:szCs w:val="21"/>
                <w:highlight w:val="none"/>
              </w:rPr>
              <w:t>项目</w:t>
            </w:r>
          </w:p>
        </w:tc>
        <w:tc>
          <w:tcPr>
            <w:tcW w:w="1898" w:type="pct"/>
            <w:tcBorders>
              <w:top w:val="single" w:color="auto" w:sz="12" w:space="0"/>
            </w:tcBorders>
            <w:vAlign w:val="center"/>
          </w:tcPr>
          <w:p w14:paraId="35CE3392">
            <w:pPr>
              <w:spacing w:line="240" w:lineRule="auto"/>
              <w:ind w:firstLine="0" w:firstLineChars="0"/>
              <w:jc w:val="center"/>
              <w:rPr>
                <w:b/>
                <w:color w:val="auto"/>
                <w:sz w:val="21"/>
                <w:szCs w:val="21"/>
                <w:highlight w:val="none"/>
              </w:rPr>
            </w:pPr>
            <w:r>
              <w:rPr>
                <w:b/>
                <w:color w:val="auto"/>
                <w:sz w:val="21"/>
                <w:szCs w:val="21"/>
                <w:highlight w:val="none"/>
              </w:rPr>
              <w:t>环评及批复建设内容</w:t>
            </w:r>
          </w:p>
        </w:tc>
        <w:tc>
          <w:tcPr>
            <w:tcW w:w="1514" w:type="pct"/>
            <w:tcBorders>
              <w:top w:val="single" w:color="auto" w:sz="12" w:space="0"/>
              <w:right w:val="nil"/>
            </w:tcBorders>
            <w:vAlign w:val="center"/>
          </w:tcPr>
          <w:p w14:paraId="429D2BD9">
            <w:pPr>
              <w:spacing w:line="240" w:lineRule="auto"/>
              <w:ind w:firstLine="0" w:firstLineChars="0"/>
              <w:jc w:val="center"/>
              <w:rPr>
                <w:b/>
                <w:color w:val="auto"/>
                <w:sz w:val="21"/>
                <w:szCs w:val="21"/>
                <w:highlight w:val="none"/>
              </w:rPr>
            </w:pPr>
            <w:r>
              <w:rPr>
                <w:b/>
                <w:color w:val="auto"/>
                <w:sz w:val="21"/>
                <w:szCs w:val="21"/>
                <w:highlight w:val="none"/>
              </w:rPr>
              <w:t>实际建设</w:t>
            </w:r>
          </w:p>
        </w:tc>
      </w:tr>
      <w:tr w14:paraId="1DAA6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346" w:type="pct"/>
            <w:vMerge w:val="restart"/>
            <w:tcBorders>
              <w:left w:val="nil"/>
            </w:tcBorders>
            <w:vAlign w:val="center"/>
          </w:tcPr>
          <w:p w14:paraId="23F1C7AE">
            <w:pPr>
              <w:spacing w:line="240" w:lineRule="auto"/>
              <w:ind w:firstLine="0" w:firstLineChars="0"/>
              <w:jc w:val="center"/>
              <w:rPr>
                <w:bCs/>
                <w:color w:val="auto"/>
                <w:sz w:val="21"/>
                <w:szCs w:val="21"/>
                <w:highlight w:val="none"/>
              </w:rPr>
            </w:pPr>
            <w:r>
              <w:rPr>
                <w:bCs/>
                <w:color w:val="auto"/>
                <w:sz w:val="21"/>
                <w:szCs w:val="21"/>
                <w:highlight w:val="none"/>
              </w:rPr>
              <w:t>主体工程</w:t>
            </w:r>
          </w:p>
        </w:tc>
        <w:tc>
          <w:tcPr>
            <w:tcW w:w="397" w:type="pct"/>
            <w:vMerge w:val="restart"/>
            <w:vAlign w:val="center"/>
          </w:tcPr>
          <w:p w14:paraId="0D863162">
            <w:pPr>
              <w:spacing w:line="240" w:lineRule="auto"/>
              <w:ind w:firstLine="0" w:firstLineChars="0"/>
              <w:jc w:val="center"/>
              <w:rPr>
                <w:bCs/>
                <w:color w:val="auto"/>
                <w:sz w:val="21"/>
                <w:szCs w:val="21"/>
                <w:highlight w:val="none"/>
              </w:rPr>
            </w:pPr>
            <w:r>
              <w:rPr>
                <w:bCs/>
                <w:color w:val="auto"/>
                <w:sz w:val="21"/>
                <w:szCs w:val="21"/>
                <w:highlight w:val="none"/>
              </w:rPr>
              <w:t>水工构筑物</w:t>
            </w:r>
          </w:p>
        </w:tc>
        <w:tc>
          <w:tcPr>
            <w:tcW w:w="843" w:type="pct"/>
            <w:gridSpan w:val="2"/>
            <w:vAlign w:val="center"/>
          </w:tcPr>
          <w:p w14:paraId="702147E7">
            <w:pPr>
              <w:spacing w:line="240" w:lineRule="auto"/>
              <w:ind w:firstLine="0" w:firstLineChars="0"/>
              <w:jc w:val="center"/>
              <w:rPr>
                <w:bCs/>
                <w:color w:val="auto"/>
                <w:sz w:val="21"/>
                <w:szCs w:val="21"/>
                <w:highlight w:val="none"/>
              </w:rPr>
            </w:pPr>
            <w:r>
              <w:rPr>
                <w:bCs/>
                <w:color w:val="auto"/>
                <w:sz w:val="21"/>
                <w:szCs w:val="21"/>
                <w:highlight w:val="none"/>
              </w:rPr>
              <w:t>直立式驳岸</w:t>
            </w:r>
          </w:p>
        </w:tc>
        <w:tc>
          <w:tcPr>
            <w:tcW w:w="1898" w:type="pct"/>
            <w:vAlign w:val="center"/>
          </w:tcPr>
          <w:p w14:paraId="47D057D0">
            <w:pPr>
              <w:spacing w:line="240" w:lineRule="auto"/>
              <w:ind w:firstLine="0" w:firstLineChars="0"/>
              <w:jc w:val="center"/>
              <w:rPr>
                <w:bCs/>
                <w:color w:val="auto"/>
                <w:sz w:val="21"/>
                <w:szCs w:val="21"/>
                <w:highlight w:val="none"/>
              </w:rPr>
            </w:pPr>
            <w:r>
              <w:rPr>
                <w:bCs/>
                <w:color w:val="auto"/>
                <w:sz w:val="21"/>
                <w:szCs w:val="21"/>
                <w:highlight w:val="none"/>
              </w:rPr>
              <w:t>占地面积9875m</w:t>
            </w:r>
            <w:r>
              <w:rPr>
                <w:bCs/>
                <w:color w:val="auto"/>
                <w:sz w:val="21"/>
                <w:szCs w:val="21"/>
                <w:highlight w:val="none"/>
                <w:vertAlign w:val="superscript"/>
              </w:rPr>
              <w:t>2</w:t>
            </w:r>
            <w:r>
              <w:rPr>
                <w:bCs/>
                <w:color w:val="auto"/>
                <w:sz w:val="21"/>
                <w:szCs w:val="21"/>
                <w:highlight w:val="none"/>
              </w:rPr>
              <w:t>，长度395m，宽度25m</w:t>
            </w:r>
          </w:p>
        </w:tc>
        <w:tc>
          <w:tcPr>
            <w:tcW w:w="1514" w:type="pct"/>
            <w:tcBorders>
              <w:right w:val="nil"/>
            </w:tcBorders>
            <w:vAlign w:val="center"/>
          </w:tcPr>
          <w:p w14:paraId="1EC599CF">
            <w:pPr>
              <w:spacing w:line="240" w:lineRule="auto"/>
              <w:ind w:firstLine="0" w:firstLineChars="0"/>
              <w:jc w:val="center"/>
              <w:rPr>
                <w:bCs/>
                <w:color w:val="auto"/>
                <w:sz w:val="21"/>
                <w:szCs w:val="21"/>
                <w:highlight w:val="none"/>
              </w:rPr>
            </w:pPr>
            <w:r>
              <w:rPr>
                <w:bCs/>
                <w:color w:val="auto"/>
                <w:sz w:val="21"/>
                <w:szCs w:val="21"/>
                <w:highlight w:val="none"/>
              </w:rPr>
              <w:t>与环评及批复建设内容一致</w:t>
            </w:r>
          </w:p>
        </w:tc>
      </w:tr>
      <w:tr w14:paraId="41C2A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346" w:type="pct"/>
            <w:vMerge w:val="continue"/>
            <w:tcBorders>
              <w:left w:val="nil"/>
            </w:tcBorders>
            <w:vAlign w:val="center"/>
          </w:tcPr>
          <w:p w14:paraId="2E10225E">
            <w:pPr>
              <w:spacing w:line="240" w:lineRule="auto"/>
              <w:ind w:firstLine="0" w:firstLineChars="0"/>
              <w:jc w:val="center"/>
              <w:rPr>
                <w:bCs/>
                <w:color w:val="auto"/>
                <w:sz w:val="21"/>
                <w:szCs w:val="21"/>
                <w:highlight w:val="none"/>
              </w:rPr>
            </w:pPr>
          </w:p>
        </w:tc>
        <w:tc>
          <w:tcPr>
            <w:tcW w:w="397" w:type="pct"/>
            <w:vMerge w:val="continue"/>
            <w:vAlign w:val="center"/>
          </w:tcPr>
          <w:p w14:paraId="3C0343C5">
            <w:pPr>
              <w:spacing w:line="240" w:lineRule="auto"/>
              <w:ind w:firstLine="0" w:firstLineChars="0"/>
              <w:jc w:val="center"/>
              <w:rPr>
                <w:bCs/>
                <w:color w:val="auto"/>
                <w:sz w:val="21"/>
                <w:szCs w:val="21"/>
                <w:highlight w:val="none"/>
              </w:rPr>
            </w:pPr>
          </w:p>
        </w:tc>
        <w:tc>
          <w:tcPr>
            <w:tcW w:w="843" w:type="pct"/>
            <w:gridSpan w:val="2"/>
            <w:vAlign w:val="center"/>
          </w:tcPr>
          <w:p w14:paraId="644BAB50">
            <w:pPr>
              <w:spacing w:line="240" w:lineRule="auto"/>
              <w:ind w:firstLine="0" w:firstLineChars="0"/>
              <w:jc w:val="center"/>
              <w:rPr>
                <w:bCs/>
                <w:color w:val="auto"/>
                <w:sz w:val="21"/>
                <w:szCs w:val="21"/>
                <w:highlight w:val="none"/>
              </w:rPr>
            </w:pPr>
            <w:r>
              <w:rPr>
                <w:bCs/>
                <w:color w:val="auto"/>
                <w:sz w:val="21"/>
                <w:szCs w:val="21"/>
                <w:highlight w:val="none"/>
              </w:rPr>
              <w:t>1#浮船坞</w:t>
            </w:r>
          </w:p>
        </w:tc>
        <w:tc>
          <w:tcPr>
            <w:tcW w:w="1898" w:type="pct"/>
            <w:vAlign w:val="center"/>
          </w:tcPr>
          <w:p w14:paraId="45F81898">
            <w:pPr>
              <w:spacing w:line="240" w:lineRule="auto"/>
              <w:ind w:firstLine="0" w:firstLineChars="0"/>
              <w:jc w:val="center"/>
              <w:rPr>
                <w:bCs/>
                <w:color w:val="auto"/>
                <w:sz w:val="21"/>
                <w:szCs w:val="21"/>
                <w:highlight w:val="none"/>
              </w:rPr>
            </w:pPr>
            <w:r>
              <w:rPr>
                <w:bCs/>
                <w:color w:val="auto"/>
                <w:sz w:val="21"/>
                <w:szCs w:val="21"/>
                <w:highlight w:val="none"/>
              </w:rPr>
              <w:t>由上海船厂船舶有限公司调配“新祥生”号10万吨级浮船坞（245m×51m）</w:t>
            </w:r>
          </w:p>
        </w:tc>
        <w:tc>
          <w:tcPr>
            <w:tcW w:w="1514" w:type="pct"/>
            <w:tcBorders>
              <w:right w:val="nil"/>
            </w:tcBorders>
            <w:vAlign w:val="center"/>
          </w:tcPr>
          <w:p w14:paraId="59D454B6">
            <w:pPr>
              <w:spacing w:line="240" w:lineRule="auto"/>
              <w:ind w:firstLine="0" w:firstLineChars="0"/>
              <w:jc w:val="center"/>
              <w:rPr>
                <w:bCs/>
                <w:color w:val="auto"/>
                <w:sz w:val="21"/>
                <w:szCs w:val="21"/>
                <w:highlight w:val="none"/>
              </w:rPr>
            </w:pPr>
            <w:r>
              <w:rPr>
                <w:bCs/>
                <w:color w:val="auto"/>
                <w:sz w:val="21"/>
                <w:szCs w:val="21"/>
                <w:highlight w:val="none"/>
              </w:rPr>
              <w:t>与环评及批复建设内容一致，并配备一台250kW的应急发电机</w:t>
            </w:r>
          </w:p>
        </w:tc>
      </w:tr>
      <w:tr w14:paraId="2CC9EF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346" w:type="pct"/>
            <w:vMerge w:val="continue"/>
            <w:tcBorders>
              <w:left w:val="nil"/>
            </w:tcBorders>
            <w:vAlign w:val="center"/>
          </w:tcPr>
          <w:p w14:paraId="648B8EFE">
            <w:pPr>
              <w:spacing w:line="240" w:lineRule="auto"/>
              <w:ind w:firstLine="0" w:firstLineChars="0"/>
              <w:jc w:val="center"/>
              <w:rPr>
                <w:bCs/>
                <w:color w:val="auto"/>
                <w:sz w:val="21"/>
                <w:szCs w:val="21"/>
                <w:highlight w:val="none"/>
              </w:rPr>
            </w:pPr>
          </w:p>
        </w:tc>
        <w:tc>
          <w:tcPr>
            <w:tcW w:w="397" w:type="pct"/>
            <w:vMerge w:val="continue"/>
            <w:vAlign w:val="center"/>
          </w:tcPr>
          <w:p w14:paraId="58F98522">
            <w:pPr>
              <w:spacing w:line="240" w:lineRule="auto"/>
              <w:ind w:firstLine="0" w:firstLineChars="0"/>
              <w:jc w:val="center"/>
              <w:rPr>
                <w:bCs/>
                <w:color w:val="auto"/>
                <w:sz w:val="21"/>
                <w:szCs w:val="21"/>
                <w:highlight w:val="none"/>
              </w:rPr>
            </w:pPr>
          </w:p>
        </w:tc>
        <w:tc>
          <w:tcPr>
            <w:tcW w:w="843" w:type="pct"/>
            <w:gridSpan w:val="2"/>
            <w:vAlign w:val="center"/>
          </w:tcPr>
          <w:p w14:paraId="7775418A">
            <w:pPr>
              <w:spacing w:line="240" w:lineRule="auto"/>
              <w:ind w:firstLine="0" w:firstLineChars="0"/>
              <w:jc w:val="center"/>
              <w:rPr>
                <w:bCs/>
                <w:color w:val="auto"/>
                <w:sz w:val="21"/>
                <w:szCs w:val="21"/>
                <w:highlight w:val="none"/>
              </w:rPr>
            </w:pPr>
            <w:r>
              <w:rPr>
                <w:bCs/>
                <w:color w:val="auto"/>
                <w:sz w:val="21"/>
                <w:szCs w:val="21"/>
                <w:highlight w:val="none"/>
              </w:rPr>
              <w:t>2#浮船坞</w:t>
            </w:r>
          </w:p>
        </w:tc>
        <w:tc>
          <w:tcPr>
            <w:tcW w:w="1898" w:type="pct"/>
            <w:vAlign w:val="center"/>
          </w:tcPr>
          <w:p w14:paraId="68604351">
            <w:pPr>
              <w:spacing w:line="240" w:lineRule="auto"/>
              <w:ind w:firstLine="0" w:firstLineChars="0"/>
              <w:jc w:val="center"/>
              <w:rPr>
                <w:bCs/>
                <w:color w:val="auto"/>
                <w:sz w:val="21"/>
                <w:szCs w:val="21"/>
                <w:highlight w:val="none"/>
              </w:rPr>
            </w:pPr>
            <w:r>
              <w:rPr>
                <w:bCs/>
                <w:color w:val="auto"/>
                <w:sz w:val="21"/>
                <w:szCs w:val="21"/>
                <w:highlight w:val="none"/>
              </w:rPr>
              <w:t>由中船澄西新荣船舶有限公司调配15万吨级浮船坞（285m×61m）</w:t>
            </w:r>
          </w:p>
        </w:tc>
        <w:tc>
          <w:tcPr>
            <w:tcW w:w="1514" w:type="pct"/>
            <w:tcBorders>
              <w:right w:val="nil"/>
            </w:tcBorders>
            <w:vAlign w:val="center"/>
          </w:tcPr>
          <w:p w14:paraId="500361C0">
            <w:pPr>
              <w:spacing w:line="240" w:lineRule="auto"/>
              <w:ind w:firstLine="0" w:firstLineChars="0"/>
              <w:jc w:val="center"/>
              <w:rPr>
                <w:bCs/>
                <w:color w:val="auto"/>
                <w:sz w:val="21"/>
                <w:szCs w:val="21"/>
                <w:highlight w:val="none"/>
              </w:rPr>
            </w:pPr>
            <w:r>
              <w:rPr>
                <w:bCs/>
                <w:color w:val="auto"/>
                <w:sz w:val="21"/>
                <w:szCs w:val="21"/>
                <w:highlight w:val="none"/>
              </w:rPr>
              <w:t>因工程进度、港口需求等原因，</w:t>
            </w:r>
            <w:r>
              <w:rPr>
                <w:rFonts w:hint="eastAsia"/>
                <w:bCs/>
                <w:color w:val="auto"/>
                <w:sz w:val="21"/>
                <w:szCs w:val="21"/>
                <w:highlight w:val="none"/>
              </w:rPr>
              <w:t>该项</w:t>
            </w:r>
            <w:r>
              <w:rPr>
                <w:bCs/>
                <w:color w:val="auto"/>
                <w:sz w:val="21"/>
                <w:szCs w:val="21"/>
                <w:highlight w:val="none"/>
              </w:rPr>
              <w:t>工程未建有</w:t>
            </w:r>
          </w:p>
        </w:tc>
      </w:tr>
      <w:tr w14:paraId="2C85F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346" w:type="pct"/>
            <w:vMerge w:val="continue"/>
            <w:tcBorders>
              <w:left w:val="nil"/>
            </w:tcBorders>
            <w:vAlign w:val="center"/>
          </w:tcPr>
          <w:p w14:paraId="59E65E95">
            <w:pPr>
              <w:spacing w:line="240" w:lineRule="auto"/>
              <w:ind w:firstLine="0" w:firstLineChars="0"/>
              <w:jc w:val="center"/>
              <w:rPr>
                <w:bCs/>
                <w:color w:val="auto"/>
                <w:sz w:val="21"/>
                <w:szCs w:val="21"/>
                <w:highlight w:val="none"/>
              </w:rPr>
            </w:pPr>
          </w:p>
        </w:tc>
        <w:tc>
          <w:tcPr>
            <w:tcW w:w="397" w:type="pct"/>
            <w:vMerge w:val="continue"/>
            <w:vAlign w:val="center"/>
          </w:tcPr>
          <w:p w14:paraId="75C7656C">
            <w:pPr>
              <w:spacing w:line="240" w:lineRule="auto"/>
              <w:ind w:firstLine="0" w:firstLineChars="0"/>
              <w:jc w:val="center"/>
              <w:rPr>
                <w:bCs/>
                <w:color w:val="auto"/>
                <w:sz w:val="21"/>
                <w:szCs w:val="21"/>
                <w:highlight w:val="none"/>
              </w:rPr>
            </w:pPr>
          </w:p>
        </w:tc>
        <w:tc>
          <w:tcPr>
            <w:tcW w:w="843" w:type="pct"/>
            <w:gridSpan w:val="2"/>
            <w:vAlign w:val="center"/>
          </w:tcPr>
          <w:p w14:paraId="7D8AE4A1">
            <w:pPr>
              <w:spacing w:line="240" w:lineRule="auto"/>
              <w:ind w:firstLine="0" w:firstLineChars="0"/>
              <w:jc w:val="center"/>
              <w:rPr>
                <w:bCs/>
                <w:color w:val="auto"/>
                <w:sz w:val="21"/>
                <w:szCs w:val="21"/>
                <w:highlight w:val="none"/>
              </w:rPr>
            </w:pPr>
            <w:r>
              <w:rPr>
                <w:bCs/>
                <w:color w:val="auto"/>
                <w:sz w:val="21"/>
                <w:szCs w:val="21"/>
                <w:highlight w:val="none"/>
              </w:rPr>
              <w:t>钢引桥</w:t>
            </w:r>
          </w:p>
        </w:tc>
        <w:tc>
          <w:tcPr>
            <w:tcW w:w="1898" w:type="pct"/>
            <w:vAlign w:val="center"/>
          </w:tcPr>
          <w:p w14:paraId="5471F331">
            <w:pPr>
              <w:spacing w:line="240" w:lineRule="auto"/>
              <w:ind w:firstLine="0" w:firstLineChars="0"/>
              <w:jc w:val="center"/>
              <w:rPr>
                <w:bCs/>
                <w:color w:val="auto"/>
                <w:sz w:val="21"/>
                <w:szCs w:val="21"/>
                <w:highlight w:val="none"/>
              </w:rPr>
            </w:pPr>
            <w:r>
              <w:rPr>
                <w:bCs/>
                <w:color w:val="auto"/>
                <w:sz w:val="21"/>
                <w:szCs w:val="21"/>
                <w:highlight w:val="none"/>
              </w:rPr>
              <w:t>2座，长35m×宽4.5m</w:t>
            </w:r>
          </w:p>
        </w:tc>
        <w:tc>
          <w:tcPr>
            <w:tcW w:w="1514" w:type="pct"/>
            <w:tcBorders>
              <w:right w:val="nil"/>
            </w:tcBorders>
            <w:vAlign w:val="center"/>
          </w:tcPr>
          <w:p w14:paraId="328B7EA3">
            <w:pPr>
              <w:spacing w:line="240" w:lineRule="auto"/>
              <w:ind w:firstLine="0" w:firstLineChars="0"/>
              <w:jc w:val="center"/>
              <w:rPr>
                <w:bCs/>
                <w:color w:val="auto"/>
                <w:sz w:val="21"/>
                <w:szCs w:val="21"/>
                <w:highlight w:val="none"/>
              </w:rPr>
            </w:pPr>
            <w:r>
              <w:rPr>
                <w:bCs/>
                <w:color w:val="auto"/>
                <w:sz w:val="21"/>
                <w:szCs w:val="21"/>
                <w:highlight w:val="none"/>
              </w:rPr>
              <w:t>与环评及批复建设内容一致</w:t>
            </w:r>
          </w:p>
        </w:tc>
      </w:tr>
      <w:tr w14:paraId="02C82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346" w:type="pct"/>
            <w:vMerge w:val="continue"/>
            <w:tcBorders>
              <w:left w:val="nil"/>
            </w:tcBorders>
            <w:vAlign w:val="center"/>
          </w:tcPr>
          <w:p w14:paraId="29C470E5">
            <w:pPr>
              <w:spacing w:line="240" w:lineRule="auto"/>
              <w:ind w:firstLine="0" w:firstLineChars="0"/>
              <w:jc w:val="center"/>
              <w:rPr>
                <w:bCs/>
                <w:color w:val="auto"/>
                <w:sz w:val="21"/>
                <w:szCs w:val="21"/>
                <w:highlight w:val="none"/>
              </w:rPr>
            </w:pPr>
          </w:p>
        </w:tc>
        <w:tc>
          <w:tcPr>
            <w:tcW w:w="397" w:type="pct"/>
            <w:vMerge w:val="continue"/>
            <w:vAlign w:val="center"/>
          </w:tcPr>
          <w:p w14:paraId="702BC706">
            <w:pPr>
              <w:spacing w:line="240" w:lineRule="auto"/>
              <w:ind w:firstLine="0" w:firstLineChars="0"/>
              <w:jc w:val="center"/>
              <w:rPr>
                <w:bCs/>
                <w:color w:val="auto"/>
                <w:sz w:val="21"/>
                <w:szCs w:val="21"/>
                <w:highlight w:val="none"/>
              </w:rPr>
            </w:pPr>
          </w:p>
        </w:tc>
        <w:tc>
          <w:tcPr>
            <w:tcW w:w="843" w:type="pct"/>
            <w:gridSpan w:val="2"/>
            <w:vAlign w:val="center"/>
          </w:tcPr>
          <w:p w14:paraId="5A7F161B">
            <w:pPr>
              <w:spacing w:line="240" w:lineRule="auto"/>
              <w:ind w:firstLine="0" w:firstLineChars="0"/>
              <w:jc w:val="center"/>
              <w:rPr>
                <w:bCs/>
                <w:color w:val="auto"/>
                <w:sz w:val="21"/>
                <w:szCs w:val="21"/>
                <w:highlight w:val="none"/>
              </w:rPr>
            </w:pPr>
            <w:r>
              <w:rPr>
                <w:bCs/>
                <w:color w:val="auto"/>
                <w:sz w:val="21"/>
                <w:szCs w:val="21"/>
                <w:highlight w:val="none"/>
              </w:rPr>
              <w:t>动力塔</w:t>
            </w:r>
          </w:p>
        </w:tc>
        <w:tc>
          <w:tcPr>
            <w:tcW w:w="1898" w:type="pct"/>
            <w:vAlign w:val="center"/>
          </w:tcPr>
          <w:p w14:paraId="587FFD6C">
            <w:pPr>
              <w:spacing w:line="240" w:lineRule="auto"/>
              <w:ind w:firstLine="0" w:firstLineChars="0"/>
              <w:jc w:val="center"/>
              <w:rPr>
                <w:bCs/>
                <w:color w:val="auto"/>
                <w:sz w:val="21"/>
                <w:szCs w:val="21"/>
                <w:highlight w:val="none"/>
              </w:rPr>
            </w:pPr>
            <w:r>
              <w:rPr>
                <w:bCs/>
                <w:color w:val="auto"/>
                <w:sz w:val="21"/>
                <w:szCs w:val="21"/>
                <w:highlight w:val="none"/>
              </w:rPr>
              <w:t>2座</w:t>
            </w:r>
          </w:p>
        </w:tc>
        <w:tc>
          <w:tcPr>
            <w:tcW w:w="1514" w:type="pct"/>
            <w:tcBorders>
              <w:right w:val="nil"/>
            </w:tcBorders>
            <w:vAlign w:val="center"/>
          </w:tcPr>
          <w:p w14:paraId="4129FC7D">
            <w:pPr>
              <w:spacing w:line="240" w:lineRule="auto"/>
              <w:ind w:firstLine="0" w:firstLineChars="0"/>
              <w:jc w:val="center"/>
              <w:rPr>
                <w:bCs/>
                <w:color w:val="auto"/>
                <w:sz w:val="21"/>
                <w:szCs w:val="21"/>
                <w:highlight w:val="none"/>
              </w:rPr>
            </w:pPr>
            <w:r>
              <w:rPr>
                <w:bCs/>
                <w:color w:val="auto"/>
                <w:sz w:val="21"/>
                <w:szCs w:val="21"/>
                <w:highlight w:val="none"/>
              </w:rPr>
              <w:t>未建</w:t>
            </w:r>
          </w:p>
        </w:tc>
      </w:tr>
      <w:tr w14:paraId="709A1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346" w:type="pct"/>
            <w:vMerge w:val="continue"/>
            <w:tcBorders>
              <w:left w:val="nil"/>
            </w:tcBorders>
            <w:vAlign w:val="center"/>
          </w:tcPr>
          <w:p w14:paraId="52E42398">
            <w:pPr>
              <w:spacing w:line="240" w:lineRule="auto"/>
              <w:ind w:firstLine="0" w:firstLineChars="0"/>
              <w:jc w:val="center"/>
              <w:rPr>
                <w:bCs/>
                <w:color w:val="auto"/>
                <w:sz w:val="21"/>
                <w:szCs w:val="21"/>
                <w:highlight w:val="none"/>
              </w:rPr>
            </w:pPr>
          </w:p>
        </w:tc>
        <w:tc>
          <w:tcPr>
            <w:tcW w:w="397" w:type="pct"/>
            <w:vAlign w:val="center"/>
          </w:tcPr>
          <w:p w14:paraId="15365A29">
            <w:pPr>
              <w:spacing w:line="240" w:lineRule="auto"/>
              <w:ind w:firstLine="0" w:firstLineChars="0"/>
              <w:jc w:val="center"/>
              <w:rPr>
                <w:bCs/>
                <w:color w:val="auto"/>
                <w:sz w:val="21"/>
                <w:szCs w:val="21"/>
                <w:highlight w:val="none"/>
              </w:rPr>
            </w:pPr>
            <w:r>
              <w:rPr>
                <w:bCs/>
                <w:color w:val="auto"/>
                <w:sz w:val="21"/>
                <w:szCs w:val="21"/>
                <w:highlight w:val="none"/>
              </w:rPr>
              <w:t>生产</w:t>
            </w:r>
          </w:p>
          <w:p w14:paraId="612D9C80">
            <w:pPr>
              <w:spacing w:line="240" w:lineRule="auto"/>
              <w:ind w:firstLine="0" w:firstLineChars="0"/>
              <w:jc w:val="center"/>
              <w:rPr>
                <w:bCs/>
                <w:color w:val="auto"/>
                <w:sz w:val="21"/>
                <w:szCs w:val="21"/>
                <w:highlight w:val="none"/>
              </w:rPr>
            </w:pPr>
            <w:r>
              <w:rPr>
                <w:bCs/>
                <w:color w:val="auto"/>
                <w:sz w:val="21"/>
                <w:szCs w:val="21"/>
                <w:highlight w:val="none"/>
              </w:rPr>
              <w:t>设施</w:t>
            </w:r>
          </w:p>
        </w:tc>
        <w:tc>
          <w:tcPr>
            <w:tcW w:w="843" w:type="pct"/>
            <w:gridSpan w:val="2"/>
            <w:vAlign w:val="center"/>
          </w:tcPr>
          <w:p w14:paraId="2DD9D0E3">
            <w:pPr>
              <w:spacing w:line="240" w:lineRule="auto"/>
              <w:ind w:firstLine="0" w:firstLineChars="0"/>
              <w:jc w:val="center"/>
              <w:rPr>
                <w:bCs/>
                <w:color w:val="auto"/>
                <w:sz w:val="21"/>
                <w:szCs w:val="21"/>
                <w:highlight w:val="none"/>
              </w:rPr>
            </w:pPr>
            <w:r>
              <w:rPr>
                <w:bCs/>
                <w:color w:val="auto"/>
                <w:sz w:val="21"/>
                <w:szCs w:val="21"/>
                <w:highlight w:val="none"/>
              </w:rPr>
              <w:t>船体和机电综合车间</w:t>
            </w:r>
          </w:p>
        </w:tc>
        <w:tc>
          <w:tcPr>
            <w:tcW w:w="1898" w:type="pct"/>
            <w:vAlign w:val="center"/>
          </w:tcPr>
          <w:p w14:paraId="182F6E02">
            <w:pPr>
              <w:spacing w:line="240" w:lineRule="auto"/>
              <w:ind w:firstLine="0" w:firstLineChars="0"/>
              <w:jc w:val="center"/>
              <w:rPr>
                <w:bCs/>
                <w:color w:val="auto"/>
                <w:sz w:val="21"/>
                <w:szCs w:val="21"/>
                <w:highlight w:val="none"/>
              </w:rPr>
            </w:pPr>
            <w:r>
              <w:rPr>
                <w:bCs/>
                <w:color w:val="auto"/>
                <w:sz w:val="21"/>
                <w:szCs w:val="21"/>
                <w:highlight w:val="none"/>
              </w:rPr>
              <w:t>占地面积10330m</w:t>
            </w:r>
            <w:r>
              <w:rPr>
                <w:bCs/>
                <w:color w:val="auto"/>
                <w:sz w:val="21"/>
                <w:szCs w:val="21"/>
                <w:highlight w:val="none"/>
                <w:vertAlign w:val="superscript"/>
              </w:rPr>
              <w:t>2</w:t>
            </w:r>
            <w:r>
              <w:rPr>
                <w:bCs/>
                <w:color w:val="auto"/>
                <w:sz w:val="21"/>
                <w:szCs w:val="21"/>
                <w:highlight w:val="none"/>
              </w:rPr>
              <w:t>，120m×（27+27+21+9 m），3层，建筑面积13281m</w:t>
            </w:r>
            <w:r>
              <w:rPr>
                <w:bCs/>
                <w:color w:val="auto"/>
                <w:sz w:val="21"/>
                <w:szCs w:val="21"/>
                <w:highlight w:val="none"/>
                <w:vertAlign w:val="superscript"/>
              </w:rPr>
              <w:t>2</w:t>
            </w:r>
            <w:r>
              <w:rPr>
                <w:bCs/>
                <w:color w:val="auto"/>
                <w:sz w:val="21"/>
                <w:szCs w:val="21"/>
                <w:highlight w:val="none"/>
              </w:rPr>
              <w:t>，包括船体钢材切割加工工场、管子工场、坞修钳工工场、电工工场、薄板工场、机加工工场、化学清洗间</w:t>
            </w:r>
          </w:p>
        </w:tc>
        <w:tc>
          <w:tcPr>
            <w:tcW w:w="1514" w:type="pct"/>
            <w:tcBorders>
              <w:right w:val="nil"/>
            </w:tcBorders>
            <w:vAlign w:val="center"/>
          </w:tcPr>
          <w:p w14:paraId="6E9BF886">
            <w:pPr>
              <w:spacing w:line="240" w:lineRule="auto"/>
              <w:ind w:firstLine="0" w:firstLineChars="0"/>
              <w:jc w:val="center"/>
              <w:rPr>
                <w:bCs/>
                <w:color w:val="auto"/>
                <w:sz w:val="21"/>
                <w:szCs w:val="21"/>
                <w:highlight w:val="none"/>
              </w:rPr>
            </w:pPr>
            <w:r>
              <w:rPr>
                <w:bCs/>
                <w:color w:val="auto"/>
                <w:sz w:val="21"/>
                <w:szCs w:val="21"/>
                <w:highlight w:val="none"/>
              </w:rPr>
              <w:t>与环评及批复建设内容一致，电工工场设有浸漆间</w:t>
            </w:r>
          </w:p>
        </w:tc>
      </w:tr>
      <w:tr w14:paraId="7B8CB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44" w:type="pct"/>
            <w:gridSpan w:val="2"/>
            <w:vMerge w:val="restart"/>
            <w:tcBorders>
              <w:left w:val="nil"/>
            </w:tcBorders>
            <w:vAlign w:val="center"/>
          </w:tcPr>
          <w:p w14:paraId="62601263">
            <w:pPr>
              <w:spacing w:line="240" w:lineRule="auto"/>
              <w:ind w:firstLine="0" w:firstLineChars="0"/>
              <w:jc w:val="center"/>
              <w:rPr>
                <w:bCs/>
                <w:color w:val="auto"/>
                <w:sz w:val="21"/>
                <w:szCs w:val="21"/>
                <w:highlight w:val="none"/>
              </w:rPr>
            </w:pPr>
            <w:r>
              <w:rPr>
                <w:bCs/>
                <w:color w:val="auto"/>
                <w:sz w:val="21"/>
                <w:szCs w:val="21"/>
                <w:highlight w:val="none"/>
              </w:rPr>
              <w:t>辅助工程</w:t>
            </w:r>
          </w:p>
        </w:tc>
        <w:tc>
          <w:tcPr>
            <w:tcW w:w="843" w:type="pct"/>
            <w:gridSpan w:val="2"/>
            <w:vAlign w:val="center"/>
          </w:tcPr>
          <w:p w14:paraId="1AAE40DA">
            <w:pPr>
              <w:spacing w:line="240" w:lineRule="auto"/>
              <w:ind w:firstLine="0" w:firstLineChars="0"/>
              <w:jc w:val="center"/>
              <w:rPr>
                <w:bCs/>
                <w:color w:val="auto"/>
                <w:sz w:val="21"/>
                <w:szCs w:val="21"/>
                <w:highlight w:val="none"/>
              </w:rPr>
            </w:pPr>
            <w:r>
              <w:rPr>
                <w:bCs/>
                <w:color w:val="auto"/>
                <w:sz w:val="21"/>
                <w:szCs w:val="21"/>
                <w:highlight w:val="none"/>
              </w:rPr>
              <w:t>综合楼</w:t>
            </w:r>
          </w:p>
        </w:tc>
        <w:tc>
          <w:tcPr>
            <w:tcW w:w="1898" w:type="pct"/>
            <w:vAlign w:val="center"/>
          </w:tcPr>
          <w:p w14:paraId="29FA995A">
            <w:pPr>
              <w:spacing w:line="240" w:lineRule="auto"/>
              <w:ind w:firstLine="0" w:firstLineChars="0"/>
              <w:jc w:val="center"/>
              <w:rPr>
                <w:bCs/>
                <w:color w:val="auto"/>
                <w:sz w:val="21"/>
                <w:szCs w:val="21"/>
                <w:highlight w:val="none"/>
              </w:rPr>
            </w:pPr>
            <w:r>
              <w:rPr>
                <w:bCs/>
                <w:color w:val="auto"/>
                <w:sz w:val="21"/>
                <w:szCs w:val="21"/>
                <w:highlight w:val="none"/>
              </w:rPr>
              <w:t>占地面积920m</w:t>
            </w:r>
            <w:r>
              <w:rPr>
                <w:bCs/>
                <w:color w:val="auto"/>
                <w:sz w:val="21"/>
                <w:szCs w:val="21"/>
                <w:highlight w:val="none"/>
                <w:vertAlign w:val="superscript"/>
              </w:rPr>
              <w:t>2</w:t>
            </w:r>
            <w:r>
              <w:rPr>
                <w:bCs/>
                <w:color w:val="auto"/>
                <w:sz w:val="21"/>
                <w:szCs w:val="21"/>
                <w:highlight w:val="none"/>
              </w:rPr>
              <w:t>，长56.4m×宽18.6m，5层，建设面积4961m</w:t>
            </w:r>
            <w:r>
              <w:rPr>
                <w:bCs/>
                <w:color w:val="auto"/>
                <w:sz w:val="21"/>
                <w:szCs w:val="21"/>
                <w:highlight w:val="none"/>
                <w:vertAlign w:val="superscript"/>
              </w:rPr>
              <w:t>2</w:t>
            </w:r>
            <w:r>
              <w:rPr>
                <w:bCs/>
                <w:color w:val="auto"/>
                <w:sz w:val="21"/>
                <w:szCs w:val="21"/>
                <w:highlight w:val="none"/>
              </w:rPr>
              <w:t>，包含办公、倒班宿舍、食堂、浴室等</w:t>
            </w:r>
          </w:p>
        </w:tc>
        <w:tc>
          <w:tcPr>
            <w:tcW w:w="1514" w:type="pct"/>
            <w:tcBorders>
              <w:right w:val="nil"/>
            </w:tcBorders>
            <w:vAlign w:val="center"/>
          </w:tcPr>
          <w:p w14:paraId="0DD9E757">
            <w:pPr>
              <w:spacing w:line="240" w:lineRule="auto"/>
              <w:ind w:firstLine="0" w:firstLineChars="0"/>
              <w:jc w:val="center"/>
              <w:rPr>
                <w:bCs/>
                <w:color w:val="auto"/>
                <w:sz w:val="21"/>
                <w:szCs w:val="21"/>
                <w:highlight w:val="none"/>
              </w:rPr>
            </w:pPr>
            <w:r>
              <w:rPr>
                <w:bCs/>
                <w:color w:val="auto"/>
                <w:sz w:val="21"/>
                <w:szCs w:val="21"/>
                <w:highlight w:val="none"/>
              </w:rPr>
              <w:t>与环评及批复建设内容一致</w:t>
            </w:r>
          </w:p>
        </w:tc>
      </w:tr>
      <w:tr w14:paraId="3669A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atLeast"/>
          <w:jc w:val="center"/>
        </w:trPr>
        <w:tc>
          <w:tcPr>
            <w:tcW w:w="744" w:type="pct"/>
            <w:gridSpan w:val="2"/>
            <w:vMerge w:val="continue"/>
            <w:tcBorders>
              <w:left w:val="nil"/>
            </w:tcBorders>
            <w:vAlign w:val="center"/>
          </w:tcPr>
          <w:p w14:paraId="61A27690">
            <w:pPr>
              <w:spacing w:line="240" w:lineRule="auto"/>
              <w:ind w:firstLine="0" w:firstLineChars="0"/>
              <w:jc w:val="center"/>
              <w:rPr>
                <w:bCs/>
                <w:color w:val="auto"/>
                <w:sz w:val="21"/>
                <w:szCs w:val="21"/>
                <w:highlight w:val="none"/>
              </w:rPr>
            </w:pPr>
          </w:p>
        </w:tc>
        <w:tc>
          <w:tcPr>
            <w:tcW w:w="843" w:type="pct"/>
            <w:gridSpan w:val="2"/>
            <w:vAlign w:val="center"/>
          </w:tcPr>
          <w:p w14:paraId="30AB51FF">
            <w:pPr>
              <w:spacing w:line="240" w:lineRule="auto"/>
              <w:ind w:firstLine="0" w:firstLineChars="0"/>
              <w:jc w:val="center"/>
              <w:rPr>
                <w:bCs/>
                <w:color w:val="auto"/>
                <w:sz w:val="21"/>
                <w:szCs w:val="21"/>
                <w:highlight w:val="none"/>
              </w:rPr>
            </w:pPr>
            <w:r>
              <w:rPr>
                <w:bCs/>
                <w:color w:val="auto"/>
                <w:sz w:val="21"/>
                <w:szCs w:val="21"/>
                <w:highlight w:val="none"/>
              </w:rPr>
              <w:t>液氧、二氧化碳站</w:t>
            </w:r>
          </w:p>
        </w:tc>
        <w:tc>
          <w:tcPr>
            <w:tcW w:w="1898" w:type="pct"/>
            <w:vAlign w:val="center"/>
          </w:tcPr>
          <w:p w14:paraId="37757BC1">
            <w:pPr>
              <w:spacing w:line="240" w:lineRule="auto"/>
              <w:ind w:firstLine="0" w:firstLineChars="0"/>
              <w:jc w:val="center"/>
              <w:rPr>
                <w:bCs/>
                <w:color w:val="auto"/>
                <w:sz w:val="21"/>
                <w:szCs w:val="21"/>
                <w:highlight w:val="none"/>
              </w:rPr>
            </w:pPr>
            <w:r>
              <w:rPr>
                <w:bCs/>
                <w:color w:val="auto"/>
                <w:sz w:val="21"/>
                <w:szCs w:val="21"/>
                <w:highlight w:val="none"/>
              </w:rPr>
              <w:t>占地面积245m</w:t>
            </w:r>
            <w:r>
              <w:rPr>
                <w:bCs/>
                <w:color w:val="auto"/>
                <w:sz w:val="21"/>
                <w:szCs w:val="21"/>
                <w:highlight w:val="none"/>
                <w:vertAlign w:val="superscript"/>
              </w:rPr>
              <w:t>2</w:t>
            </w:r>
            <w:r>
              <w:rPr>
                <w:bCs/>
                <w:color w:val="auto"/>
                <w:sz w:val="21"/>
                <w:szCs w:val="21"/>
                <w:highlight w:val="none"/>
              </w:rPr>
              <w:t>，长18m×宽12m</w:t>
            </w:r>
          </w:p>
        </w:tc>
        <w:tc>
          <w:tcPr>
            <w:tcW w:w="1514" w:type="pct"/>
            <w:vMerge w:val="restart"/>
            <w:tcBorders>
              <w:right w:val="nil"/>
            </w:tcBorders>
            <w:vAlign w:val="center"/>
          </w:tcPr>
          <w:p w14:paraId="311965F8">
            <w:pPr>
              <w:spacing w:line="240" w:lineRule="auto"/>
              <w:ind w:firstLine="0" w:firstLineChars="0"/>
              <w:jc w:val="center"/>
              <w:rPr>
                <w:bCs/>
                <w:color w:val="auto"/>
                <w:sz w:val="21"/>
                <w:szCs w:val="21"/>
                <w:highlight w:val="none"/>
              </w:rPr>
            </w:pPr>
            <w:r>
              <w:rPr>
                <w:bCs/>
                <w:color w:val="auto"/>
                <w:sz w:val="21"/>
                <w:szCs w:val="21"/>
                <w:highlight w:val="none"/>
              </w:rPr>
              <w:t>由广西科华气体有限公司提供</w:t>
            </w:r>
          </w:p>
        </w:tc>
      </w:tr>
      <w:tr w14:paraId="30E67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744" w:type="pct"/>
            <w:gridSpan w:val="2"/>
            <w:vMerge w:val="continue"/>
            <w:tcBorders>
              <w:left w:val="nil"/>
            </w:tcBorders>
            <w:vAlign w:val="center"/>
          </w:tcPr>
          <w:p w14:paraId="0D32CA53">
            <w:pPr>
              <w:spacing w:line="240" w:lineRule="auto"/>
              <w:ind w:firstLine="0" w:firstLineChars="0"/>
              <w:jc w:val="center"/>
              <w:rPr>
                <w:bCs/>
                <w:color w:val="auto"/>
                <w:sz w:val="21"/>
                <w:szCs w:val="21"/>
                <w:highlight w:val="none"/>
              </w:rPr>
            </w:pPr>
          </w:p>
        </w:tc>
        <w:tc>
          <w:tcPr>
            <w:tcW w:w="843" w:type="pct"/>
            <w:gridSpan w:val="2"/>
            <w:vAlign w:val="center"/>
          </w:tcPr>
          <w:p w14:paraId="70887BCF">
            <w:pPr>
              <w:spacing w:line="240" w:lineRule="auto"/>
              <w:ind w:firstLine="0" w:firstLineChars="0"/>
              <w:jc w:val="center"/>
              <w:rPr>
                <w:bCs/>
                <w:color w:val="auto"/>
                <w:sz w:val="21"/>
                <w:szCs w:val="21"/>
                <w:highlight w:val="none"/>
              </w:rPr>
            </w:pPr>
            <w:r>
              <w:rPr>
                <w:bCs/>
                <w:color w:val="auto"/>
                <w:sz w:val="21"/>
                <w:szCs w:val="21"/>
                <w:highlight w:val="none"/>
              </w:rPr>
              <w:t>天然气站</w:t>
            </w:r>
          </w:p>
        </w:tc>
        <w:tc>
          <w:tcPr>
            <w:tcW w:w="1898" w:type="pct"/>
            <w:vAlign w:val="center"/>
          </w:tcPr>
          <w:p w14:paraId="3F02B41A">
            <w:pPr>
              <w:spacing w:line="240" w:lineRule="auto"/>
              <w:ind w:firstLine="0" w:firstLineChars="0"/>
              <w:jc w:val="center"/>
              <w:rPr>
                <w:bCs/>
                <w:color w:val="auto"/>
                <w:sz w:val="21"/>
                <w:szCs w:val="21"/>
                <w:highlight w:val="none"/>
              </w:rPr>
            </w:pPr>
            <w:r>
              <w:rPr>
                <w:bCs/>
                <w:color w:val="auto"/>
                <w:sz w:val="21"/>
                <w:szCs w:val="21"/>
                <w:highlight w:val="none"/>
              </w:rPr>
              <w:t>占地面积250m</w:t>
            </w:r>
            <w:r>
              <w:rPr>
                <w:bCs/>
                <w:color w:val="auto"/>
                <w:sz w:val="21"/>
                <w:szCs w:val="21"/>
                <w:highlight w:val="none"/>
                <w:vertAlign w:val="superscript"/>
              </w:rPr>
              <w:t>2</w:t>
            </w:r>
            <w:r>
              <w:rPr>
                <w:bCs/>
                <w:color w:val="auto"/>
                <w:sz w:val="21"/>
                <w:szCs w:val="21"/>
                <w:highlight w:val="none"/>
              </w:rPr>
              <w:t>，长16m×宽15m</w:t>
            </w:r>
          </w:p>
        </w:tc>
        <w:tc>
          <w:tcPr>
            <w:tcW w:w="1514" w:type="pct"/>
            <w:vMerge w:val="continue"/>
            <w:tcBorders>
              <w:right w:val="nil"/>
            </w:tcBorders>
            <w:vAlign w:val="center"/>
          </w:tcPr>
          <w:p w14:paraId="65C425AE">
            <w:pPr>
              <w:spacing w:line="240" w:lineRule="auto"/>
              <w:ind w:firstLine="0" w:firstLineChars="0"/>
              <w:jc w:val="center"/>
              <w:rPr>
                <w:bCs/>
                <w:color w:val="auto"/>
                <w:sz w:val="21"/>
                <w:szCs w:val="21"/>
                <w:highlight w:val="none"/>
              </w:rPr>
            </w:pPr>
          </w:p>
        </w:tc>
      </w:tr>
      <w:tr w14:paraId="5C2DA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744" w:type="pct"/>
            <w:gridSpan w:val="2"/>
            <w:vMerge w:val="continue"/>
            <w:tcBorders>
              <w:left w:val="nil"/>
            </w:tcBorders>
            <w:vAlign w:val="center"/>
          </w:tcPr>
          <w:p w14:paraId="142562B2">
            <w:pPr>
              <w:spacing w:line="240" w:lineRule="auto"/>
              <w:ind w:firstLine="0" w:firstLineChars="0"/>
              <w:jc w:val="center"/>
              <w:rPr>
                <w:bCs/>
                <w:color w:val="auto"/>
                <w:sz w:val="21"/>
                <w:szCs w:val="21"/>
                <w:highlight w:val="none"/>
              </w:rPr>
            </w:pPr>
          </w:p>
        </w:tc>
        <w:tc>
          <w:tcPr>
            <w:tcW w:w="843" w:type="pct"/>
            <w:gridSpan w:val="2"/>
            <w:vAlign w:val="center"/>
          </w:tcPr>
          <w:p w14:paraId="7947FA83">
            <w:pPr>
              <w:spacing w:line="240" w:lineRule="auto"/>
              <w:ind w:firstLine="0" w:firstLineChars="0"/>
              <w:jc w:val="center"/>
              <w:rPr>
                <w:bCs/>
                <w:color w:val="auto"/>
                <w:sz w:val="21"/>
                <w:szCs w:val="21"/>
                <w:highlight w:val="none"/>
              </w:rPr>
            </w:pPr>
            <w:r>
              <w:rPr>
                <w:bCs/>
                <w:color w:val="auto"/>
                <w:sz w:val="21"/>
                <w:szCs w:val="21"/>
                <w:highlight w:val="none"/>
              </w:rPr>
              <w:t>铜矿砂罐</w:t>
            </w:r>
          </w:p>
        </w:tc>
        <w:tc>
          <w:tcPr>
            <w:tcW w:w="1898" w:type="pct"/>
            <w:vAlign w:val="center"/>
          </w:tcPr>
          <w:p w14:paraId="5962681A">
            <w:pPr>
              <w:spacing w:line="240" w:lineRule="auto"/>
              <w:ind w:firstLine="0" w:firstLineChars="0"/>
              <w:jc w:val="center"/>
              <w:rPr>
                <w:bCs/>
                <w:color w:val="auto"/>
                <w:sz w:val="21"/>
                <w:szCs w:val="21"/>
                <w:highlight w:val="none"/>
              </w:rPr>
            </w:pPr>
            <w:r>
              <w:rPr>
                <w:bCs/>
                <w:color w:val="auto"/>
                <w:sz w:val="21"/>
                <w:szCs w:val="21"/>
                <w:highlight w:val="none"/>
              </w:rPr>
              <w:t>1个，占地79 m</w:t>
            </w:r>
            <w:r>
              <w:rPr>
                <w:bCs/>
                <w:color w:val="auto"/>
                <w:sz w:val="21"/>
                <w:szCs w:val="21"/>
                <w:highlight w:val="none"/>
                <w:vertAlign w:val="superscript"/>
              </w:rPr>
              <w:t>2</w:t>
            </w:r>
            <w:r>
              <w:rPr>
                <w:bCs/>
                <w:color w:val="auto"/>
                <w:sz w:val="21"/>
                <w:szCs w:val="21"/>
                <w:highlight w:val="none"/>
              </w:rPr>
              <w:t>，Φ10m</w:t>
            </w:r>
          </w:p>
        </w:tc>
        <w:tc>
          <w:tcPr>
            <w:tcW w:w="1514" w:type="pct"/>
            <w:tcBorders>
              <w:right w:val="nil"/>
            </w:tcBorders>
            <w:vAlign w:val="center"/>
          </w:tcPr>
          <w:p w14:paraId="2F4098AB">
            <w:pPr>
              <w:spacing w:line="240" w:lineRule="auto"/>
              <w:ind w:firstLine="0" w:firstLineChars="0"/>
              <w:jc w:val="center"/>
              <w:rPr>
                <w:bCs/>
                <w:color w:val="auto"/>
                <w:sz w:val="21"/>
                <w:szCs w:val="21"/>
                <w:highlight w:val="none"/>
              </w:rPr>
            </w:pPr>
            <w:r>
              <w:rPr>
                <w:bCs/>
                <w:color w:val="auto"/>
                <w:sz w:val="21"/>
                <w:szCs w:val="21"/>
                <w:highlight w:val="none"/>
              </w:rPr>
              <w:t>未建</w:t>
            </w:r>
          </w:p>
        </w:tc>
      </w:tr>
      <w:tr w14:paraId="36C6B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744" w:type="pct"/>
            <w:gridSpan w:val="2"/>
            <w:vMerge w:val="continue"/>
            <w:tcBorders>
              <w:left w:val="nil"/>
            </w:tcBorders>
            <w:vAlign w:val="center"/>
          </w:tcPr>
          <w:p w14:paraId="5FA6A0D3">
            <w:pPr>
              <w:spacing w:line="240" w:lineRule="auto"/>
              <w:ind w:firstLine="0" w:firstLineChars="0"/>
              <w:jc w:val="center"/>
              <w:rPr>
                <w:bCs/>
                <w:color w:val="auto"/>
                <w:sz w:val="21"/>
                <w:szCs w:val="21"/>
                <w:highlight w:val="none"/>
              </w:rPr>
            </w:pPr>
          </w:p>
        </w:tc>
        <w:tc>
          <w:tcPr>
            <w:tcW w:w="843" w:type="pct"/>
            <w:gridSpan w:val="2"/>
            <w:vAlign w:val="center"/>
          </w:tcPr>
          <w:p w14:paraId="16749712">
            <w:pPr>
              <w:spacing w:line="240" w:lineRule="auto"/>
              <w:ind w:firstLine="0" w:firstLineChars="0"/>
              <w:jc w:val="center"/>
              <w:rPr>
                <w:bCs/>
                <w:color w:val="auto"/>
                <w:sz w:val="21"/>
                <w:szCs w:val="21"/>
                <w:highlight w:val="none"/>
              </w:rPr>
            </w:pPr>
            <w:r>
              <w:rPr>
                <w:bCs/>
                <w:color w:val="auto"/>
                <w:sz w:val="21"/>
                <w:szCs w:val="21"/>
                <w:highlight w:val="none"/>
              </w:rPr>
              <w:t>3#门卫</w:t>
            </w:r>
          </w:p>
        </w:tc>
        <w:tc>
          <w:tcPr>
            <w:tcW w:w="1898" w:type="pct"/>
            <w:vAlign w:val="center"/>
          </w:tcPr>
          <w:p w14:paraId="11D44DE8">
            <w:pPr>
              <w:spacing w:line="240" w:lineRule="auto"/>
              <w:ind w:firstLine="0" w:firstLineChars="0"/>
              <w:jc w:val="center"/>
              <w:rPr>
                <w:bCs/>
                <w:color w:val="auto"/>
                <w:sz w:val="21"/>
                <w:szCs w:val="21"/>
                <w:highlight w:val="none"/>
              </w:rPr>
            </w:pPr>
            <w:r>
              <w:rPr>
                <w:bCs/>
                <w:color w:val="auto"/>
                <w:sz w:val="21"/>
                <w:szCs w:val="21"/>
                <w:highlight w:val="none"/>
              </w:rPr>
              <w:t>占地34 m</w:t>
            </w:r>
            <w:r>
              <w:rPr>
                <w:bCs/>
                <w:color w:val="auto"/>
                <w:sz w:val="21"/>
                <w:szCs w:val="21"/>
                <w:highlight w:val="none"/>
                <w:vertAlign w:val="superscript"/>
              </w:rPr>
              <w:t>2</w:t>
            </w:r>
            <w:r>
              <w:rPr>
                <w:bCs/>
                <w:color w:val="auto"/>
                <w:sz w:val="21"/>
                <w:szCs w:val="21"/>
                <w:highlight w:val="none"/>
              </w:rPr>
              <w:t>，1层</w:t>
            </w:r>
          </w:p>
        </w:tc>
        <w:tc>
          <w:tcPr>
            <w:tcW w:w="1514" w:type="pct"/>
            <w:tcBorders>
              <w:right w:val="nil"/>
            </w:tcBorders>
            <w:vAlign w:val="center"/>
          </w:tcPr>
          <w:p w14:paraId="18BD71E2">
            <w:pPr>
              <w:spacing w:line="240" w:lineRule="auto"/>
              <w:ind w:firstLine="0" w:firstLineChars="0"/>
              <w:jc w:val="center"/>
              <w:rPr>
                <w:bCs/>
                <w:color w:val="auto"/>
                <w:sz w:val="21"/>
                <w:szCs w:val="21"/>
                <w:highlight w:val="none"/>
              </w:rPr>
            </w:pPr>
            <w:r>
              <w:rPr>
                <w:bCs/>
                <w:color w:val="auto"/>
                <w:sz w:val="21"/>
                <w:szCs w:val="21"/>
                <w:highlight w:val="none"/>
              </w:rPr>
              <w:t>与环评及批复建设内容一致</w:t>
            </w:r>
          </w:p>
        </w:tc>
      </w:tr>
      <w:tr w14:paraId="53385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744" w:type="pct"/>
            <w:gridSpan w:val="2"/>
            <w:vMerge w:val="continue"/>
            <w:tcBorders>
              <w:left w:val="nil"/>
            </w:tcBorders>
            <w:vAlign w:val="center"/>
          </w:tcPr>
          <w:p w14:paraId="7FAF838D">
            <w:pPr>
              <w:spacing w:line="240" w:lineRule="auto"/>
              <w:ind w:firstLine="0" w:firstLineChars="0"/>
              <w:jc w:val="center"/>
              <w:rPr>
                <w:bCs/>
                <w:color w:val="auto"/>
                <w:sz w:val="21"/>
                <w:szCs w:val="21"/>
                <w:highlight w:val="none"/>
              </w:rPr>
            </w:pPr>
          </w:p>
        </w:tc>
        <w:tc>
          <w:tcPr>
            <w:tcW w:w="843" w:type="pct"/>
            <w:gridSpan w:val="2"/>
            <w:vAlign w:val="center"/>
          </w:tcPr>
          <w:p w14:paraId="0B56B26F">
            <w:pPr>
              <w:spacing w:line="240" w:lineRule="auto"/>
              <w:ind w:firstLine="0" w:firstLineChars="0"/>
              <w:jc w:val="center"/>
              <w:rPr>
                <w:bCs/>
                <w:color w:val="auto"/>
                <w:sz w:val="21"/>
                <w:szCs w:val="21"/>
                <w:highlight w:val="none"/>
              </w:rPr>
            </w:pPr>
            <w:r>
              <w:rPr>
                <w:bCs/>
                <w:color w:val="auto"/>
                <w:sz w:val="21"/>
                <w:szCs w:val="21"/>
                <w:highlight w:val="none"/>
              </w:rPr>
              <w:t>消防泵站</w:t>
            </w:r>
          </w:p>
        </w:tc>
        <w:tc>
          <w:tcPr>
            <w:tcW w:w="1898" w:type="pct"/>
            <w:vAlign w:val="center"/>
          </w:tcPr>
          <w:p w14:paraId="180809B1">
            <w:pPr>
              <w:spacing w:line="240" w:lineRule="auto"/>
              <w:ind w:firstLine="0" w:firstLineChars="0"/>
              <w:jc w:val="center"/>
              <w:rPr>
                <w:bCs/>
                <w:color w:val="auto"/>
                <w:sz w:val="21"/>
                <w:szCs w:val="21"/>
                <w:highlight w:val="none"/>
              </w:rPr>
            </w:pPr>
            <w:r>
              <w:rPr>
                <w:bCs/>
                <w:color w:val="auto"/>
                <w:sz w:val="21"/>
                <w:szCs w:val="21"/>
                <w:highlight w:val="none"/>
              </w:rPr>
              <w:t>占地501 m</w:t>
            </w:r>
            <w:r>
              <w:rPr>
                <w:bCs/>
                <w:color w:val="auto"/>
                <w:sz w:val="21"/>
                <w:szCs w:val="21"/>
                <w:highlight w:val="none"/>
                <w:vertAlign w:val="superscript"/>
              </w:rPr>
              <w:t>2</w:t>
            </w:r>
            <w:r>
              <w:rPr>
                <w:bCs/>
                <w:color w:val="auto"/>
                <w:sz w:val="21"/>
                <w:szCs w:val="21"/>
                <w:highlight w:val="none"/>
              </w:rPr>
              <w:t>，建筑面积125 m</w:t>
            </w:r>
            <w:r>
              <w:rPr>
                <w:bCs/>
                <w:color w:val="auto"/>
                <w:sz w:val="21"/>
                <w:szCs w:val="21"/>
                <w:highlight w:val="none"/>
                <w:vertAlign w:val="superscript"/>
              </w:rPr>
              <w:t>2</w:t>
            </w:r>
          </w:p>
        </w:tc>
        <w:tc>
          <w:tcPr>
            <w:tcW w:w="1514" w:type="pct"/>
            <w:tcBorders>
              <w:right w:val="nil"/>
            </w:tcBorders>
            <w:vAlign w:val="center"/>
          </w:tcPr>
          <w:p w14:paraId="07689C14">
            <w:pPr>
              <w:spacing w:line="240" w:lineRule="auto"/>
              <w:ind w:firstLine="0" w:firstLineChars="0"/>
              <w:jc w:val="center"/>
              <w:rPr>
                <w:bCs/>
                <w:color w:val="auto"/>
                <w:sz w:val="21"/>
                <w:szCs w:val="21"/>
                <w:highlight w:val="none"/>
              </w:rPr>
            </w:pPr>
            <w:r>
              <w:rPr>
                <w:bCs/>
                <w:color w:val="auto"/>
                <w:sz w:val="21"/>
                <w:szCs w:val="21"/>
                <w:highlight w:val="none"/>
              </w:rPr>
              <w:t>与环评及批复建设内容一致</w:t>
            </w:r>
          </w:p>
        </w:tc>
      </w:tr>
      <w:tr w14:paraId="789FE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44" w:type="pct"/>
            <w:gridSpan w:val="2"/>
            <w:vMerge w:val="restart"/>
            <w:tcBorders>
              <w:left w:val="nil"/>
            </w:tcBorders>
            <w:vAlign w:val="center"/>
          </w:tcPr>
          <w:p w14:paraId="337DBD5F">
            <w:pPr>
              <w:spacing w:line="240" w:lineRule="auto"/>
              <w:ind w:firstLine="0" w:firstLineChars="0"/>
              <w:jc w:val="center"/>
              <w:rPr>
                <w:bCs/>
                <w:color w:val="auto"/>
                <w:sz w:val="21"/>
                <w:szCs w:val="21"/>
                <w:highlight w:val="none"/>
              </w:rPr>
            </w:pPr>
            <w:r>
              <w:rPr>
                <w:bCs/>
                <w:color w:val="auto"/>
                <w:sz w:val="21"/>
                <w:szCs w:val="21"/>
                <w:highlight w:val="none"/>
              </w:rPr>
              <w:t>环保工程</w:t>
            </w:r>
          </w:p>
        </w:tc>
        <w:tc>
          <w:tcPr>
            <w:tcW w:w="212" w:type="pct"/>
            <w:vMerge w:val="restart"/>
            <w:vAlign w:val="center"/>
          </w:tcPr>
          <w:p w14:paraId="79D6ACC4">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废水</w:t>
            </w:r>
          </w:p>
        </w:tc>
        <w:tc>
          <w:tcPr>
            <w:tcW w:w="631" w:type="pct"/>
            <w:vAlign w:val="center"/>
          </w:tcPr>
          <w:p w14:paraId="3BAED171">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污</w:t>
            </w:r>
            <w:r>
              <w:rPr>
                <w:bCs/>
                <w:color w:val="auto"/>
                <w:sz w:val="21"/>
                <w:szCs w:val="21"/>
                <w:highlight w:val="none"/>
                <w:u w:val="single"/>
              </w:rPr>
              <w:t>水处理站</w:t>
            </w:r>
          </w:p>
        </w:tc>
        <w:tc>
          <w:tcPr>
            <w:tcW w:w="1898" w:type="pct"/>
            <w:vAlign w:val="center"/>
          </w:tcPr>
          <w:p w14:paraId="3CA5A7CE">
            <w:pPr>
              <w:spacing w:line="240" w:lineRule="auto"/>
              <w:ind w:firstLine="0" w:firstLineChars="0"/>
              <w:jc w:val="center"/>
              <w:rPr>
                <w:bCs/>
                <w:color w:val="auto"/>
                <w:sz w:val="21"/>
                <w:szCs w:val="21"/>
                <w:highlight w:val="none"/>
                <w:u w:val="single"/>
              </w:rPr>
            </w:pPr>
            <w:r>
              <w:rPr>
                <w:bCs/>
                <w:color w:val="auto"/>
                <w:sz w:val="21"/>
                <w:szCs w:val="21"/>
                <w:highlight w:val="none"/>
                <w:u w:val="single"/>
              </w:rPr>
              <w:t>占地面积233m</w:t>
            </w:r>
            <w:r>
              <w:rPr>
                <w:bCs/>
                <w:color w:val="auto"/>
                <w:sz w:val="21"/>
                <w:szCs w:val="21"/>
                <w:highlight w:val="none"/>
                <w:u w:val="single"/>
                <w:vertAlign w:val="superscript"/>
              </w:rPr>
              <w:t>2</w:t>
            </w:r>
            <w:r>
              <w:rPr>
                <w:bCs/>
                <w:color w:val="auto"/>
                <w:sz w:val="21"/>
                <w:szCs w:val="21"/>
                <w:highlight w:val="none"/>
                <w:u w:val="single"/>
              </w:rPr>
              <w:t>，建筑面积145m</w:t>
            </w:r>
            <w:r>
              <w:rPr>
                <w:bCs/>
                <w:color w:val="auto"/>
                <w:sz w:val="21"/>
                <w:szCs w:val="21"/>
                <w:highlight w:val="none"/>
                <w:u w:val="single"/>
                <w:vertAlign w:val="superscript"/>
              </w:rPr>
              <w:t>2</w:t>
            </w:r>
            <w:r>
              <w:rPr>
                <w:bCs/>
                <w:color w:val="auto"/>
                <w:sz w:val="21"/>
                <w:szCs w:val="21"/>
                <w:highlight w:val="none"/>
                <w:u w:val="single"/>
              </w:rPr>
              <w:t>，包括含油废水处理系统和酸碱废水处理系统，油污水储存装置有效容积约100m</w:t>
            </w:r>
            <w:r>
              <w:rPr>
                <w:bCs/>
                <w:color w:val="auto"/>
                <w:sz w:val="21"/>
                <w:szCs w:val="21"/>
                <w:highlight w:val="none"/>
                <w:u w:val="single"/>
                <w:vertAlign w:val="superscript"/>
              </w:rPr>
              <w:t>3</w:t>
            </w:r>
          </w:p>
        </w:tc>
        <w:tc>
          <w:tcPr>
            <w:tcW w:w="1514" w:type="pct"/>
            <w:tcBorders>
              <w:right w:val="nil"/>
            </w:tcBorders>
            <w:tcMar>
              <w:left w:w="0" w:type="dxa"/>
              <w:right w:w="0" w:type="dxa"/>
            </w:tcMar>
            <w:vAlign w:val="center"/>
          </w:tcPr>
          <w:p w14:paraId="3A2355D0">
            <w:pPr>
              <w:spacing w:line="240" w:lineRule="auto"/>
              <w:ind w:firstLine="0" w:firstLineChars="0"/>
              <w:jc w:val="center"/>
              <w:rPr>
                <w:bCs/>
                <w:color w:val="auto"/>
                <w:sz w:val="21"/>
                <w:szCs w:val="21"/>
                <w:highlight w:val="none"/>
                <w:u w:val="single"/>
              </w:rPr>
            </w:pPr>
            <w:r>
              <w:rPr>
                <w:bCs/>
                <w:color w:val="auto"/>
                <w:sz w:val="21"/>
                <w:szCs w:val="21"/>
                <w:highlight w:val="none"/>
                <w:u w:val="single"/>
              </w:rPr>
              <w:t>包括处理设施及含油废水池、酸碱废油池、酸碱废水池、排放池</w:t>
            </w:r>
          </w:p>
        </w:tc>
      </w:tr>
      <w:tr w14:paraId="59ECF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44" w:type="pct"/>
            <w:gridSpan w:val="2"/>
            <w:vMerge w:val="continue"/>
            <w:tcBorders>
              <w:left w:val="nil"/>
            </w:tcBorders>
            <w:vAlign w:val="center"/>
          </w:tcPr>
          <w:p w14:paraId="2A6502EF">
            <w:pPr>
              <w:spacing w:line="240" w:lineRule="auto"/>
              <w:ind w:firstLine="0" w:firstLineChars="0"/>
              <w:jc w:val="center"/>
              <w:rPr>
                <w:bCs/>
                <w:color w:val="auto"/>
                <w:sz w:val="21"/>
                <w:szCs w:val="21"/>
                <w:highlight w:val="none"/>
              </w:rPr>
            </w:pPr>
          </w:p>
        </w:tc>
        <w:tc>
          <w:tcPr>
            <w:tcW w:w="212" w:type="pct"/>
            <w:vMerge w:val="continue"/>
            <w:vAlign w:val="center"/>
          </w:tcPr>
          <w:p w14:paraId="002E6079">
            <w:pPr>
              <w:spacing w:line="240" w:lineRule="auto"/>
              <w:ind w:firstLine="0" w:firstLineChars="0"/>
              <w:jc w:val="center"/>
              <w:rPr>
                <w:bCs/>
                <w:color w:val="auto"/>
                <w:sz w:val="21"/>
                <w:szCs w:val="21"/>
                <w:highlight w:val="none"/>
                <w:u w:val="single"/>
              </w:rPr>
            </w:pPr>
          </w:p>
        </w:tc>
        <w:tc>
          <w:tcPr>
            <w:tcW w:w="631" w:type="pct"/>
            <w:vAlign w:val="center"/>
          </w:tcPr>
          <w:p w14:paraId="0E37A6AD">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生活污水处理</w:t>
            </w:r>
          </w:p>
        </w:tc>
        <w:tc>
          <w:tcPr>
            <w:tcW w:w="1898" w:type="pct"/>
            <w:vAlign w:val="center"/>
          </w:tcPr>
          <w:p w14:paraId="0801EE7A">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建设生活污水处理设施</w:t>
            </w:r>
          </w:p>
        </w:tc>
        <w:tc>
          <w:tcPr>
            <w:tcW w:w="1514" w:type="pct"/>
            <w:tcBorders>
              <w:right w:val="nil"/>
            </w:tcBorders>
            <w:tcMar>
              <w:left w:w="0" w:type="dxa"/>
              <w:right w:w="0" w:type="dxa"/>
            </w:tcMar>
            <w:vAlign w:val="center"/>
          </w:tcPr>
          <w:p w14:paraId="4D2685EF">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建设一套生活污水处理</w:t>
            </w:r>
            <w:r>
              <w:rPr>
                <w:bCs/>
                <w:color w:val="auto"/>
                <w:sz w:val="21"/>
                <w:szCs w:val="21"/>
                <w:highlight w:val="none"/>
                <w:u w:val="single"/>
              </w:rPr>
              <w:t>一体化</w:t>
            </w:r>
            <w:r>
              <w:rPr>
                <w:rFonts w:hint="eastAsia"/>
                <w:bCs/>
                <w:color w:val="auto"/>
                <w:sz w:val="21"/>
                <w:szCs w:val="21"/>
                <w:highlight w:val="none"/>
                <w:u w:val="single"/>
              </w:rPr>
              <w:t>设备（300m</w:t>
            </w:r>
            <w:r>
              <w:rPr>
                <w:rFonts w:hint="eastAsia"/>
                <w:bCs/>
                <w:color w:val="auto"/>
                <w:sz w:val="21"/>
                <w:szCs w:val="21"/>
                <w:highlight w:val="none"/>
                <w:u w:val="single"/>
                <w:vertAlign w:val="superscript"/>
              </w:rPr>
              <w:t>3</w:t>
            </w:r>
            <w:r>
              <w:rPr>
                <w:rFonts w:hint="eastAsia"/>
                <w:bCs/>
                <w:color w:val="auto"/>
                <w:sz w:val="21"/>
                <w:szCs w:val="21"/>
                <w:highlight w:val="none"/>
                <w:u w:val="single"/>
              </w:rPr>
              <w:t>），含1个配套的中水回用池（容积170m</w:t>
            </w:r>
            <w:r>
              <w:rPr>
                <w:rFonts w:hint="eastAsia"/>
                <w:bCs/>
                <w:color w:val="auto"/>
                <w:sz w:val="21"/>
                <w:szCs w:val="21"/>
                <w:highlight w:val="none"/>
                <w:u w:val="single"/>
                <w:vertAlign w:val="superscript"/>
              </w:rPr>
              <w:t>3</w:t>
            </w:r>
            <w:r>
              <w:rPr>
                <w:rFonts w:hint="eastAsia"/>
                <w:bCs/>
                <w:color w:val="auto"/>
                <w:sz w:val="21"/>
                <w:szCs w:val="21"/>
                <w:highlight w:val="none"/>
                <w:u w:val="single"/>
              </w:rPr>
              <w:t>）</w:t>
            </w:r>
          </w:p>
        </w:tc>
      </w:tr>
      <w:tr w14:paraId="5F502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44" w:type="pct"/>
            <w:gridSpan w:val="2"/>
            <w:vMerge w:val="continue"/>
            <w:tcBorders>
              <w:left w:val="nil"/>
            </w:tcBorders>
            <w:vAlign w:val="center"/>
          </w:tcPr>
          <w:p w14:paraId="72A72C2D">
            <w:pPr>
              <w:spacing w:line="240" w:lineRule="auto"/>
              <w:ind w:firstLine="0" w:firstLineChars="0"/>
              <w:jc w:val="center"/>
              <w:rPr>
                <w:bCs/>
                <w:color w:val="auto"/>
                <w:sz w:val="21"/>
                <w:szCs w:val="21"/>
                <w:highlight w:val="none"/>
              </w:rPr>
            </w:pPr>
          </w:p>
        </w:tc>
        <w:tc>
          <w:tcPr>
            <w:tcW w:w="212" w:type="pct"/>
            <w:vMerge w:val="continue"/>
            <w:vAlign w:val="center"/>
          </w:tcPr>
          <w:p w14:paraId="1256BF0C">
            <w:pPr>
              <w:spacing w:line="240" w:lineRule="auto"/>
              <w:ind w:firstLine="0" w:firstLineChars="0"/>
              <w:jc w:val="center"/>
              <w:rPr>
                <w:bCs/>
                <w:color w:val="auto"/>
                <w:sz w:val="21"/>
                <w:szCs w:val="21"/>
                <w:highlight w:val="none"/>
                <w:u w:val="single"/>
              </w:rPr>
            </w:pPr>
          </w:p>
        </w:tc>
        <w:tc>
          <w:tcPr>
            <w:tcW w:w="631" w:type="pct"/>
            <w:vAlign w:val="center"/>
          </w:tcPr>
          <w:p w14:paraId="24EBFD36">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初期雨水</w:t>
            </w:r>
          </w:p>
        </w:tc>
        <w:tc>
          <w:tcPr>
            <w:tcW w:w="1898" w:type="pct"/>
            <w:vAlign w:val="center"/>
          </w:tcPr>
          <w:p w14:paraId="0C5DCFE5">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建设初期雨水收集池</w:t>
            </w:r>
          </w:p>
        </w:tc>
        <w:tc>
          <w:tcPr>
            <w:tcW w:w="1514" w:type="pct"/>
            <w:tcBorders>
              <w:right w:val="nil"/>
            </w:tcBorders>
            <w:tcMar>
              <w:left w:w="0" w:type="dxa"/>
              <w:right w:w="0" w:type="dxa"/>
            </w:tcMar>
            <w:vAlign w:val="center"/>
          </w:tcPr>
          <w:p w14:paraId="05FD3E6A">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在驳岸码头建设1个初期雨水池</w:t>
            </w:r>
          </w:p>
        </w:tc>
      </w:tr>
      <w:tr w14:paraId="17E64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44" w:type="pct"/>
            <w:gridSpan w:val="2"/>
            <w:vMerge w:val="continue"/>
            <w:tcBorders>
              <w:left w:val="nil"/>
            </w:tcBorders>
            <w:vAlign w:val="center"/>
          </w:tcPr>
          <w:p w14:paraId="2014BB4C">
            <w:pPr>
              <w:spacing w:line="240" w:lineRule="auto"/>
              <w:ind w:firstLine="0" w:firstLineChars="0"/>
              <w:jc w:val="center"/>
              <w:rPr>
                <w:bCs/>
                <w:color w:val="auto"/>
                <w:sz w:val="21"/>
                <w:szCs w:val="21"/>
                <w:highlight w:val="none"/>
              </w:rPr>
            </w:pPr>
          </w:p>
        </w:tc>
        <w:tc>
          <w:tcPr>
            <w:tcW w:w="212" w:type="pct"/>
            <w:vMerge w:val="restart"/>
            <w:vAlign w:val="center"/>
          </w:tcPr>
          <w:p w14:paraId="56621C30">
            <w:pPr>
              <w:spacing w:line="240" w:lineRule="auto"/>
              <w:ind w:firstLine="0" w:firstLineChars="0"/>
              <w:jc w:val="center"/>
              <w:rPr>
                <w:bCs/>
                <w:color w:val="auto"/>
                <w:sz w:val="21"/>
                <w:szCs w:val="21"/>
                <w:highlight w:val="none"/>
                <w:u w:val="single"/>
              </w:rPr>
            </w:pPr>
            <w:r>
              <w:rPr>
                <w:bCs/>
                <w:color w:val="auto"/>
                <w:sz w:val="21"/>
                <w:szCs w:val="21"/>
                <w:highlight w:val="none"/>
                <w:u w:val="single"/>
              </w:rPr>
              <w:t>废气</w:t>
            </w:r>
          </w:p>
        </w:tc>
        <w:tc>
          <w:tcPr>
            <w:tcW w:w="631" w:type="pct"/>
            <w:vAlign w:val="center"/>
          </w:tcPr>
          <w:p w14:paraId="0CE04584">
            <w:pPr>
              <w:spacing w:line="240" w:lineRule="auto"/>
              <w:ind w:firstLine="0" w:firstLineChars="0"/>
              <w:jc w:val="center"/>
              <w:rPr>
                <w:bCs/>
                <w:color w:val="auto"/>
                <w:sz w:val="21"/>
                <w:szCs w:val="21"/>
                <w:highlight w:val="none"/>
                <w:u w:val="single"/>
              </w:rPr>
            </w:pPr>
            <w:r>
              <w:rPr>
                <w:bCs/>
                <w:color w:val="auto"/>
                <w:sz w:val="21"/>
                <w:szCs w:val="21"/>
                <w:highlight w:val="none"/>
                <w:u w:val="single"/>
              </w:rPr>
              <w:t>浸漆废气</w:t>
            </w:r>
            <w:r>
              <w:rPr>
                <w:rFonts w:hint="eastAsia"/>
                <w:bCs/>
                <w:color w:val="auto"/>
                <w:sz w:val="21"/>
                <w:szCs w:val="21"/>
                <w:highlight w:val="none"/>
                <w:u w:val="single"/>
              </w:rPr>
              <w:t>处理</w:t>
            </w:r>
          </w:p>
        </w:tc>
        <w:tc>
          <w:tcPr>
            <w:tcW w:w="1898" w:type="pct"/>
            <w:vAlign w:val="center"/>
          </w:tcPr>
          <w:p w14:paraId="12D797E5">
            <w:pPr>
              <w:spacing w:line="240" w:lineRule="auto"/>
              <w:ind w:firstLine="0" w:firstLineChars="0"/>
              <w:jc w:val="center"/>
              <w:rPr>
                <w:bCs/>
                <w:color w:val="auto"/>
                <w:sz w:val="21"/>
                <w:szCs w:val="21"/>
                <w:highlight w:val="none"/>
                <w:u w:val="single"/>
              </w:rPr>
            </w:pPr>
            <w:r>
              <w:rPr>
                <w:bCs/>
                <w:color w:val="auto"/>
                <w:sz w:val="21"/>
                <w:szCs w:val="21"/>
                <w:highlight w:val="none"/>
                <w:u w:val="single"/>
              </w:rPr>
              <w:t>活性炭吸附塔</w:t>
            </w:r>
          </w:p>
        </w:tc>
        <w:tc>
          <w:tcPr>
            <w:tcW w:w="1514" w:type="pct"/>
            <w:tcBorders>
              <w:right w:val="nil"/>
            </w:tcBorders>
            <w:vAlign w:val="center"/>
          </w:tcPr>
          <w:p w14:paraId="73EAF5D8">
            <w:pPr>
              <w:spacing w:line="240" w:lineRule="auto"/>
              <w:ind w:firstLine="0" w:firstLineChars="0"/>
              <w:jc w:val="center"/>
              <w:rPr>
                <w:bCs/>
                <w:color w:val="auto"/>
                <w:sz w:val="21"/>
                <w:szCs w:val="21"/>
                <w:highlight w:val="none"/>
                <w:u w:val="single"/>
              </w:rPr>
            </w:pPr>
            <w:r>
              <w:rPr>
                <w:bCs/>
                <w:color w:val="auto"/>
                <w:sz w:val="21"/>
                <w:szCs w:val="21"/>
                <w:highlight w:val="none"/>
                <w:u w:val="single"/>
              </w:rPr>
              <w:t>与环评及批复建设内容一致</w:t>
            </w:r>
          </w:p>
        </w:tc>
      </w:tr>
      <w:tr w14:paraId="713F6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44" w:type="pct"/>
            <w:gridSpan w:val="2"/>
            <w:vMerge w:val="continue"/>
            <w:tcBorders>
              <w:left w:val="nil"/>
            </w:tcBorders>
            <w:vAlign w:val="center"/>
          </w:tcPr>
          <w:p w14:paraId="795ED8EB">
            <w:pPr>
              <w:spacing w:line="240" w:lineRule="auto"/>
              <w:ind w:firstLine="0" w:firstLineChars="0"/>
              <w:jc w:val="center"/>
              <w:rPr>
                <w:bCs/>
                <w:color w:val="auto"/>
                <w:sz w:val="21"/>
                <w:szCs w:val="21"/>
                <w:highlight w:val="none"/>
              </w:rPr>
            </w:pPr>
          </w:p>
        </w:tc>
        <w:tc>
          <w:tcPr>
            <w:tcW w:w="212" w:type="pct"/>
            <w:vMerge w:val="continue"/>
            <w:vAlign w:val="center"/>
          </w:tcPr>
          <w:p w14:paraId="46B4ADB3">
            <w:pPr>
              <w:spacing w:line="240" w:lineRule="auto"/>
              <w:ind w:firstLine="0" w:firstLineChars="0"/>
              <w:jc w:val="center"/>
              <w:rPr>
                <w:bCs/>
                <w:color w:val="auto"/>
                <w:sz w:val="21"/>
                <w:szCs w:val="21"/>
                <w:highlight w:val="none"/>
                <w:u w:val="single"/>
              </w:rPr>
            </w:pPr>
          </w:p>
        </w:tc>
        <w:tc>
          <w:tcPr>
            <w:tcW w:w="631" w:type="pct"/>
            <w:vAlign w:val="center"/>
          </w:tcPr>
          <w:p w14:paraId="1C788F76">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化学清洗间</w:t>
            </w:r>
          </w:p>
        </w:tc>
        <w:tc>
          <w:tcPr>
            <w:tcW w:w="1898" w:type="pct"/>
            <w:vAlign w:val="center"/>
          </w:tcPr>
          <w:p w14:paraId="582456C4">
            <w:pPr>
              <w:spacing w:line="240" w:lineRule="auto"/>
              <w:ind w:firstLine="0" w:firstLineChars="0"/>
              <w:jc w:val="center"/>
              <w:rPr>
                <w:bCs/>
                <w:color w:val="auto"/>
                <w:sz w:val="21"/>
                <w:szCs w:val="21"/>
                <w:highlight w:val="none"/>
                <w:u w:val="single"/>
              </w:rPr>
            </w:pPr>
            <w:r>
              <w:rPr>
                <w:bCs/>
                <w:color w:val="auto"/>
                <w:sz w:val="21"/>
                <w:szCs w:val="21"/>
                <w:highlight w:val="none"/>
                <w:u w:val="single"/>
              </w:rPr>
              <w:t>酸雾净化塔</w:t>
            </w:r>
          </w:p>
        </w:tc>
        <w:tc>
          <w:tcPr>
            <w:tcW w:w="1514" w:type="pct"/>
            <w:tcBorders>
              <w:right w:val="nil"/>
            </w:tcBorders>
            <w:vAlign w:val="center"/>
          </w:tcPr>
          <w:p w14:paraId="05218030">
            <w:pPr>
              <w:spacing w:line="240" w:lineRule="auto"/>
              <w:ind w:firstLine="0" w:firstLineChars="0"/>
              <w:jc w:val="center"/>
              <w:rPr>
                <w:bCs/>
                <w:color w:val="auto"/>
                <w:sz w:val="21"/>
                <w:szCs w:val="21"/>
                <w:highlight w:val="none"/>
                <w:u w:val="single"/>
              </w:rPr>
            </w:pPr>
            <w:r>
              <w:rPr>
                <w:bCs/>
                <w:color w:val="auto"/>
                <w:sz w:val="21"/>
                <w:szCs w:val="21"/>
                <w:highlight w:val="none"/>
                <w:u w:val="single"/>
              </w:rPr>
              <w:t>与环评及批复建设内容一致</w:t>
            </w:r>
          </w:p>
        </w:tc>
      </w:tr>
      <w:tr w14:paraId="2E049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44" w:type="pct"/>
            <w:gridSpan w:val="2"/>
            <w:vMerge w:val="continue"/>
            <w:tcBorders>
              <w:left w:val="nil"/>
            </w:tcBorders>
            <w:vAlign w:val="center"/>
          </w:tcPr>
          <w:p w14:paraId="27C19A2C">
            <w:pPr>
              <w:spacing w:line="240" w:lineRule="auto"/>
              <w:ind w:firstLine="0" w:firstLineChars="0"/>
              <w:jc w:val="center"/>
              <w:rPr>
                <w:bCs/>
                <w:color w:val="auto"/>
                <w:sz w:val="21"/>
                <w:szCs w:val="21"/>
                <w:highlight w:val="none"/>
              </w:rPr>
            </w:pPr>
          </w:p>
        </w:tc>
        <w:tc>
          <w:tcPr>
            <w:tcW w:w="212" w:type="pct"/>
            <w:vMerge w:val="continue"/>
            <w:vAlign w:val="center"/>
          </w:tcPr>
          <w:p w14:paraId="49445FA1">
            <w:pPr>
              <w:spacing w:line="240" w:lineRule="auto"/>
              <w:ind w:firstLine="0" w:firstLineChars="0"/>
              <w:jc w:val="center"/>
              <w:rPr>
                <w:bCs/>
                <w:color w:val="auto"/>
                <w:sz w:val="21"/>
                <w:szCs w:val="21"/>
                <w:highlight w:val="none"/>
                <w:u w:val="single"/>
              </w:rPr>
            </w:pPr>
          </w:p>
        </w:tc>
        <w:tc>
          <w:tcPr>
            <w:tcW w:w="631" w:type="pct"/>
            <w:vAlign w:val="center"/>
          </w:tcPr>
          <w:p w14:paraId="5F156E91">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焊接烟尘</w:t>
            </w:r>
          </w:p>
        </w:tc>
        <w:tc>
          <w:tcPr>
            <w:tcW w:w="1898" w:type="pct"/>
            <w:vAlign w:val="center"/>
          </w:tcPr>
          <w:p w14:paraId="543F8AAA">
            <w:pPr>
              <w:spacing w:line="240" w:lineRule="auto"/>
              <w:ind w:firstLine="0" w:firstLineChars="0"/>
              <w:jc w:val="center"/>
              <w:rPr>
                <w:bCs/>
                <w:color w:val="auto"/>
                <w:sz w:val="21"/>
                <w:szCs w:val="21"/>
                <w:highlight w:val="none"/>
                <w:u w:val="single"/>
              </w:rPr>
            </w:pPr>
            <w:r>
              <w:rPr>
                <w:bCs/>
                <w:color w:val="auto"/>
                <w:sz w:val="21"/>
                <w:szCs w:val="21"/>
                <w:highlight w:val="none"/>
                <w:u w:val="single"/>
              </w:rPr>
              <w:t>移动式高真空焊接烟尘净化机组</w:t>
            </w:r>
          </w:p>
        </w:tc>
        <w:tc>
          <w:tcPr>
            <w:tcW w:w="1514" w:type="pct"/>
            <w:tcBorders>
              <w:right w:val="nil"/>
            </w:tcBorders>
            <w:vAlign w:val="center"/>
          </w:tcPr>
          <w:p w14:paraId="24B77B5E">
            <w:pPr>
              <w:spacing w:line="240" w:lineRule="auto"/>
              <w:ind w:firstLine="0" w:firstLineChars="0"/>
              <w:jc w:val="center"/>
              <w:rPr>
                <w:bCs/>
                <w:color w:val="auto"/>
                <w:sz w:val="21"/>
                <w:szCs w:val="21"/>
                <w:highlight w:val="none"/>
                <w:u w:val="single"/>
              </w:rPr>
            </w:pPr>
            <w:r>
              <w:rPr>
                <w:bCs/>
                <w:color w:val="auto"/>
                <w:sz w:val="21"/>
                <w:szCs w:val="21"/>
                <w:highlight w:val="none"/>
                <w:u w:val="single"/>
              </w:rPr>
              <w:t>与环评及批复建设内容一致</w:t>
            </w:r>
          </w:p>
        </w:tc>
      </w:tr>
      <w:tr w14:paraId="31D9C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44" w:type="pct"/>
            <w:gridSpan w:val="2"/>
            <w:vMerge w:val="continue"/>
            <w:tcBorders>
              <w:left w:val="nil"/>
            </w:tcBorders>
            <w:vAlign w:val="center"/>
          </w:tcPr>
          <w:p w14:paraId="0106B097">
            <w:pPr>
              <w:spacing w:line="240" w:lineRule="auto"/>
              <w:ind w:firstLine="0" w:firstLineChars="0"/>
              <w:jc w:val="center"/>
              <w:rPr>
                <w:bCs/>
                <w:color w:val="auto"/>
                <w:sz w:val="21"/>
                <w:szCs w:val="21"/>
                <w:highlight w:val="none"/>
              </w:rPr>
            </w:pPr>
          </w:p>
        </w:tc>
        <w:tc>
          <w:tcPr>
            <w:tcW w:w="212" w:type="pct"/>
            <w:vMerge w:val="continue"/>
            <w:vAlign w:val="center"/>
          </w:tcPr>
          <w:p w14:paraId="78B12F33">
            <w:pPr>
              <w:spacing w:line="240" w:lineRule="auto"/>
              <w:ind w:firstLine="0" w:firstLineChars="0"/>
              <w:jc w:val="center"/>
              <w:rPr>
                <w:bCs/>
                <w:color w:val="auto"/>
                <w:sz w:val="21"/>
                <w:szCs w:val="21"/>
                <w:highlight w:val="none"/>
                <w:u w:val="single"/>
              </w:rPr>
            </w:pPr>
          </w:p>
        </w:tc>
        <w:tc>
          <w:tcPr>
            <w:tcW w:w="631" w:type="pct"/>
            <w:vAlign w:val="center"/>
          </w:tcPr>
          <w:p w14:paraId="406CA706">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其他</w:t>
            </w:r>
          </w:p>
        </w:tc>
        <w:tc>
          <w:tcPr>
            <w:tcW w:w="1898" w:type="pct"/>
            <w:vAlign w:val="center"/>
          </w:tcPr>
          <w:p w14:paraId="23505AFC">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厨房油烟净化器</w:t>
            </w:r>
          </w:p>
        </w:tc>
        <w:tc>
          <w:tcPr>
            <w:tcW w:w="1514" w:type="pct"/>
            <w:tcBorders>
              <w:right w:val="nil"/>
            </w:tcBorders>
            <w:vAlign w:val="center"/>
          </w:tcPr>
          <w:p w14:paraId="5CBF4C2A">
            <w:pPr>
              <w:spacing w:line="240" w:lineRule="auto"/>
              <w:ind w:firstLine="0" w:firstLineChars="0"/>
              <w:jc w:val="center"/>
              <w:rPr>
                <w:bCs/>
                <w:color w:val="auto"/>
                <w:sz w:val="21"/>
                <w:szCs w:val="21"/>
                <w:highlight w:val="none"/>
                <w:u w:val="single"/>
              </w:rPr>
            </w:pPr>
            <w:r>
              <w:rPr>
                <w:bCs/>
                <w:color w:val="auto"/>
                <w:sz w:val="21"/>
                <w:szCs w:val="21"/>
                <w:highlight w:val="none"/>
                <w:u w:val="single"/>
              </w:rPr>
              <w:t>与环评及批复建设内容一致</w:t>
            </w:r>
          </w:p>
        </w:tc>
      </w:tr>
      <w:tr w14:paraId="20F4F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44" w:type="pct"/>
            <w:gridSpan w:val="2"/>
            <w:vMerge w:val="continue"/>
            <w:tcBorders>
              <w:left w:val="nil"/>
            </w:tcBorders>
            <w:vAlign w:val="center"/>
          </w:tcPr>
          <w:p w14:paraId="09AF2F4F">
            <w:pPr>
              <w:spacing w:line="240" w:lineRule="auto"/>
              <w:ind w:firstLine="0" w:firstLineChars="0"/>
              <w:jc w:val="center"/>
              <w:rPr>
                <w:bCs/>
                <w:color w:val="auto"/>
                <w:sz w:val="21"/>
                <w:szCs w:val="21"/>
                <w:highlight w:val="none"/>
              </w:rPr>
            </w:pPr>
          </w:p>
        </w:tc>
        <w:tc>
          <w:tcPr>
            <w:tcW w:w="843" w:type="pct"/>
            <w:gridSpan w:val="2"/>
            <w:vAlign w:val="center"/>
          </w:tcPr>
          <w:p w14:paraId="20B6A7D1">
            <w:pPr>
              <w:spacing w:line="240" w:lineRule="auto"/>
              <w:ind w:firstLine="0" w:firstLineChars="0"/>
              <w:jc w:val="center"/>
              <w:rPr>
                <w:bCs/>
                <w:color w:val="auto"/>
                <w:sz w:val="21"/>
                <w:szCs w:val="21"/>
                <w:highlight w:val="none"/>
                <w:u w:val="single"/>
              </w:rPr>
            </w:pPr>
            <w:r>
              <w:rPr>
                <w:bCs/>
                <w:color w:val="auto"/>
                <w:sz w:val="21"/>
                <w:szCs w:val="21"/>
                <w:highlight w:val="none"/>
                <w:u w:val="single"/>
              </w:rPr>
              <w:t>噪声防治措施</w:t>
            </w:r>
          </w:p>
        </w:tc>
        <w:tc>
          <w:tcPr>
            <w:tcW w:w="1898" w:type="pct"/>
            <w:vAlign w:val="center"/>
          </w:tcPr>
          <w:p w14:paraId="1A50C6A8">
            <w:pPr>
              <w:spacing w:line="240" w:lineRule="auto"/>
              <w:ind w:firstLine="0" w:firstLineChars="0"/>
              <w:jc w:val="center"/>
              <w:rPr>
                <w:bCs/>
                <w:color w:val="auto"/>
                <w:sz w:val="21"/>
                <w:szCs w:val="21"/>
                <w:highlight w:val="none"/>
                <w:u w:val="single"/>
              </w:rPr>
            </w:pPr>
            <w:r>
              <w:rPr>
                <w:bCs/>
                <w:color w:val="auto"/>
                <w:sz w:val="21"/>
                <w:szCs w:val="21"/>
                <w:highlight w:val="none"/>
                <w:u w:val="single"/>
              </w:rPr>
              <w:t>选用优质低噪声设备，采用隔振、隔声、吸声措施</w:t>
            </w:r>
          </w:p>
        </w:tc>
        <w:tc>
          <w:tcPr>
            <w:tcW w:w="1514" w:type="pct"/>
            <w:tcBorders>
              <w:right w:val="nil"/>
            </w:tcBorders>
            <w:vAlign w:val="center"/>
          </w:tcPr>
          <w:p w14:paraId="27E1EAAF">
            <w:pPr>
              <w:spacing w:line="240" w:lineRule="auto"/>
              <w:ind w:firstLine="0" w:firstLineChars="0"/>
              <w:jc w:val="center"/>
              <w:rPr>
                <w:bCs/>
                <w:color w:val="auto"/>
                <w:sz w:val="21"/>
                <w:szCs w:val="21"/>
                <w:highlight w:val="none"/>
                <w:u w:val="single"/>
              </w:rPr>
            </w:pPr>
            <w:r>
              <w:rPr>
                <w:bCs/>
                <w:color w:val="auto"/>
                <w:sz w:val="21"/>
                <w:szCs w:val="21"/>
                <w:highlight w:val="none"/>
                <w:u w:val="single"/>
              </w:rPr>
              <w:t>与环评及批复建设内容一致</w:t>
            </w:r>
          </w:p>
        </w:tc>
      </w:tr>
      <w:tr w14:paraId="30AE0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44" w:type="pct"/>
            <w:gridSpan w:val="2"/>
            <w:vMerge w:val="continue"/>
            <w:tcBorders>
              <w:left w:val="nil"/>
            </w:tcBorders>
            <w:vAlign w:val="center"/>
          </w:tcPr>
          <w:p w14:paraId="6FFF31D5">
            <w:pPr>
              <w:spacing w:line="240" w:lineRule="auto"/>
              <w:ind w:firstLine="0" w:firstLineChars="0"/>
              <w:jc w:val="center"/>
              <w:rPr>
                <w:bCs/>
                <w:color w:val="auto"/>
                <w:sz w:val="21"/>
                <w:szCs w:val="21"/>
                <w:highlight w:val="none"/>
              </w:rPr>
            </w:pPr>
          </w:p>
        </w:tc>
        <w:tc>
          <w:tcPr>
            <w:tcW w:w="843" w:type="pct"/>
            <w:gridSpan w:val="2"/>
            <w:vAlign w:val="center"/>
          </w:tcPr>
          <w:p w14:paraId="2C27A062">
            <w:pPr>
              <w:spacing w:line="240" w:lineRule="auto"/>
              <w:ind w:firstLine="0" w:firstLineChars="0"/>
              <w:jc w:val="center"/>
              <w:rPr>
                <w:bCs/>
                <w:color w:val="auto"/>
                <w:sz w:val="21"/>
                <w:szCs w:val="21"/>
                <w:highlight w:val="none"/>
                <w:u w:val="single"/>
              </w:rPr>
            </w:pPr>
            <w:r>
              <w:rPr>
                <w:bCs/>
                <w:color w:val="auto"/>
                <w:sz w:val="21"/>
                <w:szCs w:val="21"/>
                <w:highlight w:val="none"/>
                <w:u w:val="single"/>
              </w:rPr>
              <w:t>固废堆场</w:t>
            </w:r>
          </w:p>
        </w:tc>
        <w:tc>
          <w:tcPr>
            <w:tcW w:w="1898" w:type="pct"/>
            <w:vAlign w:val="center"/>
          </w:tcPr>
          <w:p w14:paraId="07408794">
            <w:pPr>
              <w:spacing w:line="240" w:lineRule="auto"/>
              <w:ind w:firstLine="0" w:firstLineChars="0"/>
              <w:jc w:val="center"/>
              <w:rPr>
                <w:bCs/>
                <w:color w:val="auto"/>
                <w:sz w:val="21"/>
                <w:szCs w:val="21"/>
                <w:highlight w:val="none"/>
                <w:u w:val="single"/>
              </w:rPr>
            </w:pPr>
            <w:r>
              <w:rPr>
                <w:bCs/>
                <w:color w:val="auto"/>
                <w:sz w:val="21"/>
                <w:szCs w:val="21"/>
                <w:highlight w:val="none"/>
                <w:u w:val="single"/>
              </w:rPr>
              <w:t>占地210m</w:t>
            </w:r>
            <w:r>
              <w:rPr>
                <w:bCs/>
                <w:color w:val="auto"/>
                <w:sz w:val="21"/>
                <w:szCs w:val="21"/>
                <w:highlight w:val="none"/>
                <w:u w:val="single"/>
                <w:vertAlign w:val="superscript"/>
              </w:rPr>
              <w:t>2</w:t>
            </w:r>
            <w:r>
              <w:rPr>
                <w:bCs/>
                <w:color w:val="auto"/>
                <w:sz w:val="21"/>
                <w:szCs w:val="21"/>
                <w:highlight w:val="none"/>
                <w:u w:val="single"/>
              </w:rPr>
              <w:t>，设雨棚、进行场地硬化</w:t>
            </w:r>
          </w:p>
        </w:tc>
        <w:tc>
          <w:tcPr>
            <w:tcW w:w="1514" w:type="pct"/>
            <w:tcBorders>
              <w:right w:val="nil"/>
            </w:tcBorders>
            <w:vAlign w:val="center"/>
          </w:tcPr>
          <w:p w14:paraId="519DE02D">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已建设1座一般固体废物暂存间，面积为450m</w:t>
            </w:r>
            <w:r>
              <w:rPr>
                <w:rFonts w:hint="eastAsia"/>
                <w:bCs/>
                <w:color w:val="auto"/>
                <w:sz w:val="21"/>
                <w:szCs w:val="21"/>
                <w:highlight w:val="none"/>
                <w:u w:val="single"/>
                <w:vertAlign w:val="superscript"/>
              </w:rPr>
              <w:t>2</w:t>
            </w:r>
          </w:p>
        </w:tc>
      </w:tr>
      <w:tr w14:paraId="305AA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44" w:type="pct"/>
            <w:gridSpan w:val="2"/>
            <w:vMerge w:val="continue"/>
            <w:tcBorders>
              <w:left w:val="nil"/>
              <w:bottom w:val="single" w:color="auto" w:sz="12" w:space="0"/>
            </w:tcBorders>
            <w:vAlign w:val="center"/>
          </w:tcPr>
          <w:p w14:paraId="20363729">
            <w:pPr>
              <w:spacing w:line="240" w:lineRule="auto"/>
              <w:ind w:firstLine="0" w:firstLineChars="0"/>
              <w:jc w:val="center"/>
              <w:rPr>
                <w:bCs/>
                <w:color w:val="auto"/>
                <w:sz w:val="21"/>
                <w:szCs w:val="21"/>
                <w:highlight w:val="none"/>
              </w:rPr>
            </w:pPr>
          </w:p>
        </w:tc>
        <w:tc>
          <w:tcPr>
            <w:tcW w:w="843" w:type="pct"/>
            <w:gridSpan w:val="2"/>
            <w:tcBorders>
              <w:bottom w:val="single" w:color="auto" w:sz="12" w:space="0"/>
            </w:tcBorders>
            <w:vAlign w:val="center"/>
          </w:tcPr>
          <w:p w14:paraId="5AEED82A">
            <w:pPr>
              <w:spacing w:line="240" w:lineRule="auto"/>
              <w:ind w:firstLine="0" w:firstLineChars="0"/>
              <w:jc w:val="center"/>
              <w:rPr>
                <w:bCs/>
                <w:color w:val="auto"/>
                <w:sz w:val="21"/>
                <w:szCs w:val="21"/>
                <w:highlight w:val="none"/>
                <w:u w:val="single"/>
              </w:rPr>
            </w:pPr>
            <w:r>
              <w:rPr>
                <w:bCs/>
                <w:color w:val="auto"/>
                <w:sz w:val="21"/>
                <w:szCs w:val="21"/>
                <w:highlight w:val="none"/>
                <w:u w:val="single"/>
              </w:rPr>
              <w:t>危险废物</w:t>
            </w:r>
          </w:p>
        </w:tc>
        <w:tc>
          <w:tcPr>
            <w:tcW w:w="1898" w:type="pct"/>
            <w:tcBorders>
              <w:bottom w:val="single" w:color="auto" w:sz="12" w:space="0"/>
            </w:tcBorders>
            <w:vAlign w:val="center"/>
          </w:tcPr>
          <w:p w14:paraId="17E7ACE9">
            <w:pPr>
              <w:spacing w:line="240" w:lineRule="auto"/>
              <w:ind w:firstLine="0" w:firstLineChars="0"/>
              <w:jc w:val="center"/>
              <w:rPr>
                <w:bCs/>
                <w:color w:val="auto"/>
                <w:sz w:val="21"/>
                <w:szCs w:val="21"/>
                <w:highlight w:val="none"/>
                <w:u w:val="single"/>
              </w:rPr>
            </w:pPr>
            <w:r>
              <w:rPr>
                <w:bCs/>
                <w:color w:val="auto"/>
                <w:sz w:val="21"/>
                <w:szCs w:val="21"/>
                <w:highlight w:val="none"/>
                <w:u w:val="single"/>
              </w:rPr>
              <w:t>在厂区空地上建设危险废物暂存间</w:t>
            </w:r>
          </w:p>
        </w:tc>
        <w:tc>
          <w:tcPr>
            <w:tcW w:w="1514" w:type="pct"/>
            <w:tcBorders>
              <w:bottom w:val="single" w:color="auto" w:sz="12" w:space="0"/>
              <w:right w:val="nil"/>
            </w:tcBorders>
            <w:vAlign w:val="center"/>
          </w:tcPr>
          <w:p w14:paraId="2DE11E78">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已建设1座</w:t>
            </w:r>
            <w:r>
              <w:rPr>
                <w:bCs/>
                <w:color w:val="auto"/>
                <w:sz w:val="21"/>
                <w:szCs w:val="21"/>
                <w:highlight w:val="none"/>
                <w:u w:val="single"/>
              </w:rPr>
              <w:t>危险废物暂存间</w:t>
            </w:r>
            <w:r>
              <w:rPr>
                <w:rFonts w:hint="eastAsia"/>
                <w:bCs/>
                <w:color w:val="auto"/>
                <w:sz w:val="21"/>
                <w:szCs w:val="21"/>
                <w:highlight w:val="none"/>
                <w:u w:val="single"/>
              </w:rPr>
              <w:t>，面积为180.29m</w:t>
            </w:r>
            <w:r>
              <w:rPr>
                <w:rFonts w:hint="eastAsia"/>
                <w:bCs/>
                <w:color w:val="auto"/>
                <w:sz w:val="21"/>
                <w:szCs w:val="21"/>
                <w:highlight w:val="none"/>
                <w:u w:val="single"/>
                <w:vertAlign w:val="superscript"/>
              </w:rPr>
              <w:t>2</w:t>
            </w:r>
          </w:p>
        </w:tc>
      </w:tr>
    </w:tbl>
    <w:p w14:paraId="52D221F7">
      <w:pPr>
        <w:pStyle w:val="533"/>
        <w:numPr>
          <w:ilvl w:val="3"/>
          <w:numId w:val="9"/>
        </w:numPr>
        <w:rPr>
          <w:color w:val="auto"/>
          <w:szCs w:val="24"/>
          <w:highlight w:val="none"/>
        </w:rPr>
      </w:pPr>
      <w:r>
        <w:rPr>
          <w:color w:val="auto"/>
          <w:szCs w:val="24"/>
          <w:highlight w:val="none"/>
        </w:rPr>
        <w:t>项目生产纲领和产品方案</w:t>
      </w:r>
    </w:p>
    <w:p w14:paraId="626DE668">
      <w:pPr>
        <w:ind w:left="-2" w:leftChars="-1" w:firstLine="480"/>
        <w:rPr>
          <w:color w:val="auto"/>
          <w:szCs w:val="20"/>
          <w:highlight w:val="none"/>
        </w:rPr>
      </w:pPr>
      <w:r>
        <w:rPr>
          <w:color w:val="auto"/>
          <w:szCs w:val="20"/>
          <w:highlight w:val="none"/>
        </w:rPr>
        <w:t>项目</w:t>
      </w:r>
      <w:r>
        <w:rPr>
          <w:rFonts w:hint="eastAsia"/>
          <w:color w:val="auto"/>
          <w:szCs w:val="20"/>
          <w:highlight w:val="none"/>
        </w:rPr>
        <w:t>规划</w:t>
      </w:r>
      <w:r>
        <w:rPr>
          <w:color w:val="auto"/>
          <w:szCs w:val="20"/>
          <w:highlight w:val="none"/>
        </w:rPr>
        <w:t>年修理15万吨级以下各型船舶及海洋工程产品120艘。</w:t>
      </w:r>
      <w:r>
        <w:rPr>
          <w:rFonts w:hint="eastAsia"/>
          <w:color w:val="auto"/>
          <w:szCs w:val="20"/>
          <w:highlight w:val="none"/>
        </w:rPr>
        <w:t>实际建设一期工程，一期工程建成后</w:t>
      </w:r>
      <w:r>
        <w:rPr>
          <w:color w:val="auto"/>
          <w:szCs w:val="20"/>
          <w:highlight w:val="none"/>
        </w:rPr>
        <w:t>年修理和改装10万吨级以下各型船舶及海洋工程产品90艘，以散货轮和油轮为主，年产值约8.8亿元。</w:t>
      </w:r>
    </w:p>
    <w:p w14:paraId="2D2D1047">
      <w:pPr>
        <w:pStyle w:val="533"/>
        <w:numPr>
          <w:ilvl w:val="3"/>
          <w:numId w:val="9"/>
        </w:numPr>
        <w:rPr>
          <w:color w:val="auto"/>
          <w:szCs w:val="24"/>
          <w:highlight w:val="none"/>
        </w:rPr>
      </w:pPr>
      <w:r>
        <w:rPr>
          <w:color w:val="auto"/>
          <w:szCs w:val="24"/>
          <w:highlight w:val="none"/>
        </w:rPr>
        <w:t>主要原辅材料</w:t>
      </w:r>
    </w:p>
    <w:p w14:paraId="34D64E3C">
      <w:pPr>
        <w:spacing w:before="120" w:beforeLines="50" w:after="120" w:afterLines="50"/>
        <w:ind w:firstLine="480"/>
        <w:rPr>
          <w:color w:val="auto"/>
          <w:szCs w:val="20"/>
          <w:highlight w:val="none"/>
          <w:u w:val="single"/>
        </w:rPr>
      </w:pPr>
      <w:r>
        <w:rPr>
          <w:color w:val="auto"/>
          <w:szCs w:val="20"/>
          <w:highlight w:val="none"/>
        </w:rPr>
        <w:t>项目主要原辅材料是钢材、油漆和焊材等：生产中主要燃料和能源</w:t>
      </w:r>
      <w:r>
        <w:rPr>
          <w:rFonts w:hint="eastAsia"/>
          <w:color w:val="auto"/>
          <w:szCs w:val="20"/>
          <w:highlight w:val="none"/>
          <w:lang w:eastAsia="zh-CN"/>
        </w:rPr>
        <w:t>包括</w:t>
      </w:r>
      <w:r>
        <w:rPr>
          <w:color w:val="auto"/>
          <w:szCs w:val="20"/>
          <w:highlight w:val="none"/>
        </w:rPr>
        <w:t>氧气、天然气、二氧化碳等由市场提供专业协作。</w:t>
      </w:r>
      <w:r>
        <w:rPr>
          <w:rFonts w:hint="eastAsia"/>
          <w:color w:val="auto"/>
          <w:szCs w:val="20"/>
          <w:highlight w:val="none"/>
          <w:u w:val="single"/>
        </w:rPr>
        <w:t>一期工程满负荷生产时（即</w:t>
      </w:r>
      <w:r>
        <w:rPr>
          <w:color w:val="auto"/>
          <w:szCs w:val="20"/>
          <w:highlight w:val="none"/>
          <w:u w:val="single"/>
        </w:rPr>
        <w:t>年修理和改装10万吨级以下各型船舶及海洋工程产品90艘</w:t>
      </w:r>
      <w:r>
        <w:rPr>
          <w:rFonts w:hint="eastAsia"/>
          <w:color w:val="auto"/>
          <w:szCs w:val="20"/>
          <w:highlight w:val="none"/>
          <w:u w:val="single"/>
        </w:rPr>
        <w:t>工况下）</w:t>
      </w:r>
      <w:r>
        <w:rPr>
          <w:rFonts w:hint="eastAsia"/>
          <w:color w:val="auto"/>
          <w:szCs w:val="20"/>
          <w:highlight w:val="none"/>
          <w:u w:val="single"/>
          <w:lang w:eastAsia="zh-CN"/>
        </w:rPr>
        <w:t>，</w:t>
      </w:r>
      <w:r>
        <w:rPr>
          <w:color w:val="auto"/>
          <w:szCs w:val="20"/>
          <w:highlight w:val="none"/>
          <w:u w:val="single"/>
        </w:rPr>
        <w:t>项目主要原辅材料</w:t>
      </w:r>
      <w:r>
        <w:rPr>
          <w:rFonts w:hint="eastAsia"/>
          <w:color w:val="auto"/>
          <w:szCs w:val="20"/>
          <w:highlight w:val="none"/>
          <w:u w:val="single"/>
        </w:rPr>
        <w:t>消耗情况</w:t>
      </w:r>
      <w:r>
        <w:rPr>
          <w:color w:val="auto"/>
          <w:szCs w:val="20"/>
          <w:highlight w:val="none"/>
          <w:u w:val="single"/>
        </w:rPr>
        <w:t>见表2.1-4</w:t>
      </w:r>
      <w:r>
        <w:rPr>
          <w:rFonts w:hint="eastAsia"/>
          <w:color w:val="auto"/>
          <w:szCs w:val="20"/>
          <w:highlight w:val="none"/>
          <w:u w:val="single"/>
        </w:rPr>
        <w:t>。</w:t>
      </w:r>
    </w:p>
    <w:p w14:paraId="1C84107E">
      <w:pPr>
        <w:pStyle w:val="38"/>
        <w:spacing w:after="0" w:line="240" w:lineRule="auto"/>
        <w:ind w:firstLine="0" w:firstLineChars="0"/>
        <w:jc w:val="center"/>
        <w:rPr>
          <w:b/>
          <w:color w:val="auto"/>
          <w:sz w:val="21"/>
          <w:szCs w:val="21"/>
          <w:highlight w:val="none"/>
        </w:rPr>
      </w:pPr>
      <w:bookmarkStart w:id="92" w:name="_Ref311479028"/>
      <w:r>
        <w:rPr>
          <w:b/>
          <w:color w:val="auto"/>
          <w:sz w:val="21"/>
          <w:szCs w:val="21"/>
          <w:highlight w:val="none"/>
        </w:rPr>
        <w:t>表2.</w:t>
      </w:r>
      <w:bookmarkEnd w:id="92"/>
      <w:r>
        <w:rPr>
          <w:b/>
          <w:color w:val="auto"/>
          <w:sz w:val="21"/>
          <w:szCs w:val="21"/>
          <w:highlight w:val="none"/>
        </w:rPr>
        <w:t>1-4   主要物料消耗情况</w:t>
      </w:r>
    </w:p>
    <w:tbl>
      <w:tblPr>
        <w:tblStyle w:val="9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1259"/>
        <w:gridCol w:w="1084"/>
        <w:gridCol w:w="1396"/>
        <w:gridCol w:w="2206"/>
        <w:gridCol w:w="2675"/>
      </w:tblGrid>
      <w:tr w14:paraId="5BD7C5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55" w:type="pct"/>
            <w:tcBorders>
              <w:tl2br w:val="nil"/>
              <w:tr2bl w:val="nil"/>
            </w:tcBorders>
            <w:vAlign w:val="center"/>
          </w:tcPr>
          <w:p w14:paraId="11796A33">
            <w:pPr>
              <w:widowControl/>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序号</w:t>
            </w:r>
          </w:p>
        </w:tc>
        <w:tc>
          <w:tcPr>
            <w:tcW w:w="678" w:type="pct"/>
            <w:tcBorders>
              <w:tl2br w:val="nil"/>
              <w:tr2bl w:val="nil"/>
            </w:tcBorders>
            <w:vAlign w:val="center"/>
          </w:tcPr>
          <w:p w14:paraId="79EBD162">
            <w:pPr>
              <w:widowControl/>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名称</w:t>
            </w:r>
          </w:p>
        </w:tc>
        <w:tc>
          <w:tcPr>
            <w:tcW w:w="584" w:type="pct"/>
            <w:tcBorders>
              <w:tl2br w:val="nil"/>
              <w:tr2bl w:val="nil"/>
            </w:tcBorders>
            <w:vAlign w:val="center"/>
          </w:tcPr>
          <w:p w14:paraId="66CC98E8">
            <w:pPr>
              <w:widowControl/>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年消耗量</w:t>
            </w:r>
          </w:p>
        </w:tc>
        <w:tc>
          <w:tcPr>
            <w:tcW w:w="752" w:type="pct"/>
            <w:tcBorders>
              <w:tl2br w:val="nil"/>
              <w:tr2bl w:val="nil"/>
            </w:tcBorders>
            <w:vAlign w:val="center"/>
          </w:tcPr>
          <w:p w14:paraId="5212E34F">
            <w:pPr>
              <w:widowControl/>
              <w:spacing w:line="240" w:lineRule="auto"/>
              <w:ind w:left="-72" w:leftChars="-30" w:right="-72" w:rightChars="-30" w:firstLine="0" w:firstLineChars="0"/>
              <w:jc w:val="center"/>
              <w:rPr>
                <w:b/>
                <w:bCs/>
                <w:color w:val="auto"/>
                <w:sz w:val="21"/>
                <w:szCs w:val="21"/>
                <w:highlight w:val="none"/>
                <w:u w:val="single"/>
              </w:rPr>
            </w:pPr>
            <w:r>
              <w:rPr>
                <w:rFonts w:hint="eastAsia"/>
                <w:b/>
                <w:bCs/>
                <w:color w:val="auto"/>
                <w:sz w:val="21"/>
                <w:szCs w:val="21"/>
                <w:highlight w:val="none"/>
                <w:u w:val="single"/>
              </w:rPr>
              <w:t>最大储存量</w:t>
            </w:r>
          </w:p>
        </w:tc>
        <w:tc>
          <w:tcPr>
            <w:tcW w:w="1188" w:type="pct"/>
            <w:tcBorders>
              <w:tl2br w:val="nil"/>
              <w:tr2bl w:val="nil"/>
            </w:tcBorders>
            <w:vAlign w:val="center"/>
          </w:tcPr>
          <w:p w14:paraId="39A71E2C">
            <w:pPr>
              <w:widowControl/>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尺寸</w:t>
            </w:r>
          </w:p>
        </w:tc>
        <w:tc>
          <w:tcPr>
            <w:tcW w:w="1441" w:type="pct"/>
            <w:tcBorders>
              <w:tl2br w:val="nil"/>
              <w:tr2bl w:val="nil"/>
            </w:tcBorders>
            <w:vAlign w:val="center"/>
          </w:tcPr>
          <w:p w14:paraId="5B3D5AF8">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备注</w:t>
            </w:r>
          </w:p>
        </w:tc>
      </w:tr>
      <w:tr w14:paraId="33936A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 w:type="pct"/>
            <w:tcBorders>
              <w:tl2br w:val="nil"/>
              <w:tr2bl w:val="nil"/>
            </w:tcBorders>
            <w:vAlign w:val="center"/>
          </w:tcPr>
          <w:p w14:paraId="7FCFA7F2">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1</w:t>
            </w:r>
          </w:p>
        </w:tc>
        <w:tc>
          <w:tcPr>
            <w:tcW w:w="678" w:type="pct"/>
            <w:tcBorders>
              <w:tl2br w:val="nil"/>
              <w:tr2bl w:val="nil"/>
            </w:tcBorders>
            <w:vAlign w:val="center"/>
          </w:tcPr>
          <w:p w14:paraId="5C6AF33C">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钢板</w:t>
            </w:r>
          </w:p>
        </w:tc>
        <w:tc>
          <w:tcPr>
            <w:tcW w:w="584" w:type="pct"/>
            <w:tcBorders>
              <w:tl2br w:val="nil"/>
              <w:tr2bl w:val="nil"/>
            </w:tcBorders>
            <w:vAlign w:val="center"/>
          </w:tcPr>
          <w:p w14:paraId="0E023C9C">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1440吨</w:t>
            </w:r>
          </w:p>
        </w:tc>
        <w:tc>
          <w:tcPr>
            <w:tcW w:w="752" w:type="pct"/>
            <w:tcBorders>
              <w:tl2br w:val="nil"/>
              <w:tr2bl w:val="nil"/>
            </w:tcBorders>
            <w:vAlign w:val="center"/>
          </w:tcPr>
          <w:p w14:paraId="06DBF129">
            <w:pPr>
              <w:widowControl/>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200吨</w:t>
            </w:r>
          </w:p>
        </w:tc>
        <w:tc>
          <w:tcPr>
            <w:tcW w:w="1188" w:type="pct"/>
            <w:tcBorders>
              <w:tl2br w:val="nil"/>
              <w:tr2bl w:val="nil"/>
            </w:tcBorders>
            <w:vAlign w:val="center"/>
          </w:tcPr>
          <w:p w14:paraId="3EBF661F">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最大尺寸为长12m×宽3m，＜10t</w:t>
            </w:r>
          </w:p>
        </w:tc>
        <w:tc>
          <w:tcPr>
            <w:tcW w:w="1441" w:type="pct"/>
            <w:tcBorders>
              <w:tl2br w:val="nil"/>
              <w:tr2bl w:val="nil"/>
            </w:tcBorders>
            <w:vAlign w:val="center"/>
          </w:tcPr>
          <w:p w14:paraId="4FBD7DE4">
            <w:pPr>
              <w:widowControl/>
              <w:spacing w:line="240" w:lineRule="auto"/>
              <w:ind w:left="-72" w:leftChars="-30" w:right="-72" w:rightChars="-30" w:firstLine="0" w:firstLineChars="0"/>
              <w:jc w:val="center"/>
              <w:rPr>
                <w:color w:val="auto"/>
                <w:sz w:val="21"/>
                <w:szCs w:val="21"/>
                <w:highlight w:val="none"/>
              </w:rPr>
            </w:pPr>
          </w:p>
        </w:tc>
      </w:tr>
      <w:tr w14:paraId="65B3F8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 w:type="pct"/>
            <w:tcBorders>
              <w:tl2br w:val="nil"/>
              <w:tr2bl w:val="nil"/>
            </w:tcBorders>
            <w:vAlign w:val="center"/>
          </w:tcPr>
          <w:p w14:paraId="3964907C">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2</w:t>
            </w:r>
          </w:p>
        </w:tc>
        <w:tc>
          <w:tcPr>
            <w:tcW w:w="678" w:type="pct"/>
            <w:tcBorders>
              <w:tl2br w:val="nil"/>
              <w:tr2bl w:val="nil"/>
            </w:tcBorders>
            <w:vAlign w:val="center"/>
          </w:tcPr>
          <w:p w14:paraId="6207B3F2">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钢管</w:t>
            </w:r>
          </w:p>
        </w:tc>
        <w:tc>
          <w:tcPr>
            <w:tcW w:w="584" w:type="pct"/>
            <w:tcBorders>
              <w:tl2br w:val="nil"/>
              <w:tr2bl w:val="nil"/>
            </w:tcBorders>
            <w:vAlign w:val="center"/>
          </w:tcPr>
          <w:p w14:paraId="5C8F2F04">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240吨</w:t>
            </w:r>
          </w:p>
        </w:tc>
        <w:tc>
          <w:tcPr>
            <w:tcW w:w="752" w:type="pct"/>
            <w:tcBorders>
              <w:tl2br w:val="nil"/>
              <w:tr2bl w:val="nil"/>
            </w:tcBorders>
            <w:vAlign w:val="center"/>
          </w:tcPr>
          <w:p w14:paraId="7C0BA010">
            <w:pPr>
              <w:widowControl/>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60吨</w:t>
            </w:r>
          </w:p>
        </w:tc>
        <w:tc>
          <w:tcPr>
            <w:tcW w:w="1188" w:type="pct"/>
            <w:tcBorders>
              <w:tl2br w:val="nil"/>
              <w:tr2bl w:val="nil"/>
            </w:tcBorders>
            <w:vAlign w:val="center"/>
          </w:tcPr>
          <w:p w14:paraId="6508906E">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10800根，单根管子的最大长度≤12m</w:t>
            </w:r>
          </w:p>
        </w:tc>
        <w:tc>
          <w:tcPr>
            <w:tcW w:w="1441" w:type="pct"/>
            <w:tcBorders>
              <w:tl2br w:val="nil"/>
              <w:tr2bl w:val="nil"/>
            </w:tcBorders>
            <w:vAlign w:val="center"/>
          </w:tcPr>
          <w:p w14:paraId="1499A74D">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包括方管和管材</w:t>
            </w:r>
          </w:p>
        </w:tc>
      </w:tr>
      <w:tr w14:paraId="6517F6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 w:type="pct"/>
            <w:vMerge w:val="restart"/>
            <w:tcBorders>
              <w:tl2br w:val="nil"/>
              <w:tr2bl w:val="nil"/>
            </w:tcBorders>
            <w:vAlign w:val="center"/>
          </w:tcPr>
          <w:p w14:paraId="445359A5">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3</w:t>
            </w:r>
          </w:p>
        </w:tc>
        <w:tc>
          <w:tcPr>
            <w:tcW w:w="678" w:type="pct"/>
            <w:tcBorders>
              <w:tl2br w:val="nil"/>
              <w:tr2bl w:val="nil"/>
            </w:tcBorders>
            <w:vAlign w:val="center"/>
          </w:tcPr>
          <w:p w14:paraId="4CA2E4A9">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油漆</w:t>
            </w:r>
          </w:p>
        </w:tc>
        <w:tc>
          <w:tcPr>
            <w:tcW w:w="584" w:type="pct"/>
            <w:tcBorders>
              <w:tl2br w:val="nil"/>
              <w:tr2bl w:val="nil"/>
            </w:tcBorders>
            <w:vAlign w:val="center"/>
          </w:tcPr>
          <w:p w14:paraId="202AF971">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240吨</w:t>
            </w:r>
          </w:p>
        </w:tc>
        <w:tc>
          <w:tcPr>
            <w:tcW w:w="752" w:type="pct"/>
            <w:tcBorders>
              <w:tl2br w:val="nil"/>
              <w:tr2bl w:val="nil"/>
            </w:tcBorders>
            <w:vAlign w:val="center"/>
          </w:tcPr>
          <w:p w14:paraId="2BB039EC">
            <w:pPr>
              <w:widowControl/>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30吨</w:t>
            </w:r>
          </w:p>
        </w:tc>
        <w:tc>
          <w:tcPr>
            <w:tcW w:w="1188" w:type="pct"/>
            <w:tcBorders>
              <w:tl2br w:val="nil"/>
              <w:tr2bl w:val="nil"/>
            </w:tcBorders>
            <w:vAlign w:val="center"/>
          </w:tcPr>
          <w:p w14:paraId="22AACC5B">
            <w:pPr>
              <w:widowControl/>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桶装</w:t>
            </w:r>
          </w:p>
        </w:tc>
        <w:tc>
          <w:tcPr>
            <w:tcW w:w="1441" w:type="pct"/>
            <w:vMerge w:val="restart"/>
            <w:tcBorders>
              <w:tl2br w:val="nil"/>
              <w:tr2bl w:val="nil"/>
            </w:tcBorders>
            <w:vAlign w:val="center"/>
          </w:tcPr>
          <w:p w14:paraId="0D6E8CB0">
            <w:pPr>
              <w:widowControl/>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储存在危化品仓库</w:t>
            </w:r>
          </w:p>
        </w:tc>
      </w:tr>
      <w:tr w14:paraId="1EB115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 w:type="pct"/>
            <w:vMerge w:val="continue"/>
            <w:tcBorders>
              <w:tl2br w:val="nil"/>
              <w:tr2bl w:val="nil"/>
            </w:tcBorders>
            <w:vAlign w:val="center"/>
          </w:tcPr>
          <w:p w14:paraId="6350FB48">
            <w:pPr>
              <w:widowControl/>
              <w:spacing w:line="240" w:lineRule="auto"/>
              <w:ind w:left="-72" w:leftChars="-30" w:right="-72" w:rightChars="-30" w:firstLine="0" w:firstLineChars="0"/>
              <w:jc w:val="center"/>
              <w:rPr>
                <w:color w:val="auto"/>
                <w:sz w:val="21"/>
                <w:szCs w:val="21"/>
                <w:highlight w:val="none"/>
              </w:rPr>
            </w:pPr>
          </w:p>
        </w:tc>
        <w:tc>
          <w:tcPr>
            <w:tcW w:w="678" w:type="pct"/>
            <w:tcBorders>
              <w:tl2br w:val="nil"/>
              <w:tr2bl w:val="nil"/>
            </w:tcBorders>
            <w:vAlign w:val="center"/>
          </w:tcPr>
          <w:p w14:paraId="34C4D70B">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稀释剂</w:t>
            </w:r>
          </w:p>
        </w:tc>
        <w:tc>
          <w:tcPr>
            <w:tcW w:w="584" w:type="pct"/>
            <w:tcBorders>
              <w:tl2br w:val="nil"/>
              <w:tr2bl w:val="nil"/>
            </w:tcBorders>
            <w:vAlign w:val="center"/>
          </w:tcPr>
          <w:p w14:paraId="7E7A8B52">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10吨</w:t>
            </w:r>
          </w:p>
        </w:tc>
        <w:tc>
          <w:tcPr>
            <w:tcW w:w="752" w:type="pct"/>
            <w:tcBorders>
              <w:tl2br w:val="nil"/>
              <w:tr2bl w:val="nil"/>
            </w:tcBorders>
            <w:vAlign w:val="center"/>
          </w:tcPr>
          <w:p w14:paraId="3E3FD02F">
            <w:pPr>
              <w:widowControl/>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1吨</w:t>
            </w:r>
          </w:p>
        </w:tc>
        <w:tc>
          <w:tcPr>
            <w:tcW w:w="1188" w:type="pct"/>
            <w:tcBorders>
              <w:tl2br w:val="nil"/>
              <w:tr2bl w:val="nil"/>
            </w:tcBorders>
            <w:vAlign w:val="center"/>
          </w:tcPr>
          <w:p w14:paraId="31227D9B">
            <w:pPr>
              <w:widowControl/>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桶装</w:t>
            </w:r>
          </w:p>
        </w:tc>
        <w:tc>
          <w:tcPr>
            <w:tcW w:w="1441" w:type="pct"/>
            <w:vMerge w:val="continue"/>
            <w:tcBorders>
              <w:tl2br w:val="nil"/>
              <w:tr2bl w:val="nil"/>
            </w:tcBorders>
            <w:vAlign w:val="center"/>
          </w:tcPr>
          <w:p w14:paraId="133977AE">
            <w:pPr>
              <w:widowControl/>
              <w:spacing w:line="240" w:lineRule="auto"/>
              <w:ind w:left="-72" w:leftChars="-30" w:right="-72" w:rightChars="-30" w:firstLine="0" w:firstLineChars="0"/>
              <w:jc w:val="center"/>
              <w:rPr>
                <w:color w:val="auto"/>
                <w:sz w:val="21"/>
                <w:szCs w:val="21"/>
                <w:highlight w:val="none"/>
                <w:u w:val="single"/>
              </w:rPr>
            </w:pPr>
          </w:p>
        </w:tc>
      </w:tr>
      <w:tr w14:paraId="1CE550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 w:type="pct"/>
            <w:tcBorders>
              <w:tl2br w:val="nil"/>
              <w:tr2bl w:val="nil"/>
            </w:tcBorders>
            <w:shd w:val="clear" w:color="auto" w:fill="auto"/>
            <w:vAlign w:val="center"/>
          </w:tcPr>
          <w:p w14:paraId="268BA7B9">
            <w:pPr>
              <w:widowControl/>
              <w:spacing w:line="240" w:lineRule="auto"/>
              <w:ind w:left="-72" w:leftChars="-30" w:right="-72" w:rightChars="-30" w:firstLine="0" w:firstLineChars="0"/>
              <w:jc w:val="center"/>
              <w:rPr>
                <w:rFonts w:ascii="Times New Roman" w:hAnsi="Times New Roman" w:eastAsia="宋体" w:cs="Times New Roman"/>
                <w:color w:val="auto"/>
                <w:sz w:val="21"/>
                <w:szCs w:val="21"/>
                <w:highlight w:val="none"/>
                <w:lang w:val="en-US" w:eastAsia="zh-CN" w:bidi="ar-SA"/>
              </w:rPr>
            </w:pPr>
            <w:r>
              <w:rPr>
                <w:color w:val="auto"/>
                <w:sz w:val="21"/>
                <w:szCs w:val="21"/>
                <w:highlight w:val="none"/>
              </w:rPr>
              <w:t>4</w:t>
            </w:r>
          </w:p>
        </w:tc>
        <w:tc>
          <w:tcPr>
            <w:tcW w:w="678" w:type="pct"/>
            <w:tcBorders>
              <w:tl2br w:val="nil"/>
              <w:tr2bl w:val="nil"/>
            </w:tcBorders>
            <w:vAlign w:val="center"/>
          </w:tcPr>
          <w:p w14:paraId="4600161F">
            <w:pPr>
              <w:widowControl/>
              <w:spacing w:line="240" w:lineRule="auto"/>
              <w:ind w:left="-72" w:leftChars="-30" w:right="-72" w:rightChars="-30" w:firstLine="0" w:firstLineChars="0"/>
              <w:jc w:val="center"/>
              <w:rPr>
                <w:rFonts w:hint="eastAsia" w:eastAsia="宋体"/>
                <w:color w:val="auto"/>
                <w:sz w:val="21"/>
                <w:szCs w:val="21"/>
                <w:highlight w:val="none"/>
                <w:lang w:eastAsia="zh-CN"/>
              </w:rPr>
            </w:pPr>
            <w:r>
              <w:rPr>
                <w:rFonts w:hint="eastAsia"/>
                <w:color w:val="auto"/>
                <w:sz w:val="21"/>
                <w:szCs w:val="21"/>
                <w:highlight w:val="none"/>
                <w:lang w:eastAsia="zh-CN"/>
              </w:rPr>
              <w:t>除垢剂（含草酸、柠檬酸、盐酸等成分）</w:t>
            </w:r>
          </w:p>
        </w:tc>
        <w:tc>
          <w:tcPr>
            <w:tcW w:w="584" w:type="pct"/>
            <w:tcBorders>
              <w:tl2br w:val="nil"/>
              <w:tr2bl w:val="nil"/>
            </w:tcBorders>
            <w:vAlign w:val="center"/>
          </w:tcPr>
          <w:p w14:paraId="0E5720DA">
            <w:pPr>
              <w:widowControl/>
              <w:spacing w:line="240" w:lineRule="auto"/>
              <w:ind w:left="-72" w:leftChars="-30" w:right="-72" w:rightChars="-30" w:firstLine="0"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100升</w:t>
            </w:r>
          </w:p>
        </w:tc>
        <w:tc>
          <w:tcPr>
            <w:tcW w:w="752" w:type="pct"/>
            <w:tcBorders>
              <w:tl2br w:val="nil"/>
              <w:tr2bl w:val="nil"/>
            </w:tcBorders>
            <w:vAlign w:val="center"/>
          </w:tcPr>
          <w:p w14:paraId="2B9DD6D6">
            <w:pPr>
              <w:widowControl/>
              <w:spacing w:line="240" w:lineRule="auto"/>
              <w:ind w:left="-72" w:leftChars="-30" w:right="-72" w:rightChars="-30" w:firstLine="0" w:firstLineChars="0"/>
              <w:jc w:val="center"/>
              <w:rPr>
                <w:rFonts w:hint="default" w:eastAsia="宋体"/>
                <w:color w:val="auto"/>
                <w:sz w:val="21"/>
                <w:szCs w:val="21"/>
                <w:highlight w:val="none"/>
                <w:u w:val="single"/>
                <w:lang w:val="en-US" w:eastAsia="zh-CN"/>
              </w:rPr>
            </w:pPr>
            <w:r>
              <w:rPr>
                <w:rFonts w:hint="eastAsia"/>
                <w:color w:val="auto"/>
                <w:sz w:val="21"/>
                <w:szCs w:val="21"/>
                <w:highlight w:val="none"/>
                <w:u w:val="single"/>
                <w:lang w:val="en-US" w:eastAsia="zh-CN"/>
              </w:rPr>
              <w:t>10升</w:t>
            </w:r>
          </w:p>
        </w:tc>
        <w:tc>
          <w:tcPr>
            <w:tcW w:w="1188" w:type="pct"/>
            <w:tcBorders>
              <w:tl2br w:val="nil"/>
              <w:tr2bl w:val="nil"/>
            </w:tcBorders>
            <w:vAlign w:val="center"/>
          </w:tcPr>
          <w:p w14:paraId="4AE3FFC5">
            <w:pPr>
              <w:widowControl/>
              <w:spacing w:line="240" w:lineRule="auto"/>
              <w:ind w:left="-72" w:leftChars="-30" w:right="-72" w:rightChars="-30" w:firstLine="0" w:firstLineChars="0"/>
              <w:jc w:val="center"/>
              <w:rPr>
                <w:rFonts w:hint="eastAsia"/>
                <w:color w:val="auto"/>
                <w:sz w:val="21"/>
                <w:szCs w:val="21"/>
                <w:highlight w:val="none"/>
                <w:u w:val="single"/>
              </w:rPr>
            </w:pPr>
            <w:r>
              <w:rPr>
                <w:rFonts w:hint="eastAsia"/>
                <w:color w:val="auto"/>
                <w:sz w:val="21"/>
                <w:szCs w:val="21"/>
                <w:highlight w:val="none"/>
                <w:u w:val="single"/>
              </w:rPr>
              <w:t>桶装</w:t>
            </w:r>
          </w:p>
        </w:tc>
        <w:tc>
          <w:tcPr>
            <w:tcW w:w="1441" w:type="pct"/>
            <w:vMerge w:val="continue"/>
            <w:tcBorders>
              <w:tl2br w:val="nil"/>
              <w:tr2bl w:val="nil"/>
            </w:tcBorders>
            <w:vAlign w:val="center"/>
          </w:tcPr>
          <w:p w14:paraId="3F76B66D">
            <w:pPr>
              <w:widowControl/>
              <w:spacing w:line="240" w:lineRule="auto"/>
              <w:ind w:left="-72" w:leftChars="-30" w:right="-72" w:rightChars="-30" w:firstLine="0" w:firstLineChars="0"/>
              <w:jc w:val="center"/>
              <w:rPr>
                <w:color w:val="auto"/>
                <w:sz w:val="21"/>
                <w:szCs w:val="21"/>
                <w:highlight w:val="none"/>
                <w:u w:val="single"/>
              </w:rPr>
            </w:pPr>
          </w:p>
        </w:tc>
      </w:tr>
      <w:tr w14:paraId="308302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 w:type="pct"/>
            <w:tcBorders>
              <w:tl2br w:val="nil"/>
              <w:tr2bl w:val="nil"/>
            </w:tcBorders>
            <w:shd w:val="clear" w:color="auto" w:fill="auto"/>
            <w:vAlign w:val="center"/>
          </w:tcPr>
          <w:p w14:paraId="0AA2ABB2">
            <w:pPr>
              <w:widowControl/>
              <w:spacing w:line="240" w:lineRule="auto"/>
              <w:ind w:left="-72" w:leftChars="-30" w:right="-72" w:rightChars="-30" w:firstLine="0" w:firstLineChars="0"/>
              <w:jc w:val="center"/>
              <w:rPr>
                <w:rFonts w:ascii="Times New Roman" w:hAnsi="Times New Roman" w:eastAsia="宋体" w:cs="Times New Roman"/>
                <w:color w:val="auto"/>
                <w:sz w:val="21"/>
                <w:szCs w:val="21"/>
                <w:highlight w:val="none"/>
                <w:lang w:val="en-US" w:eastAsia="zh-CN" w:bidi="ar-SA"/>
              </w:rPr>
            </w:pPr>
            <w:r>
              <w:rPr>
                <w:color w:val="auto"/>
                <w:sz w:val="21"/>
                <w:szCs w:val="21"/>
                <w:highlight w:val="none"/>
              </w:rPr>
              <w:t>6</w:t>
            </w:r>
          </w:p>
        </w:tc>
        <w:tc>
          <w:tcPr>
            <w:tcW w:w="678" w:type="pct"/>
            <w:tcBorders>
              <w:tl2br w:val="nil"/>
              <w:tr2bl w:val="nil"/>
            </w:tcBorders>
            <w:vAlign w:val="center"/>
          </w:tcPr>
          <w:p w14:paraId="1DA17E8B">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焊条、焊丝</w:t>
            </w:r>
          </w:p>
        </w:tc>
        <w:tc>
          <w:tcPr>
            <w:tcW w:w="584" w:type="pct"/>
            <w:tcBorders>
              <w:tl2br w:val="nil"/>
              <w:tr2bl w:val="nil"/>
            </w:tcBorders>
            <w:vAlign w:val="center"/>
          </w:tcPr>
          <w:p w14:paraId="57805AC9">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60吨</w:t>
            </w:r>
          </w:p>
        </w:tc>
        <w:tc>
          <w:tcPr>
            <w:tcW w:w="752" w:type="pct"/>
            <w:tcBorders>
              <w:tl2br w:val="nil"/>
              <w:tr2bl w:val="nil"/>
            </w:tcBorders>
            <w:vAlign w:val="center"/>
          </w:tcPr>
          <w:p w14:paraId="7227A503">
            <w:pPr>
              <w:widowControl/>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10吨</w:t>
            </w:r>
          </w:p>
        </w:tc>
        <w:tc>
          <w:tcPr>
            <w:tcW w:w="1188" w:type="pct"/>
            <w:tcBorders>
              <w:tl2br w:val="nil"/>
              <w:tr2bl w:val="nil"/>
            </w:tcBorders>
            <w:vAlign w:val="center"/>
          </w:tcPr>
          <w:p w14:paraId="75F255AE">
            <w:pPr>
              <w:widowControl/>
              <w:spacing w:line="240" w:lineRule="auto"/>
              <w:ind w:left="-72" w:leftChars="-30" w:right="-72" w:rightChars="-30" w:firstLine="0" w:firstLineChars="0"/>
              <w:jc w:val="center"/>
              <w:rPr>
                <w:color w:val="auto"/>
                <w:sz w:val="21"/>
                <w:szCs w:val="21"/>
                <w:highlight w:val="none"/>
                <w:u w:val="single"/>
              </w:rPr>
            </w:pPr>
          </w:p>
        </w:tc>
        <w:tc>
          <w:tcPr>
            <w:tcW w:w="1441" w:type="pct"/>
            <w:tcBorders>
              <w:tl2br w:val="nil"/>
              <w:tr2bl w:val="nil"/>
            </w:tcBorders>
            <w:vAlign w:val="center"/>
          </w:tcPr>
          <w:p w14:paraId="6CCDDC22">
            <w:pPr>
              <w:widowControl/>
              <w:spacing w:line="240" w:lineRule="auto"/>
              <w:ind w:left="-72" w:leftChars="-30" w:right="-72" w:rightChars="-30" w:firstLine="0" w:firstLineChars="0"/>
              <w:jc w:val="center"/>
              <w:rPr>
                <w:color w:val="auto"/>
                <w:sz w:val="21"/>
                <w:szCs w:val="21"/>
                <w:highlight w:val="none"/>
                <w:u w:val="single"/>
              </w:rPr>
            </w:pPr>
          </w:p>
        </w:tc>
      </w:tr>
      <w:tr w14:paraId="613681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 w:type="pct"/>
            <w:tcBorders>
              <w:tl2br w:val="nil"/>
              <w:tr2bl w:val="nil"/>
            </w:tcBorders>
            <w:shd w:val="clear" w:color="auto" w:fill="auto"/>
            <w:vAlign w:val="center"/>
          </w:tcPr>
          <w:p w14:paraId="2CF69179">
            <w:pPr>
              <w:widowControl/>
              <w:spacing w:line="240" w:lineRule="auto"/>
              <w:ind w:left="-72" w:leftChars="-30" w:right="-72" w:rightChars="-30" w:firstLine="0" w:firstLineChars="0"/>
              <w:jc w:val="center"/>
              <w:rPr>
                <w:rFonts w:ascii="Times New Roman" w:hAnsi="Times New Roman" w:eastAsia="宋体" w:cs="Times New Roman"/>
                <w:color w:val="auto"/>
                <w:sz w:val="21"/>
                <w:szCs w:val="21"/>
                <w:highlight w:val="none"/>
                <w:lang w:val="en-US" w:eastAsia="zh-CN" w:bidi="ar-SA"/>
              </w:rPr>
            </w:pPr>
            <w:r>
              <w:rPr>
                <w:color w:val="auto"/>
                <w:sz w:val="21"/>
                <w:szCs w:val="21"/>
                <w:highlight w:val="none"/>
              </w:rPr>
              <w:t>7</w:t>
            </w:r>
          </w:p>
        </w:tc>
        <w:tc>
          <w:tcPr>
            <w:tcW w:w="678" w:type="pct"/>
            <w:tcBorders>
              <w:tl2br w:val="nil"/>
              <w:tr2bl w:val="nil"/>
            </w:tcBorders>
            <w:vAlign w:val="center"/>
          </w:tcPr>
          <w:p w14:paraId="0A3799BD">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钢丸、铁矿砂</w:t>
            </w:r>
          </w:p>
        </w:tc>
        <w:tc>
          <w:tcPr>
            <w:tcW w:w="584" w:type="pct"/>
            <w:tcBorders>
              <w:tl2br w:val="nil"/>
              <w:tr2bl w:val="nil"/>
            </w:tcBorders>
            <w:vAlign w:val="center"/>
          </w:tcPr>
          <w:p w14:paraId="1211A5C7">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3600吨</w:t>
            </w:r>
          </w:p>
        </w:tc>
        <w:tc>
          <w:tcPr>
            <w:tcW w:w="752" w:type="pct"/>
            <w:tcBorders>
              <w:tl2br w:val="nil"/>
              <w:tr2bl w:val="nil"/>
            </w:tcBorders>
            <w:vAlign w:val="center"/>
          </w:tcPr>
          <w:p w14:paraId="4A118D06">
            <w:pPr>
              <w:widowControl/>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300吨</w:t>
            </w:r>
          </w:p>
        </w:tc>
        <w:tc>
          <w:tcPr>
            <w:tcW w:w="1188" w:type="pct"/>
            <w:tcBorders>
              <w:tl2br w:val="nil"/>
              <w:tr2bl w:val="nil"/>
            </w:tcBorders>
            <w:vAlign w:val="center"/>
          </w:tcPr>
          <w:p w14:paraId="1E5BEED5">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砂的密度2.3 t/m</w:t>
            </w:r>
            <w:r>
              <w:rPr>
                <w:color w:val="auto"/>
                <w:sz w:val="21"/>
                <w:szCs w:val="21"/>
                <w:highlight w:val="none"/>
                <w:vertAlign w:val="superscript"/>
              </w:rPr>
              <w:t>3</w:t>
            </w:r>
          </w:p>
        </w:tc>
        <w:tc>
          <w:tcPr>
            <w:tcW w:w="1441" w:type="pct"/>
            <w:tcBorders>
              <w:tl2br w:val="nil"/>
              <w:tr2bl w:val="nil"/>
            </w:tcBorders>
            <w:vAlign w:val="center"/>
          </w:tcPr>
          <w:p w14:paraId="47E61814">
            <w:pPr>
              <w:spacing w:line="240" w:lineRule="auto"/>
              <w:ind w:left="-72" w:leftChars="-30" w:right="-72" w:rightChars="-30" w:firstLine="0" w:firstLineChars="0"/>
              <w:jc w:val="center"/>
              <w:rPr>
                <w:color w:val="auto"/>
                <w:sz w:val="21"/>
                <w:szCs w:val="21"/>
                <w:highlight w:val="none"/>
              </w:rPr>
            </w:pPr>
          </w:p>
        </w:tc>
      </w:tr>
      <w:tr w14:paraId="1214E7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 w:type="pct"/>
            <w:tcBorders>
              <w:tl2br w:val="nil"/>
              <w:tr2bl w:val="nil"/>
            </w:tcBorders>
            <w:shd w:val="clear" w:color="auto" w:fill="auto"/>
            <w:vAlign w:val="center"/>
          </w:tcPr>
          <w:p w14:paraId="03196520">
            <w:pPr>
              <w:widowControl/>
              <w:spacing w:line="240" w:lineRule="auto"/>
              <w:ind w:left="-72" w:leftChars="-30" w:right="-72" w:rightChars="-30" w:firstLine="0" w:firstLineChars="0"/>
              <w:jc w:val="center"/>
              <w:rPr>
                <w:rFonts w:ascii="Times New Roman" w:hAnsi="Times New Roman" w:eastAsia="宋体" w:cs="Times New Roman"/>
                <w:color w:val="auto"/>
                <w:sz w:val="21"/>
                <w:szCs w:val="21"/>
                <w:highlight w:val="none"/>
                <w:lang w:val="en-US" w:eastAsia="zh-CN" w:bidi="ar-SA"/>
              </w:rPr>
            </w:pPr>
            <w:r>
              <w:rPr>
                <w:color w:val="auto"/>
                <w:sz w:val="21"/>
                <w:szCs w:val="21"/>
                <w:highlight w:val="none"/>
              </w:rPr>
              <w:t>8</w:t>
            </w:r>
          </w:p>
        </w:tc>
        <w:tc>
          <w:tcPr>
            <w:tcW w:w="678" w:type="pct"/>
            <w:tcBorders>
              <w:tl2br w:val="nil"/>
              <w:tr2bl w:val="nil"/>
            </w:tcBorders>
            <w:vAlign w:val="center"/>
          </w:tcPr>
          <w:p w14:paraId="0049349A">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压缩空气</w:t>
            </w:r>
          </w:p>
        </w:tc>
        <w:tc>
          <w:tcPr>
            <w:tcW w:w="584" w:type="pct"/>
            <w:tcBorders>
              <w:tl2br w:val="nil"/>
              <w:tr2bl w:val="nil"/>
            </w:tcBorders>
            <w:vAlign w:val="center"/>
          </w:tcPr>
          <w:p w14:paraId="13739F5D">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7瓶/天</w:t>
            </w:r>
          </w:p>
        </w:tc>
        <w:tc>
          <w:tcPr>
            <w:tcW w:w="752" w:type="pct"/>
            <w:tcBorders>
              <w:tl2br w:val="nil"/>
              <w:tr2bl w:val="nil"/>
            </w:tcBorders>
            <w:vAlign w:val="center"/>
          </w:tcPr>
          <w:p w14:paraId="55B56BB9">
            <w:pPr>
              <w:widowControl/>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1188" w:type="pct"/>
            <w:tcBorders>
              <w:tl2br w:val="nil"/>
              <w:tr2bl w:val="nil"/>
            </w:tcBorders>
            <w:vAlign w:val="center"/>
          </w:tcPr>
          <w:p w14:paraId="2BF289F3">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流量180m</w:t>
            </w:r>
            <w:r>
              <w:rPr>
                <w:color w:val="auto"/>
                <w:sz w:val="21"/>
                <w:szCs w:val="21"/>
                <w:highlight w:val="none"/>
                <w:vertAlign w:val="superscript"/>
              </w:rPr>
              <w:t>3</w:t>
            </w:r>
            <w:r>
              <w:rPr>
                <w:color w:val="auto"/>
                <w:sz w:val="21"/>
                <w:szCs w:val="21"/>
                <w:highlight w:val="none"/>
              </w:rPr>
              <w:t>/min</w:t>
            </w:r>
          </w:p>
        </w:tc>
        <w:tc>
          <w:tcPr>
            <w:tcW w:w="1441" w:type="pct"/>
            <w:tcBorders>
              <w:tl2br w:val="nil"/>
              <w:tr2bl w:val="nil"/>
            </w:tcBorders>
            <w:vAlign w:val="center"/>
          </w:tcPr>
          <w:p w14:paraId="12A2FEC8">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喷油螺杆式压缩机3台</w:t>
            </w:r>
          </w:p>
        </w:tc>
      </w:tr>
      <w:tr w14:paraId="619EF0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 w:type="pct"/>
            <w:tcBorders>
              <w:tl2br w:val="nil"/>
              <w:tr2bl w:val="nil"/>
            </w:tcBorders>
            <w:shd w:val="clear" w:color="auto" w:fill="auto"/>
            <w:vAlign w:val="center"/>
          </w:tcPr>
          <w:p w14:paraId="46FEC684">
            <w:pPr>
              <w:widowControl/>
              <w:spacing w:line="240" w:lineRule="auto"/>
              <w:ind w:left="-72" w:leftChars="-30" w:right="-72" w:rightChars="-30" w:firstLine="0" w:firstLineChars="0"/>
              <w:jc w:val="center"/>
              <w:rPr>
                <w:rFonts w:ascii="Times New Roman" w:hAnsi="Times New Roman" w:eastAsia="宋体" w:cs="Times New Roman"/>
                <w:color w:val="auto"/>
                <w:sz w:val="21"/>
                <w:szCs w:val="21"/>
                <w:highlight w:val="none"/>
                <w:lang w:val="en-US" w:eastAsia="zh-CN" w:bidi="ar-SA"/>
              </w:rPr>
            </w:pPr>
            <w:r>
              <w:rPr>
                <w:color w:val="auto"/>
                <w:sz w:val="21"/>
                <w:szCs w:val="21"/>
                <w:highlight w:val="none"/>
              </w:rPr>
              <w:t>9</w:t>
            </w:r>
          </w:p>
        </w:tc>
        <w:tc>
          <w:tcPr>
            <w:tcW w:w="678" w:type="pct"/>
            <w:tcBorders>
              <w:tl2br w:val="nil"/>
              <w:tr2bl w:val="nil"/>
            </w:tcBorders>
            <w:vAlign w:val="center"/>
          </w:tcPr>
          <w:p w14:paraId="37129D35">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氧气</w:t>
            </w:r>
          </w:p>
        </w:tc>
        <w:tc>
          <w:tcPr>
            <w:tcW w:w="584" w:type="pct"/>
            <w:tcBorders>
              <w:tl2br w:val="nil"/>
              <w:tr2bl w:val="nil"/>
            </w:tcBorders>
            <w:vAlign w:val="center"/>
          </w:tcPr>
          <w:p w14:paraId="6025B944">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30瓶/天</w:t>
            </w:r>
          </w:p>
        </w:tc>
        <w:tc>
          <w:tcPr>
            <w:tcW w:w="752" w:type="pct"/>
            <w:tcBorders>
              <w:tl2br w:val="nil"/>
              <w:tr2bl w:val="nil"/>
            </w:tcBorders>
            <w:vAlign w:val="center"/>
          </w:tcPr>
          <w:p w14:paraId="22415CB1">
            <w:pPr>
              <w:widowControl/>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1188" w:type="pct"/>
            <w:tcBorders>
              <w:tl2br w:val="nil"/>
              <w:tr2bl w:val="nil"/>
            </w:tcBorders>
            <w:vAlign w:val="center"/>
          </w:tcPr>
          <w:p w14:paraId="408DB6DC">
            <w:pPr>
              <w:widowControl/>
              <w:spacing w:line="240" w:lineRule="auto"/>
              <w:ind w:left="-72" w:leftChars="-30" w:right="-72" w:rightChars="-30" w:firstLine="0" w:firstLineChars="0"/>
              <w:jc w:val="center"/>
              <w:rPr>
                <w:color w:val="auto"/>
                <w:sz w:val="21"/>
                <w:szCs w:val="21"/>
                <w:highlight w:val="none"/>
              </w:rPr>
            </w:pPr>
          </w:p>
        </w:tc>
        <w:tc>
          <w:tcPr>
            <w:tcW w:w="1441" w:type="pct"/>
            <w:vMerge w:val="restart"/>
            <w:tcBorders>
              <w:tl2br w:val="nil"/>
              <w:tr2bl w:val="nil"/>
            </w:tcBorders>
            <w:vAlign w:val="center"/>
          </w:tcPr>
          <w:p w14:paraId="17ACF77B">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气瓶由广西科华气体有限公司回收</w:t>
            </w:r>
          </w:p>
        </w:tc>
      </w:tr>
      <w:tr w14:paraId="07DE2B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 w:type="pct"/>
            <w:tcBorders>
              <w:tl2br w:val="nil"/>
              <w:tr2bl w:val="nil"/>
            </w:tcBorders>
            <w:shd w:val="clear" w:color="auto" w:fill="auto"/>
            <w:vAlign w:val="center"/>
          </w:tcPr>
          <w:p w14:paraId="29715EB8">
            <w:pPr>
              <w:widowControl/>
              <w:spacing w:line="240" w:lineRule="auto"/>
              <w:ind w:left="-72" w:leftChars="-30" w:right="-72" w:rightChars="-30" w:firstLine="0" w:firstLineChars="0"/>
              <w:jc w:val="center"/>
              <w:rPr>
                <w:rFonts w:ascii="Times New Roman" w:hAnsi="Times New Roman" w:eastAsia="宋体" w:cs="Times New Roman"/>
                <w:color w:val="auto"/>
                <w:sz w:val="21"/>
                <w:szCs w:val="21"/>
                <w:highlight w:val="none"/>
                <w:lang w:val="en-US" w:eastAsia="zh-CN" w:bidi="ar-SA"/>
              </w:rPr>
            </w:pPr>
            <w:r>
              <w:rPr>
                <w:color w:val="auto"/>
                <w:sz w:val="21"/>
                <w:szCs w:val="21"/>
                <w:highlight w:val="none"/>
              </w:rPr>
              <w:t>10</w:t>
            </w:r>
          </w:p>
        </w:tc>
        <w:tc>
          <w:tcPr>
            <w:tcW w:w="678" w:type="pct"/>
            <w:tcBorders>
              <w:tl2br w:val="nil"/>
              <w:tr2bl w:val="nil"/>
            </w:tcBorders>
            <w:vAlign w:val="center"/>
          </w:tcPr>
          <w:p w14:paraId="7D4B874A">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二氧化碳</w:t>
            </w:r>
          </w:p>
        </w:tc>
        <w:tc>
          <w:tcPr>
            <w:tcW w:w="584" w:type="pct"/>
            <w:tcBorders>
              <w:tl2br w:val="nil"/>
              <w:tr2bl w:val="nil"/>
            </w:tcBorders>
            <w:vAlign w:val="center"/>
          </w:tcPr>
          <w:p w14:paraId="559228E7">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30瓶/天</w:t>
            </w:r>
          </w:p>
        </w:tc>
        <w:tc>
          <w:tcPr>
            <w:tcW w:w="752" w:type="pct"/>
            <w:tcBorders>
              <w:tl2br w:val="nil"/>
              <w:tr2bl w:val="nil"/>
            </w:tcBorders>
            <w:vAlign w:val="center"/>
          </w:tcPr>
          <w:p w14:paraId="63380C0B">
            <w:pPr>
              <w:widowControl/>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w:t>
            </w:r>
          </w:p>
        </w:tc>
        <w:tc>
          <w:tcPr>
            <w:tcW w:w="1188" w:type="pct"/>
            <w:tcBorders>
              <w:tl2br w:val="nil"/>
              <w:tr2bl w:val="nil"/>
            </w:tcBorders>
            <w:vAlign w:val="center"/>
          </w:tcPr>
          <w:p w14:paraId="7832F1F0">
            <w:pPr>
              <w:widowControl/>
              <w:spacing w:line="240" w:lineRule="auto"/>
              <w:ind w:left="-72" w:leftChars="-30" w:right="-72" w:rightChars="-30" w:firstLine="0" w:firstLineChars="0"/>
              <w:jc w:val="center"/>
              <w:rPr>
                <w:color w:val="auto"/>
                <w:sz w:val="21"/>
                <w:szCs w:val="21"/>
                <w:highlight w:val="none"/>
              </w:rPr>
            </w:pPr>
          </w:p>
        </w:tc>
        <w:tc>
          <w:tcPr>
            <w:tcW w:w="1441" w:type="pct"/>
            <w:vMerge w:val="continue"/>
            <w:tcBorders>
              <w:tl2br w:val="nil"/>
              <w:tr2bl w:val="nil"/>
            </w:tcBorders>
            <w:vAlign w:val="center"/>
          </w:tcPr>
          <w:p w14:paraId="55786C43">
            <w:pPr>
              <w:widowControl/>
              <w:spacing w:line="240" w:lineRule="auto"/>
              <w:ind w:left="-72" w:leftChars="-30" w:right="-72" w:rightChars="-30" w:firstLine="0" w:firstLineChars="0"/>
              <w:jc w:val="center"/>
              <w:rPr>
                <w:color w:val="auto"/>
                <w:sz w:val="21"/>
                <w:szCs w:val="21"/>
                <w:highlight w:val="none"/>
              </w:rPr>
            </w:pPr>
          </w:p>
        </w:tc>
      </w:tr>
      <w:tr w14:paraId="2E25E0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 w:type="pct"/>
            <w:tcBorders>
              <w:tl2br w:val="nil"/>
              <w:tr2bl w:val="nil"/>
            </w:tcBorders>
            <w:shd w:val="clear" w:color="auto" w:fill="auto"/>
            <w:vAlign w:val="center"/>
          </w:tcPr>
          <w:p w14:paraId="71400277">
            <w:pPr>
              <w:widowControl/>
              <w:spacing w:line="240" w:lineRule="auto"/>
              <w:ind w:left="-72" w:leftChars="-30" w:right="-72" w:rightChars="-30" w:firstLine="0" w:firstLineChars="0"/>
              <w:jc w:val="center"/>
              <w:rPr>
                <w:rFonts w:ascii="Times New Roman" w:hAnsi="Times New Roman" w:eastAsia="宋体" w:cs="Times New Roman"/>
                <w:color w:val="auto"/>
                <w:sz w:val="21"/>
                <w:szCs w:val="21"/>
                <w:highlight w:val="none"/>
                <w:lang w:val="en-US" w:eastAsia="zh-CN" w:bidi="ar-SA"/>
              </w:rPr>
            </w:pPr>
            <w:r>
              <w:rPr>
                <w:color w:val="auto"/>
                <w:sz w:val="21"/>
                <w:szCs w:val="21"/>
                <w:highlight w:val="none"/>
              </w:rPr>
              <w:t>11</w:t>
            </w:r>
          </w:p>
        </w:tc>
        <w:tc>
          <w:tcPr>
            <w:tcW w:w="678" w:type="pct"/>
            <w:tcBorders>
              <w:tl2br w:val="nil"/>
              <w:tr2bl w:val="nil"/>
            </w:tcBorders>
            <w:vAlign w:val="center"/>
          </w:tcPr>
          <w:p w14:paraId="3FAB7A27">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天然气</w:t>
            </w:r>
          </w:p>
        </w:tc>
        <w:tc>
          <w:tcPr>
            <w:tcW w:w="584" w:type="pct"/>
            <w:tcBorders>
              <w:tl2br w:val="nil"/>
              <w:tr2bl w:val="nil"/>
            </w:tcBorders>
            <w:vAlign w:val="center"/>
          </w:tcPr>
          <w:p w14:paraId="307A0BCD">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30瓶/天</w:t>
            </w:r>
          </w:p>
        </w:tc>
        <w:tc>
          <w:tcPr>
            <w:tcW w:w="752" w:type="pct"/>
            <w:tcBorders>
              <w:tl2br w:val="nil"/>
              <w:tr2bl w:val="nil"/>
            </w:tcBorders>
            <w:vAlign w:val="center"/>
          </w:tcPr>
          <w:p w14:paraId="552384F3">
            <w:pPr>
              <w:widowControl/>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w:t>
            </w:r>
          </w:p>
        </w:tc>
        <w:tc>
          <w:tcPr>
            <w:tcW w:w="1188" w:type="pct"/>
            <w:tcBorders>
              <w:tl2br w:val="nil"/>
              <w:tr2bl w:val="nil"/>
            </w:tcBorders>
            <w:vAlign w:val="center"/>
          </w:tcPr>
          <w:p w14:paraId="4EB03113">
            <w:pPr>
              <w:widowControl/>
              <w:spacing w:line="240" w:lineRule="auto"/>
              <w:ind w:left="-72" w:leftChars="-30" w:right="-72" w:rightChars="-30" w:firstLine="0" w:firstLineChars="0"/>
              <w:jc w:val="center"/>
              <w:rPr>
                <w:color w:val="auto"/>
                <w:sz w:val="21"/>
                <w:szCs w:val="21"/>
                <w:highlight w:val="none"/>
              </w:rPr>
            </w:pPr>
          </w:p>
        </w:tc>
        <w:tc>
          <w:tcPr>
            <w:tcW w:w="1441" w:type="pct"/>
            <w:vMerge w:val="continue"/>
            <w:tcBorders>
              <w:tl2br w:val="nil"/>
              <w:tr2bl w:val="nil"/>
            </w:tcBorders>
            <w:vAlign w:val="center"/>
          </w:tcPr>
          <w:p w14:paraId="585774BA">
            <w:pPr>
              <w:spacing w:line="240" w:lineRule="auto"/>
              <w:ind w:left="-72" w:leftChars="-30" w:right="-72" w:rightChars="-30" w:firstLine="0" w:firstLineChars="0"/>
              <w:jc w:val="center"/>
              <w:rPr>
                <w:color w:val="auto"/>
                <w:sz w:val="21"/>
                <w:szCs w:val="21"/>
                <w:highlight w:val="none"/>
              </w:rPr>
            </w:pPr>
          </w:p>
        </w:tc>
      </w:tr>
      <w:tr w14:paraId="45314E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 w:type="pct"/>
            <w:tcBorders>
              <w:tl2br w:val="nil"/>
              <w:tr2bl w:val="nil"/>
            </w:tcBorders>
            <w:shd w:val="clear" w:color="auto" w:fill="auto"/>
            <w:vAlign w:val="center"/>
          </w:tcPr>
          <w:p w14:paraId="7E2A511F">
            <w:pPr>
              <w:widowControl/>
              <w:spacing w:line="240" w:lineRule="auto"/>
              <w:ind w:left="-72" w:leftChars="-30" w:right="-72" w:rightChars="-30" w:firstLine="0" w:firstLineChars="0"/>
              <w:jc w:val="center"/>
              <w:rPr>
                <w:rFonts w:ascii="Times New Roman" w:hAnsi="Times New Roman" w:eastAsia="宋体" w:cs="Times New Roman"/>
                <w:color w:val="auto"/>
                <w:sz w:val="21"/>
                <w:szCs w:val="21"/>
                <w:highlight w:val="none"/>
                <w:lang w:val="en-US" w:eastAsia="zh-CN" w:bidi="ar-SA"/>
              </w:rPr>
            </w:pPr>
            <w:r>
              <w:rPr>
                <w:color w:val="auto"/>
                <w:sz w:val="21"/>
                <w:szCs w:val="21"/>
                <w:highlight w:val="none"/>
              </w:rPr>
              <w:t>12</w:t>
            </w:r>
          </w:p>
        </w:tc>
        <w:tc>
          <w:tcPr>
            <w:tcW w:w="678" w:type="pct"/>
            <w:tcBorders>
              <w:tl2br w:val="nil"/>
              <w:tr2bl w:val="nil"/>
            </w:tcBorders>
            <w:vAlign w:val="center"/>
          </w:tcPr>
          <w:p w14:paraId="38771C81">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氮气</w:t>
            </w:r>
          </w:p>
        </w:tc>
        <w:tc>
          <w:tcPr>
            <w:tcW w:w="584" w:type="pct"/>
            <w:tcBorders>
              <w:tl2br w:val="nil"/>
              <w:tr2bl w:val="nil"/>
            </w:tcBorders>
            <w:vAlign w:val="center"/>
          </w:tcPr>
          <w:p w14:paraId="4C8D5FA6">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1瓶/天</w:t>
            </w:r>
          </w:p>
        </w:tc>
        <w:tc>
          <w:tcPr>
            <w:tcW w:w="752" w:type="pct"/>
            <w:tcBorders>
              <w:tl2br w:val="nil"/>
              <w:tr2bl w:val="nil"/>
            </w:tcBorders>
            <w:vAlign w:val="center"/>
          </w:tcPr>
          <w:p w14:paraId="669B3486">
            <w:pPr>
              <w:widowControl/>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w:t>
            </w:r>
          </w:p>
        </w:tc>
        <w:tc>
          <w:tcPr>
            <w:tcW w:w="1188" w:type="pct"/>
            <w:tcBorders>
              <w:tl2br w:val="nil"/>
              <w:tr2bl w:val="nil"/>
            </w:tcBorders>
            <w:vAlign w:val="center"/>
          </w:tcPr>
          <w:p w14:paraId="6B3AF4FC">
            <w:pPr>
              <w:widowControl/>
              <w:spacing w:line="240" w:lineRule="auto"/>
              <w:ind w:left="-72" w:leftChars="-30" w:right="-72" w:rightChars="-30" w:firstLine="0" w:firstLineChars="0"/>
              <w:jc w:val="center"/>
              <w:rPr>
                <w:color w:val="auto"/>
                <w:sz w:val="21"/>
                <w:szCs w:val="21"/>
                <w:highlight w:val="none"/>
              </w:rPr>
            </w:pPr>
          </w:p>
        </w:tc>
        <w:tc>
          <w:tcPr>
            <w:tcW w:w="1441" w:type="pct"/>
            <w:vMerge w:val="continue"/>
            <w:tcBorders>
              <w:tl2br w:val="nil"/>
              <w:tr2bl w:val="nil"/>
            </w:tcBorders>
            <w:vAlign w:val="center"/>
          </w:tcPr>
          <w:p w14:paraId="4FD54E7F">
            <w:pPr>
              <w:spacing w:line="240" w:lineRule="auto"/>
              <w:ind w:left="-72" w:leftChars="-30" w:right="-72" w:rightChars="-30" w:firstLine="0" w:firstLineChars="0"/>
              <w:jc w:val="center"/>
              <w:rPr>
                <w:color w:val="auto"/>
                <w:sz w:val="21"/>
                <w:szCs w:val="21"/>
                <w:highlight w:val="none"/>
              </w:rPr>
            </w:pPr>
          </w:p>
        </w:tc>
      </w:tr>
      <w:tr w14:paraId="085FE7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 w:type="pct"/>
            <w:tcBorders>
              <w:tl2br w:val="nil"/>
              <w:tr2bl w:val="nil"/>
            </w:tcBorders>
            <w:vAlign w:val="center"/>
          </w:tcPr>
          <w:p w14:paraId="0F901D37">
            <w:pPr>
              <w:widowControl/>
              <w:spacing w:line="240" w:lineRule="auto"/>
              <w:ind w:left="-72" w:leftChars="-30" w:right="-72" w:rightChars="-30" w:firstLine="0"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13</w:t>
            </w:r>
          </w:p>
        </w:tc>
        <w:tc>
          <w:tcPr>
            <w:tcW w:w="678" w:type="pct"/>
            <w:tcBorders>
              <w:tl2br w:val="nil"/>
              <w:tr2bl w:val="nil"/>
            </w:tcBorders>
            <w:vAlign w:val="center"/>
          </w:tcPr>
          <w:p w14:paraId="26BD81CD">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氩气</w:t>
            </w:r>
          </w:p>
        </w:tc>
        <w:tc>
          <w:tcPr>
            <w:tcW w:w="584" w:type="pct"/>
            <w:tcBorders>
              <w:tl2br w:val="nil"/>
              <w:tr2bl w:val="nil"/>
            </w:tcBorders>
            <w:vAlign w:val="center"/>
          </w:tcPr>
          <w:p w14:paraId="4F295F80">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1瓶/天</w:t>
            </w:r>
          </w:p>
        </w:tc>
        <w:tc>
          <w:tcPr>
            <w:tcW w:w="752" w:type="pct"/>
            <w:tcBorders>
              <w:tl2br w:val="nil"/>
              <w:tr2bl w:val="nil"/>
            </w:tcBorders>
            <w:vAlign w:val="center"/>
          </w:tcPr>
          <w:p w14:paraId="01419D07">
            <w:pPr>
              <w:widowControl/>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w:t>
            </w:r>
          </w:p>
        </w:tc>
        <w:tc>
          <w:tcPr>
            <w:tcW w:w="1188" w:type="pct"/>
            <w:tcBorders>
              <w:tl2br w:val="nil"/>
              <w:tr2bl w:val="nil"/>
            </w:tcBorders>
            <w:vAlign w:val="center"/>
          </w:tcPr>
          <w:p w14:paraId="4D31BBC2">
            <w:pPr>
              <w:widowControl/>
              <w:spacing w:line="240" w:lineRule="auto"/>
              <w:ind w:left="-72" w:leftChars="-30" w:right="-72" w:rightChars="-30" w:firstLine="0" w:firstLineChars="0"/>
              <w:jc w:val="center"/>
              <w:rPr>
                <w:color w:val="auto"/>
                <w:sz w:val="21"/>
                <w:szCs w:val="21"/>
                <w:highlight w:val="none"/>
              </w:rPr>
            </w:pPr>
          </w:p>
        </w:tc>
        <w:tc>
          <w:tcPr>
            <w:tcW w:w="1441" w:type="pct"/>
            <w:vMerge w:val="continue"/>
            <w:tcBorders>
              <w:tl2br w:val="nil"/>
              <w:tr2bl w:val="nil"/>
            </w:tcBorders>
            <w:vAlign w:val="center"/>
          </w:tcPr>
          <w:p w14:paraId="07FCCD62">
            <w:pPr>
              <w:spacing w:line="240" w:lineRule="auto"/>
              <w:ind w:left="-72" w:leftChars="-30" w:right="-72" w:rightChars="-30" w:firstLine="0" w:firstLineChars="0"/>
              <w:jc w:val="center"/>
              <w:rPr>
                <w:color w:val="auto"/>
                <w:sz w:val="21"/>
                <w:szCs w:val="21"/>
                <w:highlight w:val="none"/>
              </w:rPr>
            </w:pPr>
          </w:p>
        </w:tc>
      </w:tr>
      <w:tr w14:paraId="04256D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 w:type="pct"/>
            <w:tcBorders>
              <w:tl2br w:val="nil"/>
              <w:tr2bl w:val="nil"/>
            </w:tcBorders>
            <w:vAlign w:val="center"/>
          </w:tcPr>
          <w:p w14:paraId="62456905">
            <w:pPr>
              <w:widowControl/>
              <w:spacing w:line="240" w:lineRule="auto"/>
              <w:ind w:left="-72" w:leftChars="-30" w:right="-72" w:rightChars="-30" w:firstLine="0"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14</w:t>
            </w:r>
          </w:p>
        </w:tc>
        <w:tc>
          <w:tcPr>
            <w:tcW w:w="678" w:type="pct"/>
            <w:tcBorders>
              <w:tl2br w:val="nil"/>
              <w:tr2bl w:val="nil"/>
            </w:tcBorders>
            <w:vAlign w:val="center"/>
          </w:tcPr>
          <w:p w14:paraId="1BDACFBE">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水</w:t>
            </w:r>
          </w:p>
        </w:tc>
        <w:tc>
          <w:tcPr>
            <w:tcW w:w="584" w:type="pct"/>
            <w:tcBorders>
              <w:tl2br w:val="nil"/>
              <w:tr2bl w:val="nil"/>
            </w:tcBorders>
            <w:vAlign w:val="center"/>
          </w:tcPr>
          <w:p w14:paraId="34606738">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13.2万吨</w:t>
            </w:r>
          </w:p>
        </w:tc>
        <w:tc>
          <w:tcPr>
            <w:tcW w:w="752" w:type="pct"/>
            <w:tcBorders>
              <w:tl2br w:val="nil"/>
              <w:tr2bl w:val="nil"/>
            </w:tcBorders>
            <w:vAlign w:val="center"/>
          </w:tcPr>
          <w:p w14:paraId="716495D9">
            <w:pPr>
              <w:widowControl/>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w:t>
            </w:r>
          </w:p>
        </w:tc>
        <w:tc>
          <w:tcPr>
            <w:tcW w:w="1188" w:type="pct"/>
            <w:tcBorders>
              <w:tl2br w:val="nil"/>
              <w:tr2bl w:val="nil"/>
            </w:tcBorders>
            <w:vAlign w:val="center"/>
          </w:tcPr>
          <w:p w14:paraId="3AD5A31D">
            <w:pPr>
              <w:widowControl/>
              <w:spacing w:line="240" w:lineRule="auto"/>
              <w:ind w:left="-72" w:leftChars="-30" w:right="-72" w:rightChars="-30" w:firstLine="0" w:firstLineChars="0"/>
              <w:jc w:val="center"/>
              <w:rPr>
                <w:color w:val="auto"/>
                <w:sz w:val="21"/>
                <w:szCs w:val="21"/>
                <w:highlight w:val="none"/>
              </w:rPr>
            </w:pPr>
          </w:p>
        </w:tc>
        <w:tc>
          <w:tcPr>
            <w:tcW w:w="1441" w:type="pct"/>
            <w:tcBorders>
              <w:tl2br w:val="nil"/>
              <w:tr2bl w:val="nil"/>
            </w:tcBorders>
            <w:vAlign w:val="center"/>
          </w:tcPr>
          <w:p w14:paraId="30DF5DFD">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淡水</w:t>
            </w:r>
          </w:p>
        </w:tc>
      </w:tr>
    </w:tbl>
    <w:p w14:paraId="5C316BC0">
      <w:pPr>
        <w:ind w:firstLine="480"/>
        <w:rPr>
          <w:color w:val="auto"/>
          <w:highlight w:val="none"/>
        </w:rPr>
      </w:pPr>
    </w:p>
    <w:p w14:paraId="63CECA6D">
      <w:pPr>
        <w:pStyle w:val="533"/>
        <w:numPr>
          <w:ilvl w:val="3"/>
          <w:numId w:val="9"/>
        </w:numPr>
        <w:rPr>
          <w:color w:val="auto"/>
          <w:szCs w:val="24"/>
          <w:highlight w:val="none"/>
        </w:rPr>
      </w:pPr>
      <w:r>
        <w:rPr>
          <w:color w:val="auto"/>
          <w:szCs w:val="24"/>
          <w:highlight w:val="none"/>
        </w:rPr>
        <w:t>物料平衡</w:t>
      </w:r>
    </w:p>
    <w:p w14:paraId="0F38A5BF">
      <w:pPr>
        <w:ind w:firstLine="480"/>
        <w:rPr>
          <w:color w:val="auto"/>
          <w:highlight w:val="none"/>
        </w:rPr>
      </w:pPr>
      <w:r>
        <w:rPr>
          <w:color w:val="auto"/>
          <w:highlight w:val="none"/>
        </w:rPr>
        <w:t>修造船工业排放的主要大气污染物是喷漆漆雾，有机废气</w:t>
      </w:r>
      <w:r>
        <w:rPr>
          <w:rFonts w:hint="eastAsia"/>
          <w:color w:val="auto"/>
          <w:highlight w:val="none"/>
        </w:rPr>
        <w:t>、</w:t>
      </w:r>
      <w:r>
        <w:rPr>
          <w:color w:val="auto"/>
          <w:highlight w:val="none"/>
        </w:rPr>
        <w:t>焊接</w:t>
      </w:r>
      <w:r>
        <w:rPr>
          <w:rFonts w:hint="eastAsia"/>
          <w:color w:val="auto"/>
          <w:highlight w:val="none"/>
        </w:rPr>
        <w:t>烟尘</w:t>
      </w:r>
      <w:r>
        <w:rPr>
          <w:color w:val="auto"/>
          <w:highlight w:val="none"/>
        </w:rPr>
        <w:t>和喷砂除锈粉尘等，污染物的排放和油漆消耗量及焊材消耗量关系密切。</w:t>
      </w:r>
    </w:p>
    <w:p w14:paraId="0B3B4451">
      <w:pPr>
        <w:ind w:firstLine="482"/>
        <w:rPr>
          <w:b/>
          <w:bCs/>
          <w:color w:val="auto"/>
          <w:highlight w:val="none"/>
        </w:rPr>
      </w:pPr>
      <w:r>
        <w:rPr>
          <w:b/>
          <w:bCs/>
          <w:color w:val="auto"/>
          <w:highlight w:val="none"/>
        </w:rPr>
        <w:t>（1）油漆平衡</w:t>
      </w:r>
    </w:p>
    <w:p w14:paraId="7BB8862D">
      <w:pPr>
        <w:ind w:firstLine="480"/>
        <w:rPr>
          <w:color w:val="auto"/>
          <w:szCs w:val="20"/>
          <w:highlight w:val="none"/>
        </w:rPr>
      </w:pPr>
      <w:r>
        <w:rPr>
          <w:rFonts w:hint="eastAsia"/>
          <w:color w:val="auto"/>
          <w:szCs w:val="20"/>
          <w:highlight w:val="none"/>
        </w:rPr>
        <w:t>修船过程中需要对船舶的钢板以及维修部位进行防腐防锈油漆作业，漆雾及有机废气正是油漆涂装时产生的，主要来自船体维修加工喷漆工序，修船过程所使用的油漆种类很多，船舶漆主要用于船底的防锈漆、防污漆，船舶水上部位（外壳）的干舷漆、甲板漆、上层建筑漆，修船过程所使用的油漆往往是与原船舶使用的种类相同的，一般由船东自行随带或指定，因此油漆的相关成分及含量难以进行统计，油漆的膜厚、理论使用量等详细情况也很难确定。</w:t>
      </w:r>
    </w:p>
    <w:p w14:paraId="710079BC">
      <w:pPr>
        <w:ind w:firstLine="480"/>
        <w:rPr>
          <w:color w:val="auto"/>
          <w:szCs w:val="20"/>
          <w:highlight w:val="none"/>
        </w:rPr>
      </w:pPr>
      <w:r>
        <w:rPr>
          <w:rFonts w:hint="eastAsia"/>
          <w:color w:val="auto"/>
          <w:szCs w:val="20"/>
          <w:highlight w:val="none"/>
        </w:rPr>
        <w:t>项目油漆作业采用高压无气喷涂和浸漆工艺，高压无气喷涂工艺是将涂料加压至一定的压力，通过一个特制的喷嘴将涂料喷出，形成雾状，用以涂覆各种厚度的底漆和面漆，因此采用高压无气喷涂工艺时油漆中稀释剂的添加量很少，一般情况下油漆中不添加稀释剂，只在油漆罐开启后使用较长时间、油漆因挥发而变得粘稠时才适当添加稀释剂，稀释剂的添加量约为3.5%。浸漆工艺适用于对涂膜厚度均匀要求不高及无机加工孔洞或方便进行表面掩蔽的涂件。如机架类产品、变压器铁芯等。浸漆是把工件全浸入油漆中后提出，淋去挂在工件上过量的油漆，在工件表面形成一层漆膜的工艺。浸漆工艺对涂料的利用率较高，达到80%以上。</w:t>
      </w:r>
    </w:p>
    <w:p w14:paraId="3A4B1835">
      <w:pPr>
        <w:ind w:firstLine="480"/>
        <w:rPr>
          <w:color w:val="auto"/>
          <w:szCs w:val="20"/>
          <w:highlight w:val="none"/>
        </w:rPr>
      </w:pPr>
      <w:r>
        <w:rPr>
          <w:rFonts w:hint="eastAsia"/>
          <w:color w:val="auto"/>
          <w:szCs w:val="20"/>
          <w:highlight w:val="none"/>
        </w:rPr>
        <w:t>根据项目实际情况，对船舶油漆内所含溶剂及所添加稀释剂成份、含量的调查，油漆中主要含有环氧树脂、二甲苯、丁醇等成分，油漆稀释剂中主要含有二甲苯及丁醇、丁酮等有机成分。项目主要采用的油漆情况见下表。</w:t>
      </w:r>
    </w:p>
    <w:p w14:paraId="1DA07400">
      <w:pPr>
        <w:pStyle w:val="38"/>
        <w:spacing w:after="0" w:line="240" w:lineRule="auto"/>
        <w:ind w:firstLine="0" w:firstLineChars="0"/>
        <w:jc w:val="center"/>
        <w:rPr>
          <w:b/>
          <w:color w:val="auto"/>
          <w:sz w:val="21"/>
          <w:szCs w:val="21"/>
          <w:highlight w:val="none"/>
        </w:rPr>
      </w:pPr>
      <w:r>
        <w:rPr>
          <w:b/>
          <w:color w:val="auto"/>
          <w:sz w:val="21"/>
          <w:szCs w:val="21"/>
          <w:highlight w:val="none"/>
        </w:rPr>
        <w:t>表2.1-5  项目油漆的主要成分</w:t>
      </w:r>
    </w:p>
    <w:tbl>
      <w:tblPr>
        <w:tblStyle w:val="9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78"/>
        <w:gridCol w:w="7508"/>
      </w:tblGrid>
      <w:tr w14:paraId="00D31D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1778" w:type="dxa"/>
            <w:tcBorders>
              <w:tl2br w:val="nil"/>
              <w:tr2bl w:val="nil"/>
            </w:tcBorders>
            <w:vAlign w:val="center"/>
          </w:tcPr>
          <w:p w14:paraId="2F8EE663">
            <w:pPr>
              <w:widowControl/>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油漆名称</w:t>
            </w:r>
          </w:p>
        </w:tc>
        <w:tc>
          <w:tcPr>
            <w:tcW w:w="7508" w:type="dxa"/>
            <w:tcBorders>
              <w:tl2br w:val="nil"/>
              <w:tr2bl w:val="nil"/>
            </w:tcBorders>
            <w:vAlign w:val="center"/>
          </w:tcPr>
          <w:p w14:paraId="18293B42">
            <w:pPr>
              <w:widowControl/>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油漆成分</w:t>
            </w:r>
          </w:p>
        </w:tc>
      </w:tr>
      <w:tr w14:paraId="014116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8" w:type="dxa"/>
            <w:tcBorders>
              <w:tl2br w:val="nil"/>
              <w:tr2bl w:val="nil"/>
            </w:tcBorders>
            <w:vAlign w:val="center"/>
          </w:tcPr>
          <w:p w14:paraId="3E2F1955">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无锡自抛光</w:t>
            </w:r>
            <w:r>
              <w:rPr>
                <w:rFonts w:hint="eastAsia"/>
                <w:color w:val="auto"/>
                <w:sz w:val="21"/>
                <w:szCs w:val="21"/>
                <w:highlight w:val="none"/>
                <w:lang w:eastAsia="zh-CN"/>
              </w:rPr>
              <w:t>防污</w:t>
            </w:r>
            <w:r>
              <w:rPr>
                <w:color w:val="auto"/>
                <w:sz w:val="21"/>
                <w:szCs w:val="21"/>
                <w:highlight w:val="none"/>
              </w:rPr>
              <w:t>漆</w:t>
            </w:r>
          </w:p>
        </w:tc>
        <w:tc>
          <w:tcPr>
            <w:tcW w:w="7508" w:type="dxa"/>
            <w:tcBorders>
              <w:tl2br w:val="nil"/>
              <w:tr2bl w:val="nil"/>
            </w:tcBorders>
            <w:vAlign w:val="center"/>
          </w:tcPr>
          <w:p w14:paraId="2FEBB9BB">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氧化亚铜</w:t>
            </w:r>
            <w:r>
              <w:rPr>
                <w:rFonts w:hint="eastAsia"/>
                <w:color w:val="auto"/>
                <w:sz w:val="21"/>
                <w:szCs w:val="21"/>
                <w:highlight w:val="none"/>
              </w:rPr>
              <w:t>25</w:t>
            </w:r>
            <w:r>
              <w:rPr>
                <w:color w:val="auto"/>
                <w:sz w:val="21"/>
                <w:szCs w:val="21"/>
                <w:highlight w:val="none"/>
              </w:rPr>
              <w:t>~</w:t>
            </w:r>
            <w:r>
              <w:rPr>
                <w:rFonts w:hint="eastAsia"/>
                <w:color w:val="auto"/>
                <w:sz w:val="21"/>
                <w:szCs w:val="21"/>
                <w:highlight w:val="none"/>
              </w:rPr>
              <w:t>34</w:t>
            </w:r>
            <w:r>
              <w:rPr>
                <w:color w:val="auto"/>
                <w:sz w:val="21"/>
                <w:szCs w:val="21"/>
                <w:highlight w:val="none"/>
              </w:rPr>
              <w:t>%、松香</w:t>
            </w:r>
            <w:r>
              <w:rPr>
                <w:rFonts w:hint="eastAsia"/>
                <w:color w:val="auto"/>
                <w:sz w:val="21"/>
                <w:szCs w:val="21"/>
                <w:highlight w:val="none"/>
              </w:rPr>
              <w:t>10</w:t>
            </w:r>
            <w:r>
              <w:rPr>
                <w:color w:val="auto"/>
                <w:sz w:val="21"/>
                <w:szCs w:val="21"/>
                <w:highlight w:val="none"/>
              </w:rPr>
              <w:t>~</w:t>
            </w:r>
            <w:r>
              <w:rPr>
                <w:rFonts w:hint="eastAsia"/>
                <w:color w:val="auto"/>
                <w:sz w:val="21"/>
                <w:szCs w:val="21"/>
                <w:highlight w:val="none"/>
              </w:rPr>
              <w:t>25</w:t>
            </w:r>
            <w:r>
              <w:rPr>
                <w:color w:val="auto"/>
                <w:sz w:val="21"/>
                <w:szCs w:val="21"/>
                <w:highlight w:val="none"/>
              </w:rPr>
              <w:t>%、二甲苯10~25%、氧化锌</w:t>
            </w:r>
            <w:r>
              <w:rPr>
                <w:rFonts w:hint="eastAsia"/>
                <w:color w:val="auto"/>
                <w:sz w:val="21"/>
                <w:szCs w:val="21"/>
                <w:highlight w:val="none"/>
              </w:rPr>
              <w:t>5</w:t>
            </w:r>
            <w:r>
              <w:rPr>
                <w:color w:val="auto"/>
                <w:sz w:val="21"/>
                <w:szCs w:val="21"/>
                <w:highlight w:val="none"/>
              </w:rPr>
              <w:t>~</w:t>
            </w:r>
            <w:r>
              <w:rPr>
                <w:rFonts w:hint="eastAsia"/>
                <w:color w:val="auto"/>
                <w:sz w:val="21"/>
                <w:szCs w:val="21"/>
                <w:highlight w:val="none"/>
              </w:rPr>
              <w:t>10</w:t>
            </w:r>
            <w:r>
              <w:rPr>
                <w:color w:val="auto"/>
                <w:sz w:val="21"/>
                <w:szCs w:val="21"/>
                <w:highlight w:val="none"/>
              </w:rPr>
              <w:t>%、芳香烃2.5~10%</w:t>
            </w:r>
          </w:p>
        </w:tc>
      </w:tr>
      <w:tr w14:paraId="74EBD4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8" w:type="dxa"/>
            <w:tcBorders>
              <w:tl2br w:val="nil"/>
              <w:tr2bl w:val="nil"/>
            </w:tcBorders>
            <w:vAlign w:val="center"/>
          </w:tcPr>
          <w:p w14:paraId="39145E1C">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含纤维无机富锌漆</w:t>
            </w:r>
          </w:p>
        </w:tc>
        <w:tc>
          <w:tcPr>
            <w:tcW w:w="7508" w:type="dxa"/>
            <w:tcBorders>
              <w:tl2br w:val="nil"/>
              <w:tr2bl w:val="nil"/>
            </w:tcBorders>
            <w:vAlign w:val="center"/>
          </w:tcPr>
          <w:p w14:paraId="5D6B3562">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1-甲氧基-2-丙醇</w:t>
            </w:r>
            <w:r>
              <w:rPr>
                <w:rFonts w:hint="eastAsia"/>
                <w:color w:val="auto"/>
                <w:sz w:val="21"/>
                <w:szCs w:val="21"/>
                <w:highlight w:val="none"/>
              </w:rPr>
              <w:t>10</w:t>
            </w:r>
            <w:r>
              <w:rPr>
                <w:color w:val="auto"/>
                <w:sz w:val="21"/>
                <w:szCs w:val="21"/>
                <w:highlight w:val="none"/>
              </w:rPr>
              <w:t>~</w:t>
            </w:r>
            <w:r>
              <w:rPr>
                <w:rFonts w:hint="eastAsia"/>
                <w:color w:val="auto"/>
                <w:sz w:val="21"/>
                <w:szCs w:val="21"/>
                <w:highlight w:val="none"/>
              </w:rPr>
              <w:t>25</w:t>
            </w:r>
            <w:r>
              <w:rPr>
                <w:color w:val="auto"/>
                <w:sz w:val="21"/>
                <w:szCs w:val="21"/>
                <w:highlight w:val="none"/>
              </w:rPr>
              <w:t>%、二甲苯</w:t>
            </w:r>
            <w:r>
              <w:rPr>
                <w:rFonts w:hint="eastAsia"/>
                <w:color w:val="auto"/>
                <w:sz w:val="21"/>
                <w:szCs w:val="21"/>
                <w:highlight w:val="none"/>
              </w:rPr>
              <w:t>10</w:t>
            </w:r>
            <w:r>
              <w:rPr>
                <w:color w:val="auto"/>
                <w:sz w:val="21"/>
                <w:szCs w:val="21"/>
                <w:highlight w:val="none"/>
              </w:rPr>
              <w:t>~</w:t>
            </w:r>
            <w:r>
              <w:rPr>
                <w:rFonts w:hint="eastAsia"/>
                <w:color w:val="auto"/>
                <w:sz w:val="21"/>
                <w:szCs w:val="21"/>
                <w:highlight w:val="none"/>
              </w:rPr>
              <w:t>25</w:t>
            </w:r>
            <w:r>
              <w:rPr>
                <w:color w:val="auto"/>
                <w:sz w:val="21"/>
                <w:szCs w:val="21"/>
                <w:highlight w:val="none"/>
              </w:rPr>
              <w:t>%</w:t>
            </w:r>
            <w:r>
              <w:rPr>
                <w:rFonts w:hint="eastAsia"/>
                <w:color w:val="auto"/>
                <w:sz w:val="21"/>
                <w:szCs w:val="21"/>
                <w:highlight w:val="none"/>
              </w:rPr>
              <w:t>、乙醇</w:t>
            </w:r>
            <w:r>
              <w:rPr>
                <w:color w:val="auto"/>
                <w:sz w:val="21"/>
                <w:szCs w:val="21"/>
                <w:highlight w:val="none"/>
              </w:rPr>
              <w:t>1</w:t>
            </w:r>
            <w:r>
              <w:rPr>
                <w:rFonts w:hint="eastAsia"/>
                <w:color w:val="auto"/>
                <w:sz w:val="21"/>
                <w:szCs w:val="21"/>
                <w:highlight w:val="none"/>
              </w:rPr>
              <w:t>0</w:t>
            </w:r>
            <w:r>
              <w:rPr>
                <w:color w:val="auto"/>
                <w:sz w:val="21"/>
                <w:szCs w:val="21"/>
                <w:highlight w:val="none"/>
              </w:rPr>
              <w:t>~</w:t>
            </w:r>
            <w:r>
              <w:rPr>
                <w:rFonts w:hint="eastAsia"/>
                <w:color w:val="auto"/>
                <w:sz w:val="21"/>
                <w:szCs w:val="21"/>
                <w:highlight w:val="none"/>
              </w:rPr>
              <w:t>25</w:t>
            </w:r>
            <w:r>
              <w:rPr>
                <w:color w:val="auto"/>
                <w:sz w:val="21"/>
                <w:szCs w:val="21"/>
                <w:highlight w:val="none"/>
              </w:rPr>
              <w:t>%、石脑油</w:t>
            </w:r>
            <w:r>
              <w:rPr>
                <w:rFonts w:hint="eastAsia"/>
                <w:color w:val="auto"/>
                <w:sz w:val="21"/>
                <w:szCs w:val="21"/>
                <w:highlight w:val="none"/>
              </w:rPr>
              <w:t>1</w:t>
            </w:r>
            <w:r>
              <w:rPr>
                <w:color w:val="auto"/>
                <w:sz w:val="21"/>
                <w:szCs w:val="21"/>
                <w:highlight w:val="none"/>
              </w:rPr>
              <w:t>~</w:t>
            </w:r>
            <w:r>
              <w:rPr>
                <w:rFonts w:hint="eastAsia"/>
                <w:color w:val="auto"/>
                <w:sz w:val="21"/>
                <w:szCs w:val="21"/>
                <w:highlight w:val="none"/>
              </w:rPr>
              <w:t>3</w:t>
            </w:r>
            <w:r>
              <w:rPr>
                <w:color w:val="auto"/>
                <w:sz w:val="21"/>
                <w:szCs w:val="21"/>
                <w:highlight w:val="none"/>
              </w:rPr>
              <w:t>%，氧化锌</w:t>
            </w:r>
            <w:r>
              <w:rPr>
                <w:rFonts w:hint="eastAsia"/>
                <w:color w:val="auto"/>
                <w:sz w:val="21"/>
                <w:szCs w:val="21"/>
                <w:highlight w:val="none"/>
              </w:rPr>
              <w:t>0~1</w:t>
            </w:r>
            <w:r>
              <w:rPr>
                <w:color w:val="auto"/>
                <w:sz w:val="21"/>
                <w:szCs w:val="21"/>
                <w:highlight w:val="none"/>
              </w:rPr>
              <w:t>%、甲苯0~</w:t>
            </w:r>
            <w:r>
              <w:rPr>
                <w:rFonts w:hint="eastAsia"/>
                <w:color w:val="auto"/>
                <w:sz w:val="21"/>
                <w:szCs w:val="21"/>
                <w:highlight w:val="none"/>
              </w:rPr>
              <w:t>0.3</w:t>
            </w:r>
            <w:r>
              <w:rPr>
                <w:color w:val="auto"/>
                <w:sz w:val="21"/>
                <w:szCs w:val="21"/>
                <w:highlight w:val="none"/>
              </w:rPr>
              <w:t>%</w:t>
            </w:r>
          </w:p>
        </w:tc>
      </w:tr>
      <w:tr w14:paraId="32BC02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8" w:type="dxa"/>
            <w:tcBorders>
              <w:tl2br w:val="nil"/>
              <w:tr2bl w:val="nil"/>
            </w:tcBorders>
            <w:vAlign w:val="center"/>
          </w:tcPr>
          <w:p w14:paraId="16407186">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丙烯酸面漆</w:t>
            </w:r>
          </w:p>
        </w:tc>
        <w:tc>
          <w:tcPr>
            <w:tcW w:w="7508" w:type="dxa"/>
            <w:tcBorders>
              <w:tl2br w:val="nil"/>
              <w:tr2bl w:val="nil"/>
            </w:tcBorders>
            <w:vAlign w:val="center"/>
          </w:tcPr>
          <w:p w14:paraId="414FF021">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石脑油 45~50%、二甲苯 5~10%、乙苯1~3%、黄色硫代铬酸铅 0.2~0.5%、甲基丙烯酸甲酯、甲基丙烯酸正丁酯 0.5~1%</w:t>
            </w:r>
          </w:p>
        </w:tc>
      </w:tr>
      <w:tr w14:paraId="4DCBC1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8" w:type="dxa"/>
            <w:tcBorders>
              <w:tl2br w:val="nil"/>
              <w:tr2bl w:val="nil"/>
            </w:tcBorders>
            <w:vAlign w:val="center"/>
          </w:tcPr>
          <w:p w14:paraId="71BE59EB">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聚氨酯面漆</w:t>
            </w:r>
          </w:p>
        </w:tc>
        <w:tc>
          <w:tcPr>
            <w:tcW w:w="7508" w:type="dxa"/>
            <w:tcBorders>
              <w:tl2br w:val="nil"/>
              <w:tr2bl w:val="nil"/>
            </w:tcBorders>
            <w:vAlign w:val="center"/>
          </w:tcPr>
          <w:p w14:paraId="2E8C6E61">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 xml:space="preserve">石脑油 </w:t>
            </w:r>
            <w:r>
              <w:rPr>
                <w:rFonts w:hint="eastAsia"/>
                <w:color w:val="auto"/>
                <w:sz w:val="21"/>
                <w:szCs w:val="21"/>
                <w:highlight w:val="none"/>
              </w:rPr>
              <w:t>10</w:t>
            </w:r>
            <w:r>
              <w:rPr>
                <w:color w:val="auto"/>
                <w:sz w:val="21"/>
                <w:szCs w:val="21"/>
                <w:highlight w:val="none"/>
              </w:rPr>
              <w:t>~</w:t>
            </w:r>
            <w:r>
              <w:rPr>
                <w:rFonts w:hint="eastAsia"/>
                <w:color w:val="auto"/>
                <w:sz w:val="21"/>
                <w:szCs w:val="21"/>
                <w:highlight w:val="none"/>
              </w:rPr>
              <w:t>2</w:t>
            </w:r>
            <w:r>
              <w:rPr>
                <w:color w:val="auto"/>
                <w:sz w:val="21"/>
                <w:szCs w:val="21"/>
                <w:highlight w:val="none"/>
              </w:rPr>
              <w:t>0%、二甲苯</w:t>
            </w:r>
            <w:r>
              <w:rPr>
                <w:rFonts w:hint="eastAsia"/>
                <w:color w:val="auto"/>
                <w:sz w:val="21"/>
                <w:szCs w:val="21"/>
                <w:highlight w:val="none"/>
              </w:rPr>
              <w:t>10-17</w:t>
            </w:r>
            <w:r>
              <w:rPr>
                <w:color w:val="auto"/>
                <w:sz w:val="21"/>
                <w:szCs w:val="21"/>
                <w:highlight w:val="none"/>
              </w:rPr>
              <w:t>%、乙苯1~3</w:t>
            </w:r>
            <w:r>
              <w:rPr>
                <w:rFonts w:hint="eastAsia"/>
                <w:color w:val="auto"/>
                <w:sz w:val="21"/>
                <w:szCs w:val="21"/>
                <w:highlight w:val="none"/>
              </w:rPr>
              <w:t>.8</w:t>
            </w:r>
            <w:r>
              <w:rPr>
                <w:color w:val="auto"/>
                <w:sz w:val="21"/>
                <w:szCs w:val="21"/>
                <w:highlight w:val="none"/>
              </w:rPr>
              <w:t>%、12-羟基硬脂酸与1,3-二甲胺苯和</w:t>
            </w:r>
          </w:p>
          <w:p w14:paraId="5C734931">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二胺的反应产物1~3%、双（1，2，2，6，6-五甲基-4-哌啶基）癸二酸酯0~</w:t>
            </w:r>
            <w:r>
              <w:rPr>
                <w:rFonts w:hint="eastAsia"/>
                <w:color w:val="auto"/>
                <w:sz w:val="21"/>
                <w:szCs w:val="21"/>
                <w:highlight w:val="none"/>
              </w:rPr>
              <w:t>0.3</w:t>
            </w:r>
            <w:r>
              <w:rPr>
                <w:color w:val="auto"/>
                <w:sz w:val="21"/>
                <w:szCs w:val="21"/>
                <w:highlight w:val="none"/>
              </w:rPr>
              <w:t>%、丙烯酸正丁酯0~</w:t>
            </w:r>
            <w:r>
              <w:rPr>
                <w:rFonts w:hint="eastAsia"/>
                <w:color w:val="auto"/>
                <w:sz w:val="21"/>
                <w:szCs w:val="21"/>
                <w:highlight w:val="none"/>
              </w:rPr>
              <w:t>0.3</w:t>
            </w:r>
            <w:r>
              <w:rPr>
                <w:color w:val="auto"/>
                <w:sz w:val="21"/>
                <w:szCs w:val="21"/>
                <w:highlight w:val="none"/>
              </w:rPr>
              <w:t>%、甲基丙烯酸酯0~</w:t>
            </w:r>
            <w:r>
              <w:rPr>
                <w:rFonts w:hint="eastAsia"/>
                <w:color w:val="auto"/>
                <w:sz w:val="21"/>
                <w:szCs w:val="21"/>
                <w:highlight w:val="none"/>
              </w:rPr>
              <w:t>0.3</w:t>
            </w:r>
            <w:r>
              <w:rPr>
                <w:color w:val="auto"/>
                <w:sz w:val="21"/>
                <w:szCs w:val="21"/>
                <w:highlight w:val="none"/>
              </w:rPr>
              <w:t>%、甲苯0~</w:t>
            </w:r>
            <w:r>
              <w:rPr>
                <w:rFonts w:hint="eastAsia"/>
                <w:color w:val="auto"/>
                <w:sz w:val="21"/>
                <w:szCs w:val="21"/>
                <w:highlight w:val="none"/>
              </w:rPr>
              <w:t>0.3</w:t>
            </w:r>
            <w:r>
              <w:rPr>
                <w:color w:val="auto"/>
                <w:sz w:val="21"/>
                <w:szCs w:val="21"/>
                <w:highlight w:val="none"/>
              </w:rPr>
              <w:t>%</w:t>
            </w:r>
          </w:p>
        </w:tc>
      </w:tr>
      <w:tr w14:paraId="12A4B9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8" w:type="dxa"/>
            <w:tcBorders>
              <w:tl2br w:val="nil"/>
              <w:tr2bl w:val="nil"/>
            </w:tcBorders>
            <w:vAlign w:val="center"/>
          </w:tcPr>
          <w:p w14:paraId="1CC590C2">
            <w:pPr>
              <w:widowControl/>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环氧过渡漆</w:t>
            </w:r>
          </w:p>
        </w:tc>
        <w:tc>
          <w:tcPr>
            <w:tcW w:w="7508" w:type="dxa"/>
            <w:tcBorders>
              <w:tl2br w:val="nil"/>
              <w:tr2bl w:val="nil"/>
            </w:tcBorders>
            <w:vAlign w:val="center"/>
          </w:tcPr>
          <w:p w14:paraId="624F2E01">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二甲苯</w:t>
            </w:r>
            <w:r>
              <w:rPr>
                <w:rFonts w:hint="eastAsia"/>
                <w:color w:val="auto"/>
                <w:sz w:val="21"/>
                <w:szCs w:val="21"/>
                <w:highlight w:val="none"/>
              </w:rPr>
              <w:t>10</w:t>
            </w:r>
            <w:r>
              <w:rPr>
                <w:color w:val="auto"/>
                <w:sz w:val="21"/>
                <w:szCs w:val="21"/>
                <w:highlight w:val="none"/>
              </w:rPr>
              <w:t>~</w:t>
            </w:r>
            <w:r>
              <w:rPr>
                <w:rFonts w:hint="eastAsia"/>
                <w:color w:val="auto"/>
                <w:sz w:val="21"/>
                <w:szCs w:val="21"/>
                <w:highlight w:val="none"/>
              </w:rPr>
              <w:t>25</w:t>
            </w:r>
            <w:r>
              <w:rPr>
                <w:color w:val="auto"/>
                <w:sz w:val="21"/>
                <w:szCs w:val="21"/>
                <w:highlight w:val="none"/>
              </w:rPr>
              <w:t>%</w:t>
            </w:r>
            <w:r>
              <w:rPr>
                <w:rFonts w:hint="eastAsia"/>
                <w:color w:val="auto"/>
                <w:sz w:val="21"/>
                <w:szCs w:val="21"/>
                <w:highlight w:val="none"/>
              </w:rPr>
              <w:t>、双酚A-（环氧氯丙烷）环氧树脂5</w:t>
            </w:r>
            <w:r>
              <w:rPr>
                <w:color w:val="auto"/>
                <w:sz w:val="21"/>
                <w:szCs w:val="21"/>
                <w:highlight w:val="none"/>
              </w:rPr>
              <w:t>~</w:t>
            </w:r>
            <w:r>
              <w:rPr>
                <w:rFonts w:hint="eastAsia"/>
                <w:color w:val="auto"/>
                <w:sz w:val="21"/>
                <w:szCs w:val="21"/>
                <w:highlight w:val="none"/>
              </w:rPr>
              <w:t>10</w:t>
            </w:r>
            <w:r>
              <w:rPr>
                <w:color w:val="auto"/>
                <w:sz w:val="21"/>
                <w:szCs w:val="21"/>
                <w:highlight w:val="none"/>
              </w:rPr>
              <w:t>%、乙苯</w:t>
            </w:r>
            <w:r>
              <w:rPr>
                <w:rFonts w:hint="eastAsia"/>
                <w:color w:val="auto"/>
                <w:sz w:val="21"/>
                <w:szCs w:val="21"/>
                <w:highlight w:val="none"/>
              </w:rPr>
              <w:t>3</w:t>
            </w:r>
            <w:r>
              <w:rPr>
                <w:color w:val="auto"/>
                <w:sz w:val="21"/>
                <w:szCs w:val="21"/>
                <w:highlight w:val="none"/>
              </w:rPr>
              <w:t>~</w:t>
            </w:r>
            <w:r>
              <w:rPr>
                <w:rFonts w:hint="eastAsia"/>
                <w:color w:val="auto"/>
                <w:sz w:val="21"/>
                <w:szCs w:val="21"/>
                <w:highlight w:val="none"/>
              </w:rPr>
              <w:t>5</w:t>
            </w:r>
            <w:r>
              <w:rPr>
                <w:color w:val="auto"/>
                <w:sz w:val="21"/>
                <w:szCs w:val="21"/>
                <w:highlight w:val="none"/>
              </w:rPr>
              <w:t>%、1-丁醇</w:t>
            </w:r>
            <w:r>
              <w:rPr>
                <w:rFonts w:hint="eastAsia"/>
                <w:color w:val="auto"/>
                <w:sz w:val="21"/>
                <w:szCs w:val="21"/>
                <w:highlight w:val="none"/>
              </w:rPr>
              <w:t>3</w:t>
            </w:r>
            <w:r>
              <w:rPr>
                <w:color w:val="auto"/>
                <w:sz w:val="21"/>
                <w:szCs w:val="21"/>
                <w:highlight w:val="none"/>
              </w:rPr>
              <w:t>~</w:t>
            </w:r>
            <w:r>
              <w:rPr>
                <w:rFonts w:hint="eastAsia"/>
                <w:color w:val="auto"/>
                <w:sz w:val="21"/>
                <w:szCs w:val="21"/>
                <w:highlight w:val="none"/>
              </w:rPr>
              <w:t>5</w:t>
            </w:r>
            <w:r>
              <w:rPr>
                <w:color w:val="auto"/>
                <w:sz w:val="21"/>
                <w:szCs w:val="21"/>
                <w:highlight w:val="none"/>
              </w:rPr>
              <w:t>%、甲苯0~</w:t>
            </w:r>
            <w:r>
              <w:rPr>
                <w:rFonts w:hint="eastAsia"/>
                <w:color w:val="auto"/>
                <w:sz w:val="21"/>
                <w:szCs w:val="21"/>
                <w:highlight w:val="none"/>
              </w:rPr>
              <w:t>0.3</w:t>
            </w:r>
            <w:r>
              <w:rPr>
                <w:color w:val="auto"/>
                <w:sz w:val="21"/>
                <w:szCs w:val="21"/>
                <w:highlight w:val="none"/>
              </w:rPr>
              <w:t>%、</w:t>
            </w:r>
          </w:p>
        </w:tc>
      </w:tr>
      <w:tr w14:paraId="1CE874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8" w:type="dxa"/>
            <w:tcBorders>
              <w:tl2br w:val="nil"/>
              <w:tr2bl w:val="nil"/>
            </w:tcBorders>
            <w:vAlign w:val="center"/>
          </w:tcPr>
          <w:p w14:paraId="5478B45B">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沥青船底防污漆</w:t>
            </w:r>
          </w:p>
        </w:tc>
        <w:tc>
          <w:tcPr>
            <w:tcW w:w="7508" w:type="dxa"/>
            <w:tcBorders>
              <w:tl2br w:val="nil"/>
              <w:tr2bl w:val="nil"/>
            </w:tcBorders>
            <w:vAlign w:val="center"/>
          </w:tcPr>
          <w:p w14:paraId="35ABDA74">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200#煤焦油溶剂10~15%、松香5~12%、沥青1~5%、氧化亚铜20~30%、滑石粉2~8%</w:t>
            </w:r>
          </w:p>
        </w:tc>
      </w:tr>
      <w:tr w14:paraId="7EDB1A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8" w:type="dxa"/>
            <w:tcBorders>
              <w:tl2br w:val="nil"/>
              <w:tr2bl w:val="nil"/>
            </w:tcBorders>
            <w:vAlign w:val="center"/>
          </w:tcPr>
          <w:p w14:paraId="1CC45CDD">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氯化橡胶水线漆</w:t>
            </w:r>
          </w:p>
        </w:tc>
        <w:tc>
          <w:tcPr>
            <w:tcW w:w="7508" w:type="dxa"/>
            <w:tcBorders>
              <w:tl2br w:val="nil"/>
              <w:tr2bl w:val="nil"/>
            </w:tcBorders>
            <w:vAlign w:val="center"/>
          </w:tcPr>
          <w:p w14:paraId="342B5EA8">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200#煤焦油溶剂5~15%、二甲苯2~20%、氯化橡胶液30~45%、氯化石蜡5~15%、钛白粉1~25%、硫酸钡15~35%</w:t>
            </w:r>
          </w:p>
        </w:tc>
      </w:tr>
      <w:tr w14:paraId="5D2C82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8" w:type="dxa"/>
            <w:tcBorders>
              <w:tl2br w:val="nil"/>
              <w:tr2bl w:val="nil"/>
            </w:tcBorders>
            <w:vAlign w:val="center"/>
          </w:tcPr>
          <w:p w14:paraId="369D97FB">
            <w:pPr>
              <w:widowControl/>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老人牌</w:t>
            </w:r>
            <w:r>
              <w:rPr>
                <w:color w:val="auto"/>
                <w:sz w:val="21"/>
                <w:szCs w:val="21"/>
                <w:highlight w:val="none"/>
              </w:rPr>
              <w:t>稀释剂</w:t>
            </w:r>
          </w:p>
        </w:tc>
        <w:tc>
          <w:tcPr>
            <w:tcW w:w="7508" w:type="dxa"/>
            <w:tcBorders>
              <w:tl2br w:val="nil"/>
              <w:tr2bl w:val="nil"/>
            </w:tcBorders>
            <w:vAlign w:val="center"/>
          </w:tcPr>
          <w:p w14:paraId="56DC516C">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二甲苯</w:t>
            </w:r>
            <w:r>
              <w:rPr>
                <w:rFonts w:hint="eastAsia"/>
                <w:color w:val="auto"/>
                <w:sz w:val="21"/>
                <w:szCs w:val="21"/>
                <w:highlight w:val="none"/>
              </w:rPr>
              <w:t>50</w:t>
            </w:r>
            <w:r>
              <w:rPr>
                <w:color w:val="auto"/>
                <w:sz w:val="21"/>
                <w:szCs w:val="21"/>
                <w:highlight w:val="none"/>
              </w:rPr>
              <w:t>~</w:t>
            </w:r>
            <w:r>
              <w:rPr>
                <w:rFonts w:hint="eastAsia"/>
                <w:color w:val="auto"/>
                <w:sz w:val="21"/>
                <w:szCs w:val="21"/>
                <w:highlight w:val="none"/>
              </w:rPr>
              <w:t>75</w:t>
            </w:r>
            <w:r>
              <w:rPr>
                <w:color w:val="auto"/>
                <w:sz w:val="21"/>
                <w:szCs w:val="21"/>
                <w:highlight w:val="none"/>
              </w:rPr>
              <w:t>%、1-丁醇</w:t>
            </w:r>
            <w:r>
              <w:rPr>
                <w:rFonts w:hint="eastAsia"/>
                <w:color w:val="auto"/>
                <w:sz w:val="21"/>
                <w:szCs w:val="21"/>
                <w:highlight w:val="none"/>
              </w:rPr>
              <w:t>20</w:t>
            </w:r>
            <w:r>
              <w:rPr>
                <w:color w:val="auto"/>
                <w:sz w:val="21"/>
                <w:szCs w:val="21"/>
                <w:highlight w:val="none"/>
              </w:rPr>
              <w:t>~</w:t>
            </w:r>
            <w:r>
              <w:rPr>
                <w:rFonts w:hint="eastAsia"/>
                <w:color w:val="auto"/>
                <w:sz w:val="21"/>
                <w:szCs w:val="21"/>
                <w:highlight w:val="none"/>
              </w:rPr>
              <w:t>25</w:t>
            </w:r>
            <w:r>
              <w:rPr>
                <w:color w:val="auto"/>
                <w:sz w:val="21"/>
                <w:szCs w:val="21"/>
                <w:highlight w:val="none"/>
              </w:rPr>
              <w:t>%、乙苯1</w:t>
            </w:r>
            <w:r>
              <w:rPr>
                <w:rFonts w:hint="eastAsia"/>
                <w:color w:val="auto"/>
                <w:sz w:val="21"/>
                <w:szCs w:val="21"/>
                <w:highlight w:val="none"/>
              </w:rPr>
              <w:t>0</w:t>
            </w:r>
            <w:r>
              <w:rPr>
                <w:color w:val="auto"/>
                <w:sz w:val="21"/>
                <w:szCs w:val="21"/>
                <w:highlight w:val="none"/>
              </w:rPr>
              <w:t>~</w:t>
            </w:r>
            <w:r>
              <w:rPr>
                <w:rFonts w:hint="eastAsia"/>
                <w:color w:val="auto"/>
                <w:sz w:val="21"/>
                <w:szCs w:val="21"/>
                <w:highlight w:val="none"/>
              </w:rPr>
              <w:t>25</w:t>
            </w:r>
            <w:r>
              <w:rPr>
                <w:color w:val="auto"/>
                <w:sz w:val="21"/>
                <w:szCs w:val="21"/>
                <w:highlight w:val="none"/>
              </w:rPr>
              <w:t xml:space="preserve">%、石脑油 </w:t>
            </w:r>
            <w:r>
              <w:rPr>
                <w:rFonts w:hint="eastAsia"/>
                <w:color w:val="auto"/>
                <w:sz w:val="21"/>
                <w:szCs w:val="21"/>
                <w:highlight w:val="none"/>
              </w:rPr>
              <w:t>3</w:t>
            </w:r>
            <w:r>
              <w:rPr>
                <w:color w:val="auto"/>
                <w:sz w:val="21"/>
                <w:szCs w:val="21"/>
                <w:highlight w:val="none"/>
              </w:rPr>
              <w:t>~</w:t>
            </w:r>
            <w:r>
              <w:rPr>
                <w:rFonts w:hint="eastAsia"/>
                <w:color w:val="auto"/>
                <w:sz w:val="21"/>
                <w:szCs w:val="21"/>
                <w:highlight w:val="none"/>
              </w:rPr>
              <w:t>5</w:t>
            </w:r>
            <w:r>
              <w:rPr>
                <w:color w:val="auto"/>
                <w:sz w:val="21"/>
                <w:szCs w:val="21"/>
                <w:highlight w:val="none"/>
              </w:rPr>
              <w:t>%、甲苯0~</w:t>
            </w:r>
            <w:r>
              <w:rPr>
                <w:rFonts w:hint="eastAsia"/>
                <w:color w:val="auto"/>
                <w:sz w:val="21"/>
                <w:szCs w:val="21"/>
                <w:highlight w:val="none"/>
              </w:rPr>
              <w:t>1</w:t>
            </w:r>
            <w:r>
              <w:rPr>
                <w:color w:val="auto"/>
                <w:sz w:val="21"/>
                <w:szCs w:val="21"/>
                <w:highlight w:val="none"/>
              </w:rPr>
              <w:t>%</w:t>
            </w:r>
            <w:r>
              <w:rPr>
                <w:rFonts w:hint="eastAsia"/>
                <w:color w:val="auto"/>
                <w:sz w:val="21"/>
                <w:szCs w:val="21"/>
                <w:highlight w:val="none"/>
              </w:rPr>
              <w:t>、1，2，4-三甲苯3</w:t>
            </w:r>
            <w:r>
              <w:rPr>
                <w:color w:val="auto"/>
                <w:sz w:val="21"/>
                <w:szCs w:val="21"/>
                <w:highlight w:val="none"/>
              </w:rPr>
              <w:t>~</w:t>
            </w:r>
            <w:r>
              <w:rPr>
                <w:rFonts w:hint="eastAsia"/>
                <w:color w:val="auto"/>
                <w:sz w:val="21"/>
                <w:szCs w:val="21"/>
                <w:highlight w:val="none"/>
              </w:rPr>
              <w:t>5</w:t>
            </w:r>
            <w:r>
              <w:rPr>
                <w:color w:val="auto"/>
                <w:sz w:val="21"/>
                <w:szCs w:val="21"/>
                <w:highlight w:val="none"/>
              </w:rPr>
              <w:t>%、</w:t>
            </w:r>
            <w:r>
              <w:rPr>
                <w:rFonts w:hint="eastAsia"/>
                <w:color w:val="auto"/>
                <w:sz w:val="21"/>
                <w:szCs w:val="21"/>
                <w:highlight w:val="none"/>
              </w:rPr>
              <w:t>1，2，3-三甲苯1</w:t>
            </w:r>
            <w:r>
              <w:rPr>
                <w:color w:val="auto"/>
                <w:sz w:val="21"/>
                <w:szCs w:val="21"/>
                <w:highlight w:val="none"/>
              </w:rPr>
              <w:t>~</w:t>
            </w:r>
            <w:r>
              <w:rPr>
                <w:rFonts w:hint="eastAsia"/>
                <w:color w:val="auto"/>
                <w:sz w:val="21"/>
                <w:szCs w:val="21"/>
                <w:highlight w:val="none"/>
              </w:rPr>
              <w:t>2.9</w:t>
            </w:r>
            <w:r>
              <w:rPr>
                <w:color w:val="auto"/>
                <w:sz w:val="21"/>
                <w:szCs w:val="21"/>
                <w:highlight w:val="none"/>
              </w:rPr>
              <w:t>%</w:t>
            </w:r>
          </w:p>
        </w:tc>
      </w:tr>
      <w:tr w14:paraId="4DECF4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8" w:type="dxa"/>
            <w:tcBorders>
              <w:tl2br w:val="nil"/>
              <w:tr2bl w:val="nil"/>
            </w:tcBorders>
            <w:vAlign w:val="center"/>
          </w:tcPr>
          <w:p w14:paraId="0FA61276">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聚氨酯稀释剂</w:t>
            </w:r>
          </w:p>
        </w:tc>
        <w:tc>
          <w:tcPr>
            <w:tcW w:w="7508" w:type="dxa"/>
            <w:tcBorders>
              <w:tl2br w:val="nil"/>
              <w:tr2bl w:val="nil"/>
            </w:tcBorders>
            <w:vAlign w:val="center"/>
          </w:tcPr>
          <w:p w14:paraId="711F0418">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甲基异丁基酮0~5%、甲苯0~10%、二甲苯20~50%、醋酸丁酯15~40%、醋酸乙酯0~15%、丙二醇甲醚醋酸酯0~40%</w:t>
            </w:r>
          </w:p>
        </w:tc>
      </w:tr>
    </w:tbl>
    <w:p w14:paraId="16723563">
      <w:pPr>
        <w:spacing w:line="240" w:lineRule="auto"/>
        <w:ind w:firstLine="422"/>
        <w:rPr>
          <w:b/>
          <w:bCs/>
          <w:color w:val="auto"/>
          <w:sz w:val="21"/>
          <w:szCs w:val="21"/>
          <w:highlight w:val="none"/>
        </w:rPr>
      </w:pPr>
      <w:r>
        <w:rPr>
          <w:rFonts w:hint="eastAsia"/>
          <w:b/>
          <w:bCs/>
          <w:color w:val="auto"/>
          <w:sz w:val="21"/>
          <w:szCs w:val="21"/>
          <w:highlight w:val="none"/>
        </w:rPr>
        <w:t>注：沥青船底防污漆、氯化橡胶水线漆、聚氨酯稀释剂成分主要来自项目验收报告；其他油漆及稀释剂成分见附件10 油漆及稀释剂成分分析报告。</w:t>
      </w:r>
    </w:p>
    <w:p w14:paraId="061BC468">
      <w:pPr>
        <w:ind w:firstLine="480"/>
        <w:rPr>
          <w:color w:val="auto"/>
          <w:szCs w:val="20"/>
          <w:highlight w:val="none"/>
        </w:rPr>
      </w:pPr>
      <w:r>
        <w:rPr>
          <w:rFonts w:hint="eastAsia"/>
          <w:color w:val="auto"/>
          <w:szCs w:val="20"/>
          <w:highlight w:val="none"/>
        </w:rPr>
        <w:t>项目油漆（含稀释剂）的使用总量为250t/a。其中船坞喷漆工序油漆和稀释剂年用量245.24t，年产生有机废气73.57t/a</w:t>
      </w:r>
      <w:r>
        <w:rPr>
          <w:color w:val="auto"/>
          <w:szCs w:val="20"/>
          <w:highlight w:val="none"/>
        </w:rPr>
        <w:t>（其中VOCs排放量为58.86t/a、二甲苯排放量为14.71t/a）</w:t>
      </w:r>
      <w:r>
        <w:rPr>
          <w:rFonts w:hint="eastAsia"/>
          <w:color w:val="auto"/>
          <w:szCs w:val="20"/>
          <w:highlight w:val="none"/>
        </w:rPr>
        <w:t>。项目采用高压无气喷涂，油漆的利用率高，上漆率可达85%，漆雾的产生量低于15%。项目漆雾产生量为25.75t/a。该漆雾80%掉落在船坞内，约20%随空气飘散，漆雾排放量为5.15t/a。</w:t>
      </w:r>
    </w:p>
    <w:p w14:paraId="724A8C04">
      <w:pPr>
        <w:ind w:firstLine="480"/>
        <w:rPr>
          <w:color w:val="auto"/>
          <w:szCs w:val="20"/>
          <w:highlight w:val="none"/>
        </w:rPr>
      </w:pPr>
      <w:r>
        <w:rPr>
          <w:rFonts w:hint="eastAsia"/>
          <w:color w:val="auto"/>
          <w:szCs w:val="20"/>
          <w:highlight w:val="none"/>
        </w:rPr>
        <w:t>浸漆工序油漆和稀释剂年用量约为4.76t，年产生有机废气1.42t/a，通过活性炭吸附后，有机废气排放量为0.07t/a</w:t>
      </w:r>
      <w:r>
        <w:rPr>
          <w:color w:val="auto"/>
          <w:szCs w:val="20"/>
          <w:highlight w:val="none"/>
        </w:rPr>
        <w:t>（其中VOCs排放量为</w:t>
      </w:r>
      <w:r>
        <w:rPr>
          <w:rFonts w:hint="eastAsia"/>
          <w:color w:val="auto"/>
          <w:szCs w:val="20"/>
          <w:highlight w:val="none"/>
        </w:rPr>
        <w:t>0.056</w:t>
      </w:r>
      <w:r>
        <w:rPr>
          <w:color w:val="auto"/>
          <w:szCs w:val="20"/>
          <w:highlight w:val="none"/>
        </w:rPr>
        <w:t>t/a、二甲苯排放量为</w:t>
      </w:r>
      <w:r>
        <w:rPr>
          <w:rFonts w:hint="eastAsia"/>
          <w:color w:val="auto"/>
          <w:szCs w:val="20"/>
          <w:highlight w:val="none"/>
        </w:rPr>
        <w:t>0.014</w:t>
      </w:r>
      <w:r>
        <w:rPr>
          <w:color w:val="auto"/>
          <w:szCs w:val="20"/>
          <w:highlight w:val="none"/>
        </w:rPr>
        <w:t>t/a）</w:t>
      </w:r>
      <w:r>
        <w:rPr>
          <w:rFonts w:hint="eastAsia"/>
          <w:color w:val="auto"/>
          <w:szCs w:val="20"/>
          <w:highlight w:val="none"/>
        </w:rPr>
        <w:t>，工件油漆附着2.67t/a，剩余漆渣0.67t/a。</w:t>
      </w:r>
    </w:p>
    <w:p w14:paraId="30EA652C">
      <w:pPr>
        <w:ind w:firstLine="480"/>
        <w:rPr>
          <w:color w:val="auto"/>
          <w:szCs w:val="20"/>
          <w:highlight w:val="none"/>
        </w:rPr>
        <w:sectPr>
          <w:headerReference r:id="rId24" w:type="default"/>
          <w:pgSz w:w="11906" w:h="16838"/>
          <w:pgMar w:top="1559" w:right="1418" w:bottom="1503" w:left="1418" w:header="851" w:footer="964" w:gutter="0"/>
          <w:cols w:space="720" w:num="1"/>
          <w:docGrid w:linePitch="326" w:charSpace="0"/>
        </w:sectPr>
      </w:pPr>
      <w:r>
        <w:rPr>
          <w:rFonts w:hint="eastAsia"/>
          <w:color w:val="auto"/>
          <w:szCs w:val="20"/>
          <w:highlight w:val="none"/>
        </w:rPr>
        <w:t>项目油漆平衡见表2.1-6，图2.1-3。</w:t>
      </w:r>
    </w:p>
    <w:p w14:paraId="2B381C3B">
      <w:pPr>
        <w:pStyle w:val="38"/>
        <w:spacing w:after="0" w:line="240" w:lineRule="auto"/>
        <w:ind w:firstLine="0" w:firstLineChars="0"/>
        <w:jc w:val="center"/>
        <w:rPr>
          <w:b/>
          <w:color w:val="auto"/>
          <w:sz w:val="21"/>
          <w:szCs w:val="21"/>
          <w:highlight w:val="none"/>
        </w:rPr>
      </w:pPr>
      <w:r>
        <w:rPr>
          <w:rFonts w:hint="eastAsia"/>
          <w:b/>
          <w:color w:val="auto"/>
          <w:sz w:val="21"/>
          <w:szCs w:val="21"/>
          <w:highlight w:val="none"/>
        </w:rPr>
        <w:t>表</w:t>
      </w:r>
      <w:r>
        <w:rPr>
          <w:b/>
          <w:color w:val="auto"/>
          <w:sz w:val="21"/>
          <w:szCs w:val="21"/>
          <w:highlight w:val="none"/>
        </w:rPr>
        <w:t>2.1-</w:t>
      </w:r>
      <w:r>
        <w:rPr>
          <w:rFonts w:hint="eastAsia"/>
          <w:b/>
          <w:color w:val="auto"/>
          <w:sz w:val="21"/>
          <w:szCs w:val="21"/>
          <w:highlight w:val="none"/>
        </w:rPr>
        <w:t>6</w:t>
      </w:r>
      <w:r>
        <w:rPr>
          <w:b/>
          <w:color w:val="auto"/>
          <w:sz w:val="21"/>
          <w:szCs w:val="21"/>
          <w:highlight w:val="none"/>
        </w:rPr>
        <w:t xml:space="preserve">  项目油漆平衡</w:t>
      </w:r>
      <w:r>
        <w:rPr>
          <w:rFonts w:hint="eastAsia"/>
          <w:b/>
          <w:color w:val="auto"/>
          <w:sz w:val="21"/>
          <w:szCs w:val="21"/>
          <w:highlight w:val="none"/>
        </w:rPr>
        <w:t>表</w:t>
      </w:r>
    </w:p>
    <w:tbl>
      <w:tblPr>
        <w:tblStyle w:val="92"/>
        <w:tblW w:w="468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25"/>
        <w:gridCol w:w="998"/>
        <w:gridCol w:w="1163"/>
        <w:gridCol w:w="1368"/>
        <w:gridCol w:w="858"/>
        <w:gridCol w:w="976"/>
        <w:gridCol w:w="1362"/>
        <w:gridCol w:w="1218"/>
        <w:gridCol w:w="904"/>
        <w:gridCol w:w="1688"/>
        <w:gridCol w:w="1170"/>
      </w:tblGrid>
      <w:tr w14:paraId="7F282F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32" w:type="pct"/>
            <w:gridSpan w:val="4"/>
            <w:tcBorders>
              <w:tl2br w:val="nil"/>
              <w:tr2bl w:val="nil"/>
            </w:tcBorders>
            <w:vAlign w:val="center"/>
          </w:tcPr>
          <w:p w14:paraId="229FD5B5">
            <w:pPr>
              <w:widowControl/>
              <w:spacing w:line="240" w:lineRule="auto"/>
              <w:ind w:left="-72" w:leftChars="-30" w:right="-72" w:rightChars="-30" w:firstLine="0" w:firstLineChars="0"/>
              <w:jc w:val="center"/>
              <w:rPr>
                <w:rFonts w:eastAsia="新宋体"/>
                <w:b/>
                <w:bCs/>
                <w:color w:val="auto"/>
                <w:sz w:val="21"/>
                <w:szCs w:val="21"/>
                <w:highlight w:val="none"/>
              </w:rPr>
            </w:pPr>
            <w:r>
              <w:rPr>
                <w:rFonts w:eastAsia="新宋体"/>
                <w:b/>
                <w:bCs/>
                <w:color w:val="auto"/>
                <w:sz w:val="21"/>
                <w:szCs w:val="21"/>
                <w:highlight w:val="none"/>
                <w:lang w:bidi="ar"/>
              </w:rPr>
              <w:t>进量（t/a）</w:t>
            </w:r>
          </w:p>
        </w:tc>
        <w:tc>
          <w:tcPr>
            <w:tcW w:w="3067" w:type="pct"/>
            <w:gridSpan w:val="7"/>
            <w:tcBorders>
              <w:tl2br w:val="nil"/>
              <w:tr2bl w:val="nil"/>
            </w:tcBorders>
            <w:vAlign w:val="center"/>
          </w:tcPr>
          <w:p w14:paraId="68D64529">
            <w:pPr>
              <w:widowControl/>
              <w:spacing w:line="240" w:lineRule="auto"/>
              <w:ind w:left="-72" w:leftChars="-30" w:right="-72" w:rightChars="-30" w:firstLine="0" w:firstLineChars="0"/>
              <w:jc w:val="center"/>
              <w:rPr>
                <w:rFonts w:eastAsia="新宋体"/>
                <w:b/>
                <w:bCs/>
                <w:color w:val="auto"/>
                <w:sz w:val="21"/>
                <w:szCs w:val="21"/>
                <w:highlight w:val="none"/>
                <w:lang w:bidi="ar"/>
              </w:rPr>
            </w:pPr>
            <w:r>
              <w:rPr>
                <w:rFonts w:eastAsia="新宋体"/>
                <w:b/>
                <w:bCs/>
                <w:color w:val="auto"/>
                <w:sz w:val="21"/>
                <w:szCs w:val="21"/>
                <w:highlight w:val="none"/>
                <w:lang w:bidi="ar"/>
              </w:rPr>
              <w:t>出量（t/a）</w:t>
            </w:r>
          </w:p>
        </w:tc>
      </w:tr>
      <w:tr w14:paraId="693227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tcBorders>
              <w:tl2br w:val="nil"/>
              <w:tr2bl w:val="nil"/>
            </w:tcBorders>
            <w:vAlign w:val="center"/>
          </w:tcPr>
          <w:p w14:paraId="43C1997D">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r>
              <w:rPr>
                <w:rFonts w:eastAsia="新宋体"/>
                <w:b/>
                <w:bCs/>
                <w:color w:val="auto"/>
                <w:sz w:val="21"/>
                <w:szCs w:val="21"/>
                <w:highlight w:val="none"/>
                <w:lang w:bidi="ar"/>
              </w:rPr>
              <w:t>油漆名称</w:t>
            </w:r>
          </w:p>
        </w:tc>
        <w:tc>
          <w:tcPr>
            <w:tcW w:w="374" w:type="pct"/>
            <w:tcBorders>
              <w:tl2br w:val="nil"/>
              <w:tr2bl w:val="nil"/>
            </w:tcBorders>
            <w:vAlign w:val="center"/>
          </w:tcPr>
          <w:p w14:paraId="752A26A6">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r>
              <w:rPr>
                <w:rFonts w:hint="eastAsia" w:eastAsia="新宋体"/>
                <w:b/>
                <w:bCs/>
                <w:color w:val="auto"/>
                <w:sz w:val="21"/>
                <w:szCs w:val="21"/>
                <w:highlight w:val="none"/>
                <w:lang w:bidi="ar"/>
              </w:rPr>
              <w:t>年用量</w:t>
            </w:r>
          </w:p>
        </w:tc>
        <w:tc>
          <w:tcPr>
            <w:tcW w:w="436" w:type="pct"/>
            <w:tcBorders>
              <w:tl2br w:val="nil"/>
              <w:tr2bl w:val="nil"/>
            </w:tcBorders>
            <w:vAlign w:val="center"/>
          </w:tcPr>
          <w:p w14:paraId="6D19B121">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r>
              <w:rPr>
                <w:rFonts w:eastAsia="新宋体"/>
                <w:b/>
                <w:bCs/>
                <w:color w:val="auto"/>
                <w:sz w:val="21"/>
                <w:szCs w:val="21"/>
                <w:highlight w:val="none"/>
                <w:lang w:bidi="ar"/>
              </w:rPr>
              <w:t>主要成分</w:t>
            </w:r>
          </w:p>
        </w:tc>
        <w:tc>
          <w:tcPr>
            <w:tcW w:w="512" w:type="pct"/>
            <w:tcBorders>
              <w:tl2br w:val="nil"/>
              <w:tr2bl w:val="nil"/>
            </w:tcBorders>
            <w:vAlign w:val="center"/>
          </w:tcPr>
          <w:p w14:paraId="0DAD1E86">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r>
              <w:rPr>
                <w:rFonts w:eastAsia="新宋体"/>
                <w:b/>
                <w:bCs/>
                <w:color w:val="auto"/>
                <w:sz w:val="21"/>
                <w:szCs w:val="21"/>
                <w:highlight w:val="none"/>
                <w:lang w:bidi="ar"/>
              </w:rPr>
              <w:t>各成分含量</w:t>
            </w:r>
          </w:p>
        </w:tc>
        <w:tc>
          <w:tcPr>
            <w:tcW w:w="322" w:type="pct"/>
            <w:tcBorders>
              <w:tl2br w:val="nil"/>
              <w:tr2bl w:val="nil"/>
            </w:tcBorders>
            <w:vAlign w:val="center"/>
          </w:tcPr>
          <w:p w14:paraId="4578C4EF">
            <w:pPr>
              <w:widowControl/>
              <w:spacing w:line="240" w:lineRule="auto"/>
              <w:ind w:left="-72" w:leftChars="-30" w:right="-72" w:rightChars="-30" w:firstLine="0" w:firstLineChars="0"/>
              <w:jc w:val="center"/>
              <w:rPr>
                <w:rFonts w:eastAsia="新宋体"/>
                <w:b/>
                <w:bCs/>
                <w:color w:val="auto"/>
                <w:sz w:val="21"/>
                <w:szCs w:val="21"/>
                <w:highlight w:val="none"/>
              </w:rPr>
            </w:pPr>
            <w:r>
              <w:rPr>
                <w:rFonts w:hint="eastAsia" w:eastAsia="新宋体"/>
                <w:b/>
                <w:bCs/>
                <w:color w:val="auto"/>
                <w:sz w:val="21"/>
                <w:szCs w:val="21"/>
                <w:highlight w:val="none"/>
              </w:rPr>
              <w:t>名称</w:t>
            </w:r>
          </w:p>
        </w:tc>
        <w:tc>
          <w:tcPr>
            <w:tcW w:w="366" w:type="pct"/>
            <w:tcBorders>
              <w:tl2br w:val="nil"/>
              <w:tr2bl w:val="nil"/>
            </w:tcBorders>
            <w:vAlign w:val="center"/>
          </w:tcPr>
          <w:p w14:paraId="4527DEE3">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r>
              <w:rPr>
                <w:rFonts w:eastAsia="新宋体"/>
                <w:b/>
                <w:bCs/>
                <w:color w:val="auto"/>
                <w:sz w:val="21"/>
                <w:szCs w:val="21"/>
                <w:highlight w:val="none"/>
                <w:lang w:bidi="ar"/>
              </w:rPr>
              <w:t>附着量</w:t>
            </w:r>
          </w:p>
        </w:tc>
        <w:tc>
          <w:tcPr>
            <w:tcW w:w="511" w:type="pct"/>
            <w:tcBorders>
              <w:tl2br w:val="nil"/>
              <w:tr2bl w:val="nil"/>
            </w:tcBorders>
            <w:vAlign w:val="center"/>
          </w:tcPr>
          <w:p w14:paraId="259E910B">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r>
              <w:rPr>
                <w:rFonts w:eastAsia="新宋体"/>
                <w:b/>
                <w:bCs/>
                <w:color w:val="auto"/>
                <w:sz w:val="21"/>
                <w:szCs w:val="21"/>
                <w:highlight w:val="none"/>
                <w:lang w:bidi="ar"/>
              </w:rPr>
              <w:t>有组织排放</w:t>
            </w:r>
          </w:p>
        </w:tc>
        <w:tc>
          <w:tcPr>
            <w:tcW w:w="457" w:type="pct"/>
            <w:tcBorders>
              <w:tl2br w:val="nil"/>
              <w:tr2bl w:val="nil"/>
            </w:tcBorders>
            <w:vAlign w:val="center"/>
          </w:tcPr>
          <w:p w14:paraId="4F2F2006">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r>
              <w:rPr>
                <w:rFonts w:eastAsia="新宋体"/>
                <w:b/>
                <w:bCs/>
                <w:color w:val="auto"/>
                <w:sz w:val="21"/>
                <w:szCs w:val="21"/>
                <w:highlight w:val="none"/>
                <w:lang w:bidi="ar"/>
              </w:rPr>
              <w:t>无组织排放</w:t>
            </w:r>
          </w:p>
        </w:tc>
        <w:tc>
          <w:tcPr>
            <w:tcW w:w="339" w:type="pct"/>
            <w:tcBorders>
              <w:tl2br w:val="nil"/>
              <w:tr2bl w:val="nil"/>
            </w:tcBorders>
            <w:noWrap/>
            <w:vAlign w:val="center"/>
          </w:tcPr>
          <w:p w14:paraId="5DEC5587">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r>
              <w:rPr>
                <w:rFonts w:eastAsia="新宋体"/>
                <w:b/>
                <w:bCs/>
                <w:color w:val="auto"/>
                <w:sz w:val="21"/>
                <w:szCs w:val="21"/>
                <w:highlight w:val="none"/>
                <w:lang w:bidi="ar"/>
              </w:rPr>
              <w:t>漆渣</w:t>
            </w:r>
          </w:p>
        </w:tc>
        <w:tc>
          <w:tcPr>
            <w:tcW w:w="633" w:type="pct"/>
            <w:tcBorders>
              <w:tl2br w:val="nil"/>
              <w:tr2bl w:val="nil"/>
            </w:tcBorders>
            <w:noWrap/>
            <w:vAlign w:val="center"/>
          </w:tcPr>
          <w:p w14:paraId="4E9A0398">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r>
              <w:rPr>
                <w:rFonts w:eastAsia="新宋体"/>
                <w:b/>
                <w:bCs/>
                <w:color w:val="auto"/>
                <w:sz w:val="21"/>
                <w:szCs w:val="21"/>
                <w:highlight w:val="none"/>
                <w:lang w:bidi="ar"/>
              </w:rPr>
              <w:t>活性炭吸附</w:t>
            </w:r>
          </w:p>
        </w:tc>
        <w:tc>
          <w:tcPr>
            <w:tcW w:w="436" w:type="pct"/>
            <w:tcBorders>
              <w:tl2br w:val="nil"/>
              <w:tr2bl w:val="nil"/>
            </w:tcBorders>
            <w:noWrap/>
            <w:vAlign w:val="center"/>
          </w:tcPr>
          <w:p w14:paraId="0588B91C">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r>
              <w:rPr>
                <w:rFonts w:eastAsia="新宋体"/>
                <w:b/>
                <w:bCs/>
                <w:color w:val="auto"/>
                <w:sz w:val="21"/>
                <w:szCs w:val="21"/>
                <w:highlight w:val="none"/>
                <w:lang w:bidi="ar"/>
              </w:rPr>
              <w:t>漆雾</w:t>
            </w:r>
          </w:p>
        </w:tc>
      </w:tr>
      <w:tr w14:paraId="4087F3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restart"/>
            <w:tcBorders>
              <w:tl2br w:val="nil"/>
              <w:tr2bl w:val="nil"/>
            </w:tcBorders>
            <w:vAlign w:val="center"/>
          </w:tcPr>
          <w:p w14:paraId="441AEE1F">
            <w:pPr>
              <w:widowControl/>
              <w:spacing w:line="240" w:lineRule="auto"/>
              <w:ind w:left="-72" w:leftChars="-30" w:right="-72" w:rightChars="-30" w:firstLine="0" w:firstLineChars="0"/>
              <w:jc w:val="center"/>
              <w:rPr>
                <w:rFonts w:eastAsia="新宋体"/>
                <w:color w:val="auto"/>
                <w:sz w:val="21"/>
                <w:szCs w:val="21"/>
                <w:highlight w:val="none"/>
              </w:rPr>
            </w:pPr>
            <w:r>
              <w:rPr>
                <w:color w:val="auto"/>
                <w:sz w:val="21"/>
                <w:szCs w:val="21"/>
                <w:highlight w:val="none"/>
              </w:rPr>
              <w:t>无锡自抛光</w:t>
            </w:r>
            <w:r>
              <w:rPr>
                <w:rFonts w:hint="eastAsia"/>
                <w:color w:val="auto"/>
                <w:sz w:val="21"/>
                <w:szCs w:val="21"/>
                <w:highlight w:val="none"/>
                <w:lang w:eastAsia="zh-CN"/>
              </w:rPr>
              <w:t>防污</w:t>
            </w:r>
            <w:r>
              <w:rPr>
                <w:color w:val="auto"/>
                <w:sz w:val="21"/>
                <w:szCs w:val="21"/>
                <w:highlight w:val="none"/>
              </w:rPr>
              <w:t>漆</w:t>
            </w:r>
          </w:p>
        </w:tc>
        <w:tc>
          <w:tcPr>
            <w:tcW w:w="374" w:type="pct"/>
            <w:vMerge w:val="restart"/>
            <w:tcBorders>
              <w:tl2br w:val="nil"/>
              <w:tr2bl w:val="nil"/>
            </w:tcBorders>
            <w:vAlign w:val="center"/>
          </w:tcPr>
          <w:p w14:paraId="582DEEBB">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1</w:t>
            </w:r>
            <w:r>
              <w:rPr>
                <w:rFonts w:hint="eastAsia" w:eastAsia="新宋体"/>
                <w:color w:val="auto"/>
                <w:sz w:val="21"/>
                <w:szCs w:val="21"/>
                <w:highlight w:val="none"/>
                <w:lang w:bidi="ar"/>
              </w:rPr>
              <w:t>5</w:t>
            </w:r>
          </w:p>
        </w:tc>
        <w:tc>
          <w:tcPr>
            <w:tcW w:w="436" w:type="pct"/>
            <w:tcBorders>
              <w:tl2br w:val="nil"/>
              <w:tr2bl w:val="nil"/>
            </w:tcBorders>
            <w:vAlign w:val="center"/>
          </w:tcPr>
          <w:p w14:paraId="752C631B">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固体份</w:t>
            </w:r>
          </w:p>
        </w:tc>
        <w:tc>
          <w:tcPr>
            <w:tcW w:w="512" w:type="pct"/>
            <w:tcBorders>
              <w:tl2br w:val="nil"/>
              <w:tr2bl w:val="nil"/>
            </w:tcBorders>
            <w:vAlign w:val="center"/>
          </w:tcPr>
          <w:p w14:paraId="42E30795">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9.75</w:t>
            </w:r>
          </w:p>
        </w:tc>
        <w:tc>
          <w:tcPr>
            <w:tcW w:w="322" w:type="pct"/>
            <w:tcBorders>
              <w:tl2br w:val="nil"/>
              <w:tr2bl w:val="nil"/>
            </w:tcBorders>
            <w:vAlign w:val="center"/>
          </w:tcPr>
          <w:p w14:paraId="1AA6B3E0">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固体份</w:t>
            </w:r>
          </w:p>
        </w:tc>
        <w:tc>
          <w:tcPr>
            <w:tcW w:w="366" w:type="pct"/>
            <w:tcBorders>
              <w:tl2br w:val="nil"/>
              <w:tr2bl w:val="nil"/>
            </w:tcBorders>
            <w:vAlign w:val="center"/>
          </w:tcPr>
          <w:p w14:paraId="084F5C90">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148.59</w:t>
            </w:r>
          </w:p>
        </w:tc>
        <w:tc>
          <w:tcPr>
            <w:tcW w:w="511" w:type="pct"/>
            <w:tcBorders>
              <w:tl2br w:val="nil"/>
              <w:tr2bl w:val="nil"/>
            </w:tcBorders>
            <w:vAlign w:val="center"/>
          </w:tcPr>
          <w:p w14:paraId="679EBF07">
            <w:pPr>
              <w:widowControl/>
              <w:spacing w:line="240" w:lineRule="auto"/>
              <w:ind w:left="-72" w:leftChars="-30" w:right="-72" w:rightChars="-30" w:firstLine="0" w:firstLineChars="0"/>
              <w:jc w:val="center"/>
              <w:rPr>
                <w:rFonts w:eastAsia="新宋体"/>
                <w:color w:val="auto"/>
                <w:sz w:val="21"/>
                <w:szCs w:val="21"/>
                <w:highlight w:val="none"/>
              </w:rPr>
            </w:pPr>
          </w:p>
        </w:tc>
        <w:tc>
          <w:tcPr>
            <w:tcW w:w="457" w:type="pct"/>
            <w:tcBorders>
              <w:tl2br w:val="nil"/>
              <w:tr2bl w:val="nil"/>
            </w:tcBorders>
            <w:vAlign w:val="center"/>
          </w:tcPr>
          <w:p w14:paraId="50134AA8">
            <w:pPr>
              <w:widowControl/>
              <w:spacing w:line="240" w:lineRule="auto"/>
              <w:ind w:left="-72" w:leftChars="-30" w:right="-72" w:rightChars="-30" w:firstLine="0" w:firstLineChars="0"/>
              <w:jc w:val="center"/>
              <w:rPr>
                <w:rFonts w:eastAsia="新宋体"/>
                <w:color w:val="auto"/>
                <w:sz w:val="21"/>
                <w:szCs w:val="21"/>
                <w:highlight w:val="none"/>
              </w:rPr>
            </w:pPr>
          </w:p>
        </w:tc>
        <w:tc>
          <w:tcPr>
            <w:tcW w:w="339" w:type="pct"/>
            <w:tcBorders>
              <w:tl2br w:val="nil"/>
              <w:tr2bl w:val="nil"/>
            </w:tcBorders>
            <w:noWrap/>
            <w:vAlign w:val="center"/>
          </w:tcPr>
          <w:p w14:paraId="0F23E414">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21.27</w:t>
            </w:r>
          </w:p>
        </w:tc>
        <w:tc>
          <w:tcPr>
            <w:tcW w:w="633" w:type="pct"/>
            <w:tcBorders>
              <w:tl2br w:val="nil"/>
              <w:tr2bl w:val="nil"/>
            </w:tcBorders>
            <w:noWrap/>
            <w:vAlign w:val="center"/>
          </w:tcPr>
          <w:p w14:paraId="6EF18CF5">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Borders>
              <w:tl2br w:val="nil"/>
              <w:tr2bl w:val="nil"/>
            </w:tcBorders>
            <w:noWrap/>
            <w:vAlign w:val="center"/>
          </w:tcPr>
          <w:p w14:paraId="43B98DF6">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5.15</w:t>
            </w:r>
          </w:p>
        </w:tc>
      </w:tr>
      <w:tr w14:paraId="392B83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continue"/>
            <w:tcBorders>
              <w:tl2br w:val="nil"/>
              <w:tr2bl w:val="nil"/>
            </w:tcBorders>
            <w:vAlign w:val="center"/>
          </w:tcPr>
          <w:p w14:paraId="3A842E03">
            <w:pPr>
              <w:widowControl/>
              <w:spacing w:line="240" w:lineRule="auto"/>
              <w:ind w:left="-72" w:leftChars="-30" w:right="-72" w:rightChars="-30" w:firstLine="0" w:firstLineChars="0"/>
              <w:jc w:val="center"/>
              <w:rPr>
                <w:rFonts w:eastAsia="新宋体"/>
                <w:color w:val="auto"/>
                <w:sz w:val="21"/>
                <w:szCs w:val="21"/>
                <w:highlight w:val="none"/>
              </w:rPr>
            </w:pPr>
          </w:p>
        </w:tc>
        <w:tc>
          <w:tcPr>
            <w:tcW w:w="374" w:type="pct"/>
            <w:vMerge w:val="continue"/>
            <w:tcBorders>
              <w:tl2br w:val="nil"/>
              <w:tr2bl w:val="nil"/>
            </w:tcBorders>
            <w:vAlign w:val="center"/>
          </w:tcPr>
          <w:p w14:paraId="7BE5FF54">
            <w:pPr>
              <w:widowControl/>
              <w:spacing w:line="240" w:lineRule="auto"/>
              <w:ind w:left="-72" w:leftChars="-30" w:right="-72" w:rightChars="-30" w:firstLine="0" w:firstLineChars="0"/>
              <w:jc w:val="center"/>
              <w:textAlignment w:val="center"/>
              <w:rPr>
                <w:rFonts w:eastAsia="新宋体"/>
                <w:color w:val="auto"/>
                <w:sz w:val="21"/>
                <w:szCs w:val="21"/>
                <w:highlight w:val="none"/>
              </w:rPr>
            </w:pPr>
          </w:p>
        </w:tc>
        <w:tc>
          <w:tcPr>
            <w:tcW w:w="436" w:type="pct"/>
            <w:tcBorders>
              <w:tl2br w:val="nil"/>
              <w:tr2bl w:val="nil"/>
            </w:tcBorders>
            <w:vAlign w:val="center"/>
          </w:tcPr>
          <w:p w14:paraId="41813C57">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VOCs</w:t>
            </w:r>
          </w:p>
        </w:tc>
        <w:tc>
          <w:tcPr>
            <w:tcW w:w="512" w:type="pct"/>
            <w:tcBorders>
              <w:tl2br w:val="nil"/>
              <w:tr2bl w:val="nil"/>
            </w:tcBorders>
            <w:vAlign w:val="center"/>
          </w:tcPr>
          <w:p w14:paraId="15F4B524">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2.25</w:t>
            </w:r>
          </w:p>
        </w:tc>
        <w:tc>
          <w:tcPr>
            <w:tcW w:w="322" w:type="pct"/>
            <w:tcBorders>
              <w:tl2br w:val="nil"/>
              <w:tr2bl w:val="nil"/>
            </w:tcBorders>
            <w:vAlign w:val="center"/>
          </w:tcPr>
          <w:p w14:paraId="67D5F041">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VOCs</w:t>
            </w:r>
          </w:p>
        </w:tc>
        <w:tc>
          <w:tcPr>
            <w:tcW w:w="366" w:type="pct"/>
            <w:tcBorders>
              <w:tl2br w:val="nil"/>
              <w:tr2bl w:val="nil"/>
            </w:tcBorders>
            <w:vAlign w:val="center"/>
          </w:tcPr>
          <w:p w14:paraId="156EE713">
            <w:pPr>
              <w:widowControl/>
              <w:spacing w:line="240" w:lineRule="auto"/>
              <w:ind w:left="-72" w:leftChars="-30" w:right="-72" w:rightChars="-30" w:firstLine="0" w:firstLineChars="0"/>
              <w:jc w:val="center"/>
              <w:rPr>
                <w:rFonts w:eastAsia="新宋体"/>
                <w:color w:val="auto"/>
                <w:sz w:val="21"/>
                <w:szCs w:val="21"/>
                <w:highlight w:val="none"/>
              </w:rPr>
            </w:pPr>
          </w:p>
        </w:tc>
        <w:tc>
          <w:tcPr>
            <w:tcW w:w="511" w:type="pct"/>
            <w:tcBorders>
              <w:tl2br w:val="nil"/>
              <w:tr2bl w:val="nil"/>
            </w:tcBorders>
            <w:vAlign w:val="center"/>
          </w:tcPr>
          <w:p w14:paraId="5AA3883C">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0.056</w:t>
            </w:r>
          </w:p>
        </w:tc>
        <w:tc>
          <w:tcPr>
            <w:tcW w:w="457" w:type="pct"/>
            <w:tcBorders>
              <w:tl2br w:val="nil"/>
              <w:tr2bl w:val="nil"/>
            </w:tcBorders>
            <w:vAlign w:val="center"/>
          </w:tcPr>
          <w:p w14:paraId="4EAE58D0">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58.86</w:t>
            </w:r>
          </w:p>
        </w:tc>
        <w:tc>
          <w:tcPr>
            <w:tcW w:w="339" w:type="pct"/>
            <w:tcBorders>
              <w:tl2br w:val="nil"/>
              <w:tr2bl w:val="nil"/>
            </w:tcBorders>
            <w:noWrap/>
            <w:vAlign w:val="center"/>
          </w:tcPr>
          <w:p w14:paraId="1191F670">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Borders>
              <w:tl2br w:val="nil"/>
              <w:tr2bl w:val="nil"/>
            </w:tcBorders>
            <w:noWrap/>
            <w:vAlign w:val="center"/>
          </w:tcPr>
          <w:p w14:paraId="27A7D61E">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1.08</w:t>
            </w:r>
          </w:p>
        </w:tc>
        <w:tc>
          <w:tcPr>
            <w:tcW w:w="436" w:type="pct"/>
            <w:tcBorders>
              <w:tl2br w:val="nil"/>
              <w:tr2bl w:val="nil"/>
            </w:tcBorders>
            <w:noWrap/>
            <w:vAlign w:val="center"/>
          </w:tcPr>
          <w:p w14:paraId="6CCE15E9">
            <w:pPr>
              <w:widowControl/>
              <w:spacing w:line="240" w:lineRule="auto"/>
              <w:ind w:left="-72" w:leftChars="-30" w:right="-72" w:rightChars="-30" w:firstLine="0" w:firstLineChars="0"/>
              <w:jc w:val="center"/>
              <w:rPr>
                <w:rFonts w:eastAsia="新宋体"/>
                <w:color w:val="auto"/>
                <w:sz w:val="21"/>
                <w:szCs w:val="21"/>
                <w:highlight w:val="none"/>
              </w:rPr>
            </w:pPr>
          </w:p>
        </w:tc>
      </w:tr>
      <w:tr w14:paraId="396BCC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continue"/>
            <w:tcBorders>
              <w:tl2br w:val="nil"/>
              <w:tr2bl w:val="nil"/>
            </w:tcBorders>
            <w:vAlign w:val="center"/>
          </w:tcPr>
          <w:p w14:paraId="556A638C">
            <w:pPr>
              <w:widowControl/>
              <w:spacing w:line="240" w:lineRule="auto"/>
              <w:ind w:left="-72" w:leftChars="-30" w:right="-72" w:rightChars="-30" w:firstLine="0" w:firstLineChars="0"/>
              <w:jc w:val="center"/>
              <w:rPr>
                <w:rFonts w:eastAsia="新宋体"/>
                <w:color w:val="auto"/>
                <w:sz w:val="21"/>
                <w:szCs w:val="21"/>
                <w:highlight w:val="none"/>
              </w:rPr>
            </w:pPr>
          </w:p>
        </w:tc>
        <w:tc>
          <w:tcPr>
            <w:tcW w:w="374" w:type="pct"/>
            <w:vMerge w:val="continue"/>
            <w:tcBorders>
              <w:tl2br w:val="nil"/>
              <w:tr2bl w:val="nil"/>
            </w:tcBorders>
            <w:vAlign w:val="center"/>
          </w:tcPr>
          <w:p w14:paraId="6D79C2EE">
            <w:pPr>
              <w:widowControl/>
              <w:spacing w:line="240" w:lineRule="auto"/>
              <w:ind w:left="-72" w:leftChars="-30" w:right="-72" w:rightChars="-30" w:firstLine="0" w:firstLineChars="0"/>
              <w:jc w:val="center"/>
              <w:textAlignment w:val="center"/>
              <w:rPr>
                <w:rFonts w:eastAsia="新宋体"/>
                <w:color w:val="auto"/>
                <w:sz w:val="21"/>
                <w:szCs w:val="21"/>
                <w:highlight w:val="none"/>
              </w:rPr>
            </w:pPr>
          </w:p>
        </w:tc>
        <w:tc>
          <w:tcPr>
            <w:tcW w:w="436" w:type="pct"/>
            <w:tcBorders>
              <w:tl2br w:val="nil"/>
              <w:tr2bl w:val="nil"/>
            </w:tcBorders>
            <w:vAlign w:val="center"/>
          </w:tcPr>
          <w:p w14:paraId="733812D4">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二甲苯</w:t>
            </w:r>
          </w:p>
        </w:tc>
        <w:tc>
          <w:tcPr>
            <w:tcW w:w="512" w:type="pct"/>
            <w:tcBorders>
              <w:tl2br w:val="nil"/>
              <w:tr2bl w:val="nil"/>
            </w:tcBorders>
            <w:vAlign w:val="center"/>
          </w:tcPr>
          <w:p w14:paraId="49373E49">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3</w:t>
            </w:r>
          </w:p>
        </w:tc>
        <w:tc>
          <w:tcPr>
            <w:tcW w:w="322" w:type="pct"/>
            <w:tcBorders>
              <w:tl2br w:val="nil"/>
              <w:tr2bl w:val="nil"/>
            </w:tcBorders>
            <w:vAlign w:val="center"/>
          </w:tcPr>
          <w:p w14:paraId="675D4651">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二甲苯</w:t>
            </w:r>
          </w:p>
        </w:tc>
        <w:tc>
          <w:tcPr>
            <w:tcW w:w="366" w:type="pct"/>
            <w:tcBorders>
              <w:tl2br w:val="nil"/>
              <w:tr2bl w:val="nil"/>
            </w:tcBorders>
            <w:vAlign w:val="center"/>
          </w:tcPr>
          <w:p w14:paraId="005F7C6D">
            <w:pPr>
              <w:widowControl/>
              <w:spacing w:line="240" w:lineRule="auto"/>
              <w:ind w:left="-72" w:leftChars="-30" w:right="-72" w:rightChars="-30" w:firstLine="0" w:firstLineChars="0"/>
              <w:jc w:val="center"/>
              <w:rPr>
                <w:rFonts w:eastAsia="新宋体"/>
                <w:color w:val="auto"/>
                <w:sz w:val="21"/>
                <w:szCs w:val="21"/>
                <w:highlight w:val="none"/>
              </w:rPr>
            </w:pPr>
          </w:p>
        </w:tc>
        <w:tc>
          <w:tcPr>
            <w:tcW w:w="511" w:type="pct"/>
            <w:tcBorders>
              <w:tl2br w:val="nil"/>
              <w:tr2bl w:val="nil"/>
            </w:tcBorders>
            <w:vAlign w:val="center"/>
          </w:tcPr>
          <w:p w14:paraId="6A3523C2">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0.014</w:t>
            </w:r>
          </w:p>
        </w:tc>
        <w:tc>
          <w:tcPr>
            <w:tcW w:w="457" w:type="pct"/>
            <w:tcBorders>
              <w:tl2br w:val="nil"/>
              <w:tr2bl w:val="nil"/>
            </w:tcBorders>
            <w:vAlign w:val="center"/>
          </w:tcPr>
          <w:p w14:paraId="13A9B23B">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14.71</w:t>
            </w:r>
          </w:p>
        </w:tc>
        <w:tc>
          <w:tcPr>
            <w:tcW w:w="339" w:type="pct"/>
            <w:tcBorders>
              <w:tl2br w:val="nil"/>
              <w:tr2bl w:val="nil"/>
            </w:tcBorders>
            <w:noWrap/>
            <w:vAlign w:val="center"/>
          </w:tcPr>
          <w:p w14:paraId="702740BF">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Borders>
              <w:tl2br w:val="nil"/>
              <w:tr2bl w:val="nil"/>
            </w:tcBorders>
            <w:noWrap/>
            <w:vAlign w:val="center"/>
          </w:tcPr>
          <w:p w14:paraId="2CEBCBE2">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0.27</w:t>
            </w:r>
          </w:p>
        </w:tc>
        <w:tc>
          <w:tcPr>
            <w:tcW w:w="436" w:type="pct"/>
            <w:tcBorders>
              <w:tl2br w:val="nil"/>
              <w:tr2bl w:val="nil"/>
            </w:tcBorders>
            <w:noWrap/>
            <w:vAlign w:val="center"/>
          </w:tcPr>
          <w:p w14:paraId="6CF9778A">
            <w:pPr>
              <w:widowControl/>
              <w:spacing w:line="240" w:lineRule="auto"/>
              <w:ind w:left="-72" w:leftChars="-30" w:right="-72" w:rightChars="-30" w:firstLine="0" w:firstLineChars="0"/>
              <w:jc w:val="center"/>
              <w:rPr>
                <w:rFonts w:eastAsia="新宋体"/>
                <w:color w:val="auto"/>
                <w:sz w:val="21"/>
                <w:szCs w:val="21"/>
                <w:highlight w:val="none"/>
              </w:rPr>
            </w:pPr>
          </w:p>
        </w:tc>
      </w:tr>
      <w:tr w14:paraId="773EE1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restart"/>
            <w:tcBorders>
              <w:tl2br w:val="nil"/>
              <w:tr2bl w:val="nil"/>
            </w:tcBorders>
            <w:vAlign w:val="center"/>
          </w:tcPr>
          <w:p w14:paraId="77852C5E">
            <w:pPr>
              <w:widowControl/>
              <w:spacing w:line="240" w:lineRule="auto"/>
              <w:ind w:left="-72" w:leftChars="-30" w:right="-72" w:rightChars="-30" w:firstLine="0" w:firstLineChars="0"/>
              <w:jc w:val="center"/>
              <w:rPr>
                <w:rFonts w:eastAsia="新宋体"/>
                <w:color w:val="auto"/>
                <w:sz w:val="21"/>
                <w:szCs w:val="21"/>
                <w:highlight w:val="none"/>
              </w:rPr>
            </w:pPr>
            <w:r>
              <w:rPr>
                <w:color w:val="auto"/>
                <w:sz w:val="21"/>
                <w:szCs w:val="21"/>
                <w:highlight w:val="none"/>
              </w:rPr>
              <w:t>含纤维无机富锌漆</w:t>
            </w:r>
          </w:p>
        </w:tc>
        <w:tc>
          <w:tcPr>
            <w:tcW w:w="374" w:type="pct"/>
            <w:vMerge w:val="restart"/>
            <w:tcBorders>
              <w:tl2br w:val="nil"/>
              <w:tr2bl w:val="nil"/>
            </w:tcBorders>
            <w:vAlign w:val="center"/>
          </w:tcPr>
          <w:p w14:paraId="4B0417AC">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hint="eastAsia" w:eastAsia="新宋体"/>
                <w:color w:val="auto"/>
                <w:sz w:val="21"/>
                <w:szCs w:val="21"/>
                <w:highlight w:val="none"/>
                <w:lang w:bidi="ar"/>
              </w:rPr>
              <w:t>33</w:t>
            </w:r>
          </w:p>
        </w:tc>
        <w:tc>
          <w:tcPr>
            <w:tcW w:w="436" w:type="pct"/>
            <w:tcBorders>
              <w:tl2br w:val="nil"/>
              <w:tr2bl w:val="nil"/>
            </w:tcBorders>
            <w:vAlign w:val="center"/>
          </w:tcPr>
          <w:p w14:paraId="770CEF55">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固体份</w:t>
            </w:r>
          </w:p>
        </w:tc>
        <w:tc>
          <w:tcPr>
            <w:tcW w:w="512" w:type="pct"/>
            <w:tcBorders>
              <w:tl2br w:val="nil"/>
              <w:tr2bl w:val="nil"/>
            </w:tcBorders>
            <w:vAlign w:val="center"/>
          </w:tcPr>
          <w:p w14:paraId="46468584">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21.2124</w:t>
            </w:r>
          </w:p>
        </w:tc>
        <w:tc>
          <w:tcPr>
            <w:tcW w:w="322" w:type="pct"/>
            <w:tcBorders>
              <w:tl2br w:val="nil"/>
              <w:tr2bl w:val="nil"/>
            </w:tcBorders>
            <w:vAlign w:val="center"/>
          </w:tcPr>
          <w:p w14:paraId="1A7CF9B0">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r>
              <w:rPr>
                <w:rFonts w:eastAsia="新宋体"/>
                <w:b/>
                <w:bCs/>
                <w:color w:val="auto"/>
                <w:sz w:val="21"/>
                <w:szCs w:val="21"/>
                <w:highlight w:val="none"/>
                <w:lang w:bidi="ar"/>
              </w:rPr>
              <w:t>小计</w:t>
            </w:r>
          </w:p>
        </w:tc>
        <w:tc>
          <w:tcPr>
            <w:tcW w:w="366" w:type="pct"/>
            <w:tcBorders>
              <w:tl2br w:val="nil"/>
              <w:tr2bl w:val="nil"/>
            </w:tcBorders>
            <w:vAlign w:val="center"/>
          </w:tcPr>
          <w:p w14:paraId="47839B85">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r>
              <w:rPr>
                <w:rFonts w:eastAsia="新宋体"/>
                <w:b/>
                <w:bCs/>
                <w:color w:val="auto"/>
                <w:sz w:val="21"/>
                <w:szCs w:val="21"/>
                <w:highlight w:val="none"/>
                <w:lang w:bidi="ar"/>
              </w:rPr>
              <w:t>148.59</w:t>
            </w:r>
          </w:p>
        </w:tc>
        <w:tc>
          <w:tcPr>
            <w:tcW w:w="511" w:type="pct"/>
            <w:tcBorders>
              <w:tl2br w:val="nil"/>
              <w:tr2bl w:val="nil"/>
            </w:tcBorders>
            <w:vAlign w:val="center"/>
          </w:tcPr>
          <w:p w14:paraId="1EF21B34">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r>
              <w:rPr>
                <w:rFonts w:eastAsia="新宋体"/>
                <w:b/>
                <w:bCs/>
                <w:color w:val="auto"/>
                <w:sz w:val="21"/>
                <w:szCs w:val="21"/>
                <w:highlight w:val="none"/>
                <w:lang w:bidi="ar"/>
              </w:rPr>
              <w:t>0.07</w:t>
            </w:r>
          </w:p>
        </w:tc>
        <w:tc>
          <w:tcPr>
            <w:tcW w:w="457" w:type="pct"/>
            <w:tcBorders>
              <w:tl2br w:val="nil"/>
              <w:tr2bl w:val="nil"/>
            </w:tcBorders>
            <w:vAlign w:val="center"/>
          </w:tcPr>
          <w:p w14:paraId="490A6438">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r>
              <w:rPr>
                <w:rFonts w:eastAsia="新宋体"/>
                <w:b/>
                <w:bCs/>
                <w:color w:val="auto"/>
                <w:sz w:val="21"/>
                <w:szCs w:val="21"/>
                <w:highlight w:val="none"/>
                <w:lang w:bidi="ar"/>
              </w:rPr>
              <w:t>73.57</w:t>
            </w:r>
          </w:p>
        </w:tc>
        <w:tc>
          <w:tcPr>
            <w:tcW w:w="339" w:type="pct"/>
            <w:tcBorders>
              <w:tl2br w:val="nil"/>
              <w:tr2bl w:val="nil"/>
            </w:tcBorders>
            <w:vAlign w:val="center"/>
          </w:tcPr>
          <w:p w14:paraId="2EB39961">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r>
              <w:rPr>
                <w:rFonts w:eastAsia="新宋体"/>
                <w:b/>
                <w:bCs/>
                <w:color w:val="auto"/>
                <w:sz w:val="21"/>
                <w:szCs w:val="21"/>
                <w:highlight w:val="none"/>
                <w:lang w:bidi="ar"/>
              </w:rPr>
              <w:t>21.27</w:t>
            </w:r>
          </w:p>
        </w:tc>
        <w:tc>
          <w:tcPr>
            <w:tcW w:w="633" w:type="pct"/>
            <w:tcBorders>
              <w:tl2br w:val="nil"/>
              <w:tr2bl w:val="nil"/>
            </w:tcBorders>
            <w:vAlign w:val="center"/>
          </w:tcPr>
          <w:p w14:paraId="3B0FDA55">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r>
              <w:rPr>
                <w:rFonts w:eastAsia="新宋体"/>
                <w:b/>
                <w:bCs/>
                <w:color w:val="auto"/>
                <w:sz w:val="21"/>
                <w:szCs w:val="21"/>
                <w:highlight w:val="none"/>
                <w:lang w:bidi="ar"/>
              </w:rPr>
              <w:t>1.35</w:t>
            </w:r>
          </w:p>
        </w:tc>
        <w:tc>
          <w:tcPr>
            <w:tcW w:w="436" w:type="pct"/>
            <w:tcBorders>
              <w:tl2br w:val="nil"/>
              <w:tr2bl w:val="nil"/>
            </w:tcBorders>
            <w:vAlign w:val="center"/>
          </w:tcPr>
          <w:p w14:paraId="6A37BC47">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r>
              <w:rPr>
                <w:rFonts w:eastAsia="新宋体"/>
                <w:b/>
                <w:bCs/>
                <w:color w:val="auto"/>
                <w:sz w:val="21"/>
                <w:szCs w:val="21"/>
                <w:highlight w:val="none"/>
                <w:lang w:bidi="ar"/>
              </w:rPr>
              <w:t>5.15</w:t>
            </w:r>
          </w:p>
        </w:tc>
      </w:tr>
      <w:tr w14:paraId="4C3746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continue"/>
            <w:tcBorders>
              <w:tl2br w:val="nil"/>
              <w:tr2bl w:val="nil"/>
            </w:tcBorders>
            <w:noWrap/>
            <w:vAlign w:val="center"/>
          </w:tcPr>
          <w:p w14:paraId="4270537E">
            <w:pPr>
              <w:widowControl/>
              <w:spacing w:line="240" w:lineRule="auto"/>
              <w:ind w:left="-72" w:leftChars="-30" w:right="-72" w:rightChars="-30" w:firstLine="0" w:firstLineChars="0"/>
              <w:jc w:val="center"/>
              <w:rPr>
                <w:rFonts w:eastAsia="新宋体"/>
                <w:color w:val="auto"/>
                <w:sz w:val="21"/>
                <w:szCs w:val="21"/>
                <w:highlight w:val="none"/>
              </w:rPr>
            </w:pPr>
          </w:p>
        </w:tc>
        <w:tc>
          <w:tcPr>
            <w:tcW w:w="374" w:type="pct"/>
            <w:vMerge w:val="continue"/>
            <w:tcBorders>
              <w:tl2br w:val="nil"/>
              <w:tr2bl w:val="nil"/>
            </w:tcBorders>
            <w:vAlign w:val="center"/>
          </w:tcPr>
          <w:p w14:paraId="6A3FE59B">
            <w:pPr>
              <w:widowControl/>
              <w:spacing w:line="240" w:lineRule="auto"/>
              <w:ind w:left="-72" w:leftChars="-30" w:right="-72" w:rightChars="-30" w:firstLine="0" w:firstLineChars="0"/>
              <w:jc w:val="center"/>
              <w:textAlignment w:val="center"/>
              <w:rPr>
                <w:rFonts w:eastAsia="新宋体"/>
                <w:color w:val="auto"/>
                <w:sz w:val="21"/>
                <w:szCs w:val="21"/>
                <w:highlight w:val="none"/>
              </w:rPr>
            </w:pPr>
          </w:p>
        </w:tc>
        <w:tc>
          <w:tcPr>
            <w:tcW w:w="436" w:type="pct"/>
            <w:tcBorders>
              <w:tl2br w:val="nil"/>
              <w:tr2bl w:val="nil"/>
            </w:tcBorders>
            <w:vAlign w:val="center"/>
          </w:tcPr>
          <w:p w14:paraId="30586D89">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VOCs</w:t>
            </w:r>
          </w:p>
        </w:tc>
        <w:tc>
          <w:tcPr>
            <w:tcW w:w="512" w:type="pct"/>
            <w:tcBorders>
              <w:tl2br w:val="nil"/>
              <w:tr2bl w:val="nil"/>
            </w:tcBorders>
            <w:vAlign w:val="center"/>
          </w:tcPr>
          <w:p w14:paraId="4B6EEEC5">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10.2498</w:t>
            </w:r>
          </w:p>
        </w:tc>
        <w:tc>
          <w:tcPr>
            <w:tcW w:w="322" w:type="pct"/>
            <w:tcBorders>
              <w:tl2br w:val="nil"/>
              <w:tr2bl w:val="nil"/>
            </w:tcBorders>
            <w:noWrap/>
            <w:vAlign w:val="center"/>
          </w:tcPr>
          <w:p w14:paraId="79CAD8C6">
            <w:pPr>
              <w:widowControl/>
              <w:spacing w:line="240" w:lineRule="auto"/>
              <w:ind w:left="-72" w:leftChars="-30" w:right="-72" w:rightChars="-30" w:firstLine="0" w:firstLineChars="0"/>
              <w:jc w:val="center"/>
              <w:textAlignment w:val="center"/>
              <w:rPr>
                <w:rFonts w:eastAsia="新宋体"/>
                <w:color w:val="auto"/>
                <w:sz w:val="21"/>
                <w:szCs w:val="21"/>
                <w:highlight w:val="none"/>
              </w:rPr>
            </w:pPr>
          </w:p>
        </w:tc>
        <w:tc>
          <w:tcPr>
            <w:tcW w:w="366" w:type="pct"/>
            <w:tcBorders>
              <w:tl2br w:val="nil"/>
              <w:tr2bl w:val="nil"/>
            </w:tcBorders>
            <w:noWrap/>
            <w:vAlign w:val="center"/>
          </w:tcPr>
          <w:p w14:paraId="75EB22A1">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p>
        </w:tc>
        <w:tc>
          <w:tcPr>
            <w:tcW w:w="511" w:type="pct"/>
            <w:tcBorders>
              <w:tl2br w:val="nil"/>
              <w:tr2bl w:val="nil"/>
            </w:tcBorders>
            <w:noWrap/>
            <w:vAlign w:val="center"/>
          </w:tcPr>
          <w:p w14:paraId="589C80AF">
            <w:pPr>
              <w:widowControl/>
              <w:spacing w:line="240" w:lineRule="auto"/>
              <w:ind w:left="-72" w:leftChars="-30" w:right="-72" w:rightChars="-30" w:firstLine="0" w:firstLineChars="0"/>
              <w:jc w:val="center"/>
              <w:textAlignment w:val="center"/>
              <w:rPr>
                <w:rFonts w:eastAsia="新宋体"/>
                <w:color w:val="auto"/>
                <w:sz w:val="21"/>
                <w:szCs w:val="21"/>
                <w:highlight w:val="none"/>
              </w:rPr>
            </w:pPr>
          </w:p>
        </w:tc>
        <w:tc>
          <w:tcPr>
            <w:tcW w:w="457" w:type="pct"/>
            <w:tcBorders>
              <w:tl2br w:val="nil"/>
              <w:tr2bl w:val="nil"/>
            </w:tcBorders>
            <w:noWrap/>
            <w:vAlign w:val="center"/>
          </w:tcPr>
          <w:p w14:paraId="07019FB5">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p>
        </w:tc>
        <w:tc>
          <w:tcPr>
            <w:tcW w:w="339" w:type="pct"/>
            <w:tcBorders>
              <w:tl2br w:val="nil"/>
              <w:tr2bl w:val="nil"/>
            </w:tcBorders>
            <w:noWrap/>
            <w:vAlign w:val="center"/>
          </w:tcPr>
          <w:p w14:paraId="645885F8">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Borders>
              <w:tl2br w:val="nil"/>
              <w:tr2bl w:val="nil"/>
            </w:tcBorders>
            <w:noWrap/>
            <w:vAlign w:val="center"/>
          </w:tcPr>
          <w:p w14:paraId="3318632C">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Borders>
              <w:tl2br w:val="nil"/>
              <w:tr2bl w:val="nil"/>
            </w:tcBorders>
            <w:noWrap/>
            <w:vAlign w:val="center"/>
          </w:tcPr>
          <w:p w14:paraId="49A14DED">
            <w:pPr>
              <w:widowControl/>
              <w:spacing w:line="240" w:lineRule="auto"/>
              <w:ind w:left="-72" w:leftChars="-30" w:right="-72" w:rightChars="-30" w:firstLine="0" w:firstLineChars="0"/>
              <w:jc w:val="center"/>
              <w:rPr>
                <w:rFonts w:eastAsia="新宋体"/>
                <w:color w:val="auto"/>
                <w:sz w:val="21"/>
                <w:szCs w:val="21"/>
                <w:highlight w:val="none"/>
              </w:rPr>
            </w:pPr>
          </w:p>
        </w:tc>
      </w:tr>
      <w:tr w14:paraId="52A586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continue"/>
            <w:tcBorders>
              <w:tl2br w:val="nil"/>
              <w:tr2bl w:val="nil"/>
            </w:tcBorders>
            <w:noWrap/>
            <w:vAlign w:val="center"/>
          </w:tcPr>
          <w:p w14:paraId="7FA222CA">
            <w:pPr>
              <w:widowControl/>
              <w:spacing w:line="240" w:lineRule="auto"/>
              <w:ind w:left="-72" w:leftChars="-30" w:right="-72" w:rightChars="-30" w:firstLine="0" w:firstLineChars="0"/>
              <w:jc w:val="center"/>
              <w:rPr>
                <w:rFonts w:eastAsia="新宋体"/>
                <w:color w:val="auto"/>
                <w:sz w:val="21"/>
                <w:szCs w:val="21"/>
                <w:highlight w:val="none"/>
              </w:rPr>
            </w:pPr>
          </w:p>
        </w:tc>
        <w:tc>
          <w:tcPr>
            <w:tcW w:w="374" w:type="pct"/>
            <w:vMerge w:val="continue"/>
            <w:tcBorders>
              <w:tl2br w:val="nil"/>
              <w:tr2bl w:val="nil"/>
            </w:tcBorders>
            <w:vAlign w:val="center"/>
          </w:tcPr>
          <w:p w14:paraId="0A1DA6EF">
            <w:pPr>
              <w:widowControl/>
              <w:spacing w:line="240" w:lineRule="auto"/>
              <w:ind w:left="-72" w:leftChars="-30" w:right="-72" w:rightChars="-30" w:firstLine="0" w:firstLineChars="0"/>
              <w:jc w:val="center"/>
              <w:textAlignment w:val="center"/>
              <w:rPr>
                <w:rFonts w:eastAsia="新宋体"/>
                <w:color w:val="auto"/>
                <w:sz w:val="21"/>
                <w:szCs w:val="21"/>
                <w:highlight w:val="none"/>
              </w:rPr>
            </w:pPr>
          </w:p>
        </w:tc>
        <w:tc>
          <w:tcPr>
            <w:tcW w:w="436" w:type="pct"/>
            <w:tcBorders>
              <w:tl2br w:val="nil"/>
              <w:tr2bl w:val="nil"/>
            </w:tcBorders>
            <w:vAlign w:val="center"/>
          </w:tcPr>
          <w:p w14:paraId="2E99C291">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二甲苯</w:t>
            </w:r>
          </w:p>
        </w:tc>
        <w:tc>
          <w:tcPr>
            <w:tcW w:w="512" w:type="pct"/>
            <w:tcBorders>
              <w:tl2br w:val="nil"/>
              <w:tr2bl w:val="nil"/>
            </w:tcBorders>
            <w:vAlign w:val="center"/>
          </w:tcPr>
          <w:p w14:paraId="5BCA00CD">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1.5378</w:t>
            </w:r>
          </w:p>
        </w:tc>
        <w:tc>
          <w:tcPr>
            <w:tcW w:w="322" w:type="pct"/>
            <w:tcBorders>
              <w:tl2br w:val="nil"/>
              <w:tr2bl w:val="nil"/>
            </w:tcBorders>
            <w:vAlign w:val="center"/>
          </w:tcPr>
          <w:p w14:paraId="6F8DA74A">
            <w:pPr>
              <w:widowControl/>
              <w:spacing w:line="240" w:lineRule="auto"/>
              <w:ind w:left="-72" w:leftChars="-30" w:right="-72" w:rightChars="-30" w:firstLine="0" w:firstLineChars="0"/>
              <w:jc w:val="center"/>
              <w:textAlignment w:val="center"/>
              <w:rPr>
                <w:rFonts w:eastAsia="新宋体"/>
                <w:color w:val="auto"/>
                <w:sz w:val="21"/>
                <w:szCs w:val="21"/>
                <w:highlight w:val="none"/>
              </w:rPr>
            </w:pPr>
          </w:p>
        </w:tc>
        <w:tc>
          <w:tcPr>
            <w:tcW w:w="366" w:type="pct"/>
            <w:tcBorders>
              <w:tl2br w:val="nil"/>
              <w:tr2bl w:val="nil"/>
            </w:tcBorders>
          </w:tcPr>
          <w:p w14:paraId="2857B486">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p>
        </w:tc>
        <w:tc>
          <w:tcPr>
            <w:tcW w:w="511" w:type="pct"/>
            <w:tcBorders>
              <w:tl2br w:val="nil"/>
              <w:tr2bl w:val="nil"/>
            </w:tcBorders>
            <w:vAlign w:val="center"/>
          </w:tcPr>
          <w:p w14:paraId="47B54F39">
            <w:pPr>
              <w:widowControl/>
              <w:spacing w:line="240" w:lineRule="auto"/>
              <w:ind w:left="-72" w:leftChars="-30" w:right="-72" w:rightChars="-30" w:firstLine="0" w:firstLineChars="0"/>
              <w:jc w:val="center"/>
              <w:textAlignment w:val="center"/>
              <w:rPr>
                <w:rFonts w:eastAsia="新宋体"/>
                <w:color w:val="auto"/>
                <w:sz w:val="21"/>
                <w:szCs w:val="21"/>
                <w:highlight w:val="none"/>
              </w:rPr>
            </w:pPr>
          </w:p>
        </w:tc>
        <w:tc>
          <w:tcPr>
            <w:tcW w:w="457" w:type="pct"/>
            <w:tcBorders>
              <w:tl2br w:val="nil"/>
              <w:tr2bl w:val="nil"/>
            </w:tcBorders>
          </w:tcPr>
          <w:p w14:paraId="11AD0FAF">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p>
        </w:tc>
        <w:tc>
          <w:tcPr>
            <w:tcW w:w="339" w:type="pct"/>
            <w:tcBorders>
              <w:tl2br w:val="nil"/>
              <w:tr2bl w:val="nil"/>
            </w:tcBorders>
            <w:noWrap/>
            <w:vAlign w:val="center"/>
          </w:tcPr>
          <w:p w14:paraId="373F551C">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Borders>
              <w:tl2br w:val="nil"/>
              <w:tr2bl w:val="nil"/>
            </w:tcBorders>
            <w:noWrap/>
            <w:vAlign w:val="center"/>
          </w:tcPr>
          <w:p w14:paraId="13B0F747">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Borders>
              <w:tl2br w:val="nil"/>
              <w:tr2bl w:val="nil"/>
            </w:tcBorders>
            <w:noWrap/>
            <w:vAlign w:val="center"/>
          </w:tcPr>
          <w:p w14:paraId="070B2C0C">
            <w:pPr>
              <w:widowControl/>
              <w:spacing w:line="240" w:lineRule="auto"/>
              <w:ind w:left="-72" w:leftChars="-30" w:right="-72" w:rightChars="-30" w:firstLine="0" w:firstLineChars="0"/>
              <w:jc w:val="center"/>
              <w:rPr>
                <w:rFonts w:eastAsia="新宋体"/>
                <w:color w:val="auto"/>
                <w:sz w:val="21"/>
                <w:szCs w:val="21"/>
                <w:highlight w:val="none"/>
              </w:rPr>
            </w:pPr>
          </w:p>
        </w:tc>
      </w:tr>
      <w:tr w14:paraId="067ACE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restart"/>
            <w:tcBorders>
              <w:tl2br w:val="nil"/>
              <w:tr2bl w:val="nil"/>
            </w:tcBorders>
            <w:vAlign w:val="center"/>
          </w:tcPr>
          <w:p w14:paraId="331C2070">
            <w:pPr>
              <w:widowControl/>
              <w:spacing w:line="240" w:lineRule="auto"/>
              <w:ind w:left="-72" w:leftChars="-30" w:right="-72" w:rightChars="-30" w:firstLine="0" w:firstLineChars="0"/>
              <w:jc w:val="center"/>
              <w:rPr>
                <w:rFonts w:eastAsia="新宋体"/>
                <w:color w:val="auto"/>
                <w:sz w:val="21"/>
                <w:szCs w:val="21"/>
                <w:highlight w:val="none"/>
              </w:rPr>
            </w:pPr>
            <w:r>
              <w:rPr>
                <w:color w:val="auto"/>
                <w:sz w:val="21"/>
                <w:szCs w:val="21"/>
                <w:highlight w:val="none"/>
              </w:rPr>
              <w:t>丙烯酸面漆</w:t>
            </w:r>
          </w:p>
        </w:tc>
        <w:tc>
          <w:tcPr>
            <w:tcW w:w="374" w:type="pct"/>
            <w:vMerge w:val="restart"/>
            <w:tcBorders>
              <w:tl2br w:val="nil"/>
              <w:tr2bl w:val="nil"/>
            </w:tcBorders>
            <w:vAlign w:val="center"/>
          </w:tcPr>
          <w:p w14:paraId="591544B3">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hint="eastAsia" w:eastAsia="新宋体"/>
                <w:color w:val="auto"/>
                <w:sz w:val="21"/>
                <w:szCs w:val="21"/>
                <w:highlight w:val="none"/>
                <w:lang w:bidi="ar"/>
              </w:rPr>
              <w:t>25</w:t>
            </w:r>
          </w:p>
        </w:tc>
        <w:tc>
          <w:tcPr>
            <w:tcW w:w="436" w:type="pct"/>
            <w:tcBorders>
              <w:tl2br w:val="nil"/>
              <w:tr2bl w:val="nil"/>
            </w:tcBorders>
            <w:vAlign w:val="center"/>
          </w:tcPr>
          <w:p w14:paraId="1FF962F7">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固体份</w:t>
            </w:r>
          </w:p>
        </w:tc>
        <w:tc>
          <w:tcPr>
            <w:tcW w:w="512" w:type="pct"/>
            <w:tcBorders>
              <w:tl2br w:val="nil"/>
              <w:tr2bl w:val="nil"/>
            </w:tcBorders>
            <w:vAlign w:val="center"/>
          </w:tcPr>
          <w:p w14:paraId="3D5672B3">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17</w:t>
            </w:r>
          </w:p>
        </w:tc>
        <w:tc>
          <w:tcPr>
            <w:tcW w:w="322" w:type="pct"/>
            <w:tcBorders>
              <w:tl2br w:val="nil"/>
              <w:tr2bl w:val="nil"/>
            </w:tcBorders>
            <w:vAlign w:val="center"/>
          </w:tcPr>
          <w:p w14:paraId="387B161E">
            <w:pPr>
              <w:widowControl/>
              <w:spacing w:line="240" w:lineRule="auto"/>
              <w:ind w:left="-72" w:leftChars="-30" w:right="-72" w:rightChars="-30" w:firstLine="0" w:firstLineChars="0"/>
              <w:jc w:val="center"/>
              <w:textAlignment w:val="center"/>
              <w:rPr>
                <w:rFonts w:eastAsia="新宋体"/>
                <w:color w:val="auto"/>
                <w:sz w:val="21"/>
                <w:szCs w:val="21"/>
                <w:highlight w:val="none"/>
              </w:rPr>
            </w:pPr>
          </w:p>
        </w:tc>
        <w:tc>
          <w:tcPr>
            <w:tcW w:w="366" w:type="pct"/>
            <w:tcBorders>
              <w:tl2br w:val="nil"/>
              <w:tr2bl w:val="nil"/>
            </w:tcBorders>
          </w:tcPr>
          <w:p w14:paraId="650C559D">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p>
        </w:tc>
        <w:tc>
          <w:tcPr>
            <w:tcW w:w="511" w:type="pct"/>
            <w:tcBorders>
              <w:tl2br w:val="nil"/>
              <w:tr2bl w:val="nil"/>
            </w:tcBorders>
            <w:vAlign w:val="center"/>
          </w:tcPr>
          <w:p w14:paraId="253D4446">
            <w:pPr>
              <w:widowControl/>
              <w:spacing w:line="240" w:lineRule="auto"/>
              <w:ind w:left="-72" w:leftChars="-30" w:right="-72" w:rightChars="-30" w:firstLine="0" w:firstLineChars="0"/>
              <w:jc w:val="center"/>
              <w:textAlignment w:val="center"/>
              <w:rPr>
                <w:rFonts w:eastAsia="新宋体"/>
                <w:color w:val="auto"/>
                <w:sz w:val="21"/>
                <w:szCs w:val="21"/>
                <w:highlight w:val="none"/>
              </w:rPr>
            </w:pPr>
          </w:p>
        </w:tc>
        <w:tc>
          <w:tcPr>
            <w:tcW w:w="457" w:type="pct"/>
            <w:tcBorders>
              <w:tl2br w:val="nil"/>
              <w:tr2bl w:val="nil"/>
            </w:tcBorders>
          </w:tcPr>
          <w:p w14:paraId="3A70FBE9">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p>
        </w:tc>
        <w:tc>
          <w:tcPr>
            <w:tcW w:w="339" w:type="pct"/>
            <w:tcBorders>
              <w:tl2br w:val="nil"/>
              <w:tr2bl w:val="nil"/>
            </w:tcBorders>
            <w:noWrap/>
            <w:vAlign w:val="center"/>
          </w:tcPr>
          <w:p w14:paraId="1B7CE241">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Borders>
              <w:tl2br w:val="nil"/>
              <w:tr2bl w:val="nil"/>
            </w:tcBorders>
            <w:noWrap/>
            <w:vAlign w:val="center"/>
          </w:tcPr>
          <w:p w14:paraId="21008B77">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Borders>
              <w:tl2br w:val="nil"/>
              <w:tr2bl w:val="nil"/>
            </w:tcBorders>
            <w:noWrap/>
            <w:vAlign w:val="center"/>
          </w:tcPr>
          <w:p w14:paraId="2CF32262">
            <w:pPr>
              <w:widowControl/>
              <w:spacing w:line="240" w:lineRule="auto"/>
              <w:ind w:left="-72" w:leftChars="-30" w:right="-72" w:rightChars="-30" w:firstLine="0" w:firstLineChars="0"/>
              <w:jc w:val="center"/>
              <w:rPr>
                <w:rFonts w:eastAsia="新宋体"/>
                <w:color w:val="auto"/>
                <w:sz w:val="21"/>
                <w:szCs w:val="21"/>
                <w:highlight w:val="none"/>
              </w:rPr>
            </w:pPr>
          </w:p>
        </w:tc>
      </w:tr>
      <w:tr w14:paraId="544458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continue"/>
            <w:tcBorders>
              <w:tl2br w:val="nil"/>
              <w:tr2bl w:val="nil"/>
            </w:tcBorders>
            <w:noWrap/>
            <w:vAlign w:val="center"/>
          </w:tcPr>
          <w:p w14:paraId="304C7C11">
            <w:pPr>
              <w:widowControl/>
              <w:spacing w:line="240" w:lineRule="auto"/>
              <w:ind w:left="-72" w:leftChars="-30" w:right="-72" w:rightChars="-30" w:firstLine="0" w:firstLineChars="0"/>
              <w:jc w:val="center"/>
              <w:rPr>
                <w:rFonts w:eastAsia="新宋体"/>
                <w:color w:val="auto"/>
                <w:sz w:val="21"/>
                <w:szCs w:val="21"/>
                <w:highlight w:val="none"/>
              </w:rPr>
            </w:pPr>
          </w:p>
        </w:tc>
        <w:tc>
          <w:tcPr>
            <w:tcW w:w="374" w:type="pct"/>
            <w:vMerge w:val="continue"/>
            <w:tcBorders>
              <w:tl2br w:val="nil"/>
              <w:tr2bl w:val="nil"/>
            </w:tcBorders>
            <w:vAlign w:val="center"/>
          </w:tcPr>
          <w:p w14:paraId="01405253">
            <w:pPr>
              <w:widowControl/>
              <w:spacing w:line="240" w:lineRule="auto"/>
              <w:ind w:left="-72" w:leftChars="-30" w:right="-72" w:rightChars="-30" w:firstLine="0" w:firstLineChars="0"/>
              <w:jc w:val="center"/>
              <w:textAlignment w:val="center"/>
              <w:rPr>
                <w:rFonts w:eastAsia="新宋体"/>
                <w:color w:val="auto"/>
                <w:sz w:val="21"/>
                <w:szCs w:val="21"/>
                <w:highlight w:val="none"/>
              </w:rPr>
            </w:pPr>
          </w:p>
        </w:tc>
        <w:tc>
          <w:tcPr>
            <w:tcW w:w="436" w:type="pct"/>
            <w:tcBorders>
              <w:tl2br w:val="nil"/>
              <w:tr2bl w:val="nil"/>
            </w:tcBorders>
            <w:vAlign w:val="center"/>
          </w:tcPr>
          <w:p w14:paraId="1BA2EBD5">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VOCs</w:t>
            </w:r>
          </w:p>
        </w:tc>
        <w:tc>
          <w:tcPr>
            <w:tcW w:w="512" w:type="pct"/>
            <w:tcBorders>
              <w:tl2br w:val="nil"/>
              <w:tr2bl w:val="nil"/>
            </w:tcBorders>
            <w:vAlign w:val="center"/>
          </w:tcPr>
          <w:p w14:paraId="543E0E44">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6.75</w:t>
            </w:r>
          </w:p>
        </w:tc>
        <w:tc>
          <w:tcPr>
            <w:tcW w:w="322" w:type="pct"/>
            <w:tcBorders>
              <w:tl2br w:val="nil"/>
              <w:tr2bl w:val="nil"/>
            </w:tcBorders>
            <w:vAlign w:val="center"/>
          </w:tcPr>
          <w:p w14:paraId="6BB61B68">
            <w:pPr>
              <w:widowControl/>
              <w:spacing w:line="240" w:lineRule="auto"/>
              <w:ind w:left="-72" w:leftChars="-30" w:right="-72" w:rightChars="-30" w:firstLine="0" w:firstLineChars="0"/>
              <w:jc w:val="center"/>
              <w:rPr>
                <w:rFonts w:eastAsia="新宋体"/>
                <w:color w:val="auto"/>
                <w:sz w:val="21"/>
                <w:szCs w:val="21"/>
                <w:highlight w:val="none"/>
              </w:rPr>
            </w:pPr>
          </w:p>
        </w:tc>
        <w:tc>
          <w:tcPr>
            <w:tcW w:w="366" w:type="pct"/>
            <w:tcBorders>
              <w:tl2br w:val="nil"/>
              <w:tr2bl w:val="nil"/>
            </w:tcBorders>
            <w:vAlign w:val="center"/>
          </w:tcPr>
          <w:p w14:paraId="44465F10">
            <w:pPr>
              <w:widowControl/>
              <w:spacing w:line="240" w:lineRule="auto"/>
              <w:ind w:left="-72" w:leftChars="-30" w:right="-72" w:rightChars="-30" w:firstLine="0" w:firstLineChars="0"/>
              <w:jc w:val="center"/>
              <w:rPr>
                <w:rFonts w:eastAsia="新宋体"/>
                <w:color w:val="auto"/>
                <w:sz w:val="21"/>
                <w:szCs w:val="21"/>
                <w:highlight w:val="none"/>
              </w:rPr>
            </w:pPr>
          </w:p>
        </w:tc>
        <w:tc>
          <w:tcPr>
            <w:tcW w:w="511" w:type="pct"/>
            <w:tcBorders>
              <w:tl2br w:val="nil"/>
              <w:tr2bl w:val="nil"/>
            </w:tcBorders>
            <w:vAlign w:val="center"/>
          </w:tcPr>
          <w:p w14:paraId="5AB9D36F">
            <w:pPr>
              <w:widowControl/>
              <w:spacing w:line="240" w:lineRule="auto"/>
              <w:ind w:left="-72" w:leftChars="-30" w:right="-72" w:rightChars="-30" w:firstLine="0" w:firstLineChars="0"/>
              <w:jc w:val="center"/>
              <w:rPr>
                <w:rFonts w:eastAsia="新宋体"/>
                <w:color w:val="auto"/>
                <w:sz w:val="21"/>
                <w:szCs w:val="21"/>
                <w:highlight w:val="none"/>
              </w:rPr>
            </w:pPr>
          </w:p>
        </w:tc>
        <w:tc>
          <w:tcPr>
            <w:tcW w:w="457" w:type="pct"/>
            <w:tcBorders>
              <w:tl2br w:val="nil"/>
              <w:tr2bl w:val="nil"/>
            </w:tcBorders>
            <w:vAlign w:val="center"/>
          </w:tcPr>
          <w:p w14:paraId="25F1355F">
            <w:pPr>
              <w:widowControl/>
              <w:spacing w:line="240" w:lineRule="auto"/>
              <w:ind w:left="-72" w:leftChars="-30" w:right="-72" w:rightChars="-30" w:firstLine="0" w:firstLineChars="0"/>
              <w:jc w:val="center"/>
              <w:rPr>
                <w:rFonts w:eastAsia="新宋体"/>
                <w:color w:val="auto"/>
                <w:sz w:val="21"/>
                <w:szCs w:val="21"/>
                <w:highlight w:val="none"/>
              </w:rPr>
            </w:pPr>
          </w:p>
        </w:tc>
        <w:tc>
          <w:tcPr>
            <w:tcW w:w="339" w:type="pct"/>
            <w:tcBorders>
              <w:tl2br w:val="nil"/>
              <w:tr2bl w:val="nil"/>
            </w:tcBorders>
            <w:noWrap/>
            <w:vAlign w:val="center"/>
          </w:tcPr>
          <w:p w14:paraId="31995481">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Borders>
              <w:tl2br w:val="nil"/>
              <w:tr2bl w:val="nil"/>
            </w:tcBorders>
            <w:noWrap/>
            <w:vAlign w:val="center"/>
          </w:tcPr>
          <w:p w14:paraId="624BAE48">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Borders>
              <w:tl2br w:val="nil"/>
              <w:tr2bl w:val="nil"/>
            </w:tcBorders>
            <w:noWrap/>
            <w:vAlign w:val="center"/>
          </w:tcPr>
          <w:p w14:paraId="0C69DCB2">
            <w:pPr>
              <w:widowControl/>
              <w:spacing w:line="240" w:lineRule="auto"/>
              <w:ind w:left="-72" w:leftChars="-30" w:right="-72" w:rightChars="-30" w:firstLine="0" w:firstLineChars="0"/>
              <w:jc w:val="center"/>
              <w:rPr>
                <w:rFonts w:eastAsia="新宋体"/>
                <w:color w:val="auto"/>
                <w:sz w:val="21"/>
                <w:szCs w:val="21"/>
                <w:highlight w:val="none"/>
              </w:rPr>
            </w:pPr>
          </w:p>
        </w:tc>
      </w:tr>
      <w:tr w14:paraId="685350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continue"/>
            <w:tcBorders>
              <w:tl2br w:val="nil"/>
              <w:tr2bl w:val="nil"/>
            </w:tcBorders>
            <w:noWrap/>
            <w:vAlign w:val="center"/>
          </w:tcPr>
          <w:p w14:paraId="5D09DD27">
            <w:pPr>
              <w:widowControl/>
              <w:spacing w:line="240" w:lineRule="auto"/>
              <w:ind w:left="-72" w:leftChars="-30" w:right="-72" w:rightChars="-30" w:firstLine="0" w:firstLineChars="0"/>
              <w:jc w:val="center"/>
              <w:rPr>
                <w:rFonts w:eastAsia="新宋体"/>
                <w:color w:val="auto"/>
                <w:sz w:val="21"/>
                <w:szCs w:val="21"/>
                <w:highlight w:val="none"/>
              </w:rPr>
            </w:pPr>
          </w:p>
        </w:tc>
        <w:tc>
          <w:tcPr>
            <w:tcW w:w="374" w:type="pct"/>
            <w:vMerge w:val="continue"/>
            <w:tcBorders>
              <w:tl2br w:val="nil"/>
              <w:tr2bl w:val="nil"/>
            </w:tcBorders>
            <w:vAlign w:val="center"/>
          </w:tcPr>
          <w:p w14:paraId="5E75FCE1">
            <w:pPr>
              <w:widowControl/>
              <w:spacing w:line="240" w:lineRule="auto"/>
              <w:ind w:left="-72" w:leftChars="-30" w:right="-72" w:rightChars="-30" w:firstLine="0" w:firstLineChars="0"/>
              <w:jc w:val="center"/>
              <w:textAlignment w:val="center"/>
              <w:rPr>
                <w:rFonts w:eastAsia="新宋体"/>
                <w:color w:val="auto"/>
                <w:sz w:val="21"/>
                <w:szCs w:val="21"/>
                <w:highlight w:val="none"/>
              </w:rPr>
            </w:pPr>
          </w:p>
        </w:tc>
        <w:tc>
          <w:tcPr>
            <w:tcW w:w="436" w:type="pct"/>
            <w:tcBorders>
              <w:tl2br w:val="nil"/>
              <w:tr2bl w:val="nil"/>
            </w:tcBorders>
            <w:vAlign w:val="center"/>
          </w:tcPr>
          <w:p w14:paraId="6F732A2A">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二甲苯</w:t>
            </w:r>
          </w:p>
        </w:tc>
        <w:tc>
          <w:tcPr>
            <w:tcW w:w="512" w:type="pct"/>
            <w:tcBorders>
              <w:tl2br w:val="nil"/>
              <w:tr2bl w:val="nil"/>
            </w:tcBorders>
            <w:vAlign w:val="center"/>
          </w:tcPr>
          <w:p w14:paraId="302572B6">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1.25</w:t>
            </w:r>
          </w:p>
        </w:tc>
        <w:tc>
          <w:tcPr>
            <w:tcW w:w="322" w:type="pct"/>
            <w:tcBorders>
              <w:tl2br w:val="nil"/>
              <w:tr2bl w:val="nil"/>
            </w:tcBorders>
            <w:vAlign w:val="center"/>
          </w:tcPr>
          <w:p w14:paraId="27AE87DC">
            <w:pPr>
              <w:widowControl/>
              <w:spacing w:line="240" w:lineRule="auto"/>
              <w:ind w:left="-72" w:leftChars="-30" w:right="-72" w:rightChars="-30" w:firstLine="0" w:firstLineChars="0"/>
              <w:jc w:val="center"/>
              <w:rPr>
                <w:rFonts w:eastAsia="新宋体"/>
                <w:color w:val="auto"/>
                <w:sz w:val="21"/>
                <w:szCs w:val="21"/>
                <w:highlight w:val="none"/>
              </w:rPr>
            </w:pPr>
          </w:p>
        </w:tc>
        <w:tc>
          <w:tcPr>
            <w:tcW w:w="366" w:type="pct"/>
            <w:tcBorders>
              <w:tl2br w:val="nil"/>
              <w:tr2bl w:val="nil"/>
            </w:tcBorders>
            <w:vAlign w:val="center"/>
          </w:tcPr>
          <w:p w14:paraId="6D9ED14B">
            <w:pPr>
              <w:widowControl/>
              <w:spacing w:line="240" w:lineRule="auto"/>
              <w:ind w:left="-72" w:leftChars="-30" w:right="-72" w:rightChars="-30" w:firstLine="0" w:firstLineChars="0"/>
              <w:jc w:val="center"/>
              <w:rPr>
                <w:rFonts w:eastAsia="新宋体"/>
                <w:color w:val="auto"/>
                <w:sz w:val="21"/>
                <w:szCs w:val="21"/>
                <w:highlight w:val="none"/>
              </w:rPr>
            </w:pPr>
          </w:p>
        </w:tc>
        <w:tc>
          <w:tcPr>
            <w:tcW w:w="511" w:type="pct"/>
            <w:tcBorders>
              <w:tl2br w:val="nil"/>
              <w:tr2bl w:val="nil"/>
            </w:tcBorders>
            <w:vAlign w:val="center"/>
          </w:tcPr>
          <w:p w14:paraId="00D02A4D">
            <w:pPr>
              <w:widowControl/>
              <w:spacing w:line="240" w:lineRule="auto"/>
              <w:ind w:left="-72" w:leftChars="-30" w:right="-72" w:rightChars="-30" w:firstLine="0" w:firstLineChars="0"/>
              <w:jc w:val="center"/>
              <w:rPr>
                <w:rFonts w:eastAsia="新宋体"/>
                <w:color w:val="auto"/>
                <w:sz w:val="21"/>
                <w:szCs w:val="21"/>
                <w:highlight w:val="none"/>
              </w:rPr>
            </w:pPr>
          </w:p>
        </w:tc>
        <w:tc>
          <w:tcPr>
            <w:tcW w:w="457" w:type="pct"/>
            <w:tcBorders>
              <w:tl2br w:val="nil"/>
              <w:tr2bl w:val="nil"/>
            </w:tcBorders>
            <w:vAlign w:val="center"/>
          </w:tcPr>
          <w:p w14:paraId="4CF38FC8">
            <w:pPr>
              <w:widowControl/>
              <w:spacing w:line="240" w:lineRule="auto"/>
              <w:ind w:left="-72" w:leftChars="-30" w:right="-72" w:rightChars="-30" w:firstLine="0" w:firstLineChars="0"/>
              <w:jc w:val="center"/>
              <w:rPr>
                <w:rFonts w:eastAsia="新宋体"/>
                <w:color w:val="auto"/>
                <w:sz w:val="21"/>
                <w:szCs w:val="21"/>
                <w:highlight w:val="none"/>
              </w:rPr>
            </w:pPr>
          </w:p>
        </w:tc>
        <w:tc>
          <w:tcPr>
            <w:tcW w:w="339" w:type="pct"/>
            <w:tcBorders>
              <w:tl2br w:val="nil"/>
              <w:tr2bl w:val="nil"/>
            </w:tcBorders>
            <w:noWrap/>
            <w:vAlign w:val="center"/>
          </w:tcPr>
          <w:p w14:paraId="36DFD442">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Borders>
              <w:tl2br w:val="nil"/>
              <w:tr2bl w:val="nil"/>
            </w:tcBorders>
            <w:noWrap/>
            <w:vAlign w:val="center"/>
          </w:tcPr>
          <w:p w14:paraId="43DEBCCC">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Borders>
              <w:tl2br w:val="nil"/>
              <w:tr2bl w:val="nil"/>
            </w:tcBorders>
            <w:noWrap/>
            <w:vAlign w:val="center"/>
          </w:tcPr>
          <w:p w14:paraId="52FDA943">
            <w:pPr>
              <w:widowControl/>
              <w:spacing w:line="240" w:lineRule="auto"/>
              <w:ind w:left="-72" w:leftChars="-30" w:right="-72" w:rightChars="-30" w:firstLine="0" w:firstLineChars="0"/>
              <w:jc w:val="center"/>
              <w:rPr>
                <w:rFonts w:eastAsia="新宋体"/>
                <w:color w:val="auto"/>
                <w:sz w:val="21"/>
                <w:szCs w:val="21"/>
                <w:highlight w:val="none"/>
              </w:rPr>
            </w:pPr>
          </w:p>
        </w:tc>
      </w:tr>
      <w:tr w14:paraId="25B37B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restart"/>
            <w:tcBorders>
              <w:tl2br w:val="nil"/>
              <w:tr2bl w:val="nil"/>
            </w:tcBorders>
            <w:vAlign w:val="center"/>
          </w:tcPr>
          <w:p w14:paraId="5F3C4F18">
            <w:pPr>
              <w:widowControl/>
              <w:spacing w:line="240" w:lineRule="auto"/>
              <w:ind w:left="-72" w:leftChars="-30" w:right="-72" w:rightChars="-30" w:firstLine="0" w:firstLineChars="0"/>
              <w:jc w:val="center"/>
              <w:rPr>
                <w:rFonts w:eastAsia="新宋体"/>
                <w:color w:val="auto"/>
                <w:sz w:val="21"/>
                <w:szCs w:val="21"/>
                <w:highlight w:val="none"/>
              </w:rPr>
            </w:pPr>
            <w:r>
              <w:rPr>
                <w:color w:val="auto"/>
                <w:sz w:val="21"/>
                <w:szCs w:val="21"/>
                <w:highlight w:val="none"/>
              </w:rPr>
              <w:t>聚氨酯面漆</w:t>
            </w:r>
          </w:p>
        </w:tc>
        <w:tc>
          <w:tcPr>
            <w:tcW w:w="374" w:type="pct"/>
            <w:vMerge w:val="restart"/>
            <w:tcBorders>
              <w:tl2br w:val="nil"/>
              <w:tr2bl w:val="nil"/>
            </w:tcBorders>
            <w:vAlign w:val="center"/>
          </w:tcPr>
          <w:p w14:paraId="27B3439B">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hint="eastAsia" w:eastAsia="新宋体"/>
                <w:color w:val="auto"/>
                <w:sz w:val="21"/>
                <w:szCs w:val="21"/>
                <w:highlight w:val="none"/>
                <w:lang w:bidi="ar"/>
              </w:rPr>
              <w:t>50</w:t>
            </w:r>
          </w:p>
        </w:tc>
        <w:tc>
          <w:tcPr>
            <w:tcW w:w="436" w:type="pct"/>
            <w:tcBorders>
              <w:tl2br w:val="nil"/>
              <w:tr2bl w:val="nil"/>
            </w:tcBorders>
            <w:vAlign w:val="center"/>
          </w:tcPr>
          <w:p w14:paraId="23355CC3">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固体份</w:t>
            </w:r>
          </w:p>
        </w:tc>
        <w:tc>
          <w:tcPr>
            <w:tcW w:w="512" w:type="pct"/>
            <w:tcBorders>
              <w:tl2br w:val="nil"/>
              <w:tr2bl w:val="nil"/>
            </w:tcBorders>
            <w:vAlign w:val="center"/>
          </w:tcPr>
          <w:p w14:paraId="51347B4E">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36.75</w:t>
            </w:r>
          </w:p>
        </w:tc>
        <w:tc>
          <w:tcPr>
            <w:tcW w:w="322" w:type="pct"/>
            <w:tcBorders>
              <w:tl2br w:val="nil"/>
              <w:tr2bl w:val="nil"/>
            </w:tcBorders>
            <w:vAlign w:val="center"/>
          </w:tcPr>
          <w:p w14:paraId="656B50B3">
            <w:pPr>
              <w:widowControl/>
              <w:spacing w:line="240" w:lineRule="auto"/>
              <w:ind w:left="-72" w:leftChars="-30" w:right="-72" w:rightChars="-30" w:firstLine="0" w:firstLineChars="0"/>
              <w:jc w:val="center"/>
              <w:rPr>
                <w:rFonts w:eastAsia="新宋体"/>
                <w:color w:val="auto"/>
                <w:sz w:val="21"/>
                <w:szCs w:val="21"/>
                <w:highlight w:val="none"/>
              </w:rPr>
            </w:pPr>
          </w:p>
        </w:tc>
        <w:tc>
          <w:tcPr>
            <w:tcW w:w="366" w:type="pct"/>
            <w:tcBorders>
              <w:tl2br w:val="nil"/>
              <w:tr2bl w:val="nil"/>
            </w:tcBorders>
            <w:vAlign w:val="center"/>
          </w:tcPr>
          <w:p w14:paraId="6103DC69">
            <w:pPr>
              <w:widowControl/>
              <w:spacing w:line="240" w:lineRule="auto"/>
              <w:ind w:left="-72" w:leftChars="-30" w:right="-72" w:rightChars="-30" w:firstLine="0" w:firstLineChars="0"/>
              <w:jc w:val="center"/>
              <w:rPr>
                <w:rFonts w:eastAsia="新宋体"/>
                <w:color w:val="auto"/>
                <w:sz w:val="21"/>
                <w:szCs w:val="21"/>
                <w:highlight w:val="none"/>
              </w:rPr>
            </w:pPr>
          </w:p>
        </w:tc>
        <w:tc>
          <w:tcPr>
            <w:tcW w:w="511" w:type="pct"/>
            <w:tcBorders>
              <w:tl2br w:val="nil"/>
              <w:tr2bl w:val="nil"/>
            </w:tcBorders>
            <w:vAlign w:val="center"/>
          </w:tcPr>
          <w:p w14:paraId="6C2B8BDF">
            <w:pPr>
              <w:widowControl/>
              <w:spacing w:line="240" w:lineRule="auto"/>
              <w:ind w:left="-72" w:leftChars="-30" w:right="-72" w:rightChars="-30" w:firstLine="0" w:firstLineChars="0"/>
              <w:jc w:val="center"/>
              <w:rPr>
                <w:rFonts w:eastAsia="新宋体"/>
                <w:color w:val="auto"/>
                <w:sz w:val="21"/>
                <w:szCs w:val="21"/>
                <w:highlight w:val="none"/>
              </w:rPr>
            </w:pPr>
          </w:p>
        </w:tc>
        <w:tc>
          <w:tcPr>
            <w:tcW w:w="457" w:type="pct"/>
            <w:tcBorders>
              <w:tl2br w:val="nil"/>
              <w:tr2bl w:val="nil"/>
            </w:tcBorders>
            <w:vAlign w:val="center"/>
          </w:tcPr>
          <w:p w14:paraId="5DA1E125">
            <w:pPr>
              <w:widowControl/>
              <w:spacing w:line="240" w:lineRule="auto"/>
              <w:ind w:left="-72" w:leftChars="-30" w:right="-72" w:rightChars="-30" w:firstLine="0" w:firstLineChars="0"/>
              <w:jc w:val="center"/>
              <w:rPr>
                <w:rFonts w:eastAsia="新宋体"/>
                <w:color w:val="auto"/>
                <w:sz w:val="21"/>
                <w:szCs w:val="21"/>
                <w:highlight w:val="none"/>
              </w:rPr>
            </w:pPr>
          </w:p>
        </w:tc>
        <w:tc>
          <w:tcPr>
            <w:tcW w:w="339" w:type="pct"/>
            <w:tcBorders>
              <w:tl2br w:val="nil"/>
              <w:tr2bl w:val="nil"/>
            </w:tcBorders>
            <w:noWrap/>
            <w:vAlign w:val="center"/>
          </w:tcPr>
          <w:p w14:paraId="26474174">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Borders>
              <w:tl2br w:val="nil"/>
              <w:tr2bl w:val="nil"/>
            </w:tcBorders>
            <w:noWrap/>
            <w:vAlign w:val="center"/>
          </w:tcPr>
          <w:p w14:paraId="16A6C008">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Borders>
              <w:tl2br w:val="nil"/>
              <w:tr2bl w:val="nil"/>
            </w:tcBorders>
            <w:noWrap/>
            <w:vAlign w:val="center"/>
          </w:tcPr>
          <w:p w14:paraId="1621B1EC">
            <w:pPr>
              <w:widowControl/>
              <w:spacing w:line="240" w:lineRule="auto"/>
              <w:ind w:left="-72" w:leftChars="-30" w:right="-72" w:rightChars="-30" w:firstLine="0" w:firstLineChars="0"/>
              <w:jc w:val="center"/>
              <w:rPr>
                <w:rFonts w:eastAsia="新宋体"/>
                <w:color w:val="auto"/>
                <w:sz w:val="21"/>
                <w:szCs w:val="21"/>
                <w:highlight w:val="none"/>
              </w:rPr>
            </w:pPr>
          </w:p>
        </w:tc>
      </w:tr>
      <w:tr w14:paraId="40CDE2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continue"/>
            <w:tcBorders>
              <w:tl2br w:val="nil"/>
              <w:tr2bl w:val="nil"/>
            </w:tcBorders>
            <w:noWrap/>
            <w:vAlign w:val="center"/>
          </w:tcPr>
          <w:p w14:paraId="71903CFB">
            <w:pPr>
              <w:widowControl/>
              <w:spacing w:line="240" w:lineRule="auto"/>
              <w:ind w:left="-72" w:leftChars="-30" w:right="-72" w:rightChars="-30" w:firstLine="0" w:firstLineChars="0"/>
              <w:jc w:val="center"/>
              <w:rPr>
                <w:rFonts w:eastAsia="新宋体"/>
                <w:color w:val="auto"/>
                <w:sz w:val="21"/>
                <w:szCs w:val="21"/>
                <w:highlight w:val="none"/>
              </w:rPr>
            </w:pPr>
          </w:p>
        </w:tc>
        <w:tc>
          <w:tcPr>
            <w:tcW w:w="374" w:type="pct"/>
            <w:vMerge w:val="continue"/>
            <w:tcBorders>
              <w:tl2br w:val="nil"/>
              <w:tr2bl w:val="nil"/>
            </w:tcBorders>
            <w:vAlign w:val="center"/>
          </w:tcPr>
          <w:p w14:paraId="45804ABD">
            <w:pPr>
              <w:widowControl/>
              <w:spacing w:line="240" w:lineRule="auto"/>
              <w:ind w:left="-72" w:leftChars="-30" w:right="-72" w:rightChars="-30" w:firstLine="0" w:firstLineChars="0"/>
              <w:jc w:val="center"/>
              <w:textAlignment w:val="center"/>
              <w:rPr>
                <w:rFonts w:eastAsia="新宋体"/>
                <w:color w:val="auto"/>
                <w:sz w:val="21"/>
                <w:szCs w:val="21"/>
                <w:highlight w:val="none"/>
              </w:rPr>
            </w:pPr>
          </w:p>
        </w:tc>
        <w:tc>
          <w:tcPr>
            <w:tcW w:w="436" w:type="pct"/>
            <w:tcBorders>
              <w:tl2br w:val="nil"/>
              <w:tr2bl w:val="nil"/>
            </w:tcBorders>
            <w:vAlign w:val="center"/>
          </w:tcPr>
          <w:p w14:paraId="65C021AE">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VOCs</w:t>
            </w:r>
          </w:p>
        </w:tc>
        <w:tc>
          <w:tcPr>
            <w:tcW w:w="512" w:type="pct"/>
            <w:tcBorders>
              <w:tl2br w:val="nil"/>
              <w:tr2bl w:val="nil"/>
            </w:tcBorders>
            <w:vAlign w:val="center"/>
          </w:tcPr>
          <w:p w14:paraId="16D8F511">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12.25</w:t>
            </w:r>
          </w:p>
        </w:tc>
        <w:tc>
          <w:tcPr>
            <w:tcW w:w="322" w:type="pct"/>
            <w:tcBorders>
              <w:tl2br w:val="nil"/>
              <w:tr2bl w:val="nil"/>
            </w:tcBorders>
            <w:vAlign w:val="center"/>
          </w:tcPr>
          <w:p w14:paraId="1C3E5363">
            <w:pPr>
              <w:widowControl/>
              <w:spacing w:line="240" w:lineRule="auto"/>
              <w:ind w:left="-72" w:leftChars="-30" w:right="-72" w:rightChars="-30" w:firstLine="0" w:firstLineChars="0"/>
              <w:jc w:val="center"/>
              <w:rPr>
                <w:rFonts w:eastAsia="新宋体"/>
                <w:color w:val="auto"/>
                <w:sz w:val="21"/>
                <w:szCs w:val="21"/>
                <w:highlight w:val="none"/>
              </w:rPr>
            </w:pPr>
          </w:p>
        </w:tc>
        <w:tc>
          <w:tcPr>
            <w:tcW w:w="366" w:type="pct"/>
            <w:tcBorders>
              <w:tl2br w:val="nil"/>
              <w:tr2bl w:val="nil"/>
            </w:tcBorders>
            <w:vAlign w:val="center"/>
          </w:tcPr>
          <w:p w14:paraId="1E11B803">
            <w:pPr>
              <w:widowControl/>
              <w:spacing w:line="240" w:lineRule="auto"/>
              <w:ind w:left="-72" w:leftChars="-30" w:right="-72" w:rightChars="-30" w:firstLine="0" w:firstLineChars="0"/>
              <w:jc w:val="center"/>
              <w:rPr>
                <w:rFonts w:eastAsia="新宋体"/>
                <w:color w:val="auto"/>
                <w:sz w:val="21"/>
                <w:szCs w:val="21"/>
                <w:highlight w:val="none"/>
              </w:rPr>
            </w:pPr>
          </w:p>
        </w:tc>
        <w:tc>
          <w:tcPr>
            <w:tcW w:w="511" w:type="pct"/>
            <w:tcBorders>
              <w:tl2br w:val="nil"/>
              <w:tr2bl w:val="nil"/>
            </w:tcBorders>
            <w:vAlign w:val="center"/>
          </w:tcPr>
          <w:p w14:paraId="28CD03AA">
            <w:pPr>
              <w:widowControl/>
              <w:spacing w:line="240" w:lineRule="auto"/>
              <w:ind w:left="-72" w:leftChars="-30" w:right="-72" w:rightChars="-30" w:firstLine="0" w:firstLineChars="0"/>
              <w:jc w:val="center"/>
              <w:rPr>
                <w:rFonts w:eastAsia="新宋体"/>
                <w:color w:val="auto"/>
                <w:sz w:val="21"/>
                <w:szCs w:val="21"/>
                <w:highlight w:val="none"/>
              </w:rPr>
            </w:pPr>
          </w:p>
        </w:tc>
        <w:tc>
          <w:tcPr>
            <w:tcW w:w="457" w:type="pct"/>
            <w:tcBorders>
              <w:tl2br w:val="nil"/>
              <w:tr2bl w:val="nil"/>
            </w:tcBorders>
            <w:vAlign w:val="center"/>
          </w:tcPr>
          <w:p w14:paraId="5C12498D">
            <w:pPr>
              <w:widowControl/>
              <w:spacing w:line="240" w:lineRule="auto"/>
              <w:ind w:left="-72" w:leftChars="-30" w:right="-72" w:rightChars="-30" w:firstLine="0" w:firstLineChars="0"/>
              <w:jc w:val="center"/>
              <w:rPr>
                <w:rFonts w:eastAsia="新宋体"/>
                <w:color w:val="auto"/>
                <w:sz w:val="21"/>
                <w:szCs w:val="21"/>
                <w:highlight w:val="none"/>
              </w:rPr>
            </w:pPr>
          </w:p>
        </w:tc>
        <w:tc>
          <w:tcPr>
            <w:tcW w:w="339" w:type="pct"/>
            <w:tcBorders>
              <w:tl2br w:val="nil"/>
              <w:tr2bl w:val="nil"/>
            </w:tcBorders>
            <w:noWrap/>
            <w:vAlign w:val="center"/>
          </w:tcPr>
          <w:p w14:paraId="449C9A49">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Borders>
              <w:tl2br w:val="nil"/>
              <w:tr2bl w:val="nil"/>
            </w:tcBorders>
            <w:noWrap/>
            <w:vAlign w:val="center"/>
          </w:tcPr>
          <w:p w14:paraId="46D7CA38">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Borders>
              <w:tl2br w:val="nil"/>
              <w:tr2bl w:val="nil"/>
            </w:tcBorders>
            <w:noWrap/>
            <w:vAlign w:val="center"/>
          </w:tcPr>
          <w:p w14:paraId="5F75AF2B">
            <w:pPr>
              <w:widowControl/>
              <w:spacing w:line="240" w:lineRule="auto"/>
              <w:ind w:left="-72" w:leftChars="-30" w:right="-72" w:rightChars="-30" w:firstLine="0" w:firstLineChars="0"/>
              <w:jc w:val="center"/>
              <w:rPr>
                <w:rFonts w:eastAsia="新宋体"/>
                <w:color w:val="auto"/>
                <w:sz w:val="21"/>
                <w:szCs w:val="21"/>
                <w:highlight w:val="none"/>
              </w:rPr>
            </w:pPr>
          </w:p>
        </w:tc>
      </w:tr>
      <w:tr w14:paraId="2418A6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continue"/>
            <w:tcBorders>
              <w:tl2br w:val="nil"/>
              <w:tr2bl w:val="nil"/>
            </w:tcBorders>
            <w:noWrap/>
            <w:vAlign w:val="center"/>
          </w:tcPr>
          <w:p w14:paraId="3585BEE9">
            <w:pPr>
              <w:widowControl/>
              <w:spacing w:line="240" w:lineRule="auto"/>
              <w:ind w:left="-72" w:leftChars="-30" w:right="-72" w:rightChars="-30" w:firstLine="0" w:firstLineChars="0"/>
              <w:jc w:val="center"/>
              <w:rPr>
                <w:rFonts w:eastAsia="新宋体"/>
                <w:color w:val="auto"/>
                <w:sz w:val="21"/>
                <w:szCs w:val="21"/>
                <w:highlight w:val="none"/>
              </w:rPr>
            </w:pPr>
          </w:p>
        </w:tc>
        <w:tc>
          <w:tcPr>
            <w:tcW w:w="374" w:type="pct"/>
            <w:vMerge w:val="continue"/>
            <w:tcBorders>
              <w:tl2br w:val="nil"/>
              <w:tr2bl w:val="nil"/>
            </w:tcBorders>
            <w:vAlign w:val="center"/>
          </w:tcPr>
          <w:p w14:paraId="66F9BD12">
            <w:pPr>
              <w:widowControl/>
              <w:spacing w:line="240" w:lineRule="auto"/>
              <w:ind w:left="-72" w:leftChars="-30" w:right="-72" w:rightChars="-30" w:firstLine="0" w:firstLineChars="0"/>
              <w:jc w:val="center"/>
              <w:textAlignment w:val="center"/>
              <w:rPr>
                <w:rFonts w:eastAsia="新宋体"/>
                <w:color w:val="auto"/>
                <w:sz w:val="21"/>
                <w:szCs w:val="21"/>
                <w:highlight w:val="none"/>
              </w:rPr>
            </w:pPr>
          </w:p>
        </w:tc>
        <w:tc>
          <w:tcPr>
            <w:tcW w:w="436" w:type="pct"/>
            <w:tcBorders>
              <w:tl2br w:val="nil"/>
              <w:tr2bl w:val="nil"/>
            </w:tcBorders>
            <w:vAlign w:val="center"/>
          </w:tcPr>
          <w:p w14:paraId="15D73FDF">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二甲苯</w:t>
            </w:r>
          </w:p>
        </w:tc>
        <w:tc>
          <w:tcPr>
            <w:tcW w:w="512" w:type="pct"/>
            <w:tcBorders>
              <w:tl2br w:val="nil"/>
              <w:tr2bl w:val="nil"/>
            </w:tcBorders>
            <w:vAlign w:val="center"/>
          </w:tcPr>
          <w:p w14:paraId="7DBA09CD">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1</w:t>
            </w:r>
          </w:p>
        </w:tc>
        <w:tc>
          <w:tcPr>
            <w:tcW w:w="322" w:type="pct"/>
            <w:tcBorders>
              <w:tl2br w:val="nil"/>
              <w:tr2bl w:val="nil"/>
            </w:tcBorders>
            <w:vAlign w:val="center"/>
          </w:tcPr>
          <w:p w14:paraId="6516FBBA">
            <w:pPr>
              <w:widowControl/>
              <w:spacing w:line="240" w:lineRule="auto"/>
              <w:ind w:left="-72" w:leftChars="-30" w:right="-72" w:rightChars="-30" w:firstLine="0" w:firstLineChars="0"/>
              <w:jc w:val="center"/>
              <w:rPr>
                <w:rFonts w:eastAsia="新宋体"/>
                <w:color w:val="auto"/>
                <w:sz w:val="21"/>
                <w:szCs w:val="21"/>
                <w:highlight w:val="none"/>
              </w:rPr>
            </w:pPr>
          </w:p>
        </w:tc>
        <w:tc>
          <w:tcPr>
            <w:tcW w:w="366" w:type="pct"/>
            <w:tcBorders>
              <w:tl2br w:val="nil"/>
              <w:tr2bl w:val="nil"/>
            </w:tcBorders>
            <w:vAlign w:val="center"/>
          </w:tcPr>
          <w:p w14:paraId="3DC3EAF5">
            <w:pPr>
              <w:widowControl/>
              <w:spacing w:line="240" w:lineRule="auto"/>
              <w:ind w:left="-72" w:leftChars="-30" w:right="-72" w:rightChars="-30" w:firstLine="0" w:firstLineChars="0"/>
              <w:jc w:val="center"/>
              <w:rPr>
                <w:rFonts w:eastAsia="新宋体"/>
                <w:color w:val="auto"/>
                <w:sz w:val="21"/>
                <w:szCs w:val="21"/>
                <w:highlight w:val="none"/>
              </w:rPr>
            </w:pPr>
          </w:p>
        </w:tc>
        <w:tc>
          <w:tcPr>
            <w:tcW w:w="511" w:type="pct"/>
            <w:tcBorders>
              <w:tl2br w:val="nil"/>
              <w:tr2bl w:val="nil"/>
            </w:tcBorders>
            <w:vAlign w:val="center"/>
          </w:tcPr>
          <w:p w14:paraId="2019916C">
            <w:pPr>
              <w:widowControl/>
              <w:spacing w:line="240" w:lineRule="auto"/>
              <w:ind w:left="-72" w:leftChars="-30" w:right="-72" w:rightChars="-30" w:firstLine="0" w:firstLineChars="0"/>
              <w:jc w:val="center"/>
              <w:rPr>
                <w:rFonts w:eastAsia="新宋体"/>
                <w:color w:val="auto"/>
                <w:sz w:val="21"/>
                <w:szCs w:val="21"/>
                <w:highlight w:val="none"/>
              </w:rPr>
            </w:pPr>
          </w:p>
        </w:tc>
        <w:tc>
          <w:tcPr>
            <w:tcW w:w="457" w:type="pct"/>
            <w:tcBorders>
              <w:tl2br w:val="nil"/>
              <w:tr2bl w:val="nil"/>
            </w:tcBorders>
            <w:noWrap/>
            <w:vAlign w:val="center"/>
          </w:tcPr>
          <w:p w14:paraId="0FEC9C9A">
            <w:pPr>
              <w:widowControl/>
              <w:spacing w:line="240" w:lineRule="auto"/>
              <w:ind w:left="-72" w:leftChars="-30" w:right="-72" w:rightChars="-30" w:firstLine="0" w:firstLineChars="0"/>
              <w:jc w:val="center"/>
              <w:rPr>
                <w:rFonts w:eastAsia="新宋体"/>
                <w:color w:val="auto"/>
                <w:sz w:val="21"/>
                <w:szCs w:val="21"/>
                <w:highlight w:val="none"/>
              </w:rPr>
            </w:pPr>
          </w:p>
        </w:tc>
        <w:tc>
          <w:tcPr>
            <w:tcW w:w="339" w:type="pct"/>
            <w:tcBorders>
              <w:tl2br w:val="nil"/>
              <w:tr2bl w:val="nil"/>
            </w:tcBorders>
            <w:noWrap/>
            <w:vAlign w:val="center"/>
          </w:tcPr>
          <w:p w14:paraId="0340748D">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Borders>
              <w:tl2br w:val="nil"/>
              <w:tr2bl w:val="nil"/>
            </w:tcBorders>
            <w:noWrap/>
            <w:vAlign w:val="center"/>
          </w:tcPr>
          <w:p w14:paraId="5AC3E5F7">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Borders>
              <w:tl2br w:val="nil"/>
              <w:tr2bl w:val="nil"/>
            </w:tcBorders>
            <w:noWrap/>
            <w:vAlign w:val="center"/>
          </w:tcPr>
          <w:p w14:paraId="285A1D09">
            <w:pPr>
              <w:widowControl/>
              <w:spacing w:line="240" w:lineRule="auto"/>
              <w:ind w:left="-72" w:leftChars="-30" w:right="-72" w:rightChars="-30" w:firstLine="0" w:firstLineChars="0"/>
              <w:jc w:val="center"/>
              <w:rPr>
                <w:rFonts w:eastAsia="新宋体"/>
                <w:color w:val="auto"/>
                <w:sz w:val="21"/>
                <w:szCs w:val="21"/>
                <w:highlight w:val="none"/>
              </w:rPr>
            </w:pPr>
          </w:p>
        </w:tc>
      </w:tr>
      <w:tr w14:paraId="00B19E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restart"/>
            <w:tcBorders>
              <w:tl2br w:val="nil"/>
              <w:tr2bl w:val="nil"/>
            </w:tcBorders>
            <w:vAlign w:val="center"/>
          </w:tcPr>
          <w:p w14:paraId="60C214B3">
            <w:pPr>
              <w:widowControl/>
              <w:spacing w:line="240" w:lineRule="auto"/>
              <w:ind w:left="-72" w:leftChars="-30" w:right="-72" w:rightChars="-30" w:firstLine="0" w:firstLineChars="0"/>
              <w:jc w:val="center"/>
              <w:rPr>
                <w:rFonts w:eastAsia="新宋体"/>
                <w:color w:val="auto"/>
                <w:sz w:val="21"/>
                <w:szCs w:val="21"/>
                <w:highlight w:val="none"/>
              </w:rPr>
            </w:pPr>
            <w:r>
              <w:rPr>
                <w:rFonts w:hint="eastAsia"/>
                <w:color w:val="auto"/>
                <w:sz w:val="21"/>
                <w:szCs w:val="21"/>
                <w:highlight w:val="none"/>
              </w:rPr>
              <w:t>环氧过渡漆</w:t>
            </w:r>
          </w:p>
        </w:tc>
        <w:tc>
          <w:tcPr>
            <w:tcW w:w="374" w:type="pct"/>
            <w:vMerge w:val="restart"/>
            <w:tcBorders>
              <w:tl2br w:val="nil"/>
              <w:tr2bl w:val="nil"/>
            </w:tcBorders>
            <w:vAlign w:val="center"/>
          </w:tcPr>
          <w:p w14:paraId="10A10806">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hint="eastAsia" w:eastAsia="新宋体"/>
                <w:color w:val="auto"/>
                <w:sz w:val="21"/>
                <w:szCs w:val="21"/>
                <w:highlight w:val="none"/>
                <w:lang w:bidi="ar"/>
              </w:rPr>
              <w:t>45</w:t>
            </w:r>
          </w:p>
        </w:tc>
        <w:tc>
          <w:tcPr>
            <w:tcW w:w="436" w:type="pct"/>
            <w:tcBorders>
              <w:tl2br w:val="nil"/>
              <w:tr2bl w:val="nil"/>
            </w:tcBorders>
            <w:vAlign w:val="center"/>
          </w:tcPr>
          <w:p w14:paraId="0CBD7E5D">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固体份</w:t>
            </w:r>
          </w:p>
        </w:tc>
        <w:tc>
          <w:tcPr>
            <w:tcW w:w="512" w:type="pct"/>
            <w:tcBorders>
              <w:tl2br w:val="nil"/>
              <w:tr2bl w:val="nil"/>
            </w:tcBorders>
            <w:vAlign w:val="center"/>
          </w:tcPr>
          <w:p w14:paraId="5CA56164">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27</w:t>
            </w:r>
          </w:p>
        </w:tc>
        <w:tc>
          <w:tcPr>
            <w:tcW w:w="322" w:type="pct"/>
            <w:tcBorders>
              <w:tl2br w:val="nil"/>
              <w:tr2bl w:val="nil"/>
            </w:tcBorders>
            <w:noWrap/>
            <w:vAlign w:val="center"/>
          </w:tcPr>
          <w:p w14:paraId="4F962E97">
            <w:pPr>
              <w:widowControl/>
              <w:spacing w:line="240" w:lineRule="auto"/>
              <w:ind w:left="-72" w:leftChars="-30" w:right="-72" w:rightChars="-30" w:firstLine="0" w:firstLineChars="0"/>
              <w:jc w:val="center"/>
              <w:rPr>
                <w:rFonts w:eastAsia="新宋体"/>
                <w:color w:val="auto"/>
                <w:sz w:val="21"/>
                <w:szCs w:val="21"/>
                <w:highlight w:val="none"/>
              </w:rPr>
            </w:pPr>
          </w:p>
        </w:tc>
        <w:tc>
          <w:tcPr>
            <w:tcW w:w="366" w:type="pct"/>
            <w:tcBorders>
              <w:tl2br w:val="nil"/>
              <w:tr2bl w:val="nil"/>
            </w:tcBorders>
            <w:noWrap/>
            <w:vAlign w:val="center"/>
          </w:tcPr>
          <w:p w14:paraId="4F863AF6">
            <w:pPr>
              <w:widowControl/>
              <w:spacing w:line="240" w:lineRule="auto"/>
              <w:ind w:left="-72" w:leftChars="-30" w:right="-72" w:rightChars="-30" w:firstLine="0" w:firstLineChars="0"/>
              <w:jc w:val="center"/>
              <w:rPr>
                <w:rFonts w:eastAsia="新宋体"/>
                <w:color w:val="auto"/>
                <w:sz w:val="21"/>
                <w:szCs w:val="21"/>
                <w:highlight w:val="none"/>
              </w:rPr>
            </w:pPr>
          </w:p>
        </w:tc>
        <w:tc>
          <w:tcPr>
            <w:tcW w:w="511" w:type="pct"/>
            <w:tcBorders>
              <w:tl2br w:val="nil"/>
              <w:tr2bl w:val="nil"/>
            </w:tcBorders>
            <w:noWrap/>
            <w:vAlign w:val="center"/>
          </w:tcPr>
          <w:p w14:paraId="6B90BC9E">
            <w:pPr>
              <w:widowControl/>
              <w:spacing w:line="240" w:lineRule="auto"/>
              <w:ind w:left="-72" w:leftChars="-30" w:right="-72" w:rightChars="-30" w:firstLine="0" w:firstLineChars="0"/>
              <w:jc w:val="center"/>
              <w:rPr>
                <w:rFonts w:eastAsia="新宋体"/>
                <w:color w:val="auto"/>
                <w:sz w:val="21"/>
                <w:szCs w:val="21"/>
                <w:highlight w:val="none"/>
              </w:rPr>
            </w:pPr>
          </w:p>
        </w:tc>
        <w:tc>
          <w:tcPr>
            <w:tcW w:w="457" w:type="pct"/>
            <w:tcBorders>
              <w:tl2br w:val="nil"/>
              <w:tr2bl w:val="nil"/>
            </w:tcBorders>
            <w:noWrap/>
            <w:vAlign w:val="center"/>
          </w:tcPr>
          <w:p w14:paraId="2AA0DDA7">
            <w:pPr>
              <w:widowControl/>
              <w:spacing w:line="240" w:lineRule="auto"/>
              <w:ind w:left="-72" w:leftChars="-30" w:right="-72" w:rightChars="-30" w:firstLine="0" w:firstLineChars="0"/>
              <w:jc w:val="center"/>
              <w:rPr>
                <w:rFonts w:eastAsia="新宋体"/>
                <w:color w:val="auto"/>
                <w:sz w:val="21"/>
                <w:szCs w:val="21"/>
                <w:highlight w:val="none"/>
              </w:rPr>
            </w:pPr>
          </w:p>
        </w:tc>
        <w:tc>
          <w:tcPr>
            <w:tcW w:w="339" w:type="pct"/>
            <w:tcBorders>
              <w:tl2br w:val="nil"/>
              <w:tr2bl w:val="nil"/>
            </w:tcBorders>
            <w:noWrap/>
            <w:vAlign w:val="center"/>
          </w:tcPr>
          <w:p w14:paraId="78642B01">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Borders>
              <w:tl2br w:val="nil"/>
              <w:tr2bl w:val="nil"/>
            </w:tcBorders>
            <w:noWrap/>
            <w:vAlign w:val="center"/>
          </w:tcPr>
          <w:p w14:paraId="35D2AF50">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Borders>
              <w:tl2br w:val="nil"/>
              <w:tr2bl w:val="nil"/>
            </w:tcBorders>
            <w:noWrap/>
            <w:vAlign w:val="center"/>
          </w:tcPr>
          <w:p w14:paraId="6E9C63E8">
            <w:pPr>
              <w:widowControl/>
              <w:spacing w:line="240" w:lineRule="auto"/>
              <w:ind w:left="-72" w:leftChars="-30" w:right="-72" w:rightChars="-30" w:firstLine="0" w:firstLineChars="0"/>
              <w:jc w:val="center"/>
              <w:rPr>
                <w:rFonts w:eastAsia="新宋体"/>
                <w:color w:val="auto"/>
                <w:sz w:val="21"/>
                <w:szCs w:val="21"/>
                <w:highlight w:val="none"/>
              </w:rPr>
            </w:pPr>
          </w:p>
        </w:tc>
      </w:tr>
      <w:tr w14:paraId="29C607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continue"/>
            <w:tcBorders>
              <w:tl2br w:val="nil"/>
              <w:tr2bl w:val="nil"/>
            </w:tcBorders>
            <w:noWrap/>
            <w:vAlign w:val="center"/>
          </w:tcPr>
          <w:p w14:paraId="392B2724">
            <w:pPr>
              <w:widowControl/>
              <w:spacing w:line="240" w:lineRule="auto"/>
              <w:ind w:left="-72" w:leftChars="-30" w:right="-72" w:rightChars="-30" w:firstLine="0" w:firstLineChars="0"/>
              <w:jc w:val="center"/>
              <w:rPr>
                <w:rFonts w:eastAsia="新宋体"/>
                <w:color w:val="auto"/>
                <w:sz w:val="21"/>
                <w:szCs w:val="21"/>
                <w:highlight w:val="none"/>
              </w:rPr>
            </w:pPr>
          </w:p>
        </w:tc>
        <w:tc>
          <w:tcPr>
            <w:tcW w:w="374" w:type="pct"/>
            <w:vMerge w:val="continue"/>
            <w:tcBorders>
              <w:tl2br w:val="nil"/>
              <w:tr2bl w:val="nil"/>
            </w:tcBorders>
            <w:vAlign w:val="center"/>
          </w:tcPr>
          <w:p w14:paraId="478974A2">
            <w:pPr>
              <w:widowControl/>
              <w:spacing w:line="240" w:lineRule="auto"/>
              <w:ind w:left="-72" w:leftChars="-30" w:right="-72" w:rightChars="-30" w:firstLine="0" w:firstLineChars="0"/>
              <w:jc w:val="center"/>
              <w:textAlignment w:val="center"/>
              <w:rPr>
                <w:rFonts w:eastAsia="新宋体"/>
                <w:color w:val="auto"/>
                <w:sz w:val="21"/>
                <w:szCs w:val="21"/>
                <w:highlight w:val="none"/>
              </w:rPr>
            </w:pPr>
          </w:p>
        </w:tc>
        <w:tc>
          <w:tcPr>
            <w:tcW w:w="436" w:type="pct"/>
            <w:tcBorders>
              <w:tl2br w:val="nil"/>
              <w:tr2bl w:val="nil"/>
            </w:tcBorders>
            <w:vAlign w:val="center"/>
          </w:tcPr>
          <w:p w14:paraId="7F4C4703">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VOCs</w:t>
            </w:r>
          </w:p>
        </w:tc>
        <w:tc>
          <w:tcPr>
            <w:tcW w:w="512" w:type="pct"/>
            <w:tcBorders>
              <w:tl2br w:val="nil"/>
              <w:tr2bl w:val="nil"/>
            </w:tcBorders>
            <w:vAlign w:val="center"/>
          </w:tcPr>
          <w:p w14:paraId="2C4D27F7">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13.5</w:t>
            </w:r>
          </w:p>
        </w:tc>
        <w:tc>
          <w:tcPr>
            <w:tcW w:w="322" w:type="pct"/>
            <w:tcBorders>
              <w:tl2br w:val="nil"/>
              <w:tr2bl w:val="nil"/>
            </w:tcBorders>
            <w:noWrap/>
            <w:vAlign w:val="center"/>
          </w:tcPr>
          <w:p w14:paraId="2702FB89">
            <w:pPr>
              <w:widowControl/>
              <w:spacing w:line="240" w:lineRule="auto"/>
              <w:ind w:left="-72" w:leftChars="-30" w:right="-72" w:rightChars="-30" w:firstLine="0" w:firstLineChars="0"/>
              <w:jc w:val="center"/>
              <w:rPr>
                <w:rFonts w:eastAsia="新宋体"/>
                <w:color w:val="auto"/>
                <w:sz w:val="21"/>
                <w:szCs w:val="21"/>
                <w:highlight w:val="none"/>
              </w:rPr>
            </w:pPr>
          </w:p>
        </w:tc>
        <w:tc>
          <w:tcPr>
            <w:tcW w:w="366" w:type="pct"/>
            <w:tcBorders>
              <w:tl2br w:val="nil"/>
              <w:tr2bl w:val="nil"/>
            </w:tcBorders>
            <w:noWrap/>
            <w:vAlign w:val="center"/>
          </w:tcPr>
          <w:p w14:paraId="38787137">
            <w:pPr>
              <w:widowControl/>
              <w:spacing w:line="240" w:lineRule="auto"/>
              <w:ind w:left="-72" w:leftChars="-30" w:right="-72" w:rightChars="-30" w:firstLine="0" w:firstLineChars="0"/>
              <w:jc w:val="center"/>
              <w:rPr>
                <w:rFonts w:eastAsia="新宋体"/>
                <w:color w:val="auto"/>
                <w:sz w:val="21"/>
                <w:szCs w:val="21"/>
                <w:highlight w:val="none"/>
              </w:rPr>
            </w:pPr>
          </w:p>
        </w:tc>
        <w:tc>
          <w:tcPr>
            <w:tcW w:w="511" w:type="pct"/>
            <w:tcBorders>
              <w:tl2br w:val="nil"/>
              <w:tr2bl w:val="nil"/>
            </w:tcBorders>
            <w:noWrap/>
            <w:vAlign w:val="center"/>
          </w:tcPr>
          <w:p w14:paraId="7F9C1887">
            <w:pPr>
              <w:widowControl/>
              <w:spacing w:line="240" w:lineRule="auto"/>
              <w:ind w:left="-72" w:leftChars="-30" w:right="-72" w:rightChars="-30" w:firstLine="0" w:firstLineChars="0"/>
              <w:jc w:val="center"/>
              <w:rPr>
                <w:rFonts w:eastAsia="新宋体"/>
                <w:color w:val="auto"/>
                <w:sz w:val="21"/>
                <w:szCs w:val="21"/>
                <w:highlight w:val="none"/>
              </w:rPr>
            </w:pPr>
          </w:p>
        </w:tc>
        <w:tc>
          <w:tcPr>
            <w:tcW w:w="457" w:type="pct"/>
            <w:tcBorders>
              <w:tl2br w:val="nil"/>
              <w:tr2bl w:val="nil"/>
            </w:tcBorders>
            <w:noWrap/>
            <w:vAlign w:val="center"/>
          </w:tcPr>
          <w:p w14:paraId="2265F32C">
            <w:pPr>
              <w:widowControl/>
              <w:spacing w:line="240" w:lineRule="auto"/>
              <w:ind w:left="-72" w:leftChars="-30" w:right="-72" w:rightChars="-30" w:firstLine="0" w:firstLineChars="0"/>
              <w:jc w:val="center"/>
              <w:rPr>
                <w:rFonts w:eastAsia="新宋体"/>
                <w:color w:val="auto"/>
                <w:sz w:val="21"/>
                <w:szCs w:val="21"/>
                <w:highlight w:val="none"/>
              </w:rPr>
            </w:pPr>
          </w:p>
        </w:tc>
        <w:tc>
          <w:tcPr>
            <w:tcW w:w="339" w:type="pct"/>
            <w:tcBorders>
              <w:tl2br w:val="nil"/>
              <w:tr2bl w:val="nil"/>
            </w:tcBorders>
            <w:noWrap/>
            <w:vAlign w:val="center"/>
          </w:tcPr>
          <w:p w14:paraId="3C2EA9D7">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Borders>
              <w:tl2br w:val="nil"/>
              <w:tr2bl w:val="nil"/>
            </w:tcBorders>
            <w:noWrap/>
            <w:vAlign w:val="center"/>
          </w:tcPr>
          <w:p w14:paraId="65366230">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Borders>
              <w:tl2br w:val="nil"/>
              <w:tr2bl w:val="nil"/>
            </w:tcBorders>
            <w:noWrap/>
            <w:vAlign w:val="center"/>
          </w:tcPr>
          <w:p w14:paraId="7261B768">
            <w:pPr>
              <w:widowControl/>
              <w:spacing w:line="240" w:lineRule="auto"/>
              <w:ind w:left="-72" w:leftChars="-30" w:right="-72" w:rightChars="-30" w:firstLine="0" w:firstLineChars="0"/>
              <w:jc w:val="center"/>
              <w:rPr>
                <w:rFonts w:eastAsia="新宋体"/>
                <w:color w:val="auto"/>
                <w:sz w:val="21"/>
                <w:szCs w:val="21"/>
                <w:highlight w:val="none"/>
              </w:rPr>
            </w:pPr>
          </w:p>
        </w:tc>
      </w:tr>
      <w:tr w14:paraId="6B6074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continue"/>
            <w:tcBorders>
              <w:tl2br w:val="nil"/>
              <w:tr2bl w:val="nil"/>
            </w:tcBorders>
            <w:vAlign w:val="center"/>
          </w:tcPr>
          <w:p w14:paraId="2D0DD629">
            <w:pPr>
              <w:widowControl/>
              <w:spacing w:line="240" w:lineRule="auto"/>
              <w:ind w:left="-72" w:leftChars="-30" w:right="-72" w:rightChars="-30" w:firstLine="0" w:firstLineChars="0"/>
              <w:jc w:val="center"/>
              <w:rPr>
                <w:rFonts w:eastAsia="新宋体"/>
                <w:color w:val="auto"/>
                <w:sz w:val="21"/>
                <w:szCs w:val="21"/>
                <w:highlight w:val="none"/>
              </w:rPr>
            </w:pPr>
          </w:p>
        </w:tc>
        <w:tc>
          <w:tcPr>
            <w:tcW w:w="374" w:type="pct"/>
            <w:vMerge w:val="continue"/>
            <w:tcBorders>
              <w:tl2br w:val="nil"/>
              <w:tr2bl w:val="nil"/>
            </w:tcBorders>
            <w:vAlign w:val="center"/>
          </w:tcPr>
          <w:p w14:paraId="06DDBF0F">
            <w:pPr>
              <w:widowControl/>
              <w:spacing w:line="240" w:lineRule="auto"/>
              <w:ind w:left="-72" w:leftChars="-30" w:right="-72" w:rightChars="-30" w:firstLine="0" w:firstLineChars="0"/>
              <w:jc w:val="center"/>
              <w:textAlignment w:val="center"/>
              <w:rPr>
                <w:rFonts w:eastAsia="新宋体"/>
                <w:color w:val="auto"/>
                <w:sz w:val="21"/>
                <w:szCs w:val="21"/>
                <w:highlight w:val="none"/>
              </w:rPr>
            </w:pPr>
          </w:p>
        </w:tc>
        <w:tc>
          <w:tcPr>
            <w:tcW w:w="436" w:type="pct"/>
            <w:tcBorders>
              <w:tl2br w:val="nil"/>
              <w:tr2bl w:val="nil"/>
            </w:tcBorders>
            <w:vAlign w:val="center"/>
          </w:tcPr>
          <w:p w14:paraId="03F765F7">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二甲苯</w:t>
            </w:r>
          </w:p>
        </w:tc>
        <w:tc>
          <w:tcPr>
            <w:tcW w:w="512" w:type="pct"/>
            <w:tcBorders>
              <w:tl2br w:val="nil"/>
              <w:tr2bl w:val="nil"/>
            </w:tcBorders>
            <w:vAlign w:val="center"/>
          </w:tcPr>
          <w:p w14:paraId="450F5B18">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4.5</w:t>
            </w:r>
          </w:p>
        </w:tc>
        <w:tc>
          <w:tcPr>
            <w:tcW w:w="322" w:type="pct"/>
            <w:tcBorders>
              <w:tl2br w:val="nil"/>
              <w:tr2bl w:val="nil"/>
            </w:tcBorders>
            <w:noWrap/>
            <w:vAlign w:val="center"/>
          </w:tcPr>
          <w:p w14:paraId="7926818E">
            <w:pPr>
              <w:widowControl/>
              <w:spacing w:line="240" w:lineRule="auto"/>
              <w:ind w:left="-72" w:leftChars="-30" w:right="-72" w:rightChars="-30" w:firstLine="0" w:firstLineChars="0"/>
              <w:jc w:val="center"/>
              <w:rPr>
                <w:rFonts w:eastAsia="新宋体"/>
                <w:color w:val="auto"/>
                <w:sz w:val="21"/>
                <w:szCs w:val="21"/>
                <w:highlight w:val="none"/>
              </w:rPr>
            </w:pPr>
          </w:p>
        </w:tc>
        <w:tc>
          <w:tcPr>
            <w:tcW w:w="366" w:type="pct"/>
            <w:tcBorders>
              <w:tl2br w:val="nil"/>
              <w:tr2bl w:val="nil"/>
            </w:tcBorders>
            <w:noWrap/>
            <w:vAlign w:val="center"/>
          </w:tcPr>
          <w:p w14:paraId="55451C9F">
            <w:pPr>
              <w:widowControl/>
              <w:spacing w:line="240" w:lineRule="auto"/>
              <w:ind w:left="-72" w:leftChars="-30" w:right="-72" w:rightChars="-30" w:firstLine="0" w:firstLineChars="0"/>
              <w:jc w:val="center"/>
              <w:rPr>
                <w:rFonts w:eastAsia="新宋体"/>
                <w:color w:val="auto"/>
                <w:sz w:val="21"/>
                <w:szCs w:val="21"/>
                <w:highlight w:val="none"/>
              </w:rPr>
            </w:pPr>
          </w:p>
        </w:tc>
        <w:tc>
          <w:tcPr>
            <w:tcW w:w="511" w:type="pct"/>
            <w:tcBorders>
              <w:tl2br w:val="nil"/>
              <w:tr2bl w:val="nil"/>
            </w:tcBorders>
            <w:noWrap/>
            <w:vAlign w:val="center"/>
          </w:tcPr>
          <w:p w14:paraId="5767D94D">
            <w:pPr>
              <w:widowControl/>
              <w:spacing w:line="240" w:lineRule="auto"/>
              <w:ind w:left="-72" w:leftChars="-30" w:right="-72" w:rightChars="-30" w:firstLine="0" w:firstLineChars="0"/>
              <w:jc w:val="center"/>
              <w:rPr>
                <w:rFonts w:eastAsia="新宋体"/>
                <w:color w:val="auto"/>
                <w:sz w:val="21"/>
                <w:szCs w:val="21"/>
                <w:highlight w:val="none"/>
              </w:rPr>
            </w:pPr>
          </w:p>
        </w:tc>
        <w:tc>
          <w:tcPr>
            <w:tcW w:w="457" w:type="pct"/>
            <w:tcBorders>
              <w:tl2br w:val="nil"/>
              <w:tr2bl w:val="nil"/>
            </w:tcBorders>
            <w:noWrap/>
            <w:vAlign w:val="center"/>
          </w:tcPr>
          <w:p w14:paraId="46083B22">
            <w:pPr>
              <w:widowControl/>
              <w:spacing w:line="240" w:lineRule="auto"/>
              <w:ind w:left="-72" w:leftChars="-30" w:right="-72" w:rightChars="-30" w:firstLine="0" w:firstLineChars="0"/>
              <w:jc w:val="center"/>
              <w:rPr>
                <w:rFonts w:eastAsia="新宋体"/>
                <w:color w:val="auto"/>
                <w:sz w:val="21"/>
                <w:szCs w:val="21"/>
                <w:highlight w:val="none"/>
              </w:rPr>
            </w:pPr>
          </w:p>
        </w:tc>
        <w:tc>
          <w:tcPr>
            <w:tcW w:w="339" w:type="pct"/>
            <w:tcBorders>
              <w:tl2br w:val="nil"/>
              <w:tr2bl w:val="nil"/>
            </w:tcBorders>
            <w:noWrap/>
            <w:vAlign w:val="center"/>
          </w:tcPr>
          <w:p w14:paraId="44D1713A">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Borders>
              <w:tl2br w:val="nil"/>
              <w:tr2bl w:val="nil"/>
            </w:tcBorders>
            <w:noWrap/>
            <w:vAlign w:val="center"/>
          </w:tcPr>
          <w:p w14:paraId="31F18ACC">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Borders>
              <w:tl2br w:val="nil"/>
              <w:tr2bl w:val="nil"/>
            </w:tcBorders>
            <w:noWrap/>
            <w:vAlign w:val="center"/>
          </w:tcPr>
          <w:p w14:paraId="1A668DF3">
            <w:pPr>
              <w:widowControl/>
              <w:spacing w:line="240" w:lineRule="auto"/>
              <w:ind w:left="-72" w:leftChars="-30" w:right="-72" w:rightChars="-30" w:firstLine="0" w:firstLineChars="0"/>
              <w:jc w:val="center"/>
              <w:rPr>
                <w:rFonts w:eastAsia="新宋体"/>
                <w:color w:val="auto"/>
                <w:sz w:val="21"/>
                <w:szCs w:val="21"/>
                <w:highlight w:val="none"/>
              </w:rPr>
            </w:pPr>
          </w:p>
        </w:tc>
      </w:tr>
      <w:tr w14:paraId="471AF7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restart"/>
            <w:tcBorders>
              <w:tl2br w:val="nil"/>
              <w:tr2bl w:val="nil"/>
            </w:tcBorders>
            <w:vAlign w:val="center"/>
          </w:tcPr>
          <w:p w14:paraId="6E7367AA">
            <w:pPr>
              <w:widowControl/>
              <w:spacing w:line="240" w:lineRule="auto"/>
              <w:ind w:left="-72" w:leftChars="-30" w:right="-72" w:rightChars="-30" w:firstLine="0" w:firstLineChars="0"/>
              <w:jc w:val="center"/>
              <w:rPr>
                <w:rFonts w:eastAsia="新宋体"/>
                <w:color w:val="auto"/>
                <w:sz w:val="21"/>
                <w:szCs w:val="21"/>
                <w:highlight w:val="none"/>
              </w:rPr>
            </w:pPr>
            <w:r>
              <w:rPr>
                <w:color w:val="auto"/>
                <w:sz w:val="21"/>
                <w:szCs w:val="21"/>
                <w:highlight w:val="none"/>
              </w:rPr>
              <w:t>沥青船底防污漆</w:t>
            </w:r>
          </w:p>
        </w:tc>
        <w:tc>
          <w:tcPr>
            <w:tcW w:w="374" w:type="pct"/>
            <w:vMerge w:val="restart"/>
            <w:tcBorders>
              <w:tl2br w:val="nil"/>
              <w:tr2bl w:val="nil"/>
            </w:tcBorders>
            <w:vAlign w:val="center"/>
          </w:tcPr>
          <w:p w14:paraId="5C5CD96B">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38</w:t>
            </w:r>
          </w:p>
        </w:tc>
        <w:tc>
          <w:tcPr>
            <w:tcW w:w="436" w:type="pct"/>
            <w:tcBorders>
              <w:tl2br w:val="nil"/>
              <w:tr2bl w:val="nil"/>
            </w:tcBorders>
            <w:vAlign w:val="center"/>
          </w:tcPr>
          <w:p w14:paraId="710DD707">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固体份</w:t>
            </w:r>
          </w:p>
        </w:tc>
        <w:tc>
          <w:tcPr>
            <w:tcW w:w="512" w:type="pct"/>
            <w:tcBorders>
              <w:tl2br w:val="nil"/>
              <w:tr2bl w:val="nil"/>
            </w:tcBorders>
            <w:vAlign w:val="center"/>
          </w:tcPr>
          <w:p w14:paraId="3AFF1CBB">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34.2</w:t>
            </w:r>
          </w:p>
        </w:tc>
        <w:tc>
          <w:tcPr>
            <w:tcW w:w="322" w:type="pct"/>
            <w:tcBorders>
              <w:tl2br w:val="nil"/>
              <w:tr2bl w:val="nil"/>
            </w:tcBorders>
            <w:noWrap/>
            <w:vAlign w:val="center"/>
          </w:tcPr>
          <w:p w14:paraId="67FE0F11">
            <w:pPr>
              <w:widowControl/>
              <w:spacing w:line="240" w:lineRule="auto"/>
              <w:ind w:left="-72" w:leftChars="-30" w:right="-72" w:rightChars="-30" w:firstLine="0" w:firstLineChars="0"/>
              <w:jc w:val="center"/>
              <w:rPr>
                <w:rFonts w:eastAsia="新宋体"/>
                <w:color w:val="auto"/>
                <w:sz w:val="21"/>
                <w:szCs w:val="21"/>
                <w:highlight w:val="none"/>
              </w:rPr>
            </w:pPr>
          </w:p>
        </w:tc>
        <w:tc>
          <w:tcPr>
            <w:tcW w:w="366" w:type="pct"/>
            <w:tcBorders>
              <w:tl2br w:val="nil"/>
              <w:tr2bl w:val="nil"/>
            </w:tcBorders>
            <w:noWrap/>
            <w:vAlign w:val="center"/>
          </w:tcPr>
          <w:p w14:paraId="1894F6EA">
            <w:pPr>
              <w:widowControl/>
              <w:spacing w:line="240" w:lineRule="auto"/>
              <w:ind w:left="-72" w:leftChars="-30" w:right="-72" w:rightChars="-30" w:firstLine="0" w:firstLineChars="0"/>
              <w:jc w:val="center"/>
              <w:rPr>
                <w:rFonts w:eastAsia="新宋体"/>
                <w:color w:val="auto"/>
                <w:sz w:val="21"/>
                <w:szCs w:val="21"/>
                <w:highlight w:val="none"/>
              </w:rPr>
            </w:pPr>
          </w:p>
        </w:tc>
        <w:tc>
          <w:tcPr>
            <w:tcW w:w="511" w:type="pct"/>
            <w:tcBorders>
              <w:tl2br w:val="nil"/>
              <w:tr2bl w:val="nil"/>
            </w:tcBorders>
            <w:noWrap/>
            <w:vAlign w:val="center"/>
          </w:tcPr>
          <w:p w14:paraId="25D12C87">
            <w:pPr>
              <w:widowControl/>
              <w:spacing w:line="240" w:lineRule="auto"/>
              <w:ind w:left="-72" w:leftChars="-30" w:right="-72" w:rightChars="-30" w:firstLine="0" w:firstLineChars="0"/>
              <w:jc w:val="center"/>
              <w:rPr>
                <w:rFonts w:eastAsia="新宋体"/>
                <w:color w:val="auto"/>
                <w:sz w:val="21"/>
                <w:szCs w:val="21"/>
                <w:highlight w:val="none"/>
              </w:rPr>
            </w:pPr>
          </w:p>
        </w:tc>
        <w:tc>
          <w:tcPr>
            <w:tcW w:w="457" w:type="pct"/>
            <w:tcBorders>
              <w:tl2br w:val="nil"/>
              <w:tr2bl w:val="nil"/>
            </w:tcBorders>
            <w:noWrap/>
            <w:vAlign w:val="center"/>
          </w:tcPr>
          <w:p w14:paraId="64A5EF63">
            <w:pPr>
              <w:widowControl/>
              <w:spacing w:line="240" w:lineRule="auto"/>
              <w:ind w:left="-72" w:leftChars="-30" w:right="-72" w:rightChars="-30" w:firstLine="0" w:firstLineChars="0"/>
              <w:jc w:val="center"/>
              <w:rPr>
                <w:rFonts w:eastAsia="新宋体"/>
                <w:color w:val="auto"/>
                <w:sz w:val="21"/>
                <w:szCs w:val="21"/>
                <w:highlight w:val="none"/>
              </w:rPr>
            </w:pPr>
          </w:p>
        </w:tc>
        <w:tc>
          <w:tcPr>
            <w:tcW w:w="339" w:type="pct"/>
            <w:tcBorders>
              <w:tl2br w:val="nil"/>
              <w:tr2bl w:val="nil"/>
            </w:tcBorders>
            <w:noWrap/>
            <w:vAlign w:val="center"/>
          </w:tcPr>
          <w:p w14:paraId="4CDD9995">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Borders>
              <w:tl2br w:val="nil"/>
              <w:tr2bl w:val="nil"/>
            </w:tcBorders>
            <w:noWrap/>
            <w:vAlign w:val="center"/>
          </w:tcPr>
          <w:p w14:paraId="6C59C331">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Borders>
              <w:tl2br w:val="nil"/>
              <w:tr2bl w:val="nil"/>
            </w:tcBorders>
            <w:noWrap/>
            <w:vAlign w:val="center"/>
          </w:tcPr>
          <w:p w14:paraId="4AA21561">
            <w:pPr>
              <w:widowControl/>
              <w:spacing w:line="240" w:lineRule="auto"/>
              <w:ind w:left="-72" w:leftChars="-30" w:right="-72" w:rightChars="-30" w:firstLine="0" w:firstLineChars="0"/>
              <w:jc w:val="center"/>
              <w:rPr>
                <w:rFonts w:eastAsia="新宋体"/>
                <w:color w:val="auto"/>
                <w:sz w:val="21"/>
                <w:szCs w:val="21"/>
                <w:highlight w:val="none"/>
              </w:rPr>
            </w:pPr>
          </w:p>
        </w:tc>
      </w:tr>
      <w:tr w14:paraId="37A988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continue"/>
            <w:tcBorders>
              <w:tl2br w:val="nil"/>
              <w:tr2bl w:val="nil"/>
            </w:tcBorders>
            <w:noWrap/>
            <w:vAlign w:val="center"/>
          </w:tcPr>
          <w:p w14:paraId="708F9AEC">
            <w:pPr>
              <w:widowControl/>
              <w:spacing w:line="240" w:lineRule="auto"/>
              <w:ind w:left="-72" w:leftChars="-30" w:right="-72" w:rightChars="-30" w:firstLine="0" w:firstLineChars="0"/>
              <w:jc w:val="center"/>
              <w:rPr>
                <w:rFonts w:eastAsia="新宋体"/>
                <w:color w:val="auto"/>
                <w:sz w:val="21"/>
                <w:szCs w:val="21"/>
                <w:highlight w:val="none"/>
              </w:rPr>
            </w:pPr>
          </w:p>
        </w:tc>
        <w:tc>
          <w:tcPr>
            <w:tcW w:w="374" w:type="pct"/>
            <w:vMerge w:val="continue"/>
            <w:tcBorders>
              <w:tl2br w:val="nil"/>
              <w:tr2bl w:val="nil"/>
            </w:tcBorders>
            <w:vAlign w:val="center"/>
          </w:tcPr>
          <w:p w14:paraId="5037332A">
            <w:pPr>
              <w:widowControl/>
              <w:spacing w:line="240" w:lineRule="auto"/>
              <w:ind w:left="-72" w:leftChars="-30" w:right="-72" w:rightChars="-30" w:firstLine="0" w:firstLineChars="0"/>
              <w:jc w:val="center"/>
              <w:textAlignment w:val="center"/>
              <w:rPr>
                <w:rFonts w:eastAsia="新宋体"/>
                <w:color w:val="auto"/>
                <w:sz w:val="21"/>
                <w:szCs w:val="21"/>
                <w:highlight w:val="none"/>
              </w:rPr>
            </w:pPr>
          </w:p>
        </w:tc>
        <w:tc>
          <w:tcPr>
            <w:tcW w:w="436" w:type="pct"/>
            <w:tcBorders>
              <w:tl2br w:val="nil"/>
              <w:tr2bl w:val="nil"/>
            </w:tcBorders>
            <w:vAlign w:val="center"/>
          </w:tcPr>
          <w:p w14:paraId="70B2AD98">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VOCs</w:t>
            </w:r>
          </w:p>
        </w:tc>
        <w:tc>
          <w:tcPr>
            <w:tcW w:w="512" w:type="pct"/>
            <w:tcBorders>
              <w:tl2br w:val="nil"/>
              <w:tr2bl w:val="nil"/>
            </w:tcBorders>
            <w:vAlign w:val="center"/>
          </w:tcPr>
          <w:p w14:paraId="11BA8A2C">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3.8</w:t>
            </w:r>
          </w:p>
        </w:tc>
        <w:tc>
          <w:tcPr>
            <w:tcW w:w="322" w:type="pct"/>
            <w:tcBorders>
              <w:tl2br w:val="nil"/>
              <w:tr2bl w:val="nil"/>
            </w:tcBorders>
            <w:noWrap/>
            <w:vAlign w:val="center"/>
          </w:tcPr>
          <w:p w14:paraId="3C536777">
            <w:pPr>
              <w:widowControl/>
              <w:spacing w:line="240" w:lineRule="auto"/>
              <w:ind w:left="-72" w:leftChars="-30" w:right="-72" w:rightChars="-30" w:firstLine="0" w:firstLineChars="0"/>
              <w:jc w:val="center"/>
              <w:rPr>
                <w:rFonts w:eastAsia="新宋体"/>
                <w:color w:val="auto"/>
                <w:sz w:val="21"/>
                <w:szCs w:val="21"/>
                <w:highlight w:val="none"/>
              </w:rPr>
            </w:pPr>
          </w:p>
        </w:tc>
        <w:tc>
          <w:tcPr>
            <w:tcW w:w="366" w:type="pct"/>
            <w:tcBorders>
              <w:tl2br w:val="nil"/>
              <w:tr2bl w:val="nil"/>
            </w:tcBorders>
            <w:noWrap/>
            <w:vAlign w:val="center"/>
          </w:tcPr>
          <w:p w14:paraId="66B523E2">
            <w:pPr>
              <w:widowControl/>
              <w:spacing w:line="240" w:lineRule="auto"/>
              <w:ind w:left="-72" w:leftChars="-30" w:right="-72" w:rightChars="-30" w:firstLine="0" w:firstLineChars="0"/>
              <w:jc w:val="center"/>
              <w:rPr>
                <w:rFonts w:eastAsia="新宋体"/>
                <w:color w:val="auto"/>
                <w:sz w:val="21"/>
                <w:szCs w:val="21"/>
                <w:highlight w:val="none"/>
              </w:rPr>
            </w:pPr>
          </w:p>
        </w:tc>
        <w:tc>
          <w:tcPr>
            <w:tcW w:w="511" w:type="pct"/>
            <w:tcBorders>
              <w:tl2br w:val="nil"/>
              <w:tr2bl w:val="nil"/>
            </w:tcBorders>
            <w:noWrap/>
            <w:vAlign w:val="center"/>
          </w:tcPr>
          <w:p w14:paraId="4E2E8545">
            <w:pPr>
              <w:widowControl/>
              <w:spacing w:line="240" w:lineRule="auto"/>
              <w:ind w:left="-72" w:leftChars="-30" w:right="-72" w:rightChars="-30" w:firstLine="0" w:firstLineChars="0"/>
              <w:jc w:val="center"/>
              <w:rPr>
                <w:rFonts w:eastAsia="新宋体"/>
                <w:color w:val="auto"/>
                <w:sz w:val="21"/>
                <w:szCs w:val="21"/>
                <w:highlight w:val="none"/>
              </w:rPr>
            </w:pPr>
          </w:p>
        </w:tc>
        <w:tc>
          <w:tcPr>
            <w:tcW w:w="457" w:type="pct"/>
            <w:tcBorders>
              <w:tl2br w:val="nil"/>
              <w:tr2bl w:val="nil"/>
            </w:tcBorders>
            <w:noWrap/>
            <w:vAlign w:val="center"/>
          </w:tcPr>
          <w:p w14:paraId="69BB7EAE">
            <w:pPr>
              <w:widowControl/>
              <w:spacing w:line="240" w:lineRule="auto"/>
              <w:ind w:left="-72" w:leftChars="-30" w:right="-72" w:rightChars="-30" w:firstLine="0" w:firstLineChars="0"/>
              <w:jc w:val="center"/>
              <w:rPr>
                <w:rFonts w:eastAsia="新宋体"/>
                <w:color w:val="auto"/>
                <w:sz w:val="21"/>
                <w:szCs w:val="21"/>
                <w:highlight w:val="none"/>
              </w:rPr>
            </w:pPr>
          </w:p>
        </w:tc>
        <w:tc>
          <w:tcPr>
            <w:tcW w:w="339" w:type="pct"/>
            <w:tcBorders>
              <w:tl2br w:val="nil"/>
              <w:tr2bl w:val="nil"/>
            </w:tcBorders>
            <w:noWrap/>
            <w:vAlign w:val="center"/>
          </w:tcPr>
          <w:p w14:paraId="58F7D883">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Borders>
              <w:tl2br w:val="nil"/>
              <w:tr2bl w:val="nil"/>
            </w:tcBorders>
            <w:noWrap/>
            <w:vAlign w:val="center"/>
          </w:tcPr>
          <w:p w14:paraId="373A0ABC">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Borders>
              <w:tl2br w:val="nil"/>
              <w:tr2bl w:val="nil"/>
            </w:tcBorders>
            <w:noWrap/>
            <w:vAlign w:val="center"/>
          </w:tcPr>
          <w:p w14:paraId="48BA8C6A">
            <w:pPr>
              <w:widowControl/>
              <w:spacing w:line="240" w:lineRule="auto"/>
              <w:ind w:left="-72" w:leftChars="-30" w:right="-72" w:rightChars="-30" w:firstLine="0" w:firstLineChars="0"/>
              <w:jc w:val="center"/>
              <w:rPr>
                <w:rFonts w:eastAsia="新宋体"/>
                <w:color w:val="auto"/>
                <w:sz w:val="21"/>
                <w:szCs w:val="21"/>
                <w:highlight w:val="none"/>
              </w:rPr>
            </w:pPr>
          </w:p>
        </w:tc>
      </w:tr>
      <w:tr w14:paraId="2389F7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continue"/>
            <w:tcBorders>
              <w:tl2br w:val="nil"/>
              <w:tr2bl w:val="nil"/>
            </w:tcBorders>
            <w:noWrap/>
            <w:vAlign w:val="center"/>
          </w:tcPr>
          <w:p w14:paraId="7DDC5BCE">
            <w:pPr>
              <w:widowControl/>
              <w:spacing w:line="240" w:lineRule="auto"/>
              <w:ind w:left="-72" w:leftChars="-30" w:right="-72" w:rightChars="-30" w:firstLine="0" w:firstLineChars="0"/>
              <w:jc w:val="center"/>
              <w:rPr>
                <w:rFonts w:eastAsia="新宋体"/>
                <w:color w:val="auto"/>
                <w:sz w:val="21"/>
                <w:szCs w:val="21"/>
                <w:highlight w:val="none"/>
              </w:rPr>
            </w:pPr>
          </w:p>
        </w:tc>
        <w:tc>
          <w:tcPr>
            <w:tcW w:w="374" w:type="pct"/>
            <w:vMerge w:val="continue"/>
            <w:tcBorders>
              <w:tl2br w:val="nil"/>
              <w:tr2bl w:val="nil"/>
            </w:tcBorders>
            <w:vAlign w:val="center"/>
          </w:tcPr>
          <w:p w14:paraId="09BAF144">
            <w:pPr>
              <w:widowControl/>
              <w:spacing w:line="240" w:lineRule="auto"/>
              <w:ind w:left="-72" w:leftChars="-30" w:right="-72" w:rightChars="-30" w:firstLine="0" w:firstLineChars="0"/>
              <w:jc w:val="center"/>
              <w:textAlignment w:val="center"/>
              <w:rPr>
                <w:rFonts w:eastAsia="新宋体"/>
                <w:color w:val="auto"/>
                <w:sz w:val="21"/>
                <w:szCs w:val="21"/>
                <w:highlight w:val="none"/>
              </w:rPr>
            </w:pPr>
          </w:p>
        </w:tc>
        <w:tc>
          <w:tcPr>
            <w:tcW w:w="436" w:type="pct"/>
            <w:tcBorders>
              <w:tl2br w:val="nil"/>
              <w:tr2bl w:val="nil"/>
            </w:tcBorders>
            <w:vAlign w:val="center"/>
          </w:tcPr>
          <w:p w14:paraId="63C661E4">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二甲苯</w:t>
            </w:r>
          </w:p>
        </w:tc>
        <w:tc>
          <w:tcPr>
            <w:tcW w:w="512" w:type="pct"/>
            <w:tcBorders>
              <w:tl2br w:val="nil"/>
              <w:tr2bl w:val="nil"/>
            </w:tcBorders>
            <w:vAlign w:val="center"/>
          </w:tcPr>
          <w:p w14:paraId="4CA65DC4">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0</w:t>
            </w:r>
          </w:p>
        </w:tc>
        <w:tc>
          <w:tcPr>
            <w:tcW w:w="322" w:type="pct"/>
            <w:tcBorders>
              <w:tl2br w:val="nil"/>
              <w:tr2bl w:val="nil"/>
            </w:tcBorders>
            <w:noWrap/>
            <w:vAlign w:val="center"/>
          </w:tcPr>
          <w:p w14:paraId="2567FE4C">
            <w:pPr>
              <w:widowControl/>
              <w:spacing w:line="240" w:lineRule="auto"/>
              <w:ind w:left="-72" w:leftChars="-30" w:right="-72" w:rightChars="-30" w:firstLine="0" w:firstLineChars="0"/>
              <w:jc w:val="center"/>
              <w:rPr>
                <w:rFonts w:eastAsia="新宋体"/>
                <w:color w:val="auto"/>
                <w:sz w:val="21"/>
                <w:szCs w:val="21"/>
                <w:highlight w:val="none"/>
              </w:rPr>
            </w:pPr>
          </w:p>
        </w:tc>
        <w:tc>
          <w:tcPr>
            <w:tcW w:w="366" w:type="pct"/>
            <w:tcBorders>
              <w:tl2br w:val="nil"/>
              <w:tr2bl w:val="nil"/>
            </w:tcBorders>
            <w:noWrap/>
            <w:vAlign w:val="center"/>
          </w:tcPr>
          <w:p w14:paraId="21937823">
            <w:pPr>
              <w:widowControl/>
              <w:spacing w:line="240" w:lineRule="auto"/>
              <w:ind w:left="-72" w:leftChars="-30" w:right="-72" w:rightChars="-30" w:firstLine="0" w:firstLineChars="0"/>
              <w:jc w:val="center"/>
              <w:rPr>
                <w:rFonts w:eastAsia="新宋体"/>
                <w:color w:val="auto"/>
                <w:sz w:val="21"/>
                <w:szCs w:val="21"/>
                <w:highlight w:val="none"/>
              </w:rPr>
            </w:pPr>
          </w:p>
        </w:tc>
        <w:tc>
          <w:tcPr>
            <w:tcW w:w="511" w:type="pct"/>
            <w:tcBorders>
              <w:tl2br w:val="nil"/>
              <w:tr2bl w:val="nil"/>
            </w:tcBorders>
            <w:noWrap/>
            <w:vAlign w:val="center"/>
          </w:tcPr>
          <w:p w14:paraId="317497FB">
            <w:pPr>
              <w:widowControl/>
              <w:spacing w:line="240" w:lineRule="auto"/>
              <w:ind w:left="-72" w:leftChars="-30" w:right="-72" w:rightChars="-30" w:firstLine="0" w:firstLineChars="0"/>
              <w:jc w:val="center"/>
              <w:rPr>
                <w:rFonts w:eastAsia="新宋体"/>
                <w:color w:val="auto"/>
                <w:sz w:val="21"/>
                <w:szCs w:val="21"/>
                <w:highlight w:val="none"/>
              </w:rPr>
            </w:pPr>
          </w:p>
        </w:tc>
        <w:tc>
          <w:tcPr>
            <w:tcW w:w="457" w:type="pct"/>
            <w:tcBorders>
              <w:tl2br w:val="nil"/>
              <w:tr2bl w:val="nil"/>
            </w:tcBorders>
            <w:noWrap/>
            <w:vAlign w:val="center"/>
          </w:tcPr>
          <w:p w14:paraId="60F733AD">
            <w:pPr>
              <w:widowControl/>
              <w:spacing w:line="240" w:lineRule="auto"/>
              <w:ind w:left="-72" w:leftChars="-30" w:right="-72" w:rightChars="-30" w:firstLine="0" w:firstLineChars="0"/>
              <w:jc w:val="center"/>
              <w:rPr>
                <w:rFonts w:eastAsia="新宋体"/>
                <w:color w:val="auto"/>
                <w:sz w:val="21"/>
                <w:szCs w:val="21"/>
                <w:highlight w:val="none"/>
              </w:rPr>
            </w:pPr>
          </w:p>
        </w:tc>
        <w:tc>
          <w:tcPr>
            <w:tcW w:w="339" w:type="pct"/>
            <w:tcBorders>
              <w:tl2br w:val="nil"/>
              <w:tr2bl w:val="nil"/>
            </w:tcBorders>
            <w:noWrap/>
            <w:vAlign w:val="center"/>
          </w:tcPr>
          <w:p w14:paraId="0686563B">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Borders>
              <w:tl2br w:val="nil"/>
              <w:tr2bl w:val="nil"/>
            </w:tcBorders>
            <w:noWrap/>
            <w:vAlign w:val="center"/>
          </w:tcPr>
          <w:p w14:paraId="6AA6DBDD">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Borders>
              <w:tl2br w:val="nil"/>
              <w:tr2bl w:val="nil"/>
            </w:tcBorders>
            <w:noWrap/>
            <w:vAlign w:val="center"/>
          </w:tcPr>
          <w:p w14:paraId="1E4DA399">
            <w:pPr>
              <w:widowControl/>
              <w:spacing w:line="240" w:lineRule="auto"/>
              <w:ind w:left="-72" w:leftChars="-30" w:right="-72" w:rightChars="-30" w:firstLine="0" w:firstLineChars="0"/>
              <w:jc w:val="center"/>
              <w:rPr>
                <w:rFonts w:eastAsia="新宋体"/>
                <w:color w:val="auto"/>
                <w:sz w:val="21"/>
                <w:szCs w:val="21"/>
                <w:highlight w:val="none"/>
              </w:rPr>
            </w:pPr>
          </w:p>
        </w:tc>
      </w:tr>
      <w:tr w14:paraId="3B5684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restart"/>
            <w:tcBorders>
              <w:tl2br w:val="nil"/>
              <w:tr2bl w:val="nil"/>
            </w:tcBorders>
            <w:vAlign w:val="center"/>
          </w:tcPr>
          <w:p w14:paraId="7EDB7373">
            <w:pPr>
              <w:widowControl/>
              <w:spacing w:line="240" w:lineRule="auto"/>
              <w:ind w:left="-72" w:leftChars="-30" w:right="-72" w:rightChars="-30" w:firstLine="0" w:firstLineChars="0"/>
              <w:jc w:val="center"/>
              <w:rPr>
                <w:rFonts w:eastAsia="新宋体"/>
                <w:color w:val="auto"/>
                <w:sz w:val="21"/>
                <w:szCs w:val="21"/>
                <w:highlight w:val="none"/>
              </w:rPr>
            </w:pPr>
            <w:r>
              <w:rPr>
                <w:color w:val="auto"/>
                <w:sz w:val="21"/>
                <w:szCs w:val="21"/>
                <w:highlight w:val="none"/>
              </w:rPr>
              <w:t>氯化橡胶水线漆</w:t>
            </w:r>
          </w:p>
        </w:tc>
        <w:tc>
          <w:tcPr>
            <w:tcW w:w="374" w:type="pct"/>
            <w:vMerge w:val="restart"/>
            <w:tcBorders>
              <w:tl2br w:val="nil"/>
              <w:tr2bl w:val="nil"/>
            </w:tcBorders>
            <w:vAlign w:val="center"/>
          </w:tcPr>
          <w:p w14:paraId="43E8EC47">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34</w:t>
            </w:r>
          </w:p>
        </w:tc>
        <w:tc>
          <w:tcPr>
            <w:tcW w:w="436" w:type="pct"/>
            <w:tcBorders>
              <w:tl2br w:val="nil"/>
              <w:tr2bl w:val="nil"/>
            </w:tcBorders>
            <w:vAlign w:val="center"/>
          </w:tcPr>
          <w:p w14:paraId="59BD300A">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固体份</w:t>
            </w:r>
          </w:p>
        </w:tc>
        <w:tc>
          <w:tcPr>
            <w:tcW w:w="512" w:type="pct"/>
            <w:tcBorders>
              <w:tl2br w:val="nil"/>
              <w:tr2bl w:val="nil"/>
            </w:tcBorders>
            <w:vAlign w:val="center"/>
          </w:tcPr>
          <w:p w14:paraId="49E8DE14">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22.1</w:t>
            </w:r>
          </w:p>
        </w:tc>
        <w:tc>
          <w:tcPr>
            <w:tcW w:w="322" w:type="pct"/>
            <w:tcBorders>
              <w:tl2br w:val="nil"/>
              <w:tr2bl w:val="nil"/>
            </w:tcBorders>
            <w:noWrap/>
            <w:vAlign w:val="center"/>
          </w:tcPr>
          <w:p w14:paraId="059C7511">
            <w:pPr>
              <w:widowControl/>
              <w:spacing w:line="240" w:lineRule="auto"/>
              <w:ind w:left="-72" w:leftChars="-30" w:right="-72" w:rightChars="-30" w:firstLine="0" w:firstLineChars="0"/>
              <w:jc w:val="center"/>
              <w:rPr>
                <w:rFonts w:eastAsia="新宋体"/>
                <w:color w:val="auto"/>
                <w:sz w:val="21"/>
                <w:szCs w:val="21"/>
                <w:highlight w:val="none"/>
              </w:rPr>
            </w:pPr>
          </w:p>
        </w:tc>
        <w:tc>
          <w:tcPr>
            <w:tcW w:w="366" w:type="pct"/>
            <w:tcBorders>
              <w:tl2br w:val="nil"/>
              <w:tr2bl w:val="nil"/>
            </w:tcBorders>
            <w:noWrap/>
            <w:vAlign w:val="center"/>
          </w:tcPr>
          <w:p w14:paraId="5E43D1CF">
            <w:pPr>
              <w:widowControl/>
              <w:spacing w:line="240" w:lineRule="auto"/>
              <w:ind w:left="-72" w:leftChars="-30" w:right="-72" w:rightChars="-30" w:firstLine="0" w:firstLineChars="0"/>
              <w:jc w:val="center"/>
              <w:rPr>
                <w:rFonts w:eastAsia="新宋体"/>
                <w:color w:val="auto"/>
                <w:sz w:val="21"/>
                <w:szCs w:val="21"/>
                <w:highlight w:val="none"/>
              </w:rPr>
            </w:pPr>
          </w:p>
        </w:tc>
        <w:tc>
          <w:tcPr>
            <w:tcW w:w="511" w:type="pct"/>
            <w:tcBorders>
              <w:tl2br w:val="nil"/>
              <w:tr2bl w:val="nil"/>
            </w:tcBorders>
            <w:noWrap/>
            <w:vAlign w:val="center"/>
          </w:tcPr>
          <w:p w14:paraId="6AD4DAB9">
            <w:pPr>
              <w:widowControl/>
              <w:spacing w:line="240" w:lineRule="auto"/>
              <w:ind w:left="-72" w:leftChars="-30" w:right="-72" w:rightChars="-30" w:firstLine="0" w:firstLineChars="0"/>
              <w:jc w:val="center"/>
              <w:rPr>
                <w:rFonts w:eastAsia="新宋体"/>
                <w:color w:val="auto"/>
                <w:sz w:val="21"/>
                <w:szCs w:val="21"/>
                <w:highlight w:val="none"/>
              </w:rPr>
            </w:pPr>
          </w:p>
        </w:tc>
        <w:tc>
          <w:tcPr>
            <w:tcW w:w="457" w:type="pct"/>
            <w:tcBorders>
              <w:tl2br w:val="nil"/>
              <w:tr2bl w:val="nil"/>
            </w:tcBorders>
            <w:noWrap/>
            <w:vAlign w:val="center"/>
          </w:tcPr>
          <w:p w14:paraId="02D7D3F6">
            <w:pPr>
              <w:widowControl/>
              <w:spacing w:line="240" w:lineRule="auto"/>
              <w:ind w:left="-72" w:leftChars="-30" w:right="-72" w:rightChars="-30" w:firstLine="0" w:firstLineChars="0"/>
              <w:jc w:val="center"/>
              <w:rPr>
                <w:rFonts w:eastAsia="新宋体"/>
                <w:color w:val="auto"/>
                <w:sz w:val="21"/>
                <w:szCs w:val="21"/>
                <w:highlight w:val="none"/>
              </w:rPr>
            </w:pPr>
          </w:p>
        </w:tc>
        <w:tc>
          <w:tcPr>
            <w:tcW w:w="339" w:type="pct"/>
            <w:tcBorders>
              <w:tl2br w:val="nil"/>
              <w:tr2bl w:val="nil"/>
            </w:tcBorders>
            <w:noWrap/>
            <w:vAlign w:val="center"/>
          </w:tcPr>
          <w:p w14:paraId="2CEB3572">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Borders>
              <w:tl2br w:val="nil"/>
              <w:tr2bl w:val="nil"/>
            </w:tcBorders>
            <w:noWrap/>
            <w:vAlign w:val="center"/>
          </w:tcPr>
          <w:p w14:paraId="566E2F48">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Borders>
              <w:tl2br w:val="nil"/>
              <w:tr2bl w:val="nil"/>
            </w:tcBorders>
            <w:noWrap/>
            <w:vAlign w:val="center"/>
          </w:tcPr>
          <w:p w14:paraId="5C18B7F8">
            <w:pPr>
              <w:widowControl/>
              <w:spacing w:line="240" w:lineRule="auto"/>
              <w:ind w:left="-72" w:leftChars="-30" w:right="-72" w:rightChars="-30" w:firstLine="0" w:firstLineChars="0"/>
              <w:jc w:val="center"/>
              <w:rPr>
                <w:rFonts w:eastAsia="新宋体"/>
                <w:color w:val="auto"/>
                <w:sz w:val="21"/>
                <w:szCs w:val="21"/>
                <w:highlight w:val="none"/>
              </w:rPr>
            </w:pPr>
          </w:p>
        </w:tc>
      </w:tr>
      <w:tr w14:paraId="06CA5F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continue"/>
            <w:tcBorders>
              <w:tl2br w:val="nil"/>
              <w:tr2bl w:val="nil"/>
            </w:tcBorders>
            <w:noWrap/>
            <w:vAlign w:val="center"/>
          </w:tcPr>
          <w:p w14:paraId="012ADEAC">
            <w:pPr>
              <w:widowControl/>
              <w:spacing w:line="240" w:lineRule="auto"/>
              <w:ind w:left="-72" w:leftChars="-30" w:right="-72" w:rightChars="-30" w:firstLine="0" w:firstLineChars="0"/>
              <w:jc w:val="center"/>
              <w:rPr>
                <w:rFonts w:eastAsia="新宋体"/>
                <w:color w:val="auto"/>
                <w:sz w:val="21"/>
                <w:szCs w:val="21"/>
                <w:highlight w:val="none"/>
              </w:rPr>
            </w:pPr>
          </w:p>
        </w:tc>
        <w:tc>
          <w:tcPr>
            <w:tcW w:w="374" w:type="pct"/>
            <w:vMerge w:val="continue"/>
            <w:tcBorders>
              <w:tl2br w:val="nil"/>
              <w:tr2bl w:val="nil"/>
            </w:tcBorders>
            <w:vAlign w:val="center"/>
          </w:tcPr>
          <w:p w14:paraId="64AD1937">
            <w:pPr>
              <w:widowControl/>
              <w:spacing w:line="240" w:lineRule="auto"/>
              <w:ind w:left="-72" w:leftChars="-30" w:right="-72" w:rightChars="-30" w:firstLine="0" w:firstLineChars="0"/>
              <w:jc w:val="center"/>
              <w:textAlignment w:val="center"/>
              <w:rPr>
                <w:rFonts w:eastAsia="新宋体"/>
                <w:color w:val="auto"/>
                <w:sz w:val="21"/>
                <w:szCs w:val="21"/>
                <w:highlight w:val="none"/>
              </w:rPr>
            </w:pPr>
          </w:p>
        </w:tc>
        <w:tc>
          <w:tcPr>
            <w:tcW w:w="436" w:type="pct"/>
            <w:tcBorders>
              <w:tl2br w:val="nil"/>
              <w:tr2bl w:val="nil"/>
            </w:tcBorders>
            <w:vAlign w:val="center"/>
          </w:tcPr>
          <w:p w14:paraId="5FAD3DAE">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VOCs</w:t>
            </w:r>
          </w:p>
        </w:tc>
        <w:tc>
          <w:tcPr>
            <w:tcW w:w="512" w:type="pct"/>
            <w:tcBorders>
              <w:tl2br w:val="nil"/>
              <w:tr2bl w:val="nil"/>
            </w:tcBorders>
            <w:vAlign w:val="center"/>
          </w:tcPr>
          <w:p w14:paraId="14241454">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10.2</w:t>
            </w:r>
          </w:p>
        </w:tc>
        <w:tc>
          <w:tcPr>
            <w:tcW w:w="322" w:type="pct"/>
            <w:tcBorders>
              <w:tl2br w:val="nil"/>
              <w:tr2bl w:val="nil"/>
            </w:tcBorders>
            <w:noWrap/>
            <w:vAlign w:val="center"/>
          </w:tcPr>
          <w:p w14:paraId="472CA55E">
            <w:pPr>
              <w:widowControl/>
              <w:spacing w:line="240" w:lineRule="auto"/>
              <w:ind w:left="-72" w:leftChars="-30" w:right="-72" w:rightChars="-30" w:firstLine="0" w:firstLineChars="0"/>
              <w:jc w:val="center"/>
              <w:rPr>
                <w:rFonts w:eastAsia="新宋体"/>
                <w:color w:val="auto"/>
                <w:sz w:val="21"/>
                <w:szCs w:val="21"/>
                <w:highlight w:val="none"/>
              </w:rPr>
            </w:pPr>
          </w:p>
        </w:tc>
        <w:tc>
          <w:tcPr>
            <w:tcW w:w="366" w:type="pct"/>
            <w:tcBorders>
              <w:tl2br w:val="nil"/>
              <w:tr2bl w:val="nil"/>
            </w:tcBorders>
            <w:noWrap/>
            <w:vAlign w:val="center"/>
          </w:tcPr>
          <w:p w14:paraId="16D0F299">
            <w:pPr>
              <w:widowControl/>
              <w:spacing w:line="240" w:lineRule="auto"/>
              <w:ind w:left="-72" w:leftChars="-30" w:right="-72" w:rightChars="-30" w:firstLine="0" w:firstLineChars="0"/>
              <w:jc w:val="center"/>
              <w:rPr>
                <w:rFonts w:eastAsia="新宋体"/>
                <w:color w:val="auto"/>
                <w:sz w:val="21"/>
                <w:szCs w:val="21"/>
                <w:highlight w:val="none"/>
              </w:rPr>
            </w:pPr>
          </w:p>
        </w:tc>
        <w:tc>
          <w:tcPr>
            <w:tcW w:w="511" w:type="pct"/>
            <w:tcBorders>
              <w:tl2br w:val="nil"/>
              <w:tr2bl w:val="nil"/>
            </w:tcBorders>
            <w:noWrap/>
            <w:vAlign w:val="center"/>
          </w:tcPr>
          <w:p w14:paraId="68F79D30">
            <w:pPr>
              <w:widowControl/>
              <w:spacing w:line="240" w:lineRule="auto"/>
              <w:ind w:left="-72" w:leftChars="-30" w:right="-72" w:rightChars="-30" w:firstLine="0" w:firstLineChars="0"/>
              <w:jc w:val="center"/>
              <w:rPr>
                <w:rFonts w:eastAsia="新宋体"/>
                <w:color w:val="auto"/>
                <w:sz w:val="21"/>
                <w:szCs w:val="21"/>
                <w:highlight w:val="none"/>
              </w:rPr>
            </w:pPr>
          </w:p>
        </w:tc>
        <w:tc>
          <w:tcPr>
            <w:tcW w:w="457" w:type="pct"/>
            <w:tcBorders>
              <w:tl2br w:val="nil"/>
              <w:tr2bl w:val="nil"/>
            </w:tcBorders>
            <w:noWrap/>
            <w:vAlign w:val="center"/>
          </w:tcPr>
          <w:p w14:paraId="7E5630D2">
            <w:pPr>
              <w:widowControl/>
              <w:spacing w:line="240" w:lineRule="auto"/>
              <w:ind w:left="-72" w:leftChars="-30" w:right="-72" w:rightChars="-30" w:firstLine="0" w:firstLineChars="0"/>
              <w:jc w:val="center"/>
              <w:rPr>
                <w:rFonts w:eastAsia="新宋体"/>
                <w:color w:val="auto"/>
                <w:sz w:val="21"/>
                <w:szCs w:val="21"/>
                <w:highlight w:val="none"/>
              </w:rPr>
            </w:pPr>
          </w:p>
        </w:tc>
        <w:tc>
          <w:tcPr>
            <w:tcW w:w="339" w:type="pct"/>
            <w:tcBorders>
              <w:tl2br w:val="nil"/>
              <w:tr2bl w:val="nil"/>
            </w:tcBorders>
            <w:noWrap/>
            <w:vAlign w:val="center"/>
          </w:tcPr>
          <w:p w14:paraId="4B9BE831">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Borders>
              <w:tl2br w:val="nil"/>
              <w:tr2bl w:val="nil"/>
            </w:tcBorders>
            <w:noWrap/>
            <w:vAlign w:val="center"/>
          </w:tcPr>
          <w:p w14:paraId="37277C0A">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Borders>
              <w:tl2br w:val="nil"/>
              <w:tr2bl w:val="nil"/>
            </w:tcBorders>
            <w:noWrap/>
            <w:vAlign w:val="center"/>
          </w:tcPr>
          <w:p w14:paraId="00CE561E">
            <w:pPr>
              <w:widowControl/>
              <w:spacing w:line="240" w:lineRule="auto"/>
              <w:ind w:left="-72" w:leftChars="-30" w:right="-72" w:rightChars="-30" w:firstLine="0" w:firstLineChars="0"/>
              <w:jc w:val="center"/>
              <w:rPr>
                <w:rFonts w:eastAsia="新宋体"/>
                <w:color w:val="auto"/>
                <w:sz w:val="21"/>
                <w:szCs w:val="21"/>
                <w:highlight w:val="none"/>
              </w:rPr>
            </w:pPr>
          </w:p>
        </w:tc>
      </w:tr>
      <w:tr w14:paraId="7421DD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continue"/>
            <w:tcBorders>
              <w:tl2br w:val="nil"/>
              <w:tr2bl w:val="nil"/>
            </w:tcBorders>
            <w:noWrap/>
            <w:vAlign w:val="center"/>
          </w:tcPr>
          <w:p w14:paraId="1CB0C24C">
            <w:pPr>
              <w:widowControl/>
              <w:spacing w:line="240" w:lineRule="auto"/>
              <w:ind w:left="-72" w:leftChars="-30" w:right="-72" w:rightChars="-30" w:firstLine="0" w:firstLineChars="0"/>
              <w:jc w:val="center"/>
              <w:rPr>
                <w:rFonts w:eastAsia="新宋体"/>
                <w:color w:val="auto"/>
                <w:sz w:val="21"/>
                <w:szCs w:val="21"/>
                <w:highlight w:val="none"/>
              </w:rPr>
            </w:pPr>
          </w:p>
        </w:tc>
        <w:tc>
          <w:tcPr>
            <w:tcW w:w="374" w:type="pct"/>
            <w:vMerge w:val="continue"/>
            <w:tcBorders>
              <w:tl2br w:val="nil"/>
              <w:tr2bl w:val="nil"/>
            </w:tcBorders>
            <w:vAlign w:val="center"/>
          </w:tcPr>
          <w:p w14:paraId="441A90E6">
            <w:pPr>
              <w:widowControl/>
              <w:spacing w:line="240" w:lineRule="auto"/>
              <w:ind w:left="-72" w:leftChars="-30" w:right="-72" w:rightChars="-30" w:firstLine="0" w:firstLineChars="0"/>
              <w:jc w:val="center"/>
              <w:textAlignment w:val="center"/>
              <w:rPr>
                <w:rFonts w:eastAsia="新宋体"/>
                <w:color w:val="auto"/>
                <w:sz w:val="21"/>
                <w:szCs w:val="21"/>
                <w:highlight w:val="none"/>
              </w:rPr>
            </w:pPr>
          </w:p>
        </w:tc>
        <w:tc>
          <w:tcPr>
            <w:tcW w:w="436" w:type="pct"/>
            <w:tcBorders>
              <w:tl2br w:val="nil"/>
              <w:tr2bl w:val="nil"/>
            </w:tcBorders>
            <w:vAlign w:val="center"/>
          </w:tcPr>
          <w:p w14:paraId="4A359AFD">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二甲苯</w:t>
            </w:r>
          </w:p>
        </w:tc>
        <w:tc>
          <w:tcPr>
            <w:tcW w:w="512" w:type="pct"/>
            <w:tcBorders>
              <w:tl2br w:val="nil"/>
              <w:tr2bl w:val="nil"/>
            </w:tcBorders>
            <w:vAlign w:val="center"/>
          </w:tcPr>
          <w:p w14:paraId="0587AC63">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1.7</w:t>
            </w:r>
          </w:p>
        </w:tc>
        <w:tc>
          <w:tcPr>
            <w:tcW w:w="322" w:type="pct"/>
            <w:tcBorders>
              <w:tl2br w:val="nil"/>
              <w:tr2bl w:val="nil"/>
            </w:tcBorders>
            <w:noWrap/>
            <w:vAlign w:val="center"/>
          </w:tcPr>
          <w:p w14:paraId="40ED0896">
            <w:pPr>
              <w:widowControl/>
              <w:spacing w:line="240" w:lineRule="auto"/>
              <w:ind w:left="-72" w:leftChars="-30" w:right="-72" w:rightChars="-30" w:firstLine="0" w:firstLineChars="0"/>
              <w:jc w:val="center"/>
              <w:rPr>
                <w:rFonts w:eastAsia="新宋体"/>
                <w:color w:val="auto"/>
                <w:sz w:val="21"/>
                <w:szCs w:val="21"/>
                <w:highlight w:val="none"/>
              </w:rPr>
            </w:pPr>
          </w:p>
        </w:tc>
        <w:tc>
          <w:tcPr>
            <w:tcW w:w="366" w:type="pct"/>
            <w:tcBorders>
              <w:tl2br w:val="nil"/>
              <w:tr2bl w:val="nil"/>
            </w:tcBorders>
            <w:noWrap/>
            <w:vAlign w:val="center"/>
          </w:tcPr>
          <w:p w14:paraId="606F4C4A">
            <w:pPr>
              <w:widowControl/>
              <w:spacing w:line="240" w:lineRule="auto"/>
              <w:ind w:left="-72" w:leftChars="-30" w:right="-72" w:rightChars="-30" w:firstLine="0" w:firstLineChars="0"/>
              <w:jc w:val="center"/>
              <w:rPr>
                <w:rFonts w:eastAsia="新宋体"/>
                <w:color w:val="auto"/>
                <w:sz w:val="21"/>
                <w:szCs w:val="21"/>
                <w:highlight w:val="none"/>
              </w:rPr>
            </w:pPr>
          </w:p>
        </w:tc>
        <w:tc>
          <w:tcPr>
            <w:tcW w:w="511" w:type="pct"/>
            <w:tcBorders>
              <w:tl2br w:val="nil"/>
              <w:tr2bl w:val="nil"/>
            </w:tcBorders>
            <w:noWrap/>
            <w:vAlign w:val="center"/>
          </w:tcPr>
          <w:p w14:paraId="28CE9F02">
            <w:pPr>
              <w:widowControl/>
              <w:spacing w:line="240" w:lineRule="auto"/>
              <w:ind w:left="-72" w:leftChars="-30" w:right="-72" w:rightChars="-30" w:firstLine="0" w:firstLineChars="0"/>
              <w:jc w:val="center"/>
              <w:rPr>
                <w:rFonts w:eastAsia="新宋体"/>
                <w:color w:val="auto"/>
                <w:sz w:val="21"/>
                <w:szCs w:val="21"/>
                <w:highlight w:val="none"/>
              </w:rPr>
            </w:pPr>
          </w:p>
        </w:tc>
        <w:tc>
          <w:tcPr>
            <w:tcW w:w="457" w:type="pct"/>
            <w:tcBorders>
              <w:tl2br w:val="nil"/>
              <w:tr2bl w:val="nil"/>
            </w:tcBorders>
            <w:noWrap/>
            <w:vAlign w:val="center"/>
          </w:tcPr>
          <w:p w14:paraId="19B6C753">
            <w:pPr>
              <w:widowControl/>
              <w:spacing w:line="240" w:lineRule="auto"/>
              <w:ind w:left="-72" w:leftChars="-30" w:right="-72" w:rightChars="-30" w:firstLine="0" w:firstLineChars="0"/>
              <w:jc w:val="center"/>
              <w:rPr>
                <w:rFonts w:eastAsia="新宋体"/>
                <w:color w:val="auto"/>
                <w:sz w:val="21"/>
                <w:szCs w:val="21"/>
                <w:highlight w:val="none"/>
              </w:rPr>
            </w:pPr>
          </w:p>
        </w:tc>
        <w:tc>
          <w:tcPr>
            <w:tcW w:w="339" w:type="pct"/>
            <w:tcBorders>
              <w:tl2br w:val="nil"/>
              <w:tr2bl w:val="nil"/>
            </w:tcBorders>
            <w:noWrap/>
            <w:vAlign w:val="center"/>
          </w:tcPr>
          <w:p w14:paraId="14098C74">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Borders>
              <w:tl2br w:val="nil"/>
              <w:tr2bl w:val="nil"/>
            </w:tcBorders>
            <w:noWrap/>
            <w:vAlign w:val="center"/>
          </w:tcPr>
          <w:p w14:paraId="4D5DF4B0">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Borders>
              <w:tl2br w:val="nil"/>
              <w:tr2bl w:val="nil"/>
            </w:tcBorders>
            <w:noWrap/>
            <w:vAlign w:val="center"/>
          </w:tcPr>
          <w:p w14:paraId="2880E6C5">
            <w:pPr>
              <w:widowControl/>
              <w:spacing w:line="240" w:lineRule="auto"/>
              <w:ind w:left="-72" w:leftChars="-30" w:right="-72" w:rightChars="-30" w:firstLine="0" w:firstLineChars="0"/>
              <w:jc w:val="center"/>
              <w:rPr>
                <w:rFonts w:eastAsia="新宋体"/>
                <w:color w:val="auto"/>
                <w:sz w:val="21"/>
                <w:szCs w:val="21"/>
                <w:highlight w:val="none"/>
              </w:rPr>
            </w:pPr>
          </w:p>
        </w:tc>
      </w:tr>
      <w:tr w14:paraId="37A146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restart"/>
            <w:tcBorders>
              <w:tl2br w:val="nil"/>
              <w:tr2bl w:val="nil"/>
            </w:tcBorders>
            <w:noWrap/>
            <w:vAlign w:val="center"/>
          </w:tcPr>
          <w:p w14:paraId="52393C00">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稀释剂</w:t>
            </w:r>
          </w:p>
        </w:tc>
        <w:tc>
          <w:tcPr>
            <w:tcW w:w="374" w:type="pct"/>
            <w:vMerge w:val="restart"/>
            <w:tcBorders>
              <w:tl2br w:val="nil"/>
              <w:tr2bl w:val="nil"/>
            </w:tcBorders>
            <w:vAlign w:val="center"/>
          </w:tcPr>
          <w:p w14:paraId="78BFA0E4">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10</w:t>
            </w:r>
          </w:p>
        </w:tc>
        <w:tc>
          <w:tcPr>
            <w:tcW w:w="436" w:type="pct"/>
            <w:tcBorders>
              <w:tl2br w:val="nil"/>
              <w:tr2bl w:val="nil"/>
            </w:tcBorders>
            <w:vAlign w:val="center"/>
          </w:tcPr>
          <w:p w14:paraId="6A8C434F">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固体份</w:t>
            </w:r>
          </w:p>
        </w:tc>
        <w:tc>
          <w:tcPr>
            <w:tcW w:w="512" w:type="pct"/>
            <w:tcBorders>
              <w:tl2br w:val="nil"/>
              <w:tr2bl w:val="nil"/>
            </w:tcBorders>
            <w:noWrap/>
            <w:vAlign w:val="center"/>
          </w:tcPr>
          <w:p w14:paraId="21FF30E7">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7</w:t>
            </w:r>
          </w:p>
        </w:tc>
        <w:tc>
          <w:tcPr>
            <w:tcW w:w="322" w:type="pct"/>
            <w:tcBorders>
              <w:tl2br w:val="nil"/>
              <w:tr2bl w:val="nil"/>
            </w:tcBorders>
            <w:noWrap/>
            <w:vAlign w:val="center"/>
          </w:tcPr>
          <w:p w14:paraId="5603C36A">
            <w:pPr>
              <w:widowControl/>
              <w:spacing w:line="240" w:lineRule="auto"/>
              <w:ind w:left="-72" w:leftChars="-30" w:right="-72" w:rightChars="-30" w:firstLine="0" w:firstLineChars="0"/>
              <w:jc w:val="center"/>
              <w:rPr>
                <w:rFonts w:eastAsia="新宋体"/>
                <w:color w:val="auto"/>
                <w:sz w:val="21"/>
                <w:szCs w:val="21"/>
                <w:highlight w:val="none"/>
              </w:rPr>
            </w:pPr>
          </w:p>
        </w:tc>
        <w:tc>
          <w:tcPr>
            <w:tcW w:w="366" w:type="pct"/>
            <w:tcBorders>
              <w:tl2br w:val="nil"/>
              <w:tr2bl w:val="nil"/>
            </w:tcBorders>
            <w:noWrap/>
            <w:vAlign w:val="center"/>
          </w:tcPr>
          <w:p w14:paraId="696CADDF">
            <w:pPr>
              <w:widowControl/>
              <w:spacing w:line="240" w:lineRule="auto"/>
              <w:ind w:left="-72" w:leftChars="-30" w:right="-72" w:rightChars="-30" w:firstLine="0" w:firstLineChars="0"/>
              <w:jc w:val="center"/>
              <w:rPr>
                <w:rFonts w:eastAsia="新宋体"/>
                <w:color w:val="auto"/>
                <w:sz w:val="21"/>
                <w:szCs w:val="21"/>
                <w:highlight w:val="none"/>
              </w:rPr>
            </w:pPr>
          </w:p>
        </w:tc>
        <w:tc>
          <w:tcPr>
            <w:tcW w:w="511" w:type="pct"/>
            <w:tcBorders>
              <w:tl2br w:val="nil"/>
              <w:tr2bl w:val="nil"/>
            </w:tcBorders>
            <w:noWrap/>
            <w:vAlign w:val="center"/>
          </w:tcPr>
          <w:p w14:paraId="0957213A">
            <w:pPr>
              <w:widowControl/>
              <w:spacing w:line="240" w:lineRule="auto"/>
              <w:ind w:left="-72" w:leftChars="-30" w:right="-72" w:rightChars="-30" w:firstLine="0" w:firstLineChars="0"/>
              <w:jc w:val="center"/>
              <w:rPr>
                <w:rFonts w:eastAsia="新宋体"/>
                <w:color w:val="auto"/>
                <w:sz w:val="21"/>
                <w:szCs w:val="21"/>
                <w:highlight w:val="none"/>
              </w:rPr>
            </w:pPr>
          </w:p>
        </w:tc>
        <w:tc>
          <w:tcPr>
            <w:tcW w:w="457" w:type="pct"/>
            <w:tcBorders>
              <w:tl2br w:val="nil"/>
              <w:tr2bl w:val="nil"/>
            </w:tcBorders>
            <w:noWrap/>
            <w:vAlign w:val="center"/>
          </w:tcPr>
          <w:p w14:paraId="6EA2600C">
            <w:pPr>
              <w:widowControl/>
              <w:spacing w:line="240" w:lineRule="auto"/>
              <w:ind w:left="-72" w:leftChars="-30" w:right="-72" w:rightChars="-30" w:firstLine="0" w:firstLineChars="0"/>
              <w:jc w:val="center"/>
              <w:rPr>
                <w:rFonts w:eastAsia="新宋体"/>
                <w:color w:val="auto"/>
                <w:sz w:val="21"/>
                <w:szCs w:val="21"/>
                <w:highlight w:val="none"/>
              </w:rPr>
            </w:pPr>
          </w:p>
        </w:tc>
        <w:tc>
          <w:tcPr>
            <w:tcW w:w="339" w:type="pct"/>
            <w:tcBorders>
              <w:tl2br w:val="nil"/>
              <w:tr2bl w:val="nil"/>
            </w:tcBorders>
            <w:noWrap/>
            <w:vAlign w:val="center"/>
          </w:tcPr>
          <w:p w14:paraId="664B8C1E">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Borders>
              <w:tl2br w:val="nil"/>
              <w:tr2bl w:val="nil"/>
            </w:tcBorders>
            <w:noWrap/>
            <w:vAlign w:val="center"/>
          </w:tcPr>
          <w:p w14:paraId="7B4B3A21">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Borders>
              <w:tl2br w:val="nil"/>
              <w:tr2bl w:val="nil"/>
            </w:tcBorders>
            <w:noWrap/>
            <w:vAlign w:val="center"/>
          </w:tcPr>
          <w:p w14:paraId="1001FF06">
            <w:pPr>
              <w:widowControl/>
              <w:spacing w:line="240" w:lineRule="auto"/>
              <w:ind w:left="-72" w:leftChars="-30" w:right="-72" w:rightChars="-30" w:firstLine="0" w:firstLineChars="0"/>
              <w:jc w:val="center"/>
              <w:rPr>
                <w:rFonts w:eastAsia="新宋体"/>
                <w:color w:val="auto"/>
                <w:sz w:val="21"/>
                <w:szCs w:val="21"/>
                <w:highlight w:val="none"/>
              </w:rPr>
            </w:pPr>
          </w:p>
        </w:tc>
      </w:tr>
      <w:tr w14:paraId="204068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continue"/>
            <w:tcBorders>
              <w:tl2br w:val="nil"/>
              <w:tr2bl w:val="nil"/>
            </w:tcBorders>
            <w:noWrap/>
            <w:vAlign w:val="center"/>
          </w:tcPr>
          <w:p w14:paraId="411C39A2">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p>
        </w:tc>
        <w:tc>
          <w:tcPr>
            <w:tcW w:w="374" w:type="pct"/>
            <w:vMerge w:val="continue"/>
            <w:tcBorders>
              <w:tl2br w:val="nil"/>
              <w:tr2bl w:val="nil"/>
            </w:tcBorders>
            <w:vAlign w:val="center"/>
          </w:tcPr>
          <w:p w14:paraId="72DBCE58">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p>
        </w:tc>
        <w:tc>
          <w:tcPr>
            <w:tcW w:w="436" w:type="pct"/>
            <w:tcBorders>
              <w:tl2br w:val="nil"/>
              <w:tr2bl w:val="nil"/>
            </w:tcBorders>
            <w:vAlign w:val="center"/>
          </w:tcPr>
          <w:p w14:paraId="758805A5">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VOCs</w:t>
            </w:r>
          </w:p>
        </w:tc>
        <w:tc>
          <w:tcPr>
            <w:tcW w:w="512" w:type="pct"/>
            <w:tcBorders>
              <w:tl2br w:val="nil"/>
              <w:tr2bl w:val="nil"/>
            </w:tcBorders>
            <w:noWrap/>
            <w:vAlign w:val="center"/>
          </w:tcPr>
          <w:p w14:paraId="7E4D788F">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1</w:t>
            </w:r>
          </w:p>
        </w:tc>
        <w:tc>
          <w:tcPr>
            <w:tcW w:w="322" w:type="pct"/>
            <w:tcBorders>
              <w:tl2br w:val="nil"/>
              <w:tr2bl w:val="nil"/>
            </w:tcBorders>
            <w:noWrap/>
            <w:vAlign w:val="center"/>
          </w:tcPr>
          <w:p w14:paraId="7D16FC42">
            <w:pPr>
              <w:widowControl/>
              <w:spacing w:line="240" w:lineRule="auto"/>
              <w:ind w:left="-72" w:leftChars="-30" w:right="-72" w:rightChars="-30" w:firstLine="0" w:firstLineChars="0"/>
              <w:jc w:val="center"/>
              <w:rPr>
                <w:rFonts w:eastAsia="新宋体"/>
                <w:color w:val="auto"/>
                <w:sz w:val="21"/>
                <w:szCs w:val="21"/>
                <w:highlight w:val="none"/>
              </w:rPr>
            </w:pPr>
          </w:p>
        </w:tc>
        <w:tc>
          <w:tcPr>
            <w:tcW w:w="366" w:type="pct"/>
            <w:tcBorders>
              <w:tl2br w:val="nil"/>
              <w:tr2bl w:val="nil"/>
            </w:tcBorders>
            <w:noWrap/>
            <w:vAlign w:val="center"/>
          </w:tcPr>
          <w:p w14:paraId="75D868FC">
            <w:pPr>
              <w:widowControl/>
              <w:spacing w:line="240" w:lineRule="auto"/>
              <w:ind w:left="-72" w:leftChars="-30" w:right="-72" w:rightChars="-30" w:firstLine="0" w:firstLineChars="0"/>
              <w:jc w:val="center"/>
              <w:rPr>
                <w:rFonts w:eastAsia="新宋体"/>
                <w:color w:val="auto"/>
                <w:sz w:val="21"/>
                <w:szCs w:val="21"/>
                <w:highlight w:val="none"/>
              </w:rPr>
            </w:pPr>
          </w:p>
        </w:tc>
        <w:tc>
          <w:tcPr>
            <w:tcW w:w="511" w:type="pct"/>
            <w:tcBorders>
              <w:tl2br w:val="nil"/>
              <w:tr2bl w:val="nil"/>
            </w:tcBorders>
            <w:noWrap/>
            <w:vAlign w:val="center"/>
          </w:tcPr>
          <w:p w14:paraId="0A4072E0">
            <w:pPr>
              <w:widowControl/>
              <w:spacing w:line="240" w:lineRule="auto"/>
              <w:ind w:left="-72" w:leftChars="-30" w:right="-72" w:rightChars="-30" w:firstLine="0" w:firstLineChars="0"/>
              <w:jc w:val="center"/>
              <w:rPr>
                <w:rFonts w:eastAsia="新宋体"/>
                <w:color w:val="auto"/>
                <w:sz w:val="21"/>
                <w:szCs w:val="21"/>
                <w:highlight w:val="none"/>
              </w:rPr>
            </w:pPr>
          </w:p>
        </w:tc>
        <w:tc>
          <w:tcPr>
            <w:tcW w:w="457" w:type="pct"/>
            <w:tcBorders>
              <w:tl2br w:val="nil"/>
              <w:tr2bl w:val="nil"/>
            </w:tcBorders>
            <w:noWrap/>
            <w:vAlign w:val="center"/>
          </w:tcPr>
          <w:p w14:paraId="6583C16E">
            <w:pPr>
              <w:widowControl/>
              <w:spacing w:line="240" w:lineRule="auto"/>
              <w:ind w:left="-72" w:leftChars="-30" w:right="-72" w:rightChars="-30" w:firstLine="0" w:firstLineChars="0"/>
              <w:jc w:val="center"/>
              <w:rPr>
                <w:rFonts w:eastAsia="新宋体"/>
                <w:color w:val="auto"/>
                <w:sz w:val="21"/>
                <w:szCs w:val="21"/>
                <w:highlight w:val="none"/>
              </w:rPr>
            </w:pPr>
          </w:p>
        </w:tc>
        <w:tc>
          <w:tcPr>
            <w:tcW w:w="339" w:type="pct"/>
            <w:tcBorders>
              <w:tl2br w:val="nil"/>
              <w:tr2bl w:val="nil"/>
            </w:tcBorders>
            <w:noWrap/>
            <w:vAlign w:val="center"/>
          </w:tcPr>
          <w:p w14:paraId="0AA092CC">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Borders>
              <w:tl2br w:val="nil"/>
              <w:tr2bl w:val="nil"/>
            </w:tcBorders>
            <w:noWrap/>
            <w:vAlign w:val="center"/>
          </w:tcPr>
          <w:p w14:paraId="4D2C5CEC">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Borders>
              <w:tl2br w:val="nil"/>
              <w:tr2bl w:val="nil"/>
            </w:tcBorders>
            <w:noWrap/>
            <w:vAlign w:val="center"/>
          </w:tcPr>
          <w:p w14:paraId="39F5A825">
            <w:pPr>
              <w:widowControl/>
              <w:spacing w:line="240" w:lineRule="auto"/>
              <w:ind w:left="-72" w:leftChars="-30" w:right="-72" w:rightChars="-30" w:firstLine="0" w:firstLineChars="0"/>
              <w:jc w:val="center"/>
              <w:rPr>
                <w:rFonts w:eastAsia="新宋体"/>
                <w:color w:val="auto"/>
                <w:sz w:val="21"/>
                <w:szCs w:val="21"/>
                <w:highlight w:val="none"/>
              </w:rPr>
            </w:pPr>
          </w:p>
        </w:tc>
      </w:tr>
      <w:tr w14:paraId="3EFD24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continue"/>
            <w:tcBorders>
              <w:tl2br w:val="nil"/>
              <w:tr2bl w:val="nil"/>
            </w:tcBorders>
            <w:noWrap/>
            <w:vAlign w:val="center"/>
          </w:tcPr>
          <w:p w14:paraId="61E9BD9F">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p>
        </w:tc>
        <w:tc>
          <w:tcPr>
            <w:tcW w:w="374" w:type="pct"/>
            <w:vMerge w:val="continue"/>
            <w:tcBorders>
              <w:tl2br w:val="nil"/>
              <w:tr2bl w:val="nil"/>
            </w:tcBorders>
            <w:vAlign w:val="center"/>
          </w:tcPr>
          <w:p w14:paraId="5F1C61D7">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p>
        </w:tc>
        <w:tc>
          <w:tcPr>
            <w:tcW w:w="436" w:type="pct"/>
            <w:tcBorders>
              <w:tl2br w:val="nil"/>
              <w:tr2bl w:val="nil"/>
            </w:tcBorders>
            <w:vAlign w:val="center"/>
          </w:tcPr>
          <w:p w14:paraId="5EE25037">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二甲苯</w:t>
            </w:r>
          </w:p>
        </w:tc>
        <w:tc>
          <w:tcPr>
            <w:tcW w:w="512" w:type="pct"/>
            <w:tcBorders>
              <w:tl2br w:val="nil"/>
              <w:tr2bl w:val="nil"/>
            </w:tcBorders>
            <w:noWrap/>
            <w:vAlign w:val="center"/>
          </w:tcPr>
          <w:p w14:paraId="2B2C4964">
            <w:pPr>
              <w:widowControl/>
              <w:spacing w:line="240" w:lineRule="auto"/>
              <w:ind w:left="-72" w:leftChars="-30" w:right="-72" w:rightChars="-30" w:firstLine="0" w:firstLineChars="0"/>
              <w:jc w:val="center"/>
              <w:textAlignment w:val="center"/>
              <w:rPr>
                <w:rFonts w:eastAsia="新宋体"/>
                <w:color w:val="auto"/>
                <w:sz w:val="21"/>
                <w:szCs w:val="21"/>
                <w:highlight w:val="none"/>
                <w:lang w:bidi="ar"/>
              </w:rPr>
            </w:pPr>
            <w:r>
              <w:rPr>
                <w:rFonts w:hint="eastAsia" w:eastAsia="新宋体"/>
                <w:color w:val="auto"/>
                <w:sz w:val="21"/>
                <w:szCs w:val="21"/>
                <w:highlight w:val="none"/>
                <w:lang w:bidi="ar"/>
              </w:rPr>
              <w:t>2</w:t>
            </w:r>
          </w:p>
        </w:tc>
        <w:tc>
          <w:tcPr>
            <w:tcW w:w="322" w:type="pct"/>
            <w:tcBorders>
              <w:tl2br w:val="nil"/>
              <w:tr2bl w:val="nil"/>
            </w:tcBorders>
            <w:noWrap/>
            <w:vAlign w:val="center"/>
          </w:tcPr>
          <w:p w14:paraId="5D083B05">
            <w:pPr>
              <w:widowControl/>
              <w:spacing w:line="240" w:lineRule="auto"/>
              <w:ind w:left="-72" w:leftChars="-30" w:right="-72" w:rightChars="-30" w:firstLine="0" w:firstLineChars="0"/>
              <w:jc w:val="center"/>
              <w:rPr>
                <w:rFonts w:eastAsia="新宋体"/>
                <w:color w:val="auto"/>
                <w:sz w:val="21"/>
                <w:szCs w:val="21"/>
                <w:highlight w:val="none"/>
              </w:rPr>
            </w:pPr>
          </w:p>
        </w:tc>
        <w:tc>
          <w:tcPr>
            <w:tcW w:w="366" w:type="pct"/>
            <w:tcBorders>
              <w:tl2br w:val="nil"/>
              <w:tr2bl w:val="nil"/>
            </w:tcBorders>
            <w:noWrap/>
            <w:vAlign w:val="center"/>
          </w:tcPr>
          <w:p w14:paraId="1FCD29C7">
            <w:pPr>
              <w:widowControl/>
              <w:spacing w:line="240" w:lineRule="auto"/>
              <w:ind w:left="-72" w:leftChars="-30" w:right="-72" w:rightChars="-30" w:firstLine="0" w:firstLineChars="0"/>
              <w:jc w:val="center"/>
              <w:rPr>
                <w:rFonts w:eastAsia="新宋体"/>
                <w:color w:val="auto"/>
                <w:sz w:val="21"/>
                <w:szCs w:val="21"/>
                <w:highlight w:val="none"/>
              </w:rPr>
            </w:pPr>
          </w:p>
        </w:tc>
        <w:tc>
          <w:tcPr>
            <w:tcW w:w="511" w:type="pct"/>
            <w:tcBorders>
              <w:tl2br w:val="nil"/>
              <w:tr2bl w:val="nil"/>
            </w:tcBorders>
            <w:noWrap/>
            <w:vAlign w:val="center"/>
          </w:tcPr>
          <w:p w14:paraId="1CC86D8B">
            <w:pPr>
              <w:widowControl/>
              <w:spacing w:line="240" w:lineRule="auto"/>
              <w:ind w:left="-72" w:leftChars="-30" w:right="-72" w:rightChars="-30" w:firstLine="0" w:firstLineChars="0"/>
              <w:jc w:val="center"/>
              <w:rPr>
                <w:rFonts w:eastAsia="新宋体"/>
                <w:color w:val="auto"/>
                <w:sz w:val="21"/>
                <w:szCs w:val="21"/>
                <w:highlight w:val="none"/>
              </w:rPr>
            </w:pPr>
          </w:p>
        </w:tc>
        <w:tc>
          <w:tcPr>
            <w:tcW w:w="457" w:type="pct"/>
            <w:tcBorders>
              <w:tl2br w:val="nil"/>
              <w:tr2bl w:val="nil"/>
            </w:tcBorders>
            <w:noWrap/>
            <w:vAlign w:val="center"/>
          </w:tcPr>
          <w:p w14:paraId="501F3474">
            <w:pPr>
              <w:widowControl/>
              <w:spacing w:line="240" w:lineRule="auto"/>
              <w:ind w:left="-72" w:leftChars="-30" w:right="-72" w:rightChars="-30" w:firstLine="0" w:firstLineChars="0"/>
              <w:jc w:val="center"/>
              <w:rPr>
                <w:rFonts w:eastAsia="新宋体"/>
                <w:color w:val="auto"/>
                <w:sz w:val="21"/>
                <w:szCs w:val="21"/>
                <w:highlight w:val="none"/>
              </w:rPr>
            </w:pPr>
          </w:p>
        </w:tc>
        <w:tc>
          <w:tcPr>
            <w:tcW w:w="339" w:type="pct"/>
            <w:tcBorders>
              <w:tl2br w:val="nil"/>
              <w:tr2bl w:val="nil"/>
            </w:tcBorders>
            <w:noWrap/>
            <w:vAlign w:val="center"/>
          </w:tcPr>
          <w:p w14:paraId="582C2081">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Borders>
              <w:tl2br w:val="nil"/>
              <w:tr2bl w:val="nil"/>
            </w:tcBorders>
            <w:noWrap/>
            <w:vAlign w:val="center"/>
          </w:tcPr>
          <w:p w14:paraId="2FE7D0F4">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Borders>
              <w:tl2br w:val="nil"/>
              <w:tr2bl w:val="nil"/>
            </w:tcBorders>
            <w:noWrap/>
            <w:vAlign w:val="center"/>
          </w:tcPr>
          <w:p w14:paraId="6B47DD2E">
            <w:pPr>
              <w:widowControl/>
              <w:spacing w:line="240" w:lineRule="auto"/>
              <w:ind w:left="-72" w:leftChars="-30" w:right="-72" w:rightChars="-30" w:firstLine="0" w:firstLineChars="0"/>
              <w:jc w:val="center"/>
              <w:rPr>
                <w:rFonts w:eastAsia="新宋体"/>
                <w:color w:val="auto"/>
                <w:sz w:val="21"/>
                <w:szCs w:val="21"/>
                <w:highlight w:val="none"/>
              </w:rPr>
            </w:pPr>
          </w:p>
        </w:tc>
      </w:tr>
      <w:tr w14:paraId="0FB4A2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restart"/>
            <w:tcBorders>
              <w:tl2br w:val="nil"/>
              <w:tr2bl w:val="nil"/>
            </w:tcBorders>
            <w:noWrap/>
            <w:vAlign w:val="center"/>
          </w:tcPr>
          <w:p w14:paraId="107E4B47">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r>
              <w:rPr>
                <w:rFonts w:hint="eastAsia" w:eastAsia="新宋体"/>
                <w:b/>
                <w:bCs/>
                <w:color w:val="auto"/>
                <w:sz w:val="21"/>
                <w:szCs w:val="21"/>
                <w:highlight w:val="none"/>
              </w:rPr>
              <w:t>合计</w:t>
            </w:r>
          </w:p>
        </w:tc>
        <w:tc>
          <w:tcPr>
            <w:tcW w:w="374" w:type="pct"/>
            <w:vMerge w:val="restart"/>
            <w:tcBorders>
              <w:tl2br w:val="nil"/>
              <w:tr2bl w:val="nil"/>
            </w:tcBorders>
            <w:noWrap/>
            <w:vAlign w:val="center"/>
          </w:tcPr>
          <w:p w14:paraId="581A9897">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r>
              <w:rPr>
                <w:rFonts w:hint="eastAsia" w:eastAsia="新宋体"/>
                <w:b/>
                <w:bCs/>
                <w:color w:val="auto"/>
                <w:sz w:val="21"/>
                <w:szCs w:val="21"/>
                <w:highlight w:val="none"/>
              </w:rPr>
              <w:t>250</w:t>
            </w:r>
          </w:p>
        </w:tc>
        <w:tc>
          <w:tcPr>
            <w:tcW w:w="436" w:type="pct"/>
            <w:tcBorders>
              <w:tl2br w:val="nil"/>
              <w:tr2bl w:val="nil"/>
            </w:tcBorders>
            <w:noWrap/>
            <w:vAlign w:val="center"/>
          </w:tcPr>
          <w:p w14:paraId="0F5CC2BC">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固体份</w:t>
            </w:r>
          </w:p>
        </w:tc>
        <w:tc>
          <w:tcPr>
            <w:tcW w:w="512" w:type="pct"/>
            <w:tcBorders>
              <w:tl2br w:val="nil"/>
              <w:tr2bl w:val="nil"/>
            </w:tcBorders>
            <w:noWrap/>
            <w:vAlign w:val="center"/>
          </w:tcPr>
          <w:p w14:paraId="74A74CA8">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r>
              <w:rPr>
                <w:rFonts w:hint="eastAsia" w:eastAsia="新宋体"/>
                <w:b/>
                <w:bCs/>
                <w:color w:val="auto"/>
                <w:sz w:val="21"/>
                <w:szCs w:val="21"/>
                <w:highlight w:val="none"/>
                <w:lang w:bidi="ar"/>
              </w:rPr>
              <w:t>175.01</w:t>
            </w:r>
          </w:p>
        </w:tc>
        <w:tc>
          <w:tcPr>
            <w:tcW w:w="322" w:type="pct"/>
            <w:tcBorders>
              <w:tl2br w:val="nil"/>
              <w:tr2bl w:val="nil"/>
            </w:tcBorders>
            <w:noWrap/>
            <w:vAlign w:val="center"/>
          </w:tcPr>
          <w:p w14:paraId="5134C93C">
            <w:pPr>
              <w:widowControl/>
              <w:spacing w:line="240" w:lineRule="auto"/>
              <w:ind w:left="-72" w:leftChars="-30" w:right="-72" w:rightChars="-30" w:firstLine="0" w:firstLineChars="0"/>
              <w:jc w:val="center"/>
              <w:rPr>
                <w:rFonts w:eastAsia="新宋体"/>
                <w:color w:val="auto"/>
                <w:sz w:val="21"/>
                <w:szCs w:val="21"/>
                <w:highlight w:val="none"/>
              </w:rPr>
            </w:pPr>
          </w:p>
        </w:tc>
        <w:tc>
          <w:tcPr>
            <w:tcW w:w="366" w:type="pct"/>
            <w:tcBorders>
              <w:tl2br w:val="nil"/>
              <w:tr2bl w:val="nil"/>
            </w:tcBorders>
            <w:noWrap/>
            <w:vAlign w:val="center"/>
          </w:tcPr>
          <w:p w14:paraId="7118D48A">
            <w:pPr>
              <w:widowControl/>
              <w:spacing w:line="240" w:lineRule="auto"/>
              <w:ind w:left="-72" w:leftChars="-30" w:right="-72" w:rightChars="-30" w:firstLine="0" w:firstLineChars="0"/>
              <w:jc w:val="center"/>
              <w:rPr>
                <w:rFonts w:eastAsia="新宋体"/>
                <w:color w:val="auto"/>
                <w:sz w:val="21"/>
                <w:szCs w:val="21"/>
                <w:highlight w:val="none"/>
              </w:rPr>
            </w:pPr>
          </w:p>
        </w:tc>
        <w:tc>
          <w:tcPr>
            <w:tcW w:w="511" w:type="pct"/>
            <w:tcBorders>
              <w:tl2br w:val="nil"/>
              <w:tr2bl w:val="nil"/>
            </w:tcBorders>
            <w:noWrap/>
            <w:vAlign w:val="center"/>
          </w:tcPr>
          <w:p w14:paraId="609EB8DA">
            <w:pPr>
              <w:widowControl/>
              <w:spacing w:line="240" w:lineRule="auto"/>
              <w:ind w:left="-72" w:leftChars="-30" w:right="-72" w:rightChars="-30" w:firstLine="0" w:firstLineChars="0"/>
              <w:jc w:val="center"/>
              <w:rPr>
                <w:rFonts w:eastAsia="新宋体"/>
                <w:color w:val="auto"/>
                <w:sz w:val="21"/>
                <w:szCs w:val="21"/>
                <w:highlight w:val="none"/>
              </w:rPr>
            </w:pPr>
          </w:p>
        </w:tc>
        <w:tc>
          <w:tcPr>
            <w:tcW w:w="457" w:type="pct"/>
            <w:tcBorders>
              <w:tl2br w:val="nil"/>
              <w:tr2bl w:val="nil"/>
            </w:tcBorders>
            <w:noWrap/>
            <w:vAlign w:val="center"/>
          </w:tcPr>
          <w:p w14:paraId="442673D0">
            <w:pPr>
              <w:widowControl/>
              <w:spacing w:line="240" w:lineRule="auto"/>
              <w:ind w:left="-72" w:leftChars="-30" w:right="-72" w:rightChars="-30" w:firstLine="0" w:firstLineChars="0"/>
              <w:jc w:val="center"/>
              <w:rPr>
                <w:rFonts w:eastAsia="新宋体"/>
                <w:color w:val="auto"/>
                <w:sz w:val="21"/>
                <w:szCs w:val="21"/>
                <w:highlight w:val="none"/>
              </w:rPr>
            </w:pPr>
          </w:p>
        </w:tc>
        <w:tc>
          <w:tcPr>
            <w:tcW w:w="339" w:type="pct"/>
            <w:tcBorders>
              <w:tl2br w:val="nil"/>
              <w:tr2bl w:val="nil"/>
            </w:tcBorders>
            <w:noWrap/>
            <w:vAlign w:val="center"/>
          </w:tcPr>
          <w:p w14:paraId="1235CCA1">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Borders>
              <w:tl2br w:val="nil"/>
              <w:tr2bl w:val="nil"/>
            </w:tcBorders>
            <w:noWrap/>
            <w:vAlign w:val="center"/>
          </w:tcPr>
          <w:p w14:paraId="34F7FCB4">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Borders>
              <w:tl2br w:val="nil"/>
              <w:tr2bl w:val="nil"/>
            </w:tcBorders>
            <w:noWrap/>
            <w:vAlign w:val="center"/>
          </w:tcPr>
          <w:p w14:paraId="28A6526B">
            <w:pPr>
              <w:widowControl/>
              <w:spacing w:line="240" w:lineRule="auto"/>
              <w:ind w:left="-72" w:leftChars="-30" w:right="-72" w:rightChars="-30" w:firstLine="0" w:firstLineChars="0"/>
              <w:jc w:val="center"/>
              <w:rPr>
                <w:rFonts w:eastAsia="新宋体"/>
                <w:color w:val="auto"/>
                <w:sz w:val="21"/>
                <w:szCs w:val="21"/>
                <w:highlight w:val="none"/>
              </w:rPr>
            </w:pPr>
          </w:p>
        </w:tc>
      </w:tr>
      <w:tr w14:paraId="470A38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continue"/>
          </w:tcPr>
          <w:p w14:paraId="1FC025E6">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p>
        </w:tc>
        <w:tc>
          <w:tcPr>
            <w:tcW w:w="374" w:type="pct"/>
            <w:vMerge w:val="continue"/>
          </w:tcPr>
          <w:p w14:paraId="297A9D15">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p>
        </w:tc>
        <w:tc>
          <w:tcPr>
            <w:tcW w:w="436" w:type="pct"/>
            <w:vAlign w:val="center"/>
          </w:tcPr>
          <w:p w14:paraId="5FE8EEC4">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VOCs</w:t>
            </w:r>
          </w:p>
        </w:tc>
        <w:tc>
          <w:tcPr>
            <w:tcW w:w="512" w:type="pct"/>
          </w:tcPr>
          <w:p w14:paraId="061CC1A1">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r>
              <w:rPr>
                <w:rFonts w:hint="eastAsia" w:eastAsia="新宋体"/>
                <w:b/>
                <w:bCs/>
                <w:color w:val="auto"/>
                <w:sz w:val="21"/>
                <w:szCs w:val="21"/>
                <w:highlight w:val="none"/>
              </w:rPr>
              <w:t>60.00</w:t>
            </w:r>
          </w:p>
        </w:tc>
        <w:tc>
          <w:tcPr>
            <w:tcW w:w="322" w:type="pct"/>
          </w:tcPr>
          <w:p w14:paraId="183CEA99">
            <w:pPr>
              <w:widowControl/>
              <w:spacing w:line="240" w:lineRule="auto"/>
              <w:ind w:left="-72" w:leftChars="-30" w:right="-72" w:rightChars="-30" w:firstLine="0" w:firstLineChars="0"/>
              <w:jc w:val="center"/>
              <w:rPr>
                <w:rFonts w:eastAsia="新宋体"/>
                <w:color w:val="auto"/>
                <w:sz w:val="21"/>
                <w:szCs w:val="21"/>
                <w:highlight w:val="none"/>
              </w:rPr>
            </w:pPr>
          </w:p>
        </w:tc>
        <w:tc>
          <w:tcPr>
            <w:tcW w:w="366" w:type="pct"/>
          </w:tcPr>
          <w:p w14:paraId="7400B064">
            <w:pPr>
              <w:widowControl/>
              <w:spacing w:line="240" w:lineRule="auto"/>
              <w:ind w:left="-72" w:leftChars="-30" w:right="-72" w:rightChars="-30" w:firstLine="0" w:firstLineChars="0"/>
              <w:jc w:val="center"/>
              <w:rPr>
                <w:rFonts w:eastAsia="新宋体"/>
                <w:color w:val="auto"/>
                <w:sz w:val="21"/>
                <w:szCs w:val="21"/>
                <w:highlight w:val="none"/>
              </w:rPr>
            </w:pPr>
          </w:p>
        </w:tc>
        <w:tc>
          <w:tcPr>
            <w:tcW w:w="511" w:type="pct"/>
          </w:tcPr>
          <w:p w14:paraId="597BF11A">
            <w:pPr>
              <w:widowControl/>
              <w:spacing w:line="240" w:lineRule="auto"/>
              <w:ind w:left="-72" w:leftChars="-30" w:right="-72" w:rightChars="-30" w:firstLine="0" w:firstLineChars="0"/>
              <w:jc w:val="center"/>
              <w:rPr>
                <w:rFonts w:eastAsia="新宋体"/>
                <w:color w:val="auto"/>
                <w:sz w:val="21"/>
                <w:szCs w:val="21"/>
                <w:highlight w:val="none"/>
              </w:rPr>
            </w:pPr>
          </w:p>
        </w:tc>
        <w:tc>
          <w:tcPr>
            <w:tcW w:w="457" w:type="pct"/>
          </w:tcPr>
          <w:p w14:paraId="02DD4731">
            <w:pPr>
              <w:widowControl/>
              <w:spacing w:line="240" w:lineRule="auto"/>
              <w:ind w:left="-72" w:leftChars="-30" w:right="-72" w:rightChars="-30" w:firstLine="0" w:firstLineChars="0"/>
              <w:jc w:val="center"/>
              <w:rPr>
                <w:rFonts w:eastAsia="新宋体"/>
                <w:color w:val="auto"/>
                <w:sz w:val="21"/>
                <w:szCs w:val="21"/>
                <w:highlight w:val="none"/>
              </w:rPr>
            </w:pPr>
          </w:p>
        </w:tc>
        <w:tc>
          <w:tcPr>
            <w:tcW w:w="339" w:type="pct"/>
          </w:tcPr>
          <w:p w14:paraId="7E00E6FB">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Pr>
          <w:p w14:paraId="03AA36A2">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Pr>
          <w:p w14:paraId="33FE8A3E">
            <w:pPr>
              <w:widowControl/>
              <w:spacing w:line="240" w:lineRule="auto"/>
              <w:ind w:left="-72" w:leftChars="-30" w:right="-72" w:rightChars="-30" w:firstLine="0" w:firstLineChars="0"/>
              <w:jc w:val="center"/>
              <w:rPr>
                <w:rFonts w:eastAsia="新宋体"/>
                <w:color w:val="auto"/>
                <w:sz w:val="21"/>
                <w:szCs w:val="21"/>
                <w:highlight w:val="none"/>
              </w:rPr>
            </w:pPr>
          </w:p>
        </w:tc>
      </w:tr>
      <w:tr w14:paraId="1E0120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9" w:type="pct"/>
            <w:vMerge w:val="continue"/>
          </w:tcPr>
          <w:p w14:paraId="6E266761">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p>
        </w:tc>
        <w:tc>
          <w:tcPr>
            <w:tcW w:w="374" w:type="pct"/>
            <w:vMerge w:val="continue"/>
          </w:tcPr>
          <w:p w14:paraId="5258EF1F">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p>
        </w:tc>
        <w:tc>
          <w:tcPr>
            <w:tcW w:w="436" w:type="pct"/>
            <w:vAlign w:val="center"/>
          </w:tcPr>
          <w:p w14:paraId="38DA4DE8">
            <w:pPr>
              <w:widowControl/>
              <w:spacing w:line="240" w:lineRule="auto"/>
              <w:ind w:left="-72" w:leftChars="-30" w:right="-72" w:rightChars="-30" w:firstLine="0" w:firstLineChars="0"/>
              <w:jc w:val="center"/>
              <w:textAlignment w:val="center"/>
              <w:rPr>
                <w:rFonts w:eastAsia="新宋体"/>
                <w:color w:val="auto"/>
                <w:sz w:val="21"/>
                <w:szCs w:val="21"/>
                <w:highlight w:val="none"/>
              </w:rPr>
            </w:pPr>
            <w:r>
              <w:rPr>
                <w:rFonts w:eastAsia="新宋体"/>
                <w:color w:val="auto"/>
                <w:sz w:val="21"/>
                <w:szCs w:val="21"/>
                <w:highlight w:val="none"/>
                <w:lang w:bidi="ar"/>
              </w:rPr>
              <w:t>二甲苯</w:t>
            </w:r>
          </w:p>
        </w:tc>
        <w:tc>
          <w:tcPr>
            <w:tcW w:w="512" w:type="pct"/>
          </w:tcPr>
          <w:p w14:paraId="29EB885C">
            <w:pPr>
              <w:widowControl/>
              <w:spacing w:line="240" w:lineRule="auto"/>
              <w:ind w:left="-72" w:leftChars="-30" w:right="-72" w:rightChars="-30" w:firstLine="0" w:firstLineChars="0"/>
              <w:jc w:val="center"/>
              <w:textAlignment w:val="center"/>
              <w:rPr>
                <w:rFonts w:eastAsia="新宋体"/>
                <w:b/>
                <w:bCs/>
                <w:color w:val="auto"/>
                <w:sz w:val="21"/>
                <w:szCs w:val="21"/>
                <w:highlight w:val="none"/>
              </w:rPr>
            </w:pPr>
            <w:r>
              <w:rPr>
                <w:rFonts w:hint="eastAsia" w:eastAsia="新宋体"/>
                <w:b/>
                <w:bCs/>
                <w:color w:val="auto"/>
                <w:sz w:val="21"/>
                <w:szCs w:val="21"/>
                <w:highlight w:val="none"/>
              </w:rPr>
              <w:t>14.99</w:t>
            </w:r>
          </w:p>
        </w:tc>
        <w:tc>
          <w:tcPr>
            <w:tcW w:w="322" w:type="pct"/>
          </w:tcPr>
          <w:p w14:paraId="4BDB0B69">
            <w:pPr>
              <w:widowControl/>
              <w:spacing w:line="240" w:lineRule="auto"/>
              <w:ind w:left="-72" w:leftChars="-30" w:right="-72" w:rightChars="-30" w:firstLine="0" w:firstLineChars="0"/>
              <w:jc w:val="center"/>
              <w:rPr>
                <w:rFonts w:eastAsia="新宋体"/>
                <w:color w:val="auto"/>
                <w:sz w:val="21"/>
                <w:szCs w:val="21"/>
                <w:highlight w:val="none"/>
              </w:rPr>
            </w:pPr>
          </w:p>
        </w:tc>
        <w:tc>
          <w:tcPr>
            <w:tcW w:w="366" w:type="pct"/>
          </w:tcPr>
          <w:p w14:paraId="2D519AC1">
            <w:pPr>
              <w:widowControl/>
              <w:spacing w:line="240" w:lineRule="auto"/>
              <w:ind w:left="-72" w:leftChars="-30" w:right="-72" w:rightChars="-30" w:firstLine="0" w:firstLineChars="0"/>
              <w:jc w:val="center"/>
              <w:rPr>
                <w:rFonts w:eastAsia="新宋体"/>
                <w:color w:val="auto"/>
                <w:sz w:val="21"/>
                <w:szCs w:val="21"/>
                <w:highlight w:val="none"/>
              </w:rPr>
            </w:pPr>
          </w:p>
        </w:tc>
        <w:tc>
          <w:tcPr>
            <w:tcW w:w="511" w:type="pct"/>
          </w:tcPr>
          <w:p w14:paraId="2EAAAF43">
            <w:pPr>
              <w:widowControl/>
              <w:spacing w:line="240" w:lineRule="auto"/>
              <w:ind w:left="-72" w:leftChars="-30" w:right="-72" w:rightChars="-30" w:firstLine="0" w:firstLineChars="0"/>
              <w:jc w:val="center"/>
              <w:rPr>
                <w:rFonts w:eastAsia="新宋体"/>
                <w:color w:val="auto"/>
                <w:sz w:val="21"/>
                <w:szCs w:val="21"/>
                <w:highlight w:val="none"/>
              </w:rPr>
            </w:pPr>
          </w:p>
        </w:tc>
        <w:tc>
          <w:tcPr>
            <w:tcW w:w="457" w:type="pct"/>
          </w:tcPr>
          <w:p w14:paraId="65126C50">
            <w:pPr>
              <w:widowControl/>
              <w:spacing w:line="240" w:lineRule="auto"/>
              <w:ind w:left="-72" w:leftChars="-30" w:right="-72" w:rightChars="-30" w:firstLine="0" w:firstLineChars="0"/>
              <w:jc w:val="center"/>
              <w:rPr>
                <w:rFonts w:eastAsia="新宋体"/>
                <w:color w:val="auto"/>
                <w:sz w:val="21"/>
                <w:szCs w:val="21"/>
                <w:highlight w:val="none"/>
              </w:rPr>
            </w:pPr>
          </w:p>
        </w:tc>
        <w:tc>
          <w:tcPr>
            <w:tcW w:w="339" w:type="pct"/>
          </w:tcPr>
          <w:p w14:paraId="0ED22423">
            <w:pPr>
              <w:widowControl/>
              <w:spacing w:line="240" w:lineRule="auto"/>
              <w:ind w:left="-72" w:leftChars="-30" w:right="-72" w:rightChars="-30" w:firstLine="0" w:firstLineChars="0"/>
              <w:jc w:val="center"/>
              <w:rPr>
                <w:rFonts w:eastAsia="新宋体"/>
                <w:color w:val="auto"/>
                <w:sz w:val="21"/>
                <w:szCs w:val="21"/>
                <w:highlight w:val="none"/>
              </w:rPr>
            </w:pPr>
          </w:p>
        </w:tc>
        <w:tc>
          <w:tcPr>
            <w:tcW w:w="633" w:type="pct"/>
          </w:tcPr>
          <w:p w14:paraId="2EC11BD9">
            <w:pPr>
              <w:widowControl/>
              <w:spacing w:line="240" w:lineRule="auto"/>
              <w:ind w:left="-72" w:leftChars="-30" w:right="-72" w:rightChars="-30" w:firstLine="0" w:firstLineChars="0"/>
              <w:jc w:val="center"/>
              <w:rPr>
                <w:rFonts w:eastAsia="新宋体"/>
                <w:color w:val="auto"/>
                <w:sz w:val="21"/>
                <w:szCs w:val="21"/>
                <w:highlight w:val="none"/>
              </w:rPr>
            </w:pPr>
          </w:p>
        </w:tc>
        <w:tc>
          <w:tcPr>
            <w:tcW w:w="436" w:type="pct"/>
          </w:tcPr>
          <w:p w14:paraId="41561219">
            <w:pPr>
              <w:widowControl/>
              <w:spacing w:line="240" w:lineRule="auto"/>
              <w:ind w:left="-72" w:leftChars="-30" w:right="-72" w:rightChars="-30" w:firstLine="0" w:firstLineChars="0"/>
              <w:jc w:val="center"/>
              <w:rPr>
                <w:rFonts w:eastAsia="新宋体"/>
                <w:color w:val="auto"/>
                <w:sz w:val="21"/>
                <w:szCs w:val="21"/>
                <w:highlight w:val="none"/>
              </w:rPr>
            </w:pPr>
          </w:p>
        </w:tc>
      </w:tr>
    </w:tbl>
    <w:p w14:paraId="2C522D28">
      <w:pPr>
        <w:spacing w:line="240" w:lineRule="auto"/>
        <w:ind w:firstLine="0" w:firstLineChars="0"/>
        <w:rPr>
          <w:b/>
          <w:color w:val="auto"/>
          <w:sz w:val="21"/>
          <w:szCs w:val="21"/>
          <w:highlight w:val="none"/>
          <w:u w:val="single"/>
        </w:rPr>
      </w:pPr>
      <w:r>
        <w:rPr>
          <w:rFonts w:hint="eastAsia"/>
          <w:b/>
          <w:color w:val="auto"/>
          <w:sz w:val="21"/>
          <w:szCs w:val="21"/>
          <w:highlight w:val="none"/>
          <w:u w:val="single"/>
        </w:rPr>
        <w:t>注：根据油漆与稀释剂成分分析可知，项目采用的油漆和稀释剂苯、甲苯含量极低，因此苯、甲苯纳入了VOCs统计，不单独计算。</w:t>
      </w:r>
    </w:p>
    <w:p w14:paraId="679B3557">
      <w:pPr>
        <w:spacing w:line="240" w:lineRule="auto"/>
        <w:ind w:firstLine="0" w:firstLineChars="0"/>
        <w:jc w:val="center"/>
        <w:rPr>
          <w:b/>
          <w:color w:val="auto"/>
          <w:sz w:val="21"/>
          <w:szCs w:val="21"/>
          <w:highlight w:val="none"/>
        </w:rPr>
      </w:pPr>
      <w:r>
        <w:rPr>
          <w:b/>
          <w:color w:val="auto"/>
          <w:sz w:val="21"/>
          <w:szCs w:val="21"/>
          <w:highlight w:val="none"/>
        </w:rPr>
        <w:drawing>
          <wp:inline distT="0" distB="0" distL="114300" distR="114300">
            <wp:extent cx="8202930" cy="5516245"/>
            <wp:effectExtent l="9525" t="9525" r="17145" b="17780"/>
            <wp:docPr id="3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1"/>
                    <pic:cNvPicPr>
                      <a:picLocks noChangeAspect="1"/>
                    </pic:cNvPicPr>
                  </pic:nvPicPr>
                  <pic:blipFill>
                    <a:blip r:embed="rId71"/>
                    <a:stretch>
                      <a:fillRect/>
                    </a:stretch>
                  </pic:blipFill>
                  <pic:spPr>
                    <a:xfrm>
                      <a:off x="0" y="0"/>
                      <a:ext cx="8202930" cy="5516245"/>
                    </a:xfrm>
                    <a:prstGeom prst="rect">
                      <a:avLst/>
                    </a:prstGeom>
                    <a:noFill/>
                    <a:ln>
                      <a:solidFill>
                        <a:schemeClr val="tx1"/>
                      </a:solidFill>
                    </a:ln>
                  </pic:spPr>
                </pic:pic>
              </a:graphicData>
            </a:graphic>
          </wp:inline>
        </w:drawing>
      </w:r>
    </w:p>
    <w:p w14:paraId="485A3454">
      <w:pPr>
        <w:pStyle w:val="38"/>
        <w:spacing w:after="0" w:line="240" w:lineRule="auto"/>
        <w:ind w:firstLine="0" w:firstLineChars="0"/>
        <w:jc w:val="center"/>
        <w:rPr>
          <w:b/>
          <w:color w:val="auto"/>
          <w:sz w:val="21"/>
          <w:szCs w:val="21"/>
          <w:highlight w:val="none"/>
        </w:rPr>
      </w:pPr>
      <w:r>
        <w:rPr>
          <w:b/>
          <w:color w:val="auto"/>
          <w:sz w:val="21"/>
          <w:szCs w:val="21"/>
          <w:highlight w:val="none"/>
        </w:rPr>
        <w:t>图2.1-2  项目油漆平衡图</w:t>
      </w:r>
    </w:p>
    <w:p w14:paraId="47965FAB">
      <w:pPr>
        <w:pStyle w:val="38"/>
        <w:ind w:firstLine="480"/>
        <w:rPr>
          <w:color w:val="auto"/>
          <w:highlight w:val="none"/>
        </w:rPr>
      </w:pPr>
    </w:p>
    <w:p w14:paraId="6EE10533">
      <w:pPr>
        <w:pStyle w:val="38"/>
        <w:ind w:firstLine="480"/>
        <w:rPr>
          <w:color w:val="auto"/>
          <w:highlight w:val="none"/>
        </w:rPr>
        <w:sectPr>
          <w:headerReference r:id="rId25" w:type="default"/>
          <w:pgSz w:w="16838" w:h="11906" w:orient="landscape"/>
          <w:pgMar w:top="1134" w:right="1417" w:bottom="1134" w:left="1417" w:header="851" w:footer="964" w:gutter="0"/>
          <w:cols w:space="0" w:num="1"/>
          <w:docGrid w:linePitch="326" w:charSpace="0"/>
        </w:sectPr>
      </w:pPr>
    </w:p>
    <w:p w14:paraId="49916CD0">
      <w:pPr>
        <w:ind w:firstLine="482"/>
        <w:rPr>
          <w:b/>
          <w:bCs/>
          <w:color w:val="auto"/>
          <w:highlight w:val="none"/>
        </w:rPr>
      </w:pPr>
      <w:r>
        <w:rPr>
          <w:b/>
          <w:bCs/>
          <w:color w:val="auto"/>
          <w:highlight w:val="none"/>
        </w:rPr>
        <w:t>（2）金属材料平衡</w:t>
      </w:r>
    </w:p>
    <w:p w14:paraId="6B0847FE">
      <w:pPr>
        <w:spacing w:before="120" w:beforeLines="50" w:after="120" w:afterLines="50"/>
        <w:ind w:firstLine="480"/>
        <w:rPr>
          <w:color w:val="auto"/>
          <w:szCs w:val="20"/>
          <w:highlight w:val="none"/>
        </w:rPr>
      </w:pPr>
      <w:r>
        <w:rPr>
          <w:color w:val="auto"/>
          <w:szCs w:val="20"/>
          <w:highlight w:val="none"/>
        </w:rPr>
        <w:t>本项目生产用到的金属材料包括钢板、钢管、焊条、焊丝、钢丸、铁矿砂等，船舶维修除锈等过程会产生部分铁锈，项目</w:t>
      </w:r>
      <w:r>
        <w:rPr>
          <w:rFonts w:hint="eastAsia"/>
          <w:color w:val="auto"/>
          <w:szCs w:val="20"/>
          <w:highlight w:val="none"/>
        </w:rPr>
        <w:t>满负荷生产情况下</w:t>
      </w:r>
      <w:r>
        <w:rPr>
          <w:color w:val="auto"/>
          <w:szCs w:val="20"/>
          <w:highlight w:val="none"/>
        </w:rPr>
        <w:t>金属平衡见表2.1-</w:t>
      </w:r>
      <w:r>
        <w:rPr>
          <w:rFonts w:hint="eastAsia"/>
          <w:color w:val="auto"/>
          <w:szCs w:val="20"/>
          <w:highlight w:val="none"/>
        </w:rPr>
        <w:t>7</w:t>
      </w:r>
      <w:r>
        <w:rPr>
          <w:color w:val="auto"/>
          <w:szCs w:val="20"/>
          <w:highlight w:val="none"/>
        </w:rPr>
        <w:t>。</w:t>
      </w:r>
    </w:p>
    <w:p w14:paraId="37BED2B6">
      <w:pPr>
        <w:pStyle w:val="38"/>
        <w:spacing w:after="0" w:line="240" w:lineRule="auto"/>
        <w:ind w:firstLine="0" w:firstLineChars="0"/>
        <w:jc w:val="center"/>
        <w:rPr>
          <w:b/>
          <w:color w:val="auto"/>
          <w:sz w:val="21"/>
          <w:szCs w:val="21"/>
          <w:highlight w:val="none"/>
        </w:rPr>
      </w:pPr>
      <w:r>
        <w:rPr>
          <w:b/>
          <w:color w:val="auto"/>
          <w:sz w:val="21"/>
          <w:szCs w:val="21"/>
          <w:highlight w:val="none"/>
        </w:rPr>
        <w:t>表2.1-</w:t>
      </w:r>
      <w:r>
        <w:rPr>
          <w:rFonts w:hint="eastAsia"/>
          <w:b/>
          <w:color w:val="auto"/>
          <w:sz w:val="21"/>
          <w:szCs w:val="21"/>
          <w:highlight w:val="none"/>
        </w:rPr>
        <w:t>7</w:t>
      </w:r>
      <w:r>
        <w:rPr>
          <w:b/>
          <w:color w:val="auto"/>
          <w:sz w:val="21"/>
          <w:szCs w:val="21"/>
          <w:highlight w:val="none"/>
        </w:rPr>
        <w:t xml:space="preserve">  项目金属平衡表（t/a）</w:t>
      </w:r>
    </w:p>
    <w:tbl>
      <w:tblPr>
        <w:tblStyle w:val="9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8"/>
        <w:gridCol w:w="1592"/>
        <w:gridCol w:w="1161"/>
        <w:gridCol w:w="1161"/>
        <w:gridCol w:w="1161"/>
        <w:gridCol w:w="1161"/>
        <w:gridCol w:w="1161"/>
        <w:gridCol w:w="1161"/>
      </w:tblGrid>
      <w:tr w14:paraId="08C9C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dxa"/>
            <w:vMerge w:val="restart"/>
            <w:tcBorders>
              <w:top w:val="single" w:color="auto" w:sz="12" w:space="0"/>
              <w:left w:val="nil"/>
            </w:tcBorders>
            <w:vAlign w:val="center"/>
          </w:tcPr>
          <w:p w14:paraId="2EA65846">
            <w:pPr>
              <w:widowControl/>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序号</w:t>
            </w:r>
          </w:p>
        </w:tc>
        <w:tc>
          <w:tcPr>
            <w:tcW w:w="2753" w:type="dxa"/>
            <w:gridSpan w:val="2"/>
            <w:tcBorders>
              <w:top w:val="single" w:color="auto" w:sz="12" w:space="0"/>
            </w:tcBorders>
          </w:tcPr>
          <w:p w14:paraId="3E954C32">
            <w:pPr>
              <w:widowControl/>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入方</w:t>
            </w:r>
          </w:p>
        </w:tc>
        <w:tc>
          <w:tcPr>
            <w:tcW w:w="5805" w:type="dxa"/>
            <w:gridSpan w:val="5"/>
            <w:tcBorders>
              <w:top w:val="single" w:color="auto" w:sz="12" w:space="0"/>
              <w:right w:val="nil"/>
            </w:tcBorders>
          </w:tcPr>
          <w:p w14:paraId="0099010B">
            <w:pPr>
              <w:widowControl/>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出方</w:t>
            </w:r>
          </w:p>
        </w:tc>
      </w:tr>
      <w:tr w14:paraId="0BD6A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dxa"/>
            <w:vMerge w:val="continue"/>
            <w:tcBorders>
              <w:left w:val="nil"/>
            </w:tcBorders>
          </w:tcPr>
          <w:p w14:paraId="3FABD7A3">
            <w:pPr>
              <w:widowControl/>
              <w:spacing w:line="240" w:lineRule="auto"/>
              <w:ind w:left="-72" w:leftChars="-30" w:right="-72" w:rightChars="-30" w:firstLine="0" w:firstLineChars="0"/>
              <w:jc w:val="center"/>
              <w:rPr>
                <w:b/>
                <w:bCs/>
                <w:color w:val="auto"/>
                <w:sz w:val="21"/>
                <w:szCs w:val="21"/>
                <w:highlight w:val="none"/>
              </w:rPr>
            </w:pPr>
          </w:p>
        </w:tc>
        <w:tc>
          <w:tcPr>
            <w:tcW w:w="1592" w:type="dxa"/>
          </w:tcPr>
          <w:p w14:paraId="3E7C5667">
            <w:pPr>
              <w:widowControl/>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物料名称</w:t>
            </w:r>
          </w:p>
        </w:tc>
        <w:tc>
          <w:tcPr>
            <w:tcW w:w="1161" w:type="dxa"/>
          </w:tcPr>
          <w:p w14:paraId="430B88D5">
            <w:pPr>
              <w:widowControl/>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数量</w:t>
            </w:r>
          </w:p>
        </w:tc>
        <w:tc>
          <w:tcPr>
            <w:tcW w:w="1161" w:type="dxa"/>
          </w:tcPr>
          <w:p w14:paraId="2C8D1DEF">
            <w:pPr>
              <w:widowControl/>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产品</w:t>
            </w:r>
          </w:p>
        </w:tc>
        <w:tc>
          <w:tcPr>
            <w:tcW w:w="1161" w:type="dxa"/>
          </w:tcPr>
          <w:p w14:paraId="3CC22966">
            <w:pPr>
              <w:widowControl/>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废气</w:t>
            </w:r>
          </w:p>
        </w:tc>
        <w:tc>
          <w:tcPr>
            <w:tcW w:w="1161" w:type="dxa"/>
          </w:tcPr>
          <w:p w14:paraId="7FBB0425">
            <w:pPr>
              <w:widowControl/>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废水</w:t>
            </w:r>
          </w:p>
        </w:tc>
        <w:tc>
          <w:tcPr>
            <w:tcW w:w="1161" w:type="dxa"/>
          </w:tcPr>
          <w:p w14:paraId="449AF454">
            <w:pPr>
              <w:widowControl/>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铁屑</w:t>
            </w:r>
          </w:p>
        </w:tc>
        <w:tc>
          <w:tcPr>
            <w:tcW w:w="1161" w:type="dxa"/>
            <w:tcBorders>
              <w:right w:val="nil"/>
            </w:tcBorders>
          </w:tcPr>
          <w:p w14:paraId="079C2225">
            <w:pPr>
              <w:widowControl/>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其他固废</w:t>
            </w:r>
          </w:p>
        </w:tc>
      </w:tr>
      <w:tr w14:paraId="315AF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dxa"/>
            <w:tcBorders>
              <w:left w:val="nil"/>
            </w:tcBorders>
          </w:tcPr>
          <w:p w14:paraId="43E8D335">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1</w:t>
            </w:r>
          </w:p>
        </w:tc>
        <w:tc>
          <w:tcPr>
            <w:tcW w:w="1592" w:type="dxa"/>
          </w:tcPr>
          <w:p w14:paraId="55FB5EAF">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钢材</w:t>
            </w:r>
          </w:p>
        </w:tc>
        <w:tc>
          <w:tcPr>
            <w:tcW w:w="1161" w:type="dxa"/>
            <w:vAlign w:val="center"/>
          </w:tcPr>
          <w:p w14:paraId="276C55E3">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1400</w:t>
            </w:r>
          </w:p>
        </w:tc>
        <w:tc>
          <w:tcPr>
            <w:tcW w:w="1161" w:type="dxa"/>
            <w:vAlign w:val="center"/>
          </w:tcPr>
          <w:p w14:paraId="0227B80A">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1339.2</w:t>
            </w:r>
          </w:p>
        </w:tc>
        <w:tc>
          <w:tcPr>
            <w:tcW w:w="1161" w:type="dxa"/>
            <w:vAlign w:val="center"/>
          </w:tcPr>
          <w:p w14:paraId="48CC118D">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0.05</w:t>
            </w:r>
          </w:p>
        </w:tc>
        <w:tc>
          <w:tcPr>
            <w:tcW w:w="1161" w:type="dxa"/>
            <w:vAlign w:val="center"/>
          </w:tcPr>
          <w:p w14:paraId="57CA37B9">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0</w:t>
            </w:r>
          </w:p>
        </w:tc>
        <w:tc>
          <w:tcPr>
            <w:tcW w:w="1161" w:type="dxa"/>
            <w:vAlign w:val="center"/>
          </w:tcPr>
          <w:p w14:paraId="03C89B76">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12</w:t>
            </w:r>
          </w:p>
        </w:tc>
        <w:tc>
          <w:tcPr>
            <w:tcW w:w="1161" w:type="dxa"/>
            <w:tcBorders>
              <w:right w:val="nil"/>
            </w:tcBorders>
            <w:vAlign w:val="center"/>
          </w:tcPr>
          <w:p w14:paraId="4200BCE2">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48.75</w:t>
            </w:r>
          </w:p>
        </w:tc>
      </w:tr>
      <w:tr w14:paraId="1712C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dxa"/>
            <w:tcBorders>
              <w:left w:val="nil"/>
            </w:tcBorders>
          </w:tcPr>
          <w:p w14:paraId="0A517622">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2</w:t>
            </w:r>
          </w:p>
        </w:tc>
        <w:tc>
          <w:tcPr>
            <w:tcW w:w="1592" w:type="dxa"/>
          </w:tcPr>
          <w:p w14:paraId="722DB18B">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铜矿砂</w:t>
            </w:r>
          </w:p>
        </w:tc>
        <w:tc>
          <w:tcPr>
            <w:tcW w:w="1161" w:type="dxa"/>
            <w:vAlign w:val="center"/>
          </w:tcPr>
          <w:p w14:paraId="5E010E5E">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3600</w:t>
            </w:r>
          </w:p>
        </w:tc>
        <w:tc>
          <w:tcPr>
            <w:tcW w:w="1161" w:type="dxa"/>
            <w:vAlign w:val="center"/>
          </w:tcPr>
          <w:p w14:paraId="69910323">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0</w:t>
            </w:r>
          </w:p>
        </w:tc>
        <w:tc>
          <w:tcPr>
            <w:tcW w:w="1161" w:type="dxa"/>
            <w:vAlign w:val="center"/>
          </w:tcPr>
          <w:p w14:paraId="7B32517E">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3.6</w:t>
            </w:r>
          </w:p>
        </w:tc>
        <w:tc>
          <w:tcPr>
            <w:tcW w:w="1161" w:type="dxa"/>
            <w:vAlign w:val="center"/>
          </w:tcPr>
          <w:p w14:paraId="546D51AC">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0</w:t>
            </w:r>
          </w:p>
        </w:tc>
        <w:tc>
          <w:tcPr>
            <w:tcW w:w="1161" w:type="dxa"/>
            <w:vAlign w:val="center"/>
          </w:tcPr>
          <w:p w14:paraId="00E319EA">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0</w:t>
            </w:r>
          </w:p>
        </w:tc>
        <w:tc>
          <w:tcPr>
            <w:tcW w:w="1161" w:type="dxa"/>
            <w:tcBorders>
              <w:right w:val="nil"/>
            </w:tcBorders>
            <w:vAlign w:val="center"/>
          </w:tcPr>
          <w:p w14:paraId="2365E519">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3596.4</w:t>
            </w:r>
          </w:p>
        </w:tc>
      </w:tr>
      <w:tr w14:paraId="69CF4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dxa"/>
            <w:tcBorders>
              <w:left w:val="nil"/>
            </w:tcBorders>
          </w:tcPr>
          <w:p w14:paraId="468303CA">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3</w:t>
            </w:r>
          </w:p>
        </w:tc>
        <w:tc>
          <w:tcPr>
            <w:tcW w:w="1592" w:type="dxa"/>
            <w:vAlign w:val="center"/>
          </w:tcPr>
          <w:p w14:paraId="2B35269A">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焊条、焊丝</w:t>
            </w:r>
          </w:p>
        </w:tc>
        <w:tc>
          <w:tcPr>
            <w:tcW w:w="1161" w:type="dxa"/>
            <w:vAlign w:val="center"/>
          </w:tcPr>
          <w:p w14:paraId="3116A562">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60</w:t>
            </w:r>
          </w:p>
        </w:tc>
        <w:tc>
          <w:tcPr>
            <w:tcW w:w="1161" w:type="dxa"/>
            <w:vAlign w:val="center"/>
          </w:tcPr>
          <w:p w14:paraId="4CD3665C">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53.65</w:t>
            </w:r>
          </w:p>
        </w:tc>
        <w:tc>
          <w:tcPr>
            <w:tcW w:w="1161" w:type="dxa"/>
            <w:vAlign w:val="center"/>
          </w:tcPr>
          <w:p w14:paraId="650AB561">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0.8</w:t>
            </w:r>
          </w:p>
        </w:tc>
        <w:tc>
          <w:tcPr>
            <w:tcW w:w="1161" w:type="dxa"/>
            <w:vAlign w:val="center"/>
          </w:tcPr>
          <w:p w14:paraId="66DD41E6">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0</w:t>
            </w:r>
          </w:p>
        </w:tc>
        <w:tc>
          <w:tcPr>
            <w:tcW w:w="1161" w:type="dxa"/>
            <w:vAlign w:val="center"/>
          </w:tcPr>
          <w:p w14:paraId="5135F177">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0</w:t>
            </w:r>
          </w:p>
        </w:tc>
        <w:tc>
          <w:tcPr>
            <w:tcW w:w="1161" w:type="dxa"/>
            <w:tcBorders>
              <w:right w:val="nil"/>
            </w:tcBorders>
            <w:vAlign w:val="center"/>
          </w:tcPr>
          <w:p w14:paraId="1D7D4510">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5.55</w:t>
            </w:r>
          </w:p>
        </w:tc>
      </w:tr>
      <w:tr w14:paraId="4E55B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dxa"/>
            <w:tcBorders>
              <w:left w:val="nil"/>
            </w:tcBorders>
            <w:vAlign w:val="center"/>
          </w:tcPr>
          <w:p w14:paraId="4EF1A3E3">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4</w:t>
            </w:r>
          </w:p>
        </w:tc>
        <w:tc>
          <w:tcPr>
            <w:tcW w:w="1592" w:type="dxa"/>
            <w:vAlign w:val="center"/>
          </w:tcPr>
          <w:p w14:paraId="27291049">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维修船舶铁锈、漆皮</w:t>
            </w:r>
          </w:p>
        </w:tc>
        <w:tc>
          <w:tcPr>
            <w:tcW w:w="1161" w:type="dxa"/>
            <w:vAlign w:val="center"/>
          </w:tcPr>
          <w:p w14:paraId="6D628BAC">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60</w:t>
            </w:r>
          </w:p>
        </w:tc>
        <w:tc>
          <w:tcPr>
            <w:tcW w:w="1161" w:type="dxa"/>
            <w:vAlign w:val="center"/>
          </w:tcPr>
          <w:p w14:paraId="78952670">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0</w:t>
            </w:r>
          </w:p>
        </w:tc>
        <w:tc>
          <w:tcPr>
            <w:tcW w:w="1161" w:type="dxa"/>
            <w:vAlign w:val="center"/>
          </w:tcPr>
          <w:p w14:paraId="0CF098B1">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0.12</w:t>
            </w:r>
          </w:p>
        </w:tc>
        <w:tc>
          <w:tcPr>
            <w:tcW w:w="1161" w:type="dxa"/>
            <w:vAlign w:val="center"/>
          </w:tcPr>
          <w:p w14:paraId="051E777A">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0</w:t>
            </w:r>
          </w:p>
        </w:tc>
        <w:tc>
          <w:tcPr>
            <w:tcW w:w="1161" w:type="dxa"/>
            <w:vAlign w:val="center"/>
          </w:tcPr>
          <w:p w14:paraId="7CDA2722">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0</w:t>
            </w:r>
          </w:p>
        </w:tc>
        <w:tc>
          <w:tcPr>
            <w:tcW w:w="1161" w:type="dxa"/>
            <w:tcBorders>
              <w:right w:val="nil"/>
            </w:tcBorders>
            <w:vAlign w:val="center"/>
          </w:tcPr>
          <w:p w14:paraId="581C3CCF">
            <w:pPr>
              <w:widowControl/>
              <w:spacing w:line="240" w:lineRule="auto"/>
              <w:ind w:left="-72" w:leftChars="-30" w:right="-72" w:rightChars="-30" w:firstLine="0" w:firstLineChars="0"/>
              <w:jc w:val="center"/>
              <w:rPr>
                <w:color w:val="auto"/>
                <w:sz w:val="21"/>
                <w:szCs w:val="21"/>
                <w:highlight w:val="none"/>
              </w:rPr>
            </w:pPr>
            <w:r>
              <w:rPr>
                <w:color w:val="auto"/>
                <w:sz w:val="21"/>
                <w:szCs w:val="21"/>
                <w:highlight w:val="none"/>
              </w:rPr>
              <w:t>59.88</w:t>
            </w:r>
          </w:p>
        </w:tc>
      </w:tr>
      <w:tr w14:paraId="50311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dxa"/>
            <w:tcBorders>
              <w:left w:val="nil"/>
              <w:bottom w:val="single" w:color="auto" w:sz="12" w:space="0"/>
            </w:tcBorders>
            <w:vAlign w:val="center"/>
          </w:tcPr>
          <w:p w14:paraId="4A191314">
            <w:pPr>
              <w:widowControl/>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合计</w:t>
            </w:r>
          </w:p>
        </w:tc>
        <w:tc>
          <w:tcPr>
            <w:tcW w:w="1592" w:type="dxa"/>
            <w:tcBorders>
              <w:bottom w:val="single" w:color="auto" w:sz="12" w:space="0"/>
            </w:tcBorders>
            <w:vAlign w:val="center"/>
          </w:tcPr>
          <w:p w14:paraId="3EFDB504">
            <w:pPr>
              <w:widowControl/>
              <w:spacing w:line="240" w:lineRule="auto"/>
              <w:ind w:left="-72" w:leftChars="-30" w:right="-72" w:rightChars="-30" w:firstLine="0" w:firstLineChars="0"/>
              <w:jc w:val="center"/>
              <w:rPr>
                <w:b/>
                <w:bCs/>
                <w:color w:val="auto"/>
                <w:sz w:val="21"/>
                <w:szCs w:val="21"/>
                <w:highlight w:val="none"/>
              </w:rPr>
            </w:pPr>
          </w:p>
        </w:tc>
        <w:tc>
          <w:tcPr>
            <w:tcW w:w="1161" w:type="dxa"/>
            <w:tcBorders>
              <w:bottom w:val="single" w:color="auto" w:sz="12" w:space="0"/>
            </w:tcBorders>
            <w:vAlign w:val="center"/>
          </w:tcPr>
          <w:p w14:paraId="2616309F">
            <w:pPr>
              <w:widowControl/>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fldChar w:fldCharType="begin"/>
            </w:r>
            <w:r>
              <w:rPr>
                <w:b/>
                <w:bCs/>
                <w:color w:val="auto"/>
                <w:sz w:val="21"/>
                <w:szCs w:val="21"/>
                <w:highlight w:val="none"/>
              </w:rPr>
              <w:instrText xml:space="preserve"> =SUM(ABOVE) \* MERGEFORMAT </w:instrText>
            </w:r>
            <w:r>
              <w:rPr>
                <w:b/>
                <w:bCs/>
                <w:color w:val="auto"/>
                <w:sz w:val="21"/>
                <w:szCs w:val="21"/>
                <w:highlight w:val="none"/>
              </w:rPr>
              <w:fldChar w:fldCharType="separate"/>
            </w:r>
            <w:r>
              <w:rPr>
                <w:b/>
                <w:bCs/>
                <w:color w:val="auto"/>
                <w:sz w:val="21"/>
                <w:szCs w:val="21"/>
                <w:highlight w:val="none"/>
              </w:rPr>
              <w:t>5120</w:t>
            </w:r>
            <w:r>
              <w:rPr>
                <w:b/>
                <w:bCs/>
                <w:color w:val="auto"/>
                <w:sz w:val="21"/>
                <w:szCs w:val="21"/>
                <w:highlight w:val="none"/>
              </w:rPr>
              <w:fldChar w:fldCharType="end"/>
            </w:r>
          </w:p>
        </w:tc>
        <w:tc>
          <w:tcPr>
            <w:tcW w:w="1161" w:type="dxa"/>
            <w:tcBorders>
              <w:bottom w:val="single" w:color="auto" w:sz="12" w:space="0"/>
            </w:tcBorders>
            <w:vAlign w:val="center"/>
          </w:tcPr>
          <w:p w14:paraId="3C541941">
            <w:pPr>
              <w:widowControl/>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fldChar w:fldCharType="begin"/>
            </w:r>
            <w:r>
              <w:rPr>
                <w:b/>
                <w:bCs/>
                <w:color w:val="auto"/>
                <w:sz w:val="21"/>
                <w:szCs w:val="21"/>
                <w:highlight w:val="none"/>
              </w:rPr>
              <w:instrText xml:space="preserve"> =SUM(ABOVE) \* MERGEFORMAT </w:instrText>
            </w:r>
            <w:r>
              <w:rPr>
                <w:b/>
                <w:bCs/>
                <w:color w:val="auto"/>
                <w:sz w:val="21"/>
                <w:szCs w:val="21"/>
                <w:highlight w:val="none"/>
              </w:rPr>
              <w:fldChar w:fldCharType="separate"/>
            </w:r>
            <w:r>
              <w:rPr>
                <w:b/>
                <w:bCs/>
                <w:color w:val="auto"/>
                <w:sz w:val="21"/>
                <w:szCs w:val="21"/>
                <w:highlight w:val="none"/>
              </w:rPr>
              <w:t>1392.85</w:t>
            </w:r>
            <w:r>
              <w:rPr>
                <w:b/>
                <w:bCs/>
                <w:color w:val="auto"/>
                <w:sz w:val="21"/>
                <w:szCs w:val="21"/>
                <w:highlight w:val="none"/>
              </w:rPr>
              <w:fldChar w:fldCharType="end"/>
            </w:r>
          </w:p>
        </w:tc>
        <w:tc>
          <w:tcPr>
            <w:tcW w:w="1161" w:type="dxa"/>
            <w:tcBorders>
              <w:bottom w:val="single" w:color="auto" w:sz="12" w:space="0"/>
            </w:tcBorders>
            <w:vAlign w:val="center"/>
          </w:tcPr>
          <w:p w14:paraId="0159B61F">
            <w:pPr>
              <w:widowControl/>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fldChar w:fldCharType="begin"/>
            </w:r>
            <w:r>
              <w:rPr>
                <w:b/>
                <w:bCs/>
                <w:color w:val="auto"/>
                <w:sz w:val="21"/>
                <w:szCs w:val="21"/>
                <w:highlight w:val="none"/>
              </w:rPr>
              <w:instrText xml:space="preserve"> =SUM(ABOVE) \* MERGEFORMAT </w:instrText>
            </w:r>
            <w:r>
              <w:rPr>
                <w:b/>
                <w:bCs/>
                <w:color w:val="auto"/>
                <w:sz w:val="21"/>
                <w:szCs w:val="21"/>
                <w:highlight w:val="none"/>
              </w:rPr>
              <w:fldChar w:fldCharType="separate"/>
            </w:r>
            <w:r>
              <w:rPr>
                <w:b/>
                <w:bCs/>
                <w:color w:val="auto"/>
                <w:sz w:val="21"/>
                <w:szCs w:val="21"/>
                <w:highlight w:val="none"/>
              </w:rPr>
              <w:t>4.57</w:t>
            </w:r>
            <w:r>
              <w:rPr>
                <w:b/>
                <w:bCs/>
                <w:color w:val="auto"/>
                <w:sz w:val="21"/>
                <w:szCs w:val="21"/>
                <w:highlight w:val="none"/>
              </w:rPr>
              <w:fldChar w:fldCharType="end"/>
            </w:r>
          </w:p>
        </w:tc>
        <w:tc>
          <w:tcPr>
            <w:tcW w:w="1161" w:type="dxa"/>
            <w:tcBorders>
              <w:bottom w:val="single" w:color="auto" w:sz="12" w:space="0"/>
            </w:tcBorders>
            <w:vAlign w:val="center"/>
          </w:tcPr>
          <w:p w14:paraId="69AC7F21">
            <w:pPr>
              <w:widowControl/>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0</w:t>
            </w:r>
          </w:p>
        </w:tc>
        <w:tc>
          <w:tcPr>
            <w:tcW w:w="1161" w:type="dxa"/>
            <w:tcBorders>
              <w:bottom w:val="single" w:color="auto" w:sz="12" w:space="0"/>
            </w:tcBorders>
            <w:vAlign w:val="center"/>
          </w:tcPr>
          <w:p w14:paraId="1995F3DA">
            <w:pPr>
              <w:widowControl/>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12</w:t>
            </w:r>
          </w:p>
        </w:tc>
        <w:tc>
          <w:tcPr>
            <w:tcW w:w="1161" w:type="dxa"/>
            <w:tcBorders>
              <w:bottom w:val="single" w:color="auto" w:sz="12" w:space="0"/>
              <w:right w:val="nil"/>
            </w:tcBorders>
            <w:vAlign w:val="center"/>
          </w:tcPr>
          <w:p w14:paraId="28B8AF7D">
            <w:pPr>
              <w:widowControl/>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fldChar w:fldCharType="begin"/>
            </w:r>
            <w:r>
              <w:rPr>
                <w:b/>
                <w:bCs/>
                <w:color w:val="auto"/>
                <w:sz w:val="21"/>
                <w:szCs w:val="21"/>
                <w:highlight w:val="none"/>
              </w:rPr>
              <w:instrText xml:space="preserve"> =SUM(ABOVE) \* MERGEFORMAT </w:instrText>
            </w:r>
            <w:r>
              <w:rPr>
                <w:b/>
                <w:bCs/>
                <w:color w:val="auto"/>
                <w:sz w:val="21"/>
                <w:szCs w:val="21"/>
                <w:highlight w:val="none"/>
              </w:rPr>
              <w:fldChar w:fldCharType="separate"/>
            </w:r>
            <w:r>
              <w:rPr>
                <w:b/>
                <w:bCs/>
                <w:color w:val="auto"/>
                <w:sz w:val="21"/>
                <w:szCs w:val="21"/>
                <w:highlight w:val="none"/>
              </w:rPr>
              <w:t>3710.58</w:t>
            </w:r>
            <w:r>
              <w:rPr>
                <w:b/>
                <w:bCs/>
                <w:color w:val="auto"/>
                <w:sz w:val="21"/>
                <w:szCs w:val="21"/>
                <w:highlight w:val="none"/>
              </w:rPr>
              <w:fldChar w:fldCharType="end"/>
            </w:r>
          </w:p>
        </w:tc>
      </w:tr>
    </w:tbl>
    <w:p w14:paraId="067ACC9A">
      <w:pPr>
        <w:ind w:firstLine="482"/>
        <w:jc w:val="center"/>
        <w:rPr>
          <w:b/>
          <w:color w:val="auto"/>
          <w:szCs w:val="21"/>
          <w:highlight w:val="none"/>
        </w:rPr>
      </w:pPr>
    </w:p>
    <w:p w14:paraId="3007E286">
      <w:pPr>
        <w:pStyle w:val="533"/>
        <w:numPr>
          <w:ilvl w:val="3"/>
          <w:numId w:val="9"/>
        </w:numPr>
        <w:rPr>
          <w:color w:val="auto"/>
          <w:szCs w:val="24"/>
          <w:highlight w:val="none"/>
        </w:rPr>
      </w:pPr>
      <w:r>
        <w:rPr>
          <w:color w:val="auto"/>
          <w:szCs w:val="24"/>
          <w:highlight w:val="none"/>
        </w:rPr>
        <w:t>生产工艺流程</w:t>
      </w:r>
    </w:p>
    <w:p w14:paraId="3989F975">
      <w:pPr>
        <w:ind w:firstLine="482"/>
        <w:rPr>
          <w:b/>
          <w:color w:val="auto"/>
          <w:szCs w:val="21"/>
          <w:highlight w:val="none"/>
        </w:rPr>
      </w:pPr>
      <w:r>
        <w:rPr>
          <w:b/>
          <w:color w:val="auto"/>
          <w:szCs w:val="21"/>
          <w:highlight w:val="none"/>
        </w:rPr>
        <w:t>（1）船舶修理分类</w:t>
      </w:r>
    </w:p>
    <w:p w14:paraId="7D33E1FB">
      <w:pPr>
        <w:ind w:firstLine="480"/>
        <w:rPr>
          <w:color w:val="auto"/>
          <w:szCs w:val="21"/>
          <w:highlight w:val="none"/>
        </w:rPr>
      </w:pPr>
      <w:r>
        <w:rPr>
          <w:color w:val="auto"/>
          <w:szCs w:val="21"/>
          <w:highlight w:val="none"/>
        </w:rPr>
        <w:t>修船工程是一项技术质量要求高，涉及众多工艺的综合性工程。船舶的修理一般分为检修、岁修、坞修、航修等几大类，待修船舶在</w:t>
      </w:r>
      <w:r>
        <w:rPr>
          <w:rFonts w:hint="eastAsia"/>
          <w:color w:val="auto"/>
          <w:szCs w:val="21"/>
          <w:highlight w:val="none"/>
          <w:lang w:eastAsia="zh-CN"/>
        </w:rPr>
        <w:t>指定</w:t>
      </w:r>
      <w:r>
        <w:rPr>
          <w:color w:val="auto"/>
          <w:szCs w:val="21"/>
          <w:highlight w:val="none"/>
        </w:rPr>
        <w:t>地点清仓后按不同修理内容进行相应的修理，凡需修理水下部位的船舶均需进入船坞，称之为坞修，其他部位需维修的船舶则在修船码头或锚泊区修理，修完后试车，经验收合格后交船主。</w:t>
      </w:r>
    </w:p>
    <w:p w14:paraId="4A714A47">
      <w:pPr>
        <w:ind w:firstLine="480"/>
        <w:rPr>
          <w:color w:val="auto"/>
          <w:szCs w:val="21"/>
          <w:highlight w:val="none"/>
        </w:rPr>
      </w:pPr>
      <w:r>
        <w:rPr>
          <w:color w:val="auto"/>
          <w:szCs w:val="21"/>
          <w:highlight w:val="none"/>
        </w:rPr>
        <w:t>根据船舶修理的复杂程度，一般又可分为大修、中修和小修。</w:t>
      </w:r>
    </w:p>
    <w:p w14:paraId="773B5570">
      <w:pPr>
        <w:ind w:firstLine="480"/>
        <w:rPr>
          <w:color w:val="auto"/>
          <w:szCs w:val="21"/>
          <w:highlight w:val="none"/>
        </w:rPr>
      </w:pPr>
      <w:r>
        <w:rPr>
          <w:color w:val="auto"/>
          <w:szCs w:val="21"/>
          <w:highlight w:val="none"/>
        </w:rPr>
        <w:t>①大修：船舶修理项目较大较多，质量检验要求较高（一般按国家年检规范要求），需进坞修理如进行涂装、甲板机械设备、机舱机械设备、尾轴、推进器、船壳及上层建筑物外壳均需经过检修。</w:t>
      </w:r>
    </w:p>
    <w:p w14:paraId="3A49AD1D">
      <w:pPr>
        <w:ind w:firstLine="480"/>
        <w:rPr>
          <w:color w:val="auto"/>
          <w:szCs w:val="21"/>
          <w:highlight w:val="none"/>
        </w:rPr>
      </w:pPr>
      <w:r>
        <w:rPr>
          <w:color w:val="auto"/>
          <w:szCs w:val="21"/>
          <w:highlight w:val="none"/>
        </w:rPr>
        <w:t>②中修：船舶修理项目相对大修来说较小、较少，但仍需进行船体清洗和涂装，甲板机械设备、机舱机械设备、船壳、尾轴、推进器等局部检修。</w:t>
      </w:r>
    </w:p>
    <w:p w14:paraId="3782FC17">
      <w:pPr>
        <w:ind w:firstLine="480"/>
        <w:rPr>
          <w:color w:val="auto"/>
          <w:szCs w:val="21"/>
          <w:highlight w:val="none"/>
        </w:rPr>
      </w:pPr>
      <w:r>
        <w:rPr>
          <w:color w:val="auto"/>
          <w:szCs w:val="21"/>
          <w:highlight w:val="none"/>
        </w:rPr>
        <w:t>③小修：该类船舶修理除了进行水线以下喷漆加工外一般不需要进坞修理，只在修船码头上进行翻修、检修，以机械设备修理为主。</w:t>
      </w:r>
    </w:p>
    <w:p w14:paraId="370DCDEE">
      <w:pPr>
        <w:ind w:firstLine="482"/>
        <w:rPr>
          <w:b/>
          <w:color w:val="auto"/>
          <w:szCs w:val="21"/>
          <w:highlight w:val="none"/>
        </w:rPr>
      </w:pPr>
      <w:r>
        <w:rPr>
          <w:b/>
          <w:color w:val="auto"/>
          <w:szCs w:val="21"/>
          <w:highlight w:val="none"/>
        </w:rPr>
        <w:t>（2）生产工艺流程</w:t>
      </w:r>
    </w:p>
    <w:p w14:paraId="27A1F98E">
      <w:pPr>
        <w:ind w:firstLine="480"/>
        <w:rPr>
          <w:color w:val="auto"/>
          <w:highlight w:val="none"/>
        </w:rPr>
      </w:pPr>
      <w:r>
        <w:rPr>
          <w:color w:val="auto"/>
          <w:highlight w:val="none"/>
        </w:rPr>
        <w:t>本工程以浮船坞修船为主，浮船坞修船生产工艺主要</w:t>
      </w:r>
      <w:r>
        <w:rPr>
          <w:rFonts w:hint="eastAsia"/>
          <w:color w:val="auto"/>
          <w:highlight w:val="none"/>
          <w:lang w:eastAsia="zh-CN"/>
        </w:rPr>
        <w:t>分为</w:t>
      </w:r>
      <w:r>
        <w:rPr>
          <w:color w:val="auto"/>
          <w:highlight w:val="none"/>
        </w:rPr>
        <w:t>船体工程（包括船体部分、坞修部分）和舾装工程，进厂船舶修理和改装一般不超出以下工艺范围。</w:t>
      </w:r>
    </w:p>
    <w:p w14:paraId="0BEF8B1D">
      <w:pPr>
        <w:ind w:firstLine="480"/>
        <w:rPr>
          <w:color w:val="auto"/>
          <w:highlight w:val="none"/>
        </w:rPr>
      </w:pPr>
      <w:r>
        <w:rPr>
          <w:color w:val="auto"/>
          <w:highlight w:val="none"/>
        </w:rPr>
        <w:t>①船体工程</w:t>
      </w:r>
    </w:p>
    <w:p w14:paraId="7FB898CB">
      <w:pPr>
        <w:ind w:firstLine="480"/>
        <w:rPr>
          <w:color w:val="auto"/>
          <w:highlight w:val="none"/>
        </w:rPr>
      </w:pPr>
      <w:r>
        <w:rPr>
          <w:color w:val="auto"/>
          <w:highlight w:val="none"/>
        </w:rPr>
        <w:t>船壳及舱室喷涂（坞修部分）工艺流程：船舶进坞或靠码头→高压水清洗→喷砂除锈→喷漆涂装。</w:t>
      </w:r>
    </w:p>
    <w:p w14:paraId="67CAABF7">
      <w:pPr>
        <w:ind w:firstLine="480"/>
        <w:rPr>
          <w:color w:val="auto"/>
          <w:highlight w:val="none"/>
        </w:rPr>
      </w:pPr>
      <w:r>
        <w:rPr>
          <w:color w:val="auto"/>
          <w:highlight w:val="none"/>
        </w:rPr>
        <w:t>钢结构修补（船体部分）工艺流程：船体钢板的勘验、拆卸→钢材切割加工→上船安装。</w:t>
      </w:r>
    </w:p>
    <w:p w14:paraId="65340542">
      <w:pPr>
        <w:ind w:firstLine="480"/>
        <w:rPr>
          <w:color w:val="auto"/>
          <w:highlight w:val="none"/>
        </w:rPr>
      </w:pPr>
      <w:r>
        <w:rPr>
          <w:color w:val="auto"/>
          <w:highlight w:val="none"/>
        </w:rPr>
        <w:t>②舾装工程</w:t>
      </w:r>
    </w:p>
    <w:p w14:paraId="17BAAFB6">
      <w:pPr>
        <w:ind w:firstLine="480"/>
        <w:rPr>
          <w:color w:val="auto"/>
          <w:highlight w:val="none"/>
        </w:rPr>
      </w:pPr>
      <w:r>
        <w:rPr>
          <w:color w:val="auto"/>
          <w:highlight w:val="none"/>
        </w:rPr>
        <w:t>舾装工艺流程：勘验→拆除→内场修理→内场调试→装复→试验→完工。</w:t>
      </w:r>
    </w:p>
    <w:p w14:paraId="6FF3A0D2">
      <w:pPr>
        <w:ind w:firstLine="480"/>
        <w:rPr>
          <w:color w:val="auto"/>
          <w:highlight w:val="none"/>
        </w:rPr>
      </w:pPr>
      <w:r>
        <w:rPr>
          <w:color w:val="auto"/>
          <w:highlight w:val="none"/>
        </w:rPr>
        <w:t>待修船舶放空压舱水后乘潮进坞，将船闸关闭，然后将坞内的海水用泵抽出，待修船舶固定后，用高压水对船体外壳进行冲洗。海事局有关人员对被修船舶进行勘验，待被修船舶的废油、油污水清理达标后再进行修理。如若需要对油舱部位进行修理，各船厂均需委托经海事局认可的专业清舱公司清除油舱内所有残油及油渣并对油舱进行清洗，清洗出来的残油和油渣由清仓公司运走，油污水由建设单位建设含油废水处理站进行处理，测爆合格后才动火以避免事故发生。</w:t>
      </w:r>
    </w:p>
    <w:p w14:paraId="706D91F8">
      <w:pPr>
        <w:ind w:firstLine="480"/>
        <w:rPr>
          <w:color w:val="auto"/>
          <w:highlight w:val="none"/>
        </w:rPr>
      </w:pPr>
      <w:r>
        <w:rPr>
          <w:color w:val="auto"/>
          <w:highlight w:val="none"/>
        </w:rPr>
        <w:t>船舶在海上航行时将受到盐雾、潮气、强烈的紫外线和带有微碱性的海水的腐蚀，这些不仅对钢板起到剧烈的电化学腐蚀作用，而且对油漆也起着强烈的皂化、老化等破坏作用，而且船舶水线以下部分会有各种海洋生物如海藻、牡蛎、藤壶等繁殖，进一步加大了船舶的锈蚀。因此，为避免船壳穿孔，船舶运行一定时间后需将船壳上铁锈、旧油漆、油污、海生物等去除重新涂上防锈防污漆以保证航行安全。油漆前需要喷砂除锈，以获取良好的附着面。目前除锈设备一般采用喷砂除锈机，系利用风管内高速移动的压缩空气的压力（2～6kg/cm</w:t>
      </w:r>
      <w:r>
        <w:rPr>
          <w:color w:val="auto"/>
          <w:highlight w:val="none"/>
          <w:vertAlign w:val="superscript"/>
        </w:rPr>
        <w:t>2</w:t>
      </w:r>
      <w:r>
        <w:rPr>
          <w:color w:val="auto"/>
          <w:highlight w:val="none"/>
        </w:rPr>
        <w:t>）将铜矿砂（直径在1～2mm左右）带走并冲击于金属表面使锈层剥落。铜矿砂在与船壳钢板撞击后将粉碎成微小颗粒，将产生大量扬尘，扬尘量与铜矿砂质量和风速有关，同时船壳上击打下来的铁锈和漆皮也成为扬尘的一部分，其发生量与船体的锈蚀程度相关。喷砂作业在船坞进行，由于一般船坞均设置在海边，风速较大，且船舶体积较大，修造封闭式船坞存在技术及资金上的问题，故国内外用于修造船的船坞基本上是露天设置的，污染排放方式系无组织排放。喷砂除锈后对待修船舶船壳、内舱、舱口盖等进行喷漆，喷漆作业在浮船坞露天进行。</w:t>
      </w:r>
    </w:p>
    <w:p w14:paraId="3685D6B3">
      <w:pPr>
        <w:ind w:firstLine="480"/>
        <w:rPr>
          <w:color w:val="auto"/>
          <w:highlight w:val="none"/>
        </w:rPr>
      </w:pPr>
      <w:r>
        <w:rPr>
          <w:color w:val="auto"/>
          <w:highlight w:val="none"/>
        </w:rPr>
        <w:t>针对船体钢板锈蚀变薄部分，需要对船体钢板进行勘验、拆卸及换新，船体的割补施焊在船上直接进行，钢板和构件的换新要在车间内加工成型，以单件直接上船进行焊接，修船所需的钢材贮存、切割、加工等工作在船体和机电综合车间进行。</w:t>
      </w:r>
    </w:p>
    <w:p w14:paraId="478A5164">
      <w:pPr>
        <w:ind w:firstLine="480"/>
        <w:rPr>
          <w:color w:val="auto"/>
          <w:highlight w:val="none"/>
        </w:rPr>
      </w:pPr>
      <w:r>
        <w:rPr>
          <w:color w:val="auto"/>
          <w:highlight w:val="none"/>
        </w:rPr>
        <w:t>船上的机电设备、管件、螺旋桨、轴舵等部件因长时间使用损坏、腐蚀需要检查维修更换，在船体上拆卸后送船体和机电综合车间进行维修，各机件拆卸过程可能会有部分机油带出或滴落至船坞。船体和机电综合车间设有管子工场、坞修钳工工场、电工工场、薄板工场、机加工工场、化学清洗间等，拆卸的部件分类在各工场进行清洗维修。维修过程涉及设备的化学清洗，产生酸碱废水和酸雾；管子切割、焊接过程产生废气，电器工件浸漆过程会产生有机废气。各工件在船体和机电综合车间维修后经检测合格，在船坞重新装配。</w:t>
      </w:r>
    </w:p>
    <w:p w14:paraId="2061444B">
      <w:pPr>
        <w:ind w:firstLine="480"/>
        <w:rPr>
          <w:color w:val="auto"/>
          <w:highlight w:val="none"/>
        </w:rPr>
      </w:pPr>
      <w:r>
        <w:rPr>
          <w:color w:val="auto"/>
          <w:highlight w:val="none"/>
        </w:rPr>
        <w:t>船舶修理完成后，对船坞进行清扫、清洗工作，各类物料、垃圾和危险化学品等分类收集，集中处理。船坞灌水下沉，船舶出坞，经试航合格后，出厂完成整个修理过程。</w:t>
      </w:r>
    </w:p>
    <w:p w14:paraId="4E85B85A">
      <w:pPr>
        <w:ind w:firstLine="480"/>
        <w:rPr>
          <w:color w:val="auto"/>
          <w:highlight w:val="none"/>
        </w:rPr>
      </w:pPr>
      <w:r>
        <w:rPr>
          <w:color w:val="auto"/>
          <w:highlight w:val="none"/>
        </w:rPr>
        <w:t>本项目工艺流程及污染物排放节点见图2.1-4。</w:t>
      </w:r>
    </w:p>
    <w:p w14:paraId="7AFE3CFE">
      <w:pPr>
        <w:spacing w:line="240" w:lineRule="auto"/>
        <w:ind w:firstLine="0" w:firstLineChars="0"/>
        <w:jc w:val="center"/>
        <w:rPr>
          <w:color w:val="auto"/>
          <w:highlight w:val="none"/>
        </w:rPr>
      </w:pPr>
      <w:r>
        <w:rPr>
          <w:color w:val="auto"/>
          <w:highlight w:val="none"/>
        </w:rPr>
        <w:drawing>
          <wp:inline distT="0" distB="0" distL="114300" distR="114300">
            <wp:extent cx="5209540" cy="1282065"/>
            <wp:effectExtent l="0" t="0" r="10160" b="13335"/>
            <wp:docPr id="23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59"/>
                    <pic:cNvPicPr>
                      <a:picLocks noChangeAspect="1"/>
                    </pic:cNvPicPr>
                  </pic:nvPicPr>
                  <pic:blipFill>
                    <a:blip r:embed="rId72"/>
                    <a:srcRect r="937"/>
                    <a:stretch>
                      <a:fillRect/>
                    </a:stretch>
                  </pic:blipFill>
                  <pic:spPr>
                    <a:xfrm>
                      <a:off x="0" y="0"/>
                      <a:ext cx="5209540" cy="1282065"/>
                    </a:xfrm>
                    <a:prstGeom prst="rect">
                      <a:avLst/>
                    </a:prstGeom>
                    <a:noFill/>
                    <a:ln>
                      <a:noFill/>
                    </a:ln>
                  </pic:spPr>
                </pic:pic>
              </a:graphicData>
            </a:graphic>
          </wp:inline>
        </w:drawing>
      </w:r>
    </w:p>
    <w:p w14:paraId="0676D67C">
      <w:pPr>
        <w:pStyle w:val="38"/>
        <w:spacing w:after="0" w:line="240" w:lineRule="auto"/>
        <w:ind w:firstLine="0" w:firstLineChars="0"/>
        <w:jc w:val="center"/>
        <w:rPr>
          <w:b/>
          <w:color w:val="auto"/>
          <w:sz w:val="21"/>
          <w:szCs w:val="21"/>
          <w:highlight w:val="none"/>
        </w:rPr>
      </w:pPr>
      <w:r>
        <w:rPr>
          <w:b/>
          <w:color w:val="auto"/>
          <w:sz w:val="21"/>
          <w:szCs w:val="21"/>
          <w:highlight w:val="none"/>
        </w:rPr>
        <w:t>图2.1-3  待修船舶进坞方式示意图</w:t>
      </w:r>
    </w:p>
    <w:p w14:paraId="180F106A">
      <w:pPr>
        <w:pStyle w:val="38"/>
        <w:spacing w:after="0" w:line="240" w:lineRule="auto"/>
        <w:ind w:firstLine="0" w:firstLineChars="0"/>
        <w:jc w:val="center"/>
        <w:rPr>
          <w:b/>
          <w:color w:val="auto"/>
          <w:sz w:val="21"/>
          <w:szCs w:val="21"/>
          <w:highlight w:val="none"/>
        </w:rPr>
      </w:pPr>
    </w:p>
    <w:p w14:paraId="14F58349">
      <w:pPr>
        <w:spacing w:line="240" w:lineRule="auto"/>
        <w:ind w:firstLine="0" w:firstLineChars="0"/>
        <w:jc w:val="center"/>
        <w:rPr>
          <w:b/>
          <w:color w:val="auto"/>
          <w:szCs w:val="21"/>
          <w:highlight w:val="none"/>
        </w:rPr>
      </w:pPr>
      <w:r>
        <w:rPr>
          <w:color w:val="auto"/>
          <w:highlight w:val="none"/>
        </w:rPr>
        <w:drawing>
          <wp:inline distT="0" distB="0" distL="114300" distR="114300">
            <wp:extent cx="5113020" cy="7104380"/>
            <wp:effectExtent l="9525" t="9525" r="20955" b="10795"/>
            <wp:docPr id="23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63"/>
                    <pic:cNvPicPr>
                      <a:picLocks noChangeAspect="1"/>
                    </pic:cNvPicPr>
                  </pic:nvPicPr>
                  <pic:blipFill>
                    <a:blip r:embed="rId73"/>
                    <a:stretch>
                      <a:fillRect/>
                    </a:stretch>
                  </pic:blipFill>
                  <pic:spPr>
                    <a:xfrm>
                      <a:off x="0" y="0"/>
                      <a:ext cx="5113020" cy="7104380"/>
                    </a:xfrm>
                    <a:prstGeom prst="rect">
                      <a:avLst/>
                    </a:prstGeom>
                    <a:noFill/>
                    <a:ln>
                      <a:solidFill>
                        <a:schemeClr val="tx1"/>
                      </a:solidFill>
                    </a:ln>
                  </pic:spPr>
                </pic:pic>
              </a:graphicData>
            </a:graphic>
          </wp:inline>
        </w:drawing>
      </w:r>
    </w:p>
    <w:p w14:paraId="29BA33A7">
      <w:pPr>
        <w:pStyle w:val="38"/>
        <w:spacing w:after="0" w:line="240" w:lineRule="auto"/>
        <w:ind w:firstLine="0" w:firstLineChars="0"/>
        <w:jc w:val="center"/>
        <w:rPr>
          <w:b/>
          <w:color w:val="auto"/>
          <w:sz w:val="21"/>
          <w:szCs w:val="21"/>
          <w:highlight w:val="none"/>
        </w:rPr>
      </w:pPr>
      <w:r>
        <w:rPr>
          <w:b/>
          <w:color w:val="auto"/>
          <w:sz w:val="21"/>
          <w:szCs w:val="21"/>
          <w:highlight w:val="none"/>
        </w:rPr>
        <w:t>图2.1-4    修船生产工艺流程及产污节点图</w:t>
      </w:r>
    </w:p>
    <w:p w14:paraId="675C66FB">
      <w:pPr>
        <w:pStyle w:val="38"/>
        <w:spacing w:after="0" w:line="240" w:lineRule="auto"/>
        <w:ind w:firstLine="0" w:firstLineChars="0"/>
        <w:jc w:val="center"/>
        <w:rPr>
          <w:b/>
          <w:color w:val="auto"/>
          <w:sz w:val="21"/>
          <w:szCs w:val="21"/>
          <w:highlight w:val="none"/>
        </w:rPr>
      </w:pPr>
    </w:p>
    <w:p w14:paraId="5EE798CD">
      <w:pPr>
        <w:pStyle w:val="533"/>
        <w:numPr>
          <w:ilvl w:val="3"/>
          <w:numId w:val="9"/>
        </w:numPr>
        <w:rPr>
          <w:color w:val="auto"/>
          <w:szCs w:val="24"/>
          <w:highlight w:val="none"/>
          <w:u w:val="single"/>
        </w:rPr>
      </w:pPr>
      <w:r>
        <w:rPr>
          <w:color w:val="auto"/>
          <w:szCs w:val="24"/>
          <w:highlight w:val="none"/>
          <w:u w:val="single"/>
        </w:rPr>
        <w:t>主要污染源及治理措施</w:t>
      </w:r>
    </w:p>
    <w:p w14:paraId="75DDE6B5">
      <w:pPr>
        <w:ind w:firstLine="482"/>
        <w:rPr>
          <w:rFonts w:eastAsiaTheme="minorEastAsia"/>
          <w:b/>
          <w:bCs/>
          <w:color w:val="auto"/>
          <w:highlight w:val="none"/>
          <w:u w:val="single"/>
        </w:rPr>
      </w:pPr>
      <w:r>
        <w:rPr>
          <w:rFonts w:eastAsiaTheme="minorEastAsia"/>
          <w:b/>
          <w:bCs/>
          <w:color w:val="auto"/>
          <w:highlight w:val="none"/>
          <w:u w:val="single"/>
        </w:rPr>
        <w:t>（1）废气</w:t>
      </w:r>
    </w:p>
    <w:p w14:paraId="5CE89FB8">
      <w:pPr>
        <w:ind w:firstLine="482"/>
        <w:rPr>
          <w:b/>
          <w:bCs/>
          <w:color w:val="auto"/>
          <w:highlight w:val="none"/>
          <w:u w:val="single"/>
        </w:rPr>
      </w:pPr>
      <w:r>
        <w:rPr>
          <w:rFonts w:hint="eastAsia" w:ascii="宋体" w:hAnsi="宋体" w:cs="宋体"/>
          <w:b/>
          <w:bCs/>
          <w:color w:val="auto"/>
          <w:highlight w:val="none"/>
          <w:u w:val="single"/>
        </w:rPr>
        <w:t>①</w:t>
      </w:r>
      <w:r>
        <w:rPr>
          <w:b/>
          <w:bCs/>
          <w:color w:val="auto"/>
          <w:highlight w:val="none"/>
          <w:u w:val="single"/>
        </w:rPr>
        <w:t>浸漆</w:t>
      </w:r>
      <w:r>
        <w:rPr>
          <w:rFonts w:hint="eastAsia"/>
          <w:b/>
          <w:bCs/>
          <w:color w:val="auto"/>
          <w:highlight w:val="none"/>
          <w:u w:val="single"/>
        </w:rPr>
        <w:t>废气</w:t>
      </w:r>
    </w:p>
    <w:p w14:paraId="63443A52">
      <w:pPr>
        <w:ind w:firstLine="480"/>
        <w:rPr>
          <w:color w:val="auto"/>
          <w:highlight w:val="none"/>
          <w:u w:val="single"/>
        </w:rPr>
      </w:pPr>
      <w:r>
        <w:rPr>
          <w:color w:val="auto"/>
          <w:highlight w:val="none"/>
          <w:u w:val="single"/>
        </w:rPr>
        <w:t>项目浸漆间设在机电综合车间电工工场，采用浸漆工艺对电器工件等进行上漆，浸漆和烘干过程油漆中的有机物挥发出来，主要污染物为</w:t>
      </w:r>
      <w:r>
        <w:rPr>
          <w:rFonts w:hint="eastAsia"/>
          <w:color w:val="auto"/>
          <w:highlight w:val="none"/>
          <w:u w:val="single"/>
        </w:rPr>
        <w:t>T</w:t>
      </w:r>
      <w:r>
        <w:rPr>
          <w:color w:val="auto"/>
          <w:highlight w:val="none"/>
          <w:u w:val="single"/>
        </w:rPr>
        <w:t>VOC和苯、甲苯、二甲苯。项目的浸漆车间和烘房共用1套活性炭吸附装置</w:t>
      </w:r>
      <w:r>
        <w:rPr>
          <w:rFonts w:hint="eastAsia"/>
          <w:color w:val="auto"/>
          <w:highlight w:val="none"/>
          <w:u w:val="single"/>
        </w:rPr>
        <w:t>。</w:t>
      </w:r>
    </w:p>
    <w:p w14:paraId="4B7E4BE2">
      <w:pPr>
        <w:ind w:firstLine="480"/>
        <w:rPr>
          <w:color w:val="auto"/>
          <w:highlight w:val="none"/>
          <w:u w:val="single"/>
        </w:rPr>
      </w:pPr>
      <w:r>
        <w:rPr>
          <w:color w:val="auto"/>
          <w:highlight w:val="none"/>
          <w:u w:val="single"/>
        </w:rPr>
        <w:t>活性炭吸附原理为：活性炭是利用木炭、各种果壳和优质煤等作为原料，通过物理和化学方法对原料进行破碎、过筛、催化剂活化、漂洗、烘干和筛选等一系列加工制造而成，具有物理吸附和化学吸附的双重特性，可以有选择的吸附气相、液相中的各种物质。活性炭吸附漆雾主要是利用活性炭的物理吸附能力，把喷漆和烘干过程中产生的有害物质在其表面进行浓缩，从而使废气达到净化的目的。项目在浸漆槽设置侧吸罩一只，烘房设置抽风机，有机废气抽出后共用一套活性炭吸附装置净化处理。</w:t>
      </w:r>
    </w:p>
    <w:p w14:paraId="4731ECC0">
      <w:pPr>
        <w:ind w:firstLine="480"/>
        <w:rPr>
          <w:color w:val="auto"/>
          <w:highlight w:val="none"/>
          <w:u w:val="single"/>
        </w:rPr>
      </w:pPr>
      <w:r>
        <w:rPr>
          <w:color w:val="auto"/>
          <w:highlight w:val="none"/>
          <w:u w:val="single"/>
        </w:rPr>
        <w:t>浸漆间和烘房混合有机废气经活性炭吸附装置净化处理后通过</w:t>
      </w:r>
      <w:r>
        <w:rPr>
          <w:rFonts w:hint="eastAsia"/>
          <w:color w:val="auto"/>
          <w:highlight w:val="none"/>
          <w:u w:val="single"/>
        </w:rPr>
        <w:t>高度为20</w:t>
      </w:r>
      <w:r>
        <w:rPr>
          <w:color w:val="auto"/>
          <w:highlight w:val="none"/>
          <w:u w:val="single"/>
        </w:rPr>
        <w:t>m</w:t>
      </w:r>
      <w:r>
        <w:rPr>
          <w:rFonts w:hint="eastAsia"/>
          <w:color w:val="auto"/>
          <w:highlight w:val="none"/>
          <w:u w:val="single"/>
        </w:rPr>
        <w:t>、内径为1.2m的</w:t>
      </w:r>
      <w:r>
        <w:rPr>
          <w:color w:val="auto"/>
          <w:highlight w:val="none"/>
          <w:u w:val="single"/>
        </w:rPr>
        <w:t>排气筒</w:t>
      </w:r>
      <w:r>
        <w:rPr>
          <w:rFonts w:hint="eastAsia"/>
          <w:color w:val="auto"/>
          <w:highlight w:val="none"/>
          <w:u w:val="single"/>
        </w:rPr>
        <w:t>（DA004）</w:t>
      </w:r>
      <w:r>
        <w:rPr>
          <w:color w:val="auto"/>
          <w:highlight w:val="none"/>
          <w:u w:val="single"/>
        </w:rPr>
        <w:t>排放。</w:t>
      </w:r>
    </w:p>
    <w:p w14:paraId="61545ECF">
      <w:pPr>
        <w:ind w:firstLine="482"/>
        <w:rPr>
          <w:b/>
          <w:bCs/>
          <w:color w:val="auto"/>
          <w:highlight w:val="none"/>
          <w:u w:val="single"/>
        </w:rPr>
      </w:pPr>
      <w:r>
        <w:rPr>
          <w:rFonts w:hint="eastAsia" w:ascii="宋体" w:hAnsi="宋体" w:cs="宋体"/>
          <w:b/>
          <w:bCs/>
          <w:color w:val="auto"/>
          <w:highlight w:val="none"/>
          <w:u w:val="single"/>
        </w:rPr>
        <w:t>②</w:t>
      </w:r>
      <w:r>
        <w:rPr>
          <w:rFonts w:hint="eastAsia"/>
          <w:b/>
          <w:bCs/>
          <w:color w:val="auto"/>
          <w:highlight w:val="none"/>
          <w:u w:val="single"/>
        </w:rPr>
        <w:t>酸洗废气</w:t>
      </w:r>
    </w:p>
    <w:p w14:paraId="7CC61BF7">
      <w:pPr>
        <w:ind w:firstLine="480"/>
        <w:rPr>
          <w:color w:val="auto"/>
          <w:highlight w:val="none"/>
          <w:u w:val="single"/>
        </w:rPr>
      </w:pPr>
      <w:r>
        <w:rPr>
          <w:color w:val="auto"/>
          <w:highlight w:val="none"/>
          <w:u w:val="single"/>
        </w:rPr>
        <w:t>项目</w:t>
      </w:r>
      <w:r>
        <w:rPr>
          <w:rFonts w:hint="eastAsia"/>
          <w:color w:val="auto"/>
          <w:highlight w:val="none"/>
          <w:u w:val="single"/>
          <w:lang w:eastAsia="zh-CN"/>
        </w:rPr>
        <w:t>采用除垢剂进行</w:t>
      </w:r>
      <w:r>
        <w:rPr>
          <w:color w:val="auto"/>
          <w:highlight w:val="none"/>
          <w:u w:val="single"/>
        </w:rPr>
        <w:t>酸洗，在化学清洗间酸洗槽会产生酸雾。项目酸洗槽采取低截面双侧槽边吸风，经1台酸雾净化塔处理后通过</w:t>
      </w:r>
      <w:r>
        <w:rPr>
          <w:rFonts w:hint="eastAsia"/>
          <w:color w:val="auto"/>
          <w:highlight w:val="none"/>
          <w:u w:val="single"/>
        </w:rPr>
        <w:t>高度为20</w:t>
      </w:r>
      <w:r>
        <w:rPr>
          <w:color w:val="auto"/>
          <w:highlight w:val="none"/>
          <w:u w:val="single"/>
        </w:rPr>
        <w:t>m</w:t>
      </w:r>
      <w:r>
        <w:rPr>
          <w:rFonts w:hint="eastAsia"/>
          <w:color w:val="auto"/>
          <w:highlight w:val="none"/>
          <w:u w:val="single"/>
        </w:rPr>
        <w:t>、内径为1.2m的</w:t>
      </w:r>
      <w:r>
        <w:rPr>
          <w:color w:val="auto"/>
          <w:highlight w:val="none"/>
          <w:u w:val="single"/>
        </w:rPr>
        <w:t>排气筒</w:t>
      </w:r>
      <w:r>
        <w:rPr>
          <w:rFonts w:hint="eastAsia"/>
          <w:color w:val="auto"/>
          <w:highlight w:val="none"/>
          <w:u w:val="single"/>
        </w:rPr>
        <w:t>（DA003）</w:t>
      </w:r>
      <w:r>
        <w:rPr>
          <w:color w:val="auto"/>
          <w:highlight w:val="none"/>
          <w:u w:val="single"/>
        </w:rPr>
        <w:t>排放。</w:t>
      </w:r>
    </w:p>
    <w:p w14:paraId="572BBABB">
      <w:pPr>
        <w:ind w:firstLine="482"/>
        <w:rPr>
          <w:b/>
          <w:bCs/>
          <w:color w:val="auto"/>
          <w:highlight w:val="none"/>
          <w:u w:val="single"/>
        </w:rPr>
      </w:pPr>
      <w:r>
        <w:rPr>
          <w:rFonts w:hint="eastAsia" w:ascii="宋体" w:hAnsi="宋体" w:cs="宋体"/>
          <w:b/>
          <w:bCs/>
          <w:color w:val="auto"/>
          <w:highlight w:val="none"/>
          <w:u w:val="single"/>
        </w:rPr>
        <w:t>③焊接、</w:t>
      </w:r>
      <w:r>
        <w:rPr>
          <w:rFonts w:hint="eastAsia"/>
          <w:b/>
          <w:bCs/>
          <w:color w:val="auto"/>
          <w:highlight w:val="none"/>
          <w:u w:val="single"/>
        </w:rPr>
        <w:t>切割粉尘</w:t>
      </w:r>
    </w:p>
    <w:p w14:paraId="43A77645">
      <w:pPr>
        <w:ind w:firstLine="480"/>
        <w:rPr>
          <w:color w:val="auto"/>
          <w:highlight w:val="none"/>
          <w:u w:val="single"/>
        </w:rPr>
      </w:pPr>
      <w:r>
        <w:rPr>
          <w:color w:val="auto"/>
          <w:highlight w:val="none"/>
          <w:u w:val="single"/>
        </w:rPr>
        <w:t>机电综合车间内已配置移动式高真空焊接烟气净化装置。另外，项目根据工艺和设备的情况，钢材切割工序尚未有技术配备自带式除尘设备，并且钢材切割产生的颗粒是垂直落入切割槽的，因此项目采取定期清扫等措施减少颗粒外排。</w:t>
      </w:r>
    </w:p>
    <w:p w14:paraId="0A7102D8">
      <w:pPr>
        <w:ind w:firstLine="482"/>
        <w:rPr>
          <w:rFonts w:eastAsiaTheme="minorEastAsia"/>
          <w:b/>
          <w:bCs/>
          <w:color w:val="auto"/>
          <w:highlight w:val="none"/>
          <w:u w:val="single"/>
        </w:rPr>
      </w:pPr>
      <w:r>
        <w:rPr>
          <w:rFonts w:hint="eastAsia" w:ascii="宋体" w:hAnsi="宋体" w:cs="宋体"/>
          <w:b/>
          <w:bCs/>
          <w:color w:val="auto"/>
          <w:highlight w:val="none"/>
          <w:u w:val="single"/>
        </w:rPr>
        <w:t>④</w:t>
      </w:r>
      <w:r>
        <w:rPr>
          <w:rFonts w:hint="eastAsia" w:eastAsiaTheme="minorEastAsia"/>
          <w:b/>
          <w:bCs/>
          <w:color w:val="auto"/>
          <w:highlight w:val="none"/>
          <w:u w:val="single"/>
        </w:rPr>
        <w:t>废水收集池废气</w:t>
      </w:r>
    </w:p>
    <w:p w14:paraId="2C86E0C7">
      <w:pPr>
        <w:ind w:firstLine="480"/>
        <w:rPr>
          <w:rFonts w:eastAsiaTheme="minorEastAsia"/>
          <w:color w:val="auto"/>
          <w:highlight w:val="none"/>
          <w:u w:val="single"/>
        </w:rPr>
      </w:pPr>
      <w:r>
        <w:rPr>
          <w:rFonts w:eastAsiaTheme="minorEastAsia"/>
          <w:color w:val="auto"/>
          <w:highlight w:val="none"/>
          <w:u w:val="single"/>
        </w:rPr>
        <w:t>项目所属企业出于减少环境污染、确保污染物达标排放的目的，在地埋式废水收集池上新增了喷淋除臭净化塔，有效地防止了废水收集池恶臭的溢散，从而减少了对周边环境的影响。废水收集池废气的治理流程如下：</w:t>
      </w:r>
    </w:p>
    <w:p w14:paraId="4D69F0A2">
      <w:pPr>
        <w:pStyle w:val="38"/>
        <w:spacing w:after="0" w:line="240" w:lineRule="auto"/>
        <w:ind w:firstLine="0" w:firstLineChars="0"/>
        <w:jc w:val="center"/>
        <w:rPr>
          <w:b/>
          <w:color w:val="auto"/>
          <w:sz w:val="21"/>
          <w:szCs w:val="21"/>
          <w:highlight w:val="none"/>
          <w:u w:val="single"/>
        </w:rPr>
      </w:pPr>
      <w:r>
        <w:rPr>
          <w:b/>
          <w:color w:val="auto"/>
          <w:sz w:val="21"/>
          <w:szCs w:val="21"/>
          <w:highlight w:val="none"/>
          <w:u w:val="single"/>
        </w:rPr>
        <w:drawing>
          <wp:inline distT="0" distB="0" distL="114300" distR="114300">
            <wp:extent cx="4961890" cy="1395095"/>
            <wp:effectExtent l="9525" t="9525" r="19685" b="24130"/>
            <wp:docPr id="23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64"/>
                    <pic:cNvPicPr>
                      <a:picLocks noChangeAspect="1"/>
                    </pic:cNvPicPr>
                  </pic:nvPicPr>
                  <pic:blipFill>
                    <a:blip r:embed="rId74"/>
                    <a:stretch>
                      <a:fillRect/>
                    </a:stretch>
                  </pic:blipFill>
                  <pic:spPr>
                    <a:xfrm>
                      <a:off x="0" y="0"/>
                      <a:ext cx="4961890" cy="1395095"/>
                    </a:xfrm>
                    <a:prstGeom prst="rect">
                      <a:avLst/>
                    </a:prstGeom>
                    <a:noFill/>
                    <a:ln>
                      <a:solidFill>
                        <a:schemeClr val="tx1"/>
                      </a:solidFill>
                    </a:ln>
                  </pic:spPr>
                </pic:pic>
              </a:graphicData>
            </a:graphic>
          </wp:inline>
        </w:drawing>
      </w:r>
    </w:p>
    <w:p w14:paraId="7441557C">
      <w:pPr>
        <w:pStyle w:val="38"/>
        <w:spacing w:after="0" w:line="240" w:lineRule="auto"/>
        <w:ind w:firstLine="0" w:firstLineChars="0"/>
        <w:jc w:val="center"/>
        <w:rPr>
          <w:b/>
          <w:color w:val="auto"/>
          <w:sz w:val="21"/>
          <w:szCs w:val="21"/>
          <w:highlight w:val="none"/>
          <w:u w:val="single"/>
        </w:rPr>
      </w:pPr>
      <w:r>
        <w:rPr>
          <w:b/>
          <w:color w:val="auto"/>
          <w:sz w:val="21"/>
          <w:szCs w:val="21"/>
          <w:highlight w:val="none"/>
          <w:u w:val="single"/>
        </w:rPr>
        <w:t>图2.1-5 废水收集池废气处理流程图</w:t>
      </w:r>
    </w:p>
    <w:p w14:paraId="09795FB3">
      <w:pPr>
        <w:ind w:firstLine="482"/>
        <w:rPr>
          <w:b/>
          <w:bCs/>
          <w:color w:val="auto"/>
          <w:highlight w:val="none"/>
          <w:u w:val="single"/>
        </w:rPr>
      </w:pPr>
      <w:r>
        <w:rPr>
          <w:rFonts w:hint="eastAsia" w:ascii="宋体" w:hAnsi="宋体" w:cs="宋体"/>
          <w:b/>
          <w:bCs/>
          <w:color w:val="auto"/>
          <w:highlight w:val="none"/>
          <w:u w:val="single"/>
        </w:rPr>
        <w:t>⑤危化库及危废库废气</w:t>
      </w:r>
    </w:p>
    <w:p w14:paraId="10590E01">
      <w:pPr>
        <w:ind w:firstLine="480"/>
        <w:rPr>
          <w:rFonts w:eastAsiaTheme="minorEastAsia"/>
          <w:color w:val="auto"/>
          <w:highlight w:val="none"/>
          <w:u w:val="single"/>
        </w:rPr>
      </w:pPr>
      <w:r>
        <w:rPr>
          <w:rFonts w:hint="eastAsia" w:eastAsiaTheme="minorEastAsia"/>
          <w:color w:val="auto"/>
          <w:highlight w:val="none"/>
          <w:u w:val="single"/>
        </w:rPr>
        <w:t>本项目对危化库和危险废物暂存间进行密闭设置，并对收集的废气采用活性炭进行吸附，有机废气经活性炭吸附装置净化处理后通过高度为15m、内径为0.6m的排气筒（DA006）排放。</w:t>
      </w:r>
    </w:p>
    <w:p w14:paraId="437AE3C7">
      <w:pPr>
        <w:ind w:firstLine="482"/>
        <w:rPr>
          <w:b/>
          <w:bCs/>
          <w:color w:val="auto"/>
          <w:highlight w:val="none"/>
          <w:u w:val="single"/>
        </w:rPr>
      </w:pPr>
      <w:r>
        <w:rPr>
          <w:b/>
          <w:bCs/>
          <w:color w:val="auto"/>
          <w:highlight w:val="none"/>
          <w:u w:val="single"/>
        </w:rPr>
        <w:t>（2）废水</w:t>
      </w:r>
    </w:p>
    <w:p w14:paraId="5C811199">
      <w:pPr>
        <w:ind w:firstLine="480"/>
        <w:rPr>
          <w:color w:val="auto"/>
          <w:highlight w:val="none"/>
          <w:u w:val="single"/>
        </w:rPr>
      </w:pPr>
      <w:r>
        <w:rPr>
          <w:color w:val="auto"/>
          <w:highlight w:val="none"/>
          <w:u w:val="single"/>
        </w:rPr>
        <w:t>根据 73/78 国际海事组织制定的防止船舶污染海洋公约附则 IV 第 8 条的规定，船舶上必须有经主管部门认可的生活污水处理装置，且须保证生物水处理设施的正常运转，达到标准后方可在航行中并且12海里以外排放。</w:t>
      </w:r>
    </w:p>
    <w:p w14:paraId="5E8CFF49">
      <w:pPr>
        <w:ind w:firstLine="480"/>
        <w:rPr>
          <w:color w:val="auto"/>
          <w:highlight w:val="none"/>
          <w:u w:val="single"/>
        </w:rPr>
      </w:pPr>
      <w:r>
        <w:rPr>
          <w:color w:val="auto"/>
          <w:highlight w:val="none"/>
          <w:u w:val="single"/>
        </w:rPr>
        <w:t>本项目只给维修好的离港船舶加足生活用水，其生活污水不在厂区内排放。另外，本项目明确要求进坞维修船舶的压舱水不得在港池内排放。因此，项目的废水主要包括含油废水、化学清洗酸碱废水、车间地面冲洗废水等生产废水及职工的生活污水。</w:t>
      </w:r>
    </w:p>
    <w:p w14:paraId="622A7227">
      <w:pPr>
        <w:ind w:firstLine="480"/>
        <w:rPr>
          <w:color w:val="auto"/>
          <w:highlight w:val="none"/>
          <w:u w:val="single"/>
        </w:rPr>
      </w:pPr>
      <w:r>
        <w:rPr>
          <w:color w:val="auto"/>
          <w:highlight w:val="none"/>
          <w:u w:val="single"/>
        </w:rPr>
        <w:t>①生产废水</w:t>
      </w:r>
    </w:p>
    <w:p w14:paraId="116A2BD2">
      <w:pPr>
        <w:ind w:firstLine="480"/>
        <w:rPr>
          <w:color w:val="auto"/>
          <w:highlight w:val="none"/>
          <w:u w:val="single"/>
        </w:rPr>
      </w:pPr>
      <w:r>
        <w:rPr>
          <w:color w:val="auto"/>
          <w:highlight w:val="none"/>
          <w:u w:val="single"/>
        </w:rPr>
        <w:t>生产废水包括船舶含油废水、化学清洗酸碱废水、车间地面冲洗废水。</w:t>
      </w:r>
    </w:p>
    <w:p w14:paraId="311FCF1D">
      <w:pPr>
        <w:ind w:firstLine="480"/>
        <w:rPr>
          <w:color w:val="auto"/>
          <w:highlight w:val="none"/>
          <w:u w:val="single"/>
        </w:rPr>
      </w:pPr>
      <w:r>
        <w:rPr>
          <w:color w:val="auto"/>
          <w:highlight w:val="none"/>
          <w:u w:val="single"/>
        </w:rPr>
        <w:t>船舶含油废水、车间地面冲洗废水、化学清洗酸碱废水排入厂区污水处理站处理，处理后经厂区污水管道排入</w:t>
      </w:r>
      <w:r>
        <w:rPr>
          <w:rFonts w:hint="eastAsia"/>
          <w:color w:val="auto"/>
          <w:highlight w:val="none"/>
          <w:u w:val="single"/>
        </w:rPr>
        <w:t>生活污水处理设备配套的中水回用</w:t>
      </w:r>
      <w:r>
        <w:rPr>
          <w:color w:val="auto"/>
          <w:highlight w:val="none"/>
          <w:u w:val="single"/>
        </w:rPr>
        <w:t>池（容量为</w:t>
      </w:r>
      <w:r>
        <w:rPr>
          <w:rFonts w:hint="eastAsia"/>
          <w:color w:val="auto"/>
          <w:highlight w:val="none"/>
          <w:u w:val="single"/>
        </w:rPr>
        <w:t>170</w:t>
      </w:r>
      <w:r>
        <w:rPr>
          <w:color w:val="auto"/>
          <w:highlight w:val="none"/>
          <w:u w:val="single"/>
        </w:rPr>
        <w:t>m</w:t>
      </w:r>
      <w:r>
        <w:rPr>
          <w:color w:val="auto"/>
          <w:highlight w:val="none"/>
          <w:u w:val="single"/>
          <w:vertAlign w:val="superscript"/>
        </w:rPr>
        <w:t>3</w:t>
      </w:r>
      <w:r>
        <w:rPr>
          <w:color w:val="auto"/>
          <w:highlight w:val="none"/>
          <w:u w:val="single"/>
        </w:rPr>
        <w:t>）</w:t>
      </w:r>
      <w:r>
        <w:rPr>
          <w:rFonts w:hint="eastAsia"/>
          <w:color w:val="auto"/>
          <w:highlight w:val="none"/>
          <w:u w:val="single"/>
        </w:rPr>
        <w:t>储存，大部分回用于厂区降尘及绿化，少部分</w:t>
      </w:r>
      <w:r>
        <w:rPr>
          <w:color w:val="auto"/>
          <w:highlight w:val="none"/>
          <w:u w:val="single"/>
        </w:rPr>
        <w:t>不能回用的由槽罐车运至大榄坪污水处理厂处理。</w:t>
      </w:r>
    </w:p>
    <w:p w14:paraId="2C594B60">
      <w:pPr>
        <w:ind w:firstLine="480"/>
        <w:rPr>
          <w:color w:val="auto"/>
          <w:highlight w:val="none"/>
          <w:u w:val="single"/>
        </w:rPr>
      </w:pPr>
      <w:r>
        <w:rPr>
          <w:color w:val="auto"/>
          <w:highlight w:val="none"/>
          <w:u w:val="single"/>
        </w:rPr>
        <w:t>项目污水处理站废水处理工艺流程图如图2.1-6。</w:t>
      </w:r>
    </w:p>
    <w:p w14:paraId="78AD726B">
      <w:pPr>
        <w:ind w:firstLine="0" w:firstLineChars="0"/>
        <w:rPr>
          <w:color w:val="auto"/>
          <w:highlight w:val="none"/>
          <w:u w:val="single"/>
        </w:rPr>
      </w:pPr>
      <w:r>
        <w:rPr>
          <w:rFonts w:hint="eastAsia"/>
          <w:color w:val="auto"/>
          <w:highlight w:val="none"/>
          <w:u w:val="single"/>
        </w:rPr>
        <w:drawing>
          <wp:inline distT="0" distB="0" distL="114300" distR="114300">
            <wp:extent cx="5751195" cy="2560320"/>
            <wp:effectExtent l="0" t="0" r="1905" b="11430"/>
            <wp:docPr id="19" name="图片 1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片1"/>
                    <pic:cNvPicPr>
                      <a:picLocks noChangeAspect="1"/>
                    </pic:cNvPicPr>
                  </pic:nvPicPr>
                  <pic:blipFill>
                    <a:blip r:embed="rId75"/>
                    <a:stretch>
                      <a:fillRect/>
                    </a:stretch>
                  </pic:blipFill>
                  <pic:spPr>
                    <a:xfrm>
                      <a:off x="0" y="0"/>
                      <a:ext cx="5751195" cy="2560320"/>
                    </a:xfrm>
                    <a:prstGeom prst="rect">
                      <a:avLst/>
                    </a:prstGeom>
                  </pic:spPr>
                </pic:pic>
              </a:graphicData>
            </a:graphic>
          </wp:inline>
        </w:drawing>
      </w:r>
    </w:p>
    <w:p w14:paraId="310B7D31">
      <w:pPr>
        <w:pStyle w:val="38"/>
        <w:spacing w:after="0" w:line="240" w:lineRule="auto"/>
        <w:ind w:firstLine="0" w:firstLineChars="0"/>
        <w:jc w:val="center"/>
        <w:rPr>
          <w:b/>
          <w:color w:val="auto"/>
          <w:sz w:val="21"/>
          <w:szCs w:val="21"/>
          <w:highlight w:val="none"/>
          <w:u w:val="single"/>
        </w:rPr>
      </w:pPr>
      <w:r>
        <w:rPr>
          <w:b/>
          <w:color w:val="auto"/>
          <w:sz w:val="21"/>
          <w:szCs w:val="21"/>
          <w:highlight w:val="none"/>
          <w:u w:val="single"/>
        </w:rPr>
        <w:t>图2.1-6 废水处理工艺流程</w:t>
      </w:r>
    </w:p>
    <w:p w14:paraId="2D1B84C6">
      <w:pPr>
        <w:ind w:firstLine="480"/>
        <w:rPr>
          <w:color w:val="auto"/>
          <w:highlight w:val="none"/>
          <w:u w:val="single"/>
        </w:rPr>
      </w:pPr>
      <w:r>
        <w:rPr>
          <w:color w:val="auto"/>
          <w:highlight w:val="none"/>
          <w:u w:val="single"/>
        </w:rPr>
        <w:t>②生活污水</w:t>
      </w:r>
    </w:p>
    <w:p w14:paraId="13C17221">
      <w:pPr>
        <w:ind w:firstLine="480"/>
        <w:rPr>
          <w:color w:val="auto"/>
          <w:highlight w:val="none"/>
          <w:u w:val="single"/>
        </w:rPr>
      </w:pPr>
      <w:r>
        <w:rPr>
          <w:color w:val="auto"/>
          <w:highlight w:val="none"/>
          <w:u w:val="single"/>
        </w:rPr>
        <w:t>生活污水来自于员工生活用水和食堂用水。项目生活污水经生活污水处理一体化设备处理（处理规模300m</w:t>
      </w:r>
      <w:r>
        <w:rPr>
          <w:color w:val="auto"/>
          <w:highlight w:val="none"/>
          <w:u w:val="single"/>
          <w:vertAlign w:val="superscript"/>
        </w:rPr>
        <w:t>3</w:t>
      </w:r>
      <w:r>
        <w:rPr>
          <w:color w:val="auto"/>
          <w:highlight w:val="none"/>
          <w:u w:val="single"/>
        </w:rPr>
        <w:t>/d）后</w:t>
      </w:r>
      <w:r>
        <w:rPr>
          <w:rFonts w:hint="eastAsia"/>
          <w:color w:val="auto"/>
          <w:highlight w:val="none"/>
          <w:u w:val="single"/>
        </w:rPr>
        <w:t>，进入配套的中水回用池储存</w:t>
      </w:r>
      <w:r>
        <w:rPr>
          <w:color w:val="auto"/>
          <w:highlight w:val="none"/>
          <w:u w:val="single"/>
        </w:rPr>
        <w:t>；</w:t>
      </w:r>
      <w:r>
        <w:rPr>
          <w:rFonts w:hint="eastAsia"/>
          <w:color w:val="auto"/>
          <w:highlight w:val="none"/>
          <w:u w:val="single"/>
        </w:rPr>
        <w:t>大部分</w:t>
      </w:r>
      <w:r>
        <w:rPr>
          <w:color w:val="auto"/>
          <w:highlight w:val="none"/>
          <w:u w:val="single"/>
        </w:rPr>
        <w:t>回用于厂区绿化及降尘，</w:t>
      </w:r>
      <w:r>
        <w:rPr>
          <w:rFonts w:hint="eastAsia"/>
          <w:color w:val="auto"/>
          <w:highlight w:val="none"/>
          <w:u w:val="single"/>
        </w:rPr>
        <w:t>少部分</w:t>
      </w:r>
      <w:r>
        <w:rPr>
          <w:color w:val="auto"/>
          <w:highlight w:val="none"/>
          <w:u w:val="single"/>
        </w:rPr>
        <w:t>不能回用的由槽罐车运至大榄坪污水处理厂处理。</w:t>
      </w:r>
    </w:p>
    <w:p w14:paraId="7F44196D">
      <w:pPr>
        <w:ind w:firstLine="482"/>
        <w:rPr>
          <w:b/>
          <w:bCs/>
          <w:color w:val="auto"/>
          <w:highlight w:val="none"/>
          <w:u w:val="single"/>
        </w:rPr>
      </w:pPr>
      <w:r>
        <w:rPr>
          <w:rFonts w:hint="eastAsia" w:ascii="宋体" w:hAnsi="宋体" w:cs="宋体"/>
          <w:b/>
          <w:bCs/>
          <w:color w:val="auto"/>
          <w:highlight w:val="none"/>
          <w:u w:val="single"/>
        </w:rPr>
        <w:t>③</w:t>
      </w:r>
      <w:r>
        <w:rPr>
          <w:rFonts w:hint="eastAsia"/>
          <w:b/>
          <w:bCs/>
          <w:color w:val="auto"/>
          <w:highlight w:val="none"/>
          <w:u w:val="single"/>
        </w:rPr>
        <w:t>初期雨水</w:t>
      </w:r>
    </w:p>
    <w:p w14:paraId="729068B3">
      <w:pPr>
        <w:ind w:firstLine="480"/>
        <w:rPr>
          <w:color w:val="auto"/>
          <w:highlight w:val="none"/>
          <w:u w:val="single"/>
        </w:rPr>
      </w:pPr>
      <w:r>
        <w:rPr>
          <w:color w:val="auto"/>
          <w:highlight w:val="none"/>
          <w:u w:val="single"/>
        </w:rPr>
        <w:t>项目</w:t>
      </w:r>
      <w:r>
        <w:rPr>
          <w:rFonts w:hint="eastAsia"/>
          <w:color w:val="auto"/>
          <w:highlight w:val="none"/>
          <w:u w:val="single"/>
        </w:rPr>
        <w:t>初期雨水经管网进入生活污水</w:t>
      </w:r>
      <w:r>
        <w:rPr>
          <w:color w:val="auto"/>
          <w:highlight w:val="none"/>
          <w:u w:val="single"/>
        </w:rPr>
        <w:t>处理一体化设备处理（处理规模300m</w:t>
      </w:r>
      <w:r>
        <w:rPr>
          <w:color w:val="auto"/>
          <w:highlight w:val="none"/>
          <w:u w:val="single"/>
          <w:vertAlign w:val="superscript"/>
        </w:rPr>
        <w:t>3</w:t>
      </w:r>
      <w:r>
        <w:rPr>
          <w:color w:val="auto"/>
          <w:highlight w:val="none"/>
          <w:u w:val="single"/>
        </w:rPr>
        <w:t>/d）后</w:t>
      </w:r>
      <w:r>
        <w:rPr>
          <w:rFonts w:hint="eastAsia"/>
          <w:color w:val="auto"/>
          <w:highlight w:val="none"/>
          <w:u w:val="single"/>
        </w:rPr>
        <w:t>，进入配套的中水回用池储存</w:t>
      </w:r>
      <w:r>
        <w:rPr>
          <w:color w:val="auto"/>
          <w:highlight w:val="none"/>
          <w:u w:val="single"/>
        </w:rPr>
        <w:t>；</w:t>
      </w:r>
      <w:r>
        <w:rPr>
          <w:rFonts w:hint="eastAsia"/>
          <w:color w:val="auto"/>
          <w:highlight w:val="none"/>
          <w:u w:val="single"/>
        </w:rPr>
        <w:t>大部分</w:t>
      </w:r>
      <w:r>
        <w:rPr>
          <w:color w:val="auto"/>
          <w:highlight w:val="none"/>
          <w:u w:val="single"/>
        </w:rPr>
        <w:t>回用于厂区绿化及降尘，</w:t>
      </w:r>
      <w:r>
        <w:rPr>
          <w:rFonts w:hint="eastAsia"/>
          <w:color w:val="auto"/>
          <w:highlight w:val="none"/>
          <w:u w:val="single"/>
        </w:rPr>
        <w:t>少部分</w:t>
      </w:r>
      <w:r>
        <w:rPr>
          <w:color w:val="auto"/>
          <w:highlight w:val="none"/>
          <w:u w:val="single"/>
        </w:rPr>
        <w:t>不能回用的由槽罐车运至大榄坪污水处理厂处理。</w:t>
      </w:r>
    </w:p>
    <w:p w14:paraId="290D8FD8">
      <w:pPr>
        <w:ind w:firstLine="482"/>
        <w:rPr>
          <w:b/>
          <w:bCs/>
          <w:color w:val="auto"/>
          <w:highlight w:val="none"/>
        </w:rPr>
      </w:pPr>
      <w:r>
        <w:rPr>
          <w:b/>
          <w:bCs/>
          <w:color w:val="auto"/>
          <w:highlight w:val="none"/>
        </w:rPr>
        <w:t>（3）噪声</w:t>
      </w:r>
    </w:p>
    <w:p w14:paraId="08540BD7">
      <w:pPr>
        <w:ind w:firstLine="480"/>
        <w:rPr>
          <w:color w:val="auto"/>
          <w:highlight w:val="none"/>
        </w:rPr>
      </w:pPr>
      <w:r>
        <w:rPr>
          <w:color w:val="auto"/>
          <w:highlight w:val="none"/>
        </w:rPr>
        <w:t>项目的噪声主要为车间内钢材切割加工噪声、船坞噪声、动力站房噪声以及船厂内打磨、冲断、切割、敲击、喷砂等噪声。采取的降噪措施有设备选型时优先选择低噪声设备；高噪声源设备尽量布置安排在厂中间位置，并采取消音、隔音和减振降噪措施；合理安排作业时间，夜间停止船厂高噪声作业。</w:t>
      </w:r>
    </w:p>
    <w:p w14:paraId="1B56FDB1">
      <w:pPr>
        <w:ind w:firstLine="482"/>
        <w:rPr>
          <w:b/>
          <w:bCs/>
          <w:color w:val="auto"/>
          <w:highlight w:val="none"/>
        </w:rPr>
      </w:pPr>
      <w:r>
        <w:rPr>
          <w:b/>
          <w:bCs/>
          <w:color w:val="auto"/>
          <w:highlight w:val="none"/>
        </w:rPr>
        <w:t>（4） 固体废物</w:t>
      </w:r>
    </w:p>
    <w:p w14:paraId="734F26D2">
      <w:pPr>
        <w:ind w:firstLine="480"/>
        <w:rPr>
          <w:color w:val="auto"/>
          <w:highlight w:val="none"/>
        </w:rPr>
      </w:pPr>
      <w:r>
        <w:rPr>
          <w:color w:val="auto"/>
          <w:highlight w:val="none"/>
        </w:rPr>
        <w:t>项目产生的固体废物为一般固废、危险废物和生活垃圾。一般固废包括钢材切割废料、废焊料、焊渣、废铜矿砂及铁锈等，收集到一般固废堆场后由一般固废处理中标公司外运处置；危险废物包括船舶废油、废乳化液、浸漆废液、漆渣、废活性炭、废油污泥、废油漆桶等，收集后由危废处理中标公司负责外运与处置。生活垃圾统一收集后交由环卫部门处置。</w:t>
      </w:r>
    </w:p>
    <w:p w14:paraId="3E9136FB">
      <w:pPr>
        <w:pStyle w:val="533"/>
        <w:numPr>
          <w:ilvl w:val="3"/>
          <w:numId w:val="9"/>
        </w:numPr>
        <w:rPr>
          <w:color w:val="auto"/>
          <w:szCs w:val="24"/>
          <w:highlight w:val="none"/>
          <w:u w:val="single"/>
        </w:rPr>
      </w:pPr>
      <w:r>
        <w:rPr>
          <w:rFonts w:hint="eastAsia"/>
          <w:color w:val="auto"/>
          <w:szCs w:val="24"/>
          <w:highlight w:val="none"/>
          <w:u w:val="single"/>
        </w:rPr>
        <w:t>环评批复落实情况</w:t>
      </w:r>
    </w:p>
    <w:p w14:paraId="63F71C37">
      <w:pPr>
        <w:ind w:firstLine="480"/>
        <w:rPr>
          <w:color w:val="auto"/>
          <w:highlight w:val="none"/>
          <w:u w:val="single"/>
        </w:rPr>
      </w:pPr>
      <w:r>
        <w:rPr>
          <w:rFonts w:hint="eastAsia"/>
          <w:color w:val="auto"/>
          <w:highlight w:val="none"/>
          <w:u w:val="single"/>
        </w:rPr>
        <w:t>2015年5月原钦州市环境保护局对该项目进行了批复（钦港环管字﹝2015﹞13号），见附件3-1。根据批复的内容，本报告逐项检查项目环保措施落实情况，检查结果见表2.1-8。</w:t>
      </w:r>
    </w:p>
    <w:p w14:paraId="1A024C70">
      <w:pPr>
        <w:ind w:firstLine="480"/>
        <w:rPr>
          <w:color w:val="auto"/>
          <w:highlight w:val="none"/>
          <w:u w:val="single"/>
        </w:rPr>
        <w:sectPr>
          <w:headerReference r:id="rId26" w:type="default"/>
          <w:pgSz w:w="11906" w:h="16838"/>
          <w:pgMar w:top="1559" w:right="1418" w:bottom="1503" w:left="1418" w:header="851" w:footer="964" w:gutter="0"/>
          <w:cols w:space="720" w:num="1"/>
          <w:docGrid w:linePitch="326" w:charSpace="0"/>
        </w:sectPr>
      </w:pPr>
    </w:p>
    <w:p w14:paraId="653B3216">
      <w:pPr>
        <w:pStyle w:val="38"/>
        <w:spacing w:after="0" w:line="240" w:lineRule="auto"/>
        <w:ind w:firstLine="0" w:firstLineChars="0"/>
        <w:jc w:val="center"/>
        <w:rPr>
          <w:b/>
          <w:color w:val="auto"/>
          <w:sz w:val="21"/>
          <w:szCs w:val="21"/>
          <w:highlight w:val="none"/>
          <w:u w:val="single"/>
        </w:rPr>
      </w:pPr>
      <w:r>
        <w:rPr>
          <w:rFonts w:hint="eastAsia"/>
          <w:b/>
          <w:color w:val="auto"/>
          <w:sz w:val="21"/>
          <w:szCs w:val="21"/>
          <w:highlight w:val="none"/>
          <w:u w:val="single"/>
        </w:rPr>
        <w:t>表2.1-8 钦州港环境保护局批复要求的环保措施和风险应急措施落实情况表</w:t>
      </w:r>
    </w:p>
    <w:tbl>
      <w:tblPr>
        <w:tblStyle w:val="9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0"/>
        <w:gridCol w:w="5970"/>
        <w:gridCol w:w="7372"/>
      </w:tblGrid>
      <w:tr w14:paraId="0BEF04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650" w:type="dxa"/>
            <w:tcBorders>
              <w:tl2br w:val="nil"/>
              <w:tr2bl w:val="nil"/>
            </w:tcBorders>
            <w:vAlign w:val="center"/>
          </w:tcPr>
          <w:p w14:paraId="2AFD682F">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序号</w:t>
            </w:r>
          </w:p>
        </w:tc>
        <w:tc>
          <w:tcPr>
            <w:tcW w:w="5970" w:type="dxa"/>
            <w:tcBorders>
              <w:tl2br w:val="nil"/>
              <w:tr2bl w:val="nil"/>
            </w:tcBorders>
            <w:vAlign w:val="center"/>
          </w:tcPr>
          <w:p w14:paraId="5692A605">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环评批复环保措施</w:t>
            </w:r>
          </w:p>
        </w:tc>
        <w:tc>
          <w:tcPr>
            <w:tcW w:w="7372" w:type="dxa"/>
            <w:tcBorders>
              <w:tl2br w:val="nil"/>
              <w:tr2bl w:val="nil"/>
            </w:tcBorders>
            <w:vAlign w:val="center"/>
          </w:tcPr>
          <w:p w14:paraId="52F7EA94">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落实情况</w:t>
            </w:r>
          </w:p>
        </w:tc>
      </w:tr>
      <w:tr w14:paraId="5EC3DC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0" w:type="dxa"/>
            <w:tcBorders>
              <w:tl2br w:val="nil"/>
              <w:tr2bl w:val="nil"/>
            </w:tcBorders>
            <w:vAlign w:val="center"/>
          </w:tcPr>
          <w:p w14:paraId="6B929983">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1</w:t>
            </w:r>
          </w:p>
        </w:tc>
        <w:tc>
          <w:tcPr>
            <w:tcW w:w="5970" w:type="dxa"/>
            <w:tcBorders>
              <w:tl2br w:val="nil"/>
              <w:tr2bl w:val="nil"/>
            </w:tcBorders>
            <w:vAlign w:val="center"/>
          </w:tcPr>
          <w:p w14:paraId="721839C9">
            <w:pPr>
              <w:spacing w:line="240" w:lineRule="auto"/>
              <w:ind w:firstLine="420"/>
              <w:jc w:val="left"/>
              <w:rPr>
                <w:color w:val="auto"/>
                <w:sz w:val="21"/>
                <w:szCs w:val="21"/>
                <w:highlight w:val="none"/>
                <w:u w:val="single"/>
              </w:rPr>
            </w:pPr>
            <w:r>
              <w:rPr>
                <w:color w:val="auto"/>
                <w:sz w:val="21"/>
                <w:szCs w:val="21"/>
                <w:highlight w:val="none"/>
                <w:u w:val="single"/>
              </w:rPr>
              <w:t>加强施工期环境管理，防止环境污染事故的发生。施工期现场须经常进行洒水抑尘，对易产生扬尘的建筑材料应加盖篷布，减少施工场地的扬尘</w:t>
            </w:r>
            <w:r>
              <w:rPr>
                <w:rFonts w:hint="eastAsia"/>
                <w:color w:val="auto"/>
                <w:sz w:val="21"/>
                <w:szCs w:val="21"/>
                <w:highlight w:val="none"/>
                <w:u w:val="single"/>
                <w:lang w:eastAsia="zh-CN"/>
              </w:rPr>
              <w:t>；</w:t>
            </w:r>
            <w:r>
              <w:rPr>
                <w:color w:val="auto"/>
                <w:sz w:val="21"/>
                <w:szCs w:val="21"/>
                <w:highlight w:val="none"/>
                <w:u w:val="single"/>
              </w:rPr>
              <w:t>建筑材料等必须采取密闭方式运输，厂区出口须配备清洗设施，出厂车辆须清洗轮胎后方可放行</w:t>
            </w:r>
            <w:r>
              <w:rPr>
                <w:rFonts w:hint="eastAsia"/>
                <w:color w:val="auto"/>
                <w:sz w:val="21"/>
                <w:szCs w:val="21"/>
                <w:highlight w:val="none"/>
                <w:u w:val="single"/>
                <w:lang w:eastAsia="zh-CN"/>
              </w:rPr>
              <w:t>；</w:t>
            </w:r>
            <w:r>
              <w:rPr>
                <w:color w:val="auto"/>
                <w:sz w:val="21"/>
                <w:szCs w:val="21"/>
                <w:highlight w:val="none"/>
                <w:u w:val="single"/>
              </w:rPr>
              <w:t>生活垃圾、建筑垃圾须及时清运，禁止排入海域</w:t>
            </w:r>
            <w:r>
              <w:rPr>
                <w:rFonts w:hint="eastAsia"/>
                <w:color w:val="auto"/>
                <w:sz w:val="21"/>
                <w:szCs w:val="21"/>
                <w:highlight w:val="none"/>
                <w:u w:val="single"/>
                <w:lang w:eastAsia="zh-CN"/>
              </w:rPr>
              <w:t>；</w:t>
            </w:r>
            <w:r>
              <w:rPr>
                <w:color w:val="auto"/>
                <w:sz w:val="21"/>
                <w:szCs w:val="21"/>
                <w:highlight w:val="none"/>
                <w:u w:val="single"/>
              </w:rPr>
              <w:t>合理安排施工时间避免雨季开挖，落实生态保护、水土保持等防治措施</w:t>
            </w:r>
            <w:r>
              <w:rPr>
                <w:rFonts w:hint="eastAsia"/>
                <w:color w:val="auto"/>
                <w:sz w:val="21"/>
                <w:szCs w:val="21"/>
                <w:highlight w:val="none"/>
                <w:u w:val="single"/>
                <w:lang w:eastAsia="zh-CN"/>
              </w:rPr>
              <w:t>；</w:t>
            </w:r>
            <w:r>
              <w:rPr>
                <w:color w:val="auto"/>
                <w:sz w:val="21"/>
                <w:szCs w:val="21"/>
                <w:highlight w:val="none"/>
                <w:u w:val="single"/>
              </w:rPr>
              <w:t>工程施工须选用低噪声低震动设备，并按有关规定安排作业时间。</w:t>
            </w:r>
          </w:p>
        </w:tc>
        <w:tc>
          <w:tcPr>
            <w:tcW w:w="7372" w:type="dxa"/>
            <w:tcBorders>
              <w:tl2br w:val="nil"/>
              <w:tr2bl w:val="nil"/>
            </w:tcBorders>
            <w:vAlign w:val="center"/>
          </w:tcPr>
          <w:p w14:paraId="266DD652">
            <w:pPr>
              <w:spacing w:line="240" w:lineRule="auto"/>
              <w:ind w:firstLine="0" w:firstLineChars="0"/>
              <w:jc w:val="center"/>
              <w:rPr>
                <w:color w:val="auto"/>
                <w:sz w:val="21"/>
                <w:szCs w:val="21"/>
                <w:highlight w:val="none"/>
                <w:u w:val="single"/>
              </w:rPr>
            </w:pPr>
            <w:r>
              <w:rPr>
                <w:color w:val="auto"/>
                <w:sz w:val="21"/>
                <w:szCs w:val="21"/>
                <w:highlight w:val="none"/>
                <w:u w:val="single"/>
              </w:rPr>
              <w:t>经了解，项目施工时已按批复要求落实</w:t>
            </w:r>
          </w:p>
        </w:tc>
      </w:tr>
      <w:tr w14:paraId="5E2C6C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6" w:hRule="atLeast"/>
        </w:trPr>
        <w:tc>
          <w:tcPr>
            <w:tcW w:w="650" w:type="dxa"/>
            <w:tcBorders>
              <w:tl2br w:val="nil"/>
              <w:tr2bl w:val="nil"/>
            </w:tcBorders>
            <w:vAlign w:val="center"/>
          </w:tcPr>
          <w:p w14:paraId="1AFBB771">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2</w:t>
            </w:r>
          </w:p>
        </w:tc>
        <w:tc>
          <w:tcPr>
            <w:tcW w:w="5970" w:type="dxa"/>
            <w:tcBorders>
              <w:tl2br w:val="nil"/>
              <w:tr2bl w:val="nil"/>
            </w:tcBorders>
            <w:vAlign w:val="center"/>
          </w:tcPr>
          <w:p w14:paraId="45B91848">
            <w:pPr>
              <w:spacing w:line="240" w:lineRule="auto"/>
              <w:ind w:firstLine="420"/>
              <w:jc w:val="left"/>
              <w:rPr>
                <w:color w:val="auto"/>
                <w:sz w:val="21"/>
                <w:szCs w:val="21"/>
                <w:highlight w:val="none"/>
                <w:u w:val="single"/>
              </w:rPr>
            </w:pPr>
            <w:r>
              <w:rPr>
                <w:rFonts w:hint="eastAsia"/>
                <w:color w:val="auto"/>
                <w:sz w:val="21"/>
                <w:szCs w:val="21"/>
                <w:highlight w:val="none"/>
                <w:u w:val="single"/>
              </w:rPr>
              <w:t>（1）</w:t>
            </w:r>
            <w:r>
              <w:rPr>
                <w:color w:val="auto"/>
                <w:sz w:val="21"/>
                <w:szCs w:val="21"/>
                <w:highlight w:val="none"/>
                <w:u w:val="single"/>
              </w:rPr>
              <w:t>强化各生产工段粉尘和有机废气污染物防治和事故防范措施</w:t>
            </w:r>
            <w:r>
              <w:rPr>
                <w:rFonts w:hint="eastAsia"/>
                <w:color w:val="auto"/>
                <w:sz w:val="21"/>
                <w:szCs w:val="21"/>
                <w:highlight w:val="none"/>
                <w:u w:val="single"/>
              </w:rPr>
              <w:t>；</w:t>
            </w:r>
            <w:r>
              <w:rPr>
                <w:color w:val="auto"/>
                <w:sz w:val="21"/>
                <w:szCs w:val="21"/>
                <w:highlight w:val="none"/>
                <w:u w:val="single"/>
              </w:rPr>
              <w:t>严格控制粉尘和有机废气等无组织排放。</w:t>
            </w:r>
          </w:p>
          <w:p w14:paraId="68E55EC4">
            <w:pPr>
              <w:spacing w:line="240" w:lineRule="auto"/>
              <w:ind w:firstLine="420"/>
              <w:jc w:val="left"/>
              <w:rPr>
                <w:color w:val="auto"/>
                <w:sz w:val="21"/>
                <w:szCs w:val="21"/>
                <w:highlight w:val="none"/>
                <w:u w:val="single"/>
              </w:rPr>
            </w:pPr>
            <w:r>
              <w:rPr>
                <w:rFonts w:hint="eastAsia"/>
                <w:color w:val="auto"/>
                <w:sz w:val="21"/>
                <w:szCs w:val="21"/>
                <w:highlight w:val="none"/>
                <w:u w:val="single"/>
              </w:rPr>
              <w:t>（2）</w:t>
            </w:r>
            <w:r>
              <w:rPr>
                <w:color w:val="auto"/>
                <w:sz w:val="21"/>
                <w:szCs w:val="21"/>
                <w:highlight w:val="none"/>
                <w:u w:val="single"/>
              </w:rPr>
              <w:t>浸漆间须采用真空浸漆工艺对电器工件等进行上漆，浸漆槽并设置侧吸罩、烘箱设有机废气排口，有机废气须经活性炭吸附装置净化处理，达到《大气污染物综合排放标准》(GB16297-1996)二级标准后通过20m排气筒排放。</w:t>
            </w:r>
          </w:p>
          <w:p w14:paraId="42717286">
            <w:pPr>
              <w:spacing w:line="240" w:lineRule="auto"/>
              <w:ind w:firstLine="420"/>
              <w:jc w:val="left"/>
              <w:rPr>
                <w:color w:val="auto"/>
                <w:sz w:val="21"/>
                <w:szCs w:val="21"/>
                <w:highlight w:val="none"/>
                <w:u w:val="single"/>
              </w:rPr>
            </w:pPr>
            <w:r>
              <w:rPr>
                <w:rFonts w:hint="eastAsia"/>
                <w:color w:val="auto"/>
                <w:sz w:val="21"/>
                <w:szCs w:val="21"/>
                <w:highlight w:val="none"/>
                <w:u w:val="single"/>
              </w:rPr>
              <w:t>（3）</w:t>
            </w:r>
            <w:r>
              <w:rPr>
                <w:color w:val="auto"/>
                <w:sz w:val="21"/>
                <w:szCs w:val="21"/>
                <w:highlight w:val="none"/>
                <w:u w:val="single"/>
              </w:rPr>
              <w:t>化学清洗间酸洗槽须采取低截面双侧槽边吸风，酸雾收集后经酸雾净化塔处理，净化效率大于90%，达标后通过20m排气筒排放。</w:t>
            </w:r>
          </w:p>
          <w:p w14:paraId="1543590C">
            <w:pPr>
              <w:spacing w:line="240" w:lineRule="auto"/>
              <w:ind w:firstLine="420"/>
              <w:jc w:val="left"/>
              <w:rPr>
                <w:color w:val="auto"/>
                <w:sz w:val="21"/>
                <w:szCs w:val="21"/>
                <w:highlight w:val="none"/>
                <w:u w:val="single"/>
              </w:rPr>
            </w:pPr>
            <w:r>
              <w:rPr>
                <w:rFonts w:hint="eastAsia"/>
                <w:color w:val="auto"/>
                <w:sz w:val="21"/>
                <w:szCs w:val="21"/>
                <w:highlight w:val="none"/>
                <w:u w:val="single"/>
              </w:rPr>
              <w:t>（4）</w:t>
            </w:r>
            <w:r>
              <w:rPr>
                <w:color w:val="auto"/>
                <w:sz w:val="21"/>
                <w:szCs w:val="21"/>
                <w:highlight w:val="none"/>
                <w:u w:val="single"/>
              </w:rPr>
              <w:t>船舶维修喷砂除锈过程产生的含尘废气经真空吸砂机回收铜矿砂并经过滤箱除尘器过滤除尘处理。</w:t>
            </w:r>
          </w:p>
          <w:p w14:paraId="53BBD715">
            <w:pPr>
              <w:spacing w:line="240" w:lineRule="auto"/>
              <w:ind w:firstLine="420"/>
              <w:jc w:val="left"/>
              <w:rPr>
                <w:color w:val="auto"/>
                <w:sz w:val="21"/>
                <w:szCs w:val="21"/>
                <w:highlight w:val="none"/>
                <w:u w:val="single"/>
              </w:rPr>
            </w:pPr>
            <w:r>
              <w:rPr>
                <w:rFonts w:hint="eastAsia"/>
                <w:color w:val="auto"/>
                <w:sz w:val="21"/>
                <w:szCs w:val="21"/>
                <w:highlight w:val="none"/>
                <w:u w:val="single"/>
              </w:rPr>
              <w:t>（5）</w:t>
            </w:r>
            <w:r>
              <w:rPr>
                <w:color w:val="auto"/>
                <w:sz w:val="21"/>
                <w:szCs w:val="21"/>
                <w:highlight w:val="none"/>
                <w:u w:val="single"/>
              </w:rPr>
              <w:t>焊接设备须配备移动式高真空焊接烟气净化装置对焊接烟气进行源头捕集净化处理，捕集率大于95%，净化率大于95%，后通过自力式屋顶通风器排放。</w:t>
            </w:r>
          </w:p>
          <w:p w14:paraId="68372388">
            <w:pPr>
              <w:spacing w:line="240" w:lineRule="auto"/>
              <w:ind w:firstLine="420"/>
              <w:jc w:val="left"/>
              <w:rPr>
                <w:color w:val="auto"/>
                <w:sz w:val="21"/>
                <w:szCs w:val="21"/>
                <w:highlight w:val="none"/>
                <w:u w:val="single"/>
              </w:rPr>
            </w:pPr>
            <w:r>
              <w:rPr>
                <w:rFonts w:hint="eastAsia"/>
                <w:color w:val="auto"/>
                <w:sz w:val="21"/>
                <w:szCs w:val="21"/>
                <w:highlight w:val="none"/>
                <w:u w:val="single"/>
              </w:rPr>
              <w:t>（6）</w:t>
            </w:r>
            <w:r>
              <w:rPr>
                <w:color w:val="auto"/>
                <w:sz w:val="21"/>
                <w:szCs w:val="21"/>
                <w:highlight w:val="none"/>
                <w:u w:val="single"/>
              </w:rPr>
              <w:t>钢材切割作业须采用切割机自带除尘装置对切割烟尘进行</w:t>
            </w:r>
            <w:r>
              <w:rPr>
                <w:rFonts w:hint="eastAsia"/>
                <w:color w:val="auto"/>
                <w:sz w:val="21"/>
                <w:szCs w:val="21"/>
                <w:highlight w:val="none"/>
                <w:u w:val="single"/>
                <w:lang w:eastAsia="zh-CN"/>
              </w:rPr>
              <w:t>净化</w:t>
            </w:r>
            <w:r>
              <w:rPr>
                <w:color w:val="auto"/>
                <w:sz w:val="21"/>
                <w:szCs w:val="21"/>
                <w:highlight w:val="none"/>
                <w:u w:val="single"/>
              </w:rPr>
              <w:t>，净化率大于85%，达标后通过20m排</w:t>
            </w:r>
            <w:r>
              <w:rPr>
                <w:rFonts w:hint="eastAsia"/>
                <w:color w:val="auto"/>
                <w:sz w:val="21"/>
                <w:szCs w:val="21"/>
                <w:highlight w:val="none"/>
                <w:u w:val="single"/>
                <w:lang w:eastAsia="zh-CN"/>
              </w:rPr>
              <w:t>气筒</w:t>
            </w:r>
            <w:r>
              <w:rPr>
                <w:color w:val="auto"/>
                <w:sz w:val="21"/>
                <w:szCs w:val="21"/>
                <w:highlight w:val="none"/>
                <w:u w:val="single"/>
              </w:rPr>
              <w:t>排放。</w:t>
            </w:r>
          </w:p>
          <w:p w14:paraId="265B0F9E">
            <w:pPr>
              <w:spacing w:line="240" w:lineRule="auto"/>
              <w:ind w:firstLine="420"/>
              <w:jc w:val="left"/>
              <w:rPr>
                <w:color w:val="auto"/>
                <w:sz w:val="21"/>
                <w:szCs w:val="21"/>
                <w:highlight w:val="none"/>
                <w:u w:val="single"/>
              </w:rPr>
            </w:pPr>
            <w:r>
              <w:rPr>
                <w:rFonts w:hint="eastAsia"/>
                <w:color w:val="auto"/>
                <w:sz w:val="21"/>
                <w:szCs w:val="21"/>
                <w:highlight w:val="none"/>
                <w:u w:val="single"/>
              </w:rPr>
              <w:t>（7）</w:t>
            </w:r>
            <w:r>
              <w:rPr>
                <w:color w:val="auto"/>
                <w:sz w:val="21"/>
                <w:szCs w:val="21"/>
                <w:highlight w:val="none"/>
                <w:u w:val="single"/>
              </w:rPr>
              <w:t>船坞中船体维修喷涂时各船坞喷漆作业须交错实施，合理安排修船坞喷涂机作业数量避免同时进行大规模喷涂作业，船坞喷涂作业喷涂能力不超过450kg/h，禁止在大风天气进行室外喷砂、打磨作业，以确保厂界各项无组织污染物达标。</w:t>
            </w:r>
          </w:p>
          <w:p w14:paraId="0E72F9DE">
            <w:pPr>
              <w:spacing w:line="240" w:lineRule="auto"/>
              <w:ind w:firstLine="420"/>
              <w:jc w:val="left"/>
              <w:rPr>
                <w:color w:val="auto"/>
                <w:sz w:val="21"/>
                <w:szCs w:val="21"/>
                <w:highlight w:val="none"/>
                <w:u w:val="single"/>
              </w:rPr>
            </w:pPr>
            <w:r>
              <w:rPr>
                <w:rFonts w:hint="eastAsia"/>
                <w:color w:val="auto"/>
                <w:sz w:val="21"/>
                <w:szCs w:val="21"/>
                <w:highlight w:val="none"/>
                <w:u w:val="single"/>
              </w:rPr>
              <w:t>（8）</w:t>
            </w:r>
            <w:r>
              <w:rPr>
                <w:color w:val="auto"/>
                <w:sz w:val="21"/>
                <w:szCs w:val="21"/>
                <w:highlight w:val="none"/>
                <w:u w:val="single"/>
              </w:rPr>
              <w:t>食堂的炉、灶须使用燃气或电能等清洁能源，油烟须经油烟净化设施处理，油烟净化率大于85%，达标后经竖向烟道排放。</w:t>
            </w:r>
          </w:p>
        </w:tc>
        <w:tc>
          <w:tcPr>
            <w:tcW w:w="7372" w:type="dxa"/>
            <w:tcBorders>
              <w:tl2br w:val="nil"/>
              <w:tr2bl w:val="nil"/>
            </w:tcBorders>
            <w:vAlign w:val="center"/>
          </w:tcPr>
          <w:p w14:paraId="6BE8687A">
            <w:pPr>
              <w:spacing w:line="240" w:lineRule="auto"/>
              <w:ind w:firstLine="420"/>
              <w:jc w:val="left"/>
              <w:rPr>
                <w:color w:val="auto"/>
                <w:sz w:val="21"/>
                <w:szCs w:val="21"/>
                <w:highlight w:val="none"/>
                <w:u w:val="single"/>
              </w:rPr>
            </w:pPr>
            <w:r>
              <w:rPr>
                <w:rFonts w:hint="eastAsia"/>
                <w:color w:val="auto"/>
                <w:sz w:val="21"/>
                <w:szCs w:val="21"/>
                <w:highlight w:val="none"/>
                <w:u w:val="single"/>
              </w:rPr>
              <w:t>（1）</w:t>
            </w:r>
            <w:r>
              <w:rPr>
                <w:color w:val="auto"/>
                <w:sz w:val="21"/>
                <w:szCs w:val="21"/>
                <w:highlight w:val="none"/>
                <w:u w:val="single"/>
              </w:rPr>
              <w:t>经核实，项目已强化各生产工段粉尘和有机废气污染物防治和事故防范措施。项目所属企业出于减少环境污染、确保污染物达标排放的目的，在地埋式废水收集池上新增了喷淋除臭净化塔。</w:t>
            </w:r>
            <w:r>
              <w:rPr>
                <w:rFonts w:hint="eastAsia"/>
                <w:color w:val="auto"/>
                <w:sz w:val="21"/>
                <w:szCs w:val="21"/>
                <w:highlight w:val="none"/>
                <w:u w:val="single"/>
              </w:rPr>
              <w:t>根据验收</w:t>
            </w:r>
            <w:r>
              <w:rPr>
                <w:color w:val="auto"/>
                <w:sz w:val="21"/>
                <w:szCs w:val="21"/>
                <w:highlight w:val="none"/>
                <w:u w:val="single"/>
              </w:rPr>
              <w:t>监测，废水收集池废气污染物经喷淋除臭净化塔处理达到（GB14554-93）《恶臭污染物排放标准》二级标准后经</w:t>
            </w:r>
            <w:r>
              <w:rPr>
                <w:rFonts w:hint="eastAsia"/>
                <w:color w:val="auto"/>
                <w:sz w:val="21"/>
                <w:szCs w:val="21"/>
                <w:highlight w:val="none"/>
                <w:u w:val="single"/>
              </w:rPr>
              <w:t>15m高排气筒（DA005）</w:t>
            </w:r>
            <w:r>
              <w:rPr>
                <w:color w:val="auto"/>
                <w:sz w:val="21"/>
                <w:szCs w:val="21"/>
                <w:highlight w:val="none"/>
                <w:u w:val="single"/>
              </w:rPr>
              <w:t>排放。</w:t>
            </w:r>
          </w:p>
          <w:p w14:paraId="4DFCFE51">
            <w:pPr>
              <w:spacing w:line="240" w:lineRule="auto"/>
              <w:ind w:firstLine="420"/>
              <w:jc w:val="left"/>
              <w:rPr>
                <w:color w:val="auto"/>
                <w:sz w:val="21"/>
                <w:szCs w:val="21"/>
                <w:highlight w:val="none"/>
                <w:u w:val="single"/>
              </w:rPr>
            </w:pPr>
            <w:r>
              <w:rPr>
                <w:rFonts w:hint="eastAsia"/>
                <w:color w:val="auto"/>
                <w:sz w:val="21"/>
                <w:szCs w:val="21"/>
                <w:highlight w:val="none"/>
                <w:u w:val="single"/>
              </w:rPr>
              <w:t>（2）</w:t>
            </w:r>
            <w:r>
              <w:rPr>
                <w:color w:val="auto"/>
                <w:sz w:val="21"/>
                <w:szCs w:val="21"/>
                <w:highlight w:val="none"/>
                <w:u w:val="single"/>
              </w:rPr>
              <w:t>经现场核实，浸漆车间已按批复要求建设，另外，烘房有机废气和浸漆车间有机废气混合一起排放。经监测，浸漆车间和烘房混合有机烟气经活性炭吸附处理达到《大气污染物综合排放标准》</w:t>
            </w:r>
            <w:r>
              <w:rPr>
                <w:rFonts w:hint="eastAsia"/>
                <w:color w:val="auto"/>
                <w:sz w:val="21"/>
                <w:szCs w:val="21"/>
                <w:highlight w:val="none"/>
                <w:u w:val="single"/>
              </w:rPr>
              <w:t>（</w:t>
            </w:r>
            <w:r>
              <w:rPr>
                <w:color w:val="auto"/>
                <w:sz w:val="21"/>
                <w:szCs w:val="21"/>
                <w:highlight w:val="none"/>
                <w:u w:val="single"/>
              </w:rPr>
              <w:t>GB16297-1996</w:t>
            </w:r>
            <w:r>
              <w:rPr>
                <w:rFonts w:hint="eastAsia"/>
                <w:color w:val="auto"/>
                <w:sz w:val="21"/>
                <w:szCs w:val="21"/>
                <w:highlight w:val="none"/>
                <w:u w:val="single"/>
              </w:rPr>
              <w:t>）</w:t>
            </w:r>
            <w:r>
              <w:rPr>
                <w:color w:val="auto"/>
                <w:sz w:val="21"/>
                <w:szCs w:val="21"/>
                <w:highlight w:val="none"/>
                <w:u w:val="single"/>
              </w:rPr>
              <w:t>二级标准后通过</w:t>
            </w:r>
            <w:r>
              <w:rPr>
                <w:rFonts w:hint="eastAsia"/>
                <w:color w:val="auto"/>
                <w:sz w:val="21"/>
                <w:szCs w:val="21"/>
                <w:highlight w:val="none"/>
                <w:u w:val="single"/>
              </w:rPr>
              <w:t>20</w:t>
            </w:r>
            <w:r>
              <w:rPr>
                <w:color w:val="auto"/>
                <w:sz w:val="21"/>
                <w:szCs w:val="21"/>
                <w:highlight w:val="none"/>
                <w:u w:val="single"/>
              </w:rPr>
              <w:t>m</w:t>
            </w:r>
            <w:r>
              <w:rPr>
                <w:rFonts w:hint="eastAsia"/>
                <w:color w:val="auto"/>
                <w:sz w:val="21"/>
                <w:szCs w:val="21"/>
                <w:highlight w:val="none"/>
                <w:u w:val="single"/>
              </w:rPr>
              <w:t>排气筒（DA004）</w:t>
            </w:r>
            <w:r>
              <w:rPr>
                <w:color w:val="auto"/>
                <w:sz w:val="21"/>
                <w:szCs w:val="21"/>
                <w:highlight w:val="none"/>
                <w:u w:val="single"/>
              </w:rPr>
              <w:t>排放。</w:t>
            </w:r>
          </w:p>
          <w:p w14:paraId="7DB535C6">
            <w:pPr>
              <w:spacing w:line="240" w:lineRule="auto"/>
              <w:ind w:firstLine="420"/>
              <w:jc w:val="left"/>
              <w:rPr>
                <w:color w:val="auto"/>
                <w:sz w:val="21"/>
                <w:szCs w:val="21"/>
                <w:highlight w:val="none"/>
                <w:u w:val="single"/>
              </w:rPr>
            </w:pPr>
            <w:r>
              <w:rPr>
                <w:rFonts w:hint="eastAsia"/>
                <w:color w:val="auto"/>
                <w:sz w:val="21"/>
                <w:szCs w:val="21"/>
                <w:highlight w:val="none"/>
                <w:u w:val="single"/>
              </w:rPr>
              <w:t>（3）</w:t>
            </w:r>
            <w:r>
              <w:rPr>
                <w:color w:val="auto"/>
                <w:sz w:val="21"/>
                <w:szCs w:val="21"/>
                <w:highlight w:val="none"/>
                <w:u w:val="single"/>
              </w:rPr>
              <w:t>化学清洗间酸洗槽使用</w:t>
            </w:r>
            <w:r>
              <w:rPr>
                <w:rFonts w:hint="eastAsia"/>
                <w:color w:val="auto"/>
                <w:sz w:val="21"/>
                <w:szCs w:val="21"/>
                <w:highlight w:val="none"/>
                <w:u w:val="single"/>
                <w:lang w:eastAsia="zh-CN"/>
              </w:rPr>
              <w:t>除垢剂</w:t>
            </w:r>
            <w:r>
              <w:rPr>
                <w:color w:val="auto"/>
                <w:sz w:val="21"/>
                <w:szCs w:val="21"/>
                <w:highlight w:val="none"/>
                <w:u w:val="single"/>
              </w:rPr>
              <w:t>会产生酸雾，已采取低截面双侧槽边吸风。经监测，化学清洗间酸雾经酸雾净化塔处理达到《大气污染物综合排放标准》</w:t>
            </w:r>
            <w:r>
              <w:rPr>
                <w:rFonts w:hint="eastAsia"/>
                <w:color w:val="auto"/>
                <w:sz w:val="21"/>
                <w:szCs w:val="21"/>
                <w:highlight w:val="none"/>
                <w:u w:val="single"/>
              </w:rPr>
              <w:t>（</w:t>
            </w:r>
            <w:r>
              <w:rPr>
                <w:color w:val="auto"/>
                <w:sz w:val="21"/>
                <w:szCs w:val="21"/>
                <w:highlight w:val="none"/>
                <w:u w:val="single"/>
              </w:rPr>
              <w:t>GB16297-1996</w:t>
            </w:r>
            <w:r>
              <w:rPr>
                <w:rFonts w:hint="eastAsia"/>
                <w:color w:val="auto"/>
                <w:sz w:val="21"/>
                <w:szCs w:val="21"/>
                <w:highlight w:val="none"/>
                <w:u w:val="single"/>
              </w:rPr>
              <w:t>）</w:t>
            </w:r>
            <w:r>
              <w:rPr>
                <w:color w:val="auto"/>
                <w:sz w:val="21"/>
                <w:szCs w:val="21"/>
                <w:highlight w:val="none"/>
                <w:u w:val="single"/>
              </w:rPr>
              <w:t>二级标准后通过</w:t>
            </w:r>
            <w:r>
              <w:rPr>
                <w:rFonts w:hint="eastAsia"/>
                <w:color w:val="auto"/>
                <w:sz w:val="21"/>
                <w:szCs w:val="21"/>
                <w:highlight w:val="none"/>
                <w:u w:val="single"/>
              </w:rPr>
              <w:t>20m排气筒（DA003）</w:t>
            </w:r>
            <w:r>
              <w:rPr>
                <w:color w:val="auto"/>
                <w:sz w:val="21"/>
                <w:szCs w:val="21"/>
                <w:highlight w:val="none"/>
                <w:u w:val="single"/>
              </w:rPr>
              <w:t>排放。</w:t>
            </w:r>
          </w:p>
          <w:p w14:paraId="2BDCF0A8">
            <w:pPr>
              <w:spacing w:line="240" w:lineRule="auto"/>
              <w:ind w:firstLine="420"/>
              <w:jc w:val="left"/>
              <w:rPr>
                <w:color w:val="auto"/>
                <w:sz w:val="21"/>
                <w:szCs w:val="21"/>
                <w:highlight w:val="none"/>
                <w:u w:val="single"/>
              </w:rPr>
            </w:pPr>
            <w:r>
              <w:rPr>
                <w:rFonts w:hint="eastAsia"/>
                <w:color w:val="auto"/>
                <w:sz w:val="21"/>
                <w:szCs w:val="21"/>
                <w:highlight w:val="none"/>
                <w:u w:val="single"/>
              </w:rPr>
              <w:t>（4）</w:t>
            </w:r>
            <w:r>
              <w:rPr>
                <w:color w:val="auto"/>
                <w:sz w:val="21"/>
                <w:szCs w:val="21"/>
                <w:highlight w:val="none"/>
                <w:u w:val="single"/>
              </w:rPr>
              <w:t>由于项目所在行业目前的设备和工艺水平，不能做到环评批复要求的船舶维修喷砂除锈工序配备除尘设备，所以项目已向当地环保部门提交原因解释说明，并采取了喷砂作业禁止在大风天气进行、喷砂除锈工作必须在对</w:t>
            </w:r>
            <w:r>
              <w:rPr>
                <w:rFonts w:hint="eastAsia"/>
                <w:color w:val="auto"/>
                <w:sz w:val="21"/>
                <w:szCs w:val="21"/>
                <w:highlight w:val="none"/>
                <w:u w:val="single"/>
                <w:lang w:eastAsia="zh-CN"/>
              </w:rPr>
              <w:t>其他作业</w:t>
            </w:r>
            <w:r>
              <w:rPr>
                <w:color w:val="auto"/>
                <w:sz w:val="21"/>
                <w:szCs w:val="21"/>
                <w:highlight w:val="none"/>
                <w:u w:val="single"/>
              </w:rPr>
              <w:t>人员影响最小的时间内进行、现场作</w:t>
            </w:r>
            <w:r>
              <w:rPr>
                <w:rFonts w:hint="eastAsia"/>
                <w:color w:val="auto"/>
                <w:sz w:val="21"/>
                <w:szCs w:val="21"/>
                <w:highlight w:val="none"/>
                <w:u w:val="single"/>
                <w:lang w:eastAsia="zh-CN"/>
              </w:rPr>
              <w:t>业人</w:t>
            </w:r>
            <w:r>
              <w:rPr>
                <w:color w:val="auto"/>
                <w:sz w:val="21"/>
                <w:szCs w:val="21"/>
                <w:highlight w:val="none"/>
                <w:u w:val="single"/>
              </w:rPr>
              <w:t>员必须佩戴相应安全防护用品且有安全员现场监督、喷砂结束后立即对铜矿沙进行收集等措施控制污染物对周边环境的影响。</w:t>
            </w:r>
          </w:p>
          <w:p w14:paraId="56091D18">
            <w:pPr>
              <w:spacing w:line="240" w:lineRule="auto"/>
              <w:ind w:firstLine="420"/>
              <w:jc w:val="left"/>
              <w:rPr>
                <w:color w:val="auto"/>
                <w:sz w:val="21"/>
                <w:szCs w:val="21"/>
                <w:highlight w:val="none"/>
                <w:u w:val="single"/>
              </w:rPr>
            </w:pPr>
            <w:r>
              <w:rPr>
                <w:rFonts w:hint="eastAsia"/>
                <w:color w:val="auto"/>
                <w:sz w:val="21"/>
                <w:szCs w:val="21"/>
                <w:highlight w:val="none"/>
                <w:u w:val="single"/>
              </w:rPr>
              <w:t>（5）</w:t>
            </w:r>
            <w:r>
              <w:rPr>
                <w:color w:val="auto"/>
                <w:sz w:val="21"/>
                <w:szCs w:val="21"/>
                <w:highlight w:val="none"/>
                <w:u w:val="single"/>
              </w:rPr>
              <w:t>焊接设备已配备</w:t>
            </w:r>
            <w:r>
              <w:rPr>
                <w:rFonts w:hint="eastAsia"/>
                <w:color w:val="auto"/>
                <w:sz w:val="21"/>
                <w:szCs w:val="21"/>
                <w:highlight w:val="none"/>
                <w:u w:val="single"/>
              </w:rPr>
              <w:t>“</w:t>
            </w:r>
            <w:r>
              <w:rPr>
                <w:color w:val="auto"/>
                <w:sz w:val="21"/>
                <w:szCs w:val="21"/>
                <w:highlight w:val="none"/>
                <w:u w:val="single"/>
              </w:rPr>
              <w:t>移动式高真空焊接烟气净化装置</w:t>
            </w:r>
            <w:r>
              <w:rPr>
                <w:rFonts w:hint="eastAsia"/>
                <w:color w:val="auto"/>
                <w:sz w:val="21"/>
                <w:szCs w:val="21"/>
                <w:highlight w:val="none"/>
                <w:u w:val="single"/>
              </w:rPr>
              <w:t>”</w:t>
            </w:r>
            <w:r>
              <w:rPr>
                <w:color w:val="auto"/>
                <w:sz w:val="21"/>
                <w:szCs w:val="21"/>
                <w:highlight w:val="none"/>
                <w:u w:val="single"/>
              </w:rPr>
              <w:t>对焊接烟气进行源头捕集净化处理，处理后通过自力式屋顶通风器排放。</w:t>
            </w:r>
          </w:p>
          <w:p w14:paraId="36AE072C">
            <w:pPr>
              <w:spacing w:line="240" w:lineRule="auto"/>
              <w:ind w:firstLine="420"/>
              <w:jc w:val="left"/>
              <w:rPr>
                <w:color w:val="auto"/>
                <w:sz w:val="21"/>
                <w:szCs w:val="21"/>
                <w:highlight w:val="none"/>
                <w:u w:val="single"/>
              </w:rPr>
            </w:pPr>
            <w:r>
              <w:rPr>
                <w:rFonts w:hint="eastAsia"/>
                <w:color w:val="auto"/>
                <w:sz w:val="21"/>
                <w:szCs w:val="21"/>
                <w:highlight w:val="none"/>
                <w:u w:val="single"/>
              </w:rPr>
              <w:t>（6）</w:t>
            </w:r>
            <w:r>
              <w:rPr>
                <w:color w:val="auto"/>
                <w:sz w:val="21"/>
                <w:szCs w:val="21"/>
                <w:highlight w:val="none"/>
                <w:u w:val="single"/>
              </w:rPr>
              <w:t>项目钢材切割产生的颗粒垂直落入切割槽，项目采取定时清扫等措施减少颗粒外排。</w:t>
            </w:r>
          </w:p>
          <w:p w14:paraId="4D55FA93">
            <w:pPr>
              <w:spacing w:line="240" w:lineRule="auto"/>
              <w:ind w:firstLine="420"/>
              <w:jc w:val="left"/>
              <w:rPr>
                <w:color w:val="auto"/>
                <w:sz w:val="21"/>
                <w:szCs w:val="21"/>
                <w:highlight w:val="none"/>
                <w:u w:val="single"/>
              </w:rPr>
            </w:pPr>
            <w:r>
              <w:rPr>
                <w:rFonts w:hint="eastAsia"/>
                <w:color w:val="auto"/>
                <w:sz w:val="21"/>
                <w:szCs w:val="21"/>
                <w:highlight w:val="none"/>
                <w:u w:val="single"/>
              </w:rPr>
              <w:t>（7）</w:t>
            </w:r>
            <w:r>
              <w:rPr>
                <w:color w:val="auto"/>
                <w:sz w:val="21"/>
                <w:szCs w:val="21"/>
                <w:highlight w:val="none"/>
                <w:u w:val="single"/>
              </w:rPr>
              <w:t>经了解，项目在船坞中船体维修喷涂时各船坞喷漆作业已按批复要求落实。船坞喷涂作业喷涂能力</w:t>
            </w:r>
            <w:r>
              <w:rPr>
                <w:rFonts w:hint="eastAsia"/>
                <w:color w:val="auto"/>
                <w:sz w:val="21"/>
                <w:szCs w:val="21"/>
                <w:highlight w:val="none"/>
                <w:u w:val="single"/>
              </w:rPr>
              <w:t>最大200</w:t>
            </w:r>
            <w:r>
              <w:rPr>
                <w:color w:val="auto"/>
                <w:sz w:val="21"/>
                <w:szCs w:val="21"/>
                <w:highlight w:val="none"/>
                <w:u w:val="single"/>
              </w:rPr>
              <w:t>kg/h</w:t>
            </w:r>
            <w:r>
              <w:rPr>
                <w:rFonts w:hint="eastAsia"/>
                <w:color w:val="auto"/>
                <w:sz w:val="21"/>
                <w:szCs w:val="21"/>
                <w:highlight w:val="none"/>
                <w:u w:val="single"/>
              </w:rPr>
              <w:t>，不</w:t>
            </w:r>
            <w:r>
              <w:rPr>
                <w:rFonts w:hint="eastAsia"/>
                <w:color w:val="auto"/>
                <w:sz w:val="21"/>
                <w:szCs w:val="21"/>
                <w:highlight w:val="none"/>
                <w:u w:val="single"/>
                <w:lang w:eastAsia="zh-CN"/>
              </w:rPr>
              <w:t>超过</w:t>
            </w:r>
            <w:r>
              <w:rPr>
                <w:rFonts w:hint="eastAsia"/>
                <w:color w:val="auto"/>
                <w:sz w:val="21"/>
                <w:szCs w:val="21"/>
                <w:highlight w:val="none"/>
                <w:u w:val="single"/>
              </w:rPr>
              <w:t>450</w:t>
            </w:r>
            <w:r>
              <w:rPr>
                <w:color w:val="auto"/>
                <w:sz w:val="21"/>
                <w:szCs w:val="21"/>
                <w:highlight w:val="none"/>
                <w:u w:val="single"/>
              </w:rPr>
              <w:t>kg/h</w:t>
            </w:r>
            <w:r>
              <w:rPr>
                <w:rFonts w:hint="eastAsia"/>
                <w:color w:val="auto"/>
                <w:sz w:val="21"/>
                <w:szCs w:val="21"/>
                <w:highlight w:val="none"/>
                <w:u w:val="single"/>
              </w:rPr>
              <w:t>；</w:t>
            </w:r>
            <w:r>
              <w:rPr>
                <w:color w:val="auto"/>
                <w:sz w:val="21"/>
                <w:szCs w:val="21"/>
                <w:highlight w:val="none"/>
                <w:u w:val="single"/>
              </w:rPr>
              <w:t>经监测，</w:t>
            </w:r>
            <w:r>
              <w:rPr>
                <w:rFonts w:hint="eastAsia"/>
                <w:color w:val="auto"/>
                <w:sz w:val="21"/>
                <w:szCs w:val="21"/>
                <w:highlight w:val="none"/>
                <w:u w:val="single"/>
              </w:rPr>
              <w:t>项目</w:t>
            </w:r>
            <w:r>
              <w:rPr>
                <w:color w:val="auto"/>
                <w:sz w:val="21"/>
                <w:szCs w:val="21"/>
                <w:highlight w:val="none"/>
                <w:u w:val="single"/>
              </w:rPr>
              <w:t>周界外TSP无组织排放监控浓度符合《大气污染物综合排放标准》（GB16297-1996）中无组织排放浓度限值的要求；硫化氢、氨及臭气浓度无组织排放监控浓度小于《恶臭污染物排放标准》（GB14554-93）二级标准中无组织排放标准限值的要求；挥发性有机物无组织排放监控浓度符合《挥发性有机物无组织排放控制标准》（GB37822-2019）无组织排放限值的要求。</w:t>
            </w:r>
          </w:p>
          <w:p w14:paraId="767AC033">
            <w:pPr>
              <w:spacing w:line="240" w:lineRule="auto"/>
              <w:ind w:firstLine="420"/>
              <w:jc w:val="left"/>
              <w:rPr>
                <w:color w:val="auto"/>
                <w:sz w:val="21"/>
                <w:szCs w:val="21"/>
                <w:highlight w:val="none"/>
                <w:u w:val="single"/>
              </w:rPr>
            </w:pPr>
            <w:r>
              <w:rPr>
                <w:rFonts w:hint="eastAsia"/>
                <w:color w:val="auto"/>
                <w:sz w:val="21"/>
                <w:szCs w:val="21"/>
                <w:highlight w:val="none"/>
                <w:u w:val="single"/>
              </w:rPr>
              <w:t>（8）</w:t>
            </w:r>
            <w:r>
              <w:rPr>
                <w:color w:val="auto"/>
                <w:sz w:val="21"/>
                <w:szCs w:val="21"/>
                <w:highlight w:val="none"/>
                <w:u w:val="single"/>
              </w:rPr>
              <w:t>食堂的炉灶使用电能为能源，且采用净化率优于国标，型号为 LH-YJ-D的静电式油烟净化器，油烟净化率大于85%。油烟经油烟净化设施处理达标后经竖向烟道排放。</w:t>
            </w:r>
          </w:p>
        </w:tc>
      </w:tr>
      <w:tr w14:paraId="2B20F4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0" w:type="dxa"/>
            <w:tcBorders>
              <w:tl2br w:val="nil"/>
              <w:tr2bl w:val="nil"/>
            </w:tcBorders>
            <w:vAlign w:val="center"/>
          </w:tcPr>
          <w:p w14:paraId="69579DB6">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3</w:t>
            </w:r>
          </w:p>
        </w:tc>
        <w:tc>
          <w:tcPr>
            <w:tcW w:w="5970" w:type="dxa"/>
            <w:tcBorders>
              <w:tl2br w:val="nil"/>
              <w:tr2bl w:val="nil"/>
            </w:tcBorders>
            <w:vAlign w:val="center"/>
          </w:tcPr>
          <w:p w14:paraId="614A3EC2">
            <w:pPr>
              <w:spacing w:line="240" w:lineRule="auto"/>
              <w:ind w:firstLine="0" w:firstLineChars="0"/>
              <w:jc w:val="center"/>
              <w:rPr>
                <w:color w:val="auto"/>
                <w:sz w:val="21"/>
                <w:szCs w:val="21"/>
                <w:highlight w:val="none"/>
                <w:u w:val="single"/>
              </w:rPr>
            </w:pPr>
            <w:r>
              <w:rPr>
                <w:color w:val="auto"/>
                <w:sz w:val="21"/>
                <w:szCs w:val="21"/>
                <w:highlight w:val="none"/>
                <w:u w:val="single"/>
              </w:rPr>
              <w:t>落实清洁生产措施，采用先进安全的生产设备和工艺，使用高压无气喷涂工艺和低毒无毒油漆(不得使用氯化醇胺漆)</w:t>
            </w:r>
            <w:r>
              <w:rPr>
                <w:rFonts w:hint="eastAsia"/>
                <w:color w:val="auto"/>
                <w:sz w:val="21"/>
                <w:szCs w:val="21"/>
                <w:highlight w:val="none"/>
                <w:u w:val="single"/>
              </w:rPr>
              <w:t>；</w:t>
            </w:r>
            <w:r>
              <w:rPr>
                <w:color w:val="auto"/>
                <w:sz w:val="21"/>
                <w:szCs w:val="21"/>
                <w:highlight w:val="none"/>
                <w:u w:val="single"/>
              </w:rPr>
              <w:t>采用硬度较大的铜矿砂</w:t>
            </w:r>
            <w:r>
              <w:rPr>
                <w:rFonts w:hint="eastAsia"/>
                <w:color w:val="auto"/>
                <w:sz w:val="21"/>
                <w:szCs w:val="21"/>
                <w:highlight w:val="none"/>
                <w:u w:val="single"/>
                <w:lang w:eastAsia="zh-CN"/>
              </w:rPr>
              <w:t>；</w:t>
            </w:r>
            <w:r>
              <w:rPr>
                <w:color w:val="auto"/>
                <w:sz w:val="21"/>
                <w:szCs w:val="21"/>
                <w:highlight w:val="none"/>
                <w:u w:val="single"/>
              </w:rPr>
              <w:t>采用CO2保护焊、双面埋弧焊等自动、半自动焊接工艺和低毒低起尘的焊条。</w:t>
            </w:r>
          </w:p>
        </w:tc>
        <w:tc>
          <w:tcPr>
            <w:tcW w:w="7372" w:type="dxa"/>
            <w:tcBorders>
              <w:tl2br w:val="nil"/>
              <w:tr2bl w:val="nil"/>
            </w:tcBorders>
            <w:vAlign w:val="center"/>
          </w:tcPr>
          <w:p w14:paraId="78568B0A">
            <w:pPr>
              <w:spacing w:line="240" w:lineRule="auto"/>
              <w:ind w:firstLine="0" w:firstLineChars="0"/>
              <w:jc w:val="center"/>
              <w:rPr>
                <w:color w:val="auto"/>
                <w:sz w:val="21"/>
                <w:szCs w:val="21"/>
                <w:highlight w:val="none"/>
                <w:u w:val="single"/>
              </w:rPr>
            </w:pPr>
            <w:r>
              <w:rPr>
                <w:color w:val="auto"/>
                <w:sz w:val="21"/>
                <w:szCs w:val="21"/>
                <w:highlight w:val="none"/>
                <w:u w:val="single"/>
              </w:rPr>
              <w:t>经现场核实，项目已按批复要求落实</w:t>
            </w:r>
            <w:r>
              <w:rPr>
                <w:rFonts w:hint="eastAsia"/>
                <w:color w:val="auto"/>
                <w:sz w:val="21"/>
                <w:szCs w:val="21"/>
                <w:highlight w:val="none"/>
                <w:u w:val="single"/>
              </w:rPr>
              <w:t>，采用</w:t>
            </w:r>
            <w:r>
              <w:rPr>
                <w:color w:val="auto"/>
                <w:sz w:val="21"/>
                <w:szCs w:val="21"/>
                <w:highlight w:val="none"/>
                <w:u w:val="single"/>
              </w:rPr>
              <w:t>先进安全的生产设备和工艺，使用高压无气喷涂工艺和低毒无毒油漆</w:t>
            </w:r>
            <w:r>
              <w:rPr>
                <w:rFonts w:hint="eastAsia"/>
                <w:color w:val="auto"/>
                <w:sz w:val="21"/>
                <w:szCs w:val="21"/>
                <w:highlight w:val="none"/>
                <w:u w:val="single"/>
              </w:rPr>
              <w:t>；</w:t>
            </w:r>
            <w:r>
              <w:rPr>
                <w:color w:val="auto"/>
                <w:sz w:val="21"/>
                <w:szCs w:val="21"/>
                <w:highlight w:val="none"/>
                <w:u w:val="single"/>
              </w:rPr>
              <w:t>采用硬度较大的铜矿砂</w:t>
            </w:r>
            <w:r>
              <w:rPr>
                <w:rFonts w:hint="eastAsia"/>
                <w:color w:val="auto"/>
                <w:sz w:val="21"/>
                <w:szCs w:val="21"/>
                <w:highlight w:val="none"/>
                <w:u w:val="single"/>
              </w:rPr>
              <w:t>；</w:t>
            </w:r>
            <w:r>
              <w:rPr>
                <w:color w:val="auto"/>
                <w:sz w:val="21"/>
                <w:szCs w:val="21"/>
                <w:highlight w:val="none"/>
                <w:u w:val="single"/>
              </w:rPr>
              <w:t>采用CO</w:t>
            </w:r>
            <w:r>
              <w:rPr>
                <w:color w:val="auto"/>
                <w:sz w:val="21"/>
                <w:szCs w:val="21"/>
                <w:highlight w:val="none"/>
                <w:u w:val="single"/>
                <w:vertAlign w:val="subscript"/>
              </w:rPr>
              <w:t>2</w:t>
            </w:r>
            <w:r>
              <w:rPr>
                <w:color w:val="auto"/>
                <w:sz w:val="21"/>
                <w:szCs w:val="21"/>
                <w:highlight w:val="none"/>
                <w:u w:val="single"/>
              </w:rPr>
              <w:t>保护焊</w:t>
            </w:r>
            <w:r>
              <w:rPr>
                <w:rFonts w:hint="eastAsia"/>
                <w:color w:val="auto"/>
                <w:sz w:val="21"/>
                <w:szCs w:val="21"/>
                <w:highlight w:val="none"/>
                <w:u w:val="single"/>
              </w:rPr>
              <w:t>自动</w:t>
            </w:r>
            <w:r>
              <w:rPr>
                <w:color w:val="auto"/>
                <w:sz w:val="21"/>
                <w:szCs w:val="21"/>
                <w:highlight w:val="none"/>
                <w:u w:val="single"/>
              </w:rPr>
              <w:t>焊接工艺和低毒低起尘的焊条。</w:t>
            </w:r>
          </w:p>
        </w:tc>
      </w:tr>
      <w:tr w14:paraId="5A545E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0" w:type="dxa"/>
            <w:tcBorders>
              <w:tl2br w:val="nil"/>
              <w:tr2bl w:val="nil"/>
            </w:tcBorders>
            <w:vAlign w:val="center"/>
          </w:tcPr>
          <w:p w14:paraId="2A4D9B64">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w:t>
            </w:r>
          </w:p>
        </w:tc>
        <w:tc>
          <w:tcPr>
            <w:tcW w:w="5970" w:type="dxa"/>
            <w:tcBorders>
              <w:tl2br w:val="nil"/>
              <w:tr2bl w:val="nil"/>
            </w:tcBorders>
            <w:vAlign w:val="center"/>
          </w:tcPr>
          <w:p w14:paraId="7E4F2217">
            <w:pPr>
              <w:spacing w:line="240" w:lineRule="auto"/>
              <w:ind w:firstLine="0" w:firstLineChars="0"/>
              <w:jc w:val="left"/>
              <w:rPr>
                <w:color w:val="auto"/>
                <w:sz w:val="21"/>
                <w:szCs w:val="21"/>
                <w:highlight w:val="none"/>
                <w:u w:val="single"/>
              </w:rPr>
            </w:pPr>
            <w:r>
              <w:rPr>
                <w:rFonts w:hint="eastAsia"/>
                <w:color w:val="auto"/>
                <w:sz w:val="21"/>
                <w:szCs w:val="21"/>
                <w:highlight w:val="none"/>
                <w:u w:val="single"/>
              </w:rPr>
              <w:t>（1）</w:t>
            </w:r>
            <w:r>
              <w:rPr>
                <w:color w:val="auto"/>
                <w:sz w:val="21"/>
                <w:szCs w:val="21"/>
                <w:highlight w:val="none"/>
                <w:u w:val="single"/>
              </w:rPr>
              <w:t>做好厂区的雨污分流、清污分流工作，严格落实环评报告书提出的废水处理措施。</w:t>
            </w:r>
          </w:p>
          <w:p w14:paraId="3CDBD999">
            <w:pPr>
              <w:spacing w:line="240" w:lineRule="auto"/>
              <w:ind w:firstLine="0" w:firstLineChars="0"/>
              <w:jc w:val="left"/>
              <w:rPr>
                <w:color w:val="auto"/>
                <w:sz w:val="21"/>
                <w:szCs w:val="21"/>
                <w:highlight w:val="none"/>
                <w:u w:val="single"/>
              </w:rPr>
            </w:pPr>
            <w:r>
              <w:rPr>
                <w:rFonts w:hint="eastAsia"/>
                <w:color w:val="auto"/>
                <w:sz w:val="21"/>
                <w:szCs w:val="21"/>
                <w:highlight w:val="none"/>
                <w:u w:val="single"/>
              </w:rPr>
              <w:t>（2）</w:t>
            </w:r>
            <w:r>
              <w:rPr>
                <w:color w:val="auto"/>
                <w:sz w:val="21"/>
                <w:szCs w:val="21"/>
                <w:highlight w:val="none"/>
                <w:u w:val="single"/>
              </w:rPr>
              <w:t>厂区含油废水、化学清洗酸碱废水等生产废水及车间地面冲洗废水、初期含油雨水经收集预处理达到《污水综合排放标准》(GB8978-1996)三级标准，排入市政污水管网，进入钦州大榄坪三墩作业区污水处理站进行后续处理。生活污水经隔油池+化粪池处理后一并排入市政污水管网。船坞及驳岸初期雨水经收集后抽至厂区初期雨水收集池，经隔油沉淀处理后排入市政污水管网。</w:t>
            </w:r>
          </w:p>
          <w:p w14:paraId="59378531">
            <w:pPr>
              <w:spacing w:line="240" w:lineRule="auto"/>
              <w:ind w:firstLine="0" w:firstLineChars="0"/>
              <w:jc w:val="left"/>
              <w:rPr>
                <w:color w:val="auto"/>
                <w:sz w:val="21"/>
                <w:szCs w:val="21"/>
                <w:highlight w:val="none"/>
                <w:u w:val="single"/>
              </w:rPr>
            </w:pPr>
            <w:r>
              <w:rPr>
                <w:rFonts w:hint="eastAsia"/>
                <w:color w:val="auto"/>
                <w:sz w:val="21"/>
                <w:szCs w:val="21"/>
                <w:highlight w:val="none"/>
                <w:u w:val="single"/>
              </w:rPr>
              <w:t>（3）</w:t>
            </w:r>
            <w:r>
              <w:rPr>
                <w:color w:val="auto"/>
                <w:sz w:val="21"/>
                <w:szCs w:val="21"/>
                <w:highlight w:val="none"/>
                <w:u w:val="single"/>
              </w:rPr>
              <w:t>高压冲洗废水经收集沉淀处理后回用于船体、船坞高压冲洗或排入市政污水管网。</w:t>
            </w:r>
          </w:p>
          <w:p w14:paraId="41FD94FF">
            <w:pPr>
              <w:spacing w:line="240" w:lineRule="auto"/>
              <w:ind w:firstLine="0" w:firstLineChars="0"/>
              <w:jc w:val="left"/>
              <w:rPr>
                <w:color w:val="auto"/>
                <w:sz w:val="21"/>
                <w:szCs w:val="21"/>
                <w:highlight w:val="none"/>
                <w:u w:val="single"/>
              </w:rPr>
            </w:pPr>
            <w:r>
              <w:rPr>
                <w:rFonts w:hint="eastAsia"/>
                <w:color w:val="auto"/>
                <w:sz w:val="21"/>
                <w:szCs w:val="21"/>
                <w:highlight w:val="none"/>
                <w:u w:val="single"/>
              </w:rPr>
              <w:t>（4）</w:t>
            </w:r>
            <w:r>
              <w:rPr>
                <w:color w:val="auto"/>
                <w:sz w:val="21"/>
                <w:szCs w:val="21"/>
                <w:highlight w:val="none"/>
                <w:u w:val="single"/>
              </w:rPr>
              <w:t>项目不得进行金属表面处理加工。</w:t>
            </w:r>
          </w:p>
        </w:tc>
        <w:tc>
          <w:tcPr>
            <w:tcW w:w="7372" w:type="dxa"/>
            <w:tcBorders>
              <w:tl2br w:val="nil"/>
              <w:tr2bl w:val="nil"/>
            </w:tcBorders>
            <w:vAlign w:val="center"/>
          </w:tcPr>
          <w:p w14:paraId="3849DF91">
            <w:pPr>
              <w:spacing w:line="240" w:lineRule="auto"/>
              <w:ind w:firstLine="0" w:firstLineChars="0"/>
              <w:jc w:val="left"/>
              <w:rPr>
                <w:color w:val="auto"/>
                <w:sz w:val="21"/>
                <w:szCs w:val="21"/>
                <w:highlight w:val="none"/>
                <w:u w:val="single"/>
              </w:rPr>
            </w:pPr>
            <w:r>
              <w:rPr>
                <w:rFonts w:hint="eastAsia"/>
                <w:color w:val="auto"/>
                <w:sz w:val="21"/>
                <w:szCs w:val="21"/>
                <w:highlight w:val="none"/>
                <w:u w:val="single"/>
              </w:rPr>
              <w:t>（1）</w:t>
            </w:r>
            <w:r>
              <w:rPr>
                <w:color w:val="auto"/>
                <w:sz w:val="21"/>
                <w:szCs w:val="21"/>
                <w:highlight w:val="none"/>
                <w:u w:val="single"/>
              </w:rPr>
              <w:t>经现场核实，项目已按“雨污分流”的原则建设排污管网。</w:t>
            </w:r>
          </w:p>
          <w:p w14:paraId="05128ADB">
            <w:pPr>
              <w:spacing w:line="240" w:lineRule="auto"/>
              <w:ind w:firstLine="0" w:firstLineChars="0"/>
              <w:jc w:val="left"/>
              <w:rPr>
                <w:color w:val="auto"/>
                <w:sz w:val="21"/>
                <w:szCs w:val="21"/>
                <w:highlight w:val="none"/>
                <w:u w:val="single"/>
              </w:rPr>
            </w:pPr>
            <w:r>
              <w:rPr>
                <w:rFonts w:hint="eastAsia"/>
                <w:color w:val="auto"/>
                <w:sz w:val="21"/>
                <w:szCs w:val="21"/>
                <w:highlight w:val="none"/>
                <w:u w:val="single"/>
              </w:rPr>
              <w:t>（2）</w:t>
            </w:r>
            <w:r>
              <w:rPr>
                <w:color w:val="auto"/>
                <w:sz w:val="21"/>
                <w:szCs w:val="21"/>
                <w:highlight w:val="none"/>
                <w:u w:val="single"/>
              </w:rPr>
              <w:t>船舶含油废水中的油污由苏南船舶服务有限公司处置</w:t>
            </w:r>
            <w:r>
              <w:rPr>
                <w:rFonts w:hint="eastAsia"/>
                <w:color w:val="auto"/>
                <w:sz w:val="21"/>
                <w:szCs w:val="21"/>
                <w:highlight w:val="none"/>
                <w:u w:val="single"/>
              </w:rPr>
              <w:t>；</w:t>
            </w:r>
            <w:r>
              <w:rPr>
                <w:color w:val="auto"/>
                <w:sz w:val="21"/>
                <w:szCs w:val="21"/>
                <w:highlight w:val="none"/>
                <w:u w:val="single"/>
              </w:rPr>
              <w:t>项目含油废水、化学清洗酸碱废水、车间地面冲洗废水等生产废水经厂区污水处理站处理后经厂区污水管道排入</w:t>
            </w:r>
            <w:r>
              <w:rPr>
                <w:rFonts w:hint="eastAsia"/>
                <w:color w:val="auto"/>
                <w:sz w:val="21"/>
                <w:szCs w:val="21"/>
                <w:highlight w:val="none"/>
                <w:u w:val="single"/>
              </w:rPr>
              <w:t>中水回用池</w:t>
            </w:r>
            <w:r>
              <w:rPr>
                <w:color w:val="auto"/>
                <w:sz w:val="21"/>
                <w:szCs w:val="21"/>
                <w:highlight w:val="none"/>
                <w:u w:val="single"/>
              </w:rPr>
              <w:t>；生活污水（含食堂污水）</w:t>
            </w:r>
            <w:r>
              <w:rPr>
                <w:rFonts w:hint="eastAsia"/>
                <w:color w:val="auto"/>
                <w:sz w:val="21"/>
                <w:szCs w:val="21"/>
                <w:highlight w:val="none"/>
                <w:u w:val="single"/>
              </w:rPr>
              <w:t>进入生活污水处理设备处理后进入中水回用池储存</w:t>
            </w:r>
            <w:r>
              <w:rPr>
                <w:color w:val="auto"/>
                <w:sz w:val="21"/>
                <w:szCs w:val="21"/>
                <w:highlight w:val="none"/>
                <w:u w:val="single"/>
              </w:rPr>
              <w:t>；</w:t>
            </w:r>
            <w:r>
              <w:rPr>
                <w:rFonts w:hint="eastAsia"/>
                <w:color w:val="auto"/>
                <w:sz w:val="21"/>
                <w:szCs w:val="21"/>
                <w:highlight w:val="none"/>
                <w:u w:val="single"/>
              </w:rPr>
              <w:t>船坞及驳岸码头初期雨水经初期雨水收集后进入生活污水处理设备处理，进入中水回用池储存；中水回用池内废水大部分回用于厂区降尘及绿化；</w:t>
            </w:r>
            <w:r>
              <w:rPr>
                <w:color w:val="auto"/>
                <w:sz w:val="21"/>
                <w:szCs w:val="21"/>
                <w:highlight w:val="none"/>
                <w:u w:val="single"/>
              </w:rPr>
              <w:t>由于项目所在地还未铺设有市政管网，所以</w:t>
            </w:r>
            <w:r>
              <w:rPr>
                <w:rFonts w:hint="eastAsia"/>
                <w:color w:val="auto"/>
                <w:sz w:val="21"/>
                <w:szCs w:val="21"/>
                <w:highlight w:val="none"/>
                <w:u w:val="single"/>
              </w:rPr>
              <w:t>中水回用池内少部分不能回用的废水</w:t>
            </w:r>
            <w:r>
              <w:rPr>
                <w:color w:val="auto"/>
                <w:sz w:val="21"/>
                <w:szCs w:val="21"/>
                <w:highlight w:val="none"/>
                <w:u w:val="single"/>
              </w:rPr>
              <w:t>由槽罐车运至大榄坪污水处理厂做进一步处理。经监测，废水收集池各监测因子浓度均达到《污水综合排放标准》</w:t>
            </w:r>
            <w:r>
              <w:rPr>
                <w:rFonts w:hint="eastAsia"/>
                <w:color w:val="auto"/>
                <w:sz w:val="21"/>
                <w:szCs w:val="21"/>
                <w:highlight w:val="none"/>
                <w:u w:val="single"/>
              </w:rPr>
              <w:t>（</w:t>
            </w:r>
            <w:r>
              <w:rPr>
                <w:color w:val="auto"/>
                <w:sz w:val="21"/>
                <w:szCs w:val="21"/>
                <w:highlight w:val="none"/>
                <w:u w:val="single"/>
              </w:rPr>
              <w:t>GB8978－1996</w:t>
            </w:r>
            <w:r>
              <w:rPr>
                <w:rFonts w:hint="eastAsia"/>
                <w:color w:val="auto"/>
                <w:sz w:val="21"/>
                <w:szCs w:val="21"/>
                <w:highlight w:val="none"/>
                <w:u w:val="single"/>
              </w:rPr>
              <w:t>）</w:t>
            </w:r>
            <w:r>
              <w:rPr>
                <w:color w:val="auto"/>
                <w:sz w:val="21"/>
                <w:szCs w:val="21"/>
                <w:highlight w:val="none"/>
                <w:u w:val="single"/>
              </w:rPr>
              <w:t>三级标准排放限值，厂区雨水总排口各监测因子浓度均达到 《污水综合排放标准》</w:t>
            </w:r>
            <w:r>
              <w:rPr>
                <w:rFonts w:hint="eastAsia"/>
                <w:color w:val="auto"/>
                <w:sz w:val="21"/>
                <w:szCs w:val="21"/>
                <w:highlight w:val="none"/>
                <w:u w:val="single"/>
              </w:rPr>
              <w:t>（</w:t>
            </w:r>
            <w:r>
              <w:rPr>
                <w:color w:val="auto"/>
                <w:sz w:val="21"/>
                <w:szCs w:val="21"/>
                <w:highlight w:val="none"/>
                <w:u w:val="single"/>
              </w:rPr>
              <w:t>GB8978－1996</w:t>
            </w:r>
            <w:r>
              <w:rPr>
                <w:rFonts w:hint="eastAsia"/>
                <w:color w:val="auto"/>
                <w:sz w:val="21"/>
                <w:szCs w:val="21"/>
                <w:highlight w:val="none"/>
                <w:u w:val="single"/>
              </w:rPr>
              <w:t>）</w:t>
            </w:r>
            <w:r>
              <w:rPr>
                <w:color w:val="auto"/>
                <w:sz w:val="21"/>
                <w:szCs w:val="21"/>
                <w:highlight w:val="none"/>
                <w:u w:val="single"/>
              </w:rPr>
              <w:t>一级标准要求。</w:t>
            </w:r>
          </w:p>
          <w:p w14:paraId="3365AA7B">
            <w:pPr>
              <w:spacing w:line="240" w:lineRule="auto"/>
              <w:ind w:firstLine="0" w:firstLineChars="0"/>
              <w:jc w:val="left"/>
              <w:rPr>
                <w:color w:val="auto"/>
                <w:sz w:val="21"/>
                <w:szCs w:val="21"/>
                <w:highlight w:val="none"/>
                <w:u w:val="single"/>
              </w:rPr>
            </w:pPr>
            <w:r>
              <w:rPr>
                <w:rFonts w:hint="eastAsia"/>
                <w:color w:val="auto"/>
                <w:sz w:val="21"/>
                <w:szCs w:val="21"/>
                <w:highlight w:val="none"/>
                <w:u w:val="single"/>
              </w:rPr>
              <w:t>（3）</w:t>
            </w:r>
            <w:r>
              <w:rPr>
                <w:color w:val="auto"/>
                <w:sz w:val="21"/>
                <w:szCs w:val="21"/>
                <w:highlight w:val="none"/>
                <w:u w:val="single"/>
              </w:rPr>
              <w:t>高压冲洗废水经收集沉淀处理后回用于船体、船坞高压冲洗</w:t>
            </w:r>
            <w:r>
              <w:rPr>
                <w:rFonts w:hint="eastAsia"/>
                <w:color w:val="auto"/>
                <w:sz w:val="21"/>
                <w:szCs w:val="21"/>
                <w:highlight w:val="none"/>
                <w:u w:val="single"/>
              </w:rPr>
              <w:t>，不外排</w:t>
            </w:r>
            <w:r>
              <w:rPr>
                <w:color w:val="auto"/>
                <w:sz w:val="21"/>
                <w:szCs w:val="21"/>
                <w:highlight w:val="none"/>
                <w:u w:val="single"/>
              </w:rPr>
              <w:t>。</w:t>
            </w:r>
          </w:p>
          <w:p w14:paraId="5E4A0FFE">
            <w:pPr>
              <w:spacing w:line="240" w:lineRule="auto"/>
              <w:ind w:firstLine="0" w:firstLineChars="0"/>
              <w:jc w:val="left"/>
              <w:rPr>
                <w:color w:val="auto"/>
                <w:sz w:val="21"/>
                <w:szCs w:val="21"/>
                <w:highlight w:val="none"/>
                <w:u w:val="single"/>
              </w:rPr>
            </w:pPr>
            <w:r>
              <w:rPr>
                <w:rFonts w:hint="eastAsia"/>
                <w:color w:val="auto"/>
                <w:sz w:val="21"/>
                <w:szCs w:val="21"/>
                <w:highlight w:val="none"/>
                <w:u w:val="single"/>
              </w:rPr>
              <w:t>（4）</w:t>
            </w:r>
            <w:r>
              <w:rPr>
                <w:color w:val="auto"/>
                <w:sz w:val="21"/>
                <w:szCs w:val="21"/>
                <w:highlight w:val="none"/>
                <w:u w:val="single"/>
              </w:rPr>
              <w:t>项目没有进行金属表面处理加工。</w:t>
            </w:r>
          </w:p>
        </w:tc>
      </w:tr>
      <w:tr w14:paraId="59E20F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0" w:type="dxa"/>
            <w:tcBorders>
              <w:tl2br w:val="nil"/>
              <w:tr2bl w:val="nil"/>
            </w:tcBorders>
            <w:vAlign w:val="center"/>
          </w:tcPr>
          <w:p w14:paraId="71C9F01A">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w:t>
            </w:r>
          </w:p>
        </w:tc>
        <w:tc>
          <w:tcPr>
            <w:tcW w:w="5970" w:type="dxa"/>
            <w:tcBorders>
              <w:tl2br w:val="nil"/>
              <w:tr2bl w:val="nil"/>
            </w:tcBorders>
            <w:vAlign w:val="center"/>
          </w:tcPr>
          <w:p w14:paraId="6B0CFF04">
            <w:pPr>
              <w:spacing w:line="240" w:lineRule="auto"/>
              <w:ind w:firstLine="0" w:firstLineChars="0"/>
              <w:jc w:val="center"/>
              <w:rPr>
                <w:color w:val="auto"/>
                <w:sz w:val="21"/>
                <w:szCs w:val="21"/>
                <w:highlight w:val="none"/>
                <w:u w:val="single"/>
              </w:rPr>
            </w:pPr>
            <w:r>
              <w:rPr>
                <w:color w:val="auto"/>
                <w:sz w:val="21"/>
                <w:szCs w:val="21"/>
                <w:highlight w:val="none"/>
                <w:u w:val="single"/>
              </w:rPr>
              <w:t>靠舶船只含油废水与生活污水、生活垃圾等按照海事部门有关规定规范处理，禁止船舶在近岸海域排放废水。</w:t>
            </w:r>
          </w:p>
        </w:tc>
        <w:tc>
          <w:tcPr>
            <w:tcW w:w="7372" w:type="dxa"/>
            <w:tcBorders>
              <w:tl2br w:val="nil"/>
              <w:tr2bl w:val="nil"/>
            </w:tcBorders>
            <w:vAlign w:val="center"/>
          </w:tcPr>
          <w:p w14:paraId="6CA03A1B">
            <w:pPr>
              <w:spacing w:line="240" w:lineRule="auto"/>
              <w:ind w:firstLine="0" w:firstLineChars="0"/>
              <w:jc w:val="center"/>
              <w:rPr>
                <w:color w:val="auto"/>
                <w:sz w:val="21"/>
                <w:szCs w:val="21"/>
                <w:highlight w:val="none"/>
                <w:u w:val="single"/>
              </w:rPr>
            </w:pPr>
            <w:r>
              <w:rPr>
                <w:color w:val="auto"/>
                <w:sz w:val="21"/>
                <w:szCs w:val="21"/>
                <w:highlight w:val="none"/>
                <w:u w:val="single"/>
              </w:rPr>
              <w:t>经核实，项目已按批复要求落实，禁止船舶在近岸海域排放废水。靠舶船只的生活污水储存于船只污水舱、生活垃圾由市政部门负责处理，船只含油废水已委托苏南船舶服务有限公司进行处置。</w:t>
            </w:r>
          </w:p>
        </w:tc>
      </w:tr>
      <w:tr w14:paraId="68C7C1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0" w:type="dxa"/>
            <w:tcBorders>
              <w:tl2br w:val="nil"/>
              <w:tr2bl w:val="nil"/>
            </w:tcBorders>
            <w:vAlign w:val="center"/>
          </w:tcPr>
          <w:p w14:paraId="506D0471">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6</w:t>
            </w:r>
          </w:p>
        </w:tc>
        <w:tc>
          <w:tcPr>
            <w:tcW w:w="5970" w:type="dxa"/>
            <w:tcBorders>
              <w:tl2br w:val="nil"/>
              <w:tr2bl w:val="nil"/>
            </w:tcBorders>
            <w:vAlign w:val="center"/>
          </w:tcPr>
          <w:p w14:paraId="01504DC1">
            <w:pPr>
              <w:spacing w:line="240" w:lineRule="auto"/>
              <w:ind w:firstLine="0" w:firstLineChars="0"/>
              <w:jc w:val="center"/>
              <w:rPr>
                <w:color w:val="auto"/>
                <w:sz w:val="21"/>
                <w:szCs w:val="21"/>
                <w:highlight w:val="none"/>
                <w:u w:val="single"/>
              </w:rPr>
            </w:pPr>
            <w:r>
              <w:rPr>
                <w:color w:val="auto"/>
                <w:sz w:val="21"/>
                <w:szCs w:val="21"/>
                <w:highlight w:val="none"/>
                <w:u w:val="single"/>
              </w:rPr>
              <w:t>选用低噪声设备，厂区须合理布局高噪声设备并合理安排作业时间，落实报告书提出的各噪声源和设备的隔声、消声等降噪措施。确保厂区边界噪声达到《工业企业厂界环境噪声排放标准》(GB12348-2008)厂界外3类声环境功能区的排放限值。</w:t>
            </w:r>
          </w:p>
        </w:tc>
        <w:tc>
          <w:tcPr>
            <w:tcW w:w="7372" w:type="dxa"/>
            <w:tcBorders>
              <w:tl2br w:val="nil"/>
              <w:tr2bl w:val="nil"/>
            </w:tcBorders>
            <w:vAlign w:val="center"/>
          </w:tcPr>
          <w:p w14:paraId="00C38B68">
            <w:pPr>
              <w:spacing w:line="240" w:lineRule="auto"/>
              <w:ind w:firstLine="0" w:firstLineChars="0"/>
              <w:jc w:val="center"/>
              <w:rPr>
                <w:color w:val="auto"/>
                <w:sz w:val="21"/>
                <w:szCs w:val="21"/>
                <w:highlight w:val="none"/>
                <w:u w:val="single"/>
              </w:rPr>
            </w:pPr>
            <w:r>
              <w:rPr>
                <w:color w:val="auto"/>
                <w:sz w:val="21"/>
                <w:szCs w:val="21"/>
                <w:highlight w:val="none"/>
                <w:u w:val="single"/>
              </w:rPr>
              <w:t>经核实，项目已优化厂区平面设置，选用低噪声设备，采取有效的隔声降噪措施。经监测，项目厂界噪声均符合《工业企业厂界环境噪声排放标准》</w:t>
            </w:r>
            <w:r>
              <w:rPr>
                <w:rFonts w:hint="eastAsia"/>
                <w:color w:val="auto"/>
                <w:sz w:val="21"/>
                <w:szCs w:val="21"/>
                <w:highlight w:val="none"/>
                <w:u w:val="single"/>
              </w:rPr>
              <w:t>（</w:t>
            </w:r>
            <w:r>
              <w:rPr>
                <w:color w:val="auto"/>
                <w:sz w:val="21"/>
                <w:szCs w:val="21"/>
                <w:highlight w:val="none"/>
                <w:u w:val="single"/>
              </w:rPr>
              <w:t>GB12348-2008</w:t>
            </w:r>
            <w:r>
              <w:rPr>
                <w:rFonts w:hint="eastAsia"/>
                <w:color w:val="auto"/>
                <w:sz w:val="21"/>
                <w:szCs w:val="21"/>
                <w:highlight w:val="none"/>
                <w:u w:val="single"/>
              </w:rPr>
              <w:t>）</w:t>
            </w:r>
            <w:r>
              <w:rPr>
                <w:color w:val="auto"/>
                <w:sz w:val="21"/>
                <w:szCs w:val="21"/>
                <w:highlight w:val="none"/>
                <w:u w:val="single"/>
              </w:rPr>
              <w:t>3类标准的要求。</w:t>
            </w:r>
          </w:p>
        </w:tc>
      </w:tr>
      <w:tr w14:paraId="6DA9A0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0" w:type="dxa"/>
            <w:tcBorders>
              <w:tl2br w:val="nil"/>
              <w:tr2bl w:val="nil"/>
            </w:tcBorders>
            <w:vAlign w:val="center"/>
          </w:tcPr>
          <w:p w14:paraId="524F152D">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w:t>
            </w:r>
          </w:p>
        </w:tc>
        <w:tc>
          <w:tcPr>
            <w:tcW w:w="5970" w:type="dxa"/>
            <w:tcBorders>
              <w:tl2br w:val="nil"/>
              <w:tr2bl w:val="nil"/>
            </w:tcBorders>
            <w:vAlign w:val="center"/>
          </w:tcPr>
          <w:p w14:paraId="3EEC300C">
            <w:pPr>
              <w:spacing w:line="240" w:lineRule="auto"/>
              <w:ind w:firstLine="0" w:firstLineChars="0"/>
              <w:jc w:val="center"/>
              <w:rPr>
                <w:color w:val="auto"/>
                <w:sz w:val="21"/>
                <w:szCs w:val="21"/>
                <w:highlight w:val="none"/>
                <w:u w:val="single"/>
              </w:rPr>
            </w:pPr>
            <w:r>
              <w:rPr>
                <w:color w:val="auto"/>
                <w:sz w:val="21"/>
                <w:szCs w:val="21"/>
                <w:highlight w:val="none"/>
                <w:u w:val="single"/>
              </w:rPr>
              <w:t>生产固废、生活垃圾等须分类收集和储存，厂区内设专门堆放场地和容器，并做好避雨防渗措施。钢材切割废料、废焊料、焊渣、废铜矿砂及铁锈等均应充分回收利用</w:t>
            </w:r>
            <w:r>
              <w:rPr>
                <w:rFonts w:hint="eastAsia"/>
                <w:color w:val="auto"/>
                <w:sz w:val="21"/>
                <w:szCs w:val="21"/>
                <w:highlight w:val="none"/>
                <w:u w:val="single"/>
                <w:lang w:eastAsia="zh-CN"/>
              </w:rPr>
              <w:t>；</w:t>
            </w:r>
            <w:r>
              <w:rPr>
                <w:color w:val="auto"/>
                <w:sz w:val="21"/>
                <w:szCs w:val="21"/>
                <w:highlight w:val="none"/>
                <w:u w:val="single"/>
              </w:rPr>
              <w:t>船舶废油、废乳化液、浸漆废液、漆渣、废活性炭、废油污泥、废油漆桶等危险固废须委托具有相应危险废物处置资质单位安全处置并执行危险废物转移联单制度，危险废物收集、储存必须严格执行《危险废物贮存污染控制标准》(GB18597-2001)等的有关规定，厂区内必须设置危险废物专用储存容器并做好规范化管理。</w:t>
            </w:r>
          </w:p>
        </w:tc>
        <w:tc>
          <w:tcPr>
            <w:tcW w:w="7372" w:type="dxa"/>
            <w:tcBorders>
              <w:tl2br w:val="nil"/>
              <w:tr2bl w:val="nil"/>
            </w:tcBorders>
            <w:vAlign w:val="center"/>
          </w:tcPr>
          <w:p w14:paraId="05FC07E4">
            <w:pPr>
              <w:spacing w:line="240" w:lineRule="auto"/>
              <w:ind w:firstLine="0" w:firstLineChars="0"/>
              <w:jc w:val="left"/>
              <w:rPr>
                <w:color w:val="auto"/>
                <w:sz w:val="21"/>
                <w:szCs w:val="21"/>
                <w:highlight w:val="none"/>
                <w:u w:val="single"/>
              </w:rPr>
            </w:pPr>
            <w:r>
              <w:rPr>
                <w:color w:val="auto"/>
                <w:sz w:val="21"/>
                <w:szCs w:val="21"/>
                <w:highlight w:val="none"/>
                <w:u w:val="single"/>
              </w:rPr>
              <w:t>经现场核实，项目生产固废、生活垃圾等已分类收集和储存。</w:t>
            </w:r>
          </w:p>
          <w:p w14:paraId="30C76CE7">
            <w:pPr>
              <w:spacing w:line="240" w:lineRule="auto"/>
              <w:ind w:firstLine="0" w:firstLineChars="0"/>
              <w:jc w:val="left"/>
              <w:rPr>
                <w:color w:val="auto"/>
                <w:sz w:val="21"/>
                <w:szCs w:val="21"/>
                <w:highlight w:val="none"/>
                <w:u w:val="single"/>
              </w:rPr>
            </w:pPr>
            <w:r>
              <w:rPr>
                <w:color w:val="auto"/>
                <w:sz w:val="21"/>
                <w:szCs w:val="21"/>
                <w:highlight w:val="none"/>
                <w:u w:val="single"/>
              </w:rPr>
              <w:t>项目产生的固体废物为一般固废、危险废物和生活垃圾。一般固废包括钢材切割废料、废焊料、焊渣、废铜矿砂及铁锈等，收集到一般固废堆场后由一般固废处理中标公司外运处置；危险废物包括船舶废油、废乳化液、浸漆废液、漆渣、废活性炭、废油污泥、废油漆桶等，收集后由危废处理中标公司负责外运与处置。生活垃圾统一收集后交由环卫部门处置。</w:t>
            </w:r>
          </w:p>
        </w:tc>
      </w:tr>
      <w:tr w14:paraId="225C26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0" w:type="dxa"/>
            <w:tcBorders>
              <w:tl2br w:val="nil"/>
              <w:tr2bl w:val="nil"/>
            </w:tcBorders>
            <w:vAlign w:val="center"/>
          </w:tcPr>
          <w:p w14:paraId="1F8AABDF">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8</w:t>
            </w:r>
          </w:p>
        </w:tc>
        <w:tc>
          <w:tcPr>
            <w:tcW w:w="5970" w:type="dxa"/>
            <w:tcBorders>
              <w:tl2br w:val="nil"/>
              <w:tr2bl w:val="nil"/>
            </w:tcBorders>
            <w:vAlign w:val="center"/>
          </w:tcPr>
          <w:p w14:paraId="25F043EF">
            <w:pPr>
              <w:spacing w:line="240" w:lineRule="auto"/>
              <w:ind w:firstLine="0" w:firstLineChars="0"/>
              <w:jc w:val="center"/>
              <w:rPr>
                <w:color w:val="auto"/>
                <w:sz w:val="21"/>
                <w:szCs w:val="21"/>
                <w:highlight w:val="none"/>
                <w:u w:val="single"/>
              </w:rPr>
            </w:pPr>
            <w:r>
              <w:rPr>
                <w:color w:val="auto"/>
                <w:sz w:val="21"/>
                <w:szCs w:val="21"/>
                <w:highlight w:val="none"/>
                <w:u w:val="single"/>
              </w:rPr>
              <w:t>制订风险事故防范应急预案并报钦州市环境应急与事故调查中心备案，落实有关措施。加强各类化学危险品(油漆、有机溶剂等)装卸、储存和运输过程的管理，按要求配备充足的应急物资并建设足够容量的应急池，防止火灾、泄漏、溢油等各类风险污染事故发生。建立严格的环保管理制度(滤袋定期更换、粉尘和含油废水事故排放应急处理、环保定期监测等)，落实岗位责任制，加强生产中的现场管理和设备维修，防止各类污染事件发生。根据环境安全防范相关要求建设初期雨水收集池，厂区的雨水排放要求采用露天沟渠方式，雨水总排口要求建设二级紧急控制阀门，雨水控制阀门日常要求处于关闭状态。</w:t>
            </w:r>
          </w:p>
        </w:tc>
        <w:tc>
          <w:tcPr>
            <w:tcW w:w="7372" w:type="dxa"/>
            <w:tcBorders>
              <w:tl2br w:val="nil"/>
              <w:tr2bl w:val="nil"/>
            </w:tcBorders>
            <w:vAlign w:val="center"/>
          </w:tcPr>
          <w:p w14:paraId="0D6AEAF7">
            <w:pPr>
              <w:spacing w:line="240" w:lineRule="auto"/>
              <w:ind w:firstLine="0" w:firstLineChars="0"/>
              <w:jc w:val="left"/>
              <w:rPr>
                <w:color w:val="auto"/>
                <w:sz w:val="21"/>
                <w:szCs w:val="21"/>
                <w:highlight w:val="none"/>
                <w:u w:val="single"/>
              </w:rPr>
            </w:pPr>
            <w:r>
              <w:rPr>
                <w:color w:val="auto"/>
                <w:sz w:val="21"/>
                <w:szCs w:val="21"/>
                <w:highlight w:val="none"/>
                <w:u w:val="single"/>
              </w:rPr>
              <w:t>项目已制订风险事故防范应急预案并报钦州市环境应急与事故调查中心备案，并建立了严格的环保管理制度项目，落实岗位责任制，加强生产中的现场管理和设备维修，防止各类污染事件发生。项目在危废储存间旁修建了一个容量为2m³的应急池，两者管道相连，防止危废外泄。</w:t>
            </w:r>
          </w:p>
          <w:p w14:paraId="59C4AF9D">
            <w:pPr>
              <w:spacing w:line="240" w:lineRule="auto"/>
              <w:ind w:firstLine="0" w:firstLineChars="0"/>
              <w:jc w:val="left"/>
              <w:rPr>
                <w:color w:val="auto"/>
                <w:sz w:val="21"/>
                <w:szCs w:val="21"/>
                <w:highlight w:val="none"/>
                <w:u w:val="single"/>
              </w:rPr>
            </w:pPr>
            <w:r>
              <w:rPr>
                <w:color w:val="auto"/>
                <w:sz w:val="21"/>
                <w:szCs w:val="21"/>
                <w:highlight w:val="none"/>
                <w:u w:val="single"/>
              </w:rPr>
              <w:t>项目在驳岸设了一</w:t>
            </w:r>
            <w:r>
              <w:rPr>
                <w:rFonts w:hint="eastAsia"/>
                <w:color w:val="auto"/>
                <w:sz w:val="21"/>
                <w:szCs w:val="21"/>
                <w:highlight w:val="none"/>
                <w:u w:val="single"/>
              </w:rPr>
              <w:t>个</w:t>
            </w:r>
            <w:r>
              <w:rPr>
                <w:color w:val="auto"/>
                <w:sz w:val="21"/>
                <w:szCs w:val="21"/>
                <w:highlight w:val="none"/>
                <w:u w:val="single"/>
              </w:rPr>
              <w:t>雨水收集池，收集池雨水经沉淀后排入</w:t>
            </w:r>
            <w:r>
              <w:rPr>
                <w:rFonts w:hint="eastAsia"/>
                <w:color w:val="auto"/>
                <w:sz w:val="21"/>
                <w:szCs w:val="21"/>
                <w:highlight w:val="none"/>
                <w:u w:val="single"/>
              </w:rPr>
              <w:t>生活污水处理设备中处理，后进入中水回用池储存，大部分回用，少部分不能回用的</w:t>
            </w:r>
            <w:r>
              <w:rPr>
                <w:color w:val="auto"/>
                <w:sz w:val="21"/>
                <w:szCs w:val="21"/>
                <w:highlight w:val="none"/>
                <w:u w:val="single"/>
              </w:rPr>
              <w:t>由槽罐车运至大榄坪污水处理厂处理。</w:t>
            </w:r>
          </w:p>
          <w:p w14:paraId="6992087A">
            <w:pPr>
              <w:spacing w:line="240" w:lineRule="auto"/>
              <w:ind w:firstLine="0" w:firstLineChars="0"/>
              <w:jc w:val="left"/>
              <w:rPr>
                <w:color w:val="auto"/>
                <w:sz w:val="21"/>
                <w:szCs w:val="21"/>
                <w:highlight w:val="none"/>
                <w:u w:val="single"/>
              </w:rPr>
            </w:pPr>
            <w:r>
              <w:rPr>
                <w:color w:val="auto"/>
                <w:sz w:val="21"/>
                <w:szCs w:val="21"/>
                <w:highlight w:val="none"/>
                <w:u w:val="single"/>
              </w:rPr>
              <w:t>另外，项目配备有移动式抽泵、槽罐车及应急储油箱(约100m</w:t>
            </w:r>
            <w:r>
              <w:rPr>
                <w:color w:val="auto"/>
                <w:sz w:val="21"/>
                <w:szCs w:val="21"/>
                <w:highlight w:val="none"/>
                <w:u w:val="single"/>
                <w:vertAlign w:val="superscript"/>
              </w:rPr>
              <w:t>3</w:t>
            </w:r>
            <w:r>
              <w:rPr>
                <w:color w:val="auto"/>
                <w:sz w:val="21"/>
                <w:szCs w:val="21"/>
                <w:highlight w:val="none"/>
                <w:u w:val="single"/>
              </w:rPr>
              <w:t>)，一旦物料</w:t>
            </w:r>
            <w:r>
              <w:rPr>
                <w:rFonts w:hint="eastAsia"/>
                <w:color w:val="auto"/>
                <w:sz w:val="21"/>
                <w:szCs w:val="21"/>
                <w:highlight w:val="none"/>
                <w:u w:val="single"/>
                <w:lang w:eastAsia="zh-CN"/>
              </w:rPr>
              <w:t>泄漏</w:t>
            </w:r>
            <w:r>
              <w:rPr>
                <w:color w:val="auto"/>
                <w:sz w:val="21"/>
                <w:szCs w:val="21"/>
                <w:highlight w:val="none"/>
                <w:u w:val="single"/>
              </w:rPr>
              <w:t>或者污水处理设施失效导致废水</w:t>
            </w:r>
            <w:r>
              <w:rPr>
                <w:rFonts w:hint="eastAsia"/>
                <w:color w:val="auto"/>
                <w:sz w:val="21"/>
                <w:szCs w:val="21"/>
                <w:highlight w:val="none"/>
                <w:u w:val="single"/>
                <w:lang w:eastAsia="zh-CN"/>
              </w:rPr>
              <w:t>泄漏</w:t>
            </w:r>
            <w:r>
              <w:rPr>
                <w:color w:val="auto"/>
                <w:sz w:val="21"/>
                <w:szCs w:val="21"/>
                <w:highlight w:val="none"/>
                <w:u w:val="single"/>
              </w:rPr>
              <w:t>，可立即启动这些设备进行处置，避免物料或污水进入外环境。</w:t>
            </w:r>
          </w:p>
        </w:tc>
      </w:tr>
    </w:tbl>
    <w:p w14:paraId="443D27AE">
      <w:pPr>
        <w:pStyle w:val="2"/>
        <w:rPr>
          <w:color w:val="auto"/>
          <w:highlight w:val="none"/>
        </w:rPr>
      </w:pPr>
    </w:p>
    <w:p w14:paraId="792826BC">
      <w:pPr>
        <w:pStyle w:val="3"/>
        <w:rPr>
          <w:color w:val="auto"/>
          <w:highlight w:val="none"/>
        </w:rPr>
      </w:pPr>
    </w:p>
    <w:p w14:paraId="1462E30D">
      <w:pPr>
        <w:ind w:firstLine="480"/>
        <w:rPr>
          <w:color w:val="auto"/>
          <w:highlight w:val="none"/>
        </w:rPr>
      </w:pPr>
    </w:p>
    <w:p w14:paraId="30AD1ACD">
      <w:pPr>
        <w:pStyle w:val="2"/>
        <w:rPr>
          <w:color w:val="auto"/>
          <w:highlight w:val="none"/>
        </w:rPr>
        <w:sectPr>
          <w:headerReference r:id="rId27" w:type="default"/>
          <w:pgSz w:w="16838" w:h="11906" w:orient="landscape"/>
          <w:pgMar w:top="1418" w:right="1559" w:bottom="1418" w:left="1503" w:header="851" w:footer="964" w:gutter="0"/>
          <w:cols w:space="720" w:num="1"/>
          <w:docGrid w:linePitch="326" w:charSpace="0"/>
        </w:sectPr>
      </w:pPr>
    </w:p>
    <w:p w14:paraId="7BEA0356">
      <w:pPr>
        <w:pStyle w:val="533"/>
        <w:numPr>
          <w:ilvl w:val="3"/>
          <w:numId w:val="9"/>
        </w:numPr>
        <w:rPr>
          <w:color w:val="auto"/>
          <w:szCs w:val="24"/>
          <w:highlight w:val="none"/>
        </w:rPr>
      </w:pPr>
      <w:r>
        <w:rPr>
          <w:color w:val="auto"/>
          <w:szCs w:val="24"/>
          <w:highlight w:val="none"/>
        </w:rPr>
        <w:t>污染物达标排放情况</w:t>
      </w:r>
    </w:p>
    <w:p w14:paraId="5B8EE46A">
      <w:pPr>
        <w:ind w:firstLine="482"/>
        <w:rPr>
          <w:b/>
          <w:bCs/>
          <w:color w:val="auto"/>
          <w:highlight w:val="none"/>
          <w:u w:val="single"/>
        </w:rPr>
      </w:pPr>
      <w:r>
        <w:rPr>
          <w:b/>
          <w:bCs/>
          <w:color w:val="auto"/>
          <w:highlight w:val="none"/>
          <w:u w:val="single"/>
        </w:rPr>
        <w:t>（1）大气污染源</w:t>
      </w:r>
    </w:p>
    <w:p w14:paraId="13DD9F30">
      <w:pPr>
        <w:ind w:firstLine="480"/>
        <w:rPr>
          <w:color w:val="auto"/>
          <w:highlight w:val="none"/>
          <w:u w:val="single"/>
        </w:rPr>
      </w:pPr>
      <w:r>
        <w:rPr>
          <w:color w:val="auto"/>
          <w:highlight w:val="none"/>
          <w:u w:val="single"/>
        </w:rPr>
        <w:t>①有组织废气</w:t>
      </w:r>
    </w:p>
    <w:p w14:paraId="38309E66">
      <w:pPr>
        <w:ind w:firstLine="480"/>
        <w:rPr>
          <w:color w:val="auto"/>
          <w:highlight w:val="none"/>
          <w:u w:val="single"/>
        </w:rPr>
      </w:pPr>
      <w:r>
        <w:rPr>
          <w:color w:val="auto"/>
          <w:highlight w:val="none"/>
          <w:u w:val="single"/>
        </w:rPr>
        <w:t>中船钦州修船资源整合项目一期工程有组织排放废气包括浸漆车间和烘房混合有机尾气、化学清洗间尾气、废水收集池臭气</w:t>
      </w:r>
      <w:r>
        <w:rPr>
          <w:rFonts w:hint="eastAsia"/>
          <w:color w:val="auto"/>
          <w:highlight w:val="none"/>
          <w:u w:val="single"/>
        </w:rPr>
        <w:t>、危化品库及危废暂存间</w:t>
      </w:r>
      <w:r>
        <w:rPr>
          <w:color w:val="auto"/>
          <w:highlight w:val="none"/>
          <w:u w:val="single"/>
        </w:rPr>
        <w:t>废气。</w:t>
      </w:r>
      <w:r>
        <w:rPr>
          <w:rFonts w:hint="eastAsia"/>
          <w:color w:val="auto"/>
          <w:highlight w:val="none"/>
          <w:u w:val="single"/>
        </w:rPr>
        <w:t>废气排放情况主要</w:t>
      </w:r>
      <w:r>
        <w:rPr>
          <w:color w:val="auto"/>
          <w:highlight w:val="none"/>
          <w:u w:val="single"/>
        </w:rPr>
        <w:t>根据</w:t>
      </w:r>
      <w:r>
        <w:rPr>
          <w:rFonts w:hint="eastAsia"/>
          <w:color w:val="auto"/>
          <w:highlight w:val="none"/>
          <w:u w:val="single"/>
        </w:rPr>
        <w:t>2025</w:t>
      </w:r>
      <w:r>
        <w:rPr>
          <w:color w:val="auto"/>
          <w:highlight w:val="none"/>
          <w:u w:val="single"/>
        </w:rPr>
        <w:t>年</w:t>
      </w:r>
      <w:r>
        <w:rPr>
          <w:rFonts w:hint="eastAsia"/>
          <w:color w:val="auto"/>
          <w:highlight w:val="none"/>
          <w:u w:val="single"/>
        </w:rPr>
        <w:t>建设单位自行监测数据进行说明，</w:t>
      </w:r>
      <w:r>
        <w:rPr>
          <w:color w:val="auto"/>
          <w:highlight w:val="none"/>
          <w:u w:val="single"/>
        </w:rPr>
        <w:t>中船钦州修船资源整合项目一期工程大气污染物有组织排放情况表2.1-</w:t>
      </w:r>
      <w:r>
        <w:rPr>
          <w:rFonts w:hint="eastAsia"/>
          <w:color w:val="auto"/>
          <w:highlight w:val="none"/>
          <w:u w:val="single"/>
        </w:rPr>
        <w:t>9</w:t>
      </w:r>
      <w:r>
        <w:rPr>
          <w:color w:val="auto"/>
          <w:highlight w:val="none"/>
          <w:u w:val="single"/>
        </w:rPr>
        <w:t>~2.1-1</w:t>
      </w:r>
      <w:r>
        <w:rPr>
          <w:rFonts w:hint="eastAsia"/>
          <w:color w:val="auto"/>
          <w:highlight w:val="none"/>
          <w:u w:val="single"/>
        </w:rPr>
        <w:t>1</w:t>
      </w:r>
      <w:r>
        <w:rPr>
          <w:color w:val="auto"/>
          <w:highlight w:val="none"/>
          <w:u w:val="single"/>
        </w:rPr>
        <w:t>。</w:t>
      </w:r>
    </w:p>
    <w:p w14:paraId="3C397E1B">
      <w:pPr>
        <w:ind w:firstLine="480"/>
        <w:rPr>
          <w:color w:val="auto"/>
          <w:highlight w:val="none"/>
          <w:u w:val="single"/>
        </w:rPr>
        <w:sectPr>
          <w:headerReference r:id="rId28" w:type="default"/>
          <w:pgSz w:w="11906" w:h="16838"/>
          <w:pgMar w:top="1559" w:right="1418" w:bottom="1503" w:left="1418" w:header="851" w:footer="964" w:gutter="0"/>
          <w:cols w:space="720" w:num="1"/>
          <w:docGrid w:linePitch="326" w:charSpace="0"/>
        </w:sectPr>
      </w:pPr>
    </w:p>
    <w:p w14:paraId="04A79D7D">
      <w:pPr>
        <w:pStyle w:val="38"/>
        <w:spacing w:after="0" w:line="240" w:lineRule="auto"/>
        <w:ind w:firstLine="0" w:firstLineChars="0"/>
        <w:jc w:val="center"/>
        <w:rPr>
          <w:b/>
          <w:color w:val="auto"/>
          <w:sz w:val="21"/>
          <w:szCs w:val="21"/>
          <w:highlight w:val="none"/>
          <w:u w:val="single"/>
        </w:rPr>
      </w:pPr>
      <w:r>
        <w:rPr>
          <w:b/>
          <w:color w:val="auto"/>
          <w:sz w:val="21"/>
          <w:szCs w:val="21"/>
          <w:highlight w:val="none"/>
          <w:u w:val="single"/>
        </w:rPr>
        <w:t>表2.1-</w:t>
      </w:r>
      <w:r>
        <w:rPr>
          <w:rFonts w:hint="eastAsia"/>
          <w:b/>
          <w:color w:val="auto"/>
          <w:sz w:val="21"/>
          <w:szCs w:val="21"/>
          <w:highlight w:val="none"/>
          <w:u w:val="single"/>
        </w:rPr>
        <w:t>9</w:t>
      </w:r>
      <w:r>
        <w:rPr>
          <w:b/>
          <w:color w:val="auto"/>
          <w:sz w:val="21"/>
          <w:szCs w:val="21"/>
          <w:highlight w:val="none"/>
          <w:u w:val="single"/>
        </w:rPr>
        <w:t xml:space="preserve"> 浸漆车间和烘房混合有机尾气排放监测结果</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1"/>
        <w:gridCol w:w="841"/>
        <w:gridCol w:w="2069"/>
        <w:gridCol w:w="1092"/>
        <w:gridCol w:w="1090"/>
        <w:gridCol w:w="1098"/>
        <w:gridCol w:w="1092"/>
        <w:gridCol w:w="1089"/>
        <w:gridCol w:w="1091"/>
        <w:gridCol w:w="1198"/>
        <w:gridCol w:w="1083"/>
        <w:gridCol w:w="736"/>
        <w:gridCol w:w="742"/>
      </w:tblGrid>
      <w:tr w14:paraId="591DE9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5" w:type="pct"/>
            <w:vMerge w:val="restart"/>
            <w:tcBorders>
              <w:tl2br w:val="nil"/>
              <w:tr2bl w:val="nil"/>
            </w:tcBorders>
            <w:vAlign w:val="center"/>
          </w:tcPr>
          <w:p w14:paraId="2D51896C">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车间</w:t>
            </w:r>
          </w:p>
          <w:p w14:paraId="2C11B2E0">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设施</w:t>
            </w:r>
          </w:p>
        </w:tc>
        <w:tc>
          <w:tcPr>
            <w:tcW w:w="300" w:type="pct"/>
            <w:vMerge w:val="restart"/>
            <w:tcBorders>
              <w:tl2br w:val="nil"/>
              <w:tr2bl w:val="nil"/>
            </w:tcBorders>
            <w:vAlign w:val="center"/>
          </w:tcPr>
          <w:p w14:paraId="3E080F85">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监测</w:t>
            </w:r>
          </w:p>
          <w:p w14:paraId="56483A7B">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点位</w:t>
            </w:r>
          </w:p>
        </w:tc>
        <w:tc>
          <w:tcPr>
            <w:tcW w:w="739" w:type="pct"/>
            <w:vMerge w:val="restart"/>
            <w:tcBorders>
              <w:tl2br w:val="nil"/>
              <w:tr2bl w:val="nil"/>
            </w:tcBorders>
            <w:vAlign w:val="center"/>
          </w:tcPr>
          <w:p w14:paraId="2BF8605E">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监测项目</w:t>
            </w:r>
          </w:p>
        </w:tc>
        <w:tc>
          <w:tcPr>
            <w:tcW w:w="1171" w:type="pct"/>
            <w:gridSpan w:val="3"/>
            <w:tcBorders>
              <w:tl2br w:val="nil"/>
              <w:tr2bl w:val="nil"/>
            </w:tcBorders>
            <w:vAlign w:val="center"/>
          </w:tcPr>
          <w:p w14:paraId="7295CE43">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监测结果</w:t>
            </w:r>
          </w:p>
        </w:tc>
        <w:tc>
          <w:tcPr>
            <w:tcW w:w="390" w:type="pct"/>
            <w:vMerge w:val="restart"/>
            <w:tcBorders>
              <w:tl2br w:val="nil"/>
              <w:tr2bl w:val="nil"/>
            </w:tcBorders>
            <w:vAlign w:val="center"/>
          </w:tcPr>
          <w:p w14:paraId="7816D18E">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均值</w:t>
            </w:r>
          </w:p>
        </w:tc>
        <w:tc>
          <w:tcPr>
            <w:tcW w:w="1207" w:type="pct"/>
            <w:gridSpan w:val="3"/>
            <w:tcBorders>
              <w:tl2br w:val="nil"/>
              <w:tr2bl w:val="nil"/>
            </w:tcBorders>
            <w:vAlign w:val="center"/>
          </w:tcPr>
          <w:p w14:paraId="1E72201C">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监测结果</w:t>
            </w:r>
          </w:p>
        </w:tc>
        <w:tc>
          <w:tcPr>
            <w:tcW w:w="387" w:type="pct"/>
            <w:vMerge w:val="restart"/>
            <w:tcBorders>
              <w:tl2br w:val="nil"/>
              <w:tr2bl w:val="nil"/>
            </w:tcBorders>
            <w:vAlign w:val="center"/>
          </w:tcPr>
          <w:p w14:paraId="1B469ED3">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均值</w:t>
            </w:r>
          </w:p>
        </w:tc>
        <w:tc>
          <w:tcPr>
            <w:tcW w:w="263" w:type="pct"/>
            <w:vMerge w:val="restart"/>
            <w:tcBorders>
              <w:tl2br w:val="nil"/>
              <w:tr2bl w:val="nil"/>
            </w:tcBorders>
            <w:vAlign w:val="center"/>
          </w:tcPr>
          <w:p w14:paraId="7F47D785">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执行</w:t>
            </w:r>
          </w:p>
          <w:p w14:paraId="0224057A">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标准</w:t>
            </w:r>
          </w:p>
        </w:tc>
        <w:tc>
          <w:tcPr>
            <w:tcW w:w="265" w:type="pct"/>
            <w:vMerge w:val="restart"/>
            <w:tcBorders>
              <w:tl2br w:val="nil"/>
              <w:tr2bl w:val="nil"/>
            </w:tcBorders>
            <w:vAlign w:val="center"/>
          </w:tcPr>
          <w:p w14:paraId="3AF2CC0C">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结果</w:t>
            </w:r>
          </w:p>
          <w:p w14:paraId="0F8AC115">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评价</w:t>
            </w:r>
          </w:p>
        </w:tc>
      </w:tr>
      <w:tr w14:paraId="49DDB6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5" w:type="pct"/>
            <w:vMerge w:val="continue"/>
            <w:tcBorders>
              <w:tl2br w:val="nil"/>
              <w:tr2bl w:val="nil"/>
            </w:tcBorders>
            <w:vAlign w:val="center"/>
          </w:tcPr>
          <w:p w14:paraId="6B85F1DA">
            <w:pPr>
              <w:spacing w:line="240" w:lineRule="auto"/>
              <w:ind w:left="-72" w:leftChars="-30" w:right="-72" w:rightChars="-30" w:firstLine="0" w:firstLineChars="0"/>
              <w:jc w:val="center"/>
              <w:rPr>
                <w:b/>
                <w:bCs/>
                <w:color w:val="auto"/>
                <w:sz w:val="21"/>
                <w:szCs w:val="21"/>
                <w:highlight w:val="none"/>
                <w:u w:val="single"/>
              </w:rPr>
            </w:pPr>
          </w:p>
        </w:tc>
        <w:tc>
          <w:tcPr>
            <w:tcW w:w="300" w:type="pct"/>
            <w:vMerge w:val="continue"/>
            <w:tcBorders>
              <w:tl2br w:val="nil"/>
              <w:tr2bl w:val="nil"/>
            </w:tcBorders>
            <w:vAlign w:val="center"/>
          </w:tcPr>
          <w:p w14:paraId="0C9C27FE">
            <w:pPr>
              <w:spacing w:line="240" w:lineRule="auto"/>
              <w:ind w:left="-72" w:leftChars="-30" w:right="-72" w:rightChars="-30" w:firstLine="0" w:firstLineChars="0"/>
              <w:jc w:val="center"/>
              <w:rPr>
                <w:b/>
                <w:bCs/>
                <w:color w:val="auto"/>
                <w:sz w:val="21"/>
                <w:szCs w:val="21"/>
                <w:highlight w:val="none"/>
                <w:u w:val="single"/>
              </w:rPr>
            </w:pPr>
          </w:p>
        </w:tc>
        <w:tc>
          <w:tcPr>
            <w:tcW w:w="739" w:type="pct"/>
            <w:vMerge w:val="continue"/>
            <w:tcBorders>
              <w:tl2br w:val="nil"/>
              <w:tr2bl w:val="nil"/>
            </w:tcBorders>
            <w:vAlign w:val="center"/>
          </w:tcPr>
          <w:p w14:paraId="5DB6EF0C">
            <w:pPr>
              <w:spacing w:line="240" w:lineRule="auto"/>
              <w:ind w:left="-72" w:leftChars="-30" w:right="-72" w:rightChars="-30" w:firstLine="0" w:firstLineChars="0"/>
              <w:jc w:val="center"/>
              <w:rPr>
                <w:b/>
                <w:bCs/>
                <w:color w:val="auto"/>
                <w:sz w:val="21"/>
                <w:szCs w:val="21"/>
                <w:highlight w:val="none"/>
                <w:u w:val="single"/>
              </w:rPr>
            </w:pPr>
          </w:p>
        </w:tc>
        <w:tc>
          <w:tcPr>
            <w:tcW w:w="1171" w:type="pct"/>
            <w:gridSpan w:val="3"/>
            <w:tcBorders>
              <w:tl2br w:val="nil"/>
              <w:tr2bl w:val="nil"/>
            </w:tcBorders>
            <w:vAlign w:val="center"/>
          </w:tcPr>
          <w:p w14:paraId="4DFD8CE7">
            <w:pPr>
              <w:spacing w:line="240" w:lineRule="auto"/>
              <w:ind w:left="-72" w:leftChars="-30" w:right="-72" w:rightChars="-30" w:firstLine="0" w:firstLineChars="0"/>
              <w:jc w:val="center"/>
              <w:rPr>
                <w:b/>
                <w:bCs/>
                <w:color w:val="auto"/>
                <w:sz w:val="21"/>
                <w:szCs w:val="21"/>
                <w:highlight w:val="none"/>
                <w:u w:val="single"/>
              </w:rPr>
            </w:pPr>
            <w:r>
              <w:rPr>
                <w:rFonts w:hint="eastAsia"/>
                <w:b/>
                <w:bCs/>
                <w:color w:val="auto"/>
                <w:sz w:val="21"/>
                <w:szCs w:val="21"/>
                <w:highlight w:val="none"/>
                <w:u w:val="single"/>
              </w:rPr>
              <w:t>2025</w:t>
            </w:r>
            <w:r>
              <w:rPr>
                <w:b/>
                <w:bCs/>
                <w:color w:val="auto"/>
                <w:sz w:val="21"/>
                <w:szCs w:val="21"/>
                <w:highlight w:val="none"/>
                <w:u w:val="single"/>
              </w:rPr>
              <w:t>年</w:t>
            </w:r>
            <w:r>
              <w:rPr>
                <w:rFonts w:hint="eastAsia"/>
                <w:b/>
                <w:bCs/>
                <w:color w:val="auto"/>
                <w:sz w:val="21"/>
                <w:szCs w:val="21"/>
                <w:highlight w:val="none"/>
                <w:u w:val="single"/>
              </w:rPr>
              <w:t>4</w:t>
            </w:r>
            <w:r>
              <w:rPr>
                <w:b/>
                <w:bCs/>
                <w:color w:val="auto"/>
                <w:sz w:val="21"/>
                <w:szCs w:val="21"/>
                <w:highlight w:val="none"/>
                <w:u w:val="single"/>
              </w:rPr>
              <w:t>月</w:t>
            </w:r>
            <w:r>
              <w:rPr>
                <w:rFonts w:hint="eastAsia"/>
                <w:b/>
                <w:bCs/>
                <w:color w:val="auto"/>
                <w:sz w:val="21"/>
                <w:szCs w:val="21"/>
                <w:highlight w:val="none"/>
                <w:u w:val="single"/>
              </w:rPr>
              <w:t>9</w:t>
            </w:r>
            <w:r>
              <w:rPr>
                <w:b/>
                <w:bCs/>
                <w:color w:val="auto"/>
                <w:sz w:val="21"/>
                <w:szCs w:val="21"/>
                <w:highlight w:val="none"/>
                <w:u w:val="single"/>
              </w:rPr>
              <w:t>日</w:t>
            </w:r>
          </w:p>
        </w:tc>
        <w:tc>
          <w:tcPr>
            <w:tcW w:w="390" w:type="pct"/>
            <w:vMerge w:val="continue"/>
            <w:tcBorders>
              <w:tl2br w:val="nil"/>
              <w:tr2bl w:val="nil"/>
            </w:tcBorders>
            <w:vAlign w:val="center"/>
          </w:tcPr>
          <w:p w14:paraId="13136931">
            <w:pPr>
              <w:spacing w:line="240" w:lineRule="auto"/>
              <w:ind w:left="-72" w:leftChars="-30" w:right="-72" w:rightChars="-30" w:firstLine="0" w:firstLineChars="0"/>
              <w:jc w:val="center"/>
              <w:rPr>
                <w:b/>
                <w:bCs/>
                <w:color w:val="auto"/>
                <w:sz w:val="21"/>
                <w:szCs w:val="21"/>
                <w:highlight w:val="none"/>
                <w:u w:val="single"/>
              </w:rPr>
            </w:pPr>
          </w:p>
        </w:tc>
        <w:tc>
          <w:tcPr>
            <w:tcW w:w="1207" w:type="pct"/>
            <w:gridSpan w:val="3"/>
            <w:tcBorders>
              <w:tl2br w:val="nil"/>
              <w:tr2bl w:val="nil"/>
            </w:tcBorders>
            <w:vAlign w:val="center"/>
          </w:tcPr>
          <w:p w14:paraId="6AB72629">
            <w:pPr>
              <w:spacing w:line="240" w:lineRule="auto"/>
              <w:ind w:left="-72" w:leftChars="-30" w:right="-72" w:rightChars="-30" w:firstLine="0" w:firstLineChars="0"/>
              <w:jc w:val="center"/>
              <w:rPr>
                <w:b/>
                <w:bCs/>
                <w:color w:val="auto"/>
                <w:sz w:val="21"/>
                <w:szCs w:val="21"/>
                <w:highlight w:val="none"/>
                <w:u w:val="single"/>
              </w:rPr>
            </w:pPr>
            <w:r>
              <w:rPr>
                <w:rFonts w:hint="eastAsia"/>
                <w:b/>
                <w:bCs/>
                <w:color w:val="auto"/>
                <w:sz w:val="21"/>
                <w:szCs w:val="21"/>
                <w:highlight w:val="none"/>
                <w:u w:val="single"/>
              </w:rPr>
              <w:t>2025</w:t>
            </w:r>
            <w:r>
              <w:rPr>
                <w:b/>
                <w:bCs/>
                <w:color w:val="auto"/>
                <w:sz w:val="21"/>
                <w:szCs w:val="21"/>
                <w:highlight w:val="none"/>
                <w:u w:val="single"/>
              </w:rPr>
              <w:t>年10月21日</w:t>
            </w:r>
          </w:p>
        </w:tc>
        <w:tc>
          <w:tcPr>
            <w:tcW w:w="387" w:type="pct"/>
            <w:vMerge w:val="continue"/>
            <w:tcBorders>
              <w:tl2br w:val="nil"/>
              <w:tr2bl w:val="nil"/>
            </w:tcBorders>
            <w:vAlign w:val="center"/>
          </w:tcPr>
          <w:p w14:paraId="0F3FD6ED">
            <w:pPr>
              <w:spacing w:line="240" w:lineRule="auto"/>
              <w:ind w:left="-72" w:leftChars="-30" w:right="-72" w:rightChars="-30" w:firstLine="0" w:firstLineChars="0"/>
              <w:jc w:val="center"/>
              <w:rPr>
                <w:b/>
                <w:bCs/>
                <w:color w:val="auto"/>
                <w:sz w:val="21"/>
                <w:szCs w:val="21"/>
                <w:highlight w:val="none"/>
                <w:u w:val="single"/>
              </w:rPr>
            </w:pPr>
          </w:p>
        </w:tc>
        <w:tc>
          <w:tcPr>
            <w:tcW w:w="263" w:type="pct"/>
            <w:vMerge w:val="continue"/>
            <w:tcBorders>
              <w:tl2br w:val="nil"/>
              <w:tr2bl w:val="nil"/>
            </w:tcBorders>
            <w:vAlign w:val="center"/>
          </w:tcPr>
          <w:p w14:paraId="1F250862">
            <w:pPr>
              <w:spacing w:line="240" w:lineRule="auto"/>
              <w:ind w:left="-72" w:leftChars="-30" w:right="-72" w:rightChars="-30" w:firstLine="0" w:firstLineChars="0"/>
              <w:jc w:val="center"/>
              <w:rPr>
                <w:b/>
                <w:bCs/>
                <w:color w:val="auto"/>
                <w:sz w:val="21"/>
                <w:szCs w:val="21"/>
                <w:highlight w:val="none"/>
                <w:u w:val="single"/>
              </w:rPr>
            </w:pPr>
          </w:p>
        </w:tc>
        <w:tc>
          <w:tcPr>
            <w:tcW w:w="265" w:type="pct"/>
            <w:vMerge w:val="continue"/>
            <w:tcBorders>
              <w:tl2br w:val="nil"/>
              <w:tr2bl w:val="nil"/>
            </w:tcBorders>
            <w:vAlign w:val="center"/>
          </w:tcPr>
          <w:p w14:paraId="6ABF599C">
            <w:pPr>
              <w:spacing w:line="240" w:lineRule="auto"/>
              <w:ind w:left="-72" w:leftChars="-30" w:right="-72" w:rightChars="-30" w:firstLine="0" w:firstLineChars="0"/>
              <w:jc w:val="center"/>
              <w:rPr>
                <w:b/>
                <w:bCs/>
                <w:color w:val="auto"/>
                <w:sz w:val="21"/>
                <w:szCs w:val="21"/>
                <w:highlight w:val="none"/>
                <w:u w:val="single"/>
              </w:rPr>
            </w:pPr>
          </w:p>
        </w:tc>
      </w:tr>
      <w:tr w14:paraId="1D1B85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5" w:type="pct"/>
            <w:vMerge w:val="continue"/>
            <w:tcBorders>
              <w:tl2br w:val="nil"/>
              <w:tr2bl w:val="nil"/>
            </w:tcBorders>
            <w:vAlign w:val="center"/>
          </w:tcPr>
          <w:p w14:paraId="59BC825D">
            <w:pPr>
              <w:spacing w:line="240" w:lineRule="auto"/>
              <w:ind w:left="-72" w:leftChars="-30" w:right="-72" w:rightChars="-30" w:firstLine="0" w:firstLineChars="0"/>
              <w:jc w:val="center"/>
              <w:rPr>
                <w:b/>
                <w:bCs/>
                <w:color w:val="auto"/>
                <w:sz w:val="21"/>
                <w:szCs w:val="21"/>
                <w:highlight w:val="none"/>
                <w:u w:val="single"/>
              </w:rPr>
            </w:pPr>
          </w:p>
        </w:tc>
        <w:tc>
          <w:tcPr>
            <w:tcW w:w="300" w:type="pct"/>
            <w:vMerge w:val="continue"/>
            <w:tcBorders>
              <w:tl2br w:val="nil"/>
              <w:tr2bl w:val="nil"/>
            </w:tcBorders>
            <w:vAlign w:val="center"/>
          </w:tcPr>
          <w:p w14:paraId="2FE21A54">
            <w:pPr>
              <w:spacing w:line="240" w:lineRule="auto"/>
              <w:ind w:left="-72" w:leftChars="-30" w:right="-72" w:rightChars="-30" w:firstLine="0" w:firstLineChars="0"/>
              <w:jc w:val="center"/>
              <w:rPr>
                <w:b/>
                <w:bCs/>
                <w:color w:val="auto"/>
                <w:sz w:val="21"/>
                <w:szCs w:val="21"/>
                <w:highlight w:val="none"/>
                <w:u w:val="single"/>
              </w:rPr>
            </w:pPr>
          </w:p>
        </w:tc>
        <w:tc>
          <w:tcPr>
            <w:tcW w:w="739" w:type="pct"/>
            <w:vMerge w:val="continue"/>
            <w:tcBorders>
              <w:tl2br w:val="nil"/>
              <w:tr2bl w:val="nil"/>
            </w:tcBorders>
            <w:vAlign w:val="center"/>
          </w:tcPr>
          <w:p w14:paraId="1018DB9D">
            <w:pPr>
              <w:spacing w:line="240" w:lineRule="auto"/>
              <w:ind w:left="-72" w:leftChars="-30" w:right="-72" w:rightChars="-30" w:firstLine="0" w:firstLineChars="0"/>
              <w:jc w:val="center"/>
              <w:rPr>
                <w:b/>
                <w:bCs/>
                <w:color w:val="auto"/>
                <w:sz w:val="21"/>
                <w:szCs w:val="21"/>
                <w:highlight w:val="none"/>
                <w:u w:val="single"/>
              </w:rPr>
            </w:pPr>
          </w:p>
        </w:tc>
        <w:tc>
          <w:tcPr>
            <w:tcW w:w="390" w:type="pct"/>
            <w:tcBorders>
              <w:tl2br w:val="nil"/>
              <w:tr2bl w:val="nil"/>
            </w:tcBorders>
            <w:vAlign w:val="center"/>
          </w:tcPr>
          <w:p w14:paraId="24ADDA5F">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第</w:t>
            </w:r>
            <w:r>
              <w:rPr>
                <w:rFonts w:hint="eastAsia"/>
                <w:b/>
                <w:bCs/>
                <w:color w:val="auto"/>
                <w:sz w:val="21"/>
                <w:szCs w:val="21"/>
                <w:highlight w:val="none"/>
                <w:u w:val="single"/>
              </w:rPr>
              <w:t>一</w:t>
            </w:r>
            <w:r>
              <w:rPr>
                <w:b/>
                <w:bCs/>
                <w:color w:val="auto"/>
                <w:sz w:val="21"/>
                <w:szCs w:val="21"/>
                <w:highlight w:val="none"/>
                <w:u w:val="single"/>
              </w:rPr>
              <w:t>次</w:t>
            </w:r>
          </w:p>
        </w:tc>
        <w:tc>
          <w:tcPr>
            <w:tcW w:w="389" w:type="pct"/>
            <w:tcBorders>
              <w:tl2br w:val="nil"/>
              <w:tr2bl w:val="nil"/>
            </w:tcBorders>
            <w:vAlign w:val="center"/>
          </w:tcPr>
          <w:p w14:paraId="3C9F3B2A">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第</w:t>
            </w:r>
            <w:r>
              <w:rPr>
                <w:rFonts w:hint="eastAsia"/>
                <w:b/>
                <w:bCs/>
                <w:color w:val="auto"/>
                <w:sz w:val="21"/>
                <w:szCs w:val="21"/>
                <w:highlight w:val="none"/>
                <w:u w:val="single"/>
              </w:rPr>
              <w:t>二</w:t>
            </w:r>
            <w:r>
              <w:rPr>
                <w:b/>
                <w:bCs/>
                <w:color w:val="auto"/>
                <w:sz w:val="21"/>
                <w:szCs w:val="21"/>
                <w:highlight w:val="none"/>
                <w:u w:val="single"/>
              </w:rPr>
              <w:t>次</w:t>
            </w:r>
          </w:p>
        </w:tc>
        <w:tc>
          <w:tcPr>
            <w:tcW w:w="391" w:type="pct"/>
            <w:tcBorders>
              <w:tl2br w:val="nil"/>
              <w:tr2bl w:val="nil"/>
            </w:tcBorders>
            <w:vAlign w:val="center"/>
          </w:tcPr>
          <w:p w14:paraId="43AD8D21">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第三次</w:t>
            </w:r>
          </w:p>
        </w:tc>
        <w:tc>
          <w:tcPr>
            <w:tcW w:w="390" w:type="pct"/>
            <w:vMerge w:val="continue"/>
            <w:tcBorders>
              <w:tl2br w:val="nil"/>
              <w:tr2bl w:val="nil"/>
            </w:tcBorders>
            <w:vAlign w:val="center"/>
          </w:tcPr>
          <w:p w14:paraId="740C00C7">
            <w:pPr>
              <w:spacing w:line="240" w:lineRule="auto"/>
              <w:ind w:left="-72" w:leftChars="-30" w:right="-72" w:rightChars="-30" w:firstLine="0" w:firstLineChars="0"/>
              <w:jc w:val="center"/>
              <w:rPr>
                <w:b/>
                <w:bCs/>
                <w:color w:val="auto"/>
                <w:sz w:val="21"/>
                <w:szCs w:val="21"/>
                <w:highlight w:val="none"/>
                <w:u w:val="single"/>
              </w:rPr>
            </w:pPr>
          </w:p>
        </w:tc>
        <w:tc>
          <w:tcPr>
            <w:tcW w:w="389" w:type="pct"/>
            <w:tcBorders>
              <w:tl2br w:val="nil"/>
              <w:tr2bl w:val="nil"/>
            </w:tcBorders>
            <w:vAlign w:val="center"/>
          </w:tcPr>
          <w:p w14:paraId="0B86D1AD">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第</w:t>
            </w:r>
            <w:r>
              <w:rPr>
                <w:rFonts w:hint="eastAsia"/>
                <w:b/>
                <w:bCs/>
                <w:color w:val="auto"/>
                <w:sz w:val="21"/>
                <w:szCs w:val="21"/>
                <w:highlight w:val="none"/>
                <w:u w:val="single"/>
              </w:rPr>
              <w:t>一</w:t>
            </w:r>
            <w:r>
              <w:rPr>
                <w:b/>
                <w:bCs/>
                <w:color w:val="auto"/>
                <w:sz w:val="21"/>
                <w:szCs w:val="21"/>
                <w:highlight w:val="none"/>
                <w:u w:val="single"/>
              </w:rPr>
              <w:t>次</w:t>
            </w:r>
          </w:p>
        </w:tc>
        <w:tc>
          <w:tcPr>
            <w:tcW w:w="390" w:type="pct"/>
            <w:tcBorders>
              <w:tl2br w:val="nil"/>
              <w:tr2bl w:val="nil"/>
            </w:tcBorders>
            <w:vAlign w:val="center"/>
          </w:tcPr>
          <w:p w14:paraId="4E26853B">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第</w:t>
            </w:r>
            <w:r>
              <w:rPr>
                <w:rFonts w:hint="eastAsia"/>
                <w:b/>
                <w:bCs/>
                <w:color w:val="auto"/>
                <w:sz w:val="21"/>
                <w:szCs w:val="21"/>
                <w:highlight w:val="none"/>
                <w:u w:val="single"/>
              </w:rPr>
              <w:t>二</w:t>
            </w:r>
            <w:r>
              <w:rPr>
                <w:b/>
                <w:bCs/>
                <w:color w:val="auto"/>
                <w:sz w:val="21"/>
                <w:szCs w:val="21"/>
                <w:highlight w:val="none"/>
                <w:u w:val="single"/>
              </w:rPr>
              <w:t>次</w:t>
            </w:r>
          </w:p>
        </w:tc>
        <w:tc>
          <w:tcPr>
            <w:tcW w:w="427" w:type="pct"/>
            <w:tcBorders>
              <w:tl2br w:val="nil"/>
              <w:tr2bl w:val="nil"/>
            </w:tcBorders>
            <w:vAlign w:val="center"/>
          </w:tcPr>
          <w:p w14:paraId="36D208CB">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第三次</w:t>
            </w:r>
          </w:p>
        </w:tc>
        <w:tc>
          <w:tcPr>
            <w:tcW w:w="387" w:type="pct"/>
            <w:vMerge w:val="continue"/>
            <w:tcBorders>
              <w:tl2br w:val="nil"/>
              <w:tr2bl w:val="nil"/>
            </w:tcBorders>
            <w:vAlign w:val="center"/>
          </w:tcPr>
          <w:p w14:paraId="32A81DDA">
            <w:pPr>
              <w:spacing w:line="240" w:lineRule="auto"/>
              <w:ind w:left="-72" w:leftChars="-30" w:right="-72" w:rightChars="-30" w:firstLine="0" w:firstLineChars="0"/>
              <w:jc w:val="center"/>
              <w:rPr>
                <w:b/>
                <w:bCs/>
                <w:color w:val="auto"/>
                <w:sz w:val="21"/>
                <w:szCs w:val="21"/>
                <w:highlight w:val="none"/>
                <w:u w:val="single"/>
              </w:rPr>
            </w:pPr>
          </w:p>
        </w:tc>
        <w:tc>
          <w:tcPr>
            <w:tcW w:w="263" w:type="pct"/>
            <w:vMerge w:val="continue"/>
            <w:tcBorders>
              <w:tl2br w:val="nil"/>
              <w:tr2bl w:val="nil"/>
            </w:tcBorders>
            <w:vAlign w:val="center"/>
          </w:tcPr>
          <w:p w14:paraId="768E0052">
            <w:pPr>
              <w:spacing w:line="240" w:lineRule="auto"/>
              <w:ind w:left="-72" w:leftChars="-30" w:right="-72" w:rightChars="-30" w:firstLine="0" w:firstLineChars="0"/>
              <w:jc w:val="center"/>
              <w:rPr>
                <w:b/>
                <w:bCs/>
                <w:color w:val="auto"/>
                <w:sz w:val="21"/>
                <w:szCs w:val="21"/>
                <w:highlight w:val="none"/>
                <w:u w:val="single"/>
              </w:rPr>
            </w:pPr>
          </w:p>
        </w:tc>
        <w:tc>
          <w:tcPr>
            <w:tcW w:w="265" w:type="pct"/>
            <w:vMerge w:val="continue"/>
            <w:tcBorders>
              <w:tl2br w:val="nil"/>
              <w:tr2bl w:val="nil"/>
            </w:tcBorders>
            <w:vAlign w:val="center"/>
          </w:tcPr>
          <w:p w14:paraId="40AF389C">
            <w:pPr>
              <w:spacing w:line="240" w:lineRule="auto"/>
              <w:ind w:left="-72" w:leftChars="-30" w:right="-72" w:rightChars="-30" w:firstLine="0" w:firstLineChars="0"/>
              <w:jc w:val="center"/>
              <w:rPr>
                <w:b/>
                <w:bCs/>
                <w:color w:val="auto"/>
                <w:sz w:val="21"/>
                <w:szCs w:val="21"/>
                <w:highlight w:val="none"/>
                <w:u w:val="single"/>
              </w:rPr>
            </w:pPr>
          </w:p>
        </w:tc>
      </w:tr>
      <w:tr w14:paraId="174FE0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5" w:type="pct"/>
            <w:vMerge w:val="restart"/>
            <w:tcBorders>
              <w:tl2br w:val="nil"/>
              <w:tr2bl w:val="nil"/>
            </w:tcBorders>
            <w:vAlign w:val="center"/>
          </w:tcPr>
          <w:p w14:paraId="43CB148A">
            <w:pPr>
              <w:spacing w:line="240" w:lineRule="auto"/>
              <w:ind w:left="-72" w:leftChars="-30" w:right="-72" w:rightChars="-30" w:firstLine="0" w:firstLineChars="0"/>
              <w:rPr>
                <w:bCs/>
                <w:color w:val="auto"/>
                <w:sz w:val="21"/>
                <w:szCs w:val="21"/>
                <w:highlight w:val="none"/>
                <w:u w:val="single"/>
              </w:rPr>
            </w:pPr>
            <w:r>
              <w:rPr>
                <w:bCs/>
                <w:color w:val="auto"/>
                <w:sz w:val="21"/>
                <w:szCs w:val="21"/>
                <w:highlight w:val="none"/>
                <w:u w:val="single"/>
              </w:rPr>
              <w:t>活性炭吸附装置</w:t>
            </w:r>
          </w:p>
        </w:tc>
        <w:tc>
          <w:tcPr>
            <w:tcW w:w="300" w:type="pct"/>
            <w:vMerge w:val="restart"/>
            <w:tcBorders>
              <w:tl2br w:val="nil"/>
              <w:tr2bl w:val="nil"/>
            </w:tcBorders>
            <w:vAlign w:val="center"/>
          </w:tcPr>
          <w:p w14:paraId="60DFD869">
            <w:pPr>
              <w:spacing w:line="240" w:lineRule="auto"/>
              <w:ind w:left="-72" w:leftChars="-30" w:right="-72" w:rightChars="-30" w:firstLine="0" w:firstLineChars="0"/>
              <w:rPr>
                <w:bCs/>
                <w:color w:val="auto"/>
                <w:sz w:val="21"/>
                <w:szCs w:val="21"/>
                <w:highlight w:val="none"/>
                <w:u w:val="single"/>
              </w:rPr>
            </w:pPr>
            <w:r>
              <w:rPr>
                <w:bCs/>
                <w:color w:val="auto"/>
                <w:sz w:val="21"/>
                <w:szCs w:val="21"/>
                <w:highlight w:val="none"/>
                <w:u w:val="single"/>
              </w:rPr>
              <w:t>浸漆车间和烘房混合有机尾气处理设施后排气筒</w:t>
            </w:r>
            <w:r>
              <w:rPr>
                <w:rFonts w:hint="eastAsia"/>
                <w:bCs/>
                <w:color w:val="auto"/>
                <w:sz w:val="21"/>
                <w:szCs w:val="21"/>
                <w:highlight w:val="none"/>
                <w:u w:val="single"/>
              </w:rPr>
              <w:t>(DA004)</w:t>
            </w:r>
          </w:p>
        </w:tc>
        <w:tc>
          <w:tcPr>
            <w:tcW w:w="739" w:type="pct"/>
            <w:tcBorders>
              <w:tl2br w:val="nil"/>
              <w:tr2bl w:val="nil"/>
            </w:tcBorders>
            <w:vAlign w:val="center"/>
          </w:tcPr>
          <w:p w14:paraId="067E0BAA">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烟气排气量（m</w:t>
            </w:r>
            <w:r>
              <w:rPr>
                <w:color w:val="auto"/>
                <w:sz w:val="21"/>
                <w:szCs w:val="21"/>
                <w:highlight w:val="none"/>
                <w:u w:val="single"/>
                <w:vertAlign w:val="superscript"/>
              </w:rPr>
              <w:t>3</w:t>
            </w:r>
            <w:r>
              <w:rPr>
                <w:color w:val="auto"/>
                <w:sz w:val="21"/>
                <w:szCs w:val="21"/>
                <w:highlight w:val="none"/>
                <w:u w:val="single"/>
              </w:rPr>
              <w:t>/h）</w:t>
            </w:r>
          </w:p>
        </w:tc>
        <w:tc>
          <w:tcPr>
            <w:tcW w:w="390" w:type="pct"/>
            <w:tcBorders>
              <w:tl2br w:val="nil"/>
              <w:tr2bl w:val="nil"/>
            </w:tcBorders>
            <w:vAlign w:val="center"/>
          </w:tcPr>
          <w:p w14:paraId="2C92323B">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8980</w:t>
            </w:r>
          </w:p>
        </w:tc>
        <w:tc>
          <w:tcPr>
            <w:tcW w:w="389" w:type="pct"/>
            <w:tcBorders>
              <w:tl2br w:val="nil"/>
              <w:tr2bl w:val="nil"/>
            </w:tcBorders>
            <w:vAlign w:val="center"/>
          </w:tcPr>
          <w:p w14:paraId="7F9DC11E">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8808</w:t>
            </w:r>
          </w:p>
        </w:tc>
        <w:tc>
          <w:tcPr>
            <w:tcW w:w="391" w:type="pct"/>
            <w:tcBorders>
              <w:tl2br w:val="nil"/>
              <w:tr2bl w:val="nil"/>
            </w:tcBorders>
            <w:vAlign w:val="center"/>
          </w:tcPr>
          <w:p w14:paraId="6206AB3C">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9076</w:t>
            </w:r>
          </w:p>
        </w:tc>
        <w:tc>
          <w:tcPr>
            <w:tcW w:w="390" w:type="pct"/>
            <w:tcBorders>
              <w:tl2br w:val="nil"/>
              <w:tr2bl w:val="nil"/>
            </w:tcBorders>
            <w:vAlign w:val="center"/>
          </w:tcPr>
          <w:p w14:paraId="34E40912">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8955</w:t>
            </w:r>
          </w:p>
        </w:tc>
        <w:tc>
          <w:tcPr>
            <w:tcW w:w="389" w:type="pct"/>
            <w:tcBorders>
              <w:tl2br w:val="nil"/>
              <w:tr2bl w:val="nil"/>
            </w:tcBorders>
            <w:vAlign w:val="center"/>
          </w:tcPr>
          <w:p w14:paraId="2B3CBD13">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7574</w:t>
            </w:r>
          </w:p>
        </w:tc>
        <w:tc>
          <w:tcPr>
            <w:tcW w:w="390" w:type="pct"/>
            <w:tcBorders>
              <w:tl2br w:val="nil"/>
              <w:tr2bl w:val="nil"/>
            </w:tcBorders>
            <w:vAlign w:val="center"/>
          </w:tcPr>
          <w:p w14:paraId="542E4AF5">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8282</w:t>
            </w:r>
          </w:p>
        </w:tc>
        <w:tc>
          <w:tcPr>
            <w:tcW w:w="427" w:type="pct"/>
            <w:tcBorders>
              <w:tl2br w:val="nil"/>
              <w:tr2bl w:val="nil"/>
            </w:tcBorders>
            <w:vAlign w:val="center"/>
          </w:tcPr>
          <w:p w14:paraId="0EFE76AB">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8379</w:t>
            </w:r>
          </w:p>
        </w:tc>
        <w:tc>
          <w:tcPr>
            <w:tcW w:w="387" w:type="pct"/>
            <w:tcBorders>
              <w:tl2br w:val="nil"/>
              <w:tr2bl w:val="nil"/>
            </w:tcBorders>
            <w:vAlign w:val="center"/>
          </w:tcPr>
          <w:p w14:paraId="531B338B">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8078</w:t>
            </w:r>
          </w:p>
        </w:tc>
        <w:tc>
          <w:tcPr>
            <w:tcW w:w="263" w:type="pct"/>
            <w:tcBorders>
              <w:tl2br w:val="nil"/>
              <w:tr2bl w:val="nil"/>
            </w:tcBorders>
            <w:vAlign w:val="center"/>
          </w:tcPr>
          <w:p w14:paraId="559548E4">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w:t>
            </w:r>
          </w:p>
        </w:tc>
        <w:tc>
          <w:tcPr>
            <w:tcW w:w="265" w:type="pct"/>
            <w:tcBorders>
              <w:tl2br w:val="nil"/>
              <w:tr2bl w:val="nil"/>
            </w:tcBorders>
            <w:vAlign w:val="center"/>
          </w:tcPr>
          <w:p w14:paraId="5B1A3429">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w:t>
            </w:r>
          </w:p>
        </w:tc>
      </w:tr>
      <w:tr w14:paraId="696269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5" w:type="pct"/>
            <w:vMerge w:val="continue"/>
            <w:tcBorders>
              <w:tl2br w:val="nil"/>
              <w:tr2bl w:val="nil"/>
            </w:tcBorders>
            <w:vAlign w:val="center"/>
          </w:tcPr>
          <w:p w14:paraId="6E723B33">
            <w:pPr>
              <w:spacing w:line="240" w:lineRule="auto"/>
              <w:ind w:left="-72" w:leftChars="-30" w:right="-72" w:rightChars="-30" w:firstLine="0" w:firstLineChars="0"/>
              <w:rPr>
                <w:bCs/>
                <w:color w:val="auto"/>
                <w:sz w:val="21"/>
                <w:szCs w:val="21"/>
                <w:highlight w:val="none"/>
                <w:u w:val="single"/>
              </w:rPr>
            </w:pPr>
          </w:p>
        </w:tc>
        <w:tc>
          <w:tcPr>
            <w:tcW w:w="300" w:type="pct"/>
            <w:vMerge w:val="continue"/>
            <w:tcBorders>
              <w:tl2br w:val="nil"/>
              <w:tr2bl w:val="nil"/>
            </w:tcBorders>
            <w:vAlign w:val="center"/>
          </w:tcPr>
          <w:p w14:paraId="2F560738">
            <w:pPr>
              <w:spacing w:line="240" w:lineRule="auto"/>
              <w:ind w:left="-72" w:leftChars="-30" w:right="-72" w:rightChars="-30" w:firstLine="0" w:firstLineChars="0"/>
              <w:rPr>
                <w:bCs/>
                <w:color w:val="auto"/>
                <w:sz w:val="21"/>
                <w:szCs w:val="21"/>
                <w:highlight w:val="none"/>
                <w:u w:val="single"/>
              </w:rPr>
            </w:pPr>
          </w:p>
        </w:tc>
        <w:tc>
          <w:tcPr>
            <w:tcW w:w="739" w:type="pct"/>
            <w:tcBorders>
              <w:tl2br w:val="nil"/>
              <w:tr2bl w:val="nil"/>
            </w:tcBorders>
            <w:vAlign w:val="center"/>
          </w:tcPr>
          <w:p w14:paraId="125FB435">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烟气流速(m/s)</w:t>
            </w:r>
          </w:p>
        </w:tc>
        <w:tc>
          <w:tcPr>
            <w:tcW w:w="390" w:type="pct"/>
            <w:tcBorders>
              <w:tl2br w:val="nil"/>
              <w:tr2bl w:val="nil"/>
            </w:tcBorders>
            <w:vAlign w:val="center"/>
          </w:tcPr>
          <w:p w14:paraId="7C9105F4">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9.9</w:t>
            </w:r>
          </w:p>
        </w:tc>
        <w:tc>
          <w:tcPr>
            <w:tcW w:w="389" w:type="pct"/>
            <w:tcBorders>
              <w:tl2br w:val="nil"/>
              <w:tr2bl w:val="nil"/>
            </w:tcBorders>
            <w:vAlign w:val="center"/>
          </w:tcPr>
          <w:p w14:paraId="629E6464">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9.7</w:t>
            </w:r>
          </w:p>
        </w:tc>
        <w:tc>
          <w:tcPr>
            <w:tcW w:w="391" w:type="pct"/>
            <w:tcBorders>
              <w:tl2br w:val="nil"/>
              <w:tr2bl w:val="nil"/>
            </w:tcBorders>
            <w:vAlign w:val="center"/>
          </w:tcPr>
          <w:p w14:paraId="717E28D1">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10.0</w:t>
            </w:r>
          </w:p>
        </w:tc>
        <w:tc>
          <w:tcPr>
            <w:tcW w:w="390" w:type="pct"/>
            <w:tcBorders>
              <w:tl2br w:val="nil"/>
              <w:tr2bl w:val="nil"/>
            </w:tcBorders>
            <w:vAlign w:val="center"/>
          </w:tcPr>
          <w:p w14:paraId="0FF0C7A0">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9.9</w:t>
            </w:r>
          </w:p>
        </w:tc>
        <w:tc>
          <w:tcPr>
            <w:tcW w:w="389" w:type="pct"/>
            <w:tcBorders>
              <w:tl2br w:val="nil"/>
              <w:tr2bl w:val="nil"/>
            </w:tcBorders>
            <w:vAlign w:val="center"/>
          </w:tcPr>
          <w:p w14:paraId="2326F59B">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8.5</w:t>
            </w:r>
          </w:p>
        </w:tc>
        <w:tc>
          <w:tcPr>
            <w:tcW w:w="390" w:type="pct"/>
            <w:tcBorders>
              <w:tl2br w:val="nil"/>
              <w:tr2bl w:val="nil"/>
            </w:tcBorders>
            <w:vAlign w:val="center"/>
          </w:tcPr>
          <w:p w14:paraId="28A902CB">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9.3</w:t>
            </w:r>
          </w:p>
        </w:tc>
        <w:tc>
          <w:tcPr>
            <w:tcW w:w="427" w:type="pct"/>
            <w:tcBorders>
              <w:tl2br w:val="nil"/>
              <w:tr2bl w:val="nil"/>
            </w:tcBorders>
            <w:vAlign w:val="center"/>
          </w:tcPr>
          <w:p w14:paraId="76DCE429">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9.4</w:t>
            </w:r>
          </w:p>
        </w:tc>
        <w:tc>
          <w:tcPr>
            <w:tcW w:w="387" w:type="pct"/>
            <w:tcBorders>
              <w:tl2br w:val="nil"/>
              <w:tr2bl w:val="nil"/>
            </w:tcBorders>
            <w:vAlign w:val="center"/>
          </w:tcPr>
          <w:p w14:paraId="1329DE80">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9.1</w:t>
            </w:r>
          </w:p>
        </w:tc>
        <w:tc>
          <w:tcPr>
            <w:tcW w:w="263" w:type="pct"/>
            <w:tcBorders>
              <w:tl2br w:val="nil"/>
              <w:tr2bl w:val="nil"/>
            </w:tcBorders>
            <w:vAlign w:val="center"/>
          </w:tcPr>
          <w:p w14:paraId="484993AA">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w:t>
            </w:r>
          </w:p>
        </w:tc>
        <w:tc>
          <w:tcPr>
            <w:tcW w:w="265" w:type="pct"/>
            <w:tcBorders>
              <w:tl2br w:val="nil"/>
              <w:tr2bl w:val="nil"/>
            </w:tcBorders>
            <w:vAlign w:val="center"/>
          </w:tcPr>
          <w:p w14:paraId="49B2BF51">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w:t>
            </w:r>
          </w:p>
        </w:tc>
      </w:tr>
      <w:tr w14:paraId="3E916E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5" w:type="pct"/>
            <w:vMerge w:val="continue"/>
            <w:tcBorders>
              <w:tl2br w:val="nil"/>
              <w:tr2bl w:val="nil"/>
            </w:tcBorders>
            <w:vAlign w:val="center"/>
          </w:tcPr>
          <w:p w14:paraId="7F67131C">
            <w:pPr>
              <w:spacing w:line="240" w:lineRule="auto"/>
              <w:ind w:left="-72" w:leftChars="-30" w:right="-72" w:rightChars="-30" w:firstLine="0" w:firstLineChars="0"/>
              <w:rPr>
                <w:bCs/>
                <w:color w:val="auto"/>
                <w:sz w:val="21"/>
                <w:szCs w:val="21"/>
                <w:highlight w:val="none"/>
                <w:u w:val="single"/>
              </w:rPr>
            </w:pPr>
          </w:p>
        </w:tc>
        <w:tc>
          <w:tcPr>
            <w:tcW w:w="300" w:type="pct"/>
            <w:vMerge w:val="continue"/>
            <w:tcBorders>
              <w:tl2br w:val="nil"/>
              <w:tr2bl w:val="nil"/>
            </w:tcBorders>
            <w:vAlign w:val="center"/>
          </w:tcPr>
          <w:p w14:paraId="3055255D">
            <w:pPr>
              <w:spacing w:line="240" w:lineRule="auto"/>
              <w:ind w:left="-72" w:leftChars="-30" w:right="-72" w:rightChars="-30" w:firstLine="0" w:firstLineChars="0"/>
              <w:rPr>
                <w:bCs/>
                <w:color w:val="auto"/>
                <w:sz w:val="21"/>
                <w:szCs w:val="21"/>
                <w:highlight w:val="none"/>
                <w:u w:val="single"/>
              </w:rPr>
            </w:pPr>
          </w:p>
        </w:tc>
        <w:tc>
          <w:tcPr>
            <w:tcW w:w="739" w:type="pct"/>
            <w:tcBorders>
              <w:tl2br w:val="nil"/>
              <w:tr2bl w:val="nil"/>
            </w:tcBorders>
            <w:vAlign w:val="center"/>
          </w:tcPr>
          <w:p w14:paraId="4D8734EE">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烟温（℃）</w:t>
            </w:r>
          </w:p>
        </w:tc>
        <w:tc>
          <w:tcPr>
            <w:tcW w:w="390" w:type="pct"/>
            <w:tcBorders>
              <w:tl2br w:val="nil"/>
              <w:tr2bl w:val="nil"/>
            </w:tcBorders>
            <w:vAlign w:val="center"/>
          </w:tcPr>
          <w:p w14:paraId="570667A0">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20.7</w:t>
            </w:r>
          </w:p>
        </w:tc>
        <w:tc>
          <w:tcPr>
            <w:tcW w:w="389" w:type="pct"/>
            <w:tcBorders>
              <w:tl2br w:val="nil"/>
              <w:tr2bl w:val="nil"/>
            </w:tcBorders>
            <w:vAlign w:val="center"/>
          </w:tcPr>
          <w:p w14:paraId="2BC244CF">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20.8</w:t>
            </w:r>
          </w:p>
        </w:tc>
        <w:tc>
          <w:tcPr>
            <w:tcW w:w="391" w:type="pct"/>
            <w:tcBorders>
              <w:tl2br w:val="nil"/>
              <w:tr2bl w:val="nil"/>
            </w:tcBorders>
            <w:vAlign w:val="center"/>
          </w:tcPr>
          <w:p w14:paraId="56D69150">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20.7</w:t>
            </w:r>
          </w:p>
        </w:tc>
        <w:tc>
          <w:tcPr>
            <w:tcW w:w="390" w:type="pct"/>
            <w:tcBorders>
              <w:tl2br w:val="nil"/>
              <w:tr2bl w:val="nil"/>
            </w:tcBorders>
            <w:vAlign w:val="center"/>
          </w:tcPr>
          <w:p w14:paraId="00919B49">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20.7</w:t>
            </w:r>
          </w:p>
        </w:tc>
        <w:tc>
          <w:tcPr>
            <w:tcW w:w="389" w:type="pct"/>
            <w:tcBorders>
              <w:tl2br w:val="nil"/>
              <w:tr2bl w:val="nil"/>
            </w:tcBorders>
            <w:vAlign w:val="center"/>
          </w:tcPr>
          <w:p w14:paraId="6CFEDE3D">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26.2</w:t>
            </w:r>
          </w:p>
        </w:tc>
        <w:tc>
          <w:tcPr>
            <w:tcW w:w="390" w:type="pct"/>
            <w:tcBorders>
              <w:tl2br w:val="nil"/>
              <w:tr2bl w:val="nil"/>
            </w:tcBorders>
            <w:vAlign w:val="center"/>
          </w:tcPr>
          <w:p w14:paraId="08A0B623">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26.0</w:t>
            </w:r>
          </w:p>
        </w:tc>
        <w:tc>
          <w:tcPr>
            <w:tcW w:w="427" w:type="pct"/>
            <w:tcBorders>
              <w:tl2br w:val="nil"/>
              <w:tr2bl w:val="nil"/>
            </w:tcBorders>
            <w:vAlign w:val="center"/>
          </w:tcPr>
          <w:p w14:paraId="187811FE">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25.9</w:t>
            </w:r>
          </w:p>
        </w:tc>
        <w:tc>
          <w:tcPr>
            <w:tcW w:w="387" w:type="pct"/>
            <w:tcBorders>
              <w:tl2br w:val="nil"/>
              <w:tr2bl w:val="nil"/>
            </w:tcBorders>
            <w:vAlign w:val="center"/>
          </w:tcPr>
          <w:p w14:paraId="5156F65E">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26</w:t>
            </w:r>
          </w:p>
        </w:tc>
        <w:tc>
          <w:tcPr>
            <w:tcW w:w="263" w:type="pct"/>
            <w:tcBorders>
              <w:tl2br w:val="nil"/>
              <w:tr2bl w:val="nil"/>
            </w:tcBorders>
            <w:vAlign w:val="center"/>
          </w:tcPr>
          <w:p w14:paraId="10365DBA">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w:t>
            </w:r>
          </w:p>
        </w:tc>
        <w:tc>
          <w:tcPr>
            <w:tcW w:w="265" w:type="pct"/>
            <w:tcBorders>
              <w:tl2br w:val="nil"/>
              <w:tr2bl w:val="nil"/>
            </w:tcBorders>
            <w:vAlign w:val="center"/>
          </w:tcPr>
          <w:p w14:paraId="10B6596D">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w:t>
            </w:r>
          </w:p>
        </w:tc>
      </w:tr>
      <w:tr w14:paraId="14ED6D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5" w:type="pct"/>
            <w:vMerge w:val="continue"/>
            <w:tcBorders>
              <w:tl2br w:val="nil"/>
              <w:tr2bl w:val="nil"/>
            </w:tcBorders>
            <w:vAlign w:val="center"/>
          </w:tcPr>
          <w:p w14:paraId="6C4B341F">
            <w:pPr>
              <w:spacing w:line="240" w:lineRule="auto"/>
              <w:ind w:left="-72" w:leftChars="-30" w:right="-72" w:rightChars="-30" w:firstLine="0" w:firstLineChars="0"/>
              <w:jc w:val="center"/>
              <w:rPr>
                <w:bCs/>
                <w:color w:val="auto"/>
                <w:sz w:val="21"/>
                <w:szCs w:val="21"/>
                <w:highlight w:val="none"/>
                <w:u w:val="single"/>
              </w:rPr>
            </w:pPr>
          </w:p>
        </w:tc>
        <w:tc>
          <w:tcPr>
            <w:tcW w:w="300" w:type="pct"/>
            <w:vMerge w:val="continue"/>
            <w:tcBorders>
              <w:tl2br w:val="nil"/>
              <w:tr2bl w:val="nil"/>
            </w:tcBorders>
            <w:vAlign w:val="center"/>
          </w:tcPr>
          <w:p w14:paraId="1C1B70BD">
            <w:pPr>
              <w:spacing w:line="240" w:lineRule="auto"/>
              <w:ind w:left="-72" w:leftChars="-30" w:right="-72" w:rightChars="-30" w:firstLine="0" w:firstLineChars="0"/>
              <w:rPr>
                <w:bCs/>
                <w:color w:val="auto"/>
                <w:sz w:val="21"/>
                <w:szCs w:val="21"/>
                <w:highlight w:val="none"/>
                <w:u w:val="single"/>
              </w:rPr>
            </w:pPr>
          </w:p>
        </w:tc>
        <w:tc>
          <w:tcPr>
            <w:tcW w:w="739" w:type="pct"/>
            <w:tcBorders>
              <w:tl2br w:val="nil"/>
              <w:tr2bl w:val="nil"/>
            </w:tcBorders>
            <w:vAlign w:val="center"/>
          </w:tcPr>
          <w:p w14:paraId="63C0D6A7">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苯（mg/m</w:t>
            </w:r>
            <w:r>
              <w:rPr>
                <w:color w:val="auto"/>
                <w:sz w:val="21"/>
                <w:szCs w:val="21"/>
                <w:highlight w:val="none"/>
                <w:u w:val="single"/>
                <w:vertAlign w:val="superscript"/>
              </w:rPr>
              <w:t>3</w:t>
            </w:r>
            <w:r>
              <w:rPr>
                <w:color w:val="auto"/>
                <w:sz w:val="21"/>
                <w:szCs w:val="21"/>
                <w:highlight w:val="none"/>
                <w:u w:val="single"/>
              </w:rPr>
              <w:t>）</w:t>
            </w:r>
          </w:p>
        </w:tc>
        <w:tc>
          <w:tcPr>
            <w:tcW w:w="390" w:type="pct"/>
            <w:tcBorders>
              <w:tl2br w:val="nil"/>
              <w:tr2bl w:val="nil"/>
            </w:tcBorders>
            <w:vAlign w:val="center"/>
          </w:tcPr>
          <w:p w14:paraId="77F7B642">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389" w:type="pct"/>
            <w:tcBorders>
              <w:tl2br w:val="nil"/>
              <w:tr2bl w:val="nil"/>
            </w:tcBorders>
            <w:vAlign w:val="center"/>
          </w:tcPr>
          <w:p w14:paraId="7517E9E6">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391" w:type="pct"/>
            <w:tcBorders>
              <w:tl2br w:val="nil"/>
              <w:tr2bl w:val="nil"/>
            </w:tcBorders>
            <w:vAlign w:val="center"/>
          </w:tcPr>
          <w:p w14:paraId="31751A5C">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390" w:type="pct"/>
            <w:tcBorders>
              <w:tl2br w:val="nil"/>
              <w:tr2bl w:val="nil"/>
            </w:tcBorders>
            <w:vAlign w:val="center"/>
          </w:tcPr>
          <w:p w14:paraId="7481145C">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389" w:type="pct"/>
            <w:tcBorders>
              <w:tl2br w:val="nil"/>
              <w:tr2bl w:val="nil"/>
            </w:tcBorders>
            <w:vAlign w:val="center"/>
          </w:tcPr>
          <w:p w14:paraId="16F6FE91">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390" w:type="pct"/>
            <w:tcBorders>
              <w:tl2br w:val="nil"/>
              <w:tr2bl w:val="nil"/>
            </w:tcBorders>
            <w:vAlign w:val="center"/>
          </w:tcPr>
          <w:p w14:paraId="1C90BEF2">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427" w:type="pct"/>
            <w:tcBorders>
              <w:tl2br w:val="nil"/>
              <w:tr2bl w:val="nil"/>
            </w:tcBorders>
            <w:vAlign w:val="center"/>
          </w:tcPr>
          <w:p w14:paraId="77F9FB37">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387" w:type="pct"/>
            <w:tcBorders>
              <w:tl2br w:val="nil"/>
              <w:tr2bl w:val="nil"/>
            </w:tcBorders>
            <w:vAlign w:val="center"/>
          </w:tcPr>
          <w:p w14:paraId="4C275AC0">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263" w:type="pct"/>
            <w:tcBorders>
              <w:tl2br w:val="nil"/>
              <w:tr2bl w:val="nil"/>
            </w:tcBorders>
            <w:vAlign w:val="center"/>
          </w:tcPr>
          <w:p w14:paraId="1CD155A3">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12</w:t>
            </w:r>
          </w:p>
        </w:tc>
        <w:tc>
          <w:tcPr>
            <w:tcW w:w="265" w:type="pct"/>
            <w:tcBorders>
              <w:tl2br w:val="nil"/>
              <w:tr2bl w:val="nil"/>
            </w:tcBorders>
            <w:vAlign w:val="center"/>
          </w:tcPr>
          <w:p w14:paraId="25CF188C">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1B1E44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5" w:type="pct"/>
            <w:vMerge w:val="continue"/>
            <w:tcBorders>
              <w:tl2br w:val="nil"/>
              <w:tr2bl w:val="nil"/>
            </w:tcBorders>
            <w:vAlign w:val="center"/>
          </w:tcPr>
          <w:p w14:paraId="738FB67F">
            <w:pPr>
              <w:spacing w:line="240" w:lineRule="auto"/>
              <w:ind w:left="-72" w:leftChars="-30" w:right="-72" w:rightChars="-30" w:firstLine="0" w:firstLineChars="0"/>
              <w:jc w:val="center"/>
              <w:rPr>
                <w:bCs/>
                <w:color w:val="auto"/>
                <w:sz w:val="21"/>
                <w:szCs w:val="21"/>
                <w:highlight w:val="none"/>
                <w:u w:val="single"/>
              </w:rPr>
            </w:pPr>
          </w:p>
        </w:tc>
        <w:tc>
          <w:tcPr>
            <w:tcW w:w="300" w:type="pct"/>
            <w:vMerge w:val="continue"/>
            <w:tcBorders>
              <w:tl2br w:val="nil"/>
              <w:tr2bl w:val="nil"/>
            </w:tcBorders>
            <w:vAlign w:val="center"/>
          </w:tcPr>
          <w:p w14:paraId="6B5919E6">
            <w:pPr>
              <w:spacing w:line="240" w:lineRule="auto"/>
              <w:ind w:left="-72" w:leftChars="-30" w:right="-72" w:rightChars="-30" w:firstLine="0" w:firstLineChars="0"/>
              <w:rPr>
                <w:bCs/>
                <w:color w:val="auto"/>
                <w:sz w:val="21"/>
                <w:szCs w:val="21"/>
                <w:highlight w:val="none"/>
                <w:u w:val="single"/>
              </w:rPr>
            </w:pPr>
          </w:p>
        </w:tc>
        <w:tc>
          <w:tcPr>
            <w:tcW w:w="739" w:type="pct"/>
            <w:tcBorders>
              <w:tl2br w:val="nil"/>
              <w:tr2bl w:val="nil"/>
            </w:tcBorders>
            <w:vAlign w:val="center"/>
          </w:tcPr>
          <w:p w14:paraId="54437ED2">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苯排放速率（kg/h）</w:t>
            </w:r>
          </w:p>
        </w:tc>
        <w:tc>
          <w:tcPr>
            <w:tcW w:w="390" w:type="pct"/>
            <w:tcBorders>
              <w:tl2br w:val="nil"/>
              <w:tr2bl w:val="nil"/>
            </w:tcBorders>
            <w:vAlign w:val="center"/>
          </w:tcPr>
          <w:p w14:paraId="3C651847">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389" w:type="pct"/>
            <w:tcBorders>
              <w:tl2br w:val="nil"/>
              <w:tr2bl w:val="nil"/>
            </w:tcBorders>
            <w:vAlign w:val="center"/>
          </w:tcPr>
          <w:p w14:paraId="0D613B68">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391" w:type="pct"/>
            <w:tcBorders>
              <w:tl2br w:val="nil"/>
              <w:tr2bl w:val="nil"/>
            </w:tcBorders>
            <w:vAlign w:val="center"/>
          </w:tcPr>
          <w:p w14:paraId="6630AF90">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390" w:type="pct"/>
            <w:tcBorders>
              <w:tl2br w:val="nil"/>
              <w:tr2bl w:val="nil"/>
            </w:tcBorders>
            <w:vAlign w:val="center"/>
          </w:tcPr>
          <w:p w14:paraId="74CC1CA6">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389" w:type="pct"/>
            <w:tcBorders>
              <w:tl2br w:val="nil"/>
              <w:tr2bl w:val="nil"/>
            </w:tcBorders>
            <w:vAlign w:val="center"/>
          </w:tcPr>
          <w:p w14:paraId="5573F760">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390" w:type="pct"/>
            <w:tcBorders>
              <w:tl2br w:val="nil"/>
              <w:tr2bl w:val="nil"/>
            </w:tcBorders>
            <w:vAlign w:val="center"/>
          </w:tcPr>
          <w:p w14:paraId="5CE60D71">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427" w:type="pct"/>
            <w:tcBorders>
              <w:tl2br w:val="nil"/>
              <w:tr2bl w:val="nil"/>
            </w:tcBorders>
            <w:vAlign w:val="center"/>
          </w:tcPr>
          <w:p w14:paraId="009E93A7">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387" w:type="pct"/>
            <w:tcBorders>
              <w:tl2br w:val="nil"/>
              <w:tr2bl w:val="nil"/>
            </w:tcBorders>
            <w:vAlign w:val="center"/>
          </w:tcPr>
          <w:p w14:paraId="5E931AD9">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263" w:type="pct"/>
            <w:tcBorders>
              <w:tl2br w:val="nil"/>
              <w:tr2bl w:val="nil"/>
            </w:tcBorders>
            <w:vAlign w:val="center"/>
          </w:tcPr>
          <w:p w14:paraId="4C79E4FA">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0.50</w:t>
            </w:r>
          </w:p>
        </w:tc>
        <w:tc>
          <w:tcPr>
            <w:tcW w:w="265" w:type="pct"/>
            <w:tcBorders>
              <w:tl2br w:val="nil"/>
              <w:tr2bl w:val="nil"/>
            </w:tcBorders>
            <w:vAlign w:val="center"/>
          </w:tcPr>
          <w:p w14:paraId="7B523092">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040838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5" w:type="pct"/>
            <w:vMerge w:val="continue"/>
            <w:tcBorders>
              <w:tl2br w:val="nil"/>
              <w:tr2bl w:val="nil"/>
            </w:tcBorders>
            <w:vAlign w:val="center"/>
          </w:tcPr>
          <w:p w14:paraId="7336DF41">
            <w:pPr>
              <w:spacing w:line="240" w:lineRule="auto"/>
              <w:ind w:left="-72" w:leftChars="-30" w:right="-72" w:rightChars="-30" w:firstLine="0" w:firstLineChars="0"/>
              <w:jc w:val="center"/>
              <w:rPr>
                <w:bCs/>
                <w:color w:val="auto"/>
                <w:sz w:val="21"/>
                <w:szCs w:val="21"/>
                <w:highlight w:val="none"/>
                <w:u w:val="single"/>
              </w:rPr>
            </w:pPr>
          </w:p>
        </w:tc>
        <w:tc>
          <w:tcPr>
            <w:tcW w:w="300" w:type="pct"/>
            <w:vMerge w:val="continue"/>
            <w:tcBorders>
              <w:tl2br w:val="nil"/>
              <w:tr2bl w:val="nil"/>
            </w:tcBorders>
            <w:vAlign w:val="center"/>
          </w:tcPr>
          <w:p w14:paraId="1B1FAB04">
            <w:pPr>
              <w:spacing w:line="240" w:lineRule="auto"/>
              <w:ind w:left="-72" w:leftChars="-30" w:right="-72" w:rightChars="-30" w:firstLine="0" w:firstLineChars="0"/>
              <w:rPr>
                <w:bCs/>
                <w:color w:val="auto"/>
                <w:sz w:val="21"/>
                <w:szCs w:val="21"/>
                <w:highlight w:val="none"/>
                <w:u w:val="single"/>
              </w:rPr>
            </w:pPr>
          </w:p>
        </w:tc>
        <w:tc>
          <w:tcPr>
            <w:tcW w:w="739" w:type="pct"/>
            <w:tcBorders>
              <w:tl2br w:val="nil"/>
              <w:tr2bl w:val="nil"/>
            </w:tcBorders>
            <w:vAlign w:val="center"/>
          </w:tcPr>
          <w:p w14:paraId="28F0693C">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甲苯（mg/m</w:t>
            </w:r>
            <w:r>
              <w:rPr>
                <w:color w:val="auto"/>
                <w:sz w:val="21"/>
                <w:szCs w:val="21"/>
                <w:highlight w:val="none"/>
                <w:u w:val="single"/>
                <w:vertAlign w:val="superscript"/>
              </w:rPr>
              <w:t>3</w:t>
            </w:r>
            <w:r>
              <w:rPr>
                <w:color w:val="auto"/>
                <w:sz w:val="21"/>
                <w:szCs w:val="21"/>
                <w:highlight w:val="none"/>
                <w:u w:val="single"/>
              </w:rPr>
              <w:t>）</w:t>
            </w:r>
          </w:p>
        </w:tc>
        <w:tc>
          <w:tcPr>
            <w:tcW w:w="390" w:type="pct"/>
            <w:tcBorders>
              <w:tl2br w:val="nil"/>
              <w:tr2bl w:val="nil"/>
            </w:tcBorders>
            <w:vAlign w:val="center"/>
          </w:tcPr>
          <w:p w14:paraId="2A01DFCA">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389" w:type="pct"/>
            <w:tcBorders>
              <w:tl2br w:val="nil"/>
              <w:tr2bl w:val="nil"/>
            </w:tcBorders>
            <w:vAlign w:val="center"/>
          </w:tcPr>
          <w:p w14:paraId="24F31CAE">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391" w:type="pct"/>
            <w:tcBorders>
              <w:tl2br w:val="nil"/>
              <w:tr2bl w:val="nil"/>
            </w:tcBorders>
            <w:vAlign w:val="center"/>
          </w:tcPr>
          <w:p w14:paraId="1D9FFFF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390" w:type="pct"/>
            <w:tcBorders>
              <w:tl2br w:val="nil"/>
              <w:tr2bl w:val="nil"/>
            </w:tcBorders>
            <w:vAlign w:val="center"/>
          </w:tcPr>
          <w:p w14:paraId="1E2AE4B9">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389" w:type="pct"/>
            <w:tcBorders>
              <w:tl2br w:val="nil"/>
              <w:tr2bl w:val="nil"/>
            </w:tcBorders>
            <w:vAlign w:val="center"/>
          </w:tcPr>
          <w:p w14:paraId="6E953FB5">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390" w:type="pct"/>
            <w:tcBorders>
              <w:tl2br w:val="nil"/>
              <w:tr2bl w:val="nil"/>
            </w:tcBorders>
            <w:vAlign w:val="center"/>
          </w:tcPr>
          <w:p w14:paraId="6EB9ECED">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427" w:type="pct"/>
            <w:tcBorders>
              <w:tl2br w:val="nil"/>
              <w:tr2bl w:val="nil"/>
            </w:tcBorders>
            <w:vAlign w:val="center"/>
          </w:tcPr>
          <w:p w14:paraId="6DC328C5">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387" w:type="pct"/>
            <w:tcBorders>
              <w:tl2br w:val="nil"/>
              <w:tr2bl w:val="nil"/>
            </w:tcBorders>
            <w:vAlign w:val="center"/>
          </w:tcPr>
          <w:p w14:paraId="73000453">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263" w:type="pct"/>
            <w:tcBorders>
              <w:tl2br w:val="nil"/>
              <w:tr2bl w:val="nil"/>
            </w:tcBorders>
            <w:vAlign w:val="center"/>
          </w:tcPr>
          <w:p w14:paraId="62B2E09B">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40</w:t>
            </w:r>
          </w:p>
        </w:tc>
        <w:tc>
          <w:tcPr>
            <w:tcW w:w="265" w:type="pct"/>
            <w:tcBorders>
              <w:tl2br w:val="nil"/>
              <w:tr2bl w:val="nil"/>
            </w:tcBorders>
            <w:vAlign w:val="center"/>
          </w:tcPr>
          <w:p w14:paraId="035F8F47">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1FC9DC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5" w:type="pct"/>
            <w:vMerge w:val="continue"/>
            <w:tcBorders>
              <w:tl2br w:val="nil"/>
              <w:tr2bl w:val="nil"/>
            </w:tcBorders>
            <w:vAlign w:val="center"/>
          </w:tcPr>
          <w:p w14:paraId="4A728921">
            <w:pPr>
              <w:spacing w:line="240" w:lineRule="auto"/>
              <w:ind w:left="-72" w:leftChars="-30" w:right="-72" w:rightChars="-30" w:firstLine="0" w:firstLineChars="0"/>
              <w:jc w:val="center"/>
              <w:rPr>
                <w:bCs/>
                <w:color w:val="auto"/>
                <w:sz w:val="21"/>
                <w:szCs w:val="21"/>
                <w:highlight w:val="none"/>
                <w:u w:val="single"/>
              </w:rPr>
            </w:pPr>
          </w:p>
        </w:tc>
        <w:tc>
          <w:tcPr>
            <w:tcW w:w="300" w:type="pct"/>
            <w:vMerge w:val="continue"/>
            <w:tcBorders>
              <w:tl2br w:val="nil"/>
              <w:tr2bl w:val="nil"/>
            </w:tcBorders>
            <w:vAlign w:val="center"/>
          </w:tcPr>
          <w:p w14:paraId="270399BF">
            <w:pPr>
              <w:spacing w:line="240" w:lineRule="auto"/>
              <w:ind w:left="-72" w:leftChars="-30" w:right="-72" w:rightChars="-30" w:firstLine="0" w:firstLineChars="0"/>
              <w:jc w:val="center"/>
              <w:rPr>
                <w:bCs/>
                <w:color w:val="auto"/>
                <w:sz w:val="21"/>
                <w:szCs w:val="21"/>
                <w:highlight w:val="none"/>
                <w:u w:val="single"/>
              </w:rPr>
            </w:pPr>
          </w:p>
        </w:tc>
        <w:tc>
          <w:tcPr>
            <w:tcW w:w="739" w:type="pct"/>
            <w:tcBorders>
              <w:tl2br w:val="nil"/>
              <w:tr2bl w:val="nil"/>
            </w:tcBorders>
            <w:vAlign w:val="center"/>
          </w:tcPr>
          <w:p w14:paraId="502DF74C">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甲苯排放速率（kg/h）</w:t>
            </w:r>
          </w:p>
        </w:tc>
        <w:tc>
          <w:tcPr>
            <w:tcW w:w="390" w:type="pct"/>
            <w:tcBorders>
              <w:tl2br w:val="nil"/>
              <w:tr2bl w:val="nil"/>
            </w:tcBorders>
            <w:vAlign w:val="center"/>
          </w:tcPr>
          <w:p w14:paraId="0E750052">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389" w:type="pct"/>
            <w:tcBorders>
              <w:tl2br w:val="nil"/>
              <w:tr2bl w:val="nil"/>
            </w:tcBorders>
            <w:vAlign w:val="center"/>
          </w:tcPr>
          <w:p w14:paraId="3999F7DF">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391" w:type="pct"/>
            <w:tcBorders>
              <w:tl2br w:val="nil"/>
              <w:tr2bl w:val="nil"/>
            </w:tcBorders>
            <w:vAlign w:val="center"/>
          </w:tcPr>
          <w:p w14:paraId="62C6F4AF">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390" w:type="pct"/>
            <w:tcBorders>
              <w:tl2br w:val="nil"/>
              <w:tr2bl w:val="nil"/>
            </w:tcBorders>
            <w:vAlign w:val="center"/>
          </w:tcPr>
          <w:p w14:paraId="05A5D32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389" w:type="pct"/>
            <w:tcBorders>
              <w:tl2br w:val="nil"/>
              <w:tr2bl w:val="nil"/>
            </w:tcBorders>
            <w:vAlign w:val="center"/>
          </w:tcPr>
          <w:p w14:paraId="45A1BF5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390" w:type="pct"/>
            <w:tcBorders>
              <w:tl2br w:val="nil"/>
              <w:tr2bl w:val="nil"/>
            </w:tcBorders>
            <w:vAlign w:val="center"/>
          </w:tcPr>
          <w:p w14:paraId="6935DCA5">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427" w:type="pct"/>
            <w:tcBorders>
              <w:tl2br w:val="nil"/>
              <w:tr2bl w:val="nil"/>
            </w:tcBorders>
            <w:vAlign w:val="center"/>
          </w:tcPr>
          <w:p w14:paraId="525E8BB1">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387" w:type="pct"/>
            <w:tcBorders>
              <w:tl2br w:val="nil"/>
              <w:tr2bl w:val="nil"/>
            </w:tcBorders>
            <w:vAlign w:val="center"/>
          </w:tcPr>
          <w:p w14:paraId="1021F8C5">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263" w:type="pct"/>
            <w:tcBorders>
              <w:tl2br w:val="nil"/>
              <w:tr2bl w:val="nil"/>
            </w:tcBorders>
            <w:vAlign w:val="center"/>
          </w:tcPr>
          <w:p w14:paraId="02514D86">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3.1</w:t>
            </w:r>
          </w:p>
        </w:tc>
        <w:tc>
          <w:tcPr>
            <w:tcW w:w="265" w:type="pct"/>
            <w:tcBorders>
              <w:tl2br w:val="nil"/>
              <w:tr2bl w:val="nil"/>
            </w:tcBorders>
            <w:vAlign w:val="center"/>
          </w:tcPr>
          <w:p w14:paraId="0417CAC0">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767760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5" w:type="pct"/>
            <w:vMerge w:val="continue"/>
            <w:tcBorders>
              <w:tl2br w:val="nil"/>
              <w:tr2bl w:val="nil"/>
            </w:tcBorders>
            <w:vAlign w:val="center"/>
          </w:tcPr>
          <w:p w14:paraId="1E22C648">
            <w:pPr>
              <w:spacing w:line="240" w:lineRule="auto"/>
              <w:ind w:left="-72" w:leftChars="-30" w:right="-72" w:rightChars="-30" w:firstLine="0" w:firstLineChars="0"/>
              <w:jc w:val="center"/>
              <w:rPr>
                <w:bCs/>
                <w:color w:val="auto"/>
                <w:sz w:val="21"/>
                <w:szCs w:val="21"/>
                <w:highlight w:val="none"/>
                <w:u w:val="single"/>
              </w:rPr>
            </w:pPr>
          </w:p>
        </w:tc>
        <w:tc>
          <w:tcPr>
            <w:tcW w:w="300" w:type="pct"/>
            <w:vMerge w:val="continue"/>
            <w:tcBorders>
              <w:tl2br w:val="nil"/>
              <w:tr2bl w:val="nil"/>
            </w:tcBorders>
            <w:vAlign w:val="center"/>
          </w:tcPr>
          <w:p w14:paraId="371D77A9">
            <w:pPr>
              <w:spacing w:line="240" w:lineRule="auto"/>
              <w:ind w:left="-72" w:leftChars="-30" w:right="-72" w:rightChars="-30" w:firstLine="0" w:firstLineChars="0"/>
              <w:jc w:val="center"/>
              <w:rPr>
                <w:bCs/>
                <w:color w:val="auto"/>
                <w:sz w:val="21"/>
                <w:szCs w:val="21"/>
                <w:highlight w:val="none"/>
                <w:u w:val="single"/>
              </w:rPr>
            </w:pPr>
          </w:p>
        </w:tc>
        <w:tc>
          <w:tcPr>
            <w:tcW w:w="739" w:type="pct"/>
            <w:tcBorders>
              <w:tl2br w:val="nil"/>
              <w:tr2bl w:val="nil"/>
            </w:tcBorders>
            <w:vAlign w:val="center"/>
          </w:tcPr>
          <w:p w14:paraId="008452C5">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二甲苯（mg/m</w:t>
            </w:r>
            <w:r>
              <w:rPr>
                <w:color w:val="auto"/>
                <w:sz w:val="21"/>
                <w:szCs w:val="21"/>
                <w:highlight w:val="none"/>
                <w:u w:val="single"/>
                <w:vertAlign w:val="superscript"/>
              </w:rPr>
              <w:t>3</w:t>
            </w:r>
            <w:r>
              <w:rPr>
                <w:color w:val="auto"/>
                <w:sz w:val="21"/>
                <w:szCs w:val="21"/>
                <w:highlight w:val="none"/>
                <w:u w:val="single"/>
              </w:rPr>
              <w:t>）</w:t>
            </w:r>
          </w:p>
        </w:tc>
        <w:tc>
          <w:tcPr>
            <w:tcW w:w="390" w:type="pct"/>
            <w:tcBorders>
              <w:tl2br w:val="nil"/>
              <w:tr2bl w:val="nil"/>
            </w:tcBorders>
            <w:vAlign w:val="center"/>
          </w:tcPr>
          <w:p w14:paraId="6F680C8E">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0.188</w:t>
            </w:r>
          </w:p>
        </w:tc>
        <w:tc>
          <w:tcPr>
            <w:tcW w:w="389" w:type="pct"/>
            <w:tcBorders>
              <w:tl2br w:val="nil"/>
              <w:tr2bl w:val="nil"/>
            </w:tcBorders>
            <w:vAlign w:val="center"/>
          </w:tcPr>
          <w:p w14:paraId="05B69E40">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0.157</w:t>
            </w:r>
          </w:p>
        </w:tc>
        <w:tc>
          <w:tcPr>
            <w:tcW w:w="391" w:type="pct"/>
            <w:tcBorders>
              <w:tl2br w:val="nil"/>
              <w:tr2bl w:val="nil"/>
            </w:tcBorders>
            <w:vAlign w:val="center"/>
          </w:tcPr>
          <w:p w14:paraId="49E1A33D">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0.231</w:t>
            </w:r>
          </w:p>
        </w:tc>
        <w:tc>
          <w:tcPr>
            <w:tcW w:w="390" w:type="pct"/>
            <w:tcBorders>
              <w:tl2br w:val="nil"/>
              <w:tr2bl w:val="nil"/>
            </w:tcBorders>
            <w:vAlign w:val="center"/>
          </w:tcPr>
          <w:p w14:paraId="70403885">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0.192</w:t>
            </w:r>
          </w:p>
        </w:tc>
        <w:tc>
          <w:tcPr>
            <w:tcW w:w="389" w:type="pct"/>
            <w:tcBorders>
              <w:tl2br w:val="nil"/>
              <w:tr2bl w:val="nil"/>
            </w:tcBorders>
            <w:vAlign w:val="center"/>
          </w:tcPr>
          <w:p w14:paraId="6AC52C97">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390" w:type="pct"/>
            <w:tcBorders>
              <w:tl2br w:val="nil"/>
              <w:tr2bl w:val="nil"/>
            </w:tcBorders>
            <w:vAlign w:val="center"/>
          </w:tcPr>
          <w:p w14:paraId="294C9AD0">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427" w:type="pct"/>
            <w:tcBorders>
              <w:tl2br w:val="nil"/>
              <w:tr2bl w:val="nil"/>
            </w:tcBorders>
            <w:vAlign w:val="center"/>
          </w:tcPr>
          <w:p w14:paraId="7ADBDE13">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387" w:type="pct"/>
            <w:tcBorders>
              <w:tl2br w:val="nil"/>
              <w:tr2bl w:val="nil"/>
            </w:tcBorders>
            <w:vAlign w:val="center"/>
          </w:tcPr>
          <w:p w14:paraId="5FE367CD">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263" w:type="pct"/>
            <w:tcBorders>
              <w:tl2br w:val="nil"/>
              <w:tr2bl w:val="nil"/>
            </w:tcBorders>
            <w:vAlign w:val="center"/>
          </w:tcPr>
          <w:p w14:paraId="321208B4">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70</w:t>
            </w:r>
          </w:p>
        </w:tc>
        <w:tc>
          <w:tcPr>
            <w:tcW w:w="265" w:type="pct"/>
            <w:tcBorders>
              <w:tl2br w:val="nil"/>
              <w:tr2bl w:val="nil"/>
            </w:tcBorders>
            <w:vAlign w:val="center"/>
          </w:tcPr>
          <w:p w14:paraId="78E4A413">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400947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5" w:type="pct"/>
            <w:vMerge w:val="continue"/>
            <w:tcBorders>
              <w:tl2br w:val="nil"/>
              <w:tr2bl w:val="nil"/>
            </w:tcBorders>
            <w:vAlign w:val="center"/>
          </w:tcPr>
          <w:p w14:paraId="5CAD4D0F">
            <w:pPr>
              <w:spacing w:line="240" w:lineRule="auto"/>
              <w:ind w:left="-72" w:leftChars="-30" w:right="-72" w:rightChars="-30" w:firstLine="0" w:firstLineChars="0"/>
              <w:jc w:val="center"/>
              <w:rPr>
                <w:bCs/>
                <w:color w:val="auto"/>
                <w:sz w:val="21"/>
                <w:szCs w:val="21"/>
                <w:highlight w:val="none"/>
                <w:u w:val="single"/>
              </w:rPr>
            </w:pPr>
          </w:p>
        </w:tc>
        <w:tc>
          <w:tcPr>
            <w:tcW w:w="300" w:type="pct"/>
            <w:vMerge w:val="continue"/>
            <w:tcBorders>
              <w:tl2br w:val="nil"/>
              <w:tr2bl w:val="nil"/>
            </w:tcBorders>
            <w:vAlign w:val="center"/>
          </w:tcPr>
          <w:p w14:paraId="7F720D0A">
            <w:pPr>
              <w:spacing w:line="240" w:lineRule="auto"/>
              <w:ind w:left="-72" w:leftChars="-30" w:right="-72" w:rightChars="-30" w:firstLine="0" w:firstLineChars="0"/>
              <w:jc w:val="center"/>
              <w:rPr>
                <w:bCs/>
                <w:color w:val="auto"/>
                <w:sz w:val="21"/>
                <w:szCs w:val="21"/>
                <w:highlight w:val="none"/>
                <w:u w:val="single"/>
              </w:rPr>
            </w:pPr>
          </w:p>
        </w:tc>
        <w:tc>
          <w:tcPr>
            <w:tcW w:w="739" w:type="pct"/>
            <w:tcBorders>
              <w:tl2br w:val="nil"/>
              <w:tr2bl w:val="nil"/>
            </w:tcBorders>
            <w:vAlign w:val="center"/>
          </w:tcPr>
          <w:p w14:paraId="556B3B9B">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二甲苯排放速率（kg/h）</w:t>
            </w:r>
          </w:p>
        </w:tc>
        <w:tc>
          <w:tcPr>
            <w:tcW w:w="390" w:type="pct"/>
            <w:tcBorders>
              <w:tl2br w:val="nil"/>
              <w:tr2bl w:val="nil"/>
            </w:tcBorders>
            <w:vAlign w:val="center"/>
          </w:tcPr>
          <w:p w14:paraId="0DDA96A2">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0.0017</w:t>
            </w:r>
          </w:p>
        </w:tc>
        <w:tc>
          <w:tcPr>
            <w:tcW w:w="389" w:type="pct"/>
            <w:tcBorders>
              <w:tl2br w:val="nil"/>
              <w:tr2bl w:val="nil"/>
            </w:tcBorders>
            <w:vAlign w:val="center"/>
          </w:tcPr>
          <w:p w14:paraId="15D178DB">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0.0014</w:t>
            </w:r>
          </w:p>
        </w:tc>
        <w:tc>
          <w:tcPr>
            <w:tcW w:w="391" w:type="pct"/>
            <w:tcBorders>
              <w:tl2br w:val="nil"/>
              <w:tr2bl w:val="nil"/>
            </w:tcBorders>
            <w:vAlign w:val="center"/>
          </w:tcPr>
          <w:p w14:paraId="20161F49">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0.0021</w:t>
            </w:r>
          </w:p>
        </w:tc>
        <w:tc>
          <w:tcPr>
            <w:tcW w:w="390" w:type="pct"/>
            <w:tcBorders>
              <w:tl2br w:val="nil"/>
              <w:tr2bl w:val="nil"/>
            </w:tcBorders>
            <w:vAlign w:val="center"/>
          </w:tcPr>
          <w:p w14:paraId="0BBAF011">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0.0017</w:t>
            </w:r>
          </w:p>
        </w:tc>
        <w:tc>
          <w:tcPr>
            <w:tcW w:w="389" w:type="pct"/>
            <w:tcBorders>
              <w:tl2br w:val="nil"/>
              <w:tr2bl w:val="nil"/>
            </w:tcBorders>
            <w:vAlign w:val="center"/>
          </w:tcPr>
          <w:p w14:paraId="1D9866AA">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390" w:type="pct"/>
            <w:tcBorders>
              <w:tl2br w:val="nil"/>
              <w:tr2bl w:val="nil"/>
            </w:tcBorders>
            <w:vAlign w:val="center"/>
          </w:tcPr>
          <w:p w14:paraId="7AA73ADB">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427" w:type="pct"/>
            <w:tcBorders>
              <w:tl2br w:val="nil"/>
              <w:tr2bl w:val="nil"/>
            </w:tcBorders>
            <w:vAlign w:val="center"/>
          </w:tcPr>
          <w:p w14:paraId="7C89DF1D">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387" w:type="pct"/>
            <w:tcBorders>
              <w:tl2br w:val="nil"/>
              <w:tr2bl w:val="nil"/>
            </w:tcBorders>
            <w:vAlign w:val="center"/>
          </w:tcPr>
          <w:p w14:paraId="5041499B">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263" w:type="pct"/>
            <w:tcBorders>
              <w:tl2br w:val="nil"/>
              <w:tr2bl w:val="nil"/>
            </w:tcBorders>
            <w:vAlign w:val="center"/>
          </w:tcPr>
          <w:p w14:paraId="73B192B3">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1.0</w:t>
            </w:r>
          </w:p>
        </w:tc>
        <w:tc>
          <w:tcPr>
            <w:tcW w:w="265" w:type="pct"/>
            <w:tcBorders>
              <w:tl2br w:val="nil"/>
              <w:tr2bl w:val="nil"/>
            </w:tcBorders>
            <w:vAlign w:val="center"/>
          </w:tcPr>
          <w:p w14:paraId="7E55E398">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207982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5" w:type="pct"/>
            <w:vMerge w:val="continue"/>
            <w:tcBorders>
              <w:tl2br w:val="nil"/>
              <w:tr2bl w:val="nil"/>
            </w:tcBorders>
            <w:vAlign w:val="center"/>
          </w:tcPr>
          <w:p w14:paraId="3EF9F7FB">
            <w:pPr>
              <w:spacing w:line="240" w:lineRule="auto"/>
              <w:ind w:left="-72" w:leftChars="-30" w:right="-72" w:rightChars="-30" w:firstLine="0" w:firstLineChars="0"/>
              <w:jc w:val="center"/>
              <w:rPr>
                <w:bCs/>
                <w:color w:val="auto"/>
                <w:sz w:val="21"/>
                <w:szCs w:val="21"/>
                <w:highlight w:val="none"/>
                <w:u w:val="single"/>
              </w:rPr>
            </w:pPr>
          </w:p>
        </w:tc>
        <w:tc>
          <w:tcPr>
            <w:tcW w:w="300" w:type="pct"/>
            <w:vMerge w:val="continue"/>
            <w:tcBorders>
              <w:tl2br w:val="nil"/>
              <w:tr2bl w:val="nil"/>
            </w:tcBorders>
            <w:vAlign w:val="center"/>
          </w:tcPr>
          <w:p w14:paraId="16AB26DC">
            <w:pPr>
              <w:spacing w:line="240" w:lineRule="auto"/>
              <w:ind w:left="-72" w:leftChars="-30" w:right="-72" w:rightChars="-30" w:firstLine="0" w:firstLineChars="0"/>
              <w:jc w:val="center"/>
              <w:rPr>
                <w:bCs/>
                <w:color w:val="auto"/>
                <w:sz w:val="21"/>
                <w:szCs w:val="21"/>
                <w:highlight w:val="none"/>
                <w:u w:val="single"/>
              </w:rPr>
            </w:pPr>
          </w:p>
        </w:tc>
        <w:tc>
          <w:tcPr>
            <w:tcW w:w="739" w:type="pct"/>
            <w:tcBorders>
              <w:tl2br w:val="nil"/>
              <w:tr2bl w:val="nil"/>
            </w:tcBorders>
            <w:vAlign w:val="center"/>
          </w:tcPr>
          <w:p w14:paraId="3EFE951F">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挥发性有机物</w:t>
            </w:r>
            <w:r>
              <w:rPr>
                <w:color w:val="auto"/>
                <w:sz w:val="21"/>
                <w:szCs w:val="21"/>
                <w:highlight w:val="none"/>
                <w:u w:val="single"/>
              </w:rPr>
              <w:t>（mg/m</w:t>
            </w:r>
            <w:r>
              <w:rPr>
                <w:color w:val="auto"/>
                <w:sz w:val="21"/>
                <w:szCs w:val="21"/>
                <w:highlight w:val="none"/>
                <w:u w:val="single"/>
                <w:vertAlign w:val="superscript"/>
              </w:rPr>
              <w:t>3</w:t>
            </w:r>
            <w:r>
              <w:rPr>
                <w:color w:val="auto"/>
                <w:sz w:val="21"/>
                <w:szCs w:val="21"/>
                <w:highlight w:val="none"/>
                <w:u w:val="single"/>
              </w:rPr>
              <w:t>）</w:t>
            </w:r>
          </w:p>
        </w:tc>
        <w:tc>
          <w:tcPr>
            <w:tcW w:w="390" w:type="pct"/>
            <w:tcBorders>
              <w:tl2br w:val="nil"/>
              <w:tr2bl w:val="nil"/>
            </w:tcBorders>
            <w:vAlign w:val="center"/>
          </w:tcPr>
          <w:p w14:paraId="47AB9FE0">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2.06</w:t>
            </w:r>
          </w:p>
        </w:tc>
        <w:tc>
          <w:tcPr>
            <w:tcW w:w="389" w:type="pct"/>
            <w:tcBorders>
              <w:tl2br w:val="nil"/>
              <w:tr2bl w:val="nil"/>
            </w:tcBorders>
            <w:vAlign w:val="center"/>
          </w:tcPr>
          <w:p w14:paraId="1E213782">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1.98</w:t>
            </w:r>
          </w:p>
        </w:tc>
        <w:tc>
          <w:tcPr>
            <w:tcW w:w="391" w:type="pct"/>
            <w:tcBorders>
              <w:tl2br w:val="nil"/>
              <w:tr2bl w:val="nil"/>
            </w:tcBorders>
            <w:vAlign w:val="center"/>
          </w:tcPr>
          <w:p w14:paraId="7B5B359D">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1.79</w:t>
            </w:r>
          </w:p>
        </w:tc>
        <w:tc>
          <w:tcPr>
            <w:tcW w:w="390" w:type="pct"/>
            <w:tcBorders>
              <w:tl2br w:val="nil"/>
              <w:tr2bl w:val="nil"/>
            </w:tcBorders>
            <w:vAlign w:val="center"/>
          </w:tcPr>
          <w:p w14:paraId="7524BB7F">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1.94</w:t>
            </w:r>
          </w:p>
        </w:tc>
        <w:tc>
          <w:tcPr>
            <w:tcW w:w="389" w:type="pct"/>
            <w:tcBorders>
              <w:tl2br w:val="nil"/>
              <w:tr2bl w:val="nil"/>
            </w:tcBorders>
            <w:vAlign w:val="center"/>
          </w:tcPr>
          <w:p w14:paraId="1D39F3E5">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2.16</w:t>
            </w:r>
          </w:p>
        </w:tc>
        <w:tc>
          <w:tcPr>
            <w:tcW w:w="390" w:type="pct"/>
            <w:tcBorders>
              <w:tl2br w:val="nil"/>
              <w:tr2bl w:val="nil"/>
            </w:tcBorders>
            <w:vAlign w:val="center"/>
          </w:tcPr>
          <w:p w14:paraId="534E5C4D">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2.21</w:t>
            </w:r>
          </w:p>
        </w:tc>
        <w:tc>
          <w:tcPr>
            <w:tcW w:w="427" w:type="pct"/>
            <w:tcBorders>
              <w:tl2br w:val="nil"/>
              <w:tr2bl w:val="nil"/>
            </w:tcBorders>
            <w:vAlign w:val="center"/>
          </w:tcPr>
          <w:p w14:paraId="0037D416">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2.23</w:t>
            </w:r>
          </w:p>
        </w:tc>
        <w:tc>
          <w:tcPr>
            <w:tcW w:w="387" w:type="pct"/>
            <w:tcBorders>
              <w:tl2br w:val="nil"/>
              <w:tr2bl w:val="nil"/>
            </w:tcBorders>
            <w:vAlign w:val="center"/>
          </w:tcPr>
          <w:p w14:paraId="78D008DC">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2.2</w:t>
            </w:r>
          </w:p>
        </w:tc>
        <w:tc>
          <w:tcPr>
            <w:tcW w:w="263" w:type="pct"/>
            <w:tcBorders>
              <w:tl2br w:val="nil"/>
              <w:tr2bl w:val="nil"/>
            </w:tcBorders>
            <w:vAlign w:val="center"/>
          </w:tcPr>
          <w:p w14:paraId="5FF0DAF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120</w:t>
            </w:r>
          </w:p>
        </w:tc>
        <w:tc>
          <w:tcPr>
            <w:tcW w:w="265" w:type="pct"/>
            <w:tcBorders>
              <w:tl2br w:val="nil"/>
              <w:tr2bl w:val="nil"/>
            </w:tcBorders>
            <w:vAlign w:val="center"/>
          </w:tcPr>
          <w:p w14:paraId="360CB49C">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38CB4C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5" w:type="pct"/>
            <w:vMerge w:val="continue"/>
            <w:tcBorders>
              <w:tl2br w:val="nil"/>
              <w:tr2bl w:val="nil"/>
            </w:tcBorders>
            <w:vAlign w:val="center"/>
          </w:tcPr>
          <w:p w14:paraId="7098693D">
            <w:pPr>
              <w:spacing w:line="240" w:lineRule="auto"/>
              <w:ind w:left="-72" w:leftChars="-30" w:right="-72" w:rightChars="-30" w:firstLine="0" w:firstLineChars="0"/>
              <w:jc w:val="center"/>
              <w:rPr>
                <w:bCs/>
                <w:color w:val="auto"/>
                <w:sz w:val="21"/>
                <w:szCs w:val="21"/>
                <w:highlight w:val="none"/>
                <w:u w:val="single"/>
              </w:rPr>
            </w:pPr>
          </w:p>
        </w:tc>
        <w:tc>
          <w:tcPr>
            <w:tcW w:w="300" w:type="pct"/>
            <w:vMerge w:val="continue"/>
            <w:tcBorders>
              <w:tl2br w:val="nil"/>
              <w:tr2bl w:val="nil"/>
            </w:tcBorders>
            <w:vAlign w:val="center"/>
          </w:tcPr>
          <w:p w14:paraId="220A434C">
            <w:pPr>
              <w:spacing w:line="240" w:lineRule="auto"/>
              <w:ind w:left="-72" w:leftChars="-30" w:right="-72" w:rightChars="-30" w:firstLine="0" w:firstLineChars="0"/>
              <w:jc w:val="center"/>
              <w:rPr>
                <w:bCs/>
                <w:color w:val="auto"/>
                <w:sz w:val="21"/>
                <w:szCs w:val="21"/>
                <w:highlight w:val="none"/>
                <w:u w:val="single"/>
              </w:rPr>
            </w:pPr>
          </w:p>
        </w:tc>
        <w:tc>
          <w:tcPr>
            <w:tcW w:w="739" w:type="pct"/>
            <w:tcBorders>
              <w:tl2br w:val="nil"/>
              <w:tr2bl w:val="nil"/>
            </w:tcBorders>
            <w:vAlign w:val="center"/>
          </w:tcPr>
          <w:p w14:paraId="7EC4711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挥发性有机物</w:t>
            </w:r>
            <w:r>
              <w:rPr>
                <w:color w:val="auto"/>
                <w:sz w:val="21"/>
                <w:szCs w:val="21"/>
                <w:highlight w:val="none"/>
                <w:u w:val="single"/>
              </w:rPr>
              <w:t>排放速率（kg/h）</w:t>
            </w:r>
          </w:p>
        </w:tc>
        <w:tc>
          <w:tcPr>
            <w:tcW w:w="390" w:type="pct"/>
            <w:tcBorders>
              <w:tl2br w:val="nil"/>
              <w:tr2bl w:val="nil"/>
            </w:tcBorders>
            <w:vAlign w:val="center"/>
          </w:tcPr>
          <w:p w14:paraId="51330E7E">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0.018</w:t>
            </w:r>
          </w:p>
        </w:tc>
        <w:tc>
          <w:tcPr>
            <w:tcW w:w="389" w:type="pct"/>
            <w:tcBorders>
              <w:tl2br w:val="nil"/>
              <w:tr2bl w:val="nil"/>
            </w:tcBorders>
            <w:vAlign w:val="center"/>
          </w:tcPr>
          <w:p w14:paraId="2EBFC5ED">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0.017</w:t>
            </w:r>
          </w:p>
        </w:tc>
        <w:tc>
          <w:tcPr>
            <w:tcW w:w="391" w:type="pct"/>
            <w:tcBorders>
              <w:tl2br w:val="nil"/>
              <w:tr2bl w:val="nil"/>
            </w:tcBorders>
            <w:vAlign w:val="center"/>
          </w:tcPr>
          <w:p w14:paraId="0E18D9E3">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0.016</w:t>
            </w:r>
          </w:p>
        </w:tc>
        <w:tc>
          <w:tcPr>
            <w:tcW w:w="390" w:type="pct"/>
            <w:tcBorders>
              <w:tl2br w:val="nil"/>
              <w:tr2bl w:val="nil"/>
            </w:tcBorders>
            <w:vAlign w:val="center"/>
          </w:tcPr>
          <w:p w14:paraId="6A6B8333">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0.017</w:t>
            </w:r>
          </w:p>
        </w:tc>
        <w:tc>
          <w:tcPr>
            <w:tcW w:w="389" w:type="pct"/>
            <w:tcBorders>
              <w:tl2br w:val="nil"/>
              <w:tr2bl w:val="nil"/>
            </w:tcBorders>
            <w:vAlign w:val="center"/>
          </w:tcPr>
          <w:p w14:paraId="39951C09">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0.016</w:t>
            </w:r>
          </w:p>
        </w:tc>
        <w:tc>
          <w:tcPr>
            <w:tcW w:w="390" w:type="pct"/>
            <w:tcBorders>
              <w:tl2br w:val="nil"/>
              <w:tr2bl w:val="nil"/>
            </w:tcBorders>
            <w:vAlign w:val="center"/>
          </w:tcPr>
          <w:p w14:paraId="28615D50">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0.018</w:t>
            </w:r>
          </w:p>
        </w:tc>
        <w:tc>
          <w:tcPr>
            <w:tcW w:w="427" w:type="pct"/>
            <w:tcBorders>
              <w:tl2br w:val="nil"/>
              <w:tr2bl w:val="nil"/>
            </w:tcBorders>
            <w:vAlign w:val="center"/>
          </w:tcPr>
          <w:p w14:paraId="3A4589F3">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0.019</w:t>
            </w:r>
          </w:p>
        </w:tc>
        <w:tc>
          <w:tcPr>
            <w:tcW w:w="387" w:type="pct"/>
            <w:tcBorders>
              <w:tl2br w:val="nil"/>
              <w:tr2bl w:val="nil"/>
            </w:tcBorders>
            <w:vAlign w:val="center"/>
          </w:tcPr>
          <w:p w14:paraId="18C9F87C">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0.018</w:t>
            </w:r>
          </w:p>
        </w:tc>
        <w:tc>
          <w:tcPr>
            <w:tcW w:w="263" w:type="pct"/>
            <w:tcBorders>
              <w:tl2br w:val="nil"/>
              <w:tr2bl w:val="nil"/>
            </w:tcBorders>
            <w:vAlign w:val="center"/>
          </w:tcPr>
          <w:p w14:paraId="174E7249">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10</w:t>
            </w:r>
          </w:p>
        </w:tc>
        <w:tc>
          <w:tcPr>
            <w:tcW w:w="265" w:type="pct"/>
            <w:tcBorders>
              <w:tl2br w:val="nil"/>
              <w:tr2bl w:val="nil"/>
            </w:tcBorders>
            <w:vAlign w:val="center"/>
          </w:tcPr>
          <w:p w14:paraId="378307B4">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bl>
    <w:p w14:paraId="6A360E45">
      <w:pPr>
        <w:pStyle w:val="91"/>
        <w:spacing w:after="0"/>
        <w:ind w:left="0" w:leftChars="0" w:firstLine="0" w:firstLineChars="0"/>
        <w:jc w:val="left"/>
        <w:rPr>
          <w:rFonts w:ascii="Times New Roman" w:hAnsi="Times New Roman" w:cs="Times New Roman"/>
          <w:b/>
          <w:bCs/>
          <w:color w:val="auto"/>
          <w:highlight w:val="none"/>
          <w:u w:val="single"/>
        </w:rPr>
      </w:pPr>
      <w:r>
        <w:rPr>
          <w:rFonts w:hint="eastAsia" w:ascii="Times New Roman" w:hAnsi="Times New Roman" w:cs="Times New Roman"/>
          <w:b/>
          <w:bCs/>
          <w:color w:val="auto"/>
          <w:highlight w:val="none"/>
          <w:u w:val="single"/>
        </w:rPr>
        <w:t>注：ND为未检出。</w:t>
      </w:r>
    </w:p>
    <w:p w14:paraId="36CE688D">
      <w:pPr>
        <w:pStyle w:val="38"/>
        <w:spacing w:after="0" w:line="240" w:lineRule="auto"/>
        <w:ind w:firstLine="0" w:firstLineChars="0"/>
        <w:jc w:val="center"/>
        <w:rPr>
          <w:b/>
          <w:color w:val="auto"/>
          <w:sz w:val="21"/>
          <w:szCs w:val="21"/>
          <w:highlight w:val="none"/>
          <w:u w:val="single"/>
        </w:rPr>
      </w:pPr>
      <w:r>
        <w:rPr>
          <w:b/>
          <w:color w:val="auto"/>
          <w:sz w:val="21"/>
          <w:szCs w:val="21"/>
          <w:highlight w:val="none"/>
          <w:u w:val="single"/>
        </w:rPr>
        <w:t>表2.1-</w:t>
      </w:r>
      <w:r>
        <w:rPr>
          <w:rFonts w:hint="eastAsia"/>
          <w:b/>
          <w:color w:val="auto"/>
          <w:sz w:val="21"/>
          <w:szCs w:val="21"/>
          <w:highlight w:val="none"/>
          <w:u w:val="single"/>
        </w:rPr>
        <w:t>10</w:t>
      </w:r>
      <w:r>
        <w:rPr>
          <w:b/>
          <w:color w:val="auto"/>
          <w:sz w:val="21"/>
          <w:szCs w:val="21"/>
          <w:highlight w:val="none"/>
          <w:u w:val="single"/>
        </w:rPr>
        <w:t xml:space="preserve">  化学清洗间尾气排放监测结果</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974"/>
        <w:gridCol w:w="2069"/>
        <w:gridCol w:w="1092"/>
        <w:gridCol w:w="1089"/>
        <w:gridCol w:w="1098"/>
        <w:gridCol w:w="1092"/>
        <w:gridCol w:w="1089"/>
        <w:gridCol w:w="1092"/>
        <w:gridCol w:w="1198"/>
        <w:gridCol w:w="1084"/>
        <w:gridCol w:w="722"/>
        <w:gridCol w:w="757"/>
      </w:tblGrid>
      <w:tr w14:paraId="28061A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227" w:type="pct"/>
            <w:vMerge w:val="restart"/>
            <w:tcBorders>
              <w:tl2br w:val="nil"/>
              <w:tr2bl w:val="nil"/>
            </w:tcBorders>
            <w:vAlign w:val="center"/>
          </w:tcPr>
          <w:p w14:paraId="278DA9E3">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车间</w:t>
            </w:r>
          </w:p>
          <w:p w14:paraId="00BB39F1">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设施</w:t>
            </w:r>
          </w:p>
        </w:tc>
        <w:tc>
          <w:tcPr>
            <w:tcW w:w="348" w:type="pct"/>
            <w:vMerge w:val="restart"/>
            <w:tcBorders>
              <w:tl2br w:val="nil"/>
              <w:tr2bl w:val="nil"/>
            </w:tcBorders>
            <w:vAlign w:val="center"/>
          </w:tcPr>
          <w:p w14:paraId="29AA892D">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监测</w:t>
            </w:r>
          </w:p>
          <w:p w14:paraId="0E5D46CA">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点位</w:t>
            </w:r>
          </w:p>
        </w:tc>
        <w:tc>
          <w:tcPr>
            <w:tcW w:w="739" w:type="pct"/>
            <w:vMerge w:val="restart"/>
            <w:tcBorders>
              <w:tl2br w:val="nil"/>
              <w:tr2bl w:val="nil"/>
            </w:tcBorders>
            <w:vAlign w:val="center"/>
          </w:tcPr>
          <w:p w14:paraId="2B715E48">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监测项目</w:t>
            </w:r>
          </w:p>
        </w:tc>
        <w:tc>
          <w:tcPr>
            <w:tcW w:w="1171" w:type="pct"/>
            <w:gridSpan w:val="3"/>
            <w:tcBorders>
              <w:tl2br w:val="nil"/>
              <w:tr2bl w:val="nil"/>
            </w:tcBorders>
            <w:vAlign w:val="center"/>
          </w:tcPr>
          <w:p w14:paraId="373AB667">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监测结果</w:t>
            </w:r>
          </w:p>
        </w:tc>
        <w:tc>
          <w:tcPr>
            <w:tcW w:w="390" w:type="pct"/>
            <w:vMerge w:val="restart"/>
            <w:tcBorders>
              <w:tl2br w:val="nil"/>
              <w:tr2bl w:val="nil"/>
            </w:tcBorders>
            <w:vAlign w:val="center"/>
          </w:tcPr>
          <w:p w14:paraId="62745F20">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均值</w:t>
            </w:r>
          </w:p>
        </w:tc>
        <w:tc>
          <w:tcPr>
            <w:tcW w:w="1207" w:type="pct"/>
            <w:gridSpan w:val="3"/>
            <w:tcBorders>
              <w:tl2br w:val="nil"/>
              <w:tr2bl w:val="nil"/>
            </w:tcBorders>
            <w:vAlign w:val="center"/>
          </w:tcPr>
          <w:p w14:paraId="25723EB8">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监测结果</w:t>
            </w:r>
          </w:p>
        </w:tc>
        <w:tc>
          <w:tcPr>
            <w:tcW w:w="387" w:type="pct"/>
            <w:vMerge w:val="restart"/>
            <w:tcBorders>
              <w:tl2br w:val="nil"/>
              <w:tr2bl w:val="nil"/>
            </w:tcBorders>
            <w:vAlign w:val="center"/>
          </w:tcPr>
          <w:p w14:paraId="2ADCE87F">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均值</w:t>
            </w:r>
          </w:p>
        </w:tc>
        <w:tc>
          <w:tcPr>
            <w:tcW w:w="258" w:type="pct"/>
            <w:vMerge w:val="restart"/>
            <w:tcBorders>
              <w:tl2br w:val="nil"/>
              <w:tr2bl w:val="nil"/>
            </w:tcBorders>
            <w:vAlign w:val="center"/>
          </w:tcPr>
          <w:p w14:paraId="77D006D5">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执行</w:t>
            </w:r>
          </w:p>
          <w:p w14:paraId="02A30A26">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标准</w:t>
            </w:r>
          </w:p>
        </w:tc>
        <w:tc>
          <w:tcPr>
            <w:tcW w:w="270" w:type="pct"/>
            <w:vMerge w:val="restart"/>
            <w:tcBorders>
              <w:tl2br w:val="nil"/>
              <w:tr2bl w:val="nil"/>
            </w:tcBorders>
            <w:vAlign w:val="center"/>
          </w:tcPr>
          <w:p w14:paraId="43C91584">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结果</w:t>
            </w:r>
          </w:p>
          <w:p w14:paraId="144B4E43">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评价</w:t>
            </w:r>
          </w:p>
        </w:tc>
      </w:tr>
      <w:tr w14:paraId="264972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227" w:type="pct"/>
            <w:vMerge w:val="continue"/>
            <w:tcBorders>
              <w:tl2br w:val="nil"/>
              <w:tr2bl w:val="nil"/>
            </w:tcBorders>
            <w:vAlign w:val="center"/>
          </w:tcPr>
          <w:p w14:paraId="0D389ED5">
            <w:pPr>
              <w:spacing w:line="240" w:lineRule="auto"/>
              <w:ind w:left="-72" w:leftChars="-30" w:right="-72" w:rightChars="-30" w:firstLine="0" w:firstLineChars="0"/>
              <w:jc w:val="center"/>
              <w:rPr>
                <w:b/>
                <w:bCs/>
                <w:color w:val="auto"/>
                <w:sz w:val="21"/>
                <w:szCs w:val="21"/>
                <w:highlight w:val="none"/>
                <w:u w:val="single"/>
              </w:rPr>
            </w:pPr>
          </w:p>
        </w:tc>
        <w:tc>
          <w:tcPr>
            <w:tcW w:w="348" w:type="pct"/>
            <w:vMerge w:val="continue"/>
            <w:tcBorders>
              <w:tl2br w:val="nil"/>
              <w:tr2bl w:val="nil"/>
            </w:tcBorders>
            <w:vAlign w:val="center"/>
          </w:tcPr>
          <w:p w14:paraId="50320D05">
            <w:pPr>
              <w:spacing w:line="240" w:lineRule="auto"/>
              <w:ind w:left="-72" w:leftChars="-30" w:right="-72" w:rightChars="-30" w:firstLine="0" w:firstLineChars="0"/>
              <w:jc w:val="center"/>
              <w:rPr>
                <w:b/>
                <w:bCs/>
                <w:color w:val="auto"/>
                <w:sz w:val="21"/>
                <w:szCs w:val="21"/>
                <w:highlight w:val="none"/>
                <w:u w:val="single"/>
              </w:rPr>
            </w:pPr>
          </w:p>
        </w:tc>
        <w:tc>
          <w:tcPr>
            <w:tcW w:w="739" w:type="pct"/>
            <w:vMerge w:val="continue"/>
            <w:tcBorders>
              <w:tl2br w:val="nil"/>
              <w:tr2bl w:val="nil"/>
            </w:tcBorders>
            <w:vAlign w:val="center"/>
          </w:tcPr>
          <w:p w14:paraId="2B2A6923">
            <w:pPr>
              <w:spacing w:line="240" w:lineRule="auto"/>
              <w:ind w:left="-72" w:leftChars="-30" w:right="-72" w:rightChars="-30" w:firstLine="0" w:firstLineChars="0"/>
              <w:jc w:val="center"/>
              <w:rPr>
                <w:b/>
                <w:bCs/>
                <w:color w:val="auto"/>
                <w:sz w:val="21"/>
                <w:szCs w:val="21"/>
                <w:highlight w:val="none"/>
                <w:u w:val="single"/>
              </w:rPr>
            </w:pPr>
          </w:p>
        </w:tc>
        <w:tc>
          <w:tcPr>
            <w:tcW w:w="1171" w:type="pct"/>
            <w:gridSpan w:val="3"/>
            <w:tcBorders>
              <w:tl2br w:val="nil"/>
              <w:tr2bl w:val="nil"/>
            </w:tcBorders>
            <w:vAlign w:val="center"/>
          </w:tcPr>
          <w:p w14:paraId="151021E9">
            <w:pPr>
              <w:spacing w:line="240" w:lineRule="auto"/>
              <w:ind w:left="-72" w:leftChars="-30" w:right="-72" w:rightChars="-30" w:firstLine="0" w:firstLineChars="0"/>
              <w:jc w:val="center"/>
              <w:rPr>
                <w:b/>
                <w:bCs/>
                <w:color w:val="auto"/>
                <w:sz w:val="21"/>
                <w:szCs w:val="21"/>
                <w:highlight w:val="none"/>
                <w:u w:val="single"/>
              </w:rPr>
            </w:pPr>
            <w:r>
              <w:rPr>
                <w:rFonts w:hint="eastAsia"/>
                <w:b/>
                <w:bCs/>
                <w:color w:val="auto"/>
                <w:sz w:val="21"/>
                <w:szCs w:val="21"/>
                <w:highlight w:val="none"/>
                <w:u w:val="single"/>
              </w:rPr>
              <w:t>2025</w:t>
            </w:r>
            <w:r>
              <w:rPr>
                <w:b/>
                <w:bCs/>
                <w:color w:val="auto"/>
                <w:sz w:val="21"/>
                <w:szCs w:val="21"/>
                <w:highlight w:val="none"/>
                <w:u w:val="single"/>
              </w:rPr>
              <w:t>年</w:t>
            </w:r>
            <w:r>
              <w:rPr>
                <w:rFonts w:hint="eastAsia"/>
                <w:b/>
                <w:bCs/>
                <w:color w:val="auto"/>
                <w:sz w:val="21"/>
                <w:szCs w:val="21"/>
                <w:highlight w:val="none"/>
                <w:u w:val="single"/>
              </w:rPr>
              <w:t>4</w:t>
            </w:r>
            <w:r>
              <w:rPr>
                <w:b/>
                <w:bCs/>
                <w:color w:val="auto"/>
                <w:sz w:val="21"/>
                <w:szCs w:val="21"/>
                <w:highlight w:val="none"/>
                <w:u w:val="single"/>
              </w:rPr>
              <w:t>月</w:t>
            </w:r>
            <w:r>
              <w:rPr>
                <w:rFonts w:hint="eastAsia"/>
                <w:b/>
                <w:bCs/>
                <w:color w:val="auto"/>
                <w:sz w:val="21"/>
                <w:szCs w:val="21"/>
                <w:highlight w:val="none"/>
                <w:u w:val="single"/>
              </w:rPr>
              <w:t>9</w:t>
            </w:r>
            <w:r>
              <w:rPr>
                <w:b/>
                <w:bCs/>
                <w:color w:val="auto"/>
                <w:sz w:val="21"/>
                <w:szCs w:val="21"/>
                <w:highlight w:val="none"/>
                <w:u w:val="single"/>
              </w:rPr>
              <w:t>日</w:t>
            </w:r>
          </w:p>
        </w:tc>
        <w:tc>
          <w:tcPr>
            <w:tcW w:w="390" w:type="pct"/>
            <w:vMerge w:val="continue"/>
            <w:tcBorders>
              <w:tl2br w:val="nil"/>
              <w:tr2bl w:val="nil"/>
            </w:tcBorders>
            <w:vAlign w:val="center"/>
          </w:tcPr>
          <w:p w14:paraId="26F191FB">
            <w:pPr>
              <w:spacing w:line="240" w:lineRule="auto"/>
              <w:ind w:left="-72" w:leftChars="-30" w:right="-72" w:rightChars="-30" w:firstLine="0" w:firstLineChars="0"/>
              <w:jc w:val="center"/>
              <w:rPr>
                <w:b/>
                <w:bCs/>
                <w:color w:val="auto"/>
                <w:sz w:val="21"/>
                <w:szCs w:val="21"/>
                <w:highlight w:val="none"/>
                <w:u w:val="single"/>
              </w:rPr>
            </w:pPr>
          </w:p>
        </w:tc>
        <w:tc>
          <w:tcPr>
            <w:tcW w:w="1207" w:type="pct"/>
            <w:gridSpan w:val="3"/>
            <w:tcBorders>
              <w:tl2br w:val="nil"/>
              <w:tr2bl w:val="nil"/>
            </w:tcBorders>
            <w:vAlign w:val="center"/>
          </w:tcPr>
          <w:p w14:paraId="1C7A15B7">
            <w:pPr>
              <w:spacing w:line="240" w:lineRule="auto"/>
              <w:ind w:left="-72" w:leftChars="-30" w:right="-72" w:rightChars="-30" w:firstLine="0" w:firstLineChars="0"/>
              <w:jc w:val="center"/>
              <w:rPr>
                <w:b/>
                <w:bCs/>
                <w:color w:val="auto"/>
                <w:sz w:val="21"/>
                <w:szCs w:val="21"/>
                <w:highlight w:val="none"/>
                <w:u w:val="single"/>
              </w:rPr>
            </w:pPr>
            <w:r>
              <w:rPr>
                <w:rFonts w:hint="eastAsia"/>
                <w:b/>
                <w:bCs/>
                <w:color w:val="auto"/>
                <w:sz w:val="21"/>
                <w:szCs w:val="21"/>
                <w:highlight w:val="none"/>
                <w:u w:val="single"/>
              </w:rPr>
              <w:t>2025</w:t>
            </w:r>
            <w:r>
              <w:rPr>
                <w:b/>
                <w:bCs/>
                <w:color w:val="auto"/>
                <w:sz w:val="21"/>
                <w:szCs w:val="21"/>
                <w:highlight w:val="none"/>
                <w:u w:val="single"/>
              </w:rPr>
              <w:t>年10月21日</w:t>
            </w:r>
          </w:p>
        </w:tc>
        <w:tc>
          <w:tcPr>
            <w:tcW w:w="387" w:type="pct"/>
            <w:vMerge w:val="continue"/>
            <w:tcBorders>
              <w:tl2br w:val="nil"/>
              <w:tr2bl w:val="nil"/>
            </w:tcBorders>
            <w:vAlign w:val="center"/>
          </w:tcPr>
          <w:p w14:paraId="129FC48E">
            <w:pPr>
              <w:spacing w:line="240" w:lineRule="auto"/>
              <w:ind w:left="-72" w:leftChars="-30" w:right="-72" w:rightChars="-30" w:firstLine="0" w:firstLineChars="0"/>
              <w:jc w:val="center"/>
              <w:rPr>
                <w:b/>
                <w:bCs/>
                <w:color w:val="auto"/>
                <w:sz w:val="21"/>
                <w:szCs w:val="21"/>
                <w:highlight w:val="none"/>
                <w:u w:val="single"/>
              </w:rPr>
            </w:pPr>
          </w:p>
        </w:tc>
        <w:tc>
          <w:tcPr>
            <w:tcW w:w="258" w:type="pct"/>
            <w:vMerge w:val="continue"/>
            <w:tcBorders>
              <w:tl2br w:val="nil"/>
              <w:tr2bl w:val="nil"/>
            </w:tcBorders>
            <w:vAlign w:val="center"/>
          </w:tcPr>
          <w:p w14:paraId="16444279">
            <w:pPr>
              <w:spacing w:line="240" w:lineRule="auto"/>
              <w:ind w:left="-72" w:leftChars="-30" w:right="-72" w:rightChars="-30" w:firstLine="0" w:firstLineChars="0"/>
              <w:jc w:val="center"/>
              <w:rPr>
                <w:b/>
                <w:bCs/>
                <w:color w:val="auto"/>
                <w:sz w:val="21"/>
                <w:szCs w:val="21"/>
                <w:highlight w:val="none"/>
                <w:u w:val="single"/>
              </w:rPr>
            </w:pPr>
          </w:p>
        </w:tc>
        <w:tc>
          <w:tcPr>
            <w:tcW w:w="270" w:type="pct"/>
            <w:vMerge w:val="continue"/>
            <w:tcBorders>
              <w:tl2br w:val="nil"/>
              <w:tr2bl w:val="nil"/>
            </w:tcBorders>
            <w:vAlign w:val="center"/>
          </w:tcPr>
          <w:p w14:paraId="53B6C8FD">
            <w:pPr>
              <w:spacing w:line="240" w:lineRule="auto"/>
              <w:ind w:left="-72" w:leftChars="-30" w:right="-72" w:rightChars="-30" w:firstLine="0" w:firstLineChars="0"/>
              <w:jc w:val="center"/>
              <w:rPr>
                <w:b/>
                <w:bCs/>
                <w:color w:val="auto"/>
                <w:sz w:val="21"/>
                <w:szCs w:val="21"/>
                <w:highlight w:val="none"/>
                <w:u w:val="single"/>
              </w:rPr>
            </w:pPr>
          </w:p>
        </w:tc>
      </w:tr>
      <w:tr w14:paraId="6E7AC9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227" w:type="pct"/>
            <w:vMerge w:val="continue"/>
            <w:tcBorders>
              <w:tl2br w:val="nil"/>
              <w:tr2bl w:val="nil"/>
            </w:tcBorders>
            <w:vAlign w:val="center"/>
          </w:tcPr>
          <w:p w14:paraId="6AABCB6D">
            <w:pPr>
              <w:spacing w:line="240" w:lineRule="auto"/>
              <w:ind w:left="-72" w:leftChars="-30" w:right="-72" w:rightChars="-30" w:firstLine="0" w:firstLineChars="0"/>
              <w:jc w:val="center"/>
              <w:rPr>
                <w:b/>
                <w:bCs/>
                <w:color w:val="auto"/>
                <w:sz w:val="21"/>
                <w:szCs w:val="21"/>
                <w:highlight w:val="none"/>
                <w:u w:val="single"/>
              </w:rPr>
            </w:pPr>
          </w:p>
        </w:tc>
        <w:tc>
          <w:tcPr>
            <w:tcW w:w="348" w:type="pct"/>
            <w:vMerge w:val="continue"/>
            <w:tcBorders>
              <w:tl2br w:val="nil"/>
              <w:tr2bl w:val="nil"/>
            </w:tcBorders>
            <w:vAlign w:val="center"/>
          </w:tcPr>
          <w:p w14:paraId="5BA80F54">
            <w:pPr>
              <w:spacing w:line="240" w:lineRule="auto"/>
              <w:ind w:left="-72" w:leftChars="-30" w:right="-72" w:rightChars="-30" w:firstLine="0" w:firstLineChars="0"/>
              <w:jc w:val="center"/>
              <w:rPr>
                <w:b/>
                <w:bCs/>
                <w:color w:val="auto"/>
                <w:sz w:val="21"/>
                <w:szCs w:val="21"/>
                <w:highlight w:val="none"/>
                <w:u w:val="single"/>
              </w:rPr>
            </w:pPr>
          </w:p>
        </w:tc>
        <w:tc>
          <w:tcPr>
            <w:tcW w:w="739" w:type="pct"/>
            <w:vMerge w:val="continue"/>
            <w:tcBorders>
              <w:tl2br w:val="nil"/>
              <w:tr2bl w:val="nil"/>
            </w:tcBorders>
            <w:vAlign w:val="center"/>
          </w:tcPr>
          <w:p w14:paraId="5960F796">
            <w:pPr>
              <w:spacing w:line="240" w:lineRule="auto"/>
              <w:ind w:left="-72" w:leftChars="-30" w:right="-72" w:rightChars="-30" w:firstLine="0" w:firstLineChars="0"/>
              <w:jc w:val="center"/>
              <w:rPr>
                <w:b/>
                <w:bCs/>
                <w:color w:val="auto"/>
                <w:sz w:val="21"/>
                <w:szCs w:val="21"/>
                <w:highlight w:val="none"/>
                <w:u w:val="single"/>
              </w:rPr>
            </w:pPr>
          </w:p>
        </w:tc>
        <w:tc>
          <w:tcPr>
            <w:tcW w:w="390" w:type="pct"/>
            <w:tcBorders>
              <w:tl2br w:val="nil"/>
              <w:tr2bl w:val="nil"/>
            </w:tcBorders>
            <w:vAlign w:val="center"/>
          </w:tcPr>
          <w:p w14:paraId="780708CF">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第</w:t>
            </w:r>
            <w:r>
              <w:rPr>
                <w:rFonts w:hint="eastAsia"/>
                <w:b/>
                <w:bCs/>
                <w:color w:val="auto"/>
                <w:sz w:val="21"/>
                <w:szCs w:val="21"/>
                <w:highlight w:val="none"/>
                <w:u w:val="single"/>
              </w:rPr>
              <w:t>一</w:t>
            </w:r>
            <w:r>
              <w:rPr>
                <w:b/>
                <w:bCs/>
                <w:color w:val="auto"/>
                <w:sz w:val="21"/>
                <w:szCs w:val="21"/>
                <w:highlight w:val="none"/>
                <w:u w:val="single"/>
              </w:rPr>
              <w:t>次</w:t>
            </w:r>
          </w:p>
        </w:tc>
        <w:tc>
          <w:tcPr>
            <w:tcW w:w="389" w:type="pct"/>
            <w:tcBorders>
              <w:tl2br w:val="nil"/>
              <w:tr2bl w:val="nil"/>
            </w:tcBorders>
            <w:vAlign w:val="center"/>
          </w:tcPr>
          <w:p w14:paraId="40E9ECCD">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第</w:t>
            </w:r>
            <w:r>
              <w:rPr>
                <w:rFonts w:hint="eastAsia"/>
                <w:b/>
                <w:bCs/>
                <w:color w:val="auto"/>
                <w:sz w:val="21"/>
                <w:szCs w:val="21"/>
                <w:highlight w:val="none"/>
                <w:u w:val="single"/>
              </w:rPr>
              <w:t>二</w:t>
            </w:r>
            <w:r>
              <w:rPr>
                <w:b/>
                <w:bCs/>
                <w:color w:val="auto"/>
                <w:sz w:val="21"/>
                <w:szCs w:val="21"/>
                <w:highlight w:val="none"/>
                <w:u w:val="single"/>
              </w:rPr>
              <w:t>次</w:t>
            </w:r>
          </w:p>
        </w:tc>
        <w:tc>
          <w:tcPr>
            <w:tcW w:w="392" w:type="pct"/>
            <w:tcBorders>
              <w:tl2br w:val="nil"/>
              <w:tr2bl w:val="nil"/>
            </w:tcBorders>
            <w:vAlign w:val="center"/>
          </w:tcPr>
          <w:p w14:paraId="692E5B32">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第三次</w:t>
            </w:r>
          </w:p>
        </w:tc>
        <w:tc>
          <w:tcPr>
            <w:tcW w:w="390" w:type="pct"/>
            <w:vMerge w:val="continue"/>
            <w:tcBorders>
              <w:tl2br w:val="nil"/>
              <w:tr2bl w:val="nil"/>
            </w:tcBorders>
            <w:vAlign w:val="center"/>
          </w:tcPr>
          <w:p w14:paraId="326D8E7E">
            <w:pPr>
              <w:spacing w:line="240" w:lineRule="auto"/>
              <w:ind w:left="-72" w:leftChars="-30" w:right="-72" w:rightChars="-30" w:firstLine="0" w:firstLineChars="0"/>
              <w:jc w:val="center"/>
              <w:rPr>
                <w:b/>
                <w:bCs/>
                <w:color w:val="auto"/>
                <w:sz w:val="21"/>
                <w:szCs w:val="21"/>
                <w:highlight w:val="none"/>
                <w:u w:val="single"/>
              </w:rPr>
            </w:pPr>
          </w:p>
        </w:tc>
        <w:tc>
          <w:tcPr>
            <w:tcW w:w="389" w:type="pct"/>
            <w:tcBorders>
              <w:tl2br w:val="nil"/>
              <w:tr2bl w:val="nil"/>
            </w:tcBorders>
            <w:vAlign w:val="center"/>
          </w:tcPr>
          <w:p w14:paraId="30003EE2">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第</w:t>
            </w:r>
            <w:r>
              <w:rPr>
                <w:rFonts w:hint="eastAsia"/>
                <w:b/>
                <w:bCs/>
                <w:color w:val="auto"/>
                <w:sz w:val="21"/>
                <w:szCs w:val="21"/>
                <w:highlight w:val="none"/>
                <w:u w:val="single"/>
              </w:rPr>
              <w:t>一</w:t>
            </w:r>
            <w:r>
              <w:rPr>
                <w:b/>
                <w:bCs/>
                <w:color w:val="auto"/>
                <w:sz w:val="21"/>
                <w:szCs w:val="21"/>
                <w:highlight w:val="none"/>
                <w:u w:val="single"/>
              </w:rPr>
              <w:t>次</w:t>
            </w:r>
          </w:p>
        </w:tc>
        <w:tc>
          <w:tcPr>
            <w:tcW w:w="390" w:type="pct"/>
            <w:tcBorders>
              <w:tl2br w:val="nil"/>
              <w:tr2bl w:val="nil"/>
            </w:tcBorders>
            <w:vAlign w:val="center"/>
          </w:tcPr>
          <w:p w14:paraId="1479260B">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第</w:t>
            </w:r>
            <w:r>
              <w:rPr>
                <w:rFonts w:hint="eastAsia"/>
                <w:b/>
                <w:bCs/>
                <w:color w:val="auto"/>
                <w:sz w:val="21"/>
                <w:szCs w:val="21"/>
                <w:highlight w:val="none"/>
                <w:u w:val="single"/>
              </w:rPr>
              <w:t>二</w:t>
            </w:r>
            <w:r>
              <w:rPr>
                <w:b/>
                <w:bCs/>
                <w:color w:val="auto"/>
                <w:sz w:val="21"/>
                <w:szCs w:val="21"/>
                <w:highlight w:val="none"/>
                <w:u w:val="single"/>
              </w:rPr>
              <w:t>次</w:t>
            </w:r>
          </w:p>
        </w:tc>
        <w:tc>
          <w:tcPr>
            <w:tcW w:w="428" w:type="pct"/>
            <w:tcBorders>
              <w:tl2br w:val="nil"/>
              <w:tr2bl w:val="nil"/>
            </w:tcBorders>
            <w:vAlign w:val="center"/>
          </w:tcPr>
          <w:p w14:paraId="06B5217B">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第三次</w:t>
            </w:r>
          </w:p>
        </w:tc>
        <w:tc>
          <w:tcPr>
            <w:tcW w:w="387" w:type="pct"/>
            <w:vMerge w:val="continue"/>
            <w:tcBorders>
              <w:tl2br w:val="nil"/>
              <w:tr2bl w:val="nil"/>
            </w:tcBorders>
            <w:vAlign w:val="center"/>
          </w:tcPr>
          <w:p w14:paraId="6DD228F9">
            <w:pPr>
              <w:spacing w:line="240" w:lineRule="auto"/>
              <w:ind w:left="-72" w:leftChars="-30" w:right="-72" w:rightChars="-30" w:firstLine="0" w:firstLineChars="0"/>
              <w:jc w:val="center"/>
              <w:rPr>
                <w:b/>
                <w:bCs/>
                <w:color w:val="auto"/>
                <w:sz w:val="21"/>
                <w:szCs w:val="21"/>
                <w:highlight w:val="none"/>
                <w:u w:val="single"/>
              </w:rPr>
            </w:pPr>
          </w:p>
        </w:tc>
        <w:tc>
          <w:tcPr>
            <w:tcW w:w="258" w:type="pct"/>
            <w:vMerge w:val="continue"/>
            <w:tcBorders>
              <w:tl2br w:val="nil"/>
              <w:tr2bl w:val="nil"/>
            </w:tcBorders>
            <w:vAlign w:val="center"/>
          </w:tcPr>
          <w:p w14:paraId="327AC8A0">
            <w:pPr>
              <w:spacing w:line="240" w:lineRule="auto"/>
              <w:ind w:left="-72" w:leftChars="-30" w:right="-72" w:rightChars="-30" w:firstLine="0" w:firstLineChars="0"/>
              <w:jc w:val="center"/>
              <w:rPr>
                <w:b/>
                <w:bCs/>
                <w:color w:val="auto"/>
                <w:sz w:val="21"/>
                <w:szCs w:val="21"/>
                <w:highlight w:val="none"/>
                <w:u w:val="single"/>
              </w:rPr>
            </w:pPr>
          </w:p>
        </w:tc>
        <w:tc>
          <w:tcPr>
            <w:tcW w:w="270" w:type="pct"/>
            <w:vMerge w:val="continue"/>
            <w:tcBorders>
              <w:tl2br w:val="nil"/>
              <w:tr2bl w:val="nil"/>
            </w:tcBorders>
            <w:vAlign w:val="center"/>
          </w:tcPr>
          <w:p w14:paraId="2B6F78D2">
            <w:pPr>
              <w:spacing w:line="240" w:lineRule="auto"/>
              <w:ind w:left="-72" w:leftChars="-30" w:right="-72" w:rightChars="-30" w:firstLine="0" w:firstLineChars="0"/>
              <w:jc w:val="center"/>
              <w:rPr>
                <w:b/>
                <w:bCs/>
                <w:color w:val="auto"/>
                <w:sz w:val="21"/>
                <w:szCs w:val="21"/>
                <w:highlight w:val="none"/>
                <w:u w:val="single"/>
              </w:rPr>
            </w:pPr>
          </w:p>
        </w:tc>
      </w:tr>
      <w:tr w14:paraId="3C012C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7" w:type="pct"/>
            <w:vMerge w:val="restart"/>
            <w:tcBorders>
              <w:tl2br w:val="nil"/>
              <w:tr2bl w:val="nil"/>
            </w:tcBorders>
            <w:vAlign w:val="center"/>
          </w:tcPr>
          <w:p w14:paraId="779DDD66">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酸雾净化塔</w:t>
            </w:r>
          </w:p>
        </w:tc>
        <w:tc>
          <w:tcPr>
            <w:tcW w:w="348" w:type="pct"/>
            <w:vMerge w:val="restart"/>
            <w:tcBorders>
              <w:tl2br w:val="nil"/>
              <w:tr2bl w:val="nil"/>
            </w:tcBorders>
            <w:vAlign w:val="center"/>
          </w:tcPr>
          <w:p w14:paraId="7E4376FB">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化学清洗间尾气处理设施后排气筒</w:t>
            </w:r>
            <w:r>
              <w:rPr>
                <w:rFonts w:hint="eastAsia"/>
                <w:bCs/>
                <w:color w:val="auto"/>
                <w:sz w:val="21"/>
                <w:szCs w:val="21"/>
                <w:highlight w:val="none"/>
                <w:u w:val="single"/>
              </w:rPr>
              <w:t>(DA003)</w:t>
            </w:r>
          </w:p>
        </w:tc>
        <w:tc>
          <w:tcPr>
            <w:tcW w:w="739" w:type="pct"/>
            <w:tcBorders>
              <w:tl2br w:val="nil"/>
              <w:tr2bl w:val="nil"/>
            </w:tcBorders>
            <w:vAlign w:val="center"/>
          </w:tcPr>
          <w:p w14:paraId="7D386ECB">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烟气排气量（m</w:t>
            </w:r>
            <w:r>
              <w:rPr>
                <w:bCs/>
                <w:color w:val="auto"/>
                <w:sz w:val="21"/>
                <w:szCs w:val="21"/>
                <w:highlight w:val="none"/>
                <w:u w:val="single"/>
                <w:vertAlign w:val="superscript"/>
              </w:rPr>
              <w:t>3</w:t>
            </w:r>
            <w:r>
              <w:rPr>
                <w:bCs/>
                <w:color w:val="auto"/>
                <w:sz w:val="21"/>
                <w:szCs w:val="21"/>
                <w:highlight w:val="none"/>
                <w:u w:val="single"/>
              </w:rPr>
              <w:t>/h）</w:t>
            </w:r>
          </w:p>
        </w:tc>
        <w:tc>
          <w:tcPr>
            <w:tcW w:w="390" w:type="pct"/>
            <w:tcBorders>
              <w:tl2br w:val="nil"/>
              <w:tr2bl w:val="nil"/>
            </w:tcBorders>
            <w:vAlign w:val="center"/>
          </w:tcPr>
          <w:p w14:paraId="78FF6C6F">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14791</w:t>
            </w:r>
          </w:p>
        </w:tc>
        <w:tc>
          <w:tcPr>
            <w:tcW w:w="389" w:type="pct"/>
            <w:tcBorders>
              <w:tl2br w:val="nil"/>
              <w:tr2bl w:val="nil"/>
            </w:tcBorders>
            <w:vAlign w:val="center"/>
          </w:tcPr>
          <w:p w14:paraId="79EFE6EA">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13680</w:t>
            </w:r>
          </w:p>
        </w:tc>
        <w:tc>
          <w:tcPr>
            <w:tcW w:w="392" w:type="pct"/>
            <w:tcBorders>
              <w:tl2br w:val="nil"/>
              <w:tr2bl w:val="nil"/>
            </w:tcBorders>
            <w:vAlign w:val="center"/>
          </w:tcPr>
          <w:p w14:paraId="037AA44F">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14348</w:t>
            </w:r>
          </w:p>
        </w:tc>
        <w:tc>
          <w:tcPr>
            <w:tcW w:w="390" w:type="pct"/>
            <w:tcBorders>
              <w:tl2br w:val="nil"/>
              <w:tr2bl w:val="nil"/>
            </w:tcBorders>
            <w:vAlign w:val="center"/>
          </w:tcPr>
          <w:p w14:paraId="12FE2393">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14273</w:t>
            </w:r>
          </w:p>
        </w:tc>
        <w:tc>
          <w:tcPr>
            <w:tcW w:w="389" w:type="pct"/>
            <w:tcBorders>
              <w:tl2br w:val="nil"/>
              <w:tr2bl w:val="nil"/>
            </w:tcBorders>
            <w:vAlign w:val="center"/>
          </w:tcPr>
          <w:p w14:paraId="3AA76CB5">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12358</w:t>
            </w:r>
          </w:p>
        </w:tc>
        <w:tc>
          <w:tcPr>
            <w:tcW w:w="390" w:type="pct"/>
            <w:tcBorders>
              <w:tl2br w:val="nil"/>
              <w:tr2bl w:val="nil"/>
            </w:tcBorders>
            <w:vAlign w:val="center"/>
          </w:tcPr>
          <w:p w14:paraId="44023F55">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12545</w:t>
            </w:r>
          </w:p>
        </w:tc>
        <w:tc>
          <w:tcPr>
            <w:tcW w:w="428" w:type="pct"/>
            <w:tcBorders>
              <w:tl2br w:val="nil"/>
              <w:tr2bl w:val="nil"/>
            </w:tcBorders>
            <w:vAlign w:val="center"/>
          </w:tcPr>
          <w:p w14:paraId="25448915">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11891</w:t>
            </w:r>
          </w:p>
        </w:tc>
        <w:tc>
          <w:tcPr>
            <w:tcW w:w="387" w:type="pct"/>
            <w:tcBorders>
              <w:tl2br w:val="nil"/>
              <w:tr2bl w:val="nil"/>
            </w:tcBorders>
            <w:vAlign w:val="center"/>
          </w:tcPr>
          <w:p w14:paraId="514B9F01">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12265</w:t>
            </w:r>
          </w:p>
        </w:tc>
        <w:tc>
          <w:tcPr>
            <w:tcW w:w="258" w:type="pct"/>
            <w:tcBorders>
              <w:tl2br w:val="nil"/>
              <w:tr2bl w:val="nil"/>
            </w:tcBorders>
            <w:vAlign w:val="center"/>
          </w:tcPr>
          <w:p w14:paraId="5D1FC1ED">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w:t>
            </w:r>
          </w:p>
        </w:tc>
        <w:tc>
          <w:tcPr>
            <w:tcW w:w="270" w:type="pct"/>
            <w:tcBorders>
              <w:tl2br w:val="nil"/>
              <w:tr2bl w:val="nil"/>
            </w:tcBorders>
            <w:vAlign w:val="center"/>
          </w:tcPr>
          <w:p w14:paraId="265F95C3">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w:t>
            </w:r>
          </w:p>
        </w:tc>
      </w:tr>
      <w:tr w14:paraId="1E6448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7" w:type="pct"/>
            <w:vMerge w:val="continue"/>
            <w:tcBorders>
              <w:tl2br w:val="nil"/>
              <w:tr2bl w:val="nil"/>
            </w:tcBorders>
            <w:vAlign w:val="center"/>
          </w:tcPr>
          <w:p w14:paraId="1417582C">
            <w:pPr>
              <w:spacing w:line="240" w:lineRule="auto"/>
              <w:ind w:left="-72" w:leftChars="-30" w:right="-72" w:rightChars="-30" w:firstLine="0" w:firstLineChars="0"/>
              <w:rPr>
                <w:bCs/>
                <w:color w:val="auto"/>
                <w:sz w:val="21"/>
                <w:szCs w:val="21"/>
                <w:highlight w:val="none"/>
                <w:u w:val="single"/>
              </w:rPr>
            </w:pPr>
          </w:p>
        </w:tc>
        <w:tc>
          <w:tcPr>
            <w:tcW w:w="348" w:type="pct"/>
            <w:vMerge w:val="continue"/>
            <w:tcBorders>
              <w:tl2br w:val="nil"/>
              <w:tr2bl w:val="nil"/>
            </w:tcBorders>
            <w:vAlign w:val="center"/>
          </w:tcPr>
          <w:p w14:paraId="5E9E4AE0">
            <w:pPr>
              <w:spacing w:line="240" w:lineRule="auto"/>
              <w:ind w:left="-72" w:leftChars="-30" w:right="-72" w:rightChars="-30" w:firstLine="0" w:firstLineChars="0"/>
              <w:rPr>
                <w:bCs/>
                <w:color w:val="auto"/>
                <w:sz w:val="21"/>
                <w:szCs w:val="21"/>
                <w:highlight w:val="none"/>
                <w:u w:val="single"/>
              </w:rPr>
            </w:pPr>
          </w:p>
        </w:tc>
        <w:tc>
          <w:tcPr>
            <w:tcW w:w="739" w:type="pct"/>
            <w:tcBorders>
              <w:tl2br w:val="nil"/>
              <w:tr2bl w:val="nil"/>
            </w:tcBorders>
            <w:vAlign w:val="center"/>
          </w:tcPr>
          <w:p w14:paraId="79AB6ABC">
            <w:pPr>
              <w:spacing w:line="240" w:lineRule="auto"/>
              <w:ind w:left="-72" w:leftChars="-30" w:right="-72" w:rightChars="-30" w:firstLine="0" w:firstLineChars="0"/>
              <w:jc w:val="center"/>
              <w:rPr>
                <w:bCs/>
                <w:color w:val="auto"/>
                <w:sz w:val="21"/>
                <w:szCs w:val="21"/>
                <w:highlight w:val="none"/>
                <w:u w:val="single"/>
              </w:rPr>
            </w:pPr>
            <w:r>
              <w:rPr>
                <w:rFonts w:hint="eastAsia"/>
                <w:color w:val="auto"/>
                <w:sz w:val="21"/>
                <w:szCs w:val="21"/>
                <w:highlight w:val="none"/>
                <w:u w:val="single"/>
              </w:rPr>
              <w:t>烟气流速(m/s)</w:t>
            </w:r>
          </w:p>
        </w:tc>
        <w:tc>
          <w:tcPr>
            <w:tcW w:w="390" w:type="pct"/>
            <w:tcBorders>
              <w:tl2br w:val="nil"/>
              <w:tr2bl w:val="nil"/>
            </w:tcBorders>
            <w:vAlign w:val="center"/>
          </w:tcPr>
          <w:p w14:paraId="402A95B3">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15.3</w:t>
            </w:r>
          </w:p>
        </w:tc>
        <w:tc>
          <w:tcPr>
            <w:tcW w:w="389" w:type="pct"/>
            <w:tcBorders>
              <w:tl2br w:val="nil"/>
              <w:tr2bl w:val="nil"/>
            </w:tcBorders>
            <w:vAlign w:val="center"/>
          </w:tcPr>
          <w:p w14:paraId="3CBDC0FB">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14.2</w:t>
            </w:r>
          </w:p>
        </w:tc>
        <w:tc>
          <w:tcPr>
            <w:tcW w:w="392" w:type="pct"/>
            <w:tcBorders>
              <w:tl2br w:val="nil"/>
              <w:tr2bl w:val="nil"/>
            </w:tcBorders>
            <w:vAlign w:val="center"/>
          </w:tcPr>
          <w:p w14:paraId="56A12590">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14.9</w:t>
            </w:r>
          </w:p>
        </w:tc>
        <w:tc>
          <w:tcPr>
            <w:tcW w:w="390" w:type="pct"/>
            <w:tcBorders>
              <w:tl2br w:val="nil"/>
              <w:tr2bl w:val="nil"/>
            </w:tcBorders>
            <w:vAlign w:val="center"/>
          </w:tcPr>
          <w:p w14:paraId="7F2AF0FB">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14.8</w:t>
            </w:r>
          </w:p>
        </w:tc>
        <w:tc>
          <w:tcPr>
            <w:tcW w:w="389" w:type="pct"/>
            <w:tcBorders>
              <w:tl2br w:val="nil"/>
              <w:tr2bl w:val="nil"/>
            </w:tcBorders>
            <w:vAlign w:val="center"/>
          </w:tcPr>
          <w:p w14:paraId="2D6BCE10">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12.9</w:t>
            </w:r>
          </w:p>
        </w:tc>
        <w:tc>
          <w:tcPr>
            <w:tcW w:w="390" w:type="pct"/>
            <w:tcBorders>
              <w:tl2br w:val="nil"/>
              <w:tr2bl w:val="nil"/>
            </w:tcBorders>
            <w:vAlign w:val="center"/>
          </w:tcPr>
          <w:p w14:paraId="1BCCFF7A">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13.1</w:t>
            </w:r>
          </w:p>
        </w:tc>
        <w:tc>
          <w:tcPr>
            <w:tcW w:w="428" w:type="pct"/>
            <w:tcBorders>
              <w:tl2br w:val="nil"/>
              <w:tr2bl w:val="nil"/>
            </w:tcBorders>
            <w:vAlign w:val="center"/>
          </w:tcPr>
          <w:p w14:paraId="22719F9F">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12.4</w:t>
            </w:r>
          </w:p>
        </w:tc>
        <w:tc>
          <w:tcPr>
            <w:tcW w:w="387" w:type="pct"/>
            <w:tcBorders>
              <w:tl2br w:val="nil"/>
              <w:tr2bl w:val="nil"/>
            </w:tcBorders>
            <w:vAlign w:val="center"/>
          </w:tcPr>
          <w:p w14:paraId="7C05685B">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12.8</w:t>
            </w:r>
          </w:p>
        </w:tc>
        <w:tc>
          <w:tcPr>
            <w:tcW w:w="258" w:type="pct"/>
            <w:tcBorders>
              <w:tl2br w:val="nil"/>
              <w:tr2bl w:val="nil"/>
            </w:tcBorders>
            <w:vAlign w:val="center"/>
          </w:tcPr>
          <w:p w14:paraId="768163D7">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w:t>
            </w:r>
          </w:p>
        </w:tc>
        <w:tc>
          <w:tcPr>
            <w:tcW w:w="270" w:type="pct"/>
            <w:tcBorders>
              <w:tl2br w:val="nil"/>
              <w:tr2bl w:val="nil"/>
            </w:tcBorders>
            <w:vAlign w:val="center"/>
          </w:tcPr>
          <w:p w14:paraId="5CE027D0">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w:t>
            </w:r>
          </w:p>
        </w:tc>
      </w:tr>
      <w:tr w14:paraId="6E3536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7" w:type="pct"/>
            <w:vMerge w:val="continue"/>
            <w:tcBorders>
              <w:tl2br w:val="nil"/>
              <w:tr2bl w:val="nil"/>
            </w:tcBorders>
            <w:vAlign w:val="center"/>
          </w:tcPr>
          <w:p w14:paraId="083987B6">
            <w:pPr>
              <w:spacing w:line="240" w:lineRule="auto"/>
              <w:ind w:left="-72" w:leftChars="-30" w:right="-72" w:rightChars="-30" w:firstLine="0" w:firstLineChars="0"/>
              <w:rPr>
                <w:bCs/>
                <w:color w:val="auto"/>
                <w:sz w:val="21"/>
                <w:szCs w:val="21"/>
                <w:highlight w:val="none"/>
                <w:u w:val="single"/>
              </w:rPr>
            </w:pPr>
          </w:p>
        </w:tc>
        <w:tc>
          <w:tcPr>
            <w:tcW w:w="348" w:type="pct"/>
            <w:vMerge w:val="continue"/>
            <w:tcBorders>
              <w:tl2br w:val="nil"/>
              <w:tr2bl w:val="nil"/>
            </w:tcBorders>
            <w:vAlign w:val="center"/>
          </w:tcPr>
          <w:p w14:paraId="2217F5C2">
            <w:pPr>
              <w:spacing w:line="240" w:lineRule="auto"/>
              <w:ind w:left="-72" w:leftChars="-30" w:right="-72" w:rightChars="-30" w:firstLine="0" w:firstLineChars="0"/>
              <w:rPr>
                <w:bCs/>
                <w:color w:val="auto"/>
                <w:sz w:val="21"/>
                <w:szCs w:val="21"/>
                <w:highlight w:val="none"/>
                <w:u w:val="single"/>
              </w:rPr>
            </w:pPr>
          </w:p>
        </w:tc>
        <w:tc>
          <w:tcPr>
            <w:tcW w:w="739" w:type="pct"/>
            <w:tcBorders>
              <w:tl2br w:val="nil"/>
              <w:tr2bl w:val="nil"/>
            </w:tcBorders>
            <w:vAlign w:val="center"/>
          </w:tcPr>
          <w:p w14:paraId="0C3BE680">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烟温（℃）</w:t>
            </w:r>
          </w:p>
        </w:tc>
        <w:tc>
          <w:tcPr>
            <w:tcW w:w="390" w:type="pct"/>
            <w:tcBorders>
              <w:tl2br w:val="nil"/>
              <w:tr2bl w:val="nil"/>
            </w:tcBorders>
            <w:vAlign w:val="center"/>
          </w:tcPr>
          <w:p w14:paraId="710679DD">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18.9</w:t>
            </w:r>
          </w:p>
        </w:tc>
        <w:tc>
          <w:tcPr>
            <w:tcW w:w="389" w:type="pct"/>
            <w:tcBorders>
              <w:tl2br w:val="nil"/>
              <w:tr2bl w:val="nil"/>
            </w:tcBorders>
            <w:vAlign w:val="center"/>
          </w:tcPr>
          <w:p w14:paraId="207E0A6C">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19.3</w:t>
            </w:r>
          </w:p>
        </w:tc>
        <w:tc>
          <w:tcPr>
            <w:tcW w:w="392" w:type="pct"/>
            <w:tcBorders>
              <w:tl2br w:val="nil"/>
              <w:tr2bl w:val="nil"/>
            </w:tcBorders>
            <w:vAlign w:val="center"/>
          </w:tcPr>
          <w:p w14:paraId="1E62A3E2">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19.2</w:t>
            </w:r>
          </w:p>
        </w:tc>
        <w:tc>
          <w:tcPr>
            <w:tcW w:w="390" w:type="pct"/>
            <w:tcBorders>
              <w:tl2br w:val="nil"/>
              <w:tr2bl w:val="nil"/>
            </w:tcBorders>
            <w:vAlign w:val="center"/>
          </w:tcPr>
          <w:p w14:paraId="4935D5FD">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19.1</w:t>
            </w:r>
          </w:p>
        </w:tc>
        <w:tc>
          <w:tcPr>
            <w:tcW w:w="389" w:type="pct"/>
            <w:tcBorders>
              <w:tl2br w:val="nil"/>
              <w:tr2bl w:val="nil"/>
            </w:tcBorders>
            <w:vAlign w:val="center"/>
          </w:tcPr>
          <w:p w14:paraId="315F304A">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21.9</w:t>
            </w:r>
          </w:p>
        </w:tc>
        <w:tc>
          <w:tcPr>
            <w:tcW w:w="390" w:type="pct"/>
            <w:tcBorders>
              <w:tl2br w:val="nil"/>
              <w:tr2bl w:val="nil"/>
            </w:tcBorders>
            <w:vAlign w:val="center"/>
          </w:tcPr>
          <w:p w14:paraId="2BCC5782">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22.4</w:t>
            </w:r>
          </w:p>
        </w:tc>
        <w:tc>
          <w:tcPr>
            <w:tcW w:w="428" w:type="pct"/>
            <w:tcBorders>
              <w:tl2br w:val="nil"/>
              <w:tr2bl w:val="nil"/>
            </w:tcBorders>
            <w:vAlign w:val="center"/>
          </w:tcPr>
          <w:p w14:paraId="5945DAC9">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21.9</w:t>
            </w:r>
          </w:p>
        </w:tc>
        <w:tc>
          <w:tcPr>
            <w:tcW w:w="387" w:type="pct"/>
            <w:tcBorders>
              <w:tl2br w:val="nil"/>
              <w:tr2bl w:val="nil"/>
            </w:tcBorders>
            <w:vAlign w:val="center"/>
          </w:tcPr>
          <w:p w14:paraId="67E73293">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22.1</w:t>
            </w:r>
          </w:p>
        </w:tc>
        <w:tc>
          <w:tcPr>
            <w:tcW w:w="258" w:type="pct"/>
            <w:tcBorders>
              <w:tl2br w:val="nil"/>
              <w:tr2bl w:val="nil"/>
            </w:tcBorders>
            <w:vAlign w:val="center"/>
          </w:tcPr>
          <w:p w14:paraId="2B8C1E46">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w:t>
            </w:r>
          </w:p>
        </w:tc>
        <w:tc>
          <w:tcPr>
            <w:tcW w:w="270" w:type="pct"/>
            <w:tcBorders>
              <w:tl2br w:val="nil"/>
              <w:tr2bl w:val="nil"/>
            </w:tcBorders>
            <w:vAlign w:val="center"/>
          </w:tcPr>
          <w:p w14:paraId="39723A59">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w:t>
            </w:r>
          </w:p>
        </w:tc>
      </w:tr>
      <w:tr w14:paraId="724214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7" w:type="pct"/>
            <w:vMerge w:val="continue"/>
            <w:tcBorders>
              <w:tl2br w:val="nil"/>
              <w:tr2bl w:val="nil"/>
            </w:tcBorders>
            <w:vAlign w:val="center"/>
          </w:tcPr>
          <w:p w14:paraId="0A837751">
            <w:pPr>
              <w:spacing w:line="240" w:lineRule="auto"/>
              <w:ind w:left="-72" w:leftChars="-30" w:right="-72" w:rightChars="-30" w:firstLine="0" w:firstLineChars="0"/>
              <w:jc w:val="center"/>
              <w:rPr>
                <w:bCs/>
                <w:color w:val="auto"/>
                <w:sz w:val="21"/>
                <w:szCs w:val="21"/>
                <w:highlight w:val="none"/>
                <w:u w:val="single"/>
              </w:rPr>
            </w:pPr>
          </w:p>
        </w:tc>
        <w:tc>
          <w:tcPr>
            <w:tcW w:w="348" w:type="pct"/>
            <w:vMerge w:val="continue"/>
            <w:tcBorders>
              <w:tl2br w:val="nil"/>
              <w:tr2bl w:val="nil"/>
            </w:tcBorders>
            <w:vAlign w:val="center"/>
          </w:tcPr>
          <w:p w14:paraId="70851E30">
            <w:pPr>
              <w:spacing w:line="240" w:lineRule="auto"/>
              <w:ind w:left="-72" w:leftChars="-30" w:right="-72" w:rightChars="-30" w:firstLine="0" w:firstLineChars="0"/>
              <w:rPr>
                <w:bCs/>
                <w:color w:val="auto"/>
                <w:sz w:val="21"/>
                <w:szCs w:val="21"/>
                <w:highlight w:val="none"/>
                <w:u w:val="single"/>
              </w:rPr>
            </w:pPr>
          </w:p>
        </w:tc>
        <w:tc>
          <w:tcPr>
            <w:tcW w:w="739" w:type="pct"/>
            <w:tcBorders>
              <w:tl2br w:val="nil"/>
              <w:tr2bl w:val="nil"/>
            </w:tcBorders>
            <w:vAlign w:val="center"/>
          </w:tcPr>
          <w:p w14:paraId="3DE40761">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NOx</w:t>
            </w:r>
            <w:r>
              <w:rPr>
                <w:color w:val="auto"/>
                <w:sz w:val="21"/>
                <w:szCs w:val="21"/>
                <w:highlight w:val="none"/>
                <w:u w:val="single"/>
              </w:rPr>
              <w:t>（mg/m</w:t>
            </w:r>
            <w:r>
              <w:rPr>
                <w:color w:val="auto"/>
                <w:sz w:val="21"/>
                <w:szCs w:val="21"/>
                <w:highlight w:val="none"/>
                <w:u w:val="single"/>
                <w:vertAlign w:val="superscript"/>
              </w:rPr>
              <w:t>3</w:t>
            </w:r>
            <w:r>
              <w:rPr>
                <w:color w:val="auto"/>
                <w:sz w:val="21"/>
                <w:szCs w:val="21"/>
                <w:highlight w:val="none"/>
                <w:u w:val="single"/>
              </w:rPr>
              <w:t>）</w:t>
            </w:r>
          </w:p>
        </w:tc>
        <w:tc>
          <w:tcPr>
            <w:tcW w:w="390" w:type="pct"/>
            <w:tcBorders>
              <w:tl2br w:val="nil"/>
              <w:tr2bl w:val="nil"/>
            </w:tcBorders>
            <w:vAlign w:val="center"/>
          </w:tcPr>
          <w:p w14:paraId="6FFBFC76">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389" w:type="pct"/>
            <w:tcBorders>
              <w:tl2br w:val="nil"/>
              <w:tr2bl w:val="nil"/>
            </w:tcBorders>
            <w:vAlign w:val="center"/>
          </w:tcPr>
          <w:p w14:paraId="31112E1C">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392" w:type="pct"/>
            <w:tcBorders>
              <w:tl2br w:val="nil"/>
              <w:tr2bl w:val="nil"/>
            </w:tcBorders>
            <w:vAlign w:val="center"/>
          </w:tcPr>
          <w:p w14:paraId="7B22A9BB">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390" w:type="pct"/>
            <w:tcBorders>
              <w:tl2br w:val="nil"/>
              <w:tr2bl w:val="nil"/>
            </w:tcBorders>
            <w:vAlign w:val="center"/>
          </w:tcPr>
          <w:p w14:paraId="7BD668A9">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389" w:type="pct"/>
            <w:tcBorders>
              <w:tl2br w:val="nil"/>
              <w:tr2bl w:val="nil"/>
            </w:tcBorders>
            <w:vAlign w:val="center"/>
          </w:tcPr>
          <w:p w14:paraId="6B7A13CD">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390" w:type="pct"/>
            <w:tcBorders>
              <w:tl2br w:val="nil"/>
              <w:tr2bl w:val="nil"/>
            </w:tcBorders>
            <w:vAlign w:val="center"/>
          </w:tcPr>
          <w:p w14:paraId="45569BC7">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428" w:type="pct"/>
            <w:tcBorders>
              <w:tl2br w:val="nil"/>
              <w:tr2bl w:val="nil"/>
            </w:tcBorders>
            <w:vAlign w:val="center"/>
          </w:tcPr>
          <w:p w14:paraId="26A30852">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387" w:type="pct"/>
            <w:tcBorders>
              <w:tl2br w:val="nil"/>
              <w:tr2bl w:val="nil"/>
            </w:tcBorders>
            <w:vAlign w:val="center"/>
          </w:tcPr>
          <w:p w14:paraId="57830243">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258" w:type="pct"/>
            <w:tcBorders>
              <w:tl2br w:val="nil"/>
              <w:tr2bl w:val="nil"/>
            </w:tcBorders>
            <w:vAlign w:val="center"/>
          </w:tcPr>
          <w:p w14:paraId="57FAA153">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240</w:t>
            </w:r>
          </w:p>
        </w:tc>
        <w:tc>
          <w:tcPr>
            <w:tcW w:w="270" w:type="pct"/>
            <w:tcBorders>
              <w:tl2br w:val="nil"/>
              <w:tr2bl w:val="nil"/>
            </w:tcBorders>
            <w:vAlign w:val="center"/>
          </w:tcPr>
          <w:p w14:paraId="450BD6F3">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07EC6E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7" w:type="pct"/>
            <w:vMerge w:val="continue"/>
            <w:tcBorders>
              <w:tl2br w:val="nil"/>
              <w:tr2bl w:val="nil"/>
            </w:tcBorders>
            <w:vAlign w:val="center"/>
          </w:tcPr>
          <w:p w14:paraId="6C156B03">
            <w:pPr>
              <w:spacing w:line="240" w:lineRule="auto"/>
              <w:ind w:left="-72" w:leftChars="-30" w:right="-72" w:rightChars="-30" w:firstLine="0" w:firstLineChars="0"/>
              <w:jc w:val="center"/>
              <w:rPr>
                <w:bCs/>
                <w:color w:val="auto"/>
                <w:sz w:val="21"/>
                <w:szCs w:val="21"/>
                <w:highlight w:val="none"/>
                <w:u w:val="single"/>
              </w:rPr>
            </w:pPr>
          </w:p>
        </w:tc>
        <w:tc>
          <w:tcPr>
            <w:tcW w:w="348" w:type="pct"/>
            <w:vMerge w:val="continue"/>
            <w:tcBorders>
              <w:tl2br w:val="nil"/>
              <w:tr2bl w:val="nil"/>
            </w:tcBorders>
            <w:vAlign w:val="center"/>
          </w:tcPr>
          <w:p w14:paraId="0CB749E7">
            <w:pPr>
              <w:spacing w:line="240" w:lineRule="auto"/>
              <w:ind w:left="-72" w:leftChars="-30" w:right="-72" w:rightChars="-30" w:firstLine="0" w:firstLineChars="0"/>
              <w:rPr>
                <w:bCs/>
                <w:color w:val="auto"/>
                <w:sz w:val="21"/>
                <w:szCs w:val="21"/>
                <w:highlight w:val="none"/>
                <w:u w:val="single"/>
              </w:rPr>
            </w:pPr>
          </w:p>
        </w:tc>
        <w:tc>
          <w:tcPr>
            <w:tcW w:w="739" w:type="pct"/>
            <w:tcBorders>
              <w:tl2br w:val="nil"/>
              <w:tr2bl w:val="nil"/>
            </w:tcBorders>
            <w:vAlign w:val="center"/>
          </w:tcPr>
          <w:p w14:paraId="6E9AE77A">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NOx</w:t>
            </w:r>
            <w:r>
              <w:rPr>
                <w:color w:val="auto"/>
                <w:sz w:val="21"/>
                <w:szCs w:val="21"/>
                <w:highlight w:val="none"/>
                <w:u w:val="single"/>
              </w:rPr>
              <w:t>排放速率（kg/h）</w:t>
            </w:r>
          </w:p>
        </w:tc>
        <w:tc>
          <w:tcPr>
            <w:tcW w:w="390" w:type="pct"/>
            <w:tcBorders>
              <w:tl2br w:val="nil"/>
              <w:tr2bl w:val="nil"/>
            </w:tcBorders>
            <w:vAlign w:val="center"/>
          </w:tcPr>
          <w:p w14:paraId="47AF14E0">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389" w:type="pct"/>
            <w:tcBorders>
              <w:tl2br w:val="nil"/>
              <w:tr2bl w:val="nil"/>
            </w:tcBorders>
            <w:vAlign w:val="center"/>
          </w:tcPr>
          <w:p w14:paraId="22C0C266">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392" w:type="pct"/>
            <w:tcBorders>
              <w:tl2br w:val="nil"/>
              <w:tr2bl w:val="nil"/>
            </w:tcBorders>
            <w:vAlign w:val="center"/>
          </w:tcPr>
          <w:p w14:paraId="57EE818B">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390" w:type="pct"/>
            <w:tcBorders>
              <w:tl2br w:val="nil"/>
              <w:tr2bl w:val="nil"/>
            </w:tcBorders>
            <w:vAlign w:val="center"/>
          </w:tcPr>
          <w:p w14:paraId="73EC9E10">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389" w:type="pct"/>
            <w:tcBorders>
              <w:tl2br w:val="nil"/>
              <w:tr2bl w:val="nil"/>
            </w:tcBorders>
            <w:vAlign w:val="center"/>
          </w:tcPr>
          <w:p w14:paraId="5778D395">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390" w:type="pct"/>
            <w:tcBorders>
              <w:tl2br w:val="nil"/>
              <w:tr2bl w:val="nil"/>
            </w:tcBorders>
            <w:vAlign w:val="center"/>
          </w:tcPr>
          <w:p w14:paraId="5159DA10">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428" w:type="pct"/>
            <w:tcBorders>
              <w:tl2br w:val="nil"/>
              <w:tr2bl w:val="nil"/>
            </w:tcBorders>
            <w:vAlign w:val="center"/>
          </w:tcPr>
          <w:p w14:paraId="7F0F76F8">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387" w:type="pct"/>
            <w:tcBorders>
              <w:tl2br w:val="nil"/>
              <w:tr2bl w:val="nil"/>
            </w:tcBorders>
            <w:vAlign w:val="center"/>
          </w:tcPr>
          <w:p w14:paraId="0F53FC29">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w:t>
            </w:r>
          </w:p>
        </w:tc>
        <w:tc>
          <w:tcPr>
            <w:tcW w:w="258" w:type="pct"/>
            <w:tcBorders>
              <w:tl2br w:val="nil"/>
              <w:tr2bl w:val="nil"/>
            </w:tcBorders>
            <w:vAlign w:val="center"/>
          </w:tcPr>
          <w:p w14:paraId="23FD724F">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0.</w:t>
            </w:r>
            <w:r>
              <w:rPr>
                <w:rFonts w:hint="eastAsia"/>
                <w:color w:val="auto"/>
                <w:sz w:val="21"/>
                <w:szCs w:val="21"/>
                <w:highlight w:val="none"/>
                <w:u w:val="single"/>
              </w:rPr>
              <w:t>77</w:t>
            </w:r>
          </w:p>
        </w:tc>
        <w:tc>
          <w:tcPr>
            <w:tcW w:w="270" w:type="pct"/>
            <w:tcBorders>
              <w:tl2br w:val="nil"/>
              <w:tr2bl w:val="nil"/>
            </w:tcBorders>
            <w:vAlign w:val="center"/>
          </w:tcPr>
          <w:p w14:paraId="4D170A21">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3B10DA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7" w:type="pct"/>
            <w:vMerge w:val="continue"/>
            <w:tcBorders>
              <w:tl2br w:val="nil"/>
              <w:tr2bl w:val="nil"/>
            </w:tcBorders>
            <w:vAlign w:val="center"/>
          </w:tcPr>
          <w:p w14:paraId="1449AF2C">
            <w:pPr>
              <w:spacing w:line="240" w:lineRule="auto"/>
              <w:ind w:left="-72" w:leftChars="-30" w:right="-72" w:rightChars="-30" w:firstLine="0" w:firstLineChars="0"/>
              <w:jc w:val="center"/>
              <w:rPr>
                <w:bCs/>
                <w:color w:val="auto"/>
                <w:sz w:val="21"/>
                <w:szCs w:val="21"/>
                <w:highlight w:val="none"/>
                <w:u w:val="single"/>
              </w:rPr>
            </w:pPr>
          </w:p>
        </w:tc>
        <w:tc>
          <w:tcPr>
            <w:tcW w:w="348" w:type="pct"/>
            <w:vMerge w:val="continue"/>
            <w:tcBorders>
              <w:tl2br w:val="nil"/>
              <w:tr2bl w:val="nil"/>
            </w:tcBorders>
            <w:vAlign w:val="center"/>
          </w:tcPr>
          <w:p w14:paraId="69D1F3E3">
            <w:pPr>
              <w:spacing w:line="240" w:lineRule="auto"/>
              <w:ind w:left="-72" w:leftChars="-30" w:right="-72" w:rightChars="-30" w:firstLine="0" w:firstLineChars="0"/>
              <w:rPr>
                <w:bCs/>
                <w:color w:val="auto"/>
                <w:sz w:val="21"/>
                <w:szCs w:val="21"/>
                <w:highlight w:val="none"/>
                <w:u w:val="single"/>
              </w:rPr>
            </w:pPr>
          </w:p>
        </w:tc>
        <w:tc>
          <w:tcPr>
            <w:tcW w:w="739" w:type="pct"/>
            <w:tcBorders>
              <w:tl2br w:val="nil"/>
              <w:tr2bl w:val="nil"/>
            </w:tcBorders>
            <w:vAlign w:val="center"/>
          </w:tcPr>
          <w:p w14:paraId="3686418D">
            <w:pPr>
              <w:spacing w:line="240" w:lineRule="auto"/>
              <w:ind w:left="-72" w:leftChars="-30" w:right="-72" w:rightChars="-30" w:firstLine="0" w:firstLineChars="0"/>
              <w:jc w:val="center"/>
              <w:rPr>
                <w:color w:val="auto"/>
                <w:sz w:val="21"/>
                <w:szCs w:val="21"/>
                <w:highlight w:val="none"/>
                <w:u w:val="single"/>
              </w:rPr>
            </w:pPr>
            <w:r>
              <w:rPr>
                <w:bCs/>
                <w:color w:val="auto"/>
                <w:spacing w:val="-10"/>
                <w:sz w:val="21"/>
                <w:szCs w:val="21"/>
                <w:highlight w:val="none"/>
                <w:u w:val="single"/>
              </w:rPr>
              <w:t>HCl</w:t>
            </w:r>
            <w:r>
              <w:rPr>
                <w:color w:val="auto"/>
                <w:sz w:val="21"/>
                <w:szCs w:val="21"/>
                <w:highlight w:val="none"/>
                <w:u w:val="single"/>
              </w:rPr>
              <w:t>（mg/m</w:t>
            </w:r>
            <w:r>
              <w:rPr>
                <w:color w:val="auto"/>
                <w:sz w:val="21"/>
                <w:szCs w:val="21"/>
                <w:highlight w:val="none"/>
                <w:u w:val="single"/>
                <w:vertAlign w:val="superscript"/>
              </w:rPr>
              <w:t>3</w:t>
            </w:r>
            <w:r>
              <w:rPr>
                <w:color w:val="auto"/>
                <w:sz w:val="21"/>
                <w:szCs w:val="21"/>
                <w:highlight w:val="none"/>
                <w:u w:val="single"/>
              </w:rPr>
              <w:t>）</w:t>
            </w:r>
          </w:p>
        </w:tc>
        <w:tc>
          <w:tcPr>
            <w:tcW w:w="390" w:type="pct"/>
            <w:tcBorders>
              <w:tl2br w:val="nil"/>
              <w:tr2bl w:val="nil"/>
            </w:tcBorders>
            <w:vAlign w:val="center"/>
          </w:tcPr>
          <w:p w14:paraId="578DA240">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5.2</w:t>
            </w:r>
          </w:p>
        </w:tc>
        <w:tc>
          <w:tcPr>
            <w:tcW w:w="389" w:type="pct"/>
            <w:tcBorders>
              <w:tl2br w:val="nil"/>
              <w:tr2bl w:val="nil"/>
            </w:tcBorders>
            <w:vAlign w:val="center"/>
          </w:tcPr>
          <w:p w14:paraId="6F965DE5">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4.7</w:t>
            </w:r>
          </w:p>
        </w:tc>
        <w:tc>
          <w:tcPr>
            <w:tcW w:w="392" w:type="pct"/>
            <w:tcBorders>
              <w:tl2br w:val="nil"/>
              <w:tr2bl w:val="nil"/>
            </w:tcBorders>
            <w:vAlign w:val="center"/>
          </w:tcPr>
          <w:p w14:paraId="769D0290">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5.7</w:t>
            </w:r>
          </w:p>
        </w:tc>
        <w:tc>
          <w:tcPr>
            <w:tcW w:w="390" w:type="pct"/>
            <w:tcBorders>
              <w:tl2br w:val="nil"/>
              <w:tr2bl w:val="nil"/>
            </w:tcBorders>
            <w:vAlign w:val="center"/>
          </w:tcPr>
          <w:p w14:paraId="00784F91">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5.2</w:t>
            </w:r>
          </w:p>
        </w:tc>
        <w:tc>
          <w:tcPr>
            <w:tcW w:w="389" w:type="pct"/>
            <w:tcBorders>
              <w:tl2br w:val="nil"/>
              <w:tr2bl w:val="nil"/>
            </w:tcBorders>
            <w:vAlign w:val="center"/>
          </w:tcPr>
          <w:p w14:paraId="22912DE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4.2</w:t>
            </w:r>
          </w:p>
        </w:tc>
        <w:tc>
          <w:tcPr>
            <w:tcW w:w="390" w:type="pct"/>
            <w:tcBorders>
              <w:tl2br w:val="nil"/>
              <w:tr2bl w:val="nil"/>
            </w:tcBorders>
            <w:vAlign w:val="center"/>
          </w:tcPr>
          <w:p w14:paraId="369A50DB">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3.7</w:t>
            </w:r>
          </w:p>
        </w:tc>
        <w:tc>
          <w:tcPr>
            <w:tcW w:w="428" w:type="pct"/>
            <w:tcBorders>
              <w:tl2br w:val="nil"/>
              <w:tr2bl w:val="nil"/>
            </w:tcBorders>
            <w:vAlign w:val="center"/>
          </w:tcPr>
          <w:p w14:paraId="591CBC68">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5.3</w:t>
            </w:r>
          </w:p>
        </w:tc>
        <w:tc>
          <w:tcPr>
            <w:tcW w:w="387" w:type="pct"/>
            <w:tcBorders>
              <w:tl2br w:val="nil"/>
              <w:tr2bl w:val="nil"/>
            </w:tcBorders>
            <w:vAlign w:val="center"/>
          </w:tcPr>
          <w:p w14:paraId="3E74D805">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4.4</w:t>
            </w:r>
          </w:p>
        </w:tc>
        <w:tc>
          <w:tcPr>
            <w:tcW w:w="258" w:type="pct"/>
            <w:tcBorders>
              <w:tl2br w:val="nil"/>
              <w:tr2bl w:val="nil"/>
            </w:tcBorders>
            <w:vAlign w:val="center"/>
          </w:tcPr>
          <w:p w14:paraId="2390036C">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100</w:t>
            </w:r>
          </w:p>
        </w:tc>
        <w:tc>
          <w:tcPr>
            <w:tcW w:w="270" w:type="pct"/>
            <w:tcBorders>
              <w:tl2br w:val="nil"/>
              <w:tr2bl w:val="nil"/>
            </w:tcBorders>
            <w:vAlign w:val="center"/>
          </w:tcPr>
          <w:p w14:paraId="66E00446">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0F2628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7" w:type="pct"/>
            <w:vMerge w:val="continue"/>
            <w:tcBorders>
              <w:tl2br w:val="nil"/>
              <w:tr2bl w:val="nil"/>
            </w:tcBorders>
            <w:vAlign w:val="center"/>
          </w:tcPr>
          <w:p w14:paraId="109D4D5C">
            <w:pPr>
              <w:spacing w:line="240" w:lineRule="auto"/>
              <w:ind w:left="-72" w:leftChars="-30" w:right="-72" w:rightChars="-30" w:firstLine="0" w:firstLineChars="0"/>
              <w:jc w:val="center"/>
              <w:rPr>
                <w:bCs/>
                <w:color w:val="auto"/>
                <w:sz w:val="21"/>
                <w:szCs w:val="21"/>
                <w:highlight w:val="none"/>
                <w:u w:val="single"/>
              </w:rPr>
            </w:pPr>
          </w:p>
        </w:tc>
        <w:tc>
          <w:tcPr>
            <w:tcW w:w="348" w:type="pct"/>
            <w:vMerge w:val="continue"/>
            <w:tcBorders>
              <w:tl2br w:val="nil"/>
              <w:tr2bl w:val="nil"/>
            </w:tcBorders>
            <w:vAlign w:val="center"/>
          </w:tcPr>
          <w:p w14:paraId="7DAD78BE">
            <w:pPr>
              <w:spacing w:line="240" w:lineRule="auto"/>
              <w:ind w:left="-72" w:leftChars="-30" w:right="-72" w:rightChars="-30" w:firstLine="0" w:firstLineChars="0"/>
              <w:jc w:val="center"/>
              <w:rPr>
                <w:bCs/>
                <w:color w:val="auto"/>
                <w:sz w:val="21"/>
                <w:szCs w:val="21"/>
                <w:highlight w:val="none"/>
                <w:u w:val="single"/>
              </w:rPr>
            </w:pPr>
          </w:p>
        </w:tc>
        <w:tc>
          <w:tcPr>
            <w:tcW w:w="739" w:type="pct"/>
            <w:tcBorders>
              <w:tl2br w:val="nil"/>
              <w:tr2bl w:val="nil"/>
            </w:tcBorders>
            <w:vAlign w:val="center"/>
          </w:tcPr>
          <w:p w14:paraId="02FE0551">
            <w:pPr>
              <w:spacing w:line="240" w:lineRule="auto"/>
              <w:ind w:left="-72" w:leftChars="-30" w:right="-72" w:rightChars="-30" w:firstLine="0" w:firstLineChars="0"/>
              <w:jc w:val="center"/>
              <w:rPr>
                <w:color w:val="auto"/>
                <w:sz w:val="21"/>
                <w:szCs w:val="21"/>
                <w:highlight w:val="none"/>
                <w:u w:val="single"/>
              </w:rPr>
            </w:pPr>
            <w:r>
              <w:rPr>
                <w:bCs/>
                <w:color w:val="auto"/>
                <w:spacing w:val="-10"/>
                <w:sz w:val="21"/>
                <w:szCs w:val="21"/>
                <w:highlight w:val="none"/>
                <w:u w:val="single"/>
              </w:rPr>
              <w:t>HCl</w:t>
            </w:r>
            <w:r>
              <w:rPr>
                <w:color w:val="auto"/>
                <w:sz w:val="21"/>
                <w:szCs w:val="21"/>
                <w:highlight w:val="none"/>
                <w:u w:val="single"/>
              </w:rPr>
              <w:t>排放速率（kg/h）</w:t>
            </w:r>
          </w:p>
        </w:tc>
        <w:tc>
          <w:tcPr>
            <w:tcW w:w="390" w:type="pct"/>
            <w:tcBorders>
              <w:tl2br w:val="nil"/>
              <w:tr2bl w:val="nil"/>
            </w:tcBorders>
            <w:vAlign w:val="center"/>
          </w:tcPr>
          <w:p w14:paraId="661EA44E">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0.077</w:t>
            </w:r>
          </w:p>
        </w:tc>
        <w:tc>
          <w:tcPr>
            <w:tcW w:w="389" w:type="pct"/>
            <w:tcBorders>
              <w:tl2br w:val="nil"/>
              <w:tr2bl w:val="nil"/>
            </w:tcBorders>
            <w:vAlign w:val="center"/>
          </w:tcPr>
          <w:p w14:paraId="409220CD">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0.064</w:t>
            </w:r>
          </w:p>
        </w:tc>
        <w:tc>
          <w:tcPr>
            <w:tcW w:w="392" w:type="pct"/>
            <w:tcBorders>
              <w:tl2br w:val="nil"/>
              <w:tr2bl w:val="nil"/>
            </w:tcBorders>
            <w:vAlign w:val="center"/>
          </w:tcPr>
          <w:p w14:paraId="4101287F">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0.082</w:t>
            </w:r>
          </w:p>
        </w:tc>
        <w:tc>
          <w:tcPr>
            <w:tcW w:w="390" w:type="pct"/>
            <w:tcBorders>
              <w:tl2br w:val="nil"/>
              <w:tr2bl w:val="nil"/>
            </w:tcBorders>
            <w:vAlign w:val="center"/>
          </w:tcPr>
          <w:p w14:paraId="647B69AD">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0.074</w:t>
            </w:r>
          </w:p>
        </w:tc>
        <w:tc>
          <w:tcPr>
            <w:tcW w:w="389" w:type="pct"/>
            <w:tcBorders>
              <w:tl2br w:val="nil"/>
              <w:tr2bl w:val="nil"/>
            </w:tcBorders>
            <w:vAlign w:val="center"/>
          </w:tcPr>
          <w:p w14:paraId="6D91EE02">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0.052</w:t>
            </w:r>
          </w:p>
        </w:tc>
        <w:tc>
          <w:tcPr>
            <w:tcW w:w="390" w:type="pct"/>
            <w:tcBorders>
              <w:tl2br w:val="nil"/>
              <w:tr2bl w:val="nil"/>
            </w:tcBorders>
            <w:vAlign w:val="center"/>
          </w:tcPr>
          <w:p w14:paraId="1264AC9A">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0.046</w:t>
            </w:r>
          </w:p>
        </w:tc>
        <w:tc>
          <w:tcPr>
            <w:tcW w:w="428" w:type="pct"/>
            <w:tcBorders>
              <w:tl2br w:val="nil"/>
              <w:tr2bl w:val="nil"/>
            </w:tcBorders>
            <w:vAlign w:val="center"/>
          </w:tcPr>
          <w:p w14:paraId="3B3E5CBF">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0.063</w:t>
            </w:r>
          </w:p>
        </w:tc>
        <w:tc>
          <w:tcPr>
            <w:tcW w:w="387" w:type="pct"/>
            <w:tcBorders>
              <w:tl2br w:val="nil"/>
              <w:tr2bl w:val="nil"/>
            </w:tcBorders>
            <w:vAlign w:val="center"/>
          </w:tcPr>
          <w:p w14:paraId="6278EC31">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0.054</w:t>
            </w:r>
          </w:p>
        </w:tc>
        <w:tc>
          <w:tcPr>
            <w:tcW w:w="258" w:type="pct"/>
            <w:tcBorders>
              <w:tl2br w:val="nil"/>
              <w:tr2bl w:val="nil"/>
            </w:tcBorders>
            <w:vAlign w:val="center"/>
          </w:tcPr>
          <w:p w14:paraId="540A07B7">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0.26</w:t>
            </w:r>
          </w:p>
        </w:tc>
        <w:tc>
          <w:tcPr>
            <w:tcW w:w="270" w:type="pct"/>
            <w:tcBorders>
              <w:tl2br w:val="nil"/>
              <w:tr2bl w:val="nil"/>
            </w:tcBorders>
            <w:vAlign w:val="center"/>
          </w:tcPr>
          <w:p w14:paraId="1FD6D13F">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7EE666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7" w:type="pct"/>
            <w:vMerge w:val="continue"/>
            <w:tcBorders>
              <w:tl2br w:val="nil"/>
              <w:tr2bl w:val="nil"/>
            </w:tcBorders>
            <w:vAlign w:val="center"/>
          </w:tcPr>
          <w:p w14:paraId="45F0065E">
            <w:pPr>
              <w:spacing w:line="240" w:lineRule="auto"/>
              <w:ind w:left="-72" w:leftChars="-30" w:right="-72" w:rightChars="-30" w:firstLine="0" w:firstLineChars="0"/>
              <w:jc w:val="center"/>
              <w:rPr>
                <w:bCs/>
                <w:color w:val="auto"/>
                <w:sz w:val="21"/>
                <w:szCs w:val="21"/>
                <w:highlight w:val="none"/>
                <w:u w:val="single"/>
              </w:rPr>
            </w:pPr>
          </w:p>
        </w:tc>
        <w:tc>
          <w:tcPr>
            <w:tcW w:w="348" w:type="pct"/>
            <w:vMerge w:val="continue"/>
            <w:tcBorders>
              <w:tl2br w:val="nil"/>
              <w:tr2bl w:val="nil"/>
            </w:tcBorders>
            <w:vAlign w:val="center"/>
          </w:tcPr>
          <w:p w14:paraId="24311200">
            <w:pPr>
              <w:spacing w:line="240" w:lineRule="auto"/>
              <w:ind w:left="-72" w:leftChars="-30" w:right="-72" w:rightChars="-30" w:firstLine="0" w:firstLineChars="0"/>
              <w:jc w:val="center"/>
              <w:rPr>
                <w:bCs/>
                <w:color w:val="auto"/>
                <w:sz w:val="21"/>
                <w:szCs w:val="21"/>
                <w:highlight w:val="none"/>
                <w:u w:val="single"/>
              </w:rPr>
            </w:pPr>
          </w:p>
        </w:tc>
        <w:tc>
          <w:tcPr>
            <w:tcW w:w="739" w:type="pct"/>
            <w:tcBorders>
              <w:tl2br w:val="nil"/>
              <w:tr2bl w:val="nil"/>
            </w:tcBorders>
            <w:vAlign w:val="center"/>
          </w:tcPr>
          <w:p w14:paraId="098C5947">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硫酸雾</w:t>
            </w:r>
            <w:r>
              <w:rPr>
                <w:color w:val="auto"/>
                <w:sz w:val="21"/>
                <w:szCs w:val="21"/>
                <w:highlight w:val="none"/>
                <w:u w:val="single"/>
              </w:rPr>
              <w:t>（mg/m</w:t>
            </w:r>
            <w:r>
              <w:rPr>
                <w:color w:val="auto"/>
                <w:sz w:val="21"/>
                <w:szCs w:val="21"/>
                <w:highlight w:val="none"/>
                <w:u w:val="single"/>
                <w:vertAlign w:val="superscript"/>
              </w:rPr>
              <w:t>3</w:t>
            </w:r>
            <w:r>
              <w:rPr>
                <w:color w:val="auto"/>
                <w:sz w:val="21"/>
                <w:szCs w:val="21"/>
                <w:highlight w:val="none"/>
                <w:u w:val="single"/>
              </w:rPr>
              <w:t>）</w:t>
            </w:r>
          </w:p>
        </w:tc>
        <w:tc>
          <w:tcPr>
            <w:tcW w:w="390" w:type="pct"/>
            <w:tcBorders>
              <w:tl2br w:val="nil"/>
              <w:tr2bl w:val="nil"/>
            </w:tcBorders>
            <w:vAlign w:val="center"/>
          </w:tcPr>
          <w:p w14:paraId="6849B303">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7</w:t>
            </w:r>
          </w:p>
        </w:tc>
        <w:tc>
          <w:tcPr>
            <w:tcW w:w="389" w:type="pct"/>
            <w:tcBorders>
              <w:tl2br w:val="nil"/>
              <w:tr2bl w:val="nil"/>
            </w:tcBorders>
            <w:vAlign w:val="center"/>
          </w:tcPr>
          <w:p w14:paraId="6E655919">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6</w:t>
            </w:r>
          </w:p>
        </w:tc>
        <w:tc>
          <w:tcPr>
            <w:tcW w:w="392" w:type="pct"/>
            <w:tcBorders>
              <w:tl2br w:val="nil"/>
              <w:tr2bl w:val="nil"/>
            </w:tcBorders>
            <w:vAlign w:val="center"/>
          </w:tcPr>
          <w:p w14:paraId="4117FA36">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8</w:t>
            </w:r>
          </w:p>
        </w:tc>
        <w:tc>
          <w:tcPr>
            <w:tcW w:w="390" w:type="pct"/>
            <w:tcBorders>
              <w:tl2br w:val="nil"/>
              <w:tr2bl w:val="nil"/>
            </w:tcBorders>
            <w:vAlign w:val="center"/>
          </w:tcPr>
          <w:p w14:paraId="4FE6B345">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7</w:t>
            </w:r>
          </w:p>
        </w:tc>
        <w:tc>
          <w:tcPr>
            <w:tcW w:w="389" w:type="pct"/>
            <w:tcBorders>
              <w:tl2br w:val="nil"/>
              <w:tr2bl w:val="nil"/>
            </w:tcBorders>
            <w:vAlign w:val="center"/>
          </w:tcPr>
          <w:p w14:paraId="60784D1C">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7</w:t>
            </w:r>
          </w:p>
        </w:tc>
        <w:tc>
          <w:tcPr>
            <w:tcW w:w="390" w:type="pct"/>
            <w:tcBorders>
              <w:tl2br w:val="nil"/>
              <w:tr2bl w:val="nil"/>
            </w:tcBorders>
            <w:vAlign w:val="center"/>
          </w:tcPr>
          <w:p w14:paraId="02330C5C">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9</w:t>
            </w:r>
          </w:p>
        </w:tc>
        <w:tc>
          <w:tcPr>
            <w:tcW w:w="428" w:type="pct"/>
            <w:tcBorders>
              <w:tl2br w:val="nil"/>
              <w:tr2bl w:val="nil"/>
            </w:tcBorders>
            <w:vAlign w:val="center"/>
          </w:tcPr>
          <w:p w14:paraId="7B6DC916">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8</w:t>
            </w:r>
          </w:p>
        </w:tc>
        <w:tc>
          <w:tcPr>
            <w:tcW w:w="387" w:type="pct"/>
            <w:tcBorders>
              <w:tl2br w:val="nil"/>
              <w:tr2bl w:val="nil"/>
            </w:tcBorders>
            <w:vAlign w:val="center"/>
          </w:tcPr>
          <w:p w14:paraId="3DC83C8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8</w:t>
            </w:r>
          </w:p>
        </w:tc>
        <w:tc>
          <w:tcPr>
            <w:tcW w:w="258" w:type="pct"/>
            <w:tcBorders>
              <w:tl2br w:val="nil"/>
              <w:tr2bl w:val="nil"/>
            </w:tcBorders>
            <w:vAlign w:val="center"/>
          </w:tcPr>
          <w:p w14:paraId="45C67788">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45</w:t>
            </w:r>
          </w:p>
        </w:tc>
        <w:tc>
          <w:tcPr>
            <w:tcW w:w="270" w:type="pct"/>
            <w:tcBorders>
              <w:tl2br w:val="nil"/>
              <w:tr2bl w:val="nil"/>
            </w:tcBorders>
            <w:vAlign w:val="center"/>
          </w:tcPr>
          <w:p w14:paraId="69E4859A">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056C90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7" w:type="pct"/>
            <w:vMerge w:val="continue"/>
            <w:tcBorders>
              <w:tl2br w:val="nil"/>
              <w:tr2bl w:val="nil"/>
            </w:tcBorders>
            <w:vAlign w:val="center"/>
          </w:tcPr>
          <w:p w14:paraId="67E5B2EC">
            <w:pPr>
              <w:spacing w:line="240" w:lineRule="auto"/>
              <w:ind w:left="-72" w:leftChars="-30" w:right="-72" w:rightChars="-30" w:firstLine="0" w:firstLineChars="0"/>
              <w:jc w:val="center"/>
              <w:rPr>
                <w:bCs/>
                <w:color w:val="auto"/>
                <w:sz w:val="21"/>
                <w:szCs w:val="21"/>
                <w:highlight w:val="none"/>
                <w:u w:val="single"/>
              </w:rPr>
            </w:pPr>
          </w:p>
        </w:tc>
        <w:tc>
          <w:tcPr>
            <w:tcW w:w="348" w:type="pct"/>
            <w:vMerge w:val="continue"/>
            <w:tcBorders>
              <w:tl2br w:val="nil"/>
              <w:tr2bl w:val="nil"/>
            </w:tcBorders>
            <w:vAlign w:val="center"/>
          </w:tcPr>
          <w:p w14:paraId="720DFC8B">
            <w:pPr>
              <w:spacing w:line="240" w:lineRule="auto"/>
              <w:ind w:left="-72" w:leftChars="-30" w:right="-72" w:rightChars="-30" w:firstLine="0" w:firstLineChars="0"/>
              <w:jc w:val="center"/>
              <w:rPr>
                <w:bCs/>
                <w:color w:val="auto"/>
                <w:sz w:val="21"/>
                <w:szCs w:val="21"/>
                <w:highlight w:val="none"/>
                <w:u w:val="single"/>
              </w:rPr>
            </w:pPr>
          </w:p>
        </w:tc>
        <w:tc>
          <w:tcPr>
            <w:tcW w:w="739" w:type="pct"/>
            <w:tcBorders>
              <w:tl2br w:val="nil"/>
              <w:tr2bl w:val="nil"/>
            </w:tcBorders>
            <w:vAlign w:val="center"/>
          </w:tcPr>
          <w:p w14:paraId="1D9E6785">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硫酸雾</w:t>
            </w:r>
            <w:r>
              <w:rPr>
                <w:color w:val="auto"/>
                <w:sz w:val="21"/>
                <w:szCs w:val="21"/>
                <w:highlight w:val="none"/>
                <w:u w:val="single"/>
              </w:rPr>
              <w:t>排放速率（kg/h）</w:t>
            </w:r>
          </w:p>
        </w:tc>
        <w:tc>
          <w:tcPr>
            <w:tcW w:w="390" w:type="pct"/>
            <w:tcBorders>
              <w:tl2br w:val="nil"/>
              <w:tr2bl w:val="nil"/>
            </w:tcBorders>
            <w:vAlign w:val="center"/>
          </w:tcPr>
          <w:p w14:paraId="60F6191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0.10</w:t>
            </w:r>
          </w:p>
        </w:tc>
        <w:tc>
          <w:tcPr>
            <w:tcW w:w="389" w:type="pct"/>
            <w:tcBorders>
              <w:tl2br w:val="nil"/>
              <w:tr2bl w:val="nil"/>
            </w:tcBorders>
            <w:vAlign w:val="center"/>
          </w:tcPr>
          <w:p w14:paraId="5C2D0435">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0.082</w:t>
            </w:r>
          </w:p>
        </w:tc>
        <w:tc>
          <w:tcPr>
            <w:tcW w:w="392" w:type="pct"/>
            <w:tcBorders>
              <w:tl2br w:val="nil"/>
              <w:tr2bl w:val="nil"/>
            </w:tcBorders>
            <w:vAlign w:val="center"/>
          </w:tcPr>
          <w:p w14:paraId="46074D5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0.11</w:t>
            </w:r>
          </w:p>
        </w:tc>
        <w:tc>
          <w:tcPr>
            <w:tcW w:w="390" w:type="pct"/>
            <w:tcBorders>
              <w:tl2br w:val="nil"/>
              <w:tr2bl w:val="nil"/>
            </w:tcBorders>
            <w:vAlign w:val="center"/>
          </w:tcPr>
          <w:p w14:paraId="212E74D2">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0.097</w:t>
            </w:r>
          </w:p>
        </w:tc>
        <w:tc>
          <w:tcPr>
            <w:tcW w:w="389" w:type="pct"/>
            <w:tcBorders>
              <w:tl2br w:val="nil"/>
              <w:tr2bl w:val="nil"/>
            </w:tcBorders>
            <w:vAlign w:val="center"/>
          </w:tcPr>
          <w:p w14:paraId="0E4465F2">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0.087</w:t>
            </w:r>
          </w:p>
        </w:tc>
        <w:tc>
          <w:tcPr>
            <w:tcW w:w="390" w:type="pct"/>
            <w:tcBorders>
              <w:tl2br w:val="nil"/>
              <w:tr2bl w:val="nil"/>
            </w:tcBorders>
            <w:vAlign w:val="center"/>
          </w:tcPr>
          <w:p w14:paraId="7107BD98">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0.11</w:t>
            </w:r>
          </w:p>
        </w:tc>
        <w:tc>
          <w:tcPr>
            <w:tcW w:w="428" w:type="pct"/>
            <w:tcBorders>
              <w:tl2br w:val="nil"/>
              <w:tr2bl w:val="nil"/>
            </w:tcBorders>
            <w:vAlign w:val="center"/>
          </w:tcPr>
          <w:p w14:paraId="51015166">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0.095</w:t>
            </w:r>
          </w:p>
        </w:tc>
        <w:tc>
          <w:tcPr>
            <w:tcW w:w="387" w:type="pct"/>
            <w:tcBorders>
              <w:tl2br w:val="nil"/>
              <w:tr2bl w:val="nil"/>
            </w:tcBorders>
            <w:vAlign w:val="center"/>
          </w:tcPr>
          <w:p w14:paraId="3A9CA686">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0.097</w:t>
            </w:r>
          </w:p>
        </w:tc>
        <w:tc>
          <w:tcPr>
            <w:tcW w:w="258" w:type="pct"/>
            <w:tcBorders>
              <w:tl2br w:val="nil"/>
              <w:tr2bl w:val="nil"/>
            </w:tcBorders>
            <w:vAlign w:val="center"/>
          </w:tcPr>
          <w:p w14:paraId="26AD2ECF">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1.5</w:t>
            </w:r>
          </w:p>
        </w:tc>
        <w:tc>
          <w:tcPr>
            <w:tcW w:w="270" w:type="pct"/>
            <w:tcBorders>
              <w:tl2br w:val="nil"/>
              <w:tr2bl w:val="nil"/>
            </w:tcBorders>
            <w:vAlign w:val="center"/>
          </w:tcPr>
          <w:p w14:paraId="5CE983A7">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bl>
    <w:p w14:paraId="30E8FD18">
      <w:pPr>
        <w:pStyle w:val="91"/>
        <w:ind w:left="0" w:leftChars="0" w:firstLine="0" w:firstLineChars="0"/>
        <w:rPr>
          <w:rFonts w:ascii="Times New Roman" w:hAnsi="Times New Roman" w:cs="Times New Roman"/>
          <w:color w:val="auto"/>
          <w:highlight w:val="none"/>
          <w:u w:val="single"/>
        </w:rPr>
      </w:pPr>
      <w:r>
        <w:rPr>
          <w:rFonts w:hint="eastAsia" w:ascii="Times New Roman" w:hAnsi="Times New Roman" w:cs="Times New Roman"/>
          <w:b/>
          <w:bCs/>
          <w:color w:val="auto"/>
          <w:highlight w:val="none"/>
          <w:u w:val="single"/>
        </w:rPr>
        <w:t>注：ND为未检出。</w:t>
      </w:r>
    </w:p>
    <w:p w14:paraId="754245C0">
      <w:pPr>
        <w:pStyle w:val="38"/>
        <w:spacing w:after="0" w:line="240" w:lineRule="auto"/>
        <w:ind w:firstLine="0" w:firstLineChars="0"/>
        <w:jc w:val="center"/>
        <w:rPr>
          <w:b/>
          <w:color w:val="auto"/>
          <w:sz w:val="21"/>
          <w:szCs w:val="21"/>
          <w:highlight w:val="none"/>
          <w:u w:val="single"/>
        </w:rPr>
      </w:pPr>
      <w:r>
        <w:rPr>
          <w:b/>
          <w:color w:val="auto"/>
          <w:sz w:val="21"/>
          <w:szCs w:val="21"/>
          <w:highlight w:val="none"/>
          <w:u w:val="single"/>
        </w:rPr>
        <w:t>表2.1-</w:t>
      </w:r>
      <w:r>
        <w:rPr>
          <w:rFonts w:hint="eastAsia"/>
          <w:b/>
          <w:color w:val="auto"/>
          <w:sz w:val="21"/>
          <w:szCs w:val="21"/>
          <w:highlight w:val="none"/>
          <w:u w:val="single"/>
        </w:rPr>
        <w:t>11危化品及危废暂存间</w:t>
      </w:r>
      <w:r>
        <w:rPr>
          <w:b/>
          <w:color w:val="auto"/>
          <w:sz w:val="21"/>
          <w:szCs w:val="21"/>
          <w:highlight w:val="none"/>
          <w:u w:val="single"/>
        </w:rPr>
        <w:t>尾气排放监测结果</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32"/>
        <w:gridCol w:w="1430"/>
        <w:gridCol w:w="3039"/>
        <w:gridCol w:w="1600"/>
        <w:gridCol w:w="1598"/>
        <w:gridCol w:w="1617"/>
        <w:gridCol w:w="1600"/>
        <w:gridCol w:w="1080"/>
        <w:gridCol w:w="1088"/>
      </w:tblGrid>
      <w:tr w14:paraId="3973AA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3" w:type="pct"/>
            <w:vMerge w:val="restart"/>
            <w:tcBorders>
              <w:tl2br w:val="nil"/>
              <w:tr2bl w:val="nil"/>
            </w:tcBorders>
            <w:vAlign w:val="center"/>
          </w:tcPr>
          <w:p w14:paraId="0A7AD442">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车间</w:t>
            </w:r>
          </w:p>
          <w:p w14:paraId="252DA50C">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设施</w:t>
            </w:r>
          </w:p>
        </w:tc>
        <w:tc>
          <w:tcPr>
            <w:tcW w:w="511" w:type="pct"/>
            <w:vMerge w:val="restart"/>
            <w:tcBorders>
              <w:tl2br w:val="nil"/>
              <w:tr2bl w:val="nil"/>
            </w:tcBorders>
            <w:vAlign w:val="center"/>
          </w:tcPr>
          <w:p w14:paraId="63217242">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监测</w:t>
            </w:r>
          </w:p>
          <w:p w14:paraId="152930F6">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点位</w:t>
            </w:r>
          </w:p>
        </w:tc>
        <w:tc>
          <w:tcPr>
            <w:tcW w:w="1086" w:type="pct"/>
            <w:vMerge w:val="restart"/>
            <w:tcBorders>
              <w:tl2br w:val="nil"/>
              <w:tr2bl w:val="nil"/>
            </w:tcBorders>
            <w:vAlign w:val="center"/>
          </w:tcPr>
          <w:p w14:paraId="6847FED1">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监测项目</w:t>
            </w:r>
          </w:p>
        </w:tc>
        <w:tc>
          <w:tcPr>
            <w:tcW w:w="1721" w:type="pct"/>
            <w:gridSpan w:val="3"/>
            <w:tcBorders>
              <w:tl2br w:val="nil"/>
              <w:tr2bl w:val="nil"/>
            </w:tcBorders>
            <w:vAlign w:val="center"/>
          </w:tcPr>
          <w:p w14:paraId="2D0793A2">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监测结果</w:t>
            </w:r>
          </w:p>
        </w:tc>
        <w:tc>
          <w:tcPr>
            <w:tcW w:w="572" w:type="pct"/>
            <w:vMerge w:val="restart"/>
            <w:tcBorders>
              <w:tl2br w:val="nil"/>
              <w:tr2bl w:val="nil"/>
            </w:tcBorders>
            <w:vAlign w:val="center"/>
          </w:tcPr>
          <w:p w14:paraId="16B7836C">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均值</w:t>
            </w:r>
          </w:p>
        </w:tc>
        <w:tc>
          <w:tcPr>
            <w:tcW w:w="386" w:type="pct"/>
            <w:vMerge w:val="restart"/>
            <w:tcBorders>
              <w:tl2br w:val="nil"/>
              <w:tr2bl w:val="nil"/>
            </w:tcBorders>
            <w:vAlign w:val="center"/>
          </w:tcPr>
          <w:p w14:paraId="19398A59">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执行</w:t>
            </w:r>
          </w:p>
          <w:p w14:paraId="4F7D3014">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标准</w:t>
            </w:r>
          </w:p>
        </w:tc>
        <w:tc>
          <w:tcPr>
            <w:tcW w:w="389" w:type="pct"/>
            <w:vMerge w:val="restart"/>
            <w:tcBorders>
              <w:tl2br w:val="nil"/>
              <w:tr2bl w:val="nil"/>
            </w:tcBorders>
            <w:vAlign w:val="center"/>
          </w:tcPr>
          <w:p w14:paraId="10AA4E81">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结果</w:t>
            </w:r>
          </w:p>
          <w:p w14:paraId="7092592B">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评价</w:t>
            </w:r>
          </w:p>
        </w:tc>
      </w:tr>
      <w:tr w14:paraId="5C689D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3" w:type="pct"/>
            <w:vMerge w:val="continue"/>
            <w:tcBorders>
              <w:tl2br w:val="nil"/>
              <w:tr2bl w:val="nil"/>
            </w:tcBorders>
            <w:vAlign w:val="center"/>
          </w:tcPr>
          <w:p w14:paraId="25554FCE">
            <w:pPr>
              <w:spacing w:line="240" w:lineRule="auto"/>
              <w:ind w:firstLine="422"/>
              <w:jc w:val="center"/>
              <w:rPr>
                <w:b/>
                <w:bCs/>
                <w:color w:val="auto"/>
                <w:sz w:val="21"/>
                <w:szCs w:val="21"/>
                <w:highlight w:val="none"/>
                <w:u w:val="single"/>
              </w:rPr>
            </w:pPr>
          </w:p>
        </w:tc>
        <w:tc>
          <w:tcPr>
            <w:tcW w:w="511" w:type="pct"/>
            <w:vMerge w:val="continue"/>
            <w:tcBorders>
              <w:tl2br w:val="nil"/>
              <w:tr2bl w:val="nil"/>
            </w:tcBorders>
            <w:vAlign w:val="center"/>
          </w:tcPr>
          <w:p w14:paraId="54E34D2E">
            <w:pPr>
              <w:spacing w:line="240" w:lineRule="auto"/>
              <w:ind w:firstLine="422"/>
              <w:jc w:val="center"/>
              <w:rPr>
                <w:b/>
                <w:bCs/>
                <w:color w:val="auto"/>
                <w:sz w:val="21"/>
                <w:szCs w:val="21"/>
                <w:highlight w:val="none"/>
                <w:u w:val="single"/>
              </w:rPr>
            </w:pPr>
          </w:p>
        </w:tc>
        <w:tc>
          <w:tcPr>
            <w:tcW w:w="1086" w:type="pct"/>
            <w:vMerge w:val="continue"/>
            <w:tcBorders>
              <w:tl2br w:val="nil"/>
              <w:tr2bl w:val="nil"/>
            </w:tcBorders>
            <w:vAlign w:val="center"/>
          </w:tcPr>
          <w:p w14:paraId="2F14B228">
            <w:pPr>
              <w:spacing w:line="240" w:lineRule="auto"/>
              <w:ind w:firstLine="422"/>
              <w:jc w:val="center"/>
              <w:rPr>
                <w:b/>
                <w:bCs/>
                <w:color w:val="auto"/>
                <w:sz w:val="21"/>
                <w:szCs w:val="21"/>
                <w:highlight w:val="none"/>
                <w:u w:val="single"/>
              </w:rPr>
            </w:pPr>
          </w:p>
        </w:tc>
        <w:tc>
          <w:tcPr>
            <w:tcW w:w="1721" w:type="pct"/>
            <w:gridSpan w:val="3"/>
            <w:tcBorders>
              <w:tl2br w:val="nil"/>
              <w:tr2bl w:val="nil"/>
            </w:tcBorders>
            <w:vAlign w:val="center"/>
          </w:tcPr>
          <w:p w14:paraId="48037735">
            <w:pPr>
              <w:spacing w:line="240" w:lineRule="auto"/>
              <w:ind w:firstLine="0" w:firstLineChars="0"/>
              <w:jc w:val="center"/>
              <w:rPr>
                <w:b/>
                <w:bCs/>
                <w:color w:val="auto"/>
                <w:sz w:val="21"/>
                <w:szCs w:val="21"/>
                <w:highlight w:val="none"/>
                <w:u w:val="single"/>
              </w:rPr>
            </w:pPr>
            <w:r>
              <w:rPr>
                <w:rFonts w:hint="eastAsia"/>
                <w:b/>
                <w:bCs/>
                <w:color w:val="auto"/>
                <w:sz w:val="21"/>
                <w:szCs w:val="21"/>
                <w:highlight w:val="none"/>
                <w:u w:val="single"/>
              </w:rPr>
              <w:t>2025</w:t>
            </w:r>
            <w:r>
              <w:rPr>
                <w:b/>
                <w:bCs/>
                <w:color w:val="auto"/>
                <w:sz w:val="21"/>
                <w:szCs w:val="21"/>
                <w:highlight w:val="none"/>
                <w:u w:val="single"/>
              </w:rPr>
              <w:t>年</w:t>
            </w:r>
            <w:r>
              <w:rPr>
                <w:rFonts w:hint="eastAsia"/>
                <w:b/>
                <w:bCs/>
                <w:color w:val="auto"/>
                <w:sz w:val="21"/>
                <w:szCs w:val="21"/>
                <w:highlight w:val="none"/>
                <w:u w:val="single"/>
              </w:rPr>
              <w:t>6</w:t>
            </w:r>
            <w:r>
              <w:rPr>
                <w:b/>
                <w:bCs/>
                <w:color w:val="auto"/>
                <w:sz w:val="21"/>
                <w:szCs w:val="21"/>
                <w:highlight w:val="none"/>
                <w:u w:val="single"/>
              </w:rPr>
              <w:t>月</w:t>
            </w:r>
            <w:r>
              <w:rPr>
                <w:rFonts w:hint="eastAsia"/>
                <w:b/>
                <w:bCs/>
                <w:color w:val="auto"/>
                <w:sz w:val="21"/>
                <w:szCs w:val="21"/>
                <w:highlight w:val="none"/>
                <w:u w:val="single"/>
              </w:rPr>
              <w:t>3</w:t>
            </w:r>
            <w:r>
              <w:rPr>
                <w:b/>
                <w:bCs/>
                <w:color w:val="auto"/>
                <w:sz w:val="21"/>
                <w:szCs w:val="21"/>
                <w:highlight w:val="none"/>
                <w:u w:val="single"/>
              </w:rPr>
              <w:t>日</w:t>
            </w:r>
          </w:p>
        </w:tc>
        <w:tc>
          <w:tcPr>
            <w:tcW w:w="572" w:type="pct"/>
            <w:vMerge w:val="continue"/>
            <w:tcBorders>
              <w:tl2br w:val="nil"/>
              <w:tr2bl w:val="nil"/>
            </w:tcBorders>
            <w:vAlign w:val="center"/>
          </w:tcPr>
          <w:p w14:paraId="4800FB74">
            <w:pPr>
              <w:spacing w:line="240" w:lineRule="auto"/>
              <w:ind w:firstLine="0" w:firstLineChars="0"/>
              <w:jc w:val="center"/>
              <w:rPr>
                <w:b/>
                <w:bCs/>
                <w:color w:val="auto"/>
                <w:sz w:val="21"/>
                <w:szCs w:val="21"/>
                <w:highlight w:val="none"/>
                <w:u w:val="single"/>
              </w:rPr>
            </w:pPr>
          </w:p>
        </w:tc>
        <w:tc>
          <w:tcPr>
            <w:tcW w:w="386" w:type="pct"/>
            <w:vMerge w:val="continue"/>
            <w:tcBorders>
              <w:tl2br w:val="nil"/>
              <w:tr2bl w:val="nil"/>
            </w:tcBorders>
            <w:vAlign w:val="center"/>
          </w:tcPr>
          <w:p w14:paraId="68BB6AC1">
            <w:pPr>
              <w:spacing w:line="240" w:lineRule="auto"/>
              <w:ind w:firstLine="422"/>
              <w:jc w:val="center"/>
              <w:rPr>
                <w:b/>
                <w:bCs/>
                <w:color w:val="auto"/>
                <w:sz w:val="21"/>
                <w:szCs w:val="21"/>
                <w:highlight w:val="none"/>
                <w:u w:val="single"/>
              </w:rPr>
            </w:pPr>
          </w:p>
        </w:tc>
        <w:tc>
          <w:tcPr>
            <w:tcW w:w="389" w:type="pct"/>
            <w:vMerge w:val="continue"/>
            <w:tcBorders>
              <w:tl2br w:val="nil"/>
              <w:tr2bl w:val="nil"/>
            </w:tcBorders>
            <w:vAlign w:val="center"/>
          </w:tcPr>
          <w:p w14:paraId="78FB513E">
            <w:pPr>
              <w:spacing w:line="240" w:lineRule="auto"/>
              <w:ind w:firstLine="422"/>
              <w:jc w:val="center"/>
              <w:rPr>
                <w:b/>
                <w:bCs/>
                <w:color w:val="auto"/>
                <w:sz w:val="21"/>
                <w:szCs w:val="21"/>
                <w:highlight w:val="none"/>
                <w:u w:val="single"/>
              </w:rPr>
            </w:pPr>
          </w:p>
        </w:tc>
      </w:tr>
      <w:tr w14:paraId="705611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3" w:type="pct"/>
            <w:vMerge w:val="continue"/>
            <w:tcBorders>
              <w:tl2br w:val="nil"/>
              <w:tr2bl w:val="nil"/>
            </w:tcBorders>
            <w:vAlign w:val="center"/>
          </w:tcPr>
          <w:p w14:paraId="34667A0C">
            <w:pPr>
              <w:spacing w:line="240" w:lineRule="auto"/>
              <w:ind w:firstLine="422"/>
              <w:jc w:val="center"/>
              <w:rPr>
                <w:b/>
                <w:bCs/>
                <w:color w:val="auto"/>
                <w:sz w:val="21"/>
                <w:szCs w:val="21"/>
                <w:highlight w:val="none"/>
                <w:u w:val="single"/>
              </w:rPr>
            </w:pPr>
          </w:p>
        </w:tc>
        <w:tc>
          <w:tcPr>
            <w:tcW w:w="511" w:type="pct"/>
            <w:vMerge w:val="continue"/>
            <w:tcBorders>
              <w:tl2br w:val="nil"/>
              <w:tr2bl w:val="nil"/>
            </w:tcBorders>
            <w:vAlign w:val="center"/>
          </w:tcPr>
          <w:p w14:paraId="5A64DC40">
            <w:pPr>
              <w:spacing w:line="240" w:lineRule="auto"/>
              <w:ind w:firstLine="422"/>
              <w:jc w:val="center"/>
              <w:rPr>
                <w:b/>
                <w:bCs/>
                <w:color w:val="auto"/>
                <w:sz w:val="21"/>
                <w:szCs w:val="21"/>
                <w:highlight w:val="none"/>
                <w:u w:val="single"/>
              </w:rPr>
            </w:pPr>
          </w:p>
        </w:tc>
        <w:tc>
          <w:tcPr>
            <w:tcW w:w="1086" w:type="pct"/>
            <w:vMerge w:val="continue"/>
            <w:tcBorders>
              <w:tl2br w:val="nil"/>
              <w:tr2bl w:val="nil"/>
            </w:tcBorders>
            <w:vAlign w:val="center"/>
          </w:tcPr>
          <w:p w14:paraId="6A625E6F">
            <w:pPr>
              <w:spacing w:line="240" w:lineRule="auto"/>
              <w:ind w:firstLine="422"/>
              <w:jc w:val="center"/>
              <w:rPr>
                <w:b/>
                <w:bCs/>
                <w:color w:val="auto"/>
                <w:sz w:val="21"/>
                <w:szCs w:val="21"/>
                <w:highlight w:val="none"/>
                <w:u w:val="single"/>
              </w:rPr>
            </w:pPr>
          </w:p>
        </w:tc>
        <w:tc>
          <w:tcPr>
            <w:tcW w:w="572" w:type="pct"/>
            <w:tcBorders>
              <w:tl2br w:val="nil"/>
              <w:tr2bl w:val="nil"/>
            </w:tcBorders>
            <w:vAlign w:val="center"/>
          </w:tcPr>
          <w:p w14:paraId="5ACDCAB3">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第</w:t>
            </w:r>
            <w:r>
              <w:rPr>
                <w:rFonts w:hint="eastAsia"/>
                <w:b/>
                <w:bCs/>
                <w:color w:val="auto"/>
                <w:sz w:val="21"/>
                <w:szCs w:val="21"/>
                <w:highlight w:val="none"/>
                <w:u w:val="single"/>
              </w:rPr>
              <w:t>一</w:t>
            </w:r>
            <w:r>
              <w:rPr>
                <w:b/>
                <w:bCs/>
                <w:color w:val="auto"/>
                <w:sz w:val="21"/>
                <w:szCs w:val="21"/>
                <w:highlight w:val="none"/>
                <w:u w:val="single"/>
              </w:rPr>
              <w:t>次</w:t>
            </w:r>
          </w:p>
        </w:tc>
        <w:tc>
          <w:tcPr>
            <w:tcW w:w="571" w:type="pct"/>
            <w:tcBorders>
              <w:tl2br w:val="nil"/>
              <w:tr2bl w:val="nil"/>
            </w:tcBorders>
            <w:vAlign w:val="center"/>
          </w:tcPr>
          <w:p w14:paraId="23E610F7">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第</w:t>
            </w:r>
            <w:r>
              <w:rPr>
                <w:rFonts w:hint="eastAsia"/>
                <w:b/>
                <w:bCs/>
                <w:color w:val="auto"/>
                <w:sz w:val="21"/>
                <w:szCs w:val="21"/>
                <w:highlight w:val="none"/>
                <w:u w:val="single"/>
              </w:rPr>
              <w:t>二</w:t>
            </w:r>
            <w:r>
              <w:rPr>
                <w:b/>
                <w:bCs/>
                <w:color w:val="auto"/>
                <w:sz w:val="21"/>
                <w:szCs w:val="21"/>
                <w:highlight w:val="none"/>
                <w:u w:val="single"/>
              </w:rPr>
              <w:t>次</w:t>
            </w:r>
          </w:p>
        </w:tc>
        <w:tc>
          <w:tcPr>
            <w:tcW w:w="577" w:type="pct"/>
            <w:tcBorders>
              <w:tl2br w:val="nil"/>
              <w:tr2bl w:val="nil"/>
            </w:tcBorders>
            <w:vAlign w:val="center"/>
          </w:tcPr>
          <w:p w14:paraId="4C25A8B3">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第三次</w:t>
            </w:r>
          </w:p>
        </w:tc>
        <w:tc>
          <w:tcPr>
            <w:tcW w:w="572" w:type="pct"/>
            <w:vMerge w:val="continue"/>
            <w:tcBorders>
              <w:tl2br w:val="nil"/>
              <w:tr2bl w:val="nil"/>
            </w:tcBorders>
            <w:vAlign w:val="center"/>
          </w:tcPr>
          <w:p w14:paraId="5BC5B41E">
            <w:pPr>
              <w:spacing w:line="240" w:lineRule="auto"/>
              <w:ind w:firstLine="0" w:firstLineChars="0"/>
              <w:jc w:val="center"/>
              <w:rPr>
                <w:b/>
                <w:bCs/>
                <w:color w:val="auto"/>
                <w:sz w:val="21"/>
                <w:szCs w:val="21"/>
                <w:highlight w:val="none"/>
                <w:u w:val="single"/>
              </w:rPr>
            </w:pPr>
          </w:p>
        </w:tc>
        <w:tc>
          <w:tcPr>
            <w:tcW w:w="386" w:type="pct"/>
            <w:vMerge w:val="continue"/>
            <w:tcBorders>
              <w:tl2br w:val="nil"/>
              <w:tr2bl w:val="nil"/>
            </w:tcBorders>
            <w:vAlign w:val="center"/>
          </w:tcPr>
          <w:p w14:paraId="4A9BBB9D">
            <w:pPr>
              <w:spacing w:line="240" w:lineRule="auto"/>
              <w:ind w:firstLine="422"/>
              <w:jc w:val="center"/>
              <w:rPr>
                <w:b/>
                <w:bCs/>
                <w:color w:val="auto"/>
                <w:sz w:val="21"/>
                <w:szCs w:val="21"/>
                <w:highlight w:val="none"/>
                <w:u w:val="single"/>
              </w:rPr>
            </w:pPr>
          </w:p>
        </w:tc>
        <w:tc>
          <w:tcPr>
            <w:tcW w:w="389" w:type="pct"/>
            <w:vMerge w:val="continue"/>
            <w:tcBorders>
              <w:tl2br w:val="nil"/>
              <w:tr2bl w:val="nil"/>
            </w:tcBorders>
            <w:vAlign w:val="center"/>
          </w:tcPr>
          <w:p w14:paraId="53795245">
            <w:pPr>
              <w:spacing w:line="240" w:lineRule="auto"/>
              <w:ind w:firstLine="422"/>
              <w:jc w:val="center"/>
              <w:rPr>
                <w:b/>
                <w:bCs/>
                <w:color w:val="auto"/>
                <w:sz w:val="21"/>
                <w:szCs w:val="21"/>
                <w:highlight w:val="none"/>
                <w:u w:val="single"/>
              </w:rPr>
            </w:pPr>
          </w:p>
        </w:tc>
      </w:tr>
      <w:tr w14:paraId="79C21A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3" w:type="pct"/>
            <w:vMerge w:val="restart"/>
            <w:tcBorders>
              <w:tl2br w:val="nil"/>
              <w:tr2bl w:val="nil"/>
            </w:tcBorders>
            <w:vAlign w:val="center"/>
          </w:tcPr>
          <w:p w14:paraId="30F9E040">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活性炭吸附</w:t>
            </w:r>
            <w:r>
              <w:rPr>
                <w:bCs/>
                <w:color w:val="auto"/>
                <w:sz w:val="21"/>
                <w:szCs w:val="21"/>
                <w:highlight w:val="none"/>
                <w:u w:val="single"/>
              </w:rPr>
              <w:t>装置</w:t>
            </w:r>
          </w:p>
        </w:tc>
        <w:tc>
          <w:tcPr>
            <w:tcW w:w="511" w:type="pct"/>
            <w:vMerge w:val="restart"/>
            <w:tcBorders>
              <w:tl2br w:val="nil"/>
              <w:tr2bl w:val="nil"/>
            </w:tcBorders>
            <w:vAlign w:val="center"/>
          </w:tcPr>
          <w:p w14:paraId="7D1CD189">
            <w:pPr>
              <w:spacing w:line="240" w:lineRule="auto"/>
              <w:ind w:firstLine="0" w:firstLineChars="0"/>
              <w:jc w:val="center"/>
              <w:rPr>
                <w:bCs/>
                <w:color w:val="auto"/>
                <w:sz w:val="21"/>
                <w:szCs w:val="21"/>
                <w:highlight w:val="none"/>
                <w:u w:val="single"/>
              </w:rPr>
            </w:pPr>
            <w:r>
              <w:rPr>
                <w:bCs/>
                <w:color w:val="auto"/>
                <w:sz w:val="21"/>
                <w:szCs w:val="21"/>
                <w:highlight w:val="none"/>
                <w:u w:val="single"/>
              </w:rPr>
              <w:t xml:space="preserve"> 危化品及危废暂存间</w:t>
            </w:r>
            <w:r>
              <w:rPr>
                <w:rFonts w:hint="eastAsia"/>
                <w:bCs/>
                <w:color w:val="auto"/>
                <w:sz w:val="21"/>
                <w:szCs w:val="21"/>
                <w:highlight w:val="none"/>
                <w:u w:val="single"/>
              </w:rPr>
              <w:t>废气</w:t>
            </w:r>
            <w:r>
              <w:rPr>
                <w:bCs/>
                <w:color w:val="auto"/>
                <w:sz w:val="21"/>
                <w:szCs w:val="21"/>
                <w:highlight w:val="none"/>
                <w:u w:val="single"/>
              </w:rPr>
              <w:t>处理设施后排气筒</w:t>
            </w:r>
            <w:r>
              <w:rPr>
                <w:rFonts w:hint="eastAsia"/>
                <w:bCs/>
                <w:color w:val="auto"/>
                <w:sz w:val="21"/>
                <w:szCs w:val="21"/>
                <w:highlight w:val="none"/>
                <w:u w:val="single"/>
              </w:rPr>
              <w:t>(DA006)</w:t>
            </w:r>
          </w:p>
        </w:tc>
        <w:tc>
          <w:tcPr>
            <w:tcW w:w="1086" w:type="pct"/>
            <w:tcBorders>
              <w:tl2br w:val="nil"/>
              <w:tr2bl w:val="nil"/>
            </w:tcBorders>
            <w:vAlign w:val="center"/>
          </w:tcPr>
          <w:p w14:paraId="559F7040">
            <w:pPr>
              <w:spacing w:line="240" w:lineRule="auto"/>
              <w:ind w:firstLine="0" w:firstLineChars="0"/>
              <w:jc w:val="center"/>
              <w:rPr>
                <w:color w:val="auto"/>
                <w:sz w:val="21"/>
                <w:szCs w:val="21"/>
                <w:highlight w:val="none"/>
                <w:u w:val="single"/>
              </w:rPr>
            </w:pPr>
            <w:r>
              <w:rPr>
                <w:color w:val="auto"/>
                <w:sz w:val="21"/>
                <w:szCs w:val="21"/>
                <w:highlight w:val="none"/>
                <w:u w:val="single"/>
              </w:rPr>
              <w:t>烟气排气量（m</w:t>
            </w:r>
            <w:r>
              <w:rPr>
                <w:color w:val="auto"/>
                <w:sz w:val="21"/>
                <w:szCs w:val="21"/>
                <w:highlight w:val="none"/>
                <w:u w:val="single"/>
                <w:vertAlign w:val="superscript"/>
              </w:rPr>
              <w:t>3</w:t>
            </w:r>
            <w:r>
              <w:rPr>
                <w:color w:val="auto"/>
                <w:sz w:val="21"/>
                <w:szCs w:val="21"/>
                <w:highlight w:val="none"/>
                <w:u w:val="single"/>
              </w:rPr>
              <w:t>/h）</w:t>
            </w:r>
          </w:p>
        </w:tc>
        <w:tc>
          <w:tcPr>
            <w:tcW w:w="572" w:type="pct"/>
            <w:tcBorders>
              <w:tl2br w:val="nil"/>
              <w:tr2bl w:val="nil"/>
            </w:tcBorders>
            <w:vAlign w:val="center"/>
          </w:tcPr>
          <w:p w14:paraId="60A22E46">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4188</w:t>
            </w:r>
          </w:p>
        </w:tc>
        <w:tc>
          <w:tcPr>
            <w:tcW w:w="571" w:type="pct"/>
            <w:tcBorders>
              <w:tl2br w:val="nil"/>
              <w:tr2bl w:val="nil"/>
            </w:tcBorders>
            <w:vAlign w:val="center"/>
          </w:tcPr>
          <w:p w14:paraId="48D62A44">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5026</w:t>
            </w:r>
          </w:p>
        </w:tc>
        <w:tc>
          <w:tcPr>
            <w:tcW w:w="577" w:type="pct"/>
            <w:tcBorders>
              <w:tl2br w:val="nil"/>
              <w:tr2bl w:val="nil"/>
            </w:tcBorders>
            <w:vAlign w:val="center"/>
          </w:tcPr>
          <w:p w14:paraId="5B204FB0">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4550</w:t>
            </w:r>
          </w:p>
        </w:tc>
        <w:tc>
          <w:tcPr>
            <w:tcW w:w="572" w:type="pct"/>
            <w:tcBorders>
              <w:tl2br w:val="nil"/>
              <w:tr2bl w:val="nil"/>
            </w:tcBorders>
            <w:vAlign w:val="center"/>
          </w:tcPr>
          <w:p w14:paraId="019DFCBE">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4588</w:t>
            </w:r>
          </w:p>
        </w:tc>
        <w:tc>
          <w:tcPr>
            <w:tcW w:w="386" w:type="pct"/>
            <w:tcBorders>
              <w:tl2br w:val="nil"/>
              <w:tr2bl w:val="nil"/>
            </w:tcBorders>
            <w:vAlign w:val="center"/>
          </w:tcPr>
          <w:p w14:paraId="24F5A46C">
            <w:pPr>
              <w:spacing w:line="240" w:lineRule="auto"/>
              <w:ind w:firstLine="0" w:firstLineChars="0"/>
              <w:jc w:val="center"/>
              <w:rPr>
                <w:bCs/>
                <w:color w:val="auto"/>
                <w:sz w:val="21"/>
                <w:szCs w:val="21"/>
                <w:highlight w:val="none"/>
                <w:u w:val="single"/>
              </w:rPr>
            </w:pPr>
            <w:r>
              <w:rPr>
                <w:bCs/>
                <w:color w:val="auto"/>
                <w:sz w:val="21"/>
                <w:szCs w:val="21"/>
                <w:highlight w:val="none"/>
                <w:u w:val="single"/>
              </w:rPr>
              <w:t>/</w:t>
            </w:r>
          </w:p>
        </w:tc>
        <w:tc>
          <w:tcPr>
            <w:tcW w:w="389" w:type="pct"/>
            <w:tcBorders>
              <w:tl2br w:val="nil"/>
              <w:tr2bl w:val="nil"/>
            </w:tcBorders>
            <w:vAlign w:val="center"/>
          </w:tcPr>
          <w:p w14:paraId="7EB17AD4">
            <w:pPr>
              <w:spacing w:line="240" w:lineRule="auto"/>
              <w:ind w:firstLine="0" w:firstLineChars="0"/>
              <w:jc w:val="center"/>
              <w:rPr>
                <w:bCs/>
                <w:color w:val="auto"/>
                <w:sz w:val="21"/>
                <w:szCs w:val="21"/>
                <w:highlight w:val="none"/>
                <w:u w:val="single"/>
              </w:rPr>
            </w:pPr>
            <w:r>
              <w:rPr>
                <w:bCs/>
                <w:color w:val="auto"/>
                <w:sz w:val="21"/>
                <w:szCs w:val="21"/>
                <w:highlight w:val="none"/>
                <w:u w:val="single"/>
              </w:rPr>
              <w:t>/</w:t>
            </w:r>
          </w:p>
        </w:tc>
      </w:tr>
      <w:tr w14:paraId="751BCD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3" w:type="pct"/>
            <w:vMerge w:val="continue"/>
            <w:tcBorders>
              <w:tl2br w:val="nil"/>
              <w:tr2bl w:val="nil"/>
            </w:tcBorders>
            <w:vAlign w:val="center"/>
          </w:tcPr>
          <w:p w14:paraId="26731C06">
            <w:pPr>
              <w:spacing w:line="240" w:lineRule="auto"/>
              <w:ind w:firstLine="0" w:firstLineChars="0"/>
              <w:rPr>
                <w:bCs/>
                <w:color w:val="auto"/>
                <w:sz w:val="21"/>
                <w:szCs w:val="21"/>
                <w:highlight w:val="none"/>
                <w:u w:val="single"/>
              </w:rPr>
            </w:pPr>
          </w:p>
        </w:tc>
        <w:tc>
          <w:tcPr>
            <w:tcW w:w="511" w:type="pct"/>
            <w:vMerge w:val="continue"/>
            <w:tcBorders>
              <w:tl2br w:val="nil"/>
              <w:tr2bl w:val="nil"/>
            </w:tcBorders>
            <w:vAlign w:val="center"/>
          </w:tcPr>
          <w:p w14:paraId="2906C668">
            <w:pPr>
              <w:spacing w:line="240" w:lineRule="auto"/>
              <w:ind w:firstLine="0" w:firstLineChars="0"/>
              <w:rPr>
                <w:bCs/>
                <w:color w:val="auto"/>
                <w:sz w:val="21"/>
                <w:szCs w:val="21"/>
                <w:highlight w:val="none"/>
                <w:u w:val="single"/>
              </w:rPr>
            </w:pPr>
          </w:p>
        </w:tc>
        <w:tc>
          <w:tcPr>
            <w:tcW w:w="1086" w:type="pct"/>
            <w:tcBorders>
              <w:tl2br w:val="nil"/>
              <w:tr2bl w:val="nil"/>
            </w:tcBorders>
            <w:vAlign w:val="center"/>
          </w:tcPr>
          <w:p w14:paraId="03F64E6A">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烟气流速(m/s)</w:t>
            </w:r>
          </w:p>
        </w:tc>
        <w:tc>
          <w:tcPr>
            <w:tcW w:w="572" w:type="pct"/>
            <w:tcBorders>
              <w:tl2br w:val="nil"/>
              <w:tr2bl w:val="nil"/>
            </w:tcBorders>
            <w:vAlign w:val="center"/>
          </w:tcPr>
          <w:p w14:paraId="1B2AE8B0">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3.5</w:t>
            </w:r>
          </w:p>
        </w:tc>
        <w:tc>
          <w:tcPr>
            <w:tcW w:w="571" w:type="pct"/>
            <w:tcBorders>
              <w:tl2br w:val="nil"/>
              <w:tr2bl w:val="nil"/>
            </w:tcBorders>
            <w:vAlign w:val="center"/>
          </w:tcPr>
          <w:p w14:paraId="582D79E8">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4.2</w:t>
            </w:r>
          </w:p>
        </w:tc>
        <w:tc>
          <w:tcPr>
            <w:tcW w:w="577" w:type="pct"/>
            <w:tcBorders>
              <w:tl2br w:val="nil"/>
              <w:tr2bl w:val="nil"/>
            </w:tcBorders>
            <w:vAlign w:val="center"/>
          </w:tcPr>
          <w:p w14:paraId="63AAAE8B">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3.8</w:t>
            </w:r>
          </w:p>
        </w:tc>
        <w:tc>
          <w:tcPr>
            <w:tcW w:w="572" w:type="pct"/>
            <w:tcBorders>
              <w:tl2br w:val="nil"/>
              <w:tr2bl w:val="nil"/>
            </w:tcBorders>
            <w:vAlign w:val="center"/>
          </w:tcPr>
          <w:p w14:paraId="25F6EE9A">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3.8</w:t>
            </w:r>
          </w:p>
        </w:tc>
        <w:tc>
          <w:tcPr>
            <w:tcW w:w="386" w:type="pct"/>
            <w:tcBorders>
              <w:tl2br w:val="nil"/>
              <w:tr2bl w:val="nil"/>
            </w:tcBorders>
            <w:vAlign w:val="center"/>
          </w:tcPr>
          <w:p w14:paraId="0D2C5733">
            <w:pPr>
              <w:spacing w:line="240" w:lineRule="auto"/>
              <w:ind w:firstLine="0" w:firstLineChars="0"/>
              <w:jc w:val="center"/>
              <w:rPr>
                <w:bCs/>
                <w:color w:val="auto"/>
                <w:sz w:val="21"/>
                <w:szCs w:val="21"/>
                <w:highlight w:val="none"/>
                <w:u w:val="single"/>
              </w:rPr>
            </w:pPr>
            <w:r>
              <w:rPr>
                <w:bCs/>
                <w:color w:val="auto"/>
                <w:sz w:val="21"/>
                <w:szCs w:val="21"/>
                <w:highlight w:val="none"/>
                <w:u w:val="single"/>
              </w:rPr>
              <w:t>/</w:t>
            </w:r>
          </w:p>
        </w:tc>
        <w:tc>
          <w:tcPr>
            <w:tcW w:w="389" w:type="pct"/>
            <w:tcBorders>
              <w:tl2br w:val="nil"/>
              <w:tr2bl w:val="nil"/>
            </w:tcBorders>
            <w:vAlign w:val="center"/>
          </w:tcPr>
          <w:p w14:paraId="7919FD6A">
            <w:pPr>
              <w:spacing w:line="240" w:lineRule="auto"/>
              <w:ind w:firstLine="0" w:firstLineChars="0"/>
              <w:jc w:val="center"/>
              <w:rPr>
                <w:bCs/>
                <w:color w:val="auto"/>
                <w:sz w:val="21"/>
                <w:szCs w:val="21"/>
                <w:highlight w:val="none"/>
                <w:u w:val="single"/>
              </w:rPr>
            </w:pPr>
            <w:r>
              <w:rPr>
                <w:bCs/>
                <w:color w:val="auto"/>
                <w:sz w:val="21"/>
                <w:szCs w:val="21"/>
                <w:highlight w:val="none"/>
                <w:u w:val="single"/>
              </w:rPr>
              <w:t>/</w:t>
            </w:r>
          </w:p>
        </w:tc>
      </w:tr>
      <w:tr w14:paraId="224B89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3" w:type="pct"/>
            <w:vMerge w:val="continue"/>
            <w:tcBorders>
              <w:tl2br w:val="nil"/>
              <w:tr2bl w:val="nil"/>
            </w:tcBorders>
            <w:vAlign w:val="center"/>
          </w:tcPr>
          <w:p w14:paraId="46969489">
            <w:pPr>
              <w:spacing w:line="240" w:lineRule="auto"/>
              <w:ind w:firstLine="0" w:firstLineChars="0"/>
              <w:rPr>
                <w:bCs/>
                <w:color w:val="auto"/>
                <w:sz w:val="21"/>
                <w:szCs w:val="21"/>
                <w:highlight w:val="none"/>
                <w:u w:val="single"/>
              </w:rPr>
            </w:pPr>
          </w:p>
        </w:tc>
        <w:tc>
          <w:tcPr>
            <w:tcW w:w="511" w:type="pct"/>
            <w:vMerge w:val="continue"/>
            <w:tcBorders>
              <w:tl2br w:val="nil"/>
              <w:tr2bl w:val="nil"/>
            </w:tcBorders>
            <w:vAlign w:val="center"/>
          </w:tcPr>
          <w:p w14:paraId="19CD2EC1">
            <w:pPr>
              <w:spacing w:line="240" w:lineRule="auto"/>
              <w:ind w:firstLine="0" w:firstLineChars="0"/>
              <w:rPr>
                <w:bCs/>
                <w:color w:val="auto"/>
                <w:sz w:val="21"/>
                <w:szCs w:val="21"/>
                <w:highlight w:val="none"/>
                <w:u w:val="single"/>
              </w:rPr>
            </w:pPr>
          </w:p>
        </w:tc>
        <w:tc>
          <w:tcPr>
            <w:tcW w:w="1086" w:type="pct"/>
            <w:tcBorders>
              <w:tl2br w:val="nil"/>
              <w:tr2bl w:val="nil"/>
            </w:tcBorders>
            <w:vAlign w:val="center"/>
          </w:tcPr>
          <w:p w14:paraId="6F875390">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烟温（℃）</w:t>
            </w:r>
          </w:p>
        </w:tc>
        <w:tc>
          <w:tcPr>
            <w:tcW w:w="572" w:type="pct"/>
            <w:tcBorders>
              <w:tl2br w:val="nil"/>
              <w:tr2bl w:val="nil"/>
            </w:tcBorders>
            <w:vAlign w:val="center"/>
          </w:tcPr>
          <w:p w14:paraId="359DB705">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27.4</w:t>
            </w:r>
          </w:p>
        </w:tc>
        <w:tc>
          <w:tcPr>
            <w:tcW w:w="571" w:type="pct"/>
            <w:tcBorders>
              <w:tl2br w:val="nil"/>
              <w:tr2bl w:val="nil"/>
            </w:tcBorders>
            <w:vAlign w:val="center"/>
          </w:tcPr>
          <w:p w14:paraId="7E831075">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27.6</w:t>
            </w:r>
          </w:p>
        </w:tc>
        <w:tc>
          <w:tcPr>
            <w:tcW w:w="577" w:type="pct"/>
            <w:tcBorders>
              <w:tl2br w:val="nil"/>
              <w:tr2bl w:val="nil"/>
            </w:tcBorders>
            <w:vAlign w:val="center"/>
          </w:tcPr>
          <w:p w14:paraId="051B49F3">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27.2</w:t>
            </w:r>
          </w:p>
        </w:tc>
        <w:tc>
          <w:tcPr>
            <w:tcW w:w="572" w:type="pct"/>
            <w:tcBorders>
              <w:tl2br w:val="nil"/>
              <w:tr2bl w:val="nil"/>
            </w:tcBorders>
            <w:vAlign w:val="center"/>
          </w:tcPr>
          <w:p w14:paraId="02F0A30F">
            <w:pPr>
              <w:spacing w:line="240" w:lineRule="auto"/>
              <w:ind w:firstLine="0" w:firstLineChars="0"/>
              <w:jc w:val="center"/>
              <w:rPr>
                <w:bCs/>
                <w:color w:val="auto"/>
                <w:sz w:val="21"/>
                <w:szCs w:val="21"/>
                <w:highlight w:val="none"/>
                <w:u w:val="single"/>
              </w:rPr>
            </w:pPr>
            <w:r>
              <w:rPr>
                <w:rFonts w:hint="eastAsia"/>
                <w:bCs/>
                <w:color w:val="auto"/>
                <w:sz w:val="21"/>
                <w:szCs w:val="21"/>
                <w:highlight w:val="none"/>
                <w:u w:val="single"/>
              </w:rPr>
              <w:t>27.4</w:t>
            </w:r>
          </w:p>
        </w:tc>
        <w:tc>
          <w:tcPr>
            <w:tcW w:w="386" w:type="pct"/>
            <w:tcBorders>
              <w:tl2br w:val="nil"/>
              <w:tr2bl w:val="nil"/>
            </w:tcBorders>
            <w:vAlign w:val="center"/>
          </w:tcPr>
          <w:p w14:paraId="64AC1744">
            <w:pPr>
              <w:spacing w:line="240" w:lineRule="auto"/>
              <w:ind w:firstLine="0" w:firstLineChars="0"/>
              <w:jc w:val="center"/>
              <w:rPr>
                <w:bCs/>
                <w:color w:val="auto"/>
                <w:sz w:val="21"/>
                <w:szCs w:val="21"/>
                <w:highlight w:val="none"/>
                <w:u w:val="single"/>
              </w:rPr>
            </w:pPr>
            <w:r>
              <w:rPr>
                <w:bCs/>
                <w:color w:val="auto"/>
                <w:sz w:val="21"/>
                <w:szCs w:val="21"/>
                <w:highlight w:val="none"/>
                <w:u w:val="single"/>
              </w:rPr>
              <w:t>/</w:t>
            </w:r>
          </w:p>
        </w:tc>
        <w:tc>
          <w:tcPr>
            <w:tcW w:w="389" w:type="pct"/>
            <w:tcBorders>
              <w:tl2br w:val="nil"/>
              <w:tr2bl w:val="nil"/>
            </w:tcBorders>
            <w:vAlign w:val="center"/>
          </w:tcPr>
          <w:p w14:paraId="39057AFA">
            <w:pPr>
              <w:spacing w:line="240" w:lineRule="auto"/>
              <w:ind w:firstLine="0" w:firstLineChars="0"/>
              <w:jc w:val="center"/>
              <w:rPr>
                <w:bCs/>
                <w:color w:val="auto"/>
                <w:sz w:val="21"/>
                <w:szCs w:val="21"/>
                <w:highlight w:val="none"/>
                <w:u w:val="single"/>
              </w:rPr>
            </w:pPr>
            <w:r>
              <w:rPr>
                <w:bCs/>
                <w:color w:val="auto"/>
                <w:sz w:val="21"/>
                <w:szCs w:val="21"/>
                <w:highlight w:val="none"/>
                <w:u w:val="single"/>
              </w:rPr>
              <w:t>/</w:t>
            </w:r>
          </w:p>
        </w:tc>
      </w:tr>
      <w:tr w14:paraId="0F8187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3" w:type="pct"/>
            <w:vMerge w:val="continue"/>
            <w:tcBorders>
              <w:tl2br w:val="nil"/>
              <w:tr2bl w:val="nil"/>
            </w:tcBorders>
            <w:vAlign w:val="center"/>
          </w:tcPr>
          <w:p w14:paraId="46DAAB09">
            <w:pPr>
              <w:spacing w:line="240" w:lineRule="auto"/>
              <w:ind w:firstLine="420"/>
              <w:jc w:val="center"/>
              <w:rPr>
                <w:bCs/>
                <w:color w:val="auto"/>
                <w:sz w:val="21"/>
                <w:szCs w:val="21"/>
                <w:highlight w:val="none"/>
                <w:u w:val="single"/>
              </w:rPr>
            </w:pPr>
          </w:p>
        </w:tc>
        <w:tc>
          <w:tcPr>
            <w:tcW w:w="511" w:type="pct"/>
            <w:vMerge w:val="continue"/>
            <w:tcBorders>
              <w:tl2br w:val="nil"/>
              <w:tr2bl w:val="nil"/>
            </w:tcBorders>
            <w:vAlign w:val="center"/>
          </w:tcPr>
          <w:p w14:paraId="4DE065BD">
            <w:pPr>
              <w:spacing w:line="240" w:lineRule="auto"/>
              <w:ind w:firstLine="420"/>
              <w:jc w:val="center"/>
              <w:rPr>
                <w:bCs/>
                <w:color w:val="auto"/>
                <w:sz w:val="21"/>
                <w:szCs w:val="21"/>
                <w:highlight w:val="none"/>
                <w:u w:val="single"/>
              </w:rPr>
            </w:pPr>
          </w:p>
        </w:tc>
        <w:tc>
          <w:tcPr>
            <w:tcW w:w="1086" w:type="pct"/>
            <w:tcBorders>
              <w:tl2br w:val="nil"/>
              <w:tr2bl w:val="nil"/>
            </w:tcBorders>
            <w:vAlign w:val="center"/>
          </w:tcPr>
          <w:p w14:paraId="34ABEBF6">
            <w:pPr>
              <w:spacing w:line="240" w:lineRule="auto"/>
              <w:ind w:firstLine="0" w:firstLineChars="0"/>
              <w:jc w:val="center"/>
              <w:rPr>
                <w:color w:val="auto"/>
                <w:sz w:val="21"/>
                <w:szCs w:val="21"/>
                <w:highlight w:val="none"/>
                <w:u w:val="single"/>
              </w:rPr>
            </w:pPr>
            <w:r>
              <w:rPr>
                <w:color w:val="auto"/>
                <w:sz w:val="21"/>
                <w:szCs w:val="21"/>
                <w:highlight w:val="none"/>
                <w:u w:val="single"/>
              </w:rPr>
              <w:t>二甲苯（mg/m</w:t>
            </w:r>
            <w:r>
              <w:rPr>
                <w:color w:val="auto"/>
                <w:sz w:val="21"/>
                <w:szCs w:val="21"/>
                <w:highlight w:val="none"/>
                <w:u w:val="single"/>
                <w:vertAlign w:val="superscript"/>
              </w:rPr>
              <w:t>3</w:t>
            </w:r>
            <w:r>
              <w:rPr>
                <w:color w:val="auto"/>
                <w:sz w:val="21"/>
                <w:szCs w:val="21"/>
                <w:highlight w:val="none"/>
                <w:u w:val="single"/>
              </w:rPr>
              <w:t>）</w:t>
            </w:r>
          </w:p>
        </w:tc>
        <w:tc>
          <w:tcPr>
            <w:tcW w:w="572" w:type="pct"/>
            <w:tcBorders>
              <w:tl2br w:val="nil"/>
              <w:tr2bl w:val="nil"/>
            </w:tcBorders>
            <w:vAlign w:val="center"/>
          </w:tcPr>
          <w:p w14:paraId="42881036">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ND</w:t>
            </w:r>
          </w:p>
        </w:tc>
        <w:tc>
          <w:tcPr>
            <w:tcW w:w="571" w:type="pct"/>
            <w:tcBorders>
              <w:tl2br w:val="nil"/>
              <w:tr2bl w:val="nil"/>
            </w:tcBorders>
            <w:vAlign w:val="center"/>
          </w:tcPr>
          <w:p w14:paraId="78E2CB45">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ND</w:t>
            </w:r>
          </w:p>
        </w:tc>
        <w:tc>
          <w:tcPr>
            <w:tcW w:w="577" w:type="pct"/>
            <w:tcBorders>
              <w:tl2br w:val="nil"/>
              <w:tr2bl w:val="nil"/>
            </w:tcBorders>
            <w:vAlign w:val="center"/>
          </w:tcPr>
          <w:p w14:paraId="2F9D063C">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ND</w:t>
            </w:r>
          </w:p>
        </w:tc>
        <w:tc>
          <w:tcPr>
            <w:tcW w:w="572" w:type="pct"/>
            <w:tcBorders>
              <w:tl2br w:val="nil"/>
              <w:tr2bl w:val="nil"/>
            </w:tcBorders>
            <w:vAlign w:val="center"/>
          </w:tcPr>
          <w:p w14:paraId="3605027D">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ND</w:t>
            </w:r>
          </w:p>
        </w:tc>
        <w:tc>
          <w:tcPr>
            <w:tcW w:w="386" w:type="pct"/>
            <w:tcBorders>
              <w:tl2br w:val="nil"/>
              <w:tr2bl w:val="nil"/>
            </w:tcBorders>
            <w:vAlign w:val="center"/>
          </w:tcPr>
          <w:p w14:paraId="793D5551">
            <w:pPr>
              <w:spacing w:line="240" w:lineRule="auto"/>
              <w:ind w:firstLine="0" w:firstLineChars="0"/>
              <w:jc w:val="center"/>
              <w:rPr>
                <w:color w:val="auto"/>
                <w:sz w:val="21"/>
                <w:szCs w:val="21"/>
                <w:highlight w:val="none"/>
                <w:u w:val="single"/>
              </w:rPr>
            </w:pPr>
            <w:r>
              <w:rPr>
                <w:color w:val="auto"/>
                <w:sz w:val="21"/>
                <w:szCs w:val="21"/>
                <w:highlight w:val="none"/>
                <w:u w:val="single"/>
              </w:rPr>
              <w:t>70</w:t>
            </w:r>
          </w:p>
        </w:tc>
        <w:tc>
          <w:tcPr>
            <w:tcW w:w="389" w:type="pct"/>
            <w:tcBorders>
              <w:tl2br w:val="nil"/>
              <w:tr2bl w:val="nil"/>
            </w:tcBorders>
            <w:vAlign w:val="center"/>
          </w:tcPr>
          <w:p w14:paraId="40FEF172">
            <w:pPr>
              <w:spacing w:line="240" w:lineRule="auto"/>
              <w:ind w:firstLine="0" w:firstLineChars="0"/>
              <w:jc w:val="center"/>
              <w:rPr>
                <w:color w:val="auto"/>
                <w:sz w:val="21"/>
                <w:szCs w:val="21"/>
                <w:highlight w:val="none"/>
                <w:u w:val="single"/>
              </w:rPr>
            </w:pPr>
            <w:r>
              <w:rPr>
                <w:color w:val="auto"/>
                <w:sz w:val="21"/>
                <w:szCs w:val="21"/>
                <w:highlight w:val="none"/>
                <w:u w:val="single"/>
              </w:rPr>
              <w:t>达标</w:t>
            </w:r>
          </w:p>
        </w:tc>
      </w:tr>
      <w:tr w14:paraId="5AA8ED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3" w:type="pct"/>
            <w:vMerge w:val="continue"/>
            <w:tcBorders>
              <w:tl2br w:val="nil"/>
              <w:tr2bl w:val="nil"/>
            </w:tcBorders>
            <w:vAlign w:val="center"/>
          </w:tcPr>
          <w:p w14:paraId="77320824">
            <w:pPr>
              <w:spacing w:line="240" w:lineRule="auto"/>
              <w:ind w:firstLine="420"/>
              <w:jc w:val="center"/>
              <w:rPr>
                <w:bCs/>
                <w:color w:val="auto"/>
                <w:sz w:val="21"/>
                <w:szCs w:val="21"/>
                <w:highlight w:val="none"/>
                <w:u w:val="single"/>
              </w:rPr>
            </w:pPr>
          </w:p>
        </w:tc>
        <w:tc>
          <w:tcPr>
            <w:tcW w:w="511" w:type="pct"/>
            <w:vMerge w:val="continue"/>
            <w:tcBorders>
              <w:tl2br w:val="nil"/>
              <w:tr2bl w:val="nil"/>
            </w:tcBorders>
            <w:vAlign w:val="center"/>
          </w:tcPr>
          <w:p w14:paraId="556F50BA">
            <w:pPr>
              <w:spacing w:line="240" w:lineRule="auto"/>
              <w:ind w:firstLine="420"/>
              <w:jc w:val="center"/>
              <w:rPr>
                <w:bCs/>
                <w:color w:val="auto"/>
                <w:sz w:val="21"/>
                <w:szCs w:val="21"/>
                <w:highlight w:val="none"/>
                <w:u w:val="single"/>
              </w:rPr>
            </w:pPr>
          </w:p>
        </w:tc>
        <w:tc>
          <w:tcPr>
            <w:tcW w:w="1086" w:type="pct"/>
            <w:tcBorders>
              <w:tl2br w:val="nil"/>
              <w:tr2bl w:val="nil"/>
            </w:tcBorders>
            <w:vAlign w:val="center"/>
          </w:tcPr>
          <w:p w14:paraId="2A78CEF5">
            <w:pPr>
              <w:spacing w:line="240" w:lineRule="auto"/>
              <w:ind w:firstLine="0" w:firstLineChars="0"/>
              <w:jc w:val="center"/>
              <w:rPr>
                <w:color w:val="auto"/>
                <w:sz w:val="21"/>
                <w:szCs w:val="21"/>
                <w:highlight w:val="none"/>
                <w:u w:val="single"/>
              </w:rPr>
            </w:pPr>
            <w:r>
              <w:rPr>
                <w:color w:val="auto"/>
                <w:sz w:val="21"/>
                <w:szCs w:val="21"/>
                <w:highlight w:val="none"/>
                <w:u w:val="single"/>
              </w:rPr>
              <w:t>二甲苯排放速率（kg/h）</w:t>
            </w:r>
          </w:p>
        </w:tc>
        <w:tc>
          <w:tcPr>
            <w:tcW w:w="572" w:type="pct"/>
            <w:tcBorders>
              <w:tl2br w:val="nil"/>
              <w:tr2bl w:val="nil"/>
            </w:tcBorders>
            <w:vAlign w:val="center"/>
          </w:tcPr>
          <w:p w14:paraId="77A8493E">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w:t>
            </w:r>
          </w:p>
        </w:tc>
        <w:tc>
          <w:tcPr>
            <w:tcW w:w="571" w:type="pct"/>
            <w:tcBorders>
              <w:tl2br w:val="nil"/>
              <w:tr2bl w:val="nil"/>
            </w:tcBorders>
            <w:vAlign w:val="center"/>
          </w:tcPr>
          <w:p w14:paraId="0E0ED13A">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w:t>
            </w:r>
          </w:p>
        </w:tc>
        <w:tc>
          <w:tcPr>
            <w:tcW w:w="577" w:type="pct"/>
            <w:tcBorders>
              <w:tl2br w:val="nil"/>
              <w:tr2bl w:val="nil"/>
            </w:tcBorders>
            <w:vAlign w:val="center"/>
          </w:tcPr>
          <w:p w14:paraId="697D61BA">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w:t>
            </w:r>
          </w:p>
        </w:tc>
        <w:tc>
          <w:tcPr>
            <w:tcW w:w="572" w:type="pct"/>
            <w:tcBorders>
              <w:tl2br w:val="nil"/>
              <w:tr2bl w:val="nil"/>
            </w:tcBorders>
            <w:vAlign w:val="center"/>
          </w:tcPr>
          <w:p w14:paraId="0A1B1D9A">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w:t>
            </w:r>
          </w:p>
        </w:tc>
        <w:tc>
          <w:tcPr>
            <w:tcW w:w="386" w:type="pct"/>
            <w:tcBorders>
              <w:tl2br w:val="nil"/>
              <w:tr2bl w:val="nil"/>
            </w:tcBorders>
            <w:vAlign w:val="center"/>
          </w:tcPr>
          <w:p w14:paraId="4D4B482E">
            <w:pPr>
              <w:spacing w:line="240" w:lineRule="auto"/>
              <w:ind w:firstLine="0" w:firstLineChars="0"/>
              <w:jc w:val="center"/>
              <w:rPr>
                <w:color w:val="auto"/>
                <w:sz w:val="21"/>
                <w:szCs w:val="21"/>
                <w:highlight w:val="none"/>
                <w:u w:val="single"/>
              </w:rPr>
            </w:pPr>
            <w:r>
              <w:rPr>
                <w:color w:val="auto"/>
                <w:sz w:val="21"/>
                <w:szCs w:val="21"/>
                <w:highlight w:val="none"/>
                <w:u w:val="single"/>
              </w:rPr>
              <w:t>1.0</w:t>
            </w:r>
          </w:p>
        </w:tc>
        <w:tc>
          <w:tcPr>
            <w:tcW w:w="389" w:type="pct"/>
            <w:tcBorders>
              <w:tl2br w:val="nil"/>
              <w:tr2bl w:val="nil"/>
            </w:tcBorders>
            <w:vAlign w:val="center"/>
          </w:tcPr>
          <w:p w14:paraId="5C1CDF21">
            <w:pPr>
              <w:spacing w:line="240" w:lineRule="auto"/>
              <w:ind w:firstLine="0" w:firstLineChars="0"/>
              <w:jc w:val="center"/>
              <w:rPr>
                <w:color w:val="auto"/>
                <w:sz w:val="21"/>
                <w:szCs w:val="21"/>
                <w:highlight w:val="none"/>
                <w:u w:val="single"/>
              </w:rPr>
            </w:pPr>
            <w:r>
              <w:rPr>
                <w:color w:val="auto"/>
                <w:sz w:val="21"/>
                <w:szCs w:val="21"/>
                <w:highlight w:val="none"/>
                <w:u w:val="single"/>
              </w:rPr>
              <w:t>达标</w:t>
            </w:r>
          </w:p>
        </w:tc>
      </w:tr>
      <w:tr w14:paraId="38B69A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3" w:type="pct"/>
            <w:vMerge w:val="continue"/>
            <w:tcBorders>
              <w:tl2br w:val="nil"/>
              <w:tr2bl w:val="nil"/>
            </w:tcBorders>
            <w:vAlign w:val="center"/>
          </w:tcPr>
          <w:p w14:paraId="1DB3B768">
            <w:pPr>
              <w:spacing w:line="240" w:lineRule="auto"/>
              <w:ind w:firstLine="420"/>
              <w:jc w:val="center"/>
              <w:rPr>
                <w:bCs/>
                <w:color w:val="auto"/>
                <w:sz w:val="21"/>
                <w:szCs w:val="21"/>
                <w:highlight w:val="none"/>
                <w:u w:val="single"/>
              </w:rPr>
            </w:pPr>
          </w:p>
        </w:tc>
        <w:tc>
          <w:tcPr>
            <w:tcW w:w="511" w:type="pct"/>
            <w:vMerge w:val="continue"/>
            <w:tcBorders>
              <w:tl2br w:val="nil"/>
              <w:tr2bl w:val="nil"/>
            </w:tcBorders>
            <w:vAlign w:val="center"/>
          </w:tcPr>
          <w:p w14:paraId="128FE049">
            <w:pPr>
              <w:spacing w:line="240" w:lineRule="auto"/>
              <w:ind w:firstLine="420"/>
              <w:jc w:val="center"/>
              <w:rPr>
                <w:bCs/>
                <w:color w:val="auto"/>
                <w:sz w:val="21"/>
                <w:szCs w:val="21"/>
                <w:highlight w:val="none"/>
                <w:u w:val="single"/>
              </w:rPr>
            </w:pPr>
          </w:p>
        </w:tc>
        <w:tc>
          <w:tcPr>
            <w:tcW w:w="1086" w:type="pct"/>
            <w:tcBorders>
              <w:tl2br w:val="nil"/>
              <w:tr2bl w:val="nil"/>
            </w:tcBorders>
            <w:vAlign w:val="center"/>
          </w:tcPr>
          <w:p w14:paraId="349BF948">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挥发性有机物</w:t>
            </w:r>
            <w:r>
              <w:rPr>
                <w:color w:val="auto"/>
                <w:sz w:val="21"/>
                <w:szCs w:val="21"/>
                <w:highlight w:val="none"/>
                <w:u w:val="single"/>
              </w:rPr>
              <w:t>（mg/m</w:t>
            </w:r>
            <w:r>
              <w:rPr>
                <w:color w:val="auto"/>
                <w:sz w:val="21"/>
                <w:szCs w:val="21"/>
                <w:highlight w:val="none"/>
                <w:u w:val="single"/>
                <w:vertAlign w:val="superscript"/>
              </w:rPr>
              <w:t>3</w:t>
            </w:r>
            <w:r>
              <w:rPr>
                <w:color w:val="auto"/>
                <w:sz w:val="21"/>
                <w:szCs w:val="21"/>
                <w:highlight w:val="none"/>
                <w:u w:val="single"/>
              </w:rPr>
              <w:t>）</w:t>
            </w:r>
          </w:p>
        </w:tc>
        <w:tc>
          <w:tcPr>
            <w:tcW w:w="572" w:type="pct"/>
            <w:tcBorders>
              <w:tl2br w:val="nil"/>
              <w:tr2bl w:val="nil"/>
            </w:tcBorders>
            <w:vAlign w:val="center"/>
          </w:tcPr>
          <w:p w14:paraId="5EB711CD">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1.99</w:t>
            </w:r>
          </w:p>
        </w:tc>
        <w:tc>
          <w:tcPr>
            <w:tcW w:w="571" w:type="pct"/>
            <w:tcBorders>
              <w:tl2br w:val="nil"/>
              <w:tr2bl w:val="nil"/>
            </w:tcBorders>
            <w:vAlign w:val="center"/>
          </w:tcPr>
          <w:p w14:paraId="3032CCBA">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2.12</w:t>
            </w:r>
          </w:p>
        </w:tc>
        <w:tc>
          <w:tcPr>
            <w:tcW w:w="577" w:type="pct"/>
            <w:tcBorders>
              <w:tl2br w:val="nil"/>
              <w:tr2bl w:val="nil"/>
            </w:tcBorders>
            <w:vAlign w:val="center"/>
          </w:tcPr>
          <w:p w14:paraId="27E4BA96">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1.64</w:t>
            </w:r>
          </w:p>
        </w:tc>
        <w:tc>
          <w:tcPr>
            <w:tcW w:w="572" w:type="pct"/>
            <w:tcBorders>
              <w:tl2br w:val="nil"/>
              <w:tr2bl w:val="nil"/>
            </w:tcBorders>
            <w:vAlign w:val="center"/>
          </w:tcPr>
          <w:p w14:paraId="0CD6DD1E">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1.92</w:t>
            </w:r>
          </w:p>
        </w:tc>
        <w:tc>
          <w:tcPr>
            <w:tcW w:w="386" w:type="pct"/>
            <w:tcBorders>
              <w:tl2br w:val="nil"/>
              <w:tr2bl w:val="nil"/>
            </w:tcBorders>
            <w:vAlign w:val="center"/>
          </w:tcPr>
          <w:p w14:paraId="29ED8C76">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120</w:t>
            </w:r>
          </w:p>
        </w:tc>
        <w:tc>
          <w:tcPr>
            <w:tcW w:w="389" w:type="pct"/>
            <w:tcBorders>
              <w:tl2br w:val="nil"/>
              <w:tr2bl w:val="nil"/>
            </w:tcBorders>
            <w:vAlign w:val="center"/>
          </w:tcPr>
          <w:p w14:paraId="19324610">
            <w:pPr>
              <w:spacing w:line="240" w:lineRule="auto"/>
              <w:ind w:firstLine="0" w:firstLineChars="0"/>
              <w:jc w:val="center"/>
              <w:rPr>
                <w:color w:val="auto"/>
                <w:sz w:val="21"/>
                <w:szCs w:val="21"/>
                <w:highlight w:val="none"/>
                <w:u w:val="single"/>
              </w:rPr>
            </w:pPr>
            <w:r>
              <w:rPr>
                <w:color w:val="auto"/>
                <w:sz w:val="21"/>
                <w:szCs w:val="21"/>
                <w:highlight w:val="none"/>
                <w:u w:val="single"/>
              </w:rPr>
              <w:t>达标</w:t>
            </w:r>
          </w:p>
        </w:tc>
      </w:tr>
      <w:tr w14:paraId="0785D5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3" w:type="pct"/>
            <w:vMerge w:val="continue"/>
            <w:tcBorders>
              <w:tl2br w:val="nil"/>
              <w:tr2bl w:val="nil"/>
            </w:tcBorders>
            <w:vAlign w:val="center"/>
          </w:tcPr>
          <w:p w14:paraId="504B12B5">
            <w:pPr>
              <w:spacing w:line="240" w:lineRule="auto"/>
              <w:ind w:firstLine="420"/>
              <w:jc w:val="center"/>
              <w:rPr>
                <w:bCs/>
                <w:color w:val="auto"/>
                <w:sz w:val="21"/>
                <w:szCs w:val="21"/>
                <w:highlight w:val="none"/>
                <w:u w:val="single"/>
              </w:rPr>
            </w:pPr>
          </w:p>
        </w:tc>
        <w:tc>
          <w:tcPr>
            <w:tcW w:w="511" w:type="pct"/>
            <w:vMerge w:val="continue"/>
            <w:tcBorders>
              <w:tl2br w:val="nil"/>
              <w:tr2bl w:val="nil"/>
            </w:tcBorders>
            <w:vAlign w:val="center"/>
          </w:tcPr>
          <w:p w14:paraId="6B197834">
            <w:pPr>
              <w:spacing w:line="240" w:lineRule="auto"/>
              <w:ind w:firstLine="420"/>
              <w:jc w:val="center"/>
              <w:rPr>
                <w:bCs/>
                <w:color w:val="auto"/>
                <w:sz w:val="21"/>
                <w:szCs w:val="21"/>
                <w:highlight w:val="none"/>
                <w:u w:val="single"/>
              </w:rPr>
            </w:pPr>
          </w:p>
        </w:tc>
        <w:tc>
          <w:tcPr>
            <w:tcW w:w="1086" w:type="pct"/>
            <w:tcBorders>
              <w:tl2br w:val="nil"/>
              <w:tr2bl w:val="nil"/>
            </w:tcBorders>
            <w:vAlign w:val="center"/>
          </w:tcPr>
          <w:p w14:paraId="4B25438C">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挥发性有机物</w:t>
            </w:r>
            <w:r>
              <w:rPr>
                <w:color w:val="auto"/>
                <w:sz w:val="21"/>
                <w:szCs w:val="21"/>
                <w:highlight w:val="none"/>
                <w:u w:val="single"/>
              </w:rPr>
              <w:t>排放速率（kg/h）</w:t>
            </w:r>
          </w:p>
        </w:tc>
        <w:tc>
          <w:tcPr>
            <w:tcW w:w="572" w:type="pct"/>
            <w:tcBorders>
              <w:tl2br w:val="nil"/>
              <w:tr2bl w:val="nil"/>
            </w:tcBorders>
            <w:vAlign w:val="center"/>
          </w:tcPr>
          <w:p w14:paraId="6F9D37FC">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0.0083</w:t>
            </w:r>
          </w:p>
        </w:tc>
        <w:tc>
          <w:tcPr>
            <w:tcW w:w="571" w:type="pct"/>
            <w:tcBorders>
              <w:tl2br w:val="nil"/>
              <w:tr2bl w:val="nil"/>
            </w:tcBorders>
            <w:vAlign w:val="center"/>
          </w:tcPr>
          <w:p w14:paraId="7D79AE7D">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0.011</w:t>
            </w:r>
          </w:p>
        </w:tc>
        <w:tc>
          <w:tcPr>
            <w:tcW w:w="577" w:type="pct"/>
            <w:tcBorders>
              <w:tl2br w:val="nil"/>
              <w:tr2bl w:val="nil"/>
            </w:tcBorders>
            <w:vAlign w:val="center"/>
          </w:tcPr>
          <w:p w14:paraId="4027D9A3">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0.0075</w:t>
            </w:r>
          </w:p>
        </w:tc>
        <w:tc>
          <w:tcPr>
            <w:tcW w:w="572" w:type="pct"/>
            <w:tcBorders>
              <w:tl2br w:val="nil"/>
              <w:tr2bl w:val="nil"/>
            </w:tcBorders>
            <w:vAlign w:val="center"/>
          </w:tcPr>
          <w:p w14:paraId="53D50F2A">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0.087</w:t>
            </w:r>
          </w:p>
        </w:tc>
        <w:tc>
          <w:tcPr>
            <w:tcW w:w="386" w:type="pct"/>
            <w:tcBorders>
              <w:tl2br w:val="nil"/>
              <w:tr2bl w:val="nil"/>
            </w:tcBorders>
            <w:vAlign w:val="center"/>
          </w:tcPr>
          <w:p w14:paraId="2FB3AD01">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10</w:t>
            </w:r>
          </w:p>
        </w:tc>
        <w:tc>
          <w:tcPr>
            <w:tcW w:w="389" w:type="pct"/>
            <w:tcBorders>
              <w:tl2br w:val="nil"/>
              <w:tr2bl w:val="nil"/>
            </w:tcBorders>
            <w:vAlign w:val="center"/>
          </w:tcPr>
          <w:p w14:paraId="1B00C4AD">
            <w:pPr>
              <w:spacing w:line="240" w:lineRule="auto"/>
              <w:ind w:firstLine="0" w:firstLineChars="0"/>
              <w:jc w:val="center"/>
              <w:rPr>
                <w:color w:val="auto"/>
                <w:sz w:val="21"/>
                <w:szCs w:val="21"/>
                <w:highlight w:val="none"/>
                <w:u w:val="single"/>
              </w:rPr>
            </w:pPr>
            <w:r>
              <w:rPr>
                <w:color w:val="auto"/>
                <w:sz w:val="21"/>
                <w:szCs w:val="21"/>
                <w:highlight w:val="none"/>
                <w:u w:val="single"/>
              </w:rPr>
              <w:t>达标</w:t>
            </w:r>
          </w:p>
        </w:tc>
      </w:tr>
    </w:tbl>
    <w:p w14:paraId="344924A9">
      <w:pPr>
        <w:pStyle w:val="91"/>
        <w:ind w:left="0" w:leftChars="0" w:firstLine="0" w:firstLineChars="0"/>
        <w:rPr>
          <w:rFonts w:ascii="Times New Roman" w:hAnsi="Times New Roman" w:cs="Times New Roman"/>
          <w:b/>
          <w:bCs/>
          <w:color w:val="auto"/>
          <w:highlight w:val="none"/>
          <w:u w:val="single"/>
        </w:rPr>
      </w:pPr>
      <w:r>
        <w:rPr>
          <w:rFonts w:hint="eastAsia" w:ascii="Times New Roman" w:hAnsi="Times New Roman" w:cs="Times New Roman"/>
          <w:b/>
          <w:bCs/>
          <w:color w:val="auto"/>
          <w:highlight w:val="none"/>
          <w:u w:val="single"/>
        </w:rPr>
        <w:t>注：ND为未检出。</w:t>
      </w:r>
    </w:p>
    <w:p w14:paraId="7510420E">
      <w:pPr>
        <w:pStyle w:val="91"/>
        <w:spacing w:after="0"/>
        <w:ind w:left="0" w:leftChars="0" w:firstLine="0" w:firstLineChars="0"/>
        <w:jc w:val="center"/>
        <w:rPr>
          <w:rFonts w:ascii="Times New Roman" w:hAnsi="Times New Roman" w:cs="Times New Roman"/>
          <w:b/>
          <w:bCs/>
          <w:color w:val="auto"/>
          <w:highlight w:val="none"/>
        </w:rPr>
      </w:pPr>
    </w:p>
    <w:p w14:paraId="0BC30B0D">
      <w:pPr>
        <w:ind w:firstLine="480"/>
        <w:rPr>
          <w:color w:val="auto"/>
          <w:highlight w:val="none"/>
        </w:rPr>
        <w:sectPr>
          <w:headerReference r:id="rId29" w:type="default"/>
          <w:pgSz w:w="16838" w:h="11906" w:orient="landscape"/>
          <w:pgMar w:top="1418" w:right="1559" w:bottom="1418" w:left="1503" w:header="851" w:footer="964" w:gutter="0"/>
          <w:cols w:space="720" w:num="1"/>
          <w:docGrid w:linePitch="326" w:charSpace="0"/>
        </w:sectPr>
      </w:pPr>
    </w:p>
    <w:p w14:paraId="548B9DDB">
      <w:pPr>
        <w:pStyle w:val="91"/>
        <w:spacing w:after="0" w:line="360" w:lineRule="auto"/>
        <w:ind w:left="0" w:leftChars="0" w:firstLine="480"/>
        <w:rPr>
          <w:rFonts w:ascii="Times New Roman" w:hAnsi="Times New Roman" w:cs="Times New Roman"/>
          <w:bCs/>
          <w:color w:val="auto"/>
          <w:kern w:val="0"/>
          <w:sz w:val="24"/>
          <w:highlight w:val="none"/>
          <w:u w:val="single"/>
        </w:rPr>
      </w:pPr>
      <w:r>
        <w:rPr>
          <w:rFonts w:ascii="Times New Roman" w:hAnsi="Times New Roman" w:cs="Times New Roman"/>
          <w:bCs/>
          <w:color w:val="auto"/>
          <w:kern w:val="0"/>
          <w:sz w:val="24"/>
          <w:highlight w:val="none"/>
          <w:u w:val="single"/>
        </w:rPr>
        <w:t>②无组织排放废气</w:t>
      </w:r>
    </w:p>
    <w:p w14:paraId="0B33B3E0">
      <w:pPr>
        <w:pStyle w:val="91"/>
        <w:spacing w:after="0" w:line="360" w:lineRule="auto"/>
        <w:ind w:left="0" w:leftChars="0" w:firstLine="480"/>
        <w:rPr>
          <w:rFonts w:ascii="Times New Roman" w:hAnsi="Times New Roman" w:cs="Times New Roman"/>
          <w:bCs/>
          <w:color w:val="auto"/>
          <w:kern w:val="0"/>
          <w:sz w:val="24"/>
          <w:highlight w:val="none"/>
          <w:u w:val="single"/>
        </w:rPr>
      </w:pPr>
      <w:r>
        <w:rPr>
          <w:rFonts w:ascii="Times New Roman" w:hAnsi="Times New Roman" w:cs="Times New Roman"/>
          <w:bCs/>
          <w:color w:val="auto"/>
          <w:kern w:val="0"/>
          <w:sz w:val="24"/>
          <w:highlight w:val="none"/>
          <w:u w:val="single"/>
        </w:rPr>
        <w:t>无组织排放废气包括TSP、</w:t>
      </w:r>
      <w:r>
        <w:rPr>
          <w:rFonts w:hint="eastAsia" w:ascii="Times New Roman" w:hAnsi="Times New Roman" w:cs="Times New Roman"/>
          <w:bCs/>
          <w:color w:val="auto"/>
          <w:kern w:val="0"/>
          <w:sz w:val="24"/>
          <w:highlight w:val="none"/>
          <w:u w:val="single"/>
        </w:rPr>
        <w:t>挥发性有机物</w:t>
      </w:r>
      <w:r>
        <w:rPr>
          <w:rFonts w:ascii="Times New Roman" w:hAnsi="Times New Roman" w:cs="Times New Roman"/>
          <w:bCs/>
          <w:color w:val="auto"/>
          <w:kern w:val="0"/>
          <w:sz w:val="24"/>
          <w:highlight w:val="none"/>
          <w:u w:val="single"/>
        </w:rPr>
        <w:t>、</w:t>
      </w:r>
      <w:r>
        <w:rPr>
          <w:rFonts w:hint="eastAsia" w:ascii="Times New Roman" w:hAnsi="Times New Roman" w:cs="Times New Roman"/>
          <w:bCs/>
          <w:color w:val="auto"/>
          <w:kern w:val="0"/>
          <w:sz w:val="24"/>
          <w:highlight w:val="none"/>
          <w:u w:val="single"/>
        </w:rPr>
        <w:t>氨</w:t>
      </w:r>
      <w:r>
        <w:rPr>
          <w:rFonts w:ascii="Times New Roman" w:hAnsi="Times New Roman" w:cs="Times New Roman"/>
          <w:bCs/>
          <w:color w:val="auto"/>
          <w:kern w:val="0"/>
          <w:sz w:val="24"/>
          <w:highlight w:val="none"/>
          <w:u w:val="single"/>
        </w:rPr>
        <w:t>、硫化氢及</w:t>
      </w:r>
      <w:r>
        <w:rPr>
          <w:rFonts w:hint="eastAsia" w:ascii="Times New Roman" w:hAnsi="Times New Roman" w:cs="Times New Roman"/>
          <w:bCs/>
          <w:color w:val="auto"/>
          <w:kern w:val="0"/>
          <w:sz w:val="24"/>
          <w:highlight w:val="none"/>
          <w:u w:val="single"/>
        </w:rPr>
        <w:t>臭气浓度</w:t>
      </w:r>
      <w:r>
        <w:rPr>
          <w:rFonts w:ascii="Times New Roman" w:hAnsi="Times New Roman" w:cs="Times New Roman"/>
          <w:bCs/>
          <w:color w:val="auto"/>
          <w:kern w:val="0"/>
          <w:sz w:val="24"/>
          <w:highlight w:val="none"/>
          <w:u w:val="single"/>
        </w:rPr>
        <w:t>等污染物。</w:t>
      </w:r>
    </w:p>
    <w:p w14:paraId="59885FA1">
      <w:pPr>
        <w:pStyle w:val="38"/>
        <w:spacing w:after="0" w:line="240" w:lineRule="auto"/>
        <w:ind w:firstLine="0" w:firstLineChars="0"/>
        <w:jc w:val="center"/>
        <w:rPr>
          <w:b/>
          <w:color w:val="auto"/>
          <w:sz w:val="21"/>
          <w:szCs w:val="21"/>
          <w:highlight w:val="none"/>
          <w:u w:val="single"/>
        </w:rPr>
      </w:pPr>
      <w:r>
        <w:rPr>
          <w:b/>
          <w:color w:val="auto"/>
          <w:sz w:val="21"/>
          <w:szCs w:val="21"/>
          <w:highlight w:val="none"/>
          <w:u w:val="single"/>
        </w:rPr>
        <w:t>表2.1-1</w:t>
      </w:r>
      <w:r>
        <w:rPr>
          <w:rFonts w:hint="eastAsia"/>
          <w:b/>
          <w:color w:val="auto"/>
          <w:sz w:val="21"/>
          <w:szCs w:val="21"/>
          <w:highlight w:val="none"/>
          <w:u w:val="single"/>
        </w:rPr>
        <w:t>2</w:t>
      </w:r>
      <w:r>
        <w:rPr>
          <w:b/>
          <w:color w:val="auto"/>
          <w:sz w:val="21"/>
          <w:szCs w:val="21"/>
          <w:highlight w:val="none"/>
          <w:u w:val="single"/>
        </w:rPr>
        <w:t xml:space="preserve">   周界外大气污染物无组织排放情况监测结果</w:t>
      </w:r>
    </w:p>
    <w:tbl>
      <w:tblPr>
        <w:tblStyle w:val="9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8"/>
        <w:gridCol w:w="885"/>
        <w:gridCol w:w="1169"/>
        <w:gridCol w:w="1217"/>
        <w:gridCol w:w="1050"/>
        <w:gridCol w:w="1080"/>
        <w:gridCol w:w="1185"/>
        <w:gridCol w:w="1003"/>
        <w:gridCol w:w="1059"/>
      </w:tblGrid>
      <w:tr w14:paraId="00B0FF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trPr>
        <w:tc>
          <w:tcPr>
            <w:tcW w:w="343" w:type="pct"/>
            <w:vMerge w:val="restart"/>
            <w:tcBorders>
              <w:tl2br w:val="nil"/>
              <w:tr2bl w:val="nil"/>
            </w:tcBorders>
            <w:vAlign w:val="center"/>
          </w:tcPr>
          <w:p w14:paraId="5FC999B9">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序号</w:t>
            </w:r>
          </w:p>
        </w:tc>
        <w:tc>
          <w:tcPr>
            <w:tcW w:w="476" w:type="pct"/>
            <w:vMerge w:val="restart"/>
            <w:tcBorders>
              <w:tl2br w:val="nil"/>
              <w:tr2bl w:val="nil"/>
            </w:tcBorders>
            <w:vAlign w:val="center"/>
          </w:tcPr>
          <w:p w14:paraId="541B402C">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项目</w:t>
            </w:r>
          </w:p>
        </w:tc>
        <w:tc>
          <w:tcPr>
            <w:tcW w:w="1284" w:type="pct"/>
            <w:gridSpan w:val="2"/>
            <w:vMerge w:val="restart"/>
            <w:tcBorders>
              <w:tl2br w:val="nil"/>
              <w:tr2bl w:val="nil"/>
            </w:tcBorders>
            <w:vAlign w:val="center"/>
          </w:tcPr>
          <w:p w14:paraId="3479BC64">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监测点位置</w:t>
            </w:r>
          </w:p>
        </w:tc>
        <w:tc>
          <w:tcPr>
            <w:tcW w:w="1784" w:type="pct"/>
            <w:gridSpan w:val="3"/>
            <w:tcBorders>
              <w:tl2br w:val="nil"/>
              <w:tr2bl w:val="nil"/>
            </w:tcBorders>
            <w:vAlign w:val="center"/>
          </w:tcPr>
          <w:p w14:paraId="3D3D0B17">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监测结果</w:t>
            </w:r>
          </w:p>
        </w:tc>
        <w:tc>
          <w:tcPr>
            <w:tcW w:w="540" w:type="pct"/>
            <w:vMerge w:val="restart"/>
            <w:tcBorders>
              <w:tl2br w:val="nil"/>
              <w:tr2bl w:val="nil"/>
            </w:tcBorders>
            <w:vAlign w:val="center"/>
          </w:tcPr>
          <w:p w14:paraId="69DF4520">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执行标准</w:t>
            </w:r>
          </w:p>
        </w:tc>
        <w:tc>
          <w:tcPr>
            <w:tcW w:w="570" w:type="pct"/>
            <w:vMerge w:val="restart"/>
            <w:tcBorders>
              <w:tl2br w:val="nil"/>
              <w:tr2bl w:val="nil"/>
            </w:tcBorders>
            <w:vAlign w:val="center"/>
          </w:tcPr>
          <w:p w14:paraId="356BB950">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结果评价</w:t>
            </w:r>
          </w:p>
        </w:tc>
      </w:tr>
      <w:tr w14:paraId="651C52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trPr>
        <w:tc>
          <w:tcPr>
            <w:tcW w:w="343" w:type="pct"/>
            <w:vMerge w:val="continue"/>
            <w:tcBorders>
              <w:tl2br w:val="nil"/>
              <w:tr2bl w:val="nil"/>
            </w:tcBorders>
            <w:vAlign w:val="center"/>
          </w:tcPr>
          <w:p w14:paraId="21596328">
            <w:pPr>
              <w:spacing w:line="240" w:lineRule="auto"/>
              <w:ind w:left="-72" w:leftChars="-30" w:right="-72" w:rightChars="-30" w:firstLine="0" w:firstLineChars="0"/>
              <w:jc w:val="center"/>
              <w:rPr>
                <w:b/>
                <w:color w:val="auto"/>
                <w:szCs w:val="21"/>
                <w:highlight w:val="none"/>
                <w:u w:val="single"/>
              </w:rPr>
            </w:pPr>
          </w:p>
        </w:tc>
        <w:tc>
          <w:tcPr>
            <w:tcW w:w="476" w:type="pct"/>
            <w:vMerge w:val="continue"/>
            <w:tcBorders>
              <w:tl2br w:val="nil"/>
              <w:tr2bl w:val="nil"/>
            </w:tcBorders>
            <w:vAlign w:val="center"/>
          </w:tcPr>
          <w:p w14:paraId="7D3DABA1">
            <w:pPr>
              <w:spacing w:line="240" w:lineRule="auto"/>
              <w:ind w:left="-72" w:leftChars="-30" w:right="-72" w:rightChars="-30" w:firstLine="0" w:firstLineChars="0"/>
              <w:jc w:val="center"/>
              <w:rPr>
                <w:b/>
                <w:color w:val="auto"/>
                <w:szCs w:val="21"/>
                <w:highlight w:val="none"/>
                <w:u w:val="single"/>
              </w:rPr>
            </w:pPr>
          </w:p>
        </w:tc>
        <w:tc>
          <w:tcPr>
            <w:tcW w:w="1284" w:type="pct"/>
            <w:gridSpan w:val="2"/>
            <w:vMerge w:val="continue"/>
            <w:tcBorders>
              <w:tl2br w:val="nil"/>
              <w:tr2bl w:val="nil"/>
            </w:tcBorders>
            <w:vAlign w:val="center"/>
          </w:tcPr>
          <w:p w14:paraId="41EE2A60">
            <w:pPr>
              <w:spacing w:line="240" w:lineRule="auto"/>
              <w:ind w:left="-72" w:leftChars="-30" w:right="-72" w:rightChars="-30" w:firstLine="0" w:firstLineChars="0"/>
              <w:jc w:val="center"/>
              <w:rPr>
                <w:b/>
                <w:color w:val="auto"/>
                <w:szCs w:val="21"/>
                <w:highlight w:val="none"/>
                <w:u w:val="single"/>
              </w:rPr>
            </w:pPr>
          </w:p>
        </w:tc>
        <w:tc>
          <w:tcPr>
            <w:tcW w:w="565" w:type="pct"/>
            <w:tcBorders>
              <w:tl2br w:val="nil"/>
              <w:tr2bl w:val="nil"/>
            </w:tcBorders>
            <w:vAlign w:val="center"/>
          </w:tcPr>
          <w:p w14:paraId="68DC6FE0">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第一次</w:t>
            </w:r>
          </w:p>
        </w:tc>
        <w:tc>
          <w:tcPr>
            <w:tcW w:w="581" w:type="pct"/>
            <w:tcBorders>
              <w:tl2br w:val="nil"/>
              <w:tr2bl w:val="nil"/>
            </w:tcBorders>
            <w:vAlign w:val="center"/>
          </w:tcPr>
          <w:p w14:paraId="6BBCDDC2">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第二次</w:t>
            </w:r>
          </w:p>
        </w:tc>
        <w:tc>
          <w:tcPr>
            <w:tcW w:w="638" w:type="pct"/>
            <w:tcBorders>
              <w:tl2br w:val="nil"/>
              <w:tr2bl w:val="nil"/>
            </w:tcBorders>
            <w:vAlign w:val="center"/>
          </w:tcPr>
          <w:p w14:paraId="47943F35">
            <w:pPr>
              <w:spacing w:line="240" w:lineRule="auto"/>
              <w:ind w:left="-72" w:leftChars="-30" w:right="-72" w:rightChars="-30" w:firstLine="0" w:firstLineChars="0"/>
              <w:jc w:val="center"/>
              <w:rPr>
                <w:b/>
                <w:bCs/>
                <w:color w:val="auto"/>
                <w:sz w:val="21"/>
                <w:szCs w:val="21"/>
                <w:highlight w:val="none"/>
                <w:u w:val="single"/>
              </w:rPr>
            </w:pPr>
            <w:r>
              <w:rPr>
                <w:b/>
                <w:bCs/>
                <w:color w:val="auto"/>
                <w:sz w:val="21"/>
                <w:szCs w:val="21"/>
                <w:highlight w:val="none"/>
                <w:u w:val="single"/>
              </w:rPr>
              <w:t>第三次</w:t>
            </w:r>
          </w:p>
        </w:tc>
        <w:tc>
          <w:tcPr>
            <w:tcW w:w="540" w:type="pct"/>
            <w:vMerge w:val="continue"/>
            <w:tcBorders>
              <w:tl2br w:val="nil"/>
              <w:tr2bl w:val="nil"/>
            </w:tcBorders>
            <w:vAlign w:val="center"/>
          </w:tcPr>
          <w:p w14:paraId="1D49A51B">
            <w:pPr>
              <w:spacing w:line="240" w:lineRule="auto"/>
              <w:ind w:left="-72" w:leftChars="-30" w:right="-72" w:rightChars="-30" w:firstLine="0" w:firstLineChars="0"/>
              <w:jc w:val="center"/>
              <w:rPr>
                <w:b/>
                <w:color w:val="auto"/>
                <w:szCs w:val="21"/>
                <w:highlight w:val="none"/>
                <w:u w:val="single"/>
              </w:rPr>
            </w:pPr>
          </w:p>
        </w:tc>
        <w:tc>
          <w:tcPr>
            <w:tcW w:w="570" w:type="pct"/>
            <w:vMerge w:val="continue"/>
            <w:tcBorders>
              <w:tl2br w:val="nil"/>
              <w:tr2bl w:val="nil"/>
            </w:tcBorders>
            <w:vAlign w:val="center"/>
          </w:tcPr>
          <w:p w14:paraId="2D4FAFE9">
            <w:pPr>
              <w:spacing w:line="240" w:lineRule="auto"/>
              <w:ind w:left="-72" w:leftChars="-30" w:right="-72" w:rightChars="-30" w:firstLine="0" w:firstLineChars="0"/>
              <w:jc w:val="center"/>
              <w:rPr>
                <w:b/>
                <w:color w:val="auto"/>
                <w:szCs w:val="21"/>
                <w:highlight w:val="none"/>
                <w:u w:val="single"/>
              </w:rPr>
            </w:pPr>
          </w:p>
        </w:tc>
      </w:tr>
      <w:tr w14:paraId="537E52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restart"/>
            <w:tcBorders>
              <w:tl2br w:val="nil"/>
              <w:tr2bl w:val="nil"/>
            </w:tcBorders>
            <w:vAlign w:val="center"/>
          </w:tcPr>
          <w:p w14:paraId="0AA2C9BE">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1</w:t>
            </w:r>
          </w:p>
        </w:tc>
        <w:tc>
          <w:tcPr>
            <w:tcW w:w="476" w:type="pct"/>
            <w:vMerge w:val="restart"/>
            <w:tcBorders>
              <w:tl2br w:val="nil"/>
              <w:tr2bl w:val="nil"/>
            </w:tcBorders>
            <w:vAlign w:val="center"/>
          </w:tcPr>
          <w:p w14:paraId="2222240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挥发性有机物</w:t>
            </w:r>
          </w:p>
        </w:tc>
        <w:tc>
          <w:tcPr>
            <w:tcW w:w="629" w:type="pct"/>
            <w:vMerge w:val="restart"/>
            <w:tcBorders>
              <w:tl2br w:val="nil"/>
              <w:tr2bl w:val="nil"/>
            </w:tcBorders>
            <w:vAlign w:val="center"/>
          </w:tcPr>
          <w:p w14:paraId="12CC647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2025年4</w:t>
            </w:r>
            <w:r>
              <w:rPr>
                <w:color w:val="auto"/>
                <w:sz w:val="21"/>
                <w:szCs w:val="21"/>
                <w:highlight w:val="none"/>
                <w:u w:val="single"/>
              </w:rPr>
              <w:t>月</w:t>
            </w:r>
            <w:r>
              <w:rPr>
                <w:rFonts w:hint="eastAsia"/>
                <w:color w:val="auto"/>
                <w:sz w:val="21"/>
                <w:szCs w:val="21"/>
                <w:highlight w:val="none"/>
                <w:u w:val="single"/>
              </w:rPr>
              <w:t>9</w:t>
            </w:r>
            <w:r>
              <w:rPr>
                <w:color w:val="auto"/>
                <w:sz w:val="21"/>
                <w:szCs w:val="21"/>
                <w:highlight w:val="none"/>
                <w:u w:val="single"/>
              </w:rPr>
              <w:t>日</w:t>
            </w:r>
          </w:p>
        </w:tc>
        <w:tc>
          <w:tcPr>
            <w:tcW w:w="654" w:type="pct"/>
            <w:tcBorders>
              <w:tl2br w:val="nil"/>
              <w:tr2bl w:val="nil"/>
            </w:tcBorders>
            <w:vAlign w:val="center"/>
          </w:tcPr>
          <w:p w14:paraId="4636760E">
            <w:pPr>
              <w:spacing w:line="240" w:lineRule="auto"/>
              <w:ind w:left="-72" w:leftChars="-30" w:right="-72" w:rightChars="-30" w:firstLine="0" w:firstLineChars="0"/>
              <w:jc w:val="center"/>
              <w:rPr>
                <w:color w:val="auto"/>
                <w:sz w:val="21"/>
                <w:szCs w:val="18"/>
                <w:highlight w:val="none"/>
                <w:u w:val="single"/>
              </w:rPr>
            </w:pPr>
            <w:r>
              <w:rPr>
                <w:color w:val="auto"/>
                <w:sz w:val="21"/>
                <w:szCs w:val="18"/>
                <w:highlight w:val="none"/>
                <w:u w:val="single"/>
              </w:rPr>
              <w:t>1</w:t>
            </w:r>
            <w:r>
              <w:rPr>
                <w:color w:val="auto"/>
                <w:sz w:val="21"/>
                <w:szCs w:val="18"/>
                <w:highlight w:val="none"/>
                <w:u w:val="single"/>
                <w:vertAlign w:val="superscript"/>
              </w:rPr>
              <w:t>#</w:t>
            </w:r>
            <w:r>
              <w:rPr>
                <w:color w:val="auto"/>
                <w:sz w:val="21"/>
                <w:szCs w:val="18"/>
                <w:highlight w:val="none"/>
                <w:u w:val="single"/>
              </w:rPr>
              <w:t>上风向</w:t>
            </w:r>
          </w:p>
        </w:tc>
        <w:tc>
          <w:tcPr>
            <w:tcW w:w="565" w:type="pct"/>
            <w:tcBorders>
              <w:tl2br w:val="nil"/>
              <w:tr2bl w:val="nil"/>
            </w:tcBorders>
            <w:vAlign w:val="center"/>
          </w:tcPr>
          <w:p w14:paraId="325BCE9A">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0.60</w:t>
            </w:r>
          </w:p>
        </w:tc>
        <w:tc>
          <w:tcPr>
            <w:tcW w:w="581" w:type="pct"/>
            <w:tcBorders>
              <w:tl2br w:val="nil"/>
              <w:tr2bl w:val="nil"/>
            </w:tcBorders>
            <w:vAlign w:val="center"/>
          </w:tcPr>
          <w:p w14:paraId="0711C9C8">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0.51</w:t>
            </w:r>
          </w:p>
        </w:tc>
        <w:tc>
          <w:tcPr>
            <w:tcW w:w="638" w:type="pct"/>
            <w:tcBorders>
              <w:tl2br w:val="nil"/>
              <w:tr2bl w:val="nil"/>
            </w:tcBorders>
            <w:vAlign w:val="center"/>
          </w:tcPr>
          <w:p w14:paraId="5076BD58">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0.47</w:t>
            </w:r>
          </w:p>
        </w:tc>
        <w:tc>
          <w:tcPr>
            <w:tcW w:w="540" w:type="pct"/>
            <w:vMerge w:val="restart"/>
            <w:tcBorders>
              <w:tl2br w:val="nil"/>
              <w:tr2bl w:val="nil"/>
            </w:tcBorders>
            <w:vAlign w:val="center"/>
          </w:tcPr>
          <w:p w14:paraId="764AC1F1">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10</w:t>
            </w:r>
            <w:r>
              <w:rPr>
                <w:color w:val="auto"/>
                <w:sz w:val="21"/>
                <w:szCs w:val="21"/>
                <w:highlight w:val="none"/>
                <w:u w:val="single"/>
              </w:rPr>
              <w:t>mg/m</w:t>
            </w:r>
            <w:r>
              <w:rPr>
                <w:color w:val="auto"/>
                <w:sz w:val="21"/>
                <w:szCs w:val="21"/>
                <w:highlight w:val="none"/>
                <w:u w:val="single"/>
                <w:vertAlign w:val="superscript"/>
              </w:rPr>
              <w:t>3</w:t>
            </w:r>
          </w:p>
        </w:tc>
        <w:tc>
          <w:tcPr>
            <w:tcW w:w="570" w:type="pct"/>
            <w:tcBorders>
              <w:tl2br w:val="nil"/>
              <w:tr2bl w:val="nil"/>
            </w:tcBorders>
            <w:vAlign w:val="center"/>
          </w:tcPr>
          <w:p w14:paraId="2CFF26C0">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2B9047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3028BA9A">
            <w:pPr>
              <w:spacing w:line="240" w:lineRule="auto"/>
              <w:ind w:left="-72" w:leftChars="-30" w:right="-72" w:rightChars="-30" w:firstLine="0" w:firstLineChars="0"/>
              <w:jc w:val="center"/>
              <w:rPr>
                <w:color w:val="auto"/>
                <w:sz w:val="21"/>
                <w:szCs w:val="21"/>
                <w:highlight w:val="none"/>
                <w:u w:val="single"/>
              </w:rPr>
            </w:pPr>
          </w:p>
        </w:tc>
        <w:tc>
          <w:tcPr>
            <w:tcW w:w="476" w:type="pct"/>
            <w:vMerge w:val="continue"/>
            <w:tcBorders>
              <w:tl2br w:val="nil"/>
              <w:tr2bl w:val="nil"/>
            </w:tcBorders>
            <w:vAlign w:val="center"/>
          </w:tcPr>
          <w:p w14:paraId="258B833C">
            <w:pPr>
              <w:spacing w:line="240" w:lineRule="auto"/>
              <w:ind w:left="-72" w:leftChars="-30" w:right="-72" w:rightChars="-30" w:firstLine="0" w:firstLineChars="0"/>
              <w:jc w:val="center"/>
              <w:rPr>
                <w:color w:val="auto"/>
                <w:sz w:val="21"/>
                <w:szCs w:val="21"/>
                <w:highlight w:val="none"/>
                <w:u w:val="single"/>
              </w:rPr>
            </w:pPr>
          </w:p>
        </w:tc>
        <w:tc>
          <w:tcPr>
            <w:tcW w:w="629" w:type="pct"/>
            <w:vMerge w:val="continue"/>
            <w:tcBorders>
              <w:tl2br w:val="nil"/>
              <w:tr2bl w:val="nil"/>
            </w:tcBorders>
            <w:vAlign w:val="center"/>
          </w:tcPr>
          <w:p w14:paraId="74364DBD">
            <w:pPr>
              <w:spacing w:line="240" w:lineRule="auto"/>
              <w:ind w:left="-72" w:leftChars="-30" w:right="-72" w:rightChars="-30" w:firstLine="0" w:firstLineChars="0"/>
              <w:jc w:val="center"/>
              <w:rPr>
                <w:color w:val="auto"/>
                <w:sz w:val="21"/>
                <w:szCs w:val="21"/>
                <w:highlight w:val="none"/>
                <w:u w:val="single"/>
              </w:rPr>
            </w:pPr>
          </w:p>
        </w:tc>
        <w:tc>
          <w:tcPr>
            <w:tcW w:w="654" w:type="pct"/>
            <w:tcBorders>
              <w:tl2br w:val="nil"/>
              <w:tr2bl w:val="nil"/>
            </w:tcBorders>
            <w:vAlign w:val="center"/>
          </w:tcPr>
          <w:p w14:paraId="62514DA9">
            <w:pPr>
              <w:spacing w:line="240" w:lineRule="auto"/>
              <w:ind w:left="-72" w:leftChars="-30" w:right="-72" w:rightChars="-30" w:firstLine="0" w:firstLineChars="0"/>
              <w:jc w:val="center"/>
              <w:rPr>
                <w:color w:val="auto"/>
                <w:sz w:val="21"/>
                <w:szCs w:val="18"/>
                <w:highlight w:val="none"/>
                <w:u w:val="single"/>
              </w:rPr>
            </w:pPr>
            <w:r>
              <w:rPr>
                <w:color w:val="auto"/>
                <w:sz w:val="21"/>
                <w:szCs w:val="18"/>
                <w:highlight w:val="none"/>
                <w:u w:val="single"/>
              </w:rPr>
              <w:t>2</w:t>
            </w:r>
            <w:r>
              <w:rPr>
                <w:color w:val="auto"/>
                <w:sz w:val="21"/>
                <w:szCs w:val="18"/>
                <w:highlight w:val="none"/>
                <w:u w:val="single"/>
                <w:vertAlign w:val="superscript"/>
              </w:rPr>
              <w:t>#</w:t>
            </w:r>
            <w:r>
              <w:rPr>
                <w:color w:val="auto"/>
                <w:sz w:val="21"/>
                <w:szCs w:val="18"/>
                <w:highlight w:val="none"/>
                <w:u w:val="single"/>
              </w:rPr>
              <w:t>下风向</w:t>
            </w:r>
          </w:p>
        </w:tc>
        <w:tc>
          <w:tcPr>
            <w:tcW w:w="565" w:type="pct"/>
            <w:tcBorders>
              <w:tl2br w:val="nil"/>
              <w:tr2bl w:val="nil"/>
            </w:tcBorders>
            <w:vAlign w:val="center"/>
          </w:tcPr>
          <w:p w14:paraId="641D2BED">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1.14</w:t>
            </w:r>
          </w:p>
        </w:tc>
        <w:tc>
          <w:tcPr>
            <w:tcW w:w="581" w:type="pct"/>
            <w:tcBorders>
              <w:tl2br w:val="nil"/>
              <w:tr2bl w:val="nil"/>
            </w:tcBorders>
            <w:vAlign w:val="center"/>
          </w:tcPr>
          <w:p w14:paraId="4E2B13A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0.76</w:t>
            </w:r>
          </w:p>
        </w:tc>
        <w:tc>
          <w:tcPr>
            <w:tcW w:w="638" w:type="pct"/>
            <w:tcBorders>
              <w:tl2br w:val="nil"/>
              <w:tr2bl w:val="nil"/>
            </w:tcBorders>
            <w:vAlign w:val="center"/>
          </w:tcPr>
          <w:p w14:paraId="659D4DAC">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0.77</w:t>
            </w:r>
          </w:p>
        </w:tc>
        <w:tc>
          <w:tcPr>
            <w:tcW w:w="540" w:type="pct"/>
            <w:vMerge w:val="continue"/>
            <w:tcBorders>
              <w:tl2br w:val="nil"/>
              <w:tr2bl w:val="nil"/>
            </w:tcBorders>
            <w:vAlign w:val="center"/>
          </w:tcPr>
          <w:p w14:paraId="5EB9AA2E">
            <w:pPr>
              <w:spacing w:line="240" w:lineRule="auto"/>
              <w:ind w:left="-72" w:leftChars="-30" w:right="-72" w:rightChars="-30" w:firstLine="0" w:firstLineChars="0"/>
              <w:jc w:val="center"/>
              <w:rPr>
                <w:color w:val="auto"/>
                <w:sz w:val="21"/>
                <w:szCs w:val="21"/>
                <w:highlight w:val="none"/>
                <w:u w:val="single"/>
              </w:rPr>
            </w:pPr>
          </w:p>
        </w:tc>
        <w:tc>
          <w:tcPr>
            <w:tcW w:w="570" w:type="pct"/>
            <w:tcBorders>
              <w:tl2br w:val="nil"/>
              <w:tr2bl w:val="nil"/>
            </w:tcBorders>
            <w:vAlign w:val="center"/>
          </w:tcPr>
          <w:p w14:paraId="13C299BB">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14F1C9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59118FD8">
            <w:pPr>
              <w:spacing w:line="240" w:lineRule="auto"/>
              <w:ind w:left="-72" w:leftChars="-30" w:right="-72" w:rightChars="-30" w:firstLine="0" w:firstLineChars="0"/>
              <w:jc w:val="center"/>
              <w:rPr>
                <w:color w:val="auto"/>
                <w:sz w:val="21"/>
                <w:szCs w:val="21"/>
                <w:highlight w:val="none"/>
                <w:u w:val="single"/>
              </w:rPr>
            </w:pPr>
          </w:p>
        </w:tc>
        <w:tc>
          <w:tcPr>
            <w:tcW w:w="476" w:type="pct"/>
            <w:vMerge w:val="continue"/>
            <w:tcBorders>
              <w:tl2br w:val="nil"/>
              <w:tr2bl w:val="nil"/>
            </w:tcBorders>
            <w:vAlign w:val="center"/>
          </w:tcPr>
          <w:p w14:paraId="11C82A7D">
            <w:pPr>
              <w:spacing w:line="240" w:lineRule="auto"/>
              <w:ind w:left="-72" w:leftChars="-30" w:right="-72" w:rightChars="-30" w:firstLine="0" w:firstLineChars="0"/>
              <w:jc w:val="center"/>
              <w:rPr>
                <w:color w:val="auto"/>
                <w:sz w:val="21"/>
                <w:szCs w:val="21"/>
                <w:highlight w:val="none"/>
                <w:u w:val="single"/>
              </w:rPr>
            </w:pPr>
          </w:p>
        </w:tc>
        <w:tc>
          <w:tcPr>
            <w:tcW w:w="629" w:type="pct"/>
            <w:vMerge w:val="continue"/>
            <w:tcBorders>
              <w:tl2br w:val="nil"/>
              <w:tr2bl w:val="nil"/>
            </w:tcBorders>
            <w:vAlign w:val="center"/>
          </w:tcPr>
          <w:p w14:paraId="4712A8CB">
            <w:pPr>
              <w:spacing w:line="240" w:lineRule="auto"/>
              <w:ind w:left="-72" w:leftChars="-30" w:right="-72" w:rightChars="-30" w:firstLine="0" w:firstLineChars="0"/>
              <w:jc w:val="center"/>
              <w:rPr>
                <w:color w:val="auto"/>
                <w:sz w:val="21"/>
                <w:szCs w:val="21"/>
                <w:highlight w:val="none"/>
                <w:u w:val="single"/>
              </w:rPr>
            </w:pPr>
          </w:p>
        </w:tc>
        <w:tc>
          <w:tcPr>
            <w:tcW w:w="654" w:type="pct"/>
            <w:tcBorders>
              <w:tl2br w:val="nil"/>
              <w:tr2bl w:val="nil"/>
            </w:tcBorders>
            <w:vAlign w:val="center"/>
          </w:tcPr>
          <w:p w14:paraId="31E2541B">
            <w:pPr>
              <w:spacing w:line="240" w:lineRule="auto"/>
              <w:ind w:left="-72" w:leftChars="-30" w:right="-72" w:rightChars="-30" w:firstLine="0" w:firstLineChars="0"/>
              <w:jc w:val="center"/>
              <w:rPr>
                <w:color w:val="auto"/>
                <w:sz w:val="21"/>
                <w:szCs w:val="18"/>
                <w:highlight w:val="none"/>
                <w:u w:val="single"/>
              </w:rPr>
            </w:pPr>
            <w:r>
              <w:rPr>
                <w:color w:val="auto"/>
                <w:sz w:val="21"/>
                <w:szCs w:val="18"/>
                <w:highlight w:val="none"/>
                <w:u w:val="single"/>
              </w:rPr>
              <w:t>3</w:t>
            </w:r>
            <w:r>
              <w:rPr>
                <w:color w:val="auto"/>
                <w:sz w:val="21"/>
                <w:szCs w:val="18"/>
                <w:highlight w:val="none"/>
                <w:u w:val="single"/>
                <w:vertAlign w:val="superscript"/>
              </w:rPr>
              <w:t>#</w:t>
            </w:r>
            <w:r>
              <w:rPr>
                <w:color w:val="auto"/>
                <w:sz w:val="21"/>
                <w:szCs w:val="18"/>
                <w:highlight w:val="none"/>
                <w:u w:val="single"/>
              </w:rPr>
              <w:t>下风向</w:t>
            </w:r>
          </w:p>
        </w:tc>
        <w:tc>
          <w:tcPr>
            <w:tcW w:w="565" w:type="pct"/>
            <w:tcBorders>
              <w:tl2br w:val="nil"/>
              <w:tr2bl w:val="nil"/>
            </w:tcBorders>
            <w:vAlign w:val="center"/>
          </w:tcPr>
          <w:p w14:paraId="52C159E9">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0.65</w:t>
            </w:r>
          </w:p>
        </w:tc>
        <w:tc>
          <w:tcPr>
            <w:tcW w:w="581" w:type="pct"/>
            <w:tcBorders>
              <w:tl2br w:val="nil"/>
              <w:tr2bl w:val="nil"/>
            </w:tcBorders>
            <w:vAlign w:val="center"/>
          </w:tcPr>
          <w:p w14:paraId="5EA33222">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0.63</w:t>
            </w:r>
          </w:p>
        </w:tc>
        <w:tc>
          <w:tcPr>
            <w:tcW w:w="638" w:type="pct"/>
            <w:tcBorders>
              <w:tl2br w:val="nil"/>
              <w:tr2bl w:val="nil"/>
            </w:tcBorders>
            <w:vAlign w:val="center"/>
          </w:tcPr>
          <w:p w14:paraId="35C7312C">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0.65</w:t>
            </w:r>
          </w:p>
        </w:tc>
        <w:tc>
          <w:tcPr>
            <w:tcW w:w="540" w:type="pct"/>
            <w:vMerge w:val="continue"/>
            <w:tcBorders>
              <w:tl2br w:val="nil"/>
              <w:tr2bl w:val="nil"/>
            </w:tcBorders>
            <w:vAlign w:val="center"/>
          </w:tcPr>
          <w:p w14:paraId="35B63143">
            <w:pPr>
              <w:spacing w:line="240" w:lineRule="auto"/>
              <w:ind w:left="-72" w:leftChars="-30" w:right="-72" w:rightChars="-30" w:firstLine="0" w:firstLineChars="0"/>
              <w:jc w:val="center"/>
              <w:rPr>
                <w:color w:val="auto"/>
                <w:sz w:val="21"/>
                <w:szCs w:val="21"/>
                <w:highlight w:val="none"/>
                <w:u w:val="single"/>
              </w:rPr>
            </w:pPr>
          </w:p>
        </w:tc>
        <w:tc>
          <w:tcPr>
            <w:tcW w:w="570" w:type="pct"/>
            <w:tcBorders>
              <w:tl2br w:val="nil"/>
              <w:tr2bl w:val="nil"/>
            </w:tcBorders>
            <w:vAlign w:val="center"/>
          </w:tcPr>
          <w:p w14:paraId="298CADBC">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6FF222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1AC59906">
            <w:pPr>
              <w:spacing w:line="240" w:lineRule="auto"/>
              <w:ind w:left="-72" w:leftChars="-30" w:right="-72" w:rightChars="-30" w:firstLine="0" w:firstLineChars="0"/>
              <w:jc w:val="center"/>
              <w:rPr>
                <w:color w:val="auto"/>
                <w:sz w:val="21"/>
                <w:szCs w:val="21"/>
                <w:highlight w:val="none"/>
                <w:u w:val="single"/>
              </w:rPr>
            </w:pPr>
          </w:p>
        </w:tc>
        <w:tc>
          <w:tcPr>
            <w:tcW w:w="476" w:type="pct"/>
            <w:vMerge w:val="continue"/>
            <w:tcBorders>
              <w:tl2br w:val="nil"/>
              <w:tr2bl w:val="nil"/>
            </w:tcBorders>
            <w:vAlign w:val="center"/>
          </w:tcPr>
          <w:p w14:paraId="298C382C">
            <w:pPr>
              <w:spacing w:line="240" w:lineRule="auto"/>
              <w:ind w:left="-72" w:leftChars="-30" w:right="-72" w:rightChars="-30" w:firstLine="0" w:firstLineChars="0"/>
              <w:jc w:val="center"/>
              <w:rPr>
                <w:color w:val="auto"/>
                <w:sz w:val="21"/>
                <w:szCs w:val="21"/>
                <w:highlight w:val="none"/>
                <w:u w:val="single"/>
              </w:rPr>
            </w:pPr>
          </w:p>
        </w:tc>
        <w:tc>
          <w:tcPr>
            <w:tcW w:w="629" w:type="pct"/>
            <w:vMerge w:val="continue"/>
            <w:tcBorders>
              <w:tl2br w:val="nil"/>
              <w:tr2bl w:val="nil"/>
            </w:tcBorders>
            <w:vAlign w:val="center"/>
          </w:tcPr>
          <w:p w14:paraId="0353C448">
            <w:pPr>
              <w:spacing w:line="240" w:lineRule="auto"/>
              <w:ind w:left="-72" w:leftChars="-30" w:right="-72" w:rightChars="-30" w:firstLine="0" w:firstLineChars="0"/>
              <w:jc w:val="center"/>
              <w:rPr>
                <w:color w:val="auto"/>
                <w:sz w:val="21"/>
                <w:szCs w:val="21"/>
                <w:highlight w:val="none"/>
                <w:u w:val="single"/>
              </w:rPr>
            </w:pPr>
          </w:p>
        </w:tc>
        <w:tc>
          <w:tcPr>
            <w:tcW w:w="654" w:type="pct"/>
            <w:tcBorders>
              <w:tl2br w:val="nil"/>
              <w:tr2bl w:val="nil"/>
            </w:tcBorders>
            <w:vAlign w:val="center"/>
          </w:tcPr>
          <w:p w14:paraId="3F9DBEE5">
            <w:pPr>
              <w:spacing w:line="240" w:lineRule="auto"/>
              <w:ind w:left="-72" w:leftChars="-30" w:right="-72" w:rightChars="-30" w:firstLine="0" w:firstLineChars="0"/>
              <w:jc w:val="center"/>
              <w:rPr>
                <w:color w:val="auto"/>
                <w:sz w:val="21"/>
                <w:szCs w:val="18"/>
                <w:highlight w:val="none"/>
                <w:u w:val="single"/>
              </w:rPr>
            </w:pPr>
            <w:r>
              <w:rPr>
                <w:color w:val="auto"/>
                <w:sz w:val="21"/>
                <w:szCs w:val="18"/>
                <w:highlight w:val="none"/>
                <w:u w:val="single"/>
              </w:rPr>
              <w:t>4</w:t>
            </w:r>
            <w:r>
              <w:rPr>
                <w:color w:val="auto"/>
                <w:sz w:val="21"/>
                <w:szCs w:val="18"/>
                <w:highlight w:val="none"/>
                <w:u w:val="single"/>
                <w:vertAlign w:val="superscript"/>
              </w:rPr>
              <w:t>#</w:t>
            </w:r>
            <w:r>
              <w:rPr>
                <w:color w:val="auto"/>
                <w:sz w:val="21"/>
                <w:szCs w:val="18"/>
                <w:highlight w:val="none"/>
                <w:u w:val="single"/>
              </w:rPr>
              <w:t>下风向</w:t>
            </w:r>
          </w:p>
        </w:tc>
        <w:tc>
          <w:tcPr>
            <w:tcW w:w="565" w:type="pct"/>
            <w:tcBorders>
              <w:tl2br w:val="nil"/>
              <w:tr2bl w:val="nil"/>
            </w:tcBorders>
            <w:vAlign w:val="center"/>
          </w:tcPr>
          <w:p w14:paraId="21B12EA3">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0.76</w:t>
            </w:r>
          </w:p>
        </w:tc>
        <w:tc>
          <w:tcPr>
            <w:tcW w:w="581" w:type="pct"/>
            <w:tcBorders>
              <w:tl2br w:val="nil"/>
              <w:tr2bl w:val="nil"/>
            </w:tcBorders>
            <w:vAlign w:val="center"/>
          </w:tcPr>
          <w:p w14:paraId="2556ECB9">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0.72</w:t>
            </w:r>
          </w:p>
        </w:tc>
        <w:tc>
          <w:tcPr>
            <w:tcW w:w="638" w:type="pct"/>
            <w:tcBorders>
              <w:tl2br w:val="nil"/>
              <w:tr2bl w:val="nil"/>
            </w:tcBorders>
            <w:vAlign w:val="center"/>
          </w:tcPr>
          <w:p w14:paraId="12C42FF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0.78</w:t>
            </w:r>
          </w:p>
        </w:tc>
        <w:tc>
          <w:tcPr>
            <w:tcW w:w="540" w:type="pct"/>
            <w:vMerge w:val="continue"/>
            <w:tcBorders>
              <w:tl2br w:val="nil"/>
              <w:tr2bl w:val="nil"/>
            </w:tcBorders>
            <w:vAlign w:val="center"/>
          </w:tcPr>
          <w:p w14:paraId="0B7066B4">
            <w:pPr>
              <w:spacing w:line="240" w:lineRule="auto"/>
              <w:ind w:left="-72" w:leftChars="-30" w:right="-72" w:rightChars="-30" w:firstLine="0" w:firstLineChars="0"/>
              <w:jc w:val="center"/>
              <w:rPr>
                <w:color w:val="auto"/>
                <w:sz w:val="21"/>
                <w:szCs w:val="21"/>
                <w:highlight w:val="none"/>
                <w:u w:val="single"/>
              </w:rPr>
            </w:pPr>
          </w:p>
        </w:tc>
        <w:tc>
          <w:tcPr>
            <w:tcW w:w="570" w:type="pct"/>
            <w:tcBorders>
              <w:tl2br w:val="nil"/>
              <w:tr2bl w:val="nil"/>
            </w:tcBorders>
            <w:vAlign w:val="center"/>
          </w:tcPr>
          <w:p w14:paraId="7220D0AB">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0ED751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37298970">
            <w:pPr>
              <w:spacing w:line="240" w:lineRule="auto"/>
              <w:ind w:left="-72" w:leftChars="-30" w:right="-72" w:rightChars="-30" w:firstLine="0" w:firstLineChars="0"/>
              <w:jc w:val="center"/>
              <w:rPr>
                <w:color w:val="auto"/>
                <w:sz w:val="21"/>
                <w:szCs w:val="21"/>
                <w:highlight w:val="none"/>
                <w:u w:val="single"/>
              </w:rPr>
            </w:pPr>
          </w:p>
        </w:tc>
        <w:tc>
          <w:tcPr>
            <w:tcW w:w="476" w:type="pct"/>
            <w:vMerge w:val="continue"/>
            <w:tcBorders>
              <w:tl2br w:val="nil"/>
              <w:tr2bl w:val="nil"/>
            </w:tcBorders>
            <w:vAlign w:val="center"/>
          </w:tcPr>
          <w:p w14:paraId="4F8A5CE3">
            <w:pPr>
              <w:spacing w:line="240" w:lineRule="auto"/>
              <w:ind w:left="-72" w:leftChars="-30" w:right="-72" w:rightChars="-30" w:firstLine="0" w:firstLineChars="0"/>
              <w:jc w:val="center"/>
              <w:rPr>
                <w:color w:val="auto"/>
                <w:sz w:val="21"/>
                <w:szCs w:val="21"/>
                <w:highlight w:val="none"/>
                <w:u w:val="single"/>
              </w:rPr>
            </w:pPr>
          </w:p>
        </w:tc>
        <w:tc>
          <w:tcPr>
            <w:tcW w:w="629" w:type="pct"/>
            <w:vMerge w:val="restart"/>
            <w:tcBorders>
              <w:tl2br w:val="nil"/>
              <w:tr2bl w:val="nil"/>
            </w:tcBorders>
            <w:vAlign w:val="center"/>
          </w:tcPr>
          <w:p w14:paraId="0A1A4A15">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2025年</w:t>
            </w:r>
            <w:r>
              <w:rPr>
                <w:color w:val="auto"/>
                <w:sz w:val="21"/>
                <w:szCs w:val="21"/>
                <w:highlight w:val="none"/>
                <w:u w:val="single"/>
              </w:rPr>
              <w:t>10月2</w:t>
            </w:r>
            <w:r>
              <w:rPr>
                <w:rFonts w:hint="eastAsia"/>
                <w:color w:val="auto"/>
                <w:sz w:val="21"/>
                <w:szCs w:val="21"/>
                <w:highlight w:val="none"/>
                <w:u w:val="single"/>
              </w:rPr>
              <w:t>3</w:t>
            </w:r>
            <w:r>
              <w:rPr>
                <w:color w:val="auto"/>
                <w:sz w:val="21"/>
                <w:szCs w:val="21"/>
                <w:highlight w:val="none"/>
                <w:u w:val="single"/>
              </w:rPr>
              <w:t>日</w:t>
            </w:r>
          </w:p>
        </w:tc>
        <w:tc>
          <w:tcPr>
            <w:tcW w:w="654" w:type="pct"/>
            <w:tcBorders>
              <w:tl2br w:val="nil"/>
              <w:tr2bl w:val="nil"/>
            </w:tcBorders>
            <w:vAlign w:val="center"/>
          </w:tcPr>
          <w:p w14:paraId="2D98C466">
            <w:pPr>
              <w:spacing w:line="240" w:lineRule="auto"/>
              <w:ind w:left="-72" w:leftChars="-30" w:right="-72" w:rightChars="-30" w:firstLine="0" w:firstLineChars="0"/>
              <w:jc w:val="center"/>
              <w:rPr>
                <w:color w:val="auto"/>
                <w:sz w:val="21"/>
                <w:szCs w:val="18"/>
                <w:highlight w:val="none"/>
                <w:u w:val="single"/>
              </w:rPr>
            </w:pPr>
            <w:r>
              <w:rPr>
                <w:color w:val="auto"/>
                <w:sz w:val="21"/>
                <w:szCs w:val="18"/>
                <w:highlight w:val="none"/>
                <w:u w:val="single"/>
              </w:rPr>
              <w:t>1</w:t>
            </w:r>
            <w:r>
              <w:rPr>
                <w:color w:val="auto"/>
                <w:sz w:val="21"/>
                <w:szCs w:val="18"/>
                <w:highlight w:val="none"/>
                <w:u w:val="single"/>
                <w:vertAlign w:val="superscript"/>
              </w:rPr>
              <w:t>#</w:t>
            </w:r>
            <w:r>
              <w:rPr>
                <w:color w:val="auto"/>
                <w:sz w:val="21"/>
                <w:szCs w:val="18"/>
                <w:highlight w:val="none"/>
                <w:u w:val="single"/>
              </w:rPr>
              <w:t>上风向</w:t>
            </w:r>
          </w:p>
        </w:tc>
        <w:tc>
          <w:tcPr>
            <w:tcW w:w="565" w:type="pct"/>
            <w:tcBorders>
              <w:tl2br w:val="nil"/>
              <w:tr2bl w:val="nil"/>
            </w:tcBorders>
            <w:vAlign w:val="center"/>
          </w:tcPr>
          <w:p w14:paraId="58B33C71">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0.40</w:t>
            </w:r>
          </w:p>
        </w:tc>
        <w:tc>
          <w:tcPr>
            <w:tcW w:w="581" w:type="pct"/>
            <w:tcBorders>
              <w:tl2br w:val="nil"/>
              <w:tr2bl w:val="nil"/>
            </w:tcBorders>
            <w:vAlign w:val="center"/>
          </w:tcPr>
          <w:p w14:paraId="6F22AE83">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0.45</w:t>
            </w:r>
          </w:p>
        </w:tc>
        <w:tc>
          <w:tcPr>
            <w:tcW w:w="638" w:type="pct"/>
            <w:tcBorders>
              <w:tl2br w:val="nil"/>
              <w:tr2bl w:val="nil"/>
            </w:tcBorders>
            <w:vAlign w:val="center"/>
          </w:tcPr>
          <w:p w14:paraId="208DD446">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0.36</w:t>
            </w:r>
          </w:p>
        </w:tc>
        <w:tc>
          <w:tcPr>
            <w:tcW w:w="540" w:type="pct"/>
            <w:vMerge w:val="continue"/>
            <w:tcBorders>
              <w:tl2br w:val="nil"/>
              <w:tr2bl w:val="nil"/>
            </w:tcBorders>
            <w:vAlign w:val="center"/>
          </w:tcPr>
          <w:p w14:paraId="7C153E7E">
            <w:pPr>
              <w:spacing w:line="240" w:lineRule="auto"/>
              <w:ind w:left="-72" w:leftChars="-30" w:right="-72" w:rightChars="-30" w:firstLine="0" w:firstLineChars="0"/>
              <w:jc w:val="center"/>
              <w:rPr>
                <w:color w:val="auto"/>
                <w:sz w:val="21"/>
                <w:szCs w:val="21"/>
                <w:highlight w:val="none"/>
                <w:u w:val="single"/>
              </w:rPr>
            </w:pPr>
          </w:p>
        </w:tc>
        <w:tc>
          <w:tcPr>
            <w:tcW w:w="570" w:type="pct"/>
            <w:tcBorders>
              <w:tl2br w:val="nil"/>
              <w:tr2bl w:val="nil"/>
            </w:tcBorders>
            <w:vAlign w:val="center"/>
          </w:tcPr>
          <w:p w14:paraId="560B6966">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4EB684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75525DD3">
            <w:pPr>
              <w:spacing w:line="240" w:lineRule="auto"/>
              <w:ind w:left="-72" w:leftChars="-30" w:right="-72" w:rightChars="-30" w:firstLine="0" w:firstLineChars="0"/>
              <w:jc w:val="center"/>
              <w:rPr>
                <w:color w:val="auto"/>
                <w:szCs w:val="21"/>
                <w:highlight w:val="none"/>
                <w:u w:val="single"/>
              </w:rPr>
            </w:pPr>
          </w:p>
        </w:tc>
        <w:tc>
          <w:tcPr>
            <w:tcW w:w="476" w:type="pct"/>
            <w:vMerge w:val="continue"/>
            <w:tcBorders>
              <w:tl2br w:val="nil"/>
              <w:tr2bl w:val="nil"/>
            </w:tcBorders>
            <w:vAlign w:val="center"/>
          </w:tcPr>
          <w:p w14:paraId="73E65B1D">
            <w:pPr>
              <w:spacing w:line="240" w:lineRule="auto"/>
              <w:ind w:left="-72" w:leftChars="-30" w:right="-72" w:rightChars="-30" w:firstLine="0" w:firstLineChars="0"/>
              <w:jc w:val="center"/>
              <w:rPr>
                <w:color w:val="auto"/>
                <w:szCs w:val="21"/>
                <w:highlight w:val="none"/>
                <w:u w:val="single"/>
              </w:rPr>
            </w:pPr>
          </w:p>
        </w:tc>
        <w:tc>
          <w:tcPr>
            <w:tcW w:w="629" w:type="pct"/>
            <w:vMerge w:val="continue"/>
            <w:tcBorders>
              <w:tl2br w:val="nil"/>
              <w:tr2bl w:val="nil"/>
            </w:tcBorders>
            <w:vAlign w:val="center"/>
          </w:tcPr>
          <w:p w14:paraId="6742644A">
            <w:pPr>
              <w:spacing w:line="240" w:lineRule="auto"/>
              <w:ind w:left="-72" w:leftChars="-30" w:right="-72" w:rightChars="-30" w:firstLine="0" w:firstLineChars="0"/>
              <w:jc w:val="center"/>
              <w:rPr>
                <w:color w:val="auto"/>
                <w:szCs w:val="21"/>
                <w:highlight w:val="none"/>
                <w:u w:val="single"/>
              </w:rPr>
            </w:pPr>
          </w:p>
        </w:tc>
        <w:tc>
          <w:tcPr>
            <w:tcW w:w="654" w:type="pct"/>
            <w:tcBorders>
              <w:tl2br w:val="nil"/>
              <w:tr2bl w:val="nil"/>
            </w:tcBorders>
            <w:vAlign w:val="center"/>
          </w:tcPr>
          <w:p w14:paraId="790E555A">
            <w:pPr>
              <w:spacing w:line="240" w:lineRule="auto"/>
              <w:ind w:left="-72" w:leftChars="-30" w:right="-72" w:rightChars="-30" w:firstLine="0" w:firstLineChars="0"/>
              <w:jc w:val="center"/>
              <w:rPr>
                <w:color w:val="auto"/>
                <w:sz w:val="21"/>
                <w:szCs w:val="18"/>
                <w:highlight w:val="none"/>
                <w:u w:val="single"/>
              </w:rPr>
            </w:pPr>
            <w:r>
              <w:rPr>
                <w:color w:val="auto"/>
                <w:sz w:val="21"/>
                <w:szCs w:val="18"/>
                <w:highlight w:val="none"/>
                <w:u w:val="single"/>
              </w:rPr>
              <w:t>2</w:t>
            </w:r>
            <w:r>
              <w:rPr>
                <w:color w:val="auto"/>
                <w:sz w:val="21"/>
                <w:szCs w:val="18"/>
                <w:highlight w:val="none"/>
                <w:u w:val="single"/>
                <w:vertAlign w:val="superscript"/>
              </w:rPr>
              <w:t>#</w:t>
            </w:r>
            <w:r>
              <w:rPr>
                <w:color w:val="auto"/>
                <w:sz w:val="21"/>
                <w:szCs w:val="18"/>
                <w:highlight w:val="none"/>
                <w:u w:val="single"/>
              </w:rPr>
              <w:t>下风向</w:t>
            </w:r>
          </w:p>
        </w:tc>
        <w:tc>
          <w:tcPr>
            <w:tcW w:w="565" w:type="pct"/>
            <w:tcBorders>
              <w:tl2br w:val="nil"/>
              <w:tr2bl w:val="nil"/>
            </w:tcBorders>
            <w:vAlign w:val="center"/>
          </w:tcPr>
          <w:p w14:paraId="35ED622B">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0.75</w:t>
            </w:r>
          </w:p>
        </w:tc>
        <w:tc>
          <w:tcPr>
            <w:tcW w:w="581" w:type="pct"/>
            <w:tcBorders>
              <w:tl2br w:val="nil"/>
              <w:tr2bl w:val="nil"/>
            </w:tcBorders>
            <w:vAlign w:val="center"/>
          </w:tcPr>
          <w:p w14:paraId="6EDBEADA">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0.72</w:t>
            </w:r>
          </w:p>
        </w:tc>
        <w:tc>
          <w:tcPr>
            <w:tcW w:w="638" w:type="pct"/>
            <w:tcBorders>
              <w:tl2br w:val="nil"/>
              <w:tr2bl w:val="nil"/>
            </w:tcBorders>
            <w:vAlign w:val="center"/>
          </w:tcPr>
          <w:p w14:paraId="05CDA83B">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0.70</w:t>
            </w:r>
          </w:p>
        </w:tc>
        <w:tc>
          <w:tcPr>
            <w:tcW w:w="540" w:type="pct"/>
            <w:vMerge w:val="continue"/>
            <w:tcBorders>
              <w:tl2br w:val="nil"/>
              <w:tr2bl w:val="nil"/>
            </w:tcBorders>
            <w:vAlign w:val="center"/>
          </w:tcPr>
          <w:p w14:paraId="3DBB9CCD">
            <w:pPr>
              <w:spacing w:line="240" w:lineRule="auto"/>
              <w:ind w:left="-72" w:leftChars="-30" w:right="-72" w:rightChars="-30" w:firstLine="0" w:firstLineChars="0"/>
              <w:jc w:val="center"/>
              <w:rPr>
                <w:color w:val="auto"/>
                <w:sz w:val="21"/>
                <w:szCs w:val="21"/>
                <w:highlight w:val="none"/>
                <w:u w:val="single"/>
              </w:rPr>
            </w:pPr>
          </w:p>
        </w:tc>
        <w:tc>
          <w:tcPr>
            <w:tcW w:w="570" w:type="pct"/>
            <w:tcBorders>
              <w:tl2br w:val="nil"/>
              <w:tr2bl w:val="nil"/>
            </w:tcBorders>
            <w:vAlign w:val="center"/>
          </w:tcPr>
          <w:p w14:paraId="617B353E">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56EC15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4B017CEA">
            <w:pPr>
              <w:spacing w:line="240" w:lineRule="auto"/>
              <w:ind w:left="-72" w:leftChars="-30" w:right="-72" w:rightChars="-30" w:firstLine="0" w:firstLineChars="0"/>
              <w:jc w:val="center"/>
              <w:rPr>
                <w:color w:val="auto"/>
                <w:szCs w:val="21"/>
                <w:highlight w:val="none"/>
                <w:u w:val="single"/>
              </w:rPr>
            </w:pPr>
          </w:p>
        </w:tc>
        <w:tc>
          <w:tcPr>
            <w:tcW w:w="476" w:type="pct"/>
            <w:vMerge w:val="continue"/>
            <w:tcBorders>
              <w:tl2br w:val="nil"/>
              <w:tr2bl w:val="nil"/>
            </w:tcBorders>
            <w:vAlign w:val="center"/>
          </w:tcPr>
          <w:p w14:paraId="13220AA2">
            <w:pPr>
              <w:spacing w:line="240" w:lineRule="auto"/>
              <w:ind w:left="-72" w:leftChars="-30" w:right="-72" w:rightChars="-30" w:firstLine="0" w:firstLineChars="0"/>
              <w:jc w:val="center"/>
              <w:rPr>
                <w:color w:val="auto"/>
                <w:szCs w:val="21"/>
                <w:highlight w:val="none"/>
                <w:u w:val="single"/>
              </w:rPr>
            </w:pPr>
          </w:p>
        </w:tc>
        <w:tc>
          <w:tcPr>
            <w:tcW w:w="629" w:type="pct"/>
            <w:vMerge w:val="continue"/>
            <w:tcBorders>
              <w:tl2br w:val="nil"/>
              <w:tr2bl w:val="nil"/>
            </w:tcBorders>
            <w:vAlign w:val="center"/>
          </w:tcPr>
          <w:p w14:paraId="1BFE925D">
            <w:pPr>
              <w:spacing w:line="240" w:lineRule="auto"/>
              <w:ind w:left="-72" w:leftChars="-30" w:right="-72" w:rightChars="-30" w:firstLine="0" w:firstLineChars="0"/>
              <w:jc w:val="center"/>
              <w:rPr>
                <w:color w:val="auto"/>
                <w:szCs w:val="21"/>
                <w:highlight w:val="none"/>
                <w:u w:val="single"/>
              </w:rPr>
            </w:pPr>
          </w:p>
        </w:tc>
        <w:tc>
          <w:tcPr>
            <w:tcW w:w="654" w:type="pct"/>
            <w:tcBorders>
              <w:tl2br w:val="nil"/>
              <w:tr2bl w:val="nil"/>
            </w:tcBorders>
            <w:vAlign w:val="center"/>
          </w:tcPr>
          <w:p w14:paraId="1041C564">
            <w:pPr>
              <w:spacing w:line="240" w:lineRule="auto"/>
              <w:ind w:left="-72" w:leftChars="-30" w:right="-72" w:rightChars="-30" w:firstLine="0" w:firstLineChars="0"/>
              <w:jc w:val="center"/>
              <w:rPr>
                <w:color w:val="auto"/>
                <w:sz w:val="21"/>
                <w:szCs w:val="18"/>
                <w:highlight w:val="none"/>
                <w:u w:val="single"/>
              </w:rPr>
            </w:pPr>
            <w:r>
              <w:rPr>
                <w:color w:val="auto"/>
                <w:sz w:val="21"/>
                <w:szCs w:val="18"/>
                <w:highlight w:val="none"/>
                <w:u w:val="single"/>
              </w:rPr>
              <w:t>3</w:t>
            </w:r>
            <w:r>
              <w:rPr>
                <w:color w:val="auto"/>
                <w:sz w:val="21"/>
                <w:szCs w:val="18"/>
                <w:highlight w:val="none"/>
                <w:u w:val="single"/>
                <w:vertAlign w:val="superscript"/>
              </w:rPr>
              <w:t>#</w:t>
            </w:r>
            <w:r>
              <w:rPr>
                <w:color w:val="auto"/>
                <w:sz w:val="21"/>
                <w:szCs w:val="18"/>
                <w:highlight w:val="none"/>
                <w:u w:val="single"/>
              </w:rPr>
              <w:t>下风向</w:t>
            </w:r>
          </w:p>
        </w:tc>
        <w:tc>
          <w:tcPr>
            <w:tcW w:w="565" w:type="pct"/>
            <w:tcBorders>
              <w:tl2br w:val="nil"/>
              <w:tr2bl w:val="nil"/>
            </w:tcBorders>
            <w:vAlign w:val="center"/>
          </w:tcPr>
          <w:p w14:paraId="463E4B5E">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0.81</w:t>
            </w:r>
          </w:p>
        </w:tc>
        <w:tc>
          <w:tcPr>
            <w:tcW w:w="581" w:type="pct"/>
            <w:tcBorders>
              <w:tl2br w:val="nil"/>
              <w:tr2bl w:val="nil"/>
            </w:tcBorders>
            <w:vAlign w:val="center"/>
          </w:tcPr>
          <w:p w14:paraId="5EDE3E45">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0.88</w:t>
            </w:r>
          </w:p>
        </w:tc>
        <w:tc>
          <w:tcPr>
            <w:tcW w:w="638" w:type="pct"/>
            <w:tcBorders>
              <w:tl2br w:val="nil"/>
              <w:tr2bl w:val="nil"/>
            </w:tcBorders>
            <w:vAlign w:val="center"/>
          </w:tcPr>
          <w:p w14:paraId="0F07D73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0.89</w:t>
            </w:r>
          </w:p>
        </w:tc>
        <w:tc>
          <w:tcPr>
            <w:tcW w:w="540" w:type="pct"/>
            <w:vMerge w:val="continue"/>
            <w:tcBorders>
              <w:tl2br w:val="nil"/>
              <w:tr2bl w:val="nil"/>
            </w:tcBorders>
            <w:vAlign w:val="center"/>
          </w:tcPr>
          <w:p w14:paraId="3AD79C37">
            <w:pPr>
              <w:spacing w:line="240" w:lineRule="auto"/>
              <w:ind w:left="-72" w:leftChars="-30" w:right="-72" w:rightChars="-30" w:firstLine="0" w:firstLineChars="0"/>
              <w:jc w:val="center"/>
              <w:rPr>
                <w:color w:val="auto"/>
                <w:sz w:val="21"/>
                <w:szCs w:val="21"/>
                <w:highlight w:val="none"/>
                <w:u w:val="single"/>
              </w:rPr>
            </w:pPr>
          </w:p>
        </w:tc>
        <w:tc>
          <w:tcPr>
            <w:tcW w:w="570" w:type="pct"/>
            <w:tcBorders>
              <w:tl2br w:val="nil"/>
              <w:tr2bl w:val="nil"/>
            </w:tcBorders>
            <w:vAlign w:val="center"/>
          </w:tcPr>
          <w:p w14:paraId="7C90B7E7">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6022CD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3A029238">
            <w:pPr>
              <w:spacing w:line="240" w:lineRule="auto"/>
              <w:ind w:left="-72" w:leftChars="-30" w:right="-72" w:rightChars="-30" w:firstLine="0" w:firstLineChars="0"/>
              <w:jc w:val="center"/>
              <w:rPr>
                <w:color w:val="auto"/>
                <w:szCs w:val="21"/>
                <w:highlight w:val="none"/>
                <w:u w:val="single"/>
              </w:rPr>
            </w:pPr>
          </w:p>
        </w:tc>
        <w:tc>
          <w:tcPr>
            <w:tcW w:w="476" w:type="pct"/>
            <w:vMerge w:val="continue"/>
            <w:tcBorders>
              <w:tl2br w:val="nil"/>
              <w:tr2bl w:val="nil"/>
            </w:tcBorders>
            <w:vAlign w:val="center"/>
          </w:tcPr>
          <w:p w14:paraId="0FB02E56">
            <w:pPr>
              <w:spacing w:line="240" w:lineRule="auto"/>
              <w:ind w:left="-72" w:leftChars="-30" w:right="-72" w:rightChars="-30" w:firstLine="0" w:firstLineChars="0"/>
              <w:jc w:val="center"/>
              <w:rPr>
                <w:color w:val="auto"/>
                <w:szCs w:val="21"/>
                <w:highlight w:val="none"/>
                <w:u w:val="single"/>
              </w:rPr>
            </w:pPr>
          </w:p>
        </w:tc>
        <w:tc>
          <w:tcPr>
            <w:tcW w:w="629" w:type="pct"/>
            <w:vMerge w:val="continue"/>
            <w:tcBorders>
              <w:tl2br w:val="nil"/>
              <w:tr2bl w:val="nil"/>
            </w:tcBorders>
            <w:vAlign w:val="center"/>
          </w:tcPr>
          <w:p w14:paraId="74EE515C">
            <w:pPr>
              <w:spacing w:line="240" w:lineRule="auto"/>
              <w:ind w:left="-72" w:leftChars="-30" w:right="-72" w:rightChars="-30" w:firstLine="0" w:firstLineChars="0"/>
              <w:jc w:val="center"/>
              <w:rPr>
                <w:color w:val="auto"/>
                <w:szCs w:val="21"/>
                <w:highlight w:val="none"/>
                <w:u w:val="single"/>
              </w:rPr>
            </w:pPr>
          </w:p>
        </w:tc>
        <w:tc>
          <w:tcPr>
            <w:tcW w:w="654" w:type="pct"/>
            <w:tcBorders>
              <w:tl2br w:val="nil"/>
              <w:tr2bl w:val="nil"/>
            </w:tcBorders>
            <w:vAlign w:val="center"/>
          </w:tcPr>
          <w:p w14:paraId="75B4387F">
            <w:pPr>
              <w:spacing w:line="240" w:lineRule="auto"/>
              <w:ind w:left="-72" w:leftChars="-30" w:right="-72" w:rightChars="-30" w:firstLine="0" w:firstLineChars="0"/>
              <w:jc w:val="center"/>
              <w:rPr>
                <w:color w:val="auto"/>
                <w:sz w:val="21"/>
                <w:szCs w:val="18"/>
                <w:highlight w:val="none"/>
                <w:u w:val="single"/>
              </w:rPr>
            </w:pPr>
            <w:r>
              <w:rPr>
                <w:color w:val="auto"/>
                <w:sz w:val="21"/>
                <w:szCs w:val="18"/>
                <w:highlight w:val="none"/>
                <w:u w:val="single"/>
              </w:rPr>
              <w:t>4</w:t>
            </w:r>
            <w:r>
              <w:rPr>
                <w:color w:val="auto"/>
                <w:sz w:val="21"/>
                <w:szCs w:val="18"/>
                <w:highlight w:val="none"/>
                <w:u w:val="single"/>
                <w:vertAlign w:val="superscript"/>
              </w:rPr>
              <w:t>#</w:t>
            </w:r>
            <w:r>
              <w:rPr>
                <w:color w:val="auto"/>
                <w:sz w:val="21"/>
                <w:szCs w:val="18"/>
                <w:highlight w:val="none"/>
                <w:u w:val="single"/>
              </w:rPr>
              <w:t>下风向</w:t>
            </w:r>
          </w:p>
        </w:tc>
        <w:tc>
          <w:tcPr>
            <w:tcW w:w="565" w:type="pct"/>
            <w:tcBorders>
              <w:tl2br w:val="nil"/>
              <w:tr2bl w:val="nil"/>
            </w:tcBorders>
            <w:vAlign w:val="center"/>
          </w:tcPr>
          <w:p w14:paraId="1DE84691">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0.82</w:t>
            </w:r>
          </w:p>
        </w:tc>
        <w:tc>
          <w:tcPr>
            <w:tcW w:w="581" w:type="pct"/>
            <w:tcBorders>
              <w:tl2br w:val="nil"/>
              <w:tr2bl w:val="nil"/>
            </w:tcBorders>
            <w:vAlign w:val="center"/>
          </w:tcPr>
          <w:p w14:paraId="72E7E7D6">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0.67</w:t>
            </w:r>
          </w:p>
        </w:tc>
        <w:tc>
          <w:tcPr>
            <w:tcW w:w="638" w:type="pct"/>
            <w:tcBorders>
              <w:tl2br w:val="nil"/>
              <w:tr2bl w:val="nil"/>
            </w:tcBorders>
            <w:vAlign w:val="center"/>
          </w:tcPr>
          <w:p w14:paraId="45B601AA">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0.75</w:t>
            </w:r>
          </w:p>
        </w:tc>
        <w:tc>
          <w:tcPr>
            <w:tcW w:w="540" w:type="pct"/>
            <w:vMerge w:val="continue"/>
            <w:tcBorders>
              <w:tl2br w:val="nil"/>
              <w:tr2bl w:val="nil"/>
            </w:tcBorders>
            <w:vAlign w:val="center"/>
          </w:tcPr>
          <w:p w14:paraId="726AB996">
            <w:pPr>
              <w:spacing w:line="240" w:lineRule="auto"/>
              <w:ind w:left="-72" w:leftChars="-30" w:right="-72" w:rightChars="-30" w:firstLine="0" w:firstLineChars="0"/>
              <w:jc w:val="center"/>
              <w:rPr>
                <w:color w:val="auto"/>
                <w:sz w:val="21"/>
                <w:szCs w:val="21"/>
                <w:highlight w:val="none"/>
                <w:u w:val="single"/>
              </w:rPr>
            </w:pPr>
          </w:p>
        </w:tc>
        <w:tc>
          <w:tcPr>
            <w:tcW w:w="570" w:type="pct"/>
            <w:tcBorders>
              <w:tl2br w:val="nil"/>
              <w:tr2bl w:val="nil"/>
            </w:tcBorders>
            <w:vAlign w:val="center"/>
          </w:tcPr>
          <w:p w14:paraId="035E9FBD">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39AFD5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restart"/>
            <w:tcBorders>
              <w:tl2br w:val="nil"/>
              <w:tr2bl w:val="nil"/>
            </w:tcBorders>
            <w:vAlign w:val="center"/>
          </w:tcPr>
          <w:p w14:paraId="32208EAA">
            <w:pPr>
              <w:spacing w:line="240" w:lineRule="auto"/>
              <w:ind w:left="-72" w:leftChars="-30" w:right="-72" w:rightChars="-30" w:firstLine="0" w:firstLineChars="0"/>
              <w:jc w:val="center"/>
              <w:rPr>
                <w:bCs/>
                <w:color w:val="auto"/>
                <w:spacing w:val="-10"/>
                <w:szCs w:val="21"/>
                <w:highlight w:val="none"/>
                <w:u w:val="single"/>
              </w:rPr>
            </w:pPr>
            <w:r>
              <w:rPr>
                <w:color w:val="auto"/>
                <w:sz w:val="21"/>
                <w:szCs w:val="21"/>
                <w:highlight w:val="none"/>
                <w:u w:val="single"/>
              </w:rPr>
              <w:t>2</w:t>
            </w:r>
          </w:p>
        </w:tc>
        <w:tc>
          <w:tcPr>
            <w:tcW w:w="476" w:type="pct"/>
            <w:vMerge w:val="restart"/>
            <w:tcBorders>
              <w:tl2br w:val="nil"/>
              <w:tr2bl w:val="nil"/>
            </w:tcBorders>
            <w:vAlign w:val="center"/>
          </w:tcPr>
          <w:p w14:paraId="260DD2AC">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TSP</w:t>
            </w:r>
          </w:p>
        </w:tc>
        <w:tc>
          <w:tcPr>
            <w:tcW w:w="629" w:type="pct"/>
            <w:vMerge w:val="restart"/>
            <w:tcBorders>
              <w:tl2br w:val="nil"/>
              <w:tr2bl w:val="nil"/>
            </w:tcBorders>
            <w:vAlign w:val="center"/>
          </w:tcPr>
          <w:p w14:paraId="7B57CBD3">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2025年4</w:t>
            </w:r>
            <w:r>
              <w:rPr>
                <w:color w:val="auto"/>
                <w:sz w:val="21"/>
                <w:szCs w:val="21"/>
                <w:highlight w:val="none"/>
                <w:u w:val="single"/>
              </w:rPr>
              <w:t>月</w:t>
            </w:r>
            <w:r>
              <w:rPr>
                <w:rFonts w:hint="eastAsia"/>
                <w:color w:val="auto"/>
                <w:sz w:val="21"/>
                <w:szCs w:val="21"/>
                <w:highlight w:val="none"/>
                <w:u w:val="single"/>
              </w:rPr>
              <w:t>9</w:t>
            </w:r>
            <w:r>
              <w:rPr>
                <w:color w:val="auto"/>
                <w:sz w:val="21"/>
                <w:szCs w:val="21"/>
                <w:highlight w:val="none"/>
                <w:u w:val="single"/>
              </w:rPr>
              <w:t>日</w:t>
            </w:r>
          </w:p>
        </w:tc>
        <w:tc>
          <w:tcPr>
            <w:tcW w:w="654" w:type="pct"/>
            <w:tcBorders>
              <w:tl2br w:val="nil"/>
              <w:tr2bl w:val="nil"/>
            </w:tcBorders>
            <w:vAlign w:val="center"/>
          </w:tcPr>
          <w:p w14:paraId="72335875">
            <w:pPr>
              <w:spacing w:line="240" w:lineRule="auto"/>
              <w:ind w:left="-72" w:leftChars="-30" w:right="-72" w:rightChars="-30" w:firstLine="0" w:firstLineChars="0"/>
              <w:jc w:val="center"/>
              <w:rPr>
                <w:color w:val="auto"/>
                <w:sz w:val="21"/>
                <w:szCs w:val="18"/>
                <w:highlight w:val="none"/>
                <w:u w:val="single"/>
              </w:rPr>
            </w:pPr>
            <w:r>
              <w:rPr>
                <w:color w:val="auto"/>
                <w:sz w:val="21"/>
                <w:szCs w:val="18"/>
                <w:highlight w:val="none"/>
                <w:u w:val="single"/>
              </w:rPr>
              <w:t>1</w:t>
            </w:r>
            <w:r>
              <w:rPr>
                <w:color w:val="auto"/>
                <w:sz w:val="21"/>
                <w:szCs w:val="18"/>
                <w:highlight w:val="none"/>
                <w:u w:val="single"/>
                <w:vertAlign w:val="superscript"/>
              </w:rPr>
              <w:t>#</w:t>
            </w:r>
            <w:r>
              <w:rPr>
                <w:color w:val="auto"/>
                <w:sz w:val="21"/>
                <w:szCs w:val="18"/>
                <w:highlight w:val="none"/>
                <w:u w:val="single"/>
              </w:rPr>
              <w:t>上风向</w:t>
            </w:r>
          </w:p>
        </w:tc>
        <w:tc>
          <w:tcPr>
            <w:tcW w:w="565" w:type="pct"/>
            <w:tcBorders>
              <w:tl2br w:val="nil"/>
              <w:tr2bl w:val="nil"/>
            </w:tcBorders>
            <w:vAlign w:val="center"/>
          </w:tcPr>
          <w:p w14:paraId="36D5759E">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0.190</w:t>
            </w:r>
          </w:p>
        </w:tc>
        <w:tc>
          <w:tcPr>
            <w:tcW w:w="581" w:type="pct"/>
            <w:tcBorders>
              <w:tl2br w:val="nil"/>
              <w:tr2bl w:val="nil"/>
            </w:tcBorders>
            <w:vAlign w:val="center"/>
          </w:tcPr>
          <w:p w14:paraId="360E04A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0.196</w:t>
            </w:r>
          </w:p>
        </w:tc>
        <w:tc>
          <w:tcPr>
            <w:tcW w:w="638" w:type="pct"/>
            <w:tcBorders>
              <w:tl2br w:val="nil"/>
              <w:tr2bl w:val="nil"/>
            </w:tcBorders>
            <w:vAlign w:val="center"/>
          </w:tcPr>
          <w:p w14:paraId="52D4E40A">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0.202</w:t>
            </w:r>
          </w:p>
        </w:tc>
        <w:tc>
          <w:tcPr>
            <w:tcW w:w="540" w:type="pct"/>
            <w:vMerge w:val="restart"/>
            <w:tcBorders>
              <w:tl2br w:val="nil"/>
              <w:tr2bl w:val="nil"/>
            </w:tcBorders>
            <w:vAlign w:val="center"/>
          </w:tcPr>
          <w:p w14:paraId="4C3D3304">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1.0mg/m</w:t>
            </w:r>
            <w:r>
              <w:rPr>
                <w:color w:val="auto"/>
                <w:sz w:val="21"/>
                <w:szCs w:val="21"/>
                <w:highlight w:val="none"/>
                <w:u w:val="single"/>
                <w:vertAlign w:val="superscript"/>
              </w:rPr>
              <w:t>3</w:t>
            </w:r>
          </w:p>
          <w:p w14:paraId="62DB030F">
            <w:pPr>
              <w:spacing w:line="240" w:lineRule="auto"/>
              <w:ind w:left="-72" w:leftChars="-30" w:right="-72" w:rightChars="-30" w:firstLine="0" w:firstLineChars="0"/>
              <w:jc w:val="center"/>
              <w:rPr>
                <w:color w:val="auto"/>
                <w:sz w:val="21"/>
                <w:szCs w:val="21"/>
                <w:highlight w:val="none"/>
                <w:u w:val="single"/>
              </w:rPr>
            </w:pPr>
          </w:p>
        </w:tc>
        <w:tc>
          <w:tcPr>
            <w:tcW w:w="570" w:type="pct"/>
            <w:tcBorders>
              <w:tl2br w:val="nil"/>
              <w:tr2bl w:val="nil"/>
            </w:tcBorders>
            <w:vAlign w:val="center"/>
          </w:tcPr>
          <w:p w14:paraId="071131CA">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536469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29B05ECA">
            <w:pPr>
              <w:spacing w:line="240" w:lineRule="auto"/>
              <w:ind w:left="-72" w:leftChars="-30" w:right="-72" w:rightChars="-30" w:firstLine="0" w:firstLineChars="0"/>
              <w:jc w:val="center"/>
              <w:rPr>
                <w:color w:val="auto"/>
                <w:szCs w:val="21"/>
                <w:highlight w:val="none"/>
                <w:u w:val="single"/>
              </w:rPr>
            </w:pPr>
          </w:p>
        </w:tc>
        <w:tc>
          <w:tcPr>
            <w:tcW w:w="476" w:type="pct"/>
            <w:vMerge w:val="continue"/>
            <w:tcBorders>
              <w:tl2br w:val="nil"/>
              <w:tr2bl w:val="nil"/>
            </w:tcBorders>
            <w:vAlign w:val="center"/>
          </w:tcPr>
          <w:p w14:paraId="6E314119">
            <w:pPr>
              <w:spacing w:line="240" w:lineRule="auto"/>
              <w:ind w:left="-72" w:leftChars="-30" w:right="-72" w:rightChars="-30" w:firstLine="0" w:firstLineChars="0"/>
              <w:jc w:val="center"/>
              <w:rPr>
                <w:color w:val="auto"/>
                <w:sz w:val="21"/>
                <w:szCs w:val="21"/>
                <w:highlight w:val="none"/>
                <w:u w:val="single"/>
              </w:rPr>
            </w:pPr>
          </w:p>
        </w:tc>
        <w:tc>
          <w:tcPr>
            <w:tcW w:w="629" w:type="pct"/>
            <w:vMerge w:val="continue"/>
            <w:tcBorders>
              <w:tl2br w:val="nil"/>
              <w:tr2bl w:val="nil"/>
            </w:tcBorders>
            <w:vAlign w:val="center"/>
          </w:tcPr>
          <w:p w14:paraId="729B547D">
            <w:pPr>
              <w:spacing w:line="240" w:lineRule="auto"/>
              <w:ind w:left="-72" w:leftChars="-30" w:right="-72" w:rightChars="-30" w:firstLine="0" w:firstLineChars="0"/>
              <w:jc w:val="center"/>
              <w:rPr>
                <w:color w:val="auto"/>
                <w:sz w:val="21"/>
                <w:szCs w:val="21"/>
                <w:highlight w:val="none"/>
                <w:u w:val="single"/>
              </w:rPr>
            </w:pPr>
          </w:p>
        </w:tc>
        <w:tc>
          <w:tcPr>
            <w:tcW w:w="654" w:type="pct"/>
            <w:tcBorders>
              <w:tl2br w:val="nil"/>
              <w:tr2bl w:val="nil"/>
            </w:tcBorders>
            <w:vAlign w:val="center"/>
          </w:tcPr>
          <w:p w14:paraId="4C053BB7">
            <w:pPr>
              <w:spacing w:line="240" w:lineRule="auto"/>
              <w:ind w:left="-72" w:leftChars="-30" w:right="-72" w:rightChars="-30" w:firstLine="0" w:firstLineChars="0"/>
              <w:jc w:val="center"/>
              <w:rPr>
                <w:color w:val="auto"/>
                <w:sz w:val="21"/>
                <w:szCs w:val="18"/>
                <w:highlight w:val="none"/>
                <w:u w:val="single"/>
              </w:rPr>
            </w:pPr>
            <w:r>
              <w:rPr>
                <w:color w:val="auto"/>
                <w:sz w:val="21"/>
                <w:szCs w:val="18"/>
                <w:highlight w:val="none"/>
                <w:u w:val="single"/>
              </w:rPr>
              <w:t>2</w:t>
            </w:r>
            <w:r>
              <w:rPr>
                <w:color w:val="auto"/>
                <w:sz w:val="21"/>
                <w:szCs w:val="18"/>
                <w:highlight w:val="none"/>
                <w:u w:val="single"/>
                <w:vertAlign w:val="superscript"/>
              </w:rPr>
              <w:t>#</w:t>
            </w:r>
            <w:r>
              <w:rPr>
                <w:color w:val="auto"/>
                <w:sz w:val="21"/>
                <w:szCs w:val="18"/>
                <w:highlight w:val="none"/>
                <w:u w:val="single"/>
              </w:rPr>
              <w:t>下风向</w:t>
            </w:r>
          </w:p>
        </w:tc>
        <w:tc>
          <w:tcPr>
            <w:tcW w:w="565" w:type="pct"/>
            <w:tcBorders>
              <w:tl2br w:val="nil"/>
              <w:tr2bl w:val="nil"/>
            </w:tcBorders>
            <w:vAlign w:val="center"/>
          </w:tcPr>
          <w:p w14:paraId="7FD0C281">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0.258</w:t>
            </w:r>
          </w:p>
        </w:tc>
        <w:tc>
          <w:tcPr>
            <w:tcW w:w="581" w:type="pct"/>
            <w:tcBorders>
              <w:tl2br w:val="nil"/>
              <w:tr2bl w:val="nil"/>
            </w:tcBorders>
            <w:vAlign w:val="center"/>
          </w:tcPr>
          <w:p w14:paraId="06C2C5B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0.264</w:t>
            </w:r>
          </w:p>
        </w:tc>
        <w:tc>
          <w:tcPr>
            <w:tcW w:w="638" w:type="pct"/>
            <w:tcBorders>
              <w:tl2br w:val="nil"/>
              <w:tr2bl w:val="nil"/>
            </w:tcBorders>
            <w:vAlign w:val="center"/>
          </w:tcPr>
          <w:p w14:paraId="79274129">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0.250</w:t>
            </w:r>
          </w:p>
        </w:tc>
        <w:tc>
          <w:tcPr>
            <w:tcW w:w="540" w:type="pct"/>
            <w:vMerge w:val="continue"/>
            <w:tcBorders>
              <w:tl2br w:val="nil"/>
              <w:tr2bl w:val="nil"/>
            </w:tcBorders>
            <w:vAlign w:val="center"/>
          </w:tcPr>
          <w:p w14:paraId="71FBB9A1">
            <w:pPr>
              <w:spacing w:line="240" w:lineRule="auto"/>
              <w:ind w:left="-72" w:leftChars="-30" w:right="-72" w:rightChars="-30" w:firstLine="0" w:firstLineChars="0"/>
              <w:jc w:val="center"/>
              <w:rPr>
                <w:color w:val="auto"/>
                <w:sz w:val="21"/>
                <w:szCs w:val="21"/>
                <w:highlight w:val="none"/>
                <w:u w:val="single"/>
              </w:rPr>
            </w:pPr>
          </w:p>
        </w:tc>
        <w:tc>
          <w:tcPr>
            <w:tcW w:w="570" w:type="pct"/>
            <w:tcBorders>
              <w:tl2br w:val="nil"/>
              <w:tr2bl w:val="nil"/>
            </w:tcBorders>
            <w:vAlign w:val="center"/>
          </w:tcPr>
          <w:p w14:paraId="610D3984">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0B4412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4E36DAD4">
            <w:pPr>
              <w:spacing w:line="240" w:lineRule="auto"/>
              <w:ind w:left="-72" w:leftChars="-30" w:right="-72" w:rightChars="-30" w:firstLine="0" w:firstLineChars="0"/>
              <w:jc w:val="center"/>
              <w:rPr>
                <w:color w:val="auto"/>
                <w:szCs w:val="21"/>
                <w:highlight w:val="none"/>
                <w:u w:val="single"/>
              </w:rPr>
            </w:pPr>
          </w:p>
        </w:tc>
        <w:tc>
          <w:tcPr>
            <w:tcW w:w="476" w:type="pct"/>
            <w:vMerge w:val="continue"/>
            <w:tcBorders>
              <w:tl2br w:val="nil"/>
              <w:tr2bl w:val="nil"/>
            </w:tcBorders>
            <w:vAlign w:val="center"/>
          </w:tcPr>
          <w:p w14:paraId="2975CDB6">
            <w:pPr>
              <w:spacing w:line="240" w:lineRule="auto"/>
              <w:ind w:left="-72" w:leftChars="-30" w:right="-72" w:rightChars="-30" w:firstLine="0" w:firstLineChars="0"/>
              <w:jc w:val="center"/>
              <w:rPr>
                <w:color w:val="auto"/>
                <w:sz w:val="21"/>
                <w:szCs w:val="21"/>
                <w:highlight w:val="none"/>
                <w:u w:val="single"/>
              </w:rPr>
            </w:pPr>
          </w:p>
        </w:tc>
        <w:tc>
          <w:tcPr>
            <w:tcW w:w="629" w:type="pct"/>
            <w:vMerge w:val="continue"/>
            <w:tcBorders>
              <w:tl2br w:val="nil"/>
              <w:tr2bl w:val="nil"/>
            </w:tcBorders>
            <w:vAlign w:val="center"/>
          </w:tcPr>
          <w:p w14:paraId="276178AA">
            <w:pPr>
              <w:spacing w:line="240" w:lineRule="auto"/>
              <w:ind w:left="-72" w:leftChars="-30" w:right="-72" w:rightChars="-30" w:firstLine="0" w:firstLineChars="0"/>
              <w:jc w:val="center"/>
              <w:rPr>
                <w:color w:val="auto"/>
                <w:sz w:val="21"/>
                <w:szCs w:val="21"/>
                <w:highlight w:val="none"/>
                <w:u w:val="single"/>
              </w:rPr>
            </w:pPr>
          </w:p>
        </w:tc>
        <w:tc>
          <w:tcPr>
            <w:tcW w:w="654" w:type="pct"/>
            <w:tcBorders>
              <w:tl2br w:val="nil"/>
              <w:tr2bl w:val="nil"/>
            </w:tcBorders>
            <w:vAlign w:val="center"/>
          </w:tcPr>
          <w:p w14:paraId="615ED86A">
            <w:pPr>
              <w:spacing w:line="240" w:lineRule="auto"/>
              <w:ind w:left="-72" w:leftChars="-30" w:right="-72" w:rightChars="-30" w:firstLine="0" w:firstLineChars="0"/>
              <w:jc w:val="center"/>
              <w:rPr>
                <w:color w:val="auto"/>
                <w:sz w:val="21"/>
                <w:szCs w:val="18"/>
                <w:highlight w:val="none"/>
                <w:u w:val="single"/>
              </w:rPr>
            </w:pPr>
            <w:r>
              <w:rPr>
                <w:color w:val="auto"/>
                <w:sz w:val="21"/>
                <w:szCs w:val="18"/>
                <w:highlight w:val="none"/>
                <w:u w:val="single"/>
              </w:rPr>
              <w:t>3</w:t>
            </w:r>
            <w:r>
              <w:rPr>
                <w:color w:val="auto"/>
                <w:sz w:val="21"/>
                <w:szCs w:val="18"/>
                <w:highlight w:val="none"/>
                <w:u w:val="single"/>
                <w:vertAlign w:val="superscript"/>
              </w:rPr>
              <w:t>#</w:t>
            </w:r>
            <w:r>
              <w:rPr>
                <w:color w:val="auto"/>
                <w:sz w:val="21"/>
                <w:szCs w:val="18"/>
                <w:highlight w:val="none"/>
                <w:u w:val="single"/>
              </w:rPr>
              <w:t>下风向</w:t>
            </w:r>
          </w:p>
        </w:tc>
        <w:tc>
          <w:tcPr>
            <w:tcW w:w="565" w:type="pct"/>
            <w:tcBorders>
              <w:tl2br w:val="nil"/>
              <w:tr2bl w:val="nil"/>
            </w:tcBorders>
            <w:vAlign w:val="center"/>
          </w:tcPr>
          <w:p w14:paraId="0EA13F5D">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0.276</w:t>
            </w:r>
          </w:p>
        </w:tc>
        <w:tc>
          <w:tcPr>
            <w:tcW w:w="581" w:type="pct"/>
            <w:tcBorders>
              <w:tl2br w:val="nil"/>
              <w:tr2bl w:val="nil"/>
            </w:tcBorders>
            <w:vAlign w:val="center"/>
          </w:tcPr>
          <w:p w14:paraId="5B0898FE">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0.287</w:t>
            </w:r>
          </w:p>
        </w:tc>
        <w:tc>
          <w:tcPr>
            <w:tcW w:w="638" w:type="pct"/>
            <w:tcBorders>
              <w:tl2br w:val="nil"/>
              <w:tr2bl w:val="nil"/>
            </w:tcBorders>
            <w:vAlign w:val="center"/>
          </w:tcPr>
          <w:p w14:paraId="73E229AD">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0.290</w:t>
            </w:r>
          </w:p>
        </w:tc>
        <w:tc>
          <w:tcPr>
            <w:tcW w:w="540" w:type="pct"/>
            <w:vMerge w:val="continue"/>
            <w:tcBorders>
              <w:tl2br w:val="nil"/>
              <w:tr2bl w:val="nil"/>
            </w:tcBorders>
            <w:vAlign w:val="center"/>
          </w:tcPr>
          <w:p w14:paraId="4665D725">
            <w:pPr>
              <w:spacing w:line="240" w:lineRule="auto"/>
              <w:ind w:left="-72" w:leftChars="-30" w:right="-72" w:rightChars="-30" w:firstLine="0" w:firstLineChars="0"/>
              <w:jc w:val="center"/>
              <w:rPr>
                <w:color w:val="auto"/>
                <w:sz w:val="21"/>
                <w:szCs w:val="21"/>
                <w:highlight w:val="none"/>
                <w:u w:val="single"/>
              </w:rPr>
            </w:pPr>
          </w:p>
        </w:tc>
        <w:tc>
          <w:tcPr>
            <w:tcW w:w="570" w:type="pct"/>
            <w:tcBorders>
              <w:tl2br w:val="nil"/>
              <w:tr2bl w:val="nil"/>
            </w:tcBorders>
            <w:vAlign w:val="center"/>
          </w:tcPr>
          <w:p w14:paraId="4BFB85AD">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5BFC7E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4D873588">
            <w:pPr>
              <w:spacing w:line="240" w:lineRule="auto"/>
              <w:ind w:left="-72" w:leftChars="-30" w:right="-72" w:rightChars="-30" w:firstLine="0" w:firstLineChars="0"/>
              <w:jc w:val="center"/>
              <w:rPr>
                <w:color w:val="auto"/>
                <w:szCs w:val="21"/>
                <w:highlight w:val="none"/>
                <w:u w:val="single"/>
              </w:rPr>
            </w:pPr>
          </w:p>
        </w:tc>
        <w:tc>
          <w:tcPr>
            <w:tcW w:w="476" w:type="pct"/>
            <w:vMerge w:val="continue"/>
            <w:tcBorders>
              <w:tl2br w:val="nil"/>
              <w:tr2bl w:val="nil"/>
            </w:tcBorders>
            <w:vAlign w:val="center"/>
          </w:tcPr>
          <w:p w14:paraId="571D8B9B">
            <w:pPr>
              <w:spacing w:line="240" w:lineRule="auto"/>
              <w:ind w:left="-72" w:leftChars="-30" w:right="-72" w:rightChars="-30" w:firstLine="0" w:firstLineChars="0"/>
              <w:jc w:val="center"/>
              <w:rPr>
                <w:color w:val="auto"/>
                <w:sz w:val="21"/>
                <w:szCs w:val="21"/>
                <w:highlight w:val="none"/>
                <w:u w:val="single"/>
              </w:rPr>
            </w:pPr>
          </w:p>
        </w:tc>
        <w:tc>
          <w:tcPr>
            <w:tcW w:w="629" w:type="pct"/>
            <w:vMerge w:val="continue"/>
            <w:tcBorders>
              <w:tl2br w:val="nil"/>
              <w:tr2bl w:val="nil"/>
            </w:tcBorders>
            <w:vAlign w:val="center"/>
          </w:tcPr>
          <w:p w14:paraId="2381940C">
            <w:pPr>
              <w:spacing w:line="240" w:lineRule="auto"/>
              <w:ind w:left="-72" w:leftChars="-30" w:right="-72" w:rightChars="-30" w:firstLine="0" w:firstLineChars="0"/>
              <w:jc w:val="center"/>
              <w:rPr>
                <w:color w:val="auto"/>
                <w:sz w:val="21"/>
                <w:szCs w:val="21"/>
                <w:highlight w:val="none"/>
                <w:u w:val="single"/>
              </w:rPr>
            </w:pPr>
          </w:p>
        </w:tc>
        <w:tc>
          <w:tcPr>
            <w:tcW w:w="654" w:type="pct"/>
            <w:tcBorders>
              <w:tl2br w:val="nil"/>
              <w:tr2bl w:val="nil"/>
            </w:tcBorders>
            <w:vAlign w:val="center"/>
          </w:tcPr>
          <w:p w14:paraId="3D1968ED">
            <w:pPr>
              <w:spacing w:line="240" w:lineRule="auto"/>
              <w:ind w:left="-72" w:leftChars="-30" w:right="-72" w:rightChars="-30" w:firstLine="0" w:firstLineChars="0"/>
              <w:jc w:val="center"/>
              <w:rPr>
                <w:color w:val="auto"/>
                <w:sz w:val="21"/>
                <w:szCs w:val="18"/>
                <w:highlight w:val="none"/>
                <w:u w:val="single"/>
              </w:rPr>
            </w:pPr>
            <w:r>
              <w:rPr>
                <w:color w:val="auto"/>
                <w:sz w:val="21"/>
                <w:szCs w:val="18"/>
                <w:highlight w:val="none"/>
                <w:u w:val="single"/>
              </w:rPr>
              <w:t>4</w:t>
            </w:r>
            <w:r>
              <w:rPr>
                <w:color w:val="auto"/>
                <w:sz w:val="21"/>
                <w:szCs w:val="18"/>
                <w:highlight w:val="none"/>
                <w:u w:val="single"/>
                <w:vertAlign w:val="superscript"/>
              </w:rPr>
              <w:t>#</w:t>
            </w:r>
            <w:r>
              <w:rPr>
                <w:color w:val="auto"/>
                <w:sz w:val="21"/>
                <w:szCs w:val="18"/>
                <w:highlight w:val="none"/>
                <w:u w:val="single"/>
              </w:rPr>
              <w:t>下风向</w:t>
            </w:r>
          </w:p>
        </w:tc>
        <w:tc>
          <w:tcPr>
            <w:tcW w:w="565" w:type="pct"/>
            <w:tcBorders>
              <w:tl2br w:val="nil"/>
              <w:tr2bl w:val="nil"/>
            </w:tcBorders>
            <w:vAlign w:val="center"/>
          </w:tcPr>
          <w:p w14:paraId="12DB1A67">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0.285</w:t>
            </w:r>
          </w:p>
        </w:tc>
        <w:tc>
          <w:tcPr>
            <w:tcW w:w="581" w:type="pct"/>
            <w:tcBorders>
              <w:tl2br w:val="nil"/>
              <w:tr2bl w:val="nil"/>
            </w:tcBorders>
            <w:vAlign w:val="center"/>
          </w:tcPr>
          <w:p w14:paraId="7A908DC6">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0.273</w:t>
            </w:r>
          </w:p>
        </w:tc>
        <w:tc>
          <w:tcPr>
            <w:tcW w:w="638" w:type="pct"/>
            <w:tcBorders>
              <w:tl2br w:val="nil"/>
              <w:tr2bl w:val="nil"/>
            </w:tcBorders>
            <w:vAlign w:val="center"/>
          </w:tcPr>
          <w:p w14:paraId="169BD327">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0.286</w:t>
            </w:r>
          </w:p>
        </w:tc>
        <w:tc>
          <w:tcPr>
            <w:tcW w:w="540" w:type="pct"/>
            <w:vMerge w:val="continue"/>
            <w:tcBorders>
              <w:tl2br w:val="nil"/>
              <w:tr2bl w:val="nil"/>
            </w:tcBorders>
            <w:vAlign w:val="center"/>
          </w:tcPr>
          <w:p w14:paraId="73003A22">
            <w:pPr>
              <w:spacing w:line="240" w:lineRule="auto"/>
              <w:ind w:left="-72" w:leftChars="-30" w:right="-72" w:rightChars="-30" w:firstLine="0" w:firstLineChars="0"/>
              <w:jc w:val="center"/>
              <w:rPr>
                <w:color w:val="auto"/>
                <w:sz w:val="21"/>
                <w:szCs w:val="21"/>
                <w:highlight w:val="none"/>
                <w:u w:val="single"/>
              </w:rPr>
            </w:pPr>
          </w:p>
        </w:tc>
        <w:tc>
          <w:tcPr>
            <w:tcW w:w="570" w:type="pct"/>
            <w:tcBorders>
              <w:tl2br w:val="nil"/>
              <w:tr2bl w:val="nil"/>
            </w:tcBorders>
            <w:vAlign w:val="center"/>
          </w:tcPr>
          <w:p w14:paraId="6AC328AE">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723D18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009334D8">
            <w:pPr>
              <w:spacing w:line="240" w:lineRule="auto"/>
              <w:ind w:left="-72" w:leftChars="-30" w:right="-72" w:rightChars="-30" w:firstLine="0" w:firstLineChars="0"/>
              <w:jc w:val="center"/>
              <w:rPr>
                <w:color w:val="auto"/>
                <w:szCs w:val="21"/>
                <w:highlight w:val="none"/>
                <w:u w:val="single"/>
              </w:rPr>
            </w:pPr>
          </w:p>
        </w:tc>
        <w:tc>
          <w:tcPr>
            <w:tcW w:w="476" w:type="pct"/>
            <w:vMerge w:val="continue"/>
            <w:tcBorders>
              <w:tl2br w:val="nil"/>
              <w:tr2bl w:val="nil"/>
            </w:tcBorders>
            <w:vAlign w:val="center"/>
          </w:tcPr>
          <w:p w14:paraId="2A5EFF16">
            <w:pPr>
              <w:spacing w:line="240" w:lineRule="auto"/>
              <w:ind w:left="-72" w:leftChars="-30" w:right="-72" w:rightChars="-30" w:firstLine="0" w:firstLineChars="0"/>
              <w:jc w:val="center"/>
              <w:rPr>
                <w:color w:val="auto"/>
                <w:sz w:val="21"/>
                <w:szCs w:val="21"/>
                <w:highlight w:val="none"/>
                <w:u w:val="single"/>
              </w:rPr>
            </w:pPr>
          </w:p>
        </w:tc>
        <w:tc>
          <w:tcPr>
            <w:tcW w:w="629" w:type="pct"/>
            <w:vMerge w:val="restart"/>
            <w:tcBorders>
              <w:tl2br w:val="nil"/>
              <w:tr2bl w:val="nil"/>
            </w:tcBorders>
            <w:vAlign w:val="center"/>
          </w:tcPr>
          <w:p w14:paraId="196CC6D0">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2025年</w:t>
            </w:r>
            <w:r>
              <w:rPr>
                <w:color w:val="auto"/>
                <w:sz w:val="21"/>
                <w:szCs w:val="21"/>
                <w:highlight w:val="none"/>
                <w:u w:val="single"/>
              </w:rPr>
              <w:t>10月2</w:t>
            </w:r>
            <w:r>
              <w:rPr>
                <w:rFonts w:hint="eastAsia"/>
                <w:color w:val="auto"/>
                <w:sz w:val="21"/>
                <w:szCs w:val="21"/>
                <w:highlight w:val="none"/>
                <w:u w:val="single"/>
              </w:rPr>
              <w:t>3</w:t>
            </w:r>
            <w:r>
              <w:rPr>
                <w:color w:val="auto"/>
                <w:sz w:val="21"/>
                <w:szCs w:val="21"/>
                <w:highlight w:val="none"/>
                <w:u w:val="single"/>
              </w:rPr>
              <w:t>日</w:t>
            </w:r>
          </w:p>
        </w:tc>
        <w:tc>
          <w:tcPr>
            <w:tcW w:w="654" w:type="pct"/>
            <w:tcBorders>
              <w:tl2br w:val="nil"/>
              <w:tr2bl w:val="nil"/>
            </w:tcBorders>
            <w:vAlign w:val="center"/>
          </w:tcPr>
          <w:p w14:paraId="7D13D40A">
            <w:pPr>
              <w:spacing w:line="240" w:lineRule="auto"/>
              <w:ind w:left="-72" w:leftChars="-30" w:right="-72" w:rightChars="-30" w:firstLine="0" w:firstLineChars="0"/>
              <w:jc w:val="center"/>
              <w:rPr>
                <w:color w:val="auto"/>
                <w:sz w:val="21"/>
                <w:szCs w:val="18"/>
                <w:highlight w:val="none"/>
                <w:u w:val="single"/>
              </w:rPr>
            </w:pPr>
            <w:r>
              <w:rPr>
                <w:color w:val="auto"/>
                <w:sz w:val="21"/>
                <w:szCs w:val="18"/>
                <w:highlight w:val="none"/>
                <w:u w:val="single"/>
              </w:rPr>
              <w:t>1</w:t>
            </w:r>
            <w:r>
              <w:rPr>
                <w:color w:val="auto"/>
                <w:sz w:val="21"/>
                <w:szCs w:val="18"/>
                <w:highlight w:val="none"/>
                <w:u w:val="single"/>
                <w:vertAlign w:val="superscript"/>
              </w:rPr>
              <w:t>#</w:t>
            </w:r>
            <w:r>
              <w:rPr>
                <w:color w:val="auto"/>
                <w:sz w:val="21"/>
                <w:szCs w:val="18"/>
                <w:highlight w:val="none"/>
                <w:u w:val="single"/>
              </w:rPr>
              <w:t>上风向</w:t>
            </w:r>
          </w:p>
        </w:tc>
        <w:tc>
          <w:tcPr>
            <w:tcW w:w="565" w:type="pct"/>
            <w:tcBorders>
              <w:tl2br w:val="nil"/>
              <w:tr2bl w:val="nil"/>
            </w:tcBorders>
            <w:vAlign w:val="center"/>
          </w:tcPr>
          <w:p w14:paraId="7CBA8E36">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0.198</w:t>
            </w:r>
          </w:p>
        </w:tc>
        <w:tc>
          <w:tcPr>
            <w:tcW w:w="581" w:type="pct"/>
            <w:tcBorders>
              <w:tl2br w:val="nil"/>
              <w:tr2bl w:val="nil"/>
            </w:tcBorders>
            <w:vAlign w:val="center"/>
          </w:tcPr>
          <w:p w14:paraId="1BEE988B">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0.196</w:t>
            </w:r>
          </w:p>
        </w:tc>
        <w:tc>
          <w:tcPr>
            <w:tcW w:w="638" w:type="pct"/>
            <w:tcBorders>
              <w:tl2br w:val="nil"/>
              <w:tr2bl w:val="nil"/>
            </w:tcBorders>
            <w:vAlign w:val="center"/>
          </w:tcPr>
          <w:p w14:paraId="2B5EC7C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0.201</w:t>
            </w:r>
          </w:p>
        </w:tc>
        <w:tc>
          <w:tcPr>
            <w:tcW w:w="540" w:type="pct"/>
            <w:vMerge w:val="continue"/>
            <w:tcBorders>
              <w:tl2br w:val="nil"/>
              <w:tr2bl w:val="nil"/>
            </w:tcBorders>
            <w:vAlign w:val="center"/>
          </w:tcPr>
          <w:p w14:paraId="6E2277AD">
            <w:pPr>
              <w:spacing w:line="240" w:lineRule="auto"/>
              <w:ind w:left="-72" w:leftChars="-30" w:right="-72" w:rightChars="-30" w:firstLine="0" w:firstLineChars="0"/>
              <w:jc w:val="center"/>
              <w:rPr>
                <w:color w:val="auto"/>
                <w:sz w:val="21"/>
                <w:szCs w:val="21"/>
                <w:highlight w:val="none"/>
                <w:u w:val="single"/>
              </w:rPr>
            </w:pPr>
          </w:p>
        </w:tc>
        <w:tc>
          <w:tcPr>
            <w:tcW w:w="570" w:type="pct"/>
            <w:tcBorders>
              <w:tl2br w:val="nil"/>
              <w:tr2bl w:val="nil"/>
            </w:tcBorders>
            <w:vAlign w:val="center"/>
          </w:tcPr>
          <w:p w14:paraId="3B562102">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2A48C1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2CE6963B">
            <w:pPr>
              <w:spacing w:line="240" w:lineRule="auto"/>
              <w:ind w:left="-72" w:leftChars="-30" w:right="-72" w:rightChars="-30" w:firstLine="0" w:firstLineChars="0"/>
              <w:jc w:val="center"/>
              <w:rPr>
                <w:color w:val="auto"/>
                <w:szCs w:val="21"/>
                <w:highlight w:val="none"/>
                <w:u w:val="single"/>
              </w:rPr>
            </w:pPr>
          </w:p>
        </w:tc>
        <w:tc>
          <w:tcPr>
            <w:tcW w:w="476" w:type="pct"/>
            <w:vMerge w:val="continue"/>
            <w:tcBorders>
              <w:tl2br w:val="nil"/>
              <w:tr2bl w:val="nil"/>
            </w:tcBorders>
            <w:vAlign w:val="center"/>
          </w:tcPr>
          <w:p w14:paraId="251E22B0">
            <w:pPr>
              <w:spacing w:line="240" w:lineRule="auto"/>
              <w:ind w:left="-72" w:leftChars="-30" w:right="-72" w:rightChars="-30" w:firstLine="0" w:firstLineChars="0"/>
              <w:jc w:val="center"/>
              <w:rPr>
                <w:color w:val="auto"/>
                <w:szCs w:val="21"/>
                <w:highlight w:val="none"/>
                <w:u w:val="single"/>
              </w:rPr>
            </w:pPr>
          </w:p>
        </w:tc>
        <w:tc>
          <w:tcPr>
            <w:tcW w:w="629" w:type="pct"/>
            <w:vMerge w:val="continue"/>
            <w:tcBorders>
              <w:tl2br w:val="nil"/>
              <w:tr2bl w:val="nil"/>
            </w:tcBorders>
            <w:vAlign w:val="center"/>
          </w:tcPr>
          <w:p w14:paraId="102577D5">
            <w:pPr>
              <w:spacing w:line="240" w:lineRule="auto"/>
              <w:ind w:left="-72" w:leftChars="-30" w:right="-72" w:rightChars="-30" w:firstLine="0" w:firstLineChars="0"/>
              <w:jc w:val="center"/>
              <w:rPr>
                <w:color w:val="auto"/>
                <w:szCs w:val="21"/>
                <w:highlight w:val="none"/>
                <w:u w:val="single"/>
              </w:rPr>
            </w:pPr>
          </w:p>
        </w:tc>
        <w:tc>
          <w:tcPr>
            <w:tcW w:w="654" w:type="pct"/>
            <w:tcBorders>
              <w:tl2br w:val="nil"/>
              <w:tr2bl w:val="nil"/>
            </w:tcBorders>
            <w:vAlign w:val="center"/>
          </w:tcPr>
          <w:p w14:paraId="0872DB35">
            <w:pPr>
              <w:spacing w:line="240" w:lineRule="auto"/>
              <w:ind w:left="-72" w:leftChars="-30" w:right="-72" w:rightChars="-30" w:firstLine="0" w:firstLineChars="0"/>
              <w:jc w:val="center"/>
              <w:rPr>
                <w:color w:val="auto"/>
                <w:sz w:val="21"/>
                <w:szCs w:val="18"/>
                <w:highlight w:val="none"/>
                <w:u w:val="single"/>
              </w:rPr>
            </w:pPr>
            <w:r>
              <w:rPr>
                <w:color w:val="auto"/>
                <w:sz w:val="21"/>
                <w:szCs w:val="18"/>
                <w:highlight w:val="none"/>
                <w:u w:val="single"/>
              </w:rPr>
              <w:t>2</w:t>
            </w:r>
            <w:r>
              <w:rPr>
                <w:color w:val="auto"/>
                <w:sz w:val="21"/>
                <w:szCs w:val="18"/>
                <w:highlight w:val="none"/>
                <w:u w:val="single"/>
                <w:vertAlign w:val="superscript"/>
              </w:rPr>
              <w:t>#</w:t>
            </w:r>
            <w:r>
              <w:rPr>
                <w:color w:val="auto"/>
                <w:sz w:val="21"/>
                <w:szCs w:val="18"/>
                <w:highlight w:val="none"/>
                <w:u w:val="single"/>
              </w:rPr>
              <w:t>下风向</w:t>
            </w:r>
          </w:p>
        </w:tc>
        <w:tc>
          <w:tcPr>
            <w:tcW w:w="565" w:type="pct"/>
            <w:tcBorders>
              <w:tl2br w:val="nil"/>
              <w:tr2bl w:val="nil"/>
            </w:tcBorders>
            <w:vAlign w:val="center"/>
          </w:tcPr>
          <w:p w14:paraId="395035E7">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0.358</w:t>
            </w:r>
          </w:p>
        </w:tc>
        <w:tc>
          <w:tcPr>
            <w:tcW w:w="581" w:type="pct"/>
            <w:tcBorders>
              <w:tl2br w:val="nil"/>
              <w:tr2bl w:val="nil"/>
            </w:tcBorders>
            <w:vAlign w:val="center"/>
          </w:tcPr>
          <w:p w14:paraId="5530BADB">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0.322</w:t>
            </w:r>
          </w:p>
        </w:tc>
        <w:tc>
          <w:tcPr>
            <w:tcW w:w="638" w:type="pct"/>
            <w:tcBorders>
              <w:tl2br w:val="nil"/>
              <w:tr2bl w:val="nil"/>
            </w:tcBorders>
            <w:vAlign w:val="center"/>
          </w:tcPr>
          <w:p w14:paraId="497D3887">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0.337</w:t>
            </w:r>
          </w:p>
        </w:tc>
        <w:tc>
          <w:tcPr>
            <w:tcW w:w="540" w:type="pct"/>
            <w:vMerge w:val="continue"/>
            <w:tcBorders>
              <w:tl2br w:val="nil"/>
              <w:tr2bl w:val="nil"/>
            </w:tcBorders>
            <w:vAlign w:val="center"/>
          </w:tcPr>
          <w:p w14:paraId="63EE6C21">
            <w:pPr>
              <w:spacing w:line="240" w:lineRule="auto"/>
              <w:ind w:left="-72" w:leftChars="-30" w:right="-72" w:rightChars="-30" w:firstLine="0" w:firstLineChars="0"/>
              <w:jc w:val="center"/>
              <w:rPr>
                <w:color w:val="auto"/>
                <w:sz w:val="21"/>
                <w:szCs w:val="21"/>
                <w:highlight w:val="none"/>
                <w:u w:val="single"/>
              </w:rPr>
            </w:pPr>
          </w:p>
        </w:tc>
        <w:tc>
          <w:tcPr>
            <w:tcW w:w="570" w:type="pct"/>
            <w:tcBorders>
              <w:tl2br w:val="nil"/>
              <w:tr2bl w:val="nil"/>
            </w:tcBorders>
            <w:vAlign w:val="center"/>
          </w:tcPr>
          <w:p w14:paraId="4CB72D11">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67317E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4430C9FD">
            <w:pPr>
              <w:spacing w:line="240" w:lineRule="auto"/>
              <w:ind w:left="-72" w:leftChars="-30" w:right="-72" w:rightChars="-30" w:firstLine="0" w:firstLineChars="0"/>
              <w:jc w:val="center"/>
              <w:rPr>
                <w:color w:val="auto"/>
                <w:szCs w:val="21"/>
                <w:highlight w:val="none"/>
                <w:u w:val="single"/>
              </w:rPr>
            </w:pPr>
          </w:p>
        </w:tc>
        <w:tc>
          <w:tcPr>
            <w:tcW w:w="476" w:type="pct"/>
            <w:vMerge w:val="continue"/>
            <w:tcBorders>
              <w:tl2br w:val="nil"/>
              <w:tr2bl w:val="nil"/>
            </w:tcBorders>
            <w:vAlign w:val="center"/>
          </w:tcPr>
          <w:p w14:paraId="1EC1B785">
            <w:pPr>
              <w:spacing w:line="240" w:lineRule="auto"/>
              <w:ind w:left="-72" w:leftChars="-30" w:right="-72" w:rightChars="-30" w:firstLine="0" w:firstLineChars="0"/>
              <w:jc w:val="center"/>
              <w:rPr>
                <w:color w:val="auto"/>
                <w:szCs w:val="21"/>
                <w:highlight w:val="none"/>
                <w:u w:val="single"/>
              </w:rPr>
            </w:pPr>
          </w:p>
        </w:tc>
        <w:tc>
          <w:tcPr>
            <w:tcW w:w="629" w:type="pct"/>
            <w:vMerge w:val="continue"/>
            <w:tcBorders>
              <w:tl2br w:val="nil"/>
              <w:tr2bl w:val="nil"/>
            </w:tcBorders>
            <w:vAlign w:val="center"/>
          </w:tcPr>
          <w:p w14:paraId="08AA1D2C">
            <w:pPr>
              <w:spacing w:line="240" w:lineRule="auto"/>
              <w:ind w:left="-72" w:leftChars="-30" w:right="-72" w:rightChars="-30" w:firstLine="0" w:firstLineChars="0"/>
              <w:jc w:val="center"/>
              <w:rPr>
                <w:color w:val="auto"/>
                <w:szCs w:val="21"/>
                <w:highlight w:val="none"/>
                <w:u w:val="single"/>
              </w:rPr>
            </w:pPr>
          </w:p>
        </w:tc>
        <w:tc>
          <w:tcPr>
            <w:tcW w:w="654" w:type="pct"/>
            <w:tcBorders>
              <w:tl2br w:val="nil"/>
              <w:tr2bl w:val="nil"/>
            </w:tcBorders>
            <w:vAlign w:val="center"/>
          </w:tcPr>
          <w:p w14:paraId="012DC8C7">
            <w:pPr>
              <w:spacing w:line="240" w:lineRule="auto"/>
              <w:ind w:left="-72" w:leftChars="-30" w:right="-72" w:rightChars="-30" w:firstLine="0" w:firstLineChars="0"/>
              <w:jc w:val="center"/>
              <w:rPr>
                <w:color w:val="auto"/>
                <w:sz w:val="21"/>
                <w:szCs w:val="18"/>
                <w:highlight w:val="none"/>
                <w:u w:val="single"/>
              </w:rPr>
            </w:pPr>
            <w:r>
              <w:rPr>
                <w:color w:val="auto"/>
                <w:sz w:val="21"/>
                <w:szCs w:val="18"/>
                <w:highlight w:val="none"/>
                <w:u w:val="single"/>
              </w:rPr>
              <w:t>3</w:t>
            </w:r>
            <w:r>
              <w:rPr>
                <w:color w:val="auto"/>
                <w:sz w:val="21"/>
                <w:szCs w:val="18"/>
                <w:highlight w:val="none"/>
                <w:u w:val="single"/>
                <w:vertAlign w:val="superscript"/>
              </w:rPr>
              <w:t>#</w:t>
            </w:r>
            <w:r>
              <w:rPr>
                <w:color w:val="auto"/>
                <w:sz w:val="21"/>
                <w:szCs w:val="18"/>
                <w:highlight w:val="none"/>
                <w:u w:val="single"/>
              </w:rPr>
              <w:t>下风向</w:t>
            </w:r>
          </w:p>
        </w:tc>
        <w:tc>
          <w:tcPr>
            <w:tcW w:w="565" w:type="pct"/>
            <w:tcBorders>
              <w:tl2br w:val="nil"/>
              <w:tr2bl w:val="nil"/>
            </w:tcBorders>
            <w:vAlign w:val="center"/>
          </w:tcPr>
          <w:p w14:paraId="547C18B7">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0.346</w:t>
            </w:r>
          </w:p>
        </w:tc>
        <w:tc>
          <w:tcPr>
            <w:tcW w:w="581" w:type="pct"/>
            <w:tcBorders>
              <w:tl2br w:val="nil"/>
              <w:tr2bl w:val="nil"/>
            </w:tcBorders>
            <w:vAlign w:val="center"/>
          </w:tcPr>
          <w:p w14:paraId="37CCF495">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0.349</w:t>
            </w:r>
          </w:p>
        </w:tc>
        <w:tc>
          <w:tcPr>
            <w:tcW w:w="638" w:type="pct"/>
            <w:tcBorders>
              <w:tl2br w:val="nil"/>
              <w:tr2bl w:val="nil"/>
            </w:tcBorders>
            <w:vAlign w:val="center"/>
          </w:tcPr>
          <w:p w14:paraId="4CCFBDBD">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0.343</w:t>
            </w:r>
          </w:p>
        </w:tc>
        <w:tc>
          <w:tcPr>
            <w:tcW w:w="540" w:type="pct"/>
            <w:vMerge w:val="continue"/>
            <w:tcBorders>
              <w:tl2br w:val="nil"/>
              <w:tr2bl w:val="nil"/>
            </w:tcBorders>
            <w:vAlign w:val="center"/>
          </w:tcPr>
          <w:p w14:paraId="58AECBAF">
            <w:pPr>
              <w:spacing w:line="240" w:lineRule="auto"/>
              <w:ind w:left="-72" w:leftChars="-30" w:right="-72" w:rightChars="-30" w:firstLine="0" w:firstLineChars="0"/>
              <w:jc w:val="center"/>
              <w:rPr>
                <w:color w:val="auto"/>
                <w:sz w:val="21"/>
                <w:szCs w:val="21"/>
                <w:highlight w:val="none"/>
                <w:u w:val="single"/>
              </w:rPr>
            </w:pPr>
          </w:p>
        </w:tc>
        <w:tc>
          <w:tcPr>
            <w:tcW w:w="570" w:type="pct"/>
            <w:tcBorders>
              <w:tl2br w:val="nil"/>
              <w:tr2bl w:val="nil"/>
            </w:tcBorders>
            <w:vAlign w:val="center"/>
          </w:tcPr>
          <w:p w14:paraId="44C8D21D">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66E1C5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70D65C89">
            <w:pPr>
              <w:spacing w:line="240" w:lineRule="auto"/>
              <w:ind w:left="-72" w:leftChars="-30" w:right="-72" w:rightChars="-30" w:firstLine="0" w:firstLineChars="0"/>
              <w:jc w:val="center"/>
              <w:rPr>
                <w:color w:val="auto"/>
                <w:szCs w:val="21"/>
                <w:highlight w:val="none"/>
                <w:u w:val="single"/>
              </w:rPr>
            </w:pPr>
          </w:p>
        </w:tc>
        <w:tc>
          <w:tcPr>
            <w:tcW w:w="476" w:type="pct"/>
            <w:vMerge w:val="continue"/>
            <w:tcBorders>
              <w:tl2br w:val="nil"/>
              <w:tr2bl w:val="nil"/>
            </w:tcBorders>
            <w:vAlign w:val="center"/>
          </w:tcPr>
          <w:p w14:paraId="6AA8E6DB">
            <w:pPr>
              <w:spacing w:line="240" w:lineRule="auto"/>
              <w:ind w:left="-72" w:leftChars="-30" w:right="-72" w:rightChars="-30" w:firstLine="0" w:firstLineChars="0"/>
              <w:jc w:val="center"/>
              <w:rPr>
                <w:color w:val="auto"/>
                <w:szCs w:val="21"/>
                <w:highlight w:val="none"/>
                <w:u w:val="single"/>
              </w:rPr>
            </w:pPr>
          </w:p>
        </w:tc>
        <w:tc>
          <w:tcPr>
            <w:tcW w:w="629" w:type="pct"/>
            <w:vMerge w:val="continue"/>
            <w:tcBorders>
              <w:tl2br w:val="nil"/>
              <w:tr2bl w:val="nil"/>
            </w:tcBorders>
            <w:vAlign w:val="center"/>
          </w:tcPr>
          <w:p w14:paraId="6CAD5FC2">
            <w:pPr>
              <w:spacing w:line="240" w:lineRule="auto"/>
              <w:ind w:left="-72" w:leftChars="-30" w:right="-72" w:rightChars="-30" w:firstLine="0" w:firstLineChars="0"/>
              <w:jc w:val="center"/>
              <w:rPr>
                <w:color w:val="auto"/>
                <w:szCs w:val="21"/>
                <w:highlight w:val="none"/>
                <w:u w:val="single"/>
              </w:rPr>
            </w:pPr>
          </w:p>
        </w:tc>
        <w:tc>
          <w:tcPr>
            <w:tcW w:w="654" w:type="pct"/>
            <w:tcBorders>
              <w:tl2br w:val="nil"/>
              <w:tr2bl w:val="nil"/>
            </w:tcBorders>
            <w:vAlign w:val="center"/>
          </w:tcPr>
          <w:p w14:paraId="523F8D83">
            <w:pPr>
              <w:spacing w:line="240" w:lineRule="auto"/>
              <w:ind w:left="-72" w:leftChars="-30" w:right="-72" w:rightChars="-30" w:firstLine="0" w:firstLineChars="0"/>
              <w:jc w:val="center"/>
              <w:rPr>
                <w:color w:val="auto"/>
                <w:szCs w:val="21"/>
                <w:highlight w:val="none"/>
                <w:u w:val="single"/>
              </w:rPr>
            </w:pPr>
            <w:r>
              <w:rPr>
                <w:color w:val="auto"/>
                <w:sz w:val="21"/>
                <w:szCs w:val="18"/>
                <w:highlight w:val="none"/>
                <w:u w:val="single"/>
              </w:rPr>
              <w:t>4</w:t>
            </w:r>
            <w:r>
              <w:rPr>
                <w:color w:val="auto"/>
                <w:sz w:val="21"/>
                <w:szCs w:val="18"/>
                <w:highlight w:val="none"/>
                <w:u w:val="single"/>
                <w:vertAlign w:val="superscript"/>
              </w:rPr>
              <w:t>#</w:t>
            </w:r>
            <w:r>
              <w:rPr>
                <w:color w:val="auto"/>
                <w:sz w:val="21"/>
                <w:szCs w:val="18"/>
                <w:highlight w:val="none"/>
                <w:u w:val="single"/>
              </w:rPr>
              <w:t>下风向</w:t>
            </w:r>
          </w:p>
        </w:tc>
        <w:tc>
          <w:tcPr>
            <w:tcW w:w="565" w:type="pct"/>
            <w:tcBorders>
              <w:tl2br w:val="nil"/>
              <w:tr2bl w:val="nil"/>
            </w:tcBorders>
            <w:vAlign w:val="center"/>
          </w:tcPr>
          <w:p w14:paraId="6B24B420">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0.351</w:t>
            </w:r>
          </w:p>
        </w:tc>
        <w:tc>
          <w:tcPr>
            <w:tcW w:w="581" w:type="pct"/>
            <w:tcBorders>
              <w:tl2br w:val="nil"/>
              <w:tr2bl w:val="nil"/>
            </w:tcBorders>
            <w:vAlign w:val="center"/>
          </w:tcPr>
          <w:p w14:paraId="7A1F3226">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0.358</w:t>
            </w:r>
          </w:p>
        </w:tc>
        <w:tc>
          <w:tcPr>
            <w:tcW w:w="638" w:type="pct"/>
            <w:tcBorders>
              <w:tl2br w:val="nil"/>
              <w:tr2bl w:val="nil"/>
            </w:tcBorders>
            <w:vAlign w:val="center"/>
          </w:tcPr>
          <w:p w14:paraId="19D3C5D5">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0.350</w:t>
            </w:r>
          </w:p>
        </w:tc>
        <w:tc>
          <w:tcPr>
            <w:tcW w:w="540" w:type="pct"/>
            <w:vMerge w:val="continue"/>
            <w:tcBorders>
              <w:tl2br w:val="nil"/>
              <w:tr2bl w:val="nil"/>
            </w:tcBorders>
            <w:vAlign w:val="center"/>
          </w:tcPr>
          <w:p w14:paraId="6C5930C0">
            <w:pPr>
              <w:spacing w:line="240" w:lineRule="auto"/>
              <w:ind w:left="-72" w:leftChars="-30" w:right="-72" w:rightChars="-30" w:firstLine="0" w:firstLineChars="0"/>
              <w:jc w:val="center"/>
              <w:rPr>
                <w:color w:val="auto"/>
                <w:sz w:val="21"/>
                <w:szCs w:val="21"/>
                <w:highlight w:val="none"/>
                <w:u w:val="single"/>
              </w:rPr>
            </w:pPr>
          </w:p>
        </w:tc>
        <w:tc>
          <w:tcPr>
            <w:tcW w:w="570" w:type="pct"/>
            <w:tcBorders>
              <w:tl2br w:val="nil"/>
              <w:tr2bl w:val="nil"/>
            </w:tcBorders>
            <w:vAlign w:val="center"/>
          </w:tcPr>
          <w:p w14:paraId="34B034AE">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达标</w:t>
            </w:r>
          </w:p>
        </w:tc>
      </w:tr>
      <w:tr w14:paraId="57FC34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restart"/>
            <w:tcBorders>
              <w:tl2br w:val="nil"/>
              <w:tr2bl w:val="nil"/>
            </w:tcBorders>
            <w:vAlign w:val="center"/>
          </w:tcPr>
          <w:p w14:paraId="7E68C50C">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3</w:t>
            </w:r>
          </w:p>
        </w:tc>
        <w:tc>
          <w:tcPr>
            <w:tcW w:w="476" w:type="pct"/>
            <w:vMerge w:val="restart"/>
            <w:tcBorders>
              <w:tl2br w:val="nil"/>
              <w:tr2bl w:val="nil"/>
            </w:tcBorders>
            <w:vAlign w:val="center"/>
          </w:tcPr>
          <w:p w14:paraId="145C69B4">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氨</w:t>
            </w:r>
          </w:p>
        </w:tc>
        <w:tc>
          <w:tcPr>
            <w:tcW w:w="629" w:type="pct"/>
            <w:vMerge w:val="restart"/>
            <w:tcBorders>
              <w:tl2br w:val="nil"/>
              <w:tr2bl w:val="nil"/>
            </w:tcBorders>
            <w:vAlign w:val="center"/>
          </w:tcPr>
          <w:p w14:paraId="384FDA1C">
            <w:pPr>
              <w:spacing w:line="240" w:lineRule="auto"/>
              <w:ind w:left="-72" w:leftChars="-30" w:right="-72" w:rightChars="-30" w:firstLine="0" w:firstLineChars="0"/>
              <w:jc w:val="center"/>
              <w:rPr>
                <w:bCs/>
                <w:color w:val="auto"/>
                <w:sz w:val="21"/>
                <w:szCs w:val="21"/>
                <w:highlight w:val="none"/>
                <w:u w:val="single"/>
              </w:rPr>
            </w:pPr>
            <w:r>
              <w:rPr>
                <w:rFonts w:hint="eastAsia"/>
                <w:color w:val="auto"/>
                <w:sz w:val="21"/>
                <w:szCs w:val="21"/>
                <w:highlight w:val="none"/>
                <w:u w:val="single"/>
              </w:rPr>
              <w:t>2025年4</w:t>
            </w:r>
            <w:r>
              <w:rPr>
                <w:color w:val="auto"/>
                <w:sz w:val="21"/>
                <w:szCs w:val="21"/>
                <w:highlight w:val="none"/>
                <w:u w:val="single"/>
              </w:rPr>
              <w:t>月</w:t>
            </w:r>
            <w:r>
              <w:rPr>
                <w:rFonts w:hint="eastAsia"/>
                <w:color w:val="auto"/>
                <w:sz w:val="21"/>
                <w:szCs w:val="21"/>
                <w:highlight w:val="none"/>
                <w:u w:val="single"/>
              </w:rPr>
              <w:t>9</w:t>
            </w:r>
            <w:r>
              <w:rPr>
                <w:color w:val="auto"/>
                <w:sz w:val="21"/>
                <w:szCs w:val="21"/>
                <w:highlight w:val="none"/>
                <w:u w:val="single"/>
              </w:rPr>
              <w:t>日</w:t>
            </w:r>
          </w:p>
        </w:tc>
        <w:tc>
          <w:tcPr>
            <w:tcW w:w="654" w:type="pct"/>
            <w:tcBorders>
              <w:tl2br w:val="nil"/>
              <w:tr2bl w:val="nil"/>
            </w:tcBorders>
            <w:vAlign w:val="center"/>
          </w:tcPr>
          <w:p w14:paraId="6A6F3518">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1</w:t>
            </w:r>
            <w:r>
              <w:rPr>
                <w:bCs/>
                <w:color w:val="auto"/>
                <w:sz w:val="21"/>
                <w:szCs w:val="21"/>
                <w:highlight w:val="none"/>
                <w:u w:val="single"/>
                <w:vertAlign w:val="superscript"/>
              </w:rPr>
              <w:t>#</w:t>
            </w:r>
            <w:r>
              <w:rPr>
                <w:bCs/>
                <w:color w:val="auto"/>
                <w:sz w:val="21"/>
                <w:szCs w:val="21"/>
                <w:highlight w:val="none"/>
                <w:u w:val="single"/>
              </w:rPr>
              <w:t>上风向</w:t>
            </w:r>
          </w:p>
        </w:tc>
        <w:tc>
          <w:tcPr>
            <w:tcW w:w="565" w:type="pct"/>
            <w:tcBorders>
              <w:tl2br w:val="nil"/>
              <w:tr2bl w:val="nil"/>
            </w:tcBorders>
            <w:vAlign w:val="center"/>
          </w:tcPr>
          <w:p w14:paraId="4754BA27">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0.03</w:t>
            </w:r>
          </w:p>
        </w:tc>
        <w:tc>
          <w:tcPr>
            <w:tcW w:w="581" w:type="pct"/>
            <w:tcBorders>
              <w:tl2br w:val="nil"/>
              <w:tr2bl w:val="nil"/>
            </w:tcBorders>
            <w:vAlign w:val="center"/>
          </w:tcPr>
          <w:p w14:paraId="18763B3E">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0.02</w:t>
            </w:r>
          </w:p>
        </w:tc>
        <w:tc>
          <w:tcPr>
            <w:tcW w:w="638" w:type="pct"/>
            <w:tcBorders>
              <w:tl2br w:val="nil"/>
              <w:tr2bl w:val="nil"/>
            </w:tcBorders>
            <w:vAlign w:val="center"/>
          </w:tcPr>
          <w:p w14:paraId="0ACB8188">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0.04</w:t>
            </w:r>
          </w:p>
        </w:tc>
        <w:tc>
          <w:tcPr>
            <w:tcW w:w="540" w:type="pct"/>
            <w:vMerge w:val="restart"/>
            <w:tcBorders>
              <w:tl2br w:val="nil"/>
              <w:tr2bl w:val="nil"/>
            </w:tcBorders>
            <w:vAlign w:val="center"/>
          </w:tcPr>
          <w:p w14:paraId="3C35073D">
            <w:pPr>
              <w:spacing w:line="240" w:lineRule="auto"/>
              <w:ind w:left="-72" w:leftChars="-30" w:right="-72" w:rightChars="-30" w:firstLine="0" w:firstLineChars="0"/>
              <w:jc w:val="center"/>
              <w:rPr>
                <w:bCs/>
                <w:color w:val="auto"/>
                <w:sz w:val="21"/>
                <w:szCs w:val="21"/>
                <w:highlight w:val="none"/>
                <w:u w:val="single"/>
              </w:rPr>
            </w:pPr>
            <w:r>
              <w:rPr>
                <w:rFonts w:hint="eastAsia"/>
                <w:color w:val="auto"/>
                <w:sz w:val="21"/>
                <w:szCs w:val="21"/>
                <w:highlight w:val="none"/>
                <w:u w:val="single"/>
              </w:rPr>
              <w:t>1.5</w:t>
            </w:r>
            <w:r>
              <w:rPr>
                <w:bCs/>
                <w:color w:val="auto"/>
                <w:sz w:val="21"/>
                <w:szCs w:val="21"/>
                <w:highlight w:val="none"/>
                <w:u w:val="single"/>
              </w:rPr>
              <w:t>mg/m</w:t>
            </w:r>
            <w:r>
              <w:rPr>
                <w:bCs/>
                <w:color w:val="auto"/>
                <w:sz w:val="21"/>
                <w:szCs w:val="21"/>
                <w:highlight w:val="none"/>
                <w:u w:val="single"/>
                <w:vertAlign w:val="superscript"/>
              </w:rPr>
              <w:t>3</w:t>
            </w:r>
          </w:p>
        </w:tc>
        <w:tc>
          <w:tcPr>
            <w:tcW w:w="570" w:type="pct"/>
            <w:tcBorders>
              <w:tl2br w:val="nil"/>
              <w:tr2bl w:val="nil"/>
            </w:tcBorders>
            <w:vAlign w:val="center"/>
          </w:tcPr>
          <w:p w14:paraId="596377EA">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r w14:paraId="318A0B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0169CECF">
            <w:pPr>
              <w:spacing w:line="240" w:lineRule="auto"/>
              <w:ind w:left="-72" w:leftChars="-30" w:right="-72" w:rightChars="-30" w:firstLine="0" w:firstLineChars="0"/>
              <w:jc w:val="center"/>
              <w:rPr>
                <w:bCs/>
                <w:color w:val="auto"/>
                <w:sz w:val="21"/>
                <w:szCs w:val="21"/>
                <w:highlight w:val="none"/>
                <w:u w:val="single"/>
              </w:rPr>
            </w:pPr>
          </w:p>
        </w:tc>
        <w:tc>
          <w:tcPr>
            <w:tcW w:w="476" w:type="pct"/>
            <w:vMerge w:val="continue"/>
            <w:tcBorders>
              <w:tl2br w:val="nil"/>
              <w:tr2bl w:val="nil"/>
            </w:tcBorders>
            <w:vAlign w:val="center"/>
          </w:tcPr>
          <w:p w14:paraId="532F7A5E">
            <w:pPr>
              <w:spacing w:line="240" w:lineRule="auto"/>
              <w:ind w:left="-72" w:leftChars="-30" w:right="-72" w:rightChars="-30" w:firstLine="0" w:firstLineChars="0"/>
              <w:jc w:val="center"/>
              <w:rPr>
                <w:bCs/>
                <w:color w:val="auto"/>
                <w:sz w:val="21"/>
                <w:szCs w:val="21"/>
                <w:highlight w:val="none"/>
                <w:u w:val="single"/>
              </w:rPr>
            </w:pPr>
          </w:p>
        </w:tc>
        <w:tc>
          <w:tcPr>
            <w:tcW w:w="629" w:type="pct"/>
            <w:vMerge w:val="continue"/>
            <w:tcBorders>
              <w:tl2br w:val="nil"/>
              <w:tr2bl w:val="nil"/>
            </w:tcBorders>
            <w:vAlign w:val="center"/>
          </w:tcPr>
          <w:p w14:paraId="5F765791">
            <w:pPr>
              <w:spacing w:line="240" w:lineRule="auto"/>
              <w:ind w:left="-72" w:leftChars="-30" w:right="-72" w:rightChars="-30" w:firstLine="0" w:firstLineChars="0"/>
              <w:jc w:val="center"/>
              <w:rPr>
                <w:bCs/>
                <w:color w:val="auto"/>
                <w:sz w:val="21"/>
                <w:szCs w:val="21"/>
                <w:highlight w:val="none"/>
                <w:u w:val="single"/>
              </w:rPr>
            </w:pPr>
          </w:p>
        </w:tc>
        <w:tc>
          <w:tcPr>
            <w:tcW w:w="654" w:type="pct"/>
            <w:tcBorders>
              <w:tl2br w:val="nil"/>
              <w:tr2bl w:val="nil"/>
            </w:tcBorders>
            <w:vAlign w:val="center"/>
          </w:tcPr>
          <w:p w14:paraId="5A0A3ECD">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2</w:t>
            </w:r>
            <w:r>
              <w:rPr>
                <w:bCs/>
                <w:color w:val="auto"/>
                <w:sz w:val="21"/>
                <w:szCs w:val="21"/>
                <w:highlight w:val="none"/>
                <w:u w:val="single"/>
                <w:vertAlign w:val="superscript"/>
              </w:rPr>
              <w:t>#</w:t>
            </w:r>
            <w:r>
              <w:rPr>
                <w:bCs/>
                <w:color w:val="auto"/>
                <w:sz w:val="21"/>
                <w:szCs w:val="21"/>
                <w:highlight w:val="none"/>
                <w:u w:val="single"/>
              </w:rPr>
              <w:t>下风向</w:t>
            </w:r>
          </w:p>
        </w:tc>
        <w:tc>
          <w:tcPr>
            <w:tcW w:w="565" w:type="pct"/>
            <w:tcBorders>
              <w:tl2br w:val="nil"/>
              <w:tr2bl w:val="nil"/>
            </w:tcBorders>
            <w:vAlign w:val="center"/>
          </w:tcPr>
          <w:p w14:paraId="5618123E">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0.08</w:t>
            </w:r>
          </w:p>
        </w:tc>
        <w:tc>
          <w:tcPr>
            <w:tcW w:w="581" w:type="pct"/>
            <w:tcBorders>
              <w:tl2br w:val="nil"/>
              <w:tr2bl w:val="nil"/>
            </w:tcBorders>
            <w:vAlign w:val="center"/>
          </w:tcPr>
          <w:p w14:paraId="7480B135">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0.09</w:t>
            </w:r>
          </w:p>
        </w:tc>
        <w:tc>
          <w:tcPr>
            <w:tcW w:w="638" w:type="pct"/>
            <w:tcBorders>
              <w:tl2br w:val="nil"/>
              <w:tr2bl w:val="nil"/>
            </w:tcBorders>
            <w:vAlign w:val="center"/>
          </w:tcPr>
          <w:p w14:paraId="081B328C">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0.10</w:t>
            </w:r>
          </w:p>
        </w:tc>
        <w:tc>
          <w:tcPr>
            <w:tcW w:w="540" w:type="pct"/>
            <w:vMerge w:val="continue"/>
            <w:tcBorders>
              <w:tl2br w:val="nil"/>
              <w:tr2bl w:val="nil"/>
            </w:tcBorders>
            <w:vAlign w:val="center"/>
          </w:tcPr>
          <w:p w14:paraId="166ED4BE">
            <w:pPr>
              <w:spacing w:line="240" w:lineRule="auto"/>
              <w:ind w:left="-72" w:leftChars="-30" w:right="-72" w:rightChars="-30" w:firstLine="0" w:firstLineChars="0"/>
              <w:jc w:val="center"/>
              <w:rPr>
                <w:bCs/>
                <w:color w:val="auto"/>
                <w:sz w:val="21"/>
                <w:szCs w:val="21"/>
                <w:highlight w:val="none"/>
                <w:u w:val="single"/>
              </w:rPr>
            </w:pPr>
          </w:p>
        </w:tc>
        <w:tc>
          <w:tcPr>
            <w:tcW w:w="570" w:type="pct"/>
            <w:tcBorders>
              <w:tl2br w:val="nil"/>
              <w:tr2bl w:val="nil"/>
            </w:tcBorders>
            <w:vAlign w:val="center"/>
          </w:tcPr>
          <w:p w14:paraId="34E4331F">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r w14:paraId="3C5513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17ED9B8D">
            <w:pPr>
              <w:spacing w:line="240" w:lineRule="auto"/>
              <w:ind w:left="-72" w:leftChars="-30" w:right="-72" w:rightChars="-30" w:firstLine="0" w:firstLineChars="0"/>
              <w:jc w:val="center"/>
              <w:rPr>
                <w:bCs/>
                <w:color w:val="auto"/>
                <w:sz w:val="21"/>
                <w:szCs w:val="21"/>
                <w:highlight w:val="none"/>
                <w:u w:val="single"/>
              </w:rPr>
            </w:pPr>
          </w:p>
        </w:tc>
        <w:tc>
          <w:tcPr>
            <w:tcW w:w="476" w:type="pct"/>
            <w:vMerge w:val="continue"/>
            <w:tcBorders>
              <w:tl2br w:val="nil"/>
              <w:tr2bl w:val="nil"/>
            </w:tcBorders>
            <w:vAlign w:val="center"/>
          </w:tcPr>
          <w:p w14:paraId="11752533">
            <w:pPr>
              <w:spacing w:line="240" w:lineRule="auto"/>
              <w:ind w:left="-72" w:leftChars="-30" w:right="-72" w:rightChars="-30" w:firstLine="0" w:firstLineChars="0"/>
              <w:jc w:val="center"/>
              <w:rPr>
                <w:bCs/>
                <w:color w:val="auto"/>
                <w:sz w:val="21"/>
                <w:szCs w:val="21"/>
                <w:highlight w:val="none"/>
                <w:u w:val="single"/>
              </w:rPr>
            </w:pPr>
          </w:p>
        </w:tc>
        <w:tc>
          <w:tcPr>
            <w:tcW w:w="629" w:type="pct"/>
            <w:vMerge w:val="continue"/>
            <w:tcBorders>
              <w:tl2br w:val="nil"/>
              <w:tr2bl w:val="nil"/>
            </w:tcBorders>
            <w:vAlign w:val="center"/>
          </w:tcPr>
          <w:p w14:paraId="5620D91D">
            <w:pPr>
              <w:spacing w:line="240" w:lineRule="auto"/>
              <w:ind w:left="-72" w:leftChars="-30" w:right="-72" w:rightChars="-30" w:firstLine="0" w:firstLineChars="0"/>
              <w:jc w:val="center"/>
              <w:rPr>
                <w:bCs/>
                <w:color w:val="auto"/>
                <w:sz w:val="21"/>
                <w:szCs w:val="21"/>
                <w:highlight w:val="none"/>
                <w:u w:val="single"/>
              </w:rPr>
            </w:pPr>
          </w:p>
        </w:tc>
        <w:tc>
          <w:tcPr>
            <w:tcW w:w="654" w:type="pct"/>
            <w:tcBorders>
              <w:tl2br w:val="nil"/>
              <w:tr2bl w:val="nil"/>
            </w:tcBorders>
            <w:vAlign w:val="center"/>
          </w:tcPr>
          <w:p w14:paraId="4536013B">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3</w:t>
            </w:r>
            <w:r>
              <w:rPr>
                <w:bCs/>
                <w:color w:val="auto"/>
                <w:sz w:val="21"/>
                <w:szCs w:val="21"/>
                <w:highlight w:val="none"/>
                <w:u w:val="single"/>
                <w:vertAlign w:val="superscript"/>
              </w:rPr>
              <w:t>#</w:t>
            </w:r>
            <w:r>
              <w:rPr>
                <w:bCs/>
                <w:color w:val="auto"/>
                <w:sz w:val="21"/>
                <w:szCs w:val="21"/>
                <w:highlight w:val="none"/>
                <w:u w:val="single"/>
              </w:rPr>
              <w:t>下风向</w:t>
            </w:r>
          </w:p>
        </w:tc>
        <w:tc>
          <w:tcPr>
            <w:tcW w:w="565" w:type="pct"/>
            <w:tcBorders>
              <w:tl2br w:val="nil"/>
              <w:tr2bl w:val="nil"/>
            </w:tcBorders>
            <w:vAlign w:val="center"/>
          </w:tcPr>
          <w:p w14:paraId="43DA0A27">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0.07</w:t>
            </w:r>
          </w:p>
        </w:tc>
        <w:tc>
          <w:tcPr>
            <w:tcW w:w="581" w:type="pct"/>
            <w:tcBorders>
              <w:tl2br w:val="nil"/>
              <w:tr2bl w:val="nil"/>
            </w:tcBorders>
            <w:vAlign w:val="center"/>
          </w:tcPr>
          <w:p w14:paraId="1EC44C38">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0.08</w:t>
            </w:r>
          </w:p>
        </w:tc>
        <w:tc>
          <w:tcPr>
            <w:tcW w:w="638" w:type="pct"/>
            <w:tcBorders>
              <w:tl2br w:val="nil"/>
              <w:tr2bl w:val="nil"/>
            </w:tcBorders>
            <w:vAlign w:val="center"/>
          </w:tcPr>
          <w:p w14:paraId="6BACAFD9">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0.10</w:t>
            </w:r>
          </w:p>
        </w:tc>
        <w:tc>
          <w:tcPr>
            <w:tcW w:w="540" w:type="pct"/>
            <w:vMerge w:val="continue"/>
            <w:tcBorders>
              <w:tl2br w:val="nil"/>
              <w:tr2bl w:val="nil"/>
            </w:tcBorders>
            <w:vAlign w:val="center"/>
          </w:tcPr>
          <w:p w14:paraId="5AE2F7D0">
            <w:pPr>
              <w:spacing w:line="240" w:lineRule="auto"/>
              <w:ind w:left="-72" w:leftChars="-30" w:right="-72" w:rightChars="-30" w:firstLine="0" w:firstLineChars="0"/>
              <w:jc w:val="center"/>
              <w:rPr>
                <w:bCs/>
                <w:color w:val="auto"/>
                <w:sz w:val="21"/>
                <w:szCs w:val="21"/>
                <w:highlight w:val="none"/>
                <w:u w:val="single"/>
              </w:rPr>
            </w:pPr>
          </w:p>
        </w:tc>
        <w:tc>
          <w:tcPr>
            <w:tcW w:w="570" w:type="pct"/>
            <w:tcBorders>
              <w:tl2br w:val="nil"/>
              <w:tr2bl w:val="nil"/>
            </w:tcBorders>
            <w:vAlign w:val="center"/>
          </w:tcPr>
          <w:p w14:paraId="5049DAA0">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r w14:paraId="179118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26E66E7B">
            <w:pPr>
              <w:spacing w:line="240" w:lineRule="auto"/>
              <w:ind w:left="-72" w:leftChars="-30" w:right="-72" w:rightChars="-30" w:firstLine="0" w:firstLineChars="0"/>
              <w:jc w:val="center"/>
              <w:rPr>
                <w:bCs/>
                <w:color w:val="auto"/>
                <w:sz w:val="21"/>
                <w:szCs w:val="21"/>
                <w:highlight w:val="none"/>
                <w:u w:val="single"/>
              </w:rPr>
            </w:pPr>
          </w:p>
        </w:tc>
        <w:tc>
          <w:tcPr>
            <w:tcW w:w="476" w:type="pct"/>
            <w:vMerge w:val="continue"/>
            <w:tcBorders>
              <w:tl2br w:val="nil"/>
              <w:tr2bl w:val="nil"/>
            </w:tcBorders>
            <w:vAlign w:val="center"/>
          </w:tcPr>
          <w:p w14:paraId="71291C94">
            <w:pPr>
              <w:spacing w:line="240" w:lineRule="auto"/>
              <w:ind w:left="-72" w:leftChars="-30" w:right="-72" w:rightChars="-30" w:firstLine="0" w:firstLineChars="0"/>
              <w:jc w:val="center"/>
              <w:rPr>
                <w:bCs/>
                <w:color w:val="auto"/>
                <w:sz w:val="21"/>
                <w:szCs w:val="21"/>
                <w:highlight w:val="none"/>
                <w:u w:val="single"/>
              </w:rPr>
            </w:pPr>
          </w:p>
        </w:tc>
        <w:tc>
          <w:tcPr>
            <w:tcW w:w="629" w:type="pct"/>
            <w:vMerge w:val="continue"/>
            <w:tcBorders>
              <w:tl2br w:val="nil"/>
              <w:tr2bl w:val="nil"/>
            </w:tcBorders>
            <w:vAlign w:val="center"/>
          </w:tcPr>
          <w:p w14:paraId="513A46EF">
            <w:pPr>
              <w:spacing w:line="240" w:lineRule="auto"/>
              <w:ind w:left="-72" w:leftChars="-30" w:right="-72" w:rightChars="-30" w:firstLine="0" w:firstLineChars="0"/>
              <w:jc w:val="center"/>
              <w:rPr>
                <w:bCs/>
                <w:color w:val="auto"/>
                <w:sz w:val="21"/>
                <w:szCs w:val="21"/>
                <w:highlight w:val="none"/>
                <w:u w:val="single"/>
              </w:rPr>
            </w:pPr>
          </w:p>
        </w:tc>
        <w:tc>
          <w:tcPr>
            <w:tcW w:w="654" w:type="pct"/>
            <w:tcBorders>
              <w:tl2br w:val="nil"/>
              <w:tr2bl w:val="nil"/>
            </w:tcBorders>
            <w:vAlign w:val="center"/>
          </w:tcPr>
          <w:p w14:paraId="43C031B0">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4</w:t>
            </w:r>
            <w:r>
              <w:rPr>
                <w:bCs/>
                <w:color w:val="auto"/>
                <w:sz w:val="21"/>
                <w:szCs w:val="21"/>
                <w:highlight w:val="none"/>
                <w:u w:val="single"/>
                <w:vertAlign w:val="superscript"/>
              </w:rPr>
              <w:t>#</w:t>
            </w:r>
            <w:r>
              <w:rPr>
                <w:bCs/>
                <w:color w:val="auto"/>
                <w:sz w:val="21"/>
                <w:szCs w:val="21"/>
                <w:highlight w:val="none"/>
                <w:u w:val="single"/>
              </w:rPr>
              <w:t>下风向</w:t>
            </w:r>
          </w:p>
        </w:tc>
        <w:tc>
          <w:tcPr>
            <w:tcW w:w="565" w:type="pct"/>
            <w:tcBorders>
              <w:tl2br w:val="nil"/>
              <w:tr2bl w:val="nil"/>
            </w:tcBorders>
            <w:vAlign w:val="center"/>
          </w:tcPr>
          <w:p w14:paraId="3F3F183C">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0.07</w:t>
            </w:r>
          </w:p>
        </w:tc>
        <w:tc>
          <w:tcPr>
            <w:tcW w:w="581" w:type="pct"/>
            <w:tcBorders>
              <w:tl2br w:val="nil"/>
              <w:tr2bl w:val="nil"/>
            </w:tcBorders>
            <w:vAlign w:val="center"/>
          </w:tcPr>
          <w:p w14:paraId="729193D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0.06</w:t>
            </w:r>
          </w:p>
        </w:tc>
        <w:tc>
          <w:tcPr>
            <w:tcW w:w="638" w:type="pct"/>
            <w:tcBorders>
              <w:tl2br w:val="nil"/>
              <w:tr2bl w:val="nil"/>
            </w:tcBorders>
            <w:vAlign w:val="center"/>
          </w:tcPr>
          <w:p w14:paraId="55E12AA5">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0.06</w:t>
            </w:r>
          </w:p>
        </w:tc>
        <w:tc>
          <w:tcPr>
            <w:tcW w:w="540" w:type="pct"/>
            <w:vMerge w:val="continue"/>
            <w:tcBorders>
              <w:tl2br w:val="nil"/>
              <w:tr2bl w:val="nil"/>
            </w:tcBorders>
            <w:vAlign w:val="center"/>
          </w:tcPr>
          <w:p w14:paraId="3A2DD4E2">
            <w:pPr>
              <w:spacing w:line="240" w:lineRule="auto"/>
              <w:ind w:left="-72" w:leftChars="-30" w:right="-72" w:rightChars="-30" w:firstLine="0" w:firstLineChars="0"/>
              <w:jc w:val="center"/>
              <w:rPr>
                <w:bCs/>
                <w:color w:val="auto"/>
                <w:sz w:val="21"/>
                <w:szCs w:val="21"/>
                <w:highlight w:val="none"/>
                <w:u w:val="single"/>
              </w:rPr>
            </w:pPr>
          </w:p>
        </w:tc>
        <w:tc>
          <w:tcPr>
            <w:tcW w:w="570" w:type="pct"/>
            <w:tcBorders>
              <w:tl2br w:val="nil"/>
              <w:tr2bl w:val="nil"/>
            </w:tcBorders>
            <w:vAlign w:val="center"/>
          </w:tcPr>
          <w:p w14:paraId="0B4CACE2">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r w14:paraId="5160B7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345AE613">
            <w:pPr>
              <w:spacing w:line="240" w:lineRule="auto"/>
              <w:ind w:left="-72" w:leftChars="-30" w:right="-72" w:rightChars="-30" w:firstLine="0" w:firstLineChars="0"/>
              <w:jc w:val="center"/>
              <w:rPr>
                <w:bCs/>
                <w:color w:val="auto"/>
                <w:sz w:val="21"/>
                <w:szCs w:val="21"/>
                <w:highlight w:val="none"/>
                <w:u w:val="single"/>
              </w:rPr>
            </w:pPr>
          </w:p>
        </w:tc>
        <w:tc>
          <w:tcPr>
            <w:tcW w:w="476" w:type="pct"/>
            <w:vMerge w:val="continue"/>
            <w:tcBorders>
              <w:tl2br w:val="nil"/>
              <w:tr2bl w:val="nil"/>
            </w:tcBorders>
            <w:vAlign w:val="center"/>
          </w:tcPr>
          <w:p w14:paraId="1E39368E">
            <w:pPr>
              <w:spacing w:line="240" w:lineRule="auto"/>
              <w:ind w:left="-72" w:leftChars="-30" w:right="-72" w:rightChars="-30" w:firstLine="0" w:firstLineChars="0"/>
              <w:jc w:val="center"/>
              <w:rPr>
                <w:bCs/>
                <w:color w:val="auto"/>
                <w:sz w:val="21"/>
                <w:szCs w:val="21"/>
                <w:highlight w:val="none"/>
                <w:u w:val="single"/>
              </w:rPr>
            </w:pPr>
          </w:p>
        </w:tc>
        <w:tc>
          <w:tcPr>
            <w:tcW w:w="629" w:type="pct"/>
            <w:vMerge w:val="restart"/>
            <w:tcBorders>
              <w:tl2br w:val="nil"/>
              <w:tr2bl w:val="nil"/>
            </w:tcBorders>
            <w:vAlign w:val="center"/>
          </w:tcPr>
          <w:p w14:paraId="13EE9C49">
            <w:pPr>
              <w:spacing w:line="240" w:lineRule="auto"/>
              <w:ind w:left="-72" w:leftChars="-30" w:right="-72" w:rightChars="-30" w:firstLine="0" w:firstLineChars="0"/>
              <w:jc w:val="center"/>
              <w:rPr>
                <w:bCs/>
                <w:color w:val="auto"/>
                <w:sz w:val="21"/>
                <w:szCs w:val="21"/>
                <w:highlight w:val="none"/>
                <w:u w:val="single"/>
              </w:rPr>
            </w:pPr>
            <w:r>
              <w:rPr>
                <w:rFonts w:hint="eastAsia"/>
                <w:color w:val="auto"/>
                <w:sz w:val="21"/>
                <w:szCs w:val="21"/>
                <w:highlight w:val="none"/>
                <w:u w:val="single"/>
              </w:rPr>
              <w:t>2025年</w:t>
            </w:r>
            <w:r>
              <w:rPr>
                <w:color w:val="auto"/>
                <w:sz w:val="21"/>
                <w:szCs w:val="21"/>
                <w:highlight w:val="none"/>
                <w:u w:val="single"/>
              </w:rPr>
              <w:t>10月2</w:t>
            </w:r>
            <w:r>
              <w:rPr>
                <w:rFonts w:hint="eastAsia"/>
                <w:color w:val="auto"/>
                <w:sz w:val="21"/>
                <w:szCs w:val="21"/>
                <w:highlight w:val="none"/>
                <w:u w:val="single"/>
              </w:rPr>
              <w:t>3</w:t>
            </w:r>
            <w:r>
              <w:rPr>
                <w:color w:val="auto"/>
                <w:sz w:val="21"/>
                <w:szCs w:val="21"/>
                <w:highlight w:val="none"/>
                <w:u w:val="single"/>
              </w:rPr>
              <w:t>日</w:t>
            </w:r>
          </w:p>
        </w:tc>
        <w:tc>
          <w:tcPr>
            <w:tcW w:w="654" w:type="pct"/>
            <w:tcBorders>
              <w:tl2br w:val="nil"/>
              <w:tr2bl w:val="nil"/>
            </w:tcBorders>
            <w:vAlign w:val="center"/>
          </w:tcPr>
          <w:p w14:paraId="43EE66EC">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1</w:t>
            </w:r>
            <w:r>
              <w:rPr>
                <w:bCs/>
                <w:color w:val="auto"/>
                <w:sz w:val="21"/>
                <w:szCs w:val="21"/>
                <w:highlight w:val="none"/>
                <w:u w:val="single"/>
                <w:vertAlign w:val="superscript"/>
              </w:rPr>
              <w:t>#</w:t>
            </w:r>
            <w:r>
              <w:rPr>
                <w:bCs/>
                <w:color w:val="auto"/>
                <w:sz w:val="21"/>
                <w:szCs w:val="21"/>
                <w:highlight w:val="none"/>
                <w:u w:val="single"/>
              </w:rPr>
              <w:t>上风向</w:t>
            </w:r>
          </w:p>
        </w:tc>
        <w:tc>
          <w:tcPr>
            <w:tcW w:w="565" w:type="pct"/>
            <w:tcBorders>
              <w:tl2br w:val="nil"/>
              <w:tr2bl w:val="nil"/>
            </w:tcBorders>
            <w:vAlign w:val="center"/>
          </w:tcPr>
          <w:p w14:paraId="2BEF53BD">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0.04</w:t>
            </w:r>
          </w:p>
        </w:tc>
        <w:tc>
          <w:tcPr>
            <w:tcW w:w="581" w:type="pct"/>
            <w:tcBorders>
              <w:tl2br w:val="nil"/>
              <w:tr2bl w:val="nil"/>
            </w:tcBorders>
            <w:vAlign w:val="center"/>
          </w:tcPr>
          <w:p w14:paraId="176C31A2">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0.04</w:t>
            </w:r>
          </w:p>
        </w:tc>
        <w:tc>
          <w:tcPr>
            <w:tcW w:w="638" w:type="pct"/>
            <w:tcBorders>
              <w:tl2br w:val="nil"/>
              <w:tr2bl w:val="nil"/>
            </w:tcBorders>
            <w:vAlign w:val="center"/>
          </w:tcPr>
          <w:p w14:paraId="2CB8E1A1">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0.03</w:t>
            </w:r>
          </w:p>
        </w:tc>
        <w:tc>
          <w:tcPr>
            <w:tcW w:w="540" w:type="pct"/>
            <w:vMerge w:val="continue"/>
            <w:tcBorders>
              <w:tl2br w:val="nil"/>
              <w:tr2bl w:val="nil"/>
            </w:tcBorders>
            <w:vAlign w:val="center"/>
          </w:tcPr>
          <w:p w14:paraId="4BB4A5CB">
            <w:pPr>
              <w:spacing w:line="240" w:lineRule="auto"/>
              <w:ind w:left="-72" w:leftChars="-30" w:right="-72" w:rightChars="-30" w:firstLine="0" w:firstLineChars="0"/>
              <w:jc w:val="center"/>
              <w:rPr>
                <w:bCs/>
                <w:color w:val="auto"/>
                <w:sz w:val="21"/>
                <w:szCs w:val="21"/>
                <w:highlight w:val="none"/>
                <w:u w:val="single"/>
              </w:rPr>
            </w:pPr>
          </w:p>
        </w:tc>
        <w:tc>
          <w:tcPr>
            <w:tcW w:w="570" w:type="pct"/>
            <w:tcBorders>
              <w:tl2br w:val="nil"/>
              <w:tr2bl w:val="nil"/>
            </w:tcBorders>
            <w:vAlign w:val="center"/>
          </w:tcPr>
          <w:p w14:paraId="6C494173">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r w14:paraId="65A0FE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066920DF">
            <w:pPr>
              <w:spacing w:line="240" w:lineRule="auto"/>
              <w:ind w:left="-72" w:leftChars="-30" w:right="-72" w:rightChars="-30" w:firstLine="0" w:firstLineChars="0"/>
              <w:jc w:val="center"/>
              <w:rPr>
                <w:bCs/>
                <w:color w:val="auto"/>
                <w:sz w:val="21"/>
                <w:szCs w:val="21"/>
                <w:highlight w:val="none"/>
                <w:u w:val="single"/>
              </w:rPr>
            </w:pPr>
          </w:p>
        </w:tc>
        <w:tc>
          <w:tcPr>
            <w:tcW w:w="476" w:type="pct"/>
            <w:vMerge w:val="continue"/>
            <w:tcBorders>
              <w:tl2br w:val="nil"/>
              <w:tr2bl w:val="nil"/>
            </w:tcBorders>
            <w:vAlign w:val="center"/>
          </w:tcPr>
          <w:p w14:paraId="0A1EC9CE">
            <w:pPr>
              <w:spacing w:line="240" w:lineRule="auto"/>
              <w:ind w:left="-72" w:leftChars="-30" w:right="-72" w:rightChars="-30" w:firstLine="0" w:firstLineChars="0"/>
              <w:jc w:val="center"/>
              <w:rPr>
                <w:bCs/>
                <w:color w:val="auto"/>
                <w:sz w:val="21"/>
                <w:szCs w:val="21"/>
                <w:highlight w:val="none"/>
                <w:u w:val="single"/>
              </w:rPr>
            </w:pPr>
          </w:p>
        </w:tc>
        <w:tc>
          <w:tcPr>
            <w:tcW w:w="629" w:type="pct"/>
            <w:vMerge w:val="continue"/>
            <w:tcBorders>
              <w:tl2br w:val="nil"/>
              <w:tr2bl w:val="nil"/>
            </w:tcBorders>
            <w:vAlign w:val="center"/>
          </w:tcPr>
          <w:p w14:paraId="5A309F8D">
            <w:pPr>
              <w:spacing w:line="240" w:lineRule="auto"/>
              <w:ind w:left="-72" w:leftChars="-30" w:right="-72" w:rightChars="-30" w:firstLine="0" w:firstLineChars="0"/>
              <w:jc w:val="center"/>
              <w:rPr>
                <w:bCs/>
                <w:color w:val="auto"/>
                <w:sz w:val="21"/>
                <w:szCs w:val="21"/>
                <w:highlight w:val="none"/>
                <w:u w:val="single"/>
              </w:rPr>
            </w:pPr>
          </w:p>
        </w:tc>
        <w:tc>
          <w:tcPr>
            <w:tcW w:w="654" w:type="pct"/>
            <w:tcBorders>
              <w:tl2br w:val="nil"/>
              <w:tr2bl w:val="nil"/>
            </w:tcBorders>
            <w:vAlign w:val="center"/>
          </w:tcPr>
          <w:p w14:paraId="1665DB83">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2</w:t>
            </w:r>
            <w:r>
              <w:rPr>
                <w:bCs/>
                <w:color w:val="auto"/>
                <w:sz w:val="21"/>
                <w:szCs w:val="21"/>
                <w:highlight w:val="none"/>
                <w:u w:val="single"/>
                <w:vertAlign w:val="superscript"/>
              </w:rPr>
              <w:t>#</w:t>
            </w:r>
            <w:r>
              <w:rPr>
                <w:bCs/>
                <w:color w:val="auto"/>
                <w:sz w:val="21"/>
                <w:szCs w:val="21"/>
                <w:highlight w:val="none"/>
                <w:u w:val="single"/>
              </w:rPr>
              <w:t>下风向</w:t>
            </w:r>
          </w:p>
        </w:tc>
        <w:tc>
          <w:tcPr>
            <w:tcW w:w="565" w:type="pct"/>
            <w:tcBorders>
              <w:tl2br w:val="nil"/>
              <w:tr2bl w:val="nil"/>
            </w:tcBorders>
            <w:vAlign w:val="center"/>
          </w:tcPr>
          <w:p w14:paraId="5CA2EAA8">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0.07</w:t>
            </w:r>
          </w:p>
        </w:tc>
        <w:tc>
          <w:tcPr>
            <w:tcW w:w="581" w:type="pct"/>
            <w:tcBorders>
              <w:tl2br w:val="nil"/>
              <w:tr2bl w:val="nil"/>
            </w:tcBorders>
            <w:vAlign w:val="center"/>
          </w:tcPr>
          <w:p w14:paraId="71112677">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0.05</w:t>
            </w:r>
          </w:p>
        </w:tc>
        <w:tc>
          <w:tcPr>
            <w:tcW w:w="638" w:type="pct"/>
            <w:tcBorders>
              <w:tl2br w:val="nil"/>
              <w:tr2bl w:val="nil"/>
            </w:tcBorders>
            <w:vAlign w:val="center"/>
          </w:tcPr>
          <w:p w14:paraId="39FD919A">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0.06</w:t>
            </w:r>
          </w:p>
        </w:tc>
        <w:tc>
          <w:tcPr>
            <w:tcW w:w="540" w:type="pct"/>
            <w:vMerge w:val="continue"/>
            <w:tcBorders>
              <w:tl2br w:val="nil"/>
              <w:tr2bl w:val="nil"/>
            </w:tcBorders>
            <w:vAlign w:val="center"/>
          </w:tcPr>
          <w:p w14:paraId="4FC789DA">
            <w:pPr>
              <w:spacing w:line="240" w:lineRule="auto"/>
              <w:ind w:left="-72" w:leftChars="-30" w:right="-72" w:rightChars="-30" w:firstLine="0" w:firstLineChars="0"/>
              <w:jc w:val="center"/>
              <w:rPr>
                <w:bCs/>
                <w:color w:val="auto"/>
                <w:sz w:val="21"/>
                <w:szCs w:val="21"/>
                <w:highlight w:val="none"/>
                <w:u w:val="single"/>
              </w:rPr>
            </w:pPr>
          </w:p>
        </w:tc>
        <w:tc>
          <w:tcPr>
            <w:tcW w:w="570" w:type="pct"/>
            <w:tcBorders>
              <w:tl2br w:val="nil"/>
              <w:tr2bl w:val="nil"/>
            </w:tcBorders>
            <w:vAlign w:val="center"/>
          </w:tcPr>
          <w:p w14:paraId="35003FEC">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r w14:paraId="0BDDAC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6C4C7BB3">
            <w:pPr>
              <w:spacing w:line="240" w:lineRule="auto"/>
              <w:ind w:left="-72" w:leftChars="-30" w:right="-72" w:rightChars="-30" w:firstLine="0" w:firstLineChars="0"/>
              <w:jc w:val="center"/>
              <w:rPr>
                <w:bCs/>
                <w:color w:val="auto"/>
                <w:sz w:val="21"/>
                <w:szCs w:val="21"/>
                <w:highlight w:val="none"/>
                <w:u w:val="single"/>
              </w:rPr>
            </w:pPr>
          </w:p>
        </w:tc>
        <w:tc>
          <w:tcPr>
            <w:tcW w:w="476" w:type="pct"/>
            <w:vMerge w:val="continue"/>
            <w:tcBorders>
              <w:tl2br w:val="nil"/>
              <w:tr2bl w:val="nil"/>
            </w:tcBorders>
            <w:vAlign w:val="center"/>
          </w:tcPr>
          <w:p w14:paraId="4D326A67">
            <w:pPr>
              <w:spacing w:line="240" w:lineRule="auto"/>
              <w:ind w:left="-72" w:leftChars="-30" w:right="-72" w:rightChars="-30" w:firstLine="0" w:firstLineChars="0"/>
              <w:jc w:val="center"/>
              <w:rPr>
                <w:bCs/>
                <w:color w:val="auto"/>
                <w:sz w:val="21"/>
                <w:szCs w:val="21"/>
                <w:highlight w:val="none"/>
                <w:u w:val="single"/>
              </w:rPr>
            </w:pPr>
          </w:p>
        </w:tc>
        <w:tc>
          <w:tcPr>
            <w:tcW w:w="629" w:type="pct"/>
            <w:vMerge w:val="continue"/>
            <w:tcBorders>
              <w:tl2br w:val="nil"/>
              <w:tr2bl w:val="nil"/>
            </w:tcBorders>
            <w:vAlign w:val="center"/>
          </w:tcPr>
          <w:p w14:paraId="2228CC4F">
            <w:pPr>
              <w:spacing w:line="240" w:lineRule="auto"/>
              <w:ind w:left="-72" w:leftChars="-30" w:right="-72" w:rightChars="-30" w:firstLine="0" w:firstLineChars="0"/>
              <w:jc w:val="center"/>
              <w:rPr>
                <w:bCs/>
                <w:color w:val="auto"/>
                <w:sz w:val="21"/>
                <w:szCs w:val="21"/>
                <w:highlight w:val="none"/>
                <w:u w:val="single"/>
              </w:rPr>
            </w:pPr>
          </w:p>
        </w:tc>
        <w:tc>
          <w:tcPr>
            <w:tcW w:w="654" w:type="pct"/>
            <w:tcBorders>
              <w:tl2br w:val="nil"/>
              <w:tr2bl w:val="nil"/>
            </w:tcBorders>
            <w:vAlign w:val="center"/>
          </w:tcPr>
          <w:p w14:paraId="1232B2D7">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3</w:t>
            </w:r>
            <w:r>
              <w:rPr>
                <w:bCs/>
                <w:color w:val="auto"/>
                <w:sz w:val="21"/>
                <w:szCs w:val="21"/>
                <w:highlight w:val="none"/>
                <w:u w:val="single"/>
                <w:vertAlign w:val="superscript"/>
              </w:rPr>
              <w:t>#</w:t>
            </w:r>
            <w:r>
              <w:rPr>
                <w:bCs/>
                <w:color w:val="auto"/>
                <w:sz w:val="21"/>
                <w:szCs w:val="21"/>
                <w:highlight w:val="none"/>
                <w:u w:val="single"/>
              </w:rPr>
              <w:t>下风向</w:t>
            </w:r>
          </w:p>
        </w:tc>
        <w:tc>
          <w:tcPr>
            <w:tcW w:w="565" w:type="pct"/>
            <w:tcBorders>
              <w:tl2br w:val="nil"/>
              <w:tr2bl w:val="nil"/>
            </w:tcBorders>
            <w:vAlign w:val="center"/>
          </w:tcPr>
          <w:p w14:paraId="3E03A82A">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0.07</w:t>
            </w:r>
          </w:p>
        </w:tc>
        <w:tc>
          <w:tcPr>
            <w:tcW w:w="581" w:type="pct"/>
            <w:tcBorders>
              <w:tl2br w:val="nil"/>
              <w:tr2bl w:val="nil"/>
            </w:tcBorders>
            <w:vAlign w:val="center"/>
          </w:tcPr>
          <w:p w14:paraId="2D5726BB">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0.06</w:t>
            </w:r>
          </w:p>
        </w:tc>
        <w:tc>
          <w:tcPr>
            <w:tcW w:w="638" w:type="pct"/>
            <w:tcBorders>
              <w:tl2br w:val="nil"/>
              <w:tr2bl w:val="nil"/>
            </w:tcBorders>
            <w:vAlign w:val="center"/>
          </w:tcPr>
          <w:p w14:paraId="037594C0">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0.06</w:t>
            </w:r>
          </w:p>
        </w:tc>
        <w:tc>
          <w:tcPr>
            <w:tcW w:w="540" w:type="pct"/>
            <w:vMerge w:val="continue"/>
            <w:tcBorders>
              <w:tl2br w:val="nil"/>
              <w:tr2bl w:val="nil"/>
            </w:tcBorders>
            <w:vAlign w:val="center"/>
          </w:tcPr>
          <w:p w14:paraId="50D841CC">
            <w:pPr>
              <w:spacing w:line="240" w:lineRule="auto"/>
              <w:ind w:left="-72" w:leftChars="-30" w:right="-72" w:rightChars="-30" w:firstLine="0" w:firstLineChars="0"/>
              <w:jc w:val="center"/>
              <w:rPr>
                <w:bCs/>
                <w:color w:val="auto"/>
                <w:sz w:val="21"/>
                <w:szCs w:val="21"/>
                <w:highlight w:val="none"/>
                <w:u w:val="single"/>
              </w:rPr>
            </w:pPr>
          </w:p>
        </w:tc>
        <w:tc>
          <w:tcPr>
            <w:tcW w:w="570" w:type="pct"/>
            <w:tcBorders>
              <w:tl2br w:val="nil"/>
              <w:tr2bl w:val="nil"/>
            </w:tcBorders>
            <w:vAlign w:val="center"/>
          </w:tcPr>
          <w:p w14:paraId="136103DB">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r w14:paraId="0486C8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5238DA1A">
            <w:pPr>
              <w:spacing w:line="240" w:lineRule="auto"/>
              <w:ind w:left="-72" w:leftChars="-30" w:right="-72" w:rightChars="-30" w:firstLine="0" w:firstLineChars="0"/>
              <w:jc w:val="center"/>
              <w:rPr>
                <w:bCs/>
                <w:color w:val="auto"/>
                <w:sz w:val="21"/>
                <w:szCs w:val="21"/>
                <w:highlight w:val="none"/>
                <w:u w:val="single"/>
              </w:rPr>
            </w:pPr>
          </w:p>
        </w:tc>
        <w:tc>
          <w:tcPr>
            <w:tcW w:w="476" w:type="pct"/>
            <w:vMerge w:val="continue"/>
            <w:tcBorders>
              <w:tl2br w:val="nil"/>
              <w:tr2bl w:val="nil"/>
            </w:tcBorders>
            <w:vAlign w:val="center"/>
          </w:tcPr>
          <w:p w14:paraId="6A13F28E">
            <w:pPr>
              <w:spacing w:line="240" w:lineRule="auto"/>
              <w:ind w:left="-72" w:leftChars="-30" w:right="-72" w:rightChars="-30" w:firstLine="0" w:firstLineChars="0"/>
              <w:jc w:val="center"/>
              <w:rPr>
                <w:bCs/>
                <w:color w:val="auto"/>
                <w:sz w:val="21"/>
                <w:szCs w:val="21"/>
                <w:highlight w:val="none"/>
                <w:u w:val="single"/>
              </w:rPr>
            </w:pPr>
          </w:p>
        </w:tc>
        <w:tc>
          <w:tcPr>
            <w:tcW w:w="629" w:type="pct"/>
            <w:vMerge w:val="continue"/>
            <w:tcBorders>
              <w:tl2br w:val="nil"/>
              <w:tr2bl w:val="nil"/>
            </w:tcBorders>
            <w:vAlign w:val="center"/>
          </w:tcPr>
          <w:p w14:paraId="1A4D2CFF">
            <w:pPr>
              <w:spacing w:line="240" w:lineRule="auto"/>
              <w:ind w:left="-72" w:leftChars="-30" w:right="-72" w:rightChars="-30" w:firstLine="0" w:firstLineChars="0"/>
              <w:jc w:val="center"/>
              <w:rPr>
                <w:bCs/>
                <w:color w:val="auto"/>
                <w:sz w:val="21"/>
                <w:szCs w:val="21"/>
                <w:highlight w:val="none"/>
                <w:u w:val="single"/>
              </w:rPr>
            </w:pPr>
          </w:p>
        </w:tc>
        <w:tc>
          <w:tcPr>
            <w:tcW w:w="654" w:type="pct"/>
            <w:tcBorders>
              <w:tl2br w:val="nil"/>
              <w:tr2bl w:val="nil"/>
            </w:tcBorders>
            <w:vAlign w:val="center"/>
          </w:tcPr>
          <w:p w14:paraId="1DC3EC55">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4</w:t>
            </w:r>
            <w:r>
              <w:rPr>
                <w:bCs/>
                <w:color w:val="auto"/>
                <w:sz w:val="21"/>
                <w:szCs w:val="21"/>
                <w:highlight w:val="none"/>
                <w:u w:val="single"/>
                <w:vertAlign w:val="superscript"/>
              </w:rPr>
              <w:t>#</w:t>
            </w:r>
            <w:r>
              <w:rPr>
                <w:bCs/>
                <w:color w:val="auto"/>
                <w:sz w:val="21"/>
                <w:szCs w:val="21"/>
                <w:highlight w:val="none"/>
                <w:u w:val="single"/>
              </w:rPr>
              <w:t>下风向</w:t>
            </w:r>
          </w:p>
        </w:tc>
        <w:tc>
          <w:tcPr>
            <w:tcW w:w="565" w:type="pct"/>
            <w:tcBorders>
              <w:tl2br w:val="nil"/>
              <w:tr2bl w:val="nil"/>
            </w:tcBorders>
            <w:vAlign w:val="center"/>
          </w:tcPr>
          <w:p w14:paraId="004E4D7A">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0.07</w:t>
            </w:r>
          </w:p>
        </w:tc>
        <w:tc>
          <w:tcPr>
            <w:tcW w:w="581" w:type="pct"/>
            <w:tcBorders>
              <w:tl2br w:val="nil"/>
              <w:tr2bl w:val="nil"/>
            </w:tcBorders>
            <w:vAlign w:val="center"/>
          </w:tcPr>
          <w:p w14:paraId="56FEF791">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0.07</w:t>
            </w:r>
          </w:p>
        </w:tc>
        <w:tc>
          <w:tcPr>
            <w:tcW w:w="638" w:type="pct"/>
            <w:tcBorders>
              <w:tl2br w:val="nil"/>
              <w:tr2bl w:val="nil"/>
            </w:tcBorders>
            <w:vAlign w:val="center"/>
          </w:tcPr>
          <w:p w14:paraId="0E6C6300">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0.06</w:t>
            </w:r>
          </w:p>
        </w:tc>
        <w:tc>
          <w:tcPr>
            <w:tcW w:w="540" w:type="pct"/>
            <w:vMerge w:val="continue"/>
            <w:tcBorders>
              <w:tl2br w:val="nil"/>
              <w:tr2bl w:val="nil"/>
            </w:tcBorders>
            <w:vAlign w:val="center"/>
          </w:tcPr>
          <w:p w14:paraId="6F1EB962">
            <w:pPr>
              <w:spacing w:line="240" w:lineRule="auto"/>
              <w:ind w:left="-72" w:leftChars="-30" w:right="-72" w:rightChars="-30" w:firstLine="0" w:firstLineChars="0"/>
              <w:jc w:val="center"/>
              <w:rPr>
                <w:bCs/>
                <w:color w:val="auto"/>
                <w:sz w:val="21"/>
                <w:szCs w:val="21"/>
                <w:highlight w:val="none"/>
                <w:u w:val="single"/>
              </w:rPr>
            </w:pPr>
          </w:p>
        </w:tc>
        <w:tc>
          <w:tcPr>
            <w:tcW w:w="570" w:type="pct"/>
            <w:tcBorders>
              <w:tl2br w:val="nil"/>
              <w:tr2bl w:val="nil"/>
            </w:tcBorders>
            <w:vAlign w:val="center"/>
          </w:tcPr>
          <w:p w14:paraId="08BAE243">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r w14:paraId="702E5B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restart"/>
            <w:tcBorders>
              <w:tl2br w:val="nil"/>
              <w:tr2bl w:val="nil"/>
            </w:tcBorders>
            <w:vAlign w:val="center"/>
          </w:tcPr>
          <w:p w14:paraId="41D91834">
            <w:pPr>
              <w:spacing w:line="240" w:lineRule="auto"/>
              <w:ind w:left="-72" w:leftChars="-30" w:right="-72" w:rightChars="-30" w:firstLine="0" w:firstLineChars="0"/>
              <w:jc w:val="center"/>
              <w:rPr>
                <w:bCs/>
                <w:color w:val="auto"/>
                <w:sz w:val="21"/>
                <w:szCs w:val="21"/>
                <w:highlight w:val="none"/>
                <w:u w:val="single"/>
              </w:rPr>
            </w:pPr>
            <w:r>
              <w:rPr>
                <w:rFonts w:hint="eastAsia"/>
                <w:bCs/>
                <w:color w:val="auto"/>
                <w:sz w:val="21"/>
                <w:szCs w:val="21"/>
                <w:highlight w:val="none"/>
                <w:u w:val="single"/>
              </w:rPr>
              <w:t>4</w:t>
            </w:r>
          </w:p>
        </w:tc>
        <w:tc>
          <w:tcPr>
            <w:tcW w:w="476" w:type="pct"/>
            <w:vMerge w:val="restart"/>
            <w:tcBorders>
              <w:tl2br w:val="nil"/>
              <w:tr2bl w:val="nil"/>
            </w:tcBorders>
            <w:vAlign w:val="center"/>
          </w:tcPr>
          <w:p w14:paraId="4082669F">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硫化氢</w:t>
            </w:r>
          </w:p>
        </w:tc>
        <w:tc>
          <w:tcPr>
            <w:tcW w:w="629" w:type="pct"/>
            <w:vMerge w:val="restart"/>
            <w:tcBorders>
              <w:tl2br w:val="nil"/>
              <w:tr2bl w:val="nil"/>
            </w:tcBorders>
            <w:vAlign w:val="center"/>
          </w:tcPr>
          <w:p w14:paraId="65A7B288">
            <w:pPr>
              <w:spacing w:line="240" w:lineRule="auto"/>
              <w:ind w:left="-72" w:leftChars="-30" w:right="-72" w:rightChars="-30" w:firstLine="0" w:firstLineChars="0"/>
              <w:jc w:val="center"/>
              <w:rPr>
                <w:bCs/>
                <w:color w:val="auto"/>
                <w:sz w:val="21"/>
                <w:szCs w:val="21"/>
                <w:highlight w:val="none"/>
                <w:u w:val="single"/>
              </w:rPr>
            </w:pPr>
            <w:r>
              <w:rPr>
                <w:rFonts w:hint="eastAsia"/>
                <w:color w:val="auto"/>
                <w:sz w:val="21"/>
                <w:szCs w:val="21"/>
                <w:highlight w:val="none"/>
                <w:u w:val="single"/>
              </w:rPr>
              <w:t>2025年4</w:t>
            </w:r>
            <w:r>
              <w:rPr>
                <w:color w:val="auto"/>
                <w:sz w:val="21"/>
                <w:szCs w:val="21"/>
                <w:highlight w:val="none"/>
                <w:u w:val="single"/>
              </w:rPr>
              <w:t>月</w:t>
            </w:r>
            <w:r>
              <w:rPr>
                <w:rFonts w:hint="eastAsia"/>
                <w:color w:val="auto"/>
                <w:sz w:val="21"/>
                <w:szCs w:val="21"/>
                <w:highlight w:val="none"/>
                <w:u w:val="single"/>
              </w:rPr>
              <w:t>9</w:t>
            </w:r>
            <w:r>
              <w:rPr>
                <w:color w:val="auto"/>
                <w:sz w:val="21"/>
                <w:szCs w:val="21"/>
                <w:highlight w:val="none"/>
                <w:u w:val="single"/>
              </w:rPr>
              <w:t>日</w:t>
            </w:r>
          </w:p>
        </w:tc>
        <w:tc>
          <w:tcPr>
            <w:tcW w:w="654" w:type="pct"/>
            <w:tcBorders>
              <w:tl2br w:val="nil"/>
              <w:tr2bl w:val="nil"/>
            </w:tcBorders>
            <w:vAlign w:val="center"/>
          </w:tcPr>
          <w:p w14:paraId="6D790443">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1</w:t>
            </w:r>
            <w:r>
              <w:rPr>
                <w:color w:val="auto"/>
                <w:sz w:val="21"/>
                <w:szCs w:val="21"/>
                <w:highlight w:val="none"/>
                <w:u w:val="single"/>
                <w:vertAlign w:val="superscript"/>
              </w:rPr>
              <w:t>#</w:t>
            </w:r>
            <w:r>
              <w:rPr>
                <w:color w:val="auto"/>
                <w:sz w:val="21"/>
                <w:szCs w:val="21"/>
                <w:highlight w:val="none"/>
                <w:u w:val="single"/>
              </w:rPr>
              <w:t>上风向</w:t>
            </w:r>
          </w:p>
        </w:tc>
        <w:tc>
          <w:tcPr>
            <w:tcW w:w="565" w:type="pct"/>
            <w:tcBorders>
              <w:tl2br w:val="nil"/>
              <w:tr2bl w:val="nil"/>
            </w:tcBorders>
            <w:vAlign w:val="center"/>
          </w:tcPr>
          <w:p w14:paraId="56A57E0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581" w:type="pct"/>
            <w:tcBorders>
              <w:tl2br w:val="nil"/>
              <w:tr2bl w:val="nil"/>
            </w:tcBorders>
            <w:vAlign w:val="center"/>
          </w:tcPr>
          <w:p w14:paraId="25E04D13">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638" w:type="pct"/>
            <w:tcBorders>
              <w:tl2br w:val="nil"/>
              <w:tr2bl w:val="nil"/>
            </w:tcBorders>
            <w:vAlign w:val="center"/>
          </w:tcPr>
          <w:p w14:paraId="28F9A1C7">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540" w:type="pct"/>
            <w:vMerge w:val="restart"/>
            <w:tcBorders>
              <w:tl2br w:val="nil"/>
              <w:tr2bl w:val="nil"/>
            </w:tcBorders>
            <w:vAlign w:val="center"/>
          </w:tcPr>
          <w:p w14:paraId="0BC01AE6">
            <w:pPr>
              <w:spacing w:line="240" w:lineRule="auto"/>
              <w:ind w:left="-72" w:leftChars="-30" w:right="-72" w:rightChars="-30" w:firstLine="0" w:firstLineChars="0"/>
              <w:jc w:val="center"/>
              <w:rPr>
                <w:color w:val="auto"/>
                <w:sz w:val="21"/>
                <w:szCs w:val="21"/>
                <w:highlight w:val="none"/>
                <w:u w:val="single"/>
              </w:rPr>
            </w:pPr>
            <w:r>
              <w:rPr>
                <w:bCs/>
                <w:color w:val="auto"/>
                <w:sz w:val="21"/>
                <w:szCs w:val="21"/>
                <w:highlight w:val="none"/>
                <w:u w:val="single"/>
              </w:rPr>
              <w:t>0.06mg/m</w:t>
            </w:r>
            <w:r>
              <w:rPr>
                <w:bCs/>
                <w:color w:val="auto"/>
                <w:sz w:val="21"/>
                <w:szCs w:val="21"/>
                <w:highlight w:val="none"/>
                <w:u w:val="single"/>
                <w:vertAlign w:val="superscript"/>
              </w:rPr>
              <w:t>3</w:t>
            </w:r>
          </w:p>
        </w:tc>
        <w:tc>
          <w:tcPr>
            <w:tcW w:w="570" w:type="pct"/>
            <w:tcBorders>
              <w:tl2br w:val="nil"/>
              <w:tr2bl w:val="nil"/>
            </w:tcBorders>
            <w:vAlign w:val="center"/>
          </w:tcPr>
          <w:p w14:paraId="63D4A798">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r w14:paraId="7DEED6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3D7312BD">
            <w:pPr>
              <w:spacing w:line="240" w:lineRule="auto"/>
              <w:ind w:left="-72" w:leftChars="-30" w:right="-72" w:rightChars="-30" w:firstLine="0" w:firstLineChars="0"/>
              <w:jc w:val="center"/>
              <w:rPr>
                <w:bCs/>
                <w:color w:val="auto"/>
                <w:sz w:val="21"/>
                <w:szCs w:val="21"/>
                <w:highlight w:val="none"/>
                <w:u w:val="single"/>
              </w:rPr>
            </w:pPr>
          </w:p>
        </w:tc>
        <w:tc>
          <w:tcPr>
            <w:tcW w:w="476" w:type="pct"/>
            <w:vMerge w:val="continue"/>
            <w:tcBorders>
              <w:tl2br w:val="nil"/>
              <w:tr2bl w:val="nil"/>
            </w:tcBorders>
            <w:vAlign w:val="center"/>
          </w:tcPr>
          <w:p w14:paraId="02A2B980">
            <w:pPr>
              <w:spacing w:line="240" w:lineRule="auto"/>
              <w:ind w:left="-72" w:leftChars="-30" w:right="-72" w:rightChars="-30" w:firstLine="0" w:firstLineChars="0"/>
              <w:jc w:val="center"/>
              <w:rPr>
                <w:bCs/>
                <w:color w:val="auto"/>
                <w:sz w:val="21"/>
                <w:szCs w:val="21"/>
                <w:highlight w:val="none"/>
                <w:u w:val="single"/>
              </w:rPr>
            </w:pPr>
          </w:p>
        </w:tc>
        <w:tc>
          <w:tcPr>
            <w:tcW w:w="629" w:type="pct"/>
            <w:vMerge w:val="continue"/>
            <w:tcBorders>
              <w:tl2br w:val="nil"/>
              <w:tr2bl w:val="nil"/>
            </w:tcBorders>
            <w:vAlign w:val="center"/>
          </w:tcPr>
          <w:p w14:paraId="37B31900">
            <w:pPr>
              <w:spacing w:line="240" w:lineRule="auto"/>
              <w:ind w:left="-72" w:leftChars="-30" w:right="-72" w:rightChars="-30" w:firstLine="0" w:firstLineChars="0"/>
              <w:jc w:val="center"/>
              <w:rPr>
                <w:bCs/>
                <w:color w:val="auto"/>
                <w:sz w:val="21"/>
                <w:szCs w:val="21"/>
                <w:highlight w:val="none"/>
                <w:u w:val="single"/>
              </w:rPr>
            </w:pPr>
          </w:p>
        </w:tc>
        <w:tc>
          <w:tcPr>
            <w:tcW w:w="654" w:type="pct"/>
            <w:tcBorders>
              <w:tl2br w:val="nil"/>
              <w:tr2bl w:val="nil"/>
            </w:tcBorders>
            <w:vAlign w:val="center"/>
          </w:tcPr>
          <w:p w14:paraId="6CD2E300">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2</w:t>
            </w:r>
            <w:r>
              <w:rPr>
                <w:color w:val="auto"/>
                <w:sz w:val="21"/>
                <w:szCs w:val="21"/>
                <w:highlight w:val="none"/>
                <w:u w:val="single"/>
                <w:vertAlign w:val="superscript"/>
              </w:rPr>
              <w:t>#</w:t>
            </w:r>
            <w:r>
              <w:rPr>
                <w:color w:val="auto"/>
                <w:sz w:val="21"/>
                <w:szCs w:val="21"/>
                <w:highlight w:val="none"/>
                <w:u w:val="single"/>
              </w:rPr>
              <w:t>下风向</w:t>
            </w:r>
          </w:p>
        </w:tc>
        <w:tc>
          <w:tcPr>
            <w:tcW w:w="565" w:type="pct"/>
            <w:tcBorders>
              <w:tl2br w:val="nil"/>
              <w:tr2bl w:val="nil"/>
            </w:tcBorders>
            <w:vAlign w:val="center"/>
          </w:tcPr>
          <w:p w14:paraId="715B6B36">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581" w:type="pct"/>
            <w:tcBorders>
              <w:tl2br w:val="nil"/>
              <w:tr2bl w:val="nil"/>
            </w:tcBorders>
            <w:vAlign w:val="center"/>
          </w:tcPr>
          <w:p w14:paraId="5B2CEC5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638" w:type="pct"/>
            <w:tcBorders>
              <w:tl2br w:val="nil"/>
              <w:tr2bl w:val="nil"/>
            </w:tcBorders>
            <w:vAlign w:val="center"/>
          </w:tcPr>
          <w:p w14:paraId="65733A2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540" w:type="pct"/>
            <w:vMerge w:val="continue"/>
            <w:tcBorders>
              <w:tl2br w:val="nil"/>
              <w:tr2bl w:val="nil"/>
            </w:tcBorders>
            <w:vAlign w:val="center"/>
          </w:tcPr>
          <w:p w14:paraId="108A58F0">
            <w:pPr>
              <w:spacing w:line="240" w:lineRule="auto"/>
              <w:ind w:left="-72" w:leftChars="-30" w:right="-72" w:rightChars="-30" w:firstLine="0" w:firstLineChars="0"/>
              <w:jc w:val="center"/>
              <w:rPr>
                <w:color w:val="auto"/>
                <w:sz w:val="21"/>
                <w:szCs w:val="21"/>
                <w:highlight w:val="none"/>
                <w:u w:val="single"/>
              </w:rPr>
            </w:pPr>
          </w:p>
        </w:tc>
        <w:tc>
          <w:tcPr>
            <w:tcW w:w="570" w:type="pct"/>
            <w:tcBorders>
              <w:tl2br w:val="nil"/>
              <w:tr2bl w:val="nil"/>
            </w:tcBorders>
            <w:vAlign w:val="center"/>
          </w:tcPr>
          <w:p w14:paraId="2682AB35">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r w14:paraId="617FEF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4EAEEDE3">
            <w:pPr>
              <w:spacing w:line="240" w:lineRule="auto"/>
              <w:ind w:left="-72" w:leftChars="-30" w:right="-72" w:rightChars="-30" w:firstLine="0" w:firstLineChars="0"/>
              <w:jc w:val="center"/>
              <w:rPr>
                <w:bCs/>
                <w:color w:val="auto"/>
                <w:sz w:val="21"/>
                <w:szCs w:val="21"/>
                <w:highlight w:val="none"/>
                <w:u w:val="single"/>
              </w:rPr>
            </w:pPr>
          </w:p>
        </w:tc>
        <w:tc>
          <w:tcPr>
            <w:tcW w:w="476" w:type="pct"/>
            <w:vMerge w:val="continue"/>
            <w:tcBorders>
              <w:tl2br w:val="nil"/>
              <w:tr2bl w:val="nil"/>
            </w:tcBorders>
            <w:vAlign w:val="center"/>
          </w:tcPr>
          <w:p w14:paraId="27E8F01D">
            <w:pPr>
              <w:spacing w:line="240" w:lineRule="auto"/>
              <w:ind w:left="-72" w:leftChars="-30" w:right="-72" w:rightChars="-30" w:firstLine="0" w:firstLineChars="0"/>
              <w:jc w:val="center"/>
              <w:rPr>
                <w:bCs/>
                <w:color w:val="auto"/>
                <w:sz w:val="21"/>
                <w:szCs w:val="21"/>
                <w:highlight w:val="none"/>
                <w:u w:val="single"/>
              </w:rPr>
            </w:pPr>
          </w:p>
        </w:tc>
        <w:tc>
          <w:tcPr>
            <w:tcW w:w="629" w:type="pct"/>
            <w:vMerge w:val="continue"/>
            <w:tcBorders>
              <w:tl2br w:val="nil"/>
              <w:tr2bl w:val="nil"/>
            </w:tcBorders>
            <w:vAlign w:val="center"/>
          </w:tcPr>
          <w:p w14:paraId="2E50496D">
            <w:pPr>
              <w:spacing w:line="240" w:lineRule="auto"/>
              <w:ind w:left="-72" w:leftChars="-30" w:right="-72" w:rightChars="-30" w:firstLine="0" w:firstLineChars="0"/>
              <w:jc w:val="center"/>
              <w:rPr>
                <w:bCs/>
                <w:color w:val="auto"/>
                <w:sz w:val="21"/>
                <w:szCs w:val="21"/>
                <w:highlight w:val="none"/>
                <w:u w:val="single"/>
              </w:rPr>
            </w:pPr>
          </w:p>
        </w:tc>
        <w:tc>
          <w:tcPr>
            <w:tcW w:w="654" w:type="pct"/>
            <w:tcBorders>
              <w:tl2br w:val="nil"/>
              <w:tr2bl w:val="nil"/>
            </w:tcBorders>
            <w:vAlign w:val="center"/>
          </w:tcPr>
          <w:p w14:paraId="591D999C">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3</w:t>
            </w:r>
            <w:r>
              <w:rPr>
                <w:color w:val="auto"/>
                <w:sz w:val="21"/>
                <w:szCs w:val="21"/>
                <w:highlight w:val="none"/>
                <w:u w:val="single"/>
                <w:vertAlign w:val="superscript"/>
              </w:rPr>
              <w:t>#</w:t>
            </w:r>
            <w:r>
              <w:rPr>
                <w:color w:val="auto"/>
                <w:sz w:val="21"/>
                <w:szCs w:val="21"/>
                <w:highlight w:val="none"/>
                <w:u w:val="single"/>
              </w:rPr>
              <w:t>下风向</w:t>
            </w:r>
          </w:p>
        </w:tc>
        <w:tc>
          <w:tcPr>
            <w:tcW w:w="565" w:type="pct"/>
            <w:tcBorders>
              <w:tl2br w:val="nil"/>
              <w:tr2bl w:val="nil"/>
            </w:tcBorders>
            <w:vAlign w:val="center"/>
          </w:tcPr>
          <w:p w14:paraId="5F9AECA8">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581" w:type="pct"/>
            <w:tcBorders>
              <w:tl2br w:val="nil"/>
              <w:tr2bl w:val="nil"/>
            </w:tcBorders>
            <w:vAlign w:val="center"/>
          </w:tcPr>
          <w:p w14:paraId="5575D3F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638" w:type="pct"/>
            <w:tcBorders>
              <w:tl2br w:val="nil"/>
              <w:tr2bl w:val="nil"/>
            </w:tcBorders>
            <w:vAlign w:val="center"/>
          </w:tcPr>
          <w:p w14:paraId="24511933">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540" w:type="pct"/>
            <w:vMerge w:val="continue"/>
            <w:tcBorders>
              <w:tl2br w:val="nil"/>
              <w:tr2bl w:val="nil"/>
            </w:tcBorders>
            <w:vAlign w:val="center"/>
          </w:tcPr>
          <w:p w14:paraId="56408009">
            <w:pPr>
              <w:spacing w:line="240" w:lineRule="auto"/>
              <w:ind w:left="-72" w:leftChars="-30" w:right="-72" w:rightChars="-30" w:firstLine="0" w:firstLineChars="0"/>
              <w:jc w:val="center"/>
              <w:rPr>
                <w:color w:val="auto"/>
                <w:sz w:val="21"/>
                <w:szCs w:val="21"/>
                <w:highlight w:val="none"/>
                <w:u w:val="single"/>
              </w:rPr>
            </w:pPr>
          </w:p>
        </w:tc>
        <w:tc>
          <w:tcPr>
            <w:tcW w:w="570" w:type="pct"/>
            <w:tcBorders>
              <w:tl2br w:val="nil"/>
              <w:tr2bl w:val="nil"/>
            </w:tcBorders>
            <w:vAlign w:val="center"/>
          </w:tcPr>
          <w:p w14:paraId="037CB031">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r w14:paraId="12DEE5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0422B820">
            <w:pPr>
              <w:spacing w:line="240" w:lineRule="auto"/>
              <w:ind w:left="-72" w:leftChars="-30" w:right="-72" w:rightChars="-30" w:firstLine="0" w:firstLineChars="0"/>
              <w:jc w:val="center"/>
              <w:rPr>
                <w:bCs/>
                <w:color w:val="auto"/>
                <w:sz w:val="21"/>
                <w:szCs w:val="21"/>
                <w:highlight w:val="none"/>
                <w:u w:val="single"/>
              </w:rPr>
            </w:pPr>
          </w:p>
        </w:tc>
        <w:tc>
          <w:tcPr>
            <w:tcW w:w="476" w:type="pct"/>
            <w:vMerge w:val="continue"/>
            <w:tcBorders>
              <w:tl2br w:val="nil"/>
              <w:tr2bl w:val="nil"/>
            </w:tcBorders>
            <w:vAlign w:val="center"/>
          </w:tcPr>
          <w:p w14:paraId="42FE633D">
            <w:pPr>
              <w:spacing w:line="240" w:lineRule="auto"/>
              <w:ind w:left="-72" w:leftChars="-30" w:right="-72" w:rightChars="-30" w:firstLine="0" w:firstLineChars="0"/>
              <w:jc w:val="center"/>
              <w:rPr>
                <w:bCs/>
                <w:color w:val="auto"/>
                <w:sz w:val="21"/>
                <w:szCs w:val="21"/>
                <w:highlight w:val="none"/>
                <w:u w:val="single"/>
              </w:rPr>
            </w:pPr>
          </w:p>
        </w:tc>
        <w:tc>
          <w:tcPr>
            <w:tcW w:w="629" w:type="pct"/>
            <w:vMerge w:val="continue"/>
            <w:tcBorders>
              <w:tl2br w:val="nil"/>
              <w:tr2bl w:val="nil"/>
            </w:tcBorders>
            <w:vAlign w:val="center"/>
          </w:tcPr>
          <w:p w14:paraId="3431FD2B">
            <w:pPr>
              <w:spacing w:line="240" w:lineRule="auto"/>
              <w:ind w:left="-72" w:leftChars="-30" w:right="-72" w:rightChars="-30" w:firstLine="0" w:firstLineChars="0"/>
              <w:jc w:val="center"/>
              <w:rPr>
                <w:bCs/>
                <w:color w:val="auto"/>
                <w:sz w:val="21"/>
                <w:szCs w:val="21"/>
                <w:highlight w:val="none"/>
                <w:u w:val="single"/>
              </w:rPr>
            </w:pPr>
          </w:p>
        </w:tc>
        <w:tc>
          <w:tcPr>
            <w:tcW w:w="654" w:type="pct"/>
            <w:tcBorders>
              <w:tl2br w:val="nil"/>
              <w:tr2bl w:val="nil"/>
            </w:tcBorders>
            <w:vAlign w:val="center"/>
          </w:tcPr>
          <w:p w14:paraId="7CCA2492">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4</w:t>
            </w:r>
            <w:r>
              <w:rPr>
                <w:color w:val="auto"/>
                <w:sz w:val="21"/>
                <w:szCs w:val="21"/>
                <w:highlight w:val="none"/>
                <w:u w:val="single"/>
                <w:vertAlign w:val="superscript"/>
              </w:rPr>
              <w:t>#</w:t>
            </w:r>
            <w:r>
              <w:rPr>
                <w:color w:val="auto"/>
                <w:sz w:val="21"/>
                <w:szCs w:val="21"/>
                <w:highlight w:val="none"/>
                <w:u w:val="single"/>
              </w:rPr>
              <w:t>下风向</w:t>
            </w:r>
          </w:p>
        </w:tc>
        <w:tc>
          <w:tcPr>
            <w:tcW w:w="565" w:type="pct"/>
            <w:tcBorders>
              <w:tl2br w:val="nil"/>
              <w:tr2bl w:val="nil"/>
            </w:tcBorders>
            <w:vAlign w:val="center"/>
          </w:tcPr>
          <w:p w14:paraId="71E9FFF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581" w:type="pct"/>
            <w:tcBorders>
              <w:tl2br w:val="nil"/>
              <w:tr2bl w:val="nil"/>
            </w:tcBorders>
            <w:vAlign w:val="center"/>
          </w:tcPr>
          <w:p w14:paraId="390D2ADA">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638" w:type="pct"/>
            <w:tcBorders>
              <w:tl2br w:val="nil"/>
              <w:tr2bl w:val="nil"/>
            </w:tcBorders>
            <w:vAlign w:val="center"/>
          </w:tcPr>
          <w:p w14:paraId="4931C6BC">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540" w:type="pct"/>
            <w:vMerge w:val="continue"/>
            <w:tcBorders>
              <w:tl2br w:val="nil"/>
              <w:tr2bl w:val="nil"/>
            </w:tcBorders>
            <w:vAlign w:val="center"/>
          </w:tcPr>
          <w:p w14:paraId="15A1F676">
            <w:pPr>
              <w:spacing w:line="240" w:lineRule="auto"/>
              <w:ind w:left="-72" w:leftChars="-30" w:right="-72" w:rightChars="-30" w:firstLine="0" w:firstLineChars="0"/>
              <w:jc w:val="center"/>
              <w:rPr>
                <w:color w:val="auto"/>
                <w:sz w:val="21"/>
                <w:szCs w:val="21"/>
                <w:highlight w:val="none"/>
                <w:u w:val="single"/>
              </w:rPr>
            </w:pPr>
          </w:p>
        </w:tc>
        <w:tc>
          <w:tcPr>
            <w:tcW w:w="570" w:type="pct"/>
            <w:tcBorders>
              <w:tl2br w:val="nil"/>
              <w:tr2bl w:val="nil"/>
            </w:tcBorders>
            <w:vAlign w:val="center"/>
          </w:tcPr>
          <w:p w14:paraId="0178D062">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r w14:paraId="4E7E0D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0C290E93">
            <w:pPr>
              <w:spacing w:line="240" w:lineRule="auto"/>
              <w:ind w:left="-72" w:leftChars="-30" w:right="-72" w:rightChars="-30" w:firstLine="0" w:firstLineChars="0"/>
              <w:jc w:val="center"/>
              <w:rPr>
                <w:bCs/>
                <w:color w:val="auto"/>
                <w:sz w:val="21"/>
                <w:szCs w:val="21"/>
                <w:highlight w:val="none"/>
                <w:u w:val="single"/>
              </w:rPr>
            </w:pPr>
          </w:p>
        </w:tc>
        <w:tc>
          <w:tcPr>
            <w:tcW w:w="476" w:type="pct"/>
            <w:vMerge w:val="continue"/>
            <w:tcBorders>
              <w:tl2br w:val="nil"/>
              <w:tr2bl w:val="nil"/>
            </w:tcBorders>
            <w:vAlign w:val="center"/>
          </w:tcPr>
          <w:p w14:paraId="1E20D437">
            <w:pPr>
              <w:spacing w:line="240" w:lineRule="auto"/>
              <w:ind w:left="-72" w:leftChars="-30" w:right="-72" w:rightChars="-30" w:firstLine="0" w:firstLineChars="0"/>
              <w:jc w:val="center"/>
              <w:rPr>
                <w:bCs/>
                <w:color w:val="auto"/>
                <w:sz w:val="21"/>
                <w:szCs w:val="21"/>
                <w:highlight w:val="none"/>
                <w:u w:val="single"/>
              </w:rPr>
            </w:pPr>
          </w:p>
        </w:tc>
        <w:tc>
          <w:tcPr>
            <w:tcW w:w="629" w:type="pct"/>
            <w:vMerge w:val="restart"/>
            <w:tcBorders>
              <w:tl2br w:val="nil"/>
              <w:tr2bl w:val="nil"/>
            </w:tcBorders>
            <w:vAlign w:val="center"/>
          </w:tcPr>
          <w:p w14:paraId="6C7A03A7">
            <w:pPr>
              <w:spacing w:line="240" w:lineRule="auto"/>
              <w:ind w:left="-72" w:leftChars="-30" w:right="-72" w:rightChars="-30" w:firstLine="0" w:firstLineChars="0"/>
              <w:jc w:val="center"/>
              <w:rPr>
                <w:bCs/>
                <w:color w:val="auto"/>
                <w:sz w:val="21"/>
                <w:szCs w:val="21"/>
                <w:highlight w:val="none"/>
                <w:u w:val="single"/>
              </w:rPr>
            </w:pPr>
            <w:r>
              <w:rPr>
                <w:rFonts w:hint="eastAsia"/>
                <w:color w:val="auto"/>
                <w:sz w:val="21"/>
                <w:szCs w:val="21"/>
                <w:highlight w:val="none"/>
                <w:u w:val="single"/>
              </w:rPr>
              <w:t>2025年</w:t>
            </w:r>
            <w:r>
              <w:rPr>
                <w:color w:val="auto"/>
                <w:sz w:val="21"/>
                <w:szCs w:val="21"/>
                <w:highlight w:val="none"/>
                <w:u w:val="single"/>
              </w:rPr>
              <w:t>10月2</w:t>
            </w:r>
            <w:r>
              <w:rPr>
                <w:rFonts w:hint="eastAsia"/>
                <w:color w:val="auto"/>
                <w:sz w:val="21"/>
                <w:szCs w:val="21"/>
                <w:highlight w:val="none"/>
                <w:u w:val="single"/>
              </w:rPr>
              <w:t>3</w:t>
            </w:r>
            <w:r>
              <w:rPr>
                <w:color w:val="auto"/>
                <w:sz w:val="21"/>
                <w:szCs w:val="21"/>
                <w:highlight w:val="none"/>
                <w:u w:val="single"/>
              </w:rPr>
              <w:t>日</w:t>
            </w:r>
          </w:p>
        </w:tc>
        <w:tc>
          <w:tcPr>
            <w:tcW w:w="654" w:type="pct"/>
            <w:tcBorders>
              <w:tl2br w:val="nil"/>
              <w:tr2bl w:val="nil"/>
            </w:tcBorders>
            <w:vAlign w:val="center"/>
          </w:tcPr>
          <w:p w14:paraId="1FEB12AC">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1</w:t>
            </w:r>
            <w:r>
              <w:rPr>
                <w:color w:val="auto"/>
                <w:sz w:val="21"/>
                <w:szCs w:val="21"/>
                <w:highlight w:val="none"/>
                <w:u w:val="single"/>
                <w:vertAlign w:val="superscript"/>
              </w:rPr>
              <w:t>#</w:t>
            </w:r>
            <w:r>
              <w:rPr>
                <w:color w:val="auto"/>
                <w:sz w:val="21"/>
                <w:szCs w:val="21"/>
                <w:highlight w:val="none"/>
                <w:u w:val="single"/>
              </w:rPr>
              <w:t>上风向</w:t>
            </w:r>
          </w:p>
        </w:tc>
        <w:tc>
          <w:tcPr>
            <w:tcW w:w="565" w:type="pct"/>
            <w:tcBorders>
              <w:tl2br w:val="nil"/>
              <w:tr2bl w:val="nil"/>
            </w:tcBorders>
            <w:vAlign w:val="center"/>
          </w:tcPr>
          <w:p w14:paraId="1838090F">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581" w:type="pct"/>
            <w:tcBorders>
              <w:tl2br w:val="nil"/>
              <w:tr2bl w:val="nil"/>
            </w:tcBorders>
            <w:vAlign w:val="center"/>
          </w:tcPr>
          <w:p w14:paraId="38C03D3F">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638" w:type="pct"/>
            <w:tcBorders>
              <w:tl2br w:val="nil"/>
              <w:tr2bl w:val="nil"/>
            </w:tcBorders>
            <w:vAlign w:val="center"/>
          </w:tcPr>
          <w:p w14:paraId="41FA6796">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540" w:type="pct"/>
            <w:vMerge w:val="continue"/>
            <w:tcBorders>
              <w:tl2br w:val="nil"/>
              <w:tr2bl w:val="nil"/>
            </w:tcBorders>
            <w:vAlign w:val="center"/>
          </w:tcPr>
          <w:p w14:paraId="3E64CD32">
            <w:pPr>
              <w:spacing w:line="240" w:lineRule="auto"/>
              <w:ind w:left="-72" w:leftChars="-30" w:right="-72" w:rightChars="-30" w:firstLine="0" w:firstLineChars="0"/>
              <w:jc w:val="center"/>
              <w:rPr>
                <w:color w:val="auto"/>
                <w:sz w:val="21"/>
                <w:szCs w:val="21"/>
                <w:highlight w:val="none"/>
                <w:u w:val="single"/>
              </w:rPr>
            </w:pPr>
          </w:p>
        </w:tc>
        <w:tc>
          <w:tcPr>
            <w:tcW w:w="570" w:type="pct"/>
            <w:tcBorders>
              <w:tl2br w:val="nil"/>
              <w:tr2bl w:val="nil"/>
            </w:tcBorders>
            <w:vAlign w:val="center"/>
          </w:tcPr>
          <w:p w14:paraId="3C20B9A0">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r w14:paraId="1869B0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54D455C5">
            <w:pPr>
              <w:spacing w:line="240" w:lineRule="auto"/>
              <w:ind w:left="-72" w:leftChars="-30" w:right="-72" w:rightChars="-30" w:firstLine="0" w:firstLineChars="0"/>
              <w:jc w:val="center"/>
              <w:rPr>
                <w:color w:val="auto"/>
                <w:sz w:val="21"/>
                <w:szCs w:val="21"/>
                <w:highlight w:val="none"/>
                <w:u w:val="single"/>
              </w:rPr>
            </w:pPr>
          </w:p>
        </w:tc>
        <w:tc>
          <w:tcPr>
            <w:tcW w:w="476" w:type="pct"/>
            <w:vMerge w:val="continue"/>
            <w:tcBorders>
              <w:tl2br w:val="nil"/>
              <w:tr2bl w:val="nil"/>
            </w:tcBorders>
            <w:vAlign w:val="center"/>
          </w:tcPr>
          <w:p w14:paraId="70EB595B">
            <w:pPr>
              <w:spacing w:line="240" w:lineRule="auto"/>
              <w:ind w:left="-72" w:leftChars="-30" w:right="-72" w:rightChars="-30" w:firstLine="0" w:firstLineChars="0"/>
              <w:jc w:val="center"/>
              <w:rPr>
                <w:color w:val="auto"/>
                <w:sz w:val="21"/>
                <w:szCs w:val="21"/>
                <w:highlight w:val="none"/>
                <w:u w:val="single"/>
              </w:rPr>
            </w:pPr>
          </w:p>
        </w:tc>
        <w:tc>
          <w:tcPr>
            <w:tcW w:w="629" w:type="pct"/>
            <w:vMerge w:val="continue"/>
            <w:tcBorders>
              <w:tl2br w:val="nil"/>
              <w:tr2bl w:val="nil"/>
            </w:tcBorders>
            <w:vAlign w:val="center"/>
          </w:tcPr>
          <w:p w14:paraId="0FCFDC64">
            <w:pPr>
              <w:spacing w:line="240" w:lineRule="auto"/>
              <w:ind w:left="-72" w:leftChars="-30" w:right="-72" w:rightChars="-30" w:firstLine="0" w:firstLineChars="0"/>
              <w:jc w:val="center"/>
              <w:rPr>
                <w:color w:val="auto"/>
                <w:sz w:val="21"/>
                <w:szCs w:val="21"/>
                <w:highlight w:val="none"/>
                <w:u w:val="single"/>
              </w:rPr>
            </w:pPr>
          </w:p>
        </w:tc>
        <w:tc>
          <w:tcPr>
            <w:tcW w:w="654" w:type="pct"/>
            <w:tcBorders>
              <w:tl2br w:val="nil"/>
              <w:tr2bl w:val="nil"/>
            </w:tcBorders>
            <w:vAlign w:val="center"/>
          </w:tcPr>
          <w:p w14:paraId="3446A432">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2</w:t>
            </w:r>
            <w:r>
              <w:rPr>
                <w:color w:val="auto"/>
                <w:sz w:val="21"/>
                <w:szCs w:val="21"/>
                <w:highlight w:val="none"/>
                <w:u w:val="single"/>
                <w:vertAlign w:val="superscript"/>
              </w:rPr>
              <w:t>#</w:t>
            </w:r>
            <w:r>
              <w:rPr>
                <w:color w:val="auto"/>
                <w:sz w:val="21"/>
                <w:szCs w:val="21"/>
                <w:highlight w:val="none"/>
                <w:u w:val="single"/>
              </w:rPr>
              <w:t>下风向</w:t>
            </w:r>
          </w:p>
        </w:tc>
        <w:tc>
          <w:tcPr>
            <w:tcW w:w="565" w:type="pct"/>
            <w:tcBorders>
              <w:tl2br w:val="nil"/>
              <w:tr2bl w:val="nil"/>
            </w:tcBorders>
            <w:vAlign w:val="center"/>
          </w:tcPr>
          <w:p w14:paraId="1515F107">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581" w:type="pct"/>
            <w:tcBorders>
              <w:tl2br w:val="nil"/>
              <w:tr2bl w:val="nil"/>
            </w:tcBorders>
            <w:vAlign w:val="center"/>
          </w:tcPr>
          <w:p w14:paraId="05CC4B60">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638" w:type="pct"/>
            <w:tcBorders>
              <w:tl2br w:val="nil"/>
              <w:tr2bl w:val="nil"/>
            </w:tcBorders>
            <w:vAlign w:val="center"/>
          </w:tcPr>
          <w:p w14:paraId="09744D56">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540" w:type="pct"/>
            <w:vMerge w:val="continue"/>
            <w:tcBorders>
              <w:tl2br w:val="nil"/>
              <w:tr2bl w:val="nil"/>
            </w:tcBorders>
            <w:vAlign w:val="center"/>
          </w:tcPr>
          <w:p w14:paraId="4DC79D34">
            <w:pPr>
              <w:spacing w:line="240" w:lineRule="auto"/>
              <w:ind w:left="-72" w:leftChars="-30" w:right="-72" w:rightChars="-30" w:firstLine="0" w:firstLineChars="0"/>
              <w:jc w:val="center"/>
              <w:rPr>
                <w:color w:val="auto"/>
                <w:sz w:val="21"/>
                <w:szCs w:val="21"/>
                <w:highlight w:val="none"/>
                <w:u w:val="single"/>
              </w:rPr>
            </w:pPr>
          </w:p>
        </w:tc>
        <w:tc>
          <w:tcPr>
            <w:tcW w:w="570" w:type="pct"/>
            <w:tcBorders>
              <w:tl2br w:val="nil"/>
              <w:tr2bl w:val="nil"/>
            </w:tcBorders>
            <w:vAlign w:val="center"/>
          </w:tcPr>
          <w:p w14:paraId="7DE6C03C">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r w14:paraId="718422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43" w:type="pct"/>
            <w:vMerge w:val="continue"/>
            <w:tcBorders>
              <w:tl2br w:val="nil"/>
              <w:tr2bl w:val="nil"/>
            </w:tcBorders>
            <w:vAlign w:val="center"/>
          </w:tcPr>
          <w:p w14:paraId="29AB2EC5">
            <w:pPr>
              <w:spacing w:line="240" w:lineRule="auto"/>
              <w:ind w:left="-72" w:leftChars="-30" w:right="-72" w:rightChars="-30" w:firstLine="0" w:firstLineChars="0"/>
              <w:jc w:val="center"/>
              <w:rPr>
                <w:color w:val="auto"/>
                <w:sz w:val="21"/>
                <w:szCs w:val="21"/>
                <w:highlight w:val="none"/>
                <w:u w:val="single"/>
              </w:rPr>
            </w:pPr>
          </w:p>
        </w:tc>
        <w:tc>
          <w:tcPr>
            <w:tcW w:w="476" w:type="pct"/>
            <w:vMerge w:val="continue"/>
            <w:tcBorders>
              <w:tl2br w:val="nil"/>
              <w:tr2bl w:val="nil"/>
            </w:tcBorders>
            <w:vAlign w:val="center"/>
          </w:tcPr>
          <w:p w14:paraId="272DFA35">
            <w:pPr>
              <w:spacing w:line="240" w:lineRule="auto"/>
              <w:ind w:left="-72" w:leftChars="-30" w:right="-72" w:rightChars="-30" w:firstLine="0" w:firstLineChars="0"/>
              <w:jc w:val="center"/>
              <w:rPr>
                <w:color w:val="auto"/>
                <w:sz w:val="21"/>
                <w:szCs w:val="21"/>
                <w:highlight w:val="none"/>
                <w:u w:val="single"/>
              </w:rPr>
            </w:pPr>
          </w:p>
        </w:tc>
        <w:tc>
          <w:tcPr>
            <w:tcW w:w="629" w:type="pct"/>
            <w:vMerge w:val="continue"/>
            <w:tcBorders>
              <w:tl2br w:val="nil"/>
              <w:tr2bl w:val="nil"/>
            </w:tcBorders>
            <w:vAlign w:val="center"/>
          </w:tcPr>
          <w:p w14:paraId="29E49766">
            <w:pPr>
              <w:spacing w:line="240" w:lineRule="auto"/>
              <w:ind w:left="-72" w:leftChars="-30" w:right="-72" w:rightChars="-30" w:firstLine="0" w:firstLineChars="0"/>
              <w:jc w:val="center"/>
              <w:rPr>
                <w:color w:val="auto"/>
                <w:sz w:val="21"/>
                <w:szCs w:val="21"/>
                <w:highlight w:val="none"/>
                <w:u w:val="single"/>
              </w:rPr>
            </w:pPr>
          </w:p>
        </w:tc>
        <w:tc>
          <w:tcPr>
            <w:tcW w:w="654" w:type="pct"/>
            <w:tcBorders>
              <w:tl2br w:val="nil"/>
              <w:tr2bl w:val="nil"/>
            </w:tcBorders>
            <w:vAlign w:val="center"/>
          </w:tcPr>
          <w:p w14:paraId="4190FD38">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3</w:t>
            </w:r>
            <w:r>
              <w:rPr>
                <w:color w:val="auto"/>
                <w:sz w:val="21"/>
                <w:szCs w:val="21"/>
                <w:highlight w:val="none"/>
                <w:u w:val="single"/>
                <w:vertAlign w:val="superscript"/>
              </w:rPr>
              <w:t>#</w:t>
            </w:r>
            <w:r>
              <w:rPr>
                <w:color w:val="auto"/>
                <w:sz w:val="21"/>
                <w:szCs w:val="21"/>
                <w:highlight w:val="none"/>
                <w:u w:val="single"/>
              </w:rPr>
              <w:t>下风向</w:t>
            </w:r>
          </w:p>
        </w:tc>
        <w:tc>
          <w:tcPr>
            <w:tcW w:w="565" w:type="pct"/>
            <w:tcBorders>
              <w:tl2br w:val="nil"/>
              <w:tr2bl w:val="nil"/>
            </w:tcBorders>
            <w:vAlign w:val="center"/>
          </w:tcPr>
          <w:p w14:paraId="724F2D06">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581" w:type="pct"/>
            <w:tcBorders>
              <w:tl2br w:val="nil"/>
              <w:tr2bl w:val="nil"/>
            </w:tcBorders>
            <w:vAlign w:val="center"/>
          </w:tcPr>
          <w:p w14:paraId="627F3DA8">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638" w:type="pct"/>
            <w:tcBorders>
              <w:tl2br w:val="nil"/>
              <w:tr2bl w:val="nil"/>
            </w:tcBorders>
            <w:vAlign w:val="center"/>
          </w:tcPr>
          <w:p w14:paraId="466D473F">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540" w:type="pct"/>
            <w:vMerge w:val="continue"/>
            <w:tcBorders>
              <w:tl2br w:val="nil"/>
              <w:tr2bl w:val="nil"/>
            </w:tcBorders>
            <w:vAlign w:val="center"/>
          </w:tcPr>
          <w:p w14:paraId="69532755">
            <w:pPr>
              <w:spacing w:line="240" w:lineRule="auto"/>
              <w:ind w:left="-72" w:leftChars="-30" w:right="-72" w:rightChars="-30" w:firstLine="0" w:firstLineChars="0"/>
              <w:jc w:val="center"/>
              <w:rPr>
                <w:color w:val="auto"/>
                <w:sz w:val="21"/>
                <w:szCs w:val="21"/>
                <w:highlight w:val="none"/>
                <w:u w:val="single"/>
              </w:rPr>
            </w:pPr>
          </w:p>
        </w:tc>
        <w:tc>
          <w:tcPr>
            <w:tcW w:w="570" w:type="pct"/>
            <w:tcBorders>
              <w:tl2br w:val="nil"/>
              <w:tr2bl w:val="nil"/>
            </w:tcBorders>
            <w:vAlign w:val="center"/>
          </w:tcPr>
          <w:p w14:paraId="3618D3DA">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r w14:paraId="4A23EC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Borders>
              <w:tl2br w:val="nil"/>
              <w:tr2bl w:val="nil"/>
            </w:tcBorders>
            <w:vAlign w:val="center"/>
          </w:tcPr>
          <w:p w14:paraId="752197E1">
            <w:pPr>
              <w:spacing w:line="240" w:lineRule="auto"/>
              <w:ind w:left="-72" w:leftChars="-30" w:right="-72" w:rightChars="-30" w:firstLine="0" w:firstLineChars="0"/>
              <w:jc w:val="center"/>
              <w:rPr>
                <w:color w:val="auto"/>
                <w:sz w:val="21"/>
                <w:szCs w:val="21"/>
                <w:highlight w:val="none"/>
                <w:u w:val="single"/>
              </w:rPr>
            </w:pPr>
          </w:p>
        </w:tc>
        <w:tc>
          <w:tcPr>
            <w:tcW w:w="476" w:type="pct"/>
            <w:vMerge w:val="continue"/>
            <w:tcBorders>
              <w:tl2br w:val="nil"/>
              <w:tr2bl w:val="nil"/>
            </w:tcBorders>
            <w:vAlign w:val="center"/>
          </w:tcPr>
          <w:p w14:paraId="24CC9557">
            <w:pPr>
              <w:spacing w:line="240" w:lineRule="auto"/>
              <w:ind w:left="-72" w:leftChars="-30" w:right="-72" w:rightChars="-30" w:firstLine="0" w:firstLineChars="0"/>
              <w:jc w:val="center"/>
              <w:rPr>
                <w:color w:val="auto"/>
                <w:sz w:val="21"/>
                <w:szCs w:val="21"/>
                <w:highlight w:val="none"/>
                <w:u w:val="single"/>
              </w:rPr>
            </w:pPr>
          </w:p>
        </w:tc>
        <w:tc>
          <w:tcPr>
            <w:tcW w:w="629" w:type="pct"/>
            <w:vMerge w:val="continue"/>
            <w:tcBorders>
              <w:tl2br w:val="nil"/>
              <w:tr2bl w:val="nil"/>
            </w:tcBorders>
            <w:vAlign w:val="center"/>
          </w:tcPr>
          <w:p w14:paraId="5789F528">
            <w:pPr>
              <w:spacing w:line="240" w:lineRule="auto"/>
              <w:ind w:left="-72" w:leftChars="-30" w:right="-72" w:rightChars="-30" w:firstLine="0" w:firstLineChars="0"/>
              <w:jc w:val="center"/>
              <w:rPr>
                <w:color w:val="auto"/>
                <w:sz w:val="21"/>
                <w:szCs w:val="21"/>
                <w:highlight w:val="none"/>
                <w:u w:val="single"/>
              </w:rPr>
            </w:pPr>
          </w:p>
        </w:tc>
        <w:tc>
          <w:tcPr>
            <w:tcW w:w="654" w:type="pct"/>
            <w:tcBorders>
              <w:tl2br w:val="nil"/>
              <w:tr2bl w:val="nil"/>
            </w:tcBorders>
            <w:vAlign w:val="center"/>
          </w:tcPr>
          <w:p w14:paraId="628EF577">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4</w:t>
            </w:r>
            <w:r>
              <w:rPr>
                <w:color w:val="auto"/>
                <w:sz w:val="21"/>
                <w:szCs w:val="21"/>
                <w:highlight w:val="none"/>
                <w:u w:val="single"/>
                <w:vertAlign w:val="superscript"/>
              </w:rPr>
              <w:t>#</w:t>
            </w:r>
            <w:r>
              <w:rPr>
                <w:color w:val="auto"/>
                <w:sz w:val="21"/>
                <w:szCs w:val="21"/>
                <w:highlight w:val="none"/>
                <w:u w:val="single"/>
              </w:rPr>
              <w:t>下风向</w:t>
            </w:r>
          </w:p>
        </w:tc>
        <w:tc>
          <w:tcPr>
            <w:tcW w:w="565" w:type="pct"/>
            <w:tcBorders>
              <w:tl2br w:val="nil"/>
              <w:tr2bl w:val="nil"/>
            </w:tcBorders>
            <w:vAlign w:val="center"/>
          </w:tcPr>
          <w:p w14:paraId="216BD2B0">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581" w:type="pct"/>
            <w:tcBorders>
              <w:tl2br w:val="nil"/>
              <w:tr2bl w:val="nil"/>
            </w:tcBorders>
            <w:vAlign w:val="center"/>
          </w:tcPr>
          <w:p w14:paraId="407E7876">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638" w:type="pct"/>
            <w:tcBorders>
              <w:tl2br w:val="nil"/>
              <w:tr2bl w:val="nil"/>
            </w:tcBorders>
            <w:vAlign w:val="center"/>
          </w:tcPr>
          <w:p w14:paraId="4EE02E7E">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ND</w:t>
            </w:r>
          </w:p>
        </w:tc>
        <w:tc>
          <w:tcPr>
            <w:tcW w:w="540" w:type="pct"/>
            <w:vMerge w:val="continue"/>
            <w:tcBorders>
              <w:tl2br w:val="nil"/>
              <w:tr2bl w:val="nil"/>
            </w:tcBorders>
            <w:vAlign w:val="center"/>
          </w:tcPr>
          <w:p w14:paraId="096479A2">
            <w:pPr>
              <w:spacing w:line="240" w:lineRule="auto"/>
              <w:ind w:left="-72" w:leftChars="-30" w:right="-72" w:rightChars="-30" w:firstLine="0" w:firstLineChars="0"/>
              <w:jc w:val="center"/>
              <w:rPr>
                <w:color w:val="auto"/>
                <w:sz w:val="21"/>
                <w:szCs w:val="21"/>
                <w:highlight w:val="none"/>
                <w:u w:val="single"/>
              </w:rPr>
            </w:pPr>
          </w:p>
        </w:tc>
        <w:tc>
          <w:tcPr>
            <w:tcW w:w="570" w:type="pct"/>
            <w:tcBorders>
              <w:tl2br w:val="nil"/>
              <w:tr2bl w:val="nil"/>
            </w:tcBorders>
            <w:vAlign w:val="center"/>
          </w:tcPr>
          <w:p w14:paraId="6E9AF7DE">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r w14:paraId="0E5E7C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restart"/>
            <w:tcBorders>
              <w:tl2br w:val="nil"/>
              <w:tr2bl w:val="nil"/>
            </w:tcBorders>
            <w:vAlign w:val="center"/>
          </w:tcPr>
          <w:p w14:paraId="5F32A15C">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5</w:t>
            </w:r>
          </w:p>
        </w:tc>
        <w:tc>
          <w:tcPr>
            <w:tcW w:w="476" w:type="pct"/>
            <w:vMerge w:val="restart"/>
            <w:tcBorders>
              <w:tl2br w:val="nil"/>
              <w:tr2bl w:val="nil"/>
            </w:tcBorders>
            <w:vAlign w:val="center"/>
          </w:tcPr>
          <w:p w14:paraId="34653F5B">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臭气浓度</w:t>
            </w:r>
          </w:p>
        </w:tc>
        <w:tc>
          <w:tcPr>
            <w:tcW w:w="629" w:type="pct"/>
            <w:vMerge w:val="restart"/>
            <w:tcBorders>
              <w:tl2br w:val="nil"/>
              <w:tr2bl w:val="nil"/>
            </w:tcBorders>
            <w:vAlign w:val="center"/>
          </w:tcPr>
          <w:p w14:paraId="2B3C6658">
            <w:pPr>
              <w:spacing w:line="240" w:lineRule="auto"/>
              <w:ind w:left="-72" w:leftChars="-30" w:right="-72" w:rightChars="-30" w:firstLine="0" w:firstLineChars="0"/>
              <w:jc w:val="center"/>
              <w:rPr>
                <w:bCs/>
                <w:color w:val="auto"/>
                <w:sz w:val="21"/>
                <w:szCs w:val="21"/>
                <w:highlight w:val="none"/>
                <w:u w:val="single"/>
              </w:rPr>
            </w:pPr>
            <w:r>
              <w:rPr>
                <w:rFonts w:hint="eastAsia"/>
                <w:color w:val="auto"/>
                <w:sz w:val="21"/>
                <w:szCs w:val="21"/>
                <w:highlight w:val="none"/>
                <w:u w:val="single"/>
              </w:rPr>
              <w:t>2025年4</w:t>
            </w:r>
            <w:r>
              <w:rPr>
                <w:color w:val="auto"/>
                <w:sz w:val="21"/>
                <w:szCs w:val="21"/>
                <w:highlight w:val="none"/>
                <w:u w:val="single"/>
              </w:rPr>
              <w:t>月</w:t>
            </w:r>
            <w:r>
              <w:rPr>
                <w:rFonts w:hint="eastAsia"/>
                <w:color w:val="auto"/>
                <w:sz w:val="21"/>
                <w:szCs w:val="21"/>
                <w:highlight w:val="none"/>
                <w:u w:val="single"/>
              </w:rPr>
              <w:t>9</w:t>
            </w:r>
            <w:r>
              <w:rPr>
                <w:color w:val="auto"/>
                <w:sz w:val="21"/>
                <w:szCs w:val="21"/>
                <w:highlight w:val="none"/>
                <w:u w:val="single"/>
              </w:rPr>
              <w:t>日</w:t>
            </w:r>
          </w:p>
        </w:tc>
        <w:tc>
          <w:tcPr>
            <w:tcW w:w="654" w:type="pct"/>
            <w:tcBorders>
              <w:tl2br w:val="nil"/>
              <w:tr2bl w:val="nil"/>
            </w:tcBorders>
            <w:vAlign w:val="center"/>
          </w:tcPr>
          <w:p w14:paraId="472F011B">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1</w:t>
            </w:r>
            <w:r>
              <w:rPr>
                <w:color w:val="auto"/>
                <w:sz w:val="21"/>
                <w:szCs w:val="21"/>
                <w:highlight w:val="none"/>
                <w:u w:val="single"/>
                <w:vertAlign w:val="superscript"/>
              </w:rPr>
              <w:t>#</w:t>
            </w:r>
            <w:r>
              <w:rPr>
                <w:color w:val="auto"/>
                <w:sz w:val="21"/>
                <w:szCs w:val="21"/>
                <w:highlight w:val="none"/>
                <w:u w:val="single"/>
              </w:rPr>
              <w:t>上风向</w:t>
            </w:r>
          </w:p>
        </w:tc>
        <w:tc>
          <w:tcPr>
            <w:tcW w:w="565" w:type="pct"/>
            <w:tcBorders>
              <w:tl2br w:val="nil"/>
              <w:tr2bl w:val="nil"/>
            </w:tcBorders>
            <w:vAlign w:val="center"/>
          </w:tcPr>
          <w:p w14:paraId="714A390E">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＜10</w:t>
            </w:r>
          </w:p>
        </w:tc>
        <w:tc>
          <w:tcPr>
            <w:tcW w:w="581" w:type="pct"/>
            <w:tcBorders>
              <w:tl2br w:val="nil"/>
              <w:tr2bl w:val="nil"/>
            </w:tcBorders>
            <w:vAlign w:val="center"/>
          </w:tcPr>
          <w:p w14:paraId="477BBC88">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＜10</w:t>
            </w:r>
          </w:p>
        </w:tc>
        <w:tc>
          <w:tcPr>
            <w:tcW w:w="638" w:type="pct"/>
            <w:tcBorders>
              <w:tl2br w:val="nil"/>
              <w:tr2bl w:val="nil"/>
            </w:tcBorders>
            <w:vAlign w:val="center"/>
          </w:tcPr>
          <w:p w14:paraId="70FC7D5A">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＜10</w:t>
            </w:r>
          </w:p>
        </w:tc>
        <w:tc>
          <w:tcPr>
            <w:tcW w:w="540" w:type="pct"/>
            <w:vMerge w:val="restart"/>
            <w:tcBorders>
              <w:tl2br w:val="nil"/>
              <w:tr2bl w:val="nil"/>
            </w:tcBorders>
            <w:vAlign w:val="center"/>
          </w:tcPr>
          <w:p w14:paraId="2161DEA2">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20（无量纲）</w:t>
            </w:r>
          </w:p>
        </w:tc>
        <w:tc>
          <w:tcPr>
            <w:tcW w:w="570" w:type="pct"/>
            <w:tcBorders>
              <w:tl2br w:val="nil"/>
              <w:tr2bl w:val="nil"/>
            </w:tcBorders>
            <w:vAlign w:val="center"/>
          </w:tcPr>
          <w:p w14:paraId="42A6A6EC">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r w14:paraId="04CF75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Pr>
          <w:p w14:paraId="59E6D934">
            <w:pPr>
              <w:spacing w:line="240" w:lineRule="auto"/>
              <w:ind w:left="-72" w:leftChars="-30" w:right="-72" w:rightChars="-30" w:firstLine="0" w:firstLineChars="0"/>
              <w:jc w:val="center"/>
              <w:rPr>
                <w:color w:val="auto"/>
                <w:sz w:val="21"/>
                <w:szCs w:val="21"/>
                <w:highlight w:val="none"/>
                <w:u w:val="single"/>
              </w:rPr>
            </w:pPr>
          </w:p>
        </w:tc>
        <w:tc>
          <w:tcPr>
            <w:tcW w:w="476" w:type="pct"/>
            <w:vMerge w:val="continue"/>
          </w:tcPr>
          <w:p w14:paraId="08278F17">
            <w:pPr>
              <w:spacing w:line="240" w:lineRule="auto"/>
              <w:ind w:left="-72" w:leftChars="-30" w:right="-72" w:rightChars="-30" w:firstLine="0" w:firstLineChars="0"/>
              <w:jc w:val="center"/>
              <w:rPr>
                <w:color w:val="auto"/>
                <w:sz w:val="21"/>
                <w:szCs w:val="21"/>
                <w:highlight w:val="none"/>
                <w:u w:val="single"/>
              </w:rPr>
            </w:pPr>
          </w:p>
        </w:tc>
        <w:tc>
          <w:tcPr>
            <w:tcW w:w="629" w:type="pct"/>
            <w:vMerge w:val="continue"/>
          </w:tcPr>
          <w:p w14:paraId="70A907BF">
            <w:pPr>
              <w:spacing w:line="240" w:lineRule="auto"/>
              <w:ind w:left="-72" w:leftChars="-30" w:right="-72" w:rightChars="-30" w:firstLine="0" w:firstLineChars="0"/>
              <w:jc w:val="center"/>
              <w:rPr>
                <w:color w:val="auto"/>
                <w:sz w:val="21"/>
                <w:szCs w:val="21"/>
                <w:highlight w:val="none"/>
                <w:u w:val="single"/>
              </w:rPr>
            </w:pPr>
          </w:p>
        </w:tc>
        <w:tc>
          <w:tcPr>
            <w:tcW w:w="1215" w:type="dxa"/>
            <w:vAlign w:val="center"/>
          </w:tcPr>
          <w:p w14:paraId="1F9B128A">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2</w:t>
            </w:r>
            <w:r>
              <w:rPr>
                <w:color w:val="auto"/>
                <w:sz w:val="21"/>
                <w:szCs w:val="21"/>
                <w:highlight w:val="none"/>
                <w:u w:val="single"/>
                <w:vertAlign w:val="superscript"/>
              </w:rPr>
              <w:t>#</w:t>
            </w:r>
            <w:r>
              <w:rPr>
                <w:color w:val="auto"/>
                <w:sz w:val="21"/>
                <w:szCs w:val="21"/>
                <w:highlight w:val="none"/>
                <w:u w:val="single"/>
              </w:rPr>
              <w:t>下风向</w:t>
            </w:r>
          </w:p>
        </w:tc>
        <w:tc>
          <w:tcPr>
            <w:tcW w:w="1050" w:type="dxa"/>
            <w:vAlign w:val="center"/>
          </w:tcPr>
          <w:p w14:paraId="1B22FE31">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12</w:t>
            </w:r>
          </w:p>
        </w:tc>
        <w:tc>
          <w:tcPr>
            <w:tcW w:w="581" w:type="pct"/>
            <w:vAlign w:val="center"/>
          </w:tcPr>
          <w:p w14:paraId="287E7146">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13</w:t>
            </w:r>
          </w:p>
        </w:tc>
        <w:tc>
          <w:tcPr>
            <w:tcW w:w="638" w:type="pct"/>
            <w:vAlign w:val="center"/>
          </w:tcPr>
          <w:p w14:paraId="15CC4B3F">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14</w:t>
            </w:r>
          </w:p>
        </w:tc>
        <w:tc>
          <w:tcPr>
            <w:tcW w:w="540" w:type="pct"/>
            <w:vMerge w:val="continue"/>
          </w:tcPr>
          <w:p w14:paraId="596F67EF">
            <w:pPr>
              <w:spacing w:line="240" w:lineRule="auto"/>
              <w:ind w:left="-72" w:leftChars="-30" w:right="-72" w:rightChars="-30" w:firstLine="0" w:firstLineChars="0"/>
              <w:jc w:val="center"/>
              <w:rPr>
                <w:color w:val="auto"/>
                <w:sz w:val="21"/>
                <w:szCs w:val="21"/>
                <w:highlight w:val="none"/>
                <w:u w:val="single"/>
              </w:rPr>
            </w:pPr>
          </w:p>
        </w:tc>
        <w:tc>
          <w:tcPr>
            <w:tcW w:w="570" w:type="pct"/>
            <w:vAlign w:val="center"/>
          </w:tcPr>
          <w:p w14:paraId="21F31092">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r w14:paraId="68D830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Pr>
          <w:p w14:paraId="25D0F0CA">
            <w:pPr>
              <w:spacing w:line="240" w:lineRule="auto"/>
              <w:ind w:left="-72" w:leftChars="-30" w:right="-72" w:rightChars="-30" w:firstLine="0" w:firstLineChars="0"/>
              <w:jc w:val="center"/>
              <w:rPr>
                <w:color w:val="auto"/>
                <w:sz w:val="21"/>
                <w:szCs w:val="21"/>
                <w:highlight w:val="none"/>
                <w:u w:val="single"/>
              </w:rPr>
            </w:pPr>
          </w:p>
        </w:tc>
        <w:tc>
          <w:tcPr>
            <w:tcW w:w="476" w:type="pct"/>
            <w:vMerge w:val="continue"/>
          </w:tcPr>
          <w:p w14:paraId="5BB22A22">
            <w:pPr>
              <w:spacing w:line="240" w:lineRule="auto"/>
              <w:ind w:left="-72" w:leftChars="-30" w:right="-72" w:rightChars="-30" w:firstLine="0" w:firstLineChars="0"/>
              <w:jc w:val="center"/>
              <w:rPr>
                <w:color w:val="auto"/>
                <w:sz w:val="21"/>
                <w:szCs w:val="21"/>
                <w:highlight w:val="none"/>
                <w:u w:val="single"/>
              </w:rPr>
            </w:pPr>
          </w:p>
        </w:tc>
        <w:tc>
          <w:tcPr>
            <w:tcW w:w="629" w:type="pct"/>
            <w:vMerge w:val="continue"/>
          </w:tcPr>
          <w:p w14:paraId="5D072F65">
            <w:pPr>
              <w:spacing w:line="240" w:lineRule="auto"/>
              <w:ind w:left="-72" w:leftChars="-30" w:right="-72" w:rightChars="-30" w:firstLine="0" w:firstLineChars="0"/>
              <w:jc w:val="center"/>
              <w:rPr>
                <w:color w:val="auto"/>
                <w:sz w:val="21"/>
                <w:szCs w:val="21"/>
                <w:highlight w:val="none"/>
                <w:u w:val="single"/>
              </w:rPr>
            </w:pPr>
          </w:p>
        </w:tc>
        <w:tc>
          <w:tcPr>
            <w:tcW w:w="1215" w:type="dxa"/>
            <w:vAlign w:val="center"/>
          </w:tcPr>
          <w:p w14:paraId="77B215BF">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3</w:t>
            </w:r>
            <w:r>
              <w:rPr>
                <w:color w:val="auto"/>
                <w:sz w:val="21"/>
                <w:szCs w:val="21"/>
                <w:highlight w:val="none"/>
                <w:u w:val="single"/>
                <w:vertAlign w:val="superscript"/>
              </w:rPr>
              <w:t>#</w:t>
            </w:r>
            <w:r>
              <w:rPr>
                <w:color w:val="auto"/>
                <w:sz w:val="21"/>
                <w:szCs w:val="21"/>
                <w:highlight w:val="none"/>
                <w:u w:val="single"/>
              </w:rPr>
              <w:t>下风向</w:t>
            </w:r>
          </w:p>
        </w:tc>
        <w:tc>
          <w:tcPr>
            <w:tcW w:w="1050" w:type="dxa"/>
            <w:vAlign w:val="center"/>
          </w:tcPr>
          <w:p w14:paraId="05F93B59">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14</w:t>
            </w:r>
          </w:p>
        </w:tc>
        <w:tc>
          <w:tcPr>
            <w:tcW w:w="581" w:type="pct"/>
            <w:vAlign w:val="center"/>
          </w:tcPr>
          <w:p w14:paraId="45667BA8">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15</w:t>
            </w:r>
          </w:p>
        </w:tc>
        <w:tc>
          <w:tcPr>
            <w:tcW w:w="638" w:type="pct"/>
            <w:vAlign w:val="center"/>
          </w:tcPr>
          <w:p w14:paraId="07A2A9F6">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14</w:t>
            </w:r>
          </w:p>
        </w:tc>
        <w:tc>
          <w:tcPr>
            <w:tcW w:w="540" w:type="pct"/>
            <w:vMerge w:val="continue"/>
          </w:tcPr>
          <w:p w14:paraId="065EF240">
            <w:pPr>
              <w:spacing w:line="240" w:lineRule="auto"/>
              <w:ind w:left="-72" w:leftChars="-30" w:right="-72" w:rightChars="-30" w:firstLine="0" w:firstLineChars="0"/>
              <w:jc w:val="center"/>
              <w:rPr>
                <w:color w:val="auto"/>
                <w:sz w:val="21"/>
                <w:szCs w:val="21"/>
                <w:highlight w:val="none"/>
                <w:u w:val="single"/>
              </w:rPr>
            </w:pPr>
          </w:p>
        </w:tc>
        <w:tc>
          <w:tcPr>
            <w:tcW w:w="570" w:type="pct"/>
            <w:vAlign w:val="center"/>
          </w:tcPr>
          <w:p w14:paraId="0380375A">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r w14:paraId="79425E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Pr>
          <w:p w14:paraId="48D1BF16">
            <w:pPr>
              <w:spacing w:line="240" w:lineRule="auto"/>
              <w:ind w:left="-72" w:leftChars="-30" w:right="-72" w:rightChars="-30" w:firstLine="0" w:firstLineChars="0"/>
              <w:jc w:val="center"/>
              <w:rPr>
                <w:color w:val="auto"/>
                <w:sz w:val="21"/>
                <w:szCs w:val="21"/>
                <w:highlight w:val="none"/>
                <w:u w:val="single"/>
              </w:rPr>
            </w:pPr>
          </w:p>
        </w:tc>
        <w:tc>
          <w:tcPr>
            <w:tcW w:w="476" w:type="pct"/>
            <w:vMerge w:val="continue"/>
          </w:tcPr>
          <w:p w14:paraId="319C8A55">
            <w:pPr>
              <w:spacing w:line="240" w:lineRule="auto"/>
              <w:ind w:left="-72" w:leftChars="-30" w:right="-72" w:rightChars="-30" w:firstLine="0" w:firstLineChars="0"/>
              <w:jc w:val="center"/>
              <w:rPr>
                <w:color w:val="auto"/>
                <w:sz w:val="21"/>
                <w:szCs w:val="21"/>
                <w:highlight w:val="none"/>
                <w:u w:val="single"/>
              </w:rPr>
            </w:pPr>
          </w:p>
        </w:tc>
        <w:tc>
          <w:tcPr>
            <w:tcW w:w="629" w:type="pct"/>
            <w:vMerge w:val="continue"/>
          </w:tcPr>
          <w:p w14:paraId="5D73A276">
            <w:pPr>
              <w:spacing w:line="240" w:lineRule="auto"/>
              <w:ind w:left="-72" w:leftChars="-30" w:right="-72" w:rightChars="-30" w:firstLine="0" w:firstLineChars="0"/>
              <w:jc w:val="center"/>
              <w:rPr>
                <w:color w:val="auto"/>
                <w:sz w:val="21"/>
                <w:szCs w:val="21"/>
                <w:highlight w:val="none"/>
                <w:u w:val="single"/>
              </w:rPr>
            </w:pPr>
          </w:p>
        </w:tc>
        <w:tc>
          <w:tcPr>
            <w:tcW w:w="1215" w:type="dxa"/>
            <w:vAlign w:val="center"/>
          </w:tcPr>
          <w:p w14:paraId="382C82ED">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4</w:t>
            </w:r>
            <w:r>
              <w:rPr>
                <w:color w:val="auto"/>
                <w:sz w:val="21"/>
                <w:szCs w:val="21"/>
                <w:highlight w:val="none"/>
                <w:u w:val="single"/>
                <w:vertAlign w:val="superscript"/>
              </w:rPr>
              <w:t>#</w:t>
            </w:r>
            <w:r>
              <w:rPr>
                <w:color w:val="auto"/>
                <w:sz w:val="21"/>
                <w:szCs w:val="21"/>
                <w:highlight w:val="none"/>
                <w:u w:val="single"/>
              </w:rPr>
              <w:t>下风向</w:t>
            </w:r>
          </w:p>
        </w:tc>
        <w:tc>
          <w:tcPr>
            <w:tcW w:w="1050" w:type="dxa"/>
            <w:vAlign w:val="center"/>
          </w:tcPr>
          <w:p w14:paraId="1EA793D1">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14</w:t>
            </w:r>
          </w:p>
        </w:tc>
        <w:tc>
          <w:tcPr>
            <w:tcW w:w="581" w:type="pct"/>
            <w:vAlign w:val="center"/>
          </w:tcPr>
          <w:p w14:paraId="1DDE8AFA">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13</w:t>
            </w:r>
          </w:p>
        </w:tc>
        <w:tc>
          <w:tcPr>
            <w:tcW w:w="638" w:type="pct"/>
            <w:vAlign w:val="center"/>
          </w:tcPr>
          <w:p w14:paraId="7D864852">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12</w:t>
            </w:r>
          </w:p>
        </w:tc>
        <w:tc>
          <w:tcPr>
            <w:tcW w:w="540" w:type="pct"/>
            <w:vMerge w:val="continue"/>
          </w:tcPr>
          <w:p w14:paraId="23917823">
            <w:pPr>
              <w:spacing w:line="240" w:lineRule="auto"/>
              <w:ind w:left="-72" w:leftChars="-30" w:right="-72" w:rightChars="-30" w:firstLine="0" w:firstLineChars="0"/>
              <w:jc w:val="center"/>
              <w:rPr>
                <w:color w:val="auto"/>
                <w:sz w:val="21"/>
                <w:szCs w:val="21"/>
                <w:highlight w:val="none"/>
                <w:u w:val="single"/>
              </w:rPr>
            </w:pPr>
          </w:p>
        </w:tc>
        <w:tc>
          <w:tcPr>
            <w:tcW w:w="570" w:type="pct"/>
            <w:vAlign w:val="center"/>
          </w:tcPr>
          <w:p w14:paraId="1EBAA46B">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r w14:paraId="654D61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Pr>
          <w:p w14:paraId="02250015">
            <w:pPr>
              <w:spacing w:line="240" w:lineRule="auto"/>
              <w:ind w:left="-72" w:leftChars="-30" w:right="-72" w:rightChars="-30" w:firstLine="0" w:firstLineChars="0"/>
              <w:jc w:val="center"/>
              <w:rPr>
                <w:color w:val="auto"/>
                <w:sz w:val="21"/>
                <w:szCs w:val="21"/>
                <w:highlight w:val="none"/>
                <w:u w:val="single"/>
              </w:rPr>
            </w:pPr>
          </w:p>
        </w:tc>
        <w:tc>
          <w:tcPr>
            <w:tcW w:w="476" w:type="pct"/>
            <w:vMerge w:val="continue"/>
          </w:tcPr>
          <w:p w14:paraId="6080DD99">
            <w:pPr>
              <w:spacing w:line="240" w:lineRule="auto"/>
              <w:ind w:left="-72" w:leftChars="-30" w:right="-72" w:rightChars="-30" w:firstLine="0" w:firstLineChars="0"/>
              <w:jc w:val="center"/>
              <w:rPr>
                <w:color w:val="auto"/>
                <w:sz w:val="21"/>
                <w:szCs w:val="21"/>
                <w:highlight w:val="none"/>
                <w:u w:val="single"/>
              </w:rPr>
            </w:pPr>
          </w:p>
        </w:tc>
        <w:tc>
          <w:tcPr>
            <w:tcW w:w="629" w:type="pct"/>
            <w:vMerge w:val="restart"/>
            <w:vAlign w:val="center"/>
          </w:tcPr>
          <w:p w14:paraId="4AC22AB9">
            <w:pPr>
              <w:spacing w:line="240" w:lineRule="auto"/>
              <w:ind w:left="-72" w:leftChars="-30" w:right="-72" w:rightChars="-30" w:firstLine="0" w:firstLineChars="0"/>
              <w:jc w:val="center"/>
              <w:rPr>
                <w:bCs/>
                <w:color w:val="auto"/>
                <w:sz w:val="21"/>
                <w:szCs w:val="21"/>
                <w:highlight w:val="none"/>
                <w:u w:val="single"/>
              </w:rPr>
            </w:pPr>
            <w:r>
              <w:rPr>
                <w:rFonts w:hint="eastAsia"/>
                <w:color w:val="auto"/>
                <w:sz w:val="21"/>
                <w:szCs w:val="21"/>
                <w:highlight w:val="none"/>
                <w:u w:val="single"/>
              </w:rPr>
              <w:t>2025年</w:t>
            </w:r>
            <w:r>
              <w:rPr>
                <w:color w:val="auto"/>
                <w:sz w:val="21"/>
                <w:szCs w:val="21"/>
                <w:highlight w:val="none"/>
                <w:u w:val="single"/>
              </w:rPr>
              <w:t>10月2</w:t>
            </w:r>
            <w:r>
              <w:rPr>
                <w:rFonts w:hint="eastAsia"/>
                <w:color w:val="auto"/>
                <w:sz w:val="21"/>
                <w:szCs w:val="21"/>
                <w:highlight w:val="none"/>
                <w:u w:val="single"/>
              </w:rPr>
              <w:t>3</w:t>
            </w:r>
            <w:r>
              <w:rPr>
                <w:color w:val="auto"/>
                <w:sz w:val="21"/>
                <w:szCs w:val="21"/>
                <w:highlight w:val="none"/>
                <w:u w:val="single"/>
              </w:rPr>
              <w:t>日</w:t>
            </w:r>
          </w:p>
        </w:tc>
        <w:tc>
          <w:tcPr>
            <w:tcW w:w="1215" w:type="dxa"/>
            <w:vAlign w:val="center"/>
          </w:tcPr>
          <w:p w14:paraId="15EDDA85">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1</w:t>
            </w:r>
            <w:r>
              <w:rPr>
                <w:color w:val="auto"/>
                <w:sz w:val="21"/>
                <w:szCs w:val="21"/>
                <w:highlight w:val="none"/>
                <w:u w:val="single"/>
                <w:vertAlign w:val="superscript"/>
              </w:rPr>
              <w:t>#</w:t>
            </w:r>
            <w:r>
              <w:rPr>
                <w:color w:val="auto"/>
                <w:sz w:val="21"/>
                <w:szCs w:val="21"/>
                <w:highlight w:val="none"/>
                <w:u w:val="single"/>
              </w:rPr>
              <w:t>上风向</w:t>
            </w:r>
          </w:p>
        </w:tc>
        <w:tc>
          <w:tcPr>
            <w:tcW w:w="1050" w:type="dxa"/>
            <w:vAlign w:val="center"/>
          </w:tcPr>
          <w:p w14:paraId="60E4D597">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＜10</w:t>
            </w:r>
          </w:p>
        </w:tc>
        <w:tc>
          <w:tcPr>
            <w:tcW w:w="581" w:type="pct"/>
            <w:vAlign w:val="center"/>
          </w:tcPr>
          <w:p w14:paraId="45E2E150">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＜10</w:t>
            </w:r>
          </w:p>
        </w:tc>
        <w:tc>
          <w:tcPr>
            <w:tcW w:w="638" w:type="pct"/>
            <w:vAlign w:val="center"/>
          </w:tcPr>
          <w:p w14:paraId="2BEAA3A3">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＜10</w:t>
            </w:r>
          </w:p>
        </w:tc>
        <w:tc>
          <w:tcPr>
            <w:tcW w:w="540" w:type="pct"/>
            <w:vMerge w:val="continue"/>
          </w:tcPr>
          <w:p w14:paraId="63947B6E">
            <w:pPr>
              <w:spacing w:line="240" w:lineRule="auto"/>
              <w:ind w:left="-72" w:leftChars="-30" w:right="-72" w:rightChars="-30" w:firstLine="0" w:firstLineChars="0"/>
              <w:jc w:val="center"/>
              <w:rPr>
                <w:color w:val="auto"/>
                <w:sz w:val="21"/>
                <w:szCs w:val="21"/>
                <w:highlight w:val="none"/>
                <w:u w:val="single"/>
              </w:rPr>
            </w:pPr>
          </w:p>
        </w:tc>
        <w:tc>
          <w:tcPr>
            <w:tcW w:w="570" w:type="pct"/>
            <w:vAlign w:val="center"/>
          </w:tcPr>
          <w:p w14:paraId="52501549">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r w14:paraId="38D95F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Pr>
          <w:p w14:paraId="64A9AAC6">
            <w:pPr>
              <w:spacing w:line="240" w:lineRule="auto"/>
              <w:ind w:left="-72" w:leftChars="-30" w:right="-72" w:rightChars="-30" w:firstLine="0" w:firstLineChars="0"/>
              <w:jc w:val="center"/>
              <w:rPr>
                <w:color w:val="auto"/>
                <w:sz w:val="21"/>
                <w:szCs w:val="21"/>
                <w:highlight w:val="none"/>
                <w:u w:val="single"/>
              </w:rPr>
            </w:pPr>
          </w:p>
        </w:tc>
        <w:tc>
          <w:tcPr>
            <w:tcW w:w="476" w:type="pct"/>
            <w:vMerge w:val="continue"/>
          </w:tcPr>
          <w:p w14:paraId="5C096836">
            <w:pPr>
              <w:spacing w:line="240" w:lineRule="auto"/>
              <w:ind w:left="-72" w:leftChars="-30" w:right="-72" w:rightChars="-30" w:firstLine="0" w:firstLineChars="0"/>
              <w:jc w:val="center"/>
              <w:rPr>
                <w:color w:val="auto"/>
                <w:sz w:val="21"/>
                <w:szCs w:val="21"/>
                <w:highlight w:val="none"/>
                <w:u w:val="single"/>
              </w:rPr>
            </w:pPr>
          </w:p>
        </w:tc>
        <w:tc>
          <w:tcPr>
            <w:tcW w:w="629" w:type="pct"/>
            <w:vMerge w:val="continue"/>
          </w:tcPr>
          <w:p w14:paraId="6FEFCA3D">
            <w:pPr>
              <w:spacing w:line="240" w:lineRule="auto"/>
              <w:ind w:left="-72" w:leftChars="-30" w:right="-72" w:rightChars="-30" w:firstLine="0" w:firstLineChars="0"/>
              <w:jc w:val="center"/>
              <w:rPr>
                <w:color w:val="auto"/>
                <w:sz w:val="21"/>
                <w:szCs w:val="21"/>
                <w:highlight w:val="none"/>
                <w:u w:val="single"/>
              </w:rPr>
            </w:pPr>
          </w:p>
        </w:tc>
        <w:tc>
          <w:tcPr>
            <w:tcW w:w="1215" w:type="dxa"/>
            <w:vAlign w:val="center"/>
          </w:tcPr>
          <w:p w14:paraId="5D2E7235">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2</w:t>
            </w:r>
            <w:r>
              <w:rPr>
                <w:color w:val="auto"/>
                <w:sz w:val="21"/>
                <w:szCs w:val="21"/>
                <w:highlight w:val="none"/>
                <w:u w:val="single"/>
                <w:vertAlign w:val="superscript"/>
              </w:rPr>
              <w:t>#</w:t>
            </w:r>
            <w:r>
              <w:rPr>
                <w:color w:val="auto"/>
                <w:sz w:val="21"/>
                <w:szCs w:val="21"/>
                <w:highlight w:val="none"/>
                <w:u w:val="single"/>
              </w:rPr>
              <w:t>下风向</w:t>
            </w:r>
          </w:p>
        </w:tc>
        <w:tc>
          <w:tcPr>
            <w:tcW w:w="1050" w:type="dxa"/>
            <w:vAlign w:val="center"/>
          </w:tcPr>
          <w:p w14:paraId="59E03265">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13</w:t>
            </w:r>
          </w:p>
        </w:tc>
        <w:tc>
          <w:tcPr>
            <w:tcW w:w="581" w:type="pct"/>
            <w:vAlign w:val="center"/>
          </w:tcPr>
          <w:p w14:paraId="08FA300D">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11</w:t>
            </w:r>
          </w:p>
        </w:tc>
        <w:tc>
          <w:tcPr>
            <w:tcW w:w="638" w:type="pct"/>
            <w:vAlign w:val="center"/>
          </w:tcPr>
          <w:p w14:paraId="011210A8">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14</w:t>
            </w:r>
          </w:p>
        </w:tc>
        <w:tc>
          <w:tcPr>
            <w:tcW w:w="540" w:type="pct"/>
            <w:vMerge w:val="continue"/>
          </w:tcPr>
          <w:p w14:paraId="2D15BDC5">
            <w:pPr>
              <w:spacing w:line="240" w:lineRule="auto"/>
              <w:ind w:left="-72" w:leftChars="-30" w:right="-72" w:rightChars="-30" w:firstLine="0" w:firstLineChars="0"/>
              <w:jc w:val="center"/>
              <w:rPr>
                <w:color w:val="auto"/>
                <w:sz w:val="21"/>
                <w:szCs w:val="21"/>
                <w:highlight w:val="none"/>
                <w:u w:val="single"/>
              </w:rPr>
            </w:pPr>
          </w:p>
        </w:tc>
        <w:tc>
          <w:tcPr>
            <w:tcW w:w="570" w:type="pct"/>
            <w:vAlign w:val="center"/>
          </w:tcPr>
          <w:p w14:paraId="361E0603">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r w14:paraId="07E510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Pr>
          <w:p w14:paraId="0621EE25">
            <w:pPr>
              <w:spacing w:line="240" w:lineRule="auto"/>
              <w:ind w:left="-72" w:leftChars="-30" w:right="-72" w:rightChars="-30" w:firstLine="0" w:firstLineChars="0"/>
              <w:jc w:val="center"/>
              <w:rPr>
                <w:color w:val="auto"/>
                <w:sz w:val="21"/>
                <w:szCs w:val="21"/>
                <w:highlight w:val="none"/>
                <w:u w:val="single"/>
              </w:rPr>
            </w:pPr>
          </w:p>
        </w:tc>
        <w:tc>
          <w:tcPr>
            <w:tcW w:w="476" w:type="pct"/>
            <w:vMerge w:val="continue"/>
          </w:tcPr>
          <w:p w14:paraId="5EB9AD6C">
            <w:pPr>
              <w:spacing w:line="240" w:lineRule="auto"/>
              <w:ind w:left="-72" w:leftChars="-30" w:right="-72" w:rightChars="-30" w:firstLine="0" w:firstLineChars="0"/>
              <w:jc w:val="center"/>
              <w:rPr>
                <w:color w:val="auto"/>
                <w:sz w:val="21"/>
                <w:szCs w:val="21"/>
                <w:highlight w:val="none"/>
                <w:u w:val="single"/>
              </w:rPr>
            </w:pPr>
          </w:p>
        </w:tc>
        <w:tc>
          <w:tcPr>
            <w:tcW w:w="629" w:type="pct"/>
            <w:vMerge w:val="continue"/>
          </w:tcPr>
          <w:p w14:paraId="143EF9FB">
            <w:pPr>
              <w:spacing w:line="240" w:lineRule="auto"/>
              <w:ind w:left="-72" w:leftChars="-30" w:right="-72" w:rightChars="-30" w:firstLine="0" w:firstLineChars="0"/>
              <w:jc w:val="center"/>
              <w:rPr>
                <w:color w:val="auto"/>
                <w:sz w:val="21"/>
                <w:szCs w:val="21"/>
                <w:highlight w:val="none"/>
                <w:u w:val="single"/>
              </w:rPr>
            </w:pPr>
          </w:p>
        </w:tc>
        <w:tc>
          <w:tcPr>
            <w:tcW w:w="1215" w:type="dxa"/>
            <w:vAlign w:val="center"/>
          </w:tcPr>
          <w:p w14:paraId="4F08BB52">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3</w:t>
            </w:r>
            <w:r>
              <w:rPr>
                <w:color w:val="auto"/>
                <w:sz w:val="21"/>
                <w:szCs w:val="21"/>
                <w:highlight w:val="none"/>
                <w:u w:val="single"/>
                <w:vertAlign w:val="superscript"/>
              </w:rPr>
              <w:t>#</w:t>
            </w:r>
            <w:r>
              <w:rPr>
                <w:color w:val="auto"/>
                <w:sz w:val="21"/>
                <w:szCs w:val="21"/>
                <w:highlight w:val="none"/>
                <w:u w:val="single"/>
              </w:rPr>
              <w:t>下风向</w:t>
            </w:r>
          </w:p>
        </w:tc>
        <w:tc>
          <w:tcPr>
            <w:tcW w:w="1050" w:type="dxa"/>
            <w:vAlign w:val="center"/>
          </w:tcPr>
          <w:p w14:paraId="1D0707EA">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15</w:t>
            </w:r>
          </w:p>
        </w:tc>
        <w:tc>
          <w:tcPr>
            <w:tcW w:w="581" w:type="pct"/>
            <w:vAlign w:val="center"/>
          </w:tcPr>
          <w:p w14:paraId="31C76EA8">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13</w:t>
            </w:r>
          </w:p>
        </w:tc>
        <w:tc>
          <w:tcPr>
            <w:tcW w:w="638" w:type="pct"/>
            <w:vAlign w:val="center"/>
          </w:tcPr>
          <w:p w14:paraId="4AECE3EB">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12</w:t>
            </w:r>
          </w:p>
        </w:tc>
        <w:tc>
          <w:tcPr>
            <w:tcW w:w="540" w:type="pct"/>
            <w:vMerge w:val="continue"/>
          </w:tcPr>
          <w:p w14:paraId="7CF093BF">
            <w:pPr>
              <w:spacing w:line="240" w:lineRule="auto"/>
              <w:ind w:left="-72" w:leftChars="-30" w:right="-72" w:rightChars="-30" w:firstLine="0" w:firstLineChars="0"/>
              <w:jc w:val="center"/>
              <w:rPr>
                <w:color w:val="auto"/>
                <w:sz w:val="21"/>
                <w:szCs w:val="21"/>
                <w:highlight w:val="none"/>
                <w:u w:val="single"/>
              </w:rPr>
            </w:pPr>
          </w:p>
        </w:tc>
        <w:tc>
          <w:tcPr>
            <w:tcW w:w="570" w:type="pct"/>
            <w:vAlign w:val="center"/>
          </w:tcPr>
          <w:p w14:paraId="3460FD60">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r w14:paraId="202D67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343" w:type="pct"/>
            <w:vMerge w:val="continue"/>
          </w:tcPr>
          <w:p w14:paraId="79B453E1">
            <w:pPr>
              <w:spacing w:line="240" w:lineRule="auto"/>
              <w:ind w:left="-72" w:leftChars="-30" w:right="-72" w:rightChars="-30" w:firstLine="0" w:firstLineChars="0"/>
              <w:jc w:val="center"/>
              <w:rPr>
                <w:color w:val="auto"/>
                <w:sz w:val="21"/>
                <w:szCs w:val="21"/>
                <w:highlight w:val="none"/>
                <w:u w:val="single"/>
              </w:rPr>
            </w:pPr>
          </w:p>
        </w:tc>
        <w:tc>
          <w:tcPr>
            <w:tcW w:w="476" w:type="pct"/>
            <w:vMerge w:val="continue"/>
          </w:tcPr>
          <w:p w14:paraId="1602CB9D">
            <w:pPr>
              <w:spacing w:line="240" w:lineRule="auto"/>
              <w:ind w:left="-72" w:leftChars="-30" w:right="-72" w:rightChars="-30" w:firstLine="0" w:firstLineChars="0"/>
              <w:jc w:val="center"/>
              <w:rPr>
                <w:color w:val="auto"/>
                <w:sz w:val="21"/>
                <w:szCs w:val="21"/>
                <w:highlight w:val="none"/>
                <w:u w:val="single"/>
              </w:rPr>
            </w:pPr>
          </w:p>
        </w:tc>
        <w:tc>
          <w:tcPr>
            <w:tcW w:w="629" w:type="pct"/>
            <w:vMerge w:val="continue"/>
          </w:tcPr>
          <w:p w14:paraId="0449F6AB">
            <w:pPr>
              <w:spacing w:line="240" w:lineRule="auto"/>
              <w:ind w:left="-72" w:leftChars="-30" w:right="-72" w:rightChars="-30" w:firstLine="0" w:firstLineChars="0"/>
              <w:jc w:val="center"/>
              <w:rPr>
                <w:color w:val="auto"/>
                <w:sz w:val="21"/>
                <w:szCs w:val="21"/>
                <w:highlight w:val="none"/>
                <w:u w:val="single"/>
              </w:rPr>
            </w:pPr>
          </w:p>
        </w:tc>
        <w:tc>
          <w:tcPr>
            <w:tcW w:w="1215" w:type="dxa"/>
            <w:vAlign w:val="center"/>
          </w:tcPr>
          <w:p w14:paraId="2488AD2E">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4</w:t>
            </w:r>
            <w:r>
              <w:rPr>
                <w:color w:val="auto"/>
                <w:sz w:val="21"/>
                <w:szCs w:val="21"/>
                <w:highlight w:val="none"/>
                <w:u w:val="single"/>
                <w:vertAlign w:val="superscript"/>
              </w:rPr>
              <w:t>#</w:t>
            </w:r>
            <w:r>
              <w:rPr>
                <w:color w:val="auto"/>
                <w:sz w:val="21"/>
                <w:szCs w:val="21"/>
                <w:highlight w:val="none"/>
                <w:u w:val="single"/>
              </w:rPr>
              <w:t>下风向</w:t>
            </w:r>
          </w:p>
        </w:tc>
        <w:tc>
          <w:tcPr>
            <w:tcW w:w="1050" w:type="dxa"/>
            <w:vAlign w:val="center"/>
          </w:tcPr>
          <w:p w14:paraId="2A6873E3">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14</w:t>
            </w:r>
          </w:p>
        </w:tc>
        <w:tc>
          <w:tcPr>
            <w:tcW w:w="581" w:type="pct"/>
            <w:vAlign w:val="center"/>
          </w:tcPr>
          <w:p w14:paraId="04328B75">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13</w:t>
            </w:r>
          </w:p>
        </w:tc>
        <w:tc>
          <w:tcPr>
            <w:tcW w:w="638" w:type="pct"/>
            <w:vAlign w:val="center"/>
          </w:tcPr>
          <w:p w14:paraId="221CBFA1">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12</w:t>
            </w:r>
          </w:p>
        </w:tc>
        <w:tc>
          <w:tcPr>
            <w:tcW w:w="540" w:type="pct"/>
            <w:vMerge w:val="continue"/>
          </w:tcPr>
          <w:p w14:paraId="43F038D6">
            <w:pPr>
              <w:spacing w:line="240" w:lineRule="auto"/>
              <w:ind w:left="-72" w:leftChars="-30" w:right="-72" w:rightChars="-30" w:firstLine="0" w:firstLineChars="0"/>
              <w:jc w:val="center"/>
              <w:rPr>
                <w:color w:val="auto"/>
                <w:sz w:val="21"/>
                <w:szCs w:val="21"/>
                <w:highlight w:val="none"/>
                <w:u w:val="single"/>
              </w:rPr>
            </w:pPr>
          </w:p>
        </w:tc>
        <w:tc>
          <w:tcPr>
            <w:tcW w:w="570" w:type="pct"/>
            <w:vAlign w:val="center"/>
          </w:tcPr>
          <w:p w14:paraId="71C1502B">
            <w:pPr>
              <w:spacing w:line="240" w:lineRule="auto"/>
              <w:ind w:left="-72" w:leftChars="-30" w:right="-72" w:rightChars="-30" w:firstLine="0" w:firstLineChars="0"/>
              <w:jc w:val="center"/>
              <w:rPr>
                <w:bCs/>
                <w:color w:val="auto"/>
                <w:sz w:val="21"/>
                <w:szCs w:val="21"/>
                <w:highlight w:val="none"/>
                <w:u w:val="single"/>
              </w:rPr>
            </w:pPr>
            <w:r>
              <w:rPr>
                <w:bCs/>
                <w:color w:val="auto"/>
                <w:sz w:val="21"/>
                <w:szCs w:val="21"/>
                <w:highlight w:val="none"/>
                <w:u w:val="single"/>
              </w:rPr>
              <w:t>达标</w:t>
            </w:r>
          </w:p>
        </w:tc>
      </w:tr>
    </w:tbl>
    <w:p w14:paraId="08D81BA6">
      <w:pPr>
        <w:pStyle w:val="91"/>
        <w:ind w:left="0" w:leftChars="0" w:firstLine="0" w:firstLineChars="0"/>
        <w:rPr>
          <w:rFonts w:ascii="Times New Roman" w:hAnsi="Times New Roman" w:cs="Times New Roman"/>
          <w:b/>
          <w:bCs/>
          <w:color w:val="auto"/>
          <w:highlight w:val="none"/>
          <w:u w:val="single"/>
        </w:rPr>
      </w:pPr>
      <w:r>
        <w:rPr>
          <w:rFonts w:hint="eastAsia" w:ascii="Times New Roman" w:hAnsi="Times New Roman" w:cs="Times New Roman"/>
          <w:b/>
          <w:bCs/>
          <w:color w:val="auto"/>
          <w:highlight w:val="none"/>
          <w:u w:val="single"/>
        </w:rPr>
        <w:t>注：ND为未检出。</w:t>
      </w:r>
    </w:p>
    <w:p w14:paraId="65A95750">
      <w:pPr>
        <w:pStyle w:val="90"/>
        <w:ind w:firstLine="240"/>
        <w:rPr>
          <w:color w:val="auto"/>
          <w:highlight w:val="none"/>
          <w:u w:val="single"/>
        </w:rPr>
      </w:pPr>
    </w:p>
    <w:p w14:paraId="2C87981E">
      <w:pPr>
        <w:spacing w:before="120" w:beforeLines="50"/>
        <w:ind w:firstLine="480"/>
        <w:rPr>
          <w:bCs/>
          <w:color w:val="auto"/>
          <w:highlight w:val="none"/>
          <w:u w:val="single"/>
        </w:rPr>
      </w:pPr>
      <w:r>
        <w:rPr>
          <w:rFonts w:hint="eastAsia"/>
          <w:bCs/>
          <w:color w:val="auto"/>
          <w:highlight w:val="none"/>
          <w:u w:val="single"/>
          <w:lang w:eastAsia="zh-CN"/>
        </w:rPr>
        <w:t>监测</w:t>
      </w:r>
      <w:r>
        <w:rPr>
          <w:bCs/>
          <w:color w:val="auto"/>
          <w:highlight w:val="none"/>
          <w:u w:val="single"/>
        </w:rPr>
        <w:t>结果表明，项目周界外TSP无组织排放监控浓度符合《大气污染物综合排放标准》（GB16297-1996）中无组织排放浓度限值的要求；硫化氢、氨</w:t>
      </w:r>
      <w:r>
        <w:rPr>
          <w:rFonts w:hint="eastAsia"/>
          <w:bCs/>
          <w:color w:val="auto"/>
          <w:highlight w:val="none"/>
          <w:u w:val="single"/>
        </w:rPr>
        <w:t>及臭气浓度</w:t>
      </w:r>
      <w:r>
        <w:rPr>
          <w:bCs/>
          <w:color w:val="auto"/>
          <w:highlight w:val="none"/>
          <w:u w:val="single"/>
        </w:rPr>
        <w:t>无组织排放监控浓度小于《恶臭污染物排放标准》（GB14554-93）二级标准中无组织排放标准限值的要求；</w:t>
      </w:r>
      <w:r>
        <w:rPr>
          <w:rFonts w:hint="eastAsia"/>
          <w:bCs/>
          <w:color w:val="auto"/>
          <w:highlight w:val="none"/>
          <w:u w:val="single"/>
        </w:rPr>
        <w:t>挥发性有机物</w:t>
      </w:r>
      <w:r>
        <w:rPr>
          <w:bCs/>
          <w:color w:val="auto"/>
          <w:highlight w:val="none"/>
          <w:u w:val="single"/>
        </w:rPr>
        <w:t>无组织排放监控浓度符合《挥发性有机物无组织排放控制标准》（GB37822-2019）无组织排放限值的要求。</w:t>
      </w:r>
    </w:p>
    <w:p w14:paraId="68E37AA2">
      <w:pPr>
        <w:ind w:firstLine="482"/>
        <w:rPr>
          <w:b/>
          <w:color w:val="auto"/>
          <w:highlight w:val="none"/>
          <w:u w:val="single"/>
        </w:rPr>
      </w:pPr>
      <w:r>
        <w:rPr>
          <w:b/>
          <w:color w:val="auto"/>
          <w:highlight w:val="none"/>
          <w:u w:val="single"/>
        </w:rPr>
        <w:t>（2）水污染物</w:t>
      </w:r>
    </w:p>
    <w:p w14:paraId="79E47A7B">
      <w:pPr>
        <w:ind w:firstLine="480"/>
        <w:rPr>
          <w:color w:val="auto"/>
          <w:highlight w:val="none"/>
          <w:u w:val="single"/>
        </w:rPr>
      </w:pPr>
      <w:r>
        <w:rPr>
          <w:bCs/>
          <w:color w:val="auto"/>
          <w:highlight w:val="none"/>
          <w:u w:val="single"/>
        </w:rPr>
        <w:t>中船钦州修船资源整合项目废水主要包括含油废水、化学清洗酸碱废水、车间地面冲洗废水等</w:t>
      </w:r>
      <w:r>
        <w:rPr>
          <w:color w:val="auto"/>
          <w:highlight w:val="none"/>
          <w:u w:val="single"/>
        </w:rPr>
        <w:t>生产废水及职工的生活污水</w:t>
      </w:r>
      <w:r>
        <w:rPr>
          <w:rFonts w:hint="eastAsia"/>
          <w:color w:val="auto"/>
          <w:highlight w:val="none"/>
          <w:u w:val="single"/>
        </w:rPr>
        <w:t>、初期雨水</w:t>
      </w:r>
      <w:r>
        <w:rPr>
          <w:color w:val="auto"/>
          <w:highlight w:val="none"/>
          <w:u w:val="single"/>
        </w:rPr>
        <w:t>。根据2025年建设单位对废水收集池和</w:t>
      </w:r>
      <w:r>
        <w:rPr>
          <w:rFonts w:hint="eastAsia"/>
          <w:color w:val="auto"/>
          <w:highlight w:val="none"/>
          <w:u w:val="single"/>
        </w:rPr>
        <w:t>驳岸处</w:t>
      </w:r>
      <w:r>
        <w:rPr>
          <w:color w:val="auto"/>
          <w:highlight w:val="none"/>
          <w:u w:val="single"/>
        </w:rPr>
        <w:t>雨水总排口进行</w:t>
      </w:r>
      <w:r>
        <w:rPr>
          <w:rFonts w:hint="eastAsia"/>
          <w:color w:val="auto"/>
          <w:highlight w:val="none"/>
          <w:u w:val="single"/>
        </w:rPr>
        <w:t>自行</w:t>
      </w:r>
      <w:r>
        <w:rPr>
          <w:color w:val="auto"/>
          <w:highlight w:val="none"/>
          <w:u w:val="single"/>
        </w:rPr>
        <w:t>监测，监测结果见表2.1-1</w:t>
      </w:r>
      <w:r>
        <w:rPr>
          <w:rFonts w:hint="eastAsia"/>
          <w:color w:val="auto"/>
          <w:highlight w:val="none"/>
          <w:u w:val="single"/>
        </w:rPr>
        <w:t>3</w:t>
      </w:r>
      <w:r>
        <w:rPr>
          <w:color w:val="auto"/>
          <w:highlight w:val="none"/>
          <w:u w:val="single"/>
        </w:rPr>
        <w:t>、表2.1-1</w:t>
      </w:r>
      <w:r>
        <w:rPr>
          <w:rFonts w:hint="eastAsia"/>
          <w:color w:val="auto"/>
          <w:highlight w:val="none"/>
          <w:u w:val="single"/>
        </w:rPr>
        <w:t>4</w:t>
      </w:r>
      <w:r>
        <w:rPr>
          <w:color w:val="auto"/>
          <w:highlight w:val="none"/>
          <w:u w:val="single"/>
        </w:rPr>
        <w:t>。</w:t>
      </w:r>
    </w:p>
    <w:p w14:paraId="4D3BB486">
      <w:pPr>
        <w:ind w:firstLine="482"/>
        <w:jc w:val="center"/>
        <w:rPr>
          <w:b/>
          <w:color w:val="auto"/>
          <w:szCs w:val="21"/>
          <w:highlight w:val="none"/>
          <w:u w:val="single"/>
        </w:rPr>
        <w:sectPr>
          <w:headerReference r:id="rId30" w:type="default"/>
          <w:pgSz w:w="11906" w:h="16838"/>
          <w:pgMar w:top="1418" w:right="1418" w:bottom="1418" w:left="1418" w:header="851" w:footer="992" w:gutter="0"/>
          <w:cols w:space="720" w:num="1"/>
          <w:docGrid w:linePitch="326" w:charSpace="0"/>
        </w:sectPr>
      </w:pPr>
    </w:p>
    <w:p w14:paraId="06894BA1">
      <w:pPr>
        <w:pStyle w:val="38"/>
        <w:spacing w:after="0" w:line="240" w:lineRule="auto"/>
        <w:ind w:firstLine="0" w:firstLineChars="0"/>
        <w:jc w:val="right"/>
        <w:rPr>
          <w:b/>
          <w:color w:val="auto"/>
          <w:sz w:val="21"/>
          <w:szCs w:val="21"/>
          <w:highlight w:val="none"/>
          <w:u w:val="single"/>
        </w:rPr>
      </w:pPr>
      <w:r>
        <w:rPr>
          <w:b/>
          <w:color w:val="auto"/>
          <w:sz w:val="21"/>
          <w:szCs w:val="21"/>
          <w:highlight w:val="none"/>
          <w:u w:val="single"/>
        </w:rPr>
        <w:t>表2.1-1</w:t>
      </w:r>
      <w:r>
        <w:rPr>
          <w:rFonts w:hint="eastAsia"/>
          <w:b/>
          <w:color w:val="auto"/>
          <w:sz w:val="21"/>
          <w:szCs w:val="21"/>
          <w:highlight w:val="none"/>
          <w:u w:val="single"/>
        </w:rPr>
        <w:t>3</w:t>
      </w:r>
      <w:r>
        <w:rPr>
          <w:b/>
          <w:color w:val="auto"/>
          <w:sz w:val="21"/>
          <w:szCs w:val="21"/>
          <w:highlight w:val="none"/>
          <w:u w:val="single"/>
        </w:rPr>
        <w:t xml:space="preserve">  </w:t>
      </w:r>
      <w:r>
        <w:rPr>
          <w:rFonts w:hint="eastAsia"/>
          <w:b/>
          <w:color w:val="auto"/>
          <w:sz w:val="21"/>
          <w:szCs w:val="21"/>
          <w:highlight w:val="none"/>
          <w:u w:val="single"/>
        </w:rPr>
        <w:t>污水处理站废水（DW001）</w:t>
      </w:r>
      <w:r>
        <w:rPr>
          <w:b/>
          <w:color w:val="auto"/>
          <w:sz w:val="21"/>
          <w:szCs w:val="21"/>
          <w:highlight w:val="none"/>
          <w:u w:val="single"/>
        </w:rPr>
        <w:t>监测结果表</w:t>
      </w:r>
      <w:r>
        <w:rPr>
          <w:rFonts w:hint="eastAsia"/>
          <w:b/>
          <w:color w:val="auto"/>
          <w:sz w:val="21"/>
          <w:szCs w:val="21"/>
          <w:highlight w:val="none"/>
          <w:u w:val="single"/>
        </w:rPr>
        <w:t xml:space="preserve">                                单位mg/L</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9"/>
        <w:gridCol w:w="922"/>
        <w:gridCol w:w="922"/>
        <w:gridCol w:w="922"/>
        <w:gridCol w:w="922"/>
        <w:gridCol w:w="922"/>
        <w:gridCol w:w="922"/>
        <w:gridCol w:w="922"/>
        <w:gridCol w:w="921"/>
        <w:gridCol w:w="921"/>
        <w:gridCol w:w="1149"/>
        <w:gridCol w:w="1064"/>
        <w:gridCol w:w="1089"/>
        <w:gridCol w:w="719"/>
        <w:gridCol w:w="822"/>
      </w:tblGrid>
      <w:tr w14:paraId="19BCFA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379" w:type="pct"/>
            <w:vMerge w:val="restart"/>
            <w:tcBorders>
              <w:tl2br w:val="nil"/>
              <w:tr2bl w:val="nil"/>
            </w:tcBorders>
            <w:vAlign w:val="center"/>
          </w:tcPr>
          <w:p w14:paraId="5C2715E3">
            <w:pPr>
              <w:spacing w:line="240" w:lineRule="auto"/>
              <w:ind w:firstLine="0" w:firstLineChars="0"/>
              <w:jc w:val="center"/>
              <w:rPr>
                <w:b/>
                <w:bCs/>
                <w:color w:val="auto"/>
                <w:sz w:val="21"/>
                <w:szCs w:val="21"/>
                <w:highlight w:val="none"/>
                <w:u w:val="single"/>
              </w:rPr>
            </w:pPr>
            <w:r>
              <w:rPr>
                <w:rFonts w:hint="eastAsia"/>
                <w:b/>
                <w:bCs/>
                <w:color w:val="auto"/>
                <w:sz w:val="21"/>
                <w:szCs w:val="21"/>
                <w:highlight w:val="none"/>
                <w:u w:val="single"/>
              </w:rPr>
              <w:t>监测项目</w:t>
            </w:r>
          </w:p>
        </w:tc>
        <w:tc>
          <w:tcPr>
            <w:tcW w:w="4077" w:type="pct"/>
            <w:gridSpan w:val="12"/>
            <w:tcBorders>
              <w:tl2br w:val="nil"/>
              <w:tr2bl w:val="nil"/>
            </w:tcBorders>
            <w:vAlign w:val="center"/>
          </w:tcPr>
          <w:p w14:paraId="627F7A5B">
            <w:pPr>
              <w:spacing w:line="240" w:lineRule="auto"/>
              <w:ind w:firstLine="0" w:firstLineChars="0"/>
              <w:jc w:val="center"/>
              <w:rPr>
                <w:b/>
                <w:bCs/>
                <w:color w:val="auto"/>
                <w:sz w:val="21"/>
                <w:szCs w:val="21"/>
                <w:highlight w:val="none"/>
                <w:u w:val="single"/>
              </w:rPr>
            </w:pPr>
            <w:r>
              <w:rPr>
                <w:rFonts w:hint="eastAsia"/>
                <w:b/>
                <w:bCs/>
                <w:color w:val="auto"/>
                <w:sz w:val="21"/>
                <w:szCs w:val="21"/>
                <w:highlight w:val="none"/>
                <w:u w:val="single"/>
              </w:rPr>
              <w:t>监测结果</w:t>
            </w:r>
          </w:p>
        </w:tc>
        <w:tc>
          <w:tcPr>
            <w:tcW w:w="253" w:type="pct"/>
            <w:vMerge w:val="restart"/>
            <w:tcBorders>
              <w:tl2br w:val="nil"/>
              <w:tr2bl w:val="nil"/>
            </w:tcBorders>
            <w:vAlign w:val="center"/>
          </w:tcPr>
          <w:p w14:paraId="4F85ED8B">
            <w:pPr>
              <w:spacing w:line="240" w:lineRule="auto"/>
              <w:ind w:firstLine="0" w:firstLineChars="0"/>
              <w:jc w:val="center"/>
              <w:rPr>
                <w:b/>
                <w:color w:val="auto"/>
                <w:sz w:val="21"/>
                <w:szCs w:val="18"/>
                <w:highlight w:val="none"/>
                <w:u w:val="single"/>
              </w:rPr>
            </w:pPr>
            <w:r>
              <w:rPr>
                <w:b/>
                <w:color w:val="auto"/>
                <w:sz w:val="21"/>
                <w:szCs w:val="18"/>
                <w:highlight w:val="none"/>
                <w:u w:val="single"/>
              </w:rPr>
              <w:t>标准</w:t>
            </w:r>
            <w:r>
              <w:rPr>
                <w:rFonts w:hint="eastAsia"/>
                <w:b/>
                <w:color w:val="auto"/>
                <w:sz w:val="21"/>
                <w:szCs w:val="18"/>
                <w:highlight w:val="none"/>
                <w:u w:val="single"/>
              </w:rPr>
              <w:t>限值</w:t>
            </w:r>
          </w:p>
        </w:tc>
        <w:tc>
          <w:tcPr>
            <w:tcW w:w="289" w:type="pct"/>
            <w:vMerge w:val="restart"/>
            <w:tcBorders>
              <w:tl2br w:val="nil"/>
              <w:tr2bl w:val="nil"/>
            </w:tcBorders>
            <w:vAlign w:val="center"/>
          </w:tcPr>
          <w:p w14:paraId="5FF6CA55">
            <w:pPr>
              <w:spacing w:line="240" w:lineRule="auto"/>
              <w:ind w:firstLine="0" w:firstLineChars="0"/>
              <w:jc w:val="center"/>
              <w:rPr>
                <w:b/>
                <w:color w:val="auto"/>
                <w:sz w:val="21"/>
                <w:szCs w:val="18"/>
                <w:highlight w:val="none"/>
                <w:u w:val="single"/>
              </w:rPr>
            </w:pPr>
            <w:r>
              <w:rPr>
                <w:b/>
                <w:color w:val="auto"/>
                <w:sz w:val="21"/>
                <w:szCs w:val="18"/>
                <w:highlight w:val="none"/>
                <w:u w:val="single"/>
              </w:rPr>
              <w:t>结果评价</w:t>
            </w:r>
          </w:p>
        </w:tc>
      </w:tr>
      <w:tr w14:paraId="0BABF6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379" w:type="pct"/>
            <w:vMerge w:val="continue"/>
            <w:tcBorders>
              <w:tl2br w:val="nil"/>
              <w:tr2bl w:val="nil"/>
            </w:tcBorders>
            <w:vAlign w:val="center"/>
          </w:tcPr>
          <w:p w14:paraId="01EC1907">
            <w:pPr>
              <w:spacing w:line="240" w:lineRule="auto"/>
              <w:ind w:firstLine="0" w:firstLineChars="0"/>
              <w:jc w:val="center"/>
              <w:rPr>
                <w:color w:val="auto"/>
                <w:highlight w:val="none"/>
                <w:u w:val="single"/>
              </w:rPr>
            </w:pPr>
          </w:p>
        </w:tc>
        <w:tc>
          <w:tcPr>
            <w:tcW w:w="324" w:type="pct"/>
            <w:tcBorders>
              <w:tl2br w:val="nil"/>
              <w:tr2bl w:val="nil"/>
            </w:tcBorders>
            <w:vAlign w:val="center"/>
          </w:tcPr>
          <w:p w14:paraId="5988D864">
            <w:pPr>
              <w:spacing w:line="240" w:lineRule="auto"/>
              <w:ind w:left="-72" w:leftChars="-30" w:right="-72" w:rightChars="-30" w:firstLine="0" w:firstLineChars="0"/>
              <w:jc w:val="center"/>
              <w:rPr>
                <w:b/>
                <w:bCs/>
                <w:color w:val="auto"/>
                <w:sz w:val="21"/>
                <w:szCs w:val="21"/>
                <w:highlight w:val="none"/>
                <w:u w:val="single"/>
              </w:rPr>
            </w:pPr>
            <w:r>
              <w:rPr>
                <w:rFonts w:hint="eastAsia"/>
                <w:b/>
                <w:bCs/>
                <w:color w:val="auto"/>
                <w:sz w:val="21"/>
                <w:szCs w:val="21"/>
                <w:highlight w:val="none"/>
                <w:u w:val="single"/>
              </w:rPr>
              <w:t>2025.1.8</w:t>
            </w:r>
          </w:p>
        </w:tc>
        <w:tc>
          <w:tcPr>
            <w:tcW w:w="324" w:type="pct"/>
            <w:tcBorders>
              <w:tl2br w:val="nil"/>
              <w:tr2bl w:val="nil"/>
            </w:tcBorders>
            <w:vAlign w:val="center"/>
          </w:tcPr>
          <w:p w14:paraId="71E24CAB">
            <w:pPr>
              <w:spacing w:line="240" w:lineRule="auto"/>
              <w:ind w:left="-72" w:leftChars="-30" w:right="-72" w:rightChars="-30" w:firstLine="0" w:firstLineChars="0"/>
              <w:jc w:val="center"/>
              <w:rPr>
                <w:b/>
                <w:bCs/>
                <w:color w:val="auto"/>
                <w:sz w:val="21"/>
                <w:szCs w:val="21"/>
                <w:highlight w:val="none"/>
                <w:u w:val="single"/>
              </w:rPr>
            </w:pPr>
            <w:r>
              <w:rPr>
                <w:rFonts w:hint="eastAsia"/>
                <w:b/>
                <w:bCs/>
                <w:color w:val="auto"/>
                <w:sz w:val="21"/>
                <w:szCs w:val="21"/>
                <w:highlight w:val="none"/>
                <w:u w:val="single"/>
              </w:rPr>
              <w:t>2025.</w:t>
            </w:r>
            <w:r>
              <w:rPr>
                <w:b/>
                <w:bCs/>
                <w:color w:val="auto"/>
                <w:sz w:val="21"/>
                <w:szCs w:val="21"/>
                <w:highlight w:val="none"/>
                <w:u w:val="single"/>
              </w:rPr>
              <w:t>2</w:t>
            </w:r>
            <w:r>
              <w:rPr>
                <w:rFonts w:hint="eastAsia"/>
                <w:b/>
                <w:bCs/>
                <w:color w:val="auto"/>
                <w:sz w:val="21"/>
                <w:szCs w:val="21"/>
                <w:highlight w:val="none"/>
                <w:u w:val="single"/>
              </w:rPr>
              <w:t>.</w:t>
            </w:r>
            <w:r>
              <w:rPr>
                <w:b/>
                <w:bCs/>
                <w:color w:val="auto"/>
                <w:sz w:val="21"/>
                <w:szCs w:val="21"/>
                <w:highlight w:val="none"/>
                <w:u w:val="single"/>
              </w:rPr>
              <w:t>11</w:t>
            </w:r>
          </w:p>
        </w:tc>
        <w:tc>
          <w:tcPr>
            <w:tcW w:w="324" w:type="pct"/>
            <w:tcBorders>
              <w:tl2br w:val="nil"/>
              <w:tr2bl w:val="nil"/>
            </w:tcBorders>
            <w:vAlign w:val="center"/>
          </w:tcPr>
          <w:p w14:paraId="11A432E3">
            <w:pPr>
              <w:spacing w:line="240" w:lineRule="auto"/>
              <w:ind w:left="-72" w:leftChars="-30" w:right="-72" w:rightChars="-30" w:firstLine="0" w:firstLineChars="0"/>
              <w:jc w:val="center"/>
              <w:rPr>
                <w:b/>
                <w:bCs/>
                <w:color w:val="auto"/>
                <w:sz w:val="21"/>
                <w:szCs w:val="21"/>
                <w:highlight w:val="none"/>
                <w:u w:val="single"/>
              </w:rPr>
            </w:pPr>
            <w:r>
              <w:rPr>
                <w:rFonts w:hint="eastAsia"/>
                <w:b/>
                <w:bCs/>
                <w:color w:val="auto"/>
                <w:sz w:val="21"/>
                <w:szCs w:val="21"/>
                <w:highlight w:val="none"/>
                <w:u w:val="single"/>
              </w:rPr>
              <w:t>2025.</w:t>
            </w:r>
            <w:r>
              <w:rPr>
                <w:b/>
                <w:bCs/>
                <w:color w:val="auto"/>
                <w:sz w:val="21"/>
                <w:szCs w:val="21"/>
                <w:highlight w:val="none"/>
                <w:u w:val="single"/>
              </w:rPr>
              <w:t>3</w:t>
            </w:r>
            <w:r>
              <w:rPr>
                <w:rFonts w:hint="eastAsia"/>
                <w:b/>
                <w:bCs/>
                <w:color w:val="auto"/>
                <w:sz w:val="21"/>
                <w:szCs w:val="21"/>
                <w:highlight w:val="none"/>
                <w:u w:val="single"/>
              </w:rPr>
              <w:t>.</w:t>
            </w:r>
            <w:r>
              <w:rPr>
                <w:b/>
                <w:bCs/>
                <w:color w:val="auto"/>
                <w:sz w:val="21"/>
                <w:szCs w:val="21"/>
                <w:highlight w:val="none"/>
                <w:u w:val="single"/>
              </w:rPr>
              <w:t>5</w:t>
            </w:r>
          </w:p>
        </w:tc>
        <w:tc>
          <w:tcPr>
            <w:tcW w:w="324" w:type="pct"/>
            <w:tcBorders>
              <w:tl2br w:val="nil"/>
              <w:tr2bl w:val="nil"/>
            </w:tcBorders>
            <w:vAlign w:val="center"/>
          </w:tcPr>
          <w:p w14:paraId="6340DE31">
            <w:pPr>
              <w:spacing w:line="240" w:lineRule="auto"/>
              <w:ind w:left="-72" w:leftChars="-30" w:right="-72" w:rightChars="-30" w:firstLine="0" w:firstLineChars="0"/>
              <w:jc w:val="center"/>
              <w:rPr>
                <w:b/>
                <w:bCs/>
                <w:color w:val="auto"/>
                <w:sz w:val="21"/>
                <w:szCs w:val="21"/>
                <w:highlight w:val="none"/>
                <w:u w:val="single"/>
              </w:rPr>
            </w:pPr>
            <w:r>
              <w:rPr>
                <w:rFonts w:hint="eastAsia"/>
                <w:b/>
                <w:bCs/>
                <w:color w:val="auto"/>
                <w:sz w:val="21"/>
                <w:szCs w:val="21"/>
                <w:highlight w:val="none"/>
                <w:u w:val="single"/>
              </w:rPr>
              <w:t>2025.</w:t>
            </w:r>
            <w:r>
              <w:rPr>
                <w:b/>
                <w:bCs/>
                <w:color w:val="auto"/>
                <w:sz w:val="21"/>
                <w:szCs w:val="21"/>
                <w:highlight w:val="none"/>
                <w:u w:val="single"/>
              </w:rPr>
              <w:t>4</w:t>
            </w:r>
            <w:r>
              <w:rPr>
                <w:rFonts w:hint="eastAsia"/>
                <w:b/>
                <w:bCs/>
                <w:color w:val="auto"/>
                <w:sz w:val="21"/>
                <w:szCs w:val="21"/>
                <w:highlight w:val="none"/>
                <w:u w:val="single"/>
              </w:rPr>
              <w:t>.</w:t>
            </w:r>
            <w:r>
              <w:rPr>
                <w:b/>
                <w:bCs/>
                <w:color w:val="auto"/>
                <w:sz w:val="21"/>
                <w:szCs w:val="21"/>
                <w:highlight w:val="none"/>
                <w:u w:val="single"/>
              </w:rPr>
              <w:t>9</w:t>
            </w:r>
          </w:p>
        </w:tc>
        <w:tc>
          <w:tcPr>
            <w:tcW w:w="324" w:type="pct"/>
            <w:tcBorders>
              <w:tl2br w:val="nil"/>
              <w:tr2bl w:val="nil"/>
            </w:tcBorders>
            <w:vAlign w:val="center"/>
          </w:tcPr>
          <w:p w14:paraId="4A98F2B0">
            <w:pPr>
              <w:spacing w:line="240" w:lineRule="auto"/>
              <w:ind w:left="-72" w:leftChars="-30" w:right="-72" w:rightChars="-30" w:firstLine="0" w:firstLineChars="0"/>
              <w:jc w:val="center"/>
              <w:rPr>
                <w:b/>
                <w:bCs/>
                <w:color w:val="auto"/>
                <w:sz w:val="21"/>
                <w:szCs w:val="21"/>
                <w:highlight w:val="none"/>
                <w:u w:val="single"/>
              </w:rPr>
            </w:pPr>
            <w:r>
              <w:rPr>
                <w:rFonts w:hint="eastAsia"/>
                <w:b/>
                <w:bCs/>
                <w:color w:val="auto"/>
                <w:sz w:val="21"/>
                <w:szCs w:val="21"/>
                <w:highlight w:val="none"/>
                <w:u w:val="single"/>
              </w:rPr>
              <w:t>2025.</w:t>
            </w:r>
            <w:r>
              <w:rPr>
                <w:b/>
                <w:bCs/>
                <w:color w:val="auto"/>
                <w:sz w:val="21"/>
                <w:szCs w:val="21"/>
                <w:highlight w:val="none"/>
                <w:u w:val="single"/>
              </w:rPr>
              <w:t>5</w:t>
            </w:r>
            <w:r>
              <w:rPr>
                <w:rFonts w:hint="eastAsia"/>
                <w:b/>
                <w:bCs/>
                <w:color w:val="auto"/>
                <w:sz w:val="21"/>
                <w:szCs w:val="21"/>
                <w:highlight w:val="none"/>
                <w:u w:val="single"/>
              </w:rPr>
              <w:t>.</w:t>
            </w:r>
            <w:r>
              <w:rPr>
                <w:b/>
                <w:bCs/>
                <w:color w:val="auto"/>
                <w:sz w:val="21"/>
                <w:szCs w:val="21"/>
                <w:highlight w:val="none"/>
                <w:u w:val="single"/>
              </w:rPr>
              <w:t>21</w:t>
            </w:r>
          </w:p>
        </w:tc>
        <w:tc>
          <w:tcPr>
            <w:tcW w:w="324" w:type="pct"/>
            <w:tcBorders>
              <w:tl2br w:val="nil"/>
              <w:tr2bl w:val="nil"/>
            </w:tcBorders>
            <w:vAlign w:val="center"/>
          </w:tcPr>
          <w:p w14:paraId="68A33190">
            <w:pPr>
              <w:spacing w:line="240" w:lineRule="auto"/>
              <w:ind w:left="-72" w:leftChars="-30" w:right="-72" w:rightChars="-30" w:firstLine="0" w:firstLineChars="0"/>
              <w:jc w:val="center"/>
              <w:rPr>
                <w:b/>
                <w:bCs/>
                <w:color w:val="auto"/>
                <w:sz w:val="21"/>
                <w:szCs w:val="21"/>
                <w:highlight w:val="none"/>
                <w:u w:val="single"/>
              </w:rPr>
            </w:pPr>
            <w:r>
              <w:rPr>
                <w:rFonts w:hint="eastAsia"/>
                <w:b/>
                <w:bCs/>
                <w:color w:val="auto"/>
                <w:sz w:val="21"/>
                <w:szCs w:val="21"/>
                <w:highlight w:val="none"/>
                <w:u w:val="single"/>
              </w:rPr>
              <w:t>2025.</w:t>
            </w:r>
            <w:r>
              <w:rPr>
                <w:b/>
                <w:bCs/>
                <w:color w:val="auto"/>
                <w:sz w:val="21"/>
                <w:szCs w:val="21"/>
                <w:highlight w:val="none"/>
                <w:u w:val="single"/>
              </w:rPr>
              <w:t>6</w:t>
            </w:r>
            <w:r>
              <w:rPr>
                <w:rFonts w:hint="eastAsia"/>
                <w:b/>
                <w:bCs/>
                <w:color w:val="auto"/>
                <w:sz w:val="21"/>
                <w:szCs w:val="21"/>
                <w:highlight w:val="none"/>
                <w:u w:val="single"/>
              </w:rPr>
              <w:t>.</w:t>
            </w:r>
            <w:r>
              <w:rPr>
                <w:b/>
                <w:bCs/>
                <w:color w:val="auto"/>
                <w:sz w:val="21"/>
                <w:szCs w:val="21"/>
                <w:highlight w:val="none"/>
                <w:u w:val="single"/>
              </w:rPr>
              <w:t>12</w:t>
            </w:r>
          </w:p>
        </w:tc>
        <w:tc>
          <w:tcPr>
            <w:tcW w:w="324" w:type="pct"/>
            <w:tcBorders>
              <w:tl2br w:val="nil"/>
              <w:tr2bl w:val="nil"/>
            </w:tcBorders>
            <w:vAlign w:val="center"/>
          </w:tcPr>
          <w:p w14:paraId="57B1432B">
            <w:pPr>
              <w:spacing w:line="240" w:lineRule="auto"/>
              <w:ind w:left="-72" w:leftChars="-30" w:right="-72" w:rightChars="-30" w:firstLine="0" w:firstLineChars="0"/>
              <w:jc w:val="center"/>
              <w:rPr>
                <w:b/>
                <w:bCs/>
                <w:color w:val="auto"/>
                <w:sz w:val="21"/>
                <w:szCs w:val="21"/>
                <w:highlight w:val="none"/>
                <w:u w:val="single"/>
              </w:rPr>
            </w:pPr>
            <w:r>
              <w:rPr>
                <w:rFonts w:hint="eastAsia"/>
                <w:b/>
                <w:bCs/>
                <w:color w:val="auto"/>
                <w:sz w:val="21"/>
                <w:szCs w:val="21"/>
                <w:highlight w:val="none"/>
                <w:u w:val="single"/>
              </w:rPr>
              <w:t>2025.</w:t>
            </w:r>
            <w:r>
              <w:rPr>
                <w:b/>
                <w:bCs/>
                <w:color w:val="auto"/>
                <w:sz w:val="21"/>
                <w:szCs w:val="21"/>
                <w:highlight w:val="none"/>
                <w:u w:val="single"/>
              </w:rPr>
              <w:t>7</w:t>
            </w:r>
            <w:r>
              <w:rPr>
                <w:rFonts w:hint="eastAsia"/>
                <w:b/>
                <w:bCs/>
                <w:color w:val="auto"/>
                <w:sz w:val="21"/>
                <w:szCs w:val="21"/>
                <w:highlight w:val="none"/>
                <w:u w:val="single"/>
              </w:rPr>
              <w:t>.</w:t>
            </w:r>
            <w:r>
              <w:rPr>
                <w:b/>
                <w:bCs/>
                <w:color w:val="auto"/>
                <w:sz w:val="21"/>
                <w:szCs w:val="21"/>
                <w:highlight w:val="none"/>
                <w:u w:val="single"/>
              </w:rPr>
              <w:t>16</w:t>
            </w:r>
          </w:p>
        </w:tc>
        <w:tc>
          <w:tcPr>
            <w:tcW w:w="324" w:type="pct"/>
            <w:tcBorders>
              <w:tl2br w:val="nil"/>
              <w:tr2bl w:val="nil"/>
            </w:tcBorders>
            <w:vAlign w:val="center"/>
          </w:tcPr>
          <w:p w14:paraId="466AAB00">
            <w:pPr>
              <w:spacing w:line="240" w:lineRule="auto"/>
              <w:ind w:left="-72" w:leftChars="-30" w:right="-72" w:rightChars="-30" w:firstLine="0" w:firstLineChars="0"/>
              <w:jc w:val="center"/>
              <w:rPr>
                <w:b/>
                <w:bCs/>
                <w:color w:val="auto"/>
                <w:sz w:val="21"/>
                <w:szCs w:val="21"/>
                <w:highlight w:val="none"/>
                <w:u w:val="single"/>
              </w:rPr>
            </w:pPr>
            <w:r>
              <w:rPr>
                <w:rFonts w:hint="eastAsia"/>
                <w:b/>
                <w:bCs/>
                <w:color w:val="auto"/>
                <w:sz w:val="21"/>
                <w:szCs w:val="21"/>
                <w:highlight w:val="none"/>
                <w:u w:val="single"/>
              </w:rPr>
              <w:t>2025.</w:t>
            </w:r>
            <w:r>
              <w:rPr>
                <w:b/>
                <w:bCs/>
                <w:color w:val="auto"/>
                <w:sz w:val="21"/>
                <w:szCs w:val="21"/>
                <w:highlight w:val="none"/>
                <w:u w:val="single"/>
              </w:rPr>
              <w:t>8</w:t>
            </w:r>
            <w:r>
              <w:rPr>
                <w:rFonts w:hint="eastAsia"/>
                <w:b/>
                <w:bCs/>
                <w:color w:val="auto"/>
                <w:sz w:val="21"/>
                <w:szCs w:val="21"/>
                <w:highlight w:val="none"/>
                <w:u w:val="single"/>
              </w:rPr>
              <w:t>.</w:t>
            </w:r>
            <w:r>
              <w:rPr>
                <w:b/>
                <w:bCs/>
                <w:color w:val="auto"/>
                <w:sz w:val="21"/>
                <w:szCs w:val="21"/>
                <w:highlight w:val="none"/>
                <w:u w:val="single"/>
              </w:rPr>
              <w:t>9</w:t>
            </w:r>
          </w:p>
        </w:tc>
        <w:tc>
          <w:tcPr>
            <w:tcW w:w="324" w:type="pct"/>
            <w:tcBorders>
              <w:tl2br w:val="nil"/>
              <w:tr2bl w:val="nil"/>
            </w:tcBorders>
            <w:vAlign w:val="center"/>
          </w:tcPr>
          <w:p w14:paraId="052F0BCD">
            <w:pPr>
              <w:spacing w:line="240" w:lineRule="auto"/>
              <w:ind w:left="-72" w:leftChars="-30" w:right="-72" w:rightChars="-30" w:firstLine="0" w:firstLineChars="0"/>
              <w:jc w:val="center"/>
              <w:rPr>
                <w:b/>
                <w:bCs/>
                <w:color w:val="auto"/>
                <w:sz w:val="21"/>
                <w:szCs w:val="21"/>
                <w:highlight w:val="none"/>
                <w:u w:val="single"/>
              </w:rPr>
            </w:pPr>
            <w:r>
              <w:rPr>
                <w:rFonts w:hint="eastAsia"/>
                <w:b/>
                <w:bCs/>
                <w:color w:val="auto"/>
                <w:sz w:val="21"/>
                <w:szCs w:val="21"/>
                <w:highlight w:val="none"/>
                <w:u w:val="single"/>
              </w:rPr>
              <w:t>2025.</w:t>
            </w:r>
            <w:r>
              <w:rPr>
                <w:b/>
                <w:bCs/>
                <w:color w:val="auto"/>
                <w:sz w:val="21"/>
                <w:szCs w:val="21"/>
                <w:highlight w:val="none"/>
                <w:u w:val="single"/>
              </w:rPr>
              <w:t>9</w:t>
            </w:r>
            <w:r>
              <w:rPr>
                <w:rFonts w:hint="eastAsia"/>
                <w:b/>
                <w:bCs/>
                <w:color w:val="auto"/>
                <w:sz w:val="21"/>
                <w:szCs w:val="21"/>
                <w:highlight w:val="none"/>
                <w:u w:val="single"/>
              </w:rPr>
              <w:t>.</w:t>
            </w:r>
            <w:r>
              <w:rPr>
                <w:b/>
                <w:bCs/>
                <w:color w:val="auto"/>
                <w:sz w:val="21"/>
                <w:szCs w:val="21"/>
                <w:highlight w:val="none"/>
                <w:u w:val="single"/>
              </w:rPr>
              <w:t>8</w:t>
            </w:r>
          </w:p>
        </w:tc>
        <w:tc>
          <w:tcPr>
            <w:tcW w:w="404" w:type="pct"/>
            <w:tcBorders>
              <w:tl2br w:val="nil"/>
              <w:tr2bl w:val="nil"/>
            </w:tcBorders>
            <w:vAlign w:val="center"/>
          </w:tcPr>
          <w:p w14:paraId="78E4610E">
            <w:pPr>
              <w:spacing w:line="240" w:lineRule="auto"/>
              <w:ind w:left="-72" w:leftChars="-30" w:right="-72" w:rightChars="-30" w:firstLine="0" w:firstLineChars="0"/>
              <w:jc w:val="center"/>
              <w:rPr>
                <w:b/>
                <w:bCs/>
                <w:color w:val="auto"/>
                <w:sz w:val="21"/>
                <w:szCs w:val="21"/>
                <w:highlight w:val="none"/>
                <w:u w:val="single"/>
              </w:rPr>
            </w:pPr>
            <w:r>
              <w:rPr>
                <w:rFonts w:hint="eastAsia"/>
                <w:b/>
                <w:bCs/>
                <w:color w:val="auto"/>
                <w:sz w:val="21"/>
                <w:szCs w:val="21"/>
                <w:highlight w:val="none"/>
                <w:u w:val="single"/>
              </w:rPr>
              <w:t>2025.</w:t>
            </w:r>
            <w:r>
              <w:rPr>
                <w:b/>
                <w:bCs/>
                <w:color w:val="auto"/>
                <w:sz w:val="21"/>
                <w:szCs w:val="21"/>
                <w:highlight w:val="none"/>
                <w:u w:val="single"/>
              </w:rPr>
              <w:t>10</w:t>
            </w:r>
            <w:r>
              <w:rPr>
                <w:rFonts w:hint="eastAsia"/>
                <w:b/>
                <w:bCs/>
                <w:color w:val="auto"/>
                <w:sz w:val="21"/>
                <w:szCs w:val="21"/>
                <w:highlight w:val="none"/>
                <w:u w:val="single"/>
              </w:rPr>
              <w:t>.</w:t>
            </w:r>
            <w:r>
              <w:rPr>
                <w:b/>
                <w:bCs/>
                <w:color w:val="auto"/>
                <w:sz w:val="21"/>
                <w:szCs w:val="21"/>
                <w:highlight w:val="none"/>
                <w:u w:val="single"/>
              </w:rPr>
              <w:t>23</w:t>
            </w:r>
          </w:p>
        </w:tc>
        <w:tc>
          <w:tcPr>
            <w:tcW w:w="374" w:type="pct"/>
            <w:tcBorders>
              <w:tl2br w:val="nil"/>
              <w:tr2bl w:val="nil"/>
            </w:tcBorders>
            <w:vAlign w:val="center"/>
          </w:tcPr>
          <w:p w14:paraId="6C6C4F05">
            <w:pPr>
              <w:spacing w:line="240" w:lineRule="auto"/>
              <w:ind w:left="-72" w:leftChars="-30" w:right="-72" w:rightChars="-30" w:firstLine="0" w:firstLineChars="0"/>
              <w:jc w:val="center"/>
              <w:rPr>
                <w:b/>
                <w:bCs/>
                <w:color w:val="auto"/>
                <w:sz w:val="21"/>
                <w:szCs w:val="21"/>
                <w:highlight w:val="none"/>
                <w:u w:val="single"/>
              </w:rPr>
            </w:pPr>
            <w:r>
              <w:rPr>
                <w:rFonts w:hint="eastAsia"/>
                <w:b/>
                <w:bCs/>
                <w:color w:val="auto"/>
                <w:sz w:val="21"/>
                <w:szCs w:val="21"/>
                <w:highlight w:val="none"/>
                <w:u w:val="single"/>
              </w:rPr>
              <w:t>2025.</w:t>
            </w:r>
            <w:r>
              <w:rPr>
                <w:b/>
                <w:bCs/>
                <w:color w:val="auto"/>
                <w:sz w:val="21"/>
                <w:szCs w:val="21"/>
                <w:highlight w:val="none"/>
                <w:u w:val="single"/>
              </w:rPr>
              <w:t>11</w:t>
            </w:r>
            <w:r>
              <w:rPr>
                <w:rFonts w:hint="eastAsia"/>
                <w:b/>
                <w:bCs/>
                <w:color w:val="auto"/>
                <w:sz w:val="21"/>
                <w:szCs w:val="21"/>
                <w:highlight w:val="none"/>
                <w:u w:val="single"/>
              </w:rPr>
              <w:t>.</w:t>
            </w:r>
            <w:r>
              <w:rPr>
                <w:b/>
                <w:bCs/>
                <w:color w:val="auto"/>
                <w:sz w:val="21"/>
                <w:szCs w:val="21"/>
                <w:highlight w:val="none"/>
                <w:u w:val="single"/>
              </w:rPr>
              <w:t>11</w:t>
            </w:r>
          </w:p>
        </w:tc>
        <w:tc>
          <w:tcPr>
            <w:tcW w:w="374" w:type="pct"/>
            <w:tcBorders>
              <w:tl2br w:val="nil"/>
              <w:tr2bl w:val="nil"/>
            </w:tcBorders>
            <w:vAlign w:val="center"/>
          </w:tcPr>
          <w:p w14:paraId="12205341">
            <w:pPr>
              <w:spacing w:line="240" w:lineRule="auto"/>
              <w:ind w:left="-72" w:leftChars="-30" w:right="-72" w:rightChars="-30" w:firstLine="0" w:firstLineChars="0"/>
              <w:jc w:val="center"/>
              <w:rPr>
                <w:b/>
                <w:bCs/>
                <w:color w:val="auto"/>
                <w:sz w:val="21"/>
                <w:szCs w:val="21"/>
                <w:highlight w:val="none"/>
                <w:u w:val="single"/>
              </w:rPr>
            </w:pPr>
            <w:r>
              <w:rPr>
                <w:rFonts w:hint="eastAsia"/>
                <w:b/>
                <w:bCs/>
                <w:color w:val="auto"/>
                <w:sz w:val="21"/>
                <w:szCs w:val="21"/>
                <w:highlight w:val="none"/>
                <w:u w:val="single"/>
              </w:rPr>
              <w:t>2025.</w:t>
            </w:r>
            <w:r>
              <w:rPr>
                <w:b/>
                <w:bCs/>
                <w:color w:val="auto"/>
                <w:sz w:val="21"/>
                <w:szCs w:val="21"/>
                <w:highlight w:val="none"/>
                <w:u w:val="single"/>
              </w:rPr>
              <w:t>12</w:t>
            </w:r>
            <w:r>
              <w:rPr>
                <w:rFonts w:hint="eastAsia"/>
                <w:b/>
                <w:bCs/>
                <w:color w:val="auto"/>
                <w:sz w:val="21"/>
                <w:szCs w:val="21"/>
                <w:highlight w:val="none"/>
                <w:u w:val="single"/>
              </w:rPr>
              <w:t>.</w:t>
            </w:r>
            <w:r>
              <w:rPr>
                <w:b/>
                <w:bCs/>
                <w:color w:val="auto"/>
                <w:sz w:val="21"/>
                <w:szCs w:val="21"/>
                <w:highlight w:val="none"/>
                <w:u w:val="single"/>
              </w:rPr>
              <w:t>16</w:t>
            </w:r>
          </w:p>
        </w:tc>
        <w:tc>
          <w:tcPr>
            <w:tcW w:w="253" w:type="pct"/>
            <w:vMerge w:val="continue"/>
            <w:tcBorders>
              <w:tl2br w:val="nil"/>
              <w:tr2bl w:val="nil"/>
            </w:tcBorders>
            <w:vAlign w:val="center"/>
          </w:tcPr>
          <w:p w14:paraId="7D268F65">
            <w:pPr>
              <w:spacing w:line="240" w:lineRule="auto"/>
              <w:ind w:firstLine="0" w:firstLineChars="0"/>
              <w:jc w:val="center"/>
              <w:rPr>
                <w:b/>
                <w:bCs/>
                <w:color w:val="auto"/>
                <w:sz w:val="21"/>
                <w:szCs w:val="21"/>
                <w:highlight w:val="none"/>
                <w:u w:val="single"/>
              </w:rPr>
            </w:pPr>
          </w:p>
        </w:tc>
        <w:tc>
          <w:tcPr>
            <w:tcW w:w="289" w:type="pct"/>
            <w:vMerge w:val="continue"/>
            <w:tcBorders>
              <w:tl2br w:val="nil"/>
              <w:tr2bl w:val="nil"/>
            </w:tcBorders>
            <w:vAlign w:val="center"/>
          </w:tcPr>
          <w:p w14:paraId="4B580B07">
            <w:pPr>
              <w:spacing w:line="240" w:lineRule="auto"/>
              <w:ind w:firstLine="0" w:firstLineChars="0"/>
              <w:jc w:val="center"/>
              <w:rPr>
                <w:b/>
                <w:bCs/>
                <w:color w:val="auto"/>
                <w:sz w:val="21"/>
                <w:szCs w:val="21"/>
                <w:highlight w:val="none"/>
                <w:u w:val="single"/>
              </w:rPr>
            </w:pPr>
          </w:p>
        </w:tc>
      </w:tr>
      <w:tr w14:paraId="3888F0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79" w:type="pct"/>
            <w:tcBorders>
              <w:tl2br w:val="nil"/>
              <w:tr2bl w:val="nil"/>
            </w:tcBorders>
            <w:vAlign w:val="center"/>
          </w:tcPr>
          <w:p w14:paraId="5F269445">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pH值</w:t>
            </w:r>
          </w:p>
          <w:p w14:paraId="6612F773">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（无量纲）</w:t>
            </w:r>
          </w:p>
        </w:tc>
        <w:tc>
          <w:tcPr>
            <w:tcW w:w="924" w:type="dxa"/>
            <w:tcBorders>
              <w:tl2br w:val="nil"/>
              <w:tr2bl w:val="nil"/>
            </w:tcBorders>
            <w:vAlign w:val="center"/>
          </w:tcPr>
          <w:p w14:paraId="00ABF58F">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7.8</w:t>
            </w:r>
          </w:p>
        </w:tc>
        <w:tc>
          <w:tcPr>
            <w:tcW w:w="924" w:type="dxa"/>
            <w:tcBorders>
              <w:tl2br w:val="nil"/>
              <w:tr2bl w:val="nil"/>
            </w:tcBorders>
            <w:vAlign w:val="center"/>
          </w:tcPr>
          <w:p w14:paraId="5FF82F50">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7.3</w:t>
            </w:r>
          </w:p>
        </w:tc>
        <w:tc>
          <w:tcPr>
            <w:tcW w:w="924" w:type="dxa"/>
            <w:tcBorders>
              <w:tl2br w:val="nil"/>
              <w:tr2bl w:val="nil"/>
            </w:tcBorders>
            <w:vAlign w:val="center"/>
          </w:tcPr>
          <w:p w14:paraId="4F3BEB07">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7.3</w:t>
            </w:r>
          </w:p>
        </w:tc>
        <w:tc>
          <w:tcPr>
            <w:tcW w:w="924" w:type="dxa"/>
            <w:tcBorders>
              <w:tl2br w:val="nil"/>
              <w:tr2bl w:val="nil"/>
            </w:tcBorders>
            <w:vAlign w:val="center"/>
          </w:tcPr>
          <w:p w14:paraId="48B43E1D">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7.3</w:t>
            </w:r>
          </w:p>
        </w:tc>
        <w:tc>
          <w:tcPr>
            <w:tcW w:w="924" w:type="dxa"/>
            <w:tcBorders>
              <w:tl2br w:val="nil"/>
              <w:tr2bl w:val="nil"/>
            </w:tcBorders>
            <w:vAlign w:val="center"/>
          </w:tcPr>
          <w:p w14:paraId="45BFBED1">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7.4</w:t>
            </w:r>
          </w:p>
        </w:tc>
        <w:tc>
          <w:tcPr>
            <w:tcW w:w="924" w:type="dxa"/>
            <w:tcBorders>
              <w:tl2br w:val="nil"/>
              <w:tr2bl w:val="nil"/>
            </w:tcBorders>
            <w:vAlign w:val="center"/>
          </w:tcPr>
          <w:p w14:paraId="6808416C">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6.6</w:t>
            </w:r>
          </w:p>
        </w:tc>
        <w:tc>
          <w:tcPr>
            <w:tcW w:w="924" w:type="dxa"/>
            <w:tcBorders>
              <w:tl2br w:val="nil"/>
              <w:tr2bl w:val="nil"/>
            </w:tcBorders>
            <w:vAlign w:val="center"/>
          </w:tcPr>
          <w:p w14:paraId="1FC2C2D9">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7.5</w:t>
            </w:r>
          </w:p>
        </w:tc>
        <w:tc>
          <w:tcPr>
            <w:tcW w:w="924" w:type="dxa"/>
            <w:tcBorders>
              <w:tl2br w:val="nil"/>
              <w:tr2bl w:val="nil"/>
            </w:tcBorders>
            <w:vAlign w:val="center"/>
          </w:tcPr>
          <w:p w14:paraId="0DB9C6EB">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7.5</w:t>
            </w:r>
          </w:p>
        </w:tc>
        <w:tc>
          <w:tcPr>
            <w:tcW w:w="924" w:type="dxa"/>
            <w:tcBorders>
              <w:tl2br w:val="nil"/>
              <w:tr2bl w:val="nil"/>
            </w:tcBorders>
            <w:vAlign w:val="center"/>
          </w:tcPr>
          <w:p w14:paraId="2B10CECF">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 xml:space="preserve">7.2 </w:t>
            </w:r>
          </w:p>
        </w:tc>
        <w:tc>
          <w:tcPr>
            <w:tcW w:w="1149" w:type="dxa"/>
            <w:tcBorders>
              <w:tl2br w:val="nil"/>
              <w:tr2bl w:val="nil"/>
            </w:tcBorders>
            <w:vAlign w:val="bottom"/>
          </w:tcPr>
          <w:p w14:paraId="3EDA9FD5">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7.4</w:t>
            </w:r>
          </w:p>
        </w:tc>
        <w:tc>
          <w:tcPr>
            <w:tcW w:w="1065" w:type="dxa"/>
            <w:tcBorders>
              <w:tl2br w:val="nil"/>
              <w:tr2bl w:val="nil"/>
            </w:tcBorders>
            <w:vAlign w:val="center"/>
          </w:tcPr>
          <w:p w14:paraId="643296E7">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7.5</w:t>
            </w:r>
          </w:p>
        </w:tc>
        <w:tc>
          <w:tcPr>
            <w:tcW w:w="1065" w:type="dxa"/>
            <w:tcBorders>
              <w:tl2br w:val="nil"/>
              <w:tr2bl w:val="nil"/>
            </w:tcBorders>
            <w:vAlign w:val="center"/>
          </w:tcPr>
          <w:p w14:paraId="03D404AC">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7.8</w:t>
            </w:r>
          </w:p>
        </w:tc>
        <w:tc>
          <w:tcPr>
            <w:tcW w:w="253" w:type="pct"/>
            <w:tcBorders>
              <w:tl2br w:val="nil"/>
              <w:tr2bl w:val="nil"/>
            </w:tcBorders>
            <w:vAlign w:val="center"/>
          </w:tcPr>
          <w:p w14:paraId="77C3EB69">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6~9</w:t>
            </w:r>
          </w:p>
        </w:tc>
        <w:tc>
          <w:tcPr>
            <w:tcW w:w="289" w:type="pct"/>
            <w:tcBorders>
              <w:tl2br w:val="nil"/>
              <w:tr2bl w:val="nil"/>
            </w:tcBorders>
            <w:vAlign w:val="center"/>
          </w:tcPr>
          <w:p w14:paraId="322B0C70">
            <w:pPr>
              <w:spacing w:line="240" w:lineRule="auto"/>
              <w:ind w:firstLine="0" w:firstLineChars="0"/>
              <w:jc w:val="center"/>
              <w:rPr>
                <w:color w:val="auto"/>
                <w:sz w:val="21"/>
                <w:szCs w:val="21"/>
                <w:highlight w:val="none"/>
                <w:u w:val="single"/>
              </w:rPr>
            </w:pPr>
            <w:r>
              <w:rPr>
                <w:color w:val="auto"/>
                <w:sz w:val="21"/>
                <w:szCs w:val="21"/>
                <w:highlight w:val="none"/>
                <w:u w:val="single"/>
              </w:rPr>
              <w:t>达标</w:t>
            </w:r>
          </w:p>
        </w:tc>
      </w:tr>
      <w:tr w14:paraId="2BE059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79" w:type="pct"/>
            <w:tcBorders>
              <w:tl2br w:val="nil"/>
              <w:tr2bl w:val="nil"/>
            </w:tcBorders>
            <w:vAlign w:val="center"/>
          </w:tcPr>
          <w:p w14:paraId="78886A82">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化学需氧量</w:t>
            </w:r>
          </w:p>
        </w:tc>
        <w:tc>
          <w:tcPr>
            <w:tcW w:w="924" w:type="dxa"/>
            <w:tcBorders>
              <w:tl2br w:val="nil"/>
              <w:tr2bl w:val="nil"/>
            </w:tcBorders>
            <w:vAlign w:val="center"/>
          </w:tcPr>
          <w:p w14:paraId="246AF3FD">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307</w:t>
            </w:r>
          </w:p>
        </w:tc>
        <w:tc>
          <w:tcPr>
            <w:tcW w:w="924" w:type="dxa"/>
            <w:tcBorders>
              <w:tl2br w:val="nil"/>
              <w:tr2bl w:val="nil"/>
            </w:tcBorders>
            <w:vAlign w:val="center"/>
          </w:tcPr>
          <w:p w14:paraId="361F0701">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124</w:t>
            </w:r>
          </w:p>
        </w:tc>
        <w:tc>
          <w:tcPr>
            <w:tcW w:w="924" w:type="dxa"/>
            <w:tcBorders>
              <w:tl2br w:val="nil"/>
              <w:tr2bl w:val="nil"/>
            </w:tcBorders>
            <w:vAlign w:val="center"/>
          </w:tcPr>
          <w:p w14:paraId="5F5C7FE3">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176</w:t>
            </w:r>
          </w:p>
        </w:tc>
        <w:tc>
          <w:tcPr>
            <w:tcW w:w="924" w:type="dxa"/>
            <w:tcBorders>
              <w:tl2br w:val="nil"/>
              <w:tr2bl w:val="nil"/>
            </w:tcBorders>
            <w:vAlign w:val="center"/>
          </w:tcPr>
          <w:p w14:paraId="7AA30F16">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176</w:t>
            </w:r>
          </w:p>
        </w:tc>
        <w:tc>
          <w:tcPr>
            <w:tcW w:w="924" w:type="dxa"/>
            <w:tcBorders>
              <w:tl2br w:val="nil"/>
              <w:tr2bl w:val="nil"/>
            </w:tcBorders>
            <w:vAlign w:val="center"/>
          </w:tcPr>
          <w:p w14:paraId="5C86C736">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95</w:t>
            </w:r>
          </w:p>
        </w:tc>
        <w:tc>
          <w:tcPr>
            <w:tcW w:w="924" w:type="dxa"/>
            <w:tcBorders>
              <w:tl2br w:val="nil"/>
              <w:tr2bl w:val="nil"/>
            </w:tcBorders>
            <w:vAlign w:val="center"/>
          </w:tcPr>
          <w:p w14:paraId="39954526">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64.1</w:t>
            </w:r>
          </w:p>
        </w:tc>
        <w:tc>
          <w:tcPr>
            <w:tcW w:w="924" w:type="dxa"/>
            <w:tcBorders>
              <w:tl2br w:val="nil"/>
              <w:tr2bl w:val="nil"/>
            </w:tcBorders>
            <w:vAlign w:val="center"/>
          </w:tcPr>
          <w:p w14:paraId="2E8A972D">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74.2</w:t>
            </w:r>
          </w:p>
        </w:tc>
        <w:tc>
          <w:tcPr>
            <w:tcW w:w="924" w:type="dxa"/>
            <w:tcBorders>
              <w:tl2br w:val="nil"/>
              <w:tr2bl w:val="nil"/>
            </w:tcBorders>
            <w:vAlign w:val="center"/>
          </w:tcPr>
          <w:p w14:paraId="15D6610F">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84.5</w:t>
            </w:r>
          </w:p>
        </w:tc>
        <w:tc>
          <w:tcPr>
            <w:tcW w:w="924" w:type="dxa"/>
            <w:tcBorders>
              <w:tl2br w:val="nil"/>
              <w:tr2bl w:val="nil"/>
            </w:tcBorders>
            <w:vAlign w:val="center"/>
          </w:tcPr>
          <w:p w14:paraId="5C562968">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76.6</w:t>
            </w:r>
          </w:p>
        </w:tc>
        <w:tc>
          <w:tcPr>
            <w:tcW w:w="1149" w:type="dxa"/>
            <w:tcBorders>
              <w:tl2br w:val="nil"/>
              <w:tr2bl w:val="nil"/>
            </w:tcBorders>
            <w:vAlign w:val="bottom"/>
          </w:tcPr>
          <w:p w14:paraId="707F5405">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123</w:t>
            </w:r>
          </w:p>
        </w:tc>
        <w:tc>
          <w:tcPr>
            <w:tcW w:w="1065" w:type="dxa"/>
            <w:tcBorders>
              <w:tl2br w:val="nil"/>
              <w:tr2bl w:val="nil"/>
            </w:tcBorders>
            <w:vAlign w:val="center"/>
          </w:tcPr>
          <w:p w14:paraId="5FC72A77">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156</w:t>
            </w:r>
          </w:p>
        </w:tc>
        <w:tc>
          <w:tcPr>
            <w:tcW w:w="1065" w:type="dxa"/>
            <w:tcBorders>
              <w:tl2br w:val="nil"/>
              <w:tr2bl w:val="nil"/>
            </w:tcBorders>
            <w:vAlign w:val="center"/>
          </w:tcPr>
          <w:p w14:paraId="76B511BC">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83.5</w:t>
            </w:r>
          </w:p>
        </w:tc>
        <w:tc>
          <w:tcPr>
            <w:tcW w:w="253" w:type="pct"/>
            <w:tcBorders>
              <w:tl2br w:val="nil"/>
              <w:tr2bl w:val="nil"/>
            </w:tcBorders>
            <w:vAlign w:val="center"/>
          </w:tcPr>
          <w:p w14:paraId="1B7658D4">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500</w:t>
            </w:r>
          </w:p>
        </w:tc>
        <w:tc>
          <w:tcPr>
            <w:tcW w:w="289" w:type="pct"/>
            <w:tcBorders>
              <w:tl2br w:val="nil"/>
              <w:tr2bl w:val="nil"/>
            </w:tcBorders>
            <w:vAlign w:val="center"/>
          </w:tcPr>
          <w:p w14:paraId="263A767D">
            <w:pPr>
              <w:spacing w:line="240" w:lineRule="auto"/>
              <w:ind w:firstLine="0" w:firstLineChars="0"/>
              <w:jc w:val="center"/>
              <w:rPr>
                <w:color w:val="auto"/>
                <w:sz w:val="21"/>
                <w:szCs w:val="21"/>
                <w:highlight w:val="none"/>
                <w:u w:val="single"/>
              </w:rPr>
            </w:pPr>
            <w:r>
              <w:rPr>
                <w:color w:val="auto"/>
                <w:sz w:val="21"/>
                <w:szCs w:val="21"/>
                <w:highlight w:val="none"/>
                <w:u w:val="single"/>
              </w:rPr>
              <w:t>达标</w:t>
            </w:r>
          </w:p>
        </w:tc>
      </w:tr>
      <w:tr w14:paraId="05C6A9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79" w:type="pct"/>
            <w:tcBorders>
              <w:tl2br w:val="nil"/>
              <w:tr2bl w:val="nil"/>
            </w:tcBorders>
            <w:vAlign w:val="center"/>
          </w:tcPr>
          <w:p w14:paraId="58C6FD0E">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氨氮</w:t>
            </w:r>
          </w:p>
        </w:tc>
        <w:tc>
          <w:tcPr>
            <w:tcW w:w="924" w:type="dxa"/>
            <w:tcBorders>
              <w:tl2br w:val="nil"/>
              <w:tr2bl w:val="nil"/>
            </w:tcBorders>
            <w:vAlign w:val="center"/>
          </w:tcPr>
          <w:p w14:paraId="64E6EE48">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51.6</w:t>
            </w:r>
          </w:p>
        </w:tc>
        <w:tc>
          <w:tcPr>
            <w:tcW w:w="924" w:type="dxa"/>
            <w:tcBorders>
              <w:tl2br w:val="nil"/>
              <w:tr2bl w:val="nil"/>
            </w:tcBorders>
            <w:vAlign w:val="center"/>
          </w:tcPr>
          <w:p w14:paraId="0A502517">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72.1</w:t>
            </w:r>
          </w:p>
        </w:tc>
        <w:tc>
          <w:tcPr>
            <w:tcW w:w="924" w:type="dxa"/>
            <w:tcBorders>
              <w:tl2br w:val="nil"/>
              <w:tr2bl w:val="nil"/>
            </w:tcBorders>
            <w:vAlign w:val="center"/>
          </w:tcPr>
          <w:p w14:paraId="3FAB8A2B">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58.5</w:t>
            </w:r>
          </w:p>
        </w:tc>
        <w:tc>
          <w:tcPr>
            <w:tcW w:w="924" w:type="dxa"/>
            <w:tcBorders>
              <w:tl2br w:val="nil"/>
              <w:tr2bl w:val="nil"/>
            </w:tcBorders>
            <w:vAlign w:val="center"/>
          </w:tcPr>
          <w:p w14:paraId="32E070E8">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75</w:t>
            </w:r>
          </w:p>
        </w:tc>
        <w:tc>
          <w:tcPr>
            <w:tcW w:w="924" w:type="dxa"/>
            <w:tcBorders>
              <w:tl2br w:val="nil"/>
              <w:tr2bl w:val="nil"/>
            </w:tcBorders>
            <w:vAlign w:val="center"/>
          </w:tcPr>
          <w:p w14:paraId="67585397">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55.6</w:t>
            </w:r>
          </w:p>
        </w:tc>
        <w:tc>
          <w:tcPr>
            <w:tcW w:w="924" w:type="dxa"/>
            <w:tcBorders>
              <w:tl2br w:val="nil"/>
              <w:tr2bl w:val="nil"/>
            </w:tcBorders>
            <w:vAlign w:val="center"/>
          </w:tcPr>
          <w:p w14:paraId="428BA37E">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27.4</w:t>
            </w:r>
          </w:p>
        </w:tc>
        <w:tc>
          <w:tcPr>
            <w:tcW w:w="924" w:type="dxa"/>
            <w:tcBorders>
              <w:tl2br w:val="nil"/>
              <w:tr2bl w:val="nil"/>
            </w:tcBorders>
            <w:vAlign w:val="center"/>
          </w:tcPr>
          <w:p w14:paraId="020BF83C">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30.4</w:t>
            </w:r>
          </w:p>
        </w:tc>
        <w:tc>
          <w:tcPr>
            <w:tcW w:w="924" w:type="dxa"/>
            <w:tcBorders>
              <w:tl2br w:val="nil"/>
              <w:tr2bl w:val="nil"/>
            </w:tcBorders>
            <w:vAlign w:val="center"/>
          </w:tcPr>
          <w:p w14:paraId="203ED903">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55.4</w:t>
            </w:r>
          </w:p>
        </w:tc>
        <w:tc>
          <w:tcPr>
            <w:tcW w:w="924" w:type="dxa"/>
            <w:tcBorders>
              <w:tl2br w:val="nil"/>
              <w:tr2bl w:val="nil"/>
            </w:tcBorders>
            <w:vAlign w:val="center"/>
          </w:tcPr>
          <w:p w14:paraId="2617F8F3">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9.78</w:t>
            </w:r>
          </w:p>
        </w:tc>
        <w:tc>
          <w:tcPr>
            <w:tcW w:w="1149" w:type="dxa"/>
            <w:tcBorders>
              <w:tl2br w:val="nil"/>
              <w:tr2bl w:val="nil"/>
            </w:tcBorders>
            <w:vAlign w:val="bottom"/>
          </w:tcPr>
          <w:p w14:paraId="00B636E2">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65.4</w:t>
            </w:r>
          </w:p>
        </w:tc>
        <w:tc>
          <w:tcPr>
            <w:tcW w:w="1065" w:type="dxa"/>
            <w:tcBorders>
              <w:tl2br w:val="nil"/>
              <w:tr2bl w:val="nil"/>
            </w:tcBorders>
            <w:vAlign w:val="center"/>
          </w:tcPr>
          <w:p w14:paraId="69641CD8">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68.9</w:t>
            </w:r>
          </w:p>
        </w:tc>
        <w:tc>
          <w:tcPr>
            <w:tcW w:w="1065" w:type="dxa"/>
            <w:tcBorders>
              <w:tl2br w:val="nil"/>
              <w:tr2bl w:val="nil"/>
            </w:tcBorders>
            <w:vAlign w:val="center"/>
          </w:tcPr>
          <w:p w14:paraId="40B372C5">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75</w:t>
            </w:r>
          </w:p>
        </w:tc>
        <w:tc>
          <w:tcPr>
            <w:tcW w:w="253" w:type="pct"/>
            <w:tcBorders>
              <w:tl2br w:val="nil"/>
              <w:tr2bl w:val="nil"/>
            </w:tcBorders>
            <w:vAlign w:val="center"/>
          </w:tcPr>
          <w:p w14:paraId="3F46CEE0">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w:t>
            </w:r>
          </w:p>
        </w:tc>
        <w:tc>
          <w:tcPr>
            <w:tcW w:w="289" w:type="pct"/>
            <w:tcBorders>
              <w:tl2br w:val="nil"/>
              <w:tr2bl w:val="nil"/>
            </w:tcBorders>
            <w:vAlign w:val="center"/>
          </w:tcPr>
          <w:p w14:paraId="1A7B4304">
            <w:pPr>
              <w:spacing w:line="240" w:lineRule="auto"/>
              <w:ind w:firstLine="0" w:firstLineChars="0"/>
              <w:jc w:val="center"/>
              <w:rPr>
                <w:color w:val="auto"/>
                <w:sz w:val="21"/>
                <w:szCs w:val="21"/>
                <w:highlight w:val="none"/>
                <w:u w:val="single"/>
              </w:rPr>
            </w:pPr>
            <w:r>
              <w:rPr>
                <w:color w:val="auto"/>
                <w:sz w:val="21"/>
                <w:szCs w:val="21"/>
                <w:highlight w:val="none"/>
                <w:u w:val="single"/>
              </w:rPr>
              <w:t>达标</w:t>
            </w:r>
          </w:p>
        </w:tc>
      </w:tr>
      <w:tr w14:paraId="481DC0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79" w:type="pct"/>
            <w:tcBorders>
              <w:tl2br w:val="nil"/>
              <w:tr2bl w:val="nil"/>
            </w:tcBorders>
            <w:vAlign w:val="center"/>
          </w:tcPr>
          <w:p w14:paraId="3163496F">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总磷</w:t>
            </w:r>
          </w:p>
        </w:tc>
        <w:tc>
          <w:tcPr>
            <w:tcW w:w="924" w:type="dxa"/>
            <w:tcBorders>
              <w:tl2br w:val="nil"/>
              <w:tr2bl w:val="nil"/>
            </w:tcBorders>
            <w:vAlign w:val="center"/>
          </w:tcPr>
          <w:p w14:paraId="4904FE8A">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4.87</w:t>
            </w:r>
          </w:p>
        </w:tc>
        <w:tc>
          <w:tcPr>
            <w:tcW w:w="924" w:type="dxa"/>
            <w:tcBorders>
              <w:tl2br w:val="nil"/>
              <w:tr2bl w:val="nil"/>
            </w:tcBorders>
            <w:vAlign w:val="center"/>
          </w:tcPr>
          <w:p w14:paraId="5FA5DE74">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5.95</w:t>
            </w:r>
          </w:p>
        </w:tc>
        <w:tc>
          <w:tcPr>
            <w:tcW w:w="924" w:type="dxa"/>
            <w:tcBorders>
              <w:tl2br w:val="nil"/>
              <w:tr2bl w:val="nil"/>
            </w:tcBorders>
            <w:vAlign w:val="center"/>
          </w:tcPr>
          <w:p w14:paraId="7953FEAD">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5.87</w:t>
            </w:r>
          </w:p>
        </w:tc>
        <w:tc>
          <w:tcPr>
            <w:tcW w:w="924" w:type="dxa"/>
            <w:tcBorders>
              <w:tl2br w:val="nil"/>
              <w:tr2bl w:val="nil"/>
            </w:tcBorders>
            <w:vAlign w:val="center"/>
          </w:tcPr>
          <w:p w14:paraId="265E1A53">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0324B627">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326C9B09">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0B8469D6">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71DCFEBF">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4625D495">
            <w:pPr>
              <w:spacing w:line="240" w:lineRule="auto"/>
              <w:ind w:firstLine="0" w:firstLineChars="0"/>
              <w:jc w:val="center"/>
              <w:rPr>
                <w:color w:val="auto"/>
                <w:sz w:val="21"/>
                <w:szCs w:val="21"/>
                <w:highlight w:val="none"/>
                <w:u w:val="single"/>
              </w:rPr>
            </w:pPr>
          </w:p>
        </w:tc>
        <w:tc>
          <w:tcPr>
            <w:tcW w:w="1149" w:type="dxa"/>
            <w:tcBorders>
              <w:tl2br w:val="nil"/>
              <w:tr2bl w:val="nil"/>
            </w:tcBorders>
            <w:vAlign w:val="center"/>
          </w:tcPr>
          <w:p w14:paraId="345920E3">
            <w:pPr>
              <w:spacing w:line="240" w:lineRule="auto"/>
              <w:ind w:firstLine="0" w:firstLineChars="0"/>
              <w:jc w:val="center"/>
              <w:rPr>
                <w:color w:val="auto"/>
                <w:sz w:val="21"/>
                <w:szCs w:val="21"/>
                <w:highlight w:val="none"/>
                <w:u w:val="single"/>
              </w:rPr>
            </w:pPr>
          </w:p>
        </w:tc>
        <w:tc>
          <w:tcPr>
            <w:tcW w:w="1065" w:type="dxa"/>
            <w:tcBorders>
              <w:tl2br w:val="nil"/>
              <w:tr2bl w:val="nil"/>
            </w:tcBorders>
            <w:vAlign w:val="center"/>
          </w:tcPr>
          <w:p w14:paraId="5A4F6640">
            <w:pPr>
              <w:spacing w:line="240" w:lineRule="auto"/>
              <w:ind w:firstLine="0" w:firstLineChars="0"/>
              <w:jc w:val="center"/>
              <w:rPr>
                <w:color w:val="auto"/>
                <w:sz w:val="21"/>
                <w:szCs w:val="21"/>
                <w:highlight w:val="none"/>
                <w:u w:val="single"/>
              </w:rPr>
            </w:pPr>
          </w:p>
        </w:tc>
        <w:tc>
          <w:tcPr>
            <w:tcW w:w="1065" w:type="dxa"/>
            <w:tcBorders>
              <w:tl2br w:val="nil"/>
              <w:tr2bl w:val="nil"/>
            </w:tcBorders>
            <w:vAlign w:val="center"/>
          </w:tcPr>
          <w:p w14:paraId="33129186">
            <w:pPr>
              <w:spacing w:line="240" w:lineRule="auto"/>
              <w:ind w:firstLine="0" w:firstLineChars="0"/>
              <w:jc w:val="center"/>
              <w:rPr>
                <w:color w:val="auto"/>
                <w:sz w:val="21"/>
                <w:szCs w:val="21"/>
                <w:highlight w:val="none"/>
                <w:u w:val="single"/>
              </w:rPr>
            </w:pPr>
          </w:p>
        </w:tc>
        <w:tc>
          <w:tcPr>
            <w:tcW w:w="253" w:type="pct"/>
            <w:tcBorders>
              <w:tl2br w:val="nil"/>
              <w:tr2bl w:val="nil"/>
            </w:tcBorders>
            <w:vAlign w:val="center"/>
          </w:tcPr>
          <w:p w14:paraId="6A658736">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w:t>
            </w:r>
          </w:p>
        </w:tc>
        <w:tc>
          <w:tcPr>
            <w:tcW w:w="289" w:type="pct"/>
            <w:tcBorders>
              <w:tl2br w:val="nil"/>
              <w:tr2bl w:val="nil"/>
            </w:tcBorders>
            <w:vAlign w:val="center"/>
          </w:tcPr>
          <w:p w14:paraId="54011209">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r>
      <w:tr w14:paraId="7C32E0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79" w:type="pct"/>
            <w:tcBorders>
              <w:tl2br w:val="nil"/>
              <w:tr2bl w:val="nil"/>
            </w:tcBorders>
            <w:vAlign w:val="center"/>
          </w:tcPr>
          <w:p w14:paraId="387F4640">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阴离子表面活性剂</w:t>
            </w:r>
          </w:p>
        </w:tc>
        <w:tc>
          <w:tcPr>
            <w:tcW w:w="924" w:type="dxa"/>
            <w:tcBorders>
              <w:tl2br w:val="nil"/>
              <w:tr2bl w:val="nil"/>
            </w:tcBorders>
            <w:vAlign w:val="center"/>
          </w:tcPr>
          <w:p w14:paraId="05B6CC49">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50C7C77D">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1.05</w:t>
            </w:r>
          </w:p>
        </w:tc>
        <w:tc>
          <w:tcPr>
            <w:tcW w:w="924" w:type="dxa"/>
            <w:tcBorders>
              <w:tl2br w:val="nil"/>
              <w:tr2bl w:val="nil"/>
            </w:tcBorders>
            <w:vAlign w:val="center"/>
          </w:tcPr>
          <w:p w14:paraId="1B3CDE61">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1.78</w:t>
            </w:r>
          </w:p>
        </w:tc>
        <w:tc>
          <w:tcPr>
            <w:tcW w:w="924" w:type="dxa"/>
            <w:tcBorders>
              <w:tl2br w:val="nil"/>
              <w:tr2bl w:val="nil"/>
            </w:tcBorders>
            <w:vAlign w:val="center"/>
          </w:tcPr>
          <w:p w14:paraId="092BEC29">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750F87DB">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2.04</w:t>
            </w:r>
          </w:p>
        </w:tc>
        <w:tc>
          <w:tcPr>
            <w:tcW w:w="924" w:type="dxa"/>
            <w:tcBorders>
              <w:tl2br w:val="nil"/>
              <w:tr2bl w:val="nil"/>
            </w:tcBorders>
            <w:vAlign w:val="center"/>
          </w:tcPr>
          <w:p w14:paraId="6FDBC7C7">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5D8C1ACC">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2.25</w:t>
            </w:r>
          </w:p>
        </w:tc>
        <w:tc>
          <w:tcPr>
            <w:tcW w:w="924" w:type="dxa"/>
            <w:tcBorders>
              <w:tl2br w:val="nil"/>
              <w:tr2bl w:val="nil"/>
            </w:tcBorders>
            <w:vAlign w:val="center"/>
          </w:tcPr>
          <w:p w14:paraId="62ECE78A">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357B7465">
            <w:pPr>
              <w:spacing w:line="240" w:lineRule="auto"/>
              <w:ind w:firstLine="0" w:firstLineChars="0"/>
              <w:jc w:val="center"/>
              <w:rPr>
                <w:color w:val="auto"/>
                <w:sz w:val="21"/>
                <w:szCs w:val="21"/>
                <w:highlight w:val="none"/>
                <w:u w:val="single"/>
              </w:rPr>
            </w:pPr>
          </w:p>
        </w:tc>
        <w:tc>
          <w:tcPr>
            <w:tcW w:w="1149" w:type="dxa"/>
            <w:tcBorders>
              <w:tl2br w:val="nil"/>
              <w:tr2bl w:val="nil"/>
            </w:tcBorders>
            <w:vAlign w:val="bottom"/>
          </w:tcPr>
          <w:p w14:paraId="5C2D29AC">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2.12</w:t>
            </w:r>
          </w:p>
        </w:tc>
        <w:tc>
          <w:tcPr>
            <w:tcW w:w="1065" w:type="dxa"/>
            <w:tcBorders>
              <w:tl2br w:val="nil"/>
              <w:tr2bl w:val="nil"/>
            </w:tcBorders>
            <w:vAlign w:val="center"/>
          </w:tcPr>
          <w:p w14:paraId="4BA4834D">
            <w:pPr>
              <w:spacing w:line="240" w:lineRule="auto"/>
              <w:ind w:firstLine="0" w:firstLineChars="0"/>
              <w:jc w:val="center"/>
              <w:rPr>
                <w:color w:val="auto"/>
                <w:sz w:val="21"/>
                <w:szCs w:val="21"/>
                <w:highlight w:val="none"/>
                <w:u w:val="single"/>
              </w:rPr>
            </w:pPr>
          </w:p>
        </w:tc>
        <w:tc>
          <w:tcPr>
            <w:tcW w:w="1065" w:type="dxa"/>
            <w:tcBorders>
              <w:tl2br w:val="nil"/>
              <w:tr2bl w:val="nil"/>
            </w:tcBorders>
            <w:vAlign w:val="center"/>
          </w:tcPr>
          <w:p w14:paraId="014DF652">
            <w:pPr>
              <w:spacing w:line="240" w:lineRule="auto"/>
              <w:ind w:firstLine="0" w:firstLineChars="0"/>
              <w:jc w:val="center"/>
              <w:rPr>
                <w:color w:val="auto"/>
                <w:sz w:val="21"/>
                <w:szCs w:val="21"/>
                <w:highlight w:val="none"/>
                <w:u w:val="single"/>
              </w:rPr>
            </w:pPr>
          </w:p>
        </w:tc>
        <w:tc>
          <w:tcPr>
            <w:tcW w:w="253" w:type="pct"/>
            <w:tcBorders>
              <w:tl2br w:val="nil"/>
              <w:tr2bl w:val="nil"/>
            </w:tcBorders>
            <w:vAlign w:val="center"/>
          </w:tcPr>
          <w:p w14:paraId="26EF56FF">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20</w:t>
            </w:r>
          </w:p>
        </w:tc>
        <w:tc>
          <w:tcPr>
            <w:tcW w:w="289" w:type="pct"/>
            <w:tcBorders>
              <w:tl2br w:val="nil"/>
              <w:tr2bl w:val="nil"/>
            </w:tcBorders>
            <w:vAlign w:val="center"/>
          </w:tcPr>
          <w:p w14:paraId="46E938BF">
            <w:pPr>
              <w:spacing w:line="240" w:lineRule="auto"/>
              <w:ind w:firstLine="0" w:firstLineChars="0"/>
              <w:jc w:val="center"/>
              <w:rPr>
                <w:color w:val="auto"/>
                <w:sz w:val="21"/>
                <w:szCs w:val="21"/>
                <w:highlight w:val="none"/>
                <w:u w:val="single"/>
              </w:rPr>
            </w:pPr>
            <w:r>
              <w:rPr>
                <w:color w:val="auto"/>
                <w:sz w:val="21"/>
                <w:szCs w:val="21"/>
                <w:highlight w:val="none"/>
                <w:u w:val="single"/>
              </w:rPr>
              <w:t>达标</w:t>
            </w:r>
          </w:p>
        </w:tc>
      </w:tr>
      <w:tr w14:paraId="393DCC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79" w:type="pct"/>
            <w:tcBorders>
              <w:tl2br w:val="nil"/>
              <w:tr2bl w:val="nil"/>
            </w:tcBorders>
            <w:vAlign w:val="center"/>
          </w:tcPr>
          <w:p w14:paraId="46EE847B">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五日生化需氧量</w:t>
            </w:r>
          </w:p>
        </w:tc>
        <w:tc>
          <w:tcPr>
            <w:tcW w:w="924" w:type="dxa"/>
            <w:tcBorders>
              <w:tl2br w:val="nil"/>
              <w:tr2bl w:val="nil"/>
            </w:tcBorders>
            <w:vAlign w:val="center"/>
          </w:tcPr>
          <w:p w14:paraId="475D479D">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60911F36">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48.5</w:t>
            </w:r>
          </w:p>
        </w:tc>
        <w:tc>
          <w:tcPr>
            <w:tcW w:w="924" w:type="dxa"/>
            <w:tcBorders>
              <w:tl2br w:val="nil"/>
              <w:tr2bl w:val="nil"/>
            </w:tcBorders>
            <w:vAlign w:val="center"/>
          </w:tcPr>
          <w:p w14:paraId="3A6737E7">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67.5</w:t>
            </w:r>
          </w:p>
        </w:tc>
        <w:tc>
          <w:tcPr>
            <w:tcW w:w="924" w:type="dxa"/>
            <w:tcBorders>
              <w:tl2br w:val="nil"/>
              <w:tr2bl w:val="nil"/>
            </w:tcBorders>
            <w:vAlign w:val="center"/>
          </w:tcPr>
          <w:p w14:paraId="24D8783B">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1F8924B6">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38.4</w:t>
            </w:r>
          </w:p>
        </w:tc>
        <w:tc>
          <w:tcPr>
            <w:tcW w:w="924" w:type="dxa"/>
            <w:tcBorders>
              <w:tl2br w:val="nil"/>
              <w:tr2bl w:val="nil"/>
            </w:tcBorders>
            <w:vAlign w:val="center"/>
          </w:tcPr>
          <w:p w14:paraId="6B521336">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46B7E831">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33.8</w:t>
            </w:r>
          </w:p>
        </w:tc>
        <w:tc>
          <w:tcPr>
            <w:tcW w:w="924" w:type="dxa"/>
            <w:tcBorders>
              <w:tl2br w:val="nil"/>
              <w:tr2bl w:val="nil"/>
            </w:tcBorders>
            <w:vAlign w:val="center"/>
          </w:tcPr>
          <w:p w14:paraId="18537718">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550C9EA5">
            <w:pPr>
              <w:spacing w:line="240" w:lineRule="auto"/>
              <w:ind w:firstLine="0" w:firstLineChars="0"/>
              <w:jc w:val="center"/>
              <w:rPr>
                <w:color w:val="auto"/>
                <w:sz w:val="21"/>
                <w:szCs w:val="21"/>
                <w:highlight w:val="none"/>
                <w:u w:val="single"/>
              </w:rPr>
            </w:pPr>
          </w:p>
        </w:tc>
        <w:tc>
          <w:tcPr>
            <w:tcW w:w="1149" w:type="dxa"/>
            <w:tcBorders>
              <w:tl2br w:val="nil"/>
              <w:tr2bl w:val="nil"/>
            </w:tcBorders>
            <w:vAlign w:val="bottom"/>
          </w:tcPr>
          <w:p w14:paraId="602F125B">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45.4</w:t>
            </w:r>
          </w:p>
        </w:tc>
        <w:tc>
          <w:tcPr>
            <w:tcW w:w="1065" w:type="dxa"/>
            <w:tcBorders>
              <w:tl2br w:val="nil"/>
              <w:tr2bl w:val="nil"/>
            </w:tcBorders>
            <w:vAlign w:val="center"/>
          </w:tcPr>
          <w:p w14:paraId="08E014EA">
            <w:pPr>
              <w:spacing w:line="240" w:lineRule="auto"/>
              <w:ind w:firstLine="0" w:firstLineChars="0"/>
              <w:jc w:val="center"/>
              <w:rPr>
                <w:color w:val="auto"/>
                <w:sz w:val="21"/>
                <w:szCs w:val="21"/>
                <w:highlight w:val="none"/>
                <w:u w:val="single"/>
              </w:rPr>
            </w:pPr>
          </w:p>
        </w:tc>
        <w:tc>
          <w:tcPr>
            <w:tcW w:w="1065" w:type="dxa"/>
            <w:tcBorders>
              <w:tl2br w:val="nil"/>
              <w:tr2bl w:val="nil"/>
            </w:tcBorders>
            <w:vAlign w:val="center"/>
          </w:tcPr>
          <w:p w14:paraId="178EFF0C">
            <w:pPr>
              <w:spacing w:line="240" w:lineRule="auto"/>
              <w:ind w:firstLine="0" w:firstLineChars="0"/>
              <w:jc w:val="center"/>
              <w:rPr>
                <w:color w:val="auto"/>
                <w:sz w:val="21"/>
                <w:szCs w:val="21"/>
                <w:highlight w:val="none"/>
                <w:u w:val="single"/>
              </w:rPr>
            </w:pPr>
          </w:p>
        </w:tc>
        <w:tc>
          <w:tcPr>
            <w:tcW w:w="253" w:type="pct"/>
            <w:tcBorders>
              <w:tl2br w:val="nil"/>
              <w:tr2bl w:val="nil"/>
            </w:tcBorders>
            <w:vAlign w:val="center"/>
          </w:tcPr>
          <w:p w14:paraId="63DB1F03">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300</w:t>
            </w:r>
          </w:p>
        </w:tc>
        <w:tc>
          <w:tcPr>
            <w:tcW w:w="289" w:type="pct"/>
            <w:tcBorders>
              <w:tl2br w:val="nil"/>
              <w:tr2bl w:val="nil"/>
            </w:tcBorders>
            <w:vAlign w:val="center"/>
          </w:tcPr>
          <w:p w14:paraId="6841A402">
            <w:pPr>
              <w:spacing w:line="240" w:lineRule="auto"/>
              <w:ind w:firstLine="0" w:firstLineChars="0"/>
              <w:jc w:val="center"/>
              <w:rPr>
                <w:color w:val="auto"/>
                <w:sz w:val="21"/>
                <w:szCs w:val="21"/>
                <w:highlight w:val="none"/>
                <w:u w:val="single"/>
              </w:rPr>
            </w:pPr>
            <w:r>
              <w:rPr>
                <w:color w:val="auto"/>
                <w:sz w:val="21"/>
                <w:szCs w:val="21"/>
                <w:highlight w:val="none"/>
                <w:u w:val="single"/>
              </w:rPr>
              <w:t>达标</w:t>
            </w:r>
          </w:p>
        </w:tc>
      </w:tr>
      <w:tr w14:paraId="08FD1E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79" w:type="pct"/>
            <w:tcBorders>
              <w:tl2br w:val="nil"/>
              <w:tr2bl w:val="nil"/>
            </w:tcBorders>
            <w:vAlign w:val="center"/>
          </w:tcPr>
          <w:p w14:paraId="12DA1F71">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悬浮物</w:t>
            </w:r>
          </w:p>
        </w:tc>
        <w:tc>
          <w:tcPr>
            <w:tcW w:w="924" w:type="dxa"/>
            <w:tcBorders>
              <w:tl2br w:val="nil"/>
              <w:tr2bl w:val="nil"/>
            </w:tcBorders>
            <w:vAlign w:val="center"/>
          </w:tcPr>
          <w:p w14:paraId="54F4F197">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53E508E4">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67</w:t>
            </w:r>
          </w:p>
        </w:tc>
        <w:tc>
          <w:tcPr>
            <w:tcW w:w="924" w:type="dxa"/>
            <w:tcBorders>
              <w:tl2br w:val="nil"/>
              <w:tr2bl w:val="nil"/>
            </w:tcBorders>
            <w:vAlign w:val="center"/>
          </w:tcPr>
          <w:p w14:paraId="14930745">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76</w:t>
            </w:r>
          </w:p>
        </w:tc>
        <w:tc>
          <w:tcPr>
            <w:tcW w:w="924" w:type="dxa"/>
            <w:tcBorders>
              <w:tl2br w:val="nil"/>
              <w:tr2bl w:val="nil"/>
            </w:tcBorders>
            <w:vAlign w:val="center"/>
          </w:tcPr>
          <w:p w14:paraId="678A9FE1">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4C247552">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42</w:t>
            </w:r>
          </w:p>
        </w:tc>
        <w:tc>
          <w:tcPr>
            <w:tcW w:w="924" w:type="dxa"/>
            <w:tcBorders>
              <w:tl2br w:val="nil"/>
              <w:tr2bl w:val="nil"/>
            </w:tcBorders>
            <w:vAlign w:val="center"/>
          </w:tcPr>
          <w:p w14:paraId="2DB5AAEC">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2D6AFB4C">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22</w:t>
            </w:r>
          </w:p>
        </w:tc>
        <w:tc>
          <w:tcPr>
            <w:tcW w:w="924" w:type="dxa"/>
            <w:tcBorders>
              <w:tl2br w:val="nil"/>
              <w:tr2bl w:val="nil"/>
            </w:tcBorders>
            <w:vAlign w:val="center"/>
          </w:tcPr>
          <w:p w14:paraId="7C376B19">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75148BC6">
            <w:pPr>
              <w:spacing w:line="240" w:lineRule="auto"/>
              <w:ind w:firstLine="0" w:firstLineChars="0"/>
              <w:jc w:val="center"/>
              <w:rPr>
                <w:color w:val="auto"/>
                <w:sz w:val="21"/>
                <w:szCs w:val="21"/>
                <w:highlight w:val="none"/>
                <w:u w:val="single"/>
              </w:rPr>
            </w:pPr>
          </w:p>
        </w:tc>
        <w:tc>
          <w:tcPr>
            <w:tcW w:w="1149" w:type="dxa"/>
            <w:tcBorders>
              <w:tl2br w:val="nil"/>
              <w:tr2bl w:val="nil"/>
            </w:tcBorders>
            <w:vAlign w:val="bottom"/>
          </w:tcPr>
          <w:p w14:paraId="30432823">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47</w:t>
            </w:r>
          </w:p>
        </w:tc>
        <w:tc>
          <w:tcPr>
            <w:tcW w:w="1065" w:type="dxa"/>
            <w:tcBorders>
              <w:tl2br w:val="nil"/>
              <w:tr2bl w:val="nil"/>
            </w:tcBorders>
            <w:vAlign w:val="center"/>
          </w:tcPr>
          <w:p w14:paraId="1B678E46">
            <w:pPr>
              <w:spacing w:line="240" w:lineRule="auto"/>
              <w:ind w:firstLine="0" w:firstLineChars="0"/>
              <w:jc w:val="center"/>
              <w:rPr>
                <w:color w:val="auto"/>
                <w:sz w:val="21"/>
                <w:szCs w:val="21"/>
                <w:highlight w:val="none"/>
                <w:u w:val="single"/>
              </w:rPr>
            </w:pPr>
          </w:p>
        </w:tc>
        <w:tc>
          <w:tcPr>
            <w:tcW w:w="1065" w:type="dxa"/>
            <w:tcBorders>
              <w:tl2br w:val="nil"/>
              <w:tr2bl w:val="nil"/>
            </w:tcBorders>
            <w:vAlign w:val="center"/>
          </w:tcPr>
          <w:p w14:paraId="6EC9D8D0">
            <w:pPr>
              <w:spacing w:line="240" w:lineRule="auto"/>
              <w:ind w:firstLine="0" w:firstLineChars="0"/>
              <w:jc w:val="center"/>
              <w:rPr>
                <w:color w:val="auto"/>
                <w:sz w:val="21"/>
                <w:szCs w:val="21"/>
                <w:highlight w:val="none"/>
                <w:u w:val="single"/>
              </w:rPr>
            </w:pPr>
          </w:p>
        </w:tc>
        <w:tc>
          <w:tcPr>
            <w:tcW w:w="253" w:type="pct"/>
            <w:tcBorders>
              <w:tl2br w:val="nil"/>
              <w:tr2bl w:val="nil"/>
            </w:tcBorders>
            <w:vAlign w:val="center"/>
          </w:tcPr>
          <w:p w14:paraId="508F850B">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400</w:t>
            </w:r>
          </w:p>
        </w:tc>
        <w:tc>
          <w:tcPr>
            <w:tcW w:w="289" w:type="pct"/>
            <w:tcBorders>
              <w:tl2br w:val="nil"/>
              <w:tr2bl w:val="nil"/>
            </w:tcBorders>
            <w:vAlign w:val="center"/>
          </w:tcPr>
          <w:p w14:paraId="2CEFDCFA">
            <w:pPr>
              <w:spacing w:line="240" w:lineRule="auto"/>
              <w:ind w:firstLine="0" w:firstLineChars="0"/>
              <w:jc w:val="center"/>
              <w:rPr>
                <w:color w:val="auto"/>
                <w:sz w:val="21"/>
                <w:szCs w:val="21"/>
                <w:highlight w:val="none"/>
                <w:u w:val="single"/>
              </w:rPr>
            </w:pPr>
            <w:r>
              <w:rPr>
                <w:color w:val="auto"/>
                <w:sz w:val="21"/>
                <w:szCs w:val="21"/>
                <w:highlight w:val="none"/>
                <w:u w:val="single"/>
              </w:rPr>
              <w:t>达标</w:t>
            </w:r>
          </w:p>
        </w:tc>
      </w:tr>
      <w:tr w14:paraId="59C0F5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79" w:type="pct"/>
            <w:tcBorders>
              <w:tl2br w:val="nil"/>
              <w:tr2bl w:val="nil"/>
            </w:tcBorders>
            <w:vAlign w:val="center"/>
          </w:tcPr>
          <w:p w14:paraId="7186852F">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石油类</w:t>
            </w:r>
          </w:p>
        </w:tc>
        <w:tc>
          <w:tcPr>
            <w:tcW w:w="924" w:type="dxa"/>
            <w:tcBorders>
              <w:tl2br w:val="nil"/>
              <w:tr2bl w:val="nil"/>
            </w:tcBorders>
            <w:vAlign w:val="center"/>
          </w:tcPr>
          <w:p w14:paraId="50B040A1">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14AC3157">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0.78</w:t>
            </w:r>
          </w:p>
        </w:tc>
        <w:tc>
          <w:tcPr>
            <w:tcW w:w="924" w:type="dxa"/>
            <w:tcBorders>
              <w:tl2br w:val="nil"/>
              <w:tr2bl w:val="nil"/>
            </w:tcBorders>
            <w:vAlign w:val="center"/>
          </w:tcPr>
          <w:p w14:paraId="2CED89B5">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0.28</w:t>
            </w:r>
          </w:p>
        </w:tc>
        <w:tc>
          <w:tcPr>
            <w:tcW w:w="924" w:type="dxa"/>
            <w:tcBorders>
              <w:tl2br w:val="nil"/>
              <w:tr2bl w:val="nil"/>
            </w:tcBorders>
            <w:vAlign w:val="center"/>
          </w:tcPr>
          <w:p w14:paraId="2FC8B9F3">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429266E9">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0.36</w:t>
            </w:r>
          </w:p>
        </w:tc>
        <w:tc>
          <w:tcPr>
            <w:tcW w:w="924" w:type="dxa"/>
            <w:tcBorders>
              <w:tl2br w:val="nil"/>
              <w:tr2bl w:val="nil"/>
            </w:tcBorders>
            <w:vAlign w:val="center"/>
          </w:tcPr>
          <w:p w14:paraId="0582C500">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04CC4800">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0.41</w:t>
            </w:r>
          </w:p>
        </w:tc>
        <w:tc>
          <w:tcPr>
            <w:tcW w:w="924" w:type="dxa"/>
            <w:tcBorders>
              <w:tl2br w:val="nil"/>
              <w:tr2bl w:val="nil"/>
            </w:tcBorders>
            <w:vAlign w:val="center"/>
          </w:tcPr>
          <w:p w14:paraId="2BF2E7EA">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20B7D387">
            <w:pPr>
              <w:spacing w:line="240" w:lineRule="auto"/>
              <w:ind w:firstLine="0" w:firstLineChars="0"/>
              <w:jc w:val="center"/>
              <w:rPr>
                <w:color w:val="auto"/>
                <w:sz w:val="21"/>
                <w:szCs w:val="21"/>
                <w:highlight w:val="none"/>
                <w:u w:val="single"/>
              </w:rPr>
            </w:pPr>
          </w:p>
        </w:tc>
        <w:tc>
          <w:tcPr>
            <w:tcW w:w="1149" w:type="dxa"/>
            <w:tcBorders>
              <w:tl2br w:val="nil"/>
              <w:tr2bl w:val="nil"/>
            </w:tcBorders>
            <w:vAlign w:val="bottom"/>
          </w:tcPr>
          <w:p w14:paraId="473A9B83">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1.01</w:t>
            </w:r>
          </w:p>
        </w:tc>
        <w:tc>
          <w:tcPr>
            <w:tcW w:w="1065" w:type="dxa"/>
            <w:tcBorders>
              <w:tl2br w:val="nil"/>
              <w:tr2bl w:val="nil"/>
            </w:tcBorders>
            <w:vAlign w:val="center"/>
          </w:tcPr>
          <w:p w14:paraId="2E6CD6A5">
            <w:pPr>
              <w:spacing w:line="240" w:lineRule="auto"/>
              <w:ind w:firstLine="0" w:firstLineChars="0"/>
              <w:jc w:val="center"/>
              <w:rPr>
                <w:color w:val="auto"/>
                <w:sz w:val="21"/>
                <w:szCs w:val="21"/>
                <w:highlight w:val="none"/>
                <w:u w:val="single"/>
              </w:rPr>
            </w:pPr>
          </w:p>
        </w:tc>
        <w:tc>
          <w:tcPr>
            <w:tcW w:w="1065" w:type="dxa"/>
            <w:tcBorders>
              <w:tl2br w:val="nil"/>
              <w:tr2bl w:val="nil"/>
            </w:tcBorders>
            <w:vAlign w:val="center"/>
          </w:tcPr>
          <w:p w14:paraId="20733A8E">
            <w:pPr>
              <w:spacing w:line="240" w:lineRule="auto"/>
              <w:ind w:firstLine="0" w:firstLineChars="0"/>
              <w:jc w:val="center"/>
              <w:rPr>
                <w:color w:val="auto"/>
                <w:sz w:val="21"/>
                <w:szCs w:val="21"/>
                <w:highlight w:val="none"/>
                <w:u w:val="single"/>
              </w:rPr>
            </w:pPr>
          </w:p>
        </w:tc>
        <w:tc>
          <w:tcPr>
            <w:tcW w:w="253" w:type="pct"/>
            <w:tcBorders>
              <w:tl2br w:val="nil"/>
              <w:tr2bl w:val="nil"/>
            </w:tcBorders>
            <w:vAlign w:val="center"/>
          </w:tcPr>
          <w:p w14:paraId="7F9A1F6A">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20</w:t>
            </w:r>
          </w:p>
        </w:tc>
        <w:tc>
          <w:tcPr>
            <w:tcW w:w="289" w:type="pct"/>
            <w:tcBorders>
              <w:tl2br w:val="nil"/>
              <w:tr2bl w:val="nil"/>
            </w:tcBorders>
            <w:vAlign w:val="center"/>
          </w:tcPr>
          <w:p w14:paraId="56B430CC">
            <w:pPr>
              <w:spacing w:line="240" w:lineRule="auto"/>
              <w:ind w:firstLine="0" w:firstLineChars="0"/>
              <w:jc w:val="center"/>
              <w:rPr>
                <w:color w:val="auto"/>
                <w:sz w:val="21"/>
                <w:szCs w:val="21"/>
                <w:highlight w:val="none"/>
                <w:u w:val="single"/>
              </w:rPr>
            </w:pPr>
            <w:r>
              <w:rPr>
                <w:color w:val="auto"/>
                <w:sz w:val="21"/>
                <w:szCs w:val="21"/>
                <w:highlight w:val="none"/>
                <w:u w:val="single"/>
              </w:rPr>
              <w:t>达标</w:t>
            </w:r>
          </w:p>
        </w:tc>
      </w:tr>
      <w:tr w14:paraId="1547D3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79" w:type="pct"/>
            <w:tcBorders>
              <w:tl2br w:val="nil"/>
              <w:tr2bl w:val="nil"/>
            </w:tcBorders>
            <w:vAlign w:val="center"/>
          </w:tcPr>
          <w:p w14:paraId="5A9F9E76">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总氮</w:t>
            </w:r>
          </w:p>
        </w:tc>
        <w:tc>
          <w:tcPr>
            <w:tcW w:w="924" w:type="dxa"/>
            <w:tcBorders>
              <w:tl2br w:val="nil"/>
              <w:tr2bl w:val="nil"/>
            </w:tcBorders>
            <w:vAlign w:val="center"/>
          </w:tcPr>
          <w:p w14:paraId="388EF00E">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61.1</w:t>
            </w:r>
          </w:p>
        </w:tc>
        <w:tc>
          <w:tcPr>
            <w:tcW w:w="924" w:type="dxa"/>
            <w:tcBorders>
              <w:tl2br w:val="nil"/>
              <w:tr2bl w:val="nil"/>
            </w:tcBorders>
            <w:vAlign w:val="center"/>
          </w:tcPr>
          <w:p w14:paraId="5E9C2519">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78.1</w:t>
            </w:r>
          </w:p>
        </w:tc>
        <w:tc>
          <w:tcPr>
            <w:tcW w:w="924" w:type="dxa"/>
            <w:tcBorders>
              <w:tl2br w:val="nil"/>
              <w:tr2bl w:val="nil"/>
            </w:tcBorders>
            <w:vAlign w:val="center"/>
          </w:tcPr>
          <w:p w14:paraId="27480C05">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66.4</w:t>
            </w:r>
          </w:p>
        </w:tc>
        <w:tc>
          <w:tcPr>
            <w:tcW w:w="924" w:type="dxa"/>
            <w:tcBorders>
              <w:tl2br w:val="nil"/>
              <w:tr2bl w:val="nil"/>
            </w:tcBorders>
            <w:vAlign w:val="center"/>
          </w:tcPr>
          <w:p w14:paraId="1201F0CA">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6F7F281B">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7C3292E2">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3B39EAB4">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37EDC5F2">
            <w:pPr>
              <w:spacing w:line="240" w:lineRule="auto"/>
              <w:ind w:firstLine="0" w:firstLineChars="0"/>
              <w:jc w:val="center"/>
              <w:rPr>
                <w:color w:val="auto"/>
                <w:sz w:val="21"/>
                <w:szCs w:val="21"/>
                <w:highlight w:val="none"/>
                <w:u w:val="single"/>
              </w:rPr>
            </w:pPr>
          </w:p>
        </w:tc>
        <w:tc>
          <w:tcPr>
            <w:tcW w:w="924" w:type="dxa"/>
            <w:tcBorders>
              <w:tl2br w:val="nil"/>
              <w:tr2bl w:val="nil"/>
            </w:tcBorders>
            <w:vAlign w:val="center"/>
          </w:tcPr>
          <w:p w14:paraId="37CFA47D">
            <w:pPr>
              <w:spacing w:line="240" w:lineRule="auto"/>
              <w:ind w:firstLine="0" w:firstLineChars="0"/>
              <w:jc w:val="center"/>
              <w:rPr>
                <w:color w:val="auto"/>
                <w:sz w:val="21"/>
                <w:szCs w:val="21"/>
                <w:highlight w:val="none"/>
                <w:u w:val="single"/>
              </w:rPr>
            </w:pPr>
          </w:p>
        </w:tc>
        <w:tc>
          <w:tcPr>
            <w:tcW w:w="1149" w:type="dxa"/>
            <w:tcBorders>
              <w:tl2br w:val="nil"/>
              <w:tr2bl w:val="nil"/>
            </w:tcBorders>
            <w:vAlign w:val="center"/>
          </w:tcPr>
          <w:p w14:paraId="33E62581">
            <w:pPr>
              <w:spacing w:line="240" w:lineRule="auto"/>
              <w:ind w:firstLine="0" w:firstLineChars="0"/>
              <w:jc w:val="center"/>
              <w:rPr>
                <w:color w:val="auto"/>
                <w:sz w:val="21"/>
                <w:szCs w:val="21"/>
                <w:highlight w:val="none"/>
                <w:u w:val="single"/>
              </w:rPr>
            </w:pPr>
          </w:p>
        </w:tc>
        <w:tc>
          <w:tcPr>
            <w:tcW w:w="1065" w:type="dxa"/>
            <w:tcBorders>
              <w:tl2br w:val="nil"/>
              <w:tr2bl w:val="nil"/>
            </w:tcBorders>
            <w:vAlign w:val="center"/>
          </w:tcPr>
          <w:p w14:paraId="1F399464">
            <w:pPr>
              <w:spacing w:line="240" w:lineRule="auto"/>
              <w:ind w:firstLine="0" w:firstLineChars="0"/>
              <w:jc w:val="center"/>
              <w:rPr>
                <w:color w:val="auto"/>
                <w:sz w:val="21"/>
                <w:szCs w:val="21"/>
                <w:highlight w:val="none"/>
                <w:u w:val="single"/>
              </w:rPr>
            </w:pPr>
          </w:p>
        </w:tc>
        <w:tc>
          <w:tcPr>
            <w:tcW w:w="1065" w:type="dxa"/>
            <w:tcBorders>
              <w:tl2br w:val="nil"/>
              <w:tr2bl w:val="nil"/>
            </w:tcBorders>
            <w:vAlign w:val="center"/>
          </w:tcPr>
          <w:p w14:paraId="7EFE8196">
            <w:pPr>
              <w:spacing w:line="240" w:lineRule="auto"/>
              <w:ind w:firstLine="0" w:firstLineChars="0"/>
              <w:jc w:val="center"/>
              <w:rPr>
                <w:color w:val="auto"/>
                <w:sz w:val="21"/>
                <w:szCs w:val="21"/>
                <w:highlight w:val="none"/>
                <w:u w:val="single"/>
              </w:rPr>
            </w:pPr>
          </w:p>
        </w:tc>
        <w:tc>
          <w:tcPr>
            <w:tcW w:w="253" w:type="pct"/>
            <w:tcBorders>
              <w:tl2br w:val="nil"/>
              <w:tr2bl w:val="nil"/>
            </w:tcBorders>
            <w:vAlign w:val="center"/>
          </w:tcPr>
          <w:p w14:paraId="04BE5FB7">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w:t>
            </w:r>
          </w:p>
        </w:tc>
        <w:tc>
          <w:tcPr>
            <w:tcW w:w="289" w:type="pct"/>
            <w:tcBorders>
              <w:tl2br w:val="nil"/>
              <w:tr2bl w:val="nil"/>
            </w:tcBorders>
            <w:vAlign w:val="center"/>
          </w:tcPr>
          <w:p w14:paraId="166AABA7">
            <w:pPr>
              <w:spacing w:line="240" w:lineRule="auto"/>
              <w:ind w:firstLine="0" w:firstLineChars="0"/>
              <w:jc w:val="center"/>
              <w:rPr>
                <w:color w:val="auto"/>
                <w:sz w:val="21"/>
                <w:szCs w:val="21"/>
                <w:highlight w:val="none"/>
                <w:u w:val="single"/>
              </w:rPr>
            </w:pPr>
            <w:r>
              <w:rPr>
                <w:color w:val="auto"/>
                <w:sz w:val="21"/>
                <w:szCs w:val="21"/>
                <w:highlight w:val="none"/>
                <w:u w:val="single"/>
              </w:rPr>
              <w:t>达标</w:t>
            </w:r>
          </w:p>
        </w:tc>
      </w:tr>
      <w:tr w14:paraId="7FB7F3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79" w:type="pct"/>
            <w:tcBorders>
              <w:tl2br w:val="nil"/>
              <w:tr2bl w:val="nil"/>
            </w:tcBorders>
            <w:vAlign w:val="center"/>
          </w:tcPr>
          <w:p w14:paraId="7F905B8D">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磷酸盐</w:t>
            </w:r>
          </w:p>
        </w:tc>
        <w:tc>
          <w:tcPr>
            <w:tcW w:w="924" w:type="dxa"/>
            <w:tcBorders>
              <w:tl2br w:val="nil"/>
              <w:tr2bl w:val="nil"/>
            </w:tcBorders>
            <w:vAlign w:val="center"/>
          </w:tcPr>
          <w:p w14:paraId="601529E8">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11.8</w:t>
            </w:r>
          </w:p>
        </w:tc>
        <w:tc>
          <w:tcPr>
            <w:tcW w:w="924" w:type="dxa"/>
            <w:tcBorders>
              <w:tl2br w:val="nil"/>
              <w:tr2bl w:val="nil"/>
            </w:tcBorders>
            <w:vAlign w:val="center"/>
          </w:tcPr>
          <w:p w14:paraId="26F58286">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16.3</w:t>
            </w:r>
          </w:p>
        </w:tc>
        <w:tc>
          <w:tcPr>
            <w:tcW w:w="924" w:type="dxa"/>
            <w:tcBorders>
              <w:tl2br w:val="nil"/>
              <w:tr2bl w:val="nil"/>
            </w:tcBorders>
            <w:vAlign w:val="center"/>
          </w:tcPr>
          <w:p w14:paraId="339D0EF8">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5.17</w:t>
            </w:r>
          </w:p>
        </w:tc>
        <w:tc>
          <w:tcPr>
            <w:tcW w:w="924" w:type="dxa"/>
            <w:tcBorders>
              <w:tl2br w:val="nil"/>
              <w:tr2bl w:val="nil"/>
            </w:tcBorders>
            <w:vAlign w:val="center"/>
          </w:tcPr>
          <w:p w14:paraId="2B541417">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3.36</w:t>
            </w:r>
          </w:p>
        </w:tc>
        <w:tc>
          <w:tcPr>
            <w:tcW w:w="924" w:type="dxa"/>
            <w:tcBorders>
              <w:tl2br w:val="nil"/>
              <w:tr2bl w:val="nil"/>
            </w:tcBorders>
            <w:vAlign w:val="center"/>
          </w:tcPr>
          <w:p w14:paraId="53938195">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2.76</w:t>
            </w:r>
          </w:p>
        </w:tc>
        <w:tc>
          <w:tcPr>
            <w:tcW w:w="924" w:type="dxa"/>
            <w:tcBorders>
              <w:tl2br w:val="nil"/>
              <w:tr2bl w:val="nil"/>
            </w:tcBorders>
            <w:vAlign w:val="center"/>
          </w:tcPr>
          <w:p w14:paraId="5CDF190E">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4.8</w:t>
            </w:r>
          </w:p>
        </w:tc>
        <w:tc>
          <w:tcPr>
            <w:tcW w:w="924" w:type="dxa"/>
            <w:tcBorders>
              <w:tl2br w:val="nil"/>
              <w:tr2bl w:val="nil"/>
            </w:tcBorders>
            <w:vAlign w:val="center"/>
          </w:tcPr>
          <w:p w14:paraId="75D10573">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10.2</w:t>
            </w:r>
          </w:p>
        </w:tc>
        <w:tc>
          <w:tcPr>
            <w:tcW w:w="924" w:type="dxa"/>
            <w:tcBorders>
              <w:tl2br w:val="nil"/>
              <w:tr2bl w:val="nil"/>
            </w:tcBorders>
            <w:vAlign w:val="center"/>
          </w:tcPr>
          <w:p w14:paraId="6ECB0509">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5.02</w:t>
            </w:r>
          </w:p>
        </w:tc>
        <w:tc>
          <w:tcPr>
            <w:tcW w:w="924" w:type="dxa"/>
            <w:tcBorders>
              <w:tl2br w:val="nil"/>
              <w:tr2bl w:val="nil"/>
            </w:tcBorders>
            <w:vAlign w:val="center"/>
          </w:tcPr>
          <w:p w14:paraId="7D8D18A3">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4.28</w:t>
            </w:r>
          </w:p>
        </w:tc>
        <w:tc>
          <w:tcPr>
            <w:tcW w:w="1149" w:type="dxa"/>
            <w:tcBorders>
              <w:tl2br w:val="nil"/>
              <w:tr2bl w:val="nil"/>
            </w:tcBorders>
            <w:vAlign w:val="bottom"/>
          </w:tcPr>
          <w:p w14:paraId="28F7147C">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6.03</w:t>
            </w:r>
          </w:p>
        </w:tc>
        <w:tc>
          <w:tcPr>
            <w:tcW w:w="1065" w:type="dxa"/>
            <w:tcBorders>
              <w:tl2br w:val="nil"/>
              <w:tr2bl w:val="nil"/>
            </w:tcBorders>
            <w:vAlign w:val="center"/>
          </w:tcPr>
          <w:p w14:paraId="29D9A8D9">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13.6</w:t>
            </w:r>
          </w:p>
        </w:tc>
        <w:tc>
          <w:tcPr>
            <w:tcW w:w="1065" w:type="dxa"/>
            <w:tcBorders>
              <w:tl2br w:val="nil"/>
              <w:tr2bl w:val="nil"/>
            </w:tcBorders>
            <w:vAlign w:val="center"/>
          </w:tcPr>
          <w:p w14:paraId="1E2F5178">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5.43</w:t>
            </w:r>
          </w:p>
        </w:tc>
        <w:tc>
          <w:tcPr>
            <w:tcW w:w="253" w:type="pct"/>
            <w:tcBorders>
              <w:tl2br w:val="nil"/>
              <w:tr2bl w:val="nil"/>
            </w:tcBorders>
            <w:vAlign w:val="center"/>
          </w:tcPr>
          <w:p w14:paraId="18552AC2">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w:t>
            </w:r>
          </w:p>
        </w:tc>
        <w:tc>
          <w:tcPr>
            <w:tcW w:w="289" w:type="pct"/>
            <w:tcBorders>
              <w:tl2br w:val="nil"/>
              <w:tr2bl w:val="nil"/>
            </w:tcBorders>
            <w:vAlign w:val="center"/>
          </w:tcPr>
          <w:p w14:paraId="165616DE">
            <w:pPr>
              <w:spacing w:line="240" w:lineRule="auto"/>
              <w:ind w:firstLine="0" w:firstLineChars="0"/>
              <w:jc w:val="center"/>
              <w:rPr>
                <w:color w:val="auto"/>
                <w:sz w:val="21"/>
                <w:szCs w:val="21"/>
                <w:highlight w:val="none"/>
                <w:u w:val="single"/>
              </w:rPr>
            </w:pPr>
            <w:r>
              <w:rPr>
                <w:color w:val="auto"/>
                <w:sz w:val="21"/>
                <w:szCs w:val="21"/>
                <w:highlight w:val="none"/>
                <w:u w:val="single"/>
              </w:rPr>
              <w:t>达标</w:t>
            </w:r>
          </w:p>
        </w:tc>
      </w:tr>
    </w:tbl>
    <w:p w14:paraId="4F083FB1">
      <w:pPr>
        <w:pStyle w:val="38"/>
        <w:spacing w:after="0" w:line="240" w:lineRule="auto"/>
        <w:ind w:firstLine="0" w:firstLineChars="0"/>
        <w:jc w:val="left"/>
        <w:rPr>
          <w:b/>
          <w:color w:val="auto"/>
          <w:sz w:val="21"/>
          <w:szCs w:val="21"/>
          <w:highlight w:val="none"/>
          <w:u w:val="single"/>
        </w:rPr>
      </w:pPr>
      <w:r>
        <w:rPr>
          <w:rFonts w:hint="eastAsia"/>
          <w:b/>
          <w:color w:val="auto"/>
          <w:sz w:val="21"/>
          <w:szCs w:val="21"/>
          <w:highlight w:val="none"/>
          <w:u w:val="single"/>
        </w:rPr>
        <w:t>注：排放标准执行《污水综合排放标准》（GB8978-1996）三级标准。</w:t>
      </w:r>
    </w:p>
    <w:p w14:paraId="0A805BB8">
      <w:pPr>
        <w:pStyle w:val="38"/>
        <w:spacing w:after="0" w:line="240" w:lineRule="auto"/>
        <w:ind w:firstLine="0" w:firstLineChars="0"/>
        <w:jc w:val="left"/>
        <w:rPr>
          <w:b/>
          <w:color w:val="auto"/>
          <w:sz w:val="21"/>
          <w:szCs w:val="21"/>
          <w:highlight w:val="none"/>
          <w:u w:val="single"/>
        </w:rPr>
      </w:pPr>
    </w:p>
    <w:p w14:paraId="794B6354">
      <w:pPr>
        <w:pStyle w:val="38"/>
        <w:spacing w:after="0" w:line="240" w:lineRule="auto"/>
        <w:ind w:firstLine="0" w:firstLineChars="0"/>
        <w:jc w:val="center"/>
        <w:rPr>
          <w:b/>
          <w:color w:val="auto"/>
          <w:sz w:val="21"/>
          <w:szCs w:val="21"/>
          <w:highlight w:val="none"/>
          <w:u w:val="single"/>
        </w:rPr>
      </w:pPr>
    </w:p>
    <w:p w14:paraId="5C2E8447">
      <w:pPr>
        <w:pStyle w:val="38"/>
        <w:spacing w:after="0" w:line="240" w:lineRule="auto"/>
        <w:ind w:firstLine="0" w:firstLineChars="0"/>
        <w:jc w:val="center"/>
        <w:rPr>
          <w:b/>
          <w:color w:val="auto"/>
          <w:sz w:val="21"/>
          <w:szCs w:val="21"/>
          <w:highlight w:val="none"/>
          <w:u w:val="single"/>
        </w:rPr>
      </w:pPr>
      <w:r>
        <w:rPr>
          <w:b/>
          <w:color w:val="auto"/>
          <w:sz w:val="21"/>
          <w:szCs w:val="21"/>
          <w:highlight w:val="none"/>
          <w:u w:val="single"/>
        </w:rPr>
        <w:t>表2.1-1</w:t>
      </w:r>
      <w:r>
        <w:rPr>
          <w:rFonts w:hint="eastAsia"/>
          <w:b/>
          <w:color w:val="auto"/>
          <w:sz w:val="21"/>
          <w:szCs w:val="21"/>
          <w:highlight w:val="none"/>
          <w:u w:val="single"/>
        </w:rPr>
        <w:t>4</w:t>
      </w:r>
      <w:r>
        <w:rPr>
          <w:b/>
          <w:color w:val="auto"/>
          <w:sz w:val="21"/>
          <w:szCs w:val="21"/>
          <w:highlight w:val="none"/>
          <w:u w:val="single"/>
        </w:rPr>
        <w:t xml:space="preserve">   雨水排口</w:t>
      </w:r>
      <w:r>
        <w:rPr>
          <w:rFonts w:hint="eastAsia"/>
          <w:b/>
          <w:color w:val="auto"/>
          <w:sz w:val="21"/>
          <w:szCs w:val="21"/>
          <w:highlight w:val="none"/>
          <w:u w:val="single"/>
        </w:rPr>
        <w:t>（DW002）</w:t>
      </w:r>
      <w:r>
        <w:rPr>
          <w:b/>
          <w:color w:val="auto"/>
          <w:sz w:val="21"/>
          <w:szCs w:val="21"/>
          <w:highlight w:val="none"/>
          <w:u w:val="single"/>
        </w:rPr>
        <w:t>监测结果表</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29"/>
        <w:gridCol w:w="1590"/>
        <w:gridCol w:w="1590"/>
        <w:gridCol w:w="1590"/>
        <w:gridCol w:w="1596"/>
        <w:gridCol w:w="5023"/>
      </w:tblGrid>
      <w:tr w14:paraId="24DB39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79" w:hRule="atLeast"/>
          <w:jc w:val="center"/>
        </w:trPr>
        <w:tc>
          <w:tcPr>
            <w:tcW w:w="995" w:type="pct"/>
            <w:vMerge w:val="restart"/>
            <w:tcBorders>
              <w:tl2br w:val="nil"/>
              <w:tr2bl w:val="nil"/>
            </w:tcBorders>
            <w:vAlign w:val="center"/>
          </w:tcPr>
          <w:p w14:paraId="3F2CB089">
            <w:pPr>
              <w:spacing w:line="240" w:lineRule="auto"/>
              <w:ind w:firstLine="0" w:firstLineChars="0"/>
              <w:jc w:val="center"/>
              <w:rPr>
                <w:rFonts w:hint="eastAsia" w:eastAsia="宋体"/>
                <w:b/>
                <w:color w:val="auto"/>
                <w:szCs w:val="21"/>
                <w:highlight w:val="none"/>
                <w:u w:val="single"/>
                <w:lang w:eastAsia="zh-CN"/>
              </w:rPr>
            </w:pPr>
            <w:r>
              <w:rPr>
                <w:rFonts w:hint="eastAsia"/>
                <w:b/>
                <w:color w:val="auto"/>
                <w:szCs w:val="21"/>
                <w:highlight w:val="none"/>
                <w:u w:val="single"/>
                <w:lang w:eastAsia="zh-CN"/>
              </w:rPr>
              <w:t>项目</w:t>
            </w:r>
          </w:p>
        </w:tc>
        <w:tc>
          <w:tcPr>
            <w:tcW w:w="2238" w:type="pct"/>
            <w:gridSpan w:val="4"/>
            <w:tcBorders>
              <w:tl2br w:val="nil"/>
              <w:tr2bl w:val="nil"/>
            </w:tcBorders>
            <w:vAlign w:val="center"/>
          </w:tcPr>
          <w:p w14:paraId="307D59A1">
            <w:pPr>
              <w:spacing w:line="240" w:lineRule="auto"/>
              <w:ind w:firstLine="0" w:firstLineChars="0"/>
              <w:jc w:val="center"/>
              <w:rPr>
                <w:b/>
                <w:bCs/>
                <w:color w:val="auto"/>
                <w:sz w:val="21"/>
                <w:szCs w:val="21"/>
                <w:highlight w:val="none"/>
                <w:u w:val="single"/>
              </w:rPr>
            </w:pPr>
            <w:r>
              <w:rPr>
                <w:rFonts w:hint="eastAsia"/>
                <w:b/>
                <w:bCs/>
                <w:color w:val="auto"/>
                <w:sz w:val="21"/>
                <w:szCs w:val="21"/>
                <w:highlight w:val="none"/>
                <w:u w:val="single"/>
              </w:rPr>
              <w:t>监测结果</w:t>
            </w:r>
          </w:p>
        </w:tc>
        <w:tc>
          <w:tcPr>
            <w:tcW w:w="1766" w:type="pct"/>
            <w:vMerge w:val="restart"/>
            <w:tcBorders>
              <w:tl2br w:val="nil"/>
              <w:tr2bl w:val="nil"/>
            </w:tcBorders>
            <w:vAlign w:val="center"/>
          </w:tcPr>
          <w:p w14:paraId="53E43181">
            <w:pPr>
              <w:spacing w:line="280" w:lineRule="exact"/>
              <w:ind w:right="-240" w:rightChars="-100" w:firstLine="422"/>
              <w:jc w:val="center"/>
              <w:rPr>
                <w:b/>
                <w:color w:val="auto"/>
                <w:sz w:val="21"/>
                <w:szCs w:val="18"/>
                <w:highlight w:val="none"/>
                <w:u w:val="single"/>
              </w:rPr>
            </w:pPr>
            <w:r>
              <w:rPr>
                <w:b/>
                <w:color w:val="auto"/>
                <w:sz w:val="21"/>
                <w:szCs w:val="18"/>
                <w:highlight w:val="none"/>
                <w:u w:val="single"/>
              </w:rPr>
              <w:t>《污水综合排放标准》（GB8978-1996）</w:t>
            </w:r>
          </w:p>
          <w:p w14:paraId="744C0EA8">
            <w:pPr>
              <w:spacing w:line="280" w:lineRule="exact"/>
              <w:ind w:right="-240" w:rightChars="-100" w:firstLine="422"/>
              <w:jc w:val="center"/>
              <w:rPr>
                <w:b/>
                <w:color w:val="auto"/>
                <w:szCs w:val="21"/>
                <w:highlight w:val="none"/>
                <w:u w:val="single"/>
              </w:rPr>
            </w:pPr>
            <w:r>
              <w:rPr>
                <w:b/>
                <w:color w:val="auto"/>
                <w:sz w:val="21"/>
                <w:szCs w:val="18"/>
                <w:highlight w:val="none"/>
                <w:u w:val="single"/>
              </w:rPr>
              <w:t>一级标准</w:t>
            </w:r>
          </w:p>
        </w:tc>
      </w:tr>
      <w:tr w14:paraId="0AABCB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995" w:type="pct"/>
            <w:vMerge w:val="continue"/>
            <w:tcBorders>
              <w:tl2br w:val="nil"/>
              <w:tr2bl w:val="nil"/>
            </w:tcBorders>
            <w:vAlign w:val="center"/>
          </w:tcPr>
          <w:p w14:paraId="0933B79E">
            <w:pPr>
              <w:ind w:firstLine="482"/>
              <w:jc w:val="center"/>
              <w:rPr>
                <w:b/>
                <w:color w:val="auto"/>
                <w:szCs w:val="21"/>
                <w:highlight w:val="none"/>
                <w:u w:val="single"/>
              </w:rPr>
            </w:pPr>
          </w:p>
        </w:tc>
        <w:tc>
          <w:tcPr>
            <w:tcW w:w="559" w:type="pct"/>
            <w:tcBorders>
              <w:tl2br w:val="nil"/>
              <w:tr2bl w:val="nil"/>
            </w:tcBorders>
            <w:vAlign w:val="center"/>
          </w:tcPr>
          <w:p w14:paraId="2017E94A">
            <w:pPr>
              <w:spacing w:line="240" w:lineRule="auto"/>
              <w:ind w:firstLine="0" w:firstLineChars="0"/>
              <w:jc w:val="center"/>
              <w:rPr>
                <w:b/>
                <w:bCs/>
                <w:color w:val="auto"/>
                <w:sz w:val="21"/>
                <w:szCs w:val="21"/>
                <w:highlight w:val="none"/>
                <w:u w:val="single"/>
              </w:rPr>
            </w:pPr>
            <w:r>
              <w:rPr>
                <w:rFonts w:hint="eastAsia"/>
                <w:b/>
                <w:bCs/>
                <w:color w:val="auto"/>
                <w:sz w:val="21"/>
                <w:szCs w:val="21"/>
                <w:highlight w:val="none"/>
                <w:u w:val="single"/>
              </w:rPr>
              <w:t>2025.2.11</w:t>
            </w:r>
          </w:p>
        </w:tc>
        <w:tc>
          <w:tcPr>
            <w:tcW w:w="559" w:type="pct"/>
            <w:tcBorders>
              <w:tl2br w:val="nil"/>
              <w:tr2bl w:val="nil"/>
            </w:tcBorders>
            <w:vAlign w:val="center"/>
          </w:tcPr>
          <w:p w14:paraId="505D7AE6">
            <w:pPr>
              <w:spacing w:line="240" w:lineRule="auto"/>
              <w:ind w:firstLine="0" w:firstLineChars="0"/>
              <w:jc w:val="center"/>
              <w:rPr>
                <w:b/>
                <w:bCs/>
                <w:color w:val="auto"/>
                <w:sz w:val="21"/>
                <w:szCs w:val="21"/>
                <w:highlight w:val="none"/>
                <w:u w:val="single"/>
              </w:rPr>
            </w:pPr>
            <w:r>
              <w:rPr>
                <w:rFonts w:hint="eastAsia"/>
                <w:b/>
                <w:bCs/>
                <w:color w:val="auto"/>
                <w:sz w:val="21"/>
                <w:szCs w:val="21"/>
                <w:highlight w:val="none"/>
                <w:u w:val="single"/>
              </w:rPr>
              <w:t>2025.5.21</w:t>
            </w:r>
          </w:p>
        </w:tc>
        <w:tc>
          <w:tcPr>
            <w:tcW w:w="559" w:type="pct"/>
            <w:tcBorders>
              <w:tl2br w:val="nil"/>
              <w:tr2bl w:val="nil"/>
            </w:tcBorders>
            <w:vAlign w:val="center"/>
          </w:tcPr>
          <w:p w14:paraId="2D409A2E">
            <w:pPr>
              <w:spacing w:line="240" w:lineRule="auto"/>
              <w:ind w:firstLine="0" w:firstLineChars="0"/>
              <w:jc w:val="center"/>
              <w:rPr>
                <w:b/>
                <w:bCs/>
                <w:color w:val="auto"/>
                <w:sz w:val="21"/>
                <w:szCs w:val="21"/>
                <w:highlight w:val="none"/>
                <w:u w:val="single"/>
              </w:rPr>
            </w:pPr>
            <w:r>
              <w:rPr>
                <w:rFonts w:hint="eastAsia"/>
                <w:b/>
                <w:bCs/>
                <w:color w:val="auto"/>
                <w:sz w:val="21"/>
                <w:szCs w:val="21"/>
                <w:highlight w:val="none"/>
                <w:u w:val="single"/>
              </w:rPr>
              <w:t>2025.7.16</w:t>
            </w:r>
          </w:p>
        </w:tc>
        <w:tc>
          <w:tcPr>
            <w:tcW w:w="559" w:type="pct"/>
            <w:tcBorders>
              <w:tl2br w:val="nil"/>
              <w:tr2bl w:val="nil"/>
            </w:tcBorders>
            <w:vAlign w:val="center"/>
          </w:tcPr>
          <w:p w14:paraId="22679B46">
            <w:pPr>
              <w:spacing w:line="240" w:lineRule="auto"/>
              <w:ind w:firstLine="0" w:firstLineChars="0"/>
              <w:jc w:val="center"/>
              <w:rPr>
                <w:b/>
                <w:bCs/>
                <w:color w:val="auto"/>
                <w:sz w:val="21"/>
                <w:szCs w:val="21"/>
                <w:highlight w:val="none"/>
                <w:u w:val="single"/>
              </w:rPr>
            </w:pPr>
            <w:r>
              <w:rPr>
                <w:rFonts w:hint="eastAsia"/>
                <w:b/>
                <w:bCs/>
                <w:color w:val="auto"/>
                <w:sz w:val="21"/>
                <w:szCs w:val="21"/>
                <w:highlight w:val="none"/>
                <w:u w:val="single"/>
              </w:rPr>
              <w:t>2025.10.23</w:t>
            </w:r>
          </w:p>
        </w:tc>
        <w:tc>
          <w:tcPr>
            <w:tcW w:w="1766" w:type="pct"/>
            <w:vMerge w:val="continue"/>
            <w:tcBorders>
              <w:tl2br w:val="nil"/>
              <w:tr2bl w:val="nil"/>
            </w:tcBorders>
            <w:vAlign w:val="center"/>
          </w:tcPr>
          <w:p w14:paraId="7BBC879F">
            <w:pPr>
              <w:ind w:firstLine="482"/>
              <w:jc w:val="center"/>
              <w:rPr>
                <w:b/>
                <w:color w:val="auto"/>
                <w:szCs w:val="21"/>
                <w:highlight w:val="none"/>
                <w:u w:val="single"/>
              </w:rPr>
            </w:pPr>
          </w:p>
        </w:tc>
      </w:tr>
      <w:tr w14:paraId="23A02A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995" w:type="pct"/>
            <w:tcBorders>
              <w:tl2br w:val="nil"/>
              <w:tr2bl w:val="nil"/>
            </w:tcBorders>
            <w:vAlign w:val="center"/>
          </w:tcPr>
          <w:p w14:paraId="7BAFDCD7">
            <w:pPr>
              <w:spacing w:line="240" w:lineRule="auto"/>
              <w:ind w:firstLine="0" w:firstLineChars="0"/>
              <w:jc w:val="center"/>
              <w:rPr>
                <w:color w:val="auto"/>
                <w:sz w:val="21"/>
                <w:szCs w:val="21"/>
                <w:highlight w:val="none"/>
                <w:u w:val="single"/>
              </w:rPr>
            </w:pPr>
            <w:r>
              <w:rPr>
                <w:color w:val="auto"/>
                <w:sz w:val="21"/>
                <w:szCs w:val="21"/>
                <w:highlight w:val="none"/>
                <w:u w:val="single"/>
              </w:rPr>
              <w:t>pH值(无量纲)</w:t>
            </w:r>
          </w:p>
        </w:tc>
        <w:tc>
          <w:tcPr>
            <w:tcW w:w="559" w:type="pct"/>
            <w:tcBorders>
              <w:tl2br w:val="nil"/>
              <w:tr2bl w:val="nil"/>
            </w:tcBorders>
            <w:vAlign w:val="center"/>
          </w:tcPr>
          <w:p w14:paraId="24B81FE4">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7.7</w:t>
            </w:r>
          </w:p>
        </w:tc>
        <w:tc>
          <w:tcPr>
            <w:tcW w:w="559" w:type="pct"/>
            <w:tcBorders>
              <w:tl2br w:val="nil"/>
              <w:tr2bl w:val="nil"/>
            </w:tcBorders>
            <w:vAlign w:val="center"/>
          </w:tcPr>
          <w:p w14:paraId="46AC2400">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7.1</w:t>
            </w:r>
          </w:p>
        </w:tc>
        <w:tc>
          <w:tcPr>
            <w:tcW w:w="559" w:type="pct"/>
            <w:tcBorders>
              <w:tl2br w:val="nil"/>
              <w:tr2bl w:val="nil"/>
            </w:tcBorders>
            <w:vAlign w:val="center"/>
          </w:tcPr>
          <w:p w14:paraId="54EDFA5A">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7.4</w:t>
            </w:r>
          </w:p>
        </w:tc>
        <w:tc>
          <w:tcPr>
            <w:tcW w:w="559" w:type="pct"/>
            <w:tcBorders>
              <w:tl2br w:val="nil"/>
              <w:tr2bl w:val="nil"/>
            </w:tcBorders>
            <w:vAlign w:val="center"/>
          </w:tcPr>
          <w:p w14:paraId="48AA2D2E">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w:t>
            </w:r>
          </w:p>
        </w:tc>
        <w:tc>
          <w:tcPr>
            <w:tcW w:w="1766" w:type="pct"/>
            <w:tcBorders>
              <w:tl2br w:val="nil"/>
              <w:tr2bl w:val="nil"/>
            </w:tcBorders>
            <w:vAlign w:val="center"/>
          </w:tcPr>
          <w:p w14:paraId="4394196C">
            <w:pPr>
              <w:spacing w:line="240" w:lineRule="auto"/>
              <w:ind w:firstLine="0" w:firstLineChars="0"/>
              <w:jc w:val="center"/>
              <w:rPr>
                <w:color w:val="auto"/>
                <w:sz w:val="21"/>
                <w:szCs w:val="21"/>
                <w:highlight w:val="none"/>
                <w:u w:val="single"/>
              </w:rPr>
            </w:pPr>
            <w:r>
              <w:rPr>
                <w:color w:val="auto"/>
                <w:sz w:val="21"/>
                <w:szCs w:val="21"/>
                <w:highlight w:val="none"/>
                <w:u w:val="single"/>
              </w:rPr>
              <w:t>6~9</w:t>
            </w:r>
          </w:p>
        </w:tc>
      </w:tr>
      <w:tr w14:paraId="746A66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995" w:type="pct"/>
            <w:tcBorders>
              <w:tl2br w:val="nil"/>
              <w:tr2bl w:val="nil"/>
            </w:tcBorders>
            <w:vAlign w:val="center"/>
          </w:tcPr>
          <w:p w14:paraId="52917AD9">
            <w:pPr>
              <w:spacing w:line="240" w:lineRule="auto"/>
              <w:ind w:firstLine="0" w:firstLineChars="0"/>
              <w:jc w:val="center"/>
              <w:rPr>
                <w:color w:val="auto"/>
                <w:sz w:val="21"/>
                <w:szCs w:val="21"/>
                <w:highlight w:val="none"/>
                <w:u w:val="single"/>
              </w:rPr>
            </w:pPr>
            <w:r>
              <w:rPr>
                <w:color w:val="auto"/>
                <w:sz w:val="21"/>
                <w:szCs w:val="21"/>
                <w:highlight w:val="none"/>
                <w:u w:val="single"/>
              </w:rPr>
              <w:t>石油类(mg/L)</w:t>
            </w:r>
          </w:p>
        </w:tc>
        <w:tc>
          <w:tcPr>
            <w:tcW w:w="559" w:type="pct"/>
            <w:tcBorders>
              <w:tl2br w:val="nil"/>
              <w:tr2bl w:val="nil"/>
            </w:tcBorders>
            <w:vAlign w:val="center"/>
          </w:tcPr>
          <w:p w14:paraId="3222AE6D">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30</w:t>
            </w:r>
          </w:p>
        </w:tc>
        <w:tc>
          <w:tcPr>
            <w:tcW w:w="559" w:type="pct"/>
            <w:tcBorders>
              <w:tl2br w:val="nil"/>
              <w:tr2bl w:val="nil"/>
            </w:tcBorders>
            <w:vAlign w:val="center"/>
          </w:tcPr>
          <w:p w14:paraId="778A4C08">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36</w:t>
            </w:r>
          </w:p>
        </w:tc>
        <w:tc>
          <w:tcPr>
            <w:tcW w:w="559" w:type="pct"/>
            <w:tcBorders>
              <w:tl2br w:val="nil"/>
              <w:tr2bl w:val="nil"/>
            </w:tcBorders>
            <w:vAlign w:val="center"/>
          </w:tcPr>
          <w:p w14:paraId="0F93D734">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42</w:t>
            </w:r>
          </w:p>
        </w:tc>
        <w:tc>
          <w:tcPr>
            <w:tcW w:w="559" w:type="pct"/>
            <w:tcBorders>
              <w:tl2br w:val="nil"/>
              <w:tr2bl w:val="nil"/>
            </w:tcBorders>
            <w:vAlign w:val="center"/>
          </w:tcPr>
          <w:p w14:paraId="35B3A8F4">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w:t>
            </w:r>
          </w:p>
        </w:tc>
        <w:tc>
          <w:tcPr>
            <w:tcW w:w="1766" w:type="pct"/>
            <w:tcBorders>
              <w:tl2br w:val="nil"/>
              <w:tr2bl w:val="nil"/>
            </w:tcBorders>
            <w:vAlign w:val="center"/>
          </w:tcPr>
          <w:p w14:paraId="486561EC">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70</w:t>
            </w:r>
          </w:p>
        </w:tc>
      </w:tr>
    </w:tbl>
    <w:p w14:paraId="30FBD49D">
      <w:pPr>
        <w:spacing w:before="120" w:beforeLines="50"/>
        <w:ind w:firstLine="482"/>
        <w:jc w:val="center"/>
        <w:rPr>
          <w:b/>
          <w:color w:val="auto"/>
          <w:szCs w:val="21"/>
          <w:highlight w:val="none"/>
          <w:u w:val="single"/>
        </w:rPr>
        <w:sectPr>
          <w:headerReference r:id="rId31" w:type="default"/>
          <w:pgSz w:w="16838" w:h="11906" w:orient="landscape"/>
          <w:pgMar w:top="1418" w:right="1418" w:bottom="1418" w:left="1418" w:header="851" w:footer="992" w:gutter="0"/>
          <w:cols w:space="720" w:num="1"/>
          <w:docGrid w:linePitch="326" w:charSpace="0"/>
        </w:sectPr>
      </w:pPr>
    </w:p>
    <w:p w14:paraId="48185331">
      <w:pPr>
        <w:pStyle w:val="91"/>
        <w:spacing w:after="0" w:line="360" w:lineRule="auto"/>
        <w:ind w:left="0" w:leftChars="0" w:firstLine="480"/>
        <w:rPr>
          <w:rFonts w:ascii="Times New Roman" w:hAnsi="Times New Roman" w:cs="Times New Roman"/>
          <w:bCs/>
          <w:color w:val="auto"/>
          <w:kern w:val="0"/>
          <w:sz w:val="24"/>
          <w:highlight w:val="none"/>
          <w:u w:val="single"/>
        </w:rPr>
      </w:pPr>
      <w:r>
        <w:rPr>
          <w:rFonts w:hint="eastAsia" w:ascii="Times New Roman" w:hAnsi="Times New Roman" w:cs="Times New Roman"/>
          <w:bCs/>
          <w:color w:val="auto"/>
          <w:kern w:val="0"/>
          <w:sz w:val="24"/>
          <w:highlight w:val="none"/>
          <w:u w:val="single"/>
          <w:lang w:eastAsia="zh-CN"/>
        </w:rPr>
        <w:t>监测</w:t>
      </w:r>
      <w:r>
        <w:rPr>
          <w:rFonts w:ascii="Times New Roman" w:hAnsi="Times New Roman" w:cs="Times New Roman"/>
          <w:bCs/>
          <w:color w:val="auto"/>
          <w:kern w:val="0"/>
          <w:sz w:val="24"/>
          <w:highlight w:val="none"/>
          <w:u w:val="single"/>
        </w:rPr>
        <w:t>结果表明：</w:t>
      </w:r>
      <w:r>
        <w:rPr>
          <w:rFonts w:hint="eastAsia" w:ascii="Times New Roman" w:hAnsi="Times New Roman" w:cs="Times New Roman"/>
          <w:bCs/>
          <w:color w:val="auto"/>
          <w:kern w:val="0"/>
          <w:sz w:val="24"/>
          <w:highlight w:val="none"/>
          <w:u w:val="single"/>
        </w:rPr>
        <w:t>污水处理站</w:t>
      </w:r>
      <w:r>
        <w:rPr>
          <w:rFonts w:ascii="Times New Roman" w:hAnsi="Times New Roman" w:cs="Times New Roman"/>
          <w:bCs/>
          <w:color w:val="auto"/>
          <w:kern w:val="0"/>
          <w:sz w:val="24"/>
          <w:highlight w:val="none"/>
          <w:u w:val="single"/>
        </w:rPr>
        <w:t>废水各监测因子浓度均达到《污水综合排放标准》（GB8978-1996）三级标准的要求；雨水总排口各监测因子浓度均达到《污水综合排放标准》（GB8978-1996）一级标准的要求。</w:t>
      </w:r>
    </w:p>
    <w:p w14:paraId="683C5591">
      <w:pPr>
        <w:pStyle w:val="91"/>
        <w:spacing w:after="0" w:line="360" w:lineRule="auto"/>
        <w:ind w:left="0" w:leftChars="0" w:firstLine="482"/>
        <w:rPr>
          <w:rFonts w:ascii="Times New Roman" w:hAnsi="Times New Roman" w:cs="Times New Roman"/>
          <w:b/>
          <w:color w:val="auto"/>
          <w:kern w:val="0"/>
          <w:sz w:val="24"/>
          <w:highlight w:val="none"/>
          <w:u w:val="single"/>
        </w:rPr>
      </w:pPr>
      <w:r>
        <w:rPr>
          <w:rFonts w:ascii="Times New Roman" w:hAnsi="Times New Roman" w:cs="Times New Roman"/>
          <w:b/>
          <w:color w:val="auto"/>
          <w:kern w:val="0"/>
          <w:sz w:val="24"/>
          <w:highlight w:val="none"/>
          <w:u w:val="single"/>
        </w:rPr>
        <w:t>（3）噪声</w:t>
      </w:r>
    </w:p>
    <w:p w14:paraId="6DAB828D">
      <w:pPr>
        <w:pStyle w:val="91"/>
        <w:spacing w:after="0" w:line="360" w:lineRule="auto"/>
        <w:ind w:left="0" w:leftChars="0" w:firstLine="480"/>
        <w:rPr>
          <w:rFonts w:ascii="Times New Roman" w:hAnsi="Times New Roman" w:cs="Times New Roman"/>
          <w:bCs/>
          <w:color w:val="auto"/>
          <w:kern w:val="0"/>
          <w:sz w:val="24"/>
          <w:highlight w:val="none"/>
          <w:u w:val="single"/>
        </w:rPr>
      </w:pPr>
      <w:r>
        <w:rPr>
          <w:rFonts w:ascii="Times New Roman" w:hAnsi="Times New Roman" w:cs="Times New Roman"/>
          <w:bCs/>
          <w:color w:val="auto"/>
          <w:kern w:val="0"/>
          <w:sz w:val="24"/>
          <w:highlight w:val="none"/>
          <w:u w:val="single"/>
        </w:rPr>
        <w:t>中船钦州修船资源整合项目一期工程主要连续噪声源为钢材切割加工噪声、船坞噪声、动力站房噪声以及船厂内打磨、冲断、切割、敲击、喷砂等噪声。</w:t>
      </w:r>
      <w:r>
        <w:rPr>
          <w:rFonts w:hint="eastAsia" w:ascii="Times New Roman" w:hAnsi="Times New Roman" w:cs="Times New Roman"/>
          <w:bCs/>
          <w:color w:val="auto"/>
          <w:kern w:val="0"/>
          <w:sz w:val="24"/>
          <w:highlight w:val="none"/>
          <w:u w:val="single"/>
        </w:rPr>
        <w:t>根据2025年建设单位对厂界噪声的</w:t>
      </w:r>
      <w:r>
        <w:rPr>
          <w:rFonts w:ascii="Times New Roman" w:hAnsi="Times New Roman" w:cs="Times New Roman"/>
          <w:bCs/>
          <w:color w:val="auto"/>
          <w:kern w:val="0"/>
          <w:sz w:val="24"/>
          <w:highlight w:val="none"/>
          <w:u w:val="single"/>
        </w:rPr>
        <w:t>监测结果</w:t>
      </w:r>
      <w:r>
        <w:rPr>
          <w:rFonts w:hint="eastAsia" w:ascii="Times New Roman" w:hAnsi="Times New Roman" w:cs="Times New Roman"/>
          <w:bCs/>
          <w:color w:val="auto"/>
          <w:kern w:val="0"/>
          <w:sz w:val="24"/>
          <w:highlight w:val="none"/>
          <w:u w:val="single"/>
        </w:rPr>
        <w:t>，</w:t>
      </w:r>
      <w:r>
        <w:rPr>
          <w:rFonts w:ascii="Times New Roman" w:hAnsi="Times New Roman" w:cs="Times New Roman"/>
          <w:bCs/>
          <w:color w:val="auto"/>
          <w:kern w:val="0"/>
          <w:sz w:val="24"/>
          <w:highlight w:val="none"/>
          <w:u w:val="single"/>
        </w:rPr>
        <w:t>见下表。</w:t>
      </w:r>
    </w:p>
    <w:p w14:paraId="67BC441F">
      <w:pPr>
        <w:pStyle w:val="38"/>
        <w:spacing w:after="0" w:line="240" w:lineRule="auto"/>
        <w:ind w:firstLine="0" w:firstLineChars="0"/>
        <w:jc w:val="center"/>
        <w:rPr>
          <w:b/>
          <w:color w:val="auto"/>
          <w:sz w:val="21"/>
          <w:szCs w:val="21"/>
          <w:highlight w:val="none"/>
          <w:u w:val="single"/>
        </w:rPr>
      </w:pPr>
      <w:r>
        <w:rPr>
          <w:b/>
          <w:color w:val="auto"/>
          <w:sz w:val="21"/>
          <w:szCs w:val="21"/>
          <w:highlight w:val="none"/>
          <w:u w:val="single"/>
        </w:rPr>
        <w:t>表2.1-1</w:t>
      </w:r>
      <w:r>
        <w:rPr>
          <w:rFonts w:hint="eastAsia"/>
          <w:b/>
          <w:color w:val="auto"/>
          <w:sz w:val="21"/>
          <w:szCs w:val="21"/>
          <w:highlight w:val="none"/>
          <w:u w:val="single"/>
        </w:rPr>
        <w:t>5</w:t>
      </w:r>
      <w:r>
        <w:rPr>
          <w:b/>
          <w:color w:val="auto"/>
          <w:sz w:val="21"/>
          <w:szCs w:val="21"/>
          <w:highlight w:val="none"/>
          <w:u w:val="single"/>
        </w:rPr>
        <w:t xml:space="preserve">   厂界噪声监测结果表             单位：dB(A)</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37"/>
        <w:gridCol w:w="1595"/>
        <w:gridCol w:w="1056"/>
        <w:gridCol w:w="1056"/>
        <w:gridCol w:w="1056"/>
        <w:gridCol w:w="1172"/>
        <w:gridCol w:w="881"/>
        <w:gridCol w:w="1033"/>
      </w:tblGrid>
      <w:tr w14:paraId="7BAE10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pct"/>
            <w:vMerge w:val="restart"/>
            <w:tcBorders>
              <w:tl2br w:val="nil"/>
              <w:tr2bl w:val="nil"/>
            </w:tcBorders>
            <w:vAlign w:val="center"/>
          </w:tcPr>
          <w:p w14:paraId="3C8E3E7E">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监测点位</w:t>
            </w:r>
          </w:p>
        </w:tc>
        <w:tc>
          <w:tcPr>
            <w:tcW w:w="859" w:type="pct"/>
            <w:vMerge w:val="restart"/>
            <w:tcBorders>
              <w:tl2br w:val="nil"/>
              <w:tr2bl w:val="nil"/>
            </w:tcBorders>
            <w:vAlign w:val="center"/>
          </w:tcPr>
          <w:p w14:paraId="38002A76">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监测时间</w:t>
            </w:r>
          </w:p>
        </w:tc>
        <w:tc>
          <w:tcPr>
            <w:tcW w:w="2335" w:type="pct"/>
            <w:gridSpan w:val="4"/>
            <w:tcBorders>
              <w:tl2br w:val="nil"/>
              <w:tr2bl w:val="nil"/>
            </w:tcBorders>
            <w:vAlign w:val="center"/>
          </w:tcPr>
          <w:p w14:paraId="7969BDAA">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监测日期</w:t>
            </w:r>
          </w:p>
        </w:tc>
        <w:tc>
          <w:tcPr>
            <w:tcW w:w="474" w:type="pct"/>
            <w:vMerge w:val="restart"/>
            <w:tcBorders>
              <w:tl2br w:val="nil"/>
              <w:tr2bl w:val="nil"/>
            </w:tcBorders>
            <w:vAlign w:val="center"/>
          </w:tcPr>
          <w:p w14:paraId="689E29ED">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执行</w:t>
            </w:r>
          </w:p>
          <w:p w14:paraId="16BB5D04">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标准</w:t>
            </w:r>
          </w:p>
        </w:tc>
        <w:tc>
          <w:tcPr>
            <w:tcW w:w="556" w:type="pct"/>
            <w:vMerge w:val="restart"/>
            <w:tcBorders>
              <w:tl2br w:val="nil"/>
              <w:tr2bl w:val="nil"/>
            </w:tcBorders>
            <w:vAlign w:val="center"/>
          </w:tcPr>
          <w:p w14:paraId="2CEC15DB">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结果</w:t>
            </w:r>
          </w:p>
          <w:p w14:paraId="780F3D42">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评价</w:t>
            </w:r>
          </w:p>
        </w:tc>
      </w:tr>
      <w:tr w14:paraId="4389E4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pct"/>
            <w:vMerge w:val="continue"/>
            <w:tcBorders>
              <w:tl2br w:val="nil"/>
              <w:tr2bl w:val="nil"/>
            </w:tcBorders>
            <w:vAlign w:val="center"/>
          </w:tcPr>
          <w:p w14:paraId="5FC9490B">
            <w:pPr>
              <w:spacing w:line="240" w:lineRule="auto"/>
              <w:ind w:firstLine="0" w:firstLineChars="0"/>
              <w:jc w:val="center"/>
              <w:rPr>
                <w:b/>
                <w:bCs/>
                <w:color w:val="auto"/>
                <w:sz w:val="21"/>
                <w:szCs w:val="21"/>
                <w:highlight w:val="none"/>
                <w:u w:val="single"/>
              </w:rPr>
            </w:pPr>
          </w:p>
        </w:tc>
        <w:tc>
          <w:tcPr>
            <w:tcW w:w="859" w:type="pct"/>
            <w:vMerge w:val="continue"/>
            <w:tcBorders>
              <w:tl2br w:val="nil"/>
              <w:tr2bl w:val="nil"/>
            </w:tcBorders>
            <w:vAlign w:val="center"/>
          </w:tcPr>
          <w:p w14:paraId="480420B5">
            <w:pPr>
              <w:spacing w:line="240" w:lineRule="auto"/>
              <w:ind w:firstLine="0" w:firstLineChars="0"/>
              <w:jc w:val="center"/>
              <w:rPr>
                <w:b/>
                <w:bCs/>
                <w:color w:val="auto"/>
                <w:sz w:val="21"/>
                <w:szCs w:val="21"/>
                <w:highlight w:val="none"/>
                <w:u w:val="single"/>
              </w:rPr>
            </w:pPr>
          </w:p>
        </w:tc>
        <w:tc>
          <w:tcPr>
            <w:tcW w:w="568" w:type="pct"/>
            <w:tcBorders>
              <w:tl2br w:val="nil"/>
              <w:tr2bl w:val="nil"/>
            </w:tcBorders>
            <w:vAlign w:val="center"/>
          </w:tcPr>
          <w:p w14:paraId="6167A74E">
            <w:pPr>
              <w:spacing w:line="240" w:lineRule="auto"/>
              <w:ind w:firstLine="0" w:firstLineChars="0"/>
              <w:jc w:val="center"/>
              <w:rPr>
                <w:b/>
                <w:bCs/>
                <w:color w:val="auto"/>
                <w:sz w:val="21"/>
                <w:szCs w:val="21"/>
                <w:highlight w:val="none"/>
                <w:u w:val="single"/>
              </w:rPr>
            </w:pPr>
            <w:r>
              <w:rPr>
                <w:rFonts w:hint="eastAsia"/>
                <w:b/>
                <w:bCs/>
                <w:color w:val="auto"/>
                <w:sz w:val="21"/>
                <w:szCs w:val="21"/>
                <w:highlight w:val="none"/>
                <w:u w:val="single"/>
              </w:rPr>
              <w:t>2025.3.18</w:t>
            </w:r>
          </w:p>
        </w:tc>
        <w:tc>
          <w:tcPr>
            <w:tcW w:w="568" w:type="pct"/>
            <w:tcBorders>
              <w:tl2br w:val="nil"/>
              <w:tr2bl w:val="nil"/>
            </w:tcBorders>
            <w:vAlign w:val="center"/>
          </w:tcPr>
          <w:p w14:paraId="608A3639">
            <w:pPr>
              <w:spacing w:line="240" w:lineRule="auto"/>
              <w:ind w:firstLine="0" w:firstLineChars="0"/>
              <w:jc w:val="center"/>
              <w:rPr>
                <w:b/>
                <w:bCs/>
                <w:color w:val="auto"/>
                <w:sz w:val="21"/>
                <w:szCs w:val="21"/>
                <w:highlight w:val="none"/>
                <w:u w:val="single"/>
              </w:rPr>
            </w:pPr>
            <w:r>
              <w:rPr>
                <w:rFonts w:hint="eastAsia"/>
                <w:b/>
                <w:bCs/>
                <w:color w:val="auto"/>
                <w:sz w:val="21"/>
                <w:szCs w:val="21"/>
                <w:highlight w:val="none"/>
                <w:u w:val="single"/>
              </w:rPr>
              <w:t>2025.5.21</w:t>
            </w:r>
          </w:p>
        </w:tc>
        <w:tc>
          <w:tcPr>
            <w:tcW w:w="568" w:type="pct"/>
            <w:tcBorders>
              <w:tl2br w:val="nil"/>
              <w:tr2bl w:val="nil"/>
            </w:tcBorders>
            <w:vAlign w:val="center"/>
          </w:tcPr>
          <w:p w14:paraId="314F0F36">
            <w:pPr>
              <w:spacing w:line="240" w:lineRule="auto"/>
              <w:ind w:firstLine="0" w:firstLineChars="0"/>
              <w:jc w:val="center"/>
              <w:rPr>
                <w:b/>
                <w:bCs/>
                <w:color w:val="auto"/>
                <w:sz w:val="21"/>
                <w:szCs w:val="21"/>
                <w:highlight w:val="none"/>
                <w:u w:val="single"/>
              </w:rPr>
            </w:pPr>
            <w:r>
              <w:rPr>
                <w:rFonts w:hint="eastAsia"/>
                <w:b/>
                <w:bCs/>
                <w:color w:val="auto"/>
                <w:sz w:val="21"/>
                <w:szCs w:val="21"/>
                <w:highlight w:val="none"/>
                <w:u w:val="single"/>
              </w:rPr>
              <w:t>2025.7.16</w:t>
            </w:r>
          </w:p>
        </w:tc>
        <w:tc>
          <w:tcPr>
            <w:tcW w:w="629" w:type="pct"/>
            <w:tcBorders>
              <w:tl2br w:val="nil"/>
              <w:tr2bl w:val="nil"/>
            </w:tcBorders>
            <w:vAlign w:val="center"/>
          </w:tcPr>
          <w:p w14:paraId="410750AD">
            <w:pPr>
              <w:spacing w:line="240" w:lineRule="auto"/>
              <w:ind w:firstLine="0" w:firstLineChars="0"/>
              <w:jc w:val="center"/>
              <w:rPr>
                <w:b/>
                <w:bCs/>
                <w:color w:val="auto"/>
                <w:sz w:val="21"/>
                <w:szCs w:val="21"/>
                <w:highlight w:val="none"/>
                <w:u w:val="single"/>
              </w:rPr>
            </w:pPr>
            <w:r>
              <w:rPr>
                <w:rFonts w:hint="eastAsia"/>
                <w:b/>
                <w:bCs/>
                <w:color w:val="auto"/>
                <w:sz w:val="21"/>
                <w:szCs w:val="21"/>
                <w:highlight w:val="none"/>
                <w:u w:val="single"/>
              </w:rPr>
              <w:t>2025.10.23</w:t>
            </w:r>
          </w:p>
        </w:tc>
        <w:tc>
          <w:tcPr>
            <w:tcW w:w="474" w:type="pct"/>
            <w:vMerge w:val="continue"/>
            <w:tcBorders>
              <w:tl2br w:val="nil"/>
              <w:tr2bl w:val="nil"/>
            </w:tcBorders>
            <w:vAlign w:val="center"/>
          </w:tcPr>
          <w:p w14:paraId="50AED051">
            <w:pPr>
              <w:ind w:firstLine="480"/>
              <w:jc w:val="center"/>
              <w:rPr>
                <w:color w:val="auto"/>
                <w:szCs w:val="21"/>
                <w:highlight w:val="none"/>
                <w:u w:val="single"/>
              </w:rPr>
            </w:pPr>
          </w:p>
        </w:tc>
        <w:tc>
          <w:tcPr>
            <w:tcW w:w="556" w:type="pct"/>
            <w:vMerge w:val="continue"/>
            <w:tcBorders>
              <w:tl2br w:val="nil"/>
              <w:tr2bl w:val="nil"/>
            </w:tcBorders>
            <w:vAlign w:val="center"/>
          </w:tcPr>
          <w:p w14:paraId="5D7A9A9A">
            <w:pPr>
              <w:ind w:firstLine="480"/>
              <w:jc w:val="center"/>
              <w:rPr>
                <w:color w:val="auto"/>
                <w:szCs w:val="21"/>
                <w:highlight w:val="none"/>
                <w:u w:val="single"/>
              </w:rPr>
            </w:pPr>
          </w:p>
        </w:tc>
      </w:tr>
      <w:tr w14:paraId="4612AA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pct"/>
            <w:vMerge w:val="restart"/>
            <w:tcBorders>
              <w:tl2br w:val="nil"/>
              <w:tr2bl w:val="nil"/>
            </w:tcBorders>
            <w:vAlign w:val="center"/>
          </w:tcPr>
          <w:p w14:paraId="1C0A4BCE">
            <w:pPr>
              <w:spacing w:line="240" w:lineRule="auto"/>
              <w:ind w:firstLine="0" w:firstLineChars="0"/>
              <w:jc w:val="center"/>
              <w:rPr>
                <w:color w:val="auto"/>
                <w:sz w:val="21"/>
                <w:szCs w:val="21"/>
                <w:highlight w:val="none"/>
                <w:u w:val="single"/>
              </w:rPr>
            </w:pPr>
            <w:r>
              <w:rPr>
                <w:color w:val="auto"/>
                <w:sz w:val="21"/>
                <w:szCs w:val="21"/>
                <w:highlight w:val="none"/>
                <w:u w:val="single"/>
              </w:rPr>
              <w:t>厂界东面</w:t>
            </w:r>
          </w:p>
        </w:tc>
        <w:tc>
          <w:tcPr>
            <w:tcW w:w="859" w:type="pct"/>
            <w:tcBorders>
              <w:tl2br w:val="nil"/>
              <w:tr2bl w:val="nil"/>
            </w:tcBorders>
            <w:vAlign w:val="center"/>
          </w:tcPr>
          <w:p w14:paraId="520AE205">
            <w:pPr>
              <w:spacing w:line="240" w:lineRule="auto"/>
              <w:ind w:firstLine="0" w:firstLineChars="0"/>
              <w:jc w:val="center"/>
              <w:rPr>
                <w:color w:val="auto"/>
                <w:sz w:val="21"/>
                <w:szCs w:val="21"/>
                <w:highlight w:val="none"/>
                <w:u w:val="single"/>
              </w:rPr>
            </w:pPr>
            <w:r>
              <w:rPr>
                <w:color w:val="auto"/>
                <w:sz w:val="21"/>
                <w:szCs w:val="21"/>
                <w:highlight w:val="none"/>
                <w:u w:val="single"/>
              </w:rPr>
              <w:t>昼间</w:t>
            </w:r>
          </w:p>
        </w:tc>
        <w:tc>
          <w:tcPr>
            <w:tcW w:w="568" w:type="pct"/>
            <w:tcBorders>
              <w:tl2br w:val="nil"/>
              <w:tr2bl w:val="nil"/>
            </w:tcBorders>
            <w:vAlign w:val="center"/>
          </w:tcPr>
          <w:p w14:paraId="068DBEE6">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53.2</w:t>
            </w:r>
          </w:p>
        </w:tc>
        <w:tc>
          <w:tcPr>
            <w:tcW w:w="568" w:type="pct"/>
            <w:tcBorders>
              <w:tl2br w:val="nil"/>
              <w:tr2bl w:val="nil"/>
            </w:tcBorders>
            <w:vAlign w:val="center"/>
          </w:tcPr>
          <w:p w14:paraId="06E1324F">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54.3</w:t>
            </w:r>
          </w:p>
        </w:tc>
        <w:tc>
          <w:tcPr>
            <w:tcW w:w="568" w:type="pct"/>
            <w:tcBorders>
              <w:tl2br w:val="nil"/>
              <w:tr2bl w:val="nil"/>
            </w:tcBorders>
            <w:vAlign w:val="center"/>
          </w:tcPr>
          <w:p w14:paraId="0853AF62">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52.7</w:t>
            </w:r>
          </w:p>
        </w:tc>
        <w:tc>
          <w:tcPr>
            <w:tcW w:w="629" w:type="pct"/>
            <w:tcBorders>
              <w:tl2br w:val="nil"/>
              <w:tr2bl w:val="nil"/>
            </w:tcBorders>
            <w:vAlign w:val="center"/>
          </w:tcPr>
          <w:p w14:paraId="0D7BFC4D">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56.4</w:t>
            </w:r>
          </w:p>
        </w:tc>
        <w:tc>
          <w:tcPr>
            <w:tcW w:w="474" w:type="pct"/>
            <w:tcBorders>
              <w:tl2br w:val="nil"/>
              <w:tr2bl w:val="nil"/>
            </w:tcBorders>
            <w:vAlign w:val="center"/>
          </w:tcPr>
          <w:p w14:paraId="688AC434">
            <w:pPr>
              <w:spacing w:line="240" w:lineRule="auto"/>
              <w:ind w:firstLine="0" w:firstLineChars="0"/>
              <w:jc w:val="center"/>
              <w:rPr>
                <w:color w:val="auto"/>
                <w:sz w:val="21"/>
                <w:szCs w:val="21"/>
                <w:highlight w:val="none"/>
                <w:u w:val="single"/>
              </w:rPr>
            </w:pPr>
            <w:r>
              <w:rPr>
                <w:color w:val="auto"/>
                <w:sz w:val="21"/>
                <w:szCs w:val="21"/>
                <w:highlight w:val="none"/>
                <w:u w:val="single"/>
              </w:rPr>
              <w:t>65</w:t>
            </w:r>
          </w:p>
        </w:tc>
        <w:tc>
          <w:tcPr>
            <w:tcW w:w="556" w:type="pct"/>
            <w:tcBorders>
              <w:tl2br w:val="nil"/>
              <w:tr2bl w:val="nil"/>
            </w:tcBorders>
            <w:vAlign w:val="center"/>
          </w:tcPr>
          <w:p w14:paraId="2E95DB81">
            <w:pPr>
              <w:spacing w:line="240" w:lineRule="auto"/>
              <w:ind w:firstLine="0" w:firstLineChars="0"/>
              <w:jc w:val="center"/>
              <w:rPr>
                <w:color w:val="auto"/>
                <w:sz w:val="21"/>
                <w:szCs w:val="21"/>
                <w:highlight w:val="none"/>
                <w:u w:val="single"/>
              </w:rPr>
            </w:pPr>
            <w:r>
              <w:rPr>
                <w:color w:val="auto"/>
                <w:sz w:val="21"/>
                <w:szCs w:val="21"/>
                <w:highlight w:val="none"/>
                <w:u w:val="single"/>
              </w:rPr>
              <w:t>达标</w:t>
            </w:r>
          </w:p>
        </w:tc>
      </w:tr>
      <w:tr w14:paraId="3B468D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pct"/>
            <w:vMerge w:val="continue"/>
            <w:tcBorders>
              <w:tl2br w:val="nil"/>
              <w:tr2bl w:val="nil"/>
            </w:tcBorders>
            <w:vAlign w:val="center"/>
          </w:tcPr>
          <w:p w14:paraId="553014A7">
            <w:pPr>
              <w:spacing w:line="240" w:lineRule="auto"/>
              <w:ind w:firstLine="0" w:firstLineChars="0"/>
              <w:jc w:val="center"/>
              <w:rPr>
                <w:color w:val="auto"/>
                <w:sz w:val="21"/>
                <w:szCs w:val="21"/>
                <w:highlight w:val="none"/>
                <w:u w:val="single"/>
              </w:rPr>
            </w:pPr>
          </w:p>
        </w:tc>
        <w:tc>
          <w:tcPr>
            <w:tcW w:w="859" w:type="pct"/>
            <w:tcBorders>
              <w:tl2br w:val="nil"/>
              <w:tr2bl w:val="nil"/>
            </w:tcBorders>
            <w:vAlign w:val="center"/>
          </w:tcPr>
          <w:p w14:paraId="309526C2">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夜间</w:t>
            </w:r>
          </w:p>
        </w:tc>
        <w:tc>
          <w:tcPr>
            <w:tcW w:w="568" w:type="pct"/>
            <w:tcBorders>
              <w:tl2br w:val="nil"/>
              <w:tr2bl w:val="nil"/>
            </w:tcBorders>
            <w:vAlign w:val="center"/>
          </w:tcPr>
          <w:p w14:paraId="64FC9D04">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48.3</w:t>
            </w:r>
          </w:p>
        </w:tc>
        <w:tc>
          <w:tcPr>
            <w:tcW w:w="568" w:type="pct"/>
            <w:tcBorders>
              <w:tl2br w:val="nil"/>
              <w:tr2bl w:val="nil"/>
            </w:tcBorders>
            <w:vAlign w:val="center"/>
          </w:tcPr>
          <w:p w14:paraId="4A2099AA">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49.1</w:t>
            </w:r>
          </w:p>
        </w:tc>
        <w:tc>
          <w:tcPr>
            <w:tcW w:w="568" w:type="pct"/>
            <w:tcBorders>
              <w:tl2br w:val="nil"/>
              <w:tr2bl w:val="nil"/>
            </w:tcBorders>
            <w:vAlign w:val="center"/>
          </w:tcPr>
          <w:p w14:paraId="5FB3E838">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46.8</w:t>
            </w:r>
          </w:p>
        </w:tc>
        <w:tc>
          <w:tcPr>
            <w:tcW w:w="629" w:type="pct"/>
            <w:tcBorders>
              <w:tl2br w:val="nil"/>
              <w:tr2bl w:val="nil"/>
            </w:tcBorders>
            <w:vAlign w:val="center"/>
          </w:tcPr>
          <w:p w14:paraId="13E0A7E7">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47.9</w:t>
            </w:r>
          </w:p>
        </w:tc>
        <w:tc>
          <w:tcPr>
            <w:tcW w:w="474" w:type="pct"/>
            <w:tcBorders>
              <w:tl2br w:val="nil"/>
              <w:tr2bl w:val="nil"/>
            </w:tcBorders>
            <w:vAlign w:val="center"/>
          </w:tcPr>
          <w:p w14:paraId="2C96108D">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55</w:t>
            </w:r>
          </w:p>
        </w:tc>
        <w:tc>
          <w:tcPr>
            <w:tcW w:w="556" w:type="pct"/>
            <w:tcBorders>
              <w:tl2br w:val="nil"/>
              <w:tr2bl w:val="nil"/>
            </w:tcBorders>
            <w:vAlign w:val="center"/>
          </w:tcPr>
          <w:p w14:paraId="1405BD94">
            <w:pPr>
              <w:spacing w:line="240" w:lineRule="auto"/>
              <w:ind w:firstLine="0" w:firstLineChars="0"/>
              <w:jc w:val="center"/>
              <w:rPr>
                <w:color w:val="auto"/>
                <w:sz w:val="21"/>
                <w:szCs w:val="21"/>
                <w:highlight w:val="none"/>
                <w:u w:val="single"/>
              </w:rPr>
            </w:pPr>
            <w:r>
              <w:rPr>
                <w:color w:val="auto"/>
                <w:sz w:val="21"/>
                <w:szCs w:val="21"/>
                <w:highlight w:val="none"/>
                <w:u w:val="single"/>
              </w:rPr>
              <w:t>达标</w:t>
            </w:r>
          </w:p>
        </w:tc>
      </w:tr>
      <w:tr w14:paraId="04292F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pct"/>
            <w:vMerge w:val="restart"/>
            <w:tcBorders>
              <w:tl2br w:val="nil"/>
              <w:tr2bl w:val="nil"/>
            </w:tcBorders>
            <w:vAlign w:val="center"/>
          </w:tcPr>
          <w:p w14:paraId="1CB9581F">
            <w:pPr>
              <w:spacing w:line="240" w:lineRule="auto"/>
              <w:ind w:firstLine="0" w:firstLineChars="0"/>
              <w:jc w:val="center"/>
              <w:rPr>
                <w:color w:val="auto"/>
                <w:sz w:val="21"/>
                <w:szCs w:val="21"/>
                <w:highlight w:val="none"/>
                <w:u w:val="single"/>
              </w:rPr>
            </w:pPr>
            <w:r>
              <w:rPr>
                <w:color w:val="auto"/>
                <w:sz w:val="21"/>
                <w:szCs w:val="21"/>
                <w:highlight w:val="none"/>
                <w:u w:val="single"/>
              </w:rPr>
              <w:t>厂界南面</w:t>
            </w:r>
          </w:p>
        </w:tc>
        <w:tc>
          <w:tcPr>
            <w:tcW w:w="859" w:type="pct"/>
            <w:tcBorders>
              <w:tl2br w:val="nil"/>
              <w:tr2bl w:val="nil"/>
            </w:tcBorders>
            <w:vAlign w:val="center"/>
          </w:tcPr>
          <w:p w14:paraId="0D764E6B">
            <w:pPr>
              <w:spacing w:line="240" w:lineRule="auto"/>
              <w:ind w:firstLine="0" w:firstLineChars="0"/>
              <w:jc w:val="center"/>
              <w:rPr>
                <w:color w:val="auto"/>
                <w:sz w:val="21"/>
                <w:szCs w:val="21"/>
                <w:highlight w:val="none"/>
                <w:u w:val="single"/>
              </w:rPr>
            </w:pPr>
            <w:r>
              <w:rPr>
                <w:color w:val="auto"/>
                <w:sz w:val="21"/>
                <w:szCs w:val="21"/>
                <w:highlight w:val="none"/>
                <w:u w:val="single"/>
              </w:rPr>
              <w:t>昼间</w:t>
            </w:r>
          </w:p>
        </w:tc>
        <w:tc>
          <w:tcPr>
            <w:tcW w:w="568" w:type="pct"/>
            <w:tcBorders>
              <w:tl2br w:val="nil"/>
              <w:tr2bl w:val="nil"/>
            </w:tcBorders>
            <w:vAlign w:val="center"/>
          </w:tcPr>
          <w:p w14:paraId="0EAB1858">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52.8</w:t>
            </w:r>
          </w:p>
        </w:tc>
        <w:tc>
          <w:tcPr>
            <w:tcW w:w="568" w:type="pct"/>
            <w:tcBorders>
              <w:tl2br w:val="nil"/>
              <w:tr2bl w:val="nil"/>
            </w:tcBorders>
            <w:vAlign w:val="center"/>
          </w:tcPr>
          <w:p w14:paraId="54D1A7A8">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55.1</w:t>
            </w:r>
          </w:p>
        </w:tc>
        <w:tc>
          <w:tcPr>
            <w:tcW w:w="568" w:type="pct"/>
            <w:tcBorders>
              <w:tl2br w:val="nil"/>
              <w:tr2bl w:val="nil"/>
            </w:tcBorders>
            <w:vAlign w:val="center"/>
          </w:tcPr>
          <w:p w14:paraId="0A19C102">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52.4</w:t>
            </w:r>
          </w:p>
        </w:tc>
        <w:tc>
          <w:tcPr>
            <w:tcW w:w="629" w:type="pct"/>
            <w:tcBorders>
              <w:tl2br w:val="nil"/>
              <w:tr2bl w:val="nil"/>
            </w:tcBorders>
            <w:vAlign w:val="center"/>
          </w:tcPr>
          <w:p w14:paraId="190E2F90">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53.3</w:t>
            </w:r>
          </w:p>
        </w:tc>
        <w:tc>
          <w:tcPr>
            <w:tcW w:w="474" w:type="pct"/>
            <w:tcBorders>
              <w:tl2br w:val="nil"/>
              <w:tr2bl w:val="nil"/>
            </w:tcBorders>
            <w:vAlign w:val="center"/>
          </w:tcPr>
          <w:p w14:paraId="504365E1">
            <w:pPr>
              <w:spacing w:line="240" w:lineRule="auto"/>
              <w:ind w:firstLine="0" w:firstLineChars="0"/>
              <w:jc w:val="center"/>
              <w:rPr>
                <w:color w:val="auto"/>
                <w:sz w:val="21"/>
                <w:szCs w:val="21"/>
                <w:highlight w:val="none"/>
                <w:u w:val="single"/>
              </w:rPr>
            </w:pPr>
            <w:r>
              <w:rPr>
                <w:color w:val="auto"/>
                <w:sz w:val="21"/>
                <w:szCs w:val="21"/>
                <w:highlight w:val="none"/>
                <w:u w:val="single"/>
              </w:rPr>
              <w:t>65</w:t>
            </w:r>
          </w:p>
        </w:tc>
        <w:tc>
          <w:tcPr>
            <w:tcW w:w="556" w:type="pct"/>
            <w:tcBorders>
              <w:tl2br w:val="nil"/>
              <w:tr2bl w:val="nil"/>
            </w:tcBorders>
            <w:vAlign w:val="center"/>
          </w:tcPr>
          <w:p w14:paraId="44A835EA">
            <w:pPr>
              <w:spacing w:line="240" w:lineRule="auto"/>
              <w:ind w:firstLine="0" w:firstLineChars="0"/>
              <w:jc w:val="center"/>
              <w:rPr>
                <w:color w:val="auto"/>
                <w:sz w:val="21"/>
                <w:szCs w:val="21"/>
                <w:highlight w:val="none"/>
                <w:u w:val="single"/>
              </w:rPr>
            </w:pPr>
            <w:r>
              <w:rPr>
                <w:color w:val="auto"/>
                <w:sz w:val="21"/>
                <w:szCs w:val="21"/>
                <w:highlight w:val="none"/>
                <w:u w:val="single"/>
              </w:rPr>
              <w:t>达标</w:t>
            </w:r>
          </w:p>
        </w:tc>
      </w:tr>
      <w:tr w14:paraId="36742B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pct"/>
            <w:vMerge w:val="continue"/>
            <w:tcBorders>
              <w:tl2br w:val="nil"/>
              <w:tr2bl w:val="nil"/>
            </w:tcBorders>
            <w:vAlign w:val="center"/>
          </w:tcPr>
          <w:p w14:paraId="3B082F8E">
            <w:pPr>
              <w:spacing w:line="240" w:lineRule="auto"/>
              <w:ind w:firstLine="0" w:firstLineChars="0"/>
              <w:jc w:val="center"/>
              <w:rPr>
                <w:color w:val="auto"/>
                <w:sz w:val="21"/>
                <w:szCs w:val="21"/>
                <w:highlight w:val="none"/>
                <w:u w:val="single"/>
              </w:rPr>
            </w:pPr>
          </w:p>
        </w:tc>
        <w:tc>
          <w:tcPr>
            <w:tcW w:w="859" w:type="pct"/>
            <w:tcBorders>
              <w:tl2br w:val="nil"/>
              <w:tr2bl w:val="nil"/>
            </w:tcBorders>
            <w:vAlign w:val="center"/>
          </w:tcPr>
          <w:p w14:paraId="44153639">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夜间</w:t>
            </w:r>
          </w:p>
        </w:tc>
        <w:tc>
          <w:tcPr>
            <w:tcW w:w="568" w:type="pct"/>
            <w:tcBorders>
              <w:tl2br w:val="nil"/>
              <w:tr2bl w:val="nil"/>
            </w:tcBorders>
            <w:vAlign w:val="center"/>
          </w:tcPr>
          <w:p w14:paraId="7CCE082A">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51.6</w:t>
            </w:r>
          </w:p>
        </w:tc>
        <w:tc>
          <w:tcPr>
            <w:tcW w:w="568" w:type="pct"/>
            <w:tcBorders>
              <w:tl2br w:val="nil"/>
              <w:tr2bl w:val="nil"/>
            </w:tcBorders>
            <w:vAlign w:val="center"/>
          </w:tcPr>
          <w:p w14:paraId="071C1CD6">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49.5</w:t>
            </w:r>
          </w:p>
        </w:tc>
        <w:tc>
          <w:tcPr>
            <w:tcW w:w="568" w:type="pct"/>
            <w:tcBorders>
              <w:tl2br w:val="nil"/>
              <w:tr2bl w:val="nil"/>
            </w:tcBorders>
            <w:vAlign w:val="center"/>
          </w:tcPr>
          <w:p w14:paraId="5C8AEEAB">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47.2</w:t>
            </w:r>
          </w:p>
        </w:tc>
        <w:tc>
          <w:tcPr>
            <w:tcW w:w="629" w:type="pct"/>
            <w:tcBorders>
              <w:tl2br w:val="nil"/>
              <w:tr2bl w:val="nil"/>
            </w:tcBorders>
            <w:vAlign w:val="center"/>
          </w:tcPr>
          <w:p w14:paraId="58F30769">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48.6</w:t>
            </w:r>
          </w:p>
        </w:tc>
        <w:tc>
          <w:tcPr>
            <w:tcW w:w="474" w:type="pct"/>
            <w:tcBorders>
              <w:tl2br w:val="nil"/>
              <w:tr2bl w:val="nil"/>
            </w:tcBorders>
            <w:vAlign w:val="center"/>
          </w:tcPr>
          <w:p w14:paraId="7E70398E">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55</w:t>
            </w:r>
          </w:p>
        </w:tc>
        <w:tc>
          <w:tcPr>
            <w:tcW w:w="556" w:type="pct"/>
            <w:tcBorders>
              <w:tl2br w:val="nil"/>
              <w:tr2bl w:val="nil"/>
            </w:tcBorders>
            <w:vAlign w:val="center"/>
          </w:tcPr>
          <w:p w14:paraId="325D0ACD">
            <w:pPr>
              <w:spacing w:line="240" w:lineRule="auto"/>
              <w:ind w:firstLine="0" w:firstLineChars="0"/>
              <w:jc w:val="center"/>
              <w:rPr>
                <w:color w:val="auto"/>
                <w:sz w:val="21"/>
                <w:szCs w:val="21"/>
                <w:highlight w:val="none"/>
                <w:u w:val="single"/>
              </w:rPr>
            </w:pPr>
            <w:r>
              <w:rPr>
                <w:color w:val="auto"/>
                <w:sz w:val="21"/>
                <w:szCs w:val="21"/>
                <w:highlight w:val="none"/>
                <w:u w:val="single"/>
              </w:rPr>
              <w:t>达标</w:t>
            </w:r>
          </w:p>
        </w:tc>
      </w:tr>
      <w:tr w14:paraId="37852C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pct"/>
            <w:vMerge w:val="restart"/>
            <w:tcBorders>
              <w:tl2br w:val="nil"/>
              <w:tr2bl w:val="nil"/>
            </w:tcBorders>
            <w:vAlign w:val="center"/>
          </w:tcPr>
          <w:p w14:paraId="21A342C6">
            <w:pPr>
              <w:spacing w:line="240" w:lineRule="auto"/>
              <w:ind w:firstLine="0" w:firstLineChars="0"/>
              <w:jc w:val="center"/>
              <w:rPr>
                <w:color w:val="auto"/>
                <w:sz w:val="21"/>
                <w:szCs w:val="21"/>
                <w:highlight w:val="none"/>
                <w:u w:val="single"/>
              </w:rPr>
            </w:pPr>
            <w:r>
              <w:rPr>
                <w:color w:val="auto"/>
                <w:sz w:val="21"/>
                <w:szCs w:val="21"/>
                <w:highlight w:val="none"/>
                <w:u w:val="single"/>
              </w:rPr>
              <w:t>厂界西面</w:t>
            </w:r>
          </w:p>
        </w:tc>
        <w:tc>
          <w:tcPr>
            <w:tcW w:w="859" w:type="pct"/>
            <w:tcBorders>
              <w:tl2br w:val="nil"/>
              <w:tr2bl w:val="nil"/>
            </w:tcBorders>
            <w:vAlign w:val="center"/>
          </w:tcPr>
          <w:p w14:paraId="0F45653F">
            <w:pPr>
              <w:spacing w:line="240" w:lineRule="auto"/>
              <w:ind w:firstLine="0" w:firstLineChars="0"/>
              <w:jc w:val="center"/>
              <w:rPr>
                <w:color w:val="auto"/>
                <w:sz w:val="21"/>
                <w:szCs w:val="21"/>
                <w:highlight w:val="none"/>
                <w:u w:val="single"/>
              </w:rPr>
            </w:pPr>
            <w:r>
              <w:rPr>
                <w:color w:val="auto"/>
                <w:sz w:val="21"/>
                <w:szCs w:val="21"/>
                <w:highlight w:val="none"/>
                <w:u w:val="single"/>
              </w:rPr>
              <w:t>昼间</w:t>
            </w:r>
          </w:p>
        </w:tc>
        <w:tc>
          <w:tcPr>
            <w:tcW w:w="568" w:type="pct"/>
            <w:tcBorders>
              <w:tl2br w:val="nil"/>
              <w:tr2bl w:val="nil"/>
            </w:tcBorders>
            <w:vAlign w:val="center"/>
          </w:tcPr>
          <w:p w14:paraId="7449E804">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51.8</w:t>
            </w:r>
          </w:p>
        </w:tc>
        <w:tc>
          <w:tcPr>
            <w:tcW w:w="568" w:type="pct"/>
            <w:tcBorders>
              <w:tl2br w:val="nil"/>
              <w:tr2bl w:val="nil"/>
            </w:tcBorders>
            <w:vAlign w:val="center"/>
          </w:tcPr>
          <w:p w14:paraId="5256E241">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53.9</w:t>
            </w:r>
          </w:p>
        </w:tc>
        <w:tc>
          <w:tcPr>
            <w:tcW w:w="568" w:type="pct"/>
            <w:tcBorders>
              <w:tl2br w:val="nil"/>
              <w:tr2bl w:val="nil"/>
            </w:tcBorders>
            <w:vAlign w:val="center"/>
          </w:tcPr>
          <w:p w14:paraId="6A32BABE">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53.1</w:t>
            </w:r>
          </w:p>
        </w:tc>
        <w:tc>
          <w:tcPr>
            <w:tcW w:w="629" w:type="pct"/>
            <w:tcBorders>
              <w:tl2br w:val="nil"/>
              <w:tr2bl w:val="nil"/>
            </w:tcBorders>
            <w:vAlign w:val="center"/>
          </w:tcPr>
          <w:p w14:paraId="3732F0C7">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55.5</w:t>
            </w:r>
          </w:p>
        </w:tc>
        <w:tc>
          <w:tcPr>
            <w:tcW w:w="474" w:type="pct"/>
            <w:tcBorders>
              <w:tl2br w:val="nil"/>
              <w:tr2bl w:val="nil"/>
            </w:tcBorders>
            <w:vAlign w:val="center"/>
          </w:tcPr>
          <w:p w14:paraId="384BCF65">
            <w:pPr>
              <w:spacing w:line="240" w:lineRule="auto"/>
              <w:ind w:firstLine="0" w:firstLineChars="0"/>
              <w:jc w:val="center"/>
              <w:rPr>
                <w:color w:val="auto"/>
                <w:sz w:val="21"/>
                <w:szCs w:val="21"/>
                <w:highlight w:val="none"/>
                <w:u w:val="single"/>
              </w:rPr>
            </w:pPr>
            <w:r>
              <w:rPr>
                <w:color w:val="auto"/>
                <w:sz w:val="21"/>
                <w:szCs w:val="21"/>
                <w:highlight w:val="none"/>
                <w:u w:val="single"/>
              </w:rPr>
              <w:t>65</w:t>
            </w:r>
          </w:p>
        </w:tc>
        <w:tc>
          <w:tcPr>
            <w:tcW w:w="556" w:type="pct"/>
            <w:tcBorders>
              <w:tl2br w:val="nil"/>
              <w:tr2bl w:val="nil"/>
            </w:tcBorders>
            <w:vAlign w:val="center"/>
          </w:tcPr>
          <w:p w14:paraId="4F602C02">
            <w:pPr>
              <w:spacing w:line="240" w:lineRule="auto"/>
              <w:ind w:firstLine="0" w:firstLineChars="0"/>
              <w:jc w:val="center"/>
              <w:rPr>
                <w:color w:val="auto"/>
                <w:sz w:val="21"/>
                <w:szCs w:val="21"/>
                <w:highlight w:val="none"/>
                <w:u w:val="single"/>
              </w:rPr>
            </w:pPr>
            <w:r>
              <w:rPr>
                <w:color w:val="auto"/>
                <w:sz w:val="21"/>
                <w:szCs w:val="21"/>
                <w:highlight w:val="none"/>
                <w:u w:val="single"/>
              </w:rPr>
              <w:t>达标</w:t>
            </w:r>
          </w:p>
        </w:tc>
      </w:tr>
      <w:tr w14:paraId="76878A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pct"/>
            <w:vMerge w:val="continue"/>
            <w:tcBorders>
              <w:tl2br w:val="nil"/>
              <w:tr2bl w:val="nil"/>
            </w:tcBorders>
            <w:vAlign w:val="center"/>
          </w:tcPr>
          <w:p w14:paraId="0AFBD5CC">
            <w:pPr>
              <w:spacing w:line="240" w:lineRule="auto"/>
              <w:ind w:firstLine="0" w:firstLineChars="0"/>
              <w:jc w:val="center"/>
              <w:rPr>
                <w:color w:val="auto"/>
                <w:sz w:val="21"/>
                <w:szCs w:val="21"/>
                <w:highlight w:val="none"/>
                <w:u w:val="single"/>
              </w:rPr>
            </w:pPr>
          </w:p>
        </w:tc>
        <w:tc>
          <w:tcPr>
            <w:tcW w:w="859" w:type="pct"/>
            <w:tcBorders>
              <w:tl2br w:val="nil"/>
              <w:tr2bl w:val="nil"/>
            </w:tcBorders>
            <w:vAlign w:val="center"/>
          </w:tcPr>
          <w:p w14:paraId="7A45AFB9">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夜间</w:t>
            </w:r>
          </w:p>
        </w:tc>
        <w:tc>
          <w:tcPr>
            <w:tcW w:w="568" w:type="pct"/>
            <w:tcBorders>
              <w:tl2br w:val="nil"/>
              <w:tr2bl w:val="nil"/>
            </w:tcBorders>
            <w:vAlign w:val="center"/>
          </w:tcPr>
          <w:p w14:paraId="5E734A62">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49</w:t>
            </w:r>
          </w:p>
        </w:tc>
        <w:tc>
          <w:tcPr>
            <w:tcW w:w="568" w:type="pct"/>
            <w:tcBorders>
              <w:tl2br w:val="nil"/>
              <w:tr2bl w:val="nil"/>
            </w:tcBorders>
            <w:vAlign w:val="center"/>
          </w:tcPr>
          <w:p w14:paraId="07F98D50">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47.1</w:t>
            </w:r>
          </w:p>
        </w:tc>
        <w:tc>
          <w:tcPr>
            <w:tcW w:w="568" w:type="pct"/>
            <w:tcBorders>
              <w:tl2br w:val="nil"/>
              <w:tr2bl w:val="nil"/>
            </w:tcBorders>
            <w:vAlign w:val="center"/>
          </w:tcPr>
          <w:p w14:paraId="0BAEE545">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47.5</w:t>
            </w:r>
          </w:p>
        </w:tc>
        <w:tc>
          <w:tcPr>
            <w:tcW w:w="629" w:type="pct"/>
            <w:tcBorders>
              <w:tl2br w:val="nil"/>
              <w:tr2bl w:val="nil"/>
            </w:tcBorders>
            <w:vAlign w:val="center"/>
          </w:tcPr>
          <w:p w14:paraId="4F9E4C2D">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48.4</w:t>
            </w:r>
          </w:p>
        </w:tc>
        <w:tc>
          <w:tcPr>
            <w:tcW w:w="474" w:type="pct"/>
            <w:tcBorders>
              <w:tl2br w:val="nil"/>
              <w:tr2bl w:val="nil"/>
            </w:tcBorders>
            <w:vAlign w:val="center"/>
          </w:tcPr>
          <w:p w14:paraId="06DD3876">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55</w:t>
            </w:r>
          </w:p>
        </w:tc>
        <w:tc>
          <w:tcPr>
            <w:tcW w:w="556" w:type="pct"/>
            <w:tcBorders>
              <w:tl2br w:val="nil"/>
              <w:tr2bl w:val="nil"/>
            </w:tcBorders>
            <w:vAlign w:val="center"/>
          </w:tcPr>
          <w:p w14:paraId="6FCBBFBC">
            <w:pPr>
              <w:spacing w:line="240" w:lineRule="auto"/>
              <w:ind w:firstLine="0" w:firstLineChars="0"/>
              <w:jc w:val="center"/>
              <w:rPr>
                <w:color w:val="auto"/>
                <w:sz w:val="21"/>
                <w:szCs w:val="21"/>
                <w:highlight w:val="none"/>
                <w:u w:val="single"/>
              </w:rPr>
            </w:pPr>
            <w:r>
              <w:rPr>
                <w:color w:val="auto"/>
                <w:sz w:val="21"/>
                <w:szCs w:val="21"/>
                <w:highlight w:val="none"/>
                <w:u w:val="single"/>
              </w:rPr>
              <w:t>达标</w:t>
            </w:r>
          </w:p>
        </w:tc>
      </w:tr>
      <w:tr w14:paraId="278EC1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pct"/>
            <w:vMerge w:val="restart"/>
            <w:tcBorders>
              <w:tl2br w:val="nil"/>
              <w:tr2bl w:val="nil"/>
            </w:tcBorders>
            <w:vAlign w:val="center"/>
          </w:tcPr>
          <w:p w14:paraId="48D29C3F">
            <w:pPr>
              <w:spacing w:line="240" w:lineRule="auto"/>
              <w:ind w:firstLine="0" w:firstLineChars="0"/>
              <w:jc w:val="center"/>
              <w:rPr>
                <w:color w:val="auto"/>
                <w:sz w:val="21"/>
                <w:szCs w:val="21"/>
                <w:highlight w:val="none"/>
                <w:u w:val="single"/>
              </w:rPr>
            </w:pPr>
            <w:r>
              <w:rPr>
                <w:color w:val="auto"/>
                <w:sz w:val="21"/>
                <w:szCs w:val="21"/>
                <w:highlight w:val="none"/>
                <w:u w:val="single"/>
              </w:rPr>
              <w:t>厂界北面</w:t>
            </w:r>
          </w:p>
        </w:tc>
        <w:tc>
          <w:tcPr>
            <w:tcW w:w="859" w:type="pct"/>
            <w:tcBorders>
              <w:tl2br w:val="nil"/>
              <w:tr2bl w:val="nil"/>
            </w:tcBorders>
            <w:vAlign w:val="center"/>
          </w:tcPr>
          <w:p w14:paraId="52C0EDBC">
            <w:pPr>
              <w:spacing w:line="240" w:lineRule="auto"/>
              <w:ind w:firstLine="0" w:firstLineChars="0"/>
              <w:jc w:val="center"/>
              <w:rPr>
                <w:color w:val="auto"/>
                <w:sz w:val="21"/>
                <w:szCs w:val="21"/>
                <w:highlight w:val="none"/>
                <w:u w:val="single"/>
              </w:rPr>
            </w:pPr>
            <w:r>
              <w:rPr>
                <w:color w:val="auto"/>
                <w:sz w:val="21"/>
                <w:szCs w:val="21"/>
                <w:highlight w:val="none"/>
                <w:u w:val="single"/>
              </w:rPr>
              <w:t>昼间</w:t>
            </w:r>
          </w:p>
        </w:tc>
        <w:tc>
          <w:tcPr>
            <w:tcW w:w="568" w:type="pct"/>
            <w:tcBorders>
              <w:tl2br w:val="nil"/>
              <w:tr2bl w:val="nil"/>
            </w:tcBorders>
            <w:vAlign w:val="center"/>
          </w:tcPr>
          <w:p w14:paraId="4E6D1EC3">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52.5</w:t>
            </w:r>
          </w:p>
        </w:tc>
        <w:tc>
          <w:tcPr>
            <w:tcW w:w="568" w:type="pct"/>
            <w:tcBorders>
              <w:tl2br w:val="nil"/>
              <w:tr2bl w:val="nil"/>
            </w:tcBorders>
            <w:vAlign w:val="center"/>
          </w:tcPr>
          <w:p w14:paraId="4B41F408">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51.3</w:t>
            </w:r>
          </w:p>
        </w:tc>
        <w:tc>
          <w:tcPr>
            <w:tcW w:w="568" w:type="pct"/>
            <w:tcBorders>
              <w:tl2br w:val="nil"/>
              <w:tr2bl w:val="nil"/>
            </w:tcBorders>
            <w:vAlign w:val="center"/>
          </w:tcPr>
          <w:p w14:paraId="3C3BC4E7">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51.7</w:t>
            </w:r>
          </w:p>
        </w:tc>
        <w:tc>
          <w:tcPr>
            <w:tcW w:w="629" w:type="pct"/>
            <w:tcBorders>
              <w:tl2br w:val="nil"/>
              <w:tr2bl w:val="nil"/>
            </w:tcBorders>
            <w:vAlign w:val="center"/>
          </w:tcPr>
          <w:p w14:paraId="5BFD9E45">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57</w:t>
            </w:r>
          </w:p>
        </w:tc>
        <w:tc>
          <w:tcPr>
            <w:tcW w:w="474" w:type="pct"/>
            <w:tcBorders>
              <w:tl2br w:val="nil"/>
              <w:tr2bl w:val="nil"/>
            </w:tcBorders>
            <w:vAlign w:val="center"/>
          </w:tcPr>
          <w:p w14:paraId="2BAD9A6E">
            <w:pPr>
              <w:spacing w:line="240" w:lineRule="auto"/>
              <w:ind w:firstLine="0" w:firstLineChars="0"/>
              <w:jc w:val="center"/>
              <w:rPr>
                <w:color w:val="auto"/>
                <w:sz w:val="21"/>
                <w:szCs w:val="21"/>
                <w:highlight w:val="none"/>
                <w:u w:val="single"/>
              </w:rPr>
            </w:pPr>
            <w:r>
              <w:rPr>
                <w:color w:val="auto"/>
                <w:sz w:val="21"/>
                <w:szCs w:val="21"/>
                <w:highlight w:val="none"/>
                <w:u w:val="single"/>
              </w:rPr>
              <w:t>65</w:t>
            </w:r>
          </w:p>
        </w:tc>
        <w:tc>
          <w:tcPr>
            <w:tcW w:w="556" w:type="pct"/>
            <w:tcBorders>
              <w:tl2br w:val="nil"/>
              <w:tr2bl w:val="nil"/>
            </w:tcBorders>
            <w:vAlign w:val="center"/>
          </w:tcPr>
          <w:p w14:paraId="3E0A2DE0">
            <w:pPr>
              <w:spacing w:line="240" w:lineRule="auto"/>
              <w:ind w:firstLine="0" w:firstLineChars="0"/>
              <w:jc w:val="center"/>
              <w:rPr>
                <w:color w:val="auto"/>
                <w:sz w:val="21"/>
                <w:szCs w:val="21"/>
                <w:highlight w:val="none"/>
                <w:u w:val="single"/>
              </w:rPr>
            </w:pPr>
            <w:r>
              <w:rPr>
                <w:color w:val="auto"/>
                <w:sz w:val="21"/>
                <w:szCs w:val="21"/>
                <w:highlight w:val="none"/>
                <w:u w:val="single"/>
              </w:rPr>
              <w:t>达标</w:t>
            </w:r>
          </w:p>
        </w:tc>
      </w:tr>
      <w:tr w14:paraId="425408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pct"/>
            <w:vMerge w:val="continue"/>
            <w:tcBorders>
              <w:tl2br w:val="nil"/>
              <w:tr2bl w:val="nil"/>
            </w:tcBorders>
            <w:vAlign w:val="center"/>
          </w:tcPr>
          <w:p w14:paraId="2AB127AA">
            <w:pPr>
              <w:spacing w:line="240" w:lineRule="auto"/>
              <w:ind w:firstLine="0" w:firstLineChars="0"/>
              <w:jc w:val="center"/>
              <w:rPr>
                <w:color w:val="auto"/>
                <w:sz w:val="21"/>
                <w:szCs w:val="21"/>
                <w:highlight w:val="none"/>
                <w:u w:val="single"/>
              </w:rPr>
            </w:pPr>
          </w:p>
        </w:tc>
        <w:tc>
          <w:tcPr>
            <w:tcW w:w="859" w:type="pct"/>
            <w:tcBorders>
              <w:tl2br w:val="nil"/>
              <w:tr2bl w:val="nil"/>
            </w:tcBorders>
            <w:vAlign w:val="center"/>
          </w:tcPr>
          <w:p w14:paraId="694B6472">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夜间</w:t>
            </w:r>
          </w:p>
        </w:tc>
        <w:tc>
          <w:tcPr>
            <w:tcW w:w="568" w:type="pct"/>
            <w:tcBorders>
              <w:tl2br w:val="nil"/>
              <w:tr2bl w:val="nil"/>
            </w:tcBorders>
            <w:vAlign w:val="center"/>
          </w:tcPr>
          <w:p w14:paraId="0C595264">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47.9</w:t>
            </w:r>
          </w:p>
        </w:tc>
        <w:tc>
          <w:tcPr>
            <w:tcW w:w="568" w:type="pct"/>
            <w:tcBorders>
              <w:tl2br w:val="nil"/>
              <w:tr2bl w:val="nil"/>
            </w:tcBorders>
            <w:vAlign w:val="center"/>
          </w:tcPr>
          <w:p w14:paraId="59BA8C29">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48.7</w:t>
            </w:r>
          </w:p>
        </w:tc>
        <w:tc>
          <w:tcPr>
            <w:tcW w:w="568" w:type="pct"/>
            <w:tcBorders>
              <w:tl2br w:val="nil"/>
              <w:tr2bl w:val="nil"/>
            </w:tcBorders>
            <w:vAlign w:val="center"/>
          </w:tcPr>
          <w:p w14:paraId="649FE5D2">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47.8</w:t>
            </w:r>
          </w:p>
        </w:tc>
        <w:tc>
          <w:tcPr>
            <w:tcW w:w="629" w:type="pct"/>
            <w:tcBorders>
              <w:tl2br w:val="nil"/>
              <w:tr2bl w:val="nil"/>
            </w:tcBorders>
            <w:vAlign w:val="center"/>
          </w:tcPr>
          <w:p w14:paraId="65409CD4">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49.2</w:t>
            </w:r>
          </w:p>
        </w:tc>
        <w:tc>
          <w:tcPr>
            <w:tcW w:w="474" w:type="pct"/>
            <w:tcBorders>
              <w:tl2br w:val="nil"/>
              <w:tr2bl w:val="nil"/>
            </w:tcBorders>
            <w:vAlign w:val="center"/>
          </w:tcPr>
          <w:p w14:paraId="7ACD4E4C">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55</w:t>
            </w:r>
          </w:p>
        </w:tc>
        <w:tc>
          <w:tcPr>
            <w:tcW w:w="556" w:type="pct"/>
            <w:tcBorders>
              <w:tl2br w:val="nil"/>
              <w:tr2bl w:val="nil"/>
            </w:tcBorders>
            <w:vAlign w:val="center"/>
          </w:tcPr>
          <w:p w14:paraId="3141BF48">
            <w:pPr>
              <w:spacing w:line="240" w:lineRule="auto"/>
              <w:ind w:firstLine="0" w:firstLineChars="0"/>
              <w:jc w:val="center"/>
              <w:rPr>
                <w:color w:val="auto"/>
                <w:sz w:val="21"/>
                <w:szCs w:val="21"/>
                <w:highlight w:val="none"/>
                <w:u w:val="single"/>
              </w:rPr>
            </w:pPr>
            <w:r>
              <w:rPr>
                <w:color w:val="auto"/>
                <w:sz w:val="21"/>
                <w:szCs w:val="21"/>
                <w:highlight w:val="none"/>
                <w:u w:val="single"/>
              </w:rPr>
              <w:t>达标</w:t>
            </w:r>
          </w:p>
        </w:tc>
      </w:tr>
    </w:tbl>
    <w:p w14:paraId="2CE23335">
      <w:pPr>
        <w:spacing w:before="120" w:beforeLines="50"/>
        <w:ind w:firstLine="480"/>
        <w:rPr>
          <w:bCs/>
          <w:color w:val="auto"/>
          <w:highlight w:val="none"/>
          <w:u w:val="single"/>
        </w:rPr>
      </w:pPr>
      <w:r>
        <w:rPr>
          <w:bCs/>
          <w:color w:val="auto"/>
          <w:highlight w:val="none"/>
          <w:u w:val="single"/>
        </w:rPr>
        <w:t>由监测结果可看出，</w:t>
      </w:r>
      <w:r>
        <w:rPr>
          <w:rFonts w:hint="eastAsia"/>
          <w:bCs/>
          <w:color w:val="auto"/>
          <w:highlight w:val="none"/>
          <w:u w:val="single"/>
        </w:rPr>
        <w:t>2025年</w:t>
      </w:r>
      <w:r>
        <w:rPr>
          <w:bCs/>
          <w:color w:val="auto"/>
          <w:highlight w:val="none"/>
          <w:u w:val="single"/>
        </w:rPr>
        <w:t>厂界噪声均符合《工业企业厂界环境噪声排放标准》</w:t>
      </w:r>
      <w:r>
        <w:rPr>
          <w:rFonts w:hint="eastAsia"/>
          <w:bCs/>
          <w:color w:val="auto"/>
          <w:highlight w:val="none"/>
          <w:u w:val="single"/>
        </w:rPr>
        <w:t>（</w:t>
      </w:r>
      <w:r>
        <w:rPr>
          <w:bCs/>
          <w:color w:val="auto"/>
          <w:highlight w:val="none"/>
          <w:u w:val="single"/>
        </w:rPr>
        <w:t>GB12348</w:t>
      </w:r>
      <w:r>
        <w:rPr>
          <w:rFonts w:hint="eastAsia"/>
          <w:bCs/>
          <w:color w:val="auto"/>
          <w:highlight w:val="none"/>
          <w:u w:val="single"/>
        </w:rPr>
        <w:t>-</w:t>
      </w:r>
      <w:r>
        <w:rPr>
          <w:bCs/>
          <w:color w:val="auto"/>
          <w:highlight w:val="none"/>
          <w:u w:val="single"/>
        </w:rPr>
        <w:t>2008</w:t>
      </w:r>
      <w:r>
        <w:rPr>
          <w:rFonts w:hint="eastAsia"/>
          <w:bCs/>
          <w:color w:val="auto"/>
          <w:highlight w:val="none"/>
          <w:u w:val="single"/>
        </w:rPr>
        <w:t>）</w:t>
      </w:r>
      <w:r>
        <w:rPr>
          <w:bCs/>
          <w:color w:val="auto"/>
          <w:highlight w:val="none"/>
          <w:u w:val="single"/>
        </w:rPr>
        <w:t>3类标准的要求。</w:t>
      </w:r>
    </w:p>
    <w:p w14:paraId="7CD33B76">
      <w:pPr>
        <w:pStyle w:val="91"/>
        <w:ind w:left="480"/>
        <w:rPr>
          <w:rFonts w:ascii="Times New Roman" w:hAnsi="Times New Roman" w:cs="Times New Roman"/>
          <w:color w:val="auto"/>
          <w:highlight w:val="none"/>
        </w:rPr>
      </w:pPr>
    </w:p>
    <w:p w14:paraId="4E9D1B72">
      <w:pPr>
        <w:pStyle w:val="7"/>
        <w:numPr>
          <w:ilvl w:val="2"/>
          <w:numId w:val="9"/>
        </w:numPr>
        <w:rPr>
          <w:color w:val="auto"/>
          <w:sz w:val="28"/>
          <w:highlight w:val="none"/>
        </w:rPr>
      </w:pPr>
      <w:r>
        <w:rPr>
          <w:rFonts w:hint="eastAsia"/>
          <w:color w:val="auto"/>
          <w:sz w:val="28"/>
          <w:highlight w:val="none"/>
        </w:rPr>
        <w:t>中船广西海上风电装备产业基地南翼项目2</w:t>
      </w:r>
      <w:r>
        <w:rPr>
          <w:color w:val="auto"/>
          <w:sz w:val="28"/>
          <w:highlight w:val="none"/>
        </w:rPr>
        <w:t>#码头和5#码头工程概况</w:t>
      </w:r>
    </w:p>
    <w:p w14:paraId="7C32CEBC">
      <w:pPr>
        <w:pStyle w:val="533"/>
        <w:numPr>
          <w:ilvl w:val="3"/>
          <w:numId w:val="9"/>
        </w:numPr>
        <w:rPr>
          <w:color w:val="auto"/>
          <w:szCs w:val="24"/>
          <w:highlight w:val="none"/>
        </w:rPr>
      </w:pPr>
      <w:r>
        <w:rPr>
          <w:color w:val="auto"/>
          <w:szCs w:val="24"/>
          <w:highlight w:val="none"/>
        </w:rPr>
        <w:t>工程内容及规模</w:t>
      </w:r>
    </w:p>
    <w:p w14:paraId="4431F8D5">
      <w:pPr>
        <w:ind w:firstLine="480"/>
        <w:rPr>
          <w:color w:val="auto"/>
          <w:highlight w:val="none"/>
        </w:rPr>
      </w:pPr>
      <w:r>
        <w:rPr>
          <w:color w:val="auto"/>
          <w:highlight w:val="none"/>
        </w:rPr>
        <w:t>中船广西海上风电装备产业基地南翼项目2#码头和5#码头工程项目主要建设内容为2#出运码头（307m*20m，6140m</w:t>
      </w:r>
      <w:r>
        <w:rPr>
          <w:color w:val="auto"/>
          <w:highlight w:val="none"/>
          <w:vertAlign w:val="superscript"/>
        </w:rPr>
        <w:t>2</w:t>
      </w:r>
      <w:r>
        <w:rPr>
          <w:color w:val="auto"/>
          <w:highlight w:val="none"/>
        </w:rPr>
        <w:t>）、5#舾装码头（346m*35m，12110m</w:t>
      </w:r>
      <w:r>
        <w:rPr>
          <w:color w:val="auto"/>
          <w:highlight w:val="none"/>
          <w:vertAlign w:val="superscript"/>
        </w:rPr>
        <w:t>2</w:t>
      </w:r>
      <w:r>
        <w:rPr>
          <w:color w:val="auto"/>
          <w:highlight w:val="none"/>
        </w:rPr>
        <w:t>）、配套建设0#配电站（473m</w:t>
      </w:r>
      <w:r>
        <w:rPr>
          <w:color w:val="auto"/>
          <w:highlight w:val="none"/>
          <w:vertAlign w:val="superscript"/>
        </w:rPr>
        <w:t>2</w:t>
      </w:r>
      <w:r>
        <w:rPr>
          <w:color w:val="auto"/>
          <w:highlight w:val="none"/>
        </w:rPr>
        <w:t>）、配套水域疏浚、建设外场水、电、气管网和局部道路。5#码头为舾装码头；2#码头主要为海工重件出运码头，兼顾作为舾装码头使用。2#码头产品采用该码头靠泊船型出运产品，最大运输频率为3种船舶类型（10万吨级、7万吨级、3万吨级）每年运输3次，每次停留5天。</w:t>
      </w:r>
    </w:p>
    <w:p w14:paraId="4C23EB01">
      <w:pPr>
        <w:pStyle w:val="38"/>
        <w:spacing w:after="0" w:line="240" w:lineRule="auto"/>
        <w:ind w:firstLine="0" w:firstLineChars="0"/>
        <w:jc w:val="center"/>
        <w:rPr>
          <w:b/>
          <w:color w:val="auto"/>
          <w:sz w:val="21"/>
          <w:szCs w:val="21"/>
          <w:highlight w:val="none"/>
        </w:rPr>
      </w:pPr>
      <w:r>
        <w:rPr>
          <w:b/>
          <w:color w:val="auto"/>
          <w:sz w:val="21"/>
          <w:szCs w:val="21"/>
          <w:highlight w:val="none"/>
        </w:rPr>
        <w:t>表2.1-1</w:t>
      </w:r>
      <w:r>
        <w:rPr>
          <w:rFonts w:hint="eastAsia"/>
          <w:b/>
          <w:color w:val="auto"/>
          <w:sz w:val="21"/>
          <w:szCs w:val="21"/>
          <w:highlight w:val="none"/>
        </w:rPr>
        <w:t>6</w:t>
      </w:r>
      <w:r>
        <w:rPr>
          <w:b/>
          <w:color w:val="auto"/>
          <w:sz w:val="21"/>
          <w:szCs w:val="21"/>
          <w:highlight w:val="none"/>
        </w:rPr>
        <w:t xml:space="preserve">  中船广西海上风电装备产业基地南翼项目2#码头和5#码头工程实际建设内容对比情况表</w:t>
      </w:r>
    </w:p>
    <w:tbl>
      <w:tblPr>
        <w:tblStyle w:val="9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2"/>
        <w:gridCol w:w="512"/>
        <w:gridCol w:w="522"/>
        <w:gridCol w:w="6056"/>
        <w:gridCol w:w="1677"/>
      </w:tblGrid>
      <w:tr w14:paraId="4E94F8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76" w:type="pct"/>
            <w:tcBorders>
              <w:tl2br w:val="nil"/>
              <w:tr2bl w:val="nil"/>
            </w:tcBorders>
            <w:vAlign w:val="center"/>
          </w:tcPr>
          <w:p w14:paraId="18FB6739">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工程类别</w:t>
            </w:r>
          </w:p>
        </w:tc>
        <w:tc>
          <w:tcPr>
            <w:tcW w:w="557" w:type="pct"/>
            <w:gridSpan w:val="2"/>
            <w:tcBorders>
              <w:tl2br w:val="nil"/>
              <w:tr2bl w:val="nil"/>
            </w:tcBorders>
            <w:vAlign w:val="center"/>
          </w:tcPr>
          <w:p w14:paraId="7FB3B1B9">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组成</w:t>
            </w:r>
          </w:p>
        </w:tc>
        <w:tc>
          <w:tcPr>
            <w:tcW w:w="3262" w:type="pct"/>
            <w:tcBorders>
              <w:tl2br w:val="nil"/>
              <w:tr2bl w:val="nil"/>
            </w:tcBorders>
            <w:vAlign w:val="center"/>
          </w:tcPr>
          <w:p w14:paraId="2BB5F301">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环评及批复建设内容</w:t>
            </w:r>
          </w:p>
        </w:tc>
        <w:tc>
          <w:tcPr>
            <w:tcW w:w="903" w:type="pct"/>
            <w:tcBorders>
              <w:tl2br w:val="nil"/>
              <w:tr2bl w:val="nil"/>
            </w:tcBorders>
            <w:vAlign w:val="center"/>
          </w:tcPr>
          <w:p w14:paraId="7E383D4F">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实际建设情况</w:t>
            </w:r>
          </w:p>
        </w:tc>
      </w:tr>
      <w:tr w14:paraId="3EDA6F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restart"/>
            <w:tcBorders>
              <w:tl2br w:val="nil"/>
              <w:tr2bl w:val="nil"/>
            </w:tcBorders>
            <w:vAlign w:val="center"/>
          </w:tcPr>
          <w:p w14:paraId="44133F49">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主体工程</w:t>
            </w:r>
          </w:p>
        </w:tc>
        <w:tc>
          <w:tcPr>
            <w:tcW w:w="276" w:type="pct"/>
            <w:vMerge w:val="restart"/>
            <w:tcBorders>
              <w:tl2br w:val="nil"/>
              <w:tr2bl w:val="nil"/>
            </w:tcBorders>
            <w:vAlign w:val="center"/>
          </w:tcPr>
          <w:p w14:paraId="316FA498">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码头前沿</w:t>
            </w:r>
          </w:p>
        </w:tc>
        <w:tc>
          <w:tcPr>
            <w:tcW w:w="280" w:type="pct"/>
            <w:tcBorders>
              <w:tl2br w:val="nil"/>
              <w:tr2bl w:val="nil"/>
            </w:tcBorders>
            <w:vAlign w:val="center"/>
          </w:tcPr>
          <w:p w14:paraId="230A233A">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码头泊位</w:t>
            </w:r>
          </w:p>
        </w:tc>
        <w:tc>
          <w:tcPr>
            <w:tcW w:w="3262" w:type="pct"/>
            <w:tcBorders>
              <w:tl2br w:val="nil"/>
              <w:tr2bl w:val="nil"/>
            </w:tcBorders>
            <w:vAlign w:val="center"/>
          </w:tcPr>
          <w:p w14:paraId="56F630E6">
            <w:pPr>
              <w:spacing w:line="240" w:lineRule="auto"/>
              <w:ind w:left="-72" w:leftChars="-30" w:right="-72" w:rightChars="-30" w:firstLine="0" w:firstLineChars="0"/>
              <w:rPr>
                <w:color w:val="auto"/>
                <w:sz w:val="21"/>
                <w:szCs w:val="21"/>
                <w:highlight w:val="none"/>
              </w:rPr>
            </w:pPr>
            <w:r>
              <w:rPr>
                <w:color w:val="auto"/>
                <w:sz w:val="21"/>
                <w:szCs w:val="21"/>
                <w:highlight w:val="none"/>
              </w:rPr>
              <w:t>5#舾装码头为10万吨级码头，主要设置10万吨级泊位1个，可兼顾靠泊5万吨级、2万吨级、5000吨级等船舶靠泊；</w:t>
            </w:r>
          </w:p>
          <w:p w14:paraId="3DBED6AC">
            <w:pPr>
              <w:spacing w:line="240" w:lineRule="auto"/>
              <w:ind w:left="-72" w:leftChars="-30" w:right="-72" w:rightChars="-30" w:firstLine="0" w:firstLineChars="0"/>
              <w:rPr>
                <w:color w:val="auto"/>
                <w:sz w:val="21"/>
                <w:szCs w:val="21"/>
                <w:highlight w:val="none"/>
              </w:rPr>
            </w:pPr>
            <w:r>
              <w:rPr>
                <w:color w:val="auto"/>
                <w:sz w:val="21"/>
                <w:szCs w:val="21"/>
                <w:highlight w:val="none"/>
              </w:rPr>
              <w:t>2#出运码头为10万吨级码头，设置10万吨级泊位1个，兼顾5万吨级。</w:t>
            </w:r>
          </w:p>
        </w:tc>
        <w:tc>
          <w:tcPr>
            <w:tcW w:w="903" w:type="pct"/>
            <w:tcBorders>
              <w:tl2br w:val="nil"/>
              <w:tr2bl w:val="nil"/>
            </w:tcBorders>
            <w:vAlign w:val="center"/>
          </w:tcPr>
          <w:p w14:paraId="5D3E6CA2">
            <w:pPr>
              <w:spacing w:line="240" w:lineRule="auto"/>
              <w:ind w:left="-72" w:leftChars="-30" w:right="-72" w:rightChars="-30" w:firstLine="0" w:firstLineChars="0"/>
              <w:rPr>
                <w:color w:val="auto"/>
                <w:sz w:val="21"/>
                <w:szCs w:val="21"/>
                <w:highlight w:val="none"/>
              </w:rPr>
            </w:pPr>
            <w:r>
              <w:rPr>
                <w:color w:val="auto"/>
                <w:sz w:val="21"/>
                <w:szCs w:val="21"/>
                <w:highlight w:val="none"/>
              </w:rPr>
              <w:t>与环评及批复建设内容一致</w:t>
            </w:r>
          </w:p>
        </w:tc>
      </w:tr>
      <w:tr w14:paraId="636B1B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14:paraId="5CE5E428">
            <w:pPr>
              <w:spacing w:line="240" w:lineRule="auto"/>
              <w:ind w:left="-72" w:leftChars="-30" w:right="-72" w:rightChars="-30" w:firstLine="0" w:firstLineChars="0"/>
              <w:jc w:val="center"/>
              <w:rPr>
                <w:color w:val="auto"/>
                <w:sz w:val="21"/>
                <w:szCs w:val="21"/>
                <w:highlight w:val="none"/>
              </w:rPr>
            </w:pPr>
          </w:p>
        </w:tc>
        <w:tc>
          <w:tcPr>
            <w:tcW w:w="276" w:type="pct"/>
            <w:vMerge w:val="continue"/>
            <w:tcBorders>
              <w:tl2br w:val="nil"/>
              <w:tr2bl w:val="nil"/>
            </w:tcBorders>
            <w:vAlign w:val="center"/>
          </w:tcPr>
          <w:p w14:paraId="7A6EC1F2">
            <w:pPr>
              <w:spacing w:line="240" w:lineRule="auto"/>
              <w:ind w:left="-72" w:leftChars="-30" w:right="-72" w:rightChars="-30" w:firstLine="0" w:firstLineChars="0"/>
              <w:jc w:val="center"/>
              <w:rPr>
                <w:color w:val="auto"/>
                <w:sz w:val="21"/>
                <w:szCs w:val="21"/>
                <w:highlight w:val="none"/>
              </w:rPr>
            </w:pPr>
          </w:p>
        </w:tc>
        <w:tc>
          <w:tcPr>
            <w:tcW w:w="280" w:type="pct"/>
            <w:tcBorders>
              <w:tl2br w:val="nil"/>
              <w:tr2bl w:val="nil"/>
            </w:tcBorders>
            <w:vAlign w:val="center"/>
          </w:tcPr>
          <w:p w14:paraId="061364F1">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水工结构</w:t>
            </w:r>
          </w:p>
        </w:tc>
        <w:tc>
          <w:tcPr>
            <w:tcW w:w="3262" w:type="pct"/>
            <w:tcBorders>
              <w:tl2br w:val="nil"/>
              <w:tr2bl w:val="nil"/>
            </w:tcBorders>
            <w:vAlign w:val="center"/>
          </w:tcPr>
          <w:p w14:paraId="31142720">
            <w:pPr>
              <w:spacing w:line="240" w:lineRule="auto"/>
              <w:ind w:left="-72" w:leftChars="-30" w:right="-72" w:rightChars="-30" w:firstLine="0" w:firstLineChars="0"/>
              <w:rPr>
                <w:color w:val="auto"/>
                <w:sz w:val="21"/>
                <w:szCs w:val="21"/>
                <w:highlight w:val="none"/>
              </w:rPr>
            </w:pPr>
            <w:r>
              <w:rPr>
                <w:color w:val="auto"/>
                <w:sz w:val="21"/>
                <w:szCs w:val="21"/>
                <w:highlight w:val="none"/>
              </w:rPr>
              <w:t>项目码头水工建筑物均为Ⅱ级建筑物。</w:t>
            </w:r>
          </w:p>
          <w:p w14:paraId="6D2DCB97">
            <w:pPr>
              <w:spacing w:line="240" w:lineRule="auto"/>
              <w:ind w:left="-72" w:leftChars="-30" w:right="-72" w:rightChars="-30" w:firstLine="0" w:firstLineChars="0"/>
              <w:rPr>
                <w:color w:val="auto"/>
                <w:sz w:val="21"/>
                <w:szCs w:val="21"/>
                <w:highlight w:val="none"/>
              </w:rPr>
            </w:pPr>
            <w:r>
              <w:rPr>
                <w:color w:val="auto"/>
                <w:sz w:val="21"/>
                <w:szCs w:val="21"/>
                <w:highlight w:val="none"/>
              </w:rPr>
              <w:t>5#码头长度346m，宽度25m。配置32t门座式起重机1台，轨距12m，靠海侧轨道距码头前沿4.5m；码头前沿停泊水域宽度86m，码头面标高同场地标高，为7.0m，前沿底标高-8.0m。结构形式为重力式结构。上部为现浇钢筋砼箱形廊道兼作胸墙，整个廊道高3500mm，宽4900mm，后有2000mm宽的拖板。墙顶布置有门座起重机轨道梁（按50t预留）、1000kN、1500kN系船柱、公用接头箱、登船塔等。5#码头后方设有独立的门座起重机轨道梁基础（与胸墙顶轨道梁组成1组），吊车道基础采用桩基支撑的连续梁结构。</w:t>
            </w:r>
          </w:p>
          <w:p w14:paraId="10E85F50">
            <w:pPr>
              <w:spacing w:line="240" w:lineRule="auto"/>
              <w:ind w:left="-72" w:leftChars="-30" w:right="-72" w:rightChars="-30" w:firstLine="0" w:firstLineChars="0"/>
              <w:rPr>
                <w:color w:val="auto"/>
                <w:sz w:val="21"/>
                <w:szCs w:val="21"/>
                <w:highlight w:val="none"/>
              </w:rPr>
            </w:pPr>
            <w:r>
              <w:rPr>
                <w:color w:val="auto"/>
                <w:sz w:val="21"/>
                <w:szCs w:val="21"/>
                <w:highlight w:val="none"/>
              </w:rPr>
              <w:t>2#码头总长307m，码头面宽20m。码头面标高同场地标高，为7.0m，前沿底标高-9.0m。结构形式为重力式结构。上部为现浇钢筋砼箱形廊道兼作胸墙。整个廊道高3500mm，宽4900mm，后有1100mm宽的拖板。墙顶布置有 1000kN、系船柱、公用接头箱等。码头后沿设门座起重机轨道梁（按50t 预留），轨道梁宽800mm，高2000mm，通过支墩作用在下部沉箱结构上。2#码头后方将建设水平滑道，因此，2#码头分为普通段和滑道出运段。</w:t>
            </w:r>
          </w:p>
        </w:tc>
        <w:tc>
          <w:tcPr>
            <w:tcW w:w="903" w:type="pct"/>
            <w:tcBorders>
              <w:tl2br w:val="nil"/>
              <w:tr2bl w:val="nil"/>
            </w:tcBorders>
            <w:vAlign w:val="center"/>
          </w:tcPr>
          <w:p w14:paraId="3D9D327D">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5#码头长度没变化，宽度从25m变成35m；</w:t>
            </w:r>
            <w:r>
              <w:rPr>
                <w:color w:val="auto"/>
                <w:sz w:val="21"/>
                <w:szCs w:val="21"/>
                <w:highlight w:val="none"/>
                <w:u w:val="single"/>
              </w:rPr>
              <w:t>32t门座式起重机</w:t>
            </w:r>
            <w:r>
              <w:rPr>
                <w:rFonts w:hint="eastAsia"/>
                <w:color w:val="auto"/>
                <w:sz w:val="21"/>
                <w:szCs w:val="21"/>
                <w:highlight w:val="none"/>
                <w:u w:val="single"/>
              </w:rPr>
              <w:t>未建设；</w:t>
            </w:r>
          </w:p>
          <w:p w14:paraId="52A6C89D">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2#码头宽度、结构均无变化。</w:t>
            </w:r>
          </w:p>
        </w:tc>
      </w:tr>
      <w:tr w14:paraId="1D4CEC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14:paraId="1F14AA76">
            <w:pPr>
              <w:spacing w:line="240" w:lineRule="auto"/>
              <w:ind w:left="-72" w:leftChars="-30" w:right="-72" w:rightChars="-30" w:firstLine="0" w:firstLineChars="0"/>
              <w:jc w:val="center"/>
              <w:rPr>
                <w:color w:val="auto"/>
                <w:sz w:val="21"/>
                <w:szCs w:val="21"/>
                <w:highlight w:val="none"/>
              </w:rPr>
            </w:pPr>
          </w:p>
        </w:tc>
        <w:tc>
          <w:tcPr>
            <w:tcW w:w="276" w:type="pct"/>
            <w:vMerge w:val="continue"/>
            <w:tcBorders>
              <w:tl2br w:val="nil"/>
              <w:tr2bl w:val="nil"/>
            </w:tcBorders>
            <w:vAlign w:val="center"/>
          </w:tcPr>
          <w:p w14:paraId="76DC2131">
            <w:pPr>
              <w:spacing w:line="240" w:lineRule="auto"/>
              <w:ind w:left="-72" w:leftChars="-30" w:right="-72" w:rightChars="-30" w:firstLine="0" w:firstLineChars="0"/>
              <w:jc w:val="center"/>
              <w:rPr>
                <w:color w:val="auto"/>
                <w:sz w:val="21"/>
                <w:szCs w:val="21"/>
                <w:highlight w:val="none"/>
              </w:rPr>
            </w:pPr>
          </w:p>
        </w:tc>
        <w:tc>
          <w:tcPr>
            <w:tcW w:w="280" w:type="pct"/>
            <w:tcBorders>
              <w:tl2br w:val="nil"/>
              <w:tr2bl w:val="nil"/>
            </w:tcBorders>
            <w:vAlign w:val="center"/>
          </w:tcPr>
          <w:p w14:paraId="75F25B12">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岸线</w:t>
            </w:r>
          </w:p>
        </w:tc>
        <w:tc>
          <w:tcPr>
            <w:tcW w:w="3262" w:type="pct"/>
            <w:tcBorders>
              <w:tl2br w:val="nil"/>
              <w:tr2bl w:val="nil"/>
            </w:tcBorders>
            <w:vAlign w:val="center"/>
          </w:tcPr>
          <w:p w14:paraId="6D9CAE8F">
            <w:pPr>
              <w:spacing w:line="240" w:lineRule="auto"/>
              <w:ind w:left="-72" w:leftChars="-30" w:right="-72" w:rightChars="-30" w:firstLine="0" w:firstLineChars="0"/>
              <w:rPr>
                <w:color w:val="auto"/>
                <w:sz w:val="21"/>
                <w:szCs w:val="21"/>
                <w:highlight w:val="none"/>
              </w:rPr>
            </w:pPr>
            <w:r>
              <w:rPr>
                <w:color w:val="auto"/>
                <w:sz w:val="21"/>
                <w:szCs w:val="21"/>
                <w:highlight w:val="none"/>
              </w:rPr>
              <w:t>项目岸线总长346m（5#码头）+307m（2#码头）=653m。</w:t>
            </w:r>
          </w:p>
        </w:tc>
        <w:tc>
          <w:tcPr>
            <w:tcW w:w="903" w:type="pct"/>
            <w:tcBorders>
              <w:tl2br w:val="nil"/>
              <w:tr2bl w:val="nil"/>
            </w:tcBorders>
            <w:vAlign w:val="center"/>
          </w:tcPr>
          <w:p w14:paraId="2EE188E1">
            <w:pPr>
              <w:spacing w:line="240" w:lineRule="auto"/>
              <w:ind w:left="-72" w:leftChars="-30" w:right="-72" w:rightChars="-30" w:firstLine="0" w:firstLineChars="0"/>
              <w:rPr>
                <w:color w:val="auto"/>
                <w:sz w:val="21"/>
                <w:szCs w:val="21"/>
                <w:highlight w:val="none"/>
              </w:rPr>
            </w:pPr>
            <w:r>
              <w:rPr>
                <w:color w:val="auto"/>
                <w:sz w:val="21"/>
                <w:szCs w:val="21"/>
                <w:highlight w:val="none"/>
              </w:rPr>
              <w:t>与环评及批复建设内容一致</w:t>
            </w:r>
          </w:p>
        </w:tc>
      </w:tr>
      <w:tr w14:paraId="67658D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14:paraId="2B2C8A2A">
            <w:pPr>
              <w:spacing w:line="240" w:lineRule="auto"/>
              <w:ind w:left="-72" w:leftChars="-30" w:right="-72" w:rightChars="-30" w:firstLine="0" w:firstLineChars="0"/>
              <w:jc w:val="center"/>
              <w:rPr>
                <w:color w:val="auto"/>
                <w:sz w:val="21"/>
                <w:szCs w:val="21"/>
                <w:highlight w:val="none"/>
              </w:rPr>
            </w:pPr>
          </w:p>
        </w:tc>
        <w:tc>
          <w:tcPr>
            <w:tcW w:w="276" w:type="pct"/>
            <w:vMerge w:val="continue"/>
            <w:tcBorders>
              <w:tl2br w:val="nil"/>
              <w:tr2bl w:val="nil"/>
            </w:tcBorders>
            <w:vAlign w:val="center"/>
          </w:tcPr>
          <w:p w14:paraId="66BD4872">
            <w:pPr>
              <w:spacing w:line="240" w:lineRule="auto"/>
              <w:ind w:left="-72" w:leftChars="-30" w:right="-72" w:rightChars="-30" w:firstLine="0" w:firstLineChars="0"/>
              <w:jc w:val="center"/>
              <w:rPr>
                <w:color w:val="auto"/>
                <w:sz w:val="21"/>
                <w:szCs w:val="21"/>
                <w:highlight w:val="none"/>
              </w:rPr>
            </w:pPr>
          </w:p>
        </w:tc>
        <w:tc>
          <w:tcPr>
            <w:tcW w:w="280" w:type="pct"/>
            <w:tcBorders>
              <w:tl2br w:val="nil"/>
              <w:tr2bl w:val="nil"/>
            </w:tcBorders>
            <w:vAlign w:val="center"/>
          </w:tcPr>
          <w:p w14:paraId="0691196E">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水域疏浚</w:t>
            </w:r>
          </w:p>
        </w:tc>
        <w:tc>
          <w:tcPr>
            <w:tcW w:w="3262" w:type="pct"/>
            <w:tcBorders>
              <w:tl2br w:val="nil"/>
              <w:tr2bl w:val="nil"/>
            </w:tcBorders>
            <w:vAlign w:val="center"/>
          </w:tcPr>
          <w:p w14:paraId="0789468A">
            <w:pPr>
              <w:spacing w:line="240" w:lineRule="auto"/>
              <w:ind w:left="-72" w:leftChars="-30" w:right="-72" w:rightChars="-30" w:firstLine="0" w:firstLineChars="0"/>
              <w:rPr>
                <w:color w:val="auto"/>
                <w:sz w:val="21"/>
                <w:szCs w:val="21"/>
                <w:highlight w:val="none"/>
              </w:rPr>
            </w:pPr>
            <w:r>
              <w:rPr>
                <w:color w:val="auto"/>
                <w:sz w:val="21"/>
                <w:szCs w:val="21"/>
                <w:highlight w:val="none"/>
              </w:rPr>
              <w:t>项目水域总疏浚量为137.56万m</w:t>
            </w:r>
            <w:r>
              <w:rPr>
                <w:color w:val="auto"/>
                <w:sz w:val="21"/>
                <w:szCs w:val="21"/>
                <w:highlight w:val="none"/>
                <w:vertAlign w:val="superscript"/>
              </w:rPr>
              <w:t>3</w:t>
            </w:r>
            <w:r>
              <w:rPr>
                <w:color w:val="auto"/>
                <w:sz w:val="21"/>
                <w:szCs w:val="21"/>
                <w:highlight w:val="none"/>
              </w:rPr>
              <w:t>，其中5#码头停泊水域疏浚量4.46万m</w:t>
            </w:r>
            <w:r>
              <w:rPr>
                <w:color w:val="auto"/>
                <w:sz w:val="21"/>
                <w:szCs w:val="21"/>
                <w:highlight w:val="none"/>
                <w:vertAlign w:val="superscript"/>
              </w:rPr>
              <w:t>3</w:t>
            </w:r>
            <w:r>
              <w:rPr>
                <w:color w:val="auto"/>
                <w:sz w:val="21"/>
                <w:szCs w:val="21"/>
                <w:highlight w:val="none"/>
              </w:rPr>
              <w:t>、2#码头停泊水域疏浚量92.3万m</w:t>
            </w:r>
            <w:r>
              <w:rPr>
                <w:color w:val="auto"/>
                <w:sz w:val="21"/>
                <w:szCs w:val="21"/>
                <w:highlight w:val="none"/>
                <w:vertAlign w:val="superscript"/>
              </w:rPr>
              <w:t>3</w:t>
            </w:r>
            <w:r>
              <w:rPr>
                <w:color w:val="auto"/>
                <w:sz w:val="21"/>
                <w:szCs w:val="21"/>
                <w:highlight w:val="none"/>
              </w:rPr>
              <w:t>、连接水域疏浚量40.8万m</w:t>
            </w:r>
            <w:r>
              <w:rPr>
                <w:color w:val="auto"/>
                <w:sz w:val="21"/>
                <w:szCs w:val="21"/>
                <w:highlight w:val="none"/>
                <w:vertAlign w:val="superscript"/>
              </w:rPr>
              <w:t>3</w:t>
            </w:r>
            <w:r>
              <w:rPr>
                <w:color w:val="auto"/>
                <w:sz w:val="21"/>
                <w:szCs w:val="21"/>
                <w:highlight w:val="none"/>
              </w:rPr>
              <w:t>，水域疏浚总面积约30万m</w:t>
            </w:r>
            <w:r>
              <w:rPr>
                <w:color w:val="auto"/>
                <w:sz w:val="21"/>
                <w:szCs w:val="21"/>
                <w:highlight w:val="none"/>
                <w:vertAlign w:val="superscript"/>
              </w:rPr>
              <w:t>2</w:t>
            </w:r>
            <w:r>
              <w:rPr>
                <w:color w:val="auto"/>
                <w:sz w:val="21"/>
                <w:szCs w:val="21"/>
                <w:highlight w:val="none"/>
              </w:rPr>
              <w:t>。</w:t>
            </w:r>
          </w:p>
        </w:tc>
        <w:tc>
          <w:tcPr>
            <w:tcW w:w="903" w:type="pct"/>
            <w:tcBorders>
              <w:tl2br w:val="nil"/>
              <w:tr2bl w:val="nil"/>
            </w:tcBorders>
            <w:vAlign w:val="center"/>
          </w:tcPr>
          <w:p w14:paraId="3863CABD">
            <w:pPr>
              <w:spacing w:line="240" w:lineRule="auto"/>
              <w:ind w:left="-72" w:leftChars="-30" w:right="-72" w:rightChars="-30" w:firstLine="0" w:firstLineChars="0"/>
              <w:rPr>
                <w:color w:val="auto"/>
                <w:sz w:val="21"/>
                <w:szCs w:val="21"/>
                <w:highlight w:val="none"/>
              </w:rPr>
            </w:pPr>
            <w:r>
              <w:rPr>
                <w:color w:val="auto"/>
                <w:sz w:val="21"/>
                <w:szCs w:val="21"/>
                <w:highlight w:val="none"/>
              </w:rPr>
              <w:t>项目水域总疏浚量为97.76万m</w:t>
            </w:r>
            <w:r>
              <w:rPr>
                <w:color w:val="auto"/>
                <w:sz w:val="21"/>
                <w:szCs w:val="21"/>
                <w:highlight w:val="none"/>
                <w:vertAlign w:val="superscript"/>
              </w:rPr>
              <w:t>3</w:t>
            </w:r>
            <w:r>
              <w:rPr>
                <w:color w:val="auto"/>
                <w:sz w:val="21"/>
                <w:szCs w:val="21"/>
                <w:highlight w:val="none"/>
              </w:rPr>
              <w:t>，水域疏浚总面积约30万m</w:t>
            </w:r>
            <w:r>
              <w:rPr>
                <w:color w:val="auto"/>
                <w:sz w:val="21"/>
                <w:szCs w:val="21"/>
                <w:highlight w:val="none"/>
                <w:vertAlign w:val="superscript"/>
              </w:rPr>
              <w:t>2</w:t>
            </w:r>
            <w:r>
              <w:rPr>
                <w:color w:val="auto"/>
                <w:sz w:val="21"/>
                <w:szCs w:val="21"/>
                <w:highlight w:val="none"/>
              </w:rPr>
              <w:t>。疏浚量减少</w:t>
            </w:r>
          </w:p>
        </w:tc>
      </w:tr>
      <w:tr w14:paraId="03EF7F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14:paraId="3DFBD777">
            <w:pPr>
              <w:spacing w:line="240" w:lineRule="auto"/>
              <w:ind w:left="-72" w:leftChars="-30" w:right="-72" w:rightChars="-30" w:firstLine="0" w:firstLineChars="0"/>
              <w:jc w:val="center"/>
              <w:rPr>
                <w:color w:val="auto"/>
                <w:sz w:val="21"/>
                <w:szCs w:val="21"/>
                <w:highlight w:val="none"/>
              </w:rPr>
            </w:pPr>
          </w:p>
        </w:tc>
        <w:tc>
          <w:tcPr>
            <w:tcW w:w="276" w:type="pct"/>
            <w:vMerge w:val="continue"/>
            <w:tcBorders>
              <w:tl2br w:val="nil"/>
              <w:tr2bl w:val="nil"/>
            </w:tcBorders>
            <w:vAlign w:val="center"/>
          </w:tcPr>
          <w:p w14:paraId="0185CC79">
            <w:pPr>
              <w:spacing w:line="240" w:lineRule="auto"/>
              <w:ind w:left="-72" w:leftChars="-30" w:right="-72" w:rightChars="-30" w:firstLine="0" w:firstLineChars="0"/>
              <w:jc w:val="center"/>
              <w:rPr>
                <w:color w:val="auto"/>
                <w:sz w:val="21"/>
                <w:szCs w:val="21"/>
                <w:highlight w:val="none"/>
              </w:rPr>
            </w:pPr>
          </w:p>
        </w:tc>
        <w:tc>
          <w:tcPr>
            <w:tcW w:w="280" w:type="pct"/>
            <w:tcBorders>
              <w:tl2br w:val="nil"/>
              <w:tr2bl w:val="nil"/>
            </w:tcBorders>
            <w:vAlign w:val="center"/>
          </w:tcPr>
          <w:p w14:paraId="0501E214">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基槽石方开挖</w:t>
            </w:r>
          </w:p>
        </w:tc>
        <w:tc>
          <w:tcPr>
            <w:tcW w:w="3262" w:type="pct"/>
            <w:tcBorders>
              <w:tl2br w:val="nil"/>
              <w:tr2bl w:val="nil"/>
            </w:tcBorders>
            <w:vAlign w:val="center"/>
          </w:tcPr>
          <w:p w14:paraId="344ABB83">
            <w:pPr>
              <w:spacing w:line="240" w:lineRule="auto"/>
              <w:ind w:left="-72" w:leftChars="-30" w:right="-72" w:rightChars="-30" w:firstLine="0" w:firstLineChars="0"/>
              <w:rPr>
                <w:color w:val="auto"/>
                <w:sz w:val="21"/>
                <w:szCs w:val="21"/>
                <w:highlight w:val="none"/>
              </w:rPr>
            </w:pPr>
            <w:r>
              <w:rPr>
                <w:color w:val="auto"/>
                <w:sz w:val="21"/>
                <w:szCs w:val="21"/>
                <w:highlight w:val="none"/>
              </w:rPr>
              <w:t>项目共需完成的风化岩层破碎4.6万m</w:t>
            </w:r>
            <w:r>
              <w:rPr>
                <w:color w:val="auto"/>
                <w:sz w:val="21"/>
                <w:szCs w:val="21"/>
                <w:highlight w:val="none"/>
                <w:vertAlign w:val="superscript"/>
              </w:rPr>
              <w:t>3</w:t>
            </w:r>
            <w:r>
              <w:rPr>
                <w:color w:val="auto"/>
                <w:sz w:val="21"/>
                <w:szCs w:val="21"/>
                <w:highlight w:val="none"/>
              </w:rPr>
              <w:t>，（其中码头基槽礁石开挖3.1万m</w:t>
            </w:r>
            <w:r>
              <w:rPr>
                <w:color w:val="auto"/>
                <w:sz w:val="21"/>
                <w:szCs w:val="21"/>
                <w:highlight w:val="none"/>
                <w:vertAlign w:val="superscript"/>
              </w:rPr>
              <w:t>3</w:t>
            </w:r>
            <w:r>
              <w:rPr>
                <w:color w:val="auto"/>
                <w:sz w:val="21"/>
                <w:szCs w:val="21"/>
                <w:highlight w:val="none"/>
              </w:rPr>
              <w:t>，停泊水域礁石开挖约1.5万m</w:t>
            </w:r>
            <w:r>
              <w:rPr>
                <w:color w:val="auto"/>
                <w:sz w:val="21"/>
                <w:szCs w:val="21"/>
                <w:highlight w:val="none"/>
                <w:vertAlign w:val="superscript"/>
              </w:rPr>
              <w:t>3</w:t>
            </w:r>
            <w:r>
              <w:rPr>
                <w:color w:val="auto"/>
                <w:sz w:val="21"/>
                <w:szCs w:val="21"/>
                <w:highlight w:val="none"/>
              </w:rPr>
              <w:t>）</w:t>
            </w:r>
          </w:p>
        </w:tc>
        <w:tc>
          <w:tcPr>
            <w:tcW w:w="903" w:type="pct"/>
            <w:tcBorders>
              <w:tl2br w:val="nil"/>
              <w:tr2bl w:val="nil"/>
            </w:tcBorders>
            <w:vAlign w:val="center"/>
          </w:tcPr>
          <w:p w14:paraId="32084FF0">
            <w:pPr>
              <w:spacing w:line="240" w:lineRule="auto"/>
              <w:ind w:left="-72" w:leftChars="-30" w:right="-72" w:rightChars="-30" w:firstLine="0" w:firstLineChars="0"/>
              <w:rPr>
                <w:color w:val="auto"/>
                <w:sz w:val="21"/>
                <w:szCs w:val="21"/>
                <w:highlight w:val="none"/>
              </w:rPr>
            </w:pPr>
            <w:r>
              <w:rPr>
                <w:color w:val="auto"/>
                <w:sz w:val="21"/>
                <w:szCs w:val="21"/>
                <w:highlight w:val="none"/>
              </w:rPr>
              <w:t>与环评及批复建设内容一致</w:t>
            </w:r>
          </w:p>
        </w:tc>
      </w:tr>
      <w:tr w14:paraId="3DDA6D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restart"/>
            <w:tcBorders>
              <w:tl2br w:val="nil"/>
              <w:tr2bl w:val="nil"/>
            </w:tcBorders>
            <w:vAlign w:val="center"/>
          </w:tcPr>
          <w:p w14:paraId="15F52A4D">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辅助工程</w:t>
            </w:r>
          </w:p>
        </w:tc>
        <w:tc>
          <w:tcPr>
            <w:tcW w:w="557" w:type="pct"/>
            <w:gridSpan w:val="2"/>
            <w:tcBorders>
              <w:tl2br w:val="nil"/>
              <w:tr2bl w:val="nil"/>
            </w:tcBorders>
            <w:vAlign w:val="center"/>
          </w:tcPr>
          <w:p w14:paraId="79648733">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道路</w:t>
            </w:r>
          </w:p>
        </w:tc>
        <w:tc>
          <w:tcPr>
            <w:tcW w:w="3262" w:type="pct"/>
            <w:tcBorders>
              <w:tl2br w:val="nil"/>
              <w:tr2bl w:val="nil"/>
            </w:tcBorders>
            <w:vAlign w:val="center"/>
          </w:tcPr>
          <w:p w14:paraId="20A3B311">
            <w:pPr>
              <w:spacing w:line="240" w:lineRule="auto"/>
              <w:ind w:left="-72" w:leftChars="-30" w:right="-72" w:rightChars="-30" w:firstLine="0" w:firstLineChars="0"/>
              <w:rPr>
                <w:color w:val="auto"/>
                <w:sz w:val="21"/>
                <w:szCs w:val="21"/>
                <w:highlight w:val="none"/>
              </w:rPr>
            </w:pPr>
            <w:r>
              <w:rPr>
                <w:color w:val="auto"/>
                <w:sz w:val="21"/>
                <w:szCs w:val="21"/>
                <w:highlight w:val="none"/>
              </w:rPr>
              <w:t>本次新建码头与厂区道路连接，满足运输和安全的需求。</w:t>
            </w:r>
          </w:p>
        </w:tc>
        <w:tc>
          <w:tcPr>
            <w:tcW w:w="903" w:type="pct"/>
            <w:tcBorders>
              <w:tl2br w:val="nil"/>
              <w:tr2bl w:val="nil"/>
            </w:tcBorders>
            <w:vAlign w:val="center"/>
          </w:tcPr>
          <w:p w14:paraId="431954E3">
            <w:pPr>
              <w:spacing w:line="240" w:lineRule="auto"/>
              <w:ind w:left="-72" w:leftChars="-30" w:right="-72" w:rightChars="-30" w:firstLine="0" w:firstLineChars="0"/>
              <w:rPr>
                <w:color w:val="auto"/>
                <w:sz w:val="21"/>
                <w:szCs w:val="21"/>
                <w:highlight w:val="none"/>
              </w:rPr>
            </w:pPr>
            <w:r>
              <w:rPr>
                <w:color w:val="auto"/>
                <w:sz w:val="21"/>
                <w:szCs w:val="21"/>
                <w:highlight w:val="none"/>
              </w:rPr>
              <w:t>与环评及批复建设内容一致</w:t>
            </w:r>
          </w:p>
        </w:tc>
      </w:tr>
      <w:tr w14:paraId="41690F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14:paraId="7FB1E838">
            <w:pPr>
              <w:spacing w:line="240" w:lineRule="auto"/>
              <w:ind w:left="-72" w:leftChars="-30" w:right="-72" w:rightChars="-30" w:firstLine="0" w:firstLineChars="0"/>
              <w:jc w:val="center"/>
              <w:rPr>
                <w:color w:val="auto"/>
                <w:sz w:val="21"/>
                <w:szCs w:val="21"/>
                <w:highlight w:val="none"/>
              </w:rPr>
            </w:pPr>
          </w:p>
        </w:tc>
        <w:tc>
          <w:tcPr>
            <w:tcW w:w="557" w:type="pct"/>
            <w:gridSpan w:val="2"/>
            <w:tcBorders>
              <w:tl2br w:val="nil"/>
              <w:tr2bl w:val="nil"/>
            </w:tcBorders>
            <w:vAlign w:val="center"/>
          </w:tcPr>
          <w:p w14:paraId="67269B63">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生活配套区</w:t>
            </w:r>
          </w:p>
        </w:tc>
        <w:tc>
          <w:tcPr>
            <w:tcW w:w="3262" w:type="pct"/>
            <w:tcBorders>
              <w:tl2br w:val="nil"/>
              <w:tr2bl w:val="nil"/>
            </w:tcBorders>
            <w:vAlign w:val="center"/>
          </w:tcPr>
          <w:p w14:paraId="4F24064C">
            <w:pPr>
              <w:spacing w:line="240" w:lineRule="auto"/>
              <w:ind w:left="-72" w:leftChars="-30" w:right="-72" w:rightChars="-30" w:firstLine="0" w:firstLineChars="0"/>
              <w:rPr>
                <w:color w:val="auto"/>
                <w:sz w:val="21"/>
                <w:szCs w:val="21"/>
                <w:highlight w:val="none"/>
              </w:rPr>
            </w:pPr>
            <w:r>
              <w:rPr>
                <w:color w:val="auto"/>
                <w:sz w:val="21"/>
                <w:szCs w:val="21"/>
                <w:highlight w:val="none"/>
              </w:rPr>
              <w:t>位于三墩作业区外，不属于本项目评价范围</w:t>
            </w:r>
          </w:p>
        </w:tc>
        <w:tc>
          <w:tcPr>
            <w:tcW w:w="903" w:type="pct"/>
            <w:tcBorders>
              <w:tl2br w:val="nil"/>
              <w:tr2bl w:val="nil"/>
            </w:tcBorders>
            <w:vAlign w:val="center"/>
          </w:tcPr>
          <w:p w14:paraId="34126994">
            <w:pPr>
              <w:spacing w:line="240" w:lineRule="auto"/>
              <w:ind w:left="-72" w:leftChars="-30" w:right="-72" w:rightChars="-30" w:firstLine="0" w:firstLineChars="0"/>
              <w:rPr>
                <w:color w:val="auto"/>
                <w:sz w:val="21"/>
                <w:szCs w:val="21"/>
                <w:highlight w:val="none"/>
              </w:rPr>
            </w:pPr>
            <w:r>
              <w:rPr>
                <w:color w:val="auto"/>
                <w:sz w:val="21"/>
                <w:szCs w:val="21"/>
                <w:highlight w:val="none"/>
              </w:rPr>
              <w:t>与环评及批复建设内容一致</w:t>
            </w:r>
          </w:p>
        </w:tc>
      </w:tr>
      <w:tr w14:paraId="21DFE7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restart"/>
            <w:tcBorders>
              <w:tl2br w:val="nil"/>
              <w:tr2bl w:val="nil"/>
            </w:tcBorders>
            <w:vAlign w:val="center"/>
          </w:tcPr>
          <w:p w14:paraId="768B79E6">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公用工程</w:t>
            </w:r>
          </w:p>
        </w:tc>
        <w:tc>
          <w:tcPr>
            <w:tcW w:w="557" w:type="pct"/>
            <w:gridSpan w:val="2"/>
            <w:tcBorders>
              <w:tl2br w:val="nil"/>
              <w:tr2bl w:val="nil"/>
            </w:tcBorders>
            <w:vAlign w:val="center"/>
          </w:tcPr>
          <w:p w14:paraId="5FD057C7">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供电</w:t>
            </w:r>
          </w:p>
        </w:tc>
        <w:tc>
          <w:tcPr>
            <w:tcW w:w="3262" w:type="pct"/>
            <w:tcBorders>
              <w:tl2br w:val="nil"/>
              <w:tr2bl w:val="nil"/>
            </w:tcBorders>
            <w:vAlign w:val="center"/>
          </w:tcPr>
          <w:p w14:paraId="56C4446F">
            <w:pPr>
              <w:spacing w:line="240" w:lineRule="auto"/>
              <w:ind w:left="-72" w:leftChars="-30" w:right="-72" w:rightChars="-30" w:firstLine="0" w:firstLineChars="0"/>
              <w:rPr>
                <w:color w:val="auto"/>
                <w:sz w:val="21"/>
                <w:szCs w:val="21"/>
                <w:highlight w:val="none"/>
              </w:rPr>
            </w:pPr>
            <w:r>
              <w:rPr>
                <w:color w:val="auto"/>
                <w:sz w:val="21"/>
                <w:szCs w:val="21"/>
                <w:highlight w:val="none"/>
              </w:rPr>
              <w:t>基地已建1#10kV配电站、2#配电站，其中2#配电站10kV电源引自1#10kV配电站，1#10kV配电站10kV电源由当地供电部门110kV区域变电站两路专线引来，每路容量4250kVA，共8500kVA。</w:t>
            </w:r>
          </w:p>
          <w:p w14:paraId="428239AE">
            <w:pPr>
              <w:spacing w:line="240" w:lineRule="auto"/>
              <w:ind w:left="-72" w:leftChars="-30" w:right="-72" w:rightChars="-30" w:firstLine="0" w:firstLineChars="0"/>
              <w:rPr>
                <w:color w:val="auto"/>
                <w:sz w:val="21"/>
                <w:szCs w:val="21"/>
                <w:highlight w:val="none"/>
              </w:rPr>
            </w:pPr>
            <w:r>
              <w:rPr>
                <w:color w:val="auto"/>
                <w:sz w:val="21"/>
                <w:szCs w:val="21"/>
                <w:highlight w:val="none"/>
              </w:rPr>
              <w:t>拟在基地内新建一座10kV总配电站（0#配电站），为整个钦州基地一期工程，包括现有工程和本工程及基地远期总体规划项目供电，2路10kV电源拟由当地供电部门在建的110kV区域变电站Ⅰ、Ⅱ段母线引来，容量均为10000kVA。现有的1#10kV配电站两路10kV电源改由0#配电站接入。</w:t>
            </w:r>
          </w:p>
        </w:tc>
        <w:tc>
          <w:tcPr>
            <w:tcW w:w="903" w:type="pct"/>
            <w:tcBorders>
              <w:tl2br w:val="nil"/>
              <w:tr2bl w:val="nil"/>
            </w:tcBorders>
            <w:vAlign w:val="center"/>
          </w:tcPr>
          <w:p w14:paraId="18EB9C82">
            <w:pPr>
              <w:spacing w:line="240" w:lineRule="auto"/>
              <w:ind w:left="-72" w:leftChars="-30" w:right="-72" w:rightChars="-30" w:firstLine="0" w:firstLineChars="0"/>
              <w:rPr>
                <w:color w:val="auto"/>
                <w:sz w:val="21"/>
                <w:szCs w:val="21"/>
                <w:highlight w:val="none"/>
              </w:rPr>
            </w:pPr>
            <w:r>
              <w:rPr>
                <w:color w:val="auto"/>
                <w:sz w:val="21"/>
                <w:szCs w:val="21"/>
                <w:highlight w:val="none"/>
              </w:rPr>
              <w:t>与环评及批复建设内容一致</w:t>
            </w:r>
          </w:p>
        </w:tc>
      </w:tr>
      <w:tr w14:paraId="053E7F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14:paraId="25D2C62C">
            <w:pPr>
              <w:spacing w:line="240" w:lineRule="auto"/>
              <w:ind w:left="-72" w:leftChars="-30" w:right="-72" w:rightChars="-30" w:firstLine="0" w:firstLineChars="0"/>
              <w:jc w:val="center"/>
              <w:rPr>
                <w:color w:val="auto"/>
                <w:sz w:val="21"/>
                <w:szCs w:val="21"/>
                <w:highlight w:val="none"/>
              </w:rPr>
            </w:pPr>
          </w:p>
        </w:tc>
        <w:tc>
          <w:tcPr>
            <w:tcW w:w="557" w:type="pct"/>
            <w:gridSpan w:val="2"/>
            <w:tcBorders>
              <w:tl2br w:val="nil"/>
              <w:tr2bl w:val="nil"/>
            </w:tcBorders>
            <w:vAlign w:val="center"/>
          </w:tcPr>
          <w:p w14:paraId="22095EDA">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给水系统</w:t>
            </w:r>
          </w:p>
        </w:tc>
        <w:tc>
          <w:tcPr>
            <w:tcW w:w="3262" w:type="pct"/>
            <w:tcBorders>
              <w:tl2br w:val="nil"/>
              <w:tr2bl w:val="nil"/>
            </w:tcBorders>
            <w:vAlign w:val="center"/>
          </w:tcPr>
          <w:p w14:paraId="5C889501">
            <w:pPr>
              <w:spacing w:line="240" w:lineRule="auto"/>
              <w:ind w:left="-72" w:leftChars="-30" w:right="-72" w:rightChars="-30" w:firstLine="0" w:firstLineChars="0"/>
              <w:rPr>
                <w:color w:val="auto"/>
                <w:sz w:val="21"/>
                <w:szCs w:val="21"/>
                <w:highlight w:val="none"/>
              </w:rPr>
            </w:pPr>
            <w:r>
              <w:rPr>
                <w:color w:val="auto"/>
                <w:sz w:val="21"/>
                <w:szCs w:val="21"/>
                <w:highlight w:val="none"/>
              </w:rPr>
              <w:t>厂区生活、生产用水水源为市政自来水；</w:t>
            </w:r>
          </w:p>
          <w:p w14:paraId="7EC92FF6">
            <w:pPr>
              <w:spacing w:line="240" w:lineRule="auto"/>
              <w:ind w:left="-72" w:leftChars="-30" w:right="-72" w:rightChars="-30" w:firstLine="0" w:firstLineChars="0"/>
              <w:rPr>
                <w:color w:val="auto"/>
                <w:sz w:val="21"/>
                <w:szCs w:val="21"/>
                <w:highlight w:val="none"/>
              </w:rPr>
            </w:pPr>
            <w:r>
              <w:rPr>
                <w:color w:val="auto"/>
                <w:sz w:val="21"/>
                <w:szCs w:val="21"/>
                <w:highlight w:val="none"/>
              </w:rPr>
              <w:t>厂区海水系统目前由浮船坞锚泊设施的趸船内的海水泵组供水，供水能力为400m</w:t>
            </w:r>
            <w:r>
              <w:rPr>
                <w:color w:val="auto"/>
                <w:sz w:val="21"/>
                <w:szCs w:val="21"/>
                <w:highlight w:val="none"/>
                <w:vertAlign w:val="superscript"/>
              </w:rPr>
              <w:t>3</w:t>
            </w:r>
            <w:r>
              <w:rPr>
                <w:color w:val="auto"/>
                <w:sz w:val="21"/>
                <w:szCs w:val="21"/>
                <w:highlight w:val="none"/>
              </w:rPr>
              <w:t>/h。</w:t>
            </w:r>
          </w:p>
        </w:tc>
        <w:tc>
          <w:tcPr>
            <w:tcW w:w="903" w:type="pct"/>
            <w:tcBorders>
              <w:tl2br w:val="nil"/>
              <w:tr2bl w:val="nil"/>
            </w:tcBorders>
            <w:vAlign w:val="center"/>
          </w:tcPr>
          <w:p w14:paraId="0741E017">
            <w:pPr>
              <w:spacing w:line="240" w:lineRule="auto"/>
              <w:ind w:left="-72" w:leftChars="-30" w:right="-72" w:rightChars="-30" w:firstLine="0" w:firstLineChars="0"/>
              <w:rPr>
                <w:color w:val="auto"/>
                <w:sz w:val="21"/>
                <w:szCs w:val="21"/>
                <w:highlight w:val="none"/>
              </w:rPr>
            </w:pPr>
            <w:r>
              <w:rPr>
                <w:color w:val="auto"/>
                <w:sz w:val="21"/>
                <w:szCs w:val="21"/>
                <w:highlight w:val="none"/>
              </w:rPr>
              <w:t>与环评及批复建设内容一致</w:t>
            </w:r>
          </w:p>
        </w:tc>
      </w:tr>
      <w:tr w14:paraId="3BC0DB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14:paraId="49A4196E">
            <w:pPr>
              <w:spacing w:line="240" w:lineRule="auto"/>
              <w:ind w:left="-72" w:leftChars="-30" w:right="-72" w:rightChars="-30" w:firstLine="0" w:firstLineChars="0"/>
              <w:jc w:val="center"/>
              <w:rPr>
                <w:color w:val="auto"/>
                <w:sz w:val="21"/>
                <w:szCs w:val="21"/>
                <w:highlight w:val="none"/>
              </w:rPr>
            </w:pPr>
          </w:p>
        </w:tc>
        <w:tc>
          <w:tcPr>
            <w:tcW w:w="557" w:type="pct"/>
            <w:gridSpan w:val="2"/>
            <w:tcBorders>
              <w:tl2br w:val="nil"/>
              <w:tr2bl w:val="nil"/>
            </w:tcBorders>
            <w:vAlign w:val="center"/>
          </w:tcPr>
          <w:p w14:paraId="37707BBC">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排水系统</w:t>
            </w:r>
          </w:p>
        </w:tc>
        <w:tc>
          <w:tcPr>
            <w:tcW w:w="3262" w:type="pct"/>
            <w:tcBorders>
              <w:tl2br w:val="nil"/>
              <w:tr2bl w:val="nil"/>
            </w:tcBorders>
            <w:vAlign w:val="center"/>
          </w:tcPr>
          <w:p w14:paraId="7147AEEA">
            <w:pPr>
              <w:spacing w:line="240" w:lineRule="auto"/>
              <w:ind w:left="-72" w:leftChars="-30" w:right="-72" w:rightChars="-30" w:firstLine="0" w:firstLineChars="0"/>
              <w:rPr>
                <w:color w:val="auto"/>
                <w:sz w:val="21"/>
                <w:szCs w:val="21"/>
                <w:highlight w:val="none"/>
              </w:rPr>
            </w:pPr>
            <w:r>
              <w:rPr>
                <w:color w:val="auto"/>
                <w:sz w:val="21"/>
                <w:szCs w:val="21"/>
                <w:highlight w:val="none"/>
              </w:rPr>
              <w:t>厂区</w:t>
            </w:r>
            <w:r>
              <w:rPr>
                <w:rFonts w:hint="eastAsia"/>
                <w:color w:val="auto"/>
                <w:sz w:val="21"/>
                <w:szCs w:val="21"/>
                <w:highlight w:val="none"/>
                <w:lang w:eastAsia="zh-CN"/>
              </w:rPr>
              <w:t>排水体制</w:t>
            </w:r>
            <w:r>
              <w:rPr>
                <w:color w:val="auto"/>
                <w:sz w:val="21"/>
                <w:szCs w:val="21"/>
                <w:highlight w:val="none"/>
              </w:rPr>
              <w:t>为分流制。</w:t>
            </w:r>
          </w:p>
          <w:p w14:paraId="660E3C1E">
            <w:pPr>
              <w:spacing w:line="240" w:lineRule="auto"/>
              <w:ind w:left="-72" w:leftChars="-30" w:right="-72" w:rightChars="-30" w:firstLine="0" w:firstLineChars="0"/>
              <w:jc w:val="left"/>
              <w:rPr>
                <w:color w:val="auto"/>
                <w:sz w:val="21"/>
                <w:szCs w:val="21"/>
                <w:highlight w:val="none"/>
              </w:rPr>
            </w:pPr>
            <w:r>
              <w:rPr>
                <w:rFonts w:hint="eastAsia"/>
                <w:color w:val="auto"/>
                <w:sz w:val="21"/>
                <w:szCs w:val="21"/>
                <w:highlight w:val="none"/>
              </w:rPr>
              <w:t>污水</w:t>
            </w:r>
            <w:r>
              <w:rPr>
                <w:color w:val="auto"/>
                <w:sz w:val="21"/>
                <w:szCs w:val="21"/>
                <w:highlight w:val="none"/>
              </w:rPr>
              <w:t>经DN300干管汇集至厂区污水提升泵站</w:t>
            </w:r>
            <w:r>
              <w:rPr>
                <w:rFonts w:hint="eastAsia"/>
                <w:color w:val="auto"/>
                <w:sz w:val="21"/>
                <w:szCs w:val="21"/>
                <w:highlight w:val="none"/>
                <w:lang w:eastAsia="zh-CN"/>
              </w:rPr>
              <w:t>后</w:t>
            </w:r>
            <w:r>
              <w:rPr>
                <w:rFonts w:hint="eastAsia"/>
                <w:color w:val="auto"/>
                <w:sz w:val="21"/>
                <w:szCs w:val="21"/>
                <w:highlight w:val="none"/>
              </w:rPr>
              <w:t>进入污水处理系统</w:t>
            </w:r>
            <w:r>
              <w:rPr>
                <w:color w:val="auto"/>
                <w:sz w:val="21"/>
                <w:szCs w:val="21"/>
                <w:highlight w:val="none"/>
              </w:rPr>
              <w:t>。</w:t>
            </w:r>
          </w:p>
          <w:p w14:paraId="4B254781">
            <w:pPr>
              <w:spacing w:line="240" w:lineRule="auto"/>
              <w:ind w:left="-72" w:leftChars="-30" w:right="-72" w:rightChars="-30" w:firstLine="0" w:firstLineChars="0"/>
              <w:rPr>
                <w:color w:val="auto"/>
                <w:sz w:val="21"/>
                <w:szCs w:val="21"/>
                <w:highlight w:val="none"/>
              </w:rPr>
            </w:pPr>
            <w:r>
              <w:rPr>
                <w:color w:val="auto"/>
                <w:sz w:val="21"/>
                <w:szCs w:val="21"/>
                <w:highlight w:val="none"/>
              </w:rPr>
              <w:t>初期雨水经码头面排水明沟排至雨水收集池后由潜水泵加压输送至中船钦州修船资源整合项目厂区污水管网，后期溢流雨水经码头前沿散排入海厂区。</w:t>
            </w:r>
          </w:p>
        </w:tc>
        <w:tc>
          <w:tcPr>
            <w:tcW w:w="903" w:type="pct"/>
            <w:tcBorders>
              <w:tl2br w:val="nil"/>
              <w:tr2bl w:val="nil"/>
            </w:tcBorders>
            <w:vAlign w:val="center"/>
          </w:tcPr>
          <w:p w14:paraId="7034FC52">
            <w:pPr>
              <w:spacing w:line="240" w:lineRule="auto"/>
              <w:ind w:left="-72" w:leftChars="-30" w:right="-72" w:rightChars="-30" w:firstLine="0" w:firstLineChars="0"/>
              <w:rPr>
                <w:color w:val="auto"/>
                <w:sz w:val="21"/>
                <w:szCs w:val="21"/>
                <w:highlight w:val="none"/>
              </w:rPr>
            </w:pPr>
            <w:r>
              <w:rPr>
                <w:color w:val="auto"/>
                <w:sz w:val="21"/>
                <w:szCs w:val="21"/>
                <w:highlight w:val="none"/>
              </w:rPr>
              <w:t>与环评及批复建设内容一致</w:t>
            </w:r>
          </w:p>
        </w:tc>
      </w:tr>
      <w:tr w14:paraId="30DCC7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tcBorders>
              <w:tl2br w:val="nil"/>
              <w:tr2bl w:val="nil"/>
            </w:tcBorders>
            <w:vAlign w:val="center"/>
          </w:tcPr>
          <w:p w14:paraId="70B2F973">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环保工程</w:t>
            </w:r>
          </w:p>
        </w:tc>
        <w:tc>
          <w:tcPr>
            <w:tcW w:w="557" w:type="pct"/>
            <w:gridSpan w:val="2"/>
            <w:tcBorders>
              <w:tl2br w:val="nil"/>
              <w:tr2bl w:val="nil"/>
            </w:tcBorders>
            <w:vAlign w:val="center"/>
          </w:tcPr>
          <w:p w14:paraId="1D189316">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污水处理</w:t>
            </w:r>
          </w:p>
        </w:tc>
        <w:tc>
          <w:tcPr>
            <w:tcW w:w="3262" w:type="pct"/>
            <w:tcBorders>
              <w:tl2br w:val="nil"/>
              <w:tr2bl w:val="nil"/>
            </w:tcBorders>
            <w:vAlign w:val="center"/>
          </w:tcPr>
          <w:p w14:paraId="52CF7275">
            <w:pPr>
              <w:spacing w:line="240" w:lineRule="auto"/>
              <w:ind w:left="-72" w:leftChars="-30" w:right="-72" w:rightChars="-30" w:firstLine="0" w:firstLineChars="0"/>
              <w:rPr>
                <w:color w:val="auto"/>
                <w:sz w:val="21"/>
                <w:szCs w:val="21"/>
                <w:highlight w:val="none"/>
              </w:rPr>
            </w:pPr>
            <w:r>
              <w:rPr>
                <w:color w:val="auto"/>
                <w:sz w:val="21"/>
                <w:szCs w:val="21"/>
                <w:highlight w:val="none"/>
              </w:rPr>
              <w:t>生活污水依托基地陆域生活污水系统；</w:t>
            </w:r>
            <w:r>
              <w:rPr>
                <w:rFonts w:hint="eastAsia"/>
                <w:color w:val="auto"/>
                <w:sz w:val="21"/>
                <w:szCs w:val="21"/>
                <w:highlight w:val="none"/>
              </w:rPr>
              <w:t>在码头</w:t>
            </w:r>
            <w:r>
              <w:rPr>
                <w:color w:val="auto"/>
                <w:sz w:val="21"/>
                <w:szCs w:val="21"/>
                <w:highlight w:val="none"/>
              </w:rPr>
              <w:t>建设初期雨水池</w:t>
            </w:r>
            <w:r>
              <w:rPr>
                <w:rStyle w:val="110"/>
                <w:color w:val="auto"/>
                <w:highlight w:val="none"/>
              </w:rPr>
              <w:t>。</w:t>
            </w:r>
          </w:p>
        </w:tc>
        <w:tc>
          <w:tcPr>
            <w:tcW w:w="903" w:type="pct"/>
            <w:tcBorders>
              <w:tl2br w:val="nil"/>
              <w:tr2bl w:val="nil"/>
            </w:tcBorders>
            <w:vAlign w:val="center"/>
          </w:tcPr>
          <w:p w14:paraId="7B66C692">
            <w:pPr>
              <w:spacing w:line="240" w:lineRule="auto"/>
              <w:ind w:left="-72" w:leftChars="-30" w:right="-72" w:rightChars="-30" w:firstLine="0" w:firstLineChars="0"/>
              <w:rPr>
                <w:color w:val="auto"/>
                <w:sz w:val="21"/>
                <w:szCs w:val="21"/>
                <w:highlight w:val="none"/>
              </w:rPr>
            </w:pPr>
            <w:r>
              <w:rPr>
                <w:color w:val="auto"/>
                <w:sz w:val="21"/>
                <w:szCs w:val="21"/>
                <w:highlight w:val="none"/>
              </w:rPr>
              <w:t>与环评及批复建设内容一致</w:t>
            </w:r>
          </w:p>
        </w:tc>
      </w:tr>
    </w:tbl>
    <w:p w14:paraId="20E21C77">
      <w:pPr>
        <w:pStyle w:val="533"/>
        <w:numPr>
          <w:ilvl w:val="3"/>
          <w:numId w:val="9"/>
        </w:numPr>
        <w:rPr>
          <w:color w:val="auto"/>
          <w:szCs w:val="24"/>
          <w:highlight w:val="none"/>
        </w:rPr>
      </w:pPr>
      <w:r>
        <w:rPr>
          <w:color w:val="auto"/>
          <w:szCs w:val="24"/>
          <w:highlight w:val="none"/>
        </w:rPr>
        <w:t>项目任务及产品方案</w:t>
      </w:r>
    </w:p>
    <w:p w14:paraId="1D6AB994">
      <w:pPr>
        <w:ind w:right="-20" w:firstLine="480"/>
        <w:rPr>
          <w:color w:val="auto"/>
          <w:szCs w:val="28"/>
          <w:highlight w:val="none"/>
        </w:rPr>
      </w:pPr>
      <w:r>
        <w:rPr>
          <w:color w:val="auto"/>
          <w:szCs w:val="28"/>
          <w:highlight w:val="none"/>
        </w:rPr>
        <w:t>（1）5#舾装码头</w:t>
      </w:r>
    </w:p>
    <w:p w14:paraId="225E2D06">
      <w:pPr>
        <w:ind w:right="-20" w:firstLine="480"/>
        <w:rPr>
          <w:color w:val="auto"/>
          <w:szCs w:val="28"/>
          <w:highlight w:val="none"/>
        </w:rPr>
      </w:pPr>
      <w:r>
        <w:rPr>
          <w:color w:val="auto"/>
          <w:szCs w:val="28"/>
          <w:highlight w:val="none"/>
        </w:rPr>
        <w:t>5#舾装码头的舾装船型及兼顾船型基本情况如下：</w:t>
      </w:r>
    </w:p>
    <w:p w14:paraId="11F1F2E2">
      <w:pPr>
        <w:pStyle w:val="38"/>
        <w:spacing w:after="0" w:line="240" w:lineRule="auto"/>
        <w:ind w:firstLine="0" w:firstLineChars="0"/>
        <w:jc w:val="center"/>
        <w:rPr>
          <w:b/>
          <w:color w:val="auto"/>
          <w:sz w:val="21"/>
          <w:szCs w:val="21"/>
          <w:highlight w:val="none"/>
        </w:rPr>
      </w:pPr>
      <w:r>
        <w:rPr>
          <w:b/>
          <w:color w:val="auto"/>
          <w:sz w:val="21"/>
          <w:szCs w:val="21"/>
          <w:highlight w:val="none"/>
        </w:rPr>
        <w:t>表2.1-1</w:t>
      </w:r>
      <w:r>
        <w:rPr>
          <w:rFonts w:hint="eastAsia"/>
          <w:b/>
          <w:color w:val="auto"/>
          <w:sz w:val="21"/>
          <w:szCs w:val="21"/>
          <w:highlight w:val="none"/>
        </w:rPr>
        <w:t>7</w:t>
      </w:r>
      <w:r>
        <w:rPr>
          <w:b/>
          <w:color w:val="auto"/>
          <w:sz w:val="21"/>
          <w:szCs w:val="21"/>
          <w:highlight w:val="none"/>
        </w:rPr>
        <w:t xml:space="preserve">  5#舾装码头舾装船型与兼顾船型（单位m）</w:t>
      </w:r>
    </w:p>
    <w:tbl>
      <w:tblPr>
        <w:tblStyle w:val="9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17"/>
        <w:gridCol w:w="1277"/>
        <w:gridCol w:w="851"/>
        <w:gridCol w:w="1234"/>
        <w:gridCol w:w="1708"/>
        <w:gridCol w:w="1699"/>
      </w:tblGrid>
      <w:tr w14:paraId="19D9F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blHeader/>
        </w:trPr>
        <w:tc>
          <w:tcPr>
            <w:tcW w:w="1355" w:type="pct"/>
            <w:tcBorders>
              <w:top w:val="single" w:color="auto" w:sz="12" w:space="0"/>
              <w:left w:val="nil"/>
            </w:tcBorders>
            <w:vAlign w:val="center"/>
          </w:tcPr>
          <w:p w14:paraId="09FF8852">
            <w:pPr>
              <w:spacing w:line="240" w:lineRule="auto"/>
              <w:ind w:firstLine="0" w:firstLineChars="0"/>
              <w:jc w:val="center"/>
              <w:rPr>
                <w:b/>
                <w:bCs/>
                <w:color w:val="auto"/>
                <w:sz w:val="21"/>
                <w:szCs w:val="21"/>
                <w:highlight w:val="none"/>
              </w:rPr>
            </w:pPr>
            <w:r>
              <w:rPr>
                <w:b/>
                <w:bCs/>
                <w:color w:val="auto"/>
                <w:sz w:val="21"/>
                <w:szCs w:val="21"/>
                <w:highlight w:val="none"/>
              </w:rPr>
              <w:t>船型</w:t>
            </w:r>
          </w:p>
        </w:tc>
        <w:tc>
          <w:tcPr>
            <w:tcW w:w="687" w:type="pct"/>
            <w:tcBorders>
              <w:top w:val="single" w:color="auto" w:sz="12" w:space="0"/>
            </w:tcBorders>
            <w:vAlign w:val="center"/>
          </w:tcPr>
          <w:p w14:paraId="2B1D5874">
            <w:pPr>
              <w:spacing w:line="240" w:lineRule="auto"/>
              <w:ind w:firstLine="0" w:firstLineChars="0"/>
              <w:jc w:val="center"/>
              <w:rPr>
                <w:b/>
                <w:bCs/>
                <w:color w:val="auto"/>
                <w:sz w:val="21"/>
                <w:szCs w:val="21"/>
                <w:highlight w:val="none"/>
              </w:rPr>
            </w:pPr>
            <w:r>
              <w:rPr>
                <w:b/>
                <w:bCs/>
                <w:color w:val="auto"/>
                <w:sz w:val="21"/>
                <w:szCs w:val="21"/>
                <w:highlight w:val="none"/>
              </w:rPr>
              <w:t>总长</w:t>
            </w:r>
          </w:p>
        </w:tc>
        <w:tc>
          <w:tcPr>
            <w:tcW w:w="458" w:type="pct"/>
            <w:tcBorders>
              <w:top w:val="single" w:color="auto" w:sz="12" w:space="0"/>
            </w:tcBorders>
            <w:vAlign w:val="center"/>
          </w:tcPr>
          <w:p w14:paraId="1FD7297E">
            <w:pPr>
              <w:spacing w:line="240" w:lineRule="auto"/>
              <w:ind w:firstLine="0" w:firstLineChars="0"/>
              <w:jc w:val="center"/>
              <w:rPr>
                <w:b/>
                <w:bCs/>
                <w:color w:val="auto"/>
                <w:sz w:val="21"/>
                <w:szCs w:val="21"/>
                <w:highlight w:val="none"/>
              </w:rPr>
            </w:pPr>
            <w:r>
              <w:rPr>
                <w:b/>
                <w:bCs/>
                <w:color w:val="auto"/>
                <w:sz w:val="21"/>
                <w:szCs w:val="21"/>
                <w:highlight w:val="none"/>
              </w:rPr>
              <w:t>型宽</w:t>
            </w:r>
          </w:p>
        </w:tc>
        <w:tc>
          <w:tcPr>
            <w:tcW w:w="664" w:type="pct"/>
            <w:tcBorders>
              <w:top w:val="single" w:color="auto" w:sz="12" w:space="0"/>
            </w:tcBorders>
            <w:vAlign w:val="center"/>
          </w:tcPr>
          <w:p w14:paraId="1C5F87F7">
            <w:pPr>
              <w:spacing w:line="240" w:lineRule="auto"/>
              <w:ind w:firstLine="0" w:firstLineChars="0"/>
              <w:jc w:val="center"/>
              <w:rPr>
                <w:b/>
                <w:bCs/>
                <w:color w:val="auto"/>
                <w:sz w:val="21"/>
                <w:szCs w:val="21"/>
                <w:highlight w:val="none"/>
              </w:rPr>
            </w:pPr>
            <w:r>
              <w:rPr>
                <w:b/>
                <w:bCs/>
                <w:color w:val="auto"/>
                <w:sz w:val="21"/>
                <w:szCs w:val="21"/>
                <w:highlight w:val="none"/>
              </w:rPr>
              <w:t>型深</w:t>
            </w:r>
          </w:p>
        </w:tc>
        <w:tc>
          <w:tcPr>
            <w:tcW w:w="919" w:type="pct"/>
            <w:tcBorders>
              <w:top w:val="single" w:color="auto" w:sz="12" w:space="0"/>
            </w:tcBorders>
            <w:vAlign w:val="center"/>
          </w:tcPr>
          <w:p w14:paraId="17EFC342">
            <w:pPr>
              <w:spacing w:line="240" w:lineRule="auto"/>
              <w:ind w:firstLine="0" w:firstLineChars="0"/>
              <w:jc w:val="center"/>
              <w:rPr>
                <w:b/>
                <w:bCs/>
                <w:color w:val="auto"/>
                <w:sz w:val="21"/>
                <w:szCs w:val="21"/>
                <w:highlight w:val="none"/>
              </w:rPr>
            </w:pPr>
            <w:r>
              <w:rPr>
                <w:b/>
                <w:bCs/>
                <w:color w:val="auto"/>
                <w:sz w:val="21"/>
                <w:szCs w:val="21"/>
                <w:highlight w:val="none"/>
              </w:rPr>
              <w:t>靠泊吃水</w:t>
            </w:r>
          </w:p>
        </w:tc>
        <w:tc>
          <w:tcPr>
            <w:tcW w:w="914" w:type="pct"/>
            <w:tcBorders>
              <w:top w:val="single" w:color="auto" w:sz="12" w:space="0"/>
              <w:right w:val="nil"/>
            </w:tcBorders>
            <w:vAlign w:val="center"/>
          </w:tcPr>
          <w:p w14:paraId="64227B1D">
            <w:pPr>
              <w:spacing w:line="240" w:lineRule="auto"/>
              <w:ind w:firstLine="0" w:firstLineChars="0"/>
              <w:jc w:val="center"/>
              <w:rPr>
                <w:b/>
                <w:bCs/>
                <w:color w:val="auto"/>
                <w:sz w:val="21"/>
                <w:szCs w:val="21"/>
                <w:highlight w:val="none"/>
              </w:rPr>
            </w:pPr>
            <w:r>
              <w:rPr>
                <w:b/>
                <w:bCs/>
                <w:color w:val="auto"/>
                <w:sz w:val="21"/>
                <w:szCs w:val="21"/>
                <w:highlight w:val="none"/>
              </w:rPr>
              <w:t>备注</w:t>
            </w:r>
          </w:p>
        </w:tc>
      </w:tr>
      <w:tr w14:paraId="7C8BC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355" w:type="pct"/>
            <w:tcBorders>
              <w:left w:val="nil"/>
            </w:tcBorders>
            <w:vAlign w:val="center"/>
          </w:tcPr>
          <w:p w14:paraId="5970D179">
            <w:pPr>
              <w:spacing w:line="240" w:lineRule="auto"/>
              <w:ind w:firstLine="0" w:firstLineChars="0"/>
              <w:jc w:val="center"/>
              <w:rPr>
                <w:color w:val="auto"/>
                <w:sz w:val="21"/>
                <w:szCs w:val="21"/>
                <w:highlight w:val="none"/>
              </w:rPr>
            </w:pPr>
            <w:r>
              <w:rPr>
                <w:color w:val="auto"/>
                <w:sz w:val="21"/>
                <w:szCs w:val="21"/>
                <w:highlight w:val="none"/>
              </w:rPr>
              <w:t>5000吨级船舶</w:t>
            </w:r>
          </w:p>
        </w:tc>
        <w:tc>
          <w:tcPr>
            <w:tcW w:w="687" w:type="pct"/>
            <w:vAlign w:val="center"/>
          </w:tcPr>
          <w:p w14:paraId="5820F622">
            <w:pPr>
              <w:spacing w:line="240" w:lineRule="auto"/>
              <w:ind w:firstLine="0" w:firstLineChars="0"/>
              <w:jc w:val="center"/>
              <w:rPr>
                <w:color w:val="auto"/>
                <w:sz w:val="21"/>
                <w:szCs w:val="21"/>
                <w:highlight w:val="none"/>
              </w:rPr>
            </w:pPr>
            <w:r>
              <w:rPr>
                <w:color w:val="auto"/>
                <w:sz w:val="21"/>
                <w:szCs w:val="21"/>
                <w:highlight w:val="none"/>
              </w:rPr>
              <w:t>125</w:t>
            </w:r>
          </w:p>
        </w:tc>
        <w:tc>
          <w:tcPr>
            <w:tcW w:w="458" w:type="pct"/>
            <w:vAlign w:val="center"/>
          </w:tcPr>
          <w:p w14:paraId="038F54C4">
            <w:pPr>
              <w:spacing w:line="240" w:lineRule="auto"/>
              <w:ind w:firstLine="0" w:firstLineChars="0"/>
              <w:jc w:val="center"/>
              <w:rPr>
                <w:color w:val="auto"/>
                <w:sz w:val="21"/>
                <w:szCs w:val="21"/>
                <w:highlight w:val="none"/>
              </w:rPr>
            </w:pPr>
            <w:r>
              <w:rPr>
                <w:color w:val="auto"/>
                <w:sz w:val="21"/>
                <w:szCs w:val="21"/>
                <w:highlight w:val="none"/>
              </w:rPr>
              <w:t>17.5</w:t>
            </w:r>
          </w:p>
        </w:tc>
        <w:tc>
          <w:tcPr>
            <w:tcW w:w="664" w:type="pct"/>
            <w:vAlign w:val="center"/>
          </w:tcPr>
          <w:p w14:paraId="2CB39196">
            <w:pPr>
              <w:spacing w:line="240" w:lineRule="auto"/>
              <w:ind w:firstLine="0" w:firstLineChars="0"/>
              <w:jc w:val="center"/>
              <w:rPr>
                <w:color w:val="auto"/>
                <w:sz w:val="21"/>
                <w:szCs w:val="21"/>
                <w:highlight w:val="none"/>
              </w:rPr>
            </w:pPr>
            <w:r>
              <w:rPr>
                <w:color w:val="auto"/>
                <w:sz w:val="21"/>
                <w:szCs w:val="21"/>
                <w:highlight w:val="none"/>
              </w:rPr>
              <w:t>8.6</w:t>
            </w:r>
          </w:p>
        </w:tc>
        <w:tc>
          <w:tcPr>
            <w:tcW w:w="919" w:type="pct"/>
            <w:vAlign w:val="center"/>
          </w:tcPr>
          <w:p w14:paraId="7FE4EBAC">
            <w:pPr>
              <w:spacing w:line="240" w:lineRule="auto"/>
              <w:ind w:firstLine="0" w:firstLineChars="0"/>
              <w:jc w:val="center"/>
              <w:rPr>
                <w:color w:val="auto"/>
                <w:sz w:val="21"/>
                <w:szCs w:val="21"/>
                <w:highlight w:val="none"/>
              </w:rPr>
            </w:pPr>
            <w:r>
              <w:rPr>
                <w:color w:val="auto"/>
                <w:sz w:val="21"/>
                <w:szCs w:val="21"/>
                <w:highlight w:val="none"/>
              </w:rPr>
              <w:t>4.0</w:t>
            </w:r>
          </w:p>
        </w:tc>
        <w:tc>
          <w:tcPr>
            <w:tcW w:w="914" w:type="pct"/>
            <w:tcBorders>
              <w:right w:val="nil"/>
            </w:tcBorders>
            <w:vAlign w:val="center"/>
          </w:tcPr>
          <w:p w14:paraId="0C3230EE">
            <w:pPr>
              <w:spacing w:line="240" w:lineRule="auto"/>
              <w:ind w:firstLine="0" w:firstLineChars="0"/>
              <w:jc w:val="center"/>
              <w:rPr>
                <w:color w:val="auto"/>
                <w:sz w:val="21"/>
                <w:szCs w:val="21"/>
                <w:highlight w:val="none"/>
              </w:rPr>
            </w:pPr>
            <w:r>
              <w:rPr>
                <w:color w:val="auto"/>
                <w:sz w:val="21"/>
                <w:szCs w:val="21"/>
                <w:highlight w:val="none"/>
              </w:rPr>
              <w:t>设计船型</w:t>
            </w:r>
          </w:p>
        </w:tc>
      </w:tr>
      <w:tr w14:paraId="6BA7E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355" w:type="pct"/>
            <w:tcBorders>
              <w:left w:val="nil"/>
            </w:tcBorders>
            <w:vAlign w:val="center"/>
          </w:tcPr>
          <w:p w14:paraId="1A9BFF89">
            <w:pPr>
              <w:spacing w:line="240" w:lineRule="auto"/>
              <w:ind w:firstLine="0" w:firstLineChars="0"/>
              <w:jc w:val="center"/>
              <w:rPr>
                <w:color w:val="auto"/>
                <w:sz w:val="21"/>
                <w:szCs w:val="21"/>
                <w:highlight w:val="none"/>
              </w:rPr>
            </w:pPr>
            <w:r>
              <w:rPr>
                <w:color w:val="auto"/>
                <w:sz w:val="21"/>
                <w:szCs w:val="21"/>
                <w:highlight w:val="none"/>
              </w:rPr>
              <w:t>2万吨级散货船</w:t>
            </w:r>
          </w:p>
        </w:tc>
        <w:tc>
          <w:tcPr>
            <w:tcW w:w="687" w:type="pct"/>
            <w:vAlign w:val="center"/>
          </w:tcPr>
          <w:p w14:paraId="6DA6E057">
            <w:pPr>
              <w:spacing w:line="240" w:lineRule="auto"/>
              <w:ind w:firstLine="0" w:firstLineChars="0"/>
              <w:jc w:val="center"/>
              <w:rPr>
                <w:color w:val="auto"/>
                <w:sz w:val="21"/>
                <w:szCs w:val="21"/>
                <w:highlight w:val="none"/>
              </w:rPr>
            </w:pPr>
            <w:r>
              <w:rPr>
                <w:color w:val="auto"/>
                <w:sz w:val="21"/>
                <w:szCs w:val="21"/>
                <w:highlight w:val="none"/>
              </w:rPr>
              <w:t>164</w:t>
            </w:r>
          </w:p>
        </w:tc>
        <w:tc>
          <w:tcPr>
            <w:tcW w:w="458" w:type="pct"/>
            <w:vAlign w:val="center"/>
          </w:tcPr>
          <w:p w14:paraId="35F964F0">
            <w:pPr>
              <w:spacing w:line="240" w:lineRule="auto"/>
              <w:ind w:firstLine="0" w:firstLineChars="0"/>
              <w:jc w:val="center"/>
              <w:rPr>
                <w:color w:val="auto"/>
                <w:sz w:val="21"/>
                <w:szCs w:val="21"/>
                <w:highlight w:val="none"/>
              </w:rPr>
            </w:pPr>
            <w:r>
              <w:rPr>
                <w:color w:val="auto"/>
                <w:sz w:val="21"/>
                <w:szCs w:val="21"/>
                <w:highlight w:val="none"/>
              </w:rPr>
              <w:t>25.0</w:t>
            </w:r>
          </w:p>
        </w:tc>
        <w:tc>
          <w:tcPr>
            <w:tcW w:w="664" w:type="pct"/>
            <w:vAlign w:val="center"/>
          </w:tcPr>
          <w:p w14:paraId="3BA2246D">
            <w:pPr>
              <w:spacing w:line="240" w:lineRule="auto"/>
              <w:ind w:firstLine="0" w:firstLineChars="0"/>
              <w:jc w:val="center"/>
              <w:rPr>
                <w:color w:val="auto"/>
                <w:sz w:val="21"/>
                <w:szCs w:val="21"/>
                <w:highlight w:val="none"/>
              </w:rPr>
            </w:pPr>
            <w:r>
              <w:rPr>
                <w:color w:val="auto"/>
                <w:sz w:val="21"/>
                <w:szCs w:val="21"/>
                <w:highlight w:val="none"/>
              </w:rPr>
              <w:t>13.5</w:t>
            </w:r>
          </w:p>
        </w:tc>
        <w:tc>
          <w:tcPr>
            <w:tcW w:w="919" w:type="pct"/>
            <w:vAlign w:val="center"/>
          </w:tcPr>
          <w:p w14:paraId="565C5040">
            <w:pPr>
              <w:spacing w:line="240" w:lineRule="auto"/>
              <w:ind w:firstLine="0" w:firstLineChars="0"/>
              <w:jc w:val="center"/>
              <w:rPr>
                <w:color w:val="auto"/>
                <w:sz w:val="21"/>
                <w:szCs w:val="21"/>
                <w:highlight w:val="none"/>
              </w:rPr>
            </w:pPr>
            <w:r>
              <w:rPr>
                <w:color w:val="auto"/>
                <w:sz w:val="21"/>
                <w:szCs w:val="21"/>
                <w:highlight w:val="none"/>
              </w:rPr>
              <w:t>4.5</w:t>
            </w:r>
          </w:p>
        </w:tc>
        <w:tc>
          <w:tcPr>
            <w:tcW w:w="914" w:type="pct"/>
            <w:vMerge w:val="restart"/>
            <w:tcBorders>
              <w:right w:val="nil"/>
            </w:tcBorders>
            <w:vAlign w:val="center"/>
          </w:tcPr>
          <w:p w14:paraId="2E7F7B3F">
            <w:pPr>
              <w:spacing w:line="240" w:lineRule="auto"/>
              <w:ind w:firstLine="0" w:firstLineChars="0"/>
              <w:jc w:val="center"/>
              <w:rPr>
                <w:color w:val="auto"/>
                <w:sz w:val="21"/>
                <w:szCs w:val="21"/>
                <w:highlight w:val="none"/>
              </w:rPr>
            </w:pPr>
            <w:r>
              <w:rPr>
                <w:color w:val="auto"/>
                <w:sz w:val="21"/>
                <w:szCs w:val="21"/>
                <w:highlight w:val="none"/>
              </w:rPr>
              <w:t>设计船型</w:t>
            </w:r>
          </w:p>
        </w:tc>
      </w:tr>
      <w:tr w14:paraId="473D9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355" w:type="pct"/>
            <w:tcBorders>
              <w:left w:val="nil"/>
            </w:tcBorders>
            <w:vAlign w:val="center"/>
          </w:tcPr>
          <w:p w14:paraId="23F39F76">
            <w:pPr>
              <w:spacing w:line="240" w:lineRule="auto"/>
              <w:ind w:firstLine="0" w:firstLineChars="0"/>
              <w:jc w:val="center"/>
              <w:rPr>
                <w:color w:val="auto"/>
                <w:sz w:val="21"/>
                <w:szCs w:val="21"/>
                <w:highlight w:val="none"/>
              </w:rPr>
            </w:pPr>
            <w:r>
              <w:rPr>
                <w:color w:val="auto"/>
                <w:sz w:val="21"/>
                <w:szCs w:val="21"/>
                <w:highlight w:val="none"/>
              </w:rPr>
              <w:t>2万吨级油船</w:t>
            </w:r>
          </w:p>
        </w:tc>
        <w:tc>
          <w:tcPr>
            <w:tcW w:w="687" w:type="pct"/>
            <w:vAlign w:val="center"/>
          </w:tcPr>
          <w:p w14:paraId="5439494F">
            <w:pPr>
              <w:spacing w:line="240" w:lineRule="auto"/>
              <w:ind w:firstLine="0" w:firstLineChars="0"/>
              <w:jc w:val="center"/>
              <w:rPr>
                <w:color w:val="auto"/>
                <w:sz w:val="21"/>
                <w:szCs w:val="21"/>
                <w:highlight w:val="none"/>
              </w:rPr>
            </w:pPr>
            <w:r>
              <w:rPr>
                <w:color w:val="auto"/>
                <w:sz w:val="21"/>
                <w:szCs w:val="21"/>
                <w:highlight w:val="none"/>
              </w:rPr>
              <w:t>164</w:t>
            </w:r>
          </w:p>
        </w:tc>
        <w:tc>
          <w:tcPr>
            <w:tcW w:w="458" w:type="pct"/>
            <w:vAlign w:val="center"/>
          </w:tcPr>
          <w:p w14:paraId="34BE3491">
            <w:pPr>
              <w:spacing w:line="240" w:lineRule="auto"/>
              <w:ind w:firstLine="0" w:firstLineChars="0"/>
              <w:jc w:val="center"/>
              <w:rPr>
                <w:color w:val="auto"/>
                <w:sz w:val="21"/>
                <w:szCs w:val="21"/>
                <w:highlight w:val="none"/>
              </w:rPr>
            </w:pPr>
            <w:r>
              <w:rPr>
                <w:color w:val="auto"/>
                <w:sz w:val="21"/>
                <w:szCs w:val="21"/>
                <w:highlight w:val="none"/>
              </w:rPr>
              <w:t>26.0</w:t>
            </w:r>
          </w:p>
        </w:tc>
        <w:tc>
          <w:tcPr>
            <w:tcW w:w="664" w:type="pct"/>
            <w:vAlign w:val="center"/>
          </w:tcPr>
          <w:p w14:paraId="7FF3627B">
            <w:pPr>
              <w:spacing w:line="240" w:lineRule="auto"/>
              <w:ind w:firstLine="0" w:firstLineChars="0"/>
              <w:jc w:val="center"/>
              <w:rPr>
                <w:color w:val="auto"/>
                <w:sz w:val="21"/>
                <w:szCs w:val="21"/>
                <w:highlight w:val="none"/>
              </w:rPr>
            </w:pPr>
            <w:r>
              <w:rPr>
                <w:color w:val="auto"/>
                <w:sz w:val="21"/>
                <w:szCs w:val="21"/>
                <w:highlight w:val="none"/>
              </w:rPr>
              <w:t>13.4</w:t>
            </w:r>
          </w:p>
        </w:tc>
        <w:tc>
          <w:tcPr>
            <w:tcW w:w="919" w:type="pct"/>
            <w:vAlign w:val="center"/>
          </w:tcPr>
          <w:p w14:paraId="371617A6">
            <w:pPr>
              <w:spacing w:line="240" w:lineRule="auto"/>
              <w:ind w:firstLine="0" w:firstLineChars="0"/>
              <w:jc w:val="center"/>
              <w:rPr>
                <w:color w:val="auto"/>
                <w:sz w:val="21"/>
                <w:szCs w:val="21"/>
                <w:highlight w:val="none"/>
              </w:rPr>
            </w:pPr>
            <w:r>
              <w:rPr>
                <w:color w:val="auto"/>
                <w:sz w:val="21"/>
                <w:szCs w:val="21"/>
                <w:highlight w:val="none"/>
              </w:rPr>
              <w:t>4.5</w:t>
            </w:r>
          </w:p>
        </w:tc>
        <w:tc>
          <w:tcPr>
            <w:tcW w:w="914" w:type="pct"/>
            <w:vMerge w:val="continue"/>
            <w:tcBorders>
              <w:right w:val="nil"/>
            </w:tcBorders>
            <w:vAlign w:val="center"/>
          </w:tcPr>
          <w:p w14:paraId="659604A8">
            <w:pPr>
              <w:spacing w:line="240" w:lineRule="auto"/>
              <w:ind w:firstLine="0" w:firstLineChars="0"/>
              <w:jc w:val="center"/>
              <w:rPr>
                <w:color w:val="auto"/>
                <w:sz w:val="21"/>
                <w:szCs w:val="21"/>
                <w:highlight w:val="none"/>
              </w:rPr>
            </w:pPr>
          </w:p>
        </w:tc>
      </w:tr>
      <w:tr w14:paraId="34D9A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355" w:type="pct"/>
            <w:tcBorders>
              <w:left w:val="nil"/>
            </w:tcBorders>
            <w:vAlign w:val="center"/>
          </w:tcPr>
          <w:p w14:paraId="215F77FB">
            <w:pPr>
              <w:spacing w:line="240" w:lineRule="auto"/>
              <w:ind w:firstLine="0" w:firstLineChars="0"/>
              <w:jc w:val="center"/>
              <w:rPr>
                <w:color w:val="auto"/>
                <w:sz w:val="21"/>
                <w:szCs w:val="21"/>
                <w:highlight w:val="none"/>
              </w:rPr>
            </w:pPr>
            <w:r>
              <w:rPr>
                <w:color w:val="auto"/>
                <w:sz w:val="21"/>
                <w:szCs w:val="21"/>
                <w:highlight w:val="none"/>
              </w:rPr>
              <w:t>5万吨级散货船</w:t>
            </w:r>
          </w:p>
        </w:tc>
        <w:tc>
          <w:tcPr>
            <w:tcW w:w="687" w:type="pct"/>
            <w:vAlign w:val="center"/>
          </w:tcPr>
          <w:p w14:paraId="668AA0B6">
            <w:pPr>
              <w:spacing w:line="240" w:lineRule="auto"/>
              <w:ind w:firstLine="0" w:firstLineChars="0"/>
              <w:jc w:val="center"/>
              <w:rPr>
                <w:color w:val="auto"/>
                <w:sz w:val="21"/>
                <w:szCs w:val="21"/>
                <w:highlight w:val="none"/>
              </w:rPr>
            </w:pPr>
            <w:r>
              <w:rPr>
                <w:color w:val="auto"/>
                <w:sz w:val="21"/>
                <w:szCs w:val="21"/>
                <w:highlight w:val="none"/>
              </w:rPr>
              <w:t>223</w:t>
            </w:r>
          </w:p>
        </w:tc>
        <w:tc>
          <w:tcPr>
            <w:tcW w:w="458" w:type="pct"/>
            <w:vAlign w:val="center"/>
          </w:tcPr>
          <w:p w14:paraId="6F445FB9">
            <w:pPr>
              <w:spacing w:line="240" w:lineRule="auto"/>
              <w:ind w:firstLine="0" w:firstLineChars="0"/>
              <w:jc w:val="center"/>
              <w:rPr>
                <w:color w:val="auto"/>
                <w:sz w:val="21"/>
                <w:szCs w:val="21"/>
                <w:highlight w:val="none"/>
              </w:rPr>
            </w:pPr>
            <w:r>
              <w:rPr>
                <w:color w:val="auto"/>
                <w:sz w:val="21"/>
                <w:szCs w:val="21"/>
                <w:highlight w:val="none"/>
              </w:rPr>
              <w:t>32.3</w:t>
            </w:r>
          </w:p>
        </w:tc>
        <w:tc>
          <w:tcPr>
            <w:tcW w:w="664" w:type="pct"/>
            <w:vAlign w:val="center"/>
          </w:tcPr>
          <w:p w14:paraId="2D1934D8">
            <w:pPr>
              <w:spacing w:line="240" w:lineRule="auto"/>
              <w:ind w:firstLine="0" w:firstLineChars="0"/>
              <w:jc w:val="center"/>
              <w:rPr>
                <w:color w:val="auto"/>
                <w:sz w:val="21"/>
                <w:szCs w:val="21"/>
                <w:highlight w:val="none"/>
              </w:rPr>
            </w:pPr>
            <w:r>
              <w:rPr>
                <w:color w:val="auto"/>
                <w:sz w:val="21"/>
                <w:szCs w:val="21"/>
                <w:highlight w:val="none"/>
              </w:rPr>
              <w:t>17.9</w:t>
            </w:r>
          </w:p>
        </w:tc>
        <w:tc>
          <w:tcPr>
            <w:tcW w:w="919" w:type="pct"/>
            <w:vAlign w:val="center"/>
          </w:tcPr>
          <w:p w14:paraId="3B0D0707">
            <w:pPr>
              <w:spacing w:line="240" w:lineRule="auto"/>
              <w:ind w:firstLine="0" w:firstLineChars="0"/>
              <w:jc w:val="center"/>
              <w:rPr>
                <w:color w:val="auto"/>
                <w:sz w:val="21"/>
                <w:szCs w:val="21"/>
                <w:highlight w:val="none"/>
              </w:rPr>
            </w:pPr>
            <w:r>
              <w:rPr>
                <w:color w:val="auto"/>
                <w:sz w:val="21"/>
                <w:szCs w:val="21"/>
                <w:highlight w:val="none"/>
              </w:rPr>
              <w:t>5.0</w:t>
            </w:r>
          </w:p>
        </w:tc>
        <w:tc>
          <w:tcPr>
            <w:tcW w:w="914" w:type="pct"/>
            <w:vMerge w:val="continue"/>
            <w:tcBorders>
              <w:right w:val="nil"/>
            </w:tcBorders>
            <w:vAlign w:val="center"/>
          </w:tcPr>
          <w:p w14:paraId="7DD37919">
            <w:pPr>
              <w:spacing w:line="240" w:lineRule="auto"/>
              <w:ind w:firstLine="0" w:firstLineChars="0"/>
              <w:jc w:val="center"/>
              <w:rPr>
                <w:color w:val="auto"/>
                <w:sz w:val="21"/>
                <w:szCs w:val="21"/>
                <w:highlight w:val="none"/>
              </w:rPr>
            </w:pPr>
          </w:p>
        </w:tc>
      </w:tr>
      <w:tr w14:paraId="0936F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355" w:type="pct"/>
            <w:tcBorders>
              <w:left w:val="nil"/>
            </w:tcBorders>
            <w:vAlign w:val="center"/>
          </w:tcPr>
          <w:p w14:paraId="1C0087A3">
            <w:pPr>
              <w:spacing w:line="240" w:lineRule="auto"/>
              <w:ind w:firstLine="0" w:firstLineChars="0"/>
              <w:jc w:val="center"/>
              <w:rPr>
                <w:color w:val="auto"/>
                <w:sz w:val="21"/>
                <w:szCs w:val="21"/>
                <w:highlight w:val="none"/>
              </w:rPr>
            </w:pPr>
            <w:r>
              <w:rPr>
                <w:color w:val="auto"/>
                <w:sz w:val="21"/>
                <w:szCs w:val="21"/>
                <w:highlight w:val="none"/>
              </w:rPr>
              <w:t>5万吨级油船</w:t>
            </w:r>
          </w:p>
        </w:tc>
        <w:tc>
          <w:tcPr>
            <w:tcW w:w="687" w:type="pct"/>
            <w:vAlign w:val="center"/>
          </w:tcPr>
          <w:p w14:paraId="5B602745">
            <w:pPr>
              <w:spacing w:line="240" w:lineRule="auto"/>
              <w:ind w:firstLine="0" w:firstLineChars="0"/>
              <w:jc w:val="center"/>
              <w:rPr>
                <w:color w:val="auto"/>
                <w:sz w:val="21"/>
                <w:szCs w:val="21"/>
                <w:highlight w:val="none"/>
              </w:rPr>
            </w:pPr>
            <w:r>
              <w:rPr>
                <w:color w:val="auto"/>
                <w:sz w:val="21"/>
                <w:szCs w:val="21"/>
                <w:highlight w:val="none"/>
              </w:rPr>
              <w:t>229</w:t>
            </w:r>
          </w:p>
        </w:tc>
        <w:tc>
          <w:tcPr>
            <w:tcW w:w="458" w:type="pct"/>
            <w:vAlign w:val="center"/>
          </w:tcPr>
          <w:p w14:paraId="12CF5E9B">
            <w:pPr>
              <w:spacing w:line="240" w:lineRule="auto"/>
              <w:ind w:firstLine="0" w:firstLineChars="0"/>
              <w:jc w:val="center"/>
              <w:rPr>
                <w:color w:val="auto"/>
                <w:sz w:val="21"/>
                <w:szCs w:val="21"/>
                <w:highlight w:val="none"/>
              </w:rPr>
            </w:pPr>
            <w:r>
              <w:rPr>
                <w:color w:val="auto"/>
                <w:sz w:val="21"/>
                <w:szCs w:val="21"/>
                <w:highlight w:val="none"/>
              </w:rPr>
              <w:t>32.2</w:t>
            </w:r>
          </w:p>
        </w:tc>
        <w:tc>
          <w:tcPr>
            <w:tcW w:w="664" w:type="pct"/>
            <w:vAlign w:val="center"/>
          </w:tcPr>
          <w:p w14:paraId="386D204C">
            <w:pPr>
              <w:spacing w:line="240" w:lineRule="auto"/>
              <w:ind w:firstLine="0" w:firstLineChars="0"/>
              <w:jc w:val="center"/>
              <w:rPr>
                <w:color w:val="auto"/>
                <w:sz w:val="21"/>
                <w:szCs w:val="21"/>
                <w:highlight w:val="none"/>
              </w:rPr>
            </w:pPr>
            <w:r>
              <w:rPr>
                <w:color w:val="auto"/>
                <w:sz w:val="21"/>
                <w:szCs w:val="21"/>
                <w:highlight w:val="none"/>
              </w:rPr>
              <w:t>19.1</w:t>
            </w:r>
          </w:p>
        </w:tc>
        <w:tc>
          <w:tcPr>
            <w:tcW w:w="919" w:type="pct"/>
            <w:vAlign w:val="center"/>
          </w:tcPr>
          <w:p w14:paraId="4D7CE218">
            <w:pPr>
              <w:spacing w:line="240" w:lineRule="auto"/>
              <w:ind w:firstLine="0" w:firstLineChars="0"/>
              <w:jc w:val="center"/>
              <w:rPr>
                <w:color w:val="auto"/>
                <w:sz w:val="21"/>
                <w:szCs w:val="21"/>
                <w:highlight w:val="none"/>
              </w:rPr>
            </w:pPr>
            <w:r>
              <w:rPr>
                <w:color w:val="auto"/>
                <w:sz w:val="21"/>
                <w:szCs w:val="21"/>
                <w:highlight w:val="none"/>
              </w:rPr>
              <w:t>5.0</w:t>
            </w:r>
          </w:p>
        </w:tc>
        <w:tc>
          <w:tcPr>
            <w:tcW w:w="914" w:type="pct"/>
            <w:vMerge w:val="continue"/>
            <w:tcBorders>
              <w:right w:val="nil"/>
            </w:tcBorders>
            <w:vAlign w:val="center"/>
          </w:tcPr>
          <w:p w14:paraId="4AFA8E6E">
            <w:pPr>
              <w:spacing w:line="240" w:lineRule="auto"/>
              <w:ind w:firstLine="0" w:firstLineChars="0"/>
              <w:jc w:val="center"/>
              <w:rPr>
                <w:color w:val="auto"/>
                <w:sz w:val="21"/>
                <w:szCs w:val="21"/>
                <w:highlight w:val="none"/>
              </w:rPr>
            </w:pPr>
          </w:p>
        </w:tc>
      </w:tr>
      <w:tr w14:paraId="0BFF4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355" w:type="pct"/>
            <w:tcBorders>
              <w:left w:val="nil"/>
            </w:tcBorders>
            <w:vAlign w:val="center"/>
          </w:tcPr>
          <w:p w14:paraId="1CE3D36C">
            <w:pPr>
              <w:spacing w:line="240" w:lineRule="auto"/>
              <w:ind w:firstLine="0" w:firstLineChars="0"/>
              <w:jc w:val="center"/>
              <w:rPr>
                <w:color w:val="auto"/>
                <w:sz w:val="21"/>
                <w:szCs w:val="21"/>
                <w:highlight w:val="none"/>
              </w:rPr>
            </w:pPr>
            <w:r>
              <w:rPr>
                <w:color w:val="auto"/>
                <w:sz w:val="21"/>
                <w:szCs w:val="21"/>
                <w:highlight w:val="none"/>
              </w:rPr>
              <w:t>7万吨级散货船</w:t>
            </w:r>
          </w:p>
        </w:tc>
        <w:tc>
          <w:tcPr>
            <w:tcW w:w="687" w:type="pct"/>
            <w:vAlign w:val="center"/>
          </w:tcPr>
          <w:p w14:paraId="6B328776">
            <w:pPr>
              <w:spacing w:line="240" w:lineRule="auto"/>
              <w:ind w:firstLine="0" w:firstLineChars="0"/>
              <w:jc w:val="center"/>
              <w:rPr>
                <w:color w:val="auto"/>
                <w:sz w:val="21"/>
                <w:szCs w:val="21"/>
                <w:highlight w:val="none"/>
              </w:rPr>
            </w:pPr>
            <w:r>
              <w:rPr>
                <w:color w:val="auto"/>
                <w:sz w:val="21"/>
                <w:szCs w:val="21"/>
                <w:highlight w:val="none"/>
              </w:rPr>
              <w:t>228</w:t>
            </w:r>
          </w:p>
        </w:tc>
        <w:tc>
          <w:tcPr>
            <w:tcW w:w="458" w:type="pct"/>
            <w:vAlign w:val="center"/>
          </w:tcPr>
          <w:p w14:paraId="0C83A0AC">
            <w:pPr>
              <w:spacing w:line="240" w:lineRule="auto"/>
              <w:ind w:firstLine="0" w:firstLineChars="0"/>
              <w:jc w:val="center"/>
              <w:rPr>
                <w:color w:val="auto"/>
                <w:sz w:val="21"/>
                <w:szCs w:val="21"/>
                <w:highlight w:val="none"/>
              </w:rPr>
            </w:pPr>
            <w:r>
              <w:rPr>
                <w:color w:val="auto"/>
                <w:sz w:val="21"/>
                <w:szCs w:val="21"/>
                <w:highlight w:val="none"/>
              </w:rPr>
              <w:t>32.3</w:t>
            </w:r>
          </w:p>
        </w:tc>
        <w:tc>
          <w:tcPr>
            <w:tcW w:w="664" w:type="pct"/>
            <w:vAlign w:val="center"/>
          </w:tcPr>
          <w:p w14:paraId="30B7A20E">
            <w:pPr>
              <w:spacing w:line="240" w:lineRule="auto"/>
              <w:ind w:firstLine="0" w:firstLineChars="0"/>
              <w:jc w:val="center"/>
              <w:rPr>
                <w:color w:val="auto"/>
                <w:sz w:val="21"/>
                <w:szCs w:val="21"/>
                <w:highlight w:val="none"/>
              </w:rPr>
            </w:pPr>
            <w:r>
              <w:rPr>
                <w:color w:val="auto"/>
                <w:sz w:val="21"/>
                <w:szCs w:val="21"/>
                <w:highlight w:val="none"/>
              </w:rPr>
              <w:t>19.6</w:t>
            </w:r>
          </w:p>
        </w:tc>
        <w:tc>
          <w:tcPr>
            <w:tcW w:w="919" w:type="pct"/>
            <w:vAlign w:val="center"/>
          </w:tcPr>
          <w:p w14:paraId="0FD0B613">
            <w:pPr>
              <w:spacing w:line="240" w:lineRule="auto"/>
              <w:ind w:firstLine="0" w:firstLineChars="0"/>
              <w:jc w:val="center"/>
              <w:rPr>
                <w:color w:val="auto"/>
                <w:sz w:val="21"/>
                <w:szCs w:val="21"/>
                <w:highlight w:val="none"/>
              </w:rPr>
            </w:pPr>
            <w:r>
              <w:rPr>
                <w:color w:val="auto"/>
                <w:sz w:val="21"/>
                <w:szCs w:val="21"/>
                <w:highlight w:val="none"/>
              </w:rPr>
              <w:t>5.5</w:t>
            </w:r>
          </w:p>
        </w:tc>
        <w:tc>
          <w:tcPr>
            <w:tcW w:w="914" w:type="pct"/>
            <w:vMerge w:val="continue"/>
            <w:tcBorders>
              <w:right w:val="nil"/>
            </w:tcBorders>
            <w:vAlign w:val="center"/>
          </w:tcPr>
          <w:p w14:paraId="54E5B937">
            <w:pPr>
              <w:spacing w:line="240" w:lineRule="auto"/>
              <w:ind w:firstLine="0" w:firstLineChars="0"/>
              <w:jc w:val="center"/>
              <w:rPr>
                <w:color w:val="auto"/>
                <w:sz w:val="21"/>
                <w:szCs w:val="21"/>
                <w:highlight w:val="none"/>
              </w:rPr>
            </w:pPr>
          </w:p>
        </w:tc>
      </w:tr>
      <w:tr w14:paraId="701BC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355" w:type="pct"/>
            <w:tcBorders>
              <w:left w:val="nil"/>
            </w:tcBorders>
            <w:vAlign w:val="center"/>
          </w:tcPr>
          <w:p w14:paraId="5AC5D662">
            <w:pPr>
              <w:spacing w:line="240" w:lineRule="auto"/>
              <w:ind w:firstLine="0" w:firstLineChars="0"/>
              <w:jc w:val="center"/>
              <w:rPr>
                <w:color w:val="auto"/>
                <w:sz w:val="21"/>
                <w:szCs w:val="21"/>
                <w:highlight w:val="none"/>
              </w:rPr>
            </w:pPr>
            <w:r>
              <w:rPr>
                <w:color w:val="auto"/>
                <w:sz w:val="21"/>
                <w:szCs w:val="21"/>
                <w:highlight w:val="none"/>
              </w:rPr>
              <w:t>8万吨级油船</w:t>
            </w:r>
          </w:p>
        </w:tc>
        <w:tc>
          <w:tcPr>
            <w:tcW w:w="687" w:type="pct"/>
            <w:vAlign w:val="center"/>
          </w:tcPr>
          <w:p w14:paraId="72BE5FA4">
            <w:pPr>
              <w:spacing w:line="240" w:lineRule="auto"/>
              <w:ind w:firstLine="0" w:firstLineChars="0"/>
              <w:jc w:val="center"/>
              <w:rPr>
                <w:color w:val="auto"/>
                <w:sz w:val="21"/>
                <w:szCs w:val="21"/>
                <w:highlight w:val="none"/>
              </w:rPr>
            </w:pPr>
            <w:r>
              <w:rPr>
                <w:color w:val="auto"/>
                <w:sz w:val="21"/>
                <w:szCs w:val="21"/>
                <w:highlight w:val="none"/>
              </w:rPr>
              <w:t>243</w:t>
            </w:r>
          </w:p>
        </w:tc>
        <w:tc>
          <w:tcPr>
            <w:tcW w:w="458" w:type="pct"/>
            <w:vAlign w:val="center"/>
          </w:tcPr>
          <w:p w14:paraId="0C6801F4">
            <w:pPr>
              <w:spacing w:line="240" w:lineRule="auto"/>
              <w:ind w:firstLine="0" w:firstLineChars="0"/>
              <w:jc w:val="center"/>
              <w:rPr>
                <w:color w:val="auto"/>
                <w:sz w:val="21"/>
                <w:szCs w:val="21"/>
                <w:highlight w:val="none"/>
              </w:rPr>
            </w:pPr>
            <w:r>
              <w:rPr>
                <w:color w:val="auto"/>
                <w:sz w:val="21"/>
                <w:szCs w:val="21"/>
                <w:highlight w:val="none"/>
              </w:rPr>
              <w:t>42.0</w:t>
            </w:r>
          </w:p>
        </w:tc>
        <w:tc>
          <w:tcPr>
            <w:tcW w:w="664" w:type="pct"/>
            <w:vAlign w:val="center"/>
          </w:tcPr>
          <w:p w14:paraId="0D1FAC5C">
            <w:pPr>
              <w:spacing w:line="240" w:lineRule="auto"/>
              <w:ind w:firstLine="0" w:firstLineChars="0"/>
              <w:jc w:val="center"/>
              <w:rPr>
                <w:color w:val="auto"/>
                <w:sz w:val="21"/>
                <w:szCs w:val="21"/>
                <w:highlight w:val="none"/>
              </w:rPr>
            </w:pPr>
            <w:r>
              <w:rPr>
                <w:color w:val="auto"/>
                <w:sz w:val="21"/>
                <w:szCs w:val="21"/>
                <w:highlight w:val="none"/>
              </w:rPr>
              <w:t>20.8</w:t>
            </w:r>
          </w:p>
        </w:tc>
        <w:tc>
          <w:tcPr>
            <w:tcW w:w="919" w:type="pct"/>
            <w:vAlign w:val="center"/>
          </w:tcPr>
          <w:p w14:paraId="1323FA2D">
            <w:pPr>
              <w:spacing w:line="240" w:lineRule="auto"/>
              <w:ind w:firstLine="0" w:firstLineChars="0"/>
              <w:jc w:val="center"/>
              <w:rPr>
                <w:color w:val="auto"/>
                <w:sz w:val="21"/>
                <w:szCs w:val="21"/>
                <w:highlight w:val="none"/>
              </w:rPr>
            </w:pPr>
            <w:r>
              <w:rPr>
                <w:color w:val="auto"/>
                <w:sz w:val="21"/>
                <w:szCs w:val="21"/>
                <w:highlight w:val="none"/>
              </w:rPr>
              <w:t>5.5</w:t>
            </w:r>
          </w:p>
        </w:tc>
        <w:tc>
          <w:tcPr>
            <w:tcW w:w="914" w:type="pct"/>
            <w:vMerge w:val="continue"/>
            <w:tcBorders>
              <w:right w:val="nil"/>
            </w:tcBorders>
            <w:vAlign w:val="center"/>
          </w:tcPr>
          <w:p w14:paraId="66413F07">
            <w:pPr>
              <w:spacing w:line="240" w:lineRule="auto"/>
              <w:ind w:firstLine="0" w:firstLineChars="0"/>
              <w:jc w:val="center"/>
              <w:rPr>
                <w:color w:val="auto"/>
                <w:sz w:val="21"/>
                <w:szCs w:val="21"/>
                <w:highlight w:val="none"/>
              </w:rPr>
            </w:pPr>
          </w:p>
        </w:tc>
      </w:tr>
      <w:tr w14:paraId="277BF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355" w:type="pct"/>
            <w:tcBorders>
              <w:left w:val="nil"/>
            </w:tcBorders>
            <w:vAlign w:val="center"/>
          </w:tcPr>
          <w:p w14:paraId="75F81B89">
            <w:pPr>
              <w:spacing w:line="240" w:lineRule="auto"/>
              <w:ind w:firstLine="0" w:firstLineChars="0"/>
              <w:jc w:val="center"/>
              <w:rPr>
                <w:color w:val="auto"/>
                <w:sz w:val="21"/>
                <w:szCs w:val="21"/>
                <w:highlight w:val="none"/>
              </w:rPr>
            </w:pPr>
            <w:r>
              <w:rPr>
                <w:color w:val="auto"/>
                <w:sz w:val="21"/>
                <w:szCs w:val="21"/>
                <w:highlight w:val="none"/>
              </w:rPr>
              <w:t>10万吨级散货船</w:t>
            </w:r>
          </w:p>
        </w:tc>
        <w:tc>
          <w:tcPr>
            <w:tcW w:w="687" w:type="pct"/>
            <w:vAlign w:val="center"/>
          </w:tcPr>
          <w:p w14:paraId="4A4559D2">
            <w:pPr>
              <w:spacing w:line="240" w:lineRule="auto"/>
              <w:ind w:firstLine="0" w:firstLineChars="0"/>
              <w:jc w:val="center"/>
              <w:rPr>
                <w:color w:val="auto"/>
                <w:sz w:val="21"/>
                <w:szCs w:val="21"/>
                <w:highlight w:val="none"/>
              </w:rPr>
            </w:pPr>
            <w:r>
              <w:rPr>
                <w:color w:val="auto"/>
                <w:sz w:val="21"/>
                <w:szCs w:val="21"/>
                <w:highlight w:val="none"/>
              </w:rPr>
              <w:t>250</w:t>
            </w:r>
          </w:p>
        </w:tc>
        <w:tc>
          <w:tcPr>
            <w:tcW w:w="458" w:type="pct"/>
            <w:vAlign w:val="center"/>
          </w:tcPr>
          <w:p w14:paraId="61939B4A">
            <w:pPr>
              <w:spacing w:line="240" w:lineRule="auto"/>
              <w:ind w:firstLine="0" w:firstLineChars="0"/>
              <w:jc w:val="center"/>
              <w:rPr>
                <w:color w:val="auto"/>
                <w:sz w:val="21"/>
                <w:szCs w:val="21"/>
                <w:highlight w:val="none"/>
              </w:rPr>
            </w:pPr>
            <w:r>
              <w:rPr>
                <w:color w:val="auto"/>
                <w:sz w:val="21"/>
                <w:szCs w:val="21"/>
                <w:highlight w:val="none"/>
              </w:rPr>
              <w:t>43.0</w:t>
            </w:r>
          </w:p>
        </w:tc>
        <w:tc>
          <w:tcPr>
            <w:tcW w:w="664" w:type="pct"/>
            <w:vAlign w:val="center"/>
          </w:tcPr>
          <w:p w14:paraId="76B94317">
            <w:pPr>
              <w:spacing w:line="240" w:lineRule="auto"/>
              <w:ind w:firstLine="0" w:firstLineChars="0"/>
              <w:jc w:val="center"/>
              <w:rPr>
                <w:color w:val="auto"/>
                <w:sz w:val="21"/>
                <w:szCs w:val="21"/>
                <w:highlight w:val="none"/>
              </w:rPr>
            </w:pPr>
            <w:r>
              <w:rPr>
                <w:color w:val="auto"/>
                <w:sz w:val="21"/>
                <w:szCs w:val="21"/>
                <w:highlight w:val="none"/>
              </w:rPr>
              <w:t>20.3</w:t>
            </w:r>
          </w:p>
        </w:tc>
        <w:tc>
          <w:tcPr>
            <w:tcW w:w="919" w:type="pct"/>
            <w:vAlign w:val="center"/>
          </w:tcPr>
          <w:p w14:paraId="3C4FC80F">
            <w:pPr>
              <w:spacing w:line="240" w:lineRule="auto"/>
              <w:ind w:firstLine="0" w:firstLineChars="0"/>
              <w:jc w:val="center"/>
              <w:rPr>
                <w:color w:val="auto"/>
                <w:sz w:val="21"/>
                <w:szCs w:val="21"/>
                <w:highlight w:val="none"/>
              </w:rPr>
            </w:pPr>
            <w:r>
              <w:rPr>
                <w:color w:val="auto"/>
                <w:sz w:val="21"/>
                <w:szCs w:val="21"/>
                <w:highlight w:val="none"/>
              </w:rPr>
              <w:t>5.5</w:t>
            </w:r>
          </w:p>
        </w:tc>
        <w:tc>
          <w:tcPr>
            <w:tcW w:w="914" w:type="pct"/>
            <w:vMerge w:val="restart"/>
            <w:tcBorders>
              <w:right w:val="nil"/>
            </w:tcBorders>
            <w:vAlign w:val="center"/>
          </w:tcPr>
          <w:p w14:paraId="5BBAC748">
            <w:pPr>
              <w:spacing w:line="240" w:lineRule="auto"/>
              <w:ind w:firstLine="0" w:firstLineChars="0"/>
              <w:jc w:val="center"/>
              <w:rPr>
                <w:color w:val="auto"/>
                <w:sz w:val="21"/>
                <w:szCs w:val="21"/>
                <w:highlight w:val="none"/>
              </w:rPr>
            </w:pPr>
            <w:r>
              <w:rPr>
                <w:color w:val="auto"/>
                <w:sz w:val="21"/>
                <w:szCs w:val="21"/>
                <w:highlight w:val="none"/>
              </w:rPr>
              <w:t>兼顾船型</w:t>
            </w:r>
          </w:p>
        </w:tc>
      </w:tr>
      <w:tr w14:paraId="53E36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355" w:type="pct"/>
            <w:tcBorders>
              <w:left w:val="nil"/>
              <w:bottom w:val="single" w:color="auto" w:sz="12" w:space="0"/>
            </w:tcBorders>
            <w:vAlign w:val="center"/>
          </w:tcPr>
          <w:p w14:paraId="5A61093A">
            <w:pPr>
              <w:spacing w:line="240" w:lineRule="auto"/>
              <w:ind w:firstLine="0" w:firstLineChars="0"/>
              <w:jc w:val="center"/>
              <w:rPr>
                <w:color w:val="auto"/>
                <w:sz w:val="21"/>
                <w:szCs w:val="21"/>
                <w:highlight w:val="none"/>
              </w:rPr>
            </w:pPr>
            <w:r>
              <w:rPr>
                <w:color w:val="auto"/>
                <w:sz w:val="21"/>
                <w:szCs w:val="21"/>
                <w:highlight w:val="none"/>
              </w:rPr>
              <w:t>10万吨级油船</w:t>
            </w:r>
          </w:p>
        </w:tc>
        <w:tc>
          <w:tcPr>
            <w:tcW w:w="687" w:type="pct"/>
            <w:tcBorders>
              <w:bottom w:val="single" w:color="auto" w:sz="12" w:space="0"/>
            </w:tcBorders>
            <w:vAlign w:val="center"/>
          </w:tcPr>
          <w:p w14:paraId="57ABE244">
            <w:pPr>
              <w:spacing w:line="240" w:lineRule="auto"/>
              <w:ind w:firstLine="0" w:firstLineChars="0"/>
              <w:jc w:val="center"/>
              <w:rPr>
                <w:color w:val="auto"/>
                <w:sz w:val="21"/>
                <w:szCs w:val="21"/>
                <w:highlight w:val="none"/>
              </w:rPr>
            </w:pPr>
            <w:r>
              <w:rPr>
                <w:color w:val="auto"/>
                <w:sz w:val="21"/>
                <w:szCs w:val="21"/>
                <w:highlight w:val="none"/>
              </w:rPr>
              <w:t>246</w:t>
            </w:r>
          </w:p>
        </w:tc>
        <w:tc>
          <w:tcPr>
            <w:tcW w:w="458" w:type="pct"/>
            <w:tcBorders>
              <w:bottom w:val="single" w:color="auto" w:sz="12" w:space="0"/>
            </w:tcBorders>
            <w:vAlign w:val="center"/>
          </w:tcPr>
          <w:p w14:paraId="78142FA1">
            <w:pPr>
              <w:spacing w:line="240" w:lineRule="auto"/>
              <w:ind w:firstLine="0" w:firstLineChars="0"/>
              <w:jc w:val="center"/>
              <w:rPr>
                <w:color w:val="auto"/>
                <w:sz w:val="21"/>
                <w:szCs w:val="21"/>
                <w:highlight w:val="none"/>
              </w:rPr>
            </w:pPr>
            <w:r>
              <w:rPr>
                <w:color w:val="auto"/>
                <w:sz w:val="21"/>
                <w:szCs w:val="21"/>
                <w:highlight w:val="none"/>
              </w:rPr>
              <w:t>43.0</w:t>
            </w:r>
          </w:p>
        </w:tc>
        <w:tc>
          <w:tcPr>
            <w:tcW w:w="664" w:type="pct"/>
            <w:tcBorders>
              <w:bottom w:val="single" w:color="auto" w:sz="12" w:space="0"/>
            </w:tcBorders>
            <w:vAlign w:val="center"/>
          </w:tcPr>
          <w:p w14:paraId="39742707">
            <w:pPr>
              <w:spacing w:line="240" w:lineRule="auto"/>
              <w:ind w:firstLine="0" w:firstLineChars="0"/>
              <w:jc w:val="center"/>
              <w:rPr>
                <w:color w:val="auto"/>
                <w:sz w:val="21"/>
                <w:szCs w:val="21"/>
                <w:highlight w:val="none"/>
              </w:rPr>
            </w:pPr>
            <w:r>
              <w:rPr>
                <w:color w:val="auto"/>
                <w:sz w:val="21"/>
                <w:szCs w:val="21"/>
                <w:highlight w:val="none"/>
              </w:rPr>
              <w:t>21.4</w:t>
            </w:r>
          </w:p>
        </w:tc>
        <w:tc>
          <w:tcPr>
            <w:tcW w:w="919" w:type="pct"/>
            <w:tcBorders>
              <w:bottom w:val="single" w:color="auto" w:sz="12" w:space="0"/>
            </w:tcBorders>
            <w:vAlign w:val="center"/>
          </w:tcPr>
          <w:p w14:paraId="380A14FB">
            <w:pPr>
              <w:spacing w:line="240" w:lineRule="auto"/>
              <w:ind w:firstLine="0" w:firstLineChars="0"/>
              <w:jc w:val="center"/>
              <w:rPr>
                <w:color w:val="auto"/>
                <w:sz w:val="21"/>
                <w:szCs w:val="21"/>
                <w:highlight w:val="none"/>
              </w:rPr>
            </w:pPr>
            <w:r>
              <w:rPr>
                <w:color w:val="auto"/>
                <w:sz w:val="21"/>
                <w:szCs w:val="21"/>
                <w:highlight w:val="none"/>
              </w:rPr>
              <w:t>5.5</w:t>
            </w:r>
          </w:p>
        </w:tc>
        <w:tc>
          <w:tcPr>
            <w:tcW w:w="914" w:type="pct"/>
            <w:vMerge w:val="continue"/>
            <w:tcBorders>
              <w:bottom w:val="single" w:color="auto" w:sz="12" w:space="0"/>
              <w:right w:val="nil"/>
            </w:tcBorders>
            <w:vAlign w:val="center"/>
          </w:tcPr>
          <w:p w14:paraId="75D3A810">
            <w:pPr>
              <w:ind w:firstLine="480"/>
              <w:jc w:val="center"/>
              <w:rPr>
                <w:color w:val="auto"/>
                <w:szCs w:val="28"/>
                <w:highlight w:val="none"/>
              </w:rPr>
            </w:pPr>
          </w:p>
        </w:tc>
      </w:tr>
    </w:tbl>
    <w:p w14:paraId="56092C52">
      <w:pPr>
        <w:spacing w:before="120" w:beforeLines="50"/>
        <w:ind w:firstLine="480"/>
        <w:rPr>
          <w:color w:val="auto"/>
          <w:highlight w:val="none"/>
        </w:rPr>
      </w:pPr>
      <w:r>
        <w:rPr>
          <w:color w:val="auto"/>
          <w:highlight w:val="none"/>
        </w:rPr>
        <w:t>（2）2#出运码头</w:t>
      </w:r>
    </w:p>
    <w:p w14:paraId="38F62F4A">
      <w:pPr>
        <w:ind w:firstLine="480"/>
        <w:rPr>
          <w:color w:val="auto"/>
          <w:highlight w:val="none"/>
        </w:rPr>
      </w:pPr>
      <w:r>
        <w:rPr>
          <w:color w:val="auto"/>
          <w:highlight w:val="none"/>
        </w:rPr>
        <w:t>①2#码头为海工重件出运码头，出运产品如下：</w:t>
      </w:r>
    </w:p>
    <w:p w14:paraId="5780FA21">
      <w:pPr>
        <w:pStyle w:val="38"/>
        <w:spacing w:after="0" w:line="240" w:lineRule="auto"/>
        <w:ind w:firstLine="0" w:firstLineChars="0"/>
        <w:jc w:val="center"/>
        <w:rPr>
          <w:b/>
          <w:color w:val="auto"/>
          <w:sz w:val="21"/>
          <w:szCs w:val="21"/>
          <w:highlight w:val="none"/>
        </w:rPr>
      </w:pPr>
      <w:r>
        <w:rPr>
          <w:b/>
          <w:color w:val="auto"/>
          <w:sz w:val="21"/>
          <w:szCs w:val="21"/>
          <w:highlight w:val="none"/>
        </w:rPr>
        <w:t>表2.1-1</w:t>
      </w:r>
      <w:r>
        <w:rPr>
          <w:rFonts w:hint="eastAsia"/>
          <w:b/>
          <w:color w:val="auto"/>
          <w:sz w:val="21"/>
          <w:szCs w:val="21"/>
          <w:highlight w:val="none"/>
        </w:rPr>
        <w:t xml:space="preserve">8 </w:t>
      </w:r>
      <w:r>
        <w:rPr>
          <w:b/>
          <w:color w:val="auto"/>
          <w:sz w:val="21"/>
          <w:szCs w:val="21"/>
          <w:highlight w:val="none"/>
        </w:rPr>
        <w:t xml:space="preserve"> 2#码头出运产品</w:t>
      </w:r>
    </w:p>
    <w:tbl>
      <w:tblPr>
        <w:tblStyle w:val="9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13"/>
        <w:gridCol w:w="2430"/>
        <w:gridCol w:w="1565"/>
        <w:gridCol w:w="1279"/>
        <w:gridCol w:w="3179"/>
      </w:tblGrid>
      <w:tr w14:paraId="58825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338" w:type="pct"/>
            <w:tcBorders>
              <w:top w:val="single" w:color="auto" w:sz="12" w:space="0"/>
              <w:left w:val="nil"/>
            </w:tcBorders>
            <w:vAlign w:val="center"/>
          </w:tcPr>
          <w:p w14:paraId="0A08B270">
            <w:pPr>
              <w:spacing w:line="240" w:lineRule="auto"/>
              <w:ind w:firstLine="0" w:firstLineChars="0"/>
              <w:jc w:val="center"/>
              <w:rPr>
                <w:b/>
                <w:bCs/>
                <w:color w:val="auto"/>
                <w:sz w:val="21"/>
                <w:szCs w:val="21"/>
                <w:highlight w:val="none"/>
              </w:rPr>
            </w:pPr>
            <w:r>
              <w:rPr>
                <w:b/>
                <w:bCs/>
                <w:color w:val="auto"/>
                <w:sz w:val="21"/>
                <w:szCs w:val="21"/>
                <w:highlight w:val="none"/>
              </w:rPr>
              <w:t>编号</w:t>
            </w:r>
          </w:p>
        </w:tc>
        <w:tc>
          <w:tcPr>
            <w:tcW w:w="1340" w:type="pct"/>
            <w:tcBorders>
              <w:top w:val="single" w:color="auto" w:sz="12" w:space="0"/>
            </w:tcBorders>
            <w:vAlign w:val="center"/>
          </w:tcPr>
          <w:p w14:paraId="0AB21C20">
            <w:pPr>
              <w:spacing w:line="240" w:lineRule="auto"/>
              <w:ind w:firstLine="0" w:firstLineChars="0"/>
              <w:jc w:val="center"/>
              <w:rPr>
                <w:b/>
                <w:bCs/>
                <w:color w:val="auto"/>
                <w:sz w:val="21"/>
                <w:szCs w:val="21"/>
                <w:highlight w:val="none"/>
              </w:rPr>
            </w:pPr>
            <w:r>
              <w:rPr>
                <w:b/>
                <w:bCs/>
                <w:color w:val="auto"/>
                <w:sz w:val="21"/>
                <w:szCs w:val="21"/>
                <w:highlight w:val="none"/>
              </w:rPr>
              <w:t>代表产品</w:t>
            </w:r>
          </w:p>
        </w:tc>
        <w:tc>
          <w:tcPr>
            <w:tcW w:w="863" w:type="pct"/>
            <w:tcBorders>
              <w:top w:val="single" w:color="auto" w:sz="12" w:space="0"/>
            </w:tcBorders>
            <w:vAlign w:val="center"/>
          </w:tcPr>
          <w:p w14:paraId="6DEDBC42">
            <w:pPr>
              <w:spacing w:line="240" w:lineRule="auto"/>
              <w:ind w:firstLine="0" w:firstLineChars="0"/>
              <w:jc w:val="center"/>
              <w:rPr>
                <w:b/>
                <w:bCs/>
                <w:color w:val="auto"/>
                <w:sz w:val="21"/>
                <w:szCs w:val="21"/>
                <w:highlight w:val="none"/>
              </w:rPr>
            </w:pPr>
            <w:r>
              <w:rPr>
                <w:b/>
                <w:bCs/>
                <w:color w:val="auto"/>
                <w:sz w:val="21"/>
                <w:szCs w:val="21"/>
                <w:highlight w:val="none"/>
              </w:rPr>
              <w:t>设计钢材加工量</w:t>
            </w:r>
          </w:p>
          <w:p w14:paraId="545C1880">
            <w:pPr>
              <w:spacing w:line="240" w:lineRule="auto"/>
              <w:ind w:firstLine="0" w:firstLineChars="0"/>
              <w:jc w:val="center"/>
              <w:rPr>
                <w:b/>
                <w:bCs/>
                <w:color w:val="auto"/>
                <w:sz w:val="21"/>
                <w:szCs w:val="21"/>
                <w:highlight w:val="none"/>
              </w:rPr>
            </w:pPr>
            <w:r>
              <w:rPr>
                <w:b/>
                <w:bCs/>
                <w:color w:val="auto"/>
                <w:sz w:val="21"/>
                <w:szCs w:val="21"/>
                <w:highlight w:val="none"/>
              </w:rPr>
              <w:t>（万吨/年）</w:t>
            </w:r>
          </w:p>
        </w:tc>
        <w:tc>
          <w:tcPr>
            <w:tcW w:w="705" w:type="pct"/>
            <w:tcBorders>
              <w:top w:val="single" w:color="auto" w:sz="12" w:space="0"/>
            </w:tcBorders>
            <w:vAlign w:val="center"/>
          </w:tcPr>
          <w:p w14:paraId="6C24CF53">
            <w:pPr>
              <w:spacing w:line="240" w:lineRule="auto"/>
              <w:ind w:firstLine="0" w:firstLineChars="0"/>
              <w:jc w:val="center"/>
              <w:rPr>
                <w:b/>
                <w:bCs/>
                <w:color w:val="auto"/>
                <w:sz w:val="21"/>
                <w:szCs w:val="21"/>
                <w:highlight w:val="none"/>
              </w:rPr>
            </w:pPr>
            <w:r>
              <w:rPr>
                <w:b/>
                <w:bCs/>
                <w:color w:val="auto"/>
                <w:sz w:val="21"/>
                <w:szCs w:val="21"/>
                <w:highlight w:val="none"/>
              </w:rPr>
              <w:t>单体最大重量</w:t>
            </w:r>
          </w:p>
          <w:p w14:paraId="5B328169">
            <w:pPr>
              <w:spacing w:line="240" w:lineRule="auto"/>
              <w:ind w:firstLine="0" w:firstLineChars="0"/>
              <w:jc w:val="center"/>
              <w:rPr>
                <w:b/>
                <w:bCs/>
                <w:color w:val="auto"/>
                <w:sz w:val="21"/>
                <w:szCs w:val="21"/>
                <w:highlight w:val="none"/>
              </w:rPr>
            </w:pPr>
            <w:r>
              <w:rPr>
                <w:b/>
                <w:bCs/>
                <w:color w:val="auto"/>
                <w:sz w:val="21"/>
                <w:szCs w:val="21"/>
                <w:highlight w:val="none"/>
              </w:rPr>
              <w:t>（吨）</w:t>
            </w:r>
          </w:p>
        </w:tc>
        <w:tc>
          <w:tcPr>
            <w:tcW w:w="1753" w:type="pct"/>
            <w:tcBorders>
              <w:top w:val="single" w:color="auto" w:sz="12" w:space="0"/>
              <w:right w:val="nil"/>
            </w:tcBorders>
            <w:vAlign w:val="center"/>
          </w:tcPr>
          <w:p w14:paraId="3B9B8677">
            <w:pPr>
              <w:spacing w:line="240" w:lineRule="auto"/>
              <w:ind w:firstLine="0" w:firstLineChars="0"/>
              <w:jc w:val="center"/>
              <w:rPr>
                <w:b/>
                <w:bCs/>
                <w:color w:val="auto"/>
                <w:sz w:val="21"/>
                <w:szCs w:val="21"/>
                <w:highlight w:val="none"/>
              </w:rPr>
            </w:pPr>
            <w:r>
              <w:rPr>
                <w:b/>
                <w:bCs/>
                <w:color w:val="auto"/>
                <w:sz w:val="21"/>
                <w:szCs w:val="21"/>
                <w:highlight w:val="none"/>
              </w:rPr>
              <w:t>单体最大尺寸</w:t>
            </w:r>
          </w:p>
        </w:tc>
      </w:tr>
      <w:tr w14:paraId="4C180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338" w:type="pct"/>
            <w:tcBorders>
              <w:left w:val="nil"/>
            </w:tcBorders>
            <w:vAlign w:val="center"/>
          </w:tcPr>
          <w:p w14:paraId="1C4D6C4F">
            <w:pPr>
              <w:spacing w:line="240" w:lineRule="auto"/>
              <w:ind w:firstLine="0" w:firstLineChars="0"/>
              <w:jc w:val="center"/>
              <w:rPr>
                <w:color w:val="auto"/>
                <w:sz w:val="21"/>
                <w:szCs w:val="21"/>
                <w:highlight w:val="none"/>
              </w:rPr>
            </w:pPr>
            <w:r>
              <w:rPr>
                <w:color w:val="auto"/>
                <w:sz w:val="21"/>
                <w:szCs w:val="21"/>
                <w:highlight w:val="none"/>
              </w:rPr>
              <w:t>1</w:t>
            </w:r>
          </w:p>
        </w:tc>
        <w:tc>
          <w:tcPr>
            <w:tcW w:w="1340" w:type="pct"/>
            <w:vAlign w:val="center"/>
          </w:tcPr>
          <w:p w14:paraId="6140CF3D">
            <w:pPr>
              <w:spacing w:line="240" w:lineRule="auto"/>
              <w:ind w:firstLine="0" w:firstLineChars="0"/>
              <w:jc w:val="center"/>
              <w:rPr>
                <w:color w:val="auto"/>
                <w:sz w:val="21"/>
                <w:szCs w:val="21"/>
                <w:highlight w:val="none"/>
              </w:rPr>
            </w:pPr>
            <w:r>
              <w:rPr>
                <w:color w:val="auto"/>
                <w:sz w:val="21"/>
                <w:szCs w:val="21"/>
                <w:highlight w:val="none"/>
              </w:rPr>
              <w:t>导管架和钢桩</w:t>
            </w:r>
          </w:p>
        </w:tc>
        <w:tc>
          <w:tcPr>
            <w:tcW w:w="863" w:type="pct"/>
            <w:vAlign w:val="center"/>
          </w:tcPr>
          <w:p w14:paraId="0E5B4E60">
            <w:pPr>
              <w:spacing w:line="240" w:lineRule="auto"/>
              <w:ind w:firstLine="0" w:firstLineChars="0"/>
              <w:jc w:val="center"/>
              <w:rPr>
                <w:color w:val="auto"/>
                <w:sz w:val="21"/>
                <w:szCs w:val="21"/>
                <w:highlight w:val="none"/>
              </w:rPr>
            </w:pPr>
            <w:r>
              <w:rPr>
                <w:color w:val="auto"/>
                <w:sz w:val="21"/>
                <w:szCs w:val="21"/>
                <w:highlight w:val="none"/>
              </w:rPr>
              <w:t>3</w:t>
            </w:r>
          </w:p>
        </w:tc>
        <w:tc>
          <w:tcPr>
            <w:tcW w:w="705" w:type="pct"/>
            <w:vAlign w:val="center"/>
          </w:tcPr>
          <w:p w14:paraId="5FDA6BF9">
            <w:pPr>
              <w:spacing w:line="240" w:lineRule="auto"/>
              <w:ind w:firstLine="0" w:firstLineChars="0"/>
              <w:jc w:val="center"/>
              <w:rPr>
                <w:color w:val="auto"/>
                <w:sz w:val="21"/>
                <w:szCs w:val="21"/>
                <w:highlight w:val="none"/>
              </w:rPr>
            </w:pPr>
            <w:r>
              <w:rPr>
                <w:color w:val="auto"/>
                <w:sz w:val="21"/>
                <w:szCs w:val="21"/>
                <w:highlight w:val="none"/>
              </w:rPr>
              <w:t>30000</w:t>
            </w:r>
          </w:p>
        </w:tc>
        <w:tc>
          <w:tcPr>
            <w:tcW w:w="1753" w:type="pct"/>
            <w:tcBorders>
              <w:right w:val="nil"/>
            </w:tcBorders>
            <w:vAlign w:val="center"/>
          </w:tcPr>
          <w:p w14:paraId="596D2B03">
            <w:pPr>
              <w:spacing w:line="240" w:lineRule="auto"/>
              <w:ind w:firstLine="0" w:firstLineChars="0"/>
              <w:jc w:val="center"/>
              <w:rPr>
                <w:color w:val="auto"/>
                <w:sz w:val="21"/>
                <w:szCs w:val="21"/>
                <w:highlight w:val="none"/>
              </w:rPr>
            </w:pPr>
            <w:r>
              <w:rPr>
                <w:color w:val="auto"/>
                <w:sz w:val="21"/>
                <w:szCs w:val="21"/>
                <w:highlight w:val="none"/>
              </w:rPr>
              <w:t>290m长，下部85×85m，上部30×30m，</w:t>
            </w:r>
          </w:p>
        </w:tc>
      </w:tr>
      <w:tr w14:paraId="194E5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338" w:type="pct"/>
            <w:tcBorders>
              <w:left w:val="nil"/>
            </w:tcBorders>
            <w:vAlign w:val="center"/>
          </w:tcPr>
          <w:p w14:paraId="4FC81858">
            <w:pPr>
              <w:spacing w:line="240" w:lineRule="auto"/>
              <w:ind w:firstLine="0" w:firstLineChars="0"/>
              <w:jc w:val="center"/>
              <w:rPr>
                <w:color w:val="auto"/>
                <w:sz w:val="21"/>
                <w:szCs w:val="21"/>
                <w:highlight w:val="none"/>
              </w:rPr>
            </w:pPr>
            <w:r>
              <w:rPr>
                <w:color w:val="auto"/>
                <w:sz w:val="21"/>
                <w:szCs w:val="21"/>
                <w:highlight w:val="none"/>
              </w:rPr>
              <w:t>2</w:t>
            </w:r>
          </w:p>
        </w:tc>
        <w:tc>
          <w:tcPr>
            <w:tcW w:w="1340" w:type="pct"/>
            <w:vAlign w:val="center"/>
          </w:tcPr>
          <w:p w14:paraId="4A5AC554">
            <w:pPr>
              <w:spacing w:line="240" w:lineRule="auto"/>
              <w:ind w:firstLine="0" w:firstLineChars="0"/>
              <w:jc w:val="center"/>
              <w:rPr>
                <w:color w:val="auto"/>
                <w:sz w:val="21"/>
                <w:szCs w:val="21"/>
                <w:highlight w:val="none"/>
              </w:rPr>
            </w:pPr>
            <w:r>
              <w:rPr>
                <w:color w:val="auto"/>
                <w:sz w:val="21"/>
                <w:szCs w:val="21"/>
                <w:highlight w:val="none"/>
              </w:rPr>
              <w:t>固定式平台（模块/</w:t>
            </w:r>
            <w:r>
              <w:rPr>
                <w:rFonts w:hint="eastAsia"/>
                <w:color w:val="auto"/>
                <w:sz w:val="21"/>
                <w:szCs w:val="21"/>
                <w:highlight w:val="none"/>
                <w:lang w:eastAsia="zh-CN"/>
              </w:rPr>
              <w:t>组块</w:t>
            </w:r>
            <w:r>
              <w:rPr>
                <w:color w:val="auto"/>
                <w:sz w:val="21"/>
                <w:szCs w:val="21"/>
                <w:highlight w:val="none"/>
              </w:rPr>
              <w:t>）</w:t>
            </w:r>
          </w:p>
        </w:tc>
        <w:tc>
          <w:tcPr>
            <w:tcW w:w="863" w:type="pct"/>
            <w:vAlign w:val="center"/>
          </w:tcPr>
          <w:p w14:paraId="17510DCC">
            <w:pPr>
              <w:spacing w:line="240" w:lineRule="auto"/>
              <w:ind w:firstLine="0" w:firstLineChars="0"/>
              <w:jc w:val="center"/>
              <w:rPr>
                <w:color w:val="auto"/>
                <w:sz w:val="21"/>
                <w:szCs w:val="21"/>
                <w:highlight w:val="none"/>
              </w:rPr>
            </w:pPr>
            <w:r>
              <w:rPr>
                <w:color w:val="auto"/>
                <w:sz w:val="21"/>
                <w:szCs w:val="21"/>
                <w:highlight w:val="none"/>
              </w:rPr>
              <w:t>0.5</w:t>
            </w:r>
          </w:p>
        </w:tc>
        <w:tc>
          <w:tcPr>
            <w:tcW w:w="705" w:type="pct"/>
            <w:vAlign w:val="center"/>
          </w:tcPr>
          <w:p w14:paraId="1B8AFC44">
            <w:pPr>
              <w:spacing w:line="240" w:lineRule="auto"/>
              <w:ind w:firstLine="0" w:firstLineChars="0"/>
              <w:jc w:val="center"/>
              <w:rPr>
                <w:color w:val="auto"/>
                <w:sz w:val="21"/>
                <w:szCs w:val="21"/>
                <w:highlight w:val="none"/>
              </w:rPr>
            </w:pPr>
            <w:r>
              <w:rPr>
                <w:color w:val="auto"/>
                <w:sz w:val="21"/>
                <w:szCs w:val="21"/>
                <w:highlight w:val="none"/>
              </w:rPr>
              <w:t>5000</w:t>
            </w:r>
          </w:p>
        </w:tc>
        <w:tc>
          <w:tcPr>
            <w:tcW w:w="1753" w:type="pct"/>
            <w:tcBorders>
              <w:right w:val="nil"/>
            </w:tcBorders>
            <w:vAlign w:val="center"/>
          </w:tcPr>
          <w:p w14:paraId="3DFC762C">
            <w:pPr>
              <w:spacing w:line="240" w:lineRule="auto"/>
              <w:ind w:firstLine="0" w:firstLineChars="0"/>
              <w:jc w:val="center"/>
              <w:rPr>
                <w:color w:val="auto"/>
                <w:sz w:val="21"/>
                <w:szCs w:val="21"/>
                <w:highlight w:val="none"/>
              </w:rPr>
            </w:pPr>
          </w:p>
        </w:tc>
      </w:tr>
      <w:tr w14:paraId="40299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338" w:type="pct"/>
            <w:tcBorders>
              <w:left w:val="nil"/>
            </w:tcBorders>
            <w:vAlign w:val="center"/>
          </w:tcPr>
          <w:p w14:paraId="6E2DAE3E">
            <w:pPr>
              <w:spacing w:line="240" w:lineRule="auto"/>
              <w:ind w:firstLine="0" w:firstLineChars="0"/>
              <w:jc w:val="center"/>
              <w:rPr>
                <w:color w:val="auto"/>
                <w:sz w:val="21"/>
                <w:szCs w:val="21"/>
                <w:highlight w:val="none"/>
              </w:rPr>
            </w:pPr>
            <w:r>
              <w:rPr>
                <w:color w:val="auto"/>
                <w:sz w:val="21"/>
                <w:szCs w:val="21"/>
                <w:highlight w:val="none"/>
              </w:rPr>
              <w:t>3</w:t>
            </w:r>
          </w:p>
        </w:tc>
        <w:tc>
          <w:tcPr>
            <w:tcW w:w="1340" w:type="pct"/>
            <w:vAlign w:val="center"/>
          </w:tcPr>
          <w:p w14:paraId="69826CB8">
            <w:pPr>
              <w:spacing w:line="240" w:lineRule="auto"/>
              <w:ind w:firstLine="0" w:firstLineChars="0"/>
              <w:jc w:val="center"/>
              <w:rPr>
                <w:color w:val="auto"/>
                <w:sz w:val="21"/>
                <w:szCs w:val="21"/>
                <w:highlight w:val="none"/>
              </w:rPr>
            </w:pPr>
            <w:r>
              <w:rPr>
                <w:color w:val="auto"/>
                <w:sz w:val="21"/>
                <w:szCs w:val="21"/>
                <w:highlight w:val="none"/>
              </w:rPr>
              <w:t>FPSO/FLNG模块</w:t>
            </w:r>
          </w:p>
        </w:tc>
        <w:tc>
          <w:tcPr>
            <w:tcW w:w="863" w:type="pct"/>
            <w:vAlign w:val="center"/>
          </w:tcPr>
          <w:p w14:paraId="4B91B3C6">
            <w:pPr>
              <w:spacing w:line="240" w:lineRule="auto"/>
              <w:ind w:firstLine="0" w:firstLineChars="0"/>
              <w:jc w:val="center"/>
              <w:rPr>
                <w:color w:val="auto"/>
                <w:sz w:val="21"/>
                <w:szCs w:val="21"/>
                <w:highlight w:val="none"/>
              </w:rPr>
            </w:pPr>
            <w:r>
              <w:rPr>
                <w:color w:val="auto"/>
                <w:sz w:val="21"/>
                <w:szCs w:val="21"/>
                <w:highlight w:val="none"/>
              </w:rPr>
              <w:t>0.5</w:t>
            </w:r>
          </w:p>
        </w:tc>
        <w:tc>
          <w:tcPr>
            <w:tcW w:w="705" w:type="pct"/>
            <w:vAlign w:val="center"/>
          </w:tcPr>
          <w:p w14:paraId="2FAA801B">
            <w:pPr>
              <w:spacing w:line="240" w:lineRule="auto"/>
              <w:ind w:firstLine="0" w:firstLineChars="0"/>
              <w:jc w:val="center"/>
              <w:rPr>
                <w:color w:val="auto"/>
                <w:sz w:val="21"/>
                <w:szCs w:val="21"/>
                <w:highlight w:val="none"/>
              </w:rPr>
            </w:pPr>
            <w:r>
              <w:rPr>
                <w:color w:val="auto"/>
                <w:sz w:val="21"/>
                <w:szCs w:val="21"/>
                <w:highlight w:val="none"/>
              </w:rPr>
              <w:t>3000</w:t>
            </w:r>
          </w:p>
        </w:tc>
        <w:tc>
          <w:tcPr>
            <w:tcW w:w="1753" w:type="pct"/>
            <w:tcBorders>
              <w:right w:val="nil"/>
            </w:tcBorders>
            <w:vAlign w:val="center"/>
          </w:tcPr>
          <w:p w14:paraId="3B016918">
            <w:pPr>
              <w:spacing w:line="240" w:lineRule="auto"/>
              <w:ind w:firstLine="0" w:firstLineChars="0"/>
              <w:jc w:val="center"/>
              <w:rPr>
                <w:color w:val="auto"/>
                <w:sz w:val="21"/>
                <w:szCs w:val="21"/>
                <w:highlight w:val="none"/>
              </w:rPr>
            </w:pPr>
            <w:r>
              <w:rPr>
                <w:color w:val="auto"/>
                <w:sz w:val="21"/>
                <w:szCs w:val="21"/>
                <w:highlight w:val="none"/>
              </w:rPr>
              <w:t>30×30×20m</w:t>
            </w:r>
          </w:p>
        </w:tc>
      </w:tr>
      <w:tr w14:paraId="053CD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338" w:type="pct"/>
            <w:tcBorders>
              <w:left w:val="nil"/>
              <w:bottom w:val="single" w:color="auto" w:sz="12" w:space="0"/>
            </w:tcBorders>
            <w:vAlign w:val="center"/>
          </w:tcPr>
          <w:p w14:paraId="1779F12F">
            <w:pPr>
              <w:spacing w:line="240" w:lineRule="auto"/>
              <w:ind w:firstLine="0" w:firstLineChars="0"/>
              <w:jc w:val="center"/>
              <w:rPr>
                <w:color w:val="auto"/>
                <w:sz w:val="21"/>
                <w:szCs w:val="21"/>
                <w:highlight w:val="none"/>
              </w:rPr>
            </w:pPr>
            <w:r>
              <w:rPr>
                <w:color w:val="auto"/>
                <w:sz w:val="21"/>
                <w:szCs w:val="21"/>
                <w:highlight w:val="none"/>
              </w:rPr>
              <w:t>4</w:t>
            </w:r>
          </w:p>
        </w:tc>
        <w:tc>
          <w:tcPr>
            <w:tcW w:w="1340" w:type="pct"/>
            <w:tcBorders>
              <w:bottom w:val="single" w:color="auto" w:sz="12" w:space="0"/>
            </w:tcBorders>
            <w:vAlign w:val="center"/>
          </w:tcPr>
          <w:p w14:paraId="3C26512C">
            <w:pPr>
              <w:spacing w:line="240" w:lineRule="auto"/>
              <w:ind w:firstLine="0" w:firstLineChars="0"/>
              <w:jc w:val="center"/>
              <w:rPr>
                <w:color w:val="auto"/>
                <w:sz w:val="21"/>
                <w:szCs w:val="21"/>
                <w:highlight w:val="none"/>
              </w:rPr>
            </w:pPr>
            <w:r>
              <w:rPr>
                <w:color w:val="auto"/>
                <w:sz w:val="21"/>
                <w:szCs w:val="21"/>
                <w:highlight w:val="none"/>
              </w:rPr>
              <w:t>化工模块</w:t>
            </w:r>
          </w:p>
        </w:tc>
        <w:tc>
          <w:tcPr>
            <w:tcW w:w="863" w:type="pct"/>
            <w:tcBorders>
              <w:bottom w:val="single" w:color="auto" w:sz="12" w:space="0"/>
            </w:tcBorders>
            <w:vAlign w:val="center"/>
          </w:tcPr>
          <w:p w14:paraId="2504C832">
            <w:pPr>
              <w:spacing w:line="240" w:lineRule="auto"/>
              <w:ind w:firstLine="0" w:firstLineChars="0"/>
              <w:jc w:val="center"/>
              <w:rPr>
                <w:color w:val="auto"/>
                <w:sz w:val="21"/>
                <w:szCs w:val="21"/>
                <w:highlight w:val="none"/>
              </w:rPr>
            </w:pPr>
            <w:r>
              <w:rPr>
                <w:color w:val="auto"/>
                <w:sz w:val="21"/>
                <w:szCs w:val="21"/>
                <w:highlight w:val="none"/>
              </w:rPr>
              <w:t>1</w:t>
            </w:r>
          </w:p>
        </w:tc>
        <w:tc>
          <w:tcPr>
            <w:tcW w:w="705" w:type="pct"/>
            <w:tcBorders>
              <w:bottom w:val="single" w:color="auto" w:sz="12" w:space="0"/>
            </w:tcBorders>
            <w:vAlign w:val="center"/>
          </w:tcPr>
          <w:p w14:paraId="4380FD61">
            <w:pPr>
              <w:spacing w:line="240" w:lineRule="auto"/>
              <w:ind w:firstLine="0" w:firstLineChars="0"/>
              <w:jc w:val="center"/>
              <w:rPr>
                <w:color w:val="auto"/>
                <w:sz w:val="21"/>
                <w:szCs w:val="21"/>
                <w:highlight w:val="none"/>
              </w:rPr>
            </w:pPr>
            <w:r>
              <w:rPr>
                <w:color w:val="auto"/>
                <w:sz w:val="21"/>
                <w:szCs w:val="21"/>
                <w:highlight w:val="none"/>
              </w:rPr>
              <w:t>3000</w:t>
            </w:r>
          </w:p>
        </w:tc>
        <w:tc>
          <w:tcPr>
            <w:tcW w:w="1753" w:type="pct"/>
            <w:tcBorders>
              <w:bottom w:val="single" w:color="auto" w:sz="12" w:space="0"/>
              <w:right w:val="nil"/>
            </w:tcBorders>
            <w:vAlign w:val="center"/>
          </w:tcPr>
          <w:p w14:paraId="46855C90">
            <w:pPr>
              <w:spacing w:line="240" w:lineRule="auto"/>
              <w:ind w:firstLine="0" w:firstLineChars="0"/>
              <w:jc w:val="center"/>
              <w:rPr>
                <w:color w:val="auto"/>
                <w:sz w:val="21"/>
                <w:szCs w:val="21"/>
                <w:highlight w:val="none"/>
              </w:rPr>
            </w:pPr>
            <w:r>
              <w:rPr>
                <w:color w:val="auto"/>
                <w:sz w:val="21"/>
                <w:szCs w:val="21"/>
                <w:highlight w:val="none"/>
              </w:rPr>
              <w:t>30×30×20m</w:t>
            </w:r>
          </w:p>
        </w:tc>
      </w:tr>
    </w:tbl>
    <w:p w14:paraId="09170C87">
      <w:pPr>
        <w:spacing w:before="120" w:beforeLines="50"/>
        <w:ind w:firstLine="480"/>
        <w:rPr>
          <w:color w:val="auto"/>
          <w:highlight w:val="none"/>
        </w:rPr>
      </w:pPr>
      <w:r>
        <w:rPr>
          <w:color w:val="auto"/>
          <w:highlight w:val="none"/>
        </w:rPr>
        <w:t>②2#码头主要靠泊船型如下：</w:t>
      </w:r>
    </w:p>
    <w:p w14:paraId="54484499">
      <w:pPr>
        <w:pStyle w:val="38"/>
        <w:spacing w:after="0" w:line="240" w:lineRule="auto"/>
        <w:ind w:firstLine="0" w:firstLineChars="0"/>
        <w:jc w:val="center"/>
        <w:rPr>
          <w:b/>
          <w:color w:val="auto"/>
          <w:sz w:val="21"/>
          <w:szCs w:val="21"/>
          <w:highlight w:val="none"/>
        </w:rPr>
      </w:pPr>
      <w:r>
        <w:rPr>
          <w:b/>
          <w:color w:val="auto"/>
          <w:sz w:val="21"/>
          <w:szCs w:val="21"/>
          <w:highlight w:val="none"/>
        </w:rPr>
        <w:t>表2.1-1</w:t>
      </w:r>
      <w:r>
        <w:rPr>
          <w:rFonts w:hint="eastAsia"/>
          <w:b/>
          <w:color w:val="auto"/>
          <w:sz w:val="21"/>
          <w:szCs w:val="21"/>
          <w:highlight w:val="none"/>
        </w:rPr>
        <w:t>9</w:t>
      </w:r>
      <w:r>
        <w:rPr>
          <w:b/>
          <w:color w:val="auto"/>
          <w:sz w:val="21"/>
          <w:szCs w:val="21"/>
          <w:highlight w:val="none"/>
        </w:rPr>
        <w:t xml:space="preserve">  2#码头靠泊船型</w:t>
      </w:r>
    </w:p>
    <w:tbl>
      <w:tblPr>
        <w:tblStyle w:val="9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56"/>
        <w:gridCol w:w="1239"/>
        <w:gridCol w:w="731"/>
        <w:gridCol w:w="918"/>
        <w:gridCol w:w="918"/>
        <w:gridCol w:w="918"/>
        <w:gridCol w:w="1344"/>
        <w:gridCol w:w="1941"/>
      </w:tblGrid>
      <w:tr w14:paraId="5B761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82" w:type="pct"/>
            <w:tcBorders>
              <w:top w:val="single" w:color="auto" w:sz="12" w:space="0"/>
              <w:left w:val="nil"/>
            </w:tcBorders>
            <w:vAlign w:val="center"/>
          </w:tcPr>
          <w:p w14:paraId="737C8C34">
            <w:pPr>
              <w:spacing w:line="240" w:lineRule="auto"/>
              <w:ind w:firstLine="0" w:firstLineChars="0"/>
              <w:jc w:val="center"/>
              <w:rPr>
                <w:b/>
                <w:bCs/>
                <w:color w:val="auto"/>
                <w:sz w:val="21"/>
                <w:szCs w:val="21"/>
                <w:highlight w:val="none"/>
              </w:rPr>
            </w:pPr>
            <w:r>
              <w:rPr>
                <w:b/>
                <w:bCs/>
                <w:color w:val="auto"/>
                <w:sz w:val="21"/>
                <w:szCs w:val="21"/>
                <w:highlight w:val="none"/>
              </w:rPr>
              <w:t>船型吨位</w:t>
            </w:r>
          </w:p>
        </w:tc>
        <w:tc>
          <w:tcPr>
            <w:tcW w:w="683" w:type="pct"/>
            <w:tcBorders>
              <w:top w:val="single" w:color="auto" w:sz="12" w:space="0"/>
            </w:tcBorders>
            <w:vAlign w:val="center"/>
          </w:tcPr>
          <w:p w14:paraId="0C1B92F1">
            <w:pPr>
              <w:spacing w:line="240" w:lineRule="auto"/>
              <w:ind w:firstLine="0" w:firstLineChars="0"/>
              <w:jc w:val="center"/>
              <w:rPr>
                <w:b/>
                <w:bCs/>
                <w:color w:val="auto"/>
                <w:sz w:val="21"/>
                <w:szCs w:val="21"/>
                <w:highlight w:val="none"/>
              </w:rPr>
            </w:pPr>
            <w:r>
              <w:rPr>
                <w:b/>
                <w:bCs/>
                <w:color w:val="auto"/>
                <w:sz w:val="21"/>
                <w:szCs w:val="21"/>
                <w:highlight w:val="none"/>
              </w:rPr>
              <w:t>名称</w:t>
            </w:r>
          </w:p>
        </w:tc>
        <w:tc>
          <w:tcPr>
            <w:tcW w:w="403" w:type="pct"/>
            <w:tcBorders>
              <w:top w:val="single" w:color="auto" w:sz="12" w:space="0"/>
            </w:tcBorders>
            <w:vAlign w:val="center"/>
          </w:tcPr>
          <w:p w14:paraId="18E0D855">
            <w:pPr>
              <w:spacing w:line="240" w:lineRule="auto"/>
              <w:ind w:firstLine="0" w:firstLineChars="0"/>
              <w:jc w:val="center"/>
              <w:rPr>
                <w:b/>
                <w:bCs/>
                <w:color w:val="auto"/>
                <w:sz w:val="21"/>
                <w:szCs w:val="21"/>
                <w:highlight w:val="none"/>
              </w:rPr>
            </w:pPr>
            <w:r>
              <w:rPr>
                <w:b/>
                <w:bCs/>
                <w:color w:val="auto"/>
                <w:sz w:val="21"/>
                <w:szCs w:val="21"/>
                <w:highlight w:val="none"/>
              </w:rPr>
              <w:t>性能</w:t>
            </w:r>
          </w:p>
        </w:tc>
        <w:tc>
          <w:tcPr>
            <w:tcW w:w="506" w:type="pct"/>
            <w:tcBorders>
              <w:top w:val="single" w:color="auto" w:sz="12" w:space="0"/>
            </w:tcBorders>
            <w:vAlign w:val="center"/>
          </w:tcPr>
          <w:p w14:paraId="04D7F1E0">
            <w:pPr>
              <w:spacing w:line="240" w:lineRule="auto"/>
              <w:ind w:firstLine="0" w:firstLineChars="0"/>
              <w:jc w:val="center"/>
              <w:rPr>
                <w:b/>
                <w:bCs/>
                <w:color w:val="auto"/>
                <w:sz w:val="21"/>
                <w:szCs w:val="21"/>
                <w:highlight w:val="none"/>
              </w:rPr>
            </w:pPr>
            <w:r>
              <w:rPr>
                <w:b/>
                <w:bCs/>
                <w:color w:val="auto"/>
                <w:sz w:val="21"/>
                <w:szCs w:val="21"/>
                <w:highlight w:val="none"/>
              </w:rPr>
              <w:t>总长(m)</w:t>
            </w:r>
          </w:p>
        </w:tc>
        <w:tc>
          <w:tcPr>
            <w:tcW w:w="506" w:type="pct"/>
            <w:tcBorders>
              <w:top w:val="single" w:color="auto" w:sz="12" w:space="0"/>
            </w:tcBorders>
            <w:vAlign w:val="center"/>
          </w:tcPr>
          <w:p w14:paraId="6B66CC4E">
            <w:pPr>
              <w:spacing w:line="240" w:lineRule="auto"/>
              <w:ind w:firstLine="0" w:firstLineChars="0"/>
              <w:jc w:val="center"/>
              <w:rPr>
                <w:b/>
                <w:bCs/>
                <w:color w:val="auto"/>
                <w:sz w:val="21"/>
                <w:szCs w:val="21"/>
                <w:highlight w:val="none"/>
              </w:rPr>
            </w:pPr>
            <w:r>
              <w:rPr>
                <w:b/>
                <w:bCs/>
                <w:color w:val="auto"/>
                <w:sz w:val="21"/>
                <w:szCs w:val="21"/>
                <w:highlight w:val="none"/>
              </w:rPr>
              <w:t>型宽(m)</w:t>
            </w:r>
          </w:p>
        </w:tc>
        <w:tc>
          <w:tcPr>
            <w:tcW w:w="506" w:type="pct"/>
            <w:tcBorders>
              <w:top w:val="single" w:color="auto" w:sz="12" w:space="0"/>
            </w:tcBorders>
            <w:vAlign w:val="center"/>
          </w:tcPr>
          <w:p w14:paraId="61B8B36F">
            <w:pPr>
              <w:spacing w:line="240" w:lineRule="auto"/>
              <w:ind w:firstLine="0" w:firstLineChars="0"/>
              <w:jc w:val="center"/>
              <w:rPr>
                <w:b/>
                <w:bCs/>
                <w:color w:val="auto"/>
                <w:sz w:val="21"/>
                <w:szCs w:val="21"/>
                <w:highlight w:val="none"/>
              </w:rPr>
            </w:pPr>
            <w:r>
              <w:rPr>
                <w:b/>
                <w:bCs/>
                <w:color w:val="auto"/>
                <w:sz w:val="21"/>
                <w:szCs w:val="21"/>
                <w:highlight w:val="none"/>
              </w:rPr>
              <w:t>型深(m)</w:t>
            </w:r>
          </w:p>
        </w:tc>
        <w:tc>
          <w:tcPr>
            <w:tcW w:w="741" w:type="pct"/>
            <w:tcBorders>
              <w:top w:val="single" w:color="auto" w:sz="12" w:space="0"/>
            </w:tcBorders>
            <w:vAlign w:val="center"/>
          </w:tcPr>
          <w:p w14:paraId="05C8A722">
            <w:pPr>
              <w:spacing w:line="240" w:lineRule="auto"/>
              <w:ind w:firstLine="0" w:firstLineChars="0"/>
              <w:jc w:val="center"/>
              <w:rPr>
                <w:b/>
                <w:bCs/>
                <w:color w:val="auto"/>
                <w:sz w:val="21"/>
                <w:szCs w:val="21"/>
                <w:highlight w:val="none"/>
              </w:rPr>
            </w:pPr>
            <w:r>
              <w:rPr>
                <w:b/>
                <w:bCs/>
                <w:color w:val="auto"/>
                <w:sz w:val="21"/>
                <w:szCs w:val="21"/>
                <w:highlight w:val="none"/>
              </w:rPr>
              <w:t>靠泊吃水(m)</w:t>
            </w:r>
          </w:p>
        </w:tc>
        <w:tc>
          <w:tcPr>
            <w:tcW w:w="1070" w:type="pct"/>
            <w:tcBorders>
              <w:top w:val="single" w:color="auto" w:sz="12" w:space="0"/>
              <w:right w:val="nil"/>
            </w:tcBorders>
            <w:vAlign w:val="center"/>
          </w:tcPr>
          <w:p w14:paraId="7DC075DA">
            <w:pPr>
              <w:spacing w:line="240" w:lineRule="auto"/>
              <w:ind w:firstLine="0" w:firstLineChars="0"/>
              <w:jc w:val="center"/>
              <w:rPr>
                <w:b/>
                <w:bCs/>
                <w:color w:val="auto"/>
                <w:sz w:val="21"/>
                <w:szCs w:val="21"/>
                <w:highlight w:val="none"/>
              </w:rPr>
            </w:pPr>
            <w:r>
              <w:rPr>
                <w:b/>
                <w:bCs/>
                <w:color w:val="auto"/>
                <w:sz w:val="21"/>
                <w:szCs w:val="21"/>
                <w:highlight w:val="none"/>
              </w:rPr>
              <w:t>备注</w:t>
            </w:r>
          </w:p>
        </w:tc>
      </w:tr>
      <w:tr w14:paraId="02806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82" w:type="pct"/>
            <w:tcBorders>
              <w:left w:val="nil"/>
            </w:tcBorders>
            <w:vAlign w:val="center"/>
          </w:tcPr>
          <w:p w14:paraId="5C44FCD2">
            <w:pPr>
              <w:spacing w:line="240" w:lineRule="auto"/>
              <w:ind w:firstLine="0" w:firstLineChars="0"/>
              <w:jc w:val="center"/>
              <w:rPr>
                <w:color w:val="auto"/>
                <w:sz w:val="21"/>
                <w:szCs w:val="21"/>
                <w:highlight w:val="none"/>
              </w:rPr>
            </w:pPr>
            <w:r>
              <w:rPr>
                <w:color w:val="auto"/>
                <w:sz w:val="21"/>
                <w:szCs w:val="21"/>
                <w:highlight w:val="none"/>
              </w:rPr>
              <w:t>10万吨级</w:t>
            </w:r>
          </w:p>
        </w:tc>
        <w:tc>
          <w:tcPr>
            <w:tcW w:w="683" w:type="pct"/>
            <w:vAlign w:val="center"/>
          </w:tcPr>
          <w:p w14:paraId="5DA3FAF9">
            <w:pPr>
              <w:spacing w:line="240" w:lineRule="auto"/>
              <w:ind w:firstLine="0" w:firstLineChars="0"/>
              <w:jc w:val="center"/>
              <w:rPr>
                <w:color w:val="auto"/>
                <w:sz w:val="21"/>
                <w:szCs w:val="21"/>
                <w:highlight w:val="none"/>
              </w:rPr>
            </w:pPr>
            <w:r>
              <w:rPr>
                <w:color w:val="auto"/>
                <w:sz w:val="21"/>
                <w:szCs w:val="21"/>
                <w:highlight w:val="none"/>
              </w:rPr>
              <w:t>HYSY 229</w:t>
            </w:r>
          </w:p>
        </w:tc>
        <w:tc>
          <w:tcPr>
            <w:tcW w:w="403" w:type="pct"/>
            <w:vAlign w:val="center"/>
          </w:tcPr>
          <w:p w14:paraId="76E017DE">
            <w:pPr>
              <w:spacing w:line="240" w:lineRule="auto"/>
              <w:ind w:firstLine="0" w:firstLineChars="0"/>
              <w:jc w:val="center"/>
              <w:rPr>
                <w:color w:val="auto"/>
                <w:sz w:val="21"/>
                <w:szCs w:val="21"/>
                <w:highlight w:val="none"/>
              </w:rPr>
            </w:pPr>
            <w:r>
              <w:rPr>
                <w:color w:val="auto"/>
                <w:sz w:val="21"/>
                <w:szCs w:val="21"/>
                <w:highlight w:val="none"/>
              </w:rPr>
              <w:t>驳船</w:t>
            </w:r>
          </w:p>
        </w:tc>
        <w:tc>
          <w:tcPr>
            <w:tcW w:w="506" w:type="pct"/>
            <w:vAlign w:val="center"/>
          </w:tcPr>
          <w:p w14:paraId="0E0091B1">
            <w:pPr>
              <w:spacing w:line="240" w:lineRule="auto"/>
              <w:ind w:firstLine="0" w:firstLineChars="0"/>
              <w:jc w:val="center"/>
              <w:rPr>
                <w:color w:val="auto"/>
                <w:sz w:val="21"/>
                <w:szCs w:val="21"/>
                <w:highlight w:val="none"/>
              </w:rPr>
            </w:pPr>
            <w:r>
              <w:rPr>
                <w:color w:val="auto"/>
                <w:sz w:val="21"/>
                <w:szCs w:val="21"/>
                <w:highlight w:val="none"/>
              </w:rPr>
              <w:t>234.7</w:t>
            </w:r>
          </w:p>
        </w:tc>
        <w:tc>
          <w:tcPr>
            <w:tcW w:w="506" w:type="pct"/>
            <w:vAlign w:val="center"/>
          </w:tcPr>
          <w:p w14:paraId="46E1F876">
            <w:pPr>
              <w:spacing w:line="240" w:lineRule="auto"/>
              <w:ind w:firstLine="0" w:firstLineChars="0"/>
              <w:jc w:val="center"/>
              <w:rPr>
                <w:color w:val="auto"/>
                <w:sz w:val="21"/>
                <w:szCs w:val="21"/>
                <w:highlight w:val="none"/>
              </w:rPr>
            </w:pPr>
            <w:r>
              <w:rPr>
                <w:color w:val="auto"/>
                <w:sz w:val="21"/>
                <w:szCs w:val="21"/>
                <w:highlight w:val="none"/>
              </w:rPr>
              <w:t>65</w:t>
            </w:r>
          </w:p>
        </w:tc>
        <w:tc>
          <w:tcPr>
            <w:tcW w:w="506" w:type="pct"/>
            <w:vAlign w:val="center"/>
          </w:tcPr>
          <w:p w14:paraId="66059371">
            <w:pPr>
              <w:spacing w:line="240" w:lineRule="auto"/>
              <w:ind w:firstLine="0" w:firstLineChars="0"/>
              <w:jc w:val="center"/>
              <w:rPr>
                <w:color w:val="auto"/>
                <w:sz w:val="21"/>
                <w:szCs w:val="21"/>
                <w:highlight w:val="none"/>
              </w:rPr>
            </w:pPr>
            <w:r>
              <w:rPr>
                <w:color w:val="auto"/>
                <w:sz w:val="21"/>
                <w:szCs w:val="21"/>
                <w:highlight w:val="none"/>
              </w:rPr>
              <w:t>14.25</w:t>
            </w:r>
          </w:p>
        </w:tc>
        <w:tc>
          <w:tcPr>
            <w:tcW w:w="741" w:type="pct"/>
            <w:vAlign w:val="center"/>
          </w:tcPr>
          <w:p w14:paraId="7EF64850">
            <w:pPr>
              <w:spacing w:line="240" w:lineRule="auto"/>
              <w:ind w:firstLine="0" w:firstLineChars="0"/>
              <w:jc w:val="center"/>
              <w:rPr>
                <w:color w:val="auto"/>
                <w:sz w:val="21"/>
                <w:szCs w:val="21"/>
                <w:highlight w:val="none"/>
              </w:rPr>
            </w:pPr>
            <w:r>
              <w:rPr>
                <w:color w:val="auto"/>
                <w:sz w:val="21"/>
                <w:szCs w:val="21"/>
                <w:highlight w:val="none"/>
              </w:rPr>
              <w:t>≤9.0</w:t>
            </w:r>
          </w:p>
          <w:p w14:paraId="49412557">
            <w:pPr>
              <w:spacing w:line="240" w:lineRule="auto"/>
              <w:ind w:firstLine="0" w:firstLineChars="0"/>
              <w:jc w:val="center"/>
              <w:rPr>
                <w:color w:val="auto"/>
                <w:sz w:val="21"/>
                <w:szCs w:val="21"/>
                <w:highlight w:val="none"/>
              </w:rPr>
            </w:pPr>
            <w:r>
              <w:rPr>
                <w:color w:val="auto"/>
                <w:sz w:val="21"/>
                <w:szCs w:val="21"/>
                <w:highlight w:val="none"/>
              </w:rPr>
              <w:t>（10.42）</w:t>
            </w:r>
          </w:p>
        </w:tc>
        <w:tc>
          <w:tcPr>
            <w:tcW w:w="1070" w:type="pct"/>
            <w:tcBorders>
              <w:right w:val="nil"/>
            </w:tcBorders>
            <w:vAlign w:val="center"/>
          </w:tcPr>
          <w:p w14:paraId="6342533E">
            <w:pPr>
              <w:spacing w:line="240" w:lineRule="auto"/>
              <w:ind w:firstLine="0" w:firstLineChars="0"/>
              <w:jc w:val="center"/>
              <w:rPr>
                <w:color w:val="auto"/>
                <w:sz w:val="21"/>
                <w:szCs w:val="21"/>
                <w:highlight w:val="none"/>
              </w:rPr>
            </w:pPr>
            <w:r>
              <w:rPr>
                <w:color w:val="auto"/>
                <w:sz w:val="21"/>
                <w:szCs w:val="21"/>
                <w:highlight w:val="none"/>
              </w:rPr>
              <w:t>括号内为设计载重线吃水</w:t>
            </w:r>
          </w:p>
        </w:tc>
      </w:tr>
      <w:tr w14:paraId="515D0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82" w:type="pct"/>
            <w:tcBorders>
              <w:left w:val="nil"/>
            </w:tcBorders>
            <w:vAlign w:val="center"/>
          </w:tcPr>
          <w:p w14:paraId="13E86622">
            <w:pPr>
              <w:spacing w:line="240" w:lineRule="auto"/>
              <w:ind w:firstLine="0" w:firstLineChars="0"/>
              <w:jc w:val="center"/>
              <w:rPr>
                <w:color w:val="auto"/>
                <w:sz w:val="21"/>
                <w:szCs w:val="21"/>
                <w:highlight w:val="none"/>
              </w:rPr>
            </w:pPr>
            <w:r>
              <w:rPr>
                <w:color w:val="auto"/>
                <w:sz w:val="21"/>
                <w:szCs w:val="21"/>
                <w:highlight w:val="none"/>
              </w:rPr>
              <w:t>7万吨级</w:t>
            </w:r>
          </w:p>
        </w:tc>
        <w:tc>
          <w:tcPr>
            <w:tcW w:w="683" w:type="pct"/>
            <w:vAlign w:val="center"/>
          </w:tcPr>
          <w:p w14:paraId="55A2EE95">
            <w:pPr>
              <w:spacing w:line="240" w:lineRule="auto"/>
              <w:ind w:firstLine="0" w:firstLineChars="0"/>
              <w:jc w:val="center"/>
              <w:rPr>
                <w:color w:val="auto"/>
                <w:sz w:val="21"/>
                <w:szCs w:val="21"/>
                <w:highlight w:val="none"/>
              </w:rPr>
            </w:pPr>
            <w:r>
              <w:rPr>
                <w:color w:val="auto"/>
                <w:sz w:val="21"/>
                <w:szCs w:val="21"/>
                <w:highlight w:val="none"/>
              </w:rPr>
              <w:t>Intermac_650</w:t>
            </w:r>
          </w:p>
        </w:tc>
        <w:tc>
          <w:tcPr>
            <w:tcW w:w="403" w:type="pct"/>
            <w:vAlign w:val="center"/>
          </w:tcPr>
          <w:p w14:paraId="66A7BEDD">
            <w:pPr>
              <w:spacing w:line="240" w:lineRule="auto"/>
              <w:ind w:firstLine="0" w:firstLineChars="0"/>
              <w:jc w:val="center"/>
              <w:rPr>
                <w:color w:val="auto"/>
                <w:sz w:val="21"/>
                <w:szCs w:val="21"/>
                <w:highlight w:val="none"/>
              </w:rPr>
            </w:pPr>
            <w:r>
              <w:rPr>
                <w:color w:val="auto"/>
                <w:sz w:val="21"/>
                <w:szCs w:val="21"/>
                <w:highlight w:val="none"/>
              </w:rPr>
              <w:t>驳船</w:t>
            </w:r>
          </w:p>
        </w:tc>
        <w:tc>
          <w:tcPr>
            <w:tcW w:w="506" w:type="pct"/>
            <w:vAlign w:val="center"/>
          </w:tcPr>
          <w:p w14:paraId="4C522456">
            <w:pPr>
              <w:spacing w:line="240" w:lineRule="auto"/>
              <w:ind w:firstLine="0" w:firstLineChars="0"/>
              <w:jc w:val="center"/>
              <w:rPr>
                <w:color w:val="auto"/>
                <w:sz w:val="21"/>
                <w:szCs w:val="21"/>
                <w:highlight w:val="none"/>
              </w:rPr>
            </w:pPr>
            <w:r>
              <w:rPr>
                <w:color w:val="auto"/>
                <w:sz w:val="21"/>
                <w:szCs w:val="21"/>
                <w:highlight w:val="none"/>
              </w:rPr>
              <w:t>198</w:t>
            </w:r>
          </w:p>
        </w:tc>
        <w:tc>
          <w:tcPr>
            <w:tcW w:w="506" w:type="pct"/>
            <w:vAlign w:val="center"/>
          </w:tcPr>
          <w:p w14:paraId="0648E158">
            <w:pPr>
              <w:spacing w:line="240" w:lineRule="auto"/>
              <w:ind w:firstLine="0" w:firstLineChars="0"/>
              <w:jc w:val="center"/>
              <w:rPr>
                <w:color w:val="auto"/>
                <w:sz w:val="21"/>
                <w:szCs w:val="21"/>
                <w:highlight w:val="none"/>
              </w:rPr>
            </w:pPr>
            <w:r>
              <w:rPr>
                <w:color w:val="auto"/>
                <w:sz w:val="21"/>
                <w:szCs w:val="21"/>
                <w:highlight w:val="none"/>
              </w:rPr>
              <w:t>52</w:t>
            </w:r>
          </w:p>
        </w:tc>
        <w:tc>
          <w:tcPr>
            <w:tcW w:w="506" w:type="pct"/>
            <w:vAlign w:val="center"/>
          </w:tcPr>
          <w:p w14:paraId="34F9A83D">
            <w:pPr>
              <w:spacing w:line="240" w:lineRule="auto"/>
              <w:ind w:firstLine="0" w:firstLineChars="0"/>
              <w:jc w:val="center"/>
              <w:rPr>
                <w:color w:val="auto"/>
                <w:sz w:val="21"/>
                <w:szCs w:val="21"/>
                <w:highlight w:val="none"/>
              </w:rPr>
            </w:pPr>
            <w:r>
              <w:rPr>
                <w:color w:val="auto"/>
                <w:sz w:val="21"/>
                <w:szCs w:val="21"/>
                <w:highlight w:val="none"/>
              </w:rPr>
              <w:t>12.20</w:t>
            </w:r>
          </w:p>
        </w:tc>
        <w:tc>
          <w:tcPr>
            <w:tcW w:w="741" w:type="pct"/>
            <w:vAlign w:val="center"/>
          </w:tcPr>
          <w:p w14:paraId="68B7F9A2">
            <w:pPr>
              <w:spacing w:line="240" w:lineRule="auto"/>
              <w:ind w:firstLine="0" w:firstLineChars="0"/>
              <w:jc w:val="center"/>
              <w:rPr>
                <w:color w:val="auto"/>
                <w:sz w:val="21"/>
                <w:szCs w:val="21"/>
                <w:highlight w:val="none"/>
              </w:rPr>
            </w:pPr>
            <w:r>
              <w:rPr>
                <w:color w:val="auto"/>
                <w:sz w:val="21"/>
                <w:szCs w:val="21"/>
                <w:highlight w:val="none"/>
              </w:rPr>
              <w:t>≤8.0</w:t>
            </w:r>
          </w:p>
        </w:tc>
        <w:tc>
          <w:tcPr>
            <w:tcW w:w="1070" w:type="pct"/>
            <w:tcBorders>
              <w:right w:val="nil"/>
            </w:tcBorders>
            <w:vAlign w:val="center"/>
          </w:tcPr>
          <w:p w14:paraId="74F0B502">
            <w:pPr>
              <w:spacing w:line="240" w:lineRule="auto"/>
              <w:ind w:firstLine="0" w:firstLineChars="0"/>
              <w:jc w:val="center"/>
              <w:rPr>
                <w:color w:val="auto"/>
                <w:sz w:val="21"/>
                <w:szCs w:val="21"/>
                <w:highlight w:val="none"/>
              </w:rPr>
            </w:pPr>
          </w:p>
        </w:tc>
      </w:tr>
      <w:tr w14:paraId="11836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82" w:type="pct"/>
            <w:tcBorders>
              <w:left w:val="nil"/>
              <w:bottom w:val="single" w:color="auto" w:sz="12" w:space="0"/>
            </w:tcBorders>
            <w:vAlign w:val="center"/>
          </w:tcPr>
          <w:p w14:paraId="7845A824">
            <w:pPr>
              <w:spacing w:line="240" w:lineRule="auto"/>
              <w:ind w:firstLine="0" w:firstLineChars="0"/>
              <w:jc w:val="center"/>
              <w:rPr>
                <w:color w:val="auto"/>
                <w:sz w:val="21"/>
                <w:szCs w:val="21"/>
                <w:highlight w:val="none"/>
              </w:rPr>
            </w:pPr>
            <w:r>
              <w:rPr>
                <w:color w:val="auto"/>
                <w:sz w:val="21"/>
                <w:szCs w:val="21"/>
                <w:highlight w:val="none"/>
              </w:rPr>
              <w:t>3万吨级</w:t>
            </w:r>
          </w:p>
        </w:tc>
        <w:tc>
          <w:tcPr>
            <w:tcW w:w="683" w:type="pct"/>
            <w:tcBorders>
              <w:bottom w:val="single" w:color="auto" w:sz="12" w:space="0"/>
            </w:tcBorders>
            <w:vAlign w:val="center"/>
          </w:tcPr>
          <w:p w14:paraId="235064D1">
            <w:pPr>
              <w:spacing w:line="240" w:lineRule="auto"/>
              <w:ind w:firstLine="0" w:firstLineChars="0"/>
              <w:jc w:val="center"/>
              <w:rPr>
                <w:color w:val="auto"/>
                <w:sz w:val="21"/>
                <w:szCs w:val="21"/>
                <w:highlight w:val="none"/>
              </w:rPr>
            </w:pPr>
            <w:r>
              <w:rPr>
                <w:color w:val="auto"/>
                <w:sz w:val="21"/>
                <w:szCs w:val="21"/>
                <w:highlight w:val="none"/>
              </w:rPr>
              <w:t>S45</w:t>
            </w:r>
          </w:p>
        </w:tc>
        <w:tc>
          <w:tcPr>
            <w:tcW w:w="403" w:type="pct"/>
            <w:tcBorders>
              <w:bottom w:val="single" w:color="auto" w:sz="12" w:space="0"/>
            </w:tcBorders>
            <w:vAlign w:val="center"/>
          </w:tcPr>
          <w:p w14:paraId="5E386397">
            <w:pPr>
              <w:spacing w:line="240" w:lineRule="auto"/>
              <w:ind w:firstLine="0" w:firstLineChars="0"/>
              <w:jc w:val="center"/>
              <w:rPr>
                <w:color w:val="auto"/>
                <w:sz w:val="21"/>
                <w:szCs w:val="21"/>
                <w:highlight w:val="none"/>
              </w:rPr>
            </w:pPr>
            <w:r>
              <w:rPr>
                <w:color w:val="auto"/>
                <w:sz w:val="21"/>
                <w:szCs w:val="21"/>
                <w:highlight w:val="none"/>
              </w:rPr>
              <w:t>驳船</w:t>
            </w:r>
          </w:p>
        </w:tc>
        <w:tc>
          <w:tcPr>
            <w:tcW w:w="506" w:type="pct"/>
            <w:tcBorders>
              <w:bottom w:val="single" w:color="auto" w:sz="12" w:space="0"/>
            </w:tcBorders>
            <w:vAlign w:val="center"/>
          </w:tcPr>
          <w:p w14:paraId="34518481">
            <w:pPr>
              <w:spacing w:line="240" w:lineRule="auto"/>
              <w:ind w:firstLine="0" w:firstLineChars="0"/>
              <w:jc w:val="center"/>
              <w:rPr>
                <w:color w:val="auto"/>
                <w:sz w:val="21"/>
                <w:szCs w:val="21"/>
                <w:highlight w:val="none"/>
              </w:rPr>
            </w:pPr>
            <w:r>
              <w:rPr>
                <w:color w:val="auto"/>
                <w:sz w:val="21"/>
                <w:szCs w:val="21"/>
                <w:highlight w:val="none"/>
              </w:rPr>
              <w:t>180</w:t>
            </w:r>
          </w:p>
        </w:tc>
        <w:tc>
          <w:tcPr>
            <w:tcW w:w="506" w:type="pct"/>
            <w:tcBorders>
              <w:bottom w:val="single" w:color="auto" w:sz="12" w:space="0"/>
            </w:tcBorders>
            <w:vAlign w:val="center"/>
          </w:tcPr>
          <w:p w14:paraId="36550AE0">
            <w:pPr>
              <w:spacing w:line="240" w:lineRule="auto"/>
              <w:ind w:firstLine="0" w:firstLineChars="0"/>
              <w:jc w:val="center"/>
              <w:rPr>
                <w:color w:val="auto"/>
                <w:sz w:val="21"/>
                <w:szCs w:val="21"/>
                <w:highlight w:val="none"/>
              </w:rPr>
            </w:pPr>
            <w:r>
              <w:rPr>
                <w:color w:val="auto"/>
                <w:sz w:val="21"/>
                <w:szCs w:val="21"/>
                <w:highlight w:val="none"/>
              </w:rPr>
              <w:t>42</w:t>
            </w:r>
          </w:p>
        </w:tc>
        <w:tc>
          <w:tcPr>
            <w:tcW w:w="506" w:type="pct"/>
            <w:tcBorders>
              <w:bottom w:val="single" w:color="auto" w:sz="12" w:space="0"/>
            </w:tcBorders>
            <w:vAlign w:val="center"/>
          </w:tcPr>
          <w:p w14:paraId="778F0E2F">
            <w:pPr>
              <w:spacing w:line="240" w:lineRule="auto"/>
              <w:ind w:firstLine="0" w:firstLineChars="0"/>
              <w:jc w:val="center"/>
              <w:rPr>
                <w:color w:val="auto"/>
                <w:sz w:val="21"/>
                <w:szCs w:val="21"/>
                <w:highlight w:val="none"/>
              </w:rPr>
            </w:pPr>
            <w:r>
              <w:rPr>
                <w:color w:val="auto"/>
                <w:sz w:val="21"/>
                <w:szCs w:val="21"/>
                <w:highlight w:val="none"/>
              </w:rPr>
              <w:t>11.50</w:t>
            </w:r>
          </w:p>
        </w:tc>
        <w:tc>
          <w:tcPr>
            <w:tcW w:w="741" w:type="pct"/>
            <w:tcBorders>
              <w:bottom w:val="single" w:color="auto" w:sz="12" w:space="0"/>
            </w:tcBorders>
            <w:vAlign w:val="center"/>
          </w:tcPr>
          <w:p w14:paraId="462026F9">
            <w:pPr>
              <w:spacing w:line="240" w:lineRule="auto"/>
              <w:ind w:firstLine="0" w:firstLineChars="0"/>
              <w:jc w:val="center"/>
              <w:rPr>
                <w:color w:val="auto"/>
                <w:sz w:val="21"/>
                <w:szCs w:val="21"/>
                <w:highlight w:val="none"/>
              </w:rPr>
            </w:pPr>
            <w:r>
              <w:rPr>
                <w:color w:val="auto"/>
                <w:sz w:val="21"/>
                <w:szCs w:val="21"/>
                <w:highlight w:val="none"/>
              </w:rPr>
              <w:t>≤7.0</w:t>
            </w:r>
          </w:p>
        </w:tc>
        <w:tc>
          <w:tcPr>
            <w:tcW w:w="1070" w:type="pct"/>
            <w:tcBorders>
              <w:bottom w:val="single" w:color="auto" w:sz="12" w:space="0"/>
              <w:right w:val="nil"/>
            </w:tcBorders>
            <w:vAlign w:val="center"/>
          </w:tcPr>
          <w:p w14:paraId="5A83E8B6">
            <w:pPr>
              <w:spacing w:line="240" w:lineRule="auto"/>
              <w:ind w:firstLine="0" w:firstLineChars="0"/>
              <w:jc w:val="center"/>
              <w:rPr>
                <w:color w:val="auto"/>
                <w:sz w:val="21"/>
                <w:szCs w:val="21"/>
                <w:highlight w:val="none"/>
              </w:rPr>
            </w:pPr>
          </w:p>
        </w:tc>
      </w:tr>
    </w:tbl>
    <w:p w14:paraId="79409349">
      <w:pPr>
        <w:spacing w:before="120" w:beforeLines="50"/>
        <w:ind w:firstLine="480"/>
        <w:rPr>
          <w:color w:val="auto"/>
          <w:highlight w:val="none"/>
        </w:rPr>
      </w:pPr>
      <w:r>
        <w:rPr>
          <w:color w:val="auto"/>
          <w:highlight w:val="none"/>
        </w:rPr>
        <w:t>（3）2#码头无出运工作时期，兼顾作为舾装码头使用，靠泊兼顾船型与5#码头一致。</w:t>
      </w:r>
    </w:p>
    <w:p w14:paraId="3D5F4AE9">
      <w:pPr>
        <w:pStyle w:val="533"/>
        <w:numPr>
          <w:ilvl w:val="3"/>
          <w:numId w:val="9"/>
        </w:numPr>
        <w:rPr>
          <w:color w:val="auto"/>
          <w:szCs w:val="24"/>
          <w:highlight w:val="none"/>
        </w:rPr>
      </w:pPr>
      <w:r>
        <w:rPr>
          <w:color w:val="auto"/>
          <w:szCs w:val="24"/>
          <w:highlight w:val="none"/>
        </w:rPr>
        <w:t>生产工艺流程</w:t>
      </w:r>
    </w:p>
    <w:p w14:paraId="0BC99BFF">
      <w:pPr>
        <w:ind w:right="-20" w:firstLine="480"/>
        <w:rPr>
          <w:color w:val="auto"/>
          <w:szCs w:val="28"/>
          <w:highlight w:val="none"/>
        </w:rPr>
      </w:pPr>
      <w:r>
        <w:rPr>
          <w:color w:val="auto"/>
          <w:szCs w:val="28"/>
          <w:highlight w:val="none"/>
        </w:rPr>
        <w:t>（1）5#码头工艺流程：</w:t>
      </w:r>
    </w:p>
    <w:p w14:paraId="507246D3">
      <w:pPr>
        <w:ind w:right="-20" w:firstLine="480"/>
        <w:rPr>
          <w:color w:val="auto"/>
          <w:szCs w:val="28"/>
          <w:highlight w:val="none"/>
        </w:rPr>
      </w:pPr>
      <w:r>
        <w:rPr>
          <w:color w:val="auto"/>
          <w:szCs w:val="28"/>
          <w:highlight w:val="none"/>
        </w:rPr>
        <w:t>原材料如钢板、钢型材、舾装件、待舾装设备、电缆等，主要采用陆路运输，通过三墩公路运至厂区。</w:t>
      </w:r>
    </w:p>
    <w:p w14:paraId="4B13E78A">
      <w:pPr>
        <w:ind w:right="-20" w:firstLine="480"/>
        <w:rPr>
          <w:color w:val="auto"/>
          <w:szCs w:val="28"/>
          <w:highlight w:val="none"/>
        </w:rPr>
      </w:pPr>
      <w:r>
        <w:rPr>
          <w:color w:val="auto"/>
          <w:szCs w:val="28"/>
          <w:highlight w:val="none"/>
        </w:rPr>
        <w:t>单个重量≤20t舾装件：采用30t汽车从车间运至码头后方→32t门座吊将构件吊运至舾装船舶上。</w:t>
      </w:r>
    </w:p>
    <w:p w14:paraId="55A67FA2">
      <w:pPr>
        <w:ind w:right="-20" w:firstLine="480"/>
        <w:rPr>
          <w:color w:val="auto"/>
          <w:szCs w:val="28"/>
          <w:highlight w:val="none"/>
        </w:rPr>
      </w:pPr>
      <w:r>
        <w:rPr>
          <w:color w:val="auto"/>
          <w:szCs w:val="28"/>
          <w:highlight w:val="none"/>
        </w:rPr>
        <w:t>单个重量＞20t舾装件：采用现有395m驳岸门座吊从驳岸吊运至</w:t>
      </w:r>
      <w:r>
        <w:rPr>
          <w:rFonts w:hint="eastAsia"/>
          <w:color w:val="auto"/>
          <w:szCs w:val="28"/>
          <w:highlight w:val="none"/>
          <w:lang w:eastAsia="zh-CN"/>
        </w:rPr>
        <w:t>过渡</w:t>
      </w:r>
      <w:r>
        <w:rPr>
          <w:color w:val="auto"/>
          <w:szCs w:val="28"/>
          <w:highlight w:val="none"/>
        </w:rPr>
        <w:t>驳船上→驳船移动到5#码头附近或由水路通过驳船将舾装件直接运输到5#码头附近→由32t门座吊将舾装件吊运至舾装船舶上。</w:t>
      </w:r>
    </w:p>
    <w:p w14:paraId="6F7B5645">
      <w:pPr>
        <w:ind w:right="-20" w:firstLine="480"/>
        <w:rPr>
          <w:color w:val="auto"/>
          <w:szCs w:val="28"/>
          <w:highlight w:val="none"/>
        </w:rPr>
      </w:pPr>
      <w:r>
        <w:rPr>
          <w:color w:val="auto"/>
          <w:szCs w:val="28"/>
          <w:highlight w:val="none"/>
        </w:rPr>
        <w:t>（2）2#码头工艺流程：</w:t>
      </w:r>
    </w:p>
    <w:p w14:paraId="69A98EE6">
      <w:pPr>
        <w:ind w:right="-20" w:firstLine="480"/>
        <w:rPr>
          <w:color w:val="auto"/>
          <w:szCs w:val="28"/>
          <w:highlight w:val="none"/>
        </w:rPr>
      </w:pPr>
      <w:r>
        <w:rPr>
          <w:color w:val="auto"/>
          <w:szCs w:val="28"/>
          <w:highlight w:val="none"/>
        </w:rPr>
        <w:t>①导管架</w:t>
      </w:r>
    </w:p>
    <w:p w14:paraId="28DBF4E2">
      <w:pPr>
        <w:ind w:right="-20" w:firstLine="480"/>
        <w:rPr>
          <w:color w:val="auto"/>
          <w:szCs w:val="28"/>
          <w:highlight w:val="none"/>
        </w:rPr>
      </w:pPr>
      <w:r>
        <w:rPr>
          <w:color w:val="auto"/>
          <w:szCs w:val="28"/>
          <w:highlight w:val="none"/>
        </w:rPr>
        <w:t>建造工艺：组块或导管架的分片分段通过平板车由结构车间或涂装车间或分段堆场及预舾装场运至滑道或滑道两侧预制场地→采用履带式起重机搭载建造。</w:t>
      </w:r>
    </w:p>
    <w:p w14:paraId="194E4816">
      <w:pPr>
        <w:ind w:right="-20" w:firstLine="480"/>
        <w:rPr>
          <w:color w:val="auto"/>
          <w:szCs w:val="28"/>
          <w:highlight w:val="none"/>
        </w:rPr>
      </w:pPr>
      <w:r>
        <w:rPr>
          <w:color w:val="auto"/>
          <w:szCs w:val="28"/>
          <w:highlight w:val="none"/>
        </w:rPr>
        <w:t>出运工艺：产品建造完成后，驳船垂直顶靠于码头前沿 → 通过驳船上的卷扬机及钢丝绳将产品拖拉滑移装船出运。</w:t>
      </w:r>
    </w:p>
    <w:p w14:paraId="6B30407E">
      <w:pPr>
        <w:ind w:right="-20" w:firstLine="480"/>
        <w:rPr>
          <w:color w:val="auto"/>
          <w:szCs w:val="28"/>
          <w:highlight w:val="none"/>
        </w:rPr>
      </w:pPr>
      <w:r>
        <w:rPr>
          <w:color w:val="auto"/>
          <w:szCs w:val="28"/>
          <w:highlight w:val="none"/>
        </w:rPr>
        <w:t>②海工模块</w:t>
      </w:r>
    </w:p>
    <w:p w14:paraId="35270D12">
      <w:pPr>
        <w:ind w:right="-20" w:firstLine="480"/>
        <w:rPr>
          <w:color w:val="auto"/>
          <w:szCs w:val="28"/>
          <w:highlight w:val="none"/>
        </w:rPr>
      </w:pPr>
      <w:r>
        <w:rPr>
          <w:color w:val="auto"/>
          <w:szCs w:val="28"/>
          <w:highlight w:val="none"/>
        </w:rPr>
        <w:t>建造工艺：组块和模块的分片分段通过平板车由结构车间至涂装车间；喷涂后运至分段预舾装场→采用履带式起重机搭载建造。</w:t>
      </w:r>
    </w:p>
    <w:p w14:paraId="362D4993">
      <w:pPr>
        <w:ind w:right="-20" w:firstLine="480"/>
        <w:rPr>
          <w:color w:val="auto"/>
          <w:szCs w:val="28"/>
          <w:highlight w:val="none"/>
        </w:rPr>
      </w:pPr>
      <w:r>
        <w:rPr>
          <w:color w:val="auto"/>
          <w:szCs w:val="28"/>
          <w:highlight w:val="none"/>
        </w:rPr>
        <w:t>出运工艺与导管架相同。</w:t>
      </w:r>
    </w:p>
    <w:p w14:paraId="026C64AC">
      <w:pPr>
        <w:ind w:right="-20" w:firstLine="480"/>
        <w:rPr>
          <w:color w:val="auto"/>
          <w:szCs w:val="28"/>
          <w:highlight w:val="none"/>
        </w:rPr>
      </w:pPr>
      <w:r>
        <w:rPr>
          <w:color w:val="auto"/>
          <w:szCs w:val="28"/>
          <w:highlight w:val="none"/>
        </w:rPr>
        <w:t>船舶舾装原辅材料的运输作业流程见下图。</w:t>
      </w:r>
    </w:p>
    <w:p w14:paraId="135ECCEA">
      <w:pPr>
        <w:ind w:firstLine="480"/>
        <w:jc w:val="center"/>
        <w:rPr>
          <w:color w:val="auto"/>
          <w:highlight w:val="none"/>
        </w:rPr>
      </w:pPr>
      <w:r>
        <w:rPr>
          <w:color w:val="auto"/>
          <w:highlight w:val="none"/>
        </w:rPr>
        <w:drawing>
          <wp:inline distT="0" distB="0" distL="0" distR="0">
            <wp:extent cx="4921885" cy="1565910"/>
            <wp:effectExtent l="0" t="0" r="12065" b="1524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noChangeArrowheads="1"/>
                    </pic:cNvPicPr>
                  </pic:nvPicPr>
                  <pic:blipFill>
                    <a:blip r:embed="rId76"/>
                    <a:srcRect/>
                    <a:stretch>
                      <a:fillRect/>
                    </a:stretch>
                  </pic:blipFill>
                  <pic:spPr>
                    <a:xfrm>
                      <a:off x="0" y="0"/>
                      <a:ext cx="4921885" cy="1565910"/>
                    </a:xfrm>
                    <a:prstGeom prst="rect">
                      <a:avLst/>
                    </a:prstGeom>
                    <a:noFill/>
                    <a:ln>
                      <a:noFill/>
                    </a:ln>
                  </pic:spPr>
                </pic:pic>
              </a:graphicData>
            </a:graphic>
          </wp:inline>
        </w:drawing>
      </w:r>
    </w:p>
    <w:p w14:paraId="36E7E9DA">
      <w:pPr>
        <w:pStyle w:val="38"/>
        <w:spacing w:after="0" w:line="240" w:lineRule="auto"/>
        <w:ind w:firstLine="0" w:firstLineChars="0"/>
        <w:jc w:val="center"/>
        <w:rPr>
          <w:b/>
          <w:color w:val="auto"/>
          <w:sz w:val="21"/>
          <w:szCs w:val="21"/>
          <w:highlight w:val="none"/>
        </w:rPr>
      </w:pPr>
      <w:r>
        <w:rPr>
          <w:b/>
          <w:color w:val="auto"/>
          <w:sz w:val="21"/>
          <w:szCs w:val="21"/>
          <w:highlight w:val="none"/>
        </w:rPr>
        <w:t>图2.1-7 运营期原辅材料的运输作业流程及产污环节图</w:t>
      </w:r>
    </w:p>
    <w:p w14:paraId="7A032D8E">
      <w:pPr>
        <w:ind w:right="-20" w:firstLine="480"/>
        <w:jc w:val="center"/>
        <w:rPr>
          <w:color w:val="auto"/>
          <w:szCs w:val="28"/>
          <w:highlight w:val="none"/>
        </w:rPr>
      </w:pPr>
    </w:p>
    <w:p w14:paraId="66F786DC">
      <w:pPr>
        <w:pStyle w:val="91"/>
        <w:ind w:left="480"/>
        <w:jc w:val="center"/>
        <w:rPr>
          <w:color w:val="auto"/>
          <w:highlight w:val="none"/>
        </w:rPr>
      </w:pPr>
    </w:p>
    <w:p w14:paraId="40FDA3E0">
      <w:pPr>
        <w:pStyle w:val="533"/>
        <w:numPr>
          <w:ilvl w:val="3"/>
          <w:numId w:val="9"/>
        </w:numPr>
        <w:rPr>
          <w:color w:val="auto"/>
          <w:szCs w:val="24"/>
          <w:highlight w:val="none"/>
        </w:rPr>
      </w:pPr>
      <w:r>
        <w:rPr>
          <w:color w:val="auto"/>
          <w:szCs w:val="24"/>
          <w:highlight w:val="none"/>
        </w:rPr>
        <w:t>主要污染源及治理措施</w:t>
      </w:r>
    </w:p>
    <w:p w14:paraId="5D84AF2D">
      <w:pPr>
        <w:ind w:right="-20" w:firstLine="480"/>
        <w:rPr>
          <w:color w:val="auto"/>
          <w:szCs w:val="28"/>
          <w:highlight w:val="none"/>
        </w:rPr>
      </w:pPr>
      <w:r>
        <w:rPr>
          <w:color w:val="auto"/>
          <w:szCs w:val="28"/>
          <w:highlight w:val="none"/>
        </w:rPr>
        <w:t>码头舾装作业主要为船舶大型设备和设施安装、船体装修等，主要产污环节为设备安装噪声，钢材切割和焊接粉尘，部分设备少量补漆产生的有机废气。</w:t>
      </w:r>
    </w:p>
    <w:p w14:paraId="46413347">
      <w:pPr>
        <w:ind w:right="-20" w:firstLine="482"/>
        <w:rPr>
          <w:b/>
          <w:bCs/>
          <w:color w:val="auto"/>
          <w:szCs w:val="28"/>
          <w:highlight w:val="none"/>
        </w:rPr>
      </w:pPr>
      <w:r>
        <w:rPr>
          <w:b/>
          <w:bCs/>
          <w:color w:val="auto"/>
          <w:szCs w:val="28"/>
          <w:highlight w:val="none"/>
        </w:rPr>
        <w:t>（1）废气</w:t>
      </w:r>
    </w:p>
    <w:p w14:paraId="4E591424">
      <w:pPr>
        <w:ind w:right="-20" w:firstLine="480"/>
        <w:rPr>
          <w:color w:val="auto"/>
          <w:szCs w:val="28"/>
          <w:highlight w:val="none"/>
        </w:rPr>
      </w:pPr>
      <w:r>
        <w:rPr>
          <w:color w:val="auto"/>
          <w:szCs w:val="28"/>
          <w:highlight w:val="none"/>
        </w:rPr>
        <w:t>①舾装焊接烟尘</w:t>
      </w:r>
    </w:p>
    <w:p w14:paraId="4A6691C1">
      <w:pPr>
        <w:ind w:right="-20" w:firstLine="480"/>
        <w:rPr>
          <w:color w:val="auto"/>
          <w:szCs w:val="28"/>
          <w:highlight w:val="none"/>
        </w:rPr>
      </w:pPr>
      <w:r>
        <w:rPr>
          <w:color w:val="auto"/>
          <w:szCs w:val="28"/>
          <w:highlight w:val="none"/>
        </w:rPr>
        <w:t>项目焊接方式以点焊焊接方法为主，</w:t>
      </w:r>
      <w:r>
        <w:rPr>
          <w:rFonts w:hint="eastAsia"/>
          <w:color w:val="auto"/>
          <w:szCs w:val="28"/>
          <w:highlight w:val="none"/>
          <w:lang w:eastAsia="zh-CN"/>
        </w:rPr>
        <w:t>其他</w:t>
      </w:r>
      <w:r>
        <w:rPr>
          <w:color w:val="auto"/>
          <w:szCs w:val="28"/>
          <w:highlight w:val="none"/>
        </w:rPr>
        <w:t>焊接为辅。项目采用配有焊接烟尘净化装置的机器进行焊接。可去除80%的焊接烟尘，同时通过安装排风扇和敞开门窗自然通风，把船体内的焊接烟尘排出室外。焊接烟尘无组织排放量为16kg/a，项目每天焊接时间约6小时，因此焊接烟尘排放速率为0.01kg/h。</w:t>
      </w:r>
    </w:p>
    <w:p w14:paraId="5BF2696F">
      <w:pPr>
        <w:ind w:right="-20" w:firstLine="480"/>
        <w:rPr>
          <w:color w:val="auto"/>
          <w:szCs w:val="28"/>
          <w:highlight w:val="none"/>
        </w:rPr>
      </w:pPr>
      <w:r>
        <w:rPr>
          <w:color w:val="auto"/>
          <w:szCs w:val="28"/>
          <w:highlight w:val="none"/>
        </w:rPr>
        <w:t>②补漆工序废气</w:t>
      </w:r>
    </w:p>
    <w:p w14:paraId="7DC3BCBC">
      <w:pPr>
        <w:ind w:right="-20" w:firstLine="480"/>
        <w:rPr>
          <w:color w:val="auto"/>
          <w:szCs w:val="28"/>
          <w:highlight w:val="none"/>
        </w:rPr>
      </w:pPr>
      <w:r>
        <w:rPr>
          <w:color w:val="auto"/>
          <w:szCs w:val="28"/>
          <w:highlight w:val="none"/>
        </w:rPr>
        <w:t>项目对于船舶零件及船体小面积损伤部分需要进行手动补漆，补漆过程会产生补漆废气，其主要污染物是</w:t>
      </w:r>
      <w:r>
        <w:rPr>
          <w:rFonts w:hint="eastAsia"/>
          <w:color w:val="auto"/>
          <w:szCs w:val="28"/>
          <w:highlight w:val="none"/>
        </w:rPr>
        <w:t>T</w:t>
      </w:r>
      <w:r>
        <w:rPr>
          <w:color w:val="auto"/>
          <w:szCs w:val="28"/>
          <w:highlight w:val="none"/>
        </w:rPr>
        <w:t>VOC和二甲苯。项目补漆过程二甲苯排放量为0.12t/a，</w:t>
      </w:r>
      <w:r>
        <w:rPr>
          <w:rFonts w:hint="eastAsia"/>
          <w:color w:val="auto"/>
          <w:szCs w:val="28"/>
          <w:highlight w:val="none"/>
        </w:rPr>
        <w:t>T</w:t>
      </w:r>
      <w:r>
        <w:rPr>
          <w:color w:val="auto"/>
          <w:szCs w:val="28"/>
          <w:highlight w:val="none"/>
        </w:rPr>
        <w:t>VOC的无组织排放量为0.47t/a。在生产实际中，主要通过以下几个方面对</w:t>
      </w:r>
      <w:r>
        <w:rPr>
          <w:rFonts w:hint="eastAsia"/>
          <w:color w:val="auto"/>
          <w:szCs w:val="28"/>
          <w:highlight w:val="none"/>
        </w:rPr>
        <w:t>T</w:t>
      </w:r>
      <w:r>
        <w:rPr>
          <w:color w:val="auto"/>
          <w:szCs w:val="28"/>
          <w:highlight w:val="none"/>
        </w:rPr>
        <w:t>VOC进行控制：①补漆过程需减少装置的跑、冒、滴、漏。②不要在强风天气进行作业。③加强人员培训，加强事故防范意识，定期开展监测。</w:t>
      </w:r>
    </w:p>
    <w:p w14:paraId="592C6A56">
      <w:pPr>
        <w:ind w:right="-20" w:firstLine="482"/>
        <w:rPr>
          <w:b/>
          <w:bCs/>
          <w:color w:val="auto"/>
          <w:szCs w:val="28"/>
          <w:highlight w:val="none"/>
        </w:rPr>
      </w:pPr>
      <w:r>
        <w:rPr>
          <w:b/>
          <w:bCs/>
          <w:color w:val="auto"/>
          <w:szCs w:val="28"/>
          <w:highlight w:val="none"/>
        </w:rPr>
        <w:t>（2）废水</w:t>
      </w:r>
    </w:p>
    <w:p w14:paraId="17F850C4">
      <w:pPr>
        <w:pStyle w:val="589"/>
        <w:ind w:firstLine="480"/>
        <w:rPr>
          <w:rFonts w:cs="Times New Roman" w:eastAsiaTheme="minorEastAsia"/>
          <w:color w:val="auto"/>
          <w:highlight w:val="none"/>
        </w:rPr>
      </w:pPr>
      <w:r>
        <w:rPr>
          <w:rFonts w:cs="Times New Roman" w:eastAsiaTheme="minorEastAsia"/>
          <w:color w:val="auto"/>
          <w:highlight w:val="none"/>
        </w:rPr>
        <w:t>项目场区范围内不设置车辆、船舶维修点和机修冲洗车间，因此，项目运营期间无维修及机修冲洗含油污水产生。项目运营期产生的废水主要为船舶产生的废水、生活污水。</w:t>
      </w:r>
    </w:p>
    <w:p w14:paraId="2C3F3BC8">
      <w:pPr>
        <w:pStyle w:val="589"/>
        <w:ind w:firstLine="480"/>
        <w:rPr>
          <w:rFonts w:cs="Times New Roman" w:eastAsiaTheme="minorEastAsia"/>
          <w:color w:val="auto"/>
          <w:highlight w:val="none"/>
        </w:rPr>
      </w:pPr>
      <w:r>
        <w:rPr>
          <w:rFonts w:cs="Times New Roman"/>
          <w:color w:val="auto"/>
          <w:highlight w:val="none"/>
        </w:rPr>
        <w:t>①</w:t>
      </w:r>
      <w:r>
        <w:rPr>
          <w:rFonts w:cs="Times New Roman" w:eastAsiaTheme="minorEastAsia"/>
          <w:color w:val="auto"/>
          <w:highlight w:val="none"/>
        </w:rPr>
        <w:t>船舶废水</w:t>
      </w:r>
    </w:p>
    <w:p w14:paraId="10E53390">
      <w:pPr>
        <w:pStyle w:val="589"/>
        <w:ind w:firstLine="480"/>
        <w:rPr>
          <w:rFonts w:cs="Times New Roman" w:eastAsiaTheme="minorEastAsia"/>
          <w:color w:val="auto"/>
          <w:highlight w:val="none"/>
        </w:rPr>
      </w:pPr>
      <w:r>
        <w:rPr>
          <w:rFonts w:cs="Times New Roman" w:eastAsiaTheme="minorEastAsia"/>
          <w:color w:val="auto"/>
          <w:highlight w:val="none"/>
        </w:rPr>
        <w:t>项目运营期间到港船舶产生的污水主要为船舶舱底油污水及船舶生活污水。船舶上配备污水收集容器和污水处理装置，在船舶上进行初步处理后密封储存，靠岸统一收集后，委托钦州市苏南船舶服务有限公司接收处理，不在本项目区域排放。</w:t>
      </w:r>
    </w:p>
    <w:p w14:paraId="43F7CEDD">
      <w:pPr>
        <w:pStyle w:val="589"/>
        <w:ind w:firstLine="480"/>
        <w:rPr>
          <w:rFonts w:cs="Times New Roman" w:eastAsiaTheme="minorEastAsia"/>
          <w:color w:val="auto"/>
          <w:highlight w:val="none"/>
        </w:rPr>
      </w:pPr>
      <w:r>
        <w:rPr>
          <w:rFonts w:cs="Times New Roman"/>
          <w:color w:val="auto"/>
          <w:highlight w:val="none"/>
        </w:rPr>
        <w:t>②</w:t>
      </w:r>
      <w:r>
        <w:rPr>
          <w:rFonts w:cs="Times New Roman" w:eastAsiaTheme="minorEastAsia"/>
          <w:color w:val="auto"/>
          <w:highlight w:val="none"/>
        </w:rPr>
        <w:t>码头工人生活污水</w:t>
      </w:r>
    </w:p>
    <w:p w14:paraId="14C7CCEE">
      <w:pPr>
        <w:pStyle w:val="589"/>
        <w:ind w:firstLine="480"/>
        <w:rPr>
          <w:rFonts w:cs="Times New Roman" w:eastAsiaTheme="minorEastAsia"/>
          <w:color w:val="auto"/>
          <w:highlight w:val="none"/>
        </w:rPr>
      </w:pPr>
      <w:r>
        <w:rPr>
          <w:rFonts w:cs="Times New Roman" w:eastAsiaTheme="minorEastAsia"/>
          <w:color w:val="auto"/>
          <w:highlight w:val="none"/>
        </w:rPr>
        <w:t>码头工人定员陆域产生的生活用水依托基地陆域生活污水系统处理。生活污水采用槽罐车运输的方式清运至大榄坪污水处理厂处理。大榄坪污水处理厂尾水排放执行《城镇污水处理厂污染物排放标准》（GB18918-2002）一级A标准后排放。</w:t>
      </w:r>
    </w:p>
    <w:p w14:paraId="500D755E">
      <w:pPr>
        <w:pStyle w:val="589"/>
        <w:spacing w:before="120" w:beforeLines="50"/>
        <w:ind w:firstLine="480"/>
        <w:rPr>
          <w:rFonts w:cs="Times New Roman" w:eastAsiaTheme="minorEastAsia"/>
          <w:color w:val="auto"/>
          <w:highlight w:val="none"/>
        </w:rPr>
      </w:pPr>
      <w:r>
        <w:rPr>
          <w:rFonts w:cs="Times New Roman"/>
          <w:color w:val="auto"/>
          <w:highlight w:val="none"/>
        </w:rPr>
        <w:t>③</w:t>
      </w:r>
      <w:r>
        <w:rPr>
          <w:rFonts w:cs="Times New Roman" w:eastAsiaTheme="minorEastAsia"/>
          <w:color w:val="auto"/>
          <w:highlight w:val="none"/>
        </w:rPr>
        <w:t>初期雨水</w:t>
      </w:r>
    </w:p>
    <w:p w14:paraId="2F5C65C0">
      <w:pPr>
        <w:ind w:firstLine="480"/>
        <w:rPr>
          <w:color w:val="auto"/>
          <w:highlight w:val="none"/>
        </w:rPr>
      </w:pPr>
      <w:r>
        <w:rPr>
          <w:color w:val="auto"/>
          <w:highlight w:val="none"/>
        </w:rPr>
        <w:t>在5#码头</w:t>
      </w:r>
      <w:r>
        <w:rPr>
          <w:rFonts w:hint="eastAsia"/>
          <w:color w:val="auto"/>
          <w:highlight w:val="none"/>
        </w:rPr>
        <w:t>设2个初期雨水池，容积分别为</w:t>
      </w:r>
      <w:r>
        <w:rPr>
          <w:color w:val="auto"/>
          <w:highlight w:val="none"/>
        </w:rPr>
        <w:t>45m</w:t>
      </w:r>
      <w:r>
        <w:rPr>
          <w:color w:val="auto"/>
          <w:highlight w:val="none"/>
          <w:vertAlign w:val="superscript"/>
        </w:rPr>
        <w:t>3</w:t>
      </w:r>
      <w:r>
        <w:rPr>
          <w:color w:val="auto"/>
          <w:highlight w:val="none"/>
        </w:rPr>
        <w:t>、</w:t>
      </w:r>
      <w:r>
        <w:rPr>
          <w:rFonts w:hint="eastAsia"/>
          <w:color w:val="auto"/>
          <w:highlight w:val="none"/>
        </w:rPr>
        <w:t>15</w:t>
      </w:r>
      <w:r>
        <w:rPr>
          <w:color w:val="auto"/>
          <w:highlight w:val="none"/>
        </w:rPr>
        <w:t>0m</w:t>
      </w:r>
      <w:r>
        <w:rPr>
          <w:color w:val="auto"/>
          <w:highlight w:val="none"/>
          <w:vertAlign w:val="superscript"/>
        </w:rPr>
        <w:t>3</w:t>
      </w:r>
      <w:r>
        <w:rPr>
          <w:rFonts w:hint="eastAsia"/>
          <w:color w:val="auto"/>
          <w:highlight w:val="none"/>
        </w:rPr>
        <w:t>；在</w:t>
      </w:r>
      <w:r>
        <w:rPr>
          <w:color w:val="auto"/>
          <w:highlight w:val="none"/>
        </w:rPr>
        <w:t>2#码头设1个初期雨水收集池，容积</w:t>
      </w:r>
      <w:r>
        <w:rPr>
          <w:rFonts w:hint="eastAsia"/>
          <w:color w:val="auto"/>
          <w:highlight w:val="none"/>
        </w:rPr>
        <w:t>为</w:t>
      </w:r>
      <w:r>
        <w:rPr>
          <w:color w:val="auto"/>
          <w:highlight w:val="none"/>
        </w:rPr>
        <w:t>45m</w:t>
      </w:r>
      <w:r>
        <w:rPr>
          <w:color w:val="auto"/>
          <w:highlight w:val="none"/>
          <w:vertAlign w:val="superscript"/>
        </w:rPr>
        <w:t>3</w:t>
      </w:r>
      <w:r>
        <w:rPr>
          <w:color w:val="auto"/>
          <w:highlight w:val="none"/>
        </w:rPr>
        <w:t>。初期雨水主要污染物为SS，经码头面排水明沟排至雨水收集池后由潜水泵加压输送至中船钦州修船资源整合项目厂区污水管网，后期溢流雨水经码头前沿散排入海。</w:t>
      </w:r>
    </w:p>
    <w:p w14:paraId="06B83EFC">
      <w:pPr>
        <w:pStyle w:val="589"/>
        <w:ind w:firstLine="480"/>
        <w:rPr>
          <w:rFonts w:cs="Times New Roman" w:eastAsiaTheme="minorEastAsia"/>
          <w:color w:val="auto"/>
          <w:highlight w:val="none"/>
        </w:rPr>
      </w:pPr>
      <w:r>
        <w:rPr>
          <w:rFonts w:cs="Times New Roman" w:eastAsiaTheme="minorEastAsia"/>
          <w:color w:val="auto"/>
          <w:highlight w:val="none"/>
        </w:rPr>
        <w:t>水污染物排放情况</w:t>
      </w:r>
      <w:r>
        <w:rPr>
          <w:rFonts w:hint="eastAsia" w:cs="Times New Roman" w:eastAsiaTheme="minorEastAsia"/>
          <w:color w:val="auto"/>
          <w:highlight w:val="none"/>
          <w:lang w:eastAsia="zh-CN"/>
        </w:rPr>
        <w:t>见下</w:t>
      </w:r>
      <w:r>
        <w:rPr>
          <w:rFonts w:cs="Times New Roman" w:eastAsiaTheme="minorEastAsia"/>
          <w:color w:val="auto"/>
          <w:highlight w:val="none"/>
        </w:rPr>
        <w:t>表。</w:t>
      </w:r>
    </w:p>
    <w:p w14:paraId="655500EB">
      <w:pPr>
        <w:pStyle w:val="38"/>
        <w:spacing w:after="0" w:line="240" w:lineRule="auto"/>
        <w:ind w:firstLine="0" w:firstLineChars="0"/>
        <w:jc w:val="center"/>
        <w:rPr>
          <w:b/>
          <w:color w:val="auto"/>
          <w:sz w:val="21"/>
          <w:szCs w:val="21"/>
          <w:highlight w:val="none"/>
        </w:rPr>
      </w:pPr>
      <w:r>
        <w:rPr>
          <w:b/>
          <w:color w:val="auto"/>
          <w:sz w:val="21"/>
          <w:szCs w:val="21"/>
          <w:highlight w:val="none"/>
        </w:rPr>
        <w:t>表2.1-</w:t>
      </w:r>
      <w:r>
        <w:rPr>
          <w:rFonts w:hint="eastAsia"/>
          <w:b/>
          <w:color w:val="auto"/>
          <w:sz w:val="21"/>
          <w:szCs w:val="21"/>
          <w:highlight w:val="none"/>
        </w:rPr>
        <w:t>20</w:t>
      </w:r>
      <w:r>
        <w:rPr>
          <w:b/>
          <w:color w:val="auto"/>
          <w:sz w:val="21"/>
          <w:szCs w:val="21"/>
          <w:highlight w:val="none"/>
        </w:rPr>
        <w:t xml:space="preserve">  项目运营期水污染物排放情况汇总</w:t>
      </w:r>
    </w:p>
    <w:tbl>
      <w:tblPr>
        <w:tblStyle w:val="9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60"/>
        <w:gridCol w:w="1067"/>
        <w:gridCol w:w="2288"/>
        <w:gridCol w:w="4971"/>
      </w:tblGrid>
      <w:tr w14:paraId="18F009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19" w:type="dxa"/>
            <w:gridSpan w:val="2"/>
            <w:tcBorders>
              <w:tl2br w:val="nil"/>
              <w:tr2bl w:val="nil"/>
            </w:tcBorders>
          </w:tcPr>
          <w:p w14:paraId="09111A21">
            <w:pPr>
              <w:spacing w:line="240" w:lineRule="auto"/>
              <w:ind w:firstLine="0" w:firstLineChars="0"/>
              <w:jc w:val="center"/>
              <w:rPr>
                <w:b/>
                <w:bCs/>
                <w:color w:val="auto"/>
                <w:sz w:val="21"/>
                <w:szCs w:val="21"/>
                <w:highlight w:val="none"/>
              </w:rPr>
            </w:pPr>
            <w:r>
              <w:rPr>
                <w:b/>
                <w:bCs/>
                <w:color w:val="auto"/>
                <w:sz w:val="21"/>
                <w:szCs w:val="21"/>
                <w:highlight w:val="none"/>
              </w:rPr>
              <w:t>废水种类</w:t>
            </w:r>
          </w:p>
        </w:tc>
        <w:tc>
          <w:tcPr>
            <w:tcW w:w="2433" w:type="dxa"/>
            <w:tcBorders>
              <w:tl2br w:val="nil"/>
              <w:tr2bl w:val="nil"/>
            </w:tcBorders>
          </w:tcPr>
          <w:p w14:paraId="702426E6">
            <w:pPr>
              <w:spacing w:line="240" w:lineRule="auto"/>
              <w:ind w:firstLine="0" w:firstLineChars="0"/>
              <w:jc w:val="center"/>
              <w:rPr>
                <w:b/>
                <w:bCs/>
                <w:color w:val="auto"/>
                <w:sz w:val="21"/>
                <w:szCs w:val="21"/>
                <w:highlight w:val="none"/>
              </w:rPr>
            </w:pPr>
            <w:r>
              <w:rPr>
                <w:b/>
                <w:bCs/>
                <w:color w:val="auto"/>
                <w:sz w:val="21"/>
                <w:szCs w:val="21"/>
                <w:highlight w:val="none"/>
              </w:rPr>
              <w:t>处理措施</w:t>
            </w:r>
          </w:p>
        </w:tc>
        <w:tc>
          <w:tcPr>
            <w:tcW w:w="5307" w:type="dxa"/>
            <w:tcBorders>
              <w:tl2br w:val="nil"/>
              <w:tr2bl w:val="nil"/>
            </w:tcBorders>
          </w:tcPr>
          <w:p w14:paraId="35F52743">
            <w:pPr>
              <w:spacing w:line="240" w:lineRule="auto"/>
              <w:ind w:firstLine="0" w:firstLineChars="0"/>
              <w:jc w:val="center"/>
              <w:rPr>
                <w:b/>
                <w:bCs/>
                <w:color w:val="auto"/>
                <w:sz w:val="21"/>
                <w:szCs w:val="21"/>
                <w:highlight w:val="none"/>
              </w:rPr>
            </w:pPr>
            <w:r>
              <w:rPr>
                <w:b/>
                <w:bCs/>
                <w:color w:val="auto"/>
                <w:sz w:val="21"/>
                <w:szCs w:val="21"/>
                <w:highlight w:val="none"/>
              </w:rPr>
              <w:t>排放去向</w:t>
            </w:r>
          </w:p>
        </w:tc>
      </w:tr>
      <w:tr w14:paraId="6140F9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Merge w:val="restart"/>
            <w:tcBorders>
              <w:tl2br w:val="nil"/>
              <w:tr2bl w:val="nil"/>
            </w:tcBorders>
            <w:vAlign w:val="center"/>
          </w:tcPr>
          <w:p w14:paraId="4BB432B2">
            <w:pPr>
              <w:spacing w:line="240" w:lineRule="auto"/>
              <w:ind w:firstLine="0" w:firstLineChars="0"/>
              <w:jc w:val="center"/>
              <w:rPr>
                <w:color w:val="auto"/>
                <w:sz w:val="21"/>
                <w:szCs w:val="21"/>
                <w:highlight w:val="none"/>
              </w:rPr>
            </w:pPr>
            <w:r>
              <w:rPr>
                <w:color w:val="auto"/>
                <w:sz w:val="21"/>
                <w:szCs w:val="21"/>
                <w:highlight w:val="none"/>
              </w:rPr>
              <w:t>船舶废水</w:t>
            </w:r>
          </w:p>
        </w:tc>
        <w:tc>
          <w:tcPr>
            <w:tcW w:w="1117" w:type="dxa"/>
            <w:tcBorders>
              <w:tl2br w:val="nil"/>
              <w:tr2bl w:val="nil"/>
            </w:tcBorders>
            <w:vAlign w:val="center"/>
          </w:tcPr>
          <w:p w14:paraId="5B09A5DD">
            <w:pPr>
              <w:spacing w:line="240" w:lineRule="auto"/>
              <w:ind w:firstLine="0" w:firstLineChars="0"/>
              <w:jc w:val="center"/>
              <w:rPr>
                <w:color w:val="auto"/>
                <w:sz w:val="21"/>
                <w:szCs w:val="21"/>
                <w:highlight w:val="none"/>
              </w:rPr>
            </w:pPr>
            <w:r>
              <w:rPr>
                <w:color w:val="auto"/>
                <w:sz w:val="21"/>
                <w:szCs w:val="21"/>
                <w:highlight w:val="none"/>
              </w:rPr>
              <w:t>含油污水</w:t>
            </w:r>
          </w:p>
        </w:tc>
        <w:tc>
          <w:tcPr>
            <w:tcW w:w="2433" w:type="dxa"/>
            <w:vMerge w:val="restart"/>
            <w:tcBorders>
              <w:tl2br w:val="nil"/>
              <w:tr2bl w:val="nil"/>
            </w:tcBorders>
            <w:vAlign w:val="center"/>
          </w:tcPr>
          <w:p w14:paraId="1C2CE8E7">
            <w:pPr>
              <w:spacing w:line="240" w:lineRule="auto"/>
              <w:ind w:firstLine="0" w:firstLineChars="0"/>
              <w:jc w:val="center"/>
              <w:rPr>
                <w:color w:val="auto"/>
                <w:sz w:val="21"/>
                <w:szCs w:val="21"/>
                <w:highlight w:val="none"/>
              </w:rPr>
            </w:pPr>
            <w:r>
              <w:rPr>
                <w:color w:val="auto"/>
                <w:sz w:val="21"/>
                <w:szCs w:val="21"/>
                <w:highlight w:val="none"/>
              </w:rPr>
              <w:t>船舶污水收集容器收集</w:t>
            </w:r>
          </w:p>
        </w:tc>
        <w:tc>
          <w:tcPr>
            <w:tcW w:w="5307" w:type="dxa"/>
            <w:vMerge w:val="restart"/>
            <w:tcBorders>
              <w:tl2br w:val="nil"/>
              <w:tr2bl w:val="nil"/>
            </w:tcBorders>
            <w:vAlign w:val="center"/>
          </w:tcPr>
          <w:p w14:paraId="01EFA2B0">
            <w:pPr>
              <w:spacing w:line="240" w:lineRule="auto"/>
              <w:ind w:firstLine="0" w:firstLineChars="0"/>
              <w:jc w:val="center"/>
              <w:rPr>
                <w:color w:val="auto"/>
                <w:sz w:val="21"/>
                <w:szCs w:val="21"/>
                <w:highlight w:val="none"/>
              </w:rPr>
            </w:pPr>
            <w:r>
              <w:rPr>
                <w:color w:val="auto"/>
                <w:sz w:val="21"/>
                <w:szCs w:val="21"/>
                <w:highlight w:val="none"/>
              </w:rPr>
              <w:t>船舶污水收集容器收集后，委托钦州市苏南船舶服务有限公司接收处理</w:t>
            </w:r>
          </w:p>
        </w:tc>
      </w:tr>
      <w:tr w14:paraId="48E554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Merge w:val="continue"/>
            <w:tcBorders>
              <w:tl2br w:val="nil"/>
              <w:tr2bl w:val="nil"/>
            </w:tcBorders>
            <w:vAlign w:val="center"/>
          </w:tcPr>
          <w:p w14:paraId="14A9D89F">
            <w:pPr>
              <w:spacing w:line="240" w:lineRule="auto"/>
              <w:ind w:firstLine="0" w:firstLineChars="0"/>
              <w:jc w:val="center"/>
              <w:rPr>
                <w:color w:val="auto"/>
                <w:sz w:val="21"/>
                <w:szCs w:val="21"/>
                <w:highlight w:val="none"/>
              </w:rPr>
            </w:pPr>
          </w:p>
        </w:tc>
        <w:tc>
          <w:tcPr>
            <w:tcW w:w="1117" w:type="dxa"/>
            <w:tcBorders>
              <w:tl2br w:val="nil"/>
              <w:tr2bl w:val="nil"/>
            </w:tcBorders>
            <w:vAlign w:val="center"/>
          </w:tcPr>
          <w:p w14:paraId="52E812B8">
            <w:pPr>
              <w:spacing w:line="240" w:lineRule="auto"/>
              <w:ind w:firstLine="0" w:firstLineChars="0"/>
              <w:jc w:val="center"/>
              <w:rPr>
                <w:color w:val="auto"/>
                <w:sz w:val="21"/>
                <w:szCs w:val="21"/>
                <w:highlight w:val="none"/>
              </w:rPr>
            </w:pPr>
            <w:r>
              <w:rPr>
                <w:color w:val="auto"/>
                <w:sz w:val="21"/>
                <w:szCs w:val="21"/>
                <w:highlight w:val="none"/>
              </w:rPr>
              <w:t>生活污水</w:t>
            </w:r>
          </w:p>
        </w:tc>
        <w:tc>
          <w:tcPr>
            <w:tcW w:w="2433" w:type="dxa"/>
            <w:vMerge w:val="continue"/>
            <w:tcBorders>
              <w:tl2br w:val="nil"/>
              <w:tr2bl w:val="nil"/>
            </w:tcBorders>
            <w:vAlign w:val="center"/>
          </w:tcPr>
          <w:p w14:paraId="2C22F735">
            <w:pPr>
              <w:spacing w:line="240" w:lineRule="auto"/>
              <w:ind w:firstLine="0" w:firstLineChars="0"/>
              <w:jc w:val="center"/>
              <w:rPr>
                <w:color w:val="auto"/>
                <w:sz w:val="21"/>
                <w:szCs w:val="21"/>
                <w:highlight w:val="none"/>
              </w:rPr>
            </w:pPr>
          </w:p>
        </w:tc>
        <w:tc>
          <w:tcPr>
            <w:tcW w:w="5307" w:type="dxa"/>
            <w:vMerge w:val="continue"/>
            <w:tcBorders>
              <w:tl2br w:val="nil"/>
              <w:tr2bl w:val="nil"/>
            </w:tcBorders>
            <w:vAlign w:val="center"/>
          </w:tcPr>
          <w:p w14:paraId="54728857">
            <w:pPr>
              <w:spacing w:line="240" w:lineRule="auto"/>
              <w:ind w:firstLine="0" w:firstLineChars="0"/>
              <w:jc w:val="center"/>
              <w:rPr>
                <w:color w:val="auto"/>
                <w:sz w:val="21"/>
                <w:szCs w:val="21"/>
                <w:highlight w:val="none"/>
              </w:rPr>
            </w:pPr>
          </w:p>
        </w:tc>
      </w:tr>
      <w:tr w14:paraId="5E2790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19" w:type="dxa"/>
            <w:gridSpan w:val="2"/>
            <w:tcBorders>
              <w:tl2br w:val="nil"/>
              <w:tr2bl w:val="nil"/>
            </w:tcBorders>
            <w:vAlign w:val="center"/>
          </w:tcPr>
          <w:p w14:paraId="20E7F671">
            <w:pPr>
              <w:spacing w:line="240" w:lineRule="auto"/>
              <w:ind w:firstLine="0" w:firstLineChars="0"/>
              <w:jc w:val="center"/>
              <w:rPr>
                <w:color w:val="auto"/>
                <w:sz w:val="21"/>
                <w:szCs w:val="21"/>
                <w:highlight w:val="none"/>
              </w:rPr>
            </w:pPr>
            <w:r>
              <w:rPr>
                <w:color w:val="auto"/>
                <w:sz w:val="21"/>
                <w:szCs w:val="21"/>
                <w:highlight w:val="none"/>
              </w:rPr>
              <w:t>码头工人生活污水</w:t>
            </w:r>
          </w:p>
        </w:tc>
        <w:tc>
          <w:tcPr>
            <w:tcW w:w="2433" w:type="dxa"/>
            <w:tcBorders>
              <w:tl2br w:val="nil"/>
              <w:tr2bl w:val="nil"/>
            </w:tcBorders>
            <w:vAlign w:val="center"/>
          </w:tcPr>
          <w:p w14:paraId="7DE60026">
            <w:pPr>
              <w:spacing w:line="240" w:lineRule="auto"/>
              <w:ind w:firstLine="0" w:firstLineChars="0"/>
              <w:jc w:val="center"/>
              <w:rPr>
                <w:color w:val="auto"/>
                <w:sz w:val="21"/>
                <w:szCs w:val="21"/>
                <w:highlight w:val="none"/>
              </w:rPr>
            </w:pPr>
            <w:r>
              <w:rPr>
                <w:color w:val="auto"/>
                <w:sz w:val="21"/>
                <w:szCs w:val="21"/>
                <w:highlight w:val="none"/>
              </w:rPr>
              <w:t>依托基地陆域生活污水系统处理</w:t>
            </w:r>
          </w:p>
        </w:tc>
        <w:tc>
          <w:tcPr>
            <w:tcW w:w="5307" w:type="dxa"/>
            <w:tcBorders>
              <w:tl2br w:val="nil"/>
              <w:tr2bl w:val="nil"/>
            </w:tcBorders>
            <w:vAlign w:val="center"/>
          </w:tcPr>
          <w:p w14:paraId="7BA0AD5C">
            <w:pPr>
              <w:spacing w:line="240" w:lineRule="auto"/>
              <w:ind w:firstLine="0" w:firstLineChars="0"/>
              <w:jc w:val="center"/>
              <w:rPr>
                <w:color w:val="auto"/>
                <w:sz w:val="21"/>
                <w:szCs w:val="21"/>
                <w:highlight w:val="none"/>
              </w:rPr>
            </w:pPr>
            <w:r>
              <w:rPr>
                <w:color w:val="auto"/>
                <w:sz w:val="21"/>
                <w:szCs w:val="21"/>
                <w:highlight w:val="none"/>
              </w:rPr>
              <w:t>通过槽罐车运输的方式清运至大榄坪污水处理厂处理</w:t>
            </w:r>
          </w:p>
        </w:tc>
      </w:tr>
      <w:tr w14:paraId="545F2C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19" w:type="dxa"/>
            <w:gridSpan w:val="2"/>
            <w:tcBorders>
              <w:tl2br w:val="nil"/>
              <w:tr2bl w:val="nil"/>
            </w:tcBorders>
            <w:vAlign w:val="center"/>
          </w:tcPr>
          <w:p w14:paraId="2EDF052C">
            <w:pPr>
              <w:spacing w:line="240" w:lineRule="auto"/>
              <w:ind w:firstLine="0" w:firstLineChars="0"/>
              <w:jc w:val="center"/>
              <w:rPr>
                <w:color w:val="auto"/>
                <w:sz w:val="21"/>
                <w:szCs w:val="21"/>
                <w:highlight w:val="none"/>
              </w:rPr>
            </w:pPr>
            <w:r>
              <w:rPr>
                <w:color w:val="auto"/>
                <w:sz w:val="21"/>
                <w:szCs w:val="21"/>
                <w:highlight w:val="none"/>
              </w:rPr>
              <w:t>初期雨水</w:t>
            </w:r>
          </w:p>
        </w:tc>
        <w:tc>
          <w:tcPr>
            <w:tcW w:w="2433" w:type="dxa"/>
            <w:tcBorders>
              <w:tl2br w:val="nil"/>
              <w:tr2bl w:val="nil"/>
            </w:tcBorders>
            <w:vAlign w:val="center"/>
          </w:tcPr>
          <w:p w14:paraId="3CD622D4">
            <w:pPr>
              <w:spacing w:line="240" w:lineRule="auto"/>
              <w:ind w:firstLine="0" w:firstLineChars="0"/>
              <w:jc w:val="center"/>
              <w:rPr>
                <w:color w:val="auto"/>
                <w:sz w:val="21"/>
                <w:szCs w:val="21"/>
                <w:highlight w:val="none"/>
              </w:rPr>
            </w:pPr>
            <w:r>
              <w:rPr>
                <w:color w:val="auto"/>
                <w:sz w:val="21"/>
                <w:szCs w:val="21"/>
                <w:highlight w:val="none"/>
              </w:rPr>
              <w:t>初期雨水收集池沉淀</w:t>
            </w:r>
          </w:p>
        </w:tc>
        <w:tc>
          <w:tcPr>
            <w:tcW w:w="5307" w:type="dxa"/>
            <w:tcBorders>
              <w:tl2br w:val="nil"/>
              <w:tr2bl w:val="nil"/>
            </w:tcBorders>
            <w:vAlign w:val="center"/>
          </w:tcPr>
          <w:p w14:paraId="7E03018B">
            <w:pPr>
              <w:spacing w:line="240" w:lineRule="auto"/>
              <w:ind w:firstLine="0" w:firstLineChars="0"/>
              <w:jc w:val="center"/>
              <w:rPr>
                <w:color w:val="auto"/>
                <w:sz w:val="21"/>
                <w:szCs w:val="21"/>
                <w:highlight w:val="none"/>
              </w:rPr>
            </w:pPr>
            <w:r>
              <w:rPr>
                <w:color w:val="auto"/>
                <w:sz w:val="21"/>
                <w:szCs w:val="21"/>
                <w:highlight w:val="none"/>
              </w:rPr>
              <w:t>经码头面排水明沟排至雨水收集池后由潜水泵加压输送至中船钦州修船资源整合项目厂区污水管网，后期溢流雨水经码头前沿散排入海</w:t>
            </w:r>
          </w:p>
        </w:tc>
      </w:tr>
    </w:tbl>
    <w:p w14:paraId="62309B4A">
      <w:pPr>
        <w:ind w:right="-20" w:firstLine="482"/>
        <w:rPr>
          <w:b/>
          <w:bCs/>
          <w:color w:val="auto"/>
          <w:szCs w:val="28"/>
          <w:highlight w:val="none"/>
        </w:rPr>
      </w:pPr>
      <w:r>
        <w:rPr>
          <w:b/>
          <w:bCs/>
          <w:color w:val="auto"/>
          <w:szCs w:val="28"/>
          <w:highlight w:val="none"/>
        </w:rPr>
        <w:t>（3）噪声</w:t>
      </w:r>
    </w:p>
    <w:p w14:paraId="7DC24723">
      <w:pPr>
        <w:ind w:firstLine="480"/>
        <w:rPr>
          <w:color w:val="auto"/>
          <w:highlight w:val="none"/>
        </w:rPr>
      </w:pPr>
      <w:r>
        <w:rPr>
          <w:color w:val="auto"/>
          <w:highlight w:val="none"/>
        </w:rPr>
        <w:t>项目运营期间的噪声主要来源于装卸机械噪声、船舶产生的交通噪声、运输车辆噪声等。一般情况下，船舶停靠后不鸣笛。</w:t>
      </w:r>
    </w:p>
    <w:p w14:paraId="21300114">
      <w:pPr>
        <w:ind w:right="-20" w:firstLine="482"/>
        <w:rPr>
          <w:b/>
          <w:bCs/>
          <w:color w:val="auto"/>
          <w:szCs w:val="28"/>
          <w:highlight w:val="none"/>
        </w:rPr>
      </w:pPr>
      <w:r>
        <w:rPr>
          <w:b/>
          <w:bCs/>
          <w:color w:val="auto"/>
          <w:szCs w:val="28"/>
          <w:highlight w:val="none"/>
        </w:rPr>
        <w:t>（4）固体废物</w:t>
      </w:r>
    </w:p>
    <w:p w14:paraId="49A61D61">
      <w:pPr>
        <w:ind w:firstLine="480"/>
        <w:rPr>
          <w:color w:val="auto"/>
          <w:highlight w:val="none"/>
        </w:rPr>
      </w:pPr>
      <w:r>
        <w:rPr>
          <w:color w:val="auto"/>
          <w:highlight w:val="none"/>
        </w:rPr>
        <w:t>项目产生的固体废物为到港船舶垃圾和陆域生活垃圾，沉渣、废油漆桶和废机油等。</w:t>
      </w:r>
    </w:p>
    <w:p w14:paraId="04C1E629">
      <w:pPr>
        <w:ind w:firstLine="480"/>
        <w:rPr>
          <w:color w:val="auto"/>
          <w:highlight w:val="none"/>
        </w:rPr>
      </w:pPr>
      <w:r>
        <w:rPr>
          <w:color w:val="auto"/>
          <w:highlight w:val="none"/>
        </w:rPr>
        <w:t>①船舶固体废物</w:t>
      </w:r>
    </w:p>
    <w:p w14:paraId="1DA77728">
      <w:pPr>
        <w:ind w:firstLine="480"/>
        <w:rPr>
          <w:color w:val="auto"/>
          <w:highlight w:val="none"/>
        </w:rPr>
      </w:pPr>
      <w:r>
        <w:rPr>
          <w:color w:val="auto"/>
          <w:highlight w:val="none"/>
        </w:rPr>
        <w:t>船舶垃圾由船舶检修废物和船舶生活垃圾组成。船舶生活垃圾和船舶检修废物委托钦州市苏南船舶服务有限公司接收处理，不在本项目区域排放。</w:t>
      </w:r>
    </w:p>
    <w:p w14:paraId="3C92FF37">
      <w:pPr>
        <w:ind w:firstLine="480"/>
        <w:rPr>
          <w:color w:val="auto"/>
          <w:highlight w:val="none"/>
        </w:rPr>
      </w:pPr>
      <w:r>
        <w:rPr>
          <w:color w:val="auto"/>
          <w:highlight w:val="none"/>
        </w:rPr>
        <w:t>②码头陆域生活垃圾</w:t>
      </w:r>
    </w:p>
    <w:p w14:paraId="6E55B7F8">
      <w:pPr>
        <w:ind w:firstLine="480"/>
        <w:rPr>
          <w:color w:val="auto"/>
          <w:highlight w:val="none"/>
        </w:rPr>
      </w:pPr>
      <w:r>
        <w:rPr>
          <w:color w:val="auto"/>
          <w:highlight w:val="none"/>
        </w:rPr>
        <w:t>生活垃圾年产生量为37.25t/a，交由环卫部门统一收集处理。</w:t>
      </w:r>
    </w:p>
    <w:p w14:paraId="697FA0E0">
      <w:pPr>
        <w:ind w:firstLine="480"/>
        <w:rPr>
          <w:color w:val="auto"/>
          <w:highlight w:val="none"/>
        </w:rPr>
      </w:pPr>
      <w:r>
        <w:rPr>
          <w:color w:val="auto"/>
          <w:highlight w:val="none"/>
        </w:rPr>
        <w:t>③沉渣</w:t>
      </w:r>
    </w:p>
    <w:p w14:paraId="604B8DE9">
      <w:pPr>
        <w:ind w:firstLine="480"/>
        <w:rPr>
          <w:color w:val="auto"/>
          <w:highlight w:val="none"/>
        </w:rPr>
      </w:pPr>
      <w:r>
        <w:rPr>
          <w:color w:val="auto"/>
          <w:highlight w:val="none"/>
        </w:rPr>
        <w:t>项目5#码头、2#码头的初期雨水产生沉渣，初期雨水沉渣产生量为43.3kg/次，沉渣属一般固体废物，定期掏出后交由环卫部门统一收集处理。</w:t>
      </w:r>
    </w:p>
    <w:p w14:paraId="4D9009FF">
      <w:pPr>
        <w:ind w:firstLine="480"/>
        <w:rPr>
          <w:color w:val="auto"/>
          <w:highlight w:val="none"/>
        </w:rPr>
      </w:pPr>
      <w:r>
        <w:rPr>
          <w:color w:val="auto"/>
          <w:highlight w:val="none"/>
        </w:rPr>
        <w:t>④废油漆桶</w:t>
      </w:r>
    </w:p>
    <w:p w14:paraId="29DC5A1F">
      <w:pPr>
        <w:ind w:firstLine="480"/>
        <w:rPr>
          <w:color w:val="auto"/>
          <w:highlight w:val="none"/>
        </w:rPr>
      </w:pPr>
      <w:r>
        <w:rPr>
          <w:color w:val="auto"/>
          <w:highlight w:val="none"/>
        </w:rPr>
        <w:t>本项目补漆过程会使用油漆，废油漆桶属于危险废物，危险代码为HW49-900-041-49，将其收集后放置在危废库内，</w:t>
      </w:r>
      <w:r>
        <w:rPr>
          <w:rFonts w:hint="eastAsia"/>
          <w:color w:val="auto"/>
          <w:highlight w:val="none"/>
        </w:rPr>
        <w:t>委托有资质单位处理</w:t>
      </w:r>
      <w:r>
        <w:rPr>
          <w:color w:val="auto"/>
          <w:highlight w:val="none"/>
        </w:rPr>
        <w:t>。</w:t>
      </w:r>
    </w:p>
    <w:p w14:paraId="057A32FA">
      <w:pPr>
        <w:ind w:firstLine="480"/>
        <w:rPr>
          <w:color w:val="auto"/>
          <w:highlight w:val="none"/>
        </w:rPr>
      </w:pPr>
      <w:r>
        <w:rPr>
          <w:color w:val="auto"/>
          <w:highlight w:val="none"/>
        </w:rPr>
        <w:t>⑤废机油</w:t>
      </w:r>
    </w:p>
    <w:p w14:paraId="3C0260E2">
      <w:pPr>
        <w:ind w:firstLine="480"/>
        <w:rPr>
          <w:color w:val="auto"/>
          <w:highlight w:val="none"/>
        </w:rPr>
      </w:pPr>
      <w:r>
        <w:rPr>
          <w:color w:val="auto"/>
          <w:highlight w:val="none"/>
        </w:rPr>
        <w:t>项目运营期间为保持各机械设备的正常运转，需对设备进行定期保养，此部分固废属于危险废物，危废代码HW08-900-214-08，将其采用专用容器收集后放置在危废库内，</w:t>
      </w:r>
      <w:r>
        <w:rPr>
          <w:rFonts w:hint="eastAsia"/>
          <w:color w:val="auto"/>
          <w:highlight w:val="none"/>
        </w:rPr>
        <w:t>委托有资质单位处理</w:t>
      </w:r>
      <w:r>
        <w:rPr>
          <w:color w:val="auto"/>
          <w:highlight w:val="none"/>
        </w:rPr>
        <w:t>。</w:t>
      </w:r>
    </w:p>
    <w:p w14:paraId="424BA38E">
      <w:pPr>
        <w:pStyle w:val="533"/>
        <w:numPr>
          <w:ilvl w:val="3"/>
          <w:numId w:val="9"/>
        </w:numPr>
        <w:rPr>
          <w:color w:val="auto"/>
          <w:szCs w:val="24"/>
          <w:highlight w:val="none"/>
          <w:u w:val="single"/>
        </w:rPr>
      </w:pPr>
      <w:r>
        <w:rPr>
          <w:rFonts w:hint="eastAsia"/>
          <w:color w:val="auto"/>
          <w:szCs w:val="24"/>
          <w:highlight w:val="none"/>
          <w:u w:val="single"/>
        </w:rPr>
        <w:t>环评批复落实情况</w:t>
      </w:r>
    </w:p>
    <w:p w14:paraId="6ACE562D">
      <w:pPr>
        <w:ind w:firstLine="480"/>
        <w:rPr>
          <w:color w:val="auto"/>
          <w:highlight w:val="none"/>
          <w:u w:val="single"/>
        </w:rPr>
      </w:pPr>
      <w:r>
        <w:rPr>
          <w:color w:val="auto"/>
          <w:highlight w:val="none"/>
          <w:u w:val="single"/>
        </w:rPr>
        <w:t>该项目</w:t>
      </w:r>
      <w:r>
        <w:rPr>
          <w:rFonts w:hint="eastAsia"/>
          <w:color w:val="auto"/>
          <w:highlight w:val="none"/>
          <w:u w:val="single"/>
        </w:rPr>
        <w:t>于</w:t>
      </w:r>
      <w:r>
        <w:rPr>
          <w:color w:val="auto"/>
          <w:highlight w:val="none"/>
          <w:u w:val="single"/>
        </w:rPr>
        <w:t>2021年12月9日，取得了《钦州市生态环境局关于中船广西海上风电装备产业基地南冀项目2#码头和5#码头工程环境影响报告书的批复》（自贸钦港审批环〔2021〕14号），见附件3-4</w:t>
      </w:r>
      <w:r>
        <w:rPr>
          <w:rFonts w:hint="eastAsia"/>
          <w:color w:val="auto"/>
          <w:highlight w:val="none"/>
          <w:u w:val="single"/>
        </w:rPr>
        <w:t>。根据批复的内容，本报告逐项检查项目环保措施落实情况，检查结果见表2.1-21。</w:t>
      </w:r>
    </w:p>
    <w:p w14:paraId="08CCE327">
      <w:pPr>
        <w:pStyle w:val="2"/>
        <w:rPr>
          <w:color w:val="auto"/>
          <w:highlight w:val="none"/>
          <w:u w:val="single"/>
        </w:rPr>
        <w:sectPr>
          <w:headerReference r:id="rId32" w:type="default"/>
          <w:pgSz w:w="11906" w:h="16838"/>
          <w:pgMar w:top="1559" w:right="1418" w:bottom="1503" w:left="1418" w:header="851" w:footer="964" w:gutter="0"/>
          <w:cols w:space="720" w:num="1"/>
          <w:docGrid w:linePitch="326" w:charSpace="0"/>
        </w:sectPr>
      </w:pPr>
    </w:p>
    <w:p w14:paraId="37330ABD">
      <w:pPr>
        <w:pStyle w:val="38"/>
        <w:spacing w:after="0" w:line="240" w:lineRule="auto"/>
        <w:ind w:firstLine="0" w:firstLineChars="0"/>
        <w:jc w:val="center"/>
        <w:rPr>
          <w:b/>
          <w:color w:val="auto"/>
          <w:sz w:val="21"/>
          <w:szCs w:val="21"/>
          <w:highlight w:val="none"/>
          <w:u w:val="single"/>
        </w:rPr>
      </w:pPr>
      <w:r>
        <w:rPr>
          <w:b/>
          <w:color w:val="auto"/>
          <w:sz w:val="21"/>
          <w:szCs w:val="21"/>
          <w:highlight w:val="none"/>
          <w:u w:val="single"/>
        </w:rPr>
        <w:t>表</w:t>
      </w:r>
      <w:bookmarkStart w:id="93" w:name="表5-2环评批复环境保护措施落实情况调查结果"/>
      <w:bookmarkEnd w:id="93"/>
      <w:r>
        <w:rPr>
          <w:rFonts w:hint="eastAsia"/>
          <w:b/>
          <w:color w:val="auto"/>
          <w:sz w:val="21"/>
          <w:szCs w:val="21"/>
          <w:highlight w:val="none"/>
          <w:u w:val="single"/>
        </w:rPr>
        <w:t>2.1</w:t>
      </w:r>
      <w:r>
        <w:rPr>
          <w:b/>
          <w:color w:val="auto"/>
          <w:sz w:val="21"/>
          <w:szCs w:val="21"/>
          <w:highlight w:val="none"/>
          <w:u w:val="single"/>
        </w:rPr>
        <w:t>-</w:t>
      </w:r>
      <w:r>
        <w:rPr>
          <w:rFonts w:hint="eastAsia"/>
          <w:b/>
          <w:color w:val="auto"/>
          <w:sz w:val="21"/>
          <w:szCs w:val="21"/>
          <w:highlight w:val="none"/>
          <w:u w:val="single"/>
        </w:rPr>
        <w:t>2</w:t>
      </w:r>
      <w:r>
        <w:rPr>
          <w:b/>
          <w:color w:val="auto"/>
          <w:sz w:val="21"/>
          <w:szCs w:val="21"/>
          <w:highlight w:val="none"/>
          <w:u w:val="single"/>
        </w:rPr>
        <w:t>1  环评批复（</w:t>
      </w:r>
      <w:r>
        <w:rPr>
          <w:rFonts w:hint="eastAsia"/>
          <w:b/>
          <w:color w:val="auto"/>
          <w:sz w:val="21"/>
          <w:szCs w:val="21"/>
          <w:highlight w:val="none"/>
          <w:u w:val="single"/>
        </w:rPr>
        <w:t>自贸钦港审批环</w:t>
      </w:r>
      <w:r>
        <w:rPr>
          <w:b/>
          <w:color w:val="auto"/>
          <w:sz w:val="21"/>
          <w:szCs w:val="21"/>
          <w:highlight w:val="none"/>
          <w:u w:val="single"/>
        </w:rPr>
        <w:t>〔2021〕</w:t>
      </w:r>
      <w:r>
        <w:rPr>
          <w:rFonts w:hint="eastAsia"/>
          <w:b/>
          <w:color w:val="auto"/>
          <w:sz w:val="21"/>
          <w:szCs w:val="21"/>
          <w:highlight w:val="none"/>
          <w:u w:val="single"/>
        </w:rPr>
        <w:t>14</w:t>
      </w:r>
      <w:r>
        <w:rPr>
          <w:b/>
          <w:color w:val="auto"/>
          <w:sz w:val="21"/>
          <w:szCs w:val="21"/>
          <w:highlight w:val="none"/>
          <w:u w:val="single"/>
        </w:rPr>
        <w:t>号）环境保护措施落实情况调查结果</w:t>
      </w:r>
    </w:p>
    <w:tbl>
      <w:tblPr>
        <w:tblStyle w:val="92"/>
        <w:tblW w:w="501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624"/>
        <w:gridCol w:w="6126"/>
        <w:gridCol w:w="7054"/>
      </w:tblGrid>
      <w:tr w14:paraId="2204B6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blHeader/>
          <w:jc w:val="center"/>
        </w:trPr>
        <w:tc>
          <w:tcPr>
            <w:tcW w:w="226" w:type="pct"/>
            <w:tcBorders>
              <w:tl2br w:val="nil"/>
              <w:tr2bl w:val="nil"/>
            </w:tcBorders>
            <w:vAlign w:val="center"/>
          </w:tcPr>
          <w:p w14:paraId="3C2FB7A6">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序号</w:t>
            </w:r>
          </w:p>
        </w:tc>
        <w:tc>
          <w:tcPr>
            <w:tcW w:w="2218" w:type="pct"/>
            <w:tcBorders>
              <w:tl2br w:val="nil"/>
              <w:tr2bl w:val="nil"/>
            </w:tcBorders>
            <w:vAlign w:val="center"/>
          </w:tcPr>
          <w:p w14:paraId="0DA51D9F">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批复意见</w:t>
            </w:r>
          </w:p>
        </w:tc>
        <w:tc>
          <w:tcPr>
            <w:tcW w:w="2554" w:type="pct"/>
            <w:tcBorders>
              <w:tl2br w:val="nil"/>
              <w:tr2bl w:val="nil"/>
            </w:tcBorders>
            <w:vAlign w:val="center"/>
          </w:tcPr>
          <w:p w14:paraId="126E06BA">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执行情况</w:t>
            </w:r>
          </w:p>
        </w:tc>
      </w:tr>
      <w:tr w14:paraId="551572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226" w:type="pct"/>
            <w:tcBorders>
              <w:tl2br w:val="nil"/>
              <w:tr2bl w:val="nil"/>
            </w:tcBorders>
            <w:vAlign w:val="center"/>
          </w:tcPr>
          <w:p w14:paraId="29D0CDA8">
            <w:pPr>
              <w:spacing w:line="240" w:lineRule="auto"/>
              <w:ind w:firstLine="0" w:firstLineChars="0"/>
              <w:jc w:val="center"/>
              <w:rPr>
                <w:color w:val="auto"/>
                <w:sz w:val="21"/>
                <w:szCs w:val="21"/>
                <w:highlight w:val="none"/>
                <w:u w:val="single"/>
              </w:rPr>
            </w:pPr>
            <w:r>
              <w:rPr>
                <w:color w:val="auto"/>
                <w:sz w:val="21"/>
                <w:szCs w:val="21"/>
                <w:highlight w:val="none"/>
                <w:u w:val="single"/>
              </w:rPr>
              <w:t>1</w:t>
            </w:r>
          </w:p>
        </w:tc>
        <w:tc>
          <w:tcPr>
            <w:tcW w:w="2218" w:type="pct"/>
            <w:tcBorders>
              <w:tl2br w:val="nil"/>
              <w:tr2bl w:val="nil"/>
            </w:tcBorders>
            <w:vAlign w:val="center"/>
          </w:tcPr>
          <w:p w14:paraId="4A6E6B0A">
            <w:pPr>
              <w:spacing w:line="240" w:lineRule="auto"/>
              <w:ind w:firstLine="420"/>
              <w:rPr>
                <w:color w:val="auto"/>
                <w:sz w:val="21"/>
                <w:szCs w:val="21"/>
                <w:highlight w:val="none"/>
                <w:u w:val="single"/>
              </w:rPr>
            </w:pPr>
            <w:r>
              <w:rPr>
                <w:rFonts w:hint="eastAsia"/>
                <w:color w:val="auto"/>
                <w:sz w:val="21"/>
                <w:szCs w:val="21"/>
                <w:highlight w:val="none"/>
                <w:u w:val="single"/>
              </w:rPr>
              <w:t>建设项目的初步设计等应当按照环境保护设计规范的要求，编制环境保护篇章，落实防治环境污染和生态破坏的措施以及环境保护设施投资资金。将环境保护设施建设纳入施工合同，保证环境保护设施建设进度和资金。应委托有资质的单位开展项目施工期环境监理工作，并定期向生态环境主管部门提交工程环境监理报告。</w:t>
            </w:r>
          </w:p>
        </w:tc>
        <w:tc>
          <w:tcPr>
            <w:tcW w:w="2554" w:type="pct"/>
            <w:tcBorders>
              <w:tl2br w:val="nil"/>
              <w:tr2bl w:val="nil"/>
            </w:tcBorders>
          </w:tcPr>
          <w:p w14:paraId="090D43A4">
            <w:pPr>
              <w:spacing w:line="240" w:lineRule="auto"/>
              <w:ind w:firstLine="420"/>
              <w:rPr>
                <w:color w:val="auto"/>
                <w:sz w:val="21"/>
                <w:szCs w:val="21"/>
                <w:highlight w:val="none"/>
                <w:u w:val="single"/>
              </w:rPr>
            </w:pPr>
            <w:r>
              <w:rPr>
                <w:color w:val="auto"/>
                <w:sz w:val="21"/>
                <w:szCs w:val="21"/>
                <w:highlight w:val="none"/>
                <w:u w:val="single"/>
              </w:rPr>
              <w:t>基本落实。</w:t>
            </w:r>
          </w:p>
          <w:p w14:paraId="5CE8985C">
            <w:pPr>
              <w:numPr>
                <w:ilvl w:val="0"/>
                <w:numId w:val="15"/>
              </w:numPr>
              <w:spacing w:line="240" w:lineRule="auto"/>
              <w:ind w:firstLine="420"/>
              <w:rPr>
                <w:color w:val="auto"/>
                <w:sz w:val="21"/>
                <w:szCs w:val="21"/>
                <w:highlight w:val="none"/>
                <w:u w:val="single"/>
              </w:rPr>
            </w:pPr>
            <w:r>
              <w:rPr>
                <w:rFonts w:hint="eastAsia"/>
                <w:color w:val="auto"/>
                <w:sz w:val="21"/>
                <w:szCs w:val="21"/>
                <w:highlight w:val="none"/>
                <w:u w:val="single"/>
              </w:rPr>
              <w:t>建设项目的初步设计已按照环境保护设计规范的要求，编制环境保护篇章，落实防治环境污染和生态破坏的措施以及环境保护设施投资资金。</w:t>
            </w:r>
          </w:p>
          <w:p w14:paraId="6229DA96">
            <w:pPr>
              <w:numPr>
                <w:ilvl w:val="0"/>
                <w:numId w:val="15"/>
              </w:numPr>
              <w:spacing w:line="240" w:lineRule="auto"/>
              <w:ind w:firstLine="420"/>
              <w:rPr>
                <w:color w:val="auto"/>
                <w:sz w:val="21"/>
                <w:szCs w:val="21"/>
                <w:highlight w:val="none"/>
                <w:u w:val="single"/>
              </w:rPr>
            </w:pPr>
            <w:r>
              <w:rPr>
                <w:rFonts w:hint="eastAsia"/>
                <w:color w:val="auto"/>
                <w:sz w:val="21"/>
                <w:szCs w:val="21"/>
                <w:highlight w:val="none"/>
                <w:u w:val="single"/>
              </w:rPr>
              <w:t>环境保护设施建设已纳入施工合同，保证环境保护设施建设进度和资金。</w:t>
            </w:r>
          </w:p>
          <w:p w14:paraId="7AB38C2C">
            <w:pPr>
              <w:numPr>
                <w:ilvl w:val="0"/>
                <w:numId w:val="15"/>
              </w:numPr>
              <w:spacing w:line="240" w:lineRule="auto"/>
              <w:ind w:firstLine="420"/>
              <w:rPr>
                <w:color w:val="auto"/>
                <w:sz w:val="21"/>
                <w:szCs w:val="21"/>
                <w:highlight w:val="none"/>
                <w:u w:val="single"/>
              </w:rPr>
            </w:pPr>
            <w:r>
              <w:rPr>
                <w:rFonts w:hint="eastAsia"/>
                <w:color w:val="auto"/>
                <w:sz w:val="21"/>
                <w:szCs w:val="21"/>
                <w:highlight w:val="none"/>
                <w:u w:val="single"/>
              </w:rPr>
              <w:t>已委托有资质的单位开展项目施工期环境监理工作，并定期向生态环境主管部门提交工程环境监理报告。</w:t>
            </w:r>
          </w:p>
        </w:tc>
      </w:tr>
      <w:tr w14:paraId="54E5CD2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226" w:type="pct"/>
            <w:tcBorders>
              <w:tl2br w:val="nil"/>
              <w:tr2bl w:val="nil"/>
            </w:tcBorders>
            <w:vAlign w:val="center"/>
          </w:tcPr>
          <w:p w14:paraId="32D50A16">
            <w:pPr>
              <w:spacing w:line="240" w:lineRule="auto"/>
              <w:ind w:firstLine="0" w:firstLineChars="0"/>
              <w:jc w:val="center"/>
              <w:rPr>
                <w:color w:val="auto"/>
                <w:sz w:val="21"/>
                <w:szCs w:val="21"/>
                <w:highlight w:val="none"/>
                <w:u w:val="single"/>
              </w:rPr>
            </w:pPr>
            <w:r>
              <w:rPr>
                <w:color w:val="auto"/>
                <w:sz w:val="21"/>
                <w:szCs w:val="21"/>
                <w:highlight w:val="none"/>
                <w:u w:val="single"/>
              </w:rPr>
              <w:t>2</w:t>
            </w:r>
          </w:p>
        </w:tc>
        <w:tc>
          <w:tcPr>
            <w:tcW w:w="2218" w:type="pct"/>
            <w:tcBorders>
              <w:tl2br w:val="nil"/>
              <w:tr2bl w:val="nil"/>
            </w:tcBorders>
            <w:vAlign w:val="center"/>
          </w:tcPr>
          <w:p w14:paraId="31F0B314">
            <w:pPr>
              <w:spacing w:line="240" w:lineRule="auto"/>
              <w:ind w:firstLine="420"/>
              <w:rPr>
                <w:color w:val="auto"/>
                <w:sz w:val="21"/>
                <w:szCs w:val="21"/>
                <w:highlight w:val="none"/>
                <w:u w:val="single"/>
              </w:rPr>
            </w:pPr>
            <w:r>
              <w:rPr>
                <w:rFonts w:hint="eastAsia"/>
                <w:color w:val="auto"/>
                <w:sz w:val="21"/>
                <w:szCs w:val="21"/>
                <w:highlight w:val="none"/>
                <w:u w:val="single"/>
              </w:rPr>
              <w:t>落实施工期污染防治措施，加强施工期环境保护管理。</w:t>
            </w:r>
          </w:p>
          <w:p w14:paraId="7A12CBDF">
            <w:pPr>
              <w:spacing w:line="240" w:lineRule="auto"/>
              <w:ind w:firstLine="420"/>
              <w:rPr>
                <w:color w:val="auto"/>
                <w:sz w:val="21"/>
                <w:szCs w:val="21"/>
                <w:highlight w:val="none"/>
                <w:u w:val="single"/>
              </w:rPr>
            </w:pPr>
            <w:r>
              <w:rPr>
                <w:rFonts w:hint="eastAsia"/>
                <w:color w:val="auto"/>
                <w:sz w:val="21"/>
                <w:szCs w:val="21"/>
                <w:highlight w:val="none"/>
                <w:u w:val="single"/>
              </w:rPr>
              <w:t>文明施工与作业，科学合理安排好施工时间以及选择污染小的施工工艺，控制海域施工悬浮物产生浓度的大小。施工过程中产生的固体废物严格按照《报告书》提出的防治措施和要求进行处理。施工船舶产生的含油污水严格按照《沿海海域船舶排污设备铅封程序规定》要求，收集后交由有资质单位进行处理；生活污水集中收集并妥善处理。施工过程中须密切注意施工区及其周边海域的水质变化，如发现因施工引起水质变化而对周边海域海洋生物产生不良影响，则应立即采取措施，必要时可短暂停工。应严格按照《中华人民共和国渔业法》《中华人民共和国海洋环境保护法》《中国水生生物资源养护行动纲要》等法律法规和有关规定处理好资源补偿、赔偿、生态补偿和修复等问题。</w:t>
            </w:r>
          </w:p>
        </w:tc>
        <w:tc>
          <w:tcPr>
            <w:tcW w:w="2554" w:type="pct"/>
            <w:tcBorders>
              <w:tl2br w:val="nil"/>
              <w:tr2bl w:val="nil"/>
            </w:tcBorders>
          </w:tcPr>
          <w:p w14:paraId="3E242066">
            <w:pPr>
              <w:spacing w:line="240" w:lineRule="auto"/>
              <w:ind w:firstLine="420"/>
              <w:rPr>
                <w:color w:val="auto"/>
                <w:sz w:val="21"/>
                <w:szCs w:val="21"/>
                <w:highlight w:val="none"/>
                <w:u w:val="single"/>
              </w:rPr>
            </w:pPr>
            <w:r>
              <w:rPr>
                <w:color w:val="auto"/>
                <w:sz w:val="21"/>
                <w:szCs w:val="21"/>
                <w:highlight w:val="none"/>
                <w:u w:val="single"/>
              </w:rPr>
              <w:t>已落实。</w:t>
            </w:r>
          </w:p>
          <w:p w14:paraId="0AFBC299">
            <w:pPr>
              <w:spacing w:line="240" w:lineRule="auto"/>
              <w:ind w:firstLine="420"/>
              <w:rPr>
                <w:color w:val="auto"/>
                <w:sz w:val="21"/>
                <w:szCs w:val="21"/>
                <w:highlight w:val="none"/>
                <w:u w:val="single"/>
              </w:rPr>
            </w:pPr>
            <w:r>
              <w:rPr>
                <w:rFonts w:hint="eastAsia"/>
                <w:color w:val="auto"/>
                <w:sz w:val="21"/>
                <w:szCs w:val="21"/>
                <w:highlight w:val="none"/>
                <w:u w:val="single"/>
              </w:rPr>
              <w:t>1、施工期文明施工与作业，科学合理安排好施工时间以及选择污染小的施工工艺，控制海域施工悬浮物产生浓度的大小。</w:t>
            </w:r>
          </w:p>
          <w:p w14:paraId="77651D61">
            <w:pPr>
              <w:spacing w:line="240" w:lineRule="auto"/>
              <w:ind w:firstLine="420"/>
              <w:rPr>
                <w:color w:val="auto"/>
                <w:sz w:val="21"/>
                <w:szCs w:val="21"/>
                <w:highlight w:val="none"/>
                <w:u w:val="single"/>
              </w:rPr>
            </w:pPr>
            <w:r>
              <w:rPr>
                <w:rFonts w:hint="eastAsia"/>
                <w:color w:val="auto"/>
                <w:sz w:val="21"/>
                <w:szCs w:val="21"/>
                <w:highlight w:val="none"/>
                <w:u w:val="single"/>
              </w:rPr>
              <w:t>2、严格按照《报告书》提出的防治措施和要求进行处理施工期固体废物。</w:t>
            </w:r>
          </w:p>
          <w:p w14:paraId="7D24FC1C">
            <w:pPr>
              <w:spacing w:line="240" w:lineRule="auto"/>
              <w:ind w:firstLine="420"/>
              <w:rPr>
                <w:color w:val="auto"/>
                <w:sz w:val="21"/>
                <w:szCs w:val="21"/>
                <w:highlight w:val="none"/>
                <w:u w:val="single"/>
              </w:rPr>
            </w:pPr>
            <w:r>
              <w:rPr>
                <w:rFonts w:hint="eastAsia"/>
                <w:color w:val="auto"/>
                <w:sz w:val="21"/>
                <w:szCs w:val="21"/>
                <w:highlight w:val="none"/>
                <w:u w:val="single"/>
              </w:rPr>
              <w:t>3、严格按照《沿海海域船舶排污设备铅封程序规定》要求收集施工船舶产生的含油污水，交由苏南船舶服务有限公司进行处理；生活污水集中收集并妥善处理。</w:t>
            </w:r>
          </w:p>
          <w:p w14:paraId="0EE8B157">
            <w:pPr>
              <w:spacing w:line="240" w:lineRule="auto"/>
              <w:ind w:firstLine="420"/>
              <w:rPr>
                <w:color w:val="auto"/>
                <w:sz w:val="21"/>
                <w:szCs w:val="21"/>
                <w:highlight w:val="none"/>
                <w:u w:val="single"/>
              </w:rPr>
            </w:pPr>
            <w:r>
              <w:rPr>
                <w:rFonts w:hint="eastAsia"/>
                <w:color w:val="auto"/>
                <w:sz w:val="21"/>
                <w:szCs w:val="21"/>
                <w:highlight w:val="none"/>
                <w:u w:val="single"/>
              </w:rPr>
              <w:t>4、施工过程中密切注意施工区及其周边海域的水质变化，如发现因施工引起水质变化而对周边海域海洋生物产生不良影响，立即采取措施，必要时可短暂停工。</w:t>
            </w:r>
          </w:p>
          <w:p w14:paraId="0FE81121">
            <w:pPr>
              <w:spacing w:line="240" w:lineRule="auto"/>
              <w:ind w:firstLine="420"/>
              <w:rPr>
                <w:color w:val="auto"/>
                <w:highlight w:val="none"/>
                <w:u w:val="single"/>
              </w:rPr>
            </w:pPr>
            <w:r>
              <w:rPr>
                <w:rFonts w:hint="eastAsia"/>
                <w:color w:val="auto"/>
                <w:sz w:val="21"/>
                <w:szCs w:val="21"/>
                <w:highlight w:val="none"/>
                <w:u w:val="single"/>
              </w:rPr>
              <w:t>5、严格按照《中华人民共和国渔业法》《中华人民共和国海洋环境保护法》《中国水生生物资源养护行动纲要》等法律法规和有关规定处理好资源补偿、赔偿、生态补偿和修复等问题。</w:t>
            </w:r>
          </w:p>
        </w:tc>
      </w:tr>
      <w:tr w14:paraId="156784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226" w:type="pct"/>
            <w:tcBorders>
              <w:tl2br w:val="nil"/>
              <w:tr2bl w:val="nil"/>
            </w:tcBorders>
            <w:vAlign w:val="center"/>
          </w:tcPr>
          <w:p w14:paraId="0EFBDA16">
            <w:pPr>
              <w:spacing w:line="240" w:lineRule="auto"/>
              <w:ind w:firstLine="0" w:firstLineChars="0"/>
              <w:jc w:val="center"/>
              <w:rPr>
                <w:color w:val="auto"/>
                <w:sz w:val="21"/>
                <w:szCs w:val="21"/>
                <w:highlight w:val="none"/>
                <w:u w:val="single"/>
              </w:rPr>
            </w:pPr>
            <w:r>
              <w:rPr>
                <w:color w:val="auto"/>
                <w:sz w:val="21"/>
                <w:szCs w:val="21"/>
                <w:highlight w:val="none"/>
                <w:u w:val="single"/>
              </w:rPr>
              <w:t>3</w:t>
            </w:r>
          </w:p>
        </w:tc>
        <w:tc>
          <w:tcPr>
            <w:tcW w:w="2218" w:type="pct"/>
            <w:tcBorders>
              <w:tl2br w:val="nil"/>
              <w:tr2bl w:val="nil"/>
            </w:tcBorders>
            <w:vAlign w:val="center"/>
          </w:tcPr>
          <w:p w14:paraId="6EEA4911">
            <w:pPr>
              <w:spacing w:line="240" w:lineRule="auto"/>
              <w:ind w:firstLine="420"/>
              <w:rPr>
                <w:color w:val="auto"/>
                <w:sz w:val="21"/>
                <w:szCs w:val="21"/>
                <w:highlight w:val="none"/>
                <w:u w:val="single"/>
              </w:rPr>
            </w:pPr>
            <w:r>
              <w:rPr>
                <w:rFonts w:hint="eastAsia"/>
                <w:color w:val="auto"/>
                <w:sz w:val="21"/>
                <w:szCs w:val="21"/>
                <w:highlight w:val="none"/>
                <w:u w:val="single"/>
              </w:rPr>
              <w:t>落实大气污染防治措施。</w:t>
            </w:r>
          </w:p>
          <w:p w14:paraId="2D021188">
            <w:pPr>
              <w:spacing w:line="240" w:lineRule="auto"/>
              <w:ind w:firstLine="420"/>
              <w:rPr>
                <w:color w:val="auto"/>
                <w:sz w:val="21"/>
                <w:szCs w:val="21"/>
                <w:highlight w:val="none"/>
                <w:u w:val="single"/>
              </w:rPr>
            </w:pPr>
            <w:r>
              <w:rPr>
                <w:rFonts w:hint="eastAsia"/>
                <w:color w:val="auto"/>
                <w:sz w:val="21"/>
                <w:szCs w:val="21"/>
                <w:highlight w:val="none"/>
                <w:u w:val="single"/>
              </w:rPr>
              <w:t>选用高质量装卸机械设备和燃料，强化各装置节能降耗措施。使用配有焊接烟尘净化装置的设施设备进行焊接作业。加强现场管理，控制无组织废气排放。建设岸基供电设施，运营期船舶靠港后应正常使用岸电，以减少大气污染物的产生量和排放量。</w:t>
            </w:r>
          </w:p>
        </w:tc>
        <w:tc>
          <w:tcPr>
            <w:tcW w:w="2554" w:type="pct"/>
            <w:tcBorders>
              <w:tl2br w:val="nil"/>
              <w:tr2bl w:val="nil"/>
            </w:tcBorders>
          </w:tcPr>
          <w:p w14:paraId="436747BA">
            <w:pPr>
              <w:spacing w:line="240" w:lineRule="auto"/>
              <w:ind w:firstLine="420"/>
              <w:rPr>
                <w:color w:val="auto"/>
                <w:kern w:val="2"/>
                <w:sz w:val="21"/>
                <w:szCs w:val="21"/>
                <w:highlight w:val="none"/>
                <w:u w:val="single"/>
              </w:rPr>
            </w:pPr>
            <w:r>
              <w:rPr>
                <w:color w:val="auto"/>
                <w:kern w:val="2"/>
                <w:sz w:val="21"/>
                <w:szCs w:val="21"/>
                <w:highlight w:val="none"/>
                <w:u w:val="single"/>
              </w:rPr>
              <w:t>已落实。</w:t>
            </w:r>
          </w:p>
          <w:p w14:paraId="6C3782AF">
            <w:pPr>
              <w:numPr>
                <w:ilvl w:val="0"/>
                <w:numId w:val="16"/>
              </w:numPr>
              <w:spacing w:line="240" w:lineRule="auto"/>
              <w:ind w:firstLine="420"/>
              <w:rPr>
                <w:color w:val="auto"/>
                <w:sz w:val="21"/>
                <w:szCs w:val="21"/>
                <w:highlight w:val="none"/>
                <w:u w:val="single"/>
              </w:rPr>
            </w:pPr>
            <w:r>
              <w:rPr>
                <w:rFonts w:hint="eastAsia"/>
                <w:color w:val="auto"/>
                <w:sz w:val="21"/>
                <w:szCs w:val="21"/>
                <w:highlight w:val="none"/>
                <w:u w:val="single"/>
              </w:rPr>
              <w:t>选用高质量装卸机械设备和燃料，强化各装置节能降耗措施。</w:t>
            </w:r>
          </w:p>
          <w:p w14:paraId="289D64CB">
            <w:pPr>
              <w:numPr>
                <w:ilvl w:val="0"/>
                <w:numId w:val="16"/>
              </w:numPr>
              <w:spacing w:line="240" w:lineRule="auto"/>
              <w:ind w:firstLine="420"/>
              <w:rPr>
                <w:color w:val="auto"/>
                <w:sz w:val="21"/>
                <w:szCs w:val="21"/>
                <w:highlight w:val="none"/>
                <w:u w:val="single"/>
              </w:rPr>
            </w:pPr>
            <w:r>
              <w:rPr>
                <w:rFonts w:hint="eastAsia"/>
                <w:color w:val="auto"/>
                <w:sz w:val="21"/>
                <w:szCs w:val="21"/>
                <w:highlight w:val="none"/>
                <w:u w:val="single"/>
              </w:rPr>
              <w:t>使用配有焊接烟尘净化装置的设施设备进行焊接作业。加强现场管理，控制无组织废气排放。</w:t>
            </w:r>
          </w:p>
          <w:p w14:paraId="393084E8">
            <w:pPr>
              <w:numPr>
                <w:ilvl w:val="0"/>
                <w:numId w:val="16"/>
              </w:numPr>
              <w:spacing w:line="240" w:lineRule="auto"/>
              <w:ind w:firstLine="420"/>
              <w:rPr>
                <w:color w:val="auto"/>
                <w:sz w:val="21"/>
                <w:szCs w:val="21"/>
                <w:highlight w:val="none"/>
                <w:u w:val="single"/>
              </w:rPr>
            </w:pPr>
            <w:r>
              <w:rPr>
                <w:rFonts w:hint="eastAsia"/>
                <w:color w:val="auto"/>
                <w:sz w:val="21"/>
                <w:szCs w:val="21"/>
                <w:highlight w:val="none"/>
                <w:u w:val="single"/>
              </w:rPr>
              <w:t>建设岸基供电设施，运营期船舶靠港后应正常使用岸电，以减少大气污染物的产生量和排放量。</w:t>
            </w:r>
          </w:p>
        </w:tc>
      </w:tr>
      <w:tr w14:paraId="35823B8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226" w:type="pct"/>
            <w:tcBorders>
              <w:tl2br w:val="nil"/>
              <w:tr2bl w:val="nil"/>
            </w:tcBorders>
            <w:vAlign w:val="center"/>
          </w:tcPr>
          <w:p w14:paraId="3F60B7D3">
            <w:pPr>
              <w:spacing w:line="240" w:lineRule="auto"/>
              <w:ind w:firstLine="0" w:firstLineChars="0"/>
              <w:jc w:val="center"/>
              <w:rPr>
                <w:color w:val="auto"/>
                <w:sz w:val="21"/>
                <w:szCs w:val="21"/>
                <w:highlight w:val="none"/>
                <w:u w:val="single"/>
              </w:rPr>
            </w:pPr>
            <w:r>
              <w:rPr>
                <w:color w:val="auto"/>
                <w:sz w:val="21"/>
                <w:szCs w:val="21"/>
                <w:highlight w:val="none"/>
                <w:u w:val="single"/>
              </w:rPr>
              <w:t>4</w:t>
            </w:r>
          </w:p>
        </w:tc>
        <w:tc>
          <w:tcPr>
            <w:tcW w:w="2218" w:type="pct"/>
            <w:tcBorders>
              <w:tl2br w:val="nil"/>
              <w:tr2bl w:val="nil"/>
            </w:tcBorders>
            <w:vAlign w:val="center"/>
          </w:tcPr>
          <w:p w14:paraId="7C78F390">
            <w:pPr>
              <w:spacing w:line="240" w:lineRule="auto"/>
              <w:ind w:firstLine="420"/>
              <w:rPr>
                <w:color w:val="auto"/>
                <w:sz w:val="21"/>
                <w:szCs w:val="21"/>
                <w:highlight w:val="none"/>
                <w:u w:val="single"/>
              </w:rPr>
            </w:pPr>
            <w:r>
              <w:rPr>
                <w:rFonts w:hint="eastAsia"/>
                <w:color w:val="auto"/>
                <w:sz w:val="21"/>
                <w:szCs w:val="21"/>
                <w:highlight w:val="none"/>
                <w:u w:val="single"/>
              </w:rPr>
              <w:t>落实水污染防治措施。</w:t>
            </w:r>
          </w:p>
          <w:p w14:paraId="4724DA51">
            <w:pPr>
              <w:spacing w:line="240" w:lineRule="auto"/>
              <w:ind w:firstLine="420"/>
              <w:rPr>
                <w:color w:val="auto"/>
                <w:sz w:val="21"/>
                <w:szCs w:val="21"/>
                <w:highlight w:val="none"/>
                <w:u w:val="single"/>
              </w:rPr>
            </w:pPr>
            <w:r>
              <w:rPr>
                <w:rFonts w:hint="eastAsia"/>
                <w:color w:val="auto"/>
                <w:sz w:val="21"/>
                <w:szCs w:val="21"/>
                <w:highlight w:val="none"/>
                <w:u w:val="single"/>
              </w:rPr>
              <w:t>按照有关规定及《报告书》要求设置足够容积的初期雨水收集池，码头冲洗废水、初期雨水以及生活污水经收集后依托厂区现有污水处理设施进行处理。进港靠泊船舶生活污水、舱底油污水等收集后按规定交由有资质单位进行处理，不得随意乱排乱放。</w:t>
            </w:r>
          </w:p>
        </w:tc>
        <w:tc>
          <w:tcPr>
            <w:tcW w:w="2554" w:type="pct"/>
            <w:tcBorders>
              <w:tl2br w:val="nil"/>
              <w:tr2bl w:val="nil"/>
            </w:tcBorders>
          </w:tcPr>
          <w:p w14:paraId="6BD82AC4">
            <w:pPr>
              <w:spacing w:line="240" w:lineRule="auto"/>
              <w:ind w:firstLine="420"/>
              <w:rPr>
                <w:color w:val="auto"/>
                <w:sz w:val="21"/>
                <w:szCs w:val="21"/>
                <w:highlight w:val="none"/>
                <w:u w:val="single"/>
              </w:rPr>
            </w:pPr>
            <w:r>
              <w:rPr>
                <w:rFonts w:hint="eastAsia"/>
                <w:color w:val="auto"/>
                <w:sz w:val="21"/>
                <w:szCs w:val="21"/>
                <w:highlight w:val="none"/>
                <w:u w:val="single"/>
              </w:rPr>
              <w:t>已落实。</w:t>
            </w:r>
          </w:p>
          <w:p w14:paraId="5EED9D22">
            <w:pPr>
              <w:numPr>
                <w:ilvl w:val="0"/>
                <w:numId w:val="17"/>
              </w:numPr>
              <w:spacing w:line="240" w:lineRule="auto"/>
              <w:ind w:firstLine="420"/>
              <w:rPr>
                <w:color w:val="auto"/>
                <w:sz w:val="21"/>
                <w:szCs w:val="21"/>
                <w:highlight w:val="none"/>
                <w:u w:val="single"/>
              </w:rPr>
            </w:pPr>
            <w:r>
              <w:rPr>
                <w:rFonts w:hint="eastAsia"/>
                <w:color w:val="auto"/>
                <w:sz w:val="21"/>
                <w:szCs w:val="21"/>
                <w:highlight w:val="none"/>
                <w:u w:val="single"/>
              </w:rPr>
              <w:t>设置足够容积的初期雨水收集池，码头冲洗废水、初期雨水以及生活污水经收集后依托厂区现有污水处理设施进行处理。</w:t>
            </w:r>
          </w:p>
          <w:p w14:paraId="5CB20BF9">
            <w:pPr>
              <w:numPr>
                <w:ilvl w:val="0"/>
                <w:numId w:val="17"/>
              </w:numPr>
              <w:spacing w:line="240" w:lineRule="auto"/>
              <w:ind w:firstLine="420"/>
              <w:rPr>
                <w:color w:val="auto"/>
                <w:highlight w:val="none"/>
                <w:u w:val="single"/>
              </w:rPr>
            </w:pPr>
            <w:r>
              <w:rPr>
                <w:rFonts w:hint="eastAsia"/>
                <w:color w:val="auto"/>
                <w:sz w:val="21"/>
                <w:szCs w:val="21"/>
                <w:highlight w:val="none"/>
                <w:u w:val="single"/>
              </w:rPr>
              <w:t>进港靠泊船舶生活污水、舱底油污水等收集后按规定交由苏南船舶服务有限公司进行处理。</w:t>
            </w:r>
          </w:p>
        </w:tc>
      </w:tr>
      <w:tr w14:paraId="1758FE1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226" w:type="pct"/>
            <w:tcBorders>
              <w:tl2br w:val="nil"/>
              <w:tr2bl w:val="nil"/>
            </w:tcBorders>
            <w:vAlign w:val="center"/>
          </w:tcPr>
          <w:p w14:paraId="60319ADA">
            <w:pPr>
              <w:spacing w:line="240" w:lineRule="auto"/>
              <w:ind w:firstLine="0" w:firstLineChars="0"/>
              <w:jc w:val="center"/>
              <w:rPr>
                <w:color w:val="auto"/>
                <w:sz w:val="21"/>
                <w:szCs w:val="21"/>
                <w:highlight w:val="none"/>
                <w:u w:val="single"/>
              </w:rPr>
            </w:pPr>
            <w:r>
              <w:rPr>
                <w:color w:val="auto"/>
                <w:sz w:val="21"/>
                <w:szCs w:val="21"/>
                <w:highlight w:val="none"/>
                <w:u w:val="single"/>
              </w:rPr>
              <w:t>5</w:t>
            </w:r>
          </w:p>
        </w:tc>
        <w:tc>
          <w:tcPr>
            <w:tcW w:w="2218" w:type="pct"/>
            <w:tcBorders>
              <w:tl2br w:val="nil"/>
              <w:tr2bl w:val="nil"/>
            </w:tcBorders>
            <w:vAlign w:val="center"/>
          </w:tcPr>
          <w:p w14:paraId="6A0E98F9">
            <w:pPr>
              <w:spacing w:line="240" w:lineRule="auto"/>
              <w:ind w:firstLine="420"/>
              <w:rPr>
                <w:color w:val="auto"/>
                <w:sz w:val="21"/>
                <w:szCs w:val="21"/>
                <w:highlight w:val="none"/>
                <w:u w:val="single"/>
              </w:rPr>
            </w:pPr>
            <w:r>
              <w:rPr>
                <w:rFonts w:hint="eastAsia"/>
                <w:color w:val="auto"/>
                <w:sz w:val="21"/>
                <w:szCs w:val="21"/>
                <w:highlight w:val="none"/>
                <w:u w:val="single"/>
              </w:rPr>
              <w:t>落实固体废物污染防治措施。</w:t>
            </w:r>
          </w:p>
          <w:p w14:paraId="4D0F8B5B">
            <w:pPr>
              <w:spacing w:line="240" w:lineRule="auto"/>
              <w:ind w:firstLine="420"/>
              <w:rPr>
                <w:color w:val="auto"/>
                <w:sz w:val="21"/>
                <w:szCs w:val="21"/>
                <w:highlight w:val="none"/>
                <w:u w:val="single"/>
              </w:rPr>
            </w:pPr>
            <w:r>
              <w:rPr>
                <w:rFonts w:hint="eastAsia"/>
                <w:color w:val="auto"/>
                <w:sz w:val="21"/>
                <w:szCs w:val="21"/>
                <w:highlight w:val="none"/>
                <w:u w:val="single"/>
              </w:rPr>
              <w:t>项目产生的废矿物油、废油漆桶等危险废物须交由有资质单位进行处置，其收集、贮存须严格执行《危险废物贮存污染控制标准》( GB18597-2001 )及其修改单等有关规定和要求，并严格执行危险废物申报登记和转移联单制度，严格危险废物规范化管理。初期雨水收集池沉渣、码头生活垃圾收集后定期清运妥善处理。到港船舶检修废物、生活垃圾收集后按规定交由有资质单位接收处理。</w:t>
            </w:r>
          </w:p>
        </w:tc>
        <w:tc>
          <w:tcPr>
            <w:tcW w:w="2554" w:type="pct"/>
            <w:tcBorders>
              <w:tl2br w:val="nil"/>
              <w:tr2bl w:val="nil"/>
            </w:tcBorders>
          </w:tcPr>
          <w:p w14:paraId="68620869">
            <w:pPr>
              <w:spacing w:line="240" w:lineRule="auto"/>
              <w:ind w:firstLine="420"/>
              <w:rPr>
                <w:color w:val="auto"/>
                <w:sz w:val="21"/>
                <w:szCs w:val="21"/>
                <w:highlight w:val="none"/>
                <w:u w:val="single"/>
              </w:rPr>
            </w:pPr>
            <w:r>
              <w:rPr>
                <w:color w:val="auto"/>
                <w:sz w:val="21"/>
                <w:szCs w:val="21"/>
                <w:highlight w:val="none"/>
                <w:u w:val="single"/>
              </w:rPr>
              <w:t>已落实。</w:t>
            </w:r>
          </w:p>
          <w:p w14:paraId="13E982A2">
            <w:pPr>
              <w:numPr>
                <w:ilvl w:val="0"/>
                <w:numId w:val="18"/>
              </w:numPr>
              <w:spacing w:line="240" w:lineRule="auto"/>
              <w:ind w:firstLine="420"/>
              <w:rPr>
                <w:color w:val="auto"/>
                <w:sz w:val="21"/>
                <w:szCs w:val="21"/>
                <w:highlight w:val="none"/>
                <w:u w:val="single"/>
              </w:rPr>
            </w:pPr>
            <w:r>
              <w:rPr>
                <w:rFonts w:hint="eastAsia"/>
                <w:color w:val="auto"/>
                <w:sz w:val="21"/>
                <w:szCs w:val="21"/>
                <w:highlight w:val="none"/>
                <w:u w:val="single"/>
              </w:rPr>
              <w:t>项目产生的废矿物油、废油漆桶等危险废物交由有资质单位进行处置，严格执行危险废物申报登记和转移联单制度，严格危险废物规范化管理。</w:t>
            </w:r>
          </w:p>
          <w:p w14:paraId="00453634">
            <w:pPr>
              <w:pStyle w:val="91"/>
              <w:numPr>
                <w:ilvl w:val="0"/>
                <w:numId w:val="18"/>
              </w:numPr>
              <w:spacing w:after="0"/>
              <w:ind w:left="0" w:leftChars="0"/>
              <w:rPr>
                <w:color w:val="auto"/>
                <w:szCs w:val="21"/>
                <w:highlight w:val="none"/>
                <w:u w:val="single"/>
              </w:rPr>
            </w:pPr>
            <w:r>
              <w:rPr>
                <w:rFonts w:hint="eastAsia"/>
                <w:color w:val="auto"/>
                <w:szCs w:val="21"/>
                <w:highlight w:val="none"/>
                <w:u w:val="single"/>
              </w:rPr>
              <w:t>初期雨水收集池沉渣、码头生活垃圾收集后定期清运妥善处理。</w:t>
            </w:r>
          </w:p>
          <w:p w14:paraId="7A3D28F3">
            <w:pPr>
              <w:spacing w:line="240" w:lineRule="auto"/>
              <w:ind w:firstLine="420"/>
              <w:rPr>
                <w:color w:val="auto"/>
                <w:highlight w:val="none"/>
                <w:u w:val="single"/>
              </w:rPr>
            </w:pPr>
            <w:r>
              <w:rPr>
                <w:rFonts w:hint="eastAsia"/>
                <w:color w:val="auto"/>
                <w:sz w:val="21"/>
                <w:szCs w:val="21"/>
                <w:highlight w:val="none"/>
                <w:u w:val="single"/>
              </w:rPr>
              <w:t>3、到港船舶检修废物、生活垃圾收集后按规定交由苏南船舶服务有限公司接收处理。</w:t>
            </w:r>
          </w:p>
        </w:tc>
      </w:tr>
      <w:tr w14:paraId="6CEA276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226" w:type="pct"/>
            <w:tcBorders>
              <w:tl2br w:val="nil"/>
              <w:tr2bl w:val="nil"/>
            </w:tcBorders>
            <w:vAlign w:val="center"/>
          </w:tcPr>
          <w:p w14:paraId="4C18C4B2">
            <w:pPr>
              <w:spacing w:line="240" w:lineRule="auto"/>
              <w:ind w:firstLine="0" w:firstLineChars="0"/>
              <w:jc w:val="center"/>
              <w:rPr>
                <w:color w:val="auto"/>
                <w:sz w:val="21"/>
                <w:szCs w:val="21"/>
                <w:highlight w:val="none"/>
                <w:u w:val="single"/>
              </w:rPr>
            </w:pPr>
            <w:r>
              <w:rPr>
                <w:color w:val="auto"/>
                <w:sz w:val="21"/>
                <w:szCs w:val="21"/>
                <w:highlight w:val="none"/>
                <w:u w:val="single"/>
              </w:rPr>
              <w:t>6</w:t>
            </w:r>
          </w:p>
        </w:tc>
        <w:tc>
          <w:tcPr>
            <w:tcW w:w="2218" w:type="pct"/>
            <w:tcBorders>
              <w:tl2br w:val="nil"/>
              <w:tr2bl w:val="nil"/>
            </w:tcBorders>
            <w:vAlign w:val="center"/>
          </w:tcPr>
          <w:p w14:paraId="6D3EC2AB">
            <w:pPr>
              <w:spacing w:line="240" w:lineRule="auto"/>
              <w:ind w:firstLine="420"/>
              <w:rPr>
                <w:color w:val="auto"/>
                <w:sz w:val="21"/>
                <w:szCs w:val="21"/>
                <w:highlight w:val="none"/>
                <w:u w:val="single"/>
              </w:rPr>
            </w:pPr>
            <w:r>
              <w:rPr>
                <w:rFonts w:hint="eastAsia"/>
                <w:color w:val="auto"/>
                <w:sz w:val="21"/>
                <w:szCs w:val="21"/>
                <w:highlight w:val="none"/>
                <w:u w:val="single"/>
              </w:rPr>
              <w:t>落实噪声污染防治措施。</w:t>
            </w:r>
          </w:p>
          <w:p w14:paraId="1BBF0A71">
            <w:pPr>
              <w:spacing w:line="240" w:lineRule="auto"/>
              <w:ind w:firstLine="420"/>
              <w:rPr>
                <w:color w:val="auto"/>
                <w:sz w:val="21"/>
                <w:szCs w:val="21"/>
                <w:highlight w:val="none"/>
                <w:u w:val="single"/>
              </w:rPr>
            </w:pPr>
            <w:r>
              <w:rPr>
                <w:rFonts w:hint="eastAsia"/>
                <w:color w:val="auto"/>
                <w:sz w:val="21"/>
                <w:szCs w:val="21"/>
                <w:highlight w:val="none"/>
                <w:u w:val="single"/>
              </w:rPr>
              <w:t>使用先进的、噪声小的设施设备，并对噪声、振动较大的设施设备采取有效消声、减震措施。加强设施设备的保养维修，保持正常运行、正常运转，降低噪声产生。</w:t>
            </w:r>
          </w:p>
        </w:tc>
        <w:tc>
          <w:tcPr>
            <w:tcW w:w="2554" w:type="pct"/>
            <w:tcBorders>
              <w:tl2br w:val="nil"/>
              <w:tr2bl w:val="nil"/>
            </w:tcBorders>
          </w:tcPr>
          <w:p w14:paraId="0B004F52">
            <w:pPr>
              <w:spacing w:line="240" w:lineRule="auto"/>
              <w:ind w:firstLine="420"/>
              <w:rPr>
                <w:color w:val="auto"/>
                <w:sz w:val="21"/>
                <w:szCs w:val="21"/>
                <w:highlight w:val="none"/>
                <w:u w:val="single"/>
              </w:rPr>
            </w:pPr>
            <w:r>
              <w:rPr>
                <w:color w:val="auto"/>
                <w:sz w:val="21"/>
                <w:szCs w:val="21"/>
                <w:highlight w:val="none"/>
                <w:u w:val="single"/>
              </w:rPr>
              <w:t>已落实。</w:t>
            </w:r>
          </w:p>
          <w:p w14:paraId="25EFAE18">
            <w:pPr>
              <w:numPr>
                <w:ilvl w:val="0"/>
                <w:numId w:val="19"/>
              </w:numPr>
              <w:spacing w:line="240" w:lineRule="auto"/>
              <w:ind w:firstLine="420"/>
              <w:rPr>
                <w:color w:val="auto"/>
                <w:sz w:val="21"/>
                <w:szCs w:val="21"/>
                <w:highlight w:val="none"/>
                <w:u w:val="single"/>
              </w:rPr>
            </w:pPr>
            <w:r>
              <w:rPr>
                <w:rFonts w:hint="eastAsia"/>
                <w:color w:val="auto"/>
                <w:sz w:val="21"/>
                <w:szCs w:val="21"/>
                <w:highlight w:val="none"/>
                <w:u w:val="single"/>
              </w:rPr>
              <w:t>使用先进的、噪声小的设施设备，并对噪声、振动较大的设施设备采取有效消声、减震措施。</w:t>
            </w:r>
          </w:p>
          <w:p w14:paraId="76F6961F">
            <w:pPr>
              <w:numPr>
                <w:ilvl w:val="0"/>
                <w:numId w:val="19"/>
              </w:numPr>
              <w:spacing w:line="240" w:lineRule="auto"/>
              <w:ind w:firstLine="420"/>
              <w:rPr>
                <w:color w:val="auto"/>
                <w:sz w:val="21"/>
                <w:szCs w:val="21"/>
                <w:highlight w:val="none"/>
                <w:u w:val="single"/>
              </w:rPr>
            </w:pPr>
            <w:r>
              <w:rPr>
                <w:rFonts w:hint="eastAsia"/>
                <w:color w:val="auto"/>
                <w:sz w:val="21"/>
                <w:szCs w:val="21"/>
                <w:highlight w:val="none"/>
                <w:u w:val="single"/>
              </w:rPr>
              <w:t>加强设施设备的保养维修，保持正常运行、正常运转，降低噪声产生。</w:t>
            </w:r>
          </w:p>
        </w:tc>
      </w:tr>
      <w:tr w14:paraId="074D10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226" w:type="pct"/>
            <w:tcBorders>
              <w:tl2br w:val="nil"/>
              <w:tr2bl w:val="nil"/>
            </w:tcBorders>
            <w:vAlign w:val="center"/>
          </w:tcPr>
          <w:p w14:paraId="6DF7B70C">
            <w:pPr>
              <w:spacing w:line="240" w:lineRule="auto"/>
              <w:ind w:firstLine="0" w:firstLineChars="0"/>
              <w:jc w:val="center"/>
              <w:rPr>
                <w:color w:val="auto"/>
                <w:sz w:val="21"/>
                <w:szCs w:val="21"/>
                <w:highlight w:val="none"/>
                <w:u w:val="single"/>
              </w:rPr>
            </w:pPr>
          </w:p>
        </w:tc>
        <w:tc>
          <w:tcPr>
            <w:tcW w:w="2218" w:type="pct"/>
            <w:tcBorders>
              <w:tl2br w:val="nil"/>
              <w:tr2bl w:val="nil"/>
            </w:tcBorders>
            <w:vAlign w:val="center"/>
          </w:tcPr>
          <w:p w14:paraId="53362C96">
            <w:pPr>
              <w:spacing w:line="240" w:lineRule="auto"/>
              <w:ind w:firstLine="420"/>
              <w:rPr>
                <w:color w:val="auto"/>
                <w:sz w:val="21"/>
                <w:szCs w:val="21"/>
                <w:highlight w:val="none"/>
                <w:u w:val="single"/>
              </w:rPr>
            </w:pPr>
            <w:r>
              <w:rPr>
                <w:rFonts w:hint="eastAsia"/>
                <w:color w:val="auto"/>
                <w:sz w:val="21"/>
                <w:szCs w:val="21"/>
                <w:highlight w:val="none"/>
                <w:u w:val="single"/>
              </w:rPr>
              <w:t>严格落实环境风险防控措施，有效防控环境风险。</w:t>
            </w:r>
          </w:p>
          <w:p w14:paraId="60595F9D">
            <w:pPr>
              <w:spacing w:line="240" w:lineRule="auto"/>
              <w:ind w:firstLine="420"/>
              <w:rPr>
                <w:color w:val="auto"/>
                <w:sz w:val="21"/>
                <w:szCs w:val="21"/>
                <w:highlight w:val="none"/>
                <w:u w:val="single"/>
              </w:rPr>
            </w:pPr>
            <w:r>
              <w:rPr>
                <w:rFonts w:hint="eastAsia"/>
                <w:color w:val="auto"/>
                <w:sz w:val="21"/>
                <w:szCs w:val="21"/>
                <w:highlight w:val="none"/>
                <w:u w:val="single"/>
              </w:rPr>
              <w:t>按照《企业事业单位突发环境事件应急预案备案管理办法(试行)》《突发环境事件应急管理办法》等有关要求，重新制定突发环境事件应急预案并报当地生态环境主管部门备案，定期组织应急演练。根据《港口码头水上污染事故应急防备能力要求》(JT/T451-2017)等有关要求，配备围油栏、收油机、拖油网等风险应急物资和设备。根据《企业突发环境事件隐患排查和治理工作指南( 试行)》以及结合本项目环境风险事故特点等有关要求，制定环境安全隐患排查治理制度，建立健全隐患排查治理档案。</w:t>
            </w:r>
          </w:p>
        </w:tc>
        <w:tc>
          <w:tcPr>
            <w:tcW w:w="2554" w:type="pct"/>
            <w:tcBorders>
              <w:tl2br w:val="nil"/>
              <w:tr2bl w:val="nil"/>
            </w:tcBorders>
          </w:tcPr>
          <w:p w14:paraId="5FB6042B">
            <w:pPr>
              <w:spacing w:line="240" w:lineRule="auto"/>
              <w:ind w:firstLine="420"/>
              <w:rPr>
                <w:color w:val="auto"/>
                <w:sz w:val="21"/>
                <w:szCs w:val="21"/>
                <w:highlight w:val="none"/>
                <w:u w:val="single"/>
              </w:rPr>
            </w:pPr>
            <w:r>
              <w:rPr>
                <w:rFonts w:hint="eastAsia"/>
                <w:color w:val="auto"/>
                <w:sz w:val="21"/>
                <w:szCs w:val="21"/>
                <w:highlight w:val="none"/>
                <w:u w:val="single"/>
              </w:rPr>
              <w:t>基本落实。</w:t>
            </w:r>
          </w:p>
          <w:p w14:paraId="64CAC24E">
            <w:pPr>
              <w:spacing w:line="240" w:lineRule="auto"/>
              <w:ind w:firstLine="420"/>
              <w:rPr>
                <w:color w:val="auto"/>
                <w:sz w:val="21"/>
                <w:szCs w:val="21"/>
                <w:highlight w:val="none"/>
                <w:u w:val="single"/>
              </w:rPr>
            </w:pPr>
            <w:r>
              <w:rPr>
                <w:rFonts w:hint="eastAsia"/>
                <w:color w:val="auto"/>
                <w:sz w:val="21"/>
                <w:szCs w:val="21"/>
                <w:highlight w:val="none"/>
                <w:u w:val="single"/>
              </w:rPr>
              <w:t>1、按照《企业事业单位突发环境事件应急预案备案管理办法(试行)》《突发环境事件应急管理办法》等有关要求，已编制突发环境事件应急预案并报当地生态环境主管部门备案，定期组织应急演练。</w:t>
            </w:r>
          </w:p>
          <w:p w14:paraId="518D1EA0">
            <w:pPr>
              <w:spacing w:line="240" w:lineRule="auto"/>
              <w:ind w:firstLine="420"/>
              <w:rPr>
                <w:color w:val="auto"/>
                <w:sz w:val="21"/>
                <w:szCs w:val="21"/>
                <w:highlight w:val="none"/>
                <w:u w:val="single"/>
              </w:rPr>
            </w:pPr>
            <w:r>
              <w:rPr>
                <w:rFonts w:hint="eastAsia"/>
                <w:color w:val="auto"/>
                <w:sz w:val="21"/>
                <w:szCs w:val="21"/>
                <w:highlight w:val="none"/>
                <w:u w:val="single"/>
              </w:rPr>
              <w:t>2、已配备围油栏、收油机、拖油网等风险应急物资和设备。</w:t>
            </w:r>
          </w:p>
          <w:p w14:paraId="2DDCB65E">
            <w:pPr>
              <w:spacing w:line="240" w:lineRule="auto"/>
              <w:ind w:firstLine="420"/>
              <w:rPr>
                <w:color w:val="auto"/>
                <w:highlight w:val="none"/>
                <w:u w:val="single"/>
              </w:rPr>
            </w:pPr>
            <w:r>
              <w:rPr>
                <w:rFonts w:hint="eastAsia"/>
                <w:color w:val="auto"/>
                <w:sz w:val="21"/>
                <w:szCs w:val="21"/>
                <w:highlight w:val="none"/>
                <w:u w:val="single"/>
              </w:rPr>
              <w:t>3、根据《企业突发环境事件隐患排查和治理工作指南(试行)》以及结合本项目环境风险事故特点等有关要求，制定环境安全隐患排查治理制度，建立健全隐患排查治理档案。</w:t>
            </w:r>
          </w:p>
        </w:tc>
      </w:tr>
      <w:tr w14:paraId="31FE3B6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226" w:type="pct"/>
            <w:tcBorders>
              <w:tl2br w:val="nil"/>
              <w:tr2bl w:val="nil"/>
            </w:tcBorders>
            <w:vAlign w:val="center"/>
          </w:tcPr>
          <w:p w14:paraId="3283100F">
            <w:pPr>
              <w:spacing w:line="240" w:lineRule="auto"/>
              <w:ind w:firstLine="0" w:firstLineChars="0"/>
              <w:jc w:val="center"/>
              <w:rPr>
                <w:color w:val="auto"/>
                <w:sz w:val="21"/>
                <w:szCs w:val="21"/>
                <w:highlight w:val="none"/>
                <w:u w:val="single"/>
              </w:rPr>
            </w:pPr>
          </w:p>
        </w:tc>
        <w:tc>
          <w:tcPr>
            <w:tcW w:w="2218" w:type="pct"/>
            <w:tcBorders>
              <w:tl2br w:val="nil"/>
              <w:tr2bl w:val="nil"/>
            </w:tcBorders>
            <w:vAlign w:val="center"/>
          </w:tcPr>
          <w:p w14:paraId="690BCBB0">
            <w:pPr>
              <w:pStyle w:val="91"/>
              <w:ind w:left="0" w:leftChars="0"/>
              <w:rPr>
                <w:rFonts w:cs="Times New Roman"/>
                <w:color w:val="auto"/>
                <w:szCs w:val="21"/>
                <w:highlight w:val="none"/>
                <w:u w:val="single"/>
              </w:rPr>
            </w:pPr>
            <w:r>
              <w:rPr>
                <w:rFonts w:hint="eastAsia" w:cs="Times New Roman"/>
                <w:color w:val="auto"/>
                <w:szCs w:val="21"/>
                <w:highlight w:val="none"/>
                <w:u w:val="single"/>
              </w:rPr>
              <w:t>按照有关规定及《报告书》要求公开项目环境信息，接受社会监督，并主动做好项目建设和运营期与周边公众的沟通协调，及时解决公众提出的环境问题，采纳公众的合理意见，满足公众合理的环境诉求。</w:t>
            </w:r>
          </w:p>
        </w:tc>
        <w:tc>
          <w:tcPr>
            <w:tcW w:w="2554" w:type="pct"/>
            <w:tcBorders>
              <w:tl2br w:val="nil"/>
              <w:tr2bl w:val="nil"/>
            </w:tcBorders>
          </w:tcPr>
          <w:p w14:paraId="049220A4">
            <w:pPr>
              <w:spacing w:line="240" w:lineRule="auto"/>
              <w:ind w:firstLine="420"/>
              <w:rPr>
                <w:color w:val="auto"/>
                <w:sz w:val="21"/>
                <w:szCs w:val="21"/>
                <w:highlight w:val="none"/>
                <w:u w:val="single"/>
              </w:rPr>
            </w:pPr>
            <w:r>
              <w:rPr>
                <w:rFonts w:hint="eastAsia"/>
                <w:color w:val="auto"/>
                <w:sz w:val="21"/>
                <w:szCs w:val="21"/>
                <w:highlight w:val="none"/>
                <w:u w:val="single"/>
              </w:rPr>
              <w:t>基本落实。</w:t>
            </w:r>
          </w:p>
          <w:p w14:paraId="74FAF729">
            <w:pPr>
              <w:spacing w:line="240" w:lineRule="auto"/>
              <w:ind w:firstLine="420"/>
              <w:rPr>
                <w:color w:val="auto"/>
                <w:sz w:val="21"/>
                <w:szCs w:val="21"/>
                <w:highlight w:val="none"/>
                <w:u w:val="single"/>
              </w:rPr>
            </w:pPr>
            <w:r>
              <w:rPr>
                <w:rFonts w:hint="eastAsia"/>
                <w:color w:val="auto"/>
                <w:sz w:val="21"/>
                <w:szCs w:val="21"/>
                <w:highlight w:val="none"/>
                <w:u w:val="single"/>
              </w:rPr>
              <w:t>已按照有关规定及《报告书》要求公开项目环境信息，接受社会监督，并主动做好项目建设和运营期与周边公众的沟通协调，及时解决公众提出的环境问题，采纳公众的合理意见，满足公众合理的环境诉求。</w:t>
            </w:r>
          </w:p>
          <w:p w14:paraId="5AE8D9F4">
            <w:pPr>
              <w:spacing w:line="240" w:lineRule="auto"/>
              <w:ind w:firstLine="420"/>
              <w:rPr>
                <w:color w:val="auto"/>
                <w:sz w:val="21"/>
                <w:szCs w:val="21"/>
                <w:highlight w:val="none"/>
                <w:u w:val="single"/>
              </w:rPr>
            </w:pPr>
          </w:p>
        </w:tc>
      </w:tr>
      <w:tr w14:paraId="791ABD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226" w:type="pct"/>
            <w:tcBorders>
              <w:tl2br w:val="nil"/>
              <w:tr2bl w:val="nil"/>
            </w:tcBorders>
            <w:vAlign w:val="center"/>
          </w:tcPr>
          <w:p w14:paraId="013AEA58">
            <w:pPr>
              <w:spacing w:line="240" w:lineRule="auto"/>
              <w:ind w:firstLine="0" w:firstLineChars="0"/>
              <w:jc w:val="center"/>
              <w:rPr>
                <w:color w:val="auto"/>
                <w:sz w:val="21"/>
                <w:szCs w:val="21"/>
                <w:highlight w:val="none"/>
                <w:u w:val="single"/>
              </w:rPr>
            </w:pPr>
          </w:p>
        </w:tc>
        <w:tc>
          <w:tcPr>
            <w:tcW w:w="2218" w:type="pct"/>
            <w:tcBorders>
              <w:tl2br w:val="nil"/>
              <w:tr2bl w:val="nil"/>
            </w:tcBorders>
            <w:vAlign w:val="center"/>
          </w:tcPr>
          <w:p w14:paraId="4C3CDD5A">
            <w:pPr>
              <w:spacing w:line="240" w:lineRule="auto"/>
              <w:ind w:firstLine="420"/>
              <w:rPr>
                <w:color w:val="auto"/>
                <w:sz w:val="21"/>
                <w:szCs w:val="21"/>
                <w:highlight w:val="none"/>
                <w:u w:val="single"/>
              </w:rPr>
            </w:pPr>
            <w:r>
              <w:rPr>
                <w:rFonts w:hint="eastAsia"/>
                <w:color w:val="auto"/>
                <w:sz w:val="21"/>
                <w:szCs w:val="21"/>
                <w:highlight w:val="none"/>
                <w:u w:val="single"/>
              </w:rPr>
              <w:t>按照有关规定以及《报告书》要求落实环境管理和监测计划，并按国家有关要求公开监测信息，接受社会监督。监测结果定期上报当地生态环境主管部门备查，发现问题及时解决。</w:t>
            </w:r>
          </w:p>
        </w:tc>
        <w:tc>
          <w:tcPr>
            <w:tcW w:w="2554" w:type="pct"/>
            <w:tcBorders>
              <w:tl2br w:val="nil"/>
              <w:tr2bl w:val="nil"/>
            </w:tcBorders>
          </w:tcPr>
          <w:p w14:paraId="5604A60E">
            <w:pPr>
              <w:spacing w:line="240" w:lineRule="auto"/>
              <w:ind w:firstLine="420"/>
              <w:rPr>
                <w:color w:val="auto"/>
                <w:sz w:val="21"/>
                <w:szCs w:val="21"/>
                <w:highlight w:val="none"/>
                <w:u w:val="single"/>
              </w:rPr>
            </w:pPr>
            <w:r>
              <w:rPr>
                <w:rFonts w:hint="eastAsia"/>
                <w:color w:val="auto"/>
                <w:sz w:val="21"/>
                <w:szCs w:val="21"/>
                <w:highlight w:val="none"/>
                <w:u w:val="single"/>
              </w:rPr>
              <w:t>已落实。</w:t>
            </w:r>
          </w:p>
          <w:p w14:paraId="0B633CA8">
            <w:pPr>
              <w:spacing w:line="240" w:lineRule="auto"/>
              <w:ind w:firstLine="420"/>
              <w:rPr>
                <w:color w:val="auto"/>
                <w:sz w:val="21"/>
                <w:szCs w:val="21"/>
                <w:highlight w:val="none"/>
                <w:u w:val="single"/>
              </w:rPr>
            </w:pPr>
            <w:r>
              <w:rPr>
                <w:rFonts w:hint="eastAsia"/>
                <w:color w:val="auto"/>
                <w:sz w:val="21"/>
                <w:szCs w:val="21"/>
                <w:highlight w:val="none"/>
                <w:u w:val="single"/>
              </w:rPr>
              <w:t>按照有关规定以及《报告书》要求落实环境管理和监测计划，并按国家有关要求公开监测信息，接受社会监督。监测结果定期上报当地生态环境主管部门备查，发现问题及时解决。</w:t>
            </w:r>
          </w:p>
        </w:tc>
      </w:tr>
    </w:tbl>
    <w:p w14:paraId="11D6EC31">
      <w:pPr>
        <w:pStyle w:val="3"/>
        <w:rPr>
          <w:color w:val="auto"/>
          <w:highlight w:val="none"/>
        </w:rPr>
        <w:sectPr>
          <w:pgSz w:w="16838" w:h="11906" w:orient="landscape"/>
          <w:pgMar w:top="1418" w:right="1559" w:bottom="1418" w:left="1503" w:header="851" w:footer="964" w:gutter="0"/>
          <w:cols w:space="720" w:num="1"/>
          <w:docGrid w:linePitch="326" w:charSpace="0"/>
        </w:sectPr>
      </w:pPr>
    </w:p>
    <w:p w14:paraId="7D2FCCAB">
      <w:pPr>
        <w:pStyle w:val="533"/>
        <w:numPr>
          <w:ilvl w:val="3"/>
          <w:numId w:val="9"/>
        </w:numPr>
        <w:rPr>
          <w:color w:val="auto"/>
          <w:szCs w:val="24"/>
          <w:highlight w:val="none"/>
        </w:rPr>
      </w:pPr>
      <w:r>
        <w:rPr>
          <w:color w:val="auto"/>
          <w:szCs w:val="24"/>
          <w:highlight w:val="none"/>
        </w:rPr>
        <w:t>污染物达标排放情况</w:t>
      </w:r>
    </w:p>
    <w:p w14:paraId="2DCBB728">
      <w:pPr>
        <w:ind w:firstLine="482"/>
        <w:rPr>
          <w:b/>
          <w:bCs/>
          <w:color w:val="auto"/>
          <w:highlight w:val="none"/>
        </w:rPr>
      </w:pPr>
      <w:r>
        <w:rPr>
          <w:b/>
          <w:bCs/>
          <w:color w:val="auto"/>
          <w:highlight w:val="none"/>
        </w:rPr>
        <w:t>（1）大气污染源</w:t>
      </w:r>
    </w:p>
    <w:p w14:paraId="7B3E36E5">
      <w:pPr>
        <w:ind w:firstLine="480"/>
        <w:rPr>
          <w:color w:val="auto"/>
          <w:highlight w:val="none"/>
        </w:rPr>
      </w:pPr>
      <w:r>
        <w:rPr>
          <w:rFonts w:hint="eastAsia"/>
          <w:color w:val="auto"/>
          <w:highlight w:val="none"/>
        </w:rPr>
        <w:t>码头</w:t>
      </w:r>
      <w:r>
        <w:rPr>
          <w:color w:val="auto"/>
          <w:highlight w:val="none"/>
        </w:rPr>
        <w:t>项目运营期主要大气污染源为无组织排放的焊接烟尘TSP以及补漆工序产生的二甲苯、非甲烷总烃。根据《中船广西海上风电装备产业基地南翼项目2#码头和5#码头工程项目竣工环境保护验收调查报告》，中船广西海上风电装备产业基地南翼项目2#码头和5#码头工程项目大气污染物无组织排放情况见下表。</w:t>
      </w:r>
    </w:p>
    <w:p w14:paraId="1CCCE654">
      <w:pPr>
        <w:pStyle w:val="38"/>
        <w:spacing w:after="0" w:line="240" w:lineRule="auto"/>
        <w:ind w:firstLine="0" w:firstLineChars="0"/>
        <w:jc w:val="center"/>
        <w:rPr>
          <w:b/>
          <w:color w:val="auto"/>
          <w:sz w:val="21"/>
          <w:szCs w:val="21"/>
          <w:highlight w:val="none"/>
        </w:rPr>
      </w:pPr>
      <w:r>
        <w:rPr>
          <w:b/>
          <w:color w:val="auto"/>
          <w:sz w:val="21"/>
          <w:szCs w:val="21"/>
          <w:highlight w:val="none"/>
        </w:rPr>
        <w:t>表2.1-2</w:t>
      </w:r>
      <w:r>
        <w:rPr>
          <w:rFonts w:hint="eastAsia"/>
          <w:b/>
          <w:color w:val="auto"/>
          <w:sz w:val="21"/>
          <w:szCs w:val="21"/>
          <w:highlight w:val="none"/>
        </w:rPr>
        <w:t>2   2023年5月16日</w:t>
      </w:r>
      <w:r>
        <w:rPr>
          <w:b/>
          <w:color w:val="auto"/>
          <w:sz w:val="21"/>
          <w:szCs w:val="21"/>
          <w:highlight w:val="none"/>
        </w:rPr>
        <w:t>二甲苯、非甲烷总烃无组织排放情况监测结果</w:t>
      </w:r>
    </w:p>
    <w:tbl>
      <w:tblPr>
        <w:tblStyle w:val="92"/>
        <w:tblW w:w="500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7" w:type="dxa"/>
          <w:bottom w:w="0" w:type="dxa"/>
          <w:right w:w="17" w:type="dxa"/>
        </w:tblCellMar>
      </w:tblPr>
      <w:tblGrid>
        <w:gridCol w:w="645"/>
        <w:gridCol w:w="1199"/>
        <w:gridCol w:w="595"/>
        <w:gridCol w:w="1311"/>
        <w:gridCol w:w="1227"/>
        <w:gridCol w:w="775"/>
        <w:gridCol w:w="775"/>
        <w:gridCol w:w="972"/>
        <w:gridCol w:w="859"/>
        <w:gridCol w:w="761"/>
      </w:tblGrid>
      <w:tr w14:paraId="5D226F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tblHeader/>
          <w:jc w:val="center"/>
        </w:trPr>
        <w:tc>
          <w:tcPr>
            <w:tcW w:w="353" w:type="pct"/>
            <w:vMerge w:val="restart"/>
            <w:tcBorders>
              <w:tl2br w:val="nil"/>
              <w:tr2bl w:val="nil"/>
            </w:tcBorders>
            <w:vAlign w:val="center"/>
          </w:tcPr>
          <w:p w14:paraId="7BACF729">
            <w:pPr>
              <w:spacing w:line="240" w:lineRule="auto"/>
              <w:ind w:firstLine="0" w:firstLineChars="0"/>
              <w:jc w:val="center"/>
              <w:rPr>
                <w:b/>
                <w:bCs/>
                <w:color w:val="auto"/>
                <w:sz w:val="21"/>
                <w:szCs w:val="21"/>
                <w:highlight w:val="none"/>
              </w:rPr>
            </w:pPr>
            <w:r>
              <w:rPr>
                <w:b/>
                <w:bCs/>
                <w:color w:val="auto"/>
                <w:sz w:val="21"/>
                <w:szCs w:val="21"/>
                <w:highlight w:val="none"/>
              </w:rPr>
              <w:t>监测日期</w:t>
            </w:r>
          </w:p>
        </w:tc>
        <w:tc>
          <w:tcPr>
            <w:tcW w:w="657" w:type="pct"/>
            <w:vMerge w:val="restart"/>
            <w:tcBorders>
              <w:tl2br w:val="nil"/>
              <w:tr2bl w:val="nil"/>
            </w:tcBorders>
            <w:vAlign w:val="center"/>
          </w:tcPr>
          <w:p w14:paraId="3592C726">
            <w:pPr>
              <w:spacing w:line="240" w:lineRule="auto"/>
              <w:ind w:firstLine="0" w:firstLineChars="0"/>
              <w:jc w:val="center"/>
              <w:rPr>
                <w:b/>
                <w:bCs/>
                <w:color w:val="auto"/>
                <w:sz w:val="21"/>
                <w:szCs w:val="21"/>
                <w:highlight w:val="none"/>
              </w:rPr>
            </w:pPr>
            <w:r>
              <w:rPr>
                <w:b/>
                <w:bCs/>
                <w:color w:val="auto"/>
                <w:sz w:val="21"/>
                <w:szCs w:val="21"/>
                <w:highlight w:val="none"/>
              </w:rPr>
              <w:t>监测</w:t>
            </w:r>
          </w:p>
          <w:p w14:paraId="5AEEBBF8">
            <w:pPr>
              <w:spacing w:line="240" w:lineRule="auto"/>
              <w:ind w:firstLine="0" w:firstLineChars="0"/>
              <w:jc w:val="center"/>
              <w:rPr>
                <w:b/>
                <w:bCs/>
                <w:color w:val="auto"/>
                <w:sz w:val="21"/>
                <w:szCs w:val="21"/>
                <w:highlight w:val="none"/>
              </w:rPr>
            </w:pPr>
            <w:r>
              <w:rPr>
                <w:b/>
                <w:bCs/>
                <w:color w:val="auto"/>
                <w:sz w:val="21"/>
                <w:szCs w:val="21"/>
                <w:highlight w:val="none"/>
              </w:rPr>
              <w:t>点位</w:t>
            </w:r>
          </w:p>
        </w:tc>
        <w:tc>
          <w:tcPr>
            <w:tcW w:w="324" w:type="pct"/>
            <w:vMerge w:val="restart"/>
            <w:tcBorders>
              <w:tl2br w:val="nil"/>
              <w:tr2bl w:val="nil"/>
            </w:tcBorders>
            <w:vAlign w:val="center"/>
          </w:tcPr>
          <w:p w14:paraId="13ADF7A8">
            <w:pPr>
              <w:spacing w:line="240" w:lineRule="auto"/>
              <w:ind w:firstLine="0" w:firstLineChars="0"/>
              <w:jc w:val="center"/>
              <w:rPr>
                <w:b/>
                <w:bCs/>
                <w:color w:val="auto"/>
                <w:sz w:val="21"/>
                <w:szCs w:val="21"/>
                <w:highlight w:val="none"/>
              </w:rPr>
            </w:pPr>
            <w:r>
              <w:rPr>
                <w:b/>
                <w:bCs/>
                <w:color w:val="auto"/>
                <w:sz w:val="21"/>
                <w:szCs w:val="21"/>
                <w:highlight w:val="none"/>
              </w:rPr>
              <w:t>监测频次</w:t>
            </w:r>
          </w:p>
        </w:tc>
        <w:tc>
          <w:tcPr>
            <w:tcW w:w="1392" w:type="pct"/>
            <w:gridSpan w:val="2"/>
            <w:tcBorders>
              <w:tl2br w:val="nil"/>
              <w:tr2bl w:val="nil"/>
            </w:tcBorders>
            <w:vAlign w:val="center"/>
          </w:tcPr>
          <w:p w14:paraId="1402A45A">
            <w:pPr>
              <w:spacing w:line="240" w:lineRule="auto"/>
              <w:ind w:firstLine="0" w:firstLineChars="0"/>
              <w:jc w:val="center"/>
              <w:rPr>
                <w:b/>
                <w:bCs/>
                <w:color w:val="auto"/>
                <w:sz w:val="21"/>
                <w:szCs w:val="21"/>
                <w:highlight w:val="none"/>
              </w:rPr>
            </w:pPr>
            <w:r>
              <w:rPr>
                <w:b/>
                <w:bCs/>
                <w:color w:val="auto"/>
                <w:sz w:val="21"/>
                <w:szCs w:val="21"/>
                <w:highlight w:val="none"/>
              </w:rPr>
              <w:t>监测结果</w:t>
            </w:r>
          </w:p>
        </w:tc>
        <w:tc>
          <w:tcPr>
            <w:tcW w:w="2271" w:type="pct"/>
            <w:gridSpan w:val="5"/>
            <w:tcBorders>
              <w:tl2br w:val="nil"/>
              <w:tr2bl w:val="nil"/>
            </w:tcBorders>
            <w:vAlign w:val="center"/>
          </w:tcPr>
          <w:p w14:paraId="4467CCA3">
            <w:pPr>
              <w:spacing w:line="240" w:lineRule="auto"/>
              <w:ind w:firstLine="0" w:firstLineChars="0"/>
              <w:jc w:val="center"/>
              <w:rPr>
                <w:b/>
                <w:bCs/>
                <w:color w:val="auto"/>
                <w:sz w:val="21"/>
                <w:szCs w:val="21"/>
                <w:highlight w:val="none"/>
              </w:rPr>
            </w:pPr>
            <w:r>
              <w:rPr>
                <w:b/>
                <w:bCs/>
                <w:color w:val="auto"/>
                <w:sz w:val="21"/>
                <w:szCs w:val="21"/>
                <w:highlight w:val="none"/>
              </w:rPr>
              <w:t>气象参数</w:t>
            </w:r>
          </w:p>
        </w:tc>
      </w:tr>
      <w:tr w14:paraId="01EDDA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tblHeader/>
          <w:jc w:val="center"/>
        </w:trPr>
        <w:tc>
          <w:tcPr>
            <w:tcW w:w="353" w:type="pct"/>
            <w:vMerge w:val="continue"/>
            <w:tcBorders>
              <w:tl2br w:val="nil"/>
              <w:tr2bl w:val="nil"/>
            </w:tcBorders>
            <w:vAlign w:val="center"/>
          </w:tcPr>
          <w:p w14:paraId="0D0ACD12">
            <w:pPr>
              <w:spacing w:line="240" w:lineRule="auto"/>
              <w:ind w:firstLine="0" w:firstLineChars="0"/>
              <w:jc w:val="center"/>
              <w:rPr>
                <w:b/>
                <w:bCs/>
                <w:color w:val="auto"/>
                <w:sz w:val="21"/>
                <w:szCs w:val="21"/>
                <w:highlight w:val="none"/>
              </w:rPr>
            </w:pPr>
          </w:p>
        </w:tc>
        <w:tc>
          <w:tcPr>
            <w:tcW w:w="657" w:type="pct"/>
            <w:vMerge w:val="continue"/>
            <w:tcBorders>
              <w:tl2br w:val="nil"/>
              <w:tr2bl w:val="nil"/>
            </w:tcBorders>
            <w:vAlign w:val="center"/>
          </w:tcPr>
          <w:p w14:paraId="7269D75F">
            <w:pPr>
              <w:spacing w:line="240" w:lineRule="auto"/>
              <w:ind w:firstLine="0" w:firstLineChars="0"/>
              <w:jc w:val="center"/>
              <w:rPr>
                <w:b/>
                <w:bCs/>
                <w:color w:val="auto"/>
                <w:sz w:val="21"/>
                <w:szCs w:val="21"/>
                <w:highlight w:val="none"/>
              </w:rPr>
            </w:pPr>
          </w:p>
        </w:tc>
        <w:tc>
          <w:tcPr>
            <w:tcW w:w="324" w:type="pct"/>
            <w:vMerge w:val="continue"/>
            <w:tcBorders>
              <w:tl2br w:val="nil"/>
              <w:tr2bl w:val="nil"/>
            </w:tcBorders>
            <w:vAlign w:val="center"/>
          </w:tcPr>
          <w:p w14:paraId="61783B51">
            <w:pPr>
              <w:spacing w:line="240" w:lineRule="auto"/>
              <w:ind w:firstLine="0" w:firstLineChars="0"/>
              <w:jc w:val="center"/>
              <w:rPr>
                <w:b/>
                <w:bCs/>
                <w:color w:val="auto"/>
                <w:sz w:val="21"/>
                <w:szCs w:val="21"/>
                <w:highlight w:val="none"/>
              </w:rPr>
            </w:pPr>
          </w:p>
        </w:tc>
        <w:tc>
          <w:tcPr>
            <w:tcW w:w="719" w:type="pct"/>
            <w:tcBorders>
              <w:tl2br w:val="nil"/>
              <w:tr2bl w:val="nil"/>
            </w:tcBorders>
            <w:vAlign w:val="center"/>
          </w:tcPr>
          <w:p w14:paraId="5C886A2A">
            <w:pPr>
              <w:spacing w:line="240" w:lineRule="auto"/>
              <w:ind w:firstLine="0" w:firstLineChars="0"/>
              <w:jc w:val="center"/>
              <w:rPr>
                <w:b/>
                <w:bCs/>
                <w:color w:val="auto"/>
                <w:sz w:val="21"/>
                <w:szCs w:val="21"/>
                <w:highlight w:val="none"/>
              </w:rPr>
            </w:pPr>
            <w:r>
              <w:rPr>
                <w:b/>
                <w:bCs/>
                <w:color w:val="auto"/>
                <w:sz w:val="21"/>
                <w:szCs w:val="21"/>
                <w:highlight w:val="none"/>
              </w:rPr>
              <w:t>二甲苯（mg/m</w:t>
            </w:r>
            <w:r>
              <w:rPr>
                <w:b/>
                <w:bCs/>
                <w:color w:val="auto"/>
                <w:sz w:val="21"/>
                <w:szCs w:val="21"/>
                <w:highlight w:val="none"/>
                <w:vertAlign w:val="superscript"/>
              </w:rPr>
              <w:t>3</w:t>
            </w:r>
            <w:r>
              <w:rPr>
                <w:b/>
                <w:bCs/>
                <w:color w:val="auto"/>
                <w:sz w:val="21"/>
                <w:szCs w:val="21"/>
                <w:highlight w:val="none"/>
              </w:rPr>
              <w:t>）</w:t>
            </w:r>
          </w:p>
        </w:tc>
        <w:tc>
          <w:tcPr>
            <w:tcW w:w="673" w:type="pct"/>
            <w:tcBorders>
              <w:tl2br w:val="nil"/>
              <w:tr2bl w:val="nil"/>
            </w:tcBorders>
            <w:vAlign w:val="center"/>
          </w:tcPr>
          <w:p w14:paraId="785DC1FE">
            <w:pPr>
              <w:spacing w:line="240" w:lineRule="auto"/>
              <w:ind w:firstLine="0" w:firstLineChars="0"/>
              <w:jc w:val="center"/>
              <w:rPr>
                <w:b/>
                <w:bCs/>
                <w:color w:val="auto"/>
                <w:sz w:val="21"/>
                <w:szCs w:val="21"/>
                <w:highlight w:val="none"/>
              </w:rPr>
            </w:pPr>
            <w:r>
              <w:rPr>
                <w:b/>
                <w:bCs/>
                <w:color w:val="auto"/>
                <w:sz w:val="21"/>
                <w:szCs w:val="21"/>
                <w:highlight w:val="none"/>
              </w:rPr>
              <w:t>非甲烷总烃（mg/m</w:t>
            </w:r>
            <w:r>
              <w:rPr>
                <w:b/>
                <w:bCs/>
                <w:color w:val="auto"/>
                <w:sz w:val="21"/>
                <w:szCs w:val="21"/>
                <w:highlight w:val="none"/>
                <w:vertAlign w:val="superscript"/>
              </w:rPr>
              <w:t>3</w:t>
            </w:r>
            <w:r>
              <w:rPr>
                <w:b/>
                <w:bCs/>
                <w:color w:val="auto"/>
                <w:sz w:val="21"/>
                <w:szCs w:val="21"/>
                <w:highlight w:val="none"/>
              </w:rPr>
              <w:t>）</w:t>
            </w:r>
          </w:p>
        </w:tc>
        <w:tc>
          <w:tcPr>
            <w:tcW w:w="425" w:type="pct"/>
            <w:tcBorders>
              <w:tl2br w:val="nil"/>
              <w:tr2bl w:val="nil"/>
            </w:tcBorders>
            <w:vAlign w:val="center"/>
          </w:tcPr>
          <w:p w14:paraId="3FE82D54">
            <w:pPr>
              <w:spacing w:line="240" w:lineRule="auto"/>
              <w:ind w:firstLine="0" w:firstLineChars="0"/>
              <w:jc w:val="center"/>
              <w:rPr>
                <w:b/>
                <w:bCs/>
                <w:color w:val="auto"/>
                <w:sz w:val="21"/>
                <w:szCs w:val="21"/>
                <w:highlight w:val="none"/>
              </w:rPr>
            </w:pPr>
            <w:r>
              <w:rPr>
                <w:b/>
                <w:bCs/>
                <w:color w:val="auto"/>
                <w:sz w:val="21"/>
                <w:szCs w:val="21"/>
                <w:highlight w:val="none"/>
              </w:rPr>
              <w:t>温度</w:t>
            </w:r>
          </w:p>
          <w:p w14:paraId="491FB353">
            <w:pPr>
              <w:spacing w:line="240" w:lineRule="auto"/>
              <w:ind w:firstLine="0" w:firstLineChars="0"/>
              <w:jc w:val="center"/>
              <w:rPr>
                <w:b/>
                <w:bCs/>
                <w:color w:val="auto"/>
                <w:sz w:val="21"/>
                <w:szCs w:val="21"/>
                <w:highlight w:val="none"/>
              </w:rPr>
            </w:pPr>
            <w:r>
              <w:rPr>
                <w:b/>
                <w:bCs/>
                <w:color w:val="auto"/>
                <w:sz w:val="21"/>
                <w:szCs w:val="21"/>
                <w:highlight w:val="none"/>
              </w:rPr>
              <w:t>（℃）</w:t>
            </w:r>
          </w:p>
        </w:tc>
        <w:tc>
          <w:tcPr>
            <w:tcW w:w="425" w:type="pct"/>
            <w:tcBorders>
              <w:tl2br w:val="nil"/>
              <w:tr2bl w:val="nil"/>
            </w:tcBorders>
            <w:vAlign w:val="center"/>
          </w:tcPr>
          <w:p w14:paraId="602F5FC0">
            <w:pPr>
              <w:spacing w:line="240" w:lineRule="auto"/>
              <w:ind w:firstLine="0" w:firstLineChars="0"/>
              <w:jc w:val="center"/>
              <w:rPr>
                <w:b/>
                <w:bCs/>
                <w:color w:val="auto"/>
                <w:sz w:val="21"/>
                <w:szCs w:val="21"/>
                <w:highlight w:val="none"/>
              </w:rPr>
            </w:pPr>
            <w:r>
              <w:rPr>
                <w:b/>
                <w:bCs/>
                <w:color w:val="auto"/>
                <w:sz w:val="21"/>
                <w:szCs w:val="21"/>
                <w:highlight w:val="none"/>
              </w:rPr>
              <w:t>气压</w:t>
            </w:r>
          </w:p>
          <w:p w14:paraId="14793879">
            <w:pPr>
              <w:spacing w:line="240" w:lineRule="auto"/>
              <w:ind w:firstLine="0" w:firstLineChars="0"/>
              <w:jc w:val="center"/>
              <w:rPr>
                <w:b/>
                <w:bCs/>
                <w:color w:val="auto"/>
                <w:sz w:val="21"/>
                <w:szCs w:val="21"/>
                <w:highlight w:val="none"/>
              </w:rPr>
            </w:pPr>
            <w:r>
              <w:rPr>
                <w:b/>
                <w:bCs/>
                <w:color w:val="auto"/>
                <w:sz w:val="21"/>
                <w:szCs w:val="21"/>
                <w:highlight w:val="none"/>
              </w:rPr>
              <w:t>（hPa）</w:t>
            </w:r>
          </w:p>
        </w:tc>
        <w:tc>
          <w:tcPr>
            <w:tcW w:w="533" w:type="pct"/>
            <w:tcBorders>
              <w:tl2br w:val="nil"/>
              <w:tr2bl w:val="nil"/>
            </w:tcBorders>
            <w:vAlign w:val="center"/>
          </w:tcPr>
          <w:p w14:paraId="097826C5">
            <w:pPr>
              <w:spacing w:line="240" w:lineRule="auto"/>
              <w:ind w:firstLine="0" w:firstLineChars="0"/>
              <w:jc w:val="center"/>
              <w:rPr>
                <w:b/>
                <w:bCs/>
                <w:color w:val="auto"/>
                <w:sz w:val="21"/>
                <w:szCs w:val="21"/>
                <w:highlight w:val="none"/>
              </w:rPr>
            </w:pPr>
            <w:r>
              <w:rPr>
                <w:b/>
                <w:bCs/>
                <w:color w:val="auto"/>
                <w:sz w:val="21"/>
                <w:szCs w:val="21"/>
                <w:highlight w:val="none"/>
              </w:rPr>
              <w:t>相对湿度</w:t>
            </w:r>
          </w:p>
          <w:p w14:paraId="6173F881">
            <w:pPr>
              <w:spacing w:line="240" w:lineRule="auto"/>
              <w:ind w:firstLine="0" w:firstLineChars="0"/>
              <w:jc w:val="center"/>
              <w:rPr>
                <w:b/>
                <w:bCs/>
                <w:color w:val="auto"/>
                <w:sz w:val="21"/>
                <w:szCs w:val="21"/>
                <w:highlight w:val="none"/>
              </w:rPr>
            </w:pPr>
            <w:r>
              <w:rPr>
                <w:b/>
                <w:bCs/>
                <w:color w:val="auto"/>
                <w:sz w:val="21"/>
                <w:szCs w:val="21"/>
                <w:highlight w:val="none"/>
              </w:rPr>
              <w:t>（%）</w:t>
            </w:r>
          </w:p>
        </w:tc>
        <w:tc>
          <w:tcPr>
            <w:tcW w:w="471" w:type="pct"/>
            <w:tcBorders>
              <w:tl2br w:val="nil"/>
              <w:tr2bl w:val="nil"/>
            </w:tcBorders>
            <w:vAlign w:val="center"/>
          </w:tcPr>
          <w:p w14:paraId="39115BC2">
            <w:pPr>
              <w:spacing w:line="240" w:lineRule="auto"/>
              <w:ind w:firstLine="0" w:firstLineChars="0"/>
              <w:jc w:val="center"/>
              <w:rPr>
                <w:b/>
                <w:bCs/>
                <w:color w:val="auto"/>
                <w:sz w:val="21"/>
                <w:szCs w:val="21"/>
                <w:highlight w:val="none"/>
              </w:rPr>
            </w:pPr>
            <w:r>
              <w:rPr>
                <w:b/>
                <w:bCs/>
                <w:color w:val="auto"/>
                <w:sz w:val="21"/>
                <w:szCs w:val="21"/>
                <w:highlight w:val="none"/>
              </w:rPr>
              <w:t>风向</w:t>
            </w:r>
          </w:p>
          <w:p w14:paraId="69F9F4B8">
            <w:pPr>
              <w:spacing w:line="240" w:lineRule="auto"/>
              <w:ind w:firstLine="0" w:firstLineChars="0"/>
              <w:jc w:val="center"/>
              <w:rPr>
                <w:b/>
                <w:bCs/>
                <w:color w:val="auto"/>
                <w:sz w:val="21"/>
                <w:szCs w:val="21"/>
                <w:highlight w:val="none"/>
              </w:rPr>
            </w:pPr>
            <w:r>
              <w:rPr>
                <w:b/>
                <w:bCs/>
                <w:color w:val="auto"/>
                <w:sz w:val="21"/>
                <w:szCs w:val="21"/>
                <w:highlight w:val="none"/>
              </w:rPr>
              <w:t>（方位）</w:t>
            </w:r>
          </w:p>
        </w:tc>
        <w:tc>
          <w:tcPr>
            <w:tcW w:w="414" w:type="pct"/>
            <w:tcBorders>
              <w:tl2br w:val="nil"/>
              <w:tr2bl w:val="nil"/>
            </w:tcBorders>
            <w:vAlign w:val="center"/>
          </w:tcPr>
          <w:p w14:paraId="352E2F7B">
            <w:pPr>
              <w:spacing w:line="240" w:lineRule="auto"/>
              <w:ind w:firstLine="0" w:firstLineChars="0"/>
              <w:jc w:val="center"/>
              <w:rPr>
                <w:b/>
                <w:bCs/>
                <w:color w:val="auto"/>
                <w:sz w:val="21"/>
                <w:szCs w:val="21"/>
                <w:highlight w:val="none"/>
              </w:rPr>
            </w:pPr>
            <w:r>
              <w:rPr>
                <w:b/>
                <w:bCs/>
                <w:color w:val="auto"/>
                <w:sz w:val="21"/>
                <w:szCs w:val="21"/>
                <w:highlight w:val="none"/>
              </w:rPr>
              <w:t>风速</w:t>
            </w:r>
          </w:p>
          <w:p w14:paraId="47E04618">
            <w:pPr>
              <w:spacing w:line="240" w:lineRule="auto"/>
              <w:ind w:firstLine="0" w:firstLineChars="0"/>
              <w:jc w:val="center"/>
              <w:rPr>
                <w:b/>
                <w:bCs/>
                <w:color w:val="auto"/>
                <w:sz w:val="21"/>
                <w:szCs w:val="21"/>
                <w:highlight w:val="none"/>
              </w:rPr>
            </w:pPr>
            <w:r>
              <w:rPr>
                <w:b/>
                <w:bCs/>
                <w:color w:val="auto"/>
                <w:sz w:val="21"/>
                <w:szCs w:val="21"/>
                <w:highlight w:val="none"/>
              </w:rPr>
              <w:t>（m/s）</w:t>
            </w:r>
          </w:p>
        </w:tc>
      </w:tr>
      <w:tr w14:paraId="36A622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restart"/>
            <w:tcBorders>
              <w:tl2br w:val="nil"/>
              <w:tr2bl w:val="nil"/>
            </w:tcBorders>
            <w:vAlign w:val="center"/>
          </w:tcPr>
          <w:p w14:paraId="1CDE0A5C">
            <w:pPr>
              <w:spacing w:line="240" w:lineRule="auto"/>
              <w:ind w:firstLine="0" w:firstLineChars="0"/>
              <w:jc w:val="center"/>
              <w:rPr>
                <w:color w:val="auto"/>
                <w:sz w:val="21"/>
                <w:szCs w:val="21"/>
                <w:highlight w:val="none"/>
              </w:rPr>
            </w:pPr>
            <w:r>
              <w:rPr>
                <w:rFonts w:hint="eastAsia"/>
                <w:color w:val="auto"/>
                <w:sz w:val="21"/>
                <w:szCs w:val="21"/>
                <w:highlight w:val="none"/>
              </w:rPr>
              <w:t>2023年</w:t>
            </w:r>
            <w:r>
              <w:rPr>
                <w:color w:val="auto"/>
                <w:sz w:val="21"/>
                <w:szCs w:val="21"/>
                <w:highlight w:val="none"/>
              </w:rPr>
              <w:t>5月</w:t>
            </w:r>
          </w:p>
          <w:p w14:paraId="0D401B3B">
            <w:pPr>
              <w:spacing w:line="240" w:lineRule="auto"/>
              <w:ind w:firstLine="0" w:firstLineChars="0"/>
              <w:jc w:val="center"/>
              <w:rPr>
                <w:color w:val="auto"/>
                <w:sz w:val="21"/>
                <w:szCs w:val="21"/>
                <w:highlight w:val="none"/>
              </w:rPr>
            </w:pPr>
            <w:r>
              <w:rPr>
                <w:color w:val="auto"/>
                <w:sz w:val="21"/>
                <w:szCs w:val="21"/>
                <w:highlight w:val="none"/>
              </w:rPr>
              <w:t>16日</w:t>
            </w:r>
          </w:p>
        </w:tc>
        <w:tc>
          <w:tcPr>
            <w:tcW w:w="657" w:type="pct"/>
            <w:vMerge w:val="restart"/>
            <w:tcBorders>
              <w:tl2br w:val="nil"/>
              <w:tr2bl w:val="nil"/>
            </w:tcBorders>
            <w:vAlign w:val="center"/>
          </w:tcPr>
          <w:p w14:paraId="6F616C90">
            <w:pPr>
              <w:spacing w:line="240" w:lineRule="auto"/>
              <w:ind w:firstLine="0" w:firstLineChars="0"/>
              <w:jc w:val="center"/>
              <w:rPr>
                <w:color w:val="auto"/>
                <w:sz w:val="21"/>
                <w:szCs w:val="21"/>
                <w:highlight w:val="none"/>
              </w:rPr>
            </w:pPr>
            <w:r>
              <w:rPr>
                <w:color w:val="auto"/>
                <w:sz w:val="21"/>
                <w:szCs w:val="21"/>
                <w:highlight w:val="none"/>
              </w:rPr>
              <w:t>G1上风向参照点</w:t>
            </w:r>
          </w:p>
        </w:tc>
        <w:tc>
          <w:tcPr>
            <w:tcW w:w="324" w:type="pct"/>
            <w:tcBorders>
              <w:tl2br w:val="nil"/>
              <w:tr2bl w:val="nil"/>
            </w:tcBorders>
            <w:vAlign w:val="center"/>
          </w:tcPr>
          <w:p w14:paraId="078ED11E">
            <w:pPr>
              <w:spacing w:line="240" w:lineRule="auto"/>
              <w:ind w:firstLine="0" w:firstLineChars="0"/>
              <w:jc w:val="center"/>
              <w:rPr>
                <w:color w:val="auto"/>
                <w:sz w:val="21"/>
                <w:szCs w:val="21"/>
                <w:highlight w:val="none"/>
              </w:rPr>
            </w:pPr>
            <w:r>
              <w:rPr>
                <w:color w:val="auto"/>
                <w:sz w:val="21"/>
                <w:szCs w:val="21"/>
                <w:highlight w:val="none"/>
              </w:rPr>
              <w:t>1</w:t>
            </w:r>
          </w:p>
        </w:tc>
        <w:tc>
          <w:tcPr>
            <w:tcW w:w="719" w:type="pct"/>
            <w:tcBorders>
              <w:tl2br w:val="nil"/>
              <w:tr2bl w:val="nil"/>
            </w:tcBorders>
            <w:vAlign w:val="center"/>
          </w:tcPr>
          <w:p w14:paraId="0CF928AB">
            <w:pPr>
              <w:spacing w:line="240" w:lineRule="auto"/>
              <w:ind w:firstLine="0" w:firstLineChars="0"/>
              <w:jc w:val="center"/>
              <w:rPr>
                <w:color w:val="auto"/>
                <w:sz w:val="21"/>
                <w:szCs w:val="21"/>
                <w:highlight w:val="none"/>
              </w:rPr>
            </w:pPr>
            <w:r>
              <w:rPr>
                <w:color w:val="auto"/>
                <w:sz w:val="21"/>
                <w:szCs w:val="21"/>
                <w:highlight w:val="none"/>
              </w:rPr>
              <w:t>＜0.010</w:t>
            </w:r>
          </w:p>
        </w:tc>
        <w:tc>
          <w:tcPr>
            <w:tcW w:w="673" w:type="pct"/>
            <w:tcBorders>
              <w:tl2br w:val="nil"/>
              <w:tr2bl w:val="nil"/>
            </w:tcBorders>
            <w:vAlign w:val="center"/>
          </w:tcPr>
          <w:p w14:paraId="4D99E783">
            <w:pPr>
              <w:spacing w:line="240" w:lineRule="auto"/>
              <w:ind w:firstLine="0" w:firstLineChars="0"/>
              <w:jc w:val="center"/>
              <w:rPr>
                <w:color w:val="auto"/>
                <w:sz w:val="21"/>
                <w:szCs w:val="21"/>
                <w:highlight w:val="none"/>
              </w:rPr>
            </w:pPr>
            <w:r>
              <w:rPr>
                <w:color w:val="auto"/>
                <w:sz w:val="21"/>
                <w:szCs w:val="21"/>
                <w:highlight w:val="none"/>
              </w:rPr>
              <w:t xml:space="preserve">0.56 </w:t>
            </w:r>
          </w:p>
        </w:tc>
        <w:tc>
          <w:tcPr>
            <w:tcW w:w="425" w:type="pct"/>
            <w:tcBorders>
              <w:tl2br w:val="nil"/>
              <w:tr2bl w:val="nil"/>
            </w:tcBorders>
            <w:vAlign w:val="center"/>
          </w:tcPr>
          <w:p w14:paraId="245359B1">
            <w:pPr>
              <w:spacing w:line="240" w:lineRule="auto"/>
              <w:ind w:firstLine="0" w:firstLineChars="0"/>
              <w:jc w:val="center"/>
              <w:rPr>
                <w:color w:val="auto"/>
                <w:sz w:val="21"/>
                <w:szCs w:val="21"/>
                <w:highlight w:val="none"/>
              </w:rPr>
            </w:pPr>
            <w:r>
              <w:rPr>
                <w:color w:val="auto"/>
                <w:sz w:val="21"/>
                <w:szCs w:val="21"/>
                <w:highlight w:val="none"/>
              </w:rPr>
              <w:t>25.3</w:t>
            </w:r>
          </w:p>
        </w:tc>
        <w:tc>
          <w:tcPr>
            <w:tcW w:w="425" w:type="pct"/>
            <w:tcBorders>
              <w:tl2br w:val="nil"/>
              <w:tr2bl w:val="nil"/>
            </w:tcBorders>
            <w:vAlign w:val="center"/>
          </w:tcPr>
          <w:p w14:paraId="2CA4B19F">
            <w:pPr>
              <w:spacing w:line="240" w:lineRule="auto"/>
              <w:ind w:firstLine="0" w:firstLineChars="0"/>
              <w:jc w:val="center"/>
              <w:rPr>
                <w:color w:val="auto"/>
                <w:sz w:val="21"/>
                <w:szCs w:val="21"/>
                <w:highlight w:val="none"/>
              </w:rPr>
            </w:pPr>
            <w:r>
              <w:rPr>
                <w:color w:val="auto"/>
                <w:sz w:val="21"/>
                <w:szCs w:val="21"/>
                <w:highlight w:val="none"/>
              </w:rPr>
              <w:t>1011.2</w:t>
            </w:r>
          </w:p>
        </w:tc>
        <w:tc>
          <w:tcPr>
            <w:tcW w:w="533" w:type="pct"/>
            <w:tcBorders>
              <w:tl2br w:val="nil"/>
              <w:tr2bl w:val="nil"/>
            </w:tcBorders>
            <w:vAlign w:val="center"/>
          </w:tcPr>
          <w:p w14:paraId="453EDDD4">
            <w:pPr>
              <w:spacing w:line="240" w:lineRule="auto"/>
              <w:ind w:firstLine="0" w:firstLineChars="0"/>
              <w:jc w:val="center"/>
              <w:rPr>
                <w:color w:val="auto"/>
                <w:sz w:val="21"/>
                <w:szCs w:val="21"/>
                <w:highlight w:val="none"/>
              </w:rPr>
            </w:pPr>
            <w:r>
              <w:rPr>
                <w:color w:val="auto"/>
                <w:sz w:val="21"/>
                <w:szCs w:val="21"/>
                <w:highlight w:val="none"/>
              </w:rPr>
              <w:t>79</w:t>
            </w:r>
          </w:p>
        </w:tc>
        <w:tc>
          <w:tcPr>
            <w:tcW w:w="471" w:type="pct"/>
            <w:tcBorders>
              <w:tl2br w:val="nil"/>
              <w:tr2bl w:val="nil"/>
            </w:tcBorders>
            <w:vAlign w:val="center"/>
          </w:tcPr>
          <w:p w14:paraId="17D0E948">
            <w:pPr>
              <w:spacing w:line="240" w:lineRule="auto"/>
              <w:ind w:firstLine="0" w:firstLineChars="0"/>
              <w:jc w:val="center"/>
              <w:rPr>
                <w:color w:val="auto"/>
                <w:sz w:val="21"/>
                <w:szCs w:val="21"/>
                <w:highlight w:val="none"/>
              </w:rPr>
            </w:pPr>
            <w:r>
              <w:rPr>
                <w:color w:val="auto"/>
                <w:sz w:val="21"/>
                <w:szCs w:val="21"/>
                <w:highlight w:val="none"/>
              </w:rPr>
              <w:t>西南</w:t>
            </w:r>
          </w:p>
        </w:tc>
        <w:tc>
          <w:tcPr>
            <w:tcW w:w="414" w:type="pct"/>
            <w:tcBorders>
              <w:tl2br w:val="nil"/>
              <w:tr2bl w:val="nil"/>
            </w:tcBorders>
            <w:vAlign w:val="center"/>
          </w:tcPr>
          <w:p w14:paraId="44922BC6">
            <w:pPr>
              <w:spacing w:line="240" w:lineRule="auto"/>
              <w:ind w:firstLine="0" w:firstLineChars="0"/>
              <w:jc w:val="center"/>
              <w:rPr>
                <w:color w:val="auto"/>
                <w:sz w:val="21"/>
                <w:szCs w:val="21"/>
                <w:highlight w:val="none"/>
              </w:rPr>
            </w:pPr>
            <w:r>
              <w:rPr>
                <w:color w:val="auto"/>
                <w:sz w:val="21"/>
                <w:szCs w:val="21"/>
                <w:highlight w:val="none"/>
              </w:rPr>
              <w:t>2.5</w:t>
            </w:r>
          </w:p>
        </w:tc>
      </w:tr>
      <w:tr w14:paraId="1B881F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1E8FCEBB">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0DFAB181">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657865F9">
            <w:pPr>
              <w:spacing w:line="240" w:lineRule="auto"/>
              <w:ind w:firstLine="0" w:firstLineChars="0"/>
              <w:jc w:val="center"/>
              <w:rPr>
                <w:color w:val="auto"/>
                <w:sz w:val="21"/>
                <w:szCs w:val="21"/>
                <w:highlight w:val="none"/>
              </w:rPr>
            </w:pPr>
            <w:r>
              <w:rPr>
                <w:color w:val="auto"/>
                <w:sz w:val="21"/>
                <w:szCs w:val="21"/>
                <w:highlight w:val="none"/>
              </w:rPr>
              <w:t>2</w:t>
            </w:r>
          </w:p>
        </w:tc>
        <w:tc>
          <w:tcPr>
            <w:tcW w:w="719" w:type="pct"/>
            <w:tcBorders>
              <w:tl2br w:val="nil"/>
              <w:tr2bl w:val="nil"/>
            </w:tcBorders>
            <w:vAlign w:val="center"/>
          </w:tcPr>
          <w:p w14:paraId="56ECDF91">
            <w:pPr>
              <w:spacing w:line="240" w:lineRule="auto"/>
              <w:ind w:firstLine="0" w:firstLineChars="0"/>
              <w:jc w:val="center"/>
              <w:rPr>
                <w:color w:val="auto"/>
                <w:sz w:val="21"/>
                <w:szCs w:val="21"/>
                <w:highlight w:val="none"/>
              </w:rPr>
            </w:pPr>
            <w:r>
              <w:rPr>
                <w:color w:val="auto"/>
                <w:sz w:val="21"/>
                <w:szCs w:val="21"/>
                <w:highlight w:val="none"/>
              </w:rPr>
              <w:t>＜0.010</w:t>
            </w:r>
          </w:p>
        </w:tc>
        <w:tc>
          <w:tcPr>
            <w:tcW w:w="673" w:type="pct"/>
            <w:tcBorders>
              <w:tl2br w:val="nil"/>
              <w:tr2bl w:val="nil"/>
            </w:tcBorders>
            <w:vAlign w:val="center"/>
          </w:tcPr>
          <w:p w14:paraId="58499CE9">
            <w:pPr>
              <w:spacing w:line="240" w:lineRule="auto"/>
              <w:ind w:firstLine="0" w:firstLineChars="0"/>
              <w:jc w:val="center"/>
              <w:rPr>
                <w:color w:val="auto"/>
                <w:sz w:val="21"/>
                <w:szCs w:val="21"/>
                <w:highlight w:val="none"/>
              </w:rPr>
            </w:pPr>
            <w:r>
              <w:rPr>
                <w:color w:val="auto"/>
                <w:sz w:val="21"/>
                <w:szCs w:val="21"/>
                <w:highlight w:val="none"/>
              </w:rPr>
              <w:t xml:space="preserve">0.51 </w:t>
            </w:r>
          </w:p>
        </w:tc>
        <w:tc>
          <w:tcPr>
            <w:tcW w:w="425" w:type="pct"/>
            <w:tcBorders>
              <w:tl2br w:val="nil"/>
              <w:tr2bl w:val="nil"/>
            </w:tcBorders>
            <w:vAlign w:val="center"/>
          </w:tcPr>
          <w:p w14:paraId="1B156B51">
            <w:pPr>
              <w:spacing w:line="240" w:lineRule="auto"/>
              <w:ind w:firstLine="0" w:firstLineChars="0"/>
              <w:jc w:val="center"/>
              <w:rPr>
                <w:color w:val="auto"/>
                <w:sz w:val="21"/>
                <w:szCs w:val="21"/>
                <w:highlight w:val="none"/>
              </w:rPr>
            </w:pPr>
            <w:r>
              <w:rPr>
                <w:color w:val="auto"/>
                <w:sz w:val="21"/>
                <w:szCs w:val="21"/>
                <w:highlight w:val="none"/>
              </w:rPr>
              <w:t>27.2</w:t>
            </w:r>
          </w:p>
        </w:tc>
        <w:tc>
          <w:tcPr>
            <w:tcW w:w="425" w:type="pct"/>
            <w:tcBorders>
              <w:tl2br w:val="nil"/>
              <w:tr2bl w:val="nil"/>
            </w:tcBorders>
            <w:vAlign w:val="center"/>
          </w:tcPr>
          <w:p w14:paraId="1FC2BFA5">
            <w:pPr>
              <w:spacing w:line="240" w:lineRule="auto"/>
              <w:ind w:firstLine="0" w:firstLineChars="0"/>
              <w:jc w:val="center"/>
              <w:rPr>
                <w:color w:val="auto"/>
                <w:sz w:val="21"/>
                <w:szCs w:val="21"/>
                <w:highlight w:val="none"/>
              </w:rPr>
            </w:pPr>
            <w:r>
              <w:rPr>
                <w:color w:val="auto"/>
                <w:sz w:val="21"/>
                <w:szCs w:val="21"/>
                <w:highlight w:val="none"/>
              </w:rPr>
              <w:t>1010.8</w:t>
            </w:r>
          </w:p>
        </w:tc>
        <w:tc>
          <w:tcPr>
            <w:tcW w:w="533" w:type="pct"/>
            <w:tcBorders>
              <w:tl2br w:val="nil"/>
              <w:tr2bl w:val="nil"/>
            </w:tcBorders>
            <w:vAlign w:val="center"/>
          </w:tcPr>
          <w:p w14:paraId="0D3EDFC8">
            <w:pPr>
              <w:spacing w:line="240" w:lineRule="auto"/>
              <w:ind w:firstLine="0" w:firstLineChars="0"/>
              <w:jc w:val="center"/>
              <w:rPr>
                <w:color w:val="auto"/>
                <w:sz w:val="21"/>
                <w:szCs w:val="21"/>
                <w:highlight w:val="none"/>
              </w:rPr>
            </w:pPr>
            <w:r>
              <w:rPr>
                <w:color w:val="auto"/>
                <w:sz w:val="21"/>
                <w:szCs w:val="21"/>
                <w:highlight w:val="none"/>
              </w:rPr>
              <w:t>78</w:t>
            </w:r>
          </w:p>
        </w:tc>
        <w:tc>
          <w:tcPr>
            <w:tcW w:w="471" w:type="pct"/>
            <w:tcBorders>
              <w:tl2br w:val="nil"/>
              <w:tr2bl w:val="nil"/>
            </w:tcBorders>
            <w:vAlign w:val="center"/>
          </w:tcPr>
          <w:p w14:paraId="401BB008">
            <w:pPr>
              <w:spacing w:line="240" w:lineRule="auto"/>
              <w:ind w:firstLine="0" w:firstLineChars="0"/>
              <w:jc w:val="center"/>
              <w:rPr>
                <w:color w:val="auto"/>
                <w:sz w:val="21"/>
                <w:szCs w:val="21"/>
                <w:highlight w:val="none"/>
              </w:rPr>
            </w:pPr>
            <w:r>
              <w:rPr>
                <w:color w:val="auto"/>
                <w:sz w:val="21"/>
                <w:szCs w:val="21"/>
                <w:highlight w:val="none"/>
              </w:rPr>
              <w:t>西南</w:t>
            </w:r>
          </w:p>
        </w:tc>
        <w:tc>
          <w:tcPr>
            <w:tcW w:w="414" w:type="pct"/>
            <w:tcBorders>
              <w:tl2br w:val="nil"/>
              <w:tr2bl w:val="nil"/>
            </w:tcBorders>
            <w:vAlign w:val="center"/>
          </w:tcPr>
          <w:p w14:paraId="013CFB7A">
            <w:pPr>
              <w:spacing w:line="240" w:lineRule="auto"/>
              <w:ind w:firstLine="0" w:firstLineChars="0"/>
              <w:jc w:val="center"/>
              <w:rPr>
                <w:color w:val="auto"/>
                <w:sz w:val="21"/>
                <w:szCs w:val="21"/>
                <w:highlight w:val="none"/>
              </w:rPr>
            </w:pPr>
            <w:r>
              <w:rPr>
                <w:color w:val="auto"/>
                <w:sz w:val="21"/>
                <w:szCs w:val="21"/>
                <w:highlight w:val="none"/>
              </w:rPr>
              <w:t>1.9</w:t>
            </w:r>
          </w:p>
        </w:tc>
      </w:tr>
      <w:tr w14:paraId="00909F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5023F9B3">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0F2F1B63">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1D3A6E8C">
            <w:pPr>
              <w:spacing w:line="240" w:lineRule="auto"/>
              <w:ind w:firstLine="0" w:firstLineChars="0"/>
              <w:jc w:val="center"/>
              <w:rPr>
                <w:color w:val="auto"/>
                <w:sz w:val="21"/>
                <w:szCs w:val="21"/>
                <w:highlight w:val="none"/>
              </w:rPr>
            </w:pPr>
            <w:r>
              <w:rPr>
                <w:color w:val="auto"/>
                <w:sz w:val="21"/>
                <w:szCs w:val="21"/>
                <w:highlight w:val="none"/>
              </w:rPr>
              <w:t>3</w:t>
            </w:r>
          </w:p>
        </w:tc>
        <w:tc>
          <w:tcPr>
            <w:tcW w:w="719" w:type="pct"/>
            <w:tcBorders>
              <w:tl2br w:val="nil"/>
              <w:tr2bl w:val="nil"/>
            </w:tcBorders>
            <w:vAlign w:val="center"/>
          </w:tcPr>
          <w:p w14:paraId="65AFB292">
            <w:pPr>
              <w:spacing w:line="240" w:lineRule="auto"/>
              <w:ind w:firstLine="0" w:firstLineChars="0"/>
              <w:jc w:val="center"/>
              <w:rPr>
                <w:color w:val="auto"/>
                <w:sz w:val="21"/>
                <w:szCs w:val="21"/>
                <w:highlight w:val="none"/>
              </w:rPr>
            </w:pPr>
            <w:r>
              <w:rPr>
                <w:color w:val="auto"/>
                <w:sz w:val="21"/>
                <w:szCs w:val="21"/>
                <w:highlight w:val="none"/>
              </w:rPr>
              <w:t>＜0.010</w:t>
            </w:r>
          </w:p>
        </w:tc>
        <w:tc>
          <w:tcPr>
            <w:tcW w:w="673" w:type="pct"/>
            <w:tcBorders>
              <w:tl2br w:val="nil"/>
              <w:tr2bl w:val="nil"/>
            </w:tcBorders>
            <w:vAlign w:val="center"/>
          </w:tcPr>
          <w:p w14:paraId="20627058">
            <w:pPr>
              <w:spacing w:line="240" w:lineRule="auto"/>
              <w:ind w:firstLine="0" w:firstLineChars="0"/>
              <w:jc w:val="center"/>
              <w:rPr>
                <w:color w:val="auto"/>
                <w:sz w:val="21"/>
                <w:szCs w:val="21"/>
                <w:highlight w:val="none"/>
              </w:rPr>
            </w:pPr>
            <w:r>
              <w:rPr>
                <w:color w:val="auto"/>
                <w:sz w:val="21"/>
                <w:szCs w:val="21"/>
                <w:highlight w:val="none"/>
              </w:rPr>
              <w:t xml:space="preserve">0.54 </w:t>
            </w:r>
          </w:p>
        </w:tc>
        <w:tc>
          <w:tcPr>
            <w:tcW w:w="425" w:type="pct"/>
            <w:tcBorders>
              <w:tl2br w:val="nil"/>
              <w:tr2bl w:val="nil"/>
            </w:tcBorders>
            <w:vAlign w:val="center"/>
          </w:tcPr>
          <w:p w14:paraId="7B7CA99F">
            <w:pPr>
              <w:spacing w:line="240" w:lineRule="auto"/>
              <w:ind w:firstLine="0" w:firstLineChars="0"/>
              <w:jc w:val="center"/>
              <w:rPr>
                <w:color w:val="auto"/>
                <w:sz w:val="21"/>
                <w:szCs w:val="21"/>
                <w:highlight w:val="none"/>
              </w:rPr>
            </w:pPr>
            <w:r>
              <w:rPr>
                <w:color w:val="auto"/>
                <w:sz w:val="21"/>
                <w:szCs w:val="21"/>
                <w:highlight w:val="none"/>
              </w:rPr>
              <w:t>30.8</w:t>
            </w:r>
          </w:p>
        </w:tc>
        <w:tc>
          <w:tcPr>
            <w:tcW w:w="425" w:type="pct"/>
            <w:tcBorders>
              <w:tl2br w:val="nil"/>
              <w:tr2bl w:val="nil"/>
            </w:tcBorders>
            <w:vAlign w:val="center"/>
          </w:tcPr>
          <w:p w14:paraId="788427CD">
            <w:pPr>
              <w:spacing w:line="240" w:lineRule="auto"/>
              <w:ind w:firstLine="0" w:firstLineChars="0"/>
              <w:jc w:val="center"/>
              <w:rPr>
                <w:color w:val="auto"/>
                <w:sz w:val="21"/>
                <w:szCs w:val="21"/>
                <w:highlight w:val="none"/>
              </w:rPr>
            </w:pPr>
            <w:r>
              <w:rPr>
                <w:color w:val="auto"/>
                <w:sz w:val="21"/>
                <w:szCs w:val="21"/>
                <w:highlight w:val="none"/>
              </w:rPr>
              <w:t>1009.0</w:t>
            </w:r>
          </w:p>
        </w:tc>
        <w:tc>
          <w:tcPr>
            <w:tcW w:w="533" w:type="pct"/>
            <w:tcBorders>
              <w:tl2br w:val="nil"/>
              <w:tr2bl w:val="nil"/>
            </w:tcBorders>
            <w:vAlign w:val="center"/>
          </w:tcPr>
          <w:p w14:paraId="00F7EB2C">
            <w:pPr>
              <w:spacing w:line="240" w:lineRule="auto"/>
              <w:ind w:firstLine="0" w:firstLineChars="0"/>
              <w:jc w:val="center"/>
              <w:rPr>
                <w:color w:val="auto"/>
                <w:sz w:val="21"/>
                <w:szCs w:val="21"/>
                <w:highlight w:val="none"/>
              </w:rPr>
            </w:pPr>
            <w:r>
              <w:rPr>
                <w:color w:val="auto"/>
                <w:sz w:val="21"/>
                <w:szCs w:val="21"/>
                <w:highlight w:val="none"/>
              </w:rPr>
              <w:t>64</w:t>
            </w:r>
          </w:p>
        </w:tc>
        <w:tc>
          <w:tcPr>
            <w:tcW w:w="471" w:type="pct"/>
            <w:tcBorders>
              <w:tl2br w:val="nil"/>
              <w:tr2bl w:val="nil"/>
            </w:tcBorders>
            <w:vAlign w:val="center"/>
          </w:tcPr>
          <w:p w14:paraId="4205A8A9">
            <w:pPr>
              <w:spacing w:line="240" w:lineRule="auto"/>
              <w:ind w:firstLine="0" w:firstLineChars="0"/>
              <w:jc w:val="center"/>
              <w:rPr>
                <w:color w:val="auto"/>
                <w:sz w:val="21"/>
                <w:szCs w:val="21"/>
                <w:highlight w:val="none"/>
              </w:rPr>
            </w:pPr>
            <w:r>
              <w:rPr>
                <w:color w:val="auto"/>
                <w:sz w:val="21"/>
                <w:szCs w:val="21"/>
                <w:highlight w:val="none"/>
              </w:rPr>
              <w:t>西南</w:t>
            </w:r>
          </w:p>
        </w:tc>
        <w:tc>
          <w:tcPr>
            <w:tcW w:w="414" w:type="pct"/>
            <w:tcBorders>
              <w:tl2br w:val="nil"/>
              <w:tr2bl w:val="nil"/>
            </w:tcBorders>
            <w:vAlign w:val="center"/>
          </w:tcPr>
          <w:p w14:paraId="6E2445A4">
            <w:pPr>
              <w:spacing w:line="240" w:lineRule="auto"/>
              <w:ind w:firstLine="0" w:firstLineChars="0"/>
              <w:jc w:val="center"/>
              <w:rPr>
                <w:color w:val="auto"/>
                <w:sz w:val="21"/>
                <w:szCs w:val="21"/>
                <w:highlight w:val="none"/>
              </w:rPr>
            </w:pPr>
            <w:r>
              <w:rPr>
                <w:color w:val="auto"/>
                <w:sz w:val="21"/>
                <w:szCs w:val="21"/>
                <w:highlight w:val="none"/>
              </w:rPr>
              <w:t>2.2</w:t>
            </w:r>
          </w:p>
        </w:tc>
      </w:tr>
      <w:tr w14:paraId="5F94DA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47480767">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3150CB31">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038FF4C4">
            <w:pPr>
              <w:spacing w:line="240" w:lineRule="auto"/>
              <w:ind w:firstLine="0" w:firstLineChars="0"/>
              <w:jc w:val="center"/>
              <w:rPr>
                <w:color w:val="auto"/>
                <w:sz w:val="21"/>
                <w:szCs w:val="21"/>
                <w:highlight w:val="none"/>
              </w:rPr>
            </w:pPr>
            <w:r>
              <w:rPr>
                <w:color w:val="auto"/>
                <w:sz w:val="21"/>
                <w:szCs w:val="21"/>
                <w:highlight w:val="none"/>
              </w:rPr>
              <w:t>4</w:t>
            </w:r>
          </w:p>
        </w:tc>
        <w:tc>
          <w:tcPr>
            <w:tcW w:w="719" w:type="pct"/>
            <w:tcBorders>
              <w:tl2br w:val="nil"/>
              <w:tr2bl w:val="nil"/>
            </w:tcBorders>
            <w:vAlign w:val="center"/>
          </w:tcPr>
          <w:p w14:paraId="44ADAE23">
            <w:pPr>
              <w:spacing w:line="240" w:lineRule="auto"/>
              <w:ind w:firstLine="0" w:firstLineChars="0"/>
              <w:jc w:val="center"/>
              <w:rPr>
                <w:color w:val="auto"/>
                <w:sz w:val="21"/>
                <w:szCs w:val="21"/>
                <w:highlight w:val="none"/>
              </w:rPr>
            </w:pPr>
            <w:r>
              <w:rPr>
                <w:color w:val="auto"/>
                <w:sz w:val="21"/>
                <w:szCs w:val="21"/>
                <w:highlight w:val="none"/>
              </w:rPr>
              <w:t>＜0.010</w:t>
            </w:r>
          </w:p>
        </w:tc>
        <w:tc>
          <w:tcPr>
            <w:tcW w:w="673" w:type="pct"/>
            <w:tcBorders>
              <w:tl2br w:val="nil"/>
              <w:tr2bl w:val="nil"/>
            </w:tcBorders>
            <w:vAlign w:val="center"/>
          </w:tcPr>
          <w:p w14:paraId="55FE51A0">
            <w:pPr>
              <w:spacing w:line="240" w:lineRule="auto"/>
              <w:ind w:firstLine="0" w:firstLineChars="0"/>
              <w:jc w:val="center"/>
              <w:rPr>
                <w:color w:val="auto"/>
                <w:sz w:val="21"/>
                <w:szCs w:val="21"/>
                <w:highlight w:val="none"/>
              </w:rPr>
            </w:pPr>
            <w:r>
              <w:rPr>
                <w:color w:val="auto"/>
                <w:sz w:val="21"/>
                <w:szCs w:val="21"/>
                <w:highlight w:val="none"/>
              </w:rPr>
              <w:t xml:space="preserve">0.56 </w:t>
            </w:r>
          </w:p>
        </w:tc>
        <w:tc>
          <w:tcPr>
            <w:tcW w:w="425" w:type="pct"/>
            <w:tcBorders>
              <w:tl2br w:val="nil"/>
              <w:tr2bl w:val="nil"/>
            </w:tcBorders>
            <w:vAlign w:val="center"/>
          </w:tcPr>
          <w:p w14:paraId="188E49F5">
            <w:pPr>
              <w:spacing w:line="240" w:lineRule="auto"/>
              <w:ind w:firstLine="0" w:firstLineChars="0"/>
              <w:jc w:val="center"/>
              <w:rPr>
                <w:color w:val="auto"/>
                <w:sz w:val="21"/>
                <w:szCs w:val="21"/>
                <w:highlight w:val="none"/>
              </w:rPr>
            </w:pPr>
            <w:r>
              <w:rPr>
                <w:color w:val="auto"/>
                <w:sz w:val="21"/>
                <w:szCs w:val="21"/>
                <w:highlight w:val="none"/>
              </w:rPr>
              <w:t>28.6</w:t>
            </w:r>
          </w:p>
        </w:tc>
        <w:tc>
          <w:tcPr>
            <w:tcW w:w="425" w:type="pct"/>
            <w:tcBorders>
              <w:tl2br w:val="nil"/>
              <w:tr2bl w:val="nil"/>
            </w:tcBorders>
            <w:vAlign w:val="center"/>
          </w:tcPr>
          <w:p w14:paraId="25B805E3">
            <w:pPr>
              <w:spacing w:line="240" w:lineRule="auto"/>
              <w:ind w:firstLine="0" w:firstLineChars="0"/>
              <w:jc w:val="center"/>
              <w:rPr>
                <w:color w:val="auto"/>
                <w:sz w:val="21"/>
                <w:szCs w:val="21"/>
                <w:highlight w:val="none"/>
              </w:rPr>
            </w:pPr>
            <w:r>
              <w:rPr>
                <w:color w:val="auto"/>
                <w:sz w:val="21"/>
                <w:szCs w:val="21"/>
                <w:highlight w:val="none"/>
              </w:rPr>
              <w:t>1009.6</w:t>
            </w:r>
          </w:p>
        </w:tc>
        <w:tc>
          <w:tcPr>
            <w:tcW w:w="533" w:type="pct"/>
            <w:tcBorders>
              <w:tl2br w:val="nil"/>
              <w:tr2bl w:val="nil"/>
            </w:tcBorders>
            <w:vAlign w:val="center"/>
          </w:tcPr>
          <w:p w14:paraId="1FC68CB0">
            <w:pPr>
              <w:spacing w:line="240" w:lineRule="auto"/>
              <w:ind w:firstLine="0" w:firstLineChars="0"/>
              <w:jc w:val="center"/>
              <w:rPr>
                <w:color w:val="auto"/>
                <w:sz w:val="21"/>
                <w:szCs w:val="21"/>
                <w:highlight w:val="none"/>
              </w:rPr>
            </w:pPr>
            <w:r>
              <w:rPr>
                <w:color w:val="auto"/>
                <w:sz w:val="21"/>
                <w:szCs w:val="21"/>
                <w:highlight w:val="none"/>
              </w:rPr>
              <w:t>73</w:t>
            </w:r>
          </w:p>
        </w:tc>
        <w:tc>
          <w:tcPr>
            <w:tcW w:w="471" w:type="pct"/>
            <w:tcBorders>
              <w:tl2br w:val="nil"/>
              <w:tr2bl w:val="nil"/>
            </w:tcBorders>
            <w:vAlign w:val="center"/>
          </w:tcPr>
          <w:p w14:paraId="1F1010C2">
            <w:pPr>
              <w:spacing w:line="240" w:lineRule="auto"/>
              <w:ind w:firstLine="0" w:firstLineChars="0"/>
              <w:jc w:val="center"/>
              <w:rPr>
                <w:color w:val="auto"/>
                <w:sz w:val="21"/>
                <w:szCs w:val="21"/>
                <w:highlight w:val="none"/>
              </w:rPr>
            </w:pPr>
            <w:r>
              <w:rPr>
                <w:color w:val="auto"/>
                <w:sz w:val="21"/>
                <w:szCs w:val="21"/>
                <w:highlight w:val="none"/>
              </w:rPr>
              <w:t>西南</w:t>
            </w:r>
          </w:p>
        </w:tc>
        <w:tc>
          <w:tcPr>
            <w:tcW w:w="414" w:type="pct"/>
            <w:tcBorders>
              <w:tl2br w:val="nil"/>
              <w:tr2bl w:val="nil"/>
            </w:tcBorders>
            <w:vAlign w:val="center"/>
          </w:tcPr>
          <w:p w14:paraId="465FADA1">
            <w:pPr>
              <w:spacing w:line="240" w:lineRule="auto"/>
              <w:ind w:firstLine="0" w:firstLineChars="0"/>
              <w:jc w:val="center"/>
              <w:rPr>
                <w:color w:val="auto"/>
                <w:sz w:val="21"/>
                <w:szCs w:val="21"/>
                <w:highlight w:val="none"/>
              </w:rPr>
            </w:pPr>
            <w:r>
              <w:rPr>
                <w:color w:val="auto"/>
                <w:sz w:val="21"/>
                <w:szCs w:val="21"/>
                <w:highlight w:val="none"/>
              </w:rPr>
              <w:t>2.3</w:t>
            </w:r>
          </w:p>
        </w:tc>
      </w:tr>
      <w:tr w14:paraId="4F9551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6C8D22E6">
            <w:pPr>
              <w:spacing w:line="240" w:lineRule="auto"/>
              <w:ind w:firstLine="0" w:firstLineChars="0"/>
              <w:jc w:val="center"/>
              <w:rPr>
                <w:color w:val="auto"/>
                <w:sz w:val="21"/>
                <w:szCs w:val="21"/>
                <w:highlight w:val="none"/>
              </w:rPr>
            </w:pPr>
          </w:p>
        </w:tc>
        <w:tc>
          <w:tcPr>
            <w:tcW w:w="657" w:type="pct"/>
            <w:vMerge w:val="restart"/>
            <w:tcBorders>
              <w:tl2br w:val="nil"/>
              <w:tr2bl w:val="nil"/>
            </w:tcBorders>
            <w:vAlign w:val="center"/>
          </w:tcPr>
          <w:p w14:paraId="7D80C970">
            <w:pPr>
              <w:spacing w:line="240" w:lineRule="auto"/>
              <w:ind w:firstLine="0" w:firstLineChars="0"/>
              <w:jc w:val="center"/>
              <w:rPr>
                <w:color w:val="auto"/>
                <w:sz w:val="21"/>
                <w:szCs w:val="21"/>
                <w:highlight w:val="none"/>
              </w:rPr>
            </w:pPr>
            <w:r>
              <w:rPr>
                <w:color w:val="auto"/>
                <w:sz w:val="21"/>
                <w:szCs w:val="21"/>
                <w:highlight w:val="none"/>
              </w:rPr>
              <w:t>G2项目厂界下风向监控点1</w:t>
            </w:r>
          </w:p>
        </w:tc>
        <w:tc>
          <w:tcPr>
            <w:tcW w:w="324" w:type="pct"/>
            <w:tcBorders>
              <w:tl2br w:val="nil"/>
              <w:tr2bl w:val="nil"/>
            </w:tcBorders>
            <w:vAlign w:val="center"/>
          </w:tcPr>
          <w:p w14:paraId="50BCBF81">
            <w:pPr>
              <w:spacing w:line="240" w:lineRule="auto"/>
              <w:ind w:firstLine="0" w:firstLineChars="0"/>
              <w:jc w:val="center"/>
              <w:rPr>
                <w:color w:val="auto"/>
                <w:sz w:val="21"/>
                <w:szCs w:val="21"/>
                <w:highlight w:val="none"/>
              </w:rPr>
            </w:pPr>
            <w:r>
              <w:rPr>
                <w:color w:val="auto"/>
                <w:sz w:val="21"/>
                <w:szCs w:val="21"/>
                <w:highlight w:val="none"/>
              </w:rPr>
              <w:t>1</w:t>
            </w:r>
          </w:p>
        </w:tc>
        <w:tc>
          <w:tcPr>
            <w:tcW w:w="719" w:type="pct"/>
            <w:tcBorders>
              <w:tl2br w:val="nil"/>
              <w:tr2bl w:val="nil"/>
            </w:tcBorders>
            <w:vAlign w:val="center"/>
          </w:tcPr>
          <w:p w14:paraId="740B8E67">
            <w:pPr>
              <w:spacing w:line="240" w:lineRule="auto"/>
              <w:ind w:firstLine="0" w:firstLineChars="0"/>
              <w:jc w:val="center"/>
              <w:rPr>
                <w:color w:val="auto"/>
                <w:sz w:val="21"/>
                <w:szCs w:val="21"/>
                <w:highlight w:val="none"/>
              </w:rPr>
            </w:pPr>
            <w:r>
              <w:rPr>
                <w:color w:val="auto"/>
                <w:sz w:val="21"/>
                <w:szCs w:val="21"/>
                <w:highlight w:val="none"/>
              </w:rPr>
              <w:t>＜0.010</w:t>
            </w:r>
          </w:p>
        </w:tc>
        <w:tc>
          <w:tcPr>
            <w:tcW w:w="673" w:type="pct"/>
            <w:tcBorders>
              <w:tl2br w:val="nil"/>
              <w:tr2bl w:val="nil"/>
            </w:tcBorders>
            <w:vAlign w:val="center"/>
          </w:tcPr>
          <w:p w14:paraId="7A62FDC0">
            <w:pPr>
              <w:spacing w:line="240" w:lineRule="auto"/>
              <w:ind w:firstLine="0" w:firstLineChars="0"/>
              <w:jc w:val="center"/>
              <w:rPr>
                <w:color w:val="auto"/>
                <w:sz w:val="21"/>
                <w:szCs w:val="21"/>
                <w:highlight w:val="none"/>
              </w:rPr>
            </w:pPr>
            <w:r>
              <w:rPr>
                <w:color w:val="auto"/>
                <w:sz w:val="21"/>
                <w:szCs w:val="21"/>
                <w:highlight w:val="none"/>
              </w:rPr>
              <w:t xml:space="preserve">0.74 </w:t>
            </w:r>
          </w:p>
        </w:tc>
        <w:tc>
          <w:tcPr>
            <w:tcW w:w="425" w:type="pct"/>
            <w:tcBorders>
              <w:tl2br w:val="nil"/>
              <w:tr2bl w:val="nil"/>
            </w:tcBorders>
            <w:vAlign w:val="center"/>
          </w:tcPr>
          <w:p w14:paraId="42ADA42A">
            <w:pPr>
              <w:spacing w:line="240" w:lineRule="auto"/>
              <w:ind w:firstLine="0" w:firstLineChars="0"/>
              <w:jc w:val="center"/>
              <w:rPr>
                <w:color w:val="auto"/>
                <w:sz w:val="21"/>
                <w:szCs w:val="21"/>
                <w:highlight w:val="none"/>
              </w:rPr>
            </w:pPr>
            <w:r>
              <w:rPr>
                <w:color w:val="auto"/>
                <w:sz w:val="21"/>
                <w:szCs w:val="21"/>
                <w:highlight w:val="none"/>
              </w:rPr>
              <w:t>25.3</w:t>
            </w:r>
          </w:p>
        </w:tc>
        <w:tc>
          <w:tcPr>
            <w:tcW w:w="425" w:type="pct"/>
            <w:tcBorders>
              <w:tl2br w:val="nil"/>
              <w:tr2bl w:val="nil"/>
            </w:tcBorders>
            <w:vAlign w:val="center"/>
          </w:tcPr>
          <w:p w14:paraId="1A7FAB03">
            <w:pPr>
              <w:spacing w:line="240" w:lineRule="auto"/>
              <w:ind w:firstLine="0" w:firstLineChars="0"/>
              <w:jc w:val="center"/>
              <w:rPr>
                <w:color w:val="auto"/>
                <w:sz w:val="21"/>
                <w:szCs w:val="21"/>
                <w:highlight w:val="none"/>
              </w:rPr>
            </w:pPr>
            <w:r>
              <w:rPr>
                <w:color w:val="auto"/>
                <w:sz w:val="21"/>
                <w:szCs w:val="21"/>
                <w:highlight w:val="none"/>
              </w:rPr>
              <w:t>1011.2</w:t>
            </w:r>
          </w:p>
        </w:tc>
        <w:tc>
          <w:tcPr>
            <w:tcW w:w="533" w:type="pct"/>
            <w:tcBorders>
              <w:tl2br w:val="nil"/>
              <w:tr2bl w:val="nil"/>
            </w:tcBorders>
            <w:vAlign w:val="center"/>
          </w:tcPr>
          <w:p w14:paraId="2ED05E12">
            <w:pPr>
              <w:spacing w:line="240" w:lineRule="auto"/>
              <w:ind w:firstLine="0" w:firstLineChars="0"/>
              <w:jc w:val="center"/>
              <w:rPr>
                <w:color w:val="auto"/>
                <w:sz w:val="21"/>
                <w:szCs w:val="21"/>
                <w:highlight w:val="none"/>
              </w:rPr>
            </w:pPr>
            <w:r>
              <w:rPr>
                <w:color w:val="auto"/>
                <w:sz w:val="21"/>
                <w:szCs w:val="21"/>
                <w:highlight w:val="none"/>
              </w:rPr>
              <w:t>79</w:t>
            </w:r>
          </w:p>
        </w:tc>
        <w:tc>
          <w:tcPr>
            <w:tcW w:w="471" w:type="pct"/>
            <w:tcBorders>
              <w:tl2br w:val="nil"/>
              <w:tr2bl w:val="nil"/>
            </w:tcBorders>
            <w:vAlign w:val="center"/>
          </w:tcPr>
          <w:p w14:paraId="0AB59310">
            <w:pPr>
              <w:spacing w:line="240" w:lineRule="auto"/>
              <w:ind w:firstLine="0" w:firstLineChars="0"/>
              <w:jc w:val="center"/>
              <w:rPr>
                <w:color w:val="auto"/>
                <w:sz w:val="21"/>
                <w:szCs w:val="21"/>
                <w:highlight w:val="none"/>
              </w:rPr>
            </w:pPr>
            <w:r>
              <w:rPr>
                <w:color w:val="auto"/>
                <w:sz w:val="21"/>
                <w:szCs w:val="21"/>
                <w:highlight w:val="none"/>
              </w:rPr>
              <w:t>西南</w:t>
            </w:r>
          </w:p>
        </w:tc>
        <w:tc>
          <w:tcPr>
            <w:tcW w:w="414" w:type="pct"/>
            <w:tcBorders>
              <w:tl2br w:val="nil"/>
              <w:tr2bl w:val="nil"/>
            </w:tcBorders>
            <w:vAlign w:val="center"/>
          </w:tcPr>
          <w:p w14:paraId="72D77AF7">
            <w:pPr>
              <w:spacing w:line="240" w:lineRule="auto"/>
              <w:ind w:firstLine="0" w:firstLineChars="0"/>
              <w:jc w:val="center"/>
              <w:rPr>
                <w:color w:val="auto"/>
                <w:sz w:val="21"/>
                <w:szCs w:val="21"/>
                <w:highlight w:val="none"/>
              </w:rPr>
            </w:pPr>
            <w:r>
              <w:rPr>
                <w:color w:val="auto"/>
                <w:sz w:val="21"/>
                <w:szCs w:val="21"/>
                <w:highlight w:val="none"/>
              </w:rPr>
              <w:t>2.5</w:t>
            </w:r>
          </w:p>
        </w:tc>
      </w:tr>
      <w:tr w14:paraId="1E3D49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2E6D8AD1">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3B732E85">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4CCC7FCE">
            <w:pPr>
              <w:spacing w:line="240" w:lineRule="auto"/>
              <w:ind w:firstLine="0" w:firstLineChars="0"/>
              <w:jc w:val="center"/>
              <w:rPr>
                <w:color w:val="auto"/>
                <w:sz w:val="21"/>
                <w:szCs w:val="21"/>
                <w:highlight w:val="none"/>
              </w:rPr>
            </w:pPr>
            <w:r>
              <w:rPr>
                <w:color w:val="auto"/>
                <w:sz w:val="21"/>
                <w:szCs w:val="21"/>
                <w:highlight w:val="none"/>
              </w:rPr>
              <w:t>2</w:t>
            </w:r>
          </w:p>
        </w:tc>
        <w:tc>
          <w:tcPr>
            <w:tcW w:w="719" w:type="pct"/>
            <w:tcBorders>
              <w:tl2br w:val="nil"/>
              <w:tr2bl w:val="nil"/>
            </w:tcBorders>
            <w:vAlign w:val="center"/>
          </w:tcPr>
          <w:p w14:paraId="5C4FD35B">
            <w:pPr>
              <w:spacing w:line="240" w:lineRule="auto"/>
              <w:ind w:firstLine="0" w:firstLineChars="0"/>
              <w:jc w:val="center"/>
              <w:rPr>
                <w:color w:val="auto"/>
                <w:sz w:val="21"/>
                <w:szCs w:val="21"/>
                <w:highlight w:val="none"/>
              </w:rPr>
            </w:pPr>
            <w:r>
              <w:rPr>
                <w:color w:val="auto"/>
                <w:sz w:val="21"/>
                <w:szCs w:val="21"/>
                <w:highlight w:val="none"/>
              </w:rPr>
              <w:t>＜0.010</w:t>
            </w:r>
          </w:p>
        </w:tc>
        <w:tc>
          <w:tcPr>
            <w:tcW w:w="673" w:type="pct"/>
            <w:tcBorders>
              <w:tl2br w:val="nil"/>
              <w:tr2bl w:val="nil"/>
            </w:tcBorders>
            <w:vAlign w:val="center"/>
          </w:tcPr>
          <w:p w14:paraId="7D6C3BDF">
            <w:pPr>
              <w:spacing w:line="240" w:lineRule="auto"/>
              <w:ind w:firstLine="0" w:firstLineChars="0"/>
              <w:jc w:val="center"/>
              <w:rPr>
                <w:color w:val="auto"/>
                <w:sz w:val="21"/>
                <w:szCs w:val="21"/>
                <w:highlight w:val="none"/>
              </w:rPr>
            </w:pPr>
            <w:r>
              <w:rPr>
                <w:color w:val="auto"/>
                <w:sz w:val="21"/>
                <w:szCs w:val="21"/>
                <w:highlight w:val="none"/>
              </w:rPr>
              <w:t xml:space="preserve">0.72 </w:t>
            </w:r>
          </w:p>
        </w:tc>
        <w:tc>
          <w:tcPr>
            <w:tcW w:w="425" w:type="pct"/>
            <w:tcBorders>
              <w:tl2br w:val="nil"/>
              <w:tr2bl w:val="nil"/>
            </w:tcBorders>
            <w:vAlign w:val="center"/>
          </w:tcPr>
          <w:p w14:paraId="3C41D6D8">
            <w:pPr>
              <w:spacing w:line="240" w:lineRule="auto"/>
              <w:ind w:firstLine="0" w:firstLineChars="0"/>
              <w:jc w:val="center"/>
              <w:rPr>
                <w:color w:val="auto"/>
                <w:sz w:val="21"/>
                <w:szCs w:val="21"/>
                <w:highlight w:val="none"/>
              </w:rPr>
            </w:pPr>
            <w:r>
              <w:rPr>
                <w:color w:val="auto"/>
                <w:sz w:val="21"/>
                <w:szCs w:val="21"/>
                <w:highlight w:val="none"/>
              </w:rPr>
              <w:t>27.2</w:t>
            </w:r>
          </w:p>
        </w:tc>
        <w:tc>
          <w:tcPr>
            <w:tcW w:w="425" w:type="pct"/>
            <w:tcBorders>
              <w:tl2br w:val="nil"/>
              <w:tr2bl w:val="nil"/>
            </w:tcBorders>
            <w:vAlign w:val="center"/>
          </w:tcPr>
          <w:p w14:paraId="44DBE79F">
            <w:pPr>
              <w:spacing w:line="240" w:lineRule="auto"/>
              <w:ind w:firstLine="0" w:firstLineChars="0"/>
              <w:jc w:val="center"/>
              <w:rPr>
                <w:color w:val="auto"/>
                <w:sz w:val="21"/>
                <w:szCs w:val="21"/>
                <w:highlight w:val="none"/>
              </w:rPr>
            </w:pPr>
            <w:r>
              <w:rPr>
                <w:color w:val="auto"/>
                <w:sz w:val="21"/>
                <w:szCs w:val="21"/>
                <w:highlight w:val="none"/>
              </w:rPr>
              <w:t>1010.8</w:t>
            </w:r>
          </w:p>
        </w:tc>
        <w:tc>
          <w:tcPr>
            <w:tcW w:w="533" w:type="pct"/>
            <w:tcBorders>
              <w:tl2br w:val="nil"/>
              <w:tr2bl w:val="nil"/>
            </w:tcBorders>
            <w:vAlign w:val="center"/>
          </w:tcPr>
          <w:p w14:paraId="43519FB8">
            <w:pPr>
              <w:spacing w:line="240" w:lineRule="auto"/>
              <w:ind w:firstLine="0" w:firstLineChars="0"/>
              <w:jc w:val="center"/>
              <w:rPr>
                <w:color w:val="auto"/>
                <w:sz w:val="21"/>
                <w:szCs w:val="21"/>
                <w:highlight w:val="none"/>
              </w:rPr>
            </w:pPr>
            <w:r>
              <w:rPr>
                <w:color w:val="auto"/>
                <w:sz w:val="21"/>
                <w:szCs w:val="21"/>
                <w:highlight w:val="none"/>
              </w:rPr>
              <w:t>78</w:t>
            </w:r>
          </w:p>
        </w:tc>
        <w:tc>
          <w:tcPr>
            <w:tcW w:w="471" w:type="pct"/>
            <w:tcBorders>
              <w:tl2br w:val="nil"/>
              <w:tr2bl w:val="nil"/>
            </w:tcBorders>
            <w:vAlign w:val="center"/>
          </w:tcPr>
          <w:p w14:paraId="2D693155">
            <w:pPr>
              <w:spacing w:line="240" w:lineRule="auto"/>
              <w:ind w:firstLine="0" w:firstLineChars="0"/>
              <w:jc w:val="center"/>
              <w:rPr>
                <w:color w:val="auto"/>
                <w:sz w:val="21"/>
                <w:szCs w:val="21"/>
                <w:highlight w:val="none"/>
              </w:rPr>
            </w:pPr>
            <w:r>
              <w:rPr>
                <w:color w:val="auto"/>
                <w:sz w:val="21"/>
                <w:szCs w:val="21"/>
                <w:highlight w:val="none"/>
              </w:rPr>
              <w:t>西南</w:t>
            </w:r>
          </w:p>
        </w:tc>
        <w:tc>
          <w:tcPr>
            <w:tcW w:w="414" w:type="pct"/>
            <w:tcBorders>
              <w:tl2br w:val="nil"/>
              <w:tr2bl w:val="nil"/>
            </w:tcBorders>
            <w:vAlign w:val="center"/>
          </w:tcPr>
          <w:p w14:paraId="37965B67">
            <w:pPr>
              <w:spacing w:line="240" w:lineRule="auto"/>
              <w:ind w:firstLine="0" w:firstLineChars="0"/>
              <w:jc w:val="center"/>
              <w:rPr>
                <w:color w:val="auto"/>
                <w:sz w:val="21"/>
                <w:szCs w:val="21"/>
                <w:highlight w:val="none"/>
              </w:rPr>
            </w:pPr>
            <w:r>
              <w:rPr>
                <w:color w:val="auto"/>
                <w:sz w:val="21"/>
                <w:szCs w:val="21"/>
                <w:highlight w:val="none"/>
              </w:rPr>
              <w:t>1.9</w:t>
            </w:r>
          </w:p>
        </w:tc>
      </w:tr>
      <w:tr w14:paraId="1A185D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3047C67B">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4C9627B0">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377D5DF5">
            <w:pPr>
              <w:spacing w:line="240" w:lineRule="auto"/>
              <w:ind w:firstLine="0" w:firstLineChars="0"/>
              <w:jc w:val="center"/>
              <w:rPr>
                <w:color w:val="auto"/>
                <w:sz w:val="21"/>
                <w:szCs w:val="21"/>
                <w:highlight w:val="none"/>
              </w:rPr>
            </w:pPr>
            <w:r>
              <w:rPr>
                <w:color w:val="auto"/>
                <w:sz w:val="21"/>
                <w:szCs w:val="21"/>
                <w:highlight w:val="none"/>
              </w:rPr>
              <w:t>3</w:t>
            </w:r>
          </w:p>
        </w:tc>
        <w:tc>
          <w:tcPr>
            <w:tcW w:w="719" w:type="pct"/>
            <w:tcBorders>
              <w:tl2br w:val="nil"/>
              <w:tr2bl w:val="nil"/>
            </w:tcBorders>
            <w:vAlign w:val="center"/>
          </w:tcPr>
          <w:p w14:paraId="5F8A63BB">
            <w:pPr>
              <w:spacing w:line="240" w:lineRule="auto"/>
              <w:ind w:firstLine="0" w:firstLineChars="0"/>
              <w:jc w:val="center"/>
              <w:rPr>
                <w:color w:val="auto"/>
                <w:sz w:val="21"/>
                <w:szCs w:val="21"/>
                <w:highlight w:val="none"/>
              </w:rPr>
            </w:pPr>
            <w:r>
              <w:rPr>
                <w:color w:val="auto"/>
                <w:sz w:val="21"/>
                <w:szCs w:val="21"/>
                <w:highlight w:val="none"/>
              </w:rPr>
              <w:t>＜0.010</w:t>
            </w:r>
          </w:p>
        </w:tc>
        <w:tc>
          <w:tcPr>
            <w:tcW w:w="673" w:type="pct"/>
            <w:tcBorders>
              <w:tl2br w:val="nil"/>
              <w:tr2bl w:val="nil"/>
            </w:tcBorders>
            <w:vAlign w:val="center"/>
          </w:tcPr>
          <w:p w14:paraId="5B20F411">
            <w:pPr>
              <w:spacing w:line="240" w:lineRule="auto"/>
              <w:ind w:firstLine="0" w:firstLineChars="0"/>
              <w:jc w:val="center"/>
              <w:rPr>
                <w:color w:val="auto"/>
                <w:sz w:val="21"/>
                <w:szCs w:val="21"/>
                <w:highlight w:val="none"/>
              </w:rPr>
            </w:pPr>
            <w:r>
              <w:rPr>
                <w:color w:val="auto"/>
                <w:sz w:val="21"/>
                <w:szCs w:val="21"/>
                <w:highlight w:val="none"/>
              </w:rPr>
              <w:t xml:space="preserve">0.72 </w:t>
            </w:r>
          </w:p>
        </w:tc>
        <w:tc>
          <w:tcPr>
            <w:tcW w:w="425" w:type="pct"/>
            <w:tcBorders>
              <w:tl2br w:val="nil"/>
              <w:tr2bl w:val="nil"/>
            </w:tcBorders>
            <w:vAlign w:val="center"/>
          </w:tcPr>
          <w:p w14:paraId="1A40290A">
            <w:pPr>
              <w:spacing w:line="240" w:lineRule="auto"/>
              <w:ind w:firstLine="0" w:firstLineChars="0"/>
              <w:jc w:val="center"/>
              <w:rPr>
                <w:color w:val="auto"/>
                <w:sz w:val="21"/>
                <w:szCs w:val="21"/>
                <w:highlight w:val="none"/>
              </w:rPr>
            </w:pPr>
            <w:r>
              <w:rPr>
                <w:color w:val="auto"/>
                <w:sz w:val="21"/>
                <w:szCs w:val="21"/>
                <w:highlight w:val="none"/>
              </w:rPr>
              <w:t>30.8</w:t>
            </w:r>
          </w:p>
        </w:tc>
        <w:tc>
          <w:tcPr>
            <w:tcW w:w="425" w:type="pct"/>
            <w:tcBorders>
              <w:tl2br w:val="nil"/>
              <w:tr2bl w:val="nil"/>
            </w:tcBorders>
            <w:vAlign w:val="center"/>
          </w:tcPr>
          <w:p w14:paraId="2A731796">
            <w:pPr>
              <w:spacing w:line="240" w:lineRule="auto"/>
              <w:ind w:firstLine="0" w:firstLineChars="0"/>
              <w:jc w:val="center"/>
              <w:rPr>
                <w:color w:val="auto"/>
                <w:sz w:val="21"/>
                <w:szCs w:val="21"/>
                <w:highlight w:val="none"/>
              </w:rPr>
            </w:pPr>
            <w:r>
              <w:rPr>
                <w:color w:val="auto"/>
                <w:sz w:val="21"/>
                <w:szCs w:val="21"/>
                <w:highlight w:val="none"/>
              </w:rPr>
              <w:t>1009.0</w:t>
            </w:r>
          </w:p>
        </w:tc>
        <w:tc>
          <w:tcPr>
            <w:tcW w:w="533" w:type="pct"/>
            <w:tcBorders>
              <w:tl2br w:val="nil"/>
              <w:tr2bl w:val="nil"/>
            </w:tcBorders>
            <w:vAlign w:val="center"/>
          </w:tcPr>
          <w:p w14:paraId="1C5C9CC0">
            <w:pPr>
              <w:spacing w:line="240" w:lineRule="auto"/>
              <w:ind w:firstLine="0" w:firstLineChars="0"/>
              <w:jc w:val="center"/>
              <w:rPr>
                <w:color w:val="auto"/>
                <w:sz w:val="21"/>
                <w:szCs w:val="21"/>
                <w:highlight w:val="none"/>
              </w:rPr>
            </w:pPr>
            <w:r>
              <w:rPr>
                <w:color w:val="auto"/>
                <w:sz w:val="21"/>
                <w:szCs w:val="21"/>
                <w:highlight w:val="none"/>
              </w:rPr>
              <w:t>64</w:t>
            </w:r>
          </w:p>
        </w:tc>
        <w:tc>
          <w:tcPr>
            <w:tcW w:w="471" w:type="pct"/>
            <w:tcBorders>
              <w:tl2br w:val="nil"/>
              <w:tr2bl w:val="nil"/>
            </w:tcBorders>
            <w:vAlign w:val="center"/>
          </w:tcPr>
          <w:p w14:paraId="27F641A0">
            <w:pPr>
              <w:spacing w:line="240" w:lineRule="auto"/>
              <w:ind w:firstLine="0" w:firstLineChars="0"/>
              <w:jc w:val="center"/>
              <w:rPr>
                <w:color w:val="auto"/>
                <w:sz w:val="21"/>
                <w:szCs w:val="21"/>
                <w:highlight w:val="none"/>
              </w:rPr>
            </w:pPr>
            <w:r>
              <w:rPr>
                <w:color w:val="auto"/>
                <w:sz w:val="21"/>
                <w:szCs w:val="21"/>
                <w:highlight w:val="none"/>
              </w:rPr>
              <w:t>西南</w:t>
            </w:r>
          </w:p>
        </w:tc>
        <w:tc>
          <w:tcPr>
            <w:tcW w:w="414" w:type="pct"/>
            <w:tcBorders>
              <w:tl2br w:val="nil"/>
              <w:tr2bl w:val="nil"/>
            </w:tcBorders>
            <w:vAlign w:val="center"/>
          </w:tcPr>
          <w:p w14:paraId="2D4062BB">
            <w:pPr>
              <w:spacing w:line="240" w:lineRule="auto"/>
              <w:ind w:firstLine="0" w:firstLineChars="0"/>
              <w:jc w:val="center"/>
              <w:rPr>
                <w:color w:val="auto"/>
                <w:sz w:val="21"/>
                <w:szCs w:val="21"/>
                <w:highlight w:val="none"/>
              </w:rPr>
            </w:pPr>
            <w:r>
              <w:rPr>
                <w:color w:val="auto"/>
                <w:sz w:val="21"/>
                <w:szCs w:val="21"/>
                <w:highlight w:val="none"/>
              </w:rPr>
              <w:t>2.2</w:t>
            </w:r>
          </w:p>
        </w:tc>
      </w:tr>
      <w:tr w14:paraId="090706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33DA0295">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4DA1E1E6">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5664113D">
            <w:pPr>
              <w:spacing w:line="240" w:lineRule="auto"/>
              <w:ind w:firstLine="0" w:firstLineChars="0"/>
              <w:jc w:val="center"/>
              <w:rPr>
                <w:color w:val="auto"/>
                <w:sz w:val="21"/>
                <w:szCs w:val="21"/>
                <w:highlight w:val="none"/>
              </w:rPr>
            </w:pPr>
            <w:r>
              <w:rPr>
                <w:color w:val="auto"/>
                <w:sz w:val="21"/>
                <w:szCs w:val="21"/>
                <w:highlight w:val="none"/>
              </w:rPr>
              <w:t>4</w:t>
            </w:r>
          </w:p>
        </w:tc>
        <w:tc>
          <w:tcPr>
            <w:tcW w:w="719" w:type="pct"/>
            <w:tcBorders>
              <w:tl2br w:val="nil"/>
              <w:tr2bl w:val="nil"/>
            </w:tcBorders>
            <w:vAlign w:val="center"/>
          </w:tcPr>
          <w:p w14:paraId="57F64573">
            <w:pPr>
              <w:spacing w:line="240" w:lineRule="auto"/>
              <w:ind w:firstLine="0" w:firstLineChars="0"/>
              <w:jc w:val="center"/>
              <w:rPr>
                <w:color w:val="auto"/>
                <w:sz w:val="21"/>
                <w:szCs w:val="21"/>
                <w:highlight w:val="none"/>
              </w:rPr>
            </w:pPr>
            <w:r>
              <w:rPr>
                <w:color w:val="auto"/>
                <w:sz w:val="21"/>
                <w:szCs w:val="21"/>
                <w:highlight w:val="none"/>
              </w:rPr>
              <w:t>＜0.010</w:t>
            </w:r>
          </w:p>
        </w:tc>
        <w:tc>
          <w:tcPr>
            <w:tcW w:w="673" w:type="pct"/>
            <w:tcBorders>
              <w:tl2br w:val="nil"/>
              <w:tr2bl w:val="nil"/>
            </w:tcBorders>
            <w:vAlign w:val="center"/>
          </w:tcPr>
          <w:p w14:paraId="1DD32306">
            <w:pPr>
              <w:spacing w:line="240" w:lineRule="auto"/>
              <w:ind w:firstLine="0" w:firstLineChars="0"/>
              <w:jc w:val="center"/>
              <w:rPr>
                <w:color w:val="auto"/>
                <w:sz w:val="21"/>
                <w:szCs w:val="21"/>
                <w:highlight w:val="none"/>
              </w:rPr>
            </w:pPr>
            <w:r>
              <w:rPr>
                <w:color w:val="auto"/>
                <w:sz w:val="21"/>
                <w:szCs w:val="21"/>
                <w:highlight w:val="none"/>
              </w:rPr>
              <w:t xml:space="preserve">0.72 </w:t>
            </w:r>
          </w:p>
        </w:tc>
        <w:tc>
          <w:tcPr>
            <w:tcW w:w="425" w:type="pct"/>
            <w:tcBorders>
              <w:tl2br w:val="nil"/>
              <w:tr2bl w:val="nil"/>
            </w:tcBorders>
            <w:vAlign w:val="center"/>
          </w:tcPr>
          <w:p w14:paraId="47F35347">
            <w:pPr>
              <w:spacing w:line="240" w:lineRule="auto"/>
              <w:ind w:firstLine="0" w:firstLineChars="0"/>
              <w:jc w:val="center"/>
              <w:rPr>
                <w:color w:val="auto"/>
                <w:sz w:val="21"/>
                <w:szCs w:val="21"/>
                <w:highlight w:val="none"/>
              </w:rPr>
            </w:pPr>
            <w:r>
              <w:rPr>
                <w:color w:val="auto"/>
                <w:sz w:val="21"/>
                <w:szCs w:val="21"/>
                <w:highlight w:val="none"/>
              </w:rPr>
              <w:t>28.6</w:t>
            </w:r>
          </w:p>
        </w:tc>
        <w:tc>
          <w:tcPr>
            <w:tcW w:w="425" w:type="pct"/>
            <w:tcBorders>
              <w:tl2br w:val="nil"/>
              <w:tr2bl w:val="nil"/>
            </w:tcBorders>
            <w:vAlign w:val="center"/>
          </w:tcPr>
          <w:p w14:paraId="5CCEAA2D">
            <w:pPr>
              <w:spacing w:line="240" w:lineRule="auto"/>
              <w:ind w:firstLine="0" w:firstLineChars="0"/>
              <w:jc w:val="center"/>
              <w:rPr>
                <w:color w:val="auto"/>
                <w:sz w:val="21"/>
                <w:szCs w:val="21"/>
                <w:highlight w:val="none"/>
              </w:rPr>
            </w:pPr>
            <w:r>
              <w:rPr>
                <w:color w:val="auto"/>
                <w:sz w:val="21"/>
                <w:szCs w:val="21"/>
                <w:highlight w:val="none"/>
              </w:rPr>
              <w:t>1009.6</w:t>
            </w:r>
          </w:p>
        </w:tc>
        <w:tc>
          <w:tcPr>
            <w:tcW w:w="533" w:type="pct"/>
            <w:tcBorders>
              <w:tl2br w:val="nil"/>
              <w:tr2bl w:val="nil"/>
            </w:tcBorders>
            <w:vAlign w:val="center"/>
          </w:tcPr>
          <w:p w14:paraId="7F6362F3">
            <w:pPr>
              <w:spacing w:line="240" w:lineRule="auto"/>
              <w:ind w:firstLine="0" w:firstLineChars="0"/>
              <w:jc w:val="center"/>
              <w:rPr>
                <w:color w:val="auto"/>
                <w:sz w:val="21"/>
                <w:szCs w:val="21"/>
                <w:highlight w:val="none"/>
              </w:rPr>
            </w:pPr>
            <w:r>
              <w:rPr>
                <w:color w:val="auto"/>
                <w:sz w:val="21"/>
                <w:szCs w:val="21"/>
                <w:highlight w:val="none"/>
              </w:rPr>
              <w:t>73</w:t>
            </w:r>
          </w:p>
        </w:tc>
        <w:tc>
          <w:tcPr>
            <w:tcW w:w="471" w:type="pct"/>
            <w:tcBorders>
              <w:tl2br w:val="nil"/>
              <w:tr2bl w:val="nil"/>
            </w:tcBorders>
            <w:vAlign w:val="center"/>
          </w:tcPr>
          <w:p w14:paraId="22D805FB">
            <w:pPr>
              <w:spacing w:line="240" w:lineRule="auto"/>
              <w:ind w:firstLine="0" w:firstLineChars="0"/>
              <w:jc w:val="center"/>
              <w:rPr>
                <w:color w:val="auto"/>
                <w:sz w:val="21"/>
                <w:szCs w:val="21"/>
                <w:highlight w:val="none"/>
              </w:rPr>
            </w:pPr>
            <w:r>
              <w:rPr>
                <w:color w:val="auto"/>
                <w:sz w:val="21"/>
                <w:szCs w:val="21"/>
                <w:highlight w:val="none"/>
              </w:rPr>
              <w:t>西南</w:t>
            </w:r>
          </w:p>
        </w:tc>
        <w:tc>
          <w:tcPr>
            <w:tcW w:w="414" w:type="pct"/>
            <w:tcBorders>
              <w:tl2br w:val="nil"/>
              <w:tr2bl w:val="nil"/>
            </w:tcBorders>
            <w:vAlign w:val="center"/>
          </w:tcPr>
          <w:p w14:paraId="546A31D8">
            <w:pPr>
              <w:spacing w:line="240" w:lineRule="auto"/>
              <w:ind w:firstLine="0" w:firstLineChars="0"/>
              <w:jc w:val="center"/>
              <w:rPr>
                <w:color w:val="auto"/>
                <w:sz w:val="21"/>
                <w:szCs w:val="21"/>
                <w:highlight w:val="none"/>
              </w:rPr>
            </w:pPr>
            <w:r>
              <w:rPr>
                <w:color w:val="auto"/>
                <w:sz w:val="21"/>
                <w:szCs w:val="21"/>
                <w:highlight w:val="none"/>
              </w:rPr>
              <w:t>2.3</w:t>
            </w:r>
          </w:p>
        </w:tc>
      </w:tr>
      <w:tr w14:paraId="0B04A3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6D8317F2">
            <w:pPr>
              <w:spacing w:line="240" w:lineRule="auto"/>
              <w:ind w:firstLine="0" w:firstLineChars="0"/>
              <w:jc w:val="center"/>
              <w:rPr>
                <w:color w:val="auto"/>
                <w:sz w:val="21"/>
                <w:szCs w:val="21"/>
                <w:highlight w:val="none"/>
              </w:rPr>
            </w:pPr>
          </w:p>
        </w:tc>
        <w:tc>
          <w:tcPr>
            <w:tcW w:w="657" w:type="pct"/>
            <w:vMerge w:val="restart"/>
            <w:tcBorders>
              <w:tl2br w:val="nil"/>
              <w:tr2bl w:val="nil"/>
            </w:tcBorders>
            <w:vAlign w:val="center"/>
          </w:tcPr>
          <w:p w14:paraId="593A97B2">
            <w:pPr>
              <w:spacing w:line="240" w:lineRule="auto"/>
              <w:ind w:firstLine="0" w:firstLineChars="0"/>
              <w:jc w:val="center"/>
              <w:rPr>
                <w:color w:val="auto"/>
                <w:sz w:val="21"/>
                <w:szCs w:val="21"/>
                <w:highlight w:val="none"/>
              </w:rPr>
            </w:pPr>
            <w:r>
              <w:rPr>
                <w:color w:val="auto"/>
                <w:sz w:val="21"/>
                <w:szCs w:val="21"/>
                <w:highlight w:val="none"/>
              </w:rPr>
              <w:t>G3项目厂界下风向监控点2</w:t>
            </w:r>
          </w:p>
        </w:tc>
        <w:tc>
          <w:tcPr>
            <w:tcW w:w="324" w:type="pct"/>
            <w:tcBorders>
              <w:tl2br w:val="nil"/>
              <w:tr2bl w:val="nil"/>
            </w:tcBorders>
            <w:vAlign w:val="center"/>
          </w:tcPr>
          <w:p w14:paraId="37DA8060">
            <w:pPr>
              <w:spacing w:line="240" w:lineRule="auto"/>
              <w:ind w:firstLine="0" w:firstLineChars="0"/>
              <w:jc w:val="center"/>
              <w:rPr>
                <w:color w:val="auto"/>
                <w:sz w:val="21"/>
                <w:szCs w:val="21"/>
                <w:highlight w:val="none"/>
              </w:rPr>
            </w:pPr>
            <w:r>
              <w:rPr>
                <w:color w:val="auto"/>
                <w:sz w:val="21"/>
                <w:szCs w:val="21"/>
                <w:highlight w:val="none"/>
              </w:rPr>
              <w:t>1</w:t>
            </w:r>
          </w:p>
        </w:tc>
        <w:tc>
          <w:tcPr>
            <w:tcW w:w="719" w:type="pct"/>
            <w:tcBorders>
              <w:tl2br w:val="nil"/>
              <w:tr2bl w:val="nil"/>
            </w:tcBorders>
            <w:vAlign w:val="center"/>
          </w:tcPr>
          <w:p w14:paraId="547BAE40">
            <w:pPr>
              <w:spacing w:line="240" w:lineRule="auto"/>
              <w:ind w:firstLine="0" w:firstLineChars="0"/>
              <w:jc w:val="center"/>
              <w:rPr>
                <w:color w:val="auto"/>
                <w:sz w:val="21"/>
                <w:szCs w:val="21"/>
                <w:highlight w:val="none"/>
              </w:rPr>
            </w:pPr>
            <w:r>
              <w:rPr>
                <w:color w:val="auto"/>
                <w:sz w:val="21"/>
                <w:szCs w:val="21"/>
                <w:highlight w:val="none"/>
              </w:rPr>
              <w:t>＜0.010</w:t>
            </w:r>
          </w:p>
        </w:tc>
        <w:tc>
          <w:tcPr>
            <w:tcW w:w="673" w:type="pct"/>
            <w:tcBorders>
              <w:tl2br w:val="nil"/>
              <w:tr2bl w:val="nil"/>
            </w:tcBorders>
            <w:vAlign w:val="center"/>
          </w:tcPr>
          <w:p w14:paraId="27D8C31D">
            <w:pPr>
              <w:spacing w:line="240" w:lineRule="auto"/>
              <w:ind w:firstLine="0" w:firstLineChars="0"/>
              <w:jc w:val="center"/>
              <w:rPr>
                <w:color w:val="auto"/>
                <w:sz w:val="21"/>
                <w:szCs w:val="21"/>
                <w:highlight w:val="none"/>
              </w:rPr>
            </w:pPr>
            <w:r>
              <w:rPr>
                <w:color w:val="auto"/>
                <w:sz w:val="21"/>
                <w:szCs w:val="21"/>
                <w:highlight w:val="none"/>
              </w:rPr>
              <w:t xml:space="preserve">0.71 </w:t>
            </w:r>
          </w:p>
        </w:tc>
        <w:tc>
          <w:tcPr>
            <w:tcW w:w="425" w:type="pct"/>
            <w:tcBorders>
              <w:tl2br w:val="nil"/>
              <w:tr2bl w:val="nil"/>
            </w:tcBorders>
            <w:vAlign w:val="center"/>
          </w:tcPr>
          <w:p w14:paraId="41C1FEA9">
            <w:pPr>
              <w:spacing w:line="240" w:lineRule="auto"/>
              <w:ind w:firstLine="0" w:firstLineChars="0"/>
              <w:jc w:val="center"/>
              <w:rPr>
                <w:color w:val="auto"/>
                <w:sz w:val="21"/>
                <w:szCs w:val="21"/>
                <w:highlight w:val="none"/>
              </w:rPr>
            </w:pPr>
            <w:r>
              <w:rPr>
                <w:color w:val="auto"/>
                <w:sz w:val="21"/>
                <w:szCs w:val="21"/>
                <w:highlight w:val="none"/>
              </w:rPr>
              <w:t>25.3</w:t>
            </w:r>
          </w:p>
        </w:tc>
        <w:tc>
          <w:tcPr>
            <w:tcW w:w="425" w:type="pct"/>
            <w:tcBorders>
              <w:tl2br w:val="nil"/>
              <w:tr2bl w:val="nil"/>
            </w:tcBorders>
            <w:vAlign w:val="center"/>
          </w:tcPr>
          <w:p w14:paraId="4A536C0A">
            <w:pPr>
              <w:spacing w:line="240" w:lineRule="auto"/>
              <w:ind w:firstLine="0" w:firstLineChars="0"/>
              <w:jc w:val="center"/>
              <w:rPr>
                <w:color w:val="auto"/>
                <w:sz w:val="21"/>
                <w:szCs w:val="21"/>
                <w:highlight w:val="none"/>
              </w:rPr>
            </w:pPr>
            <w:r>
              <w:rPr>
                <w:color w:val="auto"/>
                <w:sz w:val="21"/>
                <w:szCs w:val="21"/>
                <w:highlight w:val="none"/>
              </w:rPr>
              <w:t>1011.2</w:t>
            </w:r>
          </w:p>
        </w:tc>
        <w:tc>
          <w:tcPr>
            <w:tcW w:w="533" w:type="pct"/>
            <w:tcBorders>
              <w:tl2br w:val="nil"/>
              <w:tr2bl w:val="nil"/>
            </w:tcBorders>
            <w:vAlign w:val="center"/>
          </w:tcPr>
          <w:p w14:paraId="7D64A2E1">
            <w:pPr>
              <w:spacing w:line="240" w:lineRule="auto"/>
              <w:ind w:firstLine="0" w:firstLineChars="0"/>
              <w:jc w:val="center"/>
              <w:rPr>
                <w:color w:val="auto"/>
                <w:sz w:val="21"/>
                <w:szCs w:val="21"/>
                <w:highlight w:val="none"/>
              </w:rPr>
            </w:pPr>
            <w:r>
              <w:rPr>
                <w:color w:val="auto"/>
                <w:sz w:val="21"/>
                <w:szCs w:val="21"/>
                <w:highlight w:val="none"/>
              </w:rPr>
              <w:t>79</w:t>
            </w:r>
          </w:p>
        </w:tc>
        <w:tc>
          <w:tcPr>
            <w:tcW w:w="471" w:type="pct"/>
            <w:tcBorders>
              <w:tl2br w:val="nil"/>
              <w:tr2bl w:val="nil"/>
            </w:tcBorders>
            <w:vAlign w:val="center"/>
          </w:tcPr>
          <w:p w14:paraId="18C99D7B">
            <w:pPr>
              <w:spacing w:line="240" w:lineRule="auto"/>
              <w:ind w:firstLine="0" w:firstLineChars="0"/>
              <w:jc w:val="center"/>
              <w:rPr>
                <w:color w:val="auto"/>
                <w:sz w:val="21"/>
                <w:szCs w:val="21"/>
                <w:highlight w:val="none"/>
              </w:rPr>
            </w:pPr>
            <w:r>
              <w:rPr>
                <w:color w:val="auto"/>
                <w:sz w:val="21"/>
                <w:szCs w:val="21"/>
                <w:highlight w:val="none"/>
              </w:rPr>
              <w:t>西南</w:t>
            </w:r>
          </w:p>
        </w:tc>
        <w:tc>
          <w:tcPr>
            <w:tcW w:w="414" w:type="pct"/>
            <w:tcBorders>
              <w:tl2br w:val="nil"/>
              <w:tr2bl w:val="nil"/>
            </w:tcBorders>
            <w:vAlign w:val="center"/>
          </w:tcPr>
          <w:p w14:paraId="09AB4863">
            <w:pPr>
              <w:spacing w:line="240" w:lineRule="auto"/>
              <w:ind w:firstLine="0" w:firstLineChars="0"/>
              <w:jc w:val="center"/>
              <w:rPr>
                <w:color w:val="auto"/>
                <w:sz w:val="21"/>
                <w:szCs w:val="21"/>
                <w:highlight w:val="none"/>
              </w:rPr>
            </w:pPr>
            <w:r>
              <w:rPr>
                <w:color w:val="auto"/>
                <w:sz w:val="21"/>
                <w:szCs w:val="21"/>
                <w:highlight w:val="none"/>
              </w:rPr>
              <w:t>2.5</w:t>
            </w:r>
          </w:p>
        </w:tc>
      </w:tr>
      <w:tr w14:paraId="45CBB0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4BF3066C">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454A4A7B">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4E182414">
            <w:pPr>
              <w:spacing w:line="240" w:lineRule="auto"/>
              <w:ind w:firstLine="0" w:firstLineChars="0"/>
              <w:jc w:val="center"/>
              <w:rPr>
                <w:color w:val="auto"/>
                <w:sz w:val="21"/>
                <w:szCs w:val="21"/>
                <w:highlight w:val="none"/>
              </w:rPr>
            </w:pPr>
            <w:r>
              <w:rPr>
                <w:color w:val="auto"/>
                <w:sz w:val="21"/>
                <w:szCs w:val="21"/>
                <w:highlight w:val="none"/>
              </w:rPr>
              <w:t>2</w:t>
            </w:r>
          </w:p>
        </w:tc>
        <w:tc>
          <w:tcPr>
            <w:tcW w:w="719" w:type="pct"/>
            <w:tcBorders>
              <w:tl2br w:val="nil"/>
              <w:tr2bl w:val="nil"/>
            </w:tcBorders>
            <w:vAlign w:val="center"/>
          </w:tcPr>
          <w:p w14:paraId="0F2CF37A">
            <w:pPr>
              <w:spacing w:line="240" w:lineRule="auto"/>
              <w:ind w:firstLine="0" w:firstLineChars="0"/>
              <w:jc w:val="center"/>
              <w:rPr>
                <w:color w:val="auto"/>
                <w:sz w:val="21"/>
                <w:szCs w:val="21"/>
                <w:highlight w:val="none"/>
              </w:rPr>
            </w:pPr>
            <w:r>
              <w:rPr>
                <w:color w:val="auto"/>
                <w:sz w:val="21"/>
                <w:szCs w:val="21"/>
                <w:highlight w:val="none"/>
              </w:rPr>
              <w:t>＜0.010</w:t>
            </w:r>
          </w:p>
        </w:tc>
        <w:tc>
          <w:tcPr>
            <w:tcW w:w="673" w:type="pct"/>
            <w:tcBorders>
              <w:tl2br w:val="nil"/>
              <w:tr2bl w:val="nil"/>
            </w:tcBorders>
            <w:vAlign w:val="center"/>
          </w:tcPr>
          <w:p w14:paraId="4A854B7D">
            <w:pPr>
              <w:spacing w:line="240" w:lineRule="auto"/>
              <w:ind w:firstLine="0" w:firstLineChars="0"/>
              <w:jc w:val="center"/>
              <w:rPr>
                <w:color w:val="auto"/>
                <w:sz w:val="21"/>
                <w:szCs w:val="21"/>
                <w:highlight w:val="none"/>
              </w:rPr>
            </w:pPr>
            <w:r>
              <w:rPr>
                <w:color w:val="auto"/>
                <w:sz w:val="21"/>
                <w:szCs w:val="21"/>
                <w:highlight w:val="none"/>
              </w:rPr>
              <w:t xml:space="preserve">0.72 </w:t>
            </w:r>
          </w:p>
        </w:tc>
        <w:tc>
          <w:tcPr>
            <w:tcW w:w="425" w:type="pct"/>
            <w:tcBorders>
              <w:tl2br w:val="nil"/>
              <w:tr2bl w:val="nil"/>
            </w:tcBorders>
            <w:vAlign w:val="center"/>
          </w:tcPr>
          <w:p w14:paraId="76ADCEC7">
            <w:pPr>
              <w:spacing w:line="240" w:lineRule="auto"/>
              <w:ind w:firstLine="0" w:firstLineChars="0"/>
              <w:jc w:val="center"/>
              <w:rPr>
                <w:color w:val="auto"/>
                <w:sz w:val="21"/>
                <w:szCs w:val="21"/>
                <w:highlight w:val="none"/>
              </w:rPr>
            </w:pPr>
            <w:r>
              <w:rPr>
                <w:color w:val="auto"/>
                <w:sz w:val="21"/>
                <w:szCs w:val="21"/>
                <w:highlight w:val="none"/>
              </w:rPr>
              <w:t>27.2</w:t>
            </w:r>
          </w:p>
        </w:tc>
        <w:tc>
          <w:tcPr>
            <w:tcW w:w="425" w:type="pct"/>
            <w:tcBorders>
              <w:tl2br w:val="nil"/>
              <w:tr2bl w:val="nil"/>
            </w:tcBorders>
            <w:vAlign w:val="center"/>
          </w:tcPr>
          <w:p w14:paraId="04E2965E">
            <w:pPr>
              <w:spacing w:line="240" w:lineRule="auto"/>
              <w:ind w:firstLine="0" w:firstLineChars="0"/>
              <w:jc w:val="center"/>
              <w:rPr>
                <w:color w:val="auto"/>
                <w:sz w:val="21"/>
                <w:szCs w:val="21"/>
                <w:highlight w:val="none"/>
              </w:rPr>
            </w:pPr>
            <w:r>
              <w:rPr>
                <w:color w:val="auto"/>
                <w:sz w:val="21"/>
                <w:szCs w:val="21"/>
                <w:highlight w:val="none"/>
              </w:rPr>
              <w:t>1010.8</w:t>
            </w:r>
          </w:p>
        </w:tc>
        <w:tc>
          <w:tcPr>
            <w:tcW w:w="533" w:type="pct"/>
            <w:tcBorders>
              <w:tl2br w:val="nil"/>
              <w:tr2bl w:val="nil"/>
            </w:tcBorders>
            <w:vAlign w:val="center"/>
          </w:tcPr>
          <w:p w14:paraId="03AF412F">
            <w:pPr>
              <w:spacing w:line="240" w:lineRule="auto"/>
              <w:ind w:firstLine="0" w:firstLineChars="0"/>
              <w:jc w:val="center"/>
              <w:rPr>
                <w:color w:val="auto"/>
                <w:sz w:val="21"/>
                <w:szCs w:val="21"/>
                <w:highlight w:val="none"/>
              </w:rPr>
            </w:pPr>
            <w:r>
              <w:rPr>
                <w:color w:val="auto"/>
                <w:sz w:val="21"/>
                <w:szCs w:val="21"/>
                <w:highlight w:val="none"/>
              </w:rPr>
              <w:t>78</w:t>
            </w:r>
          </w:p>
        </w:tc>
        <w:tc>
          <w:tcPr>
            <w:tcW w:w="471" w:type="pct"/>
            <w:tcBorders>
              <w:tl2br w:val="nil"/>
              <w:tr2bl w:val="nil"/>
            </w:tcBorders>
            <w:vAlign w:val="center"/>
          </w:tcPr>
          <w:p w14:paraId="756461EA">
            <w:pPr>
              <w:spacing w:line="240" w:lineRule="auto"/>
              <w:ind w:firstLine="0" w:firstLineChars="0"/>
              <w:jc w:val="center"/>
              <w:rPr>
                <w:color w:val="auto"/>
                <w:sz w:val="21"/>
                <w:szCs w:val="21"/>
                <w:highlight w:val="none"/>
              </w:rPr>
            </w:pPr>
            <w:r>
              <w:rPr>
                <w:color w:val="auto"/>
                <w:sz w:val="21"/>
                <w:szCs w:val="21"/>
                <w:highlight w:val="none"/>
              </w:rPr>
              <w:t>西南</w:t>
            </w:r>
          </w:p>
        </w:tc>
        <w:tc>
          <w:tcPr>
            <w:tcW w:w="414" w:type="pct"/>
            <w:tcBorders>
              <w:tl2br w:val="nil"/>
              <w:tr2bl w:val="nil"/>
            </w:tcBorders>
            <w:vAlign w:val="center"/>
          </w:tcPr>
          <w:p w14:paraId="270D56E7">
            <w:pPr>
              <w:spacing w:line="240" w:lineRule="auto"/>
              <w:ind w:firstLine="0" w:firstLineChars="0"/>
              <w:jc w:val="center"/>
              <w:rPr>
                <w:color w:val="auto"/>
                <w:sz w:val="21"/>
                <w:szCs w:val="21"/>
                <w:highlight w:val="none"/>
              </w:rPr>
            </w:pPr>
            <w:r>
              <w:rPr>
                <w:color w:val="auto"/>
                <w:sz w:val="21"/>
                <w:szCs w:val="21"/>
                <w:highlight w:val="none"/>
              </w:rPr>
              <w:t>1.9</w:t>
            </w:r>
          </w:p>
        </w:tc>
      </w:tr>
      <w:tr w14:paraId="186D05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3239AE76">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69E6B410">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5296C9CA">
            <w:pPr>
              <w:spacing w:line="240" w:lineRule="auto"/>
              <w:ind w:firstLine="0" w:firstLineChars="0"/>
              <w:jc w:val="center"/>
              <w:rPr>
                <w:color w:val="auto"/>
                <w:sz w:val="21"/>
                <w:szCs w:val="21"/>
                <w:highlight w:val="none"/>
              </w:rPr>
            </w:pPr>
            <w:r>
              <w:rPr>
                <w:color w:val="auto"/>
                <w:sz w:val="21"/>
                <w:szCs w:val="21"/>
                <w:highlight w:val="none"/>
              </w:rPr>
              <w:t>3</w:t>
            </w:r>
          </w:p>
        </w:tc>
        <w:tc>
          <w:tcPr>
            <w:tcW w:w="719" w:type="pct"/>
            <w:tcBorders>
              <w:tl2br w:val="nil"/>
              <w:tr2bl w:val="nil"/>
            </w:tcBorders>
            <w:vAlign w:val="center"/>
          </w:tcPr>
          <w:p w14:paraId="7DC82D82">
            <w:pPr>
              <w:spacing w:line="240" w:lineRule="auto"/>
              <w:ind w:firstLine="0" w:firstLineChars="0"/>
              <w:jc w:val="center"/>
              <w:rPr>
                <w:color w:val="auto"/>
                <w:sz w:val="21"/>
                <w:szCs w:val="21"/>
                <w:highlight w:val="none"/>
              </w:rPr>
            </w:pPr>
            <w:r>
              <w:rPr>
                <w:color w:val="auto"/>
                <w:sz w:val="21"/>
                <w:szCs w:val="21"/>
                <w:highlight w:val="none"/>
              </w:rPr>
              <w:t>＜0.010</w:t>
            </w:r>
          </w:p>
        </w:tc>
        <w:tc>
          <w:tcPr>
            <w:tcW w:w="673" w:type="pct"/>
            <w:tcBorders>
              <w:tl2br w:val="nil"/>
              <w:tr2bl w:val="nil"/>
            </w:tcBorders>
            <w:vAlign w:val="center"/>
          </w:tcPr>
          <w:p w14:paraId="0386E059">
            <w:pPr>
              <w:spacing w:line="240" w:lineRule="auto"/>
              <w:ind w:firstLine="0" w:firstLineChars="0"/>
              <w:jc w:val="center"/>
              <w:rPr>
                <w:color w:val="auto"/>
                <w:sz w:val="21"/>
                <w:szCs w:val="21"/>
                <w:highlight w:val="none"/>
              </w:rPr>
            </w:pPr>
            <w:r>
              <w:rPr>
                <w:color w:val="auto"/>
                <w:sz w:val="21"/>
                <w:szCs w:val="21"/>
                <w:highlight w:val="none"/>
              </w:rPr>
              <w:t xml:space="preserve">0.73 </w:t>
            </w:r>
          </w:p>
        </w:tc>
        <w:tc>
          <w:tcPr>
            <w:tcW w:w="425" w:type="pct"/>
            <w:tcBorders>
              <w:tl2br w:val="nil"/>
              <w:tr2bl w:val="nil"/>
            </w:tcBorders>
            <w:vAlign w:val="center"/>
          </w:tcPr>
          <w:p w14:paraId="68595D38">
            <w:pPr>
              <w:spacing w:line="240" w:lineRule="auto"/>
              <w:ind w:firstLine="0" w:firstLineChars="0"/>
              <w:jc w:val="center"/>
              <w:rPr>
                <w:color w:val="auto"/>
                <w:sz w:val="21"/>
                <w:szCs w:val="21"/>
                <w:highlight w:val="none"/>
              </w:rPr>
            </w:pPr>
            <w:r>
              <w:rPr>
                <w:color w:val="auto"/>
                <w:sz w:val="21"/>
                <w:szCs w:val="21"/>
                <w:highlight w:val="none"/>
              </w:rPr>
              <w:t>30.8</w:t>
            </w:r>
          </w:p>
        </w:tc>
        <w:tc>
          <w:tcPr>
            <w:tcW w:w="425" w:type="pct"/>
            <w:tcBorders>
              <w:tl2br w:val="nil"/>
              <w:tr2bl w:val="nil"/>
            </w:tcBorders>
            <w:vAlign w:val="center"/>
          </w:tcPr>
          <w:p w14:paraId="475A1199">
            <w:pPr>
              <w:spacing w:line="240" w:lineRule="auto"/>
              <w:ind w:firstLine="0" w:firstLineChars="0"/>
              <w:jc w:val="center"/>
              <w:rPr>
                <w:color w:val="auto"/>
                <w:sz w:val="21"/>
                <w:szCs w:val="21"/>
                <w:highlight w:val="none"/>
              </w:rPr>
            </w:pPr>
            <w:r>
              <w:rPr>
                <w:color w:val="auto"/>
                <w:sz w:val="21"/>
                <w:szCs w:val="21"/>
                <w:highlight w:val="none"/>
              </w:rPr>
              <w:t>1009.0</w:t>
            </w:r>
          </w:p>
        </w:tc>
        <w:tc>
          <w:tcPr>
            <w:tcW w:w="533" w:type="pct"/>
            <w:tcBorders>
              <w:tl2br w:val="nil"/>
              <w:tr2bl w:val="nil"/>
            </w:tcBorders>
            <w:vAlign w:val="center"/>
          </w:tcPr>
          <w:p w14:paraId="6561F5C5">
            <w:pPr>
              <w:spacing w:line="240" w:lineRule="auto"/>
              <w:ind w:firstLine="0" w:firstLineChars="0"/>
              <w:jc w:val="center"/>
              <w:rPr>
                <w:color w:val="auto"/>
                <w:sz w:val="21"/>
                <w:szCs w:val="21"/>
                <w:highlight w:val="none"/>
              </w:rPr>
            </w:pPr>
            <w:r>
              <w:rPr>
                <w:color w:val="auto"/>
                <w:sz w:val="21"/>
                <w:szCs w:val="21"/>
                <w:highlight w:val="none"/>
              </w:rPr>
              <w:t>64</w:t>
            </w:r>
          </w:p>
        </w:tc>
        <w:tc>
          <w:tcPr>
            <w:tcW w:w="471" w:type="pct"/>
            <w:tcBorders>
              <w:tl2br w:val="nil"/>
              <w:tr2bl w:val="nil"/>
            </w:tcBorders>
            <w:vAlign w:val="center"/>
          </w:tcPr>
          <w:p w14:paraId="7A1E6293">
            <w:pPr>
              <w:spacing w:line="240" w:lineRule="auto"/>
              <w:ind w:firstLine="0" w:firstLineChars="0"/>
              <w:jc w:val="center"/>
              <w:rPr>
                <w:color w:val="auto"/>
                <w:sz w:val="21"/>
                <w:szCs w:val="21"/>
                <w:highlight w:val="none"/>
              </w:rPr>
            </w:pPr>
            <w:r>
              <w:rPr>
                <w:color w:val="auto"/>
                <w:sz w:val="21"/>
                <w:szCs w:val="21"/>
                <w:highlight w:val="none"/>
              </w:rPr>
              <w:t>西南</w:t>
            </w:r>
          </w:p>
        </w:tc>
        <w:tc>
          <w:tcPr>
            <w:tcW w:w="414" w:type="pct"/>
            <w:tcBorders>
              <w:tl2br w:val="nil"/>
              <w:tr2bl w:val="nil"/>
            </w:tcBorders>
            <w:vAlign w:val="center"/>
          </w:tcPr>
          <w:p w14:paraId="7AB8A3B3">
            <w:pPr>
              <w:spacing w:line="240" w:lineRule="auto"/>
              <w:ind w:firstLine="0" w:firstLineChars="0"/>
              <w:jc w:val="center"/>
              <w:rPr>
                <w:color w:val="auto"/>
                <w:sz w:val="21"/>
                <w:szCs w:val="21"/>
                <w:highlight w:val="none"/>
              </w:rPr>
            </w:pPr>
            <w:r>
              <w:rPr>
                <w:color w:val="auto"/>
                <w:sz w:val="21"/>
                <w:szCs w:val="21"/>
                <w:highlight w:val="none"/>
              </w:rPr>
              <w:t>2.2</w:t>
            </w:r>
          </w:p>
        </w:tc>
      </w:tr>
      <w:tr w14:paraId="607D53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29765375">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3B6C8B11">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4E1FE3AA">
            <w:pPr>
              <w:spacing w:line="240" w:lineRule="auto"/>
              <w:ind w:firstLine="0" w:firstLineChars="0"/>
              <w:jc w:val="center"/>
              <w:rPr>
                <w:color w:val="auto"/>
                <w:sz w:val="21"/>
                <w:szCs w:val="21"/>
                <w:highlight w:val="none"/>
              </w:rPr>
            </w:pPr>
            <w:r>
              <w:rPr>
                <w:color w:val="auto"/>
                <w:sz w:val="21"/>
                <w:szCs w:val="21"/>
                <w:highlight w:val="none"/>
              </w:rPr>
              <w:t>4</w:t>
            </w:r>
          </w:p>
        </w:tc>
        <w:tc>
          <w:tcPr>
            <w:tcW w:w="719" w:type="pct"/>
            <w:tcBorders>
              <w:tl2br w:val="nil"/>
              <w:tr2bl w:val="nil"/>
            </w:tcBorders>
            <w:vAlign w:val="center"/>
          </w:tcPr>
          <w:p w14:paraId="386DDE74">
            <w:pPr>
              <w:spacing w:line="240" w:lineRule="auto"/>
              <w:ind w:firstLine="0" w:firstLineChars="0"/>
              <w:jc w:val="center"/>
              <w:rPr>
                <w:color w:val="auto"/>
                <w:sz w:val="21"/>
                <w:szCs w:val="21"/>
                <w:highlight w:val="none"/>
              </w:rPr>
            </w:pPr>
            <w:r>
              <w:rPr>
                <w:color w:val="auto"/>
                <w:sz w:val="21"/>
                <w:szCs w:val="21"/>
                <w:highlight w:val="none"/>
              </w:rPr>
              <w:t>＜0.010</w:t>
            </w:r>
          </w:p>
        </w:tc>
        <w:tc>
          <w:tcPr>
            <w:tcW w:w="673" w:type="pct"/>
            <w:tcBorders>
              <w:tl2br w:val="nil"/>
              <w:tr2bl w:val="nil"/>
            </w:tcBorders>
            <w:vAlign w:val="center"/>
          </w:tcPr>
          <w:p w14:paraId="69FBDEFB">
            <w:pPr>
              <w:spacing w:line="240" w:lineRule="auto"/>
              <w:ind w:firstLine="0" w:firstLineChars="0"/>
              <w:jc w:val="center"/>
              <w:rPr>
                <w:color w:val="auto"/>
                <w:sz w:val="21"/>
                <w:szCs w:val="21"/>
                <w:highlight w:val="none"/>
              </w:rPr>
            </w:pPr>
            <w:r>
              <w:rPr>
                <w:color w:val="auto"/>
                <w:sz w:val="21"/>
                <w:szCs w:val="21"/>
                <w:highlight w:val="none"/>
              </w:rPr>
              <w:t xml:space="preserve">0.72 </w:t>
            </w:r>
          </w:p>
        </w:tc>
        <w:tc>
          <w:tcPr>
            <w:tcW w:w="425" w:type="pct"/>
            <w:tcBorders>
              <w:tl2br w:val="nil"/>
              <w:tr2bl w:val="nil"/>
            </w:tcBorders>
            <w:vAlign w:val="center"/>
          </w:tcPr>
          <w:p w14:paraId="7EA63106">
            <w:pPr>
              <w:spacing w:line="240" w:lineRule="auto"/>
              <w:ind w:firstLine="0" w:firstLineChars="0"/>
              <w:jc w:val="center"/>
              <w:rPr>
                <w:color w:val="auto"/>
                <w:sz w:val="21"/>
                <w:szCs w:val="21"/>
                <w:highlight w:val="none"/>
              </w:rPr>
            </w:pPr>
            <w:r>
              <w:rPr>
                <w:color w:val="auto"/>
                <w:sz w:val="21"/>
                <w:szCs w:val="21"/>
                <w:highlight w:val="none"/>
              </w:rPr>
              <w:t>28.6</w:t>
            </w:r>
          </w:p>
        </w:tc>
        <w:tc>
          <w:tcPr>
            <w:tcW w:w="425" w:type="pct"/>
            <w:tcBorders>
              <w:tl2br w:val="nil"/>
              <w:tr2bl w:val="nil"/>
            </w:tcBorders>
            <w:vAlign w:val="center"/>
          </w:tcPr>
          <w:p w14:paraId="48B3BE52">
            <w:pPr>
              <w:spacing w:line="240" w:lineRule="auto"/>
              <w:ind w:firstLine="0" w:firstLineChars="0"/>
              <w:jc w:val="center"/>
              <w:rPr>
                <w:color w:val="auto"/>
                <w:sz w:val="21"/>
                <w:szCs w:val="21"/>
                <w:highlight w:val="none"/>
              </w:rPr>
            </w:pPr>
            <w:r>
              <w:rPr>
                <w:color w:val="auto"/>
                <w:sz w:val="21"/>
                <w:szCs w:val="21"/>
                <w:highlight w:val="none"/>
              </w:rPr>
              <w:t>1009.6</w:t>
            </w:r>
          </w:p>
        </w:tc>
        <w:tc>
          <w:tcPr>
            <w:tcW w:w="533" w:type="pct"/>
            <w:tcBorders>
              <w:tl2br w:val="nil"/>
              <w:tr2bl w:val="nil"/>
            </w:tcBorders>
            <w:vAlign w:val="center"/>
          </w:tcPr>
          <w:p w14:paraId="32993578">
            <w:pPr>
              <w:spacing w:line="240" w:lineRule="auto"/>
              <w:ind w:firstLine="0" w:firstLineChars="0"/>
              <w:jc w:val="center"/>
              <w:rPr>
                <w:color w:val="auto"/>
                <w:sz w:val="21"/>
                <w:szCs w:val="21"/>
                <w:highlight w:val="none"/>
              </w:rPr>
            </w:pPr>
            <w:r>
              <w:rPr>
                <w:color w:val="auto"/>
                <w:sz w:val="21"/>
                <w:szCs w:val="21"/>
                <w:highlight w:val="none"/>
              </w:rPr>
              <w:t>73</w:t>
            </w:r>
          </w:p>
        </w:tc>
        <w:tc>
          <w:tcPr>
            <w:tcW w:w="471" w:type="pct"/>
            <w:tcBorders>
              <w:tl2br w:val="nil"/>
              <w:tr2bl w:val="nil"/>
            </w:tcBorders>
            <w:vAlign w:val="center"/>
          </w:tcPr>
          <w:p w14:paraId="3AA502BA">
            <w:pPr>
              <w:spacing w:line="240" w:lineRule="auto"/>
              <w:ind w:firstLine="0" w:firstLineChars="0"/>
              <w:jc w:val="center"/>
              <w:rPr>
                <w:color w:val="auto"/>
                <w:sz w:val="21"/>
                <w:szCs w:val="21"/>
                <w:highlight w:val="none"/>
              </w:rPr>
            </w:pPr>
            <w:r>
              <w:rPr>
                <w:color w:val="auto"/>
                <w:sz w:val="21"/>
                <w:szCs w:val="21"/>
                <w:highlight w:val="none"/>
              </w:rPr>
              <w:t>西南</w:t>
            </w:r>
          </w:p>
        </w:tc>
        <w:tc>
          <w:tcPr>
            <w:tcW w:w="414" w:type="pct"/>
            <w:tcBorders>
              <w:tl2br w:val="nil"/>
              <w:tr2bl w:val="nil"/>
            </w:tcBorders>
            <w:vAlign w:val="center"/>
          </w:tcPr>
          <w:p w14:paraId="67667402">
            <w:pPr>
              <w:spacing w:line="240" w:lineRule="auto"/>
              <w:ind w:firstLine="0" w:firstLineChars="0"/>
              <w:jc w:val="center"/>
              <w:rPr>
                <w:color w:val="auto"/>
                <w:sz w:val="21"/>
                <w:szCs w:val="21"/>
                <w:highlight w:val="none"/>
              </w:rPr>
            </w:pPr>
            <w:r>
              <w:rPr>
                <w:color w:val="auto"/>
                <w:sz w:val="21"/>
                <w:szCs w:val="21"/>
                <w:highlight w:val="none"/>
              </w:rPr>
              <w:t>2.3</w:t>
            </w:r>
          </w:p>
        </w:tc>
      </w:tr>
      <w:tr w14:paraId="3DF696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1336" w:type="pct"/>
            <w:gridSpan w:val="3"/>
            <w:tcBorders>
              <w:tl2br w:val="nil"/>
              <w:tr2bl w:val="nil"/>
            </w:tcBorders>
            <w:vAlign w:val="center"/>
          </w:tcPr>
          <w:p w14:paraId="4303FE71">
            <w:pPr>
              <w:spacing w:line="240" w:lineRule="auto"/>
              <w:ind w:firstLine="0" w:firstLineChars="0"/>
              <w:jc w:val="center"/>
              <w:rPr>
                <w:color w:val="auto"/>
                <w:sz w:val="21"/>
                <w:szCs w:val="21"/>
                <w:highlight w:val="none"/>
              </w:rPr>
            </w:pPr>
            <w:r>
              <w:rPr>
                <w:color w:val="auto"/>
                <w:sz w:val="21"/>
                <w:szCs w:val="21"/>
                <w:highlight w:val="none"/>
              </w:rPr>
              <w:t>标准限值</w:t>
            </w:r>
          </w:p>
        </w:tc>
        <w:tc>
          <w:tcPr>
            <w:tcW w:w="719" w:type="pct"/>
            <w:tcBorders>
              <w:tl2br w:val="nil"/>
              <w:tr2bl w:val="nil"/>
            </w:tcBorders>
            <w:vAlign w:val="center"/>
          </w:tcPr>
          <w:p w14:paraId="0B450647">
            <w:pPr>
              <w:spacing w:line="240" w:lineRule="auto"/>
              <w:ind w:firstLine="0" w:firstLineChars="0"/>
              <w:jc w:val="center"/>
              <w:rPr>
                <w:color w:val="auto"/>
                <w:sz w:val="21"/>
                <w:szCs w:val="21"/>
                <w:highlight w:val="none"/>
              </w:rPr>
            </w:pPr>
            <w:r>
              <w:rPr>
                <w:color w:val="auto"/>
                <w:sz w:val="21"/>
                <w:szCs w:val="21"/>
                <w:highlight w:val="none"/>
              </w:rPr>
              <w:t>1.2</w:t>
            </w:r>
          </w:p>
        </w:tc>
        <w:tc>
          <w:tcPr>
            <w:tcW w:w="673" w:type="pct"/>
            <w:tcBorders>
              <w:tl2br w:val="nil"/>
              <w:tr2bl w:val="nil"/>
            </w:tcBorders>
            <w:vAlign w:val="center"/>
          </w:tcPr>
          <w:p w14:paraId="720E815F">
            <w:pPr>
              <w:spacing w:line="240" w:lineRule="auto"/>
              <w:ind w:firstLine="0" w:firstLineChars="0"/>
              <w:jc w:val="center"/>
              <w:rPr>
                <w:color w:val="auto"/>
                <w:sz w:val="21"/>
                <w:szCs w:val="21"/>
                <w:highlight w:val="none"/>
              </w:rPr>
            </w:pPr>
            <w:r>
              <w:rPr>
                <w:color w:val="auto"/>
                <w:sz w:val="21"/>
                <w:szCs w:val="21"/>
                <w:highlight w:val="none"/>
              </w:rPr>
              <w:t>4.0</w:t>
            </w:r>
          </w:p>
        </w:tc>
        <w:tc>
          <w:tcPr>
            <w:tcW w:w="825" w:type="dxa"/>
            <w:tcBorders>
              <w:tl2br w:val="nil"/>
              <w:tr2bl w:val="nil"/>
            </w:tcBorders>
            <w:vAlign w:val="center"/>
          </w:tcPr>
          <w:p w14:paraId="31860077">
            <w:pPr>
              <w:spacing w:line="240" w:lineRule="auto"/>
              <w:ind w:firstLine="0" w:firstLineChars="0"/>
              <w:jc w:val="center"/>
              <w:rPr>
                <w:color w:val="auto"/>
                <w:sz w:val="21"/>
                <w:szCs w:val="21"/>
                <w:highlight w:val="none"/>
              </w:rPr>
            </w:pPr>
            <w:r>
              <w:rPr>
                <w:color w:val="auto"/>
                <w:sz w:val="21"/>
                <w:szCs w:val="21"/>
                <w:highlight w:val="none"/>
              </w:rPr>
              <w:t>/</w:t>
            </w:r>
          </w:p>
        </w:tc>
        <w:tc>
          <w:tcPr>
            <w:tcW w:w="825" w:type="dxa"/>
            <w:tcBorders>
              <w:tl2br w:val="nil"/>
              <w:tr2bl w:val="nil"/>
            </w:tcBorders>
            <w:vAlign w:val="center"/>
          </w:tcPr>
          <w:p w14:paraId="7CCC9EE2">
            <w:pPr>
              <w:spacing w:line="240" w:lineRule="auto"/>
              <w:ind w:firstLine="0" w:firstLineChars="0"/>
              <w:jc w:val="center"/>
              <w:rPr>
                <w:color w:val="auto"/>
                <w:sz w:val="21"/>
                <w:szCs w:val="21"/>
                <w:highlight w:val="none"/>
              </w:rPr>
            </w:pPr>
            <w:r>
              <w:rPr>
                <w:color w:val="auto"/>
                <w:sz w:val="21"/>
                <w:szCs w:val="21"/>
                <w:highlight w:val="none"/>
              </w:rPr>
              <w:t>/</w:t>
            </w:r>
          </w:p>
        </w:tc>
        <w:tc>
          <w:tcPr>
            <w:tcW w:w="1035" w:type="dxa"/>
            <w:tcBorders>
              <w:tl2br w:val="nil"/>
              <w:tr2bl w:val="nil"/>
            </w:tcBorders>
            <w:vAlign w:val="center"/>
          </w:tcPr>
          <w:p w14:paraId="50F83325">
            <w:pPr>
              <w:spacing w:line="240" w:lineRule="auto"/>
              <w:ind w:firstLine="0" w:firstLineChars="0"/>
              <w:jc w:val="center"/>
              <w:rPr>
                <w:color w:val="auto"/>
                <w:sz w:val="21"/>
                <w:szCs w:val="21"/>
                <w:highlight w:val="none"/>
              </w:rPr>
            </w:pPr>
            <w:r>
              <w:rPr>
                <w:color w:val="auto"/>
                <w:sz w:val="21"/>
                <w:szCs w:val="21"/>
                <w:highlight w:val="none"/>
              </w:rPr>
              <w:t>/</w:t>
            </w:r>
          </w:p>
        </w:tc>
        <w:tc>
          <w:tcPr>
            <w:tcW w:w="915" w:type="dxa"/>
            <w:tcBorders>
              <w:tl2br w:val="nil"/>
              <w:tr2bl w:val="nil"/>
            </w:tcBorders>
            <w:vAlign w:val="center"/>
          </w:tcPr>
          <w:p w14:paraId="5CCEF3C6">
            <w:pPr>
              <w:spacing w:line="240" w:lineRule="auto"/>
              <w:ind w:firstLine="0" w:firstLineChars="0"/>
              <w:jc w:val="center"/>
              <w:rPr>
                <w:color w:val="auto"/>
                <w:sz w:val="21"/>
                <w:szCs w:val="21"/>
                <w:highlight w:val="none"/>
              </w:rPr>
            </w:pPr>
            <w:r>
              <w:rPr>
                <w:color w:val="auto"/>
                <w:sz w:val="21"/>
                <w:szCs w:val="21"/>
                <w:highlight w:val="none"/>
              </w:rPr>
              <w:t>/</w:t>
            </w:r>
          </w:p>
        </w:tc>
        <w:tc>
          <w:tcPr>
            <w:tcW w:w="803" w:type="dxa"/>
            <w:tcBorders>
              <w:tl2br w:val="nil"/>
              <w:tr2bl w:val="nil"/>
            </w:tcBorders>
            <w:vAlign w:val="center"/>
          </w:tcPr>
          <w:p w14:paraId="0A6ACAE6">
            <w:pPr>
              <w:spacing w:line="240" w:lineRule="auto"/>
              <w:ind w:firstLine="0" w:firstLineChars="0"/>
              <w:jc w:val="center"/>
              <w:rPr>
                <w:color w:val="auto"/>
                <w:sz w:val="21"/>
                <w:szCs w:val="21"/>
                <w:highlight w:val="none"/>
              </w:rPr>
            </w:pPr>
            <w:r>
              <w:rPr>
                <w:color w:val="auto"/>
                <w:sz w:val="21"/>
                <w:szCs w:val="21"/>
                <w:highlight w:val="none"/>
              </w:rPr>
              <w:t>/</w:t>
            </w:r>
          </w:p>
        </w:tc>
      </w:tr>
      <w:tr w14:paraId="16C495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1336" w:type="pct"/>
            <w:gridSpan w:val="3"/>
            <w:tcBorders>
              <w:tl2br w:val="nil"/>
              <w:tr2bl w:val="nil"/>
            </w:tcBorders>
            <w:vAlign w:val="center"/>
          </w:tcPr>
          <w:p w14:paraId="37F76D49">
            <w:pPr>
              <w:spacing w:line="240" w:lineRule="auto"/>
              <w:ind w:firstLine="0" w:firstLineChars="0"/>
              <w:jc w:val="center"/>
              <w:rPr>
                <w:color w:val="auto"/>
                <w:sz w:val="21"/>
                <w:szCs w:val="21"/>
                <w:highlight w:val="none"/>
              </w:rPr>
            </w:pPr>
            <w:r>
              <w:rPr>
                <w:color w:val="auto"/>
                <w:sz w:val="21"/>
                <w:szCs w:val="21"/>
                <w:highlight w:val="none"/>
              </w:rPr>
              <w:t>标准限值</w:t>
            </w:r>
          </w:p>
        </w:tc>
        <w:tc>
          <w:tcPr>
            <w:tcW w:w="719" w:type="pct"/>
            <w:tcBorders>
              <w:tl2br w:val="nil"/>
              <w:tr2bl w:val="nil"/>
            </w:tcBorders>
            <w:vAlign w:val="center"/>
          </w:tcPr>
          <w:p w14:paraId="2A284E61">
            <w:pPr>
              <w:spacing w:line="240" w:lineRule="auto"/>
              <w:ind w:firstLine="0" w:firstLineChars="0"/>
              <w:jc w:val="center"/>
              <w:rPr>
                <w:color w:val="auto"/>
                <w:sz w:val="21"/>
                <w:szCs w:val="21"/>
                <w:highlight w:val="none"/>
              </w:rPr>
            </w:pPr>
            <w:r>
              <w:rPr>
                <w:color w:val="auto"/>
                <w:sz w:val="21"/>
                <w:szCs w:val="21"/>
                <w:highlight w:val="none"/>
              </w:rPr>
              <w:t>1.2</w:t>
            </w:r>
          </w:p>
        </w:tc>
        <w:tc>
          <w:tcPr>
            <w:tcW w:w="673" w:type="pct"/>
            <w:tcBorders>
              <w:tl2br w:val="nil"/>
              <w:tr2bl w:val="nil"/>
            </w:tcBorders>
            <w:vAlign w:val="center"/>
          </w:tcPr>
          <w:p w14:paraId="6753B64E">
            <w:pPr>
              <w:spacing w:line="240" w:lineRule="auto"/>
              <w:ind w:firstLine="0" w:firstLineChars="0"/>
              <w:jc w:val="center"/>
              <w:rPr>
                <w:color w:val="auto"/>
                <w:sz w:val="21"/>
                <w:szCs w:val="21"/>
                <w:highlight w:val="none"/>
              </w:rPr>
            </w:pPr>
            <w:r>
              <w:rPr>
                <w:color w:val="auto"/>
                <w:sz w:val="21"/>
                <w:szCs w:val="21"/>
                <w:highlight w:val="none"/>
              </w:rPr>
              <w:t>4.0</w:t>
            </w:r>
          </w:p>
        </w:tc>
        <w:tc>
          <w:tcPr>
            <w:tcW w:w="825" w:type="dxa"/>
            <w:tcBorders>
              <w:tl2br w:val="nil"/>
              <w:tr2bl w:val="nil"/>
            </w:tcBorders>
            <w:vAlign w:val="center"/>
          </w:tcPr>
          <w:p w14:paraId="1185AABA">
            <w:pPr>
              <w:spacing w:line="240" w:lineRule="auto"/>
              <w:ind w:firstLine="0" w:firstLineChars="0"/>
              <w:jc w:val="center"/>
              <w:rPr>
                <w:color w:val="auto"/>
                <w:sz w:val="21"/>
                <w:szCs w:val="21"/>
                <w:highlight w:val="none"/>
              </w:rPr>
            </w:pPr>
            <w:r>
              <w:rPr>
                <w:b/>
                <w:bCs/>
                <w:color w:val="auto"/>
                <w:sz w:val="21"/>
                <w:szCs w:val="21"/>
                <w:highlight w:val="none"/>
              </w:rPr>
              <w:t>/</w:t>
            </w:r>
          </w:p>
        </w:tc>
        <w:tc>
          <w:tcPr>
            <w:tcW w:w="825" w:type="dxa"/>
            <w:tcBorders>
              <w:tl2br w:val="nil"/>
              <w:tr2bl w:val="nil"/>
            </w:tcBorders>
            <w:vAlign w:val="center"/>
          </w:tcPr>
          <w:p w14:paraId="4FF3539F">
            <w:pPr>
              <w:spacing w:line="240" w:lineRule="auto"/>
              <w:ind w:firstLine="0" w:firstLineChars="0"/>
              <w:jc w:val="center"/>
              <w:rPr>
                <w:color w:val="auto"/>
                <w:sz w:val="21"/>
                <w:szCs w:val="21"/>
                <w:highlight w:val="none"/>
              </w:rPr>
            </w:pPr>
            <w:r>
              <w:rPr>
                <w:b/>
                <w:bCs/>
                <w:color w:val="auto"/>
                <w:sz w:val="21"/>
                <w:szCs w:val="21"/>
                <w:highlight w:val="none"/>
              </w:rPr>
              <w:t>/</w:t>
            </w:r>
          </w:p>
        </w:tc>
        <w:tc>
          <w:tcPr>
            <w:tcW w:w="1035" w:type="dxa"/>
            <w:tcBorders>
              <w:tl2br w:val="nil"/>
              <w:tr2bl w:val="nil"/>
            </w:tcBorders>
            <w:vAlign w:val="center"/>
          </w:tcPr>
          <w:p w14:paraId="44DBE17D">
            <w:pPr>
              <w:spacing w:line="240" w:lineRule="auto"/>
              <w:ind w:firstLine="0" w:firstLineChars="0"/>
              <w:jc w:val="center"/>
              <w:rPr>
                <w:color w:val="auto"/>
                <w:sz w:val="21"/>
                <w:szCs w:val="21"/>
                <w:highlight w:val="none"/>
              </w:rPr>
            </w:pPr>
            <w:r>
              <w:rPr>
                <w:b/>
                <w:bCs/>
                <w:color w:val="auto"/>
                <w:sz w:val="21"/>
                <w:szCs w:val="21"/>
                <w:highlight w:val="none"/>
              </w:rPr>
              <w:t>/</w:t>
            </w:r>
          </w:p>
        </w:tc>
        <w:tc>
          <w:tcPr>
            <w:tcW w:w="915" w:type="dxa"/>
            <w:tcBorders>
              <w:tl2br w:val="nil"/>
              <w:tr2bl w:val="nil"/>
            </w:tcBorders>
            <w:vAlign w:val="center"/>
          </w:tcPr>
          <w:p w14:paraId="42665360">
            <w:pPr>
              <w:spacing w:line="240" w:lineRule="auto"/>
              <w:ind w:firstLine="0" w:firstLineChars="0"/>
              <w:jc w:val="center"/>
              <w:rPr>
                <w:color w:val="auto"/>
                <w:sz w:val="21"/>
                <w:szCs w:val="21"/>
                <w:highlight w:val="none"/>
              </w:rPr>
            </w:pPr>
            <w:r>
              <w:rPr>
                <w:b/>
                <w:bCs/>
                <w:color w:val="auto"/>
                <w:sz w:val="21"/>
                <w:szCs w:val="21"/>
                <w:highlight w:val="none"/>
              </w:rPr>
              <w:t>/</w:t>
            </w:r>
          </w:p>
        </w:tc>
        <w:tc>
          <w:tcPr>
            <w:tcW w:w="803" w:type="dxa"/>
            <w:tcBorders>
              <w:tl2br w:val="nil"/>
              <w:tr2bl w:val="nil"/>
            </w:tcBorders>
            <w:vAlign w:val="center"/>
          </w:tcPr>
          <w:p w14:paraId="6A9950FB">
            <w:pPr>
              <w:spacing w:line="240" w:lineRule="auto"/>
              <w:ind w:firstLine="0" w:firstLineChars="0"/>
              <w:jc w:val="center"/>
              <w:rPr>
                <w:color w:val="auto"/>
                <w:sz w:val="21"/>
                <w:szCs w:val="21"/>
                <w:highlight w:val="none"/>
              </w:rPr>
            </w:pPr>
            <w:r>
              <w:rPr>
                <w:b/>
                <w:bCs/>
                <w:color w:val="auto"/>
                <w:sz w:val="21"/>
                <w:szCs w:val="21"/>
                <w:highlight w:val="none"/>
              </w:rPr>
              <w:t>/</w:t>
            </w:r>
          </w:p>
        </w:tc>
      </w:tr>
      <w:tr w14:paraId="0D009E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restart"/>
            <w:tcBorders>
              <w:tl2br w:val="nil"/>
              <w:tr2bl w:val="nil"/>
            </w:tcBorders>
            <w:vAlign w:val="center"/>
          </w:tcPr>
          <w:p w14:paraId="0EA789E5">
            <w:pPr>
              <w:spacing w:line="240" w:lineRule="auto"/>
              <w:ind w:firstLine="0" w:firstLineChars="0"/>
              <w:jc w:val="center"/>
              <w:rPr>
                <w:color w:val="auto"/>
                <w:sz w:val="21"/>
                <w:szCs w:val="21"/>
                <w:highlight w:val="none"/>
              </w:rPr>
            </w:pPr>
            <w:r>
              <w:rPr>
                <w:rFonts w:hint="eastAsia"/>
                <w:color w:val="auto"/>
                <w:sz w:val="21"/>
                <w:szCs w:val="21"/>
                <w:highlight w:val="none"/>
              </w:rPr>
              <w:t>2023年</w:t>
            </w:r>
            <w:r>
              <w:rPr>
                <w:color w:val="auto"/>
                <w:sz w:val="21"/>
                <w:szCs w:val="21"/>
                <w:highlight w:val="none"/>
              </w:rPr>
              <w:t>5月</w:t>
            </w:r>
          </w:p>
          <w:p w14:paraId="4C61D37B">
            <w:pPr>
              <w:spacing w:line="240" w:lineRule="auto"/>
              <w:ind w:firstLine="0" w:firstLineChars="0"/>
              <w:jc w:val="center"/>
              <w:rPr>
                <w:color w:val="auto"/>
                <w:sz w:val="21"/>
                <w:szCs w:val="21"/>
                <w:highlight w:val="none"/>
              </w:rPr>
            </w:pPr>
            <w:r>
              <w:rPr>
                <w:color w:val="auto"/>
                <w:sz w:val="21"/>
                <w:szCs w:val="21"/>
                <w:highlight w:val="none"/>
              </w:rPr>
              <w:t>16日</w:t>
            </w:r>
          </w:p>
        </w:tc>
        <w:tc>
          <w:tcPr>
            <w:tcW w:w="657" w:type="pct"/>
            <w:vMerge w:val="restart"/>
            <w:tcBorders>
              <w:tl2br w:val="nil"/>
              <w:tr2bl w:val="nil"/>
            </w:tcBorders>
            <w:vAlign w:val="center"/>
          </w:tcPr>
          <w:p w14:paraId="5FFB05DA">
            <w:pPr>
              <w:spacing w:line="240" w:lineRule="auto"/>
              <w:ind w:firstLine="0" w:firstLineChars="0"/>
              <w:jc w:val="center"/>
              <w:rPr>
                <w:color w:val="auto"/>
                <w:sz w:val="21"/>
                <w:szCs w:val="21"/>
                <w:highlight w:val="none"/>
              </w:rPr>
            </w:pPr>
            <w:r>
              <w:rPr>
                <w:color w:val="auto"/>
                <w:sz w:val="21"/>
                <w:szCs w:val="21"/>
                <w:highlight w:val="none"/>
              </w:rPr>
              <w:t>G4项目舾装码头厂区内监测点</w:t>
            </w:r>
          </w:p>
        </w:tc>
        <w:tc>
          <w:tcPr>
            <w:tcW w:w="324" w:type="pct"/>
            <w:tcBorders>
              <w:tl2br w:val="nil"/>
              <w:tr2bl w:val="nil"/>
            </w:tcBorders>
            <w:vAlign w:val="center"/>
          </w:tcPr>
          <w:p w14:paraId="3C1C52D0">
            <w:pPr>
              <w:spacing w:line="240" w:lineRule="auto"/>
              <w:ind w:firstLine="0" w:firstLineChars="0"/>
              <w:jc w:val="center"/>
              <w:rPr>
                <w:color w:val="auto"/>
                <w:sz w:val="21"/>
                <w:szCs w:val="21"/>
                <w:highlight w:val="none"/>
              </w:rPr>
            </w:pPr>
            <w:r>
              <w:rPr>
                <w:color w:val="auto"/>
                <w:sz w:val="21"/>
                <w:szCs w:val="21"/>
                <w:highlight w:val="none"/>
              </w:rPr>
              <w:t>1</w:t>
            </w:r>
          </w:p>
        </w:tc>
        <w:tc>
          <w:tcPr>
            <w:tcW w:w="719" w:type="pct"/>
            <w:tcBorders>
              <w:tl2br w:val="nil"/>
              <w:tr2bl w:val="nil"/>
            </w:tcBorders>
            <w:vAlign w:val="center"/>
          </w:tcPr>
          <w:p w14:paraId="25A1CE81">
            <w:pPr>
              <w:spacing w:line="240" w:lineRule="auto"/>
              <w:ind w:firstLine="0" w:firstLineChars="0"/>
              <w:jc w:val="center"/>
              <w:rPr>
                <w:color w:val="auto"/>
                <w:sz w:val="21"/>
                <w:szCs w:val="21"/>
                <w:highlight w:val="none"/>
              </w:rPr>
            </w:pPr>
            <w:r>
              <w:rPr>
                <w:color w:val="auto"/>
                <w:sz w:val="21"/>
                <w:szCs w:val="21"/>
                <w:highlight w:val="none"/>
              </w:rPr>
              <w:t>/</w:t>
            </w:r>
          </w:p>
        </w:tc>
        <w:tc>
          <w:tcPr>
            <w:tcW w:w="673" w:type="pct"/>
            <w:tcBorders>
              <w:tl2br w:val="nil"/>
              <w:tr2bl w:val="nil"/>
            </w:tcBorders>
            <w:vAlign w:val="center"/>
          </w:tcPr>
          <w:p w14:paraId="4B7BF5A4">
            <w:pPr>
              <w:spacing w:line="240" w:lineRule="auto"/>
              <w:ind w:firstLine="0" w:firstLineChars="0"/>
              <w:jc w:val="center"/>
              <w:rPr>
                <w:color w:val="auto"/>
                <w:sz w:val="21"/>
                <w:szCs w:val="21"/>
                <w:highlight w:val="none"/>
              </w:rPr>
            </w:pPr>
            <w:r>
              <w:rPr>
                <w:color w:val="auto"/>
                <w:sz w:val="21"/>
                <w:szCs w:val="21"/>
                <w:highlight w:val="none"/>
              </w:rPr>
              <w:t xml:space="preserve">0.93 </w:t>
            </w:r>
          </w:p>
        </w:tc>
        <w:tc>
          <w:tcPr>
            <w:tcW w:w="425" w:type="pct"/>
            <w:tcBorders>
              <w:tl2br w:val="nil"/>
              <w:tr2bl w:val="nil"/>
            </w:tcBorders>
            <w:vAlign w:val="center"/>
          </w:tcPr>
          <w:p w14:paraId="6D8B790E">
            <w:pPr>
              <w:spacing w:line="240" w:lineRule="auto"/>
              <w:ind w:firstLine="0" w:firstLineChars="0"/>
              <w:jc w:val="center"/>
              <w:rPr>
                <w:color w:val="auto"/>
                <w:sz w:val="21"/>
                <w:szCs w:val="21"/>
                <w:highlight w:val="none"/>
              </w:rPr>
            </w:pPr>
            <w:r>
              <w:rPr>
                <w:color w:val="auto"/>
                <w:sz w:val="21"/>
                <w:szCs w:val="21"/>
                <w:highlight w:val="none"/>
              </w:rPr>
              <w:t>25.3</w:t>
            </w:r>
          </w:p>
        </w:tc>
        <w:tc>
          <w:tcPr>
            <w:tcW w:w="425" w:type="pct"/>
            <w:tcBorders>
              <w:tl2br w:val="nil"/>
              <w:tr2bl w:val="nil"/>
            </w:tcBorders>
            <w:vAlign w:val="center"/>
          </w:tcPr>
          <w:p w14:paraId="1AAFFE2E">
            <w:pPr>
              <w:spacing w:line="240" w:lineRule="auto"/>
              <w:ind w:firstLine="0" w:firstLineChars="0"/>
              <w:jc w:val="center"/>
              <w:rPr>
                <w:color w:val="auto"/>
                <w:sz w:val="21"/>
                <w:szCs w:val="21"/>
                <w:highlight w:val="none"/>
              </w:rPr>
            </w:pPr>
            <w:r>
              <w:rPr>
                <w:color w:val="auto"/>
                <w:sz w:val="21"/>
                <w:szCs w:val="21"/>
                <w:highlight w:val="none"/>
              </w:rPr>
              <w:t>1011.2</w:t>
            </w:r>
          </w:p>
        </w:tc>
        <w:tc>
          <w:tcPr>
            <w:tcW w:w="533" w:type="pct"/>
            <w:tcBorders>
              <w:tl2br w:val="nil"/>
              <w:tr2bl w:val="nil"/>
            </w:tcBorders>
            <w:vAlign w:val="center"/>
          </w:tcPr>
          <w:p w14:paraId="6CB6FA5B">
            <w:pPr>
              <w:spacing w:line="240" w:lineRule="auto"/>
              <w:ind w:firstLine="0" w:firstLineChars="0"/>
              <w:jc w:val="center"/>
              <w:rPr>
                <w:color w:val="auto"/>
                <w:sz w:val="21"/>
                <w:szCs w:val="21"/>
                <w:highlight w:val="none"/>
              </w:rPr>
            </w:pPr>
            <w:r>
              <w:rPr>
                <w:color w:val="auto"/>
                <w:sz w:val="21"/>
                <w:szCs w:val="21"/>
                <w:highlight w:val="none"/>
              </w:rPr>
              <w:t>79</w:t>
            </w:r>
          </w:p>
        </w:tc>
        <w:tc>
          <w:tcPr>
            <w:tcW w:w="471" w:type="pct"/>
            <w:tcBorders>
              <w:tl2br w:val="nil"/>
              <w:tr2bl w:val="nil"/>
            </w:tcBorders>
            <w:vAlign w:val="center"/>
          </w:tcPr>
          <w:p w14:paraId="42AF787C">
            <w:pPr>
              <w:spacing w:line="240" w:lineRule="auto"/>
              <w:ind w:firstLine="0" w:firstLineChars="0"/>
              <w:jc w:val="center"/>
              <w:rPr>
                <w:color w:val="auto"/>
                <w:sz w:val="21"/>
                <w:szCs w:val="21"/>
                <w:highlight w:val="none"/>
              </w:rPr>
            </w:pPr>
            <w:r>
              <w:rPr>
                <w:color w:val="auto"/>
                <w:sz w:val="21"/>
                <w:szCs w:val="21"/>
                <w:highlight w:val="none"/>
              </w:rPr>
              <w:t>西南</w:t>
            </w:r>
          </w:p>
        </w:tc>
        <w:tc>
          <w:tcPr>
            <w:tcW w:w="414" w:type="pct"/>
            <w:tcBorders>
              <w:tl2br w:val="nil"/>
              <w:tr2bl w:val="nil"/>
            </w:tcBorders>
            <w:vAlign w:val="center"/>
          </w:tcPr>
          <w:p w14:paraId="60ADF799">
            <w:pPr>
              <w:spacing w:line="240" w:lineRule="auto"/>
              <w:ind w:firstLine="0" w:firstLineChars="0"/>
              <w:jc w:val="center"/>
              <w:rPr>
                <w:color w:val="auto"/>
                <w:sz w:val="21"/>
                <w:szCs w:val="21"/>
                <w:highlight w:val="none"/>
              </w:rPr>
            </w:pPr>
            <w:r>
              <w:rPr>
                <w:color w:val="auto"/>
                <w:sz w:val="21"/>
                <w:szCs w:val="21"/>
                <w:highlight w:val="none"/>
              </w:rPr>
              <w:t>25.3</w:t>
            </w:r>
          </w:p>
        </w:tc>
      </w:tr>
      <w:tr w14:paraId="25091F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6BCE2A68">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5F3DCCAB">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60E1A3BF">
            <w:pPr>
              <w:spacing w:line="240" w:lineRule="auto"/>
              <w:ind w:firstLine="0" w:firstLineChars="0"/>
              <w:jc w:val="center"/>
              <w:rPr>
                <w:color w:val="auto"/>
                <w:sz w:val="21"/>
                <w:szCs w:val="21"/>
                <w:highlight w:val="none"/>
              </w:rPr>
            </w:pPr>
            <w:r>
              <w:rPr>
                <w:color w:val="auto"/>
                <w:sz w:val="21"/>
                <w:szCs w:val="21"/>
                <w:highlight w:val="none"/>
              </w:rPr>
              <w:t>2</w:t>
            </w:r>
          </w:p>
        </w:tc>
        <w:tc>
          <w:tcPr>
            <w:tcW w:w="719" w:type="pct"/>
            <w:tcBorders>
              <w:tl2br w:val="nil"/>
              <w:tr2bl w:val="nil"/>
            </w:tcBorders>
            <w:vAlign w:val="center"/>
          </w:tcPr>
          <w:p w14:paraId="4B53B83E">
            <w:pPr>
              <w:spacing w:line="240" w:lineRule="auto"/>
              <w:ind w:firstLine="0" w:firstLineChars="0"/>
              <w:jc w:val="center"/>
              <w:rPr>
                <w:color w:val="auto"/>
                <w:sz w:val="21"/>
                <w:szCs w:val="21"/>
                <w:highlight w:val="none"/>
              </w:rPr>
            </w:pPr>
            <w:r>
              <w:rPr>
                <w:color w:val="auto"/>
                <w:sz w:val="21"/>
                <w:szCs w:val="21"/>
                <w:highlight w:val="none"/>
              </w:rPr>
              <w:t>/</w:t>
            </w:r>
          </w:p>
        </w:tc>
        <w:tc>
          <w:tcPr>
            <w:tcW w:w="673" w:type="pct"/>
            <w:tcBorders>
              <w:tl2br w:val="nil"/>
              <w:tr2bl w:val="nil"/>
            </w:tcBorders>
            <w:vAlign w:val="center"/>
          </w:tcPr>
          <w:p w14:paraId="65D004E7">
            <w:pPr>
              <w:spacing w:line="240" w:lineRule="auto"/>
              <w:ind w:firstLine="0" w:firstLineChars="0"/>
              <w:jc w:val="center"/>
              <w:rPr>
                <w:color w:val="auto"/>
                <w:sz w:val="21"/>
                <w:szCs w:val="21"/>
                <w:highlight w:val="none"/>
              </w:rPr>
            </w:pPr>
            <w:r>
              <w:rPr>
                <w:color w:val="auto"/>
                <w:sz w:val="21"/>
                <w:szCs w:val="21"/>
                <w:highlight w:val="none"/>
              </w:rPr>
              <w:t xml:space="preserve">0.69 </w:t>
            </w:r>
          </w:p>
        </w:tc>
        <w:tc>
          <w:tcPr>
            <w:tcW w:w="425" w:type="pct"/>
            <w:tcBorders>
              <w:tl2br w:val="nil"/>
              <w:tr2bl w:val="nil"/>
            </w:tcBorders>
            <w:vAlign w:val="center"/>
          </w:tcPr>
          <w:p w14:paraId="7858FEB6">
            <w:pPr>
              <w:spacing w:line="240" w:lineRule="auto"/>
              <w:ind w:firstLine="0" w:firstLineChars="0"/>
              <w:jc w:val="center"/>
              <w:rPr>
                <w:color w:val="auto"/>
                <w:sz w:val="21"/>
                <w:szCs w:val="21"/>
                <w:highlight w:val="none"/>
              </w:rPr>
            </w:pPr>
            <w:r>
              <w:rPr>
                <w:color w:val="auto"/>
                <w:sz w:val="21"/>
                <w:szCs w:val="21"/>
                <w:highlight w:val="none"/>
              </w:rPr>
              <w:t>27.2</w:t>
            </w:r>
          </w:p>
        </w:tc>
        <w:tc>
          <w:tcPr>
            <w:tcW w:w="425" w:type="pct"/>
            <w:tcBorders>
              <w:tl2br w:val="nil"/>
              <w:tr2bl w:val="nil"/>
            </w:tcBorders>
            <w:vAlign w:val="center"/>
          </w:tcPr>
          <w:p w14:paraId="0930826F">
            <w:pPr>
              <w:spacing w:line="240" w:lineRule="auto"/>
              <w:ind w:firstLine="0" w:firstLineChars="0"/>
              <w:jc w:val="center"/>
              <w:rPr>
                <w:color w:val="auto"/>
                <w:sz w:val="21"/>
                <w:szCs w:val="21"/>
                <w:highlight w:val="none"/>
              </w:rPr>
            </w:pPr>
            <w:r>
              <w:rPr>
                <w:color w:val="auto"/>
                <w:sz w:val="21"/>
                <w:szCs w:val="21"/>
                <w:highlight w:val="none"/>
              </w:rPr>
              <w:t>1010.8</w:t>
            </w:r>
          </w:p>
        </w:tc>
        <w:tc>
          <w:tcPr>
            <w:tcW w:w="533" w:type="pct"/>
            <w:tcBorders>
              <w:tl2br w:val="nil"/>
              <w:tr2bl w:val="nil"/>
            </w:tcBorders>
            <w:vAlign w:val="center"/>
          </w:tcPr>
          <w:p w14:paraId="2508889C">
            <w:pPr>
              <w:spacing w:line="240" w:lineRule="auto"/>
              <w:ind w:firstLine="0" w:firstLineChars="0"/>
              <w:jc w:val="center"/>
              <w:rPr>
                <w:color w:val="auto"/>
                <w:sz w:val="21"/>
                <w:szCs w:val="21"/>
                <w:highlight w:val="none"/>
              </w:rPr>
            </w:pPr>
            <w:r>
              <w:rPr>
                <w:color w:val="auto"/>
                <w:sz w:val="21"/>
                <w:szCs w:val="21"/>
                <w:highlight w:val="none"/>
              </w:rPr>
              <w:t>78</w:t>
            </w:r>
          </w:p>
        </w:tc>
        <w:tc>
          <w:tcPr>
            <w:tcW w:w="471" w:type="pct"/>
            <w:tcBorders>
              <w:tl2br w:val="nil"/>
              <w:tr2bl w:val="nil"/>
            </w:tcBorders>
            <w:vAlign w:val="center"/>
          </w:tcPr>
          <w:p w14:paraId="536D898F">
            <w:pPr>
              <w:spacing w:line="240" w:lineRule="auto"/>
              <w:ind w:firstLine="0" w:firstLineChars="0"/>
              <w:jc w:val="center"/>
              <w:rPr>
                <w:color w:val="auto"/>
                <w:sz w:val="21"/>
                <w:szCs w:val="21"/>
                <w:highlight w:val="none"/>
              </w:rPr>
            </w:pPr>
            <w:r>
              <w:rPr>
                <w:color w:val="auto"/>
                <w:sz w:val="21"/>
                <w:szCs w:val="21"/>
                <w:highlight w:val="none"/>
              </w:rPr>
              <w:t>西南</w:t>
            </w:r>
          </w:p>
        </w:tc>
        <w:tc>
          <w:tcPr>
            <w:tcW w:w="414" w:type="pct"/>
            <w:tcBorders>
              <w:tl2br w:val="nil"/>
              <w:tr2bl w:val="nil"/>
            </w:tcBorders>
            <w:vAlign w:val="center"/>
          </w:tcPr>
          <w:p w14:paraId="2C431854">
            <w:pPr>
              <w:spacing w:line="240" w:lineRule="auto"/>
              <w:ind w:firstLine="0" w:firstLineChars="0"/>
              <w:jc w:val="center"/>
              <w:rPr>
                <w:color w:val="auto"/>
                <w:sz w:val="21"/>
                <w:szCs w:val="21"/>
                <w:highlight w:val="none"/>
              </w:rPr>
            </w:pPr>
            <w:r>
              <w:rPr>
                <w:color w:val="auto"/>
                <w:sz w:val="21"/>
                <w:szCs w:val="21"/>
                <w:highlight w:val="none"/>
              </w:rPr>
              <w:t>27.2</w:t>
            </w:r>
          </w:p>
        </w:tc>
      </w:tr>
      <w:tr w14:paraId="2817E7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69FC6CA3">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13E08AC6">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28389470">
            <w:pPr>
              <w:spacing w:line="240" w:lineRule="auto"/>
              <w:ind w:firstLine="0" w:firstLineChars="0"/>
              <w:jc w:val="center"/>
              <w:rPr>
                <w:color w:val="auto"/>
                <w:sz w:val="21"/>
                <w:szCs w:val="21"/>
                <w:highlight w:val="none"/>
              </w:rPr>
            </w:pPr>
            <w:r>
              <w:rPr>
                <w:color w:val="auto"/>
                <w:sz w:val="21"/>
                <w:szCs w:val="21"/>
                <w:highlight w:val="none"/>
              </w:rPr>
              <w:t>3</w:t>
            </w:r>
          </w:p>
        </w:tc>
        <w:tc>
          <w:tcPr>
            <w:tcW w:w="719" w:type="pct"/>
            <w:tcBorders>
              <w:tl2br w:val="nil"/>
              <w:tr2bl w:val="nil"/>
            </w:tcBorders>
            <w:vAlign w:val="center"/>
          </w:tcPr>
          <w:p w14:paraId="1DA3639B">
            <w:pPr>
              <w:spacing w:line="240" w:lineRule="auto"/>
              <w:ind w:firstLine="0" w:firstLineChars="0"/>
              <w:jc w:val="center"/>
              <w:rPr>
                <w:color w:val="auto"/>
                <w:sz w:val="21"/>
                <w:szCs w:val="21"/>
                <w:highlight w:val="none"/>
              </w:rPr>
            </w:pPr>
            <w:r>
              <w:rPr>
                <w:color w:val="auto"/>
                <w:sz w:val="21"/>
                <w:szCs w:val="21"/>
                <w:highlight w:val="none"/>
              </w:rPr>
              <w:t>/</w:t>
            </w:r>
          </w:p>
        </w:tc>
        <w:tc>
          <w:tcPr>
            <w:tcW w:w="673" w:type="pct"/>
            <w:tcBorders>
              <w:tl2br w:val="nil"/>
              <w:tr2bl w:val="nil"/>
            </w:tcBorders>
            <w:vAlign w:val="center"/>
          </w:tcPr>
          <w:p w14:paraId="2030FFC3">
            <w:pPr>
              <w:spacing w:line="240" w:lineRule="auto"/>
              <w:ind w:firstLine="0" w:firstLineChars="0"/>
              <w:jc w:val="center"/>
              <w:rPr>
                <w:color w:val="auto"/>
                <w:sz w:val="21"/>
                <w:szCs w:val="21"/>
                <w:highlight w:val="none"/>
              </w:rPr>
            </w:pPr>
            <w:r>
              <w:rPr>
                <w:color w:val="auto"/>
                <w:sz w:val="21"/>
                <w:szCs w:val="21"/>
                <w:highlight w:val="none"/>
              </w:rPr>
              <w:t xml:space="preserve">0.68 </w:t>
            </w:r>
          </w:p>
        </w:tc>
        <w:tc>
          <w:tcPr>
            <w:tcW w:w="425" w:type="pct"/>
            <w:tcBorders>
              <w:tl2br w:val="nil"/>
              <w:tr2bl w:val="nil"/>
            </w:tcBorders>
            <w:vAlign w:val="center"/>
          </w:tcPr>
          <w:p w14:paraId="12D09623">
            <w:pPr>
              <w:spacing w:line="240" w:lineRule="auto"/>
              <w:ind w:firstLine="0" w:firstLineChars="0"/>
              <w:jc w:val="center"/>
              <w:rPr>
                <w:color w:val="auto"/>
                <w:sz w:val="21"/>
                <w:szCs w:val="21"/>
                <w:highlight w:val="none"/>
              </w:rPr>
            </w:pPr>
            <w:r>
              <w:rPr>
                <w:color w:val="auto"/>
                <w:sz w:val="21"/>
                <w:szCs w:val="21"/>
                <w:highlight w:val="none"/>
              </w:rPr>
              <w:t>30.8</w:t>
            </w:r>
          </w:p>
        </w:tc>
        <w:tc>
          <w:tcPr>
            <w:tcW w:w="425" w:type="pct"/>
            <w:tcBorders>
              <w:tl2br w:val="nil"/>
              <w:tr2bl w:val="nil"/>
            </w:tcBorders>
            <w:vAlign w:val="center"/>
          </w:tcPr>
          <w:p w14:paraId="671C7C54">
            <w:pPr>
              <w:spacing w:line="240" w:lineRule="auto"/>
              <w:ind w:firstLine="0" w:firstLineChars="0"/>
              <w:jc w:val="center"/>
              <w:rPr>
                <w:color w:val="auto"/>
                <w:sz w:val="21"/>
                <w:szCs w:val="21"/>
                <w:highlight w:val="none"/>
              </w:rPr>
            </w:pPr>
            <w:r>
              <w:rPr>
                <w:color w:val="auto"/>
                <w:sz w:val="21"/>
                <w:szCs w:val="21"/>
                <w:highlight w:val="none"/>
              </w:rPr>
              <w:t>1009.0</w:t>
            </w:r>
          </w:p>
        </w:tc>
        <w:tc>
          <w:tcPr>
            <w:tcW w:w="533" w:type="pct"/>
            <w:tcBorders>
              <w:tl2br w:val="nil"/>
              <w:tr2bl w:val="nil"/>
            </w:tcBorders>
            <w:vAlign w:val="center"/>
          </w:tcPr>
          <w:p w14:paraId="4ADA8486">
            <w:pPr>
              <w:spacing w:line="240" w:lineRule="auto"/>
              <w:ind w:firstLine="0" w:firstLineChars="0"/>
              <w:jc w:val="center"/>
              <w:rPr>
                <w:color w:val="auto"/>
                <w:sz w:val="21"/>
                <w:szCs w:val="21"/>
                <w:highlight w:val="none"/>
              </w:rPr>
            </w:pPr>
            <w:r>
              <w:rPr>
                <w:color w:val="auto"/>
                <w:sz w:val="21"/>
                <w:szCs w:val="21"/>
                <w:highlight w:val="none"/>
              </w:rPr>
              <w:t>64</w:t>
            </w:r>
          </w:p>
        </w:tc>
        <w:tc>
          <w:tcPr>
            <w:tcW w:w="471" w:type="pct"/>
            <w:tcBorders>
              <w:tl2br w:val="nil"/>
              <w:tr2bl w:val="nil"/>
            </w:tcBorders>
            <w:vAlign w:val="center"/>
          </w:tcPr>
          <w:p w14:paraId="3C1AD2A2">
            <w:pPr>
              <w:spacing w:line="240" w:lineRule="auto"/>
              <w:ind w:firstLine="0" w:firstLineChars="0"/>
              <w:jc w:val="center"/>
              <w:rPr>
                <w:color w:val="auto"/>
                <w:sz w:val="21"/>
                <w:szCs w:val="21"/>
                <w:highlight w:val="none"/>
              </w:rPr>
            </w:pPr>
            <w:r>
              <w:rPr>
                <w:color w:val="auto"/>
                <w:sz w:val="21"/>
                <w:szCs w:val="21"/>
                <w:highlight w:val="none"/>
              </w:rPr>
              <w:t>西南</w:t>
            </w:r>
          </w:p>
        </w:tc>
        <w:tc>
          <w:tcPr>
            <w:tcW w:w="414" w:type="pct"/>
            <w:tcBorders>
              <w:tl2br w:val="nil"/>
              <w:tr2bl w:val="nil"/>
            </w:tcBorders>
            <w:vAlign w:val="center"/>
          </w:tcPr>
          <w:p w14:paraId="6C0F7567">
            <w:pPr>
              <w:spacing w:line="240" w:lineRule="auto"/>
              <w:ind w:firstLine="0" w:firstLineChars="0"/>
              <w:jc w:val="center"/>
              <w:rPr>
                <w:color w:val="auto"/>
                <w:sz w:val="21"/>
                <w:szCs w:val="21"/>
                <w:highlight w:val="none"/>
              </w:rPr>
            </w:pPr>
            <w:r>
              <w:rPr>
                <w:color w:val="auto"/>
                <w:sz w:val="21"/>
                <w:szCs w:val="21"/>
                <w:highlight w:val="none"/>
              </w:rPr>
              <w:t>30.8</w:t>
            </w:r>
          </w:p>
        </w:tc>
      </w:tr>
      <w:tr w14:paraId="0FB1FE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38182549">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115B45ED">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759657DB">
            <w:pPr>
              <w:spacing w:line="240" w:lineRule="auto"/>
              <w:ind w:firstLine="0" w:firstLineChars="0"/>
              <w:jc w:val="center"/>
              <w:rPr>
                <w:color w:val="auto"/>
                <w:sz w:val="21"/>
                <w:szCs w:val="21"/>
                <w:highlight w:val="none"/>
              </w:rPr>
            </w:pPr>
            <w:r>
              <w:rPr>
                <w:color w:val="auto"/>
                <w:sz w:val="21"/>
                <w:szCs w:val="21"/>
                <w:highlight w:val="none"/>
              </w:rPr>
              <w:t>4</w:t>
            </w:r>
          </w:p>
        </w:tc>
        <w:tc>
          <w:tcPr>
            <w:tcW w:w="719" w:type="pct"/>
            <w:tcBorders>
              <w:tl2br w:val="nil"/>
              <w:tr2bl w:val="nil"/>
            </w:tcBorders>
            <w:vAlign w:val="center"/>
          </w:tcPr>
          <w:p w14:paraId="23B566B2">
            <w:pPr>
              <w:spacing w:line="240" w:lineRule="auto"/>
              <w:ind w:firstLine="0" w:firstLineChars="0"/>
              <w:jc w:val="center"/>
              <w:rPr>
                <w:color w:val="auto"/>
                <w:sz w:val="21"/>
                <w:szCs w:val="21"/>
                <w:highlight w:val="none"/>
              </w:rPr>
            </w:pPr>
            <w:r>
              <w:rPr>
                <w:color w:val="auto"/>
                <w:sz w:val="21"/>
                <w:szCs w:val="21"/>
                <w:highlight w:val="none"/>
              </w:rPr>
              <w:t>/</w:t>
            </w:r>
          </w:p>
        </w:tc>
        <w:tc>
          <w:tcPr>
            <w:tcW w:w="673" w:type="pct"/>
            <w:tcBorders>
              <w:tl2br w:val="nil"/>
              <w:tr2bl w:val="nil"/>
            </w:tcBorders>
            <w:vAlign w:val="center"/>
          </w:tcPr>
          <w:p w14:paraId="01317124">
            <w:pPr>
              <w:spacing w:line="240" w:lineRule="auto"/>
              <w:ind w:firstLine="0" w:firstLineChars="0"/>
              <w:jc w:val="center"/>
              <w:rPr>
                <w:color w:val="auto"/>
                <w:sz w:val="21"/>
                <w:szCs w:val="21"/>
                <w:highlight w:val="none"/>
              </w:rPr>
            </w:pPr>
            <w:r>
              <w:rPr>
                <w:color w:val="auto"/>
                <w:sz w:val="21"/>
                <w:szCs w:val="21"/>
                <w:highlight w:val="none"/>
              </w:rPr>
              <w:t xml:space="preserve">0.67 </w:t>
            </w:r>
          </w:p>
        </w:tc>
        <w:tc>
          <w:tcPr>
            <w:tcW w:w="425" w:type="pct"/>
            <w:tcBorders>
              <w:tl2br w:val="nil"/>
              <w:tr2bl w:val="nil"/>
            </w:tcBorders>
            <w:vAlign w:val="center"/>
          </w:tcPr>
          <w:p w14:paraId="60CE2793">
            <w:pPr>
              <w:spacing w:line="240" w:lineRule="auto"/>
              <w:ind w:firstLine="0" w:firstLineChars="0"/>
              <w:jc w:val="center"/>
              <w:rPr>
                <w:color w:val="auto"/>
                <w:sz w:val="21"/>
                <w:szCs w:val="21"/>
                <w:highlight w:val="none"/>
              </w:rPr>
            </w:pPr>
            <w:r>
              <w:rPr>
                <w:color w:val="auto"/>
                <w:sz w:val="21"/>
                <w:szCs w:val="21"/>
                <w:highlight w:val="none"/>
              </w:rPr>
              <w:t>28.6</w:t>
            </w:r>
          </w:p>
        </w:tc>
        <w:tc>
          <w:tcPr>
            <w:tcW w:w="425" w:type="pct"/>
            <w:tcBorders>
              <w:tl2br w:val="nil"/>
              <w:tr2bl w:val="nil"/>
            </w:tcBorders>
            <w:vAlign w:val="center"/>
          </w:tcPr>
          <w:p w14:paraId="5FD126C4">
            <w:pPr>
              <w:spacing w:line="240" w:lineRule="auto"/>
              <w:ind w:firstLine="0" w:firstLineChars="0"/>
              <w:jc w:val="center"/>
              <w:rPr>
                <w:color w:val="auto"/>
                <w:sz w:val="21"/>
                <w:szCs w:val="21"/>
                <w:highlight w:val="none"/>
              </w:rPr>
            </w:pPr>
            <w:r>
              <w:rPr>
                <w:color w:val="auto"/>
                <w:sz w:val="21"/>
                <w:szCs w:val="21"/>
                <w:highlight w:val="none"/>
              </w:rPr>
              <w:t>1009.6</w:t>
            </w:r>
          </w:p>
        </w:tc>
        <w:tc>
          <w:tcPr>
            <w:tcW w:w="533" w:type="pct"/>
            <w:tcBorders>
              <w:tl2br w:val="nil"/>
              <w:tr2bl w:val="nil"/>
            </w:tcBorders>
            <w:vAlign w:val="center"/>
          </w:tcPr>
          <w:p w14:paraId="75C915E0">
            <w:pPr>
              <w:spacing w:line="240" w:lineRule="auto"/>
              <w:ind w:firstLine="0" w:firstLineChars="0"/>
              <w:jc w:val="center"/>
              <w:rPr>
                <w:color w:val="auto"/>
                <w:sz w:val="21"/>
                <w:szCs w:val="21"/>
                <w:highlight w:val="none"/>
              </w:rPr>
            </w:pPr>
            <w:r>
              <w:rPr>
                <w:color w:val="auto"/>
                <w:sz w:val="21"/>
                <w:szCs w:val="21"/>
                <w:highlight w:val="none"/>
              </w:rPr>
              <w:t>73</w:t>
            </w:r>
          </w:p>
        </w:tc>
        <w:tc>
          <w:tcPr>
            <w:tcW w:w="471" w:type="pct"/>
            <w:tcBorders>
              <w:tl2br w:val="nil"/>
              <w:tr2bl w:val="nil"/>
            </w:tcBorders>
            <w:vAlign w:val="center"/>
          </w:tcPr>
          <w:p w14:paraId="3E592910">
            <w:pPr>
              <w:spacing w:line="240" w:lineRule="auto"/>
              <w:ind w:firstLine="0" w:firstLineChars="0"/>
              <w:jc w:val="center"/>
              <w:rPr>
                <w:color w:val="auto"/>
                <w:sz w:val="21"/>
                <w:szCs w:val="21"/>
                <w:highlight w:val="none"/>
              </w:rPr>
            </w:pPr>
            <w:r>
              <w:rPr>
                <w:color w:val="auto"/>
                <w:sz w:val="21"/>
                <w:szCs w:val="21"/>
                <w:highlight w:val="none"/>
              </w:rPr>
              <w:t>西南</w:t>
            </w:r>
          </w:p>
        </w:tc>
        <w:tc>
          <w:tcPr>
            <w:tcW w:w="414" w:type="pct"/>
            <w:tcBorders>
              <w:tl2br w:val="nil"/>
              <w:tr2bl w:val="nil"/>
            </w:tcBorders>
            <w:vAlign w:val="center"/>
          </w:tcPr>
          <w:p w14:paraId="7D8919DC">
            <w:pPr>
              <w:spacing w:line="240" w:lineRule="auto"/>
              <w:ind w:firstLine="0" w:firstLineChars="0"/>
              <w:jc w:val="center"/>
              <w:rPr>
                <w:color w:val="auto"/>
                <w:sz w:val="21"/>
                <w:szCs w:val="21"/>
                <w:highlight w:val="none"/>
              </w:rPr>
            </w:pPr>
            <w:r>
              <w:rPr>
                <w:color w:val="auto"/>
                <w:sz w:val="21"/>
                <w:szCs w:val="21"/>
                <w:highlight w:val="none"/>
              </w:rPr>
              <w:t>28.6</w:t>
            </w:r>
          </w:p>
        </w:tc>
      </w:tr>
      <w:tr w14:paraId="4FAD93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1336" w:type="pct"/>
            <w:gridSpan w:val="3"/>
            <w:tcBorders>
              <w:tl2br w:val="nil"/>
              <w:tr2bl w:val="nil"/>
            </w:tcBorders>
            <w:vAlign w:val="center"/>
          </w:tcPr>
          <w:p w14:paraId="3A8F0EE4">
            <w:pPr>
              <w:spacing w:line="240" w:lineRule="auto"/>
              <w:ind w:firstLine="0" w:firstLineChars="0"/>
              <w:jc w:val="center"/>
              <w:rPr>
                <w:color w:val="auto"/>
                <w:sz w:val="21"/>
                <w:szCs w:val="21"/>
                <w:highlight w:val="none"/>
              </w:rPr>
            </w:pPr>
            <w:r>
              <w:rPr>
                <w:color w:val="auto"/>
                <w:sz w:val="21"/>
                <w:szCs w:val="21"/>
                <w:highlight w:val="none"/>
              </w:rPr>
              <w:t>标准限值</w:t>
            </w:r>
          </w:p>
        </w:tc>
        <w:tc>
          <w:tcPr>
            <w:tcW w:w="719" w:type="pct"/>
            <w:tcBorders>
              <w:tl2br w:val="nil"/>
              <w:tr2bl w:val="nil"/>
            </w:tcBorders>
            <w:vAlign w:val="center"/>
          </w:tcPr>
          <w:p w14:paraId="1D3B0D68">
            <w:pPr>
              <w:spacing w:line="240" w:lineRule="auto"/>
              <w:ind w:firstLine="0" w:firstLineChars="0"/>
              <w:jc w:val="center"/>
              <w:rPr>
                <w:color w:val="auto"/>
                <w:sz w:val="21"/>
                <w:szCs w:val="21"/>
                <w:highlight w:val="none"/>
              </w:rPr>
            </w:pPr>
            <w:r>
              <w:rPr>
                <w:color w:val="auto"/>
                <w:sz w:val="21"/>
                <w:szCs w:val="21"/>
                <w:highlight w:val="none"/>
              </w:rPr>
              <w:t>/</w:t>
            </w:r>
          </w:p>
        </w:tc>
        <w:tc>
          <w:tcPr>
            <w:tcW w:w="673" w:type="pct"/>
            <w:tcBorders>
              <w:tl2br w:val="nil"/>
              <w:tr2bl w:val="nil"/>
            </w:tcBorders>
            <w:vAlign w:val="center"/>
          </w:tcPr>
          <w:p w14:paraId="7D7E1AAE">
            <w:pPr>
              <w:spacing w:line="240" w:lineRule="auto"/>
              <w:ind w:firstLine="0" w:firstLineChars="0"/>
              <w:jc w:val="center"/>
              <w:rPr>
                <w:color w:val="auto"/>
                <w:sz w:val="21"/>
                <w:szCs w:val="21"/>
                <w:highlight w:val="none"/>
              </w:rPr>
            </w:pPr>
            <w:r>
              <w:rPr>
                <w:color w:val="auto"/>
                <w:sz w:val="21"/>
                <w:szCs w:val="21"/>
                <w:highlight w:val="none"/>
              </w:rPr>
              <w:t>10</w:t>
            </w:r>
          </w:p>
        </w:tc>
        <w:tc>
          <w:tcPr>
            <w:tcW w:w="425" w:type="pct"/>
            <w:tcBorders>
              <w:tl2br w:val="nil"/>
              <w:tr2bl w:val="nil"/>
            </w:tcBorders>
            <w:vAlign w:val="center"/>
          </w:tcPr>
          <w:p w14:paraId="69D2857C">
            <w:pPr>
              <w:spacing w:line="240" w:lineRule="auto"/>
              <w:ind w:firstLine="0" w:firstLineChars="0"/>
              <w:jc w:val="center"/>
              <w:rPr>
                <w:color w:val="auto"/>
                <w:sz w:val="21"/>
                <w:szCs w:val="21"/>
                <w:highlight w:val="none"/>
              </w:rPr>
            </w:pPr>
            <w:r>
              <w:rPr>
                <w:color w:val="auto"/>
                <w:sz w:val="21"/>
                <w:szCs w:val="21"/>
                <w:highlight w:val="none"/>
              </w:rPr>
              <w:t>/</w:t>
            </w:r>
          </w:p>
        </w:tc>
        <w:tc>
          <w:tcPr>
            <w:tcW w:w="425" w:type="pct"/>
            <w:tcBorders>
              <w:tl2br w:val="nil"/>
              <w:tr2bl w:val="nil"/>
            </w:tcBorders>
            <w:vAlign w:val="center"/>
          </w:tcPr>
          <w:p w14:paraId="4C57E50D">
            <w:pPr>
              <w:spacing w:line="240" w:lineRule="auto"/>
              <w:ind w:firstLine="0" w:firstLineChars="0"/>
              <w:jc w:val="center"/>
              <w:rPr>
                <w:color w:val="auto"/>
                <w:sz w:val="21"/>
                <w:szCs w:val="21"/>
                <w:highlight w:val="none"/>
              </w:rPr>
            </w:pPr>
            <w:r>
              <w:rPr>
                <w:color w:val="auto"/>
                <w:sz w:val="21"/>
                <w:szCs w:val="21"/>
                <w:highlight w:val="none"/>
              </w:rPr>
              <w:t>/</w:t>
            </w:r>
          </w:p>
        </w:tc>
        <w:tc>
          <w:tcPr>
            <w:tcW w:w="533" w:type="pct"/>
            <w:tcBorders>
              <w:tl2br w:val="nil"/>
              <w:tr2bl w:val="nil"/>
            </w:tcBorders>
            <w:vAlign w:val="center"/>
          </w:tcPr>
          <w:p w14:paraId="62FAF8FD">
            <w:pPr>
              <w:spacing w:line="240" w:lineRule="auto"/>
              <w:ind w:firstLine="0" w:firstLineChars="0"/>
              <w:jc w:val="center"/>
              <w:rPr>
                <w:color w:val="auto"/>
                <w:sz w:val="21"/>
                <w:szCs w:val="21"/>
                <w:highlight w:val="none"/>
              </w:rPr>
            </w:pPr>
            <w:r>
              <w:rPr>
                <w:color w:val="auto"/>
                <w:sz w:val="21"/>
                <w:szCs w:val="21"/>
                <w:highlight w:val="none"/>
              </w:rPr>
              <w:t>/</w:t>
            </w:r>
          </w:p>
        </w:tc>
        <w:tc>
          <w:tcPr>
            <w:tcW w:w="471" w:type="pct"/>
            <w:tcBorders>
              <w:tl2br w:val="nil"/>
              <w:tr2bl w:val="nil"/>
            </w:tcBorders>
            <w:vAlign w:val="center"/>
          </w:tcPr>
          <w:p w14:paraId="512EF6DF">
            <w:pPr>
              <w:spacing w:line="240" w:lineRule="auto"/>
              <w:ind w:firstLine="0" w:firstLineChars="0"/>
              <w:jc w:val="center"/>
              <w:rPr>
                <w:color w:val="auto"/>
                <w:sz w:val="21"/>
                <w:szCs w:val="21"/>
                <w:highlight w:val="none"/>
              </w:rPr>
            </w:pPr>
            <w:r>
              <w:rPr>
                <w:color w:val="auto"/>
                <w:sz w:val="21"/>
                <w:szCs w:val="21"/>
                <w:highlight w:val="none"/>
              </w:rPr>
              <w:t>/</w:t>
            </w:r>
          </w:p>
        </w:tc>
        <w:tc>
          <w:tcPr>
            <w:tcW w:w="414" w:type="pct"/>
            <w:tcBorders>
              <w:tl2br w:val="nil"/>
              <w:tr2bl w:val="nil"/>
            </w:tcBorders>
            <w:vAlign w:val="center"/>
          </w:tcPr>
          <w:p w14:paraId="11C1B79C">
            <w:pPr>
              <w:spacing w:line="240" w:lineRule="auto"/>
              <w:ind w:firstLine="0" w:firstLineChars="0"/>
              <w:jc w:val="center"/>
              <w:rPr>
                <w:color w:val="auto"/>
                <w:sz w:val="21"/>
                <w:szCs w:val="21"/>
                <w:highlight w:val="none"/>
              </w:rPr>
            </w:pPr>
            <w:r>
              <w:rPr>
                <w:color w:val="auto"/>
                <w:sz w:val="21"/>
                <w:szCs w:val="21"/>
                <w:highlight w:val="none"/>
              </w:rPr>
              <w:t>/</w:t>
            </w:r>
          </w:p>
        </w:tc>
      </w:tr>
      <w:tr w14:paraId="6B442A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1336" w:type="pct"/>
            <w:gridSpan w:val="3"/>
            <w:tcBorders>
              <w:tl2br w:val="nil"/>
              <w:tr2bl w:val="nil"/>
            </w:tcBorders>
            <w:vAlign w:val="center"/>
          </w:tcPr>
          <w:p w14:paraId="50EEEFC0">
            <w:pPr>
              <w:spacing w:line="240" w:lineRule="auto"/>
              <w:ind w:firstLine="0" w:firstLineChars="0"/>
              <w:jc w:val="center"/>
              <w:rPr>
                <w:color w:val="auto"/>
                <w:sz w:val="21"/>
                <w:szCs w:val="21"/>
                <w:highlight w:val="none"/>
              </w:rPr>
            </w:pPr>
            <w:r>
              <w:rPr>
                <w:color w:val="auto"/>
                <w:sz w:val="21"/>
                <w:szCs w:val="21"/>
                <w:highlight w:val="none"/>
              </w:rPr>
              <w:t>结果评价</w:t>
            </w:r>
          </w:p>
        </w:tc>
        <w:tc>
          <w:tcPr>
            <w:tcW w:w="719" w:type="pct"/>
            <w:tcBorders>
              <w:tl2br w:val="nil"/>
              <w:tr2bl w:val="nil"/>
            </w:tcBorders>
            <w:vAlign w:val="center"/>
          </w:tcPr>
          <w:p w14:paraId="79708205">
            <w:pPr>
              <w:spacing w:line="240" w:lineRule="auto"/>
              <w:ind w:firstLine="0" w:firstLineChars="0"/>
              <w:jc w:val="center"/>
              <w:rPr>
                <w:color w:val="auto"/>
                <w:sz w:val="21"/>
                <w:szCs w:val="21"/>
                <w:highlight w:val="none"/>
              </w:rPr>
            </w:pPr>
            <w:r>
              <w:rPr>
                <w:color w:val="auto"/>
                <w:sz w:val="21"/>
                <w:szCs w:val="21"/>
                <w:highlight w:val="none"/>
              </w:rPr>
              <w:t>/</w:t>
            </w:r>
          </w:p>
        </w:tc>
        <w:tc>
          <w:tcPr>
            <w:tcW w:w="673" w:type="pct"/>
            <w:tcBorders>
              <w:tl2br w:val="nil"/>
              <w:tr2bl w:val="nil"/>
            </w:tcBorders>
            <w:vAlign w:val="center"/>
          </w:tcPr>
          <w:p w14:paraId="6C3901E2">
            <w:pPr>
              <w:spacing w:line="240" w:lineRule="auto"/>
              <w:ind w:firstLine="0" w:firstLineChars="0"/>
              <w:jc w:val="center"/>
              <w:rPr>
                <w:color w:val="auto"/>
                <w:sz w:val="21"/>
                <w:szCs w:val="21"/>
                <w:highlight w:val="none"/>
              </w:rPr>
            </w:pPr>
            <w:r>
              <w:rPr>
                <w:color w:val="auto"/>
                <w:sz w:val="21"/>
                <w:szCs w:val="21"/>
                <w:highlight w:val="none"/>
              </w:rPr>
              <w:t>达标</w:t>
            </w:r>
          </w:p>
        </w:tc>
        <w:tc>
          <w:tcPr>
            <w:tcW w:w="425" w:type="pct"/>
            <w:tcBorders>
              <w:tl2br w:val="nil"/>
              <w:tr2bl w:val="nil"/>
            </w:tcBorders>
            <w:vAlign w:val="center"/>
          </w:tcPr>
          <w:p w14:paraId="620A35E8">
            <w:pPr>
              <w:spacing w:line="240" w:lineRule="auto"/>
              <w:ind w:firstLine="0" w:firstLineChars="0"/>
              <w:jc w:val="center"/>
              <w:rPr>
                <w:b/>
                <w:bCs/>
                <w:color w:val="auto"/>
                <w:sz w:val="21"/>
                <w:szCs w:val="21"/>
                <w:highlight w:val="none"/>
              </w:rPr>
            </w:pPr>
            <w:r>
              <w:rPr>
                <w:b/>
                <w:bCs/>
                <w:color w:val="auto"/>
                <w:sz w:val="21"/>
                <w:szCs w:val="21"/>
                <w:highlight w:val="none"/>
              </w:rPr>
              <w:t>/</w:t>
            </w:r>
          </w:p>
        </w:tc>
        <w:tc>
          <w:tcPr>
            <w:tcW w:w="425" w:type="pct"/>
            <w:tcBorders>
              <w:tl2br w:val="nil"/>
              <w:tr2bl w:val="nil"/>
            </w:tcBorders>
            <w:vAlign w:val="center"/>
          </w:tcPr>
          <w:p w14:paraId="3CC2FA65">
            <w:pPr>
              <w:spacing w:line="240" w:lineRule="auto"/>
              <w:ind w:firstLine="0" w:firstLineChars="0"/>
              <w:jc w:val="center"/>
              <w:rPr>
                <w:b/>
                <w:bCs/>
                <w:color w:val="auto"/>
                <w:sz w:val="21"/>
                <w:szCs w:val="21"/>
                <w:highlight w:val="none"/>
              </w:rPr>
            </w:pPr>
            <w:r>
              <w:rPr>
                <w:b/>
                <w:bCs/>
                <w:color w:val="auto"/>
                <w:sz w:val="21"/>
                <w:szCs w:val="21"/>
                <w:highlight w:val="none"/>
              </w:rPr>
              <w:t>/</w:t>
            </w:r>
          </w:p>
        </w:tc>
        <w:tc>
          <w:tcPr>
            <w:tcW w:w="533" w:type="pct"/>
            <w:tcBorders>
              <w:tl2br w:val="nil"/>
              <w:tr2bl w:val="nil"/>
            </w:tcBorders>
            <w:vAlign w:val="center"/>
          </w:tcPr>
          <w:p w14:paraId="1F0CCADC">
            <w:pPr>
              <w:spacing w:line="240" w:lineRule="auto"/>
              <w:ind w:firstLine="0" w:firstLineChars="0"/>
              <w:jc w:val="center"/>
              <w:rPr>
                <w:b/>
                <w:bCs/>
                <w:color w:val="auto"/>
                <w:sz w:val="21"/>
                <w:szCs w:val="21"/>
                <w:highlight w:val="none"/>
              </w:rPr>
            </w:pPr>
            <w:r>
              <w:rPr>
                <w:b/>
                <w:bCs/>
                <w:color w:val="auto"/>
                <w:sz w:val="21"/>
                <w:szCs w:val="21"/>
                <w:highlight w:val="none"/>
              </w:rPr>
              <w:t>/</w:t>
            </w:r>
          </w:p>
        </w:tc>
        <w:tc>
          <w:tcPr>
            <w:tcW w:w="471" w:type="pct"/>
            <w:tcBorders>
              <w:tl2br w:val="nil"/>
              <w:tr2bl w:val="nil"/>
            </w:tcBorders>
            <w:vAlign w:val="center"/>
          </w:tcPr>
          <w:p w14:paraId="48CF2F6A">
            <w:pPr>
              <w:spacing w:line="240" w:lineRule="auto"/>
              <w:ind w:firstLine="0" w:firstLineChars="0"/>
              <w:jc w:val="center"/>
              <w:rPr>
                <w:b/>
                <w:bCs/>
                <w:color w:val="auto"/>
                <w:sz w:val="21"/>
                <w:szCs w:val="21"/>
                <w:highlight w:val="none"/>
              </w:rPr>
            </w:pPr>
            <w:r>
              <w:rPr>
                <w:b/>
                <w:bCs/>
                <w:color w:val="auto"/>
                <w:sz w:val="21"/>
                <w:szCs w:val="21"/>
                <w:highlight w:val="none"/>
              </w:rPr>
              <w:t>/</w:t>
            </w:r>
          </w:p>
        </w:tc>
        <w:tc>
          <w:tcPr>
            <w:tcW w:w="414" w:type="pct"/>
            <w:tcBorders>
              <w:tl2br w:val="nil"/>
              <w:tr2bl w:val="nil"/>
            </w:tcBorders>
            <w:vAlign w:val="center"/>
          </w:tcPr>
          <w:p w14:paraId="4F5AD903">
            <w:pPr>
              <w:spacing w:line="240" w:lineRule="auto"/>
              <w:ind w:firstLine="0" w:firstLineChars="0"/>
              <w:jc w:val="center"/>
              <w:rPr>
                <w:b/>
                <w:bCs/>
                <w:color w:val="auto"/>
                <w:sz w:val="21"/>
                <w:szCs w:val="21"/>
                <w:highlight w:val="none"/>
              </w:rPr>
            </w:pPr>
            <w:r>
              <w:rPr>
                <w:b/>
                <w:bCs/>
                <w:color w:val="auto"/>
                <w:sz w:val="21"/>
                <w:szCs w:val="21"/>
                <w:highlight w:val="none"/>
              </w:rPr>
              <w:t>/</w:t>
            </w:r>
          </w:p>
        </w:tc>
      </w:tr>
    </w:tbl>
    <w:p w14:paraId="31186AA6">
      <w:pPr>
        <w:spacing w:line="240" w:lineRule="auto"/>
        <w:ind w:firstLine="422"/>
        <w:rPr>
          <w:b/>
          <w:bCs/>
          <w:color w:val="auto"/>
          <w:sz w:val="21"/>
          <w:szCs w:val="21"/>
          <w:highlight w:val="none"/>
        </w:rPr>
      </w:pPr>
      <w:r>
        <w:rPr>
          <w:b/>
          <w:bCs/>
          <w:color w:val="auto"/>
          <w:sz w:val="21"/>
          <w:szCs w:val="21"/>
          <w:highlight w:val="none"/>
        </w:rPr>
        <w:t>注：1、未检出以“＜检出限”表示；2、厂界无组织废气依据客户要求所列标准限值为《大气污染物综合排放标准》（GB 16297-1996）表2新污染源大气污染物排放限值；舾装码头无组织废气依据客户要求所列标准限值为《挥发性有机物无组织排放控制标准》（GB 37822-2019）附录A中厂区内NMHC无组织排放限值。</w:t>
      </w:r>
    </w:p>
    <w:p w14:paraId="10C03AA6">
      <w:pPr>
        <w:pStyle w:val="91"/>
        <w:ind w:left="480"/>
        <w:rPr>
          <w:rFonts w:ascii="Times New Roman" w:hAnsi="Times New Roman" w:cs="Times New Roman"/>
          <w:color w:val="auto"/>
          <w:highlight w:val="none"/>
        </w:rPr>
      </w:pPr>
    </w:p>
    <w:p w14:paraId="3996ABB3">
      <w:pPr>
        <w:pStyle w:val="38"/>
        <w:spacing w:after="0" w:line="240" w:lineRule="auto"/>
        <w:ind w:firstLine="0" w:firstLineChars="0"/>
        <w:jc w:val="center"/>
        <w:rPr>
          <w:b/>
          <w:color w:val="auto"/>
          <w:sz w:val="21"/>
          <w:szCs w:val="21"/>
          <w:highlight w:val="none"/>
        </w:rPr>
      </w:pPr>
      <w:r>
        <w:rPr>
          <w:b/>
          <w:color w:val="auto"/>
          <w:sz w:val="21"/>
          <w:szCs w:val="21"/>
          <w:highlight w:val="none"/>
        </w:rPr>
        <w:t>表2.1-2</w:t>
      </w:r>
      <w:r>
        <w:rPr>
          <w:rFonts w:hint="eastAsia"/>
          <w:b/>
          <w:color w:val="auto"/>
          <w:sz w:val="21"/>
          <w:szCs w:val="21"/>
          <w:highlight w:val="none"/>
        </w:rPr>
        <w:t>3</w:t>
      </w:r>
      <w:r>
        <w:rPr>
          <w:b/>
          <w:color w:val="auto"/>
          <w:sz w:val="21"/>
          <w:szCs w:val="21"/>
          <w:highlight w:val="none"/>
        </w:rPr>
        <w:t xml:space="preserve">  2023年5月1</w:t>
      </w:r>
      <w:r>
        <w:rPr>
          <w:rFonts w:hint="eastAsia"/>
          <w:b/>
          <w:color w:val="auto"/>
          <w:sz w:val="21"/>
          <w:szCs w:val="21"/>
          <w:highlight w:val="none"/>
        </w:rPr>
        <w:t>7</w:t>
      </w:r>
      <w:r>
        <w:rPr>
          <w:b/>
          <w:color w:val="auto"/>
          <w:sz w:val="21"/>
          <w:szCs w:val="21"/>
          <w:highlight w:val="none"/>
        </w:rPr>
        <w:t>日二甲苯、非甲烷总烃无组织排放情况监测结果</w:t>
      </w:r>
    </w:p>
    <w:tbl>
      <w:tblPr>
        <w:tblStyle w:val="92"/>
        <w:tblW w:w="500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7" w:type="dxa"/>
          <w:bottom w:w="0" w:type="dxa"/>
          <w:right w:w="17" w:type="dxa"/>
        </w:tblCellMar>
      </w:tblPr>
      <w:tblGrid>
        <w:gridCol w:w="645"/>
        <w:gridCol w:w="1199"/>
        <w:gridCol w:w="595"/>
        <w:gridCol w:w="1311"/>
        <w:gridCol w:w="1227"/>
        <w:gridCol w:w="775"/>
        <w:gridCol w:w="775"/>
        <w:gridCol w:w="972"/>
        <w:gridCol w:w="859"/>
        <w:gridCol w:w="761"/>
      </w:tblGrid>
      <w:tr w14:paraId="264ADB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restart"/>
            <w:tcBorders>
              <w:tl2br w:val="nil"/>
              <w:tr2bl w:val="nil"/>
            </w:tcBorders>
            <w:vAlign w:val="center"/>
          </w:tcPr>
          <w:p w14:paraId="6445D11C">
            <w:pPr>
              <w:spacing w:line="240" w:lineRule="auto"/>
              <w:ind w:firstLine="0" w:firstLineChars="0"/>
              <w:jc w:val="center"/>
              <w:rPr>
                <w:b/>
                <w:bCs/>
                <w:color w:val="auto"/>
                <w:sz w:val="21"/>
                <w:szCs w:val="21"/>
                <w:highlight w:val="none"/>
              </w:rPr>
            </w:pPr>
            <w:r>
              <w:rPr>
                <w:b/>
                <w:bCs/>
                <w:color w:val="auto"/>
                <w:sz w:val="21"/>
                <w:szCs w:val="21"/>
                <w:highlight w:val="none"/>
              </w:rPr>
              <w:t>监测日期</w:t>
            </w:r>
          </w:p>
        </w:tc>
        <w:tc>
          <w:tcPr>
            <w:tcW w:w="657" w:type="pct"/>
            <w:vMerge w:val="restart"/>
            <w:tcBorders>
              <w:tl2br w:val="nil"/>
              <w:tr2bl w:val="nil"/>
            </w:tcBorders>
            <w:vAlign w:val="center"/>
          </w:tcPr>
          <w:p w14:paraId="65740C44">
            <w:pPr>
              <w:spacing w:line="240" w:lineRule="auto"/>
              <w:ind w:firstLine="0" w:firstLineChars="0"/>
              <w:jc w:val="center"/>
              <w:rPr>
                <w:b/>
                <w:bCs/>
                <w:color w:val="auto"/>
                <w:sz w:val="21"/>
                <w:szCs w:val="21"/>
                <w:highlight w:val="none"/>
              </w:rPr>
            </w:pPr>
            <w:r>
              <w:rPr>
                <w:b/>
                <w:bCs/>
                <w:color w:val="auto"/>
                <w:sz w:val="21"/>
                <w:szCs w:val="21"/>
                <w:highlight w:val="none"/>
              </w:rPr>
              <w:t>监测</w:t>
            </w:r>
          </w:p>
          <w:p w14:paraId="30077887">
            <w:pPr>
              <w:spacing w:line="240" w:lineRule="auto"/>
              <w:ind w:firstLine="0" w:firstLineChars="0"/>
              <w:jc w:val="center"/>
              <w:rPr>
                <w:b/>
                <w:bCs/>
                <w:color w:val="auto"/>
                <w:sz w:val="21"/>
                <w:szCs w:val="21"/>
                <w:highlight w:val="none"/>
              </w:rPr>
            </w:pPr>
            <w:r>
              <w:rPr>
                <w:b/>
                <w:bCs/>
                <w:color w:val="auto"/>
                <w:sz w:val="21"/>
                <w:szCs w:val="21"/>
                <w:highlight w:val="none"/>
              </w:rPr>
              <w:t>点位</w:t>
            </w:r>
          </w:p>
        </w:tc>
        <w:tc>
          <w:tcPr>
            <w:tcW w:w="324" w:type="pct"/>
            <w:vMerge w:val="restart"/>
            <w:tcBorders>
              <w:tl2br w:val="nil"/>
              <w:tr2bl w:val="nil"/>
            </w:tcBorders>
            <w:vAlign w:val="center"/>
          </w:tcPr>
          <w:p w14:paraId="29A79522">
            <w:pPr>
              <w:spacing w:line="240" w:lineRule="auto"/>
              <w:ind w:firstLine="0" w:firstLineChars="0"/>
              <w:jc w:val="center"/>
              <w:rPr>
                <w:b/>
                <w:bCs/>
                <w:color w:val="auto"/>
                <w:sz w:val="21"/>
                <w:szCs w:val="21"/>
                <w:highlight w:val="none"/>
              </w:rPr>
            </w:pPr>
            <w:r>
              <w:rPr>
                <w:b/>
                <w:bCs/>
                <w:color w:val="auto"/>
                <w:sz w:val="21"/>
                <w:szCs w:val="21"/>
                <w:highlight w:val="none"/>
              </w:rPr>
              <w:t>监测频次</w:t>
            </w:r>
          </w:p>
        </w:tc>
        <w:tc>
          <w:tcPr>
            <w:tcW w:w="1392" w:type="pct"/>
            <w:gridSpan w:val="2"/>
            <w:tcBorders>
              <w:tl2br w:val="nil"/>
              <w:tr2bl w:val="nil"/>
            </w:tcBorders>
            <w:vAlign w:val="center"/>
          </w:tcPr>
          <w:p w14:paraId="1D10F4C6">
            <w:pPr>
              <w:spacing w:line="240" w:lineRule="auto"/>
              <w:ind w:firstLine="0" w:firstLineChars="0"/>
              <w:jc w:val="center"/>
              <w:rPr>
                <w:b/>
                <w:bCs/>
                <w:color w:val="auto"/>
                <w:sz w:val="21"/>
                <w:szCs w:val="21"/>
                <w:highlight w:val="none"/>
              </w:rPr>
            </w:pPr>
            <w:r>
              <w:rPr>
                <w:b/>
                <w:bCs/>
                <w:color w:val="auto"/>
                <w:sz w:val="21"/>
                <w:szCs w:val="21"/>
                <w:highlight w:val="none"/>
              </w:rPr>
              <w:t>监测结果</w:t>
            </w:r>
          </w:p>
        </w:tc>
        <w:tc>
          <w:tcPr>
            <w:tcW w:w="2271" w:type="pct"/>
            <w:gridSpan w:val="5"/>
            <w:tcBorders>
              <w:tl2br w:val="nil"/>
              <w:tr2bl w:val="nil"/>
            </w:tcBorders>
            <w:vAlign w:val="center"/>
          </w:tcPr>
          <w:p w14:paraId="2E8B04FB">
            <w:pPr>
              <w:spacing w:line="240" w:lineRule="auto"/>
              <w:ind w:firstLine="0" w:firstLineChars="0"/>
              <w:jc w:val="center"/>
              <w:rPr>
                <w:b/>
                <w:bCs/>
                <w:color w:val="auto"/>
                <w:sz w:val="21"/>
                <w:szCs w:val="21"/>
                <w:highlight w:val="none"/>
              </w:rPr>
            </w:pPr>
            <w:r>
              <w:rPr>
                <w:b/>
                <w:bCs/>
                <w:color w:val="auto"/>
                <w:sz w:val="21"/>
                <w:szCs w:val="21"/>
                <w:highlight w:val="none"/>
              </w:rPr>
              <w:t>气象参数</w:t>
            </w:r>
          </w:p>
        </w:tc>
      </w:tr>
      <w:tr w14:paraId="2B0413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20DCB13C">
            <w:pPr>
              <w:spacing w:line="240" w:lineRule="auto"/>
              <w:ind w:firstLine="0" w:firstLineChars="0"/>
              <w:jc w:val="center"/>
              <w:rPr>
                <w:b/>
                <w:bCs/>
                <w:color w:val="auto"/>
                <w:sz w:val="21"/>
                <w:szCs w:val="21"/>
                <w:highlight w:val="none"/>
              </w:rPr>
            </w:pPr>
          </w:p>
        </w:tc>
        <w:tc>
          <w:tcPr>
            <w:tcW w:w="657" w:type="pct"/>
            <w:vMerge w:val="continue"/>
            <w:tcBorders>
              <w:tl2br w:val="nil"/>
              <w:tr2bl w:val="nil"/>
            </w:tcBorders>
            <w:vAlign w:val="center"/>
          </w:tcPr>
          <w:p w14:paraId="4D8820E4">
            <w:pPr>
              <w:spacing w:line="240" w:lineRule="auto"/>
              <w:ind w:firstLine="0" w:firstLineChars="0"/>
              <w:jc w:val="center"/>
              <w:rPr>
                <w:b/>
                <w:bCs/>
                <w:color w:val="auto"/>
                <w:sz w:val="21"/>
                <w:szCs w:val="21"/>
                <w:highlight w:val="none"/>
              </w:rPr>
            </w:pPr>
          </w:p>
        </w:tc>
        <w:tc>
          <w:tcPr>
            <w:tcW w:w="324" w:type="pct"/>
            <w:vMerge w:val="continue"/>
            <w:tcBorders>
              <w:tl2br w:val="nil"/>
              <w:tr2bl w:val="nil"/>
            </w:tcBorders>
            <w:vAlign w:val="center"/>
          </w:tcPr>
          <w:p w14:paraId="7A62995A">
            <w:pPr>
              <w:spacing w:line="240" w:lineRule="auto"/>
              <w:ind w:firstLine="0" w:firstLineChars="0"/>
              <w:jc w:val="center"/>
              <w:rPr>
                <w:b/>
                <w:bCs/>
                <w:color w:val="auto"/>
                <w:sz w:val="21"/>
                <w:szCs w:val="21"/>
                <w:highlight w:val="none"/>
              </w:rPr>
            </w:pPr>
          </w:p>
        </w:tc>
        <w:tc>
          <w:tcPr>
            <w:tcW w:w="719" w:type="pct"/>
            <w:tcBorders>
              <w:tl2br w:val="nil"/>
              <w:tr2bl w:val="nil"/>
            </w:tcBorders>
            <w:vAlign w:val="center"/>
          </w:tcPr>
          <w:p w14:paraId="33A1F952">
            <w:pPr>
              <w:spacing w:line="240" w:lineRule="auto"/>
              <w:ind w:firstLine="0" w:firstLineChars="0"/>
              <w:jc w:val="center"/>
              <w:rPr>
                <w:b/>
                <w:bCs/>
                <w:color w:val="auto"/>
                <w:sz w:val="21"/>
                <w:szCs w:val="21"/>
                <w:highlight w:val="none"/>
              </w:rPr>
            </w:pPr>
            <w:r>
              <w:rPr>
                <w:b/>
                <w:bCs/>
                <w:color w:val="auto"/>
                <w:sz w:val="21"/>
                <w:szCs w:val="21"/>
                <w:highlight w:val="none"/>
              </w:rPr>
              <w:t>二甲苯（mg/m</w:t>
            </w:r>
            <w:r>
              <w:rPr>
                <w:b/>
                <w:bCs/>
                <w:color w:val="auto"/>
                <w:sz w:val="21"/>
                <w:szCs w:val="21"/>
                <w:highlight w:val="none"/>
                <w:vertAlign w:val="superscript"/>
              </w:rPr>
              <w:t>3</w:t>
            </w:r>
            <w:r>
              <w:rPr>
                <w:b/>
                <w:bCs/>
                <w:color w:val="auto"/>
                <w:sz w:val="21"/>
                <w:szCs w:val="21"/>
                <w:highlight w:val="none"/>
              </w:rPr>
              <w:t>）</w:t>
            </w:r>
          </w:p>
        </w:tc>
        <w:tc>
          <w:tcPr>
            <w:tcW w:w="673" w:type="pct"/>
            <w:tcBorders>
              <w:tl2br w:val="nil"/>
              <w:tr2bl w:val="nil"/>
            </w:tcBorders>
            <w:vAlign w:val="center"/>
          </w:tcPr>
          <w:p w14:paraId="67E6A0B8">
            <w:pPr>
              <w:spacing w:line="240" w:lineRule="auto"/>
              <w:ind w:firstLine="0" w:firstLineChars="0"/>
              <w:jc w:val="center"/>
              <w:rPr>
                <w:b/>
                <w:bCs/>
                <w:color w:val="auto"/>
                <w:sz w:val="21"/>
                <w:szCs w:val="21"/>
                <w:highlight w:val="none"/>
              </w:rPr>
            </w:pPr>
            <w:r>
              <w:rPr>
                <w:b/>
                <w:bCs/>
                <w:color w:val="auto"/>
                <w:sz w:val="21"/>
                <w:szCs w:val="21"/>
                <w:highlight w:val="none"/>
              </w:rPr>
              <w:t>非甲烷总烃（mg/m</w:t>
            </w:r>
            <w:r>
              <w:rPr>
                <w:b/>
                <w:bCs/>
                <w:color w:val="auto"/>
                <w:sz w:val="21"/>
                <w:szCs w:val="21"/>
                <w:highlight w:val="none"/>
                <w:vertAlign w:val="superscript"/>
              </w:rPr>
              <w:t>3</w:t>
            </w:r>
            <w:r>
              <w:rPr>
                <w:b/>
                <w:bCs/>
                <w:color w:val="auto"/>
                <w:sz w:val="21"/>
                <w:szCs w:val="21"/>
                <w:highlight w:val="none"/>
              </w:rPr>
              <w:t>）</w:t>
            </w:r>
          </w:p>
        </w:tc>
        <w:tc>
          <w:tcPr>
            <w:tcW w:w="425" w:type="pct"/>
            <w:tcBorders>
              <w:tl2br w:val="nil"/>
              <w:tr2bl w:val="nil"/>
            </w:tcBorders>
            <w:vAlign w:val="center"/>
          </w:tcPr>
          <w:p w14:paraId="15B09C32">
            <w:pPr>
              <w:spacing w:line="240" w:lineRule="auto"/>
              <w:ind w:firstLine="0" w:firstLineChars="0"/>
              <w:jc w:val="center"/>
              <w:rPr>
                <w:b/>
                <w:bCs/>
                <w:color w:val="auto"/>
                <w:sz w:val="21"/>
                <w:szCs w:val="21"/>
                <w:highlight w:val="none"/>
              </w:rPr>
            </w:pPr>
            <w:r>
              <w:rPr>
                <w:b/>
                <w:bCs/>
                <w:color w:val="auto"/>
                <w:sz w:val="21"/>
                <w:szCs w:val="21"/>
                <w:highlight w:val="none"/>
              </w:rPr>
              <w:t>温度</w:t>
            </w:r>
          </w:p>
          <w:p w14:paraId="3364EC7A">
            <w:pPr>
              <w:spacing w:line="240" w:lineRule="auto"/>
              <w:ind w:firstLine="0" w:firstLineChars="0"/>
              <w:jc w:val="center"/>
              <w:rPr>
                <w:b/>
                <w:bCs/>
                <w:color w:val="auto"/>
                <w:sz w:val="21"/>
                <w:szCs w:val="21"/>
                <w:highlight w:val="none"/>
              </w:rPr>
            </w:pPr>
            <w:r>
              <w:rPr>
                <w:b/>
                <w:bCs/>
                <w:color w:val="auto"/>
                <w:sz w:val="21"/>
                <w:szCs w:val="21"/>
                <w:highlight w:val="none"/>
              </w:rPr>
              <w:t>（℃）</w:t>
            </w:r>
          </w:p>
        </w:tc>
        <w:tc>
          <w:tcPr>
            <w:tcW w:w="425" w:type="pct"/>
            <w:tcBorders>
              <w:tl2br w:val="nil"/>
              <w:tr2bl w:val="nil"/>
            </w:tcBorders>
            <w:vAlign w:val="center"/>
          </w:tcPr>
          <w:p w14:paraId="41D0D4A5">
            <w:pPr>
              <w:spacing w:line="240" w:lineRule="auto"/>
              <w:ind w:firstLine="0" w:firstLineChars="0"/>
              <w:jc w:val="center"/>
              <w:rPr>
                <w:b/>
                <w:bCs/>
                <w:color w:val="auto"/>
                <w:sz w:val="21"/>
                <w:szCs w:val="21"/>
                <w:highlight w:val="none"/>
              </w:rPr>
            </w:pPr>
            <w:r>
              <w:rPr>
                <w:b/>
                <w:bCs/>
                <w:color w:val="auto"/>
                <w:sz w:val="21"/>
                <w:szCs w:val="21"/>
                <w:highlight w:val="none"/>
              </w:rPr>
              <w:t>气压</w:t>
            </w:r>
          </w:p>
          <w:p w14:paraId="037A8CFF">
            <w:pPr>
              <w:spacing w:line="240" w:lineRule="auto"/>
              <w:ind w:firstLine="0" w:firstLineChars="0"/>
              <w:jc w:val="center"/>
              <w:rPr>
                <w:b/>
                <w:bCs/>
                <w:color w:val="auto"/>
                <w:sz w:val="21"/>
                <w:szCs w:val="21"/>
                <w:highlight w:val="none"/>
              </w:rPr>
            </w:pPr>
            <w:r>
              <w:rPr>
                <w:b/>
                <w:bCs/>
                <w:color w:val="auto"/>
                <w:sz w:val="21"/>
                <w:szCs w:val="21"/>
                <w:highlight w:val="none"/>
              </w:rPr>
              <w:t>（hPa）</w:t>
            </w:r>
          </w:p>
        </w:tc>
        <w:tc>
          <w:tcPr>
            <w:tcW w:w="533" w:type="pct"/>
            <w:tcBorders>
              <w:tl2br w:val="nil"/>
              <w:tr2bl w:val="nil"/>
            </w:tcBorders>
            <w:vAlign w:val="center"/>
          </w:tcPr>
          <w:p w14:paraId="0F7FB7F4">
            <w:pPr>
              <w:spacing w:line="240" w:lineRule="auto"/>
              <w:ind w:firstLine="0" w:firstLineChars="0"/>
              <w:jc w:val="center"/>
              <w:rPr>
                <w:b/>
                <w:bCs/>
                <w:color w:val="auto"/>
                <w:sz w:val="21"/>
                <w:szCs w:val="21"/>
                <w:highlight w:val="none"/>
              </w:rPr>
            </w:pPr>
            <w:r>
              <w:rPr>
                <w:b/>
                <w:bCs/>
                <w:color w:val="auto"/>
                <w:sz w:val="21"/>
                <w:szCs w:val="21"/>
                <w:highlight w:val="none"/>
              </w:rPr>
              <w:t>相对湿度</w:t>
            </w:r>
          </w:p>
          <w:p w14:paraId="31C0D0A7">
            <w:pPr>
              <w:spacing w:line="240" w:lineRule="auto"/>
              <w:ind w:firstLine="0" w:firstLineChars="0"/>
              <w:jc w:val="center"/>
              <w:rPr>
                <w:b/>
                <w:bCs/>
                <w:color w:val="auto"/>
                <w:sz w:val="21"/>
                <w:szCs w:val="21"/>
                <w:highlight w:val="none"/>
              </w:rPr>
            </w:pPr>
            <w:r>
              <w:rPr>
                <w:b/>
                <w:bCs/>
                <w:color w:val="auto"/>
                <w:sz w:val="21"/>
                <w:szCs w:val="21"/>
                <w:highlight w:val="none"/>
              </w:rPr>
              <w:t>（%）</w:t>
            </w:r>
          </w:p>
        </w:tc>
        <w:tc>
          <w:tcPr>
            <w:tcW w:w="471" w:type="pct"/>
            <w:tcBorders>
              <w:tl2br w:val="nil"/>
              <w:tr2bl w:val="nil"/>
            </w:tcBorders>
            <w:vAlign w:val="center"/>
          </w:tcPr>
          <w:p w14:paraId="4D11554F">
            <w:pPr>
              <w:spacing w:line="240" w:lineRule="auto"/>
              <w:ind w:firstLine="0" w:firstLineChars="0"/>
              <w:jc w:val="center"/>
              <w:rPr>
                <w:b/>
                <w:bCs/>
                <w:color w:val="auto"/>
                <w:sz w:val="21"/>
                <w:szCs w:val="21"/>
                <w:highlight w:val="none"/>
              </w:rPr>
            </w:pPr>
            <w:r>
              <w:rPr>
                <w:b/>
                <w:bCs/>
                <w:color w:val="auto"/>
                <w:sz w:val="21"/>
                <w:szCs w:val="21"/>
                <w:highlight w:val="none"/>
              </w:rPr>
              <w:t>风向</w:t>
            </w:r>
          </w:p>
          <w:p w14:paraId="2D028BD8">
            <w:pPr>
              <w:spacing w:line="240" w:lineRule="auto"/>
              <w:ind w:firstLine="0" w:firstLineChars="0"/>
              <w:jc w:val="center"/>
              <w:rPr>
                <w:b/>
                <w:bCs/>
                <w:color w:val="auto"/>
                <w:sz w:val="21"/>
                <w:szCs w:val="21"/>
                <w:highlight w:val="none"/>
              </w:rPr>
            </w:pPr>
            <w:r>
              <w:rPr>
                <w:b/>
                <w:bCs/>
                <w:color w:val="auto"/>
                <w:sz w:val="21"/>
                <w:szCs w:val="21"/>
                <w:highlight w:val="none"/>
              </w:rPr>
              <w:t>（方位）</w:t>
            </w:r>
          </w:p>
        </w:tc>
        <w:tc>
          <w:tcPr>
            <w:tcW w:w="414" w:type="pct"/>
            <w:tcBorders>
              <w:tl2br w:val="nil"/>
              <w:tr2bl w:val="nil"/>
            </w:tcBorders>
            <w:vAlign w:val="center"/>
          </w:tcPr>
          <w:p w14:paraId="55BBB6A2">
            <w:pPr>
              <w:spacing w:line="240" w:lineRule="auto"/>
              <w:ind w:firstLine="0" w:firstLineChars="0"/>
              <w:jc w:val="center"/>
              <w:rPr>
                <w:b/>
                <w:bCs/>
                <w:color w:val="auto"/>
                <w:sz w:val="21"/>
                <w:szCs w:val="21"/>
                <w:highlight w:val="none"/>
              </w:rPr>
            </w:pPr>
            <w:r>
              <w:rPr>
                <w:b/>
                <w:bCs/>
                <w:color w:val="auto"/>
                <w:sz w:val="21"/>
                <w:szCs w:val="21"/>
                <w:highlight w:val="none"/>
              </w:rPr>
              <w:t>风速</w:t>
            </w:r>
          </w:p>
          <w:p w14:paraId="1D5A448A">
            <w:pPr>
              <w:spacing w:line="240" w:lineRule="auto"/>
              <w:ind w:firstLine="0" w:firstLineChars="0"/>
              <w:jc w:val="center"/>
              <w:rPr>
                <w:b/>
                <w:bCs/>
                <w:color w:val="auto"/>
                <w:sz w:val="21"/>
                <w:szCs w:val="21"/>
                <w:highlight w:val="none"/>
              </w:rPr>
            </w:pPr>
            <w:r>
              <w:rPr>
                <w:b/>
                <w:bCs/>
                <w:color w:val="auto"/>
                <w:sz w:val="21"/>
                <w:szCs w:val="21"/>
                <w:highlight w:val="none"/>
              </w:rPr>
              <w:t>（m/s）</w:t>
            </w:r>
          </w:p>
        </w:tc>
      </w:tr>
      <w:tr w14:paraId="6D4BBD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restart"/>
            <w:tcBorders>
              <w:tl2br w:val="nil"/>
              <w:tr2bl w:val="nil"/>
            </w:tcBorders>
            <w:vAlign w:val="center"/>
          </w:tcPr>
          <w:p w14:paraId="567BB651">
            <w:pPr>
              <w:spacing w:line="240" w:lineRule="auto"/>
              <w:ind w:firstLine="0" w:firstLineChars="0"/>
              <w:jc w:val="center"/>
              <w:rPr>
                <w:color w:val="auto"/>
                <w:sz w:val="21"/>
                <w:szCs w:val="21"/>
                <w:highlight w:val="none"/>
              </w:rPr>
            </w:pPr>
            <w:r>
              <w:rPr>
                <w:color w:val="auto"/>
                <w:sz w:val="21"/>
                <w:szCs w:val="21"/>
                <w:highlight w:val="none"/>
              </w:rPr>
              <w:t>5月</w:t>
            </w:r>
          </w:p>
          <w:p w14:paraId="630E2CDF">
            <w:pPr>
              <w:spacing w:line="240" w:lineRule="auto"/>
              <w:ind w:firstLine="0" w:firstLineChars="0"/>
              <w:jc w:val="center"/>
              <w:rPr>
                <w:color w:val="auto"/>
                <w:sz w:val="21"/>
                <w:szCs w:val="21"/>
                <w:highlight w:val="none"/>
              </w:rPr>
            </w:pPr>
            <w:r>
              <w:rPr>
                <w:color w:val="auto"/>
                <w:sz w:val="21"/>
                <w:szCs w:val="21"/>
                <w:highlight w:val="none"/>
              </w:rPr>
              <w:t>17日</w:t>
            </w:r>
          </w:p>
        </w:tc>
        <w:tc>
          <w:tcPr>
            <w:tcW w:w="657" w:type="pct"/>
            <w:vMerge w:val="restart"/>
            <w:tcBorders>
              <w:tl2br w:val="nil"/>
              <w:tr2bl w:val="nil"/>
            </w:tcBorders>
            <w:vAlign w:val="center"/>
          </w:tcPr>
          <w:p w14:paraId="31DC52FC">
            <w:pPr>
              <w:spacing w:line="240" w:lineRule="auto"/>
              <w:ind w:firstLine="0" w:firstLineChars="0"/>
              <w:jc w:val="center"/>
              <w:rPr>
                <w:color w:val="auto"/>
                <w:sz w:val="21"/>
                <w:szCs w:val="21"/>
                <w:highlight w:val="none"/>
              </w:rPr>
            </w:pPr>
            <w:r>
              <w:rPr>
                <w:color w:val="auto"/>
                <w:sz w:val="21"/>
                <w:szCs w:val="21"/>
                <w:highlight w:val="none"/>
              </w:rPr>
              <w:t>G1上风向参照点</w:t>
            </w:r>
          </w:p>
        </w:tc>
        <w:tc>
          <w:tcPr>
            <w:tcW w:w="324" w:type="pct"/>
            <w:tcBorders>
              <w:tl2br w:val="nil"/>
              <w:tr2bl w:val="nil"/>
            </w:tcBorders>
            <w:vAlign w:val="center"/>
          </w:tcPr>
          <w:p w14:paraId="6C685D91">
            <w:pPr>
              <w:spacing w:line="240" w:lineRule="auto"/>
              <w:ind w:firstLine="0" w:firstLineChars="0"/>
              <w:jc w:val="center"/>
              <w:rPr>
                <w:color w:val="auto"/>
                <w:sz w:val="21"/>
                <w:szCs w:val="21"/>
                <w:highlight w:val="none"/>
              </w:rPr>
            </w:pPr>
            <w:r>
              <w:rPr>
                <w:color w:val="auto"/>
                <w:sz w:val="21"/>
                <w:szCs w:val="21"/>
                <w:highlight w:val="none"/>
              </w:rPr>
              <w:t>1</w:t>
            </w:r>
          </w:p>
        </w:tc>
        <w:tc>
          <w:tcPr>
            <w:tcW w:w="1395" w:type="dxa"/>
            <w:tcBorders>
              <w:tl2br w:val="nil"/>
              <w:tr2bl w:val="nil"/>
            </w:tcBorders>
            <w:vAlign w:val="center"/>
          </w:tcPr>
          <w:p w14:paraId="7ADA8393">
            <w:pPr>
              <w:spacing w:line="240" w:lineRule="auto"/>
              <w:ind w:firstLine="0" w:firstLineChars="0"/>
              <w:jc w:val="center"/>
              <w:rPr>
                <w:color w:val="auto"/>
                <w:sz w:val="21"/>
                <w:szCs w:val="21"/>
                <w:highlight w:val="none"/>
              </w:rPr>
            </w:pPr>
            <w:r>
              <w:rPr>
                <w:color w:val="auto"/>
                <w:sz w:val="21"/>
                <w:szCs w:val="21"/>
                <w:highlight w:val="none"/>
              </w:rPr>
              <w:t>＜0.010</w:t>
            </w:r>
          </w:p>
        </w:tc>
        <w:tc>
          <w:tcPr>
            <w:tcW w:w="1305" w:type="dxa"/>
            <w:tcBorders>
              <w:tl2br w:val="nil"/>
              <w:tr2bl w:val="nil"/>
            </w:tcBorders>
            <w:vAlign w:val="center"/>
          </w:tcPr>
          <w:p w14:paraId="2BF6A101">
            <w:pPr>
              <w:widowControl/>
              <w:spacing w:line="240" w:lineRule="auto"/>
              <w:ind w:firstLine="0" w:firstLineChars="0"/>
              <w:jc w:val="center"/>
              <w:textAlignment w:val="center"/>
              <w:rPr>
                <w:color w:val="auto"/>
                <w:sz w:val="21"/>
                <w:szCs w:val="21"/>
                <w:highlight w:val="none"/>
              </w:rPr>
            </w:pPr>
            <w:r>
              <w:rPr>
                <w:rFonts w:eastAsia="等线"/>
                <w:color w:val="auto"/>
                <w:sz w:val="21"/>
                <w:szCs w:val="21"/>
                <w:highlight w:val="none"/>
                <w:lang w:bidi="ar"/>
              </w:rPr>
              <w:t xml:space="preserve">0.60 </w:t>
            </w:r>
          </w:p>
        </w:tc>
        <w:tc>
          <w:tcPr>
            <w:tcW w:w="825" w:type="dxa"/>
            <w:tcBorders>
              <w:tl2br w:val="nil"/>
              <w:tr2bl w:val="nil"/>
            </w:tcBorders>
            <w:vAlign w:val="center"/>
          </w:tcPr>
          <w:p w14:paraId="2F8B6DEB">
            <w:pPr>
              <w:spacing w:line="240" w:lineRule="auto"/>
              <w:ind w:firstLine="0" w:firstLineChars="0"/>
              <w:jc w:val="center"/>
              <w:rPr>
                <w:color w:val="auto"/>
                <w:sz w:val="21"/>
                <w:szCs w:val="21"/>
                <w:highlight w:val="none"/>
              </w:rPr>
            </w:pPr>
            <w:r>
              <w:rPr>
                <w:color w:val="auto"/>
                <w:sz w:val="21"/>
                <w:szCs w:val="21"/>
                <w:highlight w:val="none"/>
              </w:rPr>
              <w:t>25.5</w:t>
            </w:r>
          </w:p>
        </w:tc>
        <w:tc>
          <w:tcPr>
            <w:tcW w:w="825" w:type="dxa"/>
            <w:tcBorders>
              <w:tl2br w:val="nil"/>
              <w:tr2bl w:val="nil"/>
            </w:tcBorders>
            <w:vAlign w:val="center"/>
          </w:tcPr>
          <w:p w14:paraId="13049FF3">
            <w:pPr>
              <w:spacing w:line="240" w:lineRule="auto"/>
              <w:ind w:firstLine="0" w:firstLineChars="0"/>
              <w:jc w:val="center"/>
              <w:rPr>
                <w:color w:val="auto"/>
                <w:sz w:val="21"/>
                <w:szCs w:val="21"/>
                <w:highlight w:val="none"/>
              </w:rPr>
            </w:pPr>
            <w:r>
              <w:rPr>
                <w:color w:val="auto"/>
                <w:sz w:val="21"/>
                <w:szCs w:val="21"/>
                <w:highlight w:val="none"/>
              </w:rPr>
              <w:t>1011.0</w:t>
            </w:r>
          </w:p>
        </w:tc>
        <w:tc>
          <w:tcPr>
            <w:tcW w:w="1035" w:type="dxa"/>
            <w:tcBorders>
              <w:tl2br w:val="nil"/>
              <w:tr2bl w:val="nil"/>
            </w:tcBorders>
            <w:vAlign w:val="center"/>
          </w:tcPr>
          <w:p w14:paraId="3378DD02">
            <w:pPr>
              <w:spacing w:line="240" w:lineRule="auto"/>
              <w:ind w:firstLine="0" w:firstLineChars="0"/>
              <w:jc w:val="center"/>
              <w:rPr>
                <w:color w:val="auto"/>
                <w:sz w:val="21"/>
                <w:szCs w:val="21"/>
                <w:highlight w:val="none"/>
              </w:rPr>
            </w:pPr>
            <w:r>
              <w:rPr>
                <w:color w:val="auto"/>
                <w:sz w:val="21"/>
                <w:szCs w:val="21"/>
                <w:highlight w:val="none"/>
              </w:rPr>
              <w:t>80</w:t>
            </w:r>
          </w:p>
        </w:tc>
        <w:tc>
          <w:tcPr>
            <w:tcW w:w="915" w:type="dxa"/>
            <w:tcBorders>
              <w:tl2br w:val="nil"/>
              <w:tr2bl w:val="nil"/>
            </w:tcBorders>
            <w:vAlign w:val="center"/>
          </w:tcPr>
          <w:p w14:paraId="3EC36440">
            <w:pPr>
              <w:spacing w:line="240" w:lineRule="auto"/>
              <w:ind w:firstLine="0" w:firstLineChars="0"/>
              <w:jc w:val="center"/>
              <w:rPr>
                <w:color w:val="auto"/>
                <w:sz w:val="21"/>
                <w:szCs w:val="21"/>
                <w:highlight w:val="none"/>
              </w:rPr>
            </w:pPr>
            <w:r>
              <w:rPr>
                <w:color w:val="auto"/>
                <w:sz w:val="21"/>
                <w:szCs w:val="21"/>
                <w:highlight w:val="none"/>
              </w:rPr>
              <w:t>西南</w:t>
            </w:r>
          </w:p>
        </w:tc>
        <w:tc>
          <w:tcPr>
            <w:tcW w:w="803" w:type="dxa"/>
            <w:tcBorders>
              <w:tl2br w:val="nil"/>
              <w:tr2bl w:val="nil"/>
            </w:tcBorders>
            <w:vAlign w:val="center"/>
          </w:tcPr>
          <w:p w14:paraId="68E9D2E0">
            <w:pPr>
              <w:spacing w:line="240" w:lineRule="auto"/>
              <w:ind w:firstLine="0" w:firstLineChars="0"/>
              <w:jc w:val="center"/>
              <w:rPr>
                <w:color w:val="auto"/>
                <w:sz w:val="21"/>
                <w:szCs w:val="21"/>
                <w:highlight w:val="none"/>
              </w:rPr>
            </w:pPr>
            <w:r>
              <w:rPr>
                <w:color w:val="auto"/>
                <w:kern w:val="2"/>
                <w:sz w:val="21"/>
                <w:szCs w:val="21"/>
                <w:highlight w:val="none"/>
              </w:rPr>
              <w:t>2.4</w:t>
            </w:r>
          </w:p>
        </w:tc>
      </w:tr>
      <w:tr w14:paraId="50BC35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0DA762D1">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6986B26E">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6F78233D">
            <w:pPr>
              <w:spacing w:line="240" w:lineRule="auto"/>
              <w:ind w:firstLine="0" w:firstLineChars="0"/>
              <w:jc w:val="center"/>
              <w:rPr>
                <w:color w:val="auto"/>
                <w:sz w:val="21"/>
                <w:szCs w:val="21"/>
                <w:highlight w:val="none"/>
              </w:rPr>
            </w:pPr>
            <w:r>
              <w:rPr>
                <w:color w:val="auto"/>
                <w:sz w:val="21"/>
                <w:szCs w:val="21"/>
                <w:highlight w:val="none"/>
              </w:rPr>
              <w:t>2</w:t>
            </w:r>
          </w:p>
        </w:tc>
        <w:tc>
          <w:tcPr>
            <w:tcW w:w="1395" w:type="dxa"/>
            <w:tcBorders>
              <w:tl2br w:val="nil"/>
              <w:tr2bl w:val="nil"/>
            </w:tcBorders>
            <w:vAlign w:val="center"/>
          </w:tcPr>
          <w:p w14:paraId="6EECCFF9">
            <w:pPr>
              <w:spacing w:line="240" w:lineRule="auto"/>
              <w:ind w:firstLine="0" w:firstLineChars="0"/>
              <w:jc w:val="center"/>
              <w:rPr>
                <w:color w:val="auto"/>
                <w:sz w:val="21"/>
                <w:szCs w:val="21"/>
                <w:highlight w:val="none"/>
              </w:rPr>
            </w:pPr>
            <w:r>
              <w:rPr>
                <w:color w:val="auto"/>
                <w:sz w:val="21"/>
                <w:szCs w:val="21"/>
                <w:highlight w:val="none"/>
              </w:rPr>
              <w:t>＜0.010</w:t>
            </w:r>
          </w:p>
        </w:tc>
        <w:tc>
          <w:tcPr>
            <w:tcW w:w="1305" w:type="dxa"/>
            <w:tcBorders>
              <w:tl2br w:val="nil"/>
              <w:tr2bl w:val="nil"/>
            </w:tcBorders>
            <w:vAlign w:val="center"/>
          </w:tcPr>
          <w:p w14:paraId="0DF36431">
            <w:pPr>
              <w:widowControl/>
              <w:spacing w:line="240" w:lineRule="auto"/>
              <w:ind w:firstLine="0" w:firstLineChars="0"/>
              <w:jc w:val="center"/>
              <w:textAlignment w:val="center"/>
              <w:rPr>
                <w:color w:val="auto"/>
                <w:sz w:val="21"/>
                <w:szCs w:val="21"/>
                <w:highlight w:val="none"/>
              </w:rPr>
            </w:pPr>
            <w:r>
              <w:rPr>
                <w:rFonts w:eastAsia="等线"/>
                <w:color w:val="auto"/>
                <w:sz w:val="21"/>
                <w:szCs w:val="21"/>
                <w:highlight w:val="none"/>
                <w:lang w:bidi="ar"/>
              </w:rPr>
              <w:t xml:space="preserve">0.62 </w:t>
            </w:r>
          </w:p>
        </w:tc>
        <w:tc>
          <w:tcPr>
            <w:tcW w:w="825" w:type="dxa"/>
            <w:tcBorders>
              <w:tl2br w:val="nil"/>
              <w:tr2bl w:val="nil"/>
            </w:tcBorders>
            <w:vAlign w:val="center"/>
          </w:tcPr>
          <w:p w14:paraId="4D577275">
            <w:pPr>
              <w:spacing w:line="240" w:lineRule="auto"/>
              <w:ind w:firstLine="0" w:firstLineChars="0"/>
              <w:jc w:val="center"/>
              <w:rPr>
                <w:color w:val="auto"/>
                <w:sz w:val="21"/>
                <w:szCs w:val="21"/>
                <w:highlight w:val="none"/>
              </w:rPr>
            </w:pPr>
            <w:r>
              <w:rPr>
                <w:color w:val="auto"/>
                <w:sz w:val="21"/>
                <w:szCs w:val="21"/>
                <w:highlight w:val="none"/>
              </w:rPr>
              <w:t>27.0</w:t>
            </w:r>
          </w:p>
        </w:tc>
        <w:tc>
          <w:tcPr>
            <w:tcW w:w="825" w:type="dxa"/>
            <w:tcBorders>
              <w:tl2br w:val="nil"/>
              <w:tr2bl w:val="nil"/>
            </w:tcBorders>
            <w:vAlign w:val="center"/>
          </w:tcPr>
          <w:p w14:paraId="2ECED75C">
            <w:pPr>
              <w:spacing w:line="240" w:lineRule="auto"/>
              <w:ind w:firstLine="0" w:firstLineChars="0"/>
              <w:jc w:val="center"/>
              <w:rPr>
                <w:color w:val="auto"/>
                <w:sz w:val="21"/>
                <w:szCs w:val="21"/>
                <w:highlight w:val="none"/>
              </w:rPr>
            </w:pPr>
            <w:r>
              <w:rPr>
                <w:color w:val="auto"/>
                <w:sz w:val="21"/>
                <w:szCs w:val="21"/>
                <w:highlight w:val="none"/>
              </w:rPr>
              <w:t>1010.8</w:t>
            </w:r>
          </w:p>
        </w:tc>
        <w:tc>
          <w:tcPr>
            <w:tcW w:w="1035" w:type="dxa"/>
            <w:tcBorders>
              <w:tl2br w:val="nil"/>
              <w:tr2bl w:val="nil"/>
            </w:tcBorders>
            <w:vAlign w:val="center"/>
          </w:tcPr>
          <w:p w14:paraId="5028AAA1">
            <w:pPr>
              <w:spacing w:line="240" w:lineRule="auto"/>
              <w:ind w:firstLine="0" w:firstLineChars="0"/>
              <w:jc w:val="center"/>
              <w:rPr>
                <w:color w:val="auto"/>
                <w:sz w:val="21"/>
                <w:szCs w:val="21"/>
                <w:highlight w:val="none"/>
              </w:rPr>
            </w:pPr>
            <w:r>
              <w:rPr>
                <w:color w:val="auto"/>
                <w:sz w:val="21"/>
                <w:szCs w:val="21"/>
                <w:highlight w:val="none"/>
              </w:rPr>
              <w:t>78</w:t>
            </w:r>
          </w:p>
        </w:tc>
        <w:tc>
          <w:tcPr>
            <w:tcW w:w="915" w:type="dxa"/>
            <w:tcBorders>
              <w:tl2br w:val="nil"/>
              <w:tr2bl w:val="nil"/>
            </w:tcBorders>
            <w:vAlign w:val="center"/>
          </w:tcPr>
          <w:p w14:paraId="4326C3E5">
            <w:pPr>
              <w:spacing w:line="240" w:lineRule="auto"/>
              <w:ind w:firstLine="0" w:firstLineChars="0"/>
              <w:jc w:val="center"/>
              <w:rPr>
                <w:color w:val="auto"/>
                <w:sz w:val="21"/>
                <w:szCs w:val="21"/>
                <w:highlight w:val="none"/>
              </w:rPr>
            </w:pPr>
            <w:r>
              <w:rPr>
                <w:color w:val="auto"/>
                <w:sz w:val="21"/>
                <w:szCs w:val="21"/>
                <w:highlight w:val="none"/>
              </w:rPr>
              <w:t>南</w:t>
            </w:r>
          </w:p>
        </w:tc>
        <w:tc>
          <w:tcPr>
            <w:tcW w:w="803" w:type="dxa"/>
            <w:tcBorders>
              <w:tl2br w:val="nil"/>
              <w:tr2bl w:val="nil"/>
            </w:tcBorders>
            <w:vAlign w:val="center"/>
          </w:tcPr>
          <w:p w14:paraId="41360720">
            <w:pPr>
              <w:spacing w:line="240" w:lineRule="auto"/>
              <w:ind w:firstLine="0" w:firstLineChars="0"/>
              <w:jc w:val="center"/>
              <w:rPr>
                <w:color w:val="auto"/>
                <w:sz w:val="21"/>
                <w:szCs w:val="21"/>
                <w:highlight w:val="none"/>
              </w:rPr>
            </w:pPr>
            <w:r>
              <w:rPr>
                <w:color w:val="auto"/>
                <w:kern w:val="2"/>
                <w:sz w:val="21"/>
                <w:szCs w:val="21"/>
                <w:highlight w:val="none"/>
              </w:rPr>
              <w:t>2.1</w:t>
            </w:r>
          </w:p>
        </w:tc>
      </w:tr>
      <w:tr w14:paraId="3D7092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5F682DB8">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3AAED38C">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5FF66452">
            <w:pPr>
              <w:spacing w:line="240" w:lineRule="auto"/>
              <w:ind w:firstLine="0" w:firstLineChars="0"/>
              <w:jc w:val="center"/>
              <w:rPr>
                <w:color w:val="auto"/>
                <w:sz w:val="21"/>
                <w:szCs w:val="21"/>
                <w:highlight w:val="none"/>
              </w:rPr>
            </w:pPr>
            <w:r>
              <w:rPr>
                <w:color w:val="auto"/>
                <w:sz w:val="21"/>
                <w:szCs w:val="21"/>
                <w:highlight w:val="none"/>
              </w:rPr>
              <w:t>3</w:t>
            </w:r>
          </w:p>
        </w:tc>
        <w:tc>
          <w:tcPr>
            <w:tcW w:w="1395" w:type="dxa"/>
            <w:tcBorders>
              <w:tl2br w:val="nil"/>
              <w:tr2bl w:val="nil"/>
            </w:tcBorders>
            <w:vAlign w:val="center"/>
          </w:tcPr>
          <w:p w14:paraId="0A737C0D">
            <w:pPr>
              <w:spacing w:line="240" w:lineRule="auto"/>
              <w:ind w:firstLine="0" w:firstLineChars="0"/>
              <w:jc w:val="center"/>
              <w:rPr>
                <w:color w:val="auto"/>
                <w:sz w:val="21"/>
                <w:szCs w:val="21"/>
                <w:highlight w:val="none"/>
              </w:rPr>
            </w:pPr>
            <w:r>
              <w:rPr>
                <w:color w:val="auto"/>
                <w:sz w:val="21"/>
                <w:szCs w:val="21"/>
                <w:highlight w:val="none"/>
              </w:rPr>
              <w:t>＜0.010</w:t>
            </w:r>
          </w:p>
        </w:tc>
        <w:tc>
          <w:tcPr>
            <w:tcW w:w="1305" w:type="dxa"/>
            <w:tcBorders>
              <w:tl2br w:val="nil"/>
              <w:tr2bl w:val="nil"/>
            </w:tcBorders>
            <w:vAlign w:val="center"/>
          </w:tcPr>
          <w:p w14:paraId="0B6AC589">
            <w:pPr>
              <w:widowControl/>
              <w:spacing w:line="240" w:lineRule="auto"/>
              <w:ind w:firstLine="0" w:firstLineChars="0"/>
              <w:jc w:val="center"/>
              <w:textAlignment w:val="center"/>
              <w:rPr>
                <w:color w:val="auto"/>
                <w:sz w:val="21"/>
                <w:szCs w:val="21"/>
                <w:highlight w:val="none"/>
              </w:rPr>
            </w:pPr>
            <w:r>
              <w:rPr>
                <w:rFonts w:eastAsia="等线"/>
                <w:color w:val="auto"/>
                <w:sz w:val="21"/>
                <w:szCs w:val="21"/>
                <w:highlight w:val="none"/>
                <w:lang w:bidi="ar"/>
              </w:rPr>
              <w:t xml:space="preserve">0.62 </w:t>
            </w:r>
          </w:p>
        </w:tc>
        <w:tc>
          <w:tcPr>
            <w:tcW w:w="825" w:type="dxa"/>
            <w:tcBorders>
              <w:tl2br w:val="nil"/>
              <w:tr2bl w:val="nil"/>
            </w:tcBorders>
            <w:vAlign w:val="center"/>
          </w:tcPr>
          <w:p w14:paraId="1A28BED6">
            <w:pPr>
              <w:spacing w:line="240" w:lineRule="auto"/>
              <w:ind w:firstLine="0" w:firstLineChars="0"/>
              <w:jc w:val="center"/>
              <w:rPr>
                <w:color w:val="auto"/>
                <w:sz w:val="21"/>
                <w:szCs w:val="21"/>
                <w:highlight w:val="none"/>
              </w:rPr>
            </w:pPr>
            <w:r>
              <w:rPr>
                <w:color w:val="auto"/>
                <w:sz w:val="21"/>
                <w:szCs w:val="21"/>
                <w:highlight w:val="none"/>
              </w:rPr>
              <w:t>30.5</w:t>
            </w:r>
          </w:p>
        </w:tc>
        <w:tc>
          <w:tcPr>
            <w:tcW w:w="825" w:type="dxa"/>
            <w:tcBorders>
              <w:tl2br w:val="nil"/>
              <w:tr2bl w:val="nil"/>
            </w:tcBorders>
            <w:vAlign w:val="center"/>
          </w:tcPr>
          <w:p w14:paraId="282DD5B6">
            <w:pPr>
              <w:spacing w:line="240" w:lineRule="auto"/>
              <w:ind w:firstLine="0" w:firstLineChars="0"/>
              <w:jc w:val="center"/>
              <w:rPr>
                <w:color w:val="auto"/>
                <w:sz w:val="21"/>
                <w:szCs w:val="21"/>
                <w:highlight w:val="none"/>
              </w:rPr>
            </w:pPr>
            <w:r>
              <w:rPr>
                <w:color w:val="auto"/>
                <w:sz w:val="21"/>
                <w:szCs w:val="21"/>
                <w:highlight w:val="none"/>
              </w:rPr>
              <w:t>1009.1</w:t>
            </w:r>
          </w:p>
        </w:tc>
        <w:tc>
          <w:tcPr>
            <w:tcW w:w="1035" w:type="dxa"/>
            <w:tcBorders>
              <w:tl2br w:val="nil"/>
              <w:tr2bl w:val="nil"/>
            </w:tcBorders>
            <w:vAlign w:val="center"/>
          </w:tcPr>
          <w:p w14:paraId="016C62EA">
            <w:pPr>
              <w:spacing w:line="240" w:lineRule="auto"/>
              <w:ind w:firstLine="0" w:firstLineChars="0"/>
              <w:jc w:val="center"/>
              <w:rPr>
                <w:color w:val="auto"/>
                <w:sz w:val="21"/>
                <w:szCs w:val="21"/>
                <w:highlight w:val="none"/>
              </w:rPr>
            </w:pPr>
            <w:r>
              <w:rPr>
                <w:color w:val="auto"/>
                <w:sz w:val="21"/>
                <w:szCs w:val="21"/>
                <w:highlight w:val="none"/>
              </w:rPr>
              <w:t>66</w:t>
            </w:r>
          </w:p>
        </w:tc>
        <w:tc>
          <w:tcPr>
            <w:tcW w:w="915" w:type="dxa"/>
            <w:tcBorders>
              <w:tl2br w:val="nil"/>
              <w:tr2bl w:val="nil"/>
            </w:tcBorders>
            <w:vAlign w:val="center"/>
          </w:tcPr>
          <w:p w14:paraId="361B5C89">
            <w:pPr>
              <w:spacing w:line="240" w:lineRule="auto"/>
              <w:ind w:firstLine="0" w:firstLineChars="0"/>
              <w:jc w:val="center"/>
              <w:rPr>
                <w:color w:val="auto"/>
                <w:sz w:val="21"/>
                <w:szCs w:val="21"/>
                <w:highlight w:val="none"/>
              </w:rPr>
            </w:pPr>
            <w:r>
              <w:rPr>
                <w:color w:val="auto"/>
                <w:sz w:val="21"/>
                <w:szCs w:val="21"/>
                <w:highlight w:val="none"/>
              </w:rPr>
              <w:t>西南</w:t>
            </w:r>
          </w:p>
        </w:tc>
        <w:tc>
          <w:tcPr>
            <w:tcW w:w="803" w:type="dxa"/>
            <w:tcBorders>
              <w:tl2br w:val="nil"/>
              <w:tr2bl w:val="nil"/>
            </w:tcBorders>
            <w:vAlign w:val="center"/>
          </w:tcPr>
          <w:p w14:paraId="52B9D015">
            <w:pPr>
              <w:spacing w:line="240" w:lineRule="auto"/>
              <w:ind w:firstLine="0" w:firstLineChars="0"/>
              <w:jc w:val="center"/>
              <w:rPr>
                <w:color w:val="auto"/>
                <w:sz w:val="21"/>
                <w:szCs w:val="21"/>
                <w:highlight w:val="none"/>
              </w:rPr>
            </w:pPr>
            <w:r>
              <w:rPr>
                <w:color w:val="auto"/>
                <w:kern w:val="2"/>
                <w:sz w:val="21"/>
                <w:szCs w:val="21"/>
                <w:highlight w:val="none"/>
              </w:rPr>
              <w:t>1.8</w:t>
            </w:r>
          </w:p>
        </w:tc>
      </w:tr>
      <w:tr w14:paraId="323C17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22B29AF7">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38EFBF9C">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6096A141">
            <w:pPr>
              <w:spacing w:line="240" w:lineRule="auto"/>
              <w:ind w:firstLine="0" w:firstLineChars="0"/>
              <w:jc w:val="center"/>
              <w:rPr>
                <w:color w:val="auto"/>
                <w:sz w:val="21"/>
                <w:szCs w:val="21"/>
                <w:highlight w:val="none"/>
              </w:rPr>
            </w:pPr>
            <w:r>
              <w:rPr>
                <w:color w:val="auto"/>
                <w:sz w:val="21"/>
                <w:szCs w:val="21"/>
                <w:highlight w:val="none"/>
              </w:rPr>
              <w:t>4</w:t>
            </w:r>
          </w:p>
        </w:tc>
        <w:tc>
          <w:tcPr>
            <w:tcW w:w="1395" w:type="dxa"/>
            <w:tcBorders>
              <w:tl2br w:val="nil"/>
              <w:tr2bl w:val="nil"/>
            </w:tcBorders>
            <w:vAlign w:val="center"/>
          </w:tcPr>
          <w:p w14:paraId="0DB535CC">
            <w:pPr>
              <w:spacing w:line="240" w:lineRule="auto"/>
              <w:ind w:firstLine="0" w:firstLineChars="0"/>
              <w:jc w:val="center"/>
              <w:rPr>
                <w:color w:val="auto"/>
                <w:sz w:val="21"/>
                <w:szCs w:val="21"/>
                <w:highlight w:val="none"/>
              </w:rPr>
            </w:pPr>
            <w:r>
              <w:rPr>
                <w:color w:val="auto"/>
                <w:sz w:val="21"/>
                <w:szCs w:val="21"/>
                <w:highlight w:val="none"/>
              </w:rPr>
              <w:t>＜0.010</w:t>
            </w:r>
          </w:p>
        </w:tc>
        <w:tc>
          <w:tcPr>
            <w:tcW w:w="1305" w:type="dxa"/>
            <w:tcBorders>
              <w:tl2br w:val="nil"/>
              <w:tr2bl w:val="nil"/>
            </w:tcBorders>
            <w:vAlign w:val="center"/>
          </w:tcPr>
          <w:p w14:paraId="7BDD9E42">
            <w:pPr>
              <w:widowControl/>
              <w:spacing w:line="240" w:lineRule="auto"/>
              <w:ind w:firstLine="0" w:firstLineChars="0"/>
              <w:jc w:val="center"/>
              <w:textAlignment w:val="center"/>
              <w:rPr>
                <w:color w:val="auto"/>
                <w:sz w:val="21"/>
                <w:szCs w:val="21"/>
                <w:highlight w:val="none"/>
              </w:rPr>
            </w:pPr>
            <w:r>
              <w:rPr>
                <w:rFonts w:eastAsia="等线"/>
                <w:color w:val="auto"/>
                <w:sz w:val="21"/>
                <w:szCs w:val="21"/>
                <w:highlight w:val="none"/>
                <w:lang w:bidi="ar"/>
              </w:rPr>
              <w:t xml:space="preserve">0.60 </w:t>
            </w:r>
          </w:p>
        </w:tc>
        <w:tc>
          <w:tcPr>
            <w:tcW w:w="825" w:type="dxa"/>
            <w:tcBorders>
              <w:tl2br w:val="nil"/>
              <w:tr2bl w:val="nil"/>
            </w:tcBorders>
            <w:vAlign w:val="center"/>
          </w:tcPr>
          <w:p w14:paraId="000D514D">
            <w:pPr>
              <w:spacing w:line="240" w:lineRule="auto"/>
              <w:ind w:firstLine="0" w:firstLineChars="0"/>
              <w:jc w:val="center"/>
              <w:rPr>
                <w:color w:val="auto"/>
                <w:sz w:val="21"/>
                <w:szCs w:val="21"/>
                <w:highlight w:val="none"/>
              </w:rPr>
            </w:pPr>
            <w:r>
              <w:rPr>
                <w:color w:val="auto"/>
                <w:sz w:val="21"/>
                <w:szCs w:val="21"/>
                <w:highlight w:val="none"/>
              </w:rPr>
              <w:t>28.4</w:t>
            </w:r>
          </w:p>
        </w:tc>
        <w:tc>
          <w:tcPr>
            <w:tcW w:w="825" w:type="dxa"/>
            <w:tcBorders>
              <w:tl2br w:val="nil"/>
              <w:tr2bl w:val="nil"/>
            </w:tcBorders>
            <w:vAlign w:val="center"/>
          </w:tcPr>
          <w:p w14:paraId="19F4AC40">
            <w:pPr>
              <w:spacing w:line="240" w:lineRule="auto"/>
              <w:ind w:firstLine="0" w:firstLineChars="0"/>
              <w:jc w:val="center"/>
              <w:rPr>
                <w:color w:val="auto"/>
                <w:sz w:val="21"/>
                <w:szCs w:val="21"/>
                <w:highlight w:val="none"/>
              </w:rPr>
            </w:pPr>
            <w:r>
              <w:rPr>
                <w:color w:val="auto"/>
                <w:sz w:val="21"/>
                <w:szCs w:val="21"/>
                <w:highlight w:val="none"/>
              </w:rPr>
              <w:t>1009.8</w:t>
            </w:r>
          </w:p>
        </w:tc>
        <w:tc>
          <w:tcPr>
            <w:tcW w:w="1035" w:type="dxa"/>
            <w:tcBorders>
              <w:tl2br w:val="nil"/>
              <w:tr2bl w:val="nil"/>
            </w:tcBorders>
            <w:vAlign w:val="center"/>
          </w:tcPr>
          <w:p w14:paraId="5A80CC58">
            <w:pPr>
              <w:spacing w:line="240" w:lineRule="auto"/>
              <w:ind w:firstLine="0" w:firstLineChars="0"/>
              <w:jc w:val="center"/>
              <w:rPr>
                <w:color w:val="auto"/>
                <w:sz w:val="21"/>
                <w:szCs w:val="21"/>
                <w:highlight w:val="none"/>
              </w:rPr>
            </w:pPr>
            <w:r>
              <w:rPr>
                <w:color w:val="auto"/>
                <w:sz w:val="21"/>
                <w:szCs w:val="21"/>
                <w:highlight w:val="none"/>
              </w:rPr>
              <w:t>74</w:t>
            </w:r>
          </w:p>
        </w:tc>
        <w:tc>
          <w:tcPr>
            <w:tcW w:w="915" w:type="dxa"/>
            <w:tcBorders>
              <w:tl2br w:val="nil"/>
              <w:tr2bl w:val="nil"/>
            </w:tcBorders>
            <w:vAlign w:val="center"/>
          </w:tcPr>
          <w:p w14:paraId="1A2C4333">
            <w:pPr>
              <w:spacing w:line="240" w:lineRule="auto"/>
              <w:ind w:firstLine="0" w:firstLineChars="0"/>
              <w:jc w:val="center"/>
              <w:rPr>
                <w:color w:val="auto"/>
                <w:sz w:val="21"/>
                <w:szCs w:val="21"/>
                <w:highlight w:val="none"/>
              </w:rPr>
            </w:pPr>
            <w:r>
              <w:rPr>
                <w:color w:val="auto"/>
                <w:sz w:val="21"/>
                <w:szCs w:val="21"/>
                <w:highlight w:val="none"/>
              </w:rPr>
              <w:t>西南</w:t>
            </w:r>
          </w:p>
        </w:tc>
        <w:tc>
          <w:tcPr>
            <w:tcW w:w="803" w:type="dxa"/>
            <w:tcBorders>
              <w:tl2br w:val="nil"/>
              <w:tr2bl w:val="nil"/>
            </w:tcBorders>
            <w:vAlign w:val="center"/>
          </w:tcPr>
          <w:p w14:paraId="2F1ACD20">
            <w:pPr>
              <w:spacing w:line="240" w:lineRule="auto"/>
              <w:ind w:firstLine="0" w:firstLineChars="0"/>
              <w:jc w:val="center"/>
              <w:rPr>
                <w:color w:val="auto"/>
                <w:sz w:val="21"/>
                <w:szCs w:val="21"/>
                <w:highlight w:val="none"/>
              </w:rPr>
            </w:pPr>
            <w:r>
              <w:rPr>
                <w:color w:val="auto"/>
                <w:kern w:val="2"/>
                <w:sz w:val="21"/>
                <w:szCs w:val="21"/>
                <w:highlight w:val="none"/>
              </w:rPr>
              <w:t>2.0</w:t>
            </w:r>
          </w:p>
        </w:tc>
      </w:tr>
      <w:tr w14:paraId="77E8D7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464CF9B5">
            <w:pPr>
              <w:spacing w:line="240" w:lineRule="auto"/>
              <w:ind w:firstLine="0" w:firstLineChars="0"/>
              <w:jc w:val="center"/>
              <w:rPr>
                <w:color w:val="auto"/>
                <w:sz w:val="21"/>
                <w:szCs w:val="21"/>
                <w:highlight w:val="none"/>
              </w:rPr>
            </w:pPr>
          </w:p>
        </w:tc>
        <w:tc>
          <w:tcPr>
            <w:tcW w:w="657" w:type="pct"/>
            <w:vMerge w:val="restart"/>
            <w:tcBorders>
              <w:tl2br w:val="nil"/>
              <w:tr2bl w:val="nil"/>
            </w:tcBorders>
            <w:vAlign w:val="center"/>
          </w:tcPr>
          <w:p w14:paraId="12146023">
            <w:pPr>
              <w:spacing w:line="240" w:lineRule="auto"/>
              <w:ind w:firstLine="0" w:firstLineChars="0"/>
              <w:jc w:val="center"/>
              <w:rPr>
                <w:color w:val="auto"/>
                <w:sz w:val="21"/>
                <w:szCs w:val="21"/>
                <w:highlight w:val="none"/>
              </w:rPr>
            </w:pPr>
            <w:r>
              <w:rPr>
                <w:color w:val="auto"/>
                <w:sz w:val="21"/>
                <w:szCs w:val="21"/>
                <w:highlight w:val="none"/>
              </w:rPr>
              <w:t>G2项目厂界下风向监控点1</w:t>
            </w:r>
          </w:p>
        </w:tc>
        <w:tc>
          <w:tcPr>
            <w:tcW w:w="324" w:type="pct"/>
            <w:tcBorders>
              <w:tl2br w:val="nil"/>
              <w:tr2bl w:val="nil"/>
            </w:tcBorders>
            <w:vAlign w:val="center"/>
          </w:tcPr>
          <w:p w14:paraId="32B8C7DA">
            <w:pPr>
              <w:spacing w:line="240" w:lineRule="auto"/>
              <w:ind w:firstLine="0" w:firstLineChars="0"/>
              <w:jc w:val="center"/>
              <w:rPr>
                <w:color w:val="auto"/>
                <w:sz w:val="21"/>
                <w:szCs w:val="21"/>
                <w:highlight w:val="none"/>
              </w:rPr>
            </w:pPr>
            <w:r>
              <w:rPr>
                <w:color w:val="auto"/>
                <w:sz w:val="21"/>
                <w:szCs w:val="21"/>
                <w:highlight w:val="none"/>
              </w:rPr>
              <w:t>1</w:t>
            </w:r>
          </w:p>
        </w:tc>
        <w:tc>
          <w:tcPr>
            <w:tcW w:w="1395" w:type="dxa"/>
            <w:tcBorders>
              <w:tl2br w:val="nil"/>
              <w:tr2bl w:val="nil"/>
            </w:tcBorders>
            <w:vAlign w:val="center"/>
          </w:tcPr>
          <w:p w14:paraId="75D7C551">
            <w:pPr>
              <w:spacing w:line="240" w:lineRule="auto"/>
              <w:ind w:firstLine="0" w:firstLineChars="0"/>
              <w:jc w:val="center"/>
              <w:rPr>
                <w:color w:val="auto"/>
                <w:sz w:val="21"/>
                <w:szCs w:val="21"/>
                <w:highlight w:val="none"/>
              </w:rPr>
            </w:pPr>
            <w:r>
              <w:rPr>
                <w:color w:val="auto"/>
                <w:sz w:val="21"/>
                <w:szCs w:val="21"/>
                <w:highlight w:val="none"/>
              </w:rPr>
              <w:t>＜0.010</w:t>
            </w:r>
          </w:p>
        </w:tc>
        <w:tc>
          <w:tcPr>
            <w:tcW w:w="1305" w:type="dxa"/>
            <w:tcBorders>
              <w:tl2br w:val="nil"/>
              <w:tr2bl w:val="nil"/>
            </w:tcBorders>
            <w:vAlign w:val="center"/>
          </w:tcPr>
          <w:p w14:paraId="71B9AD6F">
            <w:pPr>
              <w:widowControl/>
              <w:spacing w:line="240" w:lineRule="auto"/>
              <w:ind w:firstLine="0" w:firstLineChars="0"/>
              <w:jc w:val="center"/>
              <w:textAlignment w:val="center"/>
              <w:rPr>
                <w:color w:val="auto"/>
                <w:sz w:val="21"/>
                <w:szCs w:val="21"/>
                <w:highlight w:val="none"/>
              </w:rPr>
            </w:pPr>
            <w:r>
              <w:rPr>
                <w:rFonts w:eastAsia="等线"/>
                <w:color w:val="auto"/>
                <w:sz w:val="21"/>
                <w:szCs w:val="21"/>
                <w:highlight w:val="none"/>
                <w:lang w:bidi="ar"/>
              </w:rPr>
              <w:t xml:space="preserve">0.71 </w:t>
            </w:r>
          </w:p>
        </w:tc>
        <w:tc>
          <w:tcPr>
            <w:tcW w:w="825" w:type="dxa"/>
            <w:tcBorders>
              <w:tl2br w:val="nil"/>
              <w:tr2bl w:val="nil"/>
            </w:tcBorders>
            <w:vAlign w:val="center"/>
          </w:tcPr>
          <w:p w14:paraId="7B3F62A6">
            <w:pPr>
              <w:spacing w:line="240" w:lineRule="auto"/>
              <w:ind w:firstLine="0" w:firstLineChars="0"/>
              <w:jc w:val="center"/>
              <w:rPr>
                <w:color w:val="auto"/>
                <w:sz w:val="21"/>
                <w:szCs w:val="21"/>
                <w:highlight w:val="none"/>
              </w:rPr>
            </w:pPr>
            <w:r>
              <w:rPr>
                <w:color w:val="auto"/>
                <w:sz w:val="21"/>
                <w:szCs w:val="21"/>
                <w:highlight w:val="none"/>
              </w:rPr>
              <w:t>25.5</w:t>
            </w:r>
          </w:p>
        </w:tc>
        <w:tc>
          <w:tcPr>
            <w:tcW w:w="825" w:type="dxa"/>
            <w:tcBorders>
              <w:tl2br w:val="nil"/>
              <w:tr2bl w:val="nil"/>
            </w:tcBorders>
            <w:vAlign w:val="center"/>
          </w:tcPr>
          <w:p w14:paraId="49B866BA">
            <w:pPr>
              <w:spacing w:line="240" w:lineRule="auto"/>
              <w:ind w:firstLine="0" w:firstLineChars="0"/>
              <w:jc w:val="center"/>
              <w:rPr>
                <w:color w:val="auto"/>
                <w:sz w:val="21"/>
                <w:szCs w:val="21"/>
                <w:highlight w:val="none"/>
              </w:rPr>
            </w:pPr>
            <w:r>
              <w:rPr>
                <w:color w:val="auto"/>
                <w:sz w:val="21"/>
                <w:szCs w:val="21"/>
                <w:highlight w:val="none"/>
              </w:rPr>
              <w:t>1011.0</w:t>
            </w:r>
          </w:p>
        </w:tc>
        <w:tc>
          <w:tcPr>
            <w:tcW w:w="1035" w:type="dxa"/>
            <w:tcBorders>
              <w:tl2br w:val="nil"/>
              <w:tr2bl w:val="nil"/>
            </w:tcBorders>
            <w:vAlign w:val="center"/>
          </w:tcPr>
          <w:p w14:paraId="4249C11E">
            <w:pPr>
              <w:spacing w:line="240" w:lineRule="auto"/>
              <w:ind w:firstLine="0" w:firstLineChars="0"/>
              <w:jc w:val="center"/>
              <w:rPr>
                <w:color w:val="auto"/>
                <w:sz w:val="21"/>
                <w:szCs w:val="21"/>
                <w:highlight w:val="none"/>
              </w:rPr>
            </w:pPr>
            <w:r>
              <w:rPr>
                <w:color w:val="auto"/>
                <w:sz w:val="21"/>
                <w:szCs w:val="21"/>
                <w:highlight w:val="none"/>
              </w:rPr>
              <w:t>80</w:t>
            </w:r>
          </w:p>
        </w:tc>
        <w:tc>
          <w:tcPr>
            <w:tcW w:w="915" w:type="dxa"/>
            <w:tcBorders>
              <w:tl2br w:val="nil"/>
              <w:tr2bl w:val="nil"/>
            </w:tcBorders>
            <w:vAlign w:val="center"/>
          </w:tcPr>
          <w:p w14:paraId="228263AF">
            <w:pPr>
              <w:spacing w:line="240" w:lineRule="auto"/>
              <w:ind w:firstLine="0" w:firstLineChars="0"/>
              <w:jc w:val="center"/>
              <w:rPr>
                <w:color w:val="auto"/>
                <w:sz w:val="21"/>
                <w:szCs w:val="21"/>
                <w:highlight w:val="none"/>
              </w:rPr>
            </w:pPr>
            <w:r>
              <w:rPr>
                <w:color w:val="auto"/>
                <w:sz w:val="21"/>
                <w:szCs w:val="21"/>
                <w:highlight w:val="none"/>
              </w:rPr>
              <w:t>西南</w:t>
            </w:r>
          </w:p>
        </w:tc>
        <w:tc>
          <w:tcPr>
            <w:tcW w:w="803" w:type="dxa"/>
            <w:tcBorders>
              <w:tl2br w:val="nil"/>
              <w:tr2bl w:val="nil"/>
            </w:tcBorders>
            <w:vAlign w:val="center"/>
          </w:tcPr>
          <w:p w14:paraId="7F36E47F">
            <w:pPr>
              <w:spacing w:line="240" w:lineRule="auto"/>
              <w:ind w:firstLine="0" w:firstLineChars="0"/>
              <w:jc w:val="center"/>
              <w:rPr>
                <w:color w:val="auto"/>
                <w:sz w:val="21"/>
                <w:szCs w:val="21"/>
                <w:highlight w:val="none"/>
              </w:rPr>
            </w:pPr>
            <w:r>
              <w:rPr>
                <w:color w:val="auto"/>
                <w:kern w:val="2"/>
                <w:sz w:val="21"/>
                <w:szCs w:val="21"/>
                <w:highlight w:val="none"/>
              </w:rPr>
              <w:t>2.4</w:t>
            </w:r>
          </w:p>
        </w:tc>
      </w:tr>
      <w:tr w14:paraId="31A25A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3AA4AF6D">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5AEAB925">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79CDA464">
            <w:pPr>
              <w:spacing w:line="240" w:lineRule="auto"/>
              <w:ind w:firstLine="0" w:firstLineChars="0"/>
              <w:jc w:val="center"/>
              <w:rPr>
                <w:color w:val="auto"/>
                <w:sz w:val="21"/>
                <w:szCs w:val="21"/>
                <w:highlight w:val="none"/>
              </w:rPr>
            </w:pPr>
            <w:r>
              <w:rPr>
                <w:color w:val="auto"/>
                <w:sz w:val="21"/>
                <w:szCs w:val="21"/>
                <w:highlight w:val="none"/>
              </w:rPr>
              <w:t>2</w:t>
            </w:r>
          </w:p>
        </w:tc>
        <w:tc>
          <w:tcPr>
            <w:tcW w:w="1395" w:type="dxa"/>
            <w:tcBorders>
              <w:tl2br w:val="nil"/>
              <w:tr2bl w:val="nil"/>
            </w:tcBorders>
            <w:vAlign w:val="center"/>
          </w:tcPr>
          <w:p w14:paraId="61289C5E">
            <w:pPr>
              <w:spacing w:line="240" w:lineRule="auto"/>
              <w:ind w:firstLine="0" w:firstLineChars="0"/>
              <w:jc w:val="center"/>
              <w:rPr>
                <w:color w:val="auto"/>
                <w:sz w:val="21"/>
                <w:szCs w:val="21"/>
                <w:highlight w:val="none"/>
              </w:rPr>
            </w:pPr>
            <w:r>
              <w:rPr>
                <w:color w:val="auto"/>
                <w:sz w:val="21"/>
                <w:szCs w:val="21"/>
                <w:highlight w:val="none"/>
              </w:rPr>
              <w:t>＜0.010</w:t>
            </w:r>
          </w:p>
        </w:tc>
        <w:tc>
          <w:tcPr>
            <w:tcW w:w="1305" w:type="dxa"/>
            <w:tcBorders>
              <w:tl2br w:val="nil"/>
              <w:tr2bl w:val="nil"/>
            </w:tcBorders>
            <w:vAlign w:val="center"/>
          </w:tcPr>
          <w:p w14:paraId="6E03AEB8">
            <w:pPr>
              <w:widowControl/>
              <w:spacing w:line="240" w:lineRule="auto"/>
              <w:ind w:firstLine="0" w:firstLineChars="0"/>
              <w:jc w:val="center"/>
              <w:textAlignment w:val="center"/>
              <w:rPr>
                <w:color w:val="auto"/>
                <w:sz w:val="21"/>
                <w:szCs w:val="21"/>
                <w:highlight w:val="none"/>
              </w:rPr>
            </w:pPr>
            <w:r>
              <w:rPr>
                <w:rFonts w:eastAsia="等线"/>
                <w:color w:val="auto"/>
                <w:sz w:val="21"/>
                <w:szCs w:val="21"/>
                <w:highlight w:val="none"/>
                <w:lang w:bidi="ar"/>
              </w:rPr>
              <w:t xml:space="preserve">0.71 </w:t>
            </w:r>
          </w:p>
        </w:tc>
        <w:tc>
          <w:tcPr>
            <w:tcW w:w="825" w:type="dxa"/>
            <w:tcBorders>
              <w:tl2br w:val="nil"/>
              <w:tr2bl w:val="nil"/>
            </w:tcBorders>
            <w:vAlign w:val="center"/>
          </w:tcPr>
          <w:p w14:paraId="1E52AA41">
            <w:pPr>
              <w:spacing w:line="240" w:lineRule="auto"/>
              <w:ind w:firstLine="0" w:firstLineChars="0"/>
              <w:jc w:val="center"/>
              <w:rPr>
                <w:color w:val="auto"/>
                <w:sz w:val="21"/>
                <w:szCs w:val="21"/>
                <w:highlight w:val="none"/>
              </w:rPr>
            </w:pPr>
            <w:r>
              <w:rPr>
                <w:color w:val="auto"/>
                <w:sz w:val="21"/>
                <w:szCs w:val="21"/>
                <w:highlight w:val="none"/>
              </w:rPr>
              <w:t>27.0</w:t>
            </w:r>
          </w:p>
        </w:tc>
        <w:tc>
          <w:tcPr>
            <w:tcW w:w="825" w:type="dxa"/>
            <w:tcBorders>
              <w:tl2br w:val="nil"/>
              <w:tr2bl w:val="nil"/>
            </w:tcBorders>
            <w:vAlign w:val="center"/>
          </w:tcPr>
          <w:p w14:paraId="645A382F">
            <w:pPr>
              <w:spacing w:line="240" w:lineRule="auto"/>
              <w:ind w:firstLine="0" w:firstLineChars="0"/>
              <w:jc w:val="center"/>
              <w:rPr>
                <w:color w:val="auto"/>
                <w:sz w:val="21"/>
                <w:szCs w:val="21"/>
                <w:highlight w:val="none"/>
              </w:rPr>
            </w:pPr>
            <w:r>
              <w:rPr>
                <w:color w:val="auto"/>
                <w:sz w:val="21"/>
                <w:szCs w:val="21"/>
                <w:highlight w:val="none"/>
              </w:rPr>
              <w:t>1010.8</w:t>
            </w:r>
          </w:p>
        </w:tc>
        <w:tc>
          <w:tcPr>
            <w:tcW w:w="1035" w:type="dxa"/>
            <w:tcBorders>
              <w:tl2br w:val="nil"/>
              <w:tr2bl w:val="nil"/>
            </w:tcBorders>
            <w:vAlign w:val="center"/>
          </w:tcPr>
          <w:p w14:paraId="742A423B">
            <w:pPr>
              <w:spacing w:line="240" w:lineRule="auto"/>
              <w:ind w:firstLine="0" w:firstLineChars="0"/>
              <w:jc w:val="center"/>
              <w:rPr>
                <w:color w:val="auto"/>
                <w:sz w:val="21"/>
                <w:szCs w:val="21"/>
                <w:highlight w:val="none"/>
              </w:rPr>
            </w:pPr>
            <w:r>
              <w:rPr>
                <w:color w:val="auto"/>
                <w:sz w:val="21"/>
                <w:szCs w:val="21"/>
                <w:highlight w:val="none"/>
              </w:rPr>
              <w:t>78</w:t>
            </w:r>
          </w:p>
        </w:tc>
        <w:tc>
          <w:tcPr>
            <w:tcW w:w="915" w:type="dxa"/>
            <w:tcBorders>
              <w:tl2br w:val="nil"/>
              <w:tr2bl w:val="nil"/>
            </w:tcBorders>
            <w:vAlign w:val="center"/>
          </w:tcPr>
          <w:p w14:paraId="143BC580">
            <w:pPr>
              <w:spacing w:line="240" w:lineRule="auto"/>
              <w:ind w:firstLine="0" w:firstLineChars="0"/>
              <w:jc w:val="center"/>
              <w:rPr>
                <w:color w:val="auto"/>
                <w:sz w:val="21"/>
                <w:szCs w:val="21"/>
                <w:highlight w:val="none"/>
              </w:rPr>
            </w:pPr>
            <w:r>
              <w:rPr>
                <w:color w:val="auto"/>
                <w:sz w:val="21"/>
                <w:szCs w:val="21"/>
                <w:highlight w:val="none"/>
              </w:rPr>
              <w:t>南</w:t>
            </w:r>
          </w:p>
        </w:tc>
        <w:tc>
          <w:tcPr>
            <w:tcW w:w="803" w:type="dxa"/>
            <w:tcBorders>
              <w:tl2br w:val="nil"/>
              <w:tr2bl w:val="nil"/>
            </w:tcBorders>
            <w:vAlign w:val="center"/>
          </w:tcPr>
          <w:p w14:paraId="541480E9">
            <w:pPr>
              <w:spacing w:line="240" w:lineRule="auto"/>
              <w:ind w:firstLine="0" w:firstLineChars="0"/>
              <w:jc w:val="center"/>
              <w:rPr>
                <w:color w:val="auto"/>
                <w:sz w:val="21"/>
                <w:szCs w:val="21"/>
                <w:highlight w:val="none"/>
              </w:rPr>
            </w:pPr>
            <w:r>
              <w:rPr>
                <w:color w:val="auto"/>
                <w:kern w:val="2"/>
                <w:sz w:val="21"/>
                <w:szCs w:val="21"/>
                <w:highlight w:val="none"/>
              </w:rPr>
              <w:t>2.1</w:t>
            </w:r>
          </w:p>
        </w:tc>
      </w:tr>
      <w:tr w14:paraId="2E643A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3C7454D4">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55E71032">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1C653D6F">
            <w:pPr>
              <w:spacing w:line="240" w:lineRule="auto"/>
              <w:ind w:firstLine="0" w:firstLineChars="0"/>
              <w:jc w:val="center"/>
              <w:rPr>
                <w:color w:val="auto"/>
                <w:sz w:val="21"/>
                <w:szCs w:val="21"/>
                <w:highlight w:val="none"/>
              </w:rPr>
            </w:pPr>
            <w:r>
              <w:rPr>
                <w:color w:val="auto"/>
                <w:sz w:val="21"/>
                <w:szCs w:val="21"/>
                <w:highlight w:val="none"/>
              </w:rPr>
              <w:t>3</w:t>
            </w:r>
          </w:p>
        </w:tc>
        <w:tc>
          <w:tcPr>
            <w:tcW w:w="1395" w:type="dxa"/>
            <w:tcBorders>
              <w:tl2br w:val="nil"/>
              <w:tr2bl w:val="nil"/>
            </w:tcBorders>
            <w:vAlign w:val="center"/>
          </w:tcPr>
          <w:p w14:paraId="72F29B0C">
            <w:pPr>
              <w:spacing w:line="240" w:lineRule="auto"/>
              <w:ind w:firstLine="0" w:firstLineChars="0"/>
              <w:jc w:val="center"/>
              <w:rPr>
                <w:color w:val="auto"/>
                <w:sz w:val="21"/>
                <w:szCs w:val="21"/>
                <w:highlight w:val="none"/>
              </w:rPr>
            </w:pPr>
            <w:r>
              <w:rPr>
                <w:color w:val="auto"/>
                <w:sz w:val="21"/>
                <w:szCs w:val="21"/>
                <w:highlight w:val="none"/>
              </w:rPr>
              <w:t>＜0.010</w:t>
            </w:r>
          </w:p>
        </w:tc>
        <w:tc>
          <w:tcPr>
            <w:tcW w:w="1305" w:type="dxa"/>
            <w:tcBorders>
              <w:tl2br w:val="nil"/>
              <w:tr2bl w:val="nil"/>
            </w:tcBorders>
            <w:vAlign w:val="center"/>
          </w:tcPr>
          <w:p w14:paraId="6032FF63">
            <w:pPr>
              <w:widowControl/>
              <w:spacing w:line="240" w:lineRule="auto"/>
              <w:ind w:firstLine="0" w:firstLineChars="0"/>
              <w:jc w:val="center"/>
              <w:textAlignment w:val="center"/>
              <w:rPr>
                <w:color w:val="auto"/>
                <w:sz w:val="21"/>
                <w:szCs w:val="21"/>
                <w:highlight w:val="none"/>
              </w:rPr>
            </w:pPr>
            <w:r>
              <w:rPr>
                <w:rFonts w:eastAsia="等线"/>
                <w:color w:val="auto"/>
                <w:sz w:val="21"/>
                <w:szCs w:val="21"/>
                <w:highlight w:val="none"/>
                <w:lang w:bidi="ar"/>
              </w:rPr>
              <w:t xml:space="preserve">0.71 </w:t>
            </w:r>
          </w:p>
        </w:tc>
        <w:tc>
          <w:tcPr>
            <w:tcW w:w="825" w:type="dxa"/>
            <w:tcBorders>
              <w:tl2br w:val="nil"/>
              <w:tr2bl w:val="nil"/>
            </w:tcBorders>
            <w:vAlign w:val="center"/>
          </w:tcPr>
          <w:p w14:paraId="1F7C65B0">
            <w:pPr>
              <w:spacing w:line="240" w:lineRule="auto"/>
              <w:ind w:firstLine="0" w:firstLineChars="0"/>
              <w:jc w:val="center"/>
              <w:rPr>
                <w:color w:val="auto"/>
                <w:sz w:val="21"/>
                <w:szCs w:val="21"/>
                <w:highlight w:val="none"/>
              </w:rPr>
            </w:pPr>
            <w:r>
              <w:rPr>
                <w:color w:val="auto"/>
                <w:sz w:val="21"/>
                <w:szCs w:val="21"/>
                <w:highlight w:val="none"/>
              </w:rPr>
              <w:t>30.5</w:t>
            </w:r>
          </w:p>
        </w:tc>
        <w:tc>
          <w:tcPr>
            <w:tcW w:w="825" w:type="dxa"/>
            <w:tcBorders>
              <w:tl2br w:val="nil"/>
              <w:tr2bl w:val="nil"/>
            </w:tcBorders>
            <w:vAlign w:val="center"/>
          </w:tcPr>
          <w:p w14:paraId="0255D9EC">
            <w:pPr>
              <w:spacing w:line="240" w:lineRule="auto"/>
              <w:ind w:firstLine="0" w:firstLineChars="0"/>
              <w:jc w:val="center"/>
              <w:rPr>
                <w:color w:val="auto"/>
                <w:sz w:val="21"/>
                <w:szCs w:val="21"/>
                <w:highlight w:val="none"/>
              </w:rPr>
            </w:pPr>
            <w:r>
              <w:rPr>
                <w:color w:val="auto"/>
                <w:sz w:val="21"/>
                <w:szCs w:val="21"/>
                <w:highlight w:val="none"/>
              </w:rPr>
              <w:t>1009.1</w:t>
            </w:r>
          </w:p>
        </w:tc>
        <w:tc>
          <w:tcPr>
            <w:tcW w:w="1035" w:type="dxa"/>
            <w:tcBorders>
              <w:tl2br w:val="nil"/>
              <w:tr2bl w:val="nil"/>
            </w:tcBorders>
            <w:vAlign w:val="center"/>
          </w:tcPr>
          <w:p w14:paraId="3295E310">
            <w:pPr>
              <w:spacing w:line="240" w:lineRule="auto"/>
              <w:ind w:firstLine="0" w:firstLineChars="0"/>
              <w:jc w:val="center"/>
              <w:rPr>
                <w:color w:val="auto"/>
                <w:sz w:val="21"/>
                <w:szCs w:val="21"/>
                <w:highlight w:val="none"/>
              </w:rPr>
            </w:pPr>
            <w:r>
              <w:rPr>
                <w:color w:val="auto"/>
                <w:sz w:val="21"/>
                <w:szCs w:val="21"/>
                <w:highlight w:val="none"/>
              </w:rPr>
              <w:t>66</w:t>
            </w:r>
          </w:p>
        </w:tc>
        <w:tc>
          <w:tcPr>
            <w:tcW w:w="915" w:type="dxa"/>
            <w:tcBorders>
              <w:tl2br w:val="nil"/>
              <w:tr2bl w:val="nil"/>
            </w:tcBorders>
            <w:vAlign w:val="center"/>
          </w:tcPr>
          <w:p w14:paraId="3B34BCB9">
            <w:pPr>
              <w:spacing w:line="240" w:lineRule="auto"/>
              <w:ind w:firstLine="0" w:firstLineChars="0"/>
              <w:jc w:val="center"/>
              <w:rPr>
                <w:color w:val="auto"/>
                <w:sz w:val="21"/>
                <w:szCs w:val="21"/>
                <w:highlight w:val="none"/>
              </w:rPr>
            </w:pPr>
            <w:r>
              <w:rPr>
                <w:color w:val="auto"/>
                <w:sz w:val="21"/>
                <w:szCs w:val="21"/>
                <w:highlight w:val="none"/>
              </w:rPr>
              <w:t>西南</w:t>
            </w:r>
          </w:p>
        </w:tc>
        <w:tc>
          <w:tcPr>
            <w:tcW w:w="803" w:type="dxa"/>
            <w:tcBorders>
              <w:tl2br w:val="nil"/>
              <w:tr2bl w:val="nil"/>
            </w:tcBorders>
            <w:vAlign w:val="center"/>
          </w:tcPr>
          <w:p w14:paraId="7138E2DD">
            <w:pPr>
              <w:spacing w:line="240" w:lineRule="auto"/>
              <w:ind w:firstLine="0" w:firstLineChars="0"/>
              <w:jc w:val="center"/>
              <w:rPr>
                <w:color w:val="auto"/>
                <w:sz w:val="21"/>
                <w:szCs w:val="21"/>
                <w:highlight w:val="none"/>
              </w:rPr>
            </w:pPr>
            <w:r>
              <w:rPr>
                <w:color w:val="auto"/>
                <w:kern w:val="2"/>
                <w:sz w:val="21"/>
                <w:szCs w:val="21"/>
                <w:highlight w:val="none"/>
              </w:rPr>
              <w:t>1.8</w:t>
            </w:r>
          </w:p>
        </w:tc>
      </w:tr>
      <w:tr w14:paraId="67CB63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5622A1CB">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09A5D10D">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39518D34">
            <w:pPr>
              <w:spacing w:line="240" w:lineRule="auto"/>
              <w:ind w:firstLine="0" w:firstLineChars="0"/>
              <w:jc w:val="center"/>
              <w:rPr>
                <w:color w:val="auto"/>
                <w:sz w:val="21"/>
                <w:szCs w:val="21"/>
                <w:highlight w:val="none"/>
              </w:rPr>
            </w:pPr>
            <w:r>
              <w:rPr>
                <w:color w:val="auto"/>
                <w:sz w:val="21"/>
                <w:szCs w:val="21"/>
                <w:highlight w:val="none"/>
              </w:rPr>
              <w:t>4</w:t>
            </w:r>
          </w:p>
        </w:tc>
        <w:tc>
          <w:tcPr>
            <w:tcW w:w="1395" w:type="dxa"/>
            <w:tcBorders>
              <w:tl2br w:val="nil"/>
              <w:tr2bl w:val="nil"/>
            </w:tcBorders>
            <w:vAlign w:val="center"/>
          </w:tcPr>
          <w:p w14:paraId="08A2E78D">
            <w:pPr>
              <w:spacing w:line="240" w:lineRule="auto"/>
              <w:ind w:firstLine="0" w:firstLineChars="0"/>
              <w:jc w:val="center"/>
              <w:rPr>
                <w:color w:val="auto"/>
                <w:sz w:val="21"/>
                <w:szCs w:val="21"/>
                <w:highlight w:val="none"/>
              </w:rPr>
            </w:pPr>
            <w:r>
              <w:rPr>
                <w:color w:val="auto"/>
                <w:sz w:val="21"/>
                <w:szCs w:val="21"/>
                <w:highlight w:val="none"/>
              </w:rPr>
              <w:t>＜0.010</w:t>
            </w:r>
          </w:p>
        </w:tc>
        <w:tc>
          <w:tcPr>
            <w:tcW w:w="1305" w:type="dxa"/>
            <w:tcBorders>
              <w:tl2br w:val="nil"/>
              <w:tr2bl w:val="nil"/>
            </w:tcBorders>
            <w:vAlign w:val="center"/>
          </w:tcPr>
          <w:p w14:paraId="6C99AFA9">
            <w:pPr>
              <w:widowControl/>
              <w:spacing w:line="240" w:lineRule="auto"/>
              <w:ind w:firstLine="0" w:firstLineChars="0"/>
              <w:jc w:val="center"/>
              <w:textAlignment w:val="center"/>
              <w:rPr>
                <w:color w:val="auto"/>
                <w:sz w:val="21"/>
                <w:szCs w:val="21"/>
                <w:highlight w:val="none"/>
              </w:rPr>
            </w:pPr>
            <w:r>
              <w:rPr>
                <w:rFonts w:eastAsia="等线"/>
                <w:color w:val="auto"/>
                <w:sz w:val="21"/>
                <w:szCs w:val="21"/>
                <w:highlight w:val="none"/>
                <w:lang w:bidi="ar"/>
              </w:rPr>
              <w:t xml:space="preserve">0.74 </w:t>
            </w:r>
          </w:p>
        </w:tc>
        <w:tc>
          <w:tcPr>
            <w:tcW w:w="825" w:type="dxa"/>
            <w:tcBorders>
              <w:tl2br w:val="nil"/>
              <w:tr2bl w:val="nil"/>
            </w:tcBorders>
            <w:vAlign w:val="center"/>
          </w:tcPr>
          <w:p w14:paraId="5EF4E360">
            <w:pPr>
              <w:spacing w:line="240" w:lineRule="auto"/>
              <w:ind w:firstLine="0" w:firstLineChars="0"/>
              <w:jc w:val="center"/>
              <w:rPr>
                <w:color w:val="auto"/>
                <w:sz w:val="21"/>
                <w:szCs w:val="21"/>
                <w:highlight w:val="none"/>
              </w:rPr>
            </w:pPr>
            <w:r>
              <w:rPr>
                <w:color w:val="auto"/>
                <w:sz w:val="21"/>
                <w:szCs w:val="21"/>
                <w:highlight w:val="none"/>
              </w:rPr>
              <w:t>28.4</w:t>
            </w:r>
          </w:p>
        </w:tc>
        <w:tc>
          <w:tcPr>
            <w:tcW w:w="825" w:type="dxa"/>
            <w:tcBorders>
              <w:tl2br w:val="nil"/>
              <w:tr2bl w:val="nil"/>
            </w:tcBorders>
            <w:vAlign w:val="center"/>
          </w:tcPr>
          <w:p w14:paraId="73C3B2D0">
            <w:pPr>
              <w:spacing w:line="240" w:lineRule="auto"/>
              <w:ind w:firstLine="0" w:firstLineChars="0"/>
              <w:jc w:val="center"/>
              <w:rPr>
                <w:color w:val="auto"/>
                <w:sz w:val="21"/>
                <w:szCs w:val="21"/>
                <w:highlight w:val="none"/>
              </w:rPr>
            </w:pPr>
            <w:r>
              <w:rPr>
                <w:color w:val="auto"/>
                <w:sz w:val="21"/>
                <w:szCs w:val="21"/>
                <w:highlight w:val="none"/>
              </w:rPr>
              <w:t>1009.8</w:t>
            </w:r>
          </w:p>
        </w:tc>
        <w:tc>
          <w:tcPr>
            <w:tcW w:w="1035" w:type="dxa"/>
            <w:tcBorders>
              <w:tl2br w:val="nil"/>
              <w:tr2bl w:val="nil"/>
            </w:tcBorders>
            <w:vAlign w:val="center"/>
          </w:tcPr>
          <w:p w14:paraId="35AFC6B5">
            <w:pPr>
              <w:spacing w:line="240" w:lineRule="auto"/>
              <w:ind w:firstLine="0" w:firstLineChars="0"/>
              <w:jc w:val="center"/>
              <w:rPr>
                <w:color w:val="auto"/>
                <w:sz w:val="21"/>
                <w:szCs w:val="21"/>
                <w:highlight w:val="none"/>
              </w:rPr>
            </w:pPr>
            <w:r>
              <w:rPr>
                <w:color w:val="auto"/>
                <w:sz w:val="21"/>
                <w:szCs w:val="21"/>
                <w:highlight w:val="none"/>
              </w:rPr>
              <w:t>74</w:t>
            </w:r>
          </w:p>
        </w:tc>
        <w:tc>
          <w:tcPr>
            <w:tcW w:w="915" w:type="dxa"/>
            <w:tcBorders>
              <w:tl2br w:val="nil"/>
              <w:tr2bl w:val="nil"/>
            </w:tcBorders>
            <w:vAlign w:val="center"/>
          </w:tcPr>
          <w:p w14:paraId="3366CC05">
            <w:pPr>
              <w:spacing w:line="240" w:lineRule="auto"/>
              <w:ind w:firstLine="0" w:firstLineChars="0"/>
              <w:jc w:val="center"/>
              <w:rPr>
                <w:color w:val="auto"/>
                <w:sz w:val="21"/>
                <w:szCs w:val="21"/>
                <w:highlight w:val="none"/>
              </w:rPr>
            </w:pPr>
            <w:r>
              <w:rPr>
                <w:color w:val="auto"/>
                <w:sz w:val="21"/>
                <w:szCs w:val="21"/>
                <w:highlight w:val="none"/>
              </w:rPr>
              <w:t>西南</w:t>
            </w:r>
          </w:p>
        </w:tc>
        <w:tc>
          <w:tcPr>
            <w:tcW w:w="803" w:type="dxa"/>
            <w:tcBorders>
              <w:tl2br w:val="nil"/>
              <w:tr2bl w:val="nil"/>
            </w:tcBorders>
            <w:vAlign w:val="center"/>
          </w:tcPr>
          <w:p w14:paraId="09ADB37C">
            <w:pPr>
              <w:spacing w:line="240" w:lineRule="auto"/>
              <w:ind w:firstLine="0" w:firstLineChars="0"/>
              <w:jc w:val="center"/>
              <w:rPr>
                <w:color w:val="auto"/>
                <w:sz w:val="21"/>
                <w:szCs w:val="21"/>
                <w:highlight w:val="none"/>
              </w:rPr>
            </w:pPr>
            <w:r>
              <w:rPr>
                <w:color w:val="auto"/>
                <w:kern w:val="2"/>
                <w:sz w:val="21"/>
                <w:szCs w:val="21"/>
                <w:highlight w:val="none"/>
              </w:rPr>
              <w:t>2.0</w:t>
            </w:r>
          </w:p>
        </w:tc>
      </w:tr>
      <w:tr w14:paraId="31B688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00B336F4">
            <w:pPr>
              <w:spacing w:line="240" w:lineRule="auto"/>
              <w:ind w:firstLine="0" w:firstLineChars="0"/>
              <w:jc w:val="center"/>
              <w:rPr>
                <w:color w:val="auto"/>
                <w:sz w:val="21"/>
                <w:szCs w:val="21"/>
                <w:highlight w:val="none"/>
              </w:rPr>
            </w:pPr>
          </w:p>
        </w:tc>
        <w:tc>
          <w:tcPr>
            <w:tcW w:w="657" w:type="pct"/>
            <w:vMerge w:val="restart"/>
            <w:tcBorders>
              <w:tl2br w:val="nil"/>
              <w:tr2bl w:val="nil"/>
            </w:tcBorders>
            <w:vAlign w:val="center"/>
          </w:tcPr>
          <w:p w14:paraId="764FF200">
            <w:pPr>
              <w:spacing w:line="240" w:lineRule="auto"/>
              <w:ind w:firstLine="0" w:firstLineChars="0"/>
              <w:jc w:val="center"/>
              <w:rPr>
                <w:color w:val="auto"/>
                <w:sz w:val="21"/>
                <w:szCs w:val="21"/>
                <w:highlight w:val="none"/>
              </w:rPr>
            </w:pPr>
            <w:r>
              <w:rPr>
                <w:color w:val="auto"/>
                <w:sz w:val="21"/>
                <w:szCs w:val="21"/>
                <w:highlight w:val="none"/>
              </w:rPr>
              <w:t>G3项目厂界下风向监控点2</w:t>
            </w:r>
          </w:p>
        </w:tc>
        <w:tc>
          <w:tcPr>
            <w:tcW w:w="324" w:type="pct"/>
            <w:tcBorders>
              <w:tl2br w:val="nil"/>
              <w:tr2bl w:val="nil"/>
            </w:tcBorders>
            <w:vAlign w:val="center"/>
          </w:tcPr>
          <w:p w14:paraId="7403CF27">
            <w:pPr>
              <w:spacing w:line="240" w:lineRule="auto"/>
              <w:ind w:firstLine="0" w:firstLineChars="0"/>
              <w:jc w:val="center"/>
              <w:rPr>
                <w:color w:val="auto"/>
                <w:sz w:val="21"/>
                <w:szCs w:val="21"/>
                <w:highlight w:val="none"/>
              </w:rPr>
            </w:pPr>
            <w:r>
              <w:rPr>
                <w:color w:val="auto"/>
                <w:sz w:val="21"/>
                <w:szCs w:val="21"/>
                <w:highlight w:val="none"/>
              </w:rPr>
              <w:t>1</w:t>
            </w:r>
          </w:p>
        </w:tc>
        <w:tc>
          <w:tcPr>
            <w:tcW w:w="1395" w:type="dxa"/>
            <w:tcBorders>
              <w:tl2br w:val="nil"/>
              <w:tr2bl w:val="nil"/>
            </w:tcBorders>
            <w:vAlign w:val="center"/>
          </w:tcPr>
          <w:p w14:paraId="512EF8CA">
            <w:pPr>
              <w:spacing w:line="240" w:lineRule="auto"/>
              <w:ind w:firstLine="0" w:firstLineChars="0"/>
              <w:jc w:val="center"/>
              <w:rPr>
                <w:color w:val="auto"/>
                <w:sz w:val="21"/>
                <w:szCs w:val="21"/>
                <w:highlight w:val="none"/>
              </w:rPr>
            </w:pPr>
            <w:r>
              <w:rPr>
                <w:color w:val="auto"/>
                <w:sz w:val="21"/>
                <w:szCs w:val="21"/>
                <w:highlight w:val="none"/>
              </w:rPr>
              <w:t>＜0.010</w:t>
            </w:r>
          </w:p>
        </w:tc>
        <w:tc>
          <w:tcPr>
            <w:tcW w:w="1305" w:type="dxa"/>
            <w:tcBorders>
              <w:tl2br w:val="nil"/>
              <w:tr2bl w:val="nil"/>
            </w:tcBorders>
            <w:vAlign w:val="center"/>
          </w:tcPr>
          <w:p w14:paraId="120B2D56">
            <w:pPr>
              <w:widowControl/>
              <w:spacing w:line="240" w:lineRule="auto"/>
              <w:ind w:firstLine="0" w:firstLineChars="0"/>
              <w:jc w:val="center"/>
              <w:textAlignment w:val="center"/>
              <w:rPr>
                <w:color w:val="auto"/>
                <w:sz w:val="21"/>
                <w:szCs w:val="21"/>
                <w:highlight w:val="none"/>
              </w:rPr>
            </w:pPr>
            <w:r>
              <w:rPr>
                <w:rFonts w:eastAsia="等线"/>
                <w:color w:val="auto"/>
                <w:sz w:val="21"/>
                <w:szCs w:val="21"/>
                <w:highlight w:val="none"/>
                <w:lang w:bidi="ar"/>
              </w:rPr>
              <w:t xml:space="preserve">0.88 </w:t>
            </w:r>
          </w:p>
        </w:tc>
        <w:tc>
          <w:tcPr>
            <w:tcW w:w="825" w:type="dxa"/>
            <w:tcBorders>
              <w:tl2br w:val="nil"/>
              <w:tr2bl w:val="nil"/>
            </w:tcBorders>
            <w:vAlign w:val="center"/>
          </w:tcPr>
          <w:p w14:paraId="51D6E873">
            <w:pPr>
              <w:spacing w:line="240" w:lineRule="auto"/>
              <w:ind w:firstLine="0" w:firstLineChars="0"/>
              <w:jc w:val="center"/>
              <w:rPr>
                <w:color w:val="auto"/>
                <w:sz w:val="21"/>
                <w:szCs w:val="21"/>
                <w:highlight w:val="none"/>
              </w:rPr>
            </w:pPr>
            <w:r>
              <w:rPr>
                <w:color w:val="auto"/>
                <w:sz w:val="21"/>
                <w:szCs w:val="21"/>
                <w:highlight w:val="none"/>
              </w:rPr>
              <w:t>25.5</w:t>
            </w:r>
          </w:p>
        </w:tc>
        <w:tc>
          <w:tcPr>
            <w:tcW w:w="825" w:type="dxa"/>
            <w:tcBorders>
              <w:tl2br w:val="nil"/>
              <w:tr2bl w:val="nil"/>
            </w:tcBorders>
            <w:vAlign w:val="center"/>
          </w:tcPr>
          <w:p w14:paraId="3CA06410">
            <w:pPr>
              <w:spacing w:line="240" w:lineRule="auto"/>
              <w:ind w:firstLine="0" w:firstLineChars="0"/>
              <w:jc w:val="center"/>
              <w:rPr>
                <w:color w:val="auto"/>
                <w:sz w:val="21"/>
                <w:szCs w:val="21"/>
                <w:highlight w:val="none"/>
              </w:rPr>
            </w:pPr>
            <w:r>
              <w:rPr>
                <w:color w:val="auto"/>
                <w:sz w:val="21"/>
                <w:szCs w:val="21"/>
                <w:highlight w:val="none"/>
              </w:rPr>
              <w:t>1011.0</w:t>
            </w:r>
          </w:p>
        </w:tc>
        <w:tc>
          <w:tcPr>
            <w:tcW w:w="1035" w:type="dxa"/>
            <w:tcBorders>
              <w:tl2br w:val="nil"/>
              <w:tr2bl w:val="nil"/>
            </w:tcBorders>
            <w:vAlign w:val="center"/>
          </w:tcPr>
          <w:p w14:paraId="702B7CF2">
            <w:pPr>
              <w:spacing w:line="240" w:lineRule="auto"/>
              <w:ind w:firstLine="0" w:firstLineChars="0"/>
              <w:jc w:val="center"/>
              <w:rPr>
                <w:color w:val="auto"/>
                <w:sz w:val="21"/>
                <w:szCs w:val="21"/>
                <w:highlight w:val="none"/>
              </w:rPr>
            </w:pPr>
            <w:r>
              <w:rPr>
                <w:color w:val="auto"/>
                <w:sz w:val="21"/>
                <w:szCs w:val="21"/>
                <w:highlight w:val="none"/>
              </w:rPr>
              <w:t>80</w:t>
            </w:r>
          </w:p>
        </w:tc>
        <w:tc>
          <w:tcPr>
            <w:tcW w:w="915" w:type="dxa"/>
            <w:tcBorders>
              <w:tl2br w:val="nil"/>
              <w:tr2bl w:val="nil"/>
            </w:tcBorders>
            <w:vAlign w:val="center"/>
          </w:tcPr>
          <w:p w14:paraId="4F654686">
            <w:pPr>
              <w:spacing w:line="240" w:lineRule="auto"/>
              <w:ind w:firstLine="0" w:firstLineChars="0"/>
              <w:jc w:val="center"/>
              <w:rPr>
                <w:color w:val="auto"/>
                <w:sz w:val="21"/>
                <w:szCs w:val="21"/>
                <w:highlight w:val="none"/>
              </w:rPr>
            </w:pPr>
            <w:r>
              <w:rPr>
                <w:color w:val="auto"/>
                <w:sz w:val="21"/>
                <w:szCs w:val="21"/>
                <w:highlight w:val="none"/>
              </w:rPr>
              <w:t>西南</w:t>
            </w:r>
          </w:p>
        </w:tc>
        <w:tc>
          <w:tcPr>
            <w:tcW w:w="803" w:type="dxa"/>
            <w:tcBorders>
              <w:tl2br w:val="nil"/>
              <w:tr2bl w:val="nil"/>
            </w:tcBorders>
            <w:vAlign w:val="center"/>
          </w:tcPr>
          <w:p w14:paraId="7B4F7132">
            <w:pPr>
              <w:spacing w:line="240" w:lineRule="auto"/>
              <w:ind w:firstLine="0" w:firstLineChars="0"/>
              <w:jc w:val="center"/>
              <w:rPr>
                <w:color w:val="auto"/>
                <w:sz w:val="21"/>
                <w:szCs w:val="21"/>
                <w:highlight w:val="none"/>
              </w:rPr>
            </w:pPr>
            <w:r>
              <w:rPr>
                <w:color w:val="auto"/>
                <w:kern w:val="2"/>
                <w:sz w:val="21"/>
                <w:szCs w:val="21"/>
                <w:highlight w:val="none"/>
              </w:rPr>
              <w:t>2.4</w:t>
            </w:r>
          </w:p>
        </w:tc>
      </w:tr>
      <w:tr w14:paraId="56BE93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42978C46">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4AED29E7">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076D5FE8">
            <w:pPr>
              <w:spacing w:line="240" w:lineRule="auto"/>
              <w:ind w:firstLine="0" w:firstLineChars="0"/>
              <w:jc w:val="center"/>
              <w:rPr>
                <w:color w:val="auto"/>
                <w:sz w:val="21"/>
                <w:szCs w:val="21"/>
                <w:highlight w:val="none"/>
              </w:rPr>
            </w:pPr>
            <w:r>
              <w:rPr>
                <w:color w:val="auto"/>
                <w:sz w:val="21"/>
                <w:szCs w:val="21"/>
                <w:highlight w:val="none"/>
              </w:rPr>
              <w:t>2</w:t>
            </w:r>
          </w:p>
        </w:tc>
        <w:tc>
          <w:tcPr>
            <w:tcW w:w="1395" w:type="dxa"/>
            <w:tcBorders>
              <w:tl2br w:val="nil"/>
              <w:tr2bl w:val="nil"/>
            </w:tcBorders>
            <w:vAlign w:val="center"/>
          </w:tcPr>
          <w:p w14:paraId="0A050AB8">
            <w:pPr>
              <w:spacing w:line="240" w:lineRule="auto"/>
              <w:ind w:firstLine="0" w:firstLineChars="0"/>
              <w:jc w:val="center"/>
              <w:rPr>
                <w:color w:val="auto"/>
                <w:sz w:val="21"/>
                <w:szCs w:val="21"/>
                <w:highlight w:val="none"/>
              </w:rPr>
            </w:pPr>
            <w:r>
              <w:rPr>
                <w:color w:val="auto"/>
                <w:sz w:val="21"/>
                <w:szCs w:val="21"/>
                <w:highlight w:val="none"/>
              </w:rPr>
              <w:t>＜0.010</w:t>
            </w:r>
          </w:p>
        </w:tc>
        <w:tc>
          <w:tcPr>
            <w:tcW w:w="1305" w:type="dxa"/>
            <w:tcBorders>
              <w:tl2br w:val="nil"/>
              <w:tr2bl w:val="nil"/>
            </w:tcBorders>
            <w:vAlign w:val="center"/>
          </w:tcPr>
          <w:p w14:paraId="7E78FA99">
            <w:pPr>
              <w:widowControl/>
              <w:spacing w:line="240" w:lineRule="auto"/>
              <w:ind w:firstLine="0" w:firstLineChars="0"/>
              <w:jc w:val="center"/>
              <w:textAlignment w:val="center"/>
              <w:rPr>
                <w:color w:val="auto"/>
                <w:sz w:val="21"/>
                <w:szCs w:val="21"/>
                <w:highlight w:val="none"/>
              </w:rPr>
            </w:pPr>
            <w:r>
              <w:rPr>
                <w:rFonts w:eastAsia="等线"/>
                <w:color w:val="auto"/>
                <w:sz w:val="21"/>
                <w:szCs w:val="21"/>
                <w:highlight w:val="none"/>
                <w:lang w:bidi="ar"/>
              </w:rPr>
              <w:t xml:space="preserve">0.88 </w:t>
            </w:r>
          </w:p>
        </w:tc>
        <w:tc>
          <w:tcPr>
            <w:tcW w:w="825" w:type="dxa"/>
            <w:tcBorders>
              <w:tl2br w:val="nil"/>
              <w:tr2bl w:val="nil"/>
            </w:tcBorders>
            <w:vAlign w:val="center"/>
          </w:tcPr>
          <w:p w14:paraId="0232C3E9">
            <w:pPr>
              <w:spacing w:line="240" w:lineRule="auto"/>
              <w:ind w:firstLine="0" w:firstLineChars="0"/>
              <w:jc w:val="center"/>
              <w:rPr>
                <w:color w:val="auto"/>
                <w:sz w:val="21"/>
                <w:szCs w:val="21"/>
                <w:highlight w:val="none"/>
              </w:rPr>
            </w:pPr>
            <w:r>
              <w:rPr>
                <w:color w:val="auto"/>
                <w:sz w:val="21"/>
                <w:szCs w:val="21"/>
                <w:highlight w:val="none"/>
              </w:rPr>
              <w:t>27.0</w:t>
            </w:r>
          </w:p>
        </w:tc>
        <w:tc>
          <w:tcPr>
            <w:tcW w:w="825" w:type="dxa"/>
            <w:tcBorders>
              <w:tl2br w:val="nil"/>
              <w:tr2bl w:val="nil"/>
            </w:tcBorders>
            <w:vAlign w:val="center"/>
          </w:tcPr>
          <w:p w14:paraId="70926CBA">
            <w:pPr>
              <w:spacing w:line="240" w:lineRule="auto"/>
              <w:ind w:firstLine="0" w:firstLineChars="0"/>
              <w:jc w:val="center"/>
              <w:rPr>
                <w:color w:val="auto"/>
                <w:sz w:val="21"/>
                <w:szCs w:val="21"/>
                <w:highlight w:val="none"/>
              </w:rPr>
            </w:pPr>
            <w:r>
              <w:rPr>
                <w:color w:val="auto"/>
                <w:sz w:val="21"/>
                <w:szCs w:val="21"/>
                <w:highlight w:val="none"/>
              </w:rPr>
              <w:t>1010.8</w:t>
            </w:r>
          </w:p>
        </w:tc>
        <w:tc>
          <w:tcPr>
            <w:tcW w:w="1035" w:type="dxa"/>
            <w:tcBorders>
              <w:tl2br w:val="nil"/>
              <w:tr2bl w:val="nil"/>
            </w:tcBorders>
            <w:vAlign w:val="center"/>
          </w:tcPr>
          <w:p w14:paraId="3C62066C">
            <w:pPr>
              <w:spacing w:line="240" w:lineRule="auto"/>
              <w:ind w:firstLine="0" w:firstLineChars="0"/>
              <w:jc w:val="center"/>
              <w:rPr>
                <w:color w:val="auto"/>
                <w:sz w:val="21"/>
                <w:szCs w:val="21"/>
                <w:highlight w:val="none"/>
              </w:rPr>
            </w:pPr>
            <w:r>
              <w:rPr>
                <w:color w:val="auto"/>
                <w:sz w:val="21"/>
                <w:szCs w:val="21"/>
                <w:highlight w:val="none"/>
              </w:rPr>
              <w:t>78</w:t>
            </w:r>
          </w:p>
        </w:tc>
        <w:tc>
          <w:tcPr>
            <w:tcW w:w="915" w:type="dxa"/>
            <w:tcBorders>
              <w:tl2br w:val="nil"/>
              <w:tr2bl w:val="nil"/>
            </w:tcBorders>
            <w:vAlign w:val="center"/>
          </w:tcPr>
          <w:p w14:paraId="179D288A">
            <w:pPr>
              <w:spacing w:line="240" w:lineRule="auto"/>
              <w:ind w:firstLine="0" w:firstLineChars="0"/>
              <w:jc w:val="center"/>
              <w:rPr>
                <w:color w:val="auto"/>
                <w:sz w:val="21"/>
                <w:szCs w:val="21"/>
                <w:highlight w:val="none"/>
              </w:rPr>
            </w:pPr>
            <w:r>
              <w:rPr>
                <w:color w:val="auto"/>
                <w:sz w:val="21"/>
                <w:szCs w:val="21"/>
                <w:highlight w:val="none"/>
              </w:rPr>
              <w:t>南</w:t>
            </w:r>
          </w:p>
        </w:tc>
        <w:tc>
          <w:tcPr>
            <w:tcW w:w="803" w:type="dxa"/>
            <w:tcBorders>
              <w:tl2br w:val="nil"/>
              <w:tr2bl w:val="nil"/>
            </w:tcBorders>
            <w:vAlign w:val="center"/>
          </w:tcPr>
          <w:p w14:paraId="0328FEAB">
            <w:pPr>
              <w:spacing w:line="240" w:lineRule="auto"/>
              <w:ind w:firstLine="0" w:firstLineChars="0"/>
              <w:jc w:val="center"/>
              <w:rPr>
                <w:color w:val="auto"/>
                <w:sz w:val="21"/>
                <w:szCs w:val="21"/>
                <w:highlight w:val="none"/>
              </w:rPr>
            </w:pPr>
            <w:r>
              <w:rPr>
                <w:color w:val="auto"/>
                <w:kern w:val="2"/>
                <w:sz w:val="21"/>
                <w:szCs w:val="21"/>
                <w:highlight w:val="none"/>
              </w:rPr>
              <w:t>2.1</w:t>
            </w:r>
          </w:p>
        </w:tc>
      </w:tr>
      <w:tr w14:paraId="6AA92D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681A5FA3">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56D3CBA0">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1637AA0B">
            <w:pPr>
              <w:spacing w:line="240" w:lineRule="auto"/>
              <w:ind w:firstLine="0" w:firstLineChars="0"/>
              <w:jc w:val="center"/>
              <w:rPr>
                <w:color w:val="auto"/>
                <w:sz w:val="21"/>
                <w:szCs w:val="21"/>
                <w:highlight w:val="none"/>
              </w:rPr>
            </w:pPr>
            <w:r>
              <w:rPr>
                <w:color w:val="auto"/>
                <w:sz w:val="21"/>
                <w:szCs w:val="21"/>
                <w:highlight w:val="none"/>
              </w:rPr>
              <w:t>3</w:t>
            </w:r>
          </w:p>
        </w:tc>
        <w:tc>
          <w:tcPr>
            <w:tcW w:w="1395" w:type="dxa"/>
            <w:tcBorders>
              <w:tl2br w:val="nil"/>
              <w:tr2bl w:val="nil"/>
            </w:tcBorders>
            <w:vAlign w:val="center"/>
          </w:tcPr>
          <w:p w14:paraId="70833791">
            <w:pPr>
              <w:spacing w:line="240" w:lineRule="auto"/>
              <w:ind w:firstLine="0" w:firstLineChars="0"/>
              <w:jc w:val="center"/>
              <w:rPr>
                <w:color w:val="auto"/>
                <w:sz w:val="21"/>
                <w:szCs w:val="21"/>
                <w:highlight w:val="none"/>
              </w:rPr>
            </w:pPr>
            <w:r>
              <w:rPr>
                <w:color w:val="auto"/>
                <w:sz w:val="21"/>
                <w:szCs w:val="21"/>
                <w:highlight w:val="none"/>
              </w:rPr>
              <w:t>＜0.010</w:t>
            </w:r>
          </w:p>
        </w:tc>
        <w:tc>
          <w:tcPr>
            <w:tcW w:w="1305" w:type="dxa"/>
            <w:tcBorders>
              <w:tl2br w:val="nil"/>
              <w:tr2bl w:val="nil"/>
            </w:tcBorders>
            <w:vAlign w:val="center"/>
          </w:tcPr>
          <w:p w14:paraId="74F7B221">
            <w:pPr>
              <w:widowControl/>
              <w:spacing w:line="240" w:lineRule="auto"/>
              <w:ind w:firstLine="0" w:firstLineChars="0"/>
              <w:jc w:val="center"/>
              <w:textAlignment w:val="center"/>
              <w:rPr>
                <w:color w:val="auto"/>
                <w:sz w:val="21"/>
                <w:szCs w:val="21"/>
                <w:highlight w:val="none"/>
              </w:rPr>
            </w:pPr>
            <w:r>
              <w:rPr>
                <w:rFonts w:eastAsia="等线"/>
                <w:color w:val="auto"/>
                <w:sz w:val="21"/>
                <w:szCs w:val="21"/>
                <w:highlight w:val="none"/>
                <w:lang w:bidi="ar"/>
              </w:rPr>
              <w:t xml:space="preserve">0.88 </w:t>
            </w:r>
          </w:p>
        </w:tc>
        <w:tc>
          <w:tcPr>
            <w:tcW w:w="825" w:type="dxa"/>
            <w:tcBorders>
              <w:tl2br w:val="nil"/>
              <w:tr2bl w:val="nil"/>
            </w:tcBorders>
            <w:vAlign w:val="center"/>
          </w:tcPr>
          <w:p w14:paraId="5D7990F3">
            <w:pPr>
              <w:spacing w:line="240" w:lineRule="auto"/>
              <w:ind w:firstLine="0" w:firstLineChars="0"/>
              <w:jc w:val="center"/>
              <w:rPr>
                <w:color w:val="auto"/>
                <w:sz w:val="21"/>
                <w:szCs w:val="21"/>
                <w:highlight w:val="none"/>
              </w:rPr>
            </w:pPr>
            <w:r>
              <w:rPr>
                <w:color w:val="auto"/>
                <w:sz w:val="21"/>
                <w:szCs w:val="21"/>
                <w:highlight w:val="none"/>
              </w:rPr>
              <w:t>30.5</w:t>
            </w:r>
          </w:p>
        </w:tc>
        <w:tc>
          <w:tcPr>
            <w:tcW w:w="825" w:type="dxa"/>
            <w:tcBorders>
              <w:tl2br w:val="nil"/>
              <w:tr2bl w:val="nil"/>
            </w:tcBorders>
            <w:vAlign w:val="center"/>
          </w:tcPr>
          <w:p w14:paraId="1BBAA8F3">
            <w:pPr>
              <w:spacing w:line="240" w:lineRule="auto"/>
              <w:ind w:firstLine="0" w:firstLineChars="0"/>
              <w:jc w:val="center"/>
              <w:rPr>
                <w:color w:val="auto"/>
                <w:sz w:val="21"/>
                <w:szCs w:val="21"/>
                <w:highlight w:val="none"/>
              </w:rPr>
            </w:pPr>
            <w:r>
              <w:rPr>
                <w:color w:val="auto"/>
                <w:sz w:val="21"/>
                <w:szCs w:val="21"/>
                <w:highlight w:val="none"/>
              </w:rPr>
              <w:t>1009.1</w:t>
            </w:r>
          </w:p>
        </w:tc>
        <w:tc>
          <w:tcPr>
            <w:tcW w:w="1035" w:type="dxa"/>
            <w:tcBorders>
              <w:tl2br w:val="nil"/>
              <w:tr2bl w:val="nil"/>
            </w:tcBorders>
            <w:vAlign w:val="center"/>
          </w:tcPr>
          <w:p w14:paraId="62F0309E">
            <w:pPr>
              <w:spacing w:line="240" w:lineRule="auto"/>
              <w:ind w:firstLine="0" w:firstLineChars="0"/>
              <w:jc w:val="center"/>
              <w:rPr>
                <w:color w:val="auto"/>
                <w:sz w:val="21"/>
                <w:szCs w:val="21"/>
                <w:highlight w:val="none"/>
              </w:rPr>
            </w:pPr>
            <w:r>
              <w:rPr>
                <w:color w:val="auto"/>
                <w:sz w:val="21"/>
                <w:szCs w:val="21"/>
                <w:highlight w:val="none"/>
              </w:rPr>
              <w:t>66</w:t>
            </w:r>
          </w:p>
        </w:tc>
        <w:tc>
          <w:tcPr>
            <w:tcW w:w="915" w:type="dxa"/>
            <w:tcBorders>
              <w:tl2br w:val="nil"/>
              <w:tr2bl w:val="nil"/>
            </w:tcBorders>
            <w:vAlign w:val="center"/>
          </w:tcPr>
          <w:p w14:paraId="3385FC09">
            <w:pPr>
              <w:spacing w:line="240" w:lineRule="auto"/>
              <w:ind w:firstLine="0" w:firstLineChars="0"/>
              <w:jc w:val="center"/>
              <w:rPr>
                <w:color w:val="auto"/>
                <w:sz w:val="21"/>
                <w:szCs w:val="21"/>
                <w:highlight w:val="none"/>
              </w:rPr>
            </w:pPr>
            <w:r>
              <w:rPr>
                <w:color w:val="auto"/>
                <w:sz w:val="21"/>
                <w:szCs w:val="21"/>
                <w:highlight w:val="none"/>
              </w:rPr>
              <w:t>西南</w:t>
            </w:r>
          </w:p>
        </w:tc>
        <w:tc>
          <w:tcPr>
            <w:tcW w:w="803" w:type="dxa"/>
            <w:tcBorders>
              <w:tl2br w:val="nil"/>
              <w:tr2bl w:val="nil"/>
            </w:tcBorders>
            <w:vAlign w:val="center"/>
          </w:tcPr>
          <w:p w14:paraId="3622A88E">
            <w:pPr>
              <w:spacing w:line="240" w:lineRule="auto"/>
              <w:ind w:firstLine="0" w:firstLineChars="0"/>
              <w:jc w:val="center"/>
              <w:rPr>
                <w:color w:val="auto"/>
                <w:sz w:val="21"/>
                <w:szCs w:val="21"/>
                <w:highlight w:val="none"/>
              </w:rPr>
            </w:pPr>
            <w:r>
              <w:rPr>
                <w:color w:val="auto"/>
                <w:kern w:val="2"/>
                <w:sz w:val="21"/>
                <w:szCs w:val="21"/>
                <w:highlight w:val="none"/>
              </w:rPr>
              <w:t>1.8</w:t>
            </w:r>
          </w:p>
        </w:tc>
      </w:tr>
      <w:tr w14:paraId="076F85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774DC4C4">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7D828A1C">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13F95E91">
            <w:pPr>
              <w:spacing w:line="240" w:lineRule="auto"/>
              <w:ind w:firstLine="0" w:firstLineChars="0"/>
              <w:jc w:val="center"/>
              <w:rPr>
                <w:color w:val="auto"/>
                <w:sz w:val="21"/>
                <w:szCs w:val="21"/>
                <w:highlight w:val="none"/>
              </w:rPr>
            </w:pPr>
            <w:r>
              <w:rPr>
                <w:color w:val="auto"/>
                <w:sz w:val="21"/>
                <w:szCs w:val="21"/>
                <w:highlight w:val="none"/>
              </w:rPr>
              <w:t>4</w:t>
            </w:r>
          </w:p>
        </w:tc>
        <w:tc>
          <w:tcPr>
            <w:tcW w:w="1395" w:type="dxa"/>
            <w:tcBorders>
              <w:tl2br w:val="nil"/>
              <w:tr2bl w:val="nil"/>
            </w:tcBorders>
            <w:vAlign w:val="center"/>
          </w:tcPr>
          <w:p w14:paraId="60ADA708">
            <w:pPr>
              <w:spacing w:line="240" w:lineRule="auto"/>
              <w:ind w:firstLine="0" w:firstLineChars="0"/>
              <w:jc w:val="center"/>
              <w:rPr>
                <w:color w:val="auto"/>
                <w:sz w:val="21"/>
                <w:szCs w:val="21"/>
                <w:highlight w:val="none"/>
              </w:rPr>
            </w:pPr>
            <w:r>
              <w:rPr>
                <w:color w:val="auto"/>
                <w:sz w:val="21"/>
                <w:szCs w:val="21"/>
                <w:highlight w:val="none"/>
              </w:rPr>
              <w:t>＜0.010</w:t>
            </w:r>
          </w:p>
        </w:tc>
        <w:tc>
          <w:tcPr>
            <w:tcW w:w="1305" w:type="dxa"/>
            <w:tcBorders>
              <w:tl2br w:val="nil"/>
              <w:tr2bl w:val="nil"/>
            </w:tcBorders>
            <w:vAlign w:val="center"/>
          </w:tcPr>
          <w:p w14:paraId="00EDCD41">
            <w:pPr>
              <w:widowControl/>
              <w:spacing w:line="240" w:lineRule="auto"/>
              <w:ind w:firstLine="0" w:firstLineChars="0"/>
              <w:jc w:val="center"/>
              <w:textAlignment w:val="center"/>
              <w:rPr>
                <w:color w:val="auto"/>
                <w:sz w:val="21"/>
                <w:szCs w:val="21"/>
                <w:highlight w:val="none"/>
              </w:rPr>
            </w:pPr>
            <w:r>
              <w:rPr>
                <w:rFonts w:eastAsia="等线"/>
                <w:color w:val="auto"/>
                <w:sz w:val="21"/>
                <w:szCs w:val="21"/>
                <w:highlight w:val="none"/>
                <w:lang w:bidi="ar"/>
              </w:rPr>
              <w:t xml:space="preserve">0.88 </w:t>
            </w:r>
          </w:p>
        </w:tc>
        <w:tc>
          <w:tcPr>
            <w:tcW w:w="825" w:type="dxa"/>
            <w:tcBorders>
              <w:tl2br w:val="nil"/>
              <w:tr2bl w:val="nil"/>
            </w:tcBorders>
            <w:vAlign w:val="center"/>
          </w:tcPr>
          <w:p w14:paraId="3DE7E6F1">
            <w:pPr>
              <w:spacing w:line="240" w:lineRule="auto"/>
              <w:ind w:firstLine="0" w:firstLineChars="0"/>
              <w:jc w:val="center"/>
              <w:rPr>
                <w:color w:val="auto"/>
                <w:sz w:val="21"/>
                <w:szCs w:val="21"/>
                <w:highlight w:val="none"/>
              </w:rPr>
            </w:pPr>
            <w:r>
              <w:rPr>
                <w:color w:val="auto"/>
                <w:sz w:val="21"/>
                <w:szCs w:val="21"/>
                <w:highlight w:val="none"/>
              </w:rPr>
              <w:t>28.4</w:t>
            </w:r>
          </w:p>
        </w:tc>
        <w:tc>
          <w:tcPr>
            <w:tcW w:w="825" w:type="dxa"/>
            <w:tcBorders>
              <w:tl2br w:val="nil"/>
              <w:tr2bl w:val="nil"/>
            </w:tcBorders>
            <w:vAlign w:val="center"/>
          </w:tcPr>
          <w:p w14:paraId="04938B77">
            <w:pPr>
              <w:spacing w:line="240" w:lineRule="auto"/>
              <w:ind w:firstLine="0" w:firstLineChars="0"/>
              <w:jc w:val="center"/>
              <w:rPr>
                <w:color w:val="auto"/>
                <w:sz w:val="21"/>
                <w:szCs w:val="21"/>
                <w:highlight w:val="none"/>
              </w:rPr>
            </w:pPr>
            <w:r>
              <w:rPr>
                <w:color w:val="auto"/>
                <w:sz w:val="21"/>
                <w:szCs w:val="21"/>
                <w:highlight w:val="none"/>
              </w:rPr>
              <w:t>1009.8</w:t>
            </w:r>
          </w:p>
        </w:tc>
        <w:tc>
          <w:tcPr>
            <w:tcW w:w="1035" w:type="dxa"/>
            <w:tcBorders>
              <w:tl2br w:val="nil"/>
              <w:tr2bl w:val="nil"/>
            </w:tcBorders>
            <w:vAlign w:val="center"/>
          </w:tcPr>
          <w:p w14:paraId="2B59FFFD">
            <w:pPr>
              <w:spacing w:line="240" w:lineRule="auto"/>
              <w:ind w:firstLine="0" w:firstLineChars="0"/>
              <w:jc w:val="center"/>
              <w:rPr>
                <w:color w:val="auto"/>
                <w:sz w:val="21"/>
                <w:szCs w:val="21"/>
                <w:highlight w:val="none"/>
              </w:rPr>
            </w:pPr>
            <w:r>
              <w:rPr>
                <w:color w:val="auto"/>
                <w:sz w:val="21"/>
                <w:szCs w:val="21"/>
                <w:highlight w:val="none"/>
              </w:rPr>
              <w:t>74</w:t>
            </w:r>
          </w:p>
        </w:tc>
        <w:tc>
          <w:tcPr>
            <w:tcW w:w="915" w:type="dxa"/>
            <w:tcBorders>
              <w:tl2br w:val="nil"/>
              <w:tr2bl w:val="nil"/>
            </w:tcBorders>
            <w:vAlign w:val="center"/>
          </w:tcPr>
          <w:p w14:paraId="36BE69BF">
            <w:pPr>
              <w:spacing w:line="240" w:lineRule="auto"/>
              <w:ind w:firstLine="0" w:firstLineChars="0"/>
              <w:jc w:val="center"/>
              <w:rPr>
                <w:color w:val="auto"/>
                <w:sz w:val="21"/>
                <w:szCs w:val="21"/>
                <w:highlight w:val="none"/>
              </w:rPr>
            </w:pPr>
            <w:r>
              <w:rPr>
                <w:color w:val="auto"/>
                <w:sz w:val="21"/>
                <w:szCs w:val="21"/>
                <w:highlight w:val="none"/>
              </w:rPr>
              <w:t>西南</w:t>
            </w:r>
          </w:p>
        </w:tc>
        <w:tc>
          <w:tcPr>
            <w:tcW w:w="803" w:type="dxa"/>
            <w:tcBorders>
              <w:tl2br w:val="nil"/>
              <w:tr2bl w:val="nil"/>
            </w:tcBorders>
            <w:vAlign w:val="center"/>
          </w:tcPr>
          <w:p w14:paraId="41EBA040">
            <w:pPr>
              <w:spacing w:line="240" w:lineRule="auto"/>
              <w:ind w:firstLine="0" w:firstLineChars="0"/>
              <w:jc w:val="center"/>
              <w:rPr>
                <w:color w:val="auto"/>
                <w:sz w:val="21"/>
                <w:szCs w:val="21"/>
                <w:highlight w:val="none"/>
              </w:rPr>
            </w:pPr>
            <w:r>
              <w:rPr>
                <w:color w:val="auto"/>
                <w:kern w:val="2"/>
                <w:sz w:val="21"/>
                <w:szCs w:val="21"/>
                <w:highlight w:val="none"/>
              </w:rPr>
              <w:t>2.0</w:t>
            </w:r>
          </w:p>
        </w:tc>
      </w:tr>
      <w:tr w14:paraId="06990B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1336" w:type="pct"/>
            <w:gridSpan w:val="3"/>
            <w:tcBorders>
              <w:tl2br w:val="nil"/>
              <w:tr2bl w:val="nil"/>
            </w:tcBorders>
            <w:vAlign w:val="center"/>
          </w:tcPr>
          <w:p w14:paraId="5C57C576">
            <w:pPr>
              <w:spacing w:line="240" w:lineRule="auto"/>
              <w:ind w:firstLine="0" w:firstLineChars="0"/>
              <w:jc w:val="center"/>
              <w:rPr>
                <w:color w:val="auto"/>
                <w:sz w:val="21"/>
                <w:szCs w:val="21"/>
                <w:highlight w:val="none"/>
              </w:rPr>
            </w:pPr>
            <w:r>
              <w:rPr>
                <w:color w:val="auto"/>
                <w:sz w:val="21"/>
                <w:szCs w:val="21"/>
                <w:highlight w:val="none"/>
              </w:rPr>
              <w:t>标准限值</w:t>
            </w:r>
          </w:p>
        </w:tc>
        <w:tc>
          <w:tcPr>
            <w:tcW w:w="719" w:type="pct"/>
            <w:tcBorders>
              <w:tl2br w:val="nil"/>
              <w:tr2bl w:val="nil"/>
            </w:tcBorders>
            <w:vAlign w:val="center"/>
          </w:tcPr>
          <w:p w14:paraId="2E3F1836">
            <w:pPr>
              <w:spacing w:line="240" w:lineRule="auto"/>
              <w:ind w:firstLine="0" w:firstLineChars="0"/>
              <w:jc w:val="center"/>
              <w:rPr>
                <w:color w:val="auto"/>
                <w:sz w:val="21"/>
                <w:szCs w:val="21"/>
                <w:highlight w:val="none"/>
              </w:rPr>
            </w:pPr>
            <w:r>
              <w:rPr>
                <w:color w:val="auto"/>
                <w:sz w:val="21"/>
                <w:szCs w:val="21"/>
                <w:highlight w:val="none"/>
              </w:rPr>
              <w:t>1.2</w:t>
            </w:r>
          </w:p>
        </w:tc>
        <w:tc>
          <w:tcPr>
            <w:tcW w:w="673" w:type="pct"/>
            <w:tcBorders>
              <w:tl2br w:val="nil"/>
              <w:tr2bl w:val="nil"/>
            </w:tcBorders>
            <w:vAlign w:val="center"/>
          </w:tcPr>
          <w:p w14:paraId="45908903">
            <w:pPr>
              <w:spacing w:line="240" w:lineRule="auto"/>
              <w:ind w:firstLine="0" w:firstLineChars="0"/>
              <w:jc w:val="center"/>
              <w:rPr>
                <w:color w:val="auto"/>
                <w:sz w:val="21"/>
                <w:szCs w:val="21"/>
                <w:highlight w:val="none"/>
              </w:rPr>
            </w:pPr>
            <w:r>
              <w:rPr>
                <w:color w:val="auto"/>
                <w:sz w:val="21"/>
                <w:szCs w:val="21"/>
                <w:highlight w:val="none"/>
              </w:rPr>
              <w:t>4.0</w:t>
            </w:r>
          </w:p>
        </w:tc>
        <w:tc>
          <w:tcPr>
            <w:tcW w:w="825" w:type="dxa"/>
            <w:tcBorders>
              <w:tl2br w:val="nil"/>
              <w:tr2bl w:val="nil"/>
            </w:tcBorders>
            <w:vAlign w:val="center"/>
          </w:tcPr>
          <w:p w14:paraId="54E5172C">
            <w:pPr>
              <w:spacing w:line="240" w:lineRule="auto"/>
              <w:ind w:firstLine="0" w:firstLineChars="0"/>
              <w:jc w:val="center"/>
              <w:rPr>
                <w:color w:val="auto"/>
                <w:sz w:val="21"/>
                <w:szCs w:val="21"/>
                <w:highlight w:val="none"/>
              </w:rPr>
            </w:pPr>
            <w:r>
              <w:rPr>
                <w:color w:val="auto"/>
                <w:sz w:val="21"/>
                <w:szCs w:val="21"/>
                <w:highlight w:val="none"/>
              </w:rPr>
              <w:t>/</w:t>
            </w:r>
          </w:p>
        </w:tc>
        <w:tc>
          <w:tcPr>
            <w:tcW w:w="825" w:type="dxa"/>
            <w:tcBorders>
              <w:tl2br w:val="nil"/>
              <w:tr2bl w:val="nil"/>
            </w:tcBorders>
            <w:vAlign w:val="center"/>
          </w:tcPr>
          <w:p w14:paraId="73B6E014">
            <w:pPr>
              <w:spacing w:line="240" w:lineRule="auto"/>
              <w:ind w:firstLine="0" w:firstLineChars="0"/>
              <w:jc w:val="center"/>
              <w:rPr>
                <w:color w:val="auto"/>
                <w:sz w:val="21"/>
                <w:szCs w:val="21"/>
                <w:highlight w:val="none"/>
              </w:rPr>
            </w:pPr>
            <w:r>
              <w:rPr>
                <w:color w:val="auto"/>
                <w:sz w:val="21"/>
                <w:szCs w:val="21"/>
                <w:highlight w:val="none"/>
              </w:rPr>
              <w:t>/</w:t>
            </w:r>
          </w:p>
        </w:tc>
        <w:tc>
          <w:tcPr>
            <w:tcW w:w="1035" w:type="dxa"/>
            <w:tcBorders>
              <w:tl2br w:val="nil"/>
              <w:tr2bl w:val="nil"/>
            </w:tcBorders>
            <w:vAlign w:val="center"/>
          </w:tcPr>
          <w:p w14:paraId="49BF4B16">
            <w:pPr>
              <w:spacing w:line="240" w:lineRule="auto"/>
              <w:ind w:firstLine="0" w:firstLineChars="0"/>
              <w:jc w:val="center"/>
              <w:rPr>
                <w:color w:val="auto"/>
                <w:sz w:val="21"/>
                <w:szCs w:val="21"/>
                <w:highlight w:val="none"/>
              </w:rPr>
            </w:pPr>
            <w:r>
              <w:rPr>
                <w:color w:val="auto"/>
                <w:sz w:val="21"/>
                <w:szCs w:val="21"/>
                <w:highlight w:val="none"/>
              </w:rPr>
              <w:t>/</w:t>
            </w:r>
          </w:p>
        </w:tc>
        <w:tc>
          <w:tcPr>
            <w:tcW w:w="915" w:type="dxa"/>
            <w:tcBorders>
              <w:tl2br w:val="nil"/>
              <w:tr2bl w:val="nil"/>
            </w:tcBorders>
            <w:vAlign w:val="center"/>
          </w:tcPr>
          <w:p w14:paraId="4AB07384">
            <w:pPr>
              <w:spacing w:line="240" w:lineRule="auto"/>
              <w:ind w:firstLine="0" w:firstLineChars="0"/>
              <w:jc w:val="center"/>
              <w:rPr>
                <w:color w:val="auto"/>
                <w:sz w:val="21"/>
                <w:szCs w:val="21"/>
                <w:highlight w:val="none"/>
              </w:rPr>
            </w:pPr>
            <w:r>
              <w:rPr>
                <w:color w:val="auto"/>
                <w:sz w:val="21"/>
                <w:szCs w:val="21"/>
                <w:highlight w:val="none"/>
              </w:rPr>
              <w:t>/</w:t>
            </w:r>
          </w:p>
        </w:tc>
        <w:tc>
          <w:tcPr>
            <w:tcW w:w="803" w:type="dxa"/>
            <w:tcBorders>
              <w:tl2br w:val="nil"/>
              <w:tr2bl w:val="nil"/>
            </w:tcBorders>
            <w:vAlign w:val="center"/>
          </w:tcPr>
          <w:p w14:paraId="6E4C77B3">
            <w:pPr>
              <w:spacing w:line="240" w:lineRule="auto"/>
              <w:ind w:firstLine="0" w:firstLineChars="0"/>
              <w:jc w:val="center"/>
              <w:rPr>
                <w:color w:val="auto"/>
                <w:sz w:val="21"/>
                <w:szCs w:val="21"/>
                <w:highlight w:val="none"/>
              </w:rPr>
            </w:pPr>
            <w:r>
              <w:rPr>
                <w:color w:val="auto"/>
                <w:sz w:val="21"/>
                <w:szCs w:val="21"/>
                <w:highlight w:val="none"/>
              </w:rPr>
              <w:t>/</w:t>
            </w:r>
          </w:p>
        </w:tc>
      </w:tr>
      <w:tr w14:paraId="08420D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1336" w:type="pct"/>
            <w:gridSpan w:val="3"/>
            <w:tcBorders>
              <w:tl2br w:val="nil"/>
              <w:tr2bl w:val="nil"/>
            </w:tcBorders>
            <w:vAlign w:val="center"/>
          </w:tcPr>
          <w:p w14:paraId="38620394">
            <w:pPr>
              <w:spacing w:line="240" w:lineRule="auto"/>
              <w:ind w:firstLine="0" w:firstLineChars="0"/>
              <w:jc w:val="center"/>
              <w:rPr>
                <w:color w:val="auto"/>
                <w:sz w:val="21"/>
                <w:szCs w:val="21"/>
                <w:highlight w:val="none"/>
              </w:rPr>
            </w:pPr>
            <w:r>
              <w:rPr>
                <w:color w:val="auto"/>
                <w:sz w:val="21"/>
                <w:szCs w:val="21"/>
                <w:highlight w:val="none"/>
              </w:rPr>
              <w:t>标准限值</w:t>
            </w:r>
          </w:p>
        </w:tc>
        <w:tc>
          <w:tcPr>
            <w:tcW w:w="719" w:type="pct"/>
            <w:tcBorders>
              <w:tl2br w:val="nil"/>
              <w:tr2bl w:val="nil"/>
            </w:tcBorders>
            <w:vAlign w:val="center"/>
          </w:tcPr>
          <w:p w14:paraId="233017CA">
            <w:pPr>
              <w:spacing w:line="240" w:lineRule="auto"/>
              <w:ind w:firstLine="0" w:firstLineChars="0"/>
              <w:jc w:val="center"/>
              <w:rPr>
                <w:color w:val="auto"/>
                <w:sz w:val="21"/>
                <w:szCs w:val="21"/>
                <w:highlight w:val="none"/>
              </w:rPr>
            </w:pPr>
            <w:r>
              <w:rPr>
                <w:color w:val="auto"/>
                <w:sz w:val="21"/>
                <w:szCs w:val="21"/>
                <w:highlight w:val="none"/>
              </w:rPr>
              <w:t>1.2</w:t>
            </w:r>
          </w:p>
        </w:tc>
        <w:tc>
          <w:tcPr>
            <w:tcW w:w="673" w:type="pct"/>
            <w:tcBorders>
              <w:tl2br w:val="nil"/>
              <w:tr2bl w:val="nil"/>
            </w:tcBorders>
            <w:vAlign w:val="center"/>
          </w:tcPr>
          <w:p w14:paraId="070D5DC1">
            <w:pPr>
              <w:spacing w:line="240" w:lineRule="auto"/>
              <w:ind w:firstLine="0" w:firstLineChars="0"/>
              <w:jc w:val="center"/>
              <w:rPr>
                <w:color w:val="auto"/>
                <w:sz w:val="21"/>
                <w:szCs w:val="21"/>
                <w:highlight w:val="none"/>
              </w:rPr>
            </w:pPr>
            <w:r>
              <w:rPr>
                <w:color w:val="auto"/>
                <w:sz w:val="21"/>
                <w:szCs w:val="21"/>
                <w:highlight w:val="none"/>
              </w:rPr>
              <w:t>4.0</w:t>
            </w:r>
          </w:p>
        </w:tc>
        <w:tc>
          <w:tcPr>
            <w:tcW w:w="825" w:type="dxa"/>
            <w:tcBorders>
              <w:tl2br w:val="nil"/>
              <w:tr2bl w:val="nil"/>
            </w:tcBorders>
            <w:vAlign w:val="center"/>
          </w:tcPr>
          <w:p w14:paraId="26D25F86">
            <w:pPr>
              <w:spacing w:line="240" w:lineRule="auto"/>
              <w:ind w:firstLine="0" w:firstLineChars="0"/>
              <w:jc w:val="center"/>
              <w:rPr>
                <w:color w:val="auto"/>
                <w:sz w:val="21"/>
                <w:szCs w:val="21"/>
                <w:highlight w:val="none"/>
              </w:rPr>
            </w:pPr>
            <w:r>
              <w:rPr>
                <w:b/>
                <w:bCs/>
                <w:color w:val="auto"/>
                <w:sz w:val="21"/>
                <w:szCs w:val="21"/>
                <w:highlight w:val="none"/>
              </w:rPr>
              <w:t>/</w:t>
            </w:r>
          </w:p>
        </w:tc>
        <w:tc>
          <w:tcPr>
            <w:tcW w:w="825" w:type="dxa"/>
            <w:tcBorders>
              <w:tl2br w:val="nil"/>
              <w:tr2bl w:val="nil"/>
            </w:tcBorders>
            <w:vAlign w:val="center"/>
          </w:tcPr>
          <w:p w14:paraId="6FA76A2C">
            <w:pPr>
              <w:spacing w:line="240" w:lineRule="auto"/>
              <w:ind w:firstLine="0" w:firstLineChars="0"/>
              <w:jc w:val="center"/>
              <w:rPr>
                <w:color w:val="auto"/>
                <w:sz w:val="21"/>
                <w:szCs w:val="21"/>
                <w:highlight w:val="none"/>
              </w:rPr>
            </w:pPr>
            <w:r>
              <w:rPr>
                <w:b/>
                <w:bCs/>
                <w:color w:val="auto"/>
                <w:sz w:val="21"/>
                <w:szCs w:val="21"/>
                <w:highlight w:val="none"/>
              </w:rPr>
              <w:t>/</w:t>
            </w:r>
          </w:p>
        </w:tc>
        <w:tc>
          <w:tcPr>
            <w:tcW w:w="1035" w:type="dxa"/>
            <w:tcBorders>
              <w:tl2br w:val="nil"/>
              <w:tr2bl w:val="nil"/>
            </w:tcBorders>
            <w:vAlign w:val="center"/>
          </w:tcPr>
          <w:p w14:paraId="04A119AB">
            <w:pPr>
              <w:spacing w:line="240" w:lineRule="auto"/>
              <w:ind w:firstLine="0" w:firstLineChars="0"/>
              <w:jc w:val="center"/>
              <w:rPr>
                <w:color w:val="auto"/>
                <w:sz w:val="21"/>
                <w:szCs w:val="21"/>
                <w:highlight w:val="none"/>
              </w:rPr>
            </w:pPr>
            <w:r>
              <w:rPr>
                <w:b/>
                <w:bCs/>
                <w:color w:val="auto"/>
                <w:sz w:val="21"/>
                <w:szCs w:val="21"/>
                <w:highlight w:val="none"/>
              </w:rPr>
              <w:t>/</w:t>
            </w:r>
          </w:p>
        </w:tc>
        <w:tc>
          <w:tcPr>
            <w:tcW w:w="915" w:type="dxa"/>
            <w:tcBorders>
              <w:tl2br w:val="nil"/>
              <w:tr2bl w:val="nil"/>
            </w:tcBorders>
            <w:vAlign w:val="center"/>
          </w:tcPr>
          <w:p w14:paraId="33625604">
            <w:pPr>
              <w:spacing w:line="240" w:lineRule="auto"/>
              <w:ind w:firstLine="0" w:firstLineChars="0"/>
              <w:jc w:val="center"/>
              <w:rPr>
                <w:color w:val="auto"/>
                <w:sz w:val="21"/>
                <w:szCs w:val="21"/>
                <w:highlight w:val="none"/>
              </w:rPr>
            </w:pPr>
            <w:r>
              <w:rPr>
                <w:b/>
                <w:bCs/>
                <w:color w:val="auto"/>
                <w:sz w:val="21"/>
                <w:szCs w:val="21"/>
                <w:highlight w:val="none"/>
              </w:rPr>
              <w:t>/</w:t>
            </w:r>
          </w:p>
        </w:tc>
        <w:tc>
          <w:tcPr>
            <w:tcW w:w="803" w:type="dxa"/>
            <w:tcBorders>
              <w:tl2br w:val="nil"/>
              <w:tr2bl w:val="nil"/>
            </w:tcBorders>
            <w:vAlign w:val="center"/>
          </w:tcPr>
          <w:p w14:paraId="5E8AA753">
            <w:pPr>
              <w:spacing w:line="240" w:lineRule="auto"/>
              <w:ind w:firstLine="0" w:firstLineChars="0"/>
              <w:jc w:val="center"/>
              <w:rPr>
                <w:color w:val="auto"/>
                <w:sz w:val="21"/>
                <w:szCs w:val="21"/>
                <w:highlight w:val="none"/>
              </w:rPr>
            </w:pPr>
            <w:r>
              <w:rPr>
                <w:b/>
                <w:bCs/>
                <w:color w:val="auto"/>
                <w:sz w:val="21"/>
                <w:szCs w:val="21"/>
                <w:highlight w:val="none"/>
              </w:rPr>
              <w:t>/</w:t>
            </w:r>
          </w:p>
        </w:tc>
      </w:tr>
      <w:tr w14:paraId="7F89B3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restart"/>
            <w:tcBorders>
              <w:tl2br w:val="nil"/>
              <w:tr2bl w:val="nil"/>
            </w:tcBorders>
            <w:vAlign w:val="center"/>
          </w:tcPr>
          <w:p w14:paraId="68FE1C4D">
            <w:pPr>
              <w:spacing w:line="240" w:lineRule="auto"/>
              <w:ind w:firstLine="0" w:firstLineChars="0"/>
              <w:jc w:val="center"/>
              <w:rPr>
                <w:color w:val="auto"/>
                <w:sz w:val="21"/>
                <w:szCs w:val="21"/>
                <w:highlight w:val="none"/>
              </w:rPr>
            </w:pPr>
            <w:r>
              <w:rPr>
                <w:rFonts w:hint="eastAsia"/>
                <w:color w:val="auto"/>
                <w:sz w:val="21"/>
                <w:szCs w:val="21"/>
                <w:highlight w:val="none"/>
              </w:rPr>
              <w:t>2023年</w:t>
            </w:r>
            <w:r>
              <w:rPr>
                <w:color w:val="auto"/>
                <w:sz w:val="21"/>
                <w:szCs w:val="21"/>
                <w:highlight w:val="none"/>
              </w:rPr>
              <w:t>5月</w:t>
            </w:r>
          </w:p>
          <w:p w14:paraId="77909F18">
            <w:pPr>
              <w:spacing w:line="240" w:lineRule="auto"/>
              <w:ind w:firstLine="0" w:firstLineChars="0"/>
              <w:jc w:val="center"/>
              <w:rPr>
                <w:color w:val="auto"/>
                <w:sz w:val="21"/>
                <w:szCs w:val="21"/>
                <w:highlight w:val="none"/>
              </w:rPr>
            </w:pPr>
            <w:r>
              <w:rPr>
                <w:color w:val="auto"/>
                <w:sz w:val="21"/>
                <w:szCs w:val="21"/>
                <w:highlight w:val="none"/>
              </w:rPr>
              <w:t>1</w:t>
            </w:r>
            <w:r>
              <w:rPr>
                <w:rFonts w:hint="eastAsia"/>
                <w:color w:val="auto"/>
                <w:sz w:val="21"/>
                <w:szCs w:val="21"/>
                <w:highlight w:val="none"/>
              </w:rPr>
              <w:t>7</w:t>
            </w:r>
            <w:r>
              <w:rPr>
                <w:color w:val="auto"/>
                <w:sz w:val="21"/>
                <w:szCs w:val="21"/>
                <w:highlight w:val="none"/>
              </w:rPr>
              <w:t>日</w:t>
            </w:r>
          </w:p>
        </w:tc>
        <w:tc>
          <w:tcPr>
            <w:tcW w:w="657" w:type="pct"/>
            <w:vMerge w:val="restart"/>
            <w:tcBorders>
              <w:tl2br w:val="nil"/>
              <w:tr2bl w:val="nil"/>
            </w:tcBorders>
            <w:vAlign w:val="center"/>
          </w:tcPr>
          <w:p w14:paraId="023455DB">
            <w:pPr>
              <w:spacing w:line="240" w:lineRule="auto"/>
              <w:ind w:firstLine="0" w:firstLineChars="0"/>
              <w:jc w:val="center"/>
              <w:rPr>
                <w:color w:val="auto"/>
                <w:sz w:val="21"/>
                <w:szCs w:val="21"/>
                <w:highlight w:val="none"/>
              </w:rPr>
            </w:pPr>
            <w:r>
              <w:rPr>
                <w:color w:val="auto"/>
                <w:sz w:val="21"/>
                <w:szCs w:val="21"/>
                <w:highlight w:val="none"/>
              </w:rPr>
              <w:t>G4项目舾装码头厂区内监测点</w:t>
            </w:r>
          </w:p>
        </w:tc>
        <w:tc>
          <w:tcPr>
            <w:tcW w:w="324" w:type="pct"/>
            <w:tcBorders>
              <w:tl2br w:val="nil"/>
              <w:tr2bl w:val="nil"/>
            </w:tcBorders>
            <w:vAlign w:val="center"/>
          </w:tcPr>
          <w:p w14:paraId="2CCE6908">
            <w:pPr>
              <w:spacing w:line="240" w:lineRule="auto"/>
              <w:ind w:firstLine="0" w:firstLineChars="0"/>
              <w:jc w:val="center"/>
              <w:rPr>
                <w:color w:val="auto"/>
                <w:sz w:val="21"/>
                <w:szCs w:val="21"/>
                <w:highlight w:val="none"/>
              </w:rPr>
            </w:pPr>
            <w:r>
              <w:rPr>
                <w:color w:val="auto"/>
                <w:sz w:val="21"/>
                <w:szCs w:val="21"/>
                <w:highlight w:val="none"/>
              </w:rPr>
              <w:t>1</w:t>
            </w:r>
          </w:p>
        </w:tc>
        <w:tc>
          <w:tcPr>
            <w:tcW w:w="719" w:type="pct"/>
            <w:tcBorders>
              <w:tl2br w:val="nil"/>
              <w:tr2bl w:val="nil"/>
            </w:tcBorders>
            <w:vAlign w:val="center"/>
          </w:tcPr>
          <w:p w14:paraId="05A033C6">
            <w:pPr>
              <w:spacing w:line="240" w:lineRule="auto"/>
              <w:ind w:firstLine="0" w:firstLineChars="0"/>
              <w:jc w:val="center"/>
              <w:rPr>
                <w:color w:val="auto"/>
                <w:sz w:val="21"/>
                <w:szCs w:val="21"/>
                <w:highlight w:val="none"/>
              </w:rPr>
            </w:pPr>
            <w:r>
              <w:rPr>
                <w:color w:val="auto"/>
                <w:sz w:val="21"/>
                <w:szCs w:val="21"/>
                <w:highlight w:val="none"/>
              </w:rPr>
              <w:t>/</w:t>
            </w:r>
          </w:p>
        </w:tc>
        <w:tc>
          <w:tcPr>
            <w:tcW w:w="1305" w:type="dxa"/>
            <w:tcBorders>
              <w:tl2br w:val="nil"/>
              <w:tr2bl w:val="nil"/>
            </w:tcBorders>
            <w:vAlign w:val="center"/>
          </w:tcPr>
          <w:p w14:paraId="6DEEF191">
            <w:pPr>
              <w:spacing w:line="240" w:lineRule="auto"/>
              <w:ind w:firstLine="0" w:firstLineChars="0"/>
              <w:jc w:val="center"/>
              <w:rPr>
                <w:color w:val="auto"/>
                <w:sz w:val="21"/>
                <w:szCs w:val="21"/>
                <w:highlight w:val="none"/>
              </w:rPr>
            </w:pPr>
            <w:r>
              <w:rPr>
                <w:color w:val="auto"/>
                <w:sz w:val="21"/>
                <w:szCs w:val="21"/>
                <w:highlight w:val="none"/>
              </w:rPr>
              <w:t xml:space="preserve">0.75 </w:t>
            </w:r>
          </w:p>
        </w:tc>
        <w:tc>
          <w:tcPr>
            <w:tcW w:w="825" w:type="dxa"/>
            <w:tcBorders>
              <w:tl2br w:val="nil"/>
              <w:tr2bl w:val="nil"/>
            </w:tcBorders>
            <w:vAlign w:val="center"/>
          </w:tcPr>
          <w:p w14:paraId="02B64230">
            <w:pPr>
              <w:spacing w:line="240" w:lineRule="auto"/>
              <w:ind w:firstLine="0" w:firstLineChars="0"/>
              <w:jc w:val="center"/>
              <w:rPr>
                <w:color w:val="auto"/>
                <w:sz w:val="21"/>
                <w:szCs w:val="21"/>
                <w:highlight w:val="none"/>
              </w:rPr>
            </w:pPr>
            <w:r>
              <w:rPr>
                <w:color w:val="auto"/>
                <w:sz w:val="21"/>
                <w:szCs w:val="21"/>
                <w:highlight w:val="none"/>
              </w:rPr>
              <w:t>25.5</w:t>
            </w:r>
          </w:p>
        </w:tc>
        <w:tc>
          <w:tcPr>
            <w:tcW w:w="825" w:type="dxa"/>
            <w:tcBorders>
              <w:tl2br w:val="nil"/>
              <w:tr2bl w:val="nil"/>
            </w:tcBorders>
            <w:vAlign w:val="center"/>
          </w:tcPr>
          <w:p w14:paraId="2515DE51">
            <w:pPr>
              <w:spacing w:line="240" w:lineRule="auto"/>
              <w:ind w:firstLine="0" w:firstLineChars="0"/>
              <w:jc w:val="center"/>
              <w:rPr>
                <w:color w:val="auto"/>
                <w:sz w:val="21"/>
                <w:szCs w:val="21"/>
                <w:highlight w:val="none"/>
              </w:rPr>
            </w:pPr>
            <w:r>
              <w:rPr>
                <w:color w:val="auto"/>
                <w:sz w:val="21"/>
                <w:szCs w:val="21"/>
                <w:highlight w:val="none"/>
              </w:rPr>
              <w:t>1011.0</w:t>
            </w:r>
          </w:p>
        </w:tc>
        <w:tc>
          <w:tcPr>
            <w:tcW w:w="1035" w:type="dxa"/>
            <w:tcBorders>
              <w:tl2br w:val="nil"/>
              <w:tr2bl w:val="nil"/>
            </w:tcBorders>
            <w:vAlign w:val="center"/>
          </w:tcPr>
          <w:p w14:paraId="52FE89B7">
            <w:pPr>
              <w:spacing w:line="240" w:lineRule="auto"/>
              <w:ind w:firstLine="0" w:firstLineChars="0"/>
              <w:jc w:val="center"/>
              <w:rPr>
                <w:color w:val="auto"/>
                <w:sz w:val="21"/>
                <w:szCs w:val="21"/>
                <w:highlight w:val="none"/>
              </w:rPr>
            </w:pPr>
            <w:r>
              <w:rPr>
                <w:color w:val="auto"/>
                <w:sz w:val="21"/>
                <w:szCs w:val="21"/>
                <w:highlight w:val="none"/>
              </w:rPr>
              <w:t>80</w:t>
            </w:r>
          </w:p>
        </w:tc>
        <w:tc>
          <w:tcPr>
            <w:tcW w:w="915" w:type="dxa"/>
            <w:tcBorders>
              <w:tl2br w:val="nil"/>
              <w:tr2bl w:val="nil"/>
            </w:tcBorders>
            <w:vAlign w:val="center"/>
          </w:tcPr>
          <w:p w14:paraId="09F61C7B">
            <w:pPr>
              <w:spacing w:line="240" w:lineRule="auto"/>
              <w:ind w:firstLine="0" w:firstLineChars="0"/>
              <w:jc w:val="center"/>
              <w:rPr>
                <w:color w:val="auto"/>
                <w:sz w:val="21"/>
                <w:szCs w:val="21"/>
                <w:highlight w:val="none"/>
              </w:rPr>
            </w:pPr>
            <w:r>
              <w:rPr>
                <w:color w:val="auto"/>
                <w:sz w:val="21"/>
                <w:szCs w:val="21"/>
                <w:highlight w:val="none"/>
              </w:rPr>
              <w:t>西南</w:t>
            </w:r>
          </w:p>
        </w:tc>
        <w:tc>
          <w:tcPr>
            <w:tcW w:w="803" w:type="dxa"/>
            <w:tcBorders>
              <w:tl2br w:val="nil"/>
              <w:tr2bl w:val="nil"/>
            </w:tcBorders>
            <w:vAlign w:val="center"/>
          </w:tcPr>
          <w:p w14:paraId="41AF5CD8">
            <w:pPr>
              <w:spacing w:line="240" w:lineRule="auto"/>
              <w:ind w:firstLine="0" w:firstLineChars="0"/>
              <w:jc w:val="center"/>
              <w:rPr>
                <w:color w:val="auto"/>
                <w:sz w:val="21"/>
                <w:szCs w:val="21"/>
                <w:highlight w:val="none"/>
              </w:rPr>
            </w:pPr>
            <w:r>
              <w:rPr>
                <w:color w:val="auto"/>
                <w:sz w:val="21"/>
                <w:szCs w:val="21"/>
                <w:highlight w:val="none"/>
              </w:rPr>
              <w:t>2.4</w:t>
            </w:r>
          </w:p>
        </w:tc>
      </w:tr>
      <w:tr w14:paraId="185242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60AD42A2">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71E23237">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0DAD615E">
            <w:pPr>
              <w:spacing w:line="240" w:lineRule="auto"/>
              <w:ind w:firstLine="0" w:firstLineChars="0"/>
              <w:jc w:val="center"/>
              <w:rPr>
                <w:color w:val="auto"/>
                <w:sz w:val="21"/>
                <w:szCs w:val="21"/>
                <w:highlight w:val="none"/>
              </w:rPr>
            </w:pPr>
            <w:r>
              <w:rPr>
                <w:color w:val="auto"/>
                <w:sz w:val="21"/>
                <w:szCs w:val="21"/>
                <w:highlight w:val="none"/>
              </w:rPr>
              <w:t>2</w:t>
            </w:r>
          </w:p>
        </w:tc>
        <w:tc>
          <w:tcPr>
            <w:tcW w:w="719" w:type="pct"/>
            <w:tcBorders>
              <w:tl2br w:val="nil"/>
              <w:tr2bl w:val="nil"/>
            </w:tcBorders>
            <w:vAlign w:val="center"/>
          </w:tcPr>
          <w:p w14:paraId="4F7D1084">
            <w:pPr>
              <w:spacing w:line="240" w:lineRule="auto"/>
              <w:ind w:firstLine="0" w:firstLineChars="0"/>
              <w:jc w:val="center"/>
              <w:rPr>
                <w:color w:val="auto"/>
                <w:sz w:val="21"/>
                <w:szCs w:val="21"/>
                <w:highlight w:val="none"/>
              </w:rPr>
            </w:pPr>
            <w:r>
              <w:rPr>
                <w:color w:val="auto"/>
                <w:sz w:val="21"/>
                <w:szCs w:val="21"/>
                <w:highlight w:val="none"/>
              </w:rPr>
              <w:t>/</w:t>
            </w:r>
          </w:p>
        </w:tc>
        <w:tc>
          <w:tcPr>
            <w:tcW w:w="1305" w:type="dxa"/>
            <w:tcBorders>
              <w:tl2br w:val="nil"/>
              <w:tr2bl w:val="nil"/>
            </w:tcBorders>
            <w:vAlign w:val="center"/>
          </w:tcPr>
          <w:p w14:paraId="0BEF68BB">
            <w:pPr>
              <w:spacing w:line="240" w:lineRule="auto"/>
              <w:ind w:firstLine="0" w:firstLineChars="0"/>
              <w:jc w:val="center"/>
              <w:rPr>
                <w:color w:val="auto"/>
                <w:sz w:val="21"/>
                <w:szCs w:val="21"/>
                <w:highlight w:val="none"/>
              </w:rPr>
            </w:pPr>
            <w:r>
              <w:rPr>
                <w:color w:val="auto"/>
                <w:sz w:val="21"/>
                <w:szCs w:val="21"/>
                <w:highlight w:val="none"/>
              </w:rPr>
              <w:t xml:space="preserve">0.76 </w:t>
            </w:r>
          </w:p>
        </w:tc>
        <w:tc>
          <w:tcPr>
            <w:tcW w:w="825" w:type="dxa"/>
            <w:tcBorders>
              <w:tl2br w:val="nil"/>
              <w:tr2bl w:val="nil"/>
            </w:tcBorders>
            <w:vAlign w:val="center"/>
          </w:tcPr>
          <w:p w14:paraId="7A917A10">
            <w:pPr>
              <w:spacing w:line="240" w:lineRule="auto"/>
              <w:ind w:firstLine="0" w:firstLineChars="0"/>
              <w:jc w:val="center"/>
              <w:rPr>
                <w:color w:val="auto"/>
                <w:sz w:val="21"/>
                <w:szCs w:val="21"/>
                <w:highlight w:val="none"/>
              </w:rPr>
            </w:pPr>
            <w:r>
              <w:rPr>
                <w:color w:val="auto"/>
                <w:sz w:val="21"/>
                <w:szCs w:val="21"/>
                <w:highlight w:val="none"/>
              </w:rPr>
              <w:t>27.0</w:t>
            </w:r>
          </w:p>
        </w:tc>
        <w:tc>
          <w:tcPr>
            <w:tcW w:w="825" w:type="dxa"/>
            <w:tcBorders>
              <w:tl2br w:val="nil"/>
              <w:tr2bl w:val="nil"/>
            </w:tcBorders>
            <w:vAlign w:val="center"/>
          </w:tcPr>
          <w:p w14:paraId="3A04B77E">
            <w:pPr>
              <w:spacing w:line="240" w:lineRule="auto"/>
              <w:ind w:firstLine="0" w:firstLineChars="0"/>
              <w:jc w:val="center"/>
              <w:rPr>
                <w:color w:val="auto"/>
                <w:sz w:val="21"/>
                <w:szCs w:val="21"/>
                <w:highlight w:val="none"/>
              </w:rPr>
            </w:pPr>
            <w:r>
              <w:rPr>
                <w:color w:val="auto"/>
                <w:sz w:val="21"/>
                <w:szCs w:val="21"/>
                <w:highlight w:val="none"/>
              </w:rPr>
              <w:t>1010.8</w:t>
            </w:r>
          </w:p>
        </w:tc>
        <w:tc>
          <w:tcPr>
            <w:tcW w:w="1035" w:type="dxa"/>
            <w:tcBorders>
              <w:tl2br w:val="nil"/>
              <w:tr2bl w:val="nil"/>
            </w:tcBorders>
            <w:vAlign w:val="center"/>
          </w:tcPr>
          <w:p w14:paraId="62002407">
            <w:pPr>
              <w:spacing w:line="240" w:lineRule="auto"/>
              <w:ind w:firstLine="0" w:firstLineChars="0"/>
              <w:jc w:val="center"/>
              <w:rPr>
                <w:color w:val="auto"/>
                <w:sz w:val="21"/>
                <w:szCs w:val="21"/>
                <w:highlight w:val="none"/>
              </w:rPr>
            </w:pPr>
            <w:r>
              <w:rPr>
                <w:color w:val="auto"/>
                <w:sz w:val="21"/>
                <w:szCs w:val="21"/>
                <w:highlight w:val="none"/>
              </w:rPr>
              <w:t>78</w:t>
            </w:r>
          </w:p>
        </w:tc>
        <w:tc>
          <w:tcPr>
            <w:tcW w:w="915" w:type="dxa"/>
            <w:tcBorders>
              <w:tl2br w:val="nil"/>
              <w:tr2bl w:val="nil"/>
            </w:tcBorders>
            <w:vAlign w:val="center"/>
          </w:tcPr>
          <w:p w14:paraId="3A7316C8">
            <w:pPr>
              <w:spacing w:line="240" w:lineRule="auto"/>
              <w:ind w:firstLine="0" w:firstLineChars="0"/>
              <w:jc w:val="center"/>
              <w:rPr>
                <w:color w:val="auto"/>
                <w:sz w:val="21"/>
                <w:szCs w:val="21"/>
                <w:highlight w:val="none"/>
              </w:rPr>
            </w:pPr>
            <w:r>
              <w:rPr>
                <w:color w:val="auto"/>
                <w:sz w:val="21"/>
                <w:szCs w:val="21"/>
                <w:highlight w:val="none"/>
              </w:rPr>
              <w:t>南</w:t>
            </w:r>
          </w:p>
        </w:tc>
        <w:tc>
          <w:tcPr>
            <w:tcW w:w="803" w:type="dxa"/>
            <w:tcBorders>
              <w:tl2br w:val="nil"/>
              <w:tr2bl w:val="nil"/>
            </w:tcBorders>
            <w:vAlign w:val="center"/>
          </w:tcPr>
          <w:p w14:paraId="6C3DC242">
            <w:pPr>
              <w:spacing w:line="240" w:lineRule="auto"/>
              <w:ind w:firstLine="0" w:firstLineChars="0"/>
              <w:jc w:val="center"/>
              <w:rPr>
                <w:color w:val="auto"/>
                <w:sz w:val="21"/>
                <w:szCs w:val="21"/>
                <w:highlight w:val="none"/>
              </w:rPr>
            </w:pPr>
            <w:r>
              <w:rPr>
                <w:color w:val="auto"/>
                <w:sz w:val="21"/>
                <w:szCs w:val="21"/>
                <w:highlight w:val="none"/>
              </w:rPr>
              <w:t>2.1</w:t>
            </w:r>
          </w:p>
        </w:tc>
      </w:tr>
      <w:tr w14:paraId="355F61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26C96C5D">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184EFF8F">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29AEC746">
            <w:pPr>
              <w:spacing w:line="240" w:lineRule="auto"/>
              <w:ind w:firstLine="0" w:firstLineChars="0"/>
              <w:jc w:val="center"/>
              <w:rPr>
                <w:color w:val="auto"/>
                <w:sz w:val="21"/>
                <w:szCs w:val="21"/>
                <w:highlight w:val="none"/>
              </w:rPr>
            </w:pPr>
            <w:r>
              <w:rPr>
                <w:color w:val="auto"/>
                <w:sz w:val="21"/>
                <w:szCs w:val="21"/>
                <w:highlight w:val="none"/>
              </w:rPr>
              <w:t>3</w:t>
            </w:r>
          </w:p>
        </w:tc>
        <w:tc>
          <w:tcPr>
            <w:tcW w:w="719" w:type="pct"/>
            <w:tcBorders>
              <w:tl2br w:val="nil"/>
              <w:tr2bl w:val="nil"/>
            </w:tcBorders>
            <w:vAlign w:val="center"/>
          </w:tcPr>
          <w:p w14:paraId="311F965B">
            <w:pPr>
              <w:spacing w:line="240" w:lineRule="auto"/>
              <w:ind w:firstLine="0" w:firstLineChars="0"/>
              <w:jc w:val="center"/>
              <w:rPr>
                <w:color w:val="auto"/>
                <w:sz w:val="21"/>
                <w:szCs w:val="21"/>
                <w:highlight w:val="none"/>
              </w:rPr>
            </w:pPr>
            <w:r>
              <w:rPr>
                <w:color w:val="auto"/>
                <w:sz w:val="21"/>
                <w:szCs w:val="21"/>
                <w:highlight w:val="none"/>
              </w:rPr>
              <w:t>/</w:t>
            </w:r>
          </w:p>
        </w:tc>
        <w:tc>
          <w:tcPr>
            <w:tcW w:w="1305" w:type="dxa"/>
            <w:tcBorders>
              <w:tl2br w:val="nil"/>
              <w:tr2bl w:val="nil"/>
            </w:tcBorders>
            <w:vAlign w:val="center"/>
          </w:tcPr>
          <w:p w14:paraId="23D7F74E">
            <w:pPr>
              <w:spacing w:line="240" w:lineRule="auto"/>
              <w:ind w:firstLine="0" w:firstLineChars="0"/>
              <w:jc w:val="center"/>
              <w:rPr>
                <w:color w:val="auto"/>
                <w:sz w:val="21"/>
                <w:szCs w:val="21"/>
                <w:highlight w:val="none"/>
              </w:rPr>
            </w:pPr>
            <w:r>
              <w:rPr>
                <w:color w:val="auto"/>
                <w:sz w:val="21"/>
                <w:szCs w:val="21"/>
                <w:highlight w:val="none"/>
              </w:rPr>
              <w:t xml:space="preserve">0.80 </w:t>
            </w:r>
          </w:p>
        </w:tc>
        <w:tc>
          <w:tcPr>
            <w:tcW w:w="825" w:type="dxa"/>
            <w:tcBorders>
              <w:tl2br w:val="nil"/>
              <w:tr2bl w:val="nil"/>
            </w:tcBorders>
            <w:vAlign w:val="center"/>
          </w:tcPr>
          <w:p w14:paraId="2F37216F">
            <w:pPr>
              <w:spacing w:line="240" w:lineRule="auto"/>
              <w:ind w:firstLine="0" w:firstLineChars="0"/>
              <w:jc w:val="center"/>
              <w:rPr>
                <w:color w:val="auto"/>
                <w:sz w:val="21"/>
                <w:szCs w:val="21"/>
                <w:highlight w:val="none"/>
              </w:rPr>
            </w:pPr>
            <w:r>
              <w:rPr>
                <w:color w:val="auto"/>
                <w:sz w:val="21"/>
                <w:szCs w:val="21"/>
                <w:highlight w:val="none"/>
              </w:rPr>
              <w:t>30.5</w:t>
            </w:r>
          </w:p>
        </w:tc>
        <w:tc>
          <w:tcPr>
            <w:tcW w:w="825" w:type="dxa"/>
            <w:tcBorders>
              <w:tl2br w:val="nil"/>
              <w:tr2bl w:val="nil"/>
            </w:tcBorders>
            <w:vAlign w:val="center"/>
          </w:tcPr>
          <w:p w14:paraId="710A7EB5">
            <w:pPr>
              <w:spacing w:line="240" w:lineRule="auto"/>
              <w:ind w:firstLine="0" w:firstLineChars="0"/>
              <w:jc w:val="center"/>
              <w:rPr>
                <w:color w:val="auto"/>
                <w:sz w:val="21"/>
                <w:szCs w:val="21"/>
                <w:highlight w:val="none"/>
              </w:rPr>
            </w:pPr>
            <w:r>
              <w:rPr>
                <w:color w:val="auto"/>
                <w:sz w:val="21"/>
                <w:szCs w:val="21"/>
                <w:highlight w:val="none"/>
              </w:rPr>
              <w:t>1009.1</w:t>
            </w:r>
          </w:p>
        </w:tc>
        <w:tc>
          <w:tcPr>
            <w:tcW w:w="1035" w:type="dxa"/>
            <w:tcBorders>
              <w:tl2br w:val="nil"/>
              <w:tr2bl w:val="nil"/>
            </w:tcBorders>
            <w:vAlign w:val="center"/>
          </w:tcPr>
          <w:p w14:paraId="3AABC85C">
            <w:pPr>
              <w:spacing w:line="240" w:lineRule="auto"/>
              <w:ind w:firstLine="0" w:firstLineChars="0"/>
              <w:jc w:val="center"/>
              <w:rPr>
                <w:color w:val="auto"/>
                <w:sz w:val="21"/>
                <w:szCs w:val="21"/>
                <w:highlight w:val="none"/>
              </w:rPr>
            </w:pPr>
            <w:r>
              <w:rPr>
                <w:color w:val="auto"/>
                <w:sz w:val="21"/>
                <w:szCs w:val="21"/>
                <w:highlight w:val="none"/>
              </w:rPr>
              <w:t>66</w:t>
            </w:r>
          </w:p>
        </w:tc>
        <w:tc>
          <w:tcPr>
            <w:tcW w:w="915" w:type="dxa"/>
            <w:tcBorders>
              <w:tl2br w:val="nil"/>
              <w:tr2bl w:val="nil"/>
            </w:tcBorders>
            <w:vAlign w:val="center"/>
          </w:tcPr>
          <w:p w14:paraId="6B324CC2">
            <w:pPr>
              <w:spacing w:line="240" w:lineRule="auto"/>
              <w:ind w:firstLine="0" w:firstLineChars="0"/>
              <w:jc w:val="center"/>
              <w:rPr>
                <w:color w:val="auto"/>
                <w:sz w:val="21"/>
                <w:szCs w:val="21"/>
                <w:highlight w:val="none"/>
              </w:rPr>
            </w:pPr>
            <w:r>
              <w:rPr>
                <w:color w:val="auto"/>
                <w:sz w:val="21"/>
                <w:szCs w:val="21"/>
                <w:highlight w:val="none"/>
              </w:rPr>
              <w:t>西南</w:t>
            </w:r>
          </w:p>
        </w:tc>
        <w:tc>
          <w:tcPr>
            <w:tcW w:w="803" w:type="dxa"/>
            <w:tcBorders>
              <w:tl2br w:val="nil"/>
              <w:tr2bl w:val="nil"/>
            </w:tcBorders>
            <w:vAlign w:val="center"/>
          </w:tcPr>
          <w:p w14:paraId="03B7986E">
            <w:pPr>
              <w:spacing w:line="240" w:lineRule="auto"/>
              <w:ind w:firstLine="0" w:firstLineChars="0"/>
              <w:jc w:val="center"/>
              <w:rPr>
                <w:color w:val="auto"/>
                <w:sz w:val="21"/>
                <w:szCs w:val="21"/>
                <w:highlight w:val="none"/>
              </w:rPr>
            </w:pPr>
            <w:r>
              <w:rPr>
                <w:color w:val="auto"/>
                <w:sz w:val="21"/>
                <w:szCs w:val="21"/>
                <w:highlight w:val="none"/>
              </w:rPr>
              <w:t>1.8</w:t>
            </w:r>
          </w:p>
        </w:tc>
      </w:tr>
      <w:tr w14:paraId="650AD4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53" w:type="pct"/>
            <w:vMerge w:val="continue"/>
            <w:tcBorders>
              <w:tl2br w:val="nil"/>
              <w:tr2bl w:val="nil"/>
            </w:tcBorders>
            <w:vAlign w:val="center"/>
          </w:tcPr>
          <w:p w14:paraId="272A0FB5">
            <w:pPr>
              <w:spacing w:line="240" w:lineRule="auto"/>
              <w:ind w:firstLine="0" w:firstLineChars="0"/>
              <w:jc w:val="center"/>
              <w:rPr>
                <w:color w:val="auto"/>
                <w:sz w:val="21"/>
                <w:szCs w:val="21"/>
                <w:highlight w:val="none"/>
              </w:rPr>
            </w:pPr>
          </w:p>
        </w:tc>
        <w:tc>
          <w:tcPr>
            <w:tcW w:w="657" w:type="pct"/>
            <w:vMerge w:val="continue"/>
            <w:tcBorders>
              <w:tl2br w:val="nil"/>
              <w:tr2bl w:val="nil"/>
            </w:tcBorders>
            <w:vAlign w:val="center"/>
          </w:tcPr>
          <w:p w14:paraId="13A95C90">
            <w:pPr>
              <w:spacing w:line="240" w:lineRule="auto"/>
              <w:ind w:firstLine="0" w:firstLineChars="0"/>
              <w:jc w:val="center"/>
              <w:rPr>
                <w:color w:val="auto"/>
                <w:sz w:val="21"/>
                <w:szCs w:val="21"/>
                <w:highlight w:val="none"/>
              </w:rPr>
            </w:pPr>
          </w:p>
        </w:tc>
        <w:tc>
          <w:tcPr>
            <w:tcW w:w="324" w:type="pct"/>
            <w:tcBorders>
              <w:tl2br w:val="nil"/>
              <w:tr2bl w:val="nil"/>
            </w:tcBorders>
            <w:vAlign w:val="center"/>
          </w:tcPr>
          <w:p w14:paraId="6350B091">
            <w:pPr>
              <w:spacing w:line="240" w:lineRule="auto"/>
              <w:ind w:firstLine="0" w:firstLineChars="0"/>
              <w:jc w:val="center"/>
              <w:rPr>
                <w:color w:val="auto"/>
                <w:sz w:val="21"/>
                <w:szCs w:val="21"/>
                <w:highlight w:val="none"/>
              </w:rPr>
            </w:pPr>
            <w:r>
              <w:rPr>
                <w:color w:val="auto"/>
                <w:sz w:val="21"/>
                <w:szCs w:val="21"/>
                <w:highlight w:val="none"/>
              </w:rPr>
              <w:t>4</w:t>
            </w:r>
          </w:p>
        </w:tc>
        <w:tc>
          <w:tcPr>
            <w:tcW w:w="719" w:type="pct"/>
            <w:tcBorders>
              <w:tl2br w:val="nil"/>
              <w:tr2bl w:val="nil"/>
            </w:tcBorders>
            <w:vAlign w:val="center"/>
          </w:tcPr>
          <w:p w14:paraId="2992839E">
            <w:pPr>
              <w:spacing w:line="240" w:lineRule="auto"/>
              <w:ind w:firstLine="0" w:firstLineChars="0"/>
              <w:jc w:val="center"/>
              <w:rPr>
                <w:color w:val="auto"/>
                <w:sz w:val="21"/>
                <w:szCs w:val="21"/>
                <w:highlight w:val="none"/>
              </w:rPr>
            </w:pPr>
            <w:r>
              <w:rPr>
                <w:color w:val="auto"/>
                <w:sz w:val="21"/>
                <w:szCs w:val="21"/>
                <w:highlight w:val="none"/>
              </w:rPr>
              <w:t>/</w:t>
            </w:r>
          </w:p>
        </w:tc>
        <w:tc>
          <w:tcPr>
            <w:tcW w:w="1305" w:type="dxa"/>
            <w:tcBorders>
              <w:tl2br w:val="nil"/>
              <w:tr2bl w:val="nil"/>
            </w:tcBorders>
            <w:vAlign w:val="center"/>
          </w:tcPr>
          <w:p w14:paraId="74D00F2D">
            <w:pPr>
              <w:spacing w:line="240" w:lineRule="auto"/>
              <w:ind w:firstLine="0" w:firstLineChars="0"/>
              <w:jc w:val="center"/>
              <w:rPr>
                <w:color w:val="auto"/>
                <w:sz w:val="21"/>
                <w:szCs w:val="21"/>
                <w:highlight w:val="none"/>
              </w:rPr>
            </w:pPr>
            <w:r>
              <w:rPr>
                <w:color w:val="auto"/>
                <w:sz w:val="21"/>
                <w:szCs w:val="21"/>
                <w:highlight w:val="none"/>
              </w:rPr>
              <w:t xml:space="preserve">0.83 </w:t>
            </w:r>
          </w:p>
        </w:tc>
        <w:tc>
          <w:tcPr>
            <w:tcW w:w="825" w:type="dxa"/>
            <w:tcBorders>
              <w:tl2br w:val="nil"/>
              <w:tr2bl w:val="nil"/>
            </w:tcBorders>
            <w:vAlign w:val="center"/>
          </w:tcPr>
          <w:p w14:paraId="6CE315D3">
            <w:pPr>
              <w:spacing w:line="240" w:lineRule="auto"/>
              <w:ind w:firstLine="0" w:firstLineChars="0"/>
              <w:jc w:val="center"/>
              <w:rPr>
                <w:color w:val="auto"/>
                <w:sz w:val="21"/>
                <w:szCs w:val="21"/>
                <w:highlight w:val="none"/>
              </w:rPr>
            </w:pPr>
            <w:r>
              <w:rPr>
                <w:color w:val="auto"/>
                <w:sz w:val="21"/>
                <w:szCs w:val="21"/>
                <w:highlight w:val="none"/>
              </w:rPr>
              <w:t>28.4</w:t>
            </w:r>
          </w:p>
        </w:tc>
        <w:tc>
          <w:tcPr>
            <w:tcW w:w="825" w:type="dxa"/>
            <w:tcBorders>
              <w:tl2br w:val="nil"/>
              <w:tr2bl w:val="nil"/>
            </w:tcBorders>
            <w:vAlign w:val="center"/>
          </w:tcPr>
          <w:p w14:paraId="5EC92FD2">
            <w:pPr>
              <w:spacing w:line="240" w:lineRule="auto"/>
              <w:ind w:firstLine="0" w:firstLineChars="0"/>
              <w:jc w:val="center"/>
              <w:rPr>
                <w:color w:val="auto"/>
                <w:sz w:val="21"/>
                <w:szCs w:val="21"/>
                <w:highlight w:val="none"/>
              </w:rPr>
            </w:pPr>
            <w:r>
              <w:rPr>
                <w:color w:val="auto"/>
                <w:sz w:val="21"/>
                <w:szCs w:val="21"/>
                <w:highlight w:val="none"/>
              </w:rPr>
              <w:t>1009.8</w:t>
            </w:r>
          </w:p>
        </w:tc>
        <w:tc>
          <w:tcPr>
            <w:tcW w:w="1035" w:type="dxa"/>
            <w:tcBorders>
              <w:tl2br w:val="nil"/>
              <w:tr2bl w:val="nil"/>
            </w:tcBorders>
            <w:vAlign w:val="center"/>
          </w:tcPr>
          <w:p w14:paraId="673C61FB">
            <w:pPr>
              <w:spacing w:line="240" w:lineRule="auto"/>
              <w:ind w:firstLine="0" w:firstLineChars="0"/>
              <w:jc w:val="center"/>
              <w:rPr>
                <w:color w:val="auto"/>
                <w:sz w:val="21"/>
                <w:szCs w:val="21"/>
                <w:highlight w:val="none"/>
              </w:rPr>
            </w:pPr>
            <w:r>
              <w:rPr>
                <w:color w:val="auto"/>
                <w:sz w:val="21"/>
                <w:szCs w:val="21"/>
                <w:highlight w:val="none"/>
              </w:rPr>
              <w:t>74</w:t>
            </w:r>
          </w:p>
        </w:tc>
        <w:tc>
          <w:tcPr>
            <w:tcW w:w="915" w:type="dxa"/>
            <w:tcBorders>
              <w:tl2br w:val="nil"/>
              <w:tr2bl w:val="nil"/>
            </w:tcBorders>
            <w:vAlign w:val="center"/>
          </w:tcPr>
          <w:p w14:paraId="1287BA18">
            <w:pPr>
              <w:spacing w:line="240" w:lineRule="auto"/>
              <w:ind w:firstLine="0" w:firstLineChars="0"/>
              <w:jc w:val="center"/>
              <w:rPr>
                <w:color w:val="auto"/>
                <w:sz w:val="21"/>
                <w:szCs w:val="21"/>
                <w:highlight w:val="none"/>
              </w:rPr>
            </w:pPr>
            <w:r>
              <w:rPr>
                <w:color w:val="auto"/>
                <w:sz w:val="21"/>
                <w:szCs w:val="21"/>
                <w:highlight w:val="none"/>
              </w:rPr>
              <w:t>西南</w:t>
            </w:r>
          </w:p>
        </w:tc>
        <w:tc>
          <w:tcPr>
            <w:tcW w:w="803" w:type="dxa"/>
            <w:tcBorders>
              <w:tl2br w:val="nil"/>
              <w:tr2bl w:val="nil"/>
            </w:tcBorders>
            <w:vAlign w:val="center"/>
          </w:tcPr>
          <w:p w14:paraId="7BFAF15F">
            <w:pPr>
              <w:spacing w:line="240" w:lineRule="auto"/>
              <w:ind w:firstLine="0" w:firstLineChars="0"/>
              <w:jc w:val="center"/>
              <w:rPr>
                <w:color w:val="auto"/>
                <w:sz w:val="21"/>
                <w:szCs w:val="21"/>
                <w:highlight w:val="none"/>
              </w:rPr>
            </w:pPr>
            <w:r>
              <w:rPr>
                <w:color w:val="auto"/>
                <w:sz w:val="21"/>
                <w:szCs w:val="21"/>
                <w:highlight w:val="none"/>
              </w:rPr>
              <w:t>2.0</w:t>
            </w:r>
          </w:p>
        </w:tc>
      </w:tr>
      <w:tr w14:paraId="5D5E30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1336" w:type="pct"/>
            <w:gridSpan w:val="3"/>
            <w:tcBorders>
              <w:tl2br w:val="nil"/>
              <w:tr2bl w:val="nil"/>
            </w:tcBorders>
            <w:vAlign w:val="center"/>
          </w:tcPr>
          <w:p w14:paraId="6B8FD04A">
            <w:pPr>
              <w:spacing w:line="240" w:lineRule="auto"/>
              <w:ind w:firstLine="0" w:firstLineChars="0"/>
              <w:jc w:val="center"/>
              <w:rPr>
                <w:color w:val="auto"/>
                <w:sz w:val="21"/>
                <w:szCs w:val="21"/>
                <w:highlight w:val="none"/>
              </w:rPr>
            </w:pPr>
            <w:r>
              <w:rPr>
                <w:color w:val="auto"/>
                <w:sz w:val="21"/>
                <w:szCs w:val="21"/>
                <w:highlight w:val="none"/>
              </w:rPr>
              <w:t>标准限值</w:t>
            </w:r>
          </w:p>
        </w:tc>
        <w:tc>
          <w:tcPr>
            <w:tcW w:w="719" w:type="pct"/>
            <w:tcBorders>
              <w:tl2br w:val="nil"/>
              <w:tr2bl w:val="nil"/>
            </w:tcBorders>
            <w:vAlign w:val="center"/>
          </w:tcPr>
          <w:p w14:paraId="0736963B">
            <w:pPr>
              <w:spacing w:line="240" w:lineRule="auto"/>
              <w:ind w:firstLine="0" w:firstLineChars="0"/>
              <w:jc w:val="center"/>
              <w:rPr>
                <w:color w:val="auto"/>
                <w:sz w:val="21"/>
                <w:szCs w:val="21"/>
                <w:highlight w:val="none"/>
              </w:rPr>
            </w:pPr>
            <w:r>
              <w:rPr>
                <w:color w:val="auto"/>
                <w:sz w:val="21"/>
                <w:szCs w:val="21"/>
                <w:highlight w:val="none"/>
              </w:rPr>
              <w:t>/</w:t>
            </w:r>
          </w:p>
        </w:tc>
        <w:tc>
          <w:tcPr>
            <w:tcW w:w="673" w:type="pct"/>
            <w:tcBorders>
              <w:tl2br w:val="nil"/>
              <w:tr2bl w:val="nil"/>
            </w:tcBorders>
            <w:vAlign w:val="center"/>
          </w:tcPr>
          <w:p w14:paraId="542E05E9">
            <w:pPr>
              <w:spacing w:line="240" w:lineRule="auto"/>
              <w:ind w:firstLine="0" w:firstLineChars="0"/>
              <w:jc w:val="center"/>
              <w:rPr>
                <w:color w:val="auto"/>
                <w:sz w:val="21"/>
                <w:szCs w:val="21"/>
                <w:highlight w:val="none"/>
              </w:rPr>
            </w:pPr>
            <w:r>
              <w:rPr>
                <w:color w:val="auto"/>
                <w:sz w:val="21"/>
                <w:szCs w:val="21"/>
                <w:highlight w:val="none"/>
              </w:rPr>
              <w:t>10</w:t>
            </w:r>
          </w:p>
        </w:tc>
        <w:tc>
          <w:tcPr>
            <w:tcW w:w="425" w:type="pct"/>
            <w:tcBorders>
              <w:tl2br w:val="nil"/>
              <w:tr2bl w:val="nil"/>
            </w:tcBorders>
            <w:vAlign w:val="center"/>
          </w:tcPr>
          <w:p w14:paraId="04A5A97E">
            <w:pPr>
              <w:spacing w:line="240" w:lineRule="auto"/>
              <w:ind w:firstLine="0" w:firstLineChars="0"/>
              <w:jc w:val="center"/>
              <w:rPr>
                <w:color w:val="auto"/>
                <w:sz w:val="21"/>
                <w:szCs w:val="21"/>
                <w:highlight w:val="none"/>
              </w:rPr>
            </w:pPr>
            <w:r>
              <w:rPr>
                <w:color w:val="auto"/>
                <w:sz w:val="21"/>
                <w:szCs w:val="21"/>
                <w:highlight w:val="none"/>
              </w:rPr>
              <w:t>/</w:t>
            </w:r>
          </w:p>
        </w:tc>
        <w:tc>
          <w:tcPr>
            <w:tcW w:w="425" w:type="pct"/>
            <w:tcBorders>
              <w:tl2br w:val="nil"/>
              <w:tr2bl w:val="nil"/>
            </w:tcBorders>
            <w:vAlign w:val="center"/>
          </w:tcPr>
          <w:p w14:paraId="62640530">
            <w:pPr>
              <w:spacing w:line="240" w:lineRule="auto"/>
              <w:ind w:firstLine="0" w:firstLineChars="0"/>
              <w:jc w:val="center"/>
              <w:rPr>
                <w:color w:val="auto"/>
                <w:sz w:val="21"/>
                <w:szCs w:val="21"/>
                <w:highlight w:val="none"/>
              </w:rPr>
            </w:pPr>
            <w:r>
              <w:rPr>
                <w:color w:val="auto"/>
                <w:sz w:val="21"/>
                <w:szCs w:val="21"/>
                <w:highlight w:val="none"/>
              </w:rPr>
              <w:t>/</w:t>
            </w:r>
          </w:p>
        </w:tc>
        <w:tc>
          <w:tcPr>
            <w:tcW w:w="533" w:type="pct"/>
            <w:tcBorders>
              <w:tl2br w:val="nil"/>
              <w:tr2bl w:val="nil"/>
            </w:tcBorders>
            <w:vAlign w:val="center"/>
          </w:tcPr>
          <w:p w14:paraId="3227E80B">
            <w:pPr>
              <w:spacing w:line="240" w:lineRule="auto"/>
              <w:ind w:firstLine="0" w:firstLineChars="0"/>
              <w:jc w:val="center"/>
              <w:rPr>
                <w:color w:val="auto"/>
                <w:sz w:val="21"/>
                <w:szCs w:val="21"/>
                <w:highlight w:val="none"/>
              </w:rPr>
            </w:pPr>
            <w:r>
              <w:rPr>
                <w:color w:val="auto"/>
                <w:sz w:val="21"/>
                <w:szCs w:val="21"/>
                <w:highlight w:val="none"/>
              </w:rPr>
              <w:t>/</w:t>
            </w:r>
          </w:p>
        </w:tc>
        <w:tc>
          <w:tcPr>
            <w:tcW w:w="471" w:type="pct"/>
            <w:tcBorders>
              <w:tl2br w:val="nil"/>
              <w:tr2bl w:val="nil"/>
            </w:tcBorders>
            <w:vAlign w:val="center"/>
          </w:tcPr>
          <w:p w14:paraId="3FFDAD29">
            <w:pPr>
              <w:spacing w:line="240" w:lineRule="auto"/>
              <w:ind w:firstLine="0" w:firstLineChars="0"/>
              <w:jc w:val="center"/>
              <w:rPr>
                <w:color w:val="auto"/>
                <w:sz w:val="21"/>
                <w:szCs w:val="21"/>
                <w:highlight w:val="none"/>
              </w:rPr>
            </w:pPr>
            <w:r>
              <w:rPr>
                <w:color w:val="auto"/>
                <w:sz w:val="21"/>
                <w:szCs w:val="21"/>
                <w:highlight w:val="none"/>
              </w:rPr>
              <w:t>/</w:t>
            </w:r>
          </w:p>
        </w:tc>
        <w:tc>
          <w:tcPr>
            <w:tcW w:w="414" w:type="pct"/>
            <w:tcBorders>
              <w:tl2br w:val="nil"/>
              <w:tr2bl w:val="nil"/>
            </w:tcBorders>
            <w:vAlign w:val="center"/>
          </w:tcPr>
          <w:p w14:paraId="01E8DC75">
            <w:pPr>
              <w:spacing w:line="240" w:lineRule="auto"/>
              <w:ind w:firstLine="0" w:firstLineChars="0"/>
              <w:jc w:val="center"/>
              <w:rPr>
                <w:color w:val="auto"/>
                <w:sz w:val="21"/>
                <w:szCs w:val="21"/>
                <w:highlight w:val="none"/>
              </w:rPr>
            </w:pPr>
            <w:r>
              <w:rPr>
                <w:color w:val="auto"/>
                <w:sz w:val="21"/>
                <w:szCs w:val="21"/>
                <w:highlight w:val="none"/>
              </w:rPr>
              <w:t>/</w:t>
            </w:r>
          </w:p>
        </w:tc>
      </w:tr>
      <w:tr w14:paraId="1AB955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1336" w:type="pct"/>
            <w:gridSpan w:val="3"/>
            <w:tcBorders>
              <w:tl2br w:val="nil"/>
              <w:tr2bl w:val="nil"/>
            </w:tcBorders>
            <w:vAlign w:val="center"/>
          </w:tcPr>
          <w:p w14:paraId="0183CA9A">
            <w:pPr>
              <w:spacing w:line="240" w:lineRule="auto"/>
              <w:ind w:firstLine="0" w:firstLineChars="0"/>
              <w:jc w:val="center"/>
              <w:rPr>
                <w:color w:val="auto"/>
                <w:sz w:val="21"/>
                <w:szCs w:val="21"/>
                <w:highlight w:val="none"/>
              </w:rPr>
            </w:pPr>
            <w:r>
              <w:rPr>
                <w:color w:val="auto"/>
                <w:sz w:val="21"/>
                <w:szCs w:val="21"/>
                <w:highlight w:val="none"/>
              </w:rPr>
              <w:t>结果评价</w:t>
            </w:r>
          </w:p>
        </w:tc>
        <w:tc>
          <w:tcPr>
            <w:tcW w:w="719" w:type="pct"/>
            <w:tcBorders>
              <w:tl2br w:val="nil"/>
              <w:tr2bl w:val="nil"/>
            </w:tcBorders>
            <w:vAlign w:val="center"/>
          </w:tcPr>
          <w:p w14:paraId="3800260D">
            <w:pPr>
              <w:spacing w:line="240" w:lineRule="auto"/>
              <w:ind w:firstLine="0" w:firstLineChars="0"/>
              <w:jc w:val="center"/>
              <w:rPr>
                <w:color w:val="auto"/>
                <w:sz w:val="21"/>
                <w:szCs w:val="21"/>
                <w:highlight w:val="none"/>
              </w:rPr>
            </w:pPr>
            <w:r>
              <w:rPr>
                <w:color w:val="auto"/>
                <w:sz w:val="21"/>
                <w:szCs w:val="21"/>
                <w:highlight w:val="none"/>
              </w:rPr>
              <w:t>/</w:t>
            </w:r>
          </w:p>
        </w:tc>
        <w:tc>
          <w:tcPr>
            <w:tcW w:w="673" w:type="pct"/>
            <w:tcBorders>
              <w:tl2br w:val="nil"/>
              <w:tr2bl w:val="nil"/>
            </w:tcBorders>
            <w:vAlign w:val="center"/>
          </w:tcPr>
          <w:p w14:paraId="78C08BB9">
            <w:pPr>
              <w:spacing w:line="240" w:lineRule="auto"/>
              <w:ind w:firstLine="0" w:firstLineChars="0"/>
              <w:jc w:val="center"/>
              <w:rPr>
                <w:color w:val="auto"/>
                <w:sz w:val="21"/>
                <w:szCs w:val="21"/>
                <w:highlight w:val="none"/>
              </w:rPr>
            </w:pPr>
            <w:r>
              <w:rPr>
                <w:color w:val="auto"/>
                <w:sz w:val="21"/>
                <w:szCs w:val="21"/>
                <w:highlight w:val="none"/>
              </w:rPr>
              <w:t>达标</w:t>
            </w:r>
          </w:p>
        </w:tc>
        <w:tc>
          <w:tcPr>
            <w:tcW w:w="425" w:type="pct"/>
            <w:tcBorders>
              <w:tl2br w:val="nil"/>
              <w:tr2bl w:val="nil"/>
            </w:tcBorders>
            <w:vAlign w:val="center"/>
          </w:tcPr>
          <w:p w14:paraId="0DBD3D0F">
            <w:pPr>
              <w:spacing w:line="240" w:lineRule="auto"/>
              <w:ind w:firstLine="0" w:firstLineChars="0"/>
              <w:jc w:val="center"/>
              <w:rPr>
                <w:b/>
                <w:bCs/>
                <w:color w:val="auto"/>
                <w:sz w:val="21"/>
                <w:szCs w:val="21"/>
                <w:highlight w:val="none"/>
              </w:rPr>
            </w:pPr>
            <w:r>
              <w:rPr>
                <w:b/>
                <w:bCs/>
                <w:color w:val="auto"/>
                <w:sz w:val="21"/>
                <w:szCs w:val="21"/>
                <w:highlight w:val="none"/>
              </w:rPr>
              <w:t>/</w:t>
            </w:r>
          </w:p>
        </w:tc>
        <w:tc>
          <w:tcPr>
            <w:tcW w:w="425" w:type="pct"/>
            <w:tcBorders>
              <w:tl2br w:val="nil"/>
              <w:tr2bl w:val="nil"/>
            </w:tcBorders>
            <w:vAlign w:val="center"/>
          </w:tcPr>
          <w:p w14:paraId="2FDC1DE0">
            <w:pPr>
              <w:spacing w:line="240" w:lineRule="auto"/>
              <w:ind w:firstLine="0" w:firstLineChars="0"/>
              <w:jc w:val="center"/>
              <w:rPr>
                <w:b/>
                <w:bCs/>
                <w:color w:val="auto"/>
                <w:sz w:val="21"/>
                <w:szCs w:val="21"/>
                <w:highlight w:val="none"/>
              </w:rPr>
            </w:pPr>
            <w:r>
              <w:rPr>
                <w:b/>
                <w:bCs/>
                <w:color w:val="auto"/>
                <w:sz w:val="21"/>
                <w:szCs w:val="21"/>
                <w:highlight w:val="none"/>
              </w:rPr>
              <w:t>/</w:t>
            </w:r>
          </w:p>
        </w:tc>
        <w:tc>
          <w:tcPr>
            <w:tcW w:w="533" w:type="pct"/>
            <w:tcBorders>
              <w:tl2br w:val="nil"/>
              <w:tr2bl w:val="nil"/>
            </w:tcBorders>
            <w:vAlign w:val="center"/>
          </w:tcPr>
          <w:p w14:paraId="2A72E169">
            <w:pPr>
              <w:spacing w:line="240" w:lineRule="auto"/>
              <w:ind w:firstLine="0" w:firstLineChars="0"/>
              <w:jc w:val="center"/>
              <w:rPr>
                <w:b/>
                <w:bCs/>
                <w:color w:val="auto"/>
                <w:sz w:val="21"/>
                <w:szCs w:val="21"/>
                <w:highlight w:val="none"/>
              </w:rPr>
            </w:pPr>
            <w:r>
              <w:rPr>
                <w:b/>
                <w:bCs/>
                <w:color w:val="auto"/>
                <w:sz w:val="21"/>
                <w:szCs w:val="21"/>
                <w:highlight w:val="none"/>
              </w:rPr>
              <w:t>/</w:t>
            </w:r>
          </w:p>
        </w:tc>
        <w:tc>
          <w:tcPr>
            <w:tcW w:w="471" w:type="pct"/>
            <w:tcBorders>
              <w:tl2br w:val="nil"/>
              <w:tr2bl w:val="nil"/>
            </w:tcBorders>
            <w:vAlign w:val="center"/>
          </w:tcPr>
          <w:p w14:paraId="143E341E">
            <w:pPr>
              <w:spacing w:line="240" w:lineRule="auto"/>
              <w:ind w:firstLine="0" w:firstLineChars="0"/>
              <w:jc w:val="center"/>
              <w:rPr>
                <w:b/>
                <w:bCs/>
                <w:color w:val="auto"/>
                <w:sz w:val="21"/>
                <w:szCs w:val="21"/>
                <w:highlight w:val="none"/>
              </w:rPr>
            </w:pPr>
            <w:r>
              <w:rPr>
                <w:b/>
                <w:bCs/>
                <w:color w:val="auto"/>
                <w:sz w:val="21"/>
                <w:szCs w:val="21"/>
                <w:highlight w:val="none"/>
              </w:rPr>
              <w:t>/</w:t>
            </w:r>
          </w:p>
        </w:tc>
        <w:tc>
          <w:tcPr>
            <w:tcW w:w="414" w:type="pct"/>
            <w:tcBorders>
              <w:tl2br w:val="nil"/>
              <w:tr2bl w:val="nil"/>
            </w:tcBorders>
            <w:vAlign w:val="center"/>
          </w:tcPr>
          <w:p w14:paraId="31621481">
            <w:pPr>
              <w:spacing w:line="240" w:lineRule="auto"/>
              <w:ind w:firstLine="0" w:firstLineChars="0"/>
              <w:jc w:val="center"/>
              <w:rPr>
                <w:b/>
                <w:bCs/>
                <w:color w:val="auto"/>
                <w:sz w:val="21"/>
                <w:szCs w:val="21"/>
                <w:highlight w:val="none"/>
              </w:rPr>
            </w:pPr>
            <w:r>
              <w:rPr>
                <w:b/>
                <w:bCs/>
                <w:color w:val="auto"/>
                <w:sz w:val="21"/>
                <w:szCs w:val="21"/>
                <w:highlight w:val="none"/>
              </w:rPr>
              <w:t>/</w:t>
            </w:r>
          </w:p>
        </w:tc>
      </w:tr>
    </w:tbl>
    <w:p w14:paraId="531CA6FB">
      <w:pPr>
        <w:spacing w:line="240" w:lineRule="auto"/>
        <w:ind w:firstLine="422"/>
        <w:rPr>
          <w:b/>
          <w:bCs/>
          <w:color w:val="auto"/>
          <w:sz w:val="21"/>
          <w:szCs w:val="21"/>
          <w:highlight w:val="none"/>
        </w:rPr>
      </w:pPr>
      <w:r>
        <w:rPr>
          <w:b/>
          <w:bCs/>
          <w:color w:val="auto"/>
          <w:sz w:val="21"/>
          <w:szCs w:val="21"/>
          <w:highlight w:val="none"/>
        </w:rPr>
        <w:t>注：1、未检出以“＜检出限”表示；2、厂界无组织废气依据客户要求所列标准限值为《大气污染物综合排放标准》（GB 16297-1996）表2新污染源大气污染物排放限值；舾装码头无组织废气依据客户要求所列标准限值为《挥发性有机物无组织排放控制标准》（GB 37822-2019）附录A中厂区内NMHC无组织排放限值。</w:t>
      </w:r>
    </w:p>
    <w:p w14:paraId="0D3ED669">
      <w:pPr>
        <w:pStyle w:val="91"/>
        <w:spacing w:after="0"/>
        <w:ind w:left="0" w:leftChars="0" w:firstLine="0" w:firstLineChars="0"/>
        <w:jc w:val="center"/>
        <w:rPr>
          <w:rFonts w:ascii="Times New Roman" w:hAnsi="Times New Roman" w:cs="Times New Roman"/>
          <w:b/>
          <w:bCs/>
          <w:color w:val="auto"/>
          <w:highlight w:val="none"/>
        </w:rPr>
      </w:pPr>
    </w:p>
    <w:p w14:paraId="3EB42AD9">
      <w:pPr>
        <w:pStyle w:val="38"/>
        <w:spacing w:after="0" w:line="240" w:lineRule="auto"/>
        <w:ind w:firstLine="0" w:firstLineChars="0"/>
        <w:jc w:val="center"/>
        <w:rPr>
          <w:b/>
          <w:color w:val="auto"/>
          <w:sz w:val="21"/>
          <w:szCs w:val="21"/>
          <w:highlight w:val="none"/>
        </w:rPr>
      </w:pPr>
      <w:r>
        <w:rPr>
          <w:b/>
          <w:color w:val="auto"/>
          <w:sz w:val="21"/>
          <w:szCs w:val="21"/>
          <w:highlight w:val="none"/>
        </w:rPr>
        <w:t>表2.1-2</w:t>
      </w:r>
      <w:r>
        <w:rPr>
          <w:rFonts w:hint="eastAsia"/>
          <w:b/>
          <w:color w:val="auto"/>
          <w:sz w:val="21"/>
          <w:szCs w:val="21"/>
          <w:highlight w:val="none"/>
        </w:rPr>
        <w:t xml:space="preserve">4  </w:t>
      </w:r>
      <w:r>
        <w:rPr>
          <w:b/>
          <w:color w:val="auto"/>
          <w:sz w:val="21"/>
          <w:szCs w:val="21"/>
          <w:highlight w:val="none"/>
        </w:rPr>
        <w:t>TSP无组织排放情况监测结果</w:t>
      </w:r>
    </w:p>
    <w:tbl>
      <w:tblPr>
        <w:tblStyle w:val="92"/>
        <w:tblW w:w="501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7" w:type="dxa"/>
          <w:bottom w:w="0" w:type="dxa"/>
          <w:right w:w="17" w:type="dxa"/>
        </w:tblCellMar>
      </w:tblPr>
      <w:tblGrid>
        <w:gridCol w:w="630"/>
        <w:gridCol w:w="2567"/>
        <w:gridCol w:w="978"/>
        <w:gridCol w:w="989"/>
        <w:gridCol w:w="989"/>
        <w:gridCol w:w="989"/>
        <w:gridCol w:w="989"/>
        <w:gridCol w:w="991"/>
      </w:tblGrid>
      <w:tr w14:paraId="25F549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45" w:type="pct"/>
            <w:vMerge w:val="restart"/>
            <w:tcBorders>
              <w:tl2br w:val="nil"/>
              <w:tr2bl w:val="nil"/>
            </w:tcBorders>
            <w:vAlign w:val="center"/>
          </w:tcPr>
          <w:p w14:paraId="20DCA339">
            <w:pPr>
              <w:topLinePunct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监测日期</w:t>
            </w:r>
          </w:p>
        </w:tc>
        <w:tc>
          <w:tcPr>
            <w:tcW w:w="1406" w:type="pct"/>
            <w:vMerge w:val="restart"/>
            <w:tcBorders>
              <w:tl2br w:val="nil"/>
              <w:tr2bl w:val="nil"/>
            </w:tcBorders>
            <w:vAlign w:val="center"/>
          </w:tcPr>
          <w:p w14:paraId="4B6E73C2">
            <w:pPr>
              <w:topLinePunct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监测点位</w:t>
            </w:r>
          </w:p>
        </w:tc>
        <w:tc>
          <w:tcPr>
            <w:tcW w:w="536" w:type="pct"/>
            <w:tcBorders>
              <w:tl2br w:val="nil"/>
              <w:tr2bl w:val="nil"/>
            </w:tcBorders>
            <w:vAlign w:val="center"/>
          </w:tcPr>
          <w:p w14:paraId="675BC034">
            <w:pPr>
              <w:topLinePunct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监测结果</w:t>
            </w:r>
          </w:p>
        </w:tc>
        <w:tc>
          <w:tcPr>
            <w:tcW w:w="2711" w:type="pct"/>
            <w:gridSpan w:val="5"/>
            <w:tcBorders>
              <w:tl2br w:val="nil"/>
              <w:tr2bl w:val="nil"/>
            </w:tcBorders>
            <w:vAlign w:val="center"/>
          </w:tcPr>
          <w:p w14:paraId="45E965DB">
            <w:pPr>
              <w:topLinePunct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气象参数</w:t>
            </w:r>
          </w:p>
        </w:tc>
      </w:tr>
      <w:tr w14:paraId="2107B2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45" w:type="pct"/>
            <w:vMerge w:val="continue"/>
            <w:tcBorders>
              <w:tl2br w:val="nil"/>
              <w:tr2bl w:val="nil"/>
            </w:tcBorders>
            <w:vAlign w:val="center"/>
          </w:tcPr>
          <w:p w14:paraId="4E17E70F">
            <w:pPr>
              <w:topLinePunct w:val="0"/>
              <w:adjustRightInd/>
              <w:snapToGrid/>
              <w:spacing w:line="240" w:lineRule="auto"/>
              <w:ind w:firstLine="0" w:firstLineChars="0"/>
              <w:jc w:val="center"/>
              <w:rPr>
                <w:b/>
                <w:bCs/>
                <w:color w:val="auto"/>
                <w:sz w:val="21"/>
                <w:szCs w:val="21"/>
                <w:highlight w:val="none"/>
              </w:rPr>
            </w:pPr>
          </w:p>
        </w:tc>
        <w:tc>
          <w:tcPr>
            <w:tcW w:w="1406" w:type="pct"/>
            <w:vMerge w:val="continue"/>
            <w:tcBorders>
              <w:tl2br w:val="nil"/>
              <w:tr2bl w:val="nil"/>
            </w:tcBorders>
            <w:vAlign w:val="center"/>
          </w:tcPr>
          <w:p w14:paraId="0607FE4C">
            <w:pPr>
              <w:topLinePunct w:val="0"/>
              <w:adjustRightInd/>
              <w:snapToGrid/>
              <w:spacing w:line="240" w:lineRule="auto"/>
              <w:ind w:firstLine="0" w:firstLineChars="0"/>
              <w:jc w:val="center"/>
              <w:rPr>
                <w:b/>
                <w:bCs/>
                <w:color w:val="auto"/>
                <w:sz w:val="21"/>
                <w:szCs w:val="21"/>
                <w:highlight w:val="none"/>
              </w:rPr>
            </w:pPr>
          </w:p>
        </w:tc>
        <w:tc>
          <w:tcPr>
            <w:tcW w:w="536" w:type="pct"/>
            <w:tcBorders>
              <w:tl2br w:val="nil"/>
              <w:tr2bl w:val="nil"/>
            </w:tcBorders>
            <w:vAlign w:val="center"/>
          </w:tcPr>
          <w:p w14:paraId="7BB366E6">
            <w:pPr>
              <w:topLinePunct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TPS（mg/m</w:t>
            </w:r>
            <w:r>
              <w:rPr>
                <w:b/>
                <w:bCs/>
                <w:color w:val="auto"/>
                <w:sz w:val="21"/>
                <w:szCs w:val="21"/>
                <w:highlight w:val="none"/>
                <w:vertAlign w:val="superscript"/>
              </w:rPr>
              <w:t>3</w:t>
            </w:r>
            <w:r>
              <w:rPr>
                <w:b/>
                <w:bCs/>
                <w:color w:val="auto"/>
                <w:sz w:val="21"/>
                <w:szCs w:val="21"/>
                <w:highlight w:val="none"/>
              </w:rPr>
              <w:t>）</w:t>
            </w:r>
          </w:p>
        </w:tc>
        <w:tc>
          <w:tcPr>
            <w:tcW w:w="542" w:type="pct"/>
            <w:tcBorders>
              <w:tl2br w:val="nil"/>
              <w:tr2bl w:val="nil"/>
            </w:tcBorders>
            <w:vAlign w:val="center"/>
          </w:tcPr>
          <w:p w14:paraId="2C7F75B9">
            <w:pPr>
              <w:topLinePunct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温度</w:t>
            </w:r>
          </w:p>
          <w:p w14:paraId="30D410E6">
            <w:pPr>
              <w:topLinePunct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w:t>
            </w:r>
          </w:p>
        </w:tc>
        <w:tc>
          <w:tcPr>
            <w:tcW w:w="542" w:type="pct"/>
            <w:tcBorders>
              <w:tl2br w:val="nil"/>
              <w:tr2bl w:val="nil"/>
            </w:tcBorders>
            <w:vAlign w:val="center"/>
          </w:tcPr>
          <w:p w14:paraId="52992776">
            <w:pPr>
              <w:topLinePunct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气压</w:t>
            </w:r>
          </w:p>
          <w:p w14:paraId="588BC6E3">
            <w:pPr>
              <w:topLinePunct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（hPa）</w:t>
            </w:r>
          </w:p>
        </w:tc>
        <w:tc>
          <w:tcPr>
            <w:tcW w:w="542" w:type="pct"/>
            <w:tcBorders>
              <w:tl2br w:val="nil"/>
              <w:tr2bl w:val="nil"/>
            </w:tcBorders>
            <w:vAlign w:val="center"/>
          </w:tcPr>
          <w:p w14:paraId="0559D752">
            <w:pPr>
              <w:topLinePunct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相对湿度</w:t>
            </w:r>
          </w:p>
          <w:p w14:paraId="62A62AFF">
            <w:pPr>
              <w:topLinePunct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w:t>
            </w:r>
          </w:p>
        </w:tc>
        <w:tc>
          <w:tcPr>
            <w:tcW w:w="542" w:type="pct"/>
            <w:tcBorders>
              <w:tl2br w:val="nil"/>
              <w:tr2bl w:val="nil"/>
            </w:tcBorders>
            <w:vAlign w:val="center"/>
          </w:tcPr>
          <w:p w14:paraId="1BCC5A0C">
            <w:pPr>
              <w:topLinePunct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风向</w:t>
            </w:r>
          </w:p>
          <w:p w14:paraId="09A736EF">
            <w:pPr>
              <w:topLinePunct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（方位）</w:t>
            </w:r>
          </w:p>
        </w:tc>
        <w:tc>
          <w:tcPr>
            <w:tcW w:w="543" w:type="pct"/>
            <w:tcBorders>
              <w:tl2br w:val="nil"/>
              <w:tr2bl w:val="nil"/>
            </w:tcBorders>
            <w:vAlign w:val="center"/>
          </w:tcPr>
          <w:p w14:paraId="6EF3279E">
            <w:pPr>
              <w:topLinePunct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风速</w:t>
            </w:r>
          </w:p>
          <w:p w14:paraId="0143CC77">
            <w:pPr>
              <w:topLinePunct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（m/s）</w:t>
            </w:r>
          </w:p>
        </w:tc>
      </w:tr>
      <w:tr w14:paraId="7800DA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45" w:type="pct"/>
            <w:vMerge w:val="restart"/>
            <w:tcBorders>
              <w:tl2br w:val="nil"/>
              <w:tr2bl w:val="nil"/>
            </w:tcBorders>
            <w:vAlign w:val="center"/>
          </w:tcPr>
          <w:p w14:paraId="3F5D2D5F">
            <w:pPr>
              <w:spacing w:line="240" w:lineRule="auto"/>
              <w:ind w:firstLine="0" w:firstLineChars="0"/>
              <w:jc w:val="center"/>
              <w:rPr>
                <w:color w:val="auto"/>
                <w:sz w:val="21"/>
                <w:szCs w:val="21"/>
                <w:highlight w:val="none"/>
              </w:rPr>
            </w:pPr>
            <w:r>
              <w:rPr>
                <w:rFonts w:hint="eastAsia"/>
                <w:color w:val="auto"/>
                <w:sz w:val="21"/>
                <w:szCs w:val="21"/>
                <w:highlight w:val="none"/>
              </w:rPr>
              <w:t>2023年</w:t>
            </w:r>
            <w:r>
              <w:rPr>
                <w:color w:val="auto"/>
                <w:sz w:val="21"/>
                <w:szCs w:val="21"/>
                <w:highlight w:val="none"/>
              </w:rPr>
              <w:t>5月</w:t>
            </w:r>
          </w:p>
          <w:p w14:paraId="74A27B26">
            <w:pPr>
              <w:widowControl/>
              <w:topLinePunct w:val="0"/>
              <w:adjustRightInd/>
              <w:spacing w:line="240" w:lineRule="auto"/>
              <w:ind w:firstLine="0" w:firstLineChars="0"/>
              <w:jc w:val="center"/>
              <w:rPr>
                <w:color w:val="auto"/>
                <w:sz w:val="21"/>
                <w:szCs w:val="21"/>
                <w:highlight w:val="none"/>
              </w:rPr>
            </w:pPr>
            <w:r>
              <w:rPr>
                <w:color w:val="auto"/>
                <w:sz w:val="21"/>
                <w:szCs w:val="21"/>
                <w:highlight w:val="none"/>
              </w:rPr>
              <w:t>16日</w:t>
            </w:r>
          </w:p>
        </w:tc>
        <w:tc>
          <w:tcPr>
            <w:tcW w:w="1406" w:type="pct"/>
            <w:tcBorders>
              <w:tl2br w:val="nil"/>
              <w:tr2bl w:val="nil"/>
            </w:tcBorders>
            <w:vAlign w:val="center"/>
          </w:tcPr>
          <w:p w14:paraId="185B5D0A">
            <w:pPr>
              <w:spacing w:line="240" w:lineRule="auto"/>
              <w:ind w:firstLine="0" w:firstLineChars="0"/>
              <w:jc w:val="center"/>
              <w:rPr>
                <w:color w:val="auto"/>
                <w:sz w:val="21"/>
                <w:szCs w:val="21"/>
                <w:highlight w:val="none"/>
              </w:rPr>
            </w:pPr>
            <w:r>
              <w:rPr>
                <w:color w:val="auto"/>
                <w:sz w:val="21"/>
                <w:szCs w:val="21"/>
                <w:highlight w:val="none"/>
              </w:rPr>
              <w:t>G1上风向参照点</w:t>
            </w:r>
          </w:p>
        </w:tc>
        <w:tc>
          <w:tcPr>
            <w:tcW w:w="536" w:type="pct"/>
            <w:tcBorders>
              <w:tl2br w:val="nil"/>
              <w:tr2bl w:val="nil"/>
            </w:tcBorders>
            <w:vAlign w:val="center"/>
          </w:tcPr>
          <w:p w14:paraId="040D0268">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0.051</w:t>
            </w:r>
          </w:p>
        </w:tc>
        <w:tc>
          <w:tcPr>
            <w:tcW w:w="542" w:type="pct"/>
            <w:tcBorders>
              <w:tl2br w:val="nil"/>
              <w:tr2bl w:val="nil"/>
            </w:tcBorders>
            <w:vAlign w:val="center"/>
          </w:tcPr>
          <w:p w14:paraId="022204FC">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28.0</w:t>
            </w:r>
          </w:p>
        </w:tc>
        <w:tc>
          <w:tcPr>
            <w:tcW w:w="542" w:type="pct"/>
            <w:tcBorders>
              <w:tl2br w:val="nil"/>
              <w:tr2bl w:val="nil"/>
            </w:tcBorders>
            <w:vAlign w:val="center"/>
          </w:tcPr>
          <w:p w14:paraId="6E25E9AC">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1010.2</w:t>
            </w:r>
          </w:p>
        </w:tc>
        <w:tc>
          <w:tcPr>
            <w:tcW w:w="542" w:type="pct"/>
            <w:tcBorders>
              <w:tl2br w:val="nil"/>
              <w:tr2bl w:val="nil"/>
            </w:tcBorders>
            <w:vAlign w:val="center"/>
          </w:tcPr>
          <w:p w14:paraId="3F82592F">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74</w:t>
            </w:r>
          </w:p>
        </w:tc>
        <w:tc>
          <w:tcPr>
            <w:tcW w:w="542" w:type="pct"/>
            <w:tcBorders>
              <w:tl2br w:val="nil"/>
              <w:tr2bl w:val="nil"/>
            </w:tcBorders>
            <w:vAlign w:val="center"/>
          </w:tcPr>
          <w:p w14:paraId="06A427A2">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西南</w:t>
            </w:r>
          </w:p>
        </w:tc>
        <w:tc>
          <w:tcPr>
            <w:tcW w:w="543" w:type="pct"/>
            <w:tcBorders>
              <w:tl2br w:val="nil"/>
              <w:tr2bl w:val="nil"/>
            </w:tcBorders>
            <w:vAlign w:val="center"/>
          </w:tcPr>
          <w:p w14:paraId="6291373C">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2.2</w:t>
            </w:r>
          </w:p>
        </w:tc>
      </w:tr>
      <w:tr w14:paraId="6515FE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45" w:type="pct"/>
            <w:vMerge w:val="continue"/>
            <w:tcBorders>
              <w:tl2br w:val="nil"/>
              <w:tr2bl w:val="nil"/>
            </w:tcBorders>
            <w:vAlign w:val="center"/>
          </w:tcPr>
          <w:p w14:paraId="53C2BBB2">
            <w:pPr>
              <w:topLinePunct w:val="0"/>
              <w:adjustRightInd/>
              <w:snapToGrid/>
              <w:spacing w:line="240" w:lineRule="auto"/>
              <w:ind w:firstLine="0" w:firstLineChars="0"/>
              <w:jc w:val="center"/>
              <w:rPr>
                <w:color w:val="auto"/>
                <w:sz w:val="21"/>
                <w:szCs w:val="21"/>
                <w:highlight w:val="none"/>
              </w:rPr>
            </w:pPr>
          </w:p>
        </w:tc>
        <w:tc>
          <w:tcPr>
            <w:tcW w:w="1406" w:type="pct"/>
            <w:tcBorders>
              <w:tl2br w:val="nil"/>
              <w:tr2bl w:val="nil"/>
            </w:tcBorders>
            <w:vAlign w:val="center"/>
          </w:tcPr>
          <w:p w14:paraId="70A776B3">
            <w:pPr>
              <w:spacing w:line="240" w:lineRule="auto"/>
              <w:ind w:firstLine="0" w:firstLineChars="0"/>
              <w:jc w:val="center"/>
              <w:rPr>
                <w:color w:val="auto"/>
                <w:sz w:val="21"/>
                <w:szCs w:val="21"/>
                <w:highlight w:val="none"/>
              </w:rPr>
            </w:pPr>
            <w:r>
              <w:rPr>
                <w:color w:val="auto"/>
                <w:sz w:val="21"/>
                <w:szCs w:val="21"/>
                <w:highlight w:val="none"/>
              </w:rPr>
              <w:t>G2项目厂界下风向监控点1</w:t>
            </w:r>
          </w:p>
        </w:tc>
        <w:tc>
          <w:tcPr>
            <w:tcW w:w="536" w:type="pct"/>
            <w:tcBorders>
              <w:tl2br w:val="nil"/>
              <w:tr2bl w:val="nil"/>
            </w:tcBorders>
            <w:vAlign w:val="center"/>
          </w:tcPr>
          <w:p w14:paraId="6381A577">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0.069</w:t>
            </w:r>
          </w:p>
        </w:tc>
        <w:tc>
          <w:tcPr>
            <w:tcW w:w="542" w:type="pct"/>
            <w:tcBorders>
              <w:tl2br w:val="nil"/>
              <w:tr2bl w:val="nil"/>
            </w:tcBorders>
            <w:vAlign w:val="center"/>
          </w:tcPr>
          <w:p w14:paraId="7FB5AA8E">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28.0</w:t>
            </w:r>
          </w:p>
        </w:tc>
        <w:tc>
          <w:tcPr>
            <w:tcW w:w="542" w:type="pct"/>
            <w:tcBorders>
              <w:tl2br w:val="nil"/>
              <w:tr2bl w:val="nil"/>
            </w:tcBorders>
            <w:vAlign w:val="center"/>
          </w:tcPr>
          <w:p w14:paraId="775D121A">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1010.2</w:t>
            </w:r>
          </w:p>
        </w:tc>
        <w:tc>
          <w:tcPr>
            <w:tcW w:w="542" w:type="pct"/>
            <w:tcBorders>
              <w:tl2br w:val="nil"/>
              <w:tr2bl w:val="nil"/>
            </w:tcBorders>
            <w:vAlign w:val="center"/>
          </w:tcPr>
          <w:p w14:paraId="488C6DD9">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74</w:t>
            </w:r>
          </w:p>
        </w:tc>
        <w:tc>
          <w:tcPr>
            <w:tcW w:w="542" w:type="pct"/>
            <w:tcBorders>
              <w:tl2br w:val="nil"/>
              <w:tr2bl w:val="nil"/>
            </w:tcBorders>
            <w:vAlign w:val="center"/>
          </w:tcPr>
          <w:p w14:paraId="4E5F0828">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西南</w:t>
            </w:r>
          </w:p>
        </w:tc>
        <w:tc>
          <w:tcPr>
            <w:tcW w:w="543" w:type="pct"/>
            <w:tcBorders>
              <w:tl2br w:val="nil"/>
              <w:tr2bl w:val="nil"/>
            </w:tcBorders>
            <w:vAlign w:val="center"/>
          </w:tcPr>
          <w:p w14:paraId="2EC8B6B5">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2.2</w:t>
            </w:r>
          </w:p>
        </w:tc>
      </w:tr>
      <w:tr w14:paraId="01C815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45" w:type="pct"/>
            <w:vMerge w:val="continue"/>
            <w:tcBorders>
              <w:tl2br w:val="nil"/>
              <w:tr2bl w:val="nil"/>
            </w:tcBorders>
            <w:vAlign w:val="center"/>
          </w:tcPr>
          <w:p w14:paraId="17DF5E92">
            <w:pPr>
              <w:topLinePunct w:val="0"/>
              <w:adjustRightInd/>
              <w:snapToGrid/>
              <w:spacing w:line="240" w:lineRule="auto"/>
              <w:ind w:firstLine="0" w:firstLineChars="0"/>
              <w:jc w:val="center"/>
              <w:rPr>
                <w:color w:val="auto"/>
                <w:sz w:val="21"/>
                <w:szCs w:val="21"/>
                <w:highlight w:val="none"/>
              </w:rPr>
            </w:pPr>
          </w:p>
        </w:tc>
        <w:tc>
          <w:tcPr>
            <w:tcW w:w="1406" w:type="pct"/>
            <w:tcBorders>
              <w:tl2br w:val="nil"/>
              <w:tr2bl w:val="nil"/>
            </w:tcBorders>
            <w:vAlign w:val="center"/>
          </w:tcPr>
          <w:p w14:paraId="6F3BCB4C">
            <w:pPr>
              <w:spacing w:line="240" w:lineRule="auto"/>
              <w:ind w:firstLine="0" w:firstLineChars="0"/>
              <w:jc w:val="center"/>
              <w:rPr>
                <w:color w:val="auto"/>
                <w:sz w:val="21"/>
                <w:szCs w:val="21"/>
                <w:highlight w:val="none"/>
              </w:rPr>
            </w:pPr>
            <w:r>
              <w:rPr>
                <w:color w:val="auto"/>
                <w:sz w:val="21"/>
                <w:szCs w:val="21"/>
                <w:highlight w:val="none"/>
              </w:rPr>
              <w:t>G3项目厂界下风向监控点2</w:t>
            </w:r>
          </w:p>
        </w:tc>
        <w:tc>
          <w:tcPr>
            <w:tcW w:w="536" w:type="pct"/>
            <w:tcBorders>
              <w:tl2br w:val="nil"/>
              <w:tr2bl w:val="nil"/>
            </w:tcBorders>
            <w:vAlign w:val="center"/>
          </w:tcPr>
          <w:p w14:paraId="63F30EA7">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0.042</w:t>
            </w:r>
          </w:p>
        </w:tc>
        <w:tc>
          <w:tcPr>
            <w:tcW w:w="542" w:type="pct"/>
            <w:tcBorders>
              <w:tl2br w:val="nil"/>
              <w:tr2bl w:val="nil"/>
            </w:tcBorders>
            <w:vAlign w:val="center"/>
          </w:tcPr>
          <w:p w14:paraId="7E861A2B">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28.0</w:t>
            </w:r>
          </w:p>
        </w:tc>
        <w:tc>
          <w:tcPr>
            <w:tcW w:w="542" w:type="pct"/>
            <w:tcBorders>
              <w:tl2br w:val="nil"/>
              <w:tr2bl w:val="nil"/>
            </w:tcBorders>
            <w:vAlign w:val="center"/>
          </w:tcPr>
          <w:p w14:paraId="79A6ED56">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1010.2</w:t>
            </w:r>
          </w:p>
        </w:tc>
        <w:tc>
          <w:tcPr>
            <w:tcW w:w="542" w:type="pct"/>
            <w:tcBorders>
              <w:tl2br w:val="nil"/>
              <w:tr2bl w:val="nil"/>
            </w:tcBorders>
            <w:vAlign w:val="center"/>
          </w:tcPr>
          <w:p w14:paraId="13EBF70D">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74</w:t>
            </w:r>
          </w:p>
        </w:tc>
        <w:tc>
          <w:tcPr>
            <w:tcW w:w="542" w:type="pct"/>
            <w:tcBorders>
              <w:tl2br w:val="nil"/>
              <w:tr2bl w:val="nil"/>
            </w:tcBorders>
            <w:vAlign w:val="center"/>
          </w:tcPr>
          <w:p w14:paraId="5E717C79">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西南</w:t>
            </w:r>
          </w:p>
        </w:tc>
        <w:tc>
          <w:tcPr>
            <w:tcW w:w="543" w:type="pct"/>
            <w:tcBorders>
              <w:tl2br w:val="nil"/>
              <w:tr2bl w:val="nil"/>
            </w:tcBorders>
            <w:vAlign w:val="center"/>
          </w:tcPr>
          <w:p w14:paraId="42C10420">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2.2</w:t>
            </w:r>
          </w:p>
        </w:tc>
      </w:tr>
      <w:tr w14:paraId="59B3E6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45" w:type="pct"/>
            <w:vMerge w:val="restart"/>
            <w:tcBorders>
              <w:tl2br w:val="nil"/>
              <w:tr2bl w:val="nil"/>
            </w:tcBorders>
            <w:vAlign w:val="center"/>
          </w:tcPr>
          <w:p w14:paraId="73DF0366">
            <w:pPr>
              <w:spacing w:line="240" w:lineRule="auto"/>
              <w:ind w:firstLine="0" w:firstLineChars="0"/>
              <w:jc w:val="center"/>
              <w:rPr>
                <w:color w:val="auto"/>
                <w:sz w:val="21"/>
                <w:szCs w:val="21"/>
                <w:highlight w:val="none"/>
              </w:rPr>
            </w:pPr>
            <w:r>
              <w:rPr>
                <w:rFonts w:hint="eastAsia"/>
                <w:color w:val="auto"/>
                <w:sz w:val="21"/>
                <w:szCs w:val="21"/>
                <w:highlight w:val="none"/>
              </w:rPr>
              <w:t>2023年</w:t>
            </w:r>
            <w:r>
              <w:rPr>
                <w:color w:val="auto"/>
                <w:sz w:val="21"/>
                <w:szCs w:val="21"/>
                <w:highlight w:val="none"/>
              </w:rPr>
              <w:t>5月</w:t>
            </w:r>
          </w:p>
          <w:p w14:paraId="4D9268A7">
            <w:pPr>
              <w:widowControl/>
              <w:topLinePunct w:val="0"/>
              <w:adjustRightInd/>
              <w:spacing w:line="240" w:lineRule="auto"/>
              <w:ind w:firstLine="0" w:firstLineChars="0"/>
              <w:jc w:val="center"/>
              <w:rPr>
                <w:color w:val="auto"/>
                <w:sz w:val="21"/>
                <w:szCs w:val="21"/>
                <w:highlight w:val="none"/>
              </w:rPr>
            </w:pPr>
            <w:r>
              <w:rPr>
                <w:color w:val="auto"/>
                <w:sz w:val="21"/>
                <w:szCs w:val="21"/>
                <w:highlight w:val="none"/>
              </w:rPr>
              <w:t>1</w:t>
            </w:r>
            <w:r>
              <w:rPr>
                <w:rFonts w:hint="eastAsia"/>
                <w:color w:val="auto"/>
                <w:sz w:val="21"/>
                <w:szCs w:val="21"/>
                <w:highlight w:val="none"/>
              </w:rPr>
              <w:t>7</w:t>
            </w:r>
            <w:r>
              <w:rPr>
                <w:color w:val="auto"/>
                <w:sz w:val="21"/>
                <w:szCs w:val="21"/>
                <w:highlight w:val="none"/>
              </w:rPr>
              <w:t>日</w:t>
            </w:r>
          </w:p>
        </w:tc>
        <w:tc>
          <w:tcPr>
            <w:tcW w:w="1406" w:type="pct"/>
            <w:tcBorders>
              <w:tl2br w:val="nil"/>
              <w:tr2bl w:val="nil"/>
            </w:tcBorders>
            <w:vAlign w:val="center"/>
          </w:tcPr>
          <w:p w14:paraId="04C59E2C">
            <w:pPr>
              <w:spacing w:line="240" w:lineRule="auto"/>
              <w:ind w:firstLine="0" w:firstLineChars="0"/>
              <w:jc w:val="center"/>
              <w:rPr>
                <w:color w:val="auto"/>
                <w:sz w:val="21"/>
                <w:szCs w:val="21"/>
                <w:highlight w:val="none"/>
              </w:rPr>
            </w:pPr>
            <w:r>
              <w:rPr>
                <w:color w:val="auto"/>
                <w:sz w:val="21"/>
                <w:szCs w:val="21"/>
                <w:highlight w:val="none"/>
              </w:rPr>
              <w:t>G1上风向参照点</w:t>
            </w:r>
          </w:p>
        </w:tc>
        <w:tc>
          <w:tcPr>
            <w:tcW w:w="536" w:type="pct"/>
            <w:tcBorders>
              <w:tl2br w:val="nil"/>
              <w:tr2bl w:val="nil"/>
            </w:tcBorders>
            <w:vAlign w:val="center"/>
          </w:tcPr>
          <w:p w14:paraId="2C51A6BF">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0.058</w:t>
            </w:r>
          </w:p>
        </w:tc>
        <w:tc>
          <w:tcPr>
            <w:tcW w:w="542" w:type="pct"/>
            <w:tcBorders>
              <w:tl2br w:val="nil"/>
              <w:tr2bl w:val="nil"/>
            </w:tcBorders>
            <w:vAlign w:val="center"/>
          </w:tcPr>
          <w:p w14:paraId="5376C008">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27.8</w:t>
            </w:r>
          </w:p>
        </w:tc>
        <w:tc>
          <w:tcPr>
            <w:tcW w:w="542" w:type="pct"/>
            <w:tcBorders>
              <w:tl2br w:val="nil"/>
              <w:tr2bl w:val="nil"/>
            </w:tcBorders>
            <w:vAlign w:val="center"/>
          </w:tcPr>
          <w:p w14:paraId="0DB1DA29">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1010.2</w:t>
            </w:r>
          </w:p>
        </w:tc>
        <w:tc>
          <w:tcPr>
            <w:tcW w:w="542" w:type="pct"/>
            <w:tcBorders>
              <w:tl2br w:val="nil"/>
              <w:tr2bl w:val="nil"/>
            </w:tcBorders>
            <w:vAlign w:val="center"/>
          </w:tcPr>
          <w:p w14:paraId="7B0B15E8">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74</w:t>
            </w:r>
          </w:p>
        </w:tc>
        <w:tc>
          <w:tcPr>
            <w:tcW w:w="542" w:type="pct"/>
            <w:tcBorders>
              <w:tl2br w:val="nil"/>
              <w:tr2bl w:val="nil"/>
            </w:tcBorders>
            <w:vAlign w:val="center"/>
          </w:tcPr>
          <w:p w14:paraId="73545C44">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西南</w:t>
            </w:r>
          </w:p>
        </w:tc>
        <w:tc>
          <w:tcPr>
            <w:tcW w:w="543" w:type="pct"/>
            <w:tcBorders>
              <w:tl2br w:val="nil"/>
              <w:tr2bl w:val="nil"/>
            </w:tcBorders>
            <w:vAlign w:val="center"/>
          </w:tcPr>
          <w:p w14:paraId="066487A1">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2.1</w:t>
            </w:r>
          </w:p>
        </w:tc>
      </w:tr>
      <w:tr w14:paraId="2C158D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45" w:type="pct"/>
            <w:vMerge w:val="continue"/>
            <w:tcBorders>
              <w:tl2br w:val="nil"/>
              <w:tr2bl w:val="nil"/>
            </w:tcBorders>
            <w:vAlign w:val="center"/>
          </w:tcPr>
          <w:p w14:paraId="65A86DF3">
            <w:pPr>
              <w:topLinePunct w:val="0"/>
              <w:adjustRightInd/>
              <w:snapToGrid/>
              <w:spacing w:line="240" w:lineRule="auto"/>
              <w:ind w:firstLine="0" w:firstLineChars="0"/>
              <w:jc w:val="center"/>
              <w:rPr>
                <w:color w:val="auto"/>
                <w:sz w:val="21"/>
                <w:szCs w:val="21"/>
                <w:highlight w:val="none"/>
              </w:rPr>
            </w:pPr>
          </w:p>
        </w:tc>
        <w:tc>
          <w:tcPr>
            <w:tcW w:w="1406" w:type="pct"/>
            <w:tcBorders>
              <w:tl2br w:val="nil"/>
              <w:tr2bl w:val="nil"/>
            </w:tcBorders>
            <w:vAlign w:val="center"/>
          </w:tcPr>
          <w:p w14:paraId="098EFC71">
            <w:pPr>
              <w:spacing w:line="240" w:lineRule="auto"/>
              <w:ind w:firstLine="0" w:firstLineChars="0"/>
              <w:jc w:val="center"/>
              <w:rPr>
                <w:color w:val="auto"/>
                <w:sz w:val="21"/>
                <w:szCs w:val="21"/>
                <w:highlight w:val="none"/>
              </w:rPr>
            </w:pPr>
            <w:r>
              <w:rPr>
                <w:color w:val="auto"/>
                <w:sz w:val="21"/>
                <w:szCs w:val="21"/>
                <w:highlight w:val="none"/>
              </w:rPr>
              <w:t>G2项目厂界下风向监控点1</w:t>
            </w:r>
          </w:p>
        </w:tc>
        <w:tc>
          <w:tcPr>
            <w:tcW w:w="536" w:type="pct"/>
            <w:tcBorders>
              <w:tl2br w:val="nil"/>
              <w:tr2bl w:val="nil"/>
            </w:tcBorders>
            <w:vAlign w:val="center"/>
          </w:tcPr>
          <w:p w14:paraId="4D772383">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0.069</w:t>
            </w:r>
          </w:p>
        </w:tc>
        <w:tc>
          <w:tcPr>
            <w:tcW w:w="542" w:type="pct"/>
            <w:tcBorders>
              <w:tl2br w:val="nil"/>
              <w:tr2bl w:val="nil"/>
            </w:tcBorders>
            <w:vAlign w:val="center"/>
          </w:tcPr>
          <w:p w14:paraId="6E9A35B9">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27.8</w:t>
            </w:r>
          </w:p>
        </w:tc>
        <w:tc>
          <w:tcPr>
            <w:tcW w:w="542" w:type="pct"/>
            <w:tcBorders>
              <w:tl2br w:val="nil"/>
              <w:tr2bl w:val="nil"/>
            </w:tcBorders>
            <w:vAlign w:val="center"/>
          </w:tcPr>
          <w:p w14:paraId="2D0BF1F2">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1010.2</w:t>
            </w:r>
          </w:p>
        </w:tc>
        <w:tc>
          <w:tcPr>
            <w:tcW w:w="542" w:type="pct"/>
            <w:tcBorders>
              <w:tl2br w:val="nil"/>
              <w:tr2bl w:val="nil"/>
            </w:tcBorders>
            <w:vAlign w:val="center"/>
          </w:tcPr>
          <w:p w14:paraId="3E4D8E95">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74</w:t>
            </w:r>
          </w:p>
        </w:tc>
        <w:tc>
          <w:tcPr>
            <w:tcW w:w="542" w:type="pct"/>
            <w:tcBorders>
              <w:tl2br w:val="nil"/>
              <w:tr2bl w:val="nil"/>
            </w:tcBorders>
            <w:vAlign w:val="center"/>
          </w:tcPr>
          <w:p w14:paraId="4063B069">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西南</w:t>
            </w:r>
          </w:p>
        </w:tc>
        <w:tc>
          <w:tcPr>
            <w:tcW w:w="543" w:type="pct"/>
            <w:tcBorders>
              <w:tl2br w:val="nil"/>
              <w:tr2bl w:val="nil"/>
            </w:tcBorders>
            <w:vAlign w:val="center"/>
          </w:tcPr>
          <w:p w14:paraId="4B739485">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2.1</w:t>
            </w:r>
          </w:p>
        </w:tc>
      </w:tr>
      <w:tr w14:paraId="610EF6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345" w:type="pct"/>
            <w:vMerge w:val="continue"/>
            <w:tcBorders>
              <w:tl2br w:val="nil"/>
              <w:tr2bl w:val="nil"/>
            </w:tcBorders>
            <w:vAlign w:val="center"/>
          </w:tcPr>
          <w:p w14:paraId="51D40A85">
            <w:pPr>
              <w:topLinePunct w:val="0"/>
              <w:adjustRightInd/>
              <w:snapToGrid/>
              <w:spacing w:line="240" w:lineRule="auto"/>
              <w:ind w:firstLine="0" w:firstLineChars="0"/>
              <w:jc w:val="center"/>
              <w:rPr>
                <w:color w:val="auto"/>
                <w:sz w:val="21"/>
                <w:szCs w:val="21"/>
                <w:highlight w:val="none"/>
              </w:rPr>
            </w:pPr>
          </w:p>
        </w:tc>
        <w:tc>
          <w:tcPr>
            <w:tcW w:w="1406" w:type="pct"/>
            <w:tcBorders>
              <w:tl2br w:val="nil"/>
              <w:tr2bl w:val="nil"/>
            </w:tcBorders>
            <w:vAlign w:val="center"/>
          </w:tcPr>
          <w:p w14:paraId="4EA480DC">
            <w:pPr>
              <w:spacing w:line="240" w:lineRule="auto"/>
              <w:ind w:firstLine="0" w:firstLineChars="0"/>
              <w:jc w:val="center"/>
              <w:rPr>
                <w:color w:val="auto"/>
                <w:sz w:val="21"/>
                <w:szCs w:val="21"/>
                <w:highlight w:val="none"/>
              </w:rPr>
            </w:pPr>
            <w:r>
              <w:rPr>
                <w:color w:val="auto"/>
                <w:sz w:val="21"/>
                <w:szCs w:val="21"/>
                <w:highlight w:val="none"/>
              </w:rPr>
              <w:t>G3项目厂界下风向监控点2</w:t>
            </w:r>
          </w:p>
        </w:tc>
        <w:tc>
          <w:tcPr>
            <w:tcW w:w="536" w:type="pct"/>
            <w:tcBorders>
              <w:tl2br w:val="nil"/>
              <w:tr2bl w:val="nil"/>
            </w:tcBorders>
            <w:vAlign w:val="center"/>
          </w:tcPr>
          <w:p w14:paraId="17F04B05">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0.060</w:t>
            </w:r>
          </w:p>
        </w:tc>
        <w:tc>
          <w:tcPr>
            <w:tcW w:w="542" w:type="pct"/>
            <w:tcBorders>
              <w:tl2br w:val="nil"/>
              <w:tr2bl w:val="nil"/>
            </w:tcBorders>
            <w:vAlign w:val="center"/>
          </w:tcPr>
          <w:p w14:paraId="787AC326">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27.8</w:t>
            </w:r>
          </w:p>
        </w:tc>
        <w:tc>
          <w:tcPr>
            <w:tcW w:w="542" w:type="pct"/>
            <w:tcBorders>
              <w:tl2br w:val="nil"/>
              <w:tr2bl w:val="nil"/>
            </w:tcBorders>
            <w:vAlign w:val="center"/>
          </w:tcPr>
          <w:p w14:paraId="189D7BD3">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1010.2</w:t>
            </w:r>
          </w:p>
        </w:tc>
        <w:tc>
          <w:tcPr>
            <w:tcW w:w="542" w:type="pct"/>
            <w:tcBorders>
              <w:tl2br w:val="nil"/>
              <w:tr2bl w:val="nil"/>
            </w:tcBorders>
            <w:vAlign w:val="center"/>
          </w:tcPr>
          <w:p w14:paraId="6CA3FA3B">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74</w:t>
            </w:r>
          </w:p>
        </w:tc>
        <w:tc>
          <w:tcPr>
            <w:tcW w:w="542" w:type="pct"/>
            <w:tcBorders>
              <w:tl2br w:val="nil"/>
              <w:tr2bl w:val="nil"/>
            </w:tcBorders>
            <w:vAlign w:val="center"/>
          </w:tcPr>
          <w:p w14:paraId="69C3AC8E">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西南</w:t>
            </w:r>
          </w:p>
        </w:tc>
        <w:tc>
          <w:tcPr>
            <w:tcW w:w="543" w:type="pct"/>
            <w:tcBorders>
              <w:tl2br w:val="nil"/>
              <w:tr2bl w:val="nil"/>
            </w:tcBorders>
            <w:vAlign w:val="center"/>
          </w:tcPr>
          <w:p w14:paraId="12BFBEFF">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2.1</w:t>
            </w:r>
          </w:p>
        </w:tc>
      </w:tr>
      <w:tr w14:paraId="763BBF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1752" w:type="pct"/>
            <w:gridSpan w:val="2"/>
            <w:tcBorders>
              <w:tl2br w:val="nil"/>
              <w:tr2bl w:val="nil"/>
            </w:tcBorders>
            <w:vAlign w:val="center"/>
          </w:tcPr>
          <w:p w14:paraId="160CEF7A">
            <w:pPr>
              <w:widowControl/>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标准限值</w:t>
            </w:r>
          </w:p>
        </w:tc>
        <w:tc>
          <w:tcPr>
            <w:tcW w:w="536" w:type="pct"/>
            <w:tcBorders>
              <w:tl2br w:val="nil"/>
              <w:tr2bl w:val="nil"/>
            </w:tcBorders>
            <w:vAlign w:val="center"/>
          </w:tcPr>
          <w:p w14:paraId="094BD192">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1.0</w:t>
            </w:r>
          </w:p>
        </w:tc>
        <w:tc>
          <w:tcPr>
            <w:tcW w:w="542" w:type="pct"/>
            <w:tcBorders>
              <w:tl2br w:val="nil"/>
              <w:tr2bl w:val="nil"/>
            </w:tcBorders>
            <w:vAlign w:val="center"/>
          </w:tcPr>
          <w:p w14:paraId="3CB394FF">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w:t>
            </w:r>
          </w:p>
        </w:tc>
        <w:tc>
          <w:tcPr>
            <w:tcW w:w="542" w:type="pct"/>
            <w:tcBorders>
              <w:tl2br w:val="nil"/>
              <w:tr2bl w:val="nil"/>
            </w:tcBorders>
            <w:vAlign w:val="center"/>
          </w:tcPr>
          <w:p w14:paraId="5067D500">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w:t>
            </w:r>
          </w:p>
        </w:tc>
        <w:tc>
          <w:tcPr>
            <w:tcW w:w="542" w:type="pct"/>
            <w:tcBorders>
              <w:tl2br w:val="nil"/>
              <w:tr2bl w:val="nil"/>
            </w:tcBorders>
            <w:vAlign w:val="center"/>
          </w:tcPr>
          <w:p w14:paraId="3A633D16">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w:t>
            </w:r>
          </w:p>
        </w:tc>
        <w:tc>
          <w:tcPr>
            <w:tcW w:w="542" w:type="pct"/>
            <w:tcBorders>
              <w:tl2br w:val="nil"/>
              <w:tr2bl w:val="nil"/>
            </w:tcBorders>
            <w:vAlign w:val="center"/>
          </w:tcPr>
          <w:p w14:paraId="0C2B57E7">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w:t>
            </w:r>
          </w:p>
        </w:tc>
        <w:tc>
          <w:tcPr>
            <w:tcW w:w="543" w:type="pct"/>
            <w:tcBorders>
              <w:tl2br w:val="nil"/>
              <w:tr2bl w:val="nil"/>
            </w:tcBorders>
            <w:vAlign w:val="center"/>
          </w:tcPr>
          <w:p w14:paraId="75D7E366">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w:t>
            </w:r>
          </w:p>
        </w:tc>
      </w:tr>
      <w:tr w14:paraId="68923D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jc w:val="center"/>
        </w:trPr>
        <w:tc>
          <w:tcPr>
            <w:tcW w:w="1752" w:type="pct"/>
            <w:gridSpan w:val="2"/>
            <w:tcBorders>
              <w:tl2br w:val="nil"/>
              <w:tr2bl w:val="nil"/>
            </w:tcBorders>
            <w:vAlign w:val="center"/>
          </w:tcPr>
          <w:p w14:paraId="6D3D1671">
            <w:pPr>
              <w:widowControl/>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结果评价</w:t>
            </w:r>
          </w:p>
        </w:tc>
        <w:tc>
          <w:tcPr>
            <w:tcW w:w="536" w:type="pct"/>
            <w:tcBorders>
              <w:tl2br w:val="nil"/>
              <w:tr2bl w:val="nil"/>
            </w:tcBorders>
            <w:vAlign w:val="center"/>
          </w:tcPr>
          <w:p w14:paraId="5B92E90E">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达标</w:t>
            </w:r>
          </w:p>
        </w:tc>
        <w:tc>
          <w:tcPr>
            <w:tcW w:w="542" w:type="pct"/>
            <w:tcBorders>
              <w:tl2br w:val="nil"/>
              <w:tr2bl w:val="nil"/>
            </w:tcBorders>
            <w:vAlign w:val="center"/>
          </w:tcPr>
          <w:p w14:paraId="2E03AF9B">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w:t>
            </w:r>
          </w:p>
        </w:tc>
        <w:tc>
          <w:tcPr>
            <w:tcW w:w="542" w:type="pct"/>
            <w:tcBorders>
              <w:tl2br w:val="nil"/>
              <w:tr2bl w:val="nil"/>
            </w:tcBorders>
            <w:vAlign w:val="center"/>
          </w:tcPr>
          <w:p w14:paraId="5E7487E7">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w:t>
            </w:r>
          </w:p>
        </w:tc>
        <w:tc>
          <w:tcPr>
            <w:tcW w:w="542" w:type="pct"/>
            <w:tcBorders>
              <w:tl2br w:val="nil"/>
              <w:tr2bl w:val="nil"/>
            </w:tcBorders>
            <w:vAlign w:val="center"/>
          </w:tcPr>
          <w:p w14:paraId="378E8468">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w:t>
            </w:r>
          </w:p>
        </w:tc>
        <w:tc>
          <w:tcPr>
            <w:tcW w:w="542" w:type="pct"/>
            <w:tcBorders>
              <w:tl2br w:val="nil"/>
              <w:tr2bl w:val="nil"/>
            </w:tcBorders>
            <w:vAlign w:val="center"/>
          </w:tcPr>
          <w:p w14:paraId="717A5B4D">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w:t>
            </w:r>
          </w:p>
        </w:tc>
        <w:tc>
          <w:tcPr>
            <w:tcW w:w="543" w:type="pct"/>
            <w:tcBorders>
              <w:tl2br w:val="nil"/>
              <w:tr2bl w:val="nil"/>
            </w:tcBorders>
            <w:vAlign w:val="center"/>
          </w:tcPr>
          <w:p w14:paraId="7E0D8AC9">
            <w:pPr>
              <w:topLinePunct w:val="0"/>
              <w:adjustRightInd/>
              <w:snapToGrid/>
              <w:spacing w:line="240" w:lineRule="auto"/>
              <w:ind w:firstLine="0" w:firstLineChars="0"/>
              <w:jc w:val="center"/>
              <w:rPr>
                <w:color w:val="auto"/>
                <w:sz w:val="21"/>
                <w:szCs w:val="21"/>
                <w:highlight w:val="none"/>
              </w:rPr>
            </w:pPr>
            <w:r>
              <w:rPr>
                <w:color w:val="auto"/>
                <w:sz w:val="21"/>
                <w:szCs w:val="21"/>
                <w:highlight w:val="none"/>
              </w:rPr>
              <w:t>/</w:t>
            </w:r>
          </w:p>
        </w:tc>
      </w:tr>
    </w:tbl>
    <w:p w14:paraId="4D5E7F25">
      <w:pPr>
        <w:spacing w:before="120" w:beforeLines="50"/>
        <w:ind w:firstLine="480"/>
        <w:rPr>
          <w:color w:val="auto"/>
          <w:highlight w:val="none"/>
        </w:rPr>
      </w:pPr>
      <w:r>
        <w:rPr>
          <w:color w:val="auto"/>
          <w:highlight w:val="none"/>
        </w:rPr>
        <w:t>验收监测期间，厂界无组织废气的总悬浮颗粒物满足《大气污染物综合排放标准》（GB 16297-1996）表2新污染源大气污染物排放限值；二甲苯、非甲烷总烃满足《大气污染物综合排放标准》（GB 16297- 1996）表2无组织排放监控浓度限值要求；装卸作业区非甲烷总烃符合《挥发性有机物无组织排放控制标准》（GB 37822-2019）附录A要求。</w:t>
      </w:r>
    </w:p>
    <w:p w14:paraId="3D40844F">
      <w:pPr>
        <w:ind w:firstLine="482"/>
        <w:rPr>
          <w:b/>
          <w:bCs/>
          <w:color w:val="auto"/>
          <w:highlight w:val="none"/>
        </w:rPr>
      </w:pPr>
      <w:r>
        <w:rPr>
          <w:b/>
          <w:bCs/>
          <w:color w:val="auto"/>
          <w:highlight w:val="none"/>
        </w:rPr>
        <w:t>（</w:t>
      </w:r>
      <w:r>
        <w:rPr>
          <w:rFonts w:hint="eastAsia"/>
          <w:b/>
          <w:bCs/>
          <w:color w:val="auto"/>
          <w:highlight w:val="none"/>
        </w:rPr>
        <w:t>2</w:t>
      </w:r>
      <w:r>
        <w:rPr>
          <w:b/>
          <w:bCs/>
          <w:color w:val="auto"/>
          <w:highlight w:val="none"/>
        </w:rPr>
        <w:t>）噪声</w:t>
      </w:r>
    </w:p>
    <w:p w14:paraId="6F20AAAE">
      <w:pPr>
        <w:ind w:firstLine="480"/>
        <w:rPr>
          <w:color w:val="auto"/>
          <w:highlight w:val="none"/>
        </w:rPr>
      </w:pPr>
      <w:r>
        <w:rPr>
          <w:color w:val="auto"/>
          <w:highlight w:val="none"/>
        </w:rPr>
        <w:t>项目运营期间的噪声主要来源于装卸机械噪声、船舶产生的交通噪声、运输车辆噪声等。一般情况下，船舶停靠后不鸣笛。根据</w:t>
      </w:r>
      <w:r>
        <w:rPr>
          <w:rFonts w:hint="eastAsia"/>
          <w:color w:val="auto"/>
          <w:highlight w:val="none"/>
        </w:rPr>
        <w:t>2025年建设单位对厂界四周的监测结果，见上表2.1-15</w:t>
      </w:r>
      <w:r>
        <w:rPr>
          <w:color w:val="auto"/>
          <w:highlight w:val="none"/>
        </w:rPr>
        <w:t>，</w:t>
      </w:r>
      <w:r>
        <w:rPr>
          <w:rFonts w:hint="eastAsia"/>
          <w:color w:val="auto"/>
          <w:highlight w:val="none"/>
        </w:rPr>
        <w:t>可知项目正常运行期间，厂界四周</w:t>
      </w:r>
      <w:r>
        <w:rPr>
          <w:color w:val="auto"/>
          <w:highlight w:val="none"/>
        </w:rPr>
        <w:t>的昼、夜间监测值均符合《工业企业厂界环境噪声排放标准》（GB 12348-2008）表1中3类声环境功能区排放限值要求。</w:t>
      </w:r>
    </w:p>
    <w:p w14:paraId="5340C933">
      <w:pPr>
        <w:pStyle w:val="7"/>
        <w:numPr>
          <w:ilvl w:val="2"/>
          <w:numId w:val="9"/>
        </w:numPr>
        <w:rPr>
          <w:color w:val="auto"/>
          <w:sz w:val="28"/>
          <w:highlight w:val="none"/>
          <w:u w:val="single"/>
        </w:rPr>
      </w:pPr>
      <w:r>
        <w:rPr>
          <w:color w:val="auto"/>
          <w:sz w:val="28"/>
          <w:highlight w:val="none"/>
          <w:u w:val="single"/>
        </w:rPr>
        <w:t>企业排污许可制度执行情况</w:t>
      </w:r>
    </w:p>
    <w:p w14:paraId="77738A42">
      <w:pPr>
        <w:ind w:firstLine="480"/>
        <w:rPr>
          <w:color w:val="auto"/>
          <w:highlight w:val="none"/>
          <w:u w:val="single"/>
          <w:lang w:bidi="ar"/>
        </w:rPr>
      </w:pPr>
      <w:r>
        <w:rPr>
          <w:color w:val="auto"/>
          <w:highlight w:val="none"/>
          <w:u w:val="single"/>
          <w:lang w:bidi="ar"/>
        </w:rPr>
        <w:t>根据全国排污许可证管理信息平台信息公开情况，建设单位</w:t>
      </w:r>
      <w:r>
        <w:rPr>
          <w:color w:val="auto"/>
          <w:highlight w:val="none"/>
          <w:u w:val="single"/>
        </w:rPr>
        <w:t>中国船舶集团广西造船有限公司已</w:t>
      </w:r>
      <w:r>
        <w:rPr>
          <w:color w:val="auto"/>
          <w:highlight w:val="none"/>
          <w:u w:val="single"/>
          <w:lang w:bidi="ar"/>
        </w:rPr>
        <w:t>申领排污许可证，编号为91450700059544985W002R，行业类别为金属船舶制造，排污许可证管理类别为重点管理。排污许可有效期自</w:t>
      </w:r>
      <w:r>
        <w:rPr>
          <w:rFonts w:hint="eastAsia"/>
          <w:color w:val="auto"/>
          <w:highlight w:val="none"/>
          <w:u w:val="single"/>
          <w:lang w:eastAsia="zh-CN" w:bidi="ar"/>
        </w:rPr>
        <w:t>2025年12月9日</w:t>
      </w:r>
      <w:r>
        <w:rPr>
          <w:color w:val="auto"/>
          <w:highlight w:val="none"/>
          <w:u w:val="single"/>
          <w:lang w:bidi="ar"/>
        </w:rPr>
        <w:t>至</w:t>
      </w:r>
      <w:r>
        <w:rPr>
          <w:rFonts w:hint="eastAsia"/>
          <w:color w:val="auto"/>
          <w:highlight w:val="none"/>
          <w:u w:val="single"/>
          <w:lang w:eastAsia="zh-CN" w:bidi="ar"/>
        </w:rPr>
        <w:t>2030年12月8日</w:t>
      </w:r>
      <w:r>
        <w:rPr>
          <w:color w:val="auto"/>
          <w:highlight w:val="none"/>
          <w:u w:val="single"/>
          <w:lang w:bidi="ar"/>
        </w:rPr>
        <w:t>止）。</w:t>
      </w:r>
      <w:r>
        <w:rPr>
          <w:rFonts w:hint="eastAsia"/>
          <w:color w:val="auto"/>
          <w:highlight w:val="none"/>
          <w:u w:val="single"/>
          <w:lang w:bidi="ar"/>
        </w:rPr>
        <w:t>由于企业无主要排放口，因此无企业大气排放总许可量和水污染物排放许可量，根据企业自行监测结果分析，各类污染物达到排污许可浓度限值要求。</w:t>
      </w:r>
    </w:p>
    <w:p w14:paraId="268BF2ED">
      <w:pPr>
        <w:pStyle w:val="7"/>
        <w:numPr>
          <w:ilvl w:val="2"/>
          <w:numId w:val="9"/>
        </w:numPr>
        <w:rPr>
          <w:color w:val="auto"/>
          <w:sz w:val="28"/>
          <w:highlight w:val="none"/>
          <w:u w:val="single"/>
        </w:rPr>
      </w:pPr>
      <w:r>
        <w:rPr>
          <w:color w:val="auto"/>
          <w:sz w:val="28"/>
          <w:highlight w:val="none"/>
          <w:u w:val="single"/>
        </w:rPr>
        <w:t>现有工程</w:t>
      </w:r>
      <w:r>
        <w:rPr>
          <w:rFonts w:hint="eastAsia"/>
          <w:color w:val="auto"/>
          <w:sz w:val="28"/>
          <w:highlight w:val="none"/>
          <w:u w:val="single"/>
        </w:rPr>
        <w:t>全厂环保措施落实情况</w:t>
      </w:r>
    </w:p>
    <w:p w14:paraId="61F325C5">
      <w:pPr>
        <w:ind w:firstLine="482"/>
        <w:rPr>
          <w:b/>
          <w:bCs/>
          <w:color w:val="auto"/>
          <w:highlight w:val="none"/>
          <w:u w:val="single"/>
        </w:rPr>
      </w:pPr>
      <w:r>
        <w:rPr>
          <w:rFonts w:hint="eastAsia"/>
          <w:b/>
          <w:bCs/>
          <w:color w:val="auto"/>
          <w:highlight w:val="none"/>
          <w:u w:val="single"/>
        </w:rPr>
        <w:t>（1）全厂环保措施设置情况</w:t>
      </w:r>
    </w:p>
    <w:p w14:paraId="47FCCED5">
      <w:pPr>
        <w:ind w:firstLine="480"/>
        <w:rPr>
          <w:color w:val="auto"/>
          <w:highlight w:val="none"/>
          <w:u w:val="single"/>
        </w:rPr>
      </w:pPr>
      <w:r>
        <w:rPr>
          <w:rFonts w:hint="eastAsia"/>
          <w:color w:val="auto"/>
          <w:highlight w:val="none"/>
          <w:u w:val="single"/>
        </w:rPr>
        <w:t>根据现场调查，现有工程全厂环保措施设置见下图2.1-8，措施落实情况见表2.1-25。根据核实，项目采取的挥发性有机物处置措施均不属于《国家污染防治技术指导目录（2024年，限制类和淘汰类）》中的限制类和淘汰类措施。</w:t>
      </w:r>
    </w:p>
    <w:p w14:paraId="48979A2B">
      <w:pPr>
        <w:pStyle w:val="38"/>
        <w:spacing w:after="0" w:line="240" w:lineRule="auto"/>
        <w:ind w:firstLine="0" w:firstLineChars="0"/>
        <w:jc w:val="center"/>
        <w:rPr>
          <w:b/>
          <w:color w:val="auto"/>
          <w:sz w:val="21"/>
          <w:szCs w:val="21"/>
          <w:highlight w:val="none"/>
          <w:u w:val="single"/>
        </w:rPr>
      </w:pPr>
      <w:r>
        <w:rPr>
          <w:b/>
          <w:color w:val="auto"/>
          <w:sz w:val="21"/>
          <w:szCs w:val="21"/>
          <w:highlight w:val="none"/>
          <w:u w:val="single"/>
        </w:rPr>
        <w:drawing>
          <wp:inline distT="0" distB="0" distL="0" distR="0">
            <wp:extent cx="6075680" cy="4561840"/>
            <wp:effectExtent l="0" t="0" r="1270" b="1016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6075680" cy="4561840"/>
                    </a:xfrm>
                    <a:prstGeom prst="rect">
                      <a:avLst/>
                    </a:prstGeom>
                    <a:noFill/>
                    <a:ln>
                      <a:noFill/>
                    </a:ln>
                  </pic:spPr>
                </pic:pic>
              </a:graphicData>
            </a:graphic>
          </wp:inline>
        </w:drawing>
      </w:r>
    </w:p>
    <w:p w14:paraId="7B0246D3">
      <w:pPr>
        <w:pStyle w:val="38"/>
        <w:spacing w:after="0" w:line="240" w:lineRule="auto"/>
        <w:ind w:firstLine="0" w:firstLineChars="0"/>
        <w:jc w:val="center"/>
        <w:rPr>
          <w:b/>
          <w:color w:val="auto"/>
          <w:sz w:val="21"/>
          <w:szCs w:val="21"/>
          <w:highlight w:val="none"/>
          <w:u w:val="single"/>
        </w:rPr>
      </w:pPr>
      <w:r>
        <w:rPr>
          <w:rFonts w:hint="eastAsia"/>
          <w:b/>
          <w:color w:val="auto"/>
          <w:sz w:val="21"/>
          <w:szCs w:val="21"/>
          <w:highlight w:val="none"/>
          <w:u w:val="single"/>
        </w:rPr>
        <w:t>图2.1-8现有工程全厂环保措施分布图</w:t>
      </w:r>
    </w:p>
    <w:p w14:paraId="2163F960">
      <w:pPr>
        <w:pStyle w:val="38"/>
        <w:ind w:firstLine="480"/>
        <w:rPr>
          <w:color w:val="auto"/>
          <w:highlight w:val="none"/>
        </w:rPr>
        <w:sectPr>
          <w:pgSz w:w="11906" w:h="16838"/>
          <w:pgMar w:top="1559" w:right="1418" w:bottom="1503" w:left="1418" w:header="851" w:footer="964" w:gutter="0"/>
          <w:cols w:space="720" w:num="1"/>
          <w:docGrid w:linePitch="326" w:charSpace="0"/>
        </w:sectPr>
      </w:pPr>
    </w:p>
    <w:p w14:paraId="1362A0EF">
      <w:pPr>
        <w:pStyle w:val="38"/>
        <w:spacing w:after="0" w:line="240" w:lineRule="auto"/>
        <w:ind w:firstLine="0" w:firstLineChars="0"/>
        <w:jc w:val="center"/>
        <w:rPr>
          <w:b/>
          <w:color w:val="auto"/>
          <w:sz w:val="21"/>
          <w:szCs w:val="21"/>
          <w:highlight w:val="none"/>
          <w:u w:val="single"/>
        </w:rPr>
      </w:pPr>
      <w:r>
        <w:rPr>
          <w:b/>
          <w:color w:val="auto"/>
          <w:sz w:val="21"/>
          <w:szCs w:val="21"/>
          <w:highlight w:val="none"/>
          <w:u w:val="single"/>
        </w:rPr>
        <w:t>表2.1-2</w:t>
      </w:r>
      <w:r>
        <w:rPr>
          <w:rFonts w:hint="eastAsia"/>
          <w:b/>
          <w:color w:val="auto"/>
          <w:sz w:val="21"/>
          <w:szCs w:val="21"/>
          <w:highlight w:val="none"/>
          <w:u w:val="single"/>
        </w:rPr>
        <w:t>5  全厂环保措施落实情况</w:t>
      </w:r>
    </w:p>
    <w:tbl>
      <w:tblPr>
        <w:tblStyle w:val="93"/>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7"/>
        <w:gridCol w:w="934"/>
        <w:gridCol w:w="937"/>
        <w:gridCol w:w="2504"/>
        <w:gridCol w:w="3699"/>
        <w:gridCol w:w="988"/>
        <w:gridCol w:w="1200"/>
        <w:gridCol w:w="1452"/>
        <w:gridCol w:w="1260"/>
      </w:tblGrid>
      <w:tr w14:paraId="103EA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 w:type="pct"/>
            <w:tcBorders>
              <w:top w:val="single" w:color="auto" w:sz="12" w:space="0"/>
              <w:left w:val="nil"/>
              <w:bottom w:val="single" w:color="auto" w:sz="4" w:space="0"/>
            </w:tcBorders>
            <w:vAlign w:val="center"/>
          </w:tcPr>
          <w:p w14:paraId="49C4A81F">
            <w:pPr>
              <w:pStyle w:val="91"/>
              <w:adjustRightInd w:val="0"/>
              <w:snapToGrid w:val="0"/>
              <w:spacing w:after="0"/>
              <w:ind w:left="0" w:leftChars="0" w:firstLine="0" w:firstLineChars="0"/>
              <w:jc w:val="center"/>
              <w:rPr>
                <w:b/>
                <w:bCs/>
                <w:color w:val="auto"/>
                <w:szCs w:val="21"/>
                <w:highlight w:val="none"/>
                <w:u w:val="single"/>
              </w:rPr>
            </w:pPr>
            <w:r>
              <w:rPr>
                <w:rFonts w:hint="eastAsia"/>
                <w:b/>
                <w:bCs/>
                <w:color w:val="auto"/>
                <w:szCs w:val="21"/>
                <w:highlight w:val="none"/>
                <w:u w:val="single"/>
              </w:rPr>
              <w:t>类型</w:t>
            </w:r>
          </w:p>
        </w:tc>
        <w:tc>
          <w:tcPr>
            <w:tcW w:w="669" w:type="pct"/>
            <w:gridSpan w:val="2"/>
            <w:tcBorders>
              <w:top w:val="single" w:color="auto" w:sz="12" w:space="0"/>
              <w:bottom w:val="single" w:color="auto" w:sz="4" w:space="0"/>
            </w:tcBorders>
            <w:vAlign w:val="center"/>
          </w:tcPr>
          <w:p w14:paraId="1872890D">
            <w:pPr>
              <w:pStyle w:val="91"/>
              <w:adjustRightInd w:val="0"/>
              <w:snapToGrid w:val="0"/>
              <w:spacing w:after="0"/>
              <w:ind w:left="0" w:leftChars="0" w:firstLine="0" w:firstLineChars="0"/>
              <w:jc w:val="center"/>
              <w:rPr>
                <w:b/>
                <w:bCs/>
                <w:color w:val="auto"/>
                <w:szCs w:val="21"/>
                <w:highlight w:val="none"/>
                <w:u w:val="single"/>
              </w:rPr>
            </w:pPr>
            <w:r>
              <w:rPr>
                <w:rFonts w:hint="eastAsia"/>
                <w:b/>
                <w:bCs/>
                <w:color w:val="auto"/>
                <w:szCs w:val="21"/>
                <w:highlight w:val="none"/>
                <w:u w:val="single"/>
              </w:rPr>
              <w:t>污染源</w:t>
            </w:r>
          </w:p>
        </w:tc>
        <w:tc>
          <w:tcPr>
            <w:tcW w:w="895" w:type="pct"/>
            <w:tcBorders>
              <w:top w:val="single" w:color="auto" w:sz="12" w:space="0"/>
              <w:bottom w:val="single" w:color="auto" w:sz="4" w:space="0"/>
            </w:tcBorders>
            <w:vAlign w:val="center"/>
          </w:tcPr>
          <w:p w14:paraId="7D007EC0">
            <w:pPr>
              <w:pStyle w:val="91"/>
              <w:adjustRightInd w:val="0"/>
              <w:snapToGrid w:val="0"/>
              <w:spacing w:after="0"/>
              <w:ind w:left="0" w:leftChars="0" w:firstLine="0" w:firstLineChars="0"/>
              <w:jc w:val="center"/>
              <w:rPr>
                <w:b/>
                <w:bCs/>
                <w:color w:val="auto"/>
                <w:szCs w:val="21"/>
                <w:highlight w:val="none"/>
                <w:u w:val="single"/>
              </w:rPr>
            </w:pPr>
            <w:r>
              <w:rPr>
                <w:rFonts w:hint="eastAsia"/>
                <w:b/>
                <w:bCs/>
                <w:color w:val="auto"/>
                <w:szCs w:val="21"/>
                <w:highlight w:val="none"/>
                <w:u w:val="single"/>
              </w:rPr>
              <w:t>污染物</w:t>
            </w:r>
          </w:p>
        </w:tc>
        <w:tc>
          <w:tcPr>
            <w:tcW w:w="1322" w:type="pct"/>
            <w:tcBorders>
              <w:top w:val="single" w:color="auto" w:sz="12" w:space="0"/>
              <w:bottom w:val="single" w:color="auto" w:sz="4" w:space="0"/>
            </w:tcBorders>
            <w:vAlign w:val="center"/>
          </w:tcPr>
          <w:p w14:paraId="170B9373">
            <w:pPr>
              <w:pStyle w:val="91"/>
              <w:adjustRightInd w:val="0"/>
              <w:snapToGrid w:val="0"/>
              <w:spacing w:after="0"/>
              <w:ind w:left="0" w:leftChars="0" w:firstLine="0" w:firstLineChars="0"/>
              <w:jc w:val="center"/>
              <w:rPr>
                <w:b/>
                <w:bCs/>
                <w:color w:val="auto"/>
                <w:szCs w:val="21"/>
                <w:highlight w:val="none"/>
                <w:u w:val="single"/>
              </w:rPr>
            </w:pPr>
            <w:r>
              <w:rPr>
                <w:rFonts w:hint="eastAsia"/>
                <w:b/>
                <w:bCs/>
                <w:color w:val="auto"/>
                <w:szCs w:val="21"/>
                <w:highlight w:val="none"/>
                <w:u w:val="single"/>
              </w:rPr>
              <w:t>处理措施</w:t>
            </w:r>
          </w:p>
        </w:tc>
        <w:tc>
          <w:tcPr>
            <w:tcW w:w="353" w:type="pct"/>
            <w:tcBorders>
              <w:top w:val="single" w:color="auto" w:sz="12" w:space="0"/>
              <w:bottom w:val="single" w:color="auto" w:sz="4" w:space="0"/>
            </w:tcBorders>
            <w:vAlign w:val="center"/>
          </w:tcPr>
          <w:p w14:paraId="32245475">
            <w:pPr>
              <w:pStyle w:val="91"/>
              <w:adjustRightInd w:val="0"/>
              <w:snapToGrid w:val="0"/>
              <w:spacing w:after="0"/>
              <w:ind w:left="0" w:leftChars="0" w:firstLine="0" w:firstLineChars="0"/>
              <w:jc w:val="center"/>
              <w:rPr>
                <w:b/>
                <w:bCs/>
                <w:color w:val="auto"/>
                <w:szCs w:val="21"/>
                <w:highlight w:val="none"/>
                <w:u w:val="single"/>
              </w:rPr>
            </w:pPr>
            <w:r>
              <w:rPr>
                <w:b/>
                <w:bCs/>
                <w:color w:val="auto"/>
                <w:szCs w:val="21"/>
                <w:highlight w:val="none"/>
                <w:u w:val="single"/>
              </w:rPr>
              <w:t>排放口编号</w:t>
            </w:r>
          </w:p>
        </w:tc>
        <w:tc>
          <w:tcPr>
            <w:tcW w:w="429" w:type="pct"/>
            <w:tcBorders>
              <w:top w:val="single" w:color="auto" w:sz="12" w:space="0"/>
              <w:bottom w:val="single" w:color="auto" w:sz="4" w:space="0"/>
            </w:tcBorders>
            <w:vAlign w:val="center"/>
          </w:tcPr>
          <w:p w14:paraId="36C8D064">
            <w:pPr>
              <w:pStyle w:val="91"/>
              <w:adjustRightInd w:val="0"/>
              <w:snapToGrid w:val="0"/>
              <w:spacing w:after="0"/>
              <w:ind w:left="0" w:leftChars="0" w:firstLine="0" w:firstLineChars="0"/>
              <w:jc w:val="center"/>
              <w:rPr>
                <w:b/>
                <w:bCs/>
                <w:color w:val="auto"/>
                <w:szCs w:val="21"/>
                <w:highlight w:val="none"/>
                <w:u w:val="single"/>
              </w:rPr>
            </w:pPr>
            <w:r>
              <w:rPr>
                <w:rFonts w:hint="eastAsia"/>
                <w:b/>
                <w:bCs/>
                <w:color w:val="auto"/>
                <w:szCs w:val="21"/>
                <w:highlight w:val="none"/>
                <w:u w:val="single"/>
              </w:rPr>
              <w:t>建设情况</w:t>
            </w:r>
          </w:p>
        </w:tc>
        <w:tc>
          <w:tcPr>
            <w:tcW w:w="519" w:type="pct"/>
            <w:tcBorders>
              <w:top w:val="single" w:color="auto" w:sz="12" w:space="0"/>
              <w:bottom w:val="single" w:color="auto" w:sz="4" w:space="0"/>
            </w:tcBorders>
            <w:vAlign w:val="center"/>
          </w:tcPr>
          <w:p w14:paraId="50EF5588">
            <w:pPr>
              <w:pStyle w:val="91"/>
              <w:adjustRightInd w:val="0"/>
              <w:snapToGrid w:val="0"/>
              <w:spacing w:after="0"/>
              <w:ind w:left="0" w:leftChars="0" w:firstLine="0" w:firstLineChars="0"/>
              <w:jc w:val="center"/>
              <w:rPr>
                <w:b/>
                <w:bCs/>
                <w:color w:val="auto"/>
                <w:szCs w:val="21"/>
                <w:highlight w:val="none"/>
                <w:u w:val="single"/>
              </w:rPr>
            </w:pPr>
            <w:r>
              <w:rPr>
                <w:rFonts w:hint="eastAsia"/>
                <w:b/>
                <w:bCs/>
                <w:color w:val="auto"/>
                <w:szCs w:val="21"/>
                <w:highlight w:val="none"/>
                <w:u w:val="single"/>
              </w:rPr>
              <w:t>所属项目</w:t>
            </w:r>
          </w:p>
        </w:tc>
        <w:tc>
          <w:tcPr>
            <w:tcW w:w="450" w:type="pct"/>
            <w:tcBorders>
              <w:top w:val="single" w:color="auto" w:sz="12" w:space="0"/>
              <w:bottom w:val="single" w:color="auto" w:sz="4" w:space="0"/>
              <w:right w:val="nil"/>
            </w:tcBorders>
            <w:vAlign w:val="center"/>
          </w:tcPr>
          <w:p w14:paraId="08B12E02">
            <w:pPr>
              <w:pStyle w:val="91"/>
              <w:adjustRightInd w:val="0"/>
              <w:snapToGrid w:val="0"/>
              <w:spacing w:after="0"/>
              <w:ind w:left="0" w:leftChars="0" w:firstLine="0" w:firstLineChars="0"/>
              <w:jc w:val="center"/>
              <w:rPr>
                <w:b/>
                <w:bCs/>
                <w:color w:val="auto"/>
                <w:szCs w:val="21"/>
                <w:highlight w:val="none"/>
                <w:u w:val="single"/>
              </w:rPr>
            </w:pPr>
            <w:r>
              <w:rPr>
                <w:rFonts w:hint="eastAsia"/>
                <w:b/>
                <w:bCs/>
                <w:color w:val="auto"/>
                <w:szCs w:val="21"/>
                <w:highlight w:val="none"/>
                <w:u w:val="single"/>
              </w:rPr>
              <w:t>与本项目关系</w:t>
            </w:r>
          </w:p>
        </w:tc>
      </w:tr>
      <w:tr w14:paraId="24091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 w:type="pct"/>
            <w:vMerge w:val="restart"/>
            <w:tcBorders>
              <w:top w:val="single" w:color="auto" w:sz="4" w:space="0"/>
              <w:left w:val="nil"/>
            </w:tcBorders>
            <w:vAlign w:val="center"/>
          </w:tcPr>
          <w:p w14:paraId="4FEF456D">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废气</w:t>
            </w:r>
          </w:p>
        </w:tc>
        <w:tc>
          <w:tcPr>
            <w:tcW w:w="669" w:type="pct"/>
            <w:gridSpan w:val="2"/>
            <w:tcBorders>
              <w:top w:val="single" w:color="auto" w:sz="4" w:space="0"/>
              <w:bottom w:val="single" w:color="auto" w:sz="4" w:space="0"/>
            </w:tcBorders>
            <w:vAlign w:val="center"/>
          </w:tcPr>
          <w:p w14:paraId="294740E3">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喷砂间</w:t>
            </w:r>
          </w:p>
        </w:tc>
        <w:tc>
          <w:tcPr>
            <w:tcW w:w="895" w:type="pct"/>
            <w:tcBorders>
              <w:top w:val="single" w:color="auto" w:sz="4" w:space="0"/>
              <w:bottom w:val="single" w:color="auto" w:sz="4" w:space="0"/>
            </w:tcBorders>
            <w:vAlign w:val="center"/>
          </w:tcPr>
          <w:p w14:paraId="2D911996">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颗粒物</w:t>
            </w:r>
          </w:p>
        </w:tc>
        <w:tc>
          <w:tcPr>
            <w:tcW w:w="1322" w:type="pct"/>
            <w:tcBorders>
              <w:top w:val="single" w:color="auto" w:sz="4" w:space="0"/>
              <w:bottom w:val="single" w:color="auto" w:sz="4" w:space="0"/>
            </w:tcBorders>
            <w:vAlign w:val="center"/>
          </w:tcPr>
          <w:p w14:paraId="328F5028">
            <w:pPr>
              <w:topLinePunct w:val="0"/>
              <w:spacing w:line="240" w:lineRule="auto"/>
              <w:ind w:firstLine="0" w:firstLineChars="0"/>
              <w:jc w:val="center"/>
              <w:rPr>
                <w:color w:val="auto"/>
                <w:sz w:val="21"/>
                <w:szCs w:val="21"/>
                <w:highlight w:val="none"/>
                <w:u w:val="single"/>
              </w:rPr>
            </w:pPr>
            <w:r>
              <w:rPr>
                <w:color w:val="auto"/>
                <w:sz w:val="21"/>
                <w:szCs w:val="21"/>
                <w:highlight w:val="none"/>
                <w:u w:val="single"/>
              </w:rPr>
              <w:t>旋风除尘器+滤筒除尘器</w:t>
            </w:r>
            <w:r>
              <w:rPr>
                <w:rFonts w:hint="eastAsia"/>
                <w:color w:val="auto"/>
                <w:sz w:val="21"/>
                <w:szCs w:val="21"/>
                <w:highlight w:val="none"/>
                <w:u w:val="single"/>
              </w:rPr>
              <w:t>+高度20m、内径1.4m的排气筒排放</w:t>
            </w:r>
          </w:p>
        </w:tc>
        <w:tc>
          <w:tcPr>
            <w:tcW w:w="353" w:type="pct"/>
            <w:tcBorders>
              <w:top w:val="single" w:color="auto" w:sz="4" w:space="0"/>
              <w:bottom w:val="single" w:color="auto" w:sz="4" w:space="0"/>
            </w:tcBorders>
            <w:vAlign w:val="center"/>
          </w:tcPr>
          <w:p w14:paraId="3F02DF01">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DA001</w:t>
            </w:r>
          </w:p>
        </w:tc>
        <w:tc>
          <w:tcPr>
            <w:tcW w:w="429" w:type="pct"/>
            <w:tcBorders>
              <w:top w:val="single" w:color="auto" w:sz="4" w:space="0"/>
            </w:tcBorders>
            <w:vAlign w:val="center"/>
          </w:tcPr>
          <w:p w14:paraId="6C320659">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已建成</w:t>
            </w:r>
          </w:p>
        </w:tc>
        <w:tc>
          <w:tcPr>
            <w:tcW w:w="519" w:type="pct"/>
            <w:vMerge w:val="restart"/>
            <w:tcBorders>
              <w:top w:val="single" w:color="auto" w:sz="4" w:space="0"/>
            </w:tcBorders>
            <w:vAlign w:val="center"/>
          </w:tcPr>
          <w:p w14:paraId="562A6E21">
            <w:pPr>
              <w:topLinePunct w:val="0"/>
              <w:spacing w:line="240" w:lineRule="auto"/>
              <w:ind w:firstLine="0" w:firstLineChars="0"/>
              <w:jc w:val="center"/>
              <w:rPr>
                <w:color w:val="auto"/>
                <w:sz w:val="21"/>
                <w:szCs w:val="21"/>
                <w:highlight w:val="none"/>
                <w:u w:val="single"/>
              </w:rPr>
            </w:pPr>
            <w:r>
              <w:rPr>
                <w:color w:val="auto"/>
                <w:sz w:val="21"/>
                <w:szCs w:val="21"/>
                <w:highlight w:val="none"/>
                <w:u w:val="single"/>
              </w:rPr>
              <w:t>中船钦州风电塔柔性生产线项目</w:t>
            </w:r>
          </w:p>
        </w:tc>
        <w:tc>
          <w:tcPr>
            <w:tcW w:w="450" w:type="pct"/>
            <w:vMerge w:val="restart"/>
            <w:tcBorders>
              <w:top w:val="single" w:color="auto" w:sz="4" w:space="0"/>
              <w:right w:val="nil"/>
            </w:tcBorders>
            <w:vAlign w:val="center"/>
          </w:tcPr>
          <w:p w14:paraId="34CFD41C">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w:t>
            </w:r>
          </w:p>
        </w:tc>
      </w:tr>
      <w:tr w14:paraId="39A6D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 w:type="pct"/>
            <w:vMerge w:val="continue"/>
            <w:tcBorders>
              <w:left w:val="nil"/>
            </w:tcBorders>
            <w:vAlign w:val="center"/>
          </w:tcPr>
          <w:p w14:paraId="0B562DA7">
            <w:pPr>
              <w:topLinePunct w:val="0"/>
              <w:spacing w:line="240" w:lineRule="auto"/>
              <w:ind w:firstLine="0" w:firstLineChars="0"/>
              <w:jc w:val="center"/>
              <w:rPr>
                <w:color w:val="auto"/>
                <w:sz w:val="21"/>
                <w:szCs w:val="21"/>
                <w:highlight w:val="none"/>
                <w:u w:val="single"/>
              </w:rPr>
            </w:pPr>
          </w:p>
        </w:tc>
        <w:tc>
          <w:tcPr>
            <w:tcW w:w="669" w:type="pct"/>
            <w:gridSpan w:val="2"/>
            <w:tcBorders>
              <w:top w:val="single" w:color="auto" w:sz="4" w:space="0"/>
              <w:bottom w:val="single" w:color="auto" w:sz="4" w:space="0"/>
            </w:tcBorders>
            <w:vAlign w:val="center"/>
          </w:tcPr>
          <w:p w14:paraId="04221638">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喷漆间</w:t>
            </w:r>
          </w:p>
        </w:tc>
        <w:tc>
          <w:tcPr>
            <w:tcW w:w="895" w:type="pct"/>
            <w:tcBorders>
              <w:top w:val="single" w:color="auto" w:sz="4" w:space="0"/>
              <w:bottom w:val="single" w:color="auto" w:sz="4" w:space="0"/>
            </w:tcBorders>
            <w:vAlign w:val="center"/>
          </w:tcPr>
          <w:p w14:paraId="2ABB1ED0">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颗粒物、挥发性有机物、苯、甲苯、二甲苯</w:t>
            </w:r>
          </w:p>
        </w:tc>
        <w:tc>
          <w:tcPr>
            <w:tcW w:w="1322" w:type="pct"/>
            <w:tcBorders>
              <w:top w:val="single" w:color="auto" w:sz="4" w:space="0"/>
              <w:bottom w:val="single" w:color="auto" w:sz="4" w:space="0"/>
            </w:tcBorders>
            <w:vAlign w:val="center"/>
          </w:tcPr>
          <w:p w14:paraId="6799DB71">
            <w:pPr>
              <w:topLinePunct w:val="0"/>
              <w:spacing w:line="240" w:lineRule="auto"/>
              <w:ind w:firstLine="0" w:firstLineChars="0"/>
              <w:jc w:val="center"/>
              <w:rPr>
                <w:color w:val="auto"/>
                <w:sz w:val="21"/>
                <w:szCs w:val="21"/>
                <w:highlight w:val="none"/>
                <w:u w:val="single"/>
              </w:rPr>
            </w:pPr>
            <w:r>
              <w:rPr>
                <w:color w:val="auto"/>
                <w:sz w:val="21"/>
                <w:szCs w:val="21"/>
                <w:highlight w:val="none"/>
                <w:u w:val="single"/>
              </w:rPr>
              <w:t>有效收集+喷淋塔+干式过滤器+活性炭吸附+解吸脱附+催化燃烧处理装置</w:t>
            </w:r>
            <w:r>
              <w:rPr>
                <w:rFonts w:hint="eastAsia"/>
                <w:color w:val="auto"/>
                <w:sz w:val="21"/>
                <w:szCs w:val="21"/>
                <w:highlight w:val="none"/>
                <w:u w:val="single"/>
              </w:rPr>
              <w:t>+高度20m、内径1.4m的排气筒排放</w:t>
            </w:r>
          </w:p>
        </w:tc>
        <w:tc>
          <w:tcPr>
            <w:tcW w:w="353" w:type="pct"/>
            <w:tcBorders>
              <w:top w:val="single" w:color="auto" w:sz="4" w:space="0"/>
              <w:bottom w:val="single" w:color="auto" w:sz="4" w:space="0"/>
            </w:tcBorders>
            <w:vAlign w:val="center"/>
          </w:tcPr>
          <w:p w14:paraId="14845BA4">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DA002</w:t>
            </w:r>
          </w:p>
        </w:tc>
        <w:tc>
          <w:tcPr>
            <w:tcW w:w="429" w:type="pct"/>
            <w:tcBorders>
              <w:bottom w:val="single" w:color="auto" w:sz="4" w:space="0"/>
            </w:tcBorders>
            <w:vAlign w:val="center"/>
          </w:tcPr>
          <w:p w14:paraId="34BC5109">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已建成</w:t>
            </w:r>
          </w:p>
        </w:tc>
        <w:tc>
          <w:tcPr>
            <w:tcW w:w="519" w:type="pct"/>
            <w:vMerge w:val="continue"/>
            <w:tcBorders>
              <w:bottom w:val="single" w:color="auto" w:sz="4" w:space="0"/>
            </w:tcBorders>
            <w:vAlign w:val="center"/>
          </w:tcPr>
          <w:p w14:paraId="377D916C">
            <w:pPr>
              <w:topLinePunct w:val="0"/>
              <w:spacing w:line="240" w:lineRule="auto"/>
              <w:ind w:firstLine="0" w:firstLineChars="0"/>
              <w:jc w:val="center"/>
              <w:rPr>
                <w:color w:val="auto"/>
                <w:sz w:val="21"/>
                <w:szCs w:val="21"/>
                <w:highlight w:val="none"/>
                <w:u w:val="single"/>
              </w:rPr>
            </w:pPr>
          </w:p>
        </w:tc>
        <w:tc>
          <w:tcPr>
            <w:tcW w:w="450" w:type="pct"/>
            <w:vMerge w:val="continue"/>
            <w:tcBorders>
              <w:bottom w:val="single" w:color="auto" w:sz="4" w:space="0"/>
              <w:right w:val="nil"/>
            </w:tcBorders>
            <w:vAlign w:val="center"/>
          </w:tcPr>
          <w:p w14:paraId="6740BD31">
            <w:pPr>
              <w:topLinePunct w:val="0"/>
              <w:spacing w:line="240" w:lineRule="auto"/>
              <w:ind w:firstLine="0" w:firstLineChars="0"/>
              <w:jc w:val="center"/>
              <w:rPr>
                <w:color w:val="auto"/>
                <w:sz w:val="21"/>
                <w:szCs w:val="21"/>
                <w:highlight w:val="none"/>
                <w:u w:val="single"/>
              </w:rPr>
            </w:pPr>
          </w:p>
        </w:tc>
      </w:tr>
      <w:tr w14:paraId="65B5D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 w:type="pct"/>
            <w:vMerge w:val="continue"/>
            <w:tcBorders>
              <w:left w:val="nil"/>
            </w:tcBorders>
            <w:vAlign w:val="center"/>
          </w:tcPr>
          <w:p w14:paraId="515DD467">
            <w:pPr>
              <w:topLinePunct w:val="0"/>
              <w:spacing w:line="240" w:lineRule="auto"/>
              <w:ind w:firstLine="0" w:firstLineChars="0"/>
              <w:jc w:val="center"/>
              <w:rPr>
                <w:color w:val="auto"/>
                <w:sz w:val="21"/>
                <w:szCs w:val="21"/>
                <w:highlight w:val="none"/>
                <w:u w:val="single"/>
              </w:rPr>
            </w:pPr>
          </w:p>
        </w:tc>
        <w:tc>
          <w:tcPr>
            <w:tcW w:w="334" w:type="pct"/>
            <w:vMerge w:val="restart"/>
            <w:tcBorders>
              <w:top w:val="single" w:color="auto" w:sz="4" w:space="0"/>
            </w:tcBorders>
            <w:vAlign w:val="center"/>
          </w:tcPr>
          <w:p w14:paraId="17AA653D">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船体及机电综合车间</w:t>
            </w:r>
          </w:p>
        </w:tc>
        <w:tc>
          <w:tcPr>
            <w:tcW w:w="335" w:type="pct"/>
            <w:tcBorders>
              <w:top w:val="single" w:color="auto" w:sz="4" w:space="0"/>
              <w:bottom w:val="single" w:color="auto" w:sz="4" w:space="0"/>
            </w:tcBorders>
            <w:vAlign w:val="center"/>
          </w:tcPr>
          <w:p w14:paraId="7EFA8543">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化学处理间酸洗槽</w:t>
            </w:r>
          </w:p>
        </w:tc>
        <w:tc>
          <w:tcPr>
            <w:tcW w:w="895" w:type="pct"/>
            <w:tcBorders>
              <w:top w:val="single" w:color="auto" w:sz="4" w:space="0"/>
              <w:bottom w:val="single" w:color="auto" w:sz="4" w:space="0"/>
            </w:tcBorders>
            <w:vAlign w:val="center"/>
          </w:tcPr>
          <w:p w14:paraId="6BD74CB4">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硫酸雾、氯化氢、氮氧化物</w:t>
            </w:r>
          </w:p>
        </w:tc>
        <w:tc>
          <w:tcPr>
            <w:tcW w:w="1322" w:type="pct"/>
            <w:tcBorders>
              <w:top w:val="single" w:color="auto" w:sz="4" w:space="0"/>
              <w:bottom w:val="single" w:color="auto" w:sz="4" w:space="0"/>
            </w:tcBorders>
            <w:vAlign w:val="center"/>
          </w:tcPr>
          <w:p w14:paraId="3DA68EDA">
            <w:pPr>
              <w:topLinePunct w:val="0"/>
              <w:spacing w:line="240" w:lineRule="auto"/>
              <w:ind w:firstLine="0" w:firstLineChars="0"/>
              <w:jc w:val="center"/>
              <w:rPr>
                <w:color w:val="auto"/>
                <w:sz w:val="21"/>
                <w:szCs w:val="21"/>
                <w:highlight w:val="none"/>
                <w:u w:val="single"/>
              </w:rPr>
            </w:pPr>
            <w:r>
              <w:rPr>
                <w:color w:val="auto"/>
                <w:sz w:val="21"/>
                <w:szCs w:val="21"/>
                <w:highlight w:val="none"/>
                <w:u w:val="single"/>
              </w:rPr>
              <w:t>碱液吸收</w:t>
            </w:r>
            <w:r>
              <w:rPr>
                <w:rFonts w:hint="eastAsia"/>
                <w:color w:val="auto"/>
                <w:sz w:val="21"/>
                <w:szCs w:val="21"/>
                <w:highlight w:val="none"/>
                <w:u w:val="single"/>
              </w:rPr>
              <w:t>+高度20m、内径1.2m的排气筒排放</w:t>
            </w:r>
          </w:p>
        </w:tc>
        <w:tc>
          <w:tcPr>
            <w:tcW w:w="353" w:type="pct"/>
            <w:tcBorders>
              <w:top w:val="single" w:color="auto" w:sz="4" w:space="0"/>
              <w:bottom w:val="single" w:color="auto" w:sz="4" w:space="0"/>
            </w:tcBorders>
            <w:vAlign w:val="center"/>
          </w:tcPr>
          <w:p w14:paraId="39C3059B">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DA003</w:t>
            </w:r>
          </w:p>
        </w:tc>
        <w:tc>
          <w:tcPr>
            <w:tcW w:w="429" w:type="pct"/>
            <w:tcBorders>
              <w:top w:val="single" w:color="auto" w:sz="4" w:space="0"/>
            </w:tcBorders>
            <w:vAlign w:val="center"/>
          </w:tcPr>
          <w:p w14:paraId="09BADEEF">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已建成</w:t>
            </w:r>
          </w:p>
        </w:tc>
        <w:tc>
          <w:tcPr>
            <w:tcW w:w="519" w:type="pct"/>
            <w:vMerge w:val="restart"/>
            <w:tcBorders>
              <w:top w:val="single" w:color="auto" w:sz="4" w:space="0"/>
            </w:tcBorders>
            <w:vAlign w:val="center"/>
          </w:tcPr>
          <w:p w14:paraId="61071F35">
            <w:pPr>
              <w:topLinePunct w:val="0"/>
              <w:spacing w:line="240" w:lineRule="auto"/>
              <w:ind w:firstLine="0" w:firstLineChars="0"/>
              <w:jc w:val="center"/>
              <w:rPr>
                <w:color w:val="auto"/>
                <w:sz w:val="21"/>
                <w:szCs w:val="21"/>
                <w:highlight w:val="none"/>
                <w:u w:val="single"/>
              </w:rPr>
            </w:pPr>
            <w:r>
              <w:rPr>
                <w:color w:val="auto"/>
                <w:sz w:val="21"/>
                <w:szCs w:val="21"/>
                <w:highlight w:val="none"/>
                <w:u w:val="single"/>
              </w:rPr>
              <w:t>中船钦州修船资源整合项目</w:t>
            </w:r>
          </w:p>
          <w:p w14:paraId="694530C8">
            <w:pPr>
              <w:topLinePunct w:val="0"/>
              <w:spacing w:line="240" w:lineRule="auto"/>
              <w:ind w:firstLine="0" w:firstLineChars="0"/>
              <w:jc w:val="center"/>
              <w:rPr>
                <w:color w:val="auto"/>
                <w:sz w:val="21"/>
                <w:szCs w:val="21"/>
                <w:highlight w:val="none"/>
                <w:u w:val="single"/>
              </w:rPr>
            </w:pPr>
          </w:p>
        </w:tc>
        <w:tc>
          <w:tcPr>
            <w:tcW w:w="450" w:type="pct"/>
            <w:vMerge w:val="restart"/>
            <w:tcBorders>
              <w:top w:val="single" w:color="auto" w:sz="4" w:space="0"/>
              <w:right w:val="nil"/>
            </w:tcBorders>
            <w:vAlign w:val="center"/>
          </w:tcPr>
          <w:p w14:paraId="1E6D6484">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项目依托工程</w:t>
            </w:r>
          </w:p>
        </w:tc>
      </w:tr>
      <w:tr w14:paraId="3AE90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 w:type="pct"/>
            <w:vMerge w:val="continue"/>
            <w:tcBorders>
              <w:left w:val="nil"/>
            </w:tcBorders>
            <w:vAlign w:val="center"/>
          </w:tcPr>
          <w:p w14:paraId="0C564FF4">
            <w:pPr>
              <w:topLinePunct w:val="0"/>
              <w:spacing w:line="240" w:lineRule="auto"/>
              <w:ind w:firstLine="0" w:firstLineChars="0"/>
              <w:jc w:val="center"/>
              <w:rPr>
                <w:color w:val="auto"/>
                <w:sz w:val="21"/>
                <w:szCs w:val="21"/>
                <w:highlight w:val="none"/>
                <w:u w:val="single"/>
              </w:rPr>
            </w:pPr>
          </w:p>
        </w:tc>
        <w:tc>
          <w:tcPr>
            <w:tcW w:w="334" w:type="pct"/>
            <w:vMerge w:val="continue"/>
            <w:tcBorders>
              <w:bottom w:val="single" w:color="auto" w:sz="4" w:space="0"/>
            </w:tcBorders>
            <w:vAlign w:val="center"/>
          </w:tcPr>
          <w:p w14:paraId="6645FC22">
            <w:pPr>
              <w:topLinePunct w:val="0"/>
              <w:spacing w:line="240" w:lineRule="auto"/>
              <w:ind w:firstLine="0" w:firstLineChars="0"/>
              <w:jc w:val="center"/>
              <w:rPr>
                <w:color w:val="auto"/>
                <w:sz w:val="21"/>
                <w:szCs w:val="21"/>
                <w:highlight w:val="none"/>
                <w:u w:val="single"/>
              </w:rPr>
            </w:pPr>
          </w:p>
        </w:tc>
        <w:tc>
          <w:tcPr>
            <w:tcW w:w="335" w:type="pct"/>
            <w:tcBorders>
              <w:top w:val="single" w:color="auto" w:sz="4" w:space="0"/>
              <w:bottom w:val="single" w:color="auto" w:sz="4" w:space="0"/>
            </w:tcBorders>
            <w:vAlign w:val="center"/>
          </w:tcPr>
          <w:p w14:paraId="25E6A2E8">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浸漆间</w:t>
            </w:r>
          </w:p>
        </w:tc>
        <w:tc>
          <w:tcPr>
            <w:tcW w:w="895" w:type="pct"/>
            <w:tcBorders>
              <w:top w:val="single" w:color="auto" w:sz="4" w:space="0"/>
              <w:bottom w:val="single" w:color="auto" w:sz="4" w:space="0"/>
            </w:tcBorders>
            <w:vAlign w:val="center"/>
          </w:tcPr>
          <w:p w14:paraId="1C04701B">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挥发性有机物、苯、甲苯、二甲苯</w:t>
            </w:r>
          </w:p>
        </w:tc>
        <w:tc>
          <w:tcPr>
            <w:tcW w:w="1322" w:type="pct"/>
            <w:tcBorders>
              <w:top w:val="single" w:color="auto" w:sz="4" w:space="0"/>
              <w:bottom w:val="single" w:color="auto" w:sz="4" w:space="0"/>
            </w:tcBorders>
            <w:vAlign w:val="center"/>
          </w:tcPr>
          <w:p w14:paraId="714D7CC5">
            <w:pPr>
              <w:topLinePunct w:val="0"/>
              <w:spacing w:line="240" w:lineRule="auto"/>
              <w:ind w:firstLine="0" w:firstLineChars="0"/>
              <w:jc w:val="center"/>
              <w:rPr>
                <w:color w:val="auto"/>
                <w:sz w:val="21"/>
                <w:szCs w:val="21"/>
                <w:highlight w:val="none"/>
                <w:u w:val="single"/>
              </w:rPr>
            </w:pPr>
            <w:r>
              <w:rPr>
                <w:color w:val="auto"/>
                <w:sz w:val="21"/>
                <w:szCs w:val="21"/>
                <w:highlight w:val="none"/>
                <w:u w:val="single"/>
              </w:rPr>
              <w:t>活性炭吸附</w:t>
            </w:r>
            <w:r>
              <w:rPr>
                <w:rFonts w:hint="eastAsia"/>
                <w:color w:val="auto"/>
                <w:sz w:val="21"/>
                <w:szCs w:val="21"/>
                <w:highlight w:val="none"/>
                <w:u w:val="single"/>
              </w:rPr>
              <w:t>+高度20m、内径1.2m的排气筒排放</w:t>
            </w:r>
          </w:p>
        </w:tc>
        <w:tc>
          <w:tcPr>
            <w:tcW w:w="353" w:type="pct"/>
            <w:tcBorders>
              <w:top w:val="single" w:color="auto" w:sz="4" w:space="0"/>
              <w:bottom w:val="single" w:color="auto" w:sz="4" w:space="0"/>
            </w:tcBorders>
            <w:vAlign w:val="center"/>
          </w:tcPr>
          <w:p w14:paraId="44B87DEA">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DA004</w:t>
            </w:r>
          </w:p>
        </w:tc>
        <w:tc>
          <w:tcPr>
            <w:tcW w:w="429" w:type="pct"/>
            <w:vAlign w:val="center"/>
          </w:tcPr>
          <w:p w14:paraId="74C346A8">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已建成</w:t>
            </w:r>
          </w:p>
        </w:tc>
        <w:tc>
          <w:tcPr>
            <w:tcW w:w="519" w:type="pct"/>
            <w:vMerge w:val="continue"/>
            <w:vAlign w:val="center"/>
          </w:tcPr>
          <w:p w14:paraId="027A9445">
            <w:pPr>
              <w:topLinePunct w:val="0"/>
              <w:spacing w:line="240" w:lineRule="auto"/>
              <w:ind w:firstLine="0" w:firstLineChars="0"/>
              <w:jc w:val="center"/>
              <w:rPr>
                <w:color w:val="auto"/>
                <w:sz w:val="21"/>
                <w:szCs w:val="21"/>
                <w:highlight w:val="none"/>
                <w:u w:val="single"/>
              </w:rPr>
            </w:pPr>
          </w:p>
        </w:tc>
        <w:tc>
          <w:tcPr>
            <w:tcW w:w="450" w:type="pct"/>
            <w:vMerge w:val="continue"/>
            <w:tcBorders>
              <w:right w:val="nil"/>
            </w:tcBorders>
            <w:vAlign w:val="center"/>
          </w:tcPr>
          <w:p w14:paraId="3396CAA6">
            <w:pPr>
              <w:topLinePunct w:val="0"/>
              <w:spacing w:line="240" w:lineRule="auto"/>
              <w:ind w:firstLine="0" w:firstLineChars="0"/>
              <w:jc w:val="center"/>
              <w:rPr>
                <w:color w:val="auto"/>
                <w:sz w:val="21"/>
                <w:szCs w:val="21"/>
                <w:highlight w:val="none"/>
                <w:u w:val="single"/>
              </w:rPr>
            </w:pPr>
          </w:p>
        </w:tc>
      </w:tr>
      <w:tr w14:paraId="72AE4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 w:type="pct"/>
            <w:vMerge w:val="continue"/>
            <w:tcBorders>
              <w:left w:val="nil"/>
            </w:tcBorders>
            <w:vAlign w:val="center"/>
          </w:tcPr>
          <w:p w14:paraId="1820EBB4">
            <w:pPr>
              <w:topLinePunct w:val="0"/>
              <w:spacing w:line="240" w:lineRule="auto"/>
              <w:ind w:firstLine="0" w:firstLineChars="0"/>
              <w:jc w:val="center"/>
              <w:rPr>
                <w:color w:val="auto"/>
                <w:sz w:val="21"/>
                <w:szCs w:val="21"/>
                <w:highlight w:val="none"/>
                <w:u w:val="single"/>
              </w:rPr>
            </w:pPr>
          </w:p>
        </w:tc>
        <w:tc>
          <w:tcPr>
            <w:tcW w:w="669" w:type="pct"/>
            <w:gridSpan w:val="2"/>
            <w:tcBorders>
              <w:top w:val="single" w:color="auto" w:sz="4" w:space="0"/>
              <w:bottom w:val="single" w:color="auto" w:sz="4" w:space="0"/>
            </w:tcBorders>
            <w:vAlign w:val="center"/>
          </w:tcPr>
          <w:p w14:paraId="41FF0A11">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污水处理站</w:t>
            </w:r>
          </w:p>
        </w:tc>
        <w:tc>
          <w:tcPr>
            <w:tcW w:w="895" w:type="pct"/>
            <w:tcBorders>
              <w:top w:val="single" w:color="auto" w:sz="4" w:space="0"/>
              <w:bottom w:val="single" w:color="auto" w:sz="4" w:space="0"/>
            </w:tcBorders>
            <w:vAlign w:val="center"/>
          </w:tcPr>
          <w:p w14:paraId="7032186C">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硫化氢、氨（氨气）、臭气浓度</w:t>
            </w:r>
          </w:p>
        </w:tc>
        <w:tc>
          <w:tcPr>
            <w:tcW w:w="1322" w:type="pct"/>
            <w:tcBorders>
              <w:top w:val="single" w:color="auto" w:sz="4" w:space="0"/>
              <w:bottom w:val="single" w:color="auto" w:sz="4" w:space="0"/>
            </w:tcBorders>
            <w:vAlign w:val="center"/>
          </w:tcPr>
          <w:p w14:paraId="4CDFD6CD">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喷淋除臭净化塔+高度15m、内径0.3m的排气筒排放</w:t>
            </w:r>
          </w:p>
        </w:tc>
        <w:tc>
          <w:tcPr>
            <w:tcW w:w="353" w:type="pct"/>
            <w:tcBorders>
              <w:top w:val="single" w:color="auto" w:sz="4" w:space="0"/>
              <w:bottom w:val="single" w:color="auto" w:sz="4" w:space="0"/>
            </w:tcBorders>
            <w:vAlign w:val="center"/>
          </w:tcPr>
          <w:p w14:paraId="42406225">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DA005</w:t>
            </w:r>
          </w:p>
        </w:tc>
        <w:tc>
          <w:tcPr>
            <w:tcW w:w="429" w:type="pct"/>
            <w:vAlign w:val="center"/>
          </w:tcPr>
          <w:p w14:paraId="3B01FFF5">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已建成</w:t>
            </w:r>
          </w:p>
        </w:tc>
        <w:tc>
          <w:tcPr>
            <w:tcW w:w="519" w:type="pct"/>
            <w:vMerge w:val="continue"/>
            <w:vAlign w:val="center"/>
          </w:tcPr>
          <w:p w14:paraId="56C51DAA">
            <w:pPr>
              <w:topLinePunct w:val="0"/>
              <w:spacing w:line="240" w:lineRule="auto"/>
              <w:ind w:firstLine="0" w:firstLineChars="0"/>
              <w:jc w:val="center"/>
              <w:rPr>
                <w:color w:val="auto"/>
                <w:sz w:val="21"/>
                <w:szCs w:val="21"/>
                <w:highlight w:val="none"/>
                <w:u w:val="single"/>
              </w:rPr>
            </w:pPr>
          </w:p>
        </w:tc>
        <w:tc>
          <w:tcPr>
            <w:tcW w:w="450" w:type="pct"/>
            <w:vMerge w:val="continue"/>
            <w:tcBorders>
              <w:right w:val="nil"/>
            </w:tcBorders>
            <w:vAlign w:val="center"/>
          </w:tcPr>
          <w:p w14:paraId="630FDD6B">
            <w:pPr>
              <w:topLinePunct w:val="0"/>
              <w:spacing w:line="240" w:lineRule="auto"/>
              <w:ind w:firstLine="0" w:firstLineChars="0"/>
              <w:jc w:val="center"/>
              <w:rPr>
                <w:color w:val="auto"/>
                <w:sz w:val="21"/>
                <w:szCs w:val="21"/>
                <w:highlight w:val="none"/>
                <w:u w:val="single"/>
              </w:rPr>
            </w:pPr>
          </w:p>
        </w:tc>
      </w:tr>
      <w:tr w14:paraId="1596D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 w:type="pct"/>
            <w:vMerge w:val="continue"/>
            <w:tcBorders>
              <w:left w:val="nil"/>
            </w:tcBorders>
            <w:vAlign w:val="center"/>
          </w:tcPr>
          <w:p w14:paraId="235342CD">
            <w:pPr>
              <w:topLinePunct w:val="0"/>
              <w:spacing w:line="240" w:lineRule="auto"/>
              <w:ind w:firstLine="0" w:firstLineChars="0"/>
              <w:jc w:val="center"/>
              <w:rPr>
                <w:color w:val="auto"/>
                <w:sz w:val="21"/>
                <w:szCs w:val="21"/>
                <w:highlight w:val="none"/>
                <w:u w:val="single"/>
              </w:rPr>
            </w:pPr>
          </w:p>
        </w:tc>
        <w:tc>
          <w:tcPr>
            <w:tcW w:w="669" w:type="pct"/>
            <w:gridSpan w:val="2"/>
            <w:tcBorders>
              <w:top w:val="single" w:color="auto" w:sz="4" w:space="0"/>
              <w:bottom w:val="single" w:color="auto" w:sz="4" w:space="0"/>
            </w:tcBorders>
            <w:vAlign w:val="center"/>
          </w:tcPr>
          <w:p w14:paraId="4C3684D2">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危化品、危废暂存间仓储废气</w:t>
            </w:r>
          </w:p>
        </w:tc>
        <w:tc>
          <w:tcPr>
            <w:tcW w:w="895" w:type="pct"/>
            <w:tcBorders>
              <w:top w:val="single" w:color="auto" w:sz="4" w:space="0"/>
              <w:bottom w:val="single" w:color="auto" w:sz="4" w:space="0"/>
            </w:tcBorders>
            <w:vAlign w:val="center"/>
          </w:tcPr>
          <w:p w14:paraId="629237AA">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挥发性有机物、二甲苯</w:t>
            </w:r>
          </w:p>
        </w:tc>
        <w:tc>
          <w:tcPr>
            <w:tcW w:w="1322" w:type="pct"/>
            <w:tcBorders>
              <w:top w:val="single" w:color="auto" w:sz="4" w:space="0"/>
              <w:bottom w:val="single" w:color="auto" w:sz="4" w:space="0"/>
            </w:tcBorders>
            <w:vAlign w:val="center"/>
          </w:tcPr>
          <w:p w14:paraId="1E6E6A9F">
            <w:pPr>
              <w:topLinePunct w:val="0"/>
              <w:spacing w:line="240" w:lineRule="auto"/>
              <w:ind w:firstLine="0" w:firstLineChars="0"/>
              <w:jc w:val="center"/>
              <w:rPr>
                <w:color w:val="auto"/>
                <w:sz w:val="21"/>
                <w:szCs w:val="21"/>
                <w:highlight w:val="none"/>
                <w:u w:val="single"/>
              </w:rPr>
            </w:pPr>
            <w:r>
              <w:rPr>
                <w:color w:val="auto"/>
                <w:sz w:val="21"/>
                <w:szCs w:val="21"/>
                <w:highlight w:val="none"/>
                <w:u w:val="single"/>
              </w:rPr>
              <w:t>旋风除尘器+滤筒除尘器</w:t>
            </w:r>
            <w:r>
              <w:rPr>
                <w:rFonts w:hint="eastAsia"/>
                <w:color w:val="auto"/>
                <w:sz w:val="21"/>
                <w:szCs w:val="21"/>
                <w:highlight w:val="none"/>
                <w:u w:val="single"/>
              </w:rPr>
              <w:t>+高度15m、内径0.6m的排气筒排放</w:t>
            </w:r>
          </w:p>
        </w:tc>
        <w:tc>
          <w:tcPr>
            <w:tcW w:w="353" w:type="pct"/>
            <w:tcBorders>
              <w:top w:val="single" w:color="auto" w:sz="4" w:space="0"/>
              <w:bottom w:val="single" w:color="auto" w:sz="4" w:space="0"/>
            </w:tcBorders>
            <w:vAlign w:val="center"/>
          </w:tcPr>
          <w:p w14:paraId="0CFD24E4">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DA006</w:t>
            </w:r>
          </w:p>
        </w:tc>
        <w:tc>
          <w:tcPr>
            <w:tcW w:w="429" w:type="pct"/>
            <w:vAlign w:val="center"/>
          </w:tcPr>
          <w:p w14:paraId="667CEB1C">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已建成</w:t>
            </w:r>
          </w:p>
        </w:tc>
        <w:tc>
          <w:tcPr>
            <w:tcW w:w="519" w:type="pct"/>
            <w:vMerge w:val="continue"/>
            <w:vAlign w:val="center"/>
          </w:tcPr>
          <w:p w14:paraId="6154786C">
            <w:pPr>
              <w:topLinePunct w:val="0"/>
              <w:spacing w:line="240" w:lineRule="auto"/>
              <w:ind w:firstLine="0" w:firstLineChars="0"/>
              <w:jc w:val="center"/>
              <w:rPr>
                <w:color w:val="auto"/>
                <w:sz w:val="21"/>
                <w:szCs w:val="21"/>
                <w:highlight w:val="none"/>
                <w:u w:val="single"/>
              </w:rPr>
            </w:pPr>
          </w:p>
        </w:tc>
        <w:tc>
          <w:tcPr>
            <w:tcW w:w="450" w:type="pct"/>
            <w:vMerge w:val="continue"/>
            <w:tcBorders>
              <w:right w:val="nil"/>
            </w:tcBorders>
            <w:vAlign w:val="center"/>
          </w:tcPr>
          <w:p w14:paraId="009CAC9E">
            <w:pPr>
              <w:topLinePunct w:val="0"/>
              <w:spacing w:line="240" w:lineRule="auto"/>
              <w:ind w:firstLine="0" w:firstLineChars="0"/>
              <w:jc w:val="center"/>
              <w:rPr>
                <w:color w:val="auto"/>
                <w:sz w:val="21"/>
                <w:szCs w:val="21"/>
                <w:highlight w:val="none"/>
                <w:u w:val="single"/>
              </w:rPr>
            </w:pPr>
          </w:p>
        </w:tc>
      </w:tr>
      <w:tr w14:paraId="21E65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 w:type="pct"/>
            <w:vMerge w:val="restart"/>
            <w:tcBorders>
              <w:left w:val="nil"/>
            </w:tcBorders>
            <w:vAlign w:val="center"/>
          </w:tcPr>
          <w:p w14:paraId="5642BEF4">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废水</w:t>
            </w:r>
          </w:p>
        </w:tc>
        <w:tc>
          <w:tcPr>
            <w:tcW w:w="669" w:type="pct"/>
            <w:gridSpan w:val="2"/>
            <w:tcBorders>
              <w:top w:val="single" w:color="auto" w:sz="4" w:space="0"/>
              <w:bottom w:val="single" w:color="auto" w:sz="4" w:space="0"/>
            </w:tcBorders>
            <w:vAlign w:val="center"/>
          </w:tcPr>
          <w:p w14:paraId="59A483B3">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船舶含油废水、化学清洗酸碱废水、车间地面冲洗废水</w:t>
            </w:r>
          </w:p>
        </w:tc>
        <w:tc>
          <w:tcPr>
            <w:tcW w:w="895" w:type="pct"/>
            <w:tcBorders>
              <w:top w:val="single" w:color="auto" w:sz="4" w:space="0"/>
              <w:bottom w:val="single" w:color="auto" w:sz="4" w:space="0"/>
            </w:tcBorders>
            <w:vAlign w:val="center"/>
          </w:tcPr>
          <w:p w14:paraId="175D3F26">
            <w:pPr>
              <w:pStyle w:val="271"/>
              <w:topLinePunct w:val="0"/>
              <w:adjustRightInd w:val="0"/>
              <w:snapToGrid w:val="0"/>
              <w:spacing w:line="240" w:lineRule="auto"/>
              <w:ind w:firstLine="0" w:firstLineChars="0"/>
              <w:jc w:val="center"/>
              <w:rPr>
                <w:color w:val="auto"/>
                <w:sz w:val="21"/>
                <w:szCs w:val="21"/>
                <w:highlight w:val="none"/>
                <w:u w:val="single"/>
              </w:rPr>
            </w:pPr>
            <w:r>
              <w:rPr>
                <w:color w:val="auto"/>
                <w:sz w:val="21"/>
                <w:szCs w:val="21"/>
                <w:highlight w:val="none"/>
                <w:u w:val="single"/>
              </w:rPr>
              <w:t>pH值</w:t>
            </w:r>
            <w:r>
              <w:rPr>
                <w:rFonts w:hint="eastAsia"/>
                <w:color w:val="auto"/>
                <w:sz w:val="21"/>
                <w:szCs w:val="21"/>
                <w:highlight w:val="none"/>
                <w:u w:val="single"/>
              </w:rPr>
              <w:t>、COD、BOD</w:t>
            </w:r>
            <w:r>
              <w:rPr>
                <w:rFonts w:hint="eastAsia"/>
                <w:color w:val="auto"/>
                <w:sz w:val="21"/>
                <w:szCs w:val="21"/>
                <w:highlight w:val="none"/>
                <w:u w:val="single"/>
                <w:vertAlign w:val="subscript"/>
              </w:rPr>
              <w:t>5</w:t>
            </w:r>
            <w:r>
              <w:rPr>
                <w:rFonts w:hint="eastAsia"/>
                <w:color w:val="auto"/>
                <w:sz w:val="21"/>
                <w:szCs w:val="21"/>
                <w:highlight w:val="none"/>
                <w:u w:val="single"/>
              </w:rPr>
              <w:t>、氨氮、</w:t>
            </w:r>
            <w:r>
              <w:rPr>
                <w:color w:val="auto"/>
                <w:sz w:val="21"/>
                <w:szCs w:val="21"/>
                <w:highlight w:val="none"/>
                <w:u w:val="single"/>
              </w:rPr>
              <w:t>石油类</w:t>
            </w:r>
            <w:r>
              <w:rPr>
                <w:rFonts w:hint="eastAsia"/>
                <w:color w:val="auto"/>
                <w:sz w:val="21"/>
                <w:szCs w:val="21"/>
                <w:highlight w:val="none"/>
                <w:u w:val="single"/>
              </w:rPr>
              <w:t>、SS、</w:t>
            </w:r>
            <w:r>
              <w:rPr>
                <w:color w:val="auto"/>
                <w:sz w:val="21"/>
                <w:szCs w:val="21"/>
                <w:highlight w:val="none"/>
                <w:u w:val="single"/>
              </w:rPr>
              <w:t>磷酸盐</w:t>
            </w:r>
            <w:r>
              <w:rPr>
                <w:rFonts w:hint="eastAsia"/>
                <w:color w:val="auto"/>
                <w:sz w:val="21"/>
                <w:szCs w:val="21"/>
                <w:highlight w:val="none"/>
                <w:u w:val="single"/>
              </w:rPr>
              <w:t>、</w:t>
            </w:r>
            <w:r>
              <w:rPr>
                <w:color w:val="auto"/>
                <w:sz w:val="21"/>
                <w:szCs w:val="21"/>
                <w:highlight w:val="none"/>
                <w:u w:val="single"/>
              </w:rPr>
              <w:t>阴离子表面活性剂</w:t>
            </w:r>
          </w:p>
        </w:tc>
        <w:tc>
          <w:tcPr>
            <w:tcW w:w="1322" w:type="pct"/>
            <w:tcBorders>
              <w:top w:val="single" w:color="auto" w:sz="4" w:space="0"/>
              <w:bottom w:val="single" w:color="auto" w:sz="4" w:space="0"/>
            </w:tcBorders>
            <w:vAlign w:val="center"/>
          </w:tcPr>
          <w:p w14:paraId="6F4C5577">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污水处理站（</w:t>
            </w:r>
            <w:r>
              <w:rPr>
                <w:color w:val="auto"/>
                <w:sz w:val="21"/>
                <w:szCs w:val="21"/>
                <w:highlight w:val="none"/>
                <w:u w:val="single"/>
              </w:rPr>
              <w:t>含油废水处理系统和酸碱废水处理系统</w:t>
            </w:r>
            <w:r>
              <w:rPr>
                <w:rFonts w:hint="eastAsia"/>
                <w:color w:val="auto"/>
                <w:sz w:val="21"/>
                <w:szCs w:val="21"/>
                <w:highlight w:val="none"/>
                <w:u w:val="single"/>
              </w:rPr>
              <w:t>）</w:t>
            </w:r>
          </w:p>
        </w:tc>
        <w:tc>
          <w:tcPr>
            <w:tcW w:w="353" w:type="pct"/>
            <w:tcBorders>
              <w:top w:val="single" w:color="auto" w:sz="4" w:space="0"/>
              <w:bottom w:val="single" w:color="auto" w:sz="4" w:space="0"/>
            </w:tcBorders>
            <w:vAlign w:val="center"/>
          </w:tcPr>
          <w:p w14:paraId="5E77AD11">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DW001</w:t>
            </w:r>
          </w:p>
        </w:tc>
        <w:tc>
          <w:tcPr>
            <w:tcW w:w="429" w:type="pct"/>
            <w:vAlign w:val="center"/>
          </w:tcPr>
          <w:p w14:paraId="30374250">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已建成</w:t>
            </w:r>
          </w:p>
        </w:tc>
        <w:tc>
          <w:tcPr>
            <w:tcW w:w="519" w:type="pct"/>
            <w:vMerge w:val="continue"/>
            <w:vAlign w:val="center"/>
          </w:tcPr>
          <w:p w14:paraId="52F7C86F">
            <w:pPr>
              <w:topLinePunct w:val="0"/>
              <w:spacing w:line="240" w:lineRule="auto"/>
              <w:ind w:firstLine="0" w:firstLineChars="0"/>
              <w:jc w:val="center"/>
              <w:rPr>
                <w:color w:val="auto"/>
                <w:sz w:val="21"/>
                <w:szCs w:val="21"/>
                <w:highlight w:val="none"/>
                <w:u w:val="single"/>
              </w:rPr>
            </w:pPr>
          </w:p>
        </w:tc>
        <w:tc>
          <w:tcPr>
            <w:tcW w:w="450" w:type="pct"/>
            <w:vMerge w:val="continue"/>
            <w:tcBorders>
              <w:right w:val="nil"/>
            </w:tcBorders>
            <w:vAlign w:val="center"/>
          </w:tcPr>
          <w:p w14:paraId="06D12E35">
            <w:pPr>
              <w:topLinePunct w:val="0"/>
              <w:spacing w:line="240" w:lineRule="auto"/>
              <w:ind w:firstLine="0" w:firstLineChars="0"/>
              <w:jc w:val="center"/>
              <w:rPr>
                <w:color w:val="auto"/>
                <w:sz w:val="21"/>
                <w:szCs w:val="21"/>
                <w:highlight w:val="none"/>
                <w:u w:val="single"/>
              </w:rPr>
            </w:pPr>
          </w:p>
        </w:tc>
      </w:tr>
      <w:tr w14:paraId="0E1C68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 w:type="pct"/>
            <w:vMerge w:val="continue"/>
            <w:tcBorders>
              <w:left w:val="nil"/>
            </w:tcBorders>
            <w:vAlign w:val="center"/>
          </w:tcPr>
          <w:p w14:paraId="1DEE6134">
            <w:pPr>
              <w:topLinePunct w:val="0"/>
              <w:spacing w:line="240" w:lineRule="auto"/>
              <w:ind w:firstLine="0" w:firstLineChars="0"/>
              <w:jc w:val="center"/>
              <w:rPr>
                <w:color w:val="auto"/>
                <w:sz w:val="21"/>
                <w:szCs w:val="21"/>
                <w:highlight w:val="none"/>
                <w:u w:val="single"/>
              </w:rPr>
            </w:pPr>
          </w:p>
        </w:tc>
        <w:tc>
          <w:tcPr>
            <w:tcW w:w="669" w:type="pct"/>
            <w:gridSpan w:val="2"/>
            <w:tcBorders>
              <w:top w:val="single" w:color="auto" w:sz="4" w:space="0"/>
              <w:bottom w:val="single" w:color="auto" w:sz="4" w:space="0"/>
            </w:tcBorders>
            <w:vAlign w:val="center"/>
          </w:tcPr>
          <w:p w14:paraId="5D13BB97">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生活污水</w:t>
            </w:r>
          </w:p>
        </w:tc>
        <w:tc>
          <w:tcPr>
            <w:tcW w:w="895" w:type="pct"/>
            <w:tcBorders>
              <w:top w:val="single" w:color="auto" w:sz="4" w:space="0"/>
              <w:bottom w:val="single" w:color="auto" w:sz="4" w:space="0"/>
            </w:tcBorders>
            <w:vAlign w:val="center"/>
          </w:tcPr>
          <w:p w14:paraId="5910766E">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COD、BOD</w:t>
            </w:r>
            <w:r>
              <w:rPr>
                <w:rFonts w:hint="eastAsia"/>
                <w:color w:val="auto"/>
                <w:sz w:val="21"/>
                <w:szCs w:val="21"/>
                <w:highlight w:val="none"/>
                <w:u w:val="single"/>
                <w:vertAlign w:val="subscript"/>
              </w:rPr>
              <w:t>5</w:t>
            </w:r>
            <w:r>
              <w:rPr>
                <w:rFonts w:hint="eastAsia"/>
                <w:color w:val="auto"/>
                <w:sz w:val="21"/>
                <w:szCs w:val="21"/>
                <w:highlight w:val="none"/>
                <w:u w:val="single"/>
              </w:rPr>
              <w:t>、氨氮、</w:t>
            </w:r>
          </w:p>
        </w:tc>
        <w:tc>
          <w:tcPr>
            <w:tcW w:w="1322" w:type="pct"/>
            <w:tcBorders>
              <w:top w:val="single" w:color="auto" w:sz="4" w:space="0"/>
              <w:bottom w:val="single" w:color="auto" w:sz="4" w:space="0"/>
            </w:tcBorders>
            <w:vAlign w:val="center"/>
          </w:tcPr>
          <w:p w14:paraId="679C4D59">
            <w:pPr>
              <w:topLinePunct w:val="0"/>
              <w:spacing w:line="240" w:lineRule="auto"/>
              <w:ind w:firstLine="0" w:firstLineChars="0"/>
              <w:jc w:val="center"/>
              <w:rPr>
                <w:color w:val="auto"/>
                <w:sz w:val="21"/>
                <w:szCs w:val="21"/>
                <w:highlight w:val="none"/>
                <w:u w:val="single"/>
              </w:rPr>
            </w:pPr>
            <w:r>
              <w:rPr>
                <w:rFonts w:hint="eastAsia"/>
                <w:bCs/>
                <w:color w:val="auto"/>
                <w:sz w:val="21"/>
                <w:szCs w:val="21"/>
                <w:highlight w:val="none"/>
                <w:u w:val="single"/>
              </w:rPr>
              <w:t>生活污水处理一体化设备（300m</w:t>
            </w:r>
            <w:r>
              <w:rPr>
                <w:rFonts w:hint="eastAsia"/>
                <w:bCs/>
                <w:color w:val="auto"/>
                <w:sz w:val="21"/>
                <w:szCs w:val="21"/>
                <w:highlight w:val="none"/>
                <w:u w:val="single"/>
                <w:vertAlign w:val="superscript"/>
              </w:rPr>
              <w:t>3</w:t>
            </w:r>
            <w:r>
              <w:rPr>
                <w:rFonts w:hint="eastAsia"/>
                <w:bCs/>
                <w:color w:val="auto"/>
                <w:sz w:val="21"/>
                <w:szCs w:val="21"/>
                <w:highlight w:val="none"/>
                <w:u w:val="single"/>
              </w:rPr>
              <w:t>），含1个配套的中水回用池（容积170m</w:t>
            </w:r>
            <w:r>
              <w:rPr>
                <w:rFonts w:hint="eastAsia"/>
                <w:bCs/>
                <w:color w:val="auto"/>
                <w:sz w:val="21"/>
                <w:szCs w:val="21"/>
                <w:highlight w:val="none"/>
                <w:u w:val="single"/>
                <w:vertAlign w:val="superscript"/>
              </w:rPr>
              <w:t>3</w:t>
            </w:r>
            <w:r>
              <w:rPr>
                <w:rFonts w:hint="eastAsia"/>
                <w:bCs/>
                <w:color w:val="auto"/>
                <w:sz w:val="21"/>
                <w:szCs w:val="21"/>
                <w:highlight w:val="none"/>
                <w:u w:val="single"/>
              </w:rPr>
              <w:t>）</w:t>
            </w:r>
          </w:p>
        </w:tc>
        <w:tc>
          <w:tcPr>
            <w:tcW w:w="353" w:type="pct"/>
            <w:tcBorders>
              <w:top w:val="single" w:color="auto" w:sz="4" w:space="0"/>
              <w:bottom w:val="single" w:color="auto" w:sz="4" w:space="0"/>
            </w:tcBorders>
            <w:vAlign w:val="center"/>
          </w:tcPr>
          <w:p w14:paraId="7250450B">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w:t>
            </w:r>
          </w:p>
        </w:tc>
        <w:tc>
          <w:tcPr>
            <w:tcW w:w="429" w:type="pct"/>
            <w:vAlign w:val="center"/>
          </w:tcPr>
          <w:p w14:paraId="0C759E8D">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已建成</w:t>
            </w:r>
          </w:p>
        </w:tc>
        <w:tc>
          <w:tcPr>
            <w:tcW w:w="519" w:type="pct"/>
            <w:vMerge w:val="continue"/>
            <w:vAlign w:val="center"/>
          </w:tcPr>
          <w:p w14:paraId="17503BE6">
            <w:pPr>
              <w:topLinePunct w:val="0"/>
              <w:spacing w:line="240" w:lineRule="auto"/>
              <w:ind w:firstLine="0" w:firstLineChars="0"/>
              <w:jc w:val="center"/>
              <w:rPr>
                <w:color w:val="auto"/>
                <w:sz w:val="21"/>
                <w:szCs w:val="21"/>
                <w:highlight w:val="none"/>
                <w:u w:val="single"/>
              </w:rPr>
            </w:pPr>
          </w:p>
        </w:tc>
        <w:tc>
          <w:tcPr>
            <w:tcW w:w="450" w:type="pct"/>
            <w:vMerge w:val="continue"/>
            <w:tcBorders>
              <w:right w:val="nil"/>
            </w:tcBorders>
            <w:vAlign w:val="center"/>
          </w:tcPr>
          <w:p w14:paraId="7C16B4A0">
            <w:pPr>
              <w:topLinePunct w:val="0"/>
              <w:spacing w:line="240" w:lineRule="auto"/>
              <w:ind w:firstLine="0" w:firstLineChars="0"/>
              <w:jc w:val="center"/>
              <w:rPr>
                <w:color w:val="auto"/>
                <w:sz w:val="21"/>
                <w:szCs w:val="21"/>
                <w:highlight w:val="none"/>
                <w:u w:val="single"/>
              </w:rPr>
            </w:pPr>
          </w:p>
        </w:tc>
      </w:tr>
      <w:tr w14:paraId="5ABBB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 w:type="pct"/>
            <w:vMerge w:val="continue"/>
            <w:tcBorders>
              <w:left w:val="nil"/>
            </w:tcBorders>
            <w:vAlign w:val="center"/>
          </w:tcPr>
          <w:p w14:paraId="72E83C6A">
            <w:pPr>
              <w:topLinePunct w:val="0"/>
              <w:spacing w:line="240" w:lineRule="auto"/>
              <w:ind w:firstLine="0" w:firstLineChars="0"/>
              <w:jc w:val="center"/>
              <w:rPr>
                <w:color w:val="auto"/>
                <w:sz w:val="21"/>
                <w:szCs w:val="21"/>
                <w:highlight w:val="none"/>
                <w:u w:val="single"/>
              </w:rPr>
            </w:pPr>
          </w:p>
        </w:tc>
        <w:tc>
          <w:tcPr>
            <w:tcW w:w="669" w:type="pct"/>
            <w:gridSpan w:val="2"/>
            <w:tcBorders>
              <w:top w:val="single" w:color="auto" w:sz="4" w:space="0"/>
              <w:bottom w:val="single" w:color="auto" w:sz="4" w:space="0"/>
            </w:tcBorders>
            <w:vAlign w:val="center"/>
          </w:tcPr>
          <w:p w14:paraId="5262959C">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驳岸</w:t>
            </w:r>
          </w:p>
        </w:tc>
        <w:tc>
          <w:tcPr>
            <w:tcW w:w="895" w:type="pct"/>
            <w:tcBorders>
              <w:top w:val="single" w:color="auto" w:sz="4" w:space="0"/>
              <w:bottom w:val="single" w:color="auto" w:sz="4" w:space="0"/>
            </w:tcBorders>
            <w:vAlign w:val="center"/>
          </w:tcPr>
          <w:p w14:paraId="2B12591D">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SS、石油类</w:t>
            </w:r>
          </w:p>
        </w:tc>
        <w:tc>
          <w:tcPr>
            <w:tcW w:w="1322" w:type="pct"/>
            <w:tcBorders>
              <w:top w:val="single" w:color="auto" w:sz="4" w:space="0"/>
              <w:bottom w:val="single" w:color="auto" w:sz="4" w:space="0"/>
            </w:tcBorders>
            <w:vAlign w:val="center"/>
          </w:tcPr>
          <w:p w14:paraId="79F18666">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初期雨水池、雨水排放口1#</w:t>
            </w:r>
          </w:p>
        </w:tc>
        <w:tc>
          <w:tcPr>
            <w:tcW w:w="353" w:type="pct"/>
            <w:tcBorders>
              <w:top w:val="single" w:color="auto" w:sz="4" w:space="0"/>
              <w:bottom w:val="single" w:color="auto" w:sz="4" w:space="0"/>
            </w:tcBorders>
            <w:vAlign w:val="center"/>
          </w:tcPr>
          <w:p w14:paraId="41BDE13A">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DW002</w:t>
            </w:r>
          </w:p>
        </w:tc>
        <w:tc>
          <w:tcPr>
            <w:tcW w:w="429" w:type="pct"/>
            <w:vAlign w:val="center"/>
          </w:tcPr>
          <w:p w14:paraId="2C7656BF">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已建成</w:t>
            </w:r>
          </w:p>
        </w:tc>
        <w:tc>
          <w:tcPr>
            <w:tcW w:w="519" w:type="pct"/>
            <w:vMerge w:val="continue"/>
            <w:vAlign w:val="center"/>
          </w:tcPr>
          <w:p w14:paraId="52EAADB6">
            <w:pPr>
              <w:topLinePunct w:val="0"/>
              <w:spacing w:line="240" w:lineRule="auto"/>
              <w:ind w:firstLine="0" w:firstLineChars="0"/>
              <w:jc w:val="center"/>
              <w:rPr>
                <w:color w:val="auto"/>
                <w:sz w:val="21"/>
                <w:szCs w:val="21"/>
                <w:highlight w:val="none"/>
                <w:u w:val="single"/>
              </w:rPr>
            </w:pPr>
          </w:p>
        </w:tc>
        <w:tc>
          <w:tcPr>
            <w:tcW w:w="450" w:type="pct"/>
            <w:vMerge w:val="continue"/>
            <w:tcBorders>
              <w:right w:val="nil"/>
            </w:tcBorders>
            <w:vAlign w:val="center"/>
          </w:tcPr>
          <w:p w14:paraId="1016EE2B">
            <w:pPr>
              <w:topLinePunct w:val="0"/>
              <w:spacing w:line="240" w:lineRule="auto"/>
              <w:ind w:firstLine="0" w:firstLineChars="0"/>
              <w:jc w:val="center"/>
              <w:rPr>
                <w:color w:val="auto"/>
                <w:sz w:val="21"/>
                <w:szCs w:val="21"/>
                <w:highlight w:val="none"/>
                <w:u w:val="single"/>
              </w:rPr>
            </w:pPr>
          </w:p>
        </w:tc>
      </w:tr>
      <w:tr w14:paraId="745C2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 w:type="pct"/>
            <w:vMerge w:val="continue"/>
            <w:tcBorders>
              <w:left w:val="nil"/>
            </w:tcBorders>
            <w:vAlign w:val="center"/>
          </w:tcPr>
          <w:p w14:paraId="6DDA55FB">
            <w:pPr>
              <w:topLinePunct w:val="0"/>
              <w:spacing w:line="240" w:lineRule="auto"/>
              <w:ind w:firstLine="0" w:firstLineChars="0"/>
              <w:jc w:val="center"/>
              <w:rPr>
                <w:color w:val="auto"/>
                <w:sz w:val="21"/>
                <w:szCs w:val="21"/>
                <w:highlight w:val="none"/>
                <w:u w:val="single"/>
              </w:rPr>
            </w:pPr>
          </w:p>
        </w:tc>
        <w:tc>
          <w:tcPr>
            <w:tcW w:w="669" w:type="pct"/>
            <w:gridSpan w:val="2"/>
            <w:tcBorders>
              <w:top w:val="single" w:color="auto" w:sz="4" w:space="0"/>
              <w:bottom w:val="single" w:color="auto" w:sz="4" w:space="0"/>
            </w:tcBorders>
            <w:vAlign w:val="center"/>
          </w:tcPr>
          <w:p w14:paraId="6C21632F">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2#码头</w:t>
            </w:r>
          </w:p>
        </w:tc>
        <w:tc>
          <w:tcPr>
            <w:tcW w:w="895" w:type="pct"/>
            <w:tcBorders>
              <w:top w:val="single" w:color="auto" w:sz="4" w:space="0"/>
              <w:bottom w:val="single" w:color="auto" w:sz="4" w:space="0"/>
            </w:tcBorders>
            <w:vAlign w:val="center"/>
          </w:tcPr>
          <w:p w14:paraId="57E6FC95">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SS、石油类</w:t>
            </w:r>
          </w:p>
        </w:tc>
        <w:tc>
          <w:tcPr>
            <w:tcW w:w="1322" w:type="pct"/>
            <w:tcBorders>
              <w:top w:val="single" w:color="auto" w:sz="4" w:space="0"/>
              <w:bottom w:val="single" w:color="auto" w:sz="4" w:space="0"/>
            </w:tcBorders>
            <w:vAlign w:val="center"/>
          </w:tcPr>
          <w:p w14:paraId="5374B95E">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初期雨水池、雨水排放口2#</w:t>
            </w:r>
          </w:p>
        </w:tc>
        <w:tc>
          <w:tcPr>
            <w:tcW w:w="353" w:type="pct"/>
            <w:tcBorders>
              <w:top w:val="single" w:color="auto" w:sz="4" w:space="0"/>
              <w:bottom w:val="single" w:color="auto" w:sz="4" w:space="0"/>
            </w:tcBorders>
            <w:vAlign w:val="center"/>
          </w:tcPr>
          <w:p w14:paraId="3FF831CD">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DW003</w:t>
            </w:r>
          </w:p>
        </w:tc>
        <w:tc>
          <w:tcPr>
            <w:tcW w:w="429" w:type="pct"/>
            <w:vAlign w:val="center"/>
          </w:tcPr>
          <w:p w14:paraId="2F9B5978">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已建成</w:t>
            </w:r>
          </w:p>
        </w:tc>
        <w:tc>
          <w:tcPr>
            <w:tcW w:w="519" w:type="pct"/>
            <w:vMerge w:val="restart"/>
            <w:vAlign w:val="center"/>
          </w:tcPr>
          <w:p w14:paraId="75C41BD2">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2#码头、5#码头项目</w:t>
            </w:r>
          </w:p>
        </w:tc>
        <w:tc>
          <w:tcPr>
            <w:tcW w:w="450" w:type="pct"/>
            <w:vMerge w:val="restart"/>
            <w:tcBorders>
              <w:right w:val="nil"/>
            </w:tcBorders>
            <w:vAlign w:val="center"/>
          </w:tcPr>
          <w:p w14:paraId="7F6C2F36">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w:t>
            </w:r>
          </w:p>
        </w:tc>
      </w:tr>
      <w:tr w14:paraId="49EA1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 w:type="pct"/>
            <w:vMerge w:val="continue"/>
            <w:tcBorders>
              <w:left w:val="nil"/>
            </w:tcBorders>
            <w:vAlign w:val="center"/>
          </w:tcPr>
          <w:p w14:paraId="0E87902D">
            <w:pPr>
              <w:topLinePunct w:val="0"/>
              <w:spacing w:line="240" w:lineRule="auto"/>
              <w:ind w:firstLine="0" w:firstLineChars="0"/>
              <w:jc w:val="center"/>
              <w:rPr>
                <w:color w:val="auto"/>
                <w:sz w:val="21"/>
                <w:szCs w:val="21"/>
                <w:highlight w:val="none"/>
                <w:u w:val="single"/>
              </w:rPr>
            </w:pPr>
          </w:p>
        </w:tc>
        <w:tc>
          <w:tcPr>
            <w:tcW w:w="669" w:type="pct"/>
            <w:gridSpan w:val="2"/>
            <w:vMerge w:val="restart"/>
            <w:tcBorders>
              <w:top w:val="single" w:color="auto" w:sz="4" w:space="0"/>
            </w:tcBorders>
            <w:vAlign w:val="center"/>
          </w:tcPr>
          <w:p w14:paraId="01B2D935">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5#码头</w:t>
            </w:r>
          </w:p>
        </w:tc>
        <w:tc>
          <w:tcPr>
            <w:tcW w:w="895" w:type="pct"/>
            <w:tcBorders>
              <w:top w:val="single" w:color="auto" w:sz="4" w:space="0"/>
              <w:bottom w:val="single" w:color="auto" w:sz="4" w:space="0"/>
            </w:tcBorders>
            <w:vAlign w:val="center"/>
          </w:tcPr>
          <w:p w14:paraId="454364F9">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SS、石油类</w:t>
            </w:r>
          </w:p>
        </w:tc>
        <w:tc>
          <w:tcPr>
            <w:tcW w:w="1322" w:type="pct"/>
            <w:tcBorders>
              <w:top w:val="single" w:color="auto" w:sz="4" w:space="0"/>
              <w:bottom w:val="single" w:color="auto" w:sz="4" w:space="0"/>
            </w:tcBorders>
            <w:vAlign w:val="center"/>
          </w:tcPr>
          <w:p w14:paraId="4585906E">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初期雨水池、雨水排放口3#</w:t>
            </w:r>
          </w:p>
        </w:tc>
        <w:tc>
          <w:tcPr>
            <w:tcW w:w="353" w:type="pct"/>
            <w:tcBorders>
              <w:top w:val="single" w:color="auto" w:sz="4" w:space="0"/>
              <w:bottom w:val="single" w:color="auto" w:sz="4" w:space="0"/>
            </w:tcBorders>
            <w:vAlign w:val="center"/>
          </w:tcPr>
          <w:p w14:paraId="3002B2FD">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DW004</w:t>
            </w:r>
          </w:p>
        </w:tc>
        <w:tc>
          <w:tcPr>
            <w:tcW w:w="429" w:type="pct"/>
            <w:vAlign w:val="center"/>
          </w:tcPr>
          <w:p w14:paraId="72996461">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已建成</w:t>
            </w:r>
          </w:p>
        </w:tc>
        <w:tc>
          <w:tcPr>
            <w:tcW w:w="519" w:type="pct"/>
            <w:vMerge w:val="continue"/>
            <w:vAlign w:val="center"/>
          </w:tcPr>
          <w:p w14:paraId="01ACE097">
            <w:pPr>
              <w:topLinePunct w:val="0"/>
              <w:spacing w:line="240" w:lineRule="auto"/>
              <w:ind w:firstLine="0" w:firstLineChars="0"/>
              <w:jc w:val="center"/>
              <w:rPr>
                <w:color w:val="auto"/>
                <w:sz w:val="21"/>
                <w:szCs w:val="21"/>
                <w:highlight w:val="none"/>
                <w:u w:val="single"/>
              </w:rPr>
            </w:pPr>
          </w:p>
        </w:tc>
        <w:tc>
          <w:tcPr>
            <w:tcW w:w="450" w:type="pct"/>
            <w:vMerge w:val="continue"/>
            <w:tcBorders>
              <w:right w:val="nil"/>
            </w:tcBorders>
            <w:vAlign w:val="center"/>
          </w:tcPr>
          <w:p w14:paraId="6030C45D">
            <w:pPr>
              <w:topLinePunct w:val="0"/>
              <w:spacing w:line="240" w:lineRule="auto"/>
              <w:ind w:firstLine="0" w:firstLineChars="0"/>
              <w:jc w:val="center"/>
              <w:rPr>
                <w:color w:val="auto"/>
                <w:sz w:val="21"/>
                <w:szCs w:val="21"/>
                <w:highlight w:val="none"/>
                <w:u w:val="single"/>
              </w:rPr>
            </w:pPr>
          </w:p>
        </w:tc>
      </w:tr>
      <w:tr w14:paraId="5D95E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 w:type="pct"/>
            <w:vMerge w:val="continue"/>
            <w:tcBorders>
              <w:left w:val="nil"/>
            </w:tcBorders>
            <w:vAlign w:val="center"/>
          </w:tcPr>
          <w:p w14:paraId="347C8038">
            <w:pPr>
              <w:topLinePunct w:val="0"/>
              <w:spacing w:line="240" w:lineRule="auto"/>
              <w:ind w:firstLine="0" w:firstLineChars="0"/>
              <w:jc w:val="center"/>
              <w:rPr>
                <w:color w:val="auto"/>
                <w:sz w:val="21"/>
                <w:szCs w:val="21"/>
                <w:highlight w:val="none"/>
                <w:u w:val="single"/>
              </w:rPr>
            </w:pPr>
          </w:p>
        </w:tc>
        <w:tc>
          <w:tcPr>
            <w:tcW w:w="669" w:type="pct"/>
            <w:gridSpan w:val="2"/>
            <w:vMerge w:val="continue"/>
            <w:vAlign w:val="center"/>
          </w:tcPr>
          <w:p w14:paraId="274FACF3">
            <w:pPr>
              <w:topLinePunct w:val="0"/>
              <w:spacing w:line="240" w:lineRule="auto"/>
              <w:ind w:firstLine="0" w:firstLineChars="0"/>
              <w:jc w:val="center"/>
              <w:rPr>
                <w:color w:val="auto"/>
                <w:sz w:val="21"/>
                <w:szCs w:val="21"/>
                <w:highlight w:val="none"/>
                <w:u w:val="single"/>
              </w:rPr>
            </w:pPr>
          </w:p>
        </w:tc>
        <w:tc>
          <w:tcPr>
            <w:tcW w:w="895" w:type="pct"/>
            <w:tcBorders>
              <w:top w:val="single" w:color="auto" w:sz="4" w:space="0"/>
              <w:bottom w:val="single" w:color="auto" w:sz="4" w:space="0"/>
            </w:tcBorders>
            <w:vAlign w:val="center"/>
          </w:tcPr>
          <w:p w14:paraId="36AAC07E">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SS、石油类</w:t>
            </w:r>
          </w:p>
        </w:tc>
        <w:tc>
          <w:tcPr>
            <w:tcW w:w="1322" w:type="pct"/>
            <w:tcBorders>
              <w:top w:val="single" w:color="auto" w:sz="4" w:space="0"/>
              <w:bottom w:val="single" w:color="auto" w:sz="4" w:space="0"/>
            </w:tcBorders>
            <w:vAlign w:val="center"/>
          </w:tcPr>
          <w:p w14:paraId="4FA76FEC">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初期雨水池、雨水排放口4#</w:t>
            </w:r>
          </w:p>
        </w:tc>
        <w:tc>
          <w:tcPr>
            <w:tcW w:w="353" w:type="pct"/>
            <w:tcBorders>
              <w:top w:val="single" w:color="auto" w:sz="4" w:space="0"/>
              <w:bottom w:val="single" w:color="auto" w:sz="4" w:space="0"/>
            </w:tcBorders>
            <w:vAlign w:val="center"/>
          </w:tcPr>
          <w:p w14:paraId="657D9BE1">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DW005</w:t>
            </w:r>
          </w:p>
        </w:tc>
        <w:tc>
          <w:tcPr>
            <w:tcW w:w="429" w:type="pct"/>
            <w:vAlign w:val="center"/>
          </w:tcPr>
          <w:p w14:paraId="1ED1FD34">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已建成</w:t>
            </w:r>
          </w:p>
        </w:tc>
        <w:tc>
          <w:tcPr>
            <w:tcW w:w="519" w:type="pct"/>
            <w:vMerge w:val="continue"/>
            <w:vAlign w:val="center"/>
          </w:tcPr>
          <w:p w14:paraId="78EB6E08">
            <w:pPr>
              <w:topLinePunct w:val="0"/>
              <w:spacing w:line="240" w:lineRule="auto"/>
              <w:ind w:firstLine="0" w:firstLineChars="0"/>
              <w:jc w:val="center"/>
              <w:rPr>
                <w:color w:val="auto"/>
                <w:sz w:val="21"/>
                <w:szCs w:val="21"/>
                <w:highlight w:val="none"/>
                <w:u w:val="single"/>
              </w:rPr>
            </w:pPr>
          </w:p>
        </w:tc>
        <w:tc>
          <w:tcPr>
            <w:tcW w:w="450" w:type="pct"/>
            <w:vMerge w:val="continue"/>
            <w:tcBorders>
              <w:right w:val="nil"/>
            </w:tcBorders>
            <w:vAlign w:val="center"/>
          </w:tcPr>
          <w:p w14:paraId="7AE9274F">
            <w:pPr>
              <w:topLinePunct w:val="0"/>
              <w:spacing w:line="240" w:lineRule="auto"/>
              <w:ind w:firstLine="0" w:firstLineChars="0"/>
              <w:jc w:val="center"/>
              <w:rPr>
                <w:color w:val="auto"/>
                <w:sz w:val="21"/>
                <w:szCs w:val="21"/>
                <w:highlight w:val="none"/>
                <w:u w:val="single"/>
              </w:rPr>
            </w:pPr>
          </w:p>
        </w:tc>
      </w:tr>
      <w:tr w14:paraId="14531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 w:type="pct"/>
            <w:vMerge w:val="restart"/>
            <w:tcBorders>
              <w:left w:val="nil"/>
            </w:tcBorders>
            <w:vAlign w:val="center"/>
          </w:tcPr>
          <w:p w14:paraId="5B8C726D">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固体废物</w:t>
            </w:r>
          </w:p>
        </w:tc>
        <w:tc>
          <w:tcPr>
            <w:tcW w:w="669" w:type="pct"/>
            <w:gridSpan w:val="2"/>
            <w:vAlign w:val="center"/>
          </w:tcPr>
          <w:p w14:paraId="360EAE0B">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一般固体废物</w:t>
            </w:r>
          </w:p>
        </w:tc>
        <w:tc>
          <w:tcPr>
            <w:tcW w:w="895" w:type="pct"/>
            <w:tcBorders>
              <w:top w:val="single" w:color="auto" w:sz="4" w:space="0"/>
              <w:bottom w:val="single" w:color="auto" w:sz="4" w:space="0"/>
            </w:tcBorders>
            <w:vAlign w:val="center"/>
          </w:tcPr>
          <w:p w14:paraId="6C37ABCB">
            <w:pPr>
              <w:topLinePunct w:val="0"/>
              <w:spacing w:line="240" w:lineRule="auto"/>
              <w:ind w:firstLine="0" w:firstLineChars="0"/>
              <w:jc w:val="center"/>
              <w:rPr>
                <w:color w:val="auto"/>
                <w:sz w:val="21"/>
                <w:szCs w:val="21"/>
                <w:highlight w:val="none"/>
                <w:u w:val="single"/>
              </w:rPr>
            </w:pPr>
            <w:r>
              <w:rPr>
                <w:color w:val="auto"/>
                <w:sz w:val="21"/>
                <w:szCs w:val="21"/>
                <w:highlight w:val="none"/>
                <w:u w:val="single"/>
              </w:rPr>
              <w:t>钢材切割废料、废焊料、焊渣、废铜矿砂及铁锈等</w:t>
            </w:r>
          </w:p>
        </w:tc>
        <w:tc>
          <w:tcPr>
            <w:tcW w:w="1322" w:type="pct"/>
            <w:tcBorders>
              <w:top w:val="single" w:color="auto" w:sz="4" w:space="0"/>
              <w:bottom w:val="single" w:color="auto" w:sz="4" w:space="0"/>
            </w:tcBorders>
            <w:vAlign w:val="center"/>
          </w:tcPr>
          <w:p w14:paraId="2EC675BF">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一般固废暂存间</w:t>
            </w:r>
          </w:p>
        </w:tc>
        <w:tc>
          <w:tcPr>
            <w:tcW w:w="353" w:type="pct"/>
            <w:tcBorders>
              <w:top w:val="single" w:color="auto" w:sz="4" w:space="0"/>
              <w:bottom w:val="single" w:color="auto" w:sz="4" w:space="0"/>
            </w:tcBorders>
            <w:vAlign w:val="center"/>
          </w:tcPr>
          <w:p w14:paraId="0E9FE28D">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w:t>
            </w:r>
          </w:p>
        </w:tc>
        <w:tc>
          <w:tcPr>
            <w:tcW w:w="429" w:type="pct"/>
            <w:vAlign w:val="center"/>
          </w:tcPr>
          <w:p w14:paraId="26C2FD9C">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已建成</w:t>
            </w:r>
          </w:p>
        </w:tc>
        <w:tc>
          <w:tcPr>
            <w:tcW w:w="519" w:type="pct"/>
            <w:vMerge w:val="restart"/>
            <w:vAlign w:val="center"/>
          </w:tcPr>
          <w:p w14:paraId="218820F7">
            <w:pPr>
              <w:topLinePunct w:val="0"/>
              <w:spacing w:line="240" w:lineRule="auto"/>
              <w:ind w:firstLine="0" w:firstLineChars="0"/>
              <w:jc w:val="center"/>
              <w:rPr>
                <w:color w:val="auto"/>
                <w:sz w:val="21"/>
                <w:szCs w:val="21"/>
                <w:highlight w:val="none"/>
                <w:u w:val="single"/>
              </w:rPr>
            </w:pPr>
            <w:r>
              <w:rPr>
                <w:color w:val="auto"/>
                <w:sz w:val="21"/>
                <w:szCs w:val="21"/>
                <w:highlight w:val="none"/>
                <w:u w:val="single"/>
              </w:rPr>
              <w:t>中船钦州修船资源整合项目</w:t>
            </w:r>
          </w:p>
        </w:tc>
        <w:tc>
          <w:tcPr>
            <w:tcW w:w="450" w:type="pct"/>
            <w:vMerge w:val="restart"/>
            <w:tcBorders>
              <w:right w:val="nil"/>
            </w:tcBorders>
            <w:vAlign w:val="center"/>
          </w:tcPr>
          <w:p w14:paraId="7E656EA8">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项目依托工程</w:t>
            </w:r>
          </w:p>
        </w:tc>
      </w:tr>
      <w:tr w14:paraId="16981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 w:type="pct"/>
            <w:vMerge w:val="continue"/>
            <w:tcBorders>
              <w:left w:val="nil"/>
              <w:bottom w:val="single" w:color="auto" w:sz="12" w:space="0"/>
            </w:tcBorders>
            <w:vAlign w:val="center"/>
          </w:tcPr>
          <w:p w14:paraId="526A9E57">
            <w:pPr>
              <w:topLinePunct w:val="0"/>
              <w:spacing w:line="240" w:lineRule="auto"/>
              <w:ind w:firstLine="0" w:firstLineChars="0"/>
              <w:jc w:val="center"/>
              <w:rPr>
                <w:color w:val="auto"/>
                <w:sz w:val="21"/>
                <w:szCs w:val="21"/>
                <w:highlight w:val="none"/>
                <w:u w:val="single"/>
              </w:rPr>
            </w:pPr>
          </w:p>
        </w:tc>
        <w:tc>
          <w:tcPr>
            <w:tcW w:w="669" w:type="pct"/>
            <w:gridSpan w:val="2"/>
            <w:tcBorders>
              <w:bottom w:val="single" w:color="auto" w:sz="12" w:space="0"/>
            </w:tcBorders>
            <w:vAlign w:val="center"/>
          </w:tcPr>
          <w:p w14:paraId="5F4946F8">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危险废物</w:t>
            </w:r>
          </w:p>
        </w:tc>
        <w:tc>
          <w:tcPr>
            <w:tcW w:w="895" w:type="pct"/>
            <w:tcBorders>
              <w:top w:val="single" w:color="auto" w:sz="4" w:space="0"/>
              <w:bottom w:val="single" w:color="auto" w:sz="12" w:space="0"/>
            </w:tcBorders>
            <w:vAlign w:val="center"/>
          </w:tcPr>
          <w:p w14:paraId="1934905B">
            <w:pPr>
              <w:topLinePunct w:val="0"/>
              <w:spacing w:line="240" w:lineRule="auto"/>
              <w:ind w:firstLine="0" w:firstLineChars="0"/>
              <w:jc w:val="center"/>
              <w:rPr>
                <w:color w:val="auto"/>
                <w:sz w:val="21"/>
                <w:szCs w:val="21"/>
                <w:highlight w:val="none"/>
                <w:u w:val="single"/>
              </w:rPr>
            </w:pPr>
            <w:r>
              <w:rPr>
                <w:color w:val="auto"/>
                <w:sz w:val="21"/>
                <w:szCs w:val="21"/>
                <w:highlight w:val="none"/>
                <w:u w:val="single"/>
              </w:rPr>
              <w:t>船舶废油、废乳化液、浸漆废液、漆渣、废活性炭、废油污泥、废油漆桶等</w:t>
            </w:r>
          </w:p>
        </w:tc>
        <w:tc>
          <w:tcPr>
            <w:tcW w:w="1322" w:type="pct"/>
            <w:tcBorders>
              <w:top w:val="single" w:color="auto" w:sz="4" w:space="0"/>
              <w:bottom w:val="single" w:color="auto" w:sz="12" w:space="0"/>
            </w:tcBorders>
            <w:vAlign w:val="center"/>
          </w:tcPr>
          <w:p w14:paraId="1092BAFE">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危险废物暂存间</w:t>
            </w:r>
          </w:p>
        </w:tc>
        <w:tc>
          <w:tcPr>
            <w:tcW w:w="353" w:type="pct"/>
            <w:tcBorders>
              <w:top w:val="single" w:color="auto" w:sz="4" w:space="0"/>
              <w:bottom w:val="single" w:color="auto" w:sz="12" w:space="0"/>
            </w:tcBorders>
            <w:vAlign w:val="center"/>
          </w:tcPr>
          <w:p w14:paraId="681C6422">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w:t>
            </w:r>
          </w:p>
        </w:tc>
        <w:tc>
          <w:tcPr>
            <w:tcW w:w="429" w:type="pct"/>
            <w:tcBorders>
              <w:bottom w:val="single" w:color="auto" w:sz="12" w:space="0"/>
            </w:tcBorders>
            <w:vAlign w:val="center"/>
          </w:tcPr>
          <w:p w14:paraId="243A5F98">
            <w:pPr>
              <w:topLinePunct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已建成</w:t>
            </w:r>
          </w:p>
        </w:tc>
        <w:tc>
          <w:tcPr>
            <w:tcW w:w="519" w:type="pct"/>
            <w:vMerge w:val="continue"/>
            <w:tcBorders>
              <w:bottom w:val="single" w:color="auto" w:sz="12" w:space="0"/>
            </w:tcBorders>
            <w:vAlign w:val="center"/>
          </w:tcPr>
          <w:p w14:paraId="6E720BA1">
            <w:pPr>
              <w:topLinePunct w:val="0"/>
              <w:spacing w:line="240" w:lineRule="auto"/>
              <w:ind w:firstLine="0" w:firstLineChars="0"/>
              <w:jc w:val="center"/>
              <w:rPr>
                <w:color w:val="auto"/>
                <w:sz w:val="21"/>
                <w:szCs w:val="21"/>
                <w:highlight w:val="none"/>
                <w:u w:val="single"/>
              </w:rPr>
            </w:pPr>
          </w:p>
        </w:tc>
        <w:tc>
          <w:tcPr>
            <w:tcW w:w="450" w:type="pct"/>
            <w:vMerge w:val="continue"/>
            <w:tcBorders>
              <w:bottom w:val="single" w:color="auto" w:sz="12" w:space="0"/>
              <w:right w:val="nil"/>
            </w:tcBorders>
            <w:vAlign w:val="center"/>
          </w:tcPr>
          <w:p w14:paraId="28350F48">
            <w:pPr>
              <w:topLinePunct w:val="0"/>
              <w:spacing w:line="240" w:lineRule="auto"/>
              <w:ind w:firstLine="0" w:firstLineChars="0"/>
              <w:jc w:val="center"/>
              <w:rPr>
                <w:color w:val="auto"/>
                <w:sz w:val="21"/>
                <w:szCs w:val="21"/>
                <w:highlight w:val="none"/>
                <w:u w:val="single"/>
              </w:rPr>
            </w:pPr>
          </w:p>
        </w:tc>
      </w:tr>
    </w:tbl>
    <w:p w14:paraId="63C285CA">
      <w:pPr>
        <w:pStyle w:val="38"/>
        <w:ind w:firstLine="480"/>
        <w:rPr>
          <w:color w:val="auto"/>
          <w:highlight w:val="none"/>
        </w:rPr>
        <w:sectPr>
          <w:headerReference r:id="rId33" w:type="default"/>
          <w:pgSz w:w="16838" w:h="11906" w:orient="landscape"/>
          <w:pgMar w:top="1418" w:right="1559" w:bottom="1418" w:left="1503" w:header="851" w:footer="964" w:gutter="0"/>
          <w:cols w:space="720" w:num="1"/>
          <w:docGrid w:linePitch="326" w:charSpace="0"/>
        </w:sectPr>
      </w:pPr>
    </w:p>
    <w:p w14:paraId="389385A7">
      <w:pPr>
        <w:ind w:firstLine="482"/>
        <w:rPr>
          <w:b/>
          <w:bCs/>
          <w:color w:val="auto"/>
          <w:highlight w:val="none"/>
          <w:u w:val="single"/>
        </w:rPr>
      </w:pPr>
      <w:r>
        <w:rPr>
          <w:rFonts w:hint="eastAsia"/>
          <w:b/>
          <w:bCs/>
          <w:color w:val="auto"/>
          <w:highlight w:val="none"/>
          <w:u w:val="single"/>
        </w:rPr>
        <w:t>（2）全厂雨污水走向</w:t>
      </w:r>
    </w:p>
    <w:p w14:paraId="0E7B2765">
      <w:pPr>
        <w:ind w:firstLine="480"/>
        <w:rPr>
          <w:color w:val="auto"/>
          <w:highlight w:val="none"/>
          <w:u w:val="single"/>
        </w:rPr>
      </w:pPr>
      <w:r>
        <w:rPr>
          <w:rFonts w:hint="eastAsia"/>
          <w:color w:val="auto"/>
          <w:highlight w:val="none"/>
          <w:u w:val="single"/>
        </w:rPr>
        <w:t>根据现场调查：厂区污水及雨水走向如下：</w:t>
      </w:r>
    </w:p>
    <w:p w14:paraId="25A30B5C">
      <w:pPr>
        <w:ind w:firstLine="482"/>
        <w:rPr>
          <w:b/>
          <w:bCs/>
          <w:color w:val="auto"/>
          <w:highlight w:val="none"/>
          <w:u w:val="single"/>
        </w:rPr>
      </w:pPr>
      <w:r>
        <w:rPr>
          <w:rFonts w:hint="eastAsia" w:ascii="宋体" w:hAnsi="宋体" w:cs="宋体"/>
          <w:b/>
          <w:bCs/>
          <w:color w:val="auto"/>
          <w:highlight w:val="none"/>
          <w:u w:val="single"/>
        </w:rPr>
        <w:t>①生产废水</w:t>
      </w:r>
    </w:p>
    <w:p w14:paraId="7AF78EB4">
      <w:pPr>
        <w:ind w:firstLine="480"/>
        <w:rPr>
          <w:color w:val="auto"/>
          <w:highlight w:val="none"/>
          <w:u w:val="single"/>
        </w:rPr>
      </w:pPr>
      <w:r>
        <w:rPr>
          <w:rFonts w:hint="eastAsia"/>
          <w:color w:val="auto"/>
          <w:highlight w:val="none"/>
          <w:u w:val="single"/>
        </w:rPr>
        <w:t>现有工程生产废水主要来自</w:t>
      </w:r>
      <w:r>
        <w:rPr>
          <w:color w:val="auto"/>
          <w:highlight w:val="none"/>
          <w:u w:val="single"/>
        </w:rPr>
        <w:t>船舶含油废水、化学清洗酸碱废水、车间地面冲洗废水</w:t>
      </w:r>
      <w:r>
        <w:rPr>
          <w:rFonts w:hint="eastAsia"/>
          <w:color w:val="auto"/>
          <w:highlight w:val="none"/>
          <w:u w:val="single"/>
        </w:rPr>
        <w:t>，生产废水通过污水管网</w:t>
      </w:r>
      <w:r>
        <w:rPr>
          <w:color w:val="auto"/>
          <w:highlight w:val="none"/>
          <w:u w:val="single"/>
        </w:rPr>
        <w:t>排入厂区污水处理站</w:t>
      </w:r>
      <w:r>
        <w:rPr>
          <w:rFonts w:hint="eastAsia"/>
          <w:color w:val="auto"/>
          <w:highlight w:val="none"/>
          <w:u w:val="single"/>
        </w:rPr>
        <w:t>（含</w:t>
      </w:r>
      <w:r>
        <w:rPr>
          <w:color w:val="auto"/>
          <w:highlight w:val="none"/>
          <w:u w:val="single"/>
        </w:rPr>
        <w:t>含油废水处理系统和酸碱废水处理系统</w:t>
      </w:r>
      <w:r>
        <w:rPr>
          <w:rFonts w:hint="eastAsia"/>
          <w:color w:val="auto"/>
          <w:highlight w:val="none"/>
          <w:u w:val="single"/>
        </w:rPr>
        <w:t>）</w:t>
      </w:r>
      <w:r>
        <w:rPr>
          <w:color w:val="auto"/>
          <w:highlight w:val="none"/>
          <w:u w:val="single"/>
        </w:rPr>
        <w:t>处理，处理</w:t>
      </w:r>
      <w:r>
        <w:rPr>
          <w:rFonts w:hint="eastAsia"/>
          <w:color w:val="auto"/>
          <w:highlight w:val="none"/>
          <w:u w:val="single"/>
        </w:rPr>
        <w:t>达《污水综合排放标准》（GB8978-1996）三级标准</w:t>
      </w:r>
      <w:r>
        <w:rPr>
          <w:color w:val="auto"/>
          <w:highlight w:val="none"/>
          <w:u w:val="single"/>
        </w:rPr>
        <w:t>后经厂区污水管道排入</w:t>
      </w:r>
      <w:r>
        <w:rPr>
          <w:rFonts w:hint="eastAsia"/>
          <w:color w:val="auto"/>
          <w:highlight w:val="none"/>
          <w:u w:val="single"/>
        </w:rPr>
        <w:t>生活污水处理设备配套的中水回用</w:t>
      </w:r>
      <w:r>
        <w:rPr>
          <w:color w:val="auto"/>
          <w:highlight w:val="none"/>
          <w:u w:val="single"/>
        </w:rPr>
        <w:t>池（容量为</w:t>
      </w:r>
      <w:r>
        <w:rPr>
          <w:rFonts w:hint="eastAsia"/>
          <w:color w:val="auto"/>
          <w:highlight w:val="none"/>
          <w:u w:val="single"/>
        </w:rPr>
        <w:t>170</w:t>
      </w:r>
      <w:r>
        <w:rPr>
          <w:color w:val="auto"/>
          <w:highlight w:val="none"/>
          <w:u w:val="single"/>
        </w:rPr>
        <w:t>m</w:t>
      </w:r>
      <w:r>
        <w:rPr>
          <w:color w:val="auto"/>
          <w:highlight w:val="none"/>
          <w:u w:val="single"/>
          <w:vertAlign w:val="superscript"/>
        </w:rPr>
        <w:t>3</w:t>
      </w:r>
      <w:r>
        <w:rPr>
          <w:color w:val="auto"/>
          <w:highlight w:val="none"/>
          <w:u w:val="single"/>
        </w:rPr>
        <w:t>）</w:t>
      </w:r>
      <w:r>
        <w:rPr>
          <w:rFonts w:hint="eastAsia"/>
          <w:color w:val="auto"/>
          <w:highlight w:val="none"/>
          <w:u w:val="single"/>
        </w:rPr>
        <w:t>储存，大部分回用于厂区降尘及绿化，少部分</w:t>
      </w:r>
      <w:r>
        <w:rPr>
          <w:color w:val="auto"/>
          <w:highlight w:val="none"/>
          <w:u w:val="single"/>
        </w:rPr>
        <w:t>不能回用的由槽罐车运至大榄坪污水处理厂处理。</w:t>
      </w:r>
    </w:p>
    <w:p w14:paraId="062A77C5">
      <w:pPr>
        <w:ind w:firstLine="482"/>
        <w:rPr>
          <w:b/>
          <w:bCs/>
          <w:color w:val="auto"/>
          <w:highlight w:val="none"/>
          <w:u w:val="single"/>
        </w:rPr>
      </w:pPr>
      <w:r>
        <w:rPr>
          <w:b/>
          <w:bCs/>
          <w:color w:val="auto"/>
          <w:highlight w:val="none"/>
          <w:u w:val="single"/>
        </w:rPr>
        <w:t>②生活污水</w:t>
      </w:r>
    </w:p>
    <w:p w14:paraId="26417518">
      <w:pPr>
        <w:ind w:firstLine="480"/>
        <w:rPr>
          <w:color w:val="auto"/>
          <w:highlight w:val="none"/>
          <w:u w:val="single"/>
        </w:rPr>
      </w:pPr>
      <w:r>
        <w:rPr>
          <w:color w:val="auto"/>
          <w:highlight w:val="none"/>
          <w:u w:val="single"/>
        </w:rPr>
        <w:t>生活污水来自于员工生活用水和食堂用水。项目生活污水经生活污水处理一体化设备处理（处理规模300m</w:t>
      </w:r>
      <w:r>
        <w:rPr>
          <w:color w:val="auto"/>
          <w:highlight w:val="none"/>
          <w:u w:val="single"/>
          <w:vertAlign w:val="superscript"/>
        </w:rPr>
        <w:t>3</w:t>
      </w:r>
      <w:r>
        <w:rPr>
          <w:color w:val="auto"/>
          <w:highlight w:val="none"/>
          <w:u w:val="single"/>
        </w:rPr>
        <w:t>/d）后</w:t>
      </w:r>
      <w:r>
        <w:rPr>
          <w:rFonts w:hint="eastAsia"/>
          <w:color w:val="auto"/>
          <w:highlight w:val="none"/>
          <w:u w:val="single"/>
        </w:rPr>
        <w:t>，进入配套的中水回用池</w:t>
      </w:r>
      <w:r>
        <w:rPr>
          <w:color w:val="auto"/>
          <w:highlight w:val="none"/>
          <w:u w:val="single"/>
        </w:rPr>
        <w:t>（容量为</w:t>
      </w:r>
      <w:r>
        <w:rPr>
          <w:rFonts w:hint="eastAsia"/>
          <w:color w:val="auto"/>
          <w:highlight w:val="none"/>
          <w:u w:val="single"/>
        </w:rPr>
        <w:t>170</w:t>
      </w:r>
      <w:r>
        <w:rPr>
          <w:color w:val="auto"/>
          <w:highlight w:val="none"/>
          <w:u w:val="single"/>
        </w:rPr>
        <w:t>m</w:t>
      </w:r>
      <w:r>
        <w:rPr>
          <w:color w:val="auto"/>
          <w:highlight w:val="none"/>
          <w:u w:val="single"/>
          <w:vertAlign w:val="superscript"/>
        </w:rPr>
        <w:t>3</w:t>
      </w:r>
      <w:r>
        <w:rPr>
          <w:color w:val="auto"/>
          <w:highlight w:val="none"/>
          <w:u w:val="single"/>
        </w:rPr>
        <w:t>）</w:t>
      </w:r>
      <w:r>
        <w:rPr>
          <w:rFonts w:hint="eastAsia"/>
          <w:color w:val="auto"/>
          <w:highlight w:val="none"/>
          <w:u w:val="single"/>
        </w:rPr>
        <w:t>储存</w:t>
      </w:r>
      <w:r>
        <w:rPr>
          <w:color w:val="auto"/>
          <w:highlight w:val="none"/>
          <w:u w:val="single"/>
        </w:rPr>
        <w:t>；</w:t>
      </w:r>
      <w:r>
        <w:rPr>
          <w:rFonts w:hint="eastAsia"/>
          <w:color w:val="auto"/>
          <w:highlight w:val="none"/>
          <w:u w:val="single"/>
        </w:rPr>
        <w:t>大部分</w:t>
      </w:r>
      <w:r>
        <w:rPr>
          <w:color w:val="auto"/>
          <w:highlight w:val="none"/>
          <w:u w:val="single"/>
        </w:rPr>
        <w:t>回用于厂区绿化及降尘，</w:t>
      </w:r>
      <w:r>
        <w:rPr>
          <w:rFonts w:hint="eastAsia"/>
          <w:color w:val="auto"/>
          <w:highlight w:val="none"/>
          <w:u w:val="single"/>
        </w:rPr>
        <w:t>少部分</w:t>
      </w:r>
      <w:r>
        <w:rPr>
          <w:color w:val="auto"/>
          <w:highlight w:val="none"/>
          <w:u w:val="single"/>
        </w:rPr>
        <w:t>不能回用的由槽罐车运至大榄坪污水处理厂处理。</w:t>
      </w:r>
    </w:p>
    <w:p w14:paraId="3835D9DC">
      <w:pPr>
        <w:ind w:firstLine="482"/>
        <w:rPr>
          <w:b/>
          <w:bCs/>
          <w:color w:val="auto"/>
          <w:highlight w:val="none"/>
          <w:u w:val="single"/>
        </w:rPr>
      </w:pPr>
      <w:r>
        <w:rPr>
          <w:rFonts w:hint="eastAsia" w:ascii="宋体" w:hAnsi="宋体" w:cs="宋体"/>
          <w:b/>
          <w:bCs/>
          <w:color w:val="auto"/>
          <w:highlight w:val="none"/>
          <w:u w:val="single"/>
        </w:rPr>
        <w:t>③</w:t>
      </w:r>
      <w:r>
        <w:rPr>
          <w:rFonts w:hint="eastAsia"/>
          <w:b/>
          <w:bCs/>
          <w:color w:val="auto"/>
          <w:highlight w:val="none"/>
          <w:u w:val="single"/>
        </w:rPr>
        <w:t>初期雨水</w:t>
      </w:r>
    </w:p>
    <w:p w14:paraId="04F392FC">
      <w:pPr>
        <w:ind w:firstLine="480"/>
        <w:rPr>
          <w:color w:val="auto"/>
          <w:highlight w:val="none"/>
          <w:u w:val="single"/>
        </w:rPr>
      </w:pPr>
      <w:r>
        <w:rPr>
          <w:rFonts w:hint="eastAsia"/>
          <w:color w:val="auto"/>
          <w:highlight w:val="none"/>
          <w:u w:val="single"/>
        </w:rPr>
        <w:t>基地陆域共设4个初期雨水池、4个雨水排放口（驳岸码头1个，5#码头2个，2#码头1个），浮船坞设1个初期雨水池，初期雨水经收集后进入生活污水</w:t>
      </w:r>
      <w:r>
        <w:rPr>
          <w:color w:val="auto"/>
          <w:highlight w:val="none"/>
          <w:u w:val="single"/>
        </w:rPr>
        <w:t>处理一体化设备（处理规模300m</w:t>
      </w:r>
      <w:r>
        <w:rPr>
          <w:color w:val="auto"/>
          <w:highlight w:val="none"/>
          <w:u w:val="single"/>
          <w:vertAlign w:val="superscript"/>
        </w:rPr>
        <w:t>3</w:t>
      </w:r>
      <w:r>
        <w:rPr>
          <w:color w:val="auto"/>
          <w:highlight w:val="none"/>
          <w:u w:val="single"/>
        </w:rPr>
        <w:t>/d）处理</w:t>
      </w:r>
      <w:r>
        <w:rPr>
          <w:rFonts w:hint="eastAsia"/>
          <w:color w:val="auto"/>
          <w:highlight w:val="none"/>
          <w:u w:val="single"/>
        </w:rPr>
        <w:t>，</w:t>
      </w:r>
      <w:r>
        <w:rPr>
          <w:color w:val="auto"/>
          <w:highlight w:val="none"/>
          <w:u w:val="single"/>
        </w:rPr>
        <w:t>后</w:t>
      </w:r>
      <w:r>
        <w:rPr>
          <w:rFonts w:hint="eastAsia"/>
          <w:color w:val="auto"/>
          <w:highlight w:val="none"/>
          <w:u w:val="single"/>
        </w:rPr>
        <w:t>进入配套的中水回用池</w:t>
      </w:r>
      <w:r>
        <w:rPr>
          <w:color w:val="auto"/>
          <w:highlight w:val="none"/>
          <w:u w:val="single"/>
        </w:rPr>
        <w:t>（容量为</w:t>
      </w:r>
      <w:r>
        <w:rPr>
          <w:rFonts w:hint="eastAsia"/>
          <w:color w:val="auto"/>
          <w:highlight w:val="none"/>
          <w:u w:val="single"/>
        </w:rPr>
        <w:t>170</w:t>
      </w:r>
      <w:r>
        <w:rPr>
          <w:color w:val="auto"/>
          <w:highlight w:val="none"/>
          <w:u w:val="single"/>
        </w:rPr>
        <w:t>m</w:t>
      </w:r>
      <w:r>
        <w:rPr>
          <w:color w:val="auto"/>
          <w:highlight w:val="none"/>
          <w:u w:val="single"/>
          <w:vertAlign w:val="superscript"/>
        </w:rPr>
        <w:t>3</w:t>
      </w:r>
      <w:r>
        <w:rPr>
          <w:color w:val="auto"/>
          <w:highlight w:val="none"/>
          <w:u w:val="single"/>
        </w:rPr>
        <w:t>）</w:t>
      </w:r>
      <w:r>
        <w:rPr>
          <w:rFonts w:hint="eastAsia"/>
          <w:color w:val="auto"/>
          <w:highlight w:val="none"/>
          <w:u w:val="single"/>
        </w:rPr>
        <w:t>储存</w:t>
      </w:r>
      <w:r>
        <w:rPr>
          <w:color w:val="auto"/>
          <w:highlight w:val="none"/>
          <w:u w:val="single"/>
        </w:rPr>
        <w:t>；</w:t>
      </w:r>
      <w:r>
        <w:rPr>
          <w:rFonts w:hint="eastAsia"/>
          <w:color w:val="auto"/>
          <w:highlight w:val="none"/>
          <w:u w:val="single"/>
        </w:rPr>
        <w:t>大部分</w:t>
      </w:r>
      <w:r>
        <w:rPr>
          <w:color w:val="auto"/>
          <w:highlight w:val="none"/>
          <w:u w:val="single"/>
        </w:rPr>
        <w:t>回用于厂区绿化及降尘，</w:t>
      </w:r>
      <w:r>
        <w:rPr>
          <w:rFonts w:hint="eastAsia"/>
          <w:color w:val="auto"/>
          <w:highlight w:val="none"/>
          <w:u w:val="single"/>
        </w:rPr>
        <w:t>少部分</w:t>
      </w:r>
      <w:r>
        <w:rPr>
          <w:color w:val="auto"/>
          <w:highlight w:val="none"/>
          <w:u w:val="single"/>
        </w:rPr>
        <w:t>不能回用的由槽罐车运至大榄坪污水处理厂处理。</w:t>
      </w:r>
    </w:p>
    <w:p w14:paraId="0F5A7AA8">
      <w:pPr>
        <w:ind w:firstLine="480"/>
        <w:rPr>
          <w:color w:val="auto"/>
          <w:highlight w:val="none"/>
        </w:rPr>
      </w:pPr>
      <w:r>
        <w:rPr>
          <w:rFonts w:hint="eastAsia"/>
          <w:color w:val="auto"/>
          <w:highlight w:val="none"/>
          <w:u w:val="single"/>
        </w:rPr>
        <w:t>厂区污水走向及雨水走向示意图见图2.1-9~2.1-10；</w:t>
      </w:r>
    </w:p>
    <w:p w14:paraId="1D203FD9">
      <w:pPr>
        <w:pStyle w:val="91"/>
        <w:adjustRightInd w:val="0"/>
        <w:snapToGrid w:val="0"/>
        <w:spacing w:after="0"/>
        <w:ind w:left="0" w:leftChars="0" w:firstLine="0" w:firstLineChars="0"/>
        <w:jc w:val="center"/>
        <w:rPr>
          <w:b/>
          <w:bCs/>
          <w:color w:val="auto"/>
          <w:kern w:val="0"/>
          <w:szCs w:val="21"/>
          <w:highlight w:val="none"/>
          <w:u w:val="single"/>
        </w:rPr>
      </w:pPr>
      <w:r>
        <w:rPr>
          <w:rFonts w:hint="eastAsia"/>
          <w:b/>
          <w:bCs/>
          <w:color w:val="auto"/>
          <w:kern w:val="0"/>
          <w:szCs w:val="21"/>
          <w:highlight w:val="none"/>
          <w:u w:val="single"/>
        </w:rPr>
        <w:drawing>
          <wp:inline distT="0" distB="0" distL="114300" distR="114300">
            <wp:extent cx="5518150" cy="4128135"/>
            <wp:effectExtent l="0" t="0" r="6350" b="5715"/>
            <wp:docPr id="35" name="图片 35" descr="污水路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污水路径图"/>
                    <pic:cNvPicPr>
                      <a:picLocks noChangeAspect="1"/>
                    </pic:cNvPicPr>
                  </pic:nvPicPr>
                  <pic:blipFill>
                    <a:blip r:embed="rId78"/>
                    <a:stretch>
                      <a:fillRect/>
                    </a:stretch>
                  </pic:blipFill>
                  <pic:spPr>
                    <a:xfrm>
                      <a:off x="0" y="0"/>
                      <a:ext cx="5518150" cy="4128135"/>
                    </a:xfrm>
                    <a:prstGeom prst="rect">
                      <a:avLst/>
                    </a:prstGeom>
                  </pic:spPr>
                </pic:pic>
              </a:graphicData>
            </a:graphic>
          </wp:inline>
        </w:drawing>
      </w:r>
    </w:p>
    <w:p w14:paraId="793E1FE0">
      <w:pPr>
        <w:pStyle w:val="90"/>
        <w:spacing w:after="0" w:line="240" w:lineRule="auto"/>
        <w:ind w:firstLine="0" w:firstLineChars="0"/>
        <w:jc w:val="center"/>
        <w:rPr>
          <w:b/>
          <w:bCs/>
          <w:color w:val="auto"/>
          <w:sz w:val="21"/>
          <w:szCs w:val="21"/>
          <w:highlight w:val="none"/>
        </w:rPr>
      </w:pPr>
      <w:r>
        <w:rPr>
          <w:rFonts w:hint="eastAsia"/>
          <w:b/>
          <w:bCs/>
          <w:color w:val="auto"/>
          <w:sz w:val="21"/>
          <w:szCs w:val="21"/>
          <w:highlight w:val="none"/>
          <w:u w:val="single"/>
        </w:rPr>
        <w:t>图2.1-9厂区污水管网走向图</w:t>
      </w:r>
    </w:p>
    <w:p w14:paraId="5F59CF7B">
      <w:pPr>
        <w:pStyle w:val="91"/>
        <w:adjustRightInd w:val="0"/>
        <w:snapToGrid w:val="0"/>
        <w:spacing w:after="0"/>
        <w:ind w:left="0" w:leftChars="0" w:firstLine="0" w:firstLineChars="0"/>
        <w:jc w:val="center"/>
        <w:rPr>
          <w:b/>
          <w:bCs/>
          <w:color w:val="auto"/>
          <w:kern w:val="0"/>
          <w:szCs w:val="21"/>
          <w:highlight w:val="none"/>
          <w:u w:val="single"/>
        </w:rPr>
      </w:pPr>
      <w:r>
        <w:rPr>
          <w:rFonts w:hint="eastAsia"/>
          <w:b/>
          <w:bCs/>
          <w:color w:val="auto"/>
          <w:kern w:val="0"/>
          <w:szCs w:val="21"/>
          <w:highlight w:val="none"/>
          <w:u w:val="single"/>
        </w:rPr>
        <w:drawing>
          <wp:inline distT="0" distB="0" distL="114300" distR="114300">
            <wp:extent cx="5589270" cy="4180840"/>
            <wp:effectExtent l="0" t="0" r="11430" b="10160"/>
            <wp:docPr id="36" name="图片 36" descr="雨水路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雨水路径图"/>
                    <pic:cNvPicPr>
                      <a:picLocks noChangeAspect="1"/>
                    </pic:cNvPicPr>
                  </pic:nvPicPr>
                  <pic:blipFill>
                    <a:blip r:embed="rId79"/>
                    <a:stretch>
                      <a:fillRect/>
                    </a:stretch>
                  </pic:blipFill>
                  <pic:spPr>
                    <a:xfrm>
                      <a:off x="0" y="0"/>
                      <a:ext cx="5589270" cy="4180840"/>
                    </a:xfrm>
                    <a:prstGeom prst="rect">
                      <a:avLst/>
                    </a:prstGeom>
                  </pic:spPr>
                </pic:pic>
              </a:graphicData>
            </a:graphic>
          </wp:inline>
        </w:drawing>
      </w:r>
    </w:p>
    <w:p w14:paraId="13798C4F">
      <w:pPr>
        <w:pStyle w:val="90"/>
        <w:spacing w:after="0" w:line="240" w:lineRule="auto"/>
        <w:ind w:firstLine="0" w:firstLineChars="0"/>
        <w:jc w:val="center"/>
        <w:rPr>
          <w:color w:val="auto"/>
          <w:highlight w:val="none"/>
        </w:rPr>
      </w:pPr>
      <w:r>
        <w:rPr>
          <w:rFonts w:hint="eastAsia"/>
          <w:b/>
          <w:bCs/>
          <w:color w:val="auto"/>
          <w:sz w:val="21"/>
          <w:szCs w:val="21"/>
          <w:highlight w:val="none"/>
          <w:u w:val="single"/>
        </w:rPr>
        <w:t>图2.1-10厂区雨水管网走向图</w:t>
      </w:r>
    </w:p>
    <w:p w14:paraId="39087862">
      <w:pPr>
        <w:pStyle w:val="7"/>
        <w:numPr>
          <w:ilvl w:val="2"/>
          <w:numId w:val="9"/>
        </w:numPr>
        <w:rPr>
          <w:color w:val="auto"/>
          <w:sz w:val="28"/>
          <w:highlight w:val="none"/>
          <w:u w:val="single"/>
        </w:rPr>
      </w:pPr>
      <w:r>
        <w:rPr>
          <w:rFonts w:hint="eastAsia"/>
          <w:color w:val="auto"/>
          <w:sz w:val="28"/>
          <w:highlight w:val="none"/>
          <w:u w:val="single"/>
        </w:rPr>
        <w:t>企业环境影响回顾评价</w:t>
      </w:r>
    </w:p>
    <w:p w14:paraId="14FF1E99">
      <w:pPr>
        <w:ind w:firstLine="480"/>
        <w:rPr>
          <w:color w:val="auto"/>
          <w:highlight w:val="none"/>
          <w:u w:val="single"/>
        </w:rPr>
      </w:pPr>
      <w:r>
        <w:rPr>
          <w:color w:val="auto"/>
          <w:highlight w:val="none"/>
          <w:u w:val="single"/>
        </w:rPr>
        <w:t>基地实施以来，各项目均按要求履行了相关环境保护手续（环境影响评价及竣工环境保护验收），实际建设均按设计及环评批复要求建设，未发生重大变动，严格落实了环评报告及批复提出的各项环境保护措施，建立了</w:t>
      </w:r>
      <w:r>
        <w:rPr>
          <w:rFonts w:hint="eastAsia"/>
          <w:color w:val="auto"/>
          <w:highlight w:val="none"/>
          <w:u w:val="single"/>
          <w:lang w:eastAsia="zh-CN"/>
        </w:rPr>
        <w:t>较为</w:t>
      </w:r>
      <w:r>
        <w:rPr>
          <w:color w:val="auto"/>
          <w:highlight w:val="none"/>
          <w:u w:val="single"/>
        </w:rPr>
        <w:t>完善的质量和环境管理体系，根据咨询当地环保部门，基地建设以来，未发生过环境违法事件，无环保投诉事件；根据</w:t>
      </w:r>
      <w:r>
        <w:rPr>
          <w:rFonts w:hint="eastAsia"/>
          <w:color w:val="auto"/>
          <w:highlight w:val="none"/>
          <w:u w:val="single"/>
        </w:rPr>
        <w:t>企业</w:t>
      </w:r>
      <w:r>
        <w:rPr>
          <w:color w:val="auto"/>
          <w:highlight w:val="none"/>
          <w:u w:val="single"/>
        </w:rPr>
        <w:t>各年度自行监测结果分析，各类污染物排放达到了国家和地方相关排放标准要求，采取的各项污染防治措施有效、可靠；区域内环境空气质量、声环境质量、</w:t>
      </w:r>
      <w:r>
        <w:rPr>
          <w:rFonts w:hint="eastAsia"/>
          <w:color w:val="auto"/>
          <w:highlight w:val="none"/>
          <w:u w:val="single"/>
        </w:rPr>
        <w:t>海洋</w:t>
      </w:r>
      <w:r>
        <w:rPr>
          <w:color w:val="auto"/>
          <w:highlight w:val="none"/>
          <w:u w:val="single"/>
        </w:rPr>
        <w:t>环境质量均能满足相关环境功能区质量标准要求，环境质量无明显变化，项目建设对区域环境质量影响较小。</w:t>
      </w:r>
    </w:p>
    <w:p w14:paraId="1A4582A4">
      <w:pPr>
        <w:pStyle w:val="7"/>
        <w:numPr>
          <w:ilvl w:val="2"/>
          <w:numId w:val="9"/>
        </w:numPr>
        <w:rPr>
          <w:color w:val="auto"/>
          <w:sz w:val="28"/>
          <w:highlight w:val="none"/>
          <w:u w:val="single"/>
        </w:rPr>
      </w:pPr>
      <w:r>
        <w:rPr>
          <w:color w:val="auto"/>
          <w:sz w:val="28"/>
          <w:highlight w:val="none"/>
          <w:u w:val="single"/>
        </w:rPr>
        <w:t>现有工程存在问题及“以新带老”措施</w:t>
      </w:r>
    </w:p>
    <w:p w14:paraId="77B183C0">
      <w:pPr>
        <w:ind w:firstLine="480"/>
        <w:rPr>
          <w:color w:val="auto"/>
          <w:highlight w:val="none"/>
          <w:u w:val="single"/>
        </w:rPr>
      </w:pPr>
      <w:r>
        <w:rPr>
          <w:color w:val="auto"/>
          <w:highlight w:val="none"/>
          <w:u w:val="single"/>
        </w:rPr>
        <w:t>根据现场调查及验收</w:t>
      </w:r>
      <w:r>
        <w:rPr>
          <w:rFonts w:hint="eastAsia"/>
          <w:color w:val="auto"/>
          <w:highlight w:val="none"/>
          <w:u w:val="single"/>
        </w:rPr>
        <w:t>监测、自行</w:t>
      </w:r>
      <w:r>
        <w:rPr>
          <w:color w:val="auto"/>
          <w:highlight w:val="none"/>
          <w:u w:val="single"/>
        </w:rPr>
        <w:t>监测结果，现有工程已根据环评及批复要求落实各项环保措施，项目各污染源污染物排放可满足相关标准要求。现有废气、废水、噪声污染物均可达标排放，各项固体废物均妥善处置，无环境保护问题</w:t>
      </w:r>
      <w:r>
        <w:rPr>
          <w:rFonts w:hint="eastAsia"/>
          <w:color w:val="auto"/>
          <w:highlight w:val="none"/>
          <w:u w:val="single"/>
        </w:rPr>
        <w:t>。项目运行期间未接到环保投诉，企业已按排污许可要求落实自行监测内容。</w:t>
      </w:r>
      <w:r>
        <w:rPr>
          <w:color w:val="auto"/>
          <w:highlight w:val="none"/>
          <w:u w:val="single"/>
        </w:rPr>
        <w:t>本项目不涉及“以新带老”工程。</w:t>
      </w:r>
    </w:p>
    <w:p w14:paraId="70184319">
      <w:pPr>
        <w:ind w:firstLine="482"/>
        <w:rPr>
          <w:color w:val="auto"/>
          <w:highlight w:val="none"/>
          <w:u w:val="single"/>
        </w:rPr>
      </w:pPr>
      <w:r>
        <w:rPr>
          <w:b/>
          <w:bCs/>
          <w:color w:val="auto"/>
          <w:highlight w:val="none"/>
          <w:u w:val="single"/>
        </w:rPr>
        <w:t>现有工程主要存在以下问题：</w:t>
      </w:r>
    </w:p>
    <w:p w14:paraId="6DD31B14">
      <w:pPr>
        <w:pStyle w:val="533"/>
        <w:numPr>
          <w:ilvl w:val="3"/>
          <w:numId w:val="9"/>
        </w:numPr>
        <w:rPr>
          <w:color w:val="auto"/>
          <w:szCs w:val="24"/>
          <w:highlight w:val="none"/>
        </w:rPr>
      </w:pPr>
      <w:bookmarkStart w:id="94" w:name="_Toc203051259"/>
      <w:r>
        <w:rPr>
          <w:color w:val="auto"/>
          <w:szCs w:val="24"/>
          <w:highlight w:val="none"/>
        </w:rPr>
        <w:t>现有浮船坞存在较大安全风险</w:t>
      </w:r>
    </w:p>
    <w:bookmarkEnd w:id="94"/>
    <w:p w14:paraId="56C2B7FD">
      <w:pPr>
        <w:ind w:firstLine="480"/>
        <w:rPr>
          <w:color w:val="auto"/>
          <w:highlight w:val="none"/>
        </w:rPr>
      </w:pPr>
      <w:r>
        <w:rPr>
          <w:color w:val="auto"/>
          <w:highlight w:val="none"/>
        </w:rPr>
        <w:t>2002年，“新祥生”浮船坞最</w:t>
      </w:r>
      <w:r>
        <w:rPr>
          <w:rFonts w:hint="eastAsia"/>
          <w:color w:val="auto"/>
          <w:highlight w:val="none"/>
          <w:lang w:eastAsia="zh-CN"/>
        </w:rPr>
        <w:t>初是</w:t>
      </w:r>
      <w:r>
        <w:rPr>
          <w:color w:val="auto"/>
          <w:highlight w:val="none"/>
        </w:rPr>
        <w:t>由上海船厂在一艘油船基础上改建而成的内河船坞，因改造结构不提供浮力，10万吨级浮船坞实际仅能用于修理80000载重吨的船舶。</w:t>
      </w:r>
    </w:p>
    <w:p w14:paraId="07194A24">
      <w:pPr>
        <w:ind w:firstLine="480"/>
        <w:rPr>
          <w:color w:val="auto"/>
          <w:highlight w:val="none"/>
        </w:rPr>
      </w:pPr>
      <w:r>
        <w:rPr>
          <w:color w:val="auto"/>
          <w:highlight w:val="none"/>
        </w:rPr>
        <w:t>2014年，中船集团下发船工规〔2014〕559号文，明确将长江口企业10万吨级、15万吨级浮船坞各一座转移到岸线水域条件良好、市场潜力巨大且能力空白的北部湾地区，确定上海船厂将“新祥生”号浮船坞及修船设备以评估作价方式入股中船广西公司。</w:t>
      </w:r>
    </w:p>
    <w:p w14:paraId="703E09C3">
      <w:pPr>
        <w:ind w:firstLine="480"/>
        <w:rPr>
          <w:color w:val="auto"/>
          <w:highlight w:val="none"/>
        </w:rPr>
      </w:pPr>
      <w:r>
        <w:rPr>
          <w:color w:val="auto"/>
          <w:highlight w:val="none"/>
        </w:rPr>
        <w:t>2016年，“新祥生”号浮船坞拖航至钦州基地，当年开始修船作业。运行期间，公司定期向CCS年度检验、中间检验和换证检验，并根据检验意</w:t>
      </w:r>
      <w:r>
        <w:rPr>
          <w:rFonts w:hint="eastAsia"/>
          <w:color w:val="auto"/>
          <w:highlight w:val="none"/>
          <w:lang w:eastAsia="zh-CN"/>
        </w:rPr>
        <w:t>见及</w:t>
      </w:r>
      <w:r>
        <w:rPr>
          <w:color w:val="auto"/>
          <w:highlight w:val="none"/>
        </w:rPr>
        <w:t>时进行维修保养。今年5月完成年度检验，下一次检验时间为2026年6月12日。该坞主体结构发生变形，主泵等关键设备失效，压载舱锈穿，坞吊故障频发，目前限定举力约为设计指标的70%。</w:t>
      </w:r>
    </w:p>
    <w:p w14:paraId="17097102">
      <w:pPr>
        <w:ind w:firstLine="480"/>
        <w:rPr>
          <w:color w:val="auto"/>
          <w:highlight w:val="none"/>
        </w:rPr>
      </w:pPr>
      <w:r>
        <w:rPr>
          <w:color w:val="auto"/>
          <w:highlight w:val="none"/>
        </w:rPr>
        <w:t>该坞由内河船坞改造而成，</w:t>
      </w:r>
      <w:r>
        <w:rPr>
          <w:rFonts w:hint="eastAsia"/>
          <w:color w:val="auto"/>
          <w:highlight w:val="none"/>
          <w:lang w:eastAsia="zh-CN"/>
        </w:rPr>
        <w:t>截至</w:t>
      </w:r>
      <w:r>
        <w:rPr>
          <w:color w:val="auto"/>
          <w:highlight w:val="none"/>
        </w:rPr>
        <w:t>目前已服役23年。目前该坞主体结构变形严重（实测挠度超过300mm），2台吊机、6台主泵故障频发，且有压载水管路漏水、通海阀关闭不到位等情况，实际举力不足设计指标的70%。2025年6月，集团公司STOP12—试验船/工作船专项检查组实地开展浮船坞等设备检查评估，结论为：评分61.92分，安全风险等级为“二星”，建议报废处理或者进坞大修，整改后再次评价在“三星”（70分）及以上方可使用。</w:t>
      </w:r>
    </w:p>
    <w:p w14:paraId="6041143E">
      <w:pPr>
        <w:ind w:firstLine="480"/>
        <w:rPr>
          <w:color w:val="auto"/>
          <w:highlight w:val="none"/>
        </w:rPr>
      </w:pPr>
      <w:r>
        <w:rPr>
          <w:color w:val="auto"/>
          <w:highlight w:val="none"/>
        </w:rPr>
        <w:t>根据船级社年度检验和本次专项检查意见，为确保安全运行，</w:t>
      </w:r>
      <w:r>
        <w:rPr>
          <w:rFonts w:hint="eastAsia"/>
          <w:color w:val="auto"/>
          <w:highlight w:val="none"/>
        </w:rPr>
        <w:t>中船</w:t>
      </w:r>
      <w:r>
        <w:rPr>
          <w:color w:val="auto"/>
          <w:highlight w:val="none"/>
        </w:rPr>
        <w:t>广西公司立即采取降级使用措施，限制使用举力为16000吨（承修5万载重吨级船舶）。</w:t>
      </w:r>
    </w:p>
    <w:tbl>
      <w:tblPr>
        <w:tblStyle w:val="9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28"/>
        <w:gridCol w:w="4658"/>
      </w:tblGrid>
      <w:tr w14:paraId="11A49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3BB28968">
            <w:pPr>
              <w:spacing w:line="240" w:lineRule="auto"/>
              <w:ind w:firstLine="0" w:firstLineChars="0"/>
              <w:rPr>
                <w:color w:val="auto"/>
                <w:highlight w:val="none"/>
              </w:rPr>
            </w:pPr>
            <w:r>
              <w:rPr>
                <w:color w:val="auto"/>
                <w:highlight w:val="none"/>
              </w:rPr>
              <w:drawing>
                <wp:inline distT="0" distB="0" distL="0" distR="0">
                  <wp:extent cx="2535555" cy="2115820"/>
                  <wp:effectExtent l="9525" t="9525" r="26670" b="2730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80">
                            <a:extLst>
                              <a:ext uri="{28A0092B-C50C-407E-A947-70E740481C1C}">
                                <a14:useLocalDpi xmlns:a14="http://schemas.microsoft.com/office/drawing/2010/main" val="0"/>
                              </a:ext>
                            </a:extLst>
                          </a:blip>
                          <a:srcRect r="50489" b="-1176"/>
                          <a:stretch>
                            <a:fillRect/>
                          </a:stretch>
                        </pic:blipFill>
                        <pic:spPr>
                          <a:xfrm>
                            <a:off x="0" y="0"/>
                            <a:ext cx="2535555" cy="2115820"/>
                          </a:xfrm>
                          <a:prstGeom prst="rect">
                            <a:avLst/>
                          </a:prstGeom>
                          <a:ln>
                            <a:solidFill>
                              <a:schemeClr val="tx1"/>
                            </a:solidFill>
                          </a:ln>
                        </pic:spPr>
                      </pic:pic>
                    </a:graphicData>
                  </a:graphic>
                </wp:inline>
              </w:drawing>
            </w:r>
          </w:p>
        </w:tc>
        <w:tc>
          <w:tcPr>
            <w:tcW w:w="4643" w:type="dxa"/>
          </w:tcPr>
          <w:p w14:paraId="4B4E306D">
            <w:pPr>
              <w:spacing w:line="240" w:lineRule="auto"/>
              <w:ind w:firstLine="0" w:firstLineChars="0"/>
              <w:rPr>
                <w:color w:val="auto"/>
                <w:highlight w:val="none"/>
              </w:rPr>
            </w:pPr>
            <w:r>
              <w:rPr>
                <w:color w:val="auto"/>
                <w:highlight w:val="none"/>
              </w:rPr>
              <w:drawing>
                <wp:inline distT="0" distB="0" distL="0" distR="0">
                  <wp:extent cx="2633980" cy="2122805"/>
                  <wp:effectExtent l="9525" t="9525" r="23495" b="2032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80">
                            <a:extLst>
                              <a:ext uri="{28A0092B-C50C-407E-A947-70E740481C1C}">
                                <a14:useLocalDpi xmlns:a14="http://schemas.microsoft.com/office/drawing/2010/main" val="0"/>
                              </a:ext>
                            </a:extLst>
                          </a:blip>
                          <a:srcRect l="50008" t="2594"/>
                          <a:stretch>
                            <a:fillRect/>
                          </a:stretch>
                        </pic:blipFill>
                        <pic:spPr>
                          <a:xfrm>
                            <a:off x="0" y="0"/>
                            <a:ext cx="2633980" cy="2122805"/>
                          </a:xfrm>
                          <a:prstGeom prst="rect">
                            <a:avLst/>
                          </a:prstGeom>
                          <a:ln>
                            <a:solidFill>
                              <a:schemeClr val="tx1"/>
                            </a:solidFill>
                          </a:ln>
                        </pic:spPr>
                      </pic:pic>
                    </a:graphicData>
                  </a:graphic>
                </wp:inline>
              </w:drawing>
            </w:r>
          </w:p>
        </w:tc>
      </w:tr>
      <w:tr w14:paraId="6A8A2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714F16D5">
            <w:pPr>
              <w:spacing w:line="240" w:lineRule="auto"/>
              <w:ind w:firstLine="0" w:firstLineChars="0"/>
              <w:rPr>
                <w:color w:val="auto"/>
                <w:highlight w:val="none"/>
              </w:rPr>
            </w:pPr>
            <w:r>
              <w:rPr>
                <w:color w:val="auto"/>
                <w:highlight w:val="none"/>
              </w:rPr>
              <w:drawing>
                <wp:inline distT="0" distB="0" distL="0" distR="0">
                  <wp:extent cx="2621915" cy="2294890"/>
                  <wp:effectExtent l="0" t="0" r="6985" b="1016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81"/>
                          <a:srcRect r="50804" b="-69"/>
                          <a:stretch>
                            <a:fillRect/>
                          </a:stretch>
                        </pic:blipFill>
                        <pic:spPr>
                          <a:xfrm>
                            <a:off x="0" y="0"/>
                            <a:ext cx="2621915" cy="2294890"/>
                          </a:xfrm>
                          <a:prstGeom prst="rect">
                            <a:avLst/>
                          </a:prstGeom>
                        </pic:spPr>
                      </pic:pic>
                    </a:graphicData>
                  </a:graphic>
                </wp:inline>
              </w:drawing>
            </w:r>
          </w:p>
        </w:tc>
        <w:tc>
          <w:tcPr>
            <w:tcW w:w="4643" w:type="dxa"/>
          </w:tcPr>
          <w:p w14:paraId="022BEF5B">
            <w:pPr>
              <w:spacing w:line="240" w:lineRule="auto"/>
              <w:ind w:firstLine="0" w:firstLineChars="0"/>
              <w:rPr>
                <w:color w:val="auto"/>
                <w:highlight w:val="none"/>
              </w:rPr>
            </w:pPr>
            <w:r>
              <w:rPr>
                <w:color w:val="auto"/>
                <w:highlight w:val="none"/>
              </w:rPr>
              <w:drawing>
                <wp:inline distT="0" distB="0" distL="0" distR="0">
                  <wp:extent cx="2693035" cy="2284095"/>
                  <wp:effectExtent l="0" t="0" r="12065" b="1905"/>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81"/>
                          <a:srcRect l="50268" b="2006"/>
                          <a:stretch>
                            <a:fillRect/>
                          </a:stretch>
                        </pic:blipFill>
                        <pic:spPr>
                          <a:xfrm>
                            <a:off x="0" y="0"/>
                            <a:ext cx="2693035" cy="2284095"/>
                          </a:xfrm>
                          <a:prstGeom prst="rect">
                            <a:avLst/>
                          </a:prstGeom>
                        </pic:spPr>
                      </pic:pic>
                    </a:graphicData>
                  </a:graphic>
                </wp:inline>
              </w:drawing>
            </w:r>
          </w:p>
        </w:tc>
      </w:tr>
      <w:tr w14:paraId="081C3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501ACD72">
            <w:pPr>
              <w:spacing w:line="240" w:lineRule="auto"/>
              <w:ind w:firstLine="0" w:firstLineChars="0"/>
              <w:rPr>
                <w:color w:val="auto"/>
                <w:highlight w:val="none"/>
              </w:rPr>
            </w:pPr>
            <w:r>
              <w:rPr>
                <w:color w:val="auto"/>
                <w:highlight w:val="none"/>
              </w:rPr>
              <w:drawing>
                <wp:inline distT="0" distB="0" distL="0" distR="0">
                  <wp:extent cx="2669540" cy="2327910"/>
                  <wp:effectExtent l="0" t="0" r="16510" b="1524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82"/>
                          <a:srcRect r="50448" b="-138"/>
                          <a:stretch>
                            <a:fillRect/>
                          </a:stretch>
                        </pic:blipFill>
                        <pic:spPr>
                          <a:xfrm>
                            <a:off x="0" y="0"/>
                            <a:ext cx="2669540" cy="2327910"/>
                          </a:xfrm>
                          <a:prstGeom prst="rect">
                            <a:avLst/>
                          </a:prstGeom>
                        </pic:spPr>
                      </pic:pic>
                    </a:graphicData>
                  </a:graphic>
                </wp:inline>
              </w:drawing>
            </w:r>
          </w:p>
        </w:tc>
        <w:tc>
          <w:tcPr>
            <w:tcW w:w="4643" w:type="dxa"/>
          </w:tcPr>
          <w:p w14:paraId="2F486A21">
            <w:pPr>
              <w:spacing w:line="240" w:lineRule="auto"/>
              <w:ind w:firstLine="0" w:firstLineChars="0"/>
              <w:rPr>
                <w:color w:val="auto"/>
                <w:highlight w:val="none"/>
              </w:rPr>
            </w:pPr>
            <w:r>
              <w:rPr>
                <w:color w:val="auto"/>
                <w:highlight w:val="none"/>
              </w:rPr>
              <w:drawing>
                <wp:inline distT="0" distB="0" distL="0" distR="0">
                  <wp:extent cx="2727325" cy="2349500"/>
                  <wp:effectExtent l="0" t="0" r="15875" b="1270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82"/>
                          <a:srcRect l="49910"/>
                          <a:stretch>
                            <a:fillRect/>
                          </a:stretch>
                        </pic:blipFill>
                        <pic:spPr>
                          <a:xfrm>
                            <a:off x="0" y="0"/>
                            <a:ext cx="2727325" cy="2349500"/>
                          </a:xfrm>
                          <a:prstGeom prst="rect">
                            <a:avLst/>
                          </a:prstGeom>
                        </pic:spPr>
                      </pic:pic>
                    </a:graphicData>
                  </a:graphic>
                </wp:inline>
              </w:drawing>
            </w:r>
          </w:p>
        </w:tc>
      </w:tr>
      <w:tr w14:paraId="42B89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3D05BC2D">
            <w:pPr>
              <w:spacing w:line="240" w:lineRule="auto"/>
              <w:ind w:firstLine="0" w:firstLineChars="0"/>
              <w:rPr>
                <w:color w:val="auto"/>
                <w:highlight w:val="none"/>
              </w:rPr>
            </w:pPr>
            <w:r>
              <w:rPr>
                <w:color w:val="auto"/>
                <w:highlight w:val="none"/>
              </w:rPr>
              <w:drawing>
                <wp:inline distT="0" distB="0" distL="0" distR="0">
                  <wp:extent cx="2736215" cy="2362200"/>
                  <wp:effectExtent l="0" t="0" r="698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83"/>
                          <a:srcRect r="49698" b="-1833"/>
                          <a:stretch>
                            <a:fillRect/>
                          </a:stretch>
                        </pic:blipFill>
                        <pic:spPr>
                          <a:xfrm>
                            <a:off x="0" y="0"/>
                            <a:ext cx="2736215" cy="2362200"/>
                          </a:xfrm>
                          <a:prstGeom prst="rect">
                            <a:avLst/>
                          </a:prstGeom>
                        </pic:spPr>
                      </pic:pic>
                    </a:graphicData>
                  </a:graphic>
                </wp:inline>
              </w:drawing>
            </w:r>
          </w:p>
        </w:tc>
        <w:tc>
          <w:tcPr>
            <w:tcW w:w="4643" w:type="dxa"/>
          </w:tcPr>
          <w:p w14:paraId="2010E1F1">
            <w:pPr>
              <w:spacing w:line="240" w:lineRule="auto"/>
              <w:ind w:firstLine="0" w:firstLineChars="0"/>
              <w:rPr>
                <w:color w:val="auto"/>
                <w:highlight w:val="none"/>
              </w:rPr>
            </w:pPr>
            <w:r>
              <w:rPr>
                <w:color w:val="auto"/>
                <w:highlight w:val="none"/>
              </w:rPr>
              <w:drawing>
                <wp:inline distT="0" distB="0" distL="0" distR="0">
                  <wp:extent cx="2740660" cy="2348865"/>
                  <wp:effectExtent l="0" t="0" r="2540" b="13335"/>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83"/>
                          <a:srcRect l="50052" t="-380"/>
                          <a:stretch>
                            <a:fillRect/>
                          </a:stretch>
                        </pic:blipFill>
                        <pic:spPr>
                          <a:xfrm>
                            <a:off x="0" y="0"/>
                            <a:ext cx="2740660" cy="2348865"/>
                          </a:xfrm>
                          <a:prstGeom prst="rect">
                            <a:avLst/>
                          </a:prstGeom>
                        </pic:spPr>
                      </pic:pic>
                    </a:graphicData>
                  </a:graphic>
                </wp:inline>
              </w:drawing>
            </w:r>
          </w:p>
        </w:tc>
      </w:tr>
      <w:tr w14:paraId="7114A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3F1EBDD8">
            <w:pPr>
              <w:spacing w:line="240" w:lineRule="auto"/>
              <w:ind w:firstLine="0" w:firstLineChars="0"/>
              <w:rPr>
                <w:color w:val="auto"/>
                <w:highlight w:val="none"/>
              </w:rPr>
            </w:pPr>
            <w:r>
              <w:rPr>
                <w:color w:val="auto"/>
                <w:highlight w:val="none"/>
              </w:rPr>
              <w:drawing>
                <wp:inline distT="0" distB="0" distL="0" distR="0">
                  <wp:extent cx="2812415" cy="2491740"/>
                  <wp:effectExtent l="0" t="0" r="6985" b="381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84"/>
                          <a:srcRect r="50524" b="-1280"/>
                          <a:stretch>
                            <a:fillRect/>
                          </a:stretch>
                        </pic:blipFill>
                        <pic:spPr>
                          <a:xfrm>
                            <a:off x="0" y="0"/>
                            <a:ext cx="2812415" cy="2491740"/>
                          </a:xfrm>
                          <a:prstGeom prst="rect">
                            <a:avLst/>
                          </a:prstGeom>
                        </pic:spPr>
                      </pic:pic>
                    </a:graphicData>
                  </a:graphic>
                </wp:inline>
              </w:drawing>
            </w:r>
          </w:p>
        </w:tc>
        <w:tc>
          <w:tcPr>
            <w:tcW w:w="4643" w:type="dxa"/>
          </w:tcPr>
          <w:p w14:paraId="1965CA75">
            <w:pPr>
              <w:spacing w:line="240" w:lineRule="auto"/>
              <w:ind w:firstLine="0" w:firstLineChars="0"/>
              <w:rPr>
                <w:color w:val="auto"/>
                <w:highlight w:val="none"/>
              </w:rPr>
            </w:pPr>
            <w:r>
              <w:rPr>
                <w:color w:val="auto"/>
                <w:highlight w:val="none"/>
              </w:rPr>
              <w:drawing>
                <wp:inline distT="0" distB="0" distL="0" distR="0">
                  <wp:extent cx="2832735" cy="2410460"/>
                  <wp:effectExtent l="0" t="0" r="5715" b="889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84"/>
                          <a:srcRect l="49701" t="1141"/>
                          <a:stretch>
                            <a:fillRect/>
                          </a:stretch>
                        </pic:blipFill>
                        <pic:spPr>
                          <a:xfrm>
                            <a:off x="0" y="0"/>
                            <a:ext cx="2832735" cy="2410460"/>
                          </a:xfrm>
                          <a:prstGeom prst="rect">
                            <a:avLst/>
                          </a:prstGeom>
                        </pic:spPr>
                      </pic:pic>
                    </a:graphicData>
                  </a:graphic>
                </wp:inline>
              </w:drawing>
            </w:r>
          </w:p>
        </w:tc>
      </w:tr>
      <w:tr w14:paraId="2DE77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41369E40">
            <w:pPr>
              <w:spacing w:line="240" w:lineRule="auto"/>
              <w:ind w:firstLine="0" w:firstLineChars="0"/>
              <w:rPr>
                <w:color w:val="auto"/>
                <w:highlight w:val="none"/>
              </w:rPr>
            </w:pPr>
            <w:r>
              <w:rPr>
                <w:color w:val="auto"/>
                <w:highlight w:val="none"/>
              </w:rPr>
              <w:drawing>
                <wp:inline distT="0" distB="0" distL="0" distR="0">
                  <wp:extent cx="2727325" cy="2263775"/>
                  <wp:effectExtent l="0" t="0" r="15875" b="317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85"/>
                          <a:srcRect r="49823" b="2525"/>
                          <a:stretch>
                            <a:fillRect/>
                          </a:stretch>
                        </pic:blipFill>
                        <pic:spPr>
                          <a:xfrm>
                            <a:off x="0" y="0"/>
                            <a:ext cx="2727325" cy="2263775"/>
                          </a:xfrm>
                          <a:prstGeom prst="rect">
                            <a:avLst/>
                          </a:prstGeom>
                        </pic:spPr>
                      </pic:pic>
                    </a:graphicData>
                  </a:graphic>
                </wp:inline>
              </w:drawing>
            </w:r>
          </w:p>
        </w:tc>
        <w:tc>
          <w:tcPr>
            <w:tcW w:w="4643" w:type="dxa"/>
          </w:tcPr>
          <w:p w14:paraId="6761CC4C">
            <w:pPr>
              <w:spacing w:line="240" w:lineRule="auto"/>
              <w:ind w:firstLine="0" w:firstLineChars="0"/>
              <w:rPr>
                <w:color w:val="auto"/>
                <w:highlight w:val="none"/>
              </w:rPr>
            </w:pPr>
            <w:r>
              <w:rPr>
                <w:color w:val="auto"/>
                <w:highlight w:val="none"/>
              </w:rPr>
              <w:drawing>
                <wp:inline distT="0" distB="0" distL="0" distR="0">
                  <wp:extent cx="2614930" cy="2227580"/>
                  <wp:effectExtent l="0" t="0" r="13970" b="127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85"/>
                          <a:srcRect l="50842" b="2006"/>
                          <a:stretch>
                            <a:fillRect/>
                          </a:stretch>
                        </pic:blipFill>
                        <pic:spPr>
                          <a:xfrm>
                            <a:off x="0" y="0"/>
                            <a:ext cx="2614930" cy="2227580"/>
                          </a:xfrm>
                          <a:prstGeom prst="rect">
                            <a:avLst/>
                          </a:prstGeom>
                        </pic:spPr>
                      </pic:pic>
                    </a:graphicData>
                  </a:graphic>
                </wp:inline>
              </w:drawing>
            </w:r>
          </w:p>
        </w:tc>
      </w:tr>
    </w:tbl>
    <w:p w14:paraId="22FFD8AE">
      <w:pPr>
        <w:pStyle w:val="38"/>
        <w:spacing w:afterLines="50" w:line="240" w:lineRule="auto"/>
        <w:ind w:firstLine="0" w:firstLineChars="0"/>
        <w:jc w:val="center"/>
        <w:rPr>
          <w:b/>
          <w:color w:val="auto"/>
          <w:sz w:val="21"/>
          <w:szCs w:val="21"/>
          <w:highlight w:val="none"/>
        </w:rPr>
      </w:pPr>
      <w:r>
        <w:rPr>
          <w:b/>
          <w:color w:val="auto"/>
          <w:sz w:val="21"/>
          <w:szCs w:val="21"/>
          <w:highlight w:val="none"/>
        </w:rPr>
        <w:t>图2.1</w:t>
      </w:r>
      <w:r>
        <w:rPr>
          <w:rFonts w:hint="eastAsia"/>
          <w:b/>
          <w:color w:val="auto"/>
          <w:sz w:val="21"/>
          <w:szCs w:val="21"/>
          <w:highlight w:val="none"/>
        </w:rPr>
        <w:t>-11现有</w:t>
      </w:r>
      <w:r>
        <w:rPr>
          <w:b/>
          <w:color w:val="auto"/>
          <w:sz w:val="21"/>
          <w:szCs w:val="21"/>
          <w:highlight w:val="none"/>
        </w:rPr>
        <w:t>“新祥生”浮船坞现状图</w:t>
      </w:r>
    </w:p>
    <w:p w14:paraId="4C2849DA">
      <w:pPr>
        <w:ind w:firstLine="480"/>
        <w:rPr>
          <w:color w:val="auto"/>
          <w:highlight w:val="none"/>
        </w:rPr>
      </w:pPr>
      <w:r>
        <w:rPr>
          <w:color w:val="auto"/>
          <w:highlight w:val="none"/>
        </w:rPr>
        <w:t>针对浮船坞存在的安全风险，中船广西制定专项维保资金预算，结合船级社检验和日常使用过程发现的隐患问题，及时开展维修保养。同时，为保障安全，在维修费预算不足的情</w:t>
      </w:r>
      <w:r>
        <w:rPr>
          <w:rFonts w:hint="eastAsia"/>
          <w:color w:val="auto"/>
          <w:highlight w:val="none"/>
          <w:lang w:eastAsia="zh-CN"/>
        </w:rPr>
        <w:t>况下</w:t>
      </w:r>
      <w:r>
        <w:rPr>
          <w:color w:val="auto"/>
          <w:highlight w:val="none"/>
        </w:rPr>
        <w:t>，通过摊入当期产品成本的方式解决维修需求。</w:t>
      </w:r>
    </w:p>
    <w:p w14:paraId="40A60457">
      <w:pPr>
        <w:ind w:firstLine="480"/>
        <w:rPr>
          <w:color w:val="auto"/>
          <w:highlight w:val="none"/>
        </w:rPr>
      </w:pPr>
      <w:r>
        <w:rPr>
          <w:color w:val="auto"/>
          <w:highlight w:val="none"/>
        </w:rPr>
        <w:t>为确保安全，公司在每次作业时均安排全过程监控，每年开展定期检查，及时对能够到达的区域开展维护和修复，但功能性损失、自然损耗的趋势无法扭转。该船坞安全运行风险巨大，一旦停台也将导致业务断线。</w:t>
      </w:r>
    </w:p>
    <w:p w14:paraId="3C0156C5">
      <w:pPr>
        <w:pStyle w:val="533"/>
        <w:numPr>
          <w:ilvl w:val="3"/>
          <w:numId w:val="9"/>
        </w:numPr>
        <w:rPr>
          <w:color w:val="auto"/>
          <w:szCs w:val="24"/>
          <w:highlight w:val="none"/>
        </w:rPr>
      </w:pPr>
      <w:bookmarkStart w:id="95" w:name="_Toc203051260"/>
      <w:r>
        <w:rPr>
          <w:color w:val="auto"/>
          <w:szCs w:val="24"/>
          <w:highlight w:val="none"/>
        </w:rPr>
        <w:t>码头起重吊装能力缺失</w:t>
      </w:r>
      <w:bookmarkEnd w:id="95"/>
    </w:p>
    <w:p w14:paraId="1A6AA341">
      <w:pPr>
        <w:ind w:firstLine="480"/>
        <w:rPr>
          <w:color w:val="auto"/>
          <w:highlight w:val="none"/>
        </w:rPr>
      </w:pPr>
      <w:r>
        <w:rPr>
          <w:color w:val="auto"/>
          <w:highlight w:val="none"/>
        </w:rPr>
        <w:t>5#舾装码头于202</w:t>
      </w:r>
      <w:r>
        <w:rPr>
          <w:rFonts w:hint="eastAsia"/>
          <w:color w:val="auto"/>
          <w:highlight w:val="none"/>
        </w:rPr>
        <w:t>3</w:t>
      </w:r>
      <w:r>
        <w:rPr>
          <w:color w:val="auto"/>
          <w:highlight w:val="none"/>
        </w:rPr>
        <w:t>年完成竣工验收并投入使用。</w:t>
      </w:r>
      <w:r>
        <w:rPr>
          <w:rFonts w:hint="eastAsia"/>
          <w:color w:val="auto"/>
          <w:highlight w:val="none"/>
        </w:rPr>
        <w:t>该码头项目环评建设内容包含配套32t门座机，验收时未建设该32t门座机，</w:t>
      </w:r>
      <w:r>
        <w:rPr>
          <w:color w:val="auto"/>
          <w:highlight w:val="none"/>
        </w:rPr>
        <w:t>由于该码头未配备起重设备，投用后将无法进行大型部件吊装作业，码头仅能为船舶提供靠泊服务，舾装作业功能不能有效发挥。如使用汽车吊、履带吊等设备，则无法满足重大件、大跨距、高效吊装需求，且会产生高昂的费用，并存在吊机倾倒风险，严重制约生产作业。</w:t>
      </w:r>
      <w:r>
        <w:rPr>
          <w:rFonts w:hint="eastAsia"/>
          <w:color w:val="auto"/>
          <w:highlight w:val="none"/>
        </w:rPr>
        <w:t>为满足5#码头舾装功能，</w:t>
      </w:r>
      <w:r>
        <w:rPr>
          <w:color w:val="auto"/>
          <w:highlight w:val="none"/>
        </w:rPr>
        <w:t>本次</w:t>
      </w:r>
      <w:r>
        <w:rPr>
          <w:rFonts w:hint="eastAsia"/>
          <w:color w:val="auto"/>
          <w:highlight w:val="none"/>
        </w:rPr>
        <w:t>在5#码头上扩</w:t>
      </w:r>
      <w:r>
        <w:rPr>
          <w:color w:val="auto"/>
          <w:highlight w:val="none"/>
        </w:rPr>
        <w:t>建</w:t>
      </w:r>
      <w:r>
        <w:rPr>
          <w:rFonts w:hint="eastAsia"/>
          <w:color w:val="auto"/>
          <w:highlight w:val="none"/>
        </w:rPr>
        <w:t>1座</w:t>
      </w:r>
      <w:r>
        <w:rPr>
          <w:color w:val="auto"/>
          <w:highlight w:val="none"/>
        </w:rPr>
        <w:t>60t门座机</w:t>
      </w:r>
      <w:r>
        <w:rPr>
          <w:rFonts w:hint="eastAsia"/>
          <w:color w:val="auto"/>
          <w:highlight w:val="none"/>
        </w:rPr>
        <w:t>。</w:t>
      </w:r>
    </w:p>
    <w:p w14:paraId="0805A65F">
      <w:pPr>
        <w:pStyle w:val="533"/>
        <w:numPr>
          <w:ilvl w:val="3"/>
          <w:numId w:val="9"/>
        </w:numPr>
        <w:rPr>
          <w:color w:val="auto"/>
          <w:szCs w:val="24"/>
          <w:highlight w:val="none"/>
        </w:rPr>
      </w:pPr>
      <w:bookmarkStart w:id="96" w:name="_Toc203051261"/>
      <w:r>
        <w:rPr>
          <w:color w:val="auto"/>
          <w:szCs w:val="24"/>
          <w:highlight w:val="none"/>
        </w:rPr>
        <w:t>产业升级面临硬件瓶颈</w:t>
      </w:r>
      <w:bookmarkEnd w:id="96"/>
    </w:p>
    <w:p w14:paraId="5BCC2F00">
      <w:pPr>
        <w:ind w:firstLine="480"/>
        <w:rPr>
          <w:color w:val="auto"/>
          <w:highlight w:val="none"/>
        </w:rPr>
      </w:pPr>
      <w:r>
        <w:rPr>
          <w:color w:val="auto"/>
          <w:highlight w:val="none"/>
        </w:rPr>
        <w:t>近年来，北部湾港航运经济持续保持2位数增长，进出港船舶超过12万艘，其中10~15万吨级散货船、集装箱船占比提升至40%。公司现有修船生产条件，仅能覆盖70%到港船型，单一船坞资源无法实现科学周转使用，小型船舶需要拼船进坞，大型船舶占坞期间无法承接新任务。随着北部湾港船舶快速向大型化发展，现有设施已经无法满足市场需求。</w:t>
      </w:r>
    </w:p>
    <w:p w14:paraId="4333FE73">
      <w:pPr>
        <w:ind w:firstLine="480"/>
        <w:rPr>
          <w:color w:val="auto"/>
          <w:highlight w:val="none"/>
        </w:rPr>
      </w:pPr>
      <w:r>
        <w:rPr>
          <w:color w:val="auto"/>
          <w:highlight w:val="none"/>
        </w:rPr>
        <w:t>总体上，可以看出钦州基地当前面临着现有浮船坞存在重大安全隐患、码头起重能力空白、船坞资源严重不足导致订单流失的突出问题。</w:t>
      </w:r>
    </w:p>
    <w:p w14:paraId="3CB54763">
      <w:pPr>
        <w:ind w:firstLine="480"/>
        <w:rPr>
          <w:color w:val="auto"/>
          <w:highlight w:val="none"/>
          <w:lang w:bidi="ar"/>
        </w:rPr>
        <w:sectPr>
          <w:headerReference r:id="rId34" w:type="default"/>
          <w:pgSz w:w="11906" w:h="16838"/>
          <w:pgMar w:top="1559" w:right="1418" w:bottom="1503" w:left="1418" w:header="851" w:footer="964" w:gutter="0"/>
          <w:cols w:space="720" w:num="1"/>
          <w:docGrid w:linePitch="326" w:charSpace="0"/>
        </w:sectPr>
      </w:pPr>
    </w:p>
    <w:p w14:paraId="118070FE">
      <w:pPr>
        <w:pStyle w:val="6"/>
        <w:numPr>
          <w:ilvl w:val="1"/>
          <w:numId w:val="9"/>
        </w:numPr>
        <w:rPr>
          <w:color w:val="auto"/>
          <w:sz w:val="32"/>
          <w:szCs w:val="32"/>
          <w:highlight w:val="none"/>
        </w:rPr>
      </w:pPr>
      <w:bookmarkStart w:id="97" w:name="_Toc12414"/>
      <w:bookmarkStart w:id="98" w:name="_Toc5822"/>
      <w:r>
        <w:rPr>
          <w:color w:val="auto"/>
          <w:sz w:val="32"/>
          <w:szCs w:val="32"/>
          <w:highlight w:val="none"/>
        </w:rPr>
        <w:t>拟建工程概况</w:t>
      </w:r>
      <w:bookmarkEnd w:id="89"/>
      <w:bookmarkEnd w:id="90"/>
      <w:bookmarkEnd w:id="97"/>
      <w:bookmarkEnd w:id="98"/>
    </w:p>
    <w:p w14:paraId="077B7374">
      <w:pPr>
        <w:pStyle w:val="7"/>
        <w:numPr>
          <w:ilvl w:val="2"/>
          <w:numId w:val="9"/>
        </w:numPr>
        <w:rPr>
          <w:color w:val="auto"/>
          <w:sz w:val="28"/>
          <w:highlight w:val="none"/>
        </w:rPr>
      </w:pPr>
      <w:r>
        <w:rPr>
          <w:color w:val="auto"/>
          <w:sz w:val="28"/>
          <w:highlight w:val="none"/>
        </w:rPr>
        <w:t>项目基本情况</w:t>
      </w:r>
    </w:p>
    <w:p w14:paraId="2608DEF1">
      <w:pPr>
        <w:ind w:firstLine="480"/>
        <w:rPr>
          <w:color w:val="auto"/>
          <w:highlight w:val="none"/>
        </w:rPr>
      </w:pPr>
      <w:bookmarkStart w:id="99" w:name="_Hlk34031633"/>
      <w:bookmarkStart w:id="100" w:name="_Hlk35262966"/>
      <w:r>
        <w:rPr>
          <w:color w:val="auto"/>
          <w:highlight w:val="none"/>
        </w:rPr>
        <w:t>（1）项目名称：北部湾区域大型船舶维修保障及改装能力建设项目</w:t>
      </w:r>
    </w:p>
    <w:p w14:paraId="3D5D8710">
      <w:pPr>
        <w:ind w:firstLine="480"/>
        <w:rPr>
          <w:color w:val="auto"/>
          <w:highlight w:val="none"/>
        </w:rPr>
      </w:pPr>
      <w:r>
        <w:rPr>
          <w:color w:val="auto"/>
          <w:highlight w:val="none"/>
        </w:rPr>
        <w:t>（2）</w:t>
      </w:r>
      <w:r>
        <w:rPr>
          <w:color w:val="auto"/>
          <w:highlight w:val="none"/>
        </w:rPr>
        <w:tab/>
      </w:r>
      <w:r>
        <w:rPr>
          <w:color w:val="auto"/>
          <w:highlight w:val="none"/>
        </w:rPr>
        <w:t>建设单位：中国船舶集团广西造船有限公司</w:t>
      </w:r>
    </w:p>
    <w:p w14:paraId="48133D8A">
      <w:pPr>
        <w:ind w:firstLine="480"/>
        <w:rPr>
          <w:color w:val="auto"/>
          <w:highlight w:val="none"/>
        </w:rPr>
      </w:pPr>
      <w:r>
        <w:rPr>
          <w:color w:val="auto"/>
          <w:highlight w:val="none"/>
        </w:rPr>
        <w:t>（3）建设性质：改建</w:t>
      </w:r>
    </w:p>
    <w:p w14:paraId="252CB0F9">
      <w:pPr>
        <w:ind w:firstLine="480"/>
        <w:rPr>
          <w:color w:val="auto"/>
          <w:highlight w:val="none"/>
        </w:rPr>
      </w:pPr>
      <w:r>
        <w:rPr>
          <w:color w:val="auto"/>
          <w:highlight w:val="none"/>
        </w:rPr>
        <w:t>（4）建设地点：广西壮族自治区钦州市钦州港三墩大道1号。</w:t>
      </w:r>
    </w:p>
    <w:p w14:paraId="3E8E1221">
      <w:pPr>
        <w:ind w:firstLine="480"/>
        <w:rPr>
          <w:color w:val="auto"/>
          <w:highlight w:val="none"/>
        </w:rPr>
      </w:pPr>
      <w:r>
        <w:rPr>
          <w:color w:val="auto"/>
          <w:highlight w:val="none"/>
        </w:rPr>
        <w:t>（5）</w:t>
      </w:r>
      <w:r>
        <w:rPr>
          <w:color w:val="auto"/>
          <w:highlight w:val="none"/>
        </w:rPr>
        <w:tab/>
      </w:r>
      <w:r>
        <w:rPr>
          <w:color w:val="auto"/>
          <w:highlight w:val="none"/>
        </w:rPr>
        <w:t>项目投资：项目工程总投资估算35000万元，业主自筹。</w:t>
      </w:r>
    </w:p>
    <w:p w14:paraId="6B5A5560">
      <w:pPr>
        <w:ind w:firstLine="480"/>
        <w:rPr>
          <w:color w:val="auto"/>
          <w:highlight w:val="none"/>
        </w:rPr>
      </w:pPr>
      <w:r>
        <w:rPr>
          <w:color w:val="auto"/>
          <w:highlight w:val="none"/>
        </w:rPr>
        <w:t>（6）项目占地：中船广西公司钦州基地在2016年5月取得了周边海域的海域使用</w:t>
      </w:r>
      <w:r>
        <w:rPr>
          <w:rFonts w:hint="eastAsia"/>
          <w:color w:val="auto"/>
          <w:highlight w:val="none"/>
        </w:rPr>
        <w:t>权</w:t>
      </w:r>
      <w:r>
        <w:rPr>
          <w:color w:val="auto"/>
          <w:highlight w:val="none"/>
        </w:rPr>
        <w:t>证</w:t>
      </w:r>
      <w:r>
        <w:rPr>
          <w:rFonts w:hint="eastAsia"/>
          <w:color w:val="auto"/>
          <w:highlight w:val="none"/>
        </w:rPr>
        <w:t>书</w:t>
      </w:r>
      <w:r>
        <w:rPr>
          <w:color w:val="auto"/>
          <w:highlight w:val="none"/>
        </w:rPr>
        <w:t>，根据中华人民共和国海域使用权证书（国海证2016B45070002236），详见附件4，用海方式为“建设填海造地”。其中包括两块建设填海造地、一座透水构筑物和一座港池。建设填海造地的面积为11.8392公顷和4.8071公顷。</w:t>
      </w:r>
    </w:p>
    <w:p w14:paraId="038A3878">
      <w:pPr>
        <w:ind w:firstLine="480"/>
        <w:rPr>
          <w:color w:val="auto"/>
          <w:highlight w:val="none"/>
        </w:rPr>
      </w:pPr>
      <w:r>
        <w:rPr>
          <w:color w:val="auto"/>
          <w:highlight w:val="none"/>
        </w:rPr>
        <w:t>本项目</w:t>
      </w:r>
      <w:r>
        <w:rPr>
          <w:rFonts w:hint="eastAsia"/>
          <w:color w:val="auto"/>
          <w:highlight w:val="none"/>
        </w:rPr>
        <w:t>技改建设</w:t>
      </w:r>
      <w:r>
        <w:rPr>
          <w:color w:val="auto"/>
          <w:highlight w:val="none"/>
        </w:rPr>
        <w:t>的1座10万吨级浮船坞用于置换“中船钦州修船资源整合项目”中的老旧10万吨级浮船坞，新浮船坞采用抛锚的方式布置在原新祥生号浮船坞位置（布置于中船基地的港池内，靠近5#码头）；</w:t>
      </w:r>
      <w:r>
        <w:rPr>
          <w:rFonts w:hint="eastAsia"/>
          <w:color w:val="auto"/>
          <w:highlight w:val="none"/>
        </w:rPr>
        <w:t>扩建的</w:t>
      </w:r>
      <w:r>
        <w:rPr>
          <w:color w:val="auto"/>
          <w:highlight w:val="none"/>
        </w:rPr>
        <w:t>1台6070门座式起重机位于“中船广西海上风电装备产业基地南翼项目2#码头和5#码头工程”中的5#舾装码头</w:t>
      </w:r>
      <w:r>
        <w:rPr>
          <w:rFonts w:hint="eastAsia"/>
          <w:color w:val="auto"/>
          <w:highlight w:val="none"/>
        </w:rPr>
        <w:t>（原32t门座机位置，该门座机未建设）</w:t>
      </w:r>
      <w:r>
        <w:rPr>
          <w:color w:val="auto"/>
          <w:highlight w:val="none"/>
        </w:rPr>
        <w:t>内；不新增占地，根据下图2.2-1可知，相关用海手续已在“中船钦州修船资源整合项目”办理完成，因此本项目无需重复办理用海手续。</w:t>
      </w:r>
    </w:p>
    <w:p w14:paraId="68A4F8FB">
      <w:pPr>
        <w:pStyle w:val="38"/>
        <w:spacing w:after="0" w:line="240" w:lineRule="auto"/>
        <w:ind w:firstLine="0" w:firstLineChars="0"/>
        <w:jc w:val="center"/>
        <w:rPr>
          <w:b/>
          <w:color w:val="auto"/>
          <w:sz w:val="21"/>
          <w:szCs w:val="21"/>
          <w:highlight w:val="none"/>
        </w:rPr>
      </w:pPr>
      <w:r>
        <w:rPr>
          <w:b/>
          <w:color w:val="auto"/>
          <w:sz w:val="21"/>
          <w:szCs w:val="21"/>
          <w:highlight w:val="none"/>
        </w:rPr>
        <w:drawing>
          <wp:inline distT="0" distB="0" distL="114300" distR="114300">
            <wp:extent cx="5276215" cy="3319145"/>
            <wp:effectExtent l="9525" t="9525" r="10160" b="24130"/>
            <wp:docPr id="232" name="图片 232" descr="附件4 海域使用权证-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附件4 海域使用权证-5"/>
                    <pic:cNvPicPr>
                      <a:picLocks noChangeAspect="1"/>
                    </pic:cNvPicPr>
                  </pic:nvPicPr>
                  <pic:blipFill>
                    <a:blip r:embed="rId86"/>
                    <a:srcRect l="-746" t="7649" r="6325" b="3938"/>
                    <a:stretch>
                      <a:fillRect/>
                    </a:stretch>
                  </pic:blipFill>
                  <pic:spPr>
                    <a:xfrm>
                      <a:off x="0" y="0"/>
                      <a:ext cx="5276215" cy="3319145"/>
                    </a:xfrm>
                    <a:prstGeom prst="rect">
                      <a:avLst/>
                    </a:prstGeom>
                    <a:ln>
                      <a:solidFill>
                        <a:schemeClr val="tx1"/>
                      </a:solidFill>
                    </a:ln>
                  </pic:spPr>
                </pic:pic>
              </a:graphicData>
            </a:graphic>
          </wp:inline>
        </w:drawing>
      </w:r>
    </w:p>
    <w:p w14:paraId="1BF0A787">
      <w:pPr>
        <w:pStyle w:val="38"/>
        <w:spacing w:after="0" w:line="240" w:lineRule="auto"/>
        <w:ind w:firstLine="0" w:firstLineChars="0"/>
        <w:jc w:val="center"/>
        <w:rPr>
          <w:b/>
          <w:color w:val="auto"/>
          <w:sz w:val="21"/>
          <w:szCs w:val="21"/>
          <w:highlight w:val="none"/>
        </w:rPr>
      </w:pPr>
      <w:r>
        <w:rPr>
          <w:b/>
          <w:color w:val="auto"/>
          <w:sz w:val="21"/>
          <w:szCs w:val="21"/>
          <w:highlight w:val="none"/>
        </w:rPr>
        <w:t>图2.2-1  项目所在宗海图</w:t>
      </w:r>
    </w:p>
    <w:p w14:paraId="7A57A08F">
      <w:pPr>
        <w:topLinePunct w:val="0"/>
        <w:ind w:firstLine="480"/>
        <w:rPr>
          <w:color w:val="auto"/>
          <w:highlight w:val="none"/>
        </w:rPr>
      </w:pPr>
      <w:r>
        <w:rPr>
          <w:color w:val="auto"/>
          <w:highlight w:val="none"/>
        </w:rPr>
        <w:t>（7）海域使用类型及用海方式：项目的海域使用类型为交通运输用海中的港口用海，本项目</w:t>
      </w:r>
      <w:r>
        <w:rPr>
          <w:rFonts w:hint="eastAsia"/>
          <w:color w:val="auto"/>
          <w:highlight w:val="none"/>
        </w:rPr>
        <w:t>建设</w:t>
      </w:r>
      <w:r>
        <w:rPr>
          <w:color w:val="auto"/>
          <w:highlight w:val="none"/>
        </w:rPr>
        <w:t>的1座10万吨级浮船坞位于港池用海；</w:t>
      </w:r>
      <w:r>
        <w:rPr>
          <w:rFonts w:hint="eastAsia"/>
          <w:color w:val="auto"/>
          <w:highlight w:val="none"/>
        </w:rPr>
        <w:t>建设</w:t>
      </w:r>
      <w:r>
        <w:rPr>
          <w:color w:val="auto"/>
          <w:highlight w:val="none"/>
        </w:rPr>
        <w:t>的1台6070门座式起重机位于建设填海造地地块1中。</w:t>
      </w:r>
    </w:p>
    <w:p w14:paraId="0EB788D6">
      <w:pPr>
        <w:tabs>
          <w:tab w:val="left" w:pos="960"/>
        </w:tabs>
        <w:topLinePunct w:val="0"/>
        <w:ind w:firstLine="480"/>
        <w:rPr>
          <w:color w:val="auto"/>
          <w:highlight w:val="none"/>
        </w:rPr>
      </w:pPr>
      <w:r>
        <w:rPr>
          <w:color w:val="auto"/>
          <w:highlight w:val="none"/>
        </w:rPr>
        <w:t>（8）</w:t>
      </w:r>
      <w:r>
        <w:rPr>
          <w:color w:val="auto"/>
          <w:highlight w:val="none"/>
        </w:rPr>
        <w:tab/>
      </w:r>
      <w:r>
        <w:rPr>
          <w:color w:val="auto"/>
          <w:highlight w:val="none"/>
        </w:rPr>
        <w:t>劳动定员及工作制度：</w:t>
      </w:r>
      <w:bookmarkStart w:id="101" w:name="_Hlk35271171"/>
      <w:r>
        <w:rPr>
          <w:color w:val="auto"/>
          <w:highlight w:val="none"/>
        </w:rPr>
        <w:t>浮船坞坞修作业人数：150人，其中工人135人，技术及管理人员15人，年工作日为250天，为</w:t>
      </w:r>
      <w:r>
        <w:rPr>
          <w:rFonts w:hint="eastAsia"/>
          <w:color w:val="auto"/>
          <w:highlight w:val="none"/>
          <w:lang w:eastAsia="zh-CN"/>
        </w:rPr>
        <w:t>两班</w:t>
      </w:r>
      <w:r>
        <w:rPr>
          <w:color w:val="auto"/>
          <w:highlight w:val="none"/>
        </w:rPr>
        <w:t>制，工人年时基数为3820小时。本项目作业人员依托中船钦州修船资源整合项目，不新增作业人员。</w:t>
      </w:r>
    </w:p>
    <w:bookmarkEnd w:id="101"/>
    <w:p w14:paraId="32092906">
      <w:pPr>
        <w:topLinePunct w:val="0"/>
        <w:ind w:firstLine="480"/>
        <w:rPr>
          <w:color w:val="auto"/>
          <w:highlight w:val="none"/>
          <w:u w:val="single"/>
        </w:rPr>
      </w:pPr>
      <w:r>
        <w:rPr>
          <w:color w:val="auto"/>
          <w:highlight w:val="none"/>
        </w:rPr>
        <w:t>（9）施工期：施工总工期为36个月</w:t>
      </w:r>
      <w:r>
        <w:rPr>
          <w:rFonts w:hint="eastAsia"/>
          <w:color w:val="auto"/>
          <w:highlight w:val="none"/>
          <w:lang w:eastAsia="zh-CN"/>
        </w:rPr>
        <w:t>，</w:t>
      </w:r>
      <w:r>
        <w:rPr>
          <w:rFonts w:hint="eastAsia"/>
          <w:color w:val="auto"/>
          <w:highlight w:val="none"/>
          <w:u w:val="single"/>
          <w:lang w:eastAsia="zh-CN"/>
        </w:rPr>
        <w:t>涉海工程主要为浮船坞下海舾装安全甲板以上结构、调试、锚泊系统锚块投放等，涉海工期约</w:t>
      </w:r>
      <w:r>
        <w:rPr>
          <w:rFonts w:hint="eastAsia"/>
          <w:color w:val="auto"/>
          <w:highlight w:val="none"/>
          <w:u w:val="single"/>
          <w:lang w:val="en-US" w:eastAsia="zh-CN"/>
        </w:rPr>
        <w:t>1个月</w:t>
      </w:r>
      <w:r>
        <w:rPr>
          <w:color w:val="auto"/>
          <w:highlight w:val="none"/>
          <w:u w:val="single"/>
        </w:rPr>
        <w:t>。</w:t>
      </w:r>
    </w:p>
    <w:p w14:paraId="24779643">
      <w:pPr>
        <w:topLinePunct w:val="0"/>
        <w:ind w:firstLine="480"/>
        <w:rPr>
          <w:color w:val="auto"/>
          <w:highlight w:val="none"/>
          <w:u w:val="single"/>
        </w:rPr>
      </w:pPr>
      <w:r>
        <w:rPr>
          <w:color w:val="auto"/>
          <w:highlight w:val="none"/>
          <w:u w:val="single"/>
        </w:rPr>
        <w:t>（10）建设内容及规模：本项目主要建设内容为</w:t>
      </w:r>
      <w:r>
        <w:rPr>
          <w:rFonts w:hint="eastAsia"/>
          <w:color w:val="auto"/>
          <w:highlight w:val="none"/>
          <w:u w:val="single"/>
        </w:rPr>
        <w:t>技改建设</w:t>
      </w:r>
      <w:r>
        <w:rPr>
          <w:color w:val="auto"/>
          <w:highlight w:val="none"/>
          <w:u w:val="single"/>
        </w:rPr>
        <w:t>1座10万吨级浮船坞（用于置换老旧10万吨级浮船坞）；在5#舾装码头</w:t>
      </w:r>
      <w:r>
        <w:rPr>
          <w:rFonts w:hint="eastAsia"/>
          <w:color w:val="auto"/>
          <w:highlight w:val="none"/>
          <w:u w:val="single"/>
        </w:rPr>
        <w:t>扩建</w:t>
      </w:r>
      <w:r>
        <w:rPr>
          <w:color w:val="auto"/>
          <w:highlight w:val="none"/>
          <w:u w:val="single"/>
        </w:rPr>
        <w:t>1台门座式起重机</w:t>
      </w:r>
      <w:r>
        <w:rPr>
          <w:rFonts w:hint="eastAsia"/>
          <w:color w:val="auto"/>
          <w:highlight w:val="none"/>
          <w:u w:val="single"/>
        </w:rPr>
        <w:t>（位于环评中原32t门座机位置）</w:t>
      </w:r>
      <w:r>
        <w:rPr>
          <w:color w:val="auto"/>
          <w:highlight w:val="none"/>
          <w:u w:val="single"/>
        </w:rPr>
        <w:t>。并建设浮船坞配套建造场地；配置焊割加工、起重运输、供配电等设备设施，硬化改造该配套场地约25621平方米，工艺设备约600台。除本次建设内容外，项目依托的基地上的其他工程（如给排水工程、船体和机电综合车间生产工序、环保工程）等均不变。</w:t>
      </w:r>
    </w:p>
    <w:p w14:paraId="1ACC3BF8">
      <w:pPr>
        <w:topLinePunct w:val="0"/>
        <w:ind w:firstLine="480"/>
        <w:rPr>
          <w:color w:val="auto"/>
          <w:highlight w:val="none"/>
          <w:u w:val="single"/>
        </w:rPr>
      </w:pPr>
      <w:r>
        <w:rPr>
          <w:rFonts w:hint="eastAsia"/>
          <w:color w:val="auto"/>
          <w:highlight w:val="none"/>
          <w:u w:val="single"/>
        </w:rPr>
        <w:t>本次建设的浮船坞坞内修船工艺、主要设备、操作条件、原辅材料等均与原浮船坞相同，本次建设的浮船坞建成后，原浮船坞进行整船退役，本次评价不含原浮船坞整船退役后处置评价；原浮船坞上设备全部退役，不沿用。</w:t>
      </w:r>
    </w:p>
    <w:p w14:paraId="28255257">
      <w:pPr>
        <w:topLinePunct w:val="0"/>
        <w:ind w:firstLine="480"/>
        <w:rPr>
          <w:color w:val="auto"/>
          <w:highlight w:val="none"/>
        </w:rPr>
      </w:pPr>
      <w:r>
        <w:rPr>
          <w:rFonts w:hint="eastAsia"/>
          <w:color w:val="auto"/>
          <w:highlight w:val="none"/>
        </w:rPr>
        <w:t>项目</w:t>
      </w:r>
      <w:r>
        <w:rPr>
          <w:color w:val="auto"/>
          <w:highlight w:val="none"/>
        </w:rPr>
        <w:t>具体建设内容见表2.2-1。</w:t>
      </w:r>
    </w:p>
    <w:bookmarkEnd w:id="99"/>
    <w:bookmarkEnd w:id="100"/>
    <w:p w14:paraId="3AD4A4C1">
      <w:pPr>
        <w:pStyle w:val="38"/>
        <w:spacing w:after="0" w:line="240" w:lineRule="auto"/>
        <w:ind w:firstLine="0" w:firstLineChars="0"/>
        <w:jc w:val="center"/>
        <w:rPr>
          <w:b/>
          <w:color w:val="auto"/>
          <w:sz w:val="21"/>
          <w:szCs w:val="21"/>
          <w:highlight w:val="none"/>
        </w:rPr>
      </w:pPr>
      <w:r>
        <w:rPr>
          <w:b/>
          <w:color w:val="auto"/>
          <w:sz w:val="21"/>
          <w:szCs w:val="21"/>
          <w:highlight w:val="none"/>
        </w:rPr>
        <w:t>2.2-1  项目组成及工程内容表</w:t>
      </w:r>
    </w:p>
    <w:tbl>
      <w:tblPr>
        <w:tblStyle w:val="92"/>
        <w:tblW w:w="499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69"/>
        <w:gridCol w:w="440"/>
        <w:gridCol w:w="442"/>
        <w:gridCol w:w="6706"/>
        <w:gridCol w:w="1120"/>
      </w:tblGrid>
      <w:tr w14:paraId="0AC5EE7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06" w:type="pct"/>
            <w:vAlign w:val="center"/>
          </w:tcPr>
          <w:p w14:paraId="0AC14F17">
            <w:pPr>
              <w:spacing w:line="240" w:lineRule="auto"/>
              <w:ind w:left="-72" w:leftChars="-30" w:right="-72" w:rightChars="-30" w:firstLine="0" w:firstLineChars="0"/>
              <w:jc w:val="center"/>
              <w:rPr>
                <w:b/>
                <w:bCs/>
                <w:color w:val="auto"/>
                <w:sz w:val="21"/>
                <w:szCs w:val="21"/>
                <w:highlight w:val="none"/>
              </w:rPr>
            </w:pPr>
            <w:bookmarkStart w:id="102" w:name="_Hlk34500267"/>
            <w:r>
              <w:rPr>
                <w:b/>
                <w:bCs/>
                <w:color w:val="auto"/>
                <w:sz w:val="21"/>
                <w:szCs w:val="21"/>
                <w:highlight w:val="none"/>
              </w:rPr>
              <w:t>类别</w:t>
            </w:r>
          </w:p>
        </w:tc>
        <w:tc>
          <w:tcPr>
            <w:tcW w:w="475" w:type="pct"/>
            <w:gridSpan w:val="2"/>
            <w:vAlign w:val="center"/>
          </w:tcPr>
          <w:p w14:paraId="3503EA11">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组成</w:t>
            </w:r>
          </w:p>
        </w:tc>
        <w:tc>
          <w:tcPr>
            <w:tcW w:w="3614" w:type="pct"/>
            <w:vAlign w:val="center"/>
          </w:tcPr>
          <w:p w14:paraId="7237574E">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规模</w:t>
            </w:r>
          </w:p>
        </w:tc>
        <w:tc>
          <w:tcPr>
            <w:tcW w:w="603" w:type="pct"/>
            <w:vAlign w:val="center"/>
          </w:tcPr>
          <w:p w14:paraId="501D2FF7">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备注</w:t>
            </w:r>
          </w:p>
        </w:tc>
      </w:tr>
      <w:tr w14:paraId="6A36020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6" w:type="pct"/>
            <w:vMerge w:val="restart"/>
            <w:vAlign w:val="center"/>
          </w:tcPr>
          <w:p w14:paraId="665A6654">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主体工程</w:t>
            </w:r>
          </w:p>
        </w:tc>
        <w:tc>
          <w:tcPr>
            <w:tcW w:w="475" w:type="pct"/>
            <w:gridSpan w:val="2"/>
            <w:vAlign w:val="center"/>
          </w:tcPr>
          <w:p w14:paraId="3514A492">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10万吨级浮船坞</w:t>
            </w:r>
          </w:p>
        </w:tc>
        <w:tc>
          <w:tcPr>
            <w:tcW w:w="3614" w:type="pct"/>
            <w:vAlign w:val="center"/>
          </w:tcPr>
          <w:p w14:paraId="73FA38C5">
            <w:pPr>
              <w:spacing w:line="240" w:lineRule="auto"/>
              <w:ind w:left="-72" w:leftChars="-30" w:right="-72" w:rightChars="-30" w:firstLine="0" w:firstLineChars="0"/>
              <w:jc w:val="left"/>
              <w:rPr>
                <w:color w:val="auto"/>
                <w:sz w:val="21"/>
                <w:szCs w:val="21"/>
                <w:highlight w:val="none"/>
              </w:rPr>
            </w:pPr>
            <w:r>
              <w:rPr>
                <w:rFonts w:hint="eastAsia"/>
                <w:color w:val="auto"/>
                <w:sz w:val="21"/>
                <w:szCs w:val="21"/>
                <w:highlight w:val="none"/>
              </w:rPr>
              <w:t>建设</w:t>
            </w:r>
            <w:r>
              <w:rPr>
                <w:color w:val="auto"/>
                <w:sz w:val="21"/>
                <w:szCs w:val="21"/>
                <w:highlight w:val="none"/>
              </w:rPr>
              <w:t>1座10万吨级浮船坞用于置换“中船钦州修船资源整合项目”中的老旧10万吨级浮船坞，</w:t>
            </w:r>
            <w:r>
              <w:rPr>
                <w:rFonts w:hint="eastAsia"/>
                <w:color w:val="auto"/>
                <w:sz w:val="21"/>
                <w:szCs w:val="21"/>
                <w:highlight w:val="none"/>
              </w:rPr>
              <w:t>建设的</w:t>
            </w:r>
            <w:r>
              <w:rPr>
                <w:color w:val="auto"/>
                <w:sz w:val="21"/>
                <w:szCs w:val="21"/>
                <w:highlight w:val="none"/>
              </w:rPr>
              <w:t>浮船坞为中船广西钦州基地新建的一艘整体式大型钢质浮船坞，规格为265m×55m，采用锚泊的方式固定。</w:t>
            </w:r>
          </w:p>
          <w:p w14:paraId="6160E58F">
            <w:pPr>
              <w:spacing w:line="240" w:lineRule="auto"/>
              <w:ind w:left="-72" w:leftChars="-30" w:right="-72" w:rightChars="-30" w:firstLine="0" w:firstLineChars="0"/>
              <w:jc w:val="left"/>
              <w:rPr>
                <w:color w:val="auto"/>
                <w:sz w:val="21"/>
                <w:szCs w:val="21"/>
                <w:highlight w:val="none"/>
              </w:rPr>
            </w:pPr>
            <w:r>
              <w:rPr>
                <w:color w:val="auto"/>
                <w:sz w:val="21"/>
                <w:szCs w:val="21"/>
                <w:highlight w:val="none"/>
              </w:rPr>
              <w:t>浮船坞由浮箱和2道连续的坞墙组成；浮箱船宽方向有4个水舱；沿坞长方向有6个水舱和2个横向通道；坞墙分安全甲板、顶甲板二层，顶甲板设有甲板室。</w:t>
            </w:r>
          </w:p>
        </w:tc>
        <w:tc>
          <w:tcPr>
            <w:tcW w:w="603" w:type="pct"/>
            <w:vAlign w:val="center"/>
          </w:tcPr>
          <w:p w14:paraId="5D5392DD">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技改建设，位于</w:t>
            </w:r>
            <w:r>
              <w:rPr>
                <w:color w:val="auto"/>
                <w:sz w:val="21"/>
                <w:szCs w:val="21"/>
                <w:highlight w:val="none"/>
                <w:u w:val="single"/>
              </w:rPr>
              <w:t>原“新祥生”浮船坞位置，取缔现有旧浮船坞</w:t>
            </w:r>
          </w:p>
        </w:tc>
      </w:tr>
      <w:tr w14:paraId="244529B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6" w:type="pct"/>
            <w:vMerge w:val="continue"/>
            <w:vAlign w:val="center"/>
          </w:tcPr>
          <w:p w14:paraId="34F9776D">
            <w:pPr>
              <w:spacing w:line="240" w:lineRule="auto"/>
              <w:ind w:left="-72" w:leftChars="-30" w:right="-72" w:rightChars="-30" w:firstLine="0" w:firstLineChars="0"/>
              <w:jc w:val="center"/>
              <w:rPr>
                <w:color w:val="auto"/>
                <w:sz w:val="21"/>
                <w:szCs w:val="21"/>
                <w:highlight w:val="none"/>
              </w:rPr>
            </w:pPr>
          </w:p>
        </w:tc>
        <w:tc>
          <w:tcPr>
            <w:tcW w:w="475" w:type="pct"/>
            <w:gridSpan w:val="2"/>
            <w:vAlign w:val="center"/>
          </w:tcPr>
          <w:p w14:paraId="61676E1B">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门座式起重机</w:t>
            </w:r>
          </w:p>
        </w:tc>
        <w:tc>
          <w:tcPr>
            <w:tcW w:w="3614" w:type="pct"/>
            <w:vAlign w:val="center"/>
          </w:tcPr>
          <w:p w14:paraId="57F7F605">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在5#舾装码头</w:t>
            </w:r>
            <w:r>
              <w:rPr>
                <w:rFonts w:hint="eastAsia"/>
                <w:color w:val="auto"/>
                <w:sz w:val="21"/>
                <w:szCs w:val="21"/>
                <w:highlight w:val="none"/>
              </w:rPr>
              <w:t>建设</w:t>
            </w:r>
            <w:r>
              <w:rPr>
                <w:color w:val="auto"/>
                <w:sz w:val="21"/>
                <w:szCs w:val="21"/>
                <w:highlight w:val="none"/>
              </w:rPr>
              <w:t>1台6070门座式起重机，起重</w:t>
            </w:r>
            <w:r>
              <w:rPr>
                <w:rFonts w:hint="eastAsia"/>
                <w:color w:val="auto"/>
                <w:sz w:val="21"/>
                <w:szCs w:val="21"/>
                <w:highlight w:val="none"/>
              </w:rPr>
              <w:t>能力</w:t>
            </w:r>
            <w:r>
              <w:rPr>
                <w:color w:val="auto"/>
                <w:sz w:val="21"/>
                <w:szCs w:val="21"/>
                <w:highlight w:val="none"/>
              </w:rPr>
              <w:t>为60t。</w:t>
            </w:r>
          </w:p>
        </w:tc>
        <w:tc>
          <w:tcPr>
            <w:tcW w:w="603" w:type="pct"/>
            <w:vAlign w:val="center"/>
          </w:tcPr>
          <w:p w14:paraId="5EA61374">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扩建，位于码头环评中原32t门座机（未建）位置</w:t>
            </w:r>
          </w:p>
        </w:tc>
      </w:tr>
      <w:tr w14:paraId="2C9B30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6" w:type="pct"/>
            <w:vMerge w:val="restart"/>
            <w:vAlign w:val="center"/>
          </w:tcPr>
          <w:p w14:paraId="0C5E7D38">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辅助工程</w:t>
            </w:r>
          </w:p>
        </w:tc>
        <w:tc>
          <w:tcPr>
            <w:tcW w:w="475" w:type="pct"/>
            <w:gridSpan w:val="2"/>
            <w:vAlign w:val="center"/>
          </w:tcPr>
          <w:p w14:paraId="1FF68D1C">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锚泊系统</w:t>
            </w:r>
          </w:p>
        </w:tc>
        <w:tc>
          <w:tcPr>
            <w:tcW w:w="3614" w:type="pct"/>
            <w:vAlign w:val="center"/>
          </w:tcPr>
          <w:p w14:paraId="509034C0">
            <w:pPr>
              <w:spacing w:line="240" w:lineRule="auto"/>
              <w:ind w:left="-72" w:leftChars="-30" w:right="-72" w:rightChars="-30" w:firstLine="0" w:firstLineChars="0"/>
              <w:jc w:val="left"/>
              <w:rPr>
                <w:color w:val="auto"/>
                <w:sz w:val="21"/>
                <w:szCs w:val="21"/>
                <w:highlight w:val="none"/>
              </w:rPr>
            </w:pPr>
            <w:r>
              <w:rPr>
                <w:color w:val="auto"/>
                <w:sz w:val="21"/>
                <w:szCs w:val="21"/>
                <w:highlight w:val="none"/>
              </w:rPr>
              <w:t>新增浮坞锚块5座，原浮船配备拉锚基础10座继续沿用；新增锚块采用钢筋混凝土无底方块，方块采用类似无底沉箱的结构。外壁厚500mm，内设格仓，格仓中根据配重需要填充填料，安装拉锚埋件部位采用混凝土墩体形式填实；拉锚基础下设0.5m厚二片石基床整平，每个拉锚基础方块上设置吊装孔。拉锚基础上回填厚度4~5m块石。锚块整体预制后，水上吊装安置于基床上。</w:t>
            </w:r>
          </w:p>
        </w:tc>
        <w:tc>
          <w:tcPr>
            <w:tcW w:w="603" w:type="pct"/>
            <w:vAlign w:val="center"/>
          </w:tcPr>
          <w:p w14:paraId="474491D3">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新建、依托</w:t>
            </w:r>
          </w:p>
        </w:tc>
      </w:tr>
      <w:tr w14:paraId="074CE9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6" w:type="pct"/>
            <w:vMerge w:val="continue"/>
            <w:vAlign w:val="center"/>
          </w:tcPr>
          <w:p w14:paraId="58B1F0A8">
            <w:pPr>
              <w:spacing w:line="240" w:lineRule="auto"/>
              <w:ind w:left="-72" w:leftChars="-30" w:right="-72" w:rightChars="-30" w:firstLine="0" w:firstLineChars="0"/>
              <w:jc w:val="center"/>
              <w:rPr>
                <w:color w:val="auto"/>
                <w:sz w:val="21"/>
                <w:szCs w:val="21"/>
                <w:highlight w:val="none"/>
              </w:rPr>
            </w:pPr>
          </w:p>
        </w:tc>
        <w:tc>
          <w:tcPr>
            <w:tcW w:w="475" w:type="pct"/>
            <w:gridSpan w:val="2"/>
            <w:vAlign w:val="center"/>
          </w:tcPr>
          <w:p w14:paraId="3D6A4C13">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浮船坞配套建造场地</w:t>
            </w:r>
          </w:p>
        </w:tc>
        <w:tc>
          <w:tcPr>
            <w:tcW w:w="3614" w:type="pct"/>
            <w:vAlign w:val="center"/>
          </w:tcPr>
          <w:p w14:paraId="31F55616">
            <w:pPr>
              <w:spacing w:line="240" w:lineRule="auto"/>
              <w:ind w:left="-72" w:leftChars="-30" w:right="-72" w:rightChars="-30" w:firstLine="0" w:firstLineChars="0"/>
              <w:jc w:val="left"/>
              <w:rPr>
                <w:color w:val="auto"/>
                <w:sz w:val="21"/>
                <w:szCs w:val="21"/>
                <w:highlight w:val="none"/>
              </w:rPr>
            </w:pPr>
            <w:r>
              <w:rPr>
                <w:color w:val="auto"/>
                <w:sz w:val="21"/>
                <w:szCs w:val="21"/>
                <w:highlight w:val="none"/>
              </w:rPr>
              <w:t>对钦州基地现环段总组场地进行扩建，改造气体、水、电管线，增加一组供电设施</w:t>
            </w:r>
            <w:r>
              <w:rPr>
                <w:rFonts w:hint="eastAsia"/>
                <w:color w:val="auto"/>
                <w:sz w:val="21"/>
                <w:szCs w:val="21"/>
                <w:highlight w:val="none"/>
              </w:rPr>
              <w:t>。</w:t>
            </w:r>
          </w:p>
          <w:p w14:paraId="2BF45406">
            <w:pPr>
              <w:spacing w:line="240" w:lineRule="auto"/>
              <w:ind w:left="-72" w:leftChars="-30" w:right="-72" w:rightChars="-30" w:firstLine="0" w:firstLineChars="0"/>
              <w:jc w:val="left"/>
              <w:rPr>
                <w:color w:val="auto"/>
                <w:sz w:val="21"/>
                <w:szCs w:val="21"/>
                <w:highlight w:val="none"/>
              </w:rPr>
            </w:pPr>
            <w:r>
              <w:rPr>
                <w:color w:val="auto"/>
                <w:sz w:val="21"/>
                <w:szCs w:val="21"/>
                <w:highlight w:val="none"/>
              </w:rPr>
              <w:t>浮船坞总体建造方式为：浮船坞采用分段建造法，大约是230个分段（小段92个、大段138个），最大的100吨，一般按50吨控制。组立完成后，在船台附近场地进行室外建造；分段平均尺寸按12*12米，按1.8倍系数，面积约20.1*12*12*1.8=5216平</w:t>
            </w:r>
            <w:r>
              <w:rPr>
                <w:rFonts w:hint="eastAsia"/>
                <w:color w:val="auto"/>
                <w:sz w:val="21"/>
                <w:szCs w:val="21"/>
                <w:highlight w:val="none"/>
                <w:lang w:eastAsia="zh-CN"/>
              </w:rPr>
              <w:t>方米</w:t>
            </w:r>
            <w:r>
              <w:rPr>
                <w:color w:val="auto"/>
                <w:sz w:val="21"/>
                <w:szCs w:val="21"/>
                <w:highlight w:val="none"/>
              </w:rPr>
              <w:t>；另外浮船坞搭载区域265*55*1.4=20405平</w:t>
            </w:r>
            <w:r>
              <w:rPr>
                <w:rFonts w:hint="eastAsia"/>
                <w:color w:val="auto"/>
                <w:sz w:val="21"/>
                <w:szCs w:val="21"/>
                <w:highlight w:val="none"/>
                <w:lang w:eastAsia="zh-CN"/>
              </w:rPr>
              <w:t>方米</w:t>
            </w:r>
            <w:r>
              <w:rPr>
                <w:color w:val="auto"/>
                <w:sz w:val="21"/>
                <w:szCs w:val="21"/>
                <w:highlight w:val="none"/>
              </w:rPr>
              <w:t>，总共需要25621平方米硬化场地；</w:t>
            </w:r>
            <w:r>
              <w:rPr>
                <w:rFonts w:hint="eastAsia"/>
                <w:color w:val="auto"/>
                <w:sz w:val="21"/>
                <w:szCs w:val="21"/>
                <w:highlight w:val="none"/>
                <w:lang w:eastAsia="zh-CN"/>
              </w:rPr>
              <w:t>另</w:t>
            </w:r>
            <w:r>
              <w:rPr>
                <w:rFonts w:hint="eastAsia"/>
                <w:color w:val="auto"/>
                <w:sz w:val="21"/>
                <w:szCs w:val="21"/>
                <w:highlight w:val="none"/>
              </w:rPr>
              <w:t>配套相应的外场场地约15000m</w:t>
            </w:r>
            <w:r>
              <w:rPr>
                <w:rFonts w:hint="eastAsia"/>
                <w:color w:val="auto"/>
                <w:sz w:val="21"/>
                <w:szCs w:val="21"/>
                <w:highlight w:val="none"/>
                <w:vertAlign w:val="superscript"/>
              </w:rPr>
              <w:t>2</w:t>
            </w:r>
            <w:r>
              <w:rPr>
                <w:rFonts w:hint="eastAsia"/>
                <w:color w:val="auto"/>
                <w:sz w:val="21"/>
                <w:szCs w:val="21"/>
                <w:highlight w:val="none"/>
              </w:rPr>
              <w:t>。</w:t>
            </w:r>
          </w:p>
        </w:tc>
        <w:tc>
          <w:tcPr>
            <w:tcW w:w="603" w:type="pct"/>
            <w:vAlign w:val="center"/>
          </w:tcPr>
          <w:p w14:paraId="57482F56">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新建，位于钦州基地现环段总组场地</w:t>
            </w:r>
            <w:r>
              <w:rPr>
                <w:rFonts w:hint="eastAsia"/>
                <w:color w:val="auto"/>
                <w:sz w:val="21"/>
                <w:szCs w:val="21"/>
                <w:highlight w:val="none"/>
                <w:u w:val="single"/>
              </w:rPr>
              <w:t>，浮船坞建成后将拆除配套建造场地内设备</w:t>
            </w:r>
          </w:p>
        </w:tc>
      </w:tr>
      <w:tr w14:paraId="095F921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6" w:type="pct"/>
            <w:vAlign w:val="center"/>
          </w:tcPr>
          <w:p w14:paraId="2C9A7BFA">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依托工程</w:t>
            </w:r>
          </w:p>
        </w:tc>
        <w:tc>
          <w:tcPr>
            <w:tcW w:w="475" w:type="pct"/>
            <w:gridSpan w:val="2"/>
            <w:vAlign w:val="center"/>
          </w:tcPr>
          <w:p w14:paraId="3D92FFBC">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船体和机电综合车间</w:t>
            </w:r>
          </w:p>
        </w:tc>
        <w:tc>
          <w:tcPr>
            <w:tcW w:w="3614" w:type="pct"/>
            <w:vAlign w:val="center"/>
          </w:tcPr>
          <w:p w14:paraId="4B69A7F0">
            <w:pPr>
              <w:spacing w:line="240" w:lineRule="auto"/>
              <w:ind w:left="-72" w:leftChars="-30" w:right="-72" w:rightChars="-30" w:firstLine="0" w:firstLineChars="0"/>
              <w:jc w:val="left"/>
              <w:rPr>
                <w:color w:val="auto"/>
                <w:sz w:val="21"/>
                <w:szCs w:val="21"/>
                <w:highlight w:val="none"/>
                <w:u w:val="single"/>
              </w:rPr>
            </w:pPr>
            <w:r>
              <w:rPr>
                <w:bCs/>
                <w:color w:val="auto"/>
                <w:sz w:val="21"/>
                <w:szCs w:val="21"/>
                <w:highlight w:val="none"/>
                <w:u w:val="single"/>
              </w:rPr>
              <w:t>占地面积10330m</w:t>
            </w:r>
            <w:r>
              <w:rPr>
                <w:bCs/>
                <w:color w:val="auto"/>
                <w:sz w:val="21"/>
                <w:szCs w:val="21"/>
                <w:highlight w:val="none"/>
                <w:u w:val="single"/>
                <w:vertAlign w:val="superscript"/>
              </w:rPr>
              <w:t>2</w:t>
            </w:r>
            <w:r>
              <w:rPr>
                <w:bCs/>
                <w:color w:val="auto"/>
                <w:sz w:val="21"/>
                <w:szCs w:val="21"/>
                <w:highlight w:val="none"/>
                <w:u w:val="single"/>
              </w:rPr>
              <w:t>，120m×（27+27+21+9 m），3层，建筑面积13281m</w:t>
            </w:r>
            <w:r>
              <w:rPr>
                <w:bCs/>
                <w:color w:val="auto"/>
                <w:sz w:val="21"/>
                <w:szCs w:val="21"/>
                <w:highlight w:val="none"/>
                <w:u w:val="single"/>
                <w:vertAlign w:val="superscript"/>
              </w:rPr>
              <w:t>2</w:t>
            </w:r>
            <w:r>
              <w:rPr>
                <w:bCs/>
                <w:color w:val="auto"/>
                <w:sz w:val="21"/>
                <w:szCs w:val="21"/>
                <w:highlight w:val="none"/>
                <w:u w:val="single"/>
              </w:rPr>
              <w:t>，包括船体钢材切割加工工场、管子工场、坞修钳工工场、电工工场</w:t>
            </w:r>
            <w:r>
              <w:rPr>
                <w:rFonts w:hint="eastAsia"/>
                <w:bCs/>
                <w:color w:val="auto"/>
                <w:sz w:val="21"/>
                <w:szCs w:val="21"/>
                <w:highlight w:val="none"/>
                <w:u w:val="single"/>
              </w:rPr>
              <w:t>（设有浸漆间）</w:t>
            </w:r>
            <w:r>
              <w:rPr>
                <w:bCs/>
                <w:color w:val="auto"/>
                <w:sz w:val="21"/>
                <w:szCs w:val="21"/>
                <w:highlight w:val="none"/>
                <w:u w:val="single"/>
              </w:rPr>
              <w:t>、薄板工场、机加工工场、化学清洗间</w:t>
            </w:r>
          </w:p>
        </w:tc>
        <w:tc>
          <w:tcPr>
            <w:tcW w:w="603" w:type="pct"/>
            <w:vAlign w:val="center"/>
          </w:tcPr>
          <w:p w14:paraId="2F5C7775">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依托，车间内工序工艺、设备、原辅材料均无变化</w:t>
            </w:r>
          </w:p>
        </w:tc>
      </w:tr>
      <w:tr w14:paraId="6926EB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6" w:type="pct"/>
            <w:vMerge w:val="restart"/>
            <w:vAlign w:val="center"/>
          </w:tcPr>
          <w:p w14:paraId="3274DE0A">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公用工程</w:t>
            </w:r>
          </w:p>
        </w:tc>
        <w:tc>
          <w:tcPr>
            <w:tcW w:w="475" w:type="pct"/>
            <w:gridSpan w:val="2"/>
            <w:vAlign w:val="center"/>
          </w:tcPr>
          <w:p w14:paraId="4877035E">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供电</w:t>
            </w:r>
          </w:p>
        </w:tc>
        <w:tc>
          <w:tcPr>
            <w:tcW w:w="3614" w:type="pct"/>
            <w:vAlign w:val="center"/>
          </w:tcPr>
          <w:p w14:paraId="18C90FE8">
            <w:pPr>
              <w:spacing w:line="240" w:lineRule="auto"/>
              <w:ind w:left="-72" w:leftChars="-30" w:right="-72" w:rightChars="-30" w:firstLine="0" w:firstLineChars="0"/>
              <w:jc w:val="left"/>
              <w:rPr>
                <w:color w:val="auto"/>
                <w:sz w:val="21"/>
                <w:szCs w:val="21"/>
                <w:highlight w:val="none"/>
              </w:rPr>
            </w:pPr>
            <w:r>
              <w:rPr>
                <w:color w:val="auto"/>
                <w:sz w:val="21"/>
                <w:szCs w:val="21"/>
                <w:highlight w:val="none"/>
              </w:rPr>
              <w:t>①钦州基地内现已配置2路10kV电源和4路0.4kV（400A）电源为现有浮船坞供电，本工程</w:t>
            </w:r>
            <w:r>
              <w:rPr>
                <w:rFonts w:hint="eastAsia"/>
                <w:color w:val="auto"/>
                <w:sz w:val="21"/>
                <w:szCs w:val="21"/>
                <w:highlight w:val="none"/>
              </w:rPr>
              <w:t>新建</w:t>
            </w:r>
            <w:r>
              <w:rPr>
                <w:color w:val="auto"/>
                <w:sz w:val="21"/>
                <w:szCs w:val="21"/>
                <w:highlight w:val="none"/>
              </w:rPr>
              <w:t>的浮船坞利用现有的供电设施，不新增供电设施；</w:t>
            </w:r>
          </w:p>
          <w:p w14:paraId="7473FA30">
            <w:pPr>
              <w:spacing w:line="240" w:lineRule="auto"/>
              <w:ind w:left="-72" w:leftChars="-30" w:right="-72" w:rightChars="-30" w:firstLine="0" w:firstLineChars="0"/>
              <w:jc w:val="left"/>
              <w:rPr>
                <w:color w:val="auto"/>
                <w:sz w:val="21"/>
                <w:szCs w:val="21"/>
                <w:highlight w:val="none"/>
              </w:rPr>
            </w:pPr>
            <w:r>
              <w:rPr>
                <w:color w:val="auto"/>
                <w:sz w:val="21"/>
                <w:szCs w:val="21"/>
                <w:highlight w:val="none"/>
              </w:rPr>
              <w:t>②已建5#码头现配置2座10/0.4kV 1250kVA变电站为2#、5#码头供电，建设阶段已预留本工程新增的门座式起重机供电；</w:t>
            </w:r>
          </w:p>
          <w:p w14:paraId="20520B82">
            <w:pPr>
              <w:spacing w:line="240" w:lineRule="auto"/>
              <w:ind w:left="-72" w:leftChars="-30" w:right="-72" w:rightChars="-30" w:firstLine="0" w:firstLineChars="0"/>
              <w:jc w:val="left"/>
              <w:rPr>
                <w:color w:val="auto"/>
                <w:sz w:val="21"/>
                <w:szCs w:val="21"/>
                <w:highlight w:val="none"/>
              </w:rPr>
            </w:pPr>
            <w:r>
              <w:rPr>
                <w:color w:val="auto"/>
                <w:sz w:val="21"/>
                <w:szCs w:val="21"/>
                <w:highlight w:val="none"/>
              </w:rPr>
              <w:t>③浮船坞配套建造场地新建一座2000kVA变电所进行供电。电源引自厂区现有0#配电站。自变电所引出低压配电电缆至硬化场地两侧的焊机用电箱。</w:t>
            </w:r>
          </w:p>
        </w:tc>
        <w:tc>
          <w:tcPr>
            <w:tcW w:w="603" w:type="pct"/>
            <w:vAlign w:val="center"/>
          </w:tcPr>
          <w:p w14:paraId="06904EAD">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新建、依托</w:t>
            </w:r>
          </w:p>
        </w:tc>
      </w:tr>
      <w:tr w14:paraId="12CFAF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6" w:type="pct"/>
            <w:vMerge w:val="continue"/>
            <w:vAlign w:val="center"/>
          </w:tcPr>
          <w:p w14:paraId="15185319">
            <w:pPr>
              <w:spacing w:line="240" w:lineRule="auto"/>
              <w:ind w:left="-72" w:leftChars="-30" w:right="-72" w:rightChars="-30" w:firstLine="0" w:firstLineChars="0"/>
              <w:jc w:val="center"/>
              <w:rPr>
                <w:color w:val="auto"/>
                <w:sz w:val="21"/>
                <w:szCs w:val="21"/>
                <w:highlight w:val="none"/>
              </w:rPr>
            </w:pPr>
          </w:p>
        </w:tc>
        <w:tc>
          <w:tcPr>
            <w:tcW w:w="475" w:type="pct"/>
            <w:gridSpan w:val="2"/>
            <w:vAlign w:val="center"/>
          </w:tcPr>
          <w:p w14:paraId="61389955">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给水系统</w:t>
            </w:r>
          </w:p>
        </w:tc>
        <w:tc>
          <w:tcPr>
            <w:tcW w:w="3614" w:type="pct"/>
            <w:vAlign w:val="center"/>
          </w:tcPr>
          <w:p w14:paraId="535F3502">
            <w:pPr>
              <w:spacing w:line="240" w:lineRule="auto"/>
              <w:ind w:left="-72" w:leftChars="-30" w:right="-72" w:rightChars="-30" w:firstLine="0" w:firstLineChars="0"/>
              <w:jc w:val="left"/>
              <w:rPr>
                <w:color w:val="auto"/>
                <w:sz w:val="21"/>
                <w:szCs w:val="21"/>
                <w:highlight w:val="none"/>
              </w:rPr>
            </w:pPr>
            <w:r>
              <w:rPr>
                <w:color w:val="auto"/>
                <w:sz w:val="21"/>
                <w:szCs w:val="21"/>
                <w:highlight w:val="none"/>
              </w:rPr>
              <w:t>厂区水源为市政自来水，目前从市政管网接出1路DN400支管，接入口压力P≥0.30MPa，在接入口设置1座DN300水表，表后接驳DN300给水管并在厂区呈DN300—DN150环状布置，供应厂区生活、生产用水。</w:t>
            </w:r>
          </w:p>
          <w:p w14:paraId="0681737C">
            <w:pPr>
              <w:spacing w:line="240" w:lineRule="auto"/>
              <w:ind w:left="-72" w:leftChars="-30" w:right="-72" w:rightChars="-30" w:firstLine="0" w:firstLineChars="0"/>
              <w:jc w:val="left"/>
              <w:rPr>
                <w:color w:val="auto"/>
                <w:sz w:val="21"/>
                <w:szCs w:val="21"/>
                <w:highlight w:val="none"/>
              </w:rPr>
            </w:pPr>
            <w:r>
              <w:rPr>
                <w:color w:val="auto"/>
                <w:sz w:val="21"/>
                <w:szCs w:val="21"/>
                <w:highlight w:val="none"/>
              </w:rPr>
              <w:t>此次</w:t>
            </w:r>
            <w:r>
              <w:rPr>
                <w:rFonts w:hint="eastAsia"/>
                <w:color w:val="auto"/>
                <w:sz w:val="21"/>
                <w:szCs w:val="21"/>
                <w:highlight w:val="none"/>
              </w:rPr>
              <w:t>建设的</w:t>
            </w:r>
            <w:r>
              <w:rPr>
                <w:color w:val="auto"/>
                <w:sz w:val="21"/>
                <w:szCs w:val="21"/>
                <w:highlight w:val="none"/>
              </w:rPr>
              <w:t>10万吨级浮船用于替换原有浮船坞，原浮船坞最大小时淡水用水量为150m</w:t>
            </w:r>
            <w:r>
              <w:rPr>
                <w:color w:val="auto"/>
                <w:sz w:val="21"/>
                <w:szCs w:val="21"/>
                <w:highlight w:val="none"/>
                <w:vertAlign w:val="superscript"/>
              </w:rPr>
              <w:t>3</w:t>
            </w:r>
            <w:r>
              <w:rPr>
                <w:color w:val="auto"/>
                <w:sz w:val="21"/>
                <w:szCs w:val="21"/>
                <w:highlight w:val="none"/>
              </w:rPr>
              <w:t>/h，现有浮船坞供水管道及接口能够满足</w:t>
            </w:r>
            <w:r>
              <w:rPr>
                <w:rFonts w:hint="eastAsia"/>
                <w:color w:val="auto"/>
                <w:sz w:val="21"/>
                <w:szCs w:val="21"/>
                <w:highlight w:val="none"/>
              </w:rPr>
              <w:t>本次建设的</w:t>
            </w:r>
            <w:r>
              <w:rPr>
                <w:color w:val="auto"/>
                <w:sz w:val="21"/>
                <w:szCs w:val="21"/>
                <w:highlight w:val="none"/>
              </w:rPr>
              <w:t>浮船坞的用水需求，项目建成后利用原浮船坞供水管道及接口，无需改造。</w:t>
            </w:r>
          </w:p>
        </w:tc>
        <w:tc>
          <w:tcPr>
            <w:tcW w:w="603" w:type="pct"/>
            <w:vAlign w:val="center"/>
          </w:tcPr>
          <w:p w14:paraId="2F3802C9">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依托</w:t>
            </w:r>
          </w:p>
        </w:tc>
      </w:tr>
      <w:tr w14:paraId="62974E5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6" w:type="pct"/>
            <w:vMerge w:val="continue"/>
            <w:vAlign w:val="center"/>
          </w:tcPr>
          <w:p w14:paraId="448659AC">
            <w:pPr>
              <w:spacing w:line="240" w:lineRule="auto"/>
              <w:ind w:left="-72" w:leftChars="-30" w:right="-72" w:rightChars="-30" w:firstLine="0" w:firstLineChars="0"/>
              <w:jc w:val="center"/>
              <w:rPr>
                <w:color w:val="auto"/>
                <w:sz w:val="21"/>
                <w:szCs w:val="21"/>
                <w:highlight w:val="none"/>
              </w:rPr>
            </w:pPr>
          </w:p>
        </w:tc>
        <w:tc>
          <w:tcPr>
            <w:tcW w:w="475" w:type="pct"/>
            <w:gridSpan w:val="2"/>
            <w:vAlign w:val="center"/>
          </w:tcPr>
          <w:p w14:paraId="712AF6BF">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排水系统</w:t>
            </w:r>
          </w:p>
        </w:tc>
        <w:tc>
          <w:tcPr>
            <w:tcW w:w="3614" w:type="pct"/>
            <w:vAlign w:val="center"/>
          </w:tcPr>
          <w:p w14:paraId="1848E05F">
            <w:pPr>
              <w:spacing w:line="240" w:lineRule="auto"/>
              <w:ind w:left="-72" w:leftChars="-30" w:right="-72" w:rightChars="-30" w:firstLine="0" w:firstLineChars="0"/>
              <w:jc w:val="left"/>
              <w:rPr>
                <w:color w:val="auto"/>
                <w:sz w:val="21"/>
                <w:szCs w:val="21"/>
                <w:highlight w:val="none"/>
              </w:rPr>
            </w:pPr>
            <w:r>
              <w:rPr>
                <w:color w:val="auto"/>
                <w:sz w:val="21"/>
                <w:szCs w:val="21"/>
                <w:highlight w:val="none"/>
              </w:rPr>
              <w:t>厂区</w:t>
            </w:r>
            <w:r>
              <w:rPr>
                <w:rFonts w:hint="eastAsia"/>
                <w:color w:val="auto"/>
                <w:sz w:val="21"/>
                <w:szCs w:val="21"/>
                <w:highlight w:val="none"/>
                <w:lang w:eastAsia="zh-CN"/>
              </w:rPr>
              <w:t>排水体制</w:t>
            </w:r>
            <w:r>
              <w:rPr>
                <w:color w:val="auto"/>
                <w:sz w:val="21"/>
                <w:szCs w:val="21"/>
                <w:highlight w:val="none"/>
              </w:rPr>
              <w:t>为分流制。</w:t>
            </w:r>
          </w:p>
          <w:p w14:paraId="3ED44E0A">
            <w:pPr>
              <w:spacing w:line="240" w:lineRule="auto"/>
              <w:ind w:left="-72" w:leftChars="-30" w:right="-72" w:rightChars="-30" w:firstLine="0" w:firstLineChars="0"/>
              <w:jc w:val="left"/>
              <w:rPr>
                <w:color w:val="auto"/>
                <w:sz w:val="21"/>
                <w:szCs w:val="21"/>
                <w:highlight w:val="none"/>
              </w:rPr>
            </w:pPr>
            <w:r>
              <w:rPr>
                <w:color w:val="auto"/>
                <w:sz w:val="21"/>
                <w:szCs w:val="21"/>
                <w:highlight w:val="none"/>
              </w:rPr>
              <w:t>厂区已建部分污水管网，经DN300干管汇集至厂区污水提升泵站</w:t>
            </w:r>
            <w:r>
              <w:rPr>
                <w:rFonts w:hint="eastAsia"/>
                <w:color w:val="auto"/>
                <w:sz w:val="21"/>
                <w:szCs w:val="21"/>
                <w:highlight w:val="none"/>
                <w:lang w:eastAsia="zh-CN"/>
              </w:rPr>
              <w:t>后</w:t>
            </w:r>
            <w:r>
              <w:rPr>
                <w:rFonts w:hint="eastAsia"/>
                <w:color w:val="auto"/>
                <w:sz w:val="21"/>
                <w:szCs w:val="21"/>
                <w:highlight w:val="none"/>
              </w:rPr>
              <w:t>进入污水处理系统</w:t>
            </w:r>
            <w:r>
              <w:rPr>
                <w:color w:val="auto"/>
                <w:sz w:val="21"/>
                <w:szCs w:val="21"/>
                <w:highlight w:val="none"/>
              </w:rPr>
              <w:t>。</w:t>
            </w:r>
          </w:p>
          <w:p w14:paraId="71C2B1F1">
            <w:pPr>
              <w:spacing w:line="240" w:lineRule="auto"/>
              <w:ind w:left="-72" w:leftChars="-30" w:right="-72" w:rightChars="-30" w:firstLine="0" w:firstLineChars="0"/>
              <w:jc w:val="left"/>
              <w:rPr>
                <w:color w:val="auto"/>
                <w:sz w:val="21"/>
                <w:szCs w:val="21"/>
                <w:highlight w:val="none"/>
              </w:rPr>
            </w:pPr>
            <w:r>
              <w:rPr>
                <w:color w:val="auto"/>
                <w:sz w:val="21"/>
                <w:szCs w:val="21"/>
                <w:highlight w:val="none"/>
              </w:rPr>
              <w:t>厂区已建部分雨水管网，目前设有</w:t>
            </w:r>
            <w:r>
              <w:rPr>
                <w:rFonts w:hint="eastAsia"/>
                <w:color w:val="auto"/>
                <w:sz w:val="21"/>
                <w:szCs w:val="21"/>
                <w:highlight w:val="none"/>
              </w:rPr>
              <w:t>4</w:t>
            </w:r>
            <w:r>
              <w:rPr>
                <w:color w:val="auto"/>
                <w:sz w:val="21"/>
                <w:szCs w:val="21"/>
                <w:highlight w:val="none"/>
              </w:rPr>
              <w:t>路DN1500总管排海。</w:t>
            </w:r>
          </w:p>
        </w:tc>
        <w:tc>
          <w:tcPr>
            <w:tcW w:w="603" w:type="pct"/>
            <w:vAlign w:val="center"/>
          </w:tcPr>
          <w:p w14:paraId="5531625C">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依托</w:t>
            </w:r>
          </w:p>
        </w:tc>
      </w:tr>
      <w:tr w14:paraId="04AB76F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6" w:type="pct"/>
            <w:vMerge w:val="restart"/>
            <w:vAlign w:val="center"/>
          </w:tcPr>
          <w:p w14:paraId="61A56786">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环保工程</w:t>
            </w:r>
          </w:p>
        </w:tc>
        <w:tc>
          <w:tcPr>
            <w:tcW w:w="475" w:type="pct"/>
            <w:gridSpan w:val="2"/>
            <w:vAlign w:val="center"/>
          </w:tcPr>
          <w:p w14:paraId="21816C8D">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废气</w:t>
            </w:r>
          </w:p>
        </w:tc>
        <w:tc>
          <w:tcPr>
            <w:tcW w:w="3614" w:type="pct"/>
            <w:vAlign w:val="center"/>
          </w:tcPr>
          <w:p w14:paraId="7D2E3423">
            <w:pPr>
              <w:spacing w:line="240" w:lineRule="auto"/>
              <w:ind w:left="-72" w:leftChars="-30" w:right="-72" w:rightChars="-30" w:firstLine="0" w:firstLineChars="0"/>
              <w:jc w:val="left"/>
              <w:rPr>
                <w:color w:val="auto"/>
                <w:sz w:val="21"/>
                <w:szCs w:val="21"/>
                <w:highlight w:val="none"/>
              </w:rPr>
            </w:pPr>
            <w:r>
              <w:rPr>
                <w:color w:val="auto"/>
                <w:sz w:val="21"/>
                <w:szCs w:val="21"/>
                <w:highlight w:val="none"/>
              </w:rPr>
              <w:t>①采用配有焊接烟尘净化装置的机器进行焊接</w:t>
            </w:r>
          </w:p>
          <w:p w14:paraId="70931787">
            <w:pPr>
              <w:spacing w:line="240" w:lineRule="auto"/>
              <w:ind w:left="-72" w:leftChars="-30" w:right="-72" w:rightChars="-30" w:firstLine="0" w:firstLineChars="0"/>
              <w:jc w:val="left"/>
              <w:rPr>
                <w:color w:val="auto"/>
                <w:sz w:val="21"/>
                <w:szCs w:val="21"/>
                <w:highlight w:val="none"/>
              </w:rPr>
            </w:pPr>
            <w:r>
              <w:rPr>
                <w:color w:val="auto"/>
                <w:sz w:val="21"/>
                <w:szCs w:val="21"/>
                <w:highlight w:val="none"/>
              </w:rPr>
              <w:t>②</w:t>
            </w:r>
            <w:r>
              <w:rPr>
                <w:rFonts w:hint="eastAsia"/>
                <w:color w:val="auto"/>
                <w:sz w:val="21"/>
                <w:szCs w:val="21"/>
                <w:highlight w:val="none"/>
              </w:rPr>
              <w:t>喷漆废气通过</w:t>
            </w:r>
            <w:r>
              <w:rPr>
                <w:color w:val="auto"/>
                <w:sz w:val="21"/>
                <w:szCs w:val="21"/>
                <w:highlight w:val="none"/>
              </w:rPr>
              <w:t>鼓风机通风无组织排放</w:t>
            </w:r>
          </w:p>
        </w:tc>
        <w:tc>
          <w:tcPr>
            <w:tcW w:w="603" w:type="pct"/>
            <w:vAlign w:val="center"/>
          </w:tcPr>
          <w:p w14:paraId="55FA76C6">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w:t>
            </w:r>
          </w:p>
        </w:tc>
      </w:tr>
      <w:tr w14:paraId="47B8FE0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6" w:type="pct"/>
            <w:vMerge w:val="continue"/>
            <w:vAlign w:val="center"/>
          </w:tcPr>
          <w:p w14:paraId="40FF2D22">
            <w:pPr>
              <w:spacing w:line="240" w:lineRule="auto"/>
              <w:ind w:left="-72" w:leftChars="-30" w:right="-72" w:rightChars="-30" w:firstLine="0" w:firstLineChars="0"/>
              <w:jc w:val="center"/>
              <w:rPr>
                <w:color w:val="auto"/>
                <w:sz w:val="21"/>
                <w:szCs w:val="21"/>
                <w:highlight w:val="none"/>
              </w:rPr>
            </w:pPr>
          </w:p>
        </w:tc>
        <w:tc>
          <w:tcPr>
            <w:tcW w:w="237" w:type="pct"/>
            <w:vMerge w:val="restart"/>
            <w:vAlign w:val="center"/>
          </w:tcPr>
          <w:p w14:paraId="18733790">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废水</w:t>
            </w:r>
          </w:p>
        </w:tc>
        <w:tc>
          <w:tcPr>
            <w:tcW w:w="238" w:type="pct"/>
            <w:vAlign w:val="center"/>
          </w:tcPr>
          <w:p w14:paraId="17274A5C">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生活污水</w:t>
            </w:r>
          </w:p>
        </w:tc>
        <w:tc>
          <w:tcPr>
            <w:tcW w:w="3614" w:type="pct"/>
            <w:vAlign w:val="center"/>
          </w:tcPr>
          <w:p w14:paraId="595C63FE">
            <w:pPr>
              <w:spacing w:line="240" w:lineRule="auto"/>
              <w:ind w:left="-72" w:leftChars="-30" w:right="-72" w:rightChars="-30" w:firstLine="0" w:firstLineChars="0"/>
              <w:jc w:val="left"/>
              <w:rPr>
                <w:color w:val="auto"/>
                <w:sz w:val="21"/>
                <w:szCs w:val="21"/>
                <w:highlight w:val="none"/>
                <w:u w:val="single"/>
              </w:rPr>
            </w:pPr>
            <w:r>
              <w:rPr>
                <w:color w:val="auto"/>
                <w:sz w:val="21"/>
                <w:szCs w:val="21"/>
                <w:highlight w:val="none"/>
                <w:u w:val="single"/>
              </w:rPr>
              <w:t>①项目生活污水</w:t>
            </w:r>
            <w:r>
              <w:rPr>
                <w:rFonts w:hint="eastAsia"/>
                <w:color w:val="auto"/>
                <w:sz w:val="21"/>
                <w:szCs w:val="21"/>
                <w:highlight w:val="none"/>
                <w:u w:val="single"/>
              </w:rPr>
              <w:t>依托陆域</w:t>
            </w:r>
            <w:r>
              <w:rPr>
                <w:color w:val="auto"/>
                <w:sz w:val="21"/>
                <w:szCs w:val="21"/>
                <w:highlight w:val="none"/>
                <w:u w:val="single"/>
              </w:rPr>
              <w:t>生活污水处理一体化设备处理（处理规模300m</w:t>
            </w:r>
            <w:r>
              <w:rPr>
                <w:color w:val="auto"/>
                <w:sz w:val="21"/>
                <w:szCs w:val="21"/>
                <w:highlight w:val="none"/>
                <w:u w:val="single"/>
                <w:vertAlign w:val="superscript"/>
              </w:rPr>
              <w:t>3</w:t>
            </w:r>
            <w:r>
              <w:rPr>
                <w:color w:val="auto"/>
                <w:sz w:val="21"/>
                <w:szCs w:val="21"/>
                <w:highlight w:val="none"/>
                <w:u w:val="single"/>
              </w:rPr>
              <w:t>/d）</w:t>
            </w:r>
            <w:r>
              <w:rPr>
                <w:rFonts w:hint="eastAsia"/>
                <w:color w:val="auto"/>
                <w:sz w:val="21"/>
                <w:szCs w:val="21"/>
                <w:highlight w:val="none"/>
                <w:u w:val="single"/>
              </w:rPr>
              <w:t>后，进入配套的中水回用池（170m</w:t>
            </w:r>
            <w:r>
              <w:rPr>
                <w:rFonts w:hint="eastAsia"/>
                <w:color w:val="auto"/>
                <w:sz w:val="21"/>
                <w:szCs w:val="21"/>
                <w:highlight w:val="none"/>
                <w:u w:val="single"/>
                <w:vertAlign w:val="superscript"/>
              </w:rPr>
              <w:t>3</w:t>
            </w:r>
            <w:r>
              <w:rPr>
                <w:rFonts w:hint="eastAsia"/>
                <w:color w:val="auto"/>
                <w:sz w:val="21"/>
                <w:szCs w:val="21"/>
                <w:highlight w:val="none"/>
                <w:u w:val="single"/>
              </w:rPr>
              <w:t>）内储存</w:t>
            </w:r>
            <w:r>
              <w:rPr>
                <w:color w:val="auto"/>
                <w:sz w:val="21"/>
                <w:szCs w:val="21"/>
                <w:highlight w:val="none"/>
                <w:u w:val="single"/>
              </w:rPr>
              <w:t>。</w:t>
            </w:r>
            <w:r>
              <w:rPr>
                <w:rFonts w:hint="eastAsia"/>
                <w:color w:val="auto"/>
                <w:sz w:val="21"/>
                <w:szCs w:val="21"/>
                <w:highlight w:val="none"/>
                <w:u w:val="single"/>
              </w:rPr>
              <w:t>中水回用池内污水大部分</w:t>
            </w:r>
            <w:r>
              <w:rPr>
                <w:color w:val="auto"/>
                <w:sz w:val="21"/>
                <w:szCs w:val="21"/>
                <w:highlight w:val="none"/>
                <w:u w:val="single"/>
              </w:rPr>
              <w:t>回用于厂区绿化及降尘，</w:t>
            </w:r>
            <w:r>
              <w:rPr>
                <w:rFonts w:hint="eastAsia"/>
                <w:color w:val="auto"/>
                <w:sz w:val="21"/>
                <w:szCs w:val="21"/>
                <w:highlight w:val="none"/>
                <w:u w:val="single"/>
              </w:rPr>
              <w:t>少部分</w:t>
            </w:r>
            <w:r>
              <w:rPr>
                <w:color w:val="auto"/>
                <w:sz w:val="21"/>
                <w:szCs w:val="21"/>
                <w:highlight w:val="none"/>
                <w:u w:val="single"/>
              </w:rPr>
              <w:t>不能回用的由槽罐车运至大榄坪污水处理厂处理</w:t>
            </w:r>
            <w:r>
              <w:rPr>
                <w:rFonts w:hint="eastAsia"/>
                <w:color w:val="auto"/>
                <w:sz w:val="21"/>
                <w:szCs w:val="21"/>
                <w:highlight w:val="none"/>
                <w:u w:val="single"/>
              </w:rPr>
              <w:t>，不在项目区域排放。</w:t>
            </w:r>
          </w:p>
        </w:tc>
        <w:tc>
          <w:tcPr>
            <w:tcW w:w="603" w:type="pct"/>
            <w:vMerge w:val="restart"/>
            <w:vAlign w:val="center"/>
          </w:tcPr>
          <w:p w14:paraId="4874E66F">
            <w:pPr>
              <w:spacing w:line="240" w:lineRule="auto"/>
              <w:ind w:left="-72" w:leftChars="-30" w:right="-72" w:rightChars="-30" w:firstLine="0" w:firstLineChars="0"/>
              <w:jc w:val="center"/>
              <w:rPr>
                <w:color w:val="auto"/>
                <w:sz w:val="21"/>
                <w:szCs w:val="21"/>
                <w:highlight w:val="none"/>
                <w:u w:val="single"/>
              </w:rPr>
            </w:pPr>
            <w:r>
              <w:rPr>
                <w:color w:val="auto"/>
                <w:sz w:val="21"/>
                <w:szCs w:val="21"/>
                <w:highlight w:val="none"/>
                <w:u w:val="single"/>
              </w:rPr>
              <w:t>依托</w:t>
            </w:r>
          </w:p>
        </w:tc>
      </w:tr>
      <w:tr w14:paraId="61D78D5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6" w:type="pct"/>
            <w:vMerge w:val="continue"/>
            <w:vAlign w:val="center"/>
          </w:tcPr>
          <w:p w14:paraId="1EF613E2">
            <w:pPr>
              <w:spacing w:line="240" w:lineRule="auto"/>
              <w:ind w:left="-72" w:leftChars="-30" w:right="-72" w:rightChars="-30" w:firstLine="0" w:firstLineChars="0"/>
              <w:jc w:val="center"/>
              <w:rPr>
                <w:color w:val="auto"/>
                <w:sz w:val="21"/>
                <w:szCs w:val="21"/>
                <w:highlight w:val="none"/>
              </w:rPr>
            </w:pPr>
          </w:p>
        </w:tc>
        <w:tc>
          <w:tcPr>
            <w:tcW w:w="237" w:type="pct"/>
            <w:vMerge w:val="continue"/>
            <w:vAlign w:val="center"/>
          </w:tcPr>
          <w:p w14:paraId="61658790">
            <w:pPr>
              <w:spacing w:line="240" w:lineRule="auto"/>
              <w:ind w:left="-72" w:leftChars="-30" w:right="-72" w:rightChars="-30" w:firstLine="0" w:firstLineChars="0"/>
              <w:jc w:val="center"/>
              <w:rPr>
                <w:color w:val="auto"/>
                <w:sz w:val="21"/>
                <w:szCs w:val="21"/>
                <w:highlight w:val="none"/>
              </w:rPr>
            </w:pPr>
          </w:p>
        </w:tc>
        <w:tc>
          <w:tcPr>
            <w:tcW w:w="238" w:type="pct"/>
            <w:vAlign w:val="center"/>
          </w:tcPr>
          <w:p w14:paraId="0F0E7D93">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生产废水</w:t>
            </w:r>
          </w:p>
        </w:tc>
        <w:tc>
          <w:tcPr>
            <w:tcW w:w="3614" w:type="pct"/>
            <w:vAlign w:val="center"/>
          </w:tcPr>
          <w:p w14:paraId="39F43736">
            <w:pPr>
              <w:spacing w:line="240" w:lineRule="auto"/>
              <w:ind w:left="-72" w:leftChars="-30" w:right="-72" w:rightChars="-30" w:firstLine="0" w:firstLineChars="0"/>
              <w:jc w:val="left"/>
              <w:rPr>
                <w:color w:val="auto"/>
                <w:sz w:val="21"/>
                <w:szCs w:val="21"/>
                <w:highlight w:val="none"/>
                <w:u w:val="single"/>
              </w:rPr>
            </w:pPr>
            <w:r>
              <w:rPr>
                <w:color w:val="auto"/>
                <w:sz w:val="21"/>
                <w:szCs w:val="21"/>
                <w:highlight w:val="none"/>
                <w:u w:val="single"/>
              </w:rPr>
              <w:t>②浮船坞修理过程产生的含油废水进入厂区污水处理站的含油废水处理系统处理达到《污水综合排放标准》（GB8978-1996）三级标准后，经厂区污水管道排入</w:t>
            </w:r>
            <w:r>
              <w:rPr>
                <w:rFonts w:hint="eastAsia"/>
                <w:color w:val="auto"/>
                <w:sz w:val="21"/>
                <w:szCs w:val="21"/>
                <w:highlight w:val="none"/>
                <w:u w:val="single"/>
              </w:rPr>
              <w:t>生活污水处理设备配套的中水回用池（170m</w:t>
            </w:r>
            <w:r>
              <w:rPr>
                <w:rFonts w:hint="eastAsia"/>
                <w:color w:val="auto"/>
                <w:sz w:val="21"/>
                <w:szCs w:val="21"/>
                <w:highlight w:val="none"/>
                <w:u w:val="single"/>
                <w:vertAlign w:val="superscript"/>
              </w:rPr>
              <w:t>3</w:t>
            </w:r>
            <w:r>
              <w:rPr>
                <w:rFonts w:hint="eastAsia"/>
                <w:color w:val="auto"/>
                <w:sz w:val="21"/>
                <w:szCs w:val="21"/>
                <w:highlight w:val="none"/>
                <w:u w:val="single"/>
              </w:rPr>
              <w:t>）中储存</w:t>
            </w:r>
            <w:r>
              <w:rPr>
                <w:color w:val="auto"/>
                <w:sz w:val="21"/>
                <w:szCs w:val="21"/>
                <w:highlight w:val="none"/>
                <w:u w:val="single"/>
              </w:rPr>
              <w:t>。</w:t>
            </w:r>
            <w:r>
              <w:rPr>
                <w:rFonts w:hint="eastAsia"/>
                <w:color w:val="auto"/>
                <w:sz w:val="21"/>
                <w:szCs w:val="21"/>
                <w:highlight w:val="none"/>
                <w:u w:val="single"/>
              </w:rPr>
              <w:t>中水回用池内污水大部分</w:t>
            </w:r>
            <w:r>
              <w:rPr>
                <w:color w:val="auto"/>
                <w:sz w:val="21"/>
                <w:szCs w:val="21"/>
                <w:highlight w:val="none"/>
                <w:u w:val="single"/>
              </w:rPr>
              <w:t>回用于厂区绿化及降尘，</w:t>
            </w:r>
            <w:r>
              <w:rPr>
                <w:rFonts w:hint="eastAsia"/>
                <w:color w:val="auto"/>
                <w:sz w:val="21"/>
                <w:szCs w:val="21"/>
                <w:highlight w:val="none"/>
                <w:u w:val="single"/>
              </w:rPr>
              <w:t>少部分</w:t>
            </w:r>
            <w:r>
              <w:rPr>
                <w:color w:val="auto"/>
                <w:sz w:val="21"/>
                <w:szCs w:val="21"/>
                <w:highlight w:val="none"/>
                <w:u w:val="single"/>
              </w:rPr>
              <w:t>不能回用的由槽罐车运至大榄坪污水处理厂处理</w:t>
            </w:r>
            <w:r>
              <w:rPr>
                <w:rFonts w:hint="eastAsia"/>
                <w:color w:val="auto"/>
                <w:sz w:val="21"/>
                <w:szCs w:val="21"/>
                <w:highlight w:val="none"/>
                <w:u w:val="single"/>
              </w:rPr>
              <w:t>，不在项目区域排放。</w:t>
            </w:r>
          </w:p>
        </w:tc>
        <w:tc>
          <w:tcPr>
            <w:tcW w:w="603" w:type="pct"/>
            <w:vMerge w:val="continue"/>
            <w:vAlign w:val="center"/>
          </w:tcPr>
          <w:p w14:paraId="68F6DF0B">
            <w:pPr>
              <w:spacing w:line="240" w:lineRule="auto"/>
              <w:ind w:left="-72" w:leftChars="-30" w:right="-72" w:rightChars="-30" w:firstLine="0" w:firstLineChars="0"/>
              <w:jc w:val="center"/>
              <w:rPr>
                <w:color w:val="auto"/>
                <w:sz w:val="21"/>
                <w:szCs w:val="21"/>
                <w:highlight w:val="none"/>
                <w:u w:val="single"/>
              </w:rPr>
            </w:pPr>
          </w:p>
        </w:tc>
      </w:tr>
      <w:tr w14:paraId="1F90843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6" w:type="pct"/>
            <w:vMerge w:val="continue"/>
            <w:vAlign w:val="center"/>
          </w:tcPr>
          <w:p w14:paraId="25558B4F">
            <w:pPr>
              <w:spacing w:line="240" w:lineRule="auto"/>
              <w:ind w:left="-72" w:leftChars="-30" w:right="-72" w:rightChars="-30" w:firstLine="0" w:firstLineChars="0"/>
              <w:jc w:val="center"/>
              <w:rPr>
                <w:color w:val="auto"/>
                <w:sz w:val="21"/>
                <w:szCs w:val="21"/>
                <w:highlight w:val="none"/>
              </w:rPr>
            </w:pPr>
          </w:p>
        </w:tc>
        <w:tc>
          <w:tcPr>
            <w:tcW w:w="237" w:type="pct"/>
            <w:vMerge w:val="continue"/>
            <w:vAlign w:val="center"/>
          </w:tcPr>
          <w:p w14:paraId="5DCE2D97">
            <w:pPr>
              <w:spacing w:line="240" w:lineRule="auto"/>
              <w:ind w:left="-72" w:leftChars="-30" w:right="-72" w:rightChars="-30" w:firstLine="0" w:firstLineChars="0"/>
              <w:jc w:val="center"/>
              <w:rPr>
                <w:color w:val="auto"/>
                <w:sz w:val="21"/>
                <w:szCs w:val="21"/>
                <w:highlight w:val="none"/>
              </w:rPr>
            </w:pPr>
          </w:p>
        </w:tc>
        <w:tc>
          <w:tcPr>
            <w:tcW w:w="238" w:type="pct"/>
            <w:vAlign w:val="center"/>
          </w:tcPr>
          <w:p w14:paraId="49B7D62B">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初期雨水</w:t>
            </w:r>
          </w:p>
        </w:tc>
        <w:tc>
          <w:tcPr>
            <w:tcW w:w="3614" w:type="pct"/>
            <w:vAlign w:val="center"/>
          </w:tcPr>
          <w:p w14:paraId="2CA00112">
            <w:pPr>
              <w:spacing w:line="240" w:lineRule="auto"/>
              <w:ind w:left="-72" w:leftChars="-30" w:right="-72" w:rightChars="-30" w:firstLine="0" w:firstLineChars="0"/>
              <w:jc w:val="left"/>
              <w:rPr>
                <w:color w:val="auto"/>
                <w:sz w:val="21"/>
                <w:szCs w:val="21"/>
                <w:highlight w:val="none"/>
                <w:u w:val="single"/>
              </w:rPr>
            </w:pPr>
            <w:r>
              <w:rPr>
                <w:color w:val="auto"/>
                <w:sz w:val="21"/>
                <w:szCs w:val="21"/>
                <w:highlight w:val="none"/>
                <w:u w:val="single"/>
              </w:rPr>
              <w:t>③</w:t>
            </w:r>
            <w:r>
              <w:rPr>
                <w:rFonts w:hint="eastAsia"/>
                <w:color w:val="auto"/>
                <w:sz w:val="21"/>
                <w:szCs w:val="21"/>
                <w:highlight w:val="none"/>
                <w:u w:val="single"/>
              </w:rPr>
              <w:t>浮船坞上配置一个初期雨水收集池（113.85m</w:t>
            </w:r>
            <w:r>
              <w:rPr>
                <w:rFonts w:hint="eastAsia"/>
                <w:color w:val="auto"/>
                <w:sz w:val="21"/>
                <w:szCs w:val="21"/>
                <w:highlight w:val="none"/>
                <w:u w:val="single"/>
                <w:vertAlign w:val="superscript"/>
              </w:rPr>
              <w:t>3</w:t>
            </w:r>
            <w:r>
              <w:rPr>
                <w:rFonts w:hint="eastAsia"/>
                <w:color w:val="auto"/>
                <w:sz w:val="21"/>
                <w:szCs w:val="21"/>
                <w:highlight w:val="none"/>
                <w:u w:val="single"/>
              </w:rPr>
              <w:t>），船坞初期雨水</w:t>
            </w:r>
            <w:r>
              <w:rPr>
                <w:color w:val="auto"/>
                <w:sz w:val="21"/>
                <w:szCs w:val="21"/>
                <w:highlight w:val="none"/>
                <w:u w:val="single"/>
              </w:rPr>
              <w:t>经收集后，</w:t>
            </w:r>
            <w:r>
              <w:rPr>
                <w:rFonts w:hint="eastAsia"/>
                <w:color w:val="auto"/>
                <w:sz w:val="21"/>
                <w:szCs w:val="21"/>
                <w:highlight w:val="none"/>
                <w:u w:val="single"/>
              </w:rPr>
              <w:t>采用罐车转运至陆域</w:t>
            </w:r>
            <w:r>
              <w:rPr>
                <w:color w:val="auto"/>
                <w:sz w:val="21"/>
                <w:szCs w:val="21"/>
                <w:highlight w:val="none"/>
                <w:u w:val="single"/>
              </w:rPr>
              <w:t>生活污水处理一体化设备处理（处理规模300m</w:t>
            </w:r>
            <w:r>
              <w:rPr>
                <w:color w:val="auto"/>
                <w:sz w:val="21"/>
                <w:szCs w:val="21"/>
                <w:highlight w:val="none"/>
                <w:u w:val="single"/>
                <w:vertAlign w:val="superscript"/>
              </w:rPr>
              <w:t>3</w:t>
            </w:r>
            <w:r>
              <w:rPr>
                <w:color w:val="auto"/>
                <w:sz w:val="21"/>
                <w:szCs w:val="21"/>
                <w:highlight w:val="none"/>
                <w:u w:val="single"/>
              </w:rPr>
              <w:t>/d）</w:t>
            </w:r>
            <w:r>
              <w:rPr>
                <w:rFonts w:hint="eastAsia"/>
                <w:color w:val="auto"/>
                <w:sz w:val="21"/>
                <w:szCs w:val="21"/>
                <w:highlight w:val="none"/>
                <w:u w:val="single"/>
              </w:rPr>
              <w:t>后，进入配套的中水回用池（170m</w:t>
            </w:r>
            <w:r>
              <w:rPr>
                <w:rFonts w:hint="eastAsia"/>
                <w:color w:val="auto"/>
                <w:sz w:val="21"/>
                <w:szCs w:val="21"/>
                <w:highlight w:val="none"/>
                <w:u w:val="single"/>
                <w:vertAlign w:val="superscript"/>
              </w:rPr>
              <w:t>3</w:t>
            </w:r>
            <w:r>
              <w:rPr>
                <w:rFonts w:hint="eastAsia"/>
                <w:color w:val="auto"/>
                <w:sz w:val="21"/>
                <w:szCs w:val="21"/>
                <w:highlight w:val="none"/>
                <w:u w:val="single"/>
              </w:rPr>
              <w:t>）内储存</w:t>
            </w:r>
            <w:r>
              <w:rPr>
                <w:color w:val="auto"/>
                <w:sz w:val="21"/>
                <w:szCs w:val="21"/>
                <w:highlight w:val="none"/>
                <w:u w:val="single"/>
              </w:rPr>
              <w:t>。</w:t>
            </w:r>
          </w:p>
          <w:p w14:paraId="1155D407">
            <w:pPr>
              <w:spacing w:line="240" w:lineRule="auto"/>
              <w:ind w:left="-72" w:leftChars="-30" w:right="-72" w:rightChars="-30" w:firstLine="0" w:firstLineChars="0"/>
              <w:jc w:val="left"/>
              <w:rPr>
                <w:color w:val="auto"/>
                <w:sz w:val="21"/>
                <w:szCs w:val="21"/>
                <w:highlight w:val="none"/>
                <w:u w:val="single"/>
              </w:rPr>
            </w:pPr>
            <w:r>
              <w:rPr>
                <w:rFonts w:hint="eastAsia"/>
                <w:color w:val="auto"/>
                <w:sz w:val="21"/>
                <w:szCs w:val="21"/>
                <w:highlight w:val="none"/>
                <w:u w:val="single"/>
              </w:rPr>
              <w:t>中水回用池内污水大部分</w:t>
            </w:r>
            <w:r>
              <w:rPr>
                <w:color w:val="auto"/>
                <w:sz w:val="21"/>
                <w:szCs w:val="21"/>
                <w:highlight w:val="none"/>
                <w:u w:val="single"/>
              </w:rPr>
              <w:t>回用于厂区绿化及降尘，</w:t>
            </w:r>
            <w:r>
              <w:rPr>
                <w:rFonts w:hint="eastAsia"/>
                <w:color w:val="auto"/>
                <w:sz w:val="21"/>
                <w:szCs w:val="21"/>
                <w:highlight w:val="none"/>
                <w:u w:val="single"/>
              </w:rPr>
              <w:t>少部分</w:t>
            </w:r>
            <w:r>
              <w:rPr>
                <w:color w:val="auto"/>
                <w:sz w:val="21"/>
                <w:szCs w:val="21"/>
                <w:highlight w:val="none"/>
                <w:u w:val="single"/>
              </w:rPr>
              <w:t>不能回用的由槽罐车运至大榄坪污水处理厂处理</w:t>
            </w:r>
            <w:r>
              <w:rPr>
                <w:rFonts w:hint="eastAsia"/>
                <w:color w:val="auto"/>
                <w:sz w:val="21"/>
                <w:szCs w:val="21"/>
                <w:highlight w:val="none"/>
                <w:u w:val="single"/>
              </w:rPr>
              <w:t>，不在项目区域排放。</w:t>
            </w:r>
          </w:p>
        </w:tc>
        <w:tc>
          <w:tcPr>
            <w:tcW w:w="603" w:type="pct"/>
            <w:vAlign w:val="center"/>
          </w:tcPr>
          <w:p w14:paraId="24B3C4C5">
            <w:pPr>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浮船坞配套新增1个初期雨水池</w:t>
            </w:r>
          </w:p>
        </w:tc>
      </w:tr>
      <w:tr w14:paraId="68278DD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6" w:type="pct"/>
            <w:vMerge w:val="continue"/>
            <w:vAlign w:val="center"/>
          </w:tcPr>
          <w:p w14:paraId="062C48B6">
            <w:pPr>
              <w:spacing w:line="240" w:lineRule="auto"/>
              <w:ind w:left="-72" w:leftChars="-30" w:right="-72" w:rightChars="-30" w:firstLine="0" w:firstLineChars="0"/>
              <w:jc w:val="center"/>
              <w:rPr>
                <w:color w:val="auto"/>
                <w:sz w:val="21"/>
                <w:szCs w:val="21"/>
                <w:highlight w:val="none"/>
              </w:rPr>
            </w:pPr>
          </w:p>
        </w:tc>
        <w:tc>
          <w:tcPr>
            <w:tcW w:w="475" w:type="pct"/>
            <w:gridSpan w:val="2"/>
            <w:vAlign w:val="center"/>
          </w:tcPr>
          <w:p w14:paraId="6BEE19B9">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固废</w:t>
            </w:r>
          </w:p>
        </w:tc>
        <w:tc>
          <w:tcPr>
            <w:tcW w:w="3614" w:type="pct"/>
            <w:vAlign w:val="center"/>
          </w:tcPr>
          <w:p w14:paraId="285DC379">
            <w:pPr>
              <w:spacing w:line="240" w:lineRule="auto"/>
              <w:ind w:left="-72" w:leftChars="-30" w:right="-72" w:rightChars="-30" w:firstLine="0" w:firstLineChars="0"/>
              <w:jc w:val="left"/>
              <w:rPr>
                <w:color w:val="auto"/>
                <w:sz w:val="21"/>
                <w:szCs w:val="21"/>
                <w:highlight w:val="none"/>
              </w:rPr>
            </w:pPr>
            <w:r>
              <w:rPr>
                <w:color w:val="auto"/>
                <w:sz w:val="21"/>
                <w:szCs w:val="21"/>
                <w:highlight w:val="none"/>
              </w:rPr>
              <w:t>①一般固体废物包括废焊料、焊渣、</w:t>
            </w:r>
            <w:r>
              <w:rPr>
                <w:rFonts w:hint="eastAsia"/>
                <w:color w:val="auto"/>
                <w:sz w:val="21"/>
                <w:szCs w:val="21"/>
                <w:highlight w:val="none"/>
              </w:rPr>
              <w:t>切割废料、废铜矿砂及铁锈、初期雨水沉渣</w:t>
            </w:r>
            <w:r>
              <w:rPr>
                <w:color w:val="auto"/>
                <w:sz w:val="21"/>
                <w:szCs w:val="21"/>
                <w:highlight w:val="none"/>
              </w:rPr>
              <w:t>等，收集到</w:t>
            </w:r>
            <w:r>
              <w:rPr>
                <w:rFonts w:hint="eastAsia"/>
                <w:color w:val="auto"/>
                <w:sz w:val="21"/>
                <w:szCs w:val="21"/>
                <w:highlight w:val="none"/>
              </w:rPr>
              <w:t>厂区现有</w:t>
            </w:r>
            <w:r>
              <w:rPr>
                <w:color w:val="auto"/>
                <w:sz w:val="21"/>
                <w:szCs w:val="21"/>
                <w:highlight w:val="none"/>
              </w:rPr>
              <w:t>一般固废间暂存，能回收的回收利用，不能回收利用的由中标公司（最近一次委托处理单位为钦州市鼎鑫再生资源回收利用有限公司）外运处理；</w:t>
            </w:r>
          </w:p>
          <w:p w14:paraId="3020B6C6">
            <w:pPr>
              <w:spacing w:line="240" w:lineRule="auto"/>
              <w:ind w:left="-72" w:leftChars="-30" w:right="-72" w:rightChars="-30" w:firstLine="0" w:firstLineChars="0"/>
              <w:jc w:val="left"/>
              <w:rPr>
                <w:color w:val="auto"/>
                <w:sz w:val="21"/>
                <w:szCs w:val="21"/>
                <w:highlight w:val="none"/>
              </w:rPr>
            </w:pPr>
            <w:r>
              <w:rPr>
                <w:color w:val="auto"/>
                <w:sz w:val="21"/>
                <w:szCs w:val="21"/>
                <w:highlight w:val="none"/>
              </w:rPr>
              <w:t>②危险废物包括</w:t>
            </w:r>
            <w:r>
              <w:rPr>
                <w:rFonts w:hint="eastAsia"/>
                <w:color w:val="auto"/>
                <w:sz w:val="21"/>
                <w:szCs w:val="21"/>
                <w:highlight w:val="none"/>
              </w:rPr>
              <w:t>船舶废油、漆渣、废油漆桶及稀释剂包装物、废乳化液、废油污泥等</w:t>
            </w:r>
            <w:r>
              <w:rPr>
                <w:color w:val="auto"/>
                <w:sz w:val="21"/>
                <w:szCs w:val="21"/>
                <w:highlight w:val="none"/>
              </w:rPr>
              <w:t>，在</w:t>
            </w:r>
            <w:r>
              <w:rPr>
                <w:rFonts w:hint="eastAsia"/>
                <w:color w:val="auto"/>
                <w:sz w:val="21"/>
                <w:szCs w:val="21"/>
                <w:highlight w:val="none"/>
              </w:rPr>
              <w:t>厂区现有</w:t>
            </w:r>
            <w:r>
              <w:rPr>
                <w:color w:val="auto"/>
                <w:sz w:val="21"/>
                <w:szCs w:val="21"/>
                <w:highlight w:val="none"/>
              </w:rPr>
              <w:t>危废间</w:t>
            </w:r>
            <w:r>
              <w:rPr>
                <w:rFonts w:hint="eastAsia"/>
                <w:color w:val="auto"/>
                <w:sz w:val="21"/>
                <w:szCs w:val="21"/>
                <w:highlight w:val="none"/>
              </w:rPr>
              <w:t>内</w:t>
            </w:r>
            <w:r>
              <w:rPr>
                <w:color w:val="auto"/>
                <w:sz w:val="21"/>
                <w:szCs w:val="21"/>
                <w:highlight w:val="none"/>
              </w:rPr>
              <w:t>分类暂存，定期由中标单位（</w:t>
            </w:r>
            <w:r>
              <w:rPr>
                <w:rFonts w:hint="eastAsia"/>
                <w:color w:val="auto"/>
                <w:sz w:val="21"/>
                <w:szCs w:val="21"/>
                <w:highlight w:val="none"/>
              </w:rPr>
              <w:t>最近一次委托处理单位为广西深投环保科技有限公司，目前正在签订新的委托合同</w:t>
            </w:r>
            <w:r>
              <w:rPr>
                <w:color w:val="auto"/>
                <w:sz w:val="21"/>
                <w:szCs w:val="21"/>
                <w:highlight w:val="none"/>
              </w:rPr>
              <w:t>）外运处理；</w:t>
            </w:r>
          </w:p>
          <w:p w14:paraId="72109E25">
            <w:pPr>
              <w:spacing w:line="240" w:lineRule="auto"/>
              <w:ind w:left="-72" w:leftChars="-30" w:right="-72" w:rightChars="-30" w:firstLine="0" w:firstLineChars="0"/>
              <w:jc w:val="left"/>
              <w:rPr>
                <w:color w:val="auto"/>
                <w:sz w:val="21"/>
                <w:szCs w:val="21"/>
                <w:highlight w:val="none"/>
              </w:rPr>
            </w:pPr>
            <w:r>
              <w:rPr>
                <w:color w:val="auto"/>
                <w:sz w:val="21"/>
                <w:szCs w:val="21"/>
                <w:highlight w:val="none"/>
              </w:rPr>
              <w:t>③职工生活垃圾收集后由市政环卫部门统一收集处理</w:t>
            </w:r>
          </w:p>
        </w:tc>
        <w:tc>
          <w:tcPr>
            <w:tcW w:w="603" w:type="pct"/>
            <w:vAlign w:val="center"/>
          </w:tcPr>
          <w:p w14:paraId="028FF7F1">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依托</w:t>
            </w:r>
          </w:p>
        </w:tc>
      </w:tr>
      <w:bookmarkEnd w:id="102"/>
    </w:tbl>
    <w:p w14:paraId="5078B71D">
      <w:pPr>
        <w:ind w:firstLine="480"/>
        <w:rPr>
          <w:color w:val="auto"/>
          <w:highlight w:val="none"/>
        </w:rPr>
      </w:pPr>
    </w:p>
    <w:p w14:paraId="4215ADC0">
      <w:pPr>
        <w:pStyle w:val="7"/>
        <w:numPr>
          <w:ilvl w:val="2"/>
          <w:numId w:val="9"/>
        </w:numPr>
        <w:rPr>
          <w:color w:val="auto"/>
          <w:sz w:val="28"/>
          <w:highlight w:val="none"/>
        </w:rPr>
      </w:pPr>
      <w:r>
        <w:rPr>
          <w:rFonts w:hint="eastAsia"/>
          <w:color w:val="auto"/>
          <w:sz w:val="28"/>
          <w:highlight w:val="none"/>
        </w:rPr>
        <w:t>主体</w:t>
      </w:r>
      <w:r>
        <w:rPr>
          <w:color w:val="auto"/>
          <w:sz w:val="28"/>
          <w:highlight w:val="none"/>
        </w:rPr>
        <w:t>工艺</w:t>
      </w:r>
    </w:p>
    <w:p w14:paraId="54B76CE6">
      <w:pPr>
        <w:pStyle w:val="533"/>
        <w:numPr>
          <w:ilvl w:val="3"/>
          <w:numId w:val="9"/>
        </w:numPr>
        <w:rPr>
          <w:color w:val="auto"/>
          <w:szCs w:val="24"/>
          <w:highlight w:val="none"/>
        </w:rPr>
      </w:pPr>
      <w:r>
        <w:rPr>
          <w:color w:val="auto"/>
          <w:szCs w:val="24"/>
          <w:highlight w:val="none"/>
        </w:rPr>
        <w:t>浮船坞</w:t>
      </w:r>
    </w:p>
    <w:p w14:paraId="1BD99EB4">
      <w:pPr>
        <w:ind w:right="-20" w:firstLine="482"/>
        <w:rPr>
          <w:b/>
          <w:bCs/>
          <w:color w:val="auto"/>
          <w:szCs w:val="28"/>
          <w:highlight w:val="none"/>
        </w:rPr>
      </w:pPr>
      <w:r>
        <w:rPr>
          <w:b/>
          <w:bCs/>
          <w:color w:val="auto"/>
          <w:szCs w:val="28"/>
          <w:highlight w:val="none"/>
        </w:rPr>
        <w:t>（1）承担的任务及产品</w:t>
      </w:r>
    </w:p>
    <w:p w14:paraId="06AA2F7E">
      <w:pPr>
        <w:ind w:right="-20" w:firstLine="480"/>
        <w:rPr>
          <w:color w:val="auto"/>
          <w:szCs w:val="28"/>
          <w:highlight w:val="none"/>
          <w:u w:val="single"/>
        </w:rPr>
      </w:pPr>
      <w:r>
        <w:rPr>
          <w:rFonts w:hint="eastAsia"/>
          <w:color w:val="auto"/>
          <w:szCs w:val="28"/>
          <w:highlight w:val="none"/>
          <w:u w:val="single"/>
        </w:rPr>
        <w:t>项目建成后，</w:t>
      </w:r>
      <w:r>
        <w:rPr>
          <w:color w:val="auto"/>
          <w:szCs w:val="28"/>
          <w:highlight w:val="none"/>
          <w:u w:val="single"/>
        </w:rPr>
        <w:t>浮船坞年修理10万吨级以下各型船舶及海洋工程产品90艘，</w:t>
      </w:r>
      <w:r>
        <w:rPr>
          <w:rFonts w:hint="eastAsia"/>
          <w:color w:val="auto"/>
          <w:szCs w:val="28"/>
          <w:highlight w:val="none"/>
          <w:u w:val="single"/>
        </w:rPr>
        <w:t>修理各类散货船、油船、集装箱船及军舰等，</w:t>
      </w:r>
      <w:r>
        <w:rPr>
          <w:color w:val="auto"/>
          <w:szCs w:val="28"/>
          <w:highlight w:val="none"/>
          <w:u w:val="single"/>
        </w:rPr>
        <w:t>修理的代表船型如下：</w:t>
      </w:r>
    </w:p>
    <w:p w14:paraId="49ECAEEB">
      <w:pPr>
        <w:pStyle w:val="38"/>
        <w:spacing w:after="0" w:line="240" w:lineRule="auto"/>
        <w:ind w:firstLine="0" w:firstLineChars="0"/>
        <w:jc w:val="center"/>
        <w:rPr>
          <w:b/>
          <w:color w:val="auto"/>
          <w:sz w:val="21"/>
          <w:szCs w:val="21"/>
          <w:highlight w:val="none"/>
          <w:u w:val="single"/>
        </w:rPr>
      </w:pPr>
      <w:r>
        <w:rPr>
          <w:b/>
          <w:color w:val="auto"/>
          <w:sz w:val="21"/>
          <w:szCs w:val="21"/>
          <w:highlight w:val="none"/>
          <w:u w:val="single"/>
        </w:rPr>
        <w:t>表2.2-2修理的代表船型表</w:t>
      </w:r>
    </w:p>
    <w:tbl>
      <w:tblPr>
        <w:tblStyle w:val="155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17"/>
        <w:gridCol w:w="1276"/>
        <w:gridCol w:w="853"/>
        <w:gridCol w:w="1235"/>
        <w:gridCol w:w="1707"/>
        <w:gridCol w:w="1698"/>
      </w:tblGrid>
      <w:tr w14:paraId="6AB8D8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55" w:type="pct"/>
            <w:tcBorders>
              <w:tl2br w:val="nil"/>
              <w:tr2bl w:val="nil"/>
            </w:tcBorders>
          </w:tcPr>
          <w:p w14:paraId="17FF456A">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船型</w:t>
            </w:r>
          </w:p>
        </w:tc>
        <w:tc>
          <w:tcPr>
            <w:tcW w:w="687" w:type="pct"/>
            <w:tcBorders>
              <w:tl2br w:val="nil"/>
              <w:tr2bl w:val="nil"/>
            </w:tcBorders>
          </w:tcPr>
          <w:p w14:paraId="3716B765">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总长</w:t>
            </w:r>
          </w:p>
        </w:tc>
        <w:tc>
          <w:tcPr>
            <w:tcW w:w="459" w:type="pct"/>
            <w:tcBorders>
              <w:tl2br w:val="nil"/>
              <w:tr2bl w:val="nil"/>
            </w:tcBorders>
          </w:tcPr>
          <w:p w14:paraId="7D8666E5">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型宽</w:t>
            </w:r>
          </w:p>
        </w:tc>
        <w:tc>
          <w:tcPr>
            <w:tcW w:w="665" w:type="pct"/>
            <w:tcBorders>
              <w:tl2br w:val="nil"/>
              <w:tr2bl w:val="nil"/>
            </w:tcBorders>
          </w:tcPr>
          <w:p w14:paraId="28264ACA">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型深</w:t>
            </w:r>
          </w:p>
        </w:tc>
        <w:tc>
          <w:tcPr>
            <w:tcW w:w="919" w:type="pct"/>
            <w:tcBorders>
              <w:tl2br w:val="nil"/>
              <w:tr2bl w:val="nil"/>
            </w:tcBorders>
          </w:tcPr>
          <w:p w14:paraId="600FFAED">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进坞吃水</w:t>
            </w:r>
          </w:p>
        </w:tc>
        <w:tc>
          <w:tcPr>
            <w:tcW w:w="914" w:type="pct"/>
            <w:tcBorders>
              <w:tl2br w:val="nil"/>
              <w:tr2bl w:val="nil"/>
            </w:tcBorders>
            <w:vAlign w:val="center"/>
          </w:tcPr>
          <w:p w14:paraId="601A443E">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备注</w:t>
            </w:r>
          </w:p>
        </w:tc>
      </w:tr>
      <w:tr w14:paraId="02554D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55" w:type="pct"/>
            <w:tcBorders>
              <w:tl2br w:val="nil"/>
              <w:tr2bl w:val="nil"/>
            </w:tcBorders>
            <w:vAlign w:val="center"/>
          </w:tcPr>
          <w:p w14:paraId="506278AE">
            <w:pPr>
              <w:spacing w:line="240" w:lineRule="auto"/>
              <w:ind w:firstLine="0" w:firstLineChars="0"/>
              <w:jc w:val="center"/>
              <w:rPr>
                <w:color w:val="auto"/>
                <w:sz w:val="21"/>
                <w:szCs w:val="21"/>
                <w:highlight w:val="none"/>
                <w:u w:val="single"/>
              </w:rPr>
            </w:pPr>
            <w:r>
              <w:rPr>
                <w:color w:val="auto"/>
                <w:sz w:val="21"/>
                <w:szCs w:val="21"/>
                <w:highlight w:val="none"/>
                <w:u w:val="single"/>
              </w:rPr>
              <w:t>8.5万吨散货船</w:t>
            </w:r>
          </w:p>
        </w:tc>
        <w:tc>
          <w:tcPr>
            <w:tcW w:w="687" w:type="pct"/>
            <w:tcBorders>
              <w:tl2br w:val="nil"/>
              <w:tr2bl w:val="nil"/>
            </w:tcBorders>
            <w:vAlign w:val="center"/>
          </w:tcPr>
          <w:p w14:paraId="6CBC923C">
            <w:pPr>
              <w:spacing w:line="240" w:lineRule="auto"/>
              <w:ind w:firstLine="0" w:firstLineChars="0"/>
              <w:jc w:val="center"/>
              <w:rPr>
                <w:color w:val="auto"/>
                <w:sz w:val="21"/>
                <w:szCs w:val="21"/>
                <w:highlight w:val="none"/>
                <w:u w:val="single"/>
              </w:rPr>
            </w:pPr>
            <w:r>
              <w:rPr>
                <w:color w:val="auto"/>
                <w:sz w:val="21"/>
                <w:szCs w:val="21"/>
                <w:highlight w:val="none"/>
                <w:u w:val="single"/>
              </w:rPr>
              <w:t>230</w:t>
            </w:r>
          </w:p>
        </w:tc>
        <w:tc>
          <w:tcPr>
            <w:tcW w:w="459" w:type="pct"/>
            <w:tcBorders>
              <w:tl2br w:val="nil"/>
              <w:tr2bl w:val="nil"/>
            </w:tcBorders>
            <w:vAlign w:val="center"/>
          </w:tcPr>
          <w:p w14:paraId="1942FEA3">
            <w:pPr>
              <w:spacing w:line="240" w:lineRule="auto"/>
              <w:ind w:firstLine="0" w:firstLineChars="0"/>
              <w:jc w:val="center"/>
              <w:rPr>
                <w:color w:val="auto"/>
                <w:sz w:val="21"/>
                <w:szCs w:val="21"/>
                <w:highlight w:val="none"/>
                <w:u w:val="single"/>
              </w:rPr>
            </w:pPr>
            <w:r>
              <w:rPr>
                <w:color w:val="auto"/>
                <w:sz w:val="21"/>
                <w:szCs w:val="21"/>
                <w:highlight w:val="none"/>
                <w:u w:val="single"/>
              </w:rPr>
              <w:t>36.0</w:t>
            </w:r>
          </w:p>
        </w:tc>
        <w:tc>
          <w:tcPr>
            <w:tcW w:w="665" w:type="pct"/>
            <w:tcBorders>
              <w:tl2br w:val="nil"/>
              <w:tr2bl w:val="nil"/>
            </w:tcBorders>
            <w:vAlign w:val="center"/>
          </w:tcPr>
          <w:p w14:paraId="3A2F69FD">
            <w:pPr>
              <w:spacing w:line="240" w:lineRule="auto"/>
              <w:ind w:firstLine="0" w:firstLineChars="0"/>
              <w:jc w:val="center"/>
              <w:rPr>
                <w:color w:val="auto"/>
                <w:sz w:val="21"/>
                <w:szCs w:val="21"/>
                <w:highlight w:val="none"/>
                <w:u w:val="single"/>
              </w:rPr>
            </w:pPr>
            <w:r>
              <w:rPr>
                <w:color w:val="auto"/>
                <w:sz w:val="21"/>
                <w:szCs w:val="21"/>
                <w:highlight w:val="none"/>
                <w:u w:val="single"/>
              </w:rPr>
              <w:t>20.3</w:t>
            </w:r>
          </w:p>
        </w:tc>
        <w:tc>
          <w:tcPr>
            <w:tcW w:w="919" w:type="pct"/>
            <w:tcBorders>
              <w:tl2br w:val="nil"/>
              <w:tr2bl w:val="nil"/>
            </w:tcBorders>
            <w:vAlign w:val="center"/>
          </w:tcPr>
          <w:p w14:paraId="4801E048">
            <w:pPr>
              <w:spacing w:line="240" w:lineRule="auto"/>
              <w:ind w:firstLine="0" w:firstLineChars="0"/>
              <w:jc w:val="center"/>
              <w:rPr>
                <w:color w:val="auto"/>
                <w:sz w:val="21"/>
                <w:szCs w:val="21"/>
                <w:highlight w:val="none"/>
                <w:u w:val="single"/>
              </w:rPr>
            </w:pPr>
            <w:r>
              <w:rPr>
                <w:color w:val="auto"/>
                <w:sz w:val="21"/>
                <w:szCs w:val="21"/>
                <w:highlight w:val="none"/>
                <w:u w:val="single"/>
              </w:rPr>
              <w:t>5.5</w:t>
            </w:r>
          </w:p>
        </w:tc>
        <w:tc>
          <w:tcPr>
            <w:tcW w:w="914" w:type="pct"/>
            <w:vMerge w:val="restart"/>
            <w:tcBorders>
              <w:tl2br w:val="nil"/>
              <w:tr2bl w:val="nil"/>
            </w:tcBorders>
            <w:vAlign w:val="center"/>
          </w:tcPr>
          <w:p w14:paraId="0B060E0A">
            <w:pPr>
              <w:spacing w:line="240" w:lineRule="auto"/>
              <w:ind w:firstLine="0" w:firstLineChars="0"/>
              <w:jc w:val="center"/>
              <w:rPr>
                <w:color w:val="auto"/>
                <w:sz w:val="21"/>
                <w:szCs w:val="21"/>
                <w:highlight w:val="none"/>
                <w:u w:val="single"/>
              </w:rPr>
            </w:pPr>
            <w:r>
              <w:rPr>
                <w:color w:val="auto"/>
                <w:sz w:val="21"/>
                <w:szCs w:val="21"/>
                <w:highlight w:val="none"/>
                <w:u w:val="single"/>
              </w:rPr>
              <w:t>设计船型</w:t>
            </w:r>
          </w:p>
        </w:tc>
      </w:tr>
      <w:tr w14:paraId="56A268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55" w:type="pct"/>
            <w:tcBorders>
              <w:tl2br w:val="nil"/>
              <w:tr2bl w:val="nil"/>
            </w:tcBorders>
            <w:vAlign w:val="center"/>
          </w:tcPr>
          <w:p w14:paraId="1D9D6071">
            <w:pPr>
              <w:spacing w:line="240" w:lineRule="auto"/>
              <w:ind w:firstLine="0" w:firstLineChars="0"/>
              <w:jc w:val="center"/>
              <w:rPr>
                <w:color w:val="auto"/>
                <w:sz w:val="21"/>
                <w:szCs w:val="21"/>
                <w:highlight w:val="none"/>
                <w:u w:val="single"/>
              </w:rPr>
            </w:pPr>
            <w:r>
              <w:rPr>
                <w:color w:val="auto"/>
                <w:sz w:val="21"/>
                <w:szCs w:val="21"/>
                <w:highlight w:val="none"/>
                <w:u w:val="single"/>
              </w:rPr>
              <w:t>7.5万吨油船</w:t>
            </w:r>
          </w:p>
        </w:tc>
        <w:tc>
          <w:tcPr>
            <w:tcW w:w="687" w:type="pct"/>
            <w:tcBorders>
              <w:tl2br w:val="nil"/>
              <w:tr2bl w:val="nil"/>
            </w:tcBorders>
            <w:vAlign w:val="center"/>
          </w:tcPr>
          <w:p w14:paraId="398982C1">
            <w:pPr>
              <w:spacing w:line="240" w:lineRule="auto"/>
              <w:ind w:firstLine="0" w:firstLineChars="0"/>
              <w:jc w:val="center"/>
              <w:rPr>
                <w:color w:val="auto"/>
                <w:sz w:val="21"/>
                <w:szCs w:val="21"/>
                <w:highlight w:val="none"/>
                <w:u w:val="single"/>
              </w:rPr>
            </w:pPr>
            <w:r>
              <w:rPr>
                <w:color w:val="auto"/>
                <w:sz w:val="21"/>
                <w:szCs w:val="21"/>
                <w:highlight w:val="none"/>
                <w:u w:val="single"/>
              </w:rPr>
              <w:t>228</w:t>
            </w:r>
          </w:p>
        </w:tc>
        <w:tc>
          <w:tcPr>
            <w:tcW w:w="459" w:type="pct"/>
            <w:tcBorders>
              <w:tl2br w:val="nil"/>
              <w:tr2bl w:val="nil"/>
            </w:tcBorders>
            <w:vAlign w:val="center"/>
          </w:tcPr>
          <w:p w14:paraId="6B69FD54">
            <w:pPr>
              <w:spacing w:line="240" w:lineRule="auto"/>
              <w:ind w:firstLine="0" w:firstLineChars="0"/>
              <w:jc w:val="center"/>
              <w:rPr>
                <w:color w:val="auto"/>
                <w:sz w:val="21"/>
                <w:szCs w:val="21"/>
                <w:highlight w:val="none"/>
                <w:u w:val="single"/>
              </w:rPr>
            </w:pPr>
            <w:r>
              <w:rPr>
                <w:color w:val="auto"/>
                <w:sz w:val="21"/>
                <w:szCs w:val="21"/>
                <w:highlight w:val="none"/>
                <w:u w:val="single"/>
              </w:rPr>
              <w:t>36.0</w:t>
            </w:r>
          </w:p>
        </w:tc>
        <w:tc>
          <w:tcPr>
            <w:tcW w:w="665" w:type="pct"/>
            <w:tcBorders>
              <w:tl2br w:val="nil"/>
              <w:tr2bl w:val="nil"/>
            </w:tcBorders>
            <w:vAlign w:val="center"/>
          </w:tcPr>
          <w:p w14:paraId="5C2869D6">
            <w:pPr>
              <w:spacing w:line="240" w:lineRule="auto"/>
              <w:ind w:firstLine="0" w:firstLineChars="0"/>
              <w:jc w:val="center"/>
              <w:rPr>
                <w:color w:val="auto"/>
                <w:sz w:val="21"/>
                <w:szCs w:val="21"/>
                <w:highlight w:val="none"/>
                <w:u w:val="single"/>
              </w:rPr>
            </w:pPr>
            <w:r>
              <w:rPr>
                <w:color w:val="auto"/>
                <w:sz w:val="21"/>
                <w:szCs w:val="21"/>
                <w:highlight w:val="none"/>
                <w:u w:val="single"/>
              </w:rPr>
              <w:t>21.4</w:t>
            </w:r>
          </w:p>
        </w:tc>
        <w:tc>
          <w:tcPr>
            <w:tcW w:w="919" w:type="pct"/>
            <w:tcBorders>
              <w:tl2br w:val="nil"/>
              <w:tr2bl w:val="nil"/>
            </w:tcBorders>
            <w:vAlign w:val="center"/>
          </w:tcPr>
          <w:p w14:paraId="15712D5B">
            <w:pPr>
              <w:spacing w:line="240" w:lineRule="auto"/>
              <w:ind w:firstLine="0" w:firstLineChars="0"/>
              <w:jc w:val="center"/>
              <w:rPr>
                <w:color w:val="auto"/>
                <w:sz w:val="21"/>
                <w:szCs w:val="21"/>
                <w:highlight w:val="none"/>
                <w:u w:val="single"/>
              </w:rPr>
            </w:pPr>
            <w:r>
              <w:rPr>
                <w:color w:val="auto"/>
                <w:sz w:val="21"/>
                <w:szCs w:val="21"/>
                <w:highlight w:val="none"/>
                <w:u w:val="single"/>
              </w:rPr>
              <w:t>5.5</w:t>
            </w:r>
          </w:p>
        </w:tc>
        <w:tc>
          <w:tcPr>
            <w:tcW w:w="914" w:type="pct"/>
            <w:vMerge w:val="continue"/>
            <w:tcBorders>
              <w:tl2br w:val="nil"/>
              <w:tr2bl w:val="nil"/>
            </w:tcBorders>
          </w:tcPr>
          <w:p w14:paraId="31E5C424">
            <w:pPr>
              <w:spacing w:line="240" w:lineRule="auto"/>
              <w:ind w:firstLine="0" w:firstLineChars="0"/>
              <w:jc w:val="center"/>
              <w:rPr>
                <w:color w:val="auto"/>
                <w:sz w:val="21"/>
                <w:szCs w:val="21"/>
                <w:highlight w:val="none"/>
                <w:u w:val="single"/>
              </w:rPr>
            </w:pPr>
          </w:p>
        </w:tc>
      </w:tr>
      <w:tr w14:paraId="534C05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55" w:type="pct"/>
            <w:tcBorders>
              <w:tl2br w:val="nil"/>
              <w:tr2bl w:val="nil"/>
            </w:tcBorders>
            <w:vAlign w:val="center"/>
          </w:tcPr>
          <w:p w14:paraId="2F9E4460">
            <w:pPr>
              <w:spacing w:line="240" w:lineRule="auto"/>
              <w:ind w:firstLine="0" w:firstLineChars="0"/>
              <w:jc w:val="center"/>
              <w:rPr>
                <w:color w:val="auto"/>
                <w:sz w:val="21"/>
                <w:szCs w:val="21"/>
                <w:highlight w:val="none"/>
                <w:u w:val="single"/>
              </w:rPr>
            </w:pPr>
            <w:r>
              <w:rPr>
                <w:color w:val="auto"/>
                <w:sz w:val="21"/>
                <w:szCs w:val="21"/>
                <w:highlight w:val="none"/>
                <w:u w:val="single"/>
              </w:rPr>
              <w:t>4600TEU集装箱船</w:t>
            </w:r>
          </w:p>
        </w:tc>
        <w:tc>
          <w:tcPr>
            <w:tcW w:w="687" w:type="pct"/>
            <w:tcBorders>
              <w:tl2br w:val="nil"/>
              <w:tr2bl w:val="nil"/>
            </w:tcBorders>
            <w:vAlign w:val="center"/>
          </w:tcPr>
          <w:p w14:paraId="65B1D909">
            <w:pPr>
              <w:spacing w:line="240" w:lineRule="auto"/>
              <w:ind w:firstLine="0" w:firstLineChars="0"/>
              <w:jc w:val="center"/>
              <w:rPr>
                <w:color w:val="auto"/>
                <w:sz w:val="21"/>
                <w:szCs w:val="21"/>
                <w:highlight w:val="none"/>
                <w:u w:val="single"/>
              </w:rPr>
            </w:pPr>
            <w:r>
              <w:rPr>
                <w:color w:val="auto"/>
                <w:sz w:val="21"/>
                <w:szCs w:val="21"/>
                <w:highlight w:val="none"/>
                <w:u w:val="single"/>
              </w:rPr>
              <w:t>260</w:t>
            </w:r>
          </w:p>
        </w:tc>
        <w:tc>
          <w:tcPr>
            <w:tcW w:w="459" w:type="pct"/>
            <w:tcBorders>
              <w:tl2br w:val="nil"/>
              <w:tr2bl w:val="nil"/>
            </w:tcBorders>
            <w:vAlign w:val="center"/>
          </w:tcPr>
          <w:p w14:paraId="72E01704">
            <w:pPr>
              <w:spacing w:line="240" w:lineRule="auto"/>
              <w:ind w:firstLine="0" w:firstLineChars="0"/>
              <w:jc w:val="center"/>
              <w:rPr>
                <w:color w:val="auto"/>
                <w:sz w:val="21"/>
                <w:szCs w:val="21"/>
                <w:highlight w:val="none"/>
                <w:u w:val="single"/>
              </w:rPr>
            </w:pPr>
            <w:r>
              <w:rPr>
                <w:color w:val="auto"/>
                <w:sz w:val="21"/>
                <w:szCs w:val="21"/>
                <w:highlight w:val="none"/>
                <w:u w:val="single"/>
              </w:rPr>
              <w:t>37.3</w:t>
            </w:r>
          </w:p>
        </w:tc>
        <w:tc>
          <w:tcPr>
            <w:tcW w:w="665" w:type="pct"/>
            <w:tcBorders>
              <w:tl2br w:val="nil"/>
              <w:tr2bl w:val="nil"/>
            </w:tcBorders>
            <w:vAlign w:val="center"/>
          </w:tcPr>
          <w:p w14:paraId="19DFF21C">
            <w:pPr>
              <w:spacing w:line="240" w:lineRule="auto"/>
              <w:ind w:firstLine="0" w:firstLineChars="0"/>
              <w:jc w:val="center"/>
              <w:rPr>
                <w:color w:val="auto"/>
                <w:sz w:val="21"/>
                <w:szCs w:val="21"/>
                <w:highlight w:val="none"/>
                <w:u w:val="single"/>
              </w:rPr>
            </w:pPr>
            <w:r>
              <w:rPr>
                <w:color w:val="auto"/>
                <w:sz w:val="21"/>
                <w:szCs w:val="21"/>
                <w:highlight w:val="none"/>
                <w:u w:val="single"/>
              </w:rPr>
              <w:t>24.6</w:t>
            </w:r>
          </w:p>
        </w:tc>
        <w:tc>
          <w:tcPr>
            <w:tcW w:w="919" w:type="pct"/>
            <w:tcBorders>
              <w:tl2br w:val="nil"/>
              <w:tr2bl w:val="nil"/>
            </w:tcBorders>
            <w:vAlign w:val="center"/>
          </w:tcPr>
          <w:p w14:paraId="3F57E72D">
            <w:pPr>
              <w:spacing w:line="240" w:lineRule="auto"/>
              <w:ind w:firstLine="0" w:firstLineChars="0"/>
              <w:jc w:val="center"/>
              <w:rPr>
                <w:color w:val="auto"/>
                <w:sz w:val="21"/>
                <w:szCs w:val="21"/>
                <w:highlight w:val="none"/>
                <w:u w:val="single"/>
              </w:rPr>
            </w:pPr>
            <w:r>
              <w:rPr>
                <w:color w:val="auto"/>
                <w:sz w:val="21"/>
                <w:szCs w:val="21"/>
                <w:highlight w:val="none"/>
                <w:u w:val="single"/>
              </w:rPr>
              <w:t>5.5</w:t>
            </w:r>
          </w:p>
        </w:tc>
        <w:tc>
          <w:tcPr>
            <w:tcW w:w="914" w:type="pct"/>
            <w:vMerge w:val="continue"/>
            <w:tcBorders>
              <w:tl2br w:val="nil"/>
              <w:tr2bl w:val="nil"/>
            </w:tcBorders>
          </w:tcPr>
          <w:p w14:paraId="2A4C7C5F">
            <w:pPr>
              <w:spacing w:line="240" w:lineRule="auto"/>
              <w:ind w:firstLine="0" w:firstLineChars="0"/>
              <w:jc w:val="center"/>
              <w:rPr>
                <w:color w:val="auto"/>
                <w:sz w:val="21"/>
                <w:szCs w:val="21"/>
                <w:highlight w:val="none"/>
                <w:u w:val="single"/>
              </w:rPr>
            </w:pPr>
          </w:p>
        </w:tc>
      </w:tr>
    </w:tbl>
    <w:p w14:paraId="268A5983">
      <w:pPr>
        <w:ind w:firstLine="482"/>
        <w:rPr>
          <w:b/>
          <w:bCs/>
          <w:color w:val="auto"/>
          <w:highlight w:val="none"/>
          <w:u w:val="single"/>
        </w:rPr>
      </w:pPr>
      <w:r>
        <w:rPr>
          <w:rFonts w:hint="eastAsia"/>
          <w:b/>
          <w:bCs/>
          <w:color w:val="auto"/>
          <w:highlight w:val="none"/>
          <w:u w:val="single"/>
        </w:rPr>
        <w:t>修理的船舶在进坞前需进行清仓处理，保证空船进坞。</w:t>
      </w:r>
    </w:p>
    <w:p w14:paraId="2498C917">
      <w:pPr>
        <w:ind w:firstLine="482"/>
        <w:rPr>
          <w:b/>
          <w:bCs/>
          <w:color w:val="auto"/>
          <w:highlight w:val="none"/>
        </w:rPr>
      </w:pPr>
      <w:r>
        <w:rPr>
          <w:b/>
          <w:bCs/>
          <w:color w:val="auto"/>
          <w:highlight w:val="none"/>
        </w:rPr>
        <w:t>（2）任务特点及工艺流程</w:t>
      </w:r>
    </w:p>
    <w:p w14:paraId="14672A4F">
      <w:pPr>
        <w:ind w:firstLine="480"/>
        <w:rPr>
          <w:color w:val="auto"/>
          <w:highlight w:val="none"/>
        </w:rPr>
      </w:pPr>
      <w:r>
        <w:rPr>
          <w:color w:val="auto"/>
          <w:highlight w:val="none"/>
        </w:rPr>
        <w:t>①任务特点</w:t>
      </w:r>
    </w:p>
    <w:p w14:paraId="54CEDFF5">
      <w:pPr>
        <w:ind w:firstLine="480"/>
        <w:rPr>
          <w:color w:val="auto"/>
          <w:highlight w:val="none"/>
        </w:rPr>
      </w:pPr>
      <w:r>
        <w:rPr>
          <w:color w:val="auto"/>
          <w:highlight w:val="none"/>
        </w:rPr>
        <w:t>浮船坞中作业设备依托坞内自带设备或厂区已有设备。船舶坞修工作主要包括进坞排水、清洗、换板、喷漆及干燥，水下件安装维修及检查、注水出坞等工作。</w:t>
      </w:r>
    </w:p>
    <w:p w14:paraId="1F7289E1">
      <w:pPr>
        <w:ind w:firstLine="480"/>
        <w:rPr>
          <w:color w:val="auto"/>
          <w:highlight w:val="none"/>
        </w:rPr>
      </w:pPr>
      <w:r>
        <w:rPr>
          <w:color w:val="auto"/>
          <w:highlight w:val="none"/>
        </w:rPr>
        <w:t>②浮船坞工艺流程：</w:t>
      </w:r>
    </w:p>
    <w:p w14:paraId="08204858">
      <w:pPr>
        <w:ind w:firstLine="480"/>
        <w:rPr>
          <w:color w:val="auto"/>
          <w:highlight w:val="none"/>
        </w:rPr>
      </w:pPr>
      <w:r>
        <w:rPr>
          <w:color w:val="auto"/>
          <w:highlight w:val="none"/>
        </w:rPr>
        <w:t>船舶进坞→坞修（船壳除锈、油漆，机电工程等）→下水→试验→试航→交船</w:t>
      </w:r>
    </w:p>
    <w:p w14:paraId="59841602">
      <w:pPr>
        <w:ind w:firstLine="482"/>
        <w:rPr>
          <w:b/>
          <w:bCs/>
          <w:color w:val="auto"/>
          <w:highlight w:val="none"/>
        </w:rPr>
      </w:pPr>
      <w:r>
        <w:rPr>
          <w:b/>
          <w:bCs/>
          <w:color w:val="auto"/>
          <w:highlight w:val="none"/>
        </w:rPr>
        <w:t>（3）主要协作关系</w:t>
      </w:r>
    </w:p>
    <w:p w14:paraId="3B4D33DA">
      <w:pPr>
        <w:ind w:firstLine="480"/>
        <w:rPr>
          <w:color w:val="auto"/>
          <w:highlight w:val="none"/>
        </w:rPr>
      </w:pPr>
      <w:r>
        <w:rPr>
          <w:color w:val="auto"/>
          <w:highlight w:val="none"/>
        </w:rPr>
        <w:t>①待修船舶的舷侧外板、船底板、管件及其他构件由厂区车间提供。</w:t>
      </w:r>
    </w:p>
    <w:p w14:paraId="1BCB05F8">
      <w:pPr>
        <w:ind w:firstLine="480"/>
        <w:rPr>
          <w:color w:val="auto"/>
          <w:highlight w:val="none"/>
        </w:rPr>
      </w:pPr>
      <w:r>
        <w:rPr>
          <w:color w:val="auto"/>
          <w:highlight w:val="none"/>
        </w:rPr>
        <w:t>②待修船舶的所需要的机电设备、特种装置、轴系装置配套等外购件，均由有关专业设备制造厂供应。</w:t>
      </w:r>
    </w:p>
    <w:p w14:paraId="56B0B16A">
      <w:pPr>
        <w:ind w:firstLine="480"/>
        <w:rPr>
          <w:color w:val="auto"/>
          <w:highlight w:val="none"/>
        </w:rPr>
      </w:pPr>
      <w:r>
        <w:rPr>
          <w:color w:val="auto"/>
          <w:highlight w:val="none"/>
        </w:rPr>
        <w:t>③所需构件、舾装件的吊运由浮船坞上配备的门机来完成。</w:t>
      </w:r>
    </w:p>
    <w:p w14:paraId="539323CC">
      <w:pPr>
        <w:ind w:firstLine="482"/>
        <w:rPr>
          <w:b/>
          <w:bCs/>
          <w:color w:val="auto"/>
          <w:highlight w:val="none"/>
        </w:rPr>
      </w:pPr>
      <w:r>
        <w:rPr>
          <w:b/>
          <w:bCs/>
          <w:color w:val="auto"/>
          <w:highlight w:val="none"/>
        </w:rPr>
        <w:t>（4）固定方式</w:t>
      </w:r>
    </w:p>
    <w:p w14:paraId="4ED11F5A">
      <w:pPr>
        <w:ind w:firstLine="480"/>
        <w:rPr>
          <w:color w:val="auto"/>
          <w:highlight w:val="none"/>
        </w:rPr>
      </w:pPr>
      <w:r>
        <w:rPr>
          <w:rFonts w:hint="eastAsia"/>
          <w:color w:val="auto"/>
          <w:highlight w:val="none"/>
        </w:rPr>
        <w:t>原</w:t>
      </w:r>
      <w:r>
        <w:rPr>
          <w:color w:val="auto"/>
          <w:highlight w:val="none"/>
        </w:rPr>
        <w:t>“新祥生”浮船坞采用“锚链+锚块（沉石）”的锚泊方式泊碇，布置在港池内（5#码头附近）。本次</w:t>
      </w:r>
      <w:r>
        <w:rPr>
          <w:rFonts w:hint="eastAsia"/>
          <w:color w:val="auto"/>
          <w:highlight w:val="none"/>
        </w:rPr>
        <w:t>建设</w:t>
      </w:r>
      <w:r>
        <w:rPr>
          <w:color w:val="auto"/>
          <w:highlight w:val="none"/>
        </w:rPr>
        <w:t>的10万吨级浮船坞用于置换“中船钦州修船资源整合项目”中的老旧10万吨级“新祥生”浮船坞，新浮船坞采用抛锚的方式布置在原新祥生号浮船坞位置（靠近5#码头）</w:t>
      </w:r>
      <w:r>
        <w:rPr>
          <w:rFonts w:hint="eastAsia"/>
          <w:color w:val="auto"/>
          <w:highlight w:val="none"/>
        </w:rPr>
        <w:t>。</w:t>
      </w:r>
    </w:p>
    <w:p w14:paraId="47AC9C28">
      <w:pPr>
        <w:ind w:firstLine="480"/>
        <w:rPr>
          <w:color w:val="auto"/>
          <w:highlight w:val="none"/>
        </w:rPr>
      </w:pPr>
      <w:r>
        <w:rPr>
          <w:color w:val="auto"/>
          <w:highlight w:val="none"/>
        </w:rPr>
        <w:t>本次</w:t>
      </w:r>
      <w:r>
        <w:rPr>
          <w:rFonts w:hint="eastAsia"/>
          <w:color w:val="auto"/>
          <w:highlight w:val="none"/>
        </w:rPr>
        <w:t>建设的</w:t>
      </w:r>
      <w:r>
        <w:rPr>
          <w:color w:val="auto"/>
          <w:highlight w:val="none"/>
        </w:rPr>
        <w:t>浮船坞举力28000吨，属于中大型浮船坞，采用锚泊定位的方式固定。这种定位方式是通过若干横向锚链和纵向锚链，一头锚固在设置于水底的沉石上，另一头连接在浮船坞上的锚链固定端处，通过锚链张力锚定浮船坞，并通过放松或收紧锚链来辅助浮船坞的沉浮作业。</w:t>
      </w:r>
    </w:p>
    <w:p w14:paraId="43EF89EA">
      <w:pPr>
        <w:pStyle w:val="38"/>
        <w:spacing w:after="0" w:line="240" w:lineRule="auto"/>
        <w:ind w:firstLine="0" w:firstLineChars="0"/>
        <w:jc w:val="center"/>
        <w:rPr>
          <w:b/>
          <w:color w:val="auto"/>
          <w:sz w:val="21"/>
          <w:szCs w:val="21"/>
          <w:highlight w:val="none"/>
        </w:rPr>
      </w:pPr>
      <w:r>
        <w:rPr>
          <w:b/>
          <w:color w:val="auto"/>
          <w:sz w:val="21"/>
          <w:szCs w:val="21"/>
          <w:highlight w:val="none"/>
        </w:rPr>
        <w:object>
          <v:shape id="_x0000_i1026" o:spt="75" type="#_x0000_t75" style="height:402.7pt;width:446.25pt;" o:ole="t" filled="f" o:preferrelative="t" stroked="f" coordsize="21600,21600">
            <v:path/>
            <v:fill on="f" focussize="0,0"/>
            <v:stroke on="f" joinstyle="miter"/>
            <v:imagedata r:id="rId88" cropleft="17658f" croptop="9005f" cropright="20197f" cropbottom="9864f" o:title=""/>
            <o:lock v:ext="edit" aspectratio="t"/>
            <w10:wrap type="none"/>
            <w10:anchorlock/>
          </v:shape>
          <o:OLEObject Type="Embed" ProgID="AutoCAD.Drawing.17" ShapeID="_x0000_i1026" DrawAspect="Content" ObjectID="_1468075726" r:id="rId87">
            <o:LockedField>false</o:LockedField>
          </o:OLEObject>
        </w:object>
      </w:r>
    </w:p>
    <w:p w14:paraId="578AB89D">
      <w:pPr>
        <w:pStyle w:val="38"/>
        <w:spacing w:after="0" w:line="240" w:lineRule="auto"/>
        <w:ind w:firstLine="0" w:firstLineChars="0"/>
        <w:jc w:val="center"/>
        <w:rPr>
          <w:b/>
          <w:color w:val="auto"/>
          <w:sz w:val="21"/>
          <w:szCs w:val="21"/>
          <w:highlight w:val="none"/>
        </w:rPr>
      </w:pPr>
      <w:r>
        <w:rPr>
          <w:b/>
          <w:color w:val="auto"/>
          <w:sz w:val="21"/>
          <w:szCs w:val="21"/>
          <w:highlight w:val="none"/>
        </w:rPr>
        <w:t>图2.2-2采用锚泊定位设计浮船坞的横剖面图</w:t>
      </w:r>
    </w:p>
    <w:p w14:paraId="7FD93A5F">
      <w:pPr>
        <w:ind w:firstLine="480"/>
        <w:rPr>
          <w:color w:val="auto"/>
          <w:highlight w:val="none"/>
        </w:rPr>
      </w:pPr>
    </w:p>
    <w:p w14:paraId="4BA13876">
      <w:pPr>
        <w:ind w:firstLine="482"/>
        <w:rPr>
          <w:b/>
          <w:bCs/>
          <w:color w:val="auto"/>
          <w:highlight w:val="none"/>
        </w:rPr>
      </w:pPr>
      <w:r>
        <w:rPr>
          <w:b/>
          <w:bCs/>
          <w:color w:val="auto"/>
          <w:highlight w:val="none"/>
        </w:rPr>
        <w:t>（5）10万吨级浮船坞主要参数</w:t>
      </w:r>
    </w:p>
    <w:p w14:paraId="02FFDAB7">
      <w:pPr>
        <w:ind w:firstLine="480"/>
        <w:rPr>
          <w:color w:val="auto"/>
          <w:highlight w:val="none"/>
        </w:rPr>
      </w:pPr>
      <w:r>
        <w:rPr>
          <w:color w:val="auto"/>
          <w:highlight w:val="none"/>
        </w:rPr>
        <w:t>①主尺度</w:t>
      </w:r>
    </w:p>
    <w:p w14:paraId="2C765BC6">
      <w:pPr>
        <w:ind w:firstLine="480"/>
        <w:rPr>
          <w:color w:val="auto"/>
          <w:highlight w:val="none"/>
        </w:rPr>
      </w:pPr>
      <w:r>
        <w:rPr>
          <w:color w:val="auto"/>
          <w:highlight w:val="none"/>
        </w:rPr>
        <w:t>浮船坞的浮箱长度一般要大于拟进坞船舶的布墩长度，并考虑一定的余量。宽度方面要大于拟进坞船舶的宽度，并要预留出两侧的操作空间和安全距离，便于进行维修作业。以4600箱集装箱船、85000吨散货船和74999吨油船为目标，参考以下数据：4600箱集装箱船总长260米，船宽37.3米；85000吨散货船总长230米，船宽36米；74999吨油船总长228米，船宽36米。</w:t>
      </w:r>
    </w:p>
    <w:p w14:paraId="53AB84BC">
      <w:pPr>
        <w:ind w:firstLine="480"/>
        <w:rPr>
          <w:color w:val="auto"/>
          <w:highlight w:val="none"/>
        </w:rPr>
      </w:pPr>
      <w:r>
        <w:rPr>
          <w:color w:val="auto"/>
          <w:highlight w:val="none"/>
        </w:rPr>
        <w:t>结合上述数据，考虑进坞船舶的布墩长度，本坞的浮箱长度为245米，首尾设置2个平台，各10.0米，总长265米；坞墙间宽为46米，坞墙净宽约43.5米；坞墙外宽55米。</w:t>
      </w:r>
    </w:p>
    <w:p w14:paraId="76100DEA">
      <w:pPr>
        <w:ind w:firstLine="480"/>
        <w:rPr>
          <w:color w:val="auto"/>
          <w:highlight w:val="none"/>
        </w:rPr>
      </w:pPr>
      <w:r>
        <w:rPr>
          <w:color w:val="auto"/>
          <w:highlight w:val="none"/>
        </w:rPr>
        <w:t>②举力</w:t>
      </w:r>
    </w:p>
    <w:p w14:paraId="60F2C03E">
      <w:pPr>
        <w:ind w:firstLine="480"/>
        <w:rPr>
          <w:color w:val="auto"/>
          <w:highlight w:val="none"/>
        </w:rPr>
      </w:pPr>
      <w:r>
        <w:rPr>
          <w:color w:val="auto"/>
          <w:highlight w:val="none"/>
        </w:rPr>
        <w:t>浮船坞的举力要根据拟进坞船舶的进坞重量来确定，一般要考虑进坞船舶的空船重量以及油水和货物的重量，还要考虑其他的附加重量。以4600箱集装箱船、85000吨散货船和74999吨油船为目标，参考以下数据：4600箱集装箱船空船重量约21000吨；85000吨散货船空船重量约14000吨；74999吨油船空船重量约15100吨。</w:t>
      </w:r>
    </w:p>
    <w:p w14:paraId="5BC5FCA3">
      <w:pPr>
        <w:ind w:firstLine="480"/>
        <w:rPr>
          <w:color w:val="auto"/>
          <w:highlight w:val="none"/>
        </w:rPr>
      </w:pPr>
      <w:r>
        <w:rPr>
          <w:color w:val="auto"/>
          <w:highlight w:val="none"/>
        </w:rPr>
        <w:t>结合上述数据，考虑进坞船调整浮态所需压载水、以及油水等因素，本坞举力确定为28000吨。</w:t>
      </w:r>
    </w:p>
    <w:p w14:paraId="5579EB8E">
      <w:pPr>
        <w:ind w:firstLine="480"/>
        <w:rPr>
          <w:color w:val="auto"/>
          <w:highlight w:val="none"/>
        </w:rPr>
      </w:pPr>
      <w:r>
        <w:rPr>
          <w:color w:val="auto"/>
          <w:highlight w:val="none"/>
        </w:rPr>
        <w:t>③龙骨墩以上吃水</w:t>
      </w:r>
    </w:p>
    <w:p w14:paraId="414E8778">
      <w:pPr>
        <w:ind w:firstLine="480"/>
        <w:rPr>
          <w:color w:val="auto"/>
          <w:highlight w:val="none"/>
        </w:rPr>
      </w:pPr>
      <w:r>
        <w:rPr>
          <w:color w:val="auto"/>
          <w:highlight w:val="none"/>
        </w:rPr>
        <w:t>浮船坞需要下沉到足够深度以便拟进坞船舶能顺利进入坞内。所以龙骨墩以上吃水需要大于船舶进坞时的吃水，并且要考虑坞墩的高度、船舶的浮态以及操作安全空间。以4600箱集装箱船、85000吨散货船和74999吨油船为目标，参考以下数据：4600箱集装箱船空船平均吃水约4.3米；85000吨散货船空船平均吃水2.4米；74999吨油船空船平均吃水约2.9米。</w:t>
      </w:r>
    </w:p>
    <w:p w14:paraId="7CAFDB1C">
      <w:pPr>
        <w:ind w:firstLine="480"/>
        <w:rPr>
          <w:color w:val="auto"/>
          <w:highlight w:val="none"/>
        </w:rPr>
      </w:pPr>
      <w:r>
        <w:rPr>
          <w:color w:val="auto"/>
          <w:highlight w:val="none"/>
        </w:rPr>
        <w:t>结合上述数据，考虑进坞船的浮态调整以及海损船舶的修理（纵倾较大）等因素，本坞龙骨墩以上吃水为8.5米。</w:t>
      </w:r>
    </w:p>
    <w:p w14:paraId="0175BD2F">
      <w:pPr>
        <w:ind w:firstLine="480"/>
        <w:rPr>
          <w:color w:val="auto"/>
          <w:highlight w:val="none"/>
        </w:rPr>
      </w:pPr>
      <w:r>
        <w:rPr>
          <w:color w:val="auto"/>
          <w:highlight w:val="none"/>
        </w:rPr>
        <w:t>综上所述，本坞主要尺度如下：总长265米，浮箱长245米，坞墙外宽55米，内宽46米，内净宽43.5米，举力28000吨，龙骨墩以上吃水8.5米。</w:t>
      </w:r>
    </w:p>
    <w:p w14:paraId="1CE758DE">
      <w:pPr>
        <w:ind w:firstLine="482"/>
        <w:rPr>
          <w:b/>
          <w:bCs/>
          <w:color w:val="auto"/>
          <w:highlight w:val="none"/>
        </w:rPr>
      </w:pPr>
      <w:bookmarkStart w:id="103" w:name="_Toc33948717"/>
      <w:r>
        <w:rPr>
          <w:b/>
          <w:bCs/>
          <w:color w:val="auto"/>
          <w:highlight w:val="none"/>
        </w:rPr>
        <w:t>（6）设计主尺度</w:t>
      </w:r>
      <w:bookmarkEnd w:id="103"/>
    </w:p>
    <w:p w14:paraId="7248F73E">
      <w:pPr>
        <w:ind w:firstLine="480"/>
        <w:rPr>
          <w:color w:val="auto"/>
          <w:highlight w:val="none"/>
        </w:rPr>
      </w:pPr>
      <w:r>
        <w:rPr>
          <w:color w:val="auto"/>
          <w:highlight w:val="none"/>
        </w:rPr>
        <w:t>①10万吨级浮船坞主要尺度</w:t>
      </w:r>
    </w:p>
    <w:p w14:paraId="7441EC82">
      <w:pPr>
        <w:ind w:firstLine="480"/>
        <w:rPr>
          <w:color w:val="auto"/>
          <w:highlight w:val="none"/>
        </w:rPr>
      </w:pPr>
      <w:r>
        <w:rPr>
          <w:color w:val="auto"/>
          <w:highlight w:val="none"/>
        </w:rPr>
        <w:t>10万吨级浮船坞主要尺度见下表：</w:t>
      </w:r>
    </w:p>
    <w:p w14:paraId="201B3DE0">
      <w:pPr>
        <w:pStyle w:val="38"/>
        <w:spacing w:after="0" w:line="240" w:lineRule="auto"/>
        <w:ind w:firstLine="0" w:firstLineChars="0"/>
        <w:jc w:val="center"/>
        <w:rPr>
          <w:b/>
          <w:color w:val="auto"/>
          <w:sz w:val="21"/>
          <w:szCs w:val="21"/>
          <w:highlight w:val="none"/>
        </w:rPr>
      </w:pPr>
      <w:r>
        <w:rPr>
          <w:b/>
          <w:color w:val="auto"/>
          <w:sz w:val="21"/>
          <w:szCs w:val="21"/>
          <w:highlight w:val="none"/>
        </w:rPr>
        <w:t>表2.2-3 浮船坞主尺度</w:t>
      </w:r>
    </w:p>
    <w:tbl>
      <w:tblPr>
        <w:tblStyle w:val="1551"/>
        <w:tblW w:w="4702" w:type="pct"/>
        <w:jc w:val="center"/>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4836"/>
        <w:gridCol w:w="2225"/>
        <w:gridCol w:w="1672"/>
      </w:tblGrid>
      <w:tr w14:paraId="7BEE7B70">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blHeader/>
          <w:jc w:val="center"/>
        </w:trPr>
        <w:tc>
          <w:tcPr>
            <w:tcW w:w="2769" w:type="pct"/>
            <w:tcBorders>
              <w:tl2br w:val="nil"/>
              <w:tr2bl w:val="nil"/>
            </w:tcBorders>
            <w:vAlign w:val="top"/>
          </w:tcPr>
          <w:p w14:paraId="50217D96">
            <w:pPr>
              <w:pStyle w:val="1095"/>
              <w:rPr>
                <w:rFonts w:ascii="Times New Roman" w:hAnsi="Times New Roman"/>
                <w:b/>
                <w:bCs/>
                <w:color w:val="auto"/>
                <w:sz w:val="21"/>
                <w:szCs w:val="21"/>
                <w:highlight w:val="none"/>
              </w:rPr>
            </w:pPr>
            <w:r>
              <w:rPr>
                <w:rFonts w:ascii="Times New Roman" w:hAnsi="Times New Roman"/>
                <w:b/>
                <w:bCs/>
                <w:color w:val="auto"/>
                <w:sz w:val="21"/>
                <w:szCs w:val="21"/>
                <w:highlight w:val="none"/>
              </w:rPr>
              <w:t>名称</w:t>
            </w:r>
          </w:p>
        </w:tc>
        <w:tc>
          <w:tcPr>
            <w:tcW w:w="1274" w:type="pct"/>
            <w:tcBorders>
              <w:tl2br w:val="nil"/>
              <w:tr2bl w:val="nil"/>
            </w:tcBorders>
            <w:vAlign w:val="top"/>
          </w:tcPr>
          <w:p w14:paraId="2FDBBAB6">
            <w:pPr>
              <w:pStyle w:val="1095"/>
              <w:rPr>
                <w:rFonts w:ascii="Times New Roman" w:hAnsi="Times New Roman"/>
                <w:b/>
                <w:bCs/>
                <w:color w:val="auto"/>
                <w:sz w:val="21"/>
                <w:szCs w:val="21"/>
                <w:highlight w:val="none"/>
              </w:rPr>
            </w:pPr>
            <w:r>
              <w:rPr>
                <w:rFonts w:ascii="Times New Roman" w:hAnsi="Times New Roman"/>
                <w:b/>
                <w:bCs/>
                <w:color w:val="auto"/>
                <w:sz w:val="21"/>
                <w:szCs w:val="21"/>
                <w:highlight w:val="none"/>
              </w:rPr>
              <w:t>数值</w:t>
            </w:r>
          </w:p>
        </w:tc>
        <w:tc>
          <w:tcPr>
            <w:tcW w:w="957" w:type="pct"/>
            <w:tcBorders>
              <w:tl2br w:val="nil"/>
              <w:tr2bl w:val="nil"/>
            </w:tcBorders>
            <w:vAlign w:val="top"/>
          </w:tcPr>
          <w:p w14:paraId="1B969C14">
            <w:pPr>
              <w:pStyle w:val="1095"/>
              <w:rPr>
                <w:rFonts w:ascii="Times New Roman" w:hAnsi="Times New Roman"/>
                <w:b/>
                <w:bCs/>
                <w:color w:val="auto"/>
                <w:sz w:val="21"/>
                <w:szCs w:val="21"/>
                <w:highlight w:val="none"/>
              </w:rPr>
            </w:pPr>
            <w:r>
              <w:rPr>
                <w:rFonts w:ascii="Times New Roman" w:hAnsi="Times New Roman"/>
                <w:b/>
                <w:bCs/>
                <w:color w:val="auto"/>
                <w:sz w:val="21"/>
                <w:szCs w:val="21"/>
                <w:highlight w:val="none"/>
              </w:rPr>
              <w:t>备注</w:t>
            </w:r>
          </w:p>
        </w:tc>
      </w:tr>
      <w:tr w14:paraId="15B6BA09">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769" w:type="pct"/>
            <w:tcBorders>
              <w:tl2br w:val="nil"/>
              <w:tr2bl w:val="nil"/>
            </w:tcBorders>
          </w:tcPr>
          <w:p w14:paraId="07025F2B">
            <w:pPr>
              <w:pStyle w:val="1095"/>
              <w:rPr>
                <w:rFonts w:ascii="Times New Roman" w:hAnsi="Times New Roman"/>
                <w:color w:val="auto"/>
                <w:sz w:val="21"/>
                <w:szCs w:val="21"/>
                <w:highlight w:val="none"/>
              </w:rPr>
            </w:pPr>
            <w:r>
              <w:rPr>
                <w:rFonts w:ascii="Times New Roman" w:hAnsi="Times New Roman"/>
                <w:color w:val="auto"/>
                <w:sz w:val="21"/>
                <w:szCs w:val="21"/>
                <w:highlight w:val="none"/>
              </w:rPr>
              <w:t>总长</w:t>
            </w:r>
          </w:p>
        </w:tc>
        <w:tc>
          <w:tcPr>
            <w:tcW w:w="1274" w:type="pct"/>
            <w:tcBorders>
              <w:tl2br w:val="nil"/>
              <w:tr2bl w:val="nil"/>
            </w:tcBorders>
          </w:tcPr>
          <w:p w14:paraId="0109A242">
            <w:pPr>
              <w:pStyle w:val="1095"/>
              <w:rPr>
                <w:rFonts w:ascii="Times New Roman" w:hAnsi="Times New Roman"/>
                <w:color w:val="auto"/>
                <w:sz w:val="21"/>
                <w:szCs w:val="21"/>
                <w:highlight w:val="none"/>
              </w:rPr>
            </w:pPr>
            <w:r>
              <w:rPr>
                <w:rFonts w:ascii="Times New Roman" w:hAnsi="Times New Roman"/>
                <w:color w:val="auto"/>
                <w:sz w:val="21"/>
                <w:szCs w:val="21"/>
                <w:highlight w:val="none"/>
              </w:rPr>
              <w:t>265m</w:t>
            </w:r>
          </w:p>
        </w:tc>
        <w:tc>
          <w:tcPr>
            <w:tcW w:w="957" w:type="pct"/>
            <w:tcBorders>
              <w:tl2br w:val="nil"/>
              <w:tr2bl w:val="nil"/>
            </w:tcBorders>
          </w:tcPr>
          <w:p w14:paraId="69A262D7">
            <w:pPr>
              <w:pStyle w:val="1095"/>
              <w:rPr>
                <w:rFonts w:ascii="Times New Roman" w:hAnsi="Times New Roman"/>
                <w:color w:val="auto"/>
                <w:sz w:val="21"/>
                <w:szCs w:val="21"/>
                <w:highlight w:val="none"/>
              </w:rPr>
            </w:pPr>
          </w:p>
        </w:tc>
      </w:tr>
      <w:tr w14:paraId="579F25A9">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769" w:type="pct"/>
            <w:tcBorders>
              <w:tl2br w:val="nil"/>
              <w:tr2bl w:val="nil"/>
            </w:tcBorders>
          </w:tcPr>
          <w:p w14:paraId="1E0BA7BD">
            <w:pPr>
              <w:pStyle w:val="1095"/>
              <w:rPr>
                <w:rFonts w:ascii="Times New Roman" w:hAnsi="Times New Roman"/>
                <w:color w:val="auto"/>
                <w:sz w:val="21"/>
                <w:szCs w:val="21"/>
                <w:highlight w:val="none"/>
              </w:rPr>
            </w:pPr>
            <w:r>
              <w:rPr>
                <w:rFonts w:ascii="Times New Roman" w:hAnsi="Times New Roman"/>
                <w:color w:val="auto"/>
                <w:sz w:val="21"/>
                <w:szCs w:val="21"/>
                <w:highlight w:val="none"/>
              </w:rPr>
              <w:t>浮箱总长</w:t>
            </w:r>
          </w:p>
        </w:tc>
        <w:tc>
          <w:tcPr>
            <w:tcW w:w="1274" w:type="pct"/>
            <w:tcBorders>
              <w:tl2br w:val="nil"/>
              <w:tr2bl w:val="nil"/>
            </w:tcBorders>
          </w:tcPr>
          <w:p w14:paraId="402EC78A">
            <w:pPr>
              <w:pStyle w:val="1095"/>
              <w:rPr>
                <w:rFonts w:ascii="Times New Roman" w:hAnsi="Times New Roman"/>
                <w:color w:val="auto"/>
                <w:sz w:val="21"/>
                <w:szCs w:val="21"/>
                <w:highlight w:val="none"/>
              </w:rPr>
            </w:pPr>
            <w:r>
              <w:rPr>
                <w:rFonts w:ascii="Times New Roman" w:hAnsi="Times New Roman"/>
                <w:color w:val="auto"/>
                <w:sz w:val="21"/>
                <w:szCs w:val="21"/>
                <w:highlight w:val="none"/>
              </w:rPr>
              <w:t>245m</w:t>
            </w:r>
          </w:p>
        </w:tc>
        <w:tc>
          <w:tcPr>
            <w:tcW w:w="957" w:type="pct"/>
            <w:tcBorders>
              <w:tl2br w:val="nil"/>
              <w:tr2bl w:val="nil"/>
            </w:tcBorders>
          </w:tcPr>
          <w:p w14:paraId="5DA9D6B7">
            <w:pPr>
              <w:pStyle w:val="1095"/>
              <w:rPr>
                <w:rFonts w:ascii="Times New Roman" w:hAnsi="Times New Roman"/>
                <w:color w:val="auto"/>
                <w:sz w:val="21"/>
                <w:szCs w:val="21"/>
                <w:highlight w:val="none"/>
              </w:rPr>
            </w:pPr>
          </w:p>
        </w:tc>
      </w:tr>
      <w:tr w14:paraId="0CBA32DA">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769" w:type="pct"/>
            <w:tcBorders>
              <w:tl2br w:val="nil"/>
              <w:tr2bl w:val="nil"/>
            </w:tcBorders>
          </w:tcPr>
          <w:p w14:paraId="0F74B5EA">
            <w:pPr>
              <w:pStyle w:val="1095"/>
              <w:rPr>
                <w:rFonts w:ascii="Times New Roman" w:hAnsi="Times New Roman"/>
                <w:color w:val="auto"/>
                <w:sz w:val="21"/>
                <w:szCs w:val="21"/>
                <w:highlight w:val="none"/>
              </w:rPr>
            </w:pPr>
            <w:r>
              <w:rPr>
                <w:rFonts w:ascii="Times New Roman" w:hAnsi="Times New Roman"/>
                <w:color w:val="auto"/>
                <w:sz w:val="21"/>
                <w:szCs w:val="21"/>
                <w:highlight w:val="none"/>
              </w:rPr>
              <w:t>坞墙长</w:t>
            </w:r>
          </w:p>
        </w:tc>
        <w:tc>
          <w:tcPr>
            <w:tcW w:w="1274" w:type="pct"/>
            <w:tcBorders>
              <w:tl2br w:val="nil"/>
              <w:tr2bl w:val="nil"/>
            </w:tcBorders>
          </w:tcPr>
          <w:p w14:paraId="0B738C9B">
            <w:pPr>
              <w:pStyle w:val="1095"/>
              <w:rPr>
                <w:rFonts w:ascii="Times New Roman" w:hAnsi="Times New Roman"/>
                <w:color w:val="auto"/>
                <w:sz w:val="21"/>
                <w:szCs w:val="21"/>
                <w:highlight w:val="none"/>
              </w:rPr>
            </w:pPr>
            <w:r>
              <w:rPr>
                <w:rFonts w:ascii="Times New Roman" w:hAnsi="Times New Roman"/>
                <w:color w:val="auto"/>
                <w:sz w:val="21"/>
                <w:szCs w:val="21"/>
                <w:highlight w:val="none"/>
              </w:rPr>
              <w:t>245m</w:t>
            </w:r>
          </w:p>
        </w:tc>
        <w:tc>
          <w:tcPr>
            <w:tcW w:w="957" w:type="pct"/>
            <w:tcBorders>
              <w:tl2br w:val="nil"/>
              <w:tr2bl w:val="nil"/>
            </w:tcBorders>
          </w:tcPr>
          <w:p w14:paraId="6AE5CB6E">
            <w:pPr>
              <w:pStyle w:val="1095"/>
              <w:rPr>
                <w:rFonts w:ascii="Times New Roman" w:hAnsi="Times New Roman"/>
                <w:color w:val="auto"/>
                <w:sz w:val="21"/>
                <w:szCs w:val="21"/>
                <w:highlight w:val="none"/>
              </w:rPr>
            </w:pPr>
          </w:p>
        </w:tc>
      </w:tr>
      <w:tr w14:paraId="7CAF201A">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769" w:type="pct"/>
            <w:tcBorders>
              <w:tl2br w:val="nil"/>
              <w:tr2bl w:val="nil"/>
            </w:tcBorders>
          </w:tcPr>
          <w:p w14:paraId="5E3D7A49">
            <w:pPr>
              <w:pStyle w:val="1095"/>
              <w:rPr>
                <w:rFonts w:ascii="Times New Roman" w:hAnsi="Times New Roman"/>
                <w:color w:val="auto"/>
                <w:sz w:val="21"/>
                <w:szCs w:val="21"/>
                <w:highlight w:val="none"/>
              </w:rPr>
            </w:pPr>
            <w:r>
              <w:rPr>
                <w:rFonts w:ascii="Times New Roman" w:hAnsi="Times New Roman"/>
                <w:color w:val="auto"/>
                <w:sz w:val="21"/>
                <w:szCs w:val="21"/>
                <w:highlight w:val="none"/>
              </w:rPr>
              <w:t>型宽</w:t>
            </w:r>
          </w:p>
        </w:tc>
        <w:tc>
          <w:tcPr>
            <w:tcW w:w="1274" w:type="pct"/>
            <w:tcBorders>
              <w:tl2br w:val="nil"/>
              <w:tr2bl w:val="nil"/>
            </w:tcBorders>
          </w:tcPr>
          <w:p w14:paraId="778918FC">
            <w:pPr>
              <w:pStyle w:val="1095"/>
              <w:rPr>
                <w:rFonts w:ascii="Times New Roman" w:hAnsi="Times New Roman"/>
                <w:color w:val="auto"/>
                <w:sz w:val="21"/>
                <w:szCs w:val="21"/>
                <w:highlight w:val="none"/>
              </w:rPr>
            </w:pPr>
            <w:r>
              <w:rPr>
                <w:rFonts w:ascii="Times New Roman" w:hAnsi="Times New Roman"/>
                <w:color w:val="auto"/>
                <w:sz w:val="21"/>
                <w:szCs w:val="21"/>
                <w:highlight w:val="none"/>
              </w:rPr>
              <w:t>55m</w:t>
            </w:r>
          </w:p>
        </w:tc>
        <w:tc>
          <w:tcPr>
            <w:tcW w:w="957" w:type="pct"/>
            <w:tcBorders>
              <w:tl2br w:val="nil"/>
              <w:tr2bl w:val="nil"/>
            </w:tcBorders>
          </w:tcPr>
          <w:p w14:paraId="61906CE9">
            <w:pPr>
              <w:pStyle w:val="1095"/>
              <w:rPr>
                <w:rFonts w:ascii="Times New Roman" w:hAnsi="Times New Roman"/>
                <w:color w:val="auto"/>
                <w:sz w:val="21"/>
                <w:szCs w:val="21"/>
                <w:highlight w:val="none"/>
              </w:rPr>
            </w:pPr>
          </w:p>
        </w:tc>
      </w:tr>
      <w:tr w14:paraId="2F089DCD">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769" w:type="pct"/>
            <w:tcBorders>
              <w:tl2br w:val="nil"/>
              <w:tr2bl w:val="nil"/>
            </w:tcBorders>
          </w:tcPr>
          <w:p w14:paraId="656F7024">
            <w:pPr>
              <w:pStyle w:val="1095"/>
              <w:rPr>
                <w:rFonts w:ascii="Times New Roman" w:hAnsi="Times New Roman"/>
                <w:color w:val="auto"/>
                <w:sz w:val="21"/>
                <w:szCs w:val="21"/>
                <w:highlight w:val="none"/>
              </w:rPr>
            </w:pPr>
            <w:r>
              <w:rPr>
                <w:rFonts w:ascii="Times New Roman" w:hAnsi="Times New Roman"/>
                <w:color w:val="auto"/>
                <w:sz w:val="21"/>
                <w:szCs w:val="21"/>
                <w:highlight w:val="none"/>
              </w:rPr>
              <w:t>内净宽</w:t>
            </w:r>
          </w:p>
        </w:tc>
        <w:tc>
          <w:tcPr>
            <w:tcW w:w="1274" w:type="pct"/>
            <w:tcBorders>
              <w:tl2br w:val="nil"/>
              <w:tr2bl w:val="nil"/>
            </w:tcBorders>
          </w:tcPr>
          <w:p w14:paraId="7F2E0817">
            <w:pPr>
              <w:pStyle w:val="1095"/>
              <w:rPr>
                <w:rFonts w:ascii="Times New Roman" w:hAnsi="Times New Roman"/>
                <w:color w:val="auto"/>
                <w:sz w:val="21"/>
                <w:szCs w:val="21"/>
                <w:highlight w:val="none"/>
              </w:rPr>
            </w:pPr>
            <w:r>
              <w:rPr>
                <w:rFonts w:ascii="Times New Roman" w:hAnsi="Times New Roman"/>
                <w:color w:val="auto"/>
                <w:sz w:val="21"/>
                <w:szCs w:val="21"/>
                <w:highlight w:val="none"/>
              </w:rPr>
              <w:t>43.5m</w:t>
            </w:r>
          </w:p>
        </w:tc>
        <w:tc>
          <w:tcPr>
            <w:tcW w:w="957" w:type="pct"/>
            <w:tcBorders>
              <w:tl2br w:val="nil"/>
              <w:tr2bl w:val="nil"/>
            </w:tcBorders>
          </w:tcPr>
          <w:p w14:paraId="23F95397">
            <w:pPr>
              <w:pStyle w:val="1095"/>
              <w:rPr>
                <w:rFonts w:ascii="Times New Roman" w:hAnsi="Times New Roman"/>
                <w:color w:val="auto"/>
                <w:sz w:val="21"/>
                <w:szCs w:val="21"/>
                <w:highlight w:val="none"/>
              </w:rPr>
            </w:pPr>
          </w:p>
        </w:tc>
      </w:tr>
      <w:tr w14:paraId="66060FB3">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769" w:type="pct"/>
            <w:tcBorders>
              <w:tl2br w:val="nil"/>
              <w:tr2bl w:val="nil"/>
            </w:tcBorders>
          </w:tcPr>
          <w:p w14:paraId="789A820F">
            <w:pPr>
              <w:pStyle w:val="1095"/>
              <w:rPr>
                <w:rFonts w:ascii="Times New Roman" w:hAnsi="Times New Roman"/>
                <w:color w:val="auto"/>
                <w:sz w:val="21"/>
                <w:szCs w:val="21"/>
                <w:highlight w:val="none"/>
              </w:rPr>
            </w:pPr>
            <w:r>
              <w:rPr>
                <w:rFonts w:ascii="Times New Roman" w:hAnsi="Times New Roman"/>
                <w:color w:val="auto"/>
                <w:sz w:val="21"/>
                <w:szCs w:val="21"/>
                <w:highlight w:val="none"/>
              </w:rPr>
              <w:t>浮箱高度（中/边）</w:t>
            </w:r>
          </w:p>
        </w:tc>
        <w:tc>
          <w:tcPr>
            <w:tcW w:w="1274" w:type="pct"/>
            <w:tcBorders>
              <w:tl2br w:val="nil"/>
              <w:tr2bl w:val="nil"/>
            </w:tcBorders>
          </w:tcPr>
          <w:p w14:paraId="5A7C6951">
            <w:pPr>
              <w:pStyle w:val="1095"/>
              <w:rPr>
                <w:rFonts w:ascii="Times New Roman" w:hAnsi="Times New Roman"/>
                <w:color w:val="auto"/>
                <w:sz w:val="21"/>
                <w:szCs w:val="21"/>
                <w:highlight w:val="none"/>
              </w:rPr>
            </w:pPr>
            <w:r>
              <w:rPr>
                <w:rFonts w:ascii="Times New Roman" w:hAnsi="Times New Roman"/>
                <w:color w:val="auto"/>
                <w:sz w:val="21"/>
                <w:szCs w:val="21"/>
                <w:highlight w:val="none"/>
              </w:rPr>
              <w:t>4.8/4.6m</w:t>
            </w:r>
          </w:p>
        </w:tc>
        <w:tc>
          <w:tcPr>
            <w:tcW w:w="957" w:type="pct"/>
            <w:tcBorders>
              <w:tl2br w:val="nil"/>
              <w:tr2bl w:val="nil"/>
            </w:tcBorders>
          </w:tcPr>
          <w:p w14:paraId="71E1299B">
            <w:pPr>
              <w:pStyle w:val="1095"/>
              <w:rPr>
                <w:rFonts w:ascii="Times New Roman" w:hAnsi="Times New Roman"/>
                <w:color w:val="auto"/>
                <w:sz w:val="21"/>
                <w:szCs w:val="21"/>
                <w:highlight w:val="none"/>
              </w:rPr>
            </w:pPr>
          </w:p>
        </w:tc>
      </w:tr>
      <w:tr w14:paraId="65503AC9">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769" w:type="pct"/>
            <w:tcBorders>
              <w:tl2br w:val="nil"/>
              <w:tr2bl w:val="nil"/>
            </w:tcBorders>
          </w:tcPr>
          <w:p w14:paraId="1195318D">
            <w:pPr>
              <w:pStyle w:val="1095"/>
              <w:rPr>
                <w:rFonts w:ascii="Times New Roman" w:hAnsi="Times New Roman"/>
                <w:color w:val="auto"/>
                <w:sz w:val="21"/>
                <w:szCs w:val="21"/>
                <w:highlight w:val="none"/>
              </w:rPr>
            </w:pPr>
            <w:r>
              <w:rPr>
                <w:rFonts w:ascii="Times New Roman" w:hAnsi="Times New Roman"/>
                <w:color w:val="auto"/>
                <w:sz w:val="21"/>
                <w:szCs w:val="21"/>
                <w:highlight w:val="none"/>
              </w:rPr>
              <w:t>浮坞型深</w:t>
            </w:r>
          </w:p>
        </w:tc>
        <w:tc>
          <w:tcPr>
            <w:tcW w:w="1274" w:type="pct"/>
            <w:tcBorders>
              <w:tl2br w:val="nil"/>
              <w:tr2bl w:val="nil"/>
            </w:tcBorders>
          </w:tcPr>
          <w:p w14:paraId="239ABACD">
            <w:pPr>
              <w:pStyle w:val="1095"/>
              <w:rPr>
                <w:rFonts w:ascii="Times New Roman" w:hAnsi="Times New Roman"/>
                <w:color w:val="auto"/>
                <w:sz w:val="21"/>
                <w:szCs w:val="21"/>
                <w:highlight w:val="none"/>
              </w:rPr>
            </w:pPr>
            <w:r>
              <w:rPr>
                <w:rFonts w:ascii="Times New Roman" w:hAnsi="Times New Roman"/>
                <w:color w:val="auto"/>
                <w:sz w:val="21"/>
                <w:szCs w:val="21"/>
                <w:highlight w:val="none"/>
              </w:rPr>
              <w:t>20.2m</w:t>
            </w:r>
          </w:p>
        </w:tc>
        <w:tc>
          <w:tcPr>
            <w:tcW w:w="957" w:type="pct"/>
            <w:tcBorders>
              <w:tl2br w:val="nil"/>
              <w:tr2bl w:val="nil"/>
            </w:tcBorders>
          </w:tcPr>
          <w:p w14:paraId="01FD1661">
            <w:pPr>
              <w:pStyle w:val="1095"/>
              <w:rPr>
                <w:rFonts w:ascii="Times New Roman" w:hAnsi="Times New Roman"/>
                <w:color w:val="auto"/>
                <w:sz w:val="21"/>
                <w:szCs w:val="21"/>
                <w:highlight w:val="none"/>
              </w:rPr>
            </w:pPr>
          </w:p>
        </w:tc>
      </w:tr>
      <w:tr w14:paraId="3DE5B2E7">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769" w:type="pct"/>
            <w:tcBorders>
              <w:tl2br w:val="nil"/>
              <w:tr2bl w:val="nil"/>
            </w:tcBorders>
          </w:tcPr>
          <w:p w14:paraId="51EC3006">
            <w:pPr>
              <w:pStyle w:val="1095"/>
              <w:rPr>
                <w:rFonts w:ascii="Times New Roman" w:hAnsi="Times New Roman"/>
                <w:color w:val="auto"/>
                <w:sz w:val="21"/>
                <w:szCs w:val="21"/>
                <w:highlight w:val="none"/>
              </w:rPr>
            </w:pPr>
            <w:r>
              <w:rPr>
                <w:rFonts w:ascii="Times New Roman" w:hAnsi="Times New Roman"/>
                <w:color w:val="auto"/>
                <w:sz w:val="21"/>
                <w:szCs w:val="21"/>
                <w:highlight w:val="none"/>
              </w:rPr>
              <w:t>安全甲板距基线高</w:t>
            </w:r>
          </w:p>
        </w:tc>
        <w:tc>
          <w:tcPr>
            <w:tcW w:w="1274" w:type="pct"/>
            <w:tcBorders>
              <w:tl2br w:val="nil"/>
              <w:tr2bl w:val="nil"/>
            </w:tcBorders>
          </w:tcPr>
          <w:p w14:paraId="6CFB4273">
            <w:pPr>
              <w:pStyle w:val="1095"/>
              <w:rPr>
                <w:rFonts w:ascii="Times New Roman" w:hAnsi="Times New Roman"/>
                <w:color w:val="auto"/>
                <w:sz w:val="21"/>
                <w:szCs w:val="21"/>
                <w:highlight w:val="none"/>
              </w:rPr>
            </w:pPr>
            <w:r>
              <w:rPr>
                <w:rFonts w:ascii="Times New Roman" w:hAnsi="Times New Roman"/>
                <w:color w:val="auto"/>
                <w:sz w:val="21"/>
                <w:szCs w:val="21"/>
                <w:highlight w:val="none"/>
              </w:rPr>
              <w:t>16.3m</w:t>
            </w:r>
          </w:p>
        </w:tc>
        <w:tc>
          <w:tcPr>
            <w:tcW w:w="957" w:type="pct"/>
            <w:tcBorders>
              <w:tl2br w:val="nil"/>
              <w:tr2bl w:val="nil"/>
            </w:tcBorders>
          </w:tcPr>
          <w:p w14:paraId="7E3121AC">
            <w:pPr>
              <w:pStyle w:val="1095"/>
              <w:rPr>
                <w:rFonts w:ascii="Times New Roman" w:hAnsi="Times New Roman"/>
                <w:color w:val="auto"/>
                <w:sz w:val="21"/>
                <w:szCs w:val="21"/>
                <w:highlight w:val="none"/>
              </w:rPr>
            </w:pPr>
          </w:p>
        </w:tc>
      </w:tr>
      <w:tr w14:paraId="1F34BEEF">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769" w:type="pct"/>
            <w:tcBorders>
              <w:tl2br w:val="nil"/>
              <w:tr2bl w:val="nil"/>
            </w:tcBorders>
          </w:tcPr>
          <w:p w14:paraId="300D25A8">
            <w:pPr>
              <w:pStyle w:val="1095"/>
              <w:rPr>
                <w:rFonts w:ascii="Times New Roman" w:hAnsi="Times New Roman"/>
                <w:color w:val="auto"/>
                <w:sz w:val="21"/>
                <w:szCs w:val="21"/>
                <w:highlight w:val="none"/>
              </w:rPr>
            </w:pPr>
            <w:r>
              <w:rPr>
                <w:rFonts w:ascii="Times New Roman" w:hAnsi="Times New Roman"/>
                <w:color w:val="auto"/>
                <w:sz w:val="21"/>
                <w:szCs w:val="21"/>
                <w:highlight w:val="none"/>
              </w:rPr>
              <w:t>龙骨墩以上水深</w:t>
            </w:r>
          </w:p>
        </w:tc>
        <w:tc>
          <w:tcPr>
            <w:tcW w:w="1274" w:type="pct"/>
            <w:tcBorders>
              <w:tl2br w:val="nil"/>
              <w:tr2bl w:val="nil"/>
            </w:tcBorders>
          </w:tcPr>
          <w:p w14:paraId="036A5A6D">
            <w:pPr>
              <w:pStyle w:val="1095"/>
              <w:rPr>
                <w:rFonts w:ascii="Times New Roman" w:hAnsi="Times New Roman"/>
                <w:color w:val="auto"/>
                <w:sz w:val="21"/>
                <w:szCs w:val="21"/>
                <w:highlight w:val="none"/>
              </w:rPr>
            </w:pPr>
            <w:r>
              <w:rPr>
                <w:rFonts w:ascii="Times New Roman" w:hAnsi="Times New Roman"/>
                <w:color w:val="auto"/>
                <w:sz w:val="21"/>
                <w:szCs w:val="21"/>
                <w:highlight w:val="none"/>
              </w:rPr>
              <w:t>8.5m</w:t>
            </w:r>
          </w:p>
        </w:tc>
        <w:tc>
          <w:tcPr>
            <w:tcW w:w="957" w:type="pct"/>
            <w:tcBorders>
              <w:tl2br w:val="nil"/>
              <w:tr2bl w:val="nil"/>
            </w:tcBorders>
          </w:tcPr>
          <w:p w14:paraId="221BCA83">
            <w:pPr>
              <w:pStyle w:val="1095"/>
              <w:rPr>
                <w:rFonts w:ascii="Times New Roman" w:hAnsi="Times New Roman"/>
                <w:color w:val="auto"/>
                <w:sz w:val="21"/>
                <w:szCs w:val="21"/>
                <w:highlight w:val="none"/>
              </w:rPr>
            </w:pPr>
          </w:p>
        </w:tc>
      </w:tr>
      <w:tr w14:paraId="0A9DF053">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769" w:type="pct"/>
            <w:tcBorders>
              <w:tl2br w:val="nil"/>
              <w:tr2bl w:val="nil"/>
            </w:tcBorders>
          </w:tcPr>
          <w:p w14:paraId="458DAB45">
            <w:pPr>
              <w:pStyle w:val="1095"/>
              <w:rPr>
                <w:rFonts w:ascii="Times New Roman" w:hAnsi="Times New Roman"/>
                <w:color w:val="auto"/>
                <w:sz w:val="21"/>
                <w:szCs w:val="21"/>
                <w:highlight w:val="none"/>
              </w:rPr>
            </w:pPr>
            <w:r>
              <w:rPr>
                <w:rFonts w:ascii="Times New Roman" w:hAnsi="Times New Roman"/>
                <w:color w:val="auto"/>
                <w:sz w:val="21"/>
                <w:szCs w:val="21"/>
                <w:highlight w:val="none"/>
              </w:rPr>
              <w:t>最大沉深</w:t>
            </w:r>
          </w:p>
        </w:tc>
        <w:tc>
          <w:tcPr>
            <w:tcW w:w="1274" w:type="pct"/>
            <w:tcBorders>
              <w:tl2br w:val="nil"/>
              <w:tr2bl w:val="nil"/>
            </w:tcBorders>
          </w:tcPr>
          <w:p w14:paraId="66F044BD">
            <w:pPr>
              <w:pStyle w:val="1095"/>
              <w:rPr>
                <w:rFonts w:ascii="Times New Roman" w:hAnsi="Times New Roman"/>
                <w:color w:val="auto"/>
                <w:sz w:val="21"/>
                <w:szCs w:val="21"/>
                <w:highlight w:val="none"/>
              </w:rPr>
            </w:pPr>
            <w:r>
              <w:rPr>
                <w:rFonts w:ascii="Times New Roman" w:hAnsi="Times New Roman"/>
                <w:color w:val="auto"/>
                <w:sz w:val="21"/>
                <w:szCs w:val="21"/>
                <w:highlight w:val="none"/>
              </w:rPr>
              <w:t>15.1m</w:t>
            </w:r>
          </w:p>
        </w:tc>
        <w:tc>
          <w:tcPr>
            <w:tcW w:w="957" w:type="pct"/>
            <w:tcBorders>
              <w:tl2br w:val="nil"/>
              <w:tr2bl w:val="nil"/>
            </w:tcBorders>
          </w:tcPr>
          <w:p w14:paraId="2A89FC39">
            <w:pPr>
              <w:pStyle w:val="1095"/>
              <w:rPr>
                <w:rFonts w:ascii="Times New Roman" w:hAnsi="Times New Roman"/>
                <w:color w:val="auto"/>
                <w:sz w:val="21"/>
                <w:szCs w:val="21"/>
                <w:highlight w:val="none"/>
              </w:rPr>
            </w:pPr>
          </w:p>
        </w:tc>
      </w:tr>
      <w:tr w14:paraId="3AAB7EE3">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769" w:type="pct"/>
            <w:tcBorders>
              <w:tl2br w:val="nil"/>
              <w:tr2bl w:val="nil"/>
            </w:tcBorders>
          </w:tcPr>
          <w:p w14:paraId="68195CEB">
            <w:pPr>
              <w:pStyle w:val="1095"/>
              <w:rPr>
                <w:rFonts w:ascii="Times New Roman" w:hAnsi="Times New Roman"/>
                <w:color w:val="auto"/>
                <w:sz w:val="21"/>
                <w:szCs w:val="21"/>
                <w:highlight w:val="none"/>
              </w:rPr>
            </w:pPr>
            <w:r>
              <w:rPr>
                <w:rFonts w:ascii="Times New Roman" w:hAnsi="Times New Roman"/>
                <w:color w:val="auto"/>
                <w:sz w:val="21"/>
                <w:szCs w:val="21"/>
                <w:highlight w:val="none"/>
              </w:rPr>
              <w:t>工作吃水</w:t>
            </w:r>
          </w:p>
        </w:tc>
        <w:tc>
          <w:tcPr>
            <w:tcW w:w="1274" w:type="pct"/>
            <w:tcBorders>
              <w:tl2br w:val="nil"/>
              <w:tr2bl w:val="nil"/>
            </w:tcBorders>
          </w:tcPr>
          <w:p w14:paraId="300E8920">
            <w:pPr>
              <w:pStyle w:val="1095"/>
              <w:rPr>
                <w:rFonts w:ascii="Times New Roman" w:hAnsi="Times New Roman"/>
                <w:color w:val="auto"/>
                <w:sz w:val="21"/>
                <w:szCs w:val="21"/>
                <w:highlight w:val="none"/>
              </w:rPr>
            </w:pPr>
            <w:r>
              <w:rPr>
                <w:rFonts w:ascii="Times New Roman" w:hAnsi="Times New Roman"/>
                <w:color w:val="auto"/>
                <w:sz w:val="21"/>
                <w:szCs w:val="21"/>
                <w:highlight w:val="none"/>
              </w:rPr>
              <w:t>4.3m</w:t>
            </w:r>
          </w:p>
        </w:tc>
        <w:tc>
          <w:tcPr>
            <w:tcW w:w="957" w:type="pct"/>
            <w:tcBorders>
              <w:tl2br w:val="nil"/>
              <w:tr2bl w:val="nil"/>
            </w:tcBorders>
          </w:tcPr>
          <w:p w14:paraId="38AF5DBA">
            <w:pPr>
              <w:pStyle w:val="1095"/>
              <w:rPr>
                <w:rFonts w:ascii="Times New Roman" w:hAnsi="Times New Roman"/>
                <w:color w:val="auto"/>
                <w:sz w:val="21"/>
                <w:szCs w:val="21"/>
                <w:highlight w:val="none"/>
              </w:rPr>
            </w:pPr>
          </w:p>
        </w:tc>
      </w:tr>
      <w:tr w14:paraId="29EA7B14">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769" w:type="pct"/>
            <w:tcBorders>
              <w:tl2br w:val="nil"/>
              <w:tr2bl w:val="nil"/>
            </w:tcBorders>
          </w:tcPr>
          <w:p w14:paraId="602FADE5">
            <w:pPr>
              <w:pStyle w:val="1095"/>
              <w:rPr>
                <w:rFonts w:ascii="Times New Roman" w:hAnsi="Times New Roman"/>
                <w:color w:val="auto"/>
                <w:sz w:val="21"/>
                <w:szCs w:val="21"/>
                <w:highlight w:val="none"/>
              </w:rPr>
            </w:pPr>
            <w:r>
              <w:rPr>
                <w:rFonts w:ascii="Times New Roman" w:hAnsi="Times New Roman"/>
                <w:color w:val="auto"/>
                <w:sz w:val="21"/>
                <w:szCs w:val="21"/>
                <w:highlight w:val="none"/>
              </w:rPr>
              <w:t>举力</w:t>
            </w:r>
          </w:p>
        </w:tc>
        <w:tc>
          <w:tcPr>
            <w:tcW w:w="1274" w:type="pct"/>
            <w:tcBorders>
              <w:tl2br w:val="nil"/>
              <w:tr2bl w:val="nil"/>
            </w:tcBorders>
          </w:tcPr>
          <w:p w14:paraId="202F0575">
            <w:pPr>
              <w:pStyle w:val="1095"/>
              <w:rPr>
                <w:rFonts w:ascii="Times New Roman" w:hAnsi="Times New Roman"/>
                <w:color w:val="auto"/>
                <w:sz w:val="21"/>
                <w:szCs w:val="21"/>
                <w:highlight w:val="none"/>
              </w:rPr>
            </w:pPr>
            <w:r>
              <w:rPr>
                <w:rFonts w:ascii="Times New Roman" w:hAnsi="Times New Roman"/>
                <w:color w:val="auto"/>
                <w:sz w:val="21"/>
                <w:szCs w:val="21"/>
                <w:highlight w:val="none"/>
              </w:rPr>
              <w:t>28000t</w:t>
            </w:r>
          </w:p>
        </w:tc>
        <w:tc>
          <w:tcPr>
            <w:tcW w:w="957" w:type="pct"/>
            <w:tcBorders>
              <w:tl2br w:val="nil"/>
              <w:tr2bl w:val="nil"/>
            </w:tcBorders>
          </w:tcPr>
          <w:p w14:paraId="46F1161F">
            <w:pPr>
              <w:pStyle w:val="1095"/>
              <w:rPr>
                <w:rFonts w:ascii="Times New Roman" w:hAnsi="Times New Roman"/>
                <w:color w:val="auto"/>
                <w:sz w:val="21"/>
                <w:szCs w:val="21"/>
                <w:highlight w:val="none"/>
              </w:rPr>
            </w:pPr>
          </w:p>
        </w:tc>
      </w:tr>
    </w:tbl>
    <w:p w14:paraId="2380839C">
      <w:pPr>
        <w:ind w:firstLine="480"/>
        <w:rPr>
          <w:color w:val="auto"/>
          <w:highlight w:val="none"/>
        </w:rPr>
      </w:pPr>
      <w:r>
        <w:rPr>
          <w:color w:val="auto"/>
          <w:highlight w:val="none"/>
        </w:rPr>
        <w:t>②进出坞水位</w:t>
      </w:r>
    </w:p>
    <w:p w14:paraId="1445CD3E">
      <w:pPr>
        <w:ind w:firstLine="480"/>
        <w:rPr>
          <w:color w:val="auto"/>
          <w:highlight w:val="none"/>
        </w:rPr>
      </w:pPr>
      <w:r>
        <w:rPr>
          <w:color w:val="auto"/>
          <w:highlight w:val="none"/>
        </w:rPr>
        <w:t>进出坞水位3.5m，持续时间3小时保证率90%，或持续时间4小时保证率80%。</w:t>
      </w:r>
    </w:p>
    <w:p w14:paraId="54DF87A2">
      <w:pPr>
        <w:ind w:firstLine="480"/>
        <w:rPr>
          <w:color w:val="auto"/>
          <w:highlight w:val="none"/>
        </w:rPr>
      </w:pPr>
      <w:r>
        <w:rPr>
          <w:color w:val="auto"/>
          <w:highlight w:val="none"/>
        </w:rPr>
        <w:t>③沉坞坑尺度</w:t>
      </w:r>
    </w:p>
    <w:p w14:paraId="1E632FF7">
      <w:pPr>
        <w:ind w:firstLine="480"/>
        <w:rPr>
          <w:color w:val="auto"/>
          <w:highlight w:val="none"/>
        </w:rPr>
      </w:pPr>
      <w:r>
        <w:rPr>
          <w:rFonts w:hint="eastAsia"/>
          <w:color w:val="auto"/>
          <w:highlight w:val="none"/>
        </w:rPr>
        <w:t>现有坞坑长285m，宽75m，底表高-13.1m，满足本次浮船坞存放需要。项目依托现有坞坑进行存放，不需对坞坑进行改建。</w:t>
      </w:r>
    </w:p>
    <w:p w14:paraId="5E33CF99">
      <w:pPr>
        <w:ind w:firstLine="482"/>
        <w:rPr>
          <w:b/>
          <w:bCs/>
          <w:color w:val="auto"/>
          <w:highlight w:val="none"/>
        </w:rPr>
      </w:pPr>
      <w:r>
        <w:rPr>
          <w:b/>
          <w:bCs/>
          <w:color w:val="auto"/>
          <w:highlight w:val="none"/>
        </w:rPr>
        <w:t>（7）航道</w:t>
      </w:r>
    </w:p>
    <w:p w14:paraId="04B01B9E">
      <w:pPr>
        <w:ind w:firstLine="480"/>
        <w:rPr>
          <w:color w:val="auto"/>
          <w:highlight w:val="none"/>
        </w:rPr>
      </w:pPr>
      <w:r>
        <w:rPr>
          <w:color w:val="auto"/>
          <w:highlight w:val="none"/>
        </w:rPr>
        <w:t>航道设计底高程：10万吨级船舶空船航行水域所需设计底高程为-5.0m，7000TEU集装箱船为-5.0m，根据现有测图，该部分水域水深普遍在-8.0m以上，满足本工程船舶回旋及航行。</w:t>
      </w:r>
    </w:p>
    <w:p w14:paraId="7320399D">
      <w:pPr>
        <w:ind w:firstLine="480"/>
        <w:rPr>
          <w:color w:val="auto"/>
          <w:highlight w:val="none"/>
        </w:rPr>
      </w:pPr>
      <w:r>
        <w:rPr>
          <w:color w:val="auto"/>
          <w:highlight w:val="none"/>
        </w:rPr>
        <w:t>航道有效宽度：位于本项目1000m外的钦州湾东航道可单向通行20万吨级船舶，可以满足本项目船舶通航要求。</w:t>
      </w:r>
    </w:p>
    <w:p w14:paraId="364F253C">
      <w:pPr>
        <w:ind w:firstLine="482"/>
        <w:rPr>
          <w:b/>
          <w:bCs/>
          <w:color w:val="auto"/>
          <w:highlight w:val="none"/>
        </w:rPr>
      </w:pPr>
      <w:r>
        <w:rPr>
          <w:b/>
          <w:bCs/>
          <w:color w:val="auto"/>
          <w:highlight w:val="none"/>
        </w:rPr>
        <w:t>（8）能力及起浮时间</w:t>
      </w:r>
    </w:p>
    <w:p w14:paraId="1554498A">
      <w:pPr>
        <w:ind w:firstLine="480"/>
        <w:rPr>
          <w:color w:val="auto"/>
          <w:highlight w:val="none"/>
        </w:rPr>
      </w:pPr>
      <w:r>
        <w:rPr>
          <w:color w:val="auto"/>
          <w:highlight w:val="none"/>
        </w:rPr>
        <w:t>举力：28000t（即在扣除100%油水，剩余水、调节水后，能抬起28000t重量的船舶）；</w:t>
      </w:r>
    </w:p>
    <w:p w14:paraId="5D95E555">
      <w:pPr>
        <w:ind w:firstLine="480"/>
        <w:rPr>
          <w:color w:val="auto"/>
          <w:highlight w:val="none"/>
        </w:rPr>
      </w:pPr>
      <w:r>
        <w:rPr>
          <w:color w:val="auto"/>
          <w:highlight w:val="none"/>
        </w:rPr>
        <w:t>起浮时间：从进坞船完全搁墩开始，抬举28000t重的进坞船至工作吃水的起浮时间~120 min。</w:t>
      </w:r>
    </w:p>
    <w:p w14:paraId="5A8BE28A">
      <w:pPr>
        <w:ind w:firstLine="482"/>
        <w:rPr>
          <w:b/>
          <w:bCs/>
          <w:color w:val="auto"/>
          <w:highlight w:val="none"/>
        </w:rPr>
      </w:pPr>
      <w:r>
        <w:rPr>
          <w:b/>
          <w:bCs/>
          <w:color w:val="auto"/>
          <w:highlight w:val="none"/>
        </w:rPr>
        <w:t>（9）进坞设备</w:t>
      </w:r>
    </w:p>
    <w:p w14:paraId="437EC138">
      <w:pPr>
        <w:ind w:firstLine="480"/>
        <w:rPr>
          <w:color w:val="auto"/>
          <w:highlight w:val="none"/>
        </w:rPr>
      </w:pPr>
      <w:r>
        <w:rPr>
          <w:color w:val="auto"/>
          <w:highlight w:val="none"/>
        </w:rPr>
        <w:t>在坞墙内侧顶甲板上设牵引小车和轨道，由电动牵引绞车牵引；本坞为确保进坞船的对中，每舷顶甲板中部设系缆绞盘和绞车，用于进坞船舶对中；龙骨墩和边墩设置的范围根据坞修船舶确定，龙骨墩和边墩设置部位的承载能力满足坞修船舶的要求。</w:t>
      </w:r>
    </w:p>
    <w:p w14:paraId="70C74933">
      <w:pPr>
        <w:ind w:firstLine="480"/>
        <w:rPr>
          <w:color w:val="auto"/>
          <w:highlight w:val="none"/>
        </w:rPr>
      </w:pPr>
      <w:r>
        <w:rPr>
          <w:color w:val="auto"/>
          <w:highlight w:val="none"/>
        </w:rPr>
        <w:t>为缓和坞修船舶进出坞时与浮船坞的碰撞，在左右坞墙尾端内侧设实心橡胶滚轮防撞装置。在左右坞墙顶甲板内侧设橡胶护舷材。</w:t>
      </w:r>
    </w:p>
    <w:p w14:paraId="771D822E">
      <w:pPr>
        <w:ind w:firstLine="480"/>
        <w:rPr>
          <w:color w:val="auto"/>
          <w:highlight w:val="none"/>
        </w:rPr>
      </w:pPr>
    </w:p>
    <w:p w14:paraId="28500AC9">
      <w:pPr>
        <w:ind w:firstLine="482"/>
        <w:rPr>
          <w:b/>
          <w:bCs/>
          <w:color w:val="auto"/>
          <w:highlight w:val="none"/>
        </w:rPr>
      </w:pPr>
      <w:r>
        <w:rPr>
          <w:b/>
          <w:bCs/>
          <w:color w:val="auto"/>
          <w:highlight w:val="none"/>
        </w:rPr>
        <w:t>（10）起重机</w:t>
      </w:r>
    </w:p>
    <w:p w14:paraId="21BA922B">
      <w:pPr>
        <w:ind w:firstLine="480"/>
        <w:rPr>
          <w:color w:val="auto"/>
          <w:highlight w:val="none"/>
        </w:rPr>
      </w:pPr>
      <w:r>
        <w:rPr>
          <w:color w:val="auto"/>
          <w:highlight w:val="none"/>
        </w:rPr>
        <w:t>起重机：30吨×半径40.0m，2台。</w:t>
      </w:r>
    </w:p>
    <w:p w14:paraId="0D864A99">
      <w:pPr>
        <w:ind w:firstLine="482"/>
        <w:rPr>
          <w:b/>
          <w:bCs/>
          <w:color w:val="auto"/>
          <w:highlight w:val="none"/>
        </w:rPr>
      </w:pPr>
      <w:r>
        <w:rPr>
          <w:b/>
          <w:bCs/>
          <w:color w:val="auto"/>
          <w:highlight w:val="none"/>
        </w:rPr>
        <w:t>（11）进排水系统</w:t>
      </w:r>
    </w:p>
    <w:p w14:paraId="73E8944A">
      <w:pPr>
        <w:ind w:firstLine="480"/>
        <w:rPr>
          <w:color w:val="auto"/>
          <w:highlight w:val="none"/>
        </w:rPr>
      </w:pPr>
      <w:r>
        <w:rPr>
          <w:color w:val="auto"/>
          <w:highlight w:val="none"/>
        </w:rPr>
        <w:t>浮船坞下沉、上浮是由进排压载水系统承担。本坞进排压载水系统采用重力进水，动力排水。进排压载水系统包括主排水泵、进排压载水管、集成电液式遥控蝶阀及控制系统。</w:t>
      </w:r>
    </w:p>
    <w:p w14:paraId="3C8DCA60">
      <w:pPr>
        <w:ind w:firstLine="480"/>
        <w:rPr>
          <w:color w:val="auto"/>
          <w:highlight w:val="none"/>
        </w:rPr>
      </w:pPr>
      <w:r>
        <w:rPr>
          <w:color w:val="auto"/>
          <w:highlight w:val="none"/>
        </w:rPr>
        <w:t>液控（压载）系统采用小分区控制。</w:t>
      </w:r>
    </w:p>
    <w:p w14:paraId="2699A981">
      <w:pPr>
        <w:ind w:firstLine="480"/>
        <w:rPr>
          <w:color w:val="auto"/>
          <w:highlight w:val="none"/>
        </w:rPr>
      </w:pPr>
      <w:r>
        <w:rPr>
          <w:color w:val="auto"/>
          <w:highlight w:val="none"/>
        </w:rPr>
        <w:t>主排水泵为干式布置。采用立式中开双吸离心泵，共8台。管路布置应满足其中一台泵失效时，可由另一台泵排水。主排水泵进、出口管路上设有压力表及真空压力表。泵进出口压力由传感器将信号送至中央控制室显示。</w:t>
      </w:r>
    </w:p>
    <w:p w14:paraId="70089187">
      <w:pPr>
        <w:ind w:firstLine="480"/>
        <w:rPr>
          <w:color w:val="auto"/>
          <w:highlight w:val="none"/>
        </w:rPr>
      </w:pPr>
      <w:r>
        <w:rPr>
          <w:color w:val="auto"/>
          <w:highlight w:val="none"/>
        </w:rPr>
        <w:t>主排水泵规格：~3600m</w:t>
      </w:r>
      <w:r>
        <w:rPr>
          <w:color w:val="auto"/>
          <w:highlight w:val="none"/>
          <w:vertAlign w:val="superscript"/>
        </w:rPr>
        <w:t>3</w:t>
      </w:r>
      <w:r>
        <w:rPr>
          <w:color w:val="auto"/>
          <w:highlight w:val="none"/>
        </w:rPr>
        <w:t>/h×0.13~0.07MPa×8台，泵体材料：球墨铸铁，铝青铜叶轮。</w:t>
      </w:r>
    </w:p>
    <w:p w14:paraId="13C3D5D1">
      <w:pPr>
        <w:ind w:firstLine="482"/>
        <w:rPr>
          <w:b/>
          <w:bCs/>
          <w:color w:val="auto"/>
          <w:highlight w:val="none"/>
        </w:rPr>
      </w:pPr>
      <w:r>
        <w:rPr>
          <w:b/>
          <w:bCs/>
          <w:color w:val="auto"/>
          <w:highlight w:val="none"/>
        </w:rPr>
        <w:t>（12）消防和甲板冲洗系统</w:t>
      </w:r>
    </w:p>
    <w:p w14:paraId="5AEE6A72">
      <w:pPr>
        <w:ind w:firstLine="480"/>
        <w:rPr>
          <w:color w:val="auto"/>
          <w:highlight w:val="none"/>
        </w:rPr>
      </w:pPr>
      <w:r>
        <w:rPr>
          <w:color w:val="auto"/>
          <w:highlight w:val="none"/>
        </w:rPr>
        <w:t>本坞消防用品按中国船级社浮船坞入级与建造规范的要求配置。其他消防用品如CO</w:t>
      </w:r>
      <w:r>
        <w:rPr>
          <w:color w:val="auto"/>
          <w:highlight w:val="none"/>
          <w:vertAlign w:val="subscript"/>
        </w:rPr>
        <w:t>2</w:t>
      </w:r>
      <w:r>
        <w:rPr>
          <w:rFonts w:hint="eastAsia"/>
          <w:color w:val="auto"/>
          <w:highlight w:val="none"/>
          <w:vertAlign w:val="subscript"/>
          <w:lang w:eastAsia="zh-CN"/>
        </w:rPr>
        <w:t>灭火器</w:t>
      </w:r>
      <w:r>
        <w:rPr>
          <w:color w:val="auto"/>
          <w:highlight w:val="none"/>
        </w:rPr>
        <w:t>、</w:t>
      </w:r>
      <w:r>
        <w:rPr>
          <w:rFonts w:hint="eastAsia"/>
          <w:color w:val="auto"/>
          <w:highlight w:val="none"/>
          <w:lang w:eastAsia="zh-CN"/>
        </w:rPr>
        <w:t>泡沫灭火器</w:t>
      </w:r>
      <w:r>
        <w:rPr>
          <w:color w:val="auto"/>
          <w:highlight w:val="none"/>
        </w:rPr>
        <w:t>等根据舱室通道情况布置在易于拿取又不影响通行之处。</w:t>
      </w:r>
    </w:p>
    <w:p w14:paraId="0776881C">
      <w:pPr>
        <w:ind w:firstLine="480"/>
        <w:rPr>
          <w:color w:val="auto"/>
          <w:highlight w:val="none"/>
        </w:rPr>
      </w:pPr>
      <w:r>
        <w:rPr>
          <w:color w:val="auto"/>
          <w:highlight w:val="none"/>
        </w:rPr>
        <w:t>本坞采用为全坞服务的水灭火系统和为发电机舱服务的CO</w:t>
      </w:r>
      <w:r>
        <w:rPr>
          <w:color w:val="auto"/>
          <w:highlight w:val="none"/>
          <w:vertAlign w:val="subscript"/>
        </w:rPr>
        <w:t>2</w:t>
      </w:r>
      <w:r>
        <w:rPr>
          <w:color w:val="auto"/>
          <w:highlight w:val="none"/>
        </w:rPr>
        <w:t>灭火系统。</w:t>
      </w:r>
    </w:p>
    <w:p w14:paraId="695054D7">
      <w:pPr>
        <w:ind w:firstLine="482"/>
        <w:rPr>
          <w:b/>
          <w:bCs/>
          <w:color w:val="auto"/>
          <w:highlight w:val="none"/>
        </w:rPr>
      </w:pPr>
      <w:r>
        <w:rPr>
          <w:b/>
          <w:bCs/>
          <w:color w:val="auto"/>
          <w:highlight w:val="none"/>
        </w:rPr>
        <w:t>（13）通风装置</w:t>
      </w:r>
    </w:p>
    <w:p w14:paraId="49D39E90">
      <w:pPr>
        <w:ind w:firstLine="480"/>
        <w:rPr>
          <w:color w:val="auto"/>
          <w:highlight w:val="none"/>
        </w:rPr>
      </w:pPr>
      <w:r>
        <w:rPr>
          <w:color w:val="auto"/>
          <w:highlight w:val="none"/>
        </w:rPr>
        <w:t>中央控制室、会议室、坞长室设置冷暖两用水冷柜式空调机。</w:t>
      </w:r>
    </w:p>
    <w:p w14:paraId="5676C7B6">
      <w:pPr>
        <w:ind w:firstLine="480"/>
        <w:rPr>
          <w:color w:val="auto"/>
          <w:highlight w:val="none"/>
        </w:rPr>
      </w:pPr>
      <w:r>
        <w:rPr>
          <w:color w:val="auto"/>
          <w:highlight w:val="none"/>
        </w:rPr>
        <w:t>本坞主排水泵舱、应急发电机室、坞修工人休息室、单人间、双人间、</w:t>
      </w:r>
      <w:r>
        <w:rPr>
          <w:rFonts w:hint="eastAsia"/>
          <w:color w:val="auto"/>
          <w:highlight w:val="none"/>
          <w:lang w:eastAsia="zh-CN"/>
        </w:rPr>
        <w:t>副</w:t>
      </w:r>
      <w:r>
        <w:rPr>
          <w:color w:val="auto"/>
          <w:highlight w:val="none"/>
        </w:rPr>
        <w:t>配电板室、主配电板室、高压水泵舱、牵引绞车室、电焊机室、蓄电池室、电工间、厕所、充放电室等舱室设有机械通风。除此之外的</w:t>
      </w:r>
      <w:r>
        <w:rPr>
          <w:rFonts w:hint="eastAsia"/>
          <w:color w:val="auto"/>
          <w:highlight w:val="none"/>
          <w:lang w:eastAsia="zh-CN"/>
        </w:rPr>
        <w:t>其他</w:t>
      </w:r>
      <w:r>
        <w:rPr>
          <w:color w:val="auto"/>
          <w:highlight w:val="none"/>
        </w:rPr>
        <w:t>舱室设有自然通风。</w:t>
      </w:r>
    </w:p>
    <w:p w14:paraId="25D8834F">
      <w:pPr>
        <w:ind w:firstLine="482"/>
        <w:rPr>
          <w:b/>
          <w:bCs/>
          <w:color w:val="auto"/>
          <w:highlight w:val="none"/>
        </w:rPr>
      </w:pPr>
      <w:r>
        <w:rPr>
          <w:b/>
          <w:bCs/>
          <w:color w:val="auto"/>
          <w:highlight w:val="none"/>
        </w:rPr>
        <w:t>（14）主电站及应急电站</w:t>
      </w:r>
    </w:p>
    <w:p w14:paraId="7E3240A4">
      <w:pPr>
        <w:ind w:firstLine="480"/>
        <w:rPr>
          <w:color w:val="auto"/>
          <w:highlight w:val="none"/>
        </w:rPr>
      </w:pPr>
      <w:r>
        <w:rPr>
          <w:color w:val="auto"/>
          <w:highlight w:val="none"/>
        </w:rPr>
        <w:t xml:space="preserve">主电源  </w:t>
      </w:r>
      <w:r>
        <w:rPr>
          <w:color w:val="auto"/>
          <w:highlight w:val="none"/>
        </w:rPr>
        <w:tab/>
      </w:r>
      <w:r>
        <w:rPr>
          <w:color w:val="auto"/>
          <w:highlight w:val="none"/>
        </w:rPr>
        <w:t>10kV Offshore power岸电；</w:t>
      </w:r>
    </w:p>
    <w:p w14:paraId="68E6D6B3">
      <w:pPr>
        <w:ind w:firstLine="480"/>
        <w:rPr>
          <w:color w:val="auto"/>
          <w:highlight w:val="none"/>
        </w:rPr>
      </w:pPr>
      <w:r>
        <w:rPr>
          <w:color w:val="auto"/>
          <w:highlight w:val="none"/>
        </w:rPr>
        <w:t xml:space="preserve">备用电源  </w:t>
      </w:r>
      <w:r>
        <w:rPr>
          <w:color w:val="auto"/>
          <w:highlight w:val="none"/>
        </w:rPr>
        <w:tab/>
      </w:r>
      <w:r>
        <w:rPr>
          <w:color w:val="auto"/>
          <w:highlight w:val="none"/>
        </w:rPr>
        <w:t>380V Offshore power岸电；</w:t>
      </w:r>
    </w:p>
    <w:p w14:paraId="7AC78C6E">
      <w:pPr>
        <w:ind w:firstLine="480"/>
        <w:rPr>
          <w:color w:val="auto"/>
          <w:highlight w:val="none"/>
        </w:rPr>
      </w:pPr>
      <w:r>
        <w:rPr>
          <w:color w:val="auto"/>
          <w:highlight w:val="none"/>
        </w:rPr>
        <w:t>本坞设1台150kW的应急柴油发电机组(AC400V, 50Hz, 3Φ)；</w:t>
      </w:r>
    </w:p>
    <w:p w14:paraId="54635E62">
      <w:pPr>
        <w:ind w:firstLine="480"/>
        <w:rPr>
          <w:color w:val="auto"/>
          <w:highlight w:val="none"/>
        </w:rPr>
      </w:pPr>
      <w:r>
        <w:rPr>
          <w:color w:val="auto"/>
          <w:highlight w:val="none"/>
        </w:rPr>
        <w:t>中控系统配置UPS供电。</w:t>
      </w:r>
    </w:p>
    <w:p w14:paraId="0328AA59">
      <w:pPr>
        <w:ind w:firstLine="482"/>
        <w:rPr>
          <w:b/>
          <w:bCs/>
          <w:color w:val="auto"/>
          <w:highlight w:val="none"/>
        </w:rPr>
      </w:pPr>
      <w:r>
        <w:rPr>
          <w:b/>
          <w:bCs/>
          <w:color w:val="auto"/>
          <w:highlight w:val="none"/>
        </w:rPr>
        <w:t>（15）舱底水和污水系统</w:t>
      </w:r>
    </w:p>
    <w:p w14:paraId="4A1BDC84">
      <w:pPr>
        <w:ind w:firstLine="480"/>
        <w:rPr>
          <w:color w:val="auto"/>
          <w:highlight w:val="none"/>
        </w:rPr>
      </w:pPr>
      <w:r>
        <w:rPr>
          <w:color w:val="auto"/>
          <w:highlight w:val="none"/>
        </w:rPr>
        <w:t xml:space="preserve">安全甲板层各舱室的疏水均流至相近的泵舱，各泵舱设有舱底水泵及管系。每个泵舱内各设一台舱底水泵。 </w:t>
      </w:r>
    </w:p>
    <w:p w14:paraId="29E79909">
      <w:pPr>
        <w:ind w:firstLine="480"/>
        <w:rPr>
          <w:color w:val="auto"/>
          <w:highlight w:val="none"/>
        </w:rPr>
      </w:pPr>
      <w:r>
        <w:rPr>
          <w:color w:val="auto"/>
          <w:highlight w:val="none"/>
        </w:rPr>
        <w:t>面盆、水池、空调房间凝结水、舱室的地面水等。其中面盆、水池及舱室的地面水汇合后至泵舱经截止止回阀排舷外，而空调舱室里子板凝结水泄至泵舱舱底。</w:t>
      </w:r>
    </w:p>
    <w:p w14:paraId="34E6BA06">
      <w:pPr>
        <w:ind w:firstLine="480"/>
        <w:rPr>
          <w:color w:val="auto"/>
          <w:highlight w:val="none"/>
        </w:rPr>
      </w:pPr>
      <w:r>
        <w:rPr>
          <w:color w:val="auto"/>
          <w:highlight w:val="none"/>
        </w:rPr>
        <w:t>需要进行处理后达到排放标准才能排舷外的生活污水。如厕所内大便器、小便器及地面落水等生活污水，这些污水先排至生活污水处理装置，经过处理后排舷外。</w:t>
      </w:r>
    </w:p>
    <w:p w14:paraId="127B4429">
      <w:pPr>
        <w:pStyle w:val="533"/>
        <w:numPr>
          <w:ilvl w:val="3"/>
          <w:numId w:val="9"/>
        </w:numPr>
        <w:rPr>
          <w:color w:val="auto"/>
          <w:szCs w:val="24"/>
          <w:highlight w:val="none"/>
        </w:rPr>
      </w:pPr>
      <w:r>
        <w:rPr>
          <w:rFonts w:hint="eastAsia"/>
          <w:color w:val="auto"/>
          <w:szCs w:val="24"/>
          <w:highlight w:val="none"/>
        </w:rPr>
        <w:t xml:space="preserve">  5#码头6070</w:t>
      </w:r>
      <w:r>
        <w:rPr>
          <w:color w:val="auto"/>
          <w:szCs w:val="24"/>
          <w:highlight w:val="none"/>
        </w:rPr>
        <w:t>门座式起重机</w:t>
      </w:r>
    </w:p>
    <w:p w14:paraId="1DF2936A">
      <w:pPr>
        <w:ind w:firstLine="480"/>
        <w:rPr>
          <w:color w:val="auto"/>
          <w:highlight w:val="none"/>
        </w:rPr>
      </w:pPr>
      <w:r>
        <w:rPr>
          <w:color w:val="auto"/>
          <w:highlight w:val="none"/>
        </w:rPr>
        <w:t>5#舾装码头于2023年完成竣工验收并投入使用。该码头项目环评建设内容包含配套32t门座机，验收时未建设该32t门座机</w:t>
      </w:r>
      <w:r>
        <w:rPr>
          <w:rFonts w:hint="eastAsia"/>
          <w:color w:val="auto"/>
          <w:highlight w:val="none"/>
        </w:rPr>
        <w:t>，因此</w:t>
      </w:r>
      <w:r>
        <w:rPr>
          <w:color w:val="auto"/>
          <w:highlight w:val="none"/>
        </w:rPr>
        <w:t>5#码头建成后无配置起吊设备，本次拟</w:t>
      </w:r>
      <w:r>
        <w:rPr>
          <w:rFonts w:hint="eastAsia"/>
          <w:color w:val="auto"/>
          <w:highlight w:val="none"/>
        </w:rPr>
        <w:t>在5#码头扩建</w:t>
      </w:r>
      <w:r>
        <w:rPr>
          <w:color w:val="auto"/>
          <w:highlight w:val="none"/>
        </w:rPr>
        <w:t>1台6070门座式起重机，以满足5#码头舾装作业的需求。</w:t>
      </w:r>
    </w:p>
    <w:p w14:paraId="7E0E1E06">
      <w:pPr>
        <w:ind w:firstLine="482"/>
        <w:rPr>
          <w:b/>
          <w:bCs/>
          <w:color w:val="auto"/>
          <w:highlight w:val="none"/>
        </w:rPr>
      </w:pPr>
      <w:r>
        <w:rPr>
          <w:b/>
          <w:bCs/>
          <w:color w:val="auto"/>
          <w:highlight w:val="none"/>
        </w:rPr>
        <w:t>（1）任务特点及工艺流程</w:t>
      </w:r>
    </w:p>
    <w:p w14:paraId="7EA2C82F">
      <w:pPr>
        <w:ind w:firstLine="480"/>
        <w:rPr>
          <w:color w:val="auto"/>
          <w:highlight w:val="none"/>
        </w:rPr>
      </w:pPr>
      <w:r>
        <w:rPr>
          <w:color w:val="auto"/>
          <w:highlight w:val="none"/>
        </w:rPr>
        <w:t>①任务特点</w:t>
      </w:r>
    </w:p>
    <w:p w14:paraId="45E6A497">
      <w:pPr>
        <w:ind w:firstLine="480"/>
        <w:rPr>
          <w:color w:val="auto"/>
          <w:highlight w:val="none"/>
        </w:rPr>
      </w:pPr>
      <w:r>
        <w:rPr>
          <w:color w:val="auto"/>
          <w:highlight w:val="none"/>
        </w:rPr>
        <w:t>5#码头建成后无配置起吊设备，通过新增必要的吊车设备，满足产能需求。</w:t>
      </w:r>
    </w:p>
    <w:p w14:paraId="3C4515E3">
      <w:pPr>
        <w:ind w:firstLine="480"/>
        <w:rPr>
          <w:color w:val="auto"/>
          <w:highlight w:val="none"/>
        </w:rPr>
      </w:pPr>
      <w:r>
        <w:rPr>
          <w:color w:val="auto"/>
          <w:highlight w:val="none"/>
        </w:rPr>
        <w:t>②工艺流程</w:t>
      </w:r>
    </w:p>
    <w:p w14:paraId="416587EC">
      <w:pPr>
        <w:ind w:firstLine="480"/>
        <w:rPr>
          <w:color w:val="auto"/>
          <w:highlight w:val="none"/>
        </w:rPr>
      </w:pPr>
      <w:r>
        <w:rPr>
          <w:color w:val="auto"/>
          <w:highlight w:val="none"/>
        </w:rPr>
        <w:t>舾装件→采用平板车运至码头→60t门座机将舾装件吊运至船舶。</w:t>
      </w:r>
    </w:p>
    <w:p w14:paraId="6F1C3622">
      <w:pPr>
        <w:ind w:firstLine="482"/>
        <w:rPr>
          <w:b/>
          <w:bCs/>
          <w:color w:val="auto"/>
          <w:highlight w:val="none"/>
        </w:rPr>
      </w:pPr>
      <w:r>
        <w:rPr>
          <w:b/>
          <w:bCs/>
          <w:color w:val="auto"/>
          <w:highlight w:val="none"/>
        </w:rPr>
        <w:t>（2）主要协作关系</w:t>
      </w:r>
    </w:p>
    <w:p w14:paraId="2855A88B">
      <w:pPr>
        <w:ind w:firstLine="480"/>
        <w:rPr>
          <w:color w:val="auto"/>
          <w:highlight w:val="none"/>
        </w:rPr>
      </w:pPr>
      <w:r>
        <w:rPr>
          <w:color w:val="auto"/>
          <w:highlight w:val="none"/>
        </w:rPr>
        <w:t>①舾装码头上所需的钢构件、管件由厂区车间提供。</w:t>
      </w:r>
    </w:p>
    <w:p w14:paraId="792FAF70">
      <w:pPr>
        <w:ind w:firstLine="480"/>
        <w:rPr>
          <w:color w:val="auto"/>
          <w:highlight w:val="none"/>
        </w:rPr>
      </w:pPr>
      <w:r>
        <w:rPr>
          <w:color w:val="auto"/>
          <w:highlight w:val="none"/>
        </w:rPr>
        <w:t>②舾装码头上所需要的船用主机、辅机、主推进电机、特种装置、观通导航设备、装置配套等外购件，均由有关专业设备制造厂供应。</w:t>
      </w:r>
    </w:p>
    <w:p w14:paraId="356A5ED0">
      <w:pPr>
        <w:ind w:firstLine="480"/>
        <w:rPr>
          <w:color w:val="auto"/>
          <w:highlight w:val="none"/>
        </w:rPr>
      </w:pPr>
      <w:r>
        <w:rPr>
          <w:color w:val="auto"/>
          <w:highlight w:val="none"/>
        </w:rPr>
        <w:t>③舾装件的吊运由码头上配备的60t门机来完成。</w:t>
      </w:r>
    </w:p>
    <w:p w14:paraId="4CC4269B">
      <w:pPr>
        <w:ind w:firstLine="482"/>
        <w:rPr>
          <w:b/>
          <w:bCs/>
          <w:color w:val="auto"/>
          <w:highlight w:val="none"/>
        </w:rPr>
      </w:pPr>
      <w:r>
        <w:rPr>
          <w:b/>
          <w:bCs/>
          <w:color w:val="auto"/>
          <w:highlight w:val="none"/>
        </w:rPr>
        <w:t>（3）设备设计总则</w:t>
      </w:r>
    </w:p>
    <w:p w14:paraId="1C09E85F">
      <w:pPr>
        <w:ind w:firstLine="480"/>
        <w:rPr>
          <w:color w:val="auto"/>
          <w:highlight w:val="none"/>
        </w:rPr>
      </w:pPr>
      <w:r>
        <w:rPr>
          <w:color w:val="auto"/>
          <w:highlight w:val="none"/>
        </w:rPr>
        <w:t>①本起重机的型式为单臂架圆筒门架型门座式起重机，采用钢丝绳卷筒补偿法变幅，使起重机在变幅过程中，吊钩的位移轨迹接近水平。</w:t>
      </w:r>
    </w:p>
    <w:p w14:paraId="432432BE">
      <w:pPr>
        <w:ind w:firstLine="480"/>
        <w:rPr>
          <w:color w:val="auto"/>
          <w:highlight w:val="none"/>
        </w:rPr>
      </w:pPr>
      <w:r>
        <w:rPr>
          <w:color w:val="auto"/>
          <w:highlight w:val="none"/>
        </w:rPr>
        <w:t>②起重机采用三排滚柱式回转支承装置，可承受起重机回转部分的垂直力、水平力和倾覆力矩，并可在正反方向作360度全回转。</w:t>
      </w:r>
    </w:p>
    <w:p w14:paraId="5EBB7FA2">
      <w:pPr>
        <w:ind w:firstLine="480"/>
        <w:rPr>
          <w:color w:val="auto"/>
          <w:highlight w:val="none"/>
        </w:rPr>
      </w:pPr>
      <w:r>
        <w:rPr>
          <w:color w:val="auto"/>
          <w:highlight w:val="none"/>
        </w:rPr>
        <w:t>③本起重机具有起升、变幅、旋转和运行四大机构。</w:t>
      </w:r>
    </w:p>
    <w:p w14:paraId="5A1C572C">
      <w:pPr>
        <w:ind w:firstLine="480"/>
        <w:rPr>
          <w:color w:val="auto"/>
          <w:highlight w:val="none"/>
        </w:rPr>
      </w:pPr>
      <w:r>
        <w:rPr>
          <w:color w:val="auto"/>
          <w:highlight w:val="none"/>
        </w:rPr>
        <w:t>④本起重机的主要金属结构分为臂架、人字架、转盘和门架等。臂架为桁架结构，门架为圆筒筒体与板凳箱形门座的组合结构。</w:t>
      </w:r>
    </w:p>
    <w:p w14:paraId="0C490D5A">
      <w:pPr>
        <w:ind w:firstLine="480"/>
        <w:rPr>
          <w:color w:val="auto"/>
          <w:highlight w:val="none"/>
        </w:rPr>
      </w:pPr>
      <w:r>
        <w:rPr>
          <w:color w:val="auto"/>
          <w:highlight w:val="none"/>
        </w:rPr>
        <w:t>⑤地面设有扶梯，可通过门架、转盘、机房到达司机室；门架内还应设有升降机，工作人员可由门架圆筒底部乘升降机直达转盘平面。转盘平面有扶梯可到达机房顶和人字架头部，以便检修保养人字架铰点及滑轮组。</w:t>
      </w:r>
    </w:p>
    <w:p w14:paraId="6991EB6B">
      <w:pPr>
        <w:ind w:firstLine="480"/>
        <w:rPr>
          <w:color w:val="auto"/>
          <w:highlight w:val="none"/>
        </w:rPr>
      </w:pPr>
      <w:r>
        <w:rPr>
          <w:color w:val="auto"/>
          <w:highlight w:val="none"/>
        </w:rPr>
        <w:t>⑥本起重机电源为三相四线制，交流50Hz，380V，采用电缆卷筒供电。</w:t>
      </w:r>
    </w:p>
    <w:p w14:paraId="1E014AC7">
      <w:pPr>
        <w:ind w:firstLine="480"/>
        <w:rPr>
          <w:color w:val="auto"/>
          <w:highlight w:val="none"/>
        </w:rPr>
      </w:pPr>
      <w:r>
        <w:rPr>
          <w:color w:val="auto"/>
          <w:highlight w:val="none"/>
        </w:rPr>
        <w:t>⑦本起重机可以将臂架放倒到离地面某个高度位置，方便维护和润滑，并在遇到台风警报时，可将起重机臂架放倒。</w:t>
      </w:r>
    </w:p>
    <w:p w14:paraId="329E8524">
      <w:pPr>
        <w:ind w:firstLine="480"/>
        <w:rPr>
          <w:color w:val="auto"/>
          <w:highlight w:val="none"/>
        </w:rPr>
      </w:pPr>
      <w:r>
        <w:rPr>
          <w:color w:val="auto"/>
          <w:highlight w:val="none"/>
        </w:rPr>
        <w:t>⑧本起重机的安全设施有力矩限制器（包括荷重指示器及幅度指示器）、各机构的限位装置、风速指示器、夹轨器、锚固装置等。</w:t>
      </w:r>
    </w:p>
    <w:p w14:paraId="06668F8C">
      <w:pPr>
        <w:ind w:firstLine="482"/>
        <w:rPr>
          <w:b/>
          <w:bCs/>
          <w:color w:val="auto"/>
          <w:highlight w:val="none"/>
        </w:rPr>
      </w:pPr>
      <w:r>
        <w:rPr>
          <w:b/>
          <w:bCs/>
          <w:color w:val="auto"/>
          <w:highlight w:val="none"/>
        </w:rPr>
        <w:t>（4）设备基本设计参数</w:t>
      </w:r>
    </w:p>
    <w:p w14:paraId="279D9CB1">
      <w:pPr>
        <w:ind w:firstLine="480"/>
        <w:rPr>
          <w:color w:val="auto"/>
          <w:highlight w:val="none"/>
        </w:rPr>
      </w:pPr>
      <w:r>
        <w:rPr>
          <w:color w:val="auto"/>
          <w:highlight w:val="none"/>
        </w:rPr>
        <w:t>①起重机工作级别：A5</w:t>
      </w:r>
    </w:p>
    <w:p w14:paraId="6490F9EE">
      <w:pPr>
        <w:ind w:firstLine="480"/>
        <w:rPr>
          <w:color w:val="auto"/>
          <w:highlight w:val="none"/>
        </w:rPr>
      </w:pPr>
      <w:r>
        <w:rPr>
          <w:color w:val="auto"/>
          <w:highlight w:val="none"/>
        </w:rPr>
        <w:t>②起重能力：</w:t>
      </w:r>
    </w:p>
    <w:p w14:paraId="28D1122E">
      <w:pPr>
        <w:ind w:firstLine="480"/>
        <w:rPr>
          <w:color w:val="auto"/>
          <w:highlight w:val="none"/>
        </w:rPr>
      </w:pPr>
      <w:r>
        <w:rPr>
          <w:color w:val="auto"/>
          <w:highlight w:val="none"/>
        </w:rPr>
        <w:t xml:space="preserve">主钩：   </w:t>
      </w:r>
      <w:r>
        <w:rPr>
          <w:color w:val="auto"/>
          <w:highlight w:val="none"/>
        </w:rPr>
        <w:tab/>
      </w:r>
      <w:r>
        <w:rPr>
          <w:color w:val="auto"/>
          <w:highlight w:val="none"/>
        </w:rPr>
        <w:t>幅度  23～42 m   吊重 60 t</w:t>
      </w:r>
    </w:p>
    <w:p w14:paraId="77B325B5">
      <w:pPr>
        <w:ind w:left="1120" w:firstLine="480"/>
        <w:rPr>
          <w:color w:val="auto"/>
          <w:highlight w:val="none"/>
        </w:rPr>
      </w:pPr>
      <w:r>
        <w:rPr>
          <w:color w:val="auto"/>
          <w:highlight w:val="none"/>
        </w:rPr>
        <w:t>幅度  23～48 m   吊重 50 t</w:t>
      </w:r>
    </w:p>
    <w:p w14:paraId="2EBA7708">
      <w:pPr>
        <w:ind w:left="1120" w:firstLine="480"/>
        <w:rPr>
          <w:color w:val="auto"/>
          <w:highlight w:val="none"/>
        </w:rPr>
      </w:pPr>
      <w:r>
        <w:rPr>
          <w:color w:val="auto"/>
          <w:highlight w:val="none"/>
        </w:rPr>
        <w:t>幅度  23～57 m   吊重 40 t</w:t>
      </w:r>
    </w:p>
    <w:p w14:paraId="4275457F">
      <w:pPr>
        <w:ind w:left="1120" w:firstLine="480"/>
        <w:rPr>
          <w:color w:val="auto"/>
          <w:highlight w:val="none"/>
        </w:rPr>
      </w:pPr>
      <w:r>
        <w:rPr>
          <w:color w:val="auto"/>
          <w:highlight w:val="none"/>
        </w:rPr>
        <w:t>幅度  23～65 m   吊重 35 t</w:t>
      </w:r>
    </w:p>
    <w:p w14:paraId="27F7FFF1">
      <w:pPr>
        <w:ind w:firstLine="480"/>
        <w:rPr>
          <w:color w:val="auto"/>
          <w:highlight w:val="none"/>
        </w:rPr>
      </w:pPr>
      <w:r>
        <w:rPr>
          <w:color w:val="auto"/>
          <w:highlight w:val="none"/>
        </w:rPr>
        <w:t xml:space="preserve">副钩：   </w:t>
      </w:r>
      <w:r>
        <w:rPr>
          <w:color w:val="auto"/>
          <w:highlight w:val="none"/>
        </w:rPr>
        <w:tab/>
      </w:r>
      <w:r>
        <w:rPr>
          <w:color w:val="auto"/>
          <w:highlight w:val="none"/>
        </w:rPr>
        <w:t>幅度  26～70 m   吊重 10 t</w:t>
      </w:r>
    </w:p>
    <w:p w14:paraId="70227C1E">
      <w:pPr>
        <w:ind w:firstLine="480"/>
        <w:rPr>
          <w:color w:val="auto"/>
          <w:highlight w:val="none"/>
        </w:rPr>
      </w:pPr>
      <w:r>
        <w:rPr>
          <w:color w:val="auto"/>
          <w:highlight w:val="none"/>
        </w:rPr>
        <w:t>③主起升机构</w:t>
      </w:r>
    </w:p>
    <w:p w14:paraId="7600743F">
      <w:pPr>
        <w:ind w:firstLine="960" w:firstLineChars="400"/>
        <w:rPr>
          <w:color w:val="auto"/>
          <w:highlight w:val="none"/>
        </w:rPr>
      </w:pPr>
      <w:r>
        <w:rPr>
          <w:color w:val="auto"/>
          <w:highlight w:val="none"/>
        </w:rPr>
        <w:t>工作级别： M5</w:t>
      </w:r>
    </w:p>
    <w:p w14:paraId="0A787DB7">
      <w:pPr>
        <w:ind w:firstLine="960" w:firstLineChars="400"/>
        <w:rPr>
          <w:color w:val="auto"/>
          <w:highlight w:val="none"/>
        </w:rPr>
      </w:pPr>
      <w:r>
        <w:rPr>
          <w:color w:val="auto"/>
          <w:highlight w:val="none"/>
        </w:rPr>
        <w:t>额定最大起重量： 60 t</w:t>
      </w:r>
    </w:p>
    <w:p w14:paraId="4B7B8D74">
      <w:pPr>
        <w:ind w:firstLine="960" w:firstLineChars="400"/>
        <w:rPr>
          <w:color w:val="auto"/>
          <w:highlight w:val="none"/>
        </w:rPr>
      </w:pPr>
      <w:r>
        <w:rPr>
          <w:color w:val="auto"/>
          <w:highlight w:val="none"/>
        </w:rPr>
        <w:t xml:space="preserve">起升高度： </w:t>
      </w:r>
      <w:r>
        <w:rPr>
          <w:color w:val="auto"/>
          <w:highlight w:val="none"/>
        </w:rPr>
        <w:tab/>
      </w:r>
      <w:r>
        <w:rPr>
          <w:color w:val="auto"/>
          <w:highlight w:val="none"/>
        </w:rPr>
        <w:tab/>
      </w:r>
      <w:r>
        <w:rPr>
          <w:color w:val="auto"/>
          <w:highlight w:val="none"/>
        </w:rPr>
        <w:t>55 m</w:t>
      </w:r>
    </w:p>
    <w:p w14:paraId="5DEE68EA">
      <w:pPr>
        <w:ind w:firstLine="960" w:firstLineChars="400"/>
        <w:rPr>
          <w:color w:val="auto"/>
          <w:highlight w:val="none"/>
        </w:rPr>
      </w:pPr>
      <w:r>
        <w:rPr>
          <w:color w:val="auto"/>
          <w:highlight w:val="none"/>
        </w:rPr>
        <w:t xml:space="preserve">下降深度： </w:t>
      </w:r>
      <w:r>
        <w:rPr>
          <w:color w:val="auto"/>
          <w:highlight w:val="none"/>
        </w:rPr>
        <w:tab/>
      </w:r>
      <w:r>
        <w:rPr>
          <w:color w:val="auto"/>
          <w:highlight w:val="none"/>
        </w:rPr>
        <w:tab/>
      </w:r>
      <w:r>
        <w:rPr>
          <w:color w:val="auto"/>
          <w:highlight w:val="none"/>
        </w:rPr>
        <w:t>10 m</w:t>
      </w:r>
    </w:p>
    <w:p w14:paraId="1E3BC7AE">
      <w:pPr>
        <w:ind w:firstLine="960" w:firstLineChars="400"/>
        <w:rPr>
          <w:color w:val="auto"/>
          <w:highlight w:val="none"/>
        </w:rPr>
      </w:pPr>
      <w:r>
        <w:rPr>
          <w:color w:val="auto"/>
          <w:highlight w:val="none"/>
        </w:rPr>
        <w:t>起升速度： 满载   1～10 m/min</w:t>
      </w:r>
    </w:p>
    <w:p w14:paraId="76681C8C">
      <w:pPr>
        <w:ind w:firstLine="960" w:firstLineChars="400"/>
        <w:rPr>
          <w:color w:val="auto"/>
          <w:highlight w:val="none"/>
        </w:rPr>
      </w:pPr>
      <w:r>
        <w:rPr>
          <w:color w:val="auto"/>
          <w:highlight w:val="none"/>
        </w:rPr>
        <w:t>空载   2～20 m/min</w:t>
      </w:r>
    </w:p>
    <w:p w14:paraId="131C2BDC">
      <w:pPr>
        <w:ind w:firstLine="480"/>
        <w:rPr>
          <w:color w:val="auto"/>
          <w:highlight w:val="none"/>
        </w:rPr>
      </w:pPr>
      <w:r>
        <w:rPr>
          <w:color w:val="auto"/>
          <w:highlight w:val="none"/>
        </w:rPr>
        <w:t>④副起升机构</w:t>
      </w:r>
    </w:p>
    <w:p w14:paraId="3ACB5A48">
      <w:pPr>
        <w:ind w:firstLine="960" w:firstLineChars="400"/>
        <w:rPr>
          <w:color w:val="auto"/>
          <w:highlight w:val="none"/>
        </w:rPr>
      </w:pPr>
      <w:r>
        <w:rPr>
          <w:color w:val="auto"/>
          <w:highlight w:val="none"/>
        </w:rPr>
        <w:t>工作级别： M5</w:t>
      </w:r>
    </w:p>
    <w:p w14:paraId="26536150">
      <w:pPr>
        <w:ind w:firstLine="960" w:firstLineChars="400"/>
        <w:rPr>
          <w:color w:val="auto"/>
          <w:highlight w:val="none"/>
        </w:rPr>
      </w:pPr>
      <w:r>
        <w:rPr>
          <w:color w:val="auto"/>
          <w:highlight w:val="none"/>
        </w:rPr>
        <w:t>额定最大起重量：10 t</w:t>
      </w:r>
    </w:p>
    <w:p w14:paraId="67C8F5C7">
      <w:pPr>
        <w:ind w:firstLine="960" w:firstLineChars="400"/>
        <w:rPr>
          <w:color w:val="auto"/>
          <w:highlight w:val="none"/>
        </w:rPr>
      </w:pPr>
      <w:r>
        <w:rPr>
          <w:color w:val="auto"/>
          <w:highlight w:val="none"/>
        </w:rPr>
        <w:t xml:space="preserve">起升高度： </w:t>
      </w:r>
      <w:r>
        <w:rPr>
          <w:color w:val="auto"/>
          <w:highlight w:val="none"/>
        </w:rPr>
        <w:tab/>
      </w:r>
      <w:r>
        <w:rPr>
          <w:color w:val="auto"/>
          <w:highlight w:val="none"/>
        </w:rPr>
        <w:tab/>
      </w:r>
      <w:r>
        <w:rPr>
          <w:color w:val="auto"/>
          <w:highlight w:val="none"/>
        </w:rPr>
        <w:t>55 m</w:t>
      </w:r>
    </w:p>
    <w:p w14:paraId="2389CA95">
      <w:pPr>
        <w:ind w:firstLine="960" w:firstLineChars="400"/>
        <w:rPr>
          <w:color w:val="auto"/>
          <w:highlight w:val="none"/>
        </w:rPr>
      </w:pPr>
      <w:r>
        <w:rPr>
          <w:color w:val="auto"/>
          <w:highlight w:val="none"/>
        </w:rPr>
        <w:t xml:space="preserve">下降深度： </w:t>
      </w:r>
      <w:r>
        <w:rPr>
          <w:color w:val="auto"/>
          <w:highlight w:val="none"/>
        </w:rPr>
        <w:tab/>
      </w:r>
      <w:r>
        <w:rPr>
          <w:color w:val="auto"/>
          <w:highlight w:val="none"/>
        </w:rPr>
        <w:tab/>
      </w:r>
      <w:r>
        <w:rPr>
          <w:color w:val="auto"/>
          <w:highlight w:val="none"/>
        </w:rPr>
        <w:t>10 m</w:t>
      </w:r>
    </w:p>
    <w:p w14:paraId="782D7032">
      <w:pPr>
        <w:ind w:firstLine="960" w:firstLineChars="400"/>
        <w:rPr>
          <w:color w:val="auto"/>
          <w:highlight w:val="none"/>
        </w:rPr>
      </w:pPr>
      <w:r>
        <w:rPr>
          <w:color w:val="auto"/>
          <w:highlight w:val="none"/>
        </w:rPr>
        <w:t>起升速度： 满载   2～20 m/min</w:t>
      </w:r>
    </w:p>
    <w:p w14:paraId="0236259B">
      <w:pPr>
        <w:ind w:firstLine="960" w:firstLineChars="400"/>
        <w:rPr>
          <w:color w:val="auto"/>
          <w:highlight w:val="none"/>
        </w:rPr>
      </w:pPr>
      <w:r>
        <w:rPr>
          <w:color w:val="auto"/>
          <w:highlight w:val="none"/>
        </w:rPr>
        <w:t>空载   4～40 m/min</w:t>
      </w:r>
    </w:p>
    <w:p w14:paraId="724D4D19">
      <w:pPr>
        <w:ind w:firstLine="480"/>
        <w:rPr>
          <w:color w:val="auto"/>
          <w:highlight w:val="none"/>
        </w:rPr>
      </w:pPr>
      <w:r>
        <w:rPr>
          <w:color w:val="auto"/>
          <w:highlight w:val="none"/>
        </w:rPr>
        <w:t>⑤变幅机构</w:t>
      </w:r>
    </w:p>
    <w:p w14:paraId="1A93B538">
      <w:pPr>
        <w:ind w:firstLine="960" w:firstLineChars="400"/>
        <w:rPr>
          <w:color w:val="auto"/>
          <w:highlight w:val="none"/>
        </w:rPr>
      </w:pPr>
      <w:r>
        <w:rPr>
          <w:color w:val="auto"/>
          <w:highlight w:val="none"/>
        </w:rPr>
        <w:t>工作级别： M5</w:t>
      </w:r>
    </w:p>
    <w:p w14:paraId="2F9BD693">
      <w:pPr>
        <w:ind w:firstLine="960" w:firstLineChars="400"/>
        <w:rPr>
          <w:color w:val="auto"/>
          <w:highlight w:val="none"/>
        </w:rPr>
      </w:pPr>
      <w:r>
        <w:rPr>
          <w:color w:val="auto"/>
          <w:highlight w:val="none"/>
        </w:rPr>
        <w:t>变幅速度： 2～20 m/min</w:t>
      </w:r>
    </w:p>
    <w:p w14:paraId="088385D8">
      <w:pPr>
        <w:ind w:firstLine="480"/>
        <w:rPr>
          <w:color w:val="auto"/>
          <w:highlight w:val="none"/>
        </w:rPr>
      </w:pPr>
      <w:r>
        <w:rPr>
          <w:color w:val="auto"/>
          <w:highlight w:val="none"/>
        </w:rPr>
        <w:t>⑥旋转机构</w:t>
      </w:r>
    </w:p>
    <w:p w14:paraId="38B26B0A">
      <w:pPr>
        <w:ind w:firstLine="960" w:firstLineChars="400"/>
        <w:rPr>
          <w:color w:val="auto"/>
          <w:highlight w:val="none"/>
        </w:rPr>
      </w:pPr>
      <w:r>
        <w:rPr>
          <w:color w:val="auto"/>
          <w:highlight w:val="none"/>
        </w:rPr>
        <w:t>工作级别： M5</w:t>
      </w:r>
    </w:p>
    <w:p w14:paraId="2FC1219F">
      <w:pPr>
        <w:ind w:firstLine="960" w:firstLineChars="400"/>
        <w:rPr>
          <w:color w:val="auto"/>
          <w:highlight w:val="none"/>
        </w:rPr>
      </w:pPr>
      <w:r>
        <w:rPr>
          <w:color w:val="auto"/>
          <w:highlight w:val="none"/>
        </w:rPr>
        <w:t>旋转速度： 0.025～0.25 r/min</w:t>
      </w:r>
    </w:p>
    <w:p w14:paraId="1F339313">
      <w:pPr>
        <w:ind w:firstLine="480"/>
        <w:rPr>
          <w:color w:val="auto"/>
          <w:highlight w:val="none"/>
        </w:rPr>
      </w:pPr>
      <w:r>
        <w:rPr>
          <w:color w:val="auto"/>
          <w:highlight w:val="none"/>
        </w:rPr>
        <w:t>⑦大车运行机构：</w:t>
      </w:r>
    </w:p>
    <w:p w14:paraId="189E103A">
      <w:pPr>
        <w:ind w:firstLine="960" w:firstLineChars="400"/>
        <w:rPr>
          <w:color w:val="auto"/>
          <w:highlight w:val="none"/>
        </w:rPr>
      </w:pPr>
      <w:r>
        <w:rPr>
          <w:color w:val="auto"/>
          <w:highlight w:val="none"/>
        </w:rPr>
        <w:t>工作级别： M5</w:t>
      </w:r>
    </w:p>
    <w:p w14:paraId="02E15020">
      <w:pPr>
        <w:ind w:firstLine="960" w:firstLineChars="400"/>
        <w:rPr>
          <w:color w:val="auto"/>
          <w:highlight w:val="none"/>
        </w:rPr>
      </w:pPr>
      <w:r>
        <w:rPr>
          <w:color w:val="auto"/>
          <w:highlight w:val="none"/>
        </w:rPr>
        <w:t>运行速度： 2～25 m/min</w:t>
      </w:r>
    </w:p>
    <w:p w14:paraId="18CB80F1">
      <w:pPr>
        <w:ind w:firstLine="480"/>
        <w:rPr>
          <w:color w:val="auto"/>
          <w:highlight w:val="none"/>
        </w:rPr>
      </w:pPr>
      <w:r>
        <w:rPr>
          <w:color w:val="auto"/>
          <w:highlight w:val="none"/>
        </w:rPr>
        <w:t>⑧起重机机房尾部：</w:t>
      </w:r>
    </w:p>
    <w:p w14:paraId="521E6290">
      <w:pPr>
        <w:ind w:firstLine="960" w:firstLineChars="400"/>
        <w:rPr>
          <w:color w:val="auto"/>
          <w:highlight w:val="none"/>
        </w:rPr>
      </w:pPr>
      <w:r>
        <w:rPr>
          <w:color w:val="auto"/>
          <w:highlight w:val="none"/>
        </w:rPr>
        <w:t>回转半径           ≤10 m</w:t>
      </w:r>
    </w:p>
    <w:p w14:paraId="72B803F4">
      <w:pPr>
        <w:ind w:firstLine="960" w:firstLineChars="400"/>
        <w:rPr>
          <w:color w:val="auto"/>
          <w:highlight w:val="none"/>
        </w:rPr>
      </w:pPr>
      <w:r>
        <w:rPr>
          <w:color w:val="auto"/>
          <w:highlight w:val="none"/>
        </w:rPr>
        <w:t>机房尾部净空高度   ≥30 m</w:t>
      </w:r>
    </w:p>
    <w:p w14:paraId="187C9916">
      <w:pPr>
        <w:ind w:firstLine="480"/>
        <w:rPr>
          <w:color w:val="auto"/>
          <w:highlight w:val="none"/>
        </w:rPr>
      </w:pPr>
      <w:r>
        <w:rPr>
          <w:color w:val="auto"/>
          <w:highlight w:val="none"/>
        </w:rPr>
        <w:t>⑨门架净空高度：</w:t>
      </w:r>
      <w:r>
        <w:rPr>
          <w:color w:val="auto"/>
          <w:highlight w:val="none"/>
        </w:rPr>
        <w:tab/>
      </w:r>
      <w:r>
        <w:rPr>
          <w:color w:val="auto"/>
          <w:highlight w:val="none"/>
        </w:rPr>
        <w:tab/>
      </w:r>
      <w:r>
        <w:rPr>
          <w:color w:val="auto"/>
          <w:highlight w:val="none"/>
        </w:rPr>
        <w:t xml:space="preserve">  ≥10m</w:t>
      </w:r>
    </w:p>
    <w:p w14:paraId="7F0994C4">
      <w:pPr>
        <w:ind w:firstLine="480"/>
        <w:rPr>
          <w:color w:val="auto"/>
          <w:highlight w:val="none"/>
        </w:rPr>
      </w:pPr>
      <w:r>
        <w:rPr>
          <w:color w:val="auto"/>
          <w:highlight w:val="none"/>
        </w:rPr>
        <w:t>⑩轨距：12 m</w:t>
      </w:r>
    </w:p>
    <w:p w14:paraId="2D9D10C0">
      <w:pPr>
        <w:ind w:firstLine="480"/>
        <w:rPr>
          <w:color w:val="auto"/>
          <w:highlight w:val="none"/>
        </w:rPr>
      </w:pPr>
      <w:r>
        <w:rPr>
          <w:rFonts w:eastAsia="微软雅黑"/>
          <w:color w:val="auto"/>
          <w:highlight w:val="none"/>
        </w:rPr>
        <w:t>⑪</w:t>
      </w:r>
      <w:r>
        <w:rPr>
          <w:color w:val="auto"/>
          <w:highlight w:val="none"/>
        </w:rPr>
        <w:t>最大轮压：工作状态</w:t>
      </w:r>
      <w:r>
        <w:rPr>
          <w:rFonts w:hint="eastAsia"/>
          <w:color w:val="auto"/>
          <w:highlight w:val="none"/>
          <w:lang w:eastAsia="zh-CN"/>
        </w:rPr>
        <w:t>：</w:t>
      </w:r>
      <w:r>
        <w:rPr>
          <w:color w:val="auto"/>
          <w:highlight w:val="none"/>
        </w:rPr>
        <w:t>360kN/非工作状态</w:t>
      </w:r>
      <w:r>
        <w:rPr>
          <w:rFonts w:hint="eastAsia"/>
          <w:color w:val="auto"/>
          <w:highlight w:val="none"/>
          <w:lang w:eastAsia="zh-CN"/>
        </w:rPr>
        <w:t>：</w:t>
      </w:r>
      <w:r>
        <w:rPr>
          <w:color w:val="auto"/>
          <w:highlight w:val="none"/>
        </w:rPr>
        <w:t>430kN</w:t>
      </w:r>
    </w:p>
    <w:p w14:paraId="7D985ECD">
      <w:pPr>
        <w:ind w:firstLine="480"/>
        <w:rPr>
          <w:color w:val="auto"/>
          <w:highlight w:val="none"/>
        </w:rPr>
      </w:pPr>
      <w:r>
        <w:rPr>
          <w:rFonts w:eastAsia="微软雅黑"/>
          <w:color w:val="auto"/>
          <w:highlight w:val="none"/>
        </w:rPr>
        <w:t>⑫</w:t>
      </w:r>
      <w:r>
        <w:rPr>
          <w:color w:val="auto"/>
          <w:highlight w:val="none"/>
        </w:rPr>
        <w:t>轨道型号： QU80</w:t>
      </w:r>
    </w:p>
    <w:p w14:paraId="5979E27F">
      <w:pPr>
        <w:ind w:firstLine="480"/>
        <w:rPr>
          <w:color w:val="auto"/>
          <w:highlight w:val="none"/>
        </w:rPr>
      </w:pPr>
      <w:r>
        <w:rPr>
          <w:rFonts w:eastAsia="微软雅黑"/>
          <w:color w:val="auto"/>
          <w:highlight w:val="none"/>
        </w:rPr>
        <w:t>⑬</w:t>
      </w:r>
      <w:r>
        <w:rPr>
          <w:color w:val="auto"/>
          <w:highlight w:val="none"/>
        </w:rPr>
        <w:t>供电方式：三相四线制，交流380V 50Hz，电缆卷筒供电。</w:t>
      </w:r>
    </w:p>
    <w:p w14:paraId="33F2FE13">
      <w:pPr>
        <w:pStyle w:val="533"/>
        <w:numPr>
          <w:ilvl w:val="3"/>
          <w:numId w:val="9"/>
        </w:numPr>
        <w:rPr>
          <w:color w:val="auto"/>
          <w:szCs w:val="24"/>
          <w:highlight w:val="none"/>
        </w:rPr>
      </w:pPr>
      <w:r>
        <w:rPr>
          <w:color w:val="auto"/>
          <w:szCs w:val="24"/>
          <w:highlight w:val="none"/>
        </w:rPr>
        <w:t>浮船坞建造配套设施</w:t>
      </w:r>
    </w:p>
    <w:p w14:paraId="0C09F3E0">
      <w:pPr>
        <w:ind w:firstLine="480"/>
        <w:rPr>
          <w:color w:val="auto"/>
          <w:highlight w:val="none"/>
        </w:rPr>
      </w:pPr>
      <w:r>
        <w:rPr>
          <w:color w:val="auto"/>
          <w:highlight w:val="none"/>
        </w:rPr>
        <w:t>10万吨浮船坞是中船广西钦州基地新建的一艘整体式大型钢质浮船坞，交付后将锚泊或抱桩固定于钦州基地港池水域，锚泊于现新祥生号浮船坞位置。</w:t>
      </w:r>
    </w:p>
    <w:p w14:paraId="74DD8B19">
      <w:pPr>
        <w:ind w:firstLine="480"/>
        <w:rPr>
          <w:color w:val="auto"/>
          <w:highlight w:val="none"/>
        </w:rPr>
      </w:pPr>
      <w:r>
        <w:rPr>
          <w:color w:val="auto"/>
          <w:highlight w:val="none"/>
        </w:rPr>
        <w:t>浮船坞由浮箱和2道连续的坞墙组成；浮箱船宽方向有4个水舱；沿坞长方向有6个水舱和2个横向通道；坞墙分安全甲板、顶甲板二层，顶甲板设有甲板室。</w:t>
      </w:r>
    </w:p>
    <w:p w14:paraId="722E3D28">
      <w:pPr>
        <w:ind w:firstLine="482"/>
        <w:rPr>
          <w:b/>
          <w:bCs/>
          <w:color w:val="auto"/>
          <w:highlight w:val="none"/>
        </w:rPr>
      </w:pPr>
      <w:r>
        <w:rPr>
          <w:b/>
          <w:bCs/>
          <w:color w:val="auto"/>
          <w:highlight w:val="none"/>
        </w:rPr>
        <w:t>（1）主要技术参数</w:t>
      </w:r>
    </w:p>
    <w:p w14:paraId="72ED2A21">
      <w:pPr>
        <w:ind w:firstLine="480"/>
        <w:rPr>
          <w:color w:val="auto"/>
          <w:highlight w:val="none"/>
        </w:rPr>
      </w:pPr>
      <w:r>
        <w:rPr>
          <w:color w:val="auto"/>
          <w:highlight w:val="none"/>
        </w:rPr>
        <w:t>①其主尺度为：</w:t>
      </w:r>
    </w:p>
    <w:p w14:paraId="0F7624E9">
      <w:pPr>
        <w:ind w:firstLine="480"/>
        <w:rPr>
          <w:color w:val="auto"/>
          <w:highlight w:val="none"/>
        </w:rPr>
      </w:pPr>
      <w:r>
        <w:rPr>
          <w:rFonts w:hint="eastAsia"/>
          <w:color w:val="auto"/>
          <w:highlight w:val="none"/>
        </w:rPr>
        <w:t>浮船坞</w:t>
      </w:r>
      <w:r>
        <w:rPr>
          <w:color w:val="auto"/>
          <w:highlight w:val="none"/>
        </w:rPr>
        <w:t>总长2</w:t>
      </w:r>
      <w:r>
        <w:rPr>
          <w:rFonts w:hint="eastAsia"/>
          <w:color w:val="auto"/>
          <w:highlight w:val="none"/>
        </w:rPr>
        <w:t>6</w:t>
      </w:r>
      <w:r>
        <w:rPr>
          <w:color w:val="auto"/>
          <w:highlight w:val="none"/>
        </w:rPr>
        <w:t>5米，浮箱长2</w:t>
      </w:r>
      <w:r>
        <w:rPr>
          <w:rFonts w:hint="eastAsia"/>
          <w:color w:val="auto"/>
          <w:highlight w:val="none"/>
        </w:rPr>
        <w:t>4</w:t>
      </w:r>
      <w:r>
        <w:rPr>
          <w:color w:val="auto"/>
          <w:highlight w:val="none"/>
        </w:rPr>
        <w:t>5米</w:t>
      </w:r>
      <w:r>
        <w:rPr>
          <w:rFonts w:hint="eastAsia"/>
          <w:color w:val="auto"/>
          <w:highlight w:val="none"/>
        </w:rPr>
        <w:t>；</w:t>
      </w:r>
    </w:p>
    <w:p w14:paraId="4272A7EE">
      <w:pPr>
        <w:ind w:firstLine="480"/>
        <w:rPr>
          <w:color w:val="auto"/>
          <w:highlight w:val="none"/>
        </w:rPr>
      </w:pPr>
      <w:r>
        <w:rPr>
          <w:color w:val="auto"/>
          <w:highlight w:val="none"/>
        </w:rPr>
        <w:t>坞墙</w:t>
      </w:r>
      <w:r>
        <w:rPr>
          <w:rFonts w:hint="eastAsia"/>
          <w:color w:val="auto"/>
          <w:highlight w:val="none"/>
        </w:rPr>
        <w:t>外</w:t>
      </w:r>
      <w:r>
        <w:rPr>
          <w:color w:val="auto"/>
          <w:highlight w:val="none"/>
        </w:rPr>
        <w:t>宽</w:t>
      </w:r>
      <w:r>
        <w:rPr>
          <w:rFonts w:hint="eastAsia"/>
          <w:color w:val="auto"/>
          <w:highlight w:val="none"/>
        </w:rPr>
        <w:t>55</w:t>
      </w:r>
      <w:r>
        <w:rPr>
          <w:color w:val="auto"/>
          <w:highlight w:val="none"/>
        </w:rPr>
        <w:t>米，坞墙间宽为46米，坞墙净宽约43.5米</w:t>
      </w:r>
      <w:r>
        <w:rPr>
          <w:rFonts w:hint="eastAsia"/>
          <w:color w:val="auto"/>
          <w:highlight w:val="none"/>
        </w:rPr>
        <w:t>；</w:t>
      </w:r>
      <w:r>
        <w:rPr>
          <w:color w:val="auto"/>
          <w:highlight w:val="none"/>
        </w:rPr>
        <w:t xml:space="preserve"> </w:t>
      </w:r>
    </w:p>
    <w:p w14:paraId="43A13286">
      <w:pPr>
        <w:ind w:firstLine="480"/>
        <w:rPr>
          <w:color w:val="auto"/>
          <w:highlight w:val="none"/>
        </w:rPr>
      </w:pPr>
      <w:r>
        <w:rPr>
          <w:color w:val="auto"/>
          <w:highlight w:val="none"/>
        </w:rPr>
        <w:t xml:space="preserve">     型深21米，龙骨墩高1.7米，肋距0.625米</w:t>
      </w:r>
    </w:p>
    <w:p w14:paraId="1A1C0916">
      <w:pPr>
        <w:ind w:firstLine="480"/>
        <w:rPr>
          <w:color w:val="auto"/>
          <w:highlight w:val="none"/>
        </w:rPr>
      </w:pPr>
      <w:r>
        <w:rPr>
          <w:color w:val="auto"/>
          <w:highlight w:val="none"/>
        </w:rPr>
        <w:t>②坞墙顶甲板距基线高 ：21.00米</w:t>
      </w:r>
    </w:p>
    <w:p w14:paraId="409552A1">
      <w:pPr>
        <w:ind w:firstLine="480"/>
        <w:rPr>
          <w:color w:val="auto"/>
          <w:highlight w:val="none"/>
        </w:rPr>
      </w:pPr>
      <w:r>
        <w:rPr>
          <w:color w:val="auto"/>
          <w:highlight w:val="none"/>
        </w:rPr>
        <w:t xml:space="preserve">     安全甲板距基线高   ：16.90米</w:t>
      </w:r>
    </w:p>
    <w:p w14:paraId="3B8FC8D3">
      <w:pPr>
        <w:ind w:firstLine="480"/>
        <w:rPr>
          <w:color w:val="auto"/>
          <w:highlight w:val="none"/>
        </w:rPr>
      </w:pPr>
      <w:r>
        <w:rPr>
          <w:color w:val="auto"/>
          <w:highlight w:val="none"/>
        </w:rPr>
        <w:t xml:space="preserve">     浮箱距基线高       ：5.6米/5.2米 （中/边）</w:t>
      </w:r>
    </w:p>
    <w:p w14:paraId="1618146E">
      <w:pPr>
        <w:ind w:firstLine="480"/>
        <w:rPr>
          <w:color w:val="auto"/>
          <w:highlight w:val="none"/>
        </w:rPr>
      </w:pPr>
      <w:r>
        <w:rPr>
          <w:color w:val="auto"/>
          <w:highlight w:val="none"/>
        </w:rPr>
        <w:t xml:space="preserve">③全船压载水舱 24只 ，  干泵舱 4只 </w:t>
      </w:r>
    </w:p>
    <w:p w14:paraId="34D48845">
      <w:pPr>
        <w:ind w:firstLine="480"/>
        <w:rPr>
          <w:color w:val="auto"/>
          <w:highlight w:val="none"/>
        </w:rPr>
      </w:pPr>
      <w:r>
        <w:rPr>
          <w:color w:val="auto"/>
          <w:highlight w:val="none"/>
        </w:rPr>
        <w:t xml:space="preserve">     主电源 10KV高压岸电，备用电源380v岸电     </w:t>
      </w:r>
    </w:p>
    <w:p w14:paraId="587C7D68">
      <w:pPr>
        <w:ind w:firstLine="480"/>
        <w:rPr>
          <w:color w:val="auto"/>
          <w:highlight w:val="none"/>
        </w:rPr>
      </w:pPr>
      <w:r>
        <w:rPr>
          <w:color w:val="auto"/>
          <w:highlight w:val="none"/>
        </w:rPr>
        <w:t>④主要物量</w:t>
      </w:r>
    </w:p>
    <w:p w14:paraId="3AE3DD6B">
      <w:pPr>
        <w:ind w:firstLine="480"/>
        <w:rPr>
          <w:color w:val="auto"/>
          <w:highlight w:val="none"/>
        </w:rPr>
      </w:pPr>
      <w:r>
        <w:rPr>
          <w:color w:val="auto"/>
          <w:highlight w:val="none"/>
        </w:rPr>
        <w:t>分段总数：   249只</w:t>
      </w:r>
    </w:p>
    <w:p w14:paraId="52B21528">
      <w:pPr>
        <w:ind w:firstLine="480"/>
        <w:rPr>
          <w:color w:val="auto"/>
          <w:highlight w:val="none"/>
        </w:rPr>
      </w:pPr>
      <w:r>
        <w:rPr>
          <w:color w:val="auto"/>
          <w:highlight w:val="none"/>
        </w:rPr>
        <w:t>船体钢材：  （预估）18000吨</w:t>
      </w:r>
    </w:p>
    <w:p w14:paraId="14E27DB8">
      <w:pPr>
        <w:ind w:firstLine="480"/>
        <w:rPr>
          <w:color w:val="auto"/>
          <w:highlight w:val="none"/>
        </w:rPr>
      </w:pPr>
      <w:r>
        <w:rPr>
          <w:color w:val="auto"/>
          <w:highlight w:val="none"/>
        </w:rPr>
        <w:t>管子材料：   （预估）700吨</w:t>
      </w:r>
    </w:p>
    <w:p w14:paraId="4FFDBBAF">
      <w:pPr>
        <w:ind w:firstLine="480"/>
        <w:rPr>
          <w:color w:val="auto"/>
          <w:highlight w:val="none"/>
        </w:rPr>
      </w:pPr>
      <w:r>
        <w:rPr>
          <w:color w:val="auto"/>
          <w:highlight w:val="none"/>
        </w:rPr>
        <w:t>电缆总长：   （预估）85千米</w:t>
      </w:r>
    </w:p>
    <w:p w14:paraId="5415F91F">
      <w:pPr>
        <w:ind w:firstLine="480"/>
        <w:rPr>
          <w:color w:val="auto"/>
          <w:highlight w:val="none"/>
        </w:rPr>
      </w:pPr>
      <w:r>
        <w:rPr>
          <w:color w:val="auto"/>
          <w:highlight w:val="none"/>
        </w:rPr>
        <w:t>除锈面积：   （预估）32万平方米</w:t>
      </w:r>
    </w:p>
    <w:p w14:paraId="6A02FE37">
      <w:pPr>
        <w:ind w:firstLine="482"/>
        <w:rPr>
          <w:b/>
          <w:bCs/>
          <w:color w:val="auto"/>
          <w:highlight w:val="none"/>
        </w:rPr>
      </w:pPr>
    </w:p>
    <w:p w14:paraId="0FDF69A9">
      <w:pPr>
        <w:ind w:firstLine="482"/>
        <w:rPr>
          <w:b/>
          <w:bCs/>
          <w:color w:val="auto"/>
          <w:highlight w:val="none"/>
        </w:rPr>
      </w:pPr>
      <w:r>
        <w:rPr>
          <w:b/>
          <w:bCs/>
          <w:color w:val="auto"/>
          <w:highlight w:val="none"/>
        </w:rPr>
        <w:t>（2）船体建造法</w:t>
      </w:r>
    </w:p>
    <w:p w14:paraId="08E53E88">
      <w:pPr>
        <w:ind w:firstLine="480"/>
        <w:rPr>
          <w:color w:val="auto"/>
          <w:highlight w:val="none"/>
        </w:rPr>
      </w:pPr>
      <w:r>
        <w:rPr>
          <w:color w:val="auto"/>
          <w:highlight w:val="none"/>
        </w:rPr>
        <w:t>10万吨坞长度达到265米，宽度到55米，当前钦州基地生产资源不具备建造条件。按照钦州基地总体规划，结合满足浮船坞建造和由于建造浮船坞导致的手持造船产品生产资源被挤占后的补充需求，利用存量土地开展场地硬化、吊机轨道改造、动能源管线建设等必要条件。</w:t>
      </w:r>
    </w:p>
    <w:p w14:paraId="5D9C9B7B">
      <w:pPr>
        <w:ind w:firstLine="480"/>
        <w:rPr>
          <w:color w:val="auto"/>
          <w:highlight w:val="none"/>
        </w:rPr>
      </w:pPr>
      <w:r>
        <w:rPr>
          <w:color w:val="auto"/>
          <w:highlight w:val="none"/>
        </w:rPr>
        <w:t>总体思路是，将10万吨浮船坞主体合拢，考虑下水的总纵强度和减轻下水重量，将安全甲板以下坞墙安装到位后再下水，下水后在码头靠泊，安装安全甲板以上结构。整体建造后，在码头进行调试，系泊试验结束移至原新祥生坞坞坑位置锚泊。</w:t>
      </w:r>
    </w:p>
    <w:p w14:paraId="5C05A0BD">
      <w:pPr>
        <w:ind w:firstLine="482"/>
        <w:rPr>
          <w:b/>
          <w:bCs/>
          <w:color w:val="auto"/>
          <w:highlight w:val="none"/>
        </w:rPr>
      </w:pPr>
      <w:r>
        <w:rPr>
          <w:b/>
          <w:bCs/>
          <w:color w:val="auto"/>
          <w:highlight w:val="none"/>
        </w:rPr>
        <w:t>（4）配套设施建设方案</w:t>
      </w:r>
    </w:p>
    <w:p w14:paraId="5EF45171">
      <w:pPr>
        <w:ind w:firstLine="480"/>
        <w:rPr>
          <w:color w:val="auto"/>
          <w:highlight w:val="none"/>
        </w:rPr>
      </w:pPr>
      <w:r>
        <w:rPr>
          <w:color w:val="auto"/>
          <w:highlight w:val="none"/>
        </w:rPr>
        <w:t>按照钦州基地原规划，利用现有存量土地进行新建舾装场地，改造气体、水、电管线，增加一组供电设施。</w:t>
      </w:r>
    </w:p>
    <w:p w14:paraId="5DE553A3">
      <w:pPr>
        <w:ind w:firstLine="480"/>
        <w:rPr>
          <w:color w:val="auto"/>
          <w:highlight w:val="none"/>
        </w:rPr>
      </w:pPr>
      <w:r>
        <w:rPr>
          <w:color w:val="auto"/>
          <w:highlight w:val="none"/>
        </w:rPr>
        <w:t>浮船坞采用分段建造法，大约是230个分段（小段92个、大段138个），最大的100吨，一般按50吨控制。组立完成后，在船台附近场地进行室外建造，从建造到上组装（不考虑排队打砂油漆）小段预计30天，大段预计50天。建造周期按16个月480天，需要9660/480=20.1个工位，分段平均尺寸按12*12米，按1.8倍系数，面积约20.1*12*12*1.8=5216平</w:t>
      </w:r>
      <w:r>
        <w:rPr>
          <w:rFonts w:hint="eastAsia"/>
          <w:color w:val="auto"/>
          <w:highlight w:val="none"/>
          <w:lang w:eastAsia="zh-CN"/>
        </w:rPr>
        <w:t>方米</w:t>
      </w:r>
      <w:r>
        <w:rPr>
          <w:color w:val="auto"/>
          <w:highlight w:val="none"/>
        </w:rPr>
        <w:t>；另外浮船坞搭载区域265*55*1.4=20405平</w:t>
      </w:r>
      <w:r>
        <w:rPr>
          <w:rFonts w:hint="eastAsia"/>
          <w:color w:val="auto"/>
          <w:highlight w:val="none"/>
          <w:lang w:eastAsia="zh-CN"/>
        </w:rPr>
        <w:t>方米</w:t>
      </w:r>
      <w:r>
        <w:rPr>
          <w:color w:val="auto"/>
          <w:highlight w:val="none"/>
        </w:rPr>
        <w:t>，总共需要25621平方米硬化场地。</w:t>
      </w:r>
    </w:p>
    <w:p w14:paraId="41C66A28">
      <w:pPr>
        <w:ind w:firstLine="480"/>
        <w:rPr>
          <w:color w:val="auto"/>
          <w:highlight w:val="none"/>
        </w:rPr>
      </w:pPr>
      <w:r>
        <w:rPr>
          <w:color w:val="auto"/>
          <w:highlight w:val="none"/>
        </w:rPr>
        <w:t>对上述两个区域的气、水、电等公用管网改造。</w:t>
      </w:r>
    </w:p>
    <w:p w14:paraId="73E3677B">
      <w:pPr>
        <w:ind w:firstLine="480"/>
        <w:rPr>
          <w:color w:val="auto"/>
          <w:highlight w:val="none"/>
        </w:rPr>
      </w:pPr>
      <w:r>
        <w:rPr>
          <w:color w:val="auto"/>
          <w:highlight w:val="none"/>
        </w:rPr>
        <w:t>其他设施（道路、外场管网、船员通道房子）改造。</w:t>
      </w:r>
    </w:p>
    <w:p w14:paraId="7605C98C">
      <w:pPr>
        <w:ind w:firstLine="480"/>
        <w:rPr>
          <w:color w:val="auto"/>
          <w:highlight w:val="none"/>
        </w:rPr>
      </w:pPr>
      <w:r>
        <w:rPr>
          <w:color w:val="auto"/>
          <w:highlight w:val="none"/>
        </w:rPr>
        <w:t>根据建造供电需求增设变电所一座。</w:t>
      </w:r>
    </w:p>
    <w:p w14:paraId="57120767">
      <w:pPr>
        <w:pStyle w:val="38"/>
        <w:ind w:firstLine="482"/>
        <w:rPr>
          <w:b/>
          <w:bCs/>
          <w:color w:val="auto"/>
          <w:highlight w:val="none"/>
          <w:u w:val="single"/>
        </w:rPr>
      </w:pPr>
      <w:r>
        <w:rPr>
          <w:rFonts w:hint="eastAsia"/>
          <w:b/>
          <w:bCs/>
          <w:color w:val="auto"/>
          <w:highlight w:val="none"/>
          <w:u w:val="single"/>
        </w:rPr>
        <w:t>浮船坞建成后将拆除配套建造场地内设备，配套建造场地清空后作为基地备用土地，根据基地需要另行规划建设。</w:t>
      </w:r>
    </w:p>
    <w:p w14:paraId="69B2EAE2">
      <w:pPr>
        <w:pStyle w:val="7"/>
        <w:numPr>
          <w:ilvl w:val="2"/>
          <w:numId w:val="9"/>
        </w:numPr>
        <w:rPr>
          <w:color w:val="auto"/>
          <w:sz w:val="28"/>
          <w:highlight w:val="none"/>
        </w:rPr>
      </w:pPr>
      <w:r>
        <w:rPr>
          <w:rFonts w:hint="eastAsia"/>
          <w:color w:val="auto"/>
          <w:sz w:val="28"/>
          <w:highlight w:val="none"/>
        </w:rPr>
        <w:t>项目主要设备</w:t>
      </w:r>
    </w:p>
    <w:p w14:paraId="0FE9D298">
      <w:pPr>
        <w:pStyle w:val="38"/>
        <w:ind w:firstLine="480"/>
        <w:rPr>
          <w:color w:val="auto"/>
          <w:highlight w:val="none"/>
        </w:rPr>
      </w:pPr>
      <w:r>
        <w:rPr>
          <w:rFonts w:hint="eastAsia"/>
          <w:color w:val="auto"/>
          <w:highlight w:val="none"/>
        </w:rPr>
        <w:t>本项目主要设备见下表。</w:t>
      </w:r>
    </w:p>
    <w:p w14:paraId="1840D9AD">
      <w:pPr>
        <w:pStyle w:val="38"/>
        <w:spacing w:after="0" w:line="240" w:lineRule="auto"/>
        <w:ind w:firstLine="0" w:firstLineChars="0"/>
        <w:jc w:val="center"/>
        <w:rPr>
          <w:b/>
          <w:color w:val="auto"/>
          <w:sz w:val="21"/>
          <w:szCs w:val="21"/>
          <w:highlight w:val="none"/>
        </w:rPr>
      </w:pPr>
      <w:r>
        <w:rPr>
          <w:rFonts w:hint="eastAsia"/>
          <w:b/>
          <w:color w:val="auto"/>
          <w:sz w:val="21"/>
          <w:szCs w:val="21"/>
          <w:highlight w:val="none"/>
        </w:rPr>
        <w:t>表2.2-4  项目主要设备一览表</w:t>
      </w:r>
    </w:p>
    <w:tbl>
      <w:tblPr>
        <w:tblStyle w:val="92"/>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42"/>
        <w:gridCol w:w="1849"/>
        <w:gridCol w:w="4546"/>
        <w:gridCol w:w="854"/>
        <w:gridCol w:w="704"/>
        <w:gridCol w:w="691"/>
      </w:tblGrid>
      <w:tr w14:paraId="365ECA8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345" w:type="pct"/>
            <w:tcBorders>
              <w:tl2br w:val="nil"/>
              <w:tr2bl w:val="nil"/>
            </w:tcBorders>
            <w:shd w:val="clear" w:color="auto" w:fill="FFFFFF"/>
            <w:textDirection w:val="tbRlV"/>
            <w:vAlign w:val="center"/>
          </w:tcPr>
          <w:p w14:paraId="0AEB8E21">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序号</w:t>
            </w:r>
          </w:p>
        </w:tc>
        <w:tc>
          <w:tcPr>
            <w:tcW w:w="995" w:type="pct"/>
            <w:tcBorders>
              <w:tl2br w:val="nil"/>
              <w:tr2bl w:val="nil"/>
            </w:tcBorders>
            <w:shd w:val="clear" w:color="auto" w:fill="FFFFFF"/>
            <w:vAlign w:val="center"/>
          </w:tcPr>
          <w:p w14:paraId="09B83805">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设备名称</w:t>
            </w:r>
          </w:p>
        </w:tc>
        <w:tc>
          <w:tcPr>
            <w:tcW w:w="2447" w:type="pct"/>
            <w:tcBorders>
              <w:tl2br w:val="nil"/>
              <w:tr2bl w:val="nil"/>
            </w:tcBorders>
            <w:shd w:val="clear" w:color="auto" w:fill="FFFFFF"/>
            <w:vAlign w:val="center"/>
          </w:tcPr>
          <w:p w14:paraId="7B49DBD9">
            <w:pPr>
              <w:widowControl/>
              <w:spacing w:line="240" w:lineRule="auto"/>
              <w:ind w:firstLine="0" w:firstLineChars="0"/>
              <w:jc w:val="center"/>
              <w:textAlignment w:val="center"/>
              <w:rPr>
                <w:b/>
                <w:bCs/>
                <w:color w:val="auto"/>
                <w:sz w:val="21"/>
                <w:szCs w:val="21"/>
                <w:highlight w:val="none"/>
              </w:rPr>
            </w:pPr>
            <w:r>
              <w:rPr>
                <w:rFonts w:hint="eastAsia"/>
                <w:b/>
                <w:bCs/>
                <w:color w:val="auto"/>
                <w:sz w:val="21"/>
                <w:szCs w:val="21"/>
                <w:highlight w:val="none"/>
                <w:lang w:bidi="ar"/>
              </w:rPr>
              <w:t>主要指标或主要内容</w:t>
            </w:r>
          </w:p>
        </w:tc>
        <w:tc>
          <w:tcPr>
            <w:tcW w:w="460" w:type="pct"/>
            <w:tcBorders>
              <w:tl2br w:val="nil"/>
              <w:tr2bl w:val="nil"/>
            </w:tcBorders>
            <w:shd w:val="clear" w:color="auto" w:fill="FFFFFF"/>
            <w:vAlign w:val="center"/>
          </w:tcPr>
          <w:p w14:paraId="5B841156">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国别</w:t>
            </w:r>
          </w:p>
        </w:tc>
        <w:tc>
          <w:tcPr>
            <w:tcW w:w="379" w:type="pct"/>
            <w:tcBorders>
              <w:tl2br w:val="nil"/>
              <w:tr2bl w:val="nil"/>
            </w:tcBorders>
            <w:vAlign w:val="center"/>
          </w:tcPr>
          <w:p w14:paraId="7499F3AB">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单位</w:t>
            </w:r>
          </w:p>
        </w:tc>
        <w:tc>
          <w:tcPr>
            <w:tcW w:w="372" w:type="pct"/>
            <w:tcBorders>
              <w:tl2br w:val="nil"/>
              <w:tr2bl w:val="nil"/>
            </w:tcBorders>
            <w:shd w:val="clear" w:color="auto" w:fill="FFFFFF"/>
            <w:vAlign w:val="center"/>
          </w:tcPr>
          <w:p w14:paraId="5125E8BF">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数量</w:t>
            </w:r>
          </w:p>
        </w:tc>
      </w:tr>
      <w:tr w14:paraId="5848C31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345" w:type="pct"/>
            <w:tcBorders>
              <w:tl2br w:val="nil"/>
              <w:tr2bl w:val="nil"/>
            </w:tcBorders>
            <w:textDirection w:val="tbRlV"/>
            <w:vAlign w:val="center"/>
          </w:tcPr>
          <w:p w14:paraId="6D8C0FB4">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一</w:t>
            </w:r>
          </w:p>
        </w:tc>
        <w:tc>
          <w:tcPr>
            <w:tcW w:w="995" w:type="pct"/>
            <w:tcBorders>
              <w:tl2br w:val="nil"/>
              <w:tr2bl w:val="nil"/>
            </w:tcBorders>
            <w:vAlign w:val="center"/>
          </w:tcPr>
          <w:p w14:paraId="31435FDB">
            <w:pPr>
              <w:widowControl/>
              <w:spacing w:line="240" w:lineRule="auto"/>
              <w:ind w:firstLine="0" w:firstLineChars="0"/>
              <w:jc w:val="left"/>
              <w:textAlignment w:val="center"/>
              <w:rPr>
                <w:b/>
                <w:bCs/>
                <w:color w:val="auto"/>
                <w:sz w:val="21"/>
                <w:szCs w:val="21"/>
                <w:highlight w:val="none"/>
              </w:rPr>
            </w:pPr>
            <w:r>
              <w:rPr>
                <w:b/>
                <w:bCs/>
                <w:color w:val="auto"/>
                <w:sz w:val="21"/>
                <w:szCs w:val="21"/>
                <w:highlight w:val="none"/>
                <w:lang w:bidi="ar"/>
              </w:rPr>
              <w:t>核心装备升级</w:t>
            </w:r>
          </w:p>
        </w:tc>
        <w:tc>
          <w:tcPr>
            <w:tcW w:w="2447" w:type="pct"/>
            <w:tcBorders>
              <w:tl2br w:val="nil"/>
              <w:tr2bl w:val="nil"/>
            </w:tcBorders>
            <w:vAlign w:val="center"/>
          </w:tcPr>
          <w:p w14:paraId="00C12AF5">
            <w:pPr>
              <w:widowControl/>
              <w:spacing w:line="240" w:lineRule="auto"/>
              <w:ind w:firstLine="0" w:firstLineChars="0"/>
              <w:jc w:val="center"/>
              <w:rPr>
                <w:b/>
                <w:bCs/>
                <w:color w:val="auto"/>
                <w:sz w:val="21"/>
                <w:szCs w:val="21"/>
                <w:highlight w:val="none"/>
              </w:rPr>
            </w:pPr>
          </w:p>
        </w:tc>
        <w:tc>
          <w:tcPr>
            <w:tcW w:w="460" w:type="pct"/>
            <w:tcBorders>
              <w:tl2br w:val="nil"/>
              <w:tr2bl w:val="nil"/>
            </w:tcBorders>
            <w:vAlign w:val="center"/>
          </w:tcPr>
          <w:p w14:paraId="0D9996AE">
            <w:pPr>
              <w:widowControl/>
              <w:spacing w:line="240" w:lineRule="auto"/>
              <w:ind w:firstLine="0" w:firstLineChars="0"/>
              <w:jc w:val="center"/>
              <w:rPr>
                <w:b/>
                <w:bCs/>
                <w:color w:val="auto"/>
                <w:sz w:val="21"/>
                <w:szCs w:val="21"/>
                <w:highlight w:val="none"/>
              </w:rPr>
            </w:pPr>
          </w:p>
        </w:tc>
        <w:tc>
          <w:tcPr>
            <w:tcW w:w="379" w:type="pct"/>
            <w:tcBorders>
              <w:tl2br w:val="nil"/>
              <w:tr2bl w:val="nil"/>
            </w:tcBorders>
            <w:vAlign w:val="center"/>
          </w:tcPr>
          <w:p w14:paraId="583641FD">
            <w:pPr>
              <w:widowControl/>
              <w:spacing w:line="240" w:lineRule="auto"/>
              <w:ind w:firstLine="0" w:firstLineChars="0"/>
              <w:jc w:val="center"/>
              <w:rPr>
                <w:b/>
                <w:bCs/>
                <w:color w:val="auto"/>
                <w:sz w:val="21"/>
                <w:szCs w:val="21"/>
                <w:highlight w:val="none"/>
              </w:rPr>
            </w:pPr>
          </w:p>
        </w:tc>
        <w:tc>
          <w:tcPr>
            <w:tcW w:w="372" w:type="pct"/>
            <w:tcBorders>
              <w:tl2br w:val="nil"/>
              <w:tr2bl w:val="nil"/>
            </w:tcBorders>
            <w:vAlign w:val="center"/>
          </w:tcPr>
          <w:p w14:paraId="348E75C5">
            <w:pPr>
              <w:widowControl/>
              <w:spacing w:line="240" w:lineRule="auto"/>
              <w:ind w:firstLine="0" w:firstLineChars="0"/>
              <w:jc w:val="center"/>
              <w:rPr>
                <w:b/>
                <w:bCs/>
                <w:color w:val="auto"/>
                <w:sz w:val="21"/>
                <w:szCs w:val="21"/>
                <w:highlight w:val="none"/>
              </w:rPr>
            </w:pPr>
          </w:p>
        </w:tc>
      </w:tr>
      <w:tr w14:paraId="5CC78F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30" w:hRule="atLeast"/>
        </w:trPr>
        <w:tc>
          <w:tcPr>
            <w:tcW w:w="345" w:type="pct"/>
            <w:tcBorders>
              <w:tl2br w:val="nil"/>
              <w:tr2bl w:val="nil"/>
            </w:tcBorders>
            <w:noWrap/>
            <w:vAlign w:val="center"/>
          </w:tcPr>
          <w:p w14:paraId="7A71DA04">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1</w:t>
            </w:r>
          </w:p>
        </w:tc>
        <w:tc>
          <w:tcPr>
            <w:tcW w:w="995" w:type="pct"/>
            <w:tcBorders>
              <w:tl2br w:val="nil"/>
              <w:tr2bl w:val="nil"/>
            </w:tcBorders>
            <w:vAlign w:val="center"/>
          </w:tcPr>
          <w:p w14:paraId="7CC5CB47">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浮船坞</w:t>
            </w:r>
          </w:p>
        </w:tc>
        <w:tc>
          <w:tcPr>
            <w:tcW w:w="2447" w:type="pct"/>
            <w:tcBorders>
              <w:tl2br w:val="nil"/>
              <w:tr2bl w:val="nil"/>
            </w:tcBorders>
            <w:vAlign w:val="center"/>
          </w:tcPr>
          <w:p w14:paraId="4B145E80">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10万吨级浮船坞（28000吨举力）1座，浮船坞总长265m，浮箱长245m，坞墙外宽55m，坞墙净宽约43.5m。</w:t>
            </w:r>
          </w:p>
        </w:tc>
        <w:tc>
          <w:tcPr>
            <w:tcW w:w="460" w:type="pct"/>
            <w:tcBorders>
              <w:tl2br w:val="nil"/>
              <w:tr2bl w:val="nil"/>
            </w:tcBorders>
            <w:vAlign w:val="center"/>
          </w:tcPr>
          <w:p w14:paraId="677A2A24">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54AF9885">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套</w:t>
            </w:r>
          </w:p>
        </w:tc>
        <w:tc>
          <w:tcPr>
            <w:tcW w:w="372" w:type="pct"/>
            <w:tcBorders>
              <w:tl2br w:val="nil"/>
              <w:tr2bl w:val="nil"/>
            </w:tcBorders>
            <w:noWrap/>
            <w:vAlign w:val="center"/>
          </w:tcPr>
          <w:p w14:paraId="6F7B004D">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1</w:t>
            </w:r>
          </w:p>
        </w:tc>
      </w:tr>
      <w:tr w14:paraId="766B17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345" w:type="pct"/>
            <w:tcBorders>
              <w:tl2br w:val="nil"/>
              <w:tr2bl w:val="nil"/>
            </w:tcBorders>
            <w:noWrap/>
            <w:vAlign w:val="center"/>
          </w:tcPr>
          <w:p w14:paraId="6EEA080F">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 xml:space="preserve">2 </w:t>
            </w:r>
          </w:p>
        </w:tc>
        <w:tc>
          <w:tcPr>
            <w:tcW w:w="995" w:type="pct"/>
            <w:tcBorders>
              <w:tl2br w:val="nil"/>
              <w:tr2bl w:val="nil"/>
            </w:tcBorders>
            <w:vAlign w:val="center"/>
          </w:tcPr>
          <w:p w14:paraId="23441CCA">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6070型门座起重机</w:t>
            </w:r>
          </w:p>
        </w:tc>
        <w:tc>
          <w:tcPr>
            <w:tcW w:w="2447" w:type="pct"/>
            <w:tcBorders>
              <w:tl2br w:val="nil"/>
              <w:tr2bl w:val="nil"/>
            </w:tcBorders>
            <w:vAlign w:val="center"/>
          </w:tcPr>
          <w:p w14:paraId="0711363F">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60t×42m/10t×70m</w:t>
            </w:r>
          </w:p>
        </w:tc>
        <w:tc>
          <w:tcPr>
            <w:tcW w:w="460" w:type="pct"/>
            <w:tcBorders>
              <w:tl2br w:val="nil"/>
              <w:tr2bl w:val="nil"/>
            </w:tcBorders>
            <w:vAlign w:val="center"/>
          </w:tcPr>
          <w:p w14:paraId="3A5ABF97">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4674E03E">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0CCB82F1">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1</w:t>
            </w:r>
          </w:p>
        </w:tc>
      </w:tr>
      <w:tr w14:paraId="3AF3F29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345" w:type="pct"/>
            <w:tcBorders>
              <w:tl2br w:val="nil"/>
              <w:tr2bl w:val="nil"/>
            </w:tcBorders>
            <w:noWrap/>
            <w:vAlign w:val="center"/>
          </w:tcPr>
          <w:p w14:paraId="058146FA">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 xml:space="preserve">3 </w:t>
            </w:r>
          </w:p>
        </w:tc>
        <w:tc>
          <w:tcPr>
            <w:tcW w:w="995" w:type="pct"/>
            <w:tcBorders>
              <w:tl2br w:val="nil"/>
              <w:tr2bl w:val="nil"/>
            </w:tcBorders>
            <w:vAlign w:val="center"/>
          </w:tcPr>
          <w:p w14:paraId="4B8C85B7">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趸船及连接装置</w:t>
            </w:r>
          </w:p>
        </w:tc>
        <w:tc>
          <w:tcPr>
            <w:tcW w:w="2447" w:type="pct"/>
            <w:tcBorders>
              <w:tl2br w:val="nil"/>
              <w:tr2bl w:val="nil"/>
            </w:tcBorders>
            <w:vAlign w:val="center"/>
          </w:tcPr>
          <w:p w14:paraId="68F28D5A">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主尺度约70m×40m。</w:t>
            </w:r>
          </w:p>
        </w:tc>
        <w:tc>
          <w:tcPr>
            <w:tcW w:w="460" w:type="pct"/>
            <w:tcBorders>
              <w:tl2br w:val="nil"/>
              <w:tr2bl w:val="nil"/>
            </w:tcBorders>
            <w:vAlign w:val="center"/>
          </w:tcPr>
          <w:p w14:paraId="3C25A7A9">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0B9DE2CD">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4312953C">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1</w:t>
            </w:r>
          </w:p>
        </w:tc>
      </w:tr>
      <w:tr w14:paraId="263B08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345" w:type="pct"/>
            <w:tcBorders>
              <w:tl2br w:val="nil"/>
              <w:tr2bl w:val="nil"/>
            </w:tcBorders>
            <w:noWrap/>
            <w:vAlign w:val="center"/>
          </w:tcPr>
          <w:p w14:paraId="3BAD815D">
            <w:pPr>
              <w:widowControl/>
              <w:spacing w:line="240" w:lineRule="auto"/>
              <w:ind w:firstLine="0" w:firstLineChars="0"/>
              <w:jc w:val="center"/>
              <w:rPr>
                <w:color w:val="auto"/>
                <w:sz w:val="21"/>
                <w:szCs w:val="21"/>
                <w:highlight w:val="none"/>
              </w:rPr>
            </w:pPr>
          </w:p>
        </w:tc>
        <w:tc>
          <w:tcPr>
            <w:tcW w:w="995" w:type="pct"/>
            <w:tcBorders>
              <w:tl2br w:val="nil"/>
              <w:tr2bl w:val="nil"/>
            </w:tcBorders>
            <w:noWrap/>
            <w:vAlign w:val="center"/>
          </w:tcPr>
          <w:p w14:paraId="0A489AB7">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小计</w:t>
            </w:r>
          </w:p>
        </w:tc>
        <w:tc>
          <w:tcPr>
            <w:tcW w:w="2447" w:type="pct"/>
            <w:tcBorders>
              <w:tl2br w:val="nil"/>
              <w:tr2bl w:val="nil"/>
            </w:tcBorders>
            <w:noWrap/>
            <w:vAlign w:val="center"/>
          </w:tcPr>
          <w:p w14:paraId="1E640E5D">
            <w:pPr>
              <w:widowControl/>
              <w:spacing w:line="240" w:lineRule="auto"/>
              <w:ind w:firstLine="0" w:firstLineChars="0"/>
              <w:rPr>
                <w:color w:val="auto"/>
                <w:sz w:val="21"/>
                <w:szCs w:val="21"/>
                <w:highlight w:val="none"/>
              </w:rPr>
            </w:pPr>
          </w:p>
        </w:tc>
        <w:tc>
          <w:tcPr>
            <w:tcW w:w="460" w:type="pct"/>
            <w:tcBorders>
              <w:tl2br w:val="nil"/>
              <w:tr2bl w:val="nil"/>
            </w:tcBorders>
            <w:noWrap/>
            <w:vAlign w:val="center"/>
          </w:tcPr>
          <w:p w14:paraId="7F87BBE1">
            <w:pPr>
              <w:widowControl/>
              <w:spacing w:line="240" w:lineRule="auto"/>
              <w:ind w:firstLine="0" w:firstLineChars="0"/>
              <w:jc w:val="center"/>
              <w:rPr>
                <w:color w:val="auto"/>
                <w:sz w:val="21"/>
                <w:szCs w:val="21"/>
                <w:highlight w:val="none"/>
              </w:rPr>
            </w:pPr>
          </w:p>
        </w:tc>
        <w:tc>
          <w:tcPr>
            <w:tcW w:w="379" w:type="pct"/>
            <w:tcBorders>
              <w:tl2br w:val="nil"/>
              <w:tr2bl w:val="nil"/>
            </w:tcBorders>
            <w:noWrap/>
            <w:vAlign w:val="center"/>
          </w:tcPr>
          <w:p w14:paraId="153FAC7D">
            <w:pPr>
              <w:widowControl/>
              <w:spacing w:line="240" w:lineRule="auto"/>
              <w:ind w:firstLine="0" w:firstLineChars="0"/>
              <w:jc w:val="center"/>
              <w:textAlignment w:val="center"/>
              <w:rPr>
                <w:b/>
                <w:bCs/>
                <w:color w:val="auto"/>
                <w:sz w:val="21"/>
                <w:szCs w:val="21"/>
                <w:highlight w:val="none"/>
              </w:rPr>
            </w:pPr>
          </w:p>
        </w:tc>
        <w:tc>
          <w:tcPr>
            <w:tcW w:w="372" w:type="pct"/>
            <w:tcBorders>
              <w:tl2br w:val="nil"/>
              <w:tr2bl w:val="nil"/>
            </w:tcBorders>
            <w:noWrap/>
            <w:vAlign w:val="center"/>
          </w:tcPr>
          <w:p w14:paraId="46C8F3BA">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3 </w:t>
            </w:r>
          </w:p>
        </w:tc>
      </w:tr>
      <w:tr w14:paraId="5C9F41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345" w:type="pct"/>
            <w:tcBorders>
              <w:tl2br w:val="nil"/>
              <w:tr2bl w:val="nil"/>
            </w:tcBorders>
            <w:textDirection w:val="tbRlV"/>
            <w:vAlign w:val="center"/>
          </w:tcPr>
          <w:p w14:paraId="41D05F34">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二</w:t>
            </w:r>
          </w:p>
        </w:tc>
        <w:tc>
          <w:tcPr>
            <w:tcW w:w="995" w:type="pct"/>
            <w:tcBorders>
              <w:tl2br w:val="nil"/>
              <w:tr2bl w:val="nil"/>
            </w:tcBorders>
            <w:noWrap/>
            <w:vAlign w:val="center"/>
          </w:tcPr>
          <w:p w14:paraId="71E121F5">
            <w:pPr>
              <w:widowControl/>
              <w:spacing w:line="240" w:lineRule="auto"/>
              <w:ind w:firstLine="0" w:firstLineChars="0"/>
              <w:jc w:val="left"/>
              <w:textAlignment w:val="center"/>
              <w:rPr>
                <w:b/>
                <w:bCs/>
                <w:color w:val="auto"/>
                <w:sz w:val="21"/>
                <w:szCs w:val="21"/>
                <w:highlight w:val="none"/>
              </w:rPr>
            </w:pPr>
            <w:r>
              <w:rPr>
                <w:b/>
                <w:bCs/>
                <w:color w:val="auto"/>
                <w:sz w:val="21"/>
                <w:szCs w:val="21"/>
                <w:highlight w:val="none"/>
                <w:lang w:bidi="ar"/>
              </w:rPr>
              <w:t>智能制造装备</w:t>
            </w:r>
          </w:p>
        </w:tc>
        <w:tc>
          <w:tcPr>
            <w:tcW w:w="2447" w:type="pct"/>
            <w:tcBorders>
              <w:tl2br w:val="nil"/>
              <w:tr2bl w:val="nil"/>
            </w:tcBorders>
            <w:noWrap/>
            <w:vAlign w:val="center"/>
          </w:tcPr>
          <w:p w14:paraId="64E0AC90">
            <w:pPr>
              <w:widowControl/>
              <w:spacing w:line="240" w:lineRule="auto"/>
              <w:ind w:firstLine="0" w:firstLineChars="0"/>
              <w:rPr>
                <w:color w:val="auto"/>
                <w:sz w:val="21"/>
                <w:szCs w:val="21"/>
                <w:highlight w:val="none"/>
              </w:rPr>
            </w:pPr>
          </w:p>
        </w:tc>
        <w:tc>
          <w:tcPr>
            <w:tcW w:w="460" w:type="pct"/>
            <w:tcBorders>
              <w:tl2br w:val="nil"/>
              <w:tr2bl w:val="nil"/>
            </w:tcBorders>
            <w:noWrap/>
            <w:vAlign w:val="center"/>
          </w:tcPr>
          <w:p w14:paraId="1A48F432">
            <w:pPr>
              <w:widowControl/>
              <w:spacing w:line="240" w:lineRule="auto"/>
              <w:ind w:firstLine="0" w:firstLineChars="0"/>
              <w:jc w:val="center"/>
              <w:rPr>
                <w:color w:val="auto"/>
                <w:sz w:val="21"/>
                <w:szCs w:val="21"/>
                <w:highlight w:val="none"/>
              </w:rPr>
            </w:pPr>
          </w:p>
        </w:tc>
        <w:tc>
          <w:tcPr>
            <w:tcW w:w="379" w:type="pct"/>
            <w:tcBorders>
              <w:tl2br w:val="nil"/>
              <w:tr2bl w:val="nil"/>
            </w:tcBorders>
            <w:noWrap/>
            <w:vAlign w:val="center"/>
          </w:tcPr>
          <w:p w14:paraId="7BCCDA82">
            <w:pPr>
              <w:widowControl/>
              <w:spacing w:line="240" w:lineRule="auto"/>
              <w:ind w:firstLine="0" w:firstLineChars="0"/>
              <w:jc w:val="center"/>
              <w:rPr>
                <w:b/>
                <w:bCs/>
                <w:color w:val="auto"/>
                <w:sz w:val="21"/>
                <w:szCs w:val="21"/>
                <w:highlight w:val="none"/>
              </w:rPr>
            </w:pPr>
          </w:p>
        </w:tc>
        <w:tc>
          <w:tcPr>
            <w:tcW w:w="372" w:type="pct"/>
            <w:tcBorders>
              <w:tl2br w:val="nil"/>
              <w:tr2bl w:val="nil"/>
            </w:tcBorders>
            <w:noWrap/>
            <w:vAlign w:val="center"/>
          </w:tcPr>
          <w:p w14:paraId="7CE79DD7">
            <w:pPr>
              <w:widowControl/>
              <w:spacing w:line="240" w:lineRule="auto"/>
              <w:ind w:firstLine="0" w:firstLineChars="0"/>
              <w:jc w:val="center"/>
              <w:rPr>
                <w:b/>
                <w:bCs/>
                <w:color w:val="auto"/>
                <w:sz w:val="21"/>
                <w:szCs w:val="21"/>
                <w:highlight w:val="none"/>
              </w:rPr>
            </w:pPr>
          </w:p>
        </w:tc>
      </w:tr>
      <w:tr w14:paraId="0DFB5D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345" w:type="pct"/>
            <w:tcBorders>
              <w:tl2br w:val="nil"/>
              <w:tr2bl w:val="nil"/>
            </w:tcBorders>
            <w:noWrap/>
            <w:vAlign w:val="center"/>
          </w:tcPr>
          <w:p w14:paraId="64A4C4ED">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（一）</w:t>
            </w:r>
          </w:p>
        </w:tc>
        <w:tc>
          <w:tcPr>
            <w:tcW w:w="995" w:type="pct"/>
            <w:tcBorders>
              <w:tl2br w:val="nil"/>
              <w:tr2bl w:val="nil"/>
            </w:tcBorders>
            <w:noWrap/>
            <w:vAlign w:val="center"/>
          </w:tcPr>
          <w:p w14:paraId="2023AE56">
            <w:pPr>
              <w:widowControl/>
              <w:spacing w:line="240" w:lineRule="auto"/>
              <w:ind w:firstLine="0" w:firstLineChars="0"/>
              <w:jc w:val="left"/>
              <w:textAlignment w:val="center"/>
              <w:rPr>
                <w:b/>
                <w:bCs/>
                <w:color w:val="auto"/>
                <w:sz w:val="21"/>
                <w:szCs w:val="21"/>
                <w:highlight w:val="none"/>
              </w:rPr>
            </w:pPr>
            <w:r>
              <w:rPr>
                <w:b/>
                <w:bCs/>
                <w:color w:val="auto"/>
                <w:sz w:val="21"/>
                <w:szCs w:val="21"/>
                <w:highlight w:val="none"/>
                <w:lang w:bidi="ar"/>
              </w:rPr>
              <w:t>数字化计量检测</w:t>
            </w:r>
          </w:p>
        </w:tc>
        <w:tc>
          <w:tcPr>
            <w:tcW w:w="2447" w:type="pct"/>
            <w:tcBorders>
              <w:tl2br w:val="nil"/>
              <w:tr2bl w:val="nil"/>
            </w:tcBorders>
            <w:noWrap/>
            <w:vAlign w:val="center"/>
          </w:tcPr>
          <w:p w14:paraId="13E3E4D9">
            <w:pPr>
              <w:widowControl/>
              <w:spacing w:line="240" w:lineRule="auto"/>
              <w:ind w:firstLine="0" w:firstLineChars="0"/>
              <w:rPr>
                <w:color w:val="auto"/>
                <w:sz w:val="21"/>
                <w:szCs w:val="21"/>
                <w:highlight w:val="none"/>
              </w:rPr>
            </w:pPr>
            <w:r>
              <w:rPr>
                <w:color w:val="auto"/>
                <w:sz w:val="21"/>
                <w:szCs w:val="21"/>
                <w:highlight w:val="none"/>
                <w:lang w:bidi="ar"/>
              </w:rPr>
              <w:t>超声波探伤仪</w:t>
            </w:r>
            <w:r>
              <w:rPr>
                <w:rFonts w:hint="eastAsia"/>
                <w:color w:val="auto"/>
                <w:sz w:val="21"/>
                <w:szCs w:val="21"/>
                <w:highlight w:val="none"/>
                <w:lang w:bidi="ar"/>
              </w:rPr>
              <w:t>、</w:t>
            </w:r>
            <w:r>
              <w:rPr>
                <w:color w:val="auto"/>
                <w:sz w:val="21"/>
                <w:szCs w:val="21"/>
                <w:highlight w:val="none"/>
                <w:lang w:bidi="ar"/>
              </w:rPr>
              <w:t>便携式X射线机</w:t>
            </w:r>
            <w:r>
              <w:rPr>
                <w:rFonts w:hint="eastAsia"/>
                <w:color w:val="auto"/>
                <w:sz w:val="21"/>
                <w:szCs w:val="21"/>
                <w:highlight w:val="none"/>
                <w:lang w:bidi="ar"/>
              </w:rPr>
              <w:t>、</w:t>
            </w:r>
            <w:r>
              <w:rPr>
                <w:color w:val="auto"/>
                <w:sz w:val="21"/>
                <w:szCs w:val="21"/>
                <w:highlight w:val="none"/>
                <w:lang w:bidi="ar"/>
              </w:rPr>
              <w:t>激光对中仪</w:t>
            </w:r>
            <w:r>
              <w:rPr>
                <w:rFonts w:hint="eastAsia"/>
                <w:color w:val="auto"/>
                <w:sz w:val="21"/>
                <w:szCs w:val="21"/>
                <w:highlight w:val="none"/>
                <w:lang w:bidi="ar"/>
              </w:rPr>
              <w:t>等</w:t>
            </w:r>
          </w:p>
        </w:tc>
        <w:tc>
          <w:tcPr>
            <w:tcW w:w="460" w:type="pct"/>
            <w:tcBorders>
              <w:tl2br w:val="nil"/>
              <w:tr2bl w:val="nil"/>
            </w:tcBorders>
            <w:noWrap/>
            <w:vAlign w:val="center"/>
          </w:tcPr>
          <w:p w14:paraId="28CF16E0">
            <w:pPr>
              <w:widowControl/>
              <w:spacing w:line="240" w:lineRule="auto"/>
              <w:ind w:firstLine="0" w:firstLineChars="0"/>
              <w:jc w:val="center"/>
              <w:rPr>
                <w:color w:val="auto"/>
                <w:sz w:val="21"/>
                <w:szCs w:val="21"/>
                <w:highlight w:val="none"/>
              </w:rPr>
            </w:pPr>
          </w:p>
        </w:tc>
        <w:tc>
          <w:tcPr>
            <w:tcW w:w="379" w:type="pct"/>
            <w:tcBorders>
              <w:tl2br w:val="nil"/>
              <w:tr2bl w:val="nil"/>
            </w:tcBorders>
            <w:noWrap/>
            <w:vAlign w:val="center"/>
          </w:tcPr>
          <w:p w14:paraId="2BAD5223">
            <w:pPr>
              <w:widowControl/>
              <w:spacing w:line="240" w:lineRule="auto"/>
              <w:ind w:firstLine="0" w:firstLineChars="0"/>
              <w:jc w:val="center"/>
              <w:rPr>
                <w:b/>
                <w:bCs/>
                <w:color w:val="auto"/>
                <w:sz w:val="21"/>
                <w:szCs w:val="21"/>
                <w:highlight w:val="none"/>
              </w:rPr>
            </w:pPr>
            <w:r>
              <w:rPr>
                <w:rFonts w:hint="eastAsia"/>
                <w:b/>
                <w:bCs/>
                <w:color w:val="auto"/>
                <w:sz w:val="21"/>
                <w:szCs w:val="21"/>
                <w:highlight w:val="none"/>
              </w:rPr>
              <w:t>台/套</w:t>
            </w:r>
          </w:p>
        </w:tc>
        <w:tc>
          <w:tcPr>
            <w:tcW w:w="372" w:type="pct"/>
            <w:tcBorders>
              <w:tl2br w:val="nil"/>
              <w:tr2bl w:val="nil"/>
            </w:tcBorders>
            <w:noWrap/>
            <w:vAlign w:val="center"/>
          </w:tcPr>
          <w:p w14:paraId="3334DC7C">
            <w:pPr>
              <w:widowControl/>
              <w:spacing w:line="240" w:lineRule="auto"/>
              <w:ind w:firstLine="0" w:firstLineChars="0"/>
              <w:jc w:val="center"/>
              <w:rPr>
                <w:b/>
                <w:bCs/>
                <w:color w:val="auto"/>
                <w:sz w:val="21"/>
                <w:szCs w:val="21"/>
                <w:highlight w:val="none"/>
              </w:rPr>
            </w:pPr>
            <w:r>
              <w:rPr>
                <w:rFonts w:hint="eastAsia"/>
                <w:b/>
                <w:bCs/>
                <w:color w:val="auto"/>
                <w:sz w:val="21"/>
                <w:szCs w:val="21"/>
                <w:highlight w:val="none"/>
              </w:rPr>
              <w:t>27</w:t>
            </w:r>
          </w:p>
        </w:tc>
      </w:tr>
      <w:tr w14:paraId="0B5B81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7F47C338">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（二）</w:t>
            </w:r>
          </w:p>
        </w:tc>
        <w:tc>
          <w:tcPr>
            <w:tcW w:w="995" w:type="pct"/>
            <w:tcBorders>
              <w:tl2br w:val="nil"/>
              <w:tr2bl w:val="nil"/>
            </w:tcBorders>
            <w:noWrap/>
            <w:vAlign w:val="center"/>
          </w:tcPr>
          <w:p w14:paraId="7F1937F2">
            <w:pPr>
              <w:widowControl/>
              <w:spacing w:line="240" w:lineRule="auto"/>
              <w:ind w:firstLine="0" w:firstLineChars="0"/>
              <w:jc w:val="left"/>
              <w:textAlignment w:val="center"/>
              <w:rPr>
                <w:b/>
                <w:bCs/>
                <w:color w:val="auto"/>
                <w:sz w:val="21"/>
                <w:szCs w:val="21"/>
                <w:highlight w:val="none"/>
              </w:rPr>
            </w:pPr>
            <w:r>
              <w:rPr>
                <w:b/>
                <w:bCs/>
                <w:color w:val="auto"/>
                <w:sz w:val="21"/>
                <w:szCs w:val="21"/>
                <w:highlight w:val="none"/>
                <w:lang w:bidi="ar"/>
              </w:rPr>
              <w:t>自动化加工</w:t>
            </w:r>
          </w:p>
        </w:tc>
        <w:tc>
          <w:tcPr>
            <w:tcW w:w="2447" w:type="pct"/>
            <w:tcBorders>
              <w:tl2br w:val="nil"/>
              <w:tr2bl w:val="nil"/>
            </w:tcBorders>
            <w:vAlign w:val="center"/>
          </w:tcPr>
          <w:p w14:paraId="058441D1">
            <w:pPr>
              <w:widowControl/>
              <w:spacing w:line="240" w:lineRule="auto"/>
              <w:ind w:firstLine="0" w:firstLineChars="0"/>
              <w:rPr>
                <w:b/>
                <w:bCs/>
                <w:color w:val="auto"/>
                <w:sz w:val="21"/>
                <w:szCs w:val="21"/>
                <w:highlight w:val="none"/>
              </w:rPr>
            </w:pPr>
            <w:r>
              <w:rPr>
                <w:color w:val="auto"/>
                <w:sz w:val="21"/>
                <w:szCs w:val="21"/>
                <w:highlight w:val="none"/>
                <w:lang w:bidi="ar"/>
              </w:rPr>
              <w:t>自动角焊机</w:t>
            </w:r>
            <w:r>
              <w:rPr>
                <w:rFonts w:hint="eastAsia"/>
                <w:color w:val="auto"/>
                <w:sz w:val="21"/>
                <w:szCs w:val="21"/>
                <w:highlight w:val="none"/>
                <w:lang w:bidi="ar"/>
              </w:rPr>
              <w:t>、</w:t>
            </w:r>
            <w:r>
              <w:rPr>
                <w:color w:val="auto"/>
                <w:sz w:val="21"/>
                <w:szCs w:val="21"/>
                <w:highlight w:val="none"/>
                <w:lang w:bidi="ar"/>
              </w:rPr>
              <w:t>倒角机</w:t>
            </w:r>
            <w:r>
              <w:rPr>
                <w:rFonts w:hint="eastAsia"/>
                <w:color w:val="auto"/>
                <w:sz w:val="21"/>
                <w:szCs w:val="21"/>
                <w:highlight w:val="none"/>
                <w:lang w:bidi="ar"/>
              </w:rPr>
              <w:t>、</w:t>
            </w:r>
            <w:r>
              <w:rPr>
                <w:color w:val="auto"/>
                <w:sz w:val="21"/>
                <w:szCs w:val="21"/>
                <w:highlight w:val="none"/>
                <w:lang w:bidi="ar"/>
              </w:rPr>
              <w:t>滚剪式自动行进坡口机</w:t>
            </w:r>
            <w:r>
              <w:rPr>
                <w:rFonts w:hint="eastAsia"/>
                <w:color w:val="auto"/>
                <w:sz w:val="21"/>
                <w:szCs w:val="21"/>
                <w:highlight w:val="none"/>
                <w:lang w:bidi="ar"/>
              </w:rPr>
              <w:t>等</w:t>
            </w:r>
          </w:p>
        </w:tc>
        <w:tc>
          <w:tcPr>
            <w:tcW w:w="460" w:type="pct"/>
            <w:tcBorders>
              <w:tl2br w:val="nil"/>
              <w:tr2bl w:val="nil"/>
            </w:tcBorders>
            <w:noWrap/>
            <w:vAlign w:val="center"/>
          </w:tcPr>
          <w:p w14:paraId="3DDDAEFD">
            <w:pPr>
              <w:widowControl/>
              <w:spacing w:line="240" w:lineRule="auto"/>
              <w:ind w:firstLine="0" w:firstLineChars="0"/>
              <w:jc w:val="center"/>
              <w:rPr>
                <w:b/>
                <w:bCs/>
                <w:color w:val="auto"/>
                <w:sz w:val="21"/>
                <w:szCs w:val="21"/>
                <w:highlight w:val="none"/>
              </w:rPr>
            </w:pPr>
          </w:p>
        </w:tc>
        <w:tc>
          <w:tcPr>
            <w:tcW w:w="379" w:type="pct"/>
            <w:tcBorders>
              <w:tl2br w:val="nil"/>
              <w:tr2bl w:val="nil"/>
            </w:tcBorders>
            <w:noWrap/>
            <w:vAlign w:val="center"/>
          </w:tcPr>
          <w:p w14:paraId="7C8F055C">
            <w:pPr>
              <w:widowControl/>
              <w:spacing w:line="240" w:lineRule="auto"/>
              <w:ind w:firstLine="0" w:firstLineChars="0"/>
              <w:jc w:val="center"/>
              <w:rPr>
                <w:b/>
                <w:bCs/>
                <w:color w:val="auto"/>
                <w:sz w:val="21"/>
                <w:szCs w:val="21"/>
                <w:highlight w:val="none"/>
              </w:rPr>
            </w:pPr>
            <w:r>
              <w:rPr>
                <w:rFonts w:hint="eastAsia"/>
                <w:b/>
                <w:bCs/>
                <w:color w:val="auto"/>
                <w:sz w:val="21"/>
                <w:szCs w:val="21"/>
                <w:highlight w:val="none"/>
              </w:rPr>
              <w:t>台/套</w:t>
            </w:r>
          </w:p>
        </w:tc>
        <w:tc>
          <w:tcPr>
            <w:tcW w:w="372" w:type="pct"/>
            <w:tcBorders>
              <w:tl2br w:val="nil"/>
              <w:tr2bl w:val="nil"/>
            </w:tcBorders>
            <w:noWrap/>
            <w:vAlign w:val="center"/>
          </w:tcPr>
          <w:p w14:paraId="15CD9861">
            <w:pPr>
              <w:widowControl/>
              <w:spacing w:line="240" w:lineRule="auto"/>
              <w:ind w:firstLine="0" w:firstLineChars="0"/>
              <w:jc w:val="center"/>
              <w:rPr>
                <w:b/>
                <w:bCs/>
                <w:color w:val="auto"/>
                <w:sz w:val="21"/>
                <w:szCs w:val="21"/>
                <w:highlight w:val="none"/>
              </w:rPr>
            </w:pPr>
            <w:r>
              <w:rPr>
                <w:rFonts w:hint="eastAsia"/>
                <w:b/>
                <w:bCs/>
                <w:color w:val="auto"/>
                <w:sz w:val="21"/>
                <w:szCs w:val="21"/>
                <w:highlight w:val="none"/>
              </w:rPr>
              <w:t>73</w:t>
            </w:r>
          </w:p>
        </w:tc>
      </w:tr>
      <w:tr w14:paraId="309CC2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508D8BA6">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（三）</w:t>
            </w:r>
          </w:p>
        </w:tc>
        <w:tc>
          <w:tcPr>
            <w:tcW w:w="995" w:type="pct"/>
            <w:tcBorders>
              <w:tl2br w:val="nil"/>
              <w:tr2bl w:val="nil"/>
            </w:tcBorders>
            <w:noWrap/>
            <w:vAlign w:val="center"/>
          </w:tcPr>
          <w:p w14:paraId="61334488">
            <w:pPr>
              <w:widowControl/>
              <w:spacing w:line="240" w:lineRule="auto"/>
              <w:ind w:firstLine="0" w:firstLineChars="0"/>
              <w:jc w:val="left"/>
              <w:textAlignment w:val="center"/>
              <w:rPr>
                <w:b/>
                <w:bCs/>
                <w:color w:val="auto"/>
                <w:sz w:val="21"/>
                <w:szCs w:val="21"/>
                <w:highlight w:val="none"/>
              </w:rPr>
            </w:pPr>
            <w:r>
              <w:rPr>
                <w:b/>
                <w:bCs/>
                <w:color w:val="auto"/>
                <w:sz w:val="21"/>
                <w:szCs w:val="21"/>
                <w:highlight w:val="none"/>
                <w:lang w:bidi="ar"/>
              </w:rPr>
              <w:t>高效焊接</w:t>
            </w:r>
          </w:p>
        </w:tc>
        <w:tc>
          <w:tcPr>
            <w:tcW w:w="2447" w:type="pct"/>
            <w:tcBorders>
              <w:tl2br w:val="nil"/>
              <w:tr2bl w:val="nil"/>
            </w:tcBorders>
            <w:noWrap/>
            <w:vAlign w:val="center"/>
          </w:tcPr>
          <w:p w14:paraId="06D8FE76">
            <w:pPr>
              <w:widowControl/>
              <w:spacing w:line="240" w:lineRule="auto"/>
              <w:ind w:firstLine="0" w:firstLineChars="0"/>
              <w:rPr>
                <w:color w:val="auto"/>
                <w:sz w:val="21"/>
                <w:szCs w:val="21"/>
                <w:highlight w:val="none"/>
              </w:rPr>
            </w:pPr>
          </w:p>
        </w:tc>
        <w:tc>
          <w:tcPr>
            <w:tcW w:w="460" w:type="pct"/>
            <w:tcBorders>
              <w:tl2br w:val="nil"/>
              <w:tr2bl w:val="nil"/>
            </w:tcBorders>
            <w:noWrap/>
            <w:vAlign w:val="center"/>
          </w:tcPr>
          <w:p w14:paraId="4DA69B4E">
            <w:pPr>
              <w:widowControl/>
              <w:spacing w:line="240" w:lineRule="auto"/>
              <w:ind w:firstLine="0" w:firstLineChars="0"/>
              <w:jc w:val="center"/>
              <w:rPr>
                <w:color w:val="auto"/>
                <w:sz w:val="21"/>
                <w:szCs w:val="21"/>
                <w:highlight w:val="none"/>
              </w:rPr>
            </w:pPr>
          </w:p>
        </w:tc>
        <w:tc>
          <w:tcPr>
            <w:tcW w:w="379" w:type="pct"/>
            <w:tcBorders>
              <w:tl2br w:val="nil"/>
              <w:tr2bl w:val="nil"/>
            </w:tcBorders>
            <w:noWrap/>
            <w:vAlign w:val="center"/>
          </w:tcPr>
          <w:p w14:paraId="0BA0E026">
            <w:pPr>
              <w:widowControl/>
              <w:spacing w:line="240" w:lineRule="auto"/>
              <w:ind w:firstLine="0" w:firstLineChars="0"/>
              <w:jc w:val="center"/>
              <w:rPr>
                <w:b/>
                <w:bCs/>
                <w:color w:val="auto"/>
                <w:sz w:val="21"/>
                <w:szCs w:val="21"/>
                <w:highlight w:val="none"/>
              </w:rPr>
            </w:pPr>
            <w:r>
              <w:rPr>
                <w:rFonts w:hint="eastAsia"/>
                <w:b/>
                <w:bCs/>
                <w:color w:val="auto"/>
                <w:sz w:val="21"/>
                <w:szCs w:val="21"/>
                <w:highlight w:val="none"/>
              </w:rPr>
              <w:t>台/套</w:t>
            </w:r>
          </w:p>
        </w:tc>
        <w:tc>
          <w:tcPr>
            <w:tcW w:w="372" w:type="pct"/>
            <w:tcBorders>
              <w:tl2br w:val="nil"/>
              <w:tr2bl w:val="nil"/>
            </w:tcBorders>
            <w:noWrap/>
            <w:vAlign w:val="center"/>
          </w:tcPr>
          <w:p w14:paraId="35C3B8FE">
            <w:pPr>
              <w:widowControl/>
              <w:spacing w:line="240" w:lineRule="auto"/>
              <w:ind w:firstLine="0" w:firstLineChars="0"/>
              <w:jc w:val="center"/>
              <w:rPr>
                <w:b/>
                <w:bCs/>
                <w:color w:val="auto"/>
                <w:sz w:val="21"/>
                <w:szCs w:val="21"/>
                <w:highlight w:val="none"/>
              </w:rPr>
            </w:pPr>
            <w:r>
              <w:rPr>
                <w:b/>
                <w:bCs/>
                <w:color w:val="auto"/>
                <w:sz w:val="21"/>
                <w:szCs w:val="21"/>
                <w:highlight w:val="none"/>
                <w:lang w:bidi="ar"/>
              </w:rPr>
              <w:t xml:space="preserve">245 </w:t>
            </w:r>
          </w:p>
        </w:tc>
      </w:tr>
      <w:tr w14:paraId="1F235FD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shd w:val="clear" w:color="auto" w:fill="FFFFFF"/>
            <w:noWrap/>
            <w:vAlign w:val="center"/>
          </w:tcPr>
          <w:p w14:paraId="08CCC457">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1</w:t>
            </w:r>
          </w:p>
        </w:tc>
        <w:tc>
          <w:tcPr>
            <w:tcW w:w="995" w:type="pct"/>
            <w:tcBorders>
              <w:tl2br w:val="nil"/>
              <w:tr2bl w:val="nil"/>
            </w:tcBorders>
            <w:shd w:val="clear" w:color="auto" w:fill="FFFFFF"/>
            <w:noWrap/>
            <w:vAlign w:val="center"/>
          </w:tcPr>
          <w:p w14:paraId="3294F4C1">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数字化二氧化碳焊机</w:t>
            </w:r>
          </w:p>
        </w:tc>
        <w:tc>
          <w:tcPr>
            <w:tcW w:w="2447" w:type="pct"/>
            <w:tcBorders>
              <w:tl2br w:val="nil"/>
              <w:tr2bl w:val="nil"/>
            </w:tcBorders>
            <w:shd w:val="clear" w:color="auto" w:fill="FFFFFF"/>
            <w:vAlign w:val="center"/>
          </w:tcPr>
          <w:p w14:paraId="177E5DF7">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额定输出电流500A/39V.</w:t>
            </w:r>
          </w:p>
        </w:tc>
        <w:tc>
          <w:tcPr>
            <w:tcW w:w="460" w:type="pct"/>
            <w:tcBorders>
              <w:tl2br w:val="nil"/>
              <w:tr2bl w:val="nil"/>
            </w:tcBorders>
            <w:shd w:val="clear" w:color="auto" w:fill="FFFFFF"/>
            <w:vAlign w:val="center"/>
          </w:tcPr>
          <w:p w14:paraId="65E79C01">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shd w:val="clear" w:color="auto" w:fill="FFFFFF"/>
            <w:noWrap/>
            <w:vAlign w:val="center"/>
          </w:tcPr>
          <w:p w14:paraId="0158B2F3">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shd w:val="clear" w:color="auto" w:fill="FFFFFF"/>
            <w:noWrap/>
            <w:vAlign w:val="center"/>
          </w:tcPr>
          <w:p w14:paraId="42D5CCEC">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116 </w:t>
            </w:r>
          </w:p>
        </w:tc>
      </w:tr>
      <w:tr w14:paraId="4894E4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2B217655">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2</w:t>
            </w:r>
          </w:p>
        </w:tc>
        <w:tc>
          <w:tcPr>
            <w:tcW w:w="995" w:type="pct"/>
            <w:tcBorders>
              <w:tl2br w:val="nil"/>
              <w:tr2bl w:val="nil"/>
            </w:tcBorders>
            <w:noWrap/>
            <w:vAlign w:val="center"/>
          </w:tcPr>
          <w:p w14:paraId="3DC55493">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自动角焊机</w:t>
            </w:r>
          </w:p>
        </w:tc>
        <w:tc>
          <w:tcPr>
            <w:tcW w:w="2447" w:type="pct"/>
            <w:tcBorders>
              <w:tl2br w:val="nil"/>
              <w:tr2bl w:val="nil"/>
            </w:tcBorders>
            <w:vAlign w:val="center"/>
          </w:tcPr>
          <w:p w14:paraId="564A5FFF">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电池供电24V/3.2~4Ah，四轮驱动。</w:t>
            </w:r>
          </w:p>
        </w:tc>
        <w:tc>
          <w:tcPr>
            <w:tcW w:w="460" w:type="pct"/>
            <w:tcBorders>
              <w:tl2br w:val="nil"/>
              <w:tr2bl w:val="nil"/>
            </w:tcBorders>
            <w:vAlign w:val="center"/>
          </w:tcPr>
          <w:p w14:paraId="7E51963F">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1AFDDC36">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17F5B7B2">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46 </w:t>
            </w:r>
          </w:p>
        </w:tc>
      </w:tr>
      <w:tr w14:paraId="00DB2C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130955D9">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3</w:t>
            </w:r>
          </w:p>
        </w:tc>
        <w:tc>
          <w:tcPr>
            <w:tcW w:w="995" w:type="pct"/>
            <w:tcBorders>
              <w:tl2br w:val="nil"/>
              <w:tr2bl w:val="nil"/>
            </w:tcBorders>
            <w:noWrap/>
            <w:vAlign w:val="center"/>
          </w:tcPr>
          <w:p w14:paraId="682F10B0">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手工等离子切割机</w:t>
            </w:r>
          </w:p>
        </w:tc>
        <w:tc>
          <w:tcPr>
            <w:tcW w:w="2447" w:type="pct"/>
            <w:tcBorders>
              <w:tl2br w:val="nil"/>
              <w:tr2bl w:val="nil"/>
            </w:tcBorders>
            <w:vAlign w:val="center"/>
          </w:tcPr>
          <w:p w14:paraId="70A02C3E">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输出电流30-120A或30-63A</w:t>
            </w:r>
          </w:p>
        </w:tc>
        <w:tc>
          <w:tcPr>
            <w:tcW w:w="460" w:type="pct"/>
            <w:tcBorders>
              <w:tl2br w:val="nil"/>
              <w:tr2bl w:val="nil"/>
            </w:tcBorders>
            <w:vAlign w:val="center"/>
          </w:tcPr>
          <w:p w14:paraId="4BCE2D79">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3FB36AFA">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611BC180">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8 </w:t>
            </w:r>
          </w:p>
        </w:tc>
      </w:tr>
      <w:tr w14:paraId="6652AF3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734DFF9A">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4</w:t>
            </w:r>
          </w:p>
        </w:tc>
        <w:tc>
          <w:tcPr>
            <w:tcW w:w="995" w:type="pct"/>
            <w:tcBorders>
              <w:tl2br w:val="nil"/>
              <w:tr2bl w:val="nil"/>
            </w:tcBorders>
            <w:noWrap/>
            <w:vAlign w:val="center"/>
          </w:tcPr>
          <w:p w14:paraId="1253A279">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轻便型铝氩弧焊机</w:t>
            </w:r>
          </w:p>
        </w:tc>
        <w:tc>
          <w:tcPr>
            <w:tcW w:w="2447" w:type="pct"/>
            <w:tcBorders>
              <w:tl2br w:val="nil"/>
              <w:tr2bl w:val="nil"/>
            </w:tcBorders>
            <w:vAlign w:val="center"/>
          </w:tcPr>
          <w:p w14:paraId="2D8CADC9">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输出电流直流TIG4-350A，交流TIG10-350A</w:t>
            </w:r>
          </w:p>
        </w:tc>
        <w:tc>
          <w:tcPr>
            <w:tcW w:w="460" w:type="pct"/>
            <w:tcBorders>
              <w:tl2br w:val="nil"/>
              <w:tr2bl w:val="nil"/>
            </w:tcBorders>
            <w:vAlign w:val="center"/>
          </w:tcPr>
          <w:p w14:paraId="08F3C9D8">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0B93246F">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26E97C4F">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1 </w:t>
            </w:r>
          </w:p>
        </w:tc>
      </w:tr>
      <w:tr w14:paraId="7B9A9E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0D1822D4">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5</w:t>
            </w:r>
          </w:p>
        </w:tc>
        <w:tc>
          <w:tcPr>
            <w:tcW w:w="995" w:type="pct"/>
            <w:tcBorders>
              <w:tl2br w:val="nil"/>
              <w:tr2bl w:val="nil"/>
            </w:tcBorders>
            <w:noWrap/>
            <w:vAlign w:val="center"/>
          </w:tcPr>
          <w:p w14:paraId="71FCD6AF">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氩弧焊机</w:t>
            </w:r>
          </w:p>
        </w:tc>
        <w:tc>
          <w:tcPr>
            <w:tcW w:w="2447" w:type="pct"/>
            <w:tcBorders>
              <w:tl2br w:val="nil"/>
              <w:tr2bl w:val="nil"/>
            </w:tcBorders>
            <w:vAlign w:val="center"/>
          </w:tcPr>
          <w:p w14:paraId="0BC4F635">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额定输出电流350A或400A</w:t>
            </w:r>
          </w:p>
        </w:tc>
        <w:tc>
          <w:tcPr>
            <w:tcW w:w="460" w:type="pct"/>
            <w:tcBorders>
              <w:tl2br w:val="nil"/>
              <w:tr2bl w:val="nil"/>
            </w:tcBorders>
            <w:vAlign w:val="center"/>
          </w:tcPr>
          <w:p w14:paraId="1E2601D5">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33211329">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16E8CA03">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11 </w:t>
            </w:r>
          </w:p>
        </w:tc>
      </w:tr>
      <w:tr w14:paraId="1378D8B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75CBADEF">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6</w:t>
            </w:r>
          </w:p>
        </w:tc>
        <w:tc>
          <w:tcPr>
            <w:tcW w:w="995" w:type="pct"/>
            <w:tcBorders>
              <w:tl2br w:val="nil"/>
              <w:tr2bl w:val="nil"/>
            </w:tcBorders>
            <w:noWrap/>
            <w:vAlign w:val="center"/>
          </w:tcPr>
          <w:p w14:paraId="21DCAD53">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便携式氩弧焊机</w:t>
            </w:r>
          </w:p>
        </w:tc>
        <w:tc>
          <w:tcPr>
            <w:tcW w:w="2447" w:type="pct"/>
            <w:tcBorders>
              <w:tl2br w:val="nil"/>
              <w:tr2bl w:val="nil"/>
            </w:tcBorders>
            <w:vAlign w:val="center"/>
          </w:tcPr>
          <w:p w14:paraId="29F21A9A">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额定输出电流200A</w:t>
            </w:r>
          </w:p>
        </w:tc>
        <w:tc>
          <w:tcPr>
            <w:tcW w:w="460" w:type="pct"/>
            <w:tcBorders>
              <w:tl2br w:val="nil"/>
              <w:tr2bl w:val="nil"/>
            </w:tcBorders>
            <w:vAlign w:val="center"/>
          </w:tcPr>
          <w:p w14:paraId="47F34A6E">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5B7B388C">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213543DA">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1 </w:t>
            </w:r>
          </w:p>
        </w:tc>
      </w:tr>
      <w:tr w14:paraId="4D8F488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1E1F9CA2">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7</w:t>
            </w:r>
          </w:p>
        </w:tc>
        <w:tc>
          <w:tcPr>
            <w:tcW w:w="995" w:type="pct"/>
            <w:tcBorders>
              <w:tl2br w:val="nil"/>
              <w:tr2bl w:val="nil"/>
            </w:tcBorders>
            <w:noWrap/>
            <w:vAlign w:val="center"/>
          </w:tcPr>
          <w:p w14:paraId="3DC8C1C0">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埋弧焊机</w:t>
            </w:r>
          </w:p>
        </w:tc>
        <w:tc>
          <w:tcPr>
            <w:tcW w:w="2447" w:type="pct"/>
            <w:tcBorders>
              <w:tl2br w:val="nil"/>
              <w:tr2bl w:val="nil"/>
            </w:tcBorders>
            <w:vAlign w:val="center"/>
          </w:tcPr>
          <w:p w14:paraId="59BDC6DA">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额定输出电流1250A</w:t>
            </w:r>
          </w:p>
        </w:tc>
        <w:tc>
          <w:tcPr>
            <w:tcW w:w="460" w:type="pct"/>
            <w:tcBorders>
              <w:tl2br w:val="nil"/>
              <w:tr2bl w:val="nil"/>
            </w:tcBorders>
            <w:vAlign w:val="center"/>
          </w:tcPr>
          <w:p w14:paraId="60828CCF">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0B60C575">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1A83CE55">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15 </w:t>
            </w:r>
          </w:p>
        </w:tc>
      </w:tr>
      <w:tr w14:paraId="2EAD9EA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0CDE3EFC">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8</w:t>
            </w:r>
          </w:p>
        </w:tc>
        <w:tc>
          <w:tcPr>
            <w:tcW w:w="995" w:type="pct"/>
            <w:tcBorders>
              <w:tl2br w:val="nil"/>
              <w:tr2bl w:val="nil"/>
            </w:tcBorders>
            <w:noWrap/>
            <w:vAlign w:val="center"/>
          </w:tcPr>
          <w:p w14:paraId="4522F827">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手工焊机（单头）</w:t>
            </w:r>
          </w:p>
        </w:tc>
        <w:tc>
          <w:tcPr>
            <w:tcW w:w="2447" w:type="pct"/>
            <w:tcBorders>
              <w:tl2br w:val="nil"/>
              <w:tr2bl w:val="nil"/>
            </w:tcBorders>
            <w:vAlign w:val="center"/>
          </w:tcPr>
          <w:p w14:paraId="6996C941">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额定输出电流300A</w:t>
            </w:r>
          </w:p>
        </w:tc>
        <w:tc>
          <w:tcPr>
            <w:tcW w:w="460" w:type="pct"/>
            <w:tcBorders>
              <w:tl2br w:val="nil"/>
              <w:tr2bl w:val="nil"/>
            </w:tcBorders>
            <w:vAlign w:val="center"/>
          </w:tcPr>
          <w:p w14:paraId="58B3C1B1">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031A7F8B">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2A9B9B9D">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35 </w:t>
            </w:r>
          </w:p>
        </w:tc>
      </w:tr>
      <w:tr w14:paraId="4142CE0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55ABEACB">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9</w:t>
            </w:r>
          </w:p>
        </w:tc>
        <w:tc>
          <w:tcPr>
            <w:tcW w:w="995" w:type="pct"/>
            <w:tcBorders>
              <w:tl2br w:val="nil"/>
              <w:tr2bl w:val="nil"/>
            </w:tcBorders>
            <w:noWrap/>
            <w:vAlign w:val="center"/>
          </w:tcPr>
          <w:p w14:paraId="3F5B5932">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多位置焊接小车</w:t>
            </w:r>
          </w:p>
        </w:tc>
        <w:tc>
          <w:tcPr>
            <w:tcW w:w="2447" w:type="pct"/>
            <w:tcBorders>
              <w:tl2br w:val="nil"/>
              <w:tr2bl w:val="nil"/>
            </w:tcBorders>
            <w:vAlign w:val="center"/>
          </w:tcPr>
          <w:p w14:paraId="2E7998C6">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满足平焊、立焊功能</w:t>
            </w:r>
          </w:p>
        </w:tc>
        <w:tc>
          <w:tcPr>
            <w:tcW w:w="460" w:type="pct"/>
            <w:tcBorders>
              <w:tl2br w:val="nil"/>
              <w:tr2bl w:val="nil"/>
            </w:tcBorders>
            <w:vAlign w:val="center"/>
          </w:tcPr>
          <w:p w14:paraId="09E6B3F5">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7292712D">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770CCDDF">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10 </w:t>
            </w:r>
          </w:p>
        </w:tc>
      </w:tr>
      <w:tr w14:paraId="74518D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3AE70A02">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10</w:t>
            </w:r>
          </w:p>
        </w:tc>
        <w:tc>
          <w:tcPr>
            <w:tcW w:w="995" w:type="pct"/>
            <w:tcBorders>
              <w:tl2br w:val="nil"/>
              <w:tr2bl w:val="nil"/>
            </w:tcBorders>
            <w:noWrap/>
            <w:vAlign w:val="center"/>
          </w:tcPr>
          <w:p w14:paraId="4C77C74B">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多头手把焊机</w:t>
            </w:r>
          </w:p>
        </w:tc>
        <w:tc>
          <w:tcPr>
            <w:tcW w:w="2447" w:type="pct"/>
            <w:tcBorders>
              <w:tl2br w:val="nil"/>
              <w:tr2bl w:val="nil"/>
            </w:tcBorders>
            <w:vAlign w:val="center"/>
          </w:tcPr>
          <w:p w14:paraId="2A25568C">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额定输出电流500A/</w:t>
            </w:r>
          </w:p>
        </w:tc>
        <w:tc>
          <w:tcPr>
            <w:tcW w:w="460" w:type="pct"/>
            <w:tcBorders>
              <w:tl2br w:val="nil"/>
              <w:tr2bl w:val="nil"/>
            </w:tcBorders>
            <w:vAlign w:val="center"/>
          </w:tcPr>
          <w:p w14:paraId="75760B94">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4CA71AFC">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41C316E1">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2 </w:t>
            </w:r>
          </w:p>
        </w:tc>
      </w:tr>
      <w:tr w14:paraId="086ED7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77B615AB">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三</w:t>
            </w:r>
          </w:p>
        </w:tc>
        <w:tc>
          <w:tcPr>
            <w:tcW w:w="995" w:type="pct"/>
            <w:tcBorders>
              <w:tl2br w:val="nil"/>
              <w:tr2bl w:val="nil"/>
            </w:tcBorders>
            <w:noWrap/>
            <w:vAlign w:val="center"/>
          </w:tcPr>
          <w:p w14:paraId="1F6A34E3">
            <w:pPr>
              <w:widowControl/>
              <w:spacing w:line="240" w:lineRule="auto"/>
              <w:ind w:firstLine="0" w:firstLineChars="0"/>
              <w:jc w:val="left"/>
              <w:textAlignment w:val="center"/>
              <w:rPr>
                <w:b/>
                <w:bCs/>
                <w:color w:val="auto"/>
                <w:sz w:val="21"/>
                <w:szCs w:val="21"/>
                <w:highlight w:val="none"/>
              </w:rPr>
            </w:pPr>
            <w:r>
              <w:rPr>
                <w:b/>
                <w:bCs/>
                <w:color w:val="auto"/>
                <w:sz w:val="21"/>
                <w:szCs w:val="21"/>
                <w:highlight w:val="none"/>
                <w:lang w:bidi="ar"/>
              </w:rPr>
              <w:t>环保节能安全装备</w:t>
            </w:r>
          </w:p>
        </w:tc>
        <w:tc>
          <w:tcPr>
            <w:tcW w:w="2447" w:type="pct"/>
            <w:tcBorders>
              <w:tl2br w:val="nil"/>
              <w:tr2bl w:val="nil"/>
            </w:tcBorders>
            <w:noWrap/>
            <w:vAlign w:val="center"/>
          </w:tcPr>
          <w:p w14:paraId="487BB45E">
            <w:pPr>
              <w:widowControl/>
              <w:spacing w:line="240" w:lineRule="auto"/>
              <w:ind w:firstLine="0" w:firstLineChars="0"/>
              <w:rPr>
                <w:color w:val="auto"/>
                <w:sz w:val="21"/>
                <w:szCs w:val="21"/>
                <w:highlight w:val="none"/>
              </w:rPr>
            </w:pPr>
          </w:p>
        </w:tc>
        <w:tc>
          <w:tcPr>
            <w:tcW w:w="460" w:type="pct"/>
            <w:tcBorders>
              <w:tl2br w:val="nil"/>
              <w:tr2bl w:val="nil"/>
            </w:tcBorders>
            <w:noWrap/>
            <w:vAlign w:val="center"/>
          </w:tcPr>
          <w:p w14:paraId="4CC35410">
            <w:pPr>
              <w:widowControl/>
              <w:spacing w:line="240" w:lineRule="auto"/>
              <w:ind w:firstLine="0" w:firstLineChars="0"/>
              <w:jc w:val="center"/>
              <w:rPr>
                <w:color w:val="auto"/>
                <w:sz w:val="21"/>
                <w:szCs w:val="21"/>
                <w:highlight w:val="none"/>
              </w:rPr>
            </w:pPr>
          </w:p>
        </w:tc>
        <w:tc>
          <w:tcPr>
            <w:tcW w:w="379" w:type="pct"/>
            <w:tcBorders>
              <w:tl2br w:val="nil"/>
              <w:tr2bl w:val="nil"/>
            </w:tcBorders>
            <w:noWrap/>
            <w:vAlign w:val="center"/>
          </w:tcPr>
          <w:p w14:paraId="7C7CC273">
            <w:pPr>
              <w:widowControl/>
              <w:spacing w:line="240" w:lineRule="auto"/>
              <w:ind w:firstLine="0" w:firstLineChars="0"/>
              <w:jc w:val="center"/>
              <w:rPr>
                <w:b/>
                <w:bCs/>
                <w:color w:val="auto"/>
                <w:sz w:val="21"/>
                <w:szCs w:val="21"/>
                <w:highlight w:val="none"/>
              </w:rPr>
            </w:pPr>
          </w:p>
        </w:tc>
        <w:tc>
          <w:tcPr>
            <w:tcW w:w="372" w:type="pct"/>
            <w:tcBorders>
              <w:tl2br w:val="nil"/>
              <w:tr2bl w:val="nil"/>
            </w:tcBorders>
            <w:noWrap/>
            <w:vAlign w:val="center"/>
          </w:tcPr>
          <w:p w14:paraId="593CB168">
            <w:pPr>
              <w:widowControl/>
              <w:spacing w:line="240" w:lineRule="auto"/>
              <w:ind w:firstLine="0" w:firstLineChars="0"/>
              <w:jc w:val="center"/>
              <w:rPr>
                <w:b/>
                <w:bCs/>
                <w:color w:val="auto"/>
                <w:sz w:val="21"/>
                <w:szCs w:val="21"/>
                <w:highlight w:val="none"/>
              </w:rPr>
            </w:pPr>
          </w:p>
        </w:tc>
      </w:tr>
      <w:tr w14:paraId="380497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1F5D425C">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（一）</w:t>
            </w:r>
          </w:p>
        </w:tc>
        <w:tc>
          <w:tcPr>
            <w:tcW w:w="995" w:type="pct"/>
            <w:tcBorders>
              <w:tl2br w:val="nil"/>
              <w:tr2bl w:val="nil"/>
            </w:tcBorders>
            <w:noWrap/>
            <w:vAlign w:val="center"/>
          </w:tcPr>
          <w:p w14:paraId="57C798EA">
            <w:pPr>
              <w:widowControl/>
              <w:spacing w:line="240" w:lineRule="auto"/>
              <w:ind w:firstLine="0" w:firstLineChars="0"/>
              <w:jc w:val="left"/>
              <w:textAlignment w:val="center"/>
              <w:rPr>
                <w:b/>
                <w:bCs/>
                <w:color w:val="auto"/>
                <w:sz w:val="21"/>
                <w:szCs w:val="21"/>
                <w:highlight w:val="none"/>
              </w:rPr>
            </w:pPr>
            <w:r>
              <w:rPr>
                <w:b/>
                <w:bCs/>
                <w:color w:val="auto"/>
                <w:sz w:val="21"/>
                <w:szCs w:val="21"/>
                <w:highlight w:val="none"/>
                <w:lang w:bidi="ar"/>
              </w:rPr>
              <w:t>绿色安全节能</w:t>
            </w:r>
          </w:p>
        </w:tc>
        <w:tc>
          <w:tcPr>
            <w:tcW w:w="2447" w:type="pct"/>
            <w:tcBorders>
              <w:tl2br w:val="nil"/>
              <w:tr2bl w:val="nil"/>
            </w:tcBorders>
            <w:noWrap/>
            <w:vAlign w:val="center"/>
          </w:tcPr>
          <w:p w14:paraId="1F422C84">
            <w:pPr>
              <w:widowControl/>
              <w:spacing w:line="240" w:lineRule="auto"/>
              <w:ind w:firstLine="0" w:firstLineChars="0"/>
              <w:rPr>
                <w:b/>
                <w:bCs/>
                <w:color w:val="auto"/>
                <w:sz w:val="21"/>
                <w:szCs w:val="21"/>
                <w:highlight w:val="none"/>
              </w:rPr>
            </w:pPr>
            <w:r>
              <w:rPr>
                <w:color w:val="auto"/>
                <w:sz w:val="21"/>
                <w:szCs w:val="21"/>
                <w:highlight w:val="none"/>
                <w:lang w:bidi="ar"/>
              </w:rPr>
              <w:t>插拔式配工业电箱</w:t>
            </w:r>
            <w:r>
              <w:rPr>
                <w:rFonts w:hint="eastAsia"/>
                <w:color w:val="auto"/>
                <w:sz w:val="21"/>
                <w:szCs w:val="21"/>
                <w:highlight w:val="none"/>
                <w:lang w:bidi="ar"/>
              </w:rPr>
              <w:t>、</w:t>
            </w:r>
            <w:r>
              <w:rPr>
                <w:color w:val="auto"/>
                <w:sz w:val="21"/>
                <w:szCs w:val="21"/>
                <w:highlight w:val="none"/>
                <w:lang w:bidi="ar"/>
              </w:rPr>
              <w:t>高压配电柜</w:t>
            </w:r>
            <w:r>
              <w:rPr>
                <w:rFonts w:hint="eastAsia"/>
                <w:color w:val="auto"/>
                <w:sz w:val="21"/>
                <w:szCs w:val="21"/>
                <w:highlight w:val="none"/>
                <w:lang w:bidi="ar"/>
              </w:rPr>
              <w:t>、</w:t>
            </w:r>
            <w:r>
              <w:rPr>
                <w:color w:val="auto"/>
                <w:sz w:val="21"/>
                <w:szCs w:val="21"/>
                <w:highlight w:val="none"/>
                <w:lang w:bidi="ar"/>
              </w:rPr>
              <w:t>空压机</w:t>
            </w:r>
            <w:r>
              <w:rPr>
                <w:rFonts w:hint="eastAsia"/>
                <w:color w:val="auto"/>
                <w:sz w:val="21"/>
                <w:szCs w:val="21"/>
                <w:highlight w:val="none"/>
                <w:lang w:eastAsia="zh-CN" w:bidi="ar"/>
              </w:rPr>
              <w:t>、高压无气喷涂机、喷枪</w:t>
            </w:r>
            <w:r>
              <w:rPr>
                <w:rFonts w:hint="eastAsia"/>
                <w:color w:val="auto"/>
                <w:sz w:val="21"/>
                <w:szCs w:val="21"/>
                <w:highlight w:val="none"/>
                <w:lang w:bidi="ar"/>
              </w:rPr>
              <w:t>等</w:t>
            </w:r>
          </w:p>
        </w:tc>
        <w:tc>
          <w:tcPr>
            <w:tcW w:w="460" w:type="pct"/>
            <w:tcBorders>
              <w:tl2br w:val="nil"/>
              <w:tr2bl w:val="nil"/>
            </w:tcBorders>
            <w:noWrap/>
            <w:vAlign w:val="center"/>
          </w:tcPr>
          <w:p w14:paraId="48B27FD2">
            <w:pPr>
              <w:widowControl/>
              <w:spacing w:line="240" w:lineRule="auto"/>
              <w:ind w:firstLine="0" w:firstLineChars="0"/>
              <w:jc w:val="center"/>
              <w:rPr>
                <w:b/>
                <w:bCs/>
                <w:color w:val="auto"/>
                <w:sz w:val="21"/>
                <w:szCs w:val="21"/>
                <w:highlight w:val="none"/>
              </w:rPr>
            </w:pPr>
          </w:p>
        </w:tc>
        <w:tc>
          <w:tcPr>
            <w:tcW w:w="379" w:type="pct"/>
            <w:tcBorders>
              <w:tl2br w:val="nil"/>
              <w:tr2bl w:val="nil"/>
            </w:tcBorders>
            <w:noWrap/>
            <w:vAlign w:val="center"/>
          </w:tcPr>
          <w:p w14:paraId="02DE7A27">
            <w:pPr>
              <w:widowControl/>
              <w:spacing w:line="240" w:lineRule="auto"/>
              <w:ind w:firstLine="0" w:firstLineChars="0"/>
              <w:jc w:val="center"/>
              <w:rPr>
                <w:b/>
                <w:bCs/>
                <w:color w:val="auto"/>
                <w:sz w:val="21"/>
                <w:szCs w:val="21"/>
                <w:highlight w:val="none"/>
              </w:rPr>
            </w:pPr>
            <w:r>
              <w:rPr>
                <w:rFonts w:hint="eastAsia"/>
                <w:b/>
                <w:bCs/>
                <w:color w:val="auto"/>
                <w:sz w:val="21"/>
                <w:szCs w:val="21"/>
                <w:highlight w:val="none"/>
              </w:rPr>
              <w:t>台/套</w:t>
            </w:r>
          </w:p>
        </w:tc>
        <w:tc>
          <w:tcPr>
            <w:tcW w:w="372" w:type="pct"/>
            <w:tcBorders>
              <w:tl2br w:val="nil"/>
              <w:tr2bl w:val="nil"/>
            </w:tcBorders>
            <w:noWrap/>
            <w:vAlign w:val="center"/>
          </w:tcPr>
          <w:p w14:paraId="2C00DBFF">
            <w:pPr>
              <w:widowControl/>
              <w:spacing w:line="240" w:lineRule="auto"/>
              <w:ind w:firstLine="0" w:firstLineChars="0"/>
              <w:jc w:val="center"/>
              <w:rPr>
                <w:b/>
                <w:bCs/>
                <w:color w:val="auto"/>
                <w:sz w:val="21"/>
                <w:szCs w:val="21"/>
                <w:highlight w:val="none"/>
              </w:rPr>
            </w:pPr>
            <w:r>
              <w:rPr>
                <w:b/>
                <w:bCs/>
                <w:color w:val="auto"/>
                <w:sz w:val="21"/>
                <w:szCs w:val="21"/>
                <w:highlight w:val="none"/>
                <w:lang w:bidi="ar"/>
              </w:rPr>
              <w:t>103</w:t>
            </w:r>
          </w:p>
        </w:tc>
      </w:tr>
      <w:tr w14:paraId="60DD110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233361D6">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（二）</w:t>
            </w:r>
          </w:p>
        </w:tc>
        <w:tc>
          <w:tcPr>
            <w:tcW w:w="995" w:type="pct"/>
            <w:tcBorders>
              <w:tl2br w:val="nil"/>
              <w:tr2bl w:val="nil"/>
            </w:tcBorders>
            <w:noWrap/>
            <w:vAlign w:val="center"/>
          </w:tcPr>
          <w:p w14:paraId="053D0BAA">
            <w:pPr>
              <w:widowControl/>
              <w:spacing w:line="240" w:lineRule="auto"/>
              <w:ind w:firstLine="0" w:firstLineChars="0"/>
              <w:jc w:val="left"/>
              <w:textAlignment w:val="center"/>
              <w:rPr>
                <w:b/>
                <w:bCs/>
                <w:color w:val="auto"/>
                <w:sz w:val="21"/>
                <w:szCs w:val="21"/>
                <w:highlight w:val="none"/>
              </w:rPr>
            </w:pPr>
            <w:r>
              <w:rPr>
                <w:b/>
                <w:bCs/>
                <w:color w:val="auto"/>
                <w:sz w:val="21"/>
                <w:szCs w:val="21"/>
                <w:highlight w:val="none"/>
                <w:lang w:bidi="ar"/>
              </w:rPr>
              <w:t>环保车辆</w:t>
            </w:r>
          </w:p>
        </w:tc>
        <w:tc>
          <w:tcPr>
            <w:tcW w:w="2447" w:type="pct"/>
            <w:tcBorders>
              <w:tl2br w:val="nil"/>
              <w:tr2bl w:val="nil"/>
            </w:tcBorders>
            <w:noWrap/>
            <w:vAlign w:val="center"/>
          </w:tcPr>
          <w:p w14:paraId="11F51FB9">
            <w:pPr>
              <w:widowControl/>
              <w:spacing w:line="240" w:lineRule="auto"/>
              <w:ind w:firstLine="0" w:firstLineChars="0"/>
              <w:rPr>
                <w:b/>
                <w:bCs/>
                <w:color w:val="auto"/>
                <w:sz w:val="21"/>
                <w:szCs w:val="21"/>
                <w:highlight w:val="none"/>
              </w:rPr>
            </w:pPr>
            <w:r>
              <w:rPr>
                <w:color w:val="auto"/>
                <w:sz w:val="21"/>
                <w:szCs w:val="21"/>
                <w:highlight w:val="none"/>
                <w:lang w:bidi="ar"/>
              </w:rPr>
              <w:t>电动叉车</w:t>
            </w:r>
            <w:r>
              <w:rPr>
                <w:rFonts w:hint="eastAsia"/>
                <w:color w:val="auto"/>
                <w:sz w:val="21"/>
                <w:szCs w:val="21"/>
                <w:highlight w:val="none"/>
                <w:lang w:bidi="ar"/>
              </w:rPr>
              <w:t>、</w:t>
            </w:r>
            <w:r>
              <w:rPr>
                <w:color w:val="auto"/>
                <w:sz w:val="21"/>
                <w:szCs w:val="21"/>
                <w:highlight w:val="none"/>
                <w:lang w:bidi="ar"/>
              </w:rPr>
              <w:t>电动平板转运车</w:t>
            </w:r>
            <w:r>
              <w:rPr>
                <w:rFonts w:hint="eastAsia"/>
                <w:color w:val="auto"/>
                <w:sz w:val="21"/>
                <w:szCs w:val="21"/>
                <w:highlight w:val="none"/>
                <w:lang w:bidi="ar"/>
              </w:rPr>
              <w:t>等</w:t>
            </w:r>
          </w:p>
        </w:tc>
        <w:tc>
          <w:tcPr>
            <w:tcW w:w="460" w:type="pct"/>
            <w:tcBorders>
              <w:tl2br w:val="nil"/>
              <w:tr2bl w:val="nil"/>
            </w:tcBorders>
            <w:noWrap/>
            <w:vAlign w:val="center"/>
          </w:tcPr>
          <w:p w14:paraId="03CEC112">
            <w:pPr>
              <w:widowControl/>
              <w:spacing w:line="240" w:lineRule="auto"/>
              <w:ind w:firstLine="0" w:firstLineChars="0"/>
              <w:jc w:val="center"/>
              <w:rPr>
                <w:b/>
                <w:bCs/>
                <w:color w:val="auto"/>
                <w:sz w:val="21"/>
                <w:szCs w:val="21"/>
                <w:highlight w:val="none"/>
              </w:rPr>
            </w:pPr>
          </w:p>
        </w:tc>
        <w:tc>
          <w:tcPr>
            <w:tcW w:w="379" w:type="pct"/>
            <w:tcBorders>
              <w:tl2br w:val="nil"/>
              <w:tr2bl w:val="nil"/>
            </w:tcBorders>
            <w:noWrap/>
            <w:vAlign w:val="center"/>
          </w:tcPr>
          <w:p w14:paraId="2DD1803E">
            <w:pPr>
              <w:widowControl/>
              <w:spacing w:line="240" w:lineRule="auto"/>
              <w:ind w:firstLine="0" w:firstLineChars="0"/>
              <w:jc w:val="center"/>
              <w:rPr>
                <w:b/>
                <w:bCs/>
                <w:color w:val="auto"/>
                <w:sz w:val="21"/>
                <w:szCs w:val="21"/>
                <w:highlight w:val="none"/>
              </w:rPr>
            </w:pPr>
            <w:r>
              <w:rPr>
                <w:rFonts w:hint="eastAsia"/>
                <w:b/>
                <w:bCs/>
                <w:color w:val="auto"/>
                <w:sz w:val="21"/>
                <w:szCs w:val="21"/>
                <w:highlight w:val="none"/>
              </w:rPr>
              <w:t>台</w:t>
            </w:r>
          </w:p>
        </w:tc>
        <w:tc>
          <w:tcPr>
            <w:tcW w:w="372" w:type="pct"/>
            <w:tcBorders>
              <w:tl2br w:val="nil"/>
              <w:tr2bl w:val="nil"/>
            </w:tcBorders>
            <w:noWrap/>
            <w:vAlign w:val="center"/>
          </w:tcPr>
          <w:p w14:paraId="5931A6E9">
            <w:pPr>
              <w:widowControl/>
              <w:spacing w:line="240" w:lineRule="auto"/>
              <w:ind w:firstLine="0" w:firstLineChars="0"/>
              <w:jc w:val="center"/>
              <w:rPr>
                <w:b/>
                <w:bCs/>
                <w:color w:val="auto"/>
                <w:sz w:val="21"/>
                <w:szCs w:val="21"/>
                <w:highlight w:val="none"/>
              </w:rPr>
            </w:pPr>
            <w:r>
              <w:rPr>
                <w:rFonts w:hint="eastAsia"/>
                <w:b/>
                <w:bCs/>
                <w:color w:val="auto"/>
                <w:sz w:val="21"/>
                <w:szCs w:val="21"/>
                <w:highlight w:val="none"/>
              </w:rPr>
              <w:t>14</w:t>
            </w:r>
          </w:p>
        </w:tc>
      </w:tr>
      <w:tr w14:paraId="0C9D20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1BE4532E">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1</w:t>
            </w:r>
          </w:p>
        </w:tc>
        <w:tc>
          <w:tcPr>
            <w:tcW w:w="995" w:type="pct"/>
            <w:tcBorders>
              <w:tl2br w:val="nil"/>
              <w:tr2bl w:val="nil"/>
            </w:tcBorders>
            <w:noWrap/>
            <w:vAlign w:val="center"/>
          </w:tcPr>
          <w:p w14:paraId="2157C050">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电动叉车</w:t>
            </w:r>
          </w:p>
        </w:tc>
        <w:tc>
          <w:tcPr>
            <w:tcW w:w="2447" w:type="pct"/>
            <w:tcBorders>
              <w:tl2br w:val="nil"/>
              <w:tr2bl w:val="nil"/>
            </w:tcBorders>
            <w:noWrap/>
            <w:vAlign w:val="center"/>
          </w:tcPr>
          <w:p w14:paraId="3E79842B">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3T</w:t>
            </w:r>
          </w:p>
        </w:tc>
        <w:tc>
          <w:tcPr>
            <w:tcW w:w="460" w:type="pct"/>
            <w:tcBorders>
              <w:tl2br w:val="nil"/>
              <w:tr2bl w:val="nil"/>
            </w:tcBorders>
            <w:vAlign w:val="center"/>
          </w:tcPr>
          <w:p w14:paraId="56D04DEC">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104A2A95">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0850536D">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7 </w:t>
            </w:r>
          </w:p>
        </w:tc>
      </w:tr>
      <w:tr w14:paraId="2E977C9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02E2F641">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2</w:t>
            </w:r>
          </w:p>
        </w:tc>
        <w:tc>
          <w:tcPr>
            <w:tcW w:w="995" w:type="pct"/>
            <w:tcBorders>
              <w:tl2br w:val="nil"/>
              <w:tr2bl w:val="nil"/>
            </w:tcBorders>
            <w:noWrap/>
            <w:vAlign w:val="center"/>
          </w:tcPr>
          <w:p w14:paraId="580DCE30">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电动叉车</w:t>
            </w:r>
          </w:p>
        </w:tc>
        <w:tc>
          <w:tcPr>
            <w:tcW w:w="2447" w:type="pct"/>
            <w:tcBorders>
              <w:tl2br w:val="nil"/>
              <w:tr2bl w:val="nil"/>
            </w:tcBorders>
            <w:noWrap/>
            <w:vAlign w:val="center"/>
          </w:tcPr>
          <w:p w14:paraId="24ABF895">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5T</w:t>
            </w:r>
          </w:p>
        </w:tc>
        <w:tc>
          <w:tcPr>
            <w:tcW w:w="460" w:type="pct"/>
            <w:tcBorders>
              <w:tl2br w:val="nil"/>
              <w:tr2bl w:val="nil"/>
            </w:tcBorders>
            <w:vAlign w:val="center"/>
          </w:tcPr>
          <w:p w14:paraId="746C413F">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780FF4E9">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1733858F">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3 </w:t>
            </w:r>
          </w:p>
        </w:tc>
      </w:tr>
      <w:tr w14:paraId="748010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04947FAF">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3</w:t>
            </w:r>
          </w:p>
        </w:tc>
        <w:tc>
          <w:tcPr>
            <w:tcW w:w="995" w:type="pct"/>
            <w:tcBorders>
              <w:tl2br w:val="nil"/>
              <w:tr2bl w:val="nil"/>
            </w:tcBorders>
            <w:noWrap/>
            <w:vAlign w:val="center"/>
          </w:tcPr>
          <w:p w14:paraId="4FF31E96">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电动叉车</w:t>
            </w:r>
          </w:p>
        </w:tc>
        <w:tc>
          <w:tcPr>
            <w:tcW w:w="2447" w:type="pct"/>
            <w:tcBorders>
              <w:tl2br w:val="nil"/>
              <w:tr2bl w:val="nil"/>
            </w:tcBorders>
            <w:noWrap/>
            <w:vAlign w:val="center"/>
          </w:tcPr>
          <w:p w14:paraId="3CE93B4E">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10T</w:t>
            </w:r>
          </w:p>
        </w:tc>
        <w:tc>
          <w:tcPr>
            <w:tcW w:w="460" w:type="pct"/>
            <w:tcBorders>
              <w:tl2br w:val="nil"/>
              <w:tr2bl w:val="nil"/>
            </w:tcBorders>
            <w:vAlign w:val="center"/>
          </w:tcPr>
          <w:p w14:paraId="5A94FEDE">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21027B31">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773CD9E5">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3 </w:t>
            </w:r>
          </w:p>
        </w:tc>
      </w:tr>
      <w:tr w14:paraId="7C40BC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0" w:hRule="atLeast"/>
        </w:trPr>
        <w:tc>
          <w:tcPr>
            <w:tcW w:w="345" w:type="pct"/>
            <w:tcBorders>
              <w:tl2br w:val="nil"/>
              <w:tr2bl w:val="nil"/>
            </w:tcBorders>
            <w:noWrap/>
            <w:vAlign w:val="center"/>
          </w:tcPr>
          <w:p w14:paraId="7014C77A">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4</w:t>
            </w:r>
          </w:p>
        </w:tc>
        <w:tc>
          <w:tcPr>
            <w:tcW w:w="995" w:type="pct"/>
            <w:tcBorders>
              <w:tl2br w:val="nil"/>
              <w:tr2bl w:val="nil"/>
            </w:tcBorders>
            <w:noWrap/>
            <w:vAlign w:val="center"/>
          </w:tcPr>
          <w:p w14:paraId="68358CA1">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电动平板转运车</w:t>
            </w:r>
          </w:p>
        </w:tc>
        <w:tc>
          <w:tcPr>
            <w:tcW w:w="2447" w:type="pct"/>
            <w:tcBorders>
              <w:tl2br w:val="nil"/>
              <w:tr2bl w:val="nil"/>
            </w:tcBorders>
            <w:vAlign w:val="center"/>
          </w:tcPr>
          <w:p w14:paraId="6960D952">
            <w:pPr>
              <w:widowControl/>
              <w:spacing w:line="240" w:lineRule="auto"/>
              <w:ind w:firstLine="0" w:firstLineChars="0"/>
              <w:jc w:val="left"/>
              <w:textAlignment w:val="center"/>
              <w:rPr>
                <w:rFonts w:hint="default" w:eastAsia="宋体"/>
                <w:color w:val="auto"/>
                <w:sz w:val="21"/>
                <w:szCs w:val="21"/>
                <w:highlight w:val="none"/>
                <w:lang w:val="en-US" w:eastAsia="zh-CN"/>
              </w:rPr>
            </w:pPr>
            <w:r>
              <w:rPr>
                <w:color w:val="auto"/>
                <w:sz w:val="21"/>
                <w:szCs w:val="21"/>
                <w:highlight w:val="none"/>
                <w:lang w:bidi="ar"/>
              </w:rPr>
              <w:t>额定载重量5t，续航100公里，电机功率3.5</w:t>
            </w:r>
            <w:r>
              <w:rPr>
                <w:rFonts w:hint="eastAsia"/>
                <w:color w:val="auto"/>
                <w:sz w:val="21"/>
                <w:szCs w:val="21"/>
                <w:highlight w:val="none"/>
                <w:lang w:eastAsia="zh-CN" w:bidi="ar"/>
              </w:rPr>
              <w:t>kW</w:t>
            </w:r>
            <w:r>
              <w:rPr>
                <w:color w:val="auto"/>
                <w:sz w:val="21"/>
                <w:szCs w:val="21"/>
                <w:highlight w:val="none"/>
                <w:lang w:bidi="ar"/>
              </w:rPr>
              <w:t>-16</w:t>
            </w:r>
            <w:r>
              <w:rPr>
                <w:rFonts w:hint="eastAsia"/>
                <w:color w:val="auto"/>
                <w:sz w:val="21"/>
                <w:szCs w:val="21"/>
                <w:highlight w:val="none"/>
                <w:lang w:eastAsia="zh-CN" w:bidi="ar"/>
              </w:rPr>
              <w:t>kW</w:t>
            </w:r>
            <w:r>
              <w:rPr>
                <w:color w:val="auto"/>
                <w:sz w:val="21"/>
                <w:szCs w:val="21"/>
                <w:highlight w:val="none"/>
                <w:lang w:bidi="ar"/>
              </w:rPr>
              <w:t>，外形尺寸4500*1800</w:t>
            </w:r>
            <w:r>
              <w:rPr>
                <w:rFonts w:hint="eastAsia"/>
                <w:color w:val="auto"/>
                <w:sz w:val="21"/>
                <w:szCs w:val="21"/>
                <w:highlight w:val="none"/>
                <w:lang w:val="en-US" w:eastAsia="zh-CN" w:bidi="ar"/>
              </w:rPr>
              <w:t>mm</w:t>
            </w:r>
            <w:r>
              <w:rPr>
                <w:color w:val="auto"/>
                <w:sz w:val="21"/>
                <w:szCs w:val="21"/>
                <w:highlight w:val="none"/>
                <w:lang w:bidi="ar"/>
              </w:rPr>
              <w:t>，平板高度800</w:t>
            </w:r>
            <w:r>
              <w:rPr>
                <w:rFonts w:hint="eastAsia"/>
                <w:color w:val="auto"/>
                <w:sz w:val="21"/>
                <w:szCs w:val="21"/>
                <w:highlight w:val="none"/>
                <w:lang w:val="en-US" w:eastAsia="zh-CN" w:bidi="ar"/>
              </w:rPr>
              <w:t>mm</w:t>
            </w:r>
          </w:p>
        </w:tc>
        <w:tc>
          <w:tcPr>
            <w:tcW w:w="460" w:type="pct"/>
            <w:tcBorders>
              <w:tl2br w:val="nil"/>
              <w:tr2bl w:val="nil"/>
            </w:tcBorders>
            <w:vAlign w:val="center"/>
          </w:tcPr>
          <w:p w14:paraId="437E2104">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58C56474">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27AB935A">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1 </w:t>
            </w:r>
          </w:p>
        </w:tc>
      </w:tr>
      <w:tr w14:paraId="6ED0041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5A7A8507">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（三）</w:t>
            </w:r>
          </w:p>
        </w:tc>
        <w:tc>
          <w:tcPr>
            <w:tcW w:w="995" w:type="pct"/>
            <w:tcBorders>
              <w:tl2br w:val="nil"/>
              <w:tr2bl w:val="nil"/>
            </w:tcBorders>
            <w:noWrap/>
            <w:vAlign w:val="center"/>
          </w:tcPr>
          <w:p w14:paraId="294E3CC7">
            <w:pPr>
              <w:widowControl/>
              <w:spacing w:line="240" w:lineRule="auto"/>
              <w:ind w:firstLine="0" w:firstLineChars="0"/>
              <w:jc w:val="left"/>
              <w:textAlignment w:val="center"/>
              <w:rPr>
                <w:b/>
                <w:bCs/>
                <w:color w:val="auto"/>
                <w:sz w:val="21"/>
                <w:szCs w:val="21"/>
                <w:highlight w:val="none"/>
              </w:rPr>
            </w:pPr>
            <w:r>
              <w:rPr>
                <w:b/>
                <w:bCs/>
                <w:color w:val="auto"/>
                <w:sz w:val="21"/>
                <w:szCs w:val="21"/>
                <w:highlight w:val="none"/>
                <w:lang w:bidi="ar"/>
              </w:rPr>
              <w:t>环境监测系统</w:t>
            </w:r>
          </w:p>
        </w:tc>
        <w:tc>
          <w:tcPr>
            <w:tcW w:w="2447" w:type="pct"/>
            <w:tcBorders>
              <w:tl2br w:val="nil"/>
              <w:tr2bl w:val="nil"/>
            </w:tcBorders>
            <w:noWrap/>
            <w:vAlign w:val="center"/>
          </w:tcPr>
          <w:p w14:paraId="397E72F6">
            <w:pPr>
              <w:widowControl/>
              <w:spacing w:line="240" w:lineRule="auto"/>
              <w:ind w:firstLine="0" w:firstLineChars="0"/>
              <w:rPr>
                <w:b/>
                <w:bCs/>
                <w:color w:val="auto"/>
                <w:sz w:val="21"/>
                <w:szCs w:val="21"/>
                <w:highlight w:val="none"/>
              </w:rPr>
            </w:pPr>
          </w:p>
        </w:tc>
        <w:tc>
          <w:tcPr>
            <w:tcW w:w="460" w:type="pct"/>
            <w:tcBorders>
              <w:tl2br w:val="nil"/>
              <w:tr2bl w:val="nil"/>
            </w:tcBorders>
            <w:noWrap/>
            <w:vAlign w:val="center"/>
          </w:tcPr>
          <w:p w14:paraId="430D2AF2">
            <w:pPr>
              <w:widowControl/>
              <w:spacing w:line="240" w:lineRule="auto"/>
              <w:ind w:firstLine="0" w:firstLineChars="0"/>
              <w:jc w:val="center"/>
              <w:rPr>
                <w:b/>
                <w:bCs/>
                <w:color w:val="auto"/>
                <w:sz w:val="21"/>
                <w:szCs w:val="21"/>
                <w:highlight w:val="none"/>
              </w:rPr>
            </w:pPr>
          </w:p>
        </w:tc>
        <w:tc>
          <w:tcPr>
            <w:tcW w:w="379" w:type="pct"/>
            <w:tcBorders>
              <w:tl2br w:val="nil"/>
              <w:tr2bl w:val="nil"/>
            </w:tcBorders>
            <w:noWrap/>
            <w:vAlign w:val="center"/>
          </w:tcPr>
          <w:p w14:paraId="6B356F1C">
            <w:pPr>
              <w:widowControl/>
              <w:spacing w:line="240" w:lineRule="auto"/>
              <w:ind w:firstLine="0" w:firstLineChars="0"/>
              <w:jc w:val="center"/>
              <w:rPr>
                <w:b/>
                <w:bCs/>
                <w:color w:val="auto"/>
                <w:sz w:val="21"/>
                <w:szCs w:val="21"/>
                <w:highlight w:val="none"/>
              </w:rPr>
            </w:pPr>
            <w:r>
              <w:rPr>
                <w:rFonts w:hint="eastAsia"/>
                <w:b/>
                <w:bCs/>
                <w:color w:val="auto"/>
                <w:sz w:val="21"/>
                <w:szCs w:val="21"/>
                <w:highlight w:val="none"/>
              </w:rPr>
              <w:t>台/套</w:t>
            </w:r>
          </w:p>
        </w:tc>
        <w:tc>
          <w:tcPr>
            <w:tcW w:w="372" w:type="pct"/>
            <w:tcBorders>
              <w:tl2br w:val="nil"/>
              <w:tr2bl w:val="nil"/>
            </w:tcBorders>
            <w:noWrap/>
            <w:vAlign w:val="center"/>
          </w:tcPr>
          <w:p w14:paraId="7BF48645">
            <w:pPr>
              <w:widowControl/>
              <w:spacing w:line="240" w:lineRule="auto"/>
              <w:ind w:firstLine="0" w:firstLineChars="0"/>
              <w:jc w:val="center"/>
              <w:rPr>
                <w:b/>
                <w:bCs/>
                <w:color w:val="auto"/>
                <w:sz w:val="21"/>
                <w:szCs w:val="21"/>
                <w:highlight w:val="none"/>
              </w:rPr>
            </w:pPr>
            <w:r>
              <w:rPr>
                <w:rFonts w:hint="eastAsia"/>
                <w:b/>
                <w:bCs/>
                <w:color w:val="auto"/>
                <w:sz w:val="21"/>
                <w:szCs w:val="21"/>
                <w:highlight w:val="none"/>
              </w:rPr>
              <w:t>3</w:t>
            </w:r>
          </w:p>
        </w:tc>
      </w:tr>
      <w:tr w14:paraId="64A11B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3D38FBE2">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1</w:t>
            </w:r>
          </w:p>
        </w:tc>
        <w:tc>
          <w:tcPr>
            <w:tcW w:w="995" w:type="pct"/>
            <w:tcBorders>
              <w:tl2br w:val="nil"/>
              <w:tr2bl w:val="nil"/>
            </w:tcBorders>
            <w:noWrap/>
            <w:vAlign w:val="center"/>
          </w:tcPr>
          <w:p w14:paraId="4E23E2BE">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无人航拍机</w:t>
            </w:r>
          </w:p>
        </w:tc>
        <w:tc>
          <w:tcPr>
            <w:tcW w:w="2447" w:type="pct"/>
            <w:tcBorders>
              <w:tl2br w:val="nil"/>
              <w:tr2bl w:val="nil"/>
            </w:tcBorders>
            <w:vAlign w:val="center"/>
          </w:tcPr>
          <w:p w14:paraId="51BE8477">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最大升速/降速10m/s，像素5000万</w:t>
            </w:r>
          </w:p>
        </w:tc>
        <w:tc>
          <w:tcPr>
            <w:tcW w:w="460" w:type="pct"/>
            <w:tcBorders>
              <w:tl2br w:val="nil"/>
              <w:tr2bl w:val="nil"/>
            </w:tcBorders>
            <w:vAlign w:val="center"/>
          </w:tcPr>
          <w:p w14:paraId="14ECA339">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553E7AF4">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58FFB3C9">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1 </w:t>
            </w:r>
          </w:p>
        </w:tc>
      </w:tr>
      <w:tr w14:paraId="1651BD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55" w:hRule="atLeast"/>
        </w:trPr>
        <w:tc>
          <w:tcPr>
            <w:tcW w:w="345" w:type="pct"/>
            <w:tcBorders>
              <w:tl2br w:val="nil"/>
              <w:tr2bl w:val="nil"/>
            </w:tcBorders>
            <w:noWrap/>
            <w:vAlign w:val="center"/>
          </w:tcPr>
          <w:p w14:paraId="13A35D22">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2</w:t>
            </w:r>
          </w:p>
        </w:tc>
        <w:tc>
          <w:tcPr>
            <w:tcW w:w="995" w:type="pct"/>
            <w:tcBorders>
              <w:tl2br w:val="nil"/>
              <w:tr2bl w:val="nil"/>
            </w:tcBorders>
            <w:noWrap/>
            <w:vAlign w:val="center"/>
          </w:tcPr>
          <w:p w14:paraId="7D38AA7A">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溢油监测系统</w:t>
            </w:r>
          </w:p>
        </w:tc>
        <w:tc>
          <w:tcPr>
            <w:tcW w:w="2447" w:type="pct"/>
            <w:tcBorders>
              <w:tl2br w:val="nil"/>
              <w:tr2bl w:val="nil"/>
            </w:tcBorders>
            <w:vAlign w:val="center"/>
          </w:tcPr>
          <w:p w14:paraId="01F11551">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包括系统支撑平台/远程溢油监测系统/溢油应急管理系统/电子地图显示系统，探测距离：0.2-12米，探测精度</w:t>
            </w:r>
            <w:r>
              <w:rPr>
                <w:rFonts w:hint="eastAsia"/>
                <w:color w:val="auto"/>
                <w:sz w:val="21"/>
                <w:szCs w:val="21"/>
                <w:highlight w:val="none"/>
                <w:lang w:eastAsia="zh-CN" w:bidi="ar"/>
              </w:rPr>
              <w:t>：</w:t>
            </w:r>
            <w:r>
              <w:rPr>
                <w:color w:val="auto"/>
                <w:sz w:val="21"/>
                <w:szCs w:val="21"/>
                <w:highlight w:val="none"/>
                <w:lang w:bidi="ar"/>
              </w:rPr>
              <w:t>10微米，通讯方式：4G物联网</w:t>
            </w:r>
          </w:p>
        </w:tc>
        <w:tc>
          <w:tcPr>
            <w:tcW w:w="460" w:type="pct"/>
            <w:tcBorders>
              <w:tl2br w:val="nil"/>
              <w:tr2bl w:val="nil"/>
            </w:tcBorders>
            <w:vAlign w:val="center"/>
          </w:tcPr>
          <w:p w14:paraId="18CB75CE">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50732E36">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套</w:t>
            </w:r>
          </w:p>
        </w:tc>
        <w:tc>
          <w:tcPr>
            <w:tcW w:w="372" w:type="pct"/>
            <w:tcBorders>
              <w:tl2br w:val="nil"/>
              <w:tr2bl w:val="nil"/>
            </w:tcBorders>
            <w:noWrap/>
            <w:vAlign w:val="center"/>
          </w:tcPr>
          <w:p w14:paraId="6DC0BE4F">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1 </w:t>
            </w:r>
          </w:p>
        </w:tc>
      </w:tr>
      <w:tr w14:paraId="693AA5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00" w:hRule="atLeast"/>
        </w:trPr>
        <w:tc>
          <w:tcPr>
            <w:tcW w:w="345" w:type="pct"/>
            <w:tcBorders>
              <w:tl2br w:val="nil"/>
              <w:tr2bl w:val="nil"/>
            </w:tcBorders>
            <w:noWrap/>
            <w:vAlign w:val="center"/>
          </w:tcPr>
          <w:p w14:paraId="58E89177">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3</w:t>
            </w:r>
          </w:p>
        </w:tc>
        <w:tc>
          <w:tcPr>
            <w:tcW w:w="995" w:type="pct"/>
            <w:tcBorders>
              <w:tl2br w:val="nil"/>
              <w:tr2bl w:val="nil"/>
            </w:tcBorders>
            <w:vAlign w:val="center"/>
          </w:tcPr>
          <w:p w14:paraId="6D215699">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危险废物全过程信息化监管系统</w:t>
            </w:r>
          </w:p>
        </w:tc>
        <w:tc>
          <w:tcPr>
            <w:tcW w:w="2447" w:type="pct"/>
            <w:tcBorders>
              <w:tl2br w:val="nil"/>
              <w:tr2bl w:val="nil"/>
            </w:tcBorders>
            <w:vAlign w:val="center"/>
          </w:tcPr>
          <w:p w14:paraId="330419A7">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含基本信息维护（废物信息、运输商、处置商、仓库等）、称重打印危废标签设备、自动对接提交危废产生、入库、出库信息、自动生成危废产生、入库、出库、处置台账、创建危废联单管理平台等模块。</w:t>
            </w:r>
          </w:p>
        </w:tc>
        <w:tc>
          <w:tcPr>
            <w:tcW w:w="460" w:type="pct"/>
            <w:tcBorders>
              <w:tl2br w:val="nil"/>
              <w:tr2bl w:val="nil"/>
            </w:tcBorders>
            <w:vAlign w:val="center"/>
          </w:tcPr>
          <w:p w14:paraId="3F58EF10">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51D81905">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套</w:t>
            </w:r>
          </w:p>
        </w:tc>
        <w:tc>
          <w:tcPr>
            <w:tcW w:w="372" w:type="pct"/>
            <w:tcBorders>
              <w:tl2br w:val="nil"/>
              <w:tr2bl w:val="nil"/>
            </w:tcBorders>
            <w:noWrap/>
            <w:vAlign w:val="center"/>
          </w:tcPr>
          <w:p w14:paraId="6A44B758">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1 </w:t>
            </w:r>
          </w:p>
        </w:tc>
      </w:tr>
      <w:tr w14:paraId="2DA750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09F3B21A">
            <w:pPr>
              <w:widowControl/>
              <w:spacing w:line="240" w:lineRule="auto"/>
              <w:ind w:firstLine="0" w:firstLineChars="0"/>
              <w:jc w:val="center"/>
              <w:rPr>
                <w:color w:val="auto"/>
                <w:sz w:val="21"/>
                <w:szCs w:val="21"/>
                <w:highlight w:val="none"/>
              </w:rPr>
            </w:pPr>
          </w:p>
        </w:tc>
        <w:tc>
          <w:tcPr>
            <w:tcW w:w="995" w:type="pct"/>
            <w:tcBorders>
              <w:tl2br w:val="nil"/>
              <w:tr2bl w:val="nil"/>
            </w:tcBorders>
            <w:noWrap/>
            <w:vAlign w:val="center"/>
          </w:tcPr>
          <w:p w14:paraId="65043C66">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小计</w:t>
            </w:r>
          </w:p>
        </w:tc>
        <w:tc>
          <w:tcPr>
            <w:tcW w:w="2447" w:type="pct"/>
            <w:tcBorders>
              <w:tl2br w:val="nil"/>
              <w:tr2bl w:val="nil"/>
            </w:tcBorders>
            <w:noWrap/>
            <w:vAlign w:val="center"/>
          </w:tcPr>
          <w:p w14:paraId="6E8E14A8">
            <w:pPr>
              <w:widowControl/>
              <w:spacing w:line="240" w:lineRule="auto"/>
              <w:ind w:firstLine="0" w:firstLineChars="0"/>
              <w:rPr>
                <w:color w:val="auto"/>
                <w:sz w:val="21"/>
                <w:szCs w:val="21"/>
                <w:highlight w:val="none"/>
              </w:rPr>
            </w:pPr>
          </w:p>
        </w:tc>
        <w:tc>
          <w:tcPr>
            <w:tcW w:w="460" w:type="pct"/>
            <w:tcBorders>
              <w:tl2br w:val="nil"/>
              <w:tr2bl w:val="nil"/>
            </w:tcBorders>
            <w:noWrap/>
            <w:vAlign w:val="center"/>
          </w:tcPr>
          <w:p w14:paraId="5BBB57AF">
            <w:pPr>
              <w:widowControl/>
              <w:spacing w:line="240" w:lineRule="auto"/>
              <w:ind w:firstLine="0" w:firstLineChars="0"/>
              <w:jc w:val="center"/>
              <w:rPr>
                <w:color w:val="auto"/>
                <w:sz w:val="21"/>
                <w:szCs w:val="21"/>
                <w:highlight w:val="none"/>
              </w:rPr>
            </w:pPr>
          </w:p>
        </w:tc>
        <w:tc>
          <w:tcPr>
            <w:tcW w:w="379" w:type="pct"/>
            <w:tcBorders>
              <w:tl2br w:val="nil"/>
              <w:tr2bl w:val="nil"/>
            </w:tcBorders>
            <w:noWrap/>
            <w:vAlign w:val="center"/>
          </w:tcPr>
          <w:p w14:paraId="3D1FA8B8">
            <w:pPr>
              <w:widowControl/>
              <w:spacing w:line="240" w:lineRule="auto"/>
              <w:ind w:firstLine="0" w:firstLineChars="0"/>
              <w:jc w:val="center"/>
              <w:textAlignment w:val="center"/>
              <w:rPr>
                <w:b/>
                <w:bCs/>
                <w:color w:val="auto"/>
                <w:sz w:val="21"/>
                <w:szCs w:val="21"/>
                <w:highlight w:val="none"/>
              </w:rPr>
            </w:pPr>
          </w:p>
        </w:tc>
        <w:tc>
          <w:tcPr>
            <w:tcW w:w="372" w:type="pct"/>
            <w:tcBorders>
              <w:tl2br w:val="nil"/>
              <w:tr2bl w:val="nil"/>
            </w:tcBorders>
            <w:noWrap/>
            <w:vAlign w:val="center"/>
          </w:tcPr>
          <w:p w14:paraId="02987403">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3 </w:t>
            </w:r>
          </w:p>
        </w:tc>
      </w:tr>
      <w:tr w14:paraId="6B94F6B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06C4A444">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（四）</w:t>
            </w:r>
          </w:p>
        </w:tc>
        <w:tc>
          <w:tcPr>
            <w:tcW w:w="995" w:type="pct"/>
            <w:tcBorders>
              <w:tl2br w:val="nil"/>
              <w:tr2bl w:val="nil"/>
            </w:tcBorders>
            <w:noWrap/>
            <w:vAlign w:val="center"/>
          </w:tcPr>
          <w:p w14:paraId="40DE8032">
            <w:pPr>
              <w:widowControl/>
              <w:spacing w:line="240" w:lineRule="auto"/>
              <w:ind w:firstLine="0" w:firstLineChars="0"/>
              <w:jc w:val="left"/>
              <w:textAlignment w:val="center"/>
              <w:rPr>
                <w:b/>
                <w:bCs/>
                <w:color w:val="auto"/>
                <w:sz w:val="21"/>
                <w:szCs w:val="21"/>
                <w:highlight w:val="none"/>
              </w:rPr>
            </w:pPr>
            <w:r>
              <w:rPr>
                <w:b/>
                <w:bCs/>
                <w:color w:val="auto"/>
                <w:sz w:val="21"/>
                <w:szCs w:val="21"/>
                <w:highlight w:val="none"/>
                <w:lang w:bidi="ar"/>
              </w:rPr>
              <w:t>环保与消防设备</w:t>
            </w:r>
          </w:p>
        </w:tc>
        <w:tc>
          <w:tcPr>
            <w:tcW w:w="2447" w:type="pct"/>
            <w:tcBorders>
              <w:tl2br w:val="nil"/>
              <w:tr2bl w:val="nil"/>
            </w:tcBorders>
            <w:noWrap/>
            <w:vAlign w:val="center"/>
          </w:tcPr>
          <w:p w14:paraId="32E8E08C">
            <w:pPr>
              <w:widowControl/>
              <w:spacing w:line="240" w:lineRule="auto"/>
              <w:ind w:firstLine="0" w:firstLineChars="0"/>
              <w:rPr>
                <w:b/>
                <w:bCs/>
                <w:color w:val="auto"/>
                <w:sz w:val="21"/>
                <w:szCs w:val="21"/>
                <w:highlight w:val="none"/>
              </w:rPr>
            </w:pPr>
            <w:r>
              <w:rPr>
                <w:color w:val="auto"/>
                <w:sz w:val="21"/>
                <w:szCs w:val="21"/>
                <w:highlight w:val="none"/>
                <w:lang w:bidi="ar"/>
              </w:rPr>
              <w:t>污水预处理装置</w:t>
            </w:r>
            <w:r>
              <w:rPr>
                <w:rFonts w:hint="eastAsia"/>
                <w:color w:val="auto"/>
                <w:sz w:val="21"/>
                <w:szCs w:val="21"/>
                <w:highlight w:val="none"/>
                <w:lang w:bidi="ar"/>
              </w:rPr>
              <w:t>、</w:t>
            </w:r>
            <w:r>
              <w:rPr>
                <w:color w:val="auto"/>
                <w:sz w:val="21"/>
                <w:szCs w:val="21"/>
                <w:highlight w:val="none"/>
                <w:lang w:bidi="ar"/>
              </w:rPr>
              <w:t>泡沫水罐消防车</w:t>
            </w:r>
            <w:r>
              <w:rPr>
                <w:rFonts w:hint="eastAsia"/>
                <w:color w:val="auto"/>
                <w:sz w:val="21"/>
                <w:szCs w:val="21"/>
                <w:highlight w:val="none"/>
                <w:lang w:bidi="ar"/>
              </w:rPr>
              <w:t>等</w:t>
            </w:r>
          </w:p>
        </w:tc>
        <w:tc>
          <w:tcPr>
            <w:tcW w:w="460" w:type="pct"/>
            <w:tcBorders>
              <w:tl2br w:val="nil"/>
              <w:tr2bl w:val="nil"/>
            </w:tcBorders>
            <w:noWrap/>
            <w:vAlign w:val="center"/>
          </w:tcPr>
          <w:p w14:paraId="2AFB214B">
            <w:pPr>
              <w:widowControl/>
              <w:spacing w:line="240" w:lineRule="auto"/>
              <w:ind w:firstLine="0" w:firstLineChars="0"/>
              <w:jc w:val="center"/>
              <w:rPr>
                <w:b/>
                <w:bCs/>
                <w:color w:val="auto"/>
                <w:sz w:val="21"/>
                <w:szCs w:val="21"/>
                <w:highlight w:val="none"/>
              </w:rPr>
            </w:pPr>
          </w:p>
        </w:tc>
        <w:tc>
          <w:tcPr>
            <w:tcW w:w="379" w:type="pct"/>
            <w:tcBorders>
              <w:tl2br w:val="nil"/>
              <w:tr2bl w:val="nil"/>
            </w:tcBorders>
            <w:noWrap/>
            <w:vAlign w:val="center"/>
          </w:tcPr>
          <w:p w14:paraId="7F390A31">
            <w:pPr>
              <w:widowControl/>
              <w:spacing w:line="240" w:lineRule="auto"/>
              <w:ind w:firstLine="0" w:firstLineChars="0"/>
              <w:jc w:val="center"/>
              <w:rPr>
                <w:b/>
                <w:bCs/>
                <w:color w:val="auto"/>
                <w:sz w:val="21"/>
                <w:szCs w:val="21"/>
                <w:highlight w:val="none"/>
              </w:rPr>
            </w:pPr>
            <w:r>
              <w:rPr>
                <w:rFonts w:hint="eastAsia"/>
                <w:b/>
                <w:bCs/>
                <w:color w:val="auto"/>
                <w:sz w:val="21"/>
                <w:szCs w:val="21"/>
                <w:highlight w:val="none"/>
              </w:rPr>
              <w:t>套</w:t>
            </w:r>
          </w:p>
        </w:tc>
        <w:tc>
          <w:tcPr>
            <w:tcW w:w="372" w:type="pct"/>
            <w:tcBorders>
              <w:tl2br w:val="nil"/>
              <w:tr2bl w:val="nil"/>
            </w:tcBorders>
            <w:noWrap/>
            <w:vAlign w:val="center"/>
          </w:tcPr>
          <w:p w14:paraId="4A48F2BC">
            <w:pPr>
              <w:widowControl/>
              <w:spacing w:line="240" w:lineRule="auto"/>
              <w:ind w:firstLine="0" w:firstLineChars="0"/>
              <w:jc w:val="center"/>
              <w:rPr>
                <w:b/>
                <w:bCs/>
                <w:color w:val="auto"/>
                <w:sz w:val="21"/>
                <w:szCs w:val="21"/>
                <w:highlight w:val="none"/>
              </w:rPr>
            </w:pPr>
            <w:r>
              <w:rPr>
                <w:b/>
                <w:bCs/>
                <w:color w:val="auto"/>
                <w:sz w:val="21"/>
                <w:szCs w:val="21"/>
                <w:highlight w:val="none"/>
                <w:lang w:bidi="ar"/>
              </w:rPr>
              <w:t>2</w:t>
            </w:r>
          </w:p>
        </w:tc>
      </w:tr>
      <w:tr w14:paraId="1C390E3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4CCA3501">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四</w:t>
            </w:r>
          </w:p>
        </w:tc>
        <w:tc>
          <w:tcPr>
            <w:tcW w:w="995" w:type="pct"/>
            <w:tcBorders>
              <w:tl2br w:val="nil"/>
              <w:tr2bl w:val="nil"/>
            </w:tcBorders>
            <w:noWrap/>
            <w:vAlign w:val="center"/>
          </w:tcPr>
          <w:p w14:paraId="046055E3">
            <w:pPr>
              <w:widowControl/>
              <w:spacing w:line="240" w:lineRule="auto"/>
              <w:ind w:firstLine="0" w:firstLineChars="0"/>
              <w:jc w:val="left"/>
              <w:textAlignment w:val="center"/>
              <w:rPr>
                <w:b/>
                <w:bCs/>
                <w:color w:val="auto"/>
                <w:sz w:val="21"/>
                <w:szCs w:val="21"/>
                <w:highlight w:val="none"/>
              </w:rPr>
            </w:pPr>
            <w:r>
              <w:rPr>
                <w:b/>
                <w:bCs/>
                <w:color w:val="auto"/>
                <w:sz w:val="21"/>
                <w:szCs w:val="21"/>
                <w:highlight w:val="none"/>
                <w:lang w:bidi="ar"/>
              </w:rPr>
              <w:t>数字化管理系统</w:t>
            </w:r>
          </w:p>
        </w:tc>
        <w:tc>
          <w:tcPr>
            <w:tcW w:w="2447" w:type="pct"/>
            <w:tcBorders>
              <w:tl2br w:val="nil"/>
              <w:tr2bl w:val="nil"/>
            </w:tcBorders>
            <w:vAlign w:val="center"/>
          </w:tcPr>
          <w:p w14:paraId="7ECB95DD">
            <w:pPr>
              <w:widowControl/>
              <w:spacing w:line="240" w:lineRule="auto"/>
              <w:ind w:firstLine="0" w:firstLineChars="0"/>
              <w:rPr>
                <w:b/>
                <w:bCs/>
                <w:color w:val="auto"/>
                <w:sz w:val="21"/>
                <w:szCs w:val="21"/>
                <w:highlight w:val="none"/>
              </w:rPr>
            </w:pPr>
          </w:p>
        </w:tc>
        <w:tc>
          <w:tcPr>
            <w:tcW w:w="460" w:type="pct"/>
            <w:tcBorders>
              <w:tl2br w:val="nil"/>
              <w:tr2bl w:val="nil"/>
            </w:tcBorders>
            <w:noWrap/>
            <w:vAlign w:val="center"/>
          </w:tcPr>
          <w:p w14:paraId="63414C86">
            <w:pPr>
              <w:widowControl/>
              <w:spacing w:line="240" w:lineRule="auto"/>
              <w:ind w:firstLine="0" w:firstLineChars="0"/>
              <w:jc w:val="center"/>
              <w:rPr>
                <w:b/>
                <w:bCs/>
                <w:color w:val="auto"/>
                <w:sz w:val="21"/>
                <w:szCs w:val="21"/>
                <w:highlight w:val="none"/>
              </w:rPr>
            </w:pPr>
          </w:p>
        </w:tc>
        <w:tc>
          <w:tcPr>
            <w:tcW w:w="379" w:type="pct"/>
            <w:tcBorders>
              <w:tl2br w:val="nil"/>
              <w:tr2bl w:val="nil"/>
            </w:tcBorders>
            <w:noWrap/>
            <w:vAlign w:val="center"/>
          </w:tcPr>
          <w:p w14:paraId="5B2199A7">
            <w:pPr>
              <w:widowControl/>
              <w:spacing w:line="240" w:lineRule="auto"/>
              <w:ind w:firstLine="0" w:firstLineChars="0"/>
              <w:jc w:val="center"/>
              <w:rPr>
                <w:b/>
                <w:bCs/>
                <w:color w:val="auto"/>
                <w:sz w:val="21"/>
                <w:szCs w:val="21"/>
                <w:highlight w:val="none"/>
              </w:rPr>
            </w:pPr>
          </w:p>
        </w:tc>
        <w:tc>
          <w:tcPr>
            <w:tcW w:w="372" w:type="pct"/>
            <w:tcBorders>
              <w:tl2br w:val="nil"/>
              <w:tr2bl w:val="nil"/>
            </w:tcBorders>
            <w:noWrap/>
            <w:vAlign w:val="center"/>
          </w:tcPr>
          <w:p w14:paraId="331087DE">
            <w:pPr>
              <w:widowControl/>
              <w:spacing w:line="240" w:lineRule="auto"/>
              <w:ind w:firstLine="0" w:firstLineChars="0"/>
              <w:jc w:val="center"/>
              <w:rPr>
                <w:b/>
                <w:bCs/>
                <w:color w:val="auto"/>
                <w:sz w:val="21"/>
                <w:szCs w:val="21"/>
                <w:highlight w:val="none"/>
              </w:rPr>
            </w:pPr>
          </w:p>
        </w:tc>
      </w:tr>
      <w:tr w14:paraId="57A447B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0" w:hRule="atLeast"/>
        </w:trPr>
        <w:tc>
          <w:tcPr>
            <w:tcW w:w="345" w:type="pct"/>
            <w:tcBorders>
              <w:tl2br w:val="nil"/>
              <w:tr2bl w:val="nil"/>
            </w:tcBorders>
            <w:noWrap/>
            <w:vAlign w:val="center"/>
          </w:tcPr>
          <w:p w14:paraId="53E32128">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1</w:t>
            </w:r>
          </w:p>
        </w:tc>
        <w:tc>
          <w:tcPr>
            <w:tcW w:w="995" w:type="pct"/>
            <w:tcBorders>
              <w:tl2br w:val="nil"/>
              <w:tr2bl w:val="nil"/>
            </w:tcBorders>
            <w:vAlign w:val="center"/>
          </w:tcPr>
          <w:p w14:paraId="4B7BD8D1">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国际航行船舶维修及改装通关便利化系统</w:t>
            </w:r>
          </w:p>
        </w:tc>
        <w:tc>
          <w:tcPr>
            <w:tcW w:w="2447" w:type="pct"/>
            <w:tcBorders>
              <w:tl2br w:val="nil"/>
              <w:tr2bl w:val="nil"/>
            </w:tcBorders>
            <w:noWrap/>
            <w:vAlign w:val="center"/>
          </w:tcPr>
          <w:p w14:paraId="6939A93B">
            <w:pPr>
              <w:widowControl/>
              <w:spacing w:line="240" w:lineRule="auto"/>
              <w:ind w:firstLine="0" w:firstLineChars="0"/>
              <w:rPr>
                <w:color w:val="auto"/>
                <w:sz w:val="21"/>
                <w:szCs w:val="21"/>
                <w:highlight w:val="none"/>
              </w:rPr>
            </w:pPr>
            <w:r>
              <w:rPr>
                <w:color w:val="auto"/>
                <w:sz w:val="21"/>
                <w:szCs w:val="21"/>
                <w:highlight w:val="none"/>
                <w:lang w:bidi="ar"/>
              </w:rPr>
              <w:t>国际航行船舶维修及改装通关便利化系统</w:t>
            </w:r>
            <w:r>
              <w:rPr>
                <w:rFonts w:hint="eastAsia"/>
                <w:color w:val="auto"/>
                <w:sz w:val="21"/>
                <w:szCs w:val="21"/>
                <w:highlight w:val="none"/>
                <w:lang w:bidi="ar"/>
              </w:rPr>
              <w:t>、</w:t>
            </w:r>
            <w:r>
              <w:rPr>
                <w:color w:val="auto"/>
                <w:sz w:val="21"/>
                <w:szCs w:val="21"/>
                <w:highlight w:val="none"/>
                <w:lang w:bidi="ar"/>
              </w:rPr>
              <w:t>登轮系统</w:t>
            </w:r>
            <w:r>
              <w:rPr>
                <w:rFonts w:hint="eastAsia"/>
                <w:color w:val="auto"/>
                <w:sz w:val="21"/>
                <w:szCs w:val="21"/>
                <w:highlight w:val="none"/>
                <w:lang w:bidi="ar"/>
              </w:rPr>
              <w:t>等</w:t>
            </w:r>
          </w:p>
        </w:tc>
        <w:tc>
          <w:tcPr>
            <w:tcW w:w="460" w:type="pct"/>
            <w:tcBorders>
              <w:tl2br w:val="nil"/>
              <w:tr2bl w:val="nil"/>
            </w:tcBorders>
            <w:vAlign w:val="center"/>
          </w:tcPr>
          <w:p w14:paraId="641E3E6F">
            <w:pPr>
              <w:widowControl/>
              <w:spacing w:line="240" w:lineRule="auto"/>
              <w:ind w:firstLine="0" w:firstLineChars="0"/>
              <w:jc w:val="center"/>
              <w:rPr>
                <w:color w:val="auto"/>
                <w:sz w:val="21"/>
                <w:szCs w:val="21"/>
                <w:highlight w:val="none"/>
              </w:rPr>
            </w:pPr>
          </w:p>
        </w:tc>
        <w:tc>
          <w:tcPr>
            <w:tcW w:w="379" w:type="pct"/>
            <w:tcBorders>
              <w:tl2br w:val="nil"/>
              <w:tr2bl w:val="nil"/>
            </w:tcBorders>
            <w:noWrap/>
            <w:vAlign w:val="center"/>
          </w:tcPr>
          <w:p w14:paraId="774E07C8">
            <w:pPr>
              <w:widowControl/>
              <w:spacing w:line="240" w:lineRule="auto"/>
              <w:ind w:firstLine="0" w:firstLineChars="0"/>
              <w:jc w:val="center"/>
              <w:rPr>
                <w:b/>
                <w:bCs/>
                <w:color w:val="auto"/>
                <w:sz w:val="21"/>
                <w:szCs w:val="21"/>
                <w:highlight w:val="none"/>
              </w:rPr>
            </w:pPr>
            <w:r>
              <w:rPr>
                <w:rFonts w:hint="eastAsia"/>
                <w:b/>
                <w:bCs/>
                <w:color w:val="auto"/>
                <w:sz w:val="21"/>
                <w:szCs w:val="21"/>
                <w:highlight w:val="none"/>
              </w:rPr>
              <w:t>套</w:t>
            </w:r>
          </w:p>
        </w:tc>
        <w:tc>
          <w:tcPr>
            <w:tcW w:w="372" w:type="pct"/>
            <w:tcBorders>
              <w:tl2br w:val="nil"/>
              <w:tr2bl w:val="nil"/>
            </w:tcBorders>
            <w:noWrap/>
            <w:vAlign w:val="center"/>
          </w:tcPr>
          <w:p w14:paraId="078D6D3C">
            <w:pPr>
              <w:widowControl/>
              <w:spacing w:line="240" w:lineRule="auto"/>
              <w:ind w:firstLine="0" w:firstLineChars="0"/>
              <w:jc w:val="center"/>
              <w:rPr>
                <w:b/>
                <w:bCs/>
                <w:color w:val="auto"/>
                <w:sz w:val="21"/>
                <w:szCs w:val="21"/>
                <w:highlight w:val="none"/>
              </w:rPr>
            </w:pPr>
            <w:r>
              <w:rPr>
                <w:rFonts w:hint="eastAsia"/>
                <w:b/>
                <w:bCs/>
                <w:color w:val="auto"/>
                <w:sz w:val="21"/>
                <w:szCs w:val="21"/>
                <w:highlight w:val="none"/>
              </w:rPr>
              <w:t>28</w:t>
            </w:r>
          </w:p>
        </w:tc>
      </w:tr>
      <w:tr w14:paraId="0C8751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5460757F">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2</w:t>
            </w:r>
          </w:p>
        </w:tc>
        <w:tc>
          <w:tcPr>
            <w:tcW w:w="995" w:type="pct"/>
            <w:tcBorders>
              <w:tl2br w:val="nil"/>
              <w:tr2bl w:val="nil"/>
            </w:tcBorders>
            <w:noWrap/>
            <w:vAlign w:val="center"/>
          </w:tcPr>
          <w:p w14:paraId="13887B8E">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船舶维修改装业务系统升级</w:t>
            </w:r>
          </w:p>
        </w:tc>
        <w:tc>
          <w:tcPr>
            <w:tcW w:w="2447" w:type="pct"/>
            <w:tcBorders>
              <w:tl2br w:val="nil"/>
              <w:tr2bl w:val="nil"/>
            </w:tcBorders>
            <w:noWrap/>
            <w:vAlign w:val="center"/>
          </w:tcPr>
          <w:p w14:paraId="75F8B812">
            <w:pPr>
              <w:widowControl/>
              <w:spacing w:line="240" w:lineRule="auto"/>
              <w:ind w:firstLine="0" w:firstLineChars="0"/>
              <w:rPr>
                <w:color w:val="auto"/>
                <w:sz w:val="21"/>
                <w:szCs w:val="21"/>
                <w:highlight w:val="none"/>
              </w:rPr>
            </w:pPr>
            <w:r>
              <w:rPr>
                <w:color w:val="auto"/>
                <w:sz w:val="21"/>
                <w:szCs w:val="21"/>
                <w:highlight w:val="none"/>
              </w:rPr>
              <w:t>PLM系统升级BOM模块</w:t>
            </w:r>
            <w:r>
              <w:rPr>
                <w:rFonts w:hint="eastAsia"/>
                <w:color w:val="auto"/>
                <w:sz w:val="21"/>
                <w:szCs w:val="21"/>
                <w:highlight w:val="none"/>
              </w:rPr>
              <w:t>、</w:t>
            </w:r>
            <w:r>
              <w:rPr>
                <w:color w:val="auto"/>
                <w:sz w:val="21"/>
                <w:szCs w:val="21"/>
                <w:highlight w:val="none"/>
              </w:rPr>
              <w:t>国产化替代信创应用系统服务器</w:t>
            </w:r>
            <w:r>
              <w:rPr>
                <w:rFonts w:hint="eastAsia"/>
                <w:color w:val="auto"/>
                <w:sz w:val="21"/>
                <w:szCs w:val="21"/>
                <w:highlight w:val="none"/>
              </w:rPr>
              <w:t>等</w:t>
            </w:r>
          </w:p>
        </w:tc>
        <w:tc>
          <w:tcPr>
            <w:tcW w:w="460" w:type="pct"/>
            <w:tcBorders>
              <w:tl2br w:val="nil"/>
              <w:tr2bl w:val="nil"/>
            </w:tcBorders>
            <w:noWrap/>
            <w:vAlign w:val="center"/>
          </w:tcPr>
          <w:p w14:paraId="61BA814C">
            <w:pPr>
              <w:widowControl/>
              <w:spacing w:line="240" w:lineRule="auto"/>
              <w:ind w:firstLine="0" w:firstLineChars="0"/>
              <w:jc w:val="center"/>
              <w:rPr>
                <w:color w:val="auto"/>
                <w:sz w:val="21"/>
                <w:szCs w:val="21"/>
                <w:highlight w:val="none"/>
              </w:rPr>
            </w:pPr>
          </w:p>
        </w:tc>
        <w:tc>
          <w:tcPr>
            <w:tcW w:w="379" w:type="pct"/>
            <w:tcBorders>
              <w:tl2br w:val="nil"/>
              <w:tr2bl w:val="nil"/>
            </w:tcBorders>
            <w:noWrap/>
            <w:vAlign w:val="center"/>
          </w:tcPr>
          <w:p w14:paraId="4AFF3D11">
            <w:pPr>
              <w:widowControl/>
              <w:spacing w:line="240" w:lineRule="auto"/>
              <w:ind w:firstLine="0" w:firstLineChars="0"/>
              <w:jc w:val="center"/>
              <w:rPr>
                <w:color w:val="auto"/>
                <w:sz w:val="21"/>
                <w:szCs w:val="21"/>
                <w:highlight w:val="none"/>
              </w:rPr>
            </w:pPr>
            <w:r>
              <w:rPr>
                <w:rFonts w:hint="eastAsia"/>
                <w:b/>
                <w:bCs/>
                <w:color w:val="auto"/>
                <w:sz w:val="21"/>
                <w:szCs w:val="21"/>
                <w:highlight w:val="none"/>
              </w:rPr>
              <w:t>套</w:t>
            </w:r>
          </w:p>
        </w:tc>
        <w:tc>
          <w:tcPr>
            <w:tcW w:w="372" w:type="pct"/>
            <w:tcBorders>
              <w:tl2br w:val="nil"/>
              <w:tr2bl w:val="nil"/>
            </w:tcBorders>
            <w:noWrap/>
            <w:vAlign w:val="center"/>
          </w:tcPr>
          <w:p w14:paraId="3CD683B3">
            <w:pPr>
              <w:widowControl/>
              <w:spacing w:line="240" w:lineRule="auto"/>
              <w:ind w:firstLine="0" w:firstLineChars="0"/>
              <w:jc w:val="center"/>
              <w:rPr>
                <w:color w:val="auto"/>
                <w:sz w:val="21"/>
                <w:szCs w:val="21"/>
                <w:highlight w:val="none"/>
              </w:rPr>
            </w:pPr>
            <w:r>
              <w:rPr>
                <w:rFonts w:hint="eastAsia"/>
                <w:color w:val="auto"/>
                <w:sz w:val="21"/>
                <w:szCs w:val="21"/>
                <w:highlight w:val="none"/>
              </w:rPr>
              <w:t>74</w:t>
            </w:r>
          </w:p>
        </w:tc>
      </w:tr>
      <w:tr w14:paraId="7D84F4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3E545586">
            <w:pPr>
              <w:widowControl/>
              <w:spacing w:line="240" w:lineRule="auto"/>
              <w:ind w:firstLine="0" w:firstLineChars="0"/>
              <w:jc w:val="center"/>
              <w:textAlignment w:val="center"/>
              <w:rPr>
                <w:color w:val="auto"/>
                <w:sz w:val="21"/>
                <w:szCs w:val="21"/>
                <w:highlight w:val="none"/>
              </w:rPr>
            </w:pPr>
            <w:r>
              <w:rPr>
                <w:b/>
                <w:bCs/>
                <w:color w:val="auto"/>
                <w:sz w:val="21"/>
                <w:szCs w:val="21"/>
                <w:highlight w:val="none"/>
                <w:lang w:bidi="ar"/>
              </w:rPr>
              <w:t>五</w:t>
            </w:r>
          </w:p>
        </w:tc>
        <w:tc>
          <w:tcPr>
            <w:tcW w:w="995" w:type="pct"/>
            <w:tcBorders>
              <w:tl2br w:val="nil"/>
              <w:tr2bl w:val="nil"/>
            </w:tcBorders>
            <w:noWrap/>
            <w:vAlign w:val="center"/>
          </w:tcPr>
          <w:p w14:paraId="4461D810">
            <w:pPr>
              <w:widowControl/>
              <w:spacing w:line="240" w:lineRule="auto"/>
              <w:ind w:firstLine="0" w:firstLineChars="0"/>
              <w:jc w:val="left"/>
              <w:textAlignment w:val="center"/>
              <w:rPr>
                <w:b/>
                <w:bCs/>
                <w:color w:val="auto"/>
                <w:sz w:val="21"/>
                <w:szCs w:val="21"/>
                <w:highlight w:val="none"/>
              </w:rPr>
            </w:pPr>
            <w:r>
              <w:rPr>
                <w:b/>
                <w:bCs/>
                <w:color w:val="auto"/>
                <w:sz w:val="21"/>
                <w:szCs w:val="21"/>
                <w:highlight w:val="none"/>
                <w:lang w:bidi="ar"/>
              </w:rPr>
              <w:t>高端特种及绿色船舶改装条件</w:t>
            </w:r>
          </w:p>
        </w:tc>
        <w:tc>
          <w:tcPr>
            <w:tcW w:w="2447" w:type="pct"/>
            <w:tcBorders>
              <w:tl2br w:val="nil"/>
              <w:tr2bl w:val="nil"/>
            </w:tcBorders>
            <w:noWrap/>
            <w:vAlign w:val="center"/>
          </w:tcPr>
          <w:p w14:paraId="78AAA43E">
            <w:pPr>
              <w:widowControl/>
              <w:spacing w:line="240" w:lineRule="auto"/>
              <w:ind w:firstLine="0" w:firstLineChars="0"/>
              <w:rPr>
                <w:color w:val="auto"/>
                <w:sz w:val="21"/>
                <w:szCs w:val="21"/>
                <w:highlight w:val="none"/>
              </w:rPr>
            </w:pPr>
          </w:p>
        </w:tc>
        <w:tc>
          <w:tcPr>
            <w:tcW w:w="460" w:type="pct"/>
            <w:tcBorders>
              <w:tl2br w:val="nil"/>
              <w:tr2bl w:val="nil"/>
            </w:tcBorders>
            <w:noWrap/>
            <w:vAlign w:val="center"/>
          </w:tcPr>
          <w:p w14:paraId="456BD4D6">
            <w:pPr>
              <w:widowControl/>
              <w:spacing w:line="240" w:lineRule="auto"/>
              <w:ind w:firstLine="0" w:firstLineChars="0"/>
              <w:jc w:val="center"/>
              <w:rPr>
                <w:color w:val="auto"/>
                <w:sz w:val="21"/>
                <w:szCs w:val="21"/>
                <w:highlight w:val="none"/>
              </w:rPr>
            </w:pPr>
          </w:p>
        </w:tc>
        <w:tc>
          <w:tcPr>
            <w:tcW w:w="379" w:type="pct"/>
            <w:tcBorders>
              <w:tl2br w:val="nil"/>
              <w:tr2bl w:val="nil"/>
            </w:tcBorders>
            <w:noWrap/>
            <w:vAlign w:val="center"/>
          </w:tcPr>
          <w:p w14:paraId="54D0E863">
            <w:pPr>
              <w:widowControl/>
              <w:spacing w:line="240" w:lineRule="auto"/>
              <w:ind w:firstLine="0" w:firstLineChars="0"/>
              <w:jc w:val="center"/>
              <w:rPr>
                <w:b/>
                <w:bCs/>
                <w:color w:val="auto"/>
                <w:sz w:val="21"/>
                <w:szCs w:val="21"/>
                <w:highlight w:val="none"/>
              </w:rPr>
            </w:pPr>
            <w:r>
              <w:rPr>
                <w:rFonts w:hint="eastAsia"/>
                <w:b/>
                <w:bCs/>
                <w:color w:val="auto"/>
                <w:sz w:val="21"/>
                <w:szCs w:val="21"/>
                <w:highlight w:val="none"/>
              </w:rPr>
              <w:t>台</w:t>
            </w:r>
          </w:p>
        </w:tc>
        <w:tc>
          <w:tcPr>
            <w:tcW w:w="372" w:type="pct"/>
            <w:tcBorders>
              <w:tl2br w:val="nil"/>
              <w:tr2bl w:val="nil"/>
            </w:tcBorders>
            <w:noWrap/>
            <w:vAlign w:val="center"/>
          </w:tcPr>
          <w:p w14:paraId="6D700537">
            <w:pPr>
              <w:widowControl/>
              <w:spacing w:line="240" w:lineRule="auto"/>
              <w:ind w:firstLine="0" w:firstLineChars="0"/>
              <w:jc w:val="center"/>
              <w:rPr>
                <w:b/>
                <w:bCs/>
                <w:color w:val="auto"/>
                <w:sz w:val="21"/>
                <w:szCs w:val="21"/>
                <w:highlight w:val="none"/>
              </w:rPr>
            </w:pPr>
            <w:r>
              <w:rPr>
                <w:rFonts w:hint="eastAsia"/>
                <w:b/>
                <w:bCs/>
                <w:color w:val="auto"/>
                <w:sz w:val="21"/>
                <w:szCs w:val="21"/>
                <w:highlight w:val="none"/>
              </w:rPr>
              <w:t>28</w:t>
            </w:r>
          </w:p>
        </w:tc>
      </w:tr>
      <w:tr w14:paraId="2639F5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709F3E1E">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1</w:t>
            </w:r>
          </w:p>
        </w:tc>
        <w:tc>
          <w:tcPr>
            <w:tcW w:w="995" w:type="pct"/>
            <w:tcBorders>
              <w:tl2br w:val="nil"/>
              <w:tr2bl w:val="nil"/>
            </w:tcBorders>
            <w:noWrap/>
            <w:vAlign w:val="center"/>
          </w:tcPr>
          <w:p w14:paraId="281EF6DE">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半挂式平板车</w:t>
            </w:r>
          </w:p>
        </w:tc>
        <w:tc>
          <w:tcPr>
            <w:tcW w:w="2447" w:type="pct"/>
            <w:tcBorders>
              <w:tl2br w:val="nil"/>
              <w:tr2bl w:val="nil"/>
            </w:tcBorders>
            <w:vAlign w:val="center"/>
          </w:tcPr>
          <w:p w14:paraId="46F160C4">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460马力，3轴，准拖挂总质量40000KG</w:t>
            </w:r>
          </w:p>
        </w:tc>
        <w:tc>
          <w:tcPr>
            <w:tcW w:w="460" w:type="pct"/>
            <w:tcBorders>
              <w:tl2br w:val="nil"/>
              <w:tr2bl w:val="nil"/>
            </w:tcBorders>
            <w:vAlign w:val="center"/>
          </w:tcPr>
          <w:p w14:paraId="351A08EF">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42D58879">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14E16705">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1 </w:t>
            </w:r>
          </w:p>
        </w:tc>
      </w:tr>
      <w:tr w14:paraId="27CBB6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18814D59">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2</w:t>
            </w:r>
          </w:p>
        </w:tc>
        <w:tc>
          <w:tcPr>
            <w:tcW w:w="995" w:type="pct"/>
            <w:tcBorders>
              <w:tl2br w:val="nil"/>
              <w:tr2bl w:val="nil"/>
            </w:tcBorders>
            <w:noWrap/>
            <w:vAlign w:val="center"/>
          </w:tcPr>
          <w:p w14:paraId="3381074E">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拖车架</w:t>
            </w:r>
          </w:p>
        </w:tc>
        <w:tc>
          <w:tcPr>
            <w:tcW w:w="2447" w:type="pct"/>
            <w:tcBorders>
              <w:tl2br w:val="nil"/>
              <w:tr2bl w:val="nil"/>
            </w:tcBorders>
            <w:vAlign w:val="center"/>
          </w:tcPr>
          <w:p w14:paraId="7802091C">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载荷20T</w:t>
            </w:r>
          </w:p>
        </w:tc>
        <w:tc>
          <w:tcPr>
            <w:tcW w:w="460" w:type="pct"/>
            <w:tcBorders>
              <w:tl2br w:val="nil"/>
              <w:tr2bl w:val="nil"/>
            </w:tcBorders>
            <w:vAlign w:val="center"/>
          </w:tcPr>
          <w:p w14:paraId="012465D8">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6C63CDE2">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4BDE3CB5">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3 </w:t>
            </w:r>
          </w:p>
        </w:tc>
      </w:tr>
      <w:tr w14:paraId="6942D86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4D238404">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3</w:t>
            </w:r>
          </w:p>
        </w:tc>
        <w:tc>
          <w:tcPr>
            <w:tcW w:w="995" w:type="pct"/>
            <w:tcBorders>
              <w:tl2br w:val="nil"/>
              <w:tr2bl w:val="nil"/>
            </w:tcBorders>
            <w:noWrap/>
            <w:vAlign w:val="center"/>
          </w:tcPr>
          <w:p w14:paraId="668C5B4D">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高空作业车</w:t>
            </w:r>
          </w:p>
        </w:tc>
        <w:tc>
          <w:tcPr>
            <w:tcW w:w="2447" w:type="pct"/>
            <w:tcBorders>
              <w:tl2br w:val="nil"/>
              <w:tr2bl w:val="nil"/>
            </w:tcBorders>
            <w:noWrap/>
            <w:vAlign w:val="center"/>
          </w:tcPr>
          <w:p w14:paraId="31978E9C">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作业高度26米。</w:t>
            </w:r>
          </w:p>
        </w:tc>
        <w:tc>
          <w:tcPr>
            <w:tcW w:w="460" w:type="pct"/>
            <w:tcBorders>
              <w:tl2br w:val="nil"/>
              <w:tr2bl w:val="nil"/>
            </w:tcBorders>
            <w:vAlign w:val="center"/>
          </w:tcPr>
          <w:p w14:paraId="1E46D742">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1EBCB7A0">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48DD34E4">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5 </w:t>
            </w:r>
          </w:p>
        </w:tc>
      </w:tr>
      <w:tr w14:paraId="3A7074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4474F5DB">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4</w:t>
            </w:r>
          </w:p>
        </w:tc>
        <w:tc>
          <w:tcPr>
            <w:tcW w:w="995" w:type="pct"/>
            <w:tcBorders>
              <w:tl2br w:val="nil"/>
              <w:tr2bl w:val="nil"/>
            </w:tcBorders>
            <w:noWrap/>
            <w:vAlign w:val="center"/>
          </w:tcPr>
          <w:p w14:paraId="5608B7DC">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拖挂平板车</w:t>
            </w:r>
          </w:p>
        </w:tc>
        <w:tc>
          <w:tcPr>
            <w:tcW w:w="2447" w:type="pct"/>
            <w:tcBorders>
              <w:tl2br w:val="nil"/>
              <w:tr2bl w:val="nil"/>
            </w:tcBorders>
            <w:noWrap/>
            <w:vAlign w:val="center"/>
          </w:tcPr>
          <w:p w14:paraId="278262F1">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载荷40T</w:t>
            </w:r>
          </w:p>
        </w:tc>
        <w:tc>
          <w:tcPr>
            <w:tcW w:w="460" w:type="pct"/>
            <w:tcBorders>
              <w:tl2br w:val="nil"/>
              <w:tr2bl w:val="nil"/>
            </w:tcBorders>
            <w:vAlign w:val="center"/>
          </w:tcPr>
          <w:p w14:paraId="501A803B">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23B6389E">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20A6CF6E">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1 </w:t>
            </w:r>
          </w:p>
        </w:tc>
      </w:tr>
      <w:tr w14:paraId="2DFC3A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072395D8">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5</w:t>
            </w:r>
          </w:p>
        </w:tc>
        <w:tc>
          <w:tcPr>
            <w:tcW w:w="995" w:type="pct"/>
            <w:tcBorders>
              <w:tl2br w:val="nil"/>
              <w:tr2bl w:val="nil"/>
            </w:tcBorders>
            <w:noWrap/>
            <w:vAlign w:val="center"/>
          </w:tcPr>
          <w:p w14:paraId="7B382501">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升降车</w:t>
            </w:r>
          </w:p>
        </w:tc>
        <w:tc>
          <w:tcPr>
            <w:tcW w:w="2447" w:type="pct"/>
            <w:tcBorders>
              <w:tl2br w:val="nil"/>
              <w:tr2bl w:val="nil"/>
            </w:tcBorders>
            <w:noWrap/>
            <w:vAlign w:val="center"/>
          </w:tcPr>
          <w:p w14:paraId="33F097A4">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可移动式，作业高度14m</w:t>
            </w:r>
          </w:p>
        </w:tc>
        <w:tc>
          <w:tcPr>
            <w:tcW w:w="460" w:type="pct"/>
            <w:tcBorders>
              <w:tl2br w:val="nil"/>
              <w:tr2bl w:val="nil"/>
            </w:tcBorders>
            <w:vAlign w:val="center"/>
          </w:tcPr>
          <w:p w14:paraId="2FF64738">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1617049D">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0C18C9A3">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2 </w:t>
            </w:r>
          </w:p>
        </w:tc>
      </w:tr>
      <w:tr w14:paraId="5C034F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405B0526">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6</w:t>
            </w:r>
          </w:p>
        </w:tc>
        <w:tc>
          <w:tcPr>
            <w:tcW w:w="995" w:type="pct"/>
            <w:tcBorders>
              <w:tl2br w:val="nil"/>
              <w:tr2bl w:val="nil"/>
            </w:tcBorders>
            <w:noWrap/>
            <w:vAlign w:val="center"/>
          </w:tcPr>
          <w:p w14:paraId="7EE1658F">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磁力工装</w:t>
            </w:r>
          </w:p>
        </w:tc>
        <w:tc>
          <w:tcPr>
            <w:tcW w:w="2447" w:type="pct"/>
            <w:tcBorders>
              <w:tl2br w:val="nil"/>
              <w:tr2bl w:val="nil"/>
            </w:tcBorders>
            <w:noWrap/>
            <w:vAlign w:val="center"/>
          </w:tcPr>
          <w:p w14:paraId="2802083A">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额定吸附力2T</w:t>
            </w:r>
          </w:p>
        </w:tc>
        <w:tc>
          <w:tcPr>
            <w:tcW w:w="460" w:type="pct"/>
            <w:tcBorders>
              <w:tl2br w:val="nil"/>
              <w:tr2bl w:val="nil"/>
            </w:tcBorders>
            <w:vAlign w:val="center"/>
          </w:tcPr>
          <w:p w14:paraId="7102547C">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01701AD4">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44C1DB35">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5 </w:t>
            </w:r>
          </w:p>
        </w:tc>
      </w:tr>
      <w:tr w14:paraId="370746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061A5993">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7</w:t>
            </w:r>
          </w:p>
        </w:tc>
        <w:tc>
          <w:tcPr>
            <w:tcW w:w="995" w:type="pct"/>
            <w:tcBorders>
              <w:tl2br w:val="nil"/>
              <w:tr2bl w:val="nil"/>
            </w:tcBorders>
            <w:noWrap/>
            <w:vAlign w:val="center"/>
          </w:tcPr>
          <w:p w14:paraId="3BEB22E9">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磁力吊</w:t>
            </w:r>
          </w:p>
        </w:tc>
        <w:tc>
          <w:tcPr>
            <w:tcW w:w="2447" w:type="pct"/>
            <w:tcBorders>
              <w:tl2br w:val="nil"/>
              <w:tr2bl w:val="nil"/>
            </w:tcBorders>
            <w:noWrap/>
            <w:vAlign w:val="center"/>
          </w:tcPr>
          <w:p w14:paraId="46A71B90">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额定起重量1T</w:t>
            </w:r>
          </w:p>
        </w:tc>
        <w:tc>
          <w:tcPr>
            <w:tcW w:w="460" w:type="pct"/>
            <w:tcBorders>
              <w:tl2br w:val="nil"/>
              <w:tr2bl w:val="nil"/>
            </w:tcBorders>
            <w:vAlign w:val="center"/>
          </w:tcPr>
          <w:p w14:paraId="13D931C4">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0E56E680">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36D57C1D">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2 </w:t>
            </w:r>
          </w:p>
        </w:tc>
      </w:tr>
      <w:tr w14:paraId="1F748B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2D2A0C74">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8</w:t>
            </w:r>
          </w:p>
        </w:tc>
        <w:tc>
          <w:tcPr>
            <w:tcW w:w="995" w:type="pct"/>
            <w:tcBorders>
              <w:tl2br w:val="nil"/>
              <w:tr2bl w:val="nil"/>
            </w:tcBorders>
            <w:noWrap/>
            <w:vAlign w:val="center"/>
          </w:tcPr>
          <w:p w14:paraId="412C7C55">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磁力吊</w:t>
            </w:r>
          </w:p>
        </w:tc>
        <w:tc>
          <w:tcPr>
            <w:tcW w:w="2447" w:type="pct"/>
            <w:tcBorders>
              <w:tl2br w:val="nil"/>
              <w:tr2bl w:val="nil"/>
            </w:tcBorders>
            <w:noWrap/>
            <w:vAlign w:val="center"/>
          </w:tcPr>
          <w:p w14:paraId="62AA9993">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额定起重量2T</w:t>
            </w:r>
          </w:p>
        </w:tc>
        <w:tc>
          <w:tcPr>
            <w:tcW w:w="460" w:type="pct"/>
            <w:tcBorders>
              <w:tl2br w:val="nil"/>
              <w:tr2bl w:val="nil"/>
            </w:tcBorders>
            <w:vAlign w:val="center"/>
          </w:tcPr>
          <w:p w14:paraId="45D28E4B">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39A9B0AF">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3DEBF075">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2 </w:t>
            </w:r>
          </w:p>
        </w:tc>
      </w:tr>
      <w:tr w14:paraId="7AFDDF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5527D6C3">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9</w:t>
            </w:r>
          </w:p>
        </w:tc>
        <w:tc>
          <w:tcPr>
            <w:tcW w:w="995" w:type="pct"/>
            <w:tcBorders>
              <w:tl2br w:val="nil"/>
              <w:tr2bl w:val="nil"/>
            </w:tcBorders>
            <w:noWrap/>
            <w:vAlign w:val="center"/>
          </w:tcPr>
          <w:p w14:paraId="7466D95E">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电动葫芦</w:t>
            </w:r>
          </w:p>
        </w:tc>
        <w:tc>
          <w:tcPr>
            <w:tcW w:w="2447" w:type="pct"/>
            <w:tcBorders>
              <w:tl2br w:val="nil"/>
              <w:tr2bl w:val="nil"/>
            </w:tcBorders>
            <w:noWrap/>
            <w:vAlign w:val="center"/>
          </w:tcPr>
          <w:p w14:paraId="28ADE5E2">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5T/9M、3T/9M</w:t>
            </w:r>
          </w:p>
        </w:tc>
        <w:tc>
          <w:tcPr>
            <w:tcW w:w="460" w:type="pct"/>
            <w:tcBorders>
              <w:tl2br w:val="nil"/>
              <w:tr2bl w:val="nil"/>
            </w:tcBorders>
            <w:vAlign w:val="center"/>
          </w:tcPr>
          <w:p w14:paraId="3258D6F5">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153B5644">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20691957">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2 </w:t>
            </w:r>
          </w:p>
        </w:tc>
      </w:tr>
      <w:tr w14:paraId="0EEC7D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787989E4">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10</w:t>
            </w:r>
          </w:p>
        </w:tc>
        <w:tc>
          <w:tcPr>
            <w:tcW w:w="995" w:type="pct"/>
            <w:tcBorders>
              <w:tl2br w:val="nil"/>
              <w:tr2bl w:val="nil"/>
            </w:tcBorders>
            <w:noWrap/>
            <w:vAlign w:val="center"/>
          </w:tcPr>
          <w:p w14:paraId="69ABDEA5">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永磁起重器</w:t>
            </w:r>
          </w:p>
        </w:tc>
        <w:tc>
          <w:tcPr>
            <w:tcW w:w="2447" w:type="pct"/>
            <w:tcBorders>
              <w:tl2br w:val="nil"/>
              <w:tr2bl w:val="nil"/>
            </w:tcBorders>
            <w:noWrap/>
            <w:vAlign w:val="center"/>
          </w:tcPr>
          <w:p w14:paraId="018952A9">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V型圆钢/额定起重量2T</w:t>
            </w:r>
          </w:p>
        </w:tc>
        <w:tc>
          <w:tcPr>
            <w:tcW w:w="460" w:type="pct"/>
            <w:tcBorders>
              <w:tl2br w:val="nil"/>
              <w:tr2bl w:val="nil"/>
            </w:tcBorders>
            <w:vAlign w:val="center"/>
          </w:tcPr>
          <w:p w14:paraId="0C34D465">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61C4E69B">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59CFAB53">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1 </w:t>
            </w:r>
          </w:p>
        </w:tc>
      </w:tr>
      <w:tr w14:paraId="5694CE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219B2662">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11</w:t>
            </w:r>
          </w:p>
        </w:tc>
        <w:tc>
          <w:tcPr>
            <w:tcW w:w="995" w:type="pct"/>
            <w:tcBorders>
              <w:tl2br w:val="nil"/>
              <w:tr2bl w:val="nil"/>
            </w:tcBorders>
            <w:noWrap/>
            <w:vAlign w:val="center"/>
          </w:tcPr>
          <w:p w14:paraId="581C423C">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液压拉马</w:t>
            </w:r>
          </w:p>
        </w:tc>
        <w:tc>
          <w:tcPr>
            <w:tcW w:w="2447" w:type="pct"/>
            <w:tcBorders>
              <w:tl2br w:val="nil"/>
              <w:tr2bl w:val="nil"/>
            </w:tcBorders>
            <w:noWrap/>
            <w:vAlign w:val="center"/>
          </w:tcPr>
          <w:p w14:paraId="4F25E052">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额定拉力50T</w:t>
            </w:r>
          </w:p>
        </w:tc>
        <w:tc>
          <w:tcPr>
            <w:tcW w:w="460" w:type="pct"/>
            <w:tcBorders>
              <w:tl2br w:val="nil"/>
              <w:tr2bl w:val="nil"/>
            </w:tcBorders>
            <w:vAlign w:val="center"/>
          </w:tcPr>
          <w:p w14:paraId="7B1B9289">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6BD18F6C">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61781399">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2 </w:t>
            </w:r>
          </w:p>
        </w:tc>
      </w:tr>
      <w:tr w14:paraId="021347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25B14055">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12</w:t>
            </w:r>
          </w:p>
        </w:tc>
        <w:tc>
          <w:tcPr>
            <w:tcW w:w="995" w:type="pct"/>
            <w:tcBorders>
              <w:tl2br w:val="nil"/>
              <w:tr2bl w:val="nil"/>
            </w:tcBorders>
            <w:noWrap/>
            <w:vAlign w:val="center"/>
          </w:tcPr>
          <w:p w14:paraId="1BFDC988">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电缆卷扬机</w:t>
            </w:r>
          </w:p>
        </w:tc>
        <w:tc>
          <w:tcPr>
            <w:tcW w:w="2447" w:type="pct"/>
            <w:tcBorders>
              <w:tl2br w:val="nil"/>
              <w:tr2bl w:val="nil"/>
            </w:tcBorders>
            <w:noWrap/>
            <w:vAlign w:val="center"/>
          </w:tcPr>
          <w:p w14:paraId="72293946">
            <w:pPr>
              <w:widowControl/>
              <w:spacing w:line="240" w:lineRule="auto"/>
              <w:ind w:firstLine="0" w:firstLineChars="0"/>
              <w:jc w:val="left"/>
              <w:textAlignment w:val="center"/>
              <w:rPr>
                <w:color w:val="auto"/>
                <w:sz w:val="21"/>
                <w:szCs w:val="21"/>
                <w:highlight w:val="none"/>
              </w:rPr>
            </w:pPr>
            <w:r>
              <w:rPr>
                <w:color w:val="auto"/>
                <w:sz w:val="21"/>
                <w:szCs w:val="21"/>
                <w:highlight w:val="none"/>
                <w:lang w:bidi="ar"/>
              </w:rPr>
              <w:t>220V，5KN</w:t>
            </w:r>
          </w:p>
        </w:tc>
        <w:tc>
          <w:tcPr>
            <w:tcW w:w="460" w:type="pct"/>
            <w:tcBorders>
              <w:tl2br w:val="nil"/>
              <w:tr2bl w:val="nil"/>
            </w:tcBorders>
            <w:vAlign w:val="center"/>
          </w:tcPr>
          <w:p w14:paraId="32872E96">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国产</w:t>
            </w:r>
          </w:p>
        </w:tc>
        <w:tc>
          <w:tcPr>
            <w:tcW w:w="379" w:type="pct"/>
            <w:tcBorders>
              <w:tl2br w:val="nil"/>
              <w:tr2bl w:val="nil"/>
            </w:tcBorders>
            <w:noWrap/>
            <w:vAlign w:val="center"/>
          </w:tcPr>
          <w:p w14:paraId="07130996">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台</w:t>
            </w:r>
          </w:p>
        </w:tc>
        <w:tc>
          <w:tcPr>
            <w:tcW w:w="372" w:type="pct"/>
            <w:tcBorders>
              <w:tl2br w:val="nil"/>
              <w:tr2bl w:val="nil"/>
            </w:tcBorders>
            <w:noWrap/>
            <w:vAlign w:val="center"/>
          </w:tcPr>
          <w:p w14:paraId="006371D9">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2 </w:t>
            </w:r>
          </w:p>
        </w:tc>
      </w:tr>
      <w:tr w14:paraId="36A4AA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45" w:type="pct"/>
            <w:tcBorders>
              <w:tl2br w:val="nil"/>
              <w:tr2bl w:val="nil"/>
            </w:tcBorders>
            <w:noWrap/>
            <w:vAlign w:val="center"/>
          </w:tcPr>
          <w:p w14:paraId="38B2B53C">
            <w:pPr>
              <w:widowControl/>
              <w:spacing w:line="240" w:lineRule="auto"/>
              <w:ind w:firstLine="0" w:firstLineChars="0"/>
              <w:jc w:val="center"/>
              <w:rPr>
                <w:color w:val="auto"/>
                <w:sz w:val="21"/>
                <w:szCs w:val="21"/>
                <w:highlight w:val="none"/>
              </w:rPr>
            </w:pPr>
          </w:p>
        </w:tc>
        <w:tc>
          <w:tcPr>
            <w:tcW w:w="995" w:type="pct"/>
            <w:tcBorders>
              <w:tl2br w:val="nil"/>
              <w:tr2bl w:val="nil"/>
            </w:tcBorders>
            <w:noWrap/>
            <w:vAlign w:val="center"/>
          </w:tcPr>
          <w:p w14:paraId="3ADF95C7">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合计</w:t>
            </w:r>
          </w:p>
        </w:tc>
        <w:tc>
          <w:tcPr>
            <w:tcW w:w="2447" w:type="pct"/>
            <w:tcBorders>
              <w:tl2br w:val="nil"/>
              <w:tr2bl w:val="nil"/>
            </w:tcBorders>
            <w:noWrap/>
            <w:vAlign w:val="center"/>
          </w:tcPr>
          <w:p w14:paraId="2E81C8CA">
            <w:pPr>
              <w:widowControl/>
              <w:spacing w:line="240" w:lineRule="auto"/>
              <w:ind w:firstLine="0" w:firstLineChars="0"/>
              <w:rPr>
                <w:color w:val="auto"/>
                <w:sz w:val="21"/>
                <w:szCs w:val="21"/>
                <w:highlight w:val="none"/>
              </w:rPr>
            </w:pPr>
          </w:p>
        </w:tc>
        <w:tc>
          <w:tcPr>
            <w:tcW w:w="460" w:type="pct"/>
            <w:tcBorders>
              <w:tl2br w:val="nil"/>
              <w:tr2bl w:val="nil"/>
            </w:tcBorders>
            <w:noWrap/>
            <w:vAlign w:val="center"/>
          </w:tcPr>
          <w:p w14:paraId="4400AA86">
            <w:pPr>
              <w:widowControl/>
              <w:spacing w:line="240" w:lineRule="auto"/>
              <w:ind w:firstLine="0" w:firstLineChars="0"/>
              <w:jc w:val="center"/>
              <w:rPr>
                <w:color w:val="auto"/>
                <w:sz w:val="21"/>
                <w:szCs w:val="21"/>
                <w:highlight w:val="none"/>
              </w:rPr>
            </w:pPr>
          </w:p>
        </w:tc>
        <w:tc>
          <w:tcPr>
            <w:tcW w:w="379" w:type="pct"/>
            <w:tcBorders>
              <w:tl2br w:val="nil"/>
              <w:tr2bl w:val="nil"/>
            </w:tcBorders>
            <w:noWrap/>
            <w:vAlign w:val="center"/>
          </w:tcPr>
          <w:p w14:paraId="689AB8E9">
            <w:pPr>
              <w:widowControl/>
              <w:spacing w:line="240" w:lineRule="auto"/>
              <w:ind w:firstLine="0" w:firstLineChars="0"/>
              <w:jc w:val="center"/>
              <w:textAlignment w:val="center"/>
              <w:rPr>
                <w:b/>
                <w:bCs/>
                <w:color w:val="auto"/>
                <w:sz w:val="21"/>
                <w:szCs w:val="21"/>
                <w:highlight w:val="none"/>
              </w:rPr>
            </w:pPr>
          </w:p>
        </w:tc>
        <w:tc>
          <w:tcPr>
            <w:tcW w:w="372" w:type="pct"/>
            <w:tcBorders>
              <w:tl2br w:val="nil"/>
              <w:tr2bl w:val="nil"/>
            </w:tcBorders>
            <w:noWrap/>
            <w:vAlign w:val="center"/>
          </w:tcPr>
          <w:p w14:paraId="12B4A182">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 xml:space="preserve">600 </w:t>
            </w:r>
          </w:p>
        </w:tc>
      </w:tr>
    </w:tbl>
    <w:p w14:paraId="661CACE8">
      <w:pPr>
        <w:pStyle w:val="7"/>
        <w:numPr>
          <w:ilvl w:val="2"/>
          <w:numId w:val="9"/>
        </w:numPr>
        <w:rPr>
          <w:color w:val="auto"/>
          <w:sz w:val="28"/>
          <w:highlight w:val="none"/>
        </w:rPr>
      </w:pPr>
      <w:r>
        <w:rPr>
          <w:color w:val="auto"/>
          <w:sz w:val="28"/>
          <w:highlight w:val="none"/>
        </w:rPr>
        <w:t>主要原辅材料</w:t>
      </w:r>
    </w:p>
    <w:p w14:paraId="7522279B">
      <w:pPr>
        <w:ind w:firstLine="480"/>
        <w:rPr>
          <w:color w:val="auto"/>
          <w:szCs w:val="20"/>
          <w:highlight w:val="none"/>
        </w:rPr>
      </w:pPr>
      <w:r>
        <w:rPr>
          <w:color w:val="auto"/>
          <w:szCs w:val="20"/>
          <w:highlight w:val="none"/>
        </w:rPr>
        <w:t>项目主要原辅材料是钢材、油漆</w:t>
      </w:r>
      <w:r>
        <w:rPr>
          <w:rFonts w:hint="eastAsia"/>
          <w:color w:val="auto"/>
          <w:szCs w:val="20"/>
          <w:highlight w:val="none"/>
        </w:rPr>
        <w:t>（含稀释剂）</w:t>
      </w:r>
      <w:r>
        <w:rPr>
          <w:color w:val="auto"/>
          <w:szCs w:val="20"/>
          <w:highlight w:val="none"/>
        </w:rPr>
        <w:t>和焊材等</w:t>
      </w:r>
      <w:r>
        <w:rPr>
          <w:rFonts w:hint="eastAsia"/>
          <w:color w:val="auto"/>
          <w:szCs w:val="20"/>
          <w:highlight w:val="none"/>
        </w:rPr>
        <w:t>；</w:t>
      </w:r>
      <w:r>
        <w:rPr>
          <w:color w:val="auto"/>
          <w:szCs w:val="20"/>
          <w:highlight w:val="none"/>
        </w:rPr>
        <w:t>生产中主要燃料和能源</w:t>
      </w:r>
      <w:r>
        <w:rPr>
          <w:rFonts w:hint="eastAsia"/>
          <w:color w:val="auto"/>
          <w:szCs w:val="20"/>
          <w:highlight w:val="none"/>
          <w:lang w:eastAsia="zh-CN"/>
        </w:rPr>
        <w:t>包括</w:t>
      </w:r>
      <w:r>
        <w:rPr>
          <w:color w:val="auto"/>
          <w:szCs w:val="20"/>
          <w:highlight w:val="none"/>
        </w:rPr>
        <w:t>氧气、天然气、二氧化碳等由市场提供专业协作。项目主要原辅材料</w:t>
      </w:r>
      <w:r>
        <w:rPr>
          <w:rFonts w:hint="eastAsia"/>
          <w:color w:val="auto"/>
          <w:szCs w:val="20"/>
          <w:highlight w:val="none"/>
        </w:rPr>
        <w:t>与现有项目一致，无变化，详见上文2.1-4主要物料消耗情况。</w:t>
      </w:r>
    </w:p>
    <w:p w14:paraId="3A5651A8">
      <w:pPr>
        <w:ind w:firstLine="480"/>
        <w:rPr>
          <w:color w:val="auto"/>
          <w:highlight w:val="none"/>
          <w:u w:val="single"/>
        </w:rPr>
      </w:pPr>
      <w:r>
        <w:rPr>
          <w:rFonts w:hint="eastAsia"/>
          <w:color w:val="auto"/>
          <w:highlight w:val="none"/>
          <w:u w:val="single"/>
        </w:rPr>
        <w:t>根据现场调查，项目采用的主要油漆属于溶剂型涂料，根据建设单位提供的主要油漆成分分析报告，对比《低挥发性有机化合物含量涂料产品技术要求》（GB/T 38597-2020），详见下表2.2-5，可知本项目主要采用油漆符合《低挥发性有机化合物含量涂料产品技术要求》（GB/T 38597-2020）相关要求。</w:t>
      </w:r>
    </w:p>
    <w:p w14:paraId="7FA26C9D">
      <w:pPr>
        <w:pStyle w:val="38"/>
        <w:spacing w:after="0" w:line="240" w:lineRule="auto"/>
        <w:ind w:firstLine="0" w:firstLineChars="0"/>
        <w:jc w:val="center"/>
        <w:rPr>
          <w:rFonts w:hint="eastAsia"/>
          <w:b/>
          <w:color w:val="auto"/>
          <w:sz w:val="21"/>
          <w:szCs w:val="21"/>
          <w:highlight w:val="none"/>
          <w:u w:val="single"/>
        </w:rPr>
      </w:pPr>
    </w:p>
    <w:p w14:paraId="1629C086">
      <w:pPr>
        <w:pStyle w:val="38"/>
        <w:spacing w:after="0" w:line="240" w:lineRule="auto"/>
        <w:ind w:firstLine="0" w:firstLineChars="0"/>
        <w:jc w:val="center"/>
        <w:rPr>
          <w:rFonts w:hint="eastAsia"/>
          <w:b/>
          <w:color w:val="auto"/>
          <w:sz w:val="21"/>
          <w:szCs w:val="21"/>
          <w:highlight w:val="none"/>
          <w:u w:val="single"/>
        </w:rPr>
      </w:pPr>
    </w:p>
    <w:p w14:paraId="033C0602">
      <w:pPr>
        <w:pStyle w:val="38"/>
        <w:spacing w:after="0" w:line="240" w:lineRule="auto"/>
        <w:ind w:firstLine="0" w:firstLineChars="0"/>
        <w:jc w:val="center"/>
        <w:rPr>
          <w:rFonts w:hint="eastAsia"/>
          <w:b/>
          <w:color w:val="auto"/>
          <w:sz w:val="21"/>
          <w:szCs w:val="21"/>
          <w:highlight w:val="none"/>
          <w:u w:val="single"/>
        </w:rPr>
      </w:pPr>
    </w:p>
    <w:p w14:paraId="1907D1AC">
      <w:pPr>
        <w:pStyle w:val="38"/>
        <w:spacing w:after="0" w:line="240" w:lineRule="auto"/>
        <w:ind w:firstLine="0" w:firstLineChars="0"/>
        <w:jc w:val="center"/>
        <w:rPr>
          <w:rFonts w:hint="eastAsia"/>
          <w:b/>
          <w:color w:val="auto"/>
          <w:sz w:val="21"/>
          <w:szCs w:val="21"/>
          <w:highlight w:val="none"/>
          <w:u w:val="single"/>
        </w:rPr>
      </w:pPr>
    </w:p>
    <w:p w14:paraId="1C8766AF">
      <w:pPr>
        <w:pStyle w:val="38"/>
        <w:spacing w:after="0" w:line="240" w:lineRule="auto"/>
        <w:ind w:firstLine="0" w:firstLineChars="0"/>
        <w:jc w:val="center"/>
        <w:rPr>
          <w:b/>
          <w:color w:val="auto"/>
          <w:sz w:val="21"/>
          <w:szCs w:val="21"/>
          <w:highlight w:val="none"/>
          <w:u w:val="single"/>
        </w:rPr>
      </w:pPr>
      <w:r>
        <w:rPr>
          <w:rFonts w:hint="eastAsia"/>
          <w:b/>
          <w:color w:val="auto"/>
          <w:sz w:val="21"/>
          <w:szCs w:val="21"/>
          <w:highlight w:val="none"/>
          <w:u w:val="single"/>
        </w:rPr>
        <w:t>表2.2-5本项目油漆与《低挥发性有机化合物含量涂料产品技术要求》相符性一览表</w:t>
      </w:r>
    </w:p>
    <w:tbl>
      <w:tblPr>
        <w:tblStyle w:val="9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7"/>
        <w:gridCol w:w="1547"/>
        <w:gridCol w:w="1548"/>
        <w:gridCol w:w="1548"/>
        <w:gridCol w:w="1548"/>
        <w:gridCol w:w="1548"/>
      </w:tblGrid>
      <w:tr w14:paraId="4BC96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tcBorders>
              <w:top w:val="single" w:color="auto" w:sz="12" w:space="0"/>
              <w:left w:val="nil"/>
            </w:tcBorders>
            <w:vAlign w:val="center"/>
          </w:tcPr>
          <w:p w14:paraId="117B1A73">
            <w:pPr>
              <w:widowControl/>
              <w:spacing w:line="240" w:lineRule="auto"/>
              <w:ind w:firstLine="0" w:firstLineChars="0"/>
              <w:jc w:val="center"/>
              <w:textAlignment w:val="center"/>
              <w:rPr>
                <w:b/>
                <w:bCs/>
                <w:color w:val="auto"/>
                <w:sz w:val="21"/>
                <w:szCs w:val="21"/>
                <w:highlight w:val="none"/>
                <w:u w:val="single"/>
                <w:lang w:bidi="ar"/>
              </w:rPr>
            </w:pPr>
            <w:r>
              <w:rPr>
                <w:rFonts w:hint="eastAsia"/>
                <w:b/>
                <w:bCs/>
                <w:color w:val="auto"/>
                <w:sz w:val="21"/>
                <w:szCs w:val="21"/>
                <w:highlight w:val="none"/>
                <w:u w:val="single"/>
                <w:lang w:bidi="ar"/>
              </w:rPr>
              <w:t>产品类型</w:t>
            </w:r>
          </w:p>
        </w:tc>
        <w:tc>
          <w:tcPr>
            <w:tcW w:w="3095" w:type="dxa"/>
            <w:gridSpan w:val="2"/>
            <w:tcBorders>
              <w:top w:val="single" w:color="auto" w:sz="12" w:space="0"/>
            </w:tcBorders>
            <w:vAlign w:val="center"/>
          </w:tcPr>
          <w:p w14:paraId="3AB25D35">
            <w:pPr>
              <w:widowControl/>
              <w:spacing w:line="240" w:lineRule="auto"/>
              <w:ind w:firstLine="0" w:firstLineChars="0"/>
              <w:jc w:val="center"/>
              <w:textAlignment w:val="center"/>
              <w:rPr>
                <w:b/>
                <w:bCs/>
                <w:color w:val="auto"/>
                <w:sz w:val="21"/>
                <w:szCs w:val="21"/>
                <w:highlight w:val="none"/>
                <w:u w:val="single"/>
                <w:lang w:bidi="ar"/>
              </w:rPr>
            </w:pPr>
            <w:r>
              <w:rPr>
                <w:rFonts w:hint="eastAsia"/>
                <w:b/>
                <w:bCs/>
                <w:color w:val="auto"/>
                <w:sz w:val="21"/>
                <w:szCs w:val="21"/>
                <w:highlight w:val="none"/>
                <w:u w:val="single"/>
                <w:lang w:bidi="ar"/>
              </w:rPr>
              <w:t>主要产品类型</w:t>
            </w:r>
          </w:p>
        </w:tc>
        <w:tc>
          <w:tcPr>
            <w:tcW w:w="1548" w:type="dxa"/>
            <w:tcBorders>
              <w:top w:val="single" w:color="auto" w:sz="12" w:space="0"/>
            </w:tcBorders>
            <w:vAlign w:val="center"/>
          </w:tcPr>
          <w:p w14:paraId="67AE9344">
            <w:pPr>
              <w:widowControl/>
              <w:spacing w:line="240" w:lineRule="auto"/>
              <w:ind w:firstLine="0" w:firstLineChars="0"/>
              <w:jc w:val="center"/>
              <w:textAlignment w:val="center"/>
              <w:rPr>
                <w:b/>
                <w:bCs/>
                <w:color w:val="auto"/>
                <w:sz w:val="21"/>
                <w:szCs w:val="21"/>
                <w:highlight w:val="none"/>
                <w:u w:val="single"/>
                <w:lang w:bidi="ar"/>
              </w:rPr>
            </w:pPr>
            <w:r>
              <w:rPr>
                <w:rFonts w:hint="eastAsia"/>
                <w:b/>
                <w:bCs/>
                <w:color w:val="auto"/>
                <w:sz w:val="21"/>
                <w:szCs w:val="21"/>
                <w:highlight w:val="none"/>
                <w:u w:val="single"/>
                <w:lang w:bidi="ar"/>
              </w:rPr>
              <w:t>VOC限量值（g/L）</w:t>
            </w:r>
          </w:p>
        </w:tc>
        <w:tc>
          <w:tcPr>
            <w:tcW w:w="1548" w:type="dxa"/>
            <w:tcBorders>
              <w:top w:val="single" w:color="auto" w:sz="12" w:space="0"/>
            </w:tcBorders>
            <w:vAlign w:val="center"/>
          </w:tcPr>
          <w:p w14:paraId="2F548FD1">
            <w:pPr>
              <w:widowControl/>
              <w:spacing w:line="240" w:lineRule="auto"/>
              <w:ind w:firstLine="0" w:firstLineChars="0"/>
              <w:jc w:val="center"/>
              <w:textAlignment w:val="center"/>
              <w:rPr>
                <w:b/>
                <w:bCs/>
                <w:color w:val="auto"/>
                <w:sz w:val="21"/>
                <w:szCs w:val="21"/>
                <w:highlight w:val="none"/>
                <w:u w:val="single"/>
                <w:lang w:bidi="ar"/>
              </w:rPr>
            </w:pPr>
            <w:r>
              <w:rPr>
                <w:rFonts w:hint="eastAsia"/>
                <w:b/>
                <w:bCs/>
                <w:color w:val="auto"/>
                <w:sz w:val="21"/>
                <w:szCs w:val="21"/>
                <w:highlight w:val="none"/>
                <w:u w:val="single"/>
                <w:lang w:bidi="ar"/>
              </w:rPr>
              <w:t>本项目情况（g/L）</w:t>
            </w:r>
          </w:p>
        </w:tc>
        <w:tc>
          <w:tcPr>
            <w:tcW w:w="1548" w:type="dxa"/>
            <w:tcBorders>
              <w:top w:val="single" w:color="auto" w:sz="12" w:space="0"/>
              <w:right w:val="nil"/>
            </w:tcBorders>
            <w:vAlign w:val="center"/>
          </w:tcPr>
          <w:p w14:paraId="5A1DFEEB">
            <w:pPr>
              <w:widowControl/>
              <w:spacing w:line="240" w:lineRule="auto"/>
              <w:ind w:firstLine="0" w:firstLineChars="0"/>
              <w:jc w:val="center"/>
              <w:textAlignment w:val="center"/>
              <w:rPr>
                <w:b/>
                <w:bCs/>
                <w:color w:val="auto"/>
                <w:sz w:val="21"/>
                <w:szCs w:val="21"/>
                <w:highlight w:val="none"/>
                <w:u w:val="single"/>
                <w:lang w:bidi="ar"/>
              </w:rPr>
            </w:pPr>
            <w:r>
              <w:rPr>
                <w:rFonts w:hint="eastAsia"/>
                <w:b/>
                <w:bCs/>
                <w:color w:val="auto"/>
                <w:sz w:val="21"/>
                <w:szCs w:val="21"/>
                <w:highlight w:val="none"/>
                <w:u w:val="single"/>
                <w:lang w:bidi="ar"/>
              </w:rPr>
              <w:t>相符性</w:t>
            </w:r>
          </w:p>
        </w:tc>
      </w:tr>
      <w:tr w14:paraId="32E3F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vMerge w:val="restart"/>
            <w:tcBorders>
              <w:left w:val="nil"/>
            </w:tcBorders>
            <w:vAlign w:val="center"/>
          </w:tcPr>
          <w:p w14:paraId="09879D3C">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船舶涂料</w:t>
            </w:r>
          </w:p>
        </w:tc>
        <w:tc>
          <w:tcPr>
            <w:tcW w:w="3095" w:type="dxa"/>
            <w:gridSpan w:val="2"/>
            <w:vAlign w:val="center"/>
          </w:tcPr>
          <w:p w14:paraId="32A7CF41">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车间底漆（无机）</w:t>
            </w:r>
          </w:p>
        </w:tc>
        <w:tc>
          <w:tcPr>
            <w:tcW w:w="1548" w:type="dxa"/>
            <w:vAlign w:val="center"/>
          </w:tcPr>
          <w:p w14:paraId="6AC6BCE3">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≤580</w:t>
            </w:r>
          </w:p>
        </w:tc>
        <w:tc>
          <w:tcPr>
            <w:tcW w:w="1548" w:type="dxa"/>
            <w:vAlign w:val="center"/>
          </w:tcPr>
          <w:p w14:paraId="65494D38">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150~360</w:t>
            </w:r>
          </w:p>
        </w:tc>
        <w:tc>
          <w:tcPr>
            <w:tcW w:w="1548" w:type="dxa"/>
            <w:vMerge w:val="restart"/>
            <w:tcBorders>
              <w:right w:val="nil"/>
            </w:tcBorders>
            <w:vAlign w:val="center"/>
          </w:tcPr>
          <w:p w14:paraId="482447D1">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符合</w:t>
            </w:r>
          </w:p>
        </w:tc>
      </w:tr>
      <w:tr w14:paraId="698BF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vMerge w:val="continue"/>
            <w:tcBorders>
              <w:left w:val="nil"/>
            </w:tcBorders>
            <w:vAlign w:val="center"/>
          </w:tcPr>
          <w:p w14:paraId="6F226780">
            <w:pPr>
              <w:widowControl/>
              <w:spacing w:line="240" w:lineRule="auto"/>
              <w:ind w:firstLine="0" w:firstLineChars="0"/>
              <w:jc w:val="center"/>
              <w:textAlignment w:val="center"/>
              <w:rPr>
                <w:color w:val="auto"/>
                <w:sz w:val="21"/>
                <w:szCs w:val="21"/>
                <w:highlight w:val="none"/>
                <w:u w:val="single"/>
                <w:lang w:bidi="ar"/>
              </w:rPr>
            </w:pPr>
          </w:p>
        </w:tc>
        <w:tc>
          <w:tcPr>
            <w:tcW w:w="1547" w:type="dxa"/>
            <w:vMerge w:val="restart"/>
            <w:vAlign w:val="center"/>
          </w:tcPr>
          <w:p w14:paraId="15E99489">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底漆</w:t>
            </w:r>
          </w:p>
        </w:tc>
        <w:tc>
          <w:tcPr>
            <w:tcW w:w="1548" w:type="dxa"/>
            <w:vAlign w:val="center"/>
          </w:tcPr>
          <w:p w14:paraId="3CF40923">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无机锌底漆</w:t>
            </w:r>
          </w:p>
        </w:tc>
        <w:tc>
          <w:tcPr>
            <w:tcW w:w="1548" w:type="dxa"/>
            <w:vAlign w:val="center"/>
          </w:tcPr>
          <w:p w14:paraId="790F547C">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≤550</w:t>
            </w:r>
          </w:p>
        </w:tc>
        <w:tc>
          <w:tcPr>
            <w:tcW w:w="1548" w:type="dxa"/>
            <w:vAlign w:val="center"/>
          </w:tcPr>
          <w:p w14:paraId="5C2911E8">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＜500</w:t>
            </w:r>
          </w:p>
        </w:tc>
        <w:tc>
          <w:tcPr>
            <w:tcW w:w="1548" w:type="dxa"/>
            <w:vMerge w:val="continue"/>
            <w:tcBorders>
              <w:right w:val="nil"/>
            </w:tcBorders>
            <w:vAlign w:val="center"/>
          </w:tcPr>
          <w:p w14:paraId="2EA0CAAC">
            <w:pPr>
              <w:widowControl/>
              <w:spacing w:line="240" w:lineRule="auto"/>
              <w:ind w:firstLine="0" w:firstLineChars="0"/>
              <w:jc w:val="center"/>
              <w:textAlignment w:val="center"/>
              <w:rPr>
                <w:color w:val="auto"/>
                <w:sz w:val="21"/>
                <w:szCs w:val="21"/>
                <w:highlight w:val="none"/>
                <w:u w:val="single"/>
                <w:lang w:bidi="ar"/>
              </w:rPr>
            </w:pPr>
          </w:p>
        </w:tc>
      </w:tr>
      <w:tr w14:paraId="39264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vMerge w:val="continue"/>
            <w:tcBorders>
              <w:left w:val="nil"/>
            </w:tcBorders>
            <w:vAlign w:val="center"/>
          </w:tcPr>
          <w:p w14:paraId="39846FDF">
            <w:pPr>
              <w:widowControl/>
              <w:spacing w:line="240" w:lineRule="auto"/>
              <w:ind w:firstLine="0" w:firstLineChars="0"/>
              <w:jc w:val="center"/>
              <w:textAlignment w:val="center"/>
              <w:rPr>
                <w:color w:val="auto"/>
                <w:sz w:val="21"/>
                <w:szCs w:val="21"/>
                <w:highlight w:val="none"/>
                <w:u w:val="single"/>
                <w:lang w:bidi="ar"/>
              </w:rPr>
            </w:pPr>
          </w:p>
        </w:tc>
        <w:tc>
          <w:tcPr>
            <w:tcW w:w="1547" w:type="dxa"/>
            <w:vMerge w:val="continue"/>
            <w:vAlign w:val="center"/>
          </w:tcPr>
          <w:p w14:paraId="28C489FE">
            <w:pPr>
              <w:widowControl/>
              <w:spacing w:line="240" w:lineRule="auto"/>
              <w:ind w:firstLine="0" w:firstLineChars="0"/>
              <w:jc w:val="center"/>
              <w:textAlignment w:val="center"/>
              <w:rPr>
                <w:color w:val="auto"/>
                <w:sz w:val="21"/>
                <w:szCs w:val="21"/>
                <w:highlight w:val="none"/>
                <w:u w:val="single"/>
                <w:lang w:bidi="ar"/>
              </w:rPr>
            </w:pPr>
          </w:p>
        </w:tc>
        <w:tc>
          <w:tcPr>
            <w:tcW w:w="1548" w:type="dxa"/>
            <w:vAlign w:val="center"/>
          </w:tcPr>
          <w:p w14:paraId="16EE8FCC">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其他</w:t>
            </w:r>
          </w:p>
        </w:tc>
        <w:tc>
          <w:tcPr>
            <w:tcW w:w="1548" w:type="dxa"/>
            <w:vAlign w:val="center"/>
          </w:tcPr>
          <w:p w14:paraId="590F3344">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≤450</w:t>
            </w:r>
          </w:p>
        </w:tc>
        <w:tc>
          <w:tcPr>
            <w:tcW w:w="1548" w:type="dxa"/>
            <w:vAlign w:val="center"/>
          </w:tcPr>
          <w:p w14:paraId="372E8D59">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159~380</w:t>
            </w:r>
          </w:p>
        </w:tc>
        <w:tc>
          <w:tcPr>
            <w:tcW w:w="1548" w:type="dxa"/>
            <w:vMerge w:val="continue"/>
            <w:tcBorders>
              <w:right w:val="nil"/>
            </w:tcBorders>
            <w:vAlign w:val="center"/>
          </w:tcPr>
          <w:p w14:paraId="0FF15A6A">
            <w:pPr>
              <w:widowControl/>
              <w:spacing w:line="240" w:lineRule="auto"/>
              <w:ind w:firstLine="0" w:firstLineChars="0"/>
              <w:jc w:val="center"/>
              <w:textAlignment w:val="center"/>
              <w:rPr>
                <w:color w:val="auto"/>
                <w:sz w:val="21"/>
                <w:szCs w:val="21"/>
                <w:highlight w:val="none"/>
                <w:u w:val="single"/>
                <w:lang w:bidi="ar"/>
              </w:rPr>
            </w:pPr>
          </w:p>
        </w:tc>
      </w:tr>
      <w:tr w14:paraId="63AF2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vMerge w:val="continue"/>
            <w:tcBorders>
              <w:left w:val="nil"/>
            </w:tcBorders>
            <w:vAlign w:val="center"/>
          </w:tcPr>
          <w:p w14:paraId="0CAA1FF7">
            <w:pPr>
              <w:widowControl/>
              <w:spacing w:line="240" w:lineRule="auto"/>
              <w:ind w:firstLine="0" w:firstLineChars="0"/>
              <w:jc w:val="center"/>
              <w:textAlignment w:val="center"/>
              <w:rPr>
                <w:color w:val="auto"/>
                <w:sz w:val="21"/>
                <w:szCs w:val="21"/>
                <w:highlight w:val="none"/>
                <w:u w:val="single"/>
                <w:lang w:bidi="ar"/>
              </w:rPr>
            </w:pPr>
          </w:p>
        </w:tc>
        <w:tc>
          <w:tcPr>
            <w:tcW w:w="3095" w:type="dxa"/>
            <w:gridSpan w:val="2"/>
            <w:vAlign w:val="center"/>
          </w:tcPr>
          <w:p w14:paraId="7598F183">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面漆</w:t>
            </w:r>
          </w:p>
        </w:tc>
        <w:tc>
          <w:tcPr>
            <w:tcW w:w="1548" w:type="dxa"/>
            <w:vAlign w:val="center"/>
          </w:tcPr>
          <w:p w14:paraId="077623EE">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≤450</w:t>
            </w:r>
          </w:p>
        </w:tc>
        <w:tc>
          <w:tcPr>
            <w:tcW w:w="1548" w:type="dxa"/>
            <w:vAlign w:val="center"/>
          </w:tcPr>
          <w:p w14:paraId="5A4D2652">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253~450</w:t>
            </w:r>
          </w:p>
        </w:tc>
        <w:tc>
          <w:tcPr>
            <w:tcW w:w="1548" w:type="dxa"/>
            <w:vMerge w:val="continue"/>
            <w:tcBorders>
              <w:right w:val="nil"/>
            </w:tcBorders>
            <w:vAlign w:val="center"/>
          </w:tcPr>
          <w:p w14:paraId="5CC3EEDB">
            <w:pPr>
              <w:widowControl/>
              <w:spacing w:line="240" w:lineRule="auto"/>
              <w:ind w:firstLine="0" w:firstLineChars="0"/>
              <w:jc w:val="center"/>
              <w:textAlignment w:val="center"/>
              <w:rPr>
                <w:color w:val="auto"/>
                <w:sz w:val="21"/>
                <w:szCs w:val="21"/>
                <w:highlight w:val="none"/>
                <w:u w:val="single"/>
                <w:lang w:bidi="ar"/>
              </w:rPr>
            </w:pPr>
          </w:p>
        </w:tc>
      </w:tr>
      <w:tr w14:paraId="0A5C8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47" w:type="dxa"/>
            <w:vMerge w:val="continue"/>
            <w:tcBorders>
              <w:left w:val="nil"/>
            </w:tcBorders>
            <w:vAlign w:val="center"/>
          </w:tcPr>
          <w:p w14:paraId="5102D354">
            <w:pPr>
              <w:widowControl/>
              <w:spacing w:line="240" w:lineRule="auto"/>
              <w:ind w:firstLine="0" w:firstLineChars="0"/>
              <w:jc w:val="center"/>
              <w:textAlignment w:val="center"/>
              <w:rPr>
                <w:color w:val="auto"/>
                <w:sz w:val="21"/>
                <w:szCs w:val="21"/>
                <w:highlight w:val="none"/>
                <w:u w:val="single"/>
                <w:lang w:bidi="ar"/>
              </w:rPr>
            </w:pPr>
          </w:p>
        </w:tc>
        <w:tc>
          <w:tcPr>
            <w:tcW w:w="3095" w:type="dxa"/>
            <w:gridSpan w:val="2"/>
            <w:vAlign w:val="center"/>
          </w:tcPr>
          <w:p w14:paraId="7472243D">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通用底漆/压载舱漆</w:t>
            </w:r>
          </w:p>
        </w:tc>
        <w:tc>
          <w:tcPr>
            <w:tcW w:w="1548" w:type="dxa"/>
            <w:vAlign w:val="center"/>
          </w:tcPr>
          <w:p w14:paraId="59E5397C">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≤350</w:t>
            </w:r>
          </w:p>
        </w:tc>
        <w:tc>
          <w:tcPr>
            <w:tcW w:w="1548" w:type="dxa"/>
            <w:vAlign w:val="center"/>
          </w:tcPr>
          <w:p w14:paraId="49DB37AB">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150~360</w:t>
            </w:r>
          </w:p>
        </w:tc>
        <w:tc>
          <w:tcPr>
            <w:tcW w:w="1548" w:type="dxa"/>
            <w:vMerge w:val="continue"/>
            <w:tcBorders>
              <w:right w:val="nil"/>
            </w:tcBorders>
            <w:vAlign w:val="center"/>
          </w:tcPr>
          <w:p w14:paraId="79F36AFE">
            <w:pPr>
              <w:widowControl/>
              <w:spacing w:line="240" w:lineRule="auto"/>
              <w:ind w:firstLine="0" w:firstLineChars="0"/>
              <w:jc w:val="center"/>
              <w:textAlignment w:val="center"/>
              <w:rPr>
                <w:color w:val="auto"/>
                <w:sz w:val="21"/>
                <w:szCs w:val="21"/>
                <w:highlight w:val="none"/>
                <w:u w:val="single"/>
                <w:lang w:bidi="ar"/>
              </w:rPr>
            </w:pPr>
          </w:p>
        </w:tc>
      </w:tr>
      <w:tr w14:paraId="512E4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vMerge w:val="continue"/>
            <w:tcBorders>
              <w:left w:val="nil"/>
            </w:tcBorders>
            <w:vAlign w:val="center"/>
          </w:tcPr>
          <w:p w14:paraId="1A49FCA4">
            <w:pPr>
              <w:widowControl/>
              <w:spacing w:line="240" w:lineRule="auto"/>
              <w:ind w:firstLine="0" w:firstLineChars="0"/>
              <w:jc w:val="center"/>
              <w:textAlignment w:val="center"/>
              <w:rPr>
                <w:color w:val="auto"/>
                <w:sz w:val="21"/>
                <w:szCs w:val="21"/>
                <w:highlight w:val="none"/>
                <w:u w:val="single"/>
                <w:lang w:bidi="ar"/>
              </w:rPr>
            </w:pPr>
          </w:p>
        </w:tc>
        <w:tc>
          <w:tcPr>
            <w:tcW w:w="1547" w:type="dxa"/>
            <w:vMerge w:val="restart"/>
            <w:vAlign w:val="center"/>
          </w:tcPr>
          <w:p w14:paraId="236DE94F">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防污漆</w:t>
            </w:r>
          </w:p>
        </w:tc>
        <w:tc>
          <w:tcPr>
            <w:tcW w:w="1548" w:type="dxa"/>
            <w:vAlign w:val="center"/>
          </w:tcPr>
          <w:p w14:paraId="4A9C4B59">
            <w:pPr>
              <w:widowControl/>
              <w:spacing w:line="240" w:lineRule="auto"/>
              <w:ind w:firstLine="0" w:firstLineChars="0"/>
              <w:jc w:val="center"/>
              <w:textAlignment w:val="center"/>
              <w:rPr>
                <w:color w:val="auto"/>
                <w:sz w:val="21"/>
                <w:szCs w:val="21"/>
                <w:highlight w:val="none"/>
                <w:u w:val="single"/>
                <w:lang w:bidi="ar"/>
              </w:rPr>
            </w:pPr>
            <w:r>
              <w:rPr>
                <w:color w:val="auto"/>
                <w:sz w:val="21"/>
                <w:szCs w:val="21"/>
                <w:highlight w:val="none"/>
                <w:u w:val="single"/>
                <w:lang w:bidi="ar"/>
              </w:rPr>
              <w:t>I</w:t>
            </w:r>
            <w:r>
              <w:rPr>
                <w:rFonts w:hint="eastAsia"/>
                <w:color w:val="auto"/>
                <w:sz w:val="21"/>
                <w:szCs w:val="21"/>
                <w:highlight w:val="none"/>
                <w:u w:val="single"/>
                <w:lang w:bidi="ar"/>
              </w:rPr>
              <w:t>型和</w:t>
            </w:r>
            <w:r>
              <w:rPr>
                <w:rFonts w:hint="eastAsia" w:ascii="宋体" w:hAnsi="宋体" w:cs="宋体"/>
                <w:color w:val="auto"/>
                <w:sz w:val="21"/>
                <w:szCs w:val="21"/>
                <w:highlight w:val="none"/>
                <w:u w:val="single"/>
                <w:lang w:bidi="ar"/>
              </w:rPr>
              <w:t>Ⅱ</w:t>
            </w:r>
            <w:r>
              <w:rPr>
                <w:rFonts w:hint="eastAsia"/>
                <w:color w:val="auto"/>
                <w:sz w:val="21"/>
                <w:szCs w:val="21"/>
                <w:highlight w:val="none"/>
                <w:u w:val="single"/>
                <w:lang w:bidi="ar"/>
              </w:rPr>
              <w:t>型</w:t>
            </w:r>
          </w:p>
        </w:tc>
        <w:tc>
          <w:tcPr>
            <w:tcW w:w="1548" w:type="dxa"/>
            <w:vAlign w:val="center"/>
          </w:tcPr>
          <w:p w14:paraId="69037264">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≤450</w:t>
            </w:r>
          </w:p>
        </w:tc>
        <w:tc>
          <w:tcPr>
            <w:tcW w:w="1548" w:type="dxa"/>
            <w:vAlign w:val="center"/>
          </w:tcPr>
          <w:p w14:paraId="44485718">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253~348</w:t>
            </w:r>
          </w:p>
        </w:tc>
        <w:tc>
          <w:tcPr>
            <w:tcW w:w="1548" w:type="dxa"/>
            <w:vMerge w:val="continue"/>
            <w:tcBorders>
              <w:right w:val="nil"/>
            </w:tcBorders>
            <w:vAlign w:val="center"/>
          </w:tcPr>
          <w:p w14:paraId="26421BB9">
            <w:pPr>
              <w:widowControl/>
              <w:spacing w:line="240" w:lineRule="auto"/>
              <w:ind w:firstLine="0" w:firstLineChars="0"/>
              <w:jc w:val="center"/>
              <w:textAlignment w:val="center"/>
              <w:rPr>
                <w:color w:val="auto"/>
                <w:sz w:val="21"/>
                <w:szCs w:val="21"/>
                <w:highlight w:val="none"/>
                <w:u w:val="single"/>
                <w:lang w:bidi="ar"/>
              </w:rPr>
            </w:pPr>
          </w:p>
        </w:tc>
      </w:tr>
      <w:tr w14:paraId="78C2D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vMerge w:val="continue"/>
            <w:tcBorders>
              <w:left w:val="nil"/>
            </w:tcBorders>
            <w:vAlign w:val="center"/>
          </w:tcPr>
          <w:p w14:paraId="7660F27C">
            <w:pPr>
              <w:widowControl/>
              <w:spacing w:line="240" w:lineRule="auto"/>
              <w:ind w:firstLine="0" w:firstLineChars="0"/>
              <w:jc w:val="center"/>
              <w:textAlignment w:val="center"/>
              <w:rPr>
                <w:color w:val="auto"/>
                <w:sz w:val="21"/>
                <w:szCs w:val="21"/>
                <w:highlight w:val="none"/>
                <w:u w:val="single"/>
                <w:lang w:bidi="ar"/>
              </w:rPr>
            </w:pPr>
          </w:p>
        </w:tc>
        <w:tc>
          <w:tcPr>
            <w:tcW w:w="1547" w:type="dxa"/>
            <w:vMerge w:val="continue"/>
            <w:vAlign w:val="center"/>
          </w:tcPr>
          <w:p w14:paraId="00436DB8">
            <w:pPr>
              <w:widowControl/>
              <w:spacing w:line="240" w:lineRule="auto"/>
              <w:ind w:firstLine="0" w:firstLineChars="0"/>
              <w:jc w:val="center"/>
              <w:textAlignment w:val="center"/>
              <w:rPr>
                <w:color w:val="auto"/>
                <w:sz w:val="21"/>
                <w:szCs w:val="21"/>
                <w:highlight w:val="none"/>
                <w:u w:val="single"/>
                <w:lang w:bidi="ar"/>
              </w:rPr>
            </w:pPr>
          </w:p>
        </w:tc>
        <w:tc>
          <w:tcPr>
            <w:tcW w:w="1548" w:type="dxa"/>
            <w:vAlign w:val="center"/>
          </w:tcPr>
          <w:p w14:paraId="35D4EA43">
            <w:pPr>
              <w:widowControl/>
              <w:spacing w:line="240" w:lineRule="auto"/>
              <w:ind w:firstLine="0" w:firstLineChars="0"/>
              <w:jc w:val="center"/>
              <w:textAlignment w:val="center"/>
              <w:rPr>
                <w:color w:val="auto"/>
                <w:sz w:val="21"/>
                <w:szCs w:val="21"/>
                <w:highlight w:val="none"/>
                <w:u w:val="single"/>
                <w:lang w:bidi="ar"/>
              </w:rPr>
            </w:pPr>
            <w:r>
              <w:rPr>
                <w:rFonts w:hint="eastAsia" w:ascii="宋体" w:hAnsi="宋体" w:cs="宋体"/>
                <w:color w:val="auto"/>
                <w:sz w:val="21"/>
                <w:szCs w:val="21"/>
                <w:highlight w:val="none"/>
                <w:u w:val="single"/>
                <w:lang w:bidi="ar"/>
              </w:rPr>
              <w:t>Ⅲ</w:t>
            </w:r>
            <w:r>
              <w:rPr>
                <w:rFonts w:hint="eastAsia"/>
                <w:color w:val="auto"/>
                <w:sz w:val="21"/>
                <w:szCs w:val="21"/>
                <w:highlight w:val="none"/>
                <w:u w:val="single"/>
                <w:lang w:bidi="ar"/>
              </w:rPr>
              <w:t>型</w:t>
            </w:r>
          </w:p>
        </w:tc>
        <w:tc>
          <w:tcPr>
            <w:tcW w:w="1548" w:type="dxa"/>
            <w:vAlign w:val="center"/>
          </w:tcPr>
          <w:p w14:paraId="442BCB95">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≤400</w:t>
            </w:r>
          </w:p>
        </w:tc>
        <w:tc>
          <w:tcPr>
            <w:tcW w:w="1548" w:type="dxa"/>
            <w:vAlign w:val="center"/>
          </w:tcPr>
          <w:p w14:paraId="5F2DE0AE">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w:t>
            </w:r>
          </w:p>
        </w:tc>
        <w:tc>
          <w:tcPr>
            <w:tcW w:w="1548" w:type="dxa"/>
            <w:vMerge w:val="continue"/>
            <w:tcBorders>
              <w:right w:val="nil"/>
            </w:tcBorders>
            <w:vAlign w:val="center"/>
          </w:tcPr>
          <w:p w14:paraId="7E114CF9">
            <w:pPr>
              <w:widowControl/>
              <w:spacing w:line="240" w:lineRule="auto"/>
              <w:ind w:firstLine="0" w:firstLineChars="0"/>
              <w:jc w:val="center"/>
              <w:textAlignment w:val="center"/>
              <w:rPr>
                <w:color w:val="auto"/>
                <w:sz w:val="21"/>
                <w:szCs w:val="21"/>
                <w:highlight w:val="none"/>
                <w:u w:val="single"/>
                <w:lang w:bidi="ar"/>
              </w:rPr>
            </w:pPr>
          </w:p>
        </w:tc>
      </w:tr>
      <w:tr w14:paraId="2799E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vMerge w:val="continue"/>
            <w:tcBorders>
              <w:left w:val="nil"/>
              <w:bottom w:val="single" w:color="auto" w:sz="12" w:space="0"/>
            </w:tcBorders>
            <w:vAlign w:val="center"/>
          </w:tcPr>
          <w:p w14:paraId="66B93B43">
            <w:pPr>
              <w:widowControl/>
              <w:spacing w:line="240" w:lineRule="auto"/>
              <w:ind w:firstLine="0" w:firstLineChars="0"/>
              <w:jc w:val="center"/>
              <w:textAlignment w:val="center"/>
              <w:rPr>
                <w:color w:val="auto"/>
                <w:sz w:val="21"/>
                <w:szCs w:val="21"/>
                <w:highlight w:val="none"/>
                <w:u w:val="single"/>
                <w:lang w:bidi="ar"/>
              </w:rPr>
            </w:pPr>
          </w:p>
        </w:tc>
        <w:tc>
          <w:tcPr>
            <w:tcW w:w="3095" w:type="dxa"/>
            <w:gridSpan w:val="2"/>
            <w:tcBorders>
              <w:bottom w:val="single" w:color="auto" w:sz="12" w:space="0"/>
            </w:tcBorders>
            <w:vAlign w:val="center"/>
          </w:tcPr>
          <w:p w14:paraId="6B237498">
            <w:pPr>
              <w:widowControl/>
              <w:spacing w:line="240" w:lineRule="auto"/>
              <w:ind w:firstLine="0" w:firstLineChars="0"/>
              <w:jc w:val="center"/>
              <w:textAlignment w:val="center"/>
              <w:rPr>
                <w:rFonts w:hint="eastAsia" w:ascii="宋体" w:hAnsi="宋体" w:cs="宋体"/>
                <w:color w:val="auto"/>
                <w:sz w:val="21"/>
                <w:szCs w:val="21"/>
                <w:highlight w:val="none"/>
                <w:u w:val="single"/>
                <w:lang w:bidi="ar"/>
              </w:rPr>
            </w:pPr>
            <w:r>
              <w:rPr>
                <w:rFonts w:hint="eastAsia"/>
                <w:color w:val="auto"/>
                <w:sz w:val="21"/>
                <w:szCs w:val="21"/>
                <w:highlight w:val="none"/>
                <w:u w:val="single"/>
                <w:lang w:bidi="ar"/>
              </w:rPr>
              <w:t>特种涂料（耐高温漆、耐化学品漆等）</w:t>
            </w:r>
          </w:p>
        </w:tc>
        <w:tc>
          <w:tcPr>
            <w:tcW w:w="1548" w:type="dxa"/>
            <w:tcBorders>
              <w:bottom w:val="single" w:color="auto" w:sz="12" w:space="0"/>
            </w:tcBorders>
            <w:vAlign w:val="center"/>
          </w:tcPr>
          <w:p w14:paraId="4A3CE3B4">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≤500</w:t>
            </w:r>
          </w:p>
        </w:tc>
        <w:tc>
          <w:tcPr>
            <w:tcW w:w="1548" w:type="dxa"/>
            <w:tcBorders>
              <w:bottom w:val="single" w:color="auto" w:sz="12" w:space="0"/>
            </w:tcBorders>
            <w:vAlign w:val="center"/>
          </w:tcPr>
          <w:p w14:paraId="1CF84D3B">
            <w:pPr>
              <w:widowControl/>
              <w:spacing w:line="240" w:lineRule="auto"/>
              <w:ind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＜500</w:t>
            </w:r>
          </w:p>
        </w:tc>
        <w:tc>
          <w:tcPr>
            <w:tcW w:w="1548" w:type="dxa"/>
            <w:vMerge w:val="continue"/>
            <w:tcBorders>
              <w:bottom w:val="single" w:color="auto" w:sz="12" w:space="0"/>
              <w:right w:val="nil"/>
            </w:tcBorders>
            <w:vAlign w:val="center"/>
          </w:tcPr>
          <w:p w14:paraId="7CB785EE">
            <w:pPr>
              <w:widowControl/>
              <w:spacing w:line="240" w:lineRule="auto"/>
              <w:ind w:firstLine="0" w:firstLineChars="0"/>
              <w:jc w:val="center"/>
              <w:textAlignment w:val="center"/>
              <w:rPr>
                <w:color w:val="auto"/>
                <w:sz w:val="21"/>
                <w:szCs w:val="21"/>
                <w:highlight w:val="none"/>
                <w:u w:val="single"/>
                <w:lang w:bidi="ar"/>
              </w:rPr>
            </w:pPr>
          </w:p>
        </w:tc>
      </w:tr>
    </w:tbl>
    <w:p w14:paraId="57924EF0">
      <w:pPr>
        <w:pStyle w:val="39"/>
        <w:ind w:left="480" w:firstLine="480"/>
        <w:rPr>
          <w:color w:val="auto"/>
          <w:highlight w:val="none"/>
        </w:rPr>
      </w:pPr>
    </w:p>
    <w:p w14:paraId="22EB2C80">
      <w:pPr>
        <w:pStyle w:val="7"/>
        <w:numPr>
          <w:ilvl w:val="2"/>
          <w:numId w:val="9"/>
        </w:numPr>
        <w:rPr>
          <w:color w:val="auto"/>
          <w:sz w:val="28"/>
          <w:highlight w:val="none"/>
        </w:rPr>
      </w:pPr>
      <w:r>
        <w:rPr>
          <w:color w:val="auto"/>
          <w:sz w:val="28"/>
          <w:highlight w:val="none"/>
        </w:rPr>
        <w:t>总平面布置方案</w:t>
      </w:r>
    </w:p>
    <w:p w14:paraId="3316DFC6">
      <w:pPr>
        <w:ind w:firstLine="480"/>
        <w:rPr>
          <w:color w:val="auto"/>
          <w:highlight w:val="none"/>
        </w:rPr>
      </w:pPr>
      <w:r>
        <w:rPr>
          <w:color w:val="auto"/>
          <w:highlight w:val="none"/>
        </w:rPr>
        <w:t>钦州基地位于钦州港大榄坪港区三墩作业区，该选址西邻10万吨级航道</w:t>
      </w:r>
      <w:r>
        <w:rPr>
          <w:rFonts w:hint="eastAsia"/>
          <w:color w:val="auto"/>
          <w:highlight w:val="none"/>
        </w:rPr>
        <w:t>、</w:t>
      </w:r>
      <w:r>
        <w:rPr>
          <w:color w:val="auto"/>
          <w:highlight w:val="none"/>
        </w:rPr>
        <w:t>30万吨级航道，东邻三墩公路。基地岸线长度3500米，陆域纵深684～1200m。该场地用地为长415米，宽1421米的长方形，本次</w:t>
      </w:r>
      <w:r>
        <w:rPr>
          <w:rFonts w:hint="eastAsia"/>
          <w:color w:val="auto"/>
          <w:highlight w:val="none"/>
        </w:rPr>
        <w:t>建设的</w:t>
      </w:r>
      <w:r>
        <w:rPr>
          <w:color w:val="auto"/>
          <w:highlight w:val="none"/>
        </w:rPr>
        <w:t>10万吨级浮船坞在此地块西部北外侧海域实施，靠近已建5#码头。</w:t>
      </w:r>
    </w:p>
    <w:p w14:paraId="0F938E64">
      <w:pPr>
        <w:ind w:firstLine="480"/>
        <w:rPr>
          <w:color w:val="auto"/>
          <w:highlight w:val="none"/>
        </w:rPr>
      </w:pPr>
      <w:r>
        <w:rPr>
          <w:color w:val="auto"/>
          <w:highlight w:val="none"/>
        </w:rPr>
        <w:t>本次</w:t>
      </w:r>
      <w:r>
        <w:rPr>
          <w:rFonts w:hint="eastAsia"/>
          <w:color w:val="auto"/>
          <w:highlight w:val="none"/>
        </w:rPr>
        <w:t>建设的</w:t>
      </w:r>
      <w:r>
        <w:rPr>
          <w:color w:val="auto"/>
          <w:highlight w:val="none"/>
        </w:rPr>
        <w:t>10万吨级浮船坞总长265m，宽55m</w:t>
      </w:r>
      <w:r>
        <w:rPr>
          <w:rFonts w:hint="eastAsia"/>
          <w:color w:val="auto"/>
          <w:highlight w:val="none"/>
        </w:rPr>
        <w:t>；</w:t>
      </w:r>
      <w:r>
        <w:rPr>
          <w:color w:val="auto"/>
          <w:highlight w:val="none"/>
        </w:rPr>
        <w:t>并在已建</w:t>
      </w:r>
      <w:r>
        <w:rPr>
          <w:rFonts w:hint="eastAsia"/>
          <w:color w:val="auto"/>
          <w:highlight w:val="none"/>
        </w:rPr>
        <w:t>的</w:t>
      </w:r>
      <w:r>
        <w:rPr>
          <w:color w:val="auto"/>
          <w:highlight w:val="none"/>
        </w:rPr>
        <w:t>5#码头处</w:t>
      </w:r>
      <w:r>
        <w:rPr>
          <w:rFonts w:hint="eastAsia"/>
          <w:color w:val="auto"/>
          <w:highlight w:val="none"/>
        </w:rPr>
        <w:t>扩建</w:t>
      </w:r>
      <w:r>
        <w:rPr>
          <w:color w:val="auto"/>
          <w:highlight w:val="none"/>
        </w:rPr>
        <w:t>一座6070门座机</w:t>
      </w:r>
      <w:r>
        <w:rPr>
          <w:rFonts w:hint="eastAsia"/>
          <w:color w:val="auto"/>
          <w:highlight w:val="none"/>
        </w:rPr>
        <w:t>，并对东北侧现有空地进行硬化改造，作为本次浮船坞组装场地</w:t>
      </w:r>
      <w:r>
        <w:rPr>
          <w:color w:val="auto"/>
          <w:highlight w:val="none"/>
        </w:rPr>
        <w:t>。</w:t>
      </w:r>
    </w:p>
    <w:p w14:paraId="2ACA558A">
      <w:pPr>
        <w:pStyle w:val="7"/>
        <w:numPr>
          <w:ilvl w:val="2"/>
          <w:numId w:val="9"/>
        </w:numPr>
        <w:rPr>
          <w:color w:val="auto"/>
          <w:sz w:val="28"/>
          <w:highlight w:val="none"/>
        </w:rPr>
      </w:pPr>
      <w:r>
        <w:rPr>
          <w:color w:val="auto"/>
          <w:sz w:val="28"/>
          <w:highlight w:val="none"/>
        </w:rPr>
        <w:t>水工结构设计</w:t>
      </w:r>
    </w:p>
    <w:p w14:paraId="2F40665A">
      <w:pPr>
        <w:ind w:firstLine="482"/>
        <w:rPr>
          <w:b/>
          <w:bCs/>
          <w:color w:val="auto"/>
          <w:highlight w:val="none"/>
        </w:rPr>
      </w:pPr>
      <w:r>
        <w:rPr>
          <w:b/>
          <w:bCs/>
          <w:color w:val="auto"/>
          <w:highlight w:val="none"/>
        </w:rPr>
        <w:t>（1）锚块</w:t>
      </w:r>
    </w:p>
    <w:p w14:paraId="54A34EA8">
      <w:pPr>
        <w:ind w:firstLine="480"/>
        <w:rPr>
          <w:color w:val="auto"/>
          <w:highlight w:val="none"/>
        </w:rPr>
      </w:pPr>
      <w:r>
        <w:rPr>
          <w:color w:val="auto"/>
          <w:highlight w:val="none"/>
        </w:rPr>
        <w:t>根据目前浮坞尺度，暂预计新增浮坞锚块5座，原浮船配备拉锚基础10座继续沿用。新增锚块采用钢筋混凝土无底方块，方块采用类似无底沉箱的结构。外壁厚500mm，内设格仓，格仓中根据配重需要填充填料，安装拉锚埋件部位采用混凝土墩体形式填实；拉锚基础下设0.5m厚二片石基床整平，每个拉锚基础方块上设置吊装孔。拉锚基础上回填厚度4~5m块石。锚块整体预制后，水上吊装安置于基床上。</w:t>
      </w:r>
    </w:p>
    <w:p w14:paraId="180D5335">
      <w:pPr>
        <w:pStyle w:val="38"/>
        <w:spacing w:after="0" w:line="240" w:lineRule="auto"/>
        <w:ind w:firstLine="0" w:firstLineChars="0"/>
        <w:jc w:val="center"/>
        <w:rPr>
          <w:b/>
          <w:color w:val="auto"/>
          <w:sz w:val="21"/>
          <w:szCs w:val="21"/>
          <w:highlight w:val="none"/>
        </w:rPr>
      </w:pPr>
      <w:r>
        <w:rPr>
          <w:b/>
          <w:color w:val="auto"/>
          <w:sz w:val="21"/>
          <w:szCs w:val="21"/>
          <w:highlight w:val="none"/>
        </w:rPr>
        <w:drawing>
          <wp:inline distT="0" distB="0" distL="0" distR="0">
            <wp:extent cx="5098415" cy="2089785"/>
            <wp:effectExtent l="9525" t="9525" r="16510" b="1524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5098415" cy="2089785"/>
                    </a:xfrm>
                    <a:prstGeom prst="rect">
                      <a:avLst/>
                    </a:prstGeom>
                    <a:noFill/>
                    <a:ln>
                      <a:solidFill>
                        <a:schemeClr val="tx1"/>
                      </a:solidFill>
                    </a:ln>
                  </pic:spPr>
                </pic:pic>
              </a:graphicData>
            </a:graphic>
          </wp:inline>
        </w:drawing>
      </w:r>
    </w:p>
    <w:p w14:paraId="523DD95E">
      <w:pPr>
        <w:pStyle w:val="38"/>
        <w:spacing w:after="0" w:line="240" w:lineRule="auto"/>
        <w:ind w:firstLine="0" w:firstLineChars="0"/>
        <w:jc w:val="center"/>
        <w:rPr>
          <w:b/>
          <w:color w:val="auto"/>
          <w:sz w:val="21"/>
          <w:szCs w:val="21"/>
          <w:highlight w:val="none"/>
        </w:rPr>
      </w:pPr>
      <w:r>
        <w:rPr>
          <w:b/>
          <w:color w:val="auto"/>
          <w:sz w:val="21"/>
          <w:szCs w:val="21"/>
          <w:highlight w:val="none"/>
        </w:rPr>
        <w:t>图2.2-3锚块结构示意图</w:t>
      </w:r>
    </w:p>
    <w:p w14:paraId="29C8BF12">
      <w:pPr>
        <w:ind w:firstLine="482"/>
        <w:rPr>
          <w:b/>
          <w:bCs/>
          <w:color w:val="auto"/>
          <w:highlight w:val="none"/>
        </w:rPr>
      </w:pPr>
      <w:r>
        <w:rPr>
          <w:b/>
          <w:bCs/>
          <w:color w:val="auto"/>
          <w:highlight w:val="none"/>
        </w:rPr>
        <w:t>（2）坞坑</w:t>
      </w:r>
    </w:p>
    <w:p w14:paraId="1556D9CD">
      <w:pPr>
        <w:ind w:firstLine="480"/>
        <w:rPr>
          <w:color w:val="auto"/>
          <w:highlight w:val="none"/>
        </w:rPr>
      </w:pPr>
      <w:r>
        <w:rPr>
          <w:rFonts w:hint="eastAsia"/>
          <w:color w:val="auto"/>
          <w:highlight w:val="none"/>
        </w:rPr>
        <w:t>原坞坑</w:t>
      </w:r>
      <w:r>
        <w:rPr>
          <w:color w:val="auto"/>
          <w:highlight w:val="none"/>
        </w:rPr>
        <w:t>坑底尺寸</w:t>
      </w:r>
      <w:r>
        <w:rPr>
          <w:rFonts w:hint="eastAsia"/>
          <w:color w:val="auto"/>
          <w:highlight w:val="none"/>
          <w:lang w:eastAsia="zh-CN"/>
        </w:rPr>
        <w:t>为</w:t>
      </w:r>
      <w:r>
        <w:rPr>
          <w:color w:val="auto"/>
          <w:highlight w:val="none"/>
        </w:rPr>
        <w:t>285m</w:t>
      </w:r>
      <w:r>
        <w:rPr>
          <w:rFonts w:ascii="Arial" w:hAnsi="Arial" w:cs="Arial"/>
          <w:color w:val="auto"/>
          <w:highlight w:val="none"/>
        </w:rPr>
        <w:t>×</w:t>
      </w:r>
      <w:r>
        <w:rPr>
          <w:color w:val="auto"/>
          <w:highlight w:val="none"/>
        </w:rPr>
        <w:t>75m，坞坑底标高-13.1。</w:t>
      </w:r>
      <w:r>
        <w:rPr>
          <w:rFonts w:hint="eastAsia"/>
          <w:color w:val="auto"/>
          <w:highlight w:val="none"/>
        </w:rPr>
        <w:t>满足本次浮船坞存放需要。项目依托现有坞坑进行存放，不需对坞坑进行改建。</w:t>
      </w:r>
    </w:p>
    <w:p w14:paraId="3FEE5328">
      <w:pPr>
        <w:pStyle w:val="7"/>
        <w:numPr>
          <w:ilvl w:val="2"/>
          <w:numId w:val="9"/>
        </w:numPr>
        <w:rPr>
          <w:color w:val="auto"/>
          <w:sz w:val="28"/>
          <w:highlight w:val="none"/>
        </w:rPr>
      </w:pPr>
      <w:r>
        <w:rPr>
          <w:color w:val="auto"/>
          <w:sz w:val="28"/>
          <w:highlight w:val="none"/>
        </w:rPr>
        <w:t>配套工程</w:t>
      </w:r>
    </w:p>
    <w:p w14:paraId="34F8FC86">
      <w:pPr>
        <w:pStyle w:val="533"/>
        <w:numPr>
          <w:ilvl w:val="3"/>
          <w:numId w:val="9"/>
        </w:numPr>
        <w:rPr>
          <w:color w:val="auto"/>
          <w:szCs w:val="24"/>
          <w:highlight w:val="none"/>
        </w:rPr>
      </w:pPr>
      <w:r>
        <w:rPr>
          <w:color w:val="auto"/>
          <w:szCs w:val="24"/>
          <w:highlight w:val="none"/>
        </w:rPr>
        <w:t>给水工程</w:t>
      </w:r>
    </w:p>
    <w:p w14:paraId="4EFC7619">
      <w:pPr>
        <w:ind w:firstLine="480"/>
        <w:rPr>
          <w:color w:val="auto"/>
          <w:highlight w:val="none"/>
        </w:rPr>
      </w:pPr>
      <w:r>
        <w:rPr>
          <w:color w:val="auto"/>
          <w:highlight w:val="none"/>
        </w:rPr>
        <w:t>厂区水源为市政自来水，目前从市政管网接出1路DN400支管，接入口压力P&gt;=0.30MPa，在接入口设置1座DN300水表，表后接驳DN300给水管并在厂区呈DN300—DN150环状布置，供应厂区生活、生产用水。</w:t>
      </w:r>
    </w:p>
    <w:p w14:paraId="464B799E">
      <w:pPr>
        <w:ind w:firstLine="480"/>
        <w:rPr>
          <w:color w:val="auto"/>
          <w:highlight w:val="none"/>
        </w:rPr>
      </w:pPr>
      <w:r>
        <w:rPr>
          <w:color w:val="auto"/>
          <w:highlight w:val="none"/>
        </w:rPr>
        <w:t>此次</w:t>
      </w:r>
      <w:r>
        <w:rPr>
          <w:rFonts w:hint="eastAsia"/>
          <w:color w:val="auto"/>
          <w:highlight w:val="none"/>
        </w:rPr>
        <w:t>建设的</w:t>
      </w:r>
      <w:r>
        <w:rPr>
          <w:color w:val="auto"/>
          <w:highlight w:val="none"/>
        </w:rPr>
        <w:t>10万吨级浮船是用于替换原有浮船坞，原浮船坞最大小时淡水用水量为150m</w:t>
      </w:r>
      <w:r>
        <w:rPr>
          <w:color w:val="auto"/>
          <w:highlight w:val="none"/>
          <w:vertAlign w:val="superscript"/>
        </w:rPr>
        <w:t>3</w:t>
      </w:r>
      <w:r>
        <w:rPr>
          <w:color w:val="auto"/>
          <w:highlight w:val="none"/>
        </w:rPr>
        <w:t>/h，故现有浮船坞供水管道及接口能够满足</w:t>
      </w:r>
      <w:r>
        <w:rPr>
          <w:rFonts w:hint="eastAsia"/>
          <w:color w:val="auto"/>
          <w:highlight w:val="none"/>
        </w:rPr>
        <w:t>本次建设的</w:t>
      </w:r>
      <w:r>
        <w:rPr>
          <w:color w:val="auto"/>
          <w:highlight w:val="none"/>
        </w:rPr>
        <w:t>浮船坞的用水需求</w:t>
      </w:r>
      <w:r>
        <w:rPr>
          <w:color w:val="auto"/>
          <w:szCs w:val="28"/>
          <w:highlight w:val="none"/>
        </w:rPr>
        <w:t>，无需改造</w:t>
      </w:r>
      <w:r>
        <w:rPr>
          <w:color w:val="auto"/>
          <w:highlight w:val="none"/>
        </w:rPr>
        <w:t>。</w:t>
      </w:r>
    </w:p>
    <w:p w14:paraId="588588C0">
      <w:pPr>
        <w:pStyle w:val="533"/>
        <w:numPr>
          <w:ilvl w:val="3"/>
          <w:numId w:val="9"/>
        </w:numPr>
        <w:rPr>
          <w:color w:val="auto"/>
          <w:szCs w:val="24"/>
          <w:highlight w:val="none"/>
        </w:rPr>
      </w:pPr>
      <w:r>
        <w:rPr>
          <w:color w:val="auto"/>
          <w:szCs w:val="24"/>
          <w:highlight w:val="none"/>
        </w:rPr>
        <w:t>海水系统</w:t>
      </w:r>
    </w:p>
    <w:p w14:paraId="15DC0C3D">
      <w:pPr>
        <w:ind w:firstLine="480"/>
        <w:rPr>
          <w:color w:val="auto"/>
          <w:highlight w:val="none"/>
        </w:rPr>
      </w:pPr>
      <w:r>
        <w:rPr>
          <w:color w:val="auto"/>
          <w:highlight w:val="none"/>
        </w:rPr>
        <w:t>厂区海水系统由浮船坞锚泊设施的趸船内的海水泵组供水，供水能力为400m</w:t>
      </w:r>
      <w:r>
        <w:rPr>
          <w:color w:val="auto"/>
          <w:highlight w:val="none"/>
          <w:vertAlign w:val="superscript"/>
        </w:rPr>
        <w:t>3</w:t>
      </w:r>
      <w:r>
        <w:rPr>
          <w:color w:val="auto"/>
          <w:highlight w:val="none"/>
        </w:rPr>
        <w:t>/h，出水口压力P&gt;=0.50MPa。水泵出水管为1路DN300总管，沿引桥接入厂区并呈DN300支状布置。</w:t>
      </w:r>
    </w:p>
    <w:p w14:paraId="35CE3583">
      <w:pPr>
        <w:pStyle w:val="533"/>
        <w:numPr>
          <w:ilvl w:val="3"/>
          <w:numId w:val="9"/>
        </w:numPr>
        <w:rPr>
          <w:color w:val="auto"/>
          <w:szCs w:val="24"/>
          <w:highlight w:val="none"/>
          <w:u w:val="single"/>
        </w:rPr>
      </w:pPr>
      <w:r>
        <w:rPr>
          <w:color w:val="auto"/>
          <w:szCs w:val="24"/>
          <w:highlight w:val="none"/>
          <w:u w:val="single"/>
        </w:rPr>
        <w:t>排水工程</w:t>
      </w:r>
    </w:p>
    <w:p w14:paraId="42E7A2A7">
      <w:pPr>
        <w:ind w:firstLine="480"/>
        <w:rPr>
          <w:color w:val="auto"/>
          <w:highlight w:val="none"/>
          <w:u w:val="single"/>
        </w:rPr>
      </w:pPr>
      <w:r>
        <w:rPr>
          <w:color w:val="auto"/>
          <w:highlight w:val="none"/>
          <w:u w:val="single"/>
        </w:rPr>
        <w:t>厂区</w:t>
      </w:r>
      <w:r>
        <w:rPr>
          <w:rFonts w:hint="eastAsia"/>
          <w:color w:val="auto"/>
          <w:highlight w:val="none"/>
          <w:u w:val="single"/>
          <w:lang w:eastAsia="zh-CN"/>
        </w:rPr>
        <w:t>排水体制</w:t>
      </w:r>
      <w:r>
        <w:rPr>
          <w:color w:val="auto"/>
          <w:highlight w:val="none"/>
          <w:u w:val="single"/>
        </w:rPr>
        <w:t>为分流制。</w:t>
      </w:r>
    </w:p>
    <w:p w14:paraId="4B57C61F">
      <w:pPr>
        <w:ind w:firstLine="480"/>
        <w:rPr>
          <w:color w:val="auto"/>
          <w:highlight w:val="none"/>
          <w:u w:val="single"/>
        </w:rPr>
      </w:pPr>
      <w:r>
        <w:rPr>
          <w:color w:val="auto"/>
          <w:highlight w:val="none"/>
          <w:u w:val="single"/>
        </w:rPr>
        <w:t>（1）污水</w:t>
      </w:r>
    </w:p>
    <w:p w14:paraId="01586ADB">
      <w:pPr>
        <w:ind w:firstLine="480"/>
        <w:rPr>
          <w:color w:val="auto"/>
          <w:highlight w:val="none"/>
          <w:u w:val="single"/>
        </w:rPr>
      </w:pPr>
      <w:r>
        <w:rPr>
          <w:color w:val="auto"/>
          <w:highlight w:val="none"/>
          <w:u w:val="single"/>
        </w:rPr>
        <w:t>厂区已建部分污水管网，浮船坞上含油废水通过罐车转运至基地陆域上污水处理站处理，处理达标后经污水管道进入生活污水处理设备配套的中水回用池内储存，大部分回用与厂区绿化或降尘，少部分不能回用的采用罐车拉至大榄坪污水处理厂处理。</w:t>
      </w:r>
      <w:r>
        <w:rPr>
          <w:rFonts w:hint="eastAsia"/>
          <w:color w:val="auto"/>
          <w:highlight w:val="none"/>
          <w:u w:val="single"/>
        </w:rPr>
        <w:t>项目依托现有工程职工，不新增生活污水，生活污水依托陆域生活污水处理系统处理。</w:t>
      </w:r>
    </w:p>
    <w:p w14:paraId="380813FF">
      <w:pPr>
        <w:ind w:firstLine="480"/>
        <w:rPr>
          <w:color w:val="auto"/>
          <w:highlight w:val="none"/>
          <w:u w:val="single"/>
        </w:rPr>
      </w:pPr>
      <w:r>
        <w:rPr>
          <w:color w:val="auto"/>
          <w:highlight w:val="none"/>
          <w:u w:val="single"/>
        </w:rPr>
        <w:t>（2）雨水</w:t>
      </w:r>
    </w:p>
    <w:p w14:paraId="28F3FF92">
      <w:pPr>
        <w:ind w:firstLine="480"/>
        <w:rPr>
          <w:color w:val="auto"/>
          <w:highlight w:val="none"/>
          <w:u w:val="single"/>
        </w:rPr>
      </w:pPr>
      <w:r>
        <w:rPr>
          <w:color w:val="auto"/>
          <w:highlight w:val="none"/>
          <w:u w:val="single"/>
        </w:rPr>
        <w:t>厂区已建部分雨水管网，目前基地共有4路DN1500总管排海。</w:t>
      </w:r>
    </w:p>
    <w:p w14:paraId="33A0527D">
      <w:pPr>
        <w:ind w:firstLine="480"/>
        <w:rPr>
          <w:color w:val="auto"/>
          <w:highlight w:val="none"/>
          <w:u w:val="single"/>
        </w:rPr>
      </w:pPr>
      <w:r>
        <w:rPr>
          <w:color w:val="auto"/>
          <w:highlight w:val="none"/>
          <w:u w:val="single"/>
        </w:rPr>
        <w:t>①浮船坞上配套一座初期雨水收集池，初期雨水经收集后，采用罐车转运至基地陆域上生活污水处理设备处理，处理后进入配套的中水回用池内储存，大部分回用与厂区绿化或降尘，少部分不能回用的采用罐车拉至大榄坪污水处理厂</w:t>
      </w:r>
      <w:r>
        <w:rPr>
          <w:rFonts w:hint="eastAsia"/>
          <w:color w:val="auto"/>
          <w:highlight w:val="none"/>
          <w:u w:val="single"/>
        </w:rPr>
        <w:t>处理</w:t>
      </w:r>
      <w:r>
        <w:rPr>
          <w:color w:val="auto"/>
          <w:highlight w:val="none"/>
          <w:u w:val="single"/>
        </w:rPr>
        <w:t>。</w:t>
      </w:r>
      <w:r>
        <w:rPr>
          <w:rFonts w:hint="eastAsia"/>
          <w:color w:val="auto"/>
          <w:highlight w:val="none"/>
          <w:u w:val="single"/>
        </w:rPr>
        <w:t>浮船坞初期雨水池主要收集浮船坞露天甲板上喷漆、焊接、除锈等加工区域的初期雨水。</w:t>
      </w:r>
    </w:p>
    <w:p w14:paraId="28896612">
      <w:pPr>
        <w:ind w:firstLine="480"/>
        <w:rPr>
          <w:color w:val="auto"/>
          <w:highlight w:val="none"/>
          <w:u w:val="single"/>
        </w:rPr>
      </w:pPr>
      <w:r>
        <w:rPr>
          <w:rFonts w:hint="eastAsia" w:ascii="宋体" w:hAnsi="宋体" w:cs="宋体"/>
          <w:color w:val="auto"/>
          <w:highlight w:val="none"/>
          <w:u w:val="single"/>
        </w:rPr>
        <w:t>②</w:t>
      </w:r>
      <w:r>
        <w:rPr>
          <w:rFonts w:hint="eastAsia"/>
          <w:color w:val="auto"/>
          <w:highlight w:val="none"/>
          <w:u w:val="single"/>
        </w:rPr>
        <w:t>浮船坞配套建造场地内初期雨水直接通过基地上已有雨水管网进入雨水排放系统，通过驳岸处的初期雨水排放口进行排放。</w:t>
      </w:r>
    </w:p>
    <w:p w14:paraId="3A1D8027">
      <w:pPr>
        <w:pStyle w:val="533"/>
        <w:numPr>
          <w:ilvl w:val="3"/>
          <w:numId w:val="9"/>
        </w:numPr>
        <w:rPr>
          <w:color w:val="auto"/>
          <w:szCs w:val="24"/>
          <w:highlight w:val="none"/>
        </w:rPr>
      </w:pPr>
      <w:r>
        <w:rPr>
          <w:color w:val="auto"/>
          <w:szCs w:val="24"/>
          <w:highlight w:val="none"/>
        </w:rPr>
        <w:t>动力核算</w:t>
      </w:r>
    </w:p>
    <w:p w14:paraId="18CA3A2D">
      <w:pPr>
        <w:ind w:firstLine="480"/>
        <w:rPr>
          <w:color w:val="auto"/>
          <w:highlight w:val="none"/>
        </w:rPr>
      </w:pPr>
      <w:r>
        <w:rPr>
          <w:color w:val="auto"/>
          <w:highlight w:val="none"/>
        </w:rPr>
        <w:t>根据工艺资料，</w:t>
      </w:r>
      <w:bookmarkStart w:id="104" w:name="_Hlk203168209"/>
      <w:r>
        <w:rPr>
          <w:color w:val="auto"/>
          <w:highlight w:val="none"/>
        </w:rPr>
        <w:t>本工程新浮船坞需要的气体</w:t>
      </w:r>
      <w:bookmarkEnd w:id="104"/>
      <w:r>
        <w:rPr>
          <w:color w:val="auto"/>
          <w:highlight w:val="none"/>
        </w:rPr>
        <w:t>消耗量见下表：</w:t>
      </w:r>
    </w:p>
    <w:p w14:paraId="21269A4E">
      <w:pPr>
        <w:pStyle w:val="38"/>
        <w:spacing w:after="0" w:line="240" w:lineRule="auto"/>
        <w:ind w:firstLine="0" w:firstLineChars="0"/>
        <w:jc w:val="center"/>
        <w:rPr>
          <w:b/>
          <w:color w:val="auto"/>
          <w:sz w:val="21"/>
          <w:szCs w:val="21"/>
          <w:highlight w:val="none"/>
        </w:rPr>
      </w:pPr>
      <w:r>
        <w:rPr>
          <w:b/>
          <w:color w:val="auto"/>
          <w:sz w:val="21"/>
          <w:szCs w:val="21"/>
          <w:highlight w:val="none"/>
        </w:rPr>
        <w:t>表2.2-</w:t>
      </w:r>
      <w:r>
        <w:rPr>
          <w:rFonts w:hint="eastAsia"/>
          <w:b/>
          <w:color w:val="auto"/>
          <w:sz w:val="21"/>
          <w:szCs w:val="21"/>
          <w:highlight w:val="none"/>
        </w:rPr>
        <w:t>6</w:t>
      </w:r>
      <w:r>
        <w:rPr>
          <w:b/>
          <w:color w:val="auto"/>
          <w:sz w:val="21"/>
          <w:szCs w:val="21"/>
          <w:highlight w:val="none"/>
        </w:rPr>
        <w:t>项目动力消耗量核算结果一览表</w:t>
      </w:r>
    </w:p>
    <w:tbl>
      <w:tblPr>
        <w:tblStyle w:val="155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1396"/>
        <w:gridCol w:w="2176"/>
        <w:gridCol w:w="2115"/>
        <w:gridCol w:w="2917"/>
      </w:tblGrid>
      <w:tr w14:paraId="12CC4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 w:type="pct"/>
            <w:tcBorders>
              <w:top w:val="single" w:color="auto" w:sz="12" w:space="0"/>
              <w:left w:val="nil"/>
              <w:bottom w:val="single" w:color="auto" w:sz="4" w:space="0"/>
              <w:right w:val="single" w:color="auto" w:sz="4" w:space="0"/>
            </w:tcBorders>
            <w:vAlign w:val="center"/>
          </w:tcPr>
          <w:p w14:paraId="60FA6086">
            <w:pPr>
              <w:pStyle w:val="1095"/>
              <w:rPr>
                <w:rFonts w:ascii="Times New Roman" w:hAnsi="Times New Roman"/>
                <w:b/>
                <w:bCs/>
                <w:color w:val="auto"/>
                <w:sz w:val="21"/>
                <w:szCs w:val="21"/>
                <w:highlight w:val="none"/>
              </w:rPr>
            </w:pPr>
            <w:r>
              <w:rPr>
                <w:rFonts w:ascii="Times New Roman" w:hAnsi="Times New Roman"/>
                <w:b/>
                <w:bCs/>
                <w:color w:val="auto"/>
                <w:sz w:val="21"/>
                <w:szCs w:val="21"/>
                <w:highlight w:val="none"/>
              </w:rPr>
              <w:t>序号</w:t>
            </w:r>
          </w:p>
        </w:tc>
        <w:tc>
          <w:tcPr>
            <w:tcW w:w="752" w:type="pct"/>
            <w:tcBorders>
              <w:top w:val="single" w:color="auto" w:sz="12" w:space="0"/>
              <w:left w:val="single" w:color="auto" w:sz="4" w:space="0"/>
              <w:bottom w:val="single" w:color="auto" w:sz="4" w:space="0"/>
              <w:right w:val="single" w:color="auto" w:sz="4" w:space="0"/>
            </w:tcBorders>
            <w:vAlign w:val="center"/>
          </w:tcPr>
          <w:p w14:paraId="0055EBBF">
            <w:pPr>
              <w:pStyle w:val="1095"/>
              <w:rPr>
                <w:rFonts w:ascii="Times New Roman" w:hAnsi="Times New Roman"/>
                <w:b/>
                <w:bCs/>
                <w:color w:val="auto"/>
                <w:sz w:val="21"/>
                <w:szCs w:val="21"/>
                <w:highlight w:val="none"/>
              </w:rPr>
            </w:pPr>
            <w:r>
              <w:rPr>
                <w:rFonts w:ascii="Times New Roman" w:hAnsi="Times New Roman"/>
                <w:b/>
                <w:bCs/>
                <w:color w:val="auto"/>
                <w:sz w:val="21"/>
                <w:szCs w:val="21"/>
                <w:highlight w:val="none"/>
              </w:rPr>
              <w:t>气体种类</w:t>
            </w:r>
          </w:p>
        </w:tc>
        <w:tc>
          <w:tcPr>
            <w:tcW w:w="1172" w:type="pct"/>
            <w:tcBorders>
              <w:top w:val="single" w:color="auto" w:sz="12" w:space="0"/>
              <w:left w:val="single" w:color="auto" w:sz="4" w:space="0"/>
              <w:bottom w:val="single" w:color="auto" w:sz="4" w:space="0"/>
              <w:right w:val="single" w:color="auto" w:sz="4" w:space="0"/>
            </w:tcBorders>
            <w:vAlign w:val="center"/>
          </w:tcPr>
          <w:p w14:paraId="7B41A38C">
            <w:pPr>
              <w:pStyle w:val="1095"/>
              <w:rPr>
                <w:rFonts w:ascii="Times New Roman" w:hAnsi="Times New Roman"/>
                <w:b/>
                <w:bCs/>
                <w:color w:val="auto"/>
                <w:sz w:val="21"/>
                <w:szCs w:val="21"/>
                <w:highlight w:val="none"/>
              </w:rPr>
            </w:pPr>
            <w:r>
              <w:rPr>
                <w:rFonts w:ascii="Times New Roman" w:hAnsi="Times New Roman"/>
                <w:b/>
                <w:bCs/>
                <w:color w:val="auto"/>
                <w:sz w:val="21"/>
                <w:szCs w:val="21"/>
                <w:highlight w:val="none"/>
              </w:rPr>
              <w:t>工作压力（MPa）</w:t>
            </w:r>
          </w:p>
        </w:tc>
        <w:tc>
          <w:tcPr>
            <w:tcW w:w="1139" w:type="pct"/>
            <w:tcBorders>
              <w:top w:val="single" w:color="auto" w:sz="12" w:space="0"/>
              <w:left w:val="single" w:color="auto" w:sz="4" w:space="0"/>
              <w:bottom w:val="single" w:color="auto" w:sz="4" w:space="0"/>
              <w:right w:val="nil"/>
            </w:tcBorders>
            <w:vAlign w:val="center"/>
          </w:tcPr>
          <w:p w14:paraId="202C35A9">
            <w:pPr>
              <w:pStyle w:val="1095"/>
              <w:rPr>
                <w:rFonts w:ascii="Times New Roman" w:hAnsi="Times New Roman"/>
                <w:b/>
                <w:bCs/>
                <w:color w:val="auto"/>
                <w:sz w:val="21"/>
                <w:szCs w:val="21"/>
                <w:highlight w:val="none"/>
              </w:rPr>
            </w:pPr>
            <w:r>
              <w:rPr>
                <w:rFonts w:ascii="Times New Roman" w:hAnsi="Times New Roman"/>
                <w:b/>
                <w:bCs/>
                <w:color w:val="auto"/>
                <w:sz w:val="21"/>
                <w:szCs w:val="21"/>
                <w:highlight w:val="none"/>
              </w:rPr>
              <w:t>小时最大消耗量（m</w:t>
            </w:r>
            <w:r>
              <w:rPr>
                <w:rFonts w:ascii="Times New Roman" w:hAnsi="Times New Roman"/>
                <w:b/>
                <w:bCs/>
                <w:color w:val="auto"/>
                <w:sz w:val="21"/>
                <w:szCs w:val="21"/>
                <w:highlight w:val="none"/>
                <w:vertAlign w:val="superscript"/>
              </w:rPr>
              <w:t>3</w:t>
            </w:r>
            <w:r>
              <w:rPr>
                <w:rFonts w:ascii="Times New Roman" w:hAnsi="Times New Roman"/>
                <w:b/>
                <w:bCs/>
                <w:color w:val="auto"/>
                <w:sz w:val="21"/>
                <w:szCs w:val="21"/>
                <w:highlight w:val="none"/>
              </w:rPr>
              <w:t>/h）</w:t>
            </w:r>
          </w:p>
        </w:tc>
        <w:tc>
          <w:tcPr>
            <w:tcW w:w="1571" w:type="pct"/>
            <w:tcBorders>
              <w:top w:val="single" w:color="auto" w:sz="12" w:space="0"/>
              <w:left w:val="single" w:color="auto" w:sz="4" w:space="0"/>
              <w:bottom w:val="single" w:color="auto" w:sz="4" w:space="0"/>
              <w:right w:val="nil"/>
            </w:tcBorders>
            <w:vAlign w:val="center"/>
          </w:tcPr>
          <w:p w14:paraId="5B1369BD">
            <w:pPr>
              <w:pStyle w:val="1095"/>
              <w:rPr>
                <w:rFonts w:ascii="Times New Roman" w:hAnsi="Times New Roman"/>
                <w:b/>
                <w:bCs/>
                <w:color w:val="auto"/>
                <w:sz w:val="21"/>
                <w:szCs w:val="21"/>
                <w:highlight w:val="none"/>
              </w:rPr>
            </w:pPr>
            <w:r>
              <w:rPr>
                <w:rFonts w:ascii="Times New Roman" w:hAnsi="Times New Roman"/>
                <w:b/>
                <w:bCs/>
                <w:color w:val="auto"/>
                <w:sz w:val="21"/>
                <w:szCs w:val="21"/>
                <w:highlight w:val="none"/>
              </w:rPr>
              <w:t>原有浮船坞小时最大消耗量（m</w:t>
            </w:r>
            <w:r>
              <w:rPr>
                <w:rFonts w:ascii="Times New Roman" w:hAnsi="Times New Roman"/>
                <w:b/>
                <w:bCs/>
                <w:color w:val="auto"/>
                <w:sz w:val="21"/>
                <w:szCs w:val="21"/>
                <w:highlight w:val="none"/>
                <w:vertAlign w:val="superscript"/>
              </w:rPr>
              <w:t>3</w:t>
            </w:r>
            <w:r>
              <w:rPr>
                <w:rFonts w:ascii="Times New Roman" w:hAnsi="Times New Roman"/>
                <w:b/>
                <w:bCs/>
                <w:color w:val="auto"/>
                <w:sz w:val="21"/>
                <w:szCs w:val="21"/>
                <w:highlight w:val="none"/>
              </w:rPr>
              <w:t>/h）</w:t>
            </w:r>
          </w:p>
        </w:tc>
      </w:tr>
      <w:tr w14:paraId="73E03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 w:type="pct"/>
            <w:tcBorders>
              <w:top w:val="single" w:color="auto" w:sz="4" w:space="0"/>
              <w:left w:val="nil"/>
              <w:bottom w:val="single" w:color="auto" w:sz="4" w:space="0"/>
              <w:right w:val="single" w:color="auto" w:sz="4" w:space="0"/>
            </w:tcBorders>
            <w:vAlign w:val="center"/>
          </w:tcPr>
          <w:p w14:paraId="42BB948B">
            <w:pPr>
              <w:pStyle w:val="1095"/>
              <w:rPr>
                <w:rFonts w:ascii="Times New Roman" w:hAnsi="Times New Roman"/>
                <w:color w:val="auto"/>
                <w:sz w:val="21"/>
                <w:szCs w:val="21"/>
                <w:highlight w:val="none"/>
              </w:rPr>
            </w:pPr>
            <w:r>
              <w:rPr>
                <w:rFonts w:ascii="Times New Roman" w:hAnsi="Times New Roman"/>
                <w:color w:val="auto"/>
                <w:sz w:val="21"/>
                <w:szCs w:val="21"/>
                <w:highlight w:val="none"/>
              </w:rPr>
              <w:t>1</w:t>
            </w:r>
          </w:p>
        </w:tc>
        <w:tc>
          <w:tcPr>
            <w:tcW w:w="752" w:type="pct"/>
            <w:tcBorders>
              <w:top w:val="single" w:color="auto" w:sz="4" w:space="0"/>
              <w:left w:val="single" w:color="auto" w:sz="4" w:space="0"/>
              <w:bottom w:val="single" w:color="auto" w:sz="4" w:space="0"/>
              <w:right w:val="single" w:color="auto" w:sz="4" w:space="0"/>
            </w:tcBorders>
            <w:vAlign w:val="center"/>
          </w:tcPr>
          <w:p w14:paraId="313E769B">
            <w:pPr>
              <w:pStyle w:val="1095"/>
              <w:rPr>
                <w:rFonts w:ascii="Times New Roman" w:hAnsi="Times New Roman"/>
                <w:color w:val="auto"/>
                <w:sz w:val="21"/>
                <w:szCs w:val="21"/>
                <w:highlight w:val="none"/>
              </w:rPr>
            </w:pPr>
            <w:r>
              <w:rPr>
                <w:rFonts w:ascii="Times New Roman" w:hAnsi="Times New Roman"/>
                <w:color w:val="auto"/>
                <w:sz w:val="21"/>
                <w:szCs w:val="21"/>
                <w:highlight w:val="none"/>
              </w:rPr>
              <w:t>压缩空气</w:t>
            </w:r>
          </w:p>
        </w:tc>
        <w:tc>
          <w:tcPr>
            <w:tcW w:w="1172" w:type="pct"/>
            <w:tcBorders>
              <w:top w:val="single" w:color="auto" w:sz="4" w:space="0"/>
              <w:left w:val="single" w:color="auto" w:sz="4" w:space="0"/>
              <w:bottom w:val="single" w:color="auto" w:sz="4" w:space="0"/>
              <w:right w:val="single" w:color="auto" w:sz="4" w:space="0"/>
            </w:tcBorders>
            <w:vAlign w:val="center"/>
          </w:tcPr>
          <w:p w14:paraId="4458F78B">
            <w:pPr>
              <w:pStyle w:val="1095"/>
              <w:rPr>
                <w:rFonts w:ascii="Times New Roman" w:hAnsi="Times New Roman"/>
                <w:color w:val="auto"/>
                <w:sz w:val="21"/>
                <w:szCs w:val="21"/>
                <w:highlight w:val="none"/>
              </w:rPr>
            </w:pPr>
            <w:r>
              <w:rPr>
                <w:rFonts w:ascii="Times New Roman" w:hAnsi="Times New Roman"/>
                <w:color w:val="auto"/>
                <w:sz w:val="21"/>
                <w:szCs w:val="21"/>
                <w:highlight w:val="none"/>
              </w:rPr>
              <w:t>0.6</w:t>
            </w:r>
          </w:p>
        </w:tc>
        <w:tc>
          <w:tcPr>
            <w:tcW w:w="1139" w:type="pct"/>
            <w:tcBorders>
              <w:top w:val="single" w:color="auto" w:sz="4" w:space="0"/>
              <w:left w:val="single" w:color="auto" w:sz="4" w:space="0"/>
              <w:bottom w:val="single" w:color="auto" w:sz="4" w:space="0"/>
              <w:right w:val="nil"/>
            </w:tcBorders>
            <w:vAlign w:val="center"/>
          </w:tcPr>
          <w:p w14:paraId="241D642B">
            <w:pPr>
              <w:pStyle w:val="1095"/>
              <w:rPr>
                <w:rFonts w:ascii="Times New Roman" w:hAnsi="Times New Roman"/>
                <w:color w:val="auto"/>
                <w:sz w:val="21"/>
                <w:szCs w:val="21"/>
                <w:highlight w:val="none"/>
              </w:rPr>
            </w:pPr>
            <w:r>
              <w:rPr>
                <w:rFonts w:ascii="Times New Roman" w:hAnsi="Times New Roman"/>
                <w:color w:val="auto"/>
                <w:sz w:val="21"/>
                <w:szCs w:val="21"/>
                <w:highlight w:val="none"/>
              </w:rPr>
              <w:t>9600</w:t>
            </w:r>
          </w:p>
        </w:tc>
        <w:tc>
          <w:tcPr>
            <w:tcW w:w="1571" w:type="pct"/>
            <w:tcBorders>
              <w:top w:val="single" w:color="auto" w:sz="4" w:space="0"/>
              <w:left w:val="single" w:color="auto" w:sz="4" w:space="0"/>
              <w:bottom w:val="single" w:color="auto" w:sz="4" w:space="0"/>
              <w:right w:val="nil"/>
            </w:tcBorders>
            <w:vAlign w:val="center"/>
          </w:tcPr>
          <w:p w14:paraId="169882D7">
            <w:pPr>
              <w:pStyle w:val="1095"/>
              <w:rPr>
                <w:rFonts w:ascii="Times New Roman" w:hAnsi="Times New Roman"/>
                <w:color w:val="auto"/>
                <w:sz w:val="21"/>
                <w:szCs w:val="21"/>
                <w:highlight w:val="none"/>
              </w:rPr>
            </w:pPr>
            <w:r>
              <w:rPr>
                <w:rFonts w:ascii="Times New Roman" w:hAnsi="Times New Roman"/>
                <w:color w:val="auto"/>
                <w:sz w:val="21"/>
                <w:szCs w:val="21"/>
                <w:highlight w:val="none"/>
              </w:rPr>
              <w:t>21400</w:t>
            </w:r>
          </w:p>
        </w:tc>
      </w:tr>
      <w:tr w14:paraId="7733C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 w:type="pct"/>
            <w:tcBorders>
              <w:top w:val="single" w:color="auto" w:sz="4" w:space="0"/>
              <w:left w:val="nil"/>
              <w:bottom w:val="single" w:color="auto" w:sz="4" w:space="0"/>
              <w:right w:val="single" w:color="auto" w:sz="4" w:space="0"/>
            </w:tcBorders>
            <w:vAlign w:val="center"/>
          </w:tcPr>
          <w:p w14:paraId="7B5BDC49">
            <w:pPr>
              <w:pStyle w:val="1095"/>
              <w:rPr>
                <w:rFonts w:ascii="Times New Roman" w:hAnsi="Times New Roman"/>
                <w:color w:val="auto"/>
                <w:sz w:val="21"/>
                <w:szCs w:val="21"/>
                <w:highlight w:val="none"/>
              </w:rPr>
            </w:pPr>
            <w:r>
              <w:rPr>
                <w:rFonts w:ascii="Times New Roman" w:hAnsi="Times New Roman"/>
                <w:color w:val="auto"/>
                <w:sz w:val="21"/>
                <w:szCs w:val="21"/>
                <w:highlight w:val="none"/>
              </w:rPr>
              <w:t>2</w:t>
            </w:r>
          </w:p>
        </w:tc>
        <w:tc>
          <w:tcPr>
            <w:tcW w:w="752" w:type="pct"/>
            <w:tcBorders>
              <w:top w:val="single" w:color="auto" w:sz="4" w:space="0"/>
              <w:left w:val="single" w:color="auto" w:sz="4" w:space="0"/>
              <w:bottom w:val="single" w:color="auto" w:sz="4" w:space="0"/>
              <w:right w:val="single" w:color="auto" w:sz="4" w:space="0"/>
            </w:tcBorders>
            <w:vAlign w:val="center"/>
          </w:tcPr>
          <w:p w14:paraId="0E1EDB87">
            <w:pPr>
              <w:pStyle w:val="1095"/>
              <w:rPr>
                <w:rFonts w:ascii="Times New Roman" w:hAnsi="Times New Roman"/>
                <w:color w:val="auto"/>
                <w:sz w:val="21"/>
                <w:szCs w:val="21"/>
                <w:highlight w:val="none"/>
              </w:rPr>
            </w:pPr>
            <w:r>
              <w:rPr>
                <w:rFonts w:ascii="Times New Roman" w:hAnsi="Times New Roman"/>
                <w:color w:val="auto"/>
                <w:sz w:val="21"/>
                <w:szCs w:val="21"/>
                <w:highlight w:val="none"/>
              </w:rPr>
              <w:t>氧气</w:t>
            </w:r>
          </w:p>
        </w:tc>
        <w:tc>
          <w:tcPr>
            <w:tcW w:w="1172" w:type="pct"/>
            <w:tcBorders>
              <w:top w:val="single" w:color="auto" w:sz="4" w:space="0"/>
              <w:left w:val="single" w:color="auto" w:sz="4" w:space="0"/>
              <w:bottom w:val="single" w:color="auto" w:sz="4" w:space="0"/>
              <w:right w:val="single" w:color="auto" w:sz="4" w:space="0"/>
            </w:tcBorders>
            <w:vAlign w:val="center"/>
          </w:tcPr>
          <w:p w14:paraId="50D87906">
            <w:pPr>
              <w:pStyle w:val="1095"/>
              <w:rPr>
                <w:rFonts w:ascii="Times New Roman" w:hAnsi="Times New Roman"/>
                <w:color w:val="auto"/>
                <w:sz w:val="21"/>
                <w:szCs w:val="21"/>
                <w:highlight w:val="none"/>
              </w:rPr>
            </w:pPr>
            <w:r>
              <w:rPr>
                <w:rFonts w:ascii="Times New Roman" w:hAnsi="Times New Roman"/>
                <w:color w:val="auto"/>
                <w:sz w:val="21"/>
                <w:szCs w:val="21"/>
                <w:highlight w:val="none"/>
              </w:rPr>
              <w:t>0.6~1.0</w:t>
            </w:r>
          </w:p>
        </w:tc>
        <w:tc>
          <w:tcPr>
            <w:tcW w:w="1139" w:type="pct"/>
            <w:tcBorders>
              <w:top w:val="single" w:color="auto" w:sz="4" w:space="0"/>
              <w:left w:val="single" w:color="auto" w:sz="4" w:space="0"/>
              <w:bottom w:val="single" w:color="auto" w:sz="4" w:space="0"/>
              <w:right w:val="nil"/>
            </w:tcBorders>
            <w:vAlign w:val="center"/>
          </w:tcPr>
          <w:p w14:paraId="1BA7B0C0">
            <w:pPr>
              <w:pStyle w:val="1095"/>
              <w:rPr>
                <w:rFonts w:ascii="Times New Roman" w:hAnsi="Times New Roman"/>
                <w:color w:val="auto"/>
                <w:sz w:val="21"/>
                <w:szCs w:val="21"/>
                <w:highlight w:val="none"/>
              </w:rPr>
            </w:pPr>
            <w:r>
              <w:rPr>
                <w:rFonts w:ascii="Times New Roman" w:hAnsi="Times New Roman"/>
                <w:color w:val="auto"/>
                <w:sz w:val="21"/>
                <w:szCs w:val="21"/>
                <w:highlight w:val="none"/>
              </w:rPr>
              <w:t>140</w:t>
            </w:r>
          </w:p>
        </w:tc>
        <w:tc>
          <w:tcPr>
            <w:tcW w:w="1571" w:type="pct"/>
            <w:tcBorders>
              <w:top w:val="single" w:color="auto" w:sz="4" w:space="0"/>
              <w:left w:val="single" w:color="auto" w:sz="4" w:space="0"/>
              <w:bottom w:val="single" w:color="auto" w:sz="4" w:space="0"/>
              <w:right w:val="nil"/>
            </w:tcBorders>
            <w:vAlign w:val="center"/>
          </w:tcPr>
          <w:p w14:paraId="0B3479DD">
            <w:pPr>
              <w:pStyle w:val="1095"/>
              <w:rPr>
                <w:rFonts w:ascii="Times New Roman" w:hAnsi="Times New Roman"/>
                <w:color w:val="auto"/>
                <w:sz w:val="21"/>
                <w:szCs w:val="21"/>
                <w:highlight w:val="none"/>
              </w:rPr>
            </w:pPr>
            <w:r>
              <w:rPr>
                <w:rFonts w:ascii="Times New Roman" w:hAnsi="Times New Roman"/>
                <w:color w:val="auto"/>
                <w:sz w:val="21"/>
                <w:szCs w:val="21"/>
                <w:highlight w:val="none"/>
              </w:rPr>
              <w:t>424</w:t>
            </w:r>
          </w:p>
        </w:tc>
      </w:tr>
      <w:tr w14:paraId="76EE8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 w:type="pct"/>
            <w:tcBorders>
              <w:top w:val="single" w:color="auto" w:sz="4" w:space="0"/>
              <w:left w:val="nil"/>
              <w:bottom w:val="single" w:color="auto" w:sz="4" w:space="0"/>
              <w:right w:val="single" w:color="auto" w:sz="4" w:space="0"/>
            </w:tcBorders>
            <w:vAlign w:val="center"/>
          </w:tcPr>
          <w:p w14:paraId="1900D125">
            <w:pPr>
              <w:pStyle w:val="1095"/>
              <w:rPr>
                <w:rFonts w:ascii="Times New Roman" w:hAnsi="Times New Roman"/>
                <w:color w:val="auto"/>
                <w:sz w:val="21"/>
                <w:szCs w:val="21"/>
                <w:highlight w:val="none"/>
              </w:rPr>
            </w:pPr>
            <w:r>
              <w:rPr>
                <w:rFonts w:ascii="Times New Roman" w:hAnsi="Times New Roman"/>
                <w:color w:val="auto"/>
                <w:sz w:val="21"/>
                <w:szCs w:val="21"/>
                <w:highlight w:val="none"/>
              </w:rPr>
              <w:t>3</w:t>
            </w:r>
          </w:p>
        </w:tc>
        <w:tc>
          <w:tcPr>
            <w:tcW w:w="752" w:type="pct"/>
            <w:tcBorders>
              <w:top w:val="single" w:color="auto" w:sz="4" w:space="0"/>
              <w:left w:val="single" w:color="auto" w:sz="4" w:space="0"/>
              <w:bottom w:val="single" w:color="auto" w:sz="4" w:space="0"/>
              <w:right w:val="single" w:color="auto" w:sz="4" w:space="0"/>
            </w:tcBorders>
            <w:vAlign w:val="center"/>
          </w:tcPr>
          <w:p w14:paraId="4F6426D2">
            <w:pPr>
              <w:pStyle w:val="1095"/>
              <w:rPr>
                <w:rFonts w:ascii="Times New Roman" w:hAnsi="Times New Roman"/>
                <w:color w:val="auto"/>
                <w:sz w:val="21"/>
                <w:szCs w:val="21"/>
                <w:highlight w:val="none"/>
              </w:rPr>
            </w:pPr>
            <w:r>
              <w:rPr>
                <w:rFonts w:ascii="Times New Roman" w:hAnsi="Times New Roman"/>
                <w:color w:val="auto"/>
                <w:sz w:val="21"/>
                <w:szCs w:val="21"/>
                <w:highlight w:val="none"/>
              </w:rPr>
              <w:t>天然气</w:t>
            </w:r>
          </w:p>
        </w:tc>
        <w:tc>
          <w:tcPr>
            <w:tcW w:w="1172" w:type="pct"/>
            <w:tcBorders>
              <w:top w:val="single" w:color="auto" w:sz="4" w:space="0"/>
              <w:left w:val="single" w:color="auto" w:sz="4" w:space="0"/>
              <w:bottom w:val="single" w:color="auto" w:sz="4" w:space="0"/>
              <w:right w:val="single" w:color="auto" w:sz="4" w:space="0"/>
            </w:tcBorders>
            <w:vAlign w:val="center"/>
          </w:tcPr>
          <w:p w14:paraId="503230D6">
            <w:pPr>
              <w:pStyle w:val="1095"/>
              <w:rPr>
                <w:rFonts w:ascii="Times New Roman" w:hAnsi="Times New Roman"/>
                <w:color w:val="auto"/>
                <w:sz w:val="21"/>
                <w:szCs w:val="21"/>
                <w:highlight w:val="none"/>
              </w:rPr>
            </w:pPr>
            <w:r>
              <w:rPr>
                <w:rFonts w:ascii="Times New Roman" w:hAnsi="Times New Roman"/>
                <w:color w:val="auto"/>
                <w:sz w:val="21"/>
                <w:szCs w:val="21"/>
                <w:highlight w:val="none"/>
              </w:rPr>
              <w:t>0.03~0.1</w:t>
            </w:r>
          </w:p>
        </w:tc>
        <w:tc>
          <w:tcPr>
            <w:tcW w:w="1139" w:type="pct"/>
            <w:tcBorders>
              <w:top w:val="single" w:color="auto" w:sz="4" w:space="0"/>
              <w:left w:val="single" w:color="auto" w:sz="4" w:space="0"/>
              <w:bottom w:val="single" w:color="auto" w:sz="4" w:space="0"/>
              <w:right w:val="nil"/>
            </w:tcBorders>
            <w:vAlign w:val="center"/>
          </w:tcPr>
          <w:p w14:paraId="308866D2">
            <w:pPr>
              <w:pStyle w:val="1095"/>
              <w:rPr>
                <w:rFonts w:ascii="Times New Roman" w:hAnsi="Times New Roman"/>
                <w:color w:val="auto"/>
                <w:sz w:val="21"/>
                <w:szCs w:val="21"/>
                <w:highlight w:val="none"/>
              </w:rPr>
            </w:pPr>
            <w:r>
              <w:rPr>
                <w:rFonts w:ascii="Times New Roman" w:hAnsi="Times New Roman"/>
                <w:color w:val="auto"/>
                <w:sz w:val="21"/>
                <w:szCs w:val="21"/>
                <w:highlight w:val="none"/>
              </w:rPr>
              <w:t>54</w:t>
            </w:r>
          </w:p>
        </w:tc>
        <w:tc>
          <w:tcPr>
            <w:tcW w:w="1571" w:type="pct"/>
            <w:tcBorders>
              <w:top w:val="single" w:color="auto" w:sz="4" w:space="0"/>
              <w:left w:val="single" w:color="auto" w:sz="4" w:space="0"/>
              <w:bottom w:val="single" w:color="auto" w:sz="4" w:space="0"/>
              <w:right w:val="nil"/>
            </w:tcBorders>
            <w:vAlign w:val="center"/>
          </w:tcPr>
          <w:p w14:paraId="7BDD6166">
            <w:pPr>
              <w:pStyle w:val="1095"/>
              <w:rPr>
                <w:rFonts w:ascii="Times New Roman" w:hAnsi="Times New Roman"/>
                <w:color w:val="auto"/>
                <w:sz w:val="21"/>
                <w:szCs w:val="21"/>
                <w:highlight w:val="none"/>
              </w:rPr>
            </w:pPr>
            <w:r>
              <w:rPr>
                <w:rFonts w:ascii="Times New Roman" w:hAnsi="Times New Roman"/>
                <w:color w:val="auto"/>
                <w:sz w:val="21"/>
                <w:szCs w:val="21"/>
                <w:highlight w:val="none"/>
              </w:rPr>
              <w:t>116</w:t>
            </w:r>
          </w:p>
        </w:tc>
      </w:tr>
      <w:tr w14:paraId="7854D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 w:type="pct"/>
            <w:tcBorders>
              <w:top w:val="single" w:color="auto" w:sz="4" w:space="0"/>
              <w:left w:val="nil"/>
              <w:bottom w:val="single" w:color="auto" w:sz="12" w:space="0"/>
              <w:right w:val="single" w:color="auto" w:sz="4" w:space="0"/>
            </w:tcBorders>
            <w:vAlign w:val="center"/>
          </w:tcPr>
          <w:p w14:paraId="36E96C00">
            <w:pPr>
              <w:pStyle w:val="1095"/>
              <w:rPr>
                <w:rFonts w:ascii="Times New Roman" w:hAnsi="Times New Roman"/>
                <w:color w:val="auto"/>
                <w:sz w:val="21"/>
                <w:szCs w:val="21"/>
                <w:highlight w:val="none"/>
              </w:rPr>
            </w:pPr>
            <w:r>
              <w:rPr>
                <w:rFonts w:ascii="Times New Roman" w:hAnsi="Times New Roman"/>
                <w:color w:val="auto"/>
                <w:sz w:val="21"/>
                <w:szCs w:val="21"/>
                <w:highlight w:val="none"/>
              </w:rPr>
              <w:t>4</w:t>
            </w:r>
          </w:p>
        </w:tc>
        <w:tc>
          <w:tcPr>
            <w:tcW w:w="752" w:type="pct"/>
            <w:tcBorders>
              <w:top w:val="single" w:color="auto" w:sz="4" w:space="0"/>
              <w:left w:val="single" w:color="auto" w:sz="4" w:space="0"/>
              <w:bottom w:val="single" w:color="auto" w:sz="12" w:space="0"/>
              <w:right w:val="single" w:color="auto" w:sz="4" w:space="0"/>
            </w:tcBorders>
            <w:vAlign w:val="center"/>
          </w:tcPr>
          <w:p w14:paraId="33E117A3">
            <w:pPr>
              <w:pStyle w:val="1095"/>
              <w:rPr>
                <w:rFonts w:ascii="Times New Roman" w:hAnsi="Times New Roman"/>
                <w:color w:val="auto"/>
                <w:sz w:val="21"/>
                <w:szCs w:val="21"/>
                <w:highlight w:val="none"/>
              </w:rPr>
            </w:pPr>
            <w:r>
              <w:rPr>
                <w:rFonts w:ascii="Times New Roman" w:hAnsi="Times New Roman"/>
                <w:color w:val="auto"/>
                <w:sz w:val="21"/>
                <w:szCs w:val="21"/>
                <w:highlight w:val="none"/>
              </w:rPr>
              <w:t>二氧化碳</w:t>
            </w:r>
          </w:p>
        </w:tc>
        <w:tc>
          <w:tcPr>
            <w:tcW w:w="1172" w:type="pct"/>
            <w:tcBorders>
              <w:top w:val="single" w:color="auto" w:sz="4" w:space="0"/>
              <w:left w:val="single" w:color="auto" w:sz="4" w:space="0"/>
              <w:bottom w:val="single" w:color="auto" w:sz="12" w:space="0"/>
              <w:right w:val="single" w:color="auto" w:sz="4" w:space="0"/>
            </w:tcBorders>
            <w:vAlign w:val="center"/>
          </w:tcPr>
          <w:p w14:paraId="5D54A7AC">
            <w:pPr>
              <w:pStyle w:val="1095"/>
              <w:rPr>
                <w:rFonts w:ascii="Times New Roman" w:hAnsi="Times New Roman"/>
                <w:color w:val="auto"/>
                <w:sz w:val="21"/>
                <w:szCs w:val="21"/>
                <w:highlight w:val="none"/>
              </w:rPr>
            </w:pPr>
            <w:r>
              <w:rPr>
                <w:rFonts w:ascii="Times New Roman" w:hAnsi="Times New Roman"/>
                <w:color w:val="auto"/>
                <w:sz w:val="21"/>
                <w:szCs w:val="21"/>
                <w:highlight w:val="none"/>
              </w:rPr>
              <w:t>0.1~0.2</w:t>
            </w:r>
          </w:p>
        </w:tc>
        <w:tc>
          <w:tcPr>
            <w:tcW w:w="1139" w:type="pct"/>
            <w:tcBorders>
              <w:top w:val="single" w:color="auto" w:sz="4" w:space="0"/>
              <w:left w:val="single" w:color="auto" w:sz="4" w:space="0"/>
              <w:bottom w:val="single" w:color="auto" w:sz="12" w:space="0"/>
              <w:right w:val="nil"/>
            </w:tcBorders>
            <w:vAlign w:val="center"/>
          </w:tcPr>
          <w:p w14:paraId="13B15B10">
            <w:pPr>
              <w:pStyle w:val="1095"/>
              <w:rPr>
                <w:rFonts w:ascii="Times New Roman" w:hAnsi="Times New Roman"/>
                <w:color w:val="auto"/>
                <w:sz w:val="21"/>
                <w:szCs w:val="21"/>
                <w:highlight w:val="none"/>
              </w:rPr>
            </w:pPr>
            <w:r>
              <w:rPr>
                <w:rFonts w:ascii="Times New Roman" w:hAnsi="Times New Roman"/>
                <w:color w:val="auto"/>
                <w:sz w:val="21"/>
                <w:szCs w:val="21"/>
                <w:highlight w:val="none"/>
              </w:rPr>
              <w:t>20</w:t>
            </w:r>
          </w:p>
        </w:tc>
        <w:tc>
          <w:tcPr>
            <w:tcW w:w="1571" w:type="pct"/>
            <w:tcBorders>
              <w:top w:val="single" w:color="auto" w:sz="4" w:space="0"/>
              <w:left w:val="single" w:color="auto" w:sz="4" w:space="0"/>
              <w:bottom w:val="single" w:color="auto" w:sz="12" w:space="0"/>
              <w:right w:val="nil"/>
            </w:tcBorders>
            <w:vAlign w:val="center"/>
          </w:tcPr>
          <w:p w14:paraId="15FF25AB">
            <w:pPr>
              <w:pStyle w:val="1095"/>
              <w:rPr>
                <w:rFonts w:ascii="Times New Roman" w:hAnsi="Times New Roman"/>
                <w:color w:val="auto"/>
                <w:sz w:val="21"/>
                <w:szCs w:val="21"/>
                <w:highlight w:val="none"/>
              </w:rPr>
            </w:pPr>
            <w:r>
              <w:rPr>
                <w:rFonts w:ascii="Times New Roman" w:hAnsi="Times New Roman"/>
                <w:color w:val="auto"/>
                <w:sz w:val="21"/>
                <w:szCs w:val="21"/>
                <w:highlight w:val="none"/>
              </w:rPr>
              <w:t>94</w:t>
            </w:r>
          </w:p>
        </w:tc>
      </w:tr>
    </w:tbl>
    <w:p w14:paraId="697F56CD">
      <w:pPr>
        <w:ind w:firstLine="480"/>
        <w:rPr>
          <w:color w:val="auto"/>
          <w:highlight w:val="none"/>
        </w:rPr>
      </w:pPr>
      <w:r>
        <w:rPr>
          <w:color w:val="auto"/>
          <w:highlight w:val="none"/>
        </w:rPr>
        <w:t>根据以上耗量经初步复核</w:t>
      </w:r>
      <w:bookmarkStart w:id="105" w:name="_Hlk203168219"/>
      <w:r>
        <w:rPr>
          <w:color w:val="auto"/>
          <w:highlight w:val="none"/>
        </w:rPr>
        <w:t>原有浮船坞的动力气体系统满足</w:t>
      </w:r>
      <w:r>
        <w:rPr>
          <w:rFonts w:hint="eastAsia"/>
          <w:color w:val="auto"/>
          <w:highlight w:val="none"/>
        </w:rPr>
        <w:t>本次建设的</w:t>
      </w:r>
      <w:r>
        <w:rPr>
          <w:color w:val="auto"/>
          <w:highlight w:val="none"/>
        </w:rPr>
        <w:t>浮船坞的动力气体耗量，不需要新增动力设施。</w:t>
      </w:r>
      <w:bookmarkEnd w:id="105"/>
    </w:p>
    <w:p w14:paraId="5531DE19">
      <w:pPr>
        <w:pStyle w:val="533"/>
        <w:numPr>
          <w:ilvl w:val="3"/>
          <w:numId w:val="9"/>
        </w:numPr>
        <w:rPr>
          <w:color w:val="auto"/>
          <w:szCs w:val="24"/>
          <w:highlight w:val="none"/>
        </w:rPr>
      </w:pPr>
      <w:r>
        <w:rPr>
          <w:color w:val="auto"/>
          <w:szCs w:val="24"/>
          <w:highlight w:val="none"/>
        </w:rPr>
        <w:t>供电系统</w:t>
      </w:r>
    </w:p>
    <w:p w14:paraId="752246EF">
      <w:pPr>
        <w:ind w:firstLine="480"/>
        <w:rPr>
          <w:color w:val="auto"/>
          <w:highlight w:val="none"/>
        </w:rPr>
      </w:pPr>
      <w:r>
        <w:rPr>
          <w:color w:val="auto"/>
          <w:highlight w:val="none"/>
        </w:rPr>
        <w:t>（1）钦州基地内现已配置2路10kV电源和4路0.4kV（400A）电源为现有浮船坞供电，</w:t>
      </w:r>
      <w:r>
        <w:rPr>
          <w:rFonts w:hint="eastAsia"/>
          <w:color w:val="auto"/>
          <w:highlight w:val="none"/>
        </w:rPr>
        <w:t>本次建设的</w:t>
      </w:r>
      <w:r>
        <w:rPr>
          <w:color w:val="auto"/>
          <w:highlight w:val="none"/>
        </w:rPr>
        <w:t>浮船坞利用现有的供电设施，不新增供电设施。</w:t>
      </w:r>
    </w:p>
    <w:p w14:paraId="3F084792">
      <w:pPr>
        <w:ind w:firstLine="480"/>
        <w:rPr>
          <w:color w:val="auto"/>
          <w:highlight w:val="none"/>
        </w:rPr>
      </w:pPr>
      <w:r>
        <w:rPr>
          <w:color w:val="auto"/>
          <w:highlight w:val="none"/>
        </w:rPr>
        <w:t>（2）已建5#码头现配置2座10/0.4kV 1250kVA变电站为2#、5#码头供电，建设阶段已预留本工程</w:t>
      </w:r>
      <w:r>
        <w:rPr>
          <w:rFonts w:hint="eastAsia"/>
          <w:color w:val="auto"/>
          <w:highlight w:val="none"/>
        </w:rPr>
        <w:t>扩建</w:t>
      </w:r>
      <w:r>
        <w:rPr>
          <w:color w:val="auto"/>
          <w:highlight w:val="none"/>
        </w:rPr>
        <w:t>的</w:t>
      </w:r>
      <w:r>
        <w:rPr>
          <w:rFonts w:hint="eastAsia"/>
          <w:color w:val="auto"/>
          <w:highlight w:val="none"/>
        </w:rPr>
        <w:t>6070</w:t>
      </w:r>
      <w:r>
        <w:rPr>
          <w:color w:val="auto"/>
          <w:highlight w:val="none"/>
        </w:rPr>
        <w:t>门座式起重机供电，供电电源引自已建2-1#变电站备用回路。</w:t>
      </w:r>
    </w:p>
    <w:p w14:paraId="3BAE728C">
      <w:pPr>
        <w:ind w:firstLine="480"/>
        <w:rPr>
          <w:color w:val="auto"/>
          <w:highlight w:val="none"/>
        </w:rPr>
      </w:pPr>
      <w:r>
        <w:rPr>
          <w:color w:val="auto"/>
          <w:highlight w:val="none"/>
        </w:rPr>
        <w:t>（3）浮船坞配套建造场地根据焊接需求增设供电设施。</w:t>
      </w:r>
    </w:p>
    <w:p w14:paraId="2E6D3BC7">
      <w:pPr>
        <w:ind w:firstLine="480"/>
        <w:rPr>
          <w:color w:val="auto"/>
          <w:highlight w:val="none"/>
        </w:rPr>
      </w:pPr>
      <w:r>
        <w:rPr>
          <w:color w:val="auto"/>
          <w:highlight w:val="none"/>
        </w:rPr>
        <w:t>新建的配套建造场地新建一座2000kVA变电所进行供电。电源引自厂区现有0#配电站。自变电所引出低压配电电缆至硬化场地两侧的焊机用电箱。</w:t>
      </w:r>
    </w:p>
    <w:p w14:paraId="2F9B0FBF">
      <w:pPr>
        <w:ind w:firstLine="480"/>
        <w:rPr>
          <w:color w:val="auto"/>
          <w:highlight w:val="none"/>
        </w:rPr>
      </w:pPr>
      <w:r>
        <w:rPr>
          <w:color w:val="auto"/>
          <w:highlight w:val="none"/>
        </w:rPr>
        <w:t>配电形式为放射式。</w:t>
      </w:r>
    </w:p>
    <w:p w14:paraId="6AB7CCAE">
      <w:pPr>
        <w:pStyle w:val="533"/>
        <w:numPr>
          <w:ilvl w:val="3"/>
          <w:numId w:val="9"/>
        </w:numPr>
        <w:rPr>
          <w:color w:val="auto"/>
          <w:szCs w:val="24"/>
          <w:highlight w:val="none"/>
        </w:rPr>
      </w:pPr>
      <w:r>
        <w:rPr>
          <w:color w:val="auto"/>
          <w:szCs w:val="24"/>
          <w:highlight w:val="none"/>
        </w:rPr>
        <w:t>道路</w:t>
      </w:r>
      <w:r>
        <w:rPr>
          <w:rFonts w:hint="eastAsia"/>
          <w:color w:val="auto"/>
          <w:szCs w:val="24"/>
          <w:highlight w:val="none"/>
        </w:rPr>
        <w:t>工程</w:t>
      </w:r>
    </w:p>
    <w:p w14:paraId="28341531">
      <w:pPr>
        <w:ind w:firstLine="480"/>
        <w:rPr>
          <w:color w:val="auto"/>
          <w:highlight w:val="none"/>
        </w:rPr>
      </w:pPr>
      <w:r>
        <w:rPr>
          <w:rFonts w:hint="eastAsia"/>
          <w:color w:val="auto"/>
          <w:highlight w:val="none"/>
        </w:rPr>
        <w:t>本次建设的</w:t>
      </w:r>
      <w:r>
        <w:rPr>
          <w:color w:val="auto"/>
          <w:highlight w:val="none"/>
        </w:rPr>
        <w:t>浮船坞利用原钢引桥和趸船与陆域连通，与陆域道路相接，利用周边的厂区道路作为消防车道，消防车道满足建筑设计防火规范的要求。</w:t>
      </w:r>
    </w:p>
    <w:p w14:paraId="711DB471">
      <w:pPr>
        <w:pStyle w:val="91"/>
        <w:ind w:left="480"/>
        <w:rPr>
          <w:color w:val="auto"/>
          <w:highlight w:val="none"/>
        </w:rPr>
      </w:pPr>
    </w:p>
    <w:p w14:paraId="1BA0435F">
      <w:pPr>
        <w:pStyle w:val="7"/>
        <w:numPr>
          <w:ilvl w:val="2"/>
          <w:numId w:val="9"/>
        </w:numPr>
        <w:rPr>
          <w:color w:val="auto"/>
          <w:sz w:val="28"/>
          <w:highlight w:val="none"/>
          <w:u w:val="single"/>
        </w:rPr>
      </w:pPr>
      <w:r>
        <w:rPr>
          <w:rFonts w:hint="eastAsia"/>
          <w:color w:val="auto"/>
          <w:sz w:val="28"/>
          <w:highlight w:val="none"/>
          <w:u w:val="single"/>
        </w:rPr>
        <w:t>依托工程概况及依托可行性</w:t>
      </w:r>
    </w:p>
    <w:p w14:paraId="6E4551C6">
      <w:pPr>
        <w:topLinePunct w:val="0"/>
        <w:ind w:firstLine="480"/>
        <w:rPr>
          <w:color w:val="auto"/>
          <w:highlight w:val="none"/>
          <w:u w:val="single"/>
        </w:rPr>
      </w:pPr>
      <w:r>
        <w:rPr>
          <w:color w:val="auto"/>
          <w:highlight w:val="none"/>
          <w:u w:val="single"/>
        </w:rPr>
        <w:t>项目依托</w:t>
      </w:r>
      <w:r>
        <w:rPr>
          <w:rFonts w:hint="eastAsia"/>
          <w:color w:val="auto"/>
          <w:highlight w:val="none"/>
          <w:u w:val="single"/>
        </w:rPr>
        <w:t>工程主要为</w:t>
      </w:r>
      <w:r>
        <w:rPr>
          <w:color w:val="auto"/>
          <w:highlight w:val="none"/>
          <w:u w:val="single"/>
        </w:rPr>
        <w:t>基地上的给排水工程、船体和机电综合车间、环保工程。</w:t>
      </w:r>
    </w:p>
    <w:p w14:paraId="745F16F5">
      <w:pPr>
        <w:pStyle w:val="533"/>
        <w:numPr>
          <w:ilvl w:val="3"/>
          <w:numId w:val="9"/>
        </w:numPr>
        <w:rPr>
          <w:color w:val="auto"/>
          <w:szCs w:val="24"/>
          <w:highlight w:val="none"/>
          <w:u w:val="single"/>
        </w:rPr>
      </w:pPr>
      <w:r>
        <w:rPr>
          <w:rFonts w:hint="eastAsia"/>
          <w:color w:val="auto"/>
          <w:szCs w:val="20"/>
          <w:highlight w:val="none"/>
          <w:u w:val="single"/>
        </w:rPr>
        <w:t>船体和机电综合车间</w:t>
      </w:r>
    </w:p>
    <w:p w14:paraId="7F00A2EC">
      <w:pPr>
        <w:ind w:firstLine="480"/>
        <w:rPr>
          <w:color w:val="auto"/>
          <w:szCs w:val="20"/>
          <w:highlight w:val="none"/>
          <w:u w:val="single"/>
        </w:rPr>
      </w:pPr>
      <w:r>
        <w:rPr>
          <w:rFonts w:hint="eastAsia"/>
          <w:color w:val="auto"/>
          <w:szCs w:val="20"/>
          <w:highlight w:val="none"/>
          <w:u w:val="single"/>
        </w:rPr>
        <w:t>修船所需的钢材贮存、切割、加工等工作在船体和机电综合车间进行。待修船上的机电设备、管件、螺旋桨、轴舵等部件因长时间使用损坏、腐蚀需要检查维修更换，在船体上拆卸后送船体和机电综合车间进行维修。船体和机电综合车间设有管子工场、坞修钳工工场、电工工场（含浸漆间）、薄板工场、机加工工场、化学清洗间等，拆卸的部件分类在各工场进行清洗维修。各工件在船体和机电综合车间维修后经检测合格，在船坞重新装配。</w:t>
      </w:r>
    </w:p>
    <w:p w14:paraId="5677238E">
      <w:pPr>
        <w:ind w:firstLine="482"/>
        <w:rPr>
          <w:b/>
          <w:bCs/>
          <w:color w:val="auto"/>
          <w:szCs w:val="20"/>
          <w:highlight w:val="none"/>
          <w:u w:val="single"/>
        </w:rPr>
      </w:pPr>
      <w:r>
        <w:rPr>
          <w:rFonts w:hint="eastAsia"/>
          <w:b/>
          <w:bCs/>
          <w:color w:val="auto"/>
          <w:szCs w:val="20"/>
          <w:highlight w:val="none"/>
          <w:u w:val="single"/>
        </w:rPr>
        <w:t>（1）船体和机电综合车间主要概况</w:t>
      </w:r>
    </w:p>
    <w:p w14:paraId="339BE71D">
      <w:pPr>
        <w:ind w:firstLine="482"/>
        <w:rPr>
          <w:b/>
          <w:color w:val="auto"/>
          <w:szCs w:val="20"/>
          <w:highlight w:val="none"/>
          <w:u w:val="single"/>
        </w:rPr>
      </w:pPr>
      <w:r>
        <w:rPr>
          <w:rFonts w:hint="eastAsia" w:ascii="宋体" w:hAnsi="宋体" w:cs="宋体"/>
          <w:b/>
          <w:color w:val="auto"/>
          <w:szCs w:val="20"/>
          <w:highlight w:val="none"/>
          <w:u w:val="single"/>
        </w:rPr>
        <w:t>①</w:t>
      </w:r>
      <w:r>
        <w:rPr>
          <w:rFonts w:hint="eastAsia"/>
          <w:b/>
          <w:color w:val="auto"/>
          <w:szCs w:val="20"/>
          <w:highlight w:val="none"/>
          <w:u w:val="single"/>
        </w:rPr>
        <w:t>船体和机电综合车间内主要设备</w:t>
      </w:r>
    </w:p>
    <w:p w14:paraId="7EFE05EB">
      <w:pPr>
        <w:ind w:firstLine="480"/>
        <w:rPr>
          <w:color w:val="auto"/>
          <w:szCs w:val="20"/>
          <w:highlight w:val="none"/>
          <w:u w:val="single"/>
        </w:rPr>
      </w:pPr>
      <w:r>
        <w:rPr>
          <w:rFonts w:hint="eastAsia"/>
          <w:color w:val="auto"/>
          <w:szCs w:val="20"/>
          <w:highlight w:val="none"/>
          <w:u w:val="single"/>
        </w:rPr>
        <w:t>船体和机电综合车间内主要配置的生产设备见表2.2-7。</w:t>
      </w:r>
    </w:p>
    <w:p w14:paraId="72360606">
      <w:pPr>
        <w:pStyle w:val="38"/>
        <w:spacing w:after="0" w:line="240" w:lineRule="auto"/>
        <w:ind w:firstLine="0" w:firstLineChars="0"/>
        <w:jc w:val="center"/>
        <w:rPr>
          <w:b/>
          <w:color w:val="auto"/>
          <w:sz w:val="21"/>
          <w:szCs w:val="21"/>
          <w:highlight w:val="none"/>
          <w:u w:val="single"/>
        </w:rPr>
      </w:pPr>
      <w:r>
        <w:rPr>
          <w:b/>
          <w:color w:val="auto"/>
          <w:sz w:val="21"/>
          <w:szCs w:val="21"/>
          <w:highlight w:val="none"/>
          <w:u w:val="single"/>
        </w:rPr>
        <w:t>表2.</w:t>
      </w:r>
      <w:r>
        <w:rPr>
          <w:rFonts w:hint="eastAsia"/>
          <w:b/>
          <w:color w:val="auto"/>
          <w:sz w:val="21"/>
          <w:szCs w:val="21"/>
          <w:highlight w:val="none"/>
          <w:u w:val="single"/>
        </w:rPr>
        <w:t>2</w:t>
      </w:r>
      <w:r>
        <w:rPr>
          <w:b/>
          <w:color w:val="auto"/>
          <w:sz w:val="21"/>
          <w:szCs w:val="21"/>
          <w:highlight w:val="none"/>
          <w:u w:val="single"/>
        </w:rPr>
        <w:t>-</w:t>
      </w:r>
      <w:r>
        <w:rPr>
          <w:rFonts w:hint="eastAsia"/>
          <w:b/>
          <w:color w:val="auto"/>
          <w:sz w:val="21"/>
          <w:szCs w:val="21"/>
          <w:highlight w:val="none"/>
          <w:u w:val="single"/>
        </w:rPr>
        <w:t>7</w:t>
      </w:r>
      <w:r>
        <w:rPr>
          <w:b/>
          <w:color w:val="auto"/>
          <w:sz w:val="21"/>
          <w:szCs w:val="21"/>
          <w:highlight w:val="none"/>
          <w:u w:val="single"/>
        </w:rPr>
        <w:t xml:space="preserve">  </w:t>
      </w:r>
      <w:r>
        <w:rPr>
          <w:rFonts w:hint="eastAsia"/>
          <w:b/>
          <w:color w:val="auto"/>
          <w:sz w:val="21"/>
          <w:szCs w:val="21"/>
          <w:highlight w:val="none"/>
          <w:u w:val="single"/>
        </w:rPr>
        <w:t>船体和机电综合车间</w:t>
      </w:r>
      <w:r>
        <w:rPr>
          <w:b/>
          <w:color w:val="auto"/>
          <w:sz w:val="21"/>
          <w:szCs w:val="21"/>
          <w:highlight w:val="none"/>
          <w:u w:val="single"/>
        </w:rPr>
        <w:t>主要生产设备一览表</w:t>
      </w:r>
    </w:p>
    <w:tbl>
      <w:tblPr>
        <w:tblStyle w:val="9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9"/>
        <w:gridCol w:w="2249"/>
        <w:gridCol w:w="4847"/>
        <w:gridCol w:w="819"/>
        <w:gridCol w:w="652"/>
      </w:tblGrid>
      <w:tr w14:paraId="48B5E3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387" w:type="pct"/>
            <w:tcBorders>
              <w:tl2br w:val="nil"/>
              <w:tr2bl w:val="nil"/>
            </w:tcBorders>
            <w:vAlign w:val="center"/>
          </w:tcPr>
          <w:p w14:paraId="1D92058C">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序号</w:t>
            </w:r>
          </w:p>
        </w:tc>
        <w:tc>
          <w:tcPr>
            <w:tcW w:w="1211" w:type="pct"/>
            <w:tcBorders>
              <w:tl2br w:val="nil"/>
              <w:tr2bl w:val="nil"/>
            </w:tcBorders>
            <w:vAlign w:val="center"/>
          </w:tcPr>
          <w:p w14:paraId="05EB9EF5">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设备名称及型号</w:t>
            </w:r>
          </w:p>
        </w:tc>
        <w:tc>
          <w:tcPr>
            <w:tcW w:w="2608" w:type="pct"/>
            <w:tcBorders>
              <w:tl2br w:val="nil"/>
              <w:tr2bl w:val="nil"/>
            </w:tcBorders>
            <w:vAlign w:val="center"/>
          </w:tcPr>
          <w:p w14:paraId="3B3DE157">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主要技术规格</w:t>
            </w:r>
          </w:p>
        </w:tc>
        <w:tc>
          <w:tcPr>
            <w:tcW w:w="441" w:type="pct"/>
            <w:tcBorders>
              <w:tl2br w:val="nil"/>
              <w:tr2bl w:val="nil"/>
            </w:tcBorders>
            <w:vAlign w:val="center"/>
          </w:tcPr>
          <w:p w14:paraId="4FFA9342">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单位</w:t>
            </w:r>
          </w:p>
        </w:tc>
        <w:tc>
          <w:tcPr>
            <w:tcW w:w="351" w:type="pct"/>
            <w:tcBorders>
              <w:tl2br w:val="nil"/>
              <w:tr2bl w:val="nil"/>
            </w:tcBorders>
            <w:vAlign w:val="center"/>
          </w:tcPr>
          <w:p w14:paraId="5AF01DD9">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数量</w:t>
            </w:r>
          </w:p>
        </w:tc>
      </w:tr>
      <w:tr w14:paraId="2F6437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noWrap/>
            <w:vAlign w:val="center"/>
          </w:tcPr>
          <w:p w14:paraId="04EA4A25">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一</w:t>
            </w:r>
          </w:p>
        </w:tc>
        <w:tc>
          <w:tcPr>
            <w:tcW w:w="4612" w:type="pct"/>
            <w:gridSpan w:val="4"/>
            <w:tcBorders>
              <w:tl2br w:val="nil"/>
              <w:tr2bl w:val="nil"/>
            </w:tcBorders>
            <w:noWrap/>
            <w:vAlign w:val="center"/>
          </w:tcPr>
          <w:p w14:paraId="2B2B18D4">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船体和机电综合车间（钢材切割加工工场）</w:t>
            </w:r>
          </w:p>
        </w:tc>
      </w:tr>
      <w:tr w14:paraId="218571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noWrap/>
            <w:vAlign w:val="center"/>
          </w:tcPr>
          <w:p w14:paraId="329F3832">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c>
          <w:tcPr>
            <w:tcW w:w="1211" w:type="pct"/>
            <w:tcBorders>
              <w:tl2br w:val="nil"/>
              <w:tr2bl w:val="nil"/>
            </w:tcBorders>
            <w:noWrap/>
            <w:vAlign w:val="center"/>
          </w:tcPr>
          <w:p w14:paraId="213BA24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数控等离子切割机</w:t>
            </w:r>
          </w:p>
        </w:tc>
        <w:tc>
          <w:tcPr>
            <w:tcW w:w="2608" w:type="pct"/>
            <w:tcBorders>
              <w:tl2br w:val="nil"/>
              <w:tr2bl w:val="nil"/>
            </w:tcBorders>
            <w:vAlign w:val="center"/>
          </w:tcPr>
          <w:p w14:paraId="07CDDFB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可切割3m×12m板1张，有效切割宽度3米，轨长约29m</w:t>
            </w:r>
          </w:p>
        </w:tc>
        <w:tc>
          <w:tcPr>
            <w:tcW w:w="441" w:type="pct"/>
            <w:tcBorders>
              <w:tl2br w:val="nil"/>
              <w:tr2bl w:val="nil"/>
            </w:tcBorders>
            <w:noWrap/>
            <w:vAlign w:val="center"/>
          </w:tcPr>
          <w:p w14:paraId="000BC8A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351" w:type="pct"/>
            <w:tcBorders>
              <w:tl2br w:val="nil"/>
              <w:tr2bl w:val="nil"/>
            </w:tcBorders>
            <w:noWrap/>
            <w:vAlign w:val="center"/>
          </w:tcPr>
          <w:p w14:paraId="5F1E1E8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50C65F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noWrap/>
            <w:vAlign w:val="center"/>
          </w:tcPr>
          <w:p w14:paraId="1772DBB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p>
        </w:tc>
        <w:tc>
          <w:tcPr>
            <w:tcW w:w="1211" w:type="pct"/>
            <w:tcBorders>
              <w:tl2br w:val="nil"/>
              <w:tr2bl w:val="nil"/>
            </w:tcBorders>
            <w:noWrap/>
            <w:vAlign w:val="center"/>
          </w:tcPr>
          <w:p w14:paraId="2C62D48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数控火焰切割机</w:t>
            </w:r>
          </w:p>
        </w:tc>
        <w:tc>
          <w:tcPr>
            <w:tcW w:w="2608" w:type="pct"/>
            <w:tcBorders>
              <w:tl2br w:val="nil"/>
              <w:tr2bl w:val="nil"/>
            </w:tcBorders>
            <w:vAlign w:val="center"/>
          </w:tcPr>
          <w:p w14:paraId="668097A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可切割3m×12m板1张，有效切割宽度3米，轨长约29m</w:t>
            </w:r>
          </w:p>
        </w:tc>
        <w:tc>
          <w:tcPr>
            <w:tcW w:w="441" w:type="pct"/>
            <w:tcBorders>
              <w:tl2br w:val="nil"/>
              <w:tr2bl w:val="nil"/>
            </w:tcBorders>
            <w:noWrap/>
            <w:vAlign w:val="center"/>
          </w:tcPr>
          <w:p w14:paraId="6E470CF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351" w:type="pct"/>
            <w:tcBorders>
              <w:tl2br w:val="nil"/>
              <w:tr2bl w:val="nil"/>
            </w:tcBorders>
            <w:noWrap/>
            <w:vAlign w:val="center"/>
          </w:tcPr>
          <w:p w14:paraId="36C8CF52">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5276DF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noWrap/>
            <w:vAlign w:val="center"/>
          </w:tcPr>
          <w:p w14:paraId="653DE16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3</w:t>
            </w:r>
          </w:p>
        </w:tc>
        <w:tc>
          <w:tcPr>
            <w:tcW w:w="1211" w:type="pct"/>
            <w:tcBorders>
              <w:tl2br w:val="nil"/>
              <w:tr2bl w:val="nil"/>
            </w:tcBorders>
            <w:noWrap/>
            <w:vAlign w:val="center"/>
          </w:tcPr>
          <w:p w14:paraId="11FD95D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液压剪板机</w:t>
            </w:r>
          </w:p>
        </w:tc>
        <w:tc>
          <w:tcPr>
            <w:tcW w:w="2608" w:type="pct"/>
            <w:tcBorders>
              <w:tl2br w:val="nil"/>
              <w:tr2bl w:val="nil"/>
            </w:tcBorders>
            <w:vAlign w:val="center"/>
          </w:tcPr>
          <w:p w14:paraId="48696BD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20mm×3000mm</w:t>
            </w:r>
          </w:p>
        </w:tc>
        <w:tc>
          <w:tcPr>
            <w:tcW w:w="441" w:type="pct"/>
            <w:tcBorders>
              <w:tl2br w:val="nil"/>
              <w:tr2bl w:val="nil"/>
            </w:tcBorders>
            <w:noWrap/>
            <w:vAlign w:val="center"/>
          </w:tcPr>
          <w:p w14:paraId="0F5BB73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351" w:type="pct"/>
            <w:tcBorders>
              <w:tl2br w:val="nil"/>
              <w:tr2bl w:val="nil"/>
            </w:tcBorders>
            <w:noWrap/>
            <w:vAlign w:val="center"/>
          </w:tcPr>
          <w:p w14:paraId="4C902F6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33D9A9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noWrap/>
            <w:vAlign w:val="center"/>
          </w:tcPr>
          <w:p w14:paraId="356BF8D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4</w:t>
            </w:r>
          </w:p>
        </w:tc>
        <w:tc>
          <w:tcPr>
            <w:tcW w:w="1211" w:type="pct"/>
            <w:tcBorders>
              <w:tl2br w:val="nil"/>
              <w:tr2bl w:val="nil"/>
            </w:tcBorders>
            <w:noWrap/>
            <w:vAlign w:val="center"/>
          </w:tcPr>
          <w:p w14:paraId="0A366CA2">
            <w:pPr>
              <w:widowControl/>
              <w:spacing w:line="240" w:lineRule="auto"/>
              <w:ind w:firstLine="0" w:firstLineChars="0"/>
              <w:jc w:val="center"/>
              <w:rPr>
                <w:color w:val="auto"/>
                <w:sz w:val="21"/>
                <w:szCs w:val="21"/>
                <w:highlight w:val="none"/>
                <w:u w:val="single"/>
              </w:rPr>
            </w:pPr>
            <w:r>
              <w:rPr>
                <w:color w:val="auto"/>
                <w:sz w:val="21"/>
                <w:szCs w:val="21"/>
                <w:highlight w:val="none"/>
                <w:u w:val="single"/>
              </w:rPr>
              <w:t>三辊弯板机</w:t>
            </w:r>
          </w:p>
        </w:tc>
        <w:tc>
          <w:tcPr>
            <w:tcW w:w="2608" w:type="pct"/>
            <w:tcBorders>
              <w:tl2br w:val="nil"/>
              <w:tr2bl w:val="nil"/>
            </w:tcBorders>
            <w:vAlign w:val="center"/>
          </w:tcPr>
          <w:p w14:paraId="64F2477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25mm×3.2m</w:t>
            </w:r>
          </w:p>
        </w:tc>
        <w:tc>
          <w:tcPr>
            <w:tcW w:w="441" w:type="pct"/>
            <w:tcBorders>
              <w:tl2br w:val="nil"/>
              <w:tr2bl w:val="nil"/>
            </w:tcBorders>
            <w:noWrap/>
            <w:vAlign w:val="center"/>
          </w:tcPr>
          <w:p w14:paraId="3DAD489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351" w:type="pct"/>
            <w:tcBorders>
              <w:tl2br w:val="nil"/>
              <w:tr2bl w:val="nil"/>
            </w:tcBorders>
            <w:noWrap/>
            <w:vAlign w:val="center"/>
          </w:tcPr>
          <w:p w14:paraId="3BC5F1C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24DEA4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noWrap/>
            <w:vAlign w:val="center"/>
          </w:tcPr>
          <w:p w14:paraId="404F1CC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5</w:t>
            </w:r>
          </w:p>
        </w:tc>
        <w:tc>
          <w:tcPr>
            <w:tcW w:w="1211" w:type="pct"/>
            <w:tcBorders>
              <w:tl2br w:val="nil"/>
              <w:tr2bl w:val="nil"/>
            </w:tcBorders>
            <w:vAlign w:val="center"/>
          </w:tcPr>
          <w:p w14:paraId="360FCA5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单臂式油压机</w:t>
            </w:r>
          </w:p>
        </w:tc>
        <w:tc>
          <w:tcPr>
            <w:tcW w:w="2608" w:type="pct"/>
            <w:tcBorders>
              <w:tl2br w:val="nil"/>
              <w:tr2bl w:val="nil"/>
            </w:tcBorders>
            <w:vAlign w:val="center"/>
          </w:tcPr>
          <w:p w14:paraId="16D279D2">
            <w:pPr>
              <w:widowControl/>
              <w:spacing w:line="240" w:lineRule="auto"/>
              <w:ind w:firstLine="0" w:firstLineChars="0"/>
              <w:jc w:val="center"/>
              <w:rPr>
                <w:color w:val="auto"/>
                <w:sz w:val="21"/>
                <w:szCs w:val="21"/>
                <w:highlight w:val="none"/>
                <w:u w:val="single"/>
              </w:rPr>
            </w:pPr>
            <w:r>
              <w:rPr>
                <w:color w:val="auto"/>
                <w:sz w:val="21"/>
                <w:szCs w:val="21"/>
                <w:highlight w:val="none"/>
                <w:u w:val="single"/>
              </w:rPr>
              <w:t>800t</w:t>
            </w:r>
          </w:p>
        </w:tc>
        <w:tc>
          <w:tcPr>
            <w:tcW w:w="441" w:type="pct"/>
            <w:tcBorders>
              <w:tl2br w:val="nil"/>
              <w:tr2bl w:val="nil"/>
            </w:tcBorders>
            <w:noWrap/>
            <w:vAlign w:val="center"/>
          </w:tcPr>
          <w:p w14:paraId="23983DB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351" w:type="pct"/>
            <w:tcBorders>
              <w:tl2br w:val="nil"/>
              <w:tr2bl w:val="nil"/>
            </w:tcBorders>
            <w:noWrap/>
            <w:vAlign w:val="center"/>
          </w:tcPr>
          <w:p w14:paraId="22835EF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08933D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noWrap/>
            <w:vAlign w:val="center"/>
          </w:tcPr>
          <w:p w14:paraId="0C5BEDB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6</w:t>
            </w:r>
          </w:p>
        </w:tc>
        <w:tc>
          <w:tcPr>
            <w:tcW w:w="1211" w:type="pct"/>
            <w:tcBorders>
              <w:tl2br w:val="nil"/>
              <w:tr2bl w:val="nil"/>
            </w:tcBorders>
            <w:vAlign w:val="center"/>
          </w:tcPr>
          <w:p w14:paraId="3DBAA72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单臂式油压机</w:t>
            </w:r>
          </w:p>
        </w:tc>
        <w:tc>
          <w:tcPr>
            <w:tcW w:w="2608" w:type="pct"/>
            <w:tcBorders>
              <w:tl2br w:val="nil"/>
              <w:tr2bl w:val="nil"/>
            </w:tcBorders>
            <w:vAlign w:val="center"/>
          </w:tcPr>
          <w:p w14:paraId="3CAB1C5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300t</w:t>
            </w:r>
          </w:p>
        </w:tc>
        <w:tc>
          <w:tcPr>
            <w:tcW w:w="441" w:type="pct"/>
            <w:tcBorders>
              <w:tl2br w:val="nil"/>
              <w:tr2bl w:val="nil"/>
            </w:tcBorders>
            <w:noWrap/>
            <w:vAlign w:val="center"/>
          </w:tcPr>
          <w:p w14:paraId="0B6B370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351" w:type="pct"/>
            <w:tcBorders>
              <w:tl2br w:val="nil"/>
              <w:tr2bl w:val="nil"/>
            </w:tcBorders>
            <w:noWrap/>
            <w:vAlign w:val="center"/>
          </w:tcPr>
          <w:p w14:paraId="2B2A15C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5DA3A0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noWrap/>
            <w:vAlign w:val="center"/>
          </w:tcPr>
          <w:p w14:paraId="13B103E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7</w:t>
            </w:r>
          </w:p>
        </w:tc>
        <w:tc>
          <w:tcPr>
            <w:tcW w:w="1211" w:type="pct"/>
            <w:tcBorders>
              <w:tl2br w:val="nil"/>
              <w:tr2bl w:val="nil"/>
            </w:tcBorders>
            <w:noWrap/>
            <w:vAlign w:val="center"/>
          </w:tcPr>
          <w:p w14:paraId="08EEFB9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火工平台</w:t>
            </w:r>
          </w:p>
        </w:tc>
        <w:tc>
          <w:tcPr>
            <w:tcW w:w="2608" w:type="pct"/>
            <w:tcBorders>
              <w:tl2br w:val="nil"/>
              <w:tr2bl w:val="nil"/>
            </w:tcBorders>
            <w:vAlign w:val="center"/>
          </w:tcPr>
          <w:p w14:paraId="5336F82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2m×2m</w:t>
            </w:r>
          </w:p>
        </w:tc>
        <w:tc>
          <w:tcPr>
            <w:tcW w:w="441" w:type="pct"/>
            <w:tcBorders>
              <w:tl2br w:val="nil"/>
              <w:tr2bl w:val="nil"/>
            </w:tcBorders>
            <w:noWrap/>
            <w:vAlign w:val="center"/>
          </w:tcPr>
          <w:p w14:paraId="7EDA7BE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351" w:type="pct"/>
            <w:tcBorders>
              <w:tl2br w:val="nil"/>
              <w:tr2bl w:val="nil"/>
            </w:tcBorders>
            <w:noWrap/>
            <w:vAlign w:val="center"/>
          </w:tcPr>
          <w:p w14:paraId="1ED1472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12</w:t>
            </w:r>
          </w:p>
        </w:tc>
      </w:tr>
      <w:tr w14:paraId="1EA826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noWrap/>
            <w:vAlign w:val="center"/>
          </w:tcPr>
          <w:p w14:paraId="694C4A5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8</w:t>
            </w:r>
          </w:p>
        </w:tc>
        <w:tc>
          <w:tcPr>
            <w:tcW w:w="1211" w:type="pct"/>
            <w:tcBorders>
              <w:tl2br w:val="nil"/>
              <w:tr2bl w:val="nil"/>
            </w:tcBorders>
            <w:noWrap/>
            <w:vAlign w:val="center"/>
          </w:tcPr>
          <w:p w14:paraId="2ECD69D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叉车</w:t>
            </w:r>
          </w:p>
        </w:tc>
        <w:tc>
          <w:tcPr>
            <w:tcW w:w="2608" w:type="pct"/>
            <w:tcBorders>
              <w:tl2br w:val="nil"/>
              <w:tr2bl w:val="nil"/>
            </w:tcBorders>
            <w:vAlign w:val="center"/>
          </w:tcPr>
          <w:p w14:paraId="19621C5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5t</w:t>
            </w:r>
          </w:p>
        </w:tc>
        <w:tc>
          <w:tcPr>
            <w:tcW w:w="441" w:type="pct"/>
            <w:tcBorders>
              <w:tl2br w:val="nil"/>
              <w:tr2bl w:val="nil"/>
            </w:tcBorders>
            <w:noWrap/>
            <w:vAlign w:val="center"/>
          </w:tcPr>
          <w:p w14:paraId="63E6417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351" w:type="pct"/>
            <w:tcBorders>
              <w:tl2br w:val="nil"/>
              <w:tr2bl w:val="nil"/>
            </w:tcBorders>
            <w:noWrap/>
            <w:vAlign w:val="center"/>
          </w:tcPr>
          <w:p w14:paraId="136B83B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p>
        </w:tc>
      </w:tr>
      <w:tr w14:paraId="623691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7" w:type="pct"/>
            <w:gridSpan w:val="3"/>
            <w:tcBorders>
              <w:tl2br w:val="nil"/>
              <w:tr2bl w:val="nil"/>
            </w:tcBorders>
            <w:noWrap/>
            <w:vAlign w:val="center"/>
          </w:tcPr>
          <w:p w14:paraId="33D3E04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小计</w:t>
            </w:r>
          </w:p>
        </w:tc>
        <w:tc>
          <w:tcPr>
            <w:tcW w:w="441" w:type="pct"/>
            <w:tcBorders>
              <w:tl2br w:val="nil"/>
              <w:tr2bl w:val="nil"/>
            </w:tcBorders>
            <w:noWrap/>
            <w:vAlign w:val="center"/>
          </w:tcPr>
          <w:p w14:paraId="624FC34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台/套</w:t>
            </w:r>
          </w:p>
        </w:tc>
        <w:tc>
          <w:tcPr>
            <w:tcW w:w="351" w:type="pct"/>
            <w:tcBorders>
              <w:tl2br w:val="nil"/>
              <w:tr2bl w:val="nil"/>
            </w:tcBorders>
            <w:noWrap/>
            <w:vAlign w:val="center"/>
          </w:tcPr>
          <w:p w14:paraId="29028F0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r>
              <w:rPr>
                <w:rFonts w:hint="eastAsia"/>
                <w:color w:val="auto"/>
                <w:sz w:val="21"/>
                <w:szCs w:val="21"/>
                <w:highlight w:val="none"/>
                <w:u w:val="single"/>
              </w:rPr>
              <w:t>0</w:t>
            </w:r>
          </w:p>
        </w:tc>
      </w:tr>
      <w:tr w14:paraId="418F1C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noWrap/>
            <w:vAlign w:val="center"/>
          </w:tcPr>
          <w:p w14:paraId="627AD863">
            <w:pPr>
              <w:widowControl/>
              <w:spacing w:line="240" w:lineRule="auto"/>
              <w:ind w:firstLine="0" w:firstLineChars="0"/>
              <w:jc w:val="center"/>
              <w:rPr>
                <w:b/>
                <w:bCs/>
                <w:color w:val="auto"/>
                <w:sz w:val="21"/>
                <w:szCs w:val="21"/>
                <w:highlight w:val="none"/>
                <w:u w:val="single"/>
              </w:rPr>
            </w:pPr>
            <w:r>
              <w:rPr>
                <w:rFonts w:hint="eastAsia"/>
                <w:b/>
                <w:bCs/>
                <w:color w:val="auto"/>
                <w:sz w:val="21"/>
                <w:szCs w:val="21"/>
                <w:highlight w:val="none"/>
                <w:u w:val="single"/>
              </w:rPr>
              <w:t>二</w:t>
            </w:r>
          </w:p>
        </w:tc>
        <w:tc>
          <w:tcPr>
            <w:tcW w:w="4612" w:type="pct"/>
            <w:gridSpan w:val="4"/>
            <w:tcBorders>
              <w:tl2br w:val="nil"/>
              <w:tr2bl w:val="nil"/>
            </w:tcBorders>
            <w:noWrap/>
            <w:vAlign w:val="center"/>
          </w:tcPr>
          <w:p w14:paraId="1DCC4C12">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机加工设备</w:t>
            </w:r>
          </w:p>
        </w:tc>
      </w:tr>
      <w:tr w14:paraId="1A9AF2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2A5516B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c>
          <w:tcPr>
            <w:tcW w:w="1211" w:type="pct"/>
            <w:vAlign w:val="center"/>
          </w:tcPr>
          <w:p w14:paraId="1D5494C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重型卧式车床</w:t>
            </w:r>
          </w:p>
        </w:tc>
        <w:tc>
          <w:tcPr>
            <w:tcW w:w="2608" w:type="pct"/>
            <w:vAlign w:val="center"/>
          </w:tcPr>
          <w:p w14:paraId="50DBDE7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φ2000×14000</w:t>
            </w:r>
          </w:p>
        </w:tc>
        <w:tc>
          <w:tcPr>
            <w:tcW w:w="441" w:type="pct"/>
            <w:vAlign w:val="center"/>
          </w:tcPr>
          <w:p w14:paraId="1DF2956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7E5B961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3C3289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4546132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p>
        </w:tc>
        <w:tc>
          <w:tcPr>
            <w:tcW w:w="1211" w:type="pct"/>
            <w:vAlign w:val="center"/>
          </w:tcPr>
          <w:p w14:paraId="2C58AA5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普通车床</w:t>
            </w:r>
          </w:p>
        </w:tc>
        <w:tc>
          <w:tcPr>
            <w:tcW w:w="2608" w:type="pct"/>
            <w:vAlign w:val="center"/>
          </w:tcPr>
          <w:p w14:paraId="608C6F4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φ630×3000</w:t>
            </w:r>
          </w:p>
        </w:tc>
        <w:tc>
          <w:tcPr>
            <w:tcW w:w="441" w:type="pct"/>
            <w:vAlign w:val="center"/>
          </w:tcPr>
          <w:p w14:paraId="0696BBB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5FAAF2D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2AF996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79C1AAD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3</w:t>
            </w:r>
          </w:p>
        </w:tc>
        <w:tc>
          <w:tcPr>
            <w:tcW w:w="1211" w:type="pct"/>
            <w:vAlign w:val="center"/>
          </w:tcPr>
          <w:p w14:paraId="15C3ED7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普通车床</w:t>
            </w:r>
          </w:p>
        </w:tc>
        <w:tc>
          <w:tcPr>
            <w:tcW w:w="2608" w:type="pct"/>
            <w:vAlign w:val="center"/>
          </w:tcPr>
          <w:p w14:paraId="187AF07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φ500×2000</w:t>
            </w:r>
          </w:p>
        </w:tc>
        <w:tc>
          <w:tcPr>
            <w:tcW w:w="441" w:type="pct"/>
            <w:vAlign w:val="center"/>
          </w:tcPr>
          <w:p w14:paraId="3F68AC9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2DB2447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39397E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4400032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4</w:t>
            </w:r>
          </w:p>
        </w:tc>
        <w:tc>
          <w:tcPr>
            <w:tcW w:w="1211" w:type="pct"/>
            <w:vAlign w:val="center"/>
          </w:tcPr>
          <w:p w14:paraId="4F854F8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普通车床</w:t>
            </w:r>
          </w:p>
        </w:tc>
        <w:tc>
          <w:tcPr>
            <w:tcW w:w="2608" w:type="pct"/>
            <w:vAlign w:val="center"/>
          </w:tcPr>
          <w:p w14:paraId="4849950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φ500×1500</w:t>
            </w:r>
          </w:p>
        </w:tc>
        <w:tc>
          <w:tcPr>
            <w:tcW w:w="441" w:type="pct"/>
            <w:vAlign w:val="center"/>
          </w:tcPr>
          <w:p w14:paraId="49E758A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4B41DFF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p>
        </w:tc>
      </w:tr>
      <w:tr w14:paraId="075D0B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6DAADC8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5</w:t>
            </w:r>
          </w:p>
        </w:tc>
        <w:tc>
          <w:tcPr>
            <w:tcW w:w="1211" w:type="pct"/>
            <w:vAlign w:val="center"/>
          </w:tcPr>
          <w:p w14:paraId="4EDA8F1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普通车床</w:t>
            </w:r>
          </w:p>
        </w:tc>
        <w:tc>
          <w:tcPr>
            <w:tcW w:w="2608" w:type="pct"/>
            <w:vAlign w:val="center"/>
          </w:tcPr>
          <w:p w14:paraId="31AF543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φ400×1500</w:t>
            </w:r>
          </w:p>
        </w:tc>
        <w:tc>
          <w:tcPr>
            <w:tcW w:w="441" w:type="pct"/>
            <w:vAlign w:val="center"/>
          </w:tcPr>
          <w:p w14:paraId="2E3EC86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399AEC0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p>
        </w:tc>
      </w:tr>
      <w:tr w14:paraId="10D00D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1796BF5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6</w:t>
            </w:r>
          </w:p>
        </w:tc>
        <w:tc>
          <w:tcPr>
            <w:tcW w:w="1211" w:type="pct"/>
            <w:vAlign w:val="center"/>
          </w:tcPr>
          <w:p w14:paraId="0D3793B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普通车床</w:t>
            </w:r>
          </w:p>
        </w:tc>
        <w:tc>
          <w:tcPr>
            <w:tcW w:w="2608" w:type="pct"/>
            <w:vAlign w:val="center"/>
          </w:tcPr>
          <w:p w14:paraId="2829EFC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φ400×1000</w:t>
            </w:r>
          </w:p>
        </w:tc>
        <w:tc>
          <w:tcPr>
            <w:tcW w:w="441" w:type="pct"/>
            <w:vAlign w:val="center"/>
          </w:tcPr>
          <w:p w14:paraId="6BDF7BA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7797ACE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p>
        </w:tc>
      </w:tr>
      <w:tr w14:paraId="236A47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189A390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7</w:t>
            </w:r>
          </w:p>
        </w:tc>
        <w:tc>
          <w:tcPr>
            <w:tcW w:w="1211" w:type="pct"/>
            <w:vAlign w:val="center"/>
          </w:tcPr>
          <w:p w14:paraId="6F8AB262">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卧式带锯机</w:t>
            </w:r>
          </w:p>
        </w:tc>
        <w:tc>
          <w:tcPr>
            <w:tcW w:w="2608" w:type="pct"/>
            <w:vAlign w:val="center"/>
          </w:tcPr>
          <w:p w14:paraId="36EA4892">
            <w:pPr>
              <w:widowControl/>
              <w:spacing w:line="240" w:lineRule="auto"/>
              <w:ind w:firstLine="0" w:firstLineChars="0"/>
              <w:jc w:val="center"/>
              <w:rPr>
                <w:color w:val="auto"/>
                <w:sz w:val="21"/>
                <w:szCs w:val="21"/>
                <w:highlight w:val="none"/>
                <w:u w:val="single"/>
              </w:rPr>
            </w:pPr>
            <w:r>
              <w:rPr>
                <w:color w:val="auto"/>
                <w:sz w:val="21"/>
                <w:szCs w:val="21"/>
                <w:highlight w:val="none"/>
                <w:u w:val="single"/>
              </w:rPr>
              <w:t>φ320</w:t>
            </w:r>
          </w:p>
        </w:tc>
        <w:tc>
          <w:tcPr>
            <w:tcW w:w="441" w:type="pct"/>
            <w:vAlign w:val="center"/>
          </w:tcPr>
          <w:p w14:paraId="54EEE35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6B93E2A2">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6181F1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3F54534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8</w:t>
            </w:r>
          </w:p>
        </w:tc>
        <w:tc>
          <w:tcPr>
            <w:tcW w:w="1211" w:type="pct"/>
            <w:vAlign w:val="center"/>
          </w:tcPr>
          <w:p w14:paraId="210BFB7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插床</w:t>
            </w:r>
          </w:p>
        </w:tc>
        <w:tc>
          <w:tcPr>
            <w:tcW w:w="2608" w:type="pct"/>
            <w:vAlign w:val="center"/>
          </w:tcPr>
          <w:p w14:paraId="63BB36A2">
            <w:pPr>
              <w:widowControl/>
              <w:spacing w:line="240" w:lineRule="auto"/>
              <w:ind w:firstLine="0" w:firstLineChars="0"/>
              <w:jc w:val="center"/>
              <w:rPr>
                <w:color w:val="auto"/>
                <w:sz w:val="21"/>
                <w:szCs w:val="21"/>
                <w:highlight w:val="none"/>
                <w:u w:val="single"/>
              </w:rPr>
            </w:pPr>
            <w:r>
              <w:rPr>
                <w:color w:val="auto"/>
                <w:sz w:val="21"/>
                <w:szCs w:val="21"/>
                <w:highlight w:val="none"/>
                <w:u w:val="single"/>
              </w:rPr>
              <w:t>l=500</w:t>
            </w:r>
          </w:p>
        </w:tc>
        <w:tc>
          <w:tcPr>
            <w:tcW w:w="441" w:type="pct"/>
            <w:vAlign w:val="center"/>
          </w:tcPr>
          <w:p w14:paraId="202BD15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4C0B1DC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7F578D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511F3F8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9</w:t>
            </w:r>
          </w:p>
        </w:tc>
        <w:tc>
          <w:tcPr>
            <w:tcW w:w="1211" w:type="pct"/>
            <w:vAlign w:val="center"/>
          </w:tcPr>
          <w:p w14:paraId="36D5AF1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插床</w:t>
            </w:r>
          </w:p>
        </w:tc>
        <w:tc>
          <w:tcPr>
            <w:tcW w:w="2608" w:type="pct"/>
            <w:vAlign w:val="center"/>
          </w:tcPr>
          <w:p w14:paraId="3EAA8E92">
            <w:pPr>
              <w:widowControl/>
              <w:spacing w:line="240" w:lineRule="auto"/>
              <w:ind w:firstLine="0" w:firstLineChars="0"/>
              <w:jc w:val="center"/>
              <w:rPr>
                <w:color w:val="auto"/>
                <w:sz w:val="21"/>
                <w:szCs w:val="21"/>
                <w:highlight w:val="none"/>
                <w:u w:val="single"/>
              </w:rPr>
            </w:pPr>
            <w:r>
              <w:rPr>
                <w:color w:val="auto"/>
                <w:sz w:val="21"/>
                <w:szCs w:val="21"/>
                <w:highlight w:val="none"/>
                <w:u w:val="single"/>
              </w:rPr>
              <w:t>l=200</w:t>
            </w:r>
          </w:p>
        </w:tc>
        <w:tc>
          <w:tcPr>
            <w:tcW w:w="441" w:type="pct"/>
            <w:vAlign w:val="center"/>
          </w:tcPr>
          <w:p w14:paraId="302C5DF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311EA2C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060F3B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5CD86B7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10</w:t>
            </w:r>
          </w:p>
        </w:tc>
        <w:tc>
          <w:tcPr>
            <w:tcW w:w="1211" w:type="pct"/>
            <w:vAlign w:val="center"/>
          </w:tcPr>
          <w:p w14:paraId="75A0170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数显卧式铣镗床</w:t>
            </w:r>
          </w:p>
        </w:tc>
        <w:tc>
          <w:tcPr>
            <w:tcW w:w="2608" w:type="pct"/>
            <w:vAlign w:val="center"/>
          </w:tcPr>
          <w:p w14:paraId="19A0ADC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φ130</w:t>
            </w:r>
          </w:p>
        </w:tc>
        <w:tc>
          <w:tcPr>
            <w:tcW w:w="441" w:type="pct"/>
            <w:vAlign w:val="center"/>
          </w:tcPr>
          <w:p w14:paraId="4438834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4711845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630101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1172150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11</w:t>
            </w:r>
          </w:p>
        </w:tc>
        <w:tc>
          <w:tcPr>
            <w:tcW w:w="1211" w:type="pct"/>
            <w:vAlign w:val="center"/>
          </w:tcPr>
          <w:p w14:paraId="609E5116">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摇臂钻床</w:t>
            </w:r>
          </w:p>
        </w:tc>
        <w:tc>
          <w:tcPr>
            <w:tcW w:w="2608" w:type="pct"/>
            <w:vAlign w:val="center"/>
          </w:tcPr>
          <w:p w14:paraId="3499B02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φ50×1600</w:t>
            </w:r>
          </w:p>
        </w:tc>
        <w:tc>
          <w:tcPr>
            <w:tcW w:w="441" w:type="pct"/>
            <w:vAlign w:val="center"/>
          </w:tcPr>
          <w:p w14:paraId="0706B47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2746D25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2CE5CC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3891D2D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12</w:t>
            </w:r>
          </w:p>
        </w:tc>
        <w:tc>
          <w:tcPr>
            <w:tcW w:w="1211" w:type="pct"/>
            <w:vAlign w:val="center"/>
          </w:tcPr>
          <w:p w14:paraId="4D53809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卧式升降台铣床</w:t>
            </w:r>
          </w:p>
        </w:tc>
        <w:tc>
          <w:tcPr>
            <w:tcW w:w="2608" w:type="pct"/>
            <w:vAlign w:val="center"/>
          </w:tcPr>
          <w:p w14:paraId="1779EB7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400×1700</w:t>
            </w:r>
          </w:p>
        </w:tc>
        <w:tc>
          <w:tcPr>
            <w:tcW w:w="441" w:type="pct"/>
            <w:vAlign w:val="center"/>
          </w:tcPr>
          <w:p w14:paraId="3B4A10D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2373CF56">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73D5C1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06E5A49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13</w:t>
            </w:r>
          </w:p>
        </w:tc>
        <w:tc>
          <w:tcPr>
            <w:tcW w:w="1211" w:type="pct"/>
            <w:vAlign w:val="center"/>
          </w:tcPr>
          <w:p w14:paraId="32E87E3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立式升降台铣床</w:t>
            </w:r>
          </w:p>
        </w:tc>
        <w:tc>
          <w:tcPr>
            <w:tcW w:w="2608" w:type="pct"/>
            <w:vAlign w:val="center"/>
          </w:tcPr>
          <w:p w14:paraId="1C3DD3E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400×1600</w:t>
            </w:r>
          </w:p>
        </w:tc>
        <w:tc>
          <w:tcPr>
            <w:tcW w:w="441" w:type="pct"/>
            <w:vAlign w:val="center"/>
          </w:tcPr>
          <w:p w14:paraId="0AF6FDF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4078C2C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632B4F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6A5D2C9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14</w:t>
            </w:r>
          </w:p>
        </w:tc>
        <w:tc>
          <w:tcPr>
            <w:tcW w:w="1211" w:type="pct"/>
            <w:vAlign w:val="center"/>
          </w:tcPr>
          <w:p w14:paraId="1383FD9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外圆磨床</w:t>
            </w:r>
          </w:p>
        </w:tc>
        <w:tc>
          <w:tcPr>
            <w:tcW w:w="2608" w:type="pct"/>
            <w:vAlign w:val="center"/>
          </w:tcPr>
          <w:p w14:paraId="49A52D5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φ320×1000</w:t>
            </w:r>
          </w:p>
        </w:tc>
        <w:tc>
          <w:tcPr>
            <w:tcW w:w="441" w:type="pct"/>
            <w:vAlign w:val="center"/>
          </w:tcPr>
          <w:p w14:paraId="60C8B95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0F7A556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5E3116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0F9E36F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15</w:t>
            </w:r>
          </w:p>
        </w:tc>
        <w:tc>
          <w:tcPr>
            <w:tcW w:w="1211" w:type="pct"/>
            <w:vAlign w:val="center"/>
          </w:tcPr>
          <w:p w14:paraId="43B0460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卧轴矩台平面磨床</w:t>
            </w:r>
          </w:p>
        </w:tc>
        <w:tc>
          <w:tcPr>
            <w:tcW w:w="2608" w:type="pct"/>
            <w:vAlign w:val="center"/>
          </w:tcPr>
          <w:p w14:paraId="5C7B444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320×1600</w:t>
            </w:r>
          </w:p>
        </w:tc>
        <w:tc>
          <w:tcPr>
            <w:tcW w:w="441" w:type="pct"/>
            <w:vAlign w:val="center"/>
          </w:tcPr>
          <w:p w14:paraId="7FF7011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41F1395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24BA5E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1C28801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16</w:t>
            </w:r>
          </w:p>
        </w:tc>
        <w:tc>
          <w:tcPr>
            <w:tcW w:w="1211" w:type="pct"/>
            <w:vAlign w:val="center"/>
          </w:tcPr>
          <w:p w14:paraId="58C7AEA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牛头刨床</w:t>
            </w:r>
          </w:p>
        </w:tc>
        <w:tc>
          <w:tcPr>
            <w:tcW w:w="2608" w:type="pct"/>
            <w:vAlign w:val="center"/>
          </w:tcPr>
          <w:p w14:paraId="7F832502">
            <w:pPr>
              <w:widowControl/>
              <w:spacing w:line="240" w:lineRule="auto"/>
              <w:ind w:firstLine="0" w:firstLineChars="0"/>
              <w:jc w:val="center"/>
              <w:rPr>
                <w:color w:val="auto"/>
                <w:sz w:val="21"/>
                <w:szCs w:val="21"/>
                <w:highlight w:val="none"/>
                <w:u w:val="single"/>
              </w:rPr>
            </w:pPr>
            <w:r>
              <w:rPr>
                <w:color w:val="auto"/>
                <w:sz w:val="21"/>
                <w:szCs w:val="21"/>
                <w:highlight w:val="none"/>
                <w:u w:val="single"/>
              </w:rPr>
              <w:t>630×400</w:t>
            </w:r>
          </w:p>
        </w:tc>
        <w:tc>
          <w:tcPr>
            <w:tcW w:w="441" w:type="pct"/>
            <w:vAlign w:val="center"/>
          </w:tcPr>
          <w:p w14:paraId="652FCBB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75A70D6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11B164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1CC7F09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17</w:t>
            </w:r>
          </w:p>
        </w:tc>
        <w:tc>
          <w:tcPr>
            <w:tcW w:w="1211" w:type="pct"/>
            <w:vAlign w:val="center"/>
          </w:tcPr>
          <w:p w14:paraId="3D65FBD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立式车床</w:t>
            </w:r>
          </w:p>
        </w:tc>
        <w:tc>
          <w:tcPr>
            <w:tcW w:w="2608" w:type="pct"/>
            <w:vAlign w:val="center"/>
          </w:tcPr>
          <w:p w14:paraId="0C7B544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φ2000×1550</w:t>
            </w:r>
          </w:p>
        </w:tc>
        <w:tc>
          <w:tcPr>
            <w:tcW w:w="441" w:type="pct"/>
            <w:vAlign w:val="center"/>
          </w:tcPr>
          <w:p w14:paraId="725CF43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7311ECA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2C083A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5D719F6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18</w:t>
            </w:r>
          </w:p>
        </w:tc>
        <w:tc>
          <w:tcPr>
            <w:tcW w:w="1211" w:type="pct"/>
            <w:vAlign w:val="center"/>
          </w:tcPr>
          <w:p w14:paraId="6AFD84A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其它机加工设备</w:t>
            </w:r>
          </w:p>
        </w:tc>
        <w:tc>
          <w:tcPr>
            <w:tcW w:w="2608" w:type="pct"/>
            <w:vAlign w:val="center"/>
          </w:tcPr>
          <w:p w14:paraId="1AD761D3">
            <w:pPr>
              <w:widowControl/>
              <w:spacing w:line="240" w:lineRule="auto"/>
              <w:ind w:firstLine="0" w:firstLineChars="0"/>
              <w:jc w:val="center"/>
              <w:rPr>
                <w:color w:val="auto"/>
                <w:sz w:val="21"/>
                <w:szCs w:val="21"/>
                <w:highlight w:val="none"/>
                <w:u w:val="single"/>
              </w:rPr>
            </w:pPr>
          </w:p>
        </w:tc>
        <w:tc>
          <w:tcPr>
            <w:tcW w:w="441" w:type="pct"/>
            <w:vAlign w:val="center"/>
          </w:tcPr>
          <w:p w14:paraId="53D09D1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05265E9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6</w:t>
            </w:r>
          </w:p>
        </w:tc>
      </w:tr>
      <w:tr w14:paraId="64B46F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7" w:type="pct"/>
            <w:gridSpan w:val="3"/>
            <w:vAlign w:val="center"/>
          </w:tcPr>
          <w:p w14:paraId="52B714F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小计</w:t>
            </w:r>
          </w:p>
        </w:tc>
        <w:tc>
          <w:tcPr>
            <w:tcW w:w="441" w:type="pct"/>
            <w:vAlign w:val="center"/>
          </w:tcPr>
          <w:p w14:paraId="54ABEA4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台/套</w:t>
            </w:r>
          </w:p>
        </w:tc>
        <w:tc>
          <w:tcPr>
            <w:tcW w:w="652" w:type="dxa"/>
            <w:vAlign w:val="center"/>
          </w:tcPr>
          <w:p w14:paraId="62474F2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26</w:t>
            </w:r>
          </w:p>
        </w:tc>
      </w:tr>
      <w:tr w14:paraId="55CD60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791ABDCF">
            <w:pPr>
              <w:widowControl/>
              <w:spacing w:line="240" w:lineRule="auto"/>
              <w:ind w:firstLine="0" w:firstLineChars="0"/>
              <w:jc w:val="center"/>
              <w:rPr>
                <w:color w:val="auto"/>
                <w:sz w:val="21"/>
                <w:szCs w:val="21"/>
                <w:highlight w:val="none"/>
                <w:u w:val="single"/>
              </w:rPr>
            </w:pPr>
            <w:r>
              <w:rPr>
                <w:rFonts w:hint="eastAsia"/>
                <w:b/>
                <w:bCs/>
                <w:color w:val="auto"/>
                <w:sz w:val="21"/>
                <w:szCs w:val="21"/>
                <w:highlight w:val="none"/>
                <w:u w:val="single"/>
              </w:rPr>
              <w:t>三</w:t>
            </w:r>
          </w:p>
        </w:tc>
        <w:tc>
          <w:tcPr>
            <w:tcW w:w="4612" w:type="pct"/>
            <w:gridSpan w:val="4"/>
            <w:vAlign w:val="center"/>
          </w:tcPr>
          <w:p w14:paraId="11F09694">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钳工、坞修工场</w:t>
            </w:r>
          </w:p>
        </w:tc>
      </w:tr>
      <w:tr w14:paraId="089C37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42F3DD6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c>
          <w:tcPr>
            <w:tcW w:w="1211" w:type="pct"/>
            <w:vAlign w:val="center"/>
          </w:tcPr>
          <w:p w14:paraId="2080E506">
            <w:pPr>
              <w:widowControl/>
              <w:spacing w:line="240" w:lineRule="auto"/>
              <w:ind w:firstLine="0" w:firstLineChars="0"/>
              <w:jc w:val="center"/>
              <w:rPr>
                <w:color w:val="auto"/>
                <w:sz w:val="21"/>
                <w:szCs w:val="21"/>
                <w:highlight w:val="none"/>
                <w:u w:val="single"/>
              </w:rPr>
            </w:pPr>
            <w:r>
              <w:rPr>
                <w:color w:val="auto"/>
                <w:sz w:val="21"/>
                <w:szCs w:val="21"/>
                <w:highlight w:val="none"/>
                <w:u w:val="single"/>
              </w:rPr>
              <w:t>螺旋桨静平衡试验装置</w:t>
            </w:r>
          </w:p>
        </w:tc>
        <w:tc>
          <w:tcPr>
            <w:tcW w:w="2608" w:type="pct"/>
            <w:vAlign w:val="center"/>
          </w:tcPr>
          <w:p w14:paraId="0BDEEAA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Gn</w:t>
            </w:r>
            <w:r>
              <w:rPr>
                <w:rFonts w:hint="eastAsia"/>
                <w:color w:val="auto"/>
                <w:sz w:val="21"/>
                <w:szCs w:val="21"/>
                <w:highlight w:val="none"/>
                <w:u w:val="single"/>
                <w:lang w:eastAsia="zh-CN"/>
              </w:rPr>
              <w:t>=</w:t>
            </w:r>
            <w:r>
              <w:rPr>
                <w:color w:val="auto"/>
                <w:sz w:val="21"/>
                <w:szCs w:val="21"/>
                <w:highlight w:val="none"/>
                <w:u w:val="single"/>
              </w:rPr>
              <w:t>80t</w:t>
            </w:r>
          </w:p>
        </w:tc>
        <w:tc>
          <w:tcPr>
            <w:tcW w:w="441" w:type="pct"/>
            <w:vAlign w:val="center"/>
          </w:tcPr>
          <w:p w14:paraId="01DCC97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0E2A521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7FB354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6C08AB6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p>
        </w:tc>
        <w:tc>
          <w:tcPr>
            <w:tcW w:w="1211" w:type="pct"/>
            <w:vAlign w:val="center"/>
          </w:tcPr>
          <w:p w14:paraId="23A503E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摇臂钻床</w:t>
            </w:r>
          </w:p>
        </w:tc>
        <w:tc>
          <w:tcPr>
            <w:tcW w:w="2608" w:type="pct"/>
            <w:vAlign w:val="center"/>
          </w:tcPr>
          <w:p w14:paraId="0C92D10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φ50×1600</w:t>
            </w:r>
          </w:p>
        </w:tc>
        <w:tc>
          <w:tcPr>
            <w:tcW w:w="441" w:type="pct"/>
            <w:vAlign w:val="center"/>
          </w:tcPr>
          <w:p w14:paraId="776A419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42638A0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25E695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1DACA6A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3</w:t>
            </w:r>
          </w:p>
        </w:tc>
        <w:tc>
          <w:tcPr>
            <w:tcW w:w="1211" w:type="pct"/>
            <w:vAlign w:val="center"/>
          </w:tcPr>
          <w:p w14:paraId="0382416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压力机</w:t>
            </w:r>
          </w:p>
        </w:tc>
        <w:tc>
          <w:tcPr>
            <w:tcW w:w="2608" w:type="pct"/>
            <w:vAlign w:val="center"/>
          </w:tcPr>
          <w:p w14:paraId="3713624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100t</w:t>
            </w:r>
          </w:p>
        </w:tc>
        <w:tc>
          <w:tcPr>
            <w:tcW w:w="441" w:type="pct"/>
            <w:vAlign w:val="center"/>
          </w:tcPr>
          <w:p w14:paraId="7DAF476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4852A73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00E961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1A0E57C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4</w:t>
            </w:r>
          </w:p>
        </w:tc>
        <w:tc>
          <w:tcPr>
            <w:tcW w:w="1211" w:type="pct"/>
            <w:vAlign w:val="center"/>
          </w:tcPr>
          <w:p w14:paraId="334A59D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移动摇臂钻床</w:t>
            </w:r>
          </w:p>
        </w:tc>
        <w:tc>
          <w:tcPr>
            <w:tcW w:w="2608" w:type="pct"/>
            <w:vAlign w:val="center"/>
          </w:tcPr>
          <w:p w14:paraId="466654B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φ25</w:t>
            </w:r>
          </w:p>
        </w:tc>
        <w:tc>
          <w:tcPr>
            <w:tcW w:w="441" w:type="pct"/>
            <w:vAlign w:val="center"/>
          </w:tcPr>
          <w:p w14:paraId="5ECBE93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4FBF81F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3D138B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14561E1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5</w:t>
            </w:r>
          </w:p>
        </w:tc>
        <w:tc>
          <w:tcPr>
            <w:tcW w:w="1211" w:type="pct"/>
            <w:vAlign w:val="center"/>
          </w:tcPr>
          <w:p w14:paraId="46CD412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移动式试压设备</w:t>
            </w:r>
          </w:p>
        </w:tc>
        <w:tc>
          <w:tcPr>
            <w:tcW w:w="2608" w:type="pct"/>
            <w:vAlign w:val="center"/>
          </w:tcPr>
          <w:p w14:paraId="4B4A6B7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40MPa</w:t>
            </w:r>
          </w:p>
        </w:tc>
        <w:tc>
          <w:tcPr>
            <w:tcW w:w="441" w:type="pct"/>
            <w:vAlign w:val="center"/>
          </w:tcPr>
          <w:p w14:paraId="0109D66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7171FD6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1AE0C8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31DB712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6</w:t>
            </w:r>
          </w:p>
        </w:tc>
        <w:tc>
          <w:tcPr>
            <w:tcW w:w="1211" w:type="pct"/>
            <w:vAlign w:val="center"/>
          </w:tcPr>
          <w:p w14:paraId="4A910C8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液压工具</w:t>
            </w:r>
          </w:p>
        </w:tc>
        <w:tc>
          <w:tcPr>
            <w:tcW w:w="2608" w:type="pct"/>
            <w:vAlign w:val="center"/>
          </w:tcPr>
          <w:p w14:paraId="399B9B8C">
            <w:pPr>
              <w:widowControl/>
              <w:spacing w:line="240" w:lineRule="auto"/>
              <w:ind w:firstLine="0" w:firstLineChars="0"/>
              <w:jc w:val="center"/>
              <w:rPr>
                <w:color w:val="auto"/>
                <w:sz w:val="21"/>
                <w:szCs w:val="21"/>
                <w:highlight w:val="none"/>
                <w:u w:val="single"/>
              </w:rPr>
            </w:pPr>
          </w:p>
        </w:tc>
        <w:tc>
          <w:tcPr>
            <w:tcW w:w="441" w:type="pct"/>
            <w:vAlign w:val="center"/>
          </w:tcPr>
          <w:p w14:paraId="21AB1C4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套</w:t>
            </w:r>
          </w:p>
        </w:tc>
        <w:tc>
          <w:tcPr>
            <w:tcW w:w="652" w:type="dxa"/>
            <w:vAlign w:val="center"/>
          </w:tcPr>
          <w:p w14:paraId="3C68C88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2D2A4A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3C6EC206">
            <w:pPr>
              <w:widowControl/>
              <w:spacing w:line="240" w:lineRule="auto"/>
              <w:ind w:firstLine="0" w:firstLineChars="0"/>
              <w:jc w:val="center"/>
              <w:rPr>
                <w:color w:val="auto"/>
                <w:sz w:val="21"/>
                <w:szCs w:val="21"/>
                <w:highlight w:val="none"/>
                <w:u w:val="single"/>
              </w:rPr>
            </w:pPr>
            <w:r>
              <w:rPr>
                <w:color w:val="auto"/>
                <w:sz w:val="21"/>
                <w:szCs w:val="21"/>
                <w:highlight w:val="none"/>
                <w:u w:val="single"/>
              </w:rPr>
              <w:t>7</w:t>
            </w:r>
          </w:p>
        </w:tc>
        <w:tc>
          <w:tcPr>
            <w:tcW w:w="1211" w:type="pct"/>
            <w:vAlign w:val="center"/>
          </w:tcPr>
          <w:p w14:paraId="00162F4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便携式镗孔机</w:t>
            </w:r>
          </w:p>
        </w:tc>
        <w:tc>
          <w:tcPr>
            <w:tcW w:w="2608" w:type="pct"/>
            <w:vAlign w:val="center"/>
          </w:tcPr>
          <w:p w14:paraId="6E2195F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φ34.8～127</w:t>
            </w:r>
          </w:p>
        </w:tc>
        <w:tc>
          <w:tcPr>
            <w:tcW w:w="441" w:type="pct"/>
            <w:vAlign w:val="center"/>
          </w:tcPr>
          <w:p w14:paraId="1983A57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6A6E867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00A7D1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4A6E13E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8</w:t>
            </w:r>
          </w:p>
        </w:tc>
        <w:tc>
          <w:tcPr>
            <w:tcW w:w="1211" w:type="pct"/>
            <w:vAlign w:val="center"/>
          </w:tcPr>
          <w:p w14:paraId="7BFE11F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电焊机</w:t>
            </w:r>
          </w:p>
        </w:tc>
        <w:tc>
          <w:tcPr>
            <w:tcW w:w="2608" w:type="pct"/>
            <w:vAlign w:val="center"/>
          </w:tcPr>
          <w:p w14:paraId="5D03AEB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300A～500A</w:t>
            </w:r>
          </w:p>
        </w:tc>
        <w:tc>
          <w:tcPr>
            <w:tcW w:w="441" w:type="pct"/>
            <w:vAlign w:val="center"/>
          </w:tcPr>
          <w:p w14:paraId="71523356">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7988656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26</w:t>
            </w:r>
          </w:p>
        </w:tc>
      </w:tr>
      <w:tr w14:paraId="03F2EF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412693C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9</w:t>
            </w:r>
          </w:p>
        </w:tc>
        <w:tc>
          <w:tcPr>
            <w:tcW w:w="1211" w:type="pct"/>
            <w:vAlign w:val="center"/>
          </w:tcPr>
          <w:p w14:paraId="0000421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串油设备</w:t>
            </w:r>
          </w:p>
        </w:tc>
        <w:tc>
          <w:tcPr>
            <w:tcW w:w="2608" w:type="pct"/>
            <w:vAlign w:val="center"/>
          </w:tcPr>
          <w:p w14:paraId="24F52B6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700l/min</w:t>
            </w:r>
          </w:p>
        </w:tc>
        <w:tc>
          <w:tcPr>
            <w:tcW w:w="441" w:type="pct"/>
            <w:vAlign w:val="center"/>
          </w:tcPr>
          <w:p w14:paraId="6C8ED23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3E23F17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7D68E7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19C9552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10</w:t>
            </w:r>
          </w:p>
        </w:tc>
        <w:tc>
          <w:tcPr>
            <w:tcW w:w="1211" w:type="pct"/>
            <w:vAlign w:val="center"/>
          </w:tcPr>
          <w:p w14:paraId="5BD4C967">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lang w:eastAsia="zh-CN"/>
              </w:rPr>
              <w:t>其他</w:t>
            </w:r>
            <w:r>
              <w:rPr>
                <w:color w:val="auto"/>
                <w:sz w:val="21"/>
                <w:szCs w:val="21"/>
                <w:highlight w:val="none"/>
                <w:u w:val="single"/>
              </w:rPr>
              <w:t>坞修设备</w:t>
            </w:r>
          </w:p>
        </w:tc>
        <w:tc>
          <w:tcPr>
            <w:tcW w:w="2608" w:type="pct"/>
            <w:vAlign w:val="center"/>
          </w:tcPr>
          <w:p w14:paraId="0D3F6783">
            <w:pPr>
              <w:widowControl/>
              <w:spacing w:line="240" w:lineRule="auto"/>
              <w:ind w:firstLine="0" w:firstLineChars="0"/>
              <w:jc w:val="center"/>
              <w:rPr>
                <w:color w:val="auto"/>
                <w:sz w:val="21"/>
                <w:szCs w:val="21"/>
                <w:highlight w:val="none"/>
                <w:u w:val="single"/>
              </w:rPr>
            </w:pPr>
          </w:p>
        </w:tc>
        <w:tc>
          <w:tcPr>
            <w:tcW w:w="441" w:type="pct"/>
            <w:vAlign w:val="center"/>
          </w:tcPr>
          <w:p w14:paraId="5472C01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台/套</w:t>
            </w:r>
          </w:p>
        </w:tc>
        <w:tc>
          <w:tcPr>
            <w:tcW w:w="652" w:type="dxa"/>
            <w:vAlign w:val="center"/>
          </w:tcPr>
          <w:p w14:paraId="513F1DD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12</w:t>
            </w:r>
          </w:p>
        </w:tc>
      </w:tr>
      <w:tr w14:paraId="312CE7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3C7B43EF">
            <w:pPr>
              <w:widowControl/>
              <w:spacing w:line="240" w:lineRule="auto"/>
              <w:ind w:firstLine="0" w:firstLineChars="0"/>
              <w:jc w:val="center"/>
              <w:rPr>
                <w:color w:val="auto"/>
                <w:sz w:val="21"/>
                <w:szCs w:val="21"/>
                <w:highlight w:val="none"/>
                <w:u w:val="single"/>
              </w:rPr>
            </w:pPr>
          </w:p>
        </w:tc>
        <w:tc>
          <w:tcPr>
            <w:tcW w:w="1211" w:type="pct"/>
            <w:vAlign w:val="center"/>
          </w:tcPr>
          <w:p w14:paraId="5FE9F39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小计</w:t>
            </w:r>
          </w:p>
        </w:tc>
        <w:tc>
          <w:tcPr>
            <w:tcW w:w="2608" w:type="pct"/>
            <w:vAlign w:val="center"/>
          </w:tcPr>
          <w:p w14:paraId="2D3240BF">
            <w:pPr>
              <w:widowControl/>
              <w:spacing w:line="240" w:lineRule="auto"/>
              <w:ind w:firstLine="0" w:firstLineChars="0"/>
              <w:jc w:val="center"/>
              <w:rPr>
                <w:color w:val="auto"/>
                <w:sz w:val="21"/>
                <w:szCs w:val="21"/>
                <w:highlight w:val="none"/>
                <w:u w:val="single"/>
              </w:rPr>
            </w:pPr>
          </w:p>
        </w:tc>
        <w:tc>
          <w:tcPr>
            <w:tcW w:w="441" w:type="pct"/>
            <w:vAlign w:val="center"/>
          </w:tcPr>
          <w:p w14:paraId="7BEA99E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台/套</w:t>
            </w:r>
          </w:p>
        </w:tc>
        <w:tc>
          <w:tcPr>
            <w:tcW w:w="652" w:type="dxa"/>
            <w:vAlign w:val="center"/>
          </w:tcPr>
          <w:p w14:paraId="721F2DC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46</w:t>
            </w:r>
          </w:p>
        </w:tc>
      </w:tr>
      <w:tr w14:paraId="4C6932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22AB350E">
            <w:pPr>
              <w:widowControl/>
              <w:spacing w:line="240" w:lineRule="auto"/>
              <w:ind w:firstLine="0" w:firstLineChars="0"/>
              <w:jc w:val="center"/>
              <w:rPr>
                <w:color w:val="auto"/>
                <w:sz w:val="21"/>
                <w:szCs w:val="21"/>
                <w:highlight w:val="none"/>
                <w:u w:val="single"/>
              </w:rPr>
            </w:pPr>
            <w:r>
              <w:rPr>
                <w:rFonts w:hint="eastAsia"/>
                <w:b/>
                <w:bCs/>
                <w:color w:val="auto"/>
                <w:sz w:val="21"/>
                <w:szCs w:val="21"/>
                <w:highlight w:val="none"/>
                <w:u w:val="single"/>
              </w:rPr>
              <w:t>四</w:t>
            </w:r>
          </w:p>
        </w:tc>
        <w:tc>
          <w:tcPr>
            <w:tcW w:w="4612" w:type="pct"/>
            <w:gridSpan w:val="4"/>
            <w:vAlign w:val="center"/>
          </w:tcPr>
          <w:p w14:paraId="1D1F14AF">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薄板工场</w:t>
            </w:r>
          </w:p>
        </w:tc>
      </w:tr>
      <w:tr w14:paraId="08C936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7ACACE8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c>
          <w:tcPr>
            <w:tcW w:w="1211" w:type="pct"/>
            <w:vAlign w:val="center"/>
          </w:tcPr>
          <w:p w14:paraId="5162C2A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液压摆式剪板机</w:t>
            </w:r>
          </w:p>
        </w:tc>
        <w:tc>
          <w:tcPr>
            <w:tcW w:w="2608" w:type="pct"/>
            <w:vAlign w:val="center"/>
          </w:tcPr>
          <w:p w14:paraId="54D33D6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6×2000</w:t>
            </w:r>
          </w:p>
        </w:tc>
        <w:tc>
          <w:tcPr>
            <w:tcW w:w="441" w:type="pct"/>
            <w:vAlign w:val="center"/>
          </w:tcPr>
          <w:p w14:paraId="46E6F74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25AA13E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597645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2A2DEA2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p>
        </w:tc>
        <w:tc>
          <w:tcPr>
            <w:tcW w:w="1211" w:type="pct"/>
            <w:vAlign w:val="center"/>
          </w:tcPr>
          <w:p w14:paraId="3E7C980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液压板料折弯机</w:t>
            </w:r>
          </w:p>
        </w:tc>
        <w:tc>
          <w:tcPr>
            <w:tcW w:w="2608" w:type="pct"/>
            <w:vAlign w:val="center"/>
          </w:tcPr>
          <w:p w14:paraId="4CE252A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Q=1600kN，6×2000</w:t>
            </w:r>
          </w:p>
        </w:tc>
        <w:tc>
          <w:tcPr>
            <w:tcW w:w="441" w:type="pct"/>
            <w:vAlign w:val="center"/>
          </w:tcPr>
          <w:p w14:paraId="2189133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22B37402">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0E0C16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295C96C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3</w:t>
            </w:r>
          </w:p>
        </w:tc>
        <w:tc>
          <w:tcPr>
            <w:tcW w:w="1211" w:type="pct"/>
            <w:vAlign w:val="center"/>
          </w:tcPr>
          <w:p w14:paraId="601042D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三辊卷板机</w:t>
            </w:r>
          </w:p>
        </w:tc>
        <w:tc>
          <w:tcPr>
            <w:tcW w:w="2608" w:type="pct"/>
            <w:vAlign w:val="center"/>
          </w:tcPr>
          <w:p w14:paraId="6AE09B4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6×2000</w:t>
            </w:r>
          </w:p>
        </w:tc>
        <w:tc>
          <w:tcPr>
            <w:tcW w:w="441" w:type="pct"/>
            <w:vAlign w:val="center"/>
          </w:tcPr>
          <w:p w14:paraId="45B0D71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2C387C7A">
            <w:pPr>
              <w:widowControl/>
              <w:spacing w:line="240" w:lineRule="auto"/>
              <w:ind w:firstLine="0" w:firstLineChars="0"/>
              <w:jc w:val="center"/>
              <w:rPr>
                <w:color w:val="auto"/>
                <w:sz w:val="21"/>
                <w:szCs w:val="21"/>
                <w:highlight w:val="none"/>
                <w:u w:val="single"/>
              </w:rPr>
            </w:pPr>
            <w:r>
              <w:rPr>
                <w:color w:val="auto"/>
                <w:sz w:val="21"/>
                <w:szCs w:val="21"/>
                <w:highlight w:val="none"/>
                <w:u w:val="single"/>
              </w:rPr>
              <w:drawing>
                <wp:anchor distT="0" distB="0" distL="114300" distR="114300" simplePos="0" relativeHeight="251671552" behindDoc="0" locked="0" layoutInCell="1" allowOverlap="1">
                  <wp:simplePos x="0" y="0"/>
                  <wp:positionH relativeFrom="column">
                    <wp:posOffset>0</wp:posOffset>
                  </wp:positionH>
                  <wp:positionV relativeFrom="paragraph">
                    <wp:posOffset>0</wp:posOffset>
                  </wp:positionV>
                  <wp:extent cx="9525" cy="9525"/>
                  <wp:effectExtent l="0" t="0" r="0" b="0"/>
                  <wp:wrapNone/>
                  <wp:docPr id="60" name="Line 4"/>
                  <wp:cNvGraphicFramePr/>
                  <a:graphic xmlns:a="http://schemas.openxmlformats.org/drawingml/2006/main">
                    <a:graphicData uri="http://schemas.openxmlformats.org/drawingml/2006/picture">
                      <pic:pic xmlns:pic="http://schemas.openxmlformats.org/drawingml/2006/picture">
                        <pic:nvPicPr>
                          <pic:cNvPr id="60" name="Line 4"/>
                          <pic:cNvPicPr/>
                        </pic:nvPicPr>
                        <pic:blipFill>
                          <a:blip r:embed="rId90"/>
                          <a:stretch>
                            <a:fillRect/>
                          </a:stretch>
                        </pic:blipFill>
                        <pic:spPr>
                          <a:xfrm>
                            <a:off x="0" y="0"/>
                            <a:ext cx="9525" cy="9525"/>
                          </a:xfrm>
                          <a:prstGeom prst="rect">
                            <a:avLst/>
                          </a:prstGeom>
                          <a:noFill/>
                          <a:ln>
                            <a:noFill/>
                          </a:ln>
                        </pic:spPr>
                      </pic:pic>
                    </a:graphicData>
                  </a:graphic>
                </wp:anchor>
              </w:drawing>
            </w:r>
            <w:r>
              <w:rPr>
                <w:color w:val="auto"/>
                <w:sz w:val="21"/>
                <w:szCs w:val="21"/>
                <w:highlight w:val="none"/>
                <w:u w:val="single"/>
              </w:rPr>
              <w:t>1</w:t>
            </w:r>
          </w:p>
        </w:tc>
      </w:tr>
      <w:tr w14:paraId="2AE511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00B8F616">
            <w:pPr>
              <w:widowControl/>
              <w:spacing w:line="240" w:lineRule="auto"/>
              <w:ind w:firstLine="0" w:firstLineChars="0"/>
              <w:jc w:val="center"/>
              <w:rPr>
                <w:color w:val="auto"/>
                <w:sz w:val="21"/>
                <w:szCs w:val="21"/>
                <w:highlight w:val="none"/>
                <w:u w:val="single"/>
              </w:rPr>
            </w:pPr>
            <w:r>
              <w:rPr>
                <w:color w:val="auto"/>
                <w:sz w:val="21"/>
                <w:szCs w:val="21"/>
                <w:highlight w:val="none"/>
                <w:u w:val="single"/>
              </w:rPr>
              <w:t>4</w:t>
            </w:r>
          </w:p>
        </w:tc>
        <w:tc>
          <w:tcPr>
            <w:tcW w:w="1211" w:type="pct"/>
            <w:vAlign w:val="center"/>
          </w:tcPr>
          <w:p w14:paraId="52C5492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开式可倾压力机</w:t>
            </w:r>
          </w:p>
        </w:tc>
        <w:tc>
          <w:tcPr>
            <w:tcW w:w="2608" w:type="pct"/>
            <w:vAlign w:val="center"/>
          </w:tcPr>
          <w:p w14:paraId="7594995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63t</w:t>
            </w:r>
          </w:p>
        </w:tc>
        <w:tc>
          <w:tcPr>
            <w:tcW w:w="441" w:type="pct"/>
            <w:vAlign w:val="center"/>
          </w:tcPr>
          <w:p w14:paraId="60CA7B2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52E4B44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380FBE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30E9225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5</w:t>
            </w:r>
          </w:p>
        </w:tc>
        <w:tc>
          <w:tcPr>
            <w:tcW w:w="1211" w:type="pct"/>
            <w:vAlign w:val="center"/>
          </w:tcPr>
          <w:p w14:paraId="7AD846C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联合冲剪机</w:t>
            </w:r>
          </w:p>
        </w:tc>
        <w:tc>
          <w:tcPr>
            <w:tcW w:w="2608" w:type="pct"/>
            <w:vAlign w:val="center"/>
          </w:tcPr>
          <w:p w14:paraId="561FA62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剪16mm 冲25mm</w:t>
            </w:r>
          </w:p>
        </w:tc>
        <w:tc>
          <w:tcPr>
            <w:tcW w:w="441" w:type="pct"/>
            <w:vAlign w:val="center"/>
          </w:tcPr>
          <w:p w14:paraId="1735A44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7FECBCB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21F000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4F03538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6</w:t>
            </w:r>
          </w:p>
        </w:tc>
        <w:tc>
          <w:tcPr>
            <w:tcW w:w="1211" w:type="pct"/>
            <w:vAlign w:val="center"/>
          </w:tcPr>
          <w:p w14:paraId="4DA8428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联合冲剪机</w:t>
            </w:r>
          </w:p>
        </w:tc>
        <w:tc>
          <w:tcPr>
            <w:tcW w:w="2608" w:type="pct"/>
            <w:vAlign w:val="center"/>
          </w:tcPr>
          <w:p w14:paraId="4B0DF34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剪5mm 冲2mm</w:t>
            </w:r>
          </w:p>
        </w:tc>
        <w:tc>
          <w:tcPr>
            <w:tcW w:w="441" w:type="pct"/>
            <w:vAlign w:val="center"/>
          </w:tcPr>
          <w:p w14:paraId="713A3B96">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620CD90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p>
        </w:tc>
      </w:tr>
      <w:tr w14:paraId="1F9A12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0F417FC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7</w:t>
            </w:r>
          </w:p>
        </w:tc>
        <w:tc>
          <w:tcPr>
            <w:tcW w:w="1211" w:type="pct"/>
            <w:vAlign w:val="center"/>
          </w:tcPr>
          <w:p w14:paraId="5ECFB8F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薄板咬口机</w:t>
            </w:r>
          </w:p>
        </w:tc>
        <w:tc>
          <w:tcPr>
            <w:tcW w:w="2608" w:type="pct"/>
            <w:vAlign w:val="center"/>
          </w:tcPr>
          <w:p w14:paraId="61F7434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0.5-1.6mm</w:t>
            </w:r>
          </w:p>
        </w:tc>
        <w:tc>
          <w:tcPr>
            <w:tcW w:w="441" w:type="pct"/>
            <w:vAlign w:val="center"/>
          </w:tcPr>
          <w:p w14:paraId="65DDD8E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0AD81B4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7B99EC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74BA532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8</w:t>
            </w:r>
          </w:p>
        </w:tc>
        <w:tc>
          <w:tcPr>
            <w:tcW w:w="1211" w:type="pct"/>
            <w:vAlign w:val="center"/>
          </w:tcPr>
          <w:p w14:paraId="2B15B4D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移动摇臂钻床</w:t>
            </w:r>
          </w:p>
        </w:tc>
        <w:tc>
          <w:tcPr>
            <w:tcW w:w="2608" w:type="pct"/>
            <w:vAlign w:val="center"/>
          </w:tcPr>
          <w:p w14:paraId="7AC7B80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φ25</w:t>
            </w:r>
          </w:p>
        </w:tc>
        <w:tc>
          <w:tcPr>
            <w:tcW w:w="441" w:type="pct"/>
            <w:vAlign w:val="center"/>
          </w:tcPr>
          <w:p w14:paraId="5AEBE48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26AAA57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0A57EE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5B05FAB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9</w:t>
            </w:r>
          </w:p>
        </w:tc>
        <w:tc>
          <w:tcPr>
            <w:tcW w:w="1211" w:type="pct"/>
            <w:vAlign w:val="center"/>
          </w:tcPr>
          <w:p w14:paraId="0F70619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点焊机</w:t>
            </w:r>
          </w:p>
        </w:tc>
        <w:tc>
          <w:tcPr>
            <w:tcW w:w="2608" w:type="pct"/>
            <w:vAlign w:val="center"/>
          </w:tcPr>
          <w:p w14:paraId="655D14F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3+3</w:t>
            </w:r>
          </w:p>
        </w:tc>
        <w:tc>
          <w:tcPr>
            <w:tcW w:w="441" w:type="pct"/>
            <w:vAlign w:val="center"/>
          </w:tcPr>
          <w:p w14:paraId="3EFAB85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337E2B82">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4619F6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6A664B6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10</w:t>
            </w:r>
          </w:p>
        </w:tc>
        <w:tc>
          <w:tcPr>
            <w:tcW w:w="1211" w:type="pct"/>
            <w:vAlign w:val="center"/>
          </w:tcPr>
          <w:p w14:paraId="71681F4F">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lang w:eastAsia="zh-CN"/>
              </w:rPr>
              <w:t>其他</w:t>
            </w:r>
            <w:r>
              <w:rPr>
                <w:color w:val="auto"/>
                <w:sz w:val="21"/>
                <w:szCs w:val="21"/>
                <w:highlight w:val="none"/>
                <w:u w:val="single"/>
              </w:rPr>
              <w:t>薄板加工设备</w:t>
            </w:r>
          </w:p>
        </w:tc>
        <w:tc>
          <w:tcPr>
            <w:tcW w:w="2608" w:type="pct"/>
            <w:vAlign w:val="center"/>
          </w:tcPr>
          <w:p w14:paraId="428618ED">
            <w:pPr>
              <w:widowControl/>
              <w:spacing w:line="240" w:lineRule="auto"/>
              <w:ind w:firstLine="0" w:firstLineChars="0"/>
              <w:jc w:val="center"/>
              <w:rPr>
                <w:color w:val="auto"/>
                <w:sz w:val="21"/>
                <w:szCs w:val="21"/>
                <w:highlight w:val="none"/>
                <w:u w:val="single"/>
              </w:rPr>
            </w:pPr>
          </w:p>
        </w:tc>
        <w:tc>
          <w:tcPr>
            <w:tcW w:w="441" w:type="pct"/>
            <w:vAlign w:val="center"/>
          </w:tcPr>
          <w:p w14:paraId="2D77266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台/套</w:t>
            </w:r>
          </w:p>
        </w:tc>
        <w:tc>
          <w:tcPr>
            <w:tcW w:w="652" w:type="dxa"/>
            <w:vAlign w:val="center"/>
          </w:tcPr>
          <w:p w14:paraId="4F09CD6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5</w:t>
            </w:r>
          </w:p>
        </w:tc>
      </w:tr>
      <w:tr w14:paraId="49CF2E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7" w:type="pct"/>
            <w:gridSpan w:val="3"/>
            <w:vAlign w:val="center"/>
          </w:tcPr>
          <w:p w14:paraId="6D0915E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小计</w:t>
            </w:r>
          </w:p>
        </w:tc>
        <w:tc>
          <w:tcPr>
            <w:tcW w:w="441" w:type="pct"/>
            <w:vAlign w:val="center"/>
          </w:tcPr>
          <w:p w14:paraId="1099DCD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台/套</w:t>
            </w:r>
          </w:p>
        </w:tc>
        <w:tc>
          <w:tcPr>
            <w:tcW w:w="652" w:type="dxa"/>
            <w:vAlign w:val="center"/>
          </w:tcPr>
          <w:p w14:paraId="79B903A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15</w:t>
            </w:r>
          </w:p>
        </w:tc>
      </w:tr>
      <w:tr w14:paraId="1FABEE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2C390F38">
            <w:pPr>
              <w:widowControl/>
              <w:spacing w:line="240" w:lineRule="auto"/>
              <w:ind w:firstLine="0" w:firstLineChars="0"/>
              <w:jc w:val="center"/>
              <w:rPr>
                <w:color w:val="auto"/>
                <w:sz w:val="21"/>
                <w:szCs w:val="21"/>
                <w:highlight w:val="none"/>
                <w:u w:val="single"/>
              </w:rPr>
            </w:pPr>
            <w:r>
              <w:rPr>
                <w:rFonts w:hint="eastAsia"/>
                <w:b/>
                <w:bCs/>
                <w:color w:val="auto"/>
                <w:sz w:val="21"/>
                <w:szCs w:val="21"/>
                <w:highlight w:val="none"/>
                <w:u w:val="single"/>
              </w:rPr>
              <w:t>五</w:t>
            </w:r>
          </w:p>
        </w:tc>
        <w:tc>
          <w:tcPr>
            <w:tcW w:w="4612" w:type="pct"/>
            <w:gridSpan w:val="4"/>
            <w:vAlign w:val="center"/>
          </w:tcPr>
          <w:p w14:paraId="24099BD5">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精工修理设备</w:t>
            </w:r>
          </w:p>
        </w:tc>
      </w:tr>
      <w:tr w14:paraId="5A75B4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21ED7AF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c>
          <w:tcPr>
            <w:tcW w:w="1211" w:type="pct"/>
            <w:vAlign w:val="center"/>
          </w:tcPr>
          <w:p w14:paraId="2E921FB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油头试验台</w:t>
            </w:r>
          </w:p>
        </w:tc>
        <w:tc>
          <w:tcPr>
            <w:tcW w:w="2608" w:type="pct"/>
            <w:vAlign w:val="center"/>
          </w:tcPr>
          <w:p w14:paraId="36D81AE8">
            <w:pPr>
              <w:widowControl/>
              <w:spacing w:line="240" w:lineRule="auto"/>
              <w:ind w:firstLine="0" w:firstLineChars="0"/>
              <w:jc w:val="center"/>
              <w:rPr>
                <w:color w:val="auto"/>
                <w:sz w:val="21"/>
                <w:szCs w:val="21"/>
                <w:highlight w:val="none"/>
                <w:u w:val="single"/>
              </w:rPr>
            </w:pPr>
          </w:p>
        </w:tc>
        <w:tc>
          <w:tcPr>
            <w:tcW w:w="441" w:type="pct"/>
            <w:vAlign w:val="center"/>
          </w:tcPr>
          <w:p w14:paraId="1B8D052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0C0C99D2">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41745D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708E069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p>
        </w:tc>
        <w:tc>
          <w:tcPr>
            <w:tcW w:w="1211" w:type="pct"/>
            <w:vAlign w:val="center"/>
          </w:tcPr>
          <w:p w14:paraId="13A01D2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喷油泵试验台</w:t>
            </w:r>
          </w:p>
        </w:tc>
        <w:tc>
          <w:tcPr>
            <w:tcW w:w="2608" w:type="pct"/>
            <w:vAlign w:val="center"/>
          </w:tcPr>
          <w:p w14:paraId="008A7D71">
            <w:pPr>
              <w:widowControl/>
              <w:spacing w:line="240" w:lineRule="auto"/>
              <w:ind w:firstLine="0" w:firstLineChars="0"/>
              <w:jc w:val="center"/>
              <w:rPr>
                <w:color w:val="auto"/>
                <w:sz w:val="21"/>
                <w:szCs w:val="21"/>
                <w:highlight w:val="none"/>
                <w:u w:val="single"/>
              </w:rPr>
            </w:pPr>
          </w:p>
        </w:tc>
        <w:tc>
          <w:tcPr>
            <w:tcW w:w="441" w:type="pct"/>
            <w:vAlign w:val="center"/>
          </w:tcPr>
          <w:p w14:paraId="5BFB149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4A51DC1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06E561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2824A1F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3</w:t>
            </w:r>
          </w:p>
        </w:tc>
        <w:tc>
          <w:tcPr>
            <w:tcW w:w="1211" w:type="pct"/>
            <w:vAlign w:val="center"/>
          </w:tcPr>
          <w:p w14:paraId="20671DD6">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lang w:eastAsia="zh-CN"/>
              </w:rPr>
              <w:t>其他</w:t>
            </w:r>
          </w:p>
        </w:tc>
        <w:tc>
          <w:tcPr>
            <w:tcW w:w="2608" w:type="pct"/>
            <w:vAlign w:val="center"/>
          </w:tcPr>
          <w:p w14:paraId="2EF053B0">
            <w:pPr>
              <w:widowControl/>
              <w:spacing w:line="240" w:lineRule="auto"/>
              <w:ind w:firstLine="0" w:firstLineChars="0"/>
              <w:jc w:val="center"/>
              <w:rPr>
                <w:color w:val="auto"/>
                <w:sz w:val="21"/>
                <w:szCs w:val="21"/>
                <w:highlight w:val="none"/>
                <w:u w:val="single"/>
              </w:rPr>
            </w:pPr>
          </w:p>
        </w:tc>
        <w:tc>
          <w:tcPr>
            <w:tcW w:w="441" w:type="pct"/>
            <w:vAlign w:val="center"/>
          </w:tcPr>
          <w:p w14:paraId="54C7629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台/套</w:t>
            </w:r>
          </w:p>
        </w:tc>
        <w:tc>
          <w:tcPr>
            <w:tcW w:w="652" w:type="dxa"/>
            <w:vAlign w:val="center"/>
          </w:tcPr>
          <w:p w14:paraId="001D80D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3</w:t>
            </w:r>
          </w:p>
        </w:tc>
      </w:tr>
      <w:tr w14:paraId="7E4929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7" w:type="pct"/>
            <w:gridSpan w:val="3"/>
            <w:vAlign w:val="center"/>
          </w:tcPr>
          <w:p w14:paraId="28DA1C5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小计</w:t>
            </w:r>
          </w:p>
        </w:tc>
        <w:tc>
          <w:tcPr>
            <w:tcW w:w="441" w:type="pct"/>
            <w:vAlign w:val="center"/>
          </w:tcPr>
          <w:p w14:paraId="527EA16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台/套</w:t>
            </w:r>
          </w:p>
        </w:tc>
        <w:tc>
          <w:tcPr>
            <w:tcW w:w="652" w:type="dxa"/>
            <w:vAlign w:val="center"/>
          </w:tcPr>
          <w:p w14:paraId="5F02822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5</w:t>
            </w:r>
          </w:p>
        </w:tc>
      </w:tr>
      <w:tr w14:paraId="247971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57BD96F6">
            <w:pPr>
              <w:widowControl/>
              <w:spacing w:line="240" w:lineRule="auto"/>
              <w:ind w:firstLine="0" w:firstLineChars="0"/>
              <w:jc w:val="center"/>
              <w:rPr>
                <w:b/>
                <w:bCs/>
                <w:color w:val="auto"/>
                <w:sz w:val="21"/>
                <w:szCs w:val="21"/>
                <w:highlight w:val="none"/>
                <w:u w:val="single"/>
              </w:rPr>
            </w:pPr>
            <w:r>
              <w:rPr>
                <w:rFonts w:hint="eastAsia"/>
                <w:b/>
                <w:bCs/>
                <w:color w:val="auto"/>
                <w:sz w:val="21"/>
                <w:szCs w:val="21"/>
                <w:highlight w:val="none"/>
                <w:u w:val="single"/>
              </w:rPr>
              <w:t>六</w:t>
            </w:r>
          </w:p>
        </w:tc>
        <w:tc>
          <w:tcPr>
            <w:tcW w:w="4612" w:type="pct"/>
            <w:gridSpan w:val="4"/>
            <w:vAlign w:val="center"/>
          </w:tcPr>
          <w:p w14:paraId="1F553FB3">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化学清洗设备</w:t>
            </w:r>
          </w:p>
        </w:tc>
      </w:tr>
      <w:tr w14:paraId="5B6B76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62105D2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c>
          <w:tcPr>
            <w:tcW w:w="1211" w:type="pct"/>
            <w:vAlign w:val="center"/>
          </w:tcPr>
          <w:p w14:paraId="28D38A06">
            <w:pPr>
              <w:widowControl/>
              <w:spacing w:line="240" w:lineRule="auto"/>
              <w:ind w:firstLine="0" w:firstLineChars="0"/>
              <w:jc w:val="center"/>
              <w:rPr>
                <w:color w:val="auto"/>
                <w:sz w:val="21"/>
                <w:szCs w:val="21"/>
                <w:highlight w:val="none"/>
                <w:u w:val="single"/>
              </w:rPr>
            </w:pPr>
            <w:r>
              <w:rPr>
                <w:color w:val="auto"/>
                <w:sz w:val="21"/>
                <w:szCs w:val="21"/>
                <w:highlight w:val="none"/>
                <w:u w:val="single"/>
              </w:rPr>
              <w:t>除垢浸泡酸槽</w:t>
            </w:r>
          </w:p>
        </w:tc>
        <w:tc>
          <w:tcPr>
            <w:tcW w:w="2608" w:type="pct"/>
            <w:vAlign w:val="center"/>
          </w:tcPr>
          <w:p w14:paraId="5662D9A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3000×1500×1500</w:t>
            </w:r>
          </w:p>
        </w:tc>
        <w:tc>
          <w:tcPr>
            <w:tcW w:w="441" w:type="pct"/>
            <w:vAlign w:val="center"/>
          </w:tcPr>
          <w:p w14:paraId="2943B9F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只</w:t>
            </w:r>
          </w:p>
        </w:tc>
        <w:tc>
          <w:tcPr>
            <w:tcW w:w="652" w:type="dxa"/>
            <w:vAlign w:val="center"/>
          </w:tcPr>
          <w:p w14:paraId="2642600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39674A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44C09E7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p>
        </w:tc>
        <w:tc>
          <w:tcPr>
            <w:tcW w:w="1211" w:type="pct"/>
            <w:vAlign w:val="center"/>
          </w:tcPr>
          <w:p w14:paraId="2C8B9A1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清洗剂浸泡槽</w:t>
            </w:r>
          </w:p>
        </w:tc>
        <w:tc>
          <w:tcPr>
            <w:tcW w:w="2608" w:type="pct"/>
            <w:vAlign w:val="center"/>
          </w:tcPr>
          <w:p w14:paraId="02A4197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3000×1500×1500</w:t>
            </w:r>
          </w:p>
        </w:tc>
        <w:tc>
          <w:tcPr>
            <w:tcW w:w="441" w:type="pct"/>
            <w:vAlign w:val="center"/>
          </w:tcPr>
          <w:p w14:paraId="6C709B6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只</w:t>
            </w:r>
          </w:p>
        </w:tc>
        <w:tc>
          <w:tcPr>
            <w:tcW w:w="652" w:type="dxa"/>
            <w:vAlign w:val="center"/>
          </w:tcPr>
          <w:p w14:paraId="3707983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p>
        </w:tc>
      </w:tr>
      <w:tr w14:paraId="4C87C9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4AB0457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3</w:t>
            </w:r>
          </w:p>
        </w:tc>
        <w:tc>
          <w:tcPr>
            <w:tcW w:w="1211" w:type="pct"/>
            <w:vAlign w:val="center"/>
          </w:tcPr>
          <w:p w14:paraId="6766F5F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滴油盘</w:t>
            </w:r>
          </w:p>
        </w:tc>
        <w:tc>
          <w:tcPr>
            <w:tcW w:w="2608" w:type="pct"/>
            <w:vAlign w:val="center"/>
          </w:tcPr>
          <w:p w14:paraId="73F72D51">
            <w:pPr>
              <w:widowControl/>
              <w:spacing w:line="240" w:lineRule="auto"/>
              <w:ind w:firstLine="0" w:firstLineChars="0"/>
              <w:jc w:val="center"/>
              <w:rPr>
                <w:color w:val="auto"/>
                <w:sz w:val="21"/>
                <w:szCs w:val="21"/>
                <w:highlight w:val="none"/>
                <w:u w:val="single"/>
              </w:rPr>
            </w:pPr>
          </w:p>
        </w:tc>
        <w:tc>
          <w:tcPr>
            <w:tcW w:w="441" w:type="pct"/>
            <w:vAlign w:val="center"/>
          </w:tcPr>
          <w:p w14:paraId="6C9270C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只</w:t>
            </w:r>
          </w:p>
        </w:tc>
        <w:tc>
          <w:tcPr>
            <w:tcW w:w="652" w:type="dxa"/>
            <w:vAlign w:val="center"/>
          </w:tcPr>
          <w:p w14:paraId="48FDD2A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5F1A96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87" w:type="pct"/>
            <w:vAlign w:val="center"/>
          </w:tcPr>
          <w:p w14:paraId="104A3C7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4</w:t>
            </w:r>
          </w:p>
        </w:tc>
        <w:tc>
          <w:tcPr>
            <w:tcW w:w="1211" w:type="pct"/>
            <w:vAlign w:val="center"/>
          </w:tcPr>
          <w:p w14:paraId="0AFEA2E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超声波清洗机</w:t>
            </w:r>
          </w:p>
        </w:tc>
        <w:tc>
          <w:tcPr>
            <w:tcW w:w="2608" w:type="pct"/>
            <w:vAlign w:val="center"/>
          </w:tcPr>
          <w:p w14:paraId="65BD6E68">
            <w:pPr>
              <w:widowControl/>
              <w:spacing w:line="240" w:lineRule="auto"/>
              <w:ind w:firstLine="0" w:firstLineChars="0"/>
              <w:jc w:val="center"/>
              <w:rPr>
                <w:color w:val="auto"/>
                <w:sz w:val="21"/>
                <w:szCs w:val="21"/>
                <w:highlight w:val="none"/>
                <w:u w:val="single"/>
              </w:rPr>
            </w:pPr>
          </w:p>
        </w:tc>
        <w:tc>
          <w:tcPr>
            <w:tcW w:w="441" w:type="pct"/>
            <w:vAlign w:val="center"/>
          </w:tcPr>
          <w:p w14:paraId="2F4185D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7FB85ED2">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2B8937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7" w:type="pct"/>
            <w:gridSpan w:val="3"/>
            <w:vAlign w:val="center"/>
          </w:tcPr>
          <w:p w14:paraId="1A1426F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小计</w:t>
            </w:r>
          </w:p>
        </w:tc>
        <w:tc>
          <w:tcPr>
            <w:tcW w:w="441" w:type="pct"/>
            <w:vAlign w:val="center"/>
          </w:tcPr>
          <w:p w14:paraId="1227DF0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台/套</w:t>
            </w:r>
          </w:p>
        </w:tc>
        <w:tc>
          <w:tcPr>
            <w:tcW w:w="652" w:type="dxa"/>
            <w:vAlign w:val="center"/>
          </w:tcPr>
          <w:p w14:paraId="1EA498D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5</w:t>
            </w:r>
          </w:p>
        </w:tc>
      </w:tr>
      <w:tr w14:paraId="47BE8F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4A1EE0C0">
            <w:pPr>
              <w:widowControl/>
              <w:spacing w:line="240" w:lineRule="auto"/>
              <w:ind w:firstLine="0" w:firstLineChars="0"/>
              <w:jc w:val="center"/>
              <w:rPr>
                <w:color w:val="auto"/>
                <w:sz w:val="21"/>
                <w:szCs w:val="21"/>
                <w:highlight w:val="none"/>
                <w:u w:val="single"/>
              </w:rPr>
            </w:pPr>
            <w:r>
              <w:rPr>
                <w:rFonts w:hint="eastAsia"/>
                <w:b/>
                <w:bCs/>
                <w:color w:val="auto"/>
                <w:sz w:val="21"/>
                <w:szCs w:val="21"/>
                <w:highlight w:val="none"/>
                <w:u w:val="single"/>
              </w:rPr>
              <w:t>七</w:t>
            </w:r>
          </w:p>
        </w:tc>
        <w:tc>
          <w:tcPr>
            <w:tcW w:w="4612" w:type="pct"/>
            <w:gridSpan w:val="4"/>
            <w:vAlign w:val="center"/>
          </w:tcPr>
          <w:p w14:paraId="1DA11565">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管子加工设备</w:t>
            </w:r>
          </w:p>
        </w:tc>
      </w:tr>
      <w:tr w14:paraId="47A29E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74A3139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c>
          <w:tcPr>
            <w:tcW w:w="1211" w:type="pct"/>
            <w:vAlign w:val="center"/>
          </w:tcPr>
          <w:p w14:paraId="2F345C8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卧式带锯机</w:t>
            </w:r>
          </w:p>
        </w:tc>
        <w:tc>
          <w:tcPr>
            <w:tcW w:w="2608" w:type="pct"/>
            <w:vAlign w:val="center"/>
          </w:tcPr>
          <w:p w14:paraId="06CF8A6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φ250</w:t>
            </w:r>
          </w:p>
        </w:tc>
        <w:tc>
          <w:tcPr>
            <w:tcW w:w="441" w:type="pct"/>
            <w:vAlign w:val="center"/>
          </w:tcPr>
          <w:p w14:paraId="62FE657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548684D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p>
        </w:tc>
      </w:tr>
      <w:tr w14:paraId="0D8627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44ABF8E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p>
        </w:tc>
        <w:tc>
          <w:tcPr>
            <w:tcW w:w="1211" w:type="pct"/>
            <w:vAlign w:val="center"/>
          </w:tcPr>
          <w:p w14:paraId="14797AA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手工空气等离子切割机</w:t>
            </w:r>
          </w:p>
        </w:tc>
        <w:tc>
          <w:tcPr>
            <w:tcW w:w="2608" w:type="pct"/>
            <w:vAlign w:val="center"/>
          </w:tcPr>
          <w:p w14:paraId="136361B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δ=0.1-27</w:t>
            </w:r>
          </w:p>
        </w:tc>
        <w:tc>
          <w:tcPr>
            <w:tcW w:w="441" w:type="pct"/>
            <w:vAlign w:val="center"/>
          </w:tcPr>
          <w:p w14:paraId="66A8656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6547C60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498A61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6EB4DB4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3</w:t>
            </w:r>
          </w:p>
        </w:tc>
        <w:tc>
          <w:tcPr>
            <w:tcW w:w="1211" w:type="pct"/>
            <w:vAlign w:val="center"/>
          </w:tcPr>
          <w:p w14:paraId="2B4DD66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数显液压弯管机</w:t>
            </w:r>
          </w:p>
        </w:tc>
        <w:tc>
          <w:tcPr>
            <w:tcW w:w="2608" w:type="pct"/>
            <w:vAlign w:val="center"/>
          </w:tcPr>
          <w:p w14:paraId="6427783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Φ63</w:t>
            </w:r>
          </w:p>
        </w:tc>
        <w:tc>
          <w:tcPr>
            <w:tcW w:w="441" w:type="pct"/>
            <w:vAlign w:val="center"/>
          </w:tcPr>
          <w:p w14:paraId="593CFDA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13DABCD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6F928C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5CD17206">
            <w:pPr>
              <w:widowControl/>
              <w:spacing w:line="240" w:lineRule="auto"/>
              <w:ind w:firstLine="0" w:firstLineChars="0"/>
              <w:jc w:val="center"/>
              <w:rPr>
                <w:color w:val="auto"/>
                <w:sz w:val="21"/>
                <w:szCs w:val="21"/>
                <w:highlight w:val="none"/>
                <w:u w:val="single"/>
              </w:rPr>
            </w:pPr>
            <w:r>
              <w:rPr>
                <w:color w:val="auto"/>
                <w:sz w:val="21"/>
                <w:szCs w:val="21"/>
                <w:highlight w:val="none"/>
                <w:u w:val="single"/>
              </w:rPr>
              <w:t>4</w:t>
            </w:r>
          </w:p>
        </w:tc>
        <w:tc>
          <w:tcPr>
            <w:tcW w:w="1211" w:type="pct"/>
            <w:vAlign w:val="center"/>
          </w:tcPr>
          <w:p w14:paraId="6A10440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数显液压弯管机</w:t>
            </w:r>
          </w:p>
        </w:tc>
        <w:tc>
          <w:tcPr>
            <w:tcW w:w="2608" w:type="pct"/>
            <w:vAlign w:val="center"/>
          </w:tcPr>
          <w:p w14:paraId="0D0E469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φ114</w:t>
            </w:r>
          </w:p>
        </w:tc>
        <w:tc>
          <w:tcPr>
            <w:tcW w:w="441" w:type="pct"/>
            <w:vAlign w:val="center"/>
          </w:tcPr>
          <w:p w14:paraId="77B7C3D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5FE1AC0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660F59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6434180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5</w:t>
            </w:r>
          </w:p>
        </w:tc>
        <w:tc>
          <w:tcPr>
            <w:tcW w:w="1211" w:type="pct"/>
            <w:vAlign w:val="center"/>
          </w:tcPr>
          <w:p w14:paraId="3D8B125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电动坡口机</w:t>
            </w:r>
          </w:p>
        </w:tc>
        <w:tc>
          <w:tcPr>
            <w:tcW w:w="2608" w:type="pct"/>
            <w:vAlign w:val="center"/>
          </w:tcPr>
          <w:p w14:paraId="1B4C9F1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φ60～400</w:t>
            </w:r>
          </w:p>
        </w:tc>
        <w:tc>
          <w:tcPr>
            <w:tcW w:w="441" w:type="pct"/>
            <w:vAlign w:val="center"/>
          </w:tcPr>
          <w:p w14:paraId="657F909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69D9DD6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431916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75F920E6">
            <w:pPr>
              <w:widowControl/>
              <w:spacing w:line="240" w:lineRule="auto"/>
              <w:ind w:firstLine="0" w:firstLineChars="0"/>
              <w:jc w:val="center"/>
              <w:rPr>
                <w:color w:val="auto"/>
                <w:sz w:val="21"/>
                <w:szCs w:val="21"/>
                <w:highlight w:val="none"/>
                <w:u w:val="single"/>
              </w:rPr>
            </w:pPr>
            <w:r>
              <w:rPr>
                <w:color w:val="auto"/>
                <w:sz w:val="21"/>
                <w:szCs w:val="21"/>
                <w:highlight w:val="none"/>
                <w:u w:val="single"/>
              </w:rPr>
              <w:t>6</w:t>
            </w:r>
          </w:p>
        </w:tc>
        <w:tc>
          <w:tcPr>
            <w:tcW w:w="1211" w:type="pct"/>
            <w:vAlign w:val="center"/>
          </w:tcPr>
          <w:p w14:paraId="71700EE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管子驳样装配平台</w:t>
            </w:r>
          </w:p>
        </w:tc>
        <w:tc>
          <w:tcPr>
            <w:tcW w:w="2608" w:type="pct"/>
            <w:vAlign w:val="center"/>
          </w:tcPr>
          <w:p w14:paraId="72F90E7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8000×4000</w:t>
            </w:r>
          </w:p>
        </w:tc>
        <w:tc>
          <w:tcPr>
            <w:tcW w:w="441" w:type="pct"/>
            <w:vAlign w:val="center"/>
          </w:tcPr>
          <w:p w14:paraId="57AD7F0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块</w:t>
            </w:r>
          </w:p>
        </w:tc>
        <w:tc>
          <w:tcPr>
            <w:tcW w:w="652" w:type="dxa"/>
            <w:vAlign w:val="center"/>
          </w:tcPr>
          <w:p w14:paraId="35EF944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08F787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3481261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7</w:t>
            </w:r>
          </w:p>
        </w:tc>
        <w:tc>
          <w:tcPr>
            <w:tcW w:w="1211" w:type="pct"/>
            <w:vAlign w:val="center"/>
          </w:tcPr>
          <w:p w14:paraId="599FD27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装配平台</w:t>
            </w:r>
          </w:p>
        </w:tc>
        <w:tc>
          <w:tcPr>
            <w:tcW w:w="2608" w:type="pct"/>
            <w:vAlign w:val="center"/>
          </w:tcPr>
          <w:p w14:paraId="635923D2">
            <w:pPr>
              <w:widowControl/>
              <w:spacing w:line="240" w:lineRule="auto"/>
              <w:ind w:firstLine="0" w:firstLineChars="0"/>
              <w:jc w:val="center"/>
              <w:rPr>
                <w:color w:val="auto"/>
                <w:sz w:val="21"/>
                <w:szCs w:val="21"/>
                <w:highlight w:val="none"/>
                <w:u w:val="single"/>
              </w:rPr>
            </w:pPr>
            <w:r>
              <w:rPr>
                <w:color w:val="auto"/>
                <w:sz w:val="21"/>
                <w:szCs w:val="21"/>
                <w:highlight w:val="none"/>
                <w:u w:val="single"/>
              </w:rPr>
              <w:t>6000×2000</w:t>
            </w:r>
          </w:p>
        </w:tc>
        <w:tc>
          <w:tcPr>
            <w:tcW w:w="441" w:type="pct"/>
            <w:vAlign w:val="center"/>
          </w:tcPr>
          <w:p w14:paraId="6DC0294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块</w:t>
            </w:r>
          </w:p>
        </w:tc>
        <w:tc>
          <w:tcPr>
            <w:tcW w:w="652" w:type="dxa"/>
            <w:vAlign w:val="center"/>
          </w:tcPr>
          <w:p w14:paraId="7FFC312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p>
        </w:tc>
      </w:tr>
      <w:tr w14:paraId="3E2574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1B27782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8</w:t>
            </w:r>
          </w:p>
        </w:tc>
        <w:tc>
          <w:tcPr>
            <w:tcW w:w="1211" w:type="pct"/>
            <w:vAlign w:val="center"/>
          </w:tcPr>
          <w:p w14:paraId="543A3CB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管子退火校正平台（带孔）</w:t>
            </w:r>
          </w:p>
        </w:tc>
        <w:tc>
          <w:tcPr>
            <w:tcW w:w="2608" w:type="pct"/>
            <w:vAlign w:val="center"/>
          </w:tcPr>
          <w:p w14:paraId="59377D8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3000×1500</w:t>
            </w:r>
          </w:p>
        </w:tc>
        <w:tc>
          <w:tcPr>
            <w:tcW w:w="441" w:type="pct"/>
            <w:vAlign w:val="center"/>
          </w:tcPr>
          <w:p w14:paraId="40D6E64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块</w:t>
            </w:r>
          </w:p>
        </w:tc>
        <w:tc>
          <w:tcPr>
            <w:tcW w:w="652" w:type="dxa"/>
            <w:vAlign w:val="center"/>
          </w:tcPr>
          <w:p w14:paraId="0F4DFE6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23436E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3DF376D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9</w:t>
            </w:r>
          </w:p>
        </w:tc>
        <w:tc>
          <w:tcPr>
            <w:tcW w:w="1211" w:type="pct"/>
            <w:vAlign w:val="center"/>
          </w:tcPr>
          <w:p w14:paraId="402216B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管－法兰焊接辊轮变位机</w:t>
            </w:r>
          </w:p>
        </w:tc>
        <w:tc>
          <w:tcPr>
            <w:tcW w:w="2608" w:type="pct"/>
            <w:vAlign w:val="center"/>
          </w:tcPr>
          <w:p w14:paraId="76CEBF8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载重300kg</w:t>
            </w:r>
          </w:p>
        </w:tc>
        <w:tc>
          <w:tcPr>
            <w:tcW w:w="441" w:type="pct"/>
            <w:vAlign w:val="center"/>
          </w:tcPr>
          <w:p w14:paraId="74957AD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2596BFA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p>
        </w:tc>
      </w:tr>
      <w:tr w14:paraId="62B852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6CEDD9E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10</w:t>
            </w:r>
          </w:p>
        </w:tc>
        <w:tc>
          <w:tcPr>
            <w:tcW w:w="1211" w:type="pct"/>
            <w:vAlign w:val="center"/>
          </w:tcPr>
          <w:p w14:paraId="7BCE2166">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可调式滚轮架</w:t>
            </w:r>
          </w:p>
        </w:tc>
        <w:tc>
          <w:tcPr>
            <w:tcW w:w="2608" w:type="pct"/>
            <w:vAlign w:val="center"/>
          </w:tcPr>
          <w:p w14:paraId="2DE4513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φ40-900</w:t>
            </w:r>
          </w:p>
        </w:tc>
        <w:tc>
          <w:tcPr>
            <w:tcW w:w="441" w:type="pct"/>
            <w:vAlign w:val="center"/>
          </w:tcPr>
          <w:p w14:paraId="2B0BD0D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7F57B49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p>
        </w:tc>
      </w:tr>
      <w:tr w14:paraId="5CBF99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543D5CB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11</w:t>
            </w:r>
          </w:p>
        </w:tc>
        <w:tc>
          <w:tcPr>
            <w:tcW w:w="1211" w:type="pct"/>
            <w:vAlign w:val="center"/>
          </w:tcPr>
          <w:p w14:paraId="511B57A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电焊机</w:t>
            </w:r>
          </w:p>
        </w:tc>
        <w:tc>
          <w:tcPr>
            <w:tcW w:w="2608" w:type="pct"/>
            <w:vAlign w:val="center"/>
          </w:tcPr>
          <w:p w14:paraId="20FFC80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300A～500A</w:t>
            </w:r>
          </w:p>
        </w:tc>
        <w:tc>
          <w:tcPr>
            <w:tcW w:w="441" w:type="pct"/>
            <w:vAlign w:val="center"/>
          </w:tcPr>
          <w:p w14:paraId="0FA9FDF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078036B6">
            <w:pPr>
              <w:widowControl/>
              <w:spacing w:line="240" w:lineRule="auto"/>
              <w:ind w:firstLine="0" w:firstLineChars="0"/>
              <w:jc w:val="center"/>
              <w:rPr>
                <w:color w:val="auto"/>
                <w:sz w:val="21"/>
                <w:szCs w:val="21"/>
                <w:highlight w:val="none"/>
                <w:u w:val="single"/>
              </w:rPr>
            </w:pPr>
            <w:r>
              <w:rPr>
                <w:color w:val="auto"/>
                <w:sz w:val="21"/>
                <w:szCs w:val="21"/>
                <w:highlight w:val="none"/>
                <w:u w:val="single"/>
              </w:rPr>
              <w:t>8</w:t>
            </w:r>
          </w:p>
        </w:tc>
      </w:tr>
      <w:tr w14:paraId="6A3699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3D5E116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12</w:t>
            </w:r>
          </w:p>
        </w:tc>
        <w:tc>
          <w:tcPr>
            <w:tcW w:w="1211" w:type="pct"/>
            <w:vAlign w:val="center"/>
          </w:tcPr>
          <w:p w14:paraId="5CCFA72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蓄水柜</w:t>
            </w:r>
          </w:p>
        </w:tc>
        <w:tc>
          <w:tcPr>
            <w:tcW w:w="2608" w:type="pct"/>
            <w:vAlign w:val="center"/>
          </w:tcPr>
          <w:p w14:paraId="254BE56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φ1000×2000</w:t>
            </w:r>
          </w:p>
        </w:tc>
        <w:tc>
          <w:tcPr>
            <w:tcW w:w="441" w:type="pct"/>
            <w:vAlign w:val="center"/>
          </w:tcPr>
          <w:p w14:paraId="6BAD35C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6EF5E3F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23632A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4B9C3A5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13</w:t>
            </w:r>
          </w:p>
        </w:tc>
        <w:tc>
          <w:tcPr>
            <w:tcW w:w="1211" w:type="pct"/>
            <w:vAlign w:val="center"/>
          </w:tcPr>
          <w:p w14:paraId="4377B2F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水箱</w:t>
            </w:r>
          </w:p>
        </w:tc>
        <w:tc>
          <w:tcPr>
            <w:tcW w:w="2608" w:type="pct"/>
            <w:vAlign w:val="center"/>
          </w:tcPr>
          <w:p w14:paraId="6218810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2000×1500×800</w:t>
            </w:r>
          </w:p>
        </w:tc>
        <w:tc>
          <w:tcPr>
            <w:tcW w:w="441" w:type="pct"/>
            <w:vAlign w:val="center"/>
          </w:tcPr>
          <w:p w14:paraId="611A82D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511B679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6F5B75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2E73DDE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14</w:t>
            </w:r>
          </w:p>
        </w:tc>
        <w:tc>
          <w:tcPr>
            <w:tcW w:w="1211" w:type="pct"/>
            <w:vAlign w:val="center"/>
          </w:tcPr>
          <w:p w14:paraId="2E15E70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电动试压泵</w:t>
            </w:r>
          </w:p>
        </w:tc>
        <w:tc>
          <w:tcPr>
            <w:tcW w:w="2608" w:type="pct"/>
            <w:vAlign w:val="center"/>
          </w:tcPr>
          <w:p w14:paraId="194BC84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60MPa</w:t>
            </w:r>
          </w:p>
        </w:tc>
        <w:tc>
          <w:tcPr>
            <w:tcW w:w="441" w:type="pct"/>
            <w:vAlign w:val="center"/>
          </w:tcPr>
          <w:p w14:paraId="0B4F77D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02B4DBA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5EDDFD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22A9363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15</w:t>
            </w:r>
          </w:p>
        </w:tc>
        <w:tc>
          <w:tcPr>
            <w:tcW w:w="1211" w:type="pct"/>
            <w:vAlign w:val="center"/>
          </w:tcPr>
          <w:p w14:paraId="509130B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电动试压泵</w:t>
            </w:r>
          </w:p>
        </w:tc>
        <w:tc>
          <w:tcPr>
            <w:tcW w:w="2608" w:type="pct"/>
            <w:vAlign w:val="center"/>
          </w:tcPr>
          <w:p w14:paraId="6D07F0A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4MPa</w:t>
            </w:r>
          </w:p>
        </w:tc>
        <w:tc>
          <w:tcPr>
            <w:tcW w:w="441" w:type="pct"/>
            <w:vAlign w:val="center"/>
          </w:tcPr>
          <w:p w14:paraId="64A7BAF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11BB70A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218366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0559C07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16</w:t>
            </w:r>
          </w:p>
        </w:tc>
        <w:tc>
          <w:tcPr>
            <w:tcW w:w="1211" w:type="pct"/>
            <w:vAlign w:val="center"/>
          </w:tcPr>
          <w:p w14:paraId="5F39A7A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试压附件</w:t>
            </w:r>
          </w:p>
        </w:tc>
        <w:tc>
          <w:tcPr>
            <w:tcW w:w="2608" w:type="pct"/>
            <w:vAlign w:val="center"/>
          </w:tcPr>
          <w:p w14:paraId="41E11592">
            <w:pPr>
              <w:widowControl/>
              <w:spacing w:line="240" w:lineRule="auto"/>
              <w:ind w:firstLine="0" w:firstLineChars="0"/>
              <w:jc w:val="center"/>
              <w:rPr>
                <w:color w:val="auto"/>
                <w:sz w:val="21"/>
                <w:szCs w:val="21"/>
                <w:highlight w:val="none"/>
                <w:u w:val="single"/>
              </w:rPr>
            </w:pPr>
          </w:p>
        </w:tc>
        <w:tc>
          <w:tcPr>
            <w:tcW w:w="441" w:type="pct"/>
            <w:vAlign w:val="center"/>
          </w:tcPr>
          <w:p w14:paraId="7305577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套</w:t>
            </w:r>
          </w:p>
        </w:tc>
        <w:tc>
          <w:tcPr>
            <w:tcW w:w="652" w:type="dxa"/>
            <w:vAlign w:val="center"/>
          </w:tcPr>
          <w:p w14:paraId="2EF9000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72BD5F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7" w:type="pct"/>
            <w:gridSpan w:val="3"/>
            <w:vAlign w:val="center"/>
          </w:tcPr>
          <w:p w14:paraId="48EF32E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小计</w:t>
            </w:r>
          </w:p>
        </w:tc>
        <w:tc>
          <w:tcPr>
            <w:tcW w:w="441" w:type="pct"/>
            <w:vAlign w:val="center"/>
          </w:tcPr>
          <w:p w14:paraId="1B809F8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台/套</w:t>
            </w:r>
          </w:p>
        </w:tc>
        <w:tc>
          <w:tcPr>
            <w:tcW w:w="652" w:type="dxa"/>
            <w:vAlign w:val="center"/>
          </w:tcPr>
          <w:p w14:paraId="3074250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27</w:t>
            </w:r>
          </w:p>
        </w:tc>
      </w:tr>
      <w:tr w14:paraId="022216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66048E4E">
            <w:pPr>
              <w:widowControl/>
              <w:spacing w:line="240" w:lineRule="auto"/>
              <w:ind w:firstLine="0" w:firstLineChars="0"/>
              <w:jc w:val="center"/>
              <w:rPr>
                <w:color w:val="auto"/>
                <w:sz w:val="21"/>
                <w:szCs w:val="21"/>
                <w:highlight w:val="none"/>
                <w:u w:val="single"/>
              </w:rPr>
            </w:pPr>
            <w:r>
              <w:rPr>
                <w:rFonts w:hint="eastAsia"/>
                <w:b/>
                <w:bCs/>
                <w:color w:val="auto"/>
                <w:sz w:val="21"/>
                <w:szCs w:val="21"/>
                <w:highlight w:val="none"/>
                <w:u w:val="single"/>
              </w:rPr>
              <w:t>八</w:t>
            </w:r>
          </w:p>
        </w:tc>
        <w:tc>
          <w:tcPr>
            <w:tcW w:w="4612" w:type="pct"/>
            <w:gridSpan w:val="4"/>
            <w:vAlign w:val="center"/>
          </w:tcPr>
          <w:p w14:paraId="57D42F29">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电工工场</w:t>
            </w:r>
            <w:r>
              <w:rPr>
                <w:rFonts w:hint="eastAsia"/>
                <w:b/>
                <w:bCs/>
                <w:color w:val="auto"/>
                <w:sz w:val="21"/>
                <w:szCs w:val="21"/>
                <w:highlight w:val="none"/>
                <w:u w:val="single"/>
              </w:rPr>
              <w:t>（含浸漆间）</w:t>
            </w:r>
          </w:p>
        </w:tc>
      </w:tr>
      <w:tr w14:paraId="5A1AB5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70B8C356">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c>
          <w:tcPr>
            <w:tcW w:w="1211" w:type="pct"/>
            <w:vAlign w:val="center"/>
          </w:tcPr>
          <w:p w14:paraId="7B2AAD0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安全节能型电热烘箱</w:t>
            </w:r>
          </w:p>
        </w:tc>
        <w:tc>
          <w:tcPr>
            <w:tcW w:w="2608" w:type="pct"/>
            <w:vAlign w:val="center"/>
          </w:tcPr>
          <w:p w14:paraId="2F3D075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3200×4000×3000</w:t>
            </w:r>
          </w:p>
        </w:tc>
        <w:tc>
          <w:tcPr>
            <w:tcW w:w="441" w:type="pct"/>
            <w:vAlign w:val="center"/>
          </w:tcPr>
          <w:p w14:paraId="534E6832">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020021B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689DEC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4DA0EE2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p>
        </w:tc>
        <w:tc>
          <w:tcPr>
            <w:tcW w:w="1211" w:type="pct"/>
            <w:vAlign w:val="center"/>
          </w:tcPr>
          <w:p w14:paraId="31DCEF4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烘箱</w:t>
            </w:r>
          </w:p>
        </w:tc>
        <w:tc>
          <w:tcPr>
            <w:tcW w:w="2608" w:type="pct"/>
            <w:vAlign w:val="center"/>
          </w:tcPr>
          <w:p w14:paraId="03D4A84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800×800×1000</w:t>
            </w:r>
          </w:p>
        </w:tc>
        <w:tc>
          <w:tcPr>
            <w:tcW w:w="441" w:type="pct"/>
            <w:vAlign w:val="center"/>
          </w:tcPr>
          <w:p w14:paraId="1049513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67BD6A2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01AC68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0D739EA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3</w:t>
            </w:r>
          </w:p>
        </w:tc>
        <w:tc>
          <w:tcPr>
            <w:tcW w:w="1211" w:type="pct"/>
            <w:vAlign w:val="center"/>
          </w:tcPr>
          <w:p w14:paraId="279B5B8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低压大电流试验装置</w:t>
            </w:r>
          </w:p>
        </w:tc>
        <w:tc>
          <w:tcPr>
            <w:tcW w:w="2608" w:type="pct"/>
            <w:vAlign w:val="center"/>
          </w:tcPr>
          <w:p w14:paraId="0E12BCC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6/12V  5000/2500A</w:t>
            </w:r>
          </w:p>
        </w:tc>
        <w:tc>
          <w:tcPr>
            <w:tcW w:w="441" w:type="pct"/>
            <w:vAlign w:val="center"/>
          </w:tcPr>
          <w:p w14:paraId="7FE118B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套</w:t>
            </w:r>
          </w:p>
        </w:tc>
        <w:tc>
          <w:tcPr>
            <w:tcW w:w="652" w:type="dxa"/>
            <w:vAlign w:val="center"/>
          </w:tcPr>
          <w:p w14:paraId="797E69C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2F01A5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4E21CC6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4</w:t>
            </w:r>
          </w:p>
        </w:tc>
        <w:tc>
          <w:tcPr>
            <w:tcW w:w="1211" w:type="pct"/>
            <w:vAlign w:val="center"/>
          </w:tcPr>
          <w:p w14:paraId="01ABCFB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60</w:t>
            </w:r>
            <w:r>
              <w:rPr>
                <w:rFonts w:hint="eastAsia"/>
                <w:color w:val="auto"/>
                <w:sz w:val="21"/>
                <w:szCs w:val="21"/>
                <w:highlight w:val="none"/>
                <w:u w:val="single"/>
                <w:lang w:eastAsia="zh-CN"/>
              </w:rPr>
              <w:t>Hz</w:t>
            </w:r>
            <w:r>
              <w:rPr>
                <w:color w:val="auto"/>
                <w:sz w:val="21"/>
                <w:szCs w:val="21"/>
                <w:highlight w:val="none"/>
                <w:u w:val="single"/>
              </w:rPr>
              <w:t>变频电源</w:t>
            </w:r>
          </w:p>
        </w:tc>
        <w:tc>
          <w:tcPr>
            <w:tcW w:w="2608" w:type="pct"/>
            <w:vAlign w:val="center"/>
          </w:tcPr>
          <w:p w14:paraId="374D25E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输出三相60</w:t>
            </w:r>
            <w:r>
              <w:rPr>
                <w:rFonts w:hint="eastAsia"/>
                <w:color w:val="auto"/>
                <w:sz w:val="21"/>
                <w:szCs w:val="21"/>
                <w:highlight w:val="none"/>
                <w:u w:val="single"/>
                <w:lang w:eastAsia="zh-CN"/>
              </w:rPr>
              <w:t>Hz</w:t>
            </w:r>
            <w:r>
              <w:rPr>
                <w:color w:val="auto"/>
                <w:sz w:val="21"/>
                <w:szCs w:val="21"/>
                <w:highlight w:val="none"/>
                <w:u w:val="single"/>
              </w:rPr>
              <w:t>，440V，200</w:t>
            </w:r>
            <w:r>
              <w:rPr>
                <w:rFonts w:hint="eastAsia"/>
                <w:color w:val="auto"/>
                <w:sz w:val="21"/>
                <w:szCs w:val="21"/>
                <w:highlight w:val="none"/>
                <w:u w:val="single"/>
                <w:lang w:eastAsia="zh-CN"/>
              </w:rPr>
              <w:t>kW</w:t>
            </w:r>
          </w:p>
        </w:tc>
        <w:tc>
          <w:tcPr>
            <w:tcW w:w="441" w:type="pct"/>
            <w:vAlign w:val="center"/>
          </w:tcPr>
          <w:p w14:paraId="25B306A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6012097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26A51B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6D35CFD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5</w:t>
            </w:r>
          </w:p>
        </w:tc>
        <w:tc>
          <w:tcPr>
            <w:tcW w:w="1211" w:type="pct"/>
            <w:vAlign w:val="center"/>
          </w:tcPr>
          <w:p w14:paraId="447491B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60</w:t>
            </w:r>
            <w:r>
              <w:rPr>
                <w:rFonts w:hint="eastAsia"/>
                <w:color w:val="auto"/>
                <w:sz w:val="21"/>
                <w:szCs w:val="21"/>
                <w:highlight w:val="none"/>
                <w:u w:val="single"/>
                <w:lang w:eastAsia="zh-CN"/>
              </w:rPr>
              <w:t>Hz</w:t>
            </w:r>
            <w:r>
              <w:rPr>
                <w:color w:val="auto"/>
                <w:sz w:val="21"/>
                <w:szCs w:val="21"/>
                <w:highlight w:val="none"/>
                <w:u w:val="single"/>
              </w:rPr>
              <w:t>电机电器试验屏</w:t>
            </w:r>
          </w:p>
        </w:tc>
        <w:tc>
          <w:tcPr>
            <w:tcW w:w="2608" w:type="pct"/>
            <w:vAlign w:val="center"/>
          </w:tcPr>
          <w:p w14:paraId="47066B4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含各种60</w:t>
            </w:r>
            <w:r>
              <w:rPr>
                <w:rFonts w:hint="eastAsia"/>
                <w:color w:val="auto"/>
                <w:sz w:val="21"/>
                <w:szCs w:val="21"/>
                <w:highlight w:val="none"/>
                <w:u w:val="single"/>
                <w:lang w:eastAsia="zh-CN"/>
              </w:rPr>
              <w:t>Hz</w:t>
            </w:r>
            <w:r>
              <w:rPr>
                <w:color w:val="auto"/>
                <w:sz w:val="21"/>
                <w:szCs w:val="21"/>
                <w:highlight w:val="none"/>
                <w:u w:val="single"/>
              </w:rPr>
              <w:t>，440V电机启动屏及多种电源配电屏</w:t>
            </w:r>
          </w:p>
        </w:tc>
        <w:tc>
          <w:tcPr>
            <w:tcW w:w="441" w:type="pct"/>
            <w:vAlign w:val="center"/>
          </w:tcPr>
          <w:p w14:paraId="5C4D4D5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屏</w:t>
            </w:r>
          </w:p>
        </w:tc>
        <w:tc>
          <w:tcPr>
            <w:tcW w:w="652" w:type="dxa"/>
            <w:vAlign w:val="center"/>
          </w:tcPr>
          <w:p w14:paraId="1C9BF8D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51CF54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272F2C8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6</w:t>
            </w:r>
          </w:p>
        </w:tc>
        <w:tc>
          <w:tcPr>
            <w:tcW w:w="1211" w:type="pct"/>
            <w:vAlign w:val="center"/>
          </w:tcPr>
          <w:p w14:paraId="57CCD1D2">
            <w:pPr>
              <w:widowControl/>
              <w:spacing w:line="240" w:lineRule="auto"/>
              <w:ind w:firstLine="0" w:firstLineChars="0"/>
              <w:jc w:val="center"/>
              <w:rPr>
                <w:color w:val="auto"/>
                <w:sz w:val="21"/>
                <w:szCs w:val="21"/>
                <w:highlight w:val="none"/>
                <w:u w:val="single"/>
              </w:rPr>
            </w:pPr>
            <w:r>
              <w:rPr>
                <w:color w:val="auto"/>
                <w:sz w:val="21"/>
                <w:szCs w:val="21"/>
                <w:highlight w:val="none"/>
                <w:u w:val="single"/>
              </w:rPr>
              <w:t>50</w:t>
            </w:r>
            <w:r>
              <w:rPr>
                <w:rFonts w:hint="eastAsia"/>
                <w:color w:val="auto"/>
                <w:sz w:val="21"/>
                <w:szCs w:val="21"/>
                <w:highlight w:val="none"/>
                <w:u w:val="single"/>
                <w:lang w:eastAsia="zh-CN"/>
              </w:rPr>
              <w:t>Hz</w:t>
            </w:r>
            <w:r>
              <w:rPr>
                <w:color w:val="auto"/>
                <w:sz w:val="21"/>
                <w:szCs w:val="21"/>
                <w:highlight w:val="none"/>
                <w:u w:val="single"/>
              </w:rPr>
              <w:t>电机电器试验屏</w:t>
            </w:r>
          </w:p>
        </w:tc>
        <w:tc>
          <w:tcPr>
            <w:tcW w:w="2608" w:type="pct"/>
            <w:vAlign w:val="center"/>
          </w:tcPr>
          <w:p w14:paraId="679A52C2">
            <w:pPr>
              <w:widowControl/>
              <w:spacing w:line="240" w:lineRule="auto"/>
              <w:ind w:firstLine="0" w:firstLineChars="0"/>
              <w:jc w:val="center"/>
              <w:rPr>
                <w:color w:val="auto"/>
                <w:sz w:val="21"/>
                <w:szCs w:val="21"/>
                <w:highlight w:val="none"/>
                <w:u w:val="single"/>
              </w:rPr>
            </w:pPr>
          </w:p>
        </w:tc>
        <w:tc>
          <w:tcPr>
            <w:tcW w:w="441" w:type="pct"/>
            <w:vAlign w:val="center"/>
          </w:tcPr>
          <w:p w14:paraId="2665C4C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屏</w:t>
            </w:r>
          </w:p>
        </w:tc>
        <w:tc>
          <w:tcPr>
            <w:tcW w:w="652" w:type="dxa"/>
            <w:vAlign w:val="center"/>
          </w:tcPr>
          <w:p w14:paraId="293ADA2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634F6E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19E48A52">
            <w:pPr>
              <w:widowControl/>
              <w:spacing w:line="240" w:lineRule="auto"/>
              <w:ind w:firstLine="0" w:firstLineChars="0"/>
              <w:jc w:val="center"/>
              <w:rPr>
                <w:color w:val="auto"/>
                <w:sz w:val="21"/>
                <w:szCs w:val="21"/>
                <w:highlight w:val="none"/>
                <w:u w:val="single"/>
              </w:rPr>
            </w:pPr>
            <w:r>
              <w:rPr>
                <w:color w:val="auto"/>
                <w:sz w:val="21"/>
                <w:szCs w:val="21"/>
                <w:highlight w:val="none"/>
                <w:u w:val="single"/>
              </w:rPr>
              <w:t>7</w:t>
            </w:r>
          </w:p>
        </w:tc>
        <w:tc>
          <w:tcPr>
            <w:tcW w:w="1211" w:type="pct"/>
            <w:vAlign w:val="center"/>
          </w:tcPr>
          <w:p w14:paraId="6F9B1C0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真空浸漆设备</w:t>
            </w:r>
          </w:p>
        </w:tc>
        <w:tc>
          <w:tcPr>
            <w:tcW w:w="2608" w:type="pct"/>
            <w:vAlign w:val="center"/>
          </w:tcPr>
          <w:p w14:paraId="2C8FAAF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2400×2000×2000</w:t>
            </w:r>
            <w:r>
              <w:rPr>
                <w:rFonts w:hint="eastAsia"/>
                <w:color w:val="auto"/>
                <w:sz w:val="21"/>
                <w:szCs w:val="21"/>
                <w:highlight w:val="none"/>
                <w:u w:val="single"/>
              </w:rPr>
              <w:t>，</w:t>
            </w:r>
            <w:r>
              <w:rPr>
                <w:color w:val="auto"/>
                <w:sz w:val="21"/>
                <w:szCs w:val="21"/>
                <w:highlight w:val="none"/>
                <w:u w:val="single"/>
              </w:rPr>
              <w:t>工作压力</w:t>
            </w:r>
            <w:r>
              <w:rPr>
                <w:rFonts w:hint="eastAsia"/>
                <w:color w:val="auto"/>
                <w:sz w:val="21"/>
                <w:szCs w:val="21"/>
                <w:highlight w:val="none"/>
                <w:u w:val="single"/>
              </w:rPr>
              <w:t>：-</w:t>
            </w:r>
            <w:r>
              <w:rPr>
                <w:color w:val="auto"/>
                <w:sz w:val="21"/>
                <w:szCs w:val="21"/>
                <w:highlight w:val="none"/>
                <w:u w:val="single"/>
              </w:rPr>
              <w:t>0.1Mpa～常压</w:t>
            </w:r>
            <w:r>
              <w:rPr>
                <w:rFonts w:hint="eastAsia"/>
                <w:color w:val="auto"/>
                <w:sz w:val="21"/>
                <w:szCs w:val="21"/>
                <w:highlight w:val="none"/>
                <w:u w:val="single"/>
              </w:rPr>
              <w:t>，</w:t>
            </w:r>
            <w:r>
              <w:rPr>
                <w:color w:val="auto"/>
                <w:sz w:val="21"/>
                <w:szCs w:val="21"/>
                <w:highlight w:val="none"/>
                <w:u w:val="single"/>
              </w:rPr>
              <w:t>含真空浸漆箱、真空泵、真空缓冲器、冷凝器、储漆罐</w:t>
            </w:r>
          </w:p>
        </w:tc>
        <w:tc>
          <w:tcPr>
            <w:tcW w:w="441" w:type="pct"/>
            <w:vAlign w:val="center"/>
          </w:tcPr>
          <w:p w14:paraId="1E9D840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套</w:t>
            </w:r>
          </w:p>
        </w:tc>
        <w:tc>
          <w:tcPr>
            <w:tcW w:w="652" w:type="dxa"/>
            <w:vAlign w:val="center"/>
          </w:tcPr>
          <w:p w14:paraId="1BDF5F1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1459EC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7944EA2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8</w:t>
            </w:r>
          </w:p>
        </w:tc>
        <w:tc>
          <w:tcPr>
            <w:tcW w:w="1211" w:type="pct"/>
            <w:vAlign w:val="center"/>
          </w:tcPr>
          <w:p w14:paraId="63D8E69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智能型干式负载箱</w:t>
            </w:r>
          </w:p>
        </w:tc>
        <w:tc>
          <w:tcPr>
            <w:tcW w:w="2608" w:type="pct"/>
            <w:vAlign w:val="center"/>
          </w:tcPr>
          <w:p w14:paraId="1313F146">
            <w:pPr>
              <w:widowControl/>
              <w:spacing w:line="240" w:lineRule="auto"/>
              <w:ind w:firstLine="0" w:firstLineChars="0"/>
              <w:jc w:val="center"/>
              <w:rPr>
                <w:color w:val="auto"/>
                <w:sz w:val="21"/>
                <w:szCs w:val="21"/>
                <w:highlight w:val="none"/>
                <w:u w:val="single"/>
              </w:rPr>
            </w:pPr>
            <w:r>
              <w:rPr>
                <w:color w:val="auto"/>
                <w:sz w:val="21"/>
                <w:szCs w:val="21"/>
                <w:highlight w:val="none"/>
                <w:u w:val="single"/>
              </w:rPr>
              <w:t>4000kVA</w:t>
            </w:r>
          </w:p>
        </w:tc>
        <w:tc>
          <w:tcPr>
            <w:tcW w:w="441" w:type="pct"/>
            <w:vAlign w:val="center"/>
          </w:tcPr>
          <w:p w14:paraId="7F1BD4E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套</w:t>
            </w:r>
          </w:p>
        </w:tc>
        <w:tc>
          <w:tcPr>
            <w:tcW w:w="652" w:type="dxa"/>
            <w:vAlign w:val="center"/>
          </w:tcPr>
          <w:p w14:paraId="69C3B73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16DD47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58D43F4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9</w:t>
            </w:r>
          </w:p>
        </w:tc>
        <w:tc>
          <w:tcPr>
            <w:tcW w:w="1211" w:type="pct"/>
            <w:vAlign w:val="center"/>
          </w:tcPr>
          <w:p w14:paraId="618B6146">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试车用电缆</w:t>
            </w:r>
          </w:p>
        </w:tc>
        <w:tc>
          <w:tcPr>
            <w:tcW w:w="2608" w:type="pct"/>
            <w:vAlign w:val="center"/>
          </w:tcPr>
          <w:p w14:paraId="3B1FB144">
            <w:pPr>
              <w:widowControl/>
              <w:spacing w:line="240" w:lineRule="auto"/>
              <w:ind w:firstLine="0" w:firstLineChars="0"/>
              <w:jc w:val="center"/>
              <w:rPr>
                <w:color w:val="auto"/>
                <w:sz w:val="21"/>
                <w:szCs w:val="21"/>
                <w:highlight w:val="none"/>
                <w:u w:val="single"/>
              </w:rPr>
            </w:pPr>
          </w:p>
        </w:tc>
        <w:tc>
          <w:tcPr>
            <w:tcW w:w="441" w:type="pct"/>
            <w:vAlign w:val="center"/>
          </w:tcPr>
          <w:p w14:paraId="49E05AB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套</w:t>
            </w:r>
          </w:p>
        </w:tc>
        <w:tc>
          <w:tcPr>
            <w:tcW w:w="652" w:type="dxa"/>
            <w:vAlign w:val="center"/>
          </w:tcPr>
          <w:p w14:paraId="3F03FBB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718FCE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4209B1D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10</w:t>
            </w:r>
          </w:p>
        </w:tc>
        <w:tc>
          <w:tcPr>
            <w:tcW w:w="1211" w:type="pct"/>
            <w:vAlign w:val="center"/>
          </w:tcPr>
          <w:p w14:paraId="08F809AE">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试车用开关箱、控制屏等</w:t>
            </w:r>
          </w:p>
        </w:tc>
        <w:tc>
          <w:tcPr>
            <w:tcW w:w="2608" w:type="pct"/>
            <w:vAlign w:val="center"/>
          </w:tcPr>
          <w:p w14:paraId="2E980EC3">
            <w:pPr>
              <w:widowControl/>
              <w:spacing w:line="240" w:lineRule="auto"/>
              <w:ind w:firstLine="0" w:firstLineChars="0"/>
              <w:jc w:val="center"/>
              <w:rPr>
                <w:color w:val="auto"/>
                <w:sz w:val="21"/>
                <w:szCs w:val="21"/>
                <w:highlight w:val="none"/>
                <w:u w:val="single"/>
              </w:rPr>
            </w:pPr>
          </w:p>
        </w:tc>
        <w:tc>
          <w:tcPr>
            <w:tcW w:w="441" w:type="pct"/>
            <w:vAlign w:val="center"/>
          </w:tcPr>
          <w:p w14:paraId="1A7B0B4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套</w:t>
            </w:r>
          </w:p>
        </w:tc>
        <w:tc>
          <w:tcPr>
            <w:tcW w:w="652" w:type="dxa"/>
            <w:vAlign w:val="center"/>
          </w:tcPr>
          <w:p w14:paraId="7D6D9F9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371763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34EC279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11</w:t>
            </w:r>
          </w:p>
        </w:tc>
        <w:tc>
          <w:tcPr>
            <w:tcW w:w="1211" w:type="pct"/>
            <w:vAlign w:val="center"/>
          </w:tcPr>
          <w:p w14:paraId="62B79E0D">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电工及自动化仪表</w:t>
            </w:r>
          </w:p>
        </w:tc>
        <w:tc>
          <w:tcPr>
            <w:tcW w:w="2608" w:type="pct"/>
            <w:vAlign w:val="center"/>
          </w:tcPr>
          <w:p w14:paraId="39373C87">
            <w:pPr>
              <w:widowControl/>
              <w:spacing w:line="240" w:lineRule="auto"/>
              <w:ind w:firstLine="0" w:firstLineChars="0"/>
              <w:jc w:val="center"/>
              <w:rPr>
                <w:color w:val="auto"/>
                <w:sz w:val="21"/>
                <w:szCs w:val="21"/>
                <w:highlight w:val="none"/>
                <w:u w:val="single"/>
              </w:rPr>
            </w:pPr>
          </w:p>
        </w:tc>
        <w:tc>
          <w:tcPr>
            <w:tcW w:w="441" w:type="pct"/>
            <w:vAlign w:val="center"/>
          </w:tcPr>
          <w:p w14:paraId="1719DEC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套</w:t>
            </w:r>
          </w:p>
        </w:tc>
        <w:tc>
          <w:tcPr>
            <w:tcW w:w="652" w:type="dxa"/>
            <w:vAlign w:val="center"/>
          </w:tcPr>
          <w:p w14:paraId="5684936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2D78C0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174C6A5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12</w:t>
            </w:r>
          </w:p>
        </w:tc>
        <w:tc>
          <w:tcPr>
            <w:tcW w:w="1211" w:type="pct"/>
            <w:vAlign w:val="center"/>
          </w:tcPr>
          <w:p w14:paraId="699846DF">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清洗机</w:t>
            </w:r>
          </w:p>
        </w:tc>
        <w:tc>
          <w:tcPr>
            <w:tcW w:w="2608" w:type="pct"/>
            <w:vAlign w:val="center"/>
          </w:tcPr>
          <w:p w14:paraId="11E3CCDB">
            <w:pPr>
              <w:widowControl/>
              <w:spacing w:line="240" w:lineRule="auto"/>
              <w:ind w:firstLine="0" w:firstLineChars="0"/>
              <w:jc w:val="center"/>
              <w:rPr>
                <w:color w:val="auto"/>
                <w:sz w:val="21"/>
                <w:szCs w:val="21"/>
                <w:highlight w:val="none"/>
                <w:u w:val="single"/>
              </w:rPr>
            </w:pPr>
          </w:p>
        </w:tc>
        <w:tc>
          <w:tcPr>
            <w:tcW w:w="441" w:type="pct"/>
            <w:vAlign w:val="center"/>
          </w:tcPr>
          <w:p w14:paraId="6B3699FD">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台</w:t>
            </w:r>
          </w:p>
        </w:tc>
        <w:tc>
          <w:tcPr>
            <w:tcW w:w="652" w:type="dxa"/>
            <w:vAlign w:val="center"/>
          </w:tcPr>
          <w:p w14:paraId="28BE741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p>
        </w:tc>
      </w:tr>
      <w:tr w14:paraId="144A42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0C72F5B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13</w:t>
            </w:r>
          </w:p>
        </w:tc>
        <w:tc>
          <w:tcPr>
            <w:tcW w:w="1211" w:type="pct"/>
            <w:vAlign w:val="center"/>
          </w:tcPr>
          <w:p w14:paraId="3149515C">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绕线机</w:t>
            </w:r>
          </w:p>
        </w:tc>
        <w:tc>
          <w:tcPr>
            <w:tcW w:w="2608" w:type="pct"/>
            <w:vAlign w:val="center"/>
          </w:tcPr>
          <w:p w14:paraId="64C31521">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花盘直径φ450</w:t>
            </w:r>
          </w:p>
        </w:tc>
        <w:tc>
          <w:tcPr>
            <w:tcW w:w="441" w:type="pct"/>
            <w:vAlign w:val="center"/>
          </w:tcPr>
          <w:p w14:paraId="2B0E839B">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台</w:t>
            </w:r>
          </w:p>
        </w:tc>
        <w:tc>
          <w:tcPr>
            <w:tcW w:w="652" w:type="dxa"/>
            <w:vAlign w:val="center"/>
          </w:tcPr>
          <w:p w14:paraId="66DBAB5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214148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7FD6396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14</w:t>
            </w:r>
          </w:p>
        </w:tc>
        <w:tc>
          <w:tcPr>
            <w:tcW w:w="1211" w:type="pct"/>
            <w:vAlign w:val="center"/>
          </w:tcPr>
          <w:p w14:paraId="586433F3">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耐压试验台</w:t>
            </w:r>
          </w:p>
        </w:tc>
        <w:tc>
          <w:tcPr>
            <w:tcW w:w="2608" w:type="pct"/>
            <w:vAlign w:val="center"/>
          </w:tcPr>
          <w:p w14:paraId="1729D8E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0~3000V</w:t>
            </w:r>
          </w:p>
        </w:tc>
        <w:tc>
          <w:tcPr>
            <w:tcW w:w="441" w:type="pct"/>
            <w:vAlign w:val="center"/>
          </w:tcPr>
          <w:p w14:paraId="3B72F7C6">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台</w:t>
            </w:r>
          </w:p>
        </w:tc>
        <w:tc>
          <w:tcPr>
            <w:tcW w:w="652" w:type="dxa"/>
            <w:vAlign w:val="center"/>
          </w:tcPr>
          <w:p w14:paraId="4498495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52E549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6087001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15</w:t>
            </w:r>
          </w:p>
        </w:tc>
        <w:tc>
          <w:tcPr>
            <w:tcW w:w="1211" w:type="pct"/>
            <w:vAlign w:val="center"/>
          </w:tcPr>
          <w:p w14:paraId="361B1E90">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试验平台</w:t>
            </w:r>
          </w:p>
        </w:tc>
        <w:tc>
          <w:tcPr>
            <w:tcW w:w="2608" w:type="pct"/>
            <w:vAlign w:val="center"/>
          </w:tcPr>
          <w:p w14:paraId="49705A9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3×4</w:t>
            </w:r>
          </w:p>
        </w:tc>
        <w:tc>
          <w:tcPr>
            <w:tcW w:w="441" w:type="pct"/>
            <w:vAlign w:val="center"/>
          </w:tcPr>
          <w:p w14:paraId="765062B7">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台</w:t>
            </w:r>
          </w:p>
        </w:tc>
        <w:tc>
          <w:tcPr>
            <w:tcW w:w="652" w:type="dxa"/>
            <w:vAlign w:val="center"/>
          </w:tcPr>
          <w:p w14:paraId="04E7FD1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2CC704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414FED2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16</w:t>
            </w:r>
          </w:p>
        </w:tc>
        <w:tc>
          <w:tcPr>
            <w:tcW w:w="1211" w:type="pct"/>
            <w:vAlign w:val="center"/>
          </w:tcPr>
          <w:p w14:paraId="324964F5">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轴承拆卸机</w:t>
            </w:r>
          </w:p>
        </w:tc>
        <w:tc>
          <w:tcPr>
            <w:tcW w:w="2608" w:type="pct"/>
            <w:vAlign w:val="center"/>
          </w:tcPr>
          <w:p w14:paraId="44B2CD8A">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非标液压</w:t>
            </w:r>
          </w:p>
        </w:tc>
        <w:tc>
          <w:tcPr>
            <w:tcW w:w="441" w:type="pct"/>
            <w:vAlign w:val="center"/>
          </w:tcPr>
          <w:p w14:paraId="1A840C5D">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台</w:t>
            </w:r>
          </w:p>
        </w:tc>
        <w:tc>
          <w:tcPr>
            <w:tcW w:w="652" w:type="dxa"/>
            <w:vAlign w:val="center"/>
          </w:tcPr>
          <w:p w14:paraId="56DB0E7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709AEA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6A0E674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17</w:t>
            </w:r>
          </w:p>
        </w:tc>
        <w:tc>
          <w:tcPr>
            <w:tcW w:w="1211" w:type="pct"/>
            <w:vAlign w:val="center"/>
          </w:tcPr>
          <w:p w14:paraId="459D2912">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静平衡架</w:t>
            </w:r>
          </w:p>
        </w:tc>
        <w:tc>
          <w:tcPr>
            <w:tcW w:w="2608" w:type="pct"/>
            <w:vAlign w:val="center"/>
          </w:tcPr>
          <w:p w14:paraId="393D714E">
            <w:pPr>
              <w:widowControl/>
              <w:spacing w:line="240" w:lineRule="auto"/>
              <w:ind w:firstLine="0" w:firstLineChars="0"/>
              <w:jc w:val="center"/>
              <w:rPr>
                <w:color w:val="auto"/>
                <w:sz w:val="21"/>
                <w:szCs w:val="21"/>
                <w:highlight w:val="none"/>
                <w:u w:val="single"/>
              </w:rPr>
            </w:pPr>
          </w:p>
        </w:tc>
        <w:tc>
          <w:tcPr>
            <w:tcW w:w="441" w:type="pct"/>
            <w:vAlign w:val="center"/>
          </w:tcPr>
          <w:p w14:paraId="0530880B">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台</w:t>
            </w:r>
          </w:p>
        </w:tc>
        <w:tc>
          <w:tcPr>
            <w:tcW w:w="652" w:type="dxa"/>
            <w:vAlign w:val="center"/>
          </w:tcPr>
          <w:p w14:paraId="31DFC52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453227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021B0E86">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18</w:t>
            </w:r>
          </w:p>
        </w:tc>
        <w:tc>
          <w:tcPr>
            <w:tcW w:w="1211" w:type="pct"/>
            <w:vAlign w:val="center"/>
          </w:tcPr>
          <w:p w14:paraId="6308E50C">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lang w:eastAsia="zh-CN"/>
              </w:rPr>
              <w:t>其他</w:t>
            </w:r>
            <w:r>
              <w:rPr>
                <w:color w:val="auto"/>
                <w:sz w:val="21"/>
                <w:szCs w:val="21"/>
                <w:highlight w:val="none"/>
                <w:u w:val="single"/>
              </w:rPr>
              <w:t>电工修理设备</w:t>
            </w:r>
          </w:p>
        </w:tc>
        <w:tc>
          <w:tcPr>
            <w:tcW w:w="2608" w:type="pct"/>
            <w:vAlign w:val="center"/>
          </w:tcPr>
          <w:p w14:paraId="6747EA4E">
            <w:pPr>
              <w:widowControl/>
              <w:spacing w:line="240" w:lineRule="auto"/>
              <w:ind w:firstLine="0" w:firstLineChars="0"/>
              <w:jc w:val="center"/>
              <w:rPr>
                <w:color w:val="auto"/>
                <w:sz w:val="21"/>
                <w:szCs w:val="21"/>
                <w:highlight w:val="none"/>
                <w:u w:val="single"/>
              </w:rPr>
            </w:pPr>
          </w:p>
        </w:tc>
        <w:tc>
          <w:tcPr>
            <w:tcW w:w="441" w:type="pct"/>
            <w:vAlign w:val="center"/>
          </w:tcPr>
          <w:p w14:paraId="4CF4A73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台/套</w:t>
            </w:r>
          </w:p>
        </w:tc>
        <w:tc>
          <w:tcPr>
            <w:tcW w:w="652" w:type="dxa"/>
            <w:vAlign w:val="center"/>
          </w:tcPr>
          <w:p w14:paraId="60C01D5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8</w:t>
            </w:r>
          </w:p>
        </w:tc>
      </w:tr>
      <w:tr w14:paraId="213D40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7" w:type="pct"/>
            <w:gridSpan w:val="3"/>
            <w:vAlign w:val="center"/>
          </w:tcPr>
          <w:p w14:paraId="302B39AE">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小计</w:t>
            </w:r>
          </w:p>
        </w:tc>
        <w:tc>
          <w:tcPr>
            <w:tcW w:w="441" w:type="pct"/>
            <w:vAlign w:val="center"/>
          </w:tcPr>
          <w:p w14:paraId="05508EA6">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台</w:t>
            </w:r>
            <w:r>
              <w:rPr>
                <w:color w:val="auto"/>
                <w:sz w:val="21"/>
                <w:szCs w:val="21"/>
                <w:highlight w:val="none"/>
                <w:u w:val="single"/>
              </w:rPr>
              <w:t>/</w:t>
            </w:r>
            <w:r>
              <w:rPr>
                <w:rFonts w:hint="eastAsia"/>
                <w:color w:val="auto"/>
                <w:sz w:val="21"/>
                <w:szCs w:val="21"/>
                <w:highlight w:val="none"/>
                <w:u w:val="single"/>
              </w:rPr>
              <w:t>套</w:t>
            </w:r>
          </w:p>
        </w:tc>
        <w:tc>
          <w:tcPr>
            <w:tcW w:w="652" w:type="dxa"/>
            <w:vAlign w:val="center"/>
          </w:tcPr>
          <w:p w14:paraId="7E7D1FE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18</w:t>
            </w:r>
          </w:p>
        </w:tc>
      </w:tr>
      <w:tr w14:paraId="0EF0AA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45DC697D">
            <w:pPr>
              <w:widowControl/>
              <w:spacing w:line="240" w:lineRule="auto"/>
              <w:ind w:firstLine="0" w:firstLineChars="0"/>
              <w:jc w:val="center"/>
              <w:rPr>
                <w:b/>
                <w:bCs/>
                <w:color w:val="auto"/>
                <w:sz w:val="21"/>
                <w:szCs w:val="21"/>
                <w:highlight w:val="none"/>
                <w:u w:val="single"/>
              </w:rPr>
            </w:pPr>
            <w:r>
              <w:rPr>
                <w:rFonts w:hint="eastAsia"/>
                <w:b/>
                <w:bCs/>
                <w:color w:val="auto"/>
                <w:sz w:val="21"/>
                <w:szCs w:val="21"/>
                <w:highlight w:val="none"/>
                <w:u w:val="single"/>
              </w:rPr>
              <w:t>九</w:t>
            </w:r>
          </w:p>
        </w:tc>
        <w:tc>
          <w:tcPr>
            <w:tcW w:w="4612" w:type="pct"/>
            <w:gridSpan w:val="4"/>
            <w:vAlign w:val="center"/>
          </w:tcPr>
          <w:p w14:paraId="33C7B17C">
            <w:pPr>
              <w:widowControl/>
              <w:spacing w:line="240" w:lineRule="auto"/>
              <w:ind w:firstLine="0" w:firstLineChars="0"/>
              <w:jc w:val="center"/>
              <w:rPr>
                <w:b/>
                <w:bCs/>
                <w:color w:val="auto"/>
                <w:sz w:val="21"/>
                <w:szCs w:val="21"/>
                <w:highlight w:val="none"/>
                <w:u w:val="single"/>
              </w:rPr>
            </w:pPr>
            <w:r>
              <w:rPr>
                <w:rFonts w:hint="eastAsia"/>
                <w:b/>
                <w:bCs/>
                <w:color w:val="auto"/>
                <w:sz w:val="21"/>
                <w:szCs w:val="21"/>
                <w:highlight w:val="none"/>
                <w:u w:val="single"/>
              </w:rPr>
              <w:t>起重运输设备</w:t>
            </w:r>
          </w:p>
        </w:tc>
      </w:tr>
      <w:tr w14:paraId="4DA22C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41B8A3E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c>
          <w:tcPr>
            <w:tcW w:w="1211" w:type="pct"/>
            <w:vAlign w:val="center"/>
          </w:tcPr>
          <w:p w14:paraId="6375372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电动单梁桥式起重机</w:t>
            </w:r>
          </w:p>
        </w:tc>
        <w:tc>
          <w:tcPr>
            <w:tcW w:w="2608" w:type="pct"/>
            <w:vAlign w:val="center"/>
          </w:tcPr>
          <w:p w14:paraId="22D0AEC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Gn=5t</w:t>
            </w:r>
            <w:r>
              <w:rPr>
                <w:rFonts w:hint="eastAsia"/>
                <w:color w:val="auto"/>
                <w:sz w:val="21"/>
                <w:szCs w:val="21"/>
                <w:highlight w:val="none"/>
                <w:u w:val="single"/>
              </w:rPr>
              <w:t>，</w:t>
            </w:r>
            <w:r>
              <w:rPr>
                <w:color w:val="auto"/>
                <w:sz w:val="21"/>
                <w:szCs w:val="21"/>
                <w:highlight w:val="none"/>
                <w:u w:val="single"/>
              </w:rPr>
              <w:t>S=7.5m</w:t>
            </w:r>
            <w:r>
              <w:rPr>
                <w:rFonts w:hint="eastAsia"/>
                <w:color w:val="auto"/>
                <w:sz w:val="21"/>
                <w:szCs w:val="21"/>
                <w:highlight w:val="none"/>
                <w:u w:val="single"/>
              </w:rPr>
              <w:t>，</w:t>
            </w:r>
            <w:r>
              <w:rPr>
                <w:color w:val="auto"/>
                <w:sz w:val="21"/>
                <w:szCs w:val="21"/>
                <w:highlight w:val="none"/>
                <w:u w:val="single"/>
              </w:rPr>
              <w:t>Hr=5.5m</w:t>
            </w:r>
            <w:r>
              <w:rPr>
                <w:rFonts w:hint="eastAsia"/>
                <w:color w:val="auto"/>
                <w:sz w:val="21"/>
                <w:szCs w:val="21"/>
                <w:highlight w:val="none"/>
                <w:u w:val="single"/>
              </w:rPr>
              <w:t>，</w:t>
            </w:r>
            <w:r>
              <w:rPr>
                <w:color w:val="auto"/>
                <w:sz w:val="21"/>
                <w:szCs w:val="21"/>
                <w:highlight w:val="none"/>
                <w:u w:val="single"/>
              </w:rPr>
              <w:t>A5</w:t>
            </w:r>
          </w:p>
        </w:tc>
        <w:tc>
          <w:tcPr>
            <w:tcW w:w="441" w:type="pct"/>
            <w:vAlign w:val="center"/>
          </w:tcPr>
          <w:p w14:paraId="3ACDCE3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046C666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p>
        </w:tc>
      </w:tr>
      <w:tr w14:paraId="0B9DE5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6197E05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p>
        </w:tc>
        <w:tc>
          <w:tcPr>
            <w:tcW w:w="1211" w:type="pct"/>
            <w:vAlign w:val="center"/>
          </w:tcPr>
          <w:p w14:paraId="1A85D24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电动吊钩桥式起重机</w:t>
            </w:r>
          </w:p>
        </w:tc>
        <w:tc>
          <w:tcPr>
            <w:tcW w:w="2608" w:type="pct"/>
            <w:vAlign w:val="center"/>
          </w:tcPr>
          <w:p w14:paraId="1AE1C15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Gn=75/20t</w:t>
            </w:r>
            <w:r>
              <w:rPr>
                <w:rFonts w:hint="eastAsia"/>
                <w:color w:val="auto"/>
                <w:sz w:val="21"/>
                <w:szCs w:val="21"/>
                <w:highlight w:val="none"/>
                <w:u w:val="single"/>
              </w:rPr>
              <w:t>，</w:t>
            </w:r>
            <w:r>
              <w:rPr>
                <w:color w:val="auto"/>
                <w:sz w:val="21"/>
                <w:szCs w:val="21"/>
                <w:highlight w:val="none"/>
                <w:u w:val="single"/>
              </w:rPr>
              <w:t>S=25.5m</w:t>
            </w:r>
            <w:r>
              <w:rPr>
                <w:rFonts w:hint="eastAsia"/>
                <w:color w:val="auto"/>
                <w:sz w:val="21"/>
                <w:szCs w:val="21"/>
                <w:highlight w:val="none"/>
                <w:u w:val="single"/>
              </w:rPr>
              <w:t>，</w:t>
            </w:r>
            <w:r>
              <w:rPr>
                <w:color w:val="auto"/>
                <w:sz w:val="21"/>
                <w:szCs w:val="21"/>
                <w:highlight w:val="none"/>
                <w:u w:val="single"/>
              </w:rPr>
              <w:t>Hr</w:t>
            </w:r>
            <w:r>
              <w:rPr>
                <w:rFonts w:hint="eastAsia"/>
                <w:color w:val="auto"/>
                <w:sz w:val="21"/>
                <w:szCs w:val="21"/>
                <w:highlight w:val="none"/>
                <w:u w:val="single"/>
                <w:lang w:eastAsia="zh-CN"/>
              </w:rPr>
              <w:t>=</w:t>
            </w:r>
            <w:r>
              <w:rPr>
                <w:color w:val="auto"/>
                <w:sz w:val="21"/>
                <w:szCs w:val="21"/>
                <w:highlight w:val="none"/>
                <w:u w:val="single"/>
              </w:rPr>
              <w:t>16m</w:t>
            </w:r>
            <w:r>
              <w:rPr>
                <w:rFonts w:hint="eastAsia"/>
                <w:color w:val="auto"/>
                <w:sz w:val="21"/>
                <w:szCs w:val="21"/>
                <w:highlight w:val="none"/>
                <w:u w:val="single"/>
              </w:rPr>
              <w:t>，</w:t>
            </w:r>
            <w:r>
              <w:rPr>
                <w:color w:val="auto"/>
                <w:sz w:val="21"/>
                <w:szCs w:val="21"/>
                <w:highlight w:val="none"/>
                <w:u w:val="single"/>
              </w:rPr>
              <w:t>A5</w:t>
            </w:r>
          </w:p>
        </w:tc>
        <w:tc>
          <w:tcPr>
            <w:tcW w:w="441" w:type="pct"/>
            <w:vAlign w:val="center"/>
          </w:tcPr>
          <w:p w14:paraId="61C4147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3A528AA6">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008B2B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437D78D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3</w:t>
            </w:r>
          </w:p>
        </w:tc>
        <w:tc>
          <w:tcPr>
            <w:tcW w:w="1211" w:type="pct"/>
            <w:vAlign w:val="center"/>
          </w:tcPr>
          <w:p w14:paraId="3F90D526">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电动吊钩桥式起重机</w:t>
            </w:r>
          </w:p>
        </w:tc>
        <w:tc>
          <w:tcPr>
            <w:tcW w:w="2608" w:type="pct"/>
            <w:vAlign w:val="center"/>
          </w:tcPr>
          <w:p w14:paraId="324DE9D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Gn=20/5t</w:t>
            </w:r>
            <w:r>
              <w:rPr>
                <w:rFonts w:hint="eastAsia"/>
                <w:color w:val="auto"/>
                <w:sz w:val="21"/>
                <w:szCs w:val="21"/>
                <w:highlight w:val="none"/>
                <w:u w:val="single"/>
              </w:rPr>
              <w:t>，</w:t>
            </w:r>
            <w:r>
              <w:rPr>
                <w:color w:val="auto"/>
                <w:sz w:val="21"/>
                <w:szCs w:val="21"/>
                <w:highlight w:val="none"/>
                <w:u w:val="single"/>
              </w:rPr>
              <w:t>S=24m</w:t>
            </w:r>
            <w:r>
              <w:rPr>
                <w:rFonts w:hint="eastAsia"/>
                <w:color w:val="auto"/>
                <w:sz w:val="21"/>
                <w:szCs w:val="21"/>
                <w:highlight w:val="none"/>
                <w:u w:val="single"/>
              </w:rPr>
              <w:t>，</w:t>
            </w:r>
            <w:r>
              <w:rPr>
                <w:color w:val="auto"/>
                <w:sz w:val="21"/>
                <w:szCs w:val="21"/>
                <w:highlight w:val="none"/>
                <w:u w:val="single"/>
              </w:rPr>
              <w:t>Hr</w:t>
            </w:r>
            <w:r>
              <w:rPr>
                <w:rFonts w:hint="eastAsia"/>
                <w:color w:val="auto"/>
                <w:sz w:val="21"/>
                <w:szCs w:val="21"/>
                <w:highlight w:val="none"/>
                <w:u w:val="single"/>
                <w:lang w:eastAsia="zh-CN"/>
              </w:rPr>
              <w:t>=</w:t>
            </w:r>
            <w:r>
              <w:rPr>
                <w:color w:val="auto"/>
                <w:sz w:val="21"/>
                <w:szCs w:val="21"/>
                <w:highlight w:val="none"/>
                <w:u w:val="single"/>
              </w:rPr>
              <w:t>10m</w:t>
            </w:r>
            <w:r>
              <w:rPr>
                <w:rFonts w:hint="eastAsia"/>
                <w:color w:val="auto"/>
                <w:sz w:val="21"/>
                <w:szCs w:val="21"/>
                <w:highlight w:val="none"/>
                <w:u w:val="single"/>
              </w:rPr>
              <w:t>，</w:t>
            </w:r>
            <w:r>
              <w:rPr>
                <w:color w:val="auto"/>
                <w:sz w:val="21"/>
                <w:szCs w:val="21"/>
                <w:highlight w:val="none"/>
                <w:u w:val="single"/>
              </w:rPr>
              <w:t>A5</w:t>
            </w:r>
          </w:p>
        </w:tc>
        <w:tc>
          <w:tcPr>
            <w:tcW w:w="441" w:type="pct"/>
            <w:vAlign w:val="center"/>
          </w:tcPr>
          <w:p w14:paraId="7211EC65">
            <w:pPr>
              <w:widowControl/>
              <w:spacing w:line="240" w:lineRule="auto"/>
              <w:ind w:firstLine="0" w:firstLineChars="0"/>
              <w:jc w:val="center"/>
              <w:rPr>
                <w:color w:val="auto"/>
                <w:sz w:val="21"/>
                <w:szCs w:val="21"/>
                <w:highlight w:val="none"/>
                <w:u w:val="single"/>
              </w:rPr>
            </w:pPr>
            <w:r>
              <w:rPr>
                <w:color w:val="auto"/>
                <w:sz w:val="21"/>
                <w:szCs w:val="21"/>
                <w:highlight w:val="none"/>
                <w:u w:val="single"/>
              </w:rPr>
              <w:drawing>
                <wp:anchor distT="0" distB="0" distL="114300" distR="114300" simplePos="0" relativeHeight="251672576" behindDoc="0" locked="0" layoutInCell="1" allowOverlap="1">
                  <wp:simplePos x="0" y="0"/>
                  <wp:positionH relativeFrom="column">
                    <wp:posOffset>0</wp:posOffset>
                  </wp:positionH>
                  <wp:positionV relativeFrom="paragraph">
                    <wp:posOffset>0</wp:posOffset>
                  </wp:positionV>
                  <wp:extent cx="9525" cy="9525"/>
                  <wp:effectExtent l="0" t="0" r="0" b="0"/>
                  <wp:wrapNone/>
                  <wp:docPr id="61" name="Line 10"/>
                  <wp:cNvGraphicFramePr/>
                  <a:graphic xmlns:a="http://schemas.openxmlformats.org/drawingml/2006/main">
                    <a:graphicData uri="http://schemas.openxmlformats.org/drawingml/2006/picture">
                      <pic:pic xmlns:pic="http://schemas.openxmlformats.org/drawingml/2006/picture">
                        <pic:nvPicPr>
                          <pic:cNvPr id="61" name="Line 10"/>
                          <pic:cNvPicPr/>
                        </pic:nvPicPr>
                        <pic:blipFill>
                          <a:blip r:embed="rId90"/>
                          <a:stretch>
                            <a:fillRect/>
                          </a:stretch>
                        </pic:blipFill>
                        <pic:spPr>
                          <a:xfrm>
                            <a:off x="0" y="0"/>
                            <a:ext cx="9525" cy="9525"/>
                          </a:xfrm>
                          <a:prstGeom prst="rect">
                            <a:avLst/>
                          </a:prstGeom>
                          <a:noFill/>
                          <a:ln>
                            <a:noFill/>
                          </a:ln>
                        </pic:spPr>
                      </pic:pic>
                    </a:graphicData>
                  </a:graphic>
                </wp:anchor>
              </w:drawing>
            </w:r>
            <w:r>
              <w:rPr>
                <w:color w:val="auto"/>
                <w:sz w:val="21"/>
                <w:szCs w:val="21"/>
                <w:highlight w:val="none"/>
                <w:u w:val="single"/>
              </w:rPr>
              <w:drawing>
                <wp:anchor distT="0" distB="0" distL="114300" distR="114300" simplePos="0" relativeHeight="251673600" behindDoc="0" locked="0" layoutInCell="1" allowOverlap="1">
                  <wp:simplePos x="0" y="0"/>
                  <wp:positionH relativeFrom="column">
                    <wp:posOffset>0</wp:posOffset>
                  </wp:positionH>
                  <wp:positionV relativeFrom="paragraph">
                    <wp:posOffset>0</wp:posOffset>
                  </wp:positionV>
                  <wp:extent cx="9525" cy="9525"/>
                  <wp:effectExtent l="0" t="0" r="0" b="0"/>
                  <wp:wrapNone/>
                  <wp:docPr id="62" name="Line 11"/>
                  <wp:cNvGraphicFramePr/>
                  <a:graphic xmlns:a="http://schemas.openxmlformats.org/drawingml/2006/main">
                    <a:graphicData uri="http://schemas.openxmlformats.org/drawingml/2006/picture">
                      <pic:pic xmlns:pic="http://schemas.openxmlformats.org/drawingml/2006/picture">
                        <pic:nvPicPr>
                          <pic:cNvPr id="62" name="Line 11"/>
                          <pic:cNvPicPr/>
                        </pic:nvPicPr>
                        <pic:blipFill>
                          <a:blip r:embed="rId90"/>
                          <a:stretch>
                            <a:fillRect/>
                          </a:stretch>
                        </pic:blipFill>
                        <pic:spPr>
                          <a:xfrm>
                            <a:off x="0" y="0"/>
                            <a:ext cx="9525" cy="9525"/>
                          </a:xfrm>
                          <a:prstGeom prst="rect">
                            <a:avLst/>
                          </a:prstGeom>
                          <a:noFill/>
                          <a:ln>
                            <a:noFill/>
                          </a:ln>
                        </pic:spPr>
                      </pic:pic>
                    </a:graphicData>
                  </a:graphic>
                </wp:anchor>
              </w:drawing>
            </w:r>
            <w:r>
              <w:rPr>
                <w:color w:val="auto"/>
                <w:sz w:val="21"/>
                <w:szCs w:val="21"/>
                <w:highlight w:val="none"/>
                <w:u w:val="single"/>
              </w:rPr>
              <w:drawing>
                <wp:anchor distT="0" distB="0" distL="114300" distR="114300" simplePos="0" relativeHeight="251674624" behindDoc="0" locked="0" layoutInCell="1" allowOverlap="1">
                  <wp:simplePos x="0" y="0"/>
                  <wp:positionH relativeFrom="column">
                    <wp:posOffset>0</wp:posOffset>
                  </wp:positionH>
                  <wp:positionV relativeFrom="paragraph">
                    <wp:posOffset>0</wp:posOffset>
                  </wp:positionV>
                  <wp:extent cx="9525" cy="9525"/>
                  <wp:effectExtent l="0" t="0" r="0" b="0"/>
                  <wp:wrapNone/>
                  <wp:docPr id="65" name="Line 20"/>
                  <wp:cNvGraphicFramePr/>
                  <a:graphic xmlns:a="http://schemas.openxmlformats.org/drawingml/2006/main">
                    <a:graphicData uri="http://schemas.openxmlformats.org/drawingml/2006/picture">
                      <pic:pic xmlns:pic="http://schemas.openxmlformats.org/drawingml/2006/picture">
                        <pic:nvPicPr>
                          <pic:cNvPr id="65" name="Line 20"/>
                          <pic:cNvPicPr/>
                        </pic:nvPicPr>
                        <pic:blipFill>
                          <a:blip r:embed="rId90"/>
                          <a:stretch>
                            <a:fillRect/>
                          </a:stretch>
                        </pic:blipFill>
                        <pic:spPr>
                          <a:xfrm>
                            <a:off x="0" y="0"/>
                            <a:ext cx="9525" cy="9525"/>
                          </a:xfrm>
                          <a:prstGeom prst="rect">
                            <a:avLst/>
                          </a:prstGeom>
                          <a:noFill/>
                          <a:ln>
                            <a:noFill/>
                          </a:ln>
                        </pic:spPr>
                      </pic:pic>
                    </a:graphicData>
                  </a:graphic>
                </wp:anchor>
              </w:drawing>
            </w:r>
            <w:r>
              <w:rPr>
                <w:color w:val="auto"/>
                <w:sz w:val="21"/>
                <w:szCs w:val="21"/>
                <w:highlight w:val="none"/>
                <w:u w:val="single"/>
              </w:rPr>
              <w:drawing>
                <wp:anchor distT="0" distB="0" distL="114300" distR="114300" simplePos="0" relativeHeight="251675648" behindDoc="0" locked="0" layoutInCell="1" allowOverlap="1">
                  <wp:simplePos x="0" y="0"/>
                  <wp:positionH relativeFrom="column">
                    <wp:posOffset>0</wp:posOffset>
                  </wp:positionH>
                  <wp:positionV relativeFrom="paragraph">
                    <wp:posOffset>0</wp:posOffset>
                  </wp:positionV>
                  <wp:extent cx="9525" cy="9525"/>
                  <wp:effectExtent l="0" t="0" r="0" b="0"/>
                  <wp:wrapNone/>
                  <wp:docPr id="66" name="Line 21"/>
                  <wp:cNvGraphicFramePr/>
                  <a:graphic xmlns:a="http://schemas.openxmlformats.org/drawingml/2006/main">
                    <a:graphicData uri="http://schemas.openxmlformats.org/drawingml/2006/picture">
                      <pic:pic xmlns:pic="http://schemas.openxmlformats.org/drawingml/2006/picture">
                        <pic:nvPicPr>
                          <pic:cNvPr id="66" name="Line 21"/>
                          <pic:cNvPicPr/>
                        </pic:nvPicPr>
                        <pic:blipFill>
                          <a:blip r:embed="rId90"/>
                          <a:stretch>
                            <a:fillRect/>
                          </a:stretch>
                        </pic:blipFill>
                        <pic:spPr>
                          <a:xfrm>
                            <a:off x="0" y="0"/>
                            <a:ext cx="9525" cy="9525"/>
                          </a:xfrm>
                          <a:prstGeom prst="rect">
                            <a:avLst/>
                          </a:prstGeom>
                          <a:noFill/>
                          <a:ln>
                            <a:noFill/>
                          </a:ln>
                        </pic:spPr>
                      </pic:pic>
                    </a:graphicData>
                  </a:graphic>
                </wp:anchor>
              </w:drawing>
            </w:r>
            <w:r>
              <w:rPr>
                <w:rFonts w:hint="eastAsia"/>
                <w:color w:val="auto"/>
                <w:sz w:val="21"/>
                <w:szCs w:val="21"/>
                <w:highlight w:val="none"/>
                <w:u w:val="single"/>
              </w:rPr>
              <w:t>台</w:t>
            </w:r>
          </w:p>
        </w:tc>
        <w:tc>
          <w:tcPr>
            <w:tcW w:w="652" w:type="dxa"/>
            <w:vAlign w:val="center"/>
          </w:tcPr>
          <w:p w14:paraId="34A6DD7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253A45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7609C3C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4</w:t>
            </w:r>
          </w:p>
        </w:tc>
        <w:tc>
          <w:tcPr>
            <w:tcW w:w="1211" w:type="pct"/>
            <w:vAlign w:val="center"/>
          </w:tcPr>
          <w:p w14:paraId="6FA78A3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电动吊钩桥式起重机</w:t>
            </w:r>
          </w:p>
        </w:tc>
        <w:tc>
          <w:tcPr>
            <w:tcW w:w="2608" w:type="pct"/>
            <w:vAlign w:val="center"/>
          </w:tcPr>
          <w:p w14:paraId="096E7A4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Gn=10t</w:t>
            </w:r>
            <w:r>
              <w:rPr>
                <w:rFonts w:hint="eastAsia"/>
                <w:color w:val="auto"/>
                <w:sz w:val="21"/>
                <w:szCs w:val="21"/>
                <w:highlight w:val="none"/>
                <w:u w:val="single"/>
              </w:rPr>
              <w:t>，</w:t>
            </w:r>
            <w:r>
              <w:rPr>
                <w:color w:val="auto"/>
                <w:sz w:val="21"/>
                <w:szCs w:val="21"/>
                <w:highlight w:val="none"/>
                <w:u w:val="single"/>
              </w:rPr>
              <w:t>S=24m</w:t>
            </w:r>
            <w:r>
              <w:rPr>
                <w:rFonts w:hint="eastAsia"/>
                <w:color w:val="auto"/>
                <w:sz w:val="21"/>
                <w:szCs w:val="21"/>
                <w:highlight w:val="none"/>
                <w:u w:val="single"/>
              </w:rPr>
              <w:t>，</w:t>
            </w:r>
            <w:r>
              <w:rPr>
                <w:color w:val="auto"/>
                <w:sz w:val="21"/>
                <w:szCs w:val="21"/>
                <w:highlight w:val="none"/>
                <w:u w:val="single"/>
              </w:rPr>
              <w:t>Hr</w:t>
            </w:r>
            <w:r>
              <w:rPr>
                <w:rFonts w:hint="eastAsia"/>
                <w:color w:val="auto"/>
                <w:sz w:val="21"/>
                <w:szCs w:val="21"/>
                <w:highlight w:val="none"/>
                <w:u w:val="single"/>
                <w:lang w:eastAsia="zh-CN"/>
              </w:rPr>
              <w:t>=</w:t>
            </w:r>
            <w:r>
              <w:rPr>
                <w:color w:val="auto"/>
                <w:sz w:val="21"/>
                <w:szCs w:val="21"/>
                <w:highlight w:val="none"/>
                <w:u w:val="single"/>
              </w:rPr>
              <w:t>10m</w:t>
            </w:r>
            <w:r>
              <w:rPr>
                <w:rFonts w:hint="eastAsia"/>
                <w:color w:val="auto"/>
                <w:sz w:val="21"/>
                <w:szCs w:val="21"/>
                <w:highlight w:val="none"/>
                <w:u w:val="single"/>
              </w:rPr>
              <w:t>，</w:t>
            </w:r>
            <w:r>
              <w:rPr>
                <w:color w:val="auto"/>
                <w:sz w:val="21"/>
                <w:szCs w:val="21"/>
                <w:highlight w:val="none"/>
                <w:u w:val="single"/>
              </w:rPr>
              <w:t>A5</w:t>
            </w:r>
          </w:p>
        </w:tc>
        <w:tc>
          <w:tcPr>
            <w:tcW w:w="441" w:type="pct"/>
            <w:vAlign w:val="center"/>
          </w:tcPr>
          <w:p w14:paraId="6E550FD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504C9699">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5BB48F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477A926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5</w:t>
            </w:r>
          </w:p>
        </w:tc>
        <w:tc>
          <w:tcPr>
            <w:tcW w:w="1211" w:type="pct"/>
            <w:vAlign w:val="center"/>
          </w:tcPr>
          <w:p w14:paraId="4450231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电动吊钩桥式起重机</w:t>
            </w:r>
          </w:p>
        </w:tc>
        <w:tc>
          <w:tcPr>
            <w:tcW w:w="2608" w:type="pct"/>
            <w:vAlign w:val="center"/>
          </w:tcPr>
          <w:p w14:paraId="515FB5E6">
            <w:pPr>
              <w:widowControl/>
              <w:spacing w:line="240" w:lineRule="auto"/>
              <w:ind w:firstLine="0" w:firstLineChars="0"/>
              <w:jc w:val="center"/>
              <w:rPr>
                <w:color w:val="auto"/>
                <w:sz w:val="21"/>
                <w:szCs w:val="21"/>
                <w:highlight w:val="none"/>
                <w:u w:val="single"/>
              </w:rPr>
            </w:pPr>
            <w:r>
              <w:rPr>
                <w:color w:val="auto"/>
                <w:sz w:val="21"/>
                <w:szCs w:val="21"/>
                <w:highlight w:val="none"/>
                <w:u w:val="single"/>
              </w:rPr>
              <w:t>Gn=16/3.2t</w:t>
            </w:r>
            <w:r>
              <w:rPr>
                <w:rFonts w:hint="eastAsia"/>
                <w:color w:val="auto"/>
                <w:sz w:val="21"/>
                <w:szCs w:val="21"/>
                <w:highlight w:val="none"/>
                <w:u w:val="single"/>
              </w:rPr>
              <w:t>，</w:t>
            </w:r>
            <w:r>
              <w:rPr>
                <w:color w:val="auto"/>
                <w:sz w:val="21"/>
                <w:szCs w:val="21"/>
                <w:highlight w:val="none"/>
                <w:u w:val="single"/>
              </w:rPr>
              <w:t>S=25.5m</w:t>
            </w:r>
            <w:r>
              <w:rPr>
                <w:rFonts w:hint="eastAsia"/>
                <w:color w:val="auto"/>
                <w:sz w:val="21"/>
                <w:szCs w:val="21"/>
                <w:highlight w:val="none"/>
                <w:u w:val="single"/>
              </w:rPr>
              <w:t>，</w:t>
            </w:r>
            <w:r>
              <w:rPr>
                <w:color w:val="auto"/>
                <w:sz w:val="21"/>
                <w:szCs w:val="21"/>
                <w:highlight w:val="none"/>
                <w:u w:val="single"/>
              </w:rPr>
              <w:t>Hr</w:t>
            </w:r>
            <w:r>
              <w:rPr>
                <w:rFonts w:hint="eastAsia"/>
                <w:color w:val="auto"/>
                <w:sz w:val="21"/>
                <w:szCs w:val="21"/>
                <w:highlight w:val="none"/>
                <w:u w:val="single"/>
                <w:lang w:eastAsia="zh-CN"/>
              </w:rPr>
              <w:t>=</w:t>
            </w:r>
            <w:r>
              <w:rPr>
                <w:color w:val="auto"/>
                <w:sz w:val="21"/>
                <w:szCs w:val="21"/>
                <w:highlight w:val="none"/>
                <w:u w:val="single"/>
              </w:rPr>
              <w:t>10m</w:t>
            </w:r>
            <w:r>
              <w:rPr>
                <w:rFonts w:hint="eastAsia"/>
                <w:color w:val="auto"/>
                <w:sz w:val="21"/>
                <w:szCs w:val="21"/>
                <w:highlight w:val="none"/>
                <w:u w:val="single"/>
              </w:rPr>
              <w:t>，</w:t>
            </w:r>
            <w:r>
              <w:rPr>
                <w:color w:val="auto"/>
                <w:sz w:val="21"/>
                <w:szCs w:val="21"/>
                <w:highlight w:val="none"/>
                <w:u w:val="single"/>
              </w:rPr>
              <w:t>A5</w:t>
            </w:r>
          </w:p>
        </w:tc>
        <w:tc>
          <w:tcPr>
            <w:tcW w:w="441" w:type="pct"/>
            <w:vAlign w:val="center"/>
          </w:tcPr>
          <w:p w14:paraId="5FD2126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19187E5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p>
        </w:tc>
      </w:tr>
      <w:tr w14:paraId="10CD6D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38E57F9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6</w:t>
            </w:r>
          </w:p>
        </w:tc>
        <w:tc>
          <w:tcPr>
            <w:tcW w:w="1211" w:type="pct"/>
            <w:vAlign w:val="center"/>
          </w:tcPr>
          <w:p w14:paraId="575BF62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电动吊钩桥式起重机</w:t>
            </w:r>
          </w:p>
        </w:tc>
        <w:tc>
          <w:tcPr>
            <w:tcW w:w="2608" w:type="pct"/>
            <w:vAlign w:val="center"/>
          </w:tcPr>
          <w:p w14:paraId="7DFF288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Gn=10t</w:t>
            </w:r>
            <w:r>
              <w:rPr>
                <w:rFonts w:hint="eastAsia"/>
                <w:color w:val="auto"/>
                <w:sz w:val="21"/>
                <w:szCs w:val="21"/>
                <w:highlight w:val="none"/>
                <w:u w:val="single"/>
              </w:rPr>
              <w:t>，</w:t>
            </w:r>
            <w:r>
              <w:rPr>
                <w:color w:val="auto"/>
                <w:sz w:val="21"/>
                <w:szCs w:val="21"/>
                <w:highlight w:val="none"/>
                <w:u w:val="single"/>
              </w:rPr>
              <w:t>S=19.5m</w:t>
            </w:r>
            <w:r>
              <w:rPr>
                <w:rFonts w:hint="eastAsia"/>
                <w:color w:val="auto"/>
                <w:sz w:val="21"/>
                <w:szCs w:val="21"/>
                <w:highlight w:val="none"/>
                <w:u w:val="single"/>
              </w:rPr>
              <w:t>，</w:t>
            </w:r>
            <w:r>
              <w:rPr>
                <w:color w:val="auto"/>
                <w:sz w:val="21"/>
                <w:szCs w:val="21"/>
                <w:highlight w:val="none"/>
                <w:u w:val="single"/>
              </w:rPr>
              <w:t>Hr</w:t>
            </w:r>
            <w:r>
              <w:rPr>
                <w:rFonts w:hint="eastAsia"/>
                <w:color w:val="auto"/>
                <w:sz w:val="21"/>
                <w:szCs w:val="21"/>
                <w:highlight w:val="none"/>
                <w:u w:val="single"/>
                <w:lang w:eastAsia="zh-CN"/>
              </w:rPr>
              <w:t>=</w:t>
            </w:r>
            <w:r>
              <w:rPr>
                <w:color w:val="auto"/>
                <w:sz w:val="21"/>
                <w:szCs w:val="21"/>
                <w:highlight w:val="none"/>
                <w:u w:val="single"/>
              </w:rPr>
              <w:t>10m</w:t>
            </w:r>
            <w:r>
              <w:rPr>
                <w:rFonts w:hint="eastAsia"/>
                <w:color w:val="auto"/>
                <w:sz w:val="21"/>
                <w:szCs w:val="21"/>
                <w:highlight w:val="none"/>
                <w:u w:val="single"/>
              </w:rPr>
              <w:t>，</w:t>
            </w:r>
            <w:r>
              <w:rPr>
                <w:color w:val="auto"/>
                <w:sz w:val="21"/>
                <w:szCs w:val="21"/>
                <w:highlight w:val="none"/>
                <w:u w:val="single"/>
              </w:rPr>
              <w:t>A5</w:t>
            </w:r>
          </w:p>
        </w:tc>
        <w:tc>
          <w:tcPr>
            <w:tcW w:w="441" w:type="pct"/>
            <w:vAlign w:val="center"/>
          </w:tcPr>
          <w:p w14:paraId="40C1E41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6958DAC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619232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33FAB1E2">
            <w:pPr>
              <w:widowControl/>
              <w:spacing w:line="240" w:lineRule="auto"/>
              <w:ind w:firstLine="0" w:firstLineChars="0"/>
              <w:jc w:val="center"/>
              <w:rPr>
                <w:color w:val="auto"/>
                <w:sz w:val="21"/>
                <w:szCs w:val="21"/>
                <w:highlight w:val="none"/>
                <w:u w:val="single"/>
              </w:rPr>
            </w:pPr>
            <w:r>
              <w:rPr>
                <w:color w:val="auto"/>
                <w:sz w:val="21"/>
                <w:szCs w:val="21"/>
                <w:highlight w:val="none"/>
                <w:u w:val="single"/>
              </w:rPr>
              <w:t>7</w:t>
            </w:r>
          </w:p>
        </w:tc>
        <w:tc>
          <w:tcPr>
            <w:tcW w:w="1211" w:type="pct"/>
            <w:vAlign w:val="center"/>
          </w:tcPr>
          <w:p w14:paraId="3387057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电动吊钩桥式起重机</w:t>
            </w:r>
          </w:p>
        </w:tc>
        <w:tc>
          <w:tcPr>
            <w:tcW w:w="2608" w:type="pct"/>
            <w:vAlign w:val="center"/>
          </w:tcPr>
          <w:p w14:paraId="5DE9825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Gn=5t</w:t>
            </w:r>
            <w:r>
              <w:rPr>
                <w:rFonts w:hint="eastAsia"/>
                <w:color w:val="auto"/>
                <w:sz w:val="21"/>
                <w:szCs w:val="21"/>
                <w:highlight w:val="none"/>
                <w:u w:val="single"/>
              </w:rPr>
              <w:t>，</w:t>
            </w:r>
            <w:r>
              <w:rPr>
                <w:color w:val="auto"/>
                <w:sz w:val="21"/>
                <w:szCs w:val="21"/>
                <w:highlight w:val="none"/>
                <w:u w:val="single"/>
              </w:rPr>
              <w:t>S=19.5m</w:t>
            </w:r>
            <w:r>
              <w:rPr>
                <w:rFonts w:hint="eastAsia"/>
                <w:color w:val="auto"/>
                <w:sz w:val="21"/>
                <w:szCs w:val="21"/>
                <w:highlight w:val="none"/>
                <w:u w:val="single"/>
              </w:rPr>
              <w:t>，</w:t>
            </w:r>
            <w:r>
              <w:rPr>
                <w:color w:val="auto"/>
                <w:sz w:val="21"/>
                <w:szCs w:val="21"/>
                <w:highlight w:val="none"/>
                <w:u w:val="single"/>
              </w:rPr>
              <w:t>Hr</w:t>
            </w:r>
            <w:r>
              <w:rPr>
                <w:rFonts w:hint="eastAsia"/>
                <w:color w:val="auto"/>
                <w:sz w:val="21"/>
                <w:szCs w:val="21"/>
                <w:highlight w:val="none"/>
                <w:u w:val="single"/>
                <w:lang w:eastAsia="zh-CN"/>
              </w:rPr>
              <w:t>=</w:t>
            </w:r>
            <w:r>
              <w:rPr>
                <w:color w:val="auto"/>
                <w:sz w:val="21"/>
                <w:szCs w:val="21"/>
                <w:highlight w:val="none"/>
                <w:u w:val="single"/>
              </w:rPr>
              <w:t>10m</w:t>
            </w:r>
            <w:r>
              <w:rPr>
                <w:rFonts w:hint="eastAsia"/>
                <w:color w:val="auto"/>
                <w:sz w:val="21"/>
                <w:szCs w:val="21"/>
                <w:highlight w:val="none"/>
                <w:u w:val="single"/>
              </w:rPr>
              <w:t>，</w:t>
            </w:r>
            <w:r>
              <w:rPr>
                <w:color w:val="auto"/>
                <w:sz w:val="21"/>
                <w:szCs w:val="21"/>
                <w:highlight w:val="none"/>
                <w:u w:val="single"/>
              </w:rPr>
              <w:t>A5</w:t>
            </w:r>
          </w:p>
        </w:tc>
        <w:tc>
          <w:tcPr>
            <w:tcW w:w="441" w:type="pct"/>
            <w:vAlign w:val="center"/>
          </w:tcPr>
          <w:p w14:paraId="6239405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4965CDB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713483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40965877">
            <w:pPr>
              <w:widowControl/>
              <w:spacing w:line="240" w:lineRule="auto"/>
              <w:ind w:firstLine="0" w:firstLineChars="0"/>
              <w:jc w:val="center"/>
              <w:rPr>
                <w:color w:val="auto"/>
                <w:sz w:val="21"/>
                <w:szCs w:val="21"/>
                <w:highlight w:val="none"/>
                <w:u w:val="single"/>
              </w:rPr>
            </w:pPr>
            <w:r>
              <w:rPr>
                <w:color w:val="auto"/>
                <w:sz w:val="21"/>
                <w:szCs w:val="21"/>
                <w:highlight w:val="none"/>
                <w:u w:val="single"/>
              </w:rPr>
              <w:t>8</w:t>
            </w:r>
          </w:p>
        </w:tc>
        <w:tc>
          <w:tcPr>
            <w:tcW w:w="1211" w:type="pct"/>
            <w:vAlign w:val="center"/>
          </w:tcPr>
          <w:p w14:paraId="62CC94D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墙柱式摇臂吊车</w:t>
            </w:r>
          </w:p>
        </w:tc>
        <w:tc>
          <w:tcPr>
            <w:tcW w:w="2608" w:type="pct"/>
            <w:vAlign w:val="center"/>
          </w:tcPr>
          <w:p w14:paraId="5D77AEA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Gn=1t</w:t>
            </w:r>
            <w:r>
              <w:rPr>
                <w:rFonts w:hint="eastAsia"/>
                <w:color w:val="auto"/>
                <w:sz w:val="21"/>
                <w:szCs w:val="21"/>
                <w:highlight w:val="none"/>
                <w:u w:val="single"/>
              </w:rPr>
              <w:t>，</w:t>
            </w:r>
            <w:r>
              <w:rPr>
                <w:color w:val="auto"/>
                <w:sz w:val="21"/>
                <w:szCs w:val="21"/>
                <w:highlight w:val="none"/>
                <w:u w:val="single"/>
              </w:rPr>
              <w:t>l=7m</w:t>
            </w:r>
          </w:p>
        </w:tc>
        <w:tc>
          <w:tcPr>
            <w:tcW w:w="441" w:type="pct"/>
            <w:vAlign w:val="center"/>
          </w:tcPr>
          <w:p w14:paraId="5373809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11186DA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4</w:t>
            </w:r>
          </w:p>
        </w:tc>
      </w:tr>
      <w:tr w14:paraId="06BD42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06AE566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9</w:t>
            </w:r>
          </w:p>
        </w:tc>
        <w:tc>
          <w:tcPr>
            <w:tcW w:w="1211" w:type="pct"/>
            <w:vAlign w:val="center"/>
          </w:tcPr>
          <w:p w14:paraId="6935938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电动平车</w:t>
            </w:r>
          </w:p>
        </w:tc>
        <w:tc>
          <w:tcPr>
            <w:tcW w:w="2608" w:type="pct"/>
            <w:vAlign w:val="center"/>
          </w:tcPr>
          <w:p w14:paraId="476A2B7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Gn=25t</w:t>
            </w:r>
          </w:p>
        </w:tc>
        <w:tc>
          <w:tcPr>
            <w:tcW w:w="441" w:type="pct"/>
            <w:vAlign w:val="center"/>
          </w:tcPr>
          <w:p w14:paraId="4F114FC3">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662DD12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6D106F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14:paraId="259D81C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10</w:t>
            </w:r>
          </w:p>
        </w:tc>
        <w:tc>
          <w:tcPr>
            <w:tcW w:w="1211" w:type="pct"/>
            <w:vAlign w:val="center"/>
          </w:tcPr>
          <w:p w14:paraId="2687F706">
            <w:pPr>
              <w:widowControl/>
              <w:spacing w:line="240" w:lineRule="auto"/>
              <w:ind w:firstLine="0" w:firstLineChars="0"/>
              <w:jc w:val="center"/>
              <w:rPr>
                <w:color w:val="auto"/>
                <w:sz w:val="21"/>
                <w:szCs w:val="21"/>
                <w:highlight w:val="none"/>
                <w:u w:val="single"/>
              </w:rPr>
            </w:pPr>
            <w:r>
              <w:rPr>
                <w:color w:val="auto"/>
                <w:sz w:val="21"/>
                <w:szCs w:val="21"/>
                <w:highlight w:val="none"/>
                <w:u w:val="single"/>
              </w:rPr>
              <w:t>柴油机叉车</w:t>
            </w:r>
          </w:p>
        </w:tc>
        <w:tc>
          <w:tcPr>
            <w:tcW w:w="2608" w:type="pct"/>
            <w:vAlign w:val="center"/>
          </w:tcPr>
          <w:p w14:paraId="491C6B35">
            <w:pPr>
              <w:widowControl/>
              <w:spacing w:line="240" w:lineRule="auto"/>
              <w:ind w:firstLine="0" w:firstLineChars="0"/>
              <w:jc w:val="center"/>
              <w:rPr>
                <w:color w:val="auto"/>
                <w:sz w:val="21"/>
                <w:szCs w:val="21"/>
                <w:highlight w:val="none"/>
                <w:u w:val="single"/>
              </w:rPr>
            </w:pPr>
            <w:r>
              <w:rPr>
                <w:color w:val="auto"/>
                <w:sz w:val="21"/>
                <w:szCs w:val="21"/>
                <w:highlight w:val="none"/>
                <w:u w:val="single"/>
              </w:rPr>
              <w:t>Gn=10t</w:t>
            </w:r>
          </w:p>
        </w:tc>
        <w:tc>
          <w:tcPr>
            <w:tcW w:w="441" w:type="pct"/>
            <w:vAlign w:val="center"/>
          </w:tcPr>
          <w:p w14:paraId="6249BBC6">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台</w:t>
            </w:r>
          </w:p>
        </w:tc>
        <w:tc>
          <w:tcPr>
            <w:tcW w:w="652" w:type="dxa"/>
            <w:vAlign w:val="center"/>
          </w:tcPr>
          <w:p w14:paraId="41B58DD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r>
      <w:tr w14:paraId="14D149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7" w:type="pct"/>
            <w:gridSpan w:val="3"/>
            <w:vAlign w:val="center"/>
          </w:tcPr>
          <w:p w14:paraId="2AA23DEC">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小计</w:t>
            </w:r>
          </w:p>
        </w:tc>
        <w:tc>
          <w:tcPr>
            <w:tcW w:w="441" w:type="pct"/>
            <w:vAlign w:val="center"/>
          </w:tcPr>
          <w:p w14:paraId="2D2E5F60">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台</w:t>
            </w:r>
            <w:r>
              <w:rPr>
                <w:color w:val="auto"/>
                <w:sz w:val="21"/>
                <w:szCs w:val="21"/>
                <w:highlight w:val="none"/>
                <w:u w:val="single"/>
              </w:rPr>
              <w:t>/</w:t>
            </w:r>
            <w:r>
              <w:rPr>
                <w:rFonts w:hint="eastAsia"/>
                <w:color w:val="auto"/>
                <w:sz w:val="21"/>
                <w:szCs w:val="21"/>
                <w:highlight w:val="none"/>
                <w:u w:val="single"/>
              </w:rPr>
              <w:t>套</w:t>
            </w:r>
          </w:p>
        </w:tc>
        <w:tc>
          <w:tcPr>
            <w:tcW w:w="652" w:type="dxa"/>
            <w:vAlign w:val="center"/>
          </w:tcPr>
          <w:p w14:paraId="670DBB2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15</w:t>
            </w:r>
          </w:p>
        </w:tc>
      </w:tr>
      <w:tr w14:paraId="62E4E4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7" w:type="pct"/>
            <w:gridSpan w:val="3"/>
            <w:vAlign w:val="center"/>
          </w:tcPr>
          <w:p w14:paraId="3BEBF33A">
            <w:pPr>
              <w:widowControl/>
              <w:spacing w:line="240" w:lineRule="auto"/>
              <w:ind w:firstLine="0" w:firstLineChars="0"/>
              <w:jc w:val="center"/>
              <w:rPr>
                <w:b/>
                <w:bCs/>
                <w:color w:val="auto"/>
                <w:sz w:val="21"/>
                <w:szCs w:val="21"/>
                <w:highlight w:val="none"/>
                <w:u w:val="single"/>
              </w:rPr>
            </w:pPr>
            <w:r>
              <w:rPr>
                <w:rFonts w:hint="eastAsia"/>
                <w:b/>
                <w:bCs/>
                <w:color w:val="auto"/>
                <w:sz w:val="21"/>
                <w:szCs w:val="21"/>
                <w:highlight w:val="none"/>
                <w:u w:val="single"/>
              </w:rPr>
              <w:t>合计</w:t>
            </w:r>
          </w:p>
        </w:tc>
        <w:tc>
          <w:tcPr>
            <w:tcW w:w="441" w:type="pct"/>
            <w:vAlign w:val="center"/>
          </w:tcPr>
          <w:p w14:paraId="65DED5CE">
            <w:pPr>
              <w:widowControl/>
              <w:spacing w:line="240" w:lineRule="auto"/>
              <w:ind w:firstLine="0" w:firstLineChars="0"/>
              <w:jc w:val="center"/>
              <w:rPr>
                <w:b/>
                <w:bCs/>
                <w:color w:val="auto"/>
                <w:sz w:val="21"/>
                <w:szCs w:val="21"/>
                <w:highlight w:val="none"/>
                <w:u w:val="single"/>
              </w:rPr>
            </w:pPr>
            <w:r>
              <w:rPr>
                <w:rFonts w:hint="eastAsia"/>
                <w:b/>
                <w:bCs/>
                <w:color w:val="auto"/>
                <w:sz w:val="21"/>
                <w:szCs w:val="21"/>
                <w:highlight w:val="none"/>
                <w:u w:val="single"/>
              </w:rPr>
              <w:t>台</w:t>
            </w:r>
            <w:r>
              <w:rPr>
                <w:b/>
                <w:bCs/>
                <w:color w:val="auto"/>
                <w:sz w:val="21"/>
                <w:szCs w:val="21"/>
                <w:highlight w:val="none"/>
                <w:u w:val="single"/>
              </w:rPr>
              <w:t>/</w:t>
            </w:r>
            <w:r>
              <w:rPr>
                <w:rFonts w:hint="eastAsia"/>
                <w:b/>
                <w:bCs/>
                <w:color w:val="auto"/>
                <w:sz w:val="21"/>
                <w:szCs w:val="21"/>
                <w:highlight w:val="none"/>
                <w:u w:val="single"/>
              </w:rPr>
              <w:t>套</w:t>
            </w:r>
          </w:p>
        </w:tc>
        <w:tc>
          <w:tcPr>
            <w:tcW w:w="652" w:type="dxa"/>
            <w:vAlign w:val="center"/>
          </w:tcPr>
          <w:p w14:paraId="30BD2298">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1</w:t>
            </w:r>
            <w:r>
              <w:rPr>
                <w:rFonts w:hint="eastAsia"/>
                <w:b/>
                <w:bCs/>
                <w:color w:val="auto"/>
                <w:sz w:val="21"/>
                <w:szCs w:val="21"/>
                <w:highlight w:val="none"/>
                <w:u w:val="single"/>
              </w:rPr>
              <w:t>8</w:t>
            </w:r>
            <w:r>
              <w:rPr>
                <w:b/>
                <w:bCs/>
                <w:color w:val="auto"/>
                <w:sz w:val="21"/>
                <w:szCs w:val="21"/>
                <w:highlight w:val="none"/>
                <w:u w:val="single"/>
              </w:rPr>
              <w:t>5</w:t>
            </w:r>
          </w:p>
        </w:tc>
      </w:tr>
    </w:tbl>
    <w:p w14:paraId="0210A7B3">
      <w:pPr>
        <w:ind w:firstLine="482"/>
        <w:rPr>
          <w:b/>
          <w:color w:val="auto"/>
          <w:szCs w:val="20"/>
          <w:highlight w:val="none"/>
          <w:u w:val="single"/>
        </w:rPr>
      </w:pPr>
    </w:p>
    <w:p w14:paraId="53FE2C1B">
      <w:pPr>
        <w:ind w:firstLine="482"/>
        <w:rPr>
          <w:b/>
          <w:color w:val="auto"/>
          <w:szCs w:val="20"/>
          <w:highlight w:val="none"/>
          <w:u w:val="single"/>
        </w:rPr>
      </w:pPr>
      <w:r>
        <w:rPr>
          <w:rFonts w:hint="eastAsia" w:ascii="宋体" w:hAnsi="宋体" w:cs="宋体"/>
          <w:b/>
          <w:color w:val="auto"/>
          <w:szCs w:val="20"/>
          <w:highlight w:val="none"/>
          <w:u w:val="single"/>
        </w:rPr>
        <w:t>②</w:t>
      </w:r>
      <w:r>
        <w:rPr>
          <w:rFonts w:hint="eastAsia"/>
          <w:b/>
          <w:color w:val="auto"/>
          <w:szCs w:val="20"/>
          <w:highlight w:val="none"/>
          <w:u w:val="single"/>
        </w:rPr>
        <w:t>船体和机电综合车间内工艺流程</w:t>
      </w:r>
    </w:p>
    <w:p w14:paraId="58EEFCD9">
      <w:pPr>
        <w:ind w:firstLine="480"/>
        <w:rPr>
          <w:color w:val="auto"/>
          <w:szCs w:val="20"/>
          <w:highlight w:val="none"/>
          <w:u w:val="single"/>
        </w:rPr>
      </w:pPr>
      <w:r>
        <w:rPr>
          <w:rFonts w:hint="eastAsia"/>
          <w:color w:val="auto"/>
          <w:szCs w:val="20"/>
          <w:highlight w:val="none"/>
          <w:u w:val="single"/>
        </w:rPr>
        <w:t>A、船舶进坞前，有关主管人员对被修船舶进行勘验，待修船舶进行清仓，待被修船舶舱室内的剩油、废油、油污水清理达标后再进坞修理。然后车间工作人员对被修船舶进行勘验、拆卸、修复换新、安装、试验、试航交船等工作。</w:t>
      </w:r>
    </w:p>
    <w:p w14:paraId="6366F708">
      <w:pPr>
        <w:ind w:firstLine="480"/>
        <w:rPr>
          <w:color w:val="auto"/>
          <w:szCs w:val="20"/>
          <w:highlight w:val="none"/>
          <w:u w:val="single"/>
        </w:rPr>
      </w:pPr>
      <w:r>
        <w:rPr>
          <w:rFonts w:hint="eastAsia"/>
          <w:color w:val="auto"/>
          <w:szCs w:val="20"/>
          <w:highlight w:val="none"/>
          <w:u w:val="single"/>
        </w:rPr>
        <w:t>B、机电设备的修理工作以在室内厂房修理为主，修船工作中易损零件，原则上采用换件修理，进车间的修理件最大重量控制在75t以内。重量大于75t的修理件不进车间，在船坞区现场修理。进车间加工的艉轴最大长度＜13m。</w:t>
      </w:r>
    </w:p>
    <w:p w14:paraId="001FE4D2">
      <w:pPr>
        <w:ind w:firstLine="480"/>
        <w:rPr>
          <w:color w:val="auto"/>
          <w:szCs w:val="20"/>
          <w:highlight w:val="none"/>
          <w:u w:val="single"/>
        </w:rPr>
      </w:pPr>
      <w:r>
        <w:rPr>
          <w:rFonts w:hint="eastAsia"/>
          <w:color w:val="auto"/>
          <w:szCs w:val="20"/>
          <w:highlight w:val="none"/>
          <w:u w:val="single"/>
        </w:rPr>
        <w:t>C、各类电气设备修理时，损坏的部件以更换为主，修复为辅；各种电机修复后在车间内只作空载试验，负荷试验在船上进行。</w:t>
      </w:r>
    </w:p>
    <w:p w14:paraId="629A09E1">
      <w:pPr>
        <w:ind w:firstLine="480"/>
        <w:rPr>
          <w:color w:val="auto"/>
          <w:szCs w:val="20"/>
          <w:highlight w:val="none"/>
          <w:u w:val="single"/>
        </w:rPr>
      </w:pPr>
      <w:r>
        <w:rPr>
          <w:rFonts w:hint="eastAsia"/>
          <w:color w:val="auto"/>
          <w:szCs w:val="20"/>
          <w:highlight w:val="none"/>
          <w:u w:val="single"/>
        </w:rPr>
        <w:t>D、管子加工采用合理的工艺流程，按管子的生产工序，同类设备以机群制方式布置，以提高管子加工制作能力。管径φ≤114mm的弯管由弯管机弯制；管径φ＞114mm的管子采用定型弯头制作弯管。</w:t>
      </w:r>
    </w:p>
    <w:p w14:paraId="4A79E26B">
      <w:pPr>
        <w:ind w:firstLine="480"/>
        <w:rPr>
          <w:color w:val="auto"/>
          <w:szCs w:val="20"/>
          <w:highlight w:val="none"/>
          <w:u w:val="single"/>
        </w:rPr>
      </w:pPr>
      <w:r>
        <w:rPr>
          <w:rFonts w:hint="eastAsia"/>
          <w:color w:val="auto"/>
          <w:szCs w:val="20"/>
          <w:highlight w:val="none"/>
          <w:u w:val="single"/>
        </w:rPr>
        <w:t>E、为提高焊接质量和焊接工作的高效与节能，项目采用CO</w:t>
      </w:r>
      <w:r>
        <w:rPr>
          <w:rFonts w:hint="eastAsia"/>
          <w:color w:val="auto"/>
          <w:szCs w:val="20"/>
          <w:highlight w:val="none"/>
          <w:u w:val="single"/>
          <w:vertAlign w:val="subscript"/>
        </w:rPr>
        <w:t>2</w:t>
      </w:r>
      <w:r>
        <w:rPr>
          <w:rFonts w:hint="eastAsia"/>
          <w:color w:val="auto"/>
          <w:szCs w:val="20"/>
          <w:highlight w:val="none"/>
          <w:u w:val="single"/>
        </w:rPr>
        <w:t>气体保护焊。</w:t>
      </w:r>
    </w:p>
    <w:p w14:paraId="40EFF764">
      <w:pPr>
        <w:ind w:firstLine="482"/>
        <w:rPr>
          <w:b/>
          <w:color w:val="auto"/>
          <w:szCs w:val="20"/>
          <w:highlight w:val="none"/>
          <w:u w:val="single"/>
        </w:rPr>
      </w:pPr>
      <w:r>
        <w:rPr>
          <w:rFonts w:hint="eastAsia" w:ascii="宋体" w:hAnsi="宋体" w:cs="宋体"/>
          <w:b/>
          <w:color w:val="auto"/>
          <w:szCs w:val="20"/>
          <w:highlight w:val="none"/>
          <w:u w:val="single"/>
        </w:rPr>
        <w:t>③</w:t>
      </w:r>
      <w:r>
        <w:rPr>
          <w:rFonts w:hint="eastAsia"/>
          <w:b/>
          <w:color w:val="auto"/>
          <w:szCs w:val="20"/>
          <w:highlight w:val="none"/>
          <w:u w:val="single"/>
        </w:rPr>
        <w:t>船体和机电综合车间内主要工艺特征</w:t>
      </w:r>
    </w:p>
    <w:p w14:paraId="50F28CF8">
      <w:pPr>
        <w:ind w:firstLine="480"/>
        <w:rPr>
          <w:color w:val="auto"/>
          <w:szCs w:val="20"/>
          <w:highlight w:val="none"/>
          <w:u w:val="single"/>
        </w:rPr>
      </w:pPr>
      <w:r>
        <w:rPr>
          <w:rFonts w:hint="eastAsia"/>
          <w:color w:val="auto"/>
          <w:szCs w:val="20"/>
          <w:highlight w:val="none"/>
          <w:u w:val="single"/>
        </w:rPr>
        <w:t>修船产品舾装工艺主要零部件的工艺特征见表2.2-8。</w:t>
      </w:r>
    </w:p>
    <w:p w14:paraId="0416F78A">
      <w:pPr>
        <w:pStyle w:val="38"/>
        <w:spacing w:before="120" w:beforeLines="50" w:after="0" w:line="240" w:lineRule="auto"/>
        <w:ind w:firstLine="0" w:firstLineChars="0"/>
        <w:jc w:val="center"/>
        <w:rPr>
          <w:b/>
          <w:color w:val="auto"/>
          <w:sz w:val="21"/>
          <w:szCs w:val="21"/>
          <w:highlight w:val="none"/>
          <w:u w:val="single"/>
        </w:rPr>
      </w:pPr>
      <w:r>
        <w:rPr>
          <w:b/>
          <w:color w:val="auto"/>
          <w:sz w:val="21"/>
          <w:szCs w:val="21"/>
          <w:highlight w:val="none"/>
          <w:u w:val="single"/>
        </w:rPr>
        <w:t>表2.</w:t>
      </w:r>
      <w:r>
        <w:rPr>
          <w:rFonts w:hint="eastAsia"/>
          <w:b/>
          <w:color w:val="auto"/>
          <w:sz w:val="21"/>
          <w:szCs w:val="21"/>
          <w:highlight w:val="none"/>
          <w:u w:val="single"/>
        </w:rPr>
        <w:t>2</w:t>
      </w:r>
      <w:r>
        <w:rPr>
          <w:b/>
          <w:color w:val="auto"/>
          <w:sz w:val="21"/>
          <w:szCs w:val="21"/>
          <w:highlight w:val="none"/>
          <w:u w:val="single"/>
        </w:rPr>
        <w:t>-</w:t>
      </w:r>
      <w:r>
        <w:rPr>
          <w:rFonts w:hint="eastAsia"/>
          <w:b/>
          <w:color w:val="auto"/>
          <w:sz w:val="21"/>
          <w:szCs w:val="21"/>
          <w:highlight w:val="none"/>
          <w:u w:val="single"/>
        </w:rPr>
        <w:t>8</w:t>
      </w:r>
      <w:r>
        <w:rPr>
          <w:b/>
          <w:color w:val="auto"/>
          <w:sz w:val="21"/>
          <w:szCs w:val="21"/>
          <w:highlight w:val="none"/>
          <w:u w:val="single"/>
        </w:rPr>
        <w:t xml:space="preserve">    </w:t>
      </w:r>
      <w:r>
        <w:rPr>
          <w:rFonts w:hint="eastAsia"/>
          <w:b/>
          <w:color w:val="auto"/>
          <w:sz w:val="21"/>
          <w:szCs w:val="21"/>
          <w:highlight w:val="none"/>
          <w:u w:val="single"/>
        </w:rPr>
        <w:t>舾装工艺主要零部件的工艺特征</w:t>
      </w:r>
      <w:r>
        <w:rPr>
          <w:b/>
          <w:color w:val="auto"/>
          <w:sz w:val="21"/>
          <w:szCs w:val="21"/>
          <w:highlight w:val="none"/>
          <w:u w:val="single"/>
        </w:rPr>
        <w:t>表</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700"/>
        <w:gridCol w:w="1164"/>
        <w:gridCol w:w="2075"/>
        <w:gridCol w:w="1036"/>
        <w:gridCol w:w="1839"/>
        <w:gridCol w:w="1290"/>
        <w:gridCol w:w="961"/>
      </w:tblGrid>
      <w:tr w14:paraId="52F13A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86" w:hRule="atLeast"/>
          <w:jc w:val="center"/>
        </w:trPr>
        <w:tc>
          <w:tcPr>
            <w:tcW w:w="386" w:type="pct"/>
            <w:vMerge w:val="restart"/>
            <w:tcBorders>
              <w:tl2br w:val="nil"/>
              <w:tr2bl w:val="nil"/>
            </w:tcBorders>
            <w:vAlign w:val="center"/>
          </w:tcPr>
          <w:p w14:paraId="00231CC3">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序</w:t>
            </w:r>
          </w:p>
          <w:p w14:paraId="5E131E15">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号</w:t>
            </w:r>
          </w:p>
        </w:tc>
        <w:tc>
          <w:tcPr>
            <w:tcW w:w="642" w:type="pct"/>
            <w:tcBorders>
              <w:tl2br w:val="nil"/>
              <w:tr2bl w:val="nil"/>
            </w:tcBorders>
            <w:vAlign w:val="center"/>
          </w:tcPr>
          <w:p w14:paraId="1E760325">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船型参数</w:t>
            </w:r>
          </w:p>
        </w:tc>
        <w:tc>
          <w:tcPr>
            <w:tcW w:w="1715" w:type="pct"/>
            <w:gridSpan w:val="2"/>
            <w:tcBorders>
              <w:tl2br w:val="nil"/>
              <w:tr2bl w:val="nil"/>
            </w:tcBorders>
            <w:vAlign w:val="center"/>
          </w:tcPr>
          <w:p w14:paraId="30635971">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4万吨级船</w:t>
            </w:r>
          </w:p>
        </w:tc>
        <w:tc>
          <w:tcPr>
            <w:tcW w:w="1725" w:type="pct"/>
            <w:gridSpan w:val="2"/>
            <w:tcBorders>
              <w:tl2br w:val="nil"/>
              <w:tr2bl w:val="nil"/>
            </w:tcBorders>
            <w:vAlign w:val="center"/>
          </w:tcPr>
          <w:p w14:paraId="6E6B03F6">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10万吨级船</w:t>
            </w:r>
          </w:p>
        </w:tc>
        <w:tc>
          <w:tcPr>
            <w:tcW w:w="530" w:type="pct"/>
            <w:vMerge w:val="restart"/>
            <w:tcBorders>
              <w:tl2br w:val="nil"/>
              <w:tr2bl w:val="nil"/>
            </w:tcBorders>
            <w:vAlign w:val="center"/>
          </w:tcPr>
          <w:p w14:paraId="1A83F240">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备注</w:t>
            </w:r>
          </w:p>
        </w:tc>
      </w:tr>
      <w:tr w14:paraId="13EE8D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0" w:hRule="atLeast"/>
          <w:jc w:val="center"/>
        </w:trPr>
        <w:tc>
          <w:tcPr>
            <w:tcW w:w="386" w:type="pct"/>
            <w:vMerge w:val="continue"/>
            <w:tcBorders>
              <w:tl2br w:val="nil"/>
              <w:tr2bl w:val="nil"/>
            </w:tcBorders>
            <w:vAlign w:val="center"/>
          </w:tcPr>
          <w:p w14:paraId="0B668AE6">
            <w:pPr>
              <w:widowControl/>
              <w:spacing w:line="240" w:lineRule="auto"/>
              <w:ind w:firstLine="0" w:firstLineChars="0"/>
              <w:jc w:val="center"/>
              <w:rPr>
                <w:b/>
                <w:bCs/>
                <w:color w:val="auto"/>
                <w:sz w:val="21"/>
                <w:szCs w:val="21"/>
                <w:highlight w:val="none"/>
                <w:u w:val="single"/>
              </w:rPr>
            </w:pPr>
          </w:p>
        </w:tc>
        <w:tc>
          <w:tcPr>
            <w:tcW w:w="642" w:type="pct"/>
            <w:tcBorders>
              <w:tl2br w:val="nil"/>
              <w:tr2bl w:val="nil"/>
            </w:tcBorders>
            <w:vAlign w:val="center"/>
          </w:tcPr>
          <w:p w14:paraId="77EB5C2A">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名称</w:t>
            </w:r>
          </w:p>
        </w:tc>
        <w:tc>
          <w:tcPr>
            <w:tcW w:w="1144" w:type="pct"/>
            <w:tcBorders>
              <w:tl2br w:val="nil"/>
              <w:tr2bl w:val="nil"/>
            </w:tcBorders>
            <w:vAlign w:val="center"/>
          </w:tcPr>
          <w:p w14:paraId="1B3BA375">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尺寸（mm）</w:t>
            </w:r>
          </w:p>
        </w:tc>
        <w:tc>
          <w:tcPr>
            <w:tcW w:w="570" w:type="pct"/>
            <w:tcBorders>
              <w:tl2br w:val="nil"/>
              <w:tr2bl w:val="nil"/>
            </w:tcBorders>
            <w:vAlign w:val="center"/>
          </w:tcPr>
          <w:p w14:paraId="59FA7E11">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重量（t）</w:t>
            </w:r>
          </w:p>
        </w:tc>
        <w:tc>
          <w:tcPr>
            <w:tcW w:w="1014" w:type="pct"/>
            <w:tcBorders>
              <w:tl2br w:val="nil"/>
              <w:tr2bl w:val="nil"/>
            </w:tcBorders>
            <w:vAlign w:val="center"/>
          </w:tcPr>
          <w:p w14:paraId="79C345B6">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尺寸（mm）</w:t>
            </w:r>
          </w:p>
        </w:tc>
        <w:tc>
          <w:tcPr>
            <w:tcW w:w="711" w:type="pct"/>
            <w:tcBorders>
              <w:tl2br w:val="nil"/>
              <w:tr2bl w:val="nil"/>
            </w:tcBorders>
            <w:vAlign w:val="center"/>
          </w:tcPr>
          <w:p w14:paraId="53565AC4">
            <w:pPr>
              <w:widowControl/>
              <w:spacing w:line="240" w:lineRule="auto"/>
              <w:ind w:firstLine="0" w:firstLineChars="0"/>
              <w:jc w:val="center"/>
              <w:rPr>
                <w:b/>
                <w:bCs/>
                <w:color w:val="auto"/>
                <w:sz w:val="21"/>
                <w:szCs w:val="21"/>
                <w:highlight w:val="none"/>
                <w:u w:val="single"/>
              </w:rPr>
            </w:pPr>
            <w:r>
              <w:rPr>
                <w:b/>
                <w:bCs/>
                <w:color w:val="auto"/>
                <w:sz w:val="21"/>
                <w:szCs w:val="21"/>
                <w:highlight w:val="none"/>
                <w:u w:val="single"/>
              </w:rPr>
              <w:t>重量（t）</w:t>
            </w:r>
          </w:p>
        </w:tc>
        <w:tc>
          <w:tcPr>
            <w:tcW w:w="530" w:type="pct"/>
            <w:vMerge w:val="continue"/>
            <w:tcBorders>
              <w:tl2br w:val="nil"/>
              <w:tr2bl w:val="nil"/>
            </w:tcBorders>
            <w:vAlign w:val="center"/>
          </w:tcPr>
          <w:p w14:paraId="32E4F097">
            <w:pPr>
              <w:widowControl/>
              <w:spacing w:line="240" w:lineRule="auto"/>
              <w:ind w:firstLine="0" w:firstLineChars="0"/>
              <w:jc w:val="center"/>
              <w:rPr>
                <w:b/>
                <w:bCs/>
                <w:color w:val="auto"/>
                <w:sz w:val="21"/>
                <w:szCs w:val="21"/>
                <w:highlight w:val="none"/>
                <w:u w:val="single"/>
              </w:rPr>
            </w:pPr>
          </w:p>
        </w:tc>
      </w:tr>
      <w:tr w14:paraId="25B5BC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386" w:type="pct"/>
            <w:tcBorders>
              <w:tl2br w:val="nil"/>
              <w:tr2bl w:val="nil"/>
            </w:tcBorders>
            <w:vAlign w:val="center"/>
          </w:tcPr>
          <w:p w14:paraId="41A7D36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w:t>
            </w:r>
          </w:p>
        </w:tc>
        <w:tc>
          <w:tcPr>
            <w:tcW w:w="642" w:type="pct"/>
            <w:tcBorders>
              <w:tl2br w:val="nil"/>
              <w:tr2bl w:val="nil"/>
            </w:tcBorders>
            <w:vAlign w:val="center"/>
          </w:tcPr>
          <w:p w14:paraId="5E6699D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艉轴</w:t>
            </w:r>
          </w:p>
        </w:tc>
        <w:tc>
          <w:tcPr>
            <w:tcW w:w="1144" w:type="pct"/>
            <w:tcBorders>
              <w:tl2br w:val="nil"/>
              <w:tr2bl w:val="nil"/>
            </w:tcBorders>
            <w:vAlign w:val="center"/>
          </w:tcPr>
          <w:p w14:paraId="2127E0F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Ф1220/Ф640×7500</w:t>
            </w:r>
          </w:p>
        </w:tc>
        <w:tc>
          <w:tcPr>
            <w:tcW w:w="570" w:type="pct"/>
            <w:tcBorders>
              <w:tl2br w:val="nil"/>
              <w:tr2bl w:val="nil"/>
            </w:tcBorders>
            <w:vAlign w:val="center"/>
          </w:tcPr>
          <w:p w14:paraId="11EEF945">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w:t>
            </w:r>
            <w:r>
              <w:rPr>
                <w:color w:val="auto"/>
                <w:sz w:val="21"/>
                <w:szCs w:val="21"/>
                <w:highlight w:val="none"/>
                <w:u w:val="single"/>
              </w:rPr>
              <w:t>19</w:t>
            </w:r>
          </w:p>
        </w:tc>
        <w:tc>
          <w:tcPr>
            <w:tcW w:w="1014" w:type="pct"/>
            <w:tcBorders>
              <w:tl2br w:val="nil"/>
              <w:tr2bl w:val="nil"/>
            </w:tcBorders>
            <w:vAlign w:val="center"/>
          </w:tcPr>
          <w:p w14:paraId="17DD77C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Ф1260/Ф820×8200</w:t>
            </w:r>
          </w:p>
        </w:tc>
        <w:tc>
          <w:tcPr>
            <w:tcW w:w="711" w:type="pct"/>
            <w:tcBorders>
              <w:tl2br w:val="nil"/>
              <w:tr2bl w:val="nil"/>
            </w:tcBorders>
            <w:vAlign w:val="center"/>
          </w:tcPr>
          <w:p w14:paraId="2647D69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21</w:t>
            </w:r>
            <w:r>
              <w:rPr>
                <w:rFonts w:hint="eastAsia"/>
                <w:color w:val="auto"/>
                <w:sz w:val="21"/>
                <w:szCs w:val="21"/>
                <w:highlight w:val="none"/>
                <w:u w:val="single"/>
              </w:rPr>
              <w:t>~</w:t>
            </w:r>
            <w:r>
              <w:rPr>
                <w:color w:val="auto"/>
                <w:sz w:val="21"/>
                <w:szCs w:val="21"/>
                <w:highlight w:val="none"/>
                <w:u w:val="single"/>
              </w:rPr>
              <w:t>26</w:t>
            </w:r>
          </w:p>
        </w:tc>
        <w:tc>
          <w:tcPr>
            <w:tcW w:w="530" w:type="pct"/>
            <w:vMerge w:val="restart"/>
            <w:tcBorders>
              <w:tl2br w:val="nil"/>
              <w:tr2bl w:val="nil"/>
            </w:tcBorders>
            <w:vAlign w:val="center"/>
          </w:tcPr>
          <w:p w14:paraId="2D014B62">
            <w:pPr>
              <w:widowControl/>
              <w:spacing w:line="240" w:lineRule="auto"/>
              <w:ind w:firstLine="0" w:firstLineChars="0"/>
              <w:jc w:val="center"/>
              <w:rPr>
                <w:color w:val="auto"/>
                <w:sz w:val="21"/>
                <w:szCs w:val="21"/>
                <w:highlight w:val="none"/>
                <w:u w:val="single"/>
              </w:rPr>
            </w:pPr>
            <w:r>
              <w:rPr>
                <w:color w:val="auto"/>
                <w:sz w:val="21"/>
                <w:szCs w:val="21"/>
                <w:highlight w:val="none"/>
                <w:u w:val="single"/>
              </w:rPr>
              <w:t>考虑长艉轴为13m</w:t>
            </w:r>
          </w:p>
        </w:tc>
      </w:tr>
      <w:tr w14:paraId="619FDA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9" w:hRule="atLeast"/>
          <w:jc w:val="center"/>
        </w:trPr>
        <w:tc>
          <w:tcPr>
            <w:tcW w:w="386" w:type="pct"/>
            <w:tcBorders>
              <w:tl2br w:val="nil"/>
              <w:tr2bl w:val="nil"/>
            </w:tcBorders>
            <w:vAlign w:val="center"/>
          </w:tcPr>
          <w:p w14:paraId="4802DDC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w:t>
            </w:r>
          </w:p>
        </w:tc>
        <w:tc>
          <w:tcPr>
            <w:tcW w:w="642" w:type="pct"/>
            <w:tcBorders>
              <w:tl2br w:val="nil"/>
              <w:tr2bl w:val="nil"/>
            </w:tcBorders>
            <w:vAlign w:val="center"/>
          </w:tcPr>
          <w:p w14:paraId="3103EE6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螺旋桨</w:t>
            </w:r>
          </w:p>
        </w:tc>
        <w:tc>
          <w:tcPr>
            <w:tcW w:w="1144" w:type="pct"/>
            <w:tcBorders>
              <w:tl2br w:val="nil"/>
              <w:tr2bl w:val="nil"/>
            </w:tcBorders>
            <w:vAlign w:val="center"/>
          </w:tcPr>
          <w:p w14:paraId="7EDE5CC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Ф7000</w:t>
            </w:r>
          </w:p>
        </w:tc>
        <w:tc>
          <w:tcPr>
            <w:tcW w:w="570" w:type="pct"/>
            <w:tcBorders>
              <w:tl2br w:val="nil"/>
              <w:tr2bl w:val="nil"/>
            </w:tcBorders>
            <w:vAlign w:val="center"/>
          </w:tcPr>
          <w:p w14:paraId="339948CE">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w:t>
            </w:r>
            <w:r>
              <w:rPr>
                <w:color w:val="auto"/>
                <w:sz w:val="21"/>
                <w:szCs w:val="21"/>
                <w:highlight w:val="none"/>
                <w:u w:val="single"/>
              </w:rPr>
              <w:t>30</w:t>
            </w:r>
          </w:p>
        </w:tc>
        <w:tc>
          <w:tcPr>
            <w:tcW w:w="1014" w:type="pct"/>
            <w:tcBorders>
              <w:tl2br w:val="nil"/>
              <w:tr2bl w:val="nil"/>
            </w:tcBorders>
            <w:vAlign w:val="center"/>
          </w:tcPr>
          <w:p w14:paraId="1A8AE7D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Ф（7500</w:t>
            </w:r>
            <w:r>
              <w:rPr>
                <w:rFonts w:hint="eastAsia"/>
                <w:color w:val="auto"/>
                <w:sz w:val="21"/>
                <w:szCs w:val="21"/>
                <w:highlight w:val="none"/>
                <w:u w:val="single"/>
              </w:rPr>
              <w:t>~</w:t>
            </w:r>
            <w:r>
              <w:rPr>
                <w:color w:val="auto"/>
                <w:sz w:val="21"/>
                <w:szCs w:val="21"/>
                <w:highlight w:val="none"/>
                <w:u w:val="single"/>
              </w:rPr>
              <w:t>8000）</w:t>
            </w:r>
          </w:p>
        </w:tc>
        <w:tc>
          <w:tcPr>
            <w:tcW w:w="711" w:type="pct"/>
            <w:tcBorders>
              <w:tl2br w:val="nil"/>
              <w:tr2bl w:val="nil"/>
            </w:tcBorders>
            <w:vAlign w:val="center"/>
          </w:tcPr>
          <w:p w14:paraId="5DEE121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32</w:t>
            </w:r>
            <w:r>
              <w:rPr>
                <w:rFonts w:hint="eastAsia"/>
                <w:color w:val="auto"/>
                <w:sz w:val="21"/>
                <w:szCs w:val="21"/>
                <w:highlight w:val="none"/>
                <w:u w:val="single"/>
              </w:rPr>
              <w:t>~</w:t>
            </w:r>
            <w:r>
              <w:rPr>
                <w:color w:val="auto"/>
                <w:sz w:val="21"/>
                <w:szCs w:val="21"/>
                <w:highlight w:val="none"/>
                <w:u w:val="single"/>
              </w:rPr>
              <w:t>40</w:t>
            </w:r>
          </w:p>
        </w:tc>
        <w:tc>
          <w:tcPr>
            <w:tcW w:w="530" w:type="pct"/>
            <w:vMerge w:val="continue"/>
            <w:tcBorders>
              <w:tl2br w:val="nil"/>
              <w:tr2bl w:val="nil"/>
            </w:tcBorders>
            <w:vAlign w:val="center"/>
          </w:tcPr>
          <w:p w14:paraId="11396336">
            <w:pPr>
              <w:widowControl/>
              <w:spacing w:line="240" w:lineRule="auto"/>
              <w:ind w:firstLine="0" w:firstLineChars="0"/>
              <w:jc w:val="center"/>
              <w:rPr>
                <w:color w:val="auto"/>
                <w:sz w:val="21"/>
                <w:szCs w:val="21"/>
                <w:highlight w:val="none"/>
                <w:u w:val="single"/>
              </w:rPr>
            </w:pPr>
          </w:p>
        </w:tc>
      </w:tr>
      <w:tr w14:paraId="6F9591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9" w:hRule="atLeast"/>
          <w:jc w:val="center"/>
        </w:trPr>
        <w:tc>
          <w:tcPr>
            <w:tcW w:w="386" w:type="pct"/>
            <w:tcBorders>
              <w:tl2br w:val="nil"/>
              <w:tr2bl w:val="nil"/>
            </w:tcBorders>
            <w:vAlign w:val="center"/>
          </w:tcPr>
          <w:p w14:paraId="4C8C1A5C">
            <w:pPr>
              <w:widowControl/>
              <w:spacing w:line="240" w:lineRule="auto"/>
              <w:ind w:firstLine="0" w:firstLineChars="0"/>
              <w:jc w:val="center"/>
              <w:rPr>
                <w:color w:val="auto"/>
                <w:sz w:val="21"/>
                <w:szCs w:val="21"/>
                <w:highlight w:val="none"/>
                <w:u w:val="single"/>
              </w:rPr>
            </w:pPr>
            <w:r>
              <w:rPr>
                <w:color w:val="auto"/>
                <w:sz w:val="21"/>
                <w:szCs w:val="21"/>
                <w:highlight w:val="none"/>
                <w:u w:val="single"/>
              </w:rPr>
              <w:t>3</w:t>
            </w:r>
          </w:p>
        </w:tc>
        <w:tc>
          <w:tcPr>
            <w:tcW w:w="642" w:type="pct"/>
            <w:tcBorders>
              <w:tl2br w:val="nil"/>
              <w:tr2bl w:val="nil"/>
            </w:tcBorders>
            <w:vAlign w:val="center"/>
          </w:tcPr>
          <w:p w14:paraId="35DC182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舵杆</w:t>
            </w:r>
          </w:p>
        </w:tc>
        <w:tc>
          <w:tcPr>
            <w:tcW w:w="1144" w:type="pct"/>
            <w:tcBorders>
              <w:tl2br w:val="nil"/>
              <w:tr2bl w:val="nil"/>
            </w:tcBorders>
            <w:vAlign w:val="center"/>
          </w:tcPr>
          <w:p w14:paraId="579897F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Ф850×7400</w:t>
            </w:r>
          </w:p>
        </w:tc>
        <w:tc>
          <w:tcPr>
            <w:tcW w:w="570" w:type="pct"/>
            <w:tcBorders>
              <w:tl2br w:val="nil"/>
              <w:tr2bl w:val="nil"/>
            </w:tcBorders>
            <w:vAlign w:val="center"/>
          </w:tcPr>
          <w:p w14:paraId="140AD738">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w:t>
            </w:r>
            <w:r>
              <w:rPr>
                <w:color w:val="auto"/>
                <w:sz w:val="21"/>
                <w:szCs w:val="21"/>
                <w:highlight w:val="none"/>
                <w:u w:val="single"/>
              </w:rPr>
              <w:t>15</w:t>
            </w:r>
          </w:p>
        </w:tc>
        <w:tc>
          <w:tcPr>
            <w:tcW w:w="1014" w:type="pct"/>
            <w:tcBorders>
              <w:tl2br w:val="nil"/>
              <w:tr2bl w:val="nil"/>
            </w:tcBorders>
            <w:vAlign w:val="center"/>
          </w:tcPr>
          <w:p w14:paraId="7EEF35D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Ф3000×</w:t>
            </w:r>
            <w:r>
              <w:rPr>
                <w:rFonts w:hint="eastAsia"/>
                <w:color w:val="auto"/>
                <w:sz w:val="21"/>
                <w:szCs w:val="21"/>
                <w:highlight w:val="none"/>
                <w:u w:val="single"/>
              </w:rPr>
              <w:t>~</w:t>
            </w:r>
            <w:r>
              <w:rPr>
                <w:color w:val="auto"/>
                <w:sz w:val="21"/>
                <w:szCs w:val="21"/>
                <w:highlight w:val="none"/>
                <w:u w:val="single"/>
              </w:rPr>
              <w:t>8510</w:t>
            </w:r>
          </w:p>
        </w:tc>
        <w:tc>
          <w:tcPr>
            <w:tcW w:w="711" w:type="pct"/>
            <w:tcBorders>
              <w:tl2br w:val="nil"/>
              <w:tr2bl w:val="nil"/>
            </w:tcBorders>
            <w:vAlign w:val="center"/>
          </w:tcPr>
          <w:p w14:paraId="39F06ECA">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w:t>
            </w:r>
            <w:r>
              <w:rPr>
                <w:color w:val="auto"/>
                <w:sz w:val="21"/>
                <w:szCs w:val="21"/>
                <w:highlight w:val="none"/>
                <w:u w:val="single"/>
              </w:rPr>
              <w:t>25</w:t>
            </w:r>
          </w:p>
        </w:tc>
        <w:tc>
          <w:tcPr>
            <w:tcW w:w="530" w:type="pct"/>
            <w:vMerge w:val="continue"/>
            <w:tcBorders>
              <w:tl2br w:val="nil"/>
              <w:tr2bl w:val="nil"/>
            </w:tcBorders>
            <w:vAlign w:val="center"/>
          </w:tcPr>
          <w:p w14:paraId="57D70988">
            <w:pPr>
              <w:widowControl/>
              <w:spacing w:line="240" w:lineRule="auto"/>
              <w:ind w:firstLine="0" w:firstLineChars="0"/>
              <w:jc w:val="center"/>
              <w:rPr>
                <w:color w:val="auto"/>
                <w:sz w:val="21"/>
                <w:szCs w:val="21"/>
                <w:highlight w:val="none"/>
                <w:u w:val="single"/>
              </w:rPr>
            </w:pPr>
          </w:p>
        </w:tc>
      </w:tr>
      <w:tr w14:paraId="7066BF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9" w:hRule="atLeast"/>
          <w:jc w:val="center"/>
        </w:trPr>
        <w:tc>
          <w:tcPr>
            <w:tcW w:w="386" w:type="pct"/>
            <w:tcBorders>
              <w:tl2br w:val="nil"/>
              <w:tr2bl w:val="nil"/>
            </w:tcBorders>
            <w:vAlign w:val="center"/>
          </w:tcPr>
          <w:p w14:paraId="57FDC4A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4</w:t>
            </w:r>
          </w:p>
        </w:tc>
        <w:tc>
          <w:tcPr>
            <w:tcW w:w="642" w:type="pct"/>
            <w:tcBorders>
              <w:tl2br w:val="nil"/>
              <w:tr2bl w:val="nil"/>
            </w:tcBorders>
            <w:vAlign w:val="center"/>
          </w:tcPr>
          <w:p w14:paraId="3D6F4E2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舵叶</w:t>
            </w:r>
          </w:p>
        </w:tc>
        <w:tc>
          <w:tcPr>
            <w:tcW w:w="1144" w:type="pct"/>
            <w:tcBorders>
              <w:tl2br w:val="nil"/>
              <w:tr2bl w:val="nil"/>
            </w:tcBorders>
            <w:vAlign w:val="center"/>
          </w:tcPr>
          <w:p w14:paraId="7216338A">
            <w:pPr>
              <w:widowControl/>
              <w:spacing w:line="240" w:lineRule="auto"/>
              <w:ind w:firstLine="0" w:firstLineChars="0"/>
              <w:jc w:val="center"/>
              <w:rPr>
                <w:color w:val="auto"/>
                <w:sz w:val="21"/>
                <w:szCs w:val="21"/>
                <w:highlight w:val="none"/>
                <w:u w:val="single"/>
              </w:rPr>
            </w:pPr>
            <w:r>
              <w:rPr>
                <w:color w:val="auto"/>
                <w:sz w:val="21"/>
                <w:szCs w:val="21"/>
                <w:highlight w:val="none"/>
                <w:u w:val="single"/>
              </w:rPr>
              <w:t>8700×6400×1000</w:t>
            </w:r>
          </w:p>
        </w:tc>
        <w:tc>
          <w:tcPr>
            <w:tcW w:w="570" w:type="pct"/>
            <w:tcBorders>
              <w:tl2br w:val="nil"/>
              <w:tr2bl w:val="nil"/>
            </w:tcBorders>
            <w:vAlign w:val="center"/>
          </w:tcPr>
          <w:p w14:paraId="58C41B42">
            <w:pPr>
              <w:widowControl/>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w:t>
            </w:r>
            <w:r>
              <w:rPr>
                <w:color w:val="auto"/>
                <w:sz w:val="21"/>
                <w:szCs w:val="21"/>
                <w:highlight w:val="none"/>
                <w:u w:val="single"/>
              </w:rPr>
              <w:t>40</w:t>
            </w:r>
          </w:p>
        </w:tc>
        <w:tc>
          <w:tcPr>
            <w:tcW w:w="1014" w:type="pct"/>
            <w:tcBorders>
              <w:tl2br w:val="nil"/>
              <w:tr2bl w:val="nil"/>
            </w:tcBorders>
            <w:vAlign w:val="center"/>
          </w:tcPr>
          <w:p w14:paraId="7656A2FE">
            <w:pPr>
              <w:widowControl/>
              <w:spacing w:line="240" w:lineRule="auto"/>
              <w:ind w:firstLine="0" w:firstLineChars="0"/>
              <w:jc w:val="center"/>
              <w:rPr>
                <w:color w:val="auto"/>
                <w:sz w:val="21"/>
                <w:szCs w:val="21"/>
                <w:highlight w:val="none"/>
                <w:u w:val="single"/>
              </w:rPr>
            </w:pPr>
            <w:r>
              <w:rPr>
                <w:color w:val="auto"/>
                <w:sz w:val="21"/>
                <w:szCs w:val="21"/>
                <w:highlight w:val="none"/>
                <w:u w:val="single"/>
              </w:rPr>
              <w:t>10800×（7500</w:t>
            </w:r>
            <w:r>
              <w:rPr>
                <w:rFonts w:hint="eastAsia"/>
                <w:color w:val="auto"/>
                <w:sz w:val="21"/>
                <w:szCs w:val="21"/>
                <w:highlight w:val="none"/>
                <w:u w:val="single"/>
              </w:rPr>
              <w:t>~</w:t>
            </w:r>
            <w:r>
              <w:rPr>
                <w:color w:val="auto"/>
                <w:sz w:val="21"/>
                <w:szCs w:val="21"/>
                <w:highlight w:val="none"/>
                <w:u w:val="single"/>
              </w:rPr>
              <w:t>9000）×1200</w:t>
            </w:r>
          </w:p>
        </w:tc>
        <w:tc>
          <w:tcPr>
            <w:tcW w:w="711" w:type="pct"/>
            <w:tcBorders>
              <w:tl2br w:val="nil"/>
              <w:tr2bl w:val="nil"/>
            </w:tcBorders>
            <w:vAlign w:val="center"/>
          </w:tcPr>
          <w:p w14:paraId="74B7D950">
            <w:pPr>
              <w:widowControl/>
              <w:spacing w:line="240" w:lineRule="auto"/>
              <w:ind w:firstLine="0" w:firstLineChars="0"/>
              <w:jc w:val="center"/>
              <w:rPr>
                <w:color w:val="auto"/>
                <w:sz w:val="21"/>
                <w:szCs w:val="21"/>
                <w:highlight w:val="none"/>
                <w:u w:val="single"/>
              </w:rPr>
            </w:pPr>
            <w:r>
              <w:rPr>
                <w:color w:val="auto"/>
                <w:sz w:val="21"/>
                <w:szCs w:val="21"/>
                <w:highlight w:val="none"/>
                <w:u w:val="single"/>
              </w:rPr>
              <w:t>50</w:t>
            </w:r>
            <w:r>
              <w:rPr>
                <w:rFonts w:hint="eastAsia"/>
                <w:color w:val="auto"/>
                <w:sz w:val="21"/>
                <w:szCs w:val="21"/>
                <w:highlight w:val="none"/>
                <w:u w:val="single"/>
              </w:rPr>
              <w:t>~</w:t>
            </w:r>
            <w:r>
              <w:rPr>
                <w:color w:val="auto"/>
                <w:sz w:val="21"/>
                <w:szCs w:val="21"/>
                <w:highlight w:val="none"/>
                <w:u w:val="single"/>
              </w:rPr>
              <w:t>60</w:t>
            </w:r>
          </w:p>
        </w:tc>
        <w:tc>
          <w:tcPr>
            <w:tcW w:w="530" w:type="pct"/>
            <w:vMerge w:val="continue"/>
            <w:tcBorders>
              <w:tl2br w:val="nil"/>
              <w:tr2bl w:val="nil"/>
            </w:tcBorders>
            <w:vAlign w:val="center"/>
          </w:tcPr>
          <w:p w14:paraId="4C18D9C2">
            <w:pPr>
              <w:widowControl/>
              <w:spacing w:line="240" w:lineRule="auto"/>
              <w:ind w:firstLine="0" w:firstLineChars="0"/>
              <w:jc w:val="center"/>
              <w:rPr>
                <w:color w:val="auto"/>
                <w:sz w:val="21"/>
                <w:szCs w:val="21"/>
                <w:highlight w:val="none"/>
                <w:u w:val="single"/>
              </w:rPr>
            </w:pPr>
          </w:p>
        </w:tc>
      </w:tr>
    </w:tbl>
    <w:p w14:paraId="30CE1534">
      <w:pPr>
        <w:ind w:firstLine="422"/>
        <w:rPr>
          <w:b/>
          <w:bCs/>
          <w:color w:val="auto"/>
          <w:sz w:val="21"/>
          <w:szCs w:val="21"/>
          <w:highlight w:val="none"/>
          <w:u w:val="single"/>
        </w:rPr>
      </w:pPr>
      <w:r>
        <w:rPr>
          <w:rFonts w:hint="eastAsia"/>
          <w:b/>
          <w:bCs/>
          <w:color w:val="auto"/>
          <w:sz w:val="21"/>
          <w:szCs w:val="21"/>
          <w:highlight w:val="none"/>
          <w:u w:val="single"/>
        </w:rPr>
        <w:t>注：</w:t>
      </w:r>
      <w:r>
        <w:rPr>
          <w:b/>
          <w:bCs/>
          <w:color w:val="auto"/>
          <w:sz w:val="21"/>
          <w:szCs w:val="21"/>
          <w:highlight w:val="none"/>
          <w:u w:val="single"/>
        </w:rPr>
        <w:t>单根管子的最大长度</w:t>
      </w:r>
      <w:r>
        <w:rPr>
          <w:rFonts w:hint="eastAsia"/>
          <w:b/>
          <w:bCs/>
          <w:color w:val="auto"/>
          <w:sz w:val="21"/>
          <w:szCs w:val="21"/>
          <w:highlight w:val="none"/>
          <w:u w:val="single"/>
        </w:rPr>
        <w:t>≤</w:t>
      </w:r>
      <w:r>
        <w:rPr>
          <w:b/>
          <w:bCs/>
          <w:color w:val="auto"/>
          <w:sz w:val="21"/>
          <w:szCs w:val="21"/>
          <w:highlight w:val="none"/>
          <w:u w:val="single"/>
        </w:rPr>
        <w:t>12m。</w:t>
      </w:r>
    </w:p>
    <w:p w14:paraId="6D10353E">
      <w:pPr>
        <w:ind w:firstLine="422"/>
        <w:rPr>
          <w:b/>
          <w:bCs/>
          <w:color w:val="auto"/>
          <w:sz w:val="21"/>
          <w:szCs w:val="21"/>
          <w:highlight w:val="none"/>
          <w:u w:val="single"/>
        </w:rPr>
      </w:pPr>
    </w:p>
    <w:p w14:paraId="21D7850F">
      <w:pPr>
        <w:ind w:firstLine="482"/>
        <w:rPr>
          <w:b/>
          <w:bCs/>
          <w:color w:val="auto"/>
          <w:szCs w:val="20"/>
          <w:highlight w:val="none"/>
          <w:u w:val="single"/>
        </w:rPr>
      </w:pPr>
      <w:r>
        <w:rPr>
          <w:rFonts w:hint="eastAsia"/>
          <w:b/>
          <w:bCs/>
          <w:color w:val="auto"/>
          <w:szCs w:val="20"/>
          <w:highlight w:val="none"/>
          <w:u w:val="single"/>
        </w:rPr>
        <w:t>（2）船体和机电综合车间依托可行性</w:t>
      </w:r>
    </w:p>
    <w:p w14:paraId="64185BE6">
      <w:pPr>
        <w:ind w:firstLine="480"/>
        <w:rPr>
          <w:color w:val="auto"/>
          <w:szCs w:val="20"/>
          <w:highlight w:val="none"/>
          <w:u w:val="single"/>
        </w:rPr>
      </w:pPr>
      <w:r>
        <w:rPr>
          <w:rFonts w:hint="eastAsia"/>
          <w:color w:val="auto"/>
          <w:szCs w:val="20"/>
          <w:highlight w:val="none"/>
          <w:u w:val="single"/>
        </w:rPr>
        <w:t>船体和机电综合车间产能是按照中船钦州修船资源整合项目一期工程的设计产能（即建成后年修理10万吨级以下各型船舶及海洋工程产品90艘）进行配套建设的；本项目改建完成后，浮船坞修船设计产能不变，项目依托的船体和机电综合车间内工序工艺、原辅料、生产规模等均不变，能满足本项目建设需求，项目依托船体和机电综合车间进行设备维修可行。</w:t>
      </w:r>
    </w:p>
    <w:p w14:paraId="158A8363">
      <w:pPr>
        <w:pStyle w:val="533"/>
        <w:numPr>
          <w:ilvl w:val="3"/>
          <w:numId w:val="9"/>
        </w:numPr>
        <w:rPr>
          <w:color w:val="auto"/>
          <w:szCs w:val="24"/>
          <w:highlight w:val="none"/>
          <w:u w:val="single"/>
        </w:rPr>
      </w:pPr>
      <w:r>
        <w:rPr>
          <w:rFonts w:hint="eastAsia"/>
          <w:color w:val="auto"/>
          <w:szCs w:val="20"/>
          <w:highlight w:val="none"/>
          <w:u w:val="single"/>
        </w:rPr>
        <w:t>给排水工程依托可行性</w:t>
      </w:r>
    </w:p>
    <w:p w14:paraId="7DDF37F7">
      <w:pPr>
        <w:ind w:firstLine="480"/>
        <w:rPr>
          <w:color w:val="auto"/>
          <w:szCs w:val="20"/>
          <w:highlight w:val="none"/>
          <w:u w:val="single"/>
        </w:rPr>
      </w:pPr>
      <w:r>
        <w:rPr>
          <w:rFonts w:hint="eastAsia"/>
          <w:color w:val="auto"/>
          <w:szCs w:val="20"/>
          <w:highlight w:val="none"/>
          <w:u w:val="single"/>
        </w:rPr>
        <w:t xml:space="preserve">（1）给水 </w:t>
      </w:r>
    </w:p>
    <w:p w14:paraId="7772F81C">
      <w:pPr>
        <w:ind w:firstLine="480"/>
        <w:rPr>
          <w:color w:val="auto"/>
          <w:highlight w:val="none"/>
          <w:u w:val="single"/>
        </w:rPr>
      </w:pPr>
      <w:r>
        <w:rPr>
          <w:rFonts w:hint="eastAsia"/>
          <w:color w:val="auto"/>
          <w:szCs w:val="20"/>
          <w:highlight w:val="none"/>
          <w:u w:val="single"/>
        </w:rPr>
        <w:t>根据上文2.2.7.1给水工程可知，</w:t>
      </w:r>
      <w:r>
        <w:rPr>
          <w:color w:val="auto"/>
          <w:highlight w:val="none"/>
          <w:u w:val="single"/>
        </w:rPr>
        <w:t>此次</w:t>
      </w:r>
      <w:r>
        <w:rPr>
          <w:rFonts w:hint="eastAsia"/>
          <w:color w:val="auto"/>
          <w:highlight w:val="none"/>
          <w:u w:val="single"/>
        </w:rPr>
        <w:t>建设的</w:t>
      </w:r>
      <w:r>
        <w:rPr>
          <w:color w:val="auto"/>
          <w:highlight w:val="none"/>
          <w:u w:val="single"/>
        </w:rPr>
        <w:t>10万吨级浮船是用于替换原有浮船坞，原浮船坞最大小时淡水用水量为150m</w:t>
      </w:r>
      <w:r>
        <w:rPr>
          <w:color w:val="auto"/>
          <w:highlight w:val="none"/>
          <w:u w:val="single"/>
          <w:vertAlign w:val="superscript"/>
        </w:rPr>
        <w:t>3</w:t>
      </w:r>
      <w:r>
        <w:rPr>
          <w:color w:val="auto"/>
          <w:highlight w:val="none"/>
          <w:u w:val="single"/>
        </w:rPr>
        <w:t>/h，现有浮船坞供水管道及接口能够满足</w:t>
      </w:r>
      <w:r>
        <w:rPr>
          <w:rFonts w:hint="eastAsia"/>
          <w:color w:val="auto"/>
          <w:highlight w:val="none"/>
          <w:u w:val="single"/>
        </w:rPr>
        <w:t>本次建设的</w:t>
      </w:r>
      <w:r>
        <w:rPr>
          <w:color w:val="auto"/>
          <w:highlight w:val="none"/>
          <w:u w:val="single"/>
        </w:rPr>
        <w:t>浮船坞的用水需求</w:t>
      </w:r>
      <w:r>
        <w:rPr>
          <w:color w:val="auto"/>
          <w:szCs w:val="28"/>
          <w:highlight w:val="none"/>
          <w:u w:val="single"/>
        </w:rPr>
        <w:t>，无需改造</w:t>
      </w:r>
      <w:r>
        <w:rPr>
          <w:color w:val="auto"/>
          <w:highlight w:val="none"/>
          <w:u w:val="single"/>
        </w:rPr>
        <w:t>。</w:t>
      </w:r>
      <w:r>
        <w:rPr>
          <w:rFonts w:hint="eastAsia"/>
          <w:color w:val="auto"/>
          <w:highlight w:val="none"/>
          <w:u w:val="single"/>
        </w:rPr>
        <w:t>项目依托现有工程给排水工程可行。</w:t>
      </w:r>
    </w:p>
    <w:p w14:paraId="10A55445">
      <w:pPr>
        <w:ind w:firstLine="480"/>
        <w:rPr>
          <w:color w:val="auto"/>
          <w:szCs w:val="20"/>
          <w:highlight w:val="none"/>
          <w:u w:val="single"/>
        </w:rPr>
      </w:pPr>
      <w:r>
        <w:rPr>
          <w:rFonts w:hint="eastAsia"/>
          <w:color w:val="auto"/>
          <w:szCs w:val="20"/>
          <w:highlight w:val="none"/>
          <w:u w:val="single"/>
        </w:rPr>
        <w:t xml:space="preserve">（2）排水 </w:t>
      </w:r>
    </w:p>
    <w:p w14:paraId="319E858D">
      <w:pPr>
        <w:ind w:firstLine="480"/>
        <w:rPr>
          <w:color w:val="auto"/>
          <w:highlight w:val="none"/>
          <w:u w:val="single"/>
        </w:rPr>
      </w:pPr>
      <w:r>
        <w:rPr>
          <w:rFonts w:hint="eastAsia"/>
          <w:color w:val="auto"/>
          <w:szCs w:val="20"/>
          <w:highlight w:val="none"/>
          <w:u w:val="single"/>
        </w:rPr>
        <w:t>根据上文2.2.7.2排水工程可知，</w:t>
      </w:r>
      <w:r>
        <w:rPr>
          <w:color w:val="auto"/>
          <w:highlight w:val="none"/>
          <w:u w:val="single"/>
        </w:rPr>
        <w:t>厂区</w:t>
      </w:r>
      <w:r>
        <w:rPr>
          <w:rFonts w:hint="eastAsia"/>
          <w:color w:val="auto"/>
          <w:highlight w:val="none"/>
          <w:u w:val="single"/>
          <w:lang w:eastAsia="zh-CN"/>
        </w:rPr>
        <w:t>排水体制</w:t>
      </w:r>
      <w:r>
        <w:rPr>
          <w:color w:val="auto"/>
          <w:highlight w:val="none"/>
          <w:u w:val="single"/>
        </w:rPr>
        <w:t>为</w:t>
      </w:r>
      <w:r>
        <w:rPr>
          <w:rFonts w:hint="eastAsia"/>
          <w:color w:val="auto"/>
          <w:highlight w:val="none"/>
          <w:u w:val="single"/>
        </w:rPr>
        <w:t>雨污</w:t>
      </w:r>
      <w:r>
        <w:rPr>
          <w:color w:val="auto"/>
          <w:highlight w:val="none"/>
          <w:u w:val="single"/>
        </w:rPr>
        <w:t>分流制</w:t>
      </w:r>
      <w:r>
        <w:rPr>
          <w:rFonts w:hint="eastAsia"/>
          <w:color w:val="auto"/>
          <w:highlight w:val="none"/>
          <w:u w:val="single"/>
        </w:rPr>
        <w:t>。</w:t>
      </w:r>
    </w:p>
    <w:p w14:paraId="29764BB0">
      <w:pPr>
        <w:ind w:firstLine="480"/>
        <w:rPr>
          <w:color w:val="auto"/>
          <w:highlight w:val="none"/>
          <w:u w:val="single"/>
        </w:rPr>
      </w:pPr>
      <w:r>
        <w:rPr>
          <w:rFonts w:hint="eastAsia" w:ascii="宋体" w:hAnsi="宋体" w:cs="宋体"/>
          <w:color w:val="auto"/>
          <w:highlight w:val="none"/>
          <w:u w:val="single"/>
        </w:rPr>
        <w:t>①污水</w:t>
      </w:r>
    </w:p>
    <w:p w14:paraId="3A427422">
      <w:pPr>
        <w:ind w:firstLine="480"/>
        <w:rPr>
          <w:color w:val="auto"/>
          <w:highlight w:val="none"/>
          <w:u w:val="single"/>
        </w:rPr>
      </w:pPr>
      <w:r>
        <w:rPr>
          <w:rFonts w:hint="eastAsia"/>
          <w:color w:val="auto"/>
          <w:highlight w:val="none"/>
          <w:u w:val="single"/>
        </w:rPr>
        <w:t>项目职工生活污水依托现有生活污水处理设备</w:t>
      </w:r>
      <w:r>
        <w:rPr>
          <w:color w:val="auto"/>
          <w:szCs w:val="20"/>
          <w:highlight w:val="none"/>
          <w:u w:val="single"/>
        </w:rPr>
        <w:t>处理</w:t>
      </w:r>
      <w:r>
        <w:rPr>
          <w:rFonts w:hint="eastAsia"/>
          <w:color w:val="auto"/>
          <w:szCs w:val="20"/>
          <w:highlight w:val="none"/>
          <w:u w:val="single"/>
        </w:rPr>
        <w:t>后，进入中水回用池储存；</w:t>
      </w:r>
      <w:r>
        <w:rPr>
          <w:rFonts w:hint="eastAsia"/>
          <w:color w:val="auto"/>
          <w:highlight w:val="none"/>
          <w:u w:val="single"/>
        </w:rPr>
        <w:t>项目改建后，浮船坞含油废水通过罐车运至污水处理站处理，通过厂区现有污水管道进入中水回用池储存；中水回用池内废水大部分回用于厂区绿化及降尘，少部分不能回用的由槽罐车运至大榄坪污水处理厂处理，不在本项目区域排放。</w:t>
      </w:r>
    </w:p>
    <w:p w14:paraId="226E03FC">
      <w:pPr>
        <w:ind w:firstLine="480"/>
        <w:rPr>
          <w:color w:val="auto"/>
          <w:highlight w:val="none"/>
          <w:u w:val="single"/>
        </w:rPr>
      </w:pPr>
      <w:r>
        <w:rPr>
          <w:rFonts w:hint="eastAsia" w:ascii="宋体" w:hAnsi="宋体" w:cs="宋体"/>
          <w:color w:val="auto"/>
          <w:highlight w:val="none"/>
          <w:u w:val="single"/>
        </w:rPr>
        <w:t>②</w:t>
      </w:r>
      <w:r>
        <w:rPr>
          <w:rFonts w:hint="eastAsia"/>
          <w:color w:val="auto"/>
          <w:highlight w:val="none"/>
          <w:u w:val="single"/>
        </w:rPr>
        <w:t>雨水</w:t>
      </w:r>
    </w:p>
    <w:p w14:paraId="719BA6E5">
      <w:pPr>
        <w:ind w:firstLine="480"/>
        <w:rPr>
          <w:color w:val="auto"/>
          <w:highlight w:val="none"/>
          <w:u w:val="single"/>
        </w:rPr>
      </w:pPr>
      <w:r>
        <w:rPr>
          <w:rFonts w:hint="eastAsia"/>
          <w:color w:val="auto"/>
          <w:highlight w:val="none"/>
          <w:u w:val="single"/>
        </w:rPr>
        <w:t>在浮船坞上配套新增一个初期雨水池对浮船坞露天甲板上喷漆、焊接、除锈等加工区域的初期雨水进行收集，采用罐车转运至基地陆域上生活污水处理设备处理</w:t>
      </w:r>
      <w:r>
        <w:rPr>
          <w:rFonts w:hint="eastAsia"/>
          <w:color w:val="auto"/>
          <w:szCs w:val="20"/>
          <w:highlight w:val="none"/>
          <w:u w:val="single"/>
        </w:rPr>
        <w:t>后，进入中水回用池储存</w:t>
      </w:r>
      <w:r>
        <w:rPr>
          <w:rFonts w:hint="eastAsia"/>
          <w:color w:val="auto"/>
          <w:szCs w:val="20"/>
          <w:highlight w:val="none"/>
          <w:u w:val="single"/>
          <w:lang w:eastAsia="zh-CN"/>
        </w:rPr>
        <w:t>，</w:t>
      </w:r>
      <w:r>
        <w:rPr>
          <w:rFonts w:hint="eastAsia"/>
          <w:color w:val="auto"/>
          <w:highlight w:val="none"/>
          <w:u w:val="single"/>
        </w:rPr>
        <w:t>大部分回用于厂区绿化及降尘，少部分不能回用的由槽罐车运至大榄坪污水处理厂处理，不在本项目区域排放。浮船坞上后期雨水经浮船坞上雨水排口直接排放；</w:t>
      </w:r>
      <w:r>
        <w:rPr>
          <w:rFonts w:hint="eastAsia"/>
          <w:color w:val="auto"/>
          <w:highlight w:val="none"/>
          <w:u w:val="single"/>
          <w:lang w:eastAsia="zh-CN"/>
        </w:rPr>
        <w:t>由于浮船坞配套建造场地仅进行分段组装和总装，组装过程污染物主要是少量的焊接粉尘，不含其他污染物，因此本次不在浮船坞配套建造场地上单独设置初期雨水收集池，</w:t>
      </w:r>
      <w:r>
        <w:rPr>
          <w:rFonts w:hint="eastAsia"/>
          <w:color w:val="auto"/>
          <w:highlight w:val="none"/>
          <w:u w:val="single"/>
        </w:rPr>
        <w:t>浮船坞配套建造场地</w:t>
      </w:r>
      <w:r>
        <w:rPr>
          <w:rFonts w:hint="eastAsia"/>
          <w:color w:val="auto"/>
          <w:highlight w:val="none"/>
          <w:u w:val="single"/>
          <w:lang w:eastAsia="zh-CN"/>
        </w:rPr>
        <w:t>的</w:t>
      </w:r>
      <w:r>
        <w:rPr>
          <w:rFonts w:hint="eastAsia"/>
          <w:color w:val="auto"/>
          <w:highlight w:val="none"/>
          <w:u w:val="single"/>
        </w:rPr>
        <w:t>初期雨水</w:t>
      </w:r>
      <w:r>
        <w:rPr>
          <w:rFonts w:hint="eastAsia"/>
          <w:color w:val="auto"/>
          <w:highlight w:val="none"/>
          <w:u w:val="single"/>
          <w:lang w:eastAsia="zh-CN"/>
        </w:rPr>
        <w:t>直接</w:t>
      </w:r>
      <w:r>
        <w:rPr>
          <w:rFonts w:hint="eastAsia"/>
          <w:color w:val="auto"/>
          <w:highlight w:val="none"/>
          <w:u w:val="single"/>
        </w:rPr>
        <w:t>进入基地现有雨水管网，依托厂区雨水排放系统进行排放。</w:t>
      </w:r>
    </w:p>
    <w:p w14:paraId="7B5EA2E9">
      <w:pPr>
        <w:ind w:firstLine="480"/>
        <w:rPr>
          <w:color w:val="auto"/>
          <w:szCs w:val="20"/>
          <w:highlight w:val="none"/>
          <w:u w:val="single"/>
        </w:rPr>
      </w:pPr>
      <w:r>
        <w:rPr>
          <w:rFonts w:hint="eastAsia"/>
          <w:color w:val="auto"/>
          <w:szCs w:val="20"/>
          <w:highlight w:val="none"/>
          <w:u w:val="single"/>
        </w:rPr>
        <w:t>因此，项目依托基地上给排水系统可行。</w:t>
      </w:r>
    </w:p>
    <w:p w14:paraId="789CD16F">
      <w:pPr>
        <w:pStyle w:val="533"/>
        <w:numPr>
          <w:ilvl w:val="3"/>
          <w:numId w:val="9"/>
        </w:numPr>
        <w:rPr>
          <w:color w:val="auto"/>
          <w:szCs w:val="24"/>
          <w:highlight w:val="none"/>
          <w:u w:val="single"/>
        </w:rPr>
      </w:pPr>
      <w:r>
        <w:rPr>
          <w:rFonts w:hint="eastAsia"/>
          <w:color w:val="auto"/>
          <w:szCs w:val="20"/>
          <w:highlight w:val="none"/>
          <w:u w:val="single"/>
        </w:rPr>
        <w:t>环保工程依托可行性</w:t>
      </w:r>
    </w:p>
    <w:p w14:paraId="331B74DA">
      <w:pPr>
        <w:ind w:firstLine="482"/>
        <w:rPr>
          <w:b/>
          <w:bCs/>
          <w:color w:val="auto"/>
          <w:szCs w:val="20"/>
          <w:highlight w:val="none"/>
          <w:u w:val="single"/>
        </w:rPr>
      </w:pPr>
      <w:r>
        <w:rPr>
          <w:rFonts w:hint="eastAsia"/>
          <w:b/>
          <w:bCs/>
          <w:color w:val="auto"/>
          <w:szCs w:val="20"/>
          <w:highlight w:val="none"/>
          <w:u w:val="single"/>
        </w:rPr>
        <w:t>（1）废气收集处理措施依托可行性</w:t>
      </w:r>
    </w:p>
    <w:p w14:paraId="3F5EADD5">
      <w:pPr>
        <w:ind w:firstLine="482"/>
        <w:rPr>
          <w:rFonts w:hint="eastAsia" w:ascii="宋体" w:hAnsi="宋体" w:cs="宋体"/>
          <w:b/>
          <w:bCs/>
          <w:color w:val="auto"/>
          <w:highlight w:val="none"/>
        </w:rPr>
      </w:pPr>
      <w:r>
        <w:rPr>
          <w:rFonts w:hint="eastAsia" w:ascii="宋体" w:hAnsi="宋体" w:cs="宋体"/>
          <w:b/>
          <w:bCs/>
          <w:color w:val="auto"/>
          <w:highlight w:val="none"/>
        </w:rPr>
        <w:t>1）废气处理措施设置情况</w:t>
      </w:r>
    </w:p>
    <w:p w14:paraId="2E3F87AA">
      <w:pPr>
        <w:ind w:firstLine="482"/>
        <w:rPr>
          <w:b/>
          <w:bCs/>
          <w:color w:val="auto"/>
          <w:szCs w:val="20"/>
          <w:highlight w:val="none"/>
          <w:u w:val="single"/>
        </w:rPr>
      </w:pPr>
      <w:r>
        <w:rPr>
          <w:rFonts w:hint="eastAsia" w:ascii="宋体" w:hAnsi="宋体" w:cs="宋体"/>
          <w:b/>
          <w:bCs/>
          <w:color w:val="auto"/>
          <w:highlight w:val="none"/>
        </w:rPr>
        <w:t>①</w:t>
      </w:r>
      <w:r>
        <w:rPr>
          <w:rFonts w:hint="eastAsia"/>
          <w:b/>
          <w:bCs/>
          <w:color w:val="auto"/>
          <w:szCs w:val="20"/>
          <w:highlight w:val="none"/>
          <w:u w:val="single"/>
        </w:rPr>
        <w:t>船体和机电综合车间废气处理系统</w:t>
      </w:r>
    </w:p>
    <w:p w14:paraId="564462F1">
      <w:pPr>
        <w:ind w:firstLine="480"/>
        <w:rPr>
          <w:color w:val="auto"/>
          <w:szCs w:val="20"/>
          <w:highlight w:val="none"/>
          <w:u w:val="single"/>
        </w:rPr>
      </w:pPr>
      <w:r>
        <w:rPr>
          <w:rFonts w:hint="eastAsia"/>
          <w:color w:val="auto"/>
          <w:szCs w:val="20"/>
          <w:highlight w:val="none"/>
          <w:u w:val="single"/>
        </w:rPr>
        <w:t>项目依托船体和机电综合车间进行船体设备维修；车间内工序工艺、原辅料、生产规模等均不变，浸漆间排气处理措施和化学处理车间废气处理措施不变。</w:t>
      </w:r>
    </w:p>
    <w:p w14:paraId="18949DC1">
      <w:pPr>
        <w:ind w:firstLine="480"/>
        <w:rPr>
          <w:color w:val="auto"/>
          <w:highlight w:val="none"/>
          <w:u w:val="single"/>
        </w:rPr>
      </w:pPr>
      <w:r>
        <w:rPr>
          <w:rFonts w:hint="eastAsia" w:ascii="宋体" w:hAnsi="宋体" w:cs="宋体"/>
          <w:color w:val="auto"/>
          <w:highlight w:val="none"/>
          <w:u w:val="single"/>
        </w:rPr>
        <w:t xml:space="preserve">浸漆废气 </w:t>
      </w:r>
      <w:r>
        <w:rPr>
          <w:color w:val="auto"/>
          <w:highlight w:val="none"/>
          <w:u w:val="single"/>
        </w:rPr>
        <w:t>浸漆间和烘房混合有机废气经活性炭吸附装置净化处理后通过</w:t>
      </w:r>
      <w:r>
        <w:rPr>
          <w:rFonts w:hint="eastAsia"/>
          <w:color w:val="auto"/>
          <w:highlight w:val="none"/>
          <w:u w:val="single"/>
        </w:rPr>
        <w:t>高度为20</w:t>
      </w:r>
      <w:r>
        <w:rPr>
          <w:color w:val="auto"/>
          <w:highlight w:val="none"/>
          <w:u w:val="single"/>
        </w:rPr>
        <w:t>m</w:t>
      </w:r>
      <w:r>
        <w:rPr>
          <w:rFonts w:hint="eastAsia"/>
          <w:color w:val="auto"/>
          <w:highlight w:val="none"/>
          <w:u w:val="single"/>
        </w:rPr>
        <w:t>、内径为1.2m的</w:t>
      </w:r>
      <w:r>
        <w:rPr>
          <w:color w:val="auto"/>
          <w:highlight w:val="none"/>
          <w:u w:val="single"/>
        </w:rPr>
        <w:t>排气筒</w:t>
      </w:r>
      <w:r>
        <w:rPr>
          <w:rFonts w:hint="eastAsia"/>
          <w:color w:val="auto"/>
          <w:highlight w:val="none"/>
          <w:u w:val="single"/>
        </w:rPr>
        <w:t>（DA004）</w:t>
      </w:r>
      <w:r>
        <w:rPr>
          <w:color w:val="auto"/>
          <w:highlight w:val="none"/>
          <w:u w:val="single"/>
        </w:rPr>
        <w:t>排放。</w:t>
      </w:r>
    </w:p>
    <w:p w14:paraId="1874C5AA">
      <w:pPr>
        <w:ind w:firstLine="480"/>
        <w:rPr>
          <w:color w:val="auto"/>
          <w:highlight w:val="none"/>
          <w:u w:val="single"/>
        </w:rPr>
      </w:pPr>
      <w:r>
        <w:rPr>
          <w:rFonts w:hint="eastAsia"/>
          <w:color w:val="auto"/>
          <w:highlight w:val="none"/>
          <w:u w:val="single"/>
        </w:rPr>
        <w:t xml:space="preserve">酸洗废气 </w:t>
      </w:r>
      <w:r>
        <w:rPr>
          <w:color w:val="auto"/>
          <w:highlight w:val="none"/>
          <w:u w:val="single"/>
        </w:rPr>
        <w:t>在化学清洗间酸洗槽会产生酸雾。酸洗槽采取低截面双侧槽边吸风，经1台酸雾净化塔处理后通过</w:t>
      </w:r>
      <w:r>
        <w:rPr>
          <w:rFonts w:hint="eastAsia"/>
          <w:color w:val="auto"/>
          <w:highlight w:val="none"/>
          <w:u w:val="single"/>
        </w:rPr>
        <w:t>高度为20</w:t>
      </w:r>
      <w:r>
        <w:rPr>
          <w:color w:val="auto"/>
          <w:highlight w:val="none"/>
          <w:u w:val="single"/>
        </w:rPr>
        <w:t>m</w:t>
      </w:r>
      <w:r>
        <w:rPr>
          <w:rFonts w:hint="eastAsia"/>
          <w:color w:val="auto"/>
          <w:highlight w:val="none"/>
          <w:u w:val="single"/>
        </w:rPr>
        <w:t>、内径为1.2m的</w:t>
      </w:r>
      <w:r>
        <w:rPr>
          <w:color w:val="auto"/>
          <w:highlight w:val="none"/>
          <w:u w:val="single"/>
        </w:rPr>
        <w:t>排气筒</w:t>
      </w:r>
      <w:r>
        <w:rPr>
          <w:rFonts w:hint="eastAsia"/>
          <w:color w:val="auto"/>
          <w:highlight w:val="none"/>
          <w:u w:val="single"/>
        </w:rPr>
        <w:t>（DA003）</w:t>
      </w:r>
      <w:r>
        <w:rPr>
          <w:color w:val="auto"/>
          <w:highlight w:val="none"/>
          <w:u w:val="single"/>
        </w:rPr>
        <w:t>排放。</w:t>
      </w:r>
    </w:p>
    <w:p w14:paraId="52CFC859">
      <w:pPr>
        <w:ind w:firstLine="480"/>
        <w:rPr>
          <w:color w:val="auto"/>
          <w:highlight w:val="none"/>
          <w:u w:val="single"/>
        </w:rPr>
      </w:pPr>
      <w:r>
        <w:rPr>
          <w:rFonts w:hint="eastAsia"/>
          <w:color w:val="auto"/>
          <w:highlight w:val="none"/>
          <w:u w:val="single"/>
        </w:rPr>
        <w:t>焊接粉尘：</w:t>
      </w:r>
      <w:r>
        <w:rPr>
          <w:color w:val="auto"/>
          <w:highlight w:val="none"/>
          <w:u w:val="single"/>
        </w:rPr>
        <w:t>机电综合车间内</w:t>
      </w:r>
      <w:r>
        <w:rPr>
          <w:rFonts w:hint="eastAsia"/>
          <w:color w:val="auto"/>
          <w:highlight w:val="none"/>
          <w:u w:val="single"/>
        </w:rPr>
        <w:t>焊接</w:t>
      </w:r>
      <w:r>
        <w:rPr>
          <w:color w:val="auto"/>
          <w:highlight w:val="none"/>
          <w:u w:val="single"/>
        </w:rPr>
        <w:t>已配置移动式高真空焊接烟气净化装置。</w:t>
      </w:r>
    </w:p>
    <w:p w14:paraId="0845E403">
      <w:pPr>
        <w:ind w:firstLine="482"/>
        <w:rPr>
          <w:rFonts w:hint="eastAsia" w:ascii="宋体" w:hAnsi="宋体" w:cs="宋体"/>
          <w:b/>
          <w:bCs/>
          <w:color w:val="auto"/>
          <w:highlight w:val="none"/>
          <w:u w:val="single"/>
        </w:rPr>
      </w:pPr>
      <w:r>
        <w:rPr>
          <w:rFonts w:hint="eastAsia" w:ascii="宋体" w:hAnsi="宋体" w:cs="宋体"/>
          <w:b/>
          <w:bCs/>
          <w:color w:val="auto"/>
          <w:highlight w:val="none"/>
          <w:u w:val="single"/>
        </w:rPr>
        <w:t>②</w:t>
      </w:r>
      <w:r>
        <w:rPr>
          <w:rFonts w:hint="eastAsia" w:eastAsiaTheme="minorEastAsia"/>
          <w:b/>
          <w:bCs/>
          <w:color w:val="auto"/>
          <w:highlight w:val="none"/>
          <w:u w:val="single"/>
        </w:rPr>
        <w:t>废水收集池废气</w:t>
      </w:r>
    </w:p>
    <w:p w14:paraId="7C490D38">
      <w:pPr>
        <w:ind w:firstLine="480"/>
        <w:rPr>
          <w:rFonts w:hint="eastAsia" w:ascii="宋体" w:hAnsi="宋体" w:cs="宋体"/>
          <w:b/>
          <w:bCs/>
          <w:color w:val="auto"/>
          <w:highlight w:val="none"/>
          <w:u w:val="single"/>
        </w:rPr>
      </w:pPr>
      <w:r>
        <w:rPr>
          <w:rFonts w:hint="eastAsia" w:ascii="宋体" w:hAnsi="宋体" w:cs="宋体"/>
          <w:color w:val="auto"/>
          <w:highlight w:val="none"/>
          <w:u w:val="single"/>
        </w:rPr>
        <w:t>废水收集池上设置喷淋除臭净化塔，防止废水收集池恶臭的溢散，经</w:t>
      </w:r>
      <w:r>
        <w:rPr>
          <w:color w:val="auto"/>
          <w:highlight w:val="none"/>
          <w:u w:val="single"/>
        </w:rPr>
        <w:t>处理后通过</w:t>
      </w:r>
      <w:r>
        <w:rPr>
          <w:rFonts w:hint="eastAsia"/>
          <w:color w:val="auto"/>
          <w:highlight w:val="none"/>
          <w:u w:val="single"/>
        </w:rPr>
        <w:t>高度为15</w:t>
      </w:r>
      <w:r>
        <w:rPr>
          <w:color w:val="auto"/>
          <w:highlight w:val="none"/>
          <w:u w:val="single"/>
        </w:rPr>
        <w:t>m</w:t>
      </w:r>
      <w:r>
        <w:rPr>
          <w:rFonts w:hint="eastAsia"/>
          <w:color w:val="auto"/>
          <w:highlight w:val="none"/>
          <w:u w:val="single"/>
        </w:rPr>
        <w:t>、内径为0.3m的</w:t>
      </w:r>
      <w:r>
        <w:rPr>
          <w:color w:val="auto"/>
          <w:highlight w:val="none"/>
          <w:u w:val="single"/>
        </w:rPr>
        <w:t>排气筒</w:t>
      </w:r>
      <w:r>
        <w:rPr>
          <w:rFonts w:hint="eastAsia"/>
          <w:color w:val="auto"/>
          <w:highlight w:val="none"/>
          <w:u w:val="single"/>
        </w:rPr>
        <w:t>（DA005）</w:t>
      </w:r>
      <w:r>
        <w:rPr>
          <w:color w:val="auto"/>
          <w:highlight w:val="none"/>
          <w:u w:val="single"/>
        </w:rPr>
        <w:t>排放。</w:t>
      </w:r>
    </w:p>
    <w:p w14:paraId="198D1E26">
      <w:pPr>
        <w:ind w:firstLine="482"/>
        <w:rPr>
          <w:b/>
          <w:bCs/>
          <w:color w:val="auto"/>
          <w:highlight w:val="none"/>
          <w:u w:val="single"/>
        </w:rPr>
      </w:pPr>
      <w:r>
        <w:rPr>
          <w:rFonts w:hint="eastAsia" w:ascii="宋体" w:hAnsi="宋体" w:cs="宋体"/>
          <w:b/>
          <w:bCs/>
          <w:color w:val="auto"/>
          <w:highlight w:val="none"/>
          <w:u w:val="single"/>
        </w:rPr>
        <w:t>③危化库及危废库废气</w:t>
      </w:r>
    </w:p>
    <w:p w14:paraId="55CA5492">
      <w:pPr>
        <w:ind w:firstLine="480"/>
        <w:rPr>
          <w:rFonts w:eastAsiaTheme="minorEastAsia"/>
          <w:color w:val="auto"/>
          <w:highlight w:val="none"/>
          <w:u w:val="single"/>
        </w:rPr>
      </w:pPr>
      <w:r>
        <w:rPr>
          <w:rFonts w:hint="eastAsia" w:eastAsiaTheme="minorEastAsia"/>
          <w:color w:val="auto"/>
          <w:highlight w:val="none"/>
          <w:u w:val="single"/>
        </w:rPr>
        <w:t>对危化库和危险废物暂存间废气进行收集，并采用活性炭进行吸附，有机废气经活性炭吸附装置净化处理后通过高度为15m、内径为0.6m的排气筒（DA006）排放。</w:t>
      </w:r>
    </w:p>
    <w:p w14:paraId="4E1B4ACB">
      <w:pPr>
        <w:ind w:firstLine="482"/>
        <w:rPr>
          <w:b/>
          <w:bCs/>
          <w:color w:val="auto"/>
          <w:szCs w:val="20"/>
          <w:highlight w:val="none"/>
          <w:u w:val="single"/>
        </w:rPr>
      </w:pPr>
      <w:r>
        <w:rPr>
          <w:rFonts w:hint="eastAsia"/>
          <w:b/>
          <w:bCs/>
          <w:color w:val="auto"/>
          <w:szCs w:val="20"/>
          <w:highlight w:val="none"/>
          <w:u w:val="single"/>
        </w:rPr>
        <w:t>2）依托可行性</w:t>
      </w:r>
    </w:p>
    <w:p w14:paraId="08111ADA">
      <w:pPr>
        <w:ind w:firstLine="480"/>
        <w:rPr>
          <w:color w:val="auto"/>
          <w:szCs w:val="20"/>
          <w:highlight w:val="none"/>
          <w:u w:val="single"/>
        </w:rPr>
      </w:pPr>
      <w:r>
        <w:rPr>
          <w:rFonts w:hint="eastAsia"/>
          <w:color w:val="auto"/>
          <w:szCs w:val="20"/>
          <w:highlight w:val="none"/>
          <w:u w:val="single"/>
        </w:rPr>
        <w:t>项目改建后，设计产能不变，基地陆域上原有的废气处理措施不变，项目依托基地陆域上原有的废气处理措施可行。</w:t>
      </w:r>
    </w:p>
    <w:p w14:paraId="133FCD27">
      <w:pPr>
        <w:ind w:firstLine="482"/>
        <w:rPr>
          <w:b/>
          <w:bCs/>
          <w:color w:val="auto"/>
          <w:szCs w:val="20"/>
          <w:highlight w:val="none"/>
          <w:u w:val="single"/>
        </w:rPr>
      </w:pPr>
      <w:r>
        <w:rPr>
          <w:rFonts w:hint="eastAsia"/>
          <w:b/>
          <w:bCs/>
          <w:color w:val="auto"/>
          <w:szCs w:val="20"/>
          <w:highlight w:val="none"/>
          <w:u w:val="single"/>
        </w:rPr>
        <w:t>（2）废水收集处理措施依托可行性</w:t>
      </w:r>
    </w:p>
    <w:p w14:paraId="11AE0E3D">
      <w:pPr>
        <w:ind w:firstLine="482"/>
        <w:rPr>
          <w:b/>
          <w:bCs/>
          <w:color w:val="auto"/>
          <w:szCs w:val="20"/>
          <w:highlight w:val="none"/>
          <w:u w:val="single"/>
        </w:rPr>
      </w:pPr>
      <w:r>
        <w:rPr>
          <w:rFonts w:hint="eastAsia" w:ascii="宋体" w:hAnsi="宋体" w:cs="宋体"/>
          <w:b/>
          <w:bCs/>
          <w:color w:val="auto"/>
          <w:szCs w:val="20"/>
          <w:highlight w:val="none"/>
          <w:u w:val="single"/>
        </w:rPr>
        <w:t>①生活污水</w:t>
      </w:r>
    </w:p>
    <w:p w14:paraId="5D64EF0F">
      <w:pPr>
        <w:ind w:firstLine="480"/>
        <w:rPr>
          <w:color w:val="auto"/>
          <w:highlight w:val="none"/>
          <w:u w:val="single"/>
        </w:rPr>
      </w:pPr>
      <w:r>
        <w:rPr>
          <w:rFonts w:hint="eastAsia" w:ascii="宋体" w:hAnsi="宋体" w:cs="宋体"/>
          <w:color w:val="auto"/>
          <w:szCs w:val="20"/>
          <w:highlight w:val="none"/>
          <w:u w:val="single"/>
        </w:rPr>
        <w:t>基地上生活污水进入</w:t>
      </w:r>
      <w:r>
        <w:rPr>
          <w:color w:val="auto"/>
          <w:szCs w:val="20"/>
          <w:highlight w:val="none"/>
          <w:u w:val="single"/>
        </w:rPr>
        <w:t>生活污水处理一体化设备（处理规模300m</w:t>
      </w:r>
      <w:r>
        <w:rPr>
          <w:color w:val="auto"/>
          <w:szCs w:val="20"/>
          <w:highlight w:val="none"/>
          <w:u w:val="single"/>
          <w:vertAlign w:val="superscript"/>
        </w:rPr>
        <w:t>3</w:t>
      </w:r>
      <w:r>
        <w:rPr>
          <w:color w:val="auto"/>
          <w:szCs w:val="20"/>
          <w:highlight w:val="none"/>
          <w:u w:val="single"/>
        </w:rPr>
        <w:t>/d）处理</w:t>
      </w:r>
      <w:r>
        <w:rPr>
          <w:rFonts w:hint="eastAsia"/>
          <w:color w:val="auto"/>
          <w:szCs w:val="20"/>
          <w:highlight w:val="none"/>
          <w:u w:val="single"/>
        </w:rPr>
        <w:t>后，进入中水回用池储存，</w:t>
      </w:r>
      <w:r>
        <w:rPr>
          <w:color w:val="auto"/>
          <w:szCs w:val="20"/>
          <w:highlight w:val="none"/>
          <w:u w:val="single"/>
        </w:rPr>
        <w:t>大部分回用于厂区绿化及降尘，少部分不能回用的由槽罐车运至大榄坪污水处理厂处理</w:t>
      </w:r>
      <w:r>
        <w:rPr>
          <w:color w:val="auto"/>
          <w:highlight w:val="none"/>
          <w:u w:val="single"/>
        </w:rPr>
        <w:t>。</w:t>
      </w:r>
    </w:p>
    <w:p w14:paraId="0433F56F">
      <w:pPr>
        <w:ind w:firstLine="480"/>
        <w:rPr>
          <w:rFonts w:hint="eastAsia" w:ascii="宋体" w:hAnsi="宋体" w:cs="宋体"/>
          <w:color w:val="auto"/>
          <w:szCs w:val="20"/>
          <w:highlight w:val="none"/>
          <w:u w:val="single"/>
        </w:rPr>
      </w:pPr>
      <w:r>
        <w:rPr>
          <w:rFonts w:hint="eastAsia" w:ascii="宋体" w:hAnsi="宋体" w:cs="宋体"/>
          <w:color w:val="auto"/>
          <w:szCs w:val="20"/>
          <w:highlight w:val="none"/>
          <w:u w:val="single"/>
        </w:rPr>
        <w:t>本项目依托现有职工，不新增工作人员，因此生活污水处理设备处理能力能够满足本项目需求，项目生活污水依托生活污水处理设备处理可行。</w:t>
      </w:r>
    </w:p>
    <w:p w14:paraId="585B54C7">
      <w:pPr>
        <w:ind w:firstLine="482"/>
        <w:rPr>
          <w:b/>
          <w:bCs/>
          <w:color w:val="auto"/>
          <w:szCs w:val="20"/>
          <w:highlight w:val="none"/>
          <w:u w:val="single"/>
        </w:rPr>
      </w:pPr>
      <w:r>
        <w:rPr>
          <w:rFonts w:hint="eastAsia" w:ascii="宋体" w:hAnsi="宋体" w:cs="宋体"/>
          <w:b/>
          <w:bCs/>
          <w:color w:val="auto"/>
          <w:szCs w:val="20"/>
          <w:highlight w:val="none"/>
          <w:u w:val="single"/>
        </w:rPr>
        <w:t>②</w:t>
      </w:r>
      <w:r>
        <w:rPr>
          <w:rFonts w:hint="eastAsia"/>
          <w:b/>
          <w:bCs/>
          <w:color w:val="auto"/>
          <w:szCs w:val="20"/>
          <w:highlight w:val="none"/>
          <w:u w:val="single"/>
        </w:rPr>
        <w:t>生产废水</w:t>
      </w:r>
    </w:p>
    <w:p w14:paraId="42D02BA3">
      <w:pPr>
        <w:ind w:firstLine="480"/>
        <w:rPr>
          <w:color w:val="auto"/>
          <w:highlight w:val="none"/>
          <w:u w:val="single"/>
        </w:rPr>
      </w:pPr>
      <w:r>
        <w:rPr>
          <w:rFonts w:hint="eastAsia"/>
          <w:color w:val="auto"/>
          <w:szCs w:val="20"/>
          <w:highlight w:val="none"/>
          <w:u w:val="single"/>
        </w:rPr>
        <w:t>本项目改建后，本项目</w:t>
      </w:r>
      <w:r>
        <w:rPr>
          <w:color w:val="auto"/>
          <w:highlight w:val="none"/>
          <w:u w:val="single"/>
        </w:rPr>
        <w:t>生产废水</w:t>
      </w:r>
      <w:r>
        <w:rPr>
          <w:rFonts w:hint="eastAsia"/>
          <w:color w:val="auto"/>
          <w:highlight w:val="none"/>
          <w:u w:val="single"/>
        </w:rPr>
        <w:t>主要为坞修产生的</w:t>
      </w:r>
      <w:r>
        <w:rPr>
          <w:color w:val="auto"/>
          <w:highlight w:val="none"/>
          <w:u w:val="single"/>
        </w:rPr>
        <w:t>船舶含油废水。</w:t>
      </w:r>
      <w:r>
        <w:rPr>
          <w:rFonts w:hint="eastAsia"/>
          <w:color w:val="auto"/>
          <w:highlight w:val="none"/>
          <w:u w:val="single"/>
        </w:rPr>
        <w:t>经收集后采用罐车运至现有污水处理站处理。</w:t>
      </w:r>
    </w:p>
    <w:p w14:paraId="4726E1C8">
      <w:pPr>
        <w:ind w:firstLine="480"/>
        <w:rPr>
          <w:color w:val="auto"/>
          <w:highlight w:val="none"/>
          <w:u w:val="single"/>
        </w:rPr>
      </w:pPr>
      <w:r>
        <w:rPr>
          <w:rFonts w:hint="eastAsia"/>
          <w:color w:val="auto"/>
          <w:highlight w:val="none"/>
          <w:u w:val="single"/>
        </w:rPr>
        <w:t>现有污水处理站主要处理</w:t>
      </w:r>
      <w:r>
        <w:rPr>
          <w:color w:val="auto"/>
          <w:highlight w:val="none"/>
          <w:u w:val="single"/>
        </w:rPr>
        <w:t>船舶含油废水、车间地面冲洗废水、化学清洗酸碱废水</w:t>
      </w:r>
      <w:r>
        <w:rPr>
          <w:rFonts w:hint="eastAsia"/>
          <w:color w:val="auto"/>
          <w:highlight w:val="none"/>
          <w:u w:val="single"/>
        </w:rPr>
        <w:t>等；项目浮船坞改建后，代替老旧浮船坞，坞修产生的生产废水种类和废水量与原有浮船坞相同；不会对现有污水处理站水质和水量造成影响；因此项目依托污水处理站处理坞修含油污水可行；</w:t>
      </w:r>
    </w:p>
    <w:p w14:paraId="39B0A021">
      <w:pPr>
        <w:ind w:firstLine="482"/>
        <w:rPr>
          <w:b/>
          <w:bCs/>
          <w:color w:val="auto"/>
          <w:szCs w:val="20"/>
          <w:highlight w:val="none"/>
          <w:u w:val="single"/>
        </w:rPr>
      </w:pPr>
      <w:r>
        <w:rPr>
          <w:rFonts w:hint="eastAsia"/>
          <w:b/>
          <w:bCs/>
          <w:color w:val="auto"/>
          <w:szCs w:val="20"/>
          <w:highlight w:val="none"/>
          <w:u w:val="single"/>
        </w:rPr>
        <w:t>（3）固体废物收集处理措施依托可行性</w:t>
      </w:r>
    </w:p>
    <w:p w14:paraId="47FBF019">
      <w:pPr>
        <w:ind w:firstLine="480"/>
        <w:rPr>
          <w:color w:val="auto"/>
          <w:szCs w:val="20"/>
          <w:highlight w:val="none"/>
          <w:u w:val="single"/>
        </w:rPr>
      </w:pPr>
      <w:r>
        <w:rPr>
          <w:rFonts w:hint="eastAsia"/>
          <w:color w:val="auto"/>
          <w:szCs w:val="20"/>
          <w:highlight w:val="none"/>
          <w:u w:val="single"/>
        </w:rPr>
        <w:t>本项目改建后，产生的一般固体废物依托现有的一般固体废物暂存间暂存；产生的危险废物依托现有的危废间进行暂存；后委托相应的中标单位进行处置；项目改建后，设计产能不变，坞修产生的固体废物与原项目相同；现有的一般固体废物暂存间和危废间容量满足本项目需求；因此项目依托基地陆域上现有的一般固体废物暂存间和危废间进行储存可行。</w:t>
      </w:r>
    </w:p>
    <w:p w14:paraId="2736CE51">
      <w:pPr>
        <w:pStyle w:val="7"/>
        <w:numPr>
          <w:ilvl w:val="2"/>
          <w:numId w:val="9"/>
        </w:numPr>
        <w:rPr>
          <w:color w:val="auto"/>
          <w:sz w:val="28"/>
          <w:highlight w:val="none"/>
        </w:rPr>
      </w:pPr>
      <w:r>
        <w:rPr>
          <w:color w:val="auto"/>
          <w:sz w:val="28"/>
          <w:highlight w:val="none"/>
        </w:rPr>
        <w:t>施工方案及施工计划</w:t>
      </w:r>
    </w:p>
    <w:p w14:paraId="7C95CE17">
      <w:pPr>
        <w:pStyle w:val="533"/>
        <w:numPr>
          <w:ilvl w:val="3"/>
          <w:numId w:val="9"/>
        </w:numPr>
        <w:rPr>
          <w:color w:val="auto"/>
          <w:szCs w:val="24"/>
          <w:highlight w:val="none"/>
        </w:rPr>
      </w:pPr>
      <w:r>
        <w:rPr>
          <w:color w:val="auto"/>
          <w:szCs w:val="24"/>
          <w:highlight w:val="none"/>
        </w:rPr>
        <w:t>施工方案</w:t>
      </w:r>
    </w:p>
    <w:p w14:paraId="1A10524D">
      <w:pPr>
        <w:ind w:firstLine="482"/>
        <w:rPr>
          <w:b/>
          <w:bCs/>
          <w:color w:val="auto"/>
          <w:highlight w:val="none"/>
        </w:rPr>
      </w:pPr>
      <w:r>
        <w:rPr>
          <w:b/>
          <w:bCs/>
          <w:color w:val="auto"/>
          <w:highlight w:val="none"/>
        </w:rPr>
        <w:t>（1）浮船坞配套建造场地施工方案</w:t>
      </w:r>
    </w:p>
    <w:p w14:paraId="7F3216E1">
      <w:pPr>
        <w:ind w:firstLine="480"/>
        <w:rPr>
          <w:color w:val="auto"/>
          <w:highlight w:val="none"/>
        </w:rPr>
      </w:pPr>
      <w:r>
        <w:rPr>
          <w:color w:val="auto"/>
          <w:highlight w:val="none"/>
        </w:rPr>
        <w:t>利用钦州基地现有存量土地进行新建舾装场地，改造气体、水、电管线，增加一组供电设施。</w:t>
      </w:r>
    </w:p>
    <w:p w14:paraId="3FA4BDCF">
      <w:pPr>
        <w:ind w:firstLine="480"/>
        <w:rPr>
          <w:color w:val="auto"/>
          <w:highlight w:val="none"/>
        </w:rPr>
      </w:pPr>
      <w:r>
        <w:rPr>
          <w:color w:val="auto"/>
          <w:highlight w:val="none"/>
        </w:rPr>
        <w:t>施工期依次进行土石方工程、基础施工、管线施工、验收，在此过程中施工期主要污染为废气（施工扬尘、施工车辆尾气）、废水（施工人员生活污水、施工废水）、噪声（施工机械噪声、车辆交通噪声）、固体废物（建筑垃圾、施工人员生活垃圾）等。</w:t>
      </w:r>
    </w:p>
    <w:p w14:paraId="2E1282A5">
      <w:pPr>
        <w:ind w:firstLine="482"/>
        <w:rPr>
          <w:b/>
          <w:bCs/>
          <w:color w:val="auto"/>
          <w:highlight w:val="none"/>
        </w:rPr>
      </w:pPr>
      <w:r>
        <w:rPr>
          <w:b/>
          <w:bCs/>
          <w:color w:val="auto"/>
          <w:highlight w:val="none"/>
        </w:rPr>
        <w:t>（2）浮船坞建造方案</w:t>
      </w:r>
    </w:p>
    <w:p w14:paraId="172AC29E">
      <w:pPr>
        <w:ind w:firstLine="480"/>
        <w:rPr>
          <w:color w:val="auto"/>
          <w:highlight w:val="none"/>
        </w:rPr>
      </w:pPr>
      <w:r>
        <w:rPr>
          <w:color w:val="auto"/>
          <w:highlight w:val="none"/>
        </w:rPr>
        <w:t>10万吨坞长度达到265米，宽度到55米，当前钦州基地生产资源不具备建造条件。按照钦州基地总体规划，结合满足浮船坞建造和由于建造浮船坞导致的手持造船产品生产资源被挤占后的补充需求，利用存量土地开展场地硬化、吊机轨道改造、动能源管线建设等必要条件。</w:t>
      </w:r>
    </w:p>
    <w:p w14:paraId="5E78F699">
      <w:pPr>
        <w:ind w:firstLine="480"/>
        <w:rPr>
          <w:color w:val="auto"/>
          <w:highlight w:val="none"/>
        </w:rPr>
      </w:pPr>
      <w:r>
        <w:rPr>
          <w:color w:val="auto"/>
          <w:highlight w:val="none"/>
        </w:rPr>
        <w:t>总体思路是，将10万吨浮船坞主体合拢，考虑下水的总纵强度和减轻下水重量，将安全甲板以下坞墙安装到位后再下水，下水后在码头靠泊，安装安全甲板以上结构。整体建造后，在码头进行调试，系泊试验结束移至新祥生坞坞坑位置锚泊固定。</w:t>
      </w:r>
    </w:p>
    <w:p w14:paraId="61992532">
      <w:pPr>
        <w:ind w:firstLine="480"/>
        <w:rPr>
          <w:color w:val="auto"/>
          <w:highlight w:val="none"/>
        </w:rPr>
      </w:pPr>
      <w:r>
        <w:rPr>
          <w:color w:val="auto"/>
          <w:highlight w:val="none"/>
        </w:rPr>
        <w:t>浮船坞船体采用分段制作的方式，分段制作如下：</w:t>
      </w:r>
    </w:p>
    <w:p w14:paraId="4B34D24B">
      <w:pPr>
        <w:ind w:firstLine="480"/>
        <w:rPr>
          <w:color w:val="auto"/>
          <w:highlight w:val="none"/>
        </w:rPr>
      </w:pPr>
      <w:r>
        <w:rPr>
          <w:color w:val="auto"/>
          <w:highlight w:val="none"/>
        </w:rPr>
        <w:t>①分段划分原则</w:t>
      </w:r>
    </w:p>
    <w:p w14:paraId="44746D00">
      <w:pPr>
        <w:ind w:firstLine="480"/>
        <w:rPr>
          <w:color w:val="auto"/>
          <w:highlight w:val="none"/>
        </w:rPr>
      </w:pPr>
      <w:r>
        <w:rPr>
          <w:color w:val="auto"/>
          <w:highlight w:val="none"/>
        </w:rPr>
        <w:t>利用公司现有的分段制作设备和起重能力，将分段重量基本控制在50吨以下，少数分段不超过100吨；分段的长、宽控制在20米、12米以内（使用现有涂装房情况下）；尽可能利用标板排板。</w:t>
      </w:r>
    </w:p>
    <w:p w14:paraId="4186661A">
      <w:pPr>
        <w:ind w:firstLine="480"/>
        <w:rPr>
          <w:color w:val="auto"/>
          <w:highlight w:val="none"/>
        </w:rPr>
      </w:pPr>
      <w:r>
        <w:rPr>
          <w:color w:val="auto"/>
          <w:highlight w:val="none"/>
        </w:rPr>
        <w:t>②分段建造要领</w:t>
      </w:r>
    </w:p>
    <w:p w14:paraId="5C07C9C3">
      <w:pPr>
        <w:ind w:firstLine="480"/>
        <w:rPr>
          <w:color w:val="auto"/>
          <w:highlight w:val="none"/>
        </w:rPr>
      </w:pPr>
      <w:r>
        <w:rPr>
          <w:color w:val="auto"/>
          <w:highlight w:val="none"/>
        </w:rPr>
        <w:t>所有分段采用无余量制作，合拢口单边加10mm的补偿量。</w:t>
      </w:r>
    </w:p>
    <w:p w14:paraId="31D42145">
      <w:pPr>
        <w:ind w:firstLine="480"/>
        <w:rPr>
          <w:color w:val="auto"/>
          <w:highlight w:val="none"/>
        </w:rPr>
      </w:pPr>
      <w:r>
        <w:rPr>
          <w:color w:val="auto"/>
          <w:highlight w:val="none"/>
        </w:rPr>
        <w:t>分段制作可以以底板为胎架面进行正造；下坞墙分段以外板为胎架进行侧造；上坞墙以顶甲板为胎架进行反造。</w:t>
      </w:r>
    </w:p>
    <w:p w14:paraId="320D2F55">
      <w:pPr>
        <w:ind w:firstLine="480"/>
        <w:rPr>
          <w:color w:val="auto"/>
          <w:highlight w:val="none"/>
        </w:rPr>
      </w:pPr>
      <w:r>
        <w:rPr>
          <w:color w:val="auto"/>
          <w:highlight w:val="none"/>
        </w:rPr>
        <w:t>分段制作前要做好技术交底，明确质量控制标准和精度要求；过程中严格执行相关工艺，重点控制变形及精度；由于分段高度较高，制作过程中要对合拢口进行必要的加强；过程中要控制分段完整性，铁、管、电舾装件要完整，特别要关注分段上的各类加强，浮箱分段要争取完整坞墩、护舷材；坞墙分段上要完整坞壁车轨道，检修平台；尤其要加大对泵舱分段完整性的控制，除舾装外其泵底座、泵设备、阀门、风管及大型设备都要尽可能地进舱；注重分段在堆放和运输过程中不允许叠加。</w:t>
      </w:r>
    </w:p>
    <w:p w14:paraId="3EDD8C7F">
      <w:pPr>
        <w:ind w:firstLine="480"/>
        <w:rPr>
          <w:color w:val="auto"/>
          <w:highlight w:val="none"/>
        </w:rPr>
      </w:pPr>
      <w:r>
        <w:rPr>
          <w:color w:val="auto"/>
          <w:highlight w:val="none"/>
        </w:rPr>
        <w:t>根据公司</w:t>
      </w:r>
      <w:r>
        <w:rPr>
          <w:rFonts w:hint="eastAsia"/>
          <w:color w:val="auto"/>
          <w:highlight w:val="none"/>
          <w:lang w:eastAsia="zh-CN"/>
        </w:rPr>
        <w:t>现有</w:t>
      </w:r>
      <w:r>
        <w:rPr>
          <w:color w:val="auto"/>
          <w:highlight w:val="none"/>
        </w:rPr>
        <w:t>生产资源的匹配和生产能力的分析来看，目前无法达到建造要求。需要完善生产场地及相应设备设施。生产运行部要充分考虑前期的策划工作，如图纸的准备、场地的策划、舾装件制作、分段舾装件的配套管理、分段制作的监控、完工产品的验收以及最终油漆的把关等等；提前谋划气囊下水方案，要与分包厂家对下水条件的要求和下水过程的安全保障。</w:t>
      </w:r>
    </w:p>
    <w:p w14:paraId="5463BBF4">
      <w:pPr>
        <w:ind w:firstLine="480"/>
        <w:rPr>
          <w:color w:val="auto"/>
          <w:highlight w:val="none"/>
        </w:rPr>
      </w:pPr>
      <w:r>
        <w:rPr>
          <w:color w:val="auto"/>
          <w:highlight w:val="none"/>
        </w:rPr>
        <w:t>③船台合拢</w:t>
      </w:r>
    </w:p>
    <w:p w14:paraId="112E54FD">
      <w:pPr>
        <w:ind w:firstLine="480"/>
        <w:rPr>
          <w:color w:val="auto"/>
          <w:highlight w:val="none"/>
        </w:rPr>
      </w:pPr>
      <w:r>
        <w:rPr>
          <w:color w:val="auto"/>
          <w:highlight w:val="none"/>
        </w:rPr>
        <w:t>上船台前要策划好浮箱分段的中组方案，尽可能地将泵舱分段中组，以减少船台合拢的难度；船台合拢前生产部门要牵头并结合过驳平台等产品的建造经验确定放反变形的量。合拢过程要重点控制下坞墙分段的垂直度和开口尺寸，尺寸测量时间基本统一固定，尤其是水上对接合拢口的外形尺寸要专项专人控制，必要时进行方案加强，以满足水上合拢精度要求。</w:t>
      </w:r>
    </w:p>
    <w:p w14:paraId="397F1D1E">
      <w:pPr>
        <w:ind w:firstLine="480"/>
        <w:rPr>
          <w:color w:val="auto"/>
          <w:highlight w:val="none"/>
        </w:rPr>
      </w:pPr>
      <w:r>
        <w:rPr>
          <w:color w:val="auto"/>
          <w:highlight w:val="none"/>
        </w:rPr>
        <w:t>船台合拢前要策划好天桥、坞吊靠持架制作与安装，考虑到前期的准备及制作的难度，要求工艺技术部要提前作好准备，以满足零部件的制作和船台的安装。</w:t>
      </w:r>
    </w:p>
    <w:p w14:paraId="5C8CCC02">
      <w:pPr>
        <w:ind w:firstLine="480"/>
        <w:rPr>
          <w:color w:val="auto"/>
          <w:highlight w:val="none"/>
        </w:rPr>
      </w:pPr>
      <w:r>
        <w:rPr>
          <w:color w:val="auto"/>
          <w:highlight w:val="none"/>
        </w:rPr>
        <w:t>采购中心要按设备的纳期及时供货。</w:t>
      </w:r>
    </w:p>
    <w:p w14:paraId="207B46D7">
      <w:pPr>
        <w:ind w:firstLine="480"/>
        <w:rPr>
          <w:color w:val="auto"/>
          <w:highlight w:val="none"/>
        </w:rPr>
      </w:pPr>
      <w:r>
        <w:rPr>
          <w:color w:val="auto"/>
          <w:highlight w:val="none"/>
        </w:rPr>
        <w:t>船台合拢要控制总段的完整性，下水后涉及的相关加强方案要提前考虑，如下水的结构加强、拖轮牵引加强、气囊布置等提前做好；所有基准线及调载的依据要明确清晰；坞名、公司名要完整、外表油漆要结束等。</w:t>
      </w:r>
    </w:p>
    <w:p w14:paraId="34595EFA">
      <w:pPr>
        <w:ind w:firstLine="480"/>
        <w:rPr>
          <w:color w:val="auto"/>
          <w:highlight w:val="none"/>
        </w:rPr>
      </w:pPr>
      <w:r>
        <w:rPr>
          <w:color w:val="auto"/>
          <w:highlight w:val="none"/>
        </w:rPr>
        <w:t>采用气囊方式下水，要结合以往的经验，组织召开专题会讨论，协调好各方关系，明确相关职责（尤其是安全责任的划分），参与并配合安环保卫部做好安全策划，确保平稳下水。</w:t>
      </w:r>
    </w:p>
    <w:p w14:paraId="639D717D">
      <w:pPr>
        <w:ind w:firstLine="480"/>
        <w:rPr>
          <w:color w:val="auto"/>
          <w:highlight w:val="none"/>
        </w:rPr>
      </w:pPr>
      <w:r>
        <w:rPr>
          <w:color w:val="auto"/>
          <w:highlight w:val="none"/>
        </w:rPr>
        <w:t>④码头调试：</w:t>
      </w:r>
    </w:p>
    <w:p w14:paraId="2A17ABFE">
      <w:pPr>
        <w:ind w:firstLine="480"/>
        <w:rPr>
          <w:color w:val="auto"/>
          <w:highlight w:val="none"/>
        </w:rPr>
      </w:pPr>
      <w:r>
        <w:rPr>
          <w:color w:val="auto"/>
          <w:highlight w:val="none"/>
        </w:rPr>
        <w:t>下水前要策划好码头靠泊方案，明确相关安全保障措施，制订相应的应急预案。</w:t>
      </w:r>
    </w:p>
    <w:p w14:paraId="692DF21B">
      <w:pPr>
        <w:ind w:firstLine="480"/>
        <w:rPr>
          <w:color w:val="auto"/>
          <w:highlight w:val="none"/>
        </w:rPr>
      </w:pPr>
      <w:r>
        <w:rPr>
          <w:color w:val="auto"/>
          <w:highlight w:val="none"/>
        </w:rPr>
        <w:t>技术中心要及时下发船级认可的系泊试验大纲；造船工程部要成立浮船坞水下调试组，编制码头调试计划，制订必检项目表，明确码头调试的完整性要求；下水前可以先铺设电缆，相关设备预先完整、居住舱室可以先预装，相关设备系统可操作性可征求修船事业部的要求；坞吊要及时制作，尽可能地提前码头安装调试，以便有效利用起重设施；采购中心要协调好相关服务商到公司参与调试；设备调试时船坞班要共同参与，对设备的布置要求、操作合理性等进行现场的指导和把关。</w:t>
      </w:r>
    </w:p>
    <w:p w14:paraId="22ADF6EA">
      <w:pPr>
        <w:ind w:firstLine="480"/>
        <w:rPr>
          <w:color w:val="auto"/>
          <w:highlight w:val="none"/>
        </w:rPr>
      </w:pPr>
      <w:r>
        <w:rPr>
          <w:color w:val="auto"/>
          <w:highlight w:val="none"/>
        </w:rPr>
        <w:t>码头舾装结束后，生产运行部要策划好锚泊前的准备，落实措施，确保10万吨浮船坞顺利拖至锚泊定位，最终完成沉浮坞试验。</w:t>
      </w:r>
    </w:p>
    <w:p w14:paraId="06E62137">
      <w:pPr>
        <w:ind w:firstLine="482"/>
        <w:rPr>
          <w:b/>
          <w:bCs/>
          <w:color w:val="auto"/>
          <w:highlight w:val="none"/>
        </w:rPr>
      </w:pPr>
      <w:r>
        <w:rPr>
          <w:b/>
          <w:bCs/>
          <w:color w:val="auto"/>
          <w:highlight w:val="none"/>
        </w:rPr>
        <w:t>（3）浮船坞锚泊系统施工方案</w:t>
      </w:r>
    </w:p>
    <w:p w14:paraId="4594E2EB">
      <w:pPr>
        <w:ind w:firstLine="480"/>
        <w:rPr>
          <w:color w:val="auto"/>
          <w:highlight w:val="none"/>
        </w:rPr>
      </w:pPr>
      <w:r>
        <w:rPr>
          <w:color w:val="auto"/>
          <w:highlight w:val="none"/>
        </w:rPr>
        <w:t>根据目前浮坞尺度，暂预计新增浮坞锚块5座，原浮船配备拉锚基础10座继续沿用。新增锚块采用钢筋混凝土无底方块，方块采用类似无底沉箱的结构。外壁厚500mm，内设格仓，格仓中根据配重需要填充填料，安装拉锚埋件部位采用混凝土墩体形式填实；拉锚基础下设0.5m厚二片石基床整平，每个拉锚基础方块上设置吊装孔。拉锚基础上回填厚度4~5m块石。锚块整体预制后，水上吊装安置于基床上。</w:t>
      </w:r>
    </w:p>
    <w:p w14:paraId="7BD22417">
      <w:pPr>
        <w:ind w:firstLine="482"/>
        <w:rPr>
          <w:b/>
          <w:bCs/>
          <w:color w:val="auto"/>
          <w:highlight w:val="none"/>
          <w:u w:val="single"/>
        </w:rPr>
      </w:pPr>
      <w:r>
        <w:rPr>
          <w:rFonts w:hint="eastAsia"/>
          <w:b/>
          <w:bCs/>
          <w:color w:val="auto"/>
          <w:highlight w:val="none"/>
          <w:u w:val="single"/>
        </w:rPr>
        <w:t>（4）老旧浮船坞退役处理</w:t>
      </w:r>
    </w:p>
    <w:p w14:paraId="47BF7493">
      <w:pPr>
        <w:pStyle w:val="91"/>
        <w:adjustRightInd w:val="0"/>
        <w:snapToGrid w:val="0"/>
        <w:spacing w:after="0" w:line="360" w:lineRule="auto"/>
        <w:ind w:left="0" w:leftChars="0" w:firstLine="480"/>
        <w:rPr>
          <w:rFonts w:ascii="Times New Roman" w:hAnsi="Times New Roman" w:cs="Times New Roman"/>
          <w:color w:val="auto"/>
          <w:kern w:val="0"/>
          <w:sz w:val="24"/>
          <w:highlight w:val="none"/>
          <w:u w:val="single"/>
        </w:rPr>
      </w:pPr>
      <w:r>
        <w:rPr>
          <w:rFonts w:hint="eastAsia" w:ascii="Times New Roman" w:hAnsi="Times New Roman" w:cs="Times New Roman"/>
          <w:color w:val="auto"/>
          <w:kern w:val="0"/>
          <w:sz w:val="24"/>
          <w:highlight w:val="none"/>
          <w:u w:val="single"/>
        </w:rPr>
        <w:t>本次建设的10万吨级浮船坞建成后，老旧浮船坞将整船退役，本次评价不含浮船坞退役后处置评价。浮船坞退役前初期雨水池内初期雨水需排空，引入生活污水处理一体化设备处理进入中水回用池储存，初期雨水池内沉渣清理后交由环卫部门统一收集处理。</w:t>
      </w:r>
    </w:p>
    <w:p w14:paraId="16E80CBD">
      <w:pPr>
        <w:pStyle w:val="533"/>
        <w:numPr>
          <w:ilvl w:val="3"/>
          <w:numId w:val="9"/>
        </w:numPr>
        <w:rPr>
          <w:color w:val="auto"/>
          <w:szCs w:val="24"/>
          <w:highlight w:val="none"/>
        </w:rPr>
      </w:pPr>
      <w:r>
        <w:rPr>
          <w:color w:val="auto"/>
          <w:szCs w:val="24"/>
          <w:highlight w:val="none"/>
        </w:rPr>
        <w:t>施工进度</w:t>
      </w:r>
    </w:p>
    <w:p w14:paraId="5F3D6043">
      <w:pPr>
        <w:ind w:firstLine="480"/>
        <w:rPr>
          <w:color w:val="auto"/>
          <w:highlight w:val="none"/>
        </w:rPr>
      </w:pPr>
      <w:r>
        <w:rPr>
          <w:color w:val="auto"/>
          <w:highlight w:val="none"/>
        </w:rPr>
        <w:t>项目建设总工期为36个月。</w:t>
      </w:r>
    </w:p>
    <w:p w14:paraId="50A2CD9E">
      <w:pPr>
        <w:ind w:firstLine="480"/>
        <w:rPr>
          <w:color w:val="auto"/>
          <w:highlight w:val="none"/>
        </w:rPr>
      </w:pPr>
      <w:r>
        <w:rPr>
          <w:color w:val="auto"/>
          <w:highlight w:val="none"/>
        </w:rPr>
        <w:t>本项目建设周期主要取决于浮船坞的建造周期，本项目整体各阶段周期计划如下：</w:t>
      </w:r>
    </w:p>
    <w:p w14:paraId="10B71A17">
      <w:pPr>
        <w:ind w:firstLine="480"/>
        <w:rPr>
          <w:color w:val="auto"/>
          <w:highlight w:val="none"/>
        </w:rPr>
      </w:pPr>
      <w:r>
        <w:rPr>
          <w:color w:val="auto"/>
          <w:highlight w:val="none"/>
        </w:rPr>
        <w:t>（1）项目前期工作：2个月</w:t>
      </w:r>
    </w:p>
    <w:p w14:paraId="5B70A937">
      <w:pPr>
        <w:ind w:firstLine="480"/>
        <w:rPr>
          <w:color w:val="auto"/>
          <w:highlight w:val="none"/>
        </w:rPr>
      </w:pPr>
      <w:r>
        <w:rPr>
          <w:color w:val="auto"/>
          <w:highlight w:val="none"/>
        </w:rPr>
        <w:t>（2）初步设计、施工图设计及审图、浮船坞非标设计：3个月</w:t>
      </w:r>
    </w:p>
    <w:p w14:paraId="0C187A0D">
      <w:pPr>
        <w:ind w:firstLine="480"/>
        <w:rPr>
          <w:color w:val="auto"/>
          <w:highlight w:val="none"/>
        </w:rPr>
      </w:pPr>
      <w:r>
        <w:rPr>
          <w:color w:val="auto"/>
          <w:highlight w:val="none"/>
        </w:rPr>
        <w:t>（3）招标：1个月</w:t>
      </w:r>
    </w:p>
    <w:p w14:paraId="220EFAC0">
      <w:pPr>
        <w:ind w:firstLine="480"/>
        <w:rPr>
          <w:color w:val="auto"/>
          <w:highlight w:val="none"/>
        </w:rPr>
      </w:pPr>
      <w:r>
        <w:rPr>
          <w:color w:val="auto"/>
          <w:highlight w:val="none"/>
        </w:rPr>
        <w:t>（4）浮船坞建造、土建工程施工：16个月</w:t>
      </w:r>
    </w:p>
    <w:p w14:paraId="33B649CE">
      <w:pPr>
        <w:ind w:firstLine="480"/>
        <w:rPr>
          <w:color w:val="auto"/>
          <w:highlight w:val="none"/>
        </w:rPr>
      </w:pPr>
      <w:r>
        <w:rPr>
          <w:color w:val="auto"/>
          <w:highlight w:val="none"/>
        </w:rPr>
        <w:t>（5）设备调试、取证：5个月</w:t>
      </w:r>
    </w:p>
    <w:p w14:paraId="733A2432">
      <w:pPr>
        <w:ind w:firstLine="480"/>
        <w:rPr>
          <w:color w:val="auto"/>
          <w:highlight w:val="none"/>
        </w:rPr>
      </w:pPr>
      <w:r>
        <w:rPr>
          <w:color w:val="auto"/>
          <w:highlight w:val="none"/>
        </w:rPr>
        <w:t>（6）竣工验收、资料归档等：9个月。</w:t>
      </w:r>
    </w:p>
    <w:p w14:paraId="188B937E">
      <w:pPr>
        <w:ind w:firstLine="0" w:firstLineChars="0"/>
        <w:jc w:val="center"/>
        <w:rPr>
          <w:b/>
          <w:color w:val="auto"/>
          <w:sz w:val="21"/>
          <w:szCs w:val="21"/>
          <w:highlight w:val="none"/>
        </w:rPr>
        <w:sectPr>
          <w:pgSz w:w="11906" w:h="16838"/>
          <w:pgMar w:top="1559" w:right="1418" w:bottom="1503" w:left="1418" w:header="851" w:footer="964" w:gutter="0"/>
          <w:cols w:space="720" w:num="1"/>
          <w:docGrid w:linePitch="326" w:charSpace="0"/>
        </w:sectPr>
      </w:pPr>
    </w:p>
    <w:p w14:paraId="3DA61008">
      <w:pPr>
        <w:pStyle w:val="6"/>
        <w:numPr>
          <w:ilvl w:val="1"/>
          <w:numId w:val="9"/>
        </w:numPr>
        <w:rPr>
          <w:color w:val="auto"/>
          <w:sz w:val="32"/>
          <w:szCs w:val="32"/>
          <w:highlight w:val="none"/>
        </w:rPr>
      </w:pPr>
      <w:bookmarkStart w:id="106" w:name="_Toc33967105"/>
      <w:bookmarkStart w:id="107" w:name="_Toc13955"/>
      <w:bookmarkStart w:id="108" w:name="_Toc7005"/>
      <w:bookmarkStart w:id="109" w:name="_Toc33967209"/>
      <w:bookmarkStart w:id="110" w:name="_Toc263762017"/>
      <w:bookmarkStart w:id="111" w:name="_Toc475975354"/>
      <w:r>
        <w:rPr>
          <w:color w:val="auto"/>
          <w:sz w:val="32"/>
          <w:szCs w:val="32"/>
          <w:highlight w:val="none"/>
        </w:rPr>
        <w:t>工艺流程及环境影响因素分析</w:t>
      </w:r>
      <w:bookmarkEnd w:id="106"/>
      <w:bookmarkEnd w:id="107"/>
      <w:bookmarkEnd w:id="108"/>
      <w:bookmarkEnd w:id="109"/>
      <w:bookmarkEnd w:id="110"/>
    </w:p>
    <w:p w14:paraId="26C1D2C8">
      <w:pPr>
        <w:pStyle w:val="7"/>
        <w:numPr>
          <w:ilvl w:val="2"/>
          <w:numId w:val="9"/>
        </w:numPr>
        <w:rPr>
          <w:color w:val="auto"/>
          <w:sz w:val="28"/>
          <w:highlight w:val="none"/>
        </w:rPr>
      </w:pPr>
      <w:r>
        <w:rPr>
          <w:color w:val="auto"/>
          <w:sz w:val="28"/>
          <w:highlight w:val="none"/>
        </w:rPr>
        <w:t>施工期施工流程及环境影响因素分析</w:t>
      </w:r>
    </w:p>
    <w:p w14:paraId="74C00E42">
      <w:pPr>
        <w:ind w:firstLine="482"/>
        <w:rPr>
          <w:b/>
          <w:bCs/>
          <w:color w:val="auto"/>
          <w:highlight w:val="none"/>
        </w:rPr>
      </w:pPr>
      <w:r>
        <w:rPr>
          <w:b/>
          <w:bCs/>
          <w:color w:val="auto"/>
          <w:highlight w:val="none"/>
        </w:rPr>
        <w:t>（1）浮船坞配套建造场地施工工艺流程及环境影响因素分析</w:t>
      </w:r>
    </w:p>
    <w:p w14:paraId="06EFDE62">
      <w:pPr>
        <w:ind w:firstLine="480"/>
        <w:rPr>
          <w:color w:val="auto"/>
          <w:highlight w:val="none"/>
        </w:rPr>
      </w:pPr>
      <w:r>
        <w:rPr>
          <w:color w:val="auto"/>
          <w:highlight w:val="none"/>
        </w:rPr>
        <w:t>浮船坞配套建造场地施工依次进行土石方工程、基础施工、管线施工、验收，在此过程中施工期主要污染为废气（施工扬尘、施工车辆废气、交通扬尘）、废水（施工人员生活污水）、噪声（施工机械噪声、车辆交通噪声）、固体废物（建筑垃圾、施工人员生活垃圾）等。</w:t>
      </w:r>
    </w:p>
    <w:p w14:paraId="3B33185D">
      <w:pPr>
        <w:pStyle w:val="38"/>
        <w:spacing w:after="0" w:line="240" w:lineRule="auto"/>
        <w:ind w:firstLine="0" w:firstLineChars="0"/>
        <w:jc w:val="center"/>
        <w:rPr>
          <w:b/>
          <w:color w:val="auto"/>
          <w:sz w:val="21"/>
          <w:szCs w:val="21"/>
          <w:highlight w:val="none"/>
        </w:rPr>
      </w:pPr>
      <w:r>
        <w:rPr>
          <w:b/>
          <w:color w:val="auto"/>
          <w:sz w:val="21"/>
          <w:szCs w:val="21"/>
          <w:highlight w:val="none"/>
        </w:rPr>
        <mc:AlternateContent>
          <mc:Choice Requires="wpg">
            <w:drawing>
              <wp:inline distT="0" distB="0" distL="114300" distR="114300">
                <wp:extent cx="5694680" cy="1822450"/>
                <wp:effectExtent l="5080" t="4445" r="15240" b="20955"/>
                <wp:docPr id="115" name="组合 115"/>
                <wp:cNvGraphicFramePr/>
                <a:graphic xmlns:a="http://schemas.openxmlformats.org/drawingml/2006/main">
                  <a:graphicData uri="http://schemas.microsoft.com/office/word/2010/wordprocessingGroup">
                    <wpg:wgp>
                      <wpg:cNvGrpSpPr/>
                      <wpg:grpSpPr>
                        <a:xfrm>
                          <a:off x="0" y="0"/>
                          <a:ext cx="5694680" cy="1822450"/>
                          <a:chOff x="714" y="2106"/>
                          <a:chExt cx="8968" cy="2870"/>
                        </a:xfrm>
                      </wpg:grpSpPr>
                      <wps:wsp>
                        <wps:cNvPr id="23" name="文本框 23"/>
                        <wps:cNvSpPr txBox="1"/>
                        <wps:spPr>
                          <a:xfrm>
                            <a:off x="714" y="2117"/>
                            <a:ext cx="3736" cy="453"/>
                          </a:xfrm>
                          <a:prstGeom prst="rect">
                            <a:avLst/>
                          </a:prstGeom>
                          <a:solidFill>
                            <a:srgbClr val="FFFFFF"/>
                          </a:solidFill>
                          <a:ln w="9525" cap="flat" cmpd="sng">
                            <a:solidFill>
                              <a:schemeClr val="tx1"/>
                            </a:solidFill>
                            <a:prstDash val="dashDot"/>
                            <a:miter/>
                            <a:headEnd type="none" w="med" len="med"/>
                            <a:tailEnd type="none" w="med" len="med"/>
                          </a:ln>
                        </wps:spPr>
                        <wps:txbx>
                          <w:txbxContent>
                            <w:p w14:paraId="6D6E2421">
                              <w:pPr>
                                <w:spacing w:line="240" w:lineRule="auto"/>
                                <w:ind w:firstLine="0" w:firstLineChars="0"/>
                                <w:jc w:val="center"/>
                                <w:rPr>
                                  <w:sz w:val="21"/>
                                  <w:szCs w:val="21"/>
                                </w:rPr>
                              </w:pPr>
                              <w:r>
                                <w:rPr>
                                  <w:rFonts w:hint="eastAsia"/>
                                  <w:sz w:val="21"/>
                                  <w:szCs w:val="21"/>
                                </w:rPr>
                                <w:t>施工车辆废气、交通扬尘、交通噪声</w:t>
                              </w:r>
                            </w:p>
                          </w:txbxContent>
                        </wps:txbx>
                        <wps:bodyPr upright="1"/>
                      </wps:wsp>
                      <wps:wsp>
                        <wps:cNvPr id="25" name="文本框 25"/>
                        <wps:cNvSpPr txBox="1"/>
                        <wps:spPr>
                          <a:xfrm>
                            <a:off x="1778" y="3134"/>
                            <a:ext cx="1735" cy="780"/>
                          </a:xfrm>
                          <a:prstGeom prst="rect">
                            <a:avLst/>
                          </a:prstGeom>
                          <a:solidFill>
                            <a:srgbClr val="FFFFFF"/>
                          </a:solidFill>
                          <a:ln w="9525" cap="flat" cmpd="sng">
                            <a:solidFill>
                              <a:schemeClr val="tx1"/>
                            </a:solidFill>
                            <a:prstDash val="solid"/>
                            <a:miter/>
                            <a:headEnd type="none" w="med" len="med"/>
                            <a:tailEnd type="none" w="med" len="med"/>
                          </a:ln>
                        </wps:spPr>
                        <wps:txbx>
                          <w:txbxContent>
                            <w:p w14:paraId="30826F58">
                              <w:pPr>
                                <w:spacing w:line="240" w:lineRule="auto"/>
                                <w:ind w:firstLine="0" w:firstLineChars="0"/>
                                <w:jc w:val="center"/>
                                <w:rPr>
                                  <w:sz w:val="21"/>
                                  <w:szCs w:val="21"/>
                                </w:rPr>
                              </w:pPr>
                              <w:r>
                                <w:rPr>
                                  <w:rFonts w:hint="eastAsia"/>
                                  <w:sz w:val="21"/>
                                  <w:szCs w:val="21"/>
                                </w:rPr>
                                <w:t>施工机械进场施工物料运输</w:t>
                              </w:r>
                            </w:p>
                          </w:txbxContent>
                        </wps:txbx>
                        <wps:bodyPr upright="1"/>
                      </wps:wsp>
                      <wps:wsp>
                        <wps:cNvPr id="90" name="文本框 90"/>
                        <wps:cNvSpPr txBox="1"/>
                        <wps:spPr>
                          <a:xfrm>
                            <a:off x="4275" y="3192"/>
                            <a:ext cx="2347" cy="669"/>
                          </a:xfrm>
                          <a:prstGeom prst="rect">
                            <a:avLst/>
                          </a:prstGeom>
                          <a:solidFill>
                            <a:srgbClr val="FFFFFF"/>
                          </a:solidFill>
                          <a:ln w="9525" cap="flat" cmpd="sng">
                            <a:solidFill>
                              <a:schemeClr val="tx1"/>
                            </a:solidFill>
                            <a:prstDash val="solid"/>
                            <a:miter/>
                            <a:headEnd type="none" w="med" len="med"/>
                            <a:tailEnd type="none" w="med" len="med"/>
                          </a:ln>
                        </wps:spPr>
                        <wps:txbx>
                          <w:txbxContent>
                            <w:p w14:paraId="03F46725">
                              <w:pPr>
                                <w:spacing w:line="240" w:lineRule="auto"/>
                                <w:ind w:firstLine="0" w:firstLineChars="0"/>
                                <w:jc w:val="center"/>
                                <w:rPr>
                                  <w:sz w:val="21"/>
                                  <w:szCs w:val="21"/>
                                </w:rPr>
                              </w:pPr>
                              <w:r>
                                <w:rPr>
                                  <w:rFonts w:hint="eastAsia"/>
                                  <w:sz w:val="21"/>
                                  <w:szCs w:val="21"/>
                                </w:rPr>
                                <w:t>场地平整、基础施工、道路和管线等施工</w:t>
                              </w:r>
                            </w:p>
                          </w:txbxContent>
                        </wps:txbx>
                        <wps:bodyPr upright="1"/>
                      </wps:wsp>
                      <wps:wsp>
                        <wps:cNvPr id="91" name="文本框 91"/>
                        <wps:cNvSpPr txBox="1"/>
                        <wps:spPr>
                          <a:xfrm>
                            <a:off x="4664" y="2106"/>
                            <a:ext cx="3502" cy="454"/>
                          </a:xfrm>
                          <a:prstGeom prst="rect">
                            <a:avLst/>
                          </a:prstGeom>
                          <a:solidFill>
                            <a:srgbClr val="FFFFFF"/>
                          </a:solidFill>
                          <a:ln w="9525" cap="flat" cmpd="sng">
                            <a:solidFill>
                              <a:schemeClr val="tx1"/>
                            </a:solidFill>
                            <a:prstDash val="dashDot"/>
                            <a:miter/>
                            <a:headEnd type="none" w="med" len="med"/>
                            <a:tailEnd type="none" w="med" len="med"/>
                          </a:ln>
                        </wps:spPr>
                        <wps:txbx>
                          <w:txbxContent>
                            <w:p w14:paraId="07456CF5">
                              <w:pPr>
                                <w:spacing w:line="240" w:lineRule="auto"/>
                                <w:ind w:firstLine="0" w:firstLineChars="0"/>
                                <w:jc w:val="center"/>
                                <w:rPr>
                                  <w:sz w:val="21"/>
                                  <w:szCs w:val="21"/>
                                </w:rPr>
                              </w:pPr>
                              <w:r>
                                <w:rPr>
                                  <w:rFonts w:hint="eastAsia"/>
                                  <w:sz w:val="21"/>
                                  <w:szCs w:val="21"/>
                                </w:rPr>
                                <w:t>施工粉尘、建筑垃圾、施工噪声</w:t>
                              </w:r>
                            </w:p>
                          </w:txbxContent>
                        </wps:txbx>
                        <wps:bodyPr upright="1"/>
                      </wps:wsp>
                      <wps:wsp>
                        <wps:cNvPr id="92" name="文本框 92"/>
                        <wps:cNvSpPr txBox="1"/>
                        <wps:spPr>
                          <a:xfrm>
                            <a:off x="3784" y="4524"/>
                            <a:ext cx="3361" cy="452"/>
                          </a:xfrm>
                          <a:prstGeom prst="rect">
                            <a:avLst/>
                          </a:prstGeom>
                          <a:solidFill>
                            <a:srgbClr val="FFFFFF"/>
                          </a:solidFill>
                          <a:ln w="9525" cap="flat" cmpd="sng">
                            <a:solidFill>
                              <a:schemeClr val="tx1"/>
                            </a:solidFill>
                            <a:prstDash val="dashDot"/>
                            <a:miter/>
                            <a:headEnd type="none" w="med" len="med"/>
                            <a:tailEnd type="none" w="med" len="med"/>
                          </a:ln>
                        </wps:spPr>
                        <wps:txbx>
                          <w:txbxContent>
                            <w:p w14:paraId="5A1B44BA">
                              <w:pPr>
                                <w:spacing w:line="240" w:lineRule="auto"/>
                                <w:ind w:firstLine="0" w:firstLineChars="0"/>
                                <w:jc w:val="center"/>
                                <w:rPr>
                                  <w:sz w:val="21"/>
                                  <w:szCs w:val="21"/>
                                </w:rPr>
                              </w:pPr>
                              <w:r>
                                <w:rPr>
                                  <w:rFonts w:hint="eastAsia"/>
                                  <w:sz w:val="21"/>
                                  <w:szCs w:val="21"/>
                                </w:rPr>
                                <w:t>施工人员生活污水、生活垃圾</w:t>
                              </w:r>
                            </w:p>
                          </w:txbxContent>
                        </wps:txbx>
                        <wps:bodyPr upright="1"/>
                      </wps:wsp>
                      <wps:wsp>
                        <wps:cNvPr id="93" name="文本框 93"/>
                        <wps:cNvSpPr txBox="1"/>
                        <wps:spPr>
                          <a:xfrm>
                            <a:off x="7418" y="3324"/>
                            <a:ext cx="2264" cy="454"/>
                          </a:xfrm>
                          <a:prstGeom prst="rect">
                            <a:avLst/>
                          </a:prstGeom>
                          <a:solidFill>
                            <a:srgbClr val="FFFFFF"/>
                          </a:solidFill>
                          <a:ln w="9525" cap="flat" cmpd="sng">
                            <a:solidFill>
                              <a:schemeClr val="tx1"/>
                            </a:solidFill>
                            <a:prstDash val="solid"/>
                            <a:miter/>
                            <a:headEnd type="none" w="med" len="med"/>
                            <a:tailEnd type="none" w="med" len="med"/>
                          </a:ln>
                        </wps:spPr>
                        <wps:txbx>
                          <w:txbxContent>
                            <w:p w14:paraId="244460ED">
                              <w:pPr>
                                <w:ind w:firstLine="0" w:firstLineChars="0"/>
                                <w:jc w:val="center"/>
                                <w:rPr>
                                  <w:sz w:val="21"/>
                                  <w:szCs w:val="21"/>
                                </w:rPr>
                              </w:pPr>
                              <w:r>
                                <w:rPr>
                                  <w:rFonts w:hint="eastAsia"/>
                                  <w:sz w:val="21"/>
                                  <w:szCs w:val="21"/>
                                </w:rPr>
                                <w:t>竣工后施工机械退场</w:t>
                              </w:r>
                            </w:p>
                          </w:txbxContent>
                        </wps:txbx>
                        <wps:bodyPr upright="1"/>
                      </wps:wsp>
                      <wps:wsp>
                        <wps:cNvPr id="94" name="直接连接符 94"/>
                        <wps:cNvCnPr/>
                        <wps:spPr>
                          <a:xfrm>
                            <a:off x="6669" y="3552"/>
                            <a:ext cx="720" cy="2"/>
                          </a:xfrm>
                          <a:prstGeom prst="line">
                            <a:avLst/>
                          </a:prstGeom>
                          <a:ln w="9525" cap="flat" cmpd="sng">
                            <a:solidFill>
                              <a:schemeClr val="tx1"/>
                            </a:solidFill>
                            <a:prstDash val="solid"/>
                            <a:headEnd type="none" w="med" len="med"/>
                            <a:tailEnd type="triangle" w="med" len="med"/>
                          </a:ln>
                        </wps:spPr>
                        <wps:bodyPr/>
                      </wps:wsp>
                      <wps:wsp>
                        <wps:cNvPr id="95" name="直接连接符 95"/>
                        <wps:cNvCnPr/>
                        <wps:spPr>
                          <a:xfrm flipV="1">
                            <a:off x="2678" y="2510"/>
                            <a:ext cx="2" cy="624"/>
                          </a:xfrm>
                          <a:prstGeom prst="line">
                            <a:avLst/>
                          </a:prstGeom>
                          <a:ln w="9525" cap="flat" cmpd="sng">
                            <a:solidFill>
                              <a:schemeClr val="tx1"/>
                            </a:solidFill>
                            <a:prstDash val="solid"/>
                            <a:headEnd type="none" w="med" len="med"/>
                            <a:tailEnd type="triangle" w="med" len="med"/>
                          </a:ln>
                        </wps:spPr>
                        <wps:bodyPr/>
                      </wps:wsp>
                      <wps:wsp>
                        <wps:cNvPr id="96" name="直接连接符 96"/>
                        <wps:cNvCnPr/>
                        <wps:spPr>
                          <a:xfrm>
                            <a:off x="5168" y="3982"/>
                            <a:ext cx="1" cy="556"/>
                          </a:xfrm>
                          <a:prstGeom prst="line">
                            <a:avLst/>
                          </a:prstGeom>
                          <a:ln w="9525" cap="flat" cmpd="sng">
                            <a:solidFill>
                              <a:schemeClr val="tx1"/>
                            </a:solidFill>
                            <a:prstDash val="solid"/>
                            <a:headEnd type="none" w="med" len="med"/>
                            <a:tailEnd type="triangle" w="med" len="med"/>
                          </a:ln>
                        </wps:spPr>
                        <wps:bodyPr/>
                      </wps:wsp>
                      <wps:wsp>
                        <wps:cNvPr id="104" name="直接连接符 104"/>
                        <wps:cNvCnPr/>
                        <wps:spPr>
                          <a:xfrm>
                            <a:off x="3551" y="3528"/>
                            <a:ext cx="720" cy="1"/>
                          </a:xfrm>
                          <a:prstGeom prst="line">
                            <a:avLst/>
                          </a:prstGeom>
                          <a:ln w="9525" cap="flat" cmpd="sng">
                            <a:solidFill>
                              <a:schemeClr val="tx1"/>
                            </a:solidFill>
                            <a:prstDash val="solid"/>
                            <a:headEnd type="none" w="med" len="med"/>
                            <a:tailEnd type="triangle" w="med" len="med"/>
                          </a:ln>
                        </wps:spPr>
                        <wps:bodyPr/>
                      </wps:wsp>
                      <wps:wsp>
                        <wps:cNvPr id="107" name="直接连接符 107"/>
                        <wps:cNvCnPr/>
                        <wps:spPr>
                          <a:xfrm flipV="1">
                            <a:off x="5228" y="2563"/>
                            <a:ext cx="1" cy="624"/>
                          </a:xfrm>
                          <a:prstGeom prst="line">
                            <a:avLst/>
                          </a:prstGeom>
                          <a:ln w="9525" cap="flat" cmpd="sng">
                            <a:solidFill>
                              <a:schemeClr val="tx1"/>
                            </a:solidFill>
                            <a:prstDash val="solid"/>
                            <a:headEnd type="none" w="med" len="med"/>
                            <a:tailEnd type="triangle" w="med" len="med"/>
                          </a:ln>
                        </wps:spPr>
                        <wps:bodyPr/>
                      </wps:wsp>
                    </wpg:wgp>
                  </a:graphicData>
                </a:graphic>
              </wp:inline>
            </w:drawing>
          </mc:Choice>
          <mc:Fallback>
            <w:pict>
              <v:group id="_x0000_s1026" o:spid="_x0000_s1026" o:spt="203" style="height:143.5pt;width:448.4pt;" coordorigin="714,2106" coordsize="8968,2870" o:gfxdata="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">
                <o:lock v:ext="edit" aspectratio="f"/>
                <v:shape id="_x0000_s1026" o:spid="_x0000_s1026" o:spt="202" type="#_x0000_t202" style="position:absolute;left:714;top:2117;height:453;width:3736;" fillcolor="#FFFFFF" filled="t" stroked="t" coordsize="21600,21600" o:gfxdata="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qiP28AAAA&#10;2wAAAA8AAAAAAAAAAQAgAAAAIgAAAGRycy9kb3ducmV2LnhtbFBLAQIUABQAAAAIAIdO4kAzLwWe&#10;OwAAADkAAAAQAAAAAAAAAAEAIAAAAAsBAABkcnMvc2hhcGV4bWwueG1sUEsFBgAAAAAGAAYAWwEA&#10;ALUDAAAAAA==&#10;">
                  <v:fill on="t" focussize="0,0"/>
                  <v:stroke color="#000000 [3213]" joinstyle="miter" dashstyle="dashDot"/>
                  <v:imagedata o:title=""/>
                  <o:lock v:ext="edit" aspectratio="f"/>
                  <v:textbox>
                    <w:txbxContent>
                      <w:p w14:paraId="6D6E2421">
                        <w:pPr>
                          <w:spacing w:line="240" w:lineRule="auto"/>
                          <w:ind w:firstLine="0" w:firstLineChars="0"/>
                          <w:jc w:val="center"/>
                          <w:rPr>
                            <w:sz w:val="21"/>
                            <w:szCs w:val="21"/>
                          </w:rPr>
                        </w:pPr>
                        <w:r>
                          <w:rPr>
                            <w:rFonts w:hint="eastAsia"/>
                            <w:sz w:val="21"/>
                            <w:szCs w:val="21"/>
                          </w:rPr>
                          <w:t>施工车辆废气、交通扬尘、交通噪声</w:t>
                        </w:r>
                      </w:p>
                    </w:txbxContent>
                  </v:textbox>
                </v:shape>
                <v:shape id="_x0000_s1026" o:spid="_x0000_s1026" o:spt="202" type="#_x0000_t202" style="position:absolute;left:1778;top:3134;height:780;width:1735;" fillcolor="#FFFFFF" filled="t" stroked="t" coordsize="21600,21600" o:gfxdata="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X7b8vQAA&#10;ANsAAAAPAAAAAAAAAAEAIAAAACIAAABkcnMvZG93bnJldi54bWxQSwECFAAUAAAACACHTuJAMy8F&#10;njsAAAA5AAAAEAAAAAAAAAABACAAAAAMAQAAZHJzL3NoYXBleG1sLnhtbFBLBQYAAAAABgAGAFsB&#10;AAC2AwAAAAA=&#10;">
                  <v:fill on="t" focussize="0,0"/>
                  <v:stroke color="#000000 [3213]" joinstyle="miter"/>
                  <v:imagedata o:title=""/>
                  <o:lock v:ext="edit" aspectratio="f"/>
                  <v:textbox>
                    <w:txbxContent>
                      <w:p w14:paraId="30826F58">
                        <w:pPr>
                          <w:spacing w:line="240" w:lineRule="auto"/>
                          <w:ind w:firstLine="0" w:firstLineChars="0"/>
                          <w:jc w:val="center"/>
                          <w:rPr>
                            <w:sz w:val="21"/>
                            <w:szCs w:val="21"/>
                          </w:rPr>
                        </w:pPr>
                        <w:r>
                          <w:rPr>
                            <w:rFonts w:hint="eastAsia"/>
                            <w:sz w:val="21"/>
                            <w:szCs w:val="21"/>
                          </w:rPr>
                          <w:t>施工机械进场施工物料运输</w:t>
                        </w:r>
                      </w:p>
                    </w:txbxContent>
                  </v:textbox>
                </v:shape>
                <v:shape id="_x0000_s1026" o:spid="_x0000_s1026" o:spt="202" type="#_x0000_t202" style="position:absolute;left:4275;top:3192;height:669;width:2347;" fillcolor="#FFFFFF" filled="t" stroked="t" coordsize="21600,21600" o:gfxdata="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SX3IO8AAAA&#10;2wAAAA8AAAAAAAAAAQAgAAAAIgAAAGRycy9kb3ducmV2LnhtbFBLAQIUABQAAAAIAIdO4kAzLwWe&#10;OwAAADkAAAAQAAAAAAAAAAEAIAAAAAsBAABkcnMvc2hhcGV4bWwueG1sUEsFBgAAAAAGAAYAWwEA&#10;ALUDAAAAAA==&#10;">
                  <v:fill on="t" focussize="0,0"/>
                  <v:stroke color="#000000 [3213]" joinstyle="miter"/>
                  <v:imagedata o:title=""/>
                  <o:lock v:ext="edit" aspectratio="f"/>
                  <v:textbox>
                    <w:txbxContent>
                      <w:p w14:paraId="03F46725">
                        <w:pPr>
                          <w:spacing w:line="240" w:lineRule="auto"/>
                          <w:ind w:firstLine="0" w:firstLineChars="0"/>
                          <w:jc w:val="center"/>
                          <w:rPr>
                            <w:sz w:val="21"/>
                            <w:szCs w:val="21"/>
                          </w:rPr>
                        </w:pPr>
                        <w:r>
                          <w:rPr>
                            <w:rFonts w:hint="eastAsia"/>
                            <w:sz w:val="21"/>
                            <w:szCs w:val="21"/>
                          </w:rPr>
                          <w:t>场地平整、基础施工、道路和管线等施工</w:t>
                        </w:r>
                      </w:p>
                    </w:txbxContent>
                  </v:textbox>
                </v:shape>
                <v:shape id="_x0000_s1026" o:spid="_x0000_s1026" o:spt="202" type="#_x0000_t202" style="position:absolute;left:4664;top:2106;height:454;width:3502;" fillcolor="#FFFFFF" filled="t" stroked="t" coordsize="21600,21600" o:gfxdata="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OLeva8AAAA&#10;2wAAAA8AAAAAAAAAAQAgAAAAIgAAAGRycy9kb3ducmV2LnhtbFBLAQIUABQAAAAIAIdO4kAzLwWe&#10;OwAAADkAAAAQAAAAAAAAAAEAIAAAAAsBAABkcnMvc2hhcGV4bWwueG1sUEsFBgAAAAAGAAYAWwEA&#10;ALUDAAAAAA==&#10;">
                  <v:fill on="t" focussize="0,0"/>
                  <v:stroke color="#000000 [3213]" joinstyle="miter" dashstyle="dashDot"/>
                  <v:imagedata o:title=""/>
                  <o:lock v:ext="edit" aspectratio="f"/>
                  <v:textbox>
                    <w:txbxContent>
                      <w:p w14:paraId="07456CF5">
                        <w:pPr>
                          <w:spacing w:line="240" w:lineRule="auto"/>
                          <w:ind w:firstLine="0" w:firstLineChars="0"/>
                          <w:jc w:val="center"/>
                          <w:rPr>
                            <w:sz w:val="21"/>
                            <w:szCs w:val="21"/>
                          </w:rPr>
                        </w:pPr>
                        <w:r>
                          <w:rPr>
                            <w:rFonts w:hint="eastAsia"/>
                            <w:sz w:val="21"/>
                            <w:szCs w:val="21"/>
                          </w:rPr>
                          <w:t>施工粉尘、建筑垃圾、施工噪声</w:t>
                        </w:r>
                      </w:p>
                    </w:txbxContent>
                  </v:textbox>
                </v:shape>
                <v:shape id="_x0000_s1026" o:spid="_x0000_s1026" o:spt="202" type="#_x0000_t202" style="position:absolute;left:3784;top:4524;height:452;width:3361;" fillcolor="#FFFFFF" filled="t" stroked="t" coordsize="21600,21600" o:gfxdata="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WeSBvQAA&#10;ANsAAAAPAAAAAAAAAAEAIAAAACIAAABkcnMvZG93bnJldi54bWxQSwECFAAUAAAACACHTuJAMy8F&#10;njsAAAA5AAAAEAAAAAAAAAABACAAAAAMAQAAZHJzL3NoYXBleG1sLnhtbFBLBQYAAAAABgAGAFsB&#10;AAC2AwAAAAA=&#10;">
                  <v:fill on="t" focussize="0,0"/>
                  <v:stroke color="#000000 [3213]" joinstyle="miter" dashstyle="dashDot"/>
                  <v:imagedata o:title=""/>
                  <o:lock v:ext="edit" aspectratio="f"/>
                  <v:textbox>
                    <w:txbxContent>
                      <w:p w14:paraId="5A1B44BA">
                        <w:pPr>
                          <w:spacing w:line="240" w:lineRule="auto"/>
                          <w:ind w:firstLine="0" w:firstLineChars="0"/>
                          <w:jc w:val="center"/>
                          <w:rPr>
                            <w:sz w:val="21"/>
                            <w:szCs w:val="21"/>
                          </w:rPr>
                        </w:pPr>
                        <w:r>
                          <w:rPr>
                            <w:rFonts w:hint="eastAsia"/>
                            <w:sz w:val="21"/>
                            <w:szCs w:val="21"/>
                          </w:rPr>
                          <w:t>施工人员生活污水、生活垃圾</w:t>
                        </w:r>
                      </w:p>
                    </w:txbxContent>
                  </v:textbox>
                </v:shape>
                <v:shape id="_x0000_s1026" o:spid="_x0000_s1026" o:spt="202" type="#_x0000_t202" style="position:absolute;left:7418;top:3324;height:454;width:2264;" fillcolor="#FFFFFF" filled="t" stroked="t" coordsize="21600,21600" o:gfxdata="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EVC9L4A&#10;AADbAAAADwAAAAAAAAABACAAAAAiAAAAZHJzL2Rvd25yZXYueG1sUEsBAhQAFAAAAAgAh07iQDMv&#10;BZ47AAAAOQAAABAAAAAAAAAAAQAgAAAADQEAAGRycy9zaGFwZXhtbC54bWxQSwUGAAAAAAYABgBb&#10;AQAAtwMAAAAA&#10;">
                  <v:fill on="t" focussize="0,0"/>
                  <v:stroke color="#000000 [3213]" joinstyle="miter"/>
                  <v:imagedata o:title=""/>
                  <o:lock v:ext="edit" aspectratio="f"/>
                  <v:textbox>
                    <w:txbxContent>
                      <w:p w14:paraId="244460ED">
                        <w:pPr>
                          <w:ind w:firstLine="0" w:firstLineChars="0"/>
                          <w:jc w:val="center"/>
                          <w:rPr>
                            <w:sz w:val="21"/>
                            <w:szCs w:val="21"/>
                          </w:rPr>
                        </w:pPr>
                        <w:r>
                          <w:rPr>
                            <w:rFonts w:hint="eastAsia"/>
                            <w:sz w:val="21"/>
                            <w:szCs w:val="21"/>
                          </w:rPr>
                          <w:t>竣工后施工机械退场</w:t>
                        </w:r>
                      </w:p>
                    </w:txbxContent>
                  </v:textbox>
                </v:shape>
                <v:line id="_x0000_s1026" o:spid="_x0000_s1026" o:spt="20" style="position:absolute;left:6669;top:3552;height:2;width:720;" filled="f" stroked="t" coordsize="21600,21600" o:gfxdata="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tB+fK/&#10;AAAA2wAAAA8AAAAAAAAAAQAgAAAAIgAAAGRycy9kb3ducmV2LnhtbFBLAQIUABQAAAAIAIdO4kAz&#10;LwWeOwAAADkAAAAQAAAAAAAAAAEAIAAAAA4BAABkcnMvc2hhcGV4bWwueG1sUEsFBgAAAAAGAAYA&#10;WwEAALgDAAAAAA==&#10;">
                  <v:fill on="f" focussize="0,0"/>
                  <v:stroke color="#000000 [3213]" joinstyle="round" endarrow="block"/>
                  <v:imagedata o:title=""/>
                  <o:lock v:ext="edit" aspectratio="f"/>
                </v:line>
                <v:line id="_x0000_s1026" o:spid="_x0000_s1026" o:spt="20" style="position:absolute;left:2678;top:2510;flip:y;height:624;width:2;" filled="f" stroked="t" coordsize="21600,21600" o:gfxdata="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tZ6tb4A&#10;AADbAAAADwAAAAAAAAABACAAAAAiAAAAZHJzL2Rvd25yZXYueG1sUEsBAhQAFAAAAAgAh07iQDMv&#10;BZ47AAAAOQAAABAAAAAAAAAAAQAgAAAADQEAAGRycy9zaGFwZXhtbC54bWxQSwUGAAAAAAYABgBb&#10;AQAAtwMAAAAA&#10;">
                  <v:fill on="f" focussize="0,0"/>
                  <v:stroke color="#000000 [3213]" joinstyle="round" endarrow="block"/>
                  <v:imagedata o:title=""/>
                  <o:lock v:ext="edit" aspectratio="f"/>
                </v:line>
                <v:line id="_x0000_s1026" o:spid="_x0000_s1026" o:spt="20" style="position:absolute;left:5168;top:3982;height:556;width:1;" filled="f" stroked="t" coordsize="21600,21600" o:gfxdata="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N/CHr4A&#10;AADbAAAADwAAAAAAAAABACAAAAAiAAAAZHJzL2Rvd25yZXYueG1sUEsBAhQAFAAAAAgAh07iQDMv&#10;BZ47AAAAOQAAABAAAAAAAAAAAQAgAAAADQEAAGRycy9zaGFwZXhtbC54bWxQSwUGAAAAAAYABgBb&#10;AQAAtwMAAAAA&#10;">
                  <v:fill on="f" focussize="0,0"/>
                  <v:stroke color="#000000 [3213]" joinstyle="round" endarrow="block"/>
                  <v:imagedata o:title=""/>
                  <o:lock v:ext="edit" aspectratio="f"/>
                </v:line>
                <v:line id="_x0000_s1026" o:spid="_x0000_s1026" o:spt="20" style="position:absolute;left:3551;top:3528;height:1;width:720;" filled="f" stroked="t" coordsize="21600,21600" o:gfxdata="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hvi1vQAA&#10;ANwAAAAPAAAAAAAAAAEAIAAAACIAAABkcnMvZG93bnJldi54bWxQSwECFAAUAAAACACHTuJAMy8F&#10;njsAAAA5AAAAEAAAAAAAAAABACAAAAAMAQAAZHJzL3NoYXBleG1sLnhtbFBLBQYAAAAABgAGAFsB&#10;AAC2AwAAAAA=&#10;">
                  <v:fill on="f" focussize="0,0"/>
                  <v:stroke color="#000000 [3213]" joinstyle="round" endarrow="block"/>
                  <v:imagedata o:title=""/>
                  <o:lock v:ext="edit" aspectratio="f"/>
                </v:line>
                <v:line id="_x0000_s1026" o:spid="_x0000_s1026" o:spt="20" style="position:absolute;left:5228;top:2563;flip:y;height:624;width:1;" filled="f" stroked="t" coordsize="21600,21600" o:gfxdata="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6mpyvQAA&#10;ANwAAAAPAAAAAAAAAAEAIAAAACIAAABkcnMvZG93bnJldi54bWxQSwECFAAUAAAACACHTuJAMy8F&#10;njsAAAA5AAAAEAAAAAAAAAABACAAAAAMAQAAZHJzL3NoYXBleG1sLnhtbFBLBQYAAAAABgAGAFsB&#10;AAC2AwAAAAA=&#10;">
                  <v:fill on="f" focussize="0,0"/>
                  <v:stroke color="#000000 [3213]" joinstyle="round" endarrow="block"/>
                  <v:imagedata o:title=""/>
                  <o:lock v:ext="edit" aspectratio="f"/>
                </v:line>
                <w10:wrap type="none"/>
                <w10:anchorlock/>
              </v:group>
            </w:pict>
          </mc:Fallback>
        </mc:AlternateContent>
      </w:r>
    </w:p>
    <w:p w14:paraId="323A7B8E">
      <w:pPr>
        <w:pStyle w:val="38"/>
        <w:spacing w:before="120" w:beforeLines="50" w:after="0" w:line="240" w:lineRule="auto"/>
        <w:ind w:firstLine="0" w:firstLineChars="0"/>
        <w:jc w:val="center"/>
        <w:rPr>
          <w:b/>
          <w:color w:val="auto"/>
          <w:sz w:val="21"/>
          <w:szCs w:val="21"/>
          <w:highlight w:val="none"/>
        </w:rPr>
      </w:pPr>
      <w:r>
        <w:rPr>
          <w:b/>
          <w:color w:val="auto"/>
          <w:sz w:val="21"/>
          <w:szCs w:val="21"/>
          <w:highlight w:val="none"/>
        </w:rPr>
        <w:t>图2.3-1浮船坞配套建造场地施工工艺流程及产污环节</w:t>
      </w:r>
    </w:p>
    <w:p w14:paraId="08A2D347">
      <w:pPr>
        <w:ind w:firstLine="480"/>
        <w:rPr>
          <w:color w:val="auto"/>
          <w:highlight w:val="none"/>
        </w:rPr>
      </w:pPr>
    </w:p>
    <w:p w14:paraId="698FF25A">
      <w:pPr>
        <w:ind w:firstLine="482"/>
        <w:rPr>
          <w:b/>
          <w:bCs/>
          <w:color w:val="auto"/>
          <w:highlight w:val="none"/>
        </w:rPr>
      </w:pPr>
      <w:r>
        <w:rPr>
          <w:b/>
          <w:bCs/>
          <w:color w:val="auto"/>
          <w:highlight w:val="none"/>
        </w:rPr>
        <w:t>（2）浮船坞分段组装工艺流程及环境影响因素分析</w:t>
      </w:r>
    </w:p>
    <w:p w14:paraId="5251634D">
      <w:pPr>
        <w:ind w:firstLine="480"/>
        <w:rPr>
          <w:color w:val="auto"/>
          <w:highlight w:val="none"/>
        </w:rPr>
      </w:pPr>
      <w:r>
        <w:rPr>
          <w:color w:val="auto"/>
          <w:highlight w:val="none"/>
        </w:rPr>
        <w:t>浮船坞制造总体是利用公司现有的分段制作设备和起重能力，将分段重量基本控制在50吨以下，少数分段不超过100吨；分段的长、宽控制在20米、12米以内，船体涂装主要依托现有涂装房，不在本次硬化场地内进行；尽可能利用标板排板。</w:t>
      </w:r>
    </w:p>
    <w:p w14:paraId="175B5D70">
      <w:pPr>
        <w:ind w:firstLine="480"/>
        <w:rPr>
          <w:color w:val="auto"/>
          <w:highlight w:val="none"/>
        </w:rPr>
      </w:pPr>
      <w:r>
        <w:rPr>
          <w:color w:val="auto"/>
          <w:highlight w:val="none"/>
        </w:rPr>
        <w:t>浮船坞采用分段建造法：大约是230个分段（小段92个、大段138个），最大的100吨，一般按50吨控制。组立完成后，在船台附近场地进行室外建造，从建造到上组装（不考虑排队打砂油漆）小段预计30天，大段预计50天。</w:t>
      </w:r>
    </w:p>
    <w:p w14:paraId="271C4AB6">
      <w:pPr>
        <w:ind w:firstLine="480"/>
        <w:rPr>
          <w:color w:val="auto"/>
          <w:highlight w:val="none"/>
        </w:rPr>
      </w:pPr>
      <w:r>
        <w:rPr>
          <w:color w:val="auto"/>
          <w:highlight w:val="none"/>
        </w:rPr>
        <w:t>浮船坞分段组装过程中主要污染为焊接烟尘、设备噪声、施工人员生活污水、施工人员生活垃圾等。项目浮船坞分段制造工艺流程及产污环节见下图。</w:t>
      </w:r>
    </w:p>
    <w:p w14:paraId="036AE45D">
      <w:pPr>
        <w:ind w:firstLine="480"/>
        <w:rPr>
          <w:color w:val="auto"/>
          <w:highlight w:val="none"/>
        </w:rPr>
      </w:pPr>
    </w:p>
    <w:p w14:paraId="36C778C3">
      <w:pPr>
        <w:pStyle w:val="38"/>
        <w:spacing w:after="0" w:line="240" w:lineRule="auto"/>
        <w:ind w:firstLine="0" w:firstLineChars="0"/>
        <w:jc w:val="center"/>
        <w:rPr>
          <w:b/>
          <w:color w:val="auto"/>
          <w:sz w:val="21"/>
          <w:szCs w:val="21"/>
          <w:highlight w:val="none"/>
        </w:rPr>
      </w:pPr>
      <w:r>
        <w:rPr>
          <w:b/>
          <w:color w:val="auto"/>
          <w:sz w:val="21"/>
          <w:szCs w:val="21"/>
          <w:highlight w:val="none"/>
        </w:rPr>
        <w:object>
          <v:shape id="_x0000_i1027" o:spt="75" type="#_x0000_t75" style="height:164.7pt;width:443.2pt;" o:ole="t" filled="f" o:preferrelative="t" stroked="f" coordsize="21600,21600">
            <v:path/>
            <v:fill on="f" focussize="0,0"/>
            <v:stroke on="f" joinstyle="miter"/>
            <v:imagedata r:id="rId92" o:title=""/>
            <o:lock v:ext="edit" aspectratio="t"/>
            <w10:wrap type="none"/>
            <w10:anchorlock/>
          </v:shape>
          <o:OLEObject Type="Embed" ProgID="Visio.Drawing.11" ShapeID="_x0000_i1027" DrawAspect="Content" ObjectID="_1468075727" r:id="rId91">
            <o:LockedField>false</o:LockedField>
          </o:OLEObject>
        </w:object>
      </w:r>
    </w:p>
    <w:p w14:paraId="1D70946D">
      <w:pPr>
        <w:pStyle w:val="38"/>
        <w:spacing w:after="0" w:line="240" w:lineRule="auto"/>
        <w:ind w:firstLine="0" w:firstLineChars="0"/>
        <w:jc w:val="center"/>
        <w:rPr>
          <w:b/>
          <w:color w:val="auto"/>
          <w:sz w:val="21"/>
          <w:szCs w:val="21"/>
          <w:highlight w:val="none"/>
        </w:rPr>
      </w:pPr>
      <w:r>
        <w:rPr>
          <w:b/>
          <w:color w:val="auto"/>
          <w:sz w:val="21"/>
          <w:szCs w:val="21"/>
          <w:highlight w:val="none"/>
        </w:rPr>
        <w:t>图2.3-2项目浮船坞分段组装工艺流程及产污环节图</w:t>
      </w:r>
    </w:p>
    <w:p w14:paraId="02FAED4C">
      <w:pPr>
        <w:pStyle w:val="38"/>
        <w:spacing w:after="0" w:line="240" w:lineRule="auto"/>
        <w:ind w:firstLine="0" w:firstLineChars="0"/>
        <w:jc w:val="center"/>
        <w:rPr>
          <w:b/>
          <w:color w:val="auto"/>
          <w:sz w:val="21"/>
          <w:szCs w:val="21"/>
          <w:highlight w:val="none"/>
        </w:rPr>
      </w:pPr>
    </w:p>
    <w:p w14:paraId="6F6E2BF6">
      <w:pPr>
        <w:ind w:firstLine="422"/>
        <w:jc w:val="center"/>
        <w:rPr>
          <w:b/>
          <w:bCs/>
          <w:color w:val="auto"/>
          <w:sz w:val="21"/>
          <w:szCs w:val="21"/>
          <w:highlight w:val="none"/>
        </w:rPr>
      </w:pPr>
    </w:p>
    <w:p w14:paraId="709974C7">
      <w:pPr>
        <w:pStyle w:val="7"/>
        <w:numPr>
          <w:ilvl w:val="2"/>
          <w:numId w:val="9"/>
        </w:numPr>
        <w:rPr>
          <w:color w:val="auto"/>
          <w:sz w:val="28"/>
          <w:highlight w:val="none"/>
        </w:rPr>
      </w:pPr>
      <w:r>
        <w:rPr>
          <w:color w:val="auto"/>
          <w:sz w:val="28"/>
          <w:highlight w:val="none"/>
        </w:rPr>
        <w:t>运营期作业流程及环境影响因素分析</w:t>
      </w:r>
    </w:p>
    <w:p w14:paraId="4A21E32A">
      <w:pPr>
        <w:pStyle w:val="589"/>
        <w:ind w:firstLine="482"/>
        <w:rPr>
          <w:rFonts w:cs="Times New Roman"/>
          <w:b/>
          <w:bCs/>
          <w:color w:val="auto"/>
          <w:highlight w:val="none"/>
        </w:rPr>
      </w:pPr>
      <w:r>
        <w:rPr>
          <w:rFonts w:cs="Times New Roman"/>
          <w:b/>
          <w:bCs/>
          <w:color w:val="auto"/>
          <w:highlight w:val="none"/>
        </w:rPr>
        <w:t>（1）浮船坞修船工艺流程及产污环节</w:t>
      </w:r>
    </w:p>
    <w:p w14:paraId="11149941">
      <w:pPr>
        <w:pStyle w:val="589"/>
        <w:ind w:firstLine="480"/>
        <w:rPr>
          <w:rFonts w:cs="Times New Roman"/>
          <w:color w:val="auto"/>
          <w:highlight w:val="none"/>
        </w:rPr>
      </w:pPr>
      <w:r>
        <w:rPr>
          <w:rFonts w:cs="Times New Roman"/>
          <w:color w:val="auto"/>
          <w:highlight w:val="none"/>
        </w:rPr>
        <w:t>本项目</w:t>
      </w:r>
      <w:r>
        <w:rPr>
          <w:rFonts w:hint="eastAsia" w:cs="Times New Roman"/>
          <w:color w:val="auto"/>
          <w:highlight w:val="none"/>
        </w:rPr>
        <w:t>技改建设</w:t>
      </w:r>
      <w:r>
        <w:rPr>
          <w:rFonts w:cs="Times New Roman"/>
          <w:color w:val="auto"/>
          <w:highlight w:val="none"/>
        </w:rPr>
        <w:t>1座10万吨级浮船坞用于置换“中船钦州修船资源整合项目”中的老旧10万吨级浮船坞，浮船坞修船工艺不变，总体工艺为：船舶进坞→坞修（船壳除锈、油漆，机电工程等）→下水→试验→试航→交船。</w:t>
      </w:r>
    </w:p>
    <w:p w14:paraId="5E4801AB">
      <w:pPr>
        <w:ind w:firstLine="480"/>
        <w:rPr>
          <w:snapToGrid w:val="0"/>
          <w:color w:val="auto"/>
          <w:highlight w:val="none"/>
        </w:rPr>
      </w:pPr>
      <w:r>
        <w:rPr>
          <w:snapToGrid w:val="0"/>
          <w:color w:val="auto"/>
          <w:highlight w:val="none"/>
        </w:rPr>
        <w:t>待修船舶放空压舱水后乘潮进坞，将船闸关闭，然后将坞内的海水用泵抽出，待修船舶固定后，用高压水对船体外壳进行冲洗。海事局有关人员对被修船舶进行勘验，待被修船舶的废油、油污水清理达标后再进行修理</w:t>
      </w:r>
      <w:r>
        <w:rPr>
          <w:rFonts w:hint="eastAsia"/>
          <w:snapToGrid w:val="0"/>
          <w:color w:val="auto"/>
          <w:highlight w:val="none"/>
        </w:rPr>
        <w:t>，即修理的船舶需保证空船进坞修理</w:t>
      </w:r>
      <w:r>
        <w:rPr>
          <w:snapToGrid w:val="0"/>
          <w:color w:val="auto"/>
          <w:highlight w:val="none"/>
        </w:rPr>
        <w:t>。如若需要对油舱部位进行修理，各船厂均需委托经海事局认可的专业清舱公司清除油舱内所有残油及油渣并对油舱进行清洗，清洗出来的残油和油渣由清仓公司运走，油污水</w:t>
      </w:r>
      <w:r>
        <w:rPr>
          <w:rFonts w:hint="eastAsia"/>
          <w:snapToGrid w:val="0"/>
          <w:color w:val="auto"/>
          <w:highlight w:val="none"/>
        </w:rPr>
        <w:t>进入厂区现有</w:t>
      </w:r>
      <w:r>
        <w:rPr>
          <w:snapToGrid w:val="0"/>
          <w:color w:val="auto"/>
          <w:highlight w:val="none"/>
        </w:rPr>
        <w:t>含油废水处理站进行处理，测爆合格后才动火以避免事故发生。</w:t>
      </w:r>
    </w:p>
    <w:p w14:paraId="0B74D9A9">
      <w:pPr>
        <w:ind w:firstLine="480"/>
        <w:rPr>
          <w:snapToGrid w:val="0"/>
          <w:color w:val="auto"/>
          <w:highlight w:val="none"/>
        </w:rPr>
      </w:pPr>
      <w:r>
        <w:rPr>
          <w:snapToGrid w:val="0"/>
          <w:color w:val="auto"/>
          <w:highlight w:val="none"/>
        </w:rPr>
        <w:t>船舶在海上航行时将受到盐雾、潮气、强烈的紫外线和带有微碱性的海水的腐蚀，这些不仅对钢板起到剧烈的电化学腐蚀作用，而且对油漆也起着强烈的皂化、老化等破坏作用，而且船舶水线以下部分会有各种海洋生物如海藻、牡蛎、藤壶等繁殖，进一步加大了船舶的锈蚀。因此，为避免船壳穿孔，船舶运行一定时间后需将船壳上铁锈、旧油漆、油污、海生物等去除重新涂上防锈防污漆以保证航行安全。油漆前需要喷砂除锈，以获取良好的附着面。目前除锈设备一般采用喷砂除锈机，系利用风管内高速移动的压缩空气的压力（2～6kg/cm</w:t>
      </w:r>
      <w:r>
        <w:rPr>
          <w:snapToGrid w:val="0"/>
          <w:color w:val="auto"/>
          <w:highlight w:val="none"/>
          <w:vertAlign w:val="superscript"/>
        </w:rPr>
        <w:t>2</w:t>
      </w:r>
      <w:r>
        <w:rPr>
          <w:snapToGrid w:val="0"/>
          <w:color w:val="auto"/>
          <w:highlight w:val="none"/>
        </w:rPr>
        <w:t>）将铜矿砂（直径在1～2mm左右）带走并冲击于金属表面使锈层剥落。铜矿砂在与船壳钢板撞击后将粉碎成微小颗粒，将产生大量扬尘，扬尘量与铜矿砂质量和风速有关，同时船壳上击打下来的铁锈和漆皮也成为扬尘的一部分，其发生量与船体的锈蚀程度相关。喷砂作业在船坞进行，由于船坞设置在海边，风速较大，且船舶体积较大，修造封闭式船坞存在技术及资金上的问题，故国内外用于修造船的船坞基本上是露天设置的，污染排放方式</w:t>
      </w:r>
      <w:r>
        <w:rPr>
          <w:rFonts w:hint="eastAsia"/>
          <w:snapToGrid w:val="0"/>
          <w:color w:val="auto"/>
          <w:highlight w:val="none"/>
        </w:rPr>
        <w:t>均为</w:t>
      </w:r>
      <w:r>
        <w:rPr>
          <w:snapToGrid w:val="0"/>
          <w:color w:val="auto"/>
          <w:highlight w:val="none"/>
        </w:rPr>
        <w:t>无组织排放。喷砂除锈后对待修船舶船壳、内舱、舱口盖等</w:t>
      </w:r>
      <w:r>
        <w:rPr>
          <w:rFonts w:hint="eastAsia"/>
          <w:snapToGrid w:val="0"/>
          <w:color w:val="auto"/>
          <w:highlight w:val="none"/>
        </w:rPr>
        <w:t>需要修补处</w:t>
      </w:r>
      <w:r>
        <w:rPr>
          <w:snapToGrid w:val="0"/>
          <w:color w:val="auto"/>
          <w:highlight w:val="none"/>
        </w:rPr>
        <w:t>进行</w:t>
      </w:r>
      <w:r>
        <w:rPr>
          <w:rFonts w:hint="eastAsia"/>
          <w:snapToGrid w:val="0"/>
          <w:color w:val="auto"/>
          <w:highlight w:val="none"/>
        </w:rPr>
        <w:t>人工点喷</w:t>
      </w:r>
      <w:r>
        <w:rPr>
          <w:snapToGrid w:val="0"/>
          <w:color w:val="auto"/>
          <w:highlight w:val="none"/>
        </w:rPr>
        <w:t>，喷漆作业在浮船坞露天进行。</w:t>
      </w:r>
    </w:p>
    <w:p w14:paraId="1CCEE863">
      <w:pPr>
        <w:ind w:firstLine="480"/>
        <w:rPr>
          <w:color w:val="auto"/>
          <w:szCs w:val="20"/>
          <w:highlight w:val="none"/>
        </w:rPr>
      </w:pPr>
      <w:r>
        <w:rPr>
          <w:rFonts w:hint="eastAsia"/>
          <w:color w:val="auto"/>
          <w:szCs w:val="20"/>
          <w:highlight w:val="none"/>
        </w:rPr>
        <w:t>修船过程所使用的油漆种类很多，船舶漆主要用于船底的防锈漆、防污漆，船舶水上部位（外壳）的干舷漆、甲板漆、上层建筑漆，修船过程所使用的油漆往往是与原船舶使用的种类相同的，一般由船东自行随带或指定，因此油漆的相关成分及含量难以进行统计，油漆的膜厚、理论使用量等详细情况也很难确定。</w:t>
      </w:r>
    </w:p>
    <w:p w14:paraId="48B5D616">
      <w:pPr>
        <w:ind w:firstLine="480"/>
        <w:rPr>
          <w:color w:val="auto"/>
          <w:szCs w:val="20"/>
          <w:highlight w:val="none"/>
        </w:rPr>
      </w:pPr>
      <w:r>
        <w:rPr>
          <w:rFonts w:hint="eastAsia"/>
          <w:color w:val="auto"/>
          <w:szCs w:val="20"/>
          <w:highlight w:val="none"/>
        </w:rPr>
        <w:t>项目船坞喷漆作业采用高压无气喷涂，高压无气喷涂工艺是将涂料加压至一定的压力，通过一个特制的喷嘴将涂料喷出，形成雾状，用以涂覆各种厚度的底漆和面漆，因此采用高压无气喷涂工艺时油漆中稀释剂的添加量很少，一般情况下油漆中不添加稀释剂，只在油漆罐开启后使用较长时间、油漆因挥发而变得粘稠时才适当添加稀释剂。船坞喷漆点较为分散，且船坞设置在海边，风速较大，移动式废气收集处理设施收集率不高，因此本项目船坞喷漆废气主要采取无组织的形式排放。</w:t>
      </w:r>
    </w:p>
    <w:p w14:paraId="02E2E5B5">
      <w:pPr>
        <w:ind w:firstLine="482"/>
        <w:rPr>
          <w:snapToGrid w:val="0"/>
          <w:color w:val="auto"/>
          <w:highlight w:val="none"/>
        </w:rPr>
      </w:pPr>
      <w:r>
        <w:rPr>
          <w:b/>
          <w:bCs/>
          <w:snapToGrid w:val="0"/>
          <w:color w:val="auto"/>
          <w:highlight w:val="none"/>
        </w:rPr>
        <w:t>船体和机电综合车间</w:t>
      </w:r>
      <w:r>
        <w:rPr>
          <w:rFonts w:hint="eastAsia"/>
          <w:b/>
          <w:bCs/>
          <w:snapToGrid w:val="0"/>
          <w:color w:val="auto"/>
          <w:highlight w:val="none"/>
        </w:rPr>
        <w:t>内进行工序：</w:t>
      </w:r>
      <w:r>
        <w:rPr>
          <w:snapToGrid w:val="0"/>
          <w:color w:val="auto"/>
          <w:highlight w:val="none"/>
        </w:rPr>
        <w:t>针对船体钢板锈蚀变薄部分，需要对船体钢板进行勘验、拆卸及换新，船体的割补施焊在船上直接进行，钢板和构件的换新要在车间内加工成型，以单件直接上船进行焊接，修船所需的钢材贮存、切割、加工等工作在船体和机电综合车间进行。</w:t>
      </w:r>
      <w:r>
        <w:rPr>
          <w:rFonts w:hint="eastAsia"/>
          <w:snapToGrid w:val="0"/>
          <w:color w:val="auto"/>
          <w:highlight w:val="none"/>
        </w:rPr>
        <w:t>待修</w:t>
      </w:r>
      <w:r>
        <w:rPr>
          <w:snapToGrid w:val="0"/>
          <w:color w:val="auto"/>
          <w:highlight w:val="none"/>
        </w:rPr>
        <w:t>船上的机电设备、管件、螺旋桨、轴舵等部件因长时间使用损坏、腐蚀需要检查维修更换，在船体上拆卸后送船体和机电综合车间进行维修。船体和机电综合车间设有管子工场、坞修钳工工场、电工工场、薄板工场、机加工工场、化学清洗间等，拆卸的部件分类在各工场进行清洗维修。维修过程涉及设备的化学清洗，产生酸碱废水和酸雾；管子切割、焊接过程产生废气，电器工件浸漆过程会产生有机废气。</w:t>
      </w:r>
      <w:r>
        <w:rPr>
          <w:rFonts w:hint="eastAsia"/>
          <w:color w:val="auto"/>
          <w:szCs w:val="20"/>
          <w:highlight w:val="none"/>
        </w:rPr>
        <w:t>浸漆是把工件全浸入油漆中后提出，淋去挂在工件上过量的油漆，在工件表面形成一层漆膜的工艺。浸漆工艺对涂料的利用率较高，达到80%以上。</w:t>
      </w:r>
      <w:r>
        <w:rPr>
          <w:snapToGrid w:val="0"/>
          <w:color w:val="auto"/>
          <w:highlight w:val="none"/>
        </w:rPr>
        <w:t>各工件在船体和机电综合车间维修后经检测合格，在船坞重新装配。</w:t>
      </w:r>
      <w:r>
        <w:rPr>
          <w:snapToGrid w:val="0"/>
          <w:color w:val="auto"/>
          <w:highlight w:val="none"/>
          <w:u w:val="single"/>
        </w:rPr>
        <w:t>船体和机电综合车间</w:t>
      </w:r>
      <w:r>
        <w:rPr>
          <w:rFonts w:hint="eastAsia"/>
          <w:snapToGrid w:val="0"/>
          <w:color w:val="auto"/>
          <w:highlight w:val="none"/>
          <w:u w:val="single"/>
          <w:lang w:eastAsia="zh-CN"/>
        </w:rPr>
        <w:t>为</w:t>
      </w:r>
      <w:r>
        <w:rPr>
          <w:rFonts w:hint="eastAsia"/>
          <w:snapToGrid w:val="0"/>
          <w:color w:val="auto"/>
          <w:highlight w:val="none"/>
          <w:u w:val="single"/>
        </w:rPr>
        <w:t>本项目依托工程，本次改建后，综合车间内</w:t>
      </w:r>
      <w:r>
        <w:rPr>
          <w:snapToGrid w:val="0"/>
          <w:color w:val="auto"/>
          <w:highlight w:val="none"/>
          <w:u w:val="single"/>
        </w:rPr>
        <w:t>工序工艺、原辅料、生产规模等</w:t>
      </w:r>
      <w:r>
        <w:rPr>
          <w:rFonts w:hint="eastAsia"/>
          <w:snapToGrid w:val="0"/>
          <w:color w:val="auto"/>
          <w:highlight w:val="none"/>
          <w:u w:val="single"/>
          <w:lang w:eastAsia="zh-CN"/>
        </w:rPr>
        <w:t>均</w:t>
      </w:r>
      <w:r>
        <w:rPr>
          <w:snapToGrid w:val="0"/>
          <w:color w:val="auto"/>
          <w:highlight w:val="none"/>
          <w:u w:val="single"/>
        </w:rPr>
        <w:t>不变，</w:t>
      </w:r>
      <w:r>
        <w:rPr>
          <w:rFonts w:hint="eastAsia"/>
          <w:snapToGrid w:val="0"/>
          <w:color w:val="auto"/>
          <w:highlight w:val="none"/>
          <w:u w:val="single"/>
        </w:rPr>
        <w:t>相应的影响分析已在《中船钦州修船资源整合项目环境影响报告书》中进行评价，本次</w:t>
      </w:r>
      <w:r>
        <w:rPr>
          <w:rFonts w:hint="eastAsia"/>
          <w:snapToGrid w:val="0"/>
          <w:color w:val="auto"/>
          <w:highlight w:val="none"/>
          <w:u w:val="single"/>
          <w:lang w:eastAsia="zh-CN"/>
        </w:rPr>
        <w:t>不再</w:t>
      </w:r>
      <w:r>
        <w:rPr>
          <w:rFonts w:hint="eastAsia"/>
          <w:snapToGrid w:val="0"/>
          <w:color w:val="auto"/>
          <w:highlight w:val="none"/>
          <w:u w:val="single"/>
        </w:rPr>
        <w:t>赘述。</w:t>
      </w:r>
    </w:p>
    <w:p w14:paraId="559310D1">
      <w:pPr>
        <w:ind w:firstLine="480"/>
        <w:rPr>
          <w:snapToGrid w:val="0"/>
          <w:color w:val="auto"/>
          <w:highlight w:val="none"/>
        </w:rPr>
      </w:pPr>
      <w:r>
        <w:rPr>
          <w:snapToGrid w:val="0"/>
          <w:color w:val="auto"/>
          <w:highlight w:val="none"/>
        </w:rPr>
        <w:t>船舶修理完成后，对船坞进行清扫、清洗工作，各类物料、垃圾和危险化学品等分类收集，集中处理。船坞灌水下沉，船舶出坞，</w:t>
      </w:r>
      <w:r>
        <w:rPr>
          <w:rFonts w:hint="eastAsia"/>
          <w:snapToGrid w:val="0"/>
          <w:color w:val="auto"/>
          <w:highlight w:val="none"/>
          <w:u w:val="single"/>
        </w:rPr>
        <w:t>修好的船舶</w:t>
      </w:r>
      <w:r>
        <w:rPr>
          <w:snapToGrid w:val="0"/>
          <w:color w:val="auto"/>
          <w:highlight w:val="none"/>
          <w:u w:val="single"/>
        </w:rPr>
        <w:t>视情况进行试航，试航路线由海事部门同意批复</w:t>
      </w:r>
      <w:r>
        <w:rPr>
          <w:rFonts w:hint="eastAsia"/>
          <w:snapToGrid w:val="0"/>
          <w:color w:val="auto"/>
          <w:highlight w:val="none"/>
          <w:u w:val="single"/>
          <w:lang w:eastAsia="zh-CN"/>
        </w:rPr>
        <w:t>，</w:t>
      </w:r>
      <w:r>
        <w:rPr>
          <w:snapToGrid w:val="0"/>
          <w:color w:val="auto"/>
          <w:highlight w:val="none"/>
          <w:u w:val="single"/>
        </w:rPr>
        <w:t>经试航合格后，</w:t>
      </w:r>
      <w:r>
        <w:rPr>
          <w:rFonts w:hint="eastAsia"/>
          <w:snapToGrid w:val="0"/>
          <w:color w:val="auto"/>
          <w:highlight w:val="none"/>
          <w:u w:val="single"/>
          <w:lang w:eastAsia="zh-CN"/>
        </w:rPr>
        <w:t>船舶</w:t>
      </w:r>
      <w:r>
        <w:rPr>
          <w:snapToGrid w:val="0"/>
          <w:color w:val="auto"/>
          <w:highlight w:val="none"/>
        </w:rPr>
        <w:t>出厂完成整个修理过程。</w:t>
      </w:r>
    </w:p>
    <w:p w14:paraId="05F90763">
      <w:pPr>
        <w:ind w:firstLine="480"/>
        <w:rPr>
          <w:color w:val="auto"/>
          <w:szCs w:val="21"/>
          <w:highlight w:val="none"/>
        </w:rPr>
      </w:pPr>
      <w:r>
        <w:rPr>
          <w:color w:val="auto"/>
          <w:szCs w:val="20"/>
          <w:highlight w:val="none"/>
        </w:rPr>
        <w:t>本项目</w:t>
      </w:r>
      <w:r>
        <w:rPr>
          <w:color w:val="auto"/>
          <w:szCs w:val="21"/>
          <w:highlight w:val="none"/>
        </w:rPr>
        <w:t>工艺流程及污染物排放节点见图2.3-3。</w:t>
      </w:r>
    </w:p>
    <w:p w14:paraId="3D9D02D5">
      <w:pPr>
        <w:pStyle w:val="38"/>
        <w:spacing w:after="0" w:line="240" w:lineRule="auto"/>
        <w:ind w:firstLine="0" w:firstLineChars="0"/>
        <w:jc w:val="center"/>
        <w:rPr>
          <w:b/>
          <w:color w:val="auto"/>
          <w:sz w:val="21"/>
          <w:szCs w:val="21"/>
          <w:highlight w:val="none"/>
        </w:rPr>
      </w:pPr>
      <w:r>
        <w:rPr>
          <w:b/>
          <w:color w:val="auto"/>
          <w:sz w:val="21"/>
          <w:szCs w:val="21"/>
          <w:highlight w:val="none"/>
        </w:rPr>
        <w:object>
          <v:shape id="_x0000_i1028" o:spt="75" type="#_x0000_t75" style="height:512.6pt;width:474.7pt;" o:ole="t" filled="f" o:preferrelative="t" stroked="f" coordsize="21600,21600">
            <v:path/>
            <v:fill on="f" focussize="0,0"/>
            <v:stroke on="f" joinstyle="miter"/>
            <v:imagedata r:id="rId94" o:title=""/>
            <o:lock v:ext="edit" aspectratio="t"/>
            <w10:wrap type="none"/>
            <w10:anchorlock/>
          </v:shape>
          <o:OLEObject Type="Embed" ProgID="Visio.Drawing.11" ShapeID="_x0000_i1028" DrawAspect="Content" ObjectID="_1468075728" r:id="rId93">
            <o:LockedField>false</o:LockedField>
          </o:OLEObject>
        </w:object>
      </w:r>
      <w:r>
        <w:rPr>
          <w:b/>
          <w:color w:val="auto"/>
          <w:sz w:val="21"/>
          <w:szCs w:val="21"/>
          <w:highlight w:val="none"/>
        </w:rPr>
        <w:t>图2.3-3   浮船坞修船生产工艺流程及产污节点图</w:t>
      </w:r>
    </w:p>
    <w:p w14:paraId="4B82831D">
      <w:pPr>
        <w:pStyle w:val="589"/>
        <w:ind w:firstLine="482"/>
        <w:rPr>
          <w:rFonts w:cs="Times New Roman"/>
          <w:b/>
          <w:bCs/>
          <w:color w:val="auto"/>
          <w:highlight w:val="none"/>
        </w:rPr>
      </w:pPr>
    </w:p>
    <w:p w14:paraId="68ECD24A">
      <w:pPr>
        <w:pStyle w:val="589"/>
        <w:ind w:firstLine="482"/>
        <w:rPr>
          <w:rFonts w:cs="Times New Roman"/>
          <w:color w:val="auto"/>
          <w:highlight w:val="none"/>
        </w:rPr>
      </w:pPr>
      <w:r>
        <w:rPr>
          <w:rFonts w:cs="Times New Roman"/>
          <w:b/>
          <w:bCs/>
          <w:color w:val="auto"/>
          <w:highlight w:val="none"/>
        </w:rPr>
        <w:t>（2）</w:t>
      </w:r>
      <w:r>
        <w:rPr>
          <w:rFonts w:hint="eastAsia" w:cs="Times New Roman"/>
          <w:b/>
          <w:bCs/>
          <w:color w:val="auto"/>
          <w:highlight w:val="none"/>
        </w:rPr>
        <w:t>5#码头</w:t>
      </w:r>
      <w:r>
        <w:rPr>
          <w:rFonts w:cs="Times New Roman"/>
          <w:b/>
          <w:bCs/>
          <w:color w:val="auto"/>
          <w:highlight w:val="none"/>
        </w:rPr>
        <w:t>门座式起重机运行工艺流程：</w:t>
      </w:r>
    </w:p>
    <w:p w14:paraId="604C4A28">
      <w:pPr>
        <w:pStyle w:val="589"/>
        <w:adjustRightInd w:val="0"/>
        <w:snapToGrid w:val="0"/>
        <w:ind w:firstLine="480"/>
        <w:jc w:val="left"/>
        <w:rPr>
          <w:rFonts w:cs="Times New Roman"/>
          <w:color w:val="auto"/>
          <w:highlight w:val="none"/>
        </w:rPr>
      </w:pPr>
      <w:r>
        <w:rPr>
          <w:rFonts w:hint="eastAsia" w:cs="Times New Roman"/>
          <w:color w:val="auto"/>
          <w:highlight w:val="none"/>
        </w:rPr>
        <w:t>在5#码头扩建</w:t>
      </w:r>
      <w:r>
        <w:rPr>
          <w:rFonts w:cs="Times New Roman"/>
          <w:color w:val="auto"/>
          <w:highlight w:val="none"/>
        </w:rPr>
        <w:t>1台6070门座式起重机，以满足5#码头修、造船舾装作业的需求。</w:t>
      </w:r>
    </w:p>
    <w:p w14:paraId="69C5C23C">
      <w:pPr>
        <w:pStyle w:val="589"/>
        <w:adjustRightInd w:val="0"/>
        <w:snapToGrid w:val="0"/>
        <w:ind w:firstLine="480"/>
        <w:jc w:val="left"/>
        <w:rPr>
          <w:rFonts w:cs="Times New Roman"/>
          <w:color w:val="auto"/>
          <w:highlight w:val="none"/>
        </w:rPr>
        <w:sectPr>
          <w:pgSz w:w="11906" w:h="16838"/>
          <w:pgMar w:top="1559" w:right="1418" w:bottom="1503" w:left="1418" w:header="851" w:footer="964" w:gutter="0"/>
          <w:cols w:space="720" w:num="1"/>
          <w:docGrid w:linePitch="326" w:charSpace="0"/>
        </w:sectPr>
      </w:pPr>
      <w:r>
        <w:rPr>
          <w:rFonts w:cs="Times New Roman"/>
          <w:color w:val="auto"/>
          <w:highlight w:val="none"/>
        </w:rPr>
        <w:t>工艺流程为舾装件→采用平板车运至码头→60t门座机将舾装件吊运至船舶。起重机运行过程主要产生设备噪声。</w:t>
      </w:r>
    </w:p>
    <w:p w14:paraId="62B9729A">
      <w:pPr>
        <w:pStyle w:val="6"/>
        <w:numPr>
          <w:ilvl w:val="1"/>
          <w:numId w:val="9"/>
        </w:numPr>
        <w:rPr>
          <w:color w:val="auto"/>
          <w:sz w:val="32"/>
          <w:szCs w:val="32"/>
          <w:highlight w:val="none"/>
        </w:rPr>
      </w:pPr>
      <w:bookmarkStart w:id="112" w:name="_Toc361515044"/>
      <w:bookmarkEnd w:id="112"/>
      <w:bookmarkStart w:id="113" w:name="_Toc33967106"/>
      <w:bookmarkStart w:id="114" w:name="_Toc19755"/>
      <w:bookmarkStart w:id="115" w:name="_Toc33967210"/>
      <w:bookmarkStart w:id="116" w:name="_Toc1385"/>
      <w:r>
        <w:rPr>
          <w:color w:val="auto"/>
          <w:sz w:val="32"/>
          <w:szCs w:val="32"/>
          <w:highlight w:val="none"/>
        </w:rPr>
        <w:t>工程分析</w:t>
      </w:r>
      <w:bookmarkEnd w:id="113"/>
      <w:bookmarkEnd w:id="114"/>
      <w:bookmarkEnd w:id="115"/>
      <w:bookmarkEnd w:id="116"/>
    </w:p>
    <w:p w14:paraId="7F6E72FB">
      <w:pPr>
        <w:pStyle w:val="7"/>
        <w:numPr>
          <w:ilvl w:val="2"/>
          <w:numId w:val="9"/>
        </w:numPr>
        <w:rPr>
          <w:color w:val="auto"/>
          <w:sz w:val="28"/>
          <w:highlight w:val="none"/>
        </w:rPr>
      </w:pPr>
      <w:r>
        <w:rPr>
          <w:color w:val="auto"/>
          <w:sz w:val="28"/>
          <w:highlight w:val="none"/>
        </w:rPr>
        <w:t>施工期</w:t>
      </w:r>
    </w:p>
    <w:p w14:paraId="4B3DFCBF">
      <w:pPr>
        <w:pStyle w:val="589"/>
        <w:ind w:firstLine="480"/>
        <w:rPr>
          <w:rFonts w:cs="Times New Roman"/>
          <w:color w:val="auto"/>
          <w:highlight w:val="none"/>
        </w:rPr>
      </w:pPr>
      <w:r>
        <w:rPr>
          <w:rFonts w:cs="Times New Roman"/>
          <w:color w:val="auto"/>
          <w:highlight w:val="none"/>
        </w:rPr>
        <w:t>施工过程中产生的污染主要为废气、废水、噪声、固体废物等。</w:t>
      </w:r>
    </w:p>
    <w:p w14:paraId="24160514">
      <w:pPr>
        <w:pStyle w:val="533"/>
        <w:numPr>
          <w:ilvl w:val="3"/>
          <w:numId w:val="9"/>
        </w:numPr>
        <w:rPr>
          <w:color w:val="auto"/>
          <w:szCs w:val="24"/>
          <w:highlight w:val="none"/>
        </w:rPr>
      </w:pPr>
      <w:r>
        <w:rPr>
          <w:color w:val="auto"/>
          <w:szCs w:val="24"/>
          <w:highlight w:val="none"/>
        </w:rPr>
        <w:t>施工期废气</w:t>
      </w:r>
    </w:p>
    <w:p w14:paraId="7BCD93FF">
      <w:pPr>
        <w:pStyle w:val="1553"/>
        <w:adjustRightInd w:val="0"/>
        <w:snapToGrid w:val="0"/>
        <w:spacing w:line="360" w:lineRule="auto"/>
        <w:ind w:firstLine="482"/>
        <w:rPr>
          <w:rFonts w:ascii="Times New Roman" w:hAnsi="Times New Roman"/>
          <w:b/>
          <w:bCs/>
          <w:color w:val="auto"/>
          <w:sz w:val="24"/>
          <w:szCs w:val="24"/>
          <w:highlight w:val="none"/>
        </w:rPr>
      </w:pPr>
      <w:r>
        <w:rPr>
          <w:rFonts w:ascii="Times New Roman" w:hAnsi="Times New Roman"/>
          <w:b/>
          <w:bCs/>
          <w:color w:val="auto"/>
          <w:sz w:val="24"/>
          <w:szCs w:val="24"/>
          <w:highlight w:val="none"/>
        </w:rPr>
        <w:t>（1）施工扬尘</w:t>
      </w:r>
    </w:p>
    <w:p w14:paraId="18B3A5A2">
      <w:pPr>
        <w:pStyle w:val="1553"/>
        <w:spacing w:line="360" w:lineRule="auto"/>
        <w:rPr>
          <w:rFonts w:ascii="Times New Roman" w:hAnsi="Times New Roman"/>
          <w:color w:val="auto"/>
          <w:sz w:val="24"/>
          <w:szCs w:val="24"/>
          <w:highlight w:val="none"/>
        </w:rPr>
      </w:pPr>
      <w:r>
        <w:rPr>
          <w:rFonts w:ascii="Times New Roman" w:hAnsi="Times New Roman"/>
          <w:color w:val="auto"/>
          <w:sz w:val="24"/>
          <w:szCs w:val="24"/>
          <w:highlight w:val="none"/>
        </w:rPr>
        <w:t>施工期浮船坞建造场地位置的场地平整、材料运输堆存等各种施工活动将给施工现场造成TSP污染影响。根据国内港口工程施工现场监测资料，在正常风况下，施工活动将使施工现场及附近大气环境中的TSP浓度增加。</w:t>
      </w:r>
    </w:p>
    <w:p w14:paraId="3EE60567">
      <w:pPr>
        <w:pStyle w:val="1553"/>
        <w:spacing w:line="360" w:lineRule="auto"/>
        <w:rPr>
          <w:rFonts w:ascii="Times New Roman" w:hAnsi="Times New Roman"/>
          <w:color w:val="auto"/>
          <w:sz w:val="24"/>
          <w:szCs w:val="24"/>
          <w:highlight w:val="none"/>
        </w:rPr>
      </w:pPr>
      <w:r>
        <w:rPr>
          <w:rFonts w:ascii="Times New Roman" w:hAnsi="Times New Roman"/>
          <w:color w:val="auto"/>
          <w:sz w:val="24"/>
          <w:szCs w:val="24"/>
          <w:highlight w:val="none"/>
        </w:rPr>
        <w:t>根据《广西壮族自治区生态环境厅关于发布广西环境保护税应税污染物施工扬尘排污特征值系数及排放量计算方法的通告》（桂环规范〔2025〕1号），施工面积以项目永久用地和临时用地的总面积计，工地类型为建筑工地，采取的扬尘污染控制措施包括道路硬化、边界围挡、易扬尘物料覆盖、运输车辆简易冲洗装置，本项目施工扬尘产生及各项措施削减系数见表2.4-1。</w:t>
      </w:r>
    </w:p>
    <w:p w14:paraId="196A1A2F">
      <w:pPr>
        <w:pStyle w:val="38"/>
        <w:spacing w:after="0" w:line="240" w:lineRule="auto"/>
        <w:ind w:firstLine="0" w:firstLineChars="0"/>
        <w:jc w:val="center"/>
        <w:rPr>
          <w:b/>
          <w:color w:val="auto"/>
          <w:sz w:val="21"/>
          <w:szCs w:val="21"/>
          <w:highlight w:val="none"/>
        </w:rPr>
      </w:pPr>
      <w:r>
        <w:rPr>
          <w:b/>
          <w:color w:val="auto"/>
          <w:sz w:val="21"/>
          <w:szCs w:val="21"/>
          <w:highlight w:val="none"/>
        </w:rPr>
        <w:t>表 2.4-1本项目施工扬尘产生、削减系数表</w:t>
      </w:r>
    </w:p>
    <w:tbl>
      <w:tblPr>
        <w:tblStyle w:val="93"/>
        <w:tblW w:w="928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56"/>
        <w:gridCol w:w="1655"/>
        <w:gridCol w:w="1185"/>
        <w:gridCol w:w="2731"/>
        <w:gridCol w:w="1857"/>
      </w:tblGrid>
      <w:tr w14:paraId="723BD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56" w:type="dxa"/>
            <w:tcBorders>
              <w:top w:val="single" w:color="auto" w:sz="12" w:space="0"/>
              <w:left w:val="nil"/>
            </w:tcBorders>
            <w:vAlign w:val="center"/>
          </w:tcPr>
          <w:p w14:paraId="167B47C8">
            <w:pPr>
              <w:pStyle w:val="1553"/>
              <w:adjustRightInd w:val="0"/>
              <w:snapToGrid w:val="0"/>
              <w:spacing w:line="240" w:lineRule="auto"/>
              <w:ind w:firstLine="0" w:firstLineChars="0"/>
              <w:jc w:val="center"/>
              <w:rPr>
                <w:rFonts w:ascii="Times New Roman" w:hAnsi="Times New Roman"/>
                <w:b/>
                <w:bCs/>
                <w:color w:val="auto"/>
                <w:szCs w:val="21"/>
                <w:highlight w:val="none"/>
              </w:rPr>
            </w:pPr>
            <w:r>
              <w:rPr>
                <w:rFonts w:ascii="Times New Roman" w:hAnsi="Times New Roman"/>
                <w:b/>
                <w:bCs/>
                <w:color w:val="auto"/>
                <w:szCs w:val="21"/>
                <w:highlight w:val="none"/>
              </w:rPr>
              <w:t>工地类型</w:t>
            </w:r>
          </w:p>
        </w:tc>
        <w:tc>
          <w:tcPr>
            <w:tcW w:w="1655" w:type="dxa"/>
            <w:tcBorders>
              <w:top w:val="single" w:color="auto" w:sz="12" w:space="0"/>
            </w:tcBorders>
            <w:vAlign w:val="center"/>
          </w:tcPr>
          <w:p w14:paraId="127D7ACE">
            <w:pPr>
              <w:pStyle w:val="1553"/>
              <w:adjustRightInd w:val="0"/>
              <w:snapToGrid w:val="0"/>
              <w:spacing w:line="240" w:lineRule="auto"/>
              <w:ind w:firstLine="0" w:firstLineChars="0"/>
              <w:jc w:val="center"/>
              <w:rPr>
                <w:rFonts w:ascii="Times New Roman" w:hAnsi="Times New Roman"/>
                <w:b/>
                <w:bCs/>
                <w:color w:val="auto"/>
                <w:szCs w:val="21"/>
                <w:highlight w:val="none"/>
              </w:rPr>
            </w:pPr>
            <w:r>
              <w:rPr>
                <w:rFonts w:ascii="Times New Roman" w:hAnsi="Times New Roman"/>
                <w:b/>
                <w:bCs/>
                <w:color w:val="auto"/>
                <w:szCs w:val="21"/>
                <w:highlight w:val="none"/>
              </w:rPr>
              <w:t>扬尘排放系数</w:t>
            </w:r>
          </w:p>
          <w:p w14:paraId="72DCFEAF">
            <w:pPr>
              <w:pStyle w:val="1553"/>
              <w:adjustRightInd w:val="0"/>
              <w:snapToGrid w:val="0"/>
              <w:spacing w:line="240" w:lineRule="auto"/>
              <w:ind w:firstLine="0" w:firstLineChars="0"/>
              <w:jc w:val="center"/>
              <w:rPr>
                <w:rFonts w:ascii="Times New Roman" w:hAnsi="Times New Roman"/>
                <w:b/>
                <w:bCs/>
                <w:color w:val="auto"/>
                <w:szCs w:val="21"/>
                <w:highlight w:val="none"/>
              </w:rPr>
            </w:pPr>
            <w:r>
              <w:rPr>
                <w:rFonts w:ascii="Times New Roman" w:hAnsi="Times New Roman"/>
                <w:b/>
                <w:bCs/>
                <w:color w:val="auto"/>
                <w:szCs w:val="21"/>
                <w:highlight w:val="none"/>
              </w:rPr>
              <w:t>kg/（m</w:t>
            </w:r>
            <w:r>
              <w:rPr>
                <w:rFonts w:ascii="Times New Roman" w:hAnsi="Times New Roman"/>
                <w:b/>
                <w:bCs/>
                <w:color w:val="auto"/>
                <w:szCs w:val="21"/>
                <w:highlight w:val="none"/>
                <w:vertAlign w:val="superscript"/>
              </w:rPr>
              <w:t>2</w:t>
            </w:r>
            <w:r>
              <w:rPr>
                <w:rFonts w:ascii="Times New Roman" w:hAnsi="Times New Roman"/>
                <w:b/>
                <w:bCs/>
                <w:color w:val="auto"/>
                <w:szCs w:val="21"/>
                <w:highlight w:val="none"/>
              </w:rPr>
              <w:t>.月）</w:t>
            </w:r>
          </w:p>
        </w:tc>
        <w:tc>
          <w:tcPr>
            <w:tcW w:w="1185" w:type="dxa"/>
            <w:tcBorders>
              <w:top w:val="single" w:color="auto" w:sz="12" w:space="0"/>
            </w:tcBorders>
            <w:vAlign w:val="center"/>
          </w:tcPr>
          <w:p w14:paraId="23237537">
            <w:pPr>
              <w:pStyle w:val="1553"/>
              <w:adjustRightInd w:val="0"/>
              <w:snapToGrid w:val="0"/>
              <w:spacing w:line="240" w:lineRule="auto"/>
              <w:ind w:firstLine="0" w:firstLineChars="0"/>
              <w:jc w:val="center"/>
              <w:rPr>
                <w:rFonts w:ascii="Times New Roman" w:hAnsi="Times New Roman"/>
                <w:b/>
                <w:bCs/>
                <w:color w:val="auto"/>
                <w:szCs w:val="21"/>
                <w:highlight w:val="none"/>
              </w:rPr>
            </w:pPr>
            <w:r>
              <w:rPr>
                <w:rFonts w:ascii="Times New Roman" w:hAnsi="Times New Roman"/>
                <w:b/>
                <w:bCs/>
                <w:color w:val="auto"/>
                <w:szCs w:val="21"/>
                <w:highlight w:val="none"/>
              </w:rPr>
              <w:t>扬尘类型</w:t>
            </w:r>
          </w:p>
        </w:tc>
        <w:tc>
          <w:tcPr>
            <w:tcW w:w="2731" w:type="dxa"/>
            <w:tcBorders>
              <w:top w:val="single" w:color="auto" w:sz="12" w:space="0"/>
            </w:tcBorders>
            <w:vAlign w:val="center"/>
          </w:tcPr>
          <w:p w14:paraId="2254795A">
            <w:pPr>
              <w:pStyle w:val="1553"/>
              <w:adjustRightInd w:val="0"/>
              <w:snapToGrid w:val="0"/>
              <w:spacing w:line="240" w:lineRule="auto"/>
              <w:ind w:firstLine="0" w:firstLineChars="0"/>
              <w:jc w:val="center"/>
              <w:rPr>
                <w:rFonts w:ascii="Times New Roman" w:hAnsi="Times New Roman"/>
                <w:b/>
                <w:bCs/>
                <w:color w:val="auto"/>
                <w:szCs w:val="21"/>
                <w:highlight w:val="none"/>
              </w:rPr>
            </w:pPr>
            <w:r>
              <w:rPr>
                <w:rFonts w:ascii="Times New Roman" w:hAnsi="Times New Roman"/>
                <w:b/>
                <w:bCs/>
                <w:color w:val="auto"/>
                <w:szCs w:val="21"/>
                <w:highlight w:val="none"/>
              </w:rPr>
              <w:t>扬尘防治措施</w:t>
            </w:r>
          </w:p>
        </w:tc>
        <w:tc>
          <w:tcPr>
            <w:tcW w:w="1857" w:type="dxa"/>
            <w:tcBorders>
              <w:top w:val="single" w:color="auto" w:sz="12" w:space="0"/>
              <w:right w:val="nil"/>
            </w:tcBorders>
            <w:vAlign w:val="center"/>
          </w:tcPr>
          <w:p w14:paraId="1DC03848">
            <w:pPr>
              <w:pStyle w:val="1553"/>
              <w:adjustRightInd w:val="0"/>
              <w:snapToGrid w:val="0"/>
              <w:spacing w:line="240" w:lineRule="auto"/>
              <w:ind w:firstLine="0" w:firstLineChars="0"/>
              <w:jc w:val="center"/>
              <w:rPr>
                <w:rFonts w:ascii="Times New Roman" w:hAnsi="Times New Roman"/>
                <w:b/>
                <w:bCs/>
                <w:color w:val="auto"/>
                <w:szCs w:val="21"/>
                <w:highlight w:val="none"/>
              </w:rPr>
            </w:pPr>
            <w:r>
              <w:rPr>
                <w:rFonts w:ascii="Times New Roman" w:hAnsi="Times New Roman"/>
                <w:b/>
                <w:bCs/>
                <w:color w:val="auto"/>
                <w:szCs w:val="21"/>
                <w:highlight w:val="none"/>
              </w:rPr>
              <w:t>排放量削减系数kg/（m</w:t>
            </w:r>
            <w:r>
              <w:rPr>
                <w:rFonts w:ascii="Times New Roman" w:hAnsi="Times New Roman"/>
                <w:b/>
                <w:bCs/>
                <w:color w:val="auto"/>
                <w:szCs w:val="21"/>
                <w:highlight w:val="none"/>
                <w:vertAlign w:val="superscript"/>
              </w:rPr>
              <w:t>2</w:t>
            </w:r>
            <w:r>
              <w:rPr>
                <w:rFonts w:ascii="Times New Roman" w:hAnsi="Times New Roman"/>
                <w:b/>
                <w:bCs/>
                <w:color w:val="auto"/>
                <w:szCs w:val="21"/>
                <w:highlight w:val="none"/>
              </w:rPr>
              <w:t>.月）</w:t>
            </w:r>
          </w:p>
        </w:tc>
      </w:tr>
      <w:tr w14:paraId="00155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56" w:type="dxa"/>
            <w:vMerge w:val="restart"/>
            <w:tcBorders>
              <w:left w:val="nil"/>
            </w:tcBorders>
            <w:vAlign w:val="center"/>
          </w:tcPr>
          <w:p w14:paraId="7D1AB289">
            <w:pPr>
              <w:pStyle w:val="1553"/>
              <w:adjustRightInd w:val="0"/>
              <w:snapToGrid w:val="0"/>
              <w:spacing w:line="240" w:lineRule="auto"/>
              <w:ind w:firstLine="0" w:firstLineChars="0"/>
              <w:jc w:val="center"/>
              <w:rPr>
                <w:rFonts w:ascii="Times New Roman" w:hAnsi="Times New Roman"/>
                <w:color w:val="auto"/>
                <w:szCs w:val="21"/>
                <w:highlight w:val="none"/>
              </w:rPr>
            </w:pPr>
            <w:r>
              <w:rPr>
                <w:rFonts w:ascii="Times New Roman" w:hAnsi="Times New Roman"/>
                <w:color w:val="auto"/>
                <w:szCs w:val="21"/>
                <w:highlight w:val="none"/>
              </w:rPr>
              <w:t>建筑工地</w:t>
            </w:r>
          </w:p>
        </w:tc>
        <w:tc>
          <w:tcPr>
            <w:tcW w:w="1655" w:type="dxa"/>
            <w:vMerge w:val="restart"/>
            <w:vAlign w:val="center"/>
          </w:tcPr>
          <w:p w14:paraId="0440392B">
            <w:pPr>
              <w:pStyle w:val="1553"/>
              <w:adjustRightInd w:val="0"/>
              <w:snapToGrid w:val="0"/>
              <w:spacing w:line="240" w:lineRule="auto"/>
              <w:ind w:firstLine="0" w:firstLineChars="0"/>
              <w:jc w:val="center"/>
              <w:rPr>
                <w:rFonts w:ascii="Times New Roman" w:hAnsi="Times New Roman"/>
                <w:color w:val="auto"/>
                <w:szCs w:val="21"/>
                <w:highlight w:val="none"/>
              </w:rPr>
            </w:pPr>
            <w:r>
              <w:rPr>
                <w:rFonts w:ascii="Times New Roman" w:hAnsi="Times New Roman"/>
                <w:color w:val="auto"/>
                <w:szCs w:val="21"/>
                <w:highlight w:val="none"/>
              </w:rPr>
              <w:t>1.01</w:t>
            </w:r>
          </w:p>
        </w:tc>
        <w:tc>
          <w:tcPr>
            <w:tcW w:w="1185" w:type="dxa"/>
            <w:vMerge w:val="restart"/>
            <w:vAlign w:val="center"/>
          </w:tcPr>
          <w:p w14:paraId="2EDDE2CA">
            <w:pPr>
              <w:pStyle w:val="1553"/>
              <w:adjustRightInd w:val="0"/>
              <w:snapToGrid w:val="0"/>
              <w:spacing w:line="240" w:lineRule="auto"/>
              <w:ind w:firstLine="0" w:firstLineChars="0"/>
              <w:jc w:val="center"/>
              <w:rPr>
                <w:rFonts w:ascii="Times New Roman" w:hAnsi="Times New Roman"/>
                <w:color w:val="auto"/>
                <w:szCs w:val="21"/>
                <w:highlight w:val="none"/>
              </w:rPr>
            </w:pPr>
            <w:r>
              <w:rPr>
                <w:rFonts w:ascii="Times New Roman" w:hAnsi="Times New Roman"/>
                <w:color w:val="auto"/>
                <w:szCs w:val="21"/>
                <w:highlight w:val="none"/>
              </w:rPr>
              <w:t>一次扬尘</w:t>
            </w:r>
          </w:p>
        </w:tc>
        <w:tc>
          <w:tcPr>
            <w:tcW w:w="2731" w:type="dxa"/>
            <w:vAlign w:val="center"/>
          </w:tcPr>
          <w:p w14:paraId="115233C1">
            <w:pPr>
              <w:pStyle w:val="1553"/>
              <w:adjustRightInd w:val="0"/>
              <w:snapToGrid w:val="0"/>
              <w:spacing w:line="240" w:lineRule="auto"/>
              <w:ind w:firstLine="0" w:firstLineChars="0"/>
              <w:jc w:val="center"/>
              <w:rPr>
                <w:rFonts w:ascii="Times New Roman" w:hAnsi="Times New Roman"/>
                <w:color w:val="auto"/>
                <w:szCs w:val="21"/>
                <w:highlight w:val="none"/>
              </w:rPr>
            </w:pPr>
            <w:r>
              <w:rPr>
                <w:rFonts w:ascii="Times New Roman" w:hAnsi="Times New Roman"/>
                <w:color w:val="auto"/>
                <w:szCs w:val="21"/>
                <w:highlight w:val="none"/>
              </w:rPr>
              <w:t>道路硬化措施</w:t>
            </w:r>
          </w:p>
        </w:tc>
        <w:tc>
          <w:tcPr>
            <w:tcW w:w="1857" w:type="dxa"/>
            <w:tcBorders>
              <w:right w:val="nil"/>
            </w:tcBorders>
            <w:vAlign w:val="center"/>
          </w:tcPr>
          <w:p w14:paraId="19983AD3">
            <w:pPr>
              <w:pStyle w:val="1553"/>
              <w:adjustRightInd w:val="0"/>
              <w:snapToGrid w:val="0"/>
              <w:spacing w:line="240" w:lineRule="auto"/>
              <w:ind w:firstLine="0" w:firstLineChars="0"/>
              <w:jc w:val="center"/>
              <w:rPr>
                <w:rFonts w:ascii="Times New Roman" w:hAnsi="Times New Roman"/>
                <w:color w:val="auto"/>
                <w:szCs w:val="21"/>
                <w:highlight w:val="none"/>
              </w:rPr>
            </w:pPr>
            <w:r>
              <w:rPr>
                <w:rFonts w:ascii="Times New Roman" w:hAnsi="Times New Roman"/>
                <w:color w:val="auto"/>
                <w:szCs w:val="21"/>
                <w:highlight w:val="none"/>
              </w:rPr>
              <w:t>0.071</w:t>
            </w:r>
          </w:p>
        </w:tc>
      </w:tr>
      <w:tr w14:paraId="649D6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56" w:type="dxa"/>
            <w:vMerge w:val="continue"/>
            <w:tcBorders>
              <w:left w:val="nil"/>
            </w:tcBorders>
            <w:vAlign w:val="center"/>
          </w:tcPr>
          <w:p w14:paraId="4EB502E9">
            <w:pPr>
              <w:pStyle w:val="1553"/>
              <w:adjustRightInd w:val="0"/>
              <w:snapToGrid w:val="0"/>
              <w:spacing w:line="240" w:lineRule="auto"/>
              <w:ind w:firstLine="0" w:firstLineChars="0"/>
              <w:jc w:val="center"/>
              <w:rPr>
                <w:rFonts w:ascii="Times New Roman" w:hAnsi="Times New Roman"/>
                <w:color w:val="auto"/>
                <w:szCs w:val="21"/>
                <w:highlight w:val="none"/>
              </w:rPr>
            </w:pPr>
          </w:p>
        </w:tc>
        <w:tc>
          <w:tcPr>
            <w:tcW w:w="1655" w:type="dxa"/>
            <w:vMerge w:val="continue"/>
            <w:vAlign w:val="center"/>
          </w:tcPr>
          <w:p w14:paraId="113D8B4D">
            <w:pPr>
              <w:pStyle w:val="1553"/>
              <w:adjustRightInd w:val="0"/>
              <w:snapToGrid w:val="0"/>
              <w:spacing w:line="240" w:lineRule="auto"/>
              <w:ind w:firstLine="0" w:firstLineChars="0"/>
              <w:jc w:val="center"/>
              <w:rPr>
                <w:rFonts w:ascii="Times New Roman" w:hAnsi="Times New Roman"/>
                <w:color w:val="auto"/>
                <w:szCs w:val="21"/>
                <w:highlight w:val="none"/>
              </w:rPr>
            </w:pPr>
          </w:p>
        </w:tc>
        <w:tc>
          <w:tcPr>
            <w:tcW w:w="1185" w:type="dxa"/>
            <w:vMerge w:val="continue"/>
            <w:vAlign w:val="center"/>
          </w:tcPr>
          <w:p w14:paraId="0115C43F">
            <w:pPr>
              <w:pStyle w:val="1553"/>
              <w:adjustRightInd w:val="0"/>
              <w:snapToGrid w:val="0"/>
              <w:spacing w:line="240" w:lineRule="auto"/>
              <w:ind w:firstLine="0" w:firstLineChars="0"/>
              <w:jc w:val="center"/>
              <w:rPr>
                <w:rFonts w:ascii="Times New Roman" w:hAnsi="Times New Roman"/>
                <w:color w:val="auto"/>
                <w:szCs w:val="21"/>
                <w:highlight w:val="none"/>
              </w:rPr>
            </w:pPr>
          </w:p>
        </w:tc>
        <w:tc>
          <w:tcPr>
            <w:tcW w:w="2731" w:type="dxa"/>
            <w:vAlign w:val="center"/>
          </w:tcPr>
          <w:p w14:paraId="3B164C00">
            <w:pPr>
              <w:pStyle w:val="1553"/>
              <w:adjustRightInd w:val="0"/>
              <w:snapToGrid w:val="0"/>
              <w:spacing w:line="240" w:lineRule="auto"/>
              <w:ind w:firstLine="0" w:firstLineChars="0"/>
              <w:jc w:val="center"/>
              <w:rPr>
                <w:rFonts w:ascii="Times New Roman" w:hAnsi="Times New Roman"/>
                <w:color w:val="auto"/>
                <w:szCs w:val="21"/>
                <w:highlight w:val="none"/>
              </w:rPr>
            </w:pPr>
            <w:r>
              <w:rPr>
                <w:rFonts w:ascii="Times New Roman" w:hAnsi="Times New Roman"/>
                <w:color w:val="auto"/>
                <w:szCs w:val="21"/>
                <w:highlight w:val="none"/>
              </w:rPr>
              <w:t>边界围挡</w:t>
            </w:r>
          </w:p>
        </w:tc>
        <w:tc>
          <w:tcPr>
            <w:tcW w:w="1857" w:type="dxa"/>
            <w:tcBorders>
              <w:right w:val="nil"/>
            </w:tcBorders>
            <w:vAlign w:val="center"/>
          </w:tcPr>
          <w:p w14:paraId="616E6ECC">
            <w:pPr>
              <w:pStyle w:val="1553"/>
              <w:adjustRightInd w:val="0"/>
              <w:snapToGrid w:val="0"/>
              <w:spacing w:line="240" w:lineRule="auto"/>
              <w:ind w:firstLine="0" w:firstLineChars="0"/>
              <w:jc w:val="center"/>
              <w:rPr>
                <w:rFonts w:ascii="Times New Roman" w:hAnsi="Times New Roman"/>
                <w:color w:val="auto"/>
                <w:szCs w:val="21"/>
                <w:highlight w:val="none"/>
              </w:rPr>
            </w:pPr>
            <w:r>
              <w:rPr>
                <w:rFonts w:ascii="Times New Roman" w:hAnsi="Times New Roman"/>
                <w:color w:val="auto"/>
                <w:szCs w:val="21"/>
                <w:highlight w:val="none"/>
              </w:rPr>
              <w:t>0.047</w:t>
            </w:r>
          </w:p>
        </w:tc>
      </w:tr>
      <w:tr w14:paraId="25123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56" w:type="dxa"/>
            <w:vMerge w:val="continue"/>
            <w:tcBorders>
              <w:left w:val="nil"/>
            </w:tcBorders>
            <w:vAlign w:val="center"/>
          </w:tcPr>
          <w:p w14:paraId="04D4B82D">
            <w:pPr>
              <w:pStyle w:val="1553"/>
              <w:adjustRightInd w:val="0"/>
              <w:snapToGrid w:val="0"/>
              <w:spacing w:line="240" w:lineRule="auto"/>
              <w:ind w:firstLine="0" w:firstLineChars="0"/>
              <w:jc w:val="center"/>
              <w:rPr>
                <w:rFonts w:ascii="Times New Roman" w:hAnsi="Times New Roman"/>
                <w:color w:val="auto"/>
                <w:szCs w:val="21"/>
                <w:highlight w:val="none"/>
              </w:rPr>
            </w:pPr>
          </w:p>
        </w:tc>
        <w:tc>
          <w:tcPr>
            <w:tcW w:w="1655" w:type="dxa"/>
            <w:vMerge w:val="continue"/>
            <w:vAlign w:val="center"/>
          </w:tcPr>
          <w:p w14:paraId="6FAA5702">
            <w:pPr>
              <w:pStyle w:val="1553"/>
              <w:adjustRightInd w:val="0"/>
              <w:snapToGrid w:val="0"/>
              <w:spacing w:line="240" w:lineRule="auto"/>
              <w:ind w:firstLine="0" w:firstLineChars="0"/>
              <w:jc w:val="center"/>
              <w:rPr>
                <w:rFonts w:ascii="Times New Roman" w:hAnsi="Times New Roman"/>
                <w:color w:val="auto"/>
                <w:szCs w:val="21"/>
                <w:highlight w:val="none"/>
              </w:rPr>
            </w:pPr>
          </w:p>
        </w:tc>
        <w:tc>
          <w:tcPr>
            <w:tcW w:w="1185" w:type="dxa"/>
            <w:vMerge w:val="continue"/>
            <w:vAlign w:val="center"/>
          </w:tcPr>
          <w:p w14:paraId="74D8DE8F">
            <w:pPr>
              <w:pStyle w:val="1553"/>
              <w:adjustRightInd w:val="0"/>
              <w:snapToGrid w:val="0"/>
              <w:spacing w:line="240" w:lineRule="auto"/>
              <w:ind w:firstLine="0" w:firstLineChars="0"/>
              <w:jc w:val="center"/>
              <w:rPr>
                <w:rFonts w:ascii="Times New Roman" w:hAnsi="Times New Roman"/>
                <w:color w:val="auto"/>
                <w:szCs w:val="21"/>
                <w:highlight w:val="none"/>
              </w:rPr>
            </w:pPr>
          </w:p>
        </w:tc>
        <w:tc>
          <w:tcPr>
            <w:tcW w:w="2731" w:type="dxa"/>
            <w:vAlign w:val="center"/>
          </w:tcPr>
          <w:p w14:paraId="3EDF1773">
            <w:pPr>
              <w:pStyle w:val="1553"/>
              <w:adjustRightInd w:val="0"/>
              <w:snapToGrid w:val="0"/>
              <w:spacing w:line="240" w:lineRule="auto"/>
              <w:ind w:firstLine="0" w:firstLineChars="0"/>
              <w:jc w:val="center"/>
              <w:rPr>
                <w:rFonts w:ascii="Times New Roman" w:hAnsi="Times New Roman"/>
                <w:color w:val="auto"/>
                <w:szCs w:val="21"/>
                <w:highlight w:val="none"/>
              </w:rPr>
            </w:pPr>
            <w:r>
              <w:rPr>
                <w:rFonts w:ascii="Times New Roman" w:hAnsi="Times New Roman"/>
                <w:color w:val="auto"/>
                <w:szCs w:val="21"/>
                <w:highlight w:val="none"/>
              </w:rPr>
              <w:t>裸露地面覆盖</w:t>
            </w:r>
          </w:p>
        </w:tc>
        <w:tc>
          <w:tcPr>
            <w:tcW w:w="1857" w:type="dxa"/>
            <w:tcBorders>
              <w:right w:val="nil"/>
            </w:tcBorders>
            <w:vAlign w:val="center"/>
          </w:tcPr>
          <w:p w14:paraId="0F93683A">
            <w:pPr>
              <w:pStyle w:val="1553"/>
              <w:adjustRightInd w:val="0"/>
              <w:snapToGrid w:val="0"/>
              <w:spacing w:line="240" w:lineRule="auto"/>
              <w:ind w:firstLine="0" w:firstLineChars="0"/>
              <w:jc w:val="center"/>
              <w:rPr>
                <w:rFonts w:ascii="Times New Roman" w:hAnsi="Times New Roman"/>
                <w:color w:val="auto"/>
                <w:szCs w:val="21"/>
                <w:highlight w:val="none"/>
              </w:rPr>
            </w:pPr>
            <w:r>
              <w:rPr>
                <w:rFonts w:ascii="Times New Roman" w:hAnsi="Times New Roman"/>
                <w:color w:val="auto"/>
                <w:szCs w:val="21"/>
                <w:highlight w:val="none"/>
              </w:rPr>
              <w:t>0.047</w:t>
            </w:r>
          </w:p>
        </w:tc>
      </w:tr>
      <w:tr w14:paraId="66F34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56" w:type="dxa"/>
            <w:vMerge w:val="continue"/>
            <w:tcBorders>
              <w:left w:val="nil"/>
            </w:tcBorders>
            <w:vAlign w:val="center"/>
          </w:tcPr>
          <w:p w14:paraId="47D04B2D">
            <w:pPr>
              <w:pStyle w:val="1553"/>
              <w:adjustRightInd w:val="0"/>
              <w:snapToGrid w:val="0"/>
              <w:spacing w:line="240" w:lineRule="auto"/>
              <w:ind w:firstLine="0" w:firstLineChars="0"/>
              <w:jc w:val="center"/>
              <w:rPr>
                <w:rFonts w:ascii="Times New Roman" w:hAnsi="Times New Roman"/>
                <w:color w:val="auto"/>
                <w:szCs w:val="21"/>
                <w:highlight w:val="none"/>
              </w:rPr>
            </w:pPr>
          </w:p>
        </w:tc>
        <w:tc>
          <w:tcPr>
            <w:tcW w:w="1655" w:type="dxa"/>
            <w:vMerge w:val="continue"/>
            <w:vAlign w:val="center"/>
          </w:tcPr>
          <w:p w14:paraId="1CE0C7FB">
            <w:pPr>
              <w:pStyle w:val="1553"/>
              <w:adjustRightInd w:val="0"/>
              <w:snapToGrid w:val="0"/>
              <w:spacing w:line="240" w:lineRule="auto"/>
              <w:ind w:firstLine="0" w:firstLineChars="0"/>
              <w:jc w:val="center"/>
              <w:rPr>
                <w:rFonts w:ascii="Times New Roman" w:hAnsi="Times New Roman"/>
                <w:color w:val="auto"/>
                <w:szCs w:val="21"/>
                <w:highlight w:val="none"/>
              </w:rPr>
            </w:pPr>
          </w:p>
        </w:tc>
        <w:tc>
          <w:tcPr>
            <w:tcW w:w="1185" w:type="dxa"/>
            <w:vMerge w:val="continue"/>
            <w:vAlign w:val="center"/>
          </w:tcPr>
          <w:p w14:paraId="7664985C">
            <w:pPr>
              <w:pStyle w:val="1553"/>
              <w:adjustRightInd w:val="0"/>
              <w:snapToGrid w:val="0"/>
              <w:spacing w:line="240" w:lineRule="auto"/>
              <w:ind w:firstLine="0" w:firstLineChars="0"/>
              <w:jc w:val="center"/>
              <w:rPr>
                <w:rFonts w:ascii="Times New Roman" w:hAnsi="Times New Roman"/>
                <w:color w:val="auto"/>
                <w:szCs w:val="21"/>
                <w:highlight w:val="none"/>
              </w:rPr>
            </w:pPr>
          </w:p>
        </w:tc>
        <w:tc>
          <w:tcPr>
            <w:tcW w:w="2731" w:type="dxa"/>
            <w:vAlign w:val="center"/>
          </w:tcPr>
          <w:p w14:paraId="0C35F9C3">
            <w:pPr>
              <w:pStyle w:val="1553"/>
              <w:adjustRightInd w:val="0"/>
              <w:snapToGrid w:val="0"/>
              <w:spacing w:line="240" w:lineRule="auto"/>
              <w:ind w:firstLine="0" w:firstLineChars="0"/>
              <w:jc w:val="center"/>
              <w:rPr>
                <w:rFonts w:ascii="Times New Roman" w:hAnsi="Times New Roman"/>
                <w:color w:val="auto"/>
                <w:szCs w:val="21"/>
                <w:highlight w:val="none"/>
              </w:rPr>
            </w:pPr>
            <w:r>
              <w:rPr>
                <w:rFonts w:ascii="Times New Roman" w:hAnsi="Times New Roman"/>
                <w:color w:val="auto"/>
                <w:szCs w:val="21"/>
                <w:highlight w:val="none"/>
              </w:rPr>
              <w:t>易扬尘物料覆盖</w:t>
            </w:r>
          </w:p>
        </w:tc>
        <w:tc>
          <w:tcPr>
            <w:tcW w:w="1857" w:type="dxa"/>
            <w:tcBorders>
              <w:right w:val="nil"/>
            </w:tcBorders>
            <w:vAlign w:val="center"/>
          </w:tcPr>
          <w:p w14:paraId="0DBB5688">
            <w:pPr>
              <w:pStyle w:val="1553"/>
              <w:adjustRightInd w:val="0"/>
              <w:snapToGrid w:val="0"/>
              <w:spacing w:line="240" w:lineRule="auto"/>
              <w:ind w:firstLine="0" w:firstLineChars="0"/>
              <w:jc w:val="center"/>
              <w:rPr>
                <w:rFonts w:ascii="Times New Roman" w:hAnsi="Times New Roman"/>
                <w:color w:val="auto"/>
                <w:szCs w:val="21"/>
                <w:highlight w:val="none"/>
              </w:rPr>
            </w:pPr>
            <w:r>
              <w:rPr>
                <w:rFonts w:ascii="Times New Roman" w:hAnsi="Times New Roman"/>
                <w:color w:val="auto"/>
                <w:szCs w:val="21"/>
                <w:highlight w:val="none"/>
              </w:rPr>
              <w:t>0.025</w:t>
            </w:r>
          </w:p>
        </w:tc>
      </w:tr>
      <w:tr w14:paraId="3605E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56" w:type="dxa"/>
            <w:vMerge w:val="continue"/>
            <w:tcBorders>
              <w:left w:val="nil"/>
            </w:tcBorders>
            <w:vAlign w:val="center"/>
          </w:tcPr>
          <w:p w14:paraId="1DA03238">
            <w:pPr>
              <w:pStyle w:val="1553"/>
              <w:adjustRightInd w:val="0"/>
              <w:snapToGrid w:val="0"/>
              <w:spacing w:line="240" w:lineRule="auto"/>
              <w:ind w:firstLine="0" w:firstLineChars="0"/>
              <w:jc w:val="center"/>
              <w:rPr>
                <w:rFonts w:ascii="Times New Roman" w:hAnsi="Times New Roman"/>
                <w:color w:val="auto"/>
                <w:szCs w:val="21"/>
                <w:highlight w:val="none"/>
              </w:rPr>
            </w:pPr>
          </w:p>
        </w:tc>
        <w:tc>
          <w:tcPr>
            <w:tcW w:w="1655" w:type="dxa"/>
            <w:vMerge w:val="continue"/>
            <w:vAlign w:val="center"/>
          </w:tcPr>
          <w:p w14:paraId="25B34CFC">
            <w:pPr>
              <w:pStyle w:val="1553"/>
              <w:adjustRightInd w:val="0"/>
              <w:snapToGrid w:val="0"/>
              <w:spacing w:line="240" w:lineRule="auto"/>
              <w:ind w:firstLine="0" w:firstLineChars="0"/>
              <w:jc w:val="center"/>
              <w:rPr>
                <w:rFonts w:ascii="Times New Roman" w:hAnsi="Times New Roman"/>
                <w:color w:val="auto"/>
                <w:szCs w:val="21"/>
                <w:highlight w:val="none"/>
              </w:rPr>
            </w:pPr>
          </w:p>
        </w:tc>
        <w:tc>
          <w:tcPr>
            <w:tcW w:w="1185" w:type="dxa"/>
            <w:vMerge w:val="continue"/>
            <w:vAlign w:val="center"/>
          </w:tcPr>
          <w:p w14:paraId="6A9D33B0">
            <w:pPr>
              <w:pStyle w:val="1553"/>
              <w:adjustRightInd w:val="0"/>
              <w:snapToGrid w:val="0"/>
              <w:spacing w:line="240" w:lineRule="auto"/>
              <w:ind w:firstLine="0" w:firstLineChars="0"/>
              <w:jc w:val="center"/>
              <w:rPr>
                <w:rFonts w:ascii="Times New Roman" w:hAnsi="Times New Roman"/>
                <w:color w:val="auto"/>
                <w:szCs w:val="21"/>
                <w:highlight w:val="none"/>
              </w:rPr>
            </w:pPr>
          </w:p>
        </w:tc>
        <w:tc>
          <w:tcPr>
            <w:tcW w:w="2731" w:type="dxa"/>
            <w:vAlign w:val="center"/>
          </w:tcPr>
          <w:p w14:paraId="2BD4E678">
            <w:pPr>
              <w:pStyle w:val="1553"/>
              <w:adjustRightInd w:val="0"/>
              <w:snapToGrid w:val="0"/>
              <w:spacing w:line="240" w:lineRule="auto"/>
              <w:ind w:firstLine="0" w:firstLineChars="0"/>
              <w:jc w:val="center"/>
              <w:rPr>
                <w:rFonts w:ascii="Times New Roman" w:hAnsi="Times New Roman"/>
                <w:color w:val="auto"/>
                <w:szCs w:val="21"/>
                <w:highlight w:val="none"/>
              </w:rPr>
            </w:pPr>
            <w:r>
              <w:rPr>
                <w:rFonts w:ascii="Times New Roman" w:hAnsi="Times New Roman"/>
                <w:color w:val="auto"/>
                <w:szCs w:val="21"/>
                <w:highlight w:val="none"/>
              </w:rPr>
              <w:t>定期喷洒抑制剂</w:t>
            </w:r>
          </w:p>
        </w:tc>
        <w:tc>
          <w:tcPr>
            <w:tcW w:w="1857" w:type="dxa"/>
            <w:tcBorders>
              <w:right w:val="nil"/>
            </w:tcBorders>
            <w:vAlign w:val="center"/>
          </w:tcPr>
          <w:p w14:paraId="219A42EB">
            <w:pPr>
              <w:pStyle w:val="1553"/>
              <w:adjustRightInd w:val="0"/>
              <w:snapToGrid w:val="0"/>
              <w:spacing w:line="240" w:lineRule="auto"/>
              <w:ind w:firstLine="0" w:firstLineChars="0"/>
              <w:jc w:val="center"/>
              <w:rPr>
                <w:rFonts w:ascii="Times New Roman" w:hAnsi="Times New Roman"/>
                <w:color w:val="auto"/>
                <w:szCs w:val="21"/>
                <w:highlight w:val="none"/>
              </w:rPr>
            </w:pPr>
            <w:r>
              <w:rPr>
                <w:rFonts w:ascii="Times New Roman" w:hAnsi="Times New Roman"/>
                <w:color w:val="auto"/>
                <w:szCs w:val="21"/>
                <w:highlight w:val="none"/>
              </w:rPr>
              <w:t>0.03</w:t>
            </w:r>
          </w:p>
        </w:tc>
      </w:tr>
      <w:tr w14:paraId="7E366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56" w:type="dxa"/>
            <w:vMerge w:val="continue"/>
            <w:tcBorders>
              <w:left w:val="nil"/>
            </w:tcBorders>
            <w:vAlign w:val="center"/>
          </w:tcPr>
          <w:p w14:paraId="1AE70D7B">
            <w:pPr>
              <w:pStyle w:val="1553"/>
              <w:adjustRightInd w:val="0"/>
              <w:snapToGrid w:val="0"/>
              <w:spacing w:line="240" w:lineRule="auto"/>
              <w:ind w:firstLine="0" w:firstLineChars="0"/>
              <w:jc w:val="center"/>
              <w:rPr>
                <w:rFonts w:ascii="Times New Roman" w:hAnsi="Times New Roman"/>
                <w:color w:val="auto"/>
                <w:szCs w:val="21"/>
                <w:highlight w:val="none"/>
              </w:rPr>
            </w:pPr>
          </w:p>
        </w:tc>
        <w:tc>
          <w:tcPr>
            <w:tcW w:w="1655" w:type="dxa"/>
            <w:vMerge w:val="continue"/>
            <w:vAlign w:val="center"/>
          </w:tcPr>
          <w:p w14:paraId="2CFCECC5">
            <w:pPr>
              <w:pStyle w:val="1553"/>
              <w:adjustRightInd w:val="0"/>
              <w:snapToGrid w:val="0"/>
              <w:spacing w:line="240" w:lineRule="auto"/>
              <w:ind w:firstLine="0" w:firstLineChars="0"/>
              <w:jc w:val="center"/>
              <w:rPr>
                <w:rFonts w:ascii="Times New Roman" w:hAnsi="Times New Roman"/>
                <w:color w:val="auto"/>
                <w:szCs w:val="21"/>
                <w:highlight w:val="none"/>
              </w:rPr>
            </w:pPr>
          </w:p>
        </w:tc>
        <w:tc>
          <w:tcPr>
            <w:tcW w:w="1185" w:type="dxa"/>
            <w:vMerge w:val="restart"/>
            <w:vAlign w:val="center"/>
          </w:tcPr>
          <w:p w14:paraId="7E14072C">
            <w:pPr>
              <w:pStyle w:val="1553"/>
              <w:adjustRightInd w:val="0"/>
              <w:snapToGrid w:val="0"/>
              <w:spacing w:line="240" w:lineRule="auto"/>
              <w:ind w:firstLine="0" w:firstLineChars="0"/>
              <w:jc w:val="center"/>
              <w:rPr>
                <w:rFonts w:ascii="Times New Roman" w:hAnsi="Times New Roman"/>
                <w:color w:val="auto"/>
                <w:szCs w:val="21"/>
                <w:highlight w:val="none"/>
              </w:rPr>
            </w:pPr>
            <w:r>
              <w:rPr>
                <w:rFonts w:ascii="Times New Roman" w:hAnsi="Times New Roman"/>
                <w:color w:val="auto"/>
                <w:szCs w:val="21"/>
                <w:highlight w:val="none"/>
              </w:rPr>
              <w:t>二次扬尘</w:t>
            </w:r>
          </w:p>
        </w:tc>
        <w:tc>
          <w:tcPr>
            <w:tcW w:w="2731" w:type="dxa"/>
            <w:vAlign w:val="center"/>
          </w:tcPr>
          <w:p w14:paraId="6164195F">
            <w:pPr>
              <w:pStyle w:val="1553"/>
              <w:adjustRightInd w:val="0"/>
              <w:snapToGrid w:val="0"/>
              <w:spacing w:line="240" w:lineRule="auto"/>
              <w:ind w:firstLine="0" w:firstLineChars="0"/>
              <w:jc w:val="center"/>
              <w:rPr>
                <w:rFonts w:ascii="Times New Roman" w:hAnsi="Times New Roman"/>
                <w:color w:val="auto"/>
                <w:szCs w:val="21"/>
                <w:highlight w:val="none"/>
              </w:rPr>
            </w:pPr>
            <w:r>
              <w:rPr>
                <w:rFonts w:ascii="Times New Roman" w:hAnsi="Times New Roman"/>
                <w:color w:val="auto"/>
                <w:szCs w:val="21"/>
                <w:highlight w:val="none"/>
              </w:rPr>
              <w:t>运输车辆机械冲洗装置</w:t>
            </w:r>
          </w:p>
        </w:tc>
        <w:tc>
          <w:tcPr>
            <w:tcW w:w="1857" w:type="dxa"/>
            <w:tcBorders>
              <w:right w:val="nil"/>
            </w:tcBorders>
            <w:vAlign w:val="center"/>
          </w:tcPr>
          <w:p w14:paraId="582E2B0D">
            <w:pPr>
              <w:pStyle w:val="1553"/>
              <w:adjustRightInd w:val="0"/>
              <w:snapToGrid w:val="0"/>
              <w:spacing w:line="240" w:lineRule="auto"/>
              <w:ind w:firstLine="0" w:firstLineChars="0"/>
              <w:jc w:val="center"/>
              <w:rPr>
                <w:rFonts w:ascii="Times New Roman" w:hAnsi="Times New Roman"/>
                <w:color w:val="auto"/>
                <w:szCs w:val="21"/>
                <w:highlight w:val="none"/>
              </w:rPr>
            </w:pPr>
            <w:r>
              <w:rPr>
                <w:rFonts w:ascii="Times New Roman" w:hAnsi="Times New Roman"/>
                <w:color w:val="auto"/>
                <w:szCs w:val="21"/>
                <w:highlight w:val="none"/>
              </w:rPr>
              <w:t>0.31</w:t>
            </w:r>
          </w:p>
        </w:tc>
      </w:tr>
      <w:tr w14:paraId="467CA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56" w:type="dxa"/>
            <w:vMerge w:val="continue"/>
            <w:tcBorders>
              <w:left w:val="nil"/>
              <w:bottom w:val="single" w:color="auto" w:sz="12" w:space="0"/>
            </w:tcBorders>
            <w:vAlign w:val="center"/>
          </w:tcPr>
          <w:p w14:paraId="092260FB">
            <w:pPr>
              <w:pStyle w:val="1553"/>
              <w:adjustRightInd w:val="0"/>
              <w:snapToGrid w:val="0"/>
              <w:spacing w:line="240" w:lineRule="auto"/>
              <w:ind w:firstLine="0" w:firstLineChars="0"/>
              <w:jc w:val="center"/>
              <w:rPr>
                <w:rFonts w:ascii="Times New Roman" w:hAnsi="Times New Roman"/>
                <w:color w:val="auto"/>
                <w:szCs w:val="21"/>
                <w:highlight w:val="none"/>
              </w:rPr>
            </w:pPr>
          </w:p>
        </w:tc>
        <w:tc>
          <w:tcPr>
            <w:tcW w:w="1655" w:type="dxa"/>
            <w:vMerge w:val="continue"/>
            <w:tcBorders>
              <w:bottom w:val="single" w:color="auto" w:sz="12" w:space="0"/>
            </w:tcBorders>
            <w:vAlign w:val="center"/>
          </w:tcPr>
          <w:p w14:paraId="06EF23A0">
            <w:pPr>
              <w:pStyle w:val="1553"/>
              <w:adjustRightInd w:val="0"/>
              <w:snapToGrid w:val="0"/>
              <w:spacing w:line="240" w:lineRule="auto"/>
              <w:ind w:firstLine="0" w:firstLineChars="0"/>
              <w:jc w:val="center"/>
              <w:rPr>
                <w:rFonts w:ascii="Times New Roman" w:hAnsi="Times New Roman"/>
                <w:color w:val="auto"/>
                <w:szCs w:val="21"/>
                <w:highlight w:val="none"/>
              </w:rPr>
            </w:pPr>
          </w:p>
        </w:tc>
        <w:tc>
          <w:tcPr>
            <w:tcW w:w="1185" w:type="dxa"/>
            <w:vMerge w:val="continue"/>
            <w:tcBorders>
              <w:bottom w:val="single" w:color="auto" w:sz="12" w:space="0"/>
            </w:tcBorders>
            <w:vAlign w:val="center"/>
          </w:tcPr>
          <w:p w14:paraId="1F366B92">
            <w:pPr>
              <w:pStyle w:val="1553"/>
              <w:adjustRightInd w:val="0"/>
              <w:snapToGrid w:val="0"/>
              <w:spacing w:line="240" w:lineRule="auto"/>
              <w:ind w:firstLine="0" w:firstLineChars="0"/>
              <w:jc w:val="center"/>
              <w:rPr>
                <w:rFonts w:ascii="Times New Roman" w:hAnsi="Times New Roman"/>
                <w:color w:val="auto"/>
                <w:szCs w:val="21"/>
                <w:highlight w:val="none"/>
              </w:rPr>
            </w:pPr>
          </w:p>
        </w:tc>
        <w:tc>
          <w:tcPr>
            <w:tcW w:w="2731" w:type="dxa"/>
            <w:tcBorders>
              <w:bottom w:val="single" w:color="auto" w:sz="12" w:space="0"/>
            </w:tcBorders>
            <w:vAlign w:val="center"/>
          </w:tcPr>
          <w:p w14:paraId="05C98D98">
            <w:pPr>
              <w:pStyle w:val="1553"/>
              <w:adjustRightInd w:val="0"/>
              <w:snapToGrid w:val="0"/>
              <w:spacing w:line="240" w:lineRule="auto"/>
              <w:ind w:firstLine="0" w:firstLineChars="0"/>
              <w:jc w:val="center"/>
              <w:rPr>
                <w:rFonts w:ascii="Times New Roman" w:hAnsi="Times New Roman"/>
                <w:color w:val="auto"/>
                <w:szCs w:val="21"/>
                <w:highlight w:val="none"/>
              </w:rPr>
            </w:pPr>
            <w:r>
              <w:rPr>
                <w:rFonts w:ascii="Times New Roman" w:hAnsi="Times New Roman"/>
                <w:color w:val="auto"/>
                <w:szCs w:val="21"/>
                <w:highlight w:val="none"/>
              </w:rPr>
              <w:t>运输车辆简易冲洗装置</w:t>
            </w:r>
          </w:p>
        </w:tc>
        <w:tc>
          <w:tcPr>
            <w:tcW w:w="1857" w:type="dxa"/>
            <w:tcBorders>
              <w:bottom w:val="single" w:color="auto" w:sz="12" w:space="0"/>
              <w:right w:val="nil"/>
            </w:tcBorders>
            <w:vAlign w:val="center"/>
          </w:tcPr>
          <w:p w14:paraId="2049B39F">
            <w:pPr>
              <w:pStyle w:val="1553"/>
              <w:adjustRightInd w:val="0"/>
              <w:snapToGrid w:val="0"/>
              <w:spacing w:line="240" w:lineRule="auto"/>
              <w:ind w:firstLine="0" w:firstLineChars="0"/>
              <w:jc w:val="center"/>
              <w:rPr>
                <w:rFonts w:ascii="Times New Roman" w:hAnsi="Times New Roman"/>
                <w:color w:val="auto"/>
                <w:szCs w:val="21"/>
                <w:highlight w:val="none"/>
              </w:rPr>
            </w:pPr>
            <w:r>
              <w:rPr>
                <w:rFonts w:ascii="Times New Roman" w:hAnsi="Times New Roman"/>
                <w:color w:val="auto"/>
                <w:szCs w:val="21"/>
                <w:highlight w:val="none"/>
              </w:rPr>
              <w:t>0.155</w:t>
            </w:r>
          </w:p>
        </w:tc>
      </w:tr>
    </w:tbl>
    <w:p w14:paraId="36E4A3BE">
      <w:pPr>
        <w:pStyle w:val="1553"/>
        <w:spacing w:line="360" w:lineRule="auto"/>
        <w:rPr>
          <w:rFonts w:ascii="Times New Roman" w:hAnsi="Times New Roman"/>
          <w:color w:val="auto"/>
          <w:sz w:val="24"/>
          <w:szCs w:val="24"/>
          <w:highlight w:val="none"/>
        </w:rPr>
      </w:pPr>
      <w:r>
        <w:rPr>
          <w:rFonts w:ascii="Times New Roman" w:hAnsi="Times New Roman"/>
          <w:color w:val="auto"/>
          <w:sz w:val="24"/>
          <w:szCs w:val="24"/>
          <w:highlight w:val="none"/>
        </w:rPr>
        <w:t>扬尘排放量（千克）=（扬尘产生量系数-扬尘排放量削减系数）（千克/平方米·月）×月建筑面积或施工面积（平方米）施工扬尘的排放量的核算公式如下：</w:t>
      </w:r>
    </w:p>
    <w:p w14:paraId="7C6A7DDF">
      <w:pPr>
        <w:pStyle w:val="1553"/>
        <w:adjustRightInd w:val="0"/>
        <w:snapToGrid w:val="0"/>
        <w:spacing w:before="120" w:beforeLines="50" w:after="120" w:afterLines="50" w:line="360" w:lineRule="auto"/>
        <w:ind w:firstLine="0" w:firstLineChars="0"/>
        <w:jc w:val="center"/>
        <w:rPr>
          <w:rFonts w:ascii="Times New Roman" w:hAnsi="Times New Roman"/>
          <w:color w:val="auto"/>
          <w:sz w:val="24"/>
          <w:szCs w:val="24"/>
          <w:highlight w:val="none"/>
        </w:rPr>
      </w:pPr>
      <w:r>
        <w:rPr>
          <w:rFonts w:ascii="Times New Roman" w:hAnsi="Times New Roman"/>
          <w:color w:val="auto"/>
          <w:sz w:val="24"/>
          <w:szCs w:val="24"/>
          <w:highlight w:val="none"/>
        </w:rPr>
        <w:drawing>
          <wp:inline distT="0" distB="0" distL="114300" distR="114300">
            <wp:extent cx="1450340" cy="207645"/>
            <wp:effectExtent l="0" t="0" r="16510" b="19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5"/>
                    <a:srcRect r="49581" b="87614"/>
                    <a:stretch>
                      <a:fillRect/>
                    </a:stretch>
                  </pic:blipFill>
                  <pic:spPr>
                    <a:xfrm>
                      <a:off x="0" y="0"/>
                      <a:ext cx="1450340" cy="207645"/>
                    </a:xfrm>
                    <a:prstGeom prst="rect">
                      <a:avLst/>
                    </a:prstGeom>
                    <a:noFill/>
                    <a:ln>
                      <a:noFill/>
                    </a:ln>
                  </pic:spPr>
                </pic:pic>
              </a:graphicData>
            </a:graphic>
          </wp:inline>
        </w:drawing>
      </w:r>
    </w:p>
    <w:p w14:paraId="1C6BC9A7">
      <w:pPr>
        <w:pStyle w:val="1553"/>
        <w:adjustRightInd w:val="0"/>
        <w:snapToGrid w:val="0"/>
        <w:spacing w:line="360" w:lineRule="auto"/>
        <w:ind w:left="720"/>
        <w:rPr>
          <w:rFonts w:ascii="Times New Roman" w:hAnsi="Times New Roman"/>
          <w:color w:val="auto"/>
          <w:sz w:val="24"/>
          <w:szCs w:val="24"/>
          <w:highlight w:val="none"/>
        </w:rPr>
      </w:pPr>
      <w:r>
        <w:rPr>
          <w:rFonts w:ascii="Times New Roman" w:hAnsi="Times New Roman"/>
          <w:color w:val="auto"/>
          <w:sz w:val="24"/>
          <w:szCs w:val="24"/>
          <w:highlight w:val="none"/>
        </w:rPr>
        <w:t>Wci：施工扬尘源中TSP总排放量；</w:t>
      </w:r>
    </w:p>
    <w:p w14:paraId="6E23C609">
      <w:pPr>
        <w:pStyle w:val="1553"/>
        <w:adjustRightInd w:val="0"/>
        <w:snapToGrid w:val="0"/>
        <w:spacing w:line="360" w:lineRule="auto"/>
        <w:ind w:left="720"/>
        <w:rPr>
          <w:rFonts w:ascii="Times New Roman" w:hAnsi="Times New Roman"/>
          <w:color w:val="auto"/>
          <w:sz w:val="24"/>
          <w:szCs w:val="24"/>
          <w:highlight w:val="none"/>
        </w:rPr>
      </w:pPr>
      <w:r>
        <w:rPr>
          <w:rFonts w:ascii="Times New Roman" w:hAnsi="Times New Roman"/>
          <w:color w:val="auto"/>
          <w:sz w:val="24"/>
          <w:szCs w:val="24"/>
          <w:highlight w:val="none"/>
        </w:rPr>
        <w:t>E</w:t>
      </w:r>
      <w:r>
        <w:rPr>
          <w:rFonts w:ascii="Times New Roman" w:hAnsi="Times New Roman"/>
          <w:color w:val="auto"/>
          <w:sz w:val="24"/>
          <w:szCs w:val="24"/>
          <w:highlight w:val="none"/>
          <w:vertAlign w:val="subscript"/>
        </w:rPr>
        <w:t>1</w:t>
      </w:r>
      <w:r>
        <w:rPr>
          <w:rFonts w:ascii="Times New Roman" w:hAnsi="Times New Roman"/>
          <w:color w:val="auto"/>
          <w:sz w:val="24"/>
          <w:szCs w:val="24"/>
          <w:highlight w:val="none"/>
        </w:rPr>
        <w:t>：扬尘产生量系数，kg/（m</w:t>
      </w:r>
      <w:r>
        <w:rPr>
          <w:rFonts w:ascii="Times New Roman" w:hAnsi="Times New Roman"/>
          <w:color w:val="auto"/>
          <w:sz w:val="24"/>
          <w:szCs w:val="24"/>
          <w:highlight w:val="none"/>
          <w:vertAlign w:val="superscript"/>
        </w:rPr>
        <w:t>2</w:t>
      </w:r>
      <w:r>
        <w:rPr>
          <w:rFonts w:ascii="Times New Roman" w:hAnsi="Times New Roman"/>
          <w:color w:val="auto"/>
          <w:sz w:val="24"/>
          <w:szCs w:val="24"/>
          <w:highlight w:val="none"/>
        </w:rPr>
        <w:t>.月）；</w:t>
      </w:r>
    </w:p>
    <w:p w14:paraId="6D713436">
      <w:pPr>
        <w:pStyle w:val="1553"/>
        <w:adjustRightInd w:val="0"/>
        <w:snapToGrid w:val="0"/>
        <w:spacing w:line="360" w:lineRule="auto"/>
        <w:ind w:left="720"/>
        <w:rPr>
          <w:rFonts w:ascii="Times New Roman" w:hAnsi="Times New Roman"/>
          <w:color w:val="auto"/>
          <w:sz w:val="24"/>
          <w:szCs w:val="24"/>
          <w:highlight w:val="none"/>
        </w:rPr>
      </w:pPr>
      <w:r>
        <w:rPr>
          <w:rFonts w:ascii="Times New Roman" w:hAnsi="Times New Roman"/>
          <w:color w:val="auto"/>
          <w:sz w:val="24"/>
          <w:szCs w:val="24"/>
          <w:highlight w:val="none"/>
        </w:rPr>
        <w:t>E</w:t>
      </w:r>
      <w:r>
        <w:rPr>
          <w:rFonts w:ascii="Times New Roman" w:hAnsi="Times New Roman"/>
          <w:color w:val="auto"/>
          <w:sz w:val="24"/>
          <w:szCs w:val="24"/>
          <w:highlight w:val="none"/>
          <w:vertAlign w:val="subscript"/>
        </w:rPr>
        <w:t>2</w:t>
      </w:r>
      <w:r>
        <w:rPr>
          <w:rFonts w:ascii="Times New Roman" w:hAnsi="Times New Roman"/>
          <w:color w:val="auto"/>
          <w:sz w:val="24"/>
          <w:szCs w:val="24"/>
          <w:highlight w:val="none"/>
        </w:rPr>
        <w:t>：扬尘排放量削减系数，kg/（m</w:t>
      </w:r>
      <w:r>
        <w:rPr>
          <w:rFonts w:ascii="Times New Roman" w:hAnsi="Times New Roman"/>
          <w:color w:val="auto"/>
          <w:sz w:val="24"/>
          <w:szCs w:val="24"/>
          <w:highlight w:val="none"/>
          <w:vertAlign w:val="superscript"/>
        </w:rPr>
        <w:t>2</w:t>
      </w:r>
      <w:r>
        <w:rPr>
          <w:rFonts w:ascii="Times New Roman" w:hAnsi="Times New Roman"/>
          <w:color w:val="auto"/>
          <w:sz w:val="24"/>
          <w:szCs w:val="24"/>
          <w:highlight w:val="none"/>
        </w:rPr>
        <w:t>.月）；</w:t>
      </w:r>
    </w:p>
    <w:p w14:paraId="2AED0004">
      <w:pPr>
        <w:pStyle w:val="1553"/>
        <w:adjustRightInd w:val="0"/>
        <w:snapToGrid w:val="0"/>
        <w:spacing w:line="360" w:lineRule="auto"/>
        <w:ind w:left="720"/>
        <w:rPr>
          <w:rFonts w:ascii="Times New Roman" w:hAnsi="Times New Roman"/>
          <w:color w:val="auto"/>
          <w:sz w:val="24"/>
          <w:szCs w:val="24"/>
          <w:highlight w:val="none"/>
        </w:rPr>
      </w:pPr>
      <w:r>
        <w:rPr>
          <w:rFonts w:ascii="Times New Roman" w:hAnsi="Times New Roman"/>
          <w:color w:val="auto"/>
          <w:sz w:val="24"/>
          <w:szCs w:val="24"/>
          <w:highlight w:val="none"/>
        </w:rPr>
        <w:t>Ac：施工区面积，m</w:t>
      </w:r>
      <w:r>
        <w:rPr>
          <w:rFonts w:ascii="Times New Roman" w:hAnsi="Times New Roman"/>
          <w:color w:val="auto"/>
          <w:sz w:val="24"/>
          <w:szCs w:val="24"/>
          <w:highlight w:val="none"/>
          <w:vertAlign w:val="superscript"/>
        </w:rPr>
        <w:t>2</w:t>
      </w:r>
      <w:r>
        <w:rPr>
          <w:rFonts w:ascii="Times New Roman" w:hAnsi="Times New Roman"/>
          <w:color w:val="auto"/>
          <w:sz w:val="24"/>
          <w:szCs w:val="24"/>
          <w:highlight w:val="none"/>
        </w:rPr>
        <w:t>；</w:t>
      </w:r>
    </w:p>
    <w:p w14:paraId="612671CB">
      <w:pPr>
        <w:pStyle w:val="1553"/>
        <w:adjustRightInd w:val="0"/>
        <w:snapToGrid w:val="0"/>
        <w:spacing w:line="360" w:lineRule="auto"/>
        <w:ind w:left="720"/>
        <w:rPr>
          <w:rFonts w:ascii="Times New Roman" w:hAnsi="Times New Roman"/>
          <w:color w:val="auto"/>
          <w:sz w:val="24"/>
          <w:szCs w:val="24"/>
          <w:highlight w:val="none"/>
        </w:rPr>
      </w:pPr>
      <w:r>
        <w:rPr>
          <w:rFonts w:ascii="Times New Roman" w:hAnsi="Times New Roman"/>
          <w:color w:val="auto"/>
          <w:sz w:val="24"/>
          <w:szCs w:val="24"/>
          <w:highlight w:val="none"/>
        </w:rPr>
        <w:t>T：施工月份数，一般按施工天数/30计算。</w:t>
      </w:r>
    </w:p>
    <w:p w14:paraId="1AE85882">
      <w:pPr>
        <w:pStyle w:val="38"/>
        <w:spacing w:after="0" w:line="240" w:lineRule="auto"/>
        <w:ind w:firstLine="0" w:firstLineChars="0"/>
        <w:jc w:val="center"/>
        <w:rPr>
          <w:b/>
          <w:color w:val="auto"/>
          <w:sz w:val="21"/>
          <w:szCs w:val="21"/>
          <w:highlight w:val="none"/>
        </w:rPr>
      </w:pPr>
      <w:r>
        <w:rPr>
          <w:b/>
          <w:color w:val="auto"/>
          <w:sz w:val="21"/>
          <w:szCs w:val="21"/>
          <w:highlight w:val="none"/>
        </w:rPr>
        <w:t>表2.4-2项目施工扬尘计算结果一览表</w:t>
      </w:r>
    </w:p>
    <w:tbl>
      <w:tblPr>
        <w:tblStyle w:val="9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88"/>
        <w:gridCol w:w="1625"/>
        <w:gridCol w:w="1168"/>
        <w:gridCol w:w="1865"/>
        <w:gridCol w:w="1937"/>
        <w:gridCol w:w="1199"/>
      </w:tblGrid>
      <w:tr w14:paraId="17DE6E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1" w:type="pct"/>
            <w:tcBorders>
              <w:tl2br w:val="nil"/>
              <w:tr2bl w:val="nil"/>
            </w:tcBorders>
            <w:vAlign w:val="center"/>
          </w:tcPr>
          <w:p w14:paraId="5E982BF2">
            <w:pPr>
              <w:pStyle w:val="1553"/>
              <w:adjustRightInd w:val="0"/>
              <w:snapToGrid w:val="0"/>
              <w:spacing w:line="240" w:lineRule="auto"/>
              <w:ind w:left="-48" w:leftChars="-20" w:right="-48" w:rightChars="-20" w:firstLine="0" w:firstLineChars="0"/>
              <w:jc w:val="center"/>
              <w:rPr>
                <w:rFonts w:ascii="Times New Roman" w:hAnsi="Times New Roman"/>
                <w:b/>
                <w:bCs/>
                <w:color w:val="auto"/>
                <w:szCs w:val="21"/>
                <w:highlight w:val="none"/>
              </w:rPr>
            </w:pPr>
            <w:r>
              <w:rPr>
                <w:rFonts w:ascii="Times New Roman" w:hAnsi="Times New Roman"/>
                <w:b/>
                <w:bCs/>
                <w:color w:val="auto"/>
                <w:szCs w:val="21"/>
                <w:highlight w:val="none"/>
              </w:rPr>
              <w:t>区域</w:t>
            </w:r>
          </w:p>
        </w:tc>
        <w:tc>
          <w:tcPr>
            <w:tcW w:w="875" w:type="pct"/>
            <w:tcBorders>
              <w:tl2br w:val="nil"/>
              <w:tr2bl w:val="nil"/>
            </w:tcBorders>
            <w:vAlign w:val="center"/>
          </w:tcPr>
          <w:p w14:paraId="0EDAD003">
            <w:pPr>
              <w:pStyle w:val="1553"/>
              <w:adjustRightInd w:val="0"/>
              <w:snapToGrid w:val="0"/>
              <w:spacing w:line="240" w:lineRule="auto"/>
              <w:ind w:left="-48" w:leftChars="-20" w:right="-48" w:rightChars="-20" w:firstLine="0" w:firstLineChars="0"/>
              <w:jc w:val="center"/>
              <w:rPr>
                <w:rFonts w:ascii="Times New Roman" w:hAnsi="Times New Roman"/>
                <w:b/>
                <w:bCs/>
                <w:color w:val="auto"/>
                <w:szCs w:val="21"/>
                <w:highlight w:val="none"/>
              </w:rPr>
            </w:pPr>
            <w:r>
              <w:rPr>
                <w:rFonts w:ascii="Times New Roman" w:hAnsi="Times New Roman"/>
                <w:b/>
                <w:bCs/>
                <w:color w:val="auto"/>
                <w:szCs w:val="21"/>
                <w:highlight w:val="none"/>
              </w:rPr>
              <w:t>施工面积</w:t>
            </w:r>
          </w:p>
        </w:tc>
        <w:tc>
          <w:tcPr>
            <w:tcW w:w="629" w:type="pct"/>
            <w:tcBorders>
              <w:tl2br w:val="nil"/>
              <w:tr2bl w:val="nil"/>
            </w:tcBorders>
            <w:vAlign w:val="center"/>
          </w:tcPr>
          <w:p w14:paraId="7B6AC88C">
            <w:pPr>
              <w:pStyle w:val="1553"/>
              <w:adjustRightInd w:val="0"/>
              <w:snapToGrid w:val="0"/>
              <w:spacing w:line="240" w:lineRule="auto"/>
              <w:ind w:left="-48" w:leftChars="-20" w:right="-48" w:rightChars="-20" w:firstLine="0" w:firstLineChars="0"/>
              <w:jc w:val="center"/>
              <w:rPr>
                <w:rFonts w:ascii="Times New Roman" w:hAnsi="Times New Roman"/>
                <w:b/>
                <w:bCs/>
                <w:color w:val="auto"/>
                <w:szCs w:val="21"/>
                <w:highlight w:val="none"/>
              </w:rPr>
            </w:pPr>
            <w:r>
              <w:rPr>
                <w:rFonts w:ascii="Times New Roman" w:hAnsi="Times New Roman"/>
                <w:b/>
                <w:bCs/>
                <w:color w:val="auto"/>
                <w:szCs w:val="21"/>
                <w:highlight w:val="none"/>
              </w:rPr>
              <w:t>施工时间（月）</w:t>
            </w:r>
          </w:p>
        </w:tc>
        <w:tc>
          <w:tcPr>
            <w:tcW w:w="1004" w:type="pct"/>
            <w:tcBorders>
              <w:tl2br w:val="nil"/>
              <w:tr2bl w:val="nil"/>
            </w:tcBorders>
            <w:vAlign w:val="center"/>
          </w:tcPr>
          <w:p w14:paraId="4A9C8B4F">
            <w:pPr>
              <w:pStyle w:val="1553"/>
              <w:adjustRightInd w:val="0"/>
              <w:snapToGrid w:val="0"/>
              <w:spacing w:line="240" w:lineRule="auto"/>
              <w:ind w:left="-48" w:leftChars="-20" w:right="-48" w:rightChars="-20" w:firstLine="0" w:firstLineChars="0"/>
              <w:jc w:val="center"/>
              <w:rPr>
                <w:rFonts w:ascii="Times New Roman" w:hAnsi="Times New Roman"/>
                <w:b/>
                <w:bCs/>
                <w:color w:val="auto"/>
                <w:szCs w:val="21"/>
                <w:highlight w:val="none"/>
              </w:rPr>
            </w:pPr>
            <w:r>
              <w:rPr>
                <w:rFonts w:ascii="Times New Roman" w:hAnsi="Times New Roman"/>
                <w:b/>
                <w:bCs/>
                <w:color w:val="auto"/>
                <w:szCs w:val="21"/>
                <w:highlight w:val="none"/>
              </w:rPr>
              <w:t>扬尘产生量系数，kg/（m</w:t>
            </w:r>
            <w:r>
              <w:rPr>
                <w:rFonts w:ascii="Times New Roman" w:hAnsi="Times New Roman"/>
                <w:b/>
                <w:bCs/>
                <w:color w:val="auto"/>
                <w:szCs w:val="21"/>
                <w:highlight w:val="none"/>
                <w:vertAlign w:val="superscript"/>
              </w:rPr>
              <w:t>2</w:t>
            </w:r>
            <w:r>
              <w:rPr>
                <w:rFonts w:ascii="Times New Roman" w:hAnsi="Times New Roman"/>
                <w:b/>
                <w:bCs/>
                <w:color w:val="auto"/>
                <w:szCs w:val="21"/>
                <w:highlight w:val="none"/>
              </w:rPr>
              <w:t>.月）</w:t>
            </w:r>
          </w:p>
        </w:tc>
        <w:tc>
          <w:tcPr>
            <w:tcW w:w="1043" w:type="pct"/>
            <w:tcBorders>
              <w:tl2br w:val="nil"/>
              <w:tr2bl w:val="nil"/>
            </w:tcBorders>
            <w:vAlign w:val="center"/>
          </w:tcPr>
          <w:p w14:paraId="729937A1">
            <w:pPr>
              <w:pStyle w:val="1553"/>
              <w:adjustRightInd w:val="0"/>
              <w:snapToGrid w:val="0"/>
              <w:spacing w:line="240" w:lineRule="auto"/>
              <w:ind w:left="-48" w:leftChars="-20" w:right="-48" w:rightChars="-20" w:firstLine="0" w:firstLineChars="0"/>
              <w:jc w:val="center"/>
              <w:rPr>
                <w:rFonts w:ascii="Times New Roman" w:hAnsi="Times New Roman"/>
                <w:b/>
                <w:bCs/>
                <w:color w:val="auto"/>
                <w:szCs w:val="21"/>
                <w:highlight w:val="none"/>
              </w:rPr>
            </w:pPr>
            <w:r>
              <w:rPr>
                <w:rFonts w:ascii="Times New Roman" w:hAnsi="Times New Roman"/>
                <w:b/>
                <w:bCs/>
                <w:color w:val="auto"/>
                <w:szCs w:val="21"/>
                <w:highlight w:val="none"/>
              </w:rPr>
              <w:t>扬尘排放量削减系数，kg/（m</w:t>
            </w:r>
            <w:r>
              <w:rPr>
                <w:rFonts w:ascii="Times New Roman" w:hAnsi="Times New Roman"/>
                <w:b/>
                <w:bCs/>
                <w:color w:val="auto"/>
                <w:szCs w:val="21"/>
                <w:highlight w:val="none"/>
                <w:vertAlign w:val="superscript"/>
              </w:rPr>
              <w:t>2</w:t>
            </w:r>
            <w:r>
              <w:rPr>
                <w:rFonts w:ascii="Times New Roman" w:hAnsi="Times New Roman"/>
                <w:b/>
                <w:bCs/>
                <w:color w:val="auto"/>
                <w:szCs w:val="21"/>
                <w:highlight w:val="none"/>
              </w:rPr>
              <w:t>.月）</w:t>
            </w:r>
          </w:p>
        </w:tc>
        <w:tc>
          <w:tcPr>
            <w:tcW w:w="645" w:type="pct"/>
            <w:tcBorders>
              <w:tl2br w:val="nil"/>
              <w:tr2bl w:val="nil"/>
            </w:tcBorders>
            <w:vAlign w:val="center"/>
          </w:tcPr>
          <w:p w14:paraId="7AF804D6">
            <w:pPr>
              <w:pStyle w:val="1553"/>
              <w:adjustRightInd w:val="0"/>
              <w:snapToGrid w:val="0"/>
              <w:spacing w:line="240" w:lineRule="auto"/>
              <w:ind w:left="-48" w:leftChars="-20" w:right="-48" w:rightChars="-20" w:firstLine="0" w:firstLineChars="0"/>
              <w:jc w:val="center"/>
              <w:rPr>
                <w:rFonts w:ascii="Times New Roman" w:hAnsi="Times New Roman"/>
                <w:b/>
                <w:bCs/>
                <w:color w:val="auto"/>
                <w:szCs w:val="21"/>
                <w:highlight w:val="none"/>
              </w:rPr>
            </w:pPr>
            <w:r>
              <w:rPr>
                <w:rFonts w:ascii="Times New Roman" w:hAnsi="Times New Roman"/>
                <w:b/>
                <w:bCs/>
                <w:color w:val="auto"/>
                <w:szCs w:val="21"/>
                <w:highlight w:val="none"/>
              </w:rPr>
              <w:t>扬尘量（t）</w:t>
            </w:r>
          </w:p>
        </w:tc>
      </w:tr>
      <w:tr w14:paraId="3583B8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1" w:type="pct"/>
            <w:tcBorders>
              <w:tl2br w:val="nil"/>
              <w:tr2bl w:val="nil"/>
            </w:tcBorders>
            <w:vAlign w:val="center"/>
          </w:tcPr>
          <w:p w14:paraId="4B448F03">
            <w:pPr>
              <w:spacing w:line="240" w:lineRule="auto"/>
              <w:ind w:left="-48" w:leftChars="-20" w:right="-48" w:rightChars="-20" w:firstLine="0" w:firstLineChars="0"/>
              <w:jc w:val="center"/>
              <w:rPr>
                <w:color w:val="auto"/>
                <w:sz w:val="21"/>
                <w:szCs w:val="21"/>
                <w:highlight w:val="none"/>
              </w:rPr>
            </w:pPr>
            <w:r>
              <w:rPr>
                <w:color w:val="auto"/>
                <w:sz w:val="21"/>
                <w:szCs w:val="21"/>
                <w:highlight w:val="none"/>
              </w:rPr>
              <w:t>浮船坞建造硬化场地</w:t>
            </w:r>
          </w:p>
        </w:tc>
        <w:tc>
          <w:tcPr>
            <w:tcW w:w="875" w:type="pct"/>
            <w:tcBorders>
              <w:tl2br w:val="nil"/>
              <w:tr2bl w:val="nil"/>
            </w:tcBorders>
            <w:vAlign w:val="center"/>
          </w:tcPr>
          <w:p w14:paraId="202F33DE">
            <w:pPr>
              <w:spacing w:line="240" w:lineRule="auto"/>
              <w:ind w:left="-48" w:leftChars="-20" w:right="-48" w:rightChars="-20" w:firstLine="0" w:firstLineChars="0"/>
              <w:jc w:val="center"/>
              <w:rPr>
                <w:color w:val="auto"/>
                <w:sz w:val="21"/>
                <w:szCs w:val="21"/>
                <w:highlight w:val="none"/>
              </w:rPr>
            </w:pPr>
            <w:r>
              <w:rPr>
                <w:color w:val="auto"/>
                <w:sz w:val="21"/>
                <w:szCs w:val="21"/>
                <w:highlight w:val="none"/>
              </w:rPr>
              <w:t>25621</w:t>
            </w:r>
          </w:p>
        </w:tc>
        <w:tc>
          <w:tcPr>
            <w:tcW w:w="629" w:type="pct"/>
            <w:tcBorders>
              <w:tl2br w:val="nil"/>
              <w:tr2bl w:val="nil"/>
            </w:tcBorders>
            <w:vAlign w:val="center"/>
          </w:tcPr>
          <w:p w14:paraId="4DE593F4">
            <w:pPr>
              <w:spacing w:line="240" w:lineRule="auto"/>
              <w:ind w:left="-48" w:leftChars="-20" w:right="-48" w:rightChars="-20" w:firstLine="0" w:firstLineChars="0"/>
              <w:jc w:val="center"/>
              <w:rPr>
                <w:color w:val="auto"/>
                <w:sz w:val="21"/>
                <w:szCs w:val="21"/>
                <w:highlight w:val="none"/>
              </w:rPr>
            </w:pPr>
            <w:r>
              <w:rPr>
                <w:color w:val="auto"/>
                <w:sz w:val="21"/>
                <w:szCs w:val="21"/>
                <w:highlight w:val="none"/>
              </w:rPr>
              <w:t>16</w:t>
            </w:r>
          </w:p>
        </w:tc>
        <w:tc>
          <w:tcPr>
            <w:tcW w:w="1004" w:type="pct"/>
            <w:tcBorders>
              <w:tl2br w:val="nil"/>
              <w:tr2bl w:val="nil"/>
            </w:tcBorders>
            <w:vAlign w:val="center"/>
          </w:tcPr>
          <w:p w14:paraId="7B69DC57">
            <w:pPr>
              <w:spacing w:line="240" w:lineRule="auto"/>
              <w:ind w:left="-48" w:leftChars="-20" w:right="-48" w:rightChars="-20" w:firstLine="0" w:firstLineChars="0"/>
              <w:jc w:val="center"/>
              <w:rPr>
                <w:color w:val="auto"/>
                <w:sz w:val="21"/>
                <w:szCs w:val="21"/>
                <w:highlight w:val="none"/>
              </w:rPr>
            </w:pPr>
            <w:r>
              <w:rPr>
                <w:color w:val="auto"/>
                <w:sz w:val="21"/>
                <w:szCs w:val="21"/>
                <w:highlight w:val="none"/>
              </w:rPr>
              <w:t>1.01</w:t>
            </w:r>
          </w:p>
        </w:tc>
        <w:tc>
          <w:tcPr>
            <w:tcW w:w="1043" w:type="pct"/>
            <w:tcBorders>
              <w:tl2br w:val="nil"/>
              <w:tr2bl w:val="nil"/>
            </w:tcBorders>
            <w:vAlign w:val="center"/>
          </w:tcPr>
          <w:p w14:paraId="2736FA9B">
            <w:pPr>
              <w:spacing w:line="240" w:lineRule="auto"/>
              <w:ind w:left="-48" w:leftChars="-20" w:right="-48" w:rightChars="-20" w:firstLine="0" w:firstLineChars="0"/>
              <w:jc w:val="center"/>
              <w:rPr>
                <w:color w:val="auto"/>
                <w:sz w:val="21"/>
                <w:szCs w:val="21"/>
                <w:highlight w:val="none"/>
              </w:rPr>
            </w:pPr>
            <w:r>
              <w:rPr>
                <w:color w:val="auto"/>
                <w:sz w:val="21"/>
                <w:szCs w:val="21"/>
                <w:highlight w:val="none"/>
              </w:rPr>
              <w:t>0.298</w:t>
            </w:r>
          </w:p>
        </w:tc>
        <w:tc>
          <w:tcPr>
            <w:tcW w:w="645" w:type="pct"/>
            <w:tcBorders>
              <w:tl2br w:val="nil"/>
              <w:tr2bl w:val="nil"/>
            </w:tcBorders>
            <w:vAlign w:val="center"/>
          </w:tcPr>
          <w:p w14:paraId="0338CFAC">
            <w:pPr>
              <w:spacing w:line="240" w:lineRule="auto"/>
              <w:ind w:left="-48" w:leftChars="-20" w:right="-48" w:rightChars="-20" w:firstLine="0" w:firstLineChars="0"/>
              <w:jc w:val="center"/>
              <w:rPr>
                <w:color w:val="auto"/>
                <w:sz w:val="21"/>
                <w:szCs w:val="21"/>
                <w:highlight w:val="none"/>
              </w:rPr>
            </w:pPr>
            <w:r>
              <w:rPr>
                <w:color w:val="auto"/>
                <w:sz w:val="21"/>
                <w:szCs w:val="21"/>
                <w:highlight w:val="none"/>
              </w:rPr>
              <w:t>291.87</w:t>
            </w:r>
          </w:p>
        </w:tc>
      </w:tr>
    </w:tbl>
    <w:p w14:paraId="19413784">
      <w:pPr>
        <w:pStyle w:val="1553"/>
        <w:topLinePunct w:val="0"/>
        <w:adjustRightInd w:val="0"/>
        <w:snapToGrid w:val="0"/>
        <w:spacing w:line="360" w:lineRule="auto"/>
        <w:ind w:firstLine="0" w:firstLineChars="0"/>
        <w:rPr>
          <w:rFonts w:ascii="Times New Roman" w:hAnsi="Times New Roman"/>
          <w:b/>
          <w:bCs/>
          <w:color w:val="auto"/>
          <w:szCs w:val="21"/>
          <w:highlight w:val="none"/>
        </w:rPr>
      </w:pPr>
      <w:r>
        <w:rPr>
          <w:rFonts w:hint="eastAsia" w:ascii="Times New Roman" w:hAnsi="Times New Roman"/>
          <w:b/>
          <w:bCs/>
          <w:color w:val="auto"/>
          <w:szCs w:val="21"/>
          <w:highlight w:val="none"/>
        </w:rPr>
        <w:t>注：浮船坞建造施工共16个月。</w:t>
      </w:r>
    </w:p>
    <w:p w14:paraId="75FB8483">
      <w:pPr>
        <w:pStyle w:val="1553"/>
        <w:topLinePunct w:val="0"/>
        <w:adjustRightInd w:val="0"/>
        <w:snapToGrid w:val="0"/>
        <w:spacing w:line="360" w:lineRule="auto"/>
        <w:rPr>
          <w:rFonts w:ascii="Times New Roman" w:hAnsi="Times New Roman"/>
          <w:color w:val="auto"/>
          <w:sz w:val="24"/>
          <w:szCs w:val="24"/>
          <w:highlight w:val="none"/>
        </w:rPr>
      </w:pPr>
      <w:r>
        <w:rPr>
          <w:rFonts w:ascii="Times New Roman" w:hAnsi="Times New Roman"/>
          <w:color w:val="auto"/>
          <w:sz w:val="24"/>
          <w:szCs w:val="24"/>
          <w:highlight w:val="none"/>
        </w:rPr>
        <w:t>浮船坞建造硬化场地施工期通过采取</w:t>
      </w:r>
      <w:r>
        <w:rPr>
          <w:rFonts w:hint="eastAsia" w:ascii="Times New Roman" w:hAnsi="Times New Roman"/>
          <w:color w:val="auto"/>
          <w:sz w:val="24"/>
          <w:szCs w:val="24"/>
          <w:highlight w:val="none"/>
        </w:rPr>
        <w:t>围挡、洒水、物料覆盖等</w:t>
      </w:r>
      <w:r>
        <w:rPr>
          <w:rFonts w:ascii="Times New Roman" w:hAnsi="Times New Roman"/>
          <w:color w:val="auto"/>
          <w:sz w:val="24"/>
          <w:szCs w:val="24"/>
          <w:highlight w:val="none"/>
        </w:rPr>
        <w:t>各项抑尘措施后，产生的扬尘量约为291.87t。</w:t>
      </w:r>
    </w:p>
    <w:p w14:paraId="4D179352">
      <w:pPr>
        <w:pStyle w:val="1553"/>
        <w:adjustRightInd w:val="0"/>
        <w:snapToGrid w:val="0"/>
        <w:spacing w:line="360" w:lineRule="auto"/>
        <w:ind w:firstLine="482"/>
        <w:rPr>
          <w:rFonts w:ascii="Times New Roman" w:hAnsi="Times New Roman"/>
          <w:b/>
          <w:bCs/>
          <w:color w:val="auto"/>
          <w:sz w:val="24"/>
          <w:szCs w:val="24"/>
          <w:highlight w:val="none"/>
        </w:rPr>
      </w:pPr>
      <w:r>
        <w:rPr>
          <w:rFonts w:ascii="Times New Roman" w:hAnsi="Times New Roman"/>
          <w:b/>
          <w:bCs/>
          <w:color w:val="auto"/>
          <w:sz w:val="24"/>
          <w:szCs w:val="24"/>
          <w:highlight w:val="none"/>
        </w:rPr>
        <w:t>（2）焊接烟尘</w:t>
      </w:r>
    </w:p>
    <w:p w14:paraId="1C7B82D7">
      <w:pPr>
        <w:pStyle w:val="1553"/>
        <w:adjustRightInd w:val="0"/>
        <w:snapToGrid w:val="0"/>
        <w:spacing w:line="360" w:lineRule="auto"/>
        <w:rPr>
          <w:rFonts w:ascii="Times New Roman" w:hAnsi="Times New Roman"/>
          <w:color w:val="auto"/>
          <w:sz w:val="24"/>
          <w:szCs w:val="24"/>
          <w:highlight w:val="none"/>
        </w:rPr>
      </w:pPr>
      <w:r>
        <w:rPr>
          <w:rFonts w:ascii="Times New Roman" w:hAnsi="Times New Roman"/>
          <w:color w:val="auto"/>
          <w:sz w:val="24"/>
          <w:szCs w:val="24"/>
          <w:highlight w:val="none"/>
        </w:rPr>
        <w:t>浮船坞分段组装过程会产生少量的焊接烟尘，焊接方式以点焊焊接方法为主，</w:t>
      </w:r>
      <w:r>
        <w:rPr>
          <w:rFonts w:hint="eastAsia" w:ascii="Times New Roman" w:hAnsi="Times New Roman"/>
          <w:color w:val="auto"/>
          <w:sz w:val="24"/>
          <w:szCs w:val="24"/>
          <w:highlight w:val="none"/>
          <w:lang w:eastAsia="zh-CN"/>
        </w:rPr>
        <w:t>其他</w:t>
      </w:r>
      <w:r>
        <w:rPr>
          <w:rFonts w:ascii="Times New Roman" w:hAnsi="Times New Roman"/>
          <w:color w:val="auto"/>
          <w:sz w:val="24"/>
          <w:szCs w:val="24"/>
          <w:highlight w:val="none"/>
        </w:rPr>
        <w:t>焊接为辅。点焊焊接方法主要使用CO</w:t>
      </w:r>
      <w:r>
        <w:rPr>
          <w:rFonts w:ascii="Times New Roman" w:hAnsi="Times New Roman"/>
          <w:color w:val="auto"/>
          <w:sz w:val="24"/>
          <w:szCs w:val="24"/>
          <w:highlight w:val="none"/>
          <w:vertAlign w:val="subscript"/>
        </w:rPr>
        <w:t>2</w:t>
      </w:r>
      <w:r>
        <w:rPr>
          <w:rFonts w:ascii="Times New Roman" w:hAnsi="Times New Roman"/>
          <w:color w:val="auto"/>
          <w:sz w:val="24"/>
          <w:szCs w:val="24"/>
          <w:highlight w:val="none"/>
        </w:rPr>
        <w:t>作为保护气，利用旋点焊机加热熔化通过夹具贴合在一起的钣金件，该过程无污染物产生。</w:t>
      </w:r>
      <w:r>
        <w:rPr>
          <w:rFonts w:hint="eastAsia" w:ascii="Times New Roman" w:hAnsi="Times New Roman"/>
          <w:color w:val="auto"/>
          <w:sz w:val="24"/>
          <w:szCs w:val="24"/>
          <w:highlight w:val="none"/>
          <w:lang w:eastAsia="zh-CN"/>
        </w:rPr>
        <w:t>其他</w:t>
      </w:r>
      <w:r>
        <w:rPr>
          <w:rFonts w:ascii="Times New Roman" w:hAnsi="Times New Roman"/>
          <w:color w:val="auto"/>
          <w:sz w:val="24"/>
          <w:szCs w:val="24"/>
          <w:highlight w:val="none"/>
        </w:rPr>
        <w:t>焊接方法主要为使用CO</w:t>
      </w:r>
      <w:r>
        <w:rPr>
          <w:rFonts w:ascii="Times New Roman" w:hAnsi="Times New Roman"/>
          <w:color w:val="auto"/>
          <w:sz w:val="24"/>
          <w:szCs w:val="24"/>
          <w:highlight w:val="none"/>
          <w:vertAlign w:val="subscript"/>
        </w:rPr>
        <w:t>2</w:t>
      </w:r>
      <w:r>
        <w:rPr>
          <w:rFonts w:ascii="Times New Roman" w:hAnsi="Times New Roman"/>
          <w:color w:val="auto"/>
          <w:sz w:val="24"/>
          <w:szCs w:val="24"/>
          <w:highlight w:val="none"/>
        </w:rPr>
        <w:t>焊丝进行焊接接合的钣金件，焊接过程中产生少量焊烟，烟尘中主要污染物为MnO</w:t>
      </w:r>
      <w:r>
        <w:rPr>
          <w:rFonts w:ascii="Times New Roman" w:hAnsi="Times New Roman"/>
          <w:color w:val="auto"/>
          <w:sz w:val="24"/>
          <w:szCs w:val="24"/>
          <w:highlight w:val="none"/>
          <w:vertAlign w:val="subscript"/>
        </w:rPr>
        <w:t>2</w:t>
      </w:r>
      <w:r>
        <w:rPr>
          <w:rFonts w:ascii="Times New Roman" w:hAnsi="Times New Roman"/>
          <w:color w:val="auto"/>
          <w:sz w:val="24"/>
          <w:szCs w:val="24"/>
          <w:highlight w:val="none"/>
        </w:rPr>
        <w:t>和少量SiO</w:t>
      </w:r>
      <w:r>
        <w:rPr>
          <w:rFonts w:ascii="Times New Roman" w:hAnsi="Times New Roman"/>
          <w:color w:val="auto"/>
          <w:sz w:val="24"/>
          <w:szCs w:val="24"/>
          <w:highlight w:val="none"/>
          <w:vertAlign w:val="subscript"/>
        </w:rPr>
        <w:t>2</w:t>
      </w:r>
      <w:r>
        <w:rPr>
          <w:rFonts w:ascii="Times New Roman" w:hAnsi="Times New Roman"/>
          <w:color w:val="auto"/>
          <w:sz w:val="24"/>
          <w:szCs w:val="24"/>
          <w:highlight w:val="none"/>
        </w:rPr>
        <w:t>、Fe</w:t>
      </w:r>
      <w:r>
        <w:rPr>
          <w:rFonts w:ascii="Times New Roman" w:hAnsi="Times New Roman"/>
          <w:color w:val="auto"/>
          <w:sz w:val="24"/>
          <w:szCs w:val="24"/>
          <w:highlight w:val="none"/>
          <w:vertAlign w:val="subscript"/>
        </w:rPr>
        <w:t>2</w:t>
      </w:r>
      <w:r>
        <w:rPr>
          <w:rFonts w:ascii="Times New Roman" w:hAnsi="Times New Roman"/>
          <w:color w:val="auto"/>
          <w:sz w:val="24"/>
          <w:szCs w:val="24"/>
          <w:highlight w:val="none"/>
        </w:rPr>
        <w:t>O</w:t>
      </w:r>
      <w:r>
        <w:rPr>
          <w:rFonts w:ascii="Times New Roman" w:hAnsi="Times New Roman"/>
          <w:color w:val="auto"/>
          <w:sz w:val="24"/>
          <w:szCs w:val="24"/>
          <w:highlight w:val="none"/>
          <w:vertAlign w:val="subscript"/>
        </w:rPr>
        <w:t>3</w:t>
      </w:r>
      <w:r>
        <w:rPr>
          <w:rFonts w:ascii="Times New Roman" w:hAnsi="Times New Roman"/>
          <w:color w:val="auto"/>
          <w:sz w:val="24"/>
          <w:szCs w:val="24"/>
          <w:highlight w:val="none"/>
        </w:rPr>
        <w:t>，有害气体为CO、NOx。</w:t>
      </w:r>
    </w:p>
    <w:p w14:paraId="4957219C">
      <w:pPr>
        <w:pStyle w:val="1553"/>
        <w:adjustRightInd w:val="0"/>
        <w:snapToGrid w:val="0"/>
        <w:spacing w:line="360" w:lineRule="auto"/>
        <w:rPr>
          <w:rFonts w:ascii="Times New Roman" w:hAnsi="Times New Roman"/>
          <w:color w:val="auto"/>
          <w:sz w:val="24"/>
          <w:szCs w:val="24"/>
          <w:highlight w:val="none"/>
        </w:rPr>
      </w:pPr>
      <w:r>
        <w:rPr>
          <w:rFonts w:ascii="Times New Roman" w:hAnsi="Times New Roman"/>
          <w:color w:val="auto"/>
          <w:sz w:val="24"/>
          <w:szCs w:val="24"/>
          <w:highlight w:val="none"/>
        </w:rPr>
        <w:t>参考《焊接工作的劳动保护》及其同行业类比分析可知，CO</w:t>
      </w:r>
      <w:r>
        <w:rPr>
          <w:rFonts w:ascii="Times New Roman" w:hAnsi="Times New Roman"/>
          <w:color w:val="auto"/>
          <w:sz w:val="24"/>
          <w:szCs w:val="24"/>
          <w:highlight w:val="none"/>
          <w:vertAlign w:val="subscript"/>
        </w:rPr>
        <w:t>2</w:t>
      </w:r>
      <w:r>
        <w:rPr>
          <w:rFonts w:ascii="Times New Roman" w:hAnsi="Times New Roman"/>
          <w:color w:val="auto"/>
          <w:sz w:val="24"/>
          <w:szCs w:val="24"/>
          <w:highlight w:val="none"/>
        </w:rPr>
        <w:t>保护焊丝烟尘产生量为5~8g/kg，取8g/kg。分段组装过程CO</w:t>
      </w:r>
      <w:r>
        <w:rPr>
          <w:rFonts w:ascii="Times New Roman" w:hAnsi="Times New Roman"/>
          <w:color w:val="auto"/>
          <w:sz w:val="24"/>
          <w:szCs w:val="24"/>
          <w:highlight w:val="none"/>
          <w:vertAlign w:val="subscript"/>
        </w:rPr>
        <w:t>2</w:t>
      </w:r>
      <w:r>
        <w:rPr>
          <w:rFonts w:ascii="Times New Roman" w:hAnsi="Times New Roman"/>
          <w:color w:val="auto"/>
          <w:sz w:val="24"/>
          <w:szCs w:val="24"/>
          <w:highlight w:val="none"/>
        </w:rPr>
        <w:t>保护焊丝使用量为1t，则焊烟产生量为8kg。项目采用配有焊接烟尘净化装置的机器进行焊接。可去除80%的焊接烟尘，因此浮船坞分段组装过程焊接烟尘无组织排放量为1.6kg。</w:t>
      </w:r>
    </w:p>
    <w:p w14:paraId="2EB13DA8">
      <w:pPr>
        <w:pStyle w:val="1553"/>
        <w:adjustRightInd w:val="0"/>
        <w:snapToGrid w:val="0"/>
        <w:spacing w:line="360" w:lineRule="auto"/>
        <w:ind w:firstLine="482"/>
        <w:rPr>
          <w:rFonts w:ascii="Times New Roman" w:hAnsi="Times New Roman"/>
          <w:b/>
          <w:bCs/>
          <w:color w:val="auto"/>
          <w:sz w:val="24"/>
          <w:szCs w:val="24"/>
          <w:highlight w:val="none"/>
        </w:rPr>
      </w:pPr>
      <w:r>
        <w:rPr>
          <w:rFonts w:ascii="Times New Roman" w:hAnsi="Times New Roman"/>
          <w:b/>
          <w:bCs/>
          <w:color w:val="auto"/>
          <w:sz w:val="24"/>
          <w:szCs w:val="24"/>
          <w:highlight w:val="none"/>
        </w:rPr>
        <w:t>（3）运输扬尘</w:t>
      </w:r>
    </w:p>
    <w:p w14:paraId="609723A8">
      <w:pPr>
        <w:pStyle w:val="1553"/>
        <w:spacing w:line="360" w:lineRule="auto"/>
        <w:rPr>
          <w:rFonts w:ascii="Times New Roman" w:hAnsi="Times New Roman"/>
          <w:color w:val="auto"/>
          <w:sz w:val="24"/>
          <w:szCs w:val="24"/>
          <w:highlight w:val="none"/>
        </w:rPr>
      </w:pPr>
      <w:r>
        <w:rPr>
          <w:rFonts w:ascii="Times New Roman" w:hAnsi="Times New Roman"/>
          <w:color w:val="auto"/>
          <w:sz w:val="24"/>
          <w:szCs w:val="24"/>
          <w:highlight w:val="none"/>
        </w:rPr>
        <w:t>工程材料的装卸过程、运输车辆在施工场地行驶、运输车辆行驶过程中泥土洒落路面、运输车辆的车轮夹带泥土污染场地附近路面以及在有风的条件下由于场地地表裸露而产生扬尘。</w:t>
      </w:r>
    </w:p>
    <w:p w14:paraId="213FC4C4">
      <w:pPr>
        <w:pStyle w:val="1553"/>
        <w:spacing w:line="360" w:lineRule="auto"/>
        <w:rPr>
          <w:rFonts w:ascii="Times New Roman" w:hAnsi="Times New Roman"/>
          <w:color w:val="auto"/>
          <w:sz w:val="24"/>
          <w:szCs w:val="24"/>
          <w:highlight w:val="none"/>
        </w:rPr>
      </w:pPr>
      <w:r>
        <w:rPr>
          <w:rFonts w:ascii="Times New Roman" w:hAnsi="Times New Roman"/>
          <w:color w:val="auto"/>
          <w:sz w:val="24"/>
          <w:szCs w:val="24"/>
          <w:highlight w:val="none"/>
        </w:rPr>
        <w:t>引起道路扬尘的因素较多，主要与车速、车型、车流量、风速、载重量、轮胎与路面的接触面积、路面积尘量、尘土湿度等诸多因素有关，其中风速还直接影响到扬尘的传输距离。此外，粉状材料本身在运输过程中，如果遮盖等防护措施不当，遇风也会起尘。所起的扬尘将影响到运输道路两侧的居民，特别是大风天气，这种影响将更严重。</w:t>
      </w:r>
    </w:p>
    <w:p w14:paraId="266C59CA">
      <w:pPr>
        <w:pStyle w:val="1553"/>
        <w:spacing w:line="360" w:lineRule="auto"/>
        <w:rPr>
          <w:rFonts w:ascii="Times New Roman" w:hAnsi="Times New Roman"/>
          <w:color w:val="auto"/>
          <w:sz w:val="24"/>
          <w:szCs w:val="24"/>
          <w:highlight w:val="none"/>
        </w:rPr>
      </w:pPr>
      <w:r>
        <w:rPr>
          <w:rFonts w:ascii="Times New Roman" w:hAnsi="Times New Roman"/>
          <w:color w:val="auto"/>
          <w:sz w:val="24"/>
          <w:szCs w:val="24"/>
          <w:highlight w:val="none"/>
        </w:rPr>
        <w:t>运输车辆行驶产生的扬尘与道路路面及车辆行驶速度有关，在完全干燥情况下，可按经验公式计算：</w:t>
      </w:r>
    </w:p>
    <w:p w14:paraId="25BD51E8">
      <w:pPr>
        <w:pStyle w:val="1553"/>
        <w:adjustRightInd w:val="0"/>
        <w:snapToGrid w:val="0"/>
        <w:spacing w:line="360" w:lineRule="auto"/>
        <w:rPr>
          <w:rFonts w:ascii="Times New Roman" w:hAnsi="Times New Roman"/>
          <w:color w:val="auto"/>
          <w:sz w:val="24"/>
          <w:szCs w:val="24"/>
          <w:highlight w:val="none"/>
        </w:rPr>
      </w:pPr>
      <m:oMathPara>
        <m:oMath>
          <m:r>
            <m:rPr>
              <m:nor/>
            </m:rPr>
            <w:rPr>
              <w:rFonts w:ascii="Times New Roman" w:hAnsi="Times New Roman"/>
              <w:i/>
              <w:color w:val="auto"/>
              <w:sz w:val="24"/>
              <w:szCs w:val="24"/>
              <w:highlight w:val="none"/>
            </w:rPr>
            <m:t>Q</m:t>
          </m:r>
          <m:r>
            <m:rPr>
              <m:nor/>
              <m:sty m:val="p"/>
            </m:rPr>
            <w:rPr>
              <w:rFonts w:ascii="Times New Roman" w:hAnsi="Times New Roman"/>
              <w:b w:val="0"/>
              <w:i w:val="0"/>
              <w:color w:val="auto"/>
              <w:sz w:val="24"/>
              <w:szCs w:val="24"/>
              <w:highlight w:val="none"/>
            </w:rPr>
            <m:t>=0.123×</m:t>
          </m:r>
          <m:d>
            <m:dPr>
              <m:ctrlPr>
                <w:rPr>
                  <w:rFonts w:ascii="Cambria Math" w:hAnsi="Cambria Math"/>
                  <w:i/>
                  <w:color w:val="auto"/>
                  <w:sz w:val="24"/>
                  <w:szCs w:val="24"/>
                  <w:highlight w:val="none"/>
                </w:rPr>
              </m:ctrlPr>
            </m:dPr>
            <m:e>
              <m:f>
                <m:fPr>
                  <m:ctrlPr>
                    <w:rPr>
                      <w:rFonts w:ascii="Cambria Math" w:hAnsi="Cambria Math"/>
                      <w:i/>
                      <w:color w:val="auto"/>
                      <w:sz w:val="24"/>
                      <w:szCs w:val="24"/>
                      <w:highlight w:val="none"/>
                    </w:rPr>
                  </m:ctrlPr>
                </m:fPr>
                <m:num>
                  <m:r>
                    <m:rPr>
                      <m:nor/>
                    </m:rPr>
                    <w:rPr>
                      <w:rFonts w:ascii="Times New Roman" w:hAnsi="Times New Roman"/>
                      <w:i/>
                      <w:color w:val="auto"/>
                      <w:sz w:val="24"/>
                      <w:szCs w:val="24"/>
                      <w:highlight w:val="none"/>
                    </w:rPr>
                    <m:t>v</m:t>
                  </m:r>
                  <m:ctrlPr>
                    <w:rPr>
                      <w:rFonts w:ascii="Cambria Math" w:hAnsi="Cambria Math"/>
                      <w:i/>
                      <w:color w:val="auto"/>
                      <w:sz w:val="24"/>
                      <w:szCs w:val="24"/>
                      <w:highlight w:val="none"/>
                    </w:rPr>
                  </m:ctrlPr>
                </m:num>
                <m:den>
                  <m:r>
                    <m:rPr>
                      <m:nor/>
                      <m:sty m:val="p"/>
                    </m:rPr>
                    <w:rPr>
                      <w:rFonts w:ascii="Times New Roman" w:hAnsi="Times New Roman"/>
                      <w:b w:val="0"/>
                      <w:i w:val="0"/>
                      <w:color w:val="auto"/>
                      <w:sz w:val="24"/>
                      <w:szCs w:val="24"/>
                      <w:highlight w:val="none"/>
                    </w:rPr>
                    <m:t>5</m:t>
                  </m:r>
                  <m:ctrlPr>
                    <w:rPr>
                      <w:rFonts w:ascii="Cambria Math" w:hAnsi="Cambria Math"/>
                      <w:i/>
                      <w:color w:val="auto"/>
                      <w:sz w:val="24"/>
                      <w:szCs w:val="24"/>
                      <w:highlight w:val="none"/>
                    </w:rPr>
                  </m:ctrlPr>
                </m:den>
              </m:f>
              <m:ctrlPr>
                <w:rPr>
                  <w:rFonts w:ascii="Cambria Math" w:hAnsi="Cambria Math"/>
                  <w:i/>
                  <w:color w:val="auto"/>
                  <w:sz w:val="24"/>
                  <w:szCs w:val="24"/>
                  <w:highlight w:val="none"/>
                </w:rPr>
              </m:ctrlPr>
            </m:e>
          </m:d>
          <m:sSup>
            <m:sSupPr>
              <m:ctrlPr>
                <w:rPr>
                  <w:rFonts w:ascii="Cambria Math" w:hAnsi="Cambria Math"/>
                  <w:i/>
                  <w:color w:val="auto"/>
                  <w:sz w:val="24"/>
                  <w:szCs w:val="24"/>
                  <w:highlight w:val="none"/>
                </w:rPr>
              </m:ctrlPr>
            </m:sSupPr>
            <m:e>
              <m:d>
                <m:dPr>
                  <m:ctrlPr>
                    <w:rPr>
                      <w:rFonts w:ascii="Cambria Math" w:hAnsi="Cambria Math"/>
                      <w:i/>
                      <w:color w:val="auto"/>
                      <w:sz w:val="24"/>
                      <w:szCs w:val="24"/>
                      <w:highlight w:val="none"/>
                    </w:rPr>
                  </m:ctrlPr>
                </m:dPr>
                <m:e>
                  <m:f>
                    <m:fPr>
                      <m:ctrlPr>
                        <w:rPr>
                          <w:rFonts w:ascii="Cambria Math" w:hAnsi="Cambria Math"/>
                          <w:i/>
                          <w:color w:val="auto"/>
                          <w:sz w:val="24"/>
                          <w:szCs w:val="24"/>
                          <w:highlight w:val="none"/>
                        </w:rPr>
                      </m:ctrlPr>
                    </m:fPr>
                    <m:num>
                      <m:r>
                        <m:rPr>
                          <m:nor/>
                        </m:rPr>
                        <w:rPr>
                          <w:rFonts w:ascii="Times New Roman" w:hAnsi="Times New Roman"/>
                          <w:i/>
                          <w:color w:val="auto"/>
                          <w:sz w:val="24"/>
                          <w:szCs w:val="24"/>
                          <w:highlight w:val="none"/>
                        </w:rPr>
                        <m:t>W</m:t>
                      </m:r>
                      <m:ctrlPr>
                        <w:rPr>
                          <w:rFonts w:ascii="Cambria Math" w:hAnsi="Cambria Math"/>
                          <w:i/>
                          <w:color w:val="auto"/>
                          <w:sz w:val="24"/>
                          <w:szCs w:val="24"/>
                          <w:highlight w:val="none"/>
                        </w:rPr>
                      </m:ctrlPr>
                    </m:num>
                    <m:den>
                      <m:r>
                        <m:rPr>
                          <m:nor/>
                          <m:sty m:val="p"/>
                        </m:rPr>
                        <w:rPr>
                          <w:rFonts w:ascii="Times New Roman" w:hAnsi="Times New Roman"/>
                          <w:b w:val="0"/>
                          <w:i w:val="0"/>
                          <w:color w:val="auto"/>
                          <w:sz w:val="24"/>
                          <w:szCs w:val="24"/>
                          <w:highlight w:val="none"/>
                        </w:rPr>
                        <m:t>6.8</m:t>
                      </m:r>
                      <m:ctrlPr>
                        <w:rPr>
                          <w:rFonts w:ascii="Cambria Math" w:hAnsi="Cambria Math"/>
                          <w:i/>
                          <w:color w:val="auto"/>
                          <w:sz w:val="24"/>
                          <w:szCs w:val="24"/>
                          <w:highlight w:val="none"/>
                        </w:rPr>
                      </m:ctrlPr>
                    </m:den>
                  </m:f>
                  <m:ctrlPr>
                    <w:rPr>
                      <w:rFonts w:ascii="Cambria Math" w:hAnsi="Cambria Math"/>
                      <w:i/>
                      <w:color w:val="auto"/>
                      <w:sz w:val="24"/>
                      <w:szCs w:val="24"/>
                      <w:highlight w:val="none"/>
                    </w:rPr>
                  </m:ctrlPr>
                </m:e>
              </m:d>
              <m:ctrlPr>
                <w:rPr>
                  <w:rFonts w:ascii="Cambria Math" w:hAnsi="Cambria Math"/>
                  <w:i/>
                  <w:color w:val="auto"/>
                  <w:sz w:val="24"/>
                  <w:szCs w:val="24"/>
                  <w:highlight w:val="none"/>
                </w:rPr>
              </m:ctrlPr>
            </m:e>
            <m:sup>
              <m:r>
                <m:rPr>
                  <m:nor/>
                  <m:sty m:val="p"/>
                </m:rPr>
                <w:rPr>
                  <w:rFonts w:ascii="Times New Roman" w:hAnsi="Times New Roman"/>
                  <w:b w:val="0"/>
                  <w:i w:val="0"/>
                  <w:color w:val="auto"/>
                  <w:sz w:val="24"/>
                  <w:szCs w:val="24"/>
                  <w:highlight w:val="none"/>
                </w:rPr>
                <m:t>0.85</m:t>
              </m:r>
              <m:ctrlPr>
                <w:rPr>
                  <w:rFonts w:ascii="Cambria Math" w:hAnsi="Cambria Math"/>
                  <w:i/>
                  <w:color w:val="auto"/>
                  <w:sz w:val="24"/>
                  <w:szCs w:val="24"/>
                  <w:highlight w:val="none"/>
                </w:rPr>
              </m:ctrlPr>
            </m:sup>
          </m:sSup>
          <m:sSup>
            <m:sSupPr>
              <m:ctrlPr>
                <w:rPr>
                  <w:rFonts w:ascii="Cambria Math" w:hAnsi="Cambria Math"/>
                  <w:i/>
                  <w:color w:val="auto"/>
                  <w:sz w:val="24"/>
                  <w:szCs w:val="24"/>
                  <w:highlight w:val="none"/>
                </w:rPr>
              </m:ctrlPr>
            </m:sSupPr>
            <m:e>
              <m:d>
                <m:dPr>
                  <m:ctrlPr>
                    <w:rPr>
                      <w:rFonts w:ascii="Cambria Math" w:hAnsi="Cambria Math"/>
                      <w:i/>
                      <w:color w:val="auto"/>
                      <w:sz w:val="24"/>
                      <w:szCs w:val="24"/>
                      <w:highlight w:val="none"/>
                    </w:rPr>
                  </m:ctrlPr>
                </m:dPr>
                <m:e>
                  <m:f>
                    <m:fPr>
                      <m:ctrlPr>
                        <w:rPr>
                          <w:rFonts w:ascii="Cambria Math" w:hAnsi="Cambria Math"/>
                          <w:i/>
                          <w:color w:val="auto"/>
                          <w:sz w:val="24"/>
                          <w:szCs w:val="24"/>
                          <w:highlight w:val="none"/>
                        </w:rPr>
                      </m:ctrlPr>
                    </m:fPr>
                    <m:num>
                      <m:r>
                        <m:rPr>
                          <m:nor/>
                        </m:rPr>
                        <w:rPr>
                          <w:rFonts w:ascii="Times New Roman" w:hAnsi="Times New Roman"/>
                          <w:i/>
                          <w:color w:val="auto"/>
                          <w:sz w:val="24"/>
                          <w:szCs w:val="24"/>
                          <w:highlight w:val="none"/>
                        </w:rPr>
                        <m:t>P</m:t>
                      </m:r>
                      <m:ctrlPr>
                        <w:rPr>
                          <w:rFonts w:ascii="Cambria Math" w:hAnsi="Cambria Math"/>
                          <w:i/>
                          <w:color w:val="auto"/>
                          <w:sz w:val="24"/>
                          <w:szCs w:val="24"/>
                          <w:highlight w:val="none"/>
                        </w:rPr>
                      </m:ctrlPr>
                    </m:num>
                    <m:den>
                      <m:r>
                        <m:rPr>
                          <m:nor/>
                          <m:sty m:val="p"/>
                        </m:rPr>
                        <w:rPr>
                          <w:rFonts w:ascii="Times New Roman" w:hAnsi="Times New Roman"/>
                          <w:b w:val="0"/>
                          <w:i w:val="0"/>
                          <w:color w:val="auto"/>
                          <w:sz w:val="24"/>
                          <w:szCs w:val="24"/>
                          <w:highlight w:val="none"/>
                        </w:rPr>
                        <m:t>0.5</m:t>
                      </m:r>
                      <m:ctrlPr>
                        <w:rPr>
                          <w:rFonts w:ascii="Cambria Math" w:hAnsi="Cambria Math"/>
                          <w:i/>
                          <w:color w:val="auto"/>
                          <w:sz w:val="24"/>
                          <w:szCs w:val="24"/>
                          <w:highlight w:val="none"/>
                        </w:rPr>
                      </m:ctrlPr>
                    </m:den>
                  </m:f>
                  <m:ctrlPr>
                    <w:rPr>
                      <w:rFonts w:ascii="Cambria Math" w:hAnsi="Cambria Math"/>
                      <w:i/>
                      <w:color w:val="auto"/>
                      <w:sz w:val="24"/>
                      <w:szCs w:val="24"/>
                      <w:highlight w:val="none"/>
                    </w:rPr>
                  </m:ctrlPr>
                </m:e>
              </m:d>
              <m:ctrlPr>
                <w:rPr>
                  <w:rFonts w:ascii="Cambria Math" w:hAnsi="Cambria Math"/>
                  <w:i/>
                  <w:color w:val="auto"/>
                  <w:sz w:val="24"/>
                  <w:szCs w:val="24"/>
                  <w:highlight w:val="none"/>
                </w:rPr>
              </m:ctrlPr>
            </m:e>
            <m:sup>
              <m:r>
                <m:rPr>
                  <m:nor/>
                  <m:sty m:val="p"/>
                </m:rPr>
                <w:rPr>
                  <w:rFonts w:ascii="Times New Roman" w:hAnsi="Times New Roman"/>
                  <w:b w:val="0"/>
                  <w:i w:val="0"/>
                  <w:color w:val="auto"/>
                  <w:sz w:val="24"/>
                  <w:szCs w:val="24"/>
                  <w:highlight w:val="none"/>
                </w:rPr>
                <m:t>0.75</m:t>
              </m:r>
              <m:ctrlPr>
                <w:rPr>
                  <w:rFonts w:ascii="Cambria Math" w:hAnsi="Cambria Math"/>
                  <w:i/>
                  <w:color w:val="auto"/>
                  <w:sz w:val="24"/>
                  <w:szCs w:val="24"/>
                  <w:highlight w:val="none"/>
                </w:rPr>
              </m:ctrlPr>
            </m:sup>
          </m:sSup>
        </m:oMath>
      </m:oMathPara>
    </w:p>
    <w:p w14:paraId="6AFBFB9C">
      <w:pPr>
        <w:pStyle w:val="1553"/>
        <w:spacing w:line="360" w:lineRule="auto"/>
        <w:rPr>
          <w:rFonts w:ascii="Times New Roman" w:hAnsi="Times New Roman"/>
          <w:color w:val="auto"/>
          <w:sz w:val="24"/>
          <w:szCs w:val="24"/>
          <w:highlight w:val="none"/>
        </w:rPr>
      </w:pPr>
      <w:r>
        <w:rPr>
          <w:rFonts w:ascii="Times New Roman" w:hAnsi="Times New Roman"/>
          <w:color w:val="auto"/>
          <w:sz w:val="24"/>
          <w:szCs w:val="24"/>
          <w:highlight w:val="none"/>
        </w:rPr>
        <w:t>式中：Q——汽车行驶的扬尘，kg/km·辆；</w:t>
      </w:r>
    </w:p>
    <w:p w14:paraId="5FF070B4">
      <w:pPr>
        <w:pStyle w:val="1553"/>
        <w:spacing w:line="360" w:lineRule="auto"/>
        <w:rPr>
          <w:rFonts w:ascii="Times New Roman" w:hAnsi="Times New Roman"/>
          <w:color w:val="auto"/>
          <w:sz w:val="24"/>
          <w:szCs w:val="24"/>
          <w:highlight w:val="none"/>
        </w:rPr>
      </w:pPr>
      <w:r>
        <w:rPr>
          <w:rFonts w:ascii="Times New Roman" w:hAnsi="Times New Roman"/>
          <w:color w:val="auto"/>
          <w:sz w:val="24"/>
          <w:szCs w:val="24"/>
          <w:highlight w:val="none"/>
        </w:rPr>
        <w:t>v——汽车速度，km/h；</w:t>
      </w:r>
    </w:p>
    <w:p w14:paraId="26208BEC">
      <w:pPr>
        <w:pStyle w:val="1553"/>
        <w:spacing w:line="360" w:lineRule="auto"/>
        <w:rPr>
          <w:rFonts w:ascii="Times New Roman" w:hAnsi="Times New Roman"/>
          <w:color w:val="auto"/>
          <w:sz w:val="24"/>
          <w:szCs w:val="24"/>
          <w:highlight w:val="none"/>
        </w:rPr>
      </w:pPr>
      <w:r>
        <w:rPr>
          <w:rFonts w:ascii="Times New Roman" w:hAnsi="Times New Roman"/>
          <w:color w:val="auto"/>
          <w:sz w:val="24"/>
          <w:szCs w:val="24"/>
          <w:highlight w:val="none"/>
        </w:rPr>
        <w:t>W——汽车载重量，t；</w:t>
      </w:r>
    </w:p>
    <w:p w14:paraId="49A4B11A">
      <w:pPr>
        <w:pStyle w:val="1553"/>
        <w:spacing w:line="360" w:lineRule="auto"/>
        <w:rPr>
          <w:rFonts w:ascii="Times New Roman" w:hAnsi="Times New Roman"/>
          <w:color w:val="auto"/>
          <w:sz w:val="24"/>
          <w:szCs w:val="24"/>
          <w:highlight w:val="none"/>
        </w:rPr>
      </w:pPr>
      <w:r>
        <w:rPr>
          <w:rFonts w:ascii="Times New Roman" w:hAnsi="Times New Roman"/>
          <w:color w:val="auto"/>
          <w:sz w:val="24"/>
          <w:szCs w:val="24"/>
          <w:highlight w:val="none"/>
        </w:rPr>
        <w:t>P——道路表面粉尘量，kg/m</w:t>
      </w:r>
      <w:r>
        <w:rPr>
          <w:rFonts w:ascii="Times New Roman" w:hAnsi="Times New Roman"/>
          <w:color w:val="auto"/>
          <w:sz w:val="24"/>
          <w:szCs w:val="24"/>
          <w:highlight w:val="none"/>
          <w:vertAlign w:val="superscript"/>
        </w:rPr>
        <w:t>2</w:t>
      </w:r>
      <w:r>
        <w:rPr>
          <w:rFonts w:ascii="Times New Roman" w:hAnsi="Times New Roman"/>
          <w:color w:val="auto"/>
          <w:sz w:val="24"/>
          <w:szCs w:val="24"/>
          <w:highlight w:val="none"/>
        </w:rPr>
        <w:t>。</w:t>
      </w:r>
    </w:p>
    <w:p w14:paraId="4E2B2084">
      <w:pPr>
        <w:ind w:firstLine="480"/>
        <w:rPr>
          <w:color w:val="auto"/>
          <w:highlight w:val="none"/>
        </w:rPr>
      </w:pPr>
      <w:r>
        <w:rPr>
          <w:color w:val="auto"/>
          <w:highlight w:val="none"/>
        </w:rPr>
        <w:t>工程运输车辆以载重汽车为主，以载重5t的卡车为例，通过不同表面清洁程度的路面时，不同行驶速度情况下产生的扬尘量见表2.4-3。</w:t>
      </w:r>
    </w:p>
    <w:p w14:paraId="678B3B45">
      <w:pPr>
        <w:pStyle w:val="38"/>
        <w:spacing w:after="0" w:line="240" w:lineRule="auto"/>
        <w:ind w:firstLine="0" w:firstLineChars="0"/>
        <w:jc w:val="center"/>
        <w:rPr>
          <w:b/>
          <w:color w:val="auto"/>
          <w:sz w:val="21"/>
          <w:szCs w:val="21"/>
          <w:highlight w:val="none"/>
        </w:rPr>
      </w:pPr>
      <w:r>
        <w:rPr>
          <w:b/>
          <w:color w:val="auto"/>
          <w:sz w:val="21"/>
          <w:szCs w:val="21"/>
          <w:highlight w:val="none"/>
        </w:rPr>
        <w:t>表2.4-3不同车速和地面清洁程度时的汽车扬尘        单位：kg/km•辆</w:t>
      </w:r>
    </w:p>
    <w:tbl>
      <w:tblPr>
        <w:tblStyle w:val="92"/>
        <w:tblW w:w="9280"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622"/>
        <w:gridCol w:w="1109"/>
        <w:gridCol w:w="1109"/>
        <w:gridCol w:w="1109"/>
        <w:gridCol w:w="1109"/>
        <w:gridCol w:w="1110"/>
        <w:gridCol w:w="1112"/>
      </w:tblGrid>
      <w:tr w14:paraId="2A3A54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99" w:hRule="atLeast"/>
          <w:jc w:val="center"/>
        </w:trPr>
        <w:tc>
          <w:tcPr>
            <w:tcW w:w="2622" w:type="dxa"/>
            <w:tcBorders>
              <w:tl2br w:val="nil"/>
              <w:tr2bl w:val="nil"/>
            </w:tcBorders>
            <w:noWrap/>
            <w:vAlign w:val="center"/>
            <mc:AlternateContent>
              <mc:Choice Requires="wpsCustomData">
                <wpsCustomData:diagonals>
                  <wpsCustomData:diagonal from="10000" to="30000">
                    <wpsCustomData:border w:val="single" w:color="000000" w:sz="4" w:space="0"/>
                  </wpsCustomData:diagonal>
                </wpsCustomData:diagonals>
              </mc:Choice>
            </mc:AlternateContent>
          </w:tcPr>
          <w:p w14:paraId="636DC5AB">
            <w:pPr>
              <w:spacing w:line="240" w:lineRule="auto"/>
              <w:ind w:firstLine="0" w:firstLineChars="0"/>
              <w:jc w:val="center"/>
              <w:rPr>
                <w:b/>
                <w:bCs/>
                <w:color w:val="auto"/>
                <w:sz w:val="21"/>
                <w:szCs w:val="21"/>
                <w:highlight w:val="none"/>
              </w:rPr>
            </w:pPr>
          </w:p>
          <w:p w14:paraId="16B48154">
            <w:pPr>
              <w:spacing w:line="240" w:lineRule="auto"/>
              <w:ind w:firstLine="0" w:firstLineChars="0"/>
              <w:jc w:val="center"/>
              <mc:AlternateContent>
                <mc:Choice Requires="wpsCustomData">
                  <wpsCustomData:diagonalParaType/>
                </mc:Choice>
              </mc:AlternateContent>
              <w:rPr>
                <w:b/>
                <w:bCs/>
                <w:color w:val="auto"/>
                <w:sz w:val="21"/>
                <w:szCs w:val="21"/>
                <w:highlight w:val="none"/>
              </w:rPr>
            </w:pPr>
            <w:r>
              <w:rPr>
                <w:b/>
                <w:bCs/>
                <w:color w:val="auto"/>
                <w:sz w:val="21"/>
                <w:szCs w:val="21"/>
                <w:highlight w:val="none"/>
              </w:rPr>
              <w:t>车速(km/h)</w:t>
            </w:r>
          </w:p>
          <w:p w14:paraId="4A3F1556">
            <w:pPr>
              <w:spacing w:line="240" w:lineRule="auto"/>
              <w:ind w:firstLine="0" w:firstLineChars="0"/>
              <w:jc w:val="center"/>
              <w:rPr>
                <w:b/>
                <w:bCs/>
                <w:color w:val="auto"/>
                <w:sz w:val="21"/>
                <w:szCs w:val="21"/>
                <w:highlight w:val="none"/>
              </w:rPr>
            </w:pPr>
            <w:r>
              <w:rPr>
                <w:b/>
                <w:bCs/>
                <w:color w:val="auto"/>
                <w:sz w:val="21"/>
                <w:szCs w:val="21"/>
                <w:highlight w:val="none"/>
              </w:rPr>
              <w:t>P(kg/m</w:t>
            </w:r>
            <w:r>
              <w:rPr>
                <w:b/>
                <w:bCs/>
                <w:color w:val="auto"/>
                <w:sz w:val="21"/>
                <w:szCs w:val="21"/>
                <w:highlight w:val="none"/>
                <w:vertAlign w:val="superscript"/>
              </w:rPr>
              <w:t>2</w:t>
            </w:r>
            <w:r>
              <w:rPr>
                <w:b/>
                <w:bCs/>
                <w:color w:val="auto"/>
                <w:sz w:val="21"/>
                <w:szCs w:val="21"/>
                <w:highlight w:val="none"/>
              </w:rPr>
              <w:t>)</w:t>
            </w:r>
          </w:p>
        </w:tc>
        <w:tc>
          <w:tcPr>
            <w:tcW w:w="1109" w:type="dxa"/>
            <w:tcBorders>
              <w:tl2br w:val="nil"/>
              <w:tr2bl w:val="nil"/>
            </w:tcBorders>
            <w:noWrap/>
            <w:vAlign w:val="center"/>
          </w:tcPr>
          <w:p w14:paraId="25D23514">
            <w:pPr>
              <w:spacing w:line="240" w:lineRule="auto"/>
              <w:ind w:firstLine="0" w:firstLineChars="0"/>
              <w:jc w:val="center"/>
              <w:rPr>
                <w:b/>
                <w:bCs/>
                <w:color w:val="auto"/>
                <w:sz w:val="21"/>
                <w:szCs w:val="21"/>
                <w:highlight w:val="none"/>
              </w:rPr>
            </w:pPr>
            <w:r>
              <w:rPr>
                <w:b/>
                <w:bCs/>
                <w:color w:val="auto"/>
                <w:sz w:val="21"/>
                <w:szCs w:val="21"/>
                <w:highlight w:val="none"/>
              </w:rPr>
              <w:t>0.1</w:t>
            </w:r>
          </w:p>
        </w:tc>
        <w:tc>
          <w:tcPr>
            <w:tcW w:w="1109" w:type="dxa"/>
            <w:tcBorders>
              <w:tl2br w:val="nil"/>
              <w:tr2bl w:val="nil"/>
            </w:tcBorders>
            <w:noWrap/>
            <w:vAlign w:val="center"/>
          </w:tcPr>
          <w:p w14:paraId="0C4B17A3">
            <w:pPr>
              <w:spacing w:line="240" w:lineRule="auto"/>
              <w:ind w:firstLine="0" w:firstLineChars="0"/>
              <w:jc w:val="center"/>
              <w:rPr>
                <w:b/>
                <w:bCs/>
                <w:color w:val="auto"/>
                <w:sz w:val="21"/>
                <w:szCs w:val="21"/>
                <w:highlight w:val="none"/>
              </w:rPr>
            </w:pPr>
            <w:r>
              <w:rPr>
                <w:b/>
                <w:bCs/>
                <w:color w:val="auto"/>
                <w:sz w:val="21"/>
                <w:szCs w:val="21"/>
                <w:highlight w:val="none"/>
              </w:rPr>
              <w:t>0.2</w:t>
            </w:r>
          </w:p>
        </w:tc>
        <w:tc>
          <w:tcPr>
            <w:tcW w:w="1109" w:type="dxa"/>
            <w:tcBorders>
              <w:tl2br w:val="nil"/>
              <w:tr2bl w:val="nil"/>
            </w:tcBorders>
            <w:noWrap/>
            <w:vAlign w:val="center"/>
          </w:tcPr>
          <w:p w14:paraId="37D673C0">
            <w:pPr>
              <w:spacing w:line="240" w:lineRule="auto"/>
              <w:ind w:firstLine="0" w:firstLineChars="0"/>
              <w:jc w:val="center"/>
              <w:rPr>
                <w:b/>
                <w:bCs/>
                <w:color w:val="auto"/>
                <w:sz w:val="21"/>
                <w:szCs w:val="21"/>
                <w:highlight w:val="none"/>
              </w:rPr>
            </w:pPr>
            <w:r>
              <w:rPr>
                <w:b/>
                <w:bCs/>
                <w:color w:val="auto"/>
                <w:sz w:val="21"/>
                <w:szCs w:val="21"/>
                <w:highlight w:val="none"/>
              </w:rPr>
              <w:t>0.3</w:t>
            </w:r>
          </w:p>
        </w:tc>
        <w:tc>
          <w:tcPr>
            <w:tcW w:w="1109" w:type="dxa"/>
            <w:tcBorders>
              <w:tl2br w:val="nil"/>
              <w:tr2bl w:val="nil"/>
            </w:tcBorders>
            <w:noWrap/>
            <w:vAlign w:val="center"/>
          </w:tcPr>
          <w:p w14:paraId="392354AF">
            <w:pPr>
              <w:spacing w:line="240" w:lineRule="auto"/>
              <w:ind w:firstLine="0" w:firstLineChars="0"/>
              <w:jc w:val="center"/>
              <w:rPr>
                <w:b/>
                <w:bCs/>
                <w:color w:val="auto"/>
                <w:sz w:val="21"/>
                <w:szCs w:val="21"/>
                <w:highlight w:val="none"/>
              </w:rPr>
            </w:pPr>
            <w:r>
              <w:rPr>
                <w:b/>
                <w:bCs/>
                <w:color w:val="auto"/>
                <w:sz w:val="21"/>
                <w:szCs w:val="21"/>
                <w:highlight w:val="none"/>
              </w:rPr>
              <w:t>0.4</w:t>
            </w:r>
          </w:p>
        </w:tc>
        <w:tc>
          <w:tcPr>
            <w:tcW w:w="1110" w:type="dxa"/>
            <w:tcBorders>
              <w:tl2br w:val="nil"/>
              <w:tr2bl w:val="nil"/>
            </w:tcBorders>
            <w:noWrap/>
            <w:vAlign w:val="center"/>
          </w:tcPr>
          <w:p w14:paraId="1B747F70">
            <w:pPr>
              <w:spacing w:line="240" w:lineRule="auto"/>
              <w:ind w:firstLine="0" w:firstLineChars="0"/>
              <w:jc w:val="center"/>
              <w:rPr>
                <w:b/>
                <w:bCs/>
                <w:color w:val="auto"/>
                <w:sz w:val="21"/>
                <w:szCs w:val="21"/>
                <w:highlight w:val="none"/>
              </w:rPr>
            </w:pPr>
            <w:r>
              <w:rPr>
                <w:b/>
                <w:bCs/>
                <w:color w:val="auto"/>
                <w:sz w:val="21"/>
                <w:szCs w:val="21"/>
                <w:highlight w:val="none"/>
              </w:rPr>
              <w:t>0.5</w:t>
            </w:r>
          </w:p>
        </w:tc>
        <w:tc>
          <w:tcPr>
            <w:tcW w:w="1112" w:type="dxa"/>
            <w:tcBorders>
              <w:tl2br w:val="nil"/>
              <w:tr2bl w:val="nil"/>
            </w:tcBorders>
            <w:noWrap/>
            <w:vAlign w:val="center"/>
          </w:tcPr>
          <w:p w14:paraId="5F49B890">
            <w:pPr>
              <w:spacing w:line="240" w:lineRule="auto"/>
              <w:ind w:firstLine="0" w:firstLineChars="0"/>
              <w:jc w:val="center"/>
              <w:rPr>
                <w:b/>
                <w:bCs/>
                <w:color w:val="auto"/>
                <w:sz w:val="21"/>
                <w:szCs w:val="21"/>
                <w:highlight w:val="none"/>
              </w:rPr>
            </w:pPr>
            <w:r>
              <w:rPr>
                <w:b/>
                <w:bCs/>
                <w:color w:val="auto"/>
                <w:sz w:val="21"/>
                <w:szCs w:val="21"/>
                <w:highlight w:val="none"/>
              </w:rPr>
              <w:t>1.0</w:t>
            </w:r>
          </w:p>
        </w:tc>
      </w:tr>
      <w:tr w14:paraId="77F2A13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622" w:type="dxa"/>
            <w:tcBorders>
              <w:tl2br w:val="nil"/>
              <w:tr2bl w:val="nil"/>
            </w:tcBorders>
            <w:noWrap/>
            <w:vAlign w:val="center"/>
          </w:tcPr>
          <w:p w14:paraId="1AB8BFCA">
            <w:pPr>
              <w:spacing w:line="240" w:lineRule="auto"/>
              <w:ind w:firstLine="0" w:firstLineChars="0"/>
              <w:jc w:val="center"/>
              <w:rPr>
                <w:color w:val="auto"/>
                <w:sz w:val="21"/>
                <w:szCs w:val="21"/>
                <w:highlight w:val="none"/>
              </w:rPr>
            </w:pPr>
            <w:r>
              <w:rPr>
                <w:color w:val="auto"/>
                <w:sz w:val="21"/>
                <w:szCs w:val="21"/>
                <w:highlight w:val="none"/>
              </w:rPr>
              <w:t>5</w:t>
            </w:r>
          </w:p>
        </w:tc>
        <w:tc>
          <w:tcPr>
            <w:tcW w:w="1109" w:type="dxa"/>
            <w:tcBorders>
              <w:tl2br w:val="nil"/>
              <w:tr2bl w:val="nil"/>
            </w:tcBorders>
            <w:noWrap/>
            <w:vAlign w:val="center"/>
          </w:tcPr>
          <w:p w14:paraId="3CA25C29">
            <w:pPr>
              <w:spacing w:line="240" w:lineRule="auto"/>
              <w:ind w:firstLine="0" w:firstLineChars="0"/>
              <w:jc w:val="center"/>
              <w:rPr>
                <w:color w:val="auto"/>
                <w:sz w:val="21"/>
                <w:szCs w:val="21"/>
                <w:highlight w:val="none"/>
              </w:rPr>
            </w:pPr>
            <w:r>
              <w:rPr>
                <w:color w:val="auto"/>
                <w:sz w:val="21"/>
                <w:szCs w:val="21"/>
                <w:highlight w:val="none"/>
              </w:rPr>
              <w:t>0.2301</w:t>
            </w:r>
          </w:p>
        </w:tc>
        <w:tc>
          <w:tcPr>
            <w:tcW w:w="1109" w:type="dxa"/>
            <w:tcBorders>
              <w:tl2br w:val="nil"/>
              <w:tr2bl w:val="nil"/>
            </w:tcBorders>
            <w:noWrap/>
            <w:vAlign w:val="center"/>
          </w:tcPr>
          <w:p w14:paraId="3BB65814">
            <w:pPr>
              <w:spacing w:line="240" w:lineRule="auto"/>
              <w:ind w:firstLine="0" w:firstLineChars="0"/>
              <w:jc w:val="center"/>
              <w:rPr>
                <w:color w:val="auto"/>
                <w:sz w:val="21"/>
                <w:szCs w:val="21"/>
                <w:highlight w:val="none"/>
              </w:rPr>
            </w:pPr>
            <w:r>
              <w:rPr>
                <w:color w:val="auto"/>
                <w:sz w:val="21"/>
                <w:szCs w:val="21"/>
                <w:highlight w:val="none"/>
              </w:rPr>
              <w:t>0.3869</w:t>
            </w:r>
          </w:p>
        </w:tc>
        <w:tc>
          <w:tcPr>
            <w:tcW w:w="1109" w:type="dxa"/>
            <w:tcBorders>
              <w:tl2br w:val="nil"/>
              <w:tr2bl w:val="nil"/>
            </w:tcBorders>
            <w:noWrap/>
            <w:vAlign w:val="center"/>
          </w:tcPr>
          <w:p w14:paraId="5D5DC02B">
            <w:pPr>
              <w:spacing w:line="240" w:lineRule="auto"/>
              <w:ind w:firstLine="0" w:firstLineChars="0"/>
              <w:jc w:val="center"/>
              <w:rPr>
                <w:color w:val="auto"/>
                <w:sz w:val="21"/>
                <w:szCs w:val="21"/>
                <w:highlight w:val="none"/>
              </w:rPr>
            </w:pPr>
            <w:r>
              <w:rPr>
                <w:color w:val="auto"/>
                <w:sz w:val="21"/>
                <w:szCs w:val="21"/>
                <w:highlight w:val="none"/>
              </w:rPr>
              <w:t>0.5244</w:t>
            </w:r>
          </w:p>
        </w:tc>
        <w:tc>
          <w:tcPr>
            <w:tcW w:w="1109" w:type="dxa"/>
            <w:tcBorders>
              <w:tl2br w:val="nil"/>
              <w:tr2bl w:val="nil"/>
            </w:tcBorders>
            <w:noWrap/>
            <w:vAlign w:val="center"/>
          </w:tcPr>
          <w:p w14:paraId="70A227B5">
            <w:pPr>
              <w:spacing w:line="240" w:lineRule="auto"/>
              <w:ind w:firstLine="0" w:firstLineChars="0"/>
              <w:jc w:val="center"/>
              <w:rPr>
                <w:color w:val="auto"/>
                <w:sz w:val="21"/>
                <w:szCs w:val="21"/>
                <w:highlight w:val="none"/>
              </w:rPr>
            </w:pPr>
            <w:r>
              <w:rPr>
                <w:color w:val="auto"/>
                <w:sz w:val="21"/>
                <w:szCs w:val="21"/>
                <w:highlight w:val="none"/>
              </w:rPr>
              <w:t>0.6507</w:t>
            </w:r>
          </w:p>
        </w:tc>
        <w:tc>
          <w:tcPr>
            <w:tcW w:w="1110" w:type="dxa"/>
            <w:tcBorders>
              <w:tl2br w:val="nil"/>
              <w:tr2bl w:val="nil"/>
            </w:tcBorders>
            <w:noWrap/>
            <w:vAlign w:val="center"/>
          </w:tcPr>
          <w:p w14:paraId="17DA2EC9">
            <w:pPr>
              <w:spacing w:line="240" w:lineRule="auto"/>
              <w:ind w:firstLine="0" w:firstLineChars="0"/>
              <w:jc w:val="center"/>
              <w:rPr>
                <w:color w:val="auto"/>
                <w:sz w:val="21"/>
                <w:szCs w:val="21"/>
                <w:highlight w:val="none"/>
              </w:rPr>
            </w:pPr>
            <w:r>
              <w:rPr>
                <w:color w:val="auto"/>
                <w:sz w:val="21"/>
                <w:szCs w:val="21"/>
                <w:highlight w:val="none"/>
              </w:rPr>
              <w:t>0.7693</w:t>
            </w:r>
          </w:p>
        </w:tc>
        <w:tc>
          <w:tcPr>
            <w:tcW w:w="1112" w:type="dxa"/>
            <w:tcBorders>
              <w:tl2br w:val="nil"/>
              <w:tr2bl w:val="nil"/>
            </w:tcBorders>
            <w:noWrap/>
            <w:vAlign w:val="center"/>
          </w:tcPr>
          <w:p w14:paraId="28419B61">
            <w:pPr>
              <w:spacing w:line="240" w:lineRule="auto"/>
              <w:ind w:firstLine="0" w:firstLineChars="0"/>
              <w:jc w:val="center"/>
              <w:rPr>
                <w:color w:val="auto"/>
                <w:sz w:val="21"/>
                <w:szCs w:val="21"/>
                <w:highlight w:val="none"/>
              </w:rPr>
            </w:pPr>
            <w:r>
              <w:rPr>
                <w:color w:val="auto"/>
                <w:sz w:val="21"/>
                <w:szCs w:val="21"/>
                <w:highlight w:val="none"/>
              </w:rPr>
              <w:t>1.2938</w:t>
            </w:r>
          </w:p>
        </w:tc>
      </w:tr>
      <w:tr w14:paraId="66DD3E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622" w:type="dxa"/>
            <w:tcBorders>
              <w:tl2br w:val="nil"/>
              <w:tr2bl w:val="nil"/>
            </w:tcBorders>
            <w:noWrap/>
            <w:vAlign w:val="center"/>
          </w:tcPr>
          <w:p w14:paraId="321FB809">
            <w:pPr>
              <w:spacing w:line="240" w:lineRule="auto"/>
              <w:ind w:firstLine="0" w:firstLineChars="0"/>
              <w:jc w:val="center"/>
              <w:rPr>
                <w:color w:val="auto"/>
                <w:sz w:val="21"/>
                <w:szCs w:val="21"/>
                <w:highlight w:val="none"/>
              </w:rPr>
            </w:pPr>
            <w:r>
              <w:rPr>
                <w:color w:val="auto"/>
                <w:sz w:val="21"/>
                <w:szCs w:val="21"/>
                <w:highlight w:val="none"/>
              </w:rPr>
              <w:t>10</w:t>
            </w:r>
          </w:p>
        </w:tc>
        <w:tc>
          <w:tcPr>
            <w:tcW w:w="1109" w:type="dxa"/>
            <w:tcBorders>
              <w:tl2br w:val="nil"/>
              <w:tr2bl w:val="nil"/>
            </w:tcBorders>
            <w:noWrap/>
            <w:vAlign w:val="center"/>
          </w:tcPr>
          <w:p w14:paraId="05E41142">
            <w:pPr>
              <w:spacing w:line="240" w:lineRule="auto"/>
              <w:ind w:firstLine="0" w:firstLineChars="0"/>
              <w:jc w:val="center"/>
              <w:rPr>
                <w:color w:val="auto"/>
                <w:sz w:val="21"/>
                <w:szCs w:val="21"/>
                <w:highlight w:val="none"/>
              </w:rPr>
            </w:pPr>
            <w:r>
              <w:rPr>
                <w:color w:val="auto"/>
                <w:sz w:val="21"/>
                <w:szCs w:val="21"/>
                <w:highlight w:val="none"/>
              </w:rPr>
              <w:t>0.4601</w:t>
            </w:r>
          </w:p>
        </w:tc>
        <w:tc>
          <w:tcPr>
            <w:tcW w:w="1109" w:type="dxa"/>
            <w:tcBorders>
              <w:tl2br w:val="nil"/>
              <w:tr2bl w:val="nil"/>
            </w:tcBorders>
            <w:noWrap/>
            <w:vAlign w:val="center"/>
          </w:tcPr>
          <w:p w14:paraId="1976B83E">
            <w:pPr>
              <w:spacing w:line="240" w:lineRule="auto"/>
              <w:ind w:firstLine="0" w:firstLineChars="0"/>
              <w:jc w:val="center"/>
              <w:rPr>
                <w:color w:val="auto"/>
                <w:sz w:val="21"/>
                <w:szCs w:val="21"/>
                <w:highlight w:val="none"/>
              </w:rPr>
            </w:pPr>
            <w:r>
              <w:rPr>
                <w:color w:val="auto"/>
                <w:sz w:val="21"/>
                <w:szCs w:val="21"/>
                <w:highlight w:val="none"/>
              </w:rPr>
              <w:t>0.7739</w:t>
            </w:r>
          </w:p>
        </w:tc>
        <w:tc>
          <w:tcPr>
            <w:tcW w:w="1109" w:type="dxa"/>
            <w:tcBorders>
              <w:tl2br w:val="nil"/>
              <w:tr2bl w:val="nil"/>
            </w:tcBorders>
            <w:noWrap/>
            <w:vAlign w:val="center"/>
          </w:tcPr>
          <w:p w14:paraId="7A86DCE4">
            <w:pPr>
              <w:spacing w:line="240" w:lineRule="auto"/>
              <w:ind w:firstLine="0" w:firstLineChars="0"/>
              <w:jc w:val="center"/>
              <w:rPr>
                <w:color w:val="auto"/>
                <w:sz w:val="21"/>
                <w:szCs w:val="21"/>
                <w:highlight w:val="none"/>
              </w:rPr>
            </w:pPr>
            <w:r>
              <w:rPr>
                <w:color w:val="auto"/>
                <w:sz w:val="21"/>
                <w:szCs w:val="21"/>
                <w:highlight w:val="none"/>
              </w:rPr>
              <w:t>1.0489</w:t>
            </w:r>
          </w:p>
        </w:tc>
        <w:tc>
          <w:tcPr>
            <w:tcW w:w="1109" w:type="dxa"/>
            <w:tcBorders>
              <w:tl2br w:val="nil"/>
              <w:tr2bl w:val="nil"/>
            </w:tcBorders>
            <w:noWrap/>
            <w:vAlign w:val="center"/>
          </w:tcPr>
          <w:p w14:paraId="22D503C7">
            <w:pPr>
              <w:spacing w:line="240" w:lineRule="auto"/>
              <w:ind w:firstLine="0" w:firstLineChars="0"/>
              <w:jc w:val="center"/>
              <w:rPr>
                <w:color w:val="auto"/>
                <w:sz w:val="21"/>
                <w:szCs w:val="21"/>
                <w:highlight w:val="none"/>
              </w:rPr>
            </w:pPr>
            <w:r>
              <w:rPr>
                <w:color w:val="auto"/>
                <w:sz w:val="21"/>
                <w:szCs w:val="21"/>
                <w:highlight w:val="none"/>
              </w:rPr>
              <w:t>13015</w:t>
            </w:r>
          </w:p>
        </w:tc>
        <w:tc>
          <w:tcPr>
            <w:tcW w:w="1110" w:type="dxa"/>
            <w:tcBorders>
              <w:tl2br w:val="nil"/>
              <w:tr2bl w:val="nil"/>
            </w:tcBorders>
            <w:noWrap/>
            <w:vAlign w:val="center"/>
          </w:tcPr>
          <w:p w14:paraId="60FEA0F7">
            <w:pPr>
              <w:spacing w:line="240" w:lineRule="auto"/>
              <w:ind w:firstLine="0" w:firstLineChars="0"/>
              <w:jc w:val="center"/>
              <w:rPr>
                <w:color w:val="auto"/>
                <w:sz w:val="21"/>
                <w:szCs w:val="21"/>
                <w:highlight w:val="none"/>
              </w:rPr>
            </w:pPr>
            <w:r>
              <w:rPr>
                <w:color w:val="auto"/>
                <w:sz w:val="21"/>
                <w:szCs w:val="21"/>
                <w:highlight w:val="none"/>
              </w:rPr>
              <w:t>1.5386</w:t>
            </w:r>
          </w:p>
        </w:tc>
        <w:tc>
          <w:tcPr>
            <w:tcW w:w="1112" w:type="dxa"/>
            <w:tcBorders>
              <w:tl2br w:val="nil"/>
              <w:tr2bl w:val="nil"/>
            </w:tcBorders>
            <w:noWrap/>
            <w:vAlign w:val="center"/>
          </w:tcPr>
          <w:p w14:paraId="2371FC00">
            <w:pPr>
              <w:spacing w:line="240" w:lineRule="auto"/>
              <w:ind w:firstLine="0" w:firstLineChars="0"/>
              <w:jc w:val="center"/>
              <w:rPr>
                <w:color w:val="auto"/>
                <w:sz w:val="21"/>
                <w:szCs w:val="21"/>
                <w:highlight w:val="none"/>
              </w:rPr>
            </w:pPr>
            <w:r>
              <w:rPr>
                <w:color w:val="auto"/>
                <w:sz w:val="21"/>
                <w:szCs w:val="21"/>
                <w:highlight w:val="none"/>
              </w:rPr>
              <w:t>2.5876</w:t>
            </w:r>
          </w:p>
        </w:tc>
      </w:tr>
      <w:tr w14:paraId="4F140F2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622" w:type="dxa"/>
            <w:tcBorders>
              <w:tl2br w:val="nil"/>
              <w:tr2bl w:val="nil"/>
            </w:tcBorders>
            <w:noWrap/>
            <w:vAlign w:val="center"/>
          </w:tcPr>
          <w:p w14:paraId="50B0BECD">
            <w:pPr>
              <w:spacing w:line="240" w:lineRule="auto"/>
              <w:ind w:firstLine="0" w:firstLineChars="0"/>
              <w:jc w:val="center"/>
              <w:rPr>
                <w:color w:val="auto"/>
                <w:sz w:val="21"/>
                <w:szCs w:val="21"/>
                <w:highlight w:val="none"/>
              </w:rPr>
            </w:pPr>
            <w:r>
              <w:rPr>
                <w:color w:val="auto"/>
                <w:sz w:val="21"/>
                <w:szCs w:val="21"/>
                <w:highlight w:val="none"/>
              </w:rPr>
              <w:t>15</w:t>
            </w:r>
          </w:p>
        </w:tc>
        <w:tc>
          <w:tcPr>
            <w:tcW w:w="1109" w:type="dxa"/>
            <w:tcBorders>
              <w:tl2br w:val="nil"/>
              <w:tr2bl w:val="nil"/>
            </w:tcBorders>
            <w:noWrap/>
            <w:vAlign w:val="center"/>
          </w:tcPr>
          <w:p w14:paraId="2794AB32">
            <w:pPr>
              <w:spacing w:line="240" w:lineRule="auto"/>
              <w:ind w:firstLine="0" w:firstLineChars="0"/>
              <w:jc w:val="center"/>
              <w:rPr>
                <w:color w:val="auto"/>
                <w:sz w:val="21"/>
                <w:szCs w:val="21"/>
                <w:highlight w:val="none"/>
              </w:rPr>
            </w:pPr>
            <w:r>
              <w:rPr>
                <w:color w:val="auto"/>
                <w:sz w:val="21"/>
                <w:szCs w:val="21"/>
                <w:highlight w:val="none"/>
              </w:rPr>
              <w:t>0.6902</w:t>
            </w:r>
          </w:p>
        </w:tc>
        <w:tc>
          <w:tcPr>
            <w:tcW w:w="1109" w:type="dxa"/>
            <w:tcBorders>
              <w:tl2br w:val="nil"/>
              <w:tr2bl w:val="nil"/>
            </w:tcBorders>
            <w:noWrap/>
            <w:vAlign w:val="center"/>
          </w:tcPr>
          <w:p w14:paraId="0D786626">
            <w:pPr>
              <w:spacing w:line="240" w:lineRule="auto"/>
              <w:ind w:firstLine="0" w:firstLineChars="0"/>
              <w:jc w:val="center"/>
              <w:rPr>
                <w:color w:val="auto"/>
                <w:sz w:val="21"/>
                <w:szCs w:val="21"/>
                <w:highlight w:val="none"/>
              </w:rPr>
            </w:pPr>
            <w:r>
              <w:rPr>
                <w:color w:val="auto"/>
                <w:sz w:val="21"/>
                <w:szCs w:val="21"/>
                <w:highlight w:val="none"/>
              </w:rPr>
              <w:t>1.1608</w:t>
            </w:r>
          </w:p>
        </w:tc>
        <w:tc>
          <w:tcPr>
            <w:tcW w:w="1109" w:type="dxa"/>
            <w:tcBorders>
              <w:tl2br w:val="nil"/>
              <w:tr2bl w:val="nil"/>
            </w:tcBorders>
            <w:noWrap/>
            <w:vAlign w:val="center"/>
          </w:tcPr>
          <w:p w14:paraId="5EF37022">
            <w:pPr>
              <w:spacing w:line="240" w:lineRule="auto"/>
              <w:ind w:firstLine="0" w:firstLineChars="0"/>
              <w:jc w:val="center"/>
              <w:rPr>
                <w:color w:val="auto"/>
                <w:sz w:val="21"/>
                <w:szCs w:val="21"/>
                <w:highlight w:val="none"/>
              </w:rPr>
            </w:pPr>
            <w:r>
              <w:rPr>
                <w:color w:val="auto"/>
                <w:sz w:val="21"/>
                <w:szCs w:val="21"/>
                <w:highlight w:val="none"/>
              </w:rPr>
              <w:t>1.5733</w:t>
            </w:r>
          </w:p>
        </w:tc>
        <w:tc>
          <w:tcPr>
            <w:tcW w:w="1109" w:type="dxa"/>
            <w:tcBorders>
              <w:tl2br w:val="nil"/>
              <w:tr2bl w:val="nil"/>
            </w:tcBorders>
            <w:noWrap/>
            <w:vAlign w:val="center"/>
          </w:tcPr>
          <w:p w14:paraId="3C21A843">
            <w:pPr>
              <w:spacing w:line="240" w:lineRule="auto"/>
              <w:ind w:firstLine="0" w:firstLineChars="0"/>
              <w:jc w:val="center"/>
              <w:rPr>
                <w:color w:val="auto"/>
                <w:sz w:val="21"/>
                <w:szCs w:val="21"/>
                <w:highlight w:val="none"/>
              </w:rPr>
            </w:pPr>
            <w:r>
              <w:rPr>
                <w:color w:val="auto"/>
                <w:sz w:val="21"/>
                <w:szCs w:val="21"/>
                <w:highlight w:val="none"/>
              </w:rPr>
              <w:t>1.9522</w:t>
            </w:r>
          </w:p>
        </w:tc>
        <w:tc>
          <w:tcPr>
            <w:tcW w:w="1110" w:type="dxa"/>
            <w:tcBorders>
              <w:tl2br w:val="nil"/>
              <w:tr2bl w:val="nil"/>
            </w:tcBorders>
            <w:noWrap/>
            <w:vAlign w:val="center"/>
          </w:tcPr>
          <w:p w14:paraId="7240D8FF">
            <w:pPr>
              <w:spacing w:line="240" w:lineRule="auto"/>
              <w:ind w:firstLine="0" w:firstLineChars="0"/>
              <w:jc w:val="center"/>
              <w:rPr>
                <w:color w:val="auto"/>
                <w:sz w:val="21"/>
                <w:szCs w:val="21"/>
                <w:highlight w:val="none"/>
              </w:rPr>
            </w:pPr>
            <w:r>
              <w:rPr>
                <w:color w:val="auto"/>
                <w:sz w:val="21"/>
                <w:szCs w:val="21"/>
                <w:highlight w:val="none"/>
              </w:rPr>
              <w:t>2.3079</w:t>
            </w:r>
          </w:p>
        </w:tc>
        <w:tc>
          <w:tcPr>
            <w:tcW w:w="1112" w:type="dxa"/>
            <w:tcBorders>
              <w:tl2br w:val="nil"/>
              <w:tr2bl w:val="nil"/>
            </w:tcBorders>
            <w:noWrap/>
            <w:vAlign w:val="center"/>
          </w:tcPr>
          <w:p w14:paraId="3CD1937E">
            <w:pPr>
              <w:spacing w:line="240" w:lineRule="auto"/>
              <w:ind w:firstLine="0" w:firstLineChars="0"/>
              <w:jc w:val="center"/>
              <w:rPr>
                <w:color w:val="auto"/>
                <w:sz w:val="21"/>
                <w:szCs w:val="21"/>
                <w:highlight w:val="none"/>
              </w:rPr>
            </w:pPr>
            <w:r>
              <w:rPr>
                <w:color w:val="auto"/>
                <w:sz w:val="21"/>
                <w:szCs w:val="21"/>
                <w:highlight w:val="none"/>
              </w:rPr>
              <w:t>3.8813</w:t>
            </w:r>
          </w:p>
        </w:tc>
      </w:tr>
      <w:tr w14:paraId="74249DB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1" w:hRule="atLeast"/>
          <w:jc w:val="center"/>
        </w:trPr>
        <w:tc>
          <w:tcPr>
            <w:tcW w:w="2622" w:type="dxa"/>
            <w:tcBorders>
              <w:tl2br w:val="nil"/>
              <w:tr2bl w:val="nil"/>
            </w:tcBorders>
            <w:noWrap/>
            <w:vAlign w:val="center"/>
          </w:tcPr>
          <w:p w14:paraId="4F955455">
            <w:pPr>
              <w:spacing w:line="240" w:lineRule="auto"/>
              <w:ind w:firstLine="0" w:firstLineChars="0"/>
              <w:jc w:val="center"/>
              <w:rPr>
                <w:color w:val="auto"/>
                <w:sz w:val="21"/>
                <w:szCs w:val="21"/>
                <w:highlight w:val="none"/>
              </w:rPr>
            </w:pPr>
            <w:r>
              <w:rPr>
                <w:color w:val="auto"/>
                <w:sz w:val="21"/>
                <w:szCs w:val="21"/>
                <w:highlight w:val="none"/>
              </w:rPr>
              <w:t>20</w:t>
            </w:r>
          </w:p>
        </w:tc>
        <w:tc>
          <w:tcPr>
            <w:tcW w:w="1109" w:type="dxa"/>
            <w:tcBorders>
              <w:tl2br w:val="nil"/>
              <w:tr2bl w:val="nil"/>
            </w:tcBorders>
            <w:noWrap/>
            <w:vAlign w:val="center"/>
          </w:tcPr>
          <w:p w14:paraId="2ED11793">
            <w:pPr>
              <w:spacing w:line="240" w:lineRule="auto"/>
              <w:ind w:firstLine="0" w:firstLineChars="0"/>
              <w:jc w:val="center"/>
              <w:rPr>
                <w:color w:val="auto"/>
                <w:sz w:val="21"/>
                <w:szCs w:val="21"/>
                <w:highlight w:val="none"/>
              </w:rPr>
            </w:pPr>
            <w:r>
              <w:rPr>
                <w:color w:val="auto"/>
                <w:sz w:val="21"/>
                <w:szCs w:val="21"/>
                <w:highlight w:val="none"/>
              </w:rPr>
              <w:t>0.9203</w:t>
            </w:r>
          </w:p>
        </w:tc>
        <w:tc>
          <w:tcPr>
            <w:tcW w:w="1109" w:type="dxa"/>
            <w:tcBorders>
              <w:tl2br w:val="nil"/>
              <w:tr2bl w:val="nil"/>
            </w:tcBorders>
            <w:noWrap/>
            <w:vAlign w:val="center"/>
          </w:tcPr>
          <w:p w14:paraId="26821BF3">
            <w:pPr>
              <w:spacing w:line="240" w:lineRule="auto"/>
              <w:ind w:firstLine="0" w:firstLineChars="0"/>
              <w:jc w:val="center"/>
              <w:rPr>
                <w:color w:val="auto"/>
                <w:sz w:val="21"/>
                <w:szCs w:val="21"/>
                <w:highlight w:val="none"/>
              </w:rPr>
            </w:pPr>
            <w:r>
              <w:rPr>
                <w:color w:val="auto"/>
                <w:sz w:val="21"/>
                <w:szCs w:val="21"/>
                <w:highlight w:val="none"/>
              </w:rPr>
              <w:t>1.5477</w:t>
            </w:r>
          </w:p>
        </w:tc>
        <w:tc>
          <w:tcPr>
            <w:tcW w:w="1109" w:type="dxa"/>
            <w:tcBorders>
              <w:tl2br w:val="nil"/>
              <w:tr2bl w:val="nil"/>
            </w:tcBorders>
            <w:noWrap/>
            <w:vAlign w:val="center"/>
          </w:tcPr>
          <w:p w14:paraId="6876FFEF">
            <w:pPr>
              <w:spacing w:line="240" w:lineRule="auto"/>
              <w:ind w:firstLine="0" w:firstLineChars="0"/>
              <w:jc w:val="center"/>
              <w:rPr>
                <w:color w:val="auto"/>
                <w:sz w:val="21"/>
                <w:szCs w:val="21"/>
                <w:highlight w:val="none"/>
              </w:rPr>
            </w:pPr>
            <w:r>
              <w:rPr>
                <w:color w:val="auto"/>
                <w:sz w:val="21"/>
                <w:szCs w:val="21"/>
                <w:highlight w:val="none"/>
              </w:rPr>
              <w:t>2.0978</w:t>
            </w:r>
          </w:p>
        </w:tc>
        <w:tc>
          <w:tcPr>
            <w:tcW w:w="1109" w:type="dxa"/>
            <w:tcBorders>
              <w:tl2br w:val="nil"/>
              <w:tr2bl w:val="nil"/>
            </w:tcBorders>
            <w:noWrap/>
            <w:vAlign w:val="center"/>
          </w:tcPr>
          <w:p w14:paraId="384558AE">
            <w:pPr>
              <w:spacing w:line="240" w:lineRule="auto"/>
              <w:ind w:firstLine="0" w:firstLineChars="0"/>
              <w:jc w:val="center"/>
              <w:rPr>
                <w:color w:val="auto"/>
                <w:sz w:val="21"/>
                <w:szCs w:val="21"/>
                <w:highlight w:val="none"/>
              </w:rPr>
            </w:pPr>
            <w:r>
              <w:rPr>
                <w:color w:val="auto"/>
                <w:sz w:val="21"/>
                <w:szCs w:val="21"/>
                <w:highlight w:val="none"/>
              </w:rPr>
              <w:t>2.6029</w:t>
            </w:r>
          </w:p>
        </w:tc>
        <w:tc>
          <w:tcPr>
            <w:tcW w:w="1110" w:type="dxa"/>
            <w:tcBorders>
              <w:tl2br w:val="nil"/>
              <w:tr2bl w:val="nil"/>
            </w:tcBorders>
            <w:noWrap/>
            <w:vAlign w:val="center"/>
          </w:tcPr>
          <w:p w14:paraId="5767D16B">
            <w:pPr>
              <w:spacing w:line="240" w:lineRule="auto"/>
              <w:ind w:firstLine="0" w:firstLineChars="0"/>
              <w:jc w:val="center"/>
              <w:rPr>
                <w:color w:val="auto"/>
                <w:sz w:val="21"/>
                <w:szCs w:val="21"/>
                <w:highlight w:val="none"/>
              </w:rPr>
            </w:pPr>
            <w:r>
              <w:rPr>
                <w:color w:val="auto"/>
                <w:sz w:val="21"/>
                <w:szCs w:val="21"/>
                <w:highlight w:val="none"/>
              </w:rPr>
              <w:t>3.0771</w:t>
            </w:r>
          </w:p>
        </w:tc>
        <w:tc>
          <w:tcPr>
            <w:tcW w:w="1112" w:type="dxa"/>
            <w:tcBorders>
              <w:tl2br w:val="nil"/>
              <w:tr2bl w:val="nil"/>
            </w:tcBorders>
            <w:noWrap/>
            <w:vAlign w:val="center"/>
          </w:tcPr>
          <w:p w14:paraId="44D9D747">
            <w:pPr>
              <w:spacing w:line="240" w:lineRule="auto"/>
              <w:ind w:firstLine="0" w:firstLineChars="0"/>
              <w:jc w:val="center"/>
              <w:rPr>
                <w:color w:val="auto"/>
                <w:sz w:val="21"/>
                <w:szCs w:val="21"/>
                <w:highlight w:val="none"/>
              </w:rPr>
            </w:pPr>
            <w:r>
              <w:rPr>
                <w:color w:val="auto"/>
                <w:sz w:val="21"/>
                <w:szCs w:val="21"/>
                <w:highlight w:val="none"/>
              </w:rPr>
              <w:t>5.1751</w:t>
            </w:r>
          </w:p>
        </w:tc>
      </w:tr>
    </w:tbl>
    <w:p w14:paraId="3BC3C7BB">
      <w:pPr>
        <w:pStyle w:val="1553"/>
        <w:adjustRightInd w:val="0"/>
        <w:snapToGrid w:val="0"/>
        <w:spacing w:line="360" w:lineRule="auto"/>
        <w:rPr>
          <w:rFonts w:ascii="Times New Roman" w:hAnsi="Times New Roman"/>
          <w:color w:val="auto"/>
          <w:sz w:val="24"/>
          <w:szCs w:val="24"/>
          <w:highlight w:val="none"/>
        </w:rPr>
      </w:pPr>
      <w:r>
        <w:rPr>
          <w:rFonts w:ascii="Times New Roman" w:hAnsi="Times New Roman"/>
          <w:color w:val="auto"/>
          <w:sz w:val="24"/>
          <w:szCs w:val="24"/>
          <w:highlight w:val="none"/>
        </w:rPr>
        <w:t>由上表可知，在同样路面清洁情况下，车速越快，扬尘量越大；而在同样车速情况下，路面清洁度越差，则扬尘量越大。根据相关类比调查可知，如运输车辆附近道路未经清洗或洒水抑尘，在风力较大、气候较干燥的情况下，运输车辆所经道路下风向距离50m、100m、150m的TSP浓度分别为：0.45～0.50mg/m</w:t>
      </w:r>
      <w:r>
        <w:rPr>
          <w:rFonts w:ascii="Times New Roman" w:hAnsi="Times New Roman"/>
          <w:color w:val="auto"/>
          <w:sz w:val="24"/>
          <w:szCs w:val="24"/>
          <w:highlight w:val="none"/>
          <w:vertAlign w:val="superscript"/>
        </w:rPr>
        <w:t>3</w:t>
      </w:r>
      <w:r>
        <w:rPr>
          <w:rFonts w:ascii="Times New Roman" w:hAnsi="Times New Roman"/>
          <w:color w:val="auto"/>
          <w:sz w:val="24"/>
          <w:szCs w:val="24"/>
          <w:highlight w:val="none"/>
        </w:rPr>
        <w:t>，0.35～0.38mg/m</w:t>
      </w:r>
      <w:r>
        <w:rPr>
          <w:rFonts w:ascii="Times New Roman" w:hAnsi="Times New Roman"/>
          <w:color w:val="auto"/>
          <w:sz w:val="24"/>
          <w:szCs w:val="24"/>
          <w:highlight w:val="none"/>
          <w:vertAlign w:val="superscript"/>
        </w:rPr>
        <w:t>3</w:t>
      </w:r>
      <w:r>
        <w:rPr>
          <w:rFonts w:ascii="Times New Roman" w:hAnsi="Times New Roman"/>
          <w:color w:val="auto"/>
          <w:sz w:val="24"/>
          <w:szCs w:val="24"/>
          <w:highlight w:val="none"/>
        </w:rPr>
        <w:t>，0.31～0.34mg/m</w:t>
      </w:r>
      <w:r>
        <w:rPr>
          <w:rFonts w:ascii="Times New Roman" w:hAnsi="Times New Roman"/>
          <w:color w:val="auto"/>
          <w:sz w:val="24"/>
          <w:szCs w:val="24"/>
          <w:highlight w:val="none"/>
          <w:vertAlign w:val="superscript"/>
        </w:rPr>
        <w:t>3</w:t>
      </w:r>
      <w:r>
        <w:rPr>
          <w:rFonts w:ascii="Times New Roman" w:hAnsi="Times New Roman"/>
          <w:color w:val="auto"/>
          <w:sz w:val="24"/>
          <w:szCs w:val="24"/>
          <w:highlight w:val="none"/>
        </w:rPr>
        <w:t>，均超过《环境空气质量标准》二级标准日平均限值的要求，在距离200m范围外TSP方可达到大气环境质量二级标准。</w:t>
      </w:r>
    </w:p>
    <w:p w14:paraId="60D21EC8">
      <w:pPr>
        <w:pStyle w:val="1553"/>
        <w:adjustRightInd w:val="0"/>
        <w:snapToGrid w:val="0"/>
        <w:spacing w:line="360" w:lineRule="auto"/>
        <w:ind w:firstLine="482"/>
        <w:rPr>
          <w:rFonts w:ascii="Times New Roman" w:hAnsi="Times New Roman"/>
          <w:b/>
          <w:bCs/>
          <w:color w:val="auto"/>
          <w:sz w:val="24"/>
          <w:szCs w:val="24"/>
          <w:highlight w:val="none"/>
        </w:rPr>
      </w:pPr>
      <w:r>
        <w:rPr>
          <w:rFonts w:ascii="Times New Roman" w:hAnsi="Times New Roman"/>
          <w:b/>
          <w:bCs/>
          <w:color w:val="auto"/>
          <w:sz w:val="24"/>
          <w:szCs w:val="24"/>
          <w:highlight w:val="none"/>
        </w:rPr>
        <w:t>（4）施工作业机械（车辆）尾气</w:t>
      </w:r>
    </w:p>
    <w:p w14:paraId="77F3D44A">
      <w:pPr>
        <w:pStyle w:val="589"/>
        <w:ind w:firstLine="480"/>
        <w:rPr>
          <w:rFonts w:cs="Times New Roman"/>
          <w:color w:val="auto"/>
          <w:highlight w:val="none"/>
        </w:rPr>
      </w:pPr>
      <w:r>
        <w:rPr>
          <w:rFonts w:cs="Times New Roman"/>
          <w:color w:val="auto"/>
          <w:highlight w:val="none"/>
        </w:rPr>
        <w:t>施工期间各种施工机械、运输车辆在燃油时会产生SO</w:t>
      </w:r>
      <w:r>
        <w:rPr>
          <w:rFonts w:cs="Times New Roman"/>
          <w:color w:val="auto"/>
          <w:highlight w:val="none"/>
          <w:vertAlign w:val="subscript"/>
        </w:rPr>
        <w:t>2</w:t>
      </w:r>
      <w:r>
        <w:rPr>
          <w:rFonts w:cs="Times New Roman"/>
          <w:color w:val="auto"/>
          <w:highlight w:val="none"/>
        </w:rPr>
        <w:t>、NO</w:t>
      </w:r>
      <w:r>
        <w:rPr>
          <w:rFonts w:cs="Times New Roman"/>
          <w:color w:val="auto"/>
          <w:highlight w:val="none"/>
          <w:vertAlign w:val="subscript"/>
        </w:rPr>
        <w:t>2</w:t>
      </w:r>
      <w:r>
        <w:rPr>
          <w:rFonts w:cs="Times New Roman"/>
          <w:color w:val="auto"/>
          <w:highlight w:val="none"/>
        </w:rPr>
        <w:t>、CO、烃类等大气污染物，但这些污染源较分散且为流动性，污染物排放量不大，表现为间歇性特征，影响是短期和局部的，施工结束影响也随之消失；这类废气对大气环境的影响比较小，同时施工单位必须使用污染物排放符合国家标准的运输车辆，加强车辆的保养，使车辆处于良好的工作状态，严禁使用报废车辆，以减少施工车辆尾气对周围环境的影响。</w:t>
      </w:r>
    </w:p>
    <w:p w14:paraId="602421D4">
      <w:pPr>
        <w:pStyle w:val="533"/>
        <w:numPr>
          <w:ilvl w:val="3"/>
          <w:numId w:val="9"/>
        </w:numPr>
        <w:rPr>
          <w:color w:val="auto"/>
          <w:szCs w:val="24"/>
          <w:highlight w:val="none"/>
        </w:rPr>
      </w:pPr>
      <w:r>
        <w:rPr>
          <w:color w:val="auto"/>
          <w:szCs w:val="24"/>
          <w:highlight w:val="none"/>
        </w:rPr>
        <w:t>施工期废水</w:t>
      </w:r>
    </w:p>
    <w:p w14:paraId="6532A119">
      <w:pPr>
        <w:pStyle w:val="589"/>
        <w:ind w:firstLine="482"/>
        <w:rPr>
          <w:rFonts w:cs="Times New Roman"/>
          <w:b/>
          <w:bCs/>
          <w:color w:val="auto"/>
          <w:highlight w:val="none"/>
        </w:rPr>
      </w:pPr>
      <w:r>
        <w:rPr>
          <w:rFonts w:cs="Times New Roman"/>
          <w:b/>
          <w:bCs/>
          <w:color w:val="auto"/>
          <w:highlight w:val="none"/>
        </w:rPr>
        <w:t>（1）锚泊投放施工悬浮泥沙</w:t>
      </w:r>
    </w:p>
    <w:p w14:paraId="625B292D">
      <w:pPr>
        <w:pStyle w:val="589"/>
        <w:ind w:firstLine="480"/>
        <w:rPr>
          <w:rFonts w:cs="Times New Roman"/>
          <w:color w:val="auto"/>
          <w:highlight w:val="none"/>
        </w:rPr>
      </w:pPr>
      <w:r>
        <w:rPr>
          <w:rFonts w:cs="Times New Roman"/>
          <w:color w:val="auto"/>
          <w:highlight w:val="none"/>
        </w:rPr>
        <w:t>本工程施工期间产生悬浮泥沙主要来源于以下锚泊系统安装拉锚环节，根据目前浮坞尺度，暂预计新增浮坞锚块5座，原浮船配备拉锚基础10座继续沿用。新增锚块采用钢筋混凝土无底方块，方块采用类似无底沉箱的结构。安装拉锚过程产生的泥沙悬浮造成水体</w:t>
      </w:r>
      <w:r>
        <w:rPr>
          <w:rFonts w:hint="eastAsia" w:cs="Times New Roman"/>
          <w:color w:val="auto"/>
          <w:highlight w:val="none"/>
          <w:lang w:eastAsia="zh-CN"/>
        </w:rPr>
        <w:t>浑浊</w:t>
      </w:r>
      <w:r>
        <w:rPr>
          <w:rFonts w:cs="Times New Roman"/>
          <w:color w:val="auto"/>
          <w:highlight w:val="none"/>
        </w:rPr>
        <w:t>、水质下降，并使得工程海域内底栖生物生存环境遭到破坏，对浮游生物也产生影响，主要污染物为SS。</w:t>
      </w:r>
    </w:p>
    <w:p w14:paraId="5E478F2B">
      <w:pPr>
        <w:pStyle w:val="589"/>
        <w:ind w:firstLine="480"/>
        <w:rPr>
          <w:rFonts w:cs="Times New Roman"/>
          <w:color w:val="auto"/>
          <w:highlight w:val="none"/>
        </w:rPr>
      </w:pPr>
      <w:r>
        <w:rPr>
          <w:rFonts w:cs="Times New Roman"/>
          <w:color w:val="auto"/>
          <w:highlight w:val="none"/>
        </w:rPr>
        <w:t>安装拉锚形成的颗粒物悬浮源强根据《悬浮物对海洋环境影响的研究》（赵迎春，王海棠）计算，具体</w:t>
      </w:r>
      <w:r>
        <w:rPr>
          <w:rFonts w:hint="eastAsia" w:cs="Times New Roman"/>
          <w:color w:val="auto"/>
          <w:highlight w:val="none"/>
          <w:lang w:eastAsia="zh-CN"/>
        </w:rPr>
        <w:t>公式</w:t>
      </w:r>
      <w:r>
        <w:rPr>
          <w:rFonts w:cs="Times New Roman"/>
          <w:color w:val="auto"/>
          <w:highlight w:val="none"/>
        </w:rPr>
        <w:t>如下：</w:t>
      </w:r>
    </w:p>
    <w:p w14:paraId="7A4C4D11">
      <w:pPr>
        <w:pStyle w:val="589"/>
        <w:ind w:firstLine="480"/>
        <w:jc w:val="center"/>
        <w:rPr>
          <w:rFonts w:cs="Times New Roman"/>
          <w:color w:val="auto"/>
          <w:highlight w:val="none"/>
        </w:rPr>
      </w:pPr>
      <w:r>
        <w:rPr>
          <w:rFonts w:cs="Times New Roman"/>
          <w:color w:val="auto"/>
          <w:highlight w:val="none"/>
        </w:rPr>
        <w:drawing>
          <wp:inline distT="0" distB="0" distL="114300" distR="114300">
            <wp:extent cx="1933575" cy="314325"/>
            <wp:effectExtent l="0" t="0" r="9525" b="9525"/>
            <wp:docPr id="10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7"/>
                    <pic:cNvPicPr>
                      <a:picLocks noChangeAspect="1"/>
                    </pic:cNvPicPr>
                  </pic:nvPicPr>
                  <pic:blipFill>
                    <a:blip r:embed="rId96"/>
                    <a:stretch>
                      <a:fillRect/>
                    </a:stretch>
                  </pic:blipFill>
                  <pic:spPr>
                    <a:xfrm>
                      <a:off x="0" y="0"/>
                      <a:ext cx="1933575" cy="314325"/>
                    </a:xfrm>
                    <a:prstGeom prst="rect">
                      <a:avLst/>
                    </a:prstGeom>
                    <a:noFill/>
                    <a:ln>
                      <a:noFill/>
                    </a:ln>
                  </pic:spPr>
                </pic:pic>
              </a:graphicData>
            </a:graphic>
          </wp:inline>
        </w:drawing>
      </w:r>
    </w:p>
    <w:p w14:paraId="5C358D52">
      <w:pPr>
        <w:pStyle w:val="589"/>
        <w:ind w:firstLine="480"/>
        <w:rPr>
          <w:rFonts w:cs="Times New Roman"/>
          <w:color w:val="auto"/>
          <w:highlight w:val="none"/>
        </w:rPr>
      </w:pPr>
      <w:r>
        <w:rPr>
          <w:rFonts w:cs="Times New Roman"/>
          <w:color w:val="auto"/>
          <w:highlight w:val="none"/>
        </w:rPr>
        <w:t>式中：</w:t>
      </w:r>
    </w:p>
    <w:p w14:paraId="2A2058CC">
      <w:pPr>
        <w:pStyle w:val="589"/>
        <w:ind w:firstLine="1132" w:firstLineChars="472"/>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S</w:t>
      </w:r>
      <w:r>
        <w:rPr>
          <w:rFonts w:hint="default" w:ascii="Times New Roman" w:hAnsi="Times New Roman" w:cs="Times New Roman"/>
          <w:color w:val="auto"/>
          <w:highlight w:val="none"/>
          <w:u w:val="none"/>
          <w:vertAlign w:val="subscript"/>
        </w:rPr>
        <w:t>1</w:t>
      </w:r>
      <w:r>
        <w:rPr>
          <w:rFonts w:hint="default" w:ascii="Times New Roman" w:hAnsi="Times New Roman" w:cs="Times New Roman"/>
          <w:color w:val="auto"/>
          <w:highlight w:val="none"/>
          <w:u w:val="none"/>
        </w:rPr>
        <w:t>为抛石挤淤的悬浮物源强（kg/s），</w:t>
      </w:r>
    </w:p>
    <w:p w14:paraId="72EF36BA">
      <w:pPr>
        <w:pStyle w:val="589"/>
        <w:ind w:firstLine="1132" w:firstLineChars="472"/>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θ</w:t>
      </w:r>
      <w:r>
        <w:rPr>
          <w:rFonts w:hint="default" w:ascii="Times New Roman" w:hAnsi="Times New Roman" w:cs="Times New Roman"/>
          <w:color w:val="auto"/>
          <w:highlight w:val="none"/>
          <w:u w:val="none"/>
          <w:vertAlign w:val="subscript"/>
        </w:rPr>
        <w:t>1</w:t>
      </w:r>
      <w:r>
        <w:rPr>
          <w:rFonts w:hint="default" w:ascii="Times New Roman" w:hAnsi="Times New Roman" w:cs="Times New Roman"/>
          <w:color w:val="auto"/>
          <w:highlight w:val="none"/>
          <w:u w:val="none"/>
        </w:rPr>
        <w:t xml:space="preserve">为沉积物天然含水率90（%）， </w:t>
      </w:r>
    </w:p>
    <w:p w14:paraId="6E71FBA2">
      <w:pPr>
        <w:pStyle w:val="589"/>
        <w:ind w:firstLine="1132" w:firstLineChars="472"/>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ρ</w:t>
      </w:r>
      <w:r>
        <w:rPr>
          <w:rFonts w:hint="default" w:ascii="Times New Roman" w:hAnsi="Times New Roman" w:cs="Times New Roman"/>
          <w:color w:val="auto"/>
          <w:highlight w:val="none"/>
          <w:u w:val="single"/>
          <w:vertAlign w:val="subscript"/>
        </w:rPr>
        <w:t>1</w:t>
      </w:r>
      <w:r>
        <w:rPr>
          <w:rFonts w:hint="default" w:ascii="Times New Roman" w:hAnsi="Times New Roman" w:cs="Times New Roman"/>
          <w:color w:val="auto"/>
          <w:highlight w:val="none"/>
          <w:u w:val="single"/>
        </w:rPr>
        <w:t>为淤泥中颗粒物湿密度（g/cm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w:t>
      </w:r>
      <w:r>
        <w:rPr>
          <w:rFonts w:hint="eastAsia" w:ascii="Times New Roman" w:hAnsi="Times New Roman" w:cs="Times New Roman"/>
          <w:color w:val="auto"/>
          <w:highlight w:val="none"/>
          <w:u w:val="single"/>
          <w:lang w:eastAsia="zh-CN"/>
        </w:rPr>
        <w:t>，</w:t>
      </w:r>
      <w:r>
        <w:rPr>
          <w:rFonts w:hint="eastAsia" w:cs="Times New Roman"/>
          <w:color w:val="auto"/>
          <w:highlight w:val="none"/>
          <w:u w:val="single"/>
          <w:lang w:eastAsia="zh-CN"/>
        </w:rPr>
        <w:t>根据区域资料取</w:t>
      </w:r>
      <w:r>
        <w:rPr>
          <w:rFonts w:hint="eastAsia" w:cs="Times New Roman"/>
          <w:color w:val="auto"/>
          <w:highlight w:val="none"/>
          <w:u w:val="single"/>
          <w:lang w:val="en-US" w:eastAsia="zh-CN"/>
        </w:rPr>
        <w:t>1.5</w:t>
      </w:r>
      <w:r>
        <w:rPr>
          <w:rFonts w:hint="default" w:ascii="Times New Roman" w:hAnsi="Times New Roman" w:cs="Times New Roman"/>
          <w:color w:val="auto"/>
          <w:highlight w:val="none"/>
          <w:u w:val="single"/>
        </w:rPr>
        <w:t>g/m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 xml:space="preserve">， </w:t>
      </w:r>
    </w:p>
    <w:p w14:paraId="628EB5BC">
      <w:pPr>
        <w:pStyle w:val="589"/>
        <w:ind w:firstLine="1132" w:firstLineChars="472"/>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ɑ</w:t>
      </w:r>
      <w:r>
        <w:rPr>
          <w:rFonts w:hint="default" w:ascii="Times New Roman" w:hAnsi="Times New Roman" w:cs="Times New Roman"/>
          <w:color w:val="auto"/>
          <w:highlight w:val="none"/>
          <w:u w:val="single"/>
          <w:vertAlign w:val="subscript"/>
        </w:rPr>
        <w:t>1</w:t>
      </w:r>
      <w:r>
        <w:rPr>
          <w:rFonts w:hint="default" w:ascii="Times New Roman" w:hAnsi="Times New Roman" w:cs="Times New Roman"/>
          <w:color w:val="auto"/>
          <w:highlight w:val="none"/>
          <w:u w:val="single"/>
        </w:rPr>
        <w:t>为泥沙中悬浮物颗粒所占百分率（%）</w:t>
      </w:r>
      <w:r>
        <w:rPr>
          <w:rFonts w:hint="eastAsia" w:ascii="Times New Roman" w:hAnsi="Times New Roman" w:cs="Times New Roman"/>
          <w:color w:val="auto"/>
          <w:highlight w:val="none"/>
          <w:u w:val="single"/>
          <w:lang w:eastAsia="zh-CN"/>
        </w:rPr>
        <w:t>，</w:t>
      </w:r>
      <w:r>
        <w:rPr>
          <w:rFonts w:hint="eastAsia" w:cs="Times New Roman"/>
          <w:color w:val="auto"/>
          <w:highlight w:val="none"/>
          <w:u w:val="single"/>
          <w:lang w:val="en-US" w:eastAsia="zh-CN"/>
        </w:rPr>
        <w:t>22.12</w:t>
      </w:r>
      <w:r>
        <w:rPr>
          <w:rFonts w:hint="eastAsia" w:ascii="Times New Roman" w:hAnsi="Times New Roman" w:cs="Times New Roman"/>
          <w:color w:val="auto"/>
          <w:highlight w:val="none"/>
          <w:u w:val="single"/>
          <w:lang w:val="en-US" w:eastAsia="zh-CN"/>
        </w:rPr>
        <w:t>%</w:t>
      </w:r>
      <w:r>
        <w:rPr>
          <w:rFonts w:hint="default" w:ascii="Times New Roman" w:hAnsi="Times New Roman" w:cs="Times New Roman"/>
          <w:color w:val="auto"/>
          <w:highlight w:val="none"/>
          <w:u w:val="single"/>
        </w:rPr>
        <w:t>，</w:t>
      </w:r>
    </w:p>
    <w:p w14:paraId="79AFDCA4">
      <w:pPr>
        <w:pStyle w:val="589"/>
        <w:ind w:firstLine="1132" w:firstLineChars="472"/>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P为平均挤淤强度，根据施工方案，项目P取为0.0075m</w:t>
      </w:r>
      <w:r>
        <w:rPr>
          <w:rFonts w:hint="default" w:ascii="Times New Roman" w:hAnsi="Times New Roman" w:cs="Times New Roman"/>
          <w:color w:val="auto"/>
          <w:highlight w:val="none"/>
          <w:u w:val="none"/>
          <w:vertAlign w:val="superscript"/>
        </w:rPr>
        <w:t>3</w:t>
      </w:r>
      <w:r>
        <w:rPr>
          <w:rFonts w:hint="default" w:ascii="Times New Roman" w:hAnsi="Times New Roman" w:cs="Times New Roman"/>
          <w:color w:val="auto"/>
          <w:highlight w:val="none"/>
          <w:u w:val="none"/>
        </w:rPr>
        <w:t>/s。</w:t>
      </w:r>
    </w:p>
    <w:p w14:paraId="7FCEB1FE">
      <w:pPr>
        <w:pStyle w:val="589"/>
        <w:ind w:firstLine="480"/>
        <w:rPr>
          <w:rFonts w:cs="Times New Roman"/>
          <w:color w:val="auto"/>
          <w:highlight w:val="none"/>
        </w:rPr>
      </w:pPr>
      <w:r>
        <w:rPr>
          <w:rFonts w:cs="Times New Roman"/>
          <w:color w:val="auto"/>
          <w:highlight w:val="none"/>
        </w:rPr>
        <w:t>根据计算，本工程安装拉锚过程的悬浮泥沙瞬时源强约为</w:t>
      </w:r>
      <w:r>
        <w:rPr>
          <w:rFonts w:hint="eastAsia" w:cs="Times New Roman"/>
          <w:color w:val="auto"/>
          <w:highlight w:val="none"/>
          <w:lang w:val="en-US" w:eastAsia="zh-CN"/>
        </w:rPr>
        <w:t>0.25</w:t>
      </w:r>
      <w:r>
        <w:rPr>
          <w:rFonts w:cs="Times New Roman"/>
          <w:color w:val="auto"/>
          <w:highlight w:val="none"/>
        </w:rPr>
        <w:t>kg/s，安装拉锚过程较短，为瞬时性，产生的悬浮物对海域环境影响不大。</w:t>
      </w:r>
    </w:p>
    <w:p w14:paraId="378F675E">
      <w:pPr>
        <w:pStyle w:val="589"/>
        <w:ind w:firstLine="482"/>
        <w:rPr>
          <w:rFonts w:cs="Times New Roman"/>
          <w:b/>
          <w:bCs/>
          <w:color w:val="auto"/>
          <w:highlight w:val="none"/>
        </w:rPr>
      </w:pPr>
      <w:r>
        <w:rPr>
          <w:rFonts w:cs="Times New Roman"/>
          <w:b/>
          <w:bCs/>
          <w:color w:val="auto"/>
          <w:highlight w:val="none"/>
        </w:rPr>
        <w:t>（2）生活污水</w:t>
      </w:r>
    </w:p>
    <w:p w14:paraId="137D5200">
      <w:pPr>
        <w:pStyle w:val="589"/>
        <w:ind w:firstLine="480"/>
        <w:rPr>
          <w:rFonts w:cs="Times New Roman"/>
          <w:color w:val="auto"/>
          <w:highlight w:val="none"/>
        </w:rPr>
      </w:pPr>
      <w:r>
        <w:rPr>
          <w:rFonts w:cs="Times New Roman"/>
          <w:color w:val="auto"/>
          <w:highlight w:val="none"/>
        </w:rPr>
        <w:t>本项目施工高峰期施工人员将达到15人，按每人每天平均用水量150L计，生活污水量按用水量的85%计，则施工人员生活污水产生量约为1.9m</w:t>
      </w:r>
      <w:r>
        <w:rPr>
          <w:rFonts w:cs="Times New Roman"/>
          <w:color w:val="auto"/>
          <w:highlight w:val="none"/>
          <w:vertAlign w:val="superscript"/>
        </w:rPr>
        <w:t>3</w:t>
      </w:r>
      <w:r>
        <w:rPr>
          <w:rFonts w:cs="Times New Roman"/>
          <w:color w:val="auto"/>
          <w:highlight w:val="none"/>
        </w:rPr>
        <w:t>/d。施工人员主要是租用附近民宅居住，其生活污水主要发生在附近居民点中，并通过现有排污设施排放，不在本项目区域排放。</w:t>
      </w:r>
    </w:p>
    <w:p w14:paraId="49BF7D1A">
      <w:pPr>
        <w:pStyle w:val="533"/>
        <w:numPr>
          <w:ilvl w:val="3"/>
          <w:numId w:val="9"/>
        </w:numPr>
        <w:rPr>
          <w:color w:val="auto"/>
          <w:szCs w:val="24"/>
          <w:highlight w:val="none"/>
        </w:rPr>
      </w:pPr>
      <w:r>
        <w:rPr>
          <w:color w:val="auto"/>
          <w:szCs w:val="24"/>
          <w:highlight w:val="none"/>
        </w:rPr>
        <w:t>施工期噪声</w:t>
      </w:r>
    </w:p>
    <w:p w14:paraId="522F23A3">
      <w:pPr>
        <w:pStyle w:val="589"/>
        <w:ind w:firstLine="480"/>
        <w:rPr>
          <w:rFonts w:cs="Times New Roman"/>
          <w:color w:val="auto"/>
          <w:highlight w:val="none"/>
        </w:rPr>
      </w:pPr>
      <w:r>
        <w:rPr>
          <w:rFonts w:cs="Times New Roman"/>
          <w:color w:val="auto"/>
          <w:highlight w:val="none"/>
        </w:rPr>
        <w:t>施工期对声环境的影响因素主要是机械、车辆噪声。船坞改造的噪声主要有打磨噪声，钢板撞击、敲打噪声，场地搬运机械、升降机械噪声等，多为瞬时噪声。这些噪声具有无规则、不连续、高强度等特点，其影响会随着施工的结束而消失。主要机械设备的噪声源强见表2.4-4。</w:t>
      </w:r>
    </w:p>
    <w:p w14:paraId="75771235">
      <w:pPr>
        <w:pStyle w:val="38"/>
        <w:spacing w:after="0" w:line="240" w:lineRule="auto"/>
        <w:ind w:firstLine="0" w:firstLineChars="0"/>
        <w:jc w:val="center"/>
        <w:rPr>
          <w:b/>
          <w:color w:val="auto"/>
          <w:sz w:val="21"/>
          <w:szCs w:val="21"/>
          <w:highlight w:val="none"/>
        </w:rPr>
      </w:pPr>
      <w:r>
        <w:rPr>
          <w:b/>
          <w:color w:val="auto"/>
          <w:sz w:val="21"/>
          <w:szCs w:val="21"/>
          <w:highlight w:val="none"/>
        </w:rPr>
        <w:t>表2.4-4  主要施工机械噪声值表       单位：dB（A）</w:t>
      </w:r>
    </w:p>
    <w:tbl>
      <w:tblPr>
        <w:tblStyle w:val="92"/>
        <w:tblW w:w="907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1305"/>
        <w:gridCol w:w="1565"/>
        <w:gridCol w:w="1550"/>
        <w:gridCol w:w="1551"/>
        <w:gridCol w:w="1550"/>
        <w:gridCol w:w="1551"/>
      </w:tblGrid>
      <w:tr w14:paraId="64BCF22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0" w:hRule="atLeast"/>
          <w:jc w:val="center"/>
        </w:trPr>
        <w:tc>
          <w:tcPr>
            <w:tcW w:w="1305" w:type="dxa"/>
            <w:vMerge w:val="restart"/>
            <w:vAlign w:val="center"/>
          </w:tcPr>
          <w:p w14:paraId="74026DF7">
            <w:pPr>
              <w:pStyle w:val="475"/>
              <w:keepNext/>
              <w:keepLines/>
              <w:widowControl w:val="0"/>
              <w:jc w:val="center"/>
              <w:rPr>
                <w:rFonts w:ascii="Times New Roman" w:hAnsi="Times New Roman" w:cs="Times New Roman"/>
                <w:b/>
                <w:bCs/>
                <w:snapToGrid w:val="0"/>
                <w:color w:val="auto"/>
                <w:sz w:val="21"/>
                <w:szCs w:val="21"/>
                <w:highlight w:val="none"/>
              </w:rPr>
            </w:pPr>
            <w:r>
              <w:rPr>
                <w:rFonts w:ascii="Times New Roman" w:hAnsi="Times New Roman" w:cs="Times New Roman"/>
                <w:b/>
                <w:bCs/>
                <w:snapToGrid w:val="0"/>
                <w:color w:val="auto"/>
                <w:sz w:val="21"/>
                <w:szCs w:val="21"/>
                <w:highlight w:val="none"/>
              </w:rPr>
              <w:t>声源</w:t>
            </w:r>
          </w:p>
        </w:tc>
        <w:tc>
          <w:tcPr>
            <w:tcW w:w="1565" w:type="dxa"/>
            <w:vMerge w:val="restart"/>
            <w:vAlign w:val="center"/>
          </w:tcPr>
          <w:p w14:paraId="1C41A088">
            <w:pPr>
              <w:pStyle w:val="475"/>
              <w:keepNext/>
              <w:keepLines/>
              <w:widowControl w:val="0"/>
              <w:jc w:val="center"/>
              <w:rPr>
                <w:rFonts w:ascii="Times New Roman" w:hAnsi="Times New Roman" w:cs="Times New Roman"/>
                <w:b/>
                <w:bCs/>
                <w:snapToGrid w:val="0"/>
                <w:color w:val="auto"/>
                <w:sz w:val="21"/>
                <w:szCs w:val="21"/>
                <w:highlight w:val="none"/>
              </w:rPr>
            </w:pPr>
            <w:r>
              <w:rPr>
                <w:rFonts w:ascii="Times New Roman" w:hAnsi="Times New Roman" w:cs="Times New Roman"/>
                <w:b/>
                <w:bCs/>
                <w:snapToGrid w:val="0"/>
                <w:color w:val="auto"/>
                <w:sz w:val="21"/>
                <w:szCs w:val="21"/>
                <w:highlight w:val="none"/>
              </w:rPr>
              <w:t>噪声（峰值）</w:t>
            </w:r>
          </w:p>
        </w:tc>
        <w:tc>
          <w:tcPr>
            <w:tcW w:w="6202" w:type="dxa"/>
            <w:gridSpan w:val="4"/>
            <w:vAlign w:val="center"/>
          </w:tcPr>
          <w:p w14:paraId="1CB8485E">
            <w:pPr>
              <w:pStyle w:val="475"/>
              <w:keepNext/>
              <w:keepLines/>
              <w:widowControl w:val="0"/>
              <w:jc w:val="center"/>
              <w:rPr>
                <w:rFonts w:ascii="Times New Roman" w:hAnsi="Times New Roman" w:cs="Times New Roman"/>
                <w:b/>
                <w:bCs/>
                <w:snapToGrid w:val="0"/>
                <w:color w:val="auto"/>
                <w:sz w:val="21"/>
                <w:szCs w:val="21"/>
                <w:highlight w:val="none"/>
              </w:rPr>
            </w:pPr>
            <w:r>
              <w:rPr>
                <w:rFonts w:ascii="Times New Roman" w:hAnsi="Times New Roman" w:cs="Times New Roman"/>
                <w:b/>
                <w:bCs/>
                <w:snapToGrid w:val="0"/>
                <w:color w:val="auto"/>
                <w:sz w:val="21"/>
                <w:szCs w:val="21"/>
                <w:highlight w:val="none"/>
              </w:rPr>
              <w:t>距声源距离（m）</w:t>
            </w:r>
          </w:p>
        </w:tc>
      </w:tr>
      <w:tr w14:paraId="696E19F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0" w:hRule="atLeast"/>
          <w:jc w:val="center"/>
        </w:trPr>
        <w:tc>
          <w:tcPr>
            <w:tcW w:w="1305" w:type="dxa"/>
            <w:vMerge w:val="continue"/>
            <w:vAlign w:val="center"/>
          </w:tcPr>
          <w:p w14:paraId="3FA277E4">
            <w:pPr>
              <w:pStyle w:val="475"/>
              <w:keepNext/>
              <w:keepLines/>
              <w:widowControl w:val="0"/>
              <w:jc w:val="center"/>
              <w:rPr>
                <w:rFonts w:ascii="Times New Roman" w:hAnsi="Times New Roman" w:cs="Times New Roman"/>
                <w:b/>
                <w:bCs/>
                <w:snapToGrid w:val="0"/>
                <w:color w:val="auto"/>
                <w:sz w:val="21"/>
                <w:szCs w:val="21"/>
                <w:highlight w:val="none"/>
              </w:rPr>
            </w:pPr>
          </w:p>
        </w:tc>
        <w:tc>
          <w:tcPr>
            <w:tcW w:w="1565" w:type="dxa"/>
            <w:vMerge w:val="continue"/>
            <w:vAlign w:val="center"/>
          </w:tcPr>
          <w:p w14:paraId="56DE48BB">
            <w:pPr>
              <w:pStyle w:val="475"/>
              <w:keepNext/>
              <w:keepLines/>
              <w:widowControl w:val="0"/>
              <w:jc w:val="center"/>
              <w:rPr>
                <w:rFonts w:ascii="Times New Roman" w:hAnsi="Times New Roman" w:cs="Times New Roman"/>
                <w:b/>
                <w:bCs/>
                <w:snapToGrid w:val="0"/>
                <w:color w:val="auto"/>
                <w:sz w:val="21"/>
                <w:szCs w:val="21"/>
                <w:highlight w:val="none"/>
              </w:rPr>
            </w:pPr>
          </w:p>
        </w:tc>
        <w:tc>
          <w:tcPr>
            <w:tcW w:w="1550" w:type="dxa"/>
            <w:vAlign w:val="center"/>
          </w:tcPr>
          <w:p w14:paraId="28992525">
            <w:pPr>
              <w:pStyle w:val="475"/>
              <w:keepNext/>
              <w:keepLines/>
              <w:widowControl w:val="0"/>
              <w:jc w:val="center"/>
              <w:rPr>
                <w:rFonts w:ascii="Times New Roman" w:hAnsi="Times New Roman" w:cs="Times New Roman"/>
                <w:b/>
                <w:bCs/>
                <w:snapToGrid w:val="0"/>
                <w:color w:val="auto"/>
                <w:sz w:val="21"/>
                <w:szCs w:val="21"/>
                <w:highlight w:val="none"/>
              </w:rPr>
            </w:pPr>
            <w:r>
              <w:rPr>
                <w:rFonts w:ascii="Times New Roman" w:hAnsi="Times New Roman" w:cs="Times New Roman"/>
                <w:b/>
                <w:bCs/>
                <w:snapToGrid w:val="0"/>
                <w:color w:val="auto"/>
                <w:sz w:val="21"/>
                <w:szCs w:val="21"/>
                <w:highlight w:val="none"/>
              </w:rPr>
              <w:t>15</w:t>
            </w:r>
          </w:p>
        </w:tc>
        <w:tc>
          <w:tcPr>
            <w:tcW w:w="1551" w:type="dxa"/>
            <w:vAlign w:val="center"/>
          </w:tcPr>
          <w:p w14:paraId="1632D5E9">
            <w:pPr>
              <w:pStyle w:val="475"/>
              <w:keepNext/>
              <w:keepLines/>
              <w:widowControl w:val="0"/>
              <w:jc w:val="center"/>
              <w:rPr>
                <w:rFonts w:ascii="Times New Roman" w:hAnsi="Times New Roman" w:cs="Times New Roman"/>
                <w:b/>
                <w:bCs/>
                <w:snapToGrid w:val="0"/>
                <w:color w:val="auto"/>
                <w:sz w:val="21"/>
                <w:szCs w:val="21"/>
                <w:highlight w:val="none"/>
              </w:rPr>
            </w:pPr>
            <w:r>
              <w:rPr>
                <w:rFonts w:ascii="Times New Roman" w:hAnsi="Times New Roman" w:cs="Times New Roman"/>
                <w:b/>
                <w:bCs/>
                <w:snapToGrid w:val="0"/>
                <w:color w:val="auto"/>
                <w:sz w:val="21"/>
                <w:szCs w:val="21"/>
                <w:highlight w:val="none"/>
              </w:rPr>
              <w:t>30</w:t>
            </w:r>
          </w:p>
        </w:tc>
        <w:tc>
          <w:tcPr>
            <w:tcW w:w="1550" w:type="dxa"/>
            <w:vAlign w:val="center"/>
          </w:tcPr>
          <w:p w14:paraId="3744FA7A">
            <w:pPr>
              <w:pStyle w:val="475"/>
              <w:keepNext/>
              <w:keepLines/>
              <w:widowControl w:val="0"/>
              <w:jc w:val="center"/>
              <w:rPr>
                <w:rFonts w:ascii="Times New Roman" w:hAnsi="Times New Roman" w:cs="Times New Roman"/>
                <w:b/>
                <w:bCs/>
                <w:snapToGrid w:val="0"/>
                <w:color w:val="auto"/>
                <w:sz w:val="21"/>
                <w:szCs w:val="21"/>
                <w:highlight w:val="none"/>
              </w:rPr>
            </w:pPr>
            <w:r>
              <w:rPr>
                <w:rFonts w:ascii="Times New Roman" w:hAnsi="Times New Roman" w:cs="Times New Roman"/>
                <w:b/>
                <w:bCs/>
                <w:snapToGrid w:val="0"/>
                <w:color w:val="auto"/>
                <w:sz w:val="21"/>
                <w:szCs w:val="21"/>
                <w:highlight w:val="none"/>
              </w:rPr>
              <w:t>60</w:t>
            </w:r>
          </w:p>
        </w:tc>
        <w:tc>
          <w:tcPr>
            <w:tcW w:w="1551" w:type="dxa"/>
            <w:vAlign w:val="center"/>
          </w:tcPr>
          <w:p w14:paraId="6C49E1F3">
            <w:pPr>
              <w:pStyle w:val="475"/>
              <w:keepNext/>
              <w:keepLines/>
              <w:widowControl w:val="0"/>
              <w:jc w:val="center"/>
              <w:rPr>
                <w:rFonts w:ascii="Times New Roman" w:hAnsi="Times New Roman" w:cs="Times New Roman"/>
                <w:b/>
                <w:bCs/>
                <w:snapToGrid w:val="0"/>
                <w:color w:val="auto"/>
                <w:sz w:val="21"/>
                <w:szCs w:val="21"/>
                <w:highlight w:val="none"/>
              </w:rPr>
            </w:pPr>
            <w:r>
              <w:rPr>
                <w:rFonts w:ascii="Times New Roman" w:hAnsi="Times New Roman" w:cs="Times New Roman"/>
                <w:b/>
                <w:bCs/>
                <w:snapToGrid w:val="0"/>
                <w:color w:val="auto"/>
                <w:sz w:val="21"/>
                <w:szCs w:val="21"/>
                <w:highlight w:val="none"/>
              </w:rPr>
              <w:t>120</w:t>
            </w:r>
          </w:p>
        </w:tc>
      </w:tr>
      <w:tr w14:paraId="22B7897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0" w:hRule="atLeast"/>
          <w:jc w:val="center"/>
        </w:trPr>
        <w:tc>
          <w:tcPr>
            <w:tcW w:w="1305" w:type="dxa"/>
            <w:vAlign w:val="center"/>
          </w:tcPr>
          <w:p w14:paraId="3FE802B6">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推土机</w:t>
            </w:r>
          </w:p>
        </w:tc>
        <w:tc>
          <w:tcPr>
            <w:tcW w:w="1565" w:type="dxa"/>
            <w:vAlign w:val="center"/>
          </w:tcPr>
          <w:p w14:paraId="42BCC700">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107</w:t>
            </w:r>
          </w:p>
        </w:tc>
        <w:tc>
          <w:tcPr>
            <w:tcW w:w="1550" w:type="dxa"/>
            <w:vAlign w:val="center"/>
          </w:tcPr>
          <w:p w14:paraId="5F2B1E65">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87～102</w:t>
            </w:r>
          </w:p>
        </w:tc>
        <w:tc>
          <w:tcPr>
            <w:tcW w:w="1551" w:type="dxa"/>
            <w:vAlign w:val="center"/>
          </w:tcPr>
          <w:p w14:paraId="1439E8E7">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81～96</w:t>
            </w:r>
          </w:p>
        </w:tc>
        <w:tc>
          <w:tcPr>
            <w:tcW w:w="1550" w:type="dxa"/>
            <w:vAlign w:val="center"/>
          </w:tcPr>
          <w:p w14:paraId="0CA8A217">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75～90</w:t>
            </w:r>
          </w:p>
        </w:tc>
        <w:tc>
          <w:tcPr>
            <w:tcW w:w="1551" w:type="dxa"/>
            <w:vAlign w:val="center"/>
          </w:tcPr>
          <w:p w14:paraId="3C5EFA5D">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69～84</w:t>
            </w:r>
          </w:p>
        </w:tc>
      </w:tr>
      <w:tr w14:paraId="5DD5B18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0" w:hRule="atLeast"/>
          <w:jc w:val="center"/>
        </w:trPr>
        <w:tc>
          <w:tcPr>
            <w:tcW w:w="1305" w:type="dxa"/>
            <w:vAlign w:val="center"/>
          </w:tcPr>
          <w:p w14:paraId="76227A17">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装载机</w:t>
            </w:r>
          </w:p>
        </w:tc>
        <w:tc>
          <w:tcPr>
            <w:tcW w:w="1565" w:type="dxa"/>
            <w:vAlign w:val="center"/>
          </w:tcPr>
          <w:p w14:paraId="23B2C3F6">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103</w:t>
            </w:r>
          </w:p>
        </w:tc>
        <w:tc>
          <w:tcPr>
            <w:tcW w:w="1550" w:type="dxa"/>
            <w:vAlign w:val="center"/>
          </w:tcPr>
          <w:p w14:paraId="1C1474BC">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80</w:t>
            </w:r>
          </w:p>
        </w:tc>
        <w:tc>
          <w:tcPr>
            <w:tcW w:w="1551" w:type="dxa"/>
            <w:vAlign w:val="center"/>
          </w:tcPr>
          <w:p w14:paraId="57CF04E5">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74～82</w:t>
            </w:r>
          </w:p>
        </w:tc>
        <w:tc>
          <w:tcPr>
            <w:tcW w:w="1550" w:type="dxa"/>
            <w:vAlign w:val="center"/>
          </w:tcPr>
          <w:p w14:paraId="3BFBB2AA">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68-77</w:t>
            </w:r>
          </w:p>
        </w:tc>
        <w:tc>
          <w:tcPr>
            <w:tcW w:w="1551" w:type="dxa"/>
            <w:vAlign w:val="center"/>
          </w:tcPr>
          <w:p w14:paraId="4201E5B2">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60～71</w:t>
            </w:r>
          </w:p>
        </w:tc>
      </w:tr>
      <w:tr w14:paraId="74B8BF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0" w:hRule="atLeast"/>
          <w:jc w:val="center"/>
        </w:trPr>
        <w:tc>
          <w:tcPr>
            <w:tcW w:w="1305" w:type="dxa"/>
            <w:vAlign w:val="center"/>
          </w:tcPr>
          <w:p w14:paraId="6A07ABE1">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振捣器</w:t>
            </w:r>
          </w:p>
        </w:tc>
        <w:tc>
          <w:tcPr>
            <w:tcW w:w="1565" w:type="dxa"/>
            <w:vAlign w:val="center"/>
          </w:tcPr>
          <w:p w14:paraId="4359C6E8">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105</w:t>
            </w:r>
          </w:p>
        </w:tc>
        <w:tc>
          <w:tcPr>
            <w:tcW w:w="1550" w:type="dxa"/>
            <w:vAlign w:val="center"/>
          </w:tcPr>
          <w:p w14:paraId="663088E5">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85</w:t>
            </w:r>
          </w:p>
        </w:tc>
        <w:tc>
          <w:tcPr>
            <w:tcW w:w="1551" w:type="dxa"/>
            <w:vAlign w:val="center"/>
          </w:tcPr>
          <w:p w14:paraId="6F00B87E">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79</w:t>
            </w:r>
          </w:p>
        </w:tc>
        <w:tc>
          <w:tcPr>
            <w:tcW w:w="1550" w:type="dxa"/>
            <w:vAlign w:val="center"/>
          </w:tcPr>
          <w:p w14:paraId="09B2AAEB">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73</w:t>
            </w:r>
          </w:p>
        </w:tc>
        <w:tc>
          <w:tcPr>
            <w:tcW w:w="1551" w:type="dxa"/>
            <w:vAlign w:val="center"/>
          </w:tcPr>
          <w:p w14:paraId="2653B7A3">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67</w:t>
            </w:r>
          </w:p>
        </w:tc>
      </w:tr>
      <w:tr w14:paraId="07873E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0" w:hRule="atLeast"/>
          <w:jc w:val="center"/>
        </w:trPr>
        <w:tc>
          <w:tcPr>
            <w:tcW w:w="1305" w:type="dxa"/>
            <w:vAlign w:val="center"/>
          </w:tcPr>
          <w:p w14:paraId="6EA60881">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挖掘机</w:t>
            </w:r>
          </w:p>
        </w:tc>
        <w:tc>
          <w:tcPr>
            <w:tcW w:w="1565" w:type="dxa"/>
            <w:vAlign w:val="center"/>
          </w:tcPr>
          <w:p w14:paraId="72A1411C">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89</w:t>
            </w:r>
          </w:p>
        </w:tc>
        <w:tc>
          <w:tcPr>
            <w:tcW w:w="1550" w:type="dxa"/>
            <w:vAlign w:val="center"/>
          </w:tcPr>
          <w:p w14:paraId="2F4BBFF1">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79</w:t>
            </w:r>
          </w:p>
        </w:tc>
        <w:tc>
          <w:tcPr>
            <w:tcW w:w="1551" w:type="dxa"/>
            <w:vAlign w:val="center"/>
          </w:tcPr>
          <w:p w14:paraId="080F4244">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73</w:t>
            </w:r>
          </w:p>
        </w:tc>
        <w:tc>
          <w:tcPr>
            <w:tcW w:w="1550" w:type="dxa"/>
            <w:vAlign w:val="center"/>
          </w:tcPr>
          <w:p w14:paraId="4C6DE9A4">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66</w:t>
            </w:r>
          </w:p>
        </w:tc>
        <w:tc>
          <w:tcPr>
            <w:tcW w:w="1551" w:type="dxa"/>
            <w:vAlign w:val="center"/>
          </w:tcPr>
          <w:p w14:paraId="2FA92899">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60</w:t>
            </w:r>
          </w:p>
        </w:tc>
      </w:tr>
      <w:tr w14:paraId="168655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0" w:hRule="atLeast"/>
          <w:jc w:val="center"/>
        </w:trPr>
        <w:tc>
          <w:tcPr>
            <w:tcW w:w="1305" w:type="dxa"/>
            <w:vAlign w:val="center"/>
          </w:tcPr>
          <w:p w14:paraId="6A6C7185">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起重机</w:t>
            </w:r>
          </w:p>
        </w:tc>
        <w:tc>
          <w:tcPr>
            <w:tcW w:w="1565" w:type="dxa"/>
            <w:vAlign w:val="center"/>
          </w:tcPr>
          <w:p w14:paraId="5D4BEBB5">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95</w:t>
            </w:r>
          </w:p>
        </w:tc>
        <w:tc>
          <w:tcPr>
            <w:tcW w:w="1550" w:type="dxa"/>
            <w:vAlign w:val="center"/>
          </w:tcPr>
          <w:p w14:paraId="449E6A47">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84～89</w:t>
            </w:r>
          </w:p>
        </w:tc>
        <w:tc>
          <w:tcPr>
            <w:tcW w:w="1551" w:type="dxa"/>
            <w:vAlign w:val="center"/>
          </w:tcPr>
          <w:p w14:paraId="0C5FF260">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79～83</w:t>
            </w:r>
          </w:p>
        </w:tc>
        <w:tc>
          <w:tcPr>
            <w:tcW w:w="1550" w:type="dxa"/>
            <w:vAlign w:val="center"/>
          </w:tcPr>
          <w:p w14:paraId="57E1F26A">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72～7</w:t>
            </w:r>
          </w:p>
        </w:tc>
        <w:tc>
          <w:tcPr>
            <w:tcW w:w="1551" w:type="dxa"/>
            <w:vAlign w:val="center"/>
          </w:tcPr>
          <w:p w14:paraId="121DA66D">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66～71</w:t>
            </w:r>
          </w:p>
        </w:tc>
      </w:tr>
      <w:tr w14:paraId="0B59603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0" w:hRule="atLeast"/>
          <w:jc w:val="center"/>
        </w:trPr>
        <w:tc>
          <w:tcPr>
            <w:tcW w:w="1305" w:type="dxa"/>
            <w:vAlign w:val="center"/>
          </w:tcPr>
          <w:p w14:paraId="3A9947A5">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焊接设备</w:t>
            </w:r>
          </w:p>
        </w:tc>
        <w:tc>
          <w:tcPr>
            <w:tcW w:w="1565" w:type="dxa"/>
            <w:vAlign w:val="center"/>
          </w:tcPr>
          <w:p w14:paraId="255E538B">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90</w:t>
            </w:r>
          </w:p>
        </w:tc>
        <w:tc>
          <w:tcPr>
            <w:tcW w:w="1550" w:type="dxa"/>
            <w:vAlign w:val="center"/>
          </w:tcPr>
          <w:p w14:paraId="2EB7C3BA">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70</w:t>
            </w:r>
          </w:p>
        </w:tc>
        <w:tc>
          <w:tcPr>
            <w:tcW w:w="1551" w:type="dxa"/>
            <w:vAlign w:val="center"/>
          </w:tcPr>
          <w:p w14:paraId="5ADC944E">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64</w:t>
            </w:r>
          </w:p>
        </w:tc>
        <w:tc>
          <w:tcPr>
            <w:tcW w:w="1550" w:type="dxa"/>
            <w:vAlign w:val="center"/>
          </w:tcPr>
          <w:p w14:paraId="5B325717">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58</w:t>
            </w:r>
          </w:p>
        </w:tc>
        <w:tc>
          <w:tcPr>
            <w:tcW w:w="1551" w:type="dxa"/>
            <w:vAlign w:val="center"/>
          </w:tcPr>
          <w:p w14:paraId="3543F6A1">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52</w:t>
            </w:r>
          </w:p>
        </w:tc>
      </w:tr>
      <w:tr w14:paraId="40C8AE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0" w:hRule="atLeast"/>
          <w:jc w:val="center"/>
        </w:trPr>
        <w:tc>
          <w:tcPr>
            <w:tcW w:w="1305" w:type="dxa"/>
            <w:vAlign w:val="center"/>
          </w:tcPr>
          <w:p w14:paraId="7ECC329B">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打桩机</w:t>
            </w:r>
          </w:p>
        </w:tc>
        <w:tc>
          <w:tcPr>
            <w:tcW w:w="1565" w:type="dxa"/>
            <w:vAlign w:val="center"/>
          </w:tcPr>
          <w:p w14:paraId="7ABE5958">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90</w:t>
            </w:r>
          </w:p>
        </w:tc>
        <w:tc>
          <w:tcPr>
            <w:tcW w:w="1550" w:type="dxa"/>
            <w:vAlign w:val="center"/>
          </w:tcPr>
          <w:p w14:paraId="73767AAE">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70</w:t>
            </w:r>
          </w:p>
        </w:tc>
        <w:tc>
          <w:tcPr>
            <w:tcW w:w="1551" w:type="dxa"/>
            <w:vAlign w:val="center"/>
          </w:tcPr>
          <w:p w14:paraId="234D4CD7">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64</w:t>
            </w:r>
          </w:p>
        </w:tc>
        <w:tc>
          <w:tcPr>
            <w:tcW w:w="1550" w:type="dxa"/>
            <w:vAlign w:val="center"/>
          </w:tcPr>
          <w:p w14:paraId="67898FAC">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58</w:t>
            </w:r>
          </w:p>
        </w:tc>
        <w:tc>
          <w:tcPr>
            <w:tcW w:w="1551" w:type="dxa"/>
            <w:vAlign w:val="center"/>
          </w:tcPr>
          <w:p w14:paraId="2359A2D6">
            <w:pPr>
              <w:pStyle w:val="475"/>
              <w:keepNext/>
              <w:keepLines/>
              <w:widowControl w:val="0"/>
              <w:jc w:val="center"/>
              <w:rPr>
                <w:rFonts w:ascii="Times New Roman" w:hAnsi="Times New Roman" w:cs="Times New Roman"/>
                <w:snapToGrid w:val="0"/>
                <w:color w:val="auto"/>
                <w:sz w:val="21"/>
                <w:szCs w:val="21"/>
                <w:highlight w:val="none"/>
              </w:rPr>
            </w:pPr>
            <w:r>
              <w:rPr>
                <w:rFonts w:ascii="Times New Roman" w:hAnsi="Times New Roman" w:cs="Times New Roman"/>
                <w:snapToGrid w:val="0"/>
                <w:color w:val="auto"/>
                <w:sz w:val="21"/>
                <w:szCs w:val="21"/>
                <w:highlight w:val="none"/>
              </w:rPr>
              <w:t>52</w:t>
            </w:r>
          </w:p>
        </w:tc>
      </w:tr>
    </w:tbl>
    <w:p w14:paraId="6DCA1F68">
      <w:pPr>
        <w:spacing w:before="120" w:beforeLines="50"/>
        <w:ind w:firstLine="0" w:firstLineChars="0"/>
        <w:rPr>
          <w:b/>
          <w:color w:val="auto"/>
          <w:sz w:val="21"/>
          <w:szCs w:val="21"/>
          <w:highlight w:val="none"/>
          <w:lang w:bidi="ar"/>
        </w:rPr>
      </w:pPr>
    </w:p>
    <w:p w14:paraId="7E23CE31">
      <w:pPr>
        <w:pStyle w:val="533"/>
        <w:numPr>
          <w:ilvl w:val="3"/>
          <w:numId w:val="9"/>
        </w:numPr>
        <w:rPr>
          <w:color w:val="auto"/>
          <w:szCs w:val="24"/>
          <w:highlight w:val="none"/>
        </w:rPr>
      </w:pPr>
      <w:r>
        <w:rPr>
          <w:color w:val="auto"/>
          <w:szCs w:val="24"/>
          <w:highlight w:val="none"/>
        </w:rPr>
        <w:t>施工期固体废物</w:t>
      </w:r>
    </w:p>
    <w:p w14:paraId="3EAA1FEB">
      <w:pPr>
        <w:tabs>
          <w:tab w:val="left" w:pos="960"/>
        </w:tabs>
        <w:ind w:firstLine="480"/>
        <w:rPr>
          <w:bCs/>
          <w:color w:val="auto"/>
          <w:kern w:val="2"/>
          <w:highlight w:val="none"/>
        </w:rPr>
      </w:pPr>
      <w:r>
        <w:rPr>
          <w:bCs/>
          <w:color w:val="auto"/>
          <w:kern w:val="2"/>
          <w:highlight w:val="none"/>
        </w:rPr>
        <w:t>浮船坞建筑场地内土石方在内部工程进行调配，无借方、弃方；因此项目施工期间固体废物主要为建筑垃圾和施工人员生活垃圾。</w:t>
      </w:r>
    </w:p>
    <w:p w14:paraId="1F97466D">
      <w:pPr>
        <w:tabs>
          <w:tab w:val="left" w:pos="960"/>
        </w:tabs>
        <w:ind w:firstLine="480"/>
        <w:rPr>
          <w:bCs/>
          <w:color w:val="auto"/>
          <w:kern w:val="2"/>
          <w:highlight w:val="none"/>
        </w:rPr>
      </w:pPr>
      <w:r>
        <w:rPr>
          <w:bCs/>
          <w:color w:val="auto"/>
          <w:kern w:val="2"/>
          <w:highlight w:val="none"/>
        </w:rPr>
        <w:t>（1）建筑垃圾</w:t>
      </w:r>
    </w:p>
    <w:p w14:paraId="09758517">
      <w:pPr>
        <w:tabs>
          <w:tab w:val="left" w:pos="960"/>
        </w:tabs>
        <w:ind w:firstLine="480"/>
        <w:rPr>
          <w:bCs/>
          <w:color w:val="auto"/>
          <w:kern w:val="2"/>
          <w:highlight w:val="none"/>
        </w:rPr>
      </w:pPr>
      <w:r>
        <w:rPr>
          <w:bCs/>
          <w:color w:val="auto"/>
          <w:kern w:val="2"/>
          <w:highlight w:val="none"/>
        </w:rPr>
        <w:t>项目施工期间可能少量产生的废焊条和焊渣、废铁屑、钢材切割废料等。能回收利用的回收利用，不能回收利用的集中堆放在现有工程一般固体废物间，定期委托</w:t>
      </w:r>
      <w:r>
        <w:rPr>
          <w:rFonts w:hint="eastAsia"/>
          <w:bCs/>
          <w:color w:val="auto"/>
          <w:kern w:val="2"/>
          <w:highlight w:val="none"/>
        </w:rPr>
        <w:t>一般固体废物处理中部单位</w:t>
      </w:r>
      <w:r>
        <w:rPr>
          <w:bCs/>
          <w:color w:val="auto"/>
          <w:kern w:val="2"/>
          <w:highlight w:val="none"/>
        </w:rPr>
        <w:t>定期转运处置。</w:t>
      </w:r>
    </w:p>
    <w:p w14:paraId="7C7F6D63">
      <w:pPr>
        <w:tabs>
          <w:tab w:val="left" w:pos="960"/>
        </w:tabs>
        <w:ind w:firstLine="480"/>
        <w:rPr>
          <w:bCs/>
          <w:color w:val="auto"/>
          <w:kern w:val="2"/>
          <w:highlight w:val="none"/>
        </w:rPr>
      </w:pPr>
      <w:r>
        <w:rPr>
          <w:bCs/>
          <w:color w:val="auto"/>
          <w:kern w:val="2"/>
          <w:highlight w:val="none"/>
        </w:rPr>
        <w:t>（2）生活垃圾</w:t>
      </w:r>
    </w:p>
    <w:p w14:paraId="3F946B59">
      <w:pPr>
        <w:tabs>
          <w:tab w:val="left" w:pos="960"/>
        </w:tabs>
        <w:ind w:firstLine="480"/>
        <w:rPr>
          <w:bCs/>
          <w:color w:val="auto"/>
          <w:kern w:val="2"/>
          <w:highlight w:val="none"/>
        </w:rPr>
      </w:pPr>
      <w:r>
        <w:rPr>
          <w:bCs/>
          <w:color w:val="auto"/>
          <w:kern w:val="2"/>
          <w:highlight w:val="none"/>
        </w:rPr>
        <w:t>项目施工高峰期施工人数约为15人，按人均产生量为1kg/d，则施工工作人员每天产生的生活垃圾量为15kg/d，生活垃圾交由环卫部门统一收集处理。</w:t>
      </w:r>
    </w:p>
    <w:p w14:paraId="3BE6FCE4">
      <w:pPr>
        <w:pStyle w:val="533"/>
        <w:numPr>
          <w:ilvl w:val="3"/>
          <w:numId w:val="9"/>
        </w:numPr>
        <w:rPr>
          <w:rFonts w:eastAsiaTheme="minorEastAsia"/>
          <w:color w:val="auto"/>
          <w:sz w:val="28"/>
          <w:highlight w:val="none"/>
        </w:rPr>
      </w:pPr>
      <w:r>
        <w:rPr>
          <w:rFonts w:eastAsiaTheme="minorEastAsia"/>
          <w:color w:val="auto"/>
          <w:sz w:val="28"/>
          <w:highlight w:val="none"/>
        </w:rPr>
        <w:t>施工期污染物产排量汇总</w:t>
      </w:r>
    </w:p>
    <w:p w14:paraId="27807C37">
      <w:pPr>
        <w:pStyle w:val="38"/>
        <w:spacing w:after="0" w:line="240" w:lineRule="auto"/>
        <w:ind w:firstLine="0" w:firstLineChars="0"/>
        <w:jc w:val="center"/>
        <w:rPr>
          <w:b/>
          <w:color w:val="auto"/>
          <w:sz w:val="21"/>
          <w:szCs w:val="21"/>
          <w:highlight w:val="none"/>
        </w:rPr>
      </w:pPr>
      <w:r>
        <w:rPr>
          <w:b/>
          <w:color w:val="auto"/>
          <w:sz w:val="21"/>
          <w:szCs w:val="21"/>
          <w:highlight w:val="none"/>
        </w:rPr>
        <w:t>表 2.4-5 施工期污染物排放状况</w:t>
      </w:r>
    </w:p>
    <w:tbl>
      <w:tblPr>
        <w:tblStyle w:val="9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1652"/>
        <w:gridCol w:w="1373"/>
        <w:gridCol w:w="1758"/>
        <w:gridCol w:w="1373"/>
        <w:gridCol w:w="2416"/>
      </w:tblGrid>
      <w:tr w14:paraId="743B78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4" w:type="pct"/>
            <w:tcBorders>
              <w:tl2br w:val="nil"/>
              <w:tr2bl w:val="nil"/>
            </w:tcBorders>
            <w:vAlign w:val="center"/>
          </w:tcPr>
          <w:p w14:paraId="072A051A">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类别</w:t>
            </w:r>
          </w:p>
        </w:tc>
        <w:tc>
          <w:tcPr>
            <w:tcW w:w="889" w:type="pct"/>
            <w:tcBorders>
              <w:tl2br w:val="nil"/>
              <w:tr2bl w:val="nil"/>
            </w:tcBorders>
            <w:vAlign w:val="center"/>
          </w:tcPr>
          <w:p w14:paraId="721275FB">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污染物种类</w:t>
            </w:r>
          </w:p>
        </w:tc>
        <w:tc>
          <w:tcPr>
            <w:tcW w:w="739" w:type="pct"/>
            <w:tcBorders>
              <w:tl2br w:val="nil"/>
              <w:tr2bl w:val="nil"/>
            </w:tcBorders>
            <w:vAlign w:val="center"/>
          </w:tcPr>
          <w:p w14:paraId="49451F96">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主要污染物</w:t>
            </w:r>
          </w:p>
        </w:tc>
        <w:tc>
          <w:tcPr>
            <w:tcW w:w="946" w:type="pct"/>
            <w:tcBorders>
              <w:tl2br w:val="nil"/>
              <w:tr2bl w:val="nil"/>
            </w:tcBorders>
            <w:vAlign w:val="center"/>
          </w:tcPr>
          <w:p w14:paraId="7BD98BA4">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污染源源强</w:t>
            </w:r>
          </w:p>
        </w:tc>
        <w:tc>
          <w:tcPr>
            <w:tcW w:w="739" w:type="pct"/>
            <w:tcBorders>
              <w:tl2br w:val="nil"/>
              <w:tr2bl w:val="nil"/>
            </w:tcBorders>
            <w:vAlign w:val="center"/>
          </w:tcPr>
          <w:p w14:paraId="63CEFDB9">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排放方式</w:t>
            </w:r>
          </w:p>
        </w:tc>
        <w:tc>
          <w:tcPr>
            <w:tcW w:w="1300" w:type="pct"/>
            <w:tcBorders>
              <w:tl2br w:val="nil"/>
              <w:tr2bl w:val="nil"/>
            </w:tcBorders>
            <w:vAlign w:val="center"/>
          </w:tcPr>
          <w:p w14:paraId="16E898D2">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拟采取措施</w:t>
            </w:r>
          </w:p>
        </w:tc>
      </w:tr>
      <w:tr w14:paraId="551C47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4" w:type="pct"/>
            <w:vMerge w:val="restart"/>
            <w:tcBorders>
              <w:tl2br w:val="nil"/>
              <w:tr2bl w:val="nil"/>
            </w:tcBorders>
            <w:vAlign w:val="center"/>
          </w:tcPr>
          <w:p w14:paraId="2885A450">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大气环境</w:t>
            </w:r>
          </w:p>
        </w:tc>
        <w:tc>
          <w:tcPr>
            <w:tcW w:w="889" w:type="pct"/>
            <w:tcBorders>
              <w:tl2br w:val="nil"/>
              <w:tr2bl w:val="nil"/>
            </w:tcBorders>
            <w:vAlign w:val="center"/>
          </w:tcPr>
          <w:p w14:paraId="29FD55C6">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施工粉尘</w:t>
            </w:r>
          </w:p>
        </w:tc>
        <w:tc>
          <w:tcPr>
            <w:tcW w:w="739" w:type="pct"/>
            <w:tcBorders>
              <w:tl2br w:val="nil"/>
              <w:tr2bl w:val="nil"/>
            </w:tcBorders>
            <w:vAlign w:val="center"/>
          </w:tcPr>
          <w:p w14:paraId="76D0560F">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TSP</w:t>
            </w:r>
          </w:p>
        </w:tc>
        <w:tc>
          <w:tcPr>
            <w:tcW w:w="946" w:type="pct"/>
            <w:tcBorders>
              <w:tl2br w:val="nil"/>
              <w:tr2bl w:val="nil"/>
            </w:tcBorders>
            <w:vAlign w:val="center"/>
          </w:tcPr>
          <w:p w14:paraId="31826214">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291.87t</w:t>
            </w:r>
          </w:p>
        </w:tc>
        <w:tc>
          <w:tcPr>
            <w:tcW w:w="739" w:type="pct"/>
            <w:tcBorders>
              <w:tl2br w:val="nil"/>
              <w:tr2bl w:val="nil"/>
            </w:tcBorders>
            <w:vAlign w:val="center"/>
          </w:tcPr>
          <w:p w14:paraId="71F97101">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无组织</w:t>
            </w:r>
          </w:p>
        </w:tc>
        <w:tc>
          <w:tcPr>
            <w:tcW w:w="1300" w:type="pct"/>
            <w:tcBorders>
              <w:tl2br w:val="nil"/>
              <w:tr2bl w:val="nil"/>
            </w:tcBorders>
            <w:vAlign w:val="center"/>
          </w:tcPr>
          <w:p w14:paraId="0971281B">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洒水抑尘</w:t>
            </w:r>
          </w:p>
        </w:tc>
      </w:tr>
      <w:tr w14:paraId="64C18D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4" w:type="pct"/>
            <w:vMerge w:val="continue"/>
            <w:tcBorders>
              <w:tl2br w:val="nil"/>
              <w:tr2bl w:val="nil"/>
            </w:tcBorders>
            <w:vAlign w:val="center"/>
          </w:tcPr>
          <w:p w14:paraId="38E78D31">
            <w:pPr>
              <w:spacing w:line="240" w:lineRule="auto"/>
              <w:ind w:left="-72" w:leftChars="-30" w:right="-72" w:rightChars="-30" w:firstLine="0" w:firstLineChars="0"/>
              <w:jc w:val="center"/>
              <w:rPr>
                <w:color w:val="auto"/>
                <w:sz w:val="21"/>
                <w:szCs w:val="21"/>
                <w:highlight w:val="none"/>
              </w:rPr>
            </w:pPr>
          </w:p>
        </w:tc>
        <w:tc>
          <w:tcPr>
            <w:tcW w:w="889" w:type="pct"/>
            <w:tcBorders>
              <w:tl2br w:val="nil"/>
              <w:tr2bl w:val="nil"/>
            </w:tcBorders>
            <w:vAlign w:val="center"/>
          </w:tcPr>
          <w:p w14:paraId="26206A31">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焊接烟尘</w:t>
            </w:r>
          </w:p>
        </w:tc>
        <w:tc>
          <w:tcPr>
            <w:tcW w:w="739" w:type="pct"/>
            <w:tcBorders>
              <w:tl2br w:val="nil"/>
              <w:tr2bl w:val="nil"/>
            </w:tcBorders>
            <w:vAlign w:val="center"/>
          </w:tcPr>
          <w:p w14:paraId="4496A807">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MnO</w:t>
            </w:r>
            <w:r>
              <w:rPr>
                <w:color w:val="auto"/>
                <w:sz w:val="21"/>
                <w:szCs w:val="21"/>
                <w:highlight w:val="none"/>
                <w:vertAlign w:val="subscript"/>
              </w:rPr>
              <w:t>2</w:t>
            </w:r>
            <w:r>
              <w:rPr>
                <w:color w:val="auto"/>
                <w:sz w:val="21"/>
                <w:szCs w:val="21"/>
                <w:highlight w:val="none"/>
              </w:rPr>
              <w:t>、SiO</w:t>
            </w:r>
            <w:r>
              <w:rPr>
                <w:color w:val="auto"/>
                <w:sz w:val="21"/>
                <w:szCs w:val="21"/>
                <w:highlight w:val="none"/>
                <w:vertAlign w:val="subscript"/>
              </w:rPr>
              <w:t>2</w:t>
            </w:r>
            <w:r>
              <w:rPr>
                <w:color w:val="auto"/>
                <w:sz w:val="21"/>
                <w:szCs w:val="21"/>
                <w:highlight w:val="none"/>
              </w:rPr>
              <w:t>、Fe</w:t>
            </w:r>
            <w:r>
              <w:rPr>
                <w:color w:val="auto"/>
                <w:sz w:val="21"/>
                <w:szCs w:val="21"/>
                <w:highlight w:val="none"/>
                <w:vertAlign w:val="subscript"/>
              </w:rPr>
              <w:t>2</w:t>
            </w:r>
            <w:r>
              <w:rPr>
                <w:color w:val="auto"/>
                <w:sz w:val="21"/>
                <w:szCs w:val="21"/>
                <w:highlight w:val="none"/>
              </w:rPr>
              <w:t>O</w:t>
            </w:r>
            <w:r>
              <w:rPr>
                <w:color w:val="auto"/>
                <w:sz w:val="21"/>
                <w:szCs w:val="21"/>
                <w:highlight w:val="none"/>
                <w:vertAlign w:val="subscript"/>
              </w:rPr>
              <w:t>3</w:t>
            </w:r>
            <w:r>
              <w:rPr>
                <w:color w:val="auto"/>
                <w:sz w:val="21"/>
                <w:szCs w:val="21"/>
                <w:highlight w:val="none"/>
              </w:rPr>
              <w:t>、CO、NOx</w:t>
            </w:r>
          </w:p>
        </w:tc>
        <w:tc>
          <w:tcPr>
            <w:tcW w:w="946" w:type="pct"/>
            <w:tcBorders>
              <w:tl2br w:val="nil"/>
              <w:tr2bl w:val="nil"/>
            </w:tcBorders>
            <w:vAlign w:val="center"/>
          </w:tcPr>
          <w:p w14:paraId="62B8E04B">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1.6kg</w:t>
            </w:r>
          </w:p>
        </w:tc>
        <w:tc>
          <w:tcPr>
            <w:tcW w:w="739" w:type="pct"/>
            <w:tcBorders>
              <w:tl2br w:val="nil"/>
              <w:tr2bl w:val="nil"/>
            </w:tcBorders>
            <w:vAlign w:val="center"/>
          </w:tcPr>
          <w:p w14:paraId="69818F96">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无组织</w:t>
            </w:r>
          </w:p>
        </w:tc>
        <w:tc>
          <w:tcPr>
            <w:tcW w:w="1300" w:type="pct"/>
            <w:tcBorders>
              <w:tl2br w:val="nil"/>
              <w:tr2bl w:val="nil"/>
            </w:tcBorders>
            <w:vAlign w:val="center"/>
          </w:tcPr>
          <w:p w14:paraId="2A6E4E60">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采用配有焊接烟尘净化装置的机器进行焊接</w:t>
            </w:r>
          </w:p>
        </w:tc>
      </w:tr>
      <w:tr w14:paraId="408068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4" w:type="pct"/>
            <w:vMerge w:val="continue"/>
            <w:tcBorders>
              <w:tl2br w:val="nil"/>
              <w:tr2bl w:val="nil"/>
            </w:tcBorders>
            <w:vAlign w:val="center"/>
          </w:tcPr>
          <w:p w14:paraId="705A3155">
            <w:pPr>
              <w:spacing w:line="240" w:lineRule="auto"/>
              <w:ind w:left="-72" w:leftChars="-30" w:right="-72" w:rightChars="-30" w:firstLine="0" w:firstLineChars="0"/>
              <w:jc w:val="center"/>
              <w:rPr>
                <w:color w:val="auto"/>
                <w:sz w:val="21"/>
                <w:szCs w:val="21"/>
                <w:highlight w:val="none"/>
              </w:rPr>
            </w:pPr>
          </w:p>
        </w:tc>
        <w:tc>
          <w:tcPr>
            <w:tcW w:w="889" w:type="pct"/>
            <w:tcBorders>
              <w:tl2br w:val="nil"/>
              <w:tr2bl w:val="nil"/>
            </w:tcBorders>
            <w:vAlign w:val="center"/>
          </w:tcPr>
          <w:p w14:paraId="4F237B52">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运输粉尘</w:t>
            </w:r>
          </w:p>
        </w:tc>
        <w:tc>
          <w:tcPr>
            <w:tcW w:w="739" w:type="pct"/>
            <w:tcBorders>
              <w:tl2br w:val="nil"/>
              <w:tr2bl w:val="nil"/>
            </w:tcBorders>
            <w:vAlign w:val="center"/>
          </w:tcPr>
          <w:p w14:paraId="1F3ED2EE">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TSP</w:t>
            </w:r>
          </w:p>
        </w:tc>
        <w:tc>
          <w:tcPr>
            <w:tcW w:w="946" w:type="pct"/>
            <w:tcBorders>
              <w:tl2br w:val="nil"/>
              <w:tr2bl w:val="nil"/>
            </w:tcBorders>
            <w:vAlign w:val="center"/>
          </w:tcPr>
          <w:p w14:paraId="482EBBA5">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少量</w:t>
            </w:r>
          </w:p>
        </w:tc>
        <w:tc>
          <w:tcPr>
            <w:tcW w:w="739" w:type="pct"/>
            <w:tcBorders>
              <w:tl2br w:val="nil"/>
              <w:tr2bl w:val="nil"/>
            </w:tcBorders>
            <w:vAlign w:val="center"/>
          </w:tcPr>
          <w:p w14:paraId="43E171D9">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无组织</w:t>
            </w:r>
          </w:p>
        </w:tc>
        <w:tc>
          <w:tcPr>
            <w:tcW w:w="1300" w:type="pct"/>
            <w:tcBorders>
              <w:tl2br w:val="nil"/>
              <w:tr2bl w:val="nil"/>
            </w:tcBorders>
            <w:vAlign w:val="center"/>
          </w:tcPr>
          <w:p w14:paraId="3AD9618E">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洒水抑尘</w:t>
            </w:r>
          </w:p>
        </w:tc>
      </w:tr>
      <w:tr w14:paraId="4D6F6C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4" w:type="pct"/>
            <w:vMerge w:val="continue"/>
            <w:tcBorders>
              <w:tl2br w:val="nil"/>
              <w:tr2bl w:val="nil"/>
            </w:tcBorders>
            <w:vAlign w:val="center"/>
          </w:tcPr>
          <w:p w14:paraId="193A3BAF">
            <w:pPr>
              <w:spacing w:line="240" w:lineRule="auto"/>
              <w:ind w:left="-72" w:leftChars="-30" w:right="-72" w:rightChars="-30" w:firstLine="0" w:firstLineChars="0"/>
              <w:jc w:val="center"/>
              <w:rPr>
                <w:color w:val="auto"/>
                <w:sz w:val="21"/>
                <w:szCs w:val="21"/>
                <w:highlight w:val="none"/>
              </w:rPr>
            </w:pPr>
          </w:p>
        </w:tc>
        <w:tc>
          <w:tcPr>
            <w:tcW w:w="889" w:type="pct"/>
            <w:tcBorders>
              <w:tl2br w:val="nil"/>
              <w:tr2bl w:val="nil"/>
            </w:tcBorders>
            <w:vAlign w:val="center"/>
          </w:tcPr>
          <w:p w14:paraId="6A106A95">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施工车辆废气</w:t>
            </w:r>
          </w:p>
        </w:tc>
        <w:tc>
          <w:tcPr>
            <w:tcW w:w="739" w:type="pct"/>
            <w:tcBorders>
              <w:tl2br w:val="nil"/>
              <w:tr2bl w:val="nil"/>
            </w:tcBorders>
            <w:vAlign w:val="center"/>
          </w:tcPr>
          <w:p w14:paraId="12D5D74F">
            <w:pPr>
              <w:spacing w:line="240" w:lineRule="auto"/>
              <w:ind w:left="-72" w:leftChars="-30" w:right="-72" w:rightChars="-30" w:firstLine="0" w:firstLineChars="0"/>
              <w:jc w:val="center"/>
              <w:rPr>
                <w:color w:val="auto"/>
                <w:sz w:val="21"/>
                <w:szCs w:val="21"/>
                <w:highlight w:val="none"/>
              </w:rPr>
            </w:pPr>
            <w:r>
              <w:rPr>
                <w:color w:val="auto"/>
                <w:kern w:val="2"/>
                <w:sz w:val="21"/>
                <w:szCs w:val="21"/>
                <w:highlight w:val="none"/>
              </w:rPr>
              <w:t>CO、THC、NOx</w:t>
            </w:r>
          </w:p>
        </w:tc>
        <w:tc>
          <w:tcPr>
            <w:tcW w:w="946" w:type="pct"/>
            <w:tcBorders>
              <w:tl2br w:val="nil"/>
              <w:tr2bl w:val="nil"/>
            </w:tcBorders>
            <w:vAlign w:val="center"/>
          </w:tcPr>
          <w:p w14:paraId="30B1AADF">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少量</w:t>
            </w:r>
          </w:p>
        </w:tc>
        <w:tc>
          <w:tcPr>
            <w:tcW w:w="739" w:type="pct"/>
            <w:tcBorders>
              <w:tl2br w:val="nil"/>
              <w:tr2bl w:val="nil"/>
            </w:tcBorders>
            <w:vAlign w:val="center"/>
          </w:tcPr>
          <w:p w14:paraId="2AF4F731">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无组织</w:t>
            </w:r>
          </w:p>
        </w:tc>
        <w:tc>
          <w:tcPr>
            <w:tcW w:w="1300" w:type="pct"/>
            <w:tcBorders>
              <w:tl2br w:val="nil"/>
              <w:tr2bl w:val="nil"/>
            </w:tcBorders>
            <w:vAlign w:val="center"/>
          </w:tcPr>
          <w:p w14:paraId="12BBE5E6">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w:t>
            </w:r>
          </w:p>
        </w:tc>
      </w:tr>
      <w:tr w14:paraId="56402D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4" w:type="pct"/>
            <w:vMerge w:val="restart"/>
            <w:tcBorders>
              <w:tl2br w:val="nil"/>
              <w:tr2bl w:val="nil"/>
            </w:tcBorders>
            <w:vAlign w:val="center"/>
          </w:tcPr>
          <w:p w14:paraId="46B1337B">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水环境</w:t>
            </w:r>
          </w:p>
        </w:tc>
        <w:tc>
          <w:tcPr>
            <w:tcW w:w="889" w:type="pct"/>
            <w:tcBorders>
              <w:tl2br w:val="nil"/>
              <w:tr2bl w:val="nil"/>
            </w:tcBorders>
            <w:vAlign w:val="center"/>
          </w:tcPr>
          <w:p w14:paraId="1710C88F">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悬浮物</w:t>
            </w:r>
          </w:p>
        </w:tc>
        <w:tc>
          <w:tcPr>
            <w:tcW w:w="739" w:type="pct"/>
            <w:tcBorders>
              <w:tl2br w:val="nil"/>
              <w:tr2bl w:val="nil"/>
            </w:tcBorders>
            <w:vAlign w:val="center"/>
          </w:tcPr>
          <w:p w14:paraId="79EAC560">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SS</w:t>
            </w:r>
          </w:p>
        </w:tc>
        <w:tc>
          <w:tcPr>
            <w:tcW w:w="946" w:type="pct"/>
            <w:tcBorders>
              <w:tl2br w:val="nil"/>
              <w:tr2bl w:val="nil"/>
            </w:tcBorders>
            <w:vAlign w:val="center"/>
          </w:tcPr>
          <w:p w14:paraId="3EA2F341">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最大</w:t>
            </w:r>
            <w:r>
              <w:rPr>
                <w:rFonts w:hint="eastAsia"/>
                <w:color w:val="auto"/>
                <w:sz w:val="21"/>
                <w:szCs w:val="21"/>
                <w:highlight w:val="none"/>
                <w:lang w:val="en-US" w:eastAsia="zh-CN"/>
              </w:rPr>
              <w:t>0.25</w:t>
            </w:r>
            <w:r>
              <w:rPr>
                <w:color w:val="auto"/>
                <w:sz w:val="21"/>
                <w:szCs w:val="21"/>
                <w:highlight w:val="none"/>
              </w:rPr>
              <w:t>kg/s</w:t>
            </w:r>
          </w:p>
        </w:tc>
        <w:tc>
          <w:tcPr>
            <w:tcW w:w="739" w:type="pct"/>
            <w:tcBorders>
              <w:tl2br w:val="nil"/>
              <w:tr2bl w:val="nil"/>
            </w:tcBorders>
            <w:vAlign w:val="center"/>
          </w:tcPr>
          <w:p w14:paraId="0C5AD65D">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自然扩散</w:t>
            </w:r>
          </w:p>
        </w:tc>
        <w:tc>
          <w:tcPr>
            <w:tcW w:w="1300" w:type="pct"/>
            <w:tcBorders>
              <w:tl2br w:val="nil"/>
              <w:tr2bl w:val="nil"/>
            </w:tcBorders>
            <w:vAlign w:val="center"/>
          </w:tcPr>
          <w:p w14:paraId="13DE67C8">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w:t>
            </w:r>
          </w:p>
        </w:tc>
      </w:tr>
      <w:tr w14:paraId="4A7467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4" w:type="pct"/>
            <w:vMerge w:val="continue"/>
            <w:tcBorders>
              <w:tl2br w:val="nil"/>
              <w:tr2bl w:val="nil"/>
            </w:tcBorders>
            <w:vAlign w:val="center"/>
          </w:tcPr>
          <w:p w14:paraId="77285DF7">
            <w:pPr>
              <w:spacing w:line="240" w:lineRule="auto"/>
              <w:ind w:left="-72" w:leftChars="-30" w:right="-72" w:rightChars="-30" w:firstLine="0" w:firstLineChars="0"/>
              <w:jc w:val="center"/>
              <w:rPr>
                <w:color w:val="auto"/>
                <w:sz w:val="21"/>
                <w:szCs w:val="21"/>
                <w:highlight w:val="none"/>
              </w:rPr>
            </w:pPr>
          </w:p>
        </w:tc>
        <w:tc>
          <w:tcPr>
            <w:tcW w:w="889" w:type="pct"/>
            <w:tcBorders>
              <w:tl2br w:val="nil"/>
              <w:tr2bl w:val="nil"/>
            </w:tcBorders>
            <w:vAlign w:val="center"/>
          </w:tcPr>
          <w:p w14:paraId="62A9BB8C">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生活污水</w:t>
            </w:r>
          </w:p>
        </w:tc>
        <w:tc>
          <w:tcPr>
            <w:tcW w:w="739" w:type="pct"/>
            <w:tcBorders>
              <w:tl2br w:val="nil"/>
              <w:tr2bl w:val="nil"/>
            </w:tcBorders>
            <w:vAlign w:val="center"/>
          </w:tcPr>
          <w:p w14:paraId="248CDC94">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COD、BOD</w:t>
            </w:r>
            <w:r>
              <w:rPr>
                <w:color w:val="auto"/>
                <w:sz w:val="21"/>
                <w:szCs w:val="21"/>
                <w:highlight w:val="none"/>
                <w:vertAlign w:val="subscript"/>
              </w:rPr>
              <w:t>5</w:t>
            </w:r>
            <w:r>
              <w:rPr>
                <w:color w:val="auto"/>
                <w:sz w:val="21"/>
                <w:szCs w:val="21"/>
                <w:highlight w:val="none"/>
              </w:rPr>
              <w:t>、氨氮、SS</w:t>
            </w:r>
          </w:p>
        </w:tc>
        <w:tc>
          <w:tcPr>
            <w:tcW w:w="946" w:type="pct"/>
            <w:tcBorders>
              <w:tl2br w:val="nil"/>
              <w:tr2bl w:val="nil"/>
            </w:tcBorders>
            <w:vAlign w:val="center"/>
          </w:tcPr>
          <w:p w14:paraId="4AF6D0C3">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1.9m</w:t>
            </w:r>
            <w:r>
              <w:rPr>
                <w:color w:val="auto"/>
                <w:sz w:val="21"/>
                <w:szCs w:val="21"/>
                <w:highlight w:val="none"/>
                <w:vertAlign w:val="superscript"/>
              </w:rPr>
              <w:t>3</w:t>
            </w:r>
            <w:r>
              <w:rPr>
                <w:color w:val="auto"/>
                <w:sz w:val="21"/>
                <w:szCs w:val="21"/>
                <w:highlight w:val="none"/>
              </w:rPr>
              <w:t>/d</w:t>
            </w:r>
          </w:p>
        </w:tc>
        <w:tc>
          <w:tcPr>
            <w:tcW w:w="739" w:type="pct"/>
            <w:tcBorders>
              <w:tl2br w:val="nil"/>
              <w:tr2bl w:val="nil"/>
            </w:tcBorders>
            <w:vAlign w:val="center"/>
          </w:tcPr>
          <w:p w14:paraId="79B3AF1D">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间断</w:t>
            </w:r>
          </w:p>
        </w:tc>
        <w:tc>
          <w:tcPr>
            <w:tcW w:w="1300" w:type="pct"/>
            <w:tcBorders>
              <w:tl2br w:val="nil"/>
              <w:tr2bl w:val="nil"/>
            </w:tcBorders>
            <w:vAlign w:val="center"/>
          </w:tcPr>
          <w:p w14:paraId="7D51E969">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依托附近居民生活污水处理系统，不在本项目区域内排放</w:t>
            </w:r>
          </w:p>
        </w:tc>
      </w:tr>
      <w:tr w14:paraId="4A4330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4" w:type="pct"/>
            <w:tcBorders>
              <w:tl2br w:val="nil"/>
              <w:tr2bl w:val="nil"/>
            </w:tcBorders>
            <w:vAlign w:val="center"/>
          </w:tcPr>
          <w:p w14:paraId="6EAD5ABB">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声环境</w:t>
            </w:r>
          </w:p>
        </w:tc>
        <w:tc>
          <w:tcPr>
            <w:tcW w:w="889" w:type="pct"/>
            <w:tcBorders>
              <w:tl2br w:val="nil"/>
              <w:tr2bl w:val="nil"/>
            </w:tcBorders>
            <w:vAlign w:val="center"/>
          </w:tcPr>
          <w:p w14:paraId="0B7EA7E1">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施工机械噪声</w:t>
            </w:r>
          </w:p>
        </w:tc>
        <w:tc>
          <w:tcPr>
            <w:tcW w:w="739" w:type="pct"/>
            <w:tcBorders>
              <w:tl2br w:val="nil"/>
              <w:tr2bl w:val="nil"/>
            </w:tcBorders>
            <w:vAlign w:val="center"/>
          </w:tcPr>
          <w:p w14:paraId="14FB249A">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等效A声级</w:t>
            </w:r>
          </w:p>
        </w:tc>
        <w:tc>
          <w:tcPr>
            <w:tcW w:w="946" w:type="pct"/>
            <w:tcBorders>
              <w:tl2br w:val="nil"/>
              <w:tr2bl w:val="nil"/>
            </w:tcBorders>
            <w:vAlign w:val="center"/>
          </w:tcPr>
          <w:p w14:paraId="01B7F4D3">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89dB~107dB</w:t>
            </w:r>
          </w:p>
        </w:tc>
        <w:tc>
          <w:tcPr>
            <w:tcW w:w="739" w:type="pct"/>
            <w:tcBorders>
              <w:tl2br w:val="nil"/>
              <w:tr2bl w:val="nil"/>
            </w:tcBorders>
            <w:vAlign w:val="center"/>
          </w:tcPr>
          <w:p w14:paraId="09380412">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间断</w:t>
            </w:r>
          </w:p>
        </w:tc>
        <w:tc>
          <w:tcPr>
            <w:tcW w:w="1300" w:type="pct"/>
            <w:tcBorders>
              <w:tl2br w:val="nil"/>
              <w:tr2bl w:val="nil"/>
            </w:tcBorders>
            <w:vAlign w:val="center"/>
          </w:tcPr>
          <w:p w14:paraId="4500C99C">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采用低噪声设备、合理安排施工时间</w:t>
            </w:r>
          </w:p>
        </w:tc>
      </w:tr>
      <w:tr w14:paraId="17B54C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4" w:type="pct"/>
            <w:vMerge w:val="restart"/>
            <w:tcBorders>
              <w:tl2br w:val="nil"/>
              <w:tr2bl w:val="nil"/>
            </w:tcBorders>
            <w:vAlign w:val="center"/>
          </w:tcPr>
          <w:p w14:paraId="0EA6343F">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固体废物</w:t>
            </w:r>
          </w:p>
        </w:tc>
        <w:tc>
          <w:tcPr>
            <w:tcW w:w="889" w:type="pct"/>
            <w:tcBorders>
              <w:tl2br w:val="nil"/>
              <w:tr2bl w:val="nil"/>
            </w:tcBorders>
            <w:vAlign w:val="center"/>
          </w:tcPr>
          <w:p w14:paraId="192F1C85">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建筑垃圾</w:t>
            </w:r>
          </w:p>
        </w:tc>
        <w:tc>
          <w:tcPr>
            <w:tcW w:w="739" w:type="pct"/>
            <w:tcBorders>
              <w:tl2br w:val="nil"/>
              <w:tr2bl w:val="nil"/>
            </w:tcBorders>
            <w:vAlign w:val="center"/>
          </w:tcPr>
          <w:p w14:paraId="3F65E6AB">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建筑垃圾</w:t>
            </w:r>
          </w:p>
        </w:tc>
        <w:tc>
          <w:tcPr>
            <w:tcW w:w="946" w:type="pct"/>
            <w:tcBorders>
              <w:tl2br w:val="nil"/>
              <w:tr2bl w:val="nil"/>
            </w:tcBorders>
            <w:vAlign w:val="center"/>
          </w:tcPr>
          <w:p w14:paraId="434F0B7B">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少量</w:t>
            </w:r>
          </w:p>
        </w:tc>
        <w:tc>
          <w:tcPr>
            <w:tcW w:w="739" w:type="pct"/>
            <w:tcBorders>
              <w:tl2br w:val="nil"/>
              <w:tr2bl w:val="nil"/>
            </w:tcBorders>
            <w:vAlign w:val="center"/>
          </w:tcPr>
          <w:p w14:paraId="4A7853F6">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间断</w:t>
            </w:r>
          </w:p>
        </w:tc>
        <w:tc>
          <w:tcPr>
            <w:tcW w:w="1300" w:type="pct"/>
            <w:tcBorders>
              <w:tl2br w:val="nil"/>
              <w:tr2bl w:val="nil"/>
            </w:tcBorders>
            <w:vAlign w:val="center"/>
          </w:tcPr>
          <w:p w14:paraId="0539DBE3">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能回收利用的回收利用，不能回收利用的集中堆放在现有工程一般固体废物间，定期委托</w:t>
            </w:r>
            <w:r>
              <w:rPr>
                <w:rFonts w:hint="eastAsia"/>
                <w:color w:val="auto"/>
                <w:sz w:val="21"/>
                <w:szCs w:val="21"/>
                <w:highlight w:val="none"/>
              </w:rPr>
              <w:t>一般固体废物处理中部单位转运处置</w:t>
            </w:r>
          </w:p>
        </w:tc>
      </w:tr>
      <w:tr w14:paraId="431F27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4" w:type="pct"/>
            <w:vMerge w:val="continue"/>
            <w:tcBorders>
              <w:tl2br w:val="nil"/>
              <w:tr2bl w:val="nil"/>
            </w:tcBorders>
            <w:vAlign w:val="center"/>
          </w:tcPr>
          <w:p w14:paraId="215552E1">
            <w:pPr>
              <w:spacing w:line="240" w:lineRule="auto"/>
              <w:ind w:left="-72" w:leftChars="-30" w:right="-72" w:rightChars="-30" w:firstLine="0" w:firstLineChars="0"/>
              <w:jc w:val="center"/>
              <w:rPr>
                <w:color w:val="auto"/>
                <w:sz w:val="21"/>
                <w:szCs w:val="21"/>
                <w:highlight w:val="none"/>
              </w:rPr>
            </w:pPr>
          </w:p>
        </w:tc>
        <w:tc>
          <w:tcPr>
            <w:tcW w:w="889" w:type="pct"/>
            <w:tcBorders>
              <w:tl2br w:val="nil"/>
              <w:tr2bl w:val="nil"/>
            </w:tcBorders>
            <w:vAlign w:val="center"/>
          </w:tcPr>
          <w:p w14:paraId="61594459">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生活垃圾</w:t>
            </w:r>
          </w:p>
        </w:tc>
        <w:tc>
          <w:tcPr>
            <w:tcW w:w="739" w:type="pct"/>
            <w:tcBorders>
              <w:tl2br w:val="nil"/>
              <w:tr2bl w:val="nil"/>
            </w:tcBorders>
            <w:vAlign w:val="center"/>
          </w:tcPr>
          <w:p w14:paraId="389FF687">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生活垃圾</w:t>
            </w:r>
          </w:p>
        </w:tc>
        <w:tc>
          <w:tcPr>
            <w:tcW w:w="946" w:type="pct"/>
            <w:tcBorders>
              <w:tl2br w:val="nil"/>
              <w:tr2bl w:val="nil"/>
            </w:tcBorders>
            <w:vAlign w:val="center"/>
          </w:tcPr>
          <w:p w14:paraId="6BC17DF8">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15kg/d</w:t>
            </w:r>
          </w:p>
        </w:tc>
        <w:tc>
          <w:tcPr>
            <w:tcW w:w="739" w:type="pct"/>
            <w:tcBorders>
              <w:tl2br w:val="nil"/>
              <w:tr2bl w:val="nil"/>
            </w:tcBorders>
            <w:vAlign w:val="center"/>
          </w:tcPr>
          <w:p w14:paraId="790A86A1">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间断</w:t>
            </w:r>
          </w:p>
        </w:tc>
        <w:tc>
          <w:tcPr>
            <w:tcW w:w="1300" w:type="pct"/>
            <w:tcBorders>
              <w:tl2br w:val="nil"/>
              <w:tr2bl w:val="nil"/>
            </w:tcBorders>
            <w:vAlign w:val="center"/>
          </w:tcPr>
          <w:p w14:paraId="23DBD24A">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统一收集后，交由环卫部门处理</w:t>
            </w:r>
          </w:p>
        </w:tc>
      </w:tr>
    </w:tbl>
    <w:p w14:paraId="1D483D79">
      <w:pPr>
        <w:ind w:firstLine="480"/>
        <w:rPr>
          <w:color w:val="auto"/>
          <w:highlight w:val="none"/>
        </w:rPr>
        <w:sectPr>
          <w:pgSz w:w="11906" w:h="16838"/>
          <w:pgMar w:top="1559" w:right="1418" w:bottom="1503" w:left="1418" w:header="851" w:footer="964" w:gutter="0"/>
          <w:cols w:space="720" w:num="1"/>
          <w:docGrid w:linePitch="326" w:charSpace="0"/>
        </w:sectPr>
      </w:pPr>
    </w:p>
    <w:p w14:paraId="776B00AD">
      <w:pPr>
        <w:pStyle w:val="7"/>
        <w:numPr>
          <w:ilvl w:val="2"/>
          <w:numId w:val="9"/>
        </w:numPr>
        <w:rPr>
          <w:color w:val="auto"/>
          <w:sz w:val="28"/>
          <w:highlight w:val="none"/>
        </w:rPr>
      </w:pPr>
      <w:r>
        <w:rPr>
          <w:color w:val="auto"/>
          <w:sz w:val="28"/>
          <w:highlight w:val="none"/>
        </w:rPr>
        <w:t>运营期</w:t>
      </w:r>
    </w:p>
    <w:p w14:paraId="5F05F61D">
      <w:pPr>
        <w:pStyle w:val="589"/>
        <w:ind w:firstLine="480"/>
        <w:rPr>
          <w:rFonts w:cs="Times New Roman"/>
          <w:color w:val="auto"/>
          <w:highlight w:val="none"/>
        </w:rPr>
      </w:pPr>
      <w:r>
        <w:rPr>
          <w:rFonts w:cs="Times New Roman"/>
          <w:color w:val="auto"/>
          <w:highlight w:val="none"/>
        </w:rPr>
        <w:t>本项目</w:t>
      </w:r>
      <w:r>
        <w:rPr>
          <w:rFonts w:hint="eastAsia" w:cs="Times New Roman"/>
          <w:color w:val="auto"/>
          <w:highlight w:val="none"/>
        </w:rPr>
        <w:t>建设</w:t>
      </w:r>
      <w:r>
        <w:rPr>
          <w:rFonts w:cs="Times New Roman"/>
          <w:color w:val="auto"/>
          <w:highlight w:val="none"/>
        </w:rPr>
        <w:t>1座10万吨级浮船坞用于置换“中船钦州修船资源整合项目”中的老旧10万吨级浮船坞，浮船坞修船工艺不变，因此修船过程污染物产生和排放量不变；</w:t>
      </w:r>
    </w:p>
    <w:p w14:paraId="02BFADC0">
      <w:pPr>
        <w:pStyle w:val="589"/>
        <w:ind w:firstLine="480"/>
        <w:rPr>
          <w:rFonts w:cs="Times New Roman"/>
          <w:color w:val="auto"/>
          <w:highlight w:val="none"/>
        </w:rPr>
      </w:pPr>
      <w:r>
        <w:rPr>
          <w:rFonts w:cs="Times New Roman"/>
          <w:color w:val="auto"/>
          <w:highlight w:val="none"/>
        </w:rPr>
        <w:t>本项目在5#舾装码头</w:t>
      </w:r>
      <w:r>
        <w:rPr>
          <w:rFonts w:hint="eastAsia" w:cs="Times New Roman"/>
          <w:color w:val="auto"/>
          <w:highlight w:val="none"/>
        </w:rPr>
        <w:t>扩建</w:t>
      </w:r>
      <w:r>
        <w:rPr>
          <w:rFonts w:cs="Times New Roman"/>
          <w:color w:val="auto"/>
          <w:highlight w:val="none"/>
        </w:rPr>
        <w:t>的1台6070门座式起重机，运行过程主要产生设备噪声。</w:t>
      </w:r>
    </w:p>
    <w:p w14:paraId="0E7951DB">
      <w:pPr>
        <w:pStyle w:val="533"/>
        <w:numPr>
          <w:ilvl w:val="3"/>
          <w:numId w:val="9"/>
        </w:numPr>
        <w:rPr>
          <w:color w:val="auto"/>
          <w:szCs w:val="24"/>
          <w:highlight w:val="none"/>
        </w:rPr>
      </w:pPr>
      <w:r>
        <w:rPr>
          <w:color w:val="auto"/>
          <w:szCs w:val="24"/>
          <w:highlight w:val="none"/>
        </w:rPr>
        <w:t>运营期废气</w:t>
      </w:r>
    </w:p>
    <w:p w14:paraId="5F45ED64">
      <w:pPr>
        <w:ind w:firstLine="482"/>
        <w:rPr>
          <w:b/>
          <w:color w:val="auto"/>
          <w:szCs w:val="20"/>
          <w:highlight w:val="none"/>
        </w:rPr>
      </w:pPr>
      <w:r>
        <w:rPr>
          <w:b/>
          <w:color w:val="auto"/>
          <w:szCs w:val="20"/>
          <w:highlight w:val="none"/>
        </w:rPr>
        <w:t>（1）喷漆有机废气</w:t>
      </w:r>
    </w:p>
    <w:p w14:paraId="18B0F3F7">
      <w:pPr>
        <w:ind w:firstLine="480"/>
        <w:rPr>
          <w:color w:val="auto"/>
          <w:szCs w:val="20"/>
          <w:highlight w:val="none"/>
        </w:rPr>
      </w:pPr>
      <w:r>
        <w:rPr>
          <w:color w:val="auto"/>
          <w:szCs w:val="20"/>
          <w:highlight w:val="none"/>
        </w:rPr>
        <w:t>修船过程中需要对船舶的钢板以及维修部位进行防腐防锈油漆作业，漆雾及有机废气正是油漆涂装时产生的，主要来自船坞中船体维修喷涂工序。根据</w:t>
      </w:r>
      <w:r>
        <w:rPr>
          <w:color w:val="auto"/>
          <w:highlight w:val="none"/>
        </w:rPr>
        <w:t>“中船钦州修船资源整合项目”</w:t>
      </w:r>
      <w:r>
        <w:rPr>
          <w:color w:val="auto"/>
          <w:szCs w:val="20"/>
          <w:highlight w:val="none"/>
        </w:rPr>
        <w:t>油漆平衡核算</w:t>
      </w:r>
      <w:r>
        <w:rPr>
          <w:rFonts w:hint="eastAsia"/>
          <w:color w:val="auto"/>
          <w:szCs w:val="20"/>
          <w:highlight w:val="none"/>
        </w:rPr>
        <w:t>（见上文2.1.3.4物料平衡）</w:t>
      </w:r>
      <w:r>
        <w:rPr>
          <w:color w:val="auto"/>
          <w:szCs w:val="20"/>
          <w:highlight w:val="none"/>
        </w:rPr>
        <w:t>，10万吨浮船坞喷涂工序漆雾排放量为5.15t/a，挥发性有机物排放量为73.57t/a（其中</w:t>
      </w:r>
      <w:r>
        <w:rPr>
          <w:rFonts w:hint="eastAsia"/>
          <w:color w:val="auto"/>
          <w:szCs w:val="20"/>
          <w:highlight w:val="none"/>
        </w:rPr>
        <w:t>T</w:t>
      </w:r>
      <w:r>
        <w:rPr>
          <w:color w:val="auto"/>
          <w:szCs w:val="20"/>
          <w:highlight w:val="none"/>
        </w:rPr>
        <w:t>VOC排放量为58.86t/a、二甲苯排放量为14.71t/a</w:t>
      </w:r>
      <w:r>
        <w:rPr>
          <w:rFonts w:hint="eastAsia"/>
          <w:color w:val="auto"/>
          <w:szCs w:val="20"/>
          <w:highlight w:val="none"/>
        </w:rPr>
        <w:t>；</w:t>
      </w:r>
      <w:r>
        <w:rPr>
          <w:color w:val="auto"/>
          <w:szCs w:val="20"/>
          <w:highlight w:val="none"/>
        </w:rPr>
        <w:t>）</w:t>
      </w:r>
      <w:r>
        <w:rPr>
          <w:rFonts w:hint="eastAsia"/>
          <w:color w:val="auto"/>
          <w:szCs w:val="20"/>
          <w:highlight w:val="none"/>
          <w:u w:val="single"/>
        </w:rPr>
        <w:t>根据油漆成分分析可知，苯、甲苯含量极低，因此苯、甲苯纳入T</w:t>
      </w:r>
      <w:r>
        <w:rPr>
          <w:color w:val="auto"/>
          <w:szCs w:val="20"/>
          <w:highlight w:val="none"/>
          <w:u w:val="single"/>
        </w:rPr>
        <w:t>VOC</w:t>
      </w:r>
      <w:r>
        <w:rPr>
          <w:rFonts w:hint="eastAsia"/>
          <w:color w:val="auto"/>
          <w:szCs w:val="20"/>
          <w:highlight w:val="none"/>
          <w:u w:val="single"/>
        </w:rPr>
        <w:t>统计，不再单独评价</w:t>
      </w:r>
      <w:r>
        <w:rPr>
          <w:color w:val="auto"/>
          <w:szCs w:val="20"/>
          <w:highlight w:val="none"/>
          <w:u w:val="single"/>
        </w:rPr>
        <w:t>。</w:t>
      </w:r>
      <w:r>
        <w:rPr>
          <w:color w:val="auto"/>
          <w:szCs w:val="20"/>
          <w:highlight w:val="none"/>
        </w:rPr>
        <w:t>漆雾、</w:t>
      </w:r>
      <w:r>
        <w:rPr>
          <w:rFonts w:hint="eastAsia"/>
          <w:color w:val="auto"/>
          <w:szCs w:val="20"/>
          <w:highlight w:val="none"/>
        </w:rPr>
        <w:t>T</w:t>
      </w:r>
      <w:r>
        <w:rPr>
          <w:color w:val="auto"/>
          <w:szCs w:val="20"/>
          <w:highlight w:val="none"/>
        </w:rPr>
        <w:t>VOC和二甲苯主要产生于浮船坞，由于船坞设置在海边，风速较大，且船舶体积较大，修造封闭式船坞存在技术及资金上的问题，故国内外用于修造船的船坞基本上是露天设置的</w:t>
      </w:r>
      <w:r>
        <w:rPr>
          <w:rFonts w:hint="eastAsia"/>
          <w:color w:val="auto"/>
          <w:szCs w:val="20"/>
          <w:highlight w:val="none"/>
        </w:rPr>
        <w:t>，船坞喷漆点较为分散，难以对船坞上喷漆工序产生的废气进行收集处置，因此项目</w:t>
      </w:r>
      <w:r>
        <w:rPr>
          <w:color w:val="auto"/>
          <w:szCs w:val="20"/>
          <w:highlight w:val="none"/>
        </w:rPr>
        <w:t>通过</w:t>
      </w:r>
      <w:r>
        <w:rPr>
          <w:rFonts w:hint="eastAsia"/>
          <w:color w:val="auto"/>
          <w:szCs w:val="20"/>
          <w:highlight w:val="none"/>
        </w:rPr>
        <w:t>鼓风机</w:t>
      </w:r>
      <w:r>
        <w:rPr>
          <w:color w:val="auto"/>
          <w:szCs w:val="20"/>
          <w:highlight w:val="none"/>
        </w:rPr>
        <w:t>通风呈无组织形式排放露天排放。</w:t>
      </w:r>
    </w:p>
    <w:p w14:paraId="578C0E04">
      <w:pPr>
        <w:ind w:firstLine="480"/>
        <w:rPr>
          <w:color w:val="auto"/>
          <w:szCs w:val="20"/>
          <w:highlight w:val="none"/>
        </w:rPr>
      </w:pPr>
      <w:r>
        <w:rPr>
          <w:color w:val="auto"/>
          <w:highlight w:val="none"/>
        </w:rPr>
        <w:t>正常工况下船坞同时使用2~4支喷枪。喷枪的喷涂速率根据所喷油漆的种类不同而变化，一般底漆喷涂速率较大，面漆喷涂速率较低。</w:t>
      </w:r>
      <w:r>
        <w:rPr>
          <w:color w:val="auto"/>
          <w:highlight w:val="none"/>
          <w:u w:val="single"/>
        </w:rPr>
        <w:t>本评价按平均一支喷枪喷漆50kg/h速率计算，船坞同时作业时最大小时喷漆量为</w:t>
      </w:r>
      <w:r>
        <w:rPr>
          <w:rFonts w:hint="eastAsia"/>
          <w:color w:val="auto"/>
          <w:highlight w:val="none"/>
          <w:u w:val="single"/>
        </w:rPr>
        <w:t>2</w:t>
      </w:r>
      <w:r>
        <w:rPr>
          <w:color w:val="auto"/>
          <w:highlight w:val="none"/>
          <w:u w:val="single"/>
        </w:rPr>
        <w:t>00kg/h，</w:t>
      </w:r>
      <w:r>
        <w:rPr>
          <w:color w:val="auto"/>
          <w:highlight w:val="none"/>
        </w:rPr>
        <w:t>船坞每天喷涂作业时间约5小时，漆膜硬干时间19小时，则船坞无组织排放的二甲苯最大排放速率为4.09kg/h，</w:t>
      </w:r>
      <w:r>
        <w:rPr>
          <w:rFonts w:hint="eastAsia"/>
          <w:color w:val="auto"/>
          <w:highlight w:val="none"/>
        </w:rPr>
        <w:t>T</w:t>
      </w:r>
      <w:r>
        <w:rPr>
          <w:color w:val="auto"/>
          <w:highlight w:val="none"/>
        </w:rPr>
        <w:t>VOC最大排放速率为8.18kg/h。漆雾主要在喷涂作业的5小时内产生，漆雾最大排放速率为4.12kg/h。</w:t>
      </w:r>
      <w:r>
        <w:rPr>
          <w:color w:val="auto"/>
          <w:szCs w:val="20"/>
          <w:highlight w:val="none"/>
        </w:rPr>
        <w:t>本项目船坞喷漆废气排放量汇总见表2.4-6。</w:t>
      </w:r>
    </w:p>
    <w:p w14:paraId="33028DA4">
      <w:pPr>
        <w:pStyle w:val="38"/>
        <w:spacing w:after="0" w:line="240" w:lineRule="auto"/>
        <w:ind w:firstLine="0" w:firstLineChars="0"/>
        <w:jc w:val="center"/>
        <w:rPr>
          <w:b/>
          <w:color w:val="auto"/>
          <w:sz w:val="21"/>
          <w:szCs w:val="21"/>
          <w:highlight w:val="none"/>
        </w:rPr>
      </w:pPr>
      <w:r>
        <w:rPr>
          <w:b/>
          <w:color w:val="auto"/>
          <w:sz w:val="21"/>
          <w:szCs w:val="21"/>
          <w:highlight w:val="none"/>
        </w:rPr>
        <w:t>表2.4-6  船坞喷涂作业污染物源强统计表</w:t>
      </w:r>
    </w:p>
    <w:tbl>
      <w:tblPr>
        <w:tblStyle w:val="9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0"/>
        <w:gridCol w:w="1090"/>
        <w:gridCol w:w="1432"/>
        <w:gridCol w:w="2106"/>
        <w:gridCol w:w="1289"/>
        <w:gridCol w:w="1822"/>
      </w:tblGrid>
      <w:tr w14:paraId="7B90C3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830" w:type="pct"/>
            <w:tcBorders>
              <w:tl2br w:val="nil"/>
              <w:tr2bl w:val="nil"/>
            </w:tcBorders>
            <w:vAlign w:val="center"/>
          </w:tcPr>
          <w:p w14:paraId="04008C6C">
            <w:pPr>
              <w:spacing w:line="240" w:lineRule="auto"/>
              <w:ind w:firstLine="0" w:firstLineChars="0"/>
              <w:jc w:val="center"/>
              <w:rPr>
                <w:b/>
                <w:color w:val="auto"/>
                <w:sz w:val="21"/>
                <w:szCs w:val="21"/>
                <w:highlight w:val="none"/>
              </w:rPr>
            </w:pPr>
            <w:r>
              <w:rPr>
                <w:b/>
                <w:color w:val="auto"/>
                <w:sz w:val="21"/>
                <w:szCs w:val="21"/>
                <w:highlight w:val="none"/>
              </w:rPr>
              <w:t>作业场所</w:t>
            </w:r>
          </w:p>
        </w:tc>
        <w:tc>
          <w:tcPr>
            <w:tcW w:w="587" w:type="pct"/>
            <w:tcBorders>
              <w:tl2br w:val="nil"/>
              <w:tr2bl w:val="nil"/>
            </w:tcBorders>
            <w:vAlign w:val="center"/>
          </w:tcPr>
          <w:p w14:paraId="2417B56C">
            <w:pPr>
              <w:spacing w:line="240" w:lineRule="auto"/>
              <w:ind w:firstLine="0" w:firstLineChars="0"/>
              <w:jc w:val="center"/>
              <w:rPr>
                <w:b/>
                <w:color w:val="auto"/>
                <w:sz w:val="21"/>
                <w:szCs w:val="21"/>
                <w:highlight w:val="none"/>
              </w:rPr>
            </w:pPr>
            <w:r>
              <w:rPr>
                <w:b/>
                <w:color w:val="auto"/>
                <w:sz w:val="21"/>
                <w:szCs w:val="21"/>
                <w:highlight w:val="none"/>
              </w:rPr>
              <w:t>污染因子</w:t>
            </w:r>
          </w:p>
        </w:tc>
        <w:tc>
          <w:tcPr>
            <w:tcW w:w="771" w:type="pct"/>
            <w:tcBorders>
              <w:tl2br w:val="nil"/>
              <w:tr2bl w:val="nil"/>
            </w:tcBorders>
            <w:vAlign w:val="center"/>
          </w:tcPr>
          <w:p w14:paraId="3C97ADD3">
            <w:pPr>
              <w:spacing w:line="240" w:lineRule="auto"/>
              <w:ind w:firstLine="0" w:firstLineChars="0"/>
              <w:jc w:val="center"/>
              <w:rPr>
                <w:b/>
                <w:color w:val="auto"/>
                <w:sz w:val="21"/>
                <w:szCs w:val="21"/>
                <w:highlight w:val="none"/>
              </w:rPr>
            </w:pPr>
            <w:r>
              <w:rPr>
                <w:b/>
                <w:color w:val="auto"/>
                <w:sz w:val="21"/>
                <w:szCs w:val="21"/>
                <w:highlight w:val="none"/>
              </w:rPr>
              <w:t>排放量（t/a）</w:t>
            </w:r>
          </w:p>
        </w:tc>
        <w:tc>
          <w:tcPr>
            <w:tcW w:w="1134" w:type="pct"/>
            <w:tcBorders>
              <w:tl2br w:val="nil"/>
              <w:tr2bl w:val="nil"/>
            </w:tcBorders>
            <w:vAlign w:val="center"/>
          </w:tcPr>
          <w:p w14:paraId="21F45D55">
            <w:pPr>
              <w:spacing w:line="240" w:lineRule="auto"/>
              <w:ind w:firstLine="0" w:firstLineChars="0"/>
              <w:jc w:val="center"/>
              <w:rPr>
                <w:b/>
                <w:color w:val="auto"/>
                <w:sz w:val="21"/>
                <w:szCs w:val="21"/>
                <w:highlight w:val="none"/>
              </w:rPr>
            </w:pPr>
            <w:r>
              <w:rPr>
                <w:b/>
                <w:color w:val="auto"/>
                <w:sz w:val="21"/>
                <w:szCs w:val="21"/>
                <w:highlight w:val="none"/>
              </w:rPr>
              <w:t>小时最大排放速率（kg/h）</w:t>
            </w:r>
          </w:p>
        </w:tc>
        <w:tc>
          <w:tcPr>
            <w:tcW w:w="694" w:type="pct"/>
            <w:tcBorders>
              <w:tl2br w:val="nil"/>
              <w:tr2bl w:val="nil"/>
            </w:tcBorders>
            <w:vAlign w:val="center"/>
          </w:tcPr>
          <w:p w14:paraId="36AD4C03">
            <w:pPr>
              <w:spacing w:line="240" w:lineRule="auto"/>
              <w:ind w:firstLine="0" w:firstLineChars="0"/>
              <w:jc w:val="center"/>
              <w:rPr>
                <w:b/>
                <w:color w:val="auto"/>
                <w:sz w:val="21"/>
                <w:szCs w:val="21"/>
                <w:highlight w:val="none"/>
              </w:rPr>
            </w:pPr>
            <w:r>
              <w:rPr>
                <w:b/>
                <w:color w:val="auto"/>
                <w:sz w:val="21"/>
                <w:szCs w:val="21"/>
                <w:highlight w:val="none"/>
              </w:rPr>
              <w:t>排放方式</w:t>
            </w:r>
          </w:p>
        </w:tc>
        <w:tc>
          <w:tcPr>
            <w:tcW w:w="981" w:type="pct"/>
            <w:tcBorders>
              <w:tl2br w:val="nil"/>
              <w:tr2bl w:val="nil"/>
            </w:tcBorders>
            <w:vAlign w:val="center"/>
          </w:tcPr>
          <w:p w14:paraId="3149E988">
            <w:pPr>
              <w:spacing w:line="240" w:lineRule="auto"/>
              <w:ind w:firstLine="0" w:firstLineChars="0"/>
              <w:jc w:val="center"/>
              <w:rPr>
                <w:b/>
                <w:color w:val="auto"/>
                <w:sz w:val="21"/>
                <w:szCs w:val="21"/>
                <w:highlight w:val="none"/>
              </w:rPr>
            </w:pPr>
            <w:r>
              <w:rPr>
                <w:b/>
                <w:color w:val="auto"/>
                <w:sz w:val="21"/>
                <w:szCs w:val="21"/>
                <w:highlight w:val="none"/>
              </w:rPr>
              <w:t>排放参数</w:t>
            </w:r>
          </w:p>
        </w:tc>
      </w:tr>
      <w:tr w14:paraId="28BB5A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830" w:type="pct"/>
            <w:vMerge w:val="restart"/>
            <w:tcBorders>
              <w:tl2br w:val="nil"/>
              <w:tr2bl w:val="nil"/>
            </w:tcBorders>
            <w:vAlign w:val="center"/>
          </w:tcPr>
          <w:p w14:paraId="7B9974DD">
            <w:pPr>
              <w:tabs>
                <w:tab w:val="left" w:pos="1021"/>
              </w:tabs>
              <w:spacing w:line="240" w:lineRule="auto"/>
              <w:ind w:right="-108" w:firstLine="0" w:firstLineChars="0"/>
              <w:jc w:val="center"/>
              <w:rPr>
                <w:color w:val="auto"/>
                <w:sz w:val="21"/>
                <w:szCs w:val="21"/>
                <w:highlight w:val="none"/>
              </w:rPr>
            </w:pPr>
            <w:r>
              <w:rPr>
                <w:color w:val="auto"/>
                <w:sz w:val="21"/>
                <w:szCs w:val="21"/>
                <w:highlight w:val="none"/>
              </w:rPr>
              <w:t>10万吨浮船坞</w:t>
            </w:r>
          </w:p>
        </w:tc>
        <w:tc>
          <w:tcPr>
            <w:tcW w:w="587" w:type="pct"/>
            <w:tcBorders>
              <w:tl2br w:val="nil"/>
              <w:tr2bl w:val="nil"/>
            </w:tcBorders>
            <w:vAlign w:val="center"/>
          </w:tcPr>
          <w:p w14:paraId="492539F2">
            <w:pPr>
              <w:spacing w:line="240" w:lineRule="auto"/>
              <w:ind w:firstLine="0" w:firstLineChars="0"/>
              <w:jc w:val="center"/>
              <w:rPr>
                <w:color w:val="auto"/>
                <w:sz w:val="21"/>
                <w:szCs w:val="21"/>
                <w:highlight w:val="none"/>
              </w:rPr>
            </w:pPr>
            <w:r>
              <w:rPr>
                <w:color w:val="auto"/>
                <w:sz w:val="21"/>
                <w:szCs w:val="21"/>
                <w:highlight w:val="none"/>
              </w:rPr>
              <w:t>漆雾</w:t>
            </w:r>
          </w:p>
        </w:tc>
        <w:tc>
          <w:tcPr>
            <w:tcW w:w="771" w:type="pct"/>
            <w:tcBorders>
              <w:tl2br w:val="nil"/>
              <w:tr2bl w:val="nil"/>
            </w:tcBorders>
            <w:vAlign w:val="center"/>
          </w:tcPr>
          <w:p w14:paraId="342CD5E7">
            <w:pPr>
              <w:spacing w:line="240" w:lineRule="auto"/>
              <w:ind w:firstLine="0" w:firstLineChars="0"/>
              <w:jc w:val="center"/>
              <w:rPr>
                <w:color w:val="auto"/>
                <w:sz w:val="21"/>
                <w:szCs w:val="21"/>
                <w:highlight w:val="none"/>
              </w:rPr>
            </w:pPr>
            <w:r>
              <w:rPr>
                <w:color w:val="auto"/>
                <w:sz w:val="21"/>
                <w:szCs w:val="21"/>
                <w:highlight w:val="none"/>
              </w:rPr>
              <w:t>5.15</w:t>
            </w:r>
          </w:p>
        </w:tc>
        <w:tc>
          <w:tcPr>
            <w:tcW w:w="1134" w:type="pct"/>
            <w:tcBorders>
              <w:tl2br w:val="nil"/>
              <w:tr2bl w:val="nil"/>
            </w:tcBorders>
            <w:vAlign w:val="center"/>
          </w:tcPr>
          <w:p w14:paraId="3716C25B">
            <w:pPr>
              <w:spacing w:line="240" w:lineRule="auto"/>
              <w:ind w:firstLine="0" w:firstLineChars="0"/>
              <w:jc w:val="center"/>
              <w:rPr>
                <w:color w:val="auto"/>
                <w:sz w:val="21"/>
                <w:szCs w:val="21"/>
                <w:highlight w:val="none"/>
              </w:rPr>
            </w:pPr>
            <w:r>
              <w:rPr>
                <w:color w:val="auto"/>
                <w:sz w:val="21"/>
                <w:szCs w:val="21"/>
                <w:highlight w:val="none"/>
              </w:rPr>
              <w:t xml:space="preserve">4.12 </w:t>
            </w:r>
          </w:p>
        </w:tc>
        <w:tc>
          <w:tcPr>
            <w:tcW w:w="694" w:type="pct"/>
            <w:vMerge w:val="restart"/>
            <w:tcBorders>
              <w:tl2br w:val="nil"/>
              <w:tr2bl w:val="nil"/>
            </w:tcBorders>
            <w:vAlign w:val="center"/>
          </w:tcPr>
          <w:p w14:paraId="7F2AE2D0">
            <w:pPr>
              <w:spacing w:line="240" w:lineRule="auto"/>
              <w:ind w:firstLine="0" w:firstLineChars="0"/>
              <w:jc w:val="center"/>
              <w:rPr>
                <w:color w:val="auto"/>
                <w:sz w:val="21"/>
                <w:szCs w:val="21"/>
                <w:highlight w:val="none"/>
              </w:rPr>
            </w:pPr>
            <w:r>
              <w:rPr>
                <w:color w:val="auto"/>
                <w:sz w:val="21"/>
                <w:szCs w:val="21"/>
                <w:highlight w:val="none"/>
              </w:rPr>
              <w:t>无组织排放</w:t>
            </w:r>
          </w:p>
        </w:tc>
        <w:tc>
          <w:tcPr>
            <w:tcW w:w="981" w:type="pct"/>
            <w:vMerge w:val="restart"/>
            <w:tcBorders>
              <w:tl2br w:val="nil"/>
              <w:tr2bl w:val="nil"/>
            </w:tcBorders>
            <w:vAlign w:val="center"/>
          </w:tcPr>
          <w:p w14:paraId="2B4C49E3">
            <w:pPr>
              <w:tabs>
                <w:tab w:val="left" w:pos="1021"/>
                <w:tab w:val="left" w:pos="2796"/>
              </w:tabs>
              <w:spacing w:line="240" w:lineRule="auto"/>
              <w:ind w:firstLine="0" w:firstLineChars="0"/>
              <w:jc w:val="center"/>
              <w:rPr>
                <w:color w:val="auto"/>
                <w:sz w:val="21"/>
                <w:szCs w:val="21"/>
                <w:highlight w:val="none"/>
              </w:rPr>
            </w:pPr>
            <w:r>
              <w:rPr>
                <w:color w:val="auto"/>
                <w:sz w:val="21"/>
                <w:szCs w:val="21"/>
                <w:highlight w:val="none"/>
              </w:rPr>
              <w:t>长265m×宽55m×高</w:t>
            </w:r>
            <w:r>
              <w:rPr>
                <w:rFonts w:hint="eastAsia"/>
                <w:color w:val="auto"/>
                <w:sz w:val="21"/>
                <w:szCs w:val="21"/>
                <w:highlight w:val="none"/>
              </w:rPr>
              <w:t>15</w:t>
            </w:r>
            <w:r>
              <w:rPr>
                <w:color w:val="auto"/>
                <w:sz w:val="21"/>
                <w:szCs w:val="21"/>
                <w:highlight w:val="none"/>
              </w:rPr>
              <w:t>m</w:t>
            </w:r>
          </w:p>
        </w:tc>
      </w:tr>
      <w:tr w14:paraId="5318BD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830" w:type="pct"/>
            <w:vMerge w:val="continue"/>
            <w:tcBorders>
              <w:tl2br w:val="nil"/>
              <w:tr2bl w:val="nil"/>
            </w:tcBorders>
            <w:vAlign w:val="center"/>
          </w:tcPr>
          <w:p w14:paraId="369B877E">
            <w:pPr>
              <w:tabs>
                <w:tab w:val="left" w:pos="1021"/>
              </w:tabs>
              <w:spacing w:line="240" w:lineRule="auto"/>
              <w:ind w:right="-108" w:firstLine="0" w:firstLineChars="0"/>
              <w:jc w:val="center"/>
              <w:rPr>
                <w:color w:val="auto"/>
                <w:sz w:val="21"/>
                <w:szCs w:val="21"/>
                <w:highlight w:val="none"/>
              </w:rPr>
            </w:pPr>
          </w:p>
        </w:tc>
        <w:tc>
          <w:tcPr>
            <w:tcW w:w="587" w:type="pct"/>
            <w:tcBorders>
              <w:tl2br w:val="nil"/>
              <w:tr2bl w:val="nil"/>
            </w:tcBorders>
            <w:vAlign w:val="center"/>
          </w:tcPr>
          <w:p w14:paraId="07A9C75E">
            <w:pPr>
              <w:spacing w:line="240" w:lineRule="auto"/>
              <w:ind w:firstLine="0" w:firstLineChars="0"/>
              <w:jc w:val="center"/>
              <w:rPr>
                <w:color w:val="auto"/>
                <w:sz w:val="21"/>
                <w:szCs w:val="21"/>
                <w:highlight w:val="none"/>
              </w:rPr>
            </w:pPr>
            <w:r>
              <w:rPr>
                <w:rFonts w:hint="eastAsia"/>
                <w:color w:val="auto"/>
                <w:sz w:val="21"/>
                <w:szCs w:val="21"/>
                <w:highlight w:val="none"/>
              </w:rPr>
              <w:t>T</w:t>
            </w:r>
            <w:r>
              <w:rPr>
                <w:color w:val="auto"/>
                <w:sz w:val="21"/>
                <w:szCs w:val="21"/>
                <w:highlight w:val="none"/>
              </w:rPr>
              <w:t xml:space="preserve">VOC </w:t>
            </w:r>
          </w:p>
        </w:tc>
        <w:tc>
          <w:tcPr>
            <w:tcW w:w="771" w:type="pct"/>
            <w:tcBorders>
              <w:tl2br w:val="nil"/>
              <w:tr2bl w:val="nil"/>
            </w:tcBorders>
            <w:vAlign w:val="center"/>
          </w:tcPr>
          <w:p w14:paraId="1752056B">
            <w:pPr>
              <w:spacing w:line="240" w:lineRule="auto"/>
              <w:ind w:firstLine="0" w:firstLineChars="0"/>
              <w:jc w:val="center"/>
              <w:rPr>
                <w:color w:val="auto"/>
                <w:sz w:val="21"/>
                <w:szCs w:val="21"/>
                <w:highlight w:val="none"/>
              </w:rPr>
            </w:pPr>
            <w:r>
              <w:rPr>
                <w:color w:val="auto"/>
                <w:sz w:val="21"/>
                <w:szCs w:val="21"/>
                <w:highlight w:val="none"/>
              </w:rPr>
              <w:t>58.86</w:t>
            </w:r>
          </w:p>
        </w:tc>
        <w:tc>
          <w:tcPr>
            <w:tcW w:w="1134" w:type="pct"/>
            <w:tcBorders>
              <w:tl2br w:val="nil"/>
              <w:tr2bl w:val="nil"/>
            </w:tcBorders>
            <w:vAlign w:val="center"/>
          </w:tcPr>
          <w:p w14:paraId="40A68A0D">
            <w:pPr>
              <w:spacing w:line="240" w:lineRule="auto"/>
              <w:ind w:firstLine="0" w:firstLineChars="0"/>
              <w:jc w:val="center"/>
              <w:rPr>
                <w:color w:val="auto"/>
                <w:sz w:val="21"/>
                <w:szCs w:val="21"/>
                <w:highlight w:val="none"/>
              </w:rPr>
            </w:pPr>
            <w:r>
              <w:rPr>
                <w:color w:val="auto"/>
                <w:sz w:val="21"/>
                <w:szCs w:val="21"/>
                <w:highlight w:val="none"/>
              </w:rPr>
              <w:t>9.81</w:t>
            </w:r>
          </w:p>
        </w:tc>
        <w:tc>
          <w:tcPr>
            <w:tcW w:w="694" w:type="pct"/>
            <w:vMerge w:val="continue"/>
            <w:tcBorders>
              <w:tl2br w:val="nil"/>
              <w:tr2bl w:val="nil"/>
            </w:tcBorders>
            <w:vAlign w:val="center"/>
          </w:tcPr>
          <w:p w14:paraId="500AE6B2">
            <w:pPr>
              <w:tabs>
                <w:tab w:val="left" w:pos="1021"/>
                <w:tab w:val="left" w:pos="2796"/>
              </w:tabs>
              <w:spacing w:line="240" w:lineRule="auto"/>
              <w:ind w:firstLine="0" w:firstLineChars="0"/>
              <w:jc w:val="center"/>
              <w:rPr>
                <w:color w:val="auto"/>
                <w:sz w:val="21"/>
                <w:szCs w:val="21"/>
                <w:highlight w:val="none"/>
              </w:rPr>
            </w:pPr>
          </w:p>
        </w:tc>
        <w:tc>
          <w:tcPr>
            <w:tcW w:w="981" w:type="pct"/>
            <w:vMerge w:val="continue"/>
            <w:tcBorders>
              <w:tl2br w:val="nil"/>
              <w:tr2bl w:val="nil"/>
            </w:tcBorders>
            <w:vAlign w:val="center"/>
          </w:tcPr>
          <w:p w14:paraId="4D410990">
            <w:pPr>
              <w:tabs>
                <w:tab w:val="left" w:pos="1021"/>
                <w:tab w:val="left" w:pos="2796"/>
              </w:tabs>
              <w:spacing w:line="240" w:lineRule="auto"/>
              <w:ind w:firstLine="0" w:firstLineChars="0"/>
              <w:jc w:val="center"/>
              <w:rPr>
                <w:color w:val="auto"/>
                <w:sz w:val="21"/>
                <w:szCs w:val="21"/>
                <w:highlight w:val="none"/>
              </w:rPr>
            </w:pPr>
          </w:p>
        </w:tc>
      </w:tr>
      <w:tr w14:paraId="58D79A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830" w:type="pct"/>
            <w:vMerge w:val="continue"/>
            <w:tcBorders>
              <w:tl2br w:val="nil"/>
              <w:tr2bl w:val="nil"/>
            </w:tcBorders>
            <w:vAlign w:val="center"/>
          </w:tcPr>
          <w:p w14:paraId="77277F1E">
            <w:pPr>
              <w:tabs>
                <w:tab w:val="left" w:pos="1021"/>
              </w:tabs>
              <w:spacing w:line="240" w:lineRule="auto"/>
              <w:ind w:right="-108" w:firstLine="0" w:firstLineChars="0"/>
              <w:jc w:val="center"/>
              <w:rPr>
                <w:color w:val="auto"/>
                <w:sz w:val="21"/>
                <w:szCs w:val="21"/>
                <w:highlight w:val="none"/>
              </w:rPr>
            </w:pPr>
          </w:p>
        </w:tc>
        <w:tc>
          <w:tcPr>
            <w:tcW w:w="587" w:type="pct"/>
            <w:tcBorders>
              <w:tl2br w:val="nil"/>
              <w:tr2bl w:val="nil"/>
            </w:tcBorders>
            <w:vAlign w:val="center"/>
          </w:tcPr>
          <w:p w14:paraId="4144AC84">
            <w:pPr>
              <w:spacing w:line="240" w:lineRule="auto"/>
              <w:ind w:firstLine="0" w:firstLineChars="0"/>
              <w:jc w:val="center"/>
              <w:rPr>
                <w:color w:val="auto"/>
                <w:sz w:val="21"/>
                <w:szCs w:val="21"/>
                <w:highlight w:val="none"/>
              </w:rPr>
            </w:pPr>
            <w:r>
              <w:rPr>
                <w:color w:val="auto"/>
                <w:sz w:val="21"/>
                <w:szCs w:val="21"/>
                <w:highlight w:val="none"/>
              </w:rPr>
              <w:t>二甲苯</w:t>
            </w:r>
          </w:p>
        </w:tc>
        <w:tc>
          <w:tcPr>
            <w:tcW w:w="771" w:type="pct"/>
            <w:tcBorders>
              <w:tl2br w:val="nil"/>
              <w:tr2bl w:val="nil"/>
            </w:tcBorders>
            <w:vAlign w:val="center"/>
          </w:tcPr>
          <w:p w14:paraId="029B1F4B">
            <w:pPr>
              <w:spacing w:line="240" w:lineRule="auto"/>
              <w:ind w:firstLine="0" w:firstLineChars="0"/>
              <w:jc w:val="center"/>
              <w:rPr>
                <w:color w:val="auto"/>
                <w:sz w:val="21"/>
                <w:szCs w:val="21"/>
                <w:highlight w:val="none"/>
              </w:rPr>
            </w:pPr>
            <w:r>
              <w:rPr>
                <w:color w:val="auto"/>
                <w:sz w:val="21"/>
                <w:szCs w:val="21"/>
                <w:highlight w:val="none"/>
              </w:rPr>
              <w:t>14.71</w:t>
            </w:r>
          </w:p>
        </w:tc>
        <w:tc>
          <w:tcPr>
            <w:tcW w:w="1134" w:type="pct"/>
            <w:tcBorders>
              <w:tl2br w:val="nil"/>
              <w:tr2bl w:val="nil"/>
            </w:tcBorders>
            <w:vAlign w:val="center"/>
          </w:tcPr>
          <w:p w14:paraId="140C43D6">
            <w:pPr>
              <w:spacing w:line="240" w:lineRule="auto"/>
              <w:ind w:firstLine="0" w:firstLineChars="0"/>
              <w:jc w:val="center"/>
              <w:rPr>
                <w:color w:val="auto"/>
                <w:sz w:val="21"/>
                <w:szCs w:val="21"/>
                <w:highlight w:val="none"/>
              </w:rPr>
            </w:pPr>
            <w:r>
              <w:rPr>
                <w:color w:val="auto"/>
                <w:sz w:val="21"/>
                <w:szCs w:val="21"/>
                <w:highlight w:val="none"/>
              </w:rPr>
              <w:t>2.45</w:t>
            </w:r>
          </w:p>
        </w:tc>
        <w:tc>
          <w:tcPr>
            <w:tcW w:w="694" w:type="pct"/>
            <w:vMerge w:val="continue"/>
            <w:tcBorders>
              <w:tl2br w:val="nil"/>
              <w:tr2bl w:val="nil"/>
            </w:tcBorders>
            <w:vAlign w:val="center"/>
          </w:tcPr>
          <w:p w14:paraId="35931614">
            <w:pPr>
              <w:tabs>
                <w:tab w:val="left" w:pos="1021"/>
                <w:tab w:val="left" w:pos="2796"/>
              </w:tabs>
              <w:spacing w:line="240" w:lineRule="auto"/>
              <w:ind w:firstLine="0" w:firstLineChars="0"/>
              <w:jc w:val="center"/>
              <w:rPr>
                <w:color w:val="auto"/>
                <w:sz w:val="21"/>
                <w:szCs w:val="21"/>
                <w:highlight w:val="none"/>
              </w:rPr>
            </w:pPr>
          </w:p>
        </w:tc>
        <w:tc>
          <w:tcPr>
            <w:tcW w:w="981" w:type="pct"/>
            <w:vMerge w:val="continue"/>
            <w:tcBorders>
              <w:tl2br w:val="nil"/>
              <w:tr2bl w:val="nil"/>
            </w:tcBorders>
            <w:vAlign w:val="center"/>
          </w:tcPr>
          <w:p w14:paraId="66C2C39F">
            <w:pPr>
              <w:tabs>
                <w:tab w:val="left" w:pos="1021"/>
                <w:tab w:val="left" w:pos="2796"/>
              </w:tabs>
              <w:spacing w:line="240" w:lineRule="auto"/>
              <w:ind w:firstLine="0" w:firstLineChars="0"/>
              <w:jc w:val="center"/>
              <w:rPr>
                <w:color w:val="auto"/>
                <w:sz w:val="21"/>
                <w:szCs w:val="21"/>
                <w:highlight w:val="none"/>
              </w:rPr>
            </w:pPr>
          </w:p>
        </w:tc>
      </w:tr>
    </w:tbl>
    <w:p w14:paraId="623FD480">
      <w:pPr>
        <w:ind w:firstLine="482"/>
        <w:rPr>
          <w:b/>
          <w:color w:val="auto"/>
          <w:szCs w:val="20"/>
          <w:highlight w:val="none"/>
        </w:rPr>
      </w:pPr>
    </w:p>
    <w:p w14:paraId="45C81268">
      <w:pPr>
        <w:ind w:firstLine="482"/>
        <w:rPr>
          <w:b/>
          <w:color w:val="auto"/>
          <w:szCs w:val="20"/>
          <w:highlight w:val="none"/>
        </w:rPr>
      </w:pPr>
      <w:r>
        <w:rPr>
          <w:b/>
          <w:color w:val="auto"/>
          <w:szCs w:val="20"/>
          <w:highlight w:val="none"/>
        </w:rPr>
        <w:t>（2）除锈过程产生粉尘</w:t>
      </w:r>
    </w:p>
    <w:p w14:paraId="27770CCE">
      <w:pPr>
        <w:ind w:firstLine="480"/>
        <w:rPr>
          <w:color w:val="auto"/>
          <w:szCs w:val="20"/>
          <w:highlight w:val="none"/>
        </w:rPr>
      </w:pPr>
      <w:r>
        <w:rPr>
          <w:color w:val="auto"/>
          <w:szCs w:val="20"/>
          <w:highlight w:val="none"/>
        </w:rPr>
        <w:t>船舶除锈过程会产生粉尘，主要来自对船体维修部位进行的传统喷砂除锈作业，主要污染因子为颗粒物。本项目船舶修理喷砂除锈作业喷砂采用的砂料为铜矿砂。</w:t>
      </w:r>
      <w:r>
        <w:rPr>
          <w:rFonts w:hint="eastAsia"/>
          <w:color w:val="auto"/>
          <w:szCs w:val="20"/>
          <w:highlight w:val="none"/>
        </w:rPr>
        <w:t>由于船坞为露天设置，因此喷砂过程无法对废气进行收集处理，喷砂</w:t>
      </w:r>
      <w:r>
        <w:rPr>
          <w:color w:val="auto"/>
          <w:szCs w:val="20"/>
          <w:highlight w:val="none"/>
        </w:rPr>
        <w:t>作业过程中铜矿砂在气流的带动下冲击物件表面形成大量的粉尘，粉尘在船坞内经坞壁遮挡和自然沉降后呈无组织形式排放。项目设有2台真空吸砂机回收铜矿砂，</w:t>
      </w:r>
      <w:r>
        <w:rPr>
          <w:rFonts w:hint="eastAsia"/>
          <w:color w:val="auto"/>
          <w:szCs w:val="20"/>
          <w:highlight w:val="none"/>
        </w:rPr>
        <w:t>对喷砂过程散落的</w:t>
      </w:r>
      <w:r>
        <w:rPr>
          <w:color w:val="auto"/>
          <w:szCs w:val="20"/>
          <w:highlight w:val="none"/>
        </w:rPr>
        <w:t>铜矿砂和部分粉尘吸到吸管中，经尘砂分离之后，可再次利用的研磨剂储存到储砂罐中，颗粒以及粉尘经软管后进入过滤箱，经除尘器过滤后排入大气。修船项目粉尘产生量一般在铜矿砂消耗量的1‰。项目年消耗铜矿砂3600t/a，项目年产生粉尘量为3.6t/a。</w:t>
      </w:r>
    </w:p>
    <w:p w14:paraId="1D32F954">
      <w:pPr>
        <w:ind w:firstLine="480"/>
        <w:rPr>
          <w:color w:val="auto"/>
          <w:szCs w:val="20"/>
          <w:highlight w:val="none"/>
        </w:rPr>
      </w:pPr>
      <w:r>
        <w:rPr>
          <w:color w:val="auto"/>
          <w:szCs w:val="20"/>
          <w:highlight w:val="none"/>
        </w:rPr>
        <w:t>项目修船铁锈、漆皮产生量约60t/a，修船铁锈、漆皮大部分沉降在船坞内或附近，少量铁锈、漆皮尘发散在空气中与铜矿砂粉尘，通过船坞鼓风机通风无组织排放。铁锈、漆皮尘产生量按铁锈、漆皮产生量的2‰计，则年产生粉尘量为0.12t/a。</w:t>
      </w:r>
    </w:p>
    <w:p w14:paraId="4793D1B9">
      <w:pPr>
        <w:ind w:firstLine="480"/>
        <w:rPr>
          <w:color w:val="auto"/>
          <w:szCs w:val="20"/>
          <w:highlight w:val="none"/>
        </w:rPr>
      </w:pPr>
      <w:r>
        <w:rPr>
          <w:color w:val="auto"/>
          <w:szCs w:val="20"/>
          <w:highlight w:val="none"/>
        </w:rPr>
        <w:t>故船坞喷砂除锈作业过程无组织粉尘排放量为3.72t/a。全年喷砂作业1500h，船坞无组织粉尘的排放速率为2.48kg/h。</w:t>
      </w:r>
    </w:p>
    <w:p w14:paraId="0CE1879E">
      <w:pPr>
        <w:ind w:firstLine="482"/>
        <w:rPr>
          <w:b/>
          <w:color w:val="auto"/>
          <w:szCs w:val="20"/>
          <w:highlight w:val="none"/>
        </w:rPr>
      </w:pPr>
      <w:r>
        <w:rPr>
          <w:b/>
          <w:color w:val="auto"/>
          <w:szCs w:val="20"/>
          <w:highlight w:val="none"/>
        </w:rPr>
        <w:t>（3）焊接烟尘</w:t>
      </w:r>
    </w:p>
    <w:p w14:paraId="431C70F8">
      <w:pPr>
        <w:ind w:firstLine="480"/>
        <w:rPr>
          <w:color w:val="auto"/>
          <w:szCs w:val="20"/>
          <w:highlight w:val="none"/>
        </w:rPr>
      </w:pPr>
      <w:r>
        <w:rPr>
          <w:color w:val="auto"/>
          <w:szCs w:val="20"/>
          <w:highlight w:val="none"/>
        </w:rPr>
        <w:t>焊接是船舶制造的主要作业之一，涉及的焊接方式也较多，主要有二氧化碳气体保护焊、手工电弧焊，还有氢弧焊等。焊接过程中会产生焊接烟气，焊接烟尘的排放，取决于焊丝和焊接母材的的材质，其中主要取决于焊丝的材质。不同材质的焊丝和焊接不同的材料，其排放烟尘的成分及浓度是不同的，同一种焊接设备，可以选用不同材料不同规格的焊丝。焊接烟气中的烟尘是一种十分复杂的物质，</w:t>
      </w:r>
      <w:r>
        <w:rPr>
          <w:rFonts w:hint="eastAsia"/>
          <w:color w:val="auto"/>
          <w:szCs w:val="20"/>
          <w:highlight w:val="none"/>
          <w:lang w:eastAsia="zh-CN"/>
        </w:rPr>
        <w:t>已</w:t>
      </w:r>
      <w:r>
        <w:rPr>
          <w:color w:val="auto"/>
          <w:szCs w:val="20"/>
          <w:highlight w:val="none"/>
        </w:rPr>
        <w:t>在烟尘中发现的元素多达20种以上，其中含量最多的是Fe、Ca、Na等，其次是Si、Al、Mn、Ti、Cu等。焊接烟尘中的主要有害物质为Fe</w:t>
      </w:r>
      <w:r>
        <w:rPr>
          <w:color w:val="auto"/>
          <w:szCs w:val="20"/>
          <w:highlight w:val="none"/>
          <w:vertAlign w:val="subscript"/>
        </w:rPr>
        <w:t>2</w:t>
      </w:r>
      <w:r>
        <w:rPr>
          <w:color w:val="auto"/>
          <w:szCs w:val="20"/>
          <w:highlight w:val="none"/>
        </w:rPr>
        <w:t>O</w:t>
      </w:r>
      <w:r>
        <w:rPr>
          <w:color w:val="auto"/>
          <w:szCs w:val="20"/>
          <w:highlight w:val="none"/>
          <w:vertAlign w:val="subscript"/>
        </w:rPr>
        <w:t>3</w:t>
      </w:r>
      <w:r>
        <w:rPr>
          <w:color w:val="auto"/>
          <w:szCs w:val="20"/>
          <w:highlight w:val="none"/>
        </w:rPr>
        <w:t>、SiO</w:t>
      </w:r>
      <w:r>
        <w:rPr>
          <w:color w:val="auto"/>
          <w:szCs w:val="20"/>
          <w:highlight w:val="none"/>
          <w:vertAlign w:val="subscript"/>
        </w:rPr>
        <w:t>2</w:t>
      </w:r>
      <w:r>
        <w:rPr>
          <w:color w:val="auto"/>
          <w:szCs w:val="20"/>
          <w:highlight w:val="none"/>
        </w:rPr>
        <w:t>、MnO、HF等，其中含量最多的为Fe</w:t>
      </w:r>
      <w:r>
        <w:rPr>
          <w:color w:val="auto"/>
          <w:szCs w:val="20"/>
          <w:highlight w:val="none"/>
          <w:vertAlign w:val="subscript"/>
        </w:rPr>
        <w:t>2</w:t>
      </w:r>
      <w:r>
        <w:rPr>
          <w:color w:val="auto"/>
          <w:szCs w:val="20"/>
          <w:highlight w:val="none"/>
        </w:rPr>
        <w:t>O</w:t>
      </w:r>
      <w:r>
        <w:rPr>
          <w:color w:val="auto"/>
          <w:szCs w:val="20"/>
          <w:highlight w:val="none"/>
          <w:vertAlign w:val="subscript"/>
        </w:rPr>
        <w:t>3</w:t>
      </w:r>
      <w:r>
        <w:rPr>
          <w:color w:val="auto"/>
          <w:szCs w:val="20"/>
          <w:highlight w:val="none"/>
        </w:rPr>
        <w:t>，一般占烟尘总量的35.56%，其次是SiO</w:t>
      </w:r>
      <w:r>
        <w:rPr>
          <w:color w:val="auto"/>
          <w:szCs w:val="20"/>
          <w:highlight w:val="none"/>
          <w:vertAlign w:val="subscript"/>
        </w:rPr>
        <w:t>2</w:t>
      </w:r>
      <w:r>
        <w:rPr>
          <w:color w:val="auto"/>
          <w:szCs w:val="20"/>
          <w:highlight w:val="none"/>
        </w:rPr>
        <w:t>，其含量占10%~20% ，MnO占5%~20%左右。焊接烟气中有毒有害气体的成份主要为CO、CO</w:t>
      </w:r>
      <w:r>
        <w:rPr>
          <w:color w:val="auto"/>
          <w:szCs w:val="20"/>
          <w:highlight w:val="none"/>
          <w:vertAlign w:val="subscript"/>
        </w:rPr>
        <w:t>2</w:t>
      </w:r>
      <w:r>
        <w:rPr>
          <w:color w:val="auto"/>
          <w:szCs w:val="20"/>
          <w:highlight w:val="none"/>
        </w:rPr>
        <w:t>、O</w:t>
      </w:r>
      <w:r>
        <w:rPr>
          <w:color w:val="auto"/>
          <w:szCs w:val="20"/>
          <w:highlight w:val="none"/>
          <w:vertAlign w:val="subscript"/>
        </w:rPr>
        <w:t>3</w:t>
      </w:r>
      <w:r>
        <w:rPr>
          <w:color w:val="auto"/>
          <w:szCs w:val="20"/>
          <w:highlight w:val="none"/>
        </w:rPr>
        <w:t>、NO</w:t>
      </w:r>
      <w:r>
        <w:rPr>
          <w:color w:val="auto"/>
          <w:szCs w:val="20"/>
          <w:highlight w:val="none"/>
          <w:vertAlign w:val="subscript"/>
        </w:rPr>
        <w:t>X</w:t>
      </w:r>
      <w:r>
        <w:rPr>
          <w:color w:val="auto"/>
          <w:szCs w:val="20"/>
          <w:highlight w:val="none"/>
        </w:rPr>
        <w:t>、CH</w:t>
      </w:r>
      <w:r>
        <w:rPr>
          <w:color w:val="auto"/>
          <w:szCs w:val="20"/>
          <w:highlight w:val="none"/>
          <w:vertAlign w:val="subscript"/>
        </w:rPr>
        <w:t>4</w:t>
      </w:r>
      <w:r>
        <w:rPr>
          <w:color w:val="auto"/>
          <w:szCs w:val="20"/>
          <w:highlight w:val="none"/>
        </w:rPr>
        <w:t>等，其中以CO所占的比例最大。由于有毒有害气体产生量不大，且气体成份复杂，较难定量化，本环评仅作定性分析，而对焊接烟尘则作定量化分析。</w:t>
      </w:r>
    </w:p>
    <w:p w14:paraId="3526B941">
      <w:pPr>
        <w:pStyle w:val="1553"/>
        <w:adjustRightInd w:val="0"/>
        <w:snapToGrid w:val="0"/>
        <w:spacing w:line="360" w:lineRule="auto"/>
        <w:rPr>
          <w:rFonts w:ascii="Times New Roman" w:hAnsi="Times New Roman"/>
          <w:color w:val="auto"/>
          <w:sz w:val="24"/>
          <w:highlight w:val="none"/>
          <w:u w:val="single"/>
        </w:rPr>
      </w:pPr>
      <w:r>
        <w:rPr>
          <w:rFonts w:ascii="Times New Roman" w:hAnsi="Times New Roman"/>
          <w:color w:val="auto"/>
          <w:kern w:val="0"/>
          <w:sz w:val="24"/>
          <w:highlight w:val="none"/>
          <w:u w:val="single"/>
        </w:rPr>
        <w:t>焊接过程中产生焊接烟气的排放点位很多，一般在浮船坞、船体和机电综合车间管子工场、钳工等处。浮船坞内焊接在室外完成，属无组织排放，主要污染因子为烟尘、CO。</w:t>
      </w:r>
      <w:r>
        <w:rPr>
          <w:rFonts w:ascii="Times New Roman" w:hAnsi="Times New Roman"/>
          <w:color w:val="auto"/>
          <w:sz w:val="24"/>
          <w:highlight w:val="none"/>
          <w:u w:val="single"/>
        </w:rPr>
        <w:t>本项目焊接的方式包括二氧化碳气体保护焊、手工电弧焊，根据业主提供的资料，</w:t>
      </w:r>
      <w:r>
        <w:rPr>
          <w:rFonts w:ascii="Times New Roman" w:hAnsi="Times New Roman"/>
          <w:color w:val="auto"/>
          <w:kern w:val="0"/>
          <w:sz w:val="24"/>
          <w:highlight w:val="none"/>
          <w:u w:val="single"/>
        </w:rPr>
        <w:t>浮船坞内焊材的消耗量为30t/a，</w:t>
      </w:r>
      <w:r>
        <w:rPr>
          <w:rFonts w:ascii="Times New Roman" w:hAnsi="Times New Roman"/>
          <w:color w:val="auto"/>
          <w:sz w:val="24"/>
          <w:highlight w:val="none"/>
          <w:u w:val="single"/>
        </w:rPr>
        <w:t>两种焊接方式所用焊材量分别为20t/a、10t/a，焊接烟尘产生量参照许海萍编写的《机加工行业环境影响评价中常见污染物源强估算及污染治理》中焊接发尘量，</w:t>
      </w:r>
      <w:r>
        <w:rPr>
          <w:rFonts w:hint="eastAsia" w:ascii="Times New Roman" w:hAnsi="Times New Roman"/>
          <w:color w:val="auto"/>
          <w:sz w:val="24"/>
          <w:highlight w:val="none"/>
          <w:u w:val="single"/>
        </w:rPr>
        <w:t>不同</w:t>
      </w:r>
      <w:r>
        <w:rPr>
          <w:rFonts w:ascii="Times New Roman" w:hAnsi="Times New Roman"/>
          <w:color w:val="auto"/>
          <w:sz w:val="24"/>
          <w:highlight w:val="none"/>
          <w:u w:val="single"/>
        </w:rPr>
        <w:t>焊接方法的发尘量见下表：</w:t>
      </w:r>
    </w:p>
    <w:p w14:paraId="299DC051">
      <w:pPr>
        <w:pStyle w:val="38"/>
        <w:spacing w:after="0" w:line="240" w:lineRule="auto"/>
        <w:ind w:firstLine="0" w:firstLineChars="0"/>
        <w:jc w:val="center"/>
        <w:rPr>
          <w:b/>
          <w:color w:val="auto"/>
          <w:sz w:val="21"/>
          <w:szCs w:val="21"/>
          <w:highlight w:val="none"/>
          <w:u w:val="single"/>
        </w:rPr>
      </w:pPr>
      <w:r>
        <w:rPr>
          <w:rFonts w:hint="eastAsia"/>
          <w:b/>
          <w:color w:val="auto"/>
          <w:sz w:val="21"/>
          <w:szCs w:val="21"/>
          <w:highlight w:val="none"/>
          <w:u w:val="single"/>
        </w:rPr>
        <w:t>表2.4-7不同焊接方式的发尘量</w:t>
      </w:r>
    </w:p>
    <w:tbl>
      <w:tblPr>
        <w:tblStyle w:val="9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27"/>
        <w:gridCol w:w="3256"/>
        <w:gridCol w:w="3599"/>
      </w:tblGrid>
      <w:tr w14:paraId="0E229B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7" w:type="pct"/>
            <w:tcBorders>
              <w:tl2br w:val="nil"/>
              <w:tr2bl w:val="nil"/>
            </w:tcBorders>
            <w:vAlign w:val="center"/>
          </w:tcPr>
          <w:p w14:paraId="23E7A4C4">
            <w:pPr>
              <w:tabs>
                <w:tab w:val="left" w:pos="1021"/>
              </w:tabs>
              <w:spacing w:line="240" w:lineRule="auto"/>
              <w:ind w:right="-108" w:firstLine="0" w:firstLineChars="0"/>
              <w:jc w:val="center"/>
              <w:rPr>
                <w:b/>
                <w:bCs/>
                <w:color w:val="auto"/>
                <w:sz w:val="21"/>
                <w:szCs w:val="21"/>
                <w:highlight w:val="none"/>
                <w:u w:val="single"/>
              </w:rPr>
            </w:pPr>
            <w:r>
              <w:rPr>
                <w:rFonts w:hint="eastAsia"/>
                <w:b/>
                <w:bCs/>
                <w:color w:val="auto"/>
                <w:sz w:val="21"/>
                <w:szCs w:val="21"/>
                <w:highlight w:val="none"/>
                <w:u w:val="single"/>
              </w:rPr>
              <w:t>焊接方法</w:t>
            </w:r>
          </w:p>
        </w:tc>
        <w:tc>
          <w:tcPr>
            <w:tcW w:w="1753" w:type="pct"/>
            <w:tcBorders>
              <w:tl2br w:val="nil"/>
              <w:tr2bl w:val="nil"/>
            </w:tcBorders>
            <w:vAlign w:val="center"/>
          </w:tcPr>
          <w:p w14:paraId="08A8B5AB">
            <w:pPr>
              <w:tabs>
                <w:tab w:val="left" w:pos="1021"/>
              </w:tabs>
              <w:spacing w:line="240" w:lineRule="auto"/>
              <w:ind w:right="-108" w:firstLine="0" w:firstLineChars="0"/>
              <w:jc w:val="center"/>
              <w:rPr>
                <w:b/>
                <w:bCs/>
                <w:color w:val="auto"/>
                <w:sz w:val="21"/>
                <w:szCs w:val="21"/>
                <w:highlight w:val="none"/>
                <w:u w:val="single"/>
              </w:rPr>
            </w:pPr>
            <w:r>
              <w:rPr>
                <w:rFonts w:hint="eastAsia"/>
                <w:b/>
                <w:bCs/>
                <w:color w:val="auto"/>
                <w:sz w:val="21"/>
                <w:szCs w:val="21"/>
                <w:highlight w:val="none"/>
                <w:u w:val="single"/>
              </w:rPr>
              <w:t>焊接材料</w:t>
            </w:r>
          </w:p>
        </w:tc>
        <w:tc>
          <w:tcPr>
            <w:tcW w:w="1938" w:type="pct"/>
            <w:tcBorders>
              <w:tl2br w:val="nil"/>
              <w:tr2bl w:val="nil"/>
            </w:tcBorders>
            <w:vAlign w:val="center"/>
          </w:tcPr>
          <w:p w14:paraId="4B4E1904">
            <w:pPr>
              <w:tabs>
                <w:tab w:val="left" w:pos="1021"/>
              </w:tabs>
              <w:spacing w:line="240" w:lineRule="auto"/>
              <w:ind w:right="-108" w:firstLine="0" w:firstLineChars="0"/>
              <w:jc w:val="center"/>
              <w:rPr>
                <w:b/>
                <w:bCs/>
                <w:color w:val="auto"/>
                <w:sz w:val="21"/>
                <w:szCs w:val="21"/>
                <w:highlight w:val="none"/>
                <w:u w:val="single"/>
              </w:rPr>
            </w:pPr>
            <w:r>
              <w:rPr>
                <w:rFonts w:hint="eastAsia"/>
                <w:b/>
                <w:bCs/>
                <w:color w:val="auto"/>
                <w:sz w:val="21"/>
                <w:szCs w:val="21"/>
                <w:highlight w:val="none"/>
                <w:u w:val="single"/>
              </w:rPr>
              <w:t>焊接材料的发尘量（g/kg）</w:t>
            </w:r>
          </w:p>
        </w:tc>
      </w:tr>
      <w:tr w14:paraId="7454CE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7" w:type="pct"/>
            <w:tcBorders>
              <w:tl2br w:val="nil"/>
              <w:tr2bl w:val="nil"/>
            </w:tcBorders>
            <w:vAlign w:val="center"/>
          </w:tcPr>
          <w:p w14:paraId="60B9158D">
            <w:pPr>
              <w:tabs>
                <w:tab w:val="left" w:pos="1021"/>
              </w:tabs>
              <w:spacing w:line="240" w:lineRule="auto"/>
              <w:ind w:right="-108" w:firstLine="0" w:firstLineChars="0"/>
              <w:jc w:val="center"/>
              <w:rPr>
                <w:color w:val="auto"/>
                <w:sz w:val="21"/>
                <w:szCs w:val="21"/>
                <w:highlight w:val="none"/>
                <w:u w:val="single"/>
              </w:rPr>
            </w:pPr>
            <w:r>
              <w:rPr>
                <w:rFonts w:hint="eastAsia"/>
                <w:color w:val="auto"/>
                <w:sz w:val="21"/>
                <w:szCs w:val="21"/>
                <w:highlight w:val="none"/>
                <w:u w:val="single"/>
              </w:rPr>
              <w:t>二氧化碳气体保护焊</w:t>
            </w:r>
          </w:p>
        </w:tc>
        <w:tc>
          <w:tcPr>
            <w:tcW w:w="1753" w:type="pct"/>
            <w:tcBorders>
              <w:tl2br w:val="nil"/>
              <w:tr2bl w:val="nil"/>
            </w:tcBorders>
            <w:vAlign w:val="center"/>
          </w:tcPr>
          <w:p w14:paraId="377CA68D">
            <w:pPr>
              <w:tabs>
                <w:tab w:val="left" w:pos="1021"/>
              </w:tabs>
              <w:spacing w:line="240" w:lineRule="auto"/>
              <w:ind w:right="-108" w:firstLine="0" w:firstLineChars="0"/>
              <w:jc w:val="center"/>
              <w:rPr>
                <w:color w:val="auto"/>
                <w:sz w:val="21"/>
                <w:szCs w:val="21"/>
                <w:highlight w:val="none"/>
                <w:u w:val="single"/>
              </w:rPr>
            </w:pPr>
            <w:r>
              <w:rPr>
                <w:rFonts w:hint="eastAsia"/>
                <w:color w:val="auto"/>
                <w:sz w:val="21"/>
                <w:szCs w:val="21"/>
                <w:highlight w:val="none"/>
                <w:u w:val="single"/>
              </w:rPr>
              <w:t>药芯焊丝</w:t>
            </w:r>
          </w:p>
        </w:tc>
        <w:tc>
          <w:tcPr>
            <w:tcW w:w="1938" w:type="pct"/>
            <w:tcBorders>
              <w:tl2br w:val="nil"/>
              <w:tr2bl w:val="nil"/>
            </w:tcBorders>
            <w:vAlign w:val="center"/>
          </w:tcPr>
          <w:p w14:paraId="440E5161">
            <w:pPr>
              <w:tabs>
                <w:tab w:val="left" w:pos="1021"/>
              </w:tabs>
              <w:spacing w:line="240" w:lineRule="auto"/>
              <w:ind w:right="-108" w:firstLine="0" w:firstLineChars="0"/>
              <w:jc w:val="center"/>
              <w:rPr>
                <w:color w:val="auto"/>
                <w:sz w:val="21"/>
                <w:szCs w:val="21"/>
                <w:highlight w:val="none"/>
                <w:u w:val="single"/>
              </w:rPr>
            </w:pPr>
            <w:r>
              <w:rPr>
                <w:rFonts w:hint="eastAsia"/>
                <w:color w:val="auto"/>
                <w:sz w:val="21"/>
                <w:szCs w:val="21"/>
                <w:highlight w:val="none"/>
                <w:u w:val="single"/>
              </w:rPr>
              <w:t>7~10</w:t>
            </w:r>
          </w:p>
        </w:tc>
      </w:tr>
      <w:tr w14:paraId="79773B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7" w:type="pct"/>
            <w:tcBorders>
              <w:tl2br w:val="nil"/>
              <w:tr2bl w:val="nil"/>
            </w:tcBorders>
            <w:vAlign w:val="center"/>
          </w:tcPr>
          <w:p w14:paraId="7474A44C">
            <w:pPr>
              <w:tabs>
                <w:tab w:val="left" w:pos="1021"/>
              </w:tabs>
              <w:spacing w:line="240" w:lineRule="auto"/>
              <w:ind w:right="-108" w:firstLine="0" w:firstLineChars="0"/>
              <w:jc w:val="center"/>
              <w:rPr>
                <w:color w:val="auto"/>
                <w:sz w:val="21"/>
                <w:szCs w:val="21"/>
                <w:highlight w:val="none"/>
                <w:u w:val="single"/>
              </w:rPr>
            </w:pPr>
            <w:r>
              <w:rPr>
                <w:rFonts w:hint="eastAsia"/>
                <w:color w:val="auto"/>
                <w:sz w:val="21"/>
                <w:szCs w:val="21"/>
                <w:highlight w:val="none"/>
                <w:u w:val="single"/>
              </w:rPr>
              <w:t>手工电弧焊</w:t>
            </w:r>
          </w:p>
        </w:tc>
        <w:tc>
          <w:tcPr>
            <w:tcW w:w="1753" w:type="pct"/>
            <w:tcBorders>
              <w:tl2br w:val="nil"/>
              <w:tr2bl w:val="nil"/>
            </w:tcBorders>
            <w:vAlign w:val="center"/>
          </w:tcPr>
          <w:p w14:paraId="39CFEF6C">
            <w:pPr>
              <w:tabs>
                <w:tab w:val="left" w:pos="1021"/>
              </w:tabs>
              <w:spacing w:line="240" w:lineRule="auto"/>
              <w:ind w:right="-108" w:firstLine="0" w:firstLineChars="0"/>
              <w:jc w:val="center"/>
              <w:rPr>
                <w:color w:val="auto"/>
                <w:sz w:val="21"/>
                <w:szCs w:val="21"/>
                <w:highlight w:val="none"/>
                <w:u w:val="single"/>
              </w:rPr>
            </w:pPr>
            <w:r>
              <w:rPr>
                <w:rFonts w:hint="eastAsia"/>
                <w:color w:val="auto"/>
                <w:sz w:val="21"/>
                <w:szCs w:val="21"/>
                <w:highlight w:val="none"/>
                <w:u w:val="single"/>
              </w:rPr>
              <w:t>低氢型焊条</w:t>
            </w:r>
          </w:p>
        </w:tc>
        <w:tc>
          <w:tcPr>
            <w:tcW w:w="1938" w:type="pct"/>
            <w:tcBorders>
              <w:tl2br w:val="nil"/>
              <w:tr2bl w:val="nil"/>
            </w:tcBorders>
            <w:vAlign w:val="center"/>
          </w:tcPr>
          <w:p w14:paraId="7920C6CA">
            <w:pPr>
              <w:tabs>
                <w:tab w:val="left" w:pos="1021"/>
              </w:tabs>
              <w:spacing w:line="240" w:lineRule="auto"/>
              <w:ind w:right="-108" w:firstLine="0" w:firstLineChars="0"/>
              <w:jc w:val="center"/>
              <w:rPr>
                <w:color w:val="auto"/>
                <w:sz w:val="21"/>
                <w:szCs w:val="21"/>
                <w:highlight w:val="none"/>
                <w:u w:val="single"/>
              </w:rPr>
            </w:pPr>
            <w:r>
              <w:rPr>
                <w:rFonts w:hint="eastAsia"/>
                <w:color w:val="auto"/>
                <w:sz w:val="21"/>
                <w:szCs w:val="21"/>
                <w:highlight w:val="none"/>
                <w:u w:val="single"/>
              </w:rPr>
              <w:t>11~16</w:t>
            </w:r>
          </w:p>
        </w:tc>
      </w:tr>
    </w:tbl>
    <w:p w14:paraId="6E2AE5FE">
      <w:pPr>
        <w:ind w:firstLine="480"/>
        <w:rPr>
          <w:rFonts w:eastAsiaTheme="minorEastAsia"/>
          <w:color w:val="auto"/>
          <w:highlight w:val="none"/>
          <w:u w:val="single"/>
        </w:rPr>
      </w:pPr>
    </w:p>
    <w:p w14:paraId="7EC62633">
      <w:pPr>
        <w:ind w:firstLine="480"/>
        <w:rPr>
          <w:rFonts w:eastAsiaTheme="minorEastAsia"/>
          <w:color w:val="auto"/>
          <w:highlight w:val="none"/>
          <w:u w:val="single"/>
        </w:rPr>
      </w:pPr>
      <w:r>
        <w:rPr>
          <w:rFonts w:eastAsiaTheme="minorEastAsia"/>
          <w:color w:val="auto"/>
          <w:highlight w:val="none"/>
          <w:u w:val="single"/>
        </w:rPr>
        <w:t>本项目二氧化碳气体保护焊取最大发尘量10g/kg，手工电弧焊取最大发尘量16g/kg，</w:t>
      </w:r>
      <w:r>
        <w:rPr>
          <w:rFonts w:hint="eastAsia"/>
          <w:color w:val="auto"/>
          <w:szCs w:val="20"/>
          <w:highlight w:val="none"/>
          <w:u w:val="single"/>
        </w:rPr>
        <w:t>本项目采用</w:t>
      </w:r>
      <w:r>
        <w:rPr>
          <w:color w:val="auto"/>
          <w:highlight w:val="none"/>
          <w:u w:val="single"/>
        </w:rPr>
        <w:t>配有焊接烟尘净化装置的机器进行焊接</w:t>
      </w:r>
      <w:r>
        <w:rPr>
          <w:rFonts w:hint="eastAsia"/>
          <w:color w:val="auto"/>
          <w:highlight w:val="none"/>
          <w:u w:val="single"/>
        </w:rPr>
        <w:t>，</w:t>
      </w:r>
      <w:r>
        <w:rPr>
          <w:color w:val="auto"/>
          <w:highlight w:val="none"/>
          <w:u w:val="single"/>
        </w:rPr>
        <w:t>可去除80%的焊接烟尘</w:t>
      </w:r>
      <w:r>
        <w:rPr>
          <w:rFonts w:hint="eastAsia" w:eastAsiaTheme="minorEastAsia"/>
          <w:color w:val="auto"/>
          <w:highlight w:val="none"/>
          <w:u w:val="single"/>
        </w:rPr>
        <w:t>，焊接烟尘采用移动式焊接烟尘净化器处理后无组织排放，</w:t>
      </w:r>
      <w:r>
        <w:rPr>
          <w:color w:val="auto"/>
          <w:szCs w:val="20"/>
          <w:highlight w:val="none"/>
          <w:u w:val="single"/>
        </w:rPr>
        <w:t>每天焊接时间</w:t>
      </w:r>
      <w:r>
        <w:rPr>
          <w:rFonts w:hint="eastAsia"/>
          <w:color w:val="auto"/>
          <w:szCs w:val="20"/>
          <w:highlight w:val="none"/>
          <w:u w:val="single"/>
        </w:rPr>
        <w:t>约</w:t>
      </w:r>
      <w:r>
        <w:rPr>
          <w:color w:val="auto"/>
          <w:szCs w:val="20"/>
          <w:highlight w:val="none"/>
          <w:u w:val="single"/>
        </w:rPr>
        <w:t>5h，</w:t>
      </w:r>
      <w:r>
        <w:rPr>
          <w:rFonts w:eastAsiaTheme="minorEastAsia"/>
          <w:color w:val="auto"/>
          <w:highlight w:val="none"/>
          <w:u w:val="single"/>
        </w:rPr>
        <w:t>本项目焊接废气一览表如下：</w:t>
      </w:r>
    </w:p>
    <w:p w14:paraId="12B46625">
      <w:pPr>
        <w:pStyle w:val="38"/>
        <w:spacing w:after="0" w:line="240" w:lineRule="auto"/>
        <w:ind w:firstLine="0" w:firstLineChars="0"/>
        <w:jc w:val="center"/>
        <w:rPr>
          <w:b/>
          <w:color w:val="auto"/>
          <w:sz w:val="21"/>
          <w:szCs w:val="21"/>
          <w:highlight w:val="none"/>
          <w:u w:val="single"/>
        </w:rPr>
      </w:pPr>
      <w:r>
        <w:rPr>
          <w:rFonts w:hint="eastAsia"/>
          <w:b/>
          <w:color w:val="auto"/>
          <w:sz w:val="21"/>
          <w:szCs w:val="21"/>
          <w:highlight w:val="none"/>
          <w:u w:val="single"/>
        </w:rPr>
        <w:t>表2.4-8 焊接废气一览表</w:t>
      </w:r>
    </w:p>
    <w:tbl>
      <w:tblPr>
        <w:tblStyle w:val="93"/>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1"/>
        <w:gridCol w:w="1219"/>
        <w:gridCol w:w="736"/>
        <w:gridCol w:w="719"/>
        <w:gridCol w:w="1258"/>
        <w:gridCol w:w="1362"/>
        <w:gridCol w:w="920"/>
        <w:gridCol w:w="1126"/>
        <w:gridCol w:w="1278"/>
      </w:tblGrid>
      <w:tr w14:paraId="07BF3D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6" w:type="pct"/>
            <w:tcBorders>
              <w:tl2br w:val="nil"/>
              <w:tr2bl w:val="nil"/>
            </w:tcBorders>
            <w:vAlign w:val="center"/>
          </w:tcPr>
          <w:p w14:paraId="2DBF5769">
            <w:pPr>
              <w:spacing w:line="240" w:lineRule="auto"/>
              <w:ind w:left="-72" w:leftChars="-30" w:right="-72" w:rightChars="-30" w:firstLine="0" w:firstLineChars="0"/>
              <w:jc w:val="center"/>
              <w:rPr>
                <w:rFonts w:eastAsiaTheme="minorEastAsia"/>
                <w:b/>
                <w:bCs/>
                <w:color w:val="auto"/>
                <w:sz w:val="21"/>
                <w:szCs w:val="21"/>
                <w:highlight w:val="none"/>
                <w:u w:val="single"/>
              </w:rPr>
            </w:pPr>
            <w:r>
              <w:rPr>
                <w:rFonts w:hint="eastAsia" w:eastAsiaTheme="minorEastAsia"/>
                <w:b/>
                <w:bCs/>
                <w:color w:val="auto"/>
                <w:sz w:val="21"/>
                <w:szCs w:val="21"/>
                <w:highlight w:val="none"/>
                <w:u w:val="single"/>
              </w:rPr>
              <w:t>位置</w:t>
            </w:r>
          </w:p>
        </w:tc>
        <w:tc>
          <w:tcPr>
            <w:tcW w:w="656" w:type="pct"/>
            <w:tcBorders>
              <w:tl2br w:val="nil"/>
              <w:tr2bl w:val="nil"/>
            </w:tcBorders>
            <w:vAlign w:val="center"/>
          </w:tcPr>
          <w:p w14:paraId="208912F1">
            <w:pPr>
              <w:spacing w:line="240" w:lineRule="auto"/>
              <w:ind w:left="-72" w:leftChars="-30" w:right="-72" w:rightChars="-30" w:firstLine="0" w:firstLineChars="0"/>
              <w:jc w:val="center"/>
              <w:rPr>
                <w:rFonts w:eastAsiaTheme="minorEastAsia"/>
                <w:b/>
                <w:bCs/>
                <w:color w:val="auto"/>
                <w:sz w:val="21"/>
                <w:szCs w:val="21"/>
                <w:highlight w:val="none"/>
                <w:u w:val="single"/>
              </w:rPr>
            </w:pPr>
            <w:r>
              <w:rPr>
                <w:rFonts w:eastAsiaTheme="minorEastAsia"/>
                <w:b/>
                <w:bCs/>
                <w:color w:val="auto"/>
                <w:sz w:val="21"/>
                <w:szCs w:val="21"/>
                <w:highlight w:val="none"/>
                <w:u w:val="single"/>
              </w:rPr>
              <w:t>焊接方法</w:t>
            </w:r>
          </w:p>
        </w:tc>
        <w:tc>
          <w:tcPr>
            <w:tcW w:w="396" w:type="pct"/>
            <w:tcBorders>
              <w:tl2br w:val="nil"/>
              <w:tr2bl w:val="nil"/>
            </w:tcBorders>
            <w:vAlign w:val="center"/>
          </w:tcPr>
          <w:p w14:paraId="45A85914">
            <w:pPr>
              <w:spacing w:line="240" w:lineRule="auto"/>
              <w:ind w:left="-72" w:leftChars="-30" w:right="-72" w:rightChars="-30" w:firstLine="0" w:firstLineChars="0"/>
              <w:jc w:val="center"/>
              <w:rPr>
                <w:rFonts w:eastAsiaTheme="minorEastAsia"/>
                <w:b/>
                <w:bCs/>
                <w:color w:val="auto"/>
                <w:sz w:val="21"/>
                <w:szCs w:val="21"/>
                <w:highlight w:val="none"/>
                <w:u w:val="single"/>
              </w:rPr>
            </w:pPr>
            <w:r>
              <w:rPr>
                <w:rFonts w:eastAsiaTheme="minorEastAsia"/>
                <w:b/>
                <w:bCs/>
                <w:color w:val="auto"/>
                <w:sz w:val="21"/>
                <w:szCs w:val="21"/>
                <w:highlight w:val="none"/>
                <w:u w:val="single"/>
              </w:rPr>
              <w:t>污染物类别</w:t>
            </w:r>
          </w:p>
        </w:tc>
        <w:tc>
          <w:tcPr>
            <w:tcW w:w="387" w:type="pct"/>
            <w:tcBorders>
              <w:tl2br w:val="nil"/>
              <w:tr2bl w:val="nil"/>
            </w:tcBorders>
            <w:vAlign w:val="center"/>
          </w:tcPr>
          <w:p w14:paraId="666E3093">
            <w:pPr>
              <w:spacing w:line="240" w:lineRule="auto"/>
              <w:ind w:left="-72" w:leftChars="-30" w:right="-72" w:rightChars="-30" w:firstLine="0" w:firstLineChars="0"/>
              <w:jc w:val="center"/>
              <w:rPr>
                <w:rFonts w:eastAsiaTheme="minorEastAsia"/>
                <w:b/>
                <w:bCs/>
                <w:color w:val="auto"/>
                <w:sz w:val="21"/>
                <w:szCs w:val="21"/>
                <w:highlight w:val="none"/>
                <w:u w:val="single"/>
              </w:rPr>
            </w:pPr>
            <w:r>
              <w:rPr>
                <w:rFonts w:eastAsiaTheme="minorEastAsia"/>
                <w:b/>
                <w:bCs/>
                <w:color w:val="auto"/>
                <w:sz w:val="21"/>
                <w:szCs w:val="21"/>
                <w:highlight w:val="none"/>
                <w:u w:val="single"/>
              </w:rPr>
              <w:t>产生量</w:t>
            </w:r>
            <w:r>
              <w:rPr>
                <w:rFonts w:hint="eastAsia" w:eastAsiaTheme="minorEastAsia"/>
                <w:b/>
                <w:bCs/>
                <w:color w:val="auto"/>
                <w:sz w:val="21"/>
                <w:szCs w:val="21"/>
                <w:highlight w:val="none"/>
                <w:u w:val="single"/>
              </w:rPr>
              <w:t>（t/a）</w:t>
            </w:r>
          </w:p>
        </w:tc>
        <w:tc>
          <w:tcPr>
            <w:tcW w:w="677" w:type="pct"/>
            <w:tcBorders>
              <w:tl2br w:val="nil"/>
              <w:tr2bl w:val="nil"/>
            </w:tcBorders>
            <w:vAlign w:val="center"/>
          </w:tcPr>
          <w:p w14:paraId="2C4A6F37">
            <w:pPr>
              <w:spacing w:line="240" w:lineRule="auto"/>
              <w:ind w:left="-72" w:leftChars="-30" w:right="-72" w:rightChars="-30" w:firstLine="0" w:firstLineChars="0"/>
              <w:jc w:val="center"/>
              <w:rPr>
                <w:rFonts w:eastAsiaTheme="minorEastAsia"/>
                <w:b/>
                <w:bCs/>
                <w:color w:val="auto"/>
                <w:sz w:val="21"/>
                <w:szCs w:val="21"/>
                <w:highlight w:val="none"/>
                <w:u w:val="single"/>
              </w:rPr>
            </w:pPr>
            <w:r>
              <w:rPr>
                <w:rFonts w:hint="eastAsia" w:eastAsiaTheme="minorEastAsia"/>
                <w:b/>
                <w:bCs/>
                <w:color w:val="auto"/>
                <w:sz w:val="21"/>
                <w:szCs w:val="21"/>
                <w:highlight w:val="none"/>
                <w:u w:val="single"/>
              </w:rPr>
              <w:t>焊接烟尘产生量（t/a）</w:t>
            </w:r>
          </w:p>
        </w:tc>
        <w:tc>
          <w:tcPr>
            <w:tcW w:w="733" w:type="pct"/>
            <w:tcBorders>
              <w:tl2br w:val="nil"/>
              <w:tr2bl w:val="nil"/>
            </w:tcBorders>
            <w:vAlign w:val="center"/>
          </w:tcPr>
          <w:p w14:paraId="3E995577">
            <w:pPr>
              <w:spacing w:line="240" w:lineRule="auto"/>
              <w:ind w:left="-72" w:leftChars="-30" w:right="-72" w:rightChars="-30" w:firstLine="0" w:firstLineChars="0"/>
              <w:jc w:val="center"/>
              <w:rPr>
                <w:rFonts w:eastAsiaTheme="minorEastAsia"/>
                <w:b/>
                <w:bCs/>
                <w:color w:val="auto"/>
                <w:sz w:val="21"/>
                <w:szCs w:val="21"/>
                <w:highlight w:val="none"/>
                <w:u w:val="single"/>
              </w:rPr>
            </w:pPr>
            <w:r>
              <w:rPr>
                <w:rFonts w:hint="eastAsia" w:eastAsiaTheme="minorEastAsia"/>
                <w:b/>
                <w:bCs/>
                <w:color w:val="auto"/>
                <w:sz w:val="21"/>
                <w:szCs w:val="21"/>
                <w:highlight w:val="none"/>
                <w:u w:val="single"/>
              </w:rPr>
              <w:t>焊接烟尘产生速率（kg/h）</w:t>
            </w:r>
          </w:p>
        </w:tc>
        <w:tc>
          <w:tcPr>
            <w:tcW w:w="495" w:type="pct"/>
            <w:tcBorders>
              <w:tl2br w:val="nil"/>
              <w:tr2bl w:val="nil"/>
            </w:tcBorders>
            <w:vAlign w:val="center"/>
          </w:tcPr>
          <w:p w14:paraId="1B7090D2">
            <w:pPr>
              <w:spacing w:line="240" w:lineRule="auto"/>
              <w:ind w:left="-72" w:leftChars="-30" w:right="-72" w:rightChars="-30" w:firstLine="0" w:firstLineChars="0"/>
              <w:jc w:val="center"/>
              <w:rPr>
                <w:rFonts w:eastAsiaTheme="minorEastAsia"/>
                <w:b/>
                <w:bCs/>
                <w:color w:val="auto"/>
                <w:sz w:val="21"/>
                <w:szCs w:val="21"/>
                <w:highlight w:val="none"/>
                <w:u w:val="single"/>
              </w:rPr>
            </w:pPr>
            <w:r>
              <w:rPr>
                <w:rFonts w:hint="eastAsia" w:eastAsiaTheme="minorEastAsia"/>
                <w:b/>
                <w:bCs/>
                <w:color w:val="auto"/>
                <w:sz w:val="21"/>
                <w:szCs w:val="21"/>
                <w:highlight w:val="none"/>
                <w:u w:val="single"/>
              </w:rPr>
              <w:t>处理效率</w:t>
            </w:r>
          </w:p>
        </w:tc>
        <w:tc>
          <w:tcPr>
            <w:tcW w:w="606" w:type="pct"/>
            <w:tcBorders>
              <w:tl2br w:val="nil"/>
              <w:tr2bl w:val="nil"/>
            </w:tcBorders>
            <w:vAlign w:val="center"/>
          </w:tcPr>
          <w:p w14:paraId="487092EB">
            <w:pPr>
              <w:spacing w:line="240" w:lineRule="auto"/>
              <w:ind w:left="-72" w:leftChars="-30" w:right="-72" w:rightChars="-30" w:firstLine="0" w:firstLineChars="0"/>
              <w:jc w:val="center"/>
              <w:rPr>
                <w:rFonts w:eastAsiaTheme="minorEastAsia"/>
                <w:b/>
                <w:bCs/>
                <w:color w:val="auto"/>
                <w:sz w:val="20"/>
                <w:szCs w:val="21"/>
                <w:highlight w:val="none"/>
                <w:u w:val="single"/>
              </w:rPr>
            </w:pPr>
            <w:r>
              <w:rPr>
                <w:rFonts w:hint="eastAsia" w:eastAsiaTheme="minorEastAsia"/>
                <w:b/>
                <w:bCs/>
                <w:color w:val="auto"/>
                <w:sz w:val="21"/>
                <w:szCs w:val="21"/>
                <w:highlight w:val="none"/>
                <w:u w:val="single"/>
              </w:rPr>
              <w:t>焊接烟尘排放量（t/a）</w:t>
            </w:r>
          </w:p>
        </w:tc>
        <w:tc>
          <w:tcPr>
            <w:tcW w:w="688" w:type="pct"/>
            <w:tcBorders>
              <w:tl2br w:val="nil"/>
              <w:tr2bl w:val="nil"/>
            </w:tcBorders>
            <w:vAlign w:val="center"/>
          </w:tcPr>
          <w:p w14:paraId="21C117EA">
            <w:pPr>
              <w:spacing w:line="240" w:lineRule="auto"/>
              <w:ind w:left="-72" w:leftChars="-30" w:right="-72" w:rightChars="-30" w:firstLine="0" w:firstLineChars="0"/>
              <w:jc w:val="center"/>
              <w:rPr>
                <w:rFonts w:eastAsiaTheme="minorEastAsia"/>
                <w:b/>
                <w:bCs/>
                <w:color w:val="auto"/>
                <w:sz w:val="20"/>
                <w:szCs w:val="21"/>
                <w:highlight w:val="none"/>
                <w:u w:val="single"/>
              </w:rPr>
            </w:pPr>
            <w:r>
              <w:rPr>
                <w:rFonts w:hint="eastAsia" w:eastAsiaTheme="minorEastAsia"/>
                <w:b/>
                <w:bCs/>
                <w:color w:val="auto"/>
                <w:sz w:val="21"/>
                <w:szCs w:val="21"/>
                <w:highlight w:val="none"/>
                <w:u w:val="single"/>
              </w:rPr>
              <w:t>焊接烟尘排放速率（kg/h）</w:t>
            </w:r>
          </w:p>
        </w:tc>
      </w:tr>
      <w:tr w14:paraId="1D2C6A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6" w:type="pct"/>
            <w:vMerge w:val="restart"/>
            <w:tcBorders>
              <w:tl2br w:val="nil"/>
              <w:tr2bl w:val="nil"/>
            </w:tcBorders>
            <w:vAlign w:val="center"/>
          </w:tcPr>
          <w:p w14:paraId="4EB99515">
            <w:pPr>
              <w:spacing w:line="240" w:lineRule="auto"/>
              <w:ind w:left="-72" w:leftChars="-30" w:right="-72" w:rightChars="-30" w:firstLine="0" w:firstLineChars="0"/>
              <w:jc w:val="center"/>
              <w:rPr>
                <w:rFonts w:eastAsiaTheme="minorEastAsia"/>
                <w:color w:val="auto"/>
                <w:sz w:val="21"/>
                <w:szCs w:val="21"/>
                <w:highlight w:val="none"/>
                <w:u w:val="single"/>
              </w:rPr>
            </w:pPr>
            <w:r>
              <w:rPr>
                <w:rFonts w:hint="eastAsia" w:eastAsiaTheme="minorEastAsia"/>
                <w:color w:val="auto"/>
                <w:sz w:val="21"/>
                <w:szCs w:val="21"/>
                <w:highlight w:val="none"/>
                <w:u w:val="single"/>
              </w:rPr>
              <w:t>浮船坞</w:t>
            </w:r>
          </w:p>
        </w:tc>
        <w:tc>
          <w:tcPr>
            <w:tcW w:w="656" w:type="pct"/>
            <w:tcBorders>
              <w:tl2br w:val="nil"/>
              <w:tr2bl w:val="nil"/>
            </w:tcBorders>
            <w:vAlign w:val="center"/>
          </w:tcPr>
          <w:p w14:paraId="40992ABC">
            <w:pPr>
              <w:spacing w:line="240" w:lineRule="auto"/>
              <w:ind w:left="-72" w:leftChars="-30" w:right="-72" w:rightChars="-30"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二氧化碳气体保护焊</w:t>
            </w:r>
          </w:p>
        </w:tc>
        <w:tc>
          <w:tcPr>
            <w:tcW w:w="396" w:type="pct"/>
            <w:vMerge w:val="restart"/>
            <w:tcBorders>
              <w:tl2br w:val="nil"/>
              <w:tr2bl w:val="nil"/>
            </w:tcBorders>
            <w:vAlign w:val="center"/>
          </w:tcPr>
          <w:p w14:paraId="4F093B8C">
            <w:pPr>
              <w:spacing w:line="240" w:lineRule="auto"/>
              <w:ind w:left="-72" w:leftChars="-30" w:right="-72" w:rightChars="-30"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烟尘</w:t>
            </w:r>
          </w:p>
        </w:tc>
        <w:tc>
          <w:tcPr>
            <w:tcW w:w="387" w:type="pct"/>
            <w:tcBorders>
              <w:tl2br w:val="nil"/>
              <w:tr2bl w:val="nil"/>
            </w:tcBorders>
            <w:vAlign w:val="center"/>
          </w:tcPr>
          <w:p w14:paraId="303E4E1D">
            <w:pPr>
              <w:spacing w:line="240" w:lineRule="auto"/>
              <w:ind w:left="-72" w:leftChars="-30" w:right="-72" w:rightChars="-30" w:firstLine="0" w:firstLineChars="0"/>
              <w:jc w:val="center"/>
              <w:rPr>
                <w:rFonts w:eastAsiaTheme="minorEastAsia"/>
                <w:color w:val="auto"/>
                <w:sz w:val="21"/>
                <w:szCs w:val="21"/>
                <w:highlight w:val="none"/>
                <w:u w:val="single"/>
              </w:rPr>
            </w:pPr>
            <w:r>
              <w:rPr>
                <w:rFonts w:hint="eastAsia" w:eastAsiaTheme="minorEastAsia"/>
                <w:color w:val="auto"/>
                <w:sz w:val="21"/>
                <w:szCs w:val="21"/>
                <w:highlight w:val="none"/>
                <w:u w:val="single"/>
              </w:rPr>
              <w:t>0.2</w:t>
            </w:r>
          </w:p>
        </w:tc>
        <w:tc>
          <w:tcPr>
            <w:tcW w:w="677" w:type="pct"/>
            <w:vMerge w:val="restart"/>
            <w:tcBorders>
              <w:tl2br w:val="nil"/>
              <w:tr2bl w:val="nil"/>
            </w:tcBorders>
            <w:vAlign w:val="center"/>
          </w:tcPr>
          <w:p w14:paraId="614789B9">
            <w:pPr>
              <w:spacing w:line="240" w:lineRule="auto"/>
              <w:ind w:left="-72" w:leftChars="-30" w:right="-72" w:rightChars="-30" w:firstLine="0" w:firstLineChars="0"/>
              <w:jc w:val="center"/>
              <w:rPr>
                <w:rFonts w:eastAsiaTheme="minorEastAsia"/>
                <w:color w:val="auto"/>
                <w:sz w:val="21"/>
                <w:szCs w:val="21"/>
                <w:highlight w:val="none"/>
                <w:u w:val="single"/>
              </w:rPr>
            </w:pPr>
            <w:r>
              <w:rPr>
                <w:rFonts w:hint="eastAsia" w:eastAsiaTheme="minorEastAsia"/>
                <w:color w:val="auto"/>
                <w:sz w:val="21"/>
                <w:szCs w:val="21"/>
                <w:highlight w:val="none"/>
                <w:u w:val="single"/>
              </w:rPr>
              <w:t>0.36</w:t>
            </w:r>
          </w:p>
        </w:tc>
        <w:tc>
          <w:tcPr>
            <w:tcW w:w="733" w:type="pct"/>
            <w:vMerge w:val="restart"/>
            <w:tcBorders>
              <w:tl2br w:val="nil"/>
              <w:tr2bl w:val="nil"/>
            </w:tcBorders>
            <w:vAlign w:val="center"/>
          </w:tcPr>
          <w:p w14:paraId="107B5A39">
            <w:pPr>
              <w:spacing w:line="240" w:lineRule="auto"/>
              <w:ind w:left="-72" w:leftChars="-30" w:right="-72" w:rightChars="-30" w:firstLine="0" w:firstLineChars="0"/>
              <w:jc w:val="center"/>
              <w:rPr>
                <w:rFonts w:eastAsiaTheme="minorEastAsia"/>
                <w:color w:val="auto"/>
                <w:sz w:val="21"/>
                <w:szCs w:val="21"/>
                <w:highlight w:val="none"/>
                <w:u w:val="single"/>
              </w:rPr>
            </w:pPr>
            <w:r>
              <w:rPr>
                <w:rFonts w:hint="eastAsia" w:eastAsiaTheme="minorEastAsia"/>
                <w:color w:val="auto"/>
                <w:sz w:val="21"/>
                <w:szCs w:val="21"/>
                <w:highlight w:val="none"/>
                <w:u w:val="single"/>
              </w:rPr>
              <w:t>0.288</w:t>
            </w:r>
          </w:p>
        </w:tc>
        <w:tc>
          <w:tcPr>
            <w:tcW w:w="495" w:type="pct"/>
            <w:vMerge w:val="restart"/>
            <w:tcBorders>
              <w:tl2br w:val="nil"/>
              <w:tr2bl w:val="nil"/>
            </w:tcBorders>
            <w:vAlign w:val="center"/>
          </w:tcPr>
          <w:p w14:paraId="6740F247">
            <w:pPr>
              <w:spacing w:line="240" w:lineRule="auto"/>
              <w:ind w:left="-72" w:leftChars="-30" w:right="-72" w:rightChars="-30" w:firstLine="0" w:firstLineChars="0"/>
              <w:jc w:val="center"/>
              <w:rPr>
                <w:rFonts w:eastAsiaTheme="minorEastAsia"/>
                <w:color w:val="auto"/>
                <w:sz w:val="21"/>
                <w:szCs w:val="21"/>
                <w:highlight w:val="none"/>
                <w:u w:val="single"/>
              </w:rPr>
            </w:pPr>
            <w:r>
              <w:rPr>
                <w:rFonts w:hint="eastAsia" w:eastAsiaTheme="minorEastAsia"/>
                <w:color w:val="auto"/>
                <w:sz w:val="21"/>
                <w:szCs w:val="21"/>
                <w:highlight w:val="none"/>
                <w:u w:val="single"/>
              </w:rPr>
              <w:t>80%</w:t>
            </w:r>
          </w:p>
        </w:tc>
        <w:tc>
          <w:tcPr>
            <w:tcW w:w="606" w:type="pct"/>
            <w:vMerge w:val="restart"/>
            <w:tcBorders>
              <w:tl2br w:val="nil"/>
              <w:tr2bl w:val="nil"/>
            </w:tcBorders>
            <w:vAlign w:val="center"/>
          </w:tcPr>
          <w:p w14:paraId="419B8920">
            <w:pPr>
              <w:spacing w:line="240" w:lineRule="auto"/>
              <w:ind w:left="-72" w:leftChars="-30" w:right="-72" w:rightChars="-30" w:firstLine="0" w:firstLineChars="0"/>
              <w:jc w:val="center"/>
              <w:rPr>
                <w:rFonts w:eastAsiaTheme="minorEastAsia"/>
                <w:color w:val="auto"/>
                <w:sz w:val="21"/>
                <w:szCs w:val="21"/>
                <w:highlight w:val="none"/>
                <w:u w:val="single"/>
              </w:rPr>
            </w:pPr>
            <w:r>
              <w:rPr>
                <w:rFonts w:hint="eastAsia" w:eastAsiaTheme="minorEastAsia"/>
                <w:color w:val="auto"/>
                <w:sz w:val="21"/>
                <w:szCs w:val="21"/>
                <w:highlight w:val="none"/>
                <w:u w:val="single"/>
              </w:rPr>
              <w:t>0.072</w:t>
            </w:r>
          </w:p>
        </w:tc>
        <w:tc>
          <w:tcPr>
            <w:tcW w:w="688" w:type="pct"/>
            <w:vMerge w:val="restart"/>
            <w:tcBorders>
              <w:tl2br w:val="nil"/>
              <w:tr2bl w:val="nil"/>
            </w:tcBorders>
            <w:vAlign w:val="center"/>
          </w:tcPr>
          <w:p w14:paraId="06E869B8">
            <w:pPr>
              <w:spacing w:line="240" w:lineRule="auto"/>
              <w:ind w:left="-72" w:leftChars="-30" w:right="-72" w:rightChars="-30" w:firstLine="0" w:firstLineChars="0"/>
              <w:jc w:val="center"/>
              <w:rPr>
                <w:rFonts w:eastAsiaTheme="minorEastAsia"/>
                <w:color w:val="auto"/>
                <w:sz w:val="21"/>
                <w:szCs w:val="21"/>
                <w:highlight w:val="none"/>
                <w:u w:val="single"/>
              </w:rPr>
            </w:pPr>
            <w:r>
              <w:rPr>
                <w:rFonts w:hint="eastAsia" w:eastAsiaTheme="minorEastAsia"/>
                <w:color w:val="auto"/>
                <w:sz w:val="21"/>
                <w:szCs w:val="21"/>
                <w:highlight w:val="none"/>
                <w:u w:val="single"/>
              </w:rPr>
              <w:t>0.058</w:t>
            </w:r>
          </w:p>
        </w:tc>
      </w:tr>
      <w:tr w14:paraId="76AE58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6" w:type="pct"/>
            <w:vMerge w:val="continue"/>
            <w:tcBorders>
              <w:tl2br w:val="nil"/>
              <w:tr2bl w:val="nil"/>
            </w:tcBorders>
            <w:vAlign w:val="center"/>
          </w:tcPr>
          <w:p w14:paraId="4BF2DC66">
            <w:pPr>
              <w:spacing w:line="240" w:lineRule="auto"/>
              <w:ind w:left="-72" w:leftChars="-30" w:right="-72" w:rightChars="-30" w:firstLine="0" w:firstLineChars="0"/>
              <w:jc w:val="center"/>
              <w:rPr>
                <w:rFonts w:eastAsiaTheme="minorEastAsia"/>
                <w:color w:val="auto"/>
                <w:sz w:val="21"/>
                <w:szCs w:val="21"/>
                <w:highlight w:val="none"/>
                <w:u w:val="single"/>
              </w:rPr>
            </w:pPr>
          </w:p>
        </w:tc>
        <w:tc>
          <w:tcPr>
            <w:tcW w:w="656" w:type="pct"/>
            <w:tcBorders>
              <w:tl2br w:val="nil"/>
              <w:tr2bl w:val="nil"/>
            </w:tcBorders>
            <w:vAlign w:val="center"/>
          </w:tcPr>
          <w:p w14:paraId="3EFE25E6">
            <w:pPr>
              <w:spacing w:line="240" w:lineRule="auto"/>
              <w:ind w:left="-72" w:leftChars="-30" w:right="-72" w:rightChars="-30" w:firstLine="0" w:firstLineChars="0"/>
              <w:jc w:val="center"/>
              <w:rPr>
                <w:rFonts w:eastAsiaTheme="minorEastAsia"/>
                <w:color w:val="auto"/>
                <w:sz w:val="21"/>
                <w:szCs w:val="21"/>
                <w:highlight w:val="none"/>
                <w:u w:val="single"/>
              </w:rPr>
            </w:pPr>
            <w:r>
              <w:rPr>
                <w:rFonts w:eastAsiaTheme="minorEastAsia"/>
                <w:color w:val="auto"/>
                <w:sz w:val="21"/>
                <w:szCs w:val="21"/>
                <w:highlight w:val="none"/>
                <w:u w:val="single"/>
              </w:rPr>
              <w:t>手工电弧焊</w:t>
            </w:r>
          </w:p>
        </w:tc>
        <w:tc>
          <w:tcPr>
            <w:tcW w:w="396" w:type="pct"/>
            <w:vMerge w:val="continue"/>
            <w:tcBorders>
              <w:tl2br w:val="nil"/>
              <w:tr2bl w:val="nil"/>
            </w:tcBorders>
            <w:vAlign w:val="center"/>
          </w:tcPr>
          <w:p w14:paraId="3700B129">
            <w:pPr>
              <w:spacing w:line="240" w:lineRule="auto"/>
              <w:ind w:left="-72" w:leftChars="-30" w:right="-72" w:rightChars="-30" w:firstLine="0" w:firstLineChars="0"/>
              <w:jc w:val="center"/>
              <w:rPr>
                <w:rFonts w:eastAsiaTheme="minorEastAsia"/>
                <w:color w:val="auto"/>
                <w:sz w:val="21"/>
                <w:szCs w:val="21"/>
                <w:highlight w:val="none"/>
                <w:u w:val="single"/>
              </w:rPr>
            </w:pPr>
          </w:p>
        </w:tc>
        <w:tc>
          <w:tcPr>
            <w:tcW w:w="387" w:type="pct"/>
            <w:tcBorders>
              <w:tl2br w:val="nil"/>
              <w:tr2bl w:val="nil"/>
            </w:tcBorders>
            <w:vAlign w:val="center"/>
          </w:tcPr>
          <w:p w14:paraId="30994C1C">
            <w:pPr>
              <w:spacing w:line="240" w:lineRule="auto"/>
              <w:ind w:left="-72" w:leftChars="-30" w:right="-72" w:rightChars="-30" w:firstLine="0" w:firstLineChars="0"/>
              <w:jc w:val="center"/>
              <w:rPr>
                <w:rFonts w:eastAsiaTheme="minorEastAsia"/>
                <w:color w:val="auto"/>
                <w:sz w:val="21"/>
                <w:szCs w:val="21"/>
                <w:highlight w:val="none"/>
                <w:u w:val="single"/>
              </w:rPr>
            </w:pPr>
            <w:r>
              <w:rPr>
                <w:rFonts w:hint="eastAsia" w:eastAsiaTheme="minorEastAsia"/>
                <w:color w:val="auto"/>
                <w:sz w:val="21"/>
                <w:szCs w:val="21"/>
                <w:highlight w:val="none"/>
                <w:u w:val="single"/>
              </w:rPr>
              <w:t>0.16</w:t>
            </w:r>
          </w:p>
        </w:tc>
        <w:tc>
          <w:tcPr>
            <w:tcW w:w="677" w:type="pct"/>
            <w:vMerge w:val="continue"/>
            <w:tcBorders>
              <w:tl2br w:val="nil"/>
              <w:tr2bl w:val="nil"/>
            </w:tcBorders>
            <w:vAlign w:val="center"/>
          </w:tcPr>
          <w:p w14:paraId="04099C53">
            <w:pPr>
              <w:spacing w:line="240" w:lineRule="auto"/>
              <w:ind w:left="-72" w:leftChars="-30" w:right="-72" w:rightChars="-30" w:firstLine="0" w:firstLineChars="0"/>
              <w:jc w:val="center"/>
              <w:rPr>
                <w:rFonts w:eastAsiaTheme="minorEastAsia"/>
                <w:color w:val="auto"/>
                <w:sz w:val="21"/>
                <w:szCs w:val="21"/>
                <w:highlight w:val="none"/>
                <w:u w:val="single"/>
              </w:rPr>
            </w:pPr>
          </w:p>
        </w:tc>
        <w:tc>
          <w:tcPr>
            <w:tcW w:w="733" w:type="pct"/>
            <w:vMerge w:val="continue"/>
            <w:tcBorders>
              <w:tl2br w:val="nil"/>
              <w:tr2bl w:val="nil"/>
            </w:tcBorders>
            <w:vAlign w:val="center"/>
          </w:tcPr>
          <w:p w14:paraId="7FBEE0EF">
            <w:pPr>
              <w:spacing w:line="240" w:lineRule="auto"/>
              <w:ind w:left="-72" w:leftChars="-30" w:right="-72" w:rightChars="-30" w:firstLine="0" w:firstLineChars="0"/>
              <w:jc w:val="center"/>
              <w:rPr>
                <w:rFonts w:eastAsiaTheme="minorEastAsia"/>
                <w:color w:val="auto"/>
                <w:sz w:val="21"/>
                <w:szCs w:val="21"/>
                <w:highlight w:val="none"/>
                <w:u w:val="single"/>
              </w:rPr>
            </w:pPr>
          </w:p>
        </w:tc>
        <w:tc>
          <w:tcPr>
            <w:tcW w:w="495" w:type="pct"/>
            <w:vMerge w:val="continue"/>
            <w:tcBorders>
              <w:tl2br w:val="nil"/>
              <w:tr2bl w:val="nil"/>
            </w:tcBorders>
            <w:vAlign w:val="center"/>
          </w:tcPr>
          <w:p w14:paraId="58C82749">
            <w:pPr>
              <w:spacing w:line="240" w:lineRule="auto"/>
              <w:ind w:left="-72" w:leftChars="-30" w:right="-72" w:rightChars="-30" w:firstLine="0" w:firstLineChars="0"/>
              <w:jc w:val="center"/>
              <w:rPr>
                <w:rFonts w:eastAsiaTheme="minorEastAsia"/>
                <w:color w:val="auto"/>
                <w:sz w:val="20"/>
                <w:szCs w:val="21"/>
                <w:highlight w:val="none"/>
                <w:u w:val="single"/>
              </w:rPr>
            </w:pPr>
          </w:p>
        </w:tc>
        <w:tc>
          <w:tcPr>
            <w:tcW w:w="606" w:type="pct"/>
            <w:vMerge w:val="continue"/>
            <w:tcBorders>
              <w:tl2br w:val="nil"/>
              <w:tr2bl w:val="nil"/>
            </w:tcBorders>
            <w:vAlign w:val="center"/>
          </w:tcPr>
          <w:p w14:paraId="1197FC1B">
            <w:pPr>
              <w:spacing w:line="240" w:lineRule="auto"/>
              <w:ind w:left="-72" w:leftChars="-30" w:right="-72" w:rightChars="-30" w:firstLine="0" w:firstLineChars="0"/>
              <w:jc w:val="center"/>
              <w:rPr>
                <w:rFonts w:eastAsiaTheme="minorEastAsia"/>
                <w:color w:val="auto"/>
                <w:sz w:val="20"/>
                <w:szCs w:val="21"/>
                <w:highlight w:val="none"/>
                <w:u w:val="single"/>
              </w:rPr>
            </w:pPr>
          </w:p>
        </w:tc>
        <w:tc>
          <w:tcPr>
            <w:tcW w:w="688" w:type="pct"/>
            <w:vMerge w:val="continue"/>
            <w:tcBorders>
              <w:tl2br w:val="nil"/>
              <w:tr2bl w:val="nil"/>
            </w:tcBorders>
            <w:vAlign w:val="center"/>
          </w:tcPr>
          <w:p w14:paraId="0EAF5075">
            <w:pPr>
              <w:spacing w:line="240" w:lineRule="auto"/>
              <w:ind w:left="-72" w:leftChars="-30" w:right="-72" w:rightChars="-30" w:firstLine="0" w:firstLineChars="0"/>
              <w:jc w:val="center"/>
              <w:rPr>
                <w:rFonts w:eastAsiaTheme="minorEastAsia"/>
                <w:color w:val="auto"/>
                <w:sz w:val="20"/>
                <w:szCs w:val="21"/>
                <w:highlight w:val="none"/>
                <w:u w:val="single"/>
              </w:rPr>
            </w:pPr>
          </w:p>
        </w:tc>
      </w:tr>
    </w:tbl>
    <w:p w14:paraId="197D18A6">
      <w:pPr>
        <w:pStyle w:val="1553"/>
        <w:adjustRightInd w:val="0"/>
        <w:snapToGrid w:val="0"/>
        <w:spacing w:line="360" w:lineRule="auto"/>
        <w:rPr>
          <w:rFonts w:ascii="Times New Roman" w:hAnsi="Times New Roman"/>
          <w:color w:val="auto"/>
          <w:kern w:val="0"/>
          <w:sz w:val="24"/>
          <w:highlight w:val="none"/>
          <w:u w:val="single"/>
        </w:rPr>
      </w:pPr>
    </w:p>
    <w:p w14:paraId="6F275A2A">
      <w:pPr>
        <w:ind w:firstLine="482"/>
        <w:rPr>
          <w:b/>
          <w:color w:val="auto"/>
          <w:szCs w:val="20"/>
          <w:highlight w:val="none"/>
        </w:rPr>
      </w:pPr>
      <w:r>
        <w:rPr>
          <w:b/>
          <w:color w:val="auto"/>
          <w:szCs w:val="20"/>
          <w:highlight w:val="none"/>
        </w:rPr>
        <w:t>（4）切割烟尘</w:t>
      </w:r>
    </w:p>
    <w:p w14:paraId="53BAF07F">
      <w:pPr>
        <w:ind w:firstLine="480"/>
        <w:rPr>
          <w:color w:val="auto"/>
          <w:szCs w:val="20"/>
          <w:highlight w:val="none"/>
        </w:rPr>
      </w:pPr>
      <w:r>
        <w:rPr>
          <w:color w:val="auto"/>
          <w:szCs w:val="20"/>
          <w:highlight w:val="none"/>
        </w:rPr>
        <w:t>修船割除旧部件过程会产生少量切割粉尘，在作业船坞呈无组织排放，排放较小，排放量约为0.5t/a，切割时间每天5h，则船坞无组织切割粉尘的排放速率为0.4kg/h。</w:t>
      </w:r>
    </w:p>
    <w:p w14:paraId="45A92010">
      <w:pPr>
        <w:ind w:firstLine="482"/>
        <w:rPr>
          <w:b/>
          <w:color w:val="auto"/>
          <w:szCs w:val="20"/>
          <w:highlight w:val="none"/>
        </w:rPr>
      </w:pPr>
      <w:r>
        <w:rPr>
          <w:b/>
          <w:color w:val="auto"/>
          <w:szCs w:val="20"/>
          <w:highlight w:val="none"/>
        </w:rPr>
        <w:t>（5）浮船坞应急发电机废气</w:t>
      </w:r>
    </w:p>
    <w:p w14:paraId="043FDD2F">
      <w:pPr>
        <w:ind w:firstLine="480"/>
        <w:rPr>
          <w:color w:val="auto"/>
          <w:highlight w:val="none"/>
        </w:rPr>
      </w:pPr>
      <w:r>
        <w:rPr>
          <w:color w:val="auto"/>
          <w:szCs w:val="20"/>
          <w:highlight w:val="none"/>
        </w:rPr>
        <w:t>项目浮船坞</w:t>
      </w:r>
      <w:r>
        <w:rPr>
          <w:rFonts w:hint="eastAsia"/>
          <w:color w:val="auto"/>
          <w:szCs w:val="20"/>
          <w:highlight w:val="none"/>
        </w:rPr>
        <w:t>配套</w:t>
      </w:r>
      <w:r>
        <w:rPr>
          <w:color w:val="auto"/>
          <w:szCs w:val="20"/>
          <w:highlight w:val="none"/>
        </w:rPr>
        <w:t>1台150kW的应急柴油发电机组(AC400V</w:t>
      </w:r>
      <w:r>
        <w:rPr>
          <w:rFonts w:hint="eastAsia"/>
          <w:color w:val="auto"/>
          <w:szCs w:val="20"/>
          <w:highlight w:val="none"/>
        </w:rPr>
        <w:t>，</w:t>
      </w:r>
      <w:r>
        <w:rPr>
          <w:color w:val="auto"/>
          <w:szCs w:val="20"/>
          <w:highlight w:val="none"/>
        </w:rPr>
        <w:t>50Hz</w:t>
      </w:r>
      <w:r>
        <w:rPr>
          <w:rFonts w:hint="eastAsia"/>
          <w:color w:val="auto"/>
          <w:szCs w:val="20"/>
          <w:highlight w:val="none"/>
        </w:rPr>
        <w:t>，</w:t>
      </w:r>
      <w:r>
        <w:rPr>
          <w:color w:val="auto"/>
          <w:szCs w:val="20"/>
          <w:highlight w:val="none"/>
        </w:rPr>
        <w:t>3Φ)，当厂区供电设备发生故障时用于应急发电，发电机以柴油作为燃料，燃烧过程产生少量</w:t>
      </w:r>
      <w:r>
        <w:rPr>
          <w:color w:val="auto"/>
          <w:highlight w:val="none"/>
        </w:rPr>
        <w:t>包括CO、THC、NO</w:t>
      </w:r>
      <w:r>
        <w:rPr>
          <w:color w:val="auto"/>
          <w:highlight w:val="none"/>
          <w:vertAlign w:val="subscript"/>
        </w:rPr>
        <w:t>x</w:t>
      </w:r>
      <w:r>
        <w:rPr>
          <w:color w:val="auto"/>
          <w:highlight w:val="none"/>
        </w:rPr>
        <w:t>等。发电机仅作为应急使用，使用频率较小，废气排放量不大，影响范围有限，故可以认为其对环境影响比较小</w:t>
      </w:r>
      <w:r>
        <w:rPr>
          <w:color w:val="auto"/>
          <w:szCs w:val="20"/>
          <w:highlight w:val="none"/>
        </w:rPr>
        <w:t>，因此本环评对此不</w:t>
      </w:r>
      <w:r>
        <w:rPr>
          <w:rFonts w:hint="eastAsia"/>
          <w:color w:val="auto"/>
          <w:szCs w:val="20"/>
          <w:highlight w:val="none"/>
          <w:lang w:eastAsia="zh-CN"/>
        </w:rPr>
        <w:t>作</w:t>
      </w:r>
      <w:r>
        <w:rPr>
          <w:color w:val="auto"/>
          <w:szCs w:val="20"/>
          <w:highlight w:val="none"/>
        </w:rPr>
        <w:t>评价</w:t>
      </w:r>
      <w:r>
        <w:rPr>
          <w:color w:val="auto"/>
          <w:highlight w:val="none"/>
        </w:rPr>
        <w:t>。</w:t>
      </w:r>
    </w:p>
    <w:p w14:paraId="2114FF9C">
      <w:pPr>
        <w:ind w:firstLine="480"/>
        <w:rPr>
          <w:color w:val="auto"/>
          <w:szCs w:val="20"/>
          <w:highlight w:val="none"/>
        </w:rPr>
      </w:pPr>
      <w:r>
        <w:rPr>
          <w:color w:val="auto"/>
          <w:szCs w:val="20"/>
          <w:highlight w:val="none"/>
        </w:rPr>
        <w:t>项目大气污染物产生排放情况见表2.4-</w:t>
      </w:r>
      <w:r>
        <w:rPr>
          <w:rFonts w:hint="eastAsia"/>
          <w:color w:val="auto"/>
          <w:szCs w:val="20"/>
          <w:highlight w:val="none"/>
        </w:rPr>
        <w:t>9</w:t>
      </w:r>
      <w:r>
        <w:rPr>
          <w:color w:val="auto"/>
          <w:szCs w:val="20"/>
          <w:highlight w:val="none"/>
        </w:rPr>
        <w:t>。</w:t>
      </w:r>
    </w:p>
    <w:p w14:paraId="3D9ECB9A">
      <w:pPr>
        <w:pStyle w:val="38"/>
        <w:spacing w:after="0" w:line="240" w:lineRule="auto"/>
        <w:ind w:firstLine="0" w:firstLineChars="0"/>
        <w:jc w:val="center"/>
        <w:rPr>
          <w:b/>
          <w:color w:val="auto"/>
          <w:sz w:val="21"/>
          <w:szCs w:val="21"/>
          <w:highlight w:val="none"/>
        </w:rPr>
      </w:pPr>
      <w:r>
        <w:rPr>
          <w:b/>
          <w:color w:val="auto"/>
          <w:sz w:val="21"/>
          <w:szCs w:val="21"/>
          <w:highlight w:val="none"/>
        </w:rPr>
        <w:t>表2.4-</w:t>
      </w:r>
      <w:r>
        <w:rPr>
          <w:rFonts w:hint="eastAsia"/>
          <w:b/>
          <w:color w:val="auto"/>
          <w:sz w:val="21"/>
          <w:szCs w:val="21"/>
          <w:highlight w:val="none"/>
        </w:rPr>
        <w:t>9</w:t>
      </w:r>
      <w:r>
        <w:rPr>
          <w:b/>
          <w:color w:val="auto"/>
          <w:sz w:val="21"/>
          <w:szCs w:val="21"/>
          <w:highlight w:val="none"/>
        </w:rPr>
        <w:t xml:space="preserve">    项目大气污染物无组织排放统计表</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82"/>
        <w:gridCol w:w="957"/>
        <w:gridCol w:w="1364"/>
        <w:gridCol w:w="1487"/>
        <w:gridCol w:w="1245"/>
        <w:gridCol w:w="1396"/>
        <w:gridCol w:w="1555"/>
      </w:tblGrid>
      <w:tr w14:paraId="5AAB12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pct"/>
            <w:tcBorders>
              <w:tl2br w:val="nil"/>
              <w:tr2bl w:val="nil"/>
            </w:tcBorders>
            <w:vAlign w:val="center"/>
          </w:tcPr>
          <w:p w14:paraId="0FF5BB2C">
            <w:pPr>
              <w:spacing w:line="240" w:lineRule="auto"/>
              <w:ind w:firstLine="0" w:firstLineChars="0"/>
              <w:jc w:val="center"/>
              <w:rPr>
                <w:b/>
                <w:bCs/>
                <w:color w:val="auto"/>
                <w:sz w:val="21"/>
                <w:szCs w:val="21"/>
                <w:highlight w:val="none"/>
              </w:rPr>
            </w:pPr>
            <w:r>
              <w:rPr>
                <w:b/>
                <w:bCs/>
                <w:color w:val="auto"/>
                <w:sz w:val="21"/>
                <w:szCs w:val="21"/>
                <w:highlight w:val="none"/>
              </w:rPr>
              <w:t>污染源位置</w:t>
            </w:r>
          </w:p>
        </w:tc>
        <w:tc>
          <w:tcPr>
            <w:tcW w:w="515" w:type="pct"/>
            <w:tcBorders>
              <w:tl2br w:val="nil"/>
              <w:tr2bl w:val="nil"/>
            </w:tcBorders>
            <w:vAlign w:val="center"/>
          </w:tcPr>
          <w:p w14:paraId="611A53DC">
            <w:pPr>
              <w:spacing w:line="240" w:lineRule="auto"/>
              <w:ind w:firstLine="0" w:firstLineChars="0"/>
              <w:jc w:val="center"/>
              <w:rPr>
                <w:b/>
                <w:bCs/>
                <w:color w:val="auto"/>
                <w:sz w:val="21"/>
                <w:szCs w:val="21"/>
                <w:highlight w:val="none"/>
              </w:rPr>
            </w:pPr>
            <w:r>
              <w:rPr>
                <w:b/>
                <w:bCs/>
                <w:color w:val="auto"/>
                <w:sz w:val="21"/>
                <w:szCs w:val="21"/>
                <w:highlight w:val="none"/>
              </w:rPr>
              <w:t>序号</w:t>
            </w:r>
          </w:p>
        </w:tc>
        <w:tc>
          <w:tcPr>
            <w:tcW w:w="734" w:type="pct"/>
            <w:tcBorders>
              <w:tl2br w:val="nil"/>
              <w:tr2bl w:val="nil"/>
            </w:tcBorders>
            <w:vAlign w:val="center"/>
          </w:tcPr>
          <w:p w14:paraId="4A1006B3">
            <w:pPr>
              <w:spacing w:line="240" w:lineRule="auto"/>
              <w:ind w:firstLine="0" w:firstLineChars="0"/>
              <w:jc w:val="center"/>
              <w:rPr>
                <w:b/>
                <w:bCs/>
                <w:color w:val="auto"/>
                <w:sz w:val="21"/>
                <w:szCs w:val="21"/>
                <w:highlight w:val="none"/>
              </w:rPr>
            </w:pPr>
            <w:r>
              <w:rPr>
                <w:b/>
                <w:bCs/>
                <w:color w:val="auto"/>
                <w:sz w:val="21"/>
                <w:szCs w:val="21"/>
                <w:highlight w:val="none"/>
              </w:rPr>
              <w:t>污染物名称</w:t>
            </w:r>
          </w:p>
        </w:tc>
        <w:tc>
          <w:tcPr>
            <w:tcW w:w="800" w:type="pct"/>
            <w:tcBorders>
              <w:tl2br w:val="nil"/>
              <w:tr2bl w:val="nil"/>
            </w:tcBorders>
            <w:vAlign w:val="center"/>
          </w:tcPr>
          <w:p w14:paraId="63DDCA75">
            <w:pPr>
              <w:spacing w:line="240" w:lineRule="auto"/>
              <w:ind w:firstLine="0" w:firstLineChars="0"/>
              <w:jc w:val="center"/>
              <w:rPr>
                <w:b/>
                <w:bCs/>
                <w:color w:val="auto"/>
                <w:sz w:val="21"/>
                <w:szCs w:val="21"/>
                <w:highlight w:val="none"/>
              </w:rPr>
            </w:pPr>
            <w:r>
              <w:rPr>
                <w:b/>
                <w:bCs/>
                <w:color w:val="auto"/>
                <w:sz w:val="21"/>
                <w:szCs w:val="21"/>
                <w:highlight w:val="none"/>
              </w:rPr>
              <w:t>污染物排放量（t/a）</w:t>
            </w:r>
          </w:p>
        </w:tc>
        <w:tc>
          <w:tcPr>
            <w:tcW w:w="670" w:type="pct"/>
            <w:tcBorders>
              <w:tl2br w:val="nil"/>
              <w:tr2bl w:val="nil"/>
            </w:tcBorders>
            <w:vAlign w:val="center"/>
          </w:tcPr>
          <w:p w14:paraId="4EACC4A4">
            <w:pPr>
              <w:spacing w:line="240" w:lineRule="auto"/>
              <w:ind w:firstLine="0" w:firstLineChars="0"/>
              <w:jc w:val="center"/>
              <w:rPr>
                <w:b/>
                <w:bCs/>
                <w:color w:val="auto"/>
                <w:sz w:val="21"/>
                <w:szCs w:val="21"/>
                <w:highlight w:val="none"/>
              </w:rPr>
            </w:pPr>
            <w:r>
              <w:rPr>
                <w:b/>
                <w:bCs/>
                <w:color w:val="auto"/>
                <w:sz w:val="21"/>
                <w:szCs w:val="21"/>
                <w:highlight w:val="none"/>
              </w:rPr>
              <w:t>排放速率（kg/h）</w:t>
            </w:r>
          </w:p>
        </w:tc>
        <w:tc>
          <w:tcPr>
            <w:tcW w:w="751" w:type="pct"/>
            <w:tcBorders>
              <w:tl2br w:val="nil"/>
              <w:tr2bl w:val="nil"/>
            </w:tcBorders>
            <w:vAlign w:val="center"/>
          </w:tcPr>
          <w:p w14:paraId="5500B51F">
            <w:pPr>
              <w:spacing w:line="240" w:lineRule="auto"/>
              <w:ind w:firstLine="0" w:firstLineChars="0"/>
              <w:jc w:val="center"/>
              <w:rPr>
                <w:b/>
                <w:bCs/>
                <w:color w:val="auto"/>
                <w:sz w:val="21"/>
                <w:szCs w:val="21"/>
                <w:highlight w:val="none"/>
              </w:rPr>
            </w:pPr>
            <w:r>
              <w:rPr>
                <w:b/>
                <w:bCs/>
                <w:color w:val="auto"/>
                <w:sz w:val="21"/>
                <w:szCs w:val="21"/>
                <w:highlight w:val="none"/>
              </w:rPr>
              <w:t>排放方式</w:t>
            </w:r>
          </w:p>
        </w:tc>
        <w:tc>
          <w:tcPr>
            <w:tcW w:w="836" w:type="pct"/>
            <w:tcBorders>
              <w:tl2br w:val="nil"/>
              <w:tr2bl w:val="nil"/>
            </w:tcBorders>
            <w:vAlign w:val="center"/>
          </w:tcPr>
          <w:p w14:paraId="17315588">
            <w:pPr>
              <w:spacing w:line="240" w:lineRule="auto"/>
              <w:ind w:firstLine="0" w:firstLineChars="0"/>
              <w:jc w:val="center"/>
              <w:rPr>
                <w:b/>
                <w:bCs/>
                <w:color w:val="auto"/>
                <w:sz w:val="21"/>
                <w:szCs w:val="21"/>
                <w:highlight w:val="none"/>
              </w:rPr>
            </w:pPr>
            <w:r>
              <w:rPr>
                <w:b/>
                <w:bCs/>
                <w:color w:val="auto"/>
                <w:sz w:val="21"/>
                <w:szCs w:val="21"/>
                <w:highlight w:val="none"/>
              </w:rPr>
              <w:t>排放参数</w:t>
            </w:r>
          </w:p>
        </w:tc>
      </w:tr>
      <w:tr w14:paraId="76CEF6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pct"/>
            <w:vMerge w:val="restart"/>
            <w:tcBorders>
              <w:tl2br w:val="nil"/>
              <w:tr2bl w:val="nil"/>
            </w:tcBorders>
            <w:vAlign w:val="center"/>
          </w:tcPr>
          <w:p w14:paraId="6FE36004">
            <w:pPr>
              <w:spacing w:line="240" w:lineRule="auto"/>
              <w:ind w:firstLine="0" w:firstLineChars="0"/>
              <w:jc w:val="center"/>
              <w:rPr>
                <w:color w:val="auto"/>
                <w:sz w:val="21"/>
                <w:szCs w:val="21"/>
                <w:highlight w:val="none"/>
              </w:rPr>
            </w:pPr>
            <w:r>
              <w:rPr>
                <w:color w:val="auto"/>
                <w:sz w:val="21"/>
                <w:szCs w:val="21"/>
                <w:highlight w:val="none"/>
              </w:rPr>
              <w:t>10万吨浮船坞</w:t>
            </w:r>
          </w:p>
        </w:tc>
        <w:tc>
          <w:tcPr>
            <w:tcW w:w="515" w:type="pct"/>
            <w:vMerge w:val="restart"/>
            <w:tcBorders>
              <w:tl2br w:val="nil"/>
              <w:tr2bl w:val="nil"/>
            </w:tcBorders>
            <w:vAlign w:val="center"/>
          </w:tcPr>
          <w:p w14:paraId="00E7661A">
            <w:pPr>
              <w:spacing w:line="240" w:lineRule="auto"/>
              <w:ind w:firstLine="0" w:firstLineChars="0"/>
              <w:jc w:val="center"/>
              <w:rPr>
                <w:color w:val="auto"/>
                <w:sz w:val="21"/>
                <w:szCs w:val="21"/>
                <w:highlight w:val="none"/>
              </w:rPr>
            </w:pPr>
            <w:r>
              <w:rPr>
                <w:color w:val="auto"/>
                <w:sz w:val="21"/>
                <w:szCs w:val="21"/>
                <w:highlight w:val="none"/>
              </w:rPr>
              <w:t>G1</w:t>
            </w:r>
          </w:p>
        </w:tc>
        <w:tc>
          <w:tcPr>
            <w:tcW w:w="734" w:type="pct"/>
            <w:tcBorders>
              <w:tl2br w:val="nil"/>
              <w:tr2bl w:val="nil"/>
            </w:tcBorders>
            <w:vAlign w:val="center"/>
          </w:tcPr>
          <w:p w14:paraId="4844B59B">
            <w:pPr>
              <w:spacing w:line="240" w:lineRule="auto"/>
              <w:ind w:firstLine="0" w:firstLineChars="0"/>
              <w:jc w:val="center"/>
              <w:rPr>
                <w:color w:val="auto"/>
                <w:sz w:val="21"/>
                <w:szCs w:val="21"/>
                <w:highlight w:val="none"/>
              </w:rPr>
            </w:pPr>
            <w:r>
              <w:rPr>
                <w:color w:val="auto"/>
                <w:sz w:val="21"/>
                <w:szCs w:val="21"/>
                <w:highlight w:val="none"/>
              </w:rPr>
              <w:t>漆雾</w:t>
            </w:r>
          </w:p>
        </w:tc>
        <w:tc>
          <w:tcPr>
            <w:tcW w:w="1487" w:type="dxa"/>
            <w:tcBorders>
              <w:tl2br w:val="nil"/>
              <w:tr2bl w:val="nil"/>
            </w:tcBorders>
            <w:vAlign w:val="center"/>
          </w:tcPr>
          <w:p w14:paraId="0EF7E410">
            <w:pPr>
              <w:spacing w:line="240" w:lineRule="auto"/>
              <w:ind w:firstLine="0" w:firstLineChars="0"/>
              <w:jc w:val="center"/>
              <w:rPr>
                <w:color w:val="auto"/>
                <w:sz w:val="21"/>
                <w:szCs w:val="21"/>
                <w:highlight w:val="none"/>
              </w:rPr>
            </w:pPr>
            <w:r>
              <w:rPr>
                <w:color w:val="auto"/>
                <w:sz w:val="21"/>
                <w:szCs w:val="21"/>
                <w:highlight w:val="none"/>
              </w:rPr>
              <w:t>5.15</w:t>
            </w:r>
          </w:p>
        </w:tc>
        <w:tc>
          <w:tcPr>
            <w:tcW w:w="1245" w:type="dxa"/>
            <w:tcBorders>
              <w:tl2br w:val="nil"/>
              <w:tr2bl w:val="nil"/>
            </w:tcBorders>
            <w:vAlign w:val="center"/>
          </w:tcPr>
          <w:p w14:paraId="56F4F634">
            <w:pPr>
              <w:spacing w:line="240" w:lineRule="auto"/>
              <w:ind w:firstLine="0" w:firstLineChars="0"/>
              <w:jc w:val="center"/>
              <w:rPr>
                <w:color w:val="auto"/>
                <w:sz w:val="21"/>
                <w:szCs w:val="21"/>
                <w:highlight w:val="none"/>
              </w:rPr>
            </w:pPr>
            <w:r>
              <w:rPr>
                <w:color w:val="auto"/>
                <w:sz w:val="21"/>
                <w:szCs w:val="21"/>
                <w:highlight w:val="none"/>
              </w:rPr>
              <w:t xml:space="preserve">4.12 </w:t>
            </w:r>
          </w:p>
        </w:tc>
        <w:tc>
          <w:tcPr>
            <w:tcW w:w="751" w:type="pct"/>
            <w:vMerge w:val="restart"/>
            <w:tcBorders>
              <w:tl2br w:val="nil"/>
              <w:tr2bl w:val="nil"/>
            </w:tcBorders>
            <w:vAlign w:val="center"/>
          </w:tcPr>
          <w:p w14:paraId="0E96122B">
            <w:pPr>
              <w:spacing w:line="240" w:lineRule="auto"/>
              <w:ind w:firstLine="0" w:firstLineChars="0"/>
              <w:jc w:val="center"/>
              <w:rPr>
                <w:color w:val="auto"/>
                <w:sz w:val="21"/>
                <w:szCs w:val="21"/>
                <w:highlight w:val="none"/>
              </w:rPr>
            </w:pPr>
            <w:r>
              <w:rPr>
                <w:color w:val="auto"/>
                <w:sz w:val="21"/>
                <w:szCs w:val="21"/>
                <w:highlight w:val="none"/>
              </w:rPr>
              <w:t>鼓风机通风无组织排放</w:t>
            </w:r>
          </w:p>
        </w:tc>
        <w:tc>
          <w:tcPr>
            <w:tcW w:w="836" w:type="pct"/>
            <w:vMerge w:val="restart"/>
            <w:tcBorders>
              <w:tl2br w:val="nil"/>
              <w:tr2bl w:val="nil"/>
            </w:tcBorders>
            <w:vAlign w:val="center"/>
          </w:tcPr>
          <w:p w14:paraId="2E43B6F7">
            <w:pPr>
              <w:spacing w:line="240" w:lineRule="auto"/>
              <w:ind w:firstLine="0" w:firstLineChars="0"/>
              <w:jc w:val="center"/>
              <w:rPr>
                <w:color w:val="auto"/>
                <w:sz w:val="21"/>
                <w:szCs w:val="21"/>
                <w:highlight w:val="none"/>
              </w:rPr>
            </w:pPr>
            <w:r>
              <w:rPr>
                <w:color w:val="auto"/>
                <w:sz w:val="21"/>
                <w:szCs w:val="21"/>
                <w:highlight w:val="none"/>
              </w:rPr>
              <w:t>长265m×宽55m×高</w:t>
            </w:r>
            <w:r>
              <w:rPr>
                <w:rFonts w:hint="eastAsia"/>
                <w:color w:val="auto"/>
                <w:sz w:val="21"/>
                <w:szCs w:val="21"/>
                <w:highlight w:val="none"/>
              </w:rPr>
              <w:t>15</w:t>
            </w:r>
            <w:r>
              <w:rPr>
                <w:color w:val="auto"/>
                <w:sz w:val="21"/>
                <w:szCs w:val="21"/>
                <w:highlight w:val="none"/>
              </w:rPr>
              <w:t>m</w:t>
            </w:r>
          </w:p>
        </w:tc>
      </w:tr>
      <w:tr w14:paraId="594C3B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pct"/>
            <w:vMerge w:val="continue"/>
            <w:tcBorders>
              <w:tl2br w:val="nil"/>
              <w:tr2bl w:val="nil"/>
            </w:tcBorders>
            <w:vAlign w:val="center"/>
          </w:tcPr>
          <w:p w14:paraId="7CC6EB05">
            <w:pPr>
              <w:spacing w:line="240" w:lineRule="auto"/>
              <w:ind w:firstLine="0" w:firstLineChars="0"/>
              <w:jc w:val="center"/>
              <w:rPr>
                <w:color w:val="auto"/>
                <w:sz w:val="21"/>
                <w:szCs w:val="21"/>
                <w:highlight w:val="none"/>
              </w:rPr>
            </w:pPr>
          </w:p>
        </w:tc>
        <w:tc>
          <w:tcPr>
            <w:tcW w:w="515" w:type="pct"/>
            <w:vMerge w:val="continue"/>
            <w:tcBorders>
              <w:tl2br w:val="nil"/>
              <w:tr2bl w:val="nil"/>
            </w:tcBorders>
            <w:vAlign w:val="center"/>
          </w:tcPr>
          <w:p w14:paraId="76331487">
            <w:pPr>
              <w:spacing w:line="240" w:lineRule="auto"/>
              <w:ind w:firstLine="0" w:firstLineChars="0"/>
              <w:jc w:val="center"/>
              <w:rPr>
                <w:color w:val="auto"/>
                <w:sz w:val="21"/>
                <w:szCs w:val="21"/>
                <w:highlight w:val="none"/>
              </w:rPr>
            </w:pPr>
          </w:p>
        </w:tc>
        <w:tc>
          <w:tcPr>
            <w:tcW w:w="734" w:type="pct"/>
            <w:tcBorders>
              <w:tl2br w:val="nil"/>
              <w:tr2bl w:val="nil"/>
            </w:tcBorders>
            <w:vAlign w:val="center"/>
          </w:tcPr>
          <w:p w14:paraId="20A766AC">
            <w:pPr>
              <w:spacing w:line="240" w:lineRule="auto"/>
              <w:ind w:firstLine="0" w:firstLineChars="0"/>
              <w:jc w:val="center"/>
              <w:rPr>
                <w:color w:val="auto"/>
                <w:sz w:val="21"/>
                <w:szCs w:val="21"/>
                <w:highlight w:val="none"/>
              </w:rPr>
            </w:pPr>
            <w:r>
              <w:rPr>
                <w:rFonts w:hint="eastAsia"/>
                <w:color w:val="auto"/>
                <w:sz w:val="21"/>
                <w:szCs w:val="21"/>
                <w:highlight w:val="none"/>
              </w:rPr>
              <w:t>T</w:t>
            </w:r>
            <w:r>
              <w:rPr>
                <w:color w:val="auto"/>
                <w:sz w:val="21"/>
                <w:szCs w:val="21"/>
                <w:highlight w:val="none"/>
              </w:rPr>
              <w:t>VOC</w:t>
            </w:r>
          </w:p>
        </w:tc>
        <w:tc>
          <w:tcPr>
            <w:tcW w:w="1487" w:type="dxa"/>
            <w:tcBorders>
              <w:tl2br w:val="nil"/>
              <w:tr2bl w:val="nil"/>
            </w:tcBorders>
            <w:vAlign w:val="center"/>
          </w:tcPr>
          <w:p w14:paraId="511A900D">
            <w:pPr>
              <w:spacing w:line="240" w:lineRule="auto"/>
              <w:ind w:firstLine="0" w:firstLineChars="0"/>
              <w:jc w:val="center"/>
              <w:rPr>
                <w:color w:val="auto"/>
                <w:sz w:val="21"/>
                <w:szCs w:val="21"/>
                <w:highlight w:val="none"/>
              </w:rPr>
            </w:pPr>
            <w:r>
              <w:rPr>
                <w:color w:val="auto"/>
                <w:sz w:val="21"/>
                <w:szCs w:val="21"/>
                <w:highlight w:val="none"/>
              </w:rPr>
              <w:t>58.86</w:t>
            </w:r>
          </w:p>
        </w:tc>
        <w:tc>
          <w:tcPr>
            <w:tcW w:w="1245" w:type="dxa"/>
            <w:tcBorders>
              <w:tl2br w:val="nil"/>
              <w:tr2bl w:val="nil"/>
            </w:tcBorders>
            <w:vAlign w:val="center"/>
          </w:tcPr>
          <w:p w14:paraId="03152C13">
            <w:pPr>
              <w:spacing w:line="240" w:lineRule="auto"/>
              <w:ind w:firstLine="0" w:firstLineChars="0"/>
              <w:jc w:val="center"/>
              <w:rPr>
                <w:color w:val="auto"/>
                <w:sz w:val="21"/>
                <w:szCs w:val="21"/>
                <w:highlight w:val="none"/>
              </w:rPr>
            </w:pPr>
            <w:r>
              <w:rPr>
                <w:color w:val="auto"/>
                <w:sz w:val="21"/>
                <w:szCs w:val="21"/>
                <w:highlight w:val="none"/>
              </w:rPr>
              <w:t>9.81</w:t>
            </w:r>
          </w:p>
        </w:tc>
        <w:tc>
          <w:tcPr>
            <w:tcW w:w="751" w:type="pct"/>
            <w:vMerge w:val="continue"/>
            <w:tcBorders>
              <w:tl2br w:val="nil"/>
              <w:tr2bl w:val="nil"/>
            </w:tcBorders>
            <w:vAlign w:val="center"/>
          </w:tcPr>
          <w:p w14:paraId="5E489736">
            <w:pPr>
              <w:spacing w:line="240" w:lineRule="auto"/>
              <w:ind w:firstLine="0" w:firstLineChars="0"/>
              <w:jc w:val="center"/>
              <w:rPr>
                <w:color w:val="auto"/>
                <w:sz w:val="21"/>
                <w:szCs w:val="21"/>
                <w:highlight w:val="none"/>
              </w:rPr>
            </w:pPr>
          </w:p>
        </w:tc>
        <w:tc>
          <w:tcPr>
            <w:tcW w:w="836" w:type="pct"/>
            <w:vMerge w:val="continue"/>
            <w:tcBorders>
              <w:tl2br w:val="nil"/>
              <w:tr2bl w:val="nil"/>
            </w:tcBorders>
            <w:vAlign w:val="center"/>
          </w:tcPr>
          <w:p w14:paraId="21DDE94F">
            <w:pPr>
              <w:spacing w:line="240" w:lineRule="auto"/>
              <w:ind w:firstLine="0" w:firstLineChars="0"/>
              <w:jc w:val="center"/>
              <w:rPr>
                <w:color w:val="auto"/>
                <w:sz w:val="21"/>
                <w:szCs w:val="21"/>
                <w:highlight w:val="none"/>
              </w:rPr>
            </w:pPr>
          </w:p>
        </w:tc>
      </w:tr>
      <w:tr w14:paraId="422E90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pct"/>
            <w:vMerge w:val="continue"/>
            <w:tcBorders>
              <w:tl2br w:val="nil"/>
              <w:tr2bl w:val="nil"/>
            </w:tcBorders>
            <w:vAlign w:val="center"/>
          </w:tcPr>
          <w:p w14:paraId="5C8F2DF0">
            <w:pPr>
              <w:spacing w:line="240" w:lineRule="auto"/>
              <w:ind w:firstLine="0" w:firstLineChars="0"/>
              <w:jc w:val="center"/>
              <w:rPr>
                <w:color w:val="auto"/>
                <w:sz w:val="21"/>
                <w:szCs w:val="21"/>
                <w:highlight w:val="none"/>
              </w:rPr>
            </w:pPr>
          </w:p>
        </w:tc>
        <w:tc>
          <w:tcPr>
            <w:tcW w:w="515" w:type="pct"/>
            <w:vMerge w:val="continue"/>
            <w:tcBorders>
              <w:tl2br w:val="nil"/>
              <w:tr2bl w:val="nil"/>
            </w:tcBorders>
            <w:vAlign w:val="center"/>
          </w:tcPr>
          <w:p w14:paraId="7BE23C61">
            <w:pPr>
              <w:spacing w:line="240" w:lineRule="auto"/>
              <w:ind w:firstLine="0" w:firstLineChars="0"/>
              <w:jc w:val="center"/>
              <w:rPr>
                <w:color w:val="auto"/>
                <w:sz w:val="21"/>
                <w:szCs w:val="21"/>
                <w:highlight w:val="none"/>
              </w:rPr>
            </w:pPr>
          </w:p>
        </w:tc>
        <w:tc>
          <w:tcPr>
            <w:tcW w:w="734" w:type="pct"/>
            <w:tcBorders>
              <w:tl2br w:val="nil"/>
              <w:tr2bl w:val="nil"/>
            </w:tcBorders>
            <w:vAlign w:val="center"/>
          </w:tcPr>
          <w:p w14:paraId="31336088">
            <w:pPr>
              <w:spacing w:line="240" w:lineRule="auto"/>
              <w:ind w:firstLine="0" w:firstLineChars="0"/>
              <w:jc w:val="center"/>
              <w:rPr>
                <w:color w:val="auto"/>
                <w:sz w:val="21"/>
                <w:szCs w:val="21"/>
                <w:highlight w:val="none"/>
              </w:rPr>
            </w:pPr>
            <w:r>
              <w:rPr>
                <w:color w:val="auto"/>
                <w:sz w:val="21"/>
                <w:szCs w:val="21"/>
                <w:highlight w:val="none"/>
              </w:rPr>
              <w:t>二甲苯</w:t>
            </w:r>
          </w:p>
        </w:tc>
        <w:tc>
          <w:tcPr>
            <w:tcW w:w="1487" w:type="dxa"/>
            <w:tcBorders>
              <w:tl2br w:val="nil"/>
              <w:tr2bl w:val="nil"/>
            </w:tcBorders>
            <w:vAlign w:val="center"/>
          </w:tcPr>
          <w:p w14:paraId="1B0B0EA9">
            <w:pPr>
              <w:spacing w:line="240" w:lineRule="auto"/>
              <w:ind w:firstLine="0" w:firstLineChars="0"/>
              <w:jc w:val="center"/>
              <w:rPr>
                <w:color w:val="auto"/>
                <w:sz w:val="21"/>
                <w:szCs w:val="21"/>
                <w:highlight w:val="none"/>
              </w:rPr>
            </w:pPr>
            <w:r>
              <w:rPr>
                <w:color w:val="auto"/>
                <w:sz w:val="21"/>
                <w:szCs w:val="21"/>
                <w:highlight w:val="none"/>
              </w:rPr>
              <w:t>14.71</w:t>
            </w:r>
          </w:p>
        </w:tc>
        <w:tc>
          <w:tcPr>
            <w:tcW w:w="1245" w:type="dxa"/>
            <w:tcBorders>
              <w:tl2br w:val="nil"/>
              <w:tr2bl w:val="nil"/>
            </w:tcBorders>
            <w:vAlign w:val="center"/>
          </w:tcPr>
          <w:p w14:paraId="123E274A">
            <w:pPr>
              <w:spacing w:line="240" w:lineRule="auto"/>
              <w:ind w:firstLine="0" w:firstLineChars="0"/>
              <w:jc w:val="center"/>
              <w:rPr>
                <w:color w:val="auto"/>
                <w:sz w:val="21"/>
                <w:szCs w:val="21"/>
                <w:highlight w:val="none"/>
              </w:rPr>
            </w:pPr>
            <w:r>
              <w:rPr>
                <w:color w:val="auto"/>
                <w:sz w:val="21"/>
                <w:szCs w:val="21"/>
                <w:highlight w:val="none"/>
              </w:rPr>
              <w:t>2.45</w:t>
            </w:r>
          </w:p>
        </w:tc>
        <w:tc>
          <w:tcPr>
            <w:tcW w:w="751" w:type="pct"/>
            <w:vMerge w:val="continue"/>
            <w:tcBorders>
              <w:tl2br w:val="nil"/>
              <w:tr2bl w:val="nil"/>
            </w:tcBorders>
            <w:vAlign w:val="center"/>
          </w:tcPr>
          <w:p w14:paraId="7575F6B4">
            <w:pPr>
              <w:spacing w:line="240" w:lineRule="auto"/>
              <w:ind w:firstLine="0" w:firstLineChars="0"/>
              <w:jc w:val="center"/>
              <w:rPr>
                <w:color w:val="auto"/>
                <w:sz w:val="21"/>
                <w:szCs w:val="21"/>
                <w:highlight w:val="none"/>
              </w:rPr>
            </w:pPr>
          </w:p>
        </w:tc>
        <w:tc>
          <w:tcPr>
            <w:tcW w:w="836" w:type="pct"/>
            <w:vMerge w:val="continue"/>
            <w:tcBorders>
              <w:tl2br w:val="nil"/>
              <w:tr2bl w:val="nil"/>
            </w:tcBorders>
            <w:vAlign w:val="center"/>
          </w:tcPr>
          <w:p w14:paraId="498659C4">
            <w:pPr>
              <w:spacing w:line="240" w:lineRule="auto"/>
              <w:ind w:firstLine="0" w:firstLineChars="0"/>
              <w:jc w:val="center"/>
              <w:rPr>
                <w:color w:val="auto"/>
                <w:sz w:val="21"/>
                <w:szCs w:val="21"/>
                <w:highlight w:val="none"/>
              </w:rPr>
            </w:pPr>
          </w:p>
        </w:tc>
      </w:tr>
      <w:tr w14:paraId="27BA3D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pct"/>
            <w:vMerge w:val="continue"/>
            <w:tcBorders>
              <w:tl2br w:val="nil"/>
              <w:tr2bl w:val="nil"/>
            </w:tcBorders>
            <w:vAlign w:val="center"/>
          </w:tcPr>
          <w:p w14:paraId="0F5C8A0D">
            <w:pPr>
              <w:widowControl/>
              <w:spacing w:line="240" w:lineRule="auto"/>
              <w:ind w:firstLine="0" w:firstLineChars="0"/>
              <w:jc w:val="center"/>
              <w:rPr>
                <w:color w:val="auto"/>
                <w:sz w:val="21"/>
                <w:szCs w:val="21"/>
                <w:highlight w:val="none"/>
              </w:rPr>
            </w:pPr>
          </w:p>
        </w:tc>
        <w:tc>
          <w:tcPr>
            <w:tcW w:w="515" w:type="pct"/>
            <w:tcBorders>
              <w:tl2br w:val="nil"/>
              <w:tr2bl w:val="nil"/>
            </w:tcBorders>
            <w:vAlign w:val="center"/>
          </w:tcPr>
          <w:p w14:paraId="6C28C772">
            <w:pPr>
              <w:spacing w:line="240" w:lineRule="auto"/>
              <w:ind w:firstLine="0" w:firstLineChars="0"/>
              <w:jc w:val="center"/>
              <w:rPr>
                <w:color w:val="auto"/>
                <w:sz w:val="21"/>
                <w:szCs w:val="21"/>
                <w:highlight w:val="none"/>
              </w:rPr>
            </w:pPr>
            <w:r>
              <w:rPr>
                <w:color w:val="auto"/>
                <w:sz w:val="21"/>
                <w:szCs w:val="21"/>
                <w:highlight w:val="none"/>
              </w:rPr>
              <w:t>G2</w:t>
            </w:r>
          </w:p>
        </w:tc>
        <w:tc>
          <w:tcPr>
            <w:tcW w:w="734" w:type="pct"/>
            <w:tcBorders>
              <w:tl2br w:val="nil"/>
              <w:tr2bl w:val="nil"/>
            </w:tcBorders>
            <w:vAlign w:val="center"/>
          </w:tcPr>
          <w:p w14:paraId="73785F7D">
            <w:pPr>
              <w:spacing w:line="240" w:lineRule="auto"/>
              <w:ind w:firstLine="0" w:firstLineChars="0"/>
              <w:jc w:val="center"/>
              <w:rPr>
                <w:color w:val="auto"/>
                <w:sz w:val="21"/>
                <w:szCs w:val="21"/>
                <w:highlight w:val="none"/>
              </w:rPr>
            </w:pPr>
            <w:r>
              <w:rPr>
                <w:color w:val="auto"/>
                <w:sz w:val="21"/>
                <w:szCs w:val="21"/>
                <w:highlight w:val="none"/>
              </w:rPr>
              <w:t>除锈粉尘</w:t>
            </w:r>
          </w:p>
        </w:tc>
        <w:tc>
          <w:tcPr>
            <w:tcW w:w="800" w:type="pct"/>
            <w:tcBorders>
              <w:tl2br w:val="nil"/>
              <w:tr2bl w:val="nil"/>
            </w:tcBorders>
            <w:vAlign w:val="center"/>
          </w:tcPr>
          <w:p w14:paraId="6BF44102">
            <w:pPr>
              <w:spacing w:line="240" w:lineRule="auto"/>
              <w:ind w:firstLine="0" w:firstLineChars="0"/>
              <w:jc w:val="center"/>
              <w:rPr>
                <w:color w:val="auto"/>
                <w:sz w:val="21"/>
                <w:szCs w:val="21"/>
                <w:highlight w:val="none"/>
              </w:rPr>
            </w:pPr>
            <w:r>
              <w:rPr>
                <w:color w:val="auto"/>
                <w:sz w:val="21"/>
                <w:szCs w:val="21"/>
                <w:highlight w:val="none"/>
              </w:rPr>
              <w:t>3.72</w:t>
            </w:r>
          </w:p>
        </w:tc>
        <w:tc>
          <w:tcPr>
            <w:tcW w:w="670" w:type="pct"/>
            <w:tcBorders>
              <w:tl2br w:val="nil"/>
              <w:tr2bl w:val="nil"/>
            </w:tcBorders>
            <w:vAlign w:val="center"/>
          </w:tcPr>
          <w:p w14:paraId="146EDAA6">
            <w:pPr>
              <w:spacing w:line="240" w:lineRule="auto"/>
              <w:ind w:firstLine="0" w:firstLineChars="0"/>
              <w:jc w:val="center"/>
              <w:rPr>
                <w:color w:val="auto"/>
                <w:sz w:val="21"/>
                <w:szCs w:val="21"/>
                <w:highlight w:val="none"/>
              </w:rPr>
            </w:pPr>
            <w:r>
              <w:rPr>
                <w:color w:val="auto"/>
                <w:sz w:val="21"/>
                <w:szCs w:val="21"/>
                <w:highlight w:val="none"/>
              </w:rPr>
              <w:t>2.48</w:t>
            </w:r>
          </w:p>
        </w:tc>
        <w:tc>
          <w:tcPr>
            <w:tcW w:w="751" w:type="pct"/>
            <w:vMerge w:val="continue"/>
            <w:tcBorders>
              <w:tl2br w:val="nil"/>
              <w:tr2bl w:val="nil"/>
            </w:tcBorders>
            <w:vAlign w:val="center"/>
          </w:tcPr>
          <w:p w14:paraId="7BC6BB96">
            <w:pPr>
              <w:spacing w:line="240" w:lineRule="auto"/>
              <w:ind w:firstLine="0" w:firstLineChars="0"/>
              <w:jc w:val="center"/>
              <w:rPr>
                <w:color w:val="auto"/>
                <w:sz w:val="21"/>
                <w:szCs w:val="21"/>
                <w:highlight w:val="none"/>
              </w:rPr>
            </w:pPr>
          </w:p>
        </w:tc>
        <w:tc>
          <w:tcPr>
            <w:tcW w:w="836" w:type="pct"/>
            <w:vMerge w:val="continue"/>
            <w:tcBorders>
              <w:tl2br w:val="nil"/>
              <w:tr2bl w:val="nil"/>
            </w:tcBorders>
            <w:vAlign w:val="center"/>
          </w:tcPr>
          <w:p w14:paraId="12176CEB">
            <w:pPr>
              <w:spacing w:line="240" w:lineRule="auto"/>
              <w:ind w:firstLine="0" w:firstLineChars="0"/>
              <w:jc w:val="center"/>
              <w:rPr>
                <w:color w:val="auto"/>
                <w:sz w:val="21"/>
                <w:szCs w:val="21"/>
                <w:highlight w:val="none"/>
              </w:rPr>
            </w:pPr>
          </w:p>
        </w:tc>
      </w:tr>
      <w:tr w14:paraId="131CA4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pct"/>
            <w:vMerge w:val="continue"/>
            <w:tcBorders>
              <w:tl2br w:val="nil"/>
              <w:tr2bl w:val="nil"/>
            </w:tcBorders>
            <w:vAlign w:val="center"/>
          </w:tcPr>
          <w:p w14:paraId="2EE67CAC">
            <w:pPr>
              <w:widowControl/>
              <w:spacing w:line="240" w:lineRule="auto"/>
              <w:ind w:firstLine="0" w:firstLineChars="0"/>
              <w:jc w:val="center"/>
              <w:rPr>
                <w:color w:val="auto"/>
                <w:sz w:val="21"/>
                <w:szCs w:val="21"/>
                <w:highlight w:val="none"/>
              </w:rPr>
            </w:pPr>
          </w:p>
        </w:tc>
        <w:tc>
          <w:tcPr>
            <w:tcW w:w="515" w:type="pct"/>
            <w:tcBorders>
              <w:tl2br w:val="nil"/>
              <w:tr2bl w:val="nil"/>
            </w:tcBorders>
            <w:vAlign w:val="center"/>
          </w:tcPr>
          <w:p w14:paraId="5B49A893">
            <w:pPr>
              <w:spacing w:line="240" w:lineRule="auto"/>
              <w:ind w:firstLine="0" w:firstLineChars="0"/>
              <w:jc w:val="center"/>
              <w:rPr>
                <w:color w:val="auto"/>
                <w:sz w:val="21"/>
                <w:szCs w:val="21"/>
                <w:highlight w:val="none"/>
                <w:u w:val="single"/>
              </w:rPr>
            </w:pPr>
            <w:r>
              <w:rPr>
                <w:color w:val="auto"/>
                <w:sz w:val="21"/>
                <w:szCs w:val="21"/>
                <w:highlight w:val="none"/>
                <w:u w:val="single"/>
              </w:rPr>
              <w:t>G3</w:t>
            </w:r>
          </w:p>
        </w:tc>
        <w:tc>
          <w:tcPr>
            <w:tcW w:w="734" w:type="pct"/>
            <w:tcBorders>
              <w:tl2br w:val="nil"/>
              <w:tr2bl w:val="nil"/>
            </w:tcBorders>
            <w:vAlign w:val="center"/>
          </w:tcPr>
          <w:p w14:paraId="33D5044B">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焊接粉尘</w:t>
            </w:r>
          </w:p>
        </w:tc>
        <w:tc>
          <w:tcPr>
            <w:tcW w:w="800" w:type="pct"/>
            <w:tcBorders>
              <w:tl2br w:val="nil"/>
              <w:tr2bl w:val="nil"/>
            </w:tcBorders>
            <w:vAlign w:val="center"/>
          </w:tcPr>
          <w:p w14:paraId="0E127283">
            <w:pPr>
              <w:spacing w:line="240" w:lineRule="auto"/>
              <w:ind w:firstLine="0" w:firstLineChars="0"/>
              <w:jc w:val="center"/>
              <w:rPr>
                <w:color w:val="auto"/>
                <w:sz w:val="21"/>
                <w:szCs w:val="21"/>
                <w:highlight w:val="none"/>
                <w:u w:val="single"/>
              </w:rPr>
            </w:pPr>
            <w:r>
              <w:rPr>
                <w:color w:val="auto"/>
                <w:sz w:val="21"/>
                <w:szCs w:val="21"/>
                <w:highlight w:val="none"/>
                <w:u w:val="single"/>
              </w:rPr>
              <w:t>0.</w:t>
            </w:r>
            <w:r>
              <w:rPr>
                <w:rFonts w:hint="eastAsia"/>
                <w:color w:val="auto"/>
                <w:sz w:val="21"/>
                <w:szCs w:val="21"/>
                <w:highlight w:val="none"/>
                <w:u w:val="single"/>
              </w:rPr>
              <w:t>072</w:t>
            </w:r>
          </w:p>
        </w:tc>
        <w:tc>
          <w:tcPr>
            <w:tcW w:w="670" w:type="pct"/>
            <w:tcBorders>
              <w:tl2br w:val="nil"/>
              <w:tr2bl w:val="nil"/>
            </w:tcBorders>
            <w:vAlign w:val="center"/>
          </w:tcPr>
          <w:p w14:paraId="74BFC714">
            <w:pPr>
              <w:spacing w:line="240" w:lineRule="auto"/>
              <w:ind w:firstLine="0" w:firstLineChars="0"/>
              <w:jc w:val="center"/>
              <w:rPr>
                <w:color w:val="auto"/>
                <w:sz w:val="21"/>
                <w:szCs w:val="21"/>
                <w:highlight w:val="none"/>
                <w:u w:val="single"/>
              </w:rPr>
            </w:pPr>
            <w:r>
              <w:rPr>
                <w:color w:val="auto"/>
                <w:sz w:val="21"/>
                <w:szCs w:val="21"/>
                <w:highlight w:val="none"/>
                <w:u w:val="single"/>
              </w:rPr>
              <w:t>0.</w:t>
            </w:r>
            <w:r>
              <w:rPr>
                <w:rFonts w:hint="eastAsia"/>
                <w:color w:val="auto"/>
                <w:sz w:val="21"/>
                <w:szCs w:val="21"/>
                <w:highlight w:val="none"/>
                <w:u w:val="single"/>
              </w:rPr>
              <w:t>058</w:t>
            </w:r>
          </w:p>
        </w:tc>
        <w:tc>
          <w:tcPr>
            <w:tcW w:w="751" w:type="pct"/>
            <w:vMerge w:val="continue"/>
            <w:tcBorders>
              <w:tl2br w:val="nil"/>
              <w:tr2bl w:val="nil"/>
            </w:tcBorders>
            <w:vAlign w:val="center"/>
          </w:tcPr>
          <w:p w14:paraId="7C455302">
            <w:pPr>
              <w:spacing w:line="240" w:lineRule="auto"/>
              <w:ind w:firstLine="0" w:firstLineChars="0"/>
              <w:jc w:val="center"/>
              <w:rPr>
                <w:color w:val="auto"/>
                <w:sz w:val="21"/>
                <w:szCs w:val="21"/>
                <w:highlight w:val="none"/>
              </w:rPr>
            </w:pPr>
          </w:p>
        </w:tc>
        <w:tc>
          <w:tcPr>
            <w:tcW w:w="836" w:type="pct"/>
            <w:vMerge w:val="continue"/>
            <w:tcBorders>
              <w:tl2br w:val="nil"/>
              <w:tr2bl w:val="nil"/>
            </w:tcBorders>
            <w:vAlign w:val="center"/>
          </w:tcPr>
          <w:p w14:paraId="0A8E609A">
            <w:pPr>
              <w:spacing w:line="240" w:lineRule="auto"/>
              <w:ind w:firstLine="0" w:firstLineChars="0"/>
              <w:jc w:val="center"/>
              <w:rPr>
                <w:color w:val="auto"/>
                <w:sz w:val="21"/>
                <w:szCs w:val="21"/>
                <w:highlight w:val="none"/>
              </w:rPr>
            </w:pPr>
          </w:p>
        </w:tc>
      </w:tr>
      <w:tr w14:paraId="4B1513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pct"/>
            <w:vMerge w:val="continue"/>
            <w:tcBorders>
              <w:tl2br w:val="nil"/>
              <w:tr2bl w:val="nil"/>
            </w:tcBorders>
            <w:vAlign w:val="center"/>
          </w:tcPr>
          <w:p w14:paraId="4CE270D2">
            <w:pPr>
              <w:widowControl/>
              <w:spacing w:line="240" w:lineRule="auto"/>
              <w:ind w:firstLine="0" w:firstLineChars="0"/>
              <w:jc w:val="center"/>
              <w:rPr>
                <w:color w:val="auto"/>
                <w:sz w:val="21"/>
                <w:szCs w:val="21"/>
                <w:highlight w:val="none"/>
              </w:rPr>
            </w:pPr>
          </w:p>
        </w:tc>
        <w:tc>
          <w:tcPr>
            <w:tcW w:w="515" w:type="pct"/>
            <w:tcBorders>
              <w:tl2br w:val="nil"/>
              <w:tr2bl w:val="nil"/>
            </w:tcBorders>
            <w:vAlign w:val="center"/>
          </w:tcPr>
          <w:p w14:paraId="260F04D4">
            <w:pPr>
              <w:spacing w:line="240" w:lineRule="auto"/>
              <w:ind w:firstLine="0" w:firstLineChars="0"/>
              <w:jc w:val="center"/>
              <w:rPr>
                <w:color w:val="auto"/>
                <w:sz w:val="21"/>
                <w:szCs w:val="21"/>
                <w:highlight w:val="none"/>
              </w:rPr>
            </w:pPr>
            <w:r>
              <w:rPr>
                <w:color w:val="auto"/>
                <w:sz w:val="21"/>
                <w:szCs w:val="21"/>
                <w:highlight w:val="none"/>
              </w:rPr>
              <w:t>G4</w:t>
            </w:r>
          </w:p>
        </w:tc>
        <w:tc>
          <w:tcPr>
            <w:tcW w:w="734" w:type="pct"/>
            <w:tcBorders>
              <w:tl2br w:val="nil"/>
              <w:tr2bl w:val="nil"/>
            </w:tcBorders>
            <w:vAlign w:val="center"/>
          </w:tcPr>
          <w:p w14:paraId="2938F902">
            <w:pPr>
              <w:widowControl/>
              <w:spacing w:line="240" w:lineRule="auto"/>
              <w:ind w:firstLine="0" w:firstLineChars="0"/>
              <w:jc w:val="center"/>
              <w:rPr>
                <w:color w:val="auto"/>
                <w:sz w:val="21"/>
                <w:szCs w:val="21"/>
                <w:highlight w:val="none"/>
              </w:rPr>
            </w:pPr>
            <w:r>
              <w:rPr>
                <w:color w:val="auto"/>
                <w:sz w:val="21"/>
                <w:szCs w:val="21"/>
                <w:highlight w:val="none"/>
              </w:rPr>
              <w:t>切割粉尘</w:t>
            </w:r>
          </w:p>
        </w:tc>
        <w:tc>
          <w:tcPr>
            <w:tcW w:w="800" w:type="pct"/>
            <w:tcBorders>
              <w:tl2br w:val="nil"/>
              <w:tr2bl w:val="nil"/>
            </w:tcBorders>
            <w:vAlign w:val="center"/>
          </w:tcPr>
          <w:p w14:paraId="09B579DA">
            <w:pPr>
              <w:spacing w:line="240" w:lineRule="auto"/>
              <w:ind w:firstLine="0" w:firstLineChars="0"/>
              <w:jc w:val="center"/>
              <w:rPr>
                <w:color w:val="auto"/>
                <w:sz w:val="21"/>
                <w:szCs w:val="21"/>
                <w:highlight w:val="none"/>
              </w:rPr>
            </w:pPr>
            <w:r>
              <w:rPr>
                <w:color w:val="auto"/>
                <w:sz w:val="21"/>
                <w:szCs w:val="21"/>
                <w:highlight w:val="none"/>
              </w:rPr>
              <w:t>0.5</w:t>
            </w:r>
          </w:p>
        </w:tc>
        <w:tc>
          <w:tcPr>
            <w:tcW w:w="670" w:type="pct"/>
            <w:tcBorders>
              <w:tl2br w:val="nil"/>
              <w:tr2bl w:val="nil"/>
            </w:tcBorders>
            <w:vAlign w:val="center"/>
          </w:tcPr>
          <w:p w14:paraId="1210558C">
            <w:pPr>
              <w:spacing w:line="240" w:lineRule="auto"/>
              <w:ind w:firstLine="0" w:firstLineChars="0"/>
              <w:jc w:val="center"/>
              <w:rPr>
                <w:color w:val="auto"/>
                <w:sz w:val="21"/>
                <w:szCs w:val="21"/>
                <w:highlight w:val="none"/>
              </w:rPr>
            </w:pPr>
            <w:r>
              <w:rPr>
                <w:color w:val="auto"/>
                <w:sz w:val="21"/>
                <w:szCs w:val="21"/>
                <w:highlight w:val="none"/>
              </w:rPr>
              <w:t>0.4</w:t>
            </w:r>
          </w:p>
        </w:tc>
        <w:tc>
          <w:tcPr>
            <w:tcW w:w="751" w:type="pct"/>
            <w:vMerge w:val="continue"/>
            <w:tcBorders>
              <w:tl2br w:val="nil"/>
              <w:tr2bl w:val="nil"/>
            </w:tcBorders>
            <w:vAlign w:val="center"/>
          </w:tcPr>
          <w:p w14:paraId="17AE9BED">
            <w:pPr>
              <w:spacing w:line="240" w:lineRule="auto"/>
              <w:ind w:firstLine="0" w:firstLineChars="0"/>
              <w:jc w:val="center"/>
              <w:rPr>
                <w:color w:val="auto"/>
                <w:sz w:val="21"/>
                <w:szCs w:val="21"/>
                <w:highlight w:val="none"/>
              </w:rPr>
            </w:pPr>
          </w:p>
        </w:tc>
        <w:tc>
          <w:tcPr>
            <w:tcW w:w="836" w:type="pct"/>
            <w:vMerge w:val="continue"/>
            <w:tcBorders>
              <w:tl2br w:val="nil"/>
              <w:tr2bl w:val="nil"/>
            </w:tcBorders>
            <w:vAlign w:val="center"/>
          </w:tcPr>
          <w:p w14:paraId="20A09231">
            <w:pPr>
              <w:spacing w:line="240" w:lineRule="auto"/>
              <w:ind w:firstLine="0" w:firstLineChars="0"/>
              <w:jc w:val="center"/>
              <w:rPr>
                <w:color w:val="auto"/>
                <w:sz w:val="21"/>
                <w:szCs w:val="21"/>
                <w:highlight w:val="none"/>
              </w:rPr>
            </w:pPr>
          </w:p>
        </w:tc>
      </w:tr>
    </w:tbl>
    <w:p w14:paraId="0287DA59">
      <w:pPr>
        <w:ind w:firstLine="480"/>
        <w:rPr>
          <w:color w:val="auto"/>
          <w:highlight w:val="none"/>
        </w:rPr>
      </w:pPr>
    </w:p>
    <w:p w14:paraId="30D043E7">
      <w:pPr>
        <w:pStyle w:val="533"/>
        <w:numPr>
          <w:ilvl w:val="3"/>
          <w:numId w:val="9"/>
        </w:numPr>
        <w:rPr>
          <w:color w:val="auto"/>
          <w:szCs w:val="24"/>
          <w:highlight w:val="none"/>
        </w:rPr>
      </w:pPr>
      <w:r>
        <w:rPr>
          <w:color w:val="auto"/>
          <w:szCs w:val="24"/>
          <w:highlight w:val="none"/>
        </w:rPr>
        <w:t>运营期废水</w:t>
      </w:r>
    </w:p>
    <w:p w14:paraId="40C9B7E8">
      <w:pPr>
        <w:ind w:firstLine="480"/>
        <w:rPr>
          <w:color w:val="auto"/>
          <w:szCs w:val="20"/>
          <w:highlight w:val="none"/>
        </w:rPr>
      </w:pPr>
      <w:r>
        <w:rPr>
          <w:color w:val="auto"/>
          <w:szCs w:val="20"/>
          <w:highlight w:val="none"/>
        </w:rPr>
        <w:t>本项目废水主要是含油污水、生活污水及初期雨水。</w:t>
      </w:r>
    </w:p>
    <w:p w14:paraId="15A11899">
      <w:pPr>
        <w:ind w:firstLine="482"/>
        <w:rPr>
          <w:b/>
          <w:color w:val="auto"/>
          <w:szCs w:val="20"/>
          <w:highlight w:val="none"/>
        </w:rPr>
      </w:pPr>
      <w:r>
        <w:rPr>
          <w:b/>
          <w:color w:val="auto"/>
          <w:szCs w:val="20"/>
          <w:highlight w:val="none"/>
        </w:rPr>
        <w:t>（1）生活污水（W1）</w:t>
      </w:r>
    </w:p>
    <w:p w14:paraId="60396CD6">
      <w:pPr>
        <w:ind w:firstLine="480"/>
        <w:rPr>
          <w:color w:val="auto"/>
          <w:szCs w:val="20"/>
          <w:highlight w:val="none"/>
        </w:rPr>
      </w:pPr>
      <w:r>
        <w:rPr>
          <w:color w:val="auto"/>
          <w:szCs w:val="20"/>
          <w:highlight w:val="none"/>
        </w:rPr>
        <w:t>浮船坞最大作业工况为船坞修理，坞修作业人数：150人，其中工人135人，技术及管理人员15人，年工作日为250天，为</w:t>
      </w:r>
      <w:r>
        <w:rPr>
          <w:rFonts w:hint="eastAsia"/>
          <w:color w:val="auto"/>
          <w:szCs w:val="20"/>
          <w:highlight w:val="none"/>
          <w:lang w:eastAsia="zh-CN"/>
        </w:rPr>
        <w:t>两班</w:t>
      </w:r>
      <w:r>
        <w:rPr>
          <w:color w:val="auto"/>
          <w:szCs w:val="20"/>
          <w:highlight w:val="none"/>
        </w:rPr>
        <w:t>制，工人年时基数为3820小时。本项目作业人员依托中船钦州修船资源整合项目，不新增作业人员。职工生活污水以每人每天用水150L，排水系数0.85计，生活用水量22.5m</w:t>
      </w:r>
      <w:r>
        <w:rPr>
          <w:color w:val="auto"/>
          <w:szCs w:val="20"/>
          <w:highlight w:val="none"/>
          <w:vertAlign w:val="superscript"/>
        </w:rPr>
        <w:t>3</w:t>
      </w:r>
      <w:r>
        <w:rPr>
          <w:color w:val="auto"/>
          <w:szCs w:val="20"/>
          <w:highlight w:val="none"/>
        </w:rPr>
        <w:t>/d，日生活污水产生量约为19.125m</w:t>
      </w:r>
      <w:r>
        <w:rPr>
          <w:color w:val="auto"/>
          <w:szCs w:val="20"/>
          <w:highlight w:val="none"/>
          <w:vertAlign w:val="superscript"/>
        </w:rPr>
        <w:t>3</w:t>
      </w:r>
      <w:r>
        <w:rPr>
          <w:color w:val="auto"/>
          <w:szCs w:val="20"/>
          <w:highlight w:val="none"/>
        </w:rPr>
        <w:t>/d（4781.25m</w:t>
      </w:r>
      <w:r>
        <w:rPr>
          <w:color w:val="auto"/>
          <w:szCs w:val="20"/>
          <w:highlight w:val="none"/>
          <w:vertAlign w:val="superscript"/>
        </w:rPr>
        <w:t>3</w:t>
      </w:r>
      <w:r>
        <w:rPr>
          <w:color w:val="auto"/>
          <w:szCs w:val="20"/>
          <w:highlight w:val="none"/>
        </w:rPr>
        <w:t>/a）。</w:t>
      </w:r>
    </w:p>
    <w:p w14:paraId="161143FB">
      <w:pPr>
        <w:ind w:firstLine="480"/>
        <w:rPr>
          <w:color w:val="auto"/>
          <w:highlight w:val="none"/>
        </w:rPr>
      </w:pPr>
      <w:r>
        <w:rPr>
          <w:color w:val="auto"/>
          <w:szCs w:val="20"/>
          <w:highlight w:val="none"/>
        </w:rPr>
        <w:t>生活污水经</w:t>
      </w:r>
      <w:r>
        <w:rPr>
          <w:rFonts w:hint="eastAsia"/>
          <w:color w:val="auto"/>
          <w:szCs w:val="20"/>
          <w:highlight w:val="none"/>
        </w:rPr>
        <w:t>陆域</w:t>
      </w:r>
      <w:r>
        <w:rPr>
          <w:color w:val="auto"/>
          <w:szCs w:val="20"/>
          <w:highlight w:val="none"/>
        </w:rPr>
        <w:t>生活污水处理一体化设备（处理规模300m</w:t>
      </w:r>
      <w:r>
        <w:rPr>
          <w:color w:val="auto"/>
          <w:szCs w:val="20"/>
          <w:highlight w:val="none"/>
          <w:vertAlign w:val="superscript"/>
        </w:rPr>
        <w:t>3</w:t>
      </w:r>
      <w:r>
        <w:rPr>
          <w:color w:val="auto"/>
          <w:szCs w:val="20"/>
          <w:highlight w:val="none"/>
        </w:rPr>
        <w:t>/d）处理</w:t>
      </w:r>
      <w:r>
        <w:rPr>
          <w:rFonts w:hint="eastAsia"/>
          <w:color w:val="auto"/>
          <w:szCs w:val="20"/>
          <w:highlight w:val="none"/>
        </w:rPr>
        <w:t>后，进入中水回用池储存，</w:t>
      </w:r>
      <w:r>
        <w:rPr>
          <w:color w:val="auto"/>
          <w:szCs w:val="20"/>
          <w:highlight w:val="none"/>
        </w:rPr>
        <w:t>大部分回用于厂区绿化及降尘，少部分不能回用的由槽罐车运至大榄坪污水处理厂处理</w:t>
      </w:r>
      <w:r>
        <w:rPr>
          <w:color w:val="auto"/>
          <w:highlight w:val="none"/>
        </w:rPr>
        <w:t>。</w:t>
      </w:r>
    </w:p>
    <w:p w14:paraId="2F69BFCA">
      <w:pPr>
        <w:spacing w:before="120" w:beforeLines="50"/>
        <w:ind w:firstLine="482"/>
        <w:rPr>
          <w:b/>
          <w:color w:val="auto"/>
          <w:szCs w:val="20"/>
          <w:highlight w:val="none"/>
          <w:u w:val="single"/>
        </w:rPr>
      </w:pPr>
      <w:r>
        <w:rPr>
          <w:b/>
          <w:color w:val="auto"/>
          <w:szCs w:val="20"/>
          <w:highlight w:val="none"/>
          <w:u w:val="single"/>
        </w:rPr>
        <w:t>（</w:t>
      </w:r>
      <w:r>
        <w:rPr>
          <w:rFonts w:hint="eastAsia"/>
          <w:b/>
          <w:color w:val="auto"/>
          <w:szCs w:val="20"/>
          <w:highlight w:val="none"/>
          <w:u w:val="single"/>
        </w:rPr>
        <w:t>2</w:t>
      </w:r>
      <w:r>
        <w:rPr>
          <w:b/>
          <w:color w:val="auto"/>
          <w:szCs w:val="20"/>
          <w:highlight w:val="none"/>
          <w:u w:val="single"/>
        </w:rPr>
        <w:t>）</w:t>
      </w:r>
      <w:r>
        <w:rPr>
          <w:rFonts w:hint="eastAsia"/>
          <w:b/>
          <w:color w:val="auto"/>
          <w:szCs w:val="20"/>
          <w:highlight w:val="none"/>
          <w:u w:val="single"/>
        </w:rPr>
        <w:t>生产废水</w:t>
      </w:r>
    </w:p>
    <w:p w14:paraId="06EF666D">
      <w:pPr>
        <w:spacing w:before="120" w:beforeLines="50"/>
        <w:ind w:firstLine="480"/>
        <w:rPr>
          <w:bCs/>
          <w:color w:val="auto"/>
          <w:szCs w:val="20"/>
          <w:highlight w:val="none"/>
          <w:u w:val="single"/>
        </w:rPr>
      </w:pPr>
      <w:r>
        <w:rPr>
          <w:rFonts w:hint="eastAsia"/>
          <w:bCs/>
          <w:color w:val="auto"/>
          <w:szCs w:val="20"/>
          <w:highlight w:val="none"/>
          <w:u w:val="single"/>
        </w:rPr>
        <w:t>修理的船舶在进坞前需进行清仓处理，保证空船进坞。压舱水需在进坞前委托有资质单位处理，不得在本项目区域排放；洗舱作业及产生的洗舱废水委托有资质单位处理，不得在本项目区域排放；因此本项目生产废水主要为高压冲洗废水和坞修含油废水。</w:t>
      </w:r>
    </w:p>
    <w:p w14:paraId="2939265C">
      <w:pPr>
        <w:spacing w:before="120" w:beforeLines="50"/>
        <w:ind w:firstLine="482"/>
        <w:rPr>
          <w:b/>
          <w:color w:val="auto"/>
          <w:szCs w:val="20"/>
          <w:highlight w:val="none"/>
          <w:u w:val="single"/>
        </w:rPr>
      </w:pPr>
      <w:r>
        <w:rPr>
          <w:rFonts w:hint="eastAsia"/>
          <w:b/>
          <w:color w:val="auto"/>
          <w:szCs w:val="20"/>
          <w:highlight w:val="none"/>
          <w:u w:val="single"/>
        </w:rPr>
        <w:t>1）</w:t>
      </w:r>
      <w:r>
        <w:rPr>
          <w:b/>
          <w:color w:val="auto"/>
          <w:szCs w:val="20"/>
          <w:highlight w:val="none"/>
          <w:u w:val="single"/>
        </w:rPr>
        <w:t>压舱水（W</w:t>
      </w:r>
      <w:r>
        <w:rPr>
          <w:rFonts w:hint="eastAsia"/>
          <w:b/>
          <w:color w:val="auto"/>
          <w:szCs w:val="20"/>
          <w:highlight w:val="none"/>
          <w:u w:val="single"/>
        </w:rPr>
        <w:t>2</w:t>
      </w:r>
      <w:r>
        <w:rPr>
          <w:b/>
          <w:color w:val="auto"/>
          <w:szCs w:val="20"/>
          <w:highlight w:val="none"/>
          <w:u w:val="single"/>
        </w:rPr>
        <w:t>）</w:t>
      </w:r>
    </w:p>
    <w:p w14:paraId="10816B32">
      <w:pPr>
        <w:ind w:firstLine="480"/>
        <w:rPr>
          <w:color w:val="auto"/>
          <w:szCs w:val="20"/>
          <w:highlight w:val="none"/>
          <w:u w:val="single"/>
        </w:rPr>
      </w:pPr>
      <w:r>
        <w:rPr>
          <w:color w:val="auto"/>
          <w:szCs w:val="20"/>
          <w:highlight w:val="none"/>
          <w:u w:val="single"/>
        </w:rPr>
        <w:t>压舱水是保持船舶平衡，而专门注入船舶的水，压舱水一般取自海水，船舶若不加控制地排放压载水和沉积物会</w:t>
      </w:r>
      <w:r>
        <w:rPr>
          <w:rFonts w:hint="eastAsia"/>
          <w:color w:val="auto"/>
          <w:szCs w:val="20"/>
          <w:highlight w:val="none"/>
          <w:u w:val="single"/>
          <w:lang w:eastAsia="zh-CN"/>
        </w:rPr>
        <w:t>引起</w:t>
      </w:r>
      <w:r>
        <w:rPr>
          <w:color w:val="auto"/>
          <w:szCs w:val="20"/>
          <w:highlight w:val="none"/>
          <w:u w:val="single"/>
        </w:rPr>
        <w:t>有害水生物和病原体的转移，威胁到对生物多样性的保护和可持久利用。</w:t>
      </w:r>
    </w:p>
    <w:p w14:paraId="4FFA137D">
      <w:pPr>
        <w:ind w:firstLine="480"/>
        <w:rPr>
          <w:color w:val="auto"/>
          <w:szCs w:val="20"/>
          <w:highlight w:val="none"/>
          <w:u w:val="single"/>
        </w:rPr>
      </w:pPr>
      <w:r>
        <w:rPr>
          <w:color w:val="auto"/>
          <w:szCs w:val="20"/>
          <w:highlight w:val="none"/>
          <w:u w:val="single"/>
        </w:rPr>
        <w:t>根据《港口工程环境保护设计规范》（JTS149-1-2007），沿海船舶压载水量可按载重吨的12%~24%确定。本项目单艘船的压载水量可达到2400~24000t/艘，水量较大。压载水为一般海水，含有少量的石油类。依据《关于控制和管理船舶压载水，减少有害生物和病原体传播的指南》及压舱水的相关管理规定，所有压舱水根据海事部门的要求进行排放。对于船舶压载水的处理，国内和国际都在进一步研究之中。国家环境保护部、海事局及</w:t>
      </w:r>
      <w:r>
        <w:rPr>
          <w:rFonts w:hint="eastAsia"/>
          <w:color w:val="auto"/>
          <w:szCs w:val="20"/>
          <w:highlight w:val="none"/>
          <w:u w:val="single"/>
          <w:lang w:eastAsia="zh-CN"/>
        </w:rPr>
        <w:t>交通运输部</w:t>
      </w:r>
      <w:r>
        <w:rPr>
          <w:color w:val="auto"/>
          <w:szCs w:val="20"/>
          <w:highlight w:val="none"/>
          <w:u w:val="single"/>
        </w:rPr>
        <w:t>目前未正式颁发任何有关压舱水必须上岸处理的文件。</w:t>
      </w:r>
    </w:p>
    <w:p w14:paraId="47CA7056">
      <w:pPr>
        <w:ind w:firstLine="480"/>
        <w:rPr>
          <w:color w:val="auto"/>
          <w:szCs w:val="20"/>
          <w:highlight w:val="none"/>
          <w:u w:val="single"/>
        </w:rPr>
      </w:pPr>
      <w:r>
        <w:rPr>
          <w:color w:val="auto"/>
          <w:szCs w:val="20"/>
          <w:highlight w:val="none"/>
          <w:u w:val="single"/>
        </w:rPr>
        <w:t>因此在本环境影响报告书中明确要求：“压舱水不得在港池内排放”。外贸船舶在入境前，应更换压舱水，所有压舱水应根据海事部门的要求进行排放，船舶压舱水均由船体自带的油水分离器处理后达到</w:t>
      </w:r>
      <w:r>
        <w:rPr>
          <w:rFonts w:hint="default" w:ascii="Times New Roman" w:hAnsi="Times New Roman" w:cs="Times New Roman"/>
          <w:color w:val="auto"/>
          <w:highlight w:val="none"/>
          <w:u w:val="single"/>
        </w:rPr>
        <w:t>《船舶水污染物排放控制标准》（GB3552-2018）</w:t>
      </w:r>
      <w:r>
        <w:rPr>
          <w:color w:val="auto"/>
          <w:szCs w:val="20"/>
          <w:highlight w:val="none"/>
          <w:u w:val="single"/>
        </w:rPr>
        <w:t>，排入外海，或委托有资质的船舶清理服务公司收集处理，本工程不接收处理到港船舶压舱载水。</w:t>
      </w:r>
    </w:p>
    <w:p w14:paraId="3C44697C">
      <w:pPr>
        <w:ind w:firstLine="482"/>
        <w:rPr>
          <w:b/>
          <w:color w:val="auto"/>
          <w:szCs w:val="20"/>
          <w:highlight w:val="none"/>
        </w:rPr>
      </w:pPr>
      <w:r>
        <w:rPr>
          <w:rFonts w:hint="eastAsia"/>
          <w:b/>
          <w:color w:val="auto"/>
          <w:szCs w:val="20"/>
          <w:highlight w:val="none"/>
        </w:rPr>
        <w:t>2</w:t>
      </w:r>
      <w:r>
        <w:rPr>
          <w:b/>
          <w:color w:val="auto"/>
          <w:szCs w:val="20"/>
          <w:highlight w:val="none"/>
        </w:rPr>
        <w:t>）洗舱废水（W</w:t>
      </w:r>
      <w:r>
        <w:rPr>
          <w:rFonts w:hint="eastAsia"/>
          <w:b/>
          <w:color w:val="auto"/>
          <w:szCs w:val="20"/>
          <w:highlight w:val="none"/>
        </w:rPr>
        <w:t>3</w:t>
      </w:r>
      <w:r>
        <w:rPr>
          <w:b/>
          <w:color w:val="auto"/>
          <w:szCs w:val="20"/>
          <w:highlight w:val="none"/>
        </w:rPr>
        <w:t>）</w:t>
      </w:r>
    </w:p>
    <w:p w14:paraId="278F9683">
      <w:pPr>
        <w:ind w:firstLine="480"/>
        <w:rPr>
          <w:color w:val="auto"/>
          <w:szCs w:val="20"/>
          <w:highlight w:val="none"/>
        </w:rPr>
      </w:pPr>
      <w:r>
        <w:rPr>
          <w:color w:val="auto"/>
          <w:szCs w:val="20"/>
          <w:highlight w:val="none"/>
        </w:rPr>
        <w:t>修理的船舶在进坞前需进行清仓处理，保证空船进坞。船舶进坞修理时，需对货舱进行维修需要进行清洗，因而产生大量的洗舱水。根据所载运货种的不同，主要包括化工船舶洗舱水和油船洗舱水两类。</w:t>
      </w:r>
    </w:p>
    <w:p w14:paraId="4A8DD89C">
      <w:pPr>
        <w:ind w:firstLine="480"/>
        <w:rPr>
          <w:color w:val="auto"/>
          <w:szCs w:val="20"/>
          <w:highlight w:val="none"/>
        </w:rPr>
      </w:pPr>
      <w:r>
        <w:rPr>
          <w:color w:val="auto"/>
          <w:szCs w:val="20"/>
          <w:highlight w:val="none"/>
        </w:rPr>
        <w:t>①油船洗舱水</w:t>
      </w:r>
    </w:p>
    <w:p w14:paraId="3EBBBB47">
      <w:pPr>
        <w:ind w:firstLine="480"/>
        <w:rPr>
          <w:color w:val="auto"/>
          <w:szCs w:val="20"/>
          <w:highlight w:val="none"/>
        </w:rPr>
      </w:pPr>
      <w:r>
        <w:rPr>
          <w:color w:val="auto"/>
          <w:szCs w:val="20"/>
          <w:highlight w:val="none"/>
        </w:rPr>
        <w:t>当油船调换装货油种时，要清洗舱壁和底板上的残油，因而产生洗舱含油和油泥污水。对于洗舱水的水量估计，一般按万吨级的油船，每次洗舱水量约400~800t。</w:t>
      </w:r>
    </w:p>
    <w:p w14:paraId="430C6E21">
      <w:pPr>
        <w:ind w:firstLine="480"/>
        <w:rPr>
          <w:color w:val="auto"/>
          <w:szCs w:val="20"/>
          <w:highlight w:val="none"/>
        </w:rPr>
      </w:pPr>
      <w:r>
        <w:rPr>
          <w:color w:val="auto"/>
          <w:szCs w:val="20"/>
          <w:highlight w:val="none"/>
        </w:rPr>
        <w:t>据《船舶含油污水处理》中介绍，我国油舱洗舱水含油为1%~3%，而上海海运局油船洗舱水处理统计，其含油量为2.1 %~7.1，平均为4.6%。可见，洗舱水含油量较高。洗舱水中还含有油泥、铁锈水中还含有泥、铁锈。</w:t>
      </w:r>
    </w:p>
    <w:p w14:paraId="4EE9D1F0">
      <w:pPr>
        <w:ind w:firstLine="480"/>
        <w:rPr>
          <w:color w:val="auto"/>
          <w:szCs w:val="20"/>
          <w:highlight w:val="none"/>
        </w:rPr>
      </w:pPr>
      <w:r>
        <w:rPr>
          <w:color w:val="auto"/>
          <w:szCs w:val="20"/>
          <w:highlight w:val="none"/>
        </w:rPr>
        <w:t>②散装液体化学品洗舱水</w:t>
      </w:r>
    </w:p>
    <w:p w14:paraId="7B27B7E1">
      <w:pPr>
        <w:ind w:firstLine="480"/>
        <w:rPr>
          <w:color w:val="auto"/>
          <w:szCs w:val="20"/>
          <w:highlight w:val="none"/>
        </w:rPr>
      </w:pPr>
      <w:r>
        <w:rPr>
          <w:color w:val="auto"/>
          <w:szCs w:val="20"/>
          <w:highlight w:val="none"/>
        </w:rPr>
        <w:t>化工船舶洗舱水通常一个船舱的清洗水量为5~20m</w:t>
      </w:r>
      <w:r>
        <w:rPr>
          <w:color w:val="auto"/>
          <w:szCs w:val="20"/>
          <w:highlight w:val="none"/>
          <w:vertAlign w:val="superscript"/>
        </w:rPr>
        <w:t>3</w:t>
      </w:r>
      <w:r>
        <w:rPr>
          <w:color w:val="auto"/>
          <w:szCs w:val="20"/>
          <w:highlight w:val="none"/>
        </w:rPr>
        <w:t>。统计表明：化工船舶洗舱水中含污染物平均浓度为0.5%~1%，其中悬浮物浓度为&lt;150mg/L，另含千分之一的洗涤剂</w:t>
      </w:r>
      <w:r>
        <w:rPr>
          <w:rFonts w:hint="eastAsia"/>
          <w:color w:val="auto"/>
          <w:szCs w:val="20"/>
          <w:highlight w:val="none"/>
          <w:lang w:eastAsia="zh-CN"/>
        </w:rPr>
        <w:t>。按</w:t>
      </w:r>
      <w:r>
        <w:rPr>
          <w:color w:val="auto"/>
          <w:szCs w:val="20"/>
          <w:highlight w:val="none"/>
        </w:rPr>
        <w:t>照洗舱程序洗舱后，可近似地认为船舶经卸货扫舱后的残余物全部上岸。根据附则II第5条规定化学品残液量和洗舱水量的估计值（船舶吨位的1%~3%）可粗略地算出洗舱水残余物平均浓度（残余物体积/洗舱水量）。洗舱水污染物浓度，随船型，扫舱技术的发展改进，残液将逐渐减少，故洗舱水残液平均浓度约为体积浓度1%。</w:t>
      </w:r>
    </w:p>
    <w:p w14:paraId="3DC62ED2">
      <w:pPr>
        <w:ind w:firstLine="480"/>
        <w:rPr>
          <w:color w:val="auto"/>
          <w:szCs w:val="20"/>
          <w:highlight w:val="none"/>
          <w:u w:val="single"/>
        </w:rPr>
      </w:pPr>
      <w:r>
        <w:rPr>
          <w:color w:val="auto"/>
          <w:szCs w:val="20"/>
          <w:highlight w:val="none"/>
          <w:u w:val="single"/>
        </w:rPr>
        <w:t>本项目待修船舶洗舱委托钦州市苏南船舶服务有限公司承担，并通过清洗作业船舶带走清理过程产生的洗舱废水。</w:t>
      </w:r>
    </w:p>
    <w:p w14:paraId="76FF0055">
      <w:pPr>
        <w:ind w:firstLine="482"/>
        <w:rPr>
          <w:b/>
          <w:color w:val="auto"/>
          <w:szCs w:val="20"/>
          <w:highlight w:val="none"/>
        </w:rPr>
      </w:pPr>
      <w:r>
        <w:rPr>
          <w:rFonts w:hint="eastAsia"/>
          <w:b/>
          <w:color w:val="auto"/>
          <w:szCs w:val="20"/>
          <w:highlight w:val="none"/>
        </w:rPr>
        <w:t>3</w:t>
      </w:r>
      <w:r>
        <w:rPr>
          <w:b/>
          <w:color w:val="auto"/>
          <w:szCs w:val="20"/>
          <w:highlight w:val="none"/>
        </w:rPr>
        <w:t>）高压冲洗废水（W</w:t>
      </w:r>
      <w:r>
        <w:rPr>
          <w:rFonts w:hint="eastAsia"/>
          <w:b/>
          <w:color w:val="auto"/>
          <w:szCs w:val="20"/>
          <w:highlight w:val="none"/>
        </w:rPr>
        <w:t>4</w:t>
      </w:r>
      <w:r>
        <w:rPr>
          <w:b/>
          <w:color w:val="auto"/>
          <w:szCs w:val="20"/>
          <w:highlight w:val="none"/>
        </w:rPr>
        <w:t>）</w:t>
      </w:r>
    </w:p>
    <w:p w14:paraId="5CE90121">
      <w:pPr>
        <w:adjustRightInd w:val="0"/>
        <w:snapToGrid w:val="0"/>
        <w:spacing w:line="360" w:lineRule="auto"/>
        <w:ind w:firstLine="480" w:firstLineChars="200"/>
        <w:rPr>
          <w:rFonts w:hint="default" w:ascii="Times New Roman" w:hAnsi="Times New Roman" w:cs="Times New Roman"/>
          <w:color w:val="auto"/>
          <w:kern w:val="0"/>
          <w:sz w:val="24"/>
          <w:szCs w:val="20"/>
          <w:highlight w:val="none"/>
          <w:u w:val="none"/>
        </w:rPr>
      </w:pPr>
      <w:r>
        <w:rPr>
          <w:rFonts w:hint="default" w:ascii="Times New Roman" w:hAnsi="Times New Roman" w:cs="Times New Roman"/>
          <w:color w:val="auto"/>
          <w:kern w:val="0"/>
          <w:sz w:val="24"/>
          <w:szCs w:val="20"/>
          <w:highlight w:val="none"/>
          <w:u w:val="single"/>
        </w:rPr>
        <w:t>船舶进坞后除油舱、机舱等部位先用高压水冲洗，</w:t>
      </w:r>
      <w:r>
        <w:rPr>
          <w:rFonts w:hint="default" w:ascii="Times New Roman" w:hAnsi="Times New Roman" w:cs="Times New Roman"/>
          <w:color w:val="auto"/>
          <w:kern w:val="0"/>
          <w:sz w:val="24"/>
          <w:szCs w:val="20"/>
          <w:highlight w:val="none"/>
          <w:u w:val="none"/>
        </w:rPr>
        <w:t>对壳板、基座等部位也进行清洗，以除去船体表面的泥沙、附着物和浮漆等。项目全年产生高压冲洗废水</w:t>
      </w:r>
      <w:r>
        <w:rPr>
          <w:rFonts w:hint="default" w:ascii="Times New Roman" w:hAnsi="Times New Roman" w:cs="Times New Roman"/>
          <w:color w:val="auto"/>
          <w:kern w:val="0"/>
          <w:sz w:val="24"/>
          <w:szCs w:val="20"/>
          <w:highlight w:val="none"/>
          <w:u w:val="none"/>
          <w:lang w:eastAsia="zh-CN"/>
        </w:rPr>
        <w:t>约</w:t>
      </w:r>
      <w:r>
        <w:rPr>
          <w:rFonts w:hint="default" w:ascii="Times New Roman" w:hAnsi="Times New Roman" w:cs="Times New Roman"/>
          <w:color w:val="auto"/>
          <w:kern w:val="0"/>
          <w:sz w:val="24"/>
          <w:szCs w:val="20"/>
          <w:highlight w:val="none"/>
          <w:u w:val="none"/>
        </w:rPr>
        <w:t>9000吨，该废水主要污染因子为SS，其含量约为300mg/L，含油浓度基本上小于5mg/L，该部分废水经收集沉淀后回用于船体高压冲洗或船坞清洗</w:t>
      </w:r>
      <w:r>
        <w:rPr>
          <w:rFonts w:hint="default" w:ascii="Times New Roman" w:hAnsi="Times New Roman" w:cs="Times New Roman"/>
          <w:color w:val="auto"/>
          <w:kern w:val="0"/>
          <w:sz w:val="24"/>
          <w:szCs w:val="20"/>
          <w:highlight w:val="none"/>
          <w:u w:val="none"/>
          <w:lang w:eastAsia="zh-CN"/>
        </w:rPr>
        <w:t>，不外排</w:t>
      </w:r>
      <w:r>
        <w:rPr>
          <w:rFonts w:hint="default" w:ascii="Times New Roman" w:hAnsi="Times New Roman" w:cs="Times New Roman"/>
          <w:color w:val="auto"/>
          <w:kern w:val="0"/>
          <w:sz w:val="24"/>
          <w:szCs w:val="20"/>
          <w:highlight w:val="none"/>
          <w:u w:val="none"/>
        </w:rPr>
        <w:t>。</w:t>
      </w:r>
    </w:p>
    <w:p w14:paraId="7616474D">
      <w:pPr>
        <w:ind w:firstLine="482"/>
        <w:rPr>
          <w:b/>
          <w:color w:val="auto"/>
          <w:szCs w:val="20"/>
          <w:highlight w:val="none"/>
        </w:rPr>
      </w:pPr>
      <w:r>
        <w:rPr>
          <w:rFonts w:hint="eastAsia"/>
          <w:b/>
          <w:color w:val="auto"/>
          <w:szCs w:val="20"/>
          <w:highlight w:val="none"/>
        </w:rPr>
        <w:t>4</w:t>
      </w:r>
      <w:r>
        <w:rPr>
          <w:b/>
          <w:color w:val="auto"/>
          <w:szCs w:val="20"/>
          <w:highlight w:val="none"/>
        </w:rPr>
        <w:t>）含油废水</w:t>
      </w:r>
    </w:p>
    <w:p w14:paraId="4FBA56E6">
      <w:pPr>
        <w:ind w:firstLine="480"/>
        <w:rPr>
          <w:color w:val="auto"/>
          <w:szCs w:val="20"/>
          <w:highlight w:val="none"/>
        </w:rPr>
      </w:pPr>
      <w:r>
        <w:rPr>
          <w:color w:val="auto"/>
          <w:szCs w:val="20"/>
          <w:highlight w:val="none"/>
        </w:rPr>
        <w:t>含油废水主要来自于待修船舶的机舱含油废水、坞底含油废水、坞内清洗含油废水。</w:t>
      </w:r>
    </w:p>
    <w:p w14:paraId="3AA48E32">
      <w:pPr>
        <w:ind w:firstLine="480"/>
        <w:rPr>
          <w:color w:val="auto"/>
          <w:szCs w:val="20"/>
          <w:highlight w:val="none"/>
        </w:rPr>
      </w:pPr>
      <w:r>
        <w:rPr>
          <w:color w:val="auto"/>
          <w:szCs w:val="20"/>
          <w:highlight w:val="none"/>
        </w:rPr>
        <w:t>①机舱含油废水（W</w:t>
      </w:r>
      <w:r>
        <w:rPr>
          <w:rFonts w:hint="eastAsia"/>
          <w:color w:val="auto"/>
          <w:szCs w:val="20"/>
          <w:highlight w:val="none"/>
        </w:rPr>
        <w:t>5</w:t>
      </w:r>
      <w:r>
        <w:rPr>
          <w:color w:val="auto"/>
          <w:szCs w:val="20"/>
          <w:highlight w:val="none"/>
        </w:rPr>
        <w:t>）</w:t>
      </w:r>
    </w:p>
    <w:p w14:paraId="55EFE96E">
      <w:pPr>
        <w:ind w:firstLine="480"/>
        <w:rPr>
          <w:color w:val="auto"/>
          <w:szCs w:val="20"/>
          <w:highlight w:val="none"/>
        </w:rPr>
      </w:pPr>
      <w:r>
        <w:rPr>
          <w:color w:val="auto"/>
          <w:szCs w:val="20"/>
          <w:highlight w:val="none"/>
        </w:rPr>
        <w:t>船舶动力等系统的漏油汇集于机舱底，以及机舱清洗产生的废水为机舱含油废水。一般每艘8万吨级船舶约产生机舱含油废水12吨/艘·次，每艘2万吨级船舶约产生机舱含油废水3吨/艘·次，本项目年产生机舱含油废水900吨。该废水主要污染因子为石油类，根据《港口工程环境保护设计规范》舱底水含油量取5000mg/L，COD</w:t>
      </w:r>
      <w:r>
        <w:rPr>
          <w:color w:val="auto"/>
          <w:szCs w:val="20"/>
          <w:highlight w:val="none"/>
          <w:vertAlign w:val="subscript"/>
        </w:rPr>
        <w:t>Cr</w:t>
      </w:r>
      <w:r>
        <w:rPr>
          <w:color w:val="auto"/>
          <w:szCs w:val="20"/>
          <w:highlight w:val="none"/>
        </w:rPr>
        <w:t>浓度2000 mg/L。</w:t>
      </w:r>
    </w:p>
    <w:p w14:paraId="6FDB15EC">
      <w:pPr>
        <w:ind w:firstLine="480"/>
        <w:rPr>
          <w:color w:val="auto"/>
          <w:szCs w:val="20"/>
          <w:highlight w:val="none"/>
        </w:rPr>
      </w:pPr>
      <w:r>
        <w:rPr>
          <w:color w:val="auto"/>
          <w:szCs w:val="20"/>
          <w:highlight w:val="none"/>
        </w:rPr>
        <w:t>②坞底含油废水（W</w:t>
      </w:r>
      <w:r>
        <w:rPr>
          <w:rFonts w:hint="eastAsia"/>
          <w:color w:val="auto"/>
          <w:szCs w:val="20"/>
          <w:highlight w:val="none"/>
        </w:rPr>
        <w:t>6</w:t>
      </w:r>
      <w:r>
        <w:rPr>
          <w:color w:val="auto"/>
          <w:szCs w:val="20"/>
          <w:highlight w:val="none"/>
        </w:rPr>
        <w:t>）</w:t>
      </w:r>
    </w:p>
    <w:p w14:paraId="42E4ED54">
      <w:pPr>
        <w:ind w:firstLine="480"/>
        <w:rPr>
          <w:color w:val="auto"/>
          <w:szCs w:val="20"/>
          <w:highlight w:val="none"/>
        </w:rPr>
      </w:pPr>
      <w:r>
        <w:rPr>
          <w:color w:val="auto"/>
          <w:szCs w:val="20"/>
          <w:highlight w:val="none"/>
        </w:rPr>
        <w:t>船舶在坞内修理时，尤其在修理拆卸尾轴、内燃机等带油机件时，难免有大量的油污落在坞内。一般每艘8万吨级船舶约产生坞底含油废水10吨，每艘2万吨级船舶约产生坞底含油废水2吨，全年产生坞底含油废水720吨。该废水主要污染因子为石油类和COD</w:t>
      </w:r>
      <w:r>
        <w:rPr>
          <w:color w:val="auto"/>
          <w:szCs w:val="20"/>
          <w:highlight w:val="none"/>
          <w:vertAlign w:val="subscript"/>
        </w:rPr>
        <w:t>Cr</w:t>
      </w:r>
      <w:r>
        <w:rPr>
          <w:color w:val="auto"/>
          <w:szCs w:val="20"/>
          <w:highlight w:val="none"/>
        </w:rPr>
        <w:t>，含油浓度约为700 mg/L，COD</w:t>
      </w:r>
      <w:r>
        <w:rPr>
          <w:color w:val="auto"/>
          <w:szCs w:val="20"/>
          <w:highlight w:val="none"/>
          <w:vertAlign w:val="subscript"/>
        </w:rPr>
        <w:t>Cr</w:t>
      </w:r>
      <w:r>
        <w:rPr>
          <w:color w:val="auto"/>
          <w:szCs w:val="20"/>
          <w:highlight w:val="none"/>
        </w:rPr>
        <w:t>浓度约1350mg/L。</w:t>
      </w:r>
    </w:p>
    <w:p w14:paraId="63718D40">
      <w:pPr>
        <w:ind w:firstLine="480"/>
        <w:rPr>
          <w:color w:val="auto"/>
          <w:szCs w:val="20"/>
          <w:highlight w:val="none"/>
        </w:rPr>
      </w:pPr>
      <w:r>
        <w:rPr>
          <w:color w:val="auto"/>
          <w:szCs w:val="20"/>
          <w:highlight w:val="none"/>
        </w:rPr>
        <w:t>③坞内清洗含油废水（W</w:t>
      </w:r>
      <w:r>
        <w:rPr>
          <w:rFonts w:hint="eastAsia"/>
          <w:color w:val="auto"/>
          <w:szCs w:val="20"/>
          <w:highlight w:val="none"/>
        </w:rPr>
        <w:t>7</w:t>
      </w:r>
      <w:r>
        <w:rPr>
          <w:color w:val="auto"/>
          <w:szCs w:val="20"/>
          <w:highlight w:val="none"/>
        </w:rPr>
        <w:t>）</w:t>
      </w:r>
    </w:p>
    <w:p w14:paraId="1644B302">
      <w:pPr>
        <w:ind w:firstLine="480"/>
        <w:rPr>
          <w:color w:val="auto"/>
          <w:szCs w:val="20"/>
          <w:highlight w:val="none"/>
        </w:rPr>
      </w:pPr>
      <w:r>
        <w:rPr>
          <w:color w:val="auto"/>
          <w:szCs w:val="20"/>
          <w:highlight w:val="none"/>
        </w:rPr>
        <w:t>船舶在修理完毕，准备出坞回灌海水前，应对船坞进行清洗，主要清洗对象为坞底和近坞底。船坞清洗用水为海水，产生的废水汇集于集污井内。本项目10万吨级船坞有效长度265m，坞室宽度55m，坞壁清洗高度按lm计算，则需清洗的船坞面积约14575m</w:t>
      </w:r>
      <w:r>
        <w:rPr>
          <w:color w:val="auto"/>
          <w:szCs w:val="20"/>
          <w:highlight w:val="none"/>
          <w:vertAlign w:val="superscript"/>
        </w:rPr>
        <w:t>2</w:t>
      </w:r>
      <w:r>
        <w:rPr>
          <w:color w:val="auto"/>
          <w:szCs w:val="20"/>
          <w:highlight w:val="none"/>
        </w:rPr>
        <w:t>，按清洗用水5L/m</w:t>
      </w:r>
      <w:r>
        <w:rPr>
          <w:color w:val="auto"/>
          <w:szCs w:val="20"/>
          <w:highlight w:val="none"/>
          <w:vertAlign w:val="superscript"/>
        </w:rPr>
        <w:t>2</w:t>
      </w:r>
      <w:r>
        <w:rPr>
          <w:color w:val="auto"/>
          <w:szCs w:val="20"/>
          <w:highlight w:val="none"/>
        </w:rPr>
        <w:t>计，则全年共产生坞内清洗废水6558.75吨。该废水主要污染因子为石油类，含油浓度约为100mg/L，CODCr浓度约 120 mg/L、SS浓度约300 mg/L。</w:t>
      </w:r>
    </w:p>
    <w:p w14:paraId="649416A3">
      <w:pPr>
        <w:ind w:firstLine="480"/>
        <w:rPr>
          <w:color w:val="auto"/>
          <w:highlight w:val="none"/>
          <w:u w:val="single"/>
        </w:rPr>
      </w:pPr>
      <w:r>
        <w:rPr>
          <w:color w:val="auto"/>
          <w:szCs w:val="20"/>
          <w:highlight w:val="none"/>
          <w:u w:val="single"/>
        </w:rPr>
        <w:t>项目坞修产生的含油废水</w:t>
      </w:r>
      <w:r>
        <w:rPr>
          <w:rFonts w:hint="eastAsia"/>
          <w:color w:val="auto"/>
          <w:szCs w:val="20"/>
          <w:highlight w:val="none"/>
          <w:u w:val="single"/>
        </w:rPr>
        <w:t>经浮船坞配套的污水舱收集后采用罐车运至</w:t>
      </w:r>
      <w:r>
        <w:rPr>
          <w:color w:val="auto"/>
          <w:szCs w:val="20"/>
          <w:highlight w:val="none"/>
          <w:u w:val="single"/>
        </w:rPr>
        <w:t>厂区</w:t>
      </w:r>
      <w:r>
        <w:rPr>
          <w:rFonts w:hint="eastAsia"/>
          <w:color w:val="auto"/>
          <w:szCs w:val="20"/>
          <w:highlight w:val="none"/>
          <w:u w:val="single"/>
        </w:rPr>
        <w:t>现有</w:t>
      </w:r>
      <w:r>
        <w:rPr>
          <w:color w:val="auto"/>
          <w:szCs w:val="20"/>
          <w:highlight w:val="none"/>
          <w:u w:val="single"/>
        </w:rPr>
        <w:t>污水处理站的含油废水处理系统处理达到《污水综合排放标准》（GB8978-1996）三级标准后，经厂区污水管道排入</w:t>
      </w:r>
      <w:r>
        <w:rPr>
          <w:rFonts w:hint="eastAsia"/>
          <w:color w:val="auto"/>
          <w:szCs w:val="20"/>
          <w:highlight w:val="none"/>
          <w:u w:val="single"/>
        </w:rPr>
        <w:t>生活污水处理设备配套的中水回用池储存，</w:t>
      </w:r>
      <w:r>
        <w:rPr>
          <w:color w:val="auto"/>
          <w:szCs w:val="20"/>
          <w:highlight w:val="none"/>
          <w:u w:val="single"/>
        </w:rPr>
        <w:t>大部分回用于厂区绿化及降尘，少部分不能回用的由槽罐车运至大榄坪污水处理厂处理</w:t>
      </w:r>
      <w:r>
        <w:rPr>
          <w:color w:val="auto"/>
          <w:highlight w:val="none"/>
          <w:u w:val="single"/>
        </w:rPr>
        <w:t>。</w:t>
      </w:r>
    </w:p>
    <w:p w14:paraId="20354CEC">
      <w:pPr>
        <w:pStyle w:val="38"/>
        <w:spacing w:after="0" w:line="240" w:lineRule="auto"/>
        <w:ind w:firstLine="0" w:firstLineChars="0"/>
        <w:jc w:val="center"/>
        <w:rPr>
          <w:b/>
          <w:color w:val="auto"/>
          <w:sz w:val="21"/>
          <w:szCs w:val="21"/>
          <w:highlight w:val="none"/>
          <w:u w:val="single"/>
        </w:rPr>
      </w:pPr>
      <w:r>
        <w:rPr>
          <w:b/>
          <w:color w:val="auto"/>
          <w:sz w:val="21"/>
          <w:szCs w:val="21"/>
          <w:highlight w:val="none"/>
          <w:u w:val="single"/>
        </w:rPr>
        <w:t>表2.4-</w:t>
      </w:r>
      <w:r>
        <w:rPr>
          <w:rFonts w:hint="eastAsia"/>
          <w:b/>
          <w:color w:val="auto"/>
          <w:sz w:val="21"/>
          <w:szCs w:val="21"/>
          <w:highlight w:val="none"/>
          <w:u w:val="single"/>
        </w:rPr>
        <w:t>10</w:t>
      </w:r>
      <w:r>
        <w:rPr>
          <w:b/>
          <w:color w:val="auto"/>
          <w:sz w:val="21"/>
          <w:szCs w:val="21"/>
          <w:highlight w:val="none"/>
          <w:u w:val="single"/>
        </w:rPr>
        <w:t xml:space="preserve">  项目含油废水产生情况表</w:t>
      </w:r>
    </w:p>
    <w:tbl>
      <w:tblPr>
        <w:tblStyle w:val="9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001"/>
        <w:gridCol w:w="1816"/>
        <w:gridCol w:w="1123"/>
        <w:gridCol w:w="1500"/>
        <w:gridCol w:w="1308"/>
        <w:gridCol w:w="1318"/>
      </w:tblGrid>
      <w:tr w14:paraId="7CDB7C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1103" w:type="pct"/>
            <w:vMerge w:val="restart"/>
            <w:tcBorders>
              <w:tl2br w:val="nil"/>
              <w:tr2bl w:val="nil"/>
            </w:tcBorders>
            <w:vAlign w:val="center"/>
          </w:tcPr>
          <w:p w14:paraId="37D4CE2E">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污染源</w:t>
            </w:r>
          </w:p>
        </w:tc>
        <w:tc>
          <w:tcPr>
            <w:tcW w:w="1001" w:type="pct"/>
            <w:vMerge w:val="restart"/>
            <w:tcBorders>
              <w:tl2br w:val="nil"/>
              <w:tr2bl w:val="nil"/>
            </w:tcBorders>
            <w:vAlign w:val="center"/>
          </w:tcPr>
          <w:p w14:paraId="79F68962">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年污水产生量（m</w:t>
            </w:r>
            <w:r>
              <w:rPr>
                <w:b/>
                <w:bCs/>
                <w:color w:val="auto"/>
                <w:sz w:val="21"/>
                <w:szCs w:val="21"/>
                <w:highlight w:val="none"/>
                <w:u w:val="single"/>
                <w:vertAlign w:val="superscript"/>
              </w:rPr>
              <w:t>3</w:t>
            </w:r>
            <w:r>
              <w:rPr>
                <w:b/>
                <w:bCs/>
                <w:color w:val="auto"/>
                <w:sz w:val="21"/>
                <w:szCs w:val="21"/>
                <w:highlight w:val="none"/>
                <w:u w:val="single"/>
              </w:rPr>
              <w:t>/a）</w:t>
            </w:r>
          </w:p>
        </w:tc>
        <w:tc>
          <w:tcPr>
            <w:tcW w:w="1446" w:type="pct"/>
            <w:gridSpan w:val="2"/>
            <w:tcBorders>
              <w:tl2br w:val="nil"/>
              <w:tr2bl w:val="nil"/>
            </w:tcBorders>
            <w:vAlign w:val="center"/>
          </w:tcPr>
          <w:p w14:paraId="02016A2B">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石油类</w:t>
            </w:r>
          </w:p>
        </w:tc>
        <w:tc>
          <w:tcPr>
            <w:tcW w:w="1447" w:type="pct"/>
            <w:gridSpan w:val="2"/>
            <w:tcBorders>
              <w:tl2br w:val="nil"/>
              <w:tr2bl w:val="nil"/>
            </w:tcBorders>
            <w:vAlign w:val="center"/>
          </w:tcPr>
          <w:p w14:paraId="0B52A6F3">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COD</w:t>
            </w:r>
          </w:p>
        </w:tc>
      </w:tr>
      <w:tr w14:paraId="18202B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1103" w:type="pct"/>
            <w:vMerge w:val="continue"/>
            <w:tcBorders>
              <w:tl2br w:val="nil"/>
              <w:tr2bl w:val="nil"/>
            </w:tcBorders>
            <w:vAlign w:val="center"/>
          </w:tcPr>
          <w:p w14:paraId="0B3177B8">
            <w:pPr>
              <w:spacing w:line="240" w:lineRule="auto"/>
              <w:ind w:firstLine="0" w:firstLineChars="0"/>
              <w:jc w:val="center"/>
              <w:rPr>
                <w:b/>
                <w:bCs/>
                <w:color w:val="auto"/>
                <w:sz w:val="21"/>
                <w:szCs w:val="21"/>
                <w:highlight w:val="none"/>
                <w:u w:val="single"/>
              </w:rPr>
            </w:pPr>
          </w:p>
        </w:tc>
        <w:tc>
          <w:tcPr>
            <w:tcW w:w="1001" w:type="pct"/>
            <w:vMerge w:val="continue"/>
            <w:tcBorders>
              <w:tl2br w:val="nil"/>
              <w:tr2bl w:val="nil"/>
            </w:tcBorders>
            <w:vAlign w:val="center"/>
          </w:tcPr>
          <w:p w14:paraId="03CA831F">
            <w:pPr>
              <w:spacing w:line="240" w:lineRule="auto"/>
              <w:ind w:firstLine="0" w:firstLineChars="0"/>
              <w:jc w:val="center"/>
              <w:rPr>
                <w:b/>
                <w:bCs/>
                <w:color w:val="auto"/>
                <w:sz w:val="21"/>
                <w:szCs w:val="21"/>
                <w:highlight w:val="none"/>
                <w:u w:val="single"/>
              </w:rPr>
            </w:pPr>
          </w:p>
        </w:tc>
        <w:tc>
          <w:tcPr>
            <w:tcW w:w="619" w:type="pct"/>
            <w:tcBorders>
              <w:tl2br w:val="nil"/>
              <w:tr2bl w:val="nil"/>
            </w:tcBorders>
            <w:vAlign w:val="center"/>
          </w:tcPr>
          <w:p w14:paraId="0B14F55C">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mg/L</w:t>
            </w:r>
          </w:p>
        </w:tc>
        <w:tc>
          <w:tcPr>
            <w:tcW w:w="827" w:type="pct"/>
            <w:tcBorders>
              <w:tl2br w:val="nil"/>
              <w:tr2bl w:val="nil"/>
            </w:tcBorders>
            <w:vAlign w:val="center"/>
          </w:tcPr>
          <w:p w14:paraId="3E158DA2">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t/a</w:t>
            </w:r>
          </w:p>
        </w:tc>
        <w:tc>
          <w:tcPr>
            <w:tcW w:w="721" w:type="pct"/>
            <w:tcBorders>
              <w:tl2br w:val="nil"/>
              <w:tr2bl w:val="nil"/>
            </w:tcBorders>
            <w:vAlign w:val="center"/>
          </w:tcPr>
          <w:p w14:paraId="5BE75711">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mg/L</w:t>
            </w:r>
          </w:p>
        </w:tc>
        <w:tc>
          <w:tcPr>
            <w:tcW w:w="725" w:type="pct"/>
            <w:tcBorders>
              <w:tl2br w:val="nil"/>
              <w:tr2bl w:val="nil"/>
            </w:tcBorders>
            <w:vAlign w:val="center"/>
          </w:tcPr>
          <w:p w14:paraId="55041180">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t/a</w:t>
            </w:r>
          </w:p>
        </w:tc>
      </w:tr>
      <w:tr w14:paraId="0FF653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1103" w:type="pct"/>
            <w:tcBorders>
              <w:tl2br w:val="nil"/>
              <w:tr2bl w:val="nil"/>
            </w:tcBorders>
            <w:vAlign w:val="center"/>
          </w:tcPr>
          <w:p w14:paraId="25384CF6">
            <w:pPr>
              <w:spacing w:line="240" w:lineRule="auto"/>
              <w:ind w:firstLine="0" w:firstLineChars="0"/>
              <w:jc w:val="center"/>
              <w:rPr>
                <w:color w:val="auto"/>
                <w:sz w:val="21"/>
                <w:szCs w:val="21"/>
                <w:highlight w:val="none"/>
                <w:u w:val="single"/>
              </w:rPr>
            </w:pPr>
            <w:r>
              <w:rPr>
                <w:color w:val="auto"/>
                <w:sz w:val="21"/>
                <w:szCs w:val="21"/>
                <w:highlight w:val="none"/>
                <w:u w:val="single"/>
              </w:rPr>
              <w:t>机舱含油废水</w:t>
            </w:r>
          </w:p>
        </w:tc>
        <w:tc>
          <w:tcPr>
            <w:tcW w:w="1001" w:type="pct"/>
            <w:tcBorders>
              <w:tl2br w:val="nil"/>
              <w:tr2bl w:val="nil"/>
            </w:tcBorders>
            <w:vAlign w:val="center"/>
          </w:tcPr>
          <w:p w14:paraId="7BED4D49">
            <w:pPr>
              <w:spacing w:line="240" w:lineRule="auto"/>
              <w:ind w:firstLine="0" w:firstLineChars="0"/>
              <w:jc w:val="center"/>
              <w:rPr>
                <w:color w:val="auto"/>
                <w:sz w:val="21"/>
                <w:szCs w:val="21"/>
                <w:highlight w:val="none"/>
                <w:u w:val="single"/>
              </w:rPr>
            </w:pPr>
            <w:r>
              <w:rPr>
                <w:color w:val="auto"/>
                <w:sz w:val="21"/>
                <w:szCs w:val="21"/>
                <w:highlight w:val="none"/>
                <w:u w:val="single"/>
              </w:rPr>
              <w:t>900</w:t>
            </w:r>
          </w:p>
        </w:tc>
        <w:tc>
          <w:tcPr>
            <w:tcW w:w="619" w:type="pct"/>
            <w:tcBorders>
              <w:tl2br w:val="nil"/>
              <w:tr2bl w:val="nil"/>
            </w:tcBorders>
            <w:vAlign w:val="center"/>
          </w:tcPr>
          <w:p w14:paraId="59BAD424">
            <w:pPr>
              <w:spacing w:line="240" w:lineRule="auto"/>
              <w:ind w:firstLine="0" w:firstLineChars="0"/>
              <w:jc w:val="center"/>
              <w:rPr>
                <w:color w:val="auto"/>
                <w:sz w:val="21"/>
                <w:szCs w:val="21"/>
                <w:highlight w:val="none"/>
                <w:u w:val="single"/>
              </w:rPr>
            </w:pPr>
            <w:r>
              <w:rPr>
                <w:color w:val="auto"/>
                <w:sz w:val="21"/>
                <w:szCs w:val="21"/>
                <w:highlight w:val="none"/>
                <w:u w:val="single"/>
              </w:rPr>
              <w:t>5000</w:t>
            </w:r>
          </w:p>
        </w:tc>
        <w:tc>
          <w:tcPr>
            <w:tcW w:w="1500" w:type="dxa"/>
            <w:tcBorders>
              <w:tl2br w:val="nil"/>
              <w:tr2bl w:val="nil"/>
            </w:tcBorders>
            <w:vAlign w:val="center"/>
          </w:tcPr>
          <w:p w14:paraId="6F695532">
            <w:pPr>
              <w:spacing w:line="240" w:lineRule="auto"/>
              <w:ind w:firstLine="0" w:firstLineChars="0"/>
              <w:jc w:val="center"/>
              <w:rPr>
                <w:color w:val="auto"/>
                <w:sz w:val="21"/>
                <w:szCs w:val="21"/>
                <w:highlight w:val="none"/>
                <w:u w:val="single"/>
              </w:rPr>
            </w:pPr>
            <w:r>
              <w:rPr>
                <w:color w:val="auto"/>
                <w:sz w:val="21"/>
                <w:szCs w:val="21"/>
                <w:highlight w:val="none"/>
                <w:u w:val="single"/>
              </w:rPr>
              <w:t>4.5</w:t>
            </w:r>
          </w:p>
        </w:tc>
        <w:tc>
          <w:tcPr>
            <w:tcW w:w="1308" w:type="dxa"/>
            <w:tcBorders>
              <w:tl2br w:val="nil"/>
              <w:tr2bl w:val="nil"/>
            </w:tcBorders>
            <w:vAlign w:val="center"/>
          </w:tcPr>
          <w:p w14:paraId="36F6637D">
            <w:pPr>
              <w:spacing w:line="240" w:lineRule="auto"/>
              <w:ind w:firstLine="0" w:firstLineChars="0"/>
              <w:jc w:val="center"/>
              <w:rPr>
                <w:color w:val="auto"/>
                <w:sz w:val="21"/>
                <w:szCs w:val="21"/>
                <w:highlight w:val="none"/>
                <w:u w:val="single"/>
              </w:rPr>
            </w:pPr>
            <w:r>
              <w:rPr>
                <w:color w:val="auto"/>
                <w:sz w:val="21"/>
                <w:szCs w:val="21"/>
                <w:highlight w:val="none"/>
                <w:u w:val="single"/>
              </w:rPr>
              <w:t>2000</w:t>
            </w:r>
          </w:p>
        </w:tc>
        <w:tc>
          <w:tcPr>
            <w:tcW w:w="1318" w:type="dxa"/>
            <w:tcBorders>
              <w:tl2br w:val="nil"/>
              <w:tr2bl w:val="nil"/>
            </w:tcBorders>
            <w:vAlign w:val="center"/>
          </w:tcPr>
          <w:p w14:paraId="255383DC">
            <w:pPr>
              <w:spacing w:line="240" w:lineRule="auto"/>
              <w:ind w:firstLine="0" w:firstLineChars="0"/>
              <w:jc w:val="center"/>
              <w:rPr>
                <w:color w:val="auto"/>
                <w:sz w:val="21"/>
                <w:szCs w:val="21"/>
                <w:highlight w:val="none"/>
                <w:u w:val="single"/>
              </w:rPr>
            </w:pPr>
            <w:r>
              <w:rPr>
                <w:color w:val="auto"/>
                <w:sz w:val="21"/>
                <w:szCs w:val="21"/>
                <w:highlight w:val="none"/>
                <w:u w:val="single"/>
              </w:rPr>
              <w:t>1.8</w:t>
            </w:r>
          </w:p>
        </w:tc>
      </w:tr>
      <w:tr w14:paraId="311A29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1103" w:type="pct"/>
            <w:tcBorders>
              <w:tl2br w:val="nil"/>
              <w:tr2bl w:val="nil"/>
            </w:tcBorders>
            <w:vAlign w:val="center"/>
          </w:tcPr>
          <w:p w14:paraId="77EA975E">
            <w:pPr>
              <w:spacing w:line="240" w:lineRule="auto"/>
              <w:ind w:firstLine="0" w:firstLineChars="0"/>
              <w:jc w:val="center"/>
              <w:rPr>
                <w:color w:val="auto"/>
                <w:sz w:val="21"/>
                <w:szCs w:val="21"/>
                <w:highlight w:val="none"/>
                <w:u w:val="single"/>
              </w:rPr>
            </w:pPr>
            <w:r>
              <w:rPr>
                <w:color w:val="auto"/>
                <w:sz w:val="21"/>
                <w:szCs w:val="21"/>
                <w:highlight w:val="none"/>
                <w:u w:val="single"/>
              </w:rPr>
              <w:t>坞底含油废水</w:t>
            </w:r>
          </w:p>
        </w:tc>
        <w:tc>
          <w:tcPr>
            <w:tcW w:w="1001" w:type="pct"/>
            <w:tcBorders>
              <w:tl2br w:val="nil"/>
              <w:tr2bl w:val="nil"/>
            </w:tcBorders>
            <w:vAlign w:val="center"/>
          </w:tcPr>
          <w:p w14:paraId="7DBDE223">
            <w:pPr>
              <w:spacing w:line="240" w:lineRule="auto"/>
              <w:ind w:firstLine="0" w:firstLineChars="0"/>
              <w:jc w:val="center"/>
              <w:rPr>
                <w:color w:val="auto"/>
                <w:sz w:val="21"/>
                <w:szCs w:val="21"/>
                <w:highlight w:val="none"/>
                <w:u w:val="single"/>
              </w:rPr>
            </w:pPr>
            <w:r>
              <w:rPr>
                <w:color w:val="auto"/>
                <w:sz w:val="21"/>
                <w:szCs w:val="21"/>
                <w:highlight w:val="none"/>
                <w:u w:val="single"/>
              </w:rPr>
              <w:t>720</w:t>
            </w:r>
          </w:p>
        </w:tc>
        <w:tc>
          <w:tcPr>
            <w:tcW w:w="619" w:type="pct"/>
            <w:tcBorders>
              <w:tl2br w:val="nil"/>
              <w:tr2bl w:val="nil"/>
            </w:tcBorders>
            <w:vAlign w:val="center"/>
          </w:tcPr>
          <w:p w14:paraId="7899559E">
            <w:pPr>
              <w:spacing w:line="240" w:lineRule="auto"/>
              <w:ind w:firstLine="0" w:firstLineChars="0"/>
              <w:jc w:val="center"/>
              <w:rPr>
                <w:color w:val="auto"/>
                <w:sz w:val="21"/>
                <w:szCs w:val="21"/>
                <w:highlight w:val="none"/>
                <w:u w:val="single"/>
              </w:rPr>
            </w:pPr>
            <w:r>
              <w:rPr>
                <w:color w:val="auto"/>
                <w:sz w:val="21"/>
                <w:szCs w:val="21"/>
                <w:highlight w:val="none"/>
                <w:u w:val="single"/>
              </w:rPr>
              <w:t>700</w:t>
            </w:r>
          </w:p>
        </w:tc>
        <w:tc>
          <w:tcPr>
            <w:tcW w:w="1500" w:type="dxa"/>
            <w:tcBorders>
              <w:tl2br w:val="nil"/>
              <w:tr2bl w:val="nil"/>
            </w:tcBorders>
            <w:vAlign w:val="center"/>
          </w:tcPr>
          <w:p w14:paraId="2D7686CF">
            <w:pPr>
              <w:spacing w:line="240" w:lineRule="auto"/>
              <w:ind w:firstLine="0" w:firstLineChars="0"/>
              <w:jc w:val="center"/>
              <w:rPr>
                <w:color w:val="auto"/>
                <w:sz w:val="21"/>
                <w:szCs w:val="21"/>
                <w:highlight w:val="none"/>
                <w:u w:val="single"/>
              </w:rPr>
            </w:pPr>
            <w:r>
              <w:rPr>
                <w:color w:val="auto"/>
                <w:sz w:val="21"/>
                <w:szCs w:val="21"/>
                <w:highlight w:val="none"/>
                <w:u w:val="single"/>
              </w:rPr>
              <w:t>0.504</w:t>
            </w:r>
          </w:p>
        </w:tc>
        <w:tc>
          <w:tcPr>
            <w:tcW w:w="1308" w:type="dxa"/>
            <w:tcBorders>
              <w:tl2br w:val="nil"/>
              <w:tr2bl w:val="nil"/>
            </w:tcBorders>
            <w:vAlign w:val="center"/>
          </w:tcPr>
          <w:p w14:paraId="371E8925">
            <w:pPr>
              <w:spacing w:line="240" w:lineRule="auto"/>
              <w:ind w:firstLine="0" w:firstLineChars="0"/>
              <w:jc w:val="center"/>
              <w:rPr>
                <w:color w:val="auto"/>
                <w:sz w:val="21"/>
                <w:szCs w:val="21"/>
                <w:highlight w:val="none"/>
                <w:u w:val="single"/>
              </w:rPr>
            </w:pPr>
            <w:r>
              <w:rPr>
                <w:color w:val="auto"/>
                <w:sz w:val="21"/>
                <w:szCs w:val="21"/>
                <w:highlight w:val="none"/>
                <w:u w:val="single"/>
              </w:rPr>
              <w:t>1350</w:t>
            </w:r>
          </w:p>
        </w:tc>
        <w:tc>
          <w:tcPr>
            <w:tcW w:w="1318" w:type="dxa"/>
            <w:tcBorders>
              <w:tl2br w:val="nil"/>
              <w:tr2bl w:val="nil"/>
            </w:tcBorders>
            <w:vAlign w:val="center"/>
          </w:tcPr>
          <w:p w14:paraId="29801108">
            <w:pPr>
              <w:spacing w:line="240" w:lineRule="auto"/>
              <w:ind w:firstLine="0" w:firstLineChars="0"/>
              <w:jc w:val="center"/>
              <w:rPr>
                <w:color w:val="auto"/>
                <w:sz w:val="21"/>
                <w:szCs w:val="21"/>
                <w:highlight w:val="none"/>
                <w:u w:val="single"/>
              </w:rPr>
            </w:pPr>
            <w:r>
              <w:rPr>
                <w:color w:val="auto"/>
                <w:sz w:val="21"/>
                <w:szCs w:val="21"/>
                <w:highlight w:val="none"/>
                <w:u w:val="single"/>
              </w:rPr>
              <w:t>0.972</w:t>
            </w:r>
          </w:p>
        </w:tc>
      </w:tr>
      <w:tr w14:paraId="040F99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1103" w:type="pct"/>
            <w:tcBorders>
              <w:tl2br w:val="nil"/>
              <w:tr2bl w:val="nil"/>
            </w:tcBorders>
            <w:vAlign w:val="center"/>
          </w:tcPr>
          <w:p w14:paraId="53B38240">
            <w:pPr>
              <w:spacing w:line="240" w:lineRule="auto"/>
              <w:ind w:firstLine="0" w:firstLineChars="0"/>
              <w:jc w:val="center"/>
              <w:rPr>
                <w:color w:val="auto"/>
                <w:sz w:val="21"/>
                <w:szCs w:val="21"/>
                <w:highlight w:val="none"/>
                <w:u w:val="single"/>
              </w:rPr>
            </w:pPr>
            <w:r>
              <w:rPr>
                <w:color w:val="auto"/>
                <w:sz w:val="21"/>
                <w:szCs w:val="21"/>
                <w:highlight w:val="none"/>
                <w:u w:val="single"/>
              </w:rPr>
              <w:t>坞内清洗含油废水</w:t>
            </w:r>
          </w:p>
        </w:tc>
        <w:tc>
          <w:tcPr>
            <w:tcW w:w="1001" w:type="pct"/>
            <w:tcBorders>
              <w:tl2br w:val="nil"/>
              <w:tr2bl w:val="nil"/>
            </w:tcBorders>
            <w:vAlign w:val="center"/>
          </w:tcPr>
          <w:p w14:paraId="2898BAAD">
            <w:pPr>
              <w:spacing w:line="240" w:lineRule="auto"/>
              <w:ind w:firstLine="0" w:firstLineChars="0"/>
              <w:jc w:val="center"/>
              <w:rPr>
                <w:color w:val="auto"/>
                <w:sz w:val="21"/>
                <w:szCs w:val="21"/>
                <w:highlight w:val="none"/>
                <w:u w:val="single"/>
              </w:rPr>
            </w:pPr>
            <w:r>
              <w:rPr>
                <w:color w:val="auto"/>
                <w:sz w:val="21"/>
                <w:szCs w:val="21"/>
                <w:highlight w:val="none"/>
                <w:u w:val="single"/>
              </w:rPr>
              <w:t>6558.75</w:t>
            </w:r>
          </w:p>
        </w:tc>
        <w:tc>
          <w:tcPr>
            <w:tcW w:w="619" w:type="pct"/>
            <w:tcBorders>
              <w:tl2br w:val="nil"/>
              <w:tr2bl w:val="nil"/>
            </w:tcBorders>
            <w:vAlign w:val="center"/>
          </w:tcPr>
          <w:p w14:paraId="063E4822">
            <w:pPr>
              <w:spacing w:line="240" w:lineRule="auto"/>
              <w:ind w:firstLine="0" w:firstLineChars="0"/>
              <w:jc w:val="center"/>
              <w:rPr>
                <w:color w:val="auto"/>
                <w:sz w:val="21"/>
                <w:szCs w:val="21"/>
                <w:highlight w:val="none"/>
                <w:u w:val="single"/>
              </w:rPr>
            </w:pPr>
            <w:r>
              <w:rPr>
                <w:color w:val="auto"/>
                <w:sz w:val="21"/>
                <w:szCs w:val="21"/>
                <w:highlight w:val="none"/>
                <w:u w:val="single"/>
              </w:rPr>
              <w:t>100</w:t>
            </w:r>
          </w:p>
        </w:tc>
        <w:tc>
          <w:tcPr>
            <w:tcW w:w="1500" w:type="dxa"/>
            <w:tcBorders>
              <w:tl2br w:val="nil"/>
              <w:tr2bl w:val="nil"/>
            </w:tcBorders>
            <w:vAlign w:val="center"/>
          </w:tcPr>
          <w:p w14:paraId="1E61E631">
            <w:pPr>
              <w:spacing w:line="240" w:lineRule="auto"/>
              <w:ind w:firstLine="0" w:firstLineChars="0"/>
              <w:jc w:val="center"/>
              <w:rPr>
                <w:color w:val="auto"/>
                <w:sz w:val="21"/>
                <w:szCs w:val="21"/>
                <w:highlight w:val="none"/>
                <w:u w:val="single"/>
              </w:rPr>
            </w:pPr>
            <w:r>
              <w:rPr>
                <w:color w:val="auto"/>
                <w:sz w:val="21"/>
                <w:szCs w:val="21"/>
                <w:highlight w:val="none"/>
                <w:u w:val="single"/>
              </w:rPr>
              <w:t xml:space="preserve">0.66 </w:t>
            </w:r>
          </w:p>
        </w:tc>
        <w:tc>
          <w:tcPr>
            <w:tcW w:w="1308" w:type="dxa"/>
            <w:tcBorders>
              <w:tl2br w:val="nil"/>
              <w:tr2bl w:val="nil"/>
            </w:tcBorders>
            <w:vAlign w:val="center"/>
          </w:tcPr>
          <w:p w14:paraId="2CC8B53A">
            <w:pPr>
              <w:spacing w:line="240" w:lineRule="auto"/>
              <w:ind w:firstLine="0" w:firstLineChars="0"/>
              <w:jc w:val="center"/>
              <w:rPr>
                <w:color w:val="auto"/>
                <w:sz w:val="21"/>
                <w:szCs w:val="21"/>
                <w:highlight w:val="none"/>
                <w:u w:val="single"/>
              </w:rPr>
            </w:pPr>
            <w:r>
              <w:rPr>
                <w:color w:val="auto"/>
                <w:sz w:val="21"/>
                <w:szCs w:val="21"/>
                <w:highlight w:val="none"/>
                <w:u w:val="single"/>
              </w:rPr>
              <w:t>120</w:t>
            </w:r>
          </w:p>
        </w:tc>
        <w:tc>
          <w:tcPr>
            <w:tcW w:w="1318" w:type="dxa"/>
            <w:tcBorders>
              <w:tl2br w:val="nil"/>
              <w:tr2bl w:val="nil"/>
            </w:tcBorders>
            <w:vAlign w:val="center"/>
          </w:tcPr>
          <w:p w14:paraId="2ADD3A3A">
            <w:pPr>
              <w:spacing w:line="240" w:lineRule="auto"/>
              <w:ind w:firstLine="0" w:firstLineChars="0"/>
              <w:jc w:val="center"/>
              <w:rPr>
                <w:color w:val="auto"/>
                <w:sz w:val="21"/>
                <w:szCs w:val="21"/>
                <w:highlight w:val="none"/>
                <w:u w:val="single"/>
              </w:rPr>
            </w:pPr>
            <w:r>
              <w:rPr>
                <w:color w:val="auto"/>
                <w:sz w:val="21"/>
                <w:szCs w:val="21"/>
                <w:highlight w:val="none"/>
                <w:u w:val="single"/>
              </w:rPr>
              <w:t xml:space="preserve">0.79 </w:t>
            </w:r>
          </w:p>
        </w:tc>
      </w:tr>
      <w:tr w14:paraId="7F123E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1103" w:type="pct"/>
            <w:tcBorders>
              <w:tl2br w:val="nil"/>
              <w:tr2bl w:val="nil"/>
            </w:tcBorders>
            <w:vAlign w:val="center"/>
          </w:tcPr>
          <w:p w14:paraId="658D8D9E">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合计</w:t>
            </w:r>
          </w:p>
        </w:tc>
        <w:tc>
          <w:tcPr>
            <w:tcW w:w="1001" w:type="pct"/>
            <w:tcBorders>
              <w:tl2br w:val="nil"/>
              <w:tr2bl w:val="nil"/>
            </w:tcBorders>
            <w:vAlign w:val="center"/>
          </w:tcPr>
          <w:p w14:paraId="027ECF4D">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fldChar w:fldCharType="begin"/>
            </w:r>
            <w:r>
              <w:rPr>
                <w:b/>
                <w:bCs/>
                <w:color w:val="auto"/>
                <w:sz w:val="21"/>
                <w:szCs w:val="21"/>
                <w:highlight w:val="none"/>
                <w:u w:val="single"/>
              </w:rPr>
              <w:instrText xml:space="preserve"> =SUM(ABOVE) \* MERGEFORMAT </w:instrText>
            </w:r>
            <w:r>
              <w:rPr>
                <w:b/>
                <w:bCs/>
                <w:color w:val="auto"/>
                <w:sz w:val="21"/>
                <w:szCs w:val="21"/>
                <w:highlight w:val="none"/>
                <w:u w:val="single"/>
              </w:rPr>
              <w:fldChar w:fldCharType="separate"/>
            </w:r>
            <w:r>
              <w:rPr>
                <w:b/>
                <w:bCs/>
                <w:color w:val="auto"/>
                <w:sz w:val="21"/>
                <w:szCs w:val="21"/>
                <w:highlight w:val="none"/>
                <w:u w:val="single"/>
              </w:rPr>
              <w:t>8178.75</w:t>
            </w:r>
            <w:r>
              <w:rPr>
                <w:b/>
                <w:bCs/>
                <w:color w:val="auto"/>
                <w:sz w:val="21"/>
                <w:szCs w:val="21"/>
                <w:highlight w:val="none"/>
                <w:u w:val="single"/>
              </w:rPr>
              <w:fldChar w:fldCharType="end"/>
            </w:r>
          </w:p>
        </w:tc>
        <w:tc>
          <w:tcPr>
            <w:tcW w:w="1123" w:type="dxa"/>
            <w:tcBorders>
              <w:tl2br w:val="nil"/>
              <w:tr2bl w:val="nil"/>
            </w:tcBorders>
            <w:vAlign w:val="center"/>
          </w:tcPr>
          <w:p w14:paraId="55E37BD6">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 xml:space="preserve">692.02 </w:t>
            </w:r>
          </w:p>
        </w:tc>
        <w:tc>
          <w:tcPr>
            <w:tcW w:w="1500" w:type="dxa"/>
            <w:tcBorders>
              <w:tl2br w:val="nil"/>
              <w:tr2bl w:val="nil"/>
            </w:tcBorders>
            <w:vAlign w:val="center"/>
          </w:tcPr>
          <w:p w14:paraId="1312A9CC">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 xml:space="preserve">5.66 </w:t>
            </w:r>
          </w:p>
        </w:tc>
        <w:tc>
          <w:tcPr>
            <w:tcW w:w="1308" w:type="dxa"/>
            <w:tcBorders>
              <w:tl2br w:val="nil"/>
              <w:tr2bl w:val="nil"/>
            </w:tcBorders>
            <w:vAlign w:val="center"/>
          </w:tcPr>
          <w:p w14:paraId="4E08B48D">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 xml:space="preserve">435.16 </w:t>
            </w:r>
          </w:p>
        </w:tc>
        <w:tc>
          <w:tcPr>
            <w:tcW w:w="1318" w:type="dxa"/>
            <w:tcBorders>
              <w:tl2br w:val="nil"/>
              <w:tr2bl w:val="nil"/>
            </w:tcBorders>
            <w:vAlign w:val="center"/>
          </w:tcPr>
          <w:p w14:paraId="3F035CF7">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 xml:space="preserve">3.56 </w:t>
            </w:r>
          </w:p>
        </w:tc>
      </w:tr>
    </w:tbl>
    <w:p w14:paraId="79E56B7F">
      <w:pPr>
        <w:ind w:firstLine="482"/>
        <w:rPr>
          <w:b/>
          <w:color w:val="auto"/>
          <w:szCs w:val="20"/>
          <w:highlight w:val="none"/>
        </w:rPr>
      </w:pPr>
    </w:p>
    <w:p w14:paraId="7159D14F">
      <w:pPr>
        <w:ind w:firstLine="482"/>
        <w:rPr>
          <w:b/>
          <w:color w:val="auto"/>
          <w:szCs w:val="20"/>
          <w:highlight w:val="none"/>
        </w:rPr>
      </w:pPr>
      <w:r>
        <w:rPr>
          <w:b/>
          <w:color w:val="auto"/>
          <w:szCs w:val="20"/>
          <w:highlight w:val="none"/>
        </w:rPr>
        <w:t>（6）初期雨水</w:t>
      </w:r>
      <w:r>
        <w:rPr>
          <w:rFonts w:hint="eastAsia"/>
          <w:b/>
          <w:color w:val="auto"/>
          <w:szCs w:val="20"/>
          <w:highlight w:val="none"/>
        </w:rPr>
        <w:t>（W8）</w:t>
      </w:r>
    </w:p>
    <w:p w14:paraId="1DBFAC60">
      <w:pPr>
        <w:ind w:firstLine="480"/>
        <w:rPr>
          <w:color w:val="auto"/>
          <w:szCs w:val="20"/>
          <w:highlight w:val="none"/>
        </w:rPr>
      </w:pPr>
      <w:r>
        <w:rPr>
          <w:color w:val="auto"/>
          <w:szCs w:val="20"/>
          <w:highlight w:val="none"/>
        </w:rPr>
        <w:t>浮船坞修船生产过程产生部分散落油污和铁锈、漆皮、铜矿砂尘等沉降物，下雨后产生的初期雨水含有油污和悬浮物。主要污染物为石油类和SS，一般含油较低约40mg/L，SS浓度约250mg/L。</w:t>
      </w:r>
    </w:p>
    <w:p w14:paraId="5D44AF46">
      <w:pPr>
        <w:pStyle w:val="589"/>
        <w:ind w:firstLine="480"/>
        <w:rPr>
          <w:rFonts w:cs="Times New Roman" w:eastAsiaTheme="minorEastAsia"/>
          <w:color w:val="auto"/>
          <w:highlight w:val="none"/>
        </w:rPr>
      </w:pPr>
      <w:r>
        <w:rPr>
          <w:rFonts w:cs="Times New Roman" w:eastAsiaTheme="minorEastAsia"/>
          <w:color w:val="auto"/>
          <w:highlight w:val="none"/>
        </w:rPr>
        <w:t>设计采用钦州市的暴雨强度公式计算：</w:t>
      </w:r>
    </w:p>
    <w:p w14:paraId="2F04E673">
      <w:pPr>
        <w:pStyle w:val="589"/>
        <w:ind w:firstLine="480"/>
        <w:jc w:val="center"/>
        <w:rPr>
          <w:rFonts w:cs="Times New Roman" w:eastAsiaTheme="minorEastAsia"/>
          <w:color w:val="auto"/>
          <w:highlight w:val="none"/>
        </w:rPr>
      </w:pPr>
      <w:r>
        <w:rPr>
          <w:rFonts w:cs="Times New Roman" w:eastAsiaTheme="minorEastAsia"/>
          <w:color w:val="auto"/>
          <w:highlight w:val="none"/>
        </w:rPr>
        <w:t>q=1817（1+0.505LgP）/（t+5.7）</w:t>
      </w:r>
      <w:r>
        <w:rPr>
          <w:rFonts w:cs="Times New Roman" w:eastAsiaTheme="minorEastAsia"/>
          <w:color w:val="auto"/>
          <w:highlight w:val="none"/>
          <w:vertAlign w:val="superscript"/>
        </w:rPr>
        <w:t>0.58</w:t>
      </w:r>
    </w:p>
    <w:p w14:paraId="6A099155">
      <w:pPr>
        <w:pStyle w:val="589"/>
        <w:ind w:firstLine="480"/>
        <w:rPr>
          <w:rFonts w:cs="Times New Roman" w:eastAsiaTheme="minorEastAsia"/>
          <w:color w:val="auto"/>
          <w:highlight w:val="none"/>
        </w:rPr>
      </w:pPr>
      <w:r>
        <w:rPr>
          <w:rFonts w:cs="Times New Roman" w:eastAsiaTheme="minorEastAsia"/>
          <w:color w:val="auto"/>
          <w:highlight w:val="none"/>
        </w:rPr>
        <w:t>式中：</w:t>
      </w:r>
    </w:p>
    <w:p w14:paraId="0C1955A1">
      <w:pPr>
        <w:pStyle w:val="589"/>
        <w:ind w:firstLine="1132" w:firstLineChars="472"/>
        <w:rPr>
          <w:rFonts w:cs="Times New Roman" w:eastAsiaTheme="minorEastAsia"/>
          <w:color w:val="auto"/>
          <w:highlight w:val="none"/>
        </w:rPr>
      </w:pPr>
      <w:r>
        <w:rPr>
          <w:rFonts w:cs="Times New Roman" w:eastAsiaTheme="minorEastAsia"/>
          <w:color w:val="auto"/>
          <w:highlight w:val="none"/>
        </w:rPr>
        <w:t>P为设计重现期，码头取P=5。</w:t>
      </w:r>
    </w:p>
    <w:p w14:paraId="42F6BC9B">
      <w:pPr>
        <w:pStyle w:val="589"/>
        <w:ind w:firstLine="1132" w:firstLineChars="472"/>
        <w:rPr>
          <w:rFonts w:cs="Times New Roman" w:eastAsiaTheme="minorEastAsia"/>
          <w:color w:val="auto"/>
          <w:highlight w:val="none"/>
        </w:rPr>
      </w:pPr>
      <w:r>
        <w:rPr>
          <w:rFonts w:cs="Times New Roman" w:eastAsiaTheme="minorEastAsia"/>
          <w:color w:val="auto"/>
          <w:highlight w:val="none"/>
        </w:rPr>
        <w:t>t为降雨历时，项目初期雨水历时按</w:t>
      </w:r>
      <w:r>
        <w:rPr>
          <w:rFonts w:hint="eastAsia" w:cs="Times New Roman" w:eastAsiaTheme="minorEastAsia"/>
          <w:color w:val="auto"/>
          <w:highlight w:val="none"/>
        </w:rPr>
        <w:t>30</w:t>
      </w:r>
      <w:r>
        <w:rPr>
          <w:rFonts w:cs="Times New Roman" w:eastAsiaTheme="minorEastAsia"/>
          <w:color w:val="auto"/>
          <w:highlight w:val="none"/>
        </w:rPr>
        <w:t>min计算。计算得q=</w:t>
      </w:r>
      <w:r>
        <w:rPr>
          <w:rFonts w:hint="eastAsia" w:cs="Times New Roman" w:eastAsiaTheme="minorEastAsia"/>
          <w:color w:val="auto"/>
          <w:highlight w:val="none"/>
        </w:rPr>
        <w:t>309.10</w:t>
      </w:r>
      <w:r>
        <w:rPr>
          <w:rFonts w:cs="Times New Roman" w:eastAsiaTheme="minorEastAsia"/>
          <w:color w:val="auto"/>
          <w:highlight w:val="none"/>
        </w:rPr>
        <w:t>L/s·ha。</w:t>
      </w:r>
    </w:p>
    <w:p w14:paraId="0EAE6C37">
      <w:pPr>
        <w:pStyle w:val="589"/>
        <w:ind w:firstLine="480"/>
        <w:rPr>
          <w:rFonts w:cs="Times New Roman" w:eastAsiaTheme="minorEastAsia"/>
          <w:color w:val="auto"/>
          <w:highlight w:val="none"/>
        </w:rPr>
      </w:pPr>
      <w:r>
        <w:rPr>
          <w:rFonts w:cs="Times New Roman" w:eastAsiaTheme="minorEastAsia"/>
          <w:color w:val="auto"/>
          <w:highlight w:val="none"/>
        </w:rPr>
        <w:t>雨水排水设计流量计算公式：</w:t>
      </w:r>
    </w:p>
    <w:p w14:paraId="547A2EA7">
      <w:pPr>
        <w:pStyle w:val="589"/>
        <w:ind w:firstLine="480"/>
        <w:jc w:val="center"/>
        <w:rPr>
          <w:rFonts w:cs="Times New Roman" w:eastAsiaTheme="minorEastAsia"/>
          <w:color w:val="auto"/>
          <w:highlight w:val="none"/>
        </w:rPr>
      </w:pPr>
      <w:r>
        <w:rPr>
          <w:rFonts w:cs="Times New Roman" w:eastAsiaTheme="minorEastAsia"/>
          <w:color w:val="auto"/>
          <w:highlight w:val="none"/>
        </w:rPr>
        <w:t>Q=ΨqF</w:t>
      </w:r>
    </w:p>
    <w:p w14:paraId="6E5CB11B">
      <w:pPr>
        <w:pStyle w:val="589"/>
        <w:ind w:firstLine="480"/>
        <w:rPr>
          <w:rFonts w:cs="Times New Roman" w:eastAsiaTheme="minorEastAsia"/>
          <w:color w:val="auto"/>
          <w:highlight w:val="none"/>
        </w:rPr>
      </w:pPr>
      <w:r>
        <w:rPr>
          <w:rFonts w:cs="Times New Roman" w:eastAsiaTheme="minorEastAsia"/>
          <w:color w:val="auto"/>
          <w:highlight w:val="none"/>
        </w:rPr>
        <w:t>式中：</w:t>
      </w:r>
    </w:p>
    <w:p w14:paraId="75033CFC">
      <w:pPr>
        <w:pStyle w:val="589"/>
        <w:ind w:firstLine="1132" w:firstLineChars="472"/>
        <w:rPr>
          <w:rFonts w:cs="Times New Roman" w:eastAsiaTheme="minorEastAsia"/>
          <w:color w:val="auto"/>
          <w:highlight w:val="none"/>
        </w:rPr>
      </w:pPr>
      <w:r>
        <w:rPr>
          <w:rFonts w:cs="Times New Roman" w:eastAsiaTheme="minorEastAsia"/>
          <w:color w:val="auto"/>
          <w:highlight w:val="none"/>
        </w:rPr>
        <w:t>Q—雨水设计流量（L/S）；</w:t>
      </w:r>
    </w:p>
    <w:p w14:paraId="18478A35">
      <w:pPr>
        <w:pStyle w:val="589"/>
        <w:ind w:firstLine="1132" w:firstLineChars="472"/>
        <w:rPr>
          <w:rFonts w:cs="Times New Roman" w:eastAsiaTheme="minorEastAsia"/>
          <w:color w:val="auto"/>
          <w:highlight w:val="none"/>
        </w:rPr>
      </w:pPr>
      <w:r>
        <w:rPr>
          <w:rFonts w:cs="Times New Roman" w:eastAsiaTheme="minorEastAsia"/>
          <w:color w:val="auto"/>
          <w:highlight w:val="none"/>
        </w:rPr>
        <w:t>Ψ-径流系数，取Ψ=0.9；</w:t>
      </w:r>
    </w:p>
    <w:p w14:paraId="0B8DD412">
      <w:pPr>
        <w:pStyle w:val="589"/>
        <w:ind w:firstLine="1132" w:firstLineChars="472"/>
        <w:rPr>
          <w:rFonts w:cs="Times New Roman" w:eastAsiaTheme="minorEastAsia"/>
          <w:color w:val="auto"/>
          <w:highlight w:val="none"/>
        </w:rPr>
      </w:pPr>
      <w:r>
        <w:rPr>
          <w:rFonts w:cs="Times New Roman" w:eastAsiaTheme="minorEastAsia"/>
          <w:color w:val="auto"/>
          <w:highlight w:val="none"/>
        </w:rPr>
        <w:t>F-雨水汇水面积（公顷）；以浮船坞</w:t>
      </w:r>
      <w:r>
        <w:rPr>
          <w:rFonts w:hint="eastAsia" w:cs="Times New Roman" w:eastAsiaTheme="minorEastAsia"/>
          <w:color w:val="auto"/>
          <w:highlight w:val="none"/>
        </w:rPr>
        <w:t>喷漆、除锈等作业</w:t>
      </w:r>
      <w:r>
        <w:rPr>
          <w:rFonts w:cs="Times New Roman" w:eastAsiaTheme="minorEastAsia"/>
          <w:color w:val="auto"/>
          <w:highlight w:val="none"/>
        </w:rPr>
        <w:t>面积</w:t>
      </w:r>
      <w:r>
        <w:rPr>
          <w:rFonts w:hint="eastAsia" w:cs="Times New Roman" w:eastAsiaTheme="minorEastAsia"/>
          <w:color w:val="auto"/>
          <w:highlight w:val="none"/>
        </w:rPr>
        <w:t>计，0.4</w:t>
      </w:r>
      <w:r>
        <w:rPr>
          <w:rFonts w:cs="Times New Roman" w:eastAsiaTheme="minorEastAsia"/>
          <w:color w:val="auto"/>
          <w:highlight w:val="none"/>
        </w:rPr>
        <w:t>hm</w:t>
      </w:r>
      <w:r>
        <w:rPr>
          <w:rFonts w:cs="Times New Roman" w:eastAsiaTheme="minorEastAsia"/>
          <w:color w:val="auto"/>
          <w:highlight w:val="none"/>
          <w:vertAlign w:val="superscript"/>
        </w:rPr>
        <w:t>2</w:t>
      </w:r>
      <w:r>
        <w:rPr>
          <w:rFonts w:cs="Times New Roman" w:eastAsiaTheme="minorEastAsia"/>
          <w:color w:val="auto"/>
          <w:highlight w:val="none"/>
        </w:rPr>
        <w:t>；</w:t>
      </w:r>
    </w:p>
    <w:p w14:paraId="5B0D6E96">
      <w:pPr>
        <w:pStyle w:val="589"/>
        <w:ind w:firstLine="1132" w:firstLineChars="472"/>
        <w:rPr>
          <w:rFonts w:cs="Times New Roman" w:eastAsiaTheme="minorEastAsia"/>
          <w:color w:val="auto"/>
          <w:highlight w:val="none"/>
        </w:rPr>
      </w:pPr>
      <w:r>
        <w:rPr>
          <w:rFonts w:cs="Times New Roman" w:eastAsiaTheme="minorEastAsia"/>
          <w:color w:val="auto"/>
          <w:highlight w:val="none"/>
        </w:rPr>
        <w:t>q-设计暴雨强度（L/s·ha）。</w:t>
      </w:r>
    </w:p>
    <w:p w14:paraId="2D58453D">
      <w:pPr>
        <w:ind w:firstLine="480"/>
        <w:rPr>
          <w:color w:val="auto"/>
          <w:highlight w:val="none"/>
          <w:u w:val="single"/>
        </w:rPr>
      </w:pPr>
      <w:r>
        <w:rPr>
          <w:rFonts w:eastAsiaTheme="minorEastAsia"/>
          <w:color w:val="auto"/>
          <w:highlight w:val="none"/>
        </w:rPr>
        <w:t>根据上述计算得前15min初期雨水为</w:t>
      </w:r>
      <w:r>
        <w:rPr>
          <w:rFonts w:hint="eastAsia" w:eastAsiaTheme="minorEastAsia"/>
          <w:color w:val="auto"/>
          <w:highlight w:val="none"/>
        </w:rPr>
        <w:t>100.15</w:t>
      </w:r>
      <w:r>
        <w:rPr>
          <w:rFonts w:eastAsiaTheme="minorEastAsia"/>
          <w:color w:val="auto"/>
          <w:highlight w:val="none"/>
        </w:rPr>
        <w:t>m</w:t>
      </w:r>
      <w:r>
        <w:rPr>
          <w:rFonts w:eastAsiaTheme="minorEastAsia"/>
          <w:color w:val="auto"/>
          <w:highlight w:val="none"/>
          <w:vertAlign w:val="superscript"/>
        </w:rPr>
        <w:t>3</w:t>
      </w:r>
      <w:r>
        <w:rPr>
          <w:rFonts w:eastAsiaTheme="minorEastAsia"/>
          <w:color w:val="auto"/>
          <w:highlight w:val="none"/>
        </w:rPr>
        <w:t>，</w:t>
      </w:r>
      <w:r>
        <w:rPr>
          <w:rFonts w:hint="eastAsia" w:eastAsiaTheme="minorEastAsia"/>
          <w:color w:val="auto"/>
          <w:highlight w:val="none"/>
          <w:u w:val="single"/>
        </w:rPr>
        <w:t>浮船坞上配套</w:t>
      </w:r>
      <w:r>
        <w:rPr>
          <w:rFonts w:eastAsiaTheme="minorEastAsia"/>
          <w:color w:val="auto"/>
          <w:highlight w:val="none"/>
          <w:u w:val="single"/>
        </w:rPr>
        <w:t>设</w:t>
      </w:r>
      <w:r>
        <w:rPr>
          <w:rFonts w:hint="eastAsia" w:eastAsiaTheme="minorEastAsia"/>
          <w:color w:val="auto"/>
          <w:highlight w:val="none"/>
          <w:u w:val="single"/>
        </w:rPr>
        <w:t>有</w:t>
      </w:r>
      <w:r>
        <w:rPr>
          <w:rFonts w:eastAsiaTheme="minorEastAsia"/>
          <w:color w:val="auto"/>
          <w:highlight w:val="none"/>
          <w:u w:val="single"/>
        </w:rPr>
        <w:t>1个初期雨水收集池，收集浮船坞初期雨水，容积为</w:t>
      </w:r>
      <w:r>
        <w:rPr>
          <w:rFonts w:hint="eastAsia" w:eastAsiaTheme="minorEastAsia"/>
          <w:color w:val="auto"/>
          <w:highlight w:val="none"/>
          <w:u w:val="single"/>
        </w:rPr>
        <w:t>113.85</w:t>
      </w:r>
      <w:r>
        <w:rPr>
          <w:rFonts w:eastAsiaTheme="minorEastAsia"/>
          <w:color w:val="auto"/>
          <w:highlight w:val="none"/>
          <w:u w:val="single"/>
        </w:rPr>
        <w:t>m</w:t>
      </w:r>
      <w:r>
        <w:rPr>
          <w:rFonts w:eastAsiaTheme="minorEastAsia"/>
          <w:color w:val="auto"/>
          <w:highlight w:val="none"/>
          <w:u w:val="single"/>
          <w:vertAlign w:val="superscript"/>
        </w:rPr>
        <w:t>3</w:t>
      </w:r>
      <w:r>
        <w:rPr>
          <w:rFonts w:hint="eastAsia" w:eastAsiaTheme="minorEastAsia"/>
          <w:color w:val="auto"/>
          <w:highlight w:val="none"/>
          <w:u w:val="single"/>
        </w:rPr>
        <w:t>（5m</w:t>
      </w:r>
      <w:r>
        <w:rPr>
          <w:rFonts w:ascii="Arial" w:hAnsi="Arial" w:cs="Arial" w:eastAsiaTheme="minorEastAsia"/>
          <w:color w:val="auto"/>
          <w:highlight w:val="none"/>
          <w:u w:val="single"/>
        </w:rPr>
        <w:t>×</w:t>
      </w:r>
      <w:r>
        <w:rPr>
          <w:rFonts w:hint="eastAsia" w:eastAsiaTheme="minorEastAsia"/>
          <w:color w:val="auto"/>
          <w:highlight w:val="none"/>
          <w:u w:val="single"/>
        </w:rPr>
        <w:t>6.9m</w:t>
      </w:r>
      <w:r>
        <w:rPr>
          <w:rFonts w:ascii="Arial" w:hAnsi="Arial" w:cs="Arial" w:eastAsiaTheme="minorEastAsia"/>
          <w:color w:val="auto"/>
          <w:highlight w:val="none"/>
          <w:u w:val="single"/>
        </w:rPr>
        <w:t>×</w:t>
      </w:r>
      <w:r>
        <w:rPr>
          <w:rFonts w:hint="eastAsia" w:eastAsiaTheme="minorEastAsia"/>
          <w:color w:val="auto"/>
          <w:highlight w:val="none"/>
          <w:u w:val="single"/>
        </w:rPr>
        <w:t>3.3m）</w:t>
      </w:r>
      <w:r>
        <w:rPr>
          <w:rFonts w:eastAsiaTheme="minorEastAsia"/>
          <w:color w:val="auto"/>
          <w:highlight w:val="none"/>
          <w:u w:val="single"/>
        </w:rPr>
        <w:t>。</w:t>
      </w:r>
      <w:r>
        <w:rPr>
          <w:rFonts w:hint="eastAsia"/>
          <w:color w:val="auto"/>
          <w:szCs w:val="20"/>
          <w:highlight w:val="none"/>
        </w:rPr>
        <w:t>初期雨水经</w:t>
      </w:r>
      <w:r>
        <w:rPr>
          <w:rFonts w:eastAsiaTheme="minorEastAsia"/>
          <w:color w:val="auto"/>
          <w:highlight w:val="none"/>
          <w:u w:val="single"/>
        </w:rPr>
        <w:t>收集后</w:t>
      </w:r>
      <w:r>
        <w:rPr>
          <w:rFonts w:hint="eastAsia" w:eastAsiaTheme="minorEastAsia"/>
          <w:color w:val="auto"/>
          <w:highlight w:val="none"/>
          <w:u w:val="single"/>
        </w:rPr>
        <w:t>采用罐车转运</w:t>
      </w:r>
      <w:r>
        <w:rPr>
          <w:rFonts w:eastAsiaTheme="minorEastAsia"/>
          <w:color w:val="auto"/>
          <w:highlight w:val="none"/>
          <w:u w:val="single"/>
        </w:rPr>
        <w:t>进入</w:t>
      </w:r>
      <w:r>
        <w:rPr>
          <w:rFonts w:hint="eastAsia" w:eastAsiaTheme="minorEastAsia"/>
          <w:color w:val="auto"/>
          <w:highlight w:val="none"/>
          <w:u w:val="single"/>
        </w:rPr>
        <w:t>钦州基地陆域现有</w:t>
      </w:r>
      <w:r>
        <w:rPr>
          <w:color w:val="auto"/>
          <w:szCs w:val="20"/>
          <w:highlight w:val="none"/>
          <w:u w:val="single"/>
        </w:rPr>
        <w:t>生活污水处理一体化设备（处理规模300m</w:t>
      </w:r>
      <w:r>
        <w:rPr>
          <w:color w:val="auto"/>
          <w:szCs w:val="20"/>
          <w:highlight w:val="none"/>
          <w:u w:val="single"/>
          <w:vertAlign w:val="superscript"/>
        </w:rPr>
        <w:t>3</w:t>
      </w:r>
      <w:r>
        <w:rPr>
          <w:color w:val="auto"/>
          <w:szCs w:val="20"/>
          <w:highlight w:val="none"/>
          <w:u w:val="single"/>
        </w:rPr>
        <w:t>/d）处理</w:t>
      </w:r>
      <w:r>
        <w:rPr>
          <w:rFonts w:hint="eastAsia"/>
          <w:color w:val="auto"/>
          <w:szCs w:val="20"/>
          <w:highlight w:val="none"/>
          <w:u w:val="single"/>
        </w:rPr>
        <w:t>后，进入中水回用池储存，</w:t>
      </w:r>
      <w:r>
        <w:rPr>
          <w:color w:val="auto"/>
          <w:szCs w:val="20"/>
          <w:highlight w:val="none"/>
          <w:u w:val="single"/>
        </w:rPr>
        <w:t>大部分回用于厂区绿化及降尘，少部分不能回用的由槽罐车运至大榄坪污水处理厂处理</w:t>
      </w:r>
      <w:r>
        <w:rPr>
          <w:color w:val="auto"/>
          <w:highlight w:val="none"/>
          <w:u w:val="single"/>
        </w:rPr>
        <w:t>。</w:t>
      </w:r>
    </w:p>
    <w:p w14:paraId="2E64F959">
      <w:pPr>
        <w:ind w:firstLine="482"/>
        <w:rPr>
          <w:b/>
          <w:color w:val="auto"/>
          <w:szCs w:val="20"/>
          <w:highlight w:val="none"/>
        </w:rPr>
      </w:pPr>
      <w:r>
        <w:rPr>
          <w:b/>
          <w:color w:val="auto"/>
          <w:szCs w:val="20"/>
          <w:highlight w:val="none"/>
        </w:rPr>
        <w:t>（7）废水产生排放情况</w:t>
      </w:r>
    </w:p>
    <w:p w14:paraId="72BE8A0B">
      <w:pPr>
        <w:ind w:firstLine="480"/>
        <w:rPr>
          <w:color w:val="auto"/>
          <w:szCs w:val="20"/>
          <w:highlight w:val="none"/>
        </w:rPr>
        <w:sectPr>
          <w:pgSz w:w="11906" w:h="16838"/>
          <w:pgMar w:top="1559" w:right="1418" w:bottom="1503" w:left="1418" w:header="851" w:footer="964" w:gutter="0"/>
          <w:cols w:space="720" w:num="1"/>
          <w:docGrid w:linePitch="326" w:charSpace="0"/>
        </w:sectPr>
      </w:pPr>
      <w:r>
        <w:rPr>
          <w:color w:val="auto"/>
          <w:szCs w:val="20"/>
          <w:highlight w:val="none"/>
        </w:rPr>
        <w:t>项目废水产生排放情况见表2.4-</w:t>
      </w:r>
      <w:r>
        <w:rPr>
          <w:rFonts w:hint="eastAsia"/>
          <w:color w:val="auto"/>
          <w:szCs w:val="20"/>
          <w:highlight w:val="none"/>
        </w:rPr>
        <w:t>11</w:t>
      </w:r>
      <w:r>
        <w:rPr>
          <w:color w:val="auto"/>
          <w:szCs w:val="20"/>
          <w:highlight w:val="none"/>
        </w:rPr>
        <w:t>。</w:t>
      </w:r>
    </w:p>
    <w:p w14:paraId="12C2C97A">
      <w:pPr>
        <w:pStyle w:val="38"/>
        <w:spacing w:after="0" w:line="240" w:lineRule="auto"/>
        <w:ind w:firstLine="0" w:firstLineChars="0"/>
        <w:jc w:val="center"/>
        <w:rPr>
          <w:b/>
          <w:color w:val="auto"/>
          <w:sz w:val="21"/>
          <w:szCs w:val="21"/>
          <w:highlight w:val="none"/>
        </w:rPr>
      </w:pPr>
      <w:r>
        <w:rPr>
          <w:b/>
          <w:color w:val="auto"/>
          <w:sz w:val="21"/>
          <w:szCs w:val="21"/>
          <w:highlight w:val="none"/>
        </w:rPr>
        <w:t>表2.4-</w:t>
      </w:r>
      <w:r>
        <w:rPr>
          <w:rFonts w:hint="eastAsia"/>
          <w:b/>
          <w:color w:val="auto"/>
          <w:sz w:val="21"/>
          <w:szCs w:val="21"/>
          <w:highlight w:val="none"/>
        </w:rPr>
        <w:t>11</w:t>
      </w:r>
      <w:r>
        <w:rPr>
          <w:b/>
          <w:color w:val="auto"/>
          <w:sz w:val="21"/>
          <w:szCs w:val="21"/>
          <w:highlight w:val="none"/>
        </w:rPr>
        <w:t xml:space="preserve">   项目废水污染物产生排放统计表</w:t>
      </w:r>
    </w:p>
    <w:tbl>
      <w:tblPr>
        <w:tblStyle w:val="9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615"/>
        <w:gridCol w:w="1519"/>
        <w:gridCol w:w="871"/>
        <w:gridCol w:w="1125"/>
        <w:gridCol w:w="827"/>
        <w:gridCol w:w="990"/>
        <w:gridCol w:w="926"/>
        <w:gridCol w:w="868"/>
        <w:gridCol w:w="868"/>
        <w:gridCol w:w="5161"/>
      </w:tblGrid>
      <w:tr w14:paraId="2E29E2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23" w:type="pct"/>
            <w:tcBorders>
              <w:tl2br w:val="nil"/>
              <w:tr2bl w:val="nil"/>
            </w:tcBorders>
            <w:vAlign w:val="center"/>
          </w:tcPr>
          <w:p w14:paraId="55B7FC00">
            <w:pPr>
              <w:spacing w:line="240" w:lineRule="auto"/>
              <w:ind w:firstLine="0" w:firstLineChars="0"/>
              <w:jc w:val="center"/>
              <w:rPr>
                <w:b/>
                <w:bCs/>
                <w:color w:val="auto"/>
                <w:sz w:val="21"/>
                <w:szCs w:val="21"/>
                <w:highlight w:val="none"/>
              </w:rPr>
            </w:pPr>
            <w:r>
              <w:rPr>
                <w:b/>
                <w:bCs/>
                <w:color w:val="auto"/>
                <w:sz w:val="21"/>
                <w:szCs w:val="21"/>
                <w:highlight w:val="none"/>
              </w:rPr>
              <w:t>序号</w:t>
            </w:r>
          </w:p>
        </w:tc>
        <w:tc>
          <w:tcPr>
            <w:tcW w:w="551" w:type="pct"/>
            <w:tcBorders>
              <w:tl2br w:val="nil"/>
              <w:tr2bl w:val="nil"/>
            </w:tcBorders>
            <w:vAlign w:val="center"/>
          </w:tcPr>
          <w:p w14:paraId="0E4B6C10">
            <w:pPr>
              <w:spacing w:line="240" w:lineRule="auto"/>
              <w:ind w:firstLine="0" w:firstLineChars="0"/>
              <w:jc w:val="center"/>
              <w:rPr>
                <w:b/>
                <w:bCs/>
                <w:color w:val="auto"/>
                <w:sz w:val="21"/>
                <w:szCs w:val="21"/>
                <w:highlight w:val="none"/>
              </w:rPr>
            </w:pPr>
            <w:r>
              <w:rPr>
                <w:b/>
                <w:bCs/>
                <w:color w:val="auto"/>
                <w:sz w:val="21"/>
                <w:szCs w:val="21"/>
                <w:highlight w:val="none"/>
              </w:rPr>
              <w:t>污染源</w:t>
            </w:r>
          </w:p>
        </w:tc>
        <w:tc>
          <w:tcPr>
            <w:tcW w:w="316" w:type="pct"/>
            <w:tcBorders>
              <w:tl2br w:val="nil"/>
              <w:tr2bl w:val="nil"/>
            </w:tcBorders>
            <w:vAlign w:val="center"/>
          </w:tcPr>
          <w:p w14:paraId="7E7D500A">
            <w:pPr>
              <w:spacing w:line="240" w:lineRule="auto"/>
              <w:ind w:firstLine="0" w:firstLineChars="0"/>
              <w:jc w:val="center"/>
              <w:rPr>
                <w:b/>
                <w:bCs/>
                <w:color w:val="auto"/>
                <w:sz w:val="21"/>
                <w:szCs w:val="21"/>
                <w:highlight w:val="none"/>
              </w:rPr>
            </w:pPr>
            <w:r>
              <w:rPr>
                <w:b/>
                <w:bCs/>
                <w:color w:val="auto"/>
                <w:sz w:val="21"/>
                <w:szCs w:val="21"/>
                <w:highlight w:val="none"/>
              </w:rPr>
              <w:t>废水量</w:t>
            </w:r>
          </w:p>
          <w:p w14:paraId="2874929C">
            <w:pPr>
              <w:spacing w:line="240" w:lineRule="auto"/>
              <w:ind w:firstLine="0" w:firstLineChars="0"/>
              <w:jc w:val="center"/>
              <w:rPr>
                <w:b/>
                <w:bCs/>
                <w:color w:val="auto"/>
                <w:sz w:val="21"/>
                <w:szCs w:val="21"/>
                <w:highlight w:val="none"/>
              </w:rPr>
            </w:pPr>
            <w:r>
              <w:rPr>
                <w:b/>
                <w:bCs/>
                <w:color w:val="auto"/>
                <w:sz w:val="21"/>
                <w:szCs w:val="21"/>
                <w:highlight w:val="none"/>
              </w:rPr>
              <w:t>（m</w:t>
            </w:r>
            <w:r>
              <w:rPr>
                <w:b/>
                <w:bCs/>
                <w:color w:val="auto"/>
                <w:sz w:val="21"/>
                <w:szCs w:val="21"/>
                <w:highlight w:val="none"/>
                <w:vertAlign w:val="superscript"/>
              </w:rPr>
              <w:t>3</w:t>
            </w:r>
            <w:r>
              <w:rPr>
                <w:b/>
                <w:bCs/>
                <w:color w:val="auto"/>
                <w:sz w:val="21"/>
                <w:szCs w:val="21"/>
                <w:highlight w:val="none"/>
              </w:rPr>
              <w:t>/a）</w:t>
            </w:r>
          </w:p>
        </w:tc>
        <w:tc>
          <w:tcPr>
            <w:tcW w:w="408" w:type="pct"/>
            <w:tcBorders>
              <w:tl2br w:val="nil"/>
              <w:tr2bl w:val="nil"/>
            </w:tcBorders>
            <w:vAlign w:val="center"/>
          </w:tcPr>
          <w:p w14:paraId="1B2931A2">
            <w:pPr>
              <w:spacing w:line="240" w:lineRule="auto"/>
              <w:ind w:firstLine="0" w:firstLineChars="0"/>
              <w:jc w:val="center"/>
              <w:rPr>
                <w:b/>
                <w:bCs/>
                <w:color w:val="auto"/>
                <w:sz w:val="21"/>
                <w:szCs w:val="21"/>
                <w:highlight w:val="none"/>
              </w:rPr>
            </w:pPr>
            <w:r>
              <w:rPr>
                <w:b/>
                <w:bCs/>
                <w:color w:val="auto"/>
                <w:sz w:val="21"/>
                <w:szCs w:val="21"/>
                <w:highlight w:val="none"/>
              </w:rPr>
              <w:t>污染物</w:t>
            </w:r>
          </w:p>
        </w:tc>
        <w:tc>
          <w:tcPr>
            <w:tcW w:w="300" w:type="pct"/>
            <w:tcBorders>
              <w:tl2br w:val="nil"/>
              <w:tr2bl w:val="nil"/>
            </w:tcBorders>
            <w:vAlign w:val="center"/>
          </w:tcPr>
          <w:p w14:paraId="1661C7DB">
            <w:pPr>
              <w:spacing w:line="240" w:lineRule="auto"/>
              <w:ind w:firstLine="0" w:firstLineChars="0"/>
              <w:jc w:val="center"/>
              <w:rPr>
                <w:b/>
                <w:bCs/>
                <w:color w:val="auto"/>
                <w:sz w:val="21"/>
                <w:szCs w:val="21"/>
                <w:highlight w:val="none"/>
              </w:rPr>
            </w:pPr>
            <w:r>
              <w:rPr>
                <w:b/>
                <w:bCs/>
                <w:color w:val="auto"/>
                <w:sz w:val="21"/>
                <w:szCs w:val="21"/>
                <w:highlight w:val="none"/>
              </w:rPr>
              <w:t>产生浓度（mg/L）</w:t>
            </w:r>
          </w:p>
        </w:tc>
        <w:tc>
          <w:tcPr>
            <w:tcW w:w="359" w:type="pct"/>
            <w:tcBorders>
              <w:tl2br w:val="nil"/>
              <w:tr2bl w:val="nil"/>
            </w:tcBorders>
            <w:vAlign w:val="center"/>
          </w:tcPr>
          <w:p w14:paraId="403CD248">
            <w:pPr>
              <w:spacing w:line="240" w:lineRule="auto"/>
              <w:ind w:firstLine="0" w:firstLineChars="0"/>
              <w:jc w:val="center"/>
              <w:rPr>
                <w:b/>
                <w:bCs/>
                <w:color w:val="auto"/>
                <w:sz w:val="21"/>
                <w:szCs w:val="21"/>
                <w:highlight w:val="none"/>
              </w:rPr>
            </w:pPr>
            <w:r>
              <w:rPr>
                <w:b/>
                <w:bCs/>
                <w:color w:val="auto"/>
                <w:sz w:val="21"/>
                <w:szCs w:val="21"/>
                <w:highlight w:val="none"/>
              </w:rPr>
              <w:t>产生量（t/a）</w:t>
            </w:r>
          </w:p>
        </w:tc>
        <w:tc>
          <w:tcPr>
            <w:tcW w:w="336" w:type="pct"/>
            <w:tcBorders>
              <w:tl2br w:val="nil"/>
              <w:tr2bl w:val="nil"/>
            </w:tcBorders>
            <w:vAlign w:val="center"/>
          </w:tcPr>
          <w:p w14:paraId="785BF70F">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排放浓度（mg/L）</w:t>
            </w:r>
          </w:p>
        </w:tc>
        <w:tc>
          <w:tcPr>
            <w:tcW w:w="315" w:type="pct"/>
            <w:tcBorders>
              <w:tl2br w:val="nil"/>
              <w:tr2bl w:val="nil"/>
            </w:tcBorders>
            <w:vAlign w:val="center"/>
          </w:tcPr>
          <w:p w14:paraId="31D798AD">
            <w:pPr>
              <w:spacing w:line="240" w:lineRule="auto"/>
              <w:ind w:firstLine="0" w:firstLineChars="0"/>
              <w:jc w:val="center"/>
              <w:rPr>
                <w:rFonts w:hint="eastAsia" w:eastAsia="宋体"/>
                <w:b/>
                <w:bCs/>
                <w:color w:val="auto"/>
                <w:sz w:val="21"/>
                <w:szCs w:val="21"/>
                <w:highlight w:val="none"/>
                <w:u w:val="single"/>
                <w:lang w:eastAsia="zh-CN"/>
              </w:rPr>
            </w:pPr>
            <w:r>
              <w:rPr>
                <w:rFonts w:hint="eastAsia"/>
                <w:b/>
                <w:bCs/>
                <w:color w:val="auto"/>
                <w:sz w:val="21"/>
                <w:szCs w:val="21"/>
                <w:highlight w:val="none"/>
                <w:u w:val="single"/>
                <w:lang w:eastAsia="zh-CN"/>
              </w:rPr>
              <w:t>回用量</w:t>
            </w:r>
            <w:r>
              <w:rPr>
                <w:b/>
                <w:bCs/>
                <w:color w:val="auto"/>
                <w:sz w:val="21"/>
                <w:szCs w:val="21"/>
                <w:highlight w:val="none"/>
                <w:u w:val="single"/>
              </w:rPr>
              <w:t>（t/a）</w:t>
            </w:r>
          </w:p>
        </w:tc>
        <w:tc>
          <w:tcPr>
            <w:tcW w:w="315" w:type="pct"/>
            <w:tcBorders>
              <w:tl2br w:val="nil"/>
              <w:tr2bl w:val="nil"/>
            </w:tcBorders>
            <w:vAlign w:val="center"/>
          </w:tcPr>
          <w:p w14:paraId="7B21F1A8">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排放量（t/a）</w:t>
            </w:r>
          </w:p>
        </w:tc>
        <w:tc>
          <w:tcPr>
            <w:tcW w:w="1872" w:type="pct"/>
            <w:tcBorders>
              <w:tl2br w:val="nil"/>
              <w:tr2bl w:val="nil"/>
            </w:tcBorders>
            <w:vAlign w:val="center"/>
          </w:tcPr>
          <w:p w14:paraId="6040B9EF">
            <w:pPr>
              <w:spacing w:line="240" w:lineRule="auto"/>
              <w:ind w:firstLine="0" w:firstLineChars="0"/>
              <w:jc w:val="center"/>
              <w:rPr>
                <w:b/>
                <w:bCs/>
                <w:color w:val="auto"/>
                <w:sz w:val="21"/>
                <w:szCs w:val="21"/>
                <w:highlight w:val="none"/>
              </w:rPr>
            </w:pPr>
            <w:r>
              <w:rPr>
                <w:b/>
                <w:bCs/>
                <w:color w:val="auto"/>
                <w:sz w:val="21"/>
                <w:szCs w:val="21"/>
                <w:highlight w:val="none"/>
              </w:rPr>
              <w:t>治理措施</w:t>
            </w:r>
          </w:p>
        </w:tc>
      </w:tr>
      <w:tr w14:paraId="447994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23" w:type="pct"/>
            <w:vMerge w:val="restart"/>
            <w:tcBorders>
              <w:tl2br w:val="nil"/>
              <w:tr2bl w:val="nil"/>
            </w:tcBorders>
            <w:vAlign w:val="center"/>
          </w:tcPr>
          <w:p w14:paraId="17D24A4B">
            <w:pPr>
              <w:spacing w:line="240" w:lineRule="auto"/>
              <w:ind w:firstLine="0" w:firstLineChars="0"/>
              <w:jc w:val="center"/>
              <w:rPr>
                <w:color w:val="auto"/>
                <w:sz w:val="21"/>
                <w:szCs w:val="21"/>
                <w:highlight w:val="none"/>
              </w:rPr>
            </w:pPr>
            <w:r>
              <w:rPr>
                <w:color w:val="auto"/>
                <w:sz w:val="21"/>
                <w:szCs w:val="21"/>
                <w:highlight w:val="none"/>
              </w:rPr>
              <w:t>1</w:t>
            </w:r>
          </w:p>
        </w:tc>
        <w:tc>
          <w:tcPr>
            <w:tcW w:w="551" w:type="pct"/>
            <w:vMerge w:val="restart"/>
            <w:tcBorders>
              <w:tl2br w:val="nil"/>
              <w:tr2bl w:val="nil"/>
            </w:tcBorders>
            <w:vAlign w:val="center"/>
          </w:tcPr>
          <w:p w14:paraId="7978E7D9">
            <w:pPr>
              <w:spacing w:line="240" w:lineRule="auto"/>
              <w:ind w:firstLine="0" w:firstLineChars="0"/>
              <w:jc w:val="center"/>
              <w:rPr>
                <w:color w:val="auto"/>
                <w:sz w:val="21"/>
                <w:szCs w:val="21"/>
                <w:highlight w:val="none"/>
              </w:rPr>
            </w:pPr>
            <w:r>
              <w:rPr>
                <w:color w:val="auto"/>
                <w:sz w:val="21"/>
                <w:szCs w:val="21"/>
                <w:highlight w:val="none"/>
              </w:rPr>
              <w:t>生活污水</w:t>
            </w:r>
            <w:r>
              <w:rPr>
                <w:rFonts w:hint="eastAsia"/>
                <w:color w:val="auto"/>
                <w:sz w:val="21"/>
                <w:szCs w:val="21"/>
                <w:highlight w:val="none"/>
              </w:rPr>
              <w:t>（W1）</w:t>
            </w:r>
          </w:p>
        </w:tc>
        <w:tc>
          <w:tcPr>
            <w:tcW w:w="316" w:type="pct"/>
            <w:vMerge w:val="restart"/>
            <w:tcBorders>
              <w:tl2br w:val="nil"/>
              <w:tr2bl w:val="nil"/>
            </w:tcBorders>
            <w:vAlign w:val="center"/>
          </w:tcPr>
          <w:p w14:paraId="2E637069">
            <w:pPr>
              <w:spacing w:line="240" w:lineRule="auto"/>
              <w:ind w:firstLine="0" w:firstLineChars="0"/>
              <w:jc w:val="center"/>
              <w:rPr>
                <w:color w:val="auto"/>
                <w:sz w:val="21"/>
                <w:szCs w:val="21"/>
                <w:highlight w:val="none"/>
              </w:rPr>
            </w:pPr>
            <w:r>
              <w:rPr>
                <w:color w:val="auto"/>
                <w:sz w:val="21"/>
                <w:szCs w:val="21"/>
                <w:highlight w:val="none"/>
              </w:rPr>
              <w:t>4781.25</w:t>
            </w:r>
          </w:p>
        </w:tc>
        <w:tc>
          <w:tcPr>
            <w:tcW w:w="408" w:type="pct"/>
            <w:tcBorders>
              <w:tl2br w:val="nil"/>
              <w:tr2bl w:val="nil"/>
            </w:tcBorders>
            <w:vAlign w:val="center"/>
          </w:tcPr>
          <w:p w14:paraId="37DC3A4C">
            <w:pPr>
              <w:spacing w:line="240" w:lineRule="auto"/>
              <w:ind w:firstLine="0" w:firstLineChars="0"/>
              <w:jc w:val="center"/>
              <w:rPr>
                <w:color w:val="auto"/>
                <w:sz w:val="21"/>
                <w:szCs w:val="21"/>
                <w:highlight w:val="none"/>
              </w:rPr>
            </w:pPr>
            <w:r>
              <w:rPr>
                <w:color w:val="auto"/>
                <w:sz w:val="21"/>
                <w:szCs w:val="21"/>
                <w:highlight w:val="none"/>
              </w:rPr>
              <w:t>COD</w:t>
            </w:r>
          </w:p>
        </w:tc>
        <w:tc>
          <w:tcPr>
            <w:tcW w:w="300" w:type="pct"/>
            <w:tcBorders>
              <w:tl2br w:val="nil"/>
              <w:tr2bl w:val="nil"/>
            </w:tcBorders>
            <w:shd w:val="clear" w:color="auto" w:fill="auto"/>
            <w:vAlign w:val="center"/>
          </w:tcPr>
          <w:p w14:paraId="16B53A65">
            <w:pPr>
              <w:spacing w:line="240" w:lineRule="auto"/>
              <w:ind w:firstLine="0" w:firstLineChars="0"/>
              <w:jc w:val="center"/>
              <w:rPr>
                <w:rFonts w:ascii="Times New Roman" w:hAnsi="Times New Roman" w:eastAsia="宋体" w:cs="Times New Roman"/>
                <w:color w:val="auto"/>
                <w:sz w:val="21"/>
                <w:szCs w:val="21"/>
                <w:highlight w:val="none"/>
                <w:lang w:val="en-US" w:eastAsia="zh-CN" w:bidi="ar-SA"/>
              </w:rPr>
            </w:pPr>
            <w:r>
              <w:rPr>
                <w:color w:val="auto"/>
                <w:sz w:val="21"/>
                <w:szCs w:val="21"/>
                <w:highlight w:val="none"/>
              </w:rPr>
              <w:t>350</w:t>
            </w:r>
          </w:p>
        </w:tc>
        <w:tc>
          <w:tcPr>
            <w:tcW w:w="359" w:type="pct"/>
            <w:tcBorders>
              <w:tl2br w:val="nil"/>
              <w:tr2bl w:val="nil"/>
            </w:tcBorders>
            <w:shd w:val="clear" w:color="auto" w:fill="auto"/>
            <w:vAlign w:val="center"/>
          </w:tcPr>
          <w:p w14:paraId="418E04CA">
            <w:pPr>
              <w:spacing w:line="240" w:lineRule="auto"/>
              <w:ind w:firstLine="0" w:firstLineChars="0"/>
              <w:jc w:val="center"/>
              <w:rPr>
                <w:rFonts w:ascii="Times New Roman" w:hAnsi="Times New Roman" w:eastAsia="宋体" w:cs="Times New Roman"/>
                <w:color w:val="auto"/>
                <w:sz w:val="21"/>
                <w:szCs w:val="21"/>
                <w:highlight w:val="none"/>
                <w:lang w:val="en-US" w:eastAsia="zh-CN" w:bidi="ar-SA"/>
              </w:rPr>
            </w:pPr>
            <w:r>
              <w:rPr>
                <w:color w:val="auto"/>
                <w:sz w:val="21"/>
                <w:szCs w:val="21"/>
                <w:highlight w:val="none"/>
              </w:rPr>
              <w:t xml:space="preserve">1.67 </w:t>
            </w:r>
          </w:p>
        </w:tc>
        <w:tc>
          <w:tcPr>
            <w:tcW w:w="336" w:type="pct"/>
            <w:tcBorders>
              <w:tl2br w:val="nil"/>
              <w:tr2bl w:val="nil"/>
            </w:tcBorders>
            <w:vAlign w:val="center"/>
          </w:tcPr>
          <w:p w14:paraId="005A99E5">
            <w:pPr>
              <w:spacing w:line="240" w:lineRule="auto"/>
              <w:ind w:firstLine="0" w:firstLineChars="0"/>
              <w:jc w:val="center"/>
              <w:rPr>
                <w:rFonts w:hint="default"/>
                <w:color w:val="auto"/>
                <w:sz w:val="21"/>
                <w:szCs w:val="21"/>
                <w:highlight w:val="none"/>
                <w:u w:val="single"/>
                <w:lang w:val="en-US" w:eastAsia="zh-CN"/>
              </w:rPr>
            </w:pPr>
            <w:r>
              <w:rPr>
                <w:rFonts w:hint="default"/>
                <w:color w:val="auto"/>
                <w:sz w:val="21"/>
                <w:szCs w:val="21"/>
                <w:highlight w:val="none"/>
                <w:u w:val="single"/>
                <w:lang w:val="en-US" w:eastAsia="zh-CN"/>
              </w:rPr>
              <w:t>100</w:t>
            </w:r>
          </w:p>
        </w:tc>
        <w:tc>
          <w:tcPr>
            <w:tcW w:w="315" w:type="pct"/>
            <w:tcBorders>
              <w:tl2br w:val="nil"/>
              <w:tr2bl w:val="nil"/>
            </w:tcBorders>
            <w:vAlign w:val="center"/>
          </w:tcPr>
          <w:p w14:paraId="2ECE97DF">
            <w:pPr>
              <w:spacing w:line="240" w:lineRule="auto"/>
              <w:ind w:firstLine="0" w:firstLineChars="0"/>
              <w:jc w:val="center"/>
              <w:rPr>
                <w:color w:val="auto"/>
                <w:sz w:val="21"/>
                <w:szCs w:val="21"/>
                <w:highlight w:val="none"/>
                <w:u w:val="single"/>
              </w:rPr>
            </w:pPr>
            <w:r>
              <w:rPr>
                <w:rFonts w:hint="default"/>
                <w:color w:val="auto"/>
                <w:sz w:val="21"/>
                <w:szCs w:val="21"/>
                <w:highlight w:val="none"/>
                <w:u w:val="single"/>
                <w:lang w:val="en-US" w:eastAsia="zh-CN"/>
              </w:rPr>
              <w:t xml:space="preserve">0.4303 </w:t>
            </w:r>
          </w:p>
        </w:tc>
        <w:tc>
          <w:tcPr>
            <w:tcW w:w="315" w:type="pct"/>
            <w:tcBorders>
              <w:tl2br w:val="nil"/>
              <w:tr2bl w:val="nil"/>
            </w:tcBorders>
            <w:vAlign w:val="center"/>
          </w:tcPr>
          <w:p w14:paraId="36AEB68A">
            <w:pPr>
              <w:spacing w:line="240" w:lineRule="auto"/>
              <w:ind w:firstLine="0" w:firstLineChars="0"/>
              <w:jc w:val="center"/>
              <w:rPr>
                <w:color w:val="auto"/>
                <w:sz w:val="21"/>
                <w:szCs w:val="21"/>
                <w:highlight w:val="none"/>
                <w:u w:val="single"/>
              </w:rPr>
            </w:pPr>
            <w:r>
              <w:rPr>
                <w:rFonts w:hint="default"/>
                <w:color w:val="auto"/>
                <w:sz w:val="21"/>
                <w:szCs w:val="21"/>
                <w:highlight w:val="none"/>
                <w:u w:val="single"/>
                <w:lang w:val="en-US" w:eastAsia="zh-CN"/>
              </w:rPr>
              <w:t xml:space="preserve">0.0478 </w:t>
            </w:r>
          </w:p>
        </w:tc>
        <w:tc>
          <w:tcPr>
            <w:tcW w:w="1872" w:type="pct"/>
            <w:vMerge w:val="restart"/>
            <w:tcBorders>
              <w:tl2br w:val="nil"/>
              <w:tr2bl w:val="nil"/>
            </w:tcBorders>
            <w:vAlign w:val="center"/>
          </w:tcPr>
          <w:p w14:paraId="46A509E6">
            <w:pPr>
              <w:spacing w:line="240" w:lineRule="auto"/>
              <w:ind w:firstLine="0" w:firstLineChars="0"/>
              <w:jc w:val="center"/>
              <w:rPr>
                <w:color w:val="auto"/>
                <w:sz w:val="21"/>
                <w:szCs w:val="21"/>
                <w:highlight w:val="none"/>
                <w:u w:val="single"/>
              </w:rPr>
            </w:pPr>
            <w:r>
              <w:rPr>
                <w:color w:val="auto"/>
                <w:sz w:val="21"/>
                <w:szCs w:val="21"/>
                <w:highlight w:val="none"/>
                <w:u w:val="single"/>
              </w:rPr>
              <w:t>经</w:t>
            </w:r>
            <w:r>
              <w:rPr>
                <w:rFonts w:hint="eastAsia"/>
                <w:color w:val="auto"/>
                <w:sz w:val="21"/>
                <w:szCs w:val="21"/>
                <w:highlight w:val="none"/>
                <w:u w:val="single"/>
              </w:rPr>
              <w:t>陆域</w:t>
            </w:r>
            <w:r>
              <w:rPr>
                <w:color w:val="auto"/>
                <w:sz w:val="21"/>
                <w:szCs w:val="21"/>
                <w:highlight w:val="none"/>
                <w:u w:val="single"/>
              </w:rPr>
              <w:t>生活污水处理一体化设备（处理规模300m</w:t>
            </w:r>
            <w:r>
              <w:rPr>
                <w:color w:val="auto"/>
                <w:sz w:val="21"/>
                <w:szCs w:val="21"/>
                <w:highlight w:val="none"/>
                <w:u w:val="single"/>
                <w:vertAlign w:val="superscript"/>
              </w:rPr>
              <w:t>3</w:t>
            </w:r>
            <w:r>
              <w:rPr>
                <w:color w:val="auto"/>
                <w:sz w:val="21"/>
                <w:szCs w:val="21"/>
                <w:highlight w:val="none"/>
                <w:u w:val="single"/>
              </w:rPr>
              <w:t>/d）处理</w:t>
            </w:r>
            <w:r>
              <w:rPr>
                <w:rFonts w:hint="eastAsia"/>
                <w:color w:val="auto"/>
                <w:sz w:val="21"/>
                <w:szCs w:val="21"/>
                <w:highlight w:val="none"/>
                <w:u w:val="single"/>
              </w:rPr>
              <w:t>后，进入中水回用池储存，大部分</w:t>
            </w:r>
            <w:r>
              <w:rPr>
                <w:color w:val="auto"/>
                <w:sz w:val="21"/>
                <w:szCs w:val="21"/>
                <w:highlight w:val="none"/>
                <w:u w:val="single"/>
              </w:rPr>
              <w:t>回用于厂区绿化及降尘，</w:t>
            </w:r>
            <w:r>
              <w:rPr>
                <w:rFonts w:hint="eastAsia"/>
                <w:color w:val="auto"/>
                <w:sz w:val="21"/>
                <w:szCs w:val="21"/>
                <w:highlight w:val="none"/>
                <w:u w:val="single"/>
              </w:rPr>
              <w:t>少部分</w:t>
            </w:r>
            <w:r>
              <w:rPr>
                <w:color w:val="auto"/>
                <w:sz w:val="21"/>
                <w:szCs w:val="21"/>
                <w:highlight w:val="none"/>
                <w:u w:val="single"/>
              </w:rPr>
              <w:t>不能回用的由槽罐车运至大榄坪污水处理厂处理</w:t>
            </w:r>
          </w:p>
        </w:tc>
      </w:tr>
      <w:tr w14:paraId="0BA36D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23" w:type="pct"/>
            <w:vMerge w:val="continue"/>
            <w:tcBorders>
              <w:tl2br w:val="nil"/>
              <w:tr2bl w:val="nil"/>
            </w:tcBorders>
            <w:vAlign w:val="center"/>
          </w:tcPr>
          <w:p w14:paraId="0735363F">
            <w:pPr>
              <w:spacing w:line="240" w:lineRule="auto"/>
              <w:ind w:firstLine="0" w:firstLineChars="0"/>
              <w:jc w:val="center"/>
              <w:rPr>
                <w:color w:val="auto"/>
                <w:sz w:val="21"/>
                <w:szCs w:val="21"/>
                <w:highlight w:val="none"/>
              </w:rPr>
            </w:pPr>
          </w:p>
        </w:tc>
        <w:tc>
          <w:tcPr>
            <w:tcW w:w="551" w:type="pct"/>
            <w:vMerge w:val="continue"/>
            <w:tcBorders>
              <w:tl2br w:val="nil"/>
              <w:tr2bl w:val="nil"/>
            </w:tcBorders>
            <w:vAlign w:val="center"/>
          </w:tcPr>
          <w:p w14:paraId="1F6ECA75">
            <w:pPr>
              <w:spacing w:line="240" w:lineRule="auto"/>
              <w:ind w:firstLine="0" w:firstLineChars="0"/>
              <w:jc w:val="center"/>
              <w:rPr>
                <w:color w:val="auto"/>
                <w:sz w:val="21"/>
                <w:szCs w:val="21"/>
                <w:highlight w:val="none"/>
              </w:rPr>
            </w:pPr>
          </w:p>
        </w:tc>
        <w:tc>
          <w:tcPr>
            <w:tcW w:w="316" w:type="pct"/>
            <w:vMerge w:val="continue"/>
            <w:tcBorders>
              <w:tl2br w:val="nil"/>
              <w:tr2bl w:val="nil"/>
            </w:tcBorders>
            <w:vAlign w:val="center"/>
          </w:tcPr>
          <w:p w14:paraId="7859AD7D">
            <w:pPr>
              <w:spacing w:line="240" w:lineRule="auto"/>
              <w:ind w:firstLine="0" w:firstLineChars="0"/>
              <w:jc w:val="center"/>
              <w:rPr>
                <w:color w:val="auto"/>
                <w:sz w:val="21"/>
                <w:szCs w:val="21"/>
                <w:highlight w:val="none"/>
              </w:rPr>
            </w:pPr>
          </w:p>
        </w:tc>
        <w:tc>
          <w:tcPr>
            <w:tcW w:w="408" w:type="pct"/>
            <w:tcBorders>
              <w:tl2br w:val="nil"/>
              <w:tr2bl w:val="nil"/>
            </w:tcBorders>
            <w:vAlign w:val="center"/>
          </w:tcPr>
          <w:p w14:paraId="23617D16">
            <w:pPr>
              <w:spacing w:line="240" w:lineRule="auto"/>
              <w:ind w:firstLine="0" w:firstLineChars="0"/>
              <w:jc w:val="center"/>
              <w:rPr>
                <w:color w:val="auto"/>
                <w:sz w:val="21"/>
                <w:szCs w:val="21"/>
                <w:highlight w:val="none"/>
              </w:rPr>
            </w:pPr>
            <w:r>
              <w:rPr>
                <w:color w:val="auto"/>
                <w:sz w:val="21"/>
                <w:szCs w:val="21"/>
                <w:highlight w:val="none"/>
              </w:rPr>
              <w:t>BOD</w:t>
            </w:r>
            <w:r>
              <w:rPr>
                <w:color w:val="auto"/>
                <w:sz w:val="21"/>
                <w:szCs w:val="21"/>
                <w:highlight w:val="none"/>
                <w:vertAlign w:val="subscript"/>
              </w:rPr>
              <w:t>5</w:t>
            </w:r>
          </w:p>
        </w:tc>
        <w:tc>
          <w:tcPr>
            <w:tcW w:w="300" w:type="pct"/>
            <w:tcBorders>
              <w:tl2br w:val="nil"/>
              <w:tr2bl w:val="nil"/>
            </w:tcBorders>
            <w:shd w:val="clear" w:color="auto" w:fill="auto"/>
            <w:vAlign w:val="center"/>
          </w:tcPr>
          <w:p w14:paraId="6E088563">
            <w:pPr>
              <w:spacing w:line="240" w:lineRule="auto"/>
              <w:ind w:firstLine="0" w:firstLineChars="0"/>
              <w:jc w:val="center"/>
              <w:rPr>
                <w:rFonts w:ascii="Times New Roman" w:hAnsi="Times New Roman" w:eastAsia="宋体" w:cs="Times New Roman"/>
                <w:color w:val="auto"/>
                <w:sz w:val="21"/>
                <w:szCs w:val="21"/>
                <w:highlight w:val="none"/>
                <w:lang w:val="en-US" w:eastAsia="zh-CN" w:bidi="ar-SA"/>
              </w:rPr>
            </w:pPr>
            <w:r>
              <w:rPr>
                <w:color w:val="auto"/>
                <w:sz w:val="21"/>
                <w:szCs w:val="21"/>
                <w:highlight w:val="none"/>
              </w:rPr>
              <w:t>200</w:t>
            </w:r>
          </w:p>
        </w:tc>
        <w:tc>
          <w:tcPr>
            <w:tcW w:w="359" w:type="pct"/>
            <w:tcBorders>
              <w:tl2br w:val="nil"/>
              <w:tr2bl w:val="nil"/>
            </w:tcBorders>
            <w:shd w:val="clear" w:color="auto" w:fill="auto"/>
            <w:vAlign w:val="center"/>
          </w:tcPr>
          <w:p w14:paraId="57F22358">
            <w:pPr>
              <w:spacing w:line="240" w:lineRule="auto"/>
              <w:ind w:firstLine="0" w:firstLineChars="0"/>
              <w:jc w:val="center"/>
              <w:rPr>
                <w:rFonts w:ascii="Times New Roman" w:hAnsi="Times New Roman" w:eastAsia="宋体" w:cs="Times New Roman"/>
                <w:color w:val="auto"/>
                <w:sz w:val="21"/>
                <w:szCs w:val="21"/>
                <w:highlight w:val="none"/>
                <w:lang w:val="en-US" w:eastAsia="zh-CN" w:bidi="ar-SA"/>
              </w:rPr>
            </w:pPr>
            <w:r>
              <w:rPr>
                <w:color w:val="auto"/>
                <w:sz w:val="21"/>
                <w:szCs w:val="21"/>
                <w:highlight w:val="none"/>
              </w:rPr>
              <w:t xml:space="preserve">0.96 </w:t>
            </w:r>
          </w:p>
        </w:tc>
        <w:tc>
          <w:tcPr>
            <w:tcW w:w="336" w:type="pct"/>
            <w:tcBorders>
              <w:tl2br w:val="nil"/>
              <w:tr2bl w:val="nil"/>
            </w:tcBorders>
            <w:vAlign w:val="center"/>
          </w:tcPr>
          <w:p w14:paraId="7F42D4E3">
            <w:pPr>
              <w:spacing w:line="240" w:lineRule="auto"/>
              <w:ind w:firstLine="0" w:firstLineChars="0"/>
              <w:jc w:val="center"/>
              <w:rPr>
                <w:rFonts w:hint="default"/>
                <w:color w:val="auto"/>
                <w:sz w:val="21"/>
                <w:szCs w:val="21"/>
                <w:highlight w:val="none"/>
                <w:u w:val="single"/>
                <w:lang w:val="en-US" w:eastAsia="zh-CN"/>
              </w:rPr>
            </w:pPr>
            <w:r>
              <w:rPr>
                <w:rFonts w:hint="default"/>
                <w:color w:val="auto"/>
                <w:sz w:val="21"/>
                <w:szCs w:val="21"/>
                <w:highlight w:val="none"/>
                <w:u w:val="single"/>
                <w:lang w:val="en-US" w:eastAsia="zh-CN"/>
              </w:rPr>
              <w:t>10</w:t>
            </w:r>
          </w:p>
        </w:tc>
        <w:tc>
          <w:tcPr>
            <w:tcW w:w="315" w:type="pct"/>
            <w:tcBorders>
              <w:tl2br w:val="nil"/>
              <w:tr2bl w:val="nil"/>
            </w:tcBorders>
            <w:vAlign w:val="center"/>
          </w:tcPr>
          <w:p w14:paraId="41EDF436">
            <w:pPr>
              <w:spacing w:line="240" w:lineRule="auto"/>
              <w:ind w:firstLine="0" w:firstLineChars="0"/>
              <w:jc w:val="center"/>
              <w:rPr>
                <w:color w:val="auto"/>
                <w:sz w:val="21"/>
                <w:szCs w:val="21"/>
                <w:highlight w:val="none"/>
                <w:u w:val="single"/>
              </w:rPr>
            </w:pPr>
            <w:r>
              <w:rPr>
                <w:rFonts w:hint="default"/>
                <w:color w:val="auto"/>
                <w:sz w:val="21"/>
                <w:szCs w:val="21"/>
                <w:highlight w:val="none"/>
                <w:u w:val="single"/>
                <w:lang w:val="en-US" w:eastAsia="zh-CN"/>
              </w:rPr>
              <w:t xml:space="preserve">0.0430 </w:t>
            </w:r>
          </w:p>
        </w:tc>
        <w:tc>
          <w:tcPr>
            <w:tcW w:w="315" w:type="pct"/>
            <w:tcBorders>
              <w:tl2br w:val="nil"/>
              <w:tr2bl w:val="nil"/>
            </w:tcBorders>
            <w:vAlign w:val="center"/>
          </w:tcPr>
          <w:p w14:paraId="4BC9B14D">
            <w:pPr>
              <w:spacing w:line="240" w:lineRule="auto"/>
              <w:ind w:firstLine="0" w:firstLineChars="0"/>
              <w:jc w:val="center"/>
              <w:rPr>
                <w:color w:val="auto"/>
                <w:sz w:val="21"/>
                <w:szCs w:val="21"/>
                <w:highlight w:val="none"/>
                <w:u w:val="single"/>
              </w:rPr>
            </w:pPr>
            <w:r>
              <w:rPr>
                <w:rFonts w:hint="default"/>
                <w:color w:val="auto"/>
                <w:sz w:val="21"/>
                <w:szCs w:val="21"/>
                <w:highlight w:val="none"/>
                <w:u w:val="single"/>
                <w:lang w:val="en-US" w:eastAsia="zh-CN"/>
              </w:rPr>
              <w:t xml:space="preserve">0.0048 </w:t>
            </w:r>
          </w:p>
        </w:tc>
        <w:tc>
          <w:tcPr>
            <w:tcW w:w="1872" w:type="pct"/>
            <w:vMerge w:val="continue"/>
            <w:tcBorders>
              <w:tl2br w:val="nil"/>
              <w:tr2bl w:val="nil"/>
            </w:tcBorders>
            <w:vAlign w:val="center"/>
          </w:tcPr>
          <w:p w14:paraId="60BE9D3F">
            <w:pPr>
              <w:spacing w:line="240" w:lineRule="auto"/>
              <w:ind w:firstLine="0" w:firstLineChars="0"/>
              <w:jc w:val="center"/>
              <w:rPr>
                <w:color w:val="auto"/>
                <w:sz w:val="21"/>
                <w:szCs w:val="21"/>
                <w:highlight w:val="none"/>
                <w:u w:val="single"/>
              </w:rPr>
            </w:pPr>
          </w:p>
        </w:tc>
      </w:tr>
      <w:tr w14:paraId="7A23D5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23" w:type="pct"/>
            <w:vMerge w:val="continue"/>
            <w:tcBorders>
              <w:tl2br w:val="nil"/>
              <w:tr2bl w:val="nil"/>
            </w:tcBorders>
            <w:vAlign w:val="center"/>
          </w:tcPr>
          <w:p w14:paraId="17B54B5E">
            <w:pPr>
              <w:spacing w:line="240" w:lineRule="auto"/>
              <w:ind w:firstLine="0" w:firstLineChars="0"/>
              <w:jc w:val="center"/>
              <w:rPr>
                <w:color w:val="auto"/>
                <w:sz w:val="21"/>
                <w:szCs w:val="21"/>
                <w:highlight w:val="none"/>
              </w:rPr>
            </w:pPr>
          </w:p>
        </w:tc>
        <w:tc>
          <w:tcPr>
            <w:tcW w:w="551" w:type="pct"/>
            <w:vMerge w:val="continue"/>
            <w:tcBorders>
              <w:tl2br w:val="nil"/>
              <w:tr2bl w:val="nil"/>
            </w:tcBorders>
            <w:vAlign w:val="center"/>
          </w:tcPr>
          <w:p w14:paraId="211923FA">
            <w:pPr>
              <w:spacing w:line="240" w:lineRule="auto"/>
              <w:ind w:firstLine="0" w:firstLineChars="0"/>
              <w:jc w:val="center"/>
              <w:rPr>
                <w:color w:val="auto"/>
                <w:sz w:val="21"/>
                <w:szCs w:val="21"/>
                <w:highlight w:val="none"/>
              </w:rPr>
            </w:pPr>
          </w:p>
        </w:tc>
        <w:tc>
          <w:tcPr>
            <w:tcW w:w="316" w:type="pct"/>
            <w:vMerge w:val="continue"/>
            <w:tcBorders>
              <w:tl2br w:val="nil"/>
              <w:tr2bl w:val="nil"/>
            </w:tcBorders>
            <w:vAlign w:val="center"/>
          </w:tcPr>
          <w:p w14:paraId="5C85E497">
            <w:pPr>
              <w:spacing w:line="240" w:lineRule="auto"/>
              <w:ind w:firstLine="0" w:firstLineChars="0"/>
              <w:jc w:val="center"/>
              <w:rPr>
                <w:color w:val="auto"/>
                <w:sz w:val="21"/>
                <w:szCs w:val="21"/>
                <w:highlight w:val="none"/>
              </w:rPr>
            </w:pPr>
          </w:p>
        </w:tc>
        <w:tc>
          <w:tcPr>
            <w:tcW w:w="408" w:type="pct"/>
            <w:tcBorders>
              <w:tl2br w:val="nil"/>
              <w:tr2bl w:val="nil"/>
            </w:tcBorders>
            <w:vAlign w:val="center"/>
          </w:tcPr>
          <w:p w14:paraId="179F6C98">
            <w:pPr>
              <w:spacing w:line="240" w:lineRule="auto"/>
              <w:ind w:firstLine="0" w:firstLineChars="0"/>
              <w:jc w:val="center"/>
              <w:rPr>
                <w:color w:val="auto"/>
                <w:sz w:val="21"/>
                <w:szCs w:val="21"/>
                <w:highlight w:val="none"/>
              </w:rPr>
            </w:pPr>
            <w:r>
              <w:rPr>
                <w:color w:val="auto"/>
                <w:sz w:val="21"/>
                <w:szCs w:val="21"/>
                <w:highlight w:val="none"/>
              </w:rPr>
              <w:t>氨氮</w:t>
            </w:r>
          </w:p>
        </w:tc>
        <w:tc>
          <w:tcPr>
            <w:tcW w:w="300" w:type="pct"/>
            <w:tcBorders>
              <w:tl2br w:val="nil"/>
              <w:tr2bl w:val="nil"/>
            </w:tcBorders>
            <w:shd w:val="clear" w:color="auto" w:fill="auto"/>
            <w:vAlign w:val="center"/>
          </w:tcPr>
          <w:p w14:paraId="5A15C0BC">
            <w:pPr>
              <w:spacing w:line="240" w:lineRule="auto"/>
              <w:ind w:firstLine="0" w:firstLineChars="0"/>
              <w:jc w:val="center"/>
              <w:rPr>
                <w:rFonts w:ascii="Times New Roman" w:hAnsi="Times New Roman" w:eastAsia="宋体" w:cs="Times New Roman"/>
                <w:color w:val="auto"/>
                <w:sz w:val="21"/>
                <w:szCs w:val="21"/>
                <w:highlight w:val="none"/>
                <w:lang w:val="en-US" w:eastAsia="zh-CN" w:bidi="ar-SA"/>
              </w:rPr>
            </w:pPr>
            <w:r>
              <w:rPr>
                <w:color w:val="auto"/>
                <w:sz w:val="21"/>
                <w:szCs w:val="21"/>
                <w:highlight w:val="none"/>
              </w:rPr>
              <w:t>40</w:t>
            </w:r>
          </w:p>
        </w:tc>
        <w:tc>
          <w:tcPr>
            <w:tcW w:w="359" w:type="pct"/>
            <w:tcBorders>
              <w:tl2br w:val="nil"/>
              <w:tr2bl w:val="nil"/>
            </w:tcBorders>
            <w:shd w:val="clear" w:color="auto" w:fill="auto"/>
            <w:vAlign w:val="center"/>
          </w:tcPr>
          <w:p w14:paraId="0F8FCB02">
            <w:pPr>
              <w:spacing w:line="240" w:lineRule="auto"/>
              <w:ind w:firstLine="0" w:firstLineChars="0"/>
              <w:jc w:val="center"/>
              <w:rPr>
                <w:rFonts w:ascii="Times New Roman" w:hAnsi="Times New Roman" w:eastAsia="宋体" w:cs="Times New Roman"/>
                <w:color w:val="auto"/>
                <w:sz w:val="21"/>
                <w:szCs w:val="21"/>
                <w:highlight w:val="none"/>
                <w:lang w:val="en-US" w:eastAsia="zh-CN" w:bidi="ar-SA"/>
              </w:rPr>
            </w:pPr>
            <w:r>
              <w:rPr>
                <w:color w:val="auto"/>
                <w:sz w:val="21"/>
                <w:szCs w:val="21"/>
                <w:highlight w:val="none"/>
              </w:rPr>
              <w:t xml:space="preserve">0.19 </w:t>
            </w:r>
          </w:p>
        </w:tc>
        <w:tc>
          <w:tcPr>
            <w:tcW w:w="336" w:type="pct"/>
            <w:tcBorders>
              <w:tl2br w:val="nil"/>
              <w:tr2bl w:val="nil"/>
            </w:tcBorders>
            <w:vAlign w:val="center"/>
          </w:tcPr>
          <w:p w14:paraId="1A6BD5FC">
            <w:pPr>
              <w:spacing w:line="240" w:lineRule="auto"/>
              <w:ind w:firstLine="0" w:firstLineChars="0"/>
              <w:jc w:val="center"/>
              <w:rPr>
                <w:rFonts w:hint="eastAsia"/>
                <w:color w:val="auto"/>
                <w:sz w:val="21"/>
                <w:szCs w:val="21"/>
                <w:highlight w:val="none"/>
                <w:u w:val="single"/>
                <w:lang w:val="en-US" w:eastAsia="zh-CN"/>
              </w:rPr>
            </w:pPr>
            <w:r>
              <w:rPr>
                <w:rFonts w:hint="default"/>
                <w:color w:val="auto"/>
                <w:sz w:val="21"/>
                <w:szCs w:val="21"/>
                <w:highlight w:val="none"/>
                <w:u w:val="single"/>
                <w:lang w:val="en-US" w:eastAsia="zh-CN"/>
              </w:rPr>
              <w:t>8</w:t>
            </w:r>
          </w:p>
        </w:tc>
        <w:tc>
          <w:tcPr>
            <w:tcW w:w="315" w:type="pct"/>
            <w:tcBorders>
              <w:tl2br w:val="nil"/>
              <w:tr2bl w:val="nil"/>
            </w:tcBorders>
            <w:vAlign w:val="center"/>
          </w:tcPr>
          <w:p w14:paraId="35FCD840">
            <w:pPr>
              <w:spacing w:line="240" w:lineRule="auto"/>
              <w:ind w:firstLine="0" w:firstLineChars="0"/>
              <w:jc w:val="center"/>
              <w:rPr>
                <w:color w:val="auto"/>
                <w:sz w:val="21"/>
                <w:szCs w:val="21"/>
                <w:highlight w:val="none"/>
                <w:u w:val="single"/>
              </w:rPr>
            </w:pPr>
            <w:r>
              <w:rPr>
                <w:rFonts w:hint="default"/>
                <w:color w:val="auto"/>
                <w:sz w:val="21"/>
                <w:szCs w:val="21"/>
                <w:highlight w:val="none"/>
                <w:u w:val="single"/>
                <w:lang w:val="en-US" w:eastAsia="zh-CN"/>
              </w:rPr>
              <w:t xml:space="preserve">0.0344 </w:t>
            </w:r>
          </w:p>
        </w:tc>
        <w:tc>
          <w:tcPr>
            <w:tcW w:w="315" w:type="pct"/>
            <w:tcBorders>
              <w:tl2br w:val="nil"/>
              <w:tr2bl w:val="nil"/>
            </w:tcBorders>
            <w:vAlign w:val="center"/>
          </w:tcPr>
          <w:p w14:paraId="50B78B70">
            <w:pPr>
              <w:spacing w:line="240" w:lineRule="auto"/>
              <w:ind w:firstLine="0" w:firstLineChars="0"/>
              <w:jc w:val="center"/>
              <w:rPr>
                <w:color w:val="auto"/>
                <w:sz w:val="21"/>
                <w:szCs w:val="21"/>
                <w:highlight w:val="none"/>
                <w:u w:val="single"/>
              </w:rPr>
            </w:pPr>
            <w:r>
              <w:rPr>
                <w:rFonts w:hint="default"/>
                <w:color w:val="auto"/>
                <w:sz w:val="21"/>
                <w:szCs w:val="21"/>
                <w:highlight w:val="none"/>
                <w:u w:val="single"/>
                <w:lang w:val="en-US" w:eastAsia="zh-CN"/>
              </w:rPr>
              <w:t xml:space="preserve">0.0038 </w:t>
            </w:r>
          </w:p>
        </w:tc>
        <w:tc>
          <w:tcPr>
            <w:tcW w:w="1872" w:type="pct"/>
            <w:vMerge w:val="continue"/>
            <w:tcBorders>
              <w:tl2br w:val="nil"/>
              <w:tr2bl w:val="nil"/>
            </w:tcBorders>
            <w:vAlign w:val="center"/>
          </w:tcPr>
          <w:p w14:paraId="4000CF77">
            <w:pPr>
              <w:spacing w:line="240" w:lineRule="auto"/>
              <w:ind w:firstLine="0" w:firstLineChars="0"/>
              <w:jc w:val="center"/>
              <w:rPr>
                <w:color w:val="auto"/>
                <w:sz w:val="21"/>
                <w:szCs w:val="21"/>
                <w:highlight w:val="none"/>
                <w:u w:val="single"/>
              </w:rPr>
            </w:pPr>
          </w:p>
        </w:tc>
      </w:tr>
      <w:tr w14:paraId="06B297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23" w:type="pct"/>
            <w:vMerge w:val="continue"/>
            <w:tcBorders>
              <w:tl2br w:val="nil"/>
              <w:tr2bl w:val="nil"/>
            </w:tcBorders>
            <w:vAlign w:val="center"/>
          </w:tcPr>
          <w:p w14:paraId="4BB91453">
            <w:pPr>
              <w:spacing w:line="240" w:lineRule="auto"/>
              <w:ind w:firstLine="0" w:firstLineChars="0"/>
              <w:jc w:val="center"/>
              <w:rPr>
                <w:color w:val="auto"/>
                <w:sz w:val="21"/>
                <w:szCs w:val="21"/>
                <w:highlight w:val="none"/>
              </w:rPr>
            </w:pPr>
          </w:p>
        </w:tc>
        <w:tc>
          <w:tcPr>
            <w:tcW w:w="551" w:type="pct"/>
            <w:vMerge w:val="continue"/>
            <w:tcBorders>
              <w:tl2br w:val="nil"/>
              <w:tr2bl w:val="nil"/>
            </w:tcBorders>
            <w:vAlign w:val="center"/>
          </w:tcPr>
          <w:p w14:paraId="164D9BC8">
            <w:pPr>
              <w:spacing w:line="240" w:lineRule="auto"/>
              <w:ind w:firstLine="0" w:firstLineChars="0"/>
              <w:jc w:val="center"/>
              <w:rPr>
                <w:color w:val="auto"/>
                <w:sz w:val="21"/>
                <w:szCs w:val="21"/>
                <w:highlight w:val="none"/>
              </w:rPr>
            </w:pPr>
          </w:p>
        </w:tc>
        <w:tc>
          <w:tcPr>
            <w:tcW w:w="316" w:type="pct"/>
            <w:vMerge w:val="continue"/>
            <w:tcBorders>
              <w:tl2br w:val="nil"/>
              <w:tr2bl w:val="nil"/>
            </w:tcBorders>
            <w:vAlign w:val="center"/>
          </w:tcPr>
          <w:p w14:paraId="3A5E0326">
            <w:pPr>
              <w:spacing w:line="240" w:lineRule="auto"/>
              <w:ind w:firstLine="0" w:firstLineChars="0"/>
              <w:jc w:val="center"/>
              <w:rPr>
                <w:color w:val="auto"/>
                <w:sz w:val="21"/>
                <w:szCs w:val="21"/>
                <w:highlight w:val="none"/>
              </w:rPr>
            </w:pPr>
          </w:p>
        </w:tc>
        <w:tc>
          <w:tcPr>
            <w:tcW w:w="408" w:type="pct"/>
            <w:tcBorders>
              <w:tl2br w:val="nil"/>
              <w:tr2bl w:val="nil"/>
            </w:tcBorders>
            <w:vAlign w:val="center"/>
          </w:tcPr>
          <w:p w14:paraId="43ABAB30">
            <w:pPr>
              <w:spacing w:line="240" w:lineRule="auto"/>
              <w:ind w:firstLine="0" w:firstLineChars="0"/>
              <w:jc w:val="center"/>
              <w:rPr>
                <w:color w:val="auto"/>
                <w:sz w:val="21"/>
                <w:szCs w:val="21"/>
                <w:highlight w:val="none"/>
              </w:rPr>
            </w:pPr>
            <w:r>
              <w:rPr>
                <w:color w:val="auto"/>
                <w:sz w:val="21"/>
                <w:szCs w:val="21"/>
                <w:highlight w:val="none"/>
              </w:rPr>
              <w:t>SS</w:t>
            </w:r>
          </w:p>
        </w:tc>
        <w:tc>
          <w:tcPr>
            <w:tcW w:w="300" w:type="pct"/>
            <w:tcBorders>
              <w:tl2br w:val="nil"/>
              <w:tr2bl w:val="nil"/>
            </w:tcBorders>
            <w:shd w:val="clear" w:color="auto" w:fill="auto"/>
            <w:vAlign w:val="center"/>
          </w:tcPr>
          <w:p w14:paraId="2BD316DF">
            <w:pPr>
              <w:spacing w:line="240" w:lineRule="auto"/>
              <w:ind w:firstLine="0" w:firstLineChars="0"/>
              <w:jc w:val="center"/>
              <w:rPr>
                <w:rFonts w:ascii="Times New Roman" w:hAnsi="Times New Roman" w:eastAsia="宋体" w:cs="Times New Roman"/>
                <w:color w:val="auto"/>
                <w:sz w:val="21"/>
                <w:szCs w:val="21"/>
                <w:highlight w:val="none"/>
                <w:lang w:val="en-US" w:eastAsia="zh-CN" w:bidi="ar-SA"/>
              </w:rPr>
            </w:pPr>
            <w:r>
              <w:rPr>
                <w:color w:val="auto"/>
                <w:sz w:val="21"/>
                <w:szCs w:val="21"/>
                <w:highlight w:val="none"/>
              </w:rPr>
              <w:t>150</w:t>
            </w:r>
          </w:p>
        </w:tc>
        <w:tc>
          <w:tcPr>
            <w:tcW w:w="359" w:type="pct"/>
            <w:tcBorders>
              <w:tl2br w:val="nil"/>
              <w:tr2bl w:val="nil"/>
            </w:tcBorders>
            <w:shd w:val="clear" w:color="auto" w:fill="auto"/>
            <w:vAlign w:val="center"/>
          </w:tcPr>
          <w:p w14:paraId="5C2138F5">
            <w:pPr>
              <w:spacing w:line="240" w:lineRule="auto"/>
              <w:ind w:firstLine="0" w:firstLineChars="0"/>
              <w:jc w:val="center"/>
              <w:rPr>
                <w:rFonts w:ascii="Times New Roman" w:hAnsi="Times New Roman" w:eastAsia="宋体" w:cs="Times New Roman"/>
                <w:color w:val="auto"/>
                <w:sz w:val="21"/>
                <w:szCs w:val="21"/>
                <w:highlight w:val="none"/>
                <w:lang w:val="en-US" w:eastAsia="zh-CN" w:bidi="ar-SA"/>
              </w:rPr>
            </w:pPr>
            <w:r>
              <w:rPr>
                <w:color w:val="auto"/>
                <w:sz w:val="21"/>
                <w:szCs w:val="21"/>
                <w:highlight w:val="none"/>
              </w:rPr>
              <w:t xml:space="preserve">0.72 </w:t>
            </w:r>
          </w:p>
        </w:tc>
        <w:tc>
          <w:tcPr>
            <w:tcW w:w="336" w:type="pct"/>
            <w:tcBorders>
              <w:tl2br w:val="nil"/>
              <w:tr2bl w:val="nil"/>
            </w:tcBorders>
            <w:vAlign w:val="center"/>
          </w:tcPr>
          <w:p w14:paraId="019307F1">
            <w:pPr>
              <w:spacing w:line="240" w:lineRule="auto"/>
              <w:ind w:firstLine="0" w:firstLineChars="0"/>
              <w:jc w:val="center"/>
              <w:rPr>
                <w:rFonts w:hint="default"/>
                <w:color w:val="auto"/>
                <w:sz w:val="21"/>
                <w:szCs w:val="21"/>
                <w:highlight w:val="none"/>
                <w:u w:val="single"/>
                <w:lang w:val="en-US" w:eastAsia="zh-CN"/>
              </w:rPr>
            </w:pPr>
            <w:r>
              <w:rPr>
                <w:rFonts w:hint="default"/>
                <w:color w:val="auto"/>
                <w:sz w:val="21"/>
                <w:szCs w:val="21"/>
                <w:highlight w:val="none"/>
                <w:u w:val="single"/>
                <w:lang w:val="en-US" w:eastAsia="zh-CN"/>
              </w:rPr>
              <w:t>100</w:t>
            </w:r>
          </w:p>
        </w:tc>
        <w:tc>
          <w:tcPr>
            <w:tcW w:w="315" w:type="pct"/>
            <w:tcBorders>
              <w:tl2br w:val="nil"/>
              <w:tr2bl w:val="nil"/>
            </w:tcBorders>
            <w:vAlign w:val="center"/>
          </w:tcPr>
          <w:p w14:paraId="00A46279">
            <w:pPr>
              <w:spacing w:line="240" w:lineRule="auto"/>
              <w:ind w:firstLine="0" w:firstLineChars="0"/>
              <w:jc w:val="center"/>
              <w:rPr>
                <w:color w:val="auto"/>
                <w:sz w:val="21"/>
                <w:szCs w:val="21"/>
                <w:highlight w:val="none"/>
                <w:u w:val="single"/>
              </w:rPr>
            </w:pPr>
            <w:r>
              <w:rPr>
                <w:rFonts w:hint="default"/>
                <w:color w:val="auto"/>
                <w:sz w:val="21"/>
                <w:szCs w:val="21"/>
                <w:highlight w:val="none"/>
                <w:u w:val="single"/>
                <w:lang w:val="en-US" w:eastAsia="zh-CN"/>
              </w:rPr>
              <w:t xml:space="preserve">0.4303 </w:t>
            </w:r>
          </w:p>
        </w:tc>
        <w:tc>
          <w:tcPr>
            <w:tcW w:w="315" w:type="pct"/>
            <w:tcBorders>
              <w:tl2br w:val="nil"/>
              <w:tr2bl w:val="nil"/>
            </w:tcBorders>
            <w:vAlign w:val="center"/>
          </w:tcPr>
          <w:p w14:paraId="11D5B76F">
            <w:pPr>
              <w:spacing w:line="240" w:lineRule="auto"/>
              <w:ind w:firstLine="0" w:firstLineChars="0"/>
              <w:jc w:val="center"/>
              <w:rPr>
                <w:color w:val="auto"/>
                <w:sz w:val="21"/>
                <w:szCs w:val="21"/>
                <w:highlight w:val="none"/>
                <w:u w:val="single"/>
              </w:rPr>
            </w:pPr>
            <w:r>
              <w:rPr>
                <w:rFonts w:hint="default"/>
                <w:color w:val="auto"/>
                <w:sz w:val="21"/>
                <w:szCs w:val="21"/>
                <w:highlight w:val="none"/>
                <w:u w:val="single"/>
                <w:lang w:val="en-US" w:eastAsia="zh-CN"/>
              </w:rPr>
              <w:t xml:space="preserve">0.0478 </w:t>
            </w:r>
          </w:p>
        </w:tc>
        <w:tc>
          <w:tcPr>
            <w:tcW w:w="1872" w:type="pct"/>
            <w:vMerge w:val="continue"/>
            <w:tcBorders>
              <w:tl2br w:val="nil"/>
              <w:tr2bl w:val="nil"/>
            </w:tcBorders>
            <w:vAlign w:val="center"/>
          </w:tcPr>
          <w:p w14:paraId="3D627F18">
            <w:pPr>
              <w:spacing w:line="240" w:lineRule="auto"/>
              <w:ind w:firstLine="0" w:firstLineChars="0"/>
              <w:jc w:val="center"/>
              <w:rPr>
                <w:color w:val="auto"/>
                <w:sz w:val="21"/>
                <w:szCs w:val="21"/>
                <w:highlight w:val="none"/>
                <w:u w:val="single"/>
              </w:rPr>
            </w:pPr>
          </w:p>
        </w:tc>
      </w:tr>
      <w:tr w14:paraId="54E503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23" w:type="pct"/>
            <w:tcBorders>
              <w:tl2br w:val="nil"/>
              <w:tr2bl w:val="nil"/>
            </w:tcBorders>
            <w:vAlign w:val="center"/>
          </w:tcPr>
          <w:p w14:paraId="0C69965C">
            <w:pPr>
              <w:spacing w:line="240" w:lineRule="auto"/>
              <w:ind w:firstLine="0" w:firstLineChars="0"/>
              <w:jc w:val="center"/>
              <w:rPr>
                <w:color w:val="auto"/>
                <w:sz w:val="21"/>
                <w:szCs w:val="21"/>
                <w:highlight w:val="none"/>
              </w:rPr>
            </w:pPr>
            <w:r>
              <w:rPr>
                <w:rFonts w:hint="eastAsia"/>
                <w:color w:val="auto"/>
                <w:sz w:val="21"/>
                <w:szCs w:val="21"/>
                <w:highlight w:val="none"/>
              </w:rPr>
              <w:t>2</w:t>
            </w:r>
          </w:p>
        </w:tc>
        <w:tc>
          <w:tcPr>
            <w:tcW w:w="551" w:type="pct"/>
            <w:tcBorders>
              <w:tl2br w:val="nil"/>
              <w:tr2bl w:val="nil"/>
            </w:tcBorders>
            <w:vAlign w:val="center"/>
          </w:tcPr>
          <w:p w14:paraId="49BA1100">
            <w:pPr>
              <w:spacing w:line="240" w:lineRule="auto"/>
              <w:ind w:firstLine="0" w:firstLineChars="0"/>
              <w:jc w:val="center"/>
              <w:rPr>
                <w:color w:val="auto"/>
                <w:sz w:val="21"/>
                <w:szCs w:val="21"/>
                <w:highlight w:val="none"/>
              </w:rPr>
            </w:pPr>
            <w:r>
              <w:rPr>
                <w:color w:val="auto"/>
                <w:sz w:val="21"/>
                <w:szCs w:val="21"/>
                <w:highlight w:val="none"/>
              </w:rPr>
              <w:t>压舱水</w:t>
            </w:r>
            <w:r>
              <w:rPr>
                <w:rFonts w:hint="eastAsia"/>
                <w:color w:val="auto"/>
                <w:sz w:val="21"/>
                <w:szCs w:val="21"/>
                <w:highlight w:val="none"/>
              </w:rPr>
              <w:t>（W2）</w:t>
            </w:r>
          </w:p>
        </w:tc>
        <w:tc>
          <w:tcPr>
            <w:tcW w:w="316" w:type="pct"/>
            <w:tcBorders>
              <w:tl2br w:val="nil"/>
              <w:tr2bl w:val="nil"/>
            </w:tcBorders>
            <w:vAlign w:val="center"/>
          </w:tcPr>
          <w:p w14:paraId="022B1514">
            <w:pPr>
              <w:spacing w:line="240" w:lineRule="auto"/>
              <w:ind w:firstLine="0" w:firstLineChars="0"/>
              <w:jc w:val="center"/>
              <w:rPr>
                <w:color w:val="auto"/>
                <w:sz w:val="21"/>
                <w:szCs w:val="21"/>
                <w:highlight w:val="none"/>
              </w:rPr>
            </w:pPr>
            <w:r>
              <w:rPr>
                <w:color w:val="auto"/>
                <w:sz w:val="21"/>
                <w:szCs w:val="21"/>
                <w:highlight w:val="none"/>
              </w:rPr>
              <w:t>/</w:t>
            </w:r>
          </w:p>
        </w:tc>
        <w:tc>
          <w:tcPr>
            <w:tcW w:w="408" w:type="pct"/>
            <w:tcBorders>
              <w:tl2br w:val="nil"/>
              <w:tr2bl w:val="nil"/>
            </w:tcBorders>
            <w:vAlign w:val="center"/>
          </w:tcPr>
          <w:p w14:paraId="49D45F35">
            <w:pPr>
              <w:spacing w:line="240" w:lineRule="auto"/>
              <w:ind w:firstLine="0" w:firstLineChars="0"/>
              <w:jc w:val="center"/>
              <w:rPr>
                <w:color w:val="auto"/>
                <w:sz w:val="21"/>
                <w:szCs w:val="21"/>
                <w:highlight w:val="none"/>
              </w:rPr>
            </w:pPr>
            <w:r>
              <w:rPr>
                <w:color w:val="auto"/>
                <w:sz w:val="21"/>
                <w:szCs w:val="21"/>
                <w:highlight w:val="none"/>
              </w:rPr>
              <w:t>/</w:t>
            </w:r>
          </w:p>
        </w:tc>
        <w:tc>
          <w:tcPr>
            <w:tcW w:w="300" w:type="pct"/>
            <w:tcBorders>
              <w:tl2br w:val="nil"/>
              <w:tr2bl w:val="nil"/>
            </w:tcBorders>
            <w:vAlign w:val="center"/>
          </w:tcPr>
          <w:p w14:paraId="73553DE8">
            <w:pPr>
              <w:spacing w:line="240" w:lineRule="auto"/>
              <w:ind w:firstLine="0" w:firstLineChars="0"/>
              <w:jc w:val="center"/>
              <w:rPr>
                <w:color w:val="auto"/>
                <w:sz w:val="21"/>
                <w:szCs w:val="21"/>
                <w:highlight w:val="none"/>
              </w:rPr>
            </w:pPr>
            <w:r>
              <w:rPr>
                <w:color w:val="auto"/>
                <w:sz w:val="21"/>
                <w:szCs w:val="21"/>
                <w:highlight w:val="none"/>
              </w:rPr>
              <w:t>/</w:t>
            </w:r>
          </w:p>
        </w:tc>
        <w:tc>
          <w:tcPr>
            <w:tcW w:w="359" w:type="pct"/>
            <w:tcBorders>
              <w:tl2br w:val="nil"/>
              <w:tr2bl w:val="nil"/>
            </w:tcBorders>
            <w:vAlign w:val="center"/>
          </w:tcPr>
          <w:p w14:paraId="2834F354">
            <w:pPr>
              <w:spacing w:line="240" w:lineRule="auto"/>
              <w:ind w:firstLine="0" w:firstLineChars="0"/>
              <w:jc w:val="center"/>
              <w:rPr>
                <w:color w:val="auto"/>
                <w:sz w:val="21"/>
                <w:szCs w:val="21"/>
                <w:highlight w:val="none"/>
              </w:rPr>
            </w:pPr>
            <w:r>
              <w:rPr>
                <w:color w:val="auto"/>
                <w:sz w:val="21"/>
                <w:szCs w:val="21"/>
                <w:highlight w:val="none"/>
              </w:rPr>
              <w:t>/</w:t>
            </w:r>
          </w:p>
        </w:tc>
        <w:tc>
          <w:tcPr>
            <w:tcW w:w="336" w:type="pct"/>
            <w:tcBorders>
              <w:tl2br w:val="nil"/>
              <w:tr2bl w:val="nil"/>
            </w:tcBorders>
            <w:vAlign w:val="center"/>
          </w:tcPr>
          <w:p w14:paraId="1267B5B6">
            <w:pPr>
              <w:spacing w:line="240" w:lineRule="auto"/>
              <w:ind w:firstLine="0" w:firstLineChars="0"/>
              <w:jc w:val="center"/>
              <w:rPr>
                <w:color w:val="auto"/>
                <w:sz w:val="21"/>
                <w:szCs w:val="21"/>
                <w:highlight w:val="none"/>
                <w:u w:val="single"/>
              </w:rPr>
            </w:pPr>
            <w:r>
              <w:rPr>
                <w:rFonts w:hint="default"/>
                <w:color w:val="auto"/>
                <w:sz w:val="21"/>
                <w:szCs w:val="21"/>
                <w:highlight w:val="none"/>
                <w:u w:val="single"/>
                <w:lang w:val="en-US" w:eastAsia="zh-CN"/>
              </w:rPr>
              <w:t>/</w:t>
            </w:r>
          </w:p>
        </w:tc>
        <w:tc>
          <w:tcPr>
            <w:tcW w:w="315" w:type="pct"/>
            <w:tcBorders>
              <w:tl2br w:val="nil"/>
              <w:tr2bl w:val="nil"/>
            </w:tcBorders>
            <w:vAlign w:val="center"/>
          </w:tcPr>
          <w:p w14:paraId="2B57345E">
            <w:pPr>
              <w:spacing w:line="240" w:lineRule="auto"/>
              <w:ind w:firstLine="0" w:firstLineChars="0"/>
              <w:jc w:val="center"/>
              <w:rPr>
                <w:color w:val="auto"/>
                <w:sz w:val="21"/>
                <w:szCs w:val="21"/>
                <w:highlight w:val="none"/>
                <w:u w:val="single"/>
              </w:rPr>
            </w:pPr>
          </w:p>
        </w:tc>
        <w:tc>
          <w:tcPr>
            <w:tcW w:w="315" w:type="pct"/>
            <w:tcBorders>
              <w:tl2br w:val="nil"/>
              <w:tr2bl w:val="nil"/>
            </w:tcBorders>
            <w:vAlign w:val="center"/>
          </w:tcPr>
          <w:p w14:paraId="2FB2B294">
            <w:pPr>
              <w:spacing w:line="240" w:lineRule="auto"/>
              <w:ind w:firstLine="0" w:firstLineChars="0"/>
              <w:jc w:val="center"/>
              <w:rPr>
                <w:color w:val="auto"/>
                <w:sz w:val="21"/>
                <w:szCs w:val="21"/>
                <w:highlight w:val="none"/>
                <w:u w:val="single"/>
              </w:rPr>
            </w:pPr>
            <w:r>
              <w:rPr>
                <w:rFonts w:hint="default"/>
                <w:color w:val="auto"/>
                <w:sz w:val="21"/>
                <w:szCs w:val="21"/>
                <w:highlight w:val="none"/>
                <w:u w:val="single"/>
                <w:lang w:val="en-US" w:eastAsia="zh-CN"/>
              </w:rPr>
              <w:t>/</w:t>
            </w:r>
          </w:p>
        </w:tc>
        <w:tc>
          <w:tcPr>
            <w:tcW w:w="1872" w:type="pct"/>
            <w:tcBorders>
              <w:tl2br w:val="nil"/>
              <w:tr2bl w:val="nil"/>
            </w:tcBorders>
            <w:vAlign w:val="center"/>
          </w:tcPr>
          <w:p w14:paraId="757998BA">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进坞前需委托有资质单位处理；</w:t>
            </w:r>
            <w:r>
              <w:rPr>
                <w:color w:val="auto"/>
                <w:sz w:val="21"/>
                <w:szCs w:val="21"/>
                <w:highlight w:val="none"/>
                <w:u w:val="single"/>
              </w:rPr>
              <w:t>不得</w:t>
            </w:r>
            <w:r>
              <w:rPr>
                <w:rFonts w:hint="eastAsia"/>
                <w:color w:val="auto"/>
                <w:sz w:val="21"/>
                <w:szCs w:val="21"/>
                <w:highlight w:val="none"/>
                <w:u w:val="single"/>
              </w:rPr>
              <w:t>本项目区域</w:t>
            </w:r>
            <w:r>
              <w:rPr>
                <w:color w:val="auto"/>
                <w:sz w:val="21"/>
                <w:szCs w:val="21"/>
                <w:highlight w:val="none"/>
                <w:u w:val="single"/>
              </w:rPr>
              <w:t>排放</w:t>
            </w:r>
          </w:p>
        </w:tc>
      </w:tr>
      <w:tr w14:paraId="15708C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23" w:type="pct"/>
            <w:tcBorders>
              <w:tl2br w:val="nil"/>
              <w:tr2bl w:val="nil"/>
            </w:tcBorders>
            <w:vAlign w:val="center"/>
          </w:tcPr>
          <w:p w14:paraId="70D41B05">
            <w:pPr>
              <w:spacing w:line="240" w:lineRule="auto"/>
              <w:ind w:firstLine="0" w:firstLineChars="0"/>
              <w:jc w:val="center"/>
              <w:rPr>
                <w:color w:val="auto"/>
                <w:sz w:val="21"/>
                <w:szCs w:val="21"/>
                <w:highlight w:val="none"/>
              </w:rPr>
            </w:pPr>
            <w:r>
              <w:rPr>
                <w:rFonts w:hint="eastAsia"/>
                <w:color w:val="auto"/>
                <w:sz w:val="21"/>
                <w:szCs w:val="21"/>
                <w:highlight w:val="none"/>
              </w:rPr>
              <w:t>3</w:t>
            </w:r>
          </w:p>
        </w:tc>
        <w:tc>
          <w:tcPr>
            <w:tcW w:w="551" w:type="pct"/>
            <w:tcBorders>
              <w:tl2br w:val="nil"/>
              <w:tr2bl w:val="nil"/>
            </w:tcBorders>
            <w:vAlign w:val="center"/>
          </w:tcPr>
          <w:p w14:paraId="141D880E">
            <w:pPr>
              <w:spacing w:line="240" w:lineRule="auto"/>
              <w:ind w:firstLine="0" w:firstLineChars="0"/>
              <w:jc w:val="center"/>
              <w:rPr>
                <w:color w:val="auto"/>
                <w:sz w:val="21"/>
                <w:szCs w:val="21"/>
                <w:highlight w:val="none"/>
              </w:rPr>
            </w:pPr>
            <w:r>
              <w:rPr>
                <w:color w:val="auto"/>
                <w:sz w:val="21"/>
                <w:szCs w:val="21"/>
                <w:highlight w:val="none"/>
              </w:rPr>
              <w:t>洗舱废水</w:t>
            </w:r>
            <w:r>
              <w:rPr>
                <w:rFonts w:hint="eastAsia"/>
                <w:color w:val="auto"/>
                <w:sz w:val="21"/>
                <w:szCs w:val="21"/>
                <w:highlight w:val="none"/>
              </w:rPr>
              <w:t>（W3）</w:t>
            </w:r>
          </w:p>
        </w:tc>
        <w:tc>
          <w:tcPr>
            <w:tcW w:w="316" w:type="pct"/>
            <w:tcBorders>
              <w:tl2br w:val="nil"/>
              <w:tr2bl w:val="nil"/>
            </w:tcBorders>
            <w:vAlign w:val="center"/>
          </w:tcPr>
          <w:p w14:paraId="4BF930AA">
            <w:pPr>
              <w:spacing w:line="240" w:lineRule="auto"/>
              <w:ind w:firstLine="0" w:firstLineChars="0"/>
              <w:jc w:val="center"/>
              <w:rPr>
                <w:color w:val="auto"/>
                <w:sz w:val="21"/>
                <w:szCs w:val="21"/>
                <w:highlight w:val="none"/>
              </w:rPr>
            </w:pPr>
            <w:r>
              <w:rPr>
                <w:color w:val="auto"/>
                <w:sz w:val="21"/>
                <w:szCs w:val="21"/>
                <w:highlight w:val="none"/>
              </w:rPr>
              <w:t>/</w:t>
            </w:r>
          </w:p>
        </w:tc>
        <w:tc>
          <w:tcPr>
            <w:tcW w:w="408" w:type="pct"/>
            <w:tcBorders>
              <w:tl2br w:val="nil"/>
              <w:tr2bl w:val="nil"/>
            </w:tcBorders>
            <w:vAlign w:val="center"/>
          </w:tcPr>
          <w:p w14:paraId="31CCD0B6">
            <w:pPr>
              <w:spacing w:line="240" w:lineRule="auto"/>
              <w:ind w:firstLine="0" w:firstLineChars="0"/>
              <w:jc w:val="center"/>
              <w:rPr>
                <w:color w:val="auto"/>
                <w:sz w:val="21"/>
                <w:szCs w:val="21"/>
                <w:highlight w:val="none"/>
              </w:rPr>
            </w:pPr>
            <w:r>
              <w:rPr>
                <w:color w:val="auto"/>
                <w:sz w:val="21"/>
                <w:szCs w:val="21"/>
                <w:highlight w:val="none"/>
              </w:rPr>
              <w:t>/</w:t>
            </w:r>
          </w:p>
        </w:tc>
        <w:tc>
          <w:tcPr>
            <w:tcW w:w="300" w:type="pct"/>
            <w:tcBorders>
              <w:tl2br w:val="nil"/>
              <w:tr2bl w:val="nil"/>
            </w:tcBorders>
            <w:vAlign w:val="center"/>
          </w:tcPr>
          <w:p w14:paraId="196F9FA0">
            <w:pPr>
              <w:spacing w:line="240" w:lineRule="auto"/>
              <w:ind w:firstLine="0" w:firstLineChars="0"/>
              <w:jc w:val="center"/>
              <w:rPr>
                <w:color w:val="auto"/>
                <w:sz w:val="21"/>
                <w:szCs w:val="21"/>
                <w:highlight w:val="none"/>
              </w:rPr>
            </w:pPr>
            <w:r>
              <w:rPr>
                <w:color w:val="auto"/>
                <w:sz w:val="21"/>
                <w:szCs w:val="21"/>
                <w:highlight w:val="none"/>
              </w:rPr>
              <w:t>/</w:t>
            </w:r>
          </w:p>
        </w:tc>
        <w:tc>
          <w:tcPr>
            <w:tcW w:w="359" w:type="pct"/>
            <w:tcBorders>
              <w:tl2br w:val="nil"/>
              <w:tr2bl w:val="nil"/>
            </w:tcBorders>
            <w:vAlign w:val="center"/>
          </w:tcPr>
          <w:p w14:paraId="6A4B77DE">
            <w:pPr>
              <w:spacing w:line="240" w:lineRule="auto"/>
              <w:ind w:firstLine="0" w:firstLineChars="0"/>
              <w:jc w:val="center"/>
              <w:rPr>
                <w:color w:val="auto"/>
                <w:sz w:val="21"/>
                <w:szCs w:val="21"/>
                <w:highlight w:val="none"/>
              </w:rPr>
            </w:pPr>
            <w:r>
              <w:rPr>
                <w:color w:val="auto"/>
                <w:sz w:val="21"/>
                <w:szCs w:val="21"/>
                <w:highlight w:val="none"/>
              </w:rPr>
              <w:t>/</w:t>
            </w:r>
          </w:p>
        </w:tc>
        <w:tc>
          <w:tcPr>
            <w:tcW w:w="336" w:type="pct"/>
            <w:tcBorders>
              <w:tl2br w:val="nil"/>
              <w:tr2bl w:val="nil"/>
            </w:tcBorders>
            <w:vAlign w:val="center"/>
          </w:tcPr>
          <w:p w14:paraId="6C426912">
            <w:pPr>
              <w:spacing w:line="240" w:lineRule="auto"/>
              <w:ind w:firstLine="0" w:firstLineChars="0"/>
              <w:jc w:val="center"/>
              <w:rPr>
                <w:color w:val="auto"/>
                <w:sz w:val="21"/>
                <w:szCs w:val="21"/>
                <w:highlight w:val="none"/>
                <w:u w:val="single"/>
              </w:rPr>
            </w:pPr>
            <w:r>
              <w:rPr>
                <w:rFonts w:hint="default"/>
                <w:color w:val="auto"/>
                <w:sz w:val="21"/>
                <w:szCs w:val="21"/>
                <w:highlight w:val="none"/>
                <w:u w:val="single"/>
                <w:lang w:val="en-US" w:eastAsia="zh-CN"/>
              </w:rPr>
              <w:t>/</w:t>
            </w:r>
          </w:p>
        </w:tc>
        <w:tc>
          <w:tcPr>
            <w:tcW w:w="315" w:type="pct"/>
            <w:tcBorders>
              <w:tl2br w:val="nil"/>
              <w:tr2bl w:val="nil"/>
            </w:tcBorders>
            <w:vAlign w:val="center"/>
          </w:tcPr>
          <w:p w14:paraId="4C2750B6">
            <w:pPr>
              <w:spacing w:line="240" w:lineRule="auto"/>
              <w:ind w:firstLine="0" w:firstLineChars="0"/>
              <w:jc w:val="center"/>
              <w:rPr>
                <w:color w:val="auto"/>
                <w:sz w:val="21"/>
                <w:szCs w:val="21"/>
                <w:highlight w:val="none"/>
                <w:u w:val="single"/>
              </w:rPr>
            </w:pPr>
          </w:p>
        </w:tc>
        <w:tc>
          <w:tcPr>
            <w:tcW w:w="315" w:type="pct"/>
            <w:tcBorders>
              <w:tl2br w:val="nil"/>
              <w:tr2bl w:val="nil"/>
            </w:tcBorders>
            <w:vAlign w:val="center"/>
          </w:tcPr>
          <w:p w14:paraId="4AC5C72F">
            <w:pPr>
              <w:spacing w:line="240" w:lineRule="auto"/>
              <w:ind w:firstLine="0" w:firstLineChars="0"/>
              <w:jc w:val="center"/>
              <w:rPr>
                <w:color w:val="auto"/>
                <w:sz w:val="21"/>
                <w:szCs w:val="21"/>
                <w:highlight w:val="none"/>
                <w:u w:val="single"/>
              </w:rPr>
            </w:pPr>
            <w:r>
              <w:rPr>
                <w:rFonts w:hint="default"/>
                <w:color w:val="auto"/>
                <w:sz w:val="21"/>
                <w:szCs w:val="21"/>
                <w:highlight w:val="none"/>
                <w:u w:val="single"/>
                <w:lang w:val="en-US" w:eastAsia="zh-CN"/>
              </w:rPr>
              <w:t>/</w:t>
            </w:r>
          </w:p>
        </w:tc>
        <w:tc>
          <w:tcPr>
            <w:tcW w:w="1872" w:type="pct"/>
            <w:tcBorders>
              <w:tl2br w:val="nil"/>
              <w:tr2bl w:val="nil"/>
            </w:tcBorders>
            <w:vAlign w:val="center"/>
          </w:tcPr>
          <w:p w14:paraId="2077226E">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洗舱作业及洗舱废水</w:t>
            </w:r>
            <w:r>
              <w:rPr>
                <w:color w:val="auto"/>
                <w:sz w:val="21"/>
                <w:szCs w:val="21"/>
                <w:highlight w:val="none"/>
                <w:u w:val="single"/>
              </w:rPr>
              <w:t>委托钦州市苏南船舶服务有限公司承担处理</w:t>
            </w:r>
            <w:r>
              <w:rPr>
                <w:rFonts w:hint="eastAsia"/>
                <w:color w:val="auto"/>
                <w:sz w:val="21"/>
                <w:szCs w:val="21"/>
                <w:highlight w:val="none"/>
                <w:u w:val="single"/>
              </w:rPr>
              <w:t>；</w:t>
            </w:r>
            <w:r>
              <w:rPr>
                <w:color w:val="auto"/>
                <w:sz w:val="21"/>
                <w:szCs w:val="21"/>
                <w:highlight w:val="none"/>
                <w:u w:val="single"/>
              </w:rPr>
              <w:t>不得</w:t>
            </w:r>
            <w:r>
              <w:rPr>
                <w:rFonts w:hint="eastAsia"/>
                <w:color w:val="auto"/>
                <w:sz w:val="21"/>
                <w:szCs w:val="21"/>
                <w:highlight w:val="none"/>
                <w:u w:val="single"/>
              </w:rPr>
              <w:t>本项目区域</w:t>
            </w:r>
            <w:r>
              <w:rPr>
                <w:color w:val="auto"/>
                <w:sz w:val="21"/>
                <w:szCs w:val="21"/>
                <w:highlight w:val="none"/>
                <w:u w:val="single"/>
              </w:rPr>
              <w:t>排放</w:t>
            </w:r>
          </w:p>
        </w:tc>
      </w:tr>
      <w:tr w14:paraId="7A4425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23" w:type="pct"/>
            <w:tcBorders>
              <w:tl2br w:val="nil"/>
              <w:tr2bl w:val="nil"/>
            </w:tcBorders>
            <w:vAlign w:val="center"/>
          </w:tcPr>
          <w:p w14:paraId="19DC7949">
            <w:pPr>
              <w:spacing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val="en-US" w:eastAsia="zh-CN"/>
              </w:rPr>
              <w:t>4</w:t>
            </w:r>
          </w:p>
        </w:tc>
        <w:tc>
          <w:tcPr>
            <w:tcW w:w="551" w:type="pct"/>
            <w:tcBorders>
              <w:tl2br w:val="nil"/>
              <w:tr2bl w:val="nil"/>
            </w:tcBorders>
            <w:vAlign w:val="center"/>
          </w:tcPr>
          <w:p w14:paraId="3A2596AC">
            <w:pPr>
              <w:spacing w:line="240" w:lineRule="auto"/>
              <w:ind w:firstLine="0" w:firstLineChars="0"/>
              <w:jc w:val="center"/>
              <w:rPr>
                <w:color w:val="auto"/>
                <w:sz w:val="21"/>
                <w:szCs w:val="21"/>
                <w:highlight w:val="none"/>
              </w:rPr>
            </w:pPr>
            <w:r>
              <w:rPr>
                <w:color w:val="auto"/>
                <w:sz w:val="21"/>
                <w:szCs w:val="21"/>
                <w:highlight w:val="none"/>
              </w:rPr>
              <w:t>高压冲洗水</w:t>
            </w:r>
            <w:r>
              <w:rPr>
                <w:rFonts w:hint="eastAsia"/>
                <w:color w:val="auto"/>
                <w:sz w:val="21"/>
                <w:szCs w:val="21"/>
                <w:highlight w:val="none"/>
              </w:rPr>
              <w:t>（W4）</w:t>
            </w:r>
          </w:p>
        </w:tc>
        <w:tc>
          <w:tcPr>
            <w:tcW w:w="316" w:type="pct"/>
            <w:tcBorders>
              <w:tl2br w:val="nil"/>
              <w:tr2bl w:val="nil"/>
            </w:tcBorders>
            <w:vAlign w:val="center"/>
          </w:tcPr>
          <w:p w14:paraId="4F122451">
            <w:pPr>
              <w:spacing w:line="240" w:lineRule="auto"/>
              <w:ind w:firstLine="0" w:firstLineChars="0"/>
              <w:jc w:val="center"/>
              <w:rPr>
                <w:color w:val="auto"/>
                <w:sz w:val="21"/>
                <w:szCs w:val="21"/>
                <w:highlight w:val="none"/>
              </w:rPr>
            </w:pPr>
            <w:r>
              <w:rPr>
                <w:color w:val="auto"/>
                <w:sz w:val="21"/>
                <w:szCs w:val="21"/>
                <w:highlight w:val="none"/>
              </w:rPr>
              <w:t>9000</w:t>
            </w:r>
          </w:p>
        </w:tc>
        <w:tc>
          <w:tcPr>
            <w:tcW w:w="408" w:type="pct"/>
            <w:tcBorders>
              <w:tl2br w:val="nil"/>
              <w:tr2bl w:val="nil"/>
            </w:tcBorders>
            <w:vAlign w:val="center"/>
          </w:tcPr>
          <w:p w14:paraId="06081D7B">
            <w:pPr>
              <w:spacing w:line="240" w:lineRule="auto"/>
              <w:ind w:firstLine="0" w:firstLineChars="0"/>
              <w:jc w:val="center"/>
              <w:rPr>
                <w:color w:val="auto"/>
                <w:sz w:val="21"/>
                <w:szCs w:val="21"/>
                <w:highlight w:val="none"/>
              </w:rPr>
            </w:pPr>
            <w:r>
              <w:rPr>
                <w:color w:val="auto"/>
                <w:sz w:val="21"/>
                <w:szCs w:val="21"/>
                <w:highlight w:val="none"/>
              </w:rPr>
              <w:t>SS</w:t>
            </w:r>
          </w:p>
        </w:tc>
        <w:tc>
          <w:tcPr>
            <w:tcW w:w="300" w:type="pct"/>
            <w:tcBorders>
              <w:tl2br w:val="nil"/>
              <w:tr2bl w:val="nil"/>
            </w:tcBorders>
            <w:vAlign w:val="center"/>
          </w:tcPr>
          <w:p w14:paraId="005FBA4D">
            <w:pPr>
              <w:spacing w:line="240" w:lineRule="auto"/>
              <w:ind w:firstLine="0" w:firstLineChars="0"/>
              <w:jc w:val="center"/>
              <w:rPr>
                <w:color w:val="auto"/>
                <w:sz w:val="21"/>
                <w:szCs w:val="21"/>
                <w:highlight w:val="none"/>
              </w:rPr>
            </w:pPr>
            <w:r>
              <w:rPr>
                <w:color w:val="auto"/>
                <w:sz w:val="21"/>
                <w:szCs w:val="21"/>
                <w:highlight w:val="none"/>
              </w:rPr>
              <w:t>300</w:t>
            </w:r>
          </w:p>
        </w:tc>
        <w:tc>
          <w:tcPr>
            <w:tcW w:w="359" w:type="pct"/>
            <w:tcBorders>
              <w:tl2br w:val="nil"/>
              <w:tr2bl w:val="nil"/>
            </w:tcBorders>
            <w:vAlign w:val="center"/>
          </w:tcPr>
          <w:p w14:paraId="737ABB71">
            <w:pPr>
              <w:spacing w:line="240" w:lineRule="auto"/>
              <w:ind w:firstLine="0" w:firstLineChars="0"/>
              <w:jc w:val="center"/>
              <w:rPr>
                <w:color w:val="auto"/>
                <w:sz w:val="21"/>
                <w:szCs w:val="21"/>
                <w:highlight w:val="none"/>
              </w:rPr>
            </w:pPr>
            <w:r>
              <w:rPr>
                <w:color w:val="auto"/>
                <w:sz w:val="21"/>
                <w:szCs w:val="21"/>
                <w:highlight w:val="none"/>
              </w:rPr>
              <w:t>2.7</w:t>
            </w:r>
          </w:p>
        </w:tc>
        <w:tc>
          <w:tcPr>
            <w:tcW w:w="336" w:type="pct"/>
            <w:tcBorders>
              <w:tl2br w:val="nil"/>
              <w:tr2bl w:val="nil"/>
            </w:tcBorders>
            <w:vAlign w:val="top"/>
          </w:tcPr>
          <w:p w14:paraId="4675C2FB">
            <w:pPr>
              <w:spacing w:line="240" w:lineRule="auto"/>
              <w:ind w:firstLine="0" w:firstLineChars="0"/>
              <w:jc w:val="center"/>
              <w:rPr>
                <w:rFonts w:hint="eastAsia"/>
                <w:color w:val="auto"/>
                <w:sz w:val="21"/>
                <w:szCs w:val="21"/>
                <w:highlight w:val="none"/>
                <w:u w:val="single"/>
                <w:lang w:eastAsia="zh-CN"/>
              </w:rPr>
            </w:pPr>
            <w:r>
              <w:rPr>
                <w:rFonts w:hint="default"/>
                <w:color w:val="auto"/>
                <w:sz w:val="21"/>
                <w:szCs w:val="21"/>
                <w:highlight w:val="none"/>
                <w:u w:val="single"/>
                <w:lang w:val="en-US" w:eastAsia="zh-CN"/>
              </w:rPr>
              <w:t>100</w:t>
            </w:r>
          </w:p>
        </w:tc>
        <w:tc>
          <w:tcPr>
            <w:tcW w:w="315" w:type="pct"/>
            <w:tcBorders>
              <w:tl2br w:val="nil"/>
              <w:tr2bl w:val="nil"/>
            </w:tcBorders>
            <w:vAlign w:val="top"/>
          </w:tcPr>
          <w:p w14:paraId="5B31C2D3">
            <w:pPr>
              <w:spacing w:line="240" w:lineRule="auto"/>
              <w:ind w:firstLine="0" w:firstLineChars="0"/>
              <w:jc w:val="center"/>
              <w:rPr>
                <w:color w:val="auto"/>
                <w:sz w:val="21"/>
                <w:szCs w:val="21"/>
                <w:highlight w:val="none"/>
                <w:u w:val="single"/>
              </w:rPr>
            </w:pPr>
            <w:r>
              <w:rPr>
                <w:rFonts w:hint="default"/>
                <w:color w:val="auto"/>
                <w:sz w:val="21"/>
                <w:szCs w:val="21"/>
                <w:highlight w:val="none"/>
                <w:u w:val="single"/>
                <w:lang w:val="en-US" w:eastAsia="zh-CN"/>
              </w:rPr>
              <w:t xml:space="preserve">0.90 </w:t>
            </w:r>
          </w:p>
        </w:tc>
        <w:tc>
          <w:tcPr>
            <w:tcW w:w="315" w:type="pct"/>
            <w:tcBorders>
              <w:tl2br w:val="nil"/>
              <w:tr2bl w:val="nil"/>
            </w:tcBorders>
            <w:vAlign w:val="top"/>
          </w:tcPr>
          <w:p w14:paraId="2EC5F2D3">
            <w:pPr>
              <w:spacing w:line="240" w:lineRule="auto"/>
              <w:ind w:firstLine="0" w:firstLineChars="0"/>
              <w:jc w:val="center"/>
              <w:rPr>
                <w:rFonts w:hint="eastAsia"/>
                <w:color w:val="auto"/>
                <w:sz w:val="21"/>
                <w:szCs w:val="21"/>
                <w:highlight w:val="none"/>
                <w:u w:val="single"/>
                <w:lang w:eastAsia="zh-CN"/>
              </w:rPr>
            </w:pPr>
            <w:r>
              <w:rPr>
                <w:rFonts w:hint="default"/>
                <w:color w:val="auto"/>
                <w:sz w:val="21"/>
                <w:szCs w:val="21"/>
                <w:highlight w:val="none"/>
                <w:u w:val="single"/>
                <w:lang w:val="en-US" w:eastAsia="zh-CN"/>
              </w:rPr>
              <w:t>/</w:t>
            </w:r>
          </w:p>
        </w:tc>
        <w:tc>
          <w:tcPr>
            <w:tcW w:w="1872" w:type="pct"/>
            <w:tcBorders>
              <w:tl2br w:val="nil"/>
              <w:tr2bl w:val="nil"/>
            </w:tcBorders>
            <w:vAlign w:val="center"/>
          </w:tcPr>
          <w:p w14:paraId="7B0141BF">
            <w:pPr>
              <w:spacing w:line="240" w:lineRule="auto"/>
              <w:ind w:firstLine="0" w:firstLineChars="0"/>
              <w:jc w:val="center"/>
              <w:rPr>
                <w:color w:val="auto"/>
                <w:sz w:val="21"/>
                <w:szCs w:val="21"/>
                <w:highlight w:val="none"/>
                <w:u w:val="single"/>
              </w:rPr>
            </w:pPr>
            <w:r>
              <w:rPr>
                <w:color w:val="auto"/>
                <w:sz w:val="21"/>
                <w:szCs w:val="21"/>
                <w:highlight w:val="none"/>
                <w:u w:val="single"/>
              </w:rPr>
              <w:t>沉淀后回用冲洗</w:t>
            </w:r>
          </w:p>
        </w:tc>
      </w:tr>
      <w:tr w14:paraId="30712C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23" w:type="pct"/>
            <w:vMerge w:val="restart"/>
            <w:tcBorders>
              <w:tl2br w:val="nil"/>
              <w:tr2bl w:val="nil"/>
            </w:tcBorders>
            <w:vAlign w:val="center"/>
          </w:tcPr>
          <w:p w14:paraId="237125A9">
            <w:pPr>
              <w:spacing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val="en-US" w:eastAsia="zh-CN"/>
              </w:rPr>
              <w:t>5</w:t>
            </w:r>
          </w:p>
        </w:tc>
        <w:tc>
          <w:tcPr>
            <w:tcW w:w="551" w:type="pct"/>
            <w:vMerge w:val="restart"/>
            <w:tcBorders>
              <w:tl2br w:val="nil"/>
              <w:tr2bl w:val="nil"/>
            </w:tcBorders>
            <w:vAlign w:val="center"/>
          </w:tcPr>
          <w:p w14:paraId="46BE8F66">
            <w:pPr>
              <w:spacing w:line="240" w:lineRule="auto"/>
              <w:ind w:firstLine="0" w:firstLineChars="0"/>
              <w:jc w:val="center"/>
              <w:rPr>
                <w:color w:val="auto"/>
                <w:sz w:val="21"/>
                <w:szCs w:val="21"/>
                <w:highlight w:val="none"/>
              </w:rPr>
            </w:pPr>
            <w:r>
              <w:rPr>
                <w:color w:val="auto"/>
                <w:sz w:val="21"/>
                <w:szCs w:val="21"/>
                <w:highlight w:val="none"/>
              </w:rPr>
              <w:t>含油废水</w:t>
            </w:r>
            <w:r>
              <w:rPr>
                <w:rFonts w:hint="eastAsia"/>
                <w:color w:val="auto"/>
                <w:sz w:val="21"/>
                <w:szCs w:val="21"/>
                <w:highlight w:val="none"/>
              </w:rPr>
              <w:t>（W5~W7）</w:t>
            </w:r>
          </w:p>
        </w:tc>
        <w:tc>
          <w:tcPr>
            <w:tcW w:w="316" w:type="pct"/>
            <w:vMerge w:val="restart"/>
            <w:tcBorders>
              <w:tl2br w:val="nil"/>
              <w:tr2bl w:val="nil"/>
            </w:tcBorders>
            <w:vAlign w:val="center"/>
          </w:tcPr>
          <w:p w14:paraId="17900F14">
            <w:pPr>
              <w:spacing w:line="240" w:lineRule="auto"/>
              <w:ind w:firstLine="0" w:firstLineChars="0"/>
              <w:jc w:val="center"/>
              <w:rPr>
                <w:color w:val="auto"/>
                <w:sz w:val="21"/>
                <w:szCs w:val="21"/>
                <w:highlight w:val="none"/>
              </w:rPr>
            </w:pPr>
            <w:r>
              <w:rPr>
                <w:color w:val="auto"/>
                <w:sz w:val="21"/>
                <w:szCs w:val="21"/>
                <w:highlight w:val="none"/>
              </w:rPr>
              <w:t>8178.75</w:t>
            </w:r>
          </w:p>
        </w:tc>
        <w:tc>
          <w:tcPr>
            <w:tcW w:w="408" w:type="pct"/>
            <w:tcBorders>
              <w:tl2br w:val="nil"/>
              <w:tr2bl w:val="nil"/>
            </w:tcBorders>
            <w:vAlign w:val="center"/>
          </w:tcPr>
          <w:p w14:paraId="0C9F2FA3">
            <w:pPr>
              <w:spacing w:line="240" w:lineRule="auto"/>
              <w:ind w:firstLine="0" w:firstLineChars="0"/>
              <w:jc w:val="center"/>
              <w:rPr>
                <w:color w:val="auto"/>
                <w:sz w:val="21"/>
                <w:szCs w:val="21"/>
                <w:highlight w:val="none"/>
              </w:rPr>
            </w:pPr>
            <w:r>
              <w:rPr>
                <w:color w:val="auto"/>
                <w:sz w:val="21"/>
                <w:szCs w:val="21"/>
                <w:highlight w:val="none"/>
              </w:rPr>
              <w:t>COD</w:t>
            </w:r>
          </w:p>
        </w:tc>
        <w:tc>
          <w:tcPr>
            <w:tcW w:w="300" w:type="pct"/>
            <w:tcBorders>
              <w:tl2br w:val="nil"/>
              <w:tr2bl w:val="nil"/>
            </w:tcBorders>
            <w:vAlign w:val="center"/>
          </w:tcPr>
          <w:p w14:paraId="51F32AA0">
            <w:pPr>
              <w:spacing w:line="240" w:lineRule="auto"/>
              <w:ind w:firstLine="0" w:firstLineChars="0"/>
              <w:jc w:val="center"/>
              <w:rPr>
                <w:color w:val="auto"/>
                <w:sz w:val="21"/>
                <w:szCs w:val="21"/>
                <w:highlight w:val="none"/>
              </w:rPr>
            </w:pPr>
            <w:r>
              <w:rPr>
                <w:color w:val="auto"/>
                <w:sz w:val="21"/>
                <w:szCs w:val="21"/>
                <w:highlight w:val="none"/>
              </w:rPr>
              <w:t>435.16</w:t>
            </w:r>
          </w:p>
        </w:tc>
        <w:tc>
          <w:tcPr>
            <w:tcW w:w="359" w:type="pct"/>
            <w:tcBorders>
              <w:tl2br w:val="nil"/>
              <w:tr2bl w:val="nil"/>
            </w:tcBorders>
            <w:vAlign w:val="center"/>
          </w:tcPr>
          <w:p w14:paraId="78B70E9E">
            <w:pPr>
              <w:spacing w:line="240" w:lineRule="auto"/>
              <w:ind w:firstLine="0" w:firstLineChars="0"/>
              <w:jc w:val="center"/>
              <w:rPr>
                <w:color w:val="auto"/>
                <w:sz w:val="21"/>
                <w:szCs w:val="21"/>
                <w:highlight w:val="none"/>
              </w:rPr>
            </w:pPr>
            <w:r>
              <w:rPr>
                <w:color w:val="auto"/>
                <w:sz w:val="21"/>
                <w:szCs w:val="21"/>
                <w:highlight w:val="none"/>
              </w:rPr>
              <w:t>3.56</w:t>
            </w:r>
          </w:p>
        </w:tc>
        <w:tc>
          <w:tcPr>
            <w:tcW w:w="336" w:type="pct"/>
            <w:tcBorders>
              <w:tl2br w:val="nil"/>
              <w:tr2bl w:val="nil"/>
            </w:tcBorders>
            <w:vAlign w:val="center"/>
          </w:tcPr>
          <w:p w14:paraId="21B8C314">
            <w:pPr>
              <w:spacing w:line="240" w:lineRule="auto"/>
              <w:ind w:firstLine="0" w:firstLineChars="0"/>
              <w:jc w:val="center"/>
              <w:rPr>
                <w:color w:val="auto"/>
                <w:sz w:val="21"/>
                <w:szCs w:val="21"/>
                <w:highlight w:val="none"/>
                <w:u w:val="single"/>
              </w:rPr>
            </w:pPr>
            <w:r>
              <w:rPr>
                <w:rFonts w:hint="default"/>
                <w:color w:val="auto"/>
                <w:sz w:val="21"/>
                <w:szCs w:val="21"/>
                <w:highlight w:val="none"/>
                <w:u w:val="single"/>
                <w:lang w:val="en-US" w:eastAsia="zh-CN"/>
              </w:rPr>
              <w:t>100</w:t>
            </w:r>
          </w:p>
        </w:tc>
        <w:tc>
          <w:tcPr>
            <w:tcW w:w="315" w:type="pct"/>
            <w:tcBorders>
              <w:tl2br w:val="nil"/>
              <w:tr2bl w:val="nil"/>
            </w:tcBorders>
            <w:vAlign w:val="center"/>
          </w:tcPr>
          <w:p w14:paraId="69B9AD07">
            <w:pPr>
              <w:spacing w:line="240" w:lineRule="auto"/>
              <w:ind w:firstLine="0" w:firstLineChars="0"/>
              <w:jc w:val="center"/>
              <w:rPr>
                <w:color w:val="auto"/>
                <w:sz w:val="21"/>
                <w:szCs w:val="21"/>
                <w:highlight w:val="none"/>
                <w:u w:val="single"/>
              </w:rPr>
            </w:pPr>
            <w:r>
              <w:rPr>
                <w:rFonts w:hint="default"/>
                <w:color w:val="auto"/>
                <w:sz w:val="21"/>
                <w:szCs w:val="21"/>
                <w:highlight w:val="none"/>
                <w:u w:val="single"/>
                <w:lang w:val="en-US" w:eastAsia="zh-CN"/>
              </w:rPr>
              <w:t xml:space="preserve">0.7361 </w:t>
            </w:r>
          </w:p>
        </w:tc>
        <w:tc>
          <w:tcPr>
            <w:tcW w:w="315" w:type="pct"/>
            <w:tcBorders>
              <w:tl2br w:val="nil"/>
              <w:tr2bl w:val="nil"/>
            </w:tcBorders>
            <w:vAlign w:val="center"/>
          </w:tcPr>
          <w:p w14:paraId="48209D86">
            <w:pPr>
              <w:spacing w:line="240" w:lineRule="auto"/>
              <w:ind w:firstLine="0" w:firstLineChars="0"/>
              <w:jc w:val="center"/>
              <w:rPr>
                <w:color w:val="auto"/>
                <w:sz w:val="21"/>
                <w:szCs w:val="21"/>
                <w:highlight w:val="none"/>
                <w:u w:val="single"/>
              </w:rPr>
            </w:pPr>
            <w:r>
              <w:rPr>
                <w:rFonts w:hint="default"/>
                <w:color w:val="auto"/>
                <w:sz w:val="21"/>
                <w:szCs w:val="21"/>
                <w:highlight w:val="none"/>
                <w:u w:val="single"/>
                <w:lang w:val="en-US" w:eastAsia="zh-CN"/>
              </w:rPr>
              <w:t xml:space="preserve">0.0818 </w:t>
            </w:r>
          </w:p>
        </w:tc>
        <w:tc>
          <w:tcPr>
            <w:tcW w:w="1872" w:type="pct"/>
            <w:vMerge w:val="restart"/>
            <w:tcBorders>
              <w:tl2br w:val="nil"/>
              <w:tr2bl w:val="nil"/>
            </w:tcBorders>
            <w:vAlign w:val="center"/>
          </w:tcPr>
          <w:p w14:paraId="2647ED8E">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经浮船坞上配套的污水舱收集后，采用罐车运至</w:t>
            </w:r>
            <w:r>
              <w:rPr>
                <w:color w:val="auto"/>
                <w:sz w:val="21"/>
                <w:szCs w:val="21"/>
                <w:highlight w:val="none"/>
                <w:u w:val="single"/>
              </w:rPr>
              <w:t>厂区</w:t>
            </w:r>
            <w:r>
              <w:rPr>
                <w:rFonts w:hint="eastAsia"/>
                <w:color w:val="auto"/>
                <w:sz w:val="21"/>
                <w:szCs w:val="21"/>
                <w:highlight w:val="none"/>
                <w:u w:val="single"/>
              </w:rPr>
              <w:t>现有污</w:t>
            </w:r>
            <w:r>
              <w:rPr>
                <w:color w:val="auto"/>
                <w:sz w:val="21"/>
                <w:szCs w:val="21"/>
                <w:highlight w:val="none"/>
                <w:u w:val="single"/>
              </w:rPr>
              <w:t>水处理站的含油废水处理系统处理</w:t>
            </w:r>
            <w:r>
              <w:rPr>
                <w:rFonts w:hint="eastAsia"/>
                <w:color w:val="auto"/>
                <w:sz w:val="21"/>
                <w:szCs w:val="21"/>
                <w:highlight w:val="none"/>
                <w:u w:val="single"/>
              </w:rPr>
              <w:t>，</w:t>
            </w:r>
            <w:r>
              <w:rPr>
                <w:color w:val="auto"/>
                <w:sz w:val="21"/>
                <w:szCs w:val="21"/>
                <w:highlight w:val="none"/>
                <w:u w:val="single"/>
              </w:rPr>
              <w:t>达到《污水综合排放标准》（GB8978-1996）三级标准后，经厂区污水管道排入</w:t>
            </w:r>
            <w:r>
              <w:rPr>
                <w:rFonts w:hint="eastAsia"/>
                <w:color w:val="auto"/>
                <w:sz w:val="21"/>
                <w:szCs w:val="21"/>
                <w:highlight w:val="none"/>
                <w:u w:val="single"/>
              </w:rPr>
              <w:t>生活污水处理设备配套的中水回用池储存，大部分</w:t>
            </w:r>
            <w:r>
              <w:rPr>
                <w:color w:val="auto"/>
                <w:sz w:val="21"/>
                <w:szCs w:val="21"/>
                <w:highlight w:val="none"/>
                <w:u w:val="single"/>
              </w:rPr>
              <w:t>回用于厂区绿化及降尘，</w:t>
            </w:r>
            <w:r>
              <w:rPr>
                <w:rFonts w:hint="eastAsia"/>
                <w:color w:val="auto"/>
                <w:sz w:val="21"/>
                <w:szCs w:val="21"/>
                <w:highlight w:val="none"/>
                <w:u w:val="single"/>
              </w:rPr>
              <w:t>少部分</w:t>
            </w:r>
            <w:r>
              <w:rPr>
                <w:color w:val="auto"/>
                <w:sz w:val="21"/>
                <w:szCs w:val="21"/>
                <w:highlight w:val="none"/>
                <w:u w:val="single"/>
              </w:rPr>
              <w:t>不能回用的由槽罐车运至大榄坪污水处理厂处理</w:t>
            </w:r>
          </w:p>
        </w:tc>
      </w:tr>
      <w:tr w14:paraId="488C81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23" w:type="pct"/>
            <w:vMerge w:val="continue"/>
            <w:tcBorders>
              <w:tl2br w:val="nil"/>
              <w:tr2bl w:val="nil"/>
            </w:tcBorders>
            <w:vAlign w:val="center"/>
          </w:tcPr>
          <w:p w14:paraId="00B911D8">
            <w:pPr>
              <w:spacing w:line="240" w:lineRule="auto"/>
              <w:ind w:firstLine="0" w:firstLineChars="0"/>
              <w:jc w:val="center"/>
              <w:rPr>
                <w:color w:val="auto"/>
                <w:sz w:val="21"/>
                <w:szCs w:val="21"/>
                <w:highlight w:val="none"/>
              </w:rPr>
            </w:pPr>
          </w:p>
        </w:tc>
        <w:tc>
          <w:tcPr>
            <w:tcW w:w="551" w:type="pct"/>
            <w:vMerge w:val="continue"/>
            <w:tcBorders>
              <w:tl2br w:val="nil"/>
              <w:tr2bl w:val="nil"/>
            </w:tcBorders>
            <w:vAlign w:val="center"/>
          </w:tcPr>
          <w:p w14:paraId="56EE4E3B">
            <w:pPr>
              <w:spacing w:line="240" w:lineRule="auto"/>
              <w:ind w:firstLine="0" w:firstLineChars="0"/>
              <w:jc w:val="center"/>
              <w:rPr>
                <w:color w:val="auto"/>
                <w:sz w:val="21"/>
                <w:szCs w:val="21"/>
                <w:highlight w:val="none"/>
              </w:rPr>
            </w:pPr>
          </w:p>
        </w:tc>
        <w:tc>
          <w:tcPr>
            <w:tcW w:w="316" w:type="pct"/>
            <w:vMerge w:val="continue"/>
            <w:tcBorders>
              <w:tl2br w:val="nil"/>
              <w:tr2bl w:val="nil"/>
            </w:tcBorders>
            <w:vAlign w:val="center"/>
          </w:tcPr>
          <w:p w14:paraId="0F3C0135">
            <w:pPr>
              <w:spacing w:line="240" w:lineRule="auto"/>
              <w:ind w:firstLine="0" w:firstLineChars="0"/>
              <w:jc w:val="center"/>
              <w:rPr>
                <w:color w:val="auto"/>
                <w:sz w:val="21"/>
                <w:szCs w:val="21"/>
                <w:highlight w:val="none"/>
              </w:rPr>
            </w:pPr>
          </w:p>
        </w:tc>
        <w:tc>
          <w:tcPr>
            <w:tcW w:w="408" w:type="pct"/>
            <w:tcBorders>
              <w:tl2br w:val="nil"/>
              <w:tr2bl w:val="nil"/>
            </w:tcBorders>
            <w:vAlign w:val="center"/>
          </w:tcPr>
          <w:p w14:paraId="0C07100B">
            <w:pPr>
              <w:spacing w:line="240" w:lineRule="auto"/>
              <w:ind w:firstLine="0" w:firstLineChars="0"/>
              <w:jc w:val="center"/>
              <w:rPr>
                <w:color w:val="auto"/>
                <w:sz w:val="21"/>
                <w:szCs w:val="21"/>
                <w:highlight w:val="none"/>
              </w:rPr>
            </w:pPr>
            <w:r>
              <w:rPr>
                <w:color w:val="auto"/>
                <w:sz w:val="21"/>
                <w:szCs w:val="21"/>
                <w:highlight w:val="none"/>
              </w:rPr>
              <w:t>石油类</w:t>
            </w:r>
          </w:p>
        </w:tc>
        <w:tc>
          <w:tcPr>
            <w:tcW w:w="300" w:type="pct"/>
            <w:tcBorders>
              <w:tl2br w:val="nil"/>
              <w:tr2bl w:val="nil"/>
            </w:tcBorders>
            <w:vAlign w:val="center"/>
          </w:tcPr>
          <w:p w14:paraId="05FF3BE8">
            <w:pPr>
              <w:spacing w:line="240" w:lineRule="auto"/>
              <w:ind w:firstLine="0" w:firstLineChars="0"/>
              <w:jc w:val="center"/>
              <w:rPr>
                <w:color w:val="auto"/>
                <w:sz w:val="21"/>
                <w:szCs w:val="21"/>
                <w:highlight w:val="none"/>
              </w:rPr>
            </w:pPr>
            <w:r>
              <w:rPr>
                <w:color w:val="auto"/>
                <w:sz w:val="21"/>
                <w:szCs w:val="21"/>
                <w:highlight w:val="none"/>
              </w:rPr>
              <w:t>692.02</w:t>
            </w:r>
          </w:p>
        </w:tc>
        <w:tc>
          <w:tcPr>
            <w:tcW w:w="359" w:type="pct"/>
            <w:tcBorders>
              <w:tl2br w:val="nil"/>
              <w:tr2bl w:val="nil"/>
            </w:tcBorders>
            <w:vAlign w:val="center"/>
          </w:tcPr>
          <w:p w14:paraId="2BA9F8D1">
            <w:pPr>
              <w:spacing w:line="240" w:lineRule="auto"/>
              <w:ind w:firstLine="0" w:firstLineChars="0"/>
              <w:jc w:val="center"/>
              <w:rPr>
                <w:color w:val="auto"/>
                <w:sz w:val="21"/>
                <w:szCs w:val="21"/>
                <w:highlight w:val="none"/>
              </w:rPr>
            </w:pPr>
            <w:r>
              <w:rPr>
                <w:color w:val="auto"/>
                <w:sz w:val="21"/>
                <w:szCs w:val="21"/>
                <w:highlight w:val="none"/>
              </w:rPr>
              <w:t>5.66</w:t>
            </w:r>
          </w:p>
        </w:tc>
        <w:tc>
          <w:tcPr>
            <w:tcW w:w="336" w:type="pct"/>
            <w:tcBorders>
              <w:tl2br w:val="nil"/>
              <w:tr2bl w:val="nil"/>
            </w:tcBorders>
            <w:vAlign w:val="center"/>
          </w:tcPr>
          <w:p w14:paraId="32BB32FB">
            <w:pPr>
              <w:spacing w:line="240" w:lineRule="auto"/>
              <w:ind w:firstLine="0" w:firstLineChars="0"/>
              <w:jc w:val="center"/>
              <w:rPr>
                <w:color w:val="auto"/>
                <w:sz w:val="21"/>
                <w:szCs w:val="21"/>
                <w:highlight w:val="none"/>
                <w:u w:val="single"/>
              </w:rPr>
            </w:pPr>
            <w:r>
              <w:rPr>
                <w:rFonts w:hint="default"/>
                <w:color w:val="auto"/>
                <w:sz w:val="21"/>
                <w:szCs w:val="21"/>
                <w:highlight w:val="none"/>
                <w:u w:val="single"/>
                <w:lang w:val="en-US" w:eastAsia="zh-CN"/>
              </w:rPr>
              <w:t>20</w:t>
            </w:r>
          </w:p>
        </w:tc>
        <w:tc>
          <w:tcPr>
            <w:tcW w:w="315" w:type="pct"/>
            <w:tcBorders>
              <w:tl2br w:val="nil"/>
              <w:tr2bl w:val="nil"/>
            </w:tcBorders>
            <w:vAlign w:val="center"/>
          </w:tcPr>
          <w:p w14:paraId="10A67DC4">
            <w:pPr>
              <w:spacing w:line="240" w:lineRule="auto"/>
              <w:ind w:firstLine="0" w:firstLineChars="0"/>
              <w:jc w:val="center"/>
              <w:rPr>
                <w:color w:val="auto"/>
                <w:sz w:val="21"/>
                <w:szCs w:val="21"/>
                <w:highlight w:val="none"/>
                <w:u w:val="single"/>
              </w:rPr>
            </w:pPr>
            <w:r>
              <w:rPr>
                <w:rFonts w:hint="default"/>
                <w:color w:val="auto"/>
                <w:sz w:val="21"/>
                <w:szCs w:val="21"/>
                <w:highlight w:val="none"/>
                <w:u w:val="single"/>
                <w:lang w:val="en-US" w:eastAsia="zh-CN"/>
              </w:rPr>
              <w:t xml:space="preserve">0.1472 </w:t>
            </w:r>
          </w:p>
        </w:tc>
        <w:tc>
          <w:tcPr>
            <w:tcW w:w="315" w:type="pct"/>
            <w:tcBorders>
              <w:tl2br w:val="nil"/>
              <w:tr2bl w:val="nil"/>
            </w:tcBorders>
            <w:vAlign w:val="center"/>
          </w:tcPr>
          <w:p w14:paraId="529FA4D8">
            <w:pPr>
              <w:spacing w:line="240" w:lineRule="auto"/>
              <w:ind w:firstLine="0" w:firstLineChars="0"/>
              <w:jc w:val="center"/>
              <w:rPr>
                <w:color w:val="auto"/>
                <w:sz w:val="21"/>
                <w:szCs w:val="21"/>
                <w:highlight w:val="none"/>
                <w:u w:val="single"/>
              </w:rPr>
            </w:pPr>
            <w:r>
              <w:rPr>
                <w:rFonts w:hint="default"/>
                <w:color w:val="auto"/>
                <w:sz w:val="21"/>
                <w:szCs w:val="21"/>
                <w:highlight w:val="none"/>
                <w:u w:val="single"/>
                <w:lang w:val="en-US" w:eastAsia="zh-CN"/>
              </w:rPr>
              <w:t xml:space="preserve">0.0164 </w:t>
            </w:r>
          </w:p>
        </w:tc>
        <w:tc>
          <w:tcPr>
            <w:tcW w:w="1872" w:type="pct"/>
            <w:vMerge w:val="continue"/>
            <w:tcBorders>
              <w:tl2br w:val="nil"/>
              <w:tr2bl w:val="nil"/>
            </w:tcBorders>
            <w:vAlign w:val="center"/>
          </w:tcPr>
          <w:p w14:paraId="5183CE41">
            <w:pPr>
              <w:spacing w:line="240" w:lineRule="auto"/>
              <w:ind w:firstLine="0" w:firstLineChars="0"/>
              <w:jc w:val="center"/>
              <w:rPr>
                <w:color w:val="auto"/>
                <w:sz w:val="21"/>
                <w:szCs w:val="21"/>
                <w:highlight w:val="none"/>
                <w:u w:val="single"/>
              </w:rPr>
            </w:pPr>
          </w:p>
        </w:tc>
      </w:tr>
      <w:tr w14:paraId="219F08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23" w:type="pct"/>
            <w:vMerge w:val="restart"/>
            <w:tcBorders>
              <w:tl2br w:val="nil"/>
              <w:tr2bl w:val="nil"/>
            </w:tcBorders>
            <w:vAlign w:val="center"/>
          </w:tcPr>
          <w:p w14:paraId="513E0B0F">
            <w:pPr>
              <w:spacing w:line="240" w:lineRule="auto"/>
              <w:ind w:firstLine="0" w:firstLineChars="0"/>
              <w:jc w:val="center"/>
              <w:rPr>
                <w:color w:val="auto"/>
                <w:sz w:val="21"/>
                <w:szCs w:val="21"/>
                <w:highlight w:val="none"/>
              </w:rPr>
            </w:pPr>
            <w:r>
              <w:rPr>
                <w:color w:val="auto"/>
                <w:sz w:val="21"/>
                <w:szCs w:val="21"/>
                <w:highlight w:val="none"/>
              </w:rPr>
              <w:t>6</w:t>
            </w:r>
          </w:p>
        </w:tc>
        <w:tc>
          <w:tcPr>
            <w:tcW w:w="551" w:type="pct"/>
            <w:vMerge w:val="restart"/>
            <w:tcBorders>
              <w:tl2br w:val="nil"/>
              <w:tr2bl w:val="nil"/>
            </w:tcBorders>
            <w:vAlign w:val="center"/>
          </w:tcPr>
          <w:p w14:paraId="543B166A">
            <w:pPr>
              <w:spacing w:line="240" w:lineRule="auto"/>
              <w:ind w:firstLine="0" w:firstLineChars="0"/>
              <w:jc w:val="center"/>
              <w:rPr>
                <w:color w:val="auto"/>
                <w:sz w:val="21"/>
                <w:szCs w:val="21"/>
                <w:highlight w:val="none"/>
              </w:rPr>
            </w:pPr>
            <w:r>
              <w:rPr>
                <w:color w:val="auto"/>
                <w:sz w:val="21"/>
                <w:szCs w:val="21"/>
                <w:highlight w:val="none"/>
              </w:rPr>
              <w:t>初期雨水</w:t>
            </w:r>
            <w:r>
              <w:rPr>
                <w:rFonts w:hint="eastAsia"/>
                <w:color w:val="auto"/>
                <w:sz w:val="21"/>
                <w:szCs w:val="21"/>
                <w:highlight w:val="none"/>
              </w:rPr>
              <w:t>（W8）</w:t>
            </w:r>
          </w:p>
        </w:tc>
        <w:tc>
          <w:tcPr>
            <w:tcW w:w="316" w:type="pct"/>
            <w:vMerge w:val="restart"/>
            <w:tcBorders>
              <w:tl2br w:val="nil"/>
              <w:tr2bl w:val="nil"/>
            </w:tcBorders>
            <w:vAlign w:val="center"/>
          </w:tcPr>
          <w:p w14:paraId="66802313">
            <w:pPr>
              <w:spacing w:line="240" w:lineRule="auto"/>
              <w:ind w:firstLine="0" w:firstLineChars="0"/>
              <w:jc w:val="center"/>
              <w:rPr>
                <w:color w:val="auto"/>
                <w:sz w:val="21"/>
                <w:szCs w:val="21"/>
                <w:highlight w:val="none"/>
              </w:rPr>
            </w:pPr>
            <w:r>
              <w:rPr>
                <w:rFonts w:hint="eastAsia"/>
                <w:color w:val="auto"/>
                <w:sz w:val="21"/>
                <w:szCs w:val="21"/>
                <w:highlight w:val="none"/>
              </w:rPr>
              <w:t>100.15</w:t>
            </w:r>
          </w:p>
          <w:p w14:paraId="657EE9B5">
            <w:pPr>
              <w:spacing w:line="240" w:lineRule="auto"/>
              <w:ind w:firstLine="0" w:firstLineChars="0"/>
              <w:jc w:val="center"/>
              <w:rPr>
                <w:rFonts w:hint="eastAsia" w:eastAsia="宋体"/>
                <w:color w:val="auto"/>
                <w:sz w:val="21"/>
                <w:szCs w:val="21"/>
                <w:highlight w:val="none"/>
                <w:lang w:eastAsia="zh-CN"/>
              </w:rPr>
            </w:pPr>
            <w:r>
              <w:rPr>
                <w:color w:val="auto"/>
                <w:sz w:val="21"/>
                <w:szCs w:val="21"/>
                <w:highlight w:val="none"/>
              </w:rPr>
              <w:t>m</w:t>
            </w:r>
            <w:r>
              <w:rPr>
                <w:color w:val="auto"/>
                <w:sz w:val="21"/>
                <w:szCs w:val="21"/>
                <w:highlight w:val="none"/>
                <w:vertAlign w:val="superscript"/>
              </w:rPr>
              <w:t>3</w:t>
            </w:r>
            <w:r>
              <w:rPr>
                <w:color w:val="auto"/>
                <w:sz w:val="21"/>
                <w:szCs w:val="21"/>
                <w:highlight w:val="none"/>
              </w:rPr>
              <w:t>/次</w:t>
            </w:r>
          </w:p>
        </w:tc>
        <w:tc>
          <w:tcPr>
            <w:tcW w:w="408" w:type="pct"/>
            <w:tcBorders>
              <w:tl2br w:val="nil"/>
              <w:tr2bl w:val="nil"/>
            </w:tcBorders>
            <w:vAlign w:val="center"/>
          </w:tcPr>
          <w:p w14:paraId="50D8AFFA">
            <w:pPr>
              <w:spacing w:line="240" w:lineRule="auto"/>
              <w:ind w:firstLine="0" w:firstLineChars="0"/>
              <w:jc w:val="center"/>
              <w:rPr>
                <w:color w:val="auto"/>
                <w:sz w:val="21"/>
                <w:szCs w:val="21"/>
                <w:highlight w:val="none"/>
              </w:rPr>
            </w:pPr>
            <w:r>
              <w:rPr>
                <w:color w:val="auto"/>
                <w:sz w:val="21"/>
                <w:szCs w:val="21"/>
                <w:highlight w:val="none"/>
              </w:rPr>
              <w:t>COD</w:t>
            </w:r>
          </w:p>
        </w:tc>
        <w:tc>
          <w:tcPr>
            <w:tcW w:w="300" w:type="pct"/>
            <w:tcBorders>
              <w:tl2br w:val="nil"/>
              <w:tr2bl w:val="nil"/>
            </w:tcBorders>
            <w:vAlign w:val="center"/>
          </w:tcPr>
          <w:p w14:paraId="23E3E0E4">
            <w:pPr>
              <w:spacing w:line="240" w:lineRule="auto"/>
              <w:ind w:firstLine="0" w:firstLineChars="0"/>
              <w:jc w:val="center"/>
              <w:rPr>
                <w:rFonts w:hint="default"/>
                <w:color w:val="auto"/>
                <w:sz w:val="21"/>
                <w:szCs w:val="21"/>
                <w:highlight w:val="none"/>
                <w:lang w:val="en-US" w:eastAsia="zh-CN"/>
              </w:rPr>
            </w:pPr>
            <w:r>
              <w:rPr>
                <w:rFonts w:hint="default"/>
                <w:color w:val="auto"/>
                <w:sz w:val="21"/>
                <w:szCs w:val="21"/>
                <w:highlight w:val="none"/>
                <w:lang w:val="en-US" w:eastAsia="zh-CN"/>
              </w:rPr>
              <w:t>150</w:t>
            </w:r>
          </w:p>
        </w:tc>
        <w:tc>
          <w:tcPr>
            <w:tcW w:w="359" w:type="pct"/>
            <w:tcBorders>
              <w:tl2br w:val="nil"/>
              <w:tr2bl w:val="nil"/>
            </w:tcBorders>
            <w:vAlign w:val="center"/>
          </w:tcPr>
          <w:p w14:paraId="783740D9">
            <w:pPr>
              <w:spacing w:line="240" w:lineRule="auto"/>
              <w:ind w:firstLine="0" w:firstLineChars="0"/>
              <w:jc w:val="center"/>
              <w:rPr>
                <w:rFonts w:hint="default"/>
                <w:color w:val="auto"/>
                <w:sz w:val="21"/>
                <w:szCs w:val="21"/>
                <w:highlight w:val="none"/>
                <w:lang w:val="en-US" w:eastAsia="zh-CN"/>
              </w:rPr>
            </w:pPr>
            <w:r>
              <w:rPr>
                <w:rFonts w:hint="default"/>
                <w:color w:val="auto"/>
                <w:sz w:val="21"/>
                <w:szCs w:val="21"/>
                <w:highlight w:val="none"/>
                <w:lang w:val="en-US" w:eastAsia="zh-CN"/>
              </w:rPr>
              <w:t>0.0150</w:t>
            </w:r>
            <w:r>
              <w:rPr>
                <w:rFonts w:hint="eastAsia"/>
                <w:color w:val="auto"/>
                <w:sz w:val="21"/>
                <w:szCs w:val="21"/>
                <w:highlight w:val="none"/>
                <w:lang w:val="en-US" w:eastAsia="zh-CN"/>
              </w:rPr>
              <w:t>t/次</w:t>
            </w:r>
            <w:r>
              <w:rPr>
                <w:rFonts w:hint="default"/>
                <w:color w:val="auto"/>
                <w:sz w:val="21"/>
                <w:szCs w:val="21"/>
                <w:highlight w:val="none"/>
                <w:lang w:val="en-US" w:eastAsia="zh-CN"/>
              </w:rPr>
              <w:t xml:space="preserve"> </w:t>
            </w:r>
          </w:p>
        </w:tc>
        <w:tc>
          <w:tcPr>
            <w:tcW w:w="336" w:type="pct"/>
            <w:tcBorders>
              <w:tl2br w:val="nil"/>
              <w:tr2bl w:val="nil"/>
            </w:tcBorders>
            <w:vAlign w:val="center"/>
          </w:tcPr>
          <w:p w14:paraId="7ABFC39C">
            <w:pPr>
              <w:spacing w:line="240" w:lineRule="auto"/>
              <w:ind w:firstLine="0" w:firstLineChars="0"/>
              <w:jc w:val="center"/>
              <w:rPr>
                <w:rFonts w:hint="default"/>
                <w:color w:val="auto"/>
                <w:sz w:val="21"/>
                <w:szCs w:val="21"/>
                <w:highlight w:val="none"/>
                <w:u w:val="single"/>
                <w:lang w:val="en-US" w:eastAsia="zh-CN"/>
              </w:rPr>
            </w:pPr>
            <w:r>
              <w:rPr>
                <w:rFonts w:hint="default"/>
                <w:color w:val="auto"/>
                <w:sz w:val="21"/>
                <w:szCs w:val="21"/>
                <w:highlight w:val="none"/>
                <w:u w:val="single"/>
                <w:lang w:val="en-US" w:eastAsia="zh-CN"/>
              </w:rPr>
              <w:t>100</w:t>
            </w:r>
          </w:p>
        </w:tc>
        <w:tc>
          <w:tcPr>
            <w:tcW w:w="315" w:type="pct"/>
            <w:tcBorders>
              <w:tl2br w:val="nil"/>
              <w:tr2bl w:val="nil"/>
            </w:tcBorders>
            <w:vAlign w:val="center"/>
          </w:tcPr>
          <w:p w14:paraId="33042C9E">
            <w:pPr>
              <w:spacing w:line="240" w:lineRule="auto"/>
              <w:ind w:firstLine="0" w:firstLineChars="0"/>
              <w:jc w:val="center"/>
              <w:rPr>
                <w:rFonts w:hint="default"/>
                <w:color w:val="auto"/>
                <w:sz w:val="21"/>
                <w:szCs w:val="21"/>
                <w:highlight w:val="none"/>
                <w:u w:val="single"/>
                <w:lang w:val="en-US" w:eastAsia="zh-CN"/>
              </w:rPr>
            </w:pPr>
            <w:r>
              <w:rPr>
                <w:rFonts w:hint="default"/>
                <w:color w:val="auto"/>
                <w:sz w:val="21"/>
                <w:szCs w:val="21"/>
                <w:highlight w:val="none"/>
                <w:u w:val="single"/>
                <w:lang w:val="en-US" w:eastAsia="zh-CN"/>
              </w:rPr>
              <w:t>0.0090</w:t>
            </w:r>
            <w:r>
              <w:rPr>
                <w:rFonts w:hint="eastAsia"/>
                <w:color w:val="auto"/>
                <w:sz w:val="21"/>
                <w:szCs w:val="21"/>
                <w:highlight w:val="none"/>
                <w:u w:val="single"/>
                <w:lang w:val="en-US" w:eastAsia="zh-CN"/>
              </w:rPr>
              <w:t>t/次</w:t>
            </w:r>
            <w:r>
              <w:rPr>
                <w:rFonts w:hint="default"/>
                <w:color w:val="auto"/>
                <w:sz w:val="21"/>
                <w:szCs w:val="21"/>
                <w:highlight w:val="none"/>
                <w:u w:val="single"/>
                <w:lang w:val="en-US" w:eastAsia="zh-CN"/>
              </w:rPr>
              <w:t xml:space="preserve">  </w:t>
            </w:r>
          </w:p>
        </w:tc>
        <w:tc>
          <w:tcPr>
            <w:tcW w:w="315" w:type="pct"/>
            <w:tcBorders>
              <w:tl2br w:val="nil"/>
              <w:tr2bl w:val="nil"/>
            </w:tcBorders>
            <w:vAlign w:val="center"/>
          </w:tcPr>
          <w:p w14:paraId="29C01E66">
            <w:pPr>
              <w:spacing w:line="240" w:lineRule="auto"/>
              <w:ind w:firstLine="0" w:firstLineChars="0"/>
              <w:jc w:val="center"/>
              <w:rPr>
                <w:rFonts w:hint="default"/>
                <w:color w:val="auto"/>
                <w:sz w:val="21"/>
                <w:szCs w:val="21"/>
                <w:highlight w:val="none"/>
                <w:u w:val="single"/>
                <w:lang w:val="en-US" w:eastAsia="zh-CN"/>
              </w:rPr>
            </w:pPr>
            <w:r>
              <w:rPr>
                <w:rFonts w:hint="default"/>
                <w:color w:val="auto"/>
                <w:sz w:val="21"/>
                <w:szCs w:val="21"/>
                <w:highlight w:val="none"/>
                <w:u w:val="single"/>
                <w:lang w:val="en-US" w:eastAsia="zh-CN"/>
              </w:rPr>
              <w:t>0.0010</w:t>
            </w:r>
            <w:r>
              <w:rPr>
                <w:rFonts w:hint="eastAsia"/>
                <w:color w:val="auto"/>
                <w:sz w:val="21"/>
                <w:szCs w:val="21"/>
                <w:highlight w:val="none"/>
                <w:u w:val="single"/>
                <w:lang w:val="en-US" w:eastAsia="zh-CN"/>
              </w:rPr>
              <w:t>t/次</w:t>
            </w:r>
            <w:r>
              <w:rPr>
                <w:rFonts w:hint="default"/>
                <w:color w:val="auto"/>
                <w:sz w:val="21"/>
                <w:szCs w:val="21"/>
                <w:highlight w:val="none"/>
                <w:u w:val="single"/>
                <w:lang w:val="en-US" w:eastAsia="zh-CN"/>
              </w:rPr>
              <w:t xml:space="preserve">  </w:t>
            </w:r>
          </w:p>
        </w:tc>
        <w:tc>
          <w:tcPr>
            <w:tcW w:w="1872" w:type="pct"/>
            <w:vMerge w:val="restart"/>
            <w:tcBorders>
              <w:tl2br w:val="nil"/>
              <w:tr2bl w:val="nil"/>
            </w:tcBorders>
            <w:vAlign w:val="center"/>
          </w:tcPr>
          <w:p w14:paraId="4A5B0A18">
            <w:pPr>
              <w:spacing w:line="240" w:lineRule="auto"/>
              <w:ind w:firstLine="0" w:firstLineChars="0"/>
              <w:jc w:val="center"/>
              <w:rPr>
                <w:color w:val="auto"/>
                <w:sz w:val="21"/>
                <w:szCs w:val="21"/>
                <w:highlight w:val="none"/>
                <w:u w:val="single"/>
              </w:rPr>
            </w:pPr>
            <w:r>
              <w:rPr>
                <w:color w:val="auto"/>
                <w:sz w:val="21"/>
                <w:szCs w:val="21"/>
                <w:highlight w:val="none"/>
                <w:u w:val="single"/>
              </w:rPr>
              <w:t>经</w:t>
            </w:r>
            <w:r>
              <w:rPr>
                <w:rFonts w:hint="eastAsia"/>
                <w:color w:val="auto"/>
                <w:sz w:val="21"/>
                <w:szCs w:val="21"/>
                <w:highlight w:val="none"/>
                <w:u w:val="single"/>
              </w:rPr>
              <w:t>浮船坞配套设置的初期雨水池收集后，采用罐车运至陆域</w:t>
            </w:r>
            <w:r>
              <w:rPr>
                <w:color w:val="auto"/>
                <w:sz w:val="21"/>
                <w:szCs w:val="21"/>
                <w:highlight w:val="none"/>
                <w:u w:val="single"/>
              </w:rPr>
              <w:t>生活污水处理一体化设备（处理规模300m</w:t>
            </w:r>
            <w:r>
              <w:rPr>
                <w:color w:val="auto"/>
                <w:sz w:val="21"/>
                <w:szCs w:val="21"/>
                <w:highlight w:val="none"/>
                <w:u w:val="single"/>
                <w:vertAlign w:val="superscript"/>
              </w:rPr>
              <w:t>3</w:t>
            </w:r>
            <w:r>
              <w:rPr>
                <w:color w:val="auto"/>
                <w:sz w:val="21"/>
                <w:szCs w:val="21"/>
                <w:highlight w:val="none"/>
                <w:u w:val="single"/>
              </w:rPr>
              <w:t>/d）处理</w:t>
            </w:r>
            <w:r>
              <w:rPr>
                <w:rFonts w:hint="eastAsia"/>
                <w:color w:val="auto"/>
                <w:sz w:val="21"/>
                <w:szCs w:val="21"/>
                <w:highlight w:val="none"/>
                <w:u w:val="single"/>
              </w:rPr>
              <w:t>后，进入中水回用池储存，大部分</w:t>
            </w:r>
            <w:r>
              <w:rPr>
                <w:color w:val="auto"/>
                <w:sz w:val="21"/>
                <w:szCs w:val="21"/>
                <w:highlight w:val="none"/>
                <w:u w:val="single"/>
              </w:rPr>
              <w:t>回用于厂区绿化及降尘，</w:t>
            </w:r>
            <w:r>
              <w:rPr>
                <w:rFonts w:hint="eastAsia"/>
                <w:color w:val="auto"/>
                <w:sz w:val="21"/>
                <w:szCs w:val="21"/>
                <w:highlight w:val="none"/>
                <w:u w:val="single"/>
              </w:rPr>
              <w:t>少部分</w:t>
            </w:r>
            <w:r>
              <w:rPr>
                <w:color w:val="auto"/>
                <w:sz w:val="21"/>
                <w:szCs w:val="21"/>
                <w:highlight w:val="none"/>
                <w:u w:val="single"/>
              </w:rPr>
              <w:t>不能回用的由槽罐车运至大榄坪污水处理厂处理</w:t>
            </w:r>
          </w:p>
        </w:tc>
      </w:tr>
      <w:tr w14:paraId="0AD0E0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23" w:type="pct"/>
            <w:vMerge w:val="continue"/>
            <w:tcBorders>
              <w:tl2br w:val="nil"/>
              <w:tr2bl w:val="nil"/>
            </w:tcBorders>
            <w:vAlign w:val="center"/>
          </w:tcPr>
          <w:p w14:paraId="6D2137EC">
            <w:pPr>
              <w:overflowPunct w:val="0"/>
              <w:autoSpaceDE w:val="0"/>
              <w:autoSpaceDN w:val="0"/>
              <w:spacing w:line="240" w:lineRule="auto"/>
              <w:ind w:firstLine="0" w:firstLineChars="0"/>
              <w:jc w:val="center"/>
              <w:textAlignment w:val="bottom"/>
              <w:rPr>
                <w:color w:val="auto"/>
                <w:sz w:val="21"/>
                <w:szCs w:val="21"/>
                <w:highlight w:val="none"/>
              </w:rPr>
            </w:pPr>
          </w:p>
        </w:tc>
        <w:tc>
          <w:tcPr>
            <w:tcW w:w="551" w:type="pct"/>
            <w:vMerge w:val="continue"/>
            <w:tcBorders>
              <w:tl2br w:val="nil"/>
              <w:tr2bl w:val="nil"/>
            </w:tcBorders>
            <w:vAlign w:val="center"/>
          </w:tcPr>
          <w:p w14:paraId="2E6B5352">
            <w:pPr>
              <w:overflowPunct w:val="0"/>
              <w:autoSpaceDE w:val="0"/>
              <w:autoSpaceDN w:val="0"/>
              <w:spacing w:line="240" w:lineRule="auto"/>
              <w:ind w:firstLine="0" w:firstLineChars="0"/>
              <w:jc w:val="center"/>
              <w:textAlignment w:val="bottom"/>
              <w:rPr>
                <w:color w:val="auto"/>
                <w:sz w:val="21"/>
                <w:szCs w:val="21"/>
                <w:highlight w:val="none"/>
              </w:rPr>
            </w:pPr>
          </w:p>
        </w:tc>
        <w:tc>
          <w:tcPr>
            <w:tcW w:w="316" w:type="pct"/>
            <w:vMerge w:val="continue"/>
            <w:tcBorders>
              <w:tl2br w:val="nil"/>
              <w:tr2bl w:val="nil"/>
            </w:tcBorders>
            <w:vAlign w:val="center"/>
          </w:tcPr>
          <w:p w14:paraId="66682A8F">
            <w:pPr>
              <w:overflowPunct w:val="0"/>
              <w:autoSpaceDE w:val="0"/>
              <w:autoSpaceDN w:val="0"/>
              <w:spacing w:line="240" w:lineRule="auto"/>
              <w:ind w:firstLine="0" w:firstLineChars="0"/>
              <w:jc w:val="center"/>
              <w:textAlignment w:val="bottom"/>
              <w:rPr>
                <w:color w:val="auto"/>
                <w:sz w:val="21"/>
                <w:szCs w:val="21"/>
                <w:highlight w:val="none"/>
              </w:rPr>
            </w:pPr>
          </w:p>
        </w:tc>
        <w:tc>
          <w:tcPr>
            <w:tcW w:w="408" w:type="pct"/>
            <w:tcBorders>
              <w:tl2br w:val="nil"/>
              <w:tr2bl w:val="nil"/>
            </w:tcBorders>
            <w:vAlign w:val="center"/>
          </w:tcPr>
          <w:p w14:paraId="45358B83">
            <w:pPr>
              <w:spacing w:line="240" w:lineRule="auto"/>
              <w:ind w:firstLine="0" w:firstLineChars="0"/>
              <w:jc w:val="center"/>
              <w:rPr>
                <w:color w:val="auto"/>
                <w:sz w:val="21"/>
                <w:szCs w:val="21"/>
                <w:highlight w:val="none"/>
              </w:rPr>
            </w:pPr>
            <w:r>
              <w:rPr>
                <w:color w:val="auto"/>
                <w:sz w:val="21"/>
                <w:szCs w:val="21"/>
                <w:highlight w:val="none"/>
              </w:rPr>
              <w:t>SS</w:t>
            </w:r>
          </w:p>
        </w:tc>
        <w:tc>
          <w:tcPr>
            <w:tcW w:w="300" w:type="pct"/>
            <w:tcBorders>
              <w:tl2br w:val="nil"/>
              <w:tr2bl w:val="nil"/>
            </w:tcBorders>
            <w:vAlign w:val="center"/>
          </w:tcPr>
          <w:p w14:paraId="3235F915">
            <w:pPr>
              <w:spacing w:line="240" w:lineRule="auto"/>
              <w:ind w:firstLine="0" w:firstLineChars="0"/>
              <w:jc w:val="center"/>
              <w:rPr>
                <w:rFonts w:hint="default"/>
                <w:color w:val="auto"/>
                <w:sz w:val="21"/>
                <w:szCs w:val="21"/>
                <w:highlight w:val="none"/>
                <w:lang w:val="en-US" w:eastAsia="zh-CN"/>
              </w:rPr>
            </w:pPr>
            <w:r>
              <w:rPr>
                <w:rFonts w:hint="default"/>
                <w:color w:val="auto"/>
                <w:sz w:val="21"/>
                <w:szCs w:val="21"/>
                <w:highlight w:val="none"/>
                <w:lang w:val="en-US" w:eastAsia="zh-CN"/>
              </w:rPr>
              <w:t>250</w:t>
            </w:r>
          </w:p>
        </w:tc>
        <w:tc>
          <w:tcPr>
            <w:tcW w:w="359" w:type="pct"/>
            <w:tcBorders>
              <w:tl2br w:val="nil"/>
              <w:tr2bl w:val="nil"/>
            </w:tcBorders>
            <w:vAlign w:val="center"/>
          </w:tcPr>
          <w:p w14:paraId="5BA161F6">
            <w:pPr>
              <w:spacing w:line="240" w:lineRule="auto"/>
              <w:ind w:firstLine="0" w:firstLineChars="0"/>
              <w:jc w:val="center"/>
              <w:rPr>
                <w:rFonts w:hint="default"/>
                <w:color w:val="auto"/>
                <w:sz w:val="21"/>
                <w:szCs w:val="21"/>
                <w:highlight w:val="none"/>
                <w:lang w:val="en-US" w:eastAsia="zh-CN"/>
              </w:rPr>
            </w:pPr>
            <w:r>
              <w:rPr>
                <w:rFonts w:hint="default"/>
                <w:color w:val="auto"/>
                <w:sz w:val="21"/>
                <w:szCs w:val="21"/>
                <w:highlight w:val="none"/>
                <w:lang w:val="en-US" w:eastAsia="zh-CN"/>
              </w:rPr>
              <w:t>0.0250</w:t>
            </w:r>
            <w:r>
              <w:rPr>
                <w:rFonts w:hint="eastAsia"/>
                <w:color w:val="auto"/>
                <w:sz w:val="21"/>
                <w:szCs w:val="21"/>
                <w:highlight w:val="none"/>
                <w:lang w:val="en-US" w:eastAsia="zh-CN"/>
              </w:rPr>
              <w:t>t/次</w:t>
            </w:r>
            <w:r>
              <w:rPr>
                <w:rFonts w:hint="default"/>
                <w:color w:val="auto"/>
                <w:sz w:val="21"/>
                <w:szCs w:val="21"/>
                <w:highlight w:val="none"/>
                <w:lang w:val="en-US" w:eastAsia="zh-CN"/>
              </w:rPr>
              <w:t xml:space="preserve">  </w:t>
            </w:r>
          </w:p>
        </w:tc>
        <w:tc>
          <w:tcPr>
            <w:tcW w:w="336" w:type="pct"/>
            <w:tcBorders>
              <w:tl2br w:val="nil"/>
              <w:tr2bl w:val="nil"/>
            </w:tcBorders>
            <w:vAlign w:val="center"/>
          </w:tcPr>
          <w:p w14:paraId="5937F135">
            <w:pPr>
              <w:spacing w:line="240" w:lineRule="auto"/>
              <w:ind w:firstLine="0" w:firstLineChars="0"/>
              <w:jc w:val="center"/>
              <w:rPr>
                <w:rFonts w:hint="default"/>
                <w:color w:val="auto"/>
                <w:sz w:val="21"/>
                <w:szCs w:val="21"/>
                <w:highlight w:val="none"/>
                <w:u w:val="single"/>
                <w:lang w:val="en-US" w:eastAsia="zh-CN"/>
              </w:rPr>
            </w:pPr>
            <w:r>
              <w:rPr>
                <w:rFonts w:hint="default"/>
                <w:color w:val="auto"/>
                <w:sz w:val="21"/>
                <w:szCs w:val="21"/>
                <w:highlight w:val="none"/>
                <w:u w:val="single"/>
                <w:lang w:val="en-US" w:eastAsia="zh-CN"/>
              </w:rPr>
              <w:t>100</w:t>
            </w:r>
          </w:p>
        </w:tc>
        <w:tc>
          <w:tcPr>
            <w:tcW w:w="315" w:type="pct"/>
            <w:tcBorders>
              <w:tl2br w:val="nil"/>
              <w:tr2bl w:val="nil"/>
            </w:tcBorders>
            <w:vAlign w:val="center"/>
          </w:tcPr>
          <w:p w14:paraId="53EDFB01">
            <w:pPr>
              <w:spacing w:line="240" w:lineRule="auto"/>
              <w:ind w:firstLine="0" w:firstLineChars="0"/>
              <w:jc w:val="center"/>
              <w:rPr>
                <w:rFonts w:hint="default"/>
                <w:color w:val="auto"/>
                <w:sz w:val="21"/>
                <w:szCs w:val="21"/>
                <w:highlight w:val="none"/>
                <w:u w:val="single"/>
                <w:lang w:val="en-US" w:eastAsia="zh-CN"/>
              </w:rPr>
            </w:pPr>
            <w:r>
              <w:rPr>
                <w:rFonts w:hint="default"/>
                <w:color w:val="auto"/>
                <w:sz w:val="21"/>
                <w:szCs w:val="21"/>
                <w:highlight w:val="none"/>
                <w:u w:val="single"/>
                <w:lang w:val="en-US" w:eastAsia="zh-CN"/>
              </w:rPr>
              <w:t>0.0090</w:t>
            </w:r>
            <w:r>
              <w:rPr>
                <w:rFonts w:hint="eastAsia"/>
                <w:color w:val="auto"/>
                <w:sz w:val="21"/>
                <w:szCs w:val="21"/>
                <w:highlight w:val="none"/>
                <w:u w:val="single"/>
                <w:lang w:val="en-US" w:eastAsia="zh-CN"/>
              </w:rPr>
              <w:t>t/次</w:t>
            </w:r>
            <w:r>
              <w:rPr>
                <w:rFonts w:hint="default"/>
                <w:color w:val="auto"/>
                <w:sz w:val="21"/>
                <w:szCs w:val="21"/>
                <w:highlight w:val="none"/>
                <w:u w:val="single"/>
                <w:lang w:val="en-US" w:eastAsia="zh-CN"/>
              </w:rPr>
              <w:t xml:space="preserve">  </w:t>
            </w:r>
          </w:p>
        </w:tc>
        <w:tc>
          <w:tcPr>
            <w:tcW w:w="315" w:type="pct"/>
            <w:tcBorders>
              <w:tl2br w:val="nil"/>
              <w:tr2bl w:val="nil"/>
            </w:tcBorders>
            <w:vAlign w:val="center"/>
          </w:tcPr>
          <w:p w14:paraId="522D6C19">
            <w:pPr>
              <w:spacing w:line="240" w:lineRule="auto"/>
              <w:ind w:firstLine="0" w:firstLineChars="0"/>
              <w:jc w:val="center"/>
              <w:rPr>
                <w:rFonts w:hint="default"/>
                <w:color w:val="auto"/>
                <w:sz w:val="21"/>
                <w:szCs w:val="21"/>
                <w:highlight w:val="none"/>
                <w:u w:val="single"/>
                <w:lang w:val="en-US" w:eastAsia="zh-CN"/>
              </w:rPr>
            </w:pPr>
            <w:r>
              <w:rPr>
                <w:rFonts w:hint="default"/>
                <w:color w:val="auto"/>
                <w:sz w:val="21"/>
                <w:szCs w:val="21"/>
                <w:highlight w:val="none"/>
                <w:u w:val="single"/>
                <w:lang w:val="en-US" w:eastAsia="zh-CN"/>
              </w:rPr>
              <w:t>0.0010</w:t>
            </w:r>
            <w:r>
              <w:rPr>
                <w:rFonts w:hint="eastAsia"/>
                <w:color w:val="auto"/>
                <w:sz w:val="21"/>
                <w:szCs w:val="21"/>
                <w:highlight w:val="none"/>
                <w:u w:val="single"/>
                <w:lang w:val="en-US" w:eastAsia="zh-CN"/>
              </w:rPr>
              <w:t>t/次</w:t>
            </w:r>
            <w:r>
              <w:rPr>
                <w:rFonts w:hint="default"/>
                <w:color w:val="auto"/>
                <w:sz w:val="21"/>
                <w:szCs w:val="21"/>
                <w:highlight w:val="none"/>
                <w:u w:val="single"/>
                <w:lang w:val="en-US" w:eastAsia="zh-CN"/>
              </w:rPr>
              <w:t xml:space="preserve">  </w:t>
            </w:r>
          </w:p>
        </w:tc>
        <w:tc>
          <w:tcPr>
            <w:tcW w:w="1872" w:type="pct"/>
            <w:vMerge w:val="continue"/>
            <w:tcBorders>
              <w:tl2br w:val="nil"/>
              <w:tr2bl w:val="nil"/>
            </w:tcBorders>
            <w:vAlign w:val="center"/>
          </w:tcPr>
          <w:p w14:paraId="3398DFDD">
            <w:pPr>
              <w:overflowPunct w:val="0"/>
              <w:autoSpaceDE w:val="0"/>
              <w:autoSpaceDN w:val="0"/>
              <w:spacing w:line="240" w:lineRule="auto"/>
              <w:ind w:firstLine="0" w:firstLineChars="0"/>
              <w:jc w:val="center"/>
              <w:textAlignment w:val="bottom"/>
              <w:rPr>
                <w:color w:val="auto"/>
                <w:sz w:val="21"/>
                <w:szCs w:val="21"/>
                <w:highlight w:val="none"/>
              </w:rPr>
            </w:pPr>
          </w:p>
        </w:tc>
      </w:tr>
      <w:tr w14:paraId="49853D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23" w:type="pct"/>
            <w:vMerge w:val="continue"/>
            <w:tcBorders>
              <w:tl2br w:val="nil"/>
              <w:tr2bl w:val="nil"/>
            </w:tcBorders>
            <w:vAlign w:val="center"/>
          </w:tcPr>
          <w:p w14:paraId="0A425A36">
            <w:pPr>
              <w:spacing w:line="240" w:lineRule="auto"/>
              <w:ind w:firstLine="0" w:firstLineChars="0"/>
              <w:jc w:val="center"/>
              <w:rPr>
                <w:color w:val="auto"/>
                <w:sz w:val="21"/>
                <w:szCs w:val="21"/>
                <w:highlight w:val="none"/>
              </w:rPr>
            </w:pPr>
          </w:p>
        </w:tc>
        <w:tc>
          <w:tcPr>
            <w:tcW w:w="551" w:type="pct"/>
            <w:vMerge w:val="continue"/>
            <w:tcBorders>
              <w:tl2br w:val="nil"/>
              <w:tr2bl w:val="nil"/>
            </w:tcBorders>
            <w:vAlign w:val="center"/>
          </w:tcPr>
          <w:p w14:paraId="2E8B81D1">
            <w:pPr>
              <w:spacing w:line="240" w:lineRule="auto"/>
              <w:ind w:firstLine="0" w:firstLineChars="0"/>
              <w:jc w:val="center"/>
              <w:rPr>
                <w:color w:val="auto"/>
                <w:sz w:val="21"/>
                <w:szCs w:val="21"/>
                <w:highlight w:val="none"/>
              </w:rPr>
            </w:pPr>
          </w:p>
        </w:tc>
        <w:tc>
          <w:tcPr>
            <w:tcW w:w="316" w:type="pct"/>
            <w:vMerge w:val="continue"/>
            <w:tcBorders>
              <w:tl2br w:val="nil"/>
              <w:tr2bl w:val="nil"/>
            </w:tcBorders>
            <w:vAlign w:val="center"/>
          </w:tcPr>
          <w:p w14:paraId="38FFEB3E">
            <w:pPr>
              <w:spacing w:line="240" w:lineRule="auto"/>
              <w:ind w:firstLine="0" w:firstLineChars="0"/>
              <w:jc w:val="center"/>
              <w:rPr>
                <w:color w:val="auto"/>
                <w:sz w:val="21"/>
                <w:szCs w:val="21"/>
                <w:highlight w:val="none"/>
              </w:rPr>
            </w:pPr>
          </w:p>
        </w:tc>
        <w:tc>
          <w:tcPr>
            <w:tcW w:w="408" w:type="pct"/>
            <w:tcBorders>
              <w:tl2br w:val="nil"/>
              <w:tr2bl w:val="nil"/>
            </w:tcBorders>
            <w:vAlign w:val="center"/>
          </w:tcPr>
          <w:p w14:paraId="4CF08BD4">
            <w:pPr>
              <w:spacing w:line="240" w:lineRule="auto"/>
              <w:ind w:firstLine="0" w:firstLineChars="0"/>
              <w:jc w:val="center"/>
              <w:rPr>
                <w:color w:val="auto"/>
                <w:sz w:val="21"/>
                <w:szCs w:val="21"/>
                <w:highlight w:val="none"/>
              </w:rPr>
            </w:pPr>
            <w:r>
              <w:rPr>
                <w:color w:val="auto"/>
                <w:sz w:val="21"/>
                <w:szCs w:val="21"/>
                <w:highlight w:val="none"/>
              </w:rPr>
              <w:t>石油类</w:t>
            </w:r>
          </w:p>
        </w:tc>
        <w:tc>
          <w:tcPr>
            <w:tcW w:w="300" w:type="pct"/>
            <w:tcBorders>
              <w:tl2br w:val="nil"/>
              <w:tr2bl w:val="nil"/>
            </w:tcBorders>
            <w:vAlign w:val="center"/>
          </w:tcPr>
          <w:p w14:paraId="433129D8">
            <w:pPr>
              <w:spacing w:line="240" w:lineRule="auto"/>
              <w:ind w:firstLine="0" w:firstLineChars="0"/>
              <w:jc w:val="center"/>
              <w:rPr>
                <w:rFonts w:hint="default"/>
                <w:color w:val="auto"/>
                <w:sz w:val="21"/>
                <w:szCs w:val="21"/>
                <w:highlight w:val="none"/>
                <w:lang w:val="en-US" w:eastAsia="zh-CN"/>
              </w:rPr>
            </w:pPr>
            <w:r>
              <w:rPr>
                <w:rFonts w:hint="default"/>
                <w:color w:val="auto"/>
                <w:sz w:val="21"/>
                <w:szCs w:val="21"/>
                <w:highlight w:val="none"/>
                <w:lang w:val="en-US" w:eastAsia="zh-CN"/>
              </w:rPr>
              <w:t>40</w:t>
            </w:r>
          </w:p>
        </w:tc>
        <w:tc>
          <w:tcPr>
            <w:tcW w:w="359" w:type="pct"/>
            <w:tcBorders>
              <w:tl2br w:val="nil"/>
              <w:tr2bl w:val="nil"/>
            </w:tcBorders>
            <w:vAlign w:val="center"/>
          </w:tcPr>
          <w:p w14:paraId="501F178A">
            <w:pPr>
              <w:spacing w:line="240" w:lineRule="auto"/>
              <w:ind w:firstLine="0" w:firstLineChars="0"/>
              <w:jc w:val="center"/>
              <w:rPr>
                <w:rFonts w:hint="default"/>
                <w:color w:val="auto"/>
                <w:sz w:val="21"/>
                <w:szCs w:val="21"/>
                <w:highlight w:val="none"/>
                <w:lang w:val="en-US" w:eastAsia="zh-CN"/>
              </w:rPr>
            </w:pPr>
            <w:r>
              <w:rPr>
                <w:rFonts w:hint="default"/>
                <w:color w:val="auto"/>
                <w:sz w:val="21"/>
                <w:szCs w:val="21"/>
                <w:highlight w:val="none"/>
                <w:lang w:val="en-US" w:eastAsia="zh-CN"/>
              </w:rPr>
              <w:t>0.0040</w:t>
            </w:r>
            <w:r>
              <w:rPr>
                <w:rFonts w:hint="eastAsia"/>
                <w:color w:val="auto"/>
                <w:sz w:val="21"/>
                <w:szCs w:val="21"/>
                <w:highlight w:val="none"/>
                <w:lang w:val="en-US" w:eastAsia="zh-CN"/>
              </w:rPr>
              <w:t>t/次</w:t>
            </w:r>
            <w:r>
              <w:rPr>
                <w:rFonts w:hint="default"/>
                <w:color w:val="auto"/>
                <w:sz w:val="21"/>
                <w:szCs w:val="21"/>
                <w:highlight w:val="none"/>
                <w:lang w:val="en-US" w:eastAsia="zh-CN"/>
              </w:rPr>
              <w:t xml:space="preserve">  </w:t>
            </w:r>
          </w:p>
        </w:tc>
        <w:tc>
          <w:tcPr>
            <w:tcW w:w="336" w:type="pct"/>
            <w:tcBorders>
              <w:tl2br w:val="nil"/>
              <w:tr2bl w:val="nil"/>
            </w:tcBorders>
            <w:vAlign w:val="center"/>
          </w:tcPr>
          <w:p w14:paraId="53D6DB54">
            <w:pPr>
              <w:spacing w:line="240" w:lineRule="auto"/>
              <w:ind w:firstLine="0" w:firstLineChars="0"/>
              <w:jc w:val="center"/>
              <w:rPr>
                <w:rFonts w:hint="default"/>
                <w:color w:val="auto"/>
                <w:sz w:val="21"/>
                <w:szCs w:val="21"/>
                <w:highlight w:val="none"/>
                <w:u w:val="single"/>
                <w:lang w:val="en-US" w:eastAsia="zh-CN"/>
              </w:rPr>
            </w:pPr>
            <w:r>
              <w:rPr>
                <w:rFonts w:hint="default"/>
                <w:color w:val="auto"/>
                <w:sz w:val="21"/>
                <w:szCs w:val="21"/>
                <w:highlight w:val="none"/>
                <w:u w:val="single"/>
                <w:lang w:val="en-US" w:eastAsia="zh-CN"/>
              </w:rPr>
              <w:t>20</w:t>
            </w:r>
          </w:p>
        </w:tc>
        <w:tc>
          <w:tcPr>
            <w:tcW w:w="315" w:type="pct"/>
            <w:tcBorders>
              <w:tl2br w:val="nil"/>
              <w:tr2bl w:val="nil"/>
            </w:tcBorders>
            <w:vAlign w:val="center"/>
          </w:tcPr>
          <w:p w14:paraId="4EECD4E5">
            <w:pPr>
              <w:spacing w:line="240" w:lineRule="auto"/>
              <w:ind w:firstLine="0" w:firstLineChars="0"/>
              <w:jc w:val="center"/>
              <w:rPr>
                <w:rFonts w:hint="default"/>
                <w:color w:val="auto"/>
                <w:sz w:val="21"/>
                <w:szCs w:val="21"/>
                <w:highlight w:val="none"/>
                <w:u w:val="single"/>
                <w:lang w:val="en-US" w:eastAsia="zh-CN"/>
              </w:rPr>
            </w:pPr>
            <w:r>
              <w:rPr>
                <w:rFonts w:hint="default"/>
                <w:color w:val="auto"/>
                <w:sz w:val="21"/>
                <w:szCs w:val="21"/>
                <w:highlight w:val="none"/>
                <w:u w:val="single"/>
                <w:lang w:val="en-US" w:eastAsia="zh-CN"/>
              </w:rPr>
              <w:t>0.0018</w:t>
            </w:r>
            <w:r>
              <w:rPr>
                <w:rFonts w:hint="eastAsia"/>
                <w:color w:val="auto"/>
                <w:sz w:val="21"/>
                <w:szCs w:val="21"/>
                <w:highlight w:val="none"/>
                <w:u w:val="single"/>
                <w:lang w:val="en-US" w:eastAsia="zh-CN"/>
              </w:rPr>
              <w:t>t/次</w:t>
            </w:r>
            <w:r>
              <w:rPr>
                <w:rFonts w:hint="default"/>
                <w:color w:val="auto"/>
                <w:sz w:val="21"/>
                <w:szCs w:val="21"/>
                <w:highlight w:val="none"/>
                <w:u w:val="single"/>
                <w:lang w:val="en-US" w:eastAsia="zh-CN"/>
              </w:rPr>
              <w:t xml:space="preserve">  </w:t>
            </w:r>
          </w:p>
        </w:tc>
        <w:tc>
          <w:tcPr>
            <w:tcW w:w="315" w:type="pct"/>
            <w:tcBorders>
              <w:tl2br w:val="nil"/>
              <w:tr2bl w:val="nil"/>
            </w:tcBorders>
            <w:vAlign w:val="center"/>
          </w:tcPr>
          <w:p w14:paraId="74A90951">
            <w:pPr>
              <w:spacing w:line="240" w:lineRule="auto"/>
              <w:ind w:firstLine="0" w:firstLineChars="0"/>
              <w:jc w:val="center"/>
              <w:rPr>
                <w:rFonts w:hint="default"/>
                <w:color w:val="auto"/>
                <w:sz w:val="21"/>
                <w:szCs w:val="21"/>
                <w:highlight w:val="none"/>
                <w:u w:val="single"/>
                <w:lang w:val="en-US" w:eastAsia="zh-CN"/>
              </w:rPr>
            </w:pPr>
            <w:r>
              <w:rPr>
                <w:rFonts w:hint="default"/>
                <w:color w:val="auto"/>
                <w:sz w:val="21"/>
                <w:szCs w:val="21"/>
                <w:highlight w:val="none"/>
                <w:u w:val="single"/>
                <w:lang w:val="en-US" w:eastAsia="zh-CN"/>
              </w:rPr>
              <w:t>0.0002</w:t>
            </w:r>
            <w:r>
              <w:rPr>
                <w:rFonts w:hint="eastAsia"/>
                <w:color w:val="auto"/>
                <w:sz w:val="21"/>
                <w:szCs w:val="21"/>
                <w:highlight w:val="none"/>
                <w:u w:val="single"/>
                <w:lang w:val="en-US" w:eastAsia="zh-CN"/>
              </w:rPr>
              <w:t>t/次</w:t>
            </w:r>
            <w:r>
              <w:rPr>
                <w:rFonts w:hint="default"/>
                <w:color w:val="auto"/>
                <w:sz w:val="21"/>
                <w:szCs w:val="21"/>
                <w:highlight w:val="none"/>
                <w:u w:val="single"/>
                <w:lang w:val="en-US" w:eastAsia="zh-CN"/>
              </w:rPr>
              <w:t xml:space="preserve">  </w:t>
            </w:r>
          </w:p>
        </w:tc>
        <w:tc>
          <w:tcPr>
            <w:tcW w:w="1872" w:type="pct"/>
            <w:vMerge w:val="continue"/>
            <w:tcBorders>
              <w:tl2br w:val="nil"/>
              <w:tr2bl w:val="nil"/>
            </w:tcBorders>
            <w:vAlign w:val="center"/>
          </w:tcPr>
          <w:p w14:paraId="13D76688">
            <w:pPr>
              <w:spacing w:line="240" w:lineRule="auto"/>
              <w:ind w:firstLine="0" w:firstLineChars="0"/>
              <w:jc w:val="center"/>
              <w:rPr>
                <w:color w:val="auto"/>
                <w:sz w:val="21"/>
                <w:szCs w:val="21"/>
                <w:highlight w:val="none"/>
              </w:rPr>
            </w:pPr>
          </w:p>
        </w:tc>
      </w:tr>
    </w:tbl>
    <w:p w14:paraId="4FE5D2CF">
      <w:pPr>
        <w:ind w:firstLine="480"/>
        <w:rPr>
          <w:rFonts w:hint="eastAsia"/>
          <w:color w:val="auto"/>
          <w:sz w:val="21"/>
          <w:szCs w:val="21"/>
          <w:highlight w:val="none"/>
          <w:u w:val="single"/>
          <w:lang w:val="en-US" w:eastAsia="zh-CN"/>
        </w:rPr>
      </w:pPr>
      <w:r>
        <w:rPr>
          <w:rFonts w:hint="eastAsia"/>
          <w:color w:val="auto"/>
          <w:sz w:val="21"/>
          <w:szCs w:val="21"/>
          <w:highlight w:val="none"/>
          <w:u w:val="single"/>
          <w:lang w:eastAsia="zh-CN"/>
        </w:rPr>
        <w:t>注：</w:t>
      </w:r>
      <w:r>
        <w:rPr>
          <w:rFonts w:hint="eastAsia" w:ascii="宋体" w:hAnsi="宋体" w:eastAsia="宋体" w:cs="宋体"/>
          <w:color w:val="auto"/>
          <w:sz w:val="21"/>
          <w:szCs w:val="21"/>
          <w:highlight w:val="none"/>
          <w:u w:val="single"/>
          <w:lang w:eastAsia="zh-CN"/>
        </w:rPr>
        <w:t>①</w:t>
      </w:r>
      <w:r>
        <w:rPr>
          <w:rFonts w:hint="eastAsia"/>
          <w:color w:val="auto"/>
          <w:sz w:val="21"/>
          <w:szCs w:val="21"/>
          <w:highlight w:val="none"/>
          <w:u w:val="single"/>
          <w:lang w:eastAsia="zh-CN"/>
        </w:rPr>
        <w:t>中水回用池内废水大部分回用于厂区绿化及降尘，少部分不能回用的由槽罐车运至大榄坪污水处理厂处理，根据项目实际排放情况，进入大榄坪污水处理厂的污水量按</w:t>
      </w:r>
      <w:r>
        <w:rPr>
          <w:rFonts w:hint="eastAsia"/>
          <w:color w:val="auto"/>
          <w:sz w:val="21"/>
          <w:szCs w:val="21"/>
          <w:highlight w:val="none"/>
          <w:u w:val="single"/>
          <w:lang w:val="en-US" w:eastAsia="zh-CN"/>
        </w:rPr>
        <w:t>10%计；</w:t>
      </w:r>
    </w:p>
    <w:p w14:paraId="17A2DB38">
      <w:pPr>
        <w:ind w:firstLine="840" w:firstLineChars="400"/>
        <w:rPr>
          <w:rFonts w:hint="eastAsia"/>
          <w:color w:val="auto"/>
          <w:sz w:val="21"/>
          <w:szCs w:val="21"/>
          <w:highlight w:val="none"/>
          <w:u w:val="single"/>
          <w:lang w:eastAsia="zh-CN"/>
        </w:rPr>
        <w:sectPr>
          <w:headerReference r:id="rId35" w:type="default"/>
          <w:pgSz w:w="16838" w:h="11906" w:orient="landscape"/>
          <w:pgMar w:top="1418" w:right="1559" w:bottom="1418" w:left="1503" w:header="851" w:footer="964" w:gutter="0"/>
          <w:cols w:space="720" w:num="1"/>
          <w:docGrid w:linePitch="326" w:charSpace="0"/>
        </w:sectPr>
      </w:pPr>
      <w:r>
        <w:rPr>
          <w:rFonts w:hint="eastAsia" w:ascii="宋体" w:hAnsi="宋体" w:eastAsia="宋体" w:cs="宋体"/>
          <w:color w:val="auto"/>
          <w:sz w:val="21"/>
          <w:szCs w:val="21"/>
          <w:highlight w:val="none"/>
          <w:u w:val="single"/>
          <w:lang w:eastAsia="zh-CN"/>
        </w:rPr>
        <w:t>②</w:t>
      </w:r>
      <w:r>
        <w:rPr>
          <w:rFonts w:hint="eastAsia"/>
          <w:color w:val="auto"/>
          <w:sz w:val="21"/>
          <w:szCs w:val="21"/>
          <w:highlight w:val="none"/>
          <w:u w:val="single"/>
          <w:lang w:val="en-US" w:eastAsia="zh-CN"/>
        </w:rPr>
        <w:t>表中废水排放量为进入大榄坪污水处理厂处理的废水量</w:t>
      </w:r>
      <w:r>
        <w:rPr>
          <w:rFonts w:hint="eastAsia"/>
          <w:color w:val="auto"/>
          <w:sz w:val="21"/>
          <w:szCs w:val="21"/>
          <w:highlight w:val="none"/>
          <w:u w:val="single"/>
          <w:lang w:eastAsia="zh-CN"/>
        </w:rPr>
        <w:t>。</w:t>
      </w:r>
    </w:p>
    <w:p w14:paraId="5DC0B2F5">
      <w:pPr>
        <w:pStyle w:val="533"/>
        <w:numPr>
          <w:ilvl w:val="3"/>
          <w:numId w:val="9"/>
        </w:numPr>
        <w:rPr>
          <w:color w:val="auto"/>
          <w:szCs w:val="24"/>
          <w:highlight w:val="none"/>
        </w:rPr>
      </w:pPr>
      <w:r>
        <w:rPr>
          <w:color w:val="auto"/>
          <w:szCs w:val="24"/>
          <w:highlight w:val="none"/>
        </w:rPr>
        <w:t>运营期噪声</w:t>
      </w:r>
    </w:p>
    <w:p w14:paraId="449E4303">
      <w:pPr>
        <w:ind w:firstLine="480"/>
        <w:rPr>
          <w:color w:val="auto"/>
          <w:szCs w:val="20"/>
          <w:highlight w:val="none"/>
        </w:rPr>
      </w:pPr>
      <w:r>
        <w:rPr>
          <w:color w:val="auto"/>
          <w:szCs w:val="20"/>
          <w:highlight w:val="none"/>
        </w:rPr>
        <w:t>本项目产生的噪声主要有除锈打磨噪声，钢板撞击、敲打噪声，场地搬运机械，码头起重机机械噪声，及空压机、水泵、风机等动力设备运行噪声等。项目通过选用低噪声设备、对生产动力设备设于室内或设置隔声房、对动力设备采取减振吸声措施、对重噪声设备采取有效的隔声降噪措施对噪声进行控制。项目主要噪声源具体声级见表2.4-1</w:t>
      </w:r>
      <w:r>
        <w:rPr>
          <w:rFonts w:hint="eastAsia"/>
          <w:color w:val="auto"/>
          <w:szCs w:val="20"/>
          <w:highlight w:val="none"/>
        </w:rPr>
        <w:t>2</w:t>
      </w:r>
      <w:r>
        <w:rPr>
          <w:color w:val="auto"/>
          <w:szCs w:val="20"/>
          <w:highlight w:val="none"/>
        </w:rPr>
        <w:t>。其中船体敲击产生的噪声属于瞬时噪声，但声压级较高。</w:t>
      </w:r>
    </w:p>
    <w:p w14:paraId="067D940C">
      <w:pPr>
        <w:pStyle w:val="38"/>
        <w:spacing w:after="0" w:line="240" w:lineRule="auto"/>
        <w:ind w:firstLine="0" w:firstLineChars="0"/>
        <w:jc w:val="center"/>
        <w:rPr>
          <w:b/>
          <w:color w:val="auto"/>
          <w:sz w:val="21"/>
          <w:szCs w:val="21"/>
          <w:highlight w:val="none"/>
        </w:rPr>
      </w:pPr>
      <w:r>
        <w:rPr>
          <w:b/>
          <w:color w:val="auto"/>
          <w:sz w:val="21"/>
          <w:szCs w:val="21"/>
          <w:highlight w:val="none"/>
        </w:rPr>
        <w:t>表2.4-1</w:t>
      </w:r>
      <w:r>
        <w:rPr>
          <w:rFonts w:hint="eastAsia"/>
          <w:b/>
          <w:color w:val="auto"/>
          <w:sz w:val="21"/>
          <w:szCs w:val="21"/>
          <w:highlight w:val="none"/>
        </w:rPr>
        <w:t>2</w:t>
      </w:r>
      <w:r>
        <w:rPr>
          <w:b/>
          <w:color w:val="auto"/>
          <w:sz w:val="21"/>
          <w:szCs w:val="21"/>
          <w:highlight w:val="none"/>
        </w:rPr>
        <w:t xml:space="preserve"> 主要噪声源噪声声级表        单位：dB</w:t>
      </w:r>
    </w:p>
    <w:tbl>
      <w:tblPr>
        <w:tblStyle w:val="9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03"/>
        <w:gridCol w:w="3279"/>
        <w:gridCol w:w="2001"/>
        <w:gridCol w:w="2003"/>
      </w:tblGrid>
      <w:tr w14:paraId="41698B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8" w:type="pct"/>
            <w:vMerge w:val="restart"/>
            <w:tcBorders>
              <w:tl2br w:val="nil"/>
              <w:tr2bl w:val="nil"/>
            </w:tcBorders>
            <w:vAlign w:val="center"/>
          </w:tcPr>
          <w:p w14:paraId="1AA54E8D">
            <w:pPr>
              <w:spacing w:line="240" w:lineRule="auto"/>
              <w:ind w:firstLine="0" w:firstLineChars="0"/>
              <w:jc w:val="center"/>
              <w:rPr>
                <w:b/>
                <w:bCs/>
                <w:color w:val="auto"/>
                <w:sz w:val="21"/>
                <w:szCs w:val="21"/>
                <w:highlight w:val="none"/>
              </w:rPr>
            </w:pPr>
            <w:r>
              <w:rPr>
                <w:b/>
                <w:bCs/>
                <w:color w:val="auto"/>
                <w:sz w:val="21"/>
                <w:szCs w:val="21"/>
                <w:highlight w:val="none"/>
              </w:rPr>
              <w:t>生产车间</w:t>
            </w:r>
          </w:p>
        </w:tc>
        <w:tc>
          <w:tcPr>
            <w:tcW w:w="1765" w:type="pct"/>
            <w:vMerge w:val="restart"/>
            <w:tcBorders>
              <w:tl2br w:val="nil"/>
              <w:tr2bl w:val="nil"/>
            </w:tcBorders>
            <w:vAlign w:val="center"/>
          </w:tcPr>
          <w:p w14:paraId="52C347EB">
            <w:pPr>
              <w:spacing w:line="240" w:lineRule="auto"/>
              <w:ind w:firstLine="0" w:firstLineChars="0"/>
              <w:jc w:val="center"/>
              <w:rPr>
                <w:b/>
                <w:bCs/>
                <w:color w:val="auto"/>
                <w:sz w:val="21"/>
                <w:szCs w:val="21"/>
                <w:highlight w:val="none"/>
              </w:rPr>
            </w:pPr>
            <w:r>
              <w:rPr>
                <w:b/>
                <w:bCs/>
                <w:color w:val="auto"/>
                <w:sz w:val="21"/>
                <w:szCs w:val="21"/>
                <w:highlight w:val="none"/>
              </w:rPr>
              <w:t>主要噪声设备</w:t>
            </w:r>
          </w:p>
        </w:tc>
        <w:tc>
          <w:tcPr>
            <w:tcW w:w="2155" w:type="pct"/>
            <w:gridSpan w:val="2"/>
            <w:tcBorders>
              <w:tl2br w:val="nil"/>
              <w:tr2bl w:val="nil"/>
            </w:tcBorders>
          </w:tcPr>
          <w:p w14:paraId="28AAF444">
            <w:pPr>
              <w:spacing w:line="240" w:lineRule="auto"/>
              <w:ind w:firstLine="0" w:firstLineChars="0"/>
              <w:jc w:val="center"/>
              <w:rPr>
                <w:b/>
                <w:bCs/>
                <w:color w:val="auto"/>
                <w:sz w:val="21"/>
                <w:szCs w:val="21"/>
                <w:highlight w:val="none"/>
              </w:rPr>
            </w:pPr>
            <w:r>
              <w:rPr>
                <w:b/>
                <w:bCs/>
                <w:color w:val="auto"/>
                <w:sz w:val="21"/>
                <w:szCs w:val="21"/>
                <w:highlight w:val="none"/>
              </w:rPr>
              <w:t>噪声级dB(A)</w:t>
            </w:r>
          </w:p>
        </w:tc>
      </w:tr>
      <w:tr w14:paraId="3C815B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8" w:type="pct"/>
            <w:vMerge w:val="continue"/>
            <w:tcBorders>
              <w:tl2br w:val="nil"/>
              <w:tr2bl w:val="nil"/>
            </w:tcBorders>
          </w:tcPr>
          <w:p w14:paraId="0924182E">
            <w:pPr>
              <w:spacing w:line="240" w:lineRule="auto"/>
              <w:ind w:firstLine="0" w:firstLineChars="0"/>
              <w:jc w:val="center"/>
              <w:rPr>
                <w:b/>
                <w:bCs/>
                <w:color w:val="auto"/>
                <w:sz w:val="21"/>
                <w:szCs w:val="21"/>
                <w:highlight w:val="none"/>
              </w:rPr>
            </w:pPr>
          </w:p>
        </w:tc>
        <w:tc>
          <w:tcPr>
            <w:tcW w:w="1765" w:type="pct"/>
            <w:vMerge w:val="continue"/>
            <w:tcBorders>
              <w:tl2br w:val="nil"/>
              <w:tr2bl w:val="nil"/>
            </w:tcBorders>
          </w:tcPr>
          <w:p w14:paraId="48C049BE">
            <w:pPr>
              <w:spacing w:line="240" w:lineRule="auto"/>
              <w:ind w:firstLine="0" w:firstLineChars="0"/>
              <w:jc w:val="center"/>
              <w:rPr>
                <w:b/>
                <w:bCs/>
                <w:color w:val="auto"/>
                <w:sz w:val="21"/>
                <w:szCs w:val="21"/>
                <w:highlight w:val="none"/>
              </w:rPr>
            </w:pPr>
          </w:p>
        </w:tc>
        <w:tc>
          <w:tcPr>
            <w:tcW w:w="1077" w:type="pct"/>
            <w:tcBorders>
              <w:tl2br w:val="nil"/>
              <w:tr2bl w:val="nil"/>
            </w:tcBorders>
          </w:tcPr>
          <w:p w14:paraId="13D9DE3C">
            <w:pPr>
              <w:spacing w:line="240" w:lineRule="auto"/>
              <w:ind w:firstLine="0" w:firstLineChars="0"/>
              <w:jc w:val="center"/>
              <w:rPr>
                <w:b/>
                <w:bCs/>
                <w:color w:val="auto"/>
                <w:sz w:val="21"/>
                <w:szCs w:val="21"/>
                <w:highlight w:val="none"/>
              </w:rPr>
            </w:pPr>
            <w:r>
              <w:rPr>
                <w:b/>
                <w:bCs/>
                <w:color w:val="auto"/>
                <w:sz w:val="21"/>
                <w:szCs w:val="21"/>
                <w:highlight w:val="none"/>
              </w:rPr>
              <w:t>治理前</w:t>
            </w:r>
          </w:p>
        </w:tc>
        <w:tc>
          <w:tcPr>
            <w:tcW w:w="1078" w:type="pct"/>
            <w:tcBorders>
              <w:tl2br w:val="nil"/>
              <w:tr2bl w:val="nil"/>
            </w:tcBorders>
          </w:tcPr>
          <w:p w14:paraId="282F5FF7">
            <w:pPr>
              <w:spacing w:line="240" w:lineRule="auto"/>
              <w:ind w:firstLine="0" w:firstLineChars="0"/>
              <w:jc w:val="center"/>
              <w:rPr>
                <w:b/>
                <w:bCs/>
                <w:color w:val="auto"/>
                <w:sz w:val="21"/>
                <w:szCs w:val="21"/>
                <w:highlight w:val="none"/>
              </w:rPr>
            </w:pPr>
            <w:r>
              <w:rPr>
                <w:b/>
                <w:bCs/>
                <w:color w:val="auto"/>
                <w:sz w:val="21"/>
                <w:szCs w:val="21"/>
                <w:highlight w:val="none"/>
              </w:rPr>
              <w:t>治理后</w:t>
            </w:r>
          </w:p>
        </w:tc>
      </w:tr>
      <w:tr w14:paraId="74207F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8" w:type="pct"/>
            <w:vMerge w:val="restart"/>
            <w:tcBorders>
              <w:tl2br w:val="nil"/>
              <w:tr2bl w:val="nil"/>
            </w:tcBorders>
            <w:vAlign w:val="center"/>
          </w:tcPr>
          <w:p w14:paraId="4990BC27">
            <w:pPr>
              <w:spacing w:line="240" w:lineRule="auto"/>
              <w:ind w:firstLine="0" w:firstLineChars="0"/>
              <w:jc w:val="center"/>
              <w:rPr>
                <w:color w:val="auto"/>
                <w:sz w:val="21"/>
                <w:szCs w:val="21"/>
                <w:highlight w:val="none"/>
              </w:rPr>
            </w:pPr>
            <w:r>
              <w:rPr>
                <w:color w:val="auto"/>
                <w:sz w:val="21"/>
                <w:szCs w:val="21"/>
                <w:highlight w:val="none"/>
              </w:rPr>
              <w:t>浮船坞</w:t>
            </w:r>
          </w:p>
        </w:tc>
        <w:tc>
          <w:tcPr>
            <w:tcW w:w="1765" w:type="pct"/>
            <w:tcBorders>
              <w:tl2br w:val="nil"/>
              <w:tr2bl w:val="nil"/>
            </w:tcBorders>
            <w:vAlign w:val="center"/>
          </w:tcPr>
          <w:p w14:paraId="508EF77D">
            <w:pPr>
              <w:spacing w:line="240" w:lineRule="auto"/>
              <w:ind w:firstLine="0" w:firstLineChars="0"/>
              <w:jc w:val="center"/>
              <w:rPr>
                <w:color w:val="auto"/>
                <w:sz w:val="21"/>
                <w:szCs w:val="21"/>
                <w:highlight w:val="none"/>
              </w:rPr>
            </w:pPr>
            <w:r>
              <w:rPr>
                <w:color w:val="auto"/>
                <w:sz w:val="21"/>
                <w:szCs w:val="21"/>
                <w:highlight w:val="none"/>
              </w:rPr>
              <w:t>钢板撞击敲打</w:t>
            </w:r>
          </w:p>
        </w:tc>
        <w:tc>
          <w:tcPr>
            <w:tcW w:w="1077" w:type="pct"/>
            <w:tcBorders>
              <w:tl2br w:val="nil"/>
              <w:tr2bl w:val="nil"/>
            </w:tcBorders>
            <w:vAlign w:val="center"/>
          </w:tcPr>
          <w:p w14:paraId="17B94FA7">
            <w:pPr>
              <w:spacing w:line="240" w:lineRule="auto"/>
              <w:ind w:firstLine="0" w:firstLineChars="0"/>
              <w:jc w:val="center"/>
              <w:rPr>
                <w:color w:val="auto"/>
                <w:sz w:val="21"/>
                <w:szCs w:val="21"/>
                <w:highlight w:val="none"/>
              </w:rPr>
            </w:pPr>
            <w:r>
              <w:rPr>
                <w:color w:val="auto"/>
                <w:sz w:val="21"/>
                <w:szCs w:val="21"/>
                <w:highlight w:val="none"/>
              </w:rPr>
              <w:t>95~110</w:t>
            </w:r>
          </w:p>
        </w:tc>
        <w:tc>
          <w:tcPr>
            <w:tcW w:w="1078" w:type="pct"/>
            <w:tcBorders>
              <w:tl2br w:val="nil"/>
              <w:tr2bl w:val="nil"/>
            </w:tcBorders>
            <w:vAlign w:val="center"/>
          </w:tcPr>
          <w:p w14:paraId="3B3179F5">
            <w:pPr>
              <w:spacing w:line="240" w:lineRule="auto"/>
              <w:ind w:firstLine="0" w:firstLineChars="0"/>
              <w:jc w:val="center"/>
              <w:rPr>
                <w:color w:val="auto"/>
                <w:sz w:val="21"/>
                <w:szCs w:val="21"/>
                <w:highlight w:val="none"/>
              </w:rPr>
            </w:pPr>
            <w:r>
              <w:rPr>
                <w:color w:val="auto"/>
                <w:sz w:val="21"/>
                <w:szCs w:val="21"/>
                <w:highlight w:val="none"/>
              </w:rPr>
              <w:t>95~110</w:t>
            </w:r>
          </w:p>
        </w:tc>
      </w:tr>
      <w:tr w14:paraId="036A26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8" w:type="pct"/>
            <w:vMerge w:val="continue"/>
            <w:tcBorders>
              <w:tl2br w:val="nil"/>
              <w:tr2bl w:val="nil"/>
            </w:tcBorders>
            <w:vAlign w:val="center"/>
          </w:tcPr>
          <w:p w14:paraId="1DDB4B3B">
            <w:pPr>
              <w:spacing w:line="240" w:lineRule="auto"/>
              <w:ind w:firstLine="0" w:firstLineChars="0"/>
              <w:jc w:val="center"/>
              <w:rPr>
                <w:color w:val="auto"/>
                <w:sz w:val="21"/>
                <w:szCs w:val="21"/>
                <w:highlight w:val="none"/>
              </w:rPr>
            </w:pPr>
          </w:p>
        </w:tc>
        <w:tc>
          <w:tcPr>
            <w:tcW w:w="1765" w:type="pct"/>
            <w:tcBorders>
              <w:tl2br w:val="nil"/>
              <w:tr2bl w:val="nil"/>
            </w:tcBorders>
            <w:vAlign w:val="center"/>
          </w:tcPr>
          <w:p w14:paraId="00E1D800">
            <w:pPr>
              <w:spacing w:line="240" w:lineRule="auto"/>
              <w:ind w:firstLine="0" w:firstLineChars="0"/>
              <w:jc w:val="center"/>
              <w:rPr>
                <w:color w:val="auto"/>
                <w:sz w:val="21"/>
                <w:szCs w:val="21"/>
                <w:highlight w:val="none"/>
              </w:rPr>
            </w:pPr>
            <w:r>
              <w:rPr>
                <w:color w:val="auto"/>
                <w:sz w:val="21"/>
                <w:szCs w:val="21"/>
                <w:highlight w:val="none"/>
              </w:rPr>
              <w:t>打磨、喷砂机</w:t>
            </w:r>
          </w:p>
        </w:tc>
        <w:tc>
          <w:tcPr>
            <w:tcW w:w="1077" w:type="pct"/>
            <w:tcBorders>
              <w:tl2br w:val="nil"/>
              <w:tr2bl w:val="nil"/>
            </w:tcBorders>
            <w:vAlign w:val="center"/>
          </w:tcPr>
          <w:p w14:paraId="73282900">
            <w:pPr>
              <w:spacing w:line="240" w:lineRule="auto"/>
              <w:ind w:firstLine="0" w:firstLineChars="0"/>
              <w:jc w:val="center"/>
              <w:rPr>
                <w:color w:val="auto"/>
                <w:sz w:val="21"/>
                <w:szCs w:val="21"/>
                <w:highlight w:val="none"/>
              </w:rPr>
            </w:pPr>
            <w:r>
              <w:rPr>
                <w:color w:val="auto"/>
                <w:sz w:val="21"/>
                <w:szCs w:val="21"/>
                <w:highlight w:val="none"/>
              </w:rPr>
              <w:t>90~100</w:t>
            </w:r>
          </w:p>
        </w:tc>
        <w:tc>
          <w:tcPr>
            <w:tcW w:w="1078" w:type="pct"/>
            <w:tcBorders>
              <w:tl2br w:val="nil"/>
              <w:tr2bl w:val="nil"/>
            </w:tcBorders>
            <w:vAlign w:val="center"/>
          </w:tcPr>
          <w:p w14:paraId="66B9DD42">
            <w:pPr>
              <w:spacing w:line="240" w:lineRule="auto"/>
              <w:ind w:firstLine="0" w:firstLineChars="0"/>
              <w:jc w:val="center"/>
              <w:rPr>
                <w:color w:val="auto"/>
                <w:sz w:val="21"/>
                <w:szCs w:val="21"/>
                <w:highlight w:val="none"/>
              </w:rPr>
            </w:pPr>
            <w:r>
              <w:rPr>
                <w:color w:val="auto"/>
                <w:sz w:val="21"/>
                <w:szCs w:val="21"/>
                <w:highlight w:val="none"/>
              </w:rPr>
              <w:t>90~100</w:t>
            </w:r>
          </w:p>
        </w:tc>
      </w:tr>
      <w:tr w14:paraId="218B9C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8" w:type="pct"/>
            <w:vMerge w:val="continue"/>
            <w:tcBorders>
              <w:tl2br w:val="nil"/>
              <w:tr2bl w:val="nil"/>
            </w:tcBorders>
            <w:vAlign w:val="center"/>
          </w:tcPr>
          <w:p w14:paraId="1A629A40">
            <w:pPr>
              <w:spacing w:line="240" w:lineRule="auto"/>
              <w:ind w:firstLine="0" w:firstLineChars="0"/>
              <w:jc w:val="center"/>
              <w:rPr>
                <w:color w:val="auto"/>
                <w:sz w:val="21"/>
                <w:szCs w:val="21"/>
                <w:highlight w:val="none"/>
              </w:rPr>
            </w:pPr>
          </w:p>
        </w:tc>
        <w:tc>
          <w:tcPr>
            <w:tcW w:w="1765" w:type="pct"/>
            <w:tcBorders>
              <w:tl2br w:val="nil"/>
              <w:tr2bl w:val="nil"/>
            </w:tcBorders>
            <w:vAlign w:val="center"/>
          </w:tcPr>
          <w:p w14:paraId="53C43D2D">
            <w:pPr>
              <w:spacing w:line="240" w:lineRule="auto"/>
              <w:ind w:firstLine="0" w:firstLineChars="0"/>
              <w:jc w:val="center"/>
              <w:rPr>
                <w:color w:val="auto"/>
                <w:sz w:val="21"/>
                <w:szCs w:val="21"/>
                <w:highlight w:val="none"/>
              </w:rPr>
            </w:pPr>
            <w:r>
              <w:rPr>
                <w:color w:val="auto"/>
                <w:sz w:val="21"/>
                <w:szCs w:val="21"/>
                <w:highlight w:val="none"/>
              </w:rPr>
              <w:t>电焊机</w:t>
            </w:r>
          </w:p>
        </w:tc>
        <w:tc>
          <w:tcPr>
            <w:tcW w:w="1077" w:type="pct"/>
            <w:tcBorders>
              <w:tl2br w:val="nil"/>
              <w:tr2bl w:val="nil"/>
            </w:tcBorders>
            <w:vAlign w:val="center"/>
          </w:tcPr>
          <w:p w14:paraId="2A6BBC78">
            <w:pPr>
              <w:spacing w:line="240" w:lineRule="auto"/>
              <w:ind w:firstLine="0" w:firstLineChars="0"/>
              <w:jc w:val="center"/>
              <w:rPr>
                <w:color w:val="auto"/>
                <w:sz w:val="21"/>
                <w:szCs w:val="21"/>
                <w:highlight w:val="none"/>
              </w:rPr>
            </w:pPr>
            <w:r>
              <w:rPr>
                <w:color w:val="auto"/>
                <w:sz w:val="21"/>
                <w:szCs w:val="21"/>
                <w:highlight w:val="none"/>
              </w:rPr>
              <w:t>75~85</w:t>
            </w:r>
          </w:p>
        </w:tc>
        <w:tc>
          <w:tcPr>
            <w:tcW w:w="1078" w:type="pct"/>
            <w:tcBorders>
              <w:tl2br w:val="nil"/>
              <w:tr2bl w:val="nil"/>
            </w:tcBorders>
            <w:vAlign w:val="center"/>
          </w:tcPr>
          <w:p w14:paraId="022A0843">
            <w:pPr>
              <w:spacing w:line="240" w:lineRule="auto"/>
              <w:ind w:firstLine="0" w:firstLineChars="0"/>
              <w:jc w:val="center"/>
              <w:rPr>
                <w:color w:val="auto"/>
                <w:sz w:val="21"/>
                <w:szCs w:val="21"/>
                <w:highlight w:val="none"/>
              </w:rPr>
            </w:pPr>
            <w:r>
              <w:rPr>
                <w:color w:val="auto"/>
                <w:sz w:val="21"/>
                <w:szCs w:val="21"/>
                <w:highlight w:val="none"/>
              </w:rPr>
              <w:t>75~85</w:t>
            </w:r>
          </w:p>
        </w:tc>
      </w:tr>
      <w:tr w14:paraId="590D76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8" w:type="pct"/>
            <w:vMerge w:val="continue"/>
            <w:tcBorders>
              <w:tl2br w:val="nil"/>
              <w:tr2bl w:val="nil"/>
            </w:tcBorders>
            <w:vAlign w:val="center"/>
          </w:tcPr>
          <w:p w14:paraId="03FDC4C5">
            <w:pPr>
              <w:spacing w:line="240" w:lineRule="auto"/>
              <w:ind w:firstLine="0" w:firstLineChars="0"/>
              <w:jc w:val="center"/>
              <w:rPr>
                <w:color w:val="auto"/>
                <w:sz w:val="21"/>
                <w:szCs w:val="21"/>
                <w:highlight w:val="none"/>
              </w:rPr>
            </w:pPr>
          </w:p>
        </w:tc>
        <w:tc>
          <w:tcPr>
            <w:tcW w:w="1765" w:type="pct"/>
            <w:tcBorders>
              <w:tl2br w:val="nil"/>
              <w:tr2bl w:val="nil"/>
            </w:tcBorders>
            <w:vAlign w:val="center"/>
          </w:tcPr>
          <w:p w14:paraId="39726DA4">
            <w:pPr>
              <w:spacing w:line="240" w:lineRule="auto"/>
              <w:ind w:firstLine="0" w:firstLineChars="0"/>
              <w:jc w:val="center"/>
              <w:rPr>
                <w:color w:val="auto"/>
                <w:sz w:val="21"/>
                <w:szCs w:val="21"/>
                <w:highlight w:val="none"/>
              </w:rPr>
            </w:pPr>
            <w:r>
              <w:rPr>
                <w:color w:val="auto"/>
                <w:sz w:val="21"/>
                <w:szCs w:val="21"/>
                <w:highlight w:val="none"/>
              </w:rPr>
              <w:t>起重机</w:t>
            </w:r>
          </w:p>
        </w:tc>
        <w:tc>
          <w:tcPr>
            <w:tcW w:w="1077" w:type="pct"/>
            <w:tcBorders>
              <w:tl2br w:val="nil"/>
              <w:tr2bl w:val="nil"/>
            </w:tcBorders>
            <w:vAlign w:val="center"/>
          </w:tcPr>
          <w:p w14:paraId="75E50FA1">
            <w:pPr>
              <w:spacing w:line="240" w:lineRule="auto"/>
              <w:ind w:firstLine="0" w:firstLineChars="0"/>
              <w:jc w:val="center"/>
              <w:rPr>
                <w:color w:val="auto"/>
                <w:sz w:val="21"/>
                <w:szCs w:val="21"/>
                <w:highlight w:val="none"/>
              </w:rPr>
            </w:pPr>
            <w:r>
              <w:rPr>
                <w:color w:val="auto"/>
                <w:sz w:val="21"/>
                <w:szCs w:val="21"/>
                <w:highlight w:val="none"/>
              </w:rPr>
              <w:t>85</w:t>
            </w:r>
          </w:p>
        </w:tc>
        <w:tc>
          <w:tcPr>
            <w:tcW w:w="1078" w:type="pct"/>
            <w:tcBorders>
              <w:tl2br w:val="nil"/>
              <w:tr2bl w:val="nil"/>
            </w:tcBorders>
            <w:vAlign w:val="center"/>
          </w:tcPr>
          <w:p w14:paraId="6F9598A2">
            <w:pPr>
              <w:spacing w:line="240" w:lineRule="auto"/>
              <w:ind w:firstLine="0" w:firstLineChars="0"/>
              <w:jc w:val="center"/>
              <w:rPr>
                <w:color w:val="auto"/>
                <w:sz w:val="21"/>
                <w:szCs w:val="21"/>
                <w:highlight w:val="none"/>
              </w:rPr>
            </w:pPr>
            <w:r>
              <w:rPr>
                <w:color w:val="auto"/>
                <w:sz w:val="21"/>
                <w:szCs w:val="21"/>
                <w:highlight w:val="none"/>
              </w:rPr>
              <w:t>85</w:t>
            </w:r>
          </w:p>
        </w:tc>
      </w:tr>
      <w:tr w14:paraId="6AC3E9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8" w:type="pct"/>
            <w:vMerge w:val="continue"/>
            <w:tcBorders>
              <w:tl2br w:val="nil"/>
              <w:tr2bl w:val="nil"/>
            </w:tcBorders>
            <w:vAlign w:val="center"/>
          </w:tcPr>
          <w:p w14:paraId="74885C93">
            <w:pPr>
              <w:spacing w:line="240" w:lineRule="auto"/>
              <w:ind w:firstLine="0" w:firstLineChars="0"/>
              <w:jc w:val="center"/>
              <w:rPr>
                <w:color w:val="auto"/>
                <w:sz w:val="21"/>
                <w:szCs w:val="21"/>
                <w:highlight w:val="none"/>
              </w:rPr>
            </w:pPr>
          </w:p>
        </w:tc>
        <w:tc>
          <w:tcPr>
            <w:tcW w:w="1765" w:type="pct"/>
            <w:tcBorders>
              <w:tl2br w:val="nil"/>
              <w:tr2bl w:val="nil"/>
            </w:tcBorders>
            <w:vAlign w:val="center"/>
          </w:tcPr>
          <w:p w14:paraId="2E545D34">
            <w:pPr>
              <w:spacing w:line="240" w:lineRule="auto"/>
              <w:ind w:firstLine="0" w:firstLineChars="0"/>
              <w:jc w:val="center"/>
              <w:rPr>
                <w:color w:val="auto"/>
                <w:sz w:val="21"/>
                <w:szCs w:val="21"/>
                <w:highlight w:val="none"/>
              </w:rPr>
            </w:pPr>
            <w:r>
              <w:rPr>
                <w:color w:val="auto"/>
                <w:sz w:val="21"/>
                <w:szCs w:val="21"/>
                <w:highlight w:val="none"/>
              </w:rPr>
              <w:t>各类水泵</w:t>
            </w:r>
          </w:p>
        </w:tc>
        <w:tc>
          <w:tcPr>
            <w:tcW w:w="1077" w:type="pct"/>
            <w:tcBorders>
              <w:tl2br w:val="nil"/>
              <w:tr2bl w:val="nil"/>
            </w:tcBorders>
            <w:vAlign w:val="center"/>
          </w:tcPr>
          <w:p w14:paraId="758859A5">
            <w:pPr>
              <w:spacing w:line="240" w:lineRule="auto"/>
              <w:ind w:firstLine="0" w:firstLineChars="0"/>
              <w:jc w:val="center"/>
              <w:rPr>
                <w:color w:val="auto"/>
                <w:sz w:val="21"/>
                <w:szCs w:val="21"/>
                <w:highlight w:val="none"/>
              </w:rPr>
            </w:pPr>
            <w:r>
              <w:rPr>
                <w:color w:val="auto"/>
                <w:sz w:val="21"/>
                <w:szCs w:val="21"/>
                <w:highlight w:val="none"/>
              </w:rPr>
              <w:t>90~100</w:t>
            </w:r>
          </w:p>
        </w:tc>
        <w:tc>
          <w:tcPr>
            <w:tcW w:w="1078" w:type="pct"/>
            <w:tcBorders>
              <w:tl2br w:val="nil"/>
              <w:tr2bl w:val="nil"/>
            </w:tcBorders>
            <w:vAlign w:val="center"/>
          </w:tcPr>
          <w:p w14:paraId="0AE41345">
            <w:pPr>
              <w:spacing w:line="240" w:lineRule="auto"/>
              <w:ind w:firstLine="0" w:firstLineChars="0"/>
              <w:jc w:val="center"/>
              <w:rPr>
                <w:color w:val="auto"/>
                <w:sz w:val="21"/>
                <w:szCs w:val="21"/>
                <w:highlight w:val="none"/>
              </w:rPr>
            </w:pPr>
            <w:r>
              <w:rPr>
                <w:color w:val="auto"/>
                <w:sz w:val="21"/>
                <w:szCs w:val="21"/>
                <w:highlight w:val="none"/>
              </w:rPr>
              <w:t>75</w:t>
            </w:r>
          </w:p>
        </w:tc>
      </w:tr>
      <w:tr w14:paraId="5327E2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8" w:type="pct"/>
            <w:tcBorders>
              <w:tl2br w:val="nil"/>
              <w:tr2bl w:val="nil"/>
            </w:tcBorders>
            <w:vAlign w:val="center"/>
          </w:tcPr>
          <w:p w14:paraId="78D441A6">
            <w:pPr>
              <w:spacing w:line="240" w:lineRule="auto"/>
              <w:ind w:firstLine="0" w:firstLineChars="0"/>
              <w:jc w:val="center"/>
              <w:rPr>
                <w:color w:val="auto"/>
                <w:sz w:val="21"/>
                <w:szCs w:val="21"/>
                <w:highlight w:val="none"/>
                <w:u w:val="single"/>
              </w:rPr>
            </w:pPr>
            <w:r>
              <w:rPr>
                <w:color w:val="auto"/>
                <w:sz w:val="21"/>
                <w:szCs w:val="21"/>
                <w:highlight w:val="none"/>
                <w:u w:val="single"/>
              </w:rPr>
              <w:t>5#码头</w:t>
            </w:r>
          </w:p>
        </w:tc>
        <w:tc>
          <w:tcPr>
            <w:tcW w:w="1765" w:type="pct"/>
            <w:tcBorders>
              <w:tl2br w:val="nil"/>
              <w:tr2bl w:val="nil"/>
            </w:tcBorders>
            <w:vAlign w:val="center"/>
          </w:tcPr>
          <w:p w14:paraId="01E77E43">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6070</w:t>
            </w:r>
            <w:r>
              <w:rPr>
                <w:color w:val="auto"/>
                <w:sz w:val="21"/>
                <w:szCs w:val="21"/>
                <w:highlight w:val="none"/>
                <w:u w:val="single"/>
              </w:rPr>
              <w:t>门座机</w:t>
            </w:r>
          </w:p>
        </w:tc>
        <w:tc>
          <w:tcPr>
            <w:tcW w:w="1077" w:type="pct"/>
            <w:tcBorders>
              <w:tl2br w:val="nil"/>
              <w:tr2bl w:val="nil"/>
            </w:tcBorders>
            <w:vAlign w:val="center"/>
          </w:tcPr>
          <w:p w14:paraId="28E374AF">
            <w:pPr>
              <w:spacing w:line="240" w:lineRule="auto"/>
              <w:ind w:firstLine="0" w:firstLineChars="0"/>
              <w:jc w:val="center"/>
              <w:rPr>
                <w:color w:val="auto"/>
                <w:sz w:val="21"/>
                <w:szCs w:val="21"/>
                <w:highlight w:val="none"/>
                <w:u w:val="single"/>
              </w:rPr>
            </w:pPr>
            <w:r>
              <w:rPr>
                <w:color w:val="auto"/>
                <w:sz w:val="21"/>
                <w:szCs w:val="21"/>
                <w:highlight w:val="none"/>
                <w:u w:val="single"/>
              </w:rPr>
              <w:t>88~105</w:t>
            </w:r>
          </w:p>
        </w:tc>
        <w:tc>
          <w:tcPr>
            <w:tcW w:w="1078" w:type="pct"/>
            <w:tcBorders>
              <w:tl2br w:val="nil"/>
              <w:tr2bl w:val="nil"/>
            </w:tcBorders>
            <w:vAlign w:val="center"/>
          </w:tcPr>
          <w:p w14:paraId="390014B9">
            <w:pPr>
              <w:spacing w:line="240" w:lineRule="auto"/>
              <w:ind w:firstLine="0" w:firstLineChars="0"/>
              <w:jc w:val="center"/>
              <w:rPr>
                <w:color w:val="auto"/>
                <w:sz w:val="21"/>
                <w:szCs w:val="21"/>
                <w:highlight w:val="none"/>
                <w:u w:val="single"/>
              </w:rPr>
            </w:pPr>
            <w:r>
              <w:rPr>
                <w:color w:val="auto"/>
                <w:sz w:val="21"/>
                <w:szCs w:val="21"/>
                <w:highlight w:val="none"/>
                <w:u w:val="single"/>
              </w:rPr>
              <w:t>80~90</w:t>
            </w:r>
          </w:p>
        </w:tc>
      </w:tr>
    </w:tbl>
    <w:p w14:paraId="3C184605">
      <w:pPr>
        <w:ind w:firstLine="480"/>
        <w:rPr>
          <w:color w:val="auto"/>
          <w:highlight w:val="none"/>
        </w:rPr>
      </w:pPr>
    </w:p>
    <w:p w14:paraId="0A430F3A">
      <w:pPr>
        <w:pStyle w:val="533"/>
        <w:numPr>
          <w:ilvl w:val="3"/>
          <w:numId w:val="9"/>
        </w:numPr>
        <w:rPr>
          <w:color w:val="auto"/>
          <w:szCs w:val="24"/>
          <w:highlight w:val="none"/>
        </w:rPr>
      </w:pPr>
      <w:r>
        <w:rPr>
          <w:color w:val="auto"/>
          <w:szCs w:val="24"/>
          <w:highlight w:val="none"/>
        </w:rPr>
        <w:t>运营期固体废物</w:t>
      </w:r>
    </w:p>
    <w:p w14:paraId="49ABDCA4">
      <w:pPr>
        <w:ind w:firstLine="480"/>
        <w:rPr>
          <w:bCs/>
          <w:color w:val="auto"/>
          <w:szCs w:val="20"/>
          <w:highlight w:val="none"/>
        </w:rPr>
      </w:pPr>
      <w:r>
        <w:rPr>
          <w:bCs/>
          <w:color w:val="auto"/>
          <w:szCs w:val="20"/>
          <w:highlight w:val="none"/>
        </w:rPr>
        <w:t>项目产生固体废物的主要为一般固体废物、危险废物和生活垃圾。</w:t>
      </w:r>
    </w:p>
    <w:p w14:paraId="613C5EBC">
      <w:pPr>
        <w:ind w:firstLine="480"/>
        <w:rPr>
          <w:bCs/>
          <w:color w:val="auto"/>
          <w:szCs w:val="20"/>
          <w:highlight w:val="none"/>
        </w:rPr>
      </w:pPr>
      <w:r>
        <w:rPr>
          <w:bCs/>
          <w:color w:val="auto"/>
          <w:szCs w:val="20"/>
          <w:highlight w:val="none"/>
        </w:rPr>
        <w:t>一般固体废物包括废焊料、焊渣、</w:t>
      </w:r>
      <w:r>
        <w:rPr>
          <w:rFonts w:hint="eastAsia"/>
          <w:bCs/>
          <w:color w:val="auto"/>
          <w:szCs w:val="20"/>
          <w:highlight w:val="none"/>
          <w:u w:val="single"/>
        </w:rPr>
        <w:t>切割废料、</w:t>
      </w:r>
      <w:r>
        <w:rPr>
          <w:bCs/>
          <w:color w:val="auto"/>
          <w:szCs w:val="20"/>
          <w:highlight w:val="none"/>
        </w:rPr>
        <w:t>废铜矿砂及铁锈</w:t>
      </w:r>
      <w:r>
        <w:rPr>
          <w:rFonts w:hint="eastAsia"/>
          <w:bCs/>
          <w:color w:val="auto"/>
          <w:szCs w:val="20"/>
          <w:highlight w:val="none"/>
        </w:rPr>
        <w:t>、</w:t>
      </w:r>
      <w:r>
        <w:rPr>
          <w:rFonts w:hint="eastAsia"/>
          <w:bCs/>
          <w:color w:val="auto"/>
          <w:szCs w:val="20"/>
          <w:highlight w:val="none"/>
          <w:u w:val="single"/>
        </w:rPr>
        <w:t>初期雨水沉渣</w:t>
      </w:r>
      <w:r>
        <w:rPr>
          <w:bCs/>
          <w:color w:val="auto"/>
          <w:szCs w:val="20"/>
          <w:highlight w:val="none"/>
        </w:rPr>
        <w:t>等，收集到一般固废暂存间暂存，能回收的回收利用，不能回收利用的由中标公司（最近一次委托处理单位为钦州市鼎鑫再生资源回收利用有限公司）外运处理；危险废物包括船舶废油、</w:t>
      </w:r>
      <w:r>
        <w:rPr>
          <w:rFonts w:hint="eastAsia"/>
          <w:bCs/>
          <w:color w:val="auto"/>
          <w:szCs w:val="20"/>
          <w:highlight w:val="none"/>
        </w:rPr>
        <w:t>漆渣、</w:t>
      </w:r>
      <w:r>
        <w:rPr>
          <w:bCs/>
          <w:color w:val="auto"/>
          <w:szCs w:val="20"/>
          <w:highlight w:val="none"/>
          <w:u w:val="single"/>
        </w:rPr>
        <w:t>废油漆桶</w:t>
      </w:r>
      <w:r>
        <w:rPr>
          <w:rFonts w:hint="eastAsia"/>
          <w:bCs/>
          <w:color w:val="auto"/>
          <w:szCs w:val="20"/>
          <w:highlight w:val="none"/>
          <w:u w:val="single"/>
        </w:rPr>
        <w:t>及</w:t>
      </w:r>
      <w:bookmarkStart w:id="117" w:name="OLE_LINK10"/>
      <w:r>
        <w:rPr>
          <w:rFonts w:hint="eastAsia"/>
          <w:bCs/>
          <w:color w:val="auto"/>
          <w:szCs w:val="20"/>
          <w:highlight w:val="none"/>
          <w:u w:val="single"/>
        </w:rPr>
        <w:t>稀释剂包装物</w:t>
      </w:r>
      <w:bookmarkEnd w:id="117"/>
      <w:r>
        <w:rPr>
          <w:bCs/>
          <w:color w:val="auto"/>
          <w:szCs w:val="20"/>
          <w:highlight w:val="none"/>
        </w:rPr>
        <w:t>、</w:t>
      </w:r>
      <w:r>
        <w:rPr>
          <w:rFonts w:hint="eastAsia"/>
          <w:bCs/>
          <w:color w:val="auto"/>
          <w:szCs w:val="20"/>
          <w:highlight w:val="none"/>
          <w:u w:val="single"/>
        </w:rPr>
        <w:t>废乳化液、</w:t>
      </w:r>
      <w:r>
        <w:rPr>
          <w:bCs/>
          <w:color w:val="auto"/>
          <w:szCs w:val="20"/>
          <w:highlight w:val="none"/>
        </w:rPr>
        <w:t>废油污泥等，在危废间分类暂存，定期由中标单位（最近一次委托处理单位为广西深投环保科技有限公司</w:t>
      </w:r>
      <w:r>
        <w:rPr>
          <w:rFonts w:hint="eastAsia"/>
          <w:bCs/>
          <w:color w:val="auto"/>
          <w:szCs w:val="20"/>
          <w:highlight w:val="none"/>
          <w:lang w:eastAsia="zh-CN"/>
        </w:rPr>
        <w:t>，目前正在签订新的委托合同</w:t>
      </w:r>
      <w:r>
        <w:rPr>
          <w:bCs/>
          <w:color w:val="auto"/>
          <w:szCs w:val="20"/>
          <w:highlight w:val="none"/>
        </w:rPr>
        <w:t>）外运处理；职工生活垃圾收集后由市政环卫部门统一收集处理。</w:t>
      </w:r>
    </w:p>
    <w:p w14:paraId="640B465C">
      <w:pPr>
        <w:ind w:firstLine="482"/>
        <w:rPr>
          <w:b/>
          <w:color w:val="auto"/>
          <w:szCs w:val="20"/>
          <w:highlight w:val="none"/>
        </w:rPr>
      </w:pPr>
      <w:r>
        <w:rPr>
          <w:b/>
          <w:color w:val="auto"/>
          <w:szCs w:val="20"/>
          <w:highlight w:val="none"/>
        </w:rPr>
        <w:t>（2）一般固体废物</w:t>
      </w:r>
    </w:p>
    <w:p w14:paraId="1F971F20">
      <w:pPr>
        <w:ind w:firstLine="480"/>
        <w:rPr>
          <w:color w:val="auto"/>
          <w:szCs w:val="20"/>
          <w:highlight w:val="none"/>
        </w:rPr>
      </w:pPr>
      <w:r>
        <w:rPr>
          <w:color w:val="auto"/>
          <w:szCs w:val="20"/>
          <w:highlight w:val="none"/>
        </w:rPr>
        <w:t>①废焊料、焊渣（S1）</w:t>
      </w:r>
    </w:p>
    <w:p w14:paraId="0391D117">
      <w:pPr>
        <w:ind w:firstLine="480"/>
        <w:rPr>
          <w:color w:val="auto"/>
          <w:szCs w:val="20"/>
          <w:highlight w:val="none"/>
        </w:rPr>
      </w:pPr>
      <w:r>
        <w:rPr>
          <w:color w:val="auto"/>
          <w:szCs w:val="20"/>
          <w:highlight w:val="none"/>
        </w:rPr>
        <w:t>本项目（坞修）全年焊条、焊丝等焊料用量约30吨，按5%的废弃量计算，则废焊料产生量约为1.5t/a；其中钢板焊接产生的焊渣，约占焊料用量的5%左右，产生量约为1.5t/a。则本项目产生废焊料、焊渣共约3t/a。</w:t>
      </w:r>
    </w:p>
    <w:p w14:paraId="0C0F1741">
      <w:pPr>
        <w:ind w:firstLine="480"/>
        <w:rPr>
          <w:color w:val="auto"/>
          <w:szCs w:val="20"/>
          <w:highlight w:val="none"/>
        </w:rPr>
      </w:pPr>
      <w:r>
        <w:rPr>
          <w:color w:val="auto"/>
          <w:szCs w:val="20"/>
          <w:highlight w:val="none"/>
        </w:rPr>
        <w:t>②废铜矿砂及铁锈（S2）</w:t>
      </w:r>
    </w:p>
    <w:p w14:paraId="39FBDF6C">
      <w:pPr>
        <w:ind w:firstLine="480"/>
        <w:rPr>
          <w:color w:val="auto"/>
          <w:szCs w:val="20"/>
          <w:highlight w:val="none"/>
        </w:rPr>
      </w:pPr>
      <w:r>
        <w:rPr>
          <w:color w:val="auto"/>
          <w:szCs w:val="20"/>
          <w:highlight w:val="none"/>
        </w:rPr>
        <w:t>本项目修船过程全年铜矿砂使用量约为3600t/a，经真空吸砂机回收，预计全年废弃铜砂料约为3596.4t。废弃的铜矿砂中主要混杂着铁锈等物质，不属于危险固废。</w:t>
      </w:r>
    </w:p>
    <w:p w14:paraId="0EB6FEAA">
      <w:pPr>
        <w:ind w:firstLine="480"/>
        <w:rPr>
          <w:color w:val="auto"/>
          <w:szCs w:val="20"/>
          <w:highlight w:val="none"/>
        </w:rPr>
      </w:pPr>
      <w:r>
        <w:rPr>
          <w:color w:val="auto"/>
          <w:szCs w:val="20"/>
          <w:highlight w:val="none"/>
        </w:rPr>
        <w:t>③船坞沉降物（S3）</w:t>
      </w:r>
    </w:p>
    <w:p w14:paraId="1D547DBA">
      <w:pPr>
        <w:ind w:firstLine="480"/>
        <w:rPr>
          <w:color w:val="auto"/>
          <w:szCs w:val="20"/>
          <w:highlight w:val="none"/>
        </w:rPr>
      </w:pPr>
      <w:r>
        <w:rPr>
          <w:color w:val="auto"/>
          <w:szCs w:val="20"/>
          <w:highlight w:val="none"/>
        </w:rPr>
        <w:t>船坞在高压冲洗、喷砂过程会产生铁锈、漆皮、铜矿砂尘等沉降在船坞内或附近，沉降粉尘量约59.88t/a。</w:t>
      </w:r>
    </w:p>
    <w:p w14:paraId="4D68045D">
      <w:pPr>
        <w:ind w:firstLine="480"/>
        <w:rPr>
          <w:color w:val="auto"/>
          <w:szCs w:val="20"/>
          <w:highlight w:val="none"/>
          <w:u w:val="single"/>
        </w:rPr>
      </w:pPr>
      <w:r>
        <w:rPr>
          <w:rFonts w:hint="eastAsia" w:ascii="宋体" w:hAnsi="宋体" w:cs="宋体"/>
          <w:color w:val="auto"/>
          <w:szCs w:val="20"/>
          <w:highlight w:val="none"/>
        </w:rPr>
        <w:t>④</w:t>
      </w:r>
      <w:r>
        <w:rPr>
          <w:rFonts w:hint="eastAsia"/>
          <w:color w:val="auto"/>
          <w:szCs w:val="20"/>
          <w:highlight w:val="none"/>
          <w:u w:val="single"/>
        </w:rPr>
        <w:t>切割废料</w:t>
      </w:r>
      <w:r>
        <w:rPr>
          <w:color w:val="auto"/>
          <w:szCs w:val="20"/>
          <w:highlight w:val="none"/>
        </w:rPr>
        <w:t>（S4）</w:t>
      </w:r>
    </w:p>
    <w:p w14:paraId="2A7C3BAD">
      <w:pPr>
        <w:ind w:firstLine="480"/>
        <w:rPr>
          <w:color w:val="auto"/>
          <w:szCs w:val="20"/>
          <w:highlight w:val="none"/>
          <w:u w:val="single"/>
        </w:rPr>
      </w:pPr>
      <w:r>
        <w:rPr>
          <w:rFonts w:hint="eastAsia"/>
          <w:color w:val="auto"/>
          <w:szCs w:val="20"/>
          <w:highlight w:val="none"/>
          <w:u w:val="single"/>
        </w:rPr>
        <w:t>船坞修船过程中，根据需要有可能需要进行少量切割作业，切割过程产生铁屑，参考企业现状生产情况，废料产生量约30t/a，钢材切割废料全部回收综合利用。</w:t>
      </w:r>
    </w:p>
    <w:p w14:paraId="7B0A3828">
      <w:pPr>
        <w:ind w:firstLine="480"/>
        <w:rPr>
          <w:color w:val="auto"/>
          <w:szCs w:val="20"/>
          <w:highlight w:val="none"/>
        </w:rPr>
      </w:pPr>
      <w:r>
        <w:rPr>
          <w:rFonts w:hint="eastAsia" w:ascii="宋体" w:hAnsi="宋体" w:cs="宋体"/>
          <w:color w:val="auto"/>
          <w:szCs w:val="20"/>
          <w:highlight w:val="none"/>
          <w:u w:val="single"/>
        </w:rPr>
        <w:t>⑤</w:t>
      </w:r>
      <w:r>
        <w:rPr>
          <w:color w:val="auto"/>
          <w:szCs w:val="20"/>
          <w:highlight w:val="none"/>
        </w:rPr>
        <w:t>船舶附着海生生物（S5）</w:t>
      </w:r>
    </w:p>
    <w:p w14:paraId="52194E57">
      <w:pPr>
        <w:ind w:firstLine="480"/>
        <w:rPr>
          <w:color w:val="auto"/>
          <w:szCs w:val="20"/>
          <w:highlight w:val="none"/>
          <w:u w:val="single"/>
        </w:rPr>
      </w:pPr>
      <w:r>
        <w:rPr>
          <w:color w:val="auto"/>
          <w:szCs w:val="20"/>
          <w:highlight w:val="none"/>
        </w:rPr>
        <w:t>船舶在航运时，船体底部附着海生生物，船体进坞时，附着海生生物会一同带入坞内，在坞修前，要清理这些附着海生生物，全年产生附着海生生物80吨。</w:t>
      </w:r>
    </w:p>
    <w:p w14:paraId="2FDF4A88">
      <w:pPr>
        <w:ind w:firstLine="480"/>
        <w:rPr>
          <w:color w:val="auto"/>
          <w:szCs w:val="20"/>
          <w:highlight w:val="none"/>
          <w:u w:val="single"/>
        </w:rPr>
      </w:pPr>
      <w:r>
        <w:rPr>
          <w:rFonts w:hint="eastAsia" w:ascii="宋体" w:hAnsi="宋体" w:cs="宋体"/>
          <w:color w:val="auto"/>
          <w:szCs w:val="20"/>
          <w:highlight w:val="none"/>
          <w:u w:val="single"/>
        </w:rPr>
        <w:t>⑥</w:t>
      </w:r>
      <w:r>
        <w:rPr>
          <w:rFonts w:hint="eastAsia"/>
          <w:color w:val="auto"/>
          <w:szCs w:val="20"/>
          <w:highlight w:val="none"/>
          <w:u w:val="single"/>
        </w:rPr>
        <w:t>初期雨水沉渣</w:t>
      </w:r>
      <w:r>
        <w:rPr>
          <w:color w:val="auto"/>
          <w:szCs w:val="20"/>
          <w:highlight w:val="none"/>
        </w:rPr>
        <w:t>（S6）</w:t>
      </w:r>
    </w:p>
    <w:p w14:paraId="243AFE9A">
      <w:pPr>
        <w:ind w:firstLine="480"/>
        <w:rPr>
          <w:color w:val="auto"/>
          <w:szCs w:val="20"/>
          <w:highlight w:val="none"/>
          <w:u w:val="single"/>
        </w:rPr>
      </w:pPr>
      <w:r>
        <w:rPr>
          <w:rFonts w:hint="eastAsia"/>
          <w:color w:val="auto"/>
          <w:szCs w:val="20"/>
          <w:highlight w:val="none"/>
          <w:u w:val="single"/>
        </w:rPr>
        <w:t>项目船坞初期雨水量为</w:t>
      </w:r>
      <w:r>
        <w:rPr>
          <w:color w:val="auto"/>
          <w:szCs w:val="20"/>
          <w:highlight w:val="none"/>
          <w:u w:val="single"/>
        </w:rPr>
        <w:t>100.15</w:t>
      </w:r>
      <w:r>
        <w:rPr>
          <w:rFonts w:hint="eastAsia"/>
          <w:color w:val="auto"/>
          <w:szCs w:val="20"/>
          <w:highlight w:val="none"/>
          <w:u w:val="single"/>
        </w:rPr>
        <w:t>m</w:t>
      </w:r>
      <w:r>
        <w:rPr>
          <w:rFonts w:hint="eastAsia"/>
          <w:color w:val="auto"/>
          <w:szCs w:val="20"/>
          <w:highlight w:val="none"/>
          <w:u w:val="single"/>
          <w:vertAlign w:val="superscript"/>
        </w:rPr>
        <w:t>3</w:t>
      </w:r>
      <w:r>
        <w:rPr>
          <w:rFonts w:hint="eastAsia"/>
          <w:color w:val="auto"/>
          <w:szCs w:val="20"/>
          <w:highlight w:val="none"/>
          <w:u w:val="single"/>
        </w:rPr>
        <w:t>/次，主要污染物SS产生浓度取250mg/L，沉淀后S</w:t>
      </w:r>
      <w:r>
        <w:rPr>
          <w:color w:val="auto"/>
          <w:szCs w:val="20"/>
          <w:highlight w:val="none"/>
          <w:u w:val="single"/>
        </w:rPr>
        <w:t>S</w:t>
      </w:r>
      <w:r>
        <w:rPr>
          <w:rFonts w:hint="eastAsia"/>
          <w:color w:val="auto"/>
          <w:szCs w:val="20"/>
          <w:highlight w:val="none"/>
          <w:u w:val="single"/>
        </w:rPr>
        <w:t>去除率按9</w:t>
      </w:r>
      <w:r>
        <w:rPr>
          <w:color w:val="auto"/>
          <w:szCs w:val="20"/>
          <w:highlight w:val="none"/>
          <w:u w:val="single"/>
        </w:rPr>
        <w:t>0%</w:t>
      </w:r>
      <w:r>
        <w:rPr>
          <w:rFonts w:hint="eastAsia"/>
          <w:color w:val="auto"/>
          <w:szCs w:val="20"/>
          <w:highlight w:val="none"/>
          <w:u w:val="single"/>
        </w:rPr>
        <w:t>考虑，则初期雨水沉渣产生量为</w:t>
      </w:r>
      <w:r>
        <w:rPr>
          <w:color w:val="auto"/>
          <w:szCs w:val="20"/>
          <w:highlight w:val="none"/>
          <w:u w:val="single"/>
        </w:rPr>
        <w:t>22.5</w:t>
      </w:r>
      <w:r>
        <w:rPr>
          <w:rFonts w:hint="eastAsia"/>
          <w:color w:val="auto"/>
          <w:szCs w:val="20"/>
          <w:highlight w:val="none"/>
          <w:u w:val="single"/>
        </w:rPr>
        <w:t>kg/次，沉渣属一般固体废物，定期掏出后交由环卫部门统一收集处理。</w:t>
      </w:r>
    </w:p>
    <w:p w14:paraId="06462075">
      <w:pPr>
        <w:ind w:firstLine="480"/>
        <w:rPr>
          <w:color w:val="auto"/>
          <w:szCs w:val="20"/>
          <w:highlight w:val="none"/>
        </w:rPr>
      </w:pPr>
      <w:r>
        <w:rPr>
          <w:rFonts w:hint="eastAsia"/>
          <w:color w:val="auto"/>
          <w:szCs w:val="20"/>
          <w:highlight w:val="none"/>
        </w:rPr>
        <w:t>⑦</w:t>
      </w:r>
      <w:r>
        <w:rPr>
          <w:color w:val="auto"/>
          <w:szCs w:val="20"/>
          <w:highlight w:val="none"/>
        </w:rPr>
        <w:t>生活固废（S7）</w:t>
      </w:r>
    </w:p>
    <w:p w14:paraId="4B57D90F">
      <w:pPr>
        <w:ind w:firstLine="480"/>
        <w:rPr>
          <w:color w:val="auto"/>
          <w:szCs w:val="20"/>
          <w:highlight w:val="none"/>
        </w:rPr>
      </w:pPr>
      <w:r>
        <w:rPr>
          <w:color w:val="auto"/>
          <w:szCs w:val="20"/>
          <w:highlight w:val="none"/>
        </w:rPr>
        <w:t>项目全厂固定员工150人，职工人均产生生活固废量150kg/d，产生生活垃圾约37.5t/a。</w:t>
      </w:r>
    </w:p>
    <w:p w14:paraId="042EE2E7">
      <w:pPr>
        <w:ind w:firstLine="480"/>
        <w:rPr>
          <w:color w:val="auto"/>
          <w:szCs w:val="20"/>
          <w:highlight w:val="none"/>
        </w:rPr>
      </w:pPr>
      <w:r>
        <w:rPr>
          <w:rFonts w:hint="eastAsia"/>
          <w:color w:val="auto"/>
          <w:szCs w:val="20"/>
          <w:highlight w:val="none"/>
        </w:rPr>
        <w:t>⑧</w:t>
      </w:r>
      <w:r>
        <w:rPr>
          <w:color w:val="auto"/>
          <w:szCs w:val="20"/>
          <w:highlight w:val="none"/>
        </w:rPr>
        <w:t>船员生活垃圾（S8）</w:t>
      </w:r>
    </w:p>
    <w:p w14:paraId="15C37237">
      <w:pPr>
        <w:ind w:firstLine="480"/>
        <w:rPr>
          <w:color w:val="auto"/>
          <w:szCs w:val="20"/>
          <w:highlight w:val="none"/>
        </w:rPr>
      </w:pPr>
      <w:r>
        <w:rPr>
          <w:color w:val="auto"/>
          <w:szCs w:val="20"/>
          <w:highlight w:val="none"/>
        </w:rPr>
        <w:t>项目年修船总数90艘，粗估每艘船产生生活垃圾100kg，则项目船上生活垃圾产生量为9t/a。</w:t>
      </w:r>
      <w:r>
        <w:rPr>
          <w:rFonts w:hint="eastAsia"/>
          <w:color w:val="auto"/>
          <w:szCs w:val="20"/>
          <w:highlight w:val="none"/>
          <w:lang w:eastAsia="zh-CN"/>
        </w:rPr>
        <w:t>其中</w:t>
      </w:r>
      <w:r>
        <w:rPr>
          <w:color w:val="auto"/>
          <w:szCs w:val="20"/>
          <w:highlight w:val="none"/>
        </w:rPr>
        <w:t>，部分涉外洋生活垃圾属特殊固废，需特别消杀处理后处置。</w:t>
      </w:r>
    </w:p>
    <w:p w14:paraId="06016799">
      <w:pPr>
        <w:ind w:firstLine="482"/>
        <w:rPr>
          <w:b/>
          <w:color w:val="auto"/>
          <w:szCs w:val="20"/>
          <w:highlight w:val="none"/>
        </w:rPr>
      </w:pPr>
      <w:r>
        <w:rPr>
          <w:b/>
          <w:color w:val="auto"/>
          <w:szCs w:val="20"/>
          <w:highlight w:val="none"/>
        </w:rPr>
        <w:t>（2）危险废物</w:t>
      </w:r>
    </w:p>
    <w:p w14:paraId="7EF01439">
      <w:pPr>
        <w:ind w:firstLine="480"/>
        <w:rPr>
          <w:color w:val="auto"/>
          <w:szCs w:val="20"/>
          <w:highlight w:val="none"/>
        </w:rPr>
      </w:pPr>
      <w:r>
        <w:rPr>
          <w:color w:val="auto"/>
          <w:szCs w:val="20"/>
          <w:highlight w:val="none"/>
        </w:rPr>
        <w:t>①船舶废油（S</w:t>
      </w:r>
      <w:r>
        <w:rPr>
          <w:rFonts w:hint="eastAsia"/>
          <w:color w:val="auto"/>
          <w:szCs w:val="20"/>
          <w:highlight w:val="none"/>
        </w:rPr>
        <w:t>9</w:t>
      </w:r>
      <w:r>
        <w:rPr>
          <w:color w:val="auto"/>
          <w:szCs w:val="20"/>
          <w:highlight w:val="none"/>
        </w:rPr>
        <w:t>）</w:t>
      </w:r>
    </w:p>
    <w:p w14:paraId="5B44BF06">
      <w:pPr>
        <w:ind w:firstLine="480"/>
        <w:rPr>
          <w:color w:val="auto"/>
          <w:szCs w:val="20"/>
          <w:highlight w:val="none"/>
        </w:rPr>
      </w:pPr>
      <w:r>
        <w:rPr>
          <w:color w:val="auto"/>
          <w:szCs w:val="20"/>
          <w:highlight w:val="none"/>
        </w:rPr>
        <w:t>项目修船过程船舶机械拆卸、机舱清理会产生废油，产生量为约90t/a。对照《国家危险废物名录》（2025年版）：“废机油</w:t>
      </w:r>
      <w:r>
        <w:rPr>
          <w:rFonts w:hint="eastAsia"/>
          <w:color w:val="auto"/>
          <w:szCs w:val="20"/>
          <w:highlight w:val="none"/>
        </w:rPr>
        <w:t>属于HW08废矿物油与含矿物油废物</w:t>
      </w:r>
      <w:r>
        <w:rPr>
          <w:color w:val="auto"/>
          <w:szCs w:val="20"/>
          <w:highlight w:val="none"/>
        </w:rPr>
        <w:t>之非特定行业900-214-08车辆、轮船及其它机械维修过程中产生的废发动机油、制动器油、自动变速器油、齿轮油等废润滑油</w:t>
      </w:r>
      <w:r>
        <w:rPr>
          <w:rFonts w:hint="eastAsia"/>
          <w:color w:val="auto"/>
          <w:szCs w:val="20"/>
          <w:highlight w:val="none"/>
        </w:rPr>
        <w:t>为危险废物。</w:t>
      </w:r>
    </w:p>
    <w:p w14:paraId="77612DCE">
      <w:pPr>
        <w:ind w:firstLine="480"/>
        <w:rPr>
          <w:color w:val="auto"/>
          <w:szCs w:val="20"/>
          <w:highlight w:val="none"/>
        </w:rPr>
      </w:pPr>
      <w:r>
        <w:rPr>
          <w:color w:val="auto"/>
          <w:szCs w:val="20"/>
          <w:highlight w:val="none"/>
        </w:rPr>
        <w:t>②</w:t>
      </w:r>
      <w:r>
        <w:rPr>
          <w:rFonts w:hint="eastAsia"/>
          <w:color w:val="auto"/>
          <w:szCs w:val="20"/>
          <w:highlight w:val="none"/>
        </w:rPr>
        <w:t>喷漆</w:t>
      </w:r>
      <w:r>
        <w:rPr>
          <w:color w:val="auto"/>
          <w:szCs w:val="20"/>
          <w:highlight w:val="none"/>
        </w:rPr>
        <w:t>漆渣（S</w:t>
      </w:r>
      <w:r>
        <w:rPr>
          <w:rFonts w:hint="eastAsia"/>
          <w:color w:val="auto"/>
          <w:szCs w:val="20"/>
          <w:highlight w:val="none"/>
        </w:rPr>
        <w:t>10</w:t>
      </w:r>
      <w:r>
        <w:rPr>
          <w:color w:val="auto"/>
          <w:szCs w:val="20"/>
          <w:highlight w:val="none"/>
        </w:rPr>
        <w:t>）</w:t>
      </w:r>
    </w:p>
    <w:p w14:paraId="662735DD">
      <w:pPr>
        <w:ind w:firstLine="480"/>
        <w:rPr>
          <w:color w:val="auto"/>
          <w:szCs w:val="20"/>
          <w:highlight w:val="none"/>
        </w:rPr>
      </w:pPr>
      <w:r>
        <w:rPr>
          <w:color w:val="auto"/>
          <w:szCs w:val="20"/>
          <w:highlight w:val="none"/>
        </w:rPr>
        <w:t>项目</w:t>
      </w:r>
      <w:r>
        <w:rPr>
          <w:rFonts w:hint="eastAsia"/>
          <w:color w:val="auto"/>
          <w:szCs w:val="20"/>
          <w:highlight w:val="none"/>
        </w:rPr>
        <w:t>坞修喷漆过程中对掉落在船坞的</w:t>
      </w:r>
      <w:r>
        <w:rPr>
          <w:color w:val="auto"/>
          <w:szCs w:val="20"/>
          <w:highlight w:val="none"/>
        </w:rPr>
        <w:t>漆渣需进行处理</w:t>
      </w:r>
      <w:r>
        <w:rPr>
          <w:rFonts w:hint="eastAsia"/>
          <w:color w:val="auto"/>
          <w:szCs w:val="20"/>
          <w:highlight w:val="none"/>
        </w:rPr>
        <w:t>；</w:t>
      </w:r>
      <w:r>
        <w:rPr>
          <w:rFonts w:hint="eastAsia"/>
          <w:bCs/>
          <w:color w:val="auto"/>
          <w:szCs w:val="20"/>
          <w:highlight w:val="none"/>
          <w:u w:val="single"/>
        </w:rPr>
        <w:t>项目喷漆时，每次换色均需采用环氧类、聚氨酯或防污漆类稀释剂对喷枪的喷嘴和输送管道进行清洗；喷枪清洗也会产生漆渣；</w:t>
      </w:r>
      <w:r>
        <w:rPr>
          <w:color w:val="auto"/>
          <w:szCs w:val="20"/>
          <w:highlight w:val="none"/>
        </w:rPr>
        <w:t>根据《国家危险废物名录》（2025年版）：HW</w:t>
      </w:r>
      <w:r>
        <w:rPr>
          <w:rFonts w:hint="eastAsia"/>
          <w:color w:val="auto"/>
          <w:szCs w:val="20"/>
          <w:highlight w:val="none"/>
        </w:rPr>
        <w:t>12</w:t>
      </w:r>
      <w:r>
        <w:rPr>
          <w:color w:val="auto"/>
          <w:szCs w:val="20"/>
          <w:highlight w:val="none"/>
        </w:rPr>
        <w:t>染料、涂料废物之非特定行业900-252-12使用油漆（不包括水性漆）、有机溶剂进行喷漆、上漆过程中过喷漆雾湿法捕集产生的漆渣、以及喷涂工位和管道清理过程产生的落地漆渣</w:t>
      </w:r>
      <w:r>
        <w:rPr>
          <w:rFonts w:hint="eastAsia"/>
          <w:color w:val="auto"/>
          <w:szCs w:val="20"/>
          <w:highlight w:val="none"/>
        </w:rPr>
        <w:t>属于危废废物</w:t>
      </w:r>
      <w:r>
        <w:rPr>
          <w:color w:val="auto"/>
          <w:szCs w:val="20"/>
          <w:highlight w:val="none"/>
        </w:rPr>
        <w:t>。</w:t>
      </w:r>
      <w:r>
        <w:rPr>
          <w:rFonts w:hint="eastAsia"/>
          <w:color w:val="auto"/>
          <w:szCs w:val="20"/>
          <w:highlight w:val="none"/>
        </w:rPr>
        <w:t>根据物料平衡，可知</w:t>
      </w:r>
      <w:r>
        <w:rPr>
          <w:color w:val="auto"/>
          <w:szCs w:val="20"/>
          <w:highlight w:val="none"/>
        </w:rPr>
        <w:t>漆渣产生量为</w:t>
      </w:r>
      <w:r>
        <w:rPr>
          <w:rFonts w:hint="eastAsia"/>
          <w:color w:val="auto"/>
          <w:szCs w:val="20"/>
          <w:highlight w:val="none"/>
        </w:rPr>
        <w:t>20.60</w:t>
      </w:r>
      <w:r>
        <w:rPr>
          <w:color w:val="auto"/>
          <w:szCs w:val="20"/>
          <w:highlight w:val="none"/>
        </w:rPr>
        <w:t>t/a。</w:t>
      </w:r>
    </w:p>
    <w:p w14:paraId="094A4D35">
      <w:pPr>
        <w:ind w:firstLine="480"/>
        <w:rPr>
          <w:color w:val="auto"/>
          <w:szCs w:val="20"/>
          <w:highlight w:val="none"/>
          <w:u w:val="single"/>
        </w:rPr>
      </w:pPr>
      <w:r>
        <w:rPr>
          <w:rFonts w:hint="eastAsia" w:ascii="宋体" w:hAnsi="宋体" w:cs="宋体"/>
          <w:color w:val="auto"/>
          <w:szCs w:val="20"/>
          <w:highlight w:val="none"/>
          <w:u w:val="single"/>
        </w:rPr>
        <w:t>④</w:t>
      </w:r>
      <w:r>
        <w:rPr>
          <w:color w:val="auto"/>
          <w:szCs w:val="20"/>
          <w:highlight w:val="none"/>
          <w:u w:val="single"/>
        </w:rPr>
        <w:t>废油漆桶</w:t>
      </w:r>
      <w:r>
        <w:rPr>
          <w:rFonts w:hint="eastAsia"/>
          <w:color w:val="auto"/>
          <w:szCs w:val="20"/>
          <w:highlight w:val="none"/>
          <w:u w:val="single"/>
        </w:rPr>
        <w:t>及</w:t>
      </w:r>
      <w:r>
        <w:rPr>
          <w:rFonts w:hint="eastAsia"/>
          <w:bCs/>
          <w:color w:val="auto"/>
          <w:szCs w:val="20"/>
          <w:highlight w:val="none"/>
          <w:u w:val="single"/>
        </w:rPr>
        <w:t>稀释剂包装物</w:t>
      </w:r>
      <w:r>
        <w:rPr>
          <w:color w:val="auto"/>
          <w:szCs w:val="20"/>
          <w:highlight w:val="none"/>
          <w:u w:val="single"/>
        </w:rPr>
        <w:t>（S11）</w:t>
      </w:r>
    </w:p>
    <w:p w14:paraId="0280AFA4">
      <w:pPr>
        <w:ind w:firstLine="480"/>
        <w:rPr>
          <w:color w:val="auto"/>
          <w:szCs w:val="20"/>
          <w:highlight w:val="none"/>
        </w:rPr>
      </w:pPr>
      <w:r>
        <w:rPr>
          <w:color w:val="auto"/>
          <w:szCs w:val="20"/>
          <w:highlight w:val="none"/>
          <w:u w:val="single"/>
        </w:rPr>
        <w:t>项目坞修全年油漆及稀释剂总消耗量为245.24吨</w:t>
      </w:r>
      <w:r>
        <w:rPr>
          <w:rFonts w:hint="eastAsia"/>
          <w:color w:val="auto"/>
          <w:szCs w:val="20"/>
          <w:highlight w:val="none"/>
          <w:u w:val="single"/>
        </w:rPr>
        <w:t>（油漆2</w:t>
      </w:r>
      <w:r>
        <w:rPr>
          <w:color w:val="auto"/>
          <w:szCs w:val="20"/>
          <w:highlight w:val="none"/>
          <w:u w:val="single"/>
        </w:rPr>
        <w:t>35.44</w:t>
      </w:r>
      <w:r>
        <w:rPr>
          <w:rFonts w:hint="eastAsia"/>
          <w:color w:val="auto"/>
          <w:szCs w:val="20"/>
          <w:highlight w:val="none"/>
          <w:u w:val="single"/>
        </w:rPr>
        <w:t>吨+稀释剂9</w:t>
      </w:r>
      <w:r>
        <w:rPr>
          <w:color w:val="auto"/>
          <w:szCs w:val="20"/>
          <w:highlight w:val="none"/>
          <w:u w:val="single"/>
        </w:rPr>
        <w:t>.8</w:t>
      </w:r>
      <w:r>
        <w:rPr>
          <w:rFonts w:hint="eastAsia"/>
          <w:color w:val="auto"/>
          <w:szCs w:val="20"/>
          <w:highlight w:val="none"/>
          <w:u w:val="single"/>
        </w:rPr>
        <w:t>吨）</w:t>
      </w:r>
      <w:r>
        <w:rPr>
          <w:color w:val="auto"/>
          <w:szCs w:val="20"/>
          <w:highlight w:val="none"/>
          <w:u w:val="single"/>
        </w:rPr>
        <w:t>，油漆以每桶50kg计，全年共产生油漆桶4709只，每个油漆桶重约3kg，全年油漆桶重约14.13吨</w:t>
      </w:r>
      <w:r>
        <w:rPr>
          <w:rFonts w:hint="eastAsia"/>
          <w:color w:val="auto"/>
          <w:szCs w:val="20"/>
          <w:highlight w:val="none"/>
          <w:u w:val="single"/>
        </w:rPr>
        <w:t>；稀释剂以每桶1</w:t>
      </w:r>
      <w:r>
        <w:rPr>
          <w:color w:val="auto"/>
          <w:szCs w:val="20"/>
          <w:highlight w:val="none"/>
          <w:u w:val="single"/>
        </w:rPr>
        <w:t>0kg</w:t>
      </w:r>
      <w:r>
        <w:rPr>
          <w:rFonts w:hint="eastAsia"/>
          <w:color w:val="auto"/>
          <w:szCs w:val="20"/>
          <w:highlight w:val="none"/>
          <w:u w:val="single"/>
        </w:rPr>
        <w:t>计，</w:t>
      </w:r>
      <w:r>
        <w:rPr>
          <w:color w:val="auto"/>
          <w:szCs w:val="20"/>
          <w:highlight w:val="none"/>
          <w:u w:val="single"/>
        </w:rPr>
        <w:t>全年共产生</w:t>
      </w:r>
      <w:r>
        <w:rPr>
          <w:rFonts w:hint="eastAsia"/>
          <w:color w:val="auto"/>
          <w:szCs w:val="20"/>
          <w:highlight w:val="none"/>
          <w:u w:val="single"/>
        </w:rPr>
        <w:t>稀释剂包装桶</w:t>
      </w:r>
      <w:r>
        <w:rPr>
          <w:color w:val="auto"/>
          <w:szCs w:val="20"/>
          <w:highlight w:val="none"/>
          <w:u w:val="single"/>
        </w:rPr>
        <w:t>980只，每个油漆桶重约1kg，全年</w:t>
      </w:r>
      <w:r>
        <w:rPr>
          <w:rFonts w:hint="eastAsia"/>
          <w:color w:val="auto"/>
          <w:szCs w:val="20"/>
          <w:highlight w:val="none"/>
          <w:u w:val="single"/>
        </w:rPr>
        <w:t>稀释剂</w:t>
      </w:r>
      <w:r>
        <w:rPr>
          <w:color w:val="auto"/>
          <w:szCs w:val="20"/>
          <w:highlight w:val="none"/>
          <w:u w:val="single"/>
        </w:rPr>
        <w:t>桶重约0.98吨。</w:t>
      </w:r>
      <w:r>
        <w:rPr>
          <w:color w:val="auto"/>
          <w:szCs w:val="20"/>
          <w:highlight w:val="none"/>
        </w:rPr>
        <w:t>对照《国家危险废物名录》（2025年版）：HW49其他废物之非特定行业900-041-49含有或者沾染毒性、感染性危险废物的废弃的包装物、容器、过滤吸附介质</w:t>
      </w:r>
      <w:r>
        <w:rPr>
          <w:rFonts w:hint="eastAsia"/>
          <w:color w:val="auto"/>
          <w:szCs w:val="20"/>
          <w:highlight w:val="none"/>
        </w:rPr>
        <w:t>为危险废物。</w:t>
      </w:r>
    </w:p>
    <w:p w14:paraId="1DDEE1B3">
      <w:pPr>
        <w:ind w:firstLine="480"/>
        <w:rPr>
          <w:color w:val="auto"/>
          <w:szCs w:val="20"/>
          <w:highlight w:val="none"/>
        </w:rPr>
      </w:pPr>
      <w:r>
        <w:rPr>
          <w:rFonts w:hint="eastAsia" w:ascii="宋体" w:hAnsi="宋体" w:cs="宋体"/>
          <w:color w:val="auto"/>
          <w:szCs w:val="20"/>
          <w:highlight w:val="none"/>
        </w:rPr>
        <w:t>⑤</w:t>
      </w:r>
      <w:r>
        <w:rPr>
          <w:color w:val="auto"/>
          <w:szCs w:val="20"/>
          <w:highlight w:val="none"/>
        </w:rPr>
        <w:t>废油污泥</w:t>
      </w:r>
      <w:bookmarkStart w:id="118" w:name="OLE_LINK11"/>
      <w:bookmarkStart w:id="119" w:name="OLE_LINK12"/>
      <w:r>
        <w:rPr>
          <w:color w:val="auto"/>
          <w:szCs w:val="20"/>
          <w:highlight w:val="none"/>
        </w:rPr>
        <w:t>（S12）</w:t>
      </w:r>
      <w:bookmarkEnd w:id="118"/>
      <w:bookmarkEnd w:id="119"/>
    </w:p>
    <w:p w14:paraId="0A854F93">
      <w:pPr>
        <w:ind w:firstLine="480"/>
        <w:rPr>
          <w:color w:val="auto"/>
          <w:szCs w:val="20"/>
          <w:highlight w:val="none"/>
        </w:rPr>
      </w:pPr>
      <w:r>
        <w:rPr>
          <w:color w:val="auto"/>
          <w:szCs w:val="20"/>
          <w:highlight w:val="none"/>
        </w:rPr>
        <w:t>坞修过程产生的含油废水经隔油、油水分离过程产生的废污油，含油废水处理过程在隔油池和处理池的池底会产生含油污泥，根据《国家危险废物名录（2025年）》，HW08废矿物油之非特定行业900-210-08油水分离设施产生的废油、污泥属于危险废物。废油和含油污泥产生量为9.8t/a。</w:t>
      </w:r>
    </w:p>
    <w:p w14:paraId="374A5FB8">
      <w:pPr>
        <w:ind w:firstLine="480"/>
        <w:rPr>
          <w:color w:val="auto"/>
          <w:szCs w:val="20"/>
          <w:highlight w:val="none"/>
          <w:u w:val="single"/>
        </w:rPr>
      </w:pPr>
      <w:r>
        <w:rPr>
          <w:rFonts w:hint="eastAsia"/>
          <w:color w:val="auto"/>
          <w:szCs w:val="20"/>
          <w:highlight w:val="none"/>
          <w:u w:val="single"/>
        </w:rPr>
        <w:t>⑥废乳化液</w:t>
      </w:r>
      <w:r>
        <w:rPr>
          <w:color w:val="auto"/>
          <w:szCs w:val="20"/>
          <w:highlight w:val="none"/>
          <w:u w:val="single"/>
        </w:rPr>
        <w:t>（S13）</w:t>
      </w:r>
    </w:p>
    <w:p w14:paraId="3B46DADA">
      <w:pPr>
        <w:ind w:firstLine="480"/>
        <w:rPr>
          <w:color w:val="auto"/>
          <w:szCs w:val="20"/>
          <w:highlight w:val="none"/>
          <w:u w:val="single"/>
        </w:rPr>
      </w:pPr>
      <w:r>
        <w:rPr>
          <w:rFonts w:hint="eastAsia"/>
          <w:color w:val="auto"/>
          <w:szCs w:val="20"/>
          <w:highlight w:val="none"/>
          <w:u w:val="single"/>
        </w:rPr>
        <w:t>修船过程中，进行切割作业时需要使用切削油，将产生废乳化液，其主要成分是矿物油，在长期使用过程中易被氧化或变质，根据</w:t>
      </w:r>
      <w:r>
        <w:rPr>
          <w:color w:val="auto"/>
          <w:szCs w:val="20"/>
          <w:highlight w:val="none"/>
          <w:u w:val="single"/>
        </w:rPr>
        <w:t>《国家危险废物名录（2025年）》</w:t>
      </w:r>
      <w:r>
        <w:rPr>
          <w:rFonts w:hint="eastAsia"/>
          <w:color w:val="auto"/>
          <w:szCs w:val="20"/>
          <w:highlight w:val="none"/>
          <w:u w:val="single"/>
        </w:rPr>
        <w:t>，</w:t>
      </w:r>
      <w:r>
        <w:rPr>
          <w:color w:val="auto"/>
          <w:szCs w:val="20"/>
          <w:highlight w:val="none"/>
          <w:u w:val="single"/>
        </w:rPr>
        <w:t>HW09</w:t>
      </w:r>
      <w:r>
        <w:rPr>
          <w:rFonts w:hint="eastAsia"/>
          <w:color w:val="auto"/>
          <w:szCs w:val="20"/>
          <w:highlight w:val="none"/>
          <w:u w:val="single"/>
        </w:rPr>
        <w:t>油/水、烃/水混合物或者乳化液</w:t>
      </w:r>
      <w:r>
        <w:rPr>
          <w:color w:val="auto"/>
          <w:szCs w:val="20"/>
          <w:highlight w:val="none"/>
          <w:u w:val="single"/>
        </w:rPr>
        <w:t>之非特定行业900-006-09</w:t>
      </w:r>
      <w:r>
        <w:rPr>
          <w:rFonts w:hint="eastAsia"/>
          <w:color w:val="auto"/>
          <w:szCs w:val="20"/>
          <w:highlight w:val="none"/>
          <w:u w:val="single"/>
        </w:rPr>
        <w:t>使用切削油或者切削液进行机械加工过程中产生的油/水、烃/水混合物或者乳化液</w:t>
      </w:r>
      <w:r>
        <w:rPr>
          <w:color w:val="auto"/>
          <w:szCs w:val="20"/>
          <w:highlight w:val="none"/>
          <w:u w:val="single"/>
        </w:rPr>
        <w:t>属于危险废物</w:t>
      </w:r>
      <w:r>
        <w:rPr>
          <w:rFonts w:hint="eastAsia"/>
          <w:color w:val="auto"/>
          <w:szCs w:val="20"/>
          <w:highlight w:val="none"/>
          <w:u w:val="single"/>
        </w:rPr>
        <w:t>，</w:t>
      </w:r>
      <w:r>
        <w:rPr>
          <w:color w:val="auto"/>
          <w:szCs w:val="20"/>
          <w:highlight w:val="none"/>
          <w:u w:val="single"/>
        </w:rPr>
        <w:t>产生量</w:t>
      </w:r>
      <w:r>
        <w:rPr>
          <w:rFonts w:hint="eastAsia"/>
          <w:color w:val="auto"/>
          <w:szCs w:val="20"/>
          <w:highlight w:val="none"/>
          <w:u w:val="single"/>
        </w:rPr>
        <w:t>约</w:t>
      </w:r>
      <w:r>
        <w:rPr>
          <w:color w:val="auto"/>
          <w:szCs w:val="20"/>
          <w:highlight w:val="none"/>
          <w:u w:val="single"/>
        </w:rPr>
        <w:t>为0.5t/a</w:t>
      </w:r>
      <w:r>
        <w:rPr>
          <w:rFonts w:hint="eastAsia"/>
          <w:color w:val="auto"/>
          <w:szCs w:val="20"/>
          <w:highlight w:val="none"/>
          <w:u w:val="single"/>
        </w:rPr>
        <w:t>。</w:t>
      </w:r>
    </w:p>
    <w:p w14:paraId="2846C233">
      <w:pPr>
        <w:pStyle w:val="38"/>
        <w:spacing w:after="0" w:line="240" w:lineRule="auto"/>
        <w:ind w:firstLine="0" w:firstLineChars="0"/>
        <w:jc w:val="center"/>
        <w:rPr>
          <w:b/>
          <w:color w:val="auto"/>
          <w:sz w:val="21"/>
          <w:szCs w:val="21"/>
          <w:highlight w:val="none"/>
        </w:rPr>
      </w:pPr>
      <w:r>
        <w:rPr>
          <w:b/>
          <w:color w:val="auto"/>
          <w:sz w:val="21"/>
          <w:szCs w:val="21"/>
          <w:highlight w:val="none"/>
        </w:rPr>
        <w:t>表2.4-1</w:t>
      </w:r>
      <w:r>
        <w:rPr>
          <w:rFonts w:hint="eastAsia"/>
          <w:b/>
          <w:color w:val="auto"/>
          <w:sz w:val="21"/>
          <w:szCs w:val="21"/>
          <w:highlight w:val="none"/>
        </w:rPr>
        <w:t>3</w:t>
      </w:r>
      <w:r>
        <w:rPr>
          <w:b/>
          <w:color w:val="auto"/>
          <w:sz w:val="21"/>
          <w:szCs w:val="21"/>
          <w:highlight w:val="none"/>
        </w:rPr>
        <w:t xml:space="preserve">   项目固体废弃物一览表</w:t>
      </w:r>
    </w:p>
    <w:tbl>
      <w:tblPr>
        <w:tblStyle w:val="9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529"/>
        <w:gridCol w:w="1488"/>
        <w:gridCol w:w="1024"/>
        <w:gridCol w:w="611"/>
        <w:gridCol w:w="1097"/>
        <w:gridCol w:w="1711"/>
        <w:gridCol w:w="820"/>
        <w:gridCol w:w="1785"/>
      </w:tblGrid>
      <w:tr w14:paraId="5966EE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292" w:type="pct"/>
            <w:tcBorders>
              <w:tl2br w:val="nil"/>
              <w:tr2bl w:val="nil"/>
            </w:tcBorders>
            <w:vAlign w:val="center"/>
          </w:tcPr>
          <w:p w14:paraId="3D94F2AC">
            <w:pPr>
              <w:spacing w:line="240" w:lineRule="auto"/>
              <w:ind w:firstLine="0" w:firstLineChars="0"/>
              <w:jc w:val="center"/>
              <w:rPr>
                <w:b/>
                <w:color w:val="auto"/>
                <w:sz w:val="21"/>
                <w:szCs w:val="21"/>
                <w:highlight w:val="none"/>
                <w:u w:val="single"/>
              </w:rPr>
            </w:pPr>
            <w:r>
              <w:rPr>
                <w:b/>
                <w:color w:val="auto"/>
                <w:sz w:val="21"/>
                <w:szCs w:val="21"/>
                <w:highlight w:val="none"/>
                <w:u w:val="single"/>
              </w:rPr>
              <w:t>编号</w:t>
            </w:r>
          </w:p>
        </w:tc>
        <w:tc>
          <w:tcPr>
            <w:tcW w:w="821" w:type="pct"/>
            <w:tcBorders>
              <w:tl2br w:val="nil"/>
              <w:tr2bl w:val="nil"/>
            </w:tcBorders>
            <w:vAlign w:val="center"/>
          </w:tcPr>
          <w:p w14:paraId="162E89A7">
            <w:pPr>
              <w:spacing w:line="240" w:lineRule="auto"/>
              <w:ind w:firstLine="0" w:firstLineChars="0"/>
              <w:jc w:val="center"/>
              <w:rPr>
                <w:b/>
                <w:color w:val="auto"/>
                <w:sz w:val="21"/>
                <w:szCs w:val="21"/>
                <w:highlight w:val="none"/>
                <w:u w:val="single"/>
              </w:rPr>
            </w:pPr>
            <w:r>
              <w:rPr>
                <w:b/>
                <w:color w:val="auto"/>
                <w:sz w:val="21"/>
                <w:szCs w:val="21"/>
                <w:highlight w:val="none"/>
                <w:u w:val="single"/>
              </w:rPr>
              <w:t>固废名称</w:t>
            </w:r>
          </w:p>
        </w:tc>
        <w:tc>
          <w:tcPr>
            <w:tcW w:w="565" w:type="pct"/>
            <w:tcBorders>
              <w:tl2br w:val="nil"/>
              <w:tr2bl w:val="nil"/>
            </w:tcBorders>
            <w:vAlign w:val="center"/>
          </w:tcPr>
          <w:p w14:paraId="126384FE">
            <w:pPr>
              <w:spacing w:line="240" w:lineRule="auto"/>
              <w:ind w:firstLine="0" w:firstLineChars="0"/>
              <w:jc w:val="center"/>
              <w:rPr>
                <w:b/>
                <w:color w:val="auto"/>
                <w:sz w:val="21"/>
                <w:szCs w:val="21"/>
                <w:highlight w:val="none"/>
                <w:u w:val="single"/>
              </w:rPr>
            </w:pPr>
            <w:r>
              <w:rPr>
                <w:b/>
                <w:color w:val="auto"/>
                <w:sz w:val="21"/>
                <w:szCs w:val="21"/>
                <w:highlight w:val="none"/>
                <w:u w:val="single"/>
              </w:rPr>
              <w:t>产生工序</w:t>
            </w:r>
          </w:p>
        </w:tc>
        <w:tc>
          <w:tcPr>
            <w:tcW w:w="337" w:type="pct"/>
            <w:tcBorders>
              <w:tl2br w:val="nil"/>
              <w:tr2bl w:val="nil"/>
            </w:tcBorders>
            <w:vAlign w:val="center"/>
          </w:tcPr>
          <w:p w14:paraId="0EF1B607">
            <w:pPr>
              <w:spacing w:line="240" w:lineRule="auto"/>
              <w:ind w:firstLine="0" w:firstLineChars="0"/>
              <w:jc w:val="center"/>
              <w:rPr>
                <w:b/>
                <w:color w:val="auto"/>
                <w:sz w:val="21"/>
                <w:szCs w:val="21"/>
                <w:highlight w:val="none"/>
                <w:u w:val="single"/>
              </w:rPr>
            </w:pPr>
            <w:r>
              <w:rPr>
                <w:b/>
                <w:color w:val="auto"/>
                <w:sz w:val="21"/>
                <w:szCs w:val="21"/>
                <w:highlight w:val="none"/>
                <w:u w:val="single"/>
              </w:rPr>
              <w:t>形态</w:t>
            </w:r>
          </w:p>
        </w:tc>
        <w:tc>
          <w:tcPr>
            <w:tcW w:w="605" w:type="pct"/>
            <w:tcBorders>
              <w:tl2br w:val="nil"/>
              <w:tr2bl w:val="nil"/>
            </w:tcBorders>
            <w:vAlign w:val="center"/>
          </w:tcPr>
          <w:p w14:paraId="69E0F565">
            <w:pPr>
              <w:spacing w:line="240" w:lineRule="auto"/>
              <w:ind w:firstLine="0" w:firstLineChars="0"/>
              <w:jc w:val="center"/>
              <w:rPr>
                <w:b/>
                <w:color w:val="auto"/>
                <w:sz w:val="21"/>
                <w:szCs w:val="21"/>
                <w:highlight w:val="none"/>
                <w:u w:val="single"/>
              </w:rPr>
            </w:pPr>
            <w:r>
              <w:rPr>
                <w:b/>
                <w:color w:val="auto"/>
                <w:sz w:val="21"/>
                <w:szCs w:val="21"/>
                <w:highlight w:val="none"/>
                <w:u w:val="single"/>
              </w:rPr>
              <w:t>固体废物性质</w:t>
            </w:r>
          </w:p>
        </w:tc>
        <w:tc>
          <w:tcPr>
            <w:tcW w:w="944" w:type="pct"/>
            <w:tcBorders>
              <w:tl2br w:val="nil"/>
              <w:tr2bl w:val="nil"/>
            </w:tcBorders>
            <w:vAlign w:val="center"/>
          </w:tcPr>
          <w:p w14:paraId="76330F23">
            <w:pPr>
              <w:spacing w:line="240" w:lineRule="auto"/>
              <w:ind w:firstLine="0" w:firstLineChars="0"/>
              <w:jc w:val="center"/>
              <w:rPr>
                <w:b/>
                <w:color w:val="auto"/>
                <w:sz w:val="21"/>
                <w:szCs w:val="21"/>
                <w:highlight w:val="none"/>
                <w:u w:val="single"/>
              </w:rPr>
            </w:pPr>
            <w:r>
              <w:rPr>
                <w:b/>
                <w:color w:val="auto"/>
                <w:sz w:val="21"/>
                <w:szCs w:val="21"/>
                <w:highlight w:val="none"/>
                <w:u w:val="single"/>
              </w:rPr>
              <w:t>废物类别</w:t>
            </w:r>
          </w:p>
        </w:tc>
        <w:tc>
          <w:tcPr>
            <w:tcW w:w="452" w:type="pct"/>
            <w:tcBorders>
              <w:tl2br w:val="nil"/>
              <w:tr2bl w:val="nil"/>
            </w:tcBorders>
            <w:vAlign w:val="center"/>
          </w:tcPr>
          <w:p w14:paraId="1FD89DB0">
            <w:pPr>
              <w:spacing w:line="240" w:lineRule="auto"/>
              <w:ind w:firstLine="0" w:firstLineChars="0"/>
              <w:jc w:val="center"/>
              <w:rPr>
                <w:b/>
                <w:color w:val="auto"/>
                <w:sz w:val="21"/>
                <w:szCs w:val="21"/>
                <w:highlight w:val="none"/>
                <w:u w:val="single"/>
              </w:rPr>
            </w:pPr>
            <w:r>
              <w:rPr>
                <w:b/>
                <w:color w:val="auto"/>
                <w:sz w:val="21"/>
                <w:szCs w:val="21"/>
                <w:highlight w:val="none"/>
                <w:u w:val="single"/>
              </w:rPr>
              <w:t>产生量（t/a）</w:t>
            </w:r>
          </w:p>
        </w:tc>
        <w:tc>
          <w:tcPr>
            <w:tcW w:w="984" w:type="pct"/>
            <w:tcBorders>
              <w:tl2br w:val="nil"/>
              <w:tr2bl w:val="nil"/>
            </w:tcBorders>
            <w:vAlign w:val="center"/>
          </w:tcPr>
          <w:p w14:paraId="54263909">
            <w:pPr>
              <w:spacing w:line="240" w:lineRule="auto"/>
              <w:ind w:firstLine="0" w:firstLineChars="0"/>
              <w:jc w:val="center"/>
              <w:rPr>
                <w:b/>
                <w:color w:val="auto"/>
                <w:sz w:val="21"/>
                <w:szCs w:val="21"/>
                <w:highlight w:val="none"/>
                <w:u w:val="single"/>
              </w:rPr>
            </w:pPr>
            <w:r>
              <w:rPr>
                <w:b/>
                <w:color w:val="auto"/>
                <w:sz w:val="21"/>
                <w:szCs w:val="21"/>
                <w:highlight w:val="none"/>
                <w:u w:val="single"/>
              </w:rPr>
              <w:t>储存处置要求</w:t>
            </w:r>
          </w:p>
        </w:tc>
      </w:tr>
      <w:tr w14:paraId="3F2186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292" w:type="pct"/>
            <w:tcBorders>
              <w:tl2br w:val="nil"/>
              <w:tr2bl w:val="nil"/>
            </w:tcBorders>
            <w:vAlign w:val="center"/>
          </w:tcPr>
          <w:p w14:paraId="5CE32055">
            <w:pPr>
              <w:spacing w:line="240" w:lineRule="auto"/>
              <w:ind w:firstLine="0" w:firstLineChars="0"/>
              <w:jc w:val="center"/>
              <w:rPr>
                <w:b/>
                <w:color w:val="auto"/>
                <w:sz w:val="21"/>
                <w:szCs w:val="21"/>
                <w:highlight w:val="none"/>
                <w:u w:val="single"/>
              </w:rPr>
            </w:pPr>
            <w:r>
              <w:rPr>
                <w:b/>
                <w:color w:val="auto"/>
                <w:sz w:val="21"/>
                <w:szCs w:val="21"/>
                <w:highlight w:val="none"/>
                <w:u w:val="single"/>
              </w:rPr>
              <w:t>一</w:t>
            </w:r>
          </w:p>
        </w:tc>
        <w:tc>
          <w:tcPr>
            <w:tcW w:w="4708" w:type="pct"/>
            <w:gridSpan w:val="7"/>
            <w:tcBorders>
              <w:tl2br w:val="nil"/>
              <w:tr2bl w:val="nil"/>
            </w:tcBorders>
            <w:vAlign w:val="center"/>
          </w:tcPr>
          <w:p w14:paraId="105C4721">
            <w:pPr>
              <w:spacing w:line="240" w:lineRule="auto"/>
              <w:ind w:firstLine="0" w:firstLineChars="0"/>
              <w:jc w:val="center"/>
              <w:rPr>
                <w:b/>
                <w:color w:val="auto"/>
                <w:sz w:val="21"/>
                <w:szCs w:val="21"/>
                <w:highlight w:val="none"/>
                <w:u w:val="single"/>
              </w:rPr>
            </w:pPr>
            <w:r>
              <w:rPr>
                <w:b/>
                <w:color w:val="auto"/>
                <w:sz w:val="21"/>
                <w:szCs w:val="21"/>
                <w:highlight w:val="none"/>
                <w:u w:val="single"/>
              </w:rPr>
              <w:t>一般固体废物</w:t>
            </w:r>
          </w:p>
        </w:tc>
      </w:tr>
      <w:tr w14:paraId="289388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92" w:type="pct"/>
            <w:tcBorders>
              <w:tl2br w:val="nil"/>
              <w:tr2bl w:val="nil"/>
            </w:tcBorders>
            <w:vAlign w:val="center"/>
          </w:tcPr>
          <w:p w14:paraId="0425F167">
            <w:pPr>
              <w:spacing w:line="240" w:lineRule="auto"/>
              <w:ind w:firstLine="0" w:firstLineChars="0"/>
              <w:jc w:val="center"/>
              <w:rPr>
                <w:color w:val="auto"/>
                <w:sz w:val="21"/>
                <w:szCs w:val="21"/>
                <w:highlight w:val="none"/>
                <w:u w:val="single"/>
              </w:rPr>
            </w:pPr>
            <w:r>
              <w:rPr>
                <w:color w:val="auto"/>
                <w:sz w:val="21"/>
                <w:szCs w:val="21"/>
                <w:highlight w:val="none"/>
                <w:u w:val="single"/>
              </w:rPr>
              <w:t>S1</w:t>
            </w:r>
          </w:p>
        </w:tc>
        <w:tc>
          <w:tcPr>
            <w:tcW w:w="821" w:type="pct"/>
            <w:tcBorders>
              <w:tl2br w:val="nil"/>
              <w:tr2bl w:val="nil"/>
            </w:tcBorders>
            <w:vAlign w:val="center"/>
          </w:tcPr>
          <w:p w14:paraId="3EAAA99A">
            <w:pPr>
              <w:spacing w:line="240" w:lineRule="auto"/>
              <w:ind w:firstLine="0" w:firstLineChars="0"/>
              <w:jc w:val="center"/>
              <w:rPr>
                <w:color w:val="auto"/>
                <w:sz w:val="21"/>
                <w:szCs w:val="21"/>
                <w:highlight w:val="none"/>
                <w:u w:val="single"/>
              </w:rPr>
            </w:pPr>
            <w:r>
              <w:rPr>
                <w:color w:val="auto"/>
                <w:sz w:val="21"/>
                <w:szCs w:val="21"/>
                <w:highlight w:val="none"/>
                <w:u w:val="single"/>
              </w:rPr>
              <w:t>废焊料、焊渣</w:t>
            </w:r>
          </w:p>
        </w:tc>
        <w:tc>
          <w:tcPr>
            <w:tcW w:w="565" w:type="pct"/>
            <w:tcBorders>
              <w:tl2br w:val="nil"/>
              <w:tr2bl w:val="nil"/>
            </w:tcBorders>
            <w:vAlign w:val="center"/>
          </w:tcPr>
          <w:p w14:paraId="343940BA">
            <w:pPr>
              <w:spacing w:line="240" w:lineRule="auto"/>
              <w:ind w:firstLine="0" w:firstLineChars="0"/>
              <w:jc w:val="center"/>
              <w:rPr>
                <w:color w:val="auto"/>
                <w:sz w:val="21"/>
                <w:szCs w:val="21"/>
                <w:highlight w:val="none"/>
                <w:u w:val="single"/>
              </w:rPr>
            </w:pPr>
            <w:r>
              <w:rPr>
                <w:color w:val="auto"/>
                <w:sz w:val="21"/>
                <w:szCs w:val="21"/>
                <w:highlight w:val="none"/>
                <w:u w:val="single"/>
              </w:rPr>
              <w:t>钢材焊接</w:t>
            </w:r>
          </w:p>
        </w:tc>
        <w:tc>
          <w:tcPr>
            <w:tcW w:w="337" w:type="pct"/>
            <w:tcBorders>
              <w:tl2br w:val="nil"/>
              <w:tr2bl w:val="nil"/>
            </w:tcBorders>
            <w:vAlign w:val="center"/>
          </w:tcPr>
          <w:p w14:paraId="1374F9DD">
            <w:pPr>
              <w:spacing w:line="240" w:lineRule="auto"/>
              <w:ind w:firstLine="0" w:firstLineChars="0"/>
              <w:jc w:val="center"/>
              <w:rPr>
                <w:color w:val="auto"/>
                <w:sz w:val="21"/>
                <w:szCs w:val="21"/>
                <w:highlight w:val="none"/>
                <w:u w:val="single"/>
              </w:rPr>
            </w:pPr>
            <w:r>
              <w:rPr>
                <w:color w:val="auto"/>
                <w:sz w:val="21"/>
                <w:szCs w:val="21"/>
                <w:highlight w:val="none"/>
                <w:u w:val="single"/>
              </w:rPr>
              <w:t>固态</w:t>
            </w:r>
          </w:p>
        </w:tc>
        <w:tc>
          <w:tcPr>
            <w:tcW w:w="605" w:type="pct"/>
            <w:tcBorders>
              <w:tl2br w:val="nil"/>
              <w:tr2bl w:val="nil"/>
            </w:tcBorders>
            <w:vAlign w:val="center"/>
          </w:tcPr>
          <w:p w14:paraId="09A2420B">
            <w:pPr>
              <w:spacing w:line="240" w:lineRule="auto"/>
              <w:ind w:firstLine="0" w:firstLineChars="0"/>
              <w:jc w:val="center"/>
              <w:rPr>
                <w:color w:val="auto"/>
                <w:sz w:val="21"/>
                <w:szCs w:val="21"/>
                <w:highlight w:val="none"/>
                <w:u w:val="single"/>
              </w:rPr>
            </w:pPr>
            <w:r>
              <w:rPr>
                <w:color w:val="auto"/>
                <w:sz w:val="21"/>
                <w:szCs w:val="21"/>
                <w:highlight w:val="none"/>
                <w:u w:val="single"/>
              </w:rPr>
              <w:t>一般固废</w:t>
            </w:r>
          </w:p>
        </w:tc>
        <w:tc>
          <w:tcPr>
            <w:tcW w:w="944" w:type="pct"/>
            <w:tcBorders>
              <w:tl2br w:val="nil"/>
              <w:tr2bl w:val="nil"/>
            </w:tcBorders>
            <w:vAlign w:val="center"/>
          </w:tcPr>
          <w:p w14:paraId="30CC60A9">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452" w:type="pct"/>
            <w:tcBorders>
              <w:tl2br w:val="nil"/>
              <w:tr2bl w:val="nil"/>
            </w:tcBorders>
            <w:vAlign w:val="center"/>
          </w:tcPr>
          <w:p w14:paraId="2BA503DE">
            <w:pPr>
              <w:spacing w:line="240" w:lineRule="auto"/>
              <w:ind w:firstLine="0" w:firstLineChars="0"/>
              <w:jc w:val="center"/>
              <w:rPr>
                <w:color w:val="auto"/>
                <w:sz w:val="21"/>
                <w:szCs w:val="21"/>
                <w:highlight w:val="none"/>
                <w:u w:val="single"/>
              </w:rPr>
            </w:pPr>
            <w:r>
              <w:rPr>
                <w:color w:val="auto"/>
                <w:sz w:val="21"/>
                <w:szCs w:val="21"/>
                <w:highlight w:val="none"/>
                <w:u w:val="single"/>
              </w:rPr>
              <w:t>3</w:t>
            </w:r>
          </w:p>
        </w:tc>
        <w:tc>
          <w:tcPr>
            <w:tcW w:w="984" w:type="pct"/>
            <w:vMerge w:val="restart"/>
            <w:tcBorders>
              <w:tl2br w:val="nil"/>
              <w:tr2bl w:val="nil"/>
            </w:tcBorders>
            <w:vAlign w:val="center"/>
          </w:tcPr>
          <w:p w14:paraId="749238A2">
            <w:pPr>
              <w:spacing w:line="240" w:lineRule="auto"/>
              <w:ind w:firstLine="0" w:firstLineChars="0"/>
              <w:jc w:val="center"/>
              <w:rPr>
                <w:color w:val="auto"/>
                <w:sz w:val="21"/>
                <w:szCs w:val="21"/>
                <w:highlight w:val="none"/>
                <w:u w:val="single"/>
              </w:rPr>
            </w:pPr>
            <w:r>
              <w:rPr>
                <w:color w:val="auto"/>
                <w:sz w:val="21"/>
                <w:szCs w:val="21"/>
                <w:highlight w:val="none"/>
                <w:u w:val="single"/>
              </w:rPr>
              <w:t>收集到一般固废暂存间暂存，能回收的回收利用，不能回收利用的由中标公司（最近一次委托处理单位为钦州市鼎鑫再生资源回收利用有限公司）外运处理</w:t>
            </w:r>
          </w:p>
        </w:tc>
      </w:tr>
      <w:tr w14:paraId="5D9250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92" w:type="pct"/>
            <w:tcBorders>
              <w:tl2br w:val="nil"/>
              <w:tr2bl w:val="nil"/>
            </w:tcBorders>
            <w:vAlign w:val="center"/>
          </w:tcPr>
          <w:p w14:paraId="3EEE346D">
            <w:pPr>
              <w:spacing w:line="240" w:lineRule="auto"/>
              <w:ind w:firstLine="0" w:firstLineChars="0"/>
              <w:jc w:val="center"/>
              <w:rPr>
                <w:color w:val="auto"/>
                <w:sz w:val="21"/>
                <w:szCs w:val="21"/>
                <w:highlight w:val="none"/>
                <w:u w:val="single"/>
              </w:rPr>
            </w:pPr>
            <w:r>
              <w:rPr>
                <w:color w:val="auto"/>
                <w:sz w:val="21"/>
                <w:szCs w:val="21"/>
                <w:highlight w:val="none"/>
                <w:u w:val="single"/>
              </w:rPr>
              <w:t>S2</w:t>
            </w:r>
          </w:p>
        </w:tc>
        <w:tc>
          <w:tcPr>
            <w:tcW w:w="821" w:type="pct"/>
            <w:tcBorders>
              <w:tl2br w:val="nil"/>
              <w:tr2bl w:val="nil"/>
            </w:tcBorders>
            <w:vAlign w:val="center"/>
          </w:tcPr>
          <w:p w14:paraId="535E178F">
            <w:pPr>
              <w:spacing w:line="240" w:lineRule="auto"/>
              <w:ind w:firstLine="0" w:firstLineChars="0"/>
              <w:jc w:val="center"/>
              <w:rPr>
                <w:color w:val="auto"/>
                <w:sz w:val="21"/>
                <w:szCs w:val="21"/>
                <w:highlight w:val="none"/>
                <w:u w:val="single"/>
              </w:rPr>
            </w:pPr>
            <w:r>
              <w:rPr>
                <w:color w:val="auto"/>
                <w:sz w:val="21"/>
                <w:szCs w:val="21"/>
                <w:highlight w:val="none"/>
                <w:u w:val="single"/>
              </w:rPr>
              <w:t>废铜矿砂及铁锈</w:t>
            </w:r>
          </w:p>
        </w:tc>
        <w:tc>
          <w:tcPr>
            <w:tcW w:w="565" w:type="pct"/>
            <w:tcBorders>
              <w:tl2br w:val="nil"/>
              <w:tr2bl w:val="nil"/>
            </w:tcBorders>
            <w:vAlign w:val="center"/>
          </w:tcPr>
          <w:p w14:paraId="5BBA9A3F">
            <w:pPr>
              <w:spacing w:line="240" w:lineRule="auto"/>
              <w:ind w:firstLine="0" w:firstLineChars="0"/>
              <w:jc w:val="center"/>
              <w:rPr>
                <w:color w:val="auto"/>
                <w:sz w:val="21"/>
                <w:szCs w:val="21"/>
                <w:highlight w:val="none"/>
                <w:u w:val="single"/>
              </w:rPr>
            </w:pPr>
            <w:r>
              <w:rPr>
                <w:color w:val="auto"/>
                <w:sz w:val="21"/>
                <w:szCs w:val="21"/>
                <w:highlight w:val="none"/>
                <w:u w:val="single"/>
              </w:rPr>
              <w:t>喷砂除锈</w:t>
            </w:r>
          </w:p>
        </w:tc>
        <w:tc>
          <w:tcPr>
            <w:tcW w:w="337" w:type="pct"/>
            <w:tcBorders>
              <w:tl2br w:val="nil"/>
              <w:tr2bl w:val="nil"/>
            </w:tcBorders>
            <w:vAlign w:val="center"/>
          </w:tcPr>
          <w:p w14:paraId="20BC3FCD">
            <w:pPr>
              <w:spacing w:line="240" w:lineRule="auto"/>
              <w:ind w:firstLine="0" w:firstLineChars="0"/>
              <w:jc w:val="center"/>
              <w:rPr>
                <w:color w:val="auto"/>
                <w:sz w:val="21"/>
                <w:szCs w:val="21"/>
                <w:highlight w:val="none"/>
                <w:u w:val="single"/>
              </w:rPr>
            </w:pPr>
            <w:r>
              <w:rPr>
                <w:color w:val="auto"/>
                <w:sz w:val="21"/>
                <w:szCs w:val="21"/>
                <w:highlight w:val="none"/>
                <w:u w:val="single"/>
              </w:rPr>
              <w:t>固态</w:t>
            </w:r>
          </w:p>
        </w:tc>
        <w:tc>
          <w:tcPr>
            <w:tcW w:w="605" w:type="pct"/>
            <w:tcBorders>
              <w:tl2br w:val="nil"/>
              <w:tr2bl w:val="nil"/>
            </w:tcBorders>
            <w:vAlign w:val="center"/>
          </w:tcPr>
          <w:p w14:paraId="70E857F0">
            <w:pPr>
              <w:spacing w:line="240" w:lineRule="auto"/>
              <w:ind w:firstLine="0" w:firstLineChars="0"/>
              <w:jc w:val="center"/>
              <w:rPr>
                <w:color w:val="auto"/>
                <w:sz w:val="21"/>
                <w:szCs w:val="21"/>
                <w:highlight w:val="none"/>
                <w:u w:val="single"/>
              </w:rPr>
            </w:pPr>
            <w:r>
              <w:rPr>
                <w:color w:val="auto"/>
                <w:sz w:val="21"/>
                <w:szCs w:val="21"/>
                <w:highlight w:val="none"/>
                <w:u w:val="single"/>
              </w:rPr>
              <w:t>一般固废</w:t>
            </w:r>
          </w:p>
        </w:tc>
        <w:tc>
          <w:tcPr>
            <w:tcW w:w="944" w:type="pct"/>
            <w:tcBorders>
              <w:tl2br w:val="nil"/>
              <w:tr2bl w:val="nil"/>
            </w:tcBorders>
            <w:vAlign w:val="center"/>
          </w:tcPr>
          <w:p w14:paraId="1C82826F">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452" w:type="pct"/>
            <w:tcBorders>
              <w:tl2br w:val="nil"/>
              <w:tr2bl w:val="nil"/>
            </w:tcBorders>
            <w:vAlign w:val="center"/>
          </w:tcPr>
          <w:p w14:paraId="55D293B2">
            <w:pPr>
              <w:spacing w:line="240" w:lineRule="auto"/>
              <w:ind w:firstLine="0" w:firstLineChars="0"/>
              <w:jc w:val="center"/>
              <w:rPr>
                <w:color w:val="auto"/>
                <w:sz w:val="21"/>
                <w:szCs w:val="21"/>
                <w:highlight w:val="none"/>
                <w:u w:val="single"/>
              </w:rPr>
            </w:pPr>
            <w:r>
              <w:rPr>
                <w:color w:val="auto"/>
                <w:sz w:val="21"/>
                <w:szCs w:val="21"/>
                <w:highlight w:val="none"/>
                <w:u w:val="single"/>
              </w:rPr>
              <w:t>3596.4</w:t>
            </w:r>
          </w:p>
        </w:tc>
        <w:tc>
          <w:tcPr>
            <w:tcW w:w="984" w:type="pct"/>
            <w:vMerge w:val="continue"/>
            <w:tcBorders>
              <w:tl2br w:val="nil"/>
              <w:tr2bl w:val="nil"/>
            </w:tcBorders>
            <w:vAlign w:val="center"/>
          </w:tcPr>
          <w:p w14:paraId="0A78F66C">
            <w:pPr>
              <w:spacing w:line="240" w:lineRule="auto"/>
              <w:ind w:firstLine="0" w:firstLineChars="0"/>
              <w:jc w:val="center"/>
              <w:rPr>
                <w:color w:val="auto"/>
                <w:sz w:val="21"/>
                <w:szCs w:val="21"/>
                <w:highlight w:val="none"/>
                <w:u w:val="single"/>
              </w:rPr>
            </w:pPr>
          </w:p>
        </w:tc>
      </w:tr>
      <w:tr w14:paraId="6CC55E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92" w:type="pct"/>
            <w:tcBorders>
              <w:tl2br w:val="nil"/>
              <w:tr2bl w:val="nil"/>
            </w:tcBorders>
            <w:vAlign w:val="center"/>
          </w:tcPr>
          <w:p w14:paraId="51197D26">
            <w:pPr>
              <w:spacing w:line="240" w:lineRule="auto"/>
              <w:ind w:firstLine="0" w:firstLineChars="0"/>
              <w:jc w:val="center"/>
              <w:rPr>
                <w:color w:val="auto"/>
                <w:sz w:val="21"/>
                <w:szCs w:val="21"/>
                <w:highlight w:val="none"/>
                <w:u w:val="single"/>
              </w:rPr>
            </w:pPr>
            <w:r>
              <w:rPr>
                <w:color w:val="auto"/>
                <w:sz w:val="21"/>
                <w:szCs w:val="21"/>
                <w:highlight w:val="none"/>
                <w:u w:val="single"/>
              </w:rPr>
              <w:t>S3</w:t>
            </w:r>
          </w:p>
        </w:tc>
        <w:tc>
          <w:tcPr>
            <w:tcW w:w="821" w:type="pct"/>
            <w:tcBorders>
              <w:tl2br w:val="nil"/>
              <w:tr2bl w:val="nil"/>
            </w:tcBorders>
            <w:vAlign w:val="center"/>
          </w:tcPr>
          <w:p w14:paraId="59E2EF3F">
            <w:pPr>
              <w:spacing w:line="240" w:lineRule="auto"/>
              <w:ind w:firstLine="0" w:firstLineChars="0"/>
              <w:jc w:val="center"/>
              <w:rPr>
                <w:color w:val="auto"/>
                <w:sz w:val="21"/>
                <w:szCs w:val="21"/>
                <w:highlight w:val="none"/>
                <w:u w:val="single"/>
              </w:rPr>
            </w:pPr>
            <w:r>
              <w:rPr>
                <w:color w:val="auto"/>
                <w:sz w:val="21"/>
                <w:szCs w:val="21"/>
                <w:highlight w:val="none"/>
                <w:u w:val="single"/>
              </w:rPr>
              <w:t>船坞沉降物</w:t>
            </w:r>
          </w:p>
        </w:tc>
        <w:tc>
          <w:tcPr>
            <w:tcW w:w="565" w:type="pct"/>
            <w:tcBorders>
              <w:tl2br w:val="nil"/>
              <w:tr2bl w:val="nil"/>
            </w:tcBorders>
            <w:vAlign w:val="center"/>
          </w:tcPr>
          <w:p w14:paraId="720138EC">
            <w:pPr>
              <w:spacing w:line="240" w:lineRule="auto"/>
              <w:ind w:firstLine="0" w:firstLineChars="0"/>
              <w:jc w:val="center"/>
              <w:rPr>
                <w:color w:val="auto"/>
                <w:sz w:val="21"/>
                <w:szCs w:val="21"/>
                <w:highlight w:val="none"/>
                <w:u w:val="single"/>
              </w:rPr>
            </w:pPr>
            <w:r>
              <w:rPr>
                <w:color w:val="auto"/>
                <w:sz w:val="21"/>
                <w:szCs w:val="21"/>
                <w:highlight w:val="none"/>
                <w:u w:val="single"/>
              </w:rPr>
              <w:t>船坞清洗出坞</w:t>
            </w:r>
          </w:p>
        </w:tc>
        <w:tc>
          <w:tcPr>
            <w:tcW w:w="337" w:type="pct"/>
            <w:tcBorders>
              <w:tl2br w:val="nil"/>
              <w:tr2bl w:val="nil"/>
            </w:tcBorders>
            <w:vAlign w:val="center"/>
          </w:tcPr>
          <w:p w14:paraId="33F1AB4C">
            <w:pPr>
              <w:spacing w:line="240" w:lineRule="auto"/>
              <w:ind w:firstLine="0" w:firstLineChars="0"/>
              <w:jc w:val="center"/>
              <w:rPr>
                <w:color w:val="auto"/>
                <w:sz w:val="21"/>
                <w:szCs w:val="21"/>
                <w:highlight w:val="none"/>
                <w:u w:val="single"/>
              </w:rPr>
            </w:pPr>
            <w:r>
              <w:rPr>
                <w:color w:val="auto"/>
                <w:sz w:val="21"/>
                <w:szCs w:val="21"/>
                <w:highlight w:val="none"/>
                <w:u w:val="single"/>
              </w:rPr>
              <w:t>固态</w:t>
            </w:r>
          </w:p>
        </w:tc>
        <w:tc>
          <w:tcPr>
            <w:tcW w:w="605" w:type="pct"/>
            <w:tcBorders>
              <w:tl2br w:val="nil"/>
              <w:tr2bl w:val="nil"/>
            </w:tcBorders>
            <w:vAlign w:val="center"/>
          </w:tcPr>
          <w:p w14:paraId="59455C4C">
            <w:pPr>
              <w:spacing w:line="240" w:lineRule="auto"/>
              <w:ind w:firstLine="0" w:firstLineChars="0"/>
              <w:jc w:val="center"/>
              <w:rPr>
                <w:color w:val="auto"/>
                <w:sz w:val="21"/>
                <w:szCs w:val="21"/>
                <w:highlight w:val="none"/>
                <w:u w:val="single"/>
              </w:rPr>
            </w:pPr>
            <w:r>
              <w:rPr>
                <w:color w:val="auto"/>
                <w:sz w:val="21"/>
                <w:szCs w:val="21"/>
                <w:highlight w:val="none"/>
                <w:u w:val="single"/>
              </w:rPr>
              <w:t>一般固废</w:t>
            </w:r>
          </w:p>
        </w:tc>
        <w:tc>
          <w:tcPr>
            <w:tcW w:w="944" w:type="pct"/>
            <w:tcBorders>
              <w:tl2br w:val="nil"/>
              <w:tr2bl w:val="nil"/>
            </w:tcBorders>
            <w:vAlign w:val="center"/>
          </w:tcPr>
          <w:p w14:paraId="54F2B9B5">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452" w:type="pct"/>
            <w:tcBorders>
              <w:tl2br w:val="nil"/>
              <w:tr2bl w:val="nil"/>
            </w:tcBorders>
            <w:vAlign w:val="center"/>
          </w:tcPr>
          <w:p w14:paraId="7ECB3662">
            <w:pPr>
              <w:spacing w:line="240" w:lineRule="auto"/>
              <w:ind w:firstLine="0" w:firstLineChars="0"/>
              <w:jc w:val="center"/>
              <w:rPr>
                <w:color w:val="auto"/>
                <w:sz w:val="21"/>
                <w:szCs w:val="21"/>
                <w:highlight w:val="none"/>
                <w:u w:val="single"/>
              </w:rPr>
            </w:pPr>
            <w:r>
              <w:rPr>
                <w:color w:val="auto"/>
                <w:sz w:val="21"/>
                <w:szCs w:val="21"/>
                <w:highlight w:val="none"/>
                <w:u w:val="single"/>
              </w:rPr>
              <w:t>59.88</w:t>
            </w:r>
          </w:p>
        </w:tc>
        <w:tc>
          <w:tcPr>
            <w:tcW w:w="984" w:type="pct"/>
            <w:vMerge w:val="continue"/>
            <w:tcBorders>
              <w:tl2br w:val="nil"/>
              <w:tr2bl w:val="nil"/>
            </w:tcBorders>
            <w:vAlign w:val="center"/>
          </w:tcPr>
          <w:p w14:paraId="54F24171">
            <w:pPr>
              <w:spacing w:line="240" w:lineRule="auto"/>
              <w:ind w:firstLine="0" w:firstLineChars="0"/>
              <w:jc w:val="center"/>
              <w:rPr>
                <w:color w:val="auto"/>
                <w:sz w:val="21"/>
                <w:szCs w:val="21"/>
                <w:highlight w:val="none"/>
                <w:u w:val="single"/>
              </w:rPr>
            </w:pPr>
          </w:p>
        </w:tc>
      </w:tr>
      <w:tr w14:paraId="3D0313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92" w:type="pct"/>
            <w:tcBorders>
              <w:tl2br w:val="nil"/>
              <w:tr2bl w:val="nil"/>
            </w:tcBorders>
            <w:vAlign w:val="center"/>
          </w:tcPr>
          <w:p w14:paraId="6ADA3965">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S</w:t>
            </w:r>
            <w:r>
              <w:rPr>
                <w:color w:val="auto"/>
                <w:sz w:val="21"/>
                <w:szCs w:val="21"/>
                <w:highlight w:val="none"/>
                <w:u w:val="single"/>
              </w:rPr>
              <w:t>4</w:t>
            </w:r>
          </w:p>
        </w:tc>
        <w:tc>
          <w:tcPr>
            <w:tcW w:w="821" w:type="pct"/>
            <w:tcBorders>
              <w:tl2br w:val="nil"/>
              <w:tr2bl w:val="nil"/>
            </w:tcBorders>
            <w:vAlign w:val="center"/>
          </w:tcPr>
          <w:p w14:paraId="50D8D319">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切割废料</w:t>
            </w:r>
          </w:p>
        </w:tc>
        <w:tc>
          <w:tcPr>
            <w:tcW w:w="565" w:type="pct"/>
            <w:tcBorders>
              <w:tl2br w:val="nil"/>
              <w:tr2bl w:val="nil"/>
            </w:tcBorders>
            <w:vAlign w:val="center"/>
          </w:tcPr>
          <w:p w14:paraId="29274637">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切割作业</w:t>
            </w:r>
          </w:p>
        </w:tc>
        <w:tc>
          <w:tcPr>
            <w:tcW w:w="337" w:type="pct"/>
            <w:tcBorders>
              <w:tl2br w:val="nil"/>
              <w:tr2bl w:val="nil"/>
            </w:tcBorders>
            <w:vAlign w:val="center"/>
          </w:tcPr>
          <w:p w14:paraId="62BD878B">
            <w:pPr>
              <w:spacing w:line="240" w:lineRule="auto"/>
              <w:ind w:firstLine="0" w:firstLineChars="0"/>
              <w:jc w:val="center"/>
              <w:rPr>
                <w:color w:val="auto"/>
                <w:sz w:val="21"/>
                <w:szCs w:val="21"/>
                <w:highlight w:val="none"/>
                <w:u w:val="single"/>
              </w:rPr>
            </w:pPr>
            <w:r>
              <w:rPr>
                <w:color w:val="auto"/>
                <w:sz w:val="21"/>
                <w:szCs w:val="21"/>
                <w:highlight w:val="none"/>
                <w:u w:val="single"/>
              </w:rPr>
              <w:t>固态</w:t>
            </w:r>
          </w:p>
        </w:tc>
        <w:tc>
          <w:tcPr>
            <w:tcW w:w="605" w:type="pct"/>
            <w:tcBorders>
              <w:tl2br w:val="nil"/>
              <w:tr2bl w:val="nil"/>
            </w:tcBorders>
            <w:vAlign w:val="center"/>
          </w:tcPr>
          <w:p w14:paraId="1C05B7FD">
            <w:pPr>
              <w:spacing w:line="240" w:lineRule="auto"/>
              <w:ind w:firstLine="0" w:firstLineChars="0"/>
              <w:jc w:val="center"/>
              <w:rPr>
                <w:color w:val="auto"/>
                <w:sz w:val="21"/>
                <w:szCs w:val="21"/>
                <w:highlight w:val="none"/>
                <w:u w:val="single"/>
              </w:rPr>
            </w:pPr>
            <w:r>
              <w:rPr>
                <w:color w:val="auto"/>
                <w:sz w:val="21"/>
                <w:szCs w:val="21"/>
                <w:highlight w:val="none"/>
                <w:u w:val="single"/>
              </w:rPr>
              <w:t>一般固废</w:t>
            </w:r>
          </w:p>
        </w:tc>
        <w:tc>
          <w:tcPr>
            <w:tcW w:w="944" w:type="pct"/>
            <w:tcBorders>
              <w:tl2br w:val="nil"/>
              <w:tr2bl w:val="nil"/>
            </w:tcBorders>
            <w:vAlign w:val="center"/>
          </w:tcPr>
          <w:p w14:paraId="22702C3E">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452" w:type="pct"/>
            <w:tcBorders>
              <w:tl2br w:val="nil"/>
              <w:tr2bl w:val="nil"/>
            </w:tcBorders>
            <w:vAlign w:val="center"/>
          </w:tcPr>
          <w:p w14:paraId="445E1D5E">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3</w:t>
            </w:r>
            <w:r>
              <w:rPr>
                <w:color w:val="auto"/>
                <w:sz w:val="21"/>
                <w:szCs w:val="21"/>
                <w:highlight w:val="none"/>
                <w:u w:val="single"/>
              </w:rPr>
              <w:t>0</w:t>
            </w:r>
          </w:p>
        </w:tc>
        <w:tc>
          <w:tcPr>
            <w:tcW w:w="984" w:type="pct"/>
            <w:tcBorders>
              <w:tl2br w:val="nil"/>
              <w:tr2bl w:val="nil"/>
            </w:tcBorders>
            <w:vAlign w:val="center"/>
          </w:tcPr>
          <w:p w14:paraId="699966A1">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回收综合利用</w:t>
            </w:r>
          </w:p>
        </w:tc>
      </w:tr>
      <w:tr w14:paraId="0781E3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92" w:type="pct"/>
            <w:tcBorders>
              <w:tl2br w:val="nil"/>
              <w:tr2bl w:val="nil"/>
            </w:tcBorders>
            <w:vAlign w:val="center"/>
          </w:tcPr>
          <w:p w14:paraId="3A06FD4E">
            <w:pPr>
              <w:spacing w:line="240" w:lineRule="auto"/>
              <w:ind w:firstLine="0" w:firstLineChars="0"/>
              <w:jc w:val="center"/>
              <w:rPr>
                <w:color w:val="auto"/>
                <w:sz w:val="21"/>
                <w:szCs w:val="21"/>
                <w:highlight w:val="none"/>
                <w:u w:val="single"/>
              </w:rPr>
            </w:pPr>
            <w:r>
              <w:rPr>
                <w:color w:val="auto"/>
                <w:sz w:val="21"/>
                <w:szCs w:val="21"/>
                <w:highlight w:val="none"/>
                <w:u w:val="single"/>
              </w:rPr>
              <w:t>S5</w:t>
            </w:r>
          </w:p>
        </w:tc>
        <w:tc>
          <w:tcPr>
            <w:tcW w:w="821" w:type="pct"/>
            <w:tcBorders>
              <w:tl2br w:val="nil"/>
              <w:tr2bl w:val="nil"/>
            </w:tcBorders>
            <w:vAlign w:val="center"/>
          </w:tcPr>
          <w:p w14:paraId="39307EDD">
            <w:pPr>
              <w:spacing w:line="240" w:lineRule="auto"/>
              <w:ind w:firstLine="0" w:firstLineChars="0"/>
              <w:jc w:val="center"/>
              <w:rPr>
                <w:color w:val="auto"/>
                <w:sz w:val="21"/>
                <w:szCs w:val="21"/>
                <w:highlight w:val="none"/>
                <w:u w:val="single"/>
              </w:rPr>
            </w:pPr>
            <w:r>
              <w:rPr>
                <w:color w:val="auto"/>
                <w:sz w:val="21"/>
                <w:szCs w:val="21"/>
                <w:highlight w:val="none"/>
                <w:u w:val="single"/>
              </w:rPr>
              <w:t>船舶附着海生生物</w:t>
            </w:r>
          </w:p>
        </w:tc>
        <w:tc>
          <w:tcPr>
            <w:tcW w:w="565" w:type="pct"/>
            <w:tcBorders>
              <w:tl2br w:val="nil"/>
              <w:tr2bl w:val="nil"/>
            </w:tcBorders>
            <w:vAlign w:val="center"/>
          </w:tcPr>
          <w:p w14:paraId="147FC2D9">
            <w:pPr>
              <w:spacing w:line="240" w:lineRule="auto"/>
              <w:ind w:firstLine="0" w:firstLineChars="0"/>
              <w:jc w:val="center"/>
              <w:rPr>
                <w:color w:val="auto"/>
                <w:sz w:val="21"/>
                <w:szCs w:val="21"/>
                <w:highlight w:val="none"/>
                <w:u w:val="single"/>
              </w:rPr>
            </w:pPr>
            <w:r>
              <w:rPr>
                <w:color w:val="auto"/>
                <w:sz w:val="21"/>
                <w:szCs w:val="21"/>
                <w:highlight w:val="none"/>
                <w:u w:val="single"/>
              </w:rPr>
              <w:t>船舶清洗</w:t>
            </w:r>
          </w:p>
        </w:tc>
        <w:tc>
          <w:tcPr>
            <w:tcW w:w="337" w:type="pct"/>
            <w:tcBorders>
              <w:tl2br w:val="nil"/>
              <w:tr2bl w:val="nil"/>
            </w:tcBorders>
            <w:vAlign w:val="center"/>
          </w:tcPr>
          <w:p w14:paraId="0462BB27">
            <w:pPr>
              <w:spacing w:line="240" w:lineRule="auto"/>
              <w:ind w:firstLine="0" w:firstLineChars="0"/>
              <w:jc w:val="center"/>
              <w:rPr>
                <w:color w:val="auto"/>
                <w:sz w:val="21"/>
                <w:szCs w:val="21"/>
                <w:highlight w:val="none"/>
                <w:u w:val="single"/>
              </w:rPr>
            </w:pPr>
            <w:r>
              <w:rPr>
                <w:color w:val="auto"/>
                <w:sz w:val="21"/>
                <w:szCs w:val="21"/>
                <w:highlight w:val="none"/>
                <w:u w:val="single"/>
              </w:rPr>
              <w:t>固态</w:t>
            </w:r>
          </w:p>
        </w:tc>
        <w:tc>
          <w:tcPr>
            <w:tcW w:w="605" w:type="pct"/>
            <w:tcBorders>
              <w:tl2br w:val="nil"/>
              <w:tr2bl w:val="nil"/>
            </w:tcBorders>
            <w:vAlign w:val="center"/>
          </w:tcPr>
          <w:p w14:paraId="5AB2831C">
            <w:pPr>
              <w:spacing w:line="240" w:lineRule="auto"/>
              <w:ind w:firstLine="0" w:firstLineChars="0"/>
              <w:jc w:val="center"/>
              <w:rPr>
                <w:color w:val="auto"/>
                <w:sz w:val="21"/>
                <w:szCs w:val="21"/>
                <w:highlight w:val="none"/>
                <w:u w:val="single"/>
              </w:rPr>
            </w:pPr>
            <w:r>
              <w:rPr>
                <w:color w:val="auto"/>
                <w:sz w:val="21"/>
                <w:szCs w:val="21"/>
                <w:highlight w:val="none"/>
                <w:u w:val="single"/>
              </w:rPr>
              <w:t>一般固废</w:t>
            </w:r>
          </w:p>
        </w:tc>
        <w:tc>
          <w:tcPr>
            <w:tcW w:w="944" w:type="pct"/>
            <w:tcBorders>
              <w:tl2br w:val="nil"/>
              <w:tr2bl w:val="nil"/>
            </w:tcBorders>
            <w:vAlign w:val="center"/>
          </w:tcPr>
          <w:p w14:paraId="0D5CAF01">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452" w:type="pct"/>
            <w:tcBorders>
              <w:tl2br w:val="nil"/>
              <w:tr2bl w:val="nil"/>
            </w:tcBorders>
            <w:vAlign w:val="center"/>
          </w:tcPr>
          <w:p w14:paraId="37B26712">
            <w:pPr>
              <w:spacing w:line="240" w:lineRule="auto"/>
              <w:ind w:firstLine="0" w:firstLineChars="0"/>
              <w:jc w:val="center"/>
              <w:rPr>
                <w:color w:val="auto"/>
                <w:sz w:val="21"/>
                <w:szCs w:val="21"/>
                <w:highlight w:val="none"/>
                <w:u w:val="single"/>
              </w:rPr>
            </w:pPr>
            <w:r>
              <w:rPr>
                <w:color w:val="auto"/>
                <w:sz w:val="21"/>
                <w:szCs w:val="21"/>
                <w:highlight w:val="none"/>
                <w:u w:val="single"/>
              </w:rPr>
              <w:t>80</w:t>
            </w:r>
          </w:p>
        </w:tc>
        <w:tc>
          <w:tcPr>
            <w:tcW w:w="984" w:type="pct"/>
            <w:vMerge w:val="restart"/>
            <w:tcBorders>
              <w:tl2br w:val="nil"/>
              <w:tr2bl w:val="nil"/>
            </w:tcBorders>
            <w:vAlign w:val="center"/>
          </w:tcPr>
          <w:p w14:paraId="5228EFBC">
            <w:pPr>
              <w:overflowPunct w:val="0"/>
              <w:autoSpaceDE w:val="0"/>
              <w:autoSpaceDN w:val="0"/>
              <w:spacing w:line="240" w:lineRule="auto"/>
              <w:ind w:firstLine="0" w:firstLineChars="0"/>
              <w:textAlignment w:val="bottom"/>
              <w:rPr>
                <w:color w:val="auto"/>
                <w:sz w:val="21"/>
                <w:szCs w:val="21"/>
                <w:highlight w:val="none"/>
                <w:u w:val="single"/>
              </w:rPr>
            </w:pPr>
            <w:r>
              <w:rPr>
                <w:color w:val="auto"/>
                <w:sz w:val="21"/>
                <w:szCs w:val="21"/>
                <w:highlight w:val="none"/>
                <w:u w:val="single"/>
              </w:rPr>
              <w:t>集中堆放，由环卫部门统一处理（部分为国外船舶生活垃圾，属特殊固废，经海事、港监部门消毒灭活处理检验后按一般固废处置要求处置）</w:t>
            </w:r>
          </w:p>
        </w:tc>
      </w:tr>
      <w:tr w14:paraId="0FB0AE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92" w:type="pct"/>
            <w:tcBorders>
              <w:tl2br w:val="nil"/>
              <w:tr2bl w:val="nil"/>
            </w:tcBorders>
            <w:vAlign w:val="center"/>
          </w:tcPr>
          <w:p w14:paraId="1CF23430">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S</w:t>
            </w:r>
            <w:r>
              <w:rPr>
                <w:color w:val="auto"/>
                <w:sz w:val="21"/>
                <w:szCs w:val="21"/>
                <w:highlight w:val="none"/>
                <w:u w:val="single"/>
              </w:rPr>
              <w:t>6</w:t>
            </w:r>
          </w:p>
        </w:tc>
        <w:tc>
          <w:tcPr>
            <w:tcW w:w="821" w:type="pct"/>
            <w:tcBorders>
              <w:tl2br w:val="nil"/>
              <w:tr2bl w:val="nil"/>
            </w:tcBorders>
            <w:vAlign w:val="center"/>
          </w:tcPr>
          <w:p w14:paraId="12C8E3D1">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初期雨水沉渣</w:t>
            </w:r>
          </w:p>
        </w:tc>
        <w:tc>
          <w:tcPr>
            <w:tcW w:w="565" w:type="pct"/>
            <w:tcBorders>
              <w:tl2br w:val="nil"/>
              <w:tr2bl w:val="nil"/>
            </w:tcBorders>
            <w:vAlign w:val="center"/>
          </w:tcPr>
          <w:p w14:paraId="3FD87C41">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初期雨水池</w:t>
            </w:r>
          </w:p>
        </w:tc>
        <w:tc>
          <w:tcPr>
            <w:tcW w:w="337" w:type="pct"/>
            <w:tcBorders>
              <w:tl2br w:val="nil"/>
              <w:tr2bl w:val="nil"/>
            </w:tcBorders>
            <w:vAlign w:val="center"/>
          </w:tcPr>
          <w:p w14:paraId="6F238D59">
            <w:pPr>
              <w:spacing w:line="240" w:lineRule="auto"/>
              <w:ind w:firstLine="0" w:firstLineChars="0"/>
              <w:jc w:val="center"/>
              <w:rPr>
                <w:color w:val="auto"/>
                <w:sz w:val="21"/>
                <w:szCs w:val="21"/>
                <w:highlight w:val="none"/>
                <w:u w:val="single"/>
              </w:rPr>
            </w:pPr>
            <w:r>
              <w:rPr>
                <w:color w:val="auto"/>
                <w:sz w:val="21"/>
                <w:szCs w:val="21"/>
                <w:highlight w:val="none"/>
                <w:u w:val="single"/>
              </w:rPr>
              <w:t>固态</w:t>
            </w:r>
          </w:p>
        </w:tc>
        <w:tc>
          <w:tcPr>
            <w:tcW w:w="605" w:type="pct"/>
            <w:tcBorders>
              <w:tl2br w:val="nil"/>
              <w:tr2bl w:val="nil"/>
            </w:tcBorders>
            <w:vAlign w:val="center"/>
          </w:tcPr>
          <w:p w14:paraId="41F270F7">
            <w:pPr>
              <w:spacing w:line="240" w:lineRule="auto"/>
              <w:ind w:firstLine="0" w:firstLineChars="0"/>
              <w:jc w:val="center"/>
              <w:rPr>
                <w:color w:val="auto"/>
                <w:sz w:val="21"/>
                <w:szCs w:val="21"/>
                <w:highlight w:val="none"/>
                <w:u w:val="single"/>
              </w:rPr>
            </w:pPr>
            <w:r>
              <w:rPr>
                <w:color w:val="auto"/>
                <w:sz w:val="21"/>
                <w:szCs w:val="21"/>
                <w:highlight w:val="none"/>
                <w:u w:val="single"/>
              </w:rPr>
              <w:t>一般固废</w:t>
            </w:r>
          </w:p>
        </w:tc>
        <w:tc>
          <w:tcPr>
            <w:tcW w:w="944" w:type="pct"/>
            <w:tcBorders>
              <w:tl2br w:val="nil"/>
              <w:tr2bl w:val="nil"/>
            </w:tcBorders>
            <w:vAlign w:val="center"/>
          </w:tcPr>
          <w:p w14:paraId="0CE48149">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452" w:type="pct"/>
            <w:tcBorders>
              <w:tl2br w:val="nil"/>
              <w:tr2bl w:val="nil"/>
            </w:tcBorders>
            <w:vAlign w:val="center"/>
          </w:tcPr>
          <w:p w14:paraId="354080EC">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2</w:t>
            </w:r>
            <w:r>
              <w:rPr>
                <w:color w:val="auto"/>
                <w:sz w:val="21"/>
                <w:szCs w:val="21"/>
                <w:highlight w:val="none"/>
                <w:u w:val="single"/>
              </w:rPr>
              <w:t>2.5kg/</w:t>
            </w:r>
            <w:r>
              <w:rPr>
                <w:rFonts w:hint="eastAsia"/>
                <w:color w:val="auto"/>
                <w:sz w:val="21"/>
                <w:szCs w:val="21"/>
                <w:highlight w:val="none"/>
                <w:u w:val="single"/>
              </w:rPr>
              <w:t>次</w:t>
            </w:r>
          </w:p>
        </w:tc>
        <w:tc>
          <w:tcPr>
            <w:tcW w:w="984" w:type="pct"/>
            <w:vMerge w:val="continue"/>
            <w:tcBorders>
              <w:tl2br w:val="nil"/>
              <w:tr2bl w:val="nil"/>
            </w:tcBorders>
            <w:vAlign w:val="center"/>
          </w:tcPr>
          <w:p w14:paraId="069EA871">
            <w:pPr>
              <w:overflowPunct w:val="0"/>
              <w:autoSpaceDE w:val="0"/>
              <w:autoSpaceDN w:val="0"/>
              <w:spacing w:line="240" w:lineRule="auto"/>
              <w:ind w:firstLine="0" w:firstLineChars="0"/>
              <w:textAlignment w:val="bottom"/>
              <w:rPr>
                <w:color w:val="auto"/>
                <w:sz w:val="21"/>
                <w:szCs w:val="21"/>
                <w:highlight w:val="none"/>
                <w:u w:val="single"/>
              </w:rPr>
            </w:pPr>
          </w:p>
        </w:tc>
      </w:tr>
      <w:tr w14:paraId="61C3C3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92" w:type="pct"/>
            <w:tcBorders>
              <w:tl2br w:val="nil"/>
              <w:tr2bl w:val="nil"/>
            </w:tcBorders>
            <w:vAlign w:val="center"/>
          </w:tcPr>
          <w:p w14:paraId="0817A862">
            <w:pPr>
              <w:spacing w:line="240" w:lineRule="auto"/>
              <w:ind w:firstLine="0" w:firstLineChars="0"/>
              <w:jc w:val="center"/>
              <w:rPr>
                <w:color w:val="auto"/>
                <w:sz w:val="21"/>
                <w:szCs w:val="21"/>
                <w:highlight w:val="none"/>
                <w:u w:val="single"/>
              </w:rPr>
            </w:pPr>
            <w:r>
              <w:rPr>
                <w:color w:val="auto"/>
                <w:sz w:val="21"/>
                <w:szCs w:val="21"/>
                <w:highlight w:val="none"/>
                <w:u w:val="single"/>
              </w:rPr>
              <w:t>S7</w:t>
            </w:r>
          </w:p>
        </w:tc>
        <w:tc>
          <w:tcPr>
            <w:tcW w:w="821" w:type="pct"/>
            <w:tcBorders>
              <w:tl2br w:val="nil"/>
              <w:tr2bl w:val="nil"/>
            </w:tcBorders>
            <w:vAlign w:val="center"/>
          </w:tcPr>
          <w:p w14:paraId="0EA36084">
            <w:pPr>
              <w:spacing w:line="240" w:lineRule="auto"/>
              <w:ind w:firstLine="0" w:firstLineChars="0"/>
              <w:jc w:val="center"/>
              <w:rPr>
                <w:color w:val="auto"/>
                <w:sz w:val="21"/>
                <w:szCs w:val="21"/>
                <w:highlight w:val="none"/>
                <w:u w:val="single"/>
              </w:rPr>
            </w:pPr>
            <w:r>
              <w:rPr>
                <w:color w:val="auto"/>
                <w:sz w:val="21"/>
                <w:szCs w:val="21"/>
                <w:highlight w:val="none"/>
                <w:u w:val="single"/>
              </w:rPr>
              <w:t>职工生活垃圾</w:t>
            </w:r>
          </w:p>
        </w:tc>
        <w:tc>
          <w:tcPr>
            <w:tcW w:w="565" w:type="pct"/>
            <w:tcBorders>
              <w:tl2br w:val="nil"/>
              <w:tr2bl w:val="nil"/>
            </w:tcBorders>
            <w:vAlign w:val="center"/>
          </w:tcPr>
          <w:p w14:paraId="2CBA622D">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337" w:type="pct"/>
            <w:tcBorders>
              <w:tl2br w:val="nil"/>
              <w:tr2bl w:val="nil"/>
            </w:tcBorders>
            <w:vAlign w:val="center"/>
          </w:tcPr>
          <w:p w14:paraId="055510FF">
            <w:pPr>
              <w:spacing w:line="240" w:lineRule="auto"/>
              <w:ind w:firstLine="0" w:firstLineChars="0"/>
              <w:jc w:val="center"/>
              <w:rPr>
                <w:color w:val="auto"/>
                <w:sz w:val="21"/>
                <w:szCs w:val="21"/>
                <w:highlight w:val="none"/>
                <w:u w:val="single"/>
              </w:rPr>
            </w:pPr>
            <w:r>
              <w:rPr>
                <w:color w:val="auto"/>
                <w:sz w:val="21"/>
                <w:szCs w:val="21"/>
                <w:highlight w:val="none"/>
                <w:u w:val="single"/>
              </w:rPr>
              <w:t>固态</w:t>
            </w:r>
          </w:p>
        </w:tc>
        <w:tc>
          <w:tcPr>
            <w:tcW w:w="605" w:type="pct"/>
            <w:tcBorders>
              <w:tl2br w:val="nil"/>
              <w:tr2bl w:val="nil"/>
            </w:tcBorders>
            <w:vAlign w:val="center"/>
          </w:tcPr>
          <w:p w14:paraId="2B79C667">
            <w:pPr>
              <w:spacing w:line="240" w:lineRule="auto"/>
              <w:ind w:firstLine="0" w:firstLineChars="0"/>
              <w:jc w:val="center"/>
              <w:rPr>
                <w:color w:val="auto"/>
                <w:sz w:val="21"/>
                <w:szCs w:val="21"/>
                <w:highlight w:val="none"/>
                <w:u w:val="single"/>
              </w:rPr>
            </w:pPr>
            <w:r>
              <w:rPr>
                <w:color w:val="auto"/>
                <w:sz w:val="21"/>
                <w:szCs w:val="21"/>
                <w:highlight w:val="none"/>
                <w:u w:val="single"/>
              </w:rPr>
              <w:t>一般固废</w:t>
            </w:r>
          </w:p>
        </w:tc>
        <w:tc>
          <w:tcPr>
            <w:tcW w:w="944" w:type="pct"/>
            <w:tcBorders>
              <w:tl2br w:val="nil"/>
              <w:tr2bl w:val="nil"/>
            </w:tcBorders>
            <w:vAlign w:val="center"/>
          </w:tcPr>
          <w:p w14:paraId="79BD26FF">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452" w:type="pct"/>
            <w:tcBorders>
              <w:tl2br w:val="nil"/>
              <w:tr2bl w:val="nil"/>
            </w:tcBorders>
            <w:vAlign w:val="center"/>
          </w:tcPr>
          <w:p w14:paraId="688DECB6">
            <w:pPr>
              <w:spacing w:line="240" w:lineRule="auto"/>
              <w:ind w:firstLine="0" w:firstLineChars="0"/>
              <w:jc w:val="center"/>
              <w:rPr>
                <w:color w:val="auto"/>
                <w:sz w:val="21"/>
                <w:szCs w:val="21"/>
                <w:highlight w:val="none"/>
                <w:u w:val="single"/>
              </w:rPr>
            </w:pPr>
            <w:r>
              <w:rPr>
                <w:color w:val="auto"/>
                <w:sz w:val="21"/>
                <w:szCs w:val="21"/>
                <w:highlight w:val="none"/>
                <w:u w:val="single"/>
              </w:rPr>
              <w:t>37.5</w:t>
            </w:r>
          </w:p>
        </w:tc>
        <w:tc>
          <w:tcPr>
            <w:tcW w:w="984" w:type="pct"/>
            <w:vMerge w:val="continue"/>
            <w:tcBorders>
              <w:tl2br w:val="nil"/>
              <w:tr2bl w:val="nil"/>
            </w:tcBorders>
            <w:vAlign w:val="center"/>
          </w:tcPr>
          <w:p w14:paraId="27BEE77F">
            <w:pPr>
              <w:spacing w:line="240" w:lineRule="auto"/>
              <w:ind w:firstLine="0" w:firstLineChars="0"/>
              <w:jc w:val="center"/>
              <w:rPr>
                <w:color w:val="auto"/>
                <w:sz w:val="21"/>
                <w:szCs w:val="21"/>
                <w:highlight w:val="none"/>
                <w:u w:val="single"/>
              </w:rPr>
            </w:pPr>
          </w:p>
        </w:tc>
      </w:tr>
      <w:tr w14:paraId="6E76DF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92" w:type="pct"/>
            <w:tcBorders>
              <w:tl2br w:val="nil"/>
              <w:tr2bl w:val="nil"/>
            </w:tcBorders>
            <w:vAlign w:val="center"/>
          </w:tcPr>
          <w:p w14:paraId="2E39D467">
            <w:pPr>
              <w:spacing w:line="240" w:lineRule="auto"/>
              <w:ind w:firstLine="0" w:firstLineChars="0"/>
              <w:jc w:val="center"/>
              <w:rPr>
                <w:color w:val="auto"/>
                <w:sz w:val="21"/>
                <w:szCs w:val="21"/>
                <w:highlight w:val="none"/>
                <w:u w:val="single"/>
              </w:rPr>
            </w:pPr>
            <w:r>
              <w:rPr>
                <w:color w:val="auto"/>
                <w:sz w:val="21"/>
                <w:szCs w:val="21"/>
                <w:highlight w:val="none"/>
                <w:u w:val="single"/>
              </w:rPr>
              <w:t>S8</w:t>
            </w:r>
          </w:p>
        </w:tc>
        <w:tc>
          <w:tcPr>
            <w:tcW w:w="821" w:type="pct"/>
            <w:tcBorders>
              <w:tl2br w:val="nil"/>
              <w:tr2bl w:val="nil"/>
            </w:tcBorders>
            <w:vAlign w:val="center"/>
          </w:tcPr>
          <w:p w14:paraId="7B962E9C">
            <w:pPr>
              <w:spacing w:line="240" w:lineRule="auto"/>
              <w:ind w:firstLine="0" w:firstLineChars="0"/>
              <w:jc w:val="center"/>
              <w:rPr>
                <w:color w:val="auto"/>
                <w:sz w:val="21"/>
                <w:szCs w:val="21"/>
                <w:highlight w:val="none"/>
                <w:u w:val="single"/>
              </w:rPr>
            </w:pPr>
            <w:r>
              <w:rPr>
                <w:color w:val="auto"/>
                <w:sz w:val="21"/>
                <w:szCs w:val="21"/>
                <w:highlight w:val="none"/>
                <w:u w:val="single"/>
              </w:rPr>
              <w:t>船员生活垃圾</w:t>
            </w:r>
          </w:p>
        </w:tc>
        <w:tc>
          <w:tcPr>
            <w:tcW w:w="565" w:type="pct"/>
            <w:tcBorders>
              <w:tl2br w:val="nil"/>
              <w:tr2bl w:val="nil"/>
            </w:tcBorders>
            <w:vAlign w:val="center"/>
          </w:tcPr>
          <w:p w14:paraId="4B87038B">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337" w:type="pct"/>
            <w:tcBorders>
              <w:tl2br w:val="nil"/>
              <w:tr2bl w:val="nil"/>
            </w:tcBorders>
            <w:vAlign w:val="center"/>
          </w:tcPr>
          <w:p w14:paraId="159FC27E">
            <w:pPr>
              <w:spacing w:line="240" w:lineRule="auto"/>
              <w:ind w:firstLine="0" w:firstLineChars="0"/>
              <w:jc w:val="center"/>
              <w:rPr>
                <w:color w:val="auto"/>
                <w:sz w:val="21"/>
                <w:szCs w:val="21"/>
                <w:highlight w:val="none"/>
                <w:u w:val="single"/>
              </w:rPr>
            </w:pPr>
            <w:r>
              <w:rPr>
                <w:color w:val="auto"/>
                <w:sz w:val="21"/>
                <w:szCs w:val="21"/>
                <w:highlight w:val="none"/>
                <w:u w:val="single"/>
              </w:rPr>
              <w:t>固态</w:t>
            </w:r>
          </w:p>
        </w:tc>
        <w:tc>
          <w:tcPr>
            <w:tcW w:w="605" w:type="pct"/>
            <w:tcBorders>
              <w:tl2br w:val="nil"/>
              <w:tr2bl w:val="nil"/>
            </w:tcBorders>
            <w:vAlign w:val="center"/>
          </w:tcPr>
          <w:p w14:paraId="2CF50AD4">
            <w:pPr>
              <w:spacing w:line="240" w:lineRule="auto"/>
              <w:ind w:firstLine="0" w:firstLineChars="0"/>
              <w:jc w:val="center"/>
              <w:rPr>
                <w:color w:val="auto"/>
                <w:sz w:val="21"/>
                <w:szCs w:val="21"/>
                <w:highlight w:val="none"/>
                <w:u w:val="single"/>
              </w:rPr>
            </w:pPr>
            <w:r>
              <w:rPr>
                <w:color w:val="auto"/>
                <w:sz w:val="21"/>
                <w:szCs w:val="21"/>
                <w:highlight w:val="none"/>
                <w:u w:val="single"/>
              </w:rPr>
              <w:t>一般固废</w:t>
            </w:r>
          </w:p>
        </w:tc>
        <w:tc>
          <w:tcPr>
            <w:tcW w:w="944" w:type="pct"/>
            <w:tcBorders>
              <w:tl2br w:val="nil"/>
              <w:tr2bl w:val="nil"/>
            </w:tcBorders>
            <w:vAlign w:val="center"/>
          </w:tcPr>
          <w:p w14:paraId="4FAD438D">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452" w:type="pct"/>
            <w:tcBorders>
              <w:tl2br w:val="nil"/>
              <w:tr2bl w:val="nil"/>
            </w:tcBorders>
            <w:vAlign w:val="center"/>
          </w:tcPr>
          <w:p w14:paraId="45055E93">
            <w:pPr>
              <w:spacing w:line="240" w:lineRule="auto"/>
              <w:ind w:firstLine="0" w:firstLineChars="0"/>
              <w:jc w:val="center"/>
              <w:rPr>
                <w:color w:val="auto"/>
                <w:sz w:val="21"/>
                <w:szCs w:val="21"/>
                <w:highlight w:val="none"/>
                <w:u w:val="single"/>
              </w:rPr>
            </w:pPr>
            <w:r>
              <w:rPr>
                <w:color w:val="auto"/>
                <w:sz w:val="21"/>
                <w:szCs w:val="21"/>
                <w:highlight w:val="none"/>
                <w:u w:val="single"/>
              </w:rPr>
              <w:t>9</w:t>
            </w:r>
          </w:p>
        </w:tc>
        <w:tc>
          <w:tcPr>
            <w:tcW w:w="984" w:type="pct"/>
            <w:vMerge w:val="continue"/>
            <w:tcBorders>
              <w:tl2br w:val="nil"/>
              <w:tr2bl w:val="nil"/>
            </w:tcBorders>
            <w:vAlign w:val="center"/>
          </w:tcPr>
          <w:p w14:paraId="7A0A0BE2">
            <w:pPr>
              <w:spacing w:line="240" w:lineRule="auto"/>
              <w:ind w:firstLine="0" w:firstLineChars="0"/>
              <w:jc w:val="center"/>
              <w:rPr>
                <w:color w:val="auto"/>
                <w:sz w:val="21"/>
                <w:szCs w:val="21"/>
                <w:highlight w:val="none"/>
                <w:u w:val="single"/>
              </w:rPr>
            </w:pPr>
          </w:p>
        </w:tc>
      </w:tr>
      <w:tr w14:paraId="59E98C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78" w:type="pct"/>
            <w:gridSpan w:val="3"/>
            <w:tcBorders>
              <w:tl2br w:val="nil"/>
              <w:tr2bl w:val="nil"/>
            </w:tcBorders>
            <w:vAlign w:val="center"/>
          </w:tcPr>
          <w:p w14:paraId="615CA7C6">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一般固废小计</w:t>
            </w:r>
          </w:p>
        </w:tc>
        <w:tc>
          <w:tcPr>
            <w:tcW w:w="337" w:type="pct"/>
            <w:tcBorders>
              <w:tl2br w:val="nil"/>
              <w:tr2bl w:val="nil"/>
            </w:tcBorders>
            <w:vAlign w:val="center"/>
          </w:tcPr>
          <w:p w14:paraId="3A9D3C75">
            <w:pPr>
              <w:spacing w:line="240" w:lineRule="auto"/>
              <w:ind w:firstLine="0" w:firstLineChars="0"/>
              <w:jc w:val="center"/>
              <w:rPr>
                <w:b/>
                <w:bCs/>
                <w:color w:val="auto"/>
                <w:sz w:val="21"/>
                <w:szCs w:val="21"/>
                <w:highlight w:val="none"/>
                <w:u w:val="single"/>
              </w:rPr>
            </w:pPr>
          </w:p>
        </w:tc>
        <w:tc>
          <w:tcPr>
            <w:tcW w:w="605" w:type="pct"/>
            <w:tcBorders>
              <w:tl2br w:val="nil"/>
              <w:tr2bl w:val="nil"/>
            </w:tcBorders>
            <w:vAlign w:val="center"/>
          </w:tcPr>
          <w:p w14:paraId="3D253310">
            <w:pPr>
              <w:spacing w:line="240" w:lineRule="auto"/>
              <w:ind w:firstLine="0" w:firstLineChars="0"/>
              <w:jc w:val="center"/>
              <w:rPr>
                <w:b/>
                <w:bCs/>
                <w:color w:val="auto"/>
                <w:sz w:val="21"/>
                <w:szCs w:val="21"/>
                <w:highlight w:val="none"/>
                <w:u w:val="single"/>
              </w:rPr>
            </w:pPr>
          </w:p>
        </w:tc>
        <w:tc>
          <w:tcPr>
            <w:tcW w:w="944" w:type="pct"/>
            <w:tcBorders>
              <w:tl2br w:val="nil"/>
              <w:tr2bl w:val="nil"/>
            </w:tcBorders>
            <w:vAlign w:val="center"/>
          </w:tcPr>
          <w:p w14:paraId="5724CF7E">
            <w:pPr>
              <w:spacing w:line="240" w:lineRule="auto"/>
              <w:ind w:firstLine="0" w:firstLineChars="0"/>
              <w:jc w:val="center"/>
              <w:rPr>
                <w:b/>
                <w:bCs/>
                <w:color w:val="auto"/>
                <w:sz w:val="21"/>
                <w:szCs w:val="21"/>
                <w:highlight w:val="none"/>
                <w:u w:val="single"/>
              </w:rPr>
            </w:pPr>
          </w:p>
        </w:tc>
        <w:tc>
          <w:tcPr>
            <w:tcW w:w="452" w:type="pct"/>
            <w:tcBorders>
              <w:tl2br w:val="nil"/>
              <w:tr2bl w:val="nil"/>
            </w:tcBorders>
            <w:vAlign w:val="center"/>
          </w:tcPr>
          <w:p w14:paraId="3A38F714">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fldChar w:fldCharType="begin"/>
            </w:r>
            <w:r>
              <w:rPr>
                <w:b/>
                <w:bCs/>
                <w:color w:val="auto"/>
                <w:sz w:val="21"/>
                <w:szCs w:val="21"/>
                <w:highlight w:val="none"/>
                <w:u w:val="single"/>
              </w:rPr>
              <w:instrText xml:space="preserve"> =SUM(ABOVE) \* MERGEFORMAT </w:instrText>
            </w:r>
            <w:r>
              <w:rPr>
                <w:b/>
                <w:bCs/>
                <w:color w:val="auto"/>
                <w:sz w:val="21"/>
                <w:szCs w:val="21"/>
                <w:highlight w:val="none"/>
                <w:u w:val="single"/>
              </w:rPr>
              <w:fldChar w:fldCharType="separate"/>
            </w:r>
            <w:r>
              <w:rPr>
                <w:b/>
                <w:bCs/>
                <w:color w:val="auto"/>
                <w:sz w:val="21"/>
                <w:szCs w:val="21"/>
                <w:highlight w:val="none"/>
                <w:u w:val="single"/>
              </w:rPr>
              <w:t>3815.78</w:t>
            </w:r>
            <w:r>
              <w:rPr>
                <w:b/>
                <w:bCs/>
                <w:color w:val="auto"/>
                <w:sz w:val="21"/>
                <w:szCs w:val="21"/>
                <w:highlight w:val="none"/>
                <w:u w:val="single"/>
              </w:rPr>
              <w:fldChar w:fldCharType="end"/>
            </w:r>
          </w:p>
        </w:tc>
        <w:tc>
          <w:tcPr>
            <w:tcW w:w="984" w:type="pct"/>
            <w:tcBorders>
              <w:tl2br w:val="nil"/>
              <w:tr2bl w:val="nil"/>
            </w:tcBorders>
            <w:vAlign w:val="center"/>
          </w:tcPr>
          <w:p w14:paraId="366BA018">
            <w:pPr>
              <w:spacing w:line="240" w:lineRule="auto"/>
              <w:ind w:firstLine="0" w:firstLineChars="0"/>
              <w:jc w:val="center"/>
              <w:rPr>
                <w:color w:val="auto"/>
                <w:sz w:val="21"/>
                <w:szCs w:val="21"/>
                <w:highlight w:val="none"/>
                <w:u w:val="single"/>
              </w:rPr>
            </w:pPr>
          </w:p>
        </w:tc>
      </w:tr>
      <w:tr w14:paraId="1425B0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92" w:type="pct"/>
            <w:tcBorders>
              <w:tl2br w:val="nil"/>
              <w:tr2bl w:val="nil"/>
            </w:tcBorders>
            <w:vAlign w:val="center"/>
          </w:tcPr>
          <w:p w14:paraId="6FCAF394">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二</w:t>
            </w:r>
          </w:p>
        </w:tc>
        <w:tc>
          <w:tcPr>
            <w:tcW w:w="4708" w:type="pct"/>
            <w:gridSpan w:val="7"/>
            <w:tcBorders>
              <w:tl2br w:val="nil"/>
              <w:tr2bl w:val="nil"/>
            </w:tcBorders>
            <w:vAlign w:val="center"/>
          </w:tcPr>
          <w:p w14:paraId="57EF5892">
            <w:pPr>
              <w:spacing w:line="240" w:lineRule="auto"/>
              <w:ind w:firstLine="0" w:firstLineChars="0"/>
              <w:jc w:val="center"/>
              <w:rPr>
                <w:color w:val="auto"/>
                <w:sz w:val="21"/>
                <w:szCs w:val="21"/>
                <w:highlight w:val="none"/>
                <w:u w:val="single"/>
              </w:rPr>
            </w:pPr>
            <w:r>
              <w:rPr>
                <w:b/>
                <w:bCs/>
                <w:color w:val="auto"/>
                <w:sz w:val="21"/>
                <w:szCs w:val="21"/>
                <w:highlight w:val="none"/>
                <w:u w:val="single"/>
              </w:rPr>
              <w:t>危险废物</w:t>
            </w:r>
          </w:p>
        </w:tc>
      </w:tr>
      <w:tr w14:paraId="5A6351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92" w:type="pct"/>
            <w:tcBorders>
              <w:tl2br w:val="nil"/>
              <w:tr2bl w:val="nil"/>
            </w:tcBorders>
            <w:vAlign w:val="center"/>
          </w:tcPr>
          <w:p w14:paraId="04FBB709">
            <w:pPr>
              <w:spacing w:line="240" w:lineRule="auto"/>
              <w:ind w:firstLine="0" w:firstLineChars="0"/>
              <w:jc w:val="center"/>
              <w:rPr>
                <w:color w:val="auto"/>
                <w:sz w:val="21"/>
                <w:szCs w:val="21"/>
                <w:highlight w:val="none"/>
                <w:u w:val="single"/>
              </w:rPr>
            </w:pPr>
            <w:r>
              <w:rPr>
                <w:color w:val="auto"/>
                <w:sz w:val="21"/>
                <w:szCs w:val="21"/>
                <w:highlight w:val="none"/>
                <w:u w:val="single"/>
              </w:rPr>
              <w:t>S9</w:t>
            </w:r>
          </w:p>
        </w:tc>
        <w:tc>
          <w:tcPr>
            <w:tcW w:w="821" w:type="pct"/>
            <w:tcBorders>
              <w:tl2br w:val="nil"/>
              <w:tr2bl w:val="nil"/>
            </w:tcBorders>
            <w:vAlign w:val="center"/>
          </w:tcPr>
          <w:p w14:paraId="47A98798">
            <w:pPr>
              <w:spacing w:line="240" w:lineRule="auto"/>
              <w:ind w:firstLine="0" w:firstLineChars="0"/>
              <w:jc w:val="center"/>
              <w:rPr>
                <w:color w:val="auto"/>
                <w:sz w:val="21"/>
                <w:szCs w:val="21"/>
                <w:highlight w:val="none"/>
                <w:u w:val="single"/>
              </w:rPr>
            </w:pPr>
            <w:r>
              <w:rPr>
                <w:color w:val="auto"/>
                <w:sz w:val="21"/>
                <w:szCs w:val="21"/>
                <w:highlight w:val="none"/>
                <w:u w:val="single"/>
              </w:rPr>
              <w:t>船舶废油</w:t>
            </w:r>
          </w:p>
        </w:tc>
        <w:tc>
          <w:tcPr>
            <w:tcW w:w="565" w:type="pct"/>
            <w:tcBorders>
              <w:tl2br w:val="nil"/>
              <w:tr2bl w:val="nil"/>
            </w:tcBorders>
            <w:vAlign w:val="center"/>
          </w:tcPr>
          <w:p w14:paraId="4DC3BC51">
            <w:pPr>
              <w:spacing w:line="240" w:lineRule="auto"/>
              <w:ind w:firstLine="0" w:firstLineChars="0"/>
              <w:jc w:val="center"/>
              <w:rPr>
                <w:color w:val="auto"/>
                <w:sz w:val="21"/>
                <w:szCs w:val="21"/>
                <w:highlight w:val="none"/>
                <w:u w:val="single"/>
              </w:rPr>
            </w:pPr>
            <w:r>
              <w:rPr>
                <w:color w:val="auto"/>
                <w:sz w:val="21"/>
                <w:szCs w:val="21"/>
                <w:highlight w:val="none"/>
                <w:u w:val="single"/>
              </w:rPr>
              <w:t>舱内残油清除</w:t>
            </w:r>
          </w:p>
        </w:tc>
        <w:tc>
          <w:tcPr>
            <w:tcW w:w="337" w:type="pct"/>
            <w:tcBorders>
              <w:tl2br w:val="nil"/>
              <w:tr2bl w:val="nil"/>
            </w:tcBorders>
            <w:vAlign w:val="center"/>
          </w:tcPr>
          <w:p w14:paraId="691C510E">
            <w:pPr>
              <w:spacing w:line="240" w:lineRule="auto"/>
              <w:ind w:firstLine="0" w:firstLineChars="0"/>
              <w:jc w:val="center"/>
              <w:rPr>
                <w:color w:val="auto"/>
                <w:sz w:val="21"/>
                <w:szCs w:val="21"/>
                <w:highlight w:val="none"/>
                <w:u w:val="single"/>
              </w:rPr>
            </w:pPr>
            <w:r>
              <w:rPr>
                <w:color w:val="auto"/>
                <w:sz w:val="21"/>
                <w:szCs w:val="21"/>
                <w:highlight w:val="none"/>
                <w:u w:val="single"/>
              </w:rPr>
              <w:t>液态</w:t>
            </w:r>
          </w:p>
        </w:tc>
        <w:tc>
          <w:tcPr>
            <w:tcW w:w="605" w:type="pct"/>
            <w:tcBorders>
              <w:tl2br w:val="nil"/>
              <w:tr2bl w:val="nil"/>
            </w:tcBorders>
            <w:vAlign w:val="center"/>
          </w:tcPr>
          <w:p w14:paraId="7E5E79EC">
            <w:pPr>
              <w:spacing w:line="240" w:lineRule="auto"/>
              <w:ind w:firstLine="0" w:firstLineChars="0"/>
              <w:jc w:val="center"/>
              <w:rPr>
                <w:color w:val="auto"/>
                <w:sz w:val="21"/>
                <w:szCs w:val="21"/>
                <w:highlight w:val="none"/>
                <w:u w:val="single"/>
              </w:rPr>
            </w:pPr>
            <w:r>
              <w:rPr>
                <w:color w:val="auto"/>
                <w:sz w:val="21"/>
                <w:szCs w:val="21"/>
                <w:highlight w:val="none"/>
                <w:u w:val="single"/>
              </w:rPr>
              <w:t>危废</w:t>
            </w:r>
          </w:p>
        </w:tc>
        <w:tc>
          <w:tcPr>
            <w:tcW w:w="944" w:type="pct"/>
            <w:tcBorders>
              <w:tl2br w:val="nil"/>
              <w:tr2bl w:val="nil"/>
            </w:tcBorders>
            <w:vAlign w:val="center"/>
          </w:tcPr>
          <w:p w14:paraId="09784BE6">
            <w:pPr>
              <w:spacing w:line="240" w:lineRule="auto"/>
              <w:ind w:firstLine="0" w:firstLineChars="0"/>
              <w:jc w:val="center"/>
              <w:rPr>
                <w:color w:val="auto"/>
                <w:sz w:val="21"/>
                <w:szCs w:val="21"/>
                <w:highlight w:val="none"/>
                <w:u w:val="single"/>
              </w:rPr>
            </w:pPr>
            <w:r>
              <w:rPr>
                <w:color w:val="auto"/>
                <w:sz w:val="21"/>
                <w:szCs w:val="21"/>
                <w:highlight w:val="none"/>
                <w:u w:val="single"/>
              </w:rPr>
              <w:t>HW08-900-214-08</w:t>
            </w:r>
          </w:p>
        </w:tc>
        <w:tc>
          <w:tcPr>
            <w:tcW w:w="452" w:type="pct"/>
            <w:tcBorders>
              <w:tl2br w:val="nil"/>
              <w:tr2bl w:val="nil"/>
            </w:tcBorders>
            <w:vAlign w:val="center"/>
          </w:tcPr>
          <w:p w14:paraId="67045F17">
            <w:pPr>
              <w:spacing w:line="240" w:lineRule="auto"/>
              <w:ind w:firstLine="0" w:firstLineChars="0"/>
              <w:jc w:val="center"/>
              <w:rPr>
                <w:color w:val="auto"/>
                <w:sz w:val="21"/>
                <w:szCs w:val="21"/>
                <w:highlight w:val="none"/>
                <w:u w:val="single"/>
              </w:rPr>
            </w:pPr>
            <w:r>
              <w:rPr>
                <w:color w:val="auto"/>
                <w:sz w:val="21"/>
                <w:szCs w:val="21"/>
                <w:highlight w:val="none"/>
                <w:u w:val="single"/>
              </w:rPr>
              <w:t>90</w:t>
            </w:r>
          </w:p>
        </w:tc>
        <w:tc>
          <w:tcPr>
            <w:tcW w:w="984" w:type="pct"/>
            <w:vMerge w:val="restart"/>
            <w:tcBorders>
              <w:tl2br w:val="nil"/>
              <w:tr2bl w:val="nil"/>
            </w:tcBorders>
            <w:vAlign w:val="center"/>
          </w:tcPr>
          <w:p w14:paraId="2DC0D976">
            <w:pPr>
              <w:overflowPunct w:val="0"/>
              <w:autoSpaceDE w:val="0"/>
              <w:autoSpaceDN w:val="0"/>
              <w:spacing w:line="240" w:lineRule="auto"/>
              <w:ind w:firstLine="0" w:firstLineChars="0"/>
              <w:textAlignment w:val="bottom"/>
              <w:rPr>
                <w:color w:val="auto"/>
                <w:sz w:val="21"/>
                <w:szCs w:val="21"/>
                <w:highlight w:val="none"/>
                <w:u w:val="single"/>
              </w:rPr>
            </w:pPr>
            <w:r>
              <w:rPr>
                <w:color w:val="auto"/>
                <w:sz w:val="21"/>
                <w:szCs w:val="21"/>
                <w:highlight w:val="none"/>
                <w:u w:val="single"/>
              </w:rPr>
              <w:t>在危废间分类暂存，定期由中标单位（</w:t>
            </w:r>
            <w:r>
              <w:rPr>
                <w:rFonts w:hint="eastAsia"/>
                <w:color w:val="auto"/>
                <w:sz w:val="21"/>
                <w:szCs w:val="21"/>
                <w:highlight w:val="none"/>
                <w:u w:val="single"/>
              </w:rPr>
              <w:t>最近一次委托处理单位为广西深投环保科技有限公司，目前正在签订新的委托合同</w:t>
            </w:r>
            <w:r>
              <w:rPr>
                <w:color w:val="auto"/>
                <w:sz w:val="21"/>
                <w:szCs w:val="21"/>
                <w:highlight w:val="none"/>
                <w:u w:val="single"/>
              </w:rPr>
              <w:t>）外运处理</w:t>
            </w:r>
          </w:p>
        </w:tc>
      </w:tr>
      <w:tr w14:paraId="638F5E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92" w:type="pct"/>
            <w:tcBorders>
              <w:tl2br w:val="nil"/>
              <w:tr2bl w:val="nil"/>
            </w:tcBorders>
            <w:vAlign w:val="center"/>
          </w:tcPr>
          <w:p w14:paraId="2F2BD027">
            <w:pPr>
              <w:spacing w:line="240" w:lineRule="auto"/>
              <w:ind w:firstLine="0" w:firstLineChars="0"/>
              <w:jc w:val="center"/>
              <w:rPr>
                <w:color w:val="auto"/>
                <w:sz w:val="21"/>
                <w:szCs w:val="21"/>
                <w:highlight w:val="none"/>
                <w:u w:val="single"/>
              </w:rPr>
            </w:pPr>
            <w:r>
              <w:rPr>
                <w:color w:val="auto"/>
                <w:sz w:val="21"/>
                <w:szCs w:val="21"/>
                <w:highlight w:val="none"/>
                <w:u w:val="single"/>
              </w:rPr>
              <w:t>S10</w:t>
            </w:r>
          </w:p>
        </w:tc>
        <w:tc>
          <w:tcPr>
            <w:tcW w:w="821" w:type="pct"/>
            <w:tcBorders>
              <w:tl2br w:val="nil"/>
              <w:tr2bl w:val="nil"/>
            </w:tcBorders>
            <w:vAlign w:val="center"/>
          </w:tcPr>
          <w:p w14:paraId="3EDD435B">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漆渣</w:t>
            </w:r>
          </w:p>
        </w:tc>
        <w:tc>
          <w:tcPr>
            <w:tcW w:w="565" w:type="pct"/>
            <w:tcBorders>
              <w:tl2br w:val="nil"/>
              <w:tr2bl w:val="nil"/>
            </w:tcBorders>
            <w:vAlign w:val="center"/>
          </w:tcPr>
          <w:p w14:paraId="496DD612">
            <w:pPr>
              <w:spacing w:line="240" w:lineRule="auto"/>
              <w:ind w:firstLine="0" w:firstLineChars="0"/>
              <w:jc w:val="center"/>
              <w:rPr>
                <w:color w:val="auto"/>
                <w:sz w:val="21"/>
                <w:szCs w:val="21"/>
                <w:highlight w:val="none"/>
                <w:u w:val="single"/>
              </w:rPr>
            </w:pPr>
            <w:r>
              <w:rPr>
                <w:color w:val="auto"/>
                <w:sz w:val="21"/>
                <w:szCs w:val="21"/>
                <w:highlight w:val="none"/>
                <w:u w:val="single"/>
              </w:rPr>
              <w:t>船坞喷漆</w:t>
            </w:r>
          </w:p>
        </w:tc>
        <w:tc>
          <w:tcPr>
            <w:tcW w:w="337" w:type="pct"/>
            <w:tcBorders>
              <w:tl2br w:val="nil"/>
              <w:tr2bl w:val="nil"/>
            </w:tcBorders>
            <w:vAlign w:val="center"/>
          </w:tcPr>
          <w:p w14:paraId="15BA4C7B">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固态</w:t>
            </w:r>
          </w:p>
        </w:tc>
        <w:tc>
          <w:tcPr>
            <w:tcW w:w="605" w:type="pct"/>
            <w:tcBorders>
              <w:tl2br w:val="nil"/>
              <w:tr2bl w:val="nil"/>
            </w:tcBorders>
            <w:vAlign w:val="center"/>
          </w:tcPr>
          <w:p w14:paraId="2714B94A">
            <w:pPr>
              <w:spacing w:line="240" w:lineRule="auto"/>
              <w:ind w:firstLine="0" w:firstLineChars="0"/>
              <w:jc w:val="center"/>
              <w:rPr>
                <w:color w:val="auto"/>
                <w:sz w:val="21"/>
                <w:szCs w:val="21"/>
                <w:highlight w:val="none"/>
                <w:u w:val="single"/>
              </w:rPr>
            </w:pPr>
            <w:r>
              <w:rPr>
                <w:color w:val="auto"/>
                <w:sz w:val="21"/>
                <w:szCs w:val="21"/>
                <w:highlight w:val="none"/>
                <w:u w:val="single"/>
              </w:rPr>
              <w:t>危废</w:t>
            </w:r>
          </w:p>
        </w:tc>
        <w:tc>
          <w:tcPr>
            <w:tcW w:w="944" w:type="pct"/>
            <w:tcBorders>
              <w:tl2br w:val="nil"/>
              <w:tr2bl w:val="nil"/>
            </w:tcBorders>
            <w:vAlign w:val="center"/>
          </w:tcPr>
          <w:p w14:paraId="611524F9">
            <w:pPr>
              <w:spacing w:line="240" w:lineRule="auto"/>
              <w:ind w:firstLine="0" w:firstLineChars="0"/>
              <w:jc w:val="center"/>
              <w:rPr>
                <w:color w:val="auto"/>
                <w:sz w:val="21"/>
                <w:szCs w:val="21"/>
                <w:highlight w:val="none"/>
                <w:u w:val="single"/>
              </w:rPr>
            </w:pPr>
            <w:r>
              <w:rPr>
                <w:color w:val="auto"/>
                <w:sz w:val="21"/>
                <w:szCs w:val="21"/>
                <w:highlight w:val="none"/>
                <w:u w:val="single"/>
              </w:rPr>
              <w:t>HW</w:t>
            </w:r>
            <w:r>
              <w:rPr>
                <w:rFonts w:hint="eastAsia"/>
                <w:color w:val="auto"/>
                <w:sz w:val="21"/>
                <w:szCs w:val="21"/>
                <w:highlight w:val="none"/>
                <w:u w:val="single"/>
              </w:rPr>
              <w:t>12</w:t>
            </w:r>
            <w:r>
              <w:rPr>
                <w:color w:val="auto"/>
                <w:sz w:val="21"/>
                <w:szCs w:val="21"/>
                <w:highlight w:val="none"/>
                <w:u w:val="single"/>
              </w:rPr>
              <w:t>-900-252-12</w:t>
            </w:r>
          </w:p>
        </w:tc>
        <w:tc>
          <w:tcPr>
            <w:tcW w:w="452" w:type="pct"/>
            <w:tcBorders>
              <w:tl2br w:val="nil"/>
              <w:tr2bl w:val="nil"/>
            </w:tcBorders>
            <w:vAlign w:val="center"/>
          </w:tcPr>
          <w:p w14:paraId="03383D2D">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20.60</w:t>
            </w:r>
          </w:p>
        </w:tc>
        <w:tc>
          <w:tcPr>
            <w:tcW w:w="984" w:type="pct"/>
            <w:vMerge w:val="continue"/>
            <w:tcBorders>
              <w:tl2br w:val="nil"/>
              <w:tr2bl w:val="nil"/>
            </w:tcBorders>
            <w:vAlign w:val="center"/>
          </w:tcPr>
          <w:p w14:paraId="1F8F9D39">
            <w:pPr>
              <w:overflowPunct w:val="0"/>
              <w:autoSpaceDE w:val="0"/>
              <w:autoSpaceDN w:val="0"/>
              <w:spacing w:line="240" w:lineRule="auto"/>
              <w:ind w:firstLine="0" w:firstLineChars="0"/>
              <w:textAlignment w:val="bottom"/>
              <w:rPr>
                <w:color w:val="auto"/>
                <w:sz w:val="21"/>
                <w:szCs w:val="21"/>
                <w:highlight w:val="none"/>
                <w:u w:val="single"/>
              </w:rPr>
            </w:pPr>
          </w:p>
        </w:tc>
      </w:tr>
      <w:tr w14:paraId="7E9AC8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92" w:type="pct"/>
            <w:tcBorders>
              <w:tl2br w:val="nil"/>
              <w:tr2bl w:val="nil"/>
            </w:tcBorders>
            <w:vAlign w:val="center"/>
          </w:tcPr>
          <w:p w14:paraId="0E1D370D">
            <w:pPr>
              <w:spacing w:line="240" w:lineRule="auto"/>
              <w:ind w:firstLine="0" w:firstLineChars="0"/>
              <w:jc w:val="center"/>
              <w:rPr>
                <w:color w:val="auto"/>
                <w:sz w:val="21"/>
                <w:szCs w:val="21"/>
                <w:highlight w:val="none"/>
                <w:u w:val="single"/>
              </w:rPr>
            </w:pPr>
            <w:r>
              <w:rPr>
                <w:color w:val="auto"/>
                <w:sz w:val="21"/>
                <w:szCs w:val="21"/>
                <w:highlight w:val="none"/>
                <w:u w:val="single"/>
              </w:rPr>
              <w:t>S11</w:t>
            </w:r>
          </w:p>
        </w:tc>
        <w:tc>
          <w:tcPr>
            <w:tcW w:w="821" w:type="pct"/>
            <w:tcBorders>
              <w:tl2br w:val="nil"/>
              <w:tr2bl w:val="nil"/>
            </w:tcBorders>
            <w:vAlign w:val="center"/>
          </w:tcPr>
          <w:p w14:paraId="11D59883">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废油漆桶及稀释剂包装物</w:t>
            </w:r>
          </w:p>
        </w:tc>
        <w:tc>
          <w:tcPr>
            <w:tcW w:w="565" w:type="pct"/>
            <w:tcBorders>
              <w:tl2br w:val="nil"/>
              <w:tr2bl w:val="nil"/>
            </w:tcBorders>
            <w:vAlign w:val="center"/>
          </w:tcPr>
          <w:p w14:paraId="4A488233">
            <w:pPr>
              <w:spacing w:line="240" w:lineRule="auto"/>
              <w:ind w:firstLine="0" w:firstLineChars="0"/>
              <w:jc w:val="center"/>
              <w:rPr>
                <w:color w:val="auto"/>
                <w:sz w:val="21"/>
                <w:szCs w:val="21"/>
                <w:highlight w:val="none"/>
                <w:u w:val="single"/>
              </w:rPr>
            </w:pPr>
            <w:r>
              <w:rPr>
                <w:color w:val="auto"/>
                <w:sz w:val="21"/>
                <w:szCs w:val="21"/>
                <w:highlight w:val="none"/>
                <w:u w:val="single"/>
              </w:rPr>
              <w:t>船坞喷漆</w:t>
            </w:r>
          </w:p>
        </w:tc>
        <w:tc>
          <w:tcPr>
            <w:tcW w:w="337" w:type="pct"/>
            <w:tcBorders>
              <w:tl2br w:val="nil"/>
              <w:tr2bl w:val="nil"/>
            </w:tcBorders>
            <w:vAlign w:val="center"/>
          </w:tcPr>
          <w:p w14:paraId="5AB7C999">
            <w:pPr>
              <w:spacing w:line="240" w:lineRule="auto"/>
              <w:ind w:firstLine="0" w:firstLineChars="0"/>
              <w:jc w:val="center"/>
              <w:rPr>
                <w:color w:val="auto"/>
                <w:sz w:val="21"/>
                <w:szCs w:val="21"/>
                <w:highlight w:val="none"/>
                <w:u w:val="single"/>
              </w:rPr>
            </w:pPr>
            <w:r>
              <w:rPr>
                <w:color w:val="auto"/>
                <w:sz w:val="21"/>
                <w:szCs w:val="21"/>
                <w:highlight w:val="none"/>
                <w:u w:val="single"/>
              </w:rPr>
              <w:t>固态</w:t>
            </w:r>
          </w:p>
        </w:tc>
        <w:tc>
          <w:tcPr>
            <w:tcW w:w="605" w:type="pct"/>
            <w:tcBorders>
              <w:tl2br w:val="nil"/>
              <w:tr2bl w:val="nil"/>
            </w:tcBorders>
            <w:vAlign w:val="center"/>
          </w:tcPr>
          <w:p w14:paraId="57BDE213">
            <w:pPr>
              <w:spacing w:line="240" w:lineRule="auto"/>
              <w:ind w:firstLine="0" w:firstLineChars="0"/>
              <w:jc w:val="center"/>
              <w:rPr>
                <w:color w:val="auto"/>
                <w:sz w:val="21"/>
                <w:szCs w:val="21"/>
                <w:highlight w:val="none"/>
                <w:u w:val="single"/>
              </w:rPr>
            </w:pPr>
            <w:r>
              <w:rPr>
                <w:color w:val="auto"/>
                <w:sz w:val="21"/>
                <w:szCs w:val="21"/>
                <w:highlight w:val="none"/>
                <w:u w:val="single"/>
              </w:rPr>
              <w:t>危废</w:t>
            </w:r>
          </w:p>
        </w:tc>
        <w:tc>
          <w:tcPr>
            <w:tcW w:w="944" w:type="pct"/>
            <w:tcBorders>
              <w:tl2br w:val="nil"/>
              <w:tr2bl w:val="nil"/>
            </w:tcBorders>
            <w:vAlign w:val="center"/>
          </w:tcPr>
          <w:p w14:paraId="2A96D788">
            <w:pPr>
              <w:spacing w:line="240" w:lineRule="auto"/>
              <w:ind w:firstLine="0" w:firstLineChars="0"/>
              <w:jc w:val="center"/>
              <w:rPr>
                <w:color w:val="auto"/>
                <w:sz w:val="21"/>
                <w:szCs w:val="21"/>
                <w:highlight w:val="none"/>
                <w:u w:val="single"/>
              </w:rPr>
            </w:pPr>
            <w:r>
              <w:rPr>
                <w:color w:val="auto"/>
                <w:sz w:val="21"/>
                <w:szCs w:val="21"/>
                <w:highlight w:val="none"/>
                <w:u w:val="single"/>
              </w:rPr>
              <w:t>HW49-900-041-49</w:t>
            </w:r>
          </w:p>
        </w:tc>
        <w:tc>
          <w:tcPr>
            <w:tcW w:w="452" w:type="pct"/>
            <w:tcBorders>
              <w:tl2br w:val="nil"/>
              <w:tr2bl w:val="nil"/>
            </w:tcBorders>
            <w:vAlign w:val="center"/>
          </w:tcPr>
          <w:p w14:paraId="77D75412">
            <w:pPr>
              <w:spacing w:line="240" w:lineRule="auto"/>
              <w:ind w:firstLine="0" w:firstLineChars="0"/>
              <w:jc w:val="center"/>
              <w:rPr>
                <w:color w:val="auto"/>
                <w:sz w:val="21"/>
                <w:szCs w:val="21"/>
                <w:highlight w:val="none"/>
                <w:u w:val="single"/>
              </w:rPr>
            </w:pPr>
            <w:r>
              <w:rPr>
                <w:color w:val="auto"/>
                <w:sz w:val="21"/>
                <w:szCs w:val="21"/>
                <w:highlight w:val="none"/>
                <w:u w:val="single"/>
              </w:rPr>
              <w:t>15.11</w:t>
            </w:r>
          </w:p>
        </w:tc>
        <w:tc>
          <w:tcPr>
            <w:tcW w:w="984" w:type="pct"/>
            <w:vMerge w:val="continue"/>
            <w:tcBorders>
              <w:tl2br w:val="nil"/>
              <w:tr2bl w:val="nil"/>
            </w:tcBorders>
            <w:vAlign w:val="center"/>
          </w:tcPr>
          <w:p w14:paraId="1AC12450">
            <w:pPr>
              <w:spacing w:line="240" w:lineRule="auto"/>
              <w:ind w:firstLine="0" w:firstLineChars="0"/>
              <w:jc w:val="center"/>
              <w:rPr>
                <w:color w:val="auto"/>
                <w:sz w:val="21"/>
                <w:szCs w:val="21"/>
                <w:highlight w:val="none"/>
                <w:u w:val="single"/>
              </w:rPr>
            </w:pPr>
          </w:p>
        </w:tc>
      </w:tr>
      <w:tr w14:paraId="082D5D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292" w:type="pct"/>
            <w:tcBorders>
              <w:tl2br w:val="nil"/>
              <w:tr2bl w:val="nil"/>
            </w:tcBorders>
            <w:vAlign w:val="center"/>
          </w:tcPr>
          <w:p w14:paraId="130DECD3">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S</w:t>
            </w:r>
            <w:r>
              <w:rPr>
                <w:color w:val="auto"/>
                <w:sz w:val="21"/>
                <w:szCs w:val="21"/>
                <w:highlight w:val="none"/>
                <w:u w:val="single"/>
              </w:rPr>
              <w:t>12</w:t>
            </w:r>
          </w:p>
        </w:tc>
        <w:tc>
          <w:tcPr>
            <w:tcW w:w="821" w:type="pct"/>
            <w:tcBorders>
              <w:tl2br w:val="nil"/>
              <w:tr2bl w:val="nil"/>
            </w:tcBorders>
            <w:vAlign w:val="center"/>
          </w:tcPr>
          <w:p w14:paraId="18431553">
            <w:pPr>
              <w:spacing w:line="240" w:lineRule="auto"/>
              <w:ind w:firstLine="0" w:firstLineChars="0"/>
              <w:jc w:val="center"/>
              <w:rPr>
                <w:color w:val="auto"/>
                <w:sz w:val="21"/>
                <w:szCs w:val="21"/>
                <w:highlight w:val="none"/>
                <w:u w:val="single"/>
              </w:rPr>
            </w:pPr>
            <w:r>
              <w:rPr>
                <w:color w:val="auto"/>
                <w:sz w:val="21"/>
                <w:szCs w:val="21"/>
                <w:highlight w:val="none"/>
                <w:u w:val="single"/>
              </w:rPr>
              <w:t>废油污泥</w:t>
            </w:r>
          </w:p>
        </w:tc>
        <w:tc>
          <w:tcPr>
            <w:tcW w:w="565" w:type="pct"/>
            <w:tcBorders>
              <w:tl2br w:val="nil"/>
              <w:tr2bl w:val="nil"/>
            </w:tcBorders>
            <w:vAlign w:val="center"/>
          </w:tcPr>
          <w:p w14:paraId="6095CD3E">
            <w:pPr>
              <w:spacing w:line="240" w:lineRule="auto"/>
              <w:ind w:firstLine="0" w:firstLineChars="0"/>
              <w:jc w:val="center"/>
              <w:rPr>
                <w:color w:val="auto"/>
                <w:sz w:val="21"/>
                <w:szCs w:val="21"/>
                <w:highlight w:val="none"/>
                <w:u w:val="single"/>
              </w:rPr>
            </w:pPr>
            <w:r>
              <w:rPr>
                <w:color w:val="auto"/>
                <w:sz w:val="21"/>
                <w:szCs w:val="21"/>
                <w:highlight w:val="none"/>
                <w:u w:val="single"/>
              </w:rPr>
              <w:t>污水处理</w:t>
            </w:r>
          </w:p>
        </w:tc>
        <w:tc>
          <w:tcPr>
            <w:tcW w:w="337" w:type="pct"/>
            <w:tcBorders>
              <w:tl2br w:val="nil"/>
              <w:tr2bl w:val="nil"/>
            </w:tcBorders>
            <w:vAlign w:val="center"/>
          </w:tcPr>
          <w:p w14:paraId="6DEFB749">
            <w:pPr>
              <w:spacing w:line="240" w:lineRule="auto"/>
              <w:ind w:firstLine="0" w:firstLineChars="0"/>
              <w:jc w:val="center"/>
              <w:rPr>
                <w:color w:val="auto"/>
                <w:sz w:val="21"/>
                <w:szCs w:val="21"/>
                <w:highlight w:val="none"/>
                <w:u w:val="single"/>
              </w:rPr>
            </w:pPr>
            <w:r>
              <w:rPr>
                <w:color w:val="auto"/>
                <w:sz w:val="21"/>
                <w:szCs w:val="21"/>
                <w:highlight w:val="none"/>
                <w:u w:val="single"/>
              </w:rPr>
              <w:t>液态、固态</w:t>
            </w:r>
          </w:p>
        </w:tc>
        <w:tc>
          <w:tcPr>
            <w:tcW w:w="605" w:type="pct"/>
            <w:tcBorders>
              <w:tl2br w:val="nil"/>
              <w:tr2bl w:val="nil"/>
            </w:tcBorders>
            <w:vAlign w:val="center"/>
          </w:tcPr>
          <w:p w14:paraId="20575DB6">
            <w:pPr>
              <w:spacing w:line="240" w:lineRule="auto"/>
              <w:ind w:firstLine="0" w:firstLineChars="0"/>
              <w:jc w:val="center"/>
              <w:rPr>
                <w:color w:val="auto"/>
                <w:sz w:val="21"/>
                <w:szCs w:val="21"/>
                <w:highlight w:val="none"/>
                <w:u w:val="single"/>
              </w:rPr>
            </w:pPr>
            <w:r>
              <w:rPr>
                <w:color w:val="auto"/>
                <w:sz w:val="21"/>
                <w:szCs w:val="21"/>
                <w:highlight w:val="none"/>
                <w:u w:val="single"/>
              </w:rPr>
              <w:t>危废</w:t>
            </w:r>
          </w:p>
        </w:tc>
        <w:tc>
          <w:tcPr>
            <w:tcW w:w="944" w:type="pct"/>
            <w:tcBorders>
              <w:tl2br w:val="nil"/>
              <w:tr2bl w:val="nil"/>
            </w:tcBorders>
            <w:vAlign w:val="center"/>
          </w:tcPr>
          <w:p w14:paraId="52B2E210">
            <w:pPr>
              <w:spacing w:line="240" w:lineRule="auto"/>
              <w:ind w:firstLine="0" w:firstLineChars="0"/>
              <w:jc w:val="center"/>
              <w:rPr>
                <w:color w:val="auto"/>
                <w:sz w:val="21"/>
                <w:szCs w:val="21"/>
                <w:highlight w:val="none"/>
                <w:u w:val="single"/>
              </w:rPr>
            </w:pPr>
            <w:r>
              <w:rPr>
                <w:color w:val="auto"/>
                <w:sz w:val="21"/>
                <w:szCs w:val="21"/>
                <w:highlight w:val="none"/>
                <w:u w:val="single"/>
              </w:rPr>
              <w:t>HW08-900-210-08</w:t>
            </w:r>
          </w:p>
        </w:tc>
        <w:tc>
          <w:tcPr>
            <w:tcW w:w="452" w:type="pct"/>
            <w:tcBorders>
              <w:tl2br w:val="nil"/>
              <w:tr2bl w:val="nil"/>
            </w:tcBorders>
            <w:vAlign w:val="center"/>
          </w:tcPr>
          <w:p w14:paraId="33975C93">
            <w:pPr>
              <w:spacing w:line="240" w:lineRule="auto"/>
              <w:ind w:firstLine="0" w:firstLineChars="0"/>
              <w:jc w:val="center"/>
              <w:rPr>
                <w:color w:val="auto"/>
                <w:sz w:val="21"/>
                <w:szCs w:val="21"/>
                <w:highlight w:val="none"/>
                <w:u w:val="single"/>
              </w:rPr>
            </w:pPr>
            <w:r>
              <w:rPr>
                <w:color w:val="auto"/>
                <w:sz w:val="21"/>
                <w:szCs w:val="21"/>
                <w:highlight w:val="none"/>
                <w:u w:val="single"/>
              </w:rPr>
              <w:t>9.8</w:t>
            </w:r>
          </w:p>
        </w:tc>
        <w:tc>
          <w:tcPr>
            <w:tcW w:w="984" w:type="pct"/>
            <w:vMerge w:val="continue"/>
            <w:tcBorders>
              <w:tl2br w:val="nil"/>
              <w:tr2bl w:val="nil"/>
            </w:tcBorders>
            <w:vAlign w:val="center"/>
          </w:tcPr>
          <w:p w14:paraId="50C7484C">
            <w:pPr>
              <w:spacing w:line="240" w:lineRule="auto"/>
              <w:ind w:firstLine="0" w:firstLineChars="0"/>
              <w:jc w:val="center"/>
              <w:rPr>
                <w:color w:val="auto"/>
                <w:sz w:val="21"/>
                <w:szCs w:val="21"/>
                <w:highlight w:val="none"/>
                <w:u w:val="single"/>
              </w:rPr>
            </w:pPr>
          </w:p>
        </w:tc>
      </w:tr>
      <w:tr w14:paraId="4046E0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92" w:type="pct"/>
            <w:tcBorders>
              <w:tl2br w:val="nil"/>
              <w:tr2bl w:val="nil"/>
            </w:tcBorders>
            <w:vAlign w:val="center"/>
          </w:tcPr>
          <w:p w14:paraId="4F71ABC5">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S</w:t>
            </w:r>
            <w:r>
              <w:rPr>
                <w:color w:val="auto"/>
                <w:sz w:val="21"/>
                <w:szCs w:val="21"/>
                <w:highlight w:val="none"/>
                <w:u w:val="single"/>
              </w:rPr>
              <w:t>13</w:t>
            </w:r>
          </w:p>
        </w:tc>
        <w:tc>
          <w:tcPr>
            <w:tcW w:w="821" w:type="pct"/>
            <w:tcBorders>
              <w:tl2br w:val="nil"/>
              <w:tr2bl w:val="nil"/>
            </w:tcBorders>
            <w:vAlign w:val="center"/>
          </w:tcPr>
          <w:p w14:paraId="56D7806D">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废乳化液</w:t>
            </w:r>
          </w:p>
        </w:tc>
        <w:tc>
          <w:tcPr>
            <w:tcW w:w="565" w:type="pct"/>
            <w:tcBorders>
              <w:tl2br w:val="nil"/>
              <w:tr2bl w:val="nil"/>
            </w:tcBorders>
            <w:vAlign w:val="center"/>
          </w:tcPr>
          <w:p w14:paraId="2466C9F7">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切割作业</w:t>
            </w:r>
          </w:p>
        </w:tc>
        <w:tc>
          <w:tcPr>
            <w:tcW w:w="337" w:type="pct"/>
            <w:tcBorders>
              <w:tl2br w:val="nil"/>
              <w:tr2bl w:val="nil"/>
            </w:tcBorders>
            <w:vAlign w:val="center"/>
          </w:tcPr>
          <w:p w14:paraId="165EBF95">
            <w:pPr>
              <w:spacing w:line="240" w:lineRule="auto"/>
              <w:ind w:firstLine="0" w:firstLineChars="0"/>
              <w:jc w:val="center"/>
              <w:rPr>
                <w:color w:val="auto"/>
                <w:sz w:val="21"/>
                <w:szCs w:val="21"/>
                <w:highlight w:val="none"/>
                <w:u w:val="single"/>
              </w:rPr>
            </w:pPr>
            <w:r>
              <w:rPr>
                <w:color w:val="auto"/>
                <w:sz w:val="21"/>
                <w:szCs w:val="21"/>
                <w:highlight w:val="none"/>
                <w:u w:val="single"/>
              </w:rPr>
              <w:t>液态</w:t>
            </w:r>
          </w:p>
        </w:tc>
        <w:tc>
          <w:tcPr>
            <w:tcW w:w="605" w:type="pct"/>
            <w:tcBorders>
              <w:tl2br w:val="nil"/>
              <w:tr2bl w:val="nil"/>
            </w:tcBorders>
            <w:vAlign w:val="center"/>
          </w:tcPr>
          <w:p w14:paraId="4BE8691B">
            <w:pPr>
              <w:spacing w:line="240" w:lineRule="auto"/>
              <w:ind w:firstLine="0" w:firstLineChars="0"/>
              <w:jc w:val="center"/>
              <w:rPr>
                <w:color w:val="auto"/>
                <w:sz w:val="21"/>
                <w:szCs w:val="21"/>
                <w:highlight w:val="none"/>
                <w:u w:val="single"/>
              </w:rPr>
            </w:pPr>
            <w:r>
              <w:rPr>
                <w:color w:val="auto"/>
                <w:sz w:val="21"/>
                <w:szCs w:val="21"/>
                <w:highlight w:val="none"/>
                <w:u w:val="single"/>
              </w:rPr>
              <w:t>危废</w:t>
            </w:r>
          </w:p>
        </w:tc>
        <w:tc>
          <w:tcPr>
            <w:tcW w:w="944" w:type="pct"/>
            <w:tcBorders>
              <w:tl2br w:val="nil"/>
              <w:tr2bl w:val="nil"/>
            </w:tcBorders>
            <w:vAlign w:val="center"/>
          </w:tcPr>
          <w:p w14:paraId="2E151092">
            <w:pPr>
              <w:spacing w:line="240" w:lineRule="auto"/>
              <w:ind w:firstLine="0" w:firstLineChars="0"/>
              <w:jc w:val="center"/>
              <w:rPr>
                <w:color w:val="auto"/>
                <w:sz w:val="21"/>
                <w:szCs w:val="21"/>
                <w:highlight w:val="none"/>
                <w:u w:val="single"/>
              </w:rPr>
            </w:pPr>
            <w:r>
              <w:rPr>
                <w:color w:val="auto"/>
                <w:sz w:val="21"/>
                <w:szCs w:val="21"/>
                <w:highlight w:val="none"/>
                <w:u w:val="single"/>
              </w:rPr>
              <w:t>HW09-900-006-09</w:t>
            </w:r>
          </w:p>
        </w:tc>
        <w:tc>
          <w:tcPr>
            <w:tcW w:w="452" w:type="pct"/>
            <w:tcBorders>
              <w:tl2br w:val="nil"/>
              <w:tr2bl w:val="nil"/>
            </w:tcBorders>
            <w:vAlign w:val="center"/>
          </w:tcPr>
          <w:p w14:paraId="792969C2">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0</w:t>
            </w:r>
            <w:r>
              <w:rPr>
                <w:color w:val="auto"/>
                <w:sz w:val="21"/>
                <w:szCs w:val="21"/>
                <w:highlight w:val="none"/>
                <w:u w:val="single"/>
              </w:rPr>
              <w:t>.5</w:t>
            </w:r>
          </w:p>
        </w:tc>
        <w:tc>
          <w:tcPr>
            <w:tcW w:w="984" w:type="pct"/>
            <w:vMerge w:val="continue"/>
            <w:tcBorders>
              <w:tl2br w:val="nil"/>
              <w:tr2bl w:val="nil"/>
            </w:tcBorders>
            <w:vAlign w:val="center"/>
          </w:tcPr>
          <w:p w14:paraId="44CB2492">
            <w:pPr>
              <w:spacing w:line="240" w:lineRule="auto"/>
              <w:ind w:firstLine="0" w:firstLineChars="0"/>
              <w:jc w:val="center"/>
              <w:rPr>
                <w:color w:val="auto"/>
                <w:sz w:val="21"/>
                <w:szCs w:val="21"/>
                <w:highlight w:val="none"/>
                <w:u w:val="single"/>
              </w:rPr>
            </w:pPr>
          </w:p>
        </w:tc>
      </w:tr>
      <w:tr w14:paraId="586989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78" w:type="pct"/>
            <w:gridSpan w:val="3"/>
            <w:tcBorders>
              <w:tl2br w:val="nil"/>
              <w:tr2bl w:val="nil"/>
            </w:tcBorders>
            <w:vAlign w:val="center"/>
          </w:tcPr>
          <w:p w14:paraId="7A2D405E">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危险废物小计</w:t>
            </w:r>
          </w:p>
        </w:tc>
        <w:tc>
          <w:tcPr>
            <w:tcW w:w="337" w:type="pct"/>
            <w:tcBorders>
              <w:tl2br w:val="nil"/>
              <w:tr2bl w:val="nil"/>
            </w:tcBorders>
            <w:vAlign w:val="center"/>
          </w:tcPr>
          <w:p w14:paraId="350B5E4B">
            <w:pPr>
              <w:spacing w:line="240" w:lineRule="auto"/>
              <w:ind w:firstLine="0" w:firstLineChars="0"/>
              <w:jc w:val="center"/>
              <w:rPr>
                <w:b/>
                <w:bCs/>
                <w:color w:val="auto"/>
                <w:sz w:val="21"/>
                <w:szCs w:val="21"/>
                <w:highlight w:val="none"/>
                <w:u w:val="single"/>
              </w:rPr>
            </w:pPr>
          </w:p>
        </w:tc>
        <w:tc>
          <w:tcPr>
            <w:tcW w:w="605" w:type="pct"/>
            <w:tcBorders>
              <w:tl2br w:val="nil"/>
              <w:tr2bl w:val="nil"/>
            </w:tcBorders>
            <w:vAlign w:val="center"/>
          </w:tcPr>
          <w:p w14:paraId="102D3EBD">
            <w:pPr>
              <w:spacing w:line="240" w:lineRule="auto"/>
              <w:ind w:firstLine="0" w:firstLineChars="0"/>
              <w:jc w:val="center"/>
              <w:rPr>
                <w:b/>
                <w:bCs/>
                <w:color w:val="auto"/>
                <w:sz w:val="21"/>
                <w:szCs w:val="21"/>
                <w:highlight w:val="none"/>
                <w:u w:val="single"/>
              </w:rPr>
            </w:pPr>
          </w:p>
        </w:tc>
        <w:tc>
          <w:tcPr>
            <w:tcW w:w="944" w:type="pct"/>
            <w:tcBorders>
              <w:tl2br w:val="nil"/>
              <w:tr2bl w:val="nil"/>
            </w:tcBorders>
            <w:vAlign w:val="center"/>
          </w:tcPr>
          <w:p w14:paraId="32CC83D2">
            <w:pPr>
              <w:spacing w:line="240" w:lineRule="auto"/>
              <w:ind w:firstLine="0" w:firstLineChars="0"/>
              <w:jc w:val="center"/>
              <w:rPr>
                <w:b/>
                <w:bCs/>
                <w:color w:val="auto"/>
                <w:sz w:val="21"/>
                <w:szCs w:val="21"/>
                <w:highlight w:val="none"/>
                <w:u w:val="single"/>
              </w:rPr>
            </w:pPr>
          </w:p>
        </w:tc>
        <w:tc>
          <w:tcPr>
            <w:tcW w:w="452" w:type="pct"/>
            <w:tcBorders>
              <w:tl2br w:val="nil"/>
              <w:tr2bl w:val="nil"/>
            </w:tcBorders>
            <w:vAlign w:val="center"/>
          </w:tcPr>
          <w:p w14:paraId="6AE9DABD">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fldChar w:fldCharType="begin"/>
            </w:r>
            <w:r>
              <w:rPr>
                <w:b/>
                <w:bCs/>
                <w:color w:val="auto"/>
                <w:sz w:val="21"/>
                <w:szCs w:val="21"/>
                <w:highlight w:val="none"/>
                <w:u w:val="single"/>
              </w:rPr>
              <w:instrText xml:space="preserve"> </w:instrText>
            </w:r>
            <w:r>
              <w:rPr>
                <w:rFonts w:hint="eastAsia"/>
                <w:b/>
                <w:bCs/>
                <w:color w:val="auto"/>
                <w:sz w:val="21"/>
                <w:szCs w:val="21"/>
                <w:highlight w:val="none"/>
                <w:u w:val="single"/>
              </w:rPr>
              <w:instrText xml:space="preserve">=SUM(ABOVE)</w:instrText>
            </w:r>
            <w:r>
              <w:rPr>
                <w:b/>
                <w:bCs/>
                <w:color w:val="auto"/>
                <w:sz w:val="21"/>
                <w:szCs w:val="21"/>
                <w:highlight w:val="none"/>
                <w:u w:val="single"/>
              </w:rPr>
              <w:instrText xml:space="preserve"> </w:instrText>
            </w:r>
            <w:r>
              <w:rPr>
                <w:b/>
                <w:bCs/>
                <w:color w:val="auto"/>
                <w:sz w:val="21"/>
                <w:szCs w:val="21"/>
                <w:highlight w:val="none"/>
                <w:u w:val="single"/>
              </w:rPr>
              <w:fldChar w:fldCharType="separate"/>
            </w:r>
            <w:r>
              <w:rPr>
                <w:b/>
                <w:bCs/>
                <w:color w:val="auto"/>
                <w:sz w:val="21"/>
                <w:szCs w:val="21"/>
                <w:highlight w:val="none"/>
                <w:u w:val="single"/>
              </w:rPr>
              <w:t>136.01</w:t>
            </w:r>
            <w:r>
              <w:rPr>
                <w:b/>
                <w:bCs/>
                <w:color w:val="auto"/>
                <w:sz w:val="21"/>
                <w:szCs w:val="21"/>
                <w:highlight w:val="none"/>
                <w:u w:val="single"/>
              </w:rPr>
              <w:fldChar w:fldCharType="end"/>
            </w:r>
          </w:p>
        </w:tc>
        <w:tc>
          <w:tcPr>
            <w:tcW w:w="984" w:type="pct"/>
            <w:tcBorders>
              <w:tl2br w:val="nil"/>
              <w:tr2bl w:val="nil"/>
            </w:tcBorders>
            <w:vAlign w:val="center"/>
          </w:tcPr>
          <w:p w14:paraId="2879817E">
            <w:pPr>
              <w:spacing w:line="240" w:lineRule="auto"/>
              <w:ind w:firstLine="0" w:firstLineChars="0"/>
              <w:jc w:val="center"/>
              <w:rPr>
                <w:color w:val="auto"/>
                <w:sz w:val="21"/>
                <w:szCs w:val="21"/>
                <w:highlight w:val="none"/>
                <w:u w:val="single"/>
              </w:rPr>
            </w:pPr>
          </w:p>
        </w:tc>
      </w:tr>
      <w:tr w14:paraId="2C31C0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78" w:type="pct"/>
            <w:gridSpan w:val="3"/>
            <w:tcBorders>
              <w:tl2br w:val="nil"/>
              <w:tr2bl w:val="nil"/>
            </w:tcBorders>
            <w:vAlign w:val="center"/>
          </w:tcPr>
          <w:p w14:paraId="63DD2A0E">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合计</w:t>
            </w:r>
          </w:p>
        </w:tc>
        <w:tc>
          <w:tcPr>
            <w:tcW w:w="337" w:type="pct"/>
            <w:tcBorders>
              <w:tl2br w:val="nil"/>
              <w:tr2bl w:val="nil"/>
            </w:tcBorders>
            <w:vAlign w:val="center"/>
          </w:tcPr>
          <w:p w14:paraId="36A33693">
            <w:pPr>
              <w:spacing w:line="240" w:lineRule="auto"/>
              <w:ind w:firstLine="0" w:firstLineChars="0"/>
              <w:jc w:val="center"/>
              <w:rPr>
                <w:b/>
                <w:bCs/>
                <w:color w:val="auto"/>
                <w:sz w:val="21"/>
                <w:szCs w:val="21"/>
                <w:highlight w:val="none"/>
                <w:u w:val="single"/>
              </w:rPr>
            </w:pPr>
          </w:p>
        </w:tc>
        <w:tc>
          <w:tcPr>
            <w:tcW w:w="605" w:type="pct"/>
            <w:tcBorders>
              <w:tl2br w:val="nil"/>
              <w:tr2bl w:val="nil"/>
            </w:tcBorders>
            <w:vAlign w:val="center"/>
          </w:tcPr>
          <w:p w14:paraId="2E7176ED">
            <w:pPr>
              <w:spacing w:line="240" w:lineRule="auto"/>
              <w:ind w:firstLine="0" w:firstLineChars="0"/>
              <w:jc w:val="center"/>
              <w:rPr>
                <w:b/>
                <w:bCs/>
                <w:color w:val="auto"/>
                <w:sz w:val="21"/>
                <w:szCs w:val="21"/>
                <w:highlight w:val="none"/>
                <w:u w:val="single"/>
              </w:rPr>
            </w:pPr>
          </w:p>
        </w:tc>
        <w:tc>
          <w:tcPr>
            <w:tcW w:w="944" w:type="pct"/>
            <w:tcBorders>
              <w:tl2br w:val="nil"/>
              <w:tr2bl w:val="nil"/>
            </w:tcBorders>
            <w:vAlign w:val="center"/>
          </w:tcPr>
          <w:p w14:paraId="51EC2D8D">
            <w:pPr>
              <w:spacing w:line="240" w:lineRule="auto"/>
              <w:ind w:firstLine="0" w:firstLineChars="0"/>
              <w:jc w:val="center"/>
              <w:rPr>
                <w:b/>
                <w:bCs/>
                <w:color w:val="auto"/>
                <w:sz w:val="21"/>
                <w:szCs w:val="21"/>
                <w:highlight w:val="none"/>
                <w:u w:val="single"/>
              </w:rPr>
            </w:pPr>
          </w:p>
        </w:tc>
        <w:tc>
          <w:tcPr>
            <w:tcW w:w="452" w:type="pct"/>
            <w:tcBorders>
              <w:tl2br w:val="nil"/>
              <w:tr2bl w:val="nil"/>
            </w:tcBorders>
            <w:vAlign w:val="center"/>
          </w:tcPr>
          <w:p w14:paraId="6C9C50B0">
            <w:pPr>
              <w:spacing w:line="240" w:lineRule="auto"/>
              <w:ind w:firstLine="0" w:firstLineChars="0"/>
              <w:jc w:val="center"/>
              <w:rPr>
                <w:b/>
                <w:bCs/>
                <w:color w:val="auto"/>
                <w:sz w:val="21"/>
                <w:szCs w:val="21"/>
                <w:highlight w:val="none"/>
                <w:u w:val="single"/>
              </w:rPr>
            </w:pPr>
            <w:r>
              <w:rPr>
                <w:b/>
                <w:bCs/>
                <w:color w:val="auto"/>
                <w:sz w:val="21"/>
                <w:szCs w:val="21"/>
                <w:highlight w:val="none"/>
                <w:u w:val="single"/>
              </w:rPr>
              <w:t>3951.79</w:t>
            </w:r>
          </w:p>
        </w:tc>
        <w:tc>
          <w:tcPr>
            <w:tcW w:w="984" w:type="pct"/>
            <w:tcBorders>
              <w:tl2br w:val="nil"/>
              <w:tr2bl w:val="nil"/>
            </w:tcBorders>
            <w:vAlign w:val="center"/>
          </w:tcPr>
          <w:p w14:paraId="43D0614E">
            <w:pPr>
              <w:spacing w:line="240" w:lineRule="auto"/>
              <w:ind w:firstLine="0" w:firstLineChars="0"/>
              <w:jc w:val="center"/>
              <w:rPr>
                <w:b/>
                <w:bCs/>
                <w:color w:val="auto"/>
                <w:sz w:val="21"/>
                <w:szCs w:val="21"/>
                <w:highlight w:val="none"/>
                <w:u w:val="single"/>
              </w:rPr>
            </w:pPr>
          </w:p>
        </w:tc>
      </w:tr>
    </w:tbl>
    <w:p w14:paraId="0BB026AA">
      <w:pPr>
        <w:pStyle w:val="589"/>
        <w:ind w:firstLine="480"/>
        <w:rPr>
          <w:rFonts w:cs="Times New Roman"/>
          <w:color w:val="auto"/>
          <w:highlight w:val="none"/>
        </w:rPr>
      </w:pPr>
    </w:p>
    <w:bookmarkEnd w:id="111"/>
    <w:p w14:paraId="7FC7EE0B">
      <w:pPr>
        <w:pStyle w:val="533"/>
        <w:numPr>
          <w:ilvl w:val="3"/>
          <w:numId w:val="9"/>
        </w:numPr>
        <w:rPr>
          <w:color w:val="auto"/>
          <w:szCs w:val="24"/>
          <w:highlight w:val="none"/>
        </w:rPr>
      </w:pPr>
      <w:r>
        <w:rPr>
          <w:color w:val="auto"/>
          <w:szCs w:val="24"/>
          <w:highlight w:val="none"/>
        </w:rPr>
        <w:t>运营期污染物排放汇总</w:t>
      </w:r>
    </w:p>
    <w:p w14:paraId="3404153B">
      <w:pPr>
        <w:ind w:firstLine="480"/>
        <w:rPr>
          <w:color w:val="auto"/>
          <w:highlight w:val="none"/>
        </w:rPr>
        <w:sectPr>
          <w:headerReference r:id="rId36" w:type="default"/>
          <w:pgSz w:w="11906" w:h="16838"/>
          <w:pgMar w:top="1559" w:right="1418" w:bottom="1503" w:left="1418" w:header="851" w:footer="964" w:gutter="0"/>
          <w:cols w:space="720" w:num="1"/>
          <w:docGrid w:linePitch="326" w:charSpace="0"/>
        </w:sectPr>
      </w:pPr>
      <w:r>
        <w:rPr>
          <w:color w:val="auto"/>
          <w:highlight w:val="none"/>
        </w:rPr>
        <w:t>项目运营期污染物排放情况见表2.4-1</w:t>
      </w:r>
      <w:r>
        <w:rPr>
          <w:rFonts w:hint="eastAsia"/>
          <w:color w:val="auto"/>
          <w:highlight w:val="none"/>
        </w:rPr>
        <w:t>4</w:t>
      </w:r>
      <w:r>
        <w:rPr>
          <w:color w:val="auto"/>
          <w:highlight w:val="none"/>
        </w:rPr>
        <w:t>。</w:t>
      </w:r>
    </w:p>
    <w:p w14:paraId="1BAF4E61">
      <w:pPr>
        <w:pStyle w:val="38"/>
        <w:spacing w:after="0" w:line="240" w:lineRule="auto"/>
        <w:ind w:firstLine="0" w:firstLineChars="0"/>
        <w:jc w:val="center"/>
        <w:rPr>
          <w:b/>
          <w:color w:val="auto"/>
          <w:sz w:val="21"/>
          <w:szCs w:val="21"/>
          <w:highlight w:val="none"/>
        </w:rPr>
      </w:pPr>
      <w:r>
        <w:rPr>
          <w:b/>
          <w:color w:val="auto"/>
          <w:sz w:val="21"/>
          <w:szCs w:val="21"/>
          <w:highlight w:val="none"/>
        </w:rPr>
        <w:t>表2.4-1</w:t>
      </w:r>
      <w:r>
        <w:rPr>
          <w:rFonts w:hint="eastAsia"/>
          <w:b/>
          <w:color w:val="auto"/>
          <w:sz w:val="21"/>
          <w:szCs w:val="21"/>
          <w:highlight w:val="none"/>
        </w:rPr>
        <w:t>4</w:t>
      </w:r>
      <w:r>
        <w:rPr>
          <w:b/>
          <w:color w:val="auto"/>
          <w:sz w:val="21"/>
          <w:szCs w:val="21"/>
          <w:highlight w:val="none"/>
        </w:rPr>
        <w:t xml:space="preserve"> 项目运营期污染物排放情况表</w:t>
      </w:r>
    </w:p>
    <w:tbl>
      <w:tblPr>
        <w:tblStyle w:val="92"/>
        <w:tblW w:w="516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19"/>
        <w:gridCol w:w="930"/>
        <w:gridCol w:w="930"/>
        <w:gridCol w:w="925"/>
        <w:gridCol w:w="975"/>
        <w:gridCol w:w="1005"/>
        <w:gridCol w:w="5387"/>
        <w:gridCol w:w="628"/>
        <w:gridCol w:w="2777"/>
      </w:tblGrid>
      <w:tr w14:paraId="5C9283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jc w:val="center"/>
        </w:trPr>
        <w:tc>
          <w:tcPr>
            <w:tcW w:w="317" w:type="pct"/>
            <w:tcBorders>
              <w:tl2br w:val="nil"/>
              <w:tr2bl w:val="nil"/>
            </w:tcBorders>
            <w:vAlign w:val="center"/>
          </w:tcPr>
          <w:p w14:paraId="2F5E9FD4">
            <w:pPr>
              <w:spacing w:line="240" w:lineRule="auto"/>
              <w:ind w:firstLine="0" w:firstLineChars="0"/>
              <w:jc w:val="center"/>
              <w:rPr>
                <w:b/>
                <w:color w:val="auto"/>
                <w:sz w:val="21"/>
                <w:szCs w:val="21"/>
                <w:highlight w:val="none"/>
                <w:u w:val="single"/>
              </w:rPr>
            </w:pPr>
            <w:r>
              <w:rPr>
                <w:b/>
                <w:color w:val="auto"/>
                <w:sz w:val="21"/>
                <w:szCs w:val="21"/>
                <w:highlight w:val="none"/>
                <w:u w:val="single"/>
              </w:rPr>
              <w:t>种类</w:t>
            </w:r>
          </w:p>
        </w:tc>
        <w:tc>
          <w:tcPr>
            <w:tcW w:w="642" w:type="pct"/>
            <w:gridSpan w:val="2"/>
            <w:tcBorders>
              <w:tl2br w:val="nil"/>
              <w:tr2bl w:val="nil"/>
            </w:tcBorders>
            <w:vAlign w:val="center"/>
          </w:tcPr>
          <w:p w14:paraId="5C265185">
            <w:pPr>
              <w:spacing w:line="240" w:lineRule="auto"/>
              <w:ind w:firstLine="0" w:firstLineChars="0"/>
              <w:jc w:val="center"/>
              <w:rPr>
                <w:b/>
                <w:color w:val="auto"/>
                <w:sz w:val="21"/>
                <w:szCs w:val="21"/>
                <w:highlight w:val="none"/>
                <w:u w:val="single"/>
              </w:rPr>
            </w:pPr>
            <w:r>
              <w:rPr>
                <w:b/>
                <w:color w:val="auto"/>
                <w:sz w:val="21"/>
                <w:szCs w:val="21"/>
                <w:highlight w:val="none"/>
                <w:u w:val="single"/>
              </w:rPr>
              <w:t>污染物</w:t>
            </w:r>
          </w:p>
        </w:tc>
        <w:tc>
          <w:tcPr>
            <w:tcW w:w="319" w:type="pct"/>
            <w:tcBorders>
              <w:tl2br w:val="nil"/>
              <w:tr2bl w:val="nil"/>
            </w:tcBorders>
            <w:vAlign w:val="center"/>
          </w:tcPr>
          <w:p w14:paraId="45123C6C">
            <w:pPr>
              <w:spacing w:line="240" w:lineRule="auto"/>
              <w:ind w:firstLine="0" w:firstLineChars="0"/>
              <w:jc w:val="center"/>
              <w:rPr>
                <w:b/>
                <w:color w:val="auto"/>
                <w:sz w:val="21"/>
                <w:szCs w:val="21"/>
                <w:highlight w:val="none"/>
                <w:u w:val="single"/>
              </w:rPr>
            </w:pPr>
            <w:r>
              <w:rPr>
                <w:b/>
                <w:color w:val="auto"/>
                <w:sz w:val="21"/>
                <w:szCs w:val="21"/>
                <w:highlight w:val="none"/>
                <w:u w:val="single"/>
              </w:rPr>
              <w:t>产生量</w:t>
            </w:r>
          </w:p>
          <w:p w14:paraId="67A4E4A8">
            <w:pPr>
              <w:spacing w:line="240" w:lineRule="auto"/>
              <w:ind w:firstLine="0" w:firstLineChars="0"/>
              <w:jc w:val="center"/>
              <w:rPr>
                <w:b/>
                <w:color w:val="auto"/>
                <w:sz w:val="21"/>
                <w:szCs w:val="21"/>
                <w:highlight w:val="none"/>
                <w:u w:val="single"/>
              </w:rPr>
            </w:pPr>
            <w:r>
              <w:rPr>
                <w:b/>
                <w:color w:val="auto"/>
                <w:sz w:val="21"/>
                <w:szCs w:val="21"/>
                <w:highlight w:val="none"/>
                <w:u w:val="single"/>
              </w:rPr>
              <w:t>（t/a）</w:t>
            </w:r>
          </w:p>
        </w:tc>
        <w:tc>
          <w:tcPr>
            <w:tcW w:w="336" w:type="pct"/>
            <w:tcBorders>
              <w:tl2br w:val="nil"/>
              <w:tr2bl w:val="nil"/>
            </w:tcBorders>
            <w:vAlign w:val="center"/>
          </w:tcPr>
          <w:p w14:paraId="3BE4F0AD">
            <w:pPr>
              <w:spacing w:line="240" w:lineRule="auto"/>
              <w:ind w:firstLine="0" w:firstLineChars="0"/>
              <w:jc w:val="center"/>
              <w:rPr>
                <w:b/>
                <w:color w:val="auto"/>
                <w:sz w:val="21"/>
                <w:szCs w:val="21"/>
                <w:highlight w:val="none"/>
                <w:u w:val="single"/>
              </w:rPr>
            </w:pPr>
            <w:r>
              <w:rPr>
                <w:b/>
                <w:color w:val="auto"/>
                <w:sz w:val="21"/>
                <w:szCs w:val="21"/>
                <w:highlight w:val="none"/>
                <w:u w:val="single"/>
              </w:rPr>
              <w:t>削减量</w:t>
            </w:r>
          </w:p>
          <w:p w14:paraId="58F1E90C">
            <w:pPr>
              <w:spacing w:line="240" w:lineRule="auto"/>
              <w:ind w:firstLine="0" w:firstLineChars="0"/>
              <w:jc w:val="center"/>
              <w:rPr>
                <w:b/>
                <w:color w:val="auto"/>
                <w:sz w:val="21"/>
                <w:szCs w:val="21"/>
                <w:highlight w:val="none"/>
                <w:u w:val="single"/>
              </w:rPr>
            </w:pPr>
            <w:r>
              <w:rPr>
                <w:b/>
                <w:color w:val="auto"/>
                <w:sz w:val="21"/>
                <w:szCs w:val="21"/>
                <w:highlight w:val="none"/>
                <w:u w:val="single"/>
              </w:rPr>
              <w:t>（t/a）</w:t>
            </w:r>
          </w:p>
        </w:tc>
        <w:tc>
          <w:tcPr>
            <w:tcW w:w="347" w:type="pct"/>
            <w:tcBorders>
              <w:tl2br w:val="nil"/>
              <w:tr2bl w:val="nil"/>
            </w:tcBorders>
            <w:vAlign w:val="center"/>
          </w:tcPr>
          <w:p w14:paraId="53866725">
            <w:pPr>
              <w:spacing w:line="240" w:lineRule="auto"/>
              <w:ind w:firstLine="0" w:firstLineChars="0"/>
              <w:jc w:val="center"/>
              <w:rPr>
                <w:b/>
                <w:color w:val="auto"/>
                <w:sz w:val="21"/>
                <w:szCs w:val="21"/>
                <w:highlight w:val="none"/>
                <w:u w:val="single"/>
              </w:rPr>
            </w:pPr>
            <w:r>
              <w:rPr>
                <w:b/>
                <w:color w:val="auto"/>
                <w:sz w:val="21"/>
                <w:szCs w:val="21"/>
                <w:highlight w:val="none"/>
                <w:u w:val="single"/>
              </w:rPr>
              <w:t>排放量</w:t>
            </w:r>
          </w:p>
          <w:p w14:paraId="662FE4F5">
            <w:pPr>
              <w:spacing w:line="240" w:lineRule="auto"/>
              <w:ind w:firstLine="0" w:firstLineChars="0"/>
              <w:jc w:val="center"/>
              <w:rPr>
                <w:b/>
                <w:color w:val="auto"/>
                <w:sz w:val="21"/>
                <w:szCs w:val="21"/>
                <w:highlight w:val="none"/>
                <w:u w:val="single"/>
              </w:rPr>
            </w:pPr>
            <w:r>
              <w:rPr>
                <w:b/>
                <w:color w:val="auto"/>
                <w:sz w:val="21"/>
                <w:szCs w:val="21"/>
                <w:highlight w:val="none"/>
                <w:u w:val="single"/>
              </w:rPr>
              <w:t>（t/a）</w:t>
            </w:r>
          </w:p>
        </w:tc>
        <w:tc>
          <w:tcPr>
            <w:tcW w:w="1860" w:type="pct"/>
            <w:tcBorders>
              <w:tl2br w:val="nil"/>
              <w:tr2bl w:val="nil"/>
            </w:tcBorders>
            <w:vAlign w:val="center"/>
          </w:tcPr>
          <w:p w14:paraId="566F8822">
            <w:pPr>
              <w:spacing w:line="240" w:lineRule="auto"/>
              <w:ind w:firstLine="0" w:firstLineChars="0"/>
              <w:jc w:val="center"/>
              <w:rPr>
                <w:b/>
                <w:color w:val="auto"/>
                <w:sz w:val="21"/>
                <w:szCs w:val="21"/>
                <w:highlight w:val="none"/>
                <w:u w:val="single"/>
              </w:rPr>
            </w:pPr>
            <w:r>
              <w:rPr>
                <w:b/>
                <w:color w:val="auto"/>
                <w:sz w:val="21"/>
                <w:szCs w:val="21"/>
                <w:highlight w:val="none"/>
                <w:u w:val="single"/>
              </w:rPr>
              <w:t>处理措施</w:t>
            </w:r>
          </w:p>
        </w:tc>
        <w:tc>
          <w:tcPr>
            <w:tcW w:w="216" w:type="pct"/>
            <w:tcBorders>
              <w:tl2br w:val="nil"/>
              <w:tr2bl w:val="nil"/>
            </w:tcBorders>
            <w:vAlign w:val="center"/>
          </w:tcPr>
          <w:p w14:paraId="0FC6673B">
            <w:pPr>
              <w:spacing w:line="240" w:lineRule="auto"/>
              <w:ind w:firstLine="0" w:firstLineChars="0"/>
              <w:jc w:val="center"/>
              <w:rPr>
                <w:b/>
                <w:color w:val="auto"/>
                <w:sz w:val="21"/>
                <w:szCs w:val="21"/>
                <w:highlight w:val="none"/>
                <w:u w:val="single"/>
              </w:rPr>
            </w:pPr>
            <w:r>
              <w:rPr>
                <w:b/>
                <w:color w:val="auto"/>
                <w:sz w:val="21"/>
                <w:szCs w:val="21"/>
                <w:highlight w:val="none"/>
                <w:u w:val="single"/>
              </w:rPr>
              <w:t>处理率</w:t>
            </w:r>
            <w:r>
              <w:rPr>
                <w:rFonts w:hint="eastAsia"/>
                <w:b/>
                <w:color w:val="auto"/>
                <w:sz w:val="21"/>
                <w:szCs w:val="21"/>
                <w:highlight w:val="none"/>
                <w:u w:val="single"/>
              </w:rPr>
              <w:t>%</w:t>
            </w:r>
          </w:p>
        </w:tc>
        <w:tc>
          <w:tcPr>
            <w:tcW w:w="959" w:type="pct"/>
            <w:tcBorders>
              <w:tl2br w:val="nil"/>
              <w:tr2bl w:val="nil"/>
            </w:tcBorders>
            <w:vAlign w:val="center"/>
          </w:tcPr>
          <w:p w14:paraId="497304F8">
            <w:pPr>
              <w:spacing w:line="240" w:lineRule="auto"/>
              <w:ind w:firstLine="0" w:firstLineChars="0"/>
              <w:jc w:val="center"/>
              <w:rPr>
                <w:b/>
                <w:color w:val="auto"/>
                <w:sz w:val="21"/>
                <w:szCs w:val="21"/>
                <w:highlight w:val="none"/>
                <w:u w:val="single"/>
              </w:rPr>
            </w:pPr>
            <w:r>
              <w:rPr>
                <w:b/>
                <w:color w:val="auto"/>
                <w:sz w:val="21"/>
                <w:szCs w:val="21"/>
                <w:highlight w:val="none"/>
                <w:u w:val="single"/>
              </w:rPr>
              <w:t>排放</w:t>
            </w:r>
            <w:r>
              <w:rPr>
                <w:rFonts w:hint="eastAsia"/>
                <w:b/>
                <w:color w:val="auto"/>
                <w:sz w:val="21"/>
                <w:szCs w:val="21"/>
                <w:highlight w:val="none"/>
                <w:u w:val="single"/>
              </w:rPr>
              <w:t>情况</w:t>
            </w:r>
          </w:p>
        </w:tc>
      </w:tr>
      <w:tr w14:paraId="28D3D0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317" w:type="pct"/>
            <w:vMerge w:val="restart"/>
            <w:tcBorders>
              <w:tl2br w:val="nil"/>
              <w:tr2bl w:val="nil"/>
            </w:tcBorders>
            <w:vAlign w:val="center"/>
          </w:tcPr>
          <w:p w14:paraId="7BC4C9D6">
            <w:pPr>
              <w:spacing w:line="240" w:lineRule="auto"/>
              <w:ind w:firstLine="0" w:firstLineChars="0"/>
              <w:jc w:val="center"/>
              <w:rPr>
                <w:color w:val="auto"/>
                <w:sz w:val="21"/>
                <w:szCs w:val="21"/>
                <w:highlight w:val="none"/>
                <w:u w:val="single"/>
              </w:rPr>
            </w:pPr>
            <w:r>
              <w:rPr>
                <w:color w:val="auto"/>
                <w:sz w:val="21"/>
                <w:szCs w:val="21"/>
                <w:highlight w:val="none"/>
                <w:u w:val="single"/>
              </w:rPr>
              <w:t>无组织</w:t>
            </w:r>
          </w:p>
          <w:p w14:paraId="478009E8">
            <w:pPr>
              <w:spacing w:line="240" w:lineRule="auto"/>
              <w:ind w:firstLine="0" w:firstLineChars="0"/>
              <w:jc w:val="center"/>
              <w:rPr>
                <w:color w:val="auto"/>
                <w:sz w:val="21"/>
                <w:szCs w:val="21"/>
                <w:highlight w:val="none"/>
                <w:u w:val="single"/>
              </w:rPr>
            </w:pPr>
            <w:r>
              <w:rPr>
                <w:color w:val="auto"/>
                <w:sz w:val="21"/>
                <w:szCs w:val="21"/>
                <w:highlight w:val="none"/>
                <w:u w:val="single"/>
              </w:rPr>
              <w:t>废气</w:t>
            </w:r>
          </w:p>
        </w:tc>
        <w:tc>
          <w:tcPr>
            <w:tcW w:w="642" w:type="pct"/>
            <w:gridSpan w:val="2"/>
            <w:tcBorders>
              <w:tl2br w:val="nil"/>
              <w:tr2bl w:val="nil"/>
            </w:tcBorders>
            <w:vAlign w:val="center"/>
          </w:tcPr>
          <w:p w14:paraId="1608EA2B">
            <w:pPr>
              <w:spacing w:line="240" w:lineRule="auto"/>
              <w:ind w:firstLine="0" w:firstLineChars="0"/>
              <w:jc w:val="center"/>
              <w:rPr>
                <w:color w:val="auto"/>
                <w:sz w:val="21"/>
                <w:szCs w:val="21"/>
                <w:highlight w:val="none"/>
                <w:u w:val="single"/>
              </w:rPr>
            </w:pPr>
            <w:r>
              <w:rPr>
                <w:color w:val="auto"/>
                <w:sz w:val="21"/>
                <w:szCs w:val="21"/>
                <w:highlight w:val="none"/>
                <w:u w:val="single"/>
              </w:rPr>
              <w:t>漆雾</w:t>
            </w:r>
          </w:p>
        </w:tc>
        <w:tc>
          <w:tcPr>
            <w:tcW w:w="319" w:type="pct"/>
            <w:tcBorders>
              <w:tl2br w:val="nil"/>
              <w:tr2bl w:val="nil"/>
            </w:tcBorders>
            <w:vAlign w:val="center"/>
          </w:tcPr>
          <w:p w14:paraId="6F0C21C6">
            <w:pPr>
              <w:spacing w:line="240" w:lineRule="auto"/>
              <w:ind w:firstLine="0" w:firstLineChars="0"/>
              <w:jc w:val="center"/>
              <w:rPr>
                <w:color w:val="auto"/>
                <w:sz w:val="21"/>
                <w:szCs w:val="21"/>
                <w:highlight w:val="none"/>
                <w:u w:val="single"/>
              </w:rPr>
            </w:pPr>
            <w:r>
              <w:rPr>
                <w:color w:val="auto"/>
                <w:sz w:val="21"/>
                <w:szCs w:val="21"/>
                <w:highlight w:val="none"/>
                <w:u w:val="single"/>
              </w:rPr>
              <w:t>5.15</w:t>
            </w:r>
          </w:p>
        </w:tc>
        <w:tc>
          <w:tcPr>
            <w:tcW w:w="336" w:type="pct"/>
            <w:tcBorders>
              <w:tl2br w:val="nil"/>
              <w:tr2bl w:val="nil"/>
            </w:tcBorders>
            <w:vAlign w:val="center"/>
          </w:tcPr>
          <w:p w14:paraId="3F78A4F0">
            <w:pPr>
              <w:spacing w:line="240" w:lineRule="auto"/>
              <w:ind w:firstLine="0" w:firstLineChars="0"/>
              <w:jc w:val="center"/>
              <w:rPr>
                <w:color w:val="auto"/>
                <w:sz w:val="21"/>
                <w:szCs w:val="21"/>
                <w:highlight w:val="none"/>
                <w:u w:val="single"/>
              </w:rPr>
            </w:pPr>
            <w:r>
              <w:rPr>
                <w:color w:val="auto"/>
                <w:sz w:val="21"/>
                <w:szCs w:val="21"/>
                <w:highlight w:val="none"/>
                <w:u w:val="single"/>
              </w:rPr>
              <w:t>0</w:t>
            </w:r>
          </w:p>
        </w:tc>
        <w:tc>
          <w:tcPr>
            <w:tcW w:w="347" w:type="pct"/>
            <w:tcBorders>
              <w:tl2br w:val="nil"/>
              <w:tr2bl w:val="nil"/>
            </w:tcBorders>
            <w:vAlign w:val="center"/>
          </w:tcPr>
          <w:p w14:paraId="125C5658">
            <w:pPr>
              <w:spacing w:line="240" w:lineRule="auto"/>
              <w:ind w:firstLine="0" w:firstLineChars="0"/>
              <w:jc w:val="center"/>
              <w:rPr>
                <w:color w:val="auto"/>
                <w:sz w:val="21"/>
                <w:szCs w:val="21"/>
                <w:highlight w:val="none"/>
                <w:u w:val="single"/>
              </w:rPr>
            </w:pPr>
            <w:r>
              <w:rPr>
                <w:color w:val="auto"/>
                <w:sz w:val="21"/>
                <w:szCs w:val="21"/>
                <w:highlight w:val="none"/>
                <w:u w:val="single"/>
              </w:rPr>
              <w:t>5.15</w:t>
            </w:r>
          </w:p>
        </w:tc>
        <w:tc>
          <w:tcPr>
            <w:tcW w:w="1860" w:type="pct"/>
            <w:vMerge w:val="restart"/>
            <w:tcBorders>
              <w:tl2br w:val="nil"/>
              <w:tr2bl w:val="nil"/>
            </w:tcBorders>
            <w:vAlign w:val="center"/>
          </w:tcPr>
          <w:p w14:paraId="7B69288F">
            <w:pPr>
              <w:spacing w:line="240" w:lineRule="auto"/>
              <w:ind w:left="-72" w:leftChars="-30" w:right="-72" w:rightChars="-30" w:firstLine="210" w:firstLineChars="100"/>
              <w:jc w:val="left"/>
              <w:rPr>
                <w:color w:val="auto"/>
                <w:sz w:val="21"/>
                <w:szCs w:val="21"/>
                <w:highlight w:val="none"/>
                <w:u w:val="single"/>
              </w:rPr>
            </w:pPr>
            <w:r>
              <w:rPr>
                <w:color w:val="auto"/>
                <w:sz w:val="21"/>
                <w:szCs w:val="21"/>
                <w:highlight w:val="none"/>
                <w:u w:val="single"/>
              </w:rPr>
              <w:t>①采用配有焊接烟尘净化装置的机器进行焊接</w:t>
            </w:r>
          </w:p>
          <w:p w14:paraId="0C45F7CE">
            <w:pPr>
              <w:spacing w:line="240" w:lineRule="auto"/>
              <w:ind w:firstLine="0" w:firstLineChars="0"/>
              <w:jc w:val="center"/>
              <w:rPr>
                <w:color w:val="auto"/>
                <w:sz w:val="21"/>
                <w:szCs w:val="21"/>
                <w:highlight w:val="none"/>
                <w:u w:val="single"/>
              </w:rPr>
            </w:pPr>
            <w:r>
              <w:rPr>
                <w:color w:val="auto"/>
                <w:sz w:val="21"/>
                <w:szCs w:val="21"/>
                <w:highlight w:val="none"/>
                <w:u w:val="single"/>
              </w:rPr>
              <w:t>②</w:t>
            </w:r>
            <w:r>
              <w:rPr>
                <w:rFonts w:hint="eastAsia"/>
                <w:color w:val="auto"/>
                <w:sz w:val="21"/>
                <w:szCs w:val="21"/>
                <w:highlight w:val="none"/>
                <w:u w:val="single"/>
              </w:rPr>
              <w:t>船体喷漆废气采用</w:t>
            </w:r>
            <w:r>
              <w:rPr>
                <w:color w:val="auto"/>
                <w:sz w:val="21"/>
                <w:szCs w:val="21"/>
                <w:highlight w:val="none"/>
                <w:u w:val="single"/>
              </w:rPr>
              <w:t>鼓风机通风无组织排放</w:t>
            </w:r>
          </w:p>
        </w:tc>
        <w:tc>
          <w:tcPr>
            <w:tcW w:w="216" w:type="pct"/>
            <w:tcBorders>
              <w:tl2br w:val="nil"/>
              <w:tr2bl w:val="nil"/>
            </w:tcBorders>
            <w:vAlign w:val="center"/>
          </w:tcPr>
          <w:p w14:paraId="73404511">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959" w:type="pct"/>
            <w:vMerge w:val="restart"/>
            <w:tcBorders>
              <w:tl2br w:val="nil"/>
              <w:tr2bl w:val="nil"/>
            </w:tcBorders>
            <w:vAlign w:val="center"/>
          </w:tcPr>
          <w:p w14:paraId="03A695F7">
            <w:pPr>
              <w:spacing w:line="240" w:lineRule="auto"/>
              <w:ind w:firstLine="0" w:firstLineChars="0"/>
              <w:jc w:val="center"/>
              <w:rPr>
                <w:color w:val="auto"/>
                <w:sz w:val="21"/>
                <w:szCs w:val="21"/>
                <w:highlight w:val="none"/>
                <w:u w:val="single"/>
              </w:rPr>
            </w:pPr>
            <w:r>
              <w:rPr>
                <w:color w:val="auto"/>
                <w:sz w:val="21"/>
                <w:szCs w:val="21"/>
                <w:highlight w:val="none"/>
                <w:u w:val="single"/>
              </w:rPr>
              <w:t>二甲苯、TSP厂界排放浓度满足《大气污染物综合排放标准》（GB16297-1996）表2二级标准无组织排放限值</w:t>
            </w:r>
            <w:r>
              <w:rPr>
                <w:rFonts w:hint="eastAsia"/>
                <w:color w:val="auto"/>
                <w:sz w:val="21"/>
                <w:szCs w:val="21"/>
                <w:highlight w:val="none"/>
                <w:u w:val="single"/>
              </w:rPr>
              <w:t>；</w:t>
            </w:r>
            <w:r>
              <w:rPr>
                <w:color w:val="auto"/>
                <w:sz w:val="21"/>
                <w:szCs w:val="21"/>
                <w:highlight w:val="none"/>
                <w:u w:val="single"/>
              </w:rPr>
              <w:t>厂界内</w:t>
            </w:r>
            <w:r>
              <w:rPr>
                <w:rFonts w:hint="eastAsia"/>
                <w:color w:val="auto"/>
                <w:sz w:val="21"/>
                <w:szCs w:val="21"/>
                <w:highlight w:val="none"/>
                <w:u w:val="single"/>
              </w:rPr>
              <w:t>挥发性有机物</w:t>
            </w:r>
            <w:r>
              <w:rPr>
                <w:color w:val="auto"/>
                <w:sz w:val="21"/>
                <w:szCs w:val="21"/>
                <w:highlight w:val="none"/>
                <w:u w:val="single"/>
              </w:rPr>
              <w:t>排放浓度满足《挥发性有机物无组织排放控制标准》（GB37822-2019）表A.1 无组织排放限值</w:t>
            </w:r>
          </w:p>
        </w:tc>
      </w:tr>
      <w:tr w14:paraId="23197F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317" w:type="pct"/>
            <w:vMerge w:val="continue"/>
            <w:tcBorders>
              <w:tl2br w:val="nil"/>
              <w:tr2bl w:val="nil"/>
            </w:tcBorders>
            <w:vAlign w:val="center"/>
          </w:tcPr>
          <w:p w14:paraId="60FAC7DB">
            <w:pPr>
              <w:spacing w:line="240" w:lineRule="auto"/>
              <w:ind w:firstLine="0" w:firstLineChars="0"/>
              <w:jc w:val="center"/>
              <w:rPr>
                <w:color w:val="auto"/>
                <w:sz w:val="21"/>
                <w:szCs w:val="21"/>
                <w:highlight w:val="none"/>
                <w:u w:val="single"/>
              </w:rPr>
            </w:pPr>
          </w:p>
        </w:tc>
        <w:tc>
          <w:tcPr>
            <w:tcW w:w="642" w:type="pct"/>
            <w:gridSpan w:val="2"/>
            <w:tcBorders>
              <w:tl2br w:val="nil"/>
              <w:tr2bl w:val="nil"/>
            </w:tcBorders>
            <w:vAlign w:val="center"/>
          </w:tcPr>
          <w:p w14:paraId="0FD2126D">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T</w:t>
            </w:r>
            <w:r>
              <w:rPr>
                <w:color w:val="auto"/>
                <w:sz w:val="21"/>
                <w:szCs w:val="21"/>
                <w:highlight w:val="none"/>
                <w:u w:val="single"/>
              </w:rPr>
              <w:t>VOC</w:t>
            </w:r>
          </w:p>
        </w:tc>
        <w:tc>
          <w:tcPr>
            <w:tcW w:w="319" w:type="pct"/>
            <w:tcBorders>
              <w:tl2br w:val="nil"/>
              <w:tr2bl w:val="nil"/>
            </w:tcBorders>
            <w:vAlign w:val="center"/>
          </w:tcPr>
          <w:p w14:paraId="0919885D">
            <w:pPr>
              <w:spacing w:line="240" w:lineRule="auto"/>
              <w:ind w:firstLine="0" w:firstLineChars="0"/>
              <w:jc w:val="center"/>
              <w:rPr>
                <w:color w:val="auto"/>
                <w:sz w:val="21"/>
                <w:szCs w:val="21"/>
                <w:highlight w:val="none"/>
                <w:u w:val="single"/>
              </w:rPr>
            </w:pPr>
            <w:r>
              <w:rPr>
                <w:color w:val="auto"/>
                <w:sz w:val="21"/>
                <w:szCs w:val="21"/>
                <w:highlight w:val="none"/>
                <w:u w:val="single"/>
              </w:rPr>
              <w:t>58.86</w:t>
            </w:r>
          </w:p>
        </w:tc>
        <w:tc>
          <w:tcPr>
            <w:tcW w:w="336" w:type="pct"/>
            <w:tcBorders>
              <w:tl2br w:val="nil"/>
              <w:tr2bl w:val="nil"/>
            </w:tcBorders>
            <w:vAlign w:val="center"/>
          </w:tcPr>
          <w:p w14:paraId="33910412">
            <w:pPr>
              <w:spacing w:line="240" w:lineRule="auto"/>
              <w:ind w:firstLine="0" w:firstLineChars="0"/>
              <w:jc w:val="center"/>
              <w:rPr>
                <w:color w:val="auto"/>
                <w:sz w:val="21"/>
                <w:szCs w:val="21"/>
                <w:highlight w:val="none"/>
                <w:u w:val="single"/>
              </w:rPr>
            </w:pPr>
            <w:r>
              <w:rPr>
                <w:color w:val="auto"/>
                <w:sz w:val="21"/>
                <w:szCs w:val="21"/>
                <w:highlight w:val="none"/>
                <w:u w:val="single"/>
              </w:rPr>
              <w:t>0</w:t>
            </w:r>
          </w:p>
        </w:tc>
        <w:tc>
          <w:tcPr>
            <w:tcW w:w="347" w:type="pct"/>
            <w:tcBorders>
              <w:tl2br w:val="nil"/>
              <w:tr2bl w:val="nil"/>
            </w:tcBorders>
            <w:vAlign w:val="center"/>
          </w:tcPr>
          <w:p w14:paraId="5D55E76D">
            <w:pPr>
              <w:spacing w:line="240" w:lineRule="auto"/>
              <w:ind w:firstLine="0" w:firstLineChars="0"/>
              <w:jc w:val="center"/>
              <w:rPr>
                <w:color w:val="auto"/>
                <w:sz w:val="21"/>
                <w:szCs w:val="21"/>
                <w:highlight w:val="none"/>
                <w:u w:val="single"/>
              </w:rPr>
            </w:pPr>
            <w:r>
              <w:rPr>
                <w:color w:val="auto"/>
                <w:sz w:val="21"/>
                <w:szCs w:val="21"/>
                <w:highlight w:val="none"/>
                <w:u w:val="single"/>
              </w:rPr>
              <w:t>58.86</w:t>
            </w:r>
          </w:p>
        </w:tc>
        <w:tc>
          <w:tcPr>
            <w:tcW w:w="1860" w:type="pct"/>
            <w:vMerge w:val="continue"/>
            <w:tcBorders>
              <w:tl2br w:val="nil"/>
              <w:tr2bl w:val="nil"/>
            </w:tcBorders>
            <w:vAlign w:val="center"/>
          </w:tcPr>
          <w:p w14:paraId="439C25FA">
            <w:pPr>
              <w:spacing w:line="240" w:lineRule="auto"/>
              <w:ind w:firstLine="0" w:firstLineChars="0"/>
              <w:jc w:val="center"/>
              <w:rPr>
                <w:color w:val="auto"/>
                <w:sz w:val="21"/>
                <w:szCs w:val="21"/>
                <w:highlight w:val="none"/>
                <w:u w:val="single"/>
              </w:rPr>
            </w:pPr>
          </w:p>
        </w:tc>
        <w:tc>
          <w:tcPr>
            <w:tcW w:w="216" w:type="pct"/>
            <w:tcBorders>
              <w:tl2br w:val="nil"/>
              <w:tr2bl w:val="nil"/>
            </w:tcBorders>
            <w:vAlign w:val="center"/>
          </w:tcPr>
          <w:p w14:paraId="5869B871">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959" w:type="pct"/>
            <w:vMerge w:val="continue"/>
            <w:tcBorders>
              <w:tl2br w:val="nil"/>
              <w:tr2bl w:val="nil"/>
            </w:tcBorders>
            <w:vAlign w:val="center"/>
          </w:tcPr>
          <w:p w14:paraId="6AD5B1F9">
            <w:pPr>
              <w:spacing w:line="240" w:lineRule="auto"/>
              <w:ind w:firstLine="0" w:firstLineChars="0"/>
              <w:jc w:val="center"/>
              <w:rPr>
                <w:color w:val="auto"/>
                <w:sz w:val="21"/>
                <w:szCs w:val="21"/>
                <w:highlight w:val="none"/>
                <w:u w:val="single"/>
              </w:rPr>
            </w:pPr>
          </w:p>
        </w:tc>
      </w:tr>
      <w:tr w14:paraId="13D2A5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317" w:type="pct"/>
            <w:vMerge w:val="continue"/>
            <w:tcBorders>
              <w:tl2br w:val="nil"/>
              <w:tr2bl w:val="nil"/>
            </w:tcBorders>
            <w:vAlign w:val="center"/>
          </w:tcPr>
          <w:p w14:paraId="242A831D">
            <w:pPr>
              <w:spacing w:line="240" w:lineRule="auto"/>
              <w:ind w:firstLine="0" w:firstLineChars="0"/>
              <w:jc w:val="center"/>
              <w:rPr>
                <w:color w:val="auto"/>
                <w:sz w:val="21"/>
                <w:szCs w:val="21"/>
                <w:highlight w:val="none"/>
                <w:u w:val="single"/>
              </w:rPr>
            </w:pPr>
          </w:p>
        </w:tc>
        <w:tc>
          <w:tcPr>
            <w:tcW w:w="642" w:type="pct"/>
            <w:gridSpan w:val="2"/>
            <w:tcBorders>
              <w:tl2br w:val="nil"/>
              <w:tr2bl w:val="nil"/>
            </w:tcBorders>
            <w:vAlign w:val="center"/>
          </w:tcPr>
          <w:p w14:paraId="0DF4AE07">
            <w:pPr>
              <w:spacing w:line="240" w:lineRule="auto"/>
              <w:ind w:firstLine="0" w:firstLineChars="0"/>
              <w:jc w:val="center"/>
              <w:rPr>
                <w:color w:val="auto"/>
                <w:sz w:val="21"/>
                <w:szCs w:val="21"/>
                <w:highlight w:val="none"/>
                <w:u w:val="single"/>
              </w:rPr>
            </w:pPr>
            <w:r>
              <w:rPr>
                <w:color w:val="auto"/>
                <w:sz w:val="21"/>
                <w:szCs w:val="21"/>
                <w:highlight w:val="none"/>
                <w:u w:val="single"/>
              </w:rPr>
              <w:t>二甲苯</w:t>
            </w:r>
          </w:p>
        </w:tc>
        <w:tc>
          <w:tcPr>
            <w:tcW w:w="319" w:type="pct"/>
            <w:tcBorders>
              <w:tl2br w:val="nil"/>
              <w:tr2bl w:val="nil"/>
            </w:tcBorders>
            <w:vAlign w:val="center"/>
          </w:tcPr>
          <w:p w14:paraId="7EC508BF">
            <w:pPr>
              <w:spacing w:line="240" w:lineRule="auto"/>
              <w:ind w:firstLine="0" w:firstLineChars="0"/>
              <w:jc w:val="center"/>
              <w:rPr>
                <w:color w:val="auto"/>
                <w:sz w:val="21"/>
                <w:szCs w:val="21"/>
                <w:highlight w:val="none"/>
                <w:u w:val="single"/>
              </w:rPr>
            </w:pPr>
            <w:r>
              <w:rPr>
                <w:color w:val="auto"/>
                <w:sz w:val="21"/>
                <w:szCs w:val="21"/>
                <w:highlight w:val="none"/>
                <w:u w:val="single"/>
              </w:rPr>
              <w:t>14.71</w:t>
            </w:r>
          </w:p>
        </w:tc>
        <w:tc>
          <w:tcPr>
            <w:tcW w:w="336" w:type="pct"/>
            <w:tcBorders>
              <w:tl2br w:val="nil"/>
              <w:tr2bl w:val="nil"/>
            </w:tcBorders>
            <w:vAlign w:val="center"/>
          </w:tcPr>
          <w:p w14:paraId="67ED8F28">
            <w:pPr>
              <w:spacing w:line="240" w:lineRule="auto"/>
              <w:ind w:firstLine="0" w:firstLineChars="0"/>
              <w:jc w:val="center"/>
              <w:rPr>
                <w:color w:val="auto"/>
                <w:sz w:val="21"/>
                <w:szCs w:val="21"/>
                <w:highlight w:val="none"/>
                <w:u w:val="single"/>
              </w:rPr>
            </w:pPr>
            <w:r>
              <w:rPr>
                <w:color w:val="auto"/>
                <w:sz w:val="21"/>
                <w:szCs w:val="21"/>
                <w:highlight w:val="none"/>
                <w:u w:val="single"/>
              </w:rPr>
              <w:t>0</w:t>
            </w:r>
          </w:p>
        </w:tc>
        <w:tc>
          <w:tcPr>
            <w:tcW w:w="347" w:type="pct"/>
            <w:tcBorders>
              <w:tl2br w:val="nil"/>
              <w:tr2bl w:val="nil"/>
            </w:tcBorders>
            <w:vAlign w:val="center"/>
          </w:tcPr>
          <w:p w14:paraId="1F99D078">
            <w:pPr>
              <w:spacing w:line="240" w:lineRule="auto"/>
              <w:ind w:firstLine="0" w:firstLineChars="0"/>
              <w:jc w:val="center"/>
              <w:rPr>
                <w:color w:val="auto"/>
                <w:sz w:val="21"/>
                <w:szCs w:val="21"/>
                <w:highlight w:val="none"/>
                <w:u w:val="single"/>
              </w:rPr>
            </w:pPr>
            <w:r>
              <w:rPr>
                <w:color w:val="auto"/>
                <w:sz w:val="21"/>
                <w:szCs w:val="21"/>
                <w:highlight w:val="none"/>
                <w:u w:val="single"/>
              </w:rPr>
              <w:t>14.71</w:t>
            </w:r>
          </w:p>
        </w:tc>
        <w:tc>
          <w:tcPr>
            <w:tcW w:w="1860" w:type="pct"/>
            <w:vMerge w:val="continue"/>
            <w:tcBorders>
              <w:tl2br w:val="nil"/>
              <w:tr2bl w:val="nil"/>
            </w:tcBorders>
            <w:vAlign w:val="center"/>
          </w:tcPr>
          <w:p w14:paraId="6ADF4463">
            <w:pPr>
              <w:spacing w:line="240" w:lineRule="auto"/>
              <w:ind w:firstLine="0" w:firstLineChars="0"/>
              <w:jc w:val="center"/>
              <w:rPr>
                <w:color w:val="auto"/>
                <w:sz w:val="21"/>
                <w:szCs w:val="21"/>
                <w:highlight w:val="none"/>
                <w:u w:val="single"/>
              </w:rPr>
            </w:pPr>
          </w:p>
        </w:tc>
        <w:tc>
          <w:tcPr>
            <w:tcW w:w="216" w:type="pct"/>
            <w:tcBorders>
              <w:tl2br w:val="nil"/>
              <w:tr2bl w:val="nil"/>
            </w:tcBorders>
            <w:vAlign w:val="center"/>
          </w:tcPr>
          <w:p w14:paraId="124F7E08">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959" w:type="pct"/>
            <w:vMerge w:val="continue"/>
            <w:tcBorders>
              <w:tl2br w:val="nil"/>
              <w:tr2bl w:val="nil"/>
            </w:tcBorders>
            <w:vAlign w:val="center"/>
          </w:tcPr>
          <w:p w14:paraId="0EA2BA52">
            <w:pPr>
              <w:spacing w:line="240" w:lineRule="auto"/>
              <w:ind w:firstLine="0" w:firstLineChars="0"/>
              <w:jc w:val="center"/>
              <w:rPr>
                <w:color w:val="auto"/>
                <w:sz w:val="21"/>
                <w:szCs w:val="21"/>
                <w:highlight w:val="none"/>
                <w:u w:val="single"/>
              </w:rPr>
            </w:pPr>
          </w:p>
        </w:tc>
      </w:tr>
      <w:tr w14:paraId="2A7BB0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317" w:type="pct"/>
            <w:vMerge w:val="continue"/>
            <w:tcBorders>
              <w:tl2br w:val="nil"/>
              <w:tr2bl w:val="nil"/>
            </w:tcBorders>
            <w:vAlign w:val="center"/>
          </w:tcPr>
          <w:p w14:paraId="13192F7C">
            <w:pPr>
              <w:spacing w:line="240" w:lineRule="auto"/>
              <w:ind w:firstLine="0" w:firstLineChars="0"/>
              <w:jc w:val="center"/>
              <w:rPr>
                <w:color w:val="auto"/>
                <w:sz w:val="21"/>
                <w:szCs w:val="21"/>
                <w:highlight w:val="none"/>
                <w:u w:val="single"/>
              </w:rPr>
            </w:pPr>
          </w:p>
        </w:tc>
        <w:tc>
          <w:tcPr>
            <w:tcW w:w="642" w:type="pct"/>
            <w:gridSpan w:val="2"/>
            <w:tcBorders>
              <w:tl2br w:val="nil"/>
              <w:tr2bl w:val="nil"/>
            </w:tcBorders>
            <w:vAlign w:val="center"/>
          </w:tcPr>
          <w:p w14:paraId="483F6F3B">
            <w:pPr>
              <w:spacing w:line="240" w:lineRule="auto"/>
              <w:ind w:firstLine="0" w:firstLineChars="0"/>
              <w:jc w:val="center"/>
              <w:rPr>
                <w:color w:val="auto"/>
                <w:sz w:val="21"/>
                <w:szCs w:val="21"/>
                <w:highlight w:val="none"/>
                <w:u w:val="single"/>
              </w:rPr>
            </w:pPr>
            <w:r>
              <w:rPr>
                <w:color w:val="auto"/>
                <w:sz w:val="21"/>
                <w:szCs w:val="21"/>
                <w:highlight w:val="none"/>
                <w:u w:val="single"/>
              </w:rPr>
              <w:t>除锈粉尘</w:t>
            </w:r>
          </w:p>
        </w:tc>
        <w:tc>
          <w:tcPr>
            <w:tcW w:w="319" w:type="pct"/>
            <w:tcBorders>
              <w:tl2br w:val="nil"/>
              <w:tr2bl w:val="nil"/>
            </w:tcBorders>
            <w:vAlign w:val="center"/>
          </w:tcPr>
          <w:p w14:paraId="449AF357">
            <w:pPr>
              <w:spacing w:line="240" w:lineRule="auto"/>
              <w:ind w:firstLine="0" w:firstLineChars="0"/>
              <w:jc w:val="center"/>
              <w:rPr>
                <w:color w:val="auto"/>
                <w:sz w:val="21"/>
                <w:szCs w:val="21"/>
                <w:highlight w:val="none"/>
                <w:u w:val="single"/>
              </w:rPr>
            </w:pPr>
            <w:r>
              <w:rPr>
                <w:color w:val="auto"/>
                <w:sz w:val="21"/>
                <w:szCs w:val="21"/>
                <w:highlight w:val="none"/>
                <w:u w:val="single"/>
              </w:rPr>
              <w:t>3.72</w:t>
            </w:r>
          </w:p>
        </w:tc>
        <w:tc>
          <w:tcPr>
            <w:tcW w:w="336" w:type="pct"/>
            <w:tcBorders>
              <w:tl2br w:val="nil"/>
              <w:tr2bl w:val="nil"/>
            </w:tcBorders>
            <w:vAlign w:val="center"/>
          </w:tcPr>
          <w:p w14:paraId="07762055">
            <w:pPr>
              <w:spacing w:line="240" w:lineRule="auto"/>
              <w:ind w:firstLine="0" w:firstLineChars="0"/>
              <w:jc w:val="center"/>
              <w:rPr>
                <w:color w:val="auto"/>
                <w:sz w:val="21"/>
                <w:szCs w:val="21"/>
                <w:highlight w:val="none"/>
                <w:u w:val="single"/>
              </w:rPr>
            </w:pPr>
            <w:r>
              <w:rPr>
                <w:color w:val="auto"/>
                <w:sz w:val="21"/>
                <w:szCs w:val="21"/>
                <w:highlight w:val="none"/>
                <w:u w:val="single"/>
              </w:rPr>
              <w:t>0</w:t>
            </w:r>
          </w:p>
        </w:tc>
        <w:tc>
          <w:tcPr>
            <w:tcW w:w="347" w:type="pct"/>
            <w:tcBorders>
              <w:tl2br w:val="nil"/>
              <w:tr2bl w:val="nil"/>
            </w:tcBorders>
            <w:vAlign w:val="center"/>
          </w:tcPr>
          <w:p w14:paraId="59C31A8B">
            <w:pPr>
              <w:spacing w:line="240" w:lineRule="auto"/>
              <w:ind w:firstLine="0" w:firstLineChars="0"/>
              <w:jc w:val="center"/>
              <w:rPr>
                <w:color w:val="auto"/>
                <w:sz w:val="21"/>
                <w:szCs w:val="21"/>
                <w:highlight w:val="none"/>
                <w:u w:val="single"/>
              </w:rPr>
            </w:pPr>
            <w:r>
              <w:rPr>
                <w:color w:val="auto"/>
                <w:sz w:val="21"/>
                <w:szCs w:val="21"/>
                <w:highlight w:val="none"/>
                <w:u w:val="single"/>
              </w:rPr>
              <w:t>3.72</w:t>
            </w:r>
          </w:p>
        </w:tc>
        <w:tc>
          <w:tcPr>
            <w:tcW w:w="1860" w:type="pct"/>
            <w:vMerge w:val="continue"/>
            <w:tcBorders>
              <w:tl2br w:val="nil"/>
              <w:tr2bl w:val="nil"/>
            </w:tcBorders>
            <w:vAlign w:val="center"/>
          </w:tcPr>
          <w:p w14:paraId="2CDE3325">
            <w:pPr>
              <w:spacing w:line="240" w:lineRule="auto"/>
              <w:ind w:firstLine="0" w:firstLineChars="0"/>
              <w:jc w:val="center"/>
              <w:rPr>
                <w:color w:val="auto"/>
                <w:sz w:val="21"/>
                <w:szCs w:val="21"/>
                <w:highlight w:val="none"/>
                <w:u w:val="single"/>
              </w:rPr>
            </w:pPr>
          </w:p>
        </w:tc>
        <w:tc>
          <w:tcPr>
            <w:tcW w:w="216" w:type="pct"/>
            <w:tcBorders>
              <w:tl2br w:val="nil"/>
              <w:tr2bl w:val="nil"/>
            </w:tcBorders>
            <w:vAlign w:val="center"/>
          </w:tcPr>
          <w:p w14:paraId="635CD474">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959" w:type="pct"/>
            <w:vMerge w:val="continue"/>
            <w:tcBorders>
              <w:tl2br w:val="nil"/>
              <w:tr2bl w:val="nil"/>
            </w:tcBorders>
            <w:vAlign w:val="center"/>
          </w:tcPr>
          <w:p w14:paraId="7B4F40F3">
            <w:pPr>
              <w:spacing w:line="240" w:lineRule="auto"/>
              <w:ind w:firstLine="0" w:firstLineChars="0"/>
              <w:jc w:val="center"/>
              <w:rPr>
                <w:color w:val="auto"/>
                <w:sz w:val="21"/>
                <w:szCs w:val="21"/>
                <w:highlight w:val="none"/>
                <w:u w:val="single"/>
              </w:rPr>
            </w:pPr>
          </w:p>
        </w:tc>
      </w:tr>
      <w:tr w14:paraId="29E034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317" w:type="pct"/>
            <w:vMerge w:val="continue"/>
            <w:tcBorders>
              <w:tl2br w:val="nil"/>
              <w:tr2bl w:val="nil"/>
            </w:tcBorders>
            <w:vAlign w:val="center"/>
          </w:tcPr>
          <w:p w14:paraId="66227899">
            <w:pPr>
              <w:spacing w:line="240" w:lineRule="auto"/>
              <w:ind w:firstLine="0" w:firstLineChars="0"/>
              <w:jc w:val="center"/>
              <w:rPr>
                <w:color w:val="auto"/>
                <w:sz w:val="21"/>
                <w:szCs w:val="21"/>
                <w:highlight w:val="none"/>
                <w:u w:val="single"/>
              </w:rPr>
            </w:pPr>
          </w:p>
        </w:tc>
        <w:tc>
          <w:tcPr>
            <w:tcW w:w="642" w:type="pct"/>
            <w:gridSpan w:val="2"/>
            <w:tcBorders>
              <w:tl2br w:val="nil"/>
              <w:tr2bl w:val="nil"/>
            </w:tcBorders>
            <w:vAlign w:val="center"/>
          </w:tcPr>
          <w:p w14:paraId="53798602">
            <w:pPr>
              <w:widowControl/>
              <w:spacing w:line="240" w:lineRule="auto"/>
              <w:ind w:firstLine="0" w:firstLineChars="0"/>
              <w:jc w:val="center"/>
              <w:rPr>
                <w:color w:val="auto"/>
                <w:sz w:val="21"/>
                <w:szCs w:val="21"/>
                <w:highlight w:val="none"/>
                <w:u w:val="single"/>
              </w:rPr>
            </w:pPr>
            <w:r>
              <w:rPr>
                <w:color w:val="auto"/>
                <w:sz w:val="21"/>
                <w:szCs w:val="21"/>
                <w:highlight w:val="none"/>
                <w:u w:val="single"/>
              </w:rPr>
              <w:t>焊接粉尘</w:t>
            </w:r>
          </w:p>
        </w:tc>
        <w:tc>
          <w:tcPr>
            <w:tcW w:w="319" w:type="pct"/>
            <w:tcBorders>
              <w:tl2br w:val="nil"/>
              <w:tr2bl w:val="nil"/>
            </w:tcBorders>
            <w:vAlign w:val="center"/>
          </w:tcPr>
          <w:p w14:paraId="7816E14D">
            <w:pPr>
              <w:spacing w:line="240" w:lineRule="auto"/>
              <w:ind w:firstLine="0" w:firstLineChars="0"/>
              <w:jc w:val="center"/>
              <w:rPr>
                <w:color w:val="auto"/>
                <w:sz w:val="21"/>
                <w:szCs w:val="21"/>
                <w:highlight w:val="none"/>
                <w:u w:val="single"/>
              </w:rPr>
            </w:pPr>
            <w:r>
              <w:rPr>
                <w:color w:val="auto"/>
                <w:sz w:val="21"/>
                <w:szCs w:val="21"/>
                <w:highlight w:val="none"/>
                <w:u w:val="single"/>
              </w:rPr>
              <w:t>0.</w:t>
            </w:r>
            <w:r>
              <w:rPr>
                <w:rFonts w:hint="eastAsia"/>
                <w:color w:val="auto"/>
                <w:sz w:val="21"/>
                <w:szCs w:val="21"/>
                <w:highlight w:val="none"/>
                <w:u w:val="single"/>
              </w:rPr>
              <w:t>36</w:t>
            </w:r>
          </w:p>
        </w:tc>
        <w:tc>
          <w:tcPr>
            <w:tcW w:w="336" w:type="pct"/>
            <w:tcBorders>
              <w:tl2br w:val="nil"/>
              <w:tr2bl w:val="nil"/>
            </w:tcBorders>
            <w:vAlign w:val="center"/>
          </w:tcPr>
          <w:p w14:paraId="20CE3A5D">
            <w:pPr>
              <w:spacing w:line="240" w:lineRule="auto"/>
              <w:ind w:firstLine="0" w:firstLineChars="0"/>
              <w:jc w:val="center"/>
              <w:rPr>
                <w:color w:val="auto"/>
                <w:sz w:val="21"/>
                <w:szCs w:val="21"/>
                <w:highlight w:val="none"/>
                <w:u w:val="single"/>
              </w:rPr>
            </w:pPr>
            <w:r>
              <w:rPr>
                <w:color w:val="auto"/>
                <w:sz w:val="21"/>
                <w:szCs w:val="21"/>
                <w:highlight w:val="none"/>
                <w:u w:val="single"/>
              </w:rPr>
              <w:t>0</w:t>
            </w:r>
            <w:r>
              <w:rPr>
                <w:rFonts w:hint="eastAsia"/>
                <w:color w:val="auto"/>
                <w:sz w:val="21"/>
                <w:szCs w:val="21"/>
                <w:highlight w:val="none"/>
                <w:u w:val="single"/>
              </w:rPr>
              <w:t>.288</w:t>
            </w:r>
          </w:p>
        </w:tc>
        <w:tc>
          <w:tcPr>
            <w:tcW w:w="347" w:type="pct"/>
            <w:tcBorders>
              <w:tl2br w:val="nil"/>
              <w:tr2bl w:val="nil"/>
            </w:tcBorders>
            <w:vAlign w:val="center"/>
          </w:tcPr>
          <w:p w14:paraId="22A1D123">
            <w:pPr>
              <w:spacing w:line="240" w:lineRule="auto"/>
              <w:ind w:firstLine="0" w:firstLineChars="0"/>
              <w:jc w:val="center"/>
              <w:rPr>
                <w:color w:val="auto"/>
                <w:sz w:val="21"/>
                <w:szCs w:val="21"/>
                <w:highlight w:val="none"/>
                <w:u w:val="single"/>
              </w:rPr>
            </w:pPr>
            <w:r>
              <w:rPr>
                <w:color w:val="auto"/>
                <w:sz w:val="21"/>
                <w:szCs w:val="21"/>
                <w:highlight w:val="none"/>
                <w:u w:val="single"/>
              </w:rPr>
              <w:t>0.</w:t>
            </w:r>
            <w:r>
              <w:rPr>
                <w:rFonts w:hint="eastAsia"/>
                <w:color w:val="auto"/>
                <w:sz w:val="21"/>
                <w:szCs w:val="21"/>
                <w:highlight w:val="none"/>
                <w:u w:val="single"/>
              </w:rPr>
              <w:t>072</w:t>
            </w:r>
          </w:p>
        </w:tc>
        <w:tc>
          <w:tcPr>
            <w:tcW w:w="1860" w:type="pct"/>
            <w:vMerge w:val="continue"/>
            <w:tcBorders>
              <w:tl2br w:val="nil"/>
              <w:tr2bl w:val="nil"/>
            </w:tcBorders>
            <w:vAlign w:val="center"/>
          </w:tcPr>
          <w:p w14:paraId="34E0ECE7">
            <w:pPr>
              <w:spacing w:line="240" w:lineRule="auto"/>
              <w:ind w:firstLine="0" w:firstLineChars="0"/>
              <w:jc w:val="center"/>
              <w:rPr>
                <w:color w:val="auto"/>
                <w:sz w:val="21"/>
                <w:szCs w:val="21"/>
                <w:highlight w:val="none"/>
                <w:u w:val="single"/>
              </w:rPr>
            </w:pPr>
          </w:p>
        </w:tc>
        <w:tc>
          <w:tcPr>
            <w:tcW w:w="216" w:type="pct"/>
            <w:tcBorders>
              <w:tl2br w:val="nil"/>
              <w:tr2bl w:val="nil"/>
            </w:tcBorders>
            <w:vAlign w:val="center"/>
          </w:tcPr>
          <w:p w14:paraId="33ED34CF">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959" w:type="pct"/>
            <w:vMerge w:val="continue"/>
            <w:tcBorders>
              <w:tl2br w:val="nil"/>
              <w:tr2bl w:val="nil"/>
            </w:tcBorders>
            <w:vAlign w:val="center"/>
          </w:tcPr>
          <w:p w14:paraId="2E0FA957">
            <w:pPr>
              <w:spacing w:line="240" w:lineRule="auto"/>
              <w:ind w:firstLine="0" w:firstLineChars="0"/>
              <w:jc w:val="center"/>
              <w:rPr>
                <w:color w:val="auto"/>
                <w:sz w:val="21"/>
                <w:szCs w:val="21"/>
                <w:highlight w:val="none"/>
                <w:u w:val="single"/>
              </w:rPr>
            </w:pPr>
          </w:p>
        </w:tc>
      </w:tr>
      <w:tr w14:paraId="256086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jc w:val="center"/>
        </w:trPr>
        <w:tc>
          <w:tcPr>
            <w:tcW w:w="317" w:type="pct"/>
            <w:vMerge w:val="continue"/>
            <w:tcBorders>
              <w:tl2br w:val="nil"/>
              <w:tr2bl w:val="nil"/>
            </w:tcBorders>
            <w:vAlign w:val="center"/>
          </w:tcPr>
          <w:p w14:paraId="1951313B">
            <w:pPr>
              <w:spacing w:line="240" w:lineRule="auto"/>
              <w:ind w:firstLine="0" w:firstLineChars="0"/>
              <w:jc w:val="center"/>
              <w:rPr>
                <w:color w:val="auto"/>
                <w:sz w:val="21"/>
                <w:szCs w:val="21"/>
                <w:highlight w:val="none"/>
                <w:u w:val="single"/>
              </w:rPr>
            </w:pPr>
          </w:p>
        </w:tc>
        <w:tc>
          <w:tcPr>
            <w:tcW w:w="642" w:type="pct"/>
            <w:gridSpan w:val="2"/>
            <w:tcBorders>
              <w:tl2br w:val="nil"/>
              <w:tr2bl w:val="nil"/>
            </w:tcBorders>
            <w:vAlign w:val="center"/>
          </w:tcPr>
          <w:p w14:paraId="5ADA653F">
            <w:pPr>
              <w:widowControl/>
              <w:spacing w:line="240" w:lineRule="auto"/>
              <w:ind w:firstLine="0" w:firstLineChars="0"/>
              <w:jc w:val="center"/>
              <w:rPr>
                <w:color w:val="auto"/>
                <w:sz w:val="21"/>
                <w:szCs w:val="21"/>
                <w:highlight w:val="none"/>
                <w:u w:val="single"/>
              </w:rPr>
            </w:pPr>
            <w:r>
              <w:rPr>
                <w:color w:val="auto"/>
                <w:sz w:val="21"/>
                <w:szCs w:val="21"/>
                <w:highlight w:val="none"/>
                <w:u w:val="single"/>
              </w:rPr>
              <w:t>切割粉尘</w:t>
            </w:r>
          </w:p>
        </w:tc>
        <w:tc>
          <w:tcPr>
            <w:tcW w:w="319" w:type="pct"/>
            <w:tcBorders>
              <w:tl2br w:val="nil"/>
              <w:tr2bl w:val="nil"/>
            </w:tcBorders>
            <w:vAlign w:val="center"/>
          </w:tcPr>
          <w:p w14:paraId="076B004D">
            <w:pPr>
              <w:spacing w:line="240" w:lineRule="auto"/>
              <w:ind w:firstLine="0" w:firstLineChars="0"/>
              <w:jc w:val="center"/>
              <w:rPr>
                <w:color w:val="auto"/>
                <w:sz w:val="21"/>
                <w:szCs w:val="21"/>
                <w:highlight w:val="none"/>
                <w:u w:val="single"/>
              </w:rPr>
            </w:pPr>
            <w:r>
              <w:rPr>
                <w:color w:val="auto"/>
                <w:sz w:val="21"/>
                <w:szCs w:val="21"/>
                <w:highlight w:val="none"/>
                <w:u w:val="single"/>
              </w:rPr>
              <w:t>0.5</w:t>
            </w:r>
          </w:p>
        </w:tc>
        <w:tc>
          <w:tcPr>
            <w:tcW w:w="336" w:type="pct"/>
            <w:tcBorders>
              <w:tl2br w:val="nil"/>
              <w:tr2bl w:val="nil"/>
            </w:tcBorders>
            <w:vAlign w:val="center"/>
          </w:tcPr>
          <w:p w14:paraId="2EF7385B">
            <w:pPr>
              <w:spacing w:line="240" w:lineRule="auto"/>
              <w:ind w:firstLine="0" w:firstLineChars="0"/>
              <w:jc w:val="center"/>
              <w:rPr>
                <w:color w:val="auto"/>
                <w:sz w:val="21"/>
                <w:szCs w:val="21"/>
                <w:highlight w:val="none"/>
                <w:u w:val="single"/>
              </w:rPr>
            </w:pPr>
            <w:r>
              <w:rPr>
                <w:color w:val="auto"/>
                <w:sz w:val="21"/>
                <w:szCs w:val="21"/>
                <w:highlight w:val="none"/>
                <w:u w:val="single"/>
              </w:rPr>
              <w:t>0</w:t>
            </w:r>
          </w:p>
        </w:tc>
        <w:tc>
          <w:tcPr>
            <w:tcW w:w="347" w:type="pct"/>
            <w:tcBorders>
              <w:tl2br w:val="nil"/>
              <w:tr2bl w:val="nil"/>
            </w:tcBorders>
            <w:vAlign w:val="center"/>
          </w:tcPr>
          <w:p w14:paraId="5D39BF3E">
            <w:pPr>
              <w:spacing w:line="240" w:lineRule="auto"/>
              <w:ind w:firstLine="0" w:firstLineChars="0"/>
              <w:jc w:val="center"/>
              <w:rPr>
                <w:color w:val="auto"/>
                <w:sz w:val="21"/>
                <w:szCs w:val="21"/>
                <w:highlight w:val="none"/>
                <w:u w:val="single"/>
              </w:rPr>
            </w:pPr>
            <w:r>
              <w:rPr>
                <w:color w:val="auto"/>
                <w:sz w:val="21"/>
                <w:szCs w:val="21"/>
                <w:highlight w:val="none"/>
                <w:u w:val="single"/>
              </w:rPr>
              <w:t>0.5</w:t>
            </w:r>
          </w:p>
        </w:tc>
        <w:tc>
          <w:tcPr>
            <w:tcW w:w="1860" w:type="pct"/>
            <w:vMerge w:val="continue"/>
            <w:tcBorders>
              <w:tl2br w:val="nil"/>
              <w:tr2bl w:val="nil"/>
            </w:tcBorders>
            <w:vAlign w:val="center"/>
          </w:tcPr>
          <w:p w14:paraId="0B6A929B">
            <w:pPr>
              <w:spacing w:line="240" w:lineRule="auto"/>
              <w:ind w:firstLine="0" w:firstLineChars="0"/>
              <w:jc w:val="center"/>
              <w:rPr>
                <w:color w:val="auto"/>
                <w:sz w:val="21"/>
                <w:szCs w:val="21"/>
                <w:highlight w:val="none"/>
                <w:u w:val="single"/>
              </w:rPr>
            </w:pPr>
          </w:p>
        </w:tc>
        <w:tc>
          <w:tcPr>
            <w:tcW w:w="216" w:type="pct"/>
            <w:tcBorders>
              <w:tl2br w:val="nil"/>
              <w:tr2bl w:val="nil"/>
            </w:tcBorders>
            <w:vAlign w:val="center"/>
          </w:tcPr>
          <w:p w14:paraId="1286F910">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959" w:type="pct"/>
            <w:vMerge w:val="continue"/>
            <w:tcBorders>
              <w:tl2br w:val="nil"/>
              <w:tr2bl w:val="nil"/>
            </w:tcBorders>
            <w:vAlign w:val="center"/>
          </w:tcPr>
          <w:p w14:paraId="5F0D897E">
            <w:pPr>
              <w:spacing w:line="240" w:lineRule="auto"/>
              <w:ind w:firstLine="0" w:firstLineChars="0"/>
              <w:jc w:val="center"/>
              <w:rPr>
                <w:color w:val="auto"/>
                <w:sz w:val="21"/>
                <w:szCs w:val="21"/>
                <w:highlight w:val="none"/>
                <w:u w:val="single"/>
              </w:rPr>
            </w:pPr>
          </w:p>
        </w:tc>
      </w:tr>
      <w:tr w14:paraId="110507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1" w:hRule="atLeast"/>
          <w:jc w:val="center"/>
        </w:trPr>
        <w:tc>
          <w:tcPr>
            <w:tcW w:w="317" w:type="pct"/>
            <w:vMerge w:val="restart"/>
            <w:tcBorders>
              <w:tl2br w:val="nil"/>
              <w:tr2bl w:val="nil"/>
            </w:tcBorders>
            <w:vAlign w:val="center"/>
          </w:tcPr>
          <w:p w14:paraId="03216DFA">
            <w:pPr>
              <w:spacing w:line="240" w:lineRule="auto"/>
              <w:ind w:firstLine="0" w:firstLineChars="0"/>
              <w:jc w:val="center"/>
              <w:rPr>
                <w:color w:val="auto"/>
                <w:sz w:val="21"/>
                <w:szCs w:val="21"/>
                <w:highlight w:val="none"/>
                <w:u w:val="single"/>
              </w:rPr>
            </w:pPr>
            <w:r>
              <w:rPr>
                <w:color w:val="auto"/>
                <w:sz w:val="21"/>
                <w:szCs w:val="21"/>
                <w:highlight w:val="none"/>
                <w:u w:val="single"/>
              </w:rPr>
              <w:t>废水</w:t>
            </w:r>
          </w:p>
        </w:tc>
        <w:tc>
          <w:tcPr>
            <w:tcW w:w="321" w:type="pct"/>
            <w:vMerge w:val="restart"/>
            <w:tcBorders>
              <w:tl2br w:val="nil"/>
              <w:tr2bl w:val="nil"/>
            </w:tcBorders>
            <w:vAlign w:val="center"/>
          </w:tcPr>
          <w:p w14:paraId="3484C612">
            <w:pPr>
              <w:spacing w:line="240" w:lineRule="auto"/>
              <w:ind w:firstLine="0" w:firstLineChars="0"/>
              <w:jc w:val="center"/>
              <w:rPr>
                <w:rFonts w:hint="eastAsia" w:eastAsia="宋体"/>
                <w:b w:val="0"/>
                <w:bCs w:val="0"/>
                <w:color w:val="auto"/>
                <w:sz w:val="21"/>
                <w:szCs w:val="21"/>
                <w:highlight w:val="none"/>
                <w:u w:val="single"/>
                <w:lang w:eastAsia="zh-CN"/>
              </w:rPr>
            </w:pPr>
            <w:r>
              <w:rPr>
                <w:b w:val="0"/>
                <w:bCs w:val="0"/>
                <w:color w:val="auto"/>
                <w:sz w:val="21"/>
                <w:szCs w:val="21"/>
                <w:highlight w:val="none"/>
                <w:u w:val="single"/>
              </w:rPr>
              <w:t>生活污水</w:t>
            </w:r>
            <w:r>
              <w:rPr>
                <w:rFonts w:hint="eastAsia"/>
                <w:b w:val="0"/>
                <w:bCs w:val="0"/>
                <w:color w:val="auto"/>
                <w:sz w:val="21"/>
                <w:szCs w:val="21"/>
                <w:highlight w:val="none"/>
                <w:u w:val="single"/>
                <w:lang w:eastAsia="zh-CN"/>
              </w:rPr>
              <w:t>（</w:t>
            </w:r>
            <w:r>
              <w:rPr>
                <w:b w:val="0"/>
                <w:bCs w:val="0"/>
                <w:color w:val="auto"/>
                <w:sz w:val="21"/>
                <w:szCs w:val="21"/>
                <w:highlight w:val="none"/>
                <w:u w:val="single"/>
              </w:rPr>
              <w:t>4781.25m</w:t>
            </w:r>
            <w:r>
              <w:rPr>
                <w:b w:val="0"/>
                <w:bCs w:val="0"/>
                <w:color w:val="auto"/>
                <w:sz w:val="21"/>
                <w:szCs w:val="21"/>
                <w:highlight w:val="none"/>
                <w:u w:val="single"/>
                <w:vertAlign w:val="superscript"/>
              </w:rPr>
              <w:t>3</w:t>
            </w:r>
            <w:r>
              <w:rPr>
                <w:b w:val="0"/>
                <w:bCs w:val="0"/>
                <w:color w:val="auto"/>
                <w:sz w:val="21"/>
                <w:szCs w:val="21"/>
                <w:highlight w:val="none"/>
                <w:u w:val="single"/>
              </w:rPr>
              <w:t>/a</w:t>
            </w:r>
            <w:r>
              <w:rPr>
                <w:rFonts w:hint="eastAsia"/>
                <w:b w:val="0"/>
                <w:bCs w:val="0"/>
                <w:color w:val="auto"/>
                <w:sz w:val="21"/>
                <w:szCs w:val="21"/>
                <w:highlight w:val="none"/>
                <w:u w:val="single"/>
                <w:lang w:eastAsia="zh-CN"/>
              </w:rPr>
              <w:t>）</w:t>
            </w:r>
          </w:p>
        </w:tc>
        <w:tc>
          <w:tcPr>
            <w:tcW w:w="321" w:type="pct"/>
            <w:tcBorders>
              <w:tl2br w:val="nil"/>
              <w:tr2bl w:val="nil"/>
            </w:tcBorders>
            <w:shd w:val="clear" w:color="auto" w:fill="auto"/>
            <w:vAlign w:val="center"/>
          </w:tcPr>
          <w:p w14:paraId="2DBD974F">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color w:val="auto"/>
                <w:sz w:val="21"/>
                <w:szCs w:val="21"/>
                <w:highlight w:val="none"/>
                <w:u w:val="single"/>
              </w:rPr>
              <w:t>COD</w:t>
            </w:r>
          </w:p>
        </w:tc>
        <w:tc>
          <w:tcPr>
            <w:tcW w:w="319" w:type="pct"/>
            <w:tcBorders>
              <w:tl2br w:val="nil"/>
              <w:tr2bl w:val="nil"/>
            </w:tcBorders>
            <w:shd w:val="clear" w:color="auto" w:fill="auto"/>
            <w:vAlign w:val="center"/>
          </w:tcPr>
          <w:p w14:paraId="64AF677F">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color w:val="auto"/>
                <w:sz w:val="21"/>
                <w:szCs w:val="21"/>
                <w:highlight w:val="none"/>
                <w:u w:val="single"/>
              </w:rPr>
              <w:t xml:space="preserve">1.67 </w:t>
            </w:r>
          </w:p>
        </w:tc>
        <w:tc>
          <w:tcPr>
            <w:tcW w:w="336" w:type="pct"/>
            <w:tcBorders>
              <w:tl2br w:val="nil"/>
              <w:tr2bl w:val="nil"/>
            </w:tcBorders>
            <w:shd w:val="clear" w:color="auto" w:fill="auto"/>
            <w:vAlign w:val="center"/>
          </w:tcPr>
          <w:p w14:paraId="38226481">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rFonts w:hint="default"/>
                <w:color w:val="auto"/>
                <w:sz w:val="21"/>
                <w:szCs w:val="21"/>
                <w:highlight w:val="none"/>
                <w:u w:val="single"/>
                <w:lang w:val="en-US" w:eastAsia="zh-CN"/>
              </w:rPr>
              <w:t xml:space="preserve">0.4303 </w:t>
            </w:r>
          </w:p>
        </w:tc>
        <w:tc>
          <w:tcPr>
            <w:tcW w:w="347" w:type="pct"/>
            <w:tcBorders>
              <w:tl2br w:val="nil"/>
              <w:tr2bl w:val="nil"/>
            </w:tcBorders>
            <w:shd w:val="clear" w:color="auto" w:fill="auto"/>
            <w:vAlign w:val="center"/>
          </w:tcPr>
          <w:p w14:paraId="1A767BE3">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rFonts w:hint="default"/>
                <w:color w:val="auto"/>
                <w:sz w:val="21"/>
                <w:szCs w:val="21"/>
                <w:highlight w:val="none"/>
                <w:u w:val="single"/>
                <w:lang w:val="en-US" w:eastAsia="zh-CN"/>
              </w:rPr>
              <w:t xml:space="preserve">0.0478 </w:t>
            </w:r>
          </w:p>
        </w:tc>
        <w:tc>
          <w:tcPr>
            <w:tcW w:w="1860" w:type="pct"/>
            <w:vMerge w:val="restart"/>
            <w:tcBorders>
              <w:tl2br w:val="nil"/>
              <w:tr2bl w:val="nil"/>
            </w:tcBorders>
            <w:tcMar>
              <w:left w:w="0" w:type="dxa"/>
              <w:right w:w="0" w:type="dxa"/>
            </w:tcMar>
            <w:vAlign w:val="center"/>
          </w:tcPr>
          <w:p w14:paraId="4E7B70D5">
            <w:pPr>
              <w:spacing w:line="240" w:lineRule="auto"/>
              <w:ind w:firstLine="0" w:firstLineChars="0"/>
              <w:jc w:val="left"/>
              <w:rPr>
                <w:b/>
                <w:color w:val="auto"/>
                <w:sz w:val="21"/>
                <w:szCs w:val="21"/>
                <w:highlight w:val="none"/>
                <w:u w:val="single"/>
              </w:rPr>
            </w:pPr>
            <w:r>
              <w:rPr>
                <w:color w:val="auto"/>
                <w:sz w:val="21"/>
                <w:szCs w:val="21"/>
                <w:highlight w:val="none"/>
                <w:u w:val="single"/>
              </w:rPr>
              <w:t>经</w:t>
            </w:r>
            <w:r>
              <w:rPr>
                <w:rFonts w:hint="eastAsia"/>
                <w:color w:val="auto"/>
                <w:sz w:val="21"/>
                <w:szCs w:val="21"/>
                <w:highlight w:val="none"/>
                <w:u w:val="single"/>
              </w:rPr>
              <w:t>陆域</w:t>
            </w:r>
            <w:r>
              <w:rPr>
                <w:color w:val="auto"/>
                <w:sz w:val="21"/>
                <w:szCs w:val="21"/>
                <w:highlight w:val="none"/>
                <w:u w:val="single"/>
              </w:rPr>
              <w:t>生活污水处理一体化设备（处理规模300m</w:t>
            </w:r>
            <w:r>
              <w:rPr>
                <w:color w:val="auto"/>
                <w:sz w:val="21"/>
                <w:szCs w:val="21"/>
                <w:highlight w:val="none"/>
                <w:u w:val="single"/>
                <w:vertAlign w:val="superscript"/>
              </w:rPr>
              <w:t>3</w:t>
            </w:r>
            <w:r>
              <w:rPr>
                <w:color w:val="auto"/>
                <w:sz w:val="21"/>
                <w:szCs w:val="21"/>
                <w:highlight w:val="none"/>
                <w:u w:val="single"/>
              </w:rPr>
              <w:t>/d）处理</w:t>
            </w:r>
            <w:r>
              <w:rPr>
                <w:rFonts w:hint="eastAsia"/>
                <w:color w:val="auto"/>
                <w:sz w:val="21"/>
                <w:szCs w:val="21"/>
                <w:highlight w:val="none"/>
                <w:u w:val="single"/>
              </w:rPr>
              <w:t>后，进入中水回用池储存，大部分</w:t>
            </w:r>
            <w:r>
              <w:rPr>
                <w:color w:val="auto"/>
                <w:sz w:val="21"/>
                <w:szCs w:val="21"/>
                <w:highlight w:val="none"/>
                <w:u w:val="single"/>
              </w:rPr>
              <w:t>回用于厂区绿化及降尘，</w:t>
            </w:r>
            <w:r>
              <w:rPr>
                <w:rFonts w:hint="eastAsia"/>
                <w:color w:val="auto"/>
                <w:sz w:val="21"/>
                <w:szCs w:val="21"/>
                <w:highlight w:val="none"/>
                <w:u w:val="single"/>
              </w:rPr>
              <w:t>少部分</w:t>
            </w:r>
            <w:r>
              <w:rPr>
                <w:color w:val="auto"/>
                <w:sz w:val="21"/>
                <w:szCs w:val="21"/>
                <w:highlight w:val="none"/>
                <w:u w:val="single"/>
              </w:rPr>
              <w:t>不能回用的由槽罐车运至大榄坪污水处理厂处理</w:t>
            </w:r>
          </w:p>
        </w:tc>
        <w:tc>
          <w:tcPr>
            <w:tcW w:w="216" w:type="pct"/>
            <w:vMerge w:val="restart"/>
            <w:tcBorders>
              <w:tl2br w:val="nil"/>
              <w:tr2bl w:val="nil"/>
            </w:tcBorders>
            <w:vAlign w:val="center"/>
          </w:tcPr>
          <w:p w14:paraId="70A46C26">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959" w:type="pct"/>
            <w:vMerge w:val="restart"/>
            <w:tcBorders>
              <w:tl2br w:val="nil"/>
              <w:tr2bl w:val="nil"/>
            </w:tcBorders>
            <w:tcMar>
              <w:left w:w="0" w:type="dxa"/>
              <w:right w:w="0" w:type="dxa"/>
            </w:tcMar>
            <w:vAlign w:val="center"/>
          </w:tcPr>
          <w:p w14:paraId="6ED5E6A9">
            <w:pPr>
              <w:spacing w:line="240" w:lineRule="auto"/>
              <w:ind w:firstLine="0" w:firstLineChars="0"/>
              <w:jc w:val="left"/>
              <w:rPr>
                <w:color w:val="auto"/>
                <w:sz w:val="21"/>
                <w:szCs w:val="21"/>
                <w:highlight w:val="none"/>
                <w:u w:val="single"/>
              </w:rPr>
            </w:pPr>
            <w:r>
              <w:rPr>
                <w:color w:val="auto"/>
                <w:sz w:val="21"/>
                <w:szCs w:val="21"/>
                <w:highlight w:val="none"/>
                <w:u w:val="single"/>
              </w:rPr>
              <w:t>生活污水及初期雨水</w:t>
            </w:r>
            <w:r>
              <w:rPr>
                <w:rFonts w:hint="eastAsia"/>
                <w:color w:val="auto"/>
                <w:sz w:val="21"/>
                <w:szCs w:val="21"/>
                <w:highlight w:val="none"/>
                <w:u w:val="single"/>
              </w:rPr>
              <w:t>进入生活污水处理一体化设备处理后，进入配套的中水回用池储存</w:t>
            </w:r>
            <w:r>
              <w:rPr>
                <w:color w:val="auto"/>
                <w:sz w:val="21"/>
                <w:szCs w:val="21"/>
                <w:highlight w:val="none"/>
                <w:u w:val="single"/>
              </w:rPr>
              <w:t>；</w:t>
            </w:r>
          </w:p>
          <w:p w14:paraId="1EFEE126">
            <w:pPr>
              <w:spacing w:line="240" w:lineRule="auto"/>
              <w:ind w:firstLine="0" w:firstLineChars="0"/>
              <w:jc w:val="left"/>
              <w:rPr>
                <w:color w:val="auto"/>
                <w:sz w:val="21"/>
                <w:szCs w:val="21"/>
                <w:highlight w:val="none"/>
                <w:u w:val="single"/>
              </w:rPr>
            </w:pPr>
            <w:r>
              <w:rPr>
                <w:color w:val="auto"/>
                <w:sz w:val="21"/>
                <w:szCs w:val="21"/>
                <w:highlight w:val="none"/>
                <w:u w:val="single"/>
              </w:rPr>
              <w:t>含油废水</w:t>
            </w:r>
            <w:r>
              <w:rPr>
                <w:rFonts w:hint="eastAsia"/>
                <w:color w:val="auto"/>
                <w:sz w:val="21"/>
                <w:szCs w:val="21"/>
                <w:highlight w:val="none"/>
                <w:u w:val="single"/>
              </w:rPr>
              <w:t>进入</w:t>
            </w:r>
            <w:r>
              <w:rPr>
                <w:color w:val="auto"/>
                <w:sz w:val="21"/>
                <w:szCs w:val="21"/>
                <w:highlight w:val="none"/>
                <w:u w:val="single"/>
              </w:rPr>
              <w:t>厂区</w:t>
            </w:r>
            <w:r>
              <w:rPr>
                <w:rFonts w:hint="eastAsia"/>
                <w:color w:val="auto"/>
                <w:sz w:val="21"/>
                <w:szCs w:val="21"/>
                <w:highlight w:val="none"/>
                <w:u w:val="single"/>
              </w:rPr>
              <w:t>现有污</w:t>
            </w:r>
            <w:r>
              <w:rPr>
                <w:color w:val="auto"/>
                <w:sz w:val="21"/>
                <w:szCs w:val="21"/>
                <w:highlight w:val="none"/>
                <w:u w:val="single"/>
              </w:rPr>
              <w:t>水处理站的含油废水处理系统处理</w:t>
            </w:r>
            <w:r>
              <w:rPr>
                <w:rFonts w:hint="eastAsia"/>
                <w:color w:val="auto"/>
                <w:sz w:val="21"/>
                <w:szCs w:val="21"/>
                <w:highlight w:val="none"/>
                <w:u w:val="single"/>
              </w:rPr>
              <w:t>，</w:t>
            </w:r>
            <w:r>
              <w:rPr>
                <w:color w:val="auto"/>
                <w:sz w:val="21"/>
                <w:szCs w:val="21"/>
                <w:highlight w:val="none"/>
                <w:u w:val="single"/>
              </w:rPr>
              <w:t>达到《污水综合排放标准》（GB8978-1996）三级标准后，经厂区污水管道排入</w:t>
            </w:r>
            <w:r>
              <w:rPr>
                <w:rFonts w:hint="eastAsia"/>
                <w:color w:val="auto"/>
                <w:sz w:val="21"/>
                <w:szCs w:val="21"/>
                <w:highlight w:val="none"/>
                <w:u w:val="single"/>
              </w:rPr>
              <w:t>生活污水处理设备配套的中水回用池储存；</w:t>
            </w:r>
          </w:p>
          <w:p w14:paraId="33103D1B">
            <w:pPr>
              <w:spacing w:line="240" w:lineRule="auto"/>
              <w:ind w:firstLine="0" w:firstLineChars="0"/>
              <w:jc w:val="left"/>
              <w:rPr>
                <w:color w:val="auto"/>
                <w:sz w:val="21"/>
                <w:szCs w:val="21"/>
                <w:highlight w:val="none"/>
                <w:u w:val="single"/>
              </w:rPr>
            </w:pPr>
            <w:r>
              <w:rPr>
                <w:rFonts w:hint="eastAsia"/>
                <w:color w:val="auto"/>
                <w:sz w:val="21"/>
                <w:szCs w:val="21"/>
                <w:highlight w:val="none"/>
                <w:u w:val="single"/>
              </w:rPr>
              <w:t>中水回用池的废水大部分</w:t>
            </w:r>
            <w:r>
              <w:rPr>
                <w:color w:val="auto"/>
                <w:sz w:val="21"/>
                <w:szCs w:val="21"/>
                <w:highlight w:val="none"/>
                <w:u w:val="single"/>
              </w:rPr>
              <w:t>回用于厂区绿化及降尘，</w:t>
            </w:r>
            <w:r>
              <w:rPr>
                <w:rFonts w:hint="eastAsia"/>
                <w:color w:val="auto"/>
                <w:sz w:val="21"/>
                <w:szCs w:val="21"/>
                <w:highlight w:val="none"/>
                <w:u w:val="single"/>
              </w:rPr>
              <w:t>少部分</w:t>
            </w:r>
            <w:r>
              <w:rPr>
                <w:color w:val="auto"/>
                <w:sz w:val="21"/>
                <w:szCs w:val="21"/>
                <w:highlight w:val="none"/>
                <w:u w:val="single"/>
              </w:rPr>
              <w:t>不能回用的由槽罐车运至大榄坪污水处理厂处理</w:t>
            </w:r>
          </w:p>
        </w:tc>
      </w:tr>
      <w:tr w14:paraId="3F8096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1" w:hRule="atLeast"/>
          <w:jc w:val="center"/>
        </w:trPr>
        <w:tc>
          <w:tcPr>
            <w:tcW w:w="317" w:type="pct"/>
            <w:vMerge w:val="continue"/>
            <w:tcBorders>
              <w:tl2br w:val="nil"/>
              <w:tr2bl w:val="nil"/>
            </w:tcBorders>
            <w:vAlign w:val="center"/>
          </w:tcPr>
          <w:p w14:paraId="23FBEBCB">
            <w:pPr>
              <w:spacing w:line="240" w:lineRule="auto"/>
              <w:ind w:firstLine="0" w:firstLineChars="0"/>
              <w:jc w:val="center"/>
              <w:rPr>
                <w:color w:val="auto"/>
                <w:highlight w:val="none"/>
                <w:u w:val="single"/>
              </w:rPr>
            </w:pPr>
          </w:p>
        </w:tc>
        <w:tc>
          <w:tcPr>
            <w:tcW w:w="321" w:type="pct"/>
            <w:vMerge w:val="continue"/>
            <w:tcBorders>
              <w:tl2br w:val="nil"/>
              <w:tr2bl w:val="nil"/>
            </w:tcBorders>
            <w:vAlign w:val="center"/>
          </w:tcPr>
          <w:p w14:paraId="740DEEDC">
            <w:pPr>
              <w:spacing w:line="240" w:lineRule="auto"/>
              <w:ind w:firstLine="0" w:firstLineChars="0"/>
              <w:jc w:val="center"/>
              <w:rPr>
                <w:b w:val="0"/>
                <w:bCs w:val="0"/>
                <w:color w:val="auto"/>
                <w:sz w:val="21"/>
                <w:szCs w:val="21"/>
                <w:highlight w:val="none"/>
                <w:u w:val="single"/>
              </w:rPr>
            </w:pPr>
          </w:p>
        </w:tc>
        <w:tc>
          <w:tcPr>
            <w:tcW w:w="321" w:type="pct"/>
            <w:tcBorders>
              <w:tl2br w:val="nil"/>
              <w:tr2bl w:val="nil"/>
            </w:tcBorders>
            <w:shd w:val="clear" w:color="auto" w:fill="auto"/>
            <w:vAlign w:val="center"/>
          </w:tcPr>
          <w:p w14:paraId="2FF244A9">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color w:val="auto"/>
                <w:sz w:val="21"/>
                <w:szCs w:val="21"/>
                <w:highlight w:val="none"/>
                <w:u w:val="single"/>
              </w:rPr>
              <w:t>BOD</w:t>
            </w:r>
            <w:r>
              <w:rPr>
                <w:color w:val="auto"/>
                <w:sz w:val="21"/>
                <w:szCs w:val="21"/>
                <w:highlight w:val="none"/>
                <w:u w:val="single"/>
                <w:vertAlign w:val="subscript"/>
              </w:rPr>
              <w:t>5</w:t>
            </w:r>
          </w:p>
        </w:tc>
        <w:tc>
          <w:tcPr>
            <w:tcW w:w="319" w:type="pct"/>
            <w:tcBorders>
              <w:tl2br w:val="nil"/>
              <w:tr2bl w:val="nil"/>
            </w:tcBorders>
            <w:shd w:val="clear" w:color="auto" w:fill="auto"/>
            <w:vAlign w:val="center"/>
          </w:tcPr>
          <w:p w14:paraId="791B5DFA">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color w:val="auto"/>
                <w:sz w:val="21"/>
                <w:szCs w:val="21"/>
                <w:highlight w:val="none"/>
                <w:u w:val="single"/>
              </w:rPr>
              <w:t xml:space="preserve">0.96 </w:t>
            </w:r>
          </w:p>
        </w:tc>
        <w:tc>
          <w:tcPr>
            <w:tcW w:w="336" w:type="pct"/>
            <w:tcBorders>
              <w:tl2br w:val="nil"/>
              <w:tr2bl w:val="nil"/>
            </w:tcBorders>
            <w:shd w:val="clear" w:color="auto" w:fill="auto"/>
            <w:vAlign w:val="center"/>
          </w:tcPr>
          <w:p w14:paraId="2A647D5E">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rFonts w:hint="default"/>
                <w:color w:val="auto"/>
                <w:sz w:val="21"/>
                <w:szCs w:val="21"/>
                <w:highlight w:val="none"/>
                <w:u w:val="single"/>
                <w:lang w:val="en-US" w:eastAsia="zh-CN"/>
              </w:rPr>
              <w:t xml:space="preserve">0.0430 </w:t>
            </w:r>
          </w:p>
        </w:tc>
        <w:tc>
          <w:tcPr>
            <w:tcW w:w="347" w:type="pct"/>
            <w:tcBorders>
              <w:tl2br w:val="nil"/>
              <w:tr2bl w:val="nil"/>
            </w:tcBorders>
            <w:shd w:val="clear" w:color="auto" w:fill="auto"/>
            <w:vAlign w:val="center"/>
          </w:tcPr>
          <w:p w14:paraId="2B5D9D10">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rFonts w:hint="default"/>
                <w:color w:val="auto"/>
                <w:sz w:val="21"/>
                <w:szCs w:val="21"/>
                <w:highlight w:val="none"/>
                <w:u w:val="single"/>
                <w:lang w:val="en-US" w:eastAsia="zh-CN"/>
              </w:rPr>
              <w:t xml:space="preserve">0.0048 </w:t>
            </w:r>
          </w:p>
        </w:tc>
        <w:tc>
          <w:tcPr>
            <w:tcW w:w="1860" w:type="pct"/>
            <w:vMerge w:val="continue"/>
            <w:tcBorders>
              <w:tl2br w:val="nil"/>
              <w:tr2bl w:val="nil"/>
            </w:tcBorders>
            <w:tcMar>
              <w:left w:w="0" w:type="dxa"/>
              <w:right w:w="0" w:type="dxa"/>
            </w:tcMar>
            <w:vAlign w:val="center"/>
          </w:tcPr>
          <w:p w14:paraId="2F4C691E">
            <w:pPr>
              <w:spacing w:line="240" w:lineRule="auto"/>
              <w:ind w:firstLine="0" w:firstLineChars="0"/>
              <w:jc w:val="center"/>
              <w:rPr>
                <w:color w:val="auto"/>
                <w:sz w:val="21"/>
                <w:szCs w:val="21"/>
                <w:highlight w:val="none"/>
                <w:u w:val="single"/>
              </w:rPr>
            </w:pPr>
          </w:p>
        </w:tc>
        <w:tc>
          <w:tcPr>
            <w:tcW w:w="216" w:type="pct"/>
            <w:vMerge w:val="continue"/>
            <w:tcBorders>
              <w:tl2br w:val="nil"/>
              <w:tr2bl w:val="nil"/>
            </w:tcBorders>
            <w:vAlign w:val="center"/>
          </w:tcPr>
          <w:p w14:paraId="52FCD490">
            <w:pPr>
              <w:spacing w:line="240" w:lineRule="auto"/>
              <w:ind w:firstLine="0" w:firstLineChars="0"/>
              <w:jc w:val="center"/>
              <w:rPr>
                <w:color w:val="auto"/>
                <w:sz w:val="21"/>
                <w:szCs w:val="21"/>
                <w:highlight w:val="none"/>
                <w:u w:val="single"/>
              </w:rPr>
            </w:pPr>
          </w:p>
        </w:tc>
        <w:tc>
          <w:tcPr>
            <w:tcW w:w="959" w:type="pct"/>
            <w:vMerge w:val="continue"/>
            <w:tcBorders>
              <w:tl2br w:val="nil"/>
              <w:tr2bl w:val="nil"/>
            </w:tcBorders>
            <w:tcMar>
              <w:left w:w="0" w:type="dxa"/>
              <w:right w:w="0" w:type="dxa"/>
            </w:tcMar>
            <w:vAlign w:val="center"/>
          </w:tcPr>
          <w:p w14:paraId="19D7175A">
            <w:pPr>
              <w:spacing w:line="240" w:lineRule="auto"/>
              <w:ind w:firstLine="0" w:firstLineChars="0"/>
              <w:jc w:val="center"/>
              <w:rPr>
                <w:color w:val="auto"/>
                <w:sz w:val="21"/>
                <w:szCs w:val="21"/>
                <w:highlight w:val="none"/>
                <w:u w:val="single"/>
              </w:rPr>
            </w:pPr>
          </w:p>
        </w:tc>
      </w:tr>
      <w:tr w14:paraId="666D3A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1" w:hRule="atLeast"/>
          <w:jc w:val="center"/>
        </w:trPr>
        <w:tc>
          <w:tcPr>
            <w:tcW w:w="317" w:type="pct"/>
            <w:vMerge w:val="continue"/>
            <w:tcBorders>
              <w:tl2br w:val="nil"/>
              <w:tr2bl w:val="nil"/>
            </w:tcBorders>
            <w:vAlign w:val="center"/>
          </w:tcPr>
          <w:p w14:paraId="2D12C927">
            <w:pPr>
              <w:spacing w:line="240" w:lineRule="auto"/>
              <w:ind w:firstLine="0" w:firstLineChars="0"/>
              <w:jc w:val="center"/>
              <w:rPr>
                <w:color w:val="auto"/>
                <w:sz w:val="21"/>
                <w:szCs w:val="21"/>
                <w:highlight w:val="none"/>
                <w:u w:val="single"/>
              </w:rPr>
            </w:pPr>
          </w:p>
        </w:tc>
        <w:tc>
          <w:tcPr>
            <w:tcW w:w="321" w:type="pct"/>
            <w:vMerge w:val="continue"/>
            <w:tcBorders>
              <w:tl2br w:val="nil"/>
              <w:tr2bl w:val="nil"/>
            </w:tcBorders>
            <w:vAlign w:val="center"/>
          </w:tcPr>
          <w:p w14:paraId="2DD1CD0E">
            <w:pPr>
              <w:spacing w:line="240" w:lineRule="auto"/>
              <w:ind w:firstLine="0" w:firstLineChars="0"/>
              <w:jc w:val="center"/>
              <w:rPr>
                <w:b w:val="0"/>
                <w:bCs w:val="0"/>
                <w:color w:val="auto"/>
                <w:sz w:val="21"/>
                <w:szCs w:val="21"/>
                <w:highlight w:val="none"/>
                <w:u w:val="single"/>
              </w:rPr>
            </w:pPr>
          </w:p>
        </w:tc>
        <w:tc>
          <w:tcPr>
            <w:tcW w:w="321" w:type="pct"/>
            <w:tcBorders>
              <w:tl2br w:val="nil"/>
              <w:tr2bl w:val="nil"/>
            </w:tcBorders>
            <w:shd w:val="clear" w:color="auto" w:fill="auto"/>
            <w:vAlign w:val="center"/>
          </w:tcPr>
          <w:p w14:paraId="222C4DC3">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color w:val="auto"/>
                <w:sz w:val="21"/>
                <w:szCs w:val="21"/>
                <w:highlight w:val="none"/>
                <w:u w:val="single"/>
              </w:rPr>
              <w:t>氨氮</w:t>
            </w:r>
          </w:p>
        </w:tc>
        <w:tc>
          <w:tcPr>
            <w:tcW w:w="319" w:type="pct"/>
            <w:tcBorders>
              <w:tl2br w:val="nil"/>
              <w:tr2bl w:val="nil"/>
            </w:tcBorders>
            <w:shd w:val="clear" w:color="auto" w:fill="auto"/>
            <w:vAlign w:val="center"/>
          </w:tcPr>
          <w:p w14:paraId="43C566FC">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color w:val="auto"/>
                <w:sz w:val="21"/>
                <w:szCs w:val="21"/>
                <w:highlight w:val="none"/>
                <w:u w:val="single"/>
              </w:rPr>
              <w:t xml:space="preserve">0.19 </w:t>
            </w:r>
          </w:p>
        </w:tc>
        <w:tc>
          <w:tcPr>
            <w:tcW w:w="336" w:type="pct"/>
            <w:tcBorders>
              <w:tl2br w:val="nil"/>
              <w:tr2bl w:val="nil"/>
            </w:tcBorders>
            <w:shd w:val="clear" w:color="auto" w:fill="auto"/>
            <w:vAlign w:val="center"/>
          </w:tcPr>
          <w:p w14:paraId="6B3420FF">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rFonts w:hint="default"/>
                <w:color w:val="auto"/>
                <w:sz w:val="21"/>
                <w:szCs w:val="21"/>
                <w:highlight w:val="none"/>
                <w:u w:val="single"/>
                <w:lang w:val="en-US" w:eastAsia="zh-CN"/>
              </w:rPr>
              <w:t xml:space="preserve">0.0344 </w:t>
            </w:r>
          </w:p>
        </w:tc>
        <w:tc>
          <w:tcPr>
            <w:tcW w:w="347" w:type="pct"/>
            <w:tcBorders>
              <w:tl2br w:val="nil"/>
              <w:tr2bl w:val="nil"/>
            </w:tcBorders>
            <w:shd w:val="clear" w:color="auto" w:fill="auto"/>
            <w:vAlign w:val="center"/>
          </w:tcPr>
          <w:p w14:paraId="38FF51A8">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rFonts w:hint="default"/>
                <w:color w:val="auto"/>
                <w:sz w:val="21"/>
                <w:szCs w:val="21"/>
                <w:highlight w:val="none"/>
                <w:u w:val="single"/>
                <w:lang w:val="en-US" w:eastAsia="zh-CN"/>
              </w:rPr>
              <w:t xml:space="preserve">0.0038 </w:t>
            </w:r>
          </w:p>
        </w:tc>
        <w:tc>
          <w:tcPr>
            <w:tcW w:w="1860" w:type="pct"/>
            <w:vMerge w:val="continue"/>
            <w:tcBorders>
              <w:tl2br w:val="nil"/>
              <w:tr2bl w:val="nil"/>
            </w:tcBorders>
            <w:tcMar>
              <w:left w:w="0" w:type="dxa"/>
              <w:right w:w="0" w:type="dxa"/>
            </w:tcMar>
            <w:vAlign w:val="center"/>
          </w:tcPr>
          <w:p w14:paraId="711C5907">
            <w:pPr>
              <w:spacing w:line="240" w:lineRule="auto"/>
              <w:ind w:firstLine="0" w:firstLineChars="0"/>
              <w:jc w:val="center"/>
              <w:rPr>
                <w:color w:val="auto"/>
                <w:sz w:val="21"/>
                <w:szCs w:val="21"/>
                <w:highlight w:val="none"/>
                <w:u w:val="single"/>
              </w:rPr>
            </w:pPr>
          </w:p>
        </w:tc>
        <w:tc>
          <w:tcPr>
            <w:tcW w:w="216" w:type="pct"/>
            <w:vMerge w:val="continue"/>
            <w:tcBorders>
              <w:tl2br w:val="nil"/>
              <w:tr2bl w:val="nil"/>
            </w:tcBorders>
            <w:vAlign w:val="center"/>
          </w:tcPr>
          <w:p w14:paraId="0CD0CD34">
            <w:pPr>
              <w:spacing w:line="240" w:lineRule="auto"/>
              <w:ind w:firstLine="0" w:firstLineChars="0"/>
              <w:jc w:val="center"/>
              <w:rPr>
                <w:color w:val="auto"/>
                <w:sz w:val="21"/>
                <w:szCs w:val="21"/>
                <w:highlight w:val="none"/>
                <w:u w:val="single"/>
              </w:rPr>
            </w:pPr>
          </w:p>
        </w:tc>
        <w:tc>
          <w:tcPr>
            <w:tcW w:w="959" w:type="pct"/>
            <w:vMerge w:val="continue"/>
            <w:tcBorders>
              <w:tl2br w:val="nil"/>
              <w:tr2bl w:val="nil"/>
            </w:tcBorders>
            <w:tcMar>
              <w:left w:w="0" w:type="dxa"/>
              <w:right w:w="0" w:type="dxa"/>
            </w:tcMar>
            <w:vAlign w:val="center"/>
          </w:tcPr>
          <w:p w14:paraId="7EA53B68">
            <w:pPr>
              <w:spacing w:line="240" w:lineRule="auto"/>
              <w:ind w:firstLine="0" w:firstLineChars="0"/>
              <w:jc w:val="center"/>
              <w:rPr>
                <w:color w:val="auto"/>
                <w:sz w:val="21"/>
                <w:szCs w:val="21"/>
                <w:highlight w:val="none"/>
                <w:u w:val="single"/>
              </w:rPr>
            </w:pPr>
          </w:p>
        </w:tc>
      </w:tr>
      <w:tr w14:paraId="2519FC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1" w:hRule="atLeast"/>
          <w:jc w:val="center"/>
        </w:trPr>
        <w:tc>
          <w:tcPr>
            <w:tcW w:w="317" w:type="pct"/>
            <w:vMerge w:val="continue"/>
            <w:tcBorders>
              <w:tl2br w:val="nil"/>
              <w:tr2bl w:val="nil"/>
            </w:tcBorders>
            <w:vAlign w:val="center"/>
          </w:tcPr>
          <w:p w14:paraId="1A70E214">
            <w:pPr>
              <w:spacing w:line="240" w:lineRule="auto"/>
              <w:ind w:firstLine="0" w:firstLineChars="0"/>
              <w:jc w:val="center"/>
              <w:rPr>
                <w:color w:val="auto"/>
                <w:sz w:val="21"/>
                <w:szCs w:val="21"/>
                <w:highlight w:val="none"/>
                <w:u w:val="single"/>
              </w:rPr>
            </w:pPr>
          </w:p>
        </w:tc>
        <w:tc>
          <w:tcPr>
            <w:tcW w:w="321" w:type="pct"/>
            <w:vMerge w:val="continue"/>
            <w:tcBorders>
              <w:tl2br w:val="nil"/>
              <w:tr2bl w:val="nil"/>
            </w:tcBorders>
            <w:vAlign w:val="center"/>
          </w:tcPr>
          <w:p w14:paraId="69DFDFFD">
            <w:pPr>
              <w:spacing w:line="240" w:lineRule="auto"/>
              <w:ind w:firstLine="0" w:firstLineChars="0"/>
              <w:jc w:val="center"/>
              <w:rPr>
                <w:b w:val="0"/>
                <w:bCs w:val="0"/>
                <w:color w:val="auto"/>
                <w:sz w:val="21"/>
                <w:szCs w:val="21"/>
                <w:highlight w:val="none"/>
                <w:u w:val="single"/>
              </w:rPr>
            </w:pPr>
          </w:p>
        </w:tc>
        <w:tc>
          <w:tcPr>
            <w:tcW w:w="321" w:type="pct"/>
            <w:tcBorders>
              <w:tl2br w:val="nil"/>
              <w:tr2bl w:val="nil"/>
            </w:tcBorders>
            <w:shd w:val="clear" w:color="auto" w:fill="auto"/>
            <w:vAlign w:val="center"/>
          </w:tcPr>
          <w:p w14:paraId="24FF066C">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color w:val="auto"/>
                <w:sz w:val="21"/>
                <w:szCs w:val="21"/>
                <w:highlight w:val="none"/>
                <w:u w:val="single"/>
              </w:rPr>
              <w:t>SS</w:t>
            </w:r>
          </w:p>
        </w:tc>
        <w:tc>
          <w:tcPr>
            <w:tcW w:w="319" w:type="pct"/>
            <w:tcBorders>
              <w:tl2br w:val="nil"/>
              <w:tr2bl w:val="nil"/>
            </w:tcBorders>
            <w:shd w:val="clear" w:color="auto" w:fill="auto"/>
            <w:vAlign w:val="center"/>
          </w:tcPr>
          <w:p w14:paraId="03C691C0">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color w:val="auto"/>
                <w:sz w:val="21"/>
                <w:szCs w:val="21"/>
                <w:highlight w:val="none"/>
                <w:u w:val="single"/>
              </w:rPr>
              <w:t xml:space="preserve">0.72 </w:t>
            </w:r>
          </w:p>
        </w:tc>
        <w:tc>
          <w:tcPr>
            <w:tcW w:w="336" w:type="pct"/>
            <w:tcBorders>
              <w:tl2br w:val="nil"/>
              <w:tr2bl w:val="nil"/>
            </w:tcBorders>
            <w:shd w:val="clear" w:color="auto" w:fill="auto"/>
            <w:vAlign w:val="center"/>
          </w:tcPr>
          <w:p w14:paraId="56D20B48">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rFonts w:hint="default"/>
                <w:color w:val="auto"/>
                <w:sz w:val="21"/>
                <w:szCs w:val="21"/>
                <w:highlight w:val="none"/>
                <w:u w:val="single"/>
                <w:lang w:val="en-US" w:eastAsia="zh-CN"/>
              </w:rPr>
              <w:t xml:space="preserve">0.4303 </w:t>
            </w:r>
          </w:p>
        </w:tc>
        <w:tc>
          <w:tcPr>
            <w:tcW w:w="347" w:type="pct"/>
            <w:tcBorders>
              <w:tl2br w:val="nil"/>
              <w:tr2bl w:val="nil"/>
            </w:tcBorders>
            <w:shd w:val="clear" w:color="auto" w:fill="auto"/>
            <w:vAlign w:val="center"/>
          </w:tcPr>
          <w:p w14:paraId="11769AC3">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rFonts w:hint="default"/>
                <w:color w:val="auto"/>
                <w:sz w:val="21"/>
                <w:szCs w:val="21"/>
                <w:highlight w:val="none"/>
                <w:u w:val="single"/>
                <w:lang w:val="en-US" w:eastAsia="zh-CN"/>
              </w:rPr>
              <w:t xml:space="preserve">0.0478 </w:t>
            </w:r>
          </w:p>
        </w:tc>
        <w:tc>
          <w:tcPr>
            <w:tcW w:w="1860" w:type="pct"/>
            <w:vMerge w:val="continue"/>
            <w:tcBorders>
              <w:tl2br w:val="nil"/>
              <w:tr2bl w:val="nil"/>
            </w:tcBorders>
            <w:tcMar>
              <w:left w:w="0" w:type="dxa"/>
              <w:right w:w="0" w:type="dxa"/>
            </w:tcMar>
            <w:vAlign w:val="center"/>
          </w:tcPr>
          <w:p w14:paraId="3534E688">
            <w:pPr>
              <w:spacing w:line="240" w:lineRule="auto"/>
              <w:ind w:firstLine="0" w:firstLineChars="0"/>
              <w:jc w:val="center"/>
              <w:rPr>
                <w:color w:val="auto"/>
                <w:sz w:val="21"/>
                <w:szCs w:val="21"/>
                <w:highlight w:val="none"/>
                <w:u w:val="single"/>
              </w:rPr>
            </w:pPr>
          </w:p>
        </w:tc>
        <w:tc>
          <w:tcPr>
            <w:tcW w:w="216" w:type="pct"/>
            <w:vMerge w:val="continue"/>
            <w:tcBorders>
              <w:tl2br w:val="nil"/>
              <w:tr2bl w:val="nil"/>
            </w:tcBorders>
            <w:vAlign w:val="center"/>
          </w:tcPr>
          <w:p w14:paraId="60F23041">
            <w:pPr>
              <w:spacing w:line="240" w:lineRule="auto"/>
              <w:ind w:firstLine="0" w:firstLineChars="0"/>
              <w:jc w:val="center"/>
              <w:rPr>
                <w:color w:val="auto"/>
                <w:sz w:val="21"/>
                <w:szCs w:val="21"/>
                <w:highlight w:val="none"/>
                <w:u w:val="single"/>
              </w:rPr>
            </w:pPr>
          </w:p>
        </w:tc>
        <w:tc>
          <w:tcPr>
            <w:tcW w:w="959" w:type="pct"/>
            <w:vMerge w:val="continue"/>
            <w:tcBorders>
              <w:tl2br w:val="nil"/>
              <w:tr2bl w:val="nil"/>
            </w:tcBorders>
            <w:tcMar>
              <w:left w:w="0" w:type="dxa"/>
              <w:right w:w="0" w:type="dxa"/>
            </w:tcMar>
            <w:vAlign w:val="center"/>
          </w:tcPr>
          <w:p w14:paraId="17C47AFC">
            <w:pPr>
              <w:spacing w:line="240" w:lineRule="auto"/>
              <w:ind w:firstLine="0" w:firstLineChars="0"/>
              <w:jc w:val="center"/>
              <w:rPr>
                <w:color w:val="auto"/>
                <w:sz w:val="21"/>
                <w:szCs w:val="21"/>
                <w:highlight w:val="none"/>
                <w:u w:val="single"/>
              </w:rPr>
            </w:pPr>
          </w:p>
        </w:tc>
      </w:tr>
      <w:tr w14:paraId="435A2A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67" w:hRule="atLeast"/>
          <w:jc w:val="center"/>
        </w:trPr>
        <w:tc>
          <w:tcPr>
            <w:tcW w:w="317" w:type="pct"/>
            <w:vMerge w:val="continue"/>
            <w:tcBorders>
              <w:tl2br w:val="nil"/>
              <w:tr2bl w:val="nil"/>
            </w:tcBorders>
            <w:vAlign w:val="center"/>
          </w:tcPr>
          <w:p w14:paraId="08FEB444">
            <w:pPr>
              <w:spacing w:line="240" w:lineRule="auto"/>
              <w:ind w:firstLine="0" w:firstLineChars="0"/>
              <w:jc w:val="center"/>
              <w:rPr>
                <w:color w:val="auto"/>
                <w:sz w:val="21"/>
                <w:szCs w:val="21"/>
                <w:highlight w:val="none"/>
                <w:u w:val="single"/>
              </w:rPr>
            </w:pPr>
          </w:p>
        </w:tc>
        <w:tc>
          <w:tcPr>
            <w:tcW w:w="321" w:type="pct"/>
            <w:vMerge w:val="restart"/>
            <w:tcBorders>
              <w:tl2br w:val="nil"/>
              <w:tr2bl w:val="nil"/>
            </w:tcBorders>
            <w:vAlign w:val="center"/>
          </w:tcPr>
          <w:p w14:paraId="2E564F99">
            <w:pPr>
              <w:spacing w:line="240" w:lineRule="auto"/>
              <w:ind w:firstLine="0" w:firstLineChars="0"/>
              <w:jc w:val="center"/>
              <w:rPr>
                <w:b w:val="0"/>
                <w:bCs w:val="0"/>
                <w:color w:val="auto"/>
                <w:sz w:val="21"/>
                <w:szCs w:val="21"/>
                <w:highlight w:val="none"/>
                <w:u w:val="single"/>
              </w:rPr>
            </w:pPr>
            <w:r>
              <w:rPr>
                <w:b w:val="0"/>
                <w:bCs w:val="0"/>
                <w:color w:val="auto"/>
                <w:sz w:val="21"/>
                <w:szCs w:val="21"/>
                <w:highlight w:val="none"/>
                <w:u w:val="single"/>
              </w:rPr>
              <w:t>含油污水</w:t>
            </w:r>
            <w:r>
              <w:rPr>
                <w:rFonts w:hint="eastAsia"/>
                <w:b w:val="0"/>
                <w:bCs w:val="0"/>
                <w:color w:val="auto"/>
                <w:sz w:val="21"/>
                <w:szCs w:val="21"/>
                <w:highlight w:val="none"/>
                <w:u w:val="single"/>
                <w:lang w:eastAsia="zh-CN"/>
              </w:rPr>
              <w:t>（</w:t>
            </w:r>
            <w:r>
              <w:rPr>
                <w:b w:val="0"/>
                <w:bCs w:val="0"/>
                <w:color w:val="auto"/>
                <w:sz w:val="21"/>
                <w:szCs w:val="21"/>
                <w:highlight w:val="none"/>
                <w:u w:val="single"/>
              </w:rPr>
              <w:t>8178.75m</w:t>
            </w:r>
            <w:r>
              <w:rPr>
                <w:b w:val="0"/>
                <w:bCs w:val="0"/>
                <w:color w:val="auto"/>
                <w:sz w:val="21"/>
                <w:szCs w:val="21"/>
                <w:highlight w:val="none"/>
                <w:u w:val="single"/>
                <w:vertAlign w:val="superscript"/>
              </w:rPr>
              <w:t>3</w:t>
            </w:r>
            <w:r>
              <w:rPr>
                <w:b w:val="0"/>
                <w:bCs w:val="0"/>
                <w:color w:val="auto"/>
                <w:sz w:val="21"/>
                <w:szCs w:val="21"/>
                <w:highlight w:val="none"/>
                <w:u w:val="single"/>
              </w:rPr>
              <w:t>/a</w:t>
            </w:r>
            <w:r>
              <w:rPr>
                <w:rFonts w:hint="eastAsia"/>
                <w:b w:val="0"/>
                <w:bCs w:val="0"/>
                <w:color w:val="auto"/>
                <w:sz w:val="21"/>
                <w:szCs w:val="21"/>
                <w:highlight w:val="none"/>
                <w:u w:val="single"/>
                <w:lang w:eastAsia="zh-CN"/>
              </w:rPr>
              <w:t>）</w:t>
            </w:r>
          </w:p>
        </w:tc>
        <w:tc>
          <w:tcPr>
            <w:tcW w:w="321" w:type="pct"/>
            <w:tcBorders>
              <w:tl2br w:val="nil"/>
              <w:tr2bl w:val="nil"/>
            </w:tcBorders>
            <w:shd w:val="clear" w:color="auto" w:fill="auto"/>
            <w:vAlign w:val="center"/>
          </w:tcPr>
          <w:p w14:paraId="40387194">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color w:val="auto"/>
                <w:sz w:val="21"/>
                <w:szCs w:val="21"/>
                <w:highlight w:val="none"/>
                <w:u w:val="single"/>
              </w:rPr>
              <w:t>COD</w:t>
            </w:r>
          </w:p>
        </w:tc>
        <w:tc>
          <w:tcPr>
            <w:tcW w:w="319" w:type="pct"/>
            <w:tcBorders>
              <w:tl2br w:val="nil"/>
              <w:tr2bl w:val="nil"/>
            </w:tcBorders>
            <w:shd w:val="clear" w:color="auto" w:fill="auto"/>
            <w:vAlign w:val="center"/>
          </w:tcPr>
          <w:p w14:paraId="506A222A">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color w:val="auto"/>
                <w:sz w:val="21"/>
                <w:szCs w:val="21"/>
                <w:highlight w:val="none"/>
                <w:u w:val="single"/>
              </w:rPr>
              <w:t>3.56</w:t>
            </w:r>
          </w:p>
        </w:tc>
        <w:tc>
          <w:tcPr>
            <w:tcW w:w="336" w:type="pct"/>
            <w:tcBorders>
              <w:tl2br w:val="nil"/>
              <w:tr2bl w:val="nil"/>
            </w:tcBorders>
            <w:shd w:val="clear" w:color="auto" w:fill="auto"/>
            <w:vAlign w:val="center"/>
          </w:tcPr>
          <w:p w14:paraId="12AD9893">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rFonts w:hint="default"/>
                <w:color w:val="auto"/>
                <w:sz w:val="21"/>
                <w:szCs w:val="21"/>
                <w:highlight w:val="none"/>
                <w:u w:val="single"/>
                <w:lang w:val="en-US" w:eastAsia="zh-CN"/>
              </w:rPr>
              <w:t xml:space="preserve">0.7361 </w:t>
            </w:r>
          </w:p>
        </w:tc>
        <w:tc>
          <w:tcPr>
            <w:tcW w:w="347" w:type="pct"/>
            <w:tcBorders>
              <w:tl2br w:val="nil"/>
              <w:tr2bl w:val="nil"/>
            </w:tcBorders>
            <w:shd w:val="clear" w:color="auto" w:fill="auto"/>
            <w:vAlign w:val="center"/>
          </w:tcPr>
          <w:p w14:paraId="14B8A964">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rFonts w:hint="default"/>
                <w:color w:val="auto"/>
                <w:sz w:val="21"/>
                <w:szCs w:val="21"/>
                <w:highlight w:val="none"/>
                <w:u w:val="single"/>
                <w:lang w:val="en-US" w:eastAsia="zh-CN"/>
              </w:rPr>
              <w:t xml:space="preserve">0.0818 </w:t>
            </w:r>
          </w:p>
        </w:tc>
        <w:tc>
          <w:tcPr>
            <w:tcW w:w="1860" w:type="pct"/>
            <w:vMerge w:val="restart"/>
            <w:tcBorders>
              <w:tl2br w:val="nil"/>
              <w:tr2bl w:val="nil"/>
            </w:tcBorders>
            <w:vAlign w:val="center"/>
          </w:tcPr>
          <w:p w14:paraId="28C307C9">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经浮船坞上配套的污水舱收集后，采用罐车运至</w:t>
            </w:r>
            <w:r>
              <w:rPr>
                <w:color w:val="auto"/>
                <w:sz w:val="21"/>
                <w:szCs w:val="21"/>
                <w:highlight w:val="none"/>
                <w:u w:val="single"/>
              </w:rPr>
              <w:t>厂区</w:t>
            </w:r>
            <w:r>
              <w:rPr>
                <w:rFonts w:hint="eastAsia"/>
                <w:color w:val="auto"/>
                <w:sz w:val="21"/>
                <w:szCs w:val="21"/>
                <w:highlight w:val="none"/>
                <w:u w:val="single"/>
              </w:rPr>
              <w:t>现有污</w:t>
            </w:r>
            <w:r>
              <w:rPr>
                <w:color w:val="auto"/>
                <w:sz w:val="21"/>
                <w:szCs w:val="21"/>
                <w:highlight w:val="none"/>
                <w:u w:val="single"/>
              </w:rPr>
              <w:t>水处理站的含油废水处理系统处理</w:t>
            </w:r>
            <w:r>
              <w:rPr>
                <w:rFonts w:hint="eastAsia"/>
                <w:color w:val="auto"/>
                <w:sz w:val="21"/>
                <w:szCs w:val="21"/>
                <w:highlight w:val="none"/>
                <w:u w:val="single"/>
              </w:rPr>
              <w:t>，</w:t>
            </w:r>
            <w:r>
              <w:rPr>
                <w:color w:val="auto"/>
                <w:sz w:val="21"/>
                <w:szCs w:val="21"/>
                <w:highlight w:val="none"/>
                <w:u w:val="single"/>
              </w:rPr>
              <w:t>达到《污水综合排放标准》（GB8978-1996）三级标准后，经厂区污水管道排入</w:t>
            </w:r>
            <w:r>
              <w:rPr>
                <w:rFonts w:hint="eastAsia"/>
                <w:color w:val="auto"/>
                <w:sz w:val="21"/>
                <w:szCs w:val="21"/>
                <w:highlight w:val="none"/>
                <w:u w:val="single"/>
              </w:rPr>
              <w:t>生活污水处理设备配套的中水回用池储存，大部分</w:t>
            </w:r>
            <w:r>
              <w:rPr>
                <w:color w:val="auto"/>
                <w:sz w:val="21"/>
                <w:szCs w:val="21"/>
                <w:highlight w:val="none"/>
                <w:u w:val="single"/>
              </w:rPr>
              <w:t>回用于厂区绿化及降尘，</w:t>
            </w:r>
            <w:r>
              <w:rPr>
                <w:rFonts w:hint="eastAsia"/>
                <w:color w:val="auto"/>
                <w:sz w:val="21"/>
                <w:szCs w:val="21"/>
                <w:highlight w:val="none"/>
                <w:u w:val="single"/>
              </w:rPr>
              <w:t>少部分</w:t>
            </w:r>
            <w:r>
              <w:rPr>
                <w:color w:val="auto"/>
                <w:sz w:val="21"/>
                <w:szCs w:val="21"/>
                <w:highlight w:val="none"/>
                <w:u w:val="single"/>
              </w:rPr>
              <w:t>不能回用的由槽罐车运至大榄坪污水处理厂处理</w:t>
            </w:r>
          </w:p>
        </w:tc>
        <w:tc>
          <w:tcPr>
            <w:tcW w:w="216" w:type="pct"/>
            <w:vMerge w:val="restart"/>
            <w:tcBorders>
              <w:tl2br w:val="nil"/>
              <w:tr2bl w:val="nil"/>
            </w:tcBorders>
            <w:vAlign w:val="center"/>
          </w:tcPr>
          <w:p w14:paraId="5D0E6F54">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959" w:type="pct"/>
            <w:vMerge w:val="continue"/>
            <w:tcBorders>
              <w:tl2br w:val="nil"/>
              <w:tr2bl w:val="nil"/>
            </w:tcBorders>
            <w:vAlign w:val="center"/>
          </w:tcPr>
          <w:p w14:paraId="0DD1C408">
            <w:pPr>
              <w:spacing w:line="240" w:lineRule="auto"/>
              <w:ind w:firstLine="0" w:firstLineChars="0"/>
              <w:jc w:val="center"/>
              <w:rPr>
                <w:color w:val="auto"/>
                <w:sz w:val="21"/>
                <w:szCs w:val="21"/>
                <w:highlight w:val="none"/>
                <w:u w:val="single"/>
              </w:rPr>
            </w:pPr>
          </w:p>
        </w:tc>
      </w:tr>
      <w:tr w14:paraId="1CCE3D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67" w:hRule="atLeast"/>
          <w:jc w:val="center"/>
        </w:trPr>
        <w:tc>
          <w:tcPr>
            <w:tcW w:w="317" w:type="pct"/>
            <w:vMerge w:val="continue"/>
            <w:tcBorders>
              <w:tl2br w:val="nil"/>
              <w:tr2bl w:val="nil"/>
            </w:tcBorders>
            <w:vAlign w:val="center"/>
          </w:tcPr>
          <w:p w14:paraId="36AEF4D0">
            <w:pPr>
              <w:spacing w:line="240" w:lineRule="auto"/>
              <w:ind w:firstLine="0" w:firstLineChars="0"/>
              <w:jc w:val="center"/>
              <w:rPr>
                <w:color w:val="auto"/>
                <w:highlight w:val="none"/>
                <w:u w:val="single"/>
              </w:rPr>
            </w:pPr>
          </w:p>
        </w:tc>
        <w:tc>
          <w:tcPr>
            <w:tcW w:w="321" w:type="pct"/>
            <w:vMerge w:val="continue"/>
            <w:tcBorders>
              <w:tl2br w:val="nil"/>
              <w:tr2bl w:val="nil"/>
            </w:tcBorders>
            <w:vAlign w:val="center"/>
          </w:tcPr>
          <w:p w14:paraId="5D83B593">
            <w:pPr>
              <w:spacing w:line="240" w:lineRule="auto"/>
              <w:ind w:firstLine="0" w:firstLineChars="0"/>
              <w:jc w:val="center"/>
              <w:rPr>
                <w:color w:val="auto"/>
                <w:sz w:val="21"/>
                <w:szCs w:val="21"/>
                <w:highlight w:val="none"/>
                <w:u w:val="single"/>
              </w:rPr>
            </w:pPr>
          </w:p>
        </w:tc>
        <w:tc>
          <w:tcPr>
            <w:tcW w:w="321" w:type="pct"/>
            <w:tcBorders>
              <w:tl2br w:val="nil"/>
              <w:tr2bl w:val="nil"/>
            </w:tcBorders>
            <w:shd w:val="clear" w:color="auto" w:fill="auto"/>
            <w:vAlign w:val="center"/>
          </w:tcPr>
          <w:p w14:paraId="613F8924">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color w:val="auto"/>
                <w:sz w:val="21"/>
                <w:szCs w:val="21"/>
                <w:highlight w:val="none"/>
                <w:u w:val="single"/>
              </w:rPr>
              <w:t>石油类</w:t>
            </w:r>
          </w:p>
        </w:tc>
        <w:tc>
          <w:tcPr>
            <w:tcW w:w="319" w:type="pct"/>
            <w:tcBorders>
              <w:tl2br w:val="nil"/>
              <w:tr2bl w:val="nil"/>
            </w:tcBorders>
            <w:shd w:val="clear" w:color="auto" w:fill="auto"/>
            <w:vAlign w:val="center"/>
          </w:tcPr>
          <w:p w14:paraId="41C3D2A4">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color w:val="auto"/>
                <w:sz w:val="21"/>
                <w:szCs w:val="21"/>
                <w:highlight w:val="none"/>
                <w:u w:val="single"/>
              </w:rPr>
              <w:t>5.66</w:t>
            </w:r>
          </w:p>
        </w:tc>
        <w:tc>
          <w:tcPr>
            <w:tcW w:w="336" w:type="pct"/>
            <w:tcBorders>
              <w:tl2br w:val="nil"/>
              <w:tr2bl w:val="nil"/>
            </w:tcBorders>
            <w:shd w:val="clear" w:color="auto" w:fill="auto"/>
            <w:vAlign w:val="center"/>
          </w:tcPr>
          <w:p w14:paraId="7C6B48FA">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rFonts w:hint="default"/>
                <w:color w:val="auto"/>
                <w:sz w:val="21"/>
                <w:szCs w:val="21"/>
                <w:highlight w:val="none"/>
                <w:u w:val="single"/>
                <w:lang w:val="en-US" w:eastAsia="zh-CN"/>
              </w:rPr>
              <w:t xml:space="preserve">0.1472 </w:t>
            </w:r>
          </w:p>
        </w:tc>
        <w:tc>
          <w:tcPr>
            <w:tcW w:w="347" w:type="pct"/>
            <w:tcBorders>
              <w:tl2br w:val="nil"/>
              <w:tr2bl w:val="nil"/>
            </w:tcBorders>
            <w:shd w:val="clear" w:color="auto" w:fill="auto"/>
            <w:vAlign w:val="center"/>
          </w:tcPr>
          <w:p w14:paraId="5CAE47EC">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rFonts w:hint="default"/>
                <w:color w:val="auto"/>
                <w:sz w:val="21"/>
                <w:szCs w:val="21"/>
                <w:highlight w:val="none"/>
                <w:u w:val="single"/>
                <w:lang w:val="en-US" w:eastAsia="zh-CN"/>
              </w:rPr>
              <w:t xml:space="preserve">0.0164 </w:t>
            </w:r>
          </w:p>
        </w:tc>
        <w:tc>
          <w:tcPr>
            <w:tcW w:w="1860" w:type="pct"/>
            <w:vMerge w:val="continue"/>
            <w:tcBorders>
              <w:tl2br w:val="nil"/>
              <w:tr2bl w:val="nil"/>
            </w:tcBorders>
            <w:vAlign w:val="center"/>
          </w:tcPr>
          <w:p w14:paraId="2FB75CEC">
            <w:pPr>
              <w:spacing w:line="240" w:lineRule="auto"/>
              <w:ind w:firstLine="0" w:firstLineChars="0"/>
              <w:jc w:val="center"/>
              <w:rPr>
                <w:color w:val="auto"/>
                <w:sz w:val="21"/>
                <w:szCs w:val="21"/>
                <w:highlight w:val="none"/>
                <w:u w:val="single"/>
              </w:rPr>
            </w:pPr>
          </w:p>
        </w:tc>
        <w:tc>
          <w:tcPr>
            <w:tcW w:w="216" w:type="pct"/>
            <w:vMerge w:val="continue"/>
            <w:tcBorders>
              <w:tl2br w:val="nil"/>
              <w:tr2bl w:val="nil"/>
            </w:tcBorders>
            <w:vAlign w:val="center"/>
          </w:tcPr>
          <w:p w14:paraId="59590043">
            <w:pPr>
              <w:spacing w:line="240" w:lineRule="auto"/>
              <w:ind w:firstLine="0" w:firstLineChars="0"/>
              <w:jc w:val="center"/>
              <w:rPr>
                <w:color w:val="auto"/>
                <w:sz w:val="21"/>
                <w:szCs w:val="21"/>
                <w:highlight w:val="none"/>
                <w:u w:val="single"/>
              </w:rPr>
            </w:pPr>
          </w:p>
        </w:tc>
        <w:tc>
          <w:tcPr>
            <w:tcW w:w="959" w:type="pct"/>
            <w:vMerge w:val="continue"/>
            <w:tcBorders>
              <w:tl2br w:val="nil"/>
              <w:tr2bl w:val="nil"/>
            </w:tcBorders>
            <w:vAlign w:val="center"/>
          </w:tcPr>
          <w:p w14:paraId="5E9C3EE9">
            <w:pPr>
              <w:spacing w:line="240" w:lineRule="auto"/>
              <w:ind w:firstLine="0" w:firstLineChars="0"/>
              <w:jc w:val="center"/>
              <w:rPr>
                <w:color w:val="auto"/>
                <w:sz w:val="21"/>
                <w:szCs w:val="21"/>
                <w:highlight w:val="none"/>
                <w:u w:val="single"/>
              </w:rPr>
            </w:pPr>
          </w:p>
        </w:tc>
      </w:tr>
      <w:tr w14:paraId="0B06AD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178" w:hRule="atLeast"/>
          <w:jc w:val="center"/>
        </w:trPr>
        <w:tc>
          <w:tcPr>
            <w:tcW w:w="317" w:type="pct"/>
            <w:vMerge w:val="continue"/>
            <w:tcBorders>
              <w:tl2br w:val="nil"/>
              <w:tr2bl w:val="nil"/>
            </w:tcBorders>
            <w:vAlign w:val="center"/>
          </w:tcPr>
          <w:p w14:paraId="751FD756">
            <w:pPr>
              <w:spacing w:line="240" w:lineRule="auto"/>
              <w:ind w:firstLine="0" w:firstLineChars="0"/>
              <w:jc w:val="center"/>
              <w:rPr>
                <w:color w:val="auto"/>
                <w:sz w:val="21"/>
                <w:szCs w:val="21"/>
                <w:highlight w:val="none"/>
                <w:u w:val="single"/>
              </w:rPr>
            </w:pPr>
          </w:p>
        </w:tc>
        <w:tc>
          <w:tcPr>
            <w:tcW w:w="321" w:type="pct"/>
            <w:vMerge w:val="restart"/>
            <w:tcBorders>
              <w:tl2br w:val="nil"/>
              <w:tr2bl w:val="nil"/>
            </w:tcBorders>
            <w:vAlign w:val="center"/>
          </w:tcPr>
          <w:p w14:paraId="6194F633">
            <w:pPr>
              <w:spacing w:line="240" w:lineRule="auto"/>
              <w:ind w:firstLine="0" w:firstLineChars="0"/>
              <w:jc w:val="center"/>
              <w:rPr>
                <w:color w:val="auto"/>
                <w:sz w:val="21"/>
                <w:szCs w:val="21"/>
                <w:highlight w:val="none"/>
                <w:u w:val="single"/>
              </w:rPr>
            </w:pPr>
            <w:r>
              <w:rPr>
                <w:color w:val="auto"/>
                <w:sz w:val="21"/>
                <w:szCs w:val="21"/>
                <w:highlight w:val="none"/>
                <w:u w:val="single"/>
              </w:rPr>
              <w:t>初期雨水</w:t>
            </w:r>
          </w:p>
          <w:p w14:paraId="0A694F69">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lang w:eastAsia="zh-CN"/>
              </w:rPr>
              <w:t>（</w:t>
            </w:r>
            <w:r>
              <w:rPr>
                <w:rFonts w:hint="eastAsia"/>
                <w:color w:val="auto"/>
                <w:sz w:val="21"/>
                <w:szCs w:val="21"/>
                <w:highlight w:val="none"/>
                <w:u w:val="single"/>
              </w:rPr>
              <w:t>100.15</w:t>
            </w:r>
          </w:p>
          <w:p w14:paraId="31297643">
            <w:pPr>
              <w:spacing w:line="240" w:lineRule="auto"/>
              <w:ind w:firstLine="0" w:firstLineChars="0"/>
              <w:jc w:val="center"/>
              <w:rPr>
                <w:color w:val="auto"/>
                <w:sz w:val="21"/>
                <w:szCs w:val="21"/>
                <w:highlight w:val="none"/>
                <w:u w:val="single"/>
              </w:rPr>
            </w:pPr>
            <w:r>
              <w:rPr>
                <w:color w:val="auto"/>
                <w:sz w:val="21"/>
                <w:szCs w:val="21"/>
                <w:highlight w:val="none"/>
                <w:u w:val="single"/>
              </w:rPr>
              <w:t>m</w:t>
            </w:r>
            <w:r>
              <w:rPr>
                <w:color w:val="auto"/>
                <w:sz w:val="21"/>
                <w:szCs w:val="21"/>
                <w:highlight w:val="none"/>
                <w:u w:val="single"/>
                <w:vertAlign w:val="superscript"/>
              </w:rPr>
              <w:t>3</w:t>
            </w:r>
            <w:r>
              <w:rPr>
                <w:color w:val="auto"/>
                <w:sz w:val="21"/>
                <w:szCs w:val="21"/>
                <w:highlight w:val="none"/>
                <w:u w:val="single"/>
              </w:rPr>
              <w:t>/次</w:t>
            </w:r>
            <w:r>
              <w:rPr>
                <w:rFonts w:hint="eastAsia"/>
                <w:color w:val="auto"/>
                <w:sz w:val="21"/>
                <w:szCs w:val="21"/>
                <w:highlight w:val="none"/>
                <w:u w:val="single"/>
                <w:lang w:eastAsia="zh-CN"/>
              </w:rPr>
              <w:t>）</w:t>
            </w:r>
          </w:p>
        </w:tc>
        <w:tc>
          <w:tcPr>
            <w:tcW w:w="321" w:type="pct"/>
            <w:tcBorders>
              <w:tl2br w:val="nil"/>
              <w:tr2bl w:val="nil"/>
            </w:tcBorders>
            <w:shd w:val="clear" w:color="auto" w:fill="auto"/>
            <w:vAlign w:val="center"/>
          </w:tcPr>
          <w:p w14:paraId="2AB5FB63">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color w:val="auto"/>
                <w:sz w:val="21"/>
                <w:szCs w:val="21"/>
                <w:highlight w:val="none"/>
                <w:u w:val="single"/>
              </w:rPr>
              <w:t>COD</w:t>
            </w:r>
          </w:p>
        </w:tc>
        <w:tc>
          <w:tcPr>
            <w:tcW w:w="319" w:type="pct"/>
            <w:tcBorders>
              <w:tl2br w:val="nil"/>
              <w:tr2bl w:val="nil"/>
            </w:tcBorders>
            <w:vAlign w:val="center"/>
          </w:tcPr>
          <w:p w14:paraId="2279DE48">
            <w:pPr>
              <w:spacing w:line="240" w:lineRule="auto"/>
              <w:ind w:firstLine="0" w:firstLineChars="0"/>
              <w:jc w:val="center"/>
              <w:rPr>
                <w:color w:val="auto"/>
                <w:sz w:val="21"/>
                <w:szCs w:val="21"/>
                <w:highlight w:val="none"/>
                <w:u w:val="single"/>
              </w:rPr>
            </w:pPr>
            <w:r>
              <w:rPr>
                <w:rFonts w:hint="default"/>
                <w:color w:val="auto"/>
                <w:sz w:val="21"/>
                <w:szCs w:val="21"/>
                <w:highlight w:val="none"/>
                <w:u w:val="single"/>
                <w:lang w:val="en-US" w:eastAsia="zh-CN"/>
              </w:rPr>
              <w:t>0.0150</w:t>
            </w:r>
            <w:r>
              <w:rPr>
                <w:rFonts w:hint="eastAsia"/>
                <w:color w:val="auto"/>
                <w:sz w:val="21"/>
                <w:szCs w:val="21"/>
                <w:highlight w:val="none"/>
                <w:u w:val="single"/>
                <w:lang w:val="en-US" w:eastAsia="zh-CN"/>
              </w:rPr>
              <w:t>t/次</w:t>
            </w:r>
            <w:r>
              <w:rPr>
                <w:rFonts w:hint="default"/>
                <w:color w:val="auto"/>
                <w:sz w:val="21"/>
                <w:szCs w:val="21"/>
                <w:highlight w:val="none"/>
                <w:u w:val="single"/>
                <w:lang w:val="en-US" w:eastAsia="zh-CN"/>
              </w:rPr>
              <w:t xml:space="preserve"> </w:t>
            </w:r>
          </w:p>
        </w:tc>
        <w:tc>
          <w:tcPr>
            <w:tcW w:w="336" w:type="pct"/>
            <w:tcBorders>
              <w:tl2br w:val="nil"/>
              <w:tr2bl w:val="nil"/>
            </w:tcBorders>
            <w:shd w:val="clear" w:color="auto" w:fill="auto"/>
            <w:vAlign w:val="center"/>
          </w:tcPr>
          <w:p w14:paraId="3851376A">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bidi="ar-SA"/>
              </w:rPr>
            </w:pPr>
            <w:r>
              <w:rPr>
                <w:rFonts w:hint="default"/>
                <w:color w:val="auto"/>
                <w:sz w:val="21"/>
                <w:szCs w:val="21"/>
                <w:highlight w:val="none"/>
                <w:u w:val="single"/>
                <w:lang w:val="en-US" w:eastAsia="zh-CN"/>
              </w:rPr>
              <w:t>0.0090</w:t>
            </w:r>
            <w:r>
              <w:rPr>
                <w:rFonts w:hint="eastAsia"/>
                <w:color w:val="auto"/>
                <w:sz w:val="21"/>
                <w:szCs w:val="21"/>
                <w:highlight w:val="none"/>
                <w:u w:val="single"/>
                <w:lang w:val="en-US" w:eastAsia="zh-CN"/>
              </w:rPr>
              <w:t>t/次</w:t>
            </w:r>
            <w:r>
              <w:rPr>
                <w:rFonts w:hint="default"/>
                <w:color w:val="auto"/>
                <w:sz w:val="21"/>
                <w:szCs w:val="21"/>
                <w:highlight w:val="none"/>
                <w:u w:val="single"/>
                <w:lang w:val="en-US" w:eastAsia="zh-CN"/>
              </w:rPr>
              <w:t xml:space="preserve">  </w:t>
            </w:r>
          </w:p>
        </w:tc>
        <w:tc>
          <w:tcPr>
            <w:tcW w:w="347" w:type="pct"/>
            <w:tcBorders>
              <w:tl2br w:val="nil"/>
              <w:tr2bl w:val="nil"/>
            </w:tcBorders>
            <w:shd w:val="clear" w:color="auto" w:fill="auto"/>
            <w:vAlign w:val="center"/>
          </w:tcPr>
          <w:p w14:paraId="79EC6175">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bidi="ar-SA"/>
              </w:rPr>
            </w:pPr>
            <w:r>
              <w:rPr>
                <w:rFonts w:hint="default"/>
                <w:color w:val="auto"/>
                <w:sz w:val="21"/>
                <w:szCs w:val="21"/>
                <w:highlight w:val="none"/>
                <w:u w:val="single"/>
                <w:lang w:val="en-US" w:eastAsia="zh-CN"/>
              </w:rPr>
              <w:t>0.0010</w:t>
            </w:r>
            <w:r>
              <w:rPr>
                <w:rFonts w:hint="eastAsia"/>
                <w:color w:val="auto"/>
                <w:sz w:val="21"/>
                <w:szCs w:val="21"/>
                <w:highlight w:val="none"/>
                <w:u w:val="single"/>
                <w:lang w:val="en-US" w:eastAsia="zh-CN"/>
              </w:rPr>
              <w:t>t/次</w:t>
            </w:r>
            <w:r>
              <w:rPr>
                <w:rFonts w:hint="default"/>
                <w:color w:val="auto"/>
                <w:sz w:val="21"/>
                <w:szCs w:val="21"/>
                <w:highlight w:val="none"/>
                <w:u w:val="single"/>
                <w:lang w:val="en-US" w:eastAsia="zh-CN"/>
              </w:rPr>
              <w:t xml:space="preserve">  </w:t>
            </w:r>
          </w:p>
        </w:tc>
        <w:tc>
          <w:tcPr>
            <w:tcW w:w="1860" w:type="pct"/>
            <w:vMerge w:val="restart"/>
            <w:tcBorders>
              <w:tl2br w:val="nil"/>
              <w:tr2bl w:val="nil"/>
            </w:tcBorders>
            <w:vAlign w:val="center"/>
          </w:tcPr>
          <w:p w14:paraId="1EC7AD62">
            <w:pPr>
              <w:spacing w:line="240" w:lineRule="auto"/>
              <w:ind w:firstLine="0" w:firstLineChars="0"/>
              <w:jc w:val="center"/>
              <w:rPr>
                <w:color w:val="auto"/>
                <w:sz w:val="21"/>
                <w:szCs w:val="21"/>
                <w:highlight w:val="none"/>
                <w:u w:val="single"/>
              </w:rPr>
            </w:pPr>
            <w:r>
              <w:rPr>
                <w:color w:val="auto"/>
                <w:sz w:val="21"/>
                <w:szCs w:val="21"/>
                <w:highlight w:val="none"/>
                <w:u w:val="single"/>
              </w:rPr>
              <w:t>经</w:t>
            </w:r>
            <w:r>
              <w:rPr>
                <w:rFonts w:hint="eastAsia"/>
                <w:color w:val="auto"/>
                <w:sz w:val="21"/>
                <w:szCs w:val="21"/>
                <w:highlight w:val="none"/>
                <w:u w:val="single"/>
              </w:rPr>
              <w:t>浮船坞配套设置的初期雨水池收集后，采用罐车运至陆域</w:t>
            </w:r>
            <w:r>
              <w:rPr>
                <w:color w:val="auto"/>
                <w:sz w:val="21"/>
                <w:szCs w:val="21"/>
                <w:highlight w:val="none"/>
                <w:u w:val="single"/>
              </w:rPr>
              <w:t>生活污水处理一体化设备（处理规模300m</w:t>
            </w:r>
            <w:r>
              <w:rPr>
                <w:color w:val="auto"/>
                <w:sz w:val="21"/>
                <w:szCs w:val="21"/>
                <w:highlight w:val="none"/>
                <w:u w:val="single"/>
                <w:vertAlign w:val="superscript"/>
              </w:rPr>
              <w:t>3</w:t>
            </w:r>
            <w:r>
              <w:rPr>
                <w:color w:val="auto"/>
                <w:sz w:val="21"/>
                <w:szCs w:val="21"/>
                <w:highlight w:val="none"/>
                <w:u w:val="single"/>
              </w:rPr>
              <w:t>/d）处理</w:t>
            </w:r>
            <w:r>
              <w:rPr>
                <w:rFonts w:hint="eastAsia"/>
                <w:color w:val="auto"/>
                <w:sz w:val="21"/>
                <w:szCs w:val="21"/>
                <w:highlight w:val="none"/>
                <w:u w:val="single"/>
              </w:rPr>
              <w:t>后，进入中水回用池储存，大部分</w:t>
            </w:r>
            <w:r>
              <w:rPr>
                <w:color w:val="auto"/>
                <w:sz w:val="21"/>
                <w:szCs w:val="21"/>
                <w:highlight w:val="none"/>
                <w:u w:val="single"/>
              </w:rPr>
              <w:t>回用于厂区绿化及降尘，</w:t>
            </w:r>
            <w:r>
              <w:rPr>
                <w:rFonts w:hint="eastAsia"/>
                <w:color w:val="auto"/>
                <w:sz w:val="21"/>
                <w:szCs w:val="21"/>
                <w:highlight w:val="none"/>
                <w:u w:val="single"/>
              </w:rPr>
              <w:t>少部分</w:t>
            </w:r>
            <w:r>
              <w:rPr>
                <w:color w:val="auto"/>
                <w:sz w:val="21"/>
                <w:szCs w:val="21"/>
                <w:highlight w:val="none"/>
                <w:u w:val="single"/>
              </w:rPr>
              <w:t>不能回用的由槽罐车运至大榄坪污水处理厂处理</w:t>
            </w:r>
          </w:p>
        </w:tc>
        <w:tc>
          <w:tcPr>
            <w:tcW w:w="216" w:type="pct"/>
            <w:vMerge w:val="restart"/>
            <w:tcBorders>
              <w:tl2br w:val="nil"/>
              <w:tr2bl w:val="nil"/>
            </w:tcBorders>
            <w:vAlign w:val="center"/>
          </w:tcPr>
          <w:p w14:paraId="6D535434">
            <w:pPr>
              <w:spacing w:line="240" w:lineRule="auto"/>
              <w:ind w:firstLine="0" w:firstLineChars="0"/>
              <w:jc w:val="center"/>
              <w:rPr>
                <w:color w:val="auto"/>
                <w:sz w:val="21"/>
                <w:szCs w:val="21"/>
                <w:highlight w:val="none"/>
                <w:u w:val="single"/>
              </w:rPr>
            </w:pPr>
            <w:r>
              <w:rPr>
                <w:color w:val="auto"/>
                <w:sz w:val="21"/>
                <w:szCs w:val="21"/>
                <w:highlight w:val="none"/>
                <w:u w:val="single"/>
              </w:rPr>
              <w:t>-</w:t>
            </w:r>
          </w:p>
        </w:tc>
        <w:tc>
          <w:tcPr>
            <w:tcW w:w="959" w:type="pct"/>
            <w:vMerge w:val="continue"/>
            <w:tcBorders>
              <w:tl2br w:val="nil"/>
              <w:tr2bl w:val="nil"/>
            </w:tcBorders>
            <w:vAlign w:val="center"/>
          </w:tcPr>
          <w:p w14:paraId="30D2334C">
            <w:pPr>
              <w:spacing w:line="240" w:lineRule="auto"/>
              <w:ind w:firstLine="0" w:firstLineChars="0"/>
              <w:jc w:val="center"/>
              <w:rPr>
                <w:color w:val="auto"/>
                <w:sz w:val="21"/>
                <w:szCs w:val="21"/>
                <w:highlight w:val="none"/>
                <w:u w:val="single"/>
              </w:rPr>
            </w:pPr>
          </w:p>
        </w:tc>
      </w:tr>
      <w:tr w14:paraId="451E4C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178" w:hRule="atLeast"/>
          <w:jc w:val="center"/>
        </w:trPr>
        <w:tc>
          <w:tcPr>
            <w:tcW w:w="317" w:type="pct"/>
            <w:vMerge w:val="continue"/>
            <w:tcBorders>
              <w:tl2br w:val="nil"/>
              <w:tr2bl w:val="nil"/>
            </w:tcBorders>
            <w:vAlign w:val="center"/>
          </w:tcPr>
          <w:p w14:paraId="2D78BD22">
            <w:pPr>
              <w:spacing w:line="240" w:lineRule="auto"/>
              <w:ind w:firstLine="0" w:firstLineChars="0"/>
              <w:jc w:val="center"/>
              <w:rPr>
                <w:color w:val="auto"/>
                <w:highlight w:val="none"/>
                <w:u w:val="single"/>
              </w:rPr>
            </w:pPr>
          </w:p>
        </w:tc>
        <w:tc>
          <w:tcPr>
            <w:tcW w:w="321" w:type="pct"/>
            <w:vMerge w:val="continue"/>
            <w:tcBorders>
              <w:tl2br w:val="nil"/>
              <w:tr2bl w:val="nil"/>
            </w:tcBorders>
            <w:vAlign w:val="center"/>
          </w:tcPr>
          <w:p w14:paraId="205F4CEF">
            <w:pPr>
              <w:spacing w:line="240" w:lineRule="auto"/>
              <w:ind w:firstLine="0" w:firstLineChars="0"/>
              <w:jc w:val="center"/>
              <w:rPr>
                <w:color w:val="auto"/>
                <w:sz w:val="21"/>
                <w:szCs w:val="21"/>
                <w:highlight w:val="none"/>
                <w:u w:val="single"/>
              </w:rPr>
            </w:pPr>
          </w:p>
        </w:tc>
        <w:tc>
          <w:tcPr>
            <w:tcW w:w="321" w:type="pct"/>
            <w:tcBorders>
              <w:tl2br w:val="nil"/>
              <w:tr2bl w:val="nil"/>
            </w:tcBorders>
            <w:shd w:val="clear" w:color="auto" w:fill="auto"/>
            <w:vAlign w:val="center"/>
          </w:tcPr>
          <w:p w14:paraId="1679B970">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color w:val="auto"/>
                <w:sz w:val="21"/>
                <w:szCs w:val="21"/>
                <w:highlight w:val="none"/>
                <w:u w:val="single"/>
              </w:rPr>
              <w:t>SS</w:t>
            </w:r>
          </w:p>
        </w:tc>
        <w:tc>
          <w:tcPr>
            <w:tcW w:w="319" w:type="pct"/>
            <w:tcBorders>
              <w:tl2br w:val="nil"/>
              <w:tr2bl w:val="nil"/>
            </w:tcBorders>
            <w:vAlign w:val="center"/>
          </w:tcPr>
          <w:p w14:paraId="234E70DA">
            <w:pPr>
              <w:spacing w:line="240" w:lineRule="auto"/>
              <w:ind w:firstLine="0" w:firstLineChars="0"/>
              <w:jc w:val="center"/>
              <w:rPr>
                <w:color w:val="auto"/>
                <w:sz w:val="21"/>
                <w:szCs w:val="21"/>
                <w:highlight w:val="none"/>
                <w:u w:val="single"/>
              </w:rPr>
            </w:pPr>
            <w:r>
              <w:rPr>
                <w:rFonts w:hint="default"/>
                <w:color w:val="auto"/>
                <w:sz w:val="21"/>
                <w:szCs w:val="21"/>
                <w:highlight w:val="none"/>
                <w:u w:val="single"/>
                <w:lang w:val="en-US" w:eastAsia="zh-CN"/>
              </w:rPr>
              <w:t>0.0250</w:t>
            </w:r>
            <w:r>
              <w:rPr>
                <w:rFonts w:hint="eastAsia"/>
                <w:color w:val="auto"/>
                <w:sz w:val="21"/>
                <w:szCs w:val="21"/>
                <w:highlight w:val="none"/>
                <w:u w:val="single"/>
                <w:lang w:val="en-US" w:eastAsia="zh-CN"/>
              </w:rPr>
              <w:t>t/次</w:t>
            </w:r>
            <w:r>
              <w:rPr>
                <w:rFonts w:hint="default"/>
                <w:color w:val="auto"/>
                <w:sz w:val="21"/>
                <w:szCs w:val="21"/>
                <w:highlight w:val="none"/>
                <w:u w:val="single"/>
                <w:lang w:val="en-US" w:eastAsia="zh-CN"/>
              </w:rPr>
              <w:t xml:space="preserve">  </w:t>
            </w:r>
          </w:p>
        </w:tc>
        <w:tc>
          <w:tcPr>
            <w:tcW w:w="336" w:type="pct"/>
            <w:tcBorders>
              <w:tl2br w:val="nil"/>
              <w:tr2bl w:val="nil"/>
            </w:tcBorders>
            <w:shd w:val="clear" w:color="auto" w:fill="auto"/>
            <w:vAlign w:val="center"/>
          </w:tcPr>
          <w:p w14:paraId="3D42AD14">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bidi="ar-SA"/>
              </w:rPr>
            </w:pPr>
            <w:r>
              <w:rPr>
                <w:rFonts w:hint="default"/>
                <w:color w:val="auto"/>
                <w:sz w:val="21"/>
                <w:szCs w:val="21"/>
                <w:highlight w:val="none"/>
                <w:u w:val="single"/>
                <w:lang w:val="en-US" w:eastAsia="zh-CN"/>
              </w:rPr>
              <w:t>0.0090</w:t>
            </w:r>
            <w:r>
              <w:rPr>
                <w:rFonts w:hint="eastAsia"/>
                <w:color w:val="auto"/>
                <w:sz w:val="21"/>
                <w:szCs w:val="21"/>
                <w:highlight w:val="none"/>
                <w:u w:val="single"/>
                <w:lang w:val="en-US" w:eastAsia="zh-CN"/>
              </w:rPr>
              <w:t>t/次</w:t>
            </w:r>
            <w:r>
              <w:rPr>
                <w:rFonts w:hint="default"/>
                <w:color w:val="auto"/>
                <w:sz w:val="21"/>
                <w:szCs w:val="21"/>
                <w:highlight w:val="none"/>
                <w:u w:val="single"/>
                <w:lang w:val="en-US" w:eastAsia="zh-CN"/>
              </w:rPr>
              <w:t xml:space="preserve">  </w:t>
            </w:r>
          </w:p>
        </w:tc>
        <w:tc>
          <w:tcPr>
            <w:tcW w:w="347" w:type="pct"/>
            <w:tcBorders>
              <w:tl2br w:val="nil"/>
              <w:tr2bl w:val="nil"/>
            </w:tcBorders>
            <w:shd w:val="clear" w:color="auto" w:fill="auto"/>
            <w:vAlign w:val="center"/>
          </w:tcPr>
          <w:p w14:paraId="2378FA6A">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bidi="ar-SA"/>
              </w:rPr>
            </w:pPr>
            <w:r>
              <w:rPr>
                <w:rFonts w:hint="default"/>
                <w:color w:val="auto"/>
                <w:sz w:val="21"/>
                <w:szCs w:val="21"/>
                <w:highlight w:val="none"/>
                <w:u w:val="single"/>
                <w:lang w:val="en-US" w:eastAsia="zh-CN"/>
              </w:rPr>
              <w:t>0.0010</w:t>
            </w:r>
            <w:r>
              <w:rPr>
                <w:rFonts w:hint="eastAsia"/>
                <w:color w:val="auto"/>
                <w:sz w:val="21"/>
                <w:szCs w:val="21"/>
                <w:highlight w:val="none"/>
                <w:u w:val="single"/>
                <w:lang w:val="en-US" w:eastAsia="zh-CN"/>
              </w:rPr>
              <w:t>t/次</w:t>
            </w:r>
            <w:r>
              <w:rPr>
                <w:rFonts w:hint="default"/>
                <w:color w:val="auto"/>
                <w:sz w:val="21"/>
                <w:szCs w:val="21"/>
                <w:highlight w:val="none"/>
                <w:u w:val="single"/>
                <w:lang w:val="en-US" w:eastAsia="zh-CN"/>
              </w:rPr>
              <w:t xml:space="preserve">  </w:t>
            </w:r>
          </w:p>
        </w:tc>
        <w:tc>
          <w:tcPr>
            <w:tcW w:w="1860" w:type="pct"/>
            <w:vMerge w:val="continue"/>
            <w:tcBorders>
              <w:tl2br w:val="nil"/>
              <w:tr2bl w:val="nil"/>
            </w:tcBorders>
            <w:vAlign w:val="center"/>
          </w:tcPr>
          <w:p w14:paraId="6CBC70E7">
            <w:pPr>
              <w:spacing w:line="240" w:lineRule="auto"/>
              <w:ind w:firstLine="0" w:firstLineChars="0"/>
              <w:jc w:val="center"/>
              <w:rPr>
                <w:color w:val="auto"/>
                <w:sz w:val="21"/>
                <w:szCs w:val="21"/>
                <w:highlight w:val="none"/>
                <w:u w:val="single"/>
              </w:rPr>
            </w:pPr>
          </w:p>
        </w:tc>
        <w:tc>
          <w:tcPr>
            <w:tcW w:w="216" w:type="pct"/>
            <w:vMerge w:val="continue"/>
            <w:tcBorders>
              <w:tl2br w:val="nil"/>
              <w:tr2bl w:val="nil"/>
            </w:tcBorders>
            <w:vAlign w:val="center"/>
          </w:tcPr>
          <w:p w14:paraId="6F6EFFC8">
            <w:pPr>
              <w:spacing w:line="240" w:lineRule="auto"/>
              <w:ind w:firstLine="0" w:firstLineChars="0"/>
              <w:jc w:val="center"/>
              <w:rPr>
                <w:color w:val="auto"/>
                <w:sz w:val="21"/>
                <w:szCs w:val="21"/>
                <w:highlight w:val="none"/>
                <w:u w:val="single"/>
              </w:rPr>
            </w:pPr>
          </w:p>
        </w:tc>
        <w:tc>
          <w:tcPr>
            <w:tcW w:w="959" w:type="pct"/>
            <w:vMerge w:val="continue"/>
            <w:tcBorders>
              <w:tl2br w:val="nil"/>
              <w:tr2bl w:val="nil"/>
            </w:tcBorders>
            <w:vAlign w:val="center"/>
          </w:tcPr>
          <w:p w14:paraId="1348DDD2">
            <w:pPr>
              <w:spacing w:line="240" w:lineRule="auto"/>
              <w:ind w:firstLine="0" w:firstLineChars="0"/>
              <w:jc w:val="center"/>
              <w:rPr>
                <w:color w:val="auto"/>
                <w:sz w:val="21"/>
                <w:szCs w:val="21"/>
                <w:highlight w:val="none"/>
                <w:u w:val="single"/>
              </w:rPr>
            </w:pPr>
          </w:p>
        </w:tc>
      </w:tr>
      <w:tr w14:paraId="0518C9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178" w:hRule="atLeast"/>
          <w:jc w:val="center"/>
        </w:trPr>
        <w:tc>
          <w:tcPr>
            <w:tcW w:w="317" w:type="pct"/>
            <w:vMerge w:val="continue"/>
            <w:tcBorders>
              <w:tl2br w:val="nil"/>
              <w:tr2bl w:val="nil"/>
            </w:tcBorders>
            <w:vAlign w:val="center"/>
          </w:tcPr>
          <w:p w14:paraId="3C1E6149">
            <w:pPr>
              <w:spacing w:line="240" w:lineRule="auto"/>
              <w:ind w:firstLine="0" w:firstLineChars="0"/>
              <w:jc w:val="center"/>
              <w:rPr>
                <w:color w:val="auto"/>
                <w:sz w:val="21"/>
                <w:szCs w:val="21"/>
                <w:highlight w:val="none"/>
                <w:u w:val="single"/>
              </w:rPr>
            </w:pPr>
          </w:p>
        </w:tc>
        <w:tc>
          <w:tcPr>
            <w:tcW w:w="321" w:type="pct"/>
            <w:vMerge w:val="continue"/>
            <w:tcBorders>
              <w:tl2br w:val="nil"/>
              <w:tr2bl w:val="nil"/>
            </w:tcBorders>
            <w:vAlign w:val="center"/>
          </w:tcPr>
          <w:p w14:paraId="42506DA6">
            <w:pPr>
              <w:spacing w:line="240" w:lineRule="auto"/>
              <w:ind w:firstLine="0" w:firstLineChars="0"/>
              <w:jc w:val="center"/>
              <w:rPr>
                <w:color w:val="auto"/>
                <w:sz w:val="21"/>
                <w:szCs w:val="21"/>
                <w:highlight w:val="none"/>
                <w:u w:val="single"/>
              </w:rPr>
            </w:pPr>
          </w:p>
        </w:tc>
        <w:tc>
          <w:tcPr>
            <w:tcW w:w="321" w:type="pct"/>
            <w:tcBorders>
              <w:tl2br w:val="nil"/>
              <w:tr2bl w:val="nil"/>
            </w:tcBorders>
            <w:shd w:val="clear" w:color="auto" w:fill="auto"/>
            <w:vAlign w:val="center"/>
          </w:tcPr>
          <w:p w14:paraId="453ACD78">
            <w:pPr>
              <w:spacing w:line="240" w:lineRule="auto"/>
              <w:ind w:firstLine="0" w:firstLineChars="0"/>
              <w:jc w:val="center"/>
              <w:rPr>
                <w:rFonts w:ascii="Times New Roman" w:hAnsi="Times New Roman" w:eastAsia="宋体" w:cs="Times New Roman"/>
                <w:color w:val="auto"/>
                <w:sz w:val="21"/>
                <w:szCs w:val="21"/>
                <w:highlight w:val="none"/>
                <w:u w:val="single"/>
                <w:lang w:val="en-US" w:eastAsia="zh-CN" w:bidi="ar-SA"/>
              </w:rPr>
            </w:pPr>
            <w:r>
              <w:rPr>
                <w:color w:val="auto"/>
                <w:sz w:val="21"/>
                <w:szCs w:val="21"/>
                <w:highlight w:val="none"/>
                <w:u w:val="single"/>
              </w:rPr>
              <w:t>石油类</w:t>
            </w:r>
          </w:p>
        </w:tc>
        <w:tc>
          <w:tcPr>
            <w:tcW w:w="319" w:type="pct"/>
            <w:tcBorders>
              <w:tl2br w:val="nil"/>
              <w:tr2bl w:val="nil"/>
            </w:tcBorders>
            <w:vAlign w:val="center"/>
          </w:tcPr>
          <w:p w14:paraId="30EFC34E">
            <w:pPr>
              <w:spacing w:line="240" w:lineRule="auto"/>
              <w:ind w:firstLine="0" w:firstLineChars="0"/>
              <w:jc w:val="center"/>
              <w:rPr>
                <w:color w:val="auto"/>
                <w:sz w:val="21"/>
                <w:szCs w:val="21"/>
                <w:highlight w:val="none"/>
                <w:u w:val="single"/>
              </w:rPr>
            </w:pPr>
            <w:r>
              <w:rPr>
                <w:rFonts w:hint="default"/>
                <w:color w:val="auto"/>
                <w:sz w:val="21"/>
                <w:szCs w:val="21"/>
                <w:highlight w:val="none"/>
                <w:u w:val="single"/>
                <w:lang w:val="en-US" w:eastAsia="zh-CN"/>
              </w:rPr>
              <w:t>0.0040</w:t>
            </w:r>
            <w:r>
              <w:rPr>
                <w:rFonts w:hint="eastAsia"/>
                <w:color w:val="auto"/>
                <w:sz w:val="21"/>
                <w:szCs w:val="21"/>
                <w:highlight w:val="none"/>
                <w:u w:val="single"/>
                <w:lang w:val="en-US" w:eastAsia="zh-CN"/>
              </w:rPr>
              <w:t>t/次</w:t>
            </w:r>
            <w:r>
              <w:rPr>
                <w:rFonts w:hint="default"/>
                <w:color w:val="auto"/>
                <w:sz w:val="21"/>
                <w:szCs w:val="21"/>
                <w:highlight w:val="none"/>
                <w:u w:val="single"/>
                <w:lang w:val="en-US" w:eastAsia="zh-CN"/>
              </w:rPr>
              <w:t xml:space="preserve">  </w:t>
            </w:r>
          </w:p>
        </w:tc>
        <w:tc>
          <w:tcPr>
            <w:tcW w:w="336" w:type="pct"/>
            <w:tcBorders>
              <w:tl2br w:val="nil"/>
              <w:tr2bl w:val="nil"/>
            </w:tcBorders>
            <w:shd w:val="clear" w:color="auto" w:fill="auto"/>
            <w:vAlign w:val="center"/>
          </w:tcPr>
          <w:p w14:paraId="2D6B2BEF">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bidi="ar-SA"/>
              </w:rPr>
            </w:pPr>
            <w:r>
              <w:rPr>
                <w:rFonts w:hint="default"/>
                <w:color w:val="auto"/>
                <w:sz w:val="21"/>
                <w:szCs w:val="21"/>
                <w:highlight w:val="none"/>
                <w:u w:val="single"/>
                <w:lang w:val="en-US" w:eastAsia="zh-CN"/>
              </w:rPr>
              <w:t>0.0018</w:t>
            </w:r>
            <w:r>
              <w:rPr>
                <w:rFonts w:hint="eastAsia"/>
                <w:color w:val="auto"/>
                <w:sz w:val="21"/>
                <w:szCs w:val="21"/>
                <w:highlight w:val="none"/>
                <w:u w:val="single"/>
                <w:lang w:val="en-US" w:eastAsia="zh-CN"/>
              </w:rPr>
              <w:t>t/次</w:t>
            </w:r>
            <w:r>
              <w:rPr>
                <w:rFonts w:hint="default"/>
                <w:color w:val="auto"/>
                <w:sz w:val="21"/>
                <w:szCs w:val="21"/>
                <w:highlight w:val="none"/>
                <w:u w:val="single"/>
                <w:lang w:val="en-US" w:eastAsia="zh-CN"/>
              </w:rPr>
              <w:t xml:space="preserve">  </w:t>
            </w:r>
          </w:p>
        </w:tc>
        <w:tc>
          <w:tcPr>
            <w:tcW w:w="347" w:type="pct"/>
            <w:tcBorders>
              <w:tl2br w:val="nil"/>
              <w:tr2bl w:val="nil"/>
            </w:tcBorders>
            <w:shd w:val="clear" w:color="auto" w:fill="auto"/>
            <w:vAlign w:val="center"/>
          </w:tcPr>
          <w:p w14:paraId="6A99FD8A">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bidi="ar-SA"/>
              </w:rPr>
            </w:pPr>
            <w:r>
              <w:rPr>
                <w:rFonts w:hint="default"/>
                <w:color w:val="auto"/>
                <w:sz w:val="21"/>
                <w:szCs w:val="21"/>
                <w:highlight w:val="none"/>
                <w:u w:val="single"/>
                <w:lang w:val="en-US" w:eastAsia="zh-CN"/>
              </w:rPr>
              <w:t>0.0002</w:t>
            </w:r>
            <w:r>
              <w:rPr>
                <w:rFonts w:hint="eastAsia"/>
                <w:color w:val="auto"/>
                <w:sz w:val="21"/>
                <w:szCs w:val="21"/>
                <w:highlight w:val="none"/>
                <w:u w:val="single"/>
                <w:lang w:val="en-US" w:eastAsia="zh-CN"/>
              </w:rPr>
              <w:t>t/次</w:t>
            </w:r>
            <w:r>
              <w:rPr>
                <w:rFonts w:hint="default"/>
                <w:color w:val="auto"/>
                <w:sz w:val="21"/>
                <w:szCs w:val="21"/>
                <w:highlight w:val="none"/>
                <w:u w:val="single"/>
                <w:lang w:val="en-US" w:eastAsia="zh-CN"/>
              </w:rPr>
              <w:t xml:space="preserve">  </w:t>
            </w:r>
          </w:p>
        </w:tc>
        <w:tc>
          <w:tcPr>
            <w:tcW w:w="1860" w:type="pct"/>
            <w:vMerge w:val="continue"/>
            <w:tcBorders>
              <w:tl2br w:val="nil"/>
              <w:tr2bl w:val="nil"/>
            </w:tcBorders>
            <w:vAlign w:val="center"/>
          </w:tcPr>
          <w:p w14:paraId="1C45B3F7">
            <w:pPr>
              <w:spacing w:line="240" w:lineRule="auto"/>
              <w:ind w:firstLine="0" w:firstLineChars="0"/>
              <w:jc w:val="center"/>
              <w:rPr>
                <w:color w:val="auto"/>
                <w:sz w:val="21"/>
                <w:szCs w:val="21"/>
                <w:highlight w:val="none"/>
                <w:u w:val="single"/>
              </w:rPr>
            </w:pPr>
          </w:p>
        </w:tc>
        <w:tc>
          <w:tcPr>
            <w:tcW w:w="216" w:type="pct"/>
            <w:vMerge w:val="continue"/>
            <w:tcBorders>
              <w:tl2br w:val="nil"/>
              <w:tr2bl w:val="nil"/>
            </w:tcBorders>
            <w:vAlign w:val="center"/>
          </w:tcPr>
          <w:p w14:paraId="757B44AD">
            <w:pPr>
              <w:spacing w:line="240" w:lineRule="auto"/>
              <w:ind w:firstLine="0" w:firstLineChars="0"/>
              <w:jc w:val="center"/>
              <w:rPr>
                <w:color w:val="auto"/>
                <w:sz w:val="21"/>
                <w:szCs w:val="21"/>
                <w:highlight w:val="none"/>
                <w:u w:val="single"/>
              </w:rPr>
            </w:pPr>
          </w:p>
        </w:tc>
        <w:tc>
          <w:tcPr>
            <w:tcW w:w="959" w:type="pct"/>
            <w:vMerge w:val="continue"/>
            <w:tcBorders>
              <w:tl2br w:val="nil"/>
              <w:tr2bl w:val="nil"/>
            </w:tcBorders>
            <w:vAlign w:val="center"/>
          </w:tcPr>
          <w:p w14:paraId="6E634D7C">
            <w:pPr>
              <w:spacing w:line="240" w:lineRule="auto"/>
              <w:ind w:firstLine="0" w:firstLineChars="0"/>
              <w:jc w:val="center"/>
              <w:rPr>
                <w:color w:val="auto"/>
                <w:sz w:val="21"/>
                <w:szCs w:val="21"/>
                <w:highlight w:val="none"/>
                <w:u w:val="single"/>
              </w:rPr>
            </w:pPr>
          </w:p>
        </w:tc>
      </w:tr>
      <w:tr w14:paraId="596826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317" w:type="pct"/>
            <w:vMerge w:val="restart"/>
            <w:tcBorders>
              <w:tl2br w:val="nil"/>
              <w:tr2bl w:val="nil"/>
            </w:tcBorders>
            <w:vAlign w:val="center"/>
          </w:tcPr>
          <w:p w14:paraId="1A35E949">
            <w:pPr>
              <w:spacing w:line="240" w:lineRule="auto"/>
              <w:ind w:firstLine="0" w:firstLineChars="0"/>
              <w:jc w:val="center"/>
              <w:rPr>
                <w:color w:val="auto"/>
                <w:sz w:val="21"/>
                <w:szCs w:val="21"/>
                <w:highlight w:val="none"/>
                <w:u w:val="single"/>
              </w:rPr>
            </w:pPr>
            <w:r>
              <w:rPr>
                <w:color w:val="auto"/>
                <w:sz w:val="21"/>
                <w:szCs w:val="21"/>
                <w:highlight w:val="none"/>
                <w:u w:val="single"/>
              </w:rPr>
              <w:t>一般固废</w:t>
            </w:r>
          </w:p>
        </w:tc>
        <w:tc>
          <w:tcPr>
            <w:tcW w:w="642" w:type="pct"/>
            <w:gridSpan w:val="2"/>
            <w:tcBorders>
              <w:tl2br w:val="nil"/>
              <w:tr2bl w:val="nil"/>
            </w:tcBorders>
            <w:tcMar>
              <w:left w:w="0" w:type="dxa"/>
              <w:right w:w="0" w:type="dxa"/>
            </w:tcMar>
            <w:vAlign w:val="center"/>
          </w:tcPr>
          <w:p w14:paraId="21434BD8">
            <w:pPr>
              <w:spacing w:line="240" w:lineRule="auto"/>
              <w:ind w:firstLine="0" w:firstLineChars="0"/>
              <w:jc w:val="center"/>
              <w:rPr>
                <w:color w:val="auto"/>
                <w:sz w:val="21"/>
                <w:szCs w:val="21"/>
                <w:highlight w:val="none"/>
                <w:u w:val="single"/>
              </w:rPr>
            </w:pPr>
            <w:r>
              <w:rPr>
                <w:color w:val="auto"/>
                <w:sz w:val="21"/>
                <w:szCs w:val="21"/>
                <w:highlight w:val="none"/>
                <w:u w:val="single"/>
              </w:rPr>
              <w:t>废焊料、焊渣</w:t>
            </w:r>
          </w:p>
        </w:tc>
        <w:tc>
          <w:tcPr>
            <w:tcW w:w="319" w:type="pct"/>
            <w:tcBorders>
              <w:tl2br w:val="nil"/>
              <w:tr2bl w:val="nil"/>
            </w:tcBorders>
            <w:vAlign w:val="center"/>
          </w:tcPr>
          <w:p w14:paraId="2DC16B65">
            <w:pPr>
              <w:spacing w:line="240" w:lineRule="auto"/>
              <w:ind w:firstLine="0" w:firstLineChars="0"/>
              <w:jc w:val="center"/>
              <w:rPr>
                <w:color w:val="auto"/>
                <w:sz w:val="21"/>
                <w:szCs w:val="21"/>
                <w:highlight w:val="none"/>
                <w:u w:val="single"/>
              </w:rPr>
            </w:pPr>
            <w:r>
              <w:rPr>
                <w:color w:val="auto"/>
                <w:sz w:val="21"/>
                <w:szCs w:val="21"/>
                <w:highlight w:val="none"/>
                <w:u w:val="single"/>
              </w:rPr>
              <w:t>3</w:t>
            </w:r>
          </w:p>
        </w:tc>
        <w:tc>
          <w:tcPr>
            <w:tcW w:w="336" w:type="pct"/>
            <w:tcBorders>
              <w:tl2br w:val="nil"/>
              <w:tr2bl w:val="nil"/>
            </w:tcBorders>
            <w:vAlign w:val="center"/>
          </w:tcPr>
          <w:p w14:paraId="7041D7EE">
            <w:pPr>
              <w:spacing w:line="240" w:lineRule="auto"/>
              <w:ind w:firstLine="0" w:firstLineChars="0"/>
              <w:jc w:val="center"/>
              <w:rPr>
                <w:color w:val="auto"/>
                <w:sz w:val="21"/>
                <w:szCs w:val="21"/>
                <w:highlight w:val="none"/>
                <w:u w:val="single"/>
              </w:rPr>
            </w:pPr>
            <w:r>
              <w:rPr>
                <w:color w:val="auto"/>
                <w:sz w:val="21"/>
                <w:szCs w:val="21"/>
                <w:highlight w:val="none"/>
                <w:u w:val="single"/>
              </w:rPr>
              <w:t>3</w:t>
            </w:r>
          </w:p>
        </w:tc>
        <w:tc>
          <w:tcPr>
            <w:tcW w:w="347" w:type="pct"/>
            <w:tcBorders>
              <w:tl2br w:val="nil"/>
              <w:tr2bl w:val="nil"/>
            </w:tcBorders>
            <w:vAlign w:val="center"/>
          </w:tcPr>
          <w:p w14:paraId="2905C84A">
            <w:pPr>
              <w:spacing w:line="240" w:lineRule="auto"/>
              <w:ind w:firstLine="0" w:firstLineChars="0"/>
              <w:jc w:val="center"/>
              <w:rPr>
                <w:color w:val="auto"/>
                <w:sz w:val="21"/>
                <w:szCs w:val="21"/>
                <w:highlight w:val="none"/>
                <w:u w:val="single"/>
              </w:rPr>
            </w:pPr>
            <w:r>
              <w:rPr>
                <w:color w:val="auto"/>
                <w:sz w:val="21"/>
                <w:szCs w:val="21"/>
                <w:highlight w:val="none"/>
                <w:u w:val="single"/>
              </w:rPr>
              <w:t>0</w:t>
            </w:r>
          </w:p>
        </w:tc>
        <w:tc>
          <w:tcPr>
            <w:tcW w:w="1860" w:type="pct"/>
            <w:vMerge w:val="restart"/>
            <w:tcBorders>
              <w:tl2br w:val="nil"/>
              <w:tr2bl w:val="nil"/>
            </w:tcBorders>
            <w:vAlign w:val="center"/>
          </w:tcPr>
          <w:p w14:paraId="5DE1780D">
            <w:pPr>
              <w:spacing w:line="240" w:lineRule="auto"/>
              <w:ind w:firstLine="0" w:firstLineChars="0"/>
              <w:jc w:val="center"/>
              <w:rPr>
                <w:bCs/>
                <w:color w:val="auto"/>
                <w:sz w:val="21"/>
                <w:szCs w:val="21"/>
                <w:highlight w:val="none"/>
                <w:u w:val="single"/>
              </w:rPr>
            </w:pPr>
            <w:r>
              <w:rPr>
                <w:color w:val="auto"/>
                <w:sz w:val="21"/>
                <w:szCs w:val="21"/>
                <w:highlight w:val="none"/>
                <w:u w:val="single"/>
              </w:rPr>
              <w:t>收集到一般固废暂存间暂存，能回收的回收利用，不能回收利用的由中标公司（最近一次委托处理单位为钦州市鼎鑫再生资源回收利用有限公司）外运处理</w:t>
            </w:r>
          </w:p>
        </w:tc>
        <w:tc>
          <w:tcPr>
            <w:tcW w:w="216" w:type="pct"/>
            <w:tcBorders>
              <w:tl2br w:val="nil"/>
              <w:tr2bl w:val="nil"/>
            </w:tcBorders>
            <w:vAlign w:val="center"/>
          </w:tcPr>
          <w:p w14:paraId="2DC77B44">
            <w:pPr>
              <w:spacing w:line="240" w:lineRule="auto"/>
              <w:ind w:firstLine="0" w:firstLineChars="0"/>
              <w:jc w:val="center"/>
              <w:rPr>
                <w:color w:val="auto"/>
                <w:sz w:val="21"/>
                <w:szCs w:val="21"/>
                <w:highlight w:val="none"/>
                <w:u w:val="single"/>
              </w:rPr>
            </w:pPr>
            <w:r>
              <w:rPr>
                <w:color w:val="auto"/>
                <w:sz w:val="21"/>
                <w:szCs w:val="21"/>
                <w:highlight w:val="none"/>
                <w:u w:val="single"/>
              </w:rPr>
              <w:t>100</w:t>
            </w:r>
          </w:p>
        </w:tc>
        <w:tc>
          <w:tcPr>
            <w:tcW w:w="959" w:type="pct"/>
            <w:vMerge w:val="restart"/>
            <w:tcBorders>
              <w:tl2br w:val="nil"/>
              <w:tr2bl w:val="nil"/>
            </w:tcBorders>
            <w:vAlign w:val="center"/>
          </w:tcPr>
          <w:p w14:paraId="58D0B2CC">
            <w:pPr>
              <w:spacing w:line="240" w:lineRule="auto"/>
              <w:ind w:firstLine="0" w:firstLineChars="0"/>
              <w:jc w:val="center"/>
              <w:rPr>
                <w:color w:val="auto"/>
                <w:sz w:val="21"/>
                <w:szCs w:val="21"/>
                <w:highlight w:val="none"/>
                <w:u w:val="single"/>
              </w:rPr>
            </w:pPr>
            <w:r>
              <w:rPr>
                <w:color w:val="auto"/>
                <w:sz w:val="21"/>
                <w:szCs w:val="21"/>
                <w:highlight w:val="none"/>
                <w:u w:val="single"/>
              </w:rPr>
              <w:t>综合利用或安全处置</w:t>
            </w:r>
          </w:p>
        </w:tc>
      </w:tr>
      <w:tr w14:paraId="723F4E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317" w:type="pct"/>
            <w:vMerge w:val="continue"/>
            <w:tcBorders>
              <w:tl2br w:val="nil"/>
              <w:tr2bl w:val="nil"/>
            </w:tcBorders>
            <w:vAlign w:val="center"/>
          </w:tcPr>
          <w:p w14:paraId="0BA59FDB">
            <w:pPr>
              <w:spacing w:line="240" w:lineRule="auto"/>
              <w:ind w:firstLine="0" w:firstLineChars="0"/>
              <w:jc w:val="center"/>
              <w:rPr>
                <w:color w:val="auto"/>
                <w:sz w:val="21"/>
                <w:szCs w:val="21"/>
                <w:highlight w:val="none"/>
                <w:u w:val="single"/>
              </w:rPr>
            </w:pPr>
          </w:p>
        </w:tc>
        <w:tc>
          <w:tcPr>
            <w:tcW w:w="642" w:type="pct"/>
            <w:gridSpan w:val="2"/>
            <w:tcBorders>
              <w:tl2br w:val="nil"/>
              <w:tr2bl w:val="nil"/>
            </w:tcBorders>
            <w:tcMar>
              <w:left w:w="0" w:type="dxa"/>
              <w:right w:w="0" w:type="dxa"/>
            </w:tcMar>
            <w:vAlign w:val="center"/>
          </w:tcPr>
          <w:p w14:paraId="6BF24110">
            <w:pPr>
              <w:spacing w:line="240" w:lineRule="auto"/>
              <w:ind w:firstLine="0" w:firstLineChars="0"/>
              <w:jc w:val="center"/>
              <w:rPr>
                <w:color w:val="auto"/>
                <w:sz w:val="21"/>
                <w:szCs w:val="21"/>
                <w:highlight w:val="none"/>
                <w:u w:val="single"/>
              </w:rPr>
            </w:pPr>
            <w:r>
              <w:rPr>
                <w:color w:val="auto"/>
                <w:sz w:val="21"/>
                <w:szCs w:val="21"/>
                <w:highlight w:val="none"/>
                <w:u w:val="single"/>
              </w:rPr>
              <w:t>废铜矿砂及铁锈</w:t>
            </w:r>
          </w:p>
        </w:tc>
        <w:tc>
          <w:tcPr>
            <w:tcW w:w="319" w:type="pct"/>
            <w:tcBorders>
              <w:tl2br w:val="nil"/>
              <w:tr2bl w:val="nil"/>
            </w:tcBorders>
            <w:vAlign w:val="center"/>
          </w:tcPr>
          <w:p w14:paraId="47B6FEF8">
            <w:pPr>
              <w:spacing w:line="240" w:lineRule="auto"/>
              <w:ind w:firstLine="0" w:firstLineChars="0"/>
              <w:jc w:val="center"/>
              <w:rPr>
                <w:color w:val="auto"/>
                <w:sz w:val="21"/>
                <w:szCs w:val="21"/>
                <w:highlight w:val="none"/>
                <w:u w:val="single"/>
              </w:rPr>
            </w:pPr>
            <w:r>
              <w:rPr>
                <w:color w:val="auto"/>
                <w:sz w:val="21"/>
                <w:szCs w:val="21"/>
                <w:highlight w:val="none"/>
                <w:u w:val="single"/>
              </w:rPr>
              <w:t>3596.4</w:t>
            </w:r>
          </w:p>
        </w:tc>
        <w:tc>
          <w:tcPr>
            <w:tcW w:w="336" w:type="pct"/>
            <w:tcBorders>
              <w:tl2br w:val="nil"/>
              <w:tr2bl w:val="nil"/>
            </w:tcBorders>
            <w:tcMar>
              <w:left w:w="0" w:type="dxa"/>
              <w:right w:w="0" w:type="dxa"/>
            </w:tcMar>
            <w:vAlign w:val="center"/>
          </w:tcPr>
          <w:p w14:paraId="5260492F">
            <w:pPr>
              <w:spacing w:line="240" w:lineRule="auto"/>
              <w:ind w:firstLine="0" w:firstLineChars="0"/>
              <w:jc w:val="center"/>
              <w:rPr>
                <w:color w:val="auto"/>
                <w:sz w:val="21"/>
                <w:szCs w:val="21"/>
                <w:highlight w:val="none"/>
                <w:u w:val="single"/>
              </w:rPr>
            </w:pPr>
            <w:r>
              <w:rPr>
                <w:color w:val="auto"/>
                <w:sz w:val="21"/>
                <w:szCs w:val="21"/>
                <w:highlight w:val="none"/>
                <w:u w:val="single"/>
              </w:rPr>
              <w:t>3596.4</w:t>
            </w:r>
          </w:p>
        </w:tc>
        <w:tc>
          <w:tcPr>
            <w:tcW w:w="347" w:type="pct"/>
            <w:tcBorders>
              <w:tl2br w:val="nil"/>
              <w:tr2bl w:val="nil"/>
            </w:tcBorders>
            <w:vAlign w:val="center"/>
          </w:tcPr>
          <w:p w14:paraId="52E468CA">
            <w:pPr>
              <w:spacing w:line="240" w:lineRule="auto"/>
              <w:ind w:firstLine="0" w:firstLineChars="0"/>
              <w:jc w:val="center"/>
              <w:rPr>
                <w:color w:val="auto"/>
                <w:sz w:val="21"/>
                <w:szCs w:val="21"/>
                <w:highlight w:val="none"/>
                <w:u w:val="single"/>
              </w:rPr>
            </w:pPr>
            <w:r>
              <w:rPr>
                <w:color w:val="auto"/>
                <w:sz w:val="21"/>
                <w:szCs w:val="21"/>
                <w:highlight w:val="none"/>
                <w:u w:val="single"/>
              </w:rPr>
              <w:t>0</w:t>
            </w:r>
          </w:p>
        </w:tc>
        <w:tc>
          <w:tcPr>
            <w:tcW w:w="1860" w:type="pct"/>
            <w:vMerge w:val="continue"/>
            <w:tcBorders>
              <w:tl2br w:val="nil"/>
              <w:tr2bl w:val="nil"/>
            </w:tcBorders>
            <w:vAlign w:val="center"/>
          </w:tcPr>
          <w:p w14:paraId="1F94E99F">
            <w:pPr>
              <w:tabs>
                <w:tab w:val="left" w:pos="0"/>
              </w:tabs>
              <w:spacing w:line="240" w:lineRule="auto"/>
              <w:ind w:firstLine="0" w:firstLineChars="0"/>
              <w:jc w:val="center"/>
              <w:rPr>
                <w:bCs/>
                <w:color w:val="auto"/>
                <w:sz w:val="21"/>
                <w:szCs w:val="21"/>
                <w:highlight w:val="none"/>
                <w:u w:val="single"/>
              </w:rPr>
            </w:pPr>
          </w:p>
        </w:tc>
        <w:tc>
          <w:tcPr>
            <w:tcW w:w="216" w:type="pct"/>
            <w:tcBorders>
              <w:tl2br w:val="nil"/>
              <w:tr2bl w:val="nil"/>
            </w:tcBorders>
            <w:vAlign w:val="center"/>
          </w:tcPr>
          <w:p w14:paraId="2ED3433E">
            <w:pPr>
              <w:spacing w:line="240" w:lineRule="auto"/>
              <w:ind w:firstLine="0" w:firstLineChars="0"/>
              <w:jc w:val="center"/>
              <w:rPr>
                <w:color w:val="auto"/>
                <w:sz w:val="21"/>
                <w:szCs w:val="21"/>
                <w:highlight w:val="none"/>
                <w:u w:val="single"/>
              </w:rPr>
            </w:pPr>
            <w:r>
              <w:rPr>
                <w:color w:val="auto"/>
                <w:sz w:val="21"/>
                <w:szCs w:val="21"/>
                <w:highlight w:val="none"/>
                <w:u w:val="single"/>
              </w:rPr>
              <w:t>100</w:t>
            </w:r>
          </w:p>
        </w:tc>
        <w:tc>
          <w:tcPr>
            <w:tcW w:w="959" w:type="pct"/>
            <w:vMerge w:val="continue"/>
            <w:tcBorders>
              <w:tl2br w:val="nil"/>
              <w:tr2bl w:val="nil"/>
            </w:tcBorders>
            <w:vAlign w:val="center"/>
          </w:tcPr>
          <w:p w14:paraId="79C76A20">
            <w:pPr>
              <w:spacing w:line="240" w:lineRule="auto"/>
              <w:ind w:firstLine="0" w:firstLineChars="0"/>
              <w:jc w:val="center"/>
              <w:rPr>
                <w:color w:val="auto"/>
                <w:sz w:val="21"/>
                <w:szCs w:val="21"/>
                <w:highlight w:val="none"/>
                <w:u w:val="single"/>
              </w:rPr>
            </w:pPr>
          </w:p>
        </w:tc>
      </w:tr>
      <w:tr w14:paraId="21AB26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317" w:type="pct"/>
            <w:vMerge w:val="continue"/>
            <w:tcBorders>
              <w:tl2br w:val="nil"/>
              <w:tr2bl w:val="nil"/>
            </w:tcBorders>
            <w:vAlign w:val="center"/>
          </w:tcPr>
          <w:p w14:paraId="01A7EF0C">
            <w:pPr>
              <w:spacing w:line="240" w:lineRule="auto"/>
              <w:ind w:firstLine="0" w:firstLineChars="0"/>
              <w:jc w:val="center"/>
              <w:rPr>
                <w:color w:val="auto"/>
                <w:sz w:val="21"/>
                <w:szCs w:val="21"/>
                <w:highlight w:val="none"/>
                <w:u w:val="single"/>
              </w:rPr>
            </w:pPr>
          </w:p>
        </w:tc>
        <w:tc>
          <w:tcPr>
            <w:tcW w:w="642" w:type="pct"/>
            <w:gridSpan w:val="2"/>
            <w:tcBorders>
              <w:tl2br w:val="nil"/>
              <w:tr2bl w:val="nil"/>
            </w:tcBorders>
            <w:tcMar>
              <w:left w:w="0" w:type="dxa"/>
              <w:right w:w="0" w:type="dxa"/>
            </w:tcMar>
            <w:vAlign w:val="center"/>
          </w:tcPr>
          <w:p w14:paraId="228A3DDB">
            <w:pPr>
              <w:spacing w:line="240" w:lineRule="auto"/>
              <w:ind w:firstLine="0" w:firstLineChars="0"/>
              <w:jc w:val="center"/>
              <w:rPr>
                <w:color w:val="auto"/>
                <w:sz w:val="21"/>
                <w:szCs w:val="21"/>
                <w:highlight w:val="none"/>
                <w:u w:val="single"/>
              </w:rPr>
            </w:pPr>
            <w:r>
              <w:rPr>
                <w:color w:val="auto"/>
                <w:sz w:val="21"/>
                <w:szCs w:val="21"/>
                <w:highlight w:val="none"/>
                <w:u w:val="single"/>
              </w:rPr>
              <w:t>船坞沉降物</w:t>
            </w:r>
          </w:p>
        </w:tc>
        <w:tc>
          <w:tcPr>
            <w:tcW w:w="319" w:type="pct"/>
            <w:tcBorders>
              <w:tl2br w:val="nil"/>
              <w:tr2bl w:val="nil"/>
            </w:tcBorders>
            <w:vAlign w:val="center"/>
          </w:tcPr>
          <w:p w14:paraId="2C73D1A1">
            <w:pPr>
              <w:spacing w:line="240" w:lineRule="auto"/>
              <w:ind w:firstLine="0" w:firstLineChars="0"/>
              <w:jc w:val="center"/>
              <w:rPr>
                <w:color w:val="auto"/>
                <w:sz w:val="21"/>
                <w:szCs w:val="21"/>
                <w:highlight w:val="none"/>
                <w:u w:val="single"/>
              </w:rPr>
            </w:pPr>
            <w:r>
              <w:rPr>
                <w:color w:val="auto"/>
                <w:sz w:val="21"/>
                <w:szCs w:val="21"/>
                <w:highlight w:val="none"/>
                <w:u w:val="single"/>
              </w:rPr>
              <w:t>59.88</w:t>
            </w:r>
          </w:p>
        </w:tc>
        <w:tc>
          <w:tcPr>
            <w:tcW w:w="336" w:type="pct"/>
            <w:tcBorders>
              <w:tl2br w:val="nil"/>
              <w:tr2bl w:val="nil"/>
            </w:tcBorders>
            <w:tcMar>
              <w:left w:w="0" w:type="dxa"/>
              <w:right w:w="0" w:type="dxa"/>
            </w:tcMar>
            <w:vAlign w:val="center"/>
          </w:tcPr>
          <w:p w14:paraId="723DCF03">
            <w:pPr>
              <w:spacing w:line="240" w:lineRule="auto"/>
              <w:ind w:firstLine="0" w:firstLineChars="0"/>
              <w:jc w:val="center"/>
              <w:rPr>
                <w:color w:val="auto"/>
                <w:sz w:val="21"/>
                <w:szCs w:val="21"/>
                <w:highlight w:val="none"/>
                <w:u w:val="single"/>
              </w:rPr>
            </w:pPr>
            <w:r>
              <w:rPr>
                <w:color w:val="auto"/>
                <w:sz w:val="21"/>
                <w:szCs w:val="21"/>
                <w:highlight w:val="none"/>
                <w:u w:val="single"/>
              </w:rPr>
              <w:t>59.88</w:t>
            </w:r>
          </w:p>
        </w:tc>
        <w:tc>
          <w:tcPr>
            <w:tcW w:w="347" w:type="pct"/>
            <w:tcBorders>
              <w:tl2br w:val="nil"/>
              <w:tr2bl w:val="nil"/>
            </w:tcBorders>
            <w:vAlign w:val="center"/>
          </w:tcPr>
          <w:p w14:paraId="483B8D27">
            <w:pPr>
              <w:spacing w:line="240" w:lineRule="auto"/>
              <w:ind w:firstLine="0" w:firstLineChars="0"/>
              <w:jc w:val="center"/>
              <w:rPr>
                <w:color w:val="auto"/>
                <w:sz w:val="21"/>
                <w:szCs w:val="21"/>
                <w:highlight w:val="none"/>
                <w:u w:val="single"/>
              </w:rPr>
            </w:pPr>
            <w:r>
              <w:rPr>
                <w:color w:val="auto"/>
                <w:sz w:val="21"/>
                <w:szCs w:val="21"/>
                <w:highlight w:val="none"/>
                <w:u w:val="single"/>
              </w:rPr>
              <w:t>0</w:t>
            </w:r>
          </w:p>
        </w:tc>
        <w:tc>
          <w:tcPr>
            <w:tcW w:w="1860" w:type="pct"/>
            <w:vMerge w:val="continue"/>
            <w:tcBorders>
              <w:tl2br w:val="nil"/>
              <w:tr2bl w:val="nil"/>
            </w:tcBorders>
            <w:vAlign w:val="center"/>
          </w:tcPr>
          <w:p w14:paraId="2FA2F858">
            <w:pPr>
              <w:tabs>
                <w:tab w:val="left" w:pos="0"/>
              </w:tabs>
              <w:spacing w:line="240" w:lineRule="auto"/>
              <w:ind w:firstLine="0" w:firstLineChars="0"/>
              <w:jc w:val="center"/>
              <w:rPr>
                <w:bCs/>
                <w:color w:val="auto"/>
                <w:sz w:val="21"/>
                <w:szCs w:val="21"/>
                <w:highlight w:val="none"/>
                <w:u w:val="single"/>
              </w:rPr>
            </w:pPr>
          </w:p>
        </w:tc>
        <w:tc>
          <w:tcPr>
            <w:tcW w:w="216" w:type="pct"/>
            <w:tcBorders>
              <w:tl2br w:val="nil"/>
              <w:tr2bl w:val="nil"/>
            </w:tcBorders>
            <w:vAlign w:val="center"/>
          </w:tcPr>
          <w:p w14:paraId="1A1E2662">
            <w:pPr>
              <w:spacing w:line="240" w:lineRule="auto"/>
              <w:ind w:firstLine="0" w:firstLineChars="0"/>
              <w:jc w:val="center"/>
              <w:rPr>
                <w:color w:val="auto"/>
                <w:sz w:val="21"/>
                <w:szCs w:val="21"/>
                <w:highlight w:val="none"/>
                <w:u w:val="single"/>
              </w:rPr>
            </w:pPr>
            <w:r>
              <w:rPr>
                <w:color w:val="auto"/>
                <w:sz w:val="21"/>
                <w:szCs w:val="21"/>
                <w:highlight w:val="none"/>
                <w:u w:val="single"/>
              </w:rPr>
              <w:t>100</w:t>
            </w:r>
          </w:p>
        </w:tc>
        <w:tc>
          <w:tcPr>
            <w:tcW w:w="959" w:type="pct"/>
            <w:vMerge w:val="continue"/>
            <w:tcBorders>
              <w:tl2br w:val="nil"/>
              <w:tr2bl w:val="nil"/>
            </w:tcBorders>
            <w:vAlign w:val="center"/>
          </w:tcPr>
          <w:p w14:paraId="11B32BFC">
            <w:pPr>
              <w:spacing w:line="240" w:lineRule="auto"/>
              <w:ind w:firstLine="0" w:firstLineChars="0"/>
              <w:jc w:val="center"/>
              <w:rPr>
                <w:color w:val="auto"/>
                <w:sz w:val="21"/>
                <w:szCs w:val="21"/>
                <w:highlight w:val="none"/>
                <w:u w:val="single"/>
              </w:rPr>
            </w:pPr>
          </w:p>
        </w:tc>
      </w:tr>
      <w:tr w14:paraId="4A3672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317" w:type="pct"/>
            <w:vMerge w:val="continue"/>
            <w:tcBorders>
              <w:tl2br w:val="nil"/>
              <w:tr2bl w:val="nil"/>
            </w:tcBorders>
            <w:vAlign w:val="center"/>
          </w:tcPr>
          <w:p w14:paraId="3DF9B903">
            <w:pPr>
              <w:spacing w:line="240" w:lineRule="auto"/>
              <w:ind w:firstLine="0" w:firstLineChars="0"/>
              <w:jc w:val="center"/>
              <w:rPr>
                <w:color w:val="auto"/>
                <w:sz w:val="21"/>
                <w:szCs w:val="21"/>
                <w:highlight w:val="none"/>
                <w:u w:val="single"/>
              </w:rPr>
            </w:pPr>
          </w:p>
        </w:tc>
        <w:tc>
          <w:tcPr>
            <w:tcW w:w="642" w:type="pct"/>
            <w:gridSpan w:val="2"/>
            <w:tcBorders>
              <w:tl2br w:val="nil"/>
              <w:tr2bl w:val="nil"/>
            </w:tcBorders>
            <w:tcMar>
              <w:left w:w="0" w:type="dxa"/>
              <w:right w:w="0" w:type="dxa"/>
            </w:tcMar>
            <w:vAlign w:val="center"/>
          </w:tcPr>
          <w:p w14:paraId="303B8334">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切割废料</w:t>
            </w:r>
          </w:p>
        </w:tc>
        <w:tc>
          <w:tcPr>
            <w:tcW w:w="319" w:type="pct"/>
            <w:tcBorders>
              <w:tl2br w:val="nil"/>
              <w:tr2bl w:val="nil"/>
            </w:tcBorders>
            <w:vAlign w:val="center"/>
          </w:tcPr>
          <w:p w14:paraId="762536EE">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3</w:t>
            </w:r>
            <w:r>
              <w:rPr>
                <w:color w:val="auto"/>
                <w:sz w:val="21"/>
                <w:szCs w:val="21"/>
                <w:highlight w:val="none"/>
                <w:u w:val="single"/>
              </w:rPr>
              <w:t>0</w:t>
            </w:r>
          </w:p>
        </w:tc>
        <w:tc>
          <w:tcPr>
            <w:tcW w:w="336" w:type="pct"/>
            <w:tcBorders>
              <w:tl2br w:val="nil"/>
              <w:tr2bl w:val="nil"/>
            </w:tcBorders>
            <w:tcMar>
              <w:left w:w="0" w:type="dxa"/>
              <w:right w:w="0" w:type="dxa"/>
            </w:tcMar>
            <w:vAlign w:val="center"/>
          </w:tcPr>
          <w:p w14:paraId="0CB94EE3">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3</w:t>
            </w:r>
            <w:r>
              <w:rPr>
                <w:color w:val="auto"/>
                <w:sz w:val="21"/>
                <w:szCs w:val="21"/>
                <w:highlight w:val="none"/>
                <w:u w:val="single"/>
              </w:rPr>
              <w:t>0</w:t>
            </w:r>
          </w:p>
        </w:tc>
        <w:tc>
          <w:tcPr>
            <w:tcW w:w="347" w:type="pct"/>
            <w:tcBorders>
              <w:tl2br w:val="nil"/>
              <w:tr2bl w:val="nil"/>
            </w:tcBorders>
            <w:vAlign w:val="center"/>
          </w:tcPr>
          <w:p w14:paraId="3C1408D9">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0</w:t>
            </w:r>
          </w:p>
        </w:tc>
        <w:tc>
          <w:tcPr>
            <w:tcW w:w="1860" w:type="pct"/>
            <w:tcBorders>
              <w:tl2br w:val="nil"/>
              <w:tr2bl w:val="nil"/>
            </w:tcBorders>
            <w:vAlign w:val="center"/>
          </w:tcPr>
          <w:p w14:paraId="67A43104">
            <w:pPr>
              <w:tabs>
                <w:tab w:val="left" w:pos="0"/>
              </w:tabs>
              <w:spacing w:line="240" w:lineRule="auto"/>
              <w:ind w:firstLine="0" w:firstLineChars="0"/>
              <w:jc w:val="center"/>
              <w:rPr>
                <w:bCs/>
                <w:color w:val="auto"/>
                <w:sz w:val="21"/>
                <w:szCs w:val="21"/>
                <w:highlight w:val="none"/>
                <w:u w:val="single"/>
              </w:rPr>
            </w:pPr>
            <w:r>
              <w:rPr>
                <w:rFonts w:hint="eastAsia"/>
                <w:color w:val="auto"/>
                <w:sz w:val="21"/>
                <w:szCs w:val="21"/>
                <w:highlight w:val="none"/>
                <w:u w:val="single"/>
              </w:rPr>
              <w:t>回收综合利用</w:t>
            </w:r>
          </w:p>
        </w:tc>
        <w:tc>
          <w:tcPr>
            <w:tcW w:w="216" w:type="pct"/>
            <w:tcBorders>
              <w:tl2br w:val="nil"/>
              <w:tr2bl w:val="nil"/>
            </w:tcBorders>
            <w:vAlign w:val="center"/>
          </w:tcPr>
          <w:p w14:paraId="20F94B89">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1</w:t>
            </w:r>
            <w:r>
              <w:rPr>
                <w:color w:val="auto"/>
                <w:sz w:val="21"/>
                <w:szCs w:val="21"/>
                <w:highlight w:val="none"/>
                <w:u w:val="single"/>
              </w:rPr>
              <w:t>00</w:t>
            </w:r>
          </w:p>
        </w:tc>
        <w:tc>
          <w:tcPr>
            <w:tcW w:w="959" w:type="pct"/>
            <w:vMerge w:val="continue"/>
            <w:tcBorders>
              <w:tl2br w:val="nil"/>
              <w:tr2bl w:val="nil"/>
            </w:tcBorders>
            <w:vAlign w:val="center"/>
          </w:tcPr>
          <w:p w14:paraId="16D37B86">
            <w:pPr>
              <w:spacing w:line="240" w:lineRule="auto"/>
              <w:ind w:firstLine="0" w:firstLineChars="0"/>
              <w:jc w:val="center"/>
              <w:rPr>
                <w:color w:val="auto"/>
                <w:sz w:val="21"/>
                <w:szCs w:val="21"/>
                <w:highlight w:val="none"/>
                <w:u w:val="single"/>
              </w:rPr>
            </w:pPr>
          </w:p>
        </w:tc>
      </w:tr>
      <w:tr w14:paraId="2F3B24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317" w:type="pct"/>
            <w:vMerge w:val="continue"/>
            <w:tcBorders>
              <w:tl2br w:val="nil"/>
              <w:tr2bl w:val="nil"/>
            </w:tcBorders>
            <w:vAlign w:val="center"/>
          </w:tcPr>
          <w:p w14:paraId="25CE137B">
            <w:pPr>
              <w:spacing w:line="240" w:lineRule="auto"/>
              <w:ind w:firstLine="0" w:firstLineChars="0"/>
              <w:jc w:val="center"/>
              <w:rPr>
                <w:color w:val="auto"/>
                <w:sz w:val="21"/>
                <w:szCs w:val="21"/>
                <w:highlight w:val="none"/>
                <w:u w:val="single"/>
              </w:rPr>
            </w:pPr>
          </w:p>
        </w:tc>
        <w:tc>
          <w:tcPr>
            <w:tcW w:w="642" w:type="pct"/>
            <w:gridSpan w:val="2"/>
            <w:tcBorders>
              <w:tl2br w:val="nil"/>
              <w:tr2bl w:val="nil"/>
            </w:tcBorders>
            <w:tcMar>
              <w:left w:w="0" w:type="dxa"/>
              <w:right w:w="0" w:type="dxa"/>
            </w:tcMar>
            <w:vAlign w:val="center"/>
          </w:tcPr>
          <w:p w14:paraId="6DCE2A46">
            <w:pPr>
              <w:spacing w:line="240" w:lineRule="auto"/>
              <w:ind w:firstLine="0" w:firstLineChars="0"/>
              <w:jc w:val="center"/>
              <w:rPr>
                <w:color w:val="auto"/>
                <w:sz w:val="21"/>
                <w:szCs w:val="21"/>
                <w:highlight w:val="none"/>
                <w:u w:val="single"/>
              </w:rPr>
            </w:pPr>
            <w:r>
              <w:rPr>
                <w:color w:val="auto"/>
                <w:sz w:val="21"/>
                <w:szCs w:val="21"/>
                <w:highlight w:val="none"/>
                <w:u w:val="single"/>
              </w:rPr>
              <w:t>船舶附着海生生物</w:t>
            </w:r>
          </w:p>
        </w:tc>
        <w:tc>
          <w:tcPr>
            <w:tcW w:w="319" w:type="pct"/>
            <w:tcBorders>
              <w:tl2br w:val="nil"/>
              <w:tr2bl w:val="nil"/>
            </w:tcBorders>
            <w:vAlign w:val="center"/>
          </w:tcPr>
          <w:p w14:paraId="1938C268">
            <w:pPr>
              <w:spacing w:line="240" w:lineRule="auto"/>
              <w:ind w:firstLine="0" w:firstLineChars="0"/>
              <w:jc w:val="center"/>
              <w:rPr>
                <w:color w:val="auto"/>
                <w:sz w:val="21"/>
                <w:szCs w:val="21"/>
                <w:highlight w:val="none"/>
                <w:u w:val="single"/>
              </w:rPr>
            </w:pPr>
            <w:r>
              <w:rPr>
                <w:color w:val="auto"/>
                <w:sz w:val="21"/>
                <w:szCs w:val="21"/>
                <w:highlight w:val="none"/>
                <w:u w:val="single"/>
              </w:rPr>
              <w:t>80</w:t>
            </w:r>
          </w:p>
        </w:tc>
        <w:tc>
          <w:tcPr>
            <w:tcW w:w="336" w:type="pct"/>
            <w:tcBorders>
              <w:tl2br w:val="nil"/>
              <w:tr2bl w:val="nil"/>
            </w:tcBorders>
            <w:tcMar>
              <w:left w:w="0" w:type="dxa"/>
              <w:right w:w="0" w:type="dxa"/>
            </w:tcMar>
            <w:vAlign w:val="center"/>
          </w:tcPr>
          <w:p w14:paraId="3186D6BD">
            <w:pPr>
              <w:spacing w:line="240" w:lineRule="auto"/>
              <w:ind w:firstLine="0" w:firstLineChars="0"/>
              <w:jc w:val="center"/>
              <w:rPr>
                <w:color w:val="auto"/>
                <w:sz w:val="21"/>
                <w:szCs w:val="21"/>
                <w:highlight w:val="none"/>
                <w:u w:val="single"/>
              </w:rPr>
            </w:pPr>
            <w:r>
              <w:rPr>
                <w:color w:val="auto"/>
                <w:sz w:val="21"/>
                <w:szCs w:val="21"/>
                <w:highlight w:val="none"/>
                <w:u w:val="single"/>
              </w:rPr>
              <w:t>80</w:t>
            </w:r>
          </w:p>
        </w:tc>
        <w:tc>
          <w:tcPr>
            <w:tcW w:w="347" w:type="pct"/>
            <w:tcBorders>
              <w:tl2br w:val="nil"/>
              <w:tr2bl w:val="nil"/>
            </w:tcBorders>
            <w:vAlign w:val="center"/>
          </w:tcPr>
          <w:p w14:paraId="1CE8EB07">
            <w:pPr>
              <w:spacing w:line="240" w:lineRule="auto"/>
              <w:ind w:firstLine="0" w:firstLineChars="0"/>
              <w:jc w:val="center"/>
              <w:rPr>
                <w:color w:val="auto"/>
                <w:sz w:val="21"/>
                <w:szCs w:val="21"/>
                <w:highlight w:val="none"/>
                <w:u w:val="single"/>
              </w:rPr>
            </w:pPr>
            <w:r>
              <w:rPr>
                <w:color w:val="auto"/>
                <w:sz w:val="21"/>
                <w:szCs w:val="21"/>
                <w:highlight w:val="none"/>
                <w:u w:val="single"/>
              </w:rPr>
              <w:t>0</w:t>
            </w:r>
          </w:p>
        </w:tc>
        <w:tc>
          <w:tcPr>
            <w:tcW w:w="1860" w:type="pct"/>
            <w:vMerge w:val="restart"/>
            <w:tcBorders>
              <w:tl2br w:val="nil"/>
              <w:tr2bl w:val="nil"/>
            </w:tcBorders>
            <w:tcMar>
              <w:left w:w="0" w:type="dxa"/>
              <w:right w:w="0" w:type="dxa"/>
            </w:tcMar>
            <w:vAlign w:val="center"/>
          </w:tcPr>
          <w:p w14:paraId="2E8D2145">
            <w:pPr>
              <w:overflowPunct w:val="0"/>
              <w:autoSpaceDE w:val="0"/>
              <w:autoSpaceDN w:val="0"/>
              <w:spacing w:line="240" w:lineRule="auto"/>
              <w:ind w:firstLine="0" w:firstLineChars="0"/>
              <w:textAlignment w:val="bottom"/>
              <w:rPr>
                <w:bCs/>
                <w:color w:val="auto"/>
                <w:sz w:val="21"/>
                <w:szCs w:val="21"/>
                <w:highlight w:val="none"/>
                <w:u w:val="single"/>
              </w:rPr>
            </w:pPr>
            <w:r>
              <w:rPr>
                <w:color w:val="auto"/>
                <w:sz w:val="21"/>
                <w:szCs w:val="21"/>
                <w:highlight w:val="none"/>
                <w:u w:val="single"/>
              </w:rPr>
              <w:t>集中堆放，由环卫部门统一处理（部分为国外船舶生活垃圾，属特殊固废，经海事、港监部门消毒灭活处理检验后按一般固废处置要求处置）</w:t>
            </w:r>
          </w:p>
        </w:tc>
        <w:tc>
          <w:tcPr>
            <w:tcW w:w="216" w:type="pct"/>
            <w:tcBorders>
              <w:tl2br w:val="nil"/>
              <w:tr2bl w:val="nil"/>
            </w:tcBorders>
            <w:vAlign w:val="center"/>
          </w:tcPr>
          <w:p w14:paraId="7742109B">
            <w:pPr>
              <w:spacing w:line="240" w:lineRule="auto"/>
              <w:ind w:firstLine="0" w:firstLineChars="0"/>
              <w:jc w:val="center"/>
              <w:rPr>
                <w:color w:val="auto"/>
                <w:sz w:val="21"/>
                <w:szCs w:val="21"/>
                <w:highlight w:val="none"/>
                <w:u w:val="single"/>
              </w:rPr>
            </w:pPr>
            <w:r>
              <w:rPr>
                <w:color w:val="auto"/>
                <w:sz w:val="21"/>
                <w:szCs w:val="21"/>
                <w:highlight w:val="none"/>
                <w:u w:val="single"/>
              </w:rPr>
              <w:t>100</w:t>
            </w:r>
          </w:p>
        </w:tc>
        <w:tc>
          <w:tcPr>
            <w:tcW w:w="959" w:type="pct"/>
            <w:vMerge w:val="continue"/>
            <w:tcBorders>
              <w:tl2br w:val="nil"/>
              <w:tr2bl w:val="nil"/>
            </w:tcBorders>
            <w:vAlign w:val="center"/>
          </w:tcPr>
          <w:p w14:paraId="3C840185">
            <w:pPr>
              <w:spacing w:line="240" w:lineRule="auto"/>
              <w:ind w:firstLine="0" w:firstLineChars="0"/>
              <w:jc w:val="center"/>
              <w:rPr>
                <w:color w:val="auto"/>
                <w:sz w:val="21"/>
                <w:szCs w:val="21"/>
                <w:highlight w:val="none"/>
                <w:u w:val="single"/>
              </w:rPr>
            </w:pPr>
          </w:p>
        </w:tc>
      </w:tr>
      <w:tr w14:paraId="2B5807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jc w:val="center"/>
        </w:trPr>
        <w:tc>
          <w:tcPr>
            <w:tcW w:w="317" w:type="pct"/>
            <w:vMerge w:val="continue"/>
            <w:tcBorders>
              <w:tl2br w:val="nil"/>
              <w:tr2bl w:val="nil"/>
            </w:tcBorders>
            <w:vAlign w:val="center"/>
          </w:tcPr>
          <w:p w14:paraId="0B01C1B9">
            <w:pPr>
              <w:spacing w:line="240" w:lineRule="auto"/>
              <w:ind w:firstLine="0" w:firstLineChars="0"/>
              <w:jc w:val="center"/>
              <w:rPr>
                <w:color w:val="auto"/>
                <w:sz w:val="21"/>
                <w:szCs w:val="21"/>
                <w:highlight w:val="none"/>
                <w:u w:val="single"/>
              </w:rPr>
            </w:pPr>
          </w:p>
        </w:tc>
        <w:tc>
          <w:tcPr>
            <w:tcW w:w="642" w:type="pct"/>
            <w:gridSpan w:val="2"/>
            <w:tcBorders>
              <w:tl2br w:val="nil"/>
              <w:tr2bl w:val="nil"/>
            </w:tcBorders>
            <w:tcMar>
              <w:left w:w="0" w:type="dxa"/>
              <w:right w:w="0" w:type="dxa"/>
            </w:tcMar>
            <w:vAlign w:val="center"/>
          </w:tcPr>
          <w:p w14:paraId="5D7199B7">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初期雨水沉渣</w:t>
            </w:r>
          </w:p>
        </w:tc>
        <w:tc>
          <w:tcPr>
            <w:tcW w:w="319" w:type="pct"/>
            <w:tcBorders>
              <w:tl2br w:val="nil"/>
              <w:tr2bl w:val="nil"/>
            </w:tcBorders>
            <w:vAlign w:val="center"/>
          </w:tcPr>
          <w:p w14:paraId="6A22F491">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2</w:t>
            </w:r>
            <w:r>
              <w:rPr>
                <w:color w:val="auto"/>
                <w:sz w:val="21"/>
                <w:szCs w:val="21"/>
                <w:highlight w:val="none"/>
                <w:u w:val="single"/>
              </w:rPr>
              <w:t>2.5kg/</w:t>
            </w:r>
            <w:r>
              <w:rPr>
                <w:rFonts w:hint="eastAsia"/>
                <w:color w:val="auto"/>
                <w:sz w:val="21"/>
                <w:szCs w:val="21"/>
                <w:highlight w:val="none"/>
                <w:u w:val="single"/>
              </w:rPr>
              <w:t>次</w:t>
            </w:r>
          </w:p>
        </w:tc>
        <w:tc>
          <w:tcPr>
            <w:tcW w:w="336" w:type="pct"/>
            <w:tcBorders>
              <w:tl2br w:val="nil"/>
              <w:tr2bl w:val="nil"/>
            </w:tcBorders>
            <w:tcMar>
              <w:left w:w="0" w:type="dxa"/>
              <w:right w:w="0" w:type="dxa"/>
            </w:tcMar>
            <w:vAlign w:val="center"/>
          </w:tcPr>
          <w:p w14:paraId="5A0D5EE0">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2</w:t>
            </w:r>
            <w:r>
              <w:rPr>
                <w:color w:val="auto"/>
                <w:sz w:val="21"/>
                <w:szCs w:val="21"/>
                <w:highlight w:val="none"/>
                <w:u w:val="single"/>
              </w:rPr>
              <w:t>2.5kg/</w:t>
            </w:r>
            <w:r>
              <w:rPr>
                <w:rFonts w:hint="eastAsia"/>
                <w:color w:val="auto"/>
                <w:sz w:val="21"/>
                <w:szCs w:val="21"/>
                <w:highlight w:val="none"/>
                <w:u w:val="single"/>
              </w:rPr>
              <w:t>次</w:t>
            </w:r>
          </w:p>
        </w:tc>
        <w:tc>
          <w:tcPr>
            <w:tcW w:w="347" w:type="pct"/>
            <w:tcBorders>
              <w:tl2br w:val="nil"/>
              <w:tr2bl w:val="nil"/>
            </w:tcBorders>
            <w:vAlign w:val="center"/>
          </w:tcPr>
          <w:p w14:paraId="4DFDAF69">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0</w:t>
            </w:r>
          </w:p>
        </w:tc>
        <w:tc>
          <w:tcPr>
            <w:tcW w:w="1860" w:type="pct"/>
            <w:vMerge w:val="continue"/>
            <w:tcBorders>
              <w:tl2br w:val="nil"/>
              <w:tr2bl w:val="nil"/>
            </w:tcBorders>
            <w:tcMar>
              <w:left w:w="0" w:type="dxa"/>
              <w:right w:w="0" w:type="dxa"/>
            </w:tcMar>
            <w:vAlign w:val="center"/>
          </w:tcPr>
          <w:p w14:paraId="183F2889">
            <w:pPr>
              <w:overflowPunct w:val="0"/>
              <w:autoSpaceDE w:val="0"/>
              <w:autoSpaceDN w:val="0"/>
              <w:spacing w:line="240" w:lineRule="auto"/>
              <w:ind w:firstLine="0" w:firstLineChars="0"/>
              <w:textAlignment w:val="bottom"/>
              <w:rPr>
                <w:color w:val="auto"/>
                <w:sz w:val="21"/>
                <w:szCs w:val="21"/>
                <w:highlight w:val="none"/>
                <w:u w:val="single"/>
              </w:rPr>
            </w:pPr>
          </w:p>
        </w:tc>
        <w:tc>
          <w:tcPr>
            <w:tcW w:w="216" w:type="pct"/>
            <w:tcBorders>
              <w:tl2br w:val="nil"/>
              <w:tr2bl w:val="nil"/>
            </w:tcBorders>
            <w:vAlign w:val="center"/>
          </w:tcPr>
          <w:p w14:paraId="4A02DDFF">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1</w:t>
            </w:r>
            <w:r>
              <w:rPr>
                <w:color w:val="auto"/>
                <w:sz w:val="21"/>
                <w:szCs w:val="21"/>
                <w:highlight w:val="none"/>
                <w:u w:val="single"/>
              </w:rPr>
              <w:t>00</w:t>
            </w:r>
          </w:p>
        </w:tc>
        <w:tc>
          <w:tcPr>
            <w:tcW w:w="959" w:type="pct"/>
            <w:vMerge w:val="continue"/>
            <w:tcBorders>
              <w:tl2br w:val="nil"/>
              <w:tr2bl w:val="nil"/>
            </w:tcBorders>
            <w:vAlign w:val="center"/>
          </w:tcPr>
          <w:p w14:paraId="6B0B4B63">
            <w:pPr>
              <w:spacing w:line="240" w:lineRule="auto"/>
              <w:ind w:firstLine="0" w:firstLineChars="0"/>
              <w:jc w:val="center"/>
              <w:rPr>
                <w:color w:val="auto"/>
                <w:sz w:val="21"/>
                <w:szCs w:val="21"/>
                <w:highlight w:val="none"/>
                <w:u w:val="single"/>
              </w:rPr>
            </w:pPr>
          </w:p>
        </w:tc>
      </w:tr>
      <w:tr w14:paraId="4E65B9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jc w:val="center"/>
        </w:trPr>
        <w:tc>
          <w:tcPr>
            <w:tcW w:w="317" w:type="pct"/>
            <w:vMerge w:val="continue"/>
            <w:tcBorders>
              <w:tl2br w:val="nil"/>
              <w:tr2bl w:val="nil"/>
            </w:tcBorders>
            <w:vAlign w:val="center"/>
          </w:tcPr>
          <w:p w14:paraId="6B1D1C5E">
            <w:pPr>
              <w:spacing w:line="240" w:lineRule="auto"/>
              <w:ind w:firstLine="0" w:firstLineChars="0"/>
              <w:jc w:val="center"/>
              <w:rPr>
                <w:color w:val="auto"/>
                <w:sz w:val="21"/>
                <w:szCs w:val="21"/>
                <w:highlight w:val="none"/>
                <w:u w:val="single"/>
              </w:rPr>
            </w:pPr>
          </w:p>
        </w:tc>
        <w:tc>
          <w:tcPr>
            <w:tcW w:w="642" w:type="pct"/>
            <w:gridSpan w:val="2"/>
            <w:tcBorders>
              <w:tl2br w:val="nil"/>
              <w:tr2bl w:val="nil"/>
            </w:tcBorders>
            <w:tcMar>
              <w:left w:w="0" w:type="dxa"/>
              <w:right w:w="0" w:type="dxa"/>
            </w:tcMar>
            <w:vAlign w:val="center"/>
          </w:tcPr>
          <w:p w14:paraId="56D6249A">
            <w:pPr>
              <w:spacing w:line="240" w:lineRule="auto"/>
              <w:ind w:firstLine="0" w:firstLineChars="0"/>
              <w:jc w:val="center"/>
              <w:rPr>
                <w:color w:val="auto"/>
                <w:sz w:val="21"/>
                <w:szCs w:val="21"/>
                <w:highlight w:val="none"/>
                <w:u w:val="single"/>
              </w:rPr>
            </w:pPr>
            <w:r>
              <w:rPr>
                <w:color w:val="auto"/>
                <w:sz w:val="21"/>
                <w:szCs w:val="21"/>
                <w:highlight w:val="none"/>
                <w:u w:val="single"/>
              </w:rPr>
              <w:t>职工生活垃圾</w:t>
            </w:r>
          </w:p>
        </w:tc>
        <w:tc>
          <w:tcPr>
            <w:tcW w:w="319" w:type="pct"/>
            <w:tcBorders>
              <w:tl2br w:val="nil"/>
              <w:tr2bl w:val="nil"/>
            </w:tcBorders>
            <w:vAlign w:val="center"/>
          </w:tcPr>
          <w:p w14:paraId="70471BDB">
            <w:pPr>
              <w:spacing w:line="240" w:lineRule="auto"/>
              <w:ind w:firstLine="0" w:firstLineChars="0"/>
              <w:jc w:val="center"/>
              <w:rPr>
                <w:color w:val="auto"/>
                <w:sz w:val="21"/>
                <w:szCs w:val="21"/>
                <w:highlight w:val="none"/>
                <w:u w:val="single"/>
              </w:rPr>
            </w:pPr>
            <w:r>
              <w:rPr>
                <w:color w:val="auto"/>
                <w:sz w:val="21"/>
                <w:szCs w:val="21"/>
                <w:highlight w:val="none"/>
                <w:u w:val="single"/>
              </w:rPr>
              <w:t>37.5</w:t>
            </w:r>
          </w:p>
        </w:tc>
        <w:tc>
          <w:tcPr>
            <w:tcW w:w="336" w:type="pct"/>
            <w:tcBorders>
              <w:tl2br w:val="nil"/>
              <w:tr2bl w:val="nil"/>
            </w:tcBorders>
            <w:tcMar>
              <w:left w:w="0" w:type="dxa"/>
              <w:right w:w="0" w:type="dxa"/>
            </w:tcMar>
            <w:vAlign w:val="center"/>
          </w:tcPr>
          <w:p w14:paraId="7304A0AF">
            <w:pPr>
              <w:spacing w:line="240" w:lineRule="auto"/>
              <w:ind w:firstLine="0" w:firstLineChars="0"/>
              <w:jc w:val="center"/>
              <w:rPr>
                <w:color w:val="auto"/>
                <w:sz w:val="21"/>
                <w:szCs w:val="21"/>
                <w:highlight w:val="none"/>
                <w:u w:val="single"/>
              </w:rPr>
            </w:pPr>
            <w:r>
              <w:rPr>
                <w:color w:val="auto"/>
                <w:sz w:val="21"/>
                <w:szCs w:val="21"/>
                <w:highlight w:val="none"/>
                <w:u w:val="single"/>
              </w:rPr>
              <w:t>37.5</w:t>
            </w:r>
          </w:p>
        </w:tc>
        <w:tc>
          <w:tcPr>
            <w:tcW w:w="347" w:type="pct"/>
            <w:tcBorders>
              <w:tl2br w:val="nil"/>
              <w:tr2bl w:val="nil"/>
            </w:tcBorders>
            <w:vAlign w:val="center"/>
          </w:tcPr>
          <w:p w14:paraId="13954ACB">
            <w:pPr>
              <w:spacing w:line="240" w:lineRule="auto"/>
              <w:ind w:firstLine="0" w:firstLineChars="0"/>
              <w:jc w:val="center"/>
              <w:rPr>
                <w:color w:val="auto"/>
                <w:sz w:val="21"/>
                <w:szCs w:val="21"/>
                <w:highlight w:val="none"/>
                <w:u w:val="single"/>
              </w:rPr>
            </w:pPr>
            <w:r>
              <w:rPr>
                <w:color w:val="auto"/>
                <w:sz w:val="21"/>
                <w:szCs w:val="21"/>
                <w:highlight w:val="none"/>
                <w:u w:val="single"/>
              </w:rPr>
              <w:t>0</w:t>
            </w:r>
          </w:p>
        </w:tc>
        <w:tc>
          <w:tcPr>
            <w:tcW w:w="1860" w:type="pct"/>
            <w:vMerge w:val="continue"/>
            <w:tcBorders>
              <w:tl2br w:val="nil"/>
              <w:tr2bl w:val="nil"/>
            </w:tcBorders>
            <w:tcMar>
              <w:left w:w="0" w:type="dxa"/>
              <w:right w:w="0" w:type="dxa"/>
            </w:tcMar>
            <w:vAlign w:val="center"/>
          </w:tcPr>
          <w:p w14:paraId="616312E7">
            <w:pPr>
              <w:tabs>
                <w:tab w:val="left" w:pos="0"/>
              </w:tabs>
              <w:spacing w:line="240" w:lineRule="auto"/>
              <w:ind w:firstLine="0" w:firstLineChars="0"/>
              <w:jc w:val="center"/>
              <w:rPr>
                <w:bCs/>
                <w:color w:val="auto"/>
                <w:sz w:val="21"/>
                <w:szCs w:val="21"/>
                <w:highlight w:val="none"/>
                <w:u w:val="single"/>
              </w:rPr>
            </w:pPr>
          </w:p>
        </w:tc>
        <w:tc>
          <w:tcPr>
            <w:tcW w:w="216" w:type="pct"/>
            <w:tcBorders>
              <w:tl2br w:val="nil"/>
              <w:tr2bl w:val="nil"/>
            </w:tcBorders>
            <w:vAlign w:val="center"/>
          </w:tcPr>
          <w:p w14:paraId="30D91ADC">
            <w:pPr>
              <w:spacing w:line="240" w:lineRule="auto"/>
              <w:ind w:firstLine="0" w:firstLineChars="0"/>
              <w:jc w:val="center"/>
              <w:rPr>
                <w:color w:val="auto"/>
                <w:sz w:val="21"/>
                <w:szCs w:val="21"/>
                <w:highlight w:val="none"/>
                <w:u w:val="single"/>
              </w:rPr>
            </w:pPr>
            <w:r>
              <w:rPr>
                <w:color w:val="auto"/>
                <w:sz w:val="21"/>
                <w:szCs w:val="21"/>
                <w:highlight w:val="none"/>
                <w:u w:val="single"/>
              </w:rPr>
              <w:t>100</w:t>
            </w:r>
          </w:p>
        </w:tc>
        <w:tc>
          <w:tcPr>
            <w:tcW w:w="959" w:type="pct"/>
            <w:vMerge w:val="continue"/>
            <w:tcBorders>
              <w:tl2br w:val="nil"/>
              <w:tr2bl w:val="nil"/>
            </w:tcBorders>
            <w:vAlign w:val="center"/>
          </w:tcPr>
          <w:p w14:paraId="13E835D4">
            <w:pPr>
              <w:spacing w:line="240" w:lineRule="auto"/>
              <w:ind w:firstLine="0" w:firstLineChars="0"/>
              <w:jc w:val="center"/>
              <w:rPr>
                <w:color w:val="auto"/>
                <w:sz w:val="21"/>
                <w:szCs w:val="21"/>
                <w:highlight w:val="none"/>
                <w:u w:val="single"/>
              </w:rPr>
            </w:pPr>
          </w:p>
        </w:tc>
      </w:tr>
      <w:tr w14:paraId="013F57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jc w:val="center"/>
        </w:trPr>
        <w:tc>
          <w:tcPr>
            <w:tcW w:w="317" w:type="pct"/>
            <w:vMerge w:val="continue"/>
            <w:tcBorders>
              <w:tl2br w:val="nil"/>
              <w:tr2bl w:val="nil"/>
            </w:tcBorders>
            <w:vAlign w:val="center"/>
          </w:tcPr>
          <w:p w14:paraId="2F8CC851">
            <w:pPr>
              <w:spacing w:line="240" w:lineRule="auto"/>
              <w:ind w:firstLine="0" w:firstLineChars="0"/>
              <w:jc w:val="center"/>
              <w:rPr>
                <w:color w:val="auto"/>
                <w:sz w:val="21"/>
                <w:szCs w:val="21"/>
                <w:highlight w:val="none"/>
                <w:u w:val="single"/>
              </w:rPr>
            </w:pPr>
          </w:p>
        </w:tc>
        <w:tc>
          <w:tcPr>
            <w:tcW w:w="642" w:type="pct"/>
            <w:gridSpan w:val="2"/>
            <w:tcBorders>
              <w:tl2br w:val="nil"/>
              <w:tr2bl w:val="nil"/>
            </w:tcBorders>
            <w:tcMar>
              <w:left w:w="0" w:type="dxa"/>
              <w:right w:w="0" w:type="dxa"/>
            </w:tcMar>
            <w:vAlign w:val="center"/>
          </w:tcPr>
          <w:p w14:paraId="46EDA0B2">
            <w:pPr>
              <w:spacing w:line="240" w:lineRule="auto"/>
              <w:ind w:firstLine="0" w:firstLineChars="0"/>
              <w:jc w:val="center"/>
              <w:rPr>
                <w:color w:val="auto"/>
                <w:sz w:val="21"/>
                <w:szCs w:val="21"/>
                <w:highlight w:val="none"/>
                <w:u w:val="single"/>
              </w:rPr>
            </w:pPr>
            <w:r>
              <w:rPr>
                <w:color w:val="auto"/>
                <w:sz w:val="21"/>
                <w:szCs w:val="21"/>
                <w:highlight w:val="none"/>
                <w:u w:val="single"/>
              </w:rPr>
              <w:t>船员生活垃圾</w:t>
            </w:r>
          </w:p>
        </w:tc>
        <w:tc>
          <w:tcPr>
            <w:tcW w:w="319" w:type="pct"/>
            <w:tcBorders>
              <w:tl2br w:val="nil"/>
              <w:tr2bl w:val="nil"/>
            </w:tcBorders>
            <w:vAlign w:val="center"/>
          </w:tcPr>
          <w:p w14:paraId="253A9B44">
            <w:pPr>
              <w:spacing w:line="240" w:lineRule="auto"/>
              <w:ind w:firstLine="0" w:firstLineChars="0"/>
              <w:jc w:val="center"/>
              <w:rPr>
                <w:color w:val="auto"/>
                <w:sz w:val="21"/>
                <w:szCs w:val="21"/>
                <w:highlight w:val="none"/>
                <w:u w:val="single"/>
              </w:rPr>
            </w:pPr>
            <w:r>
              <w:rPr>
                <w:color w:val="auto"/>
                <w:sz w:val="21"/>
                <w:szCs w:val="21"/>
                <w:highlight w:val="none"/>
                <w:u w:val="single"/>
              </w:rPr>
              <w:t>9</w:t>
            </w:r>
          </w:p>
        </w:tc>
        <w:tc>
          <w:tcPr>
            <w:tcW w:w="336" w:type="pct"/>
            <w:tcBorders>
              <w:tl2br w:val="nil"/>
              <w:tr2bl w:val="nil"/>
            </w:tcBorders>
            <w:tcMar>
              <w:left w:w="0" w:type="dxa"/>
              <w:right w:w="0" w:type="dxa"/>
            </w:tcMar>
            <w:vAlign w:val="center"/>
          </w:tcPr>
          <w:p w14:paraId="546347EF">
            <w:pPr>
              <w:spacing w:line="240" w:lineRule="auto"/>
              <w:ind w:firstLine="0" w:firstLineChars="0"/>
              <w:jc w:val="center"/>
              <w:rPr>
                <w:color w:val="auto"/>
                <w:sz w:val="21"/>
                <w:szCs w:val="21"/>
                <w:highlight w:val="none"/>
                <w:u w:val="single"/>
              </w:rPr>
            </w:pPr>
            <w:r>
              <w:rPr>
                <w:color w:val="auto"/>
                <w:sz w:val="21"/>
                <w:szCs w:val="21"/>
                <w:highlight w:val="none"/>
                <w:u w:val="single"/>
              </w:rPr>
              <w:t>9</w:t>
            </w:r>
          </w:p>
        </w:tc>
        <w:tc>
          <w:tcPr>
            <w:tcW w:w="347" w:type="pct"/>
            <w:tcBorders>
              <w:tl2br w:val="nil"/>
              <w:tr2bl w:val="nil"/>
            </w:tcBorders>
            <w:vAlign w:val="center"/>
          </w:tcPr>
          <w:p w14:paraId="7FCB798E">
            <w:pPr>
              <w:spacing w:line="240" w:lineRule="auto"/>
              <w:ind w:firstLine="0" w:firstLineChars="0"/>
              <w:jc w:val="center"/>
              <w:rPr>
                <w:color w:val="auto"/>
                <w:sz w:val="21"/>
                <w:szCs w:val="21"/>
                <w:highlight w:val="none"/>
                <w:u w:val="single"/>
              </w:rPr>
            </w:pPr>
            <w:r>
              <w:rPr>
                <w:color w:val="auto"/>
                <w:sz w:val="21"/>
                <w:szCs w:val="21"/>
                <w:highlight w:val="none"/>
                <w:u w:val="single"/>
              </w:rPr>
              <w:t>0</w:t>
            </w:r>
          </w:p>
        </w:tc>
        <w:tc>
          <w:tcPr>
            <w:tcW w:w="1860" w:type="pct"/>
            <w:vMerge w:val="continue"/>
            <w:tcBorders>
              <w:tl2br w:val="nil"/>
              <w:tr2bl w:val="nil"/>
            </w:tcBorders>
            <w:tcMar>
              <w:left w:w="0" w:type="dxa"/>
              <w:right w:w="0" w:type="dxa"/>
            </w:tcMar>
            <w:vAlign w:val="center"/>
          </w:tcPr>
          <w:p w14:paraId="3C0345B5">
            <w:pPr>
              <w:tabs>
                <w:tab w:val="left" w:pos="0"/>
              </w:tabs>
              <w:spacing w:line="240" w:lineRule="auto"/>
              <w:ind w:firstLine="0" w:firstLineChars="0"/>
              <w:jc w:val="center"/>
              <w:rPr>
                <w:bCs/>
                <w:color w:val="auto"/>
                <w:sz w:val="21"/>
                <w:szCs w:val="21"/>
                <w:highlight w:val="none"/>
                <w:u w:val="single"/>
              </w:rPr>
            </w:pPr>
          </w:p>
        </w:tc>
        <w:tc>
          <w:tcPr>
            <w:tcW w:w="216" w:type="pct"/>
            <w:tcBorders>
              <w:tl2br w:val="nil"/>
              <w:tr2bl w:val="nil"/>
            </w:tcBorders>
            <w:vAlign w:val="center"/>
          </w:tcPr>
          <w:p w14:paraId="6495F3D0">
            <w:pPr>
              <w:spacing w:line="240" w:lineRule="auto"/>
              <w:ind w:firstLine="0" w:firstLineChars="0"/>
              <w:jc w:val="center"/>
              <w:rPr>
                <w:color w:val="auto"/>
                <w:sz w:val="21"/>
                <w:szCs w:val="21"/>
                <w:highlight w:val="none"/>
                <w:u w:val="single"/>
              </w:rPr>
            </w:pPr>
            <w:r>
              <w:rPr>
                <w:color w:val="auto"/>
                <w:sz w:val="21"/>
                <w:szCs w:val="21"/>
                <w:highlight w:val="none"/>
                <w:u w:val="single"/>
              </w:rPr>
              <w:t>100</w:t>
            </w:r>
          </w:p>
        </w:tc>
        <w:tc>
          <w:tcPr>
            <w:tcW w:w="959" w:type="pct"/>
            <w:vMerge w:val="continue"/>
            <w:tcBorders>
              <w:tl2br w:val="nil"/>
              <w:tr2bl w:val="nil"/>
            </w:tcBorders>
            <w:vAlign w:val="center"/>
          </w:tcPr>
          <w:p w14:paraId="67B76234">
            <w:pPr>
              <w:spacing w:line="240" w:lineRule="auto"/>
              <w:ind w:firstLine="0" w:firstLineChars="0"/>
              <w:jc w:val="center"/>
              <w:rPr>
                <w:color w:val="auto"/>
                <w:sz w:val="21"/>
                <w:szCs w:val="21"/>
                <w:highlight w:val="none"/>
                <w:u w:val="single"/>
              </w:rPr>
            </w:pPr>
          </w:p>
        </w:tc>
      </w:tr>
      <w:tr w14:paraId="7770CA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jc w:val="center"/>
        </w:trPr>
        <w:tc>
          <w:tcPr>
            <w:tcW w:w="317" w:type="pct"/>
            <w:vMerge w:val="restart"/>
            <w:tcBorders>
              <w:tl2br w:val="nil"/>
              <w:tr2bl w:val="nil"/>
            </w:tcBorders>
            <w:vAlign w:val="center"/>
          </w:tcPr>
          <w:p w14:paraId="760AF2ED">
            <w:pPr>
              <w:spacing w:line="240" w:lineRule="auto"/>
              <w:ind w:firstLine="0" w:firstLineChars="0"/>
              <w:jc w:val="center"/>
              <w:rPr>
                <w:color w:val="auto"/>
                <w:sz w:val="21"/>
                <w:szCs w:val="21"/>
                <w:highlight w:val="none"/>
                <w:u w:val="single"/>
              </w:rPr>
            </w:pPr>
            <w:r>
              <w:rPr>
                <w:color w:val="auto"/>
                <w:sz w:val="21"/>
                <w:szCs w:val="21"/>
                <w:highlight w:val="none"/>
                <w:u w:val="single"/>
              </w:rPr>
              <w:t>危险废物</w:t>
            </w:r>
          </w:p>
        </w:tc>
        <w:tc>
          <w:tcPr>
            <w:tcW w:w="642" w:type="pct"/>
            <w:gridSpan w:val="2"/>
            <w:tcBorders>
              <w:tl2br w:val="nil"/>
              <w:tr2bl w:val="nil"/>
            </w:tcBorders>
            <w:tcMar>
              <w:left w:w="0" w:type="dxa"/>
              <w:right w:w="0" w:type="dxa"/>
            </w:tcMar>
            <w:vAlign w:val="center"/>
          </w:tcPr>
          <w:p w14:paraId="1D165C9F">
            <w:pPr>
              <w:spacing w:line="240" w:lineRule="auto"/>
              <w:ind w:firstLine="0" w:firstLineChars="0"/>
              <w:jc w:val="center"/>
              <w:rPr>
                <w:color w:val="auto"/>
                <w:sz w:val="21"/>
                <w:szCs w:val="21"/>
                <w:highlight w:val="none"/>
                <w:u w:val="single"/>
              </w:rPr>
            </w:pPr>
            <w:r>
              <w:rPr>
                <w:color w:val="auto"/>
                <w:sz w:val="21"/>
                <w:szCs w:val="21"/>
                <w:highlight w:val="none"/>
                <w:u w:val="single"/>
              </w:rPr>
              <w:t>船舶废油</w:t>
            </w:r>
          </w:p>
        </w:tc>
        <w:tc>
          <w:tcPr>
            <w:tcW w:w="319" w:type="pct"/>
            <w:tcBorders>
              <w:tl2br w:val="nil"/>
              <w:tr2bl w:val="nil"/>
            </w:tcBorders>
            <w:vAlign w:val="center"/>
          </w:tcPr>
          <w:p w14:paraId="7DEBFBC7">
            <w:pPr>
              <w:spacing w:line="240" w:lineRule="auto"/>
              <w:ind w:firstLine="0" w:firstLineChars="0"/>
              <w:jc w:val="center"/>
              <w:rPr>
                <w:color w:val="auto"/>
                <w:sz w:val="21"/>
                <w:szCs w:val="21"/>
                <w:highlight w:val="none"/>
                <w:u w:val="single"/>
              </w:rPr>
            </w:pPr>
            <w:r>
              <w:rPr>
                <w:color w:val="auto"/>
                <w:sz w:val="21"/>
                <w:szCs w:val="21"/>
                <w:highlight w:val="none"/>
                <w:u w:val="single"/>
              </w:rPr>
              <w:t>90</w:t>
            </w:r>
          </w:p>
        </w:tc>
        <w:tc>
          <w:tcPr>
            <w:tcW w:w="336" w:type="pct"/>
            <w:tcBorders>
              <w:tl2br w:val="nil"/>
              <w:tr2bl w:val="nil"/>
            </w:tcBorders>
            <w:tcMar>
              <w:left w:w="0" w:type="dxa"/>
              <w:right w:w="0" w:type="dxa"/>
            </w:tcMar>
            <w:vAlign w:val="center"/>
          </w:tcPr>
          <w:p w14:paraId="6126EE16">
            <w:pPr>
              <w:spacing w:line="240" w:lineRule="auto"/>
              <w:ind w:firstLine="0" w:firstLineChars="0"/>
              <w:jc w:val="center"/>
              <w:rPr>
                <w:color w:val="auto"/>
                <w:sz w:val="21"/>
                <w:szCs w:val="21"/>
                <w:highlight w:val="none"/>
                <w:u w:val="single"/>
              </w:rPr>
            </w:pPr>
            <w:r>
              <w:rPr>
                <w:color w:val="auto"/>
                <w:sz w:val="21"/>
                <w:szCs w:val="21"/>
                <w:highlight w:val="none"/>
                <w:u w:val="single"/>
              </w:rPr>
              <w:t>90</w:t>
            </w:r>
          </w:p>
        </w:tc>
        <w:tc>
          <w:tcPr>
            <w:tcW w:w="347" w:type="pct"/>
            <w:tcBorders>
              <w:tl2br w:val="nil"/>
              <w:tr2bl w:val="nil"/>
            </w:tcBorders>
            <w:vAlign w:val="center"/>
          </w:tcPr>
          <w:p w14:paraId="2D88B84E">
            <w:pPr>
              <w:spacing w:line="240" w:lineRule="auto"/>
              <w:ind w:firstLine="0" w:firstLineChars="0"/>
              <w:jc w:val="center"/>
              <w:rPr>
                <w:color w:val="auto"/>
                <w:sz w:val="21"/>
                <w:szCs w:val="21"/>
                <w:highlight w:val="none"/>
                <w:u w:val="single"/>
              </w:rPr>
            </w:pPr>
            <w:r>
              <w:rPr>
                <w:color w:val="auto"/>
                <w:sz w:val="21"/>
                <w:szCs w:val="21"/>
                <w:highlight w:val="none"/>
                <w:u w:val="single"/>
              </w:rPr>
              <w:t>0</w:t>
            </w:r>
          </w:p>
        </w:tc>
        <w:tc>
          <w:tcPr>
            <w:tcW w:w="1860" w:type="pct"/>
            <w:vMerge w:val="restart"/>
            <w:tcBorders>
              <w:tl2br w:val="nil"/>
              <w:tr2bl w:val="nil"/>
            </w:tcBorders>
            <w:tcMar>
              <w:left w:w="0" w:type="dxa"/>
              <w:right w:w="0" w:type="dxa"/>
            </w:tcMar>
            <w:vAlign w:val="center"/>
          </w:tcPr>
          <w:p w14:paraId="71135AE7">
            <w:pPr>
              <w:tabs>
                <w:tab w:val="left" w:pos="0"/>
              </w:tabs>
              <w:spacing w:line="240" w:lineRule="auto"/>
              <w:ind w:firstLine="0" w:firstLineChars="0"/>
              <w:jc w:val="center"/>
              <w:rPr>
                <w:bCs/>
                <w:color w:val="auto"/>
                <w:sz w:val="21"/>
                <w:szCs w:val="21"/>
                <w:highlight w:val="none"/>
                <w:u w:val="single"/>
              </w:rPr>
            </w:pPr>
            <w:r>
              <w:rPr>
                <w:color w:val="auto"/>
                <w:sz w:val="21"/>
                <w:szCs w:val="21"/>
                <w:highlight w:val="none"/>
                <w:u w:val="single"/>
              </w:rPr>
              <w:t>在危废间分类暂存，定期由中标单位（</w:t>
            </w:r>
            <w:r>
              <w:rPr>
                <w:rFonts w:hint="eastAsia"/>
                <w:color w:val="auto"/>
                <w:sz w:val="21"/>
                <w:szCs w:val="21"/>
                <w:highlight w:val="none"/>
                <w:u w:val="single"/>
              </w:rPr>
              <w:t>最近一次委托处理单位为广西深投环保科技有限公司，目前正在签订新的委托合同</w:t>
            </w:r>
            <w:r>
              <w:rPr>
                <w:color w:val="auto"/>
                <w:sz w:val="21"/>
                <w:szCs w:val="21"/>
                <w:highlight w:val="none"/>
                <w:u w:val="single"/>
              </w:rPr>
              <w:t>）外运处理</w:t>
            </w:r>
          </w:p>
        </w:tc>
        <w:tc>
          <w:tcPr>
            <w:tcW w:w="216" w:type="pct"/>
            <w:tcBorders>
              <w:tl2br w:val="nil"/>
              <w:tr2bl w:val="nil"/>
            </w:tcBorders>
            <w:vAlign w:val="center"/>
          </w:tcPr>
          <w:p w14:paraId="0E935691">
            <w:pPr>
              <w:spacing w:line="240" w:lineRule="auto"/>
              <w:ind w:firstLine="0" w:firstLineChars="0"/>
              <w:jc w:val="center"/>
              <w:rPr>
                <w:color w:val="auto"/>
                <w:sz w:val="21"/>
                <w:szCs w:val="21"/>
                <w:highlight w:val="none"/>
                <w:u w:val="single"/>
              </w:rPr>
            </w:pPr>
            <w:r>
              <w:rPr>
                <w:color w:val="auto"/>
                <w:sz w:val="21"/>
                <w:szCs w:val="21"/>
                <w:highlight w:val="none"/>
                <w:u w:val="single"/>
              </w:rPr>
              <w:t>100</w:t>
            </w:r>
          </w:p>
        </w:tc>
        <w:tc>
          <w:tcPr>
            <w:tcW w:w="959" w:type="pct"/>
            <w:vMerge w:val="restart"/>
            <w:tcBorders>
              <w:tl2br w:val="nil"/>
              <w:tr2bl w:val="nil"/>
            </w:tcBorders>
            <w:vAlign w:val="center"/>
          </w:tcPr>
          <w:p w14:paraId="456CBBE3">
            <w:pPr>
              <w:spacing w:line="240" w:lineRule="auto"/>
              <w:ind w:firstLine="0" w:firstLineChars="0"/>
              <w:jc w:val="center"/>
              <w:rPr>
                <w:color w:val="auto"/>
                <w:sz w:val="21"/>
                <w:szCs w:val="21"/>
                <w:highlight w:val="none"/>
                <w:u w:val="single"/>
              </w:rPr>
            </w:pPr>
            <w:r>
              <w:rPr>
                <w:color w:val="auto"/>
                <w:sz w:val="21"/>
                <w:szCs w:val="21"/>
                <w:highlight w:val="none"/>
                <w:u w:val="single"/>
              </w:rPr>
              <w:t>安全处置</w:t>
            </w:r>
          </w:p>
        </w:tc>
      </w:tr>
      <w:tr w14:paraId="08F5A7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317" w:type="pct"/>
            <w:vMerge w:val="continue"/>
            <w:tcBorders>
              <w:tl2br w:val="nil"/>
              <w:tr2bl w:val="nil"/>
            </w:tcBorders>
            <w:vAlign w:val="center"/>
          </w:tcPr>
          <w:p w14:paraId="3D1C5F89">
            <w:pPr>
              <w:spacing w:line="240" w:lineRule="auto"/>
              <w:ind w:firstLine="0" w:firstLineChars="0"/>
              <w:jc w:val="center"/>
              <w:rPr>
                <w:color w:val="auto"/>
                <w:sz w:val="21"/>
                <w:szCs w:val="21"/>
                <w:highlight w:val="none"/>
                <w:u w:val="single"/>
              </w:rPr>
            </w:pPr>
          </w:p>
        </w:tc>
        <w:tc>
          <w:tcPr>
            <w:tcW w:w="642" w:type="pct"/>
            <w:gridSpan w:val="2"/>
            <w:tcBorders>
              <w:tl2br w:val="nil"/>
              <w:tr2bl w:val="nil"/>
            </w:tcBorders>
            <w:tcMar>
              <w:left w:w="0" w:type="dxa"/>
              <w:right w:w="0" w:type="dxa"/>
            </w:tcMar>
            <w:vAlign w:val="center"/>
          </w:tcPr>
          <w:p w14:paraId="0489DB06">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漆渣</w:t>
            </w:r>
          </w:p>
        </w:tc>
        <w:tc>
          <w:tcPr>
            <w:tcW w:w="319" w:type="pct"/>
            <w:tcBorders>
              <w:tl2br w:val="nil"/>
              <w:tr2bl w:val="nil"/>
            </w:tcBorders>
            <w:vAlign w:val="center"/>
          </w:tcPr>
          <w:p w14:paraId="37A416E6">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20.60</w:t>
            </w:r>
          </w:p>
        </w:tc>
        <w:tc>
          <w:tcPr>
            <w:tcW w:w="336" w:type="pct"/>
            <w:tcBorders>
              <w:tl2br w:val="nil"/>
              <w:tr2bl w:val="nil"/>
            </w:tcBorders>
            <w:tcMar>
              <w:left w:w="0" w:type="dxa"/>
              <w:right w:w="0" w:type="dxa"/>
            </w:tcMar>
            <w:vAlign w:val="center"/>
          </w:tcPr>
          <w:p w14:paraId="2D0F455B">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20.60</w:t>
            </w:r>
          </w:p>
        </w:tc>
        <w:tc>
          <w:tcPr>
            <w:tcW w:w="347" w:type="pct"/>
            <w:tcBorders>
              <w:tl2br w:val="nil"/>
              <w:tr2bl w:val="nil"/>
            </w:tcBorders>
            <w:vAlign w:val="center"/>
          </w:tcPr>
          <w:p w14:paraId="3DE478B2">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0</w:t>
            </w:r>
          </w:p>
        </w:tc>
        <w:tc>
          <w:tcPr>
            <w:tcW w:w="1860" w:type="pct"/>
            <w:vMerge w:val="continue"/>
            <w:tcBorders>
              <w:tl2br w:val="nil"/>
              <w:tr2bl w:val="nil"/>
            </w:tcBorders>
            <w:tcMar>
              <w:left w:w="0" w:type="dxa"/>
              <w:right w:w="0" w:type="dxa"/>
            </w:tcMar>
            <w:vAlign w:val="center"/>
          </w:tcPr>
          <w:p w14:paraId="00F706D4">
            <w:pPr>
              <w:tabs>
                <w:tab w:val="left" w:pos="0"/>
              </w:tabs>
              <w:spacing w:line="240" w:lineRule="auto"/>
              <w:ind w:firstLine="0" w:firstLineChars="0"/>
              <w:jc w:val="center"/>
              <w:rPr>
                <w:color w:val="auto"/>
                <w:sz w:val="21"/>
                <w:szCs w:val="21"/>
                <w:highlight w:val="none"/>
                <w:u w:val="single"/>
              </w:rPr>
            </w:pPr>
          </w:p>
        </w:tc>
        <w:tc>
          <w:tcPr>
            <w:tcW w:w="216" w:type="pct"/>
            <w:tcBorders>
              <w:tl2br w:val="nil"/>
              <w:tr2bl w:val="nil"/>
            </w:tcBorders>
            <w:vAlign w:val="center"/>
          </w:tcPr>
          <w:p w14:paraId="1FCDB568">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100</w:t>
            </w:r>
          </w:p>
        </w:tc>
        <w:tc>
          <w:tcPr>
            <w:tcW w:w="959" w:type="pct"/>
            <w:vMerge w:val="continue"/>
            <w:tcBorders>
              <w:tl2br w:val="nil"/>
              <w:tr2bl w:val="nil"/>
            </w:tcBorders>
            <w:vAlign w:val="center"/>
          </w:tcPr>
          <w:p w14:paraId="31B507B6">
            <w:pPr>
              <w:spacing w:line="240" w:lineRule="auto"/>
              <w:ind w:firstLine="0" w:firstLineChars="0"/>
              <w:jc w:val="center"/>
              <w:rPr>
                <w:color w:val="auto"/>
                <w:sz w:val="21"/>
                <w:szCs w:val="21"/>
                <w:highlight w:val="none"/>
                <w:u w:val="single"/>
              </w:rPr>
            </w:pPr>
          </w:p>
        </w:tc>
      </w:tr>
      <w:tr w14:paraId="35AD36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jc w:val="center"/>
        </w:trPr>
        <w:tc>
          <w:tcPr>
            <w:tcW w:w="317" w:type="pct"/>
            <w:vMerge w:val="continue"/>
            <w:tcBorders>
              <w:tl2br w:val="nil"/>
              <w:tr2bl w:val="nil"/>
            </w:tcBorders>
            <w:vAlign w:val="center"/>
          </w:tcPr>
          <w:p w14:paraId="5329808F">
            <w:pPr>
              <w:spacing w:line="240" w:lineRule="auto"/>
              <w:ind w:firstLine="0" w:firstLineChars="0"/>
              <w:jc w:val="center"/>
              <w:rPr>
                <w:color w:val="auto"/>
                <w:sz w:val="21"/>
                <w:szCs w:val="21"/>
                <w:highlight w:val="none"/>
                <w:u w:val="single"/>
              </w:rPr>
            </w:pPr>
          </w:p>
        </w:tc>
        <w:tc>
          <w:tcPr>
            <w:tcW w:w="642" w:type="pct"/>
            <w:gridSpan w:val="2"/>
            <w:tcBorders>
              <w:tl2br w:val="nil"/>
              <w:tr2bl w:val="nil"/>
            </w:tcBorders>
            <w:tcMar>
              <w:left w:w="0" w:type="dxa"/>
              <w:right w:w="0" w:type="dxa"/>
            </w:tcMar>
            <w:vAlign w:val="center"/>
          </w:tcPr>
          <w:p w14:paraId="7A35D635">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废油漆桶及稀释剂包装物</w:t>
            </w:r>
          </w:p>
        </w:tc>
        <w:tc>
          <w:tcPr>
            <w:tcW w:w="319" w:type="pct"/>
            <w:tcBorders>
              <w:tl2br w:val="nil"/>
              <w:tr2bl w:val="nil"/>
            </w:tcBorders>
            <w:vAlign w:val="center"/>
          </w:tcPr>
          <w:p w14:paraId="7E67B91E">
            <w:pPr>
              <w:spacing w:line="240" w:lineRule="auto"/>
              <w:ind w:firstLine="0" w:firstLineChars="0"/>
              <w:jc w:val="center"/>
              <w:rPr>
                <w:color w:val="auto"/>
                <w:sz w:val="21"/>
                <w:szCs w:val="21"/>
                <w:highlight w:val="none"/>
                <w:u w:val="single"/>
              </w:rPr>
            </w:pPr>
            <w:r>
              <w:rPr>
                <w:color w:val="auto"/>
                <w:sz w:val="21"/>
                <w:szCs w:val="21"/>
                <w:highlight w:val="none"/>
                <w:u w:val="single"/>
              </w:rPr>
              <w:t>15.11</w:t>
            </w:r>
          </w:p>
        </w:tc>
        <w:tc>
          <w:tcPr>
            <w:tcW w:w="336" w:type="pct"/>
            <w:tcBorders>
              <w:tl2br w:val="nil"/>
              <w:tr2bl w:val="nil"/>
            </w:tcBorders>
            <w:tcMar>
              <w:left w:w="0" w:type="dxa"/>
              <w:right w:w="0" w:type="dxa"/>
            </w:tcMar>
            <w:vAlign w:val="center"/>
          </w:tcPr>
          <w:p w14:paraId="6C35BC7E">
            <w:pPr>
              <w:spacing w:line="240" w:lineRule="auto"/>
              <w:ind w:firstLine="0" w:firstLineChars="0"/>
              <w:jc w:val="center"/>
              <w:rPr>
                <w:color w:val="auto"/>
                <w:sz w:val="21"/>
                <w:szCs w:val="21"/>
                <w:highlight w:val="none"/>
                <w:u w:val="single"/>
              </w:rPr>
            </w:pPr>
            <w:r>
              <w:rPr>
                <w:color w:val="auto"/>
                <w:sz w:val="21"/>
                <w:szCs w:val="21"/>
                <w:highlight w:val="none"/>
                <w:u w:val="single"/>
              </w:rPr>
              <w:t>15.11</w:t>
            </w:r>
          </w:p>
        </w:tc>
        <w:tc>
          <w:tcPr>
            <w:tcW w:w="347" w:type="pct"/>
            <w:tcBorders>
              <w:tl2br w:val="nil"/>
              <w:tr2bl w:val="nil"/>
            </w:tcBorders>
            <w:vAlign w:val="center"/>
          </w:tcPr>
          <w:p w14:paraId="648D0CB5">
            <w:pPr>
              <w:spacing w:line="240" w:lineRule="auto"/>
              <w:ind w:firstLine="0" w:firstLineChars="0"/>
              <w:jc w:val="center"/>
              <w:rPr>
                <w:color w:val="auto"/>
                <w:sz w:val="21"/>
                <w:szCs w:val="21"/>
                <w:highlight w:val="none"/>
                <w:u w:val="single"/>
              </w:rPr>
            </w:pPr>
            <w:r>
              <w:rPr>
                <w:color w:val="auto"/>
                <w:sz w:val="21"/>
                <w:szCs w:val="21"/>
                <w:highlight w:val="none"/>
                <w:u w:val="single"/>
              </w:rPr>
              <w:t>0</w:t>
            </w:r>
          </w:p>
        </w:tc>
        <w:tc>
          <w:tcPr>
            <w:tcW w:w="1860" w:type="pct"/>
            <w:vMerge w:val="continue"/>
            <w:tcBorders>
              <w:tl2br w:val="nil"/>
              <w:tr2bl w:val="nil"/>
            </w:tcBorders>
            <w:tcMar>
              <w:left w:w="0" w:type="dxa"/>
              <w:right w:w="0" w:type="dxa"/>
            </w:tcMar>
            <w:vAlign w:val="center"/>
          </w:tcPr>
          <w:p w14:paraId="122D5AFE">
            <w:pPr>
              <w:tabs>
                <w:tab w:val="left" w:pos="0"/>
              </w:tabs>
              <w:spacing w:line="240" w:lineRule="auto"/>
              <w:ind w:firstLine="0" w:firstLineChars="0"/>
              <w:jc w:val="center"/>
              <w:rPr>
                <w:bCs/>
                <w:color w:val="auto"/>
                <w:sz w:val="21"/>
                <w:szCs w:val="21"/>
                <w:highlight w:val="none"/>
                <w:u w:val="single"/>
              </w:rPr>
            </w:pPr>
          </w:p>
        </w:tc>
        <w:tc>
          <w:tcPr>
            <w:tcW w:w="216" w:type="pct"/>
            <w:tcBorders>
              <w:tl2br w:val="nil"/>
              <w:tr2bl w:val="nil"/>
            </w:tcBorders>
            <w:vAlign w:val="center"/>
          </w:tcPr>
          <w:p w14:paraId="71087094">
            <w:pPr>
              <w:spacing w:line="240" w:lineRule="auto"/>
              <w:ind w:firstLine="0" w:firstLineChars="0"/>
              <w:jc w:val="center"/>
              <w:rPr>
                <w:color w:val="auto"/>
                <w:sz w:val="21"/>
                <w:szCs w:val="21"/>
                <w:highlight w:val="none"/>
                <w:u w:val="single"/>
              </w:rPr>
            </w:pPr>
            <w:r>
              <w:rPr>
                <w:color w:val="auto"/>
                <w:sz w:val="21"/>
                <w:szCs w:val="21"/>
                <w:highlight w:val="none"/>
                <w:u w:val="single"/>
              </w:rPr>
              <w:t>100</w:t>
            </w:r>
          </w:p>
        </w:tc>
        <w:tc>
          <w:tcPr>
            <w:tcW w:w="959" w:type="pct"/>
            <w:vMerge w:val="continue"/>
            <w:tcBorders>
              <w:tl2br w:val="nil"/>
              <w:tr2bl w:val="nil"/>
            </w:tcBorders>
            <w:vAlign w:val="center"/>
          </w:tcPr>
          <w:p w14:paraId="6BD3C158">
            <w:pPr>
              <w:spacing w:line="240" w:lineRule="auto"/>
              <w:ind w:firstLine="0" w:firstLineChars="0"/>
              <w:jc w:val="center"/>
              <w:rPr>
                <w:color w:val="auto"/>
                <w:sz w:val="21"/>
                <w:szCs w:val="21"/>
                <w:highlight w:val="none"/>
                <w:u w:val="single"/>
              </w:rPr>
            </w:pPr>
          </w:p>
        </w:tc>
      </w:tr>
      <w:tr w14:paraId="6CE422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jc w:val="center"/>
        </w:trPr>
        <w:tc>
          <w:tcPr>
            <w:tcW w:w="317" w:type="pct"/>
            <w:vMerge w:val="continue"/>
            <w:tcBorders>
              <w:tl2br w:val="nil"/>
              <w:tr2bl w:val="nil"/>
            </w:tcBorders>
            <w:vAlign w:val="center"/>
          </w:tcPr>
          <w:p w14:paraId="5106CA4E">
            <w:pPr>
              <w:spacing w:line="240" w:lineRule="auto"/>
              <w:ind w:firstLine="0" w:firstLineChars="0"/>
              <w:jc w:val="center"/>
              <w:rPr>
                <w:color w:val="auto"/>
                <w:sz w:val="21"/>
                <w:szCs w:val="21"/>
                <w:highlight w:val="none"/>
                <w:u w:val="single"/>
              </w:rPr>
            </w:pPr>
          </w:p>
        </w:tc>
        <w:tc>
          <w:tcPr>
            <w:tcW w:w="642" w:type="pct"/>
            <w:gridSpan w:val="2"/>
            <w:tcBorders>
              <w:tl2br w:val="nil"/>
              <w:tr2bl w:val="nil"/>
            </w:tcBorders>
            <w:tcMar>
              <w:left w:w="0" w:type="dxa"/>
              <w:right w:w="0" w:type="dxa"/>
            </w:tcMar>
            <w:vAlign w:val="center"/>
          </w:tcPr>
          <w:p w14:paraId="0C8BEDC0">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废乳化液</w:t>
            </w:r>
          </w:p>
        </w:tc>
        <w:tc>
          <w:tcPr>
            <w:tcW w:w="319" w:type="pct"/>
            <w:tcBorders>
              <w:tl2br w:val="nil"/>
              <w:tr2bl w:val="nil"/>
            </w:tcBorders>
            <w:vAlign w:val="center"/>
          </w:tcPr>
          <w:p w14:paraId="6F2CA94D">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0</w:t>
            </w:r>
            <w:r>
              <w:rPr>
                <w:color w:val="auto"/>
                <w:sz w:val="21"/>
                <w:szCs w:val="21"/>
                <w:highlight w:val="none"/>
                <w:u w:val="single"/>
              </w:rPr>
              <w:t>.5</w:t>
            </w:r>
          </w:p>
        </w:tc>
        <w:tc>
          <w:tcPr>
            <w:tcW w:w="336" w:type="pct"/>
            <w:tcBorders>
              <w:tl2br w:val="nil"/>
              <w:tr2bl w:val="nil"/>
            </w:tcBorders>
            <w:tcMar>
              <w:left w:w="0" w:type="dxa"/>
              <w:right w:w="0" w:type="dxa"/>
            </w:tcMar>
            <w:vAlign w:val="center"/>
          </w:tcPr>
          <w:p w14:paraId="1F67E4EA">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0</w:t>
            </w:r>
            <w:r>
              <w:rPr>
                <w:color w:val="auto"/>
                <w:sz w:val="21"/>
                <w:szCs w:val="21"/>
                <w:highlight w:val="none"/>
                <w:u w:val="single"/>
              </w:rPr>
              <w:t>.5</w:t>
            </w:r>
          </w:p>
        </w:tc>
        <w:tc>
          <w:tcPr>
            <w:tcW w:w="347" w:type="pct"/>
            <w:tcBorders>
              <w:tl2br w:val="nil"/>
              <w:tr2bl w:val="nil"/>
            </w:tcBorders>
            <w:vAlign w:val="center"/>
          </w:tcPr>
          <w:p w14:paraId="6FC594E2">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0</w:t>
            </w:r>
          </w:p>
        </w:tc>
        <w:tc>
          <w:tcPr>
            <w:tcW w:w="1860" w:type="pct"/>
            <w:vMerge w:val="continue"/>
            <w:tcBorders>
              <w:tl2br w:val="nil"/>
              <w:tr2bl w:val="nil"/>
            </w:tcBorders>
            <w:tcMar>
              <w:left w:w="0" w:type="dxa"/>
              <w:right w:w="0" w:type="dxa"/>
            </w:tcMar>
            <w:vAlign w:val="center"/>
          </w:tcPr>
          <w:p w14:paraId="09EDA4EE">
            <w:pPr>
              <w:tabs>
                <w:tab w:val="left" w:pos="0"/>
              </w:tabs>
              <w:spacing w:line="240" w:lineRule="auto"/>
              <w:ind w:firstLine="0" w:firstLineChars="0"/>
              <w:jc w:val="center"/>
              <w:rPr>
                <w:bCs/>
                <w:color w:val="auto"/>
                <w:sz w:val="21"/>
                <w:szCs w:val="21"/>
                <w:highlight w:val="none"/>
                <w:u w:val="single"/>
              </w:rPr>
            </w:pPr>
          </w:p>
        </w:tc>
        <w:tc>
          <w:tcPr>
            <w:tcW w:w="216" w:type="pct"/>
            <w:tcBorders>
              <w:tl2br w:val="nil"/>
              <w:tr2bl w:val="nil"/>
            </w:tcBorders>
            <w:vAlign w:val="center"/>
          </w:tcPr>
          <w:p w14:paraId="7CDCF7A1">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1</w:t>
            </w:r>
            <w:r>
              <w:rPr>
                <w:color w:val="auto"/>
                <w:sz w:val="21"/>
                <w:szCs w:val="21"/>
                <w:highlight w:val="none"/>
                <w:u w:val="single"/>
              </w:rPr>
              <w:t>00</w:t>
            </w:r>
          </w:p>
        </w:tc>
        <w:tc>
          <w:tcPr>
            <w:tcW w:w="959" w:type="pct"/>
            <w:vMerge w:val="continue"/>
            <w:tcBorders>
              <w:tl2br w:val="nil"/>
              <w:tr2bl w:val="nil"/>
            </w:tcBorders>
            <w:vAlign w:val="center"/>
          </w:tcPr>
          <w:p w14:paraId="4414CC08">
            <w:pPr>
              <w:spacing w:line="240" w:lineRule="auto"/>
              <w:ind w:firstLine="0" w:firstLineChars="0"/>
              <w:jc w:val="center"/>
              <w:rPr>
                <w:color w:val="auto"/>
                <w:sz w:val="21"/>
                <w:szCs w:val="21"/>
                <w:highlight w:val="none"/>
                <w:u w:val="single"/>
              </w:rPr>
            </w:pPr>
          </w:p>
        </w:tc>
      </w:tr>
      <w:tr w14:paraId="635F38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jc w:val="center"/>
        </w:trPr>
        <w:tc>
          <w:tcPr>
            <w:tcW w:w="317" w:type="pct"/>
            <w:vMerge w:val="continue"/>
            <w:tcBorders>
              <w:tl2br w:val="nil"/>
              <w:tr2bl w:val="nil"/>
            </w:tcBorders>
            <w:vAlign w:val="center"/>
          </w:tcPr>
          <w:p w14:paraId="06FF0471">
            <w:pPr>
              <w:spacing w:line="240" w:lineRule="auto"/>
              <w:ind w:firstLine="0" w:firstLineChars="0"/>
              <w:jc w:val="center"/>
              <w:rPr>
                <w:color w:val="auto"/>
                <w:sz w:val="21"/>
                <w:szCs w:val="21"/>
                <w:highlight w:val="none"/>
                <w:u w:val="single"/>
              </w:rPr>
            </w:pPr>
          </w:p>
        </w:tc>
        <w:tc>
          <w:tcPr>
            <w:tcW w:w="642" w:type="pct"/>
            <w:gridSpan w:val="2"/>
            <w:tcBorders>
              <w:tl2br w:val="nil"/>
              <w:tr2bl w:val="nil"/>
            </w:tcBorders>
            <w:tcMar>
              <w:left w:w="0" w:type="dxa"/>
              <w:right w:w="0" w:type="dxa"/>
            </w:tcMar>
            <w:vAlign w:val="center"/>
          </w:tcPr>
          <w:p w14:paraId="005A279D">
            <w:pPr>
              <w:spacing w:line="240" w:lineRule="auto"/>
              <w:ind w:firstLine="0" w:firstLineChars="0"/>
              <w:jc w:val="center"/>
              <w:rPr>
                <w:color w:val="auto"/>
                <w:sz w:val="21"/>
                <w:szCs w:val="21"/>
                <w:highlight w:val="none"/>
                <w:u w:val="single"/>
              </w:rPr>
            </w:pPr>
            <w:r>
              <w:rPr>
                <w:color w:val="auto"/>
                <w:sz w:val="21"/>
                <w:szCs w:val="21"/>
                <w:highlight w:val="none"/>
                <w:u w:val="single"/>
              </w:rPr>
              <w:t>废油污泥</w:t>
            </w:r>
          </w:p>
        </w:tc>
        <w:tc>
          <w:tcPr>
            <w:tcW w:w="319" w:type="pct"/>
            <w:tcBorders>
              <w:tl2br w:val="nil"/>
              <w:tr2bl w:val="nil"/>
            </w:tcBorders>
            <w:vAlign w:val="center"/>
          </w:tcPr>
          <w:p w14:paraId="1DAE6D3B">
            <w:pPr>
              <w:spacing w:line="240" w:lineRule="auto"/>
              <w:ind w:firstLine="0" w:firstLineChars="0"/>
              <w:jc w:val="center"/>
              <w:rPr>
                <w:color w:val="auto"/>
                <w:sz w:val="21"/>
                <w:szCs w:val="21"/>
                <w:highlight w:val="none"/>
                <w:u w:val="single"/>
              </w:rPr>
            </w:pPr>
            <w:r>
              <w:rPr>
                <w:color w:val="auto"/>
                <w:sz w:val="21"/>
                <w:szCs w:val="21"/>
                <w:highlight w:val="none"/>
                <w:u w:val="single"/>
              </w:rPr>
              <w:t>9.8</w:t>
            </w:r>
          </w:p>
        </w:tc>
        <w:tc>
          <w:tcPr>
            <w:tcW w:w="336" w:type="pct"/>
            <w:tcBorders>
              <w:tl2br w:val="nil"/>
              <w:tr2bl w:val="nil"/>
            </w:tcBorders>
            <w:tcMar>
              <w:left w:w="0" w:type="dxa"/>
              <w:right w:w="0" w:type="dxa"/>
            </w:tcMar>
            <w:vAlign w:val="center"/>
          </w:tcPr>
          <w:p w14:paraId="47A136F1">
            <w:pPr>
              <w:spacing w:line="240" w:lineRule="auto"/>
              <w:ind w:firstLine="0" w:firstLineChars="0"/>
              <w:jc w:val="center"/>
              <w:rPr>
                <w:color w:val="auto"/>
                <w:sz w:val="21"/>
                <w:szCs w:val="21"/>
                <w:highlight w:val="none"/>
                <w:u w:val="single"/>
              </w:rPr>
            </w:pPr>
            <w:r>
              <w:rPr>
                <w:color w:val="auto"/>
                <w:sz w:val="21"/>
                <w:szCs w:val="21"/>
                <w:highlight w:val="none"/>
                <w:u w:val="single"/>
              </w:rPr>
              <w:t>9.8</w:t>
            </w:r>
          </w:p>
        </w:tc>
        <w:tc>
          <w:tcPr>
            <w:tcW w:w="347" w:type="pct"/>
            <w:tcBorders>
              <w:tl2br w:val="nil"/>
              <w:tr2bl w:val="nil"/>
            </w:tcBorders>
            <w:vAlign w:val="center"/>
          </w:tcPr>
          <w:p w14:paraId="0EC5A0DB">
            <w:pPr>
              <w:spacing w:line="240" w:lineRule="auto"/>
              <w:ind w:firstLine="0" w:firstLineChars="0"/>
              <w:jc w:val="center"/>
              <w:rPr>
                <w:color w:val="auto"/>
                <w:sz w:val="21"/>
                <w:szCs w:val="21"/>
                <w:highlight w:val="none"/>
                <w:u w:val="single"/>
              </w:rPr>
            </w:pPr>
            <w:r>
              <w:rPr>
                <w:color w:val="auto"/>
                <w:sz w:val="21"/>
                <w:szCs w:val="21"/>
                <w:highlight w:val="none"/>
                <w:u w:val="single"/>
              </w:rPr>
              <w:t>0</w:t>
            </w:r>
          </w:p>
        </w:tc>
        <w:tc>
          <w:tcPr>
            <w:tcW w:w="1860" w:type="pct"/>
            <w:vMerge w:val="continue"/>
            <w:tcBorders>
              <w:tl2br w:val="nil"/>
              <w:tr2bl w:val="nil"/>
            </w:tcBorders>
            <w:tcMar>
              <w:left w:w="0" w:type="dxa"/>
              <w:right w:w="0" w:type="dxa"/>
            </w:tcMar>
            <w:vAlign w:val="center"/>
          </w:tcPr>
          <w:p w14:paraId="4EB8BB36">
            <w:pPr>
              <w:tabs>
                <w:tab w:val="left" w:pos="0"/>
              </w:tabs>
              <w:spacing w:line="240" w:lineRule="auto"/>
              <w:ind w:firstLine="0" w:firstLineChars="0"/>
              <w:jc w:val="center"/>
              <w:rPr>
                <w:bCs/>
                <w:color w:val="auto"/>
                <w:sz w:val="21"/>
                <w:szCs w:val="21"/>
                <w:highlight w:val="none"/>
                <w:u w:val="single"/>
              </w:rPr>
            </w:pPr>
          </w:p>
        </w:tc>
        <w:tc>
          <w:tcPr>
            <w:tcW w:w="216" w:type="pct"/>
            <w:tcBorders>
              <w:tl2br w:val="nil"/>
              <w:tr2bl w:val="nil"/>
            </w:tcBorders>
            <w:vAlign w:val="center"/>
          </w:tcPr>
          <w:p w14:paraId="1FF2F5AA">
            <w:pPr>
              <w:spacing w:line="240" w:lineRule="auto"/>
              <w:ind w:firstLine="0" w:firstLineChars="0"/>
              <w:jc w:val="center"/>
              <w:rPr>
                <w:color w:val="auto"/>
                <w:sz w:val="21"/>
                <w:szCs w:val="21"/>
                <w:highlight w:val="none"/>
                <w:u w:val="single"/>
              </w:rPr>
            </w:pPr>
            <w:r>
              <w:rPr>
                <w:color w:val="auto"/>
                <w:sz w:val="21"/>
                <w:szCs w:val="21"/>
                <w:highlight w:val="none"/>
                <w:u w:val="single"/>
              </w:rPr>
              <w:t>100</w:t>
            </w:r>
          </w:p>
        </w:tc>
        <w:tc>
          <w:tcPr>
            <w:tcW w:w="959" w:type="pct"/>
            <w:vMerge w:val="continue"/>
            <w:tcBorders>
              <w:tl2br w:val="nil"/>
              <w:tr2bl w:val="nil"/>
            </w:tcBorders>
            <w:vAlign w:val="center"/>
          </w:tcPr>
          <w:p w14:paraId="46C73594">
            <w:pPr>
              <w:spacing w:line="240" w:lineRule="auto"/>
              <w:ind w:firstLine="0" w:firstLineChars="0"/>
              <w:jc w:val="center"/>
              <w:rPr>
                <w:color w:val="auto"/>
                <w:sz w:val="21"/>
                <w:szCs w:val="21"/>
                <w:highlight w:val="none"/>
                <w:u w:val="single"/>
              </w:rPr>
            </w:pPr>
          </w:p>
        </w:tc>
      </w:tr>
    </w:tbl>
    <w:p w14:paraId="7975FC84">
      <w:pPr>
        <w:pStyle w:val="91"/>
        <w:ind w:left="0" w:leftChars="0" w:firstLine="0" w:firstLineChars="0"/>
        <w:rPr>
          <w:rFonts w:hint="eastAsia" w:eastAsia="宋体"/>
          <w:color w:val="auto"/>
          <w:highlight w:val="none"/>
          <w:u w:val="single"/>
          <w:lang w:eastAsia="zh-CN"/>
        </w:rPr>
        <w:sectPr>
          <w:headerReference r:id="rId37" w:type="default"/>
          <w:pgSz w:w="16838" w:h="11906" w:orient="landscape"/>
          <w:pgMar w:top="1134" w:right="1417" w:bottom="1134" w:left="1417" w:header="851" w:footer="964" w:gutter="0"/>
          <w:cols w:space="0" w:num="1"/>
          <w:docGrid w:linePitch="326" w:charSpace="0"/>
        </w:sectPr>
      </w:pPr>
      <w:r>
        <w:rPr>
          <w:rFonts w:hint="eastAsia"/>
          <w:color w:val="auto"/>
          <w:highlight w:val="none"/>
          <w:u w:val="single"/>
          <w:lang w:eastAsia="zh-CN"/>
        </w:rPr>
        <w:t>注：表中废水排放量为运至大榄坪污水处理厂处理的废水量。</w:t>
      </w:r>
    </w:p>
    <w:p w14:paraId="02DAB6A6">
      <w:pPr>
        <w:pStyle w:val="7"/>
        <w:numPr>
          <w:ilvl w:val="2"/>
          <w:numId w:val="9"/>
        </w:numPr>
        <w:rPr>
          <w:color w:val="auto"/>
          <w:sz w:val="28"/>
          <w:highlight w:val="none"/>
        </w:rPr>
      </w:pPr>
      <w:r>
        <w:rPr>
          <w:color w:val="auto"/>
          <w:sz w:val="28"/>
          <w:highlight w:val="none"/>
        </w:rPr>
        <w:t>项目完成后全厂</w:t>
      </w:r>
      <w:r>
        <w:rPr>
          <w:rFonts w:hint="eastAsia"/>
          <w:color w:val="auto"/>
          <w:sz w:val="28"/>
          <w:highlight w:val="none"/>
        </w:rPr>
        <w:t>主要</w:t>
      </w:r>
      <w:r>
        <w:rPr>
          <w:color w:val="auto"/>
          <w:sz w:val="28"/>
          <w:highlight w:val="none"/>
        </w:rPr>
        <w:t>污染物汇总分析</w:t>
      </w:r>
    </w:p>
    <w:p w14:paraId="1B9DA3D9">
      <w:pPr>
        <w:pStyle w:val="38"/>
        <w:spacing w:after="0" w:line="240" w:lineRule="auto"/>
        <w:ind w:firstLine="0" w:firstLineChars="0"/>
        <w:jc w:val="right"/>
        <w:rPr>
          <w:b/>
          <w:color w:val="auto"/>
          <w:sz w:val="21"/>
          <w:szCs w:val="21"/>
          <w:highlight w:val="none"/>
        </w:rPr>
      </w:pPr>
      <w:r>
        <w:rPr>
          <w:b/>
          <w:color w:val="auto"/>
          <w:sz w:val="21"/>
          <w:szCs w:val="21"/>
          <w:highlight w:val="none"/>
        </w:rPr>
        <w:t>表2.4-1</w:t>
      </w:r>
      <w:r>
        <w:rPr>
          <w:rFonts w:hint="eastAsia"/>
          <w:b/>
          <w:color w:val="auto"/>
          <w:sz w:val="21"/>
          <w:szCs w:val="21"/>
          <w:highlight w:val="none"/>
        </w:rPr>
        <w:t>5</w:t>
      </w:r>
      <w:r>
        <w:rPr>
          <w:b/>
          <w:color w:val="auto"/>
          <w:sz w:val="21"/>
          <w:szCs w:val="21"/>
          <w:highlight w:val="none"/>
        </w:rPr>
        <w:t xml:space="preserve">  项目建成后全厂主要污染物排放情况对比表</w:t>
      </w:r>
      <w:r>
        <w:rPr>
          <w:rFonts w:hint="eastAsia"/>
          <w:b/>
          <w:color w:val="auto"/>
          <w:sz w:val="21"/>
          <w:szCs w:val="21"/>
          <w:highlight w:val="none"/>
        </w:rPr>
        <w:t xml:space="preserve">                   单位t/a</w:t>
      </w:r>
    </w:p>
    <w:tbl>
      <w:tblPr>
        <w:tblStyle w:val="92"/>
        <w:tblW w:w="498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51"/>
        <w:gridCol w:w="1150"/>
        <w:gridCol w:w="999"/>
        <w:gridCol w:w="924"/>
        <w:gridCol w:w="1091"/>
        <w:gridCol w:w="826"/>
        <w:gridCol w:w="879"/>
        <w:gridCol w:w="1060"/>
        <w:gridCol w:w="1373"/>
        <w:gridCol w:w="879"/>
      </w:tblGrid>
      <w:tr w14:paraId="4723CC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25" w:hRule="atLeast"/>
        </w:trPr>
        <w:tc>
          <w:tcPr>
            <w:tcW w:w="915" w:type="pct"/>
            <w:gridSpan w:val="2"/>
            <w:vMerge w:val="restart"/>
            <w:tcBorders>
              <w:tl2br w:val="nil"/>
              <w:tr2bl w:val="nil"/>
            </w:tcBorders>
            <w:vAlign w:val="center"/>
          </w:tcPr>
          <w:p w14:paraId="09A36F64">
            <w:pPr>
              <w:widowControl/>
              <w:spacing w:line="240" w:lineRule="auto"/>
              <w:ind w:left="-72" w:leftChars="-30" w:right="-72" w:rightChars="-30" w:firstLine="0" w:firstLineChars="0"/>
              <w:jc w:val="center"/>
              <w:textAlignment w:val="center"/>
              <w:rPr>
                <w:rFonts w:hint="eastAsia" w:ascii="宋体" w:hAnsi="宋体" w:cs="宋体"/>
                <w:b/>
                <w:bCs/>
                <w:color w:val="auto"/>
                <w:sz w:val="21"/>
                <w:szCs w:val="21"/>
                <w:highlight w:val="none"/>
                <w:u w:val="single"/>
              </w:rPr>
            </w:pPr>
            <w:r>
              <w:rPr>
                <w:rFonts w:hint="eastAsia" w:ascii="宋体" w:hAnsi="宋体" w:cs="宋体"/>
                <w:b/>
                <w:bCs/>
                <w:color w:val="auto"/>
                <w:sz w:val="21"/>
                <w:szCs w:val="21"/>
                <w:highlight w:val="none"/>
                <w:u w:val="single"/>
                <w:lang w:bidi="ar"/>
              </w:rPr>
              <w:t>项目</w:t>
            </w:r>
          </w:p>
        </w:tc>
        <w:tc>
          <w:tcPr>
            <w:tcW w:w="508" w:type="pct"/>
            <w:vMerge w:val="restart"/>
            <w:tcBorders>
              <w:tl2br w:val="nil"/>
              <w:tr2bl w:val="nil"/>
            </w:tcBorders>
            <w:vAlign w:val="center"/>
          </w:tcPr>
          <w:p w14:paraId="5DF4F23E">
            <w:pPr>
              <w:widowControl/>
              <w:spacing w:line="240" w:lineRule="auto"/>
              <w:ind w:left="-72" w:leftChars="-30" w:right="-72" w:rightChars="-30" w:firstLine="0" w:firstLineChars="0"/>
              <w:jc w:val="center"/>
              <w:textAlignment w:val="center"/>
              <w:rPr>
                <w:rFonts w:hint="eastAsia" w:ascii="宋体" w:hAnsi="宋体" w:cs="宋体"/>
                <w:b/>
                <w:bCs/>
                <w:color w:val="auto"/>
                <w:sz w:val="21"/>
                <w:szCs w:val="21"/>
                <w:highlight w:val="none"/>
                <w:u w:val="single"/>
              </w:rPr>
            </w:pPr>
            <w:r>
              <w:rPr>
                <w:rFonts w:hint="eastAsia" w:ascii="宋体" w:hAnsi="宋体" w:cs="宋体"/>
                <w:b/>
                <w:bCs/>
                <w:color w:val="auto"/>
                <w:sz w:val="21"/>
                <w:szCs w:val="21"/>
                <w:highlight w:val="none"/>
                <w:u w:val="single"/>
                <w:lang w:bidi="ar"/>
              </w:rPr>
              <w:t>①现有工程</w:t>
            </w:r>
          </w:p>
        </w:tc>
        <w:tc>
          <w:tcPr>
            <w:tcW w:w="469" w:type="pct"/>
            <w:vMerge w:val="restart"/>
            <w:tcBorders>
              <w:tl2br w:val="nil"/>
              <w:tr2bl w:val="nil"/>
            </w:tcBorders>
            <w:vAlign w:val="center"/>
          </w:tcPr>
          <w:p w14:paraId="18FE2717">
            <w:pPr>
              <w:widowControl/>
              <w:spacing w:line="240" w:lineRule="auto"/>
              <w:ind w:left="-72" w:leftChars="-30" w:right="-72" w:rightChars="-30" w:firstLine="0" w:firstLineChars="0"/>
              <w:jc w:val="center"/>
              <w:textAlignment w:val="center"/>
              <w:rPr>
                <w:rFonts w:hint="eastAsia" w:ascii="宋体" w:hAnsi="宋体" w:cs="宋体"/>
                <w:b/>
                <w:bCs/>
                <w:color w:val="auto"/>
                <w:sz w:val="21"/>
                <w:szCs w:val="21"/>
                <w:highlight w:val="none"/>
                <w:u w:val="single"/>
              </w:rPr>
            </w:pPr>
            <w:r>
              <w:rPr>
                <w:rFonts w:hint="eastAsia" w:ascii="宋体" w:hAnsi="宋体" w:cs="宋体"/>
                <w:b/>
                <w:bCs/>
                <w:color w:val="auto"/>
                <w:sz w:val="21"/>
                <w:szCs w:val="21"/>
                <w:highlight w:val="none"/>
                <w:u w:val="single"/>
                <w:lang w:bidi="ar"/>
              </w:rPr>
              <w:t>②在建</w:t>
            </w:r>
            <w:r>
              <w:rPr>
                <w:b/>
                <w:bCs/>
                <w:color w:val="auto"/>
                <w:sz w:val="21"/>
                <w:szCs w:val="21"/>
                <w:highlight w:val="none"/>
                <w:u w:val="single"/>
                <w:lang w:bidi="ar"/>
              </w:rPr>
              <w:t>/</w:t>
            </w:r>
            <w:r>
              <w:rPr>
                <w:rFonts w:hint="eastAsia" w:ascii="宋体" w:hAnsi="宋体" w:cs="宋体"/>
                <w:b/>
                <w:bCs/>
                <w:color w:val="auto"/>
                <w:sz w:val="21"/>
                <w:szCs w:val="21"/>
                <w:highlight w:val="none"/>
                <w:u w:val="single"/>
                <w:lang w:bidi="ar"/>
              </w:rPr>
              <w:t>拟建工程</w:t>
            </w:r>
          </w:p>
        </w:tc>
        <w:tc>
          <w:tcPr>
            <w:tcW w:w="1421" w:type="pct"/>
            <w:gridSpan w:val="3"/>
            <w:tcBorders>
              <w:tl2br w:val="nil"/>
              <w:tr2bl w:val="nil"/>
            </w:tcBorders>
            <w:vAlign w:val="center"/>
          </w:tcPr>
          <w:p w14:paraId="692E6CC7">
            <w:pPr>
              <w:widowControl/>
              <w:spacing w:line="240" w:lineRule="auto"/>
              <w:ind w:left="-72" w:leftChars="-30" w:right="-72" w:rightChars="-30" w:firstLine="0" w:firstLineChars="0"/>
              <w:jc w:val="center"/>
              <w:textAlignment w:val="center"/>
              <w:rPr>
                <w:rFonts w:hint="eastAsia" w:ascii="宋体" w:hAnsi="宋体" w:cs="宋体"/>
                <w:b/>
                <w:bCs/>
                <w:color w:val="auto"/>
                <w:sz w:val="21"/>
                <w:szCs w:val="21"/>
                <w:highlight w:val="none"/>
                <w:u w:val="single"/>
              </w:rPr>
            </w:pPr>
            <w:r>
              <w:rPr>
                <w:rFonts w:hint="eastAsia" w:ascii="宋体" w:hAnsi="宋体" w:cs="宋体"/>
                <w:b/>
                <w:bCs/>
                <w:color w:val="auto"/>
                <w:sz w:val="21"/>
                <w:szCs w:val="21"/>
                <w:highlight w:val="none"/>
                <w:u w:val="single"/>
                <w:lang w:bidi="ar"/>
              </w:rPr>
              <w:t>③本工程</w:t>
            </w:r>
          </w:p>
        </w:tc>
        <w:tc>
          <w:tcPr>
            <w:tcW w:w="539" w:type="pct"/>
            <w:vMerge w:val="restart"/>
            <w:tcBorders>
              <w:tl2br w:val="nil"/>
              <w:tr2bl w:val="nil"/>
            </w:tcBorders>
            <w:vAlign w:val="center"/>
          </w:tcPr>
          <w:p w14:paraId="350FFCD0">
            <w:pPr>
              <w:widowControl/>
              <w:spacing w:line="240" w:lineRule="auto"/>
              <w:ind w:left="-72" w:leftChars="-30" w:right="-72" w:rightChars="-30" w:firstLine="0" w:firstLineChars="0"/>
              <w:jc w:val="center"/>
              <w:textAlignment w:val="center"/>
              <w:rPr>
                <w:rFonts w:hint="eastAsia" w:ascii="宋体" w:hAnsi="宋体" w:cs="宋体"/>
                <w:b/>
                <w:bCs/>
                <w:color w:val="auto"/>
                <w:sz w:val="21"/>
                <w:szCs w:val="21"/>
                <w:highlight w:val="none"/>
                <w:u w:val="single"/>
              </w:rPr>
            </w:pPr>
            <w:r>
              <w:rPr>
                <w:rFonts w:hint="eastAsia" w:ascii="宋体" w:hAnsi="宋体" w:cs="宋体"/>
                <w:b/>
                <w:bCs/>
                <w:color w:val="auto"/>
                <w:sz w:val="21"/>
                <w:szCs w:val="21"/>
                <w:highlight w:val="none"/>
                <w:u w:val="single"/>
                <w:lang w:bidi="ar"/>
              </w:rPr>
              <w:t>④</w:t>
            </w:r>
            <w:r>
              <w:rPr>
                <w:b/>
                <w:bCs/>
                <w:color w:val="auto"/>
                <w:sz w:val="21"/>
                <w:szCs w:val="21"/>
                <w:highlight w:val="none"/>
                <w:u w:val="single"/>
                <w:lang w:bidi="ar"/>
              </w:rPr>
              <w:t>“</w:t>
            </w:r>
            <w:r>
              <w:rPr>
                <w:rFonts w:hint="eastAsia" w:ascii="宋体" w:hAnsi="宋体" w:cs="宋体"/>
                <w:b/>
                <w:bCs/>
                <w:color w:val="auto"/>
                <w:sz w:val="21"/>
                <w:szCs w:val="21"/>
                <w:highlight w:val="none"/>
                <w:u w:val="single"/>
                <w:lang w:bidi="ar"/>
              </w:rPr>
              <w:t>以新带老</w:t>
            </w:r>
            <w:r>
              <w:rPr>
                <w:b/>
                <w:bCs/>
                <w:color w:val="auto"/>
                <w:sz w:val="21"/>
                <w:szCs w:val="21"/>
                <w:highlight w:val="none"/>
                <w:u w:val="single"/>
                <w:lang w:bidi="ar"/>
              </w:rPr>
              <w:t>”</w:t>
            </w:r>
            <w:r>
              <w:rPr>
                <w:rFonts w:hint="eastAsia" w:ascii="宋体" w:hAnsi="宋体" w:cs="宋体"/>
                <w:b/>
                <w:bCs/>
                <w:color w:val="auto"/>
                <w:sz w:val="21"/>
                <w:szCs w:val="21"/>
                <w:highlight w:val="none"/>
                <w:u w:val="single"/>
                <w:lang w:bidi="ar"/>
              </w:rPr>
              <w:t>削减量</w:t>
            </w:r>
          </w:p>
        </w:tc>
        <w:tc>
          <w:tcPr>
            <w:tcW w:w="698" w:type="pct"/>
            <w:vMerge w:val="restart"/>
            <w:tcBorders>
              <w:tl2br w:val="nil"/>
              <w:tr2bl w:val="nil"/>
            </w:tcBorders>
            <w:vAlign w:val="center"/>
          </w:tcPr>
          <w:p w14:paraId="41628E54">
            <w:pPr>
              <w:widowControl/>
              <w:spacing w:line="240" w:lineRule="auto"/>
              <w:ind w:left="-72" w:leftChars="-30" w:right="-72" w:rightChars="-30" w:firstLine="0" w:firstLineChars="0"/>
              <w:jc w:val="center"/>
              <w:textAlignment w:val="center"/>
              <w:rPr>
                <w:rFonts w:hint="eastAsia" w:ascii="宋体" w:hAnsi="宋体" w:cs="宋体"/>
                <w:b/>
                <w:bCs/>
                <w:color w:val="auto"/>
                <w:sz w:val="21"/>
                <w:szCs w:val="21"/>
                <w:highlight w:val="none"/>
                <w:u w:val="single"/>
              </w:rPr>
            </w:pPr>
            <w:r>
              <w:rPr>
                <w:rFonts w:hint="eastAsia" w:ascii="宋体" w:hAnsi="宋体" w:cs="宋体"/>
                <w:b/>
                <w:bCs/>
                <w:color w:val="auto"/>
                <w:sz w:val="21"/>
                <w:szCs w:val="21"/>
                <w:highlight w:val="none"/>
                <w:u w:val="single"/>
                <w:lang w:bidi="ar"/>
              </w:rPr>
              <w:t>⑤排放总量（①</w:t>
            </w:r>
            <w:r>
              <w:rPr>
                <w:b/>
                <w:bCs/>
                <w:color w:val="auto"/>
                <w:sz w:val="21"/>
                <w:szCs w:val="21"/>
                <w:highlight w:val="none"/>
                <w:u w:val="single"/>
                <w:lang w:bidi="ar"/>
              </w:rPr>
              <w:t>+</w:t>
            </w:r>
            <w:r>
              <w:rPr>
                <w:rFonts w:hint="eastAsia" w:ascii="宋体" w:hAnsi="宋体" w:cs="宋体"/>
                <w:b/>
                <w:bCs/>
                <w:color w:val="auto"/>
                <w:sz w:val="21"/>
                <w:szCs w:val="21"/>
                <w:highlight w:val="none"/>
                <w:u w:val="single"/>
                <w:lang w:bidi="ar"/>
              </w:rPr>
              <w:t>②</w:t>
            </w:r>
            <w:r>
              <w:rPr>
                <w:b/>
                <w:bCs/>
                <w:color w:val="auto"/>
                <w:sz w:val="21"/>
                <w:szCs w:val="21"/>
                <w:highlight w:val="none"/>
                <w:u w:val="single"/>
                <w:lang w:bidi="ar"/>
              </w:rPr>
              <w:t>+</w:t>
            </w:r>
            <w:r>
              <w:rPr>
                <w:rFonts w:hint="eastAsia" w:ascii="宋体" w:hAnsi="宋体" w:cs="宋体"/>
                <w:b/>
                <w:bCs/>
                <w:color w:val="auto"/>
                <w:sz w:val="21"/>
                <w:szCs w:val="21"/>
                <w:highlight w:val="none"/>
                <w:u w:val="single"/>
                <w:lang w:bidi="ar"/>
              </w:rPr>
              <w:t>③</w:t>
            </w:r>
            <w:r>
              <w:rPr>
                <w:b/>
                <w:bCs/>
                <w:color w:val="auto"/>
                <w:sz w:val="21"/>
                <w:szCs w:val="21"/>
                <w:highlight w:val="none"/>
                <w:u w:val="single"/>
                <w:lang w:bidi="ar"/>
              </w:rPr>
              <w:t>-</w:t>
            </w:r>
            <w:r>
              <w:rPr>
                <w:rFonts w:hint="eastAsia" w:ascii="宋体" w:hAnsi="宋体" w:cs="宋体"/>
                <w:b/>
                <w:bCs/>
                <w:color w:val="auto"/>
                <w:sz w:val="21"/>
                <w:szCs w:val="21"/>
                <w:highlight w:val="none"/>
                <w:u w:val="single"/>
                <w:lang w:bidi="ar"/>
              </w:rPr>
              <w:t>④）</w:t>
            </w:r>
          </w:p>
        </w:tc>
        <w:tc>
          <w:tcPr>
            <w:tcW w:w="447" w:type="pct"/>
            <w:vMerge w:val="restart"/>
            <w:tcBorders>
              <w:tl2br w:val="nil"/>
              <w:tr2bl w:val="nil"/>
            </w:tcBorders>
            <w:vAlign w:val="center"/>
          </w:tcPr>
          <w:p w14:paraId="7CFB1364">
            <w:pPr>
              <w:widowControl/>
              <w:spacing w:line="240" w:lineRule="auto"/>
              <w:ind w:left="-72" w:leftChars="-30" w:right="-72" w:rightChars="-30" w:firstLine="0" w:firstLineChars="0"/>
              <w:jc w:val="center"/>
              <w:textAlignment w:val="center"/>
              <w:rPr>
                <w:rFonts w:hint="eastAsia" w:ascii="宋体" w:hAnsi="宋体" w:cs="宋体"/>
                <w:b/>
                <w:bCs/>
                <w:color w:val="auto"/>
                <w:sz w:val="21"/>
                <w:szCs w:val="21"/>
                <w:highlight w:val="none"/>
                <w:u w:val="single"/>
              </w:rPr>
            </w:pPr>
            <w:r>
              <w:rPr>
                <w:rFonts w:hint="eastAsia" w:ascii="宋体" w:hAnsi="宋体" w:cs="宋体"/>
                <w:b/>
                <w:bCs/>
                <w:color w:val="auto"/>
                <w:sz w:val="21"/>
                <w:szCs w:val="21"/>
                <w:highlight w:val="none"/>
                <w:u w:val="single"/>
                <w:lang w:bidi="ar"/>
              </w:rPr>
              <w:t>增减量（③</w:t>
            </w:r>
            <w:r>
              <w:rPr>
                <w:b/>
                <w:bCs/>
                <w:color w:val="auto"/>
                <w:sz w:val="21"/>
                <w:szCs w:val="21"/>
                <w:highlight w:val="none"/>
                <w:u w:val="single"/>
                <w:lang w:bidi="ar"/>
              </w:rPr>
              <w:t>-</w:t>
            </w:r>
            <w:r>
              <w:rPr>
                <w:rFonts w:hint="eastAsia" w:ascii="宋体" w:hAnsi="宋体" w:cs="宋体"/>
                <w:b/>
                <w:bCs/>
                <w:color w:val="auto"/>
                <w:sz w:val="21"/>
                <w:szCs w:val="21"/>
                <w:highlight w:val="none"/>
                <w:u w:val="single"/>
                <w:lang w:bidi="ar"/>
              </w:rPr>
              <w:t>④）</w:t>
            </w:r>
          </w:p>
        </w:tc>
      </w:tr>
      <w:tr w14:paraId="4CB494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915" w:type="pct"/>
            <w:gridSpan w:val="2"/>
            <w:vMerge w:val="continue"/>
            <w:tcBorders>
              <w:tl2br w:val="nil"/>
              <w:tr2bl w:val="nil"/>
            </w:tcBorders>
            <w:vAlign w:val="center"/>
          </w:tcPr>
          <w:p w14:paraId="435EB24C">
            <w:pPr>
              <w:widowControl/>
              <w:spacing w:line="240" w:lineRule="auto"/>
              <w:ind w:left="-72" w:leftChars="-30" w:right="-72" w:rightChars="-30" w:firstLine="0" w:firstLineChars="0"/>
              <w:jc w:val="center"/>
              <w:rPr>
                <w:rFonts w:hint="eastAsia" w:ascii="宋体" w:hAnsi="宋体" w:cs="宋体"/>
                <w:b/>
                <w:bCs/>
                <w:color w:val="auto"/>
                <w:sz w:val="21"/>
                <w:szCs w:val="21"/>
                <w:highlight w:val="none"/>
                <w:u w:val="single"/>
              </w:rPr>
            </w:pPr>
          </w:p>
        </w:tc>
        <w:tc>
          <w:tcPr>
            <w:tcW w:w="508" w:type="pct"/>
            <w:vMerge w:val="continue"/>
            <w:tcBorders>
              <w:tl2br w:val="nil"/>
              <w:tr2bl w:val="nil"/>
            </w:tcBorders>
            <w:vAlign w:val="center"/>
          </w:tcPr>
          <w:p w14:paraId="22EAF6A9">
            <w:pPr>
              <w:widowControl/>
              <w:spacing w:line="240" w:lineRule="auto"/>
              <w:ind w:left="-72" w:leftChars="-30" w:right="-72" w:rightChars="-30" w:firstLine="0" w:firstLineChars="0"/>
              <w:jc w:val="center"/>
              <w:rPr>
                <w:rFonts w:hint="eastAsia" w:ascii="宋体" w:hAnsi="宋体" w:cs="宋体"/>
                <w:b/>
                <w:bCs/>
                <w:color w:val="auto"/>
                <w:sz w:val="21"/>
                <w:szCs w:val="21"/>
                <w:highlight w:val="none"/>
                <w:u w:val="single"/>
              </w:rPr>
            </w:pPr>
          </w:p>
        </w:tc>
        <w:tc>
          <w:tcPr>
            <w:tcW w:w="469" w:type="pct"/>
            <w:vMerge w:val="continue"/>
            <w:tcBorders>
              <w:tl2br w:val="nil"/>
              <w:tr2bl w:val="nil"/>
            </w:tcBorders>
            <w:vAlign w:val="center"/>
          </w:tcPr>
          <w:p w14:paraId="2B057E33">
            <w:pPr>
              <w:widowControl/>
              <w:spacing w:line="240" w:lineRule="auto"/>
              <w:ind w:left="-72" w:leftChars="-30" w:right="-72" w:rightChars="-30" w:firstLine="0" w:firstLineChars="0"/>
              <w:jc w:val="center"/>
              <w:rPr>
                <w:rFonts w:hint="eastAsia" w:ascii="宋体" w:hAnsi="宋体" w:cs="宋体"/>
                <w:b/>
                <w:bCs/>
                <w:color w:val="auto"/>
                <w:sz w:val="21"/>
                <w:szCs w:val="21"/>
                <w:highlight w:val="none"/>
                <w:u w:val="single"/>
              </w:rPr>
            </w:pPr>
          </w:p>
        </w:tc>
        <w:tc>
          <w:tcPr>
            <w:tcW w:w="554" w:type="pct"/>
            <w:tcBorders>
              <w:tl2br w:val="nil"/>
              <w:tr2bl w:val="nil"/>
            </w:tcBorders>
            <w:vAlign w:val="center"/>
          </w:tcPr>
          <w:p w14:paraId="0CC724FA">
            <w:pPr>
              <w:widowControl/>
              <w:spacing w:line="240" w:lineRule="auto"/>
              <w:ind w:left="-72" w:leftChars="-30" w:right="-72" w:rightChars="-30" w:firstLine="0" w:firstLineChars="0"/>
              <w:jc w:val="center"/>
              <w:textAlignment w:val="center"/>
              <w:rPr>
                <w:rFonts w:hint="eastAsia" w:ascii="宋体" w:hAnsi="宋体" w:cs="宋体"/>
                <w:b/>
                <w:bCs/>
                <w:color w:val="auto"/>
                <w:sz w:val="21"/>
                <w:szCs w:val="21"/>
                <w:highlight w:val="none"/>
                <w:u w:val="single"/>
              </w:rPr>
            </w:pPr>
            <w:r>
              <w:rPr>
                <w:rFonts w:hint="eastAsia" w:ascii="宋体" w:hAnsi="宋体" w:cs="宋体"/>
                <w:b/>
                <w:bCs/>
                <w:color w:val="auto"/>
                <w:sz w:val="21"/>
                <w:szCs w:val="21"/>
                <w:highlight w:val="none"/>
                <w:u w:val="single"/>
                <w:lang w:bidi="ar"/>
              </w:rPr>
              <w:t>产生量</w:t>
            </w:r>
          </w:p>
        </w:tc>
        <w:tc>
          <w:tcPr>
            <w:tcW w:w="420" w:type="pct"/>
            <w:tcBorders>
              <w:tl2br w:val="nil"/>
              <w:tr2bl w:val="nil"/>
            </w:tcBorders>
            <w:vAlign w:val="center"/>
          </w:tcPr>
          <w:p w14:paraId="4EE23202">
            <w:pPr>
              <w:widowControl/>
              <w:spacing w:line="240" w:lineRule="auto"/>
              <w:ind w:left="-72" w:leftChars="-30" w:right="-72" w:rightChars="-30" w:firstLine="0" w:firstLineChars="0"/>
              <w:jc w:val="center"/>
              <w:textAlignment w:val="center"/>
              <w:rPr>
                <w:rFonts w:hint="eastAsia" w:ascii="宋体" w:hAnsi="宋体" w:cs="宋体"/>
                <w:b/>
                <w:bCs/>
                <w:color w:val="auto"/>
                <w:sz w:val="21"/>
                <w:szCs w:val="21"/>
                <w:highlight w:val="none"/>
                <w:u w:val="single"/>
              </w:rPr>
            </w:pPr>
            <w:r>
              <w:rPr>
                <w:rFonts w:hint="eastAsia" w:ascii="宋体" w:hAnsi="宋体" w:cs="宋体"/>
                <w:b/>
                <w:bCs/>
                <w:color w:val="auto"/>
                <w:sz w:val="21"/>
                <w:szCs w:val="21"/>
                <w:highlight w:val="none"/>
                <w:u w:val="single"/>
                <w:lang w:bidi="ar"/>
              </w:rPr>
              <w:t>削减量</w:t>
            </w:r>
          </w:p>
        </w:tc>
        <w:tc>
          <w:tcPr>
            <w:tcW w:w="447" w:type="pct"/>
            <w:tcBorders>
              <w:tl2br w:val="nil"/>
              <w:tr2bl w:val="nil"/>
            </w:tcBorders>
            <w:vAlign w:val="center"/>
          </w:tcPr>
          <w:p w14:paraId="56A5507D">
            <w:pPr>
              <w:widowControl/>
              <w:spacing w:line="240" w:lineRule="auto"/>
              <w:ind w:left="-72" w:leftChars="-30" w:right="-72" w:rightChars="-30" w:firstLine="0" w:firstLineChars="0"/>
              <w:jc w:val="center"/>
              <w:textAlignment w:val="center"/>
              <w:rPr>
                <w:rFonts w:hint="eastAsia" w:ascii="宋体" w:hAnsi="宋体" w:cs="宋体"/>
                <w:b/>
                <w:bCs/>
                <w:color w:val="auto"/>
                <w:sz w:val="21"/>
                <w:szCs w:val="21"/>
                <w:highlight w:val="none"/>
                <w:u w:val="single"/>
              </w:rPr>
            </w:pPr>
            <w:r>
              <w:rPr>
                <w:rFonts w:hint="eastAsia" w:ascii="宋体" w:hAnsi="宋体" w:cs="宋体"/>
                <w:b/>
                <w:bCs/>
                <w:color w:val="auto"/>
                <w:sz w:val="21"/>
                <w:szCs w:val="21"/>
                <w:highlight w:val="none"/>
                <w:u w:val="single"/>
                <w:lang w:bidi="ar"/>
              </w:rPr>
              <w:t>排放量</w:t>
            </w:r>
          </w:p>
        </w:tc>
        <w:tc>
          <w:tcPr>
            <w:tcW w:w="539" w:type="pct"/>
            <w:vMerge w:val="continue"/>
            <w:tcBorders>
              <w:tl2br w:val="nil"/>
              <w:tr2bl w:val="nil"/>
            </w:tcBorders>
            <w:vAlign w:val="center"/>
          </w:tcPr>
          <w:p w14:paraId="1F0DBC7B">
            <w:pPr>
              <w:widowControl/>
              <w:spacing w:line="240" w:lineRule="auto"/>
              <w:ind w:left="-72" w:leftChars="-30" w:right="-72" w:rightChars="-30" w:firstLine="0" w:firstLineChars="0"/>
              <w:jc w:val="center"/>
              <w:rPr>
                <w:rFonts w:hint="eastAsia" w:ascii="宋体" w:hAnsi="宋体" w:cs="宋体"/>
                <w:b/>
                <w:bCs/>
                <w:color w:val="auto"/>
                <w:sz w:val="21"/>
                <w:szCs w:val="21"/>
                <w:highlight w:val="none"/>
                <w:u w:val="single"/>
              </w:rPr>
            </w:pPr>
          </w:p>
        </w:tc>
        <w:tc>
          <w:tcPr>
            <w:tcW w:w="698" w:type="pct"/>
            <w:vMerge w:val="continue"/>
            <w:tcBorders>
              <w:tl2br w:val="nil"/>
              <w:tr2bl w:val="nil"/>
            </w:tcBorders>
            <w:vAlign w:val="center"/>
          </w:tcPr>
          <w:p w14:paraId="6D0471D4">
            <w:pPr>
              <w:widowControl/>
              <w:spacing w:line="240" w:lineRule="auto"/>
              <w:ind w:left="-72" w:leftChars="-30" w:right="-72" w:rightChars="-30" w:firstLine="0" w:firstLineChars="0"/>
              <w:jc w:val="center"/>
              <w:rPr>
                <w:rFonts w:hint="eastAsia" w:ascii="宋体" w:hAnsi="宋体" w:cs="宋体"/>
                <w:b/>
                <w:bCs/>
                <w:color w:val="auto"/>
                <w:sz w:val="21"/>
                <w:szCs w:val="21"/>
                <w:highlight w:val="none"/>
                <w:u w:val="single"/>
              </w:rPr>
            </w:pPr>
          </w:p>
        </w:tc>
        <w:tc>
          <w:tcPr>
            <w:tcW w:w="447" w:type="pct"/>
            <w:vMerge w:val="continue"/>
            <w:tcBorders>
              <w:tl2br w:val="nil"/>
              <w:tr2bl w:val="nil"/>
            </w:tcBorders>
            <w:vAlign w:val="center"/>
          </w:tcPr>
          <w:p w14:paraId="5E8FC63A">
            <w:pPr>
              <w:widowControl/>
              <w:spacing w:line="240" w:lineRule="auto"/>
              <w:ind w:left="-72" w:leftChars="-30" w:right="-72" w:rightChars="-30" w:firstLine="0" w:firstLineChars="0"/>
              <w:jc w:val="center"/>
              <w:rPr>
                <w:rFonts w:hint="eastAsia" w:ascii="宋体" w:hAnsi="宋体" w:cs="宋体"/>
                <w:b/>
                <w:bCs/>
                <w:color w:val="auto"/>
                <w:sz w:val="21"/>
                <w:szCs w:val="21"/>
                <w:highlight w:val="none"/>
                <w:u w:val="single"/>
              </w:rPr>
            </w:pPr>
          </w:p>
        </w:tc>
      </w:tr>
      <w:tr w14:paraId="139509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31" w:type="pct"/>
            <w:vMerge w:val="restart"/>
            <w:tcBorders>
              <w:tl2br w:val="nil"/>
              <w:tr2bl w:val="nil"/>
            </w:tcBorders>
            <w:vAlign w:val="center"/>
          </w:tcPr>
          <w:p w14:paraId="46BCA435">
            <w:pPr>
              <w:widowControl/>
              <w:spacing w:line="240" w:lineRule="auto"/>
              <w:ind w:left="-72" w:leftChars="-30" w:right="-72" w:rightChars="-30" w:firstLine="0" w:firstLineChars="0"/>
              <w:jc w:val="center"/>
              <w:textAlignment w:val="center"/>
              <w:rPr>
                <w:rFonts w:hint="eastAsia" w:ascii="宋体" w:hAnsi="宋体" w:cs="宋体"/>
                <w:color w:val="auto"/>
                <w:sz w:val="21"/>
                <w:szCs w:val="21"/>
                <w:highlight w:val="none"/>
                <w:u w:val="single"/>
              </w:rPr>
            </w:pPr>
            <w:r>
              <w:rPr>
                <w:rFonts w:hint="eastAsia" w:ascii="宋体" w:hAnsi="宋体" w:cs="宋体"/>
                <w:color w:val="auto"/>
                <w:sz w:val="21"/>
                <w:szCs w:val="21"/>
                <w:highlight w:val="none"/>
                <w:u w:val="single"/>
                <w:lang w:bidi="ar"/>
              </w:rPr>
              <w:t>废气</w:t>
            </w:r>
          </w:p>
        </w:tc>
        <w:tc>
          <w:tcPr>
            <w:tcW w:w="584" w:type="pct"/>
            <w:tcBorders>
              <w:tl2br w:val="nil"/>
              <w:tr2bl w:val="nil"/>
            </w:tcBorders>
            <w:vAlign w:val="center"/>
          </w:tcPr>
          <w:p w14:paraId="4DF46024">
            <w:pPr>
              <w:widowControl/>
              <w:spacing w:line="240" w:lineRule="auto"/>
              <w:ind w:left="-72" w:leftChars="-30" w:right="-72" w:rightChars="-30" w:firstLine="0" w:firstLineChars="0"/>
              <w:jc w:val="center"/>
              <w:textAlignment w:val="center"/>
              <w:rPr>
                <w:rFonts w:hint="eastAsia" w:ascii="宋体" w:hAnsi="宋体" w:cs="宋体"/>
                <w:color w:val="auto"/>
                <w:sz w:val="21"/>
                <w:szCs w:val="21"/>
                <w:highlight w:val="none"/>
                <w:u w:val="single"/>
              </w:rPr>
            </w:pPr>
            <w:r>
              <w:rPr>
                <w:rFonts w:hint="eastAsia" w:ascii="宋体" w:hAnsi="宋体" w:cs="宋体"/>
                <w:color w:val="auto"/>
                <w:sz w:val="21"/>
                <w:szCs w:val="21"/>
                <w:highlight w:val="none"/>
                <w:u w:val="single"/>
                <w:lang w:bidi="ar"/>
              </w:rPr>
              <w:t>苯</w:t>
            </w:r>
          </w:p>
        </w:tc>
        <w:tc>
          <w:tcPr>
            <w:tcW w:w="508" w:type="pct"/>
            <w:tcBorders>
              <w:tl2br w:val="nil"/>
              <w:tr2bl w:val="nil"/>
            </w:tcBorders>
            <w:vAlign w:val="center"/>
          </w:tcPr>
          <w:p w14:paraId="33192B95">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0.0000182</w:t>
            </w:r>
          </w:p>
        </w:tc>
        <w:tc>
          <w:tcPr>
            <w:tcW w:w="469" w:type="pct"/>
            <w:tcBorders>
              <w:tl2br w:val="nil"/>
              <w:tr2bl w:val="nil"/>
            </w:tcBorders>
            <w:vAlign w:val="center"/>
          </w:tcPr>
          <w:p w14:paraId="67A9B92F">
            <w:pPr>
              <w:widowControl/>
              <w:spacing w:line="240" w:lineRule="auto"/>
              <w:ind w:left="-72" w:leftChars="-30" w:right="-72" w:rightChars="-30" w:firstLine="0" w:firstLineChars="0"/>
              <w:jc w:val="center"/>
              <w:rPr>
                <w:color w:val="auto"/>
                <w:sz w:val="21"/>
                <w:szCs w:val="21"/>
                <w:highlight w:val="none"/>
                <w:u w:val="single"/>
              </w:rPr>
            </w:pPr>
          </w:p>
        </w:tc>
        <w:tc>
          <w:tcPr>
            <w:tcW w:w="554" w:type="pct"/>
            <w:tcBorders>
              <w:tl2br w:val="nil"/>
              <w:tr2bl w:val="nil"/>
            </w:tcBorders>
            <w:vAlign w:val="center"/>
          </w:tcPr>
          <w:p w14:paraId="753239E8">
            <w:pPr>
              <w:widowControl/>
              <w:spacing w:line="240" w:lineRule="auto"/>
              <w:ind w:left="-72" w:leftChars="-30" w:right="-72" w:rightChars="-30" w:firstLine="0" w:firstLineChars="0"/>
              <w:jc w:val="center"/>
              <w:rPr>
                <w:color w:val="auto"/>
                <w:sz w:val="21"/>
                <w:szCs w:val="21"/>
                <w:highlight w:val="none"/>
                <w:u w:val="single"/>
              </w:rPr>
            </w:pPr>
          </w:p>
        </w:tc>
        <w:tc>
          <w:tcPr>
            <w:tcW w:w="420" w:type="pct"/>
            <w:tcBorders>
              <w:tl2br w:val="nil"/>
              <w:tr2bl w:val="nil"/>
            </w:tcBorders>
            <w:vAlign w:val="center"/>
          </w:tcPr>
          <w:p w14:paraId="22E46076">
            <w:pPr>
              <w:widowControl/>
              <w:spacing w:line="240" w:lineRule="auto"/>
              <w:ind w:left="-72" w:leftChars="-30" w:right="-72" w:rightChars="-30" w:firstLine="0" w:firstLineChars="0"/>
              <w:jc w:val="center"/>
              <w:rPr>
                <w:color w:val="auto"/>
                <w:sz w:val="21"/>
                <w:szCs w:val="21"/>
                <w:highlight w:val="none"/>
                <w:u w:val="single"/>
              </w:rPr>
            </w:pPr>
          </w:p>
        </w:tc>
        <w:tc>
          <w:tcPr>
            <w:tcW w:w="447" w:type="pct"/>
            <w:tcBorders>
              <w:tl2br w:val="nil"/>
              <w:tr2bl w:val="nil"/>
            </w:tcBorders>
            <w:vAlign w:val="center"/>
          </w:tcPr>
          <w:p w14:paraId="2E5546FD">
            <w:pPr>
              <w:widowControl/>
              <w:spacing w:line="240" w:lineRule="auto"/>
              <w:ind w:left="-72" w:leftChars="-30" w:right="-72" w:rightChars="-30" w:firstLine="0" w:firstLineChars="0"/>
              <w:jc w:val="center"/>
              <w:rPr>
                <w:color w:val="auto"/>
                <w:sz w:val="21"/>
                <w:szCs w:val="21"/>
                <w:highlight w:val="none"/>
                <w:u w:val="single"/>
              </w:rPr>
            </w:pPr>
          </w:p>
        </w:tc>
        <w:tc>
          <w:tcPr>
            <w:tcW w:w="539" w:type="pct"/>
            <w:tcBorders>
              <w:tl2br w:val="nil"/>
              <w:tr2bl w:val="nil"/>
            </w:tcBorders>
            <w:vAlign w:val="center"/>
          </w:tcPr>
          <w:p w14:paraId="189133A0">
            <w:pPr>
              <w:widowControl/>
              <w:spacing w:line="240" w:lineRule="auto"/>
              <w:ind w:left="-72" w:leftChars="-30" w:right="-72" w:rightChars="-30" w:firstLine="0" w:firstLineChars="0"/>
              <w:jc w:val="center"/>
              <w:rPr>
                <w:color w:val="auto"/>
                <w:sz w:val="21"/>
                <w:szCs w:val="21"/>
                <w:highlight w:val="none"/>
                <w:u w:val="single"/>
              </w:rPr>
            </w:pPr>
          </w:p>
        </w:tc>
        <w:tc>
          <w:tcPr>
            <w:tcW w:w="698" w:type="pct"/>
            <w:tcBorders>
              <w:tl2br w:val="nil"/>
              <w:tr2bl w:val="nil"/>
            </w:tcBorders>
            <w:vAlign w:val="center"/>
          </w:tcPr>
          <w:p w14:paraId="15764131">
            <w:pPr>
              <w:widowControl/>
              <w:topLinePunct w:val="0"/>
              <w:snapToGrid/>
              <w:spacing w:line="240" w:lineRule="auto"/>
              <w:ind w:firstLine="0" w:firstLineChars="0"/>
              <w:jc w:val="center"/>
              <w:rPr>
                <w:color w:val="auto"/>
                <w:sz w:val="21"/>
                <w:szCs w:val="21"/>
                <w:highlight w:val="none"/>
                <w:u w:val="single"/>
              </w:rPr>
            </w:pPr>
            <w:r>
              <w:rPr>
                <w:color w:val="auto"/>
                <w:sz w:val="21"/>
                <w:szCs w:val="21"/>
                <w:highlight w:val="none"/>
                <w:u w:val="single"/>
              </w:rPr>
              <w:t>0.0000182</w:t>
            </w:r>
          </w:p>
        </w:tc>
        <w:tc>
          <w:tcPr>
            <w:tcW w:w="447" w:type="pct"/>
            <w:tcBorders>
              <w:tl2br w:val="nil"/>
              <w:tr2bl w:val="nil"/>
            </w:tcBorders>
            <w:vAlign w:val="center"/>
          </w:tcPr>
          <w:p w14:paraId="74AFB3E3">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0</w:t>
            </w:r>
          </w:p>
        </w:tc>
      </w:tr>
      <w:tr w14:paraId="174AD5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atLeast"/>
        </w:trPr>
        <w:tc>
          <w:tcPr>
            <w:tcW w:w="331" w:type="pct"/>
            <w:vMerge w:val="continue"/>
            <w:tcBorders>
              <w:tl2br w:val="nil"/>
              <w:tr2bl w:val="nil"/>
            </w:tcBorders>
            <w:vAlign w:val="center"/>
          </w:tcPr>
          <w:p w14:paraId="579734BF">
            <w:pPr>
              <w:widowControl/>
              <w:spacing w:line="240" w:lineRule="auto"/>
              <w:ind w:left="-72" w:leftChars="-30" w:right="-72" w:rightChars="-30" w:firstLine="0" w:firstLineChars="0"/>
              <w:jc w:val="center"/>
              <w:rPr>
                <w:rFonts w:hint="eastAsia" w:ascii="宋体" w:hAnsi="宋体" w:cs="宋体"/>
                <w:color w:val="auto"/>
                <w:sz w:val="21"/>
                <w:szCs w:val="21"/>
                <w:highlight w:val="none"/>
                <w:u w:val="single"/>
              </w:rPr>
            </w:pPr>
          </w:p>
        </w:tc>
        <w:tc>
          <w:tcPr>
            <w:tcW w:w="584" w:type="pct"/>
            <w:tcBorders>
              <w:tl2br w:val="nil"/>
              <w:tr2bl w:val="nil"/>
            </w:tcBorders>
            <w:vAlign w:val="center"/>
          </w:tcPr>
          <w:p w14:paraId="5ECF6C49">
            <w:pPr>
              <w:widowControl/>
              <w:spacing w:line="240" w:lineRule="auto"/>
              <w:ind w:left="-72" w:leftChars="-30" w:right="-72" w:rightChars="-30" w:firstLine="0" w:firstLineChars="0"/>
              <w:jc w:val="center"/>
              <w:textAlignment w:val="center"/>
              <w:rPr>
                <w:rFonts w:hint="eastAsia" w:ascii="宋体" w:hAnsi="宋体" w:cs="宋体"/>
                <w:color w:val="auto"/>
                <w:sz w:val="21"/>
                <w:szCs w:val="21"/>
                <w:highlight w:val="none"/>
                <w:u w:val="single"/>
              </w:rPr>
            </w:pPr>
            <w:r>
              <w:rPr>
                <w:rFonts w:hint="eastAsia" w:ascii="宋体" w:hAnsi="宋体" w:cs="宋体"/>
                <w:color w:val="auto"/>
                <w:sz w:val="21"/>
                <w:szCs w:val="21"/>
                <w:highlight w:val="none"/>
                <w:u w:val="single"/>
                <w:lang w:bidi="ar"/>
              </w:rPr>
              <w:t>甲苯</w:t>
            </w:r>
          </w:p>
        </w:tc>
        <w:tc>
          <w:tcPr>
            <w:tcW w:w="508" w:type="pct"/>
            <w:tcBorders>
              <w:tl2br w:val="nil"/>
              <w:tr2bl w:val="nil"/>
            </w:tcBorders>
            <w:vAlign w:val="center"/>
          </w:tcPr>
          <w:p w14:paraId="567A11BF">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0.0000186</w:t>
            </w:r>
          </w:p>
        </w:tc>
        <w:tc>
          <w:tcPr>
            <w:tcW w:w="469" w:type="pct"/>
            <w:tcBorders>
              <w:tl2br w:val="nil"/>
              <w:tr2bl w:val="nil"/>
            </w:tcBorders>
            <w:vAlign w:val="center"/>
          </w:tcPr>
          <w:p w14:paraId="2407B570">
            <w:pPr>
              <w:widowControl/>
              <w:spacing w:line="240" w:lineRule="auto"/>
              <w:ind w:left="-72" w:leftChars="-30" w:right="-72" w:rightChars="-30" w:firstLine="0" w:firstLineChars="0"/>
              <w:jc w:val="center"/>
              <w:rPr>
                <w:color w:val="auto"/>
                <w:sz w:val="21"/>
                <w:szCs w:val="21"/>
                <w:highlight w:val="none"/>
                <w:u w:val="single"/>
              </w:rPr>
            </w:pPr>
          </w:p>
        </w:tc>
        <w:tc>
          <w:tcPr>
            <w:tcW w:w="554" w:type="pct"/>
            <w:tcBorders>
              <w:tl2br w:val="nil"/>
              <w:tr2bl w:val="nil"/>
            </w:tcBorders>
            <w:vAlign w:val="center"/>
          </w:tcPr>
          <w:p w14:paraId="56C8567D">
            <w:pPr>
              <w:widowControl/>
              <w:spacing w:line="240" w:lineRule="auto"/>
              <w:ind w:left="-72" w:leftChars="-30" w:right="-72" w:rightChars="-30" w:firstLine="0" w:firstLineChars="0"/>
              <w:jc w:val="center"/>
              <w:rPr>
                <w:color w:val="auto"/>
                <w:sz w:val="21"/>
                <w:szCs w:val="21"/>
                <w:highlight w:val="none"/>
                <w:u w:val="single"/>
              </w:rPr>
            </w:pPr>
          </w:p>
        </w:tc>
        <w:tc>
          <w:tcPr>
            <w:tcW w:w="420" w:type="pct"/>
            <w:tcBorders>
              <w:tl2br w:val="nil"/>
              <w:tr2bl w:val="nil"/>
            </w:tcBorders>
            <w:vAlign w:val="center"/>
          </w:tcPr>
          <w:p w14:paraId="5EAADA37">
            <w:pPr>
              <w:widowControl/>
              <w:spacing w:line="240" w:lineRule="auto"/>
              <w:ind w:left="-72" w:leftChars="-30" w:right="-72" w:rightChars="-30" w:firstLine="0" w:firstLineChars="0"/>
              <w:jc w:val="center"/>
              <w:rPr>
                <w:color w:val="auto"/>
                <w:sz w:val="21"/>
                <w:szCs w:val="21"/>
                <w:highlight w:val="none"/>
                <w:u w:val="single"/>
              </w:rPr>
            </w:pPr>
          </w:p>
        </w:tc>
        <w:tc>
          <w:tcPr>
            <w:tcW w:w="447" w:type="pct"/>
            <w:tcBorders>
              <w:tl2br w:val="nil"/>
              <w:tr2bl w:val="nil"/>
            </w:tcBorders>
            <w:vAlign w:val="center"/>
          </w:tcPr>
          <w:p w14:paraId="5B8263E5">
            <w:pPr>
              <w:widowControl/>
              <w:spacing w:line="240" w:lineRule="auto"/>
              <w:ind w:left="-72" w:leftChars="-30" w:right="-72" w:rightChars="-30" w:firstLine="0" w:firstLineChars="0"/>
              <w:jc w:val="center"/>
              <w:rPr>
                <w:color w:val="auto"/>
                <w:sz w:val="21"/>
                <w:szCs w:val="21"/>
                <w:highlight w:val="none"/>
                <w:u w:val="single"/>
              </w:rPr>
            </w:pPr>
          </w:p>
        </w:tc>
        <w:tc>
          <w:tcPr>
            <w:tcW w:w="539" w:type="pct"/>
            <w:tcBorders>
              <w:tl2br w:val="nil"/>
              <w:tr2bl w:val="nil"/>
            </w:tcBorders>
            <w:vAlign w:val="center"/>
          </w:tcPr>
          <w:p w14:paraId="343F21F5">
            <w:pPr>
              <w:widowControl/>
              <w:spacing w:line="240" w:lineRule="auto"/>
              <w:ind w:left="-72" w:leftChars="-30" w:right="-72" w:rightChars="-30" w:firstLine="0" w:firstLineChars="0"/>
              <w:jc w:val="center"/>
              <w:rPr>
                <w:color w:val="auto"/>
                <w:sz w:val="21"/>
                <w:szCs w:val="21"/>
                <w:highlight w:val="none"/>
                <w:u w:val="single"/>
              </w:rPr>
            </w:pPr>
          </w:p>
        </w:tc>
        <w:tc>
          <w:tcPr>
            <w:tcW w:w="698" w:type="pct"/>
            <w:tcBorders>
              <w:tl2br w:val="nil"/>
              <w:tr2bl w:val="nil"/>
            </w:tcBorders>
            <w:vAlign w:val="center"/>
          </w:tcPr>
          <w:p w14:paraId="75067EB4">
            <w:pPr>
              <w:spacing w:line="240" w:lineRule="auto"/>
              <w:ind w:firstLine="0" w:firstLineChars="0"/>
              <w:jc w:val="center"/>
              <w:rPr>
                <w:color w:val="auto"/>
                <w:sz w:val="21"/>
                <w:szCs w:val="21"/>
                <w:highlight w:val="none"/>
                <w:u w:val="single"/>
              </w:rPr>
            </w:pPr>
            <w:r>
              <w:rPr>
                <w:color w:val="auto"/>
                <w:sz w:val="21"/>
                <w:szCs w:val="21"/>
                <w:highlight w:val="none"/>
                <w:u w:val="single"/>
              </w:rPr>
              <w:t>0.0000186</w:t>
            </w:r>
          </w:p>
        </w:tc>
        <w:tc>
          <w:tcPr>
            <w:tcW w:w="447" w:type="pct"/>
            <w:tcBorders>
              <w:tl2br w:val="nil"/>
              <w:tr2bl w:val="nil"/>
            </w:tcBorders>
            <w:vAlign w:val="center"/>
          </w:tcPr>
          <w:p w14:paraId="1537C344">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0</w:t>
            </w:r>
          </w:p>
        </w:tc>
      </w:tr>
      <w:tr w14:paraId="5663A49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31" w:type="pct"/>
            <w:vMerge w:val="continue"/>
            <w:tcBorders>
              <w:tl2br w:val="nil"/>
              <w:tr2bl w:val="nil"/>
            </w:tcBorders>
            <w:vAlign w:val="center"/>
          </w:tcPr>
          <w:p w14:paraId="2CEF77DD">
            <w:pPr>
              <w:widowControl/>
              <w:spacing w:line="240" w:lineRule="auto"/>
              <w:ind w:left="-72" w:leftChars="-30" w:right="-72" w:rightChars="-30" w:firstLine="0" w:firstLineChars="0"/>
              <w:jc w:val="center"/>
              <w:rPr>
                <w:rFonts w:hint="eastAsia" w:ascii="宋体" w:hAnsi="宋体" w:cs="宋体"/>
                <w:color w:val="auto"/>
                <w:sz w:val="21"/>
                <w:szCs w:val="21"/>
                <w:highlight w:val="none"/>
                <w:u w:val="single"/>
              </w:rPr>
            </w:pPr>
          </w:p>
        </w:tc>
        <w:tc>
          <w:tcPr>
            <w:tcW w:w="584" w:type="pct"/>
            <w:tcBorders>
              <w:tl2br w:val="nil"/>
              <w:tr2bl w:val="nil"/>
            </w:tcBorders>
            <w:vAlign w:val="center"/>
          </w:tcPr>
          <w:p w14:paraId="79D61380">
            <w:pPr>
              <w:widowControl/>
              <w:spacing w:line="240" w:lineRule="auto"/>
              <w:ind w:left="-72" w:leftChars="-30" w:right="-72" w:rightChars="-30" w:firstLine="0" w:firstLineChars="0"/>
              <w:jc w:val="center"/>
              <w:textAlignment w:val="center"/>
              <w:rPr>
                <w:rFonts w:hint="eastAsia" w:ascii="宋体" w:hAnsi="宋体" w:cs="宋体"/>
                <w:color w:val="auto"/>
                <w:sz w:val="21"/>
                <w:szCs w:val="21"/>
                <w:highlight w:val="none"/>
                <w:u w:val="single"/>
              </w:rPr>
            </w:pPr>
            <w:r>
              <w:rPr>
                <w:rFonts w:hint="eastAsia" w:ascii="宋体" w:hAnsi="宋体" w:cs="宋体"/>
                <w:color w:val="auto"/>
                <w:sz w:val="21"/>
                <w:szCs w:val="21"/>
                <w:highlight w:val="none"/>
                <w:u w:val="single"/>
                <w:lang w:bidi="ar"/>
              </w:rPr>
              <w:t>二甲苯</w:t>
            </w:r>
          </w:p>
        </w:tc>
        <w:tc>
          <w:tcPr>
            <w:tcW w:w="508" w:type="pct"/>
            <w:tcBorders>
              <w:tl2br w:val="nil"/>
              <w:tr2bl w:val="nil"/>
            </w:tcBorders>
            <w:vAlign w:val="center"/>
          </w:tcPr>
          <w:p w14:paraId="24B71AE0">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18.31003</w:t>
            </w:r>
          </w:p>
        </w:tc>
        <w:tc>
          <w:tcPr>
            <w:tcW w:w="469" w:type="pct"/>
            <w:tcBorders>
              <w:tl2br w:val="nil"/>
              <w:tr2bl w:val="nil"/>
            </w:tcBorders>
            <w:vAlign w:val="center"/>
          </w:tcPr>
          <w:p w14:paraId="1F8EC324">
            <w:pPr>
              <w:widowControl/>
              <w:spacing w:line="240" w:lineRule="auto"/>
              <w:ind w:left="-72" w:leftChars="-30" w:right="-72" w:rightChars="-30" w:firstLine="0" w:firstLineChars="0"/>
              <w:jc w:val="center"/>
              <w:rPr>
                <w:color w:val="auto"/>
                <w:sz w:val="21"/>
                <w:szCs w:val="21"/>
                <w:highlight w:val="none"/>
                <w:u w:val="single"/>
              </w:rPr>
            </w:pPr>
          </w:p>
        </w:tc>
        <w:tc>
          <w:tcPr>
            <w:tcW w:w="554" w:type="pct"/>
            <w:tcBorders>
              <w:tl2br w:val="nil"/>
              <w:tr2bl w:val="nil"/>
            </w:tcBorders>
            <w:vAlign w:val="center"/>
          </w:tcPr>
          <w:p w14:paraId="42E105A8">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14.71</w:t>
            </w:r>
          </w:p>
        </w:tc>
        <w:tc>
          <w:tcPr>
            <w:tcW w:w="420" w:type="pct"/>
            <w:tcBorders>
              <w:tl2br w:val="nil"/>
              <w:tr2bl w:val="nil"/>
            </w:tcBorders>
            <w:vAlign w:val="center"/>
          </w:tcPr>
          <w:p w14:paraId="4DA2E61B">
            <w:pPr>
              <w:widowControl/>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w:t>
            </w:r>
          </w:p>
        </w:tc>
        <w:tc>
          <w:tcPr>
            <w:tcW w:w="447" w:type="pct"/>
            <w:tcBorders>
              <w:tl2br w:val="nil"/>
              <w:tr2bl w:val="nil"/>
            </w:tcBorders>
            <w:vAlign w:val="center"/>
          </w:tcPr>
          <w:p w14:paraId="7D627F1C">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14.71</w:t>
            </w:r>
          </w:p>
        </w:tc>
        <w:tc>
          <w:tcPr>
            <w:tcW w:w="539" w:type="pct"/>
            <w:tcBorders>
              <w:tl2br w:val="nil"/>
              <w:tr2bl w:val="nil"/>
            </w:tcBorders>
            <w:vAlign w:val="center"/>
          </w:tcPr>
          <w:p w14:paraId="46B34531">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14.71</w:t>
            </w:r>
          </w:p>
        </w:tc>
        <w:tc>
          <w:tcPr>
            <w:tcW w:w="698" w:type="pct"/>
            <w:tcBorders>
              <w:tl2br w:val="nil"/>
              <w:tr2bl w:val="nil"/>
            </w:tcBorders>
            <w:vAlign w:val="center"/>
          </w:tcPr>
          <w:p w14:paraId="6672318E">
            <w:pPr>
              <w:spacing w:line="240" w:lineRule="auto"/>
              <w:ind w:firstLine="0" w:firstLineChars="0"/>
              <w:jc w:val="center"/>
              <w:rPr>
                <w:color w:val="auto"/>
                <w:sz w:val="21"/>
                <w:szCs w:val="21"/>
                <w:highlight w:val="none"/>
                <w:u w:val="single"/>
              </w:rPr>
            </w:pPr>
            <w:r>
              <w:rPr>
                <w:color w:val="auto"/>
                <w:sz w:val="21"/>
                <w:szCs w:val="21"/>
                <w:highlight w:val="none"/>
                <w:u w:val="single"/>
              </w:rPr>
              <w:t>18.31003</w:t>
            </w:r>
          </w:p>
        </w:tc>
        <w:tc>
          <w:tcPr>
            <w:tcW w:w="447" w:type="pct"/>
            <w:tcBorders>
              <w:tl2br w:val="nil"/>
              <w:tr2bl w:val="nil"/>
            </w:tcBorders>
            <w:vAlign w:val="center"/>
          </w:tcPr>
          <w:p w14:paraId="45E3FCBC">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0</w:t>
            </w:r>
          </w:p>
        </w:tc>
      </w:tr>
      <w:tr w14:paraId="601B69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31" w:type="pct"/>
            <w:vMerge w:val="continue"/>
            <w:tcBorders>
              <w:tl2br w:val="nil"/>
              <w:tr2bl w:val="nil"/>
            </w:tcBorders>
            <w:vAlign w:val="center"/>
          </w:tcPr>
          <w:p w14:paraId="47AD3A93">
            <w:pPr>
              <w:widowControl/>
              <w:spacing w:line="240" w:lineRule="auto"/>
              <w:ind w:left="-72" w:leftChars="-30" w:right="-72" w:rightChars="-30" w:firstLine="0" w:firstLineChars="0"/>
              <w:jc w:val="center"/>
              <w:rPr>
                <w:rFonts w:hint="eastAsia" w:ascii="宋体" w:hAnsi="宋体" w:cs="宋体"/>
                <w:color w:val="auto"/>
                <w:sz w:val="21"/>
                <w:szCs w:val="21"/>
                <w:highlight w:val="none"/>
                <w:u w:val="single"/>
              </w:rPr>
            </w:pPr>
          </w:p>
        </w:tc>
        <w:tc>
          <w:tcPr>
            <w:tcW w:w="584" w:type="pct"/>
            <w:tcBorders>
              <w:tl2br w:val="nil"/>
              <w:tr2bl w:val="nil"/>
            </w:tcBorders>
            <w:vAlign w:val="center"/>
          </w:tcPr>
          <w:p w14:paraId="5BACE275">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TVOC</w:t>
            </w:r>
          </w:p>
        </w:tc>
        <w:tc>
          <w:tcPr>
            <w:tcW w:w="508" w:type="pct"/>
            <w:tcBorders>
              <w:tl2br w:val="nil"/>
              <w:tr2bl w:val="nil"/>
            </w:tcBorders>
            <w:vAlign w:val="center"/>
          </w:tcPr>
          <w:p w14:paraId="1278802B">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68.449</w:t>
            </w:r>
          </w:p>
        </w:tc>
        <w:tc>
          <w:tcPr>
            <w:tcW w:w="469" w:type="pct"/>
            <w:tcBorders>
              <w:tl2br w:val="nil"/>
              <w:tr2bl w:val="nil"/>
            </w:tcBorders>
            <w:vAlign w:val="center"/>
          </w:tcPr>
          <w:p w14:paraId="33D9A70C">
            <w:pPr>
              <w:widowControl/>
              <w:spacing w:line="240" w:lineRule="auto"/>
              <w:ind w:left="-72" w:leftChars="-30" w:right="-72" w:rightChars="-30" w:firstLine="0" w:firstLineChars="0"/>
              <w:jc w:val="center"/>
              <w:rPr>
                <w:color w:val="auto"/>
                <w:sz w:val="21"/>
                <w:szCs w:val="21"/>
                <w:highlight w:val="none"/>
                <w:u w:val="single"/>
              </w:rPr>
            </w:pPr>
          </w:p>
        </w:tc>
        <w:tc>
          <w:tcPr>
            <w:tcW w:w="554" w:type="pct"/>
            <w:tcBorders>
              <w:tl2br w:val="nil"/>
              <w:tr2bl w:val="nil"/>
            </w:tcBorders>
            <w:vAlign w:val="center"/>
          </w:tcPr>
          <w:p w14:paraId="3FEA3E64">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58.86</w:t>
            </w:r>
          </w:p>
        </w:tc>
        <w:tc>
          <w:tcPr>
            <w:tcW w:w="420" w:type="pct"/>
            <w:tcBorders>
              <w:tl2br w:val="nil"/>
              <w:tr2bl w:val="nil"/>
            </w:tcBorders>
            <w:vAlign w:val="center"/>
          </w:tcPr>
          <w:p w14:paraId="186863AA">
            <w:pPr>
              <w:widowControl/>
              <w:spacing w:line="240" w:lineRule="auto"/>
              <w:ind w:left="-72" w:leftChars="-30" w:right="-72" w:rightChars="-30" w:firstLine="0" w:firstLineChars="0"/>
              <w:jc w:val="center"/>
              <w:rPr>
                <w:color w:val="auto"/>
                <w:sz w:val="21"/>
                <w:szCs w:val="21"/>
                <w:highlight w:val="none"/>
                <w:u w:val="single"/>
              </w:rPr>
            </w:pPr>
            <w:r>
              <w:rPr>
                <w:rFonts w:hint="eastAsia"/>
                <w:color w:val="auto"/>
                <w:sz w:val="21"/>
                <w:szCs w:val="21"/>
                <w:highlight w:val="none"/>
                <w:u w:val="single"/>
              </w:rPr>
              <w:t>0</w:t>
            </w:r>
          </w:p>
        </w:tc>
        <w:tc>
          <w:tcPr>
            <w:tcW w:w="447" w:type="pct"/>
            <w:tcBorders>
              <w:tl2br w:val="nil"/>
              <w:tr2bl w:val="nil"/>
            </w:tcBorders>
            <w:vAlign w:val="center"/>
          </w:tcPr>
          <w:p w14:paraId="77C4225B">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58.86</w:t>
            </w:r>
          </w:p>
        </w:tc>
        <w:tc>
          <w:tcPr>
            <w:tcW w:w="539" w:type="pct"/>
            <w:tcBorders>
              <w:tl2br w:val="nil"/>
              <w:tr2bl w:val="nil"/>
            </w:tcBorders>
            <w:vAlign w:val="center"/>
          </w:tcPr>
          <w:p w14:paraId="3A6706B4">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58.86</w:t>
            </w:r>
          </w:p>
        </w:tc>
        <w:tc>
          <w:tcPr>
            <w:tcW w:w="698" w:type="pct"/>
            <w:tcBorders>
              <w:tl2br w:val="nil"/>
              <w:tr2bl w:val="nil"/>
            </w:tcBorders>
            <w:vAlign w:val="center"/>
          </w:tcPr>
          <w:p w14:paraId="1D78F4CB">
            <w:pPr>
              <w:spacing w:line="240" w:lineRule="auto"/>
              <w:ind w:firstLine="0" w:firstLineChars="0"/>
              <w:jc w:val="center"/>
              <w:rPr>
                <w:color w:val="auto"/>
                <w:sz w:val="21"/>
                <w:szCs w:val="21"/>
                <w:highlight w:val="none"/>
                <w:u w:val="single"/>
              </w:rPr>
            </w:pPr>
            <w:r>
              <w:rPr>
                <w:color w:val="auto"/>
                <w:sz w:val="21"/>
                <w:szCs w:val="21"/>
                <w:highlight w:val="none"/>
                <w:u w:val="single"/>
              </w:rPr>
              <w:t>68.449</w:t>
            </w:r>
          </w:p>
        </w:tc>
        <w:tc>
          <w:tcPr>
            <w:tcW w:w="447" w:type="pct"/>
            <w:tcBorders>
              <w:tl2br w:val="nil"/>
              <w:tr2bl w:val="nil"/>
            </w:tcBorders>
            <w:vAlign w:val="center"/>
          </w:tcPr>
          <w:p w14:paraId="4453DB93">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0</w:t>
            </w:r>
          </w:p>
        </w:tc>
      </w:tr>
      <w:tr w14:paraId="0DDA7C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0" w:hRule="atLeast"/>
        </w:trPr>
        <w:tc>
          <w:tcPr>
            <w:tcW w:w="331" w:type="pct"/>
            <w:vMerge w:val="continue"/>
            <w:tcBorders>
              <w:tl2br w:val="nil"/>
              <w:tr2bl w:val="nil"/>
            </w:tcBorders>
            <w:vAlign w:val="center"/>
          </w:tcPr>
          <w:p w14:paraId="16A55819">
            <w:pPr>
              <w:widowControl/>
              <w:spacing w:line="240" w:lineRule="auto"/>
              <w:ind w:left="-72" w:leftChars="-30" w:right="-72" w:rightChars="-30" w:firstLine="0" w:firstLineChars="0"/>
              <w:jc w:val="center"/>
              <w:rPr>
                <w:rFonts w:hint="eastAsia" w:ascii="宋体" w:hAnsi="宋体" w:cs="宋体"/>
                <w:color w:val="auto"/>
                <w:sz w:val="21"/>
                <w:szCs w:val="21"/>
                <w:highlight w:val="none"/>
                <w:u w:val="single"/>
              </w:rPr>
            </w:pPr>
          </w:p>
        </w:tc>
        <w:tc>
          <w:tcPr>
            <w:tcW w:w="584" w:type="pct"/>
            <w:tcBorders>
              <w:tl2br w:val="nil"/>
              <w:tr2bl w:val="nil"/>
            </w:tcBorders>
            <w:vAlign w:val="center"/>
          </w:tcPr>
          <w:p w14:paraId="6031659C">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HCl</w:t>
            </w:r>
          </w:p>
        </w:tc>
        <w:tc>
          <w:tcPr>
            <w:tcW w:w="508" w:type="pct"/>
            <w:tcBorders>
              <w:tl2br w:val="nil"/>
              <w:tr2bl w:val="nil"/>
            </w:tcBorders>
            <w:vAlign w:val="center"/>
          </w:tcPr>
          <w:p w14:paraId="62140A28">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0.183</w:t>
            </w:r>
          </w:p>
        </w:tc>
        <w:tc>
          <w:tcPr>
            <w:tcW w:w="469" w:type="pct"/>
            <w:tcBorders>
              <w:tl2br w:val="nil"/>
              <w:tr2bl w:val="nil"/>
            </w:tcBorders>
            <w:vAlign w:val="center"/>
          </w:tcPr>
          <w:p w14:paraId="35D67D5E">
            <w:pPr>
              <w:widowControl/>
              <w:spacing w:line="240" w:lineRule="auto"/>
              <w:ind w:left="-72" w:leftChars="-30" w:right="-72" w:rightChars="-30" w:firstLine="0" w:firstLineChars="0"/>
              <w:jc w:val="center"/>
              <w:rPr>
                <w:color w:val="auto"/>
                <w:sz w:val="21"/>
                <w:szCs w:val="21"/>
                <w:highlight w:val="none"/>
                <w:u w:val="single"/>
              </w:rPr>
            </w:pPr>
          </w:p>
        </w:tc>
        <w:tc>
          <w:tcPr>
            <w:tcW w:w="554" w:type="pct"/>
            <w:tcBorders>
              <w:tl2br w:val="nil"/>
              <w:tr2bl w:val="nil"/>
            </w:tcBorders>
            <w:vAlign w:val="center"/>
          </w:tcPr>
          <w:p w14:paraId="00945B04">
            <w:pPr>
              <w:widowControl/>
              <w:spacing w:line="240" w:lineRule="auto"/>
              <w:ind w:left="-72" w:leftChars="-30" w:right="-72" w:rightChars="-30" w:firstLine="0" w:firstLineChars="0"/>
              <w:jc w:val="center"/>
              <w:rPr>
                <w:color w:val="auto"/>
                <w:sz w:val="21"/>
                <w:szCs w:val="21"/>
                <w:highlight w:val="none"/>
                <w:u w:val="single"/>
              </w:rPr>
            </w:pPr>
          </w:p>
        </w:tc>
        <w:tc>
          <w:tcPr>
            <w:tcW w:w="420" w:type="pct"/>
            <w:tcBorders>
              <w:tl2br w:val="nil"/>
              <w:tr2bl w:val="nil"/>
            </w:tcBorders>
            <w:vAlign w:val="center"/>
          </w:tcPr>
          <w:p w14:paraId="56745017">
            <w:pPr>
              <w:widowControl/>
              <w:spacing w:line="240" w:lineRule="auto"/>
              <w:ind w:left="-72" w:leftChars="-30" w:right="-72" w:rightChars="-30" w:firstLine="0" w:firstLineChars="0"/>
              <w:jc w:val="center"/>
              <w:rPr>
                <w:color w:val="auto"/>
                <w:sz w:val="21"/>
                <w:szCs w:val="21"/>
                <w:highlight w:val="none"/>
                <w:u w:val="single"/>
              </w:rPr>
            </w:pPr>
          </w:p>
        </w:tc>
        <w:tc>
          <w:tcPr>
            <w:tcW w:w="447" w:type="pct"/>
            <w:tcBorders>
              <w:tl2br w:val="nil"/>
              <w:tr2bl w:val="nil"/>
            </w:tcBorders>
            <w:vAlign w:val="center"/>
          </w:tcPr>
          <w:p w14:paraId="47315F91">
            <w:pPr>
              <w:widowControl/>
              <w:spacing w:line="240" w:lineRule="auto"/>
              <w:ind w:left="-72" w:leftChars="-30" w:right="-72" w:rightChars="-30" w:firstLine="0" w:firstLineChars="0"/>
              <w:jc w:val="center"/>
              <w:rPr>
                <w:color w:val="auto"/>
                <w:sz w:val="21"/>
                <w:szCs w:val="21"/>
                <w:highlight w:val="none"/>
                <w:u w:val="single"/>
              </w:rPr>
            </w:pPr>
          </w:p>
        </w:tc>
        <w:tc>
          <w:tcPr>
            <w:tcW w:w="539" w:type="pct"/>
            <w:tcBorders>
              <w:tl2br w:val="nil"/>
              <w:tr2bl w:val="nil"/>
            </w:tcBorders>
            <w:vAlign w:val="center"/>
          </w:tcPr>
          <w:p w14:paraId="4C2C217B">
            <w:pPr>
              <w:widowControl/>
              <w:spacing w:line="240" w:lineRule="auto"/>
              <w:ind w:left="-72" w:leftChars="-30" w:right="-72" w:rightChars="-30" w:firstLine="0" w:firstLineChars="0"/>
              <w:jc w:val="center"/>
              <w:rPr>
                <w:color w:val="auto"/>
                <w:sz w:val="21"/>
                <w:szCs w:val="21"/>
                <w:highlight w:val="none"/>
                <w:u w:val="single"/>
              </w:rPr>
            </w:pPr>
          </w:p>
        </w:tc>
        <w:tc>
          <w:tcPr>
            <w:tcW w:w="698" w:type="pct"/>
            <w:tcBorders>
              <w:tl2br w:val="nil"/>
              <w:tr2bl w:val="nil"/>
            </w:tcBorders>
            <w:vAlign w:val="center"/>
          </w:tcPr>
          <w:p w14:paraId="540D436C">
            <w:pPr>
              <w:spacing w:line="240" w:lineRule="auto"/>
              <w:ind w:firstLine="0" w:firstLineChars="0"/>
              <w:jc w:val="center"/>
              <w:rPr>
                <w:color w:val="auto"/>
                <w:sz w:val="21"/>
                <w:szCs w:val="21"/>
                <w:highlight w:val="none"/>
                <w:u w:val="single"/>
              </w:rPr>
            </w:pPr>
            <w:r>
              <w:rPr>
                <w:color w:val="auto"/>
                <w:sz w:val="21"/>
                <w:szCs w:val="21"/>
                <w:highlight w:val="none"/>
                <w:u w:val="single"/>
              </w:rPr>
              <w:t>0.183</w:t>
            </w:r>
          </w:p>
        </w:tc>
        <w:tc>
          <w:tcPr>
            <w:tcW w:w="447" w:type="pct"/>
            <w:tcBorders>
              <w:tl2br w:val="nil"/>
              <w:tr2bl w:val="nil"/>
            </w:tcBorders>
            <w:vAlign w:val="center"/>
          </w:tcPr>
          <w:p w14:paraId="1BE07AFA">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0</w:t>
            </w:r>
          </w:p>
        </w:tc>
      </w:tr>
      <w:tr w14:paraId="0AA08B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31" w:type="pct"/>
            <w:vMerge w:val="continue"/>
            <w:tcBorders>
              <w:tl2br w:val="nil"/>
              <w:tr2bl w:val="nil"/>
            </w:tcBorders>
            <w:vAlign w:val="center"/>
          </w:tcPr>
          <w:p w14:paraId="11D9818B">
            <w:pPr>
              <w:widowControl/>
              <w:spacing w:line="240" w:lineRule="auto"/>
              <w:ind w:left="-72" w:leftChars="-30" w:right="-72" w:rightChars="-30" w:firstLine="0" w:firstLineChars="0"/>
              <w:jc w:val="center"/>
              <w:rPr>
                <w:rFonts w:hint="eastAsia" w:ascii="宋体" w:hAnsi="宋体" w:cs="宋体"/>
                <w:color w:val="auto"/>
                <w:sz w:val="21"/>
                <w:szCs w:val="21"/>
                <w:highlight w:val="none"/>
                <w:u w:val="single"/>
              </w:rPr>
            </w:pPr>
          </w:p>
        </w:tc>
        <w:tc>
          <w:tcPr>
            <w:tcW w:w="584" w:type="pct"/>
            <w:tcBorders>
              <w:tl2br w:val="nil"/>
              <w:tr2bl w:val="nil"/>
            </w:tcBorders>
            <w:vAlign w:val="center"/>
          </w:tcPr>
          <w:p w14:paraId="604B6CC3">
            <w:pPr>
              <w:widowControl/>
              <w:spacing w:line="240" w:lineRule="auto"/>
              <w:ind w:left="-72" w:leftChars="-30" w:right="-72" w:rightChars="-30" w:firstLine="0" w:firstLineChars="0"/>
              <w:jc w:val="center"/>
              <w:textAlignment w:val="center"/>
              <w:rPr>
                <w:rFonts w:hint="eastAsia" w:ascii="宋体" w:hAnsi="宋体" w:cs="宋体"/>
                <w:color w:val="auto"/>
                <w:sz w:val="21"/>
                <w:szCs w:val="21"/>
                <w:highlight w:val="none"/>
                <w:u w:val="single"/>
              </w:rPr>
            </w:pPr>
            <w:r>
              <w:rPr>
                <w:rFonts w:hint="eastAsia" w:ascii="宋体" w:hAnsi="宋体" w:cs="宋体"/>
                <w:color w:val="auto"/>
                <w:sz w:val="21"/>
                <w:szCs w:val="21"/>
                <w:highlight w:val="none"/>
                <w:u w:val="single"/>
                <w:lang w:bidi="ar"/>
              </w:rPr>
              <w:t>硫酸雾</w:t>
            </w:r>
          </w:p>
        </w:tc>
        <w:tc>
          <w:tcPr>
            <w:tcW w:w="508" w:type="pct"/>
            <w:tcBorders>
              <w:tl2br w:val="nil"/>
              <w:tr2bl w:val="nil"/>
            </w:tcBorders>
            <w:vAlign w:val="center"/>
          </w:tcPr>
          <w:p w14:paraId="489868AE">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0.277</w:t>
            </w:r>
          </w:p>
        </w:tc>
        <w:tc>
          <w:tcPr>
            <w:tcW w:w="469" w:type="pct"/>
            <w:tcBorders>
              <w:tl2br w:val="nil"/>
              <w:tr2bl w:val="nil"/>
            </w:tcBorders>
            <w:vAlign w:val="center"/>
          </w:tcPr>
          <w:p w14:paraId="19F4AE02">
            <w:pPr>
              <w:widowControl/>
              <w:spacing w:line="240" w:lineRule="auto"/>
              <w:ind w:left="-72" w:leftChars="-30" w:right="-72" w:rightChars="-30" w:firstLine="0" w:firstLineChars="0"/>
              <w:jc w:val="center"/>
              <w:rPr>
                <w:color w:val="auto"/>
                <w:sz w:val="21"/>
                <w:szCs w:val="21"/>
                <w:highlight w:val="none"/>
                <w:u w:val="single"/>
              </w:rPr>
            </w:pPr>
          </w:p>
        </w:tc>
        <w:tc>
          <w:tcPr>
            <w:tcW w:w="554" w:type="pct"/>
            <w:tcBorders>
              <w:tl2br w:val="nil"/>
              <w:tr2bl w:val="nil"/>
            </w:tcBorders>
            <w:vAlign w:val="center"/>
          </w:tcPr>
          <w:p w14:paraId="5AC4518D">
            <w:pPr>
              <w:widowControl/>
              <w:spacing w:line="240" w:lineRule="auto"/>
              <w:ind w:left="-72" w:leftChars="-30" w:right="-72" w:rightChars="-30" w:firstLine="0" w:firstLineChars="0"/>
              <w:jc w:val="center"/>
              <w:rPr>
                <w:color w:val="auto"/>
                <w:sz w:val="21"/>
                <w:szCs w:val="21"/>
                <w:highlight w:val="none"/>
                <w:u w:val="single"/>
              </w:rPr>
            </w:pPr>
          </w:p>
        </w:tc>
        <w:tc>
          <w:tcPr>
            <w:tcW w:w="420" w:type="pct"/>
            <w:tcBorders>
              <w:tl2br w:val="nil"/>
              <w:tr2bl w:val="nil"/>
            </w:tcBorders>
            <w:vAlign w:val="center"/>
          </w:tcPr>
          <w:p w14:paraId="38796B5C">
            <w:pPr>
              <w:widowControl/>
              <w:spacing w:line="240" w:lineRule="auto"/>
              <w:ind w:left="-72" w:leftChars="-30" w:right="-72" w:rightChars="-30" w:firstLine="0" w:firstLineChars="0"/>
              <w:jc w:val="center"/>
              <w:rPr>
                <w:color w:val="auto"/>
                <w:sz w:val="21"/>
                <w:szCs w:val="21"/>
                <w:highlight w:val="none"/>
                <w:u w:val="single"/>
              </w:rPr>
            </w:pPr>
          </w:p>
        </w:tc>
        <w:tc>
          <w:tcPr>
            <w:tcW w:w="447" w:type="pct"/>
            <w:tcBorders>
              <w:tl2br w:val="nil"/>
              <w:tr2bl w:val="nil"/>
            </w:tcBorders>
            <w:vAlign w:val="center"/>
          </w:tcPr>
          <w:p w14:paraId="251879CC">
            <w:pPr>
              <w:widowControl/>
              <w:spacing w:line="240" w:lineRule="auto"/>
              <w:ind w:left="-72" w:leftChars="-30" w:right="-72" w:rightChars="-30" w:firstLine="0" w:firstLineChars="0"/>
              <w:jc w:val="center"/>
              <w:rPr>
                <w:color w:val="auto"/>
                <w:sz w:val="21"/>
                <w:szCs w:val="21"/>
                <w:highlight w:val="none"/>
                <w:u w:val="single"/>
              </w:rPr>
            </w:pPr>
          </w:p>
        </w:tc>
        <w:tc>
          <w:tcPr>
            <w:tcW w:w="539" w:type="pct"/>
            <w:tcBorders>
              <w:tl2br w:val="nil"/>
              <w:tr2bl w:val="nil"/>
            </w:tcBorders>
            <w:vAlign w:val="center"/>
          </w:tcPr>
          <w:p w14:paraId="370544A0">
            <w:pPr>
              <w:widowControl/>
              <w:spacing w:line="240" w:lineRule="auto"/>
              <w:ind w:left="-72" w:leftChars="-30" w:right="-72" w:rightChars="-30" w:firstLine="0" w:firstLineChars="0"/>
              <w:jc w:val="center"/>
              <w:rPr>
                <w:color w:val="auto"/>
                <w:sz w:val="21"/>
                <w:szCs w:val="21"/>
                <w:highlight w:val="none"/>
                <w:u w:val="single"/>
              </w:rPr>
            </w:pPr>
          </w:p>
        </w:tc>
        <w:tc>
          <w:tcPr>
            <w:tcW w:w="698" w:type="pct"/>
            <w:tcBorders>
              <w:tl2br w:val="nil"/>
              <w:tr2bl w:val="nil"/>
            </w:tcBorders>
            <w:vAlign w:val="center"/>
          </w:tcPr>
          <w:p w14:paraId="60268CD5">
            <w:pPr>
              <w:spacing w:line="240" w:lineRule="auto"/>
              <w:ind w:firstLine="0" w:firstLineChars="0"/>
              <w:jc w:val="center"/>
              <w:rPr>
                <w:color w:val="auto"/>
                <w:sz w:val="21"/>
                <w:szCs w:val="21"/>
                <w:highlight w:val="none"/>
                <w:u w:val="single"/>
              </w:rPr>
            </w:pPr>
            <w:r>
              <w:rPr>
                <w:color w:val="auto"/>
                <w:sz w:val="21"/>
                <w:szCs w:val="21"/>
                <w:highlight w:val="none"/>
                <w:u w:val="single"/>
              </w:rPr>
              <w:t>0.277</w:t>
            </w:r>
          </w:p>
        </w:tc>
        <w:tc>
          <w:tcPr>
            <w:tcW w:w="447" w:type="pct"/>
            <w:tcBorders>
              <w:tl2br w:val="nil"/>
              <w:tr2bl w:val="nil"/>
            </w:tcBorders>
            <w:vAlign w:val="center"/>
          </w:tcPr>
          <w:p w14:paraId="41F5B7FF">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0</w:t>
            </w:r>
          </w:p>
        </w:tc>
      </w:tr>
      <w:tr w14:paraId="511434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31" w:type="pct"/>
            <w:vMerge w:val="continue"/>
            <w:tcBorders>
              <w:tl2br w:val="nil"/>
              <w:tr2bl w:val="nil"/>
            </w:tcBorders>
            <w:vAlign w:val="center"/>
          </w:tcPr>
          <w:p w14:paraId="4C1C389B">
            <w:pPr>
              <w:widowControl/>
              <w:spacing w:line="240" w:lineRule="auto"/>
              <w:ind w:left="-72" w:leftChars="-30" w:right="-72" w:rightChars="-30" w:firstLine="0" w:firstLineChars="0"/>
              <w:jc w:val="center"/>
              <w:rPr>
                <w:rFonts w:hint="eastAsia" w:ascii="宋体" w:hAnsi="宋体" w:cs="宋体"/>
                <w:color w:val="auto"/>
                <w:sz w:val="21"/>
                <w:szCs w:val="21"/>
                <w:highlight w:val="none"/>
                <w:u w:val="single"/>
              </w:rPr>
            </w:pPr>
          </w:p>
        </w:tc>
        <w:tc>
          <w:tcPr>
            <w:tcW w:w="584" w:type="pct"/>
            <w:tcBorders>
              <w:tl2br w:val="nil"/>
              <w:tr2bl w:val="nil"/>
            </w:tcBorders>
            <w:vAlign w:val="center"/>
          </w:tcPr>
          <w:p w14:paraId="71B45F55">
            <w:pPr>
              <w:widowControl/>
              <w:spacing w:line="240" w:lineRule="auto"/>
              <w:ind w:left="-72" w:leftChars="-30" w:right="-72" w:rightChars="-30" w:firstLine="0" w:firstLineChars="0"/>
              <w:jc w:val="center"/>
              <w:textAlignment w:val="center"/>
              <w:rPr>
                <w:rFonts w:hint="eastAsia" w:ascii="宋体" w:hAnsi="宋体" w:cs="宋体"/>
                <w:color w:val="auto"/>
                <w:sz w:val="21"/>
                <w:szCs w:val="21"/>
                <w:highlight w:val="none"/>
                <w:u w:val="single"/>
              </w:rPr>
            </w:pPr>
            <w:r>
              <w:rPr>
                <w:rFonts w:hint="eastAsia" w:ascii="宋体" w:hAnsi="宋体" w:cs="宋体"/>
                <w:color w:val="auto"/>
                <w:sz w:val="21"/>
                <w:szCs w:val="21"/>
                <w:highlight w:val="none"/>
                <w:u w:val="single"/>
                <w:lang w:bidi="ar"/>
              </w:rPr>
              <w:t>颗粒物</w:t>
            </w:r>
          </w:p>
        </w:tc>
        <w:tc>
          <w:tcPr>
            <w:tcW w:w="508" w:type="pct"/>
            <w:tcBorders>
              <w:tl2br w:val="nil"/>
              <w:tr2bl w:val="nil"/>
            </w:tcBorders>
            <w:vAlign w:val="center"/>
          </w:tcPr>
          <w:p w14:paraId="2FBA3598">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9.252</w:t>
            </w:r>
          </w:p>
        </w:tc>
        <w:tc>
          <w:tcPr>
            <w:tcW w:w="469" w:type="pct"/>
            <w:tcBorders>
              <w:tl2br w:val="nil"/>
              <w:tr2bl w:val="nil"/>
            </w:tcBorders>
            <w:vAlign w:val="center"/>
          </w:tcPr>
          <w:p w14:paraId="15A6C97C">
            <w:pPr>
              <w:widowControl/>
              <w:spacing w:line="240" w:lineRule="auto"/>
              <w:ind w:left="-72" w:leftChars="-30" w:right="-72" w:rightChars="-30" w:firstLine="0" w:firstLineChars="0"/>
              <w:jc w:val="center"/>
              <w:rPr>
                <w:color w:val="auto"/>
                <w:sz w:val="21"/>
                <w:szCs w:val="21"/>
                <w:highlight w:val="none"/>
                <w:u w:val="single"/>
              </w:rPr>
            </w:pPr>
          </w:p>
        </w:tc>
        <w:tc>
          <w:tcPr>
            <w:tcW w:w="554" w:type="pct"/>
            <w:tcBorders>
              <w:tl2br w:val="nil"/>
              <w:tr2bl w:val="nil"/>
            </w:tcBorders>
            <w:vAlign w:val="center"/>
          </w:tcPr>
          <w:p w14:paraId="3A8C558A">
            <w:pPr>
              <w:widowControl/>
              <w:spacing w:line="240" w:lineRule="auto"/>
              <w:ind w:left="-72" w:leftChars="-30" w:right="-72" w:rightChars="-30"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9.73</w:t>
            </w:r>
          </w:p>
        </w:tc>
        <w:tc>
          <w:tcPr>
            <w:tcW w:w="420" w:type="pct"/>
            <w:tcBorders>
              <w:tl2br w:val="nil"/>
              <w:tr2bl w:val="nil"/>
            </w:tcBorders>
            <w:vAlign w:val="center"/>
          </w:tcPr>
          <w:p w14:paraId="34BA7184">
            <w:pPr>
              <w:widowControl/>
              <w:spacing w:line="240" w:lineRule="auto"/>
              <w:ind w:left="-72" w:leftChars="-30" w:right="-72" w:rightChars="-30"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0.288</w:t>
            </w:r>
          </w:p>
        </w:tc>
        <w:tc>
          <w:tcPr>
            <w:tcW w:w="447" w:type="pct"/>
            <w:tcBorders>
              <w:tl2br w:val="nil"/>
              <w:tr2bl w:val="nil"/>
            </w:tcBorders>
            <w:vAlign w:val="center"/>
          </w:tcPr>
          <w:p w14:paraId="6FA19B62">
            <w:pPr>
              <w:widowControl/>
              <w:spacing w:line="240" w:lineRule="auto"/>
              <w:ind w:left="-72" w:leftChars="-30" w:right="-72" w:rightChars="-30"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9.442</w:t>
            </w:r>
          </w:p>
        </w:tc>
        <w:tc>
          <w:tcPr>
            <w:tcW w:w="539" w:type="pct"/>
            <w:tcBorders>
              <w:tl2br w:val="nil"/>
              <w:tr2bl w:val="nil"/>
            </w:tcBorders>
            <w:vAlign w:val="center"/>
          </w:tcPr>
          <w:p w14:paraId="25D2F4EA">
            <w:pPr>
              <w:widowControl/>
              <w:spacing w:line="240" w:lineRule="auto"/>
              <w:ind w:left="-72" w:leftChars="-30" w:right="-72" w:rightChars="-30"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bidi="ar"/>
              </w:rPr>
              <w:t>9.442</w:t>
            </w:r>
          </w:p>
        </w:tc>
        <w:tc>
          <w:tcPr>
            <w:tcW w:w="698" w:type="pct"/>
            <w:tcBorders>
              <w:tl2br w:val="nil"/>
              <w:tr2bl w:val="nil"/>
            </w:tcBorders>
            <w:vAlign w:val="center"/>
          </w:tcPr>
          <w:p w14:paraId="290A87A8">
            <w:pPr>
              <w:widowControl/>
              <w:spacing w:line="240" w:lineRule="auto"/>
              <w:ind w:left="-72" w:leftChars="-30" w:right="-72" w:rightChars="-30" w:firstLine="0" w:firstLineChars="0"/>
              <w:jc w:val="center"/>
              <w:textAlignment w:val="center"/>
              <w:rPr>
                <w:color w:val="auto"/>
                <w:sz w:val="21"/>
                <w:szCs w:val="21"/>
                <w:highlight w:val="none"/>
                <w:u w:val="single"/>
                <w:lang w:bidi="ar"/>
              </w:rPr>
            </w:pPr>
            <w:r>
              <w:rPr>
                <w:color w:val="auto"/>
                <w:sz w:val="21"/>
                <w:szCs w:val="21"/>
                <w:highlight w:val="none"/>
                <w:u w:val="single"/>
                <w:lang w:bidi="ar"/>
              </w:rPr>
              <w:t>9.252</w:t>
            </w:r>
          </w:p>
        </w:tc>
        <w:tc>
          <w:tcPr>
            <w:tcW w:w="447" w:type="pct"/>
            <w:tcBorders>
              <w:tl2br w:val="nil"/>
              <w:tr2bl w:val="nil"/>
            </w:tcBorders>
            <w:vAlign w:val="center"/>
          </w:tcPr>
          <w:p w14:paraId="1402F8EC">
            <w:pPr>
              <w:widowControl/>
              <w:spacing w:line="240" w:lineRule="auto"/>
              <w:ind w:left="-72" w:leftChars="-30" w:right="-72" w:rightChars="-30" w:firstLine="0" w:firstLineChars="0"/>
              <w:jc w:val="center"/>
              <w:textAlignment w:val="center"/>
              <w:rPr>
                <w:color w:val="auto"/>
                <w:sz w:val="21"/>
                <w:szCs w:val="21"/>
                <w:highlight w:val="none"/>
                <w:u w:val="single"/>
                <w:lang w:bidi="ar"/>
              </w:rPr>
            </w:pPr>
            <w:r>
              <w:rPr>
                <w:color w:val="auto"/>
                <w:sz w:val="21"/>
                <w:szCs w:val="21"/>
                <w:highlight w:val="none"/>
                <w:u w:val="single"/>
                <w:lang w:bidi="ar"/>
              </w:rPr>
              <w:t>0</w:t>
            </w:r>
          </w:p>
        </w:tc>
      </w:tr>
      <w:tr w14:paraId="78A3D3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31" w:type="pct"/>
            <w:vMerge w:val="continue"/>
            <w:tcBorders>
              <w:tl2br w:val="nil"/>
              <w:tr2bl w:val="nil"/>
            </w:tcBorders>
            <w:vAlign w:val="center"/>
          </w:tcPr>
          <w:p w14:paraId="0F387A60">
            <w:pPr>
              <w:widowControl/>
              <w:spacing w:line="240" w:lineRule="auto"/>
              <w:ind w:left="-72" w:leftChars="-30" w:right="-72" w:rightChars="-30" w:firstLine="0" w:firstLineChars="0"/>
              <w:jc w:val="center"/>
              <w:rPr>
                <w:rFonts w:hint="eastAsia" w:ascii="宋体" w:hAnsi="宋体" w:cs="宋体"/>
                <w:color w:val="auto"/>
                <w:sz w:val="21"/>
                <w:szCs w:val="21"/>
                <w:highlight w:val="none"/>
                <w:u w:val="single"/>
              </w:rPr>
            </w:pPr>
          </w:p>
        </w:tc>
        <w:tc>
          <w:tcPr>
            <w:tcW w:w="584" w:type="pct"/>
            <w:tcBorders>
              <w:tl2br w:val="nil"/>
              <w:tr2bl w:val="nil"/>
            </w:tcBorders>
            <w:vAlign w:val="center"/>
          </w:tcPr>
          <w:p w14:paraId="04BB7970">
            <w:pPr>
              <w:spacing w:line="240" w:lineRule="auto"/>
              <w:ind w:firstLine="0" w:firstLineChars="0"/>
              <w:jc w:val="center"/>
              <w:rPr>
                <w:rFonts w:hint="eastAsia" w:ascii="宋体" w:hAnsi="宋体" w:cs="宋体"/>
                <w:color w:val="auto"/>
                <w:sz w:val="21"/>
                <w:szCs w:val="21"/>
                <w:highlight w:val="none"/>
                <w:u w:val="single"/>
                <w:lang w:bidi="ar"/>
              </w:rPr>
            </w:pPr>
            <w:r>
              <w:rPr>
                <w:bCs/>
                <w:color w:val="auto"/>
                <w:sz w:val="21"/>
                <w:szCs w:val="21"/>
                <w:highlight w:val="none"/>
                <w:u w:val="single"/>
              </w:rPr>
              <w:t>SO</w:t>
            </w:r>
            <w:r>
              <w:rPr>
                <w:bCs/>
                <w:color w:val="auto"/>
                <w:sz w:val="21"/>
                <w:szCs w:val="21"/>
                <w:highlight w:val="none"/>
                <w:u w:val="single"/>
                <w:vertAlign w:val="subscript"/>
              </w:rPr>
              <w:t>2</w:t>
            </w:r>
          </w:p>
        </w:tc>
        <w:tc>
          <w:tcPr>
            <w:tcW w:w="508" w:type="pct"/>
            <w:tcBorders>
              <w:tl2br w:val="nil"/>
              <w:tr2bl w:val="nil"/>
            </w:tcBorders>
            <w:vAlign w:val="center"/>
          </w:tcPr>
          <w:p w14:paraId="272E78E2">
            <w:pPr>
              <w:spacing w:line="240" w:lineRule="auto"/>
              <w:ind w:firstLine="0" w:firstLineChars="0"/>
              <w:jc w:val="center"/>
              <w:rPr>
                <w:color w:val="auto"/>
                <w:sz w:val="21"/>
                <w:szCs w:val="21"/>
                <w:highlight w:val="none"/>
                <w:u w:val="single"/>
              </w:rPr>
            </w:pPr>
            <w:r>
              <w:rPr>
                <w:color w:val="auto"/>
                <w:sz w:val="21"/>
                <w:szCs w:val="21"/>
                <w:highlight w:val="none"/>
                <w:u w:val="single"/>
              </w:rPr>
              <w:t>0.0322</w:t>
            </w:r>
          </w:p>
        </w:tc>
        <w:tc>
          <w:tcPr>
            <w:tcW w:w="469" w:type="pct"/>
            <w:tcBorders>
              <w:tl2br w:val="nil"/>
              <w:tr2bl w:val="nil"/>
            </w:tcBorders>
            <w:vAlign w:val="center"/>
          </w:tcPr>
          <w:p w14:paraId="3CE03C9C">
            <w:pPr>
              <w:widowControl/>
              <w:spacing w:line="240" w:lineRule="auto"/>
              <w:ind w:left="-72" w:leftChars="-30" w:right="-72" w:rightChars="-30" w:firstLine="0" w:firstLineChars="0"/>
              <w:jc w:val="center"/>
              <w:rPr>
                <w:color w:val="auto"/>
                <w:sz w:val="21"/>
                <w:szCs w:val="21"/>
                <w:highlight w:val="none"/>
                <w:u w:val="single"/>
              </w:rPr>
            </w:pPr>
          </w:p>
        </w:tc>
        <w:tc>
          <w:tcPr>
            <w:tcW w:w="554" w:type="pct"/>
            <w:tcBorders>
              <w:tl2br w:val="nil"/>
              <w:tr2bl w:val="nil"/>
            </w:tcBorders>
            <w:vAlign w:val="center"/>
          </w:tcPr>
          <w:p w14:paraId="01820398">
            <w:pPr>
              <w:widowControl/>
              <w:spacing w:line="240" w:lineRule="auto"/>
              <w:ind w:left="-72" w:leftChars="-30" w:right="-72" w:rightChars="-30" w:firstLine="0" w:firstLineChars="0"/>
              <w:jc w:val="center"/>
              <w:textAlignment w:val="center"/>
              <w:rPr>
                <w:color w:val="auto"/>
                <w:sz w:val="21"/>
                <w:szCs w:val="21"/>
                <w:highlight w:val="none"/>
                <w:u w:val="single"/>
                <w:lang w:bidi="ar"/>
              </w:rPr>
            </w:pPr>
          </w:p>
        </w:tc>
        <w:tc>
          <w:tcPr>
            <w:tcW w:w="420" w:type="pct"/>
            <w:tcBorders>
              <w:tl2br w:val="nil"/>
              <w:tr2bl w:val="nil"/>
            </w:tcBorders>
            <w:vAlign w:val="center"/>
          </w:tcPr>
          <w:p w14:paraId="73D0864D">
            <w:pPr>
              <w:widowControl/>
              <w:spacing w:line="240" w:lineRule="auto"/>
              <w:ind w:left="-72" w:leftChars="-30" w:right="-72" w:rightChars="-30" w:firstLine="0" w:firstLineChars="0"/>
              <w:jc w:val="center"/>
              <w:textAlignment w:val="center"/>
              <w:rPr>
                <w:color w:val="auto"/>
                <w:sz w:val="21"/>
                <w:szCs w:val="21"/>
                <w:highlight w:val="none"/>
                <w:u w:val="single"/>
                <w:lang w:bidi="ar"/>
              </w:rPr>
            </w:pPr>
          </w:p>
        </w:tc>
        <w:tc>
          <w:tcPr>
            <w:tcW w:w="447" w:type="pct"/>
            <w:tcBorders>
              <w:tl2br w:val="nil"/>
              <w:tr2bl w:val="nil"/>
            </w:tcBorders>
            <w:vAlign w:val="center"/>
          </w:tcPr>
          <w:p w14:paraId="21BD3EFF">
            <w:pPr>
              <w:widowControl/>
              <w:spacing w:line="240" w:lineRule="auto"/>
              <w:ind w:left="-72" w:leftChars="-30" w:right="-72" w:rightChars="-30" w:firstLine="0" w:firstLineChars="0"/>
              <w:jc w:val="center"/>
              <w:textAlignment w:val="center"/>
              <w:rPr>
                <w:color w:val="auto"/>
                <w:sz w:val="21"/>
                <w:szCs w:val="21"/>
                <w:highlight w:val="none"/>
                <w:u w:val="single"/>
                <w:lang w:bidi="ar"/>
              </w:rPr>
            </w:pPr>
          </w:p>
        </w:tc>
        <w:tc>
          <w:tcPr>
            <w:tcW w:w="539" w:type="pct"/>
            <w:tcBorders>
              <w:tl2br w:val="nil"/>
              <w:tr2bl w:val="nil"/>
            </w:tcBorders>
            <w:vAlign w:val="center"/>
          </w:tcPr>
          <w:p w14:paraId="742687C9">
            <w:pPr>
              <w:widowControl/>
              <w:spacing w:line="240" w:lineRule="auto"/>
              <w:ind w:left="-72" w:leftChars="-30" w:right="-72" w:rightChars="-30" w:firstLine="0" w:firstLineChars="0"/>
              <w:jc w:val="center"/>
              <w:textAlignment w:val="center"/>
              <w:rPr>
                <w:color w:val="auto"/>
                <w:sz w:val="21"/>
                <w:szCs w:val="21"/>
                <w:highlight w:val="none"/>
                <w:u w:val="single"/>
                <w:lang w:bidi="ar"/>
              </w:rPr>
            </w:pPr>
          </w:p>
        </w:tc>
        <w:tc>
          <w:tcPr>
            <w:tcW w:w="698" w:type="pct"/>
            <w:tcBorders>
              <w:tl2br w:val="nil"/>
              <w:tr2bl w:val="nil"/>
            </w:tcBorders>
            <w:vAlign w:val="center"/>
          </w:tcPr>
          <w:p w14:paraId="05343158">
            <w:pPr>
              <w:spacing w:line="240" w:lineRule="auto"/>
              <w:ind w:firstLine="0" w:firstLineChars="0"/>
              <w:jc w:val="center"/>
              <w:rPr>
                <w:color w:val="auto"/>
                <w:sz w:val="21"/>
                <w:szCs w:val="21"/>
                <w:highlight w:val="none"/>
                <w:u w:val="single"/>
              </w:rPr>
            </w:pPr>
            <w:r>
              <w:rPr>
                <w:color w:val="auto"/>
                <w:sz w:val="21"/>
                <w:szCs w:val="21"/>
                <w:highlight w:val="none"/>
                <w:u w:val="single"/>
              </w:rPr>
              <w:t>0.0322</w:t>
            </w:r>
          </w:p>
        </w:tc>
        <w:tc>
          <w:tcPr>
            <w:tcW w:w="447" w:type="pct"/>
            <w:tcBorders>
              <w:tl2br w:val="nil"/>
              <w:tr2bl w:val="nil"/>
            </w:tcBorders>
            <w:vAlign w:val="center"/>
          </w:tcPr>
          <w:p w14:paraId="3E55B23E">
            <w:pPr>
              <w:widowControl/>
              <w:spacing w:line="240" w:lineRule="auto"/>
              <w:ind w:left="-72" w:leftChars="-30" w:right="-72" w:rightChars="-30" w:firstLine="0" w:firstLineChars="0"/>
              <w:jc w:val="center"/>
              <w:textAlignment w:val="center"/>
              <w:rPr>
                <w:color w:val="auto"/>
                <w:sz w:val="21"/>
                <w:szCs w:val="21"/>
                <w:highlight w:val="none"/>
                <w:u w:val="single"/>
                <w:lang w:bidi="ar"/>
              </w:rPr>
            </w:pPr>
            <w:r>
              <w:rPr>
                <w:color w:val="auto"/>
                <w:sz w:val="21"/>
                <w:szCs w:val="21"/>
                <w:highlight w:val="none"/>
                <w:u w:val="single"/>
                <w:lang w:bidi="ar"/>
              </w:rPr>
              <w:t>0</w:t>
            </w:r>
          </w:p>
        </w:tc>
      </w:tr>
      <w:tr w14:paraId="47EF44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31" w:type="pct"/>
            <w:vMerge w:val="continue"/>
            <w:tcBorders>
              <w:tl2br w:val="nil"/>
              <w:tr2bl w:val="nil"/>
            </w:tcBorders>
            <w:vAlign w:val="center"/>
          </w:tcPr>
          <w:p w14:paraId="40082DC2">
            <w:pPr>
              <w:widowControl/>
              <w:spacing w:line="240" w:lineRule="auto"/>
              <w:ind w:left="-72" w:leftChars="-30" w:right="-72" w:rightChars="-30" w:firstLine="0" w:firstLineChars="0"/>
              <w:jc w:val="center"/>
              <w:rPr>
                <w:rFonts w:hint="eastAsia" w:ascii="宋体" w:hAnsi="宋体" w:cs="宋体"/>
                <w:color w:val="auto"/>
                <w:sz w:val="21"/>
                <w:szCs w:val="21"/>
                <w:highlight w:val="none"/>
                <w:u w:val="single"/>
              </w:rPr>
            </w:pPr>
          </w:p>
        </w:tc>
        <w:tc>
          <w:tcPr>
            <w:tcW w:w="584" w:type="pct"/>
            <w:tcBorders>
              <w:tl2br w:val="nil"/>
              <w:tr2bl w:val="nil"/>
            </w:tcBorders>
            <w:vAlign w:val="center"/>
          </w:tcPr>
          <w:p w14:paraId="14D042C5">
            <w:pPr>
              <w:spacing w:line="240" w:lineRule="auto"/>
              <w:ind w:firstLine="0" w:firstLineChars="0"/>
              <w:jc w:val="center"/>
              <w:rPr>
                <w:rFonts w:hint="eastAsia" w:ascii="宋体" w:hAnsi="宋体" w:cs="宋体"/>
                <w:color w:val="auto"/>
                <w:sz w:val="21"/>
                <w:szCs w:val="21"/>
                <w:highlight w:val="none"/>
                <w:u w:val="single"/>
                <w:lang w:bidi="ar"/>
              </w:rPr>
            </w:pPr>
            <w:r>
              <w:rPr>
                <w:color w:val="auto"/>
                <w:sz w:val="21"/>
                <w:szCs w:val="21"/>
                <w:highlight w:val="none"/>
                <w:u w:val="single"/>
              </w:rPr>
              <w:t>NOx</w:t>
            </w:r>
          </w:p>
        </w:tc>
        <w:tc>
          <w:tcPr>
            <w:tcW w:w="508" w:type="pct"/>
            <w:tcBorders>
              <w:tl2br w:val="nil"/>
              <w:tr2bl w:val="nil"/>
            </w:tcBorders>
            <w:vAlign w:val="center"/>
          </w:tcPr>
          <w:p w14:paraId="149E4A7F">
            <w:pPr>
              <w:spacing w:line="240" w:lineRule="auto"/>
              <w:ind w:firstLine="0" w:firstLineChars="0"/>
              <w:jc w:val="center"/>
              <w:rPr>
                <w:color w:val="auto"/>
                <w:sz w:val="21"/>
                <w:szCs w:val="21"/>
                <w:highlight w:val="none"/>
                <w:u w:val="single"/>
              </w:rPr>
            </w:pPr>
            <w:r>
              <w:rPr>
                <w:color w:val="auto"/>
                <w:sz w:val="21"/>
                <w:szCs w:val="21"/>
                <w:highlight w:val="none"/>
                <w:u w:val="single"/>
              </w:rPr>
              <w:t>0.363</w:t>
            </w:r>
          </w:p>
        </w:tc>
        <w:tc>
          <w:tcPr>
            <w:tcW w:w="469" w:type="pct"/>
            <w:tcBorders>
              <w:tl2br w:val="nil"/>
              <w:tr2bl w:val="nil"/>
            </w:tcBorders>
            <w:vAlign w:val="center"/>
          </w:tcPr>
          <w:p w14:paraId="179CB631">
            <w:pPr>
              <w:widowControl/>
              <w:spacing w:line="240" w:lineRule="auto"/>
              <w:ind w:left="-72" w:leftChars="-30" w:right="-72" w:rightChars="-30" w:firstLine="0" w:firstLineChars="0"/>
              <w:jc w:val="center"/>
              <w:rPr>
                <w:color w:val="auto"/>
                <w:sz w:val="21"/>
                <w:szCs w:val="21"/>
                <w:highlight w:val="none"/>
                <w:u w:val="single"/>
              </w:rPr>
            </w:pPr>
          </w:p>
        </w:tc>
        <w:tc>
          <w:tcPr>
            <w:tcW w:w="554" w:type="pct"/>
            <w:tcBorders>
              <w:tl2br w:val="nil"/>
              <w:tr2bl w:val="nil"/>
            </w:tcBorders>
            <w:vAlign w:val="center"/>
          </w:tcPr>
          <w:p w14:paraId="72063749">
            <w:pPr>
              <w:widowControl/>
              <w:spacing w:line="240" w:lineRule="auto"/>
              <w:ind w:left="-72" w:leftChars="-30" w:right="-72" w:rightChars="-30" w:firstLine="0" w:firstLineChars="0"/>
              <w:jc w:val="center"/>
              <w:textAlignment w:val="center"/>
              <w:rPr>
                <w:color w:val="auto"/>
                <w:sz w:val="21"/>
                <w:szCs w:val="21"/>
                <w:highlight w:val="none"/>
                <w:u w:val="single"/>
                <w:lang w:bidi="ar"/>
              </w:rPr>
            </w:pPr>
          </w:p>
        </w:tc>
        <w:tc>
          <w:tcPr>
            <w:tcW w:w="420" w:type="pct"/>
            <w:tcBorders>
              <w:tl2br w:val="nil"/>
              <w:tr2bl w:val="nil"/>
            </w:tcBorders>
            <w:vAlign w:val="center"/>
          </w:tcPr>
          <w:p w14:paraId="7383E247">
            <w:pPr>
              <w:widowControl/>
              <w:spacing w:line="240" w:lineRule="auto"/>
              <w:ind w:left="-72" w:leftChars="-30" w:right="-72" w:rightChars="-30" w:firstLine="0" w:firstLineChars="0"/>
              <w:jc w:val="center"/>
              <w:textAlignment w:val="center"/>
              <w:rPr>
                <w:color w:val="auto"/>
                <w:sz w:val="21"/>
                <w:szCs w:val="21"/>
                <w:highlight w:val="none"/>
                <w:u w:val="single"/>
                <w:lang w:bidi="ar"/>
              </w:rPr>
            </w:pPr>
          </w:p>
        </w:tc>
        <w:tc>
          <w:tcPr>
            <w:tcW w:w="447" w:type="pct"/>
            <w:tcBorders>
              <w:tl2br w:val="nil"/>
              <w:tr2bl w:val="nil"/>
            </w:tcBorders>
            <w:vAlign w:val="center"/>
          </w:tcPr>
          <w:p w14:paraId="258CBA40">
            <w:pPr>
              <w:widowControl/>
              <w:spacing w:line="240" w:lineRule="auto"/>
              <w:ind w:left="-72" w:leftChars="-30" w:right="-72" w:rightChars="-30" w:firstLine="0" w:firstLineChars="0"/>
              <w:jc w:val="center"/>
              <w:textAlignment w:val="center"/>
              <w:rPr>
                <w:color w:val="auto"/>
                <w:sz w:val="21"/>
                <w:szCs w:val="21"/>
                <w:highlight w:val="none"/>
                <w:u w:val="single"/>
                <w:lang w:bidi="ar"/>
              </w:rPr>
            </w:pPr>
          </w:p>
        </w:tc>
        <w:tc>
          <w:tcPr>
            <w:tcW w:w="539" w:type="pct"/>
            <w:tcBorders>
              <w:tl2br w:val="nil"/>
              <w:tr2bl w:val="nil"/>
            </w:tcBorders>
            <w:vAlign w:val="center"/>
          </w:tcPr>
          <w:p w14:paraId="22D1F7DA">
            <w:pPr>
              <w:widowControl/>
              <w:spacing w:line="240" w:lineRule="auto"/>
              <w:ind w:left="-72" w:leftChars="-30" w:right="-72" w:rightChars="-30" w:firstLine="0" w:firstLineChars="0"/>
              <w:jc w:val="center"/>
              <w:textAlignment w:val="center"/>
              <w:rPr>
                <w:color w:val="auto"/>
                <w:sz w:val="21"/>
                <w:szCs w:val="21"/>
                <w:highlight w:val="none"/>
                <w:u w:val="single"/>
                <w:lang w:bidi="ar"/>
              </w:rPr>
            </w:pPr>
          </w:p>
        </w:tc>
        <w:tc>
          <w:tcPr>
            <w:tcW w:w="698" w:type="pct"/>
            <w:tcBorders>
              <w:tl2br w:val="nil"/>
              <w:tr2bl w:val="nil"/>
            </w:tcBorders>
            <w:vAlign w:val="center"/>
          </w:tcPr>
          <w:p w14:paraId="6C1E2E6C">
            <w:pPr>
              <w:spacing w:line="240" w:lineRule="auto"/>
              <w:ind w:firstLine="0" w:firstLineChars="0"/>
              <w:jc w:val="center"/>
              <w:rPr>
                <w:color w:val="auto"/>
                <w:sz w:val="21"/>
                <w:szCs w:val="21"/>
                <w:highlight w:val="none"/>
                <w:u w:val="single"/>
              </w:rPr>
            </w:pPr>
            <w:r>
              <w:rPr>
                <w:color w:val="auto"/>
                <w:sz w:val="21"/>
                <w:szCs w:val="21"/>
                <w:highlight w:val="none"/>
                <w:u w:val="single"/>
              </w:rPr>
              <w:t>0.363</w:t>
            </w:r>
          </w:p>
        </w:tc>
        <w:tc>
          <w:tcPr>
            <w:tcW w:w="447" w:type="pct"/>
            <w:tcBorders>
              <w:tl2br w:val="nil"/>
              <w:tr2bl w:val="nil"/>
            </w:tcBorders>
            <w:vAlign w:val="center"/>
          </w:tcPr>
          <w:p w14:paraId="5CE7E955">
            <w:pPr>
              <w:widowControl/>
              <w:spacing w:line="240" w:lineRule="auto"/>
              <w:ind w:left="-72" w:leftChars="-30" w:right="-72" w:rightChars="-30" w:firstLine="0" w:firstLineChars="0"/>
              <w:jc w:val="center"/>
              <w:textAlignment w:val="center"/>
              <w:rPr>
                <w:color w:val="auto"/>
                <w:sz w:val="21"/>
                <w:szCs w:val="21"/>
                <w:highlight w:val="none"/>
                <w:u w:val="single"/>
                <w:lang w:bidi="ar"/>
              </w:rPr>
            </w:pPr>
            <w:r>
              <w:rPr>
                <w:color w:val="auto"/>
                <w:sz w:val="21"/>
                <w:szCs w:val="21"/>
                <w:highlight w:val="none"/>
                <w:u w:val="single"/>
                <w:lang w:bidi="ar"/>
              </w:rPr>
              <w:t>0</w:t>
            </w:r>
          </w:p>
        </w:tc>
      </w:tr>
      <w:tr w14:paraId="10937AD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31" w:type="pct"/>
            <w:vMerge w:val="continue"/>
            <w:tcBorders>
              <w:tl2br w:val="nil"/>
              <w:tr2bl w:val="nil"/>
            </w:tcBorders>
            <w:vAlign w:val="center"/>
          </w:tcPr>
          <w:p w14:paraId="412BC3FF">
            <w:pPr>
              <w:widowControl/>
              <w:spacing w:line="240" w:lineRule="auto"/>
              <w:ind w:left="-72" w:leftChars="-30" w:right="-72" w:rightChars="-30" w:firstLine="0" w:firstLineChars="0"/>
              <w:jc w:val="center"/>
              <w:rPr>
                <w:rFonts w:hint="eastAsia" w:ascii="宋体" w:hAnsi="宋体" w:cs="宋体"/>
                <w:color w:val="auto"/>
                <w:sz w:val="21"/>
                <w:szCs w:val="21"/>
                <w:highlight w:val="none"/>
                <w:u w:val="single"/>
              </w:rPr>
            </w:pPr>
          </w:p>
        </w:tc>
        <w:tc>
          <w:tcPr>
            <w:tcW w:w="584" w:type="pct"/>
            <w:tcBorders>
              <w:tl2br w:val="nil"/>
              <w:tr2bl w:val="nil"/>
            </w:tcBorders>
            <w:vAlign w:val="center"/>
          </w:tcPr>
          <w:p w14:paraId="470AEB39">
            <w:pPr>
              <w:spacing w:line="240" w:lineRule="auto"/>
              <w:ind w:firstLine="0" w:firstLineChars="0"/>
              <w:jc w:val="center"/>
              <w:rPr>
                <w:rFonts w:hint="eastAsia" w:ascii="宋体" w:hAnsi="宋体" w:cs="宋体"/>
                <w:color w:val="auto"/>
                <w:sz w:val="21"/>
                <w:szCs w:val="21"/>
                <w:highlight w:val="none"/>
                <w:u w:val="single"/>
                <w:lang w:bidi="ar"/>
              </w:rPr>
            </w:pPr>
            <w:r>
              <w:rPr>
                <w:color w:val="auto"/>
                <w:sz w:val="21"/>
                <w:szCs w:val="21"/>
                <w:highlight w:val="none"/>
                <w:u w:val="single"/>
              </w:rPr>
              <w:t>CO</w:t>
            </w:r>
          </w:p>
        </w:tc>
        <w:tc>
          <w:tcPr>
            <w:tcW w:w="508" w:type="pct"/>
            <w:tcBorders>
              <w:tl2br w:val="nil"/>
              <w:tr2bl w:val="nil"/>
            </w:tcBorders>
            <w:vAlign w:val="center"/>
          </w:tcPr>
          <w:p w14:paraId="08EEBE88">
            <w:pPr>
              <w:spacing w:line="240" w:lineRule="auto"/>
              <w:ind w:firstLine="0" w:firstLineChars="0"/>
              <w:jc w:val="center"/>
              <w:rPr>
                <w:color w:val="auto"/>
                <w:sz w:val="21"/>
                <w:szCs w:val="21"/>
                <w:highlight w:val="none"/>
                <w:u w:val="single"/>
              </w:rPr>
            </w:pPr>
            <w:r>
              <w:rPr>
                <w:color w:val="auto"/>
                <w:sz w:val="21"/>
                <w:szCs w:val="21"/>
                <w:highlight w:val="none"/>
                <w:u w:val="single"/>
              </w:rPr>
              <w:t>0.247</w:t>
            </w:r>
          </w:p>
        </w:tc>
        <w:tc>
          <w:tcPr>
            <w:tcW w:w="469" w:type="pct"/>
            <w:tcBorders>
              <w:tl2br w:val="nil"/>
              <w:tr2bl w:val="nil"/>
            </w:tcBorders>
            <w:vAlign w:val="center"/>
          </w:tcPr>
          <w:p w14:paraId="4A100C32">
            <w:pPr>
              <w:widowControl/>
              <w:spacing w:line="240" w:lineRule="auto"/>
              <w:ind w:left="-72" w:leftChars="-30" w:right="-72" w:rightChars="-30" w:firstLine="0" w:firstLineChars="0"/>
              <w:jc w:val="center"/>
              <w:rPr>
                <w:color w:val="auto"/>
                <w:sz w:val="21"/>
                <w:szCs w:val="21"/>
                <w:highlight w:val="none"/>
                <w:u w:val="single"/>
              </w:rPr>
            </w:pPr>
          </w:p>
        </w:tc>
        <w:tc>
          <w:tcPr>
            <w:tcW w:w="554" w:type="pct"/>
            <w:tcBorders>
              <w:tl2br w:val="nil"/>
              <w:tr2bl w:val="nil"/>
            </w:tcBorders>
            <w:vAlign w:val="center"/>
          </w:tcPr>
          <w:p w14:paraId="64B0BB1F">
            <w:pPr>
              <w:widowControl/>
              <w:spacing w:line="240" w:lineRule="auto"/>
              <w:ind w:left="-72" w:leftChars="-30" w:right="-72" w:rightChars="-30" w:firstLine="0" w:firstLineChars="0"/>
              <w:jc w:val="center"/>
              <w:textAlignment w:val="center"/>
              <w:rPr>
                <w:color w:val="auto"/>
                <w:sz w:val="21"/>
                <w:szCs w:val="21"/>
                <w:highlight w:val="none"/>
                <w:u w:val="single"/>
                <w:lang w:bidi="ar"/>
              </w:rPr>
            </w:pPr>
          </w:p>
        </w:tc>
        <w:tc>
          <w:tcPr>
            <w:tcW w:w="420" w:type="pct"/>
            <w:tcBorders>
              <w:tl2br w:val="nil"/>
              <w:tr2bl w:val="nil"/>
            </w:tcBorders>
            <w:vAlign w:val="center"/>
          </w:tcPr>
          <w:p w14:paraId="6B076FBF">
            <w:pPr>
              <w:widowControl/>
              <w:spacing w:line="240" w:lineRule="auto"/>
              <w:ind w:left="-72" w:leftChars="-30" w:right="-72" w:rightChars="-30" w:firstLine="0" w:firstLineChars="0"/>
              <w:jc w:val="center"/>
              <w:textAlignment w:val="center"/>
              <w:rPr>
                <w:color w:val="auto"/>
                <w:sz w:val="21"/>
                <w:szCs w:val="21"/>
                <w:highlight w:val="none"/>
                <w:u w:val="single"/>
                <w:lang w:bidi="ar"/>
              </w:rPr>
            </w:pPr>
          </w:p>
        </w:tc>
        <w:tc>
          <w:tcPr>
            <w:tcW w:w="447" w:type="pct"/>
            <w:tcBorders>
              <w:tl2br w:val="nil"/>
              <w:tr2bl w:val="nil"/>
            </w:tcBorders>
            <w:vAlign w:val="center"/>
          </w:tcPr>
          <w:p w14:paraId="1756EA46">
            <w:pPr>
              <w:widowControl/>
              <w:spacing w:line="240" w:lineRule="auto"/>
              <w:ind w:left="-72" w:leftChars="-30" w:right="-72" w:rightChars="-30" w:firstLine="0" w:firstLineChars="0"/>
              <w:jc w:val="center"/>
              <w:textAlignment w:val="center"/>
              <w:rPr>
                <w:color w:val="auto"/>
                <w:sz w:val="21"/>
                <w:szCs w:val="21"/>
                <w:highlight w:val="none"/>
                <w:u w:val="single"/>
                <w:lang w:bidi="ar"/>
              </w:rPr>
            </w:pPr>
          </w:p>
        </w:tc>
        <w:tc>
          <w:tcPr>
            <w:tcW w:w="539" w:type="pct"/>
            <w:tcBorders>
              <w:tl2br w:val="nil"/>
              <w:tr2bl w:val="nil"/>
            </w:tcBorders>
            <w:vAlign w:val="center"/>
          </w:tcPr>
          <w:p w14:paraId="7C664AE1">
            <w:pPr>
              <w:widowControl/>
              <w:spacing w:line="240" w:lineRule="auto"/>
              <w:ind w:left="-72" w:leftChars="-30" w:right="-72" w:rightChars="-30" w:firstLine="0" w:firstLineChars="0"/>
              <w:jc w:val="center"/>
              <w:textAlignment w:val="center"/>
              <w:rPr>
                <w:color w:val="auto"/>
                <w:sz w:val="21"/>
                <w:szCs w:val="21"/>
                <w:highlight w:val="none"/>
                <w:u w:val="single"/>
                <w:lang w:bidi="ar"/>
              </w:rPr>
            </w:pPr>
          </w:p>
        </w:tc>
        <w:tc>
          <w:tcPr>
            <w:tcW w:w="698" w:type="pct"/>
            <w:tcBorders>
              <w:tl2br w:val="nil"/>
              <w:tr2bl w:val="nil"/>
            </w:tcBorders>
            <w:vAlign w:val="center"/>
          </w:tcPr>
          <w:p w14:paraId="7B539691">
            <w:pPr>
              <w:spacing w:line="240" w:lineRule="auto"/>
              <w:ind w:firstLine="0" w:firstLineChars="0"/>
              <w:jc w:val="center"/>
              <w:rPr>
                <w:color w:val="auto"/>
                <w:sz w:val="21"/>
                <w:szCs w:val="21"/>
                <w:highlight w:val="none"/>
                <w:u w:val="single"/>
              </w:rPr>
            </w:pPr>
            <w:r>
              <w:rPr>
                <w:color w:val="auto"/>
                <w:sz w:val="21"/>
                <w:szCs w:val="21"/>
                <w:highlight w:val="none"/>
                <w:u w:val="single"/>
              </w:rPr>
              <w:t>0.247</w:t>
            </w:r>
          </w:p>
        </w:tc>
        <w:tc>
          <w:tcPr>
            <w:tcW w:w="447" w:type="pct"/>
            <w:tcBorders>
              <w:tl2br w:val="nil"/>
              <w:tr2bl w:val="nil"/>
            </w:tcBorders>
            <w:vAlign w:val="center"/>
          </w:tcPr>
          <w:p w14:paraId="50C42A31">
            <w:pPr>
              <w:widowControl/>
              <w:spacing w:line="240" w:lineRule="auto"/>
              <w:ind w:left="-72" w:leftChars="-30" w:right="-72" w:rightChars="-30" w:firstLine="0" w:firstLineChars="0"/>
              <w:jc w:val="center"/>
              <w:textAlignment w:val="center"/>
              <w:rPr>
                <w:color w:val="auto"/>
                <w:sz w:val="21"/>
                <w:szCs w:val="21"/>
                <w:highlight w:val="none"/>
                <w:u w:val="single"/>
                <w:lang w:bidi="ar"/>
              </w:rPr>
            </w:pPr>
            <w:r>
              <w:rPr>
                <w:color w:val="auto"/>
                <w:sz w:val="21"/>
                <w:szCs w:val="21"/>
                <w:highlight w:val="none"/>
                <w:u w:val="single"/>
                <w:lang w:bidi="ar"/>
              </w:rPr>
              <w:t>0</w:t>
            </w:r>
          </w:p>
        </w:tc>
      </w:tr>
      <w:tr w14:paraId="659DB7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331" w:type="pct"/>
            <w:vMerge w:val="restart"/>
            <w:tcBorders>
              <w:tl2br w:val="nil"/>
              <w:tr2bl w:val="nil"/>
            </w:tcBorders>
            <w:vAlign w:val="center"/>
          </w:tcPr>
          <w:p w14:paraId="04DC1FD7">
            <w:pPr>
              <w:widowControl/>
              <w:spacing w:line="240" w:lineRule="auto"/>
              <w:ind w:left="-72" w:leftChars="-30" w:right="-72" w:rightChars="-30" w:firstLine="0" w:firstLineChars="0"/>
              <w:jc w:val="center"/>
              <w:textAlignment w:val="center"/>
              <w:rPr>
                <w:rFonts w:hint="eastAsia" w:ascii="宋体" w:hAnsi="宋体" w:cs="宋体"/>
                <w:color w:val="auto"/>
                <w:sz w:val="21"/>
                <w:szCs w:val="21"/>
                <w:highlight w:val="none"/>
                <w:u w:val="single"/>
              </w:rPr>
            </w:pPr>
            <w:r>
              <w:rPr>
                <w:rFonts w:hint="eastAsia" w:ascii="宋体" w:hAnsi="宋体" w:cs="宋体"/>
                <w:color w:val="auto"/>
                <w:sz w:val="21"/>
                <w:szCs w:val="21"/>
                <w:highlight w:val="none"/>
                <w:u w:val="single"/>
                <w:lang w:bidi="ar"/>
              </w:rPr>
              <w:t>废水</w:t>
            </w:r>
          </w:p>
        </w:tc>
        <w:tc>
          <w:tcPr>
            <w:tcW w:w="584" w:type="pct"/>
            <w:tcBorders>
              <w:tl2br w:val="nil"/>
              <w:tr2bl w:val="nil"/>
            </w:tcBorders>
            <w:vAlign w:val="center"/>
          </w:tcPr>
          <w:p w14:paraId="0BBE2226">
            <w:pPr>
              <w:widowControl/>
              <w:spacing w:line="240" w:lineRule="auto"/>
              <w:ind w:left="-72" w:leftChars="-30" w:right="-72" w:rightChars="-30" w:firstLine="0" w:firstLineChars="0"/>
              <w:jc w:val="center"/>
              <w:textAlignment w:val="center"/>
              <w:rPr>
                <w:rFonts w:hint="eastAsia" w:ascii="宋体" w:hAnsi="宋体" w:cs="宋体"/>
                <w:color w:val="auto"/>
                <w:sz w:val="21"/>
                <w:szCs w:val="21"/>
                <w:highlight w:val="none"/>
                <w:u w:val="single"/>
                <w:lang w:bidi="ar"/>
              </w:rPr>
            </w:pPr>
            <w:r>
              <w:rPr>
                <w:rFonts w:hint="eastAsia" w:ascii="宋体" w:hAnsi="宋体" w:cs="宋体"/>
                <w:color w:val="auto"/>
                <w:sz w:val="21"/>
                <w:szCs w:val="21"/>
                <w:highlight w:val="none"/>
                <w:u w:val="single"/>
                <w:lang w:bidi="ar"/>
              </w:rPr>
              <w:t>废水</w:t>
            </w:r>
          </w:p>
          <w:p w14:paraId="1830B146">
            <w:pPr>
              <w:widowControl/>
              <w:spacing w:line="240" w:lineRule="auto"/>
              <w:ind w:left="-72" w:leftChars="-30" w:right="-72" w:rightChars="-30" w:firstLine="0" w:firstLineChars="0"/>
              <w:jc w:val="center"/>
              <w:textAlignment w:val="center"/>
              <w:rPr>
                <w:rFonts w:hint="eastAsia" w:ascii="宋体" w:hAnsi="宋体" w:cs="宋体"/>
                <w:color w:val="auto"/>
                <w:sz w:val="21"/>
                <w:szCs w:val="21"/>
                <w:highlight w:val="none"/>
                <w:u w:val="single"/>
              </w:rPr>
            </w:pPr>
            <w:r>
              <w:rPr>
                <w:rFonts w:hint="eastAsia" w:ascii="宋体" w:hAnsi="宋体" w:cs="宋体"/>
                <w:color w:val="auto"/>
                <w:sz w:val="21"/>
                <w:szCs w:val="21"/>
                <w:highlight w:val="none"/>
                <w:u w:val="single"/>
                <w:lang w:bidi="ar"/>
              </w:rPr>
              <w:t>（万</w:t>
            </w:r>
            <w:r>
              <w:rPr>
                <w:color w:val="auto"/>
                <w:sz w:val="21"/>
                <w:szCs w:val="21"/>
                <w:highlight w:val="none"/>
                <w:u w:val="single"/>
                <w:lang w:bidi="ar"/>
              </w:rPr>
              <w:t>m</w:t>
            </w:r>
            <w:r>
              <w:rPr>
                <w:color w:val="auto"/>
                <w:sz w:val="21"/>
                <w:szCs w:val="21"/>
                <w:highlight w:val="none"/>
                <w:u w:val="single"/>
                <w:vertAlign w:val="superscript"/>
                <w:lang w:bidi="ar"/>
              </w:rPr>
              <w:t>3</w:t>
            </w:r>
            <w:r>
              <w:rPr>
                <w:color w:val="auto"/>
                <w:sz w:val="21"/>
                <w:szCs w:val="21"/>
                <w:highlight w:val="none"/>
                <w:u w:val="single"/>
                <w:lang w:bidi="ar"/>
              </w:rPr>
              <w:t>/a</w:t>
            </w:r>
            <w:r>
              <w:rPr>
                <w:rFonts w:hint="eastAsia" w:ascii="宋体" w:hAnsi="宋体" w:cs="宋体"/>
                <w:color w:val="auto"/>
                <w:sz w:val="21"/>
                <w:szCs w:val="21"/>
                <w:highlight w:val="none"/>
                <w:u w:val="single"/>
                <w:lang w:bidi="ar"/>
              </w:rPr>
              <w:t>）</w:t>
            </w:r>
          </w:p>
        </w:tc>
        <w:tc>
          <w:tcPr>
            <w:tcW w:w="508" w:type="pct"/>
            <w:tcBorders>
              <w:tl2br w:val="nil"/>
              <w:tr2bl w:val="nil"/>
            </w:tcBorders>
            <w:noWrap/>
            <w:vAlign w:val="center"/>
          </w:tcPr>
          <w:p w14:paraId="1F0D7704">
            <w:pPr>
              <w:widowControl/>
              <w:spacing w:line="240" w:lineRule="auto"/>
              <w:ind w:left="-72" w:leftChars="-30" w:right="-72" w:rightChars="-30" w:firstLine="0" w:firstLineChars="0"/>
              <w:jc w:val="center"/>
              <w:textAlignment w:val="center"/>
              <w:rPr>
                <w:rFonts w:hint="default"/>
                <w:color w:val="auto"/>
                <w:sz w:val="21"/>
                <w:szCs w:val="21"/>
                <w:highlight w:val="none"/>
                <w:u w:val="single"/>
                <w:lang w:val="en-US" w:eastAsia="zh-CN" w:bidi="ar"/>
              </w:rPr>
            </w:pPr>
            <w:r>
              <w:rPr>
                <w:rFonts w:hint="eastAsia"/>
                <w:color w:val="auto"/>
                <w:sz w:val="21"/>
                <w:szCs w:val="21"/>
                <w:highlight w:val="none"/>
                <w:u w:val="single"/>
                <w:lang w:val="en-US" w:eastAsia="zh-CN" w:bidi="ar"/>
              </w:rPr>
              <w:t>4209.3</w:t>
            </w:r>
          </w:p>
        </w:tc>
        <w:tc>
          <w:tcPr>
            <w:tcW w:w="469" w:type="pct"/>
            <w:tcBorders>
              <w:tl2br w:val="nil"/>
              <w:tr2bl w:val="nil"/>
            </w:tcBorders>
            <w:noWrap/>
            <w:vAlign w:val="center"/>
          </w:tcPr>
          <w:p w14:paraId="629B8AD9">
            <w:pPr>
              <w:widowControl/>
              <w:spacing w:line="240" w:lineRule="auto"/>
              <w:ind w:left="-72" w:leftChars="-30" w:right="-72" w:rightChars="-30" w:firstLine="0" w:firstLineChars="0"/>
              <w:jc w:val="center"/>
              <w:rPr>
                <w:rFonts w:hint="eastAsia" w:ascii="宋体" w:hAnsi="宋体" w:cs="宋体"/>
                <w:color w:val="auto"/>
                <w:sz w:val="21"/>
                <w:szCs w:val="21"/>
                <w:highlight w:val="none"/>
                <w:u w:val="single"/>
              </w:rPr>
            </w:pPr>
          </w:p>
        </w:tc>
        <w:tc>
          <w:tcPr>
            <w:tcW w:w="554" w:type="pct"/>
            <w:tcBorders>
              <w:tl2br w:val="nil"/>
              <w:tr2bl w:val="nil"/>
            </w:tcBorders>
            <w:noWrap/>
            <w:vAlign w:val="center"/>
          </w:tcPr>
          <w:p w14:paraId="042AA218">
            <w:pPr>
              <w:widowControl/>
              <w:spacing w:line="240" w:lineRule="auto"/>
              <w:ind w:left="-72" w:leftChars="-30" w:right="-72" w:rightChars="-30" w:firstLine="0" w:firstLineChars="0"/>
              <w:jc w:val="center"/>
              <w:textAlignment w:val="center"/>
              <w:rPr>
                <w:rFonts w:hint="default" w:eastAsia="宋体"/>
                <w:color w:val="auto"/>
                <w:sz w:val="21"/>
                <w:szCs w:val="21"/>
                <w:highlight w:val="none"/>
                <w:u w:val="single"/>
                <w:lang w:val="en-US" w:eastAsia="zh-CN" w:bidi="ar"/>
              </w:rPr>
            </w:pPr>
            <w:r>
              <w:rPr>
                <w:rFonts w:hint="eastAsia"/>
                <w:color w:val="auto"/>
                <w:sz w:val="21"/>
                <w:szCs w:val="21"/>
                <w:highlight w:val="none"/>
                <w:u w:val="single"/>
                <w:lang w:val="en-US" w:eastAsia="zh-CN" w:bidi="ar"/>
              </w:rPr>
              <w:t>12960</w:t>
            </w:r>
          </w:p>
        </w:tc>
        <w:tc>
          <w:tcPr>
            <w:tcW w:w="420" w:type="pct"/>
            <w:tcBorders>
              <w:tl2br w:val="nil"/>
              <w:tr2bl w:val="nil"/>
            </w:tcBorders>
            <w:noWrap/>
            <w:vAlign w:val="center"/>
          </w:tcPr>
          <w:p w14:paraId="72991E79">
            <w:pPr>
              <w:widowControl/>
              <w:spacing w:line="240" w:lineRule="auto"/>
              <w:ind w:left="-72" w:leftChars="-30" w:right="-72" w:rightChars="-30" w:firstLine="0" w:firstLineChars="0"/>
              <w:jc w:val="center"/>
              <w:textAlignment w:val="center"/>
              <w:rPr>
                <w:rFonts w:hint="default" w:eastAsia="宋体"/>
                <w:color w:val="auto"/>
                <w:sz w:val="21"/>
                <w:szCs w:val="21"/>
                <w:highlight w:val="none"/>
                <w:u w:val="single"/>
                <w:lang w:val="en-US" w:eastAsia="zh-CN" w:bidi="ar"/>
              </w:rPr>
            </w:pPr>
            <w:r>
              <w:rPr>
                <w:rFonts w:hint="eastAsia"/>
                <w:color w:val="auto"/>
                <w:sz w:val="21"/>
                <w:szCs w:val="21"/>
                <w:highlight w:val="none"/>
                <w:u w:val="single"/>
                <w:lang w:val="en-US" w:eastAsia="zh-CN" w:bidi="ar"/>
              </w:rPr>
              <w:t>11664</w:t>
            </w:r>
          </w:p>
        </w:tc>
        <w:tc>
          <w:tcPr>
            <w:tcW w:w="447" w:type="pct"/>
            <w:tcBorders>
              <w:tl2br w:val="nil"/>
              <w:tr2bl w:val="nil"/>
            </w:tcBorders>
            <w:noWrap/>
            <w:vAlign w:val="center"/>
          </w:tcPr>
          <w:p w14:paraId="77330B27">
            <w:pPr>
              <w:widowControl/>
              <w:spacing w:line="240" w:lineRule="auto"/>
              <w:ind w:left="-72" w:leftChars="-30" w:right="-72" w:rightChars="-30" w:firstLine="0" w:firstLineChars="0"/>
              <w:jc w:val="center"/>
              <w:textAlignment w:val="center"/>
              <w:rPr>
                <w:rFonts w:hint="default" w:eastAsia="宋体"/>
                <w:color w:val="auto"/>
                <w:sz w:val="21"/>
                <w:szCs w:val="21"/>
                <w:highlight w:val="none"/>
                <w:u w:val="single"/>
                <w:lang w:val="en-US" w:eastAsia="zh-CN" w:bidi="ar"/>
              </w:rPr>
            </w:pPr>
            <w:r>
              <w:rPr>
                <w:rFonts w:hint="eastAsia"/>
                <w:color w:val="auto"/>
                <w:sz w:val="21"/>
                <w:szCs w:val="21"/>
                <w:highlight w:val="none"/>
                <w:u w:val="single"/>
                <w:lang w:val="en-US" w:eastAsia="zh-CN" w:bidi="ar"/>
              </w:rPr>
              <w:t>1296</w:t>
            </w:r>
          </w:p>
        </w:tc>
        <w:tc>
          <w:tcPr>
            <w:tcW w:w="539" w:type="pct"/>
            <w:tcBorders>
              <w:tl2br w:val="nil"/>
              <w:tr2bl w:val="nil"/>
            </w:tcBorders>
            <w:shd w:val="clear" w:color="auto" w:fill="auto"/>
            <w:noWrap/>
            <w:vAlign w:val="center"/>
          </w:tcPr>
          <w:p w14:paraId="7C3FD977">
            <w:pPr>
              <w:widowControl/>
              <w:spacing w:line="240" w:lineRule="auto"/>
              <w:ind w:left="-72" w:leftChars="-30" w:right="-72" w:rightChars="-30" w:firstLine="0" w:firstLineChars="0"/>
              <w:jc w:val="center"/>
              <w:textAlignment w:val="center"/>
              <w:rPr>
                <w:rFonts w:hint="default" w:ascii="Times New Roman" w:hAnsi="Times New Roman" w:eastAsia="宋体" w:cs="Times New Roman"/>
                <w:color w:val="auto"/>
                <w:sz w:val="21"/>
                <w:szCs w:val="21"/>
                <w:highlight w:val="none"/>
                <w:u w:val="single"/>
                <w:lang w:val="en-US" w:eastAsia="zh-CN" w:bidi="ar"/>
              </w:rPr>
            </w:pPr>
            <w:r>
              <w:rPr>
                <w:rFonts w:hint="eastAsia"/>
                <w:color w:val="auto"/>
                <w:sz w:val="21"/>
                <w:szCs w:val="21"/>
                <w:highlight w:val="none"/>
                <w:u w:val="single"/>
                <w:lang w:val="en-US" w:eastAsia="zh-CN" w:bidi="ar"/>
              </w:rPr>
              <w:t>1296</w:t>
            </w:r>
          </w:p>
        </w:tc>
        <w:tc>
          <w:tcPr>
            <w:tcW w:w="698" w:type="pct"/>
            <w:tcBorders>
              <w:tl2br w:val="nil"/>
              <w:tr2bl w:val="nil"/>
            </w:tcBorders>
            <w:vAlign w:val="center"/>
          </w:tcPr>
          <w:p w14:paraId="3886A5A3">
            <w:pPr>
              <w:widowControl/>
              <w:spacing w:line="240" w:lineRule="auto"/>
              <w:ind w:left="-72" w:leftChars="-30" w:right="-72" w:rightChars="-30" w:firstLine="0" w:firstLineChars="0"/>
              <w:jc w:val="center"/>
              <w:textAlignment w:val="center"/>
              <w:rPr>
                <w:color w:val="auto"/>
                <w:sz w:val="21"/>
                <w:szCs w:val="21"/>
                <w:highlight w:val="none"/>
                <w:u w:val="single"/>
                <w:lang w:bidi="ar"/>
              </w:rPr>
            </w:pPr>
            <w:r>
              <w:rPr>
                <w:rFonts w:hint="eastAsia"/>
                <w:color w:val="auto"/>
                <w:sz w:val="21"/>
                <w:szCs w:val="21"/>
                <w:highlight w:val="none"/>
                <w:u w:val="single"/>
                <w:lang w:val="en-US" w:eastAsia="zh-CN" w:bidi="ar"/>
              </w:rPr>
              <w:t>4209.3</w:t>
            </w:r>
          </w:p>
        </w:tc>
        <w:tc>
          <w:tcPr>
            <w:tcW w:w="447" w:type="pct"/>
            <w:tcBorders>
              <w:tl2br w:val="nil"/>
              <w:tr2bl w:val="nil"/>
            </w:tcBorders>
            <w:vAlign w:val="center"/>
          </w:tcPr>
          <w:p w14:paraId="208D3E5A">
            <w:pPr>
              <w:widowControl/>
              <w:spacing w:line="240" w:lineRule="auto"/>
              <w:ind w:left="-72" w:leftChars="-30" w:right="-72" w:rightChars="-30" w:firstLine="0" w:firstLineChars="0"/>
              <w:jc w:val="center"/>
              <w:textAlignment w:val="center"/>
              <w:rPr>
                <w:rFonts w:hint="eastAsia" w:eastAsia="宋体"/>
                <w:color w:val="auto"/>
                <w:sz w:val="21"/>
                <w:szCs w:val="21"/>
                <w:highlight w:val="none"/>
                <w:u w:val="single"/>
                <w:lang w:eastAsia="zh-CN" w:bidi="ar"/>
              </w:rPr>
            </w:pPr>
            <w:r>
              <w:rPr>
                <w:rFonts w:hint="eastAsia"/>
                <w:color w:val="auto"/>
                <w:sz w:val="21"/>
                <w:szCs w:val="21"/>
                <w:highlight w:val="none"/>
                <w:u w:val="single"/>
                <w:lang w:val="en-US" w:eastAsia="zh-CN" w:bidi="ar"/>
              </w:rPr>
              <w:t>0</w:t>
            </w:r>
          </w:p>
        </w:tc>
      </w:tr>
      <w:tr w14:paraId="16350A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55" w:hRule="atLeast"/>
        </w:trPr>
        <w:tc>
          <w:tcPr>
            <w:tcW w:w="331" w:type="pct"/>
            <w:vMerge w:val="continue"/>
            <w:tcBorders>
              <w:tl2br w:val="nil"/>
              <w:tr2bl w:val="nil"/>
            </w:tcBorders>
            <w:vAlign w:val="center"/>
          </w:tcPr>
          <w:p w14:paraId="6EA4A4AE">
            <w:pPr>
              <w:widowControl/>
              <w:spacing w:line="240" w:lineRule="auto"/>
              <w:ind w:left="-72" w:leftChars="-30" w:right="-72" w:rightChars="-30" w:firstLine="0" w:firstLineChars="0"/>
              <w:jc w:val="center"/>
              <w:rPr>
                <w:color w:val="auto"/>
                <w:sz w:val="21"/>
                <w:szCs w:val="21"/>
                <w:highlight w:val="none"/>
                <w:u w:val="single"/>
              </w:rPr>
            </w:pPr>
          </w:p>
        </w:tc>
        <w:tc>
          <w:tcPr>
            <w:tcW w:w="584" w:type="pct"/>
            <w:tcBorders>
              <w:tl2br w:val="nil"/>
              <w:tr2bl w:val="nil"/>
            </w:tcBorders>
            <w:vAlign w:val="center"/>
          </w:tcPr>
          <w:p w14:paraId="3D4E94E8">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COD</w:t>
            </w:r>
          </w:p>
        </w:tc>
        <w:tc>
          <w:tcPr>
            <w:tcW w:w="508" w:type="pct"/>
            <w:tcBorders>
              <w:tl2br w:val="nil"/>
              <w:tr2bl w:val="nil"/>
            </w:tcBorders>
            <w:noWrap/>
            <w:vAlign w:val="center"/>
          </w:tcPr>
          <w:p w14:paraId="0AB35F20">
            <w:pPr>
              <w:widowControl/>
              <w:spacing w:line="240" w:lineRule="auto"/>
              <w:ind w:left="-72" w:leftChars="-30" w:right="-72" w:rightChars="-30" w:firstLine="0" w:firstLineChars="0"/>
              <w:jc w:val="center"/>
              <w:textAlignment w:val="center"/>
              <w:rPr>
                <w:rFonts w:hint="eastAsia"/>
                <w:color w:val="auto"/>
                <w:sz w:val="21"/>
                <w:szCs w:val="21"/>
                <w:highlight w:val="none"/>
                <w:u w:val="single"/>
                <w:lang w:val="en-US" w:eastAsia="zh-CN" w:bidi="ar"/>
              </w:rPr>
            </w:pPr>
            <w:r>
              <w:rPr>
                <w:rFonts w:hint="eastAsia"/>
                <w:color w:val="auto"/>
                <w:sz w:val="21"/>
                <w:szCs w:val="21"/>
                <w:highlight w:val="none"/>
                <w:u w:val="single"/>
                <w:lang w:val="en-US" w:eastAsia="zh-CN" w:bidi="ar"/>
              </w:rPr>
              <w:t xml:space="preserve">0.4209 </w:t>
            </w:r>
          </w:p>
        </w:tc>
        <w:tc>
          <w:tcPr>
            <w:tcW w:w="469" w:type="pct"/>
            <w:tcBorders>
              <w:tl2br w:val="nil"/>
              <w:tr2bl w:val="nil"/>
            </w:tcBorders>
            <w:noWrap/>
            <w:vAlign w:val="center"/>
          </w:tcPr>
          <w:p w14:paraId="1E55161C">
            <w:pPr>
              <w:widowControl/>
              <w:spacing w:line="240" w:lineRule="auto"/>
              <w:ind w:left="-72" w:leftChars="-30" w:right="-72" w:rightChars="-30" w:firstLine="0" w:firstLineChars="0"/>
              <w:jc w:val="center"/>
              <w:rPr>
                <w:rFonts w:hint="eastAsia" w:ascii="宋体" w:hAnsi="宋体" w:cs="宋体"/>
                <w:color w:val="auto"/>
                <w:sz w:val="21"/>
                <w:szCs w:val="21"/>
                <w:highlight w:val="none"/>
                <w:u w:val="single"/>
              </w:rPr>
            </w:pPr>
          </w:p>
        </w:tc>
        <w:tc>
          <w:tcPr>
            <w:tcW w:w="1091" w:type="dxa"/>
            <w:tcBorders>
              <w:tl2br w:val="nil"/>
              <w:tr2bl w:val="nil"/>
            </w:tcBorders>
            <w:noWrap/>
            <w:vAlign w:val="center"/>
          </w:tcPr>
          <w:p w14:paraId="413DEE96">
            <w:pPr>
              <w:widowControl/>
              <w:spacing w:line="240" w:lineRule="auto"/>
              <w:ind w:left="-72" w:leftChars="-30" w:right="-72" w:rightChars="-30" w:firstLine="0" w:firstLineChars="0"/>
              <w:jc w:val="center"/>
              <w:textAlignment w:val="center"/>
              <w:rPr>
                <w:rFonts w:hint="eastAsia"/>
                <w:color w:val="auto"/>
                <w:sz w:val="21"/>
                <w:szCs w:val="21"/>
                <w:highlight w:val="none"/>
                <w:u w:val="single"/>
                <w:lang w:val="en-US" w:eastAsia="zh-CN" w:bidi="ar"/>
              </w:rPr>
            </w:pPr>
            <w:r>
              <w:rPr>
                <w:rFonts w:hint="eastAsia"/>
                <w:color w:val="auto"/>
                <w:sz w:val="21"/>
                <w:szCs w:val="21"/>
                <w:highlight w:val="none"/>
                <w:u w:val="single"/>
                <w:lang w:val="en-US" w:eastAsia="zh-CN" w:bidi="ar"/>
              </w:rPr>
              <w:t>5.23</w:t>
            </w:r>
          </w:p>
        </w:tc>
        <w:tc>
          <w:tcPr>
            <w:tcW w:w="826" w:type="dxa"/>
            <w:tcBorders>
              <w:tl2br w:val="nil"/>
              <w:tr2bl w:val="nil"/>
            </w:tcBorders>
            <w:noWrap/>
            <w:vAlign w:val="center"/>
          </w:tcPr>
          <w:p w14:paraId="7FF6D617">
            <w:pPr>
              <w:widowControl/>
              <w:spacing w:line="240" w:lineRule="auto"/>
              <w:ind w:left="-72" w:leftChars="-30" w:right="-72" w:rightChars="-30" w:firstLine="0" w:firstLineChars="0"/>
              <w:jc w:val="center"/>
              <w:textAlignment w:val="center"/>
              <w:rPr>
                <w:rFonts w:hint="eastAsia"/>
                <w:color w:val="auto"/>
                <w:sz w:val="21"/>
                <w:szCs w:val="21"/>
                <w:highlight w:val="none"/>
                <w:u w:val="single"/>
                <w:lang w:val="en-US" w:eastAsia="zh-CN" w:bidi="ar"/>
              </w:rPr>
            </w:pPr>
            <w:r>
              <w:rPr>
                <w:rFonts w:hint="eastAsia"/>
                <w:color w:val="auto"/>
                <w:sz w:val="21"/>
                <w:szCs w:val="21"/>
                <w:highlight w:val="none"/>
                <w:u w:val="single"/>
                <w:lang w:val="en-US" w:eastAsia="zh-CN" w:bidi="ar"/>
              </w:rPr>
              <w:t xml:space="preserve">1.1664 </w:t>
            </w:r>
          </w:p>
        </w:tc>
        <w:tc>
          <w:tcPr>
            <w:tcW w:w="879" w:type="dxa"/>
            <w:tcBorders>
              <w:tl2br w:val="nil"/>
              <w:tr2bl w:val="nil"/>
            </w:tcBorders>
            <w:noWrap/>
            <w:vAlign w:val="center"/>
          </w:tcPr>
          <w:p w14:paraId="3B803C3F">
            <w:pPr>
              <w:widowControl/>
              <w:spacing w:line="240" w:lineRule="auto"/>
              <w:ind w:left="-72" w:leftChars="-30" w:right="-72" w:rightChars="-30" w:firstLine="0" w:firstLineChars="0"/>
              <w:jc w:val="center"/>
              <w:textAlignment w:val="center"/>
              <w:rPr>
                <w:rFonts w:hint="eastAsia"/>
                <w:color w:val="auto"/>
                <w:sz w:val="21"/>
                <w:szCs w:val="21"/>
                <w:highlight w:val="none"/>
                <w:u w:val="single"/>
                <w:lang w:val="en-US" w:eastAsia="zh-CN" w:bidi="ar"/>
              </w:rPr>
            </w:pPr>
            <w:r>
              <w:rPr>
                <w:rFonts w:hint="eastAsia"/>
                <w:color w:val="auto"/>
                <w:sz w:val="21"/>
                <w:szCs w:val="21"/>
                <w:highlight w:val="none"/>
                <w:u w:val="single"/>
                <w:lang w:val="en-US" w:eastAsia="zh-CN" w:bidi="ar"/>
              </w:rPr>
              <w:t xml:space="preserve">0.1296 </w:t>
            </w:r>
          </w:p>
        </w:tc>
        <w:tc>
          <w:tcPr>
            <w:tcW w:w="1060" w:type="dxa"/>
            <w:tcBorders>
              <w:tl2br w:val="nil"/>
              <w:tr2bl w:val="nil"/>
            </w:tcBorders>
            <w:shd w:val="clear" w:color="auto" w:fill="auto"/>
            <w:noWrap/>
            <w:vAlign w:val="center"/>
          </w:tcPr>
          <w:p w14:paraId="41941B85">
            <w:pPr>
              <w:widowControl/>
              <w:spacing w:line="240" w:lineRule="auto"/>
              <w:ind w:left="-72" w:leftChars="-30" w:right="-72" w:rightChars="-30" w:firstLine="0" w:firstLineChars="0"/>
              <w:jc w:val="center"/>
              <w:textAlignment w:val="center"/>
              <w:rPr>
                <w:rFonts w:hint="eastAsia"/>
                <w:color w:val="auto"/>
                <w:sz w:val="21"/>
                <w:szCs w:val="21"/>
                <w:highlight w:val="none"/>
                <w:u w:val="single"/>
                <w:lang w:val="en-US" w:eastAsia="zh-CN" w:bidi="ar"/>
              </w:rPr>
            </w:pPr>
            <w:r>
              <w:rPr>
                <w:rFonts w:hint="eastAsia"/>
                <w:color w:val="auto"/>
                <w:sz w:val="21"/>
                <w:szCs w:val="21"/>
                <w:highlight w:val="none"/>
                <w:u w:val="single"/>
                <w:lang w:val="en-US" w:eastAsia="zh-CN" w:bidi="ar"/>
              </w:rPr>
              <w:t>5.23</w:t>
            </w:r>
          </w:p>
        </w:tc>
        <w:tc>
          <w:tcPr>
            <w:tcW w:w="698" w:type="pct"/>
            <w:tcBorders>
              <w:tl2br w:val="nil"/>
              <w:tr2bl w:val="nil"/>
            </w:tcBorders>
            <w:shd w:val="clear" w:color="auto" w:fill="auto"/>
            <w:vAlign w:val="center"/>
          </w:tcPr>
          <w:p w14:paraId="69F0A6F7">
            <w:pPr>
              <w:widowControl/>
              <w:spacing w:line="240" w:lineRule="auto"/>
              <w:ind w:left="-72" w:leftChars="-30" w:right="-72" w:rightChars="-30" w:firstLine="0" w:firstLineChars="0"/>
              <w:jc w:val="center"/>
              <w:textAlignment w:val="center"/>
              <w:rPr>
                <w:rFonts w:hint="eastAsia" w:ascii="Times New Roman" w:hAnsi="Times New Roman" w:eastAsia="宋体" w:cs="Times New Roman"/>
                <w:color w:val="auto"/>
                <w:sz w:val="21"/>
                <w:szCs w:val="21"/>
                <w:highlight w:val="none"/>
                <w:u w:val="single"/>
                <w:lang w:val="en-US" w:eastAsia="zh-CN" w:bidi="ar"/>
              </w:rPr>
            </w:pPr>
            <w:r>
              <w:rPr>
                <w:rFonts w:hint="eastAsia"/>
                <w:color w:val="auto"/>
                <w:sz w:val="21"/>
                <w:szCs w:val="21"/>
                <w:highlight w:val="none"/>
                <w:u w:val="single"/>
                <w:lang w:val="en-US" w:eastAsia="zh-CN" w:bidi="ar"/>
              </w:rPr>
              <w:t xml:space="preserve">0.4209 </w:t>
            </w:r>
          </w:p>
        </w:tc>
        <w:tc>
          <w:tcPr>
            <w:tcW w:w="447" w:type="pct"/>
            <w:tcBorders>
              <w:tl2br w:val="nil"/>
              <w:tr2bl w:val="nil"/>
            </w:tcBorders>
            <w:vAlign w:val="center"/>
          </w:tcPr>
          <w:p w14:paraId="50422FEA">
            <w:pPr>
              <w:widowControl/>
              <w:spacing w:line="240" w:lineRule="auto"/>
              <w:ind w:left="-72" w:leftChars="-30" w:right="-72" w:rightChars="-30" w:firstLine="0" w:firstLineChars="0"/>
              <w:jc w:val="center"/>
              <w:textAlignment w:val="center"/>
              <w:rPr>
                <w:color w:val="auto"/>
                <w:sz w:val="21"/>
                <w:szCs w:val="21"/>
                <w:highlight w:val="none"/>
                <w:u w:val="single"/>
                <w:lang w:bidi="ar"/>
              </w:rPr>
            </w:pPr>
            <w:r>
              <w:rPr>
                <w:color w:val="auto"/>
                <w:sz w:val="21"/>
                <w:szCs w:val="21"/>
                <w:highlight w:val="none"/>
                <w:u w:val="single"/>
                <w:lang w:bidi="ar"/>
              </w:rPr>
              <w:t>0</w:t>
            </w:r>
          </w:p>
        </w:tc>
      </w:tr>
      <w:tr w14:paraId="25CDB81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30" w:hRule="atLeast"/>
        </w:trPr>
        <w:tc>
          <w:tcPr>
            <w:tcW w:w="331" w:type="pct"/>
            <w:vMerge w:val="continue"/>
            <w:tcBorders>
              <w:tl2br w:val="nil"/>
              <w:tr2bl w:val="nil"/>
            </w:tcBorders>
            <w:vAlign w:val="center"/>
          </w:tcPr>
          <w:p w14:paraId="0BD58A2B">
            <w:pPr>
              <w:widowControl/>
              <w:spacing w:line="240" w:lineRule="auto"/>
              <w:ind w:left="-72" w:leftChars="-30" w:right="-72" w:rightChars="-30" w:firstLine="0" w:firstLineChars="0"/>
              <w:jc w:val="center"/>
              <w:rPr>
                <w:color w:val="auto"/>
                <w:sz w:val="21"/>
                <w:szCs w:val="21"/>
                <w:highlight w:val="none"/>
                <w:u w:val="single"/>
              </w:rPr>
            </w:pPr>
          </w:p>
        </w:tc>
        <w:tc>
          <w:tcPr>
            <w:tcW w:w="584" w:type="pct"/>
            <w:tcBorders>
              <w:tl2br w:val="nil"/>
              <w:tr2bl w:val="nil"/>
            </w:tcBorders>
            <w:vAlign w:val="center"/>
          </w:tcPr>
          <w:p w14:paraId="1A225137">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lang w:bidi="ar"/>
              </w:rPr>
              <w:t>NH</w:t>
            </w:r>
            <w:r>
              <w:rPr>
                <w:color w:val="auto"/>
                <w:sz w:val="21"/>
                <w:szCs w:val="21"/>
                <w:highlight w:val="none"/>
                <w:u w:val="single"/>
                <w:vertAlign w:val="subscript"/>
                <w:lang w:bidi="ar"/>
              </w:rPr>
              <w:t>3</w:t>
            </w:r>
            <w:r>
              <w:rPr>
                <w:color w:val="auto"/>
                <w:sz w:val="21"/>
                <w:szCs w:val="21"/>
                <w:highlight w:val="none"/>
                <w:u w:val="single"/>
                <w:lang w:bidi="ar"/>
              </w:rPr>
              <w:t>-N</w:t>
            </w:r>
          </w:p>
        </w:tc>
        <w:tc>
          <w:tcPr>
            <w:tcW w:w="508" w:type="pct"/>
            <w:tcBorders>
              <w:tl2br w:val="nil"/>
              <w:tr2bl w:val="nil"/>
            </w:tcBorders>
            <w:noWrap/>
            <w:vAlign w:val="center"/>
          </w:tcPr>
          <w:p w14:paraId="31926A4C">
            <w:pPr>
              <w:widowControl/>
              <w:spacing w:line="240" w:lineRule="auto"/>
              <w:ind w:left="-72" w:leftChars="-30" w:right="-72" w:rightChars="-30" w:firstLine="0" w:firstLineChars="0"/>
              <w:jc w:val="center"/>
              <w:textAlignment w:val="center"/>
              <w:rPr>
                <w:rFonts w:hint="eastAsia"/>
                <w:color w:val="auto"/>
                <w:sz w:val="21"/>
                <w:szCs w:val="21"/>
                <w:highlight w:val="none"/>
                <w:u w:val="single"/>
                <w:lang w:val="en-US" w:eastAsia="zh-CN" w:bidi="ar"/>
              </w:rPr>
            </w:pPr>
            <w:r>
              <w:rPr>
                <w:rFonts w:hint="eastAsia"/>
                <w:color w:val="auto"/>
                <w:sz w:val="21"/>
                <w:szCs w:val="21"/>
                <w:highlight w:val="none"/>
                <w:u w:val="single"/>
                <w:lang w:val="en-US" w:eastAsia="zh-CN" w:bidi="ar"/>
              </w:rPr>
              <w:t xml:space="preserve">0.0337 </w:t>
            </w:r>
          </w:p>
        </w:tc>
        <w:tc>
          <w:tcPr>
            <w:tcW w:w="469" w:type="pct"/>
            <w:tcBorders>
              <w:tl2br w:val="nil"/>
              <w:tr2bl w:val="nil"/>
            </w:tcBorders>
            <w:noWrap/>
            <w:vAlign w:val="center"/>
          </w:tcPr>
          <w:p w14:paraId="5904ABBE">
            <w:pPr>
              <w:widowControl/>
              <w:spacing w:line="240" w:lineRule="auto"/>
              <w:ind w:left="-72" w:leftChars="-30" w:right="-72" w:rightChars="-30" w:firstLine="0" w:firstLineChars="0"/>
              <w:jc w:val="center"/>
              <w:rPr>
                <w:rFonts w:hint="eastAsia" w:ascii="宋体" w:hAnsi="宋体" w:cs="宋体"/>
                <w:color w:val="auto"/>
                <w:sz w:val="21"/>
                <w:szCs w:val="21"/>
                <w:highlight w:val="none"/>
                <w:u w:val="single"/>
              </w:rPr>
            </w:pPr>
          </w:p>
        </w:tc>
        <w:tc>
          <w:tcPr>
            <w:tcW w:w="1091" w:type="dxa"/>
            <w:tcBorders>
              <w:tl2br w:val="nil"/>
              <w:tr2bl w:val="nil"/>
            </w:tcBorders>
            <w:noWrap/>
            <w:vAlign w:val="center"/>
          </w:tcPr>
          <w:p w14:paraId="233D7277">
            <w:pPr>
              <w:widowControl/>
              <w:spacing w:line="240" w:lineRule="auto"/>
              <w:ind w:left="-72" w:leftChars="-30" w:right="-72" w:rightChars="-30" w:firstLine="0" w:firstLineChars="0"/>
              <w:jc w:val="center"/>
              <w:textAlignment w:val="center"/>
              <w:rPr>
                <w:rFonts w:hint="eastAsia"/>
                <w:color w:val="auto"/>
                <w:sz w:val="21"/>
                <w:szCs w:val="21"/>
                <w:highlight w:val="none"/>
                <w:u w:val="single"/>
                <w:lang w:val="en-US" w:eastAsia="zh-CN" w:bidi="ar"/>
              </w:rPr>
            </w:pPr>
            <w:r>
              <w:rPr>
                <w:rFonts w:hint="eastAsia"/>
                <w:color w:val="auto"/>
                <w:sz w:val="21"/>
                <w:szCs w:val="21"/>
                <w:highlight w:val="none"/>
                <w:u w:val="single"/>
                <w:lang w:val="en-US" w:eastAsia="zh-CN" w:bidi="ar"/>
              </w:rPr>
              <w:t>0.19</w:t>
            </w:r>
          </w:p>
        </w:tc>
        <w:tc>
          <w:tcPr>
            <w:tcW w:w="826" w:type="dxa"/>
            <w:tcBorders>
              <w:tl2br w:val="nil"/>
              <w:tr2bl w:val="nil"/>
            </w:tcBorders>
            <w:noWrap/>
            <w:vAlign w:val="center"/>
          </w:tcPr>
          <w:p w14:paraId="075CFBED">
            <w:pPr>
              <w:widowControl/>
              <w:spacing w:line="240" w:lineRule="auto"/>
              <w:ind w:left="-72" w:leftChars="-30" w:right="-72" w:rightChars="-30" w:firstLine="0" w:firstLineChars="0"/>
              <w:jc w:val="center"/>
              <w:textAlignment w:val="center"/>
              <w:rPr>
                <w:rFonts w:hint="eastAsia"/>
                <w:color w:val="auto"/>
                <w:sz w:val="21"/>
                <w:szCs w:val="21"/>
                <w:highlight w:val="none"/>
                <w:u w:val="single"/>
                <w:lang w:val="en-US" w:eastAsia="zh-CN" w:bidi="ar"/>
              </w:rPr>
            </w:pPr>
            <w:r>
              <w:rPr>
                <w:rFonts w:hint="eastAsia"/>
                <w:color w:val="auto"/>
                <w:sz w:val="21"/>
                <w:szCs w:val="21"/>
                <w:highlight w:val="none"/>
                <w:u w:val="single"/>
                <w:lang w:val="en-US" w:eastAsia="zh-CN" w:bidi="ar"/>
              </w:rPr>
              <w:t xml:space="preserve">0.0344 </w:t>
            </w:r>
          </w:p>
        </w:tc>
        <w:tc>
          <w:tcPr>
            <w:tcW w:w="879" w:type="dxa"/>
            <w:tcBorders>
              <w:tl2br w:val="nil"/>
              <w:tr2bl w:val="nil"/>
            </w:tcBorders>
            <w:noWrap/>
            <w:vAlign w:val="center"/>
          </w:tcPr>
          <w:p w14:paraId="15396B86">
            <w:pPr>
              <w:widowControl/>
              <w:spacing w:line="240" w:lineRule="auto"/>
              <w:ind w:left="-72" w:leftChars="-30" w:right="-72" w:rightChars="-30" w:firstLine="0" w:firstLineChars="0"/>
              <w:jc w:val="center"/>
              <w:textAlignment w:val="center"/>
              <w:rPr>
                <w:rFonts w:hint="eastAsia"/>
                <w:color w:val="auto"/>
                <w:sz w:val="21"/>
                <w:szCs w:val="21"/>
                <w:highlight w:val="none"/>
                <w:u w:val="single"/>
                <w:lang w:val="en-US" w:eastAsia="zh-CN" w:bidi="ar"/>
              </w:rPr>
            </w:pPr>
            <w:r>
              <w:rPr>
                <w:rFonts w:hint="eastAsia"/>
                <w:color w:val="auto"/>
                <w:sz w:val="21"/>
                <w:szCs w:val="21"/>
                <w:highlight w:val="none"/>
                <w:u w:val="single"/>
                <w:lang w:val="en-US" w:eastAsia="zh-CN" w:bidi="ar"/>
              </w:rPr>
              <w:t xml:space="preserve">0.0038 </w:t>
            </w:r>
          </w:p>
        </w:tc>
        <w:tc>
          <w:tcPr>
            <w:tcW w:w="1060" w:type="dxa"/>
            <w:tcBorders>
              <w:tl2br w:val="nil"/>
              <w:tr2bl w:val="nil"/>
            </w:tcBorders>
            <w:shd w:val="clear" w:color="auto" w:fill="auto"/>
            <w:noWrap/>
            <w:vAlign w:val="center"/>
          </w:tcPr>
          <w:p w14:paraId="56DE9E8A">
            <w:pPr>
              <w:widowControl/>
              <w:spacing w:line="240" w:lineRule="auto"/>
              <w:ind w:left="-72" w:leftChars="-30" w:right="-72" w:rightChars="-30" w:firstLine="0" w:firstLineChars="0"/>
              <w:jc w:val="center"/>
              <w:textAlignment w:val="center"/>
              <w:rPr>
                <w:rFonts w:hint="eastAsia"/>
                <w:color w:val="auto"/>
                <w:sz w:val="21"/>
                <w:szCs w:val="21"/>
                <w:highlight w:val="none"/>
                <w:u w:val="single"/>
                <w:lang w:val="en-US" w:eastAsia="zh-CN" w:bidi="ar"/>
              </w:rPr>
            </w:pPr>
            <w:r>
              <w:rPr>
                <w:rFonts w:hint="eastAsia"/>
                <w:color w:val="auto"/>
                <w:sz w:val="21"/>
                <w:szCs w:val="21"/>
                <w:highlight w:val="none"/>
                <w:u w:val="single"/>
                <w:lang w:val="en-US" w:eastAsia="zh-CN" w:bidi="ar"/>
              </w:rPr>
              <w:t>0.19</w:t>
            </w:r>
          </w:p>
        </w:tc>
        <w:tc>
          <w:tcPr>
            <w:tcW w:w="698" w:type="pct"/>
            <w:tcBorders>
              <w:tl2br w:val="nil"/>
              <w:tr2bl w:val="nil"/>
            </w:tcBorders>
            <w:shd w:val="clear" w:color="auto" w:fill="auto"/>
            <w:vAlign w:val="center"/>
          </w:tcPr>
          <w:p w14:paraId="3574EA14">
            <w:pPr>
              <w:widowControl/>
              <w:spacing w:line="240" w:lineRule="auto"/>
              <w:ind w:left="-72" w:leftChars="-30" w:right="-72" w:rightChars="-30" w:firstLine="0" w:firstLineChars="0"/>
              <w:jc w:val="center"/>
              <w:textAlignment w:val="center"/>
              <w:rPr>
                <w:rFonts w:hint="eastAsia" w:ascii="Times New Roman" w:hAnsi="Times New Roman" w:eastAsia="宋体" w:cs="Times New Roman"/>
                <w:color w:val="auto"/>
                <w:sz w:val="21"/>
                <w:szCs w:val="21"/>
                <w:highlight w:val="none"/>
                <w:u w:val="single"/>
                <w:lang w:val="en-US" w:eastAsia="zh-CN" w:bidi="ar"/>
              </w:rPr>
            </w:pPr>
            <w:r>
              <w:rPr>
                <w:rFonts w:hint="eastAsia"/>
                <w:color w:val="auto"/>
                <w:sz w:val="21"/>
                <w:szCs w:val="21"/>
                <w:highlight w:val="none"/>
                <w:u w:val="single"/>
                <w:lang w:val="en-US" w:eastAsia="zh-CN" w:bidi="ar"/>
              </w:rPr>
              <w:t xml:space="preserve">0.0337 </w:t>
            </w:r>
          </w:p>
        </w:tc>
        <w:tc>
          <w:tcPr>
            <w:tcW w:w="447" w:type="pct"/>
            <w:tcBorders>
              <w:tl2br w:val="nil"/>
              <w:tr2bl w:val="nil"/>
            </w:tcBorders>
            <w:vAlign w:val="center"/>
          </w:tcPr>
          <w:p w14:paraId="6144C1DA">
            <w:pPr>
              <w:widowControl/>
              <w:spacing w:line="240" w:lineRule="auto"/>
              <w:ind w:left="-72" w:leftChars="-30" w:right="-72" w:rightChars="-30" w:firstLine="0" w:firstLineChars="0"/>
              <w:jc w:val="center"/>
              <w:textAlignment w:val="center"/>
              <w:rPr>
                <w:color w:val="auto"/>
                <w:sz w:val="21"/>
                <w:szCs w:val="21"/>
                <w:highlight w:val="none"/>
                <w:u w:val="single"/>
                <w:lang w:bidi="ar"/>
              </w:rPr>
            </w:pPr>
            <w:r>
              <w:rPr>
                <w:color w:val="auto"/>
                <w:sz w:val="21"/>
                <w:szCs w:val="21"/>
                <w:highlight w:val="none"/>
                <w:u w:val="single"/>
                <w:lang w:bidi="ar"/>
              </w:rPr>
              <w:t>0</w:t>
            </w:r>
          </w:p>
        </w:tc>
      </w:tr>
      <w:tr w14:paraId="11A553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95" w:hRule="atLeast"/>
        </w:trPr>
        <w:tc>
          <w:tcPr>
            <w:tcW w:w="331" w:type="pct"/>
            <w:vMerge w:val="restart"/>
            <w:tcBorders>
              <w:tl2br w:val="nil"/>
              <w:tr2bl w:val="nil"/>
            </w:tcBorders>
            <w:vAlign w:val="center"/>
          </w:tcPr>
          <w:p w14:paraId="601B1EEB">
            <w:pPr>
              <w:widowControl/>
              <w:spacing w:line="240" w:lineRule="auto"/>
              <w:ind w:left="-72" w:leftChars="-30" w:right="-72" w:rightChars="-30" w:firstLine="0" w:firstLineChars="0"/>
              <w:jc w:val="center"/>
              <w:textAlignment w:val="center"/>
              <w:rPr>
                <w:rFonts w:hint="eastAsia" w:ascii="宋体" w:hAnsi="宋体" w:cs="宋体"/>
                <w:color w:val="auto"/>
                <w:sz w:val="21"/>
                <w:szCs w:val="21"/>
                <w:highlight w:val="none"/>
                <w:u w:val="none"/>
              </w:rPr>
            </w:pPr>
            <w:r>
              <w:rPr>
                <w:rFonts w:hint="eastAsia" w:ascii="宋体" w:hAnsi="宋体" w:cs="宋体"/>
                <w:color w:val="auto"/>
                <w:sz w:val="21"/>
                <w:szCs w:val="21"/>
                <w:highlight w:val="none"/>
                <w:u w:val="none"/>
                <w:lang w:bidi="ar"/>
              </w:rPr>
              <w:t>固废</w:t>
            </w:r>
          </w:p>
        </w:tc>
        <w:tc>
          <w:tcPr>
            <w:tcW w:w="584" w:type="pct"/>
            <w:tcBorders>
              <w:tl2br w:val="nil"/>
              <w:tr2bl w:val="nil"/>
            </w:tcBorders>
            <w:vAlign w:val="center"/>
          </w:tcPr>
          <w:p w14:paraId="0B7E06CC">
            <w:pPr>
              <w:widowControl/>
              <w:spacing w:line="240" w:lineRule="auto"/>
              <w:ind w:left="-72" w:leftChars="-30" w:right="-72" w:rightChars="-30" w:firstLine="0" w:firstLineChars="0"/>
              <w:jc w:val="center"/>
              <w:textAlignment w:val="center"/>
              <w:rPr>
                <w:rFonts w:hint="default" w:ascii="宋体" w:hAnsi="宋体" w:eastAsia="宋体" w:cs="宋体"/>
                <w:color w:val="auto"/>
                <w:sz w:val="21"/>
                <w:szCs w:val="21"/>
                <w:highlight w:val="none"/>
                <w:u w:val="none"/>
                <w:lang w:val="en-US" w:eastAsia="zh-CN"/>
              </w:rPr>
            </w:pPr>
            <w:r>
              <w:rPr>
                <w:rFonts w:hint="eastAsia" w:ascii="宋体" w:hAnsi="宋体" w:cs="宋体"/>
                <w:color w:val="auto"/>
                <w:sz w:val="21"/>
                <w:szCs w:val="21"/>
                <w:highlight w:val="none"/>
                <w:u w:val="none"/>
                <w:lang w:bidi="ar"/>
              </w:rPr>
              <w:t>一般固废</w:t>
            </w:r>
            <w:r>
              <w:rPr>
                <w:rFonts w:hint="eastAsia" w:ascii="宋体" w:hAnsi="宋体" w:cs="宋体"/>
                <w:color w:val="auto"/>
                <w:sz w:val="21"/>
                <w:szCs w:val="21"/>
                <w:highlight w:val="none"/>
                <w:u w:val="none"/>
                <w:lang w:val="en-US" w:eastAsia="zh-CN" w:bidi="ar"/>
              </w:rPr>
              <w:t>(产生量)</w:t>
            </w:r>
          </w:p>
        </w:tc>
        <w:tc>
          <w:tcPr>
            <w:tcW w:w="508" w:type="pct"/>
            <w:tcBorders>
              <w:tl2br w:val="nil"/>
              <w:tr2bl w:val="nil"/>
            </w:tcBorders>
            <w:noWrap/>
            <w:vAlign w:val="center"/>
          </w:tcPr>
          <w:p w14:paraId="7CD78963">
            <w:pPr>
              <w:widowControl/>
              <w:spacing w:line="240" w:lineRule="auto"/>
              <w:ind w:left="-72" w:leftChars="-30" w:right="-72" w:rightChars="-30" w:firstLine="0" w:firstLineChars="0"/>
              <w:jc w:val="center"/>
              <w:textAlignment w:val="center"/>
              <w:rPr>
                <w:rFonts w:hint="default"/>
                <w:color w:val="auto"/>
                <w:sz w:val="21"/>
                <w:szCs w:val="21"/>
                <w:highlight w:val="none"/>
                <w:u w:val="none"/>
                <w:lang w:val="en-US" w:eastAsia="zh-CN" w:bidi="ar"/>
              </w:rPr>
            </w:pPr>
            <w:r>
              <w:rPr>
                <w:rFonts w:hint="eastAsia"/>
                <w:color w:val="auto"/>
                <w:sz w:val="21"/>
                <w:szCs w:val="21"/>
                <w:highlight w:val="none"/>
                <w:u w:val="none"/>
                <w:lang w:val="en-US" w:eastAsia="zh-CN" w:bidi="ar"/>
              </w:rPr>
              <w:t>4753.43</w:t>
            </w:r>
          </w:p>
        </w:tc>
        <w:tc>
          <w:tcPr>
            <w:tcW w:w="469" w:type="pct"/>
            <w:tcBorders>
              <w:tl2br w:val="nil"/>
              <w:tr2bl w:val="nil"/>
            </w:tcBorders>
            <w:noWrap/>
            <w:vAlign w:val="center"/>
          </w:tcPr>
          <w:p w14:paraId="73BE8D87">
            <w:pPr>
              <w:widowControl/>
              <w:spacing w:line="240" w:lineRule="auto"/>
              <w:ind w:left="-72" w:leftChars="-30" w:right="-72" w:rightChars="-30" w:firstLine="0" w:firstLineChars="0"/>
              <w:jc w:val="center"/>
              <w:rPr>
                <w:rFonts w:hint="eastAsia" w:ascii="宋体" w:hAnsi="宋体" w:cs="宋体"/>
                <w:color w:val="auto"/>
                <w:sz w:val="21"/>
                <w:szCs w:val="21"/>
                <w:highlight w:val="none"/>
                <w:u w:val="none"/>
              </w:rPr>
            </w:pPr>
          </w:p>
        </w:tc>
        <w:tc>
          <w:tcPr>
            <w:tcW w:w="554" w:type="pct"/>
            <w:tcBorders>
              <w:tl2br w:val="nil"/>
              <w:tr2bl w:val="nil"/>
            </w:tcBorders>
            <w:noWrap/>
            <w:vAlign w:val="center"/>
          </w:tcPr>
          <w:p w14:paraId="704869E7">
            <w:pPr>
              <w:widowControl/>
              <w:spacing w:line="240" w:lineRule="auto"/>
              <w:ind w:left="-72" w:leftChars="-30" w:right="-72" w:rightChars="-30" w:firstLine="0" w:firstLineChars="0"/>
              <w:jc w:val="center"/>
              <w:textAlignment w:val="center"/>
              <w:rPr>
                <w:color w:val="auto"/>
                <w:sz w:val="21"/>
                <w:szCs w:val="21"/>
                <w:highlight w:val="none"/>
                <w:u w:val="none"/>
                <w:lang w:bidi="ar"/>
              </w:rPr>
            </w:pPr>
            <w:r>
              <w:rPr>
                <w:color w:val="auto"/>
                <w:sz w:val="21"/>
                <w:szCs w:val="21"/>
                <w:highlight w:val="none"/>
                <w:u w:val="none"/>
                <w:lang w:bidi="ar"/>
              </w:rPr>
              <w:t>3815.78</w:t>
            </w:r>
          </w:p>
        </w:tc>
        <w:tc>
          <w:tcPr>
            <w:tcW w:w="420" w:type="pct"/>
            <w:tcBorders>
              <w:tl2br w:val="nil"/>
              <w:tr2bl w:val="nil"/>
            </w:tcBorders>
            <w:noWrap/>
            <w:vAlign w:val="center"/>
          </w:tcPr>
          <w:p w14:paraId="2513B87C">
            <w:pPr>
              <w:widowControl/>
              <w:spacing w:line="240" w:lineRule="auto"/>
              <w:ind w:left="-72" w:leftChars="-30" w:right="-72" w:rightChars="-30" w:firstLine="0" w:firstLineChars="0"/>
              <w:jc w:val="center"/>
              <w:textAlignment w:val="center"/>
              <w:rPr>
                <w:color w:val="auto"/>
                <w:sz w:val="21"/>
                <w:szCs w:val="21"/>
                <w:highlight w:val="none"/>
                <w:u w:val="none"/>
                <w:lang w:bidi="ar"/>
              </w:rPr>
            </w:pPr>
            <w:r>
              <w:rPr>
                <w:color w:val="auto"/>
                <w:sz w:val="21"/>
                <w:szCs w:val="21"/>
                <w:highlight w:val="none"/>
                <w:u w:val="none"/>
                <w:lang w:bidi="ar"/>
              </w:rPr>
              <w:t>3815.78</w:t>
            </w:r>
          </w:p>
        </w:tc>
        <w:tc>
          <w:tcPr>
            <w:tcW w:w="447" w:type="pct"/>
            <w:tcBorders>
              <w:tl2br w:val="nil"/>
              <w:tr2bl w:val="nil"/>
            </w:tcBorders>
            <w:noWrap/>
            <w:vAlign w:val="center"/>
          </w:tcPr>
          <w:p w14:paraId="00992061">
            <w:pPr>
              <w:widowControl/>
              <w:spacing w:line="240" w:lineRule="auto"/>
              <w:ind w:left="-72" w:leftChars="-30" w:right="-72" w:rightChars="-30" w:firstLine="0" w:firstLineChars="0"/>
              <w:jc w:val="center"/>
              <w:textAlignment w:val="center"/>
              <w:rPr>
                <w:color w:val="auto"/>
                <w:sz w:val="21"/>
                <w:szCs w:val="21"/>
                <w:highlight w:val="none"/>
                <w:u w:val="none"/>
                <w:lang w:bidi="ar"/>
              </w:rPr>
            </w:pPr>
            <w:r>
              <w:rPr>
                <w:rFonts w:hint="eastAsia"/>
                <w:color w:val="auto"/>
                <w:sz w:val="21"/>
                <w:szCs w:val="21"/>
                <w:highlight w:val="none"/>
                <w:u w:val="none"/>
                <w:lang w:bidi="ar"/>
              </w:rPr>
              <w:t>0</w:t>
            </w:r>
          </w:p>
        </w:tc>
        <w:tc>
          <w:tcPr>
            <w:tcW w:w="539" w:type="pct"/>
            <w:tcBorders>
              <w:tl2br w:val="nil"/>
              <w:tr2bl w:val="nil"/>
            </w:tcBorders>
            <w:noWrap/>
            <w:vAlign w:val="center"/>
          </w:tcPr>
          <w:p w14:paraId="0D7BC69D">
            <w:pPr>
              <w:widowControl/>
              <w:spacing w:line="240" w:lineRule="auto"/>
              <w:ind w:left="-72" w:leftChars="-30" w:right="-72" w:rightChars="-30" w:firstLine="0" w:firstLineChars="0"/>
              <w:jc w:val="center"/>
              <w:textAlignment w:val="center"/>
              <w:rPr>
                <w:color w:val="auto"/>
                <w:sz w:val="21"/>
                <w:szCs w:val="21"/>
                <w:highlight w:val="none"/>
                <w:u w:val="none"/>
                <w:lang w:bidi="ar"/>
              </w:rPr>
            </w:pPr>
            <w:r>
              <w:rPr>
                <w:rFonts w:hint="eastAsia"/>
                <w:color w:val="auto"/>
                <w:sz w:val="21"/>
                <w:szCs w:val="21"/>
                <w:highlight w:val="none"/>
                <w:u w:val="none"/>
                <w:lang w:bidi="ar"/>
              </w:rPr>
              <w:t>0</w:t>
            </w:r>
          </w:p>
        </w:tc>
        <w:tc>
          <w:tcPr>
            <w:tcW w:w="698" w:type="pct"/>
            <w:tcBorders>
              <w:tl2br w:val="nil"/>
              <w:tr2bl w:val="nil"/>
            </w:tcBorders>
            <w:vAlign w:val="center"/>
          </w:tcPr>
          <w:p w14:paraId="607F304E">
            <w:pPr>
              <w:widowControl/>
              <w:spacing w:line="240" w:lineRule="auto"/>
              <w:ind w:left="-72" w:leftChars="-30" w:right="-72" w:rightChars="-30" w:firstLine="0" w:firstLineChars="0"/>
              <w:jc w:val="center"/>
              <w:textAlignment w:val="center"/>
              <w:rPr>
                <w:color w:val="auto"/>
                <w:sz w:val="21"/>
                <w:szCs w:val="21"/>
                <w:highlight w:val="none"/>
                <w:u w:val="none"/>
                <w:lang w:bidi="ar"/>
              </w:rPr>
            </w:pPr>
            <w:r>
              <w:rPr>
                <w:color w:val="auto"/>
                <w:sz w:val="21"/>
                <w:szCs w:val="21"/>
                <w:highlight w:val="none"/>
                <w:u w:val="none"/>
                <w:lang w:bidi="ar"/>
              </w:rPr>
              <w:t>0</w:t>
            </w:r>
          </w:p>
        </w:tc>
        <w:tc>
          <w:tcPr>
            <w:tcW w:w="447" w:type="pct"/>
            <w:tcBorders>
              <w:tl2br w:val="nil"/>
              <w:tr2bl w:val="nil"/>
            </w:tcBorders>
            <w:vAlign w:val="center"/>
          </w:tcPr>
          <w:p w14:paraId="0A6CF951">
            <w:pPr>
              <w:widowControl/>
              <w:spacing w:line="240" w:lineRule="auto"/>
              <w:ind w:left="-72" w:leftChars="-30" w:right="-72" w:rightChars="-30" w:firstLine="0" w:firstLineChars="0"/>
              <w:jc w:val="center"/>
              <w:textAlignment w:val="center"/>
              <w:rPr>
                <w:color w:val="auto"/>
                <w:sz w:val="21"/>
                <w:szCs w:val="21"/>
                <w:highlight w:val="none"/>
                <w:u w:val="none"/>
                <w:lang w:bidi="ar"/>
              </w:rPr>
            </w:pPr>
            <w:r>
              <w:rPr>
                <w:color w:val="auto"/>
                <w:sz w:val="21"/>
                <w:szCs w:val="21"/>
                <w:highlight w:val="none"/>
                <w:u w:val="none"/>
                <w:lang w:bidi="ar"/>
              </w:rPr>
              <w:t>0</w:t>
            </w:r>
          </w:p>
        </w:tc>
      </w:tr>
      <w:tr w14:paraId="42ED120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40" w:hRule="atLeast"/>
        </w:trPr>
        <w:tc>
          <w:tcPr>
            <w:tcW w:w="331" w:type="pct"/>
            <w:vMerge w:val="continue"/>
            <w:tcBorders>
              <w:tl2br w:val="nil"/>
              <w:tr2bl w:val="nil"/>
            </w:tcBorders>
            <w:vAlign w:val="center"/>
          </w:tcPr>
          <w:p w14:paraId="0E800188">
            <w:pPr>
              <w:widowControl/>
              <w:spacing w:line="240" w:lineRule="auto"/>
              <w:ind w:left="-72" w:leftChars="-30" w:right="-72" w:rightChars="-30" w:firstLine="0" w:firstLineChars="0"/>
              <w:jc w:val="center"/>
              <w:rPr>
                <w:color w:val="auto"/>
                <w:sz w:val="21"/>
                <w:szCs w:val="21"/>
                <w:highlight w:val="none"/>
                <w:u w:val="none"/>
              </w:rPr>
            </w:pPr>
          </w:p>
        </w:tc>
        <w:tc>
          <w:tcPr>
            <w:tcW w:w="584" w:type="pct"/>
            <w:tcBorders>
              <w:tl2br w:val="nil"/>
              <w:tr2bl w:val="nil"/>
            </w:tcBorders>
            <w:vAlign w:val="center"/>
          </w:tcPr>
          <w:p w14:paraId="5FC77733">
            <w:pPr>
              <w:widowControl/>
              <w:spacing w:line="240" w:lineRule="auto"/>
              <w:ind w:left="-72" w:leftChars="-30" w:right="-72" w:rightChars="-30" w:firstLine="0" w:firstLineChars="0"/>
              <w:jc w:val="center"/>
              <w:textAlignment w:val="center"/>
              <w:rPr>
                <w:rFonts w:hint="eastAsia" w:ascii="宋体" w:hAnsi="宋体" w:cs="宋体"/>
                <w:color w:val="auto"/>
                <w:sz w:val="21"/>
                <w:szCs w:val="21"/>
                <w:highlight w:val="none"/>
                <w:u w:val="none"/>
              </w:rPr>
            </w:pPr>
            <w:r>
              <w:rPr>
                <w:rFonts w:hint="eastAsia" w:ascii="宋体" w:hAnsi="宋体" w:cs="宋体"/>
                <w:color w:val="auto"/>
                <w:sz w:val="21"/>
                <w:szCs w:val="21"/>
                <w:highlight w:val="none"/>
                <w:u w:val="none"/>
                <w:lang w:bidi="ar"/>
              </w:rPr>
              <w:t>危险废物</w:t>
            </w:r>
            <w:r>
              <w:rPr>
                <w:rFonts w:hint="eastAsia" w:ascii="宋体" w:hAnsi="宋体" w:cs="宋体"/>
                <w:color w:val="auto"/>
                <w:sz w:val="21"/>
                <w:szCs w:val="21"/>
                <w:highlight w:val="none"/>
                <w:u w:val="none"/>
                <w:lang w:val="en-US" w:eastAsia="zh-CN" w:bidi="ar"/>
              </w:rPr>
              <w:t>(产生量)</w:t>
            </w:r>
          </w:p>
        </w:tc>
        <w:tc>
          <w:tcPr>
            <w:tcW w:w="508" w:type="pct"/>
            <w:tcBorders>
              <w:tl2br w:val="nil"/>
              <w:tr2bl w:val="nil"/>
            </w:tcBorders>
            <w:vAlign w:val="center"/>
          </w:tcPr>
          <w:p w14:paraId="0234D398">
            <w:pPr>
              <w:widowControl/>
              <w:spacing w:line="240" w:lineRule="auto"/>
              <w:ind w:left="-72" w:leftChars="-30" w:right="-72" w:rightChars="-30" w:firstLine="0" w:firstLineChars="0"/>
              <w:jc w:val="center"/>
              <w:textAlignment w:val="center"/>
              <w:rPr>
                <w:rFonts w:hint="default"/>
                <w:color w:val="auto"/>
                <w:sz w:val="21"/>
                <w:szCs w:val="21"/>
                <w:highlight w:val="none"/>
                <w:u w:val="none"/>
                <w:lang w:val="en-US" w:eastAsia="zh-CN" w:bidi="ar"/>
              </w:rPr>
            </w:pPr>
            <w:r>
              <w:rPr>
                <w:rFonts w:hint="eastAsia"/>
                <w:color w:val="auto"/>
                <w:sz w:val="21"/>
                <w:szCs w:val="21"/>
                <w:highlight w:val="none"/>
                <w:u w:val="none"/>
                <w:lang w:val="en-US" w:eastAsia="zh-CN" w:bidi="ar"/>
              </w:rPr>
              <w:t>213.51</w:t>
            </w:r>
          </w:p>
        </w:tc>
        <w:tc>
          <w:tcPr>
            <w:tcW w:w="469" w:type="pct"/>
            <w:tcBorders>
              <w:tl2br w:val="nil"/>
              <w:tr2bl w:val="nil"/>
            </w:tcBorders>
            <w:noWrap/>
            <w:vAlign w:val="center"/>
          </w:tcPr>
          <w:p w14:paraId="3FA62F8E">
            <w:pPr>
              <w:widowControl/>
              <w:spacing w:line="240" w:lineRule="auto"/>
              <w:ind w:left="-72" w:leftChars="-30" w:right="-72" w:rightChars="-30" w:firstLine="0" w:firstLineChars="0"/>
              <w:jc w:val="center"/>
              <w:rPr>
                <w:rFonts w:hint="eastAsia" w:ascii="宋体" w:hAnsi="宋体" w:cs="宋体"/>
                <w:color w:val="auto"/>
                <w:sz w:val="21"/>
                <w:szCs w:val="21"/>
                <w:highlight w:val="none"/>
                <w:u w:val="none"/>
              </w:rPr>
            </w:pPr>
          </w:p>
        </w:tc>
        <w:tc>
          <w:tcPr>
            <w:tcW w:w="554" w:type="pct"/>
            <w:tcBorders>
              <w:tl2br w:val="nil"/>
              <w:tr2bl w:val="nil"/>
            </w:tcBorders>
            <w:noWrap/>
            <w:vAlign w:val="center"/>
          </w:tcPr>
          <w:p w14:paraId="657B4369">
            <w:pPr>
              <w:widowControl/>
              <w:spacing w:line="240" w:lineRule="auto"/>
              <w:ind w:left="-72" w:leftChars="-30" w:right="-72" w:rightChars="-30" w:firstLine="0" w:firstLineChars="0"/>
              <w:jc w:val="center"/>
              <w:textAlignment w:val="center"/>
              <w:rPr>
                <w:color w:val="auto"/>
                <w:sz w:val="21"/>
                <w:szCs w:val="21"/>
                <w:highlight w:val="none"/>
                <w:u w:val="none"/>
                <w:lang w:bidi="ar"/>
              </w:rPr>
            </w:pPr>
            <w:r>
              <w:rPr>
                <w:color w:val="auto"/>
                <w:sz w:val="21"/>
                <w:szCs w:val="21"/>
                <w:highlight w:val="none"/>
                <w:u w:val="none"/>
                <w:lang w:bidi="ar"/>
              </w:rPr>
              <w:t>136.01</w:t>
            </w:r>
          </w:p>
        </w:tc>
        <w:tc>
          <w:tcPr>
            <w:tcW w:w="420" w:type="pct"/>
            <w:tcBorders>
              <w:tl2br w:val="nil"/>
              <w:tr2bl w:val="nil"/>
            </w:tcBorders>
            <w:noWrap/>
            <w:vAlign w:val="center"/>
          </w:tcPr>
          <w:p w14:paraId="44D60868">
            <w:pPr>
              <w:widowControl/>
              <w:spacing w:line="240" w:lineRule="auto"/>
              <w:ind w:left="-72" w:leftChars="-30" w:right="-72" w:rightChars="-30" w:firstLine="0" w:firstLineChars="0"/>
              <w:jc w:val="center"/>
              <w:textAlignment w:val="center"/>
              <w:rPr>
                <w:color w:val="auto"/>
                <w:sz w:val="21"/>
                <w:szCs w:val="21"/>
                <w:highlight w:val="none"/>
                <w:u w:val="none"/>
                <w:lang w:bidi="ar"/>
              </w:rPr>
            </w:pPr>
            <w:r>
              <w:rPr>
                <w:color w:val="auto"/>
                <w:sz w:val="21"/>
                <w:szCs w:val="21"/>
                <w:highlight w:val="none"/>
                <w:u w:val="none"/>
                <w:lang w:bidi="ar"/>
              </w:rPr>
              <w:t>136.01</w:t>
            </w:r>
          </w:p>
        </w:tc>
        <w:tc>
          <w:tcPr>
            <w:tcW w:w="447" w:type="pct"/>
            <w:tcBorders>
              <w:tl2br w:val="nil"/>
              <w:tr2bl w:val="nil"/>
            </w:tcBorders>
            <w:noWrap/>
            <w:vAlign w:val="center"/>
          </w:tcPr>
          <w:p w14:paraId="620D61E2">
            <w:pPr>
              <w:widowControl/>
              <w:spacing w:line="240" w:lineRule="auto"/>
              <w:ind w:left="-72" w:leftChars="-30" w:right="-72" w:rightChars="-30" w:firstLine="0" w:firstLineChars="0"/>
              <w:jc w:val="center"/>
              <w:textAlignment w:val="center"/>
              <w:rPr>
                <w:color w:val="auto"/>
                <w:sz w:val="21"/>
                <w:szCs w:val="21"/>
                <w:highlight w:val="none"/>
                <w:u w:val="none"/>
                <w:lang w:bidi="ar"/>
              </w:rPr>
            </w:pPr>
            <w:r>
              <w:rPr>
                <w:rFonts w:hint="eastAsia"/>
                <w:color w:val="auto"/>
                <w:sz w:val="21"/>
                <w:szCs w:val="21"/>
                <w:highlight w:val="none"/>
                <w:u w:val="none"/>
                <w:lang w:bidi="ar"/>
              </w:rPr>
              <w:t>0</w:t>
            </w:r>
          </w:p>
        </w:tc>
        <w:tc>
          <w:tcPr>
            <w:tcW w:w="539" w:type="pct"/>
            <w:tcBorders>
              <w:tl2br w:val="nil"/>
              <w:tr2bl w:val="nil"/>
            </w:tcBorders>
            <w:noWrap/>
            <w:vAlign w:val="center"/>
          </w:tcPr>
          <w:p w14:paraId="36710EB8">
            <w:pPr>
              <w:widowControl/>
              <w:spacing w:line="240" w:lineRule="auto"/>
              <w:ind w:left="-72" w:leftChars="-30" w:right="-72" w:rightChars="-30" w:firstLine="0" w:firstLineChars="0"/>
              <w:jc w:val="center"/>
              <w:textAlignment w:val="center"/>
              <w:rPr>
                <w:color w:val="auto"/>
                <w:sz w:val="21"/>
                <w:szCs w:val="21"/>
                <w:highlight w:val="none"/>
                <w:u w:val="none"/>
                <w:lang w:bidi="ar"/>
              </w:rPr>
            </w:pPr>
            <w:r>
              <w:rPr>
                <w:rFonts w:hint="eastAsia"/>
                <w:color w:val="auto"/>
                <w:sz w:val="21"/>
                <w:szCs w:val="21"/>
                <w:highlight w:val="none"/>
                <w:u w:val="none"/>
                <w:lang w:bidi="ar"/>
              </w:rPr>
              <w:t>0</w:t>
            </w:r>
          </w:p>
        </w:tc>
        <w:tc>
          <w:tcPr>
            <w:tcW w:w="698" w:type="pct"/>
            <w:tcBorders>
              <w:tl2br w:val="nil"/>
              <w:tr2bl w:val="nil"/>
            </w:tcBorders>
            <w:noWrap/>
            <w:vAlign w:val="center"/>
          </w:tcPr>
          <w:p w14:paraId="2A4E66BC">
            <w:pPr>
              <w:widowControl/>
              <w:spacing w:line="240" w:lineRule="auto"/>
              <w:ind w:left="-72" w:leftChars="-30" w:right="-72" w:rightChars="-30" w:firstLine="0" w:firstLineChars="0"/>
              <w:jc w:val="center"/>
              <w:textAlignment w:val="center"/>
              <w:rPr>
                <w:color w:val="auto"/>
                <w:sz w:val="21"/>
                <w:szCs w:val="21"/>
                <w:highlight w:val="none"/>
                <w:u w:val="none"/>
                <w:lang w:bidi="ar"/>
              </w:rPr>
            </w:pPr>
            <w:r>
              <w:rPr>
                <w:rFonts w:hint="eastAsia"/>
                <w:color w:val="auto"/>
                <w:sz w:val="21"/>
                <w:szCs w:val="21"/>
                <w:highlight w:val="none"/>
                <w:u w:val="none"/>
                <w:lang w:bidi="ar"/>
              </w:rPr>
              <w:t>0</w:t>
            </w:r>
          </w:p>
        </w:tc>
        <w:tc>
          <w:tcPr>
            <w:tcW w:w="447" w:type="pct"/>
            <w:tcBorders>
              <w:tl2br w:val="nil"/>
              <w:tr2bl w:val="nil"/>
            </w:tcBorders>
            <w:vAlign w:val="center"/>
          </w:tcPr>
          <w:p w14:paraId="1CC8157D">
            <w:pPr>
              <w:widowControl/>
              <w:spacing w:line="240" w:lineRule="auto"/>
              <w:ind w:left="-72" w:leftChars="-30" w:right="-72" w:rightChars="-30" w:firstLine="0" w:firstLineChars="0"/>
              <w:jc w:val="center"/>
              <w:textAlignment w:val="center"/>
              <w:rPr>
                <w:color w:val="auto"/>
                <w:sz w:val="21"/>
                <w:szCs w:val="21"/>
                <w:highlight w:val="none"/>
                <w:u w:val="none"/>
                <w:lang w:bidi="ar"/>
              </w:rPr>
            </w:pPr>
            <w:r>
              <w:rPr>
                <w:color w:val="auto"/>
                <w:sz w:val="21"/>
                <w:szCs w:val="21"/>
                <w:highlight w:val="none"/>
                <w:u w:val="none"/>
                <w:lang w:bidi="ar"/>
              </w:rPr>
              <w:t>0</w:t>
            </w:r>
          </w:p>
        </w:tc>
      </w:tr>
    </w:tbl>
    <w:p w14:paraId="329F8A32">
      <w:pPr>
        <w:pStyle w:val="38"/>
        <w:keepNext w:val="0"/>
        <w:keepLines w:val="0"/>
        <w:pageBreakBefore w:val="0"/>
        <w:widowControl w:val="0"/>
        <w:kinsoku/>
        <w:wordWrap/>
        <w:overflowPunct/>
        <w:topLinePunct/>
        <w:autoSpaceDE/>
        <w:autoSpaceDN/>
        <w:bidi w:val="0"/>
        <w:adjustRightInd w:val="0"/>
        <w:snapToGrid w:val="0"/>
        <w:spacing w:after="0" w:line="240" w:lineRule="auto"/>
        <w:ind w:firstLine="0" w:firstLineChars="0"/>
        <w:textAlignment w:val="auto"/>
        <w:rPr>
          <w:rFonts w:hint="eastAsia"/>
          <w:color w:val="auto"/>
          <w:sz w:val="21"/>
          <w:szCs w:val="21"/>
          <w:highlight w:val="none"/>
          <w:u w:val="single"/>
          <w:lang w:eastAsia="zh-CN"/>
        </w:rPr>
      </w:pPr>
      <w:r>
        <w:rPr>
          <w:rFonts w:hint="eastAsia"/>
          <w:color w:val="auto"/>
          <w:sz w:val="21"/>
          <w:szCs w:val="21"/>
          <w:highlight w:val="none"/>
          <w:u w:val="single"/>
          <w:lang w:eastAsia="zh-CN"/>
        </w:rPr>
        <w:t>注：</w:t>
      </w:r>
      <w:r>
        <w:rPr>
          <w:rFonts w:hint="eastAsia" w:ascii="宋体" w:hAnsi="宋体" w:eastAsia="宋体" w:cs="宋体"/>
          <w:color w:val="auto"/>
          <w:sz w:val="21"/>
          <w:szCs w:val="21"/>
          <w:highlight w:val="none"/>
          <w:u w:val="single"/>
          <w:lang w:eastAsia="zh-CN"/>
        </w:rPr>
        <w:t>①</w:t>
      </w:r>
      <w:r>
        <w:rPr>
          <w:rFonts w:hint="eastAsia"/>
          <w:color w:val="auto"/>
          <w:sz w:val="21"/>
          <w:szCs w:val="21"/>
          <w:highlight w:val="none"/>
          <w:u w:val="single"/>
          <w:lang w:eastAsia="zh-CN"/>
        </w:rPr>
        <w:t>表中废水排放量为进入大榄坪污水处理厂处理的废水量；</w:t>
      </w:r>
    </w:p>
    <w:p w14:paraId="3378E09D">
      <w:pPr>
        <w:pStyle w:val="38"/>
        <w:keepNext w:val="0"/>
        <w:keepLines w:val="0"/>
        <w:pageBreakBefore w:val="0"/>
        <w:widowControl w:val="0"/>
        <w:kinsoku/>
        <w:wordWrap/>
        <w:overflowPunct/>
        <w:topLinePunct/>
        <w:autoSpaceDE/>
        <w:autoSpaceDN/>
        <w:bidi w:val="0"/>
        <w:adjustRightInd w:val="0"/>
        <w:snapToGrid w:val="0"/>
        <w:spacing w:after="0" w:line="240" w:lineRule="auto"/>
        <w:textAlignment w:val="auto"/>
        <w:rPr>
          <w:rFonts w:hint="eastAsia"/>
          <w:color w:val="auto"/>
          <w:sz w:val="21"/>
          <w:szCs w:val="21"/>
          <w:highlight w:val="none"/>
          <w:u w:val="single"/>
          <w:lang w:eastAsia="zh-CN"/>
        </w:rPr>
        <w:sectPr>
          <w:headerReference r:id="rId38" w:type="default"/>
          <w:pgSz w:w="11906" w:h="16838"/>
          <w:pgMar w:top="1417" w:right="1134" w:bottom="1417" w:left="1134" w:header="851" w:footer="964" w:gutter="0"/>
          <w:cols w:space="0" w:num="1"/>
          <w:docGrid w:linePitch="326" w:charSpace="0"/>
        </w:sectPr>
      </w:pPr>
      <w:r>
        <w:rPr>
          <w:rFonts w:hint="eastAsia" w:ascii="宋体" w:hAnsi="宋体" w:eastAsia="宋体" w:cs="宋体"/>
          <w:color w:val="auto"/>
          <w:sz w:val="21"/>
          <w:szCs w:val="21"/>
          <w:highlight w:val="none"/>
          <w:u w:val="single"/>
          <w:lang w:eastAsia="zh-CN"/>
        </w:rPr>
        <w:t>②</w:t>
      </w:r>
      <w:r>
        <w:rPr>
          <w:rFonts w:hint="eastAsia"/>
          <w:color w:val="auto"/>
          <w:sz w:val="21"/>
          <w:szCs w:val="21"/>
          <w:highlight w:val="none"/>
          <w:u w:val="single"/>
          <w:lang w:eastAsia="zh-CN"/>
        </w:rPr>
        <w:t>表中废水不含初期雨水量。</w:t>
      </w:r>
    </w:p>
    <w:p w14:paraId="2E079BEF">
      <w:pPr>
        <w:pStyle w:val="5"/>
        <w:numPr>
          <w:ilvl w:val="0"/>
          <w:numId w:val="9"/>
        </w:numPr>
        <w:jc w:val="center"/>
        <w:rPr>
          <w:color w:val="auto"/>
          <w:sz w:val="36"/>
          <w:szCs w:val="36"/>
          <w:highlight w:val="none"/>
        </w:rPr>
      </w:pPr>
      <w:bookmarkStart w:id="120" w:name="_Hlk39234165"/>
      <w:bookmarkStart w:id="121" w:name="_Toc33967108"/>
      <w:bookmarkStart w:id="122" w:name="_Toc12210"/>
      <w:bookmarkStart w:id="123" w:name="_Toc33967212"/>
      <w:bookmarkStart w:id="124" w:name="_Toc4040"/>
      <w:r>
        <w:rPr>
          <w:color w:val="auto"/>
          <w:sz w:val="36"/>
          <w:szCs w:val="36"/>
          <w:highlight w:val="none"/>
        </w:rPr>
        <w:t>环境现状调查与评价</w:t>
      </w:r>
      <w:bookmarkEnd w:id="120"/>
      <w:bookmarkEnd w:id="121"/>
      <w:bookmarkEnd w:id="122"/>
      <w:bookmarkEnd w:id="123"/>
      <w:bookmarkEnd w:id="124"/>
    </w:p>
    <w:p w14:paraId="74F5F8E9">
      <w:pPr>
        <w:pStyle w:val="6"/>
        <w:numPr>
          <w:ilvl w:val="1"/>
          <w:numId w:val="9"/>
        </w:numPr>
        <w:rPr>
          <w:color w:val="auto"/>
          <w:sz w:val="32"/>
          <w:szCs w:val="32"/>
          <w:highlight w:val="none"/>
        </w:rPr>
      </w:pPr>
      <w:bookmarkStart w:id="125" w:name="_Toc475975357"/>
      <w:bookmarkStart w:id="126" w:name="_Toc33967213"/>
      <w:bookmarkStart w:id="127" w:name="_Toc29367"/>
      <w:bookmarkStart w:id="128" w:name="_Toc18021"/>
      <w:bookmarkStart w:id="129" w:name="_Toc33967109"/>
      <w:r>
        <w:rPr>
          <w:color w:val="auto"/>
          <w:sz w:val="32"/>
          <w:szCs w:val="32"/>
          <w:highlight w:val="none"/>
        </w:rPr>
        <w:t>自然环境概况</w:t>
      </w:r>
      <w:bookmarkEnd w:id="125"/>
      <w:bookmarkEnd w:id="126"/>
      <w:bookmarkEnd w:id="127"/>
      <w:bookmarkEnd w:id="128"/>
      <w:bookmarkEnd w:id="129"/>
    </w:p>
    <w:p w14:paraId="1B5B01BA">
      <w:pPr>
        <w:pStyle w:val="7"/>
        <w:numPr>
          <w:ilvl w:val="2"/>
          <w:numId w:val="9"/>
        </w:numPr>
        <w:rPr>
          <w:color w:val="auto"/>
          <w:sz w:val="28"/>
          <w:highlight w:val="none"/>
        </w:rPr>
      </w:pPr>
      <w:r>
        <w:rPr>
          <w:color w:val="auto"/>
          <w:sz w:val="28"/>
          <w:highlight w:val="none"/>
        </w:rPr>
        <w:t>地理位置</w:t>
      </w:r>
    </w:p>
    <w:p w14:paraId="0D5DF272">
      <w:pPr>
        <w:ind w:firstLine="480"/>
        <w:jc w:val="left"/>
        <w:rPr>
          <w:color w:val="auto"/>
          <w:highlight w:val="none"/>
        </w:rPr>
      </w:pPr>
      <w:r>
        <w:rPr>
          <w:color w:val="auto"/>
          <w:highlight w:val="none"/>
        </w:rPr>
        <w:t>钦州市位于广西壮族自治区南部沿海的钦州湾内，东与北海市、玉林市相连，西与防城港市毗邻，北与南宁市接壤。钦州市区距南宁市、北海市、防城港市的距离分别约为119km、99km和63km。</w:t>
      </w:r>
      <w:r>
        <w:rPr>
          <w:rFonts w:eastAsiaTheme="minorEastAsia"/>
          <w:color w:val="auto"/>
          <w:highlight w:val="none"/>
        </w:rPr>
        <w:t>钦州港位于我国南海北部湾中部的钦州湾内，</w:t>
      </w:r>
      <w:r>
        <w:rPr>
          <w:color w:val="auto"/>
          <w:highlight w:val="none"/>
        </w:rPr>
        <w:t>钦州湾位于北部湾顶部广西沿岸中段，东、西、北三面为陆地，南面向海，其地理坐标为东经108°30′~108°45′、北纬21°35′~21°50′。</w:t>
      </w:r>
    </w:p>
    <w:p w14:paraId="682AC9E4">
      <w:pPr>
        <w:ind w:firstLine="480"/>
        <w:jc w:val="left"/>
        <w:rPr>
          <w:rFonts w:eastAsiaTheme="minorEastAsia"/>
          <w:color w:val="auto"/>
          <w:highlight w:val="none"/>
        </w:rPr>
      </w:pPr>
      <w:r>
        <w:rPr>
          <w:color w:val="auto"/>
          <w:highlight w:val="none"/>
        </w:rPr>
        <w:t>中船广西公司钦州基地位于</w:t>
      </w:r>
      <w:bookmarkStart w:id="130" w:name="_Hlk54168948"/>
      <w:r>
        <w:rPr>
          <w:color w:val="auto"/>
          <w:highlight w:val="none"/>
        </w:rPr>
        <w:t>钦州港大榄坪港区三墩作业区</w:t>
      </w:r>
      <w:bookmarkEnd w:id="130"/>
      <w:r>
        <w:rPr>
          <w:color w:val="auto"/>
          <w:highlight w:val="none"/>
        </w:rPr>
        <w:t>，该选址西邻10万吨级航道（30万吨级航道在建），东邻三墩公路。基地规划岸线3500米，纵深500米~1200米，占地面积361万平方米（5700亩）。本次2#、5#码头工程位于基地已建中船钦州修船资源整合项目西部北外侧水域</w:t>
      </w:r>
      <w:r>
        <w:rPr>
          <w:rFonts w:eastAsiaTheme="minorEastAsia"/>
          <w:color w:val="auto"/>
          <w:highlight w:val="none"/>
        </w:rPr>
        <w:t>，中心地理坐标为N21°35′51.86″、E108°40′14.31″。</w:t>
      </w:r>
    </w:p>
    <w:p w14:paraId="4C901ECC">
      <w:pPr>
        <w:ind w:firstLine="480"/>
        <w:jc w:val="left"/>
        <w:rPr>
          <w:color w:val="auto"/>
          <w:highlight w:val="none"/>
        </w:rPr>
      </w:pPr>
      <w:r>
        <w:rPr>
          <w:rFonts w:eastAsiaTheme="minorEastAsia"/>
          <w:color w:val="auto"/>
          <w:highlight w:val="none"/>
        </w:rPr>
        <w:t>本项目位于</w:t>
      </w:r>
      <w:r>
        <w:rPr>
          <w:color w:val="auto"/>
          <w:highlight w:val="none"/>
        </w:rPr>
        <w:t>中船广西公司钦州基地内，浮船坞东侧、北侧均为水域，西侧为基地5#码头，南侧为</w:t>
      </w:r>
      <w:bookmarkStart w:id="131" w:name="OLE_LINK5"/>
      <w:r>
        <w:rPr>
          <w:color w:val="auto"/>
          <w:highlight w:val="none"/>
        </w:rPr>
        <w:t>中船钦州修船资源整合项目</w:t>
      </w:r>
      <w:bookmarkEnd w:id="131"/>
      <w:r>
        <w:rPr>
          <w:color w:val="auto"/>
          <w:highlight w:val="none"/>
        </w:rPr>
        <w:t>，浮船坞硬化场地位于中船钦州修船资源整合项目最东侧空地。</w:t>
      </w:r>
    </w:p>
    <w:p w14:paraId="4FFA5253">
      <w:pPr>
        <w:pStyle w:val="7"/>
        <w:numPr>
          <w:ilvl w:val="2"/>
          <w:numId w:val="9"/>
        </w:numPr>
        <w:rPr>
          <w:color w:val="auto"/>
          <w:sz w:val="28"/>
          <w:highlight w:val="none"/>
        </w:rPr>
      </w:pPr>
      <w:r>
        <w:rPr>
          <w:color w:val="auto"/>
          <w:sz w:val="28"/>
          <w:highlight w:val="none"/>
        </w:rPr>
        <w:t>区域地质构造</w:t>
      </w:r>
    </w:p>
    <w:p w14:paraId="5135084D">
      <w:pPr>
        <w:ind w:firstLine="480"/>
        <w:rPr>
          <w:color w:val="auto"/>
          <w:highlight w:val="none"/>
        </w:rPr>
      </w:pPr>
      <w:r>
        <w:rPr>
          <w:color w:val="auto"/>
          <w:highlight w:val="none"/>
        </w:rPr>
        <w:t>工程区位于华夏陆块西部钦州褶皱系，合浦中新生代断陷盆地，其北西侧为六万大山凸起，南东为博白断褶带。区域上，主要发育两组断裂-灵山-藤县深断裂和岗中-小董断裂，其中，灵山-藤县深断裂位于钦州拗陷东南侧，由一系列平行断层组成。断裂控制沉积作用明显。断裂带内动力变质作用较强，但岩浆活动却较弱，西南段有华力西期花岗岩零星分布，而印支期小岩体见于东北段。</w:t>
      </w:r>
    </w:p>
    <w:p w14:paraId="7A8C5D1E">
      <w:pPr>
        <w:ind w:firstLine="480"/>
        <w:rPr>
          <w:color w:val="auto"/>
          <w:highlight w:val="none"/>
        </w:rPr>
      </w:pPr>
      <w:r>
        <w:rPr>
          <w:color w:val="auto"/>
          <w:highlight w:val="none"/>
        </w:rPr>
        <w:t>钦州附近有少量晚白垩世火山岩。断裂在华力西旋回至印支亚旋回南升北降，通过志留系～上二叠统的断裂，多为倾向南东的冲断层。燕山亚旋回以来北升南降，通过侏罗系中的断层，多为倾向北西的冲断层。晚白垩世至第三纪盆地沉积多覆盖断裂，个别切割盆地的断裂为倾向北西的高角度正断层。断裂晚期活动强度减弱，并向张性转化。该断裂距离工程区较远；岗中-小董断裂位于钦州拗陷中部。其对华力西地槽沉积岩相、厚度并无显著影响，两侧缺失中、新生代陆相盆地沉积。但岩浆活动强烈，断裂多期性仍很明显。钦州小董一带，有晚二叠世至早三叠世酸性岩浆喷发，可能与断裂活动有关。华力西-印支期花岗岩沿断裂带呈狭长带状分布，个别印支期岩墙宽度仅8～200m，长度达18km，可见断裂是华力西至印支期岩浆活动的重要通道。大直以南，印支期花岗斑岩中的片理化及小董附近逆断层向正断层的转化，都说明其在印支亚旋回以后仍在持续活动。</w:t>
      </w:r>
    </w:p>
    <w:p w14:paraId="75DD3E5B">
      <w:pPr>
        <w:ind w:firstLine="480"/>
        <w:rPr>
          <w:color w:val="auto"/>
          <w:highlight w:val="none"/>
        </w:rPr>
      </w:pPr>
      <w:r>
        <w:rPr>
          <w:color w:val="auto"/>
          <w:highlight w:val="none"/>
        </w:rPr>
        <w:t>该断裂距离工程区较远，工程区内构造、断裂不发育。</w:t>
      </w:r>
    </w:p>
    <w:p w14:paraId="43AE3001">
      <w:pPr>
        <w:pStyle w:val="7"/>
        <w:numPr>
          <w:ilvl w:val="2"/>
          <w:numId w:val="9"/>
        </w:numPr>
        <w:rPr>
          <w:color w:val="auto"/>
          <w:sz w:val="28"/>
          <w:highlight w:val="none"/>
        </w:rPr>
      </w:pPr>
      <w:r>
        <w:rPr>
          <w:color w:val="auto"/>
          <w:sz w:val="28"/>
          <w:highlight w:val="none"/>
        </w:rPr>
        <w:t>气候与气象</w:t>
      </w:r>
    </w:p>
    <w:p w14:paraId="0C747573">
      <w:pPr>
        <w:ind w:firstLine="480"/>
        <w:rPr>
          <w:rFonts w:eastAsiaTheme="minorEastAsia"/>
          <w:color w:val="auto"/>
          <w:highlight w:val="none"/>
        </w:rPr>
      </w:pPr>
      <w:bookmarkStart w:id="132" w:name="_Hlk35611852"/>
      <w:r>
        <w:rPr>
          <w:rFonts w:eastAsiaTheme="minorEastAsia"/>
          <w:color w:val="auto"/>
          <w:highlight w:val="none"/>
        </w:rPr>
        <w:t>（1）气候特征</w:t>
      </w:r>
    </w:p>
    <w:p w14:paraId="6ACA8382">
      <w:pPr>
        <w:ind w:firstLine="480"/>
        <w:rPr>
          <w:rFonts w:eastAsiaTheme="minorEastAsia"/>
          <w:color w:val="auto"/>
          <w:highlight w:val="none"/>
        </w:rPr>
      </w:pPr>
      <w:r>
        <w:rPr>
          <w:rFonts w:eastAsiaTheme="minorEastAsia"/>
          <w:color w:val="auto"/>
          <w:highlight w:val="none"/>
        </w:rPr>
        <w:t>本项目所在的钦州市地处北回归线以南，属亚热带气候区。该区域气候，主要受季风环流的影响；其次还受北部十万大山地形屏障的作用。由于季风环流作用和特定的海陆位置及青藏高原的影响，本地的季节变化明显。</w:t>
      </w:r>
    </w:p>
    <w:p w14:paraId="7623FE0C">
      <w:pPr>
        <w:ind w:firstLine="480"/>
        <w:rPr>
          <w:rFonts w:eastAsiaTheme="minorEastAsia"/>
          <w:color w:val="auto"/>
          <w:highlight w:val="none"/>
        </w:rPr>
      </w:pPr>
      <w:r>
        <w:rPr>
          <w:rFonts w:eastAsiaTheme="minorEastAsia"/>
          <w:color w:val="auto"/>
          <w:highlight w:val="none"/>
        </w:rPr>
        <w:t xml:space="preserve">冬季，受北方干冷的大陆气团控制，干燥且寒冷的气流盛行，形成东北季风，常带来降温、寒潮、冷阴雨和霜冰冻和偏北大风等天气。夏季，受暖湿的海洋气团控制，高温高湿的偏南气流盛行，形成西南或东南季风，常出现阵风、雷电、暴雨、台风等天气。春、秋季，为季风转换的过渡季节。春季，北方干冷的大陆气团减弱而北退，海洋气团增强北伸，使调查区域雨水渐增，气温回升。秋季，海洋气团开始减弱而南缩，北方冷气团又增强南伸，使气温下降，雨水减少。此外，干湿分明、冬暖夏凉明显。冬半年(10 月－翌年 3 月)，温度低而湿度小，雨水稀少，相对湿度有时可低于 5～10％，此即为干季。夏半年(4 月～9 月)，温度高湿度大，雨水较多，相对湿度有时高达 </w:t>
      </w:r>
      <w:r>
        <w:rPr>
          <w:rFonts w:hint="eastAsia" w:eastAsiaTheme="minorEastAsia"/>
          <w:color w:val="auto"/>
          <w:highlight w:val="none"/>
          <w:lang w:eastAsia="zh-CN"/>
        </w:rPr>
        <w:t>93％—98％</w:t>
      </w:r>
      <w:r>
        <w:rPr>
          <w:rFonts w:eastAsiaTheme="minorEastAsia"/>
          <w:color w:val="auto"/>
          <w:highlight w:val="none"/>
        </w:rPr>
        <w:t>，甚至可达 100％，此即为湿季。</w:t>
      </w:r>
    </w:p>
    <w:p w14:paraId="5DD5FAE2">
      <w:pPr>
        <w:ind w:firstLine="480"/>
        <w:rPr>
          <w:rFonts w:eastAsiaTheme="minorEastAsia"/>
          <w:color w:val="auto"/>
          <w:highlight w:val="none"/>
        </w:rPr>
      </w:pPr>
      <w:r>
        <w:rPr>
          <w:rFonts w:eastAsiaTheme="minorEastAsia"/>
          <w:color w:val="auto"/>
          <w:highlight w:val="none"/>
        </w:rPr>
        <w:t>（2）气温</w:t>
      </w:r>
    </w:p>
    <w:p w14:paraId="750698EC">
      <w:pPr>
        <w:ind w:firstLine="480"/>
        <w:rPr>
          <w:rFonts w:eastAsiaTheme="minorEastAsia"/>
          <w:color w:val="auto"/>
          <w:highlight w:val="none"/>
        </w:rPr>
      </w:pPr>
      <w:r>
        <w:rPr>
          <w:rFonts w:eastAsiaTheme="minorEastAsia"/>
          <w:color w:val="auto"/>
          <w:highlight w:val="none"/>
        </w:rPr>
        <w:t>钦州市多年平均气温22.9℃，年平均最高气温23.9℃，年平均最低气温22.2℃。3月和4月月平均气温回升约4℃；10月和11月，月平均气温下降约3.8℃。历年月平均气温最低出现在1月，其值为9.5℃；最高出现在7月，其值为30.1℃。</w:t>
      </w:r>
    </w:p>
    <w:p w14:paraId="19259A5C">
      <w:pPr>
        <w:ind w:firstLine="480"/>
        <w:rPr>
          <w:color w:val="auto"/>
          <w:highlight w:val="none"/>
        </w:rPr>
      </w:pPr>
      <w:r>
        <w:rPr>
          <w:color w:val="auto"/>
          <w:highlight w:val="none"/>
        </w:rPr>
        <w:t>（3）降水</w:t>
      </w:r>
    </w:p>
    <w:p w14:paraId="529F8261">
      <w:pPr>
        <w:ind w:firstLine="480"/>
        <w:rPr>
          <w:color w:val="auto"/>
          <w:highlight w:val="none"/>
        </w:rPr>
      </w:pPr>
      <w:r>
        <w:rPr>
          <w:color w:val="auto"/>
          <w:highlight w:val="none"/>
        </w:rPr>
        <w:t>本地区降水主要集中在6～9 月，4 个月降水量占全年降水量的66.7％，而11月至翌年3月期间降水量仅占年降水量的11.3％，以8 月的降水量为最多，达449.5mm，占年降水量的20.1％。</w:t>
      </w:r>
    </w:p>
    <w:p w14:paraId="4C599D9A">
      <w:pPr>
        <w:ind w:firstLine="480"/>
        <w:rPr>
          <w:color w:val="auto"/>
          <w:highlight w:val="none"/>
        </w:rPr>
      </w:pPr>
      <w:r>
        <w:rPr>
          <w:color w:val="auto"/>
          <w:highlight w:val="none"/>
        </w:rPr>
        <w:t>多年平均降水量：2227.3mm</w:t>
      </w:r>
    </w:p>
    <w:p w14:paraId="24FFF909">
      <w:pPr>
        <w:ind w:firstLine="480"/>
        <w:rPr>
          <w:color w:val="auto"/>
          <w:highlight w:val="none"/>
        </w:rPr>
      </w:pPr>
      <w:r>
        <w:rPr>
          <w:color w:val="auto"/>
          <w:highlight w:val="none"/>
        </w:rPr>
        <w:t>年最大降水量：2961.5mm（1976年）</w:t>
      </w:r>
    </w:p>
    <w:p w14:paraId="0B018AD1">
      <w:pPr>
        <w:ind w:firstLine="480"/>
        <w:rPr>
          <w:color w:val="auto"/>
          <w:highlight w:val="none"/>
        </w:rPr>
      </w:pPr>
      <w:r>
        <w:rPr>
          <w:color w:val="auto"/>
          <w:highlight w:val="none"/>
        </w:rPr>
        <w:t>年最小降水量：1426.0mm（1977年）</w:t>
      </w:r>
    </w:p>
    <w:p w14:paraId="55371E69">
      <w:pPr>
        <w:ind w:firstLine="480"/>
        <w:rPr>
          <w:color w:val="auto"/>
          <w:highlight w:val="none"/>
        </w:rPr>
      </w:pPr>
      <w:r>
        <w:rPr>
          <w:color w:val="auto"/>
          <w:highlight w:val="none"/>
        </w:rPr>
        <w:t>日最大降水量：359.9mm（1971年9月29日）</w:t>
      </w:r>
    </w:p>
    <w:p w14:paraId="3E967B9C">
      <w:pPr>
        <w:ind w:firstLine="480"/>
        <w:rPr>
          <w:color w:val="auto"/>
          <w:highlight w:val="none"/>
        </w:rPr>
      </w:pPr>
      <w:r>
        <w:rPr>
          <w:color w:val="auto"/>
          <w:highlight w:val="none"/>
        </w:rPr>
        <w:t>1 小时最大降水量：85.1mm（1972年5月16日15:30～16:30）</w:t>
      </w:r>
    </w:p>
    <w:p w14:paraId="2E10E4DE">
      <w:pPr>
        <w:ind w:firstLine="480"/>
        <w:rPr>
          <w:color w:val="auto"/>
          <w:highlight w:val="none"/>
        </w:rPr>
      </w:pPr>
      <w:r>
        <w:rPr>
          <w:color w:val="auto"/>
          <w:highlight w:val="none"/>
        </w:rPr>
        <w:t>日降水量≥25mm：年均26日</w:t>
      </w:r>
    </w:p>
    <w:p w14:paraId="5928E047">
      <w:pPr>
        <w:ind w:firstLine="480"/>
        <w:rPr>
          <w:color w:val="auto"/>
          <w:highlight w:val="none"/>
        </w:rPr>
      </w:pPr>
      <w:r>
        <w:rPr>
          <w:color w:val="auto"/>
          <w:highlight w:val="none"/>
        </w:rPr>
        <w:t>（4）风况</w:t>
      </w:r>
    </w:p>
    <w:p w14:paraId="1030F683">
      <w:pPr>
        <w:ind w:firstLine="480"/>
        <w:rPr>
          <w:color w:val="auto"/>
          <w:highlight w:val="none"/>
        </w:rPr>
      </w:pPr>
      <w:r>
        <w:rPr>
          <w:color w:val="auto"/>
          <w:highlight w:val="none"/>
        </w:rPr>
        <w:t>钦州港季风分布特征比较明显，每年5～8月多偏南风，尤以6～7月最多，10月至翌年3月多偏北风，4 月和9 月为偏北风气旋和偏南风气旋交替时期。全年常风向为N、频率为26％，次常风向为NNE、频率为9.2％；强风向为N，其最大风速为31m/s；多年平均风速为3.8m/s。风速≥6 级的大风日数多年平均为34 天，风速≥8 级的大风日数多年平均为7 天。各风向频率和最大风速见表3.1-7。每年5～11月份受台风影响，其中7～9 月较为集中。影响本地区的台风每年2～4 次，最多5次。台风袭击时，常伴有暴雨或大暴雨。</w:t>
      </w:r>
    </w:p>
    <w:p w14:paraId="416DB696">
      <w:pPr>
        <w:pStyle w:val="38"/>
        <w:spacing w:after="0" w:line="240" w:lineRule="auto"/>
        <w:ind w:firstLine="0" w:firstLineChars="0"/>
        <w:jc w:val="center"/>
        <w:rPr>
          <w:b/>
          <w:color w:val="auto"/>
          <w:sz w:val="21"/>
          <w:szCs w:val="21"/>
          <w:highlight w:val="none"/>
        </w:rPr>
      </w:pPr>
      <w:r>
        <w:rPr>
          <w:b/>
          <w:color w:val="auto"/>
          <w:sz w:val="21"/>
          <w:szCs w:val="21"/>
          <w:highlight w:val="none"/>
        </w:rPr>
        <w:t>表3.1-1  多年平均各风向频率和最大风速表</w:t>
      </w:r>
    </w:p>
    <w:tbl>
      <w:tblPr>
        <w:tblStyle w:val="1535"/>
        <w:tblW w:w="0" w:type="auto"/>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92"/>
        <w:gridCol w:w="762"/>
        <w:gridCol w:w="762"/>
        <w:gridCol w:w="858"/>
        <w:gridCol w:w="734"/>
        <w:gridCol w:w="899"/>
        <w:gridCol w:w="693"/>
        <w:gridCol w:w="844"/>
        <w:gridCol w:w="679"/>
        <w:gridCol w:w="562"/>
      </w:tblGrid>
      <w:tr w14:paraId="11F17598">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092" w:type="dxa"/>
            <w:tcBorders>
              <w:top w:val="single" w:color="auto" w:sz="12" w:space="0"/>
            </w:tcBorders>
            <w:vAlign w:val="center"/>
          </w:tcPr>
          <w:p w14:paraId="29027EC5">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风</w:t>
            </w:r>
            <w:r>
              <w:rPr>
                <w:color w:val="auto"/>
                <w:sz w:val="21"/>
                <w:szCs w:val="21"/>
                <w:highlight w:val="none"/>
              </w:rPr>
              <w:t>向</w:t>
            </w:r>
          </w:p>
        </w:tc>
        <w:tc>
          <w:tcPr>
            <w:tcW w:w="762" w:type="dxa"/>
            <w:tcBorders>
              <w:top w:val="single" w:color="auto" w:sz="12" w:space="0"/>
            </w:tcBorders>
            <w:vAlign w:val="center"/>
          </w:tcPr>
          <w:p w14:paraId="5FC62315">
            <w:pPr>
              <w:kinsoku w:val="0"/>
              <w:overflowPunct w:val="0"/>
              <w:topLinePunct w:val="0"/>
              <w:autoSpaceDE w:val="0"/>
              <w:autoSpaceDN w:val="0"/>
              <w:snapToGrid/>
              <w:spacing w:line="240" w:lineRule="auto"/>
              <w:ind w:firstLine="0" w:firstLineChars="0"/>
              <w:jc w:val="center"/>
              <w:rPr>
                <w:color w:val="auto"/>
                <w:highlight w:val="none"/>
              </w:rPr>
            </w:pPr>
            <w:r>
              <w:rPr>
                <w:color w:val="auto"/>
                <w:sz w:val="21"/>
                <w:szCs w:val="21"/>
                <w:highlight w:val="none"/>
              </w:rPr>
              <w:t>N</w:t>
            </w:r>
          </w:p>
        </w:tc>
        <w:tc>
          <w:tcPr>
            <w:tcW w:w="762" w:type="dxa"/>
            <w:tcBorders>
              <w:top w:val="single" w:color="auto" w:sz="12" w:space="0"/>
            </w:tcBorders>
            <w:vAlign w:val="center"/>
          </w:tcPr>
          <w:p w14:paraId="4F3CBC76">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NN</w:t>
            </w:r>
            <w:r>
              <w:rPr>
                <w:color w:val="auto"/>
                <w:sz w:val="21"/>
                <w:szCs w:val="21"/>
                <w:highlight w:val="none"/>
              </w:rPr>
              <w:t>E</w:t>
            </w:r>
          </w:p>
        </w:tc>
        <w:tc>
          <w:tcPr>
            <w:tcW w:w="858" w:type="dxa"/>
            <w:tcBorders>
              <w:top w:val="single" w:color="auto" w:sz="12" w:space="0"/>
            </w:tcBorders>
            <w:vAlign w:val="center"/>
          </w:tcPr>
          <w:p w14:paraId="6816E0EB">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N</w:t>
            </w:r>
            <w:r>
              <w:rPr>
                <w:color w:val="auto"/>
                <w:sz w:val="21"/>
                <w:szCs w:val="21"/>
                <w:highlight w:val="none"/>
              </w:rPr>
              <w:t>E</w:t>
            </w:r>
          </w:p>
        </w:tc>
        <w:tc>
          <w:tcPr>
            <w:tcW w:w="734" w:type="dxa"/>
            <w:tcBorders>
              <w:top w:val="single" w:color="auto" w:sz="12" w:space="0"/>
            </w:tcBorders>
            <w:vAlign w:val="center"/>
          </w:tcPr>
          <w:p w14:paraId="50BF8058">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2"/>
                <w:sz w:val="21"/>
                <w:szCs w:val="21"/>
                <w:highlight w:val="none"/>
              </w:rPr>
              <w:t>E</w:t>
            </w:r>
            <w:r>
              <w:rPr>
                <w:color w:val="auto"/>
                <w:spacing w:val="2"/>
                <w:sz w:val="21"/>
                <w:szCs w:val="21"/>
                <w:highlight w:val="none"/>
              </w:rPr>
              <w:t>N</w:t>
            </w:r>
            <w:r>
              <w:rPr>
                <w:color w:val="auto"/>
                <w:sz w:val="21"/>
                <w:szCs w:val="21"/>
                <w:highlight w:val="none"/>
              </w:rPr>
              <w:t>E</w:t>
            </w:r>
          </w:p>
        </w:tc>
        <w:tc>
          <w:tcPr>
            <w:tcW w:w="899" w:type="dxa"/>
            <w:tcBorders>
              <w:top w:val="single" w:color="auto" w:sz="12" w:space="0"/>
            </w:tcBorders>
            <w:vAlign w:val="center"/>
          </w:tcPr>
          <w:p w14:paraId="5DAB9C2A">
            <w:pPr>
              <w:kinsoku w:val="0"/>
              <w:overflowPunct w:val="0"/>
              <w:topLinePunct w:val="0"/>
              <w:autoSpaceDE w:val="0"/>
              <w:autoSpaceDN w:val="0"/>
              <w:snapToGrid/>
              <w:spacing w:line="240" w:lineRule="auto"/>
              <w:ind w:firstLine="0" w:firstLineChars="0"/>
              <w:jc w:val="center"/>
              <w:rPr>
                <w:color w:val="auto"/>
                <w:highlight w:val="none"/>
              </w:rPr>
            </w:pPr>
            <w:r>
              <w:rPr>
                <w:color w:val="auto"/>
                <w:sz w:val="21"/>
                <w:szCs w:val="21"/>
                <w:highlight w:val="none"/>
              </w:rPr>
              <w:t>E</w:t>
            </w:r>
          </w:p>
        </w:tc>
        <w:tc>
          <w:tcPr>
            <w:tcW w:w="693" w:type="dxa"/>
            <w:tcBorders>
              <w:top w:val="single" w:color="auto" w:sz="12" w:space="0"/>
            </w:tcBorders>
            <w:vAlign w:val="center"/>
          </w:tcPr>
          <w:p w14:paraId="1B92DC30">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2"/>
                <w:sz w:val="21"/>
                <w:szCs w:val="21"/>
                <w:highlight w:val="none"/>
              </w:rPr>
              <w:t>E</w:t>
            </w:r>
            <w:r>
              <w:rPr>
                <w:color w:val="auto"/>
                <w:sz w:val="21"/>
                <w:szCs w:val="21"/>
                <w:highlight w:val="none"/>
              </w:rPr>
              <w:t>SE</w:t>
            </w:r>
          </w:p>
        </w:tc>
        <w:tc>
          <w:tcPr>
            <w:tcW w:w="844" w:type="dxa"/>
            <w:tcBorders>
              <w:top w:val="single" w:color="auto" w:sz="12" w:space="0"/>
            </w:tcBorders>
            <w:vAlign w:val="center"/>
          </w:tcPr>
          <w:p w14:paraId="6C15EA9C">
            <w:pPr>
              <w:kinsoku w:val="0"/>
              <w:overflowPunct w:val="0"/>
              <w:topLinePunct w:val="0"/>
              <w:autoSpaceDE w:val="0"/>
              <w:autoSpaceDN w:val="0"/>
              <w:snapToGrid/>
              <w:spacing w:line="240" w:lineRule="auto"/>
              <w:ind w:firstLine="0" w:firstLineChars="0"/>
              <w:jc w:val="center"/>
              <w:rPr>
                <w:color w:val="auto"/>
                <w:highlight w:val="none"/>
              </w:rPr>
            </w:pPr>
            <w:r>
              <w:rPr>
                <w:color w:val="auto"/>
                <w:sz w:val="21"/>
                <w:szCs w:val="21"/>
                <w:highlight w:val="none"/>
              </w:rPr>
              <w:t>SE</w:t>
            </w:r>
          </w:p>
        </w:tc>
        <w:tc>
          <w:tcPr>
            <w:tcW w:w="679" w:type="dxa"/>
            <w:tcBorders>
              <w:top w:val="single" w:color="auto" w:sz="12" w:space="0"/>
            </w:tcBorders>
            <w:vAlign w:val="center"/>
          </w:tcPr>
          <w:p w14:paraId="1FD66653">
            <w:pPr>
              <w:kinsoku w:val="0"/>
              <w:overflowPunct w:val="0"/>
              <w:topLinePunct w:val="0"/>
              <w:autoSpaceDE w:val="0"/>
              <w:autoSpaceDN w:val="0"/>
              <w:snapToGrid/>
              <w:spacing w:line="240" w:lineRule="auto"/>
              <w:ind w:firstLine="0" w:firstLineChars="0"/>
              <w:jc w:val="center"/>
              <w:rPr>
                <w:color w:val="auto"/>
                <w:highlight w:val="none"/>
              </w:rPr>
            </w:pPr>
            <w:r>
              <w:rPr>
                <w:color w:val="auto"/>
                <w:sz w:val="21"/>
                <w:szCs w:val="21"/>
                <w:highlight w:val="none"/>
              </w:rPr>
              <w:t>SSE</w:t>
            </w:r>
          </w:p>
        </w:tc>
        <w:tc>
          <w:tcPr>
            <w:tcW w:w="562" w:type="dxa"/>
            <w:tcBorders>
              <w:top w:val="single" w:color="auto" w:sz="12" w:space="0"/>
            </w:tcBorders>
            <w:vAlign w:val="center"/>
          </w:tcPr>
          <w:p w14:paraId="7F20372B">
            <w:pPr>
              <w:kinsoku w:val="0"/>
              <w:overflowPunct w:val="0"/>
              <w:topLinePunct w:val="0"/>
              <w:autoSpaceDE w:val="0"/>
              <w:autoSpaceDN w:val="0"/>
              <w:snapToGrid/>
              <w:spacing w:line="240" w:lineRule="auto"/>
              <w:ind w:firstLine="0" w:firstLineChars="0"/>
              <w:jc w:val="center"/>
              <w:rPr>
                <w:color w:val="auto"/>
                <w:highlight w:val="none"/>
              </w:rPr>
            </w:pPr>
            <w:r>
              <w:rPr>
                <w:color w:val="auto"/>
                <w:sz w:val="21"/>
                <w:szCs w:val="21"/>
                <w:highlight w:val="none"/>
              </w:rPr>
              <w:t>S</w:t>
            </w:r>
          </w:p>
        </w:tc>
      </w:tr>
      <w:tr w14:paraId="4A594AF3">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092" w:type="dxa"/>
            <w:vAlign w:val="center"/>
          </w:tcPr>
          <w:p w14:paraId="7738FD31">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频</w:t>
            </w:r>
            <w:r>
              <w:rPr>
                <w:color w:val="auto"/>
                <w:sz w:val="21"/>
                <w:szCs w:val="21"/>
                <w:highlight w:val="none"/>
              </w:rPr>
              <w:t>率</w:t>
            </w:r>
          </w:p>
        </w:tc>
        <w:tc>
          <w:tcPr>
            <w:tcW w:w="762" w:type="dxa"/>
            <w:vAlign w:val="center"/>
          </w:tcPr>
          <w:p w14:paraId="60562ABF">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26</w:t>
            </w:r>
            <w:r>
              <w:rPr>
                <w:color w:val="auto"/>
                <w:sz w:val="21"/>
                <w:szCs w:val="21"/>
                <w:highlight w:val="none"/>
              </w:rPr>
              <w:t>.0</w:t>
            </w:r>
          </w:p>
        </w:tc>
        <w:tc>
          <w:tcPr>
            <w:tcW w:w="762" w:type="dxa"/>
            <w:vAlign w:val="center"/>
          </w:tcPr>
          <w:p w14:paraId="64B2DB98">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9</w:t>
            </w:r>
            <w:r>
              <w:rPr>
                <w:color w:val="auto"/>
                <w:sz w:val="21"/>
                <w:szCs w:val="21"/>
                <w:highlight w:val="none"/>
              </w:rPr>
              <w:t>.2</w:t>
            </w:r>
          </w:p>
        </w:tc>
        <w:tc>
          <w:tcPr>
            <w:tcW w:w="858" w:type="dxa"/>
            <w:vAlign w:val="center"/>
          </w:tcPr>
          <w:p w14:paraId="3C9F39E0">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.5</w:t>
            </w:r>
          </w:p>
        </w:tc>
        <w:tc>
          <w:tcPr>
            <w:tcW w:w="734" w:type="dxa"/>
            <w:vAlign w:val="center"/>
          </w:tcPr>
          <w:p w14:paraId="437C102E">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.1</w:t>
            </w:r>
          </w:p>
        </w:tc>
        <w:tc>
          <w:tcPr>
            <w:tcW w:w="899" w:type="dxa"/>
            <w:vAlign w:val="center"/>
          </w:tcPr>
          <w:p w14:paraId="09858B55">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.0</w:t>
            </w:r>
          </w:p>
        </w:tc>
        <w:tc>
          <w:tcPr>
            <w:tcW w:w="693" w:type="dxa"/>
            <w:vAlign w:val="center"/>
          </w:tcPr>
          <w:p w14:paraId="633EEE74">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4</w:t>
            </w:r>
            <w:r>
              <w:rPr>
                <w:color w:val="auto"/>
                <w:sz w:val="21"/>
                <w:szCs w:val="21"/>
                <w:highlight w:val="none"/>
              </w:rPr>
              <w:t>.5</w:t>
            </w:r>
          </w:p>
        </w:tc>
        <w:tc>
          <w:tcPr>
            <w:tcW w:w="844" w:type="dxa"/>
            <w:vAlign w:val="center"/>
          </w:tcPr>
          <w:p w14:paraId="004EC949">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7</w:t>
            </w:r>
            <w:r>
              <w:rPr>
                <w:color w:val="auto"/>
                <w:sz w:val="21"/>
                <w:szCs w:val="21"/>
                <w:highlight w:val="none"/>
              </w:rPr>
              <w:t>.0</w:t>
            </w:r>
          </w:p>
        </w:tc>
        <w:tc>
          <w:tcPr>
            <w:tcW w:w="679" w:type="dxa"/>
            <w:vAlign w:val="center"/>
          </w:tcPr>
          <w:p w14:paraId="698CB3A2">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7</w:t>
            </w:r>
            <w:r>
              <w:rPr>
                <w:color w:val="auto"/>
                <w:sz w:val="21"/>
                <w:szCs w:val="21"/>
                <w:highlight w:val="none"/>
              </w:rPr>
              <w:t>.0</w:t>
            </w:r>
          </w:p>
        </w:tc>
        <w:tc>
          <w:tcPr>
            <w:tcW w:w="562" w:type="dxa"/>
            <w:vAlign w:val="center"/>
          </w:tcPr>
          <w:p w14:paraId="55D43DF2">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7</w:t>
            </w:r>
            <w:r>
              <w:rPr>
                <w:color w:val="auto"/>
                <w:sz w:val="21"/>
                <w:szCs w:val="21"/>
                <w:highlight w:val="none"/>
              </w:rPr>
              <w:t>.0</w:t>
            </w:r>
          </w:p>
        </w:tc>
      </w:tr>
      <w:tr w14:paraId="290EB080">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092" w:type="dxa"/>
            <w:vAlign w:val="center"/>
          </w:tcPr>
          <w:p w14:paraId="5E9D248B">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最</w:t>
            </w:r>
            <w:r>
              <w:rPr>
                <w:color w:val="auto"/>
                <w:spacing w:val="2"/>
                <w:sz w:val="21"/>
                <w:szCs w:val="21"/>
                <w:highlight w:val="none"/>
              </w:rPr>
              <w:t>大</w:t>
            </w:r>
            <w:r>
              <w:rPr>
                <w:color w:val="auto"/>
                <w:spacing w:val="-1"/>
                <w:sz w:val="21"/>
                <w:szCs w:val="21"/>
                <w:highlight w:val="none"/>
              </w:rPr>
              <w:t>风</w:t>
            </w:r>
            <w:r>
              <w:rPr>
                <w:color w:val="auto"/>
                <w:spacing w:val="2"/>
                <w:sz w:val="21"/>
                <w:szCs w:val="21"/>
                <w:highlight w:val="none"/>
              </w:rPr>
              <w:t>速（</w:t>
            </w:r>
            <w:r>
              <w:rPr>
                <w:color w:val="auto"/>
                <w:spacing w:val="1"/>
                <w:sz w:val="21"/>
                <w:szCs w:val="21"/>
                <w:highlight w:val="none"/>
              </w:rPr>
              <w:t>m</w:t>
            </w:r>
            <w:r>
              <w:rPr>
                <w:color w:val="auto"/>
                <w:sz w:val="21"/>
                <w:szCs w:val="21"/>
                <w:highlight w:val="none"/>
              </w:rPr>
              <w:t>/</w:t>
            </w:r>
            <w:r>
              <w:rPr>
                <w:color w:val="auto"/>
                <w:spacing w:val="-3"/>
                <w:sz w:val="21"/>
                <w:szCs w:val="21"/>
                <w:highlight w:val="none"/>
              </w:rPr>
              <w:t>s</w:t>
            </w:r>
            <w:r>
              <w:rPr>
                <w:color w:val="auto"/>
                <w:sz w:val="21"/>
                <w:szCs w:val="21"/>
                <w:highlight w:val="none"/>
              </w:rPr>
              <w:t>）</w:t>
            </w:r>
          </w:p>
        </w:tc>
        <w:tc>
          <w:tcPr>
            <w:tcW w:w="762" w:type="dxa"/>
            <w:vAlign w:val="center"/>
          </w:tcPr>
          <w:p w14:paraId="4D8FC149">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1</w:t>
            </w:r>
          </w:p>
        </w:tc>
        <w:tc>
          <w:tcPr>
            <w:tcW w:w="762" w:type="dxa"/>
            <w:vAlign w:val="center"/>
          </w:tcPr>
          <w:p w14:paraId="1EF6F0BA">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2</w:t>
            </w:r>
          </w:p>
        </w:tc>
        <w:tc>
          <w:tcPr>
            <w:tcW w:w="858" w:type="dxa"/>
            <w:vAlign w:val="center"/>
          </w:tcPr>
          <w:p w14:paraId="027DD5EF">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2</w:t>
            </w:r>
          </w:p>
        </w:tc>
        <w:tc>
          <w:tcPr>
            <w:tcW w:w="734" w:type="dxa"/>
            <w:vAlign w:val="center"/>
          </w:tcPr>
          <w:p w14:paraId="3084D471">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9</w:t>
            </w:r>
          </w:p>
        </w:tc>
        <w:tc>
          <w:tcPr>
            <w:tcW w:w="899" w:type="dxa"/>
            <w:vAlign w:val="center"/>
          </w:tcPr>
          <w:p w14:paraId="72D6C9BE">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5</w:t>
            </w:r>
          </w:p>
        </w:tc>
        <w:tc>
          <w:tcPr>
            <w:tcW w:w="693" w:type="dxa"/>
            <w:vAlign w:val="center"/>
          </w:tcPr>
          <w:p w14:paraId="350674F0">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1</w:t>
            </w:r>
          </w:p>
        </w:tc>
        <w:tc>
          <w:tcPr>
            <w:tcW w:w="844" w:type="dxa"/>
            <w:vAlign w:val="center"/>
          </w:tcPr>
          <w:p w14:paraId="53C0D8DA">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5</w:t>
            </w:r>
          </w:p>
        </w:tc>
        <w:tc>
          <w:tcPr>
            <w:tcW w:w="679" w:type="dxa"/>
            <w:vAlign w:val="center"/>
          </w:tcPr>
          <w:p w14:paraId="284C0FD8">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6</w:t>
            </w:r>
          </w:p>
        </w:tc>
        <w:tc>
          <w:tcPr>
            <w:tcW w:w="562" w:type="dxa"/>
            <w:vAlign w:val="center"/>
          </w:tcPr>
          <w:p w14:paraId="0908937C">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1</w:t>
            </w:r>
          </w:p>
        </w:tc>
      </w:tr>
      <w:tr w14:paraId="411524D8">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092" w:type="dxa"/>
            <w:vAlign w:val="center"/>
          </w:tcPr>
          <w:p w14:paraId="3395D7AC">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风</w:t>
            </w:r>
            <w:r>
              <w:rPr>
                <w:color w:val="auto"/>
                <w:sz w:val="21"/>
                <w:szCs w:val="21"/>
                <w:highlight w:val="none"/>
              </w:rPr>
              <w:t>向</w:t>
            </w:r>
          </w:p>
        </w:tc>
        <w:tc>
          <w:tcPr>
            <w:tcW w:w="762" w:type="dxa"/>
            <w:vAlign w:val="center"/>
          </w:tcPr>
          <w:p w14:paraId="167FABAB">
            <w:pPr>
              <w:kinsoku w:val="0"/>
              <w:overflowPunct w:val="0"/>
              <w:topLinePunct w:val="0"/>
              <w:autoSpaceDE w:val="0"/>
              <w:autoSpaceDN w:val="0"/>
              <w:snapToGrid/>
              <w:spacing w:line="240" w:lineRule="auto"/>
              <w:ind w:firstLine="0" w:firstLineChars="0"/>
              <w:jc w:val="center"/>
              <w:rPr>
                <w:color w:val="auto"/>
                <w:highlight w:val="none"/>
              </w:rPr>
            </w:pPr>
            <w:r>
              <w:rPr>
                <w:color w:val="auto"/>
                <w:sz w:val="21"/>
                <w:szCs w:val="21"/>
                <w:highlight w:val="none"/>
              </w:rPr>
              <w:t>SSW</w:t>
            </w:r>
          </w:p>
        </w:tc>
        <w:tc>
          <w:tcPr>
            <w:tcW w:w="762" w:type="dxa"/>
            <w:vAlign w:val="center"/>
          </w:tcPr>
          <w:p w14:paraId="3AE96BDB">
            <w:pPr>
              <w:kinsoku w:val="0"/>
              <w:overflowPunct w:val="0"/>
              <w:topLinePunct w:val="0"/>
              <w:autoSpaceDE w:val="0"/>
              <w:autoSpaceDN w:val="0"/>
              <w:snapToGrid/>
              <w:spacing w:line="240" w:lineRule="auto"/>
              <w:ind w:firstLine="0" w:firstLineChars="0"/>
              <w:jc w:val="center"/>
              <w:rPr>
                <w:color w:val="auto"/>
                <w:highlight w:val="none"/>
              </w:rPr>
            </w:pPr>
            <w:r>
              <w:rPr>
                <w:color w:val="auto"/>
                <w:sz w:val="21"/>
                <w:szCs w:val="21"/>
                <w:highlight w:val="none"/>
              </w:rPr>
              <w:t>SW</w:t>
            </w:r>
          </w:p>
        </w:tc>
        <w:tc>
          <w:tcPr>
            <w:tcW w:w="858" w:type="dxa"/>
            <w:vAlign w:val="center"/>
          </w:tcPr>
          <w:p w14:paraId="27DB74E5">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W</w:t>
            </w:r>
            <w:r>
              <w:rPr>
                <w:color w:val="auto"/>
                <w:sz w:val="21"/>
                <w:szCs w:val="21"/>
                <w:highlight w:val="none"/>
              </w:rPr>
              <w:t>SW</w:t>
            </w:r>
          </w:p>
        </w:tc>
        <w:tc>
          <w:tcPr>
            <w:tcW w:w="734" w:type="dxa"/>
            <w:vAlign w:val="center"/>
          </w:tcPr>
          <w:p w14:paraId="292041D8">
            <w:pPr>
              <w:kinsoku w:val="0"/>
              <w:overflowPunct w:val="0"/>
              <w:topLinePunct w:val="0"/>
              <w:autoSpaceDE w:val="0"/>
              <w:autoSpaceDN w:val="0"/>
              <w:snapToGrid/>
              <w:spacing w:line="240" w:lineRule="auto"/>
              <w:ind w:firstLine="0" w:firstLineChars="0"/>
              <w:jc w:val="center"/>
              <w:rPr>
                <w:color w:val="auto"/>
                <w:highlight w:val="none"/>
              </w:rPr>
            </w:pPr>
            <w:r>
              <w:rPr>
                <w:color w:val="auto"/>
                <w:sz w:val="21"/>
                <w:szCs w:val="21"/>
                <w:highlight w:val="none"/>
              </w:rPr>
              <w:t>W</w:t>
            </w:r>
          </w:p>
        </w:tc>
        <w:tc>
          <w:tcPr>
            <w:tcW w:w="899" w:type="dxa"/>
            <w:vAlign w:val="center"/>
          </w:tcPr>
          <w:p w14:paraId="558ACE57">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W</w:t>
            </w:r>
            <w:r>
              <w:rPr>
                <w:color w:val="auto"/>
                <w:spacing w:val="2"/>
                <w:sz w:val="21"/>
                <w:szCs w:val="21"/>
                <w:highlight w:val="none"/>
              </w:rPr>
              <w:t>N</w:t>
            </w:r>
            <w:r>
              <w:rPr>
                <w:color w:val="auto"/>
                <w:sz w:val="21"/>
                <w:szCs w:val="21"/>
                <w:highlight w:val="none"/>
              </w:rPr>
              <w:t>W</w:t>
            </w:r>
          </w:p>
        </w:tc>
        <w:tc>
          <w:tcPr>
            <w:tcW w:w="693" w:type="dxa"/>
            <w:vAlign w:val="center"/>
          </w:tcPr>
          <w:p w14:paraId="491AB566">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N</w:t>
            </w:r>
            <w:r>
              <w:rPr>
                <w:color w:val="auto"/>
                <w:sz w:val="21"/>
                <w:szCs w:val="21"/>
                <w:highlight w:val="none"/>
              </w:rPr>
              <w:t>W</w:t>
            </w:r>
          </w:p>
        </w:tc>
        <w:tc>
          <w:tcPr>
            <w:tcW w:w="844" w:type="dxa"/>
            <w:vAlign w:val="center"/>
          </w:tcPr>
          <w:p w14:paraId="20ADE312">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NN</w:t>
            </w:r>
            <w:r>
              <w:rPr>
                <w:color w:val="auto"/>
                <w:sz w:val="21"/>
                <w:szCs w:val="21"/>
                <w:highlight w:val="none"/>
              </w:rPr>
              <w:t>W</w:t>
            </w:r>
          </w:p>
        </w:tc>
        <w:tc>
          <w:tcPr>
            <w:tcW w:w="679" w:type="dxa"/>
            <w:vAlign w:val="center"/>
          </w:tcPr>
          <w:p w14:paraId="49ECFB49">
            <w:pPr>
              <w:kinsoku w:val="0"/>
              <w:overflowPunct w:val="0"/>
              <w:topLinePunct w:val="0"/>
              <w:autoSpaceDE w:val="0"/>
              <w:autoSpaceDN w:val="0"/>
              <w:snapToGrid/>
              <w:spacing w:line="240" w:lineRule="auto"/>
              <w:ind w:firstLine="0" w:firstLineChars="0"/>
              <w:jc w:val="center"/>
              <w:rPr>
                <w:color w:val="auto"/>
                <w:highlight w:val="none"/>
              </w:rPr>
            </w:pPr>
            <w:r>
              <w:rPr>
                <w:color w:val="auto"/>
                <w:sz w:val="21"/>
                <w:szCs w:val="21"/>
                <w:highlight w:val="none"/>
              </w:rPr>
              <w:t>C</w:t>
            </w:r>
          </w:p>
        </w:tc>
        <w:tc>
          <w:tcPr>
            <w:tcW w:w="562" w:type="dxa"/>
            <w:vAlign w:val="center"/>
          </w:tcPr>
          <w:p w14:paraId="2370FFE1">
            <w:pPr>
              <w:topLinePunct w:val="0"/>
              <w:autoSpaceDE w:val="0"/>
              <w:autoSpaceDN w:val="0"/>
              <w:snapToGrid/>
              <w:spacing w:line="240" w:lineRule="auto"/>
              <w:ind w:firstLine="0" w:firstLineChars="0"/>
              <w:jc w:val="center"/>
              <w:rPr>
                <w:color w:val="auto"/>
                <w:highlight w:val="none"/>
              </w:rPr>
            </w:pPr>
          </w:p>
        </w:tc>
      </w:tr>
      <w:tr w14:paraId="004FF41F">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092" w:type="dxa"/>
            <w:vAlign w:val="center"/>
          </w:tcPr>
          <w:p w14:paraId="63333E98">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频</w:t>
            </w:r>
            <w:r>
              <w:rPr>
                <w:color w:val="auto"/>
                <w:sz w:val="21"/>
                <w:szCs w:val="21"/>
                <w:highlight w:val="none"/>
              </w:rPr>
              <w:t>率</w:t>
            </w:r>
          </w:p>
        </w:tc>
        <w:tc>
          <w:tcPr>
            <w:tcW w:w="762" w:type="dxa"/>
            <w:vAlign w:val="center"/>
          </w:tcPr>
          <w:p w14:paraId="3FF53C0A">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5</w:t>
            </w:r>
            <w:r>
              <w:rPr>
                <w:color w:val="auto"/>
                <w:sz w:val="21"/>
                <w:szCs w:val="21"/>
                <w:highlight w:val="none"/>
              </w:rPr>
              <w:t>.4</w:t>
            </w:r>
          </w:p>
        </w:tc>
        <w:tc>
          <w:tcPr>
            <w:tcW w:w="762" w:type="dxa"/>
            <w:vAlign w:val="center"/>
          </w:tcPr>
          <w:p w14:paraId="3E0D17E9">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4</w:t>
            </w:r>
            <w:r>
              <w:rPr>
                <w:color w:val="auto"/>
                <w:sz w:val="21"/>
                <w:szCs w:val="21"/>
                <w:highlight w:val="none"/>
              </w:rPr>
              <w:t>.1</w:t>
            </w:r>
          </w:p>
        </w:tc>
        <w:tc>
          <w:tcPr>
            <w:tcW w:w="858" w:type="dxa"/>
            <w:vAlign w:val="center"/>
          </w:tcPr>
          <w:p w14:paraId="175B1C0A">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.6</w:t>
            </w:r>
          </w:p>
        </w:tc>
        <w:tc>
          <w:tcPr>
            <w:tcW w:w="734" w:type="dxa"/>
            <w:vAlign w:val="center"/>
          </w:tcPr>
          <w:p w14:paraId="1D4F6FAC">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.3</w:t>
            </w:r>
          </w:p>
        </w:tc>
        <w:tc>
          <w:tcPr>
            <w:tcW w:w="899" w:type="dxa"/>
            <w:vAlign w:val="center"/>
          </w:tcPr>
          <w:p w14:paraId="0B7BCA44">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.8</w:t>
            </w:r>
          </w:p>
        </w:tc>
        <w:tc>
          <w:tcPr>
            <w:tcW w:w="693" w:type="dxa"/>
            <w:vAlign w:val="center"/>
          </w:tcPr>
          <w:p w14:paraId="270B4FB2">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.8</w:t>
            </w:r>
          </w:p>
        </w:tc>
        <w:tc>
          <w:tcPr>
            <w:tcW w:w="844" w:type="dxa"/>
            <w:vAlign w:val="center"/>
          </w:tcPr>
          <w:p w14:paraId="77FD33F5">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7</w:t>
            </w:r>
            <w:r>
              <w:rPr>
                <w:color w:val="auto"/>
                <w:sz w:val="21"/>
                <w:szCs w:val="21"/>
                <w:highlight w:val="none"/>
              </w:rPr>
              <w:t>.2</w:t>
            </w:r>
          </w:p>
        </w:tc>
        <w:tc>
          <w:tcPr>
            <w:tcW w:w="679" w:type="dxa"/>
            <w:vAlign w:val="center"/>
          </w:tcPr>
          <w:p w14:paraId="47BF251B">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9</w:t>
            </w:r>
            <w:r>
              <w:rPr>
                <w:color w:val="auto"/>
                <w:sz w:val="21"/>
                <w:szCs w:val="21"/>
                <w:highlight w:val="none"/>
              </w:rPr>
              <w:t>.4</w:t>
            </w:r>
          </w:p>
        </w:tc>
        <w:tc>
          <w:tcPr>
            <w:tcW w:w="562" w:type="dxa"/>
            <w:vAlign w:val="center"/>
          </w:tcPr>
          <w:p w14:paraId="0AFF5441">
            <w:pPr>
              <w:topLinePunct w:val="0"/>
              <w:autoSpaceDE w:val="0"/>
              <w:autoSpaceDN w:val="0"/>
              <w:snapToGrid/>
              <w:spacing w:line="240" w:lineRule="auto"/>
              <w:ind w:firstLine="0" w:firstLineChars="0"/>
              <w:jc w:val="center"/>
              <w:rPr>
                <w:color w:val="auto"/>
                <w:highlight w:val="none"/>
              </w:rPr>
            </w:pPr>
          </w:p>
        </w:tc>
      </w:tr>
      <w:tr w14:paraId="49FF2E9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092" w:type="dxa"/>
            <w:tcBorders>
              <w:bottom w:val="single" w:color="auto" w:sz="12" w:space="0"/>
            </w:tcBorders>
            <w:vAlign w:val="center"/>
          </w:tcPr>
          <w:p w14:paraId="1654E6B6">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最</w:t>
            </w:r>
            <w:r>
              <w:rPr>
                <w:color w:val="auto"/>
                <w:spacing w:val="2"/>
                <w:sz w:val="21"/>
                <w:szCs w:val="21"/>
                <w:highlight w:val="none"/>
              </w:rPr>
              <w:t>大</w:t>
            </w:r>
            <w:r>
              <w:rPr>
                <w:color w:val="auto"/>
                <w:spacing w:val="-1"/>
                <w:sz w:val="21"/>
                <w:szCs w:val="21"/>
                <w:highlight w:val="none"/>
              </w:rPr>
              <w:t>风</w:t>
            </w:r>
            <w:r>
              <w:rPr>
                <w:color w:val="auto"/>
                <w:spacing w:val="2"/>
                <w:sz w:val="21"/>
                <w:szCs w:val="21"/>
                <w:highlight w:val="none"/>
              </w:rPr>
              <w:t>速（</w:t>
            </w:r>
            <w:r>
              <w:rPr>
                <w:color w:val="auto"/>
                <w:spacing w:val="1"/>
                <w:sz w:val="21"/>
                <w:szCs w:val="21"/>
                <w:highlight w:val="none"/>
              </w:rPr>
              <w:t>m</w:t>
            </w:r>
            <w:r>
              <w:rPr>
                <w:color w:val="auto"/>
                <w:sz w:val="21"/>
                <w:szCs w:val="21"/>
                <w:highlight w:val="none"/>
              </w:rPr>
              <w:t>/</w:t>
            </w:r>
            <w:r>
              <w:rPr>
                <w:color w:val="auto"/>
                <w:spacing w:val="-3"/>
                <w:sz w:val="21"/>
                <w:szCs w:val="21"/>
                <w:highlight w:val="none"/>
              </w:rPr>
              <w:t>s</w:t>
            </w:r>
            <w:r>
              <w:rPr>
                <w:color w:val="auto"/>
                <w:sz w:val="21"/>
                <w:szCs w:val="21"/>
                <w:highlight w:val="none"/>
              </w:rPr>
              <w:t>）</w:t>
            </w:r>
          </w:p>
        </w:tc>
        <w:tc>
          <w:tcPr>
            <w:tcW w:w="762" w:type="dxa"/>
            <w:tcBorders>
              <w:bottom w:val="single" w:color="auto" w:sz="12" w:space="0"/>
            </w:tcBorders>
            <w:vAlign w:val="center"/>
          </w:tcPr>
          <w:p w14:paraId="5223965B">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6</w:t>
            </w:r>
          </w:p>
        </w:tc>
        <w:tc>
          <w:tcPr>
            <w:tcW w:w="762" w:type="dxa"/>
            <w:tcBorders>
              <w:bottom w:val="single" w:color="auto" w:sz="12" w:space="0"/>
            </w:tcBorders>
            <w:vAlign w:val="center"/>
          </w:tcPr>
          <w:p w14:paraId="3A4BF8C8">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5</w:t>
            </w:r>
          </w:p>
        </w:tc>
        <w:tc>
          <w:tcPr>
            <w:tcW w:w="858" w:type="dxa"/>
            <w:tcBorders>
              <w:bottom w:val="single" w:color="auto" w:sz="12" w:space="0"/>
            </w:tcBorders>
            <w:vAlign w:val="center"/>
          </w:tcPr>
          <w:p w14:paraId="0F93E6E7">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1</w:t>
            </w:r>
          </w:p>
        </w:tc>
        <w:tc>
          <w:tcPr>
            <w:tcW w:w="734" w:type="dxa"/>
            <w:tcBorders>
              <w:bottom w:val="single" w:color="auto" w:sz="12" w:space="0"/>
            </w:tcBorders>
            <w:vAlign w:val="center"/>
          </w:tcPr>
          <w:p w14:paraId="380DE204">
            <w:pPr>
              <w:kinsoku w:val="0"/>
              <w:overflowPunct w:val="0"/>
              <w:topLinePunct w:val="0"/>
              <w:autoSpaceDE w:val="0"/>
              <w:autoSpaceDN w:val="0"/>
              <w:snapToGrid/>
              <w:spacing w:line="240" w:lineRule="auto"/>
              <w:ind w:firstLine="0" w:firstLineChars="0"/>
              <w:jc w:val="center"/>
              <w:rPr>
                <w:color w:val="auto"/>
                <w:highlight w:val="none"/>
              </w:rPr>
            </w:pPr>
            <w:r>
              <w:rPr>
                <w:color w:val="auto"/>
                <w:sz w:val="21"/>
                <w:szCs w:val="21"/>
                <w:highlight w:val="none"/>
              </w:rPr>
              <w:t>8</w:t>
            </w:r>
          </w:p>
        </w:tc>
        <w:tc>
          <w:tcPr>
            <w:tcW w:w="899" w:type="dxa"/>
            <w:tcBorders>
              <w:bottom w:val="single" w:color="auto" w:sz="12" w:space="0"/>
            </w:tcBorders>
            <w:vAlign w:val="center"/>
          </w:tcPr>
          <w:p w14:paraId="07A492D7">
            <w:pPr>
              <w:kinsoku w:val="0"/>
              <w:overflowPunct w:val="0"/>
              <w:topLinePunct w:val="0"/>
              <w:autoSpaceDE w:val="0"/>
              <w:autoSpaceDN w:val="0"/>
              <w:snapToGrid/>
              <w:spacing w:line="240" w:lineRule="auto"/>
              <w:ind w:firstLine="0" w:firstLineChars="0"/>
              <w:jc w:val="center"/>
              <w:rPr>
                <w:color w:val="auto"/>
                <w:highlight w:val="none"/>
              </w:rPr>
            </w:pPr>
            <w:r>
              <w:rPr>
                <w:color w:val="auto"/>
                <w:sz w:val="21"/>
                <w:szCs w:val="21"/>
                <w:highlight w:val="none"/>
              </w:rPr>
              <w:t>9</w:t>
            </w:r>
          </w:p>
        </w:tc>
        <w:tc>
          <w:tcPr>
            <w:tcW w:w="693" w:type="dxa"/>
            <w:tcBorders>
              <w:bottom w:val="single" w:color="auto" w:sz="12" w:space="0"/>
            </w:tcBorders>
            <w:vAlign w:val="center"/>
          </w:tcPr>
          <w:p w14:paraId="4FA1FE59">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6</w:t>
            </w:r>
          </w:p>
        </w:tc>
        <w:tc>
          <w:tcPr>
            <w:tcW w:w="844" w:type="dxa"/>
            <w:tcBorders>
              <w:bottom w:val="single" w:color="auto" w:sz="12" w:space="0"/>
            </w:tcBorders>
            <w:vAlign w:val="center"/>
          </w:tcPr>
          <w:p w14:paraId="14A777AC">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7</w:t>
            </w:r>
          </w:p>
        </w:tc>
        <w:tc>
          <w:tcPr>
            <w:tcW w:w="679" w:type="dxa"/>
            <w:tcBorders>
              <w:bottom w:val="single" w:color="auto" w:sz="12" w:space="0"/>
            </w:tcBorders>
            <w:vAlign w:val="center"/>
          </w:tcPr>
          <w:p w14:paraId="77A6C511">
            <w:pPr>
              <w:topLinePunct w:val="0"/>
              <w:autoSpaceDE w:val="0"/>
              <w:autoSpaceDN w:val="0"/>
              <w:snapToGrid/>
              <w:spacing w:line="240" w:lineRule="auto"/>
              <w:ind w:firstLine="0" w:firstLineChars="0"/>
              <w:jc w:val="center"/>
              <w:rPr>
                <w:color w:val="auto"/>
                <w:highlight w:val="none"/>
              </w:rPr>
            </w:pPr>
          </w:p>
        </w:tc>
        <w:tc>
          <w:tcPr>
            <w:tcW w:w="562" w:type="dxa"/>
            <w:tcBorders>
              <w:bottom w:val="single" w:color="auto" w:sz="12" w:space="0"/>
            </w:tcBorders>
            <w:vAlign w:val="center"/>
          </w:tcPr>
          <w:p w14:paraId="53E3173C">
            <w:pPr>
              <w:topLinePunct w:val="0"/>
              <w:autoSpaceDE w:val="0"/>
              <w:autoSpaceDN w:val="0"/>
              <w:snapToGrid/>
              <w:spacing w:line="240" w:lineRule="auto"/>
              <w:ind w:firstLine="0" w:firstLineChars="0"/>
              <w:jc w:val="center"/>
              <w:rPr>
                <w:color w:val="auto"/>
                <w:highlight w:val="none"/>
              </w:rPr>
            </w:pPr>
          </w:p>
        </w:tc>
      </w:tr>
    </w:tbl>
    <w:p w14:paraId="5DAB2FDE">
      <w:pPr>
        <w:pStyle w:val="91"/>
        <w:spacing w:before="120" w:beforeLines="50" w:after="0" w:line="360" w:lineRule="auto"/>
        <w:ind w:left="0" w:leftChars="0" w:firstLine="0" w:firstLineChars="0"/>
        <w:jc w:val="center"/>
        <w:rPr>
          <w:rFonts w:ascii="Times New Roman" w:hAnsi="Times New Roman" w:cs="Times New Roman"/>
          <w:color w:val="auto"/>
          <w:highlight w:val="none"/>
        </w:rPr>
      </w:pPr>
      <w:r>
        <w:rPr>
          <w:rFonts w:ascii="Times New Roman" w:hAnsi="Times New Roman" w:cs="Times New Roman"/>
          <w:color w:val="auto"/>
          <w:highlight w:val="none"/>
        </w:rPr>
        <w:drawing>
          <wp:inline distT="0" distB="0" distL="0" distR="0">
            <wp:extent cx="1737995" cy="2491740"/>
            <wp:effectExtent l="0" t="0" r="14605" b="381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97"/>
                    <a:stretch>
                      <a:fillRect/>
                    </a:stretch>
                  </pic:blipFill>
                  <pic:spPr>
                    <a:xfrm>
                      <a:off x="0" y="0"/>
                      <a:ext cx="1744312" cy="2500060"/>
                    </a:xfrm>
                    <a:prstGeom prst="rect">
                      <a:avLst/>
                    </a:prstGeom>
                  </pic:spPr>
                </pic:pic>
              </a:graphicData>
            </a:graphic>
          </wp:inline>
        </w:drawing>
      </w:r>
    </w:p>
    <w:p w14:paraId="0B584FC3">
      <w:pPr>
        <w:pStyle w:val="38"/>
        <w:spacing w:after="0" w:line="240" w:lineRule="auto"/>
        <w:ind w:firstLine="0" w:firstLineChars="0"/>
        <w:jc w:val="center"/>
        <w:rPr>
          <w:b/>
          <w:color w:val="auto"/>
          <w:sz w:val="21"/>
          <w:szCs w:val="21"/>
          <w:highlight w:val="none"/>
        </w:rPr>
      </w:pPr>
      <w:r>
        <w:rPr>
          <w:b/>
          <w:color w:val="auto"/>
          <w:sz w:val="21"/>
          <w:szCs w:val="21"/>
          <w:highlight w:val="none"/>
        </w:rPr>
        <w:t>图3.1-1 风速风向频率玫瑰图</w:t>
      </w:r>
    </w:p>
    <w:bookmarkEnd w:id="132"/>
    <w:p w14:paraId="55F8A5D5">
      <w:pPr>
        <w:ind w:firstLine="480"/>
        <w:rPr>
          <w:color w:val="auto"/>
          <w:highlight w:val="none"/>
        </w:rPr>
      </w:pPr>
    </w:p>
    <w:p w14:paraId="3EFECCD9">
      <w:pPr>
        <w:ind w:firstLine="480"/>
        <w:rPr>
          <w:color w:val="auto"/>
          <w:highlight w:val="none"/>
        </w:rPr>
      </w:pPr>
      <w:r>
        <w:rPr>
          <w:color w:val="auto"/>
          <w:highlight w:val="none"/>
        </w:rPr>
        <w:t>（5）雾况</w:t>
      </w:r>
    </w:p>
    <w:p w14:paraId="50056CF5">
      <w:pPr>
        <w:ind w:firstLine="480"/>
        <w:rPr>
          <w:color w:val="auto"/>
          <w:highlight w:val="none"/>
        </w:rPr>
      </w:pPr>
      <w:r>
        <w:rPr>
          <w:color w:val="auto"/>
          <w:highlight w:val="none"/>
        </w:rPr>
        <w:t>雾多发生于冬季11 月至次年4 月之冬春季节，夏季出现雾的机率最小，以早晨4 时至5 时出现的晨雾为多，下午6 时以后出现的晚雾次之；雾的持续时间一般为3～4 小时，个别长达一昼夜。</w:t>
      </w:r>
    </w:p>
    <w:p w14:paraId="7B31E1D2">
      <w:pPr>
        <w:ind w:firstLine="480"/>
        <w:rPr>
          <w:color w:val="auto"/>
          <w:highlight w:val="none"/>
        </w:rPr>
      </w:pPr>
      <w:r>
        <w:rPr>
          <w:color w:val="auto"/>
          <w:highlight w:val="none"/>
        </w:rPr>
        <w:t>能见度小于1000m 的雾日数，多年平均为20.2 天，年最多雾日数达32 天。</w:t>
      </w:r>
    </w:p>
    <w:p w14:paraId="43B127EE">
      <w:pPr>
        <w:ind w:firstLine="480"/>
        <w:rPr>
          <w:color w:val="auto"/>
          <w:highlight w:val="none"/>
        </w:rPr>
      </w:pPr>
      <w:r>
        <w:rPr>
          <w:color w:val="auto"/>
          <w:highlight w:val="none"/>
        </w:rPr>
        <w:t>（6）相对湿度</w:t>
      </w:r>
    </w:p>
    <w:p w14:paraId="7E55AC00">
      <w:pPr>
        <w:ind w:firstLine="480"/>
        <w:rPr>
          <w:color w:val="auto"/>
          <w:highlight w:val="none"/>
        </w:rPr>
      </w:pPr>
      <w:r>
        <w:rPr>
          <w:color w:val="auto"/>
          <w:highlight w:val="none"/>
        </w:rPr>
        <w:t>以春季3 月和雨季6～8 月最大，10 月至翌年1 月为相对湿度的低值期。</w:t>
      </w:r>
    </w:p>
    <w:p w14:paraId="37B47456">
      <w:pPr>
        <w:ind w:firstLine="480"/>
        <w:rPr>
          <w:color w:val="auto"/>
          <w:highlight w:val="none"/>
        </w:rPr>
      </w:pPr>
      <w:r>
        <w:rPr>
          <w:color w:val="auto"/>
          <w:highlight w:val="none"/>
        </w:rPr>
        <w:t>多年平均相对湿度：82％</w:t>
      </w:r>
    </w:p>
    <w:p w14:paraId="20DFD64B">
      <w:pPr>
        <w:ind w:firstLine="480"/>
        <w:rPr>
          <w:color w:val="auto"/>
          <w:highlight w:val="none"/>
        </w:rPr>
      </w:pPr>
      <w:r>
        <w:rPr>
          <w:color w:val="auto"/>
          <w:highlight w:val="none"/>
        </w:rPr>
        <w:t>历年最大相对湿度：100％</w:t>
      </w:r>
    </w:p>
    <w:p w14:paraId="462CC6EC">
      <w:pPr>
        <w:ind w:firstLine="480"/>
        <w:rPr>
          <w:color w:val="auto"/>
          <w:highlight w:val="none"/>
        </w:rPr>
      </w:pPr>
      <w:r>
        <w:rPr>
          <w:color w:val="auto"/>
          <w:highlight w:val="none"/>
        </w:rPr>
        <w:t>历年最小相对湿度：22％</w:t>
      </w:r>
    </w:p>
    <w:p w14:paraId="3ED8371B">
      <w:pPr>
        <w:pStyle w:val="7"/>
        <w:numPr>
          <w:ilvl w:val="2"/>
          <w:numId w:val="9"/>
        </w:numPr>
        <w:rPr>
          <w:color w:val="auto"/>
          <w:sz w:val="28"/>
          <w:highlight w:val="none"/>
        </w:rPr>
      </w:pPr>
      <w:r>
        <w:rPr>
          <w:color w:val="auto"/>
          <w:sz w:val="28"/>
          <w:highlight w:val="none"/>
        </w:rPr>
        <w:t>海洋水文</w:t>
      </w:r>
    </w:p>
    <w:p w14:paraId="07C6EBD1">
      <w:pPr>
        <w:pStyle w:val="533"/>
        <w:numPr>
          <w:ilvl w:val="3"/>
          <w:numId w:val="9"/>
        </w:numPr>
        <w:rPr>
          <w:color w:val="auto"/>
          <w:szCs w:val="24"/>
          <w:highlight w:val="none"/>
        </w:rPr>
      </w:pPr>
      <w:r>
        <w:rPr>
          <w:color w:val="auto"/>
          <w:szCs w:val="24"/>
          <w:highlight w:val="none"/>
        </w:rPr>
        <w:t>潮汐</w:t>
      </w:r>
    </w:p>
    <w:p w14:paraId="75515EB4">
      <w:pPr>
        <w:ind w:firstLine="480"/>
        <w:rPr>
          <w:rFonts w:eastAsiaTheme="minorEastAsia"/>
          <w:color w:val="auto"/>
          <w:highlight w:val="none"/>
        </w:rPr>
      </w:pPr>
      <w:r>
        <w:rPr>
          <w:rFonts w:eastAsiaTheme="minorEastAsia"/>
          <w:color w:val="auto"/>
          <w:highlight w:val="none"/>
        </w:rPr>
        <w:t>钦州湾的潮汐性质属非正规全日潮，其显著特点是，每月大潮过后约有2～4日时间为半日潮，其余多为全日潮。一年当中，全日潮的时间约为60%～70%。</w:t>
      </w:r>
    </w:p>
    <w:p w14:paraId="4DAB1EEB">
      <w:pPr>
        <w:ind w:firstLine="480"/>
        <w:rPr>
          <w:rFonts w:eastAsiaTheme="minorEastAsia"/>
          <w:color w:val="auto"/>
          <w:highlight w:val="none"/>
        </w:rPr>
      </w:pPr>
      <w:r>
        <w:rPr>
          <w:rFonts w:eastAsiaTheme="minorEastAsia"/>
          <w:color w:val="auto"/>
          <w:highlight w:val="none"/>
        </w:rPr>
        <w:t>根据龙门潮位站1966年～2002年观测资料计算，钦州湾多年平均海面为0.40m（黄海基面起算），其潮位特征值如下：</w:t>
      </w:r>
    </w:p>
    <w:p w14:paraId="38CDFD35">
      <w:pPr>
        <w:ind w:firstLine="480"/>
        <w:rPr>
          <w:rFonts w:eastAsiaTheme="minorEastAsia"/>
          <w:color w:val="auto"/>
          <w:highlight w:val="none"/>
        </w:rPr>
      </w:pPr>
      <w:r>
        <w:rPr>
          <w:rFonts w:eastAsiaTheme="minorEastAsia"/>
          <w:color w:val="auto"/>
          <w:highlight w:val="none"/>
        </w:rPr>
        <w:t>历年最高高潮位：3.96m（1986年7月22日）</w:t>
      </w:r>
    </w:p>
    <w:p w14:paraId="517799F1">
      <w:pPr>
        <w:ind w:firstLine="480"/>
        <w:rPr>
          <w:rFonts w:eastAsiaTheme="minorEastAsia"/>
          <w:color w:val="auto"/>
          <w:highlight w:val="none"/>
        </w:rPr>
      </w:pPr>
      <w:r>
        <w:rPr>
          <w:rFonts w:eastAsiaTheme="minorEastAsia"/>
          <w:color w:val="auto"/>
          <w:highlight w:val="none"/>
        </w:rPr>
        <w:t>历年最低低潮位：-2.57m（1968年12月22日）</w:t>
      </w:r>
    </w:p>
    <w:p w14:paraId="74599B86">
      <w:pPr>
        <w:ind w:firstLine="480"/>
        <w:rPr>
          <w:rFonts w:eastAsiaTheme="minorEastAsia"/>
          <w:color w:val="auto"/>
          <w:highlight w:val="none"/>
        </w:rPr>
      </w:pPr>
      <w:r>
        <w:rPr>
          <w:rFonts w:eastAsiaTheme="minorEastAsia"/>
          <w:color w:val="auto"/>
          <w:highlight w:val="none"/>
        </w:rPr>
        <w:t>历年涨潮最大潮差：5.95m（1968年）</w:t>
      </w:r>
    </w:p>
    <w:p w14:paraId="2CB04FE1">
      <w:pPr>
        <w:ind w:firstLine="480"/>
        <w:rPr>
          <w:rFonts w:eastAsiaTheme="minorEastAsia"/>
          <w:color w:val="auto"/>
          <w:highlight w:val="none"/>
        </w:rPr>
      </w:pPr>
      <w:r>
        <w:rPr>
          <w:rFonts w:eastAsiaTheme="minorEastAsia"/>
          <w:color w:val="auto"/>
          <w:highlight w:val="none"/>
        </w:rPr>
        <w:t>多年涨潮平均潮差：2.46m</w:t>
      </w:r>
    </w:p>
    <w:p w14:paraId="02F5294F">
      <w:pPr>
        <w:ind w:firstLine="480"/>
        <w:rPr>
          <w:rFonts w:eastAsiaTheme="minorEastAsia"/>
          <w:color w:val="auto"/>
          <w:highlight w:val="none"/>
        </w:rPr>
      </w:pPr>
      <w:r>
        <w:rPr>
          <w:rFonts w:eastAsiaTheme="minorEastAsia"/>
          <w:color w:val="auto"/>
          <w:highlight w:val="none"/>
        </w:rPr>
        <w:t>历年落潮最大潮差：5.69m（1987年）</w:t>
      </w:r>
    </w:p>
    <w:p w14:paraId="123E6284">
      <w:pPr>
        <w:ind w:firstLine="480"/>
        <w:rPr>
          <w:rFonts w:eastAsiaTheme="minorEastAsia"/>
          <w:color w:val="auto"/>
          <w:highlight w:val="none"/>
        </w:rPr>
      </w:pPr>
      <w:r>
        <w:rPr>
          <w:rFonts w:eastAsiaTheme="minorEastAsia"/>
          <w:color w:val="auto"/>
          <w:highlight w:val="none"/>
        </w:rPr>
        <w:t>多年落潮平均潮差：2.46m</w:t>
      </w:r>
    </w:p>
    <w:p w14:paraId="7E5618E0">
      <w:pPr>
        <w:ind w:firstLine="480"/>
        <w:rPr>
          <w:rFonts w:eastAsiaTheme="minorEastAsia"/>
          <w:color w:val="auto"/>
          <w:highlight w:val="none"/>
        </w:rPr>
      </w:pPr>
      <w:r>
        <w:rPr>
          <w:rFonts w:eastAsiaTheme="minorEastAsia"/>
          <w:color w:val="auto"/>
          <w:highlight w:val="none"/>
        </w:rPr>
        <w:t>多年平均涨潮历时：10h29min</w:t>
      </w:r>
    </w:p>
    <w:p w14:paraId="48053FB0">
      <w:pPr>
        <w:ind w:firstLine="480"/>
        <w:rPr>
          <w:rFonts w:eastAsiaTheme="minorEastAsia"/>
          <w:color w:val="auto"/>
          <w:highlight w:val="none"/>
        </w:rPr>
      </w:pPr>
      <w:r>
        <w:rPr>
          <w:rFonts w:eastAsiaTheme="minorEastAsia"/>
          <w:color w:val="auto"/>
          <w:highlight w:val="none"/>
        </w:rPr>
        <w:t>多年平均落潮历时：7h47min</w:t>
      </w:r>
    </w:p>
    <w:p w14:paraId="0C691596">
      <w:pPr>
        <w:pStyle w:val="533"/>
        <w:numPr>
          <w:ilvl w:val="3"/>
          <w:numId w:val="9"/>
        </w:numPr>
        <w:rPr>
          <w:color w:val="auto"/>
          <w:szCs w:val="24"/>
          <w:highlight w:val="none"/>
        </w:rPr>
      </w:pPr>
      <w:r>
        <w:rPr>
          <w:color w:val="auto"/>
          <w:szCs w:val="24"/>
          <w:highlight w:val="none"/>
        </w:rPr>
        <w:t xml:space="preserve">潮流 </w:t>
      </w:r>
    </w:p>
    <w:p w14:paraId="366DDC62">
      <w:pPr>
        <w:ind w:firstLine="480"/>
        <w:rPr>
          <w:rFonts w:eastAsiaTheme="minorEastAsia"/>
          <w:color w:val="auto"/>
          <w:highlight w:val="none"/>
        </w:rPr>
      </w:pPr>
      <w:r>
        <w:rPr>
          <w:rFonts w:eastAsiaTheme="minorEastAsia"/>
          <w:color w:val="auto"/>
          <w:highlight w:val="none"/>
        </w:rPr>
        <w:t>钦州湾潮流呈往复流性质。涨潮方向指北，即涨潮流由南进入湾内后，受东侧边界的影响，在东侧呈NNW流向青菜头，并沿潮汐通道进入茅尾海。落潮流由茅尾海向外，沿潮汐通道直冲青菜头，而后由北向南逐渐向SW方向偏转。涨落潮流均与航道走向大体一致，落潮潮流可将携带的泥沙向外海推移。</w:t>
      </w:r>
    </w:p>
    <w:p w14:paraId="2FAC5A9E">
      <w:pPr>
        <w:ind w:firstLine="480"/>
        <w:rPr>
          <w:rFonts w:eastAsiaTheme="minorEastAsia"/>
          <w:color w:val="auto"/>
          <w:highlight w:val="none"/>
        </w:rPr>
      </w:pPr>
      <w:r>
        <w:rPr>
          <w:rFonts w:eastAsiaTheme="minorEastAsia"/>
          <w:color w:val="auto"/>
          <w:highlight w:val="none"/>
        </w:rPr>
        <w:t>钦州湾内涨潮平均流速为8cm/s～28cm/s，最大为54cm/s，落潮平均流速为9cm/s～55cm/s，最大流速为95cm/s。落潮平均流速和最大流速均较涨潮大。</w:t>
      </w:r>
    </w:p>
    <w:p w14:paraId="021D3006">
      <w:pPr>
        <w:ind w:firstLine="480"/>
        <w:rPr>
          <w:rFonts w:eastAsiaTheme="minorEastAsia"/>
          <w:color w:val="auto"/>
          <w:highlight w:val="none"/>
        </w:rPr>
      </w:pPr>
      <w:r>
        <w:rPr>
          <w:rFonts w:eastAsiaTheme="minorEastAsia"/>
          <w:color w:val="auto"/>
          <w:highlight w:val="none"/>
        </w:rPr>
        <w:t>鹰岭附近，大潮时，落潮流最大垂线平均流速达106cm/s，流向113°；涨潮流最大垂线平均流速为72cm/s，流向313°；小潮时，落潮流最大垂线平均流速为20cm/s，流向108°；涨潮流最大垂线平均流速为38cm/s，流向288°。在东航道中段，中潮时落潮流最大垂线平均流速为65cm/s，流向为162°；涨潮时最大垂线平均流速为51cm/s，流向为355°。在青菜头以北的潮汐通道中，除局部水域受岛礁影响水流流向较散乱外，潮流呈往复流性质，涨落潮流方向与深槽走向一致。由于茅尾海的纳潮量大，因此，潮汐通道潮流强劲，无大的风浪，最大涨潮流速为100cm/s，最大落潮流速为170cm/s。基岩上无淤积物覆盖，深槽水深达10cm～20cm。</w:t>
      </w:r>
    </w:p>
    <w:p w14:paraId="34C81ABD">
      <w:pPr>
        <w:pStyle w:val="533"/>
        <w:numPr>
          <w:ilvl w:val="3"/>
          <w:numId w:val="9"/>
        </w:numPr>
        <w:rPr>
          <w:color w:val="auto"/>
          <w:szCs w:val="24"/>
          <w:highlight w:val="none"/>
        </w:rPr>
      </w:pPr>
      <w:r>
        <w:rPr>
          <w:color w:val="auto"/>
          <w:szCs w:val="24"/>
          <w:highlight w:val="none"/>
        </w:rPr>
        <w:t>乘潮水位</w:t>
      </w:r>
    </w:p>
    <w:p w14:paraId="7BB6A637">
      <w:pPr>
        <w:ind w:firstLine="480"/>
        <w:rPr>
          <w:color w:val="auto"/>
          <w:highlight w:val="none"/>
        </w:rPr>
      </w:pPr>
      <w:r>
        <w:rPr>
          <w:color w:val="auto"/>
          <w:highlight w:val="none"/>
        </w:rPr>
        <w:t>钦州港极端高水位为5.77m（50年一遇高潮位），极端低水位为-0.89m（50年一遇低潮位），各乘潮历时不同保证率乘潮水位如下表3.1-2。</w:t>
      </w:r>
    </w:p>
    <w:p w14:paraId="29138FDB">
      <w:pPr>
        <w:pStyle w:val="38"/>
        <w:spacing w:after="0" w:line="240" w:lineRule="auto"/>
        <w:ind w:firstLine="0" w:firstLineChars="0"/>
        <w:jc w:val="center"/>
        <w:rPr>
          <w:b/>
          <w:color w:val="auto"/>
          <w:sz w:val="21"/>
          <w:szCs w:val="21"/>
          <w:highlight w:val="none"/>
        </w:rPr>
      </w:pPr>
      <w:r>
        <w:rPr>
          <w:b/>
          <w:color w:val="auto"/>
          <w:sz w:val="21"/>
          <w:szCs w:val="21"/>
          <w:highlight w:val="none"/>
        </w:rPr>
        <w:t>表3.1-2  乘潮水位表（果子山理论深度基准面）</w:t>
      </w:r>
    </w:p>
    <w:tbl>
      <w:tblPr>
        <w:tblStyle w:val="154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19"/>
        <w:gridCol w:w="1839"/>
        <w:gridCol w:w="1712"/>
        <w:gridCol w:w="1584"/>
        <w:gridCol w:w="1432"/>
      </w:tblGrid>
      <w:tr w14:paraId="4B6933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4" w:type="pct"/>
            <w:vAlign w:val="center"/>
          </w:tcPr>
          <w:p w14:paraId="6E829268">
            <w:pPr>
              <w:pStyle w:val="1558"/>
              <w:wordWrap/>
              <w:snapToGrid w:val="0"/>
              <w:spacing w:line="240" w:lineRule="exact"/>
              <w:ind w:firstLine="480"/>
              <w:textAlignment w:val="center"/>
              <w:rPr>
                <w:b/>
                <w:bCs w:val="0"/>
                <w:iCs/>
                <w:snapToGrid w:val="0"/>
                <w:color w:val="auto"/>
                <w:kern w:val="2"/>
                <w:szCs w:val="21"/>
                <w:highlight w:val="none"/>
              </w:rPr>
            </w:pPr>
            <w:r>
              <w:rPr>
                <w:bCs/>
                <w:iCs/>
                <w:snapToGrid w:val="0"/>
                <w:color w:val="auto"/>
                <w:highlight w:val="none"/>
              </w:rPr>
              <mc:AlternateContent>
                <mc:Choice Requires="wps">
                  <w:drawing>
                    <wp:anchor distT="0" distB="0" distL="114300" distR="114300" simplePos="0" relativeHeight="251665408" behindDoc="0" locked="0" layoutInCell="1" allowOverlap="1">
                      <wp:simplePos x="0" y="0"/>
                      <wp:positionH relativeFrom="column">
                        <wp:posOffset>-54610</wp:posOffset>
                      </wp:positionH>
                      <wp:positionV relativeFrom="paragraph">
                        <wp:posOffset>17145</wp:posOffset>
                      </wp:positionV>
                      <wp:extent cx="795020" cy="588010"/>
                      <wp:effectExtent l="2540" t="3810" r="21590" b="17780"/>
                      <wp:wrapNone/>
                      <wp:docPr id="355215808" name="直接连接符 355215808"/>
                      <wp:cNvGraphicFramePr/>
                      <a:graphic xmlns:a="http://schemas.openxmlformats.org/drawingml/2006/main">
                        <a:graphicData uri="http://schemas.microsoft.com/office/word/2010/wordprocessingShape">
                          <wps:wsp>
                            <wps:cNvCnPr>
                              <a:cxnSpLocks noChangeShapeType="1"/>
                            </wps:cNvCnPr>
                            <wps:spPr bwMode="auto">
                              <a:xfrm>
                                <a:off x="0" y="0"/>
                                <a:ext cx="795020" cy="58801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4.3pt;margin-top:1.35pt;height:46.3pt;width:62.6pt;z-index:251665408;mso-width-relative:page;mso-height-relative:page;" filled="f" stroked="t" coordsize="21600,21600" o:gfxdata="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jkW3H1QAAAAcBAAAPAAAAAAAAAAEAIAAAACIAAABkcnMvZG93bnJldi54bWxQSwECFAAU&#10;AAAACACHTuJA0VgA8fQBAADMAwAADgAAAAAAAAABACAAAAAkAQAAZHJzL2Uyb0RvYy54bWxQSwUG&#10;AAAAAAYABgBZAQAAigUAAAAA&#10;">
                      <v:fill on="f" focussize="0,0"/>
                      <v:stroke color="#000000" joinstyle="round"/>
                      <v:imagedata o:title=""/>
                      <o:lock v:ext="edit" aspectratio="f"/>
                    </v:line>
                  </w:pict>
                </mc:Fallback>
              </mc:AlternateContent>
            </w:r>
            <w:r>
              <w:rPr>
                <w:bCs/>
                <w:iCs/>
                <w:snapToGrid w:val="0"/>
                <w:color w:val="auto"/>
                <w:highlight w:val="none"/>
              </w:rPr>
              <mc:AlternateContent>
                <mc:Choice Requires="wps">
                  <w:drawing>
                    <wp:anchor distT="0" distB="0" distL="114300" distR="114300" simplePos="0" relativeHeight="251664384" behindDoc="0" locked="0" layoutInCell="1" allowOverlap="1">
                      <wp:simplePos x="0" y="0"/>
                      <wp:positionH relativeFrom="column">
                        <wp:posOffset>-62865</wp:posOffset>
                      </wp:positionH>
                      <wp:positionV relativeFrom="paragraph">
                        <wp:posOffset>17145</wp:posOffset>
                      </wp:positionV>
                      <wp:extent cx="1709420" cy="413385"/>
                      <wp:effectExtent l="1270" t="4445" r="3810" b="20320"/>
                      <wp:wrapNone/>
                      <wp:docPr id="51" name="直接连接符 51"/>
                      <wp:cNvGraphicFramePr/>
                      <a:graphic xmlns:a="http://schemas.openxmlformats.org/drawingml/2006/main">
                        <a:graphicData uri="http://schemas.microsoft.com/office/word/2010/wordprocessingShape">
                          <wps:wsp>
                            <wps:cNvCnPr>
                              <a:cxnSpLocks noChangeShapeType="1"/>
                            </wps:cNvCnPr>
                            <wps:spPr bwMode="auto">
                              <a:xfrm>
                                <a:off x="0" y="0"/>
                                <a:ext cx="1709420" cy="413385"/>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4.95pt;margin-top:1.35pt;height:32.55pt;width:134.6pt;z-index:251664384;mso-width-relative:page;mso-height-relative:page;" filled="f" stroked="t" coordsize="21600,21600" o:gfxdata="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CnMuP&#10;1gAAAAcBAAAPAAAAAAAAAAEAIAAAACIAAABkcnMvZG93bnJldi54bWxQSwECFAAUAAAACACHTuJA&#10;ik76t+oBAACxAwAADgAAAAAAAAABACAAAAAlAQAAZHJzL2Uyb0RvYy54bWxQSwUGAAAAAAYABgBZ&#10;AQAAgQUAAAAA&#10;">
                      <v:fill on="f" focussize="0,0"/>
                      <v:stroke color="#000000" joinstyle="round"/>
                      <v:imagedata o:title=""/>
                      <o:lock v:ext="edit" aspectratio="f"/>
                    </v:line>
                  </w:pict>
                </mc:Fallback>
              </mc:AlternateContent>
            </w:r>
            <w:r>
              <w:rPr>
                <w:b/>
                <w:bCs/>
                <w:iCs/>
                <w:snapToGrid w:val="0"/>
                <w:color w:val="auto"/>
                <w:kern w:val="2"/>
                <w:szCs w:val="21"/>
                <w:highlight w:val="none"/>
              </w:rPr>
              <w:t xml:space="preserve">        乘潮历时（h）</w:t>
            </w:r>
          </w:p>
          <w:p w14:paraId="2237956C">
            <w:pPr>
              <w:pStyle w:val="1558"/>
              <w:wordWrap/>
              <w:snapToGrid w:val="0"/>
              <w:spacing w:line="240" w:lineRule="exact"/>
              <w:ind w:firstLine="482"/>
              <w:jc w:val="left"/>
              <w:textAlignment w:val="center"/>
              <w:rPr>
                <w:b/>
                <w:bCs w:val="0"/>
                <w:iCs/>
                <w:snapToGrid w:val="0"/>
                <w:color w:val="auto"/>
                <w:kern w:val="2"/>
                <w:szCs w:val="21"/>
                <w:highlight w:val="none"/>
              </w:rPr>
            </w:pPr>
          </w:p>
          <w:p w14:paraId="496C0A9A">
            <w:pPr>
              <w:pStyle w:val="1558"/>
              <w:wordWrap/>
              <w:snapToGrid w:val="0"/>
              <w:spacing w:line="240" w:lineRule="exact"/>
              <w:ind w:firstLine="843" w:firstLineChars="400"/>
              <w:jc w:val="left"/>
              <w:textAlignment w:val="center"/>
              <w:rPr>
                <w:b/>
                <w:bCs w:val="0"/>
                <w:iCs/>
                <w:snapToGrid w:val="0"/>
                <w:color w:val="auto"/>
                <w:kern w:val="2"/>
                <w:szCs w:val="21"/>
                <w:highlight w:val="none"/>
              </w:rPr>
            </w:pPr>
            <w:r>
              <w:rPr>
                <w:b/>
                <w:bCs/>
                <w:iCs/>
                <w:snapToGrid w:val="0"/>
                <w:color w:val="auto"/>
                <w:kern w:val="2"/>
                <w:szCs w:val="21"/>
                <w:highlight w:val="none"/>
              </w:rPr>
              <w:t xml:space="preserve"> 频率（%)</w:t>
            </w:r>
          </w:p>
          <w:p w14:paraId="50DFA2E4">
            <w:pPr>
              <w:pStyle w:val="1558"/>
              <w:wordWrap/>
              <w:snapToGrid w:val="0"/>
              <w:spacing w:line="240" w:lineRule="exact"/>
              <w:jc w:val="left"/>
              <w:textAlignment w:val="center"/>
              <w:rPr>
                <w:b/>
                <w:bCs w:val="0"/>
                <w:iCs/>
                <w:snapToGrid w:val="0"/>
                <w:color w:val="auto"/>
                <w:kern w:val="2"/>
                <w:szCs w:val="21"/>
                <w:highlight w:val="none"/>
              </w:rPr>
            </w:pPr>
            <w:r>
              <w:rPr>
                <w:b/>
                <w:bCs/>
                <w:iCs/>
                <w:snapToGrid w:val="0"/>
                <w:color w:val="auto"/>
                <w:kern w:val="2"/>
                <w:szCs w:val="21"/>
                <w:highlight w:val="none"/>
              </w:rPr>
              <w:t>水位（m）</w:t>
            </w:r>
          </w:p>
        </w:tc>
        <w:tc>
          <w:tcPr>
            <w:tcW w:w="990" w:type="pct"/>
            <w:vAlign w:val="center"/>
          </w:tcPr>
          <w:p w14:paraId="2E78E2B7">
            <w:pPr>
              <w:pStyle w:val="1558"/>
              <w:wordWrap/>
              <w:snapToGrid w:val="0"/>
              <w:spacing w:line="240" w:lineRule="exact"/>
              <w:ind w:firstLine="482"/>
              <w:textAlignment w:val="center"/>
              <w:rPr>
                <w:b/>
                <w:bCs w:val="0"/>
                <w:iCs/>
                <w:snapToGrid w:val="0"/>
                <w:color w:val="auto"/>
                <w:kern w:val="2"/>
                <w:szCs w:val="21"/>
                <w:highlight w:val="none"/>
              </w:rPr>
            </w:pPr>
            <w:r>
              <w:rPr>
                <w:b/>
                <w:bCs/>
                <w:iCs/>
                <w:snapToGrid w:val="0"/>
                <w:color w:val="auto"/>
                <w:kern w:val="2"/>
                <w:szCs w:val="21"/>
                <w:highlight w:val="none"/>
              </w:rPr>
              <w:t>1</w:t>
            </w:r>
          </w:p>
        </w:tc>
        <w:tc>
          <w:tcPr>
            <w:tcW w:w="922" w:type="pct"/>
            <w:vAlign w:val="center"/>
          </w:tcPr>
          <w:p w14:paraId="6E9E50CF">
            <w:pPr>
              <w:pStyle w:val="1558"/>
              <w:wordWrap/>
              <w:snapToGrid w:val="0"/>
              <w:spacing w:line="240" w:lineRule="exact"/>
              <w:ind w:firstLine="482"/>
              <w:textAlignment w:val="center"/>
              <w:rPr>
                <w:b/>
                <w:bCs w:val="0"/>
                <w:iCs/>
                <w:snapToGrid w:val="0"/>
                <w:color w:val="auto"/>
                <w:kern w:val="2"/>
                <w:szCs w:val="21"/>
                <w:highlight w:val="none"/>
              </w:rPr>
            </w:pPr>
            <w:r>
              <w:rPr>
                <w:b/>
                <w:bCs/>
                <w:iCs/>
                <w:snapToGrid w:val="0"/>
                <w:color w:val="auto"/>
                <w:kern w:val="2"/>
                <w:szCs w:val="21"/>
                <w:highlight w:val="none"/>
              </w:rPr>
              <w:t>2</w:t>
            </w:r>
          </w:p>
        </w:tc>
        <w:tc>
          <w:tcPr>
            <w:tcW w:w="853" w:type="pct"/>
            <w:vAlign w:val="center"/>
          </w:tcPr>
          <w:p w14:paraId="4A8EF63B">
            <w:pPr>
              <w:pStyle w:val="1558"/>
              <w:wordWrap/>
              <w:snapToGrid w:val="0"/>
              <w:spacing w:line="240" w:lineRule="exact"/>
              <w:ind w:firstLine="482"/>
              <w:textAlignment w:val="center"/>
              <w:rPr>
                <w:b/>
                <w:bCs w:val="0"/>
                <w:iCs/>
                <w:snapToGrid w:val="0"/>
                <w:color w:val="auto"/>
                <w:kern w:val="2"/>
                <w:szCs w:val="21"/>
                <w:highlight w:val="none"/>
              </w:rPr>
            </w:pPr>
            <w:r>
              <w:rPr>
                <w:b/>
                <w:bCs/>
                <w:iCs/>
                <w:snapToGrid w:val="0"/>
                <w:color w:val="auto"/>
                <w:kern w:val="2"/>
                <w:szCs w:val="21"/>
                <w:highlight w:val="none"/>
              </w:rPr>
              <w:t>3</w:t>
            </w:r>
          </w:p>
        </w:tc>
        <w:tc>
          <w:tcPr>
            <w:tcW w:w="771" w:type="pct"/>
            <w:vAlign w:val="center"/>
          </w:tcPr>
          <w:p w14:paraId="698917F6">
            <w:pPr>
              <w:pStyle w:val="1558"/>
              <w:wordWrap/>
              <w:snapToGrid w:val="0"/>
              <w:spacing w:line="240" w:lineRule="exact"/>
              <w:ind w:firstLine="482"/>
              <w:textAlignment w:val="center"/>
              <w:rPr>
                <w:b/>
                <w:bCs w:val="0"/>
                <w:iCs/>
                <w:snapToGrid w:val="0"/>
                <w:color w:val="auto"/>
                <w:kern w:val="2"/>
                <w:szCs w:val="21"/>
                <w:highlight w:val="none"/>
              </w:rPr>
            </w:pPr>
            <w:r>
              <w:rPr>
                <w:b/>
                <w:bCs/>
                <w:iCs/>
                <w:snapToGrid w:val="0"/>
                <w:color w:val="auto"/>
                <w:kern w:val="2"/>
                <w:szCs w:val="21"/>
                <w:highlight w:val="none"/>
              </w:rPr>
              <w:t>4</w:t>
            </w:r>
          </w:p>
        </w:tc>
      </w:tr>
      <w:tr w14:paraId="29FF63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4" w:type="pct"/>
            <w:vAlign w:val="center"/>
          </w:tcPr>
          <w:p w14:paraId="1DDA3427">
            <w:pPr>
              <w:pStyle w:val="1558"/>
              <w:wordWrap/>
              <w:snapToGrid w:val="0"/>
              <w:spacing w:line="240" w:lineRule="exact"/>
              <w:ind w:firstLine="480"/>
              <w:textAlignment w:val="center"/>
              <w:rPr>
                <w:bCs/>
                <w:iCs/>
                <w:snapToGrid w:val="0"/>
                <w:color w:val="auto"/>
                <w:kern w:val="2"/>
                <w:szCs w:val="21"/>
                <w:highlight w:val="none"/>
              </w:rPr>
            </w:pPr>
            <w:r>
              <w:rPr>
                <w:bCs/>
                <w:iCs/>
                <w:snapToGrid w:val="0"/>
                <w:color w:val="auto"/>
                <w:kern w:val="2"/>
                <w:szCs w:val="21"/>
                <w:highlight w:val="none"/>
              </w:rPr>
              <w:t>10</w:t>
            </w:r>
          </w:p>
        </w:tc>
        <w:tc>
          <w:tcPr>
            <w:tcW w:w="990" w:type="pct"/>
            <w:vAlign w:val="center"/>
          </w:tcPr>
          <w:p w14:paraId="570F8F7D">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5.13</w:t>
            </w:r>
          </w:p>
        </w:tc>
        <w:tc>
          <w:tcPr>
            <w:tcW w:w="922" w:type="pct"/>
            <w:vAlign w:val="center"/>
          </w:tcPr>
          <w:p w14:paraId="0B0087A7">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5.03</w:t>
            </w:r>
          </w:p>
        </w:tc>
        <w:tc>
          <w:tcPr>
            <w:tcW w:w="853" w:type="pct"/>
            <w:vAlign w:val="center"/>
          </w:tcPr>
          <w:p w14:paraId="2E60D1F5">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4.90</w:t>
            </w:r>
          </w:p>
        </w:tc>
        <w:tc>
          <w:tcPr>
            <w:tcW w:w="771" w:type="pct"/>
            <w:vAlign w:val="center"/>
          </w:tcPr>
          <w:p w14:paraId="536377FF">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4.71</w:t>
            </w:r>
          </w:p>
        </w:tc>
      </w:tr>
      <w:tr w14:paraId="0A2878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4" w:type="pct"/>
            <w:vAlign w:val="center"/>
          </w:tcPr>
          <w:p w14:paraId="458E8FFF">
            <w:pPr>
              <w:pStyle w:val="1558"/>
              <w:wordWrap/>
              <w:snapToGrid w:val="0"/>
              <w:spacing w:line="240" w:lineRule="exact"/>
              <w:ind w:firstLine="480"/>
              <w:textAlignment w:val="center"/>
              <w:rPr>
                <w:bCs/>
                <w:iCs/>
                <w:snapToGrid w:val="0"/>
                <w:color w:val="auto"/>
                <w:kern w:val="2"/>
                <w:szCs w:val="21"/>
                <w:highlight w:val="none"/>
              </w:rPr>
            </w:pPr>
            <w:r>
              <w:rPr>
                <w:bCs/>
                <w:iCs/>
                <w:snapToGrid w:val="0"/>
                <w:color w:val="auto"/>
                <w:kern w:val="2"/>
                <w:szCs w:val="21"/>
                <w:highlight w:val="none"/>
              </w:rPr>
              <w:t>20</w:t>
            </w:r>
          </w:p>
        </w:tc>
        <w:tc>
          <w:tcPr>
            <w:tcW w:w="990" w:type="pct"/>
            <w:vAlign w:val="center"/>
          </w:tcPr>
          <w:p w14:paraId="09370102">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4.92</w:t>
            </w:r>
          </w:p>
        </w:tc>
        <w:tc>
          <w:tcPr>
            <w:tcW w:w="922" w:type="pct"/>
            <w:vAlign w:val="center"/>
          </w:tcPr>
          <w:p w14:paraId="1E2E5543">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4.84</w:t>
            </w:r>
          </w:p>
        </w:tc>
        <w:tc>
          <w:tcPr>
            <w:tcW w:w="853" w:type="pct"/>
            <w:vAlign w:val="center"/>
          </w:tcPr>
          <w:p w14:paraId="7289B345">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4.70</w:t>
            </w:r>
          </w:p>
        </w:tc>
        <w:tc>
          <w:tcPr>
            <w:tcW w:w="771" w:type="pct"/>
            <w:vAlign w:val="center"/>
          </w:tcPr>
          <w:p w14:paraId="27AF464B">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4.52</w:t>
            </w:r>
          </w:p>
        </w:tc>
      </w:tr>
      <w:tr w14:paraId="1066CC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4" w:type="pct"/>
            <w:vAlign w:val="center"/>
          </w:tcPr>
          <w:p w14:paraId="4D9804E8">
            <w:pPr>
              <w:pStyle w:val="1558"/>
              <w:wordWrap/>
              <w:snapToGrid w:val="0"/>
              <w:spacing w:line="240" w:lineRule="exact"/>
              <w:ind w:firstLine="480"/>
              <w:textAlignment w:val="center"/>
              <w:rPr>
                <w:bCs/>
                <w:iCs/>
                <w:snapToGrid w:val="0"/>
                <w:color w:val="auto"/>
                <w:kern w:val="2"/>
                <w:szCs w:val="21"/>
                <w:highlight w:val="none"/>
              </w:rPr>
            </w:pPr>
            <w:r>
              <w:rPr>
                <w:bCs/>
                <w:iCs/>
                <w:snapToGrid w:val="0"/>
                <w:color w:val="auto"/>
                <w:kern w:val="2"/>
                <w:szCs w:val="21"/>
                <w:highlight w:val="none"/>
              </w:rPr>
              <w:t>30</w:t>
            </w:r>
          </w:p>
        </w:tc>
        <w:tc>
          <w:tcPr>
            <w:tcW w:w="990" w:type="pct"/>
            <w:vAlign w:val="center"/>
          </w:tcPr>
          <w:p w14:paraId="5C0123F4">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4.77</w:t>
            </w:r>
          </w:p>
        </w:tc>
        <w:tc>
          <w:tcPr>
            <w:tcW w:w="922" w:type="pct"/>
            <w:vAlign w:val="center"/>
          </w:tcPr>
          <w:p w14:paraId="32CD2228">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4.70</w:t>
            </w:r>
          </w:p>
        </w:tc>
        <w:tc>
          <w:tcPr>
            <w:tcW w:w="853" w:type="pct"/>
            <w:vAlign w:val="center"/>
          </w:tcPr>
          <w:p w14:paraId="02A41C32">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4.57</w:t>
            </w:r>
          </w:p>
        </w:tc>
        <w:tc>
          <w:tcPr>
            <w:tcW w:w="771" w:type="pct"/>
            <w:vAlign w:val="center"/>
          </w:tcPr>
          <w:p w14:paraId="6CDA5E76">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4.40</w:t>
            </w:r>
          </w:p>
        </w:tc>
      </w:tr>
      <w:tr w14:paraId="4D0E22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4" w:type="pct"/>
            <w:vAlign w:val="center"/>
          </w:tcPr>
          <w:p w14:paraId="52CCCA70">
            <w:pPr>
              <w:pStyle w:val="1558"/>
              <w:wordWrap/>
              <w:snapToGrid w:val="0"/>
              <w:spacing w:line="240" w:lineRule="exact"/>
              <w:ind w:firstLine="480"/>
              <w:textAlignment w:val="center"/>
              <w:rPr>
                <w:bCs/>
                <w:iCs/>
                <w:snapToGrid w:val="0"/>
                <w:color w:val="auto"/>
                <w:kern w:val="2"/>
                <w:szCs w:val="21"/>
                <w:highlight w:val="none"/>
              </w:rPr>
            </w:pPr>
            <w:r>
              <w:rPr>
                <w:bCs/>
                <w:iCs/>
                <w:snapToGrid w:val="0"/>
                <w:color w:val="auto"/>
                <w:kern w:val="2"/>
                <w:szCs w:val="21"/>
                <w:highlight w:val="none"/>
              </w:rPr>
              <w:t>40</w:t>
            </w:r>
          </w:p>
        </w:tc>
        <w:tc>
          <w:tcPr>
            <w:tcW w:w="990" w:type="pct"/>
            <w:vAlign w:val="center"/>
          </w:tcPr>
          <w:p w14:paraId="157F1A55">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4.64</w:t>
            </w:r>
          </w:p>
        </w:tc>
        <w:tc>
          <w:tcPr>
            <w:tcW w:w="922" w:type="pct"/>
            <w:vAlign w:val="center"/>
          </w:tcPr>
          <w:p w14:paraId="4821FB15">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4.57</w:t>
            </w:r>
          </w:p>
        </w:tc>
        <w:tc>
          <w:tcPr>
            <w:tcW w:w="853" w:type="pct"/>
            <w:vAlign w:val="center"/>
          </w:tcPr>
          <w:p w14:paraId="5AAA240D">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4.45</w:t>
            </w:r>
          </w:p>
        </w:tc>
        <w:tc>
          <w:tcPr>
            <w:tcW w:w="771" w:type="pct"/>
            <w:vAlign w:val="center"/>
          </w:tcPr>
          <w:p w14:paraId="4C35F53E">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4.29</w:t>
            </w:r>
          </w:p>
        </w:tc>
      </w:tr>
      <w:tr w14:paraId="7F8E77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4" w:type="pct"/>
            <w:vAlign w:val="center"/>
          </w:tcPr>
          <w:p w14:paraId="324657C3">
            <w:pPr>
              <w:pStyle w:val="1558"/>
              <w:wordWrap/>
              <w:snapToGrid w:val="0"/>
              <w:spacing w:line="240" w:lineRule="exact"/>
              <w:ind w:firstLine="480"/>
              <w:textAlignment w:val="center"/>
              <w:rPr>
                <w:bCs/>
                <w:iCs/>
                <w:snapToGrid w:val="0"/>
                <w:color w:val="auto"/>
                <w:kern w:val="2"/>
                <w:szCs w:val="21"/>
                <w:highlight w:val="none"/>
              </w:rPr>
            </w:pPr>
            <w:r>
              <w:rPr>
                <w:bCs/>
                <w:iCs/>
                <w:snapToGrid w:val="0"/>
                <w:color w:val="auto"/>
                <w:kern w:val="2"/>
                <w:szCs w:val="21"/>
                <w:highlight w:val="none"/>
              </w:rPr>
              <w:t>50</w:t>
            </w:r>
          </w:p>
        </w:tc>
        <w:tc>
          <w:tcPr>
            <w:tcW w:w="990" w:type="pct"/>
            <w:vAlign w:val="center"/>
          </w:tcPr>
          <w:p w14:paraId="4FA19660">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4.50</w:t>
            </w:r>
          </w:p>
        </w:tc>
        <w:tc>
          <w:tcPr>
            <w:tcW w:w="922" w:type="pct"/>
            <w:vAlign w:val="center"/>
          </w:tcPr>
          <w:p w14:paraId="0512C61B">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4.42</w:t>
            </w:r>
          </w:p>
        </w:tc>
        <w:tc>
          <w:tcPr>
            <w:tcW w:w="853" w:type="pct"/>
            <w:vAlign w:val="center"/>
          </w:tcPr>
          <w:p w14:paraId="3C46BC7F">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4.32</w:t>
            </w:r>
          </w:p>
        </w:tc>
        <w:tc>
          <w:tcPr>
            <w:tcW w:w="771" w:type="pct"/>
            <w:vAlign w:val="center"/>
          </w:tcPr>
          <w:p w14:paraId="00BA20F1">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4.15</w:t>
            </w:r>
          </w:p>
        </w:tc>
      </w:tr>
      <w:tr w14:paraId="6320F6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4" w:type="pct"/>
            <w:vAlign w:val="center"/>
          </w:tcPr>
          <w:p w14:paraId="179E3F31">
            <w:pPr>
              <w:pStyle w:val="1558"/>
              <w:wordWrap/>
              <w:snapToGrid w:val="0"/>
              <w:spacing w:line="240" w:lineRule="exact"/>
              <w:ind w:firstLine="480"/>
              <w:textAlignment w:val="center"/>
              <w:rPr>
                <w:bCs/>
                <w:iCs/>
                <w:snapToGrid w:val="0"/>
                <w:color w:val="auto"/>
                <w:kern w:val="2"/>
                <w:szCs w:val="21"/>
                <w:highlight w:val="none"/>
              </w:rPr>
            </w:pPr>
            <w:r>
              <w:rPr>
                <w:bCs/>
                <w:iCs/>
                <w:snapToGrid w:val="0"/>
                <w:color w:val="auto"/>
                <w:kern w:val="2"/>
                <w:szCs w:val="21"/>
                <w:highlight w:val="none"/>
              </w:rPr>
              <w:t>60</w:t>
            </w:r>
          </w:p>
        </w:tc>
        <w:tc>
          <w:tcPr>
            <w:tcW w:w="990" w:type="pct"/>
            <w:vAlign w:val="center"/>
          </w:tcPr>
          <w:p w14:paraId="2CEAF9D1">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4.32</w:t>
            </w:r>
          </w:p>
        </w:tc>
        <w:tc>
          <w:tcPr>
            <w:tcW w:w="922" w:type="pct"/>
            <w:vAlign w:val="center"/>
          </w:tcPr>
          <w:p w14:paraId="4D7E978C">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4.25</w:t>
            </w:r>
          </w:p>
        </w:tc>
        <w:tc>
          <w:tcPr>
            <w:tcW w:w="853" w:type="pct"/>
            <w:vAlign w:val="center"/>
          </w:tcPr>
          <w:p w14:paraId="0C88C0C9">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4.14</w:t>
            </w:r>
          </w:p>
        </w:tc>
        <w:tc>
          <w:tcPr>
            <w:tcW w:w="771" w:type="pct"/>
            <w:vAlign w:val="center"/>
          </w:tcPr>
          <w:p w14:paraId="75589A36">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4.00</w:t>
            </w:r>
          </w:p>
        </w:tc>
      </w:tr>
      <w:tr w14:paraId="200F35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4" w:type="pct"/>
            <w:vAlign w:val="center"/>
          </w:tcPr>
          <w:p w14:paraId="029CF068">
            <w:pPr>
              <w:pStyle w:val="1558"/>
              <w:wordWrap/>
              <w:snapToGrid w:val="0"/>
              <w:spacing w:line="240" w:lineRule="exact"/>
              <w:ind w:firstLine="480"/>
              <w:textAlignment w:val="center"/>
              <w:rPr>
                <w:bCs/>
                <w:iCs/>
                <w:snapToGrid w:val="0"/>
                <w:color w:val="auto"/>
                <w:kern w:val="2"/>
                <w:szCs w:val="21"/>
                <w:highlight w:val="none"/>
              </w:rPr>
            </w:pPr>
            <w:r>
              <w:rPr>
                <w:bCs/>
                <w:iCs/>
                <w:snapToGrid w:val="0"/>
                <w:color w:val="auto"/>
                <w:kern w:val="2"/>
                <w:szCs w:val="21"/>
                <w:highlight w:val="none"/>
              </w:rPr>
              <w:t>70</w:t>
            </w:r>
          </w:p>
        </w:tc>
        <w:tc>
          <w:tcPr>
            <w:tcW w:w="990" w:type="pct"/>
            <w:vAlign w:val="center"/>
          </w:tcPr>
          <w:p w14:paraId="59BF74D6">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4.12</w:t>
            </w:r>
          </w:p>
        </w:tc>
        <w:tc>
          <w:tcPr>
            <w:tcW w:w="922" w:type="pct"/>
            <w:vAlign w:val="center"/>
          </w:tcPr>
          <w:p w14:paraId="20F21248">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4.05</w:t>
            </w:r>
          </w:p>
        </w:tc>
        <w:tc>
          <w:tcPr>
            <w:tcW w:w="853" w:type="pct"/>
            <w:vAlign w:val="center"/>
          </w:tcPr>
          <w:p w14:paraId="01B42B27">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3.95</w:t>
            </w:r>
          </w:p>
        </w:tc>
        <w:tc>
          <w:tcPr>
            <w:tcW w:w="771" w:type="pct"/>
            <w:vAlign w:val="center"/>
          </w:tcPr>
          <w:p w14:paraId="77E82638">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3.81</w:t>
            </w:r>
          </w:p>
        </w:tc>
      </w:tr>
      <w:tr w14:paraId="591AF6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4" w:type="pct"/>
            <w:vAlign w:val="center"/>
          </w:tcPr>
          <w:p w14:paraId="027A88E2">
            <w:pPr>
              <w:pStyle w:val="1558"/>
              <w:wordWrap/>
              <w:snapToGrid w:val="0"/>
              <w:spacing w:line="240" w:lineRule="exact"/>
              <w:ind w:firstLine="480"/>
              <w:textAlignment w:val="center"/>
              <w:rPr>
                <w:bCs/>
                <w:iCs/>
                <w:snapToGrid w:val="0"/>
                <w:color w:val="auto"/>
                <w:kern w:val="2"/>
                <w:szCs w:val="21"/>
                <w:highlight w:val="none"/>
              </w:rPr>
            </w:pPr>
            <w:r>
              <w:rPr>
                <w:bCs/>
                <w:iCs/>
                <w:snapToGrid w:val="0"/>
                <w:color w:val="auto"/>
                <w:kern w:val="2"/>
                <w:szCs w:val="21"/>
                <w:highlight w:val="none"/>
              </w:rPr>
              <w:t>80</w:t>
            </w:r>
          </w:p>
        </w:tc>
        <w:tc>
          <w:tcPr>
            <w:tcW w:w="990" w:type="pct"/>
            <w:vAlign w:val="center"/>
          </w:tcPr>
          <w:p w14:paraId="31E1F528">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3.87</w:t>
            </w:r>
          </w:p>
        </w:tc>
        <w:tc>
          <w:tcPr>
            <w:tcW w:w="922" w:type="pct"/>
            <w:vAlign w:val="center"/>
          </w:tcPr>
          <w:p w14:paraId="4486DC12">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3.82</w:t>
            </w:r>
          </w:p>
        </w:tc>
        <w:tc>
          <w:tcPr>
            <w:tcW w:w="853" w:type="pct"/>
            <w:vAlign w:val="center"/>
          </w:tcPr>
          <w:p w14:paraId="04B57589">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3.72</w:t>
            </w:r>
          </w:p>
        </w:tc>
        <w:tc>
          <w:tcPr>
            <w:tcW w:w="771" w:type="pct"/>
            <w:vAlign w:val="center"/>
          </w:tcPr>
          <w:p w14:paraId="406AB7D3">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3.59</w:t>
            </w:r>
          </w:p>
        </w:tc>
      </w:tr>
      <w:tr w14:paraId="7FF885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4" w:type="pct"/>
            <w:vAlign w:val="center"/>
          </w:tcPr>
          <w:p w14:paraId="7A6375C9">
            <w:pPr>
              <w:pStyle w:val="1558"/>
              <w:wordWrap/>
              <w:snapToGrid w:val="0"/>
              <w:spacing w:line="240" w:lineRule="exact"/>
              <w:ind w:firstLine="480"/>
              <w:textAlignment w:val="center"/>
              <w:rPr>
                <w:bCs/>
                <w:iCs/>
                <w:snapToGrid w:val="0"/>
                <w:color w:val="auto"/>
                <w:kern w:val="2"/>
                <w:szCs w:val="21"/>
                <w:highlight w:val="none"/>
              </w:rPr>
            </w:pPr>
            <w:r>
              <w:rPr>
                <w:bCs/>
                <w:iCs/>
                <w:snapToGrid w:val="0"/>
                <w:color w:val="auto"/>
                <w:kern w:val="2"/>
                <w:szCs w:val="21"/>
                <w:highlight w:val="none"/>
              </w:rPr>
              <w:t>90</w:t>
            </w:r>
          </w:p>
        </w:tc>
        <w:tc>
          <w:tcPr>
            <w:tcW w:w="990" w:type="pct"/>
            <w:vAlign w:val="center"/>
          </w:tcPr>
          <w:p w14:paraId="54AAA4DE">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3.55</w:t>
            </w:r>
          </w:p>
        </w:tc>
        <w:tc>
          <w:tcPr>
            <w:tcW w:w="922" w:type="pct"/>
            <w:vAlign w:val="center"/>
          </w:tcPr>
          <w:p w14:paraId="3183B470">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3.51</w:t>
            </w:r>
          </w:p>
        </w:tc>
        <w:tc>
          <w:tcPr>
            <w:tcW w:w="853" w:type="pct"/>
            <w:vAlign w:val="center"/>
          </w:tcPr>
          <w:p w14:paraId="24ADF3B9">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3.43</w:t>
            </w:r>
          </w:p>
        </w:tc>
        <w:tc>
          <w:tcPr>
            <w:tcW w:w="771" w:type="pct"/>
            <w:vAlign w:val="center"/>
          </w:tcPr>
          <w:p w14:paraId="406BBB2D">
            <w:pPr>
              <w:pStyle w:val="1558"/>
              <w:wordWrap/>
              <w:snapToGrid w:val="0"/>
              <w:spacing w:line="240" w:lineRule="exact"/>
              <w:ind w:firstLine="476"/>
              <w:textAlignment w:val="center"/>
              <w:rPr>
                <w:bCs/>
                <w:iCs/>
                <w:snapToGrid w:val="0"/>
                <w:color w:val="auto"/>
                <w:kern w:val="2"/>
                <w:szCs w:val="21"/>
                <w:highlight w:val="none"/>
              </w:rPr>
            </w:pPr>
            <w:r>
              <w:rPr>
                <w:bCs/>
                <w:iCs/>
                <w:snapToGrid w:val="0"/>
                <w:color w:val="auto"/>
                <w:spacing w:val="-1"/>
                <w:kern w:val="2"/>
                <w:szCs w:val="21"/>
                <w:highlight w:val="none"/>
              </w:rPr>
              <w:t>3.30</w:t>
            </w:r>
          </w:p>
        </w:tc>
      </w:tr>
    </w:tbl>
    <w:p w14:paraId="7C1F3157">
      <w:pPr>
        <w:pStyle w:val="533"/>
        <w:numPr>
          <w:ilvl w:val="3"/>
          <w:numId w:val="9"/>
        </w:numPr>
        <w:rPr>
          <w:color w:val="auto"/>
          <w:szCs w:val="24"/>
          <w:highlight w:val="none"/>
        </w:rPr>
      </w:pPr>
      <w:r>
        <w:rPr>
          <w:color w:val="auto"/>
          <w:szCs w:val="24"/>
          <w:highlight w:val="none"/>
        </w:rPr>
        <w:t>波浪</w:t>
      </w:r>
    </w:p>
    <w:p w14:paraId="53B4CA5E">
      <w:pPr>
        <w:ind w:firstLine="484" w:firstLineChars="202"/>
        <w:rPr>
          <w:color w:val="auto"/>
          <w:highlight w:val="none"/>
        </w:rPr>
      </w:pPr>
      <w:r>
        <w:rPr>
          <w:color w:val="auto"/>
          <w:highlight w:val="none"/>
        </w:rPr>
        <w:t>北部湾海域北面为大陆，东南受雷州半岛和海南岛掩护，西面为中南半岛，海域掩护条件较好，波能动力相对较弱。钦州湾处于北部湾中部，湾口东部设有三娘湾海洋站，并于2010~2011 年在三墩港区外开展1 整年短期波浪观测。</w:t>
      </w:r>
    </w:p>
    <w:p w14:paraId="59C46A6A">
      <w:pPr>
        <w:ind w:firstLine="484" w:firstLineChars="202"/>
        <w:rPr>
          <w:color w:val="auto"/>
          <w:highlight w:val="none"/>
        </w:rPr>
      </w:pPr>
      <w:r>
        <w:rPr>
          <w:color w:val="auto"/>
          <w:highlight w:val="none"/>
        </w:rPr>
        <w:t>① 三娘湾海洋站实测波浪资料</w:t>
      </w:r>
    </w:p>
    <w:p w14:paraId="5F333E6C">
      <w:pPr>
        <w:ind w:firstLine="484" w:firstLineChars="202"/>
        <w:rPr>
          <w:color w:val="auto"/>
          <w:highlight w:val="none"/>
        </w:rPr>
      </w:pPr>
      <w:r>
        <w:rPr>
          <w:color w:val="auto"/>
          <w:highlight w:val="none"/>
        </w:rPr>
        <w:t>据三娘湾海洋站1991～2002 年测波资料统计，本海区波浪以风浪为主，常浪向SSW向、频率占17.67％，其次NNE向、频率为17.2％；强浪向为ESE 向，次强浪向为SSW向和NE向；本海区实测最大波高为3.4m，实测最大周期为6.8s。据统计本区H1/10小于0.5m发生频率为66.37％，小于1.0m 发生频率为96.21％，大于1.5m波高出现频率仅为1.1%。</w:t>
      </w:r>
    </w:p>
    <w:p w14:paraId="4BEE8DE0">
      <w:pPr>
        <w:ind w:firstLine="484" w:firstLineChars="202"/>
        <w:rPr>
          <w:color w:val="auto"/>
          <w:highlight w:val="none"/>
        </w:rPr>
      </w:pPr>
      <w:r>
        <w:rPr>
          <w:color w:val="auto"/>
          <w:highlight w:val="none"/>
        </w:rPr>
        <w:t>②三墩港区周年测波资料</w:t>
      </w:r>
    </w:p>
    <w:p w14:paraId="19C59FA5">
      <w:pPr>
        <w:ind w:firstLine="484" w:firstLineChars="202"/>
        <w:rPr>
          <w:color w:val="auto"/>
          <w:highlight w:val="none"/>
        </w:rPr>
      </w:pPr>
      <w:r>
        <w:rPr>
          <w:color w:val="auto"/>
          <w:highlight w:val="none"/>
        </w:rPr>
        <w:t>在三墩港区外于2010年6月1日~2011年5月31日进行了历时1 年的波浪观测。各月波浪观测的特征值见表4.1-6。观测期间平均H1/10为0.6m，平均H1/3为0.5m，平均周期为2.8s，平均T1/10为3.4s，平均T1/3为3.3s；最大H1/10为2.4m，最大H1/3为2.0m，最大平均周期为5.6s，最大T1/10为9.8s，最大T1/3为8.3s。实测海域周年观测期间，各月最大波高在1.4~3.2m 之间，说明各月均有轻、中浪发生。</w:t>
      </w:r>
    </w:p>
    <w:p w14:paraId="4D8A4B8A">
      <w:pPr>
        <w:ind w:firstLine="484" w:firstLineChars="202"/>
        <w:rPr>
          <w:color w:val="auto"/>
          <w:highlight w:val="none"/>
        </w:rPr>
      </w:pPr>
      <w:r>
        <w:rPr>
          <w:color w:val="auto"/>
          <w:highlight w:val="none"/>
        </w:rPr>
        <w:t>其中最大波高为3.2m，对应波周期为5.5s，对应波向为146°（SE），发生在2010年7月17日14时。</w:t>
      </w:r>
    </w:p>
    <w:p w14:paraId="4D80DBBA">
      <w:pPr>
        <w:pStyle w:val="38"/>
        <w:spacing w:after="0" w:line="240" w:lineRule="auto"/>
        <w:ind w:firstLine="0" w:firstLineChars="0"/>
        <w:jc w:val="center"/>
        <w:rPr>
          <w:b/>
          <w:color w:val="auto"/>
          <w:sz w:val="21"/>
          <w:szCs w:val="21"/>
          <w:highlight w:val="none"/>
        </w:rPr>
      </w:pPr>
      <w:r>
        <w:rPr>
          <w:b/>
          <w:color w:val="auto"/>
          <w:sz w:val="21"/>
          <w:szCs w:val="21"/>
          <w:highlight w:val="none"/>
        </w:rPr>
        <w:t>表3.1-3  钦州港域三墩波浪观测站各月波浪特征值统计</w:t>
      </w:r>
    </w:p>
    <w:tbl>
      <w:tblPr>
        <w:tblStyle w:val="153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49"/>
        <w:gridCol w:w="607"/>
        <w:gridCol w:w="607"/>
        <w:gridCol w:w="607"/>
        <w:gridCol w:w="607"/>
        <w:gridCol w:w="693"/>
        <w:gridCol w:w="693"/>
        <w:gridCol w:w="693"/>
        <w:gridCol w:w="607"/>
        <w:gridCol w:w="607"/>
        <w:gridCol w:w="607"/>
        <w:gridCol w:w="608"/>
        <w:gridCol w:w="601"/>
      </w:tblGrid>
      <w:tr w14:paraId="162DF8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42" w:type="pct"/>
            <w:vMerge w:val="restart"/>
            <w:tcBorders>
              <w:top w:val="single" w:color="auto" w:sz="12" w:space="0"/>
              <w:tl2br w:val="nil"/>
              <w:tr2bl w:val="nil"/>
            </w:tcBorders>
            <w:vAlign w:val="center"/>
          </w:tcPr>
          <w:p w14:paraId="637A4C4E">
            <w:pPr>
              <w:kinsoku w:val="0"/>
              <w:overflowPunct w:val="0"/>
              <w:topLinePunct w:val="0"/>
              <w:autoSpaceDE w:val="0"/>
              <w:autoSpaceDN w:val="0"/>
              <w:snapToGrid/>
              <w:spacing w:line="240" w:lineRule="auto"/>
              <w:ind w:firstLine="0" w:firstLineChars="0"/>
              <w:jc w:val="center"/>
              <w:rPr>
                <w:b/>
                <w:bCs/>
                <w:color w:val="auto"/>
                <w:highlight w:val="none"/>
              </w:rPr>
            </w:pPr>
            <w:r>
              <w:rPr>
                <w:b/>
                <w:bCs/>
                <w:color w:val="auto"/>
                <w:spacing w:val="-1"/>
                <w:sz w:val="21"/>
                <w:szCs w:val="21"/>
                <w:highlight w:val="none"/>
              </w:rPr>
              <w:t>月</w:t>
            </w:r>
            <w:r>
              <w:rPr>
                <w:b/>
                <w:bCs/>
                <w:color w:val="auto"/>
                <w:sz w:val="21"/>
                <w:szCs w:val="21"/>
                <w:highlight w:val="none"/>
              </w:rPr>
              <w:t>份</w:t>
            </w:r>
          </w:p>
        </w:tc>
        <w:tc>
          <w:tcPr>
            <w:tcW w:w="2425" w:type="pct"/>
            <w:gridSpan w:val="7"/>
            <w:tcBorders>
              <w:top w:val="single" w:color="auto" w:sz="12" w:space="0"/>
              <w:tl2br w:val="nil"/>
              <w:tr2bl w:val="nil"/>
            </w:tcBorders>
            <w:vAlign w:val="center"/>
          </w:tcPr>
          <w:p w14:paraId="65CE2F17">
            <w:pPr>
              <w:kinsoku w:val="0"/>
              <w:overflowPunct w:val="0"/>
              <w:topLinePunct w:val="0"/>
              <w:autoSpaceDE w:val="0"/>
              <w:autoSpaceDN w:val="0"/>
              <w:snapToGrid/>
              <w:spacing w:line="240" w:lineRule="auto"/>
              <w:ind w:firstLine="0" w:firstLineChars="0"/>
              <w:jc w:val="center"/>
              <w:rPr>
                <w:b/>
                <w:bCs/>
                <w:color w:val="auto"/>
                <w:highlight w:val="none"/>
              </w:rPr>
            </w:pPr>
            <w:r>
              <w:rPr>
                <w:b/>
                <w:bCs/>
                <w:color w:val="auto"/>
                <w:spacing w:val="-1"/>
                <w:sz w:val="21"/>
                <w:szCs w:val="21"/>
                <w:highlight w:val="none"/>
              </w:rPr>
              <w:t>201</w:t>
            </w:r>
            <w:r>
              <w:rPr>
                <w:b/>
                <w:bCs/>
                <w:color w:val="auto"/>
                <w:sz w:val="21"/>
                <w:szCs w:val="21"/>
                <w:highlight w:val="none"/>
              </w:rPr>
              <w:t>0 年</w:t>
            </w:r>
          </w:p>
        </w:tc>
        <w:tc>
          <w:tcPr>
            <w:tcW w:w="1633" w:type="pct"/>
            <w:gridSpan w:val="5"/>
            <w:tcBorders>
              <w:top w:val="single" w:color="auto" w:sz="12" w:space="0"/>
              <w:tl2br w:val="nil"/>
              <w:tr2bl w:val="nil"/>
            </w:tcBorders>
            <w:vAlign w:val="center"/>
          </w:tcPr>
          <w:p w14:paraId="31F16EA2">
            <w:pPr>
              <w:kinsoku w:val="0"/>
              <w:overflowPunct w:val="0"/>
              <w:topLinePunct w:val="0"/>
              <w:autoSpaceDE w:val="0"/>
              <w:autoSpaceDN w:val="0"/>
              <w:snapToGrid/>
              <w:spacing w:line="240" w:lineRule="auto"/>
              <w:ind w:firstLine="0" w:firstLineChars="0"/>
              <w:jc w:val="center"/>
              <w:rPr>
                <w:b/>
                <w:bCs/>
                <w:color w:val="auto"/>
                <w:highlight w:val="none"/>
              </w:rPr>
            </w:pPr>
            <w:r>
              <w:rPr>
                <w:b/>
                <w:bCs/>
                <w:color w:val="auto"/>
                <w:spacing w:val="-1"/>
                <w:sz w:val="21"/>
                <w:szCs w:val="21"/>
                <w:highlight w:val="none"/>
              </w:rPr>
              <w:t>201</w:t>
            </w:r>
            <w:r>
              <w:rPr>
                <w:b/>
                <w:bCs/>
                <w:color w:val="auto"/>
                <w:sz w:val="21"/>
                <w:szCs w:val="21"/>
                <w:highlight w:val="none"/>
              </w:rPr>
              <w:t>1 年</w:t>
            </w:r>
          </w:p>
        </w:tc>
      </w:tr>
      <w:tr w14:paraId="1D3865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42" w:type="pct"/>
            <w:vMerge w:val="continue"/>
            <w:tcBorders>
              <w:top w:val="single" w:color="auto" w:sz="12" w:space="0"/>
              <w:tl2br w:val="nil"/>
              <w:tr2bl w:val="nil"/>
            </w:tcBorders>
            <w:vAlign w:val="center"/>
          </w:tcPr>
          <w:p w14:paraId="7C976A9B">
            <w:pPr>
              <w:kinsoku w:val="0"/>
              <w:overflowPunct w:val="0"/>
              <w:topLinePunct w:val="0"/>
              <w:autoSpaceDE w:val="0"/>
              <w:autoSpaceDN w:val="0"/>
              <w:snapToGrid/>
              <w:spacing w:line="240" w:lineRule="auto"/>
              <w:ind w:firstLine="0" w:firstLineChars="0"/>
              <w:jc w:val="center"/>
              <w:rPr>
                <w:b/>
                <w:bCs/>
                <w:color w:val="auto"/>
                <w:highlight w:val="none"/>
              </w:rPr>
            </w:pPr>
          </w:p>
        </w:tc>
        <w:tc>
          <w:tcPr>
            <w:tcW w:w="327" w:type="pct"/>
            <w:tcBorders>
              <w:top w:val="single" w:color="auto" w:sz="12" w:space="0"/>
              <w:tl2br w:val="nil"/>
              <w:tr2bl w:val="nil"/>
            </w:tcBorders>
            <w:vAlign w:val="center"/>
          </w:tcPr>
          <w:p w14:paraId="57E1B158">
            <w:pPr>
              <w:kinsoku w:val="0"/>
              <w:overflowPunct w:val="0"/>
              <w:topLinePunct w:val="0"/>
              <w:autoSpaceDE w:val="0"/>
              <w:autoSpaceDN w:val="0"/>
              <w:snapToGrid/>
              <w:spacing w:line="240" w:lineRule="auto"/>
              <w:ind w:firstLine="0" w:firstLineChars="0"/>
              <w:jc w:val="center"/>
              <w:rPr>
                <w:b/>
                <w:bCs/>
                <w:color w:val="auto"/>
                <w:highlight w:val="none"/>
              </w:rPr>
            </w:pPr>
            <w:r>
              <w:rPr>
                <w:b/>
                <w:bCs/>
                <w:color w:val="auto"/>
                <w:sz w:val="21"/>
                <w:szCs w:val="21"/>
                <w:highlight w:val="none"/>
              </w:rPr>
              <w:t>6月</w:t>
            </w:r>
          </w:p>
        </w:tc>
        <w:tc>
          <w:tcPr>
            <w:tcW w:w="327" w:type="pct"/>
            <w:tcBorders>
              <w:top w:val="single" w:color="auto" w:sz="12" w:space="0"/>
              <w:tl2br w:val="nil"/>
              <w:tr2bl w:val="nil"/>
            </w:tcBorders>
            <w:vAlign w:val="center"/>
          </w:tcPr>
          <w:p w14:paraId="085D72AF">
            <w:pPr>
              <w:kinsoku w:val="0"/>
              <w:overflowPunct w:val="0"/>
              <w:topLinePunct w:val="0"/>
              <w:autoSpaceDE w:val="0"/>
              <w:autoSpaceDN w:val="0"/>
              <w:snapToGrid/>
              <w:spacing w:line="240" w:lineRule="auto"/>
              <w:ind w:firstLine="0" w:firstLineChars="0"/>
              <w:jc w:val="center"/>
              <w:rPr>
                <w:b/>
                <w:bCs/>
                <w:color w:val="auto"/>
                <w:highlight w:val="none"/>
              </w:rPr>
            </w:pPr>
            <w:r>
              <w:rPr>
                <w:b/>
                <w:bCs/>
                <w:color w:val="auto"/>
                <w:sz w:val="21"/>
                <w:szCs w:val="21"/>
                <w:highlight w:val="none"/>
              </w:rPr>
              <w:t>7月</w:t>
            </w:r>
          </w:p>
        </w:tc>
        <w:tc>
          <w:tcPr>
            <w:tcW w:w="327" w:type="pct"/>
            <w:tcBorders>
              <w:top w:val="single" w:color="auto" w:sz="12" w:space="0"/>
              <w:tl2br w:val="nil"/>
              <w:tr2bl w:val="nil"/>
            </w:tcBorders>
            <w:vAlign w:val="center"/>
          </w:tcPr>
          <w:p w14:paraId="040564C4">
            <w:pPr>
              <w:kinsoku w:val="0"/>
              <w:overflowPunct w:val="0"/>
              <w:topLinePunct w:val="0"/>
              <w:autoSpaceDE w:val="0"/>
              <w:autoSpaceDN w:val="0"/>
              <w:snapToGrid/>
              <w:spacing w:line="240" w:lineRule="auto"/>
              <w:ind w:firstLine="0" w:firstLineChars="0"/>
              <w:jc w:val="center"/>
              <w:rPr>
                <w:b/>
                <w:bCs/>
                <w:color w:val="auto"/>
                <w:highlight w:val="none"/>
              </w:rPr>
            </w:pPr>
            <w:r>
              <w:rPr>
                <w:b/>
                <w:bCs/>
                <w:color w:val="auto"/>
                <w:sz w:val="21"/>
                <w:szCs w:val="21"/>
                <w:highlight w:val="none"/>
              </w:rPr>
              <w:t>8月</w:t>
            </w:r>
          </w:p>
        </w:tc>
        <w:tc>
          <w:tcPr>
            <w:tcW w:w="327" w:type="pct"/>
            <w:tcBorders>
              <w:top w:val="single" w:color="auto" w:sz="12" w:space="0"/>
              <w:tl2br w:val="nil"/>
              <w:tr2bl w:val="nil"/>
            </w:tcBorders>
            <w:vAlign w:val="center"/>
          </w:tcPr>
          <w:p w14:paraId="5DF767BA">
            <w:pPr>
              <w:kinsoku w:val="0"/>
              <w:overflowPunct w:val="0"/>
              <w:topLinePunct w:val="0"/>
              <w:autoSpaceDE w:val="0"/>
              <w:autoSpaceDN w:val="0"/>
              <w:snapToGrid/>
              <w:spacing w:line="240" w:lineRule="auto"/>
              <w:ind w:firstLine="0" w:firstLineChars="0"/>
              <w:jc w:val="center"/>
              <w:rPr>
                <w:b/>
                <w:bCs/>
                <w:color w:val="auto"/>
                <w:highlight w:val="none"/>
              </w:rPr>
            </w:pPr>
            <w:r>
              <w:rPr>
                <w:b/>
                <w:bCs/>
                <w:color w:val="auto"/>
                <w:sz w:val="21"/>
                <w:szCs w:val="21"/>
                <w:highlight w:val="none"/>
              </w:rPr>
              <w:t>9月</w:t>
            </w:r>
          </w:p>
        </w:tc>
        <w:tc>
          <w:tcPr>
            <w:tcW w:w="373" w:type="pct"/>
            <w:tcBorders>
              <w:top w:val="single" w:color="auto" w:sz="12" w:space="0"/>
              <w:tl2br w:val="nil"/>
              <w:tr2bl w:val="nil"/>
            </w:tcBorders>
            <w:vAlign w:val="center"/>
          </w:tcPr>
          <w:p w14:paraId="77533112">
            <w:pPr>
              <w:kinsoku w:val="0"/>
              <w:overflowPunct w:val="0"/>
              <w:topLinePunct w:val="0"/>
              <w:autoSpaceDE w:val="0"/>
              <w:autoSpaceDN w:val="0"/>
              <w:snapToGrid/>
              <w:spacing w:line="240" w:lineRule="auto"/>
              <w:ind w:firstLine="0" w:firstLineChars="0"/>
              <w:jc w:val="center"/>
              <w:rPr>
                <w:b/>
                <w:bCs/>
                <w:color w:val="auto"/>
                <w:highlight w:val="none"/>
              </w:rPr>
            </w:pPr>
            <w:r>
              <w:rPr>
                <w:b/>
                <w:bCs/>
                <w:color w:val="auto"/>
                <w:spacing w:val="-1"/>
                <w:sz w:val="21"/>
                <w:szCs w:val="21"/>
                <w:highlight w:val="none"/>
              </w:rPr>
              <w:t>1</w:t>
            </w:r>
            <w:r>
              <w:rPr>
                <w:b/>
                <w:bCs/>
                <w:color w:val="auto"/>
                <w:sz w:val="21"/>
                <w:szCs w:val="21"/>
                <w:highlight w:val="none"/>
              </w:rPr>
              <w:t>0月</w:t>
            </w:r>
          </w:p>
        </w:tc>
        <w:tc>
          <w:tcPr>
            <w:tcW w:w="373" w:type="pct"/>
            <w:tcBorders>
              <w:top w:val="single" w:color="auto" w:sz="12" w:space="0"/>
              <w:tl2br w:val="nil"/>
              <w:tr2bl w:val="nil"/>
            </w:tcBorders>
            <w:vAlign w:val="center"/>
          </w:tcPr>
          <w:p w14:paraId="4D8E6BF6">
            <w:pPr>
              <w:kinsoku w:val="0"/>
              <w:overflowPunct w:val="0"/>
              <w:topLinePunct w:val="0"/>
              <w:autoSpaceDE w:val="0"/>
              <w:autoSpaceDN w:val="0"/>
              <w:snapToGrid/>
              <w:spacing w:line="240" w:lineRule="auto"/>
              <w:ind w:firstLine="0" w:firstLineChars="0"/>
              <w:jc w:val="center"/>
              <w:rPr>
                <w:b/>
                <w:bCs/>
                <w:color w:val="auto"/>
                <w:highlight w:val="none"/>
              </w:rPr>
            </w:pPr>
            <w:r>
              <w:rPr>
                <w:b/>
                <w:bCs/>
                <w:color w:val="auto"/>
                <w:spacing w:val="-1"/>
                <w:sz w:val="21"/>
                <w:szCs w:val="21"/>
                <w:highlight w:val="none"/>
              </w:rPr>
              <w:t>1</w:t>
            </w:r>
            <w:r>
              <w:rPr>
                <w:b/>
                <w:bCs/>
                <w:color w:val="auto"/>
                <w:sz w:val="21"/>
                <w:szCs w:val="21"/>
                <w:highlight w:val="none"/>
              </w:rPr>
              <w:t>1月</w:t>
            </w:r>
          </w:p>
        </w:tc>
        <w:tc>
          <w:tcPr>
            <w:tcW w:w="373" w:type="pct"/>
            <w:tcBorders>
              <w:top w:val="single" w:color="auto" w:sz="12" w:space="0"/>
              <w:tl2br w:val="nil"/>
              <w:tr2bl w:val="nil"/>
            </w:tcBorders>
            <w:vAlign w:val="center"/>
          </w:tcPr>
          <w:p w14:paraId="6BD08FE9">
            <w:pPr>
              <w:kinsoku w:val="0"/>
              <w:overflowPunct w:val="0"/>
              <w:topLinePunct w:val="0"/>
              <w:autoSpaceDE w:val="0"/>
              <w:autoSpaceDN w:val="0"/>
              <w:snapToGrid/>
              <w:spacing w:line="240" w:lineRule="auto"/>
              <w:ind w:firstLine="0" w:firstLineChars="0"/>
              <w:jc w:val="center"/>
              <w:rPr>
                <w:b/>
                <w:bCs/>
                <w:color w:val="auto"/>
                <w:highlight w:val="none"/>
              </w:rPr>
            </w:pPr>
            <w:r>
              <w:rPr>
                <w:b/>
                <w:bCs/>
                <w:color w:val="auto"/>
                <w:spacing w:val="-1"/>
                <w:sz w:val="21"/>
                <w:szCs w:val="21"/>
                <w:highlight w:val="none"/>
              </w:rPr>
              <w:t>1</w:t>
            </w:r>
            <w:r>
              <w:rPr>
                <w:b/>
                <w:bCs/>
                <w:color w:val="auto"/>
                <w:sz w:val="21"/>
                <w:szCs w:val="21"/>
                <w:highlight w:val="none"/>
              </w:rPr>
              <w:t>2月</w:t>
            </w:r>
          </w:p>
        </w:tc>
        <w:tc>
          <w:tcPr>
            <w:tcW w:w="327" w:type="pct"/>
            <w:tcBorders>
              <w:top w:val="single" w:color="auto" w:sz="12" w:space="0"/>
              <w:tl2br w:val="nil"/>
              <w:tr2bl w:val="nil"/>
            </w:tcBorders>
            <w:vAlign w:val="center"/>
          </w:tcPr>
          <w:p w14:paraId="3B2DCBCA">
            <w:pPr>
              <w:kinsoku w:val="0"/>
              <w:overflowPunct w:val="0"/>
              <w:topLinePunct w:val="0"/>
              <w:autoSpaceDE w:val="0"/>
              <w:autoSpaceDN w:val="0"/>
              <w:snapToGrid/>
              <w:spacing w:line="240" w:lineRule="auto"/>
              <w:ind w:firstLine="0" w:firstLineChars="0"/>
              <w:jc w:val="center"/>
              <w:rPr>
                <w:b/>
                <w:bCs/>
                <w:color w:val="auto"/>
                <w:highlight w:val="none"/>
              </w:rPr>
            </w:pPr>
            <w:r>
              <w:rPr>
                <w:b/>
                <w:bCs/>
                <w:color w:val="auto"/>
                <w:sz w:val="21"/>
                <w:szCs w:val="21"/>
                <w:highlight w:val="none"/>
              </w:rPr>
              <w:t>1月</w:t>
            </w:r>
          </w:p>
        </w:tc>
        <w:tc>
          <w:tcPr>
            <w:tcW w:w="327" w:type="pct"/>
            <w:tcBorders>
              <w:top w:val="single" w:color="auto" w:sz="12" w:space="0"/>
              <w:tl2br w:val="nil"/>
              <w:tr2bl w:val="nil"/>
            </w:tcBorders>
            <w:vAlign w:val="center"/>
          </w:tcPr>
          <w:p w14:paraId="66EFDED2">
            <w:pPr>
              <w:kinsoku w:val="0"/>
              <w:overflowPunct w:val="0"/>
              <w:topLinePunct w:val="0"/>
              <w:autoSpaceDE w:val="0"/>
              <w:autoSpaceDN w:val="0"/>
              <w:snapToGrid/>
              <w:spacing w:line="240" w:lineRule="auto"/>
              <w:ind w:firstLine="0" w:firstLineChars="0"/>
              <w:jc w:val="center"/>
              <w:rPr>
                <w:b/>
                <w:bCs/>
                <w:color w:val="auto"/>
                <w:highlight w:val="none"/>
              </w:rPr>
            </w:pPr>
            <w:r>
              <w:rPr>
                <w:b/>
                <w:bCs/>
                <w:color w:val="auto"/>
                <w:sz w:val="21"/>
                <w:szCs w:val="21"/>
                <w:highlight w:val="none"/>
              </w:rPr>
              <w:t>2月</w:t>
            </w:r>
          </w:p>
        </w:tc>
        <w:tc>
          <w:tcPr>
            <w:tcW w:w="327" w:type="pct"/>
            <w:tcBorders>
              <w:top w:val="single" w:color="auto" w:sz="12" w:space="0"/>
              <w:tl2br w:val="nil"/>
              <w:tr2bl w:val="nil"/>
            </w:tcBorders>
            <w:vAlign w:val="center"/>
          </w:tcPr>
          <w:p w14:paraId="1B440159">
            <w:pPr>
              <w:kinsoku w:val="0"/>
              <w:overflowPunct w:val="0"/>
              <w:topLinePunct w:val="0"/>
              <w:autoSpaceDE w:val="0"/>
              <w:autoSpaceDN w:val="0"/>
              <w:snapToGrid/>
              <w:spacing w:line="240" w:lineRule="auto"/>
              <w:ind w:firstLine="0" w:firstLineChars="0"/>
              <w:jc w:val="center"/>
              <w:rPr>
                <w:b/>
                <w:bCs/>
                <w:color w:val="auto"/>
                <w:highlight w:val="none"/>
              </w:rPr>
            </w:pPr>
            <w:r>
              <w:rPr>
                <w:b/>
                <w:bCs/>
                <w:color w:val="auto"/>
                <w:sz w:val="21"/>
                <w:szCs w:val="21"/>
                <w:highlight w:val="none"/>
              </w:rPr>
              <w:t>3月</w:t>
            </w:r>
          </w:p>
        </w:tc>
        <w:tc>
          <w:tcPr>
            <w:tcW w:w="327" w:type="pct"/>
            <w:tcBorders>
              <w:top w:val="single" w:color="auto" w:sz="12" w:space="0"/>
              <w:tl2br w:val="nil"/>
              <w:tr2bl w:val="nil"/>
            </w:tcBorders>
            <w:vAlign w:val="center"/>
          </w:tcPr>
          <w:p w14:paraId="1AF46BC1">
            <w:pPr>
              <w:kinsoku w:val="0"/>
              <w:overflowPunct w:val="0"/>
              <w:topLinePunct w:val="0"/>
              <w:autoSpaceDE w:val="0"/>
              <w:autoSpaceDN w:val="0"/>
              <w:snapToGrid/>
              <w:spacing w:line="240" w:lineRule="auto"/>
              <w:ind w:firstLine="0" w:firstLineChars="0"/>
              <w:jc w:val="center"/>
              <w:rPr>
                <w:b/>
                <w:bCs/>
                <w:color w:val="auto"/>
                <w:highlight w:val="none"/>
              </w:rPr>
            </w:pPr>
            <w:r>
              <w:rPr>
                <w:b/>
                <w:bCs/>
                <w:color w:val="auto"/>
                <w:sz w:val="21"/>
                <w:szCs w:val="21"/>
                <w:highlight w:val="none"/>
              </w:rPr>
              <w:t>4月</w:t>
            </w:r>
          </w:p>
        </w:tc>
        <w:tc>
          <w:tcPr>
            <w:tcW w:w="327" w:type="pct"/>
            <w:tcBorders>
              <w:top w:val="single" w:color="auto" w:sz="12" w:space="0"/>
              <w:tl2br w:val="nil"/>
              <w:tr2bl w:val="nil"/>
            </w:tcBorders>
            <w:vAlign w:val="center"/>
          </w:tcPr>
          <w:p w14:paraId="2DD69C56">
            <w:pPr>
              <w:kinsoku w:val="0"/>
              <w:overflowPunct w:val="0"/>
              <w:topLinePunct w:val="0"/>
              <w:autoSpaceDE w:val="0"/>
              <w:autoSpaceDN w:val="0"/>
              <w:snapToGrid/>
              <w:spacing w:line="240" w:lineRule="auto"/>
              <w:ind w:firstLine="0" w:firstLineChars="0"/>
              <w:jc w:val="center"/>
              <w:rPr>
                <w:b/>
                <w:bCs/>
                <w:color w:val="auto"/>
                <w:highlight w:val="none"/>
              </w:rPr>
            </w:pPr>
            <w:r>
              <w:rPr>
                <w:b/>
                <w:bCs/>
                <w:color w:val="auto"/>
                <w:sz w:val="21"/>
                <w:szCs w:val="21"/>
                <w:highlight w:val="none"/>
              </w:rPr>
              <w:t>5月</w:t>
            </w:r>
          </w:p>
        </w:tc>
      </w:tr>
      <w:tr w14:paraId="58700A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pct"/>
            <w:tcBorders>
              <w:tl2br w:val="nil"/>
              <w:tr2bl w:val="nil"/>
            </w:tcBorders>
            <w:vAlign w:val="center"/>
          </w:tcPr>
          <w:p w14:paraId="178EA307">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position w:val="2"/>
                <w:sz w:val="21"/>
                <w:szCs w:val="21"/>
                <w:highlight w:val="none"/>
              </w:rPr>
              <w:t>H</w:t>
            </w:r>
            <w:r>
              <w:rPr>
                <w:color w:val="auto"/>
                <w:spacing w:val="-2"/>
                <w:sz w:val="13"/>
                <w:szCs w:val="13"/>
                <w:highlight w:val="none"/>
              </w:rPr>
              <w:t>m</w:t>
            </w:r>
            <w:r>
              <w:rPr>
                <w:color w:val="auto"/>
                <w:spacing w:val="-1"/>
                <w:sz w:val="13"/>
                <w:szCs w:val="13"/>
                <w:highlight w:val="none"/>
              </w:rPr>
              <w:t>a</w:t>
            </w:r>
            <w:r>
              <w:rPr>
                <w:color w:val="auto"/>
                <w:sz w:val="13"/>
                <w:szCs w:val="13"/>
                <w:highlight w:val="none"/>
              </w:rPr>
              <w:t>x</w:t>
            </w:r>
            <w:r>
              <w:rPr>
                <w:color w:val="auto"/>
                <w:spacing w:val="4"/>
                <w:sz w:val="13"/>
                <w:szCs w:val="13"/>
                <w:highlight w:val="none"/>
              </w:rPr>
              <w:t xml:space="preserve"> </w:t>
            </w:r>
            <w:r>
              <w:rPr>
                <w:color w:val="auto"/>
                <w:spacing w:val="-1"/>
                <w:position w:val="2"/>
                <w:sz w:val="21"/>
                <w:szCs w:val="21"/>
                <w:highlight w:val="none"/>
              </w:rPr>
              <w:t>月</w:t>
            </w:r>
            <w:r>
              <w:rPr>
                <w:color w:val="auto"/>
                <w:spacing w:val="2"/>
                <w:position w:val="2"/>
                <w:sz w:val="21"/>
                <w:szCs w:val="21"/>
                <w:highlight w:val="none"/>
              </w:rPr>
              <w:t>最</w:t>
            </w:r>
            <w:r>
              <w:rPr>
                <w:color w:val="auto"/>
                <w:spacing w:val="-1"/>
                <w:position w:val="2"/>
                <w:sz w:val="21"/>
                <w:szCs w:val="21"/>
                <w:highlight w:val="none"/>
              </w:rPr>
              <w:t>大(</w:t>
            </w:r>
            <w:r>
              <w:rPr>
                <w:color w:val="auto"/>
                <w:spacing w:val="1"/>
                <w:position w:val="2"/>
                <w:sz w:val="21"/>
                <w:szCs w:val="21"/>
                <w:highlight w:val="none"/>
              </w:rPr>
              <w:t>m</w:t>
            </w:r>
            <w:r>
              <w:rPr>
                <w:color w:val="auto"/>
                <w:position w:val="2"/>
                <w:sz w:val="21"/>
                <w:szCs w:val="21"/>
                <w:highlight w:val="none"/>
              </w:rPr>
              <w:t>)</w:t>
            </w:r>
          </w:p>
        </w:tc>
        <w:tc>
          <w:tcPr>
            <w:tcW w:w="327" w:type="pct"/>
            <w:tcBorders>
              <w:tl2br w:val="nil"/>
              <w:tr2bl w:val="nil"/>
            </w:tcBorders>
            <w:vAlign w:val="center"/>
          </w:tcPr>
          <w:p w14:paraId="56110D0C">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.7</w:t>
            </w:r>
          </w:p>
        </w:tc>
        <w:tc>
          <w:tcPr>
            <w:tcW w:w="327" w:type="pct"/>
            <w:tcBorders>
              <w:tl2br w:val="nil"/>
              <w:tr2bl w:val="nil"/>
            </w:tcBorders>
            <w:vAlign w:val="center"/>
          </w:tcPr>
          <w:p w14:paraId="672E6677">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.2</w:t>
            </w:r>
          </w:p>
        </w:tc>
        <w:tc>
          <w:tcPr>
            <w:tcW w:w="327" w:type="pct"/>
            <w:tcBorders>
              <w:tl2br w:val="nil"/>
              <w:tr2bl w:val="nil"/>
            </w:tcBorders>
            <w:vAlign w:val="center"/>
          </w:tcPr>
          <w:p w14:paraId="7A1DCCA7">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.2</w:t>
            </w:r>
          </w:p>
        </w:tc>
        <w:tc>
          <w:tcPr>
            <w:tcW w:w="327" w:type="pct"/>
            <w:tcBorders>
              <w:tl2br w:val="nil"/>
              <w:tr2bl w:val="nil"/>
            </w:tcBorders>
            <w:vAlign w:val="center"/>
          </w:tcPr>
          <w:p w14:paraId="6441124F">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.5</w:t>
            </w:r>
          </w:p>
        </w:tc>
        <w:tc>
          <w:tcPr>
            <w:tcW w:w="373" w:type="pct"/>
            <w:tcBorders>
              <w:tl2br w:val="nil"/>
              <w:tr2bl w:val="nil"/>
            </w:tcBorders>
            <w:vAlign w:val="center"/>
          </w:tcPr>
          <w:p w14:paraId="2F68536A">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.7</w:t>
            </w:r>
          </w:p>
        </w:tc>
        <w:tc>
          <w:tcPr>
            <w:tcW w:w="373" w:type="pct"/>
            <w:tcBorders>
              <w:tl2br w:val="nil"/>
              <w:tr2bl w:val="nil"/>
            </w:tcBorders>
            <w:vAlign w:val="center"/>
          </w:tcPr>
          <w:p w14:paraId="5054E6DE">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.5</w:t>
            </w:r>
          </w:p>
        </w:tc>
        <w:tc>
          <w:tcPr>
            <w:tcW w:w="373" w:type="pct"/>
            <w:tcBorders>
              <w:tl2br w:val="nil"/>
              <w:tr2bl w:val="nil"/>
            </w:tcBorders>
            <w:vAlign w:val="center"/>
          </w:tcPr>
          <w:p w14:paraId="6429B8EC">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.0</w:t>
            </w:r>
          </w:p>
        </w:tc>
        <w:tc>
          <w:tcPr>
            <w:tcW w:w="327" w:type="pct"/>
            <w:tcBorders>
              <w:tl2br w:val="nil"/>
              <w:tr2bl w:val="nil"/>
            </w:tcBorders>
            <w:vAlign w:val="center"/>
          </w:tcPr>
          <w:p w14:paraId="2FA8339D">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.5</w:t>
            </w:r>
          </w:p>
        </w:tc>
        <w:tc>
          <w:tcPr>
            <w:tcW w:w="327" w:type="pct"/>
            <w:tcBorders>
              <w:tl2br w:val="nil"/>
              <w:tr2bl w:val="nil"/>
            </w:tcBorders>
            <w:vAlign w:val="center"/>
          </w:tcPr>
          <w:p w14:paraId="62D0EDDE">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.4</w:t>
            </w:r>
          </w:p>
        </w:tc>
        <w:tc>
          <w:tcPr>
            <w:tcW w:w="327" w:type="pct"/>
            <w:tcBorders>
              <w:tl2br w:val="nil"/>
              <w:tr2bl w:val="nil"/>
            </w:tcBorders>
            <w:vAlign w:val="center"/>
          </w:tcPr>
          <w:p w14:paraId="044243B4">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.1</w:t>
            </w:r>
          </w:p>
        </w:tc>
        <w:tc>
          <w:tcPr>
            <w:tcW w:w="327" w:type="pct"/>
            <w:tcBorders>
              <w:tl2br w:val="nil"/>
              <w:tr2bl w:val="nil"/>
            </w:tcBorders>
            <w:vAlign w:val="center"/>
          </w:tcPr>
          <w:p w14:paraId="7D2C1300">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.8</w:t>
            </w:r>
          </w:p>
        </w:tc>
        <w:tc>
          <w:tcPr>
            <w:tcW w:w="327" w:type="pct"/>
            <w:tcBorders>
              <w:tl2br w:val="nil"/>
              <w:tr2bl w:val="nil"/>
            </w:tcBorders>
            <w:vAlign w:val="center"/>
          </w:tcPr>
          <w:p w14:paraId="1EE1D333">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.9</w:t>
            </w:r>
          </w:p>
        </w:tc>
      </w:tr>
      <w:tr w14:paraId="7B68BB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pct"/>
            <w:tcBorders>
              <w:tl2br w:val="nil"/>
              <w:tr2bl w:val="nil"/>
            </w:tcBorders>
            <w:vAlign w:val="center"/>
          </w:tcPr>
          <w:p w14:paraId="5D4007E5">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对</w:t>
            </w:r>
            <w:r>
              <w:rPr>
                <w:color w:val="auto"/>
                <w:spacing w:val="2"/>
                <w:sz w:val="21"/>
                <w:szCs w:val="21"/>
                <w:highlight w:val="none"/>
              </w:rPr>
              <w:t>应</w:t>
            </w:r>
            <w:r>
              <w:rPr>
                <w:color w:val="auto"/>
                <w:spacing w:val="-1"/>
                <w:sz w:val="21"/>
                <w:szCs w:val="21"/>
                <w:highlight w:val="none"/>
              </w:rPr>
              <w:t>周</w:t>
            </w:r>
            <w:r>
              <w:rPr>
                <w:color w:val="auto"/>
                <w:spacing w:val="2"/>
                <w:sz w:val="21"/>
                <w:szCs w:val="21"/>
                <w:highlight w:val="none"/>
              </w:rPr>
              <w:t>期</w:t>
            </w:r>
            <w:r>
              <w:rPr>
                <w:color w:val="auto"/>
                <w:spacing w:val="-1"/>
                <w:sz w:val="21"/>
                <w:szCs w:val="21"/>
                <w:highlight w:val="none"/>
              </w:rPr>
              <w:t>(s</w:t>
            </w:r>
            <w:r>
              <w:rPr>
                <w:color w:val="auto"/>
                <w:sz w:val="21"/>
                <w:szCs w:val="21"/>
                <w:highlight w:val="none"/>
              </w:rPr>
              <w:t>)</w:t>
            </w:r>
          </w:p>
        </w:tc>
        <w:tc>
          <w:tcPr>
            <w:tcW w:w="327" w:type="pct"/>
            <w:tcBorders>
              <w:tl2br w:val="nil"/>
              <w:tr2bl w:val="nil"/>
            </w:tcBorders>
            <w:vAlign w:val="center"/>
          </w:tcPr>
          <w:p w14:paraId="7C7BB979">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4</w:t>
            </w:r>
            <w:r>
              <w:rPr>
                <w:color w:val="auto"/>
                <w:sz w:val="21"/>
                <w:szCs w:val="21"/>
                <w:highlight w:val="none"/>
              </w:rPr>
              <w:t>.5</w:t>
            </w:r>
          </w:p>
        </w:tc>
        <w:tc>
          <w:tcPr>
            <w:tcW w:w="327" w:type="pct"/>
            <w:tcBorders>
              <w:tl2br w:val="nil"/>
              <w:tr2bl w:val="nil"/>
            </w:tcBorders>
            <w:vAlign w:val="center"/>
          </w:tcPr>
          <w:p w14:paraId="31875CA1">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5</w:t>
            </w:r>
            <w:r>
              <w:rPr>
                <w:color w:val="auto"/>
                <w:sz w:val="21"/>
                <w:szCs w:val="21"/>
                <w:highlight w:val="none"/>
              </w:rPr>
              <w:t>.5</w:t>
            </w:r>
          </w:p>
        </w:tc>
        <w:tc>
          <w:tcPr>
            <w:tcW w:w="327" w:type="pct"/>
            <w:tcBorders>
              <w:tl2br w:val="nil"/>
              <w:tr2bl w:val="nil"/>
            </w:tcBorders>
            <w:vAlign w:val="center"/>
          </w:tcPr>
          <w:p w14:paraId="30F96820">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5</w:t>
            </w:r>
            <w:r>
              <w:rPr>
                <w:color w:val="auto"/>
                <w:sz w:val="21"/>
                <w:szCs w:val="21"/>
                <w:highlight w:val="none"/>
              </w:rPr>
              <w:t>.5</w:t>
            </w:r>
          </w:p>
        </w:tc>
        <w:tc>
          <w:tcPr>
            <w:tcW w:w="327" w:type="pct"/>
            <w:tcBorders>
              <w:tl2br w:val="nil"/>
              <w:tr2bl w:val="nil"/>
            </w:tcBorders>
            <w:vAlign w:val="center"/>
          </w:tcPr>
          <w:p w14:paraId="6B1C7315">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4</w:t>
            </w:r>
            <w:r>
              <w:rPr>
                <w:color w:val="auto"/>
                <w:sz w:val="21"/>
                <w:szCs w:val="21"/>
                <w:highlight w:val="none"/>
              </w:rPr>
              <w:t>.0</w:t>
            </w:r>
          </w:p>
        </w:tc>
        <w:tc>
          <w:tcPr>
            <w:tcW w:w="373" w:type="pct"/>
            <w:tcBorders>
              <w:tl2br w:val="nil"/>
              <w:tr2bl w:val="nil"/>
            </w:tcBorders>
            <w:vAlign w:val="center"/>
          </w:tcPr>
          <w:p w14:paraId="3D77D634">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4</w:t>
            </w:r>
            <w:r>
              <w:rPr>
                <w:color w:val="auto"/>
                <w:sz w:val="21"/>
                <w:szCs w:val="21"/>
                <w:highlight w:val="none"/>
              </w:rPr>
              <w:t>.0</w:t>
            </w:r>
          </w:p>
        </w:tc>
        <w:tc>
          <w:tcPr>
            <w:tcW w:w="373" w:type="pct"/>
            <w:tcBorders>
              <w:tl2br w:val="nil"/>
              <w:tr2bl w:val="nil"/>
            </w:tcBorders>
            <w:vAlign w:val="center"/>
          </w:tcPr>
          <w:p w14:paraId="3961602F">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5</w:t>
            </w:r>
            <w:r>
              <w:rPr>
                <w:color w:val="auto"/>
                <w:sz w:val="21"/>
                <w:szCs w:val="21"/>
                <w:highlight w:val="none"/>
              </w:rPr>
              <w:t>.0</w:t>
            </w:r>
          </w:p>
        </w:tc>
        <w:tc>
          <w:tcPr>
            <w:tcW w:w="373" w:type="pct"/>
            <w:tcBorders>
              <w:tl2br w:val="nil"/>
              <w:tr2bl w:val="nil"/>
            </w:tcBorders>
            <w:vAlign w:val="center"/>
          </w:tcPr>
          <w:p w14:paraId="67B3B600">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5</w:t>
            </w:r>
            <w:r>
              <w:rPr>
                <w:color w:val="auto"/>
                <w:sz w:val="21"/>
                <w:szCs w:val="21"/>
                <w:highlight w:val="none"/>
              </w:rPr>
              <w:t>.0</w:t>
            </w:r>
          </w:p>
        </w:tc>
        <w:tc>
          <w:tcPr>
            <w:tcW w:w="327" w:type="pct"/>
            <w:tcBorders>
              <w:tl2br w:val="nil"/>
              <w:tr2bl w:val="nil"/>
            </w:tcBorders>
            <w:vAlign w:val="center"/>
          </w:tcPr>
          <w:p w14:paraId="745A106A">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4</w:t>
            </w:r>
            <w:r>
              <w:rPr>
                <w:color w:val="auto"/>
                <w:sz w:val="21"/>
                <w:szCs w:val="21"/>
                <w:highlight w:val="none"/>
              </w:rPr>
              <w:t>.6</w:t>
            </w:r>
          </w:p>
        </w:tc>
        <w:tc>
          <w:tcPr>
            <w:tcW w:w="327" w:type="pct"/>
            <w:tcBorders>
              <w:tl2br w:val="nil"/>
              <w:tr2bl w:val="nil"/>
            </w:tcBorders>
            <w:vAlign w:val="center"/>
          </w:tcPr>
          <w:p w14:paraId="3E349A5C">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4</w:t>
            </w:r>
            <w:r>
              <w:rPr>
                <w:color w:val="auto"/>
                <w:sz w:val="21"/>
                <w:szCs w:val="21"/>
                <w:highlight w:val="none"/>
              </w:rPr>
              <w:t>.4</w:t>
            </w:r>
          </w:p>
        </w:tc>
        <w:tc>
          <w:tcPr>
            <w:tcW w:w="327" w:type="pct"/>
            <w:tcBorders>
              <w:tl2br w:val="nil"/>
              <w:tr2bl w:val="nil"/>
            </w:tcBorders>
            <w:vAlign w:val="center"/>
          </w:tcPr>
          <w:p w14:paraId="03128BF9">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.5</w:t>
            </w:r>
          </w:p>
        </w:tc>
        <w:tc>
          <w:tcPr>
            <w:tcW w:w="327" w:type="pct"/>
            <w:tcBorders>
              <w:tl2br w:val="nil"/>
              <w:tr2bl w:val="nil"/>
            </w:tcBorders>
            <w:vAlign w:val="center"/>
          </w:tcPr>
          <w:p w14:paraId="79908D0B">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.5</w:t>
            </w:r>
          </w:p>
        </w:tc>
        <w:tc>
          <w:tcPr>
            <w:tcW w:w="327" w:type="pct"/>
            <w:tcBorders>
              <w:tl2br w:val="nil"/>
              <w:tr2bl w:val="nil"/>
            </w:tcBorders>
            <w:vAlign w:val="center"/>
          </w:tcPr>
          <w:p w14:paraId="397FEB0A">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5</w:t>
            </w:r>
            <w:r>
              <w:rPr>
                <w:color w:val="auto"/>
                <w:sz w:val="21"/>
                <w:szCs w:val="21"/>
                <w:highlight w:val="none"/>
              </w:rPr>
              <w:t>.0</w:t>
            </w:r>
          </w:p>
        </w:tc>
      </w:tr>
      <w:tr w14:paraId="66104B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pct"/>
            <w:tcBorders>
              <w:tl2br w:val="nil"/>
              <w:tr2bl w:val="nil"/>
            </w:tcBorders>
            <w:vAlign w:val="center"/>
          </w:tcPr>
          <w:p w14:paraId="7BF845EF">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对</w:t>
            </w:r>
            <w:r>
              <w:rPr>
                <w:color w:val="auto"/>
                <w:spacing w:val="2"/>
                <w:sz w:val="21"/>
                <w:szCs w:val="21"/>
                <w:highlight w:val="none"/>
              </w:rPr>
              <w:t>应</w:t>
            </w:r>
            <w:r>
              <w:rPr>
                <w:color w:val="auto"/>
                <w:spacing w:val="-1"/>
                <w:sz w:val="21"/>
                <w:szCs w:val="21"/>
                <w:highlight w:val="none"/>
              </w:rPr>
              <w:t>波</w:t>
            </w:r>
            <w:r>
              <w:rPr>
                <w:color w:val="auto"/>
                <w:spacing w:val="2"/>
                <w:sz w:val="21"/>
                <w:szCs w:val="21"/>
                <w:highlight w:val="none"/>
              </w:rPr>
              <w:t>向</w:t>
            </w:r>
            <w:r>
              <w:rPr>
                <w:color w:val="auto"/>
                <w:spacing w:val="-1"/>
                <w:sz w:val="21"/>
                <w:szCs w:val="21"/>
                <w:highlight w:val="none"/>
              </w:rPr>
              <w:t>(</w:t>
            </w:r>
            <w:r>
              <w:rPr>
                <w:color w:val="auto"/>
                <w:spacing w:val="1"/>
                <w:sz w:val="21"/>
                <w:szCs w:val="21"/>
                <w:highlight w:val="none"/>
              </w:rPr>
              <w:t>°</w:t>
            </w:r>
            <w:r>
              <w:rPr>
                <w:color w:val="auto"/>
                <w:sz w:val="21"/>
                <w:szCs w:val="21"/>
                <w:highlight w:val="none"/>
              </w:rPr>
              <w:t>)</w:t>
            </w:r>
          </w:p>
        </w:tc>
        <w:tc>
          <w:tcPr>
            <w:tcW w:w="327" w:type="pct"/>
            <w:tcBorders>
              <w:tl2br w:val="nil"/>
              <w:tr2bl w:val="nil"/>
            </w:tcBorders>
            <w:vAlign w:val="center"/>
          </w:tcPr>
          <w:p w14:paraId="7E9FEC37">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13</w:t>
            </w:r>
            <w:r>
              <w:rPr>
                <w:color w:val="auto"/>
                <w:sz w:val="21"/>
                <w:szCs w:val="21"/>
                <w:highlight w:val="none"/>
              </w:rPr>
              <w:t>8</w:t>
            </w:r>
          </w:p>
        </w:tc>
        <w:tc>
          <w:tcPr>
            <w:tcW w:w="327" w:type="pct"/>
            <w:tcBorders>
              <w:tl2br w:val="nil"/>
              <w:tr2bl w:val="nil"/>
            </w:tcBorders>
            <w:vAlign w:val="center"/>
          </w:tcPr>
          <w:p w14:paraId="5835E6B3">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14</w:t>
            </w:r>
            <w:r>
              <w:rPr>
                <w:color w:val="auto"/>
                <w:sz w:val="21"/>
                <w:szCs w:val="21"/>
                <w:highlight w:val="none"/>
              </w:rPr>
              <w:t>6</w:t>
            </w:r>
          </w:p>
        </w:tc>
        <w:tc>
          <w:tcPr>
            <w:tcW w:w="327" w:type="pct"/>
            <w:tcBorders>
              <w:tl2br w:val="nil"/>
              <w:tr2bl w:val="nil"/>
            </w:tcBorders>
            <w:vAlign w:val="center"/>
          </w:tcPr>
          <w:p w14:paraId="26E05073">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14</w:t>
            </w:r>
            <w:r>
              <w:rPr>
                <w:color w:val="auto"/>
                <w:sz w:val="21"/>
                <w:szCs w:val="21"/>
                <w:highlight w:val="none"/>
              </w:rPr>
              <w:t>6</w:t>
            </w:r>
          </w:p>
        </w:tc>
        <w:tc>
          <w:tcPr>
            <w:tcW w:w="327" w:type="pct"/>
            <w:tcBorders>
              <w:tl2br w:val="nil"/>
              <w:tr2bl w:val="nil"/>
            </w:tcBorders>
            <w:vAlign w:val="center"/>
          </w:tcPr>
          <w:p w14:paraId="067B0314">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16</w:t>
            </w:r>
            <w:r>
              <w:rPr>
                <w:color w:val="auto"/>
                <w:sz w:val="21"/>
                <w:szCs w:val="21"/>
                <w:highlight w:val="none"/>
              </w:rPr>
              <w:t>9</w:t>
            </w:r>
          </w:p>
        </w:tc>
        <w:tc>
          <w:tcPr>
            <w:tcW w:w="373" w:type="pct"/>
            <w:tcBorders>
              <w:tl2br w:val="nil"/>
              <w:tr2bl w:val="nil"/>
            </w:tcBorders>
            <w:vAlign w:val="center"/>
          </w:tcPr>
          <w:p w14:paraId="3831CBB1">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35</w:t>
            </w:r>
            <w:r>
              <w:rPr>
                <w:color w:val="auto"/>
                <w:sz w:val="21"/>
                <w:szCs w:val="21"/>
                <w:highlight w:val="none"/>
              </w:rPr>
              <w:t>1</w:t>
            </w:r>
          </w:p>
        </w:tc>
        <w:tc>
          <w:tcPr>
            <w:tcW w:w="373" w:type="pct"/>
            <w:tcBorders>
              <w:tl2br w:val="nil"/>
              <w:tr2bl w:val="nil"/>
            </w:tcBorders>
            <w:vAlign w:val="center"/>
          </w:tcPr>
          <w:p w14:paraId="69600C55">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12</w:t>
            </w:r>
            <w:r>
              <w:rPr>
                <w:color w:val="auto"/>
                <w:sz w:val="21"/>
                <w:szCs w:val="21"/>
                <w:highlight w:val="none"/>
              </w:rPr>
              <w:t>5</w:t>
            </w:r>
          </w:p>
        </w:tc>
        <w:tc>
          <w:tcPr>
            <w:tcW w:w="373" w:type="pct"/>
            <w:tcBorders>
              <w:tl2br w:val="nil"/>
              <w:tr2bl w:val="nil"/>
            </w:tcBorders>
            <w:vAlign w:val="center"/>
          </w:tcPr>
          <w:p w14:paraId="24C5FA36">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13</w:t>
            </w:r>
            <w:r>
              <w:rPr>
                <w:color w:val="auto"/>
                <w:sz w:val="21"/>
                <w:szCs w:val="21"/>
                <w:highlight w:val="none"/>
              </w:rPr>
              <w:t>7</w:t>
            </w:r>
          </w:p>
        </w:tc>
        <w:tc>
          <w:tcPr>
            <w:tcW w:w="327" w:type="pct"/>
            <w:tcBorders>
              <w:tl2br w:val="nil"/>
              <w:tr2bl w:val="nil"/>
            </w:tcBorders>
            <w:vAlign w:val="center"/>
          </w:tcPr>
          <w:p w14:paraId="5A1CC195">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35</w:t>
            </w:r>
            <w:r>
              <w:rPr>
                <w:color w:val="auto"/>
                <w:sz w:val="21"/>
                <w:szCs w:val="21"/>
                <w:highlight w:val="none"/>
              </w:rPr>
              <w:t>2</w:t>
            </w:r>
          </w:p>
        </w:tc>
        <w:tc>
          <w:tcPr>
            <w:tcW w:w="327" w:type="pct"/>
            <w:tcBorders>
              <w:tl2br w:val="nil"/>
              <w:tr2bl w:val="nil"/>
            </w:tcBorders>
            <w:vAlign w:val="center"/>
          </w:tcPr>
          <w:p w14:paraId="1C3B5469">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13</w:t>
            </w:r>
            <w:r>
              <w:rPr>
                <w:color w:val="auto"/>
                <w:sz w:val="21"/>
                <w:szCs w:val="21"/>
                <w:highlight w:val="none"/>
              </w:rPr>
              <w:t>8</w:t>
            </w:r>
          </w:p>
        </w:tc>
        <w:tc>
          <w:tcPr>
            <w:tcW w:w="327" w:type="pct"/>
            <w:tcBorders>
              <w:tl2br w:val="nil"/>
              <w:tr2bl w:val="nil"/>
            </w:tcBorders>
            <w:vAlign w:val="center"/>
          </w:tcPr>
          <w:p w14:paraId="2B220D79">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34</w:t>
            </w:r>
            <w:r>
              <w:rPr>
                <w:color w:val="auto"/>
                <w:sz w:val="21"/>
                <w:szCs w:val="21"/>
                <w:highlight w:val="none"/>
              </w:rPr>
              <w:t>7</w:t>
            </w:r>
          </w:p>
        </w:tc>
        <w:tc>
          <w:tcPr>
            <w:tcW w:w="327" w:type="pct"/>
            <w:tcBorders>
              <w:tl2br w:val="nil"/>
              <w:tr2bl w:val="nil"/>
            </w:tcBorders>
            <w:vAlign w:val="center"/>
          </w:tcPr>
          <w:p w14:paraId="546B9FD1">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11</w:t>
            </w:r>
            <w:r>
              <w:rPr>
                <w:color w:val="auto"/>
                <w:sz w:val="21"/>
                <w:szCs w:val="21"/>
                <w:highlight w:val="none"/>
              </w:rPr>
              <w:t>6</w:t>
            </w:r>
          </w:p>
        </w:tc>
        <w:tc>
          <w:tcPr>
            <w:tcW w:w="327" w:type="pct"/>
            <w:tcBorders>
              <w:tl2br w:val="nil"/>
              <w:tr2bl w:val="nil"/>
            </w:tcBorders>
            <w:vAlign w:val="center"/>
          </w:tcPr>
          <w:p w14:paraId="3FDEEBFE">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21</w:t>
            </w:r>
            <w:r>
              <w:rPr>
                <w:color w:val="auto"/>
                <w:sz w:val="21"/>
                <w:szCs w:val="21"/>
                <w:highlight w:val="none"/>
              </w:rPr>
              <w:t>6</w:t>
            </w:r>
          </w:p>
        </w:tc>
      </w:tr>
      <w:tr w14:paraId="38390A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pct"/>
            <w:tcBorders>
              <w:tl2br w:val="nil"/>
              <w:tr2bl w:val="nil"/>
            </w:tcBorders>
            <w:vAlign w:val="center"/>
          </w:tcPr>
          <w:p w14:paraId="1A336AD0">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position w:val="2"/>
                <w:sz w:val="21"/>
                <w:szCs w:val="21"/>
                <w:highlight w:val="none"/>
              </w:rPr>
              <w:t>月</w:t>
            </w:r>
            <w:r>
              <w:rPr>
                <w:color w:val="auto"/>
                <w:spacing w:val="2"/>
                <w:position w:val="2"/>
                <w:sz w:val="21"/>
                <w:szCs w:val="21"/>
                <w:highlight w:val="none"/>
              </w:rPr>
              <w:t>最</w:t>
            </w:r>
            <w:r>
              <w:rPr>
                <w:color w:val="auto"/>
                <w:position w:val="2"/>
                <w:sz w:val="21"/>
                <w:szCs w:val="21"/>
                <w:highlight w:val="none"/>
              </w:rPr>
              <w:t>大</w:t>
            </w:r>
            <w:r>
              <w:rPr>
                <w:color w:val="auto"/>
                <w:spacing w:val="-52"/>
                <w:position w:val="2"/>
                <w:sz w:val="21"/>
                <w:szCs w:val="21"/>
                <w:highlight w:val="none"/>
              </w:rPr>
              <w:t xml:space="preserve"> </w:t>
            </w:r>
            <w:r>
              <w:rPr>
                <w:color w:val="auto"/>
                <w:spacing w:val="-1"/>
                <w:position w:val="2"/>
                <w:sz w:val="21"/>
                <w:szCs w:val="21"/>
                <w:highlight w:val="none"/>
              </w:rPr>
              <w:t>H</w:t>
            </w:r>
            <w:r>
              <w:rPr>
                <w:color w:val="auto"/>
                <w:sz w:val="13"/>
                <w:szCs w:val="13"/>
                <w:highlight w:val="none"/>
              </w:rPr>
              <w:t>1</w:t>
            </w:r>
            <w:r>
              <w:rPr>
                <w:color w:val="auto"/>
                <w:spacing w:val="-1"/>
                <w:sz w:val="13"/>
                <w:szCs w:val="13"/>
                <w:highlight w:val="none"/>
              </w:rPr>
              <w:t>/</w:t>
            </w:r>
            <w:r>
              <w:rPr>
                <w:color w:val="auto"/>
                <w:sz w:val="13"/>
                <w:szCs w:val="13"/>
                <w:highlight w:val="none"/>
              </w:rPr>
              <w:t>1</w:t>
            </w:r>
            <w:r>
              <w:rPr>
                <w:color w:val="auto"/>
                <w:spacing w:val="-3"/>
                <w:sz w:val="13"/>
                <w:szCs w:val="13"/>
                <w:highlight w:val="none"/>
              </w:rPr>
              <w:t>0</w:t>
            </w:r>
            <w:r>
              <w:rPr>
                <w:color w:val="auto"/>
                <w:spacing w:val="-1"/>
                <w:position w:val="2"/>
                <w:sz w:val="21"/>
                <w:szCs w:val="21"/>
                <w:highlight w:val="none"/>
              </w:rPr>
              <w:t>(</w:t>
            </w:r>
            <w:r>
              <w:rPr>
                <w:color w:val="auto"/>
                <w:spacing w:val="1"/>
                <w:position w:val="2"/>
                <w:sz w:val="21"/>
                <w:szCs w:val="21"/>
                <w:highlight w:val="none"/>
              </w:rPr>
              <w:t>m</w:t>
            </w:r>
            <w:r>
              <w:rPr>
                <w:color w:val="auto"/>
                <w:position w:val="2"/>
                <w:sz w:val="21"/>
                <w:szCs w:val="21"/>
                <w:highlight w:val="none"/>
              </w:rPr>
              <w:t>)</w:t>
            </w:r>
          </w:p>
        </w:tc>
        <w:tc>
          <w:tcPr>
            <w:tcW w:w="327" w:type="pct"/>
            <w:tcBorders>
              <w:tl2br w:val="nil"/>
              <w:tr2bl w:val="nil"/>
            </w:tcBorders>
            <w:vAlign w:val="center"/>
          </w:tcPr>
          <w:p w14:paraId="41956DED">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.9</w:t>
            </w:r>
          </w:p>
        </w:tc>
        <w:tc>
          <w:tcPr>
            <w:tcW w:w="327" w:type="pct"/>
            <w:tcBorders>
              <w:tl2br w:val="nil"/>
              <w:tr2bl w:val="nil"/>
            </w:tcBorders>
            <w:vAlign w:val="center"/>
          </w:tcPr>
          <w:p w14:paraId="1CA6F810">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.4</w:t>
            </w:r>
          </w:p>
        </w:tc>
        <w:tc>
          <w:tcPr>
            <w:tcW w:w="327" w:type="pct"/>
            <w:tcBorders>
              <w:tl2br w:val="nil"/>
              <w:tr2bl w:val="nil"/>
            </w:tcBorders>
            <w:vAlign w:val="center"/>
          </w:tcPr>
          <w:p w14:paraId="4C8744EB">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.6</w:t>
            </w:r>
          </w:p>
        </w:tc>
        <w:tc>
          <w:tcPr>
            <w:tcW w:w="327" w:type="pct"/>
            <w:tcBorders>
              <w:tl2br w:val="nil"/>
              <w:tr2bl w:val="nil"/>
            </w:tcBorders>
            <w:vAlign w:val="center"/>
          </w:tcPr>
          <w:p w14:paraId="7C6BD3AB">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.6</w:t>
            </w:r>
          </w:p>
        </w:tc>
        <w:tc>
          <w:tcPr>
            <w:tcW w:w="373" w:type="pct"/>
            <w:tcBorders>
              <w:tl2br w:val="nil"/>
              <w:tr2bl w:val="nil"/>
            </w:tcBorders>
            <w:vAlign w:val="center"/>
          </w:tcPr>
          <w:p w14:paraId="4FA44154">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.4</w:t>
            </w:r>
          </w:p>
        </w:tc>
        <w:tc>
          <w:tcPr>
            <w:tcW w:w="373" w:type="pct"/>
            <w:tcBorders>
              <w:tl2br w:val="nil"/>
              <w:tr2bl w:val="nil"/>
            </w:tcBorders>
            <w:vAlign w:val="center"/>
          </w:tcPr>
          <w:p w14:paraId="6B6B173E">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.2</w:t>
            </w:r>
          </w:p>
        </w:tc>
        <w:tc>
          <w:tcPr>
            <w:tcW w:w="373" w:type="pct"/>
            <w:tcBorders>
              <w:tl2br w:val="nil"/>
              <w:tr2bl w:val="nil"/>
            </w:tcBorders>
            <w:vAlign w:val="center"/>
          </w:tcPr>
          <w:p w14:paraId="06679CAA">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.4</w:t>
            </w:r>
          </w:p>
        </w:tc>
        <w:tc>
          <w:tcPr>
            <w:tcW w:w="327" w:type="pct"/>
            <w:tcBorders>
              <w:tl2br w:val="nil"/>
              <w:tr2bl w:val="nil"/>
            </w:tcBorders>
            <w:vAlign w:val="center"/>
          </w:tcPr>
          <w:p w14:paraId="4FF1D20A">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.1</w:t>
            </w:r>
          </w:p>
        </w:tc>
        <w:tc>
          <w:tcPr>
            <w:tcW w:w="327" w:type="pct"/>
            <w:tcBorders>
              <w:tl2br w:val="nil"/>
              <w:tr2bl w:val="nil"/>
            </w:tcBorders>
            <w:vAlign w:val="center"/>
          </w:tcPr>
          <w:p w14:paraId="0B13B0E3">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.0</w:t>
            </w:r>
          </w:p>
        </w:tc>
        <w:tc>
          <w:tcPr>
            <w:tcW w:w="327" w:type="pct"/>
            <w:tcBorders>
              <w:tl2br w:val="nil"/>
              <w:tr2bl w:val="nil"/>
            </w:tcBorders>
            <w:vAlign w:val="center"/>
          </w:tcPr>
          <w:p w14:paraId="0D75B37C">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.5</w:t>
            </w:r>
          </w:p>
        </w:tc>
        <w:tc>
          <w:tcPr>
            <w:tcW w:w="327" w:type="pct"/>
            <w:tcBorders>
              <w:tl2br w:val="nil"/>
              <w:tr2bl w:val="nil"/>
            </w:tcBorders>
            <w:vAlign w:val="center"/>
          </w:tcPr>
          <w:p w14:paraId="7773464E">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.2</w:t>
            </w:r>
          </w:p>
        </w:tc>
        <w:tc>
          <w:tcPr>
            <w:tcW w:w="327" w:type="pct"/>
            <w:tcBorders>
              <w:tl2br w:val="nil"/>
              <w:tr2bl w:val="nil"/>
            </w:tcBorders>
            <w:vAlign w:val="center"/>
          </w:tcPr>
          <w:p w14:paraId="1C5D0943">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.6</w:t>
            </w:r>
          </w:p>
        </w:tc>
      </w:tr>
      <w:tr w14:paraId="58D01B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pct"/>
            <w:tcBorders>
              <w:tl2br w:val="nil"/>
              <w:tr2bl w:val="nil"/>
            </w:tcBorders>
            <w:vAlign w:val="center"/>
          </w:tcPr>
          <w:p w14:paraId="7F58D025">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position w:val="2"/>
                <w:sz w:val="21"/>
                <w:szCs w:val="21"/>
                <w:highlight w:val="none"/>
              </w:rPr>
              <w:t>月</w:t>
            </w:r>
            <w:r>
              <w:rPr>
                <w:color w:val="auto"/>
                <w:spacing w:val="2"/>
                <w:position w:val="2"/>
                <w:sz w:val="21"/>
                <w:szCs w:val="21"/>
                <w:highlight w:val="none"/>
              </w:rPr>
              <w:t>平</w:t>
            </w:r>
            <w:r>
              <w:rPr>
                <w:color w:val="auto"/>
                <w:position w:val="2"/>
                <w:sz w:val="21"/>
                <w:szCs w:val="21"/>
                <w:highlight w:val="none"/>
              </w:rPr>
              <w:t>均</w:t>
            </w:r>
            <w:r>
              <w:rPr>
                <w:color w:val="auto"/>
                <w:spacing w:val="-52"/>
                <w:position w:val="2"/>
                <w:sz w:val="21"/>
                <w:szCs w:val="21"/>
                <w:highlight w:val="none"/>
              </w:rPr>
              <w:t xml:space="preserve"> </w:t>
            </w:r>
            <w:r>
              <w:rPr>
                <w:color w:val="auto"/>
                <w:spacing w:val="-1"/>
                <w:position w:val="2"/>
                <w:sz w:val="21"/>
                <w:szCs w:val="21"/>
                <w:highlight w:val="none"/>
              </w:rPr>
              <w:t>H</w:t>
            </w:r>
            <w:r>
              <w:rPr>
                <w:color w:val="auto"/>
                <w:sz w:val="13"/>
                <w:szCs w:val="13"/>
                <w:highlight w:val="none"/>
              </w:rPr>
              <w:t>1</w:t>
            </w:r>
            <w:r>
              <w:rPr>
                <w:color w:val="auto"/>
                <w:spacing w:val="-1"/>
                <w:sz w:val="13"/>
                <w:szCs w:val="13"/>
                <w:highlight w:val="none"/>
              </w:rPr>
              <w:t>/</w:t>
            </w:r>
            <w:r>
              <w:rPr>
                <w:color w:val="auto"/>
                <w:sz w:val="13"/>
                <w:szCs w:val="13"/>
                <w:highlight w:val="none"/>
              </w:rPr>
              <w:t>1</w:t>
            </w:r>
            <w:r>
              <w:rPr>
                <w:color w:val="auto"/>
                <w:spacing w:val="-3"/>
                <w:sz w:val="13"/>
                <w:szCs w:val="13"/>
                <w:highlight w:val="none"/>
              </w:rPr>
              <w:t>0</w:t>
            </w:r>
            <w:r>
              <w:rPr>
                <w:color w:val="auto"/>
                <w:spacing w:val="-1"/>
                <w:position w:val="2"/>
                <w:sz w:val="21"/>
                <w:szCs w:val="21"/>
                <w:highlight w:val="none"/>
              </w:rPr>
              <w:t>(</w:t>
            </w:r>
            <w:r>
              <w:rPr>
                <w:color w:val="auto"/>
                <w:spacing w:val="1"/>
                <w:position w:val="2"/>
                <w:sz w:val="21"/>
                <w:szCs w:val="21"/>
                <w:highlight w:val="none"/>
              </w:rPr>
              <w:t>m</w:t>
            </w:r>
            <w:r>
              <w:rPr>
                <w:color w:val="auto"/>
                <w:position w:val="2"/>
                <w:sz w:val="21"/>
                <w:szCs w:val="21"/>
                <w:highlight w:val="none"/>
              </w:rPr>
              <w:t>)</w:t>
            </w:r>
          </w:p>
        </w:tc>
        <w:tc>
          <w:tcPr>
            <w:tcW w:w="327" w:type="pct"/>
            <w:tcBorders>
              <w:tl2br w:val="nil"/>
              <w:tr2bl w:val="nil"/>
            </w:tcBorders>
            <w:vAlign w:val="center"/>
          </w:tcPr>
          <w:p w14:paraId="0D36149B">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.8</w:t>
            </w:r>
          </w:p>
        </w:tc>
        <w:tc>
          <w:tcPr>
            <w:tcW w:w="327" w:type="pct"/>
            <w:tcBorders>
              <w:tl2br w:val="nil"/>
              <w:tr2bl w:val="nil"/>
            </w:tcBorders>
            <w:vAlign w:val="center"/>
          </w:tcPr>
          <w:p w14:paraId="6EC126D8">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.9</w:t>
            </w:r>
          </w:p>
        </w:tc>
        <w:tc>
          <w:tcPr>
            <w:tcW w:w="327" w:type="pct"/>
            <w:tcBorders>
              <w:tl2br w:val="nil"/>
              <w:tr2bl w:val="nil"/>
            </w:tcBorders>
            <w:vAlign w:val="center"/>
          </w:tcPr>
          <w:p w14:paraId="02FC1094">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.6</w:t>
            </w:r>
          </w:p>
        </w:tc>
        <w:tc>
          <w:tcPr>
            <w:tcW w:w="327" w:type="pct"/>
            <w:tcBorders>
              <w:tl2br w:val="nil"/>
              <w:tr2bl w:val="nil"/>
            </w:tcBorders>
            <w:vAlign w:val="center"/>
          </w:tcPr>
          <w:p w14:paraId="1B14A4A8">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.6</w:t>
            </w:r>
          </w:p>
        </w:tc>
        <w:tc>
          <w:tcPr>
            <w:tcW w:w="373" w:type="pct"/>
            <w:tcBorders>
              <w:tl2br w:val="nil"/>
              <w:tr2bl w:val="nil"/>
            </w:tcBorders>
            <w:vAlign w:val="center"/>
          </w:tcPr>
          <w:p w14:paraId="01FD7EEE">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.7</w:t>
            </w:r>
          </w:p>
        </w:tc>
        <w:tc>
          <w:tcPr>
            <w:tcW w:w="373" w:type="pct"/>
            <w:tcBorders>
              <w:tl2br w:val="nil"/>
              <w:tr2bl w:val="nil"/>
            </w:tcBorders>
            <w:vAlign w:val="center"/>
          </w:tcPr>
          <w:p w14:paraId="74FB15EC">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.5</w:t>
            </w:r>
          </w:p>
        </w:tc>
        <w:tc>
          <w:tcPr>
            <w:tcW w:w="373" w:type="pct"/>
            <w:tcBorders>
              <w:tl2br w:val="nil"/>
              <w:tr2bl w:val="nil"/>
            </w:tcBorders>
            <w:vAlign w:val="center"/>
          </w:tcPr>
          <w:p w14:paraId="5F84F80B">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.6</w:t>
            </w:r>
          </w:p>
        </w:tc>
        <w:tc>
          <w:tcPr>
            <w:tcW w:w="327" w:type="pct"/>
            <w:tcBorders>
              <w:tl2br w:val="nil"/>
              <w:tr2bl w:val="nil"/>
            </w:tcBorders>
            <w:vAlign w:val="center"/>
          </w:tcPr>
          <w:p w14:paraId="0B2CB1C4">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.7</w:t>
            </w:r>
          </w:p>
        </w:tc>
        <w:tc>
          <w:tcPr>
            <w:tcW w:w="327" w:type="pct"/>
            <w:tcBorders>
              <w:tl2br w:val="nil"/>
              <w:tr2bl w:val="nil"/>
            </w:tcBorders>
            <w:vAlign w:val="center"/>
          </w:tcPr>
          <w:p w14:paraId="4CAC51AB">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.5</w:t>
            </w:r>
          </w:p>
        </w:tc>
        <w:tc>
          <w:tcPr>
            <w:tcW w:w="327" w:type="pct"/>
            <w:tcBorders>
              <w:tl2br w:val="nil"/>
              <w:tr2bl w:val="nil"/>
            </w:tcBorders>
            <w:vAlign w:val="center"/>
          </w:tcPr>
          <w:p w14:paraId="09C5E012">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.5</w:t>
            </w:r>
          </w:p>
        </w:tc>
        <w:tc>
          <w:tcPr>
            <w:tcW w:w="327" w:type="pct"/>
            <w:tcBorders>
              <w:tl2br w:val="nil"/>
              <w:tr2bl w:val="nil"/>
            </w:tcBorders>
            <w:vAlign w:val="center"/>
          </w:tcPr>
          <w:p w14:paraId="0731C8F1">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.3</w:t>
            </w:r>
          </w:p>
        </w:tc>
        <w:tc>
          <w:tcPr>
            <w:tcW w:w="327" w:type="pct"/>
            <w:tcBorders>
              <w:tl2br w:val="nil"/>
              <w:tr2bl w:val="nil"/>
            </w:tcBorders>
            <w:vAlign w:val="center"/>
          </w:tcPr>
          <w:p w14:paraId="1BF67415">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.4</w:t>
            </w:r>
          </w:p>
        </w:tc>
      </w:tr>
      <w:tr w14:paraId="2DCB55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pct"/>
            <w:tcBorders>
              <w:tl2br w:val="nil"/>
              <w:tr2bl w:val="nil"/>
            </w:tcBorders>
            <w:vAlign w:val="center"/>
          </w:tcPr>
          <w:p w14:paraId="42C57196">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position w:val="2"/>
                <w:sz w:val="21"/>
                <w:szCs w:val="21"/>
                <w:highlight w:val="none"/>
              </w:rPr>
              <w:t>月</w:t>
            </w:r>
            <w:r>
              <w:rPr>
                <w:color w:val="auto"/>
                <w:spacing w:val="2"/>
                <w:position w:val="2"/>
                <w:sz w:val="21"/>
                <w:szCs w:val="21"/>
                <w:highlight w:val="none"/>
              </w:rPr>
              <w:t>最</w:t>
            </w:r>
            <w:r>
              <w:rPr>
                <w:color w:val="auto"/>
                <w:position w:val="2"/>
                <w:sz w:val="21"/>
                <w:szCs w:val="21"/>
                <w:highlight w:val="none"/>
              </w:rPr>
              <w:t>大</w:t>
            </w:r>
            <w:r>
              <w:rPr>
                <w:color w:val="auto"/>
                <w:spacing w:val="-49"/>
                <w:position w:val="2"/>
                <w:sz w:val="21"/>
                <w:szCs w:val="21"/>
                <w:highlight w:val="none"/>
              </w:rPr>
              <w:t xml:space="preserve"> </w:t>
            </w:r>
            <w:r>
              <w:rPr>
                <w:color w:val="auto"/>
                <w:spacing w:val="-1"/>
                <w:position w:val="2"/>
                <w:sz w:val="21"/>
                <w:szCs w:val="21"/>
                <w:highlight w:val="none"/>
              </w:rPr>
              <w:t>H</w:t>
            </w:r>
            <w:r>
              <w:rPr>
                <w:color w:val="auto"/>
                <w:sz w:val="13"/>
                <w:szCs w:val="13"/>
                <w:highlight w:val="none"/>
              </w:rPr>
              <w:t>1</w:t>
            </w:r>
            <w:r>
              <w:rPr>
                <w:color w:val="auto"/>
                <w:spacing w:val="-1"/>
                <w:sz w:val="13"/>
                <w:szCs w:val="13"/>
                <w:highlight w:val="none"/>
              </w:rPr>
              <w:t>/</w:t>
            </w:r>
            <w:r>
              <w:rPr>
                <w:color w:val="auto"/>
                <w:sz w:val="13"/>
                <w:szCs w:val="13"/>
                <w:highlight w:val="none"/>
              </w:rPr>
              <w:t>3</w:t>
            </w:r>
            <w:r>
              <w:rPr>
                <w:color w:val="auto"/>
                <w:spacing w:val="-4"/>
                <w:sz w:val="13"/>
                <w:szCs w:val="13"/>
                <w:highlight w:val="none"/>
              </w:rPr>
              <w:t>(</w:t>
            </w:r>
            <w:r>
              <w:rPr>
                <w:color w:val="auto"/>
                <w:spacing w:val="1"/>
                <w:position w:val="2"/>
                <w:sz w:val="21"/>
                <w:szCs w:val="21"/>
                <w:highlight w:val="none"/>
              </w:rPr>
              <w:t>m</w:t>
            </w:r>
            <w:r>
              <w:rPr>
                <w:color w:val="auto"/>
                <w:position w:val="2"/>
                <w:sz w:val="21"/>
                <w:szCs w:val="21"/>
                <w:highlight w:val="none"/>
              </w:rPr>
              <w:t>)</w:t>
            </w:r>
          </w:p>
        </w:tc>
        <w:tc>
          <w:tcPr>
            <w:tcW w:w="327" w:type="pct"/>
            <w:tcBorders>
              <w:tl2br w:val="nil"/>
              <w:tr2bl w:val="nil"/>
            </w:tcBorders>
            <w:vAlign w:val="center"/>
          </w:tcPr>
          <w:p w14:paraId="2BA3635B">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.6</w:t>
            </w:r>
          </w:p>
        </w:tc>
        <w:tc>
          <w:tcPr>
            <w:tcW w:w="327" w:type="pct"/>
            <w:tcBorders>
              <w:tl2br w:val="nil"/>
              <w:tr2bl w:val="nil"/>
            </w:tcBorders>
            <w:vAlign w:val="center"/>
          </w:tcPr>
          <w:p w14:paraId="3627680F">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.0</w:t>
            </w:r>
          </w:p>
        </w:tc>
        <w:tc>
          <w:tcPr>
            <w:tcW w:w="327" w:type="pct"/>
            <w:tcBorders>
              <w:tl2br w:val="nil"/>
              <w:tr2bl w:val="nil"/>
            </w:tcBorders>
            <w:vAlign w:val="center"/>
          </w:tcPr>
          <w:p w14:paraId="20CFE4AA">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.3</w:t>
            </w:r>
          </w:p>
        </w:tc>
        <w:tc>
          <w:tcPr>
            <w:tcW w:w="327" w:type="pct"/>
            <w:tcBorders>
              <w:tl2br w:val="nil"/>
              <w:tr2bl w:val="nil"/>
            </w:tcBorders>
            <w:vAlign w:val="center"/>
          </w:tcPr>
          <w:p w14:paraId="6283FFBC">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.3</w:t>
            </w:r>
          </w:p>
        </w:tc>
        <w:tc>
          <w:tcPr>
            <w:tcW w:w="373" w:type="pct"/>
            <w:tcBorders>
              <w:tl2br w:val="nil"/>
              <w:tr2bl w:val="nil"/>
            </w:tcBorders>
            <w:vAlign w:val="center"/>
          </w:tcPr>
          <w:p w14:paraId="7CF6AF0D">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.1</w:t>
            </w:r>
          </w:p>
        </w:tc>
        <w:tc>
          <w:tcPr>
            <w:tcW w:w="373" w:type="pct"/>
            <w:tcBorders>
              <w:tl2br w:val="nil"/>
              <w:tr2bl w:val="nil"/>
            </w:tcBorders>
            <w:vAlign w:val="center"/>
          </w:tcPr>
          <w:p w14:paraId="1EA68B2C">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.9</w:t>
            </w:r>
          </w:p>
        </w:tc>
        <w:tc>
          <w:tcPr>
            <w:tcW w:w="373" w:type="pct"/>
            <w:tcBorders>
              <w:tl2br w:val="nil"/>
              <w:tr2bl w:val="nil"/>
            </w:tcBorders>
            <w:vAlign w:val="center"/>
          </w:tcPr>
          <w:p w14:paraId="7635DDCA">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.1</w:t>
            </w:r>
          </w:p>
        </w:tc>
        <w:tc>
          <w:tcPr>
            <w:tcW w:w="327" w:type="pct"/>
            <w:tcBorders>
              <w:tl2br w:val="nil"/>
              <w:tr2bl w:val="nil"/>
            </w:tcBorders>
            <w:vAlign w:val="center"/>
          </w:tcPr>
          <w:p w14:paraId="0B8A812D">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.9</w:t>
            </w:r>
          </w:p>
        </w:tc>
        <w:tc>
          <w:tcPr>
            <w:tcW w:w="327" w:type="pct"/>
            <w:tcBorders>
              <w:tl2br w:val="nil"/>
              <w:tr2bl w:val="nil"/>
            </w:tcBorders>
            <w:vAlign w:val="center"/>
          </w:tcPr>
          <w:p w14:paraId="5B8A5950">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.8</w:t>
            </w:r>
          </w:p>
        </w:tc>
        <w:tc>
          <w:tcPr>
            <w:tcW w:w="327" w:type="pct"/>
            <w:tcBorders>
              <w:tl2br w:val="nil"/>
              <w:tr2bl w:val="nil"/>
            </w:tcBorders>
            <w:vAlign w:val="center"/>
          </w:tcPr>
          <w:p w14:paraId="65913437">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.2</w:t>
            </w:r>
          </w:p>
        </w:tc>
        <w:tc>
          <w:tcPr>
            <w:tcW w:w="327" w:type="pct"/>
            <w:tcBorders>
              <w:tl2br w:val="nil"/>
              <w:tr2bl w:val="nil"/>
            </w:tcBorders>
            <w:vAlign w:val="center"/>
          </w:tcPr>
          <w:p w14:paraId="0E8D203D">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.8</w:t>
            </w:r>
          </w:p>
        </w:tc>
        <w:tc>
          <w:tcPr>
            <w:tcW w:w="327" w:type="pct"/>
            <w:tcBorders>
              <w:tl2br w:val="nil"/>
              <w:tr2bl w:val="nil"/>
            </w:tcBorders>
            <w:vAlign w:val="center"/>
          </w:tcPr>
          <w:p w14:paraId="571A7A1C">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1</w:t>
            </w:r>
            <w:r>
              <w:rPr>
                <w:color w:val="auto"/>
                <w:sz w:val="21"/>
                <w:szCs w:val="21"/>
                <w:highlight w:val="none"/>
              </w:rPr>
              <w:t>.2</w:t>
            </w:r>
          </w:p>
        </w:tc>
      </w:tr>
      <w:tr w14:paraId="62DFB9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pct"/>
            <w:tcBorders>
              <w:tl2br w:val="nil"/>
              <w:tr2bl w:val="nil"/>
            </w:tcBorders>
            <w:vAlign w:val="center"/>
          </w:tcPr>
          <w:p w14:paraId="6CA0793E">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position w:val="2"/>
                <w:sz w:val="21"/>
                <w:szCs w:val="21"/>
                <w:highlight w:val="none"/>
              </w:rPr>
              <w:t>月</w:t>
            </w:r>
            <w:r>
              <w:rPr>
                <w:color w:val="auto"/>
                <w:spacing w:val="2"/>
                <w:position w:val="2"/>
                <w:sz w:val="21"/>
                <w:szCs w:val="21"/>
                <w:highlight w:val="none"/>
              </w:rPr>
              <w:t>平</w:t>
            </w:r>
            <w:r>
              <w:rPr>
                <w:color w:val="auto"/>
                <w:position w:val="2"/>
                <w:sz w:val="21"/>
                <w:szCs w:val="21"/>
                <w:highlight w:val="none"/>
              </w:rPr>
              <w:t>均</w:t>
            </w:r>
            <w:r>
              <w:rPr>
                <w:color w:val="auto"/>
                <w:spacing w:val="-55"/>
                <w:position w:val="2"/>
                <w:sz w:val="21"/>
                <w:szCs w:val="21"/>
                <w:highlight w:val="none"/>
              </w:rPr>
              <w:t xml:space="preserve"> </w:t>
            </w:r>
            <w:r>
              <w:rPr>
                <w:color w:val="auto"/>
                <w:spacing w:val="1"/>
                <w:position w:val="2"/>
                <w:sz w:val="21"/>
                <w:szCs w:val="21"/>
                <w:highlight w:val="none"/>
              </w:rPr>
              <w:t>H</w:t>
            </w:r>
            <w:r>
              <w:rPr>
                <w:color w:val="auto"/>
                <w:sz w:val="13"/>
                <w:szCs w:val="13"/>
                <w:highlight w:val="none"/>
              </w:rPr>
              <w:t>1</w:t>
            </w:r>
            <w:r>
              <w:rPr>
                <w:color w:val="auto"/>
                <w:spacing w:val="-1"/>
                <w:sz w:val="13"/>
                <w:szCs w:val="13"/>
                <w:highlight w:val="none"/>
              </w:rPr>
              <w:t>/</w:t>
            </w:r>
            <w:r>
              <w:rPr>
                <w:color w:val="auto"/>
                <w:spacing w:val="-3"/>
                <w:sz w:val="13"/>
                <w:szCs w:val="13"/>
                <w:highlight w:val="none"/>
              </w:rPr>
              <w:t>3</w:t>
            </w:r>
            <w:r>
              <w:rPr>
                <w:color w:val="auto"/>
                <w:spacing w:val="-1"/>
                <w:position w:val="2"/>
                <w:sz w:val="21"/>
                <w:szCs w:val="21"/>
                <w:highlight w:val="none"/>
              </w:rPr>
              <w:t>(</w:t>
            </w:r>
            <w:r>
              <w:rPr>
                <w:color w:val="auto"/>
                <w:spacing w:val="1"/>
                <w:position w:val="2"/>
                <w:sz w:val="21"/>
                <w:szCs w:val="21"/>
                <w:highlight w:val="none"/>
              </w:rPr>
              <w:t>m</w:t>
            </w:r>
            <w:r>
              <w:rPr>
                <w:color w:val="auto"/>
                <w:position w:val="2"/>
                <w:sz w:val="21"/>
                <w:szCs w:val="21"/>
                <w:highlight w:val="none"/>
              </w:rPr>
              <w:t>)</w:t>
            </w:r>
          </w:p>
        </w:tc>
        <w:tc>
          <w:tcPr>
            <w:tcW w:w="327" w:type="pct"/>
            <w:tcBorders>
              <w:tl2br w:val="nil"/>
              <w:tr2bl w:val="nil"/>
            </w:tcBorders>
            <w:vAlign w:val="center"/>
          </w:tcPr>
          <w:p w14:paraId="63584079">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.6</w:t>
            </w:r>
          </w:p>
        </w:tc>
        <w:tc>
          <w:tcPr>
            <w:tcW w:w="327" w:type="pct"/>
            <w:tcBorders>
              <w:tl2br w:val="nil"/>
              <w:tr2bl w:val="nil"/>
            </w:tcBorders>
            <w:vAlign w:val="center"/>
          </w:tcPr>
          <w:p w14:paraId="4BAE5306">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.7</w:t>
            </w:r>
          </w:p>
        </w:tc>
        <w:tc>
          <w:tcPr>
            <w:tcW w:w="327" w:type="pct"/>
            <w:tcBorders>
              <w:tl2br w:val="nil"/>
              <w:tr2bl w:val="nil"/>
            </w:tcBorders>
            <w:vAlign w:val="center"/>
          </w:tcPr>
          <w:p w14:paraId="79B3EAB0">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.5</w:t>
            </w:r>
          </w:p>
        </w:tc>
        <w:tc>
          <w:tcPr>
            <w:tcW w:w="327" w:type="pct"/>
            <w:tcBorders>
              <w:tl2br w:val="nil"/>
              <w:tr2bl w:val="nil"/>
            </w:tcBorders>
            <w:vAlign w:val="center"/>
          </w:tcPr>
          <w:p w14:paraId="063F5628">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.5</w:t>
            </w:r>
          </w:p>
        </w:tc>
        <w:tc>
          <w:tcPr>
            <w:tcW w:w="373" w:type="pct"/>
            <w:tcBorders>
              <w:tl2br w:val="nil"/>
              <w:tr2bl w:val="nil"/>
            </w:tcBorders>
            <w:vAlign w:val="center"/>
          </w:tcPr>
          <w:p w14:paraId="46D8E584">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.5</w:t>
            </w:r>
          </w:p>
        </w:tc>
        <w:tc>
          <w:tcPr>
            <w:tcW w:w="373" w:type="pct"/>
            <w:tcBorders>
              <w:tl2br w:val="nil"/>
              <w:tr2bl w:val="nil"/>
            </w:tcBorders>
            <w:vAlign w:val="center"/>
          </w:tcPr>
          <w:p w14:paraId="09E9E082">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.4</w:t>
            </w:r>
          </w:p>
        </w:tc>
        <w:tc>
          <w:tcPr>
            <w:tcW w:w="373" w:type="pct"/>
            <w:tcBorders>
              <w:tl2br w:val="nil"/>
              <w:tr2bl w:val="nil"/>
            </w:tcBorders>
            <w:vAlign w:val="center"/>
          </w:tcPr>
          <w:p w14:paraId="6C568FC0">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.4</w:t>
            </w:r>
          </w:p>
        </w:tc>
        <w:tc>
          <w:tcPr>
            <w:tcW w:w="327" w:type="pct"/>
            <w:tcBorders>
              <w:tl2br w:val="nil"/>
              <w:tr2bl w:val="nil"/>
            </w:tcBorders>
            <w:vAlign w:val="center"/>
          </w:tcPr>
          <w:p w14:paraId="4FD59F40">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.6</w:t>
            </w:r>
          </w:p>
        </w:tc>
        <w:tc>
          <w:tcPr>
            <w:tcW w:w="327" w:type="pct"/>
            <w:tcBorders>
              <w:tl2br w:val="nil"/>
              <w:tr2bl w:val="nil"/>
            </w:tcBorders>
            <w:vAlign w:val="center"/>
          </w:tcPr>
          <w:p w14:paraId="514B46AC">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.4</w:t>
            </w:r>
          </w:p>
        </w:tc>
        <w:tc>
          <w:tcPr>
            <w:tcW w:w="327" w:type="pct"/>
            <w:tcBorders>
              <w:tl2br w:val="nil"/>
              <w:tr2bl w:val="nil"/>
            </w:tcBorders>
            <w:vAlign w:val="center"/>
          </w:tcPr>
          <w:p w14:paraId="4FE307F4">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.4</w:t>
            </w:r>
          </w:p>
        </w:tc>
        <w:tc>
          <w:tcPr>
            <w:tcW w:w="327" w:type="pct"/>
            <w:tcBorders>
              <w:tl2br w:val="nil"/>
              <w:tr2bl w:val="nil"/>
            </w:tcBorders>
            <w:vAlign w:val="center"/>
          </w:tcPr>
          <w:p w14:paraId="53B502D1">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.2</w:t>
            </w:r>
          </w:p>
        </w:tc>
        <w:tc>
          <w:tcPr>
            <w:tcW w:w="327" w:type="pct"/>
            <w:tcBorders>
              <w:tl2br w:val="nil"/>
              <w:tr2bl w:val="nil"/>
            </w:tcBorders>
            <w:vAlign w:val="center"/>
          </w:tcPr>
          <w:p w14:paraId="6239EA55">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0</w:t>
            </w:r>
            <w:r>
              <w:rPr>
                <w:color w:val="auto"/>
                <w:sz w:val="21"/>
                <w:szCs w:val="21"/>
                <w:highlight w:val="none"/>
              </w:rPr>
              <w:t>.3</w:t>
            </w:r>
          </w:p>
        </w:tc>
      </w:tr>
      <w:tr w14:paraId="4C4673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pct"/>
            <w:tcBorders>
              <w:tl2br w:val="nil"/>
              <w:tr2bl w:val="nil"/>
            </w:tcBorders>
            <w:vAlign w:val="center"/>
          </w:tcPr>
          <w:p w14:paraId="3BEEE318">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position w:val="2"/>
                <w:sz w:val="21"/>
                <w:szCs w:val="21"/>
                <w:highlight w:val="none"/>
              </w:rPr>
              <w:t>T</w:t>
            </w:r>
            <w:r>
              <w:rPr>
                <w:color w:val="auto"/>
                <w:sz w:val="13"/>
                <w:szCs w:val="13"/>
                <w:highlight w:val="none"/>
              </w:rPr>
              <w:t>1</w:t>
            </w:r>
            <w:r>
              <w:rPr>
                <w:color w:val="auto"/>
                <w:spacing w:val="-1"/>
                <w:sz w:val="13"/>
                <w:szCs w:val="13"/>
                <w:highlight w:val="none"/>
              </w:rPr>
              <w:t>/</w:t>
            </w:r>
            <w:r>
              <w:rPr>
                <w:color w:val="auto"/>
                <w:sz w:val="13"/>
                <w:szCs w:val="13"/>
                <w:highlight w:val="none"/>
              </w:rPr>
              <w:t>10</w:t>
            </w:r>
            <w:r>
              <w:rPr>
                <w:color w:val="auto"/>
                <w:spacing w:val="3"/>
                <w:sz w:val="13"/>
                <w:szCs w:val="13"/>
                <w:highlight w:val="none"/>
              </w:rPr>
              <w:t xml:space="preserve"> </w:t>
            </w:r>
            <w:r>
              <w:rPr>
                <w:color w:val="auto"/>
                <w:spacing w:val="-1"/>
                <w:position w:val="2"/>
                <w:sz w:val="21"/>
                <w:szCs w:val="21"/>
                <w:highlight w:val="none"/>
              </w:rPr>
              <w:t>月</w:t>
            </w:r>
            <w:r>
              <w:rPr>
                <w:color w:val="auto"/>
                <w:spacing w:val="2"/>
                <w:position w:val="2"/>
                <w:sz w:val="21"/>
                <w:szCs w:val="21"/>
                <w:highlight w:val="none"/>
              </w:rPr>
              <w:t>最大</w:t>
            </w:r>
            <w:r>
              <w:rPr>
                <w:color w:val="auto"/>
                <w:spacing w:val="-1"/>
                <w:position w:val="2"/>
                <w:sz w:val="21"/>
                <w:szCs w:val="21"/>
                <w:highlight w:val="none"/>
              </w:rPr>
              <w:t>(s</w:t>
            </w:r>
            <w:r>
              <w:rPr>
                <w:color w:val="auto"/>
                <w:position w:val="2"/>
                <w:sz w:val="21"/>
                <w:szCs w:val="21"/>
                <w:highlight w:val="none"/>
              </w:rPr>
              <w:t>)</w:t>
            </w:r>
          </w:p>
        </w:tc>
        <w:tc>
          <w:tcPr>
            <w:tcW w:w="327" w:type="pct"/>
            <w:tcBorders>
              <w:tl2br w:val="nil"/>
              <w:tr2bl w:val="nil"/>
            </w:tcBorders>
            <w:vAlign w:val="center"/>
          </w:tcPr>
          <w:p w14:paraId="568AF4CC">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6</w:t>
            </w:r>
            <w:r>
              <w:rPr>
                <w:color w:val="auto"/>
                <w:sz w:val="21"/>
                <w:szCs w:val="21"/>
                <w:highlight w:val="none"/>
              </w:rPr>
              <w:t>.0</w:t>
            </w:r>
          </w:p>
        </w:tc>
        <w:tc>
          <w:tcPr>
            <w:tcW w:w="327" w:type="pct"/>
            <w:tcBorders>
              <w:tl2br w:val="nil"/>
              <w:tr2bl w:val="nil"/>
            </w:tcBorders>
            <w:vAlign w:val="center"/>
          </w:tcPr>
          <w:p w14:paraId="2BDE1139">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6</w:t>
            </w:r>
            <w:r>
              <w:rPr>
                <w:color w:val="auto"/>
                <w:sz w:val="21"/>
                <w:szCs w:val="21"/>
                <w:highlight w:val="none"/>
              </w:rPr>
              <w:t>.2</w:t>
            </w:r>
          </w:p>
        </w:tc>
        <w:tc>
          <w:tcPr>
            <w:tcW w:w="327" w:type="pct"/>
            <w:tcBorders>
              <w:tl2br w:val="nil"/>
              <w:tr2bl w:val="nil"/>
            </w:tcBorders>
            <w:vAlign w:val="center"/>
          </w:tcPr>
          <w:p w14:paraId="01478CC1">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5</w:t>
            </w:r>
            <w:r>
              <w:rPr>
                <w:color w:val="auto"/>
                <w:sz w:val="21"/>
                <w:szCs w:val="21"/>
                <w:highlight w:val="none"/>
              </w:rPr>
              <w:t>.6</w:t>
            </w:r>
          </w:p>
        </w:tc>
        <w:tc>
          <w:tcPr>
            <w:tcW w:w="327" w:type="pct"/>
            <w:tcBorders>
              <w:tl2br w:val="nil"/>
              <w:tr2bl w:val="nil"/>
            </w:tcBorders>
            <w:vAlign w:val="center"/>
          </w:tcPr>
          <w:p w14:paraId="30EF81CF">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5</w:t>
            </w:r>
            <w:r>
              <w:rPr>
                <w:color w:val="auto"/>
                <w:sz w:val="21"/>
                <w:szCs w:val="21"/>
                <w:highlight w:val="none"/>
              </w:rPr>
              <w:t>.7</w:t>
            </w:r>
          </w:p>
        </w:tc>
        <w:tc>
          <w:tcPr>
            <w:tcW w:w="373" w:type="pct"/>
            <w:tcBorders>
              <w:tl2br w:val="nil"/>
              <w:tr2bl w:val="nil"/>
            </w:tcBorders>
            <w:vAlign w:val="center"/>
          </w:tcPr>
          <w:p w14:paraId="6F53B6CB">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4</w:t>
            </w:r>
            <w:r>
              <w:rPr>
                <w:color w:val="auto"/>
                <w:sz w:val="21"/>
                <w:szCs w:val="21"/>
                <w:highlight w:val="none"/>
              </w:rPr>
              <w:t>.6</w:t>
            </w:r>
          </w:p>
        </w:tc>
        <w:tc>
          <w:tcPr>
            <w:tcW w:w="373" w:type="pct"/>
            <w:tcBorders>
              <w:tl2br w:val="nil"/>
              <w:tr2bl w:val="nil"/>
            </w:tcBorders>
            <w:vAlign w:val="center"/>
          </w:tcPr>
          <w:p w14:paraId="799871DB">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4</w:t>
            </w:r>
            <w:r>
              <w:rPr>
                <w:color w:val="auto"/>
                <w:sz w:val="21"/>
                <w:szCs w:val="21"/>
                <w:highlight w:val="none"/>
              </w:rPr>
              <w:t>.7</w:t>
            </w:r>
          </w:p>
        </w:tc>
        <w:tc>
          <w:tcPr>
            <w:tcW w:w="373" w:type="pct"/>
            <w:tcBorders>
              <w:tl2br w:val="nil"/>
              <w:tr2bl w:val="nil"/>
            </w:tcBorders>
            <w:vAlign w:val="center"/>
          </w:tcPr>
          <w:p w14:paraId="6854DA90">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5</w:t>
            </w:r>
            <w:r>
              <w:rPr>
                <w:color w:val="auto"/>
                <w:sz w:val="21"/>
                <w:szCs w:val="21"/>
                <w:highlight w:val="none"/>
              </w:rPr>
              <w:t>.1</w:t>
            </w:r>
          </w:p>
        </w:tc>
        <w:tc>
          <w:tcPr>
            <w:tcW w:w="327" w:type="pct"/>
            <w:tcBorders>
              <w:tl2br w:val="nil"/>
              <w:tr2bl w:val="nil"/>
            </w:tcBorders>
            <w:vAlign w:val="center"/>
          </w:tcPr>
          <w:p w14:paraId="1A51B7D5">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4</w:t>
            </w:r>
            <w:r>
              <w:rPr>
                <w:color w:val="auto"/>
                <w:sz w:val="21"/>
                <w:szCs w:val="21"/>
                <w:highlight w:val="none"/>
              </w:rPr>
              <w:t>.6</w:t>
            </w:r>
          </w:p>
        </w:tc>
        <w:tc>
          <w:tcPr>
            <w:tcW w:w="327" w:type="pct"/>
            <w:tcBorders>
              <w:tl2br w:val="nil"/>
              <w:tr2bl w:val="nil"/>
            </w:tcBorders>
            <w:vAlign w:val="center"/>
          </w:tcPr>
          <w:p w14:paraId="4C0620F9">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4</w:t>
            </w:r>
            <w:r>
              <w:rPr>
                <w:color w:val="auto"/>
                <w:sz w:val="21"/>
                <w:szCs w:val="21"/>
                <w:highlight w:val="none"/>
              </w:rPr>
              <w:t>.9</w:t>
            </w:r>
          </w:p>
        </w:tc>
        <w:tc>
          <w:tcPr>
            <w:tcW w:w="327" w:type="pct"/>
            <w:tcBorders>
              <w:tl2br w:val="nil"/>
              <w:tr2bl w:val="nil"/>
            </w:tcBorders>
            <w:vAlign w:val="center"/>
          </w:tcPr>
          <w:p w14:paraId="222BCBF2">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7</w:t>
            </w:r>
            <w:r>
              <w:rPr>
                <w:color w:val="auto"/>
                <w:sz w:val="21"/>
                <w:szCs w:val="21"/>
                <w:highlight w:val="none"/>
              </w:rPr>
              <w:t>.5</w:t>
            </w:r>
          </w:p>
        </w:tc>
        <w:tc>
          <w:tcPr>
            <w:tcW w:w="327" w:type="pct"/>
            <w:tcBorders>
              <w:tl2br w:val="nil"/>
              <w:tr2bl w:val="nil"/>
            </w:tcBorders>
            <w:vAlign w:val="center"/>
          </w:tcPr>
          <w:p w14:paraId="053BD471">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9</w:t>
            </w:r>
            <w:r>
              <w:rPr>
                <w:color w:val="auto"/>
                <w:sz w:val="21"/>
                <w:szCs w:val="21"/>
                <w:highlight w:val="none"/>
              </w:rPr>
              <w:t>.8</w:t>
            </w:r>
          </w:p>
        </w:tc>
        <w:tc>
          <w:tcPr>
            <w:tcW w:w="327" w:type="pct"/>
            <w:tcBorders>
              <w:tl2br w:val="nil"/>
              <w:tr2bl w:val="nil"/>
            </w:tcBorders>
            <w:vAlign w:val="center"/>
          </w:tcPr>
          <w:p w14:paraId="63519823">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6</w:t>
            </w:r>
            <w:r>
              <w:rPr>
                <w:color w:val="auto"/>
                <w:sz w:val="21"/>
                <w:szCs w:val="21"/>
                <w:highlight w:val="none"/>
              </w:rPr>
              <w:t>.5</w:t>
            </w:r>
          </w:p>
        </w:tc>
      </w:tr>
      <w:tr w14:paraId="36A650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pct"/>
            <w:tcBorders>
              <w:tl2br w:val="nil"/>
              <w:tr2bl w:val="nil"/>
            </w:tcBorders>
            <w:vAlign w:val="center"/>
          </w:tcPr>
          <w:p w14:paraId="45CB8CDD">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position w:val="2"/>
                <w:sz w:val="21"/>
                <w:szCs w:val="21"/>
                <w:highlight w:val="none"/>
              </w:rPr>
              <w:t>月</w:t>
            </w:r>
            <w:r>
              <w:rPr>
                <w:color w:val="auto"/>
                <w:spacing w:val="2"/>
                <w:position w:val="2"/>
                <w:sz w:val="21"/>
                <w:szCs w:val="21"/>
                <w:highlight w:val="none"/>
              </w:rPr>
              <w:t>平</w:t>
            </w:r>
            <w:r>
              <w:rPr>
                <w:color w:val="auto"/>
                <w:position w:val="2"/>
                <w:sz w:val="21"/>
                <w:szCs w:val="21"/>
                <w:highlight w:val="none"/>
              </w:rPr>
              <w:t>均</w:t>
            </w:r>
            <w:r>
              <w:rPr>
                <w:color w:val="auto"/>
                <w:spacing w:val="-51"/>
                <w:position w:val="2"/>
                <w:sz w:val="21"/>
                <w:szCs w:val="21"/>
                <w:highlight w:val="none"/>
              </w:rPr>
              <w:t xml:space="preserve"> </w:t>
            </w:r>
            <w:r>
              <w:rPr>
                <w:color w:val="auto"/>
                <w:spacing w:val="1"/>
                <w:position w:val="2"/>
                <w:sz w:val="21"/>
                <w:szCs w:val="21"/>
                <w:highlight w:val="none"/>
              </w:rPr>
              <w:t>T</w:t>
            </w:r>
            <w:r>
              <w:rPr>
                <w:color w:val="auto"/>
                <w:sz w:val="13"/>
                <w:szCs w:val="13"/>
                <w:highlight w:val="none"/>
              </w:rPr>
              <w:t>1</w:t>
            </w:r>
            <w:r>
              <w:rPr>
                <w:color w:val="auto"/>
                <w:spacing w:val="-1"/>
                <w:sz w:val="13"/>
                <w:szCs w:val="13"/>
                <w:highlight w:val="none"/>
              </w:rPr>
              <w:t>/</w:t>
            </w:r>
            <w:r>
              <w:rPr>
                <w:color w:val="auto"/>
                <w:spacing w:val="-3"/>
                <w:sz w:val="13"/>
                <w:szCs w:val="13"/>
                <w:highlight w:val="none"/>
              </w:rPr>
              <w:t>1</w:t>
            </w:r>
            <w:r>
              <w:rPr>
                <w:color w:val="auto"/>
                <w:sz w:val="13"/>
                <w:szCs w:val="13"/>
                <w:highlight w:val="none"/>
              </w:rPr>
              <w:t>0</w:t>
            </w:r>
            <w:r>
              <w:rPr>
                <w:color w:val="auto"/>
                <w:spacing w:val="-1"/>
                <w:position w:val="2"/>
                <w:sz w:val="21"/>
                <w:szCs w:val="21"/>
                <w:highlight w:val="none"/>
              </w:rPr>
              <w:t>(s</w:t>
            </w:r>
            <w:r>
              <w:rPr>
                <w:color w:val="auto"/>
                <w:position w:val="2"/>
                <w:sz w:val="21"/>
                <w:szCs w:val="21"/>
                <w:highlight w:val="none"/>
              </w:rPr>
              <w:t>)</w:t>
            </w:r>
          </w:p>
        </w:tc>
        <w:tc>
          <w:tcPr>
            <w:tcW w:w="327" w:type="pct"/>
            <w:tcBorders>
              <w:tl2br w:val="nil"/>
              <w:tr2bl w:val="nil"/>
            </w:tcBorders>
            <w:vAlign w:val="center"/>
          </w:tcPr>
          <w:p w14:paraId="2CE7CD4F">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.9</w:t>
            </w:r>
          </w:p>
        </w:tc>
        <w:tc>
          <w:tcPr>
            <w:tcW w:w="327" w:type="pct"/>
            <w:tcBorders>
              <w:tl2br w:val="nil"/>
              <w:tr2bl w:val="nil"/>
            </w:tcBorders>
            <w:vAlign w:val="center"/>
          </w:tcPr>
          <w:p w14:paraId="53BC0D11">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4</w:t>
            </w:r>
            <w:r>
              <w:rPr>
                <w:color w:val="auto"/>
                <w:sz w:val="21"/>
                <w:szCs w:val="21"/>
                <w:highlight w:val="none"/>
              </w:rPr>
              <w:t>.0</w:t>
            </w:r>
          </w:p>
        </w:tc>
        <w:tc>
          <w:tcPr>
            <w:tcW w:w="327" w:type="pct"/>
            <w:tcBorders>
              <w:tl2br w:val="nil"/>
              <w:tr2bl w:val="nil"/>
            </w:tcBorders>
            <w:vAlign w:val="center"/>
          </w:tcPr>
          <w:p w14:paraId="704E15F2">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.5</w:t>
            </w:r>
          </w:p>
        </w:tc>
        <w:tc>
          <w:tcPr>
            <w:tcW w:w="327" w:type="pct"/>
            <w:tcBorders>
              <w:tl2br w:val="nil"/>
              <w:tr2bl w:val="nil"/>
            </w:tcBorders>
            <w:vAlign w:val="center"/>
          </w:tcPr>
          <w:p w14:paraId="7EACDDC5">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.4</w:t>
            </w:r>
          </w:p>
        </w:tc>
        <w:tc>
          <w:tcPr>
            <w:tcW w:w="373" w:type="pct"/>
            <w:tcBorders>
              <w:tl2br w:val="nil"/>
              <w:tr2bl w:val="nil"/>
            </w:tcBorders>
            <w:vAlign w:val="center"/>
          </w:tcPr>
          <w:p w14:paraId="48C4CE52">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.4</w:t>
            </w:r>
          </w:p>
        </w:tc>
        <w:tc>
          <w:tcPr>
            <w:tcW w:w="373" w:type="pct"/>
            <w:tcBorders>
              <w:tl2br w:val="nil"/>
              <w:tr2bl w:val="nil"/>
            </w:tcBorders>
            <w:vAlign w:val="center"/>
          </w:tcPr>
          <w:p w14:paraId="412BEE17">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.0</w:t>
            </w:r>
          </w:p>
        </w:tc>
        <w:tc>
          <w:tcPr>
            <w:tcW w:w="373" w:type="pct"/>
            <w:tcBorders>
              <w:tl2br w:val="nil"/>
              <w:tr2bl w:val="nil"/>
            </w:tcBorders>
            <w:vAlign w:val="center"/>
          </w:tcPr>
          <w:p w14:paraId="4D59BB13">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.1</w:t>
            </w:r>
          </w:p>
        </w:tc>
        <w:tc>
          <w:tcPr>
            <w:tcW w:w="327" w:type="pct"/>
            <w:tcBorders>
              <w:tl2br w:val="nil"/>
              <w:tr2bl w:val="nil"/>
            </w:tcBorders>
            <w:vAlign w:val="center"/>
          </w:tcPr>
          <w:p w14:paraId="066AB620">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.7</w:t>
            </w:r>
          </w:p>
        </w:tc>
        <w:tc>
          <w:tcPr>
            <w:tcW w:w="327" w:type="pct"/>
            <w:tcBorders>
              <w:tl2br w:val="nil"/>
              <w:tr2bl w:val="nil"/>
            </w:tcBorders>
            <w:vAlign w:val="center"/>
          </w:tcPr>
          <w:p w14:paraId="46D9A485">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.1</w:t>
            </w:r>
          </w:p>
        </w:tc>
        <w:tc>
          <w:tcPr>
            <w:tcW w:w="327" w:type="pct"/>
            <w:tcBorders>
              <w:tl2br w:val="nil"/>
              <w:tr2bl w:val="nil"/>
            </w:tcBorders>
            <w:vAlign w:val="center"/>
          </w:tcPr>
          <w:p w14:paraId="26895351">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.2</w:t>
            </w:r>
          </w:p>
        </w:tc>
        <w:tc>
          <w:tcPr>
            <w:tcW w:w="327" w:type="pct"/>
            <w:tcBorders>
              <w:tl2br w:val="nil"/>
              <w:tr2bl w:val="nil"/>
            </w:tcBorders>
            <w:vAlign w:val="center"/>
          </w:tcPr>
          <w:p w14:paraId="7D4E0B76">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.0</w:t>
            </w:r>
          </w:p>
        </w:tc>
        <w:tc>
          <w:tcPr>
            <w:tcW w:w="327" w:type="pct"/>
            <w:tcBorders>
              <w:tl2br w:val="nil"/>
              <w:tr2bl w:val="nil"/>
            </w:tcBorders>
            <w:vAlign w:val="center"/>
          </w:tcPr>
          <w:p w14:paraId="361AA12F">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.2</w:t>
            </w:r>
          </w:p>
        </w:tc>
      </w:tr>
      <w:tr w14:paraId="715727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pct"/>
            <w:tcBorders>
              <w:tl2br w:val="nil"/>
              <w:tr2bl w:val="nil"/>
            </w:tcBorders>
            <w:vAlign w:val="center"/>
          </w:tcPr>
          <w:p w14:paraId="256C3DAF">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position w:val="2"/>
                <w:sz w:val="21"/>
                <w:szCs w:val="21"/>
                <w:highlight w:val="none"/>
              </w:rPr>
              <w:t>月</w:t>
            </w:r>
            <w:r>
              <w:rPr>
                <w:color w:val="auto"/>
                <w:spacing w:val="2"/>
                <w:position w:val="2"/>
                <w:sz w:val="21"/>
                <w:szCs w:val="21"/>
                <w:highlight w:val="none"/>
              </w:rPr>
              <w:t>最</w:t>
            </w:r>
            <w:r>
              <w:rPr>
                <w:color w:val="auto"/>
                <w:position w:val="2"/>
                <w:sz w:val="21"/>
                <w:szCs w:val="21"/>
                <w:highlight w:val="none"/>
              </w:rPr>
              <w:t>大</w:t>
            </w:r>
            <w:r>
              <w:rPr>
                <w:color w:val="auto"/>
                <w:spacing w:val="-54"/>
                <w:position w:val="2"/>
                <w:sz w:val="21"/>
                <w:szCs w:val="21"/>
                <w:highlight w:val="none"/>
              </w:rPr>
              <w:t xml:space="preserve"> </w:t>
            </w:r>
            <w:r>
              <w:rPr>
                <w:color w:val="auto"/>
                <w:spacing w:val="1"/>
                <w:position w:val="2"/>
                <w:sz w:val="21"/>
                <w:szCs w:val="21"/>
                <w:highlight w:val="none"/>
              </w:rPr>
              <w:t>T</w:t>
            </w:r>
            <w:r>
              <w:rPr>
                <w:color w:val="auto"/>
                <w:sz w:val="13"/>
                <w:szCs w:val="13"/>
                <w:highlight w:val="none"/>
              </w:rPr>
              <w:t>1</w:t>
            </w:r>
            <w:r>
              <w:rPr>
                <w:color w:val="auto"/>
                <w:spacing w:val="-1"/>
                <w:sz w:val="13"/>
                <w:szCs w:val="13"/>
                <w:highlight w:val="none"/>
              </w:rPr>
              <w:t>/</w:t>
            </w:r>
            <w:r>
              <w:rPr>
                <w:color w:val="auto"/>
                <w:spacing w:val="-3"/>
                <w:sz w:val="13"/>
                <w:szCs w:val="13"/>
                <w:highlight w:val="none"/>
              </w:rPr>
              <w:t>3</w:t>
            </w:r>
            <w:r>
              <w:rPr>
                <w:color w:val="auto"/>
                <w:spacing w:val="-1"/>
                <w:position w:val="2"/>
                <w:sz w:val="21"/>
                <w:szCs w:val="21"/>
                <w:highlight w:val="none"/>
              </w:rPr>
              <w:t>(s</w:t>
            </w:r>
            <w:r>
              <w:rPr>
                <w:color w:val="auto"/>
                <w:position w:val="2"/>
                <w:sz w:val="21"/>
                <w:szCs w:val="21"/>
                <w:highlight w:val="none"/>
              </w:rPr>
              <w:t>)</w:t>
            </w:r>
          </w:p>
        </w:tc>
        <w:tc>
          <w:tcPr>
            <w:tcW w:w="327" w:type="pct"/>
            <w:tcBorders>
              <w:tl2br w:val="nil"/>
              <w:tr2bl w:val="nil"/>
            </w:tcBorders>
            <w:vAlign w:val="center"/>
          </w:tcPr>
          <w:p w14:paraId="448738F7">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5</w:t>
            </w:r>
            <w:r>
              <w:rPr>
                <w:color w:val="auto"/>
                <w:sz w:val="21"/>
                <w:szCs w:val="21"/>
                <w:highlight w:val="none"/>
              </w:rPr>
              <w:t>.3</w:t>
            </w:r>
          </w:p>
        </w:tc>
        <w:tc>
          <w:tcPr>
            <w:tcW w:w="327" w:type="pct"/>
            <w:tcBorders>
              <w:tl2br w:val="nil"/>
              <w:tr2bl w:val="nil"/>
            </w:tcBorders>
            <w:vAlign w:val="center"/>
          </w:tcPr>
          <w:p w14:paraId="12A14622">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6</w:t>
            </w:r>
            <w:r>
              <w:rPr>
                <w:color w:val="auto"/>
                <w:sz w:val="21"/>
                <w:szCs w:val="21"/>
                <w:highlight w:val="none"/>
              </w:rPr>
              <w:t>.0</w:t>
            </w:r>
          </w:p>
        </w:tc>
        <w:tc>
          <w:tcPr>
            <w:tcW w:w="327" w:type="pct"/>
            <w:tcBorders>
              <w:tl2br w:val="nil"/>
              <w:tr2bl w:val="nil"/>
            </w:tcBorders>
            <w:vAlign w:val="center"/>
          </w:tcPr>
          <w:p w14:paraId="500C3721">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5</w:t>
            </w:r>
            <w:r>
              <w:rPr>
                <w:color w:val="auto"/>
                <w:sz w:val="21"/>
                <w:szCs w:val="21"/>
                <w:highlight w:val="none"/>
              </w:rPr>
              <w:t>.3</w:t>
            </w:r>
          </w:p>
        </w:tc>
        <w:tc>
          <w:tcPr>
            <w:tcW w:w="327" w:type="pct"/>
            <w:tcBorders>
              <w:tl2br w:val="nil"/>
              <w:tr2bl w:val="nil"/>
            </w:tcBorders>
            <w:vAlign w:val="center"/>
          </w:tcPr>
          <w:p w14:paraId="7FABD057">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5</w:t>
            </w:r>
            <w:r>
              <w:rPr>
                <w:color w:val="auto"/>
                <w:sz w:val="21"/>
                <w:szCs w:val="21"/>
                <w:highlight w:val="none"/>
              </w:rPr>
              <w:t>.6</w:t>
            </w:r>
          </w:p>
        </w:tc>
        <w:tc>
          <w:tcPr>
            <w:tcW w:w="373" w:type="pct"/>
            <w:tcBorders>
              <w:tl2br w:val="nil"/>
              <w:tr2bl w:val="nil"/>
            </w:tcBorders>
            <w:vAlign w:val="center"/>
          </w:tcPr>
          <w:p w14:paraId="7D649442">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4</w:t>
            </w:r>
            <w:r>
              <w:rPr>
                <w:color w:val="auto"/>
                <w:sz w:val="21"/>
                <w:szCs w:val="21"/>
                <w:highlight w:val="none"/>
              </w:rPr>
              <w:t>.6</w:t>
            </w:r>
          </w:p>
        </w:tc>
        <w:tc>
          <w:tcPr>
            <w:tcW w:w="373" w:type="pct"/>
            <w:tcBorders>
              <w:tl2br w:val="nil"/>
              <w:tr2bl w:val="nil"/>
            </w:tcBorders>
            <w:vAlign w:val="center"/>
          </w:tcPr>
          <w:p w14:paraId="1698B585">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4</w:t>
            </w:r>
            <w:r>
              <w:rPr>
                <w:color w:val="auto"/>
                <w:sz w:val="21"/>
                <w:szCs w:val="21"/>
                <w:highlight w:val="none"/>
              </w:rPr>
              <w:t>.5</w:t>
            </w:r>
          </w:p>
        </w:tc>
        <w:tc>
          <w:tcPr>
            <w:tcW w:w="373" w:type="pct"/>
            <w:tcBorders>
              <w:tl2br w:val="nil"/>
              <w:tr2bl w:val="nil"/>
            </w:tcBorders>
            <w:vAlign w:val="center"/>
          </w:tcPr>
          <w:p w14:paraId="7B78676F">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4</w:t>
            </w:r>
            <w:r>
              <w:rPr>
                <w:color w:val="auto"/>
                <w:sz w:val="21"/>
                <w:szCs w:val="21"/>
                <w:highlight w:val="none"/>
              </w:rPr>
              <w:t>.9</w:t>
            </w:r>
          </w:p>
        </w:tc>
        <w:tc>
          <w:tcPr>
            <w:tcW w:w="327" w:type="pct"/>
            <w:tcBorders>
              <w:tl2br w:val="nil"/>
              <w:tr2bl w:val="nil"/>
            </w:tcBorders>
            <w:vAlign w:val="center"/>
          </w:tcPr>
          <w:p w14:paraId="55250F66">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4</w:t>
            </w:r>
            <w:r>
              <w:rPr>
                <w:color w:val="auto"/>
                <w:sz w:val="21"/>
                <w:szCs w:val="21"/>
                <w:highlight w:val="none"/>
              </w:rPr>
              <w:t>.5</w:t>
            </w:r>
          </w:p>
        </w:tc>
        <w:tc>
          <w:tcPr>
            <w:tcW w:w="327" w:type="pct"/>
            <w:tcBorders>
              <w:tl2br w:val="nil"/>
              <w:tr2bl w:val="nil"/>
            </w:tcBorders>
            <w:vAlign w:val="center"/>
          </w:tcPr>
          <w:p w14:paraId="09CCA27C">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4</w:t>
            </w:r>
            <w:r>
              <w:rPr>
                <w:color w:val="auto"/>
                <w:sz w:val="21"/>
                <w:szCs w:val="21"/>
                <w:highlight w:val="none"/>
              </w:rPr>
              <w:t>.4</w:t>
            </w:r>
          </w:p>
        </w:tc>
        <w:tc>
          <w:tcPr>
            <w:tcW w:w="327" w:type="pct"/>
            <w:tcBorders>
              <w:tl2br w:val="nil"/>
              <w:tr2bl w:val="nil"/>
            </w:tcBorders>
            <w:vAlign w:val="center"/>
          </w:tcPr>
          <w:p w14:paraId="0A822E24">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6</w:t>
            </w:r>
            <w:r>
              <w:rPr>
                <w:color w:val="auto"/>
                <w:sz w:val="21"/>
                <w:szCs w:val="21"/>
                <w:highlight w:val="none"/>
              </w:rPr>
              <w:t>.0</w:t>
            </w:r>
          </w:p>
        </w:tc>
        <w:tc>
          <w:tcPr>
            <w:tcW w:w="327" w:type="pct"/>
            <w:tcBorders>
              <w:tl2br w:val="nil"/>
              <w:tr2bl w:val="nil"/>
            </w:tcBorders>
            <w:vAlign w:val="center"/>
          </w:tcPr>
          <w:p w14:paraId="3F30CC4E">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8</w:t>
            </w:r>
            <w:r>
              <w:rPr>
                <w:color w:val="auto"/>
                <w:sz w:val="21"/>
                <w:szCs w:val="21"/>
                <w:highlight w:val="none"/>
              </w:rPr>
              <w:t>.3</w:t>
            </w:r>
          </w:p>
        </w:tc>
        <w:tc>
          <w:tcPr>
            <w:tcW w:w="327" w:type="pct"/>
            <w:tcBorders>
              <w:tl2br w:val="nil"/>
              <w:tr2bl w:val="nil"/>
            </w:tcBorders>
            <w:vAlign w:val="center"/>
          </w:tcPr>
          <w:p w14:paraId="4E1AB323">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7</w:t>
            </w:r>
            <w:r>
              <w:rPr>
                <w:color w:val="auto"/>
                <w:sz w:val="21"/>
                <w:szCs w:val="21"/>
                <w:highlight w:val="none"/>
              </w:rPr>
              <w:t>.1</w:t>
            </w:r>
          </w:p>
        </w:tc>
      </w:tr>
      <w:tr w14:paraId="72CEC2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pct"/>
            <w:tcBorders>
              <w:tl2br w:val="nil"/>
              <w:tr2bl w:val="nil"/>
            </w:tcBorders>
            <w:vAlign w:val="center"/>
          </w:tcPr>
          <w:p w14:paraId="3798CE4B">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position w:val="2"/>
                <w:sz w:val="21"/>
                <w:szCs w:val="21"/>
                <w:highlight w:val="none"/>
              </w:rPr>
              <w:t>月</w:t>
            </w:r>
            <w:r>
              <w:rPr>
                <w:color w:val="auto"/>
                <w:spacing w:val="2"/>
                <w:position w:val="2"/>
                <w:sz w:val="21"/>
                <w:szCs w:val="21"/>
                <w:highlight w:val="none"/>
              </w:rPr>
              <w:t>平</w:t>
            </w:r>
            <w:r>
              <w:rPr>
                <w:color w:val="auto"/>
                <w:position w:val="2"/>
                <w:sz w:val="21"/>
                <w:szCs w:val="21"/>
                <w:highlight w:val="none"/>
              </w:rPr>
              <w:t>均</w:t>
            </w:r>
            <w:r>
              <w:rPr>
                <w:color w:val="auto"/>
                <w:spacing w:val="-54"/>
                <w:position w:val="2"/>
                <w:sz w:val="21"/>
                <w:szCs w:val="21"/>
                <w:highlight w:val="none"/>
              </w:rPr>
              <w:t xml:space="preserve"> </w:t>
            </w:r>
            <w:r>
              <w:rPr>
                <w:color w:val="auto"/>
                <w:spacing w:val="1"/>
                <w:position w:val="2"/>
                <w:sz w:val="21"/>
                <w:szCs w:val="21"/>
                <w:highlight w:val="none"/>
              </w:rPr>
              <w:t>T</w:t>
            </w:r>
            <w:r>
              <w:rPr>
                <w:color w:val="auto"/>
                <w:sz w:val="13"/>
                <w:szCs w:val="13"/>
                <w:highlight w:val="none"/>
              </w:rPr>
              <w:t>1</w:t>
            </w:r>
            <w:r>
              <w:rPr>
                <w:color w:val="auto"/>
                <w:spacing w:val="-1"/>
                <w:sz w:val="13"/>
                <w:szCs w:val="13"/>
                <w:highlight w:val="none"/>
              </w:rPr>
              <w:t>/</w:t>
            </w:r>
            <w:r>
              <w:rPr>
                <w:color w:val="auto"/>
                <w:spacing w:val="-3"/>
                <w:sz w:val="13"/>
                <w:szCs w:val="13"/>
                <w:highlight w:val="none"/>
              </w:rPr>
              <w:t>3</w:t>
            </w:r>
            <w:r>
              <w:rPr>
                <w:color w:val="auto"/>
                <w:spacing w:val="-1"/>
                <w:position w:val="2"/>
                <w:sz w:val="21"/>
                <w:szCs w:val="21"/>
                <w:highlight w:val="none"/>
              </w:rPr>
              <w:t>(s</w:t>
            </w:r>
            <w:r>
              <w:rPr>
                <w:color w:val="auto"/>
                <w:position w:val="2"/>
                <w:sz w:val="21"/>
                <w:szCs w:val="21"/>
                <w:highlight w:val="none"/>
              </w:rPr>
              <w:t>)</w:t>
            </w:r>
          </w:p>
        </w:tc>
        <w:tc>
          <w:tcPr>
            <w:tcW w:w="327" w:type="pct"/>
            <w:tcBorders>
              <w:tl2br w:val="nil"/>
              <w:tr2bl w:val="nil"/>
            </w:tcBorders>
            <w:vAlign w:val="center"/>
          </w:tcPr>
          <w:p w14:paraId="7C2ED5B4">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.8</w:t>
            </w:r>
          </w:p>
        </w:tc>
        <w:tc>
          <w:tcPr>
            <w:tcW w:w="327" w:type="pct"/>
            <w:tcBorders>
              <w:tl2br w:val="nil"/>
              <w:tr2bl w:val="nil"/>
            </w:tcBorders>
            <w:vAlign w:val="center"/>
          </w:tcPr>
          <w:p w14:paraId="2BC95F04">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4</w:t>
            </w:r>
            <w:r>
              <w:rPr>
                <w:color w:val="auto"/>
                <w:sz w:val="21"/>
                <w:szCs w:val="21"/>
                <w:highlight w:val="none"/>
              </w:rPr>
              <w:t>.0</w:t>
            </w:r>
          </w:p>
        </w:tc>
        <w:tc>
          <w:tcPr>
            <w:tcW w:w="327" w:type="pct"/>
            <w:tcBorders>
              <w:tl2br w:val="nil"/>
              <w:tr2bl w:val="nil"/>
            </w:tcBorders>
            <w:vAlign w:val="center"/>
          </w:tcPr>
          <w:p w14:paraId="674EE368">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.5</w:t>
            </w:r>
          </w:p>
        </w:tc>
        <w:tc>
          <w:tcPr>
            <w:tcW w:w="327" w:type="pct"/>
            <w:tcBorders>
              <w:tl2br w:val="nil"/>
              <w:tr2bl w:val="nil"/>
            </w:tcBorders>
            <w:vAlign w:val="center"/>
          </w:tcPr>
          <w:p w14:paraId="58770D82">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.3</w:t>
            </w:r>
          </w:p>
        </w:tc>
        <w:tc>
          <w:tcPr>
            <w:tcW w:w="373" w:type="pct"/>
            <w:tcBorders>
              <w:tl2br w:val="nil"/>
              <w:tr2bl w:val="nil"/>
            </w:tcBorders>
            <w:vAlign w:val="center"/>
          </w:tcPr>
          <w:p w14:paraId="6A4E1050">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.3</w:t>
            </w:r>
          </w:p>
        </w:tc>
        <w:tc>
          <w:tcPr>
            <w:tcW w:w="373" w:type="pct"/>
            <w:tcBorders>
              <w:tl2br w:val="nil"/>
              <w:tr2bl w:val="nil"/>
            </w:tcBorders>
            <w:vAlign w:val="center"/>
          </w:tcPr>
          <w:p w14:paraId="4FD4AFF8">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.0</w:t>
            </w:r>
          </w:p>
        </w:tc>
        <w:tc>
          <w:tcPr>
            <w:tcW w:w="373" w:type="pct"/>
            <w:tcBorders>
              <w:tl2br w:val="nil"/>
              <w:tr2bl w:val="nil"/>
            </w:tcBorders>
            <w:vAlign w:val="center"/>
          </w:tcPr>
          <w:p w14:paraId="2D6F8DF1">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.1</w:t>
            </w:r>
          </w:p>
        </w:tc>
        <w:tc>
          <w:tcPr>
            <w:tcW w:w="327" w:type="pct"/>
            <w:tcBorders>
              <w:tl2br w:val="nil"/>
              <w:tr2bl w:val="nil"/>
            </w:tcBorders>
            <w:vAlign w:val="center"/>
          </w:tcPr>
          <w:p w14:paraId="2BA53004">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.6</w:t>
            </w:r>
          </w:p>
        </w:tc>
        <w:tc>
          <w:tcPr>
            <w:tcW w:w="327" w:type="pct"/>
            <w:tcBorders>
              <w:tl2br w:val="nil"/>
              <w:tr2bl w:val="nil"/>
            </w:tcBorders>
            <w:vAlign w:val="center"/>
          </w:tcPr>
          <w:p w14:paraId="7B2FDEA5">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.1</w:t>
            </w:r>
          </w:p>
        </w:tc>
        <w:tc>
          <w:tcPr>
            <w:tcW w:w="327" w:type="pct"/>
            <w:tcBorders>
              <w:tl2br w:val="nil"/>
              <w:tr2bl w:val="nil"/>
            </w:tcBorders>
            <w:vAlign w:val="center"/>
          </w:tcPr>
          <w:p w14:paraId="767D4DEF">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.1</w:t>
            </w:r>
          </w:p>
        </w:tc>
        <w:tc>
          <w:tcPr>
            <w:tcW w:w="327" w:type="pct"/>
            <w:tcBorders>
              <w:tl2br w:val="nil"/>
              <w:tr2bl w:val="nil"/>
            </w:tcBorders>
            <w:vAlign w:val="center"/>
          </w:tcPr>
          <w:p w14:paraId="4023BC8A">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.9</w:t>
            </w:r>
          </w:p>
        </w:tc>
        <w:tc>
          <w:tcPr>
            <w:tcW w:w="327" w:type="pct"/>
            <w:tcBorders>
              <w:tl2br w:val="nil"/>
              <w:tr2bl w:val="nil"/>
            </w:tcBorders>
            <w:vAlign w:val="center"/>
          </w:tcPr>
          <w:p w14:paraId="3604D792">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.2</w:t>
            </w:r>
          </w:p>
        </w:tc>
      </w:tr>
      <w:tr w14:paraId="650EB9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pct"/>
            <w:tcBorders>
              <w:tl2br w:val="nil"/>
              <w:tr2bl w:val="nil"/>
            </w:tcBorders>
            <w:vAlign w:val="center"/>
          </w:tcPr>
          <w:p w14:paraId="0118AB22">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pacing w:val="-1"/>
                <w:sz w:val="21"/>
                <w:szCs w:val="21"/>
                <w:highlight w:val="none"/>
              </w:rPr>
              <w:t>月</w:t>
            </w:r>
            <w:r>
              <w:rPr>
                <w:color w:val="auto"/>
                <w:spacing w:val="2"/>
                <w:sz w:val="21"/>
                <w:szCs w:val="21"/>
                <w:highlight w:val="none"/>
              </w:rPr>
              <w:t>最</w:t>
            </w:r>
            <w:r>
              <w:rPr>
                <w:color w:val="auto"/>
                <w:spacing w:val="-1"/>
                <w:sz w:val="21"/>
                <w:szCs w:val="21"/>
                <w:highlight w:val="none"/>
              </w:rPr>
              <w:t>大</w:t>
            </w:r>
            <w:r>
              <w:rPr>
                <w:color w:val="auto"/>
                <w:spacing w:val="2"/>
                <w:sz w:val="21"/>
                <w:szCs w:val="21"/>
                <w:highlight w:val="none"/>
              </w:rPr>
              <w:t>平</w:t>
            </w:r>
            <w:r>
              <w:rPr>
                <w:color w:val="auto"/>
                <w:spacing w:val="-1"/>
                <w:sz w:val="21"/>
                <w:szCs w:val="21"/>
                <w:highlight w:val="none"/>
              </w:rPr>
              <w:t>均</w:t>
            </w:r>
            <w:r>
              <w:rPr>
                <w:color w:val="auto"/>
                <w:sz w:val="21"/>
                <w:szCs w:val="21"/>
                <w:highlight w:val="none"/>
              </w:rPr>
              <w:t>周</w:t>
            </w:r>
          </w:p>
          <w:p w14:paraId="2A69F146">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期(s</w:t>
            </w:r>
            <w:r>
              <w:rPr>
                <w:color w:val="auto"/>
                <w:sz w:val="21"/>
                <w:szCs w:val="21"/>
                <w:highlight w:val="none"/>
              </w:rPr>
              <w:t>)</w:t>
            </w:r>
          </w:p>
        </w:tc>
        <w:tc>
          <w:tcPr>
            <w:tcW w:w="327" w:type="pct"/>
            <w:tcBorders>
              <w:tl2br w:val="nil"/>
              <w:tr2bl w:val="nil"/>
            </w:tcBorders>
            <w:vAlign w:val="center"/>
          </w:tcPr>
          <w:p w14:paraId="3D59CD91">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5</w:t>
            </w:r>
            <w:r>
              <w:rPr>
                <w:color w:val="auto"/>
                <w:sz w:val="21"/>
                <w:szCs w:val="21"/>
                <w:highlight w:val="none"/>
              </w:rPr>
              <w:t>.6</w:t>
            </w:r>
          </w:p>
        </w:tc>
        <w:tc>
          <w:tcPr>
            <w:tcW w:w="327" w:type="pct"/>
            <w:tcBorders>
              <w:tl2br w:val="nil"/>
              <w:tr2bl w:val="nil"/>
            </w:tcBorders>
            <w:vAlign w:val="center"/>
          </w:tcPr>
          <w:p w14:paraId="39300F6D">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5</w:t>
            </w:r>
            <w:r>
              <w:rPr>
                <w:color w:val="auto"/>
                <w:sz w:val="21"/>
                <w:szCs w:val="21"/>
                <w:highlight w:val="none"/>
              </w:rPr>
              <w:t>.0</w:t>
            </w:r>
          </w:p>
        </w:tc>
        <w:tc>
          <w:tcPr>
            <w:tcW w:w="327" w:type="pct"/>
            <w:tcBorders>
              <w:tl2br w:val="nil"/>
              <w:tr2bl w:val="nil"/>
            </w:tcBorders>
            <w:vAlign w:val="center"/>
          </w:tcPr>
          <w:p w14:paraId="03CC9F5E">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4</w:t>
            </w:r>
            <w:r>
              <w:rPr>
                <w:color w:val="auto"/>
                <w:sz w:val="21"/>
                <w:szCs w:val="21"/>
                <w:highlight w:val="none"/>
              </w:rPr>
              <w:t>.2</w:t>
            </w:r>
          </w:p>
        </w:tc>
        <w:tc>
          <w:tcPr>
            <w:tcW w:w="327" w:type="pct"/>
            <w:tcBorders>
              <w:tl2br w:val="nil"/>
              <w:tr2bl w:val="nil"/>
            </w:tcBorders>
            <w:vAlign w:val="center"/>
          </w:tcPr>
          <w:p w14:paraId="5C0A99A9">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4</w:t>
            </w:r>
            <w:r>
              <w:rPr>
                <w:color w:val="auto"/>
                <w:sz w:val="21"/>
                <w:szCs w:val="21"/>
                <w:highlight w:val="none"/>
              </w:rPr>
              <w:t>.5</w:t>
            </w:r>
          </w:p>
        </w:tc>
        <w:tc>
          <w:tcPr>
            <w:tcW w:w="373" w:type="pct"/>
            <w:tcBorders>
              <w:tl2br w:val="nil"/>
              <w:tr2bl w:val="nil"/>
            </w:tcBorders>
            <w:vAlign w:val="center"/>
          </w:tcPr>
          <w:p w14:paraId="1DB5D14C">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.7</w:t>
            </w:r>
          </w:p>
        </w:tc>
        <w:tc>
          <w:tcPr>
            <w:tcW w:w="373" w:type="pct"/>
            <w:tcBorders>
              <w:tl2br w:val="nil"/>
              <w:tr2bl w:val="nil"/>
            </w:tcBorders>
            <w:vAlign w:val="center"/>
          </w:tcPr>
          <w:p w14:paraId="632B0F79">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.8</w:t>
            </w:r>
          </w:p>
        </w:tc>
        <w:tc>
          <w:tcPr>
            <w:tcW w:w="373" w:type="pct"/>
            <w:tcBorders>
              <w:tl2br w:val="nil"/>
              <w:tr2bl w:val="nil"/>
            </w:tcBorders>
            <w:vAlign w:val="center"/>
          </w:tcPr>
          <w:p w14:paraId="05FD7E03">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4</w:t>
            </w:r>
            <w:r>
              <w:rPr>
                <w:color w:val="auto"/>
                <w:sz w:val="21"/>
                <w:szCs w:val="21"/>
                <w:highlight w:val="none"/>
              </w:rPr>
              <w:t>.0</w:t>
            </w:r>
          </w:p>
        </w:tc>
        <w:tc>
          <w:tcPr>
            <w:tcW w:w="327" w:type="pct"/>
            <w:tcBorders>
              <w:tl2br w:val="nil"/>
              <w:tr2bl w:val="nil"/>
            </w:tcBorders>
            <w:vAlign w:val="center"/>
          </w:tcPr>
          <w:p w14:paraId="68D7DF87">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.8</w:t>
            </w:r>
          </w:p>
        </w:tc>
        <w:tc>
          <w:tcPr>
            <w:tcW w:w="327" w:type="pct"/>
            <w:tcBorders>
              <w:tl2br w:val="nil"/>
              <w:tr2bl w:val="nil"/>
            </w:tcBorders>
            <w:vAlign w:val="center"/>
          </w:tcPr>
          <w:p w14:paraId="3CA71EDA">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4</w:t>
            </w:r>
            <w:r>
              <w:rPr>
                <w:color w:val="auto"/>
                <w:sz w:val="21"/>
                <w:szCs w:val="21"/>
                <w:highlight w:val="none"/>
              </w:rPr>
              <w:t>.9</w:t>
            </w:r>
          </w:p>
        </w:tc>
        <w:tc>
          <w:tcPr>
            <w:tcW w:w="327" w:type="pct"/>
            <w:tcBorders>
              <w:tl2br w:val="nil"/>
              <w:tr2bl w:val="nil"/>
            </w:tcBorders>
            <w:vAlign w:val="center"/>
          </w:tcPr>
          <w:p w14:paraId="72575EBE">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4</w:t>
            </w:r>
            <w:r>
              <w:rPr>
                <w:color w:val="auto"/>
                <w:sz w:val="21"/>
                <w:szCs w:val="21"/>
                <w:highlight w:val="none"/>
              </w:rPr>
              <w:t>.5</w:t>
            </w:r>
          </w:p>
        </w:tc>
        <w:tc>
          <w:tcPr>
            <w:tcW w:w="327" w:type="pct"/>
            <w:tcBorders>
              <w:tl2br w:val="nil"/>
              <w:tr2bl w:val="nil"/>
            </w:tcBorders>
            <w:vAlign w:val="center"/>
          </w:tcPr>
          <w:p w14:paraId="1CDA9F27">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5</w:t>
            </w:r>
            <w:r>
              <w:rPr>
                <w:color w:val="auto"/>
                <w:sz w:val="21"/>
                <w:szCs w:val="21"/>
                <w:highlight w:val="none"/>
              </w:rPr>
              <w:t>.4</w:t>
            </w:r>
          </w:p>
        </w:tc>
        <w:tc>
          <w:tcPr>
            <w:tcW w:w="327" w:type="pct"/>
            <w:tcBorders>
              <w:tl2br w:val="nil"/>
              <w:tr2bl w:val="nil"/>
            </w:tcBorders>
            <w:vAlign w:val="center"/>
          </w:tcPr>
          <w:p w14:paraId="0A186606">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5</w:t>
            </w:r>
            <w:r>
              <w:rPr>
                <w:color w:val="auto"/>
                <w:sz w:val="21"/>
                <w:szCs w:val="21"/>
                <w:highlight w:val="none"/>
              </w:rPr>
              <w:t>.3</w:t>
            </w:r>
          </w:p>
        </w:tc>
      </w:tr>
      <w:tr w14:paraId="06A9FE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pct"/>
            <w:tcBorders>
              <w:tl2br w:val="nil"/>
              <w:tr2bl w:val="nil"/>
            </w:tcBorders>
            <w:vAlign w:val="center"/>
          </w:tcPr>
          <w:p w14:paraId="00E62B51">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pacing w:val="-1"/>
                <w:sz w:val="21"/>
                <w:szCs w:val="21"/>
                <w:highlight w:val="none"/>
              </w:rPr>
              <w:t>月</w:t>
            </w:r>
            <w:r>
              <w:rPr>
                <w:color w:val="auto"/>
                <w:spacing w:val="2"/>
                <w:sz w:val="21"/>
                <w:szCs w:val="21"/>
                <w:highlight w:val="none"/>
              </w:rPr>
              <w:t>均</w:t>
            </w:r>
            <w:r>
              <w:rPr>
                <w:color w:val="auto"/>
                <w:spacing w:val="-1"/>
                <w:sz w:val="21"/>
                <w:szCs w:val="21"/>
                <w:highlight w:val="none"/>
              </w:rPr>
              <w:t>平</w:t>
            </w:r>
            <w:r>
              <w:rPr>
                <w:color w:val="auto"/>
                <w:spacing w:val="2"/>
                <w:sz w:val="21"/>
                <w:szCs w:val="21"/>
                <w:highlight w:val="none"/>
              </w:rPr>
              <w:t>均</w:t>
            </w:r>
            <w:r>
              <w:rPr>
                <w:color w:val="auto"/>
                <w:spacing w:val="-1"/>
                <w:sz w:val="21"/>
                <w:szCs w:val="21"/>
                <w:highlight w:val="none"/>
              </w:rPr>
              <w:t>周</w:t>
            </w:r>
            <w:r>
              <w:rPr>
                <w:color w:val="auto"/>
                <w:sz w:val="21"/>
                <w:szCs w:val="21"/>
                <w:highlight w:val="none"/>
              </w:rPr>
              <w:t>期</w:t>
            </w:r>
          </w:p>
          <w:p w14:paraId="19186C17">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(s</w:t>
            </w:r>
            <w:r>
              <w:rPr>
                <w:color w:val="auto"/>
                <w:sz w:val="21"/>
                <w:szCs w:val="21"/>
                <w:highlight w:val="none"/>
              </w:rPr>
              <w:t>)</w:t>
            </w:r>
          </w:p>
        </w:tc>
        <w:tc>
          <w:tcPr>
            <w:tcW w:w="327" w:type="pct"/>
            <w:tcBorders>
              <w:tl2br w:val="nil"/>
              <w:tr2bl w:val="nil"/>
            </w:tcBorders>
            <w:vAlign w:val="center"/>
          </w:tcPr>
          <w:p w14:paraId="58F76188">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.1</w:t>
            </w:r>
          </w:p>
        </w:tc>
        <w:tc>
          <w:tcPr>
            <w:tcW w:w="327" w:type="pct"/>
            <w:tcBorders>
              <w:tl2br w:val="nil"/>
              <w:tr2bl w:val="nil"/>
            </w:tcBorders>
            <w:vAlign w:val="center"/>
          </w:tcPr>
          <w:p w14:paraId="25658612">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.3</w:t>
            </w:r>
          </w:p>
        </w:tc>
        <w:tc>
          <w:tcPr>
            <w:tcW w:w="327" w:type="pct"/>
            <w:tcBorders>
              <w:tl2br w:val="nil"/>
              <w:tr2bl w:val="nil"/>
            </w:tcBorders>
            <w:vAlign w:val="center"/>
          </w:tcPr>
          <w:p w14:paraId="42D532A9">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.9</w:t>
            </w:r>
          </w:p>
        </w:tc>
        <w:tc>
          <w:tcPr>
            <w:tcW w:w="327" w:type="pct"/>
            <w:tcBorders>
              <w:tl2br w:val="nil"/>
              <w:tr2bl w:val="nil"/>
            </w:tcBorders>
            <w:vAlign w:val="center"/>
          </w:tcPr>
          <w:p w14:paraId="08055A3C">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.8</w:t>
            </w:r>
          </w:p>
        </w:tc>
        <w:tc>
          <w:tcPr>
            <w:tcW w:w="373" w:type="pct"/>
            <w:tcBorders>
              <w:tl2br w:val="nil"/>
              <w:tr2bl w:val="nil"/>
            </w:tcBorders>
            <w:vAlign w:val="center"/>
          </w:tcPr>
          <w:p w14:paraId="5063654C">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.8</w:t>
            </w:r>
          </w:p>
        </w:tc>
        <w:tc>
          <w:tcPr>
            <w:tcW w:w="373" w:type="pct"/>
            <w:tcBorders>
              <w:tl2br w:val="nil"/>
              <w:tr2bl w:val="nil"/>
            </w:tcBorders>
            <w:vAlign w:val="center"/>
          </w:tcPr>
          <w:p w14:paraId="1031E29D">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.5</w:t>
            </w:r>
          </w:p>
        </w:tc>
        <w:tc>
          <w:tcPr>
            <w:tcW w:w="373" w:type="pct"/>
            <w:tcBorders>
              <w:tl2br w:val="nil"/>
              <w:tr2bl w:val="nil"/>
            </w:tcBorders>
            <w:vAlign w:val="center"/>
          </w:tcPr>
          <w:p w14:paraId="64CF57E1">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.6</w:t>
            </w:r>
          </w:p>
        </w:tc>
        <w:tc>
          <w:tcPr>
            <w:tcW w:w="327" w:type="pct"/>
            <w:tcBorders>
              <w:tl2br w:val="nil"/>
              <w:tr2bl w:val="nil"/>
            </w:tcBorders>
            <w:vAlign w:val="center"/>
          </w:tcPr>
          <w:p w14:paraId="016B5172">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.0</w:t>
            </w:r>
          </w:p>
        </w:tc>
        <w:tc>
          <w:tcPr>
            <w:tcW w:w="327" w:type="pct"/>
            <w:tcBorders>
              <w:tl2br w:val="nil"/>
              <w:tr2bl w:val="nil"/>
            </w:tcBorders>
            <w:vAlign w:val="center"/>
          </w:tcPr>
          <w:p w14:paraId="0D203BD0">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.6</w:t>
            </w:r>
          </w:p>
        </w:tc>
        <w:tc>
          <w:tcPr>
            <w:tcW w:w="327" w:type="pct"/>
            <w:tcBorders>
              <w:tl2br w:val="nil"/>
              <w:tr2bl w:val="nil"/>
            </w:tcBorders>
            <w:vAlign w:val="center"/>
          </w:tcPr>
          <w:p w14:paraId="28A35349">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.7</w:t>
            </w:r>
          </w:p>
        </w:tc>
        <w:tc>
          <w:tcPr>
            <w:tcW w:w="327" w:type="pct"/>
            <w:tcBorders>
              <w:tl2br w:val="nil"/>
              <w:tr2bl w:val="nil"/>
            </w:tcBorders>
            <w:vAlign w:val="center"/>
          </w:tcPr>
          <w:p w14:paraId="1CBEE9C1">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.5</w:t>
            </w:r>
          </w:p>
        </w:tc>
        <w:tc>
          <w:tcPr>
            <w:tcW w:w="327" w:type="pct"/>
            <w:tcBorders>
              <w:tl2br w:val="nil"/>
              <w:tr2bl w:val="nil"/>
            </w:tcBorders>
            <w:vAlign w:val="center"/>
          </w:tcPr>
          <w:p w14:paraId="631A6538">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.8</w:t>
            </w:r>
          </w:p>
        </w:tc>
      </w:tr>
      <w:tr w14:paraId="16A599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pct"/>
            <w:tcBorders>
              <w:tl2br w:val="nil"/>
              <w:tr2bl w:val="nil"/>
            </w:tcBorders>
            <w:vAlign w:val="center"/>
          </w:tcPr>
          <w:p w14:paraId="428A05C7">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观</w:t>
            </w:r>
            <w:r>
              <w:rPr>
                <w:color w:val="auto"/>
                <w:spacing w:val="2"/>
                <w:sz w:val="21"/>
                <w:szCs w:val="21"/>
                <w:highlight w:val="none"/>
              </w:rPr>
              <w:t>测</w:t>
            </w:r>
            <w:r>
              <w:rPr>
                <w:color w:val="auto"/>
                <w:spacing w:val="-1"/>
                <w:sz w:val="21"/>
                <w:szCs w:val="21"/>
                <w:highlight w:val="none"/>
              </w:rPr>
              <w:t>天</w:t>
            </w:r>
            <w:r>
              <w:rPr>
                <w:color w:val="auto"/>
                <w:spacing w:val="2"/>
                <w:sz w:val="21"/>
                <w:szCs w:val="21"/>
                <w:highlight w:val="none"/>
              </w:rPr>
              <w:t>数</w:t>
            </w:r>
            <w:r>
              <w:rPr>
                <w:color w:val="auto"/>
                <w:spacing w:val="-1"/>
                <w:sz w:val="21"/>
                <w:szCs w:val="21"/>
                <w:highlight w:val="none"/>
              </w:rPr>
              <w:t>（</w:t>
            </w:r>
            <w:r>
              <w:rPr>
                <w:color w:val="auto"/>
                <w:spacing w:val="2"/>
                <w:sz w:val="21"/>
                <w:szCs w:val="21"/>
                <w:highlight w:val="none"/>
              </w:rPr>
              <w:t>日</w:t>
            </w:r>
            <w:r>
              <w:rPr>
                <w:color w:val="auto"/>
                <w:sz w:val="21"/>
                <w:szCs w:val="21"/>
                <w:highlight w:val="none"/>
              </w:rPr>
              <w:t>）</w:t>
            </w:r>
          </w:p>
        </w:tc>
        <w:tc>
          <w:tcPr>
            <w:tcW w:w="327" w:type="pct"/>
            <w:tcBorders>
              <w:tl2br w:val="nil"/>
              <w:tr2bl w:val="nil"/>
            </w:tcBorders>
            <w:vAlign w:val="center"/>
          </w:tcPr>
          <w:p w14:paraId="440C8AEB">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0</w:t>
            </w:r>
          </w:p>
        </w:tc>
        <w:tc>
          <w:tcPr>
            <w:tcW w:w="327" w:type="pct"/>
            <w:tcBorders>
              <w:tl2br w:val="nil"/>
              <w:tr2bl w:val="nil"/>
            </w:tcBorders>
            <w:vAlign w:val="center"/>
          </w:tcPr>
          <w:p w14:paraId="303A3B3B">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1</w:t>
            </w:r>
          </w:p>
        </w:tc>
        <w:tc>
          <w:tcPr>
            <w:tcW w:w="327" w:type="pct"/>
            <w:tcBorders>
              <w:tl2br w:val="nil"/>
              <w:tr2bl w:val="nil"/>
            </w:tcBorders>
            <w:vAlign w:val="center"/>
          </w:tcPr>
          <w:p w14:paraId="44FF0274">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1</w:t>
            </w:r>
          </w:p>
        </w:tc>
        <w:tc>
          <w:tcPr>
            <w:tcW w:w="327" w:type="pct"/>
            <w:tcBorders>
              <w:tl2br w:val="nil"/>
              <w:tr2bl w:val="nil"/>
            </w:tcBorders>
            <w:vAlign w:val="center"/>
          </w:tcPr>
          <w:p w14:paraId="060DE294">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1</w:t>
            </w:r>
          </w:p>
        </w:tc>
        <w:tc>
          <w:tcPr>
            <w:tcW w:w="373" w:type="pct"/>
            <w:tcBorders>
              <w:tl2br w:val="nil"/>
              <w:tr2bl w:val="nil"/>
            </w:tcBorders>
            <w:vAlign w:val="center"/>
          </w:tcPr>
          <w:p w14:paraId="5DB9F159">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1</w:t>
            </w:r>
          </w:p>
        </w:tc>
        <w:tc>
          <w:tcPr>
            <w:tcW w:w="373" w:type="pct"/>
            <w:tcBorders>
              <w:tl2br w:val="nil"/>
              <w:tr2bl w:val="nil"/>
            </w:tcBorders>
            <w:vAlign w:val="center"/>
          </w:tcPr>
          <w:p w14:paraId="416CDC44">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0</w:t>
            </w:r>
          </w:p>
        </w:tc>
        <w:tc>
          <w:tcPr>
            <w:tcW w:w="373" w:type="pct"/>
            <w:tcBorders>
              <w:tl2br w:val="nil"/>
              <w:tr2bl w:val="nil"/>
            </w:tcBorders>
            <w:vAlign w:val="center"/>
          </w:tcPr>
          <w:p w14:paraId="084AFCFD">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1</w:t>
            </w:r>
          </w:p>
        </w:tc>
        <w:tc>
          <w:tcPr>
            <w:tcW w:w="327" w:type="pct"/>
            <w:tcBorders>
              <w:tl2br w:val="nil"/>
              <w:tr2bl w:val="nil"/>
            </w:tcBorders>
            <w:vAlign w:val="center"/>
          </w:tcPr>
          <w:p w14:paraId="3FD8390C">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1</w:t>
            </w:r>
          </w:p>
        </w:tc>
        <w:tc>
          <w:tcPr>
            <w:tcW w:w="327" w:type="pct"/>
            <w:tcBorders>
              <w:tl2br w:val="nil"/>
              <w:tr2bl w:val="nil"/>
            </w:tcBorders>
            <w:vAlign w:val="center"/>
          </w:tcPr>
          <w:p w14:paraId="6511519B">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2</w:t>
            </w:r>
            <w:r>
              <w:rPr>
                <w:color w:val="auto"/>
                <w:sz w:val="21"/>
                <w:szCs w:val="21"/>
                <w:highlight w:val="none"/>
              </w:rPr>
              <w:t>8</w:t>
            </w:r>
          </w:p>
        </w:tc>
        <w:tc>
          <w:tcPr>
            <w:tcW w:w="327" w:type="pct"/>
            <w:tcBorders>
              <w:tl2br w:val="nil"/>
              <w:tr2bl w:val="nil"/>
            </w:tcBorders>
            <w:vAlign w:val="center"/>
          </w:tcPr>
          <w:p w14:paraId="647495C0">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1</w:t>
            </w:r>
          </w:p>
        </w:tc>
        <w:tc>
          <w:tcPr>
            <w:tcW w:w="327" w:type="pct"/>
            <w:tcBorders>
              <w:tl2br w:val="nil"/>
              <w:tr2bl w:val="nil"/>
            </w:tcBorders>
            <w:vAlign w:val="center"/>
          </w:tcPr>
          <w:p w14:paraId="67A1DCE9">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0</w:t>
            </w:r>
          </w:p>
        </w:tc>
        <w:tc>
          <w:tcPr>
            <w:tcW w:w="327" w:type="pct"/>
            <w:tcBorders>
              <w:tl2br w:val="nil"/>
              <w:tr2bl w:val="nil"/>
            </w:tcBorders>
            <w:vAlign w:val="center"/>
          </w:tcPr>
          <w:p w14:paraId="47A4C1A4">
            <w:pPr>
              <w:kinsoku w:val="0"/>
              <w:overflowPunct w:val="0"/>
              <w:topLinePunct w:val="0"/>
              <w:autoSpaceDE w:val="0"/>
              <w:autoSpaceDN w:val="0"/>
              <w:snapToGrid/>
              <w:spacing w:line="240" w:lineRule="auto"/>
              <w:ind w:firstLine="0" w:firstLineChars="0"/>
              <w:jc w:val="center"/>
              <w:rPr>
                <w:color w:val="auto"/>
                <w:highlight w:val="none"/>
              </w:rPr>
            </w:pPr>
            <w:r>
              <w:rPr>
                <w:color w:val="auto"/>
                <w:spacing w:val="-1"/>
                <w:sz w:val="21"/>
                <w:szCs w:val="21"/>
                <w:highlight w:val="none"/>
              </w:rPr>
              <w:t>3</w:t>
            </w:r>
            <w:r>
              <w:rPr>
                <w:color w:val="auto"/>
                <w:sz w:val="21"/>
                <w:szCs w:val="21"/>
                <w:highlight w:val="none"/>
              </w:rPr>
              <w:t>1</w:t>
            </w:r>
          </w:p>
        </w:tc>
      </w:tr>
    </w:tbl>
    <w:p w14:paraId="69EF6331">
      <w:pPr>
        <w:kinsoku w:val="0"/>
        <w:overflowPunct w:val="0"/>
        <w:topLinePunct w:val="0"/>
        <w:autoSpaceDE w:val="0"/>
        <w:autoSpaceDN w:val="0"/>
        <w:snapToGrid/>
        <w:spacing w:before="2" w:line="50" w:lineRule="exact"/>
        <w:ind w:firstLine="0" w:firstLineChars="0"/>
        <w:jc w:val="left"/>
        <w:rPr>
          <w:color w:val="auto"/>
          <w:sz w:val="5"/>
          <w:szCs w:val="5"/>
          <w:highlight w:val="none"/>
        </w:rPr>
      </w:pPr>
    </w:p>
    <w:p w14:paraId="1FBD4C75">
      <w:pPr>
        <w:spacing w:before="120" w:beforeLines="50"/>
        <w:ind w:firstLine="480"/>
        <w:rPr>
          <w:color w:val="auto"/>
          <w:highlight w:val="none"/>
        </w:rPr>
      </w:pPr>
      <w:r>
        <w:rPr>
          <w:color w:val="auto"/>
          <w:highlight w:val="none"/>
        </w:rPr>
        <w:t>三墩站全年H1/10 波玫瑰图见图3.1-2。由图可见，三墩站常浪向为N，频率16.54%，次浪向为S，频率15.45%。强浪向为SE、SSE，H1/10 波高最大值为2.4m，次强浪向为ESE，H1/10 波高最大值为2.0m；NW~NNE、S~WSW 向的H1/10 波高最大值介于1m~2m 之间；其余波向的H1/10 波高最大值小于1m。三墩站平均波周期介于1.1s~5.6s 之间，其中最大平均波周期对应H1/10波高1.2m、最大波高1.5m、波向188°，出现在</w:t>
      </w:r>
      <w:r>
        <w:rPr>
          <w:rFonts w:hint="eastAsia"/>
          <w:color w:val="auto"/>
          <w:highlight w:val="none"/>
          <w:lang w:eastAsia="zh-CN"/>
        </w:rPr>
        <w:t>2010年6月10日</w:t>
      </w:r>
      <w:r>
        <w:rPr>
          <w:color w:val="auto"/>
          <w:highlight w:val="none"/>
        </w:rPr>
        <w:t>05时。</w:t>
      </w:r>
    </w:p>
    <w:p w14:paraId="3C2AEF6F">
      <w:pPr>
        <w:pStyle w:val="38"/>
        <w:spacing w:after="0" w:line="240" w:lineRule="auto"/>
        <w:ind w:firstLine="0" w:firstLineChars="0"/>
        <w:jc w:val="center"/>
        <w:rPr>
          <w:b/>
          <w:color w:val="auto"/>
          <w:sz w:val="21"/>
          <w:szCs w:val="21"/>
          <w:highlight w:val="none"/>
        </w:rPr>
      </w:pPr>
      <w:r>
        <w:rPr>
          <w:b/>
          <w:color w:val="auto"/>
          <w:sz w:val="21"/>
          <w:szCs w:val="21"/>
          <w:highlight w:val="none"/>
        </w:rPr>
        <w:drawing>
          <wp:inline distT="0" distB="0" distL="0" distR="0">
            <wp:extent cx="3815715" cy="3656965"/>
            <wp:effectExtent l="0" t="0" r="13335" b="63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98"/>
                    <a:stretch>
                      <a:fillRect/>
                    </a:stretch>
                  </pic:blipFill>
                  <pic:spPr>
                    <a:xfrm>
                      <a:off x="0" y="0"/>
                      <a:ext cx="3815715" cy="3656965"/>
                    </a:xfrm>
                    <a:prstGeom prst="rect">
                      <a:avLst/>
                    </a:prstGeom>
                  </pic:spPr>
                </pic:pic>
              </a:graphicData>
            </a:graphic>
          </wp:inline>
        </w:drawing>
      </w:r>
    </w:p>
    <w:p w14:paraId="56304160">
      <w:pPr>
        <w:pStyle w:val="38"/>
        <w:spacing w:after="0" w:line="240" w:lineRule="auto"/>
        <w:ind w:firstLine="0" w:firstLineChars="0"/>
        <w:jc w:val="center"/>
        <w:rPr>
          <w:b/>
          <w:color w:val="auto"/>
          <w:sz w:val="21"/>
          <w:szCs w:val="21"/>
          <w:highlight w:val="none"/>
        </w:rPr>
      </w:pPr>
      <w:r>
        <w:rPr>
          <w:b/>
          <w:color w:val="auto"/>
          <w:sz w:val="21"/>
          <w:szCs w:val="21"/>
          <w:highlight w:val="none"/>
        </w:rPr>
        <w:t>图3.1-2 三墩站H1/10 波高频率玫瑰图（2010.06~2011.05）</w:t>
      </w:r>
    </w:p>
    <w:p w14:paraId="1448E7BB">
      <w:pPr>
        <w:pStyle w:val="533"/>
        <w:numPr>
          <w:ilvl w:val="3"/>
          <w:numId w:val="9"/>
        </w:numPr>
        <w:rPr>
          <w:color w:val="auto"/>
          <w:szCs w:val="24"/>
          <w:highlight w:val="none"/>
        </w:rPr>
      </w:pPr>
      <w:r>
        <w:rPr>
          <w:color w:val="auto"/>
          <w:szCs w:val="24"/>
          <w:highlight w:val="none"/>
        </w:rPr>
        <w:t>泥沙</w:t>
      </w:r>
    </w:p>
    <w:p w14:paraId="4BEE9AF8">
      <w:pPr>
        <w:ind w:firstLine="480"/>
        <w:rPr>
          <w:color w:val="auto"/>
          <w:highlight w:val="none"/>
        </w:rPr>
      </w:pPr>
      <w:r>
        <w:rPr>
          <w:color w:val="auto"/>
          <w:highlight w:val="none"/>
        </w:rPr>
        <w:t>钦州湾泥沙主要来自北部的茅尾海，而且多以悬移式进入港内。由于钦江自东北向西南注入茅尾海，入海后，比降骤减，河流所携带的泥沙在河口一带落淤，使钦江和茅尾江三角洲及河汊十分发育，并缓慢向海方向扩展，导致茅尾海趋向淤浅、萎缩，然而这一过程的发展是极其缓慢的。由于海面宽阔、纳潮量大，且落潮流大于涨潮流，落潮流可将泥沙逐步向外海输送，而保持港内不淤或少淤之状态。在钦州湾口之外，海岸呈东向西走向，强浪向为南向，沿岸泥沙不易做纵向运动，致使湾口处普遍发育有拦门沙。虽潮汐动力较强，但波浪掀沙能力较弱，泥沙进入可以认为该海域不存在大规模的泥沙运动。</w:t>
      </w:r>
    </w:p>
    <w:p w14:paraId="1BBBF21D">
      <w:pPr>
        <w:ind w:firstLine="480"/>
        <w:rPr>
          <w:color w:val="auto"/>
          <w:highlight w:val="none"/>
        </w:rPr>
      </w:pPr>
      <w:r>
        <w:rPr>
          <w:color w:val="auto"/>
          <w:highlight w:val="none"/>
        </w:rPr>
        <w:t>2019年7月，南京水利科学研究院对钦州港</w:t>
      </w:r>
      <w:r>
        <w:rPr>
          <w:rFonts w:hint="eastAsia"/>
          <w:color w:val="auto"/>
          <w:highlight w:val="none"/>
        </w:rPr>
        <w:t>规划</w:t>
      </w:r>
      <w:r>
        <w:rPr>
          <w:color w:val="auto"/>
          <w:highlight w:val="none"/>
        </w:rPr>
        <w:t>实施后钦州湾泥沙回淤的分析研究成果表明：钦州湾分内、外湾，中间湾颈段相对较窄，河流来沙主要淤积在内湾，外湾泥沙来源少，潮流强度不大，风浪也小，岸线长，具备较好的港口开发建设条件。钦州湾水域以全日潮为主，涨、落潮相对缓慢，一般涨潮历时长于落潮历时，落潮流速大于涨潮流速，潮流特征有利于向外海输沙。平常条件下钦州湾水体含沙量很小，通常小于 0.01kg/m</w:t>
      </w:r>
      <w:r>
        <w:rPr>
          <w:color w:val="auto"/>
          <w:highlight w:val="none"/>
          <w:vertAlign w:val="superscript"/>
        </w:rPr>
        <w:t>3</w:t>
      </w:r>
      <w:r>
        <w:rPr>
          <w:color w:val="auto"/>
          <w:highlight w:val="none"/>
        </w:rPr>
        <w:t>，冬季含沙量一般比夏季小一个数量级，夏季遇风浪天时，湾口水域含沙量会明显升高，较大风浪时可达0.03kg/m</w:t>
      </w:r>
      <w:r>
        <w:rPr>
          <w:color w:val="auto"/>
          <w:highlight w:val="none"/>
          <w:vertAlign w:val="superscript"/>
        </w:rPr>
        <w:t>3</w:t>
      </w:r>
      <w:r>
        <w:rPr>
          <w:color w:val="auto"/>
          <w:highlight w:val="none"/>
        </w:rPr>
        <w:t>。钦州湾内含沙量低，根据天津水运工程科学研究所实测资料，钦州湾最大含沙量：0.08kg/m</w:t>
      </w:r>
      <w:r>
        <w:rPr>
          <w:color w:val="auto"/>
          <w:highlight w:val="none"/>
          <w:vertAlign w:val="superscript"/>
        </w:rPr>
        <w:t>3</w:t>
      </w:r>
      <w:r>
        <w:rPr>
          <w:color w:val="auto"/>
          <w:highlight w:val="none"/>
        </w:rPr>
        <w:t>；夏季含沙量：0.05kg/m</w:t>
      </w:r>
      <w:r>
        <w:rPr>
          <w:color w:val="auto"/>
          <w:highlight w:val="none"/>
          <w:vertAlign w:val="superscript"/>
        </w:rPr>
        <w:t>3</w:t>
      </w:r>
      <w:r>
        <w:rPr>
          <w:color w:val="auto"/>
          <w:highlight w:val="none"/>
        </w:rPr>
        <w:t>；冬季含沙量：0.03kg/m</w:t>
      </w:r>
      <w:r>
        <w:rPr>
          <w:color w:val="auto"/>
          <w:highlight w:val="none"/>
          <w:vertAlign w:val="superscript"/>
        </w:rPr>
        <w:t>3</w:t>
      </w:r>
      <w:r>
        <w:rPr>
          <w:color w:val="auto"/>
          <w:highlight w:val="none"/>
        </w:rPr>
        <w:t xml:space="preserve">。 </w:t>
      </w:r>
    </w:p>
    <w:p w14:paraId="14440A18">
      <w:pPr>
        <w:pStyle w:val="533"/>
        <w:numPr>
          <w:ilvl w:val="3"/>
          <w:numId w:val="9"/>
        </w:numPr>
        <w:rPr>
          <w:color w:val="auto"/>
          <w:szCs w:val="24"/>
          <w:highlight w:val="none"/>
        </w:rPr>
      </w:pPr>
      <w:r>
        <w:rPr>
          <w:color w:val="auto"/>
          <w:szCs w:val="24"/>
          <w:highlight w:val="none"/>
        </w:rPr>
        <w:t>盐度和水温</w:t>
      </w:r>
    </w:p>
    <w:p w14:paraId="1144001B">
      <w:pPr>
        <w:ind w:firstLine="480"/>
        <w:rPr>
          <w:color w:val="auto"/>
          <w:highlight w:val="none"/>
          <w:u w:val="single"/>
        </w:rPr>
      </w:pPr>
      <w:r>
        <w:rPr>
          <w:rFonts w:hint="eastAsia"/>
          <w:color w:val="auto"/>
          <w:highlight w:val="none"/>
          <w:u w:val="single"/>
        </w:rPr>
        <w:t>项目海区盐度分布规律为河口低、外海高，等值线与等深线几乎平行。根据钦州湾实测资料，钦州湾盐度各季度极值和平均值见下表3.1-</w:t>
      </w:r>
      <w:r>
        <w:rPr>
          <w:color w:val="auto"/>
          <w:highlight w:val="none"/>
          <w:u w:val="single"/>
        </w:rPr>
        <w:t>4。</w:t>
      </w:r>
    </w:p>
    <w:p w14:paraId="78C4C6ED">
      <w:pPr>
        <w:pStyle w:val="38"/>
        <w:spacing w:after="0" w:line="240" w:lineRule="auto"/>
        <w:ind w:firstLine="0" w:firstLineChars="0"/>
        <w:jc w:val="center"/>
        <w:rPr>
          <w:b/>
          <w:color w:val="auto"/>
          <w:sz w:val="21"/>
          <w:szCs w:val="21"/>
          <w:highlight w:val="none"/>
        </w:rPr>
      </w:pPr>
      <w:r>
        <w:rPr>
          <w:b/>
          <w:color w:val="auto"/>
          <w:sz w:val="21"/>
          <w:szCs w:val="21"/>
          <w:highlight w:val="none"/>
        </w:rPr>
        <w:t>表3.1-4  钦州湾盐度各季度极值和平均值</w:t>
      </w:r>
    </w:p>
    <w:tbl>
      <w:tblPr>
        <w:tblStyle w:val="1535"/>
        <w:tblW w:w="5000" w:type="pct"/>
        <w:jc w:val="center"/>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07"/>
        <w:gridCol w:w="1536"/>
        <w:gridCol w:w="1491"/>
        <w:gridCol w:w="1582"/>
        <w:gridCol w:w="1570"/>
      </w:tblGrid>
      <w:tr w14:paraId="0D5D0FCA">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673" w:type="pct"/>
            <w:vMerge w:val="restart"/>
            <w:tcBorders>
              <w:top w:val="single" w:color="auto" w:sz="12" w:space="0"/>
              <w:bottom w:val="single" w:color="auto" w:sz="4" w:space="0"/>
              <w:tl2br w:val="single" w:color="auto" w:sz="4" w:space="0"/>
            </w:tcBorders>
            <w:vAlign w:val="center"/>
          </w:tcPr>
          <w:p w14:paraId="30105800">
            <w:pPr>
              <w:kinsoku w:val="0"/>
              <w:overflowPunct w:val="0"/>
              <w:topLinePunct w:val="0"/>
              <w:autoSpaceDE w:val="0"/>
              <w:autoSpaceDN w:val="0"/>
              <w:snapToGrid/>
              <w:spacing w:line="240" w:lineRule="auto"/>
              <w:ind w:firstLine="0" w:firstLineChars="0"/>
              <w:jc w:val="center"/>
              <w:rPr>
                <w:b/>
                <w:bCs/>
                <w:color w:val="auto"/>
                <w:sz w:val="21"/>
                <w:szCs w:val="21"/>
                <w:highlight w:val="none"/>
                <w:u w:val="single"/>
              </w:rPr>
            </w:pPr>
            <w:r>
              <w:rPr>
                <w:b/>
                <w:bCs/>
                <w:color w:val="auto"/>
                <w:sz w:val="21"/>
                <w:szCs w:val="21"/>
                <w:highlight w:val="none"/>
                <w:u w:val="single"/>
              </w:rPr>
              <w:t xml:space="preserve">      盐度</w:t>
            </w:r>
          </w:p>
          <w:p w14:paraId="7E0CD309">
            <w:pPr>
              <w:kinsoku w:val="0"/>
              <w:overflowPunct w:val="0"/>
              <w:topLinePunct w:val="0"/>
              <w:autoSpaceDE w:val="0"/>
              <w:autoSpaceDN w:val="0"/>
              <w:snapToGrid/>
              <w:spacing w:line="240" w:lineRule="auto"/>
              <w:ind w:firstLine="319" w:firstLineChars="150"/>
              <w:rPr>
                <w:b/>
                <w:bCs/>
                <w:color w:val="auto"/>
                <w:sz w:val="21"/>
                <w:szCs w:val="21"/>
                <w:highlight w:val="none"/>
                <w:u w:val="single"/>
              </w:rPr>
            </w:pPr>
            <w:r>
              <w:rPr>
                <w:b/>
                <w:bCs/>
                <w:color w:val="auto"/>
                <w:spacing w:val="1"/>
                <w:sz w:val="21"/>
                <w:szCs w:val="21"/>
                <w:highlight w:val="none"/>
                <w:u w:val="single"/>
              </w:rPr>
              <w:t>季度</w:t>
            </w:r>
          </w:p>
        </w:tc>
        <w:tc>
          <w:tcPr>
            <w:tcW w:w="1630" w:type="pct"/>
            <w:gridSpan w:val="2"/>
            <w:tcBorders>
              <w:top w:val="single" w:color="auto" w:sz="12" w:space="0"/>
              <w:bottom w:val="single" w:color="auto" w:sz="4" w:space="0"/>
            </w:tcBorders>
            <w:vAlign w:val="center"/>
          </w:tcPr>
          <w:p w14:paraId="4D08F4B5">
            <w:pPr>
              <w:topLinePunct w:val="0"/>
              <w:autoSpaceDE w:val="0"/>
              <w:autoSpaceDN w:val="0"/>
              <w:snapToGrid/>
              <w:spacing w:line="240" w:lineRule="auto"/>
              <w:ind w:firstLine="0" w:firstLineChars="0"/>
              <w:jc w:val="center"/>
              <w:rPr>
                <w:b/>
                <w:bCs/>
                <w:color w:val="auto"/>
                <w:sz w:val="21"/>
                <w:szCs w:val="21"/>
                <w:highlight w:val="none"/>
                <w:u w:val="single"/>
              </w:rPr>
            </w:pPr>
            <w:r>
              <w:rPr>
                <w:b/>
                <w:bCs/>
                <w:color w:val="auto"/>
                <w:spacing w:val="1"/>
                <w:sz w:val="21"/>
                <w:szCs w:val="21"/>
                <w:highlight w:val="none"/>
                <w:u w:val="single"/>
              </w:rPr>
              <w:t>极值</w:t>
            </w:r>
          </w:p>
        </w:tc>
        <w:tc>
          <w:tcPr>
            <w:tcW w:w="1697" w:type="pct"/>
            <w:gridSpan w:val="2"/>
            <w:tcBorders>
              <w:top w:val="single" w:color="auto" w:sz="12" w:space="0"/>
              <w:bottom w:val="single" w:color="auto" w:sz="4" w:space="0"/>
            </w:tcBorders>
            <w:vAlign w:val="center"/>
          </w:tcPr>
          <w:p w14:paraId="6BA0A815">
            <w:pPr>
              <w:topLinePunct w:val="0"/>
              <w:autoSpaceDE w:val="0"/>
              <w:autoSpaceDN w:val="0"/>
              <w:snapToGrid/>
              <w:spacing w:line="240" w:lineRule="auto"/>
              <w:ind w:firstLine="0" w:firstLineChars="0"/>
              <w:jc w:val="center"/>
              <w:rPr>
                <w:b/>
                <w:bCs/>
                <w:color w:val="auto"/>
                <w:sz w:val="21"/>
                <w:szCs w:val="21"/>
                <w:highlight w:val="none"/>
                <w:u w:val="single"/>
              </w:rPr>
            </w:pPr>
            <w:r>
              <w:rPr>
                <w:b/>
                <w:bCs/>
                <w:color w:val="auto"/>
                <w:spacing w:val="1"/>
                <w:sz w:val="21"/>
                <w:szCs w:val="21"/>
                <w:highlight w:val="none"/>
                <w:u w:val="single"/>
              </w:rPr>
              <w:t>平均值</w:t>
            </w:r>
          </w:p>
        </w:tc>
      </w:tr>
      <w:tr w14:paraId="001E19ED">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673" w:type="pct"/>
            <w:vMerge w:val="continue"/>
            <w:tcBorders>
              <w:top w:val="single" w:color="auto" w:sz="4" w:space="0"/>
              <w:bottom w:val="single" w:color="auto" w:sz="4" w:space="0"/>
            </w:tcBorders>
            <w:vAlign w:val="center"/>
          </w:tcPr>
          <w:p w14:paraId="46336A0F">
            <w:pPr>
              <w:topLinePunct w:val="0"/>
              <w:autoSpaceDE w:val="0"/>
              <w:autoSpaceDN w:val="0"/>
              <w:snapToGrid/>
              <w:spacing w:line="240" w:lineRule="auto"/>
              <w:ind w:firstLine="0" w:firstLineChars="0"/>
              <w:jc w:val="center"/>
              <w:rPr>
                <w:b/>
                <w:bCs/>
                <w:color w:val="auto"/>
                <w:sz w:val="21"/>
                <w:szCs w:val="21"/>
                <w:highlight w:val="none"/>
                <w:u w:val="single"/>
              </w:rPr>
            </w:pPr>
          </w:p>
        </w:tc>
        <w:tc>
          <w:tcPr>
            <w:tcW w:w="827" w:type="pct"/>
            <w:tcBorders>
              <w:top w:val="single" w:color="auto" w:sz="4" w:space="0"/>
              <w:bottom w:val="single" w:color="auto" w:sz="4" w:space="0"/>
            </w:tcBorders>
            <w:vAlign w:val="center"/>
          </w:tcPr>
          <w:p w14:paraId="3D78ABB3">
            <w:pPr>
              <w:kinsoku w:val="0"/>
              <w:overflowPunct w:val="0"/>
              <w:topLinePunct w:val="0"/>
              <w:autoSpaceDE w:val="0"/>
              <w:autoSpaceDN w:val="0"/>
              <w:snapToGrid/>
              <w:spacing w:line="240" w:lineRule="auto"/>
              <w:ind w:firstLine="0" w:firstLineChars="0"/>
              <w:jc w:val="center"/>
              <w:rPr>
                <w:b/>
                <w:bCs/>
                <w:color w:val="auto"/>
                <w:sz w:val="21"/>
                <w:szCs w:val="21"/>
                <w:highlight w:val="none"/>
                <w:u w:val="single"/>
              </w:rPr>
            </w:pPr>
            <w:r>
              <w:rPr>
                <w:b/>
                <w:bCs/>
                <w:color w:val="auto"/>
                <w:spacing w:val="1"/>
                <w:sz w:val="21"/>
                <w:szCs w:val="21"/>
                <w:highlight w:val="none"/>
                <w:u w:val="single"/>
              </w:rPr>
              <w:t>最高</w:t>
            </w:r>
          </w:p>
        </w:tc>
        <w:tc>
          <w:tcPr>
            <w:tcW w:w="803" w:type="pct"/>
            <w:tcBorders>
              <w:top w:val="single" w:color="auto" w:sz="4" w:space="0"/>
              <w:bottom w:val="single" w:color="auto" w:sz="4" w:space="0"/>
            </w:tcBorders>
            <w:vAlign w:val="center"/>
          </w:tcPr>
          <w:p w14:paraId="595FBB3B">
            <w:pPr>
              <w:kinsoku w:val="0"/>
              <w:overflowPunct w:val="0"/>
              <w:topLinePunct w:val="0"/>
              <w:autoSpaceDE w:val="0"/>
              <w:autoSpaceDN w:val="0"/>
              <w:snapToGrid/>
              <w:spacing w:line="240" w:lineRule="auto"/>
              <w:ind w:firstLine="0" w:firstLineChars="0"/>
              <w:jc w:val="center"/>
              <w:rPr>
                <w:b/>
                <w:bCs/>
                <w:color w:val="auto"/>
                <w:sz w:val="21"/>
                <w:szCs w:val="21"/>
                <w:highlight w:val="none"/>
                <w:u w:val="single"/>
              </w:rPr>
            </w:pPr>
            <w:r>
              <w:rPr>
                <w:b/>
                <w:bCs/>
                <w:color w:val="auto"/>
                <w:spacing w:val="1"/>
                <w:sz w:val="21"/>
                <w:szCs w:val="21"/>
                <w:highlight w:val="none"/>
                <w:u w:val="single"/>
              </w:rPr>
              <w:t>最低</w:t>
            </w:r>
          </w:p>
        </w:tc>
        <w:tc>
          <w:tcPr>
            <w:tcW w:w="852" w:type="pct"/>
            <w:tcBorders>
              <w:top w:val="single" w:color="auto" w:sz="4" w:space="0"/>
              <w:bottom w:val="single" w:color="auto" w:sz="4" w:space="0"/>
            </w:tcBorders>
            <w:vAlign w:val="center"/>
          </w:tcPr>
          <w:p w14:paraId="489EB208">
            <w:pPr>
              <w:kinsoku w:val="0"/>
              <w:overflowPunct w:val="0"/>
              <w:topLinePunct w:val="0"/>
              <w:autoSpaceDE w:val="0"/>
              <w:autoSpaceDN w:val="0"/>
              <w:snapToGrid/>
              <w:spacing w:line="240" w:lineRule="auto"/>
              <w:ind w:firstLine="0" w:firstLineChars="0"/>
              <w:jc w:val="center"/>
              <w:rPr>
                <w:b/>
                <w:bCs/>
                <w:color w:val="auto"/>
                <w:sz w:val="21"/>
                <w:szCs w:val="21"/>
                <w:highlight w:val="none"/>
                <w:u w:val="single"/>
              </w:rPr>
            </w:pPr>
            <w:r>
              <w:rPr>
                <w:b/>
                <w:bCs/>
                <w:color w:val="auto"/>
                <w:spacing w:val="1"/>
                <w:sz w:val="21"/>
                <w:szCs w:val="21"/>
                <w:highlight w:val="none"/>
                <w:u w:val="single"/>
              </w:rPr>
              <w:t>表层</w:t>
            </w:r>
          </w:p>
        </w:tc>
        <w:tc>
          <w:tcPr>
            <w:tcW w:w="845" w:type="pct"/>
            <w:tcBorders>
              <w:top w:val="single" w:color="auto" w:sz="4" w:space="0"/>
              <w:bottom w:val="single" w:color="auto" w:sz="4" w:space="0"/>
            </w:tcBorders>
            <w:vAlign w:val="center"/>
          </w:tcPr>
          <w:p w14:paraId="0B20B074">
            <w:pPr>
              <w:kinsoku w:val="0"/>
              <w:overflowPunct w:val="0"/>
              <w:topLinePunct w:val="0"/>
              <w:autoSpaceDE w:val="0"/>
              <w:autoSpaceDN w:val="0"/>
              <w:snapToGrid/>
              <w:spacing w:line="240" w:lineRule="auto"/>
              <w:ind w:firstLine="0" w:firstLineChars="0"/>
              <w:jc w:val="center"/>
              <w:rPr>
                <w:b/>
                <w:bCs/>
                <w:color w:val="auto"/>
                <w:sz w:val="21"/>
                <w:szCs w:val="21"/>
                <w:highlight w:val="none"/>
                <w:u w:val="single"/>
              </w:rPr>
            </w:pPr>
            <w:r>
              <w:rPr>
                <w:b/>
                <w:bCs/>
                <w:color w:val="auto"/>
                <w:spacing w:val="1"/>
                <w:sz w:val="21"/>
                <w:szCs w:val="21"/>
                <w:highlight w:val="none"/>
                <w:u w:val="single"/>
              </w:rPr>
              <w:t>底层</w:t>
            </w:r>
          </w:p>
        </w:tc>
      </w:tr>
      <w:tr w14:paraId="2A9B85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673" w:type="pct"/>
            <w:tcBorders>
              <w:top w:val="single" w:color="auto" w:sz="4" w:space="0"/>
              <w:bottom w:val="single" w:color="auto" w:sz="4" w:space="0"/>
            </w:tcBorders>
            <w:vAlign w:val="center"/>
          </w:tcPr>
          <w:p w14:paraId="1DD54D06">
            <w:pPr>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春季</w:t>
            </w:r>
          </w:p>
        </w:tc>
        <w:tc>
          <w:tcPr>
            <w:tcW w:w="827" w:type="pct"/>
            <w:tcBorders>
              <w:top w:val="single" w:color="auto" w:sz="4" w:space="0"/>
              <w:bottom w:val="single" w:color="auto" w:sz="4" w:space="0"/>
            </w:tcBorders>
            <w:vAlign w:val="center"/>
          </w:tcPr>
          <w:p w14:paraId="1AF8B44D">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3</w:t>
            </w:r>
            <w:r>
              <w:rPr>
                <w:color w:val="auto"/>
                <w:spacing w:val="1"/>
                <w:sz w:val="21"/>
                <w:szCs w:val="21"/>
                <w:highlight w:val="none"/>
                <w:u w:val="single"/>
              </w:rPr>
              <w:t>1</w:t>
            </w:r>
            <w:r>
              <w:rPr>
                <w:color w:val="auto"/>
                <w:spacing w:val="-1"/>
                <w:sz w:val="21"/>
                <w:szCs w:val="21"/>
                <w:highlight w:val="none"/>
                <w:u w:val="single"/>
              </w:rPr>
              <w:t>.</w:t>
            </w:r>
            <w:r>
              <w:rPr>
                <w:color w:val="auto"/>
                <w:sz w:val="21"/>
                <w:szCs w:val="21"/>
                <w:highlight w:val="none"/>
                <w:u w:val="single"/>
              </w:rPr>
              <w:t>96</w:t>
            </w:r>
          </w:p>
        </w:tc>
        <w:tc>
          <w:tcPr>
            <w:tcW w:w="803" w:type="pct"/>
            <w:tcBorders>
              <w:top w:val="single" w:color="auto" w:sz="4" w:space="0"/>
              <w:bottom w:val="single" w:color="auto" w:sz="4" w:space="0"/>
            </w:tcBorders>
            <w:vAlign w:val="center"/>
          </w:tcPr>
          <w:p w14:paraId="5229BD05">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1</w:t>
            </w:r>
            <w:r>
              <w:rPr>
                <w:color w:val="auto"/>
                <w:spacing w:val="1"/>
                <w:sz w:val="21"/>
                <w:szCs w:val="21"/>
                <w:highlight w:val="none"/>
                <w:u w:val="single"/>
              </w:rPr>
              <w:t>0</w:t>
            </w:r>
            <w:r>
              <w:rPr>
                <w:color w:val="auto"/>
                <w:spacing w:val="-1"/>
                <w:sz w:val="21"/>
                <w:szCs w:val="21"/>
                <w:highlight w:val="none"/>
                <w:u w:val="single"/>
              </w:rPr>
              <w:t>.</w:t>
            </w:r>
            <w:r>
              <w:rPr>
                <w:color w:val="auto"/>
                <w:sz w:val="21"/>
                <w:szCs w:val="21"/>
                <w:highlight w:val="none"/>
                <w:u w:val="single"/>
              </w:rPr>
              <w:t>99</w:t>
            </w:r>
          </w:p>
        </w:tc>
        <w:tc>
          <w:tcPr>
            <w:tcW w:w="852" w:type="pct"/>
            <w:tcBorders>
              <w:top w:val="single" w:color="auto" w:sz="4" w:space="0"/>
              <w:bottom w:val="single" w:color="auto" w:sz="4" w:space="0"/>
            </w:tcBorders>
            <w:vAlign w:val="center"/>
          </w:tcPr>
          <w:p w14:paraId="26455ADC">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2</w:t>
            </w:r>
            <w:r>
              <w:rPr>
                <w:color w:val="auto"/>
                <w:spacing w:val="1"/>
                <w:sz w:val="21"/>
                <w:szCs w:val="21"/>
                <w:highlight w:val="none"/>
                <w:u w:val="single"/>
              </w:rPr>
              <w:t>6</w:t>
            </w:r>
            <w:r>
              <w:rPr>
                <w:color w:val="auto"/>
                <w:spacing w:val="-1"/>
                <w:sz w:val="21"/>
                <w:szCs w:val="21"/>
                <w:highlight w:val="none"/>
                <w:u w:val="single"/>
              </w:rPr>
              <w:t>.</w:t>
            </w:r>
            <w:r>
              <w:rPr>
                <w:color w:val="auto"/>
                <w:sz w:val="21"/>
                <w:szCs w:val="21"/>
                <w:highlight w:val="none"/>
                <w:u w:val="single"/>
              </w:rPr>
              <w:t>94</w:t>
            </w:r>
          </w:p>
        </w:tc>
        <w:tc>
          <w:tcPr>
            <w:tcW w:w="845" w:type="pct"/>
            <w:tcBorders>
              <w:top w:val="single" w:color="auto" w:sz="4" w:space="0"/>
              <w:bottom w:val="single" w:color="auto" w:sz="4" w:space="0"/>
            </w:tcBorders>
            <w:vAlign w:val="center"/>
          </w:tcPr>
          <w:p w14:paraId="4DBB6EEE">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2</w:t>
            </w:r>
            <w:r>
              <w:rPr>
                <w:color w:val="auto"/>
                <w:spacing w:val="1"/>
                <w:sz w:val="21"/>
                <w:szCs w:val="21"/>
                <w:highlight w:val="none"/>
                <w:u w:val="single"/>
              </w:rPr>
              <w:t>7</w:t>
            </w:r>
            <w:r>
              <w:rPr>
                <w:color w:val="auto"/>
                <w:spacing w:val="-1"/>
                <w:sz w:val="21"/>
                <w:szCs w:val="21"/>
                <w:highlight w:val="none"/>
                <w:u w:val="single"/>
              </w:rPr>
              <w:t>.</w:t>
            </w:r>
            <w:r>
              <w:rPr>
                <w:color w:val="auto"/>
                <w:sz w:val="21"/>
                <w:szCs w:val="21"/>
                <w:highlight w:val="none"/>
                <w:u w:val="single"/>
              </w:rPr>
              <w:t>55</w:t>
            </w:r>
          </w:p>
        </w:tc>
      </w:tr>
      <w:tr w14:paraId="34EAB906">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673" w:type="pct"/>
            <w:tcBorders>
              <w:top w:val="single" w:color="auto" w:sz="4" w:space="0"/>
              <w:bottom w:val="single" w:color="auto" w:sz="4" w:space="0"/>
            </w:tcBorders>
            <w:vAlign w:val="center"/>
          </w:tcPr>
          <w:p w14:paraId="2B5BFA60">
            <w:pPr>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夏季</w:t>
            </w:r>
          </w:p>
        </w:tc>
        <w:tc>
          <w:tcPr>
            <w:tcW w:w="827" w:type="pct"/>
            <w:tcBorders>
              <w:top w:val="single" w:color="auto" w:sz="4" w:space="0"/>
              <w:bottom w:val="single" w:color="auto" w:sz="4" w:space="0"/>
            </w:tcBorders>
            <w:vAlign w:val="center"/>
          </w:tcPr>
          <w:p w14:paraId="02A10E0B">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3</w:t>
            </w:r>
            <w:r>
              <w:rPr>
                <w:color w:val="auto"/>
                <w:spacing w:val="1"/>
                <w:sz w:val="21"/>
                <w:szCs w:val="21"/>
                <w:highlight w:val="none"/>
                <w:u w:val="single"/>
              </w:rPr>
              <w:t>1</w:t>
            </w:r>
            <w:r>
              <w:rPr>
                <w:color w:val="auto"/>
                <w:spacing w:val="-1"/>
                <w:sz w:val="21"/>
                <w:szCs w:val="21"/>
                <w:highlight w:val="none"/>
                <w:u w:val="single"/>
              </w:rPr>
              <w:t>.</w:t>
            </w:r>
            <w:r>
              <w:rPr>
                <w:color w:val="auto"/>
                <w:sz w:val="21"/>
                <w:szCs w:val="21"/>
                <w:highlight w:val="none"/>
                <w:u w:val="single"/>
              </w:rPr>
              <w:t>78</w:t>
            </w:r>
          </w:p>
        </w:tc>
        <w:tc>
          <w:tcPr>
            <w:tcW w:w="803" w:type="pct"/>
            <w:tcBorders>
              <w:top w:val="single" w:color="auto" w:sz="4" w:space="0"/>
              <w:bottom w:val="single" w:color="auto" w:sz="4" w:space="0"/>
            </w:tcBorders>
            <w:vAlign w:val="center"/>
          </w:tcPr>
          <w:p w14:paraId="77A47550">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8.50</w:t>
            </w:r>
          </w:p>
        </w:tc>
        <w:tc>
          <w:tcPr>
            <w:tcW w:w="852" w:type="pct"/>
            <w:tcBorders>
              <w:top w:val="single" w:color="auto" w:sz="4" w:space="0"/>
              <w:bottom w:val="single" w:color="auto" w:sz="4" w:space="0"/>
            </w:tcBorders>
            <w:vAlign w:val="center"/>
          </w:tcPr>
          <w:p w14:paraId="7B357C8A">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2</w:t>
            </w:r>
            <w:r>
              <w:rPr>
                <w:color w:val="auto"/>
                <w:spacing w:val="1"/>
                <w:sz w:val="21"/>
                <w:szCs w:val="21"/>
                <w:highlight w:val="none"/>
                <w:u w:val="single"/>
              </w:rPr>
              <w:t>5</w:t>
            </w:r>
            <w:r>
              <w:rPr>
                <w:color w:val="auto"/>
                <w:spacing w:val="-1"/>
                <w:sz w:val="21"/>
                <w:szCs w:val="21"/>
                <w:highlight w:val="none"/>
                <w:u w:val="single"/>
              </w:rPr>
              <w:t>.</w:t>
            </w:r>
            <w:r>
              <w:rPr>
                <w:color w:val="auto"/>
                <w:sz w:val="21"/>
                <w:szCs w:val="21"/>
                <w:highlight w:val="none"/>
                <w:u w:val="single"/>
              </w:rPr>
              <w:t>10</w:t>
            </w:r>
          </w:p>
        </w:tc>
        <w:tc>
          <w:tcPr>
            <w:tcW w:w="845" w:type="pct"/>
            <w:tcBorders>
              <w:top w:val="single" w:color="auto" w:sz="4" w:space="0"/>
              <w:bottom w:val="single" w:color="auto" w:sz="4" w:space="0"/>
            </w:tcBorders>
            <w:vAlign w:val="center"/>
          </w:tcPr>
          <w:p w14:paraId="4DF7C26D">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2</w:t>
            </w:r>
            <w:r>
              <w:rPr>
                <w:color w:val="auto"/>
                <w:spacing w:val="1"/>
                <w:sz w:val="21"/>
                <w:szCs w:val="21"/>
                <w:highlight w:val="none"/>
                <w:u w:val="single"/>
              </w:rPr>
              <w:t>6</w:t>
            </w:r>
            <w:r>
              <w:rPr>
                <w:color w:val="auto"/>
                <w:spacing w:val="-1"/>
                <w:sz w:val="21"/>
                <w:szCs w:val="21"/>
                <w:highlight w:val="none"/>
                <w:u w:val="single"/>
              </w:rPr>
              <w:t>.</w:t>
            </w:r>
            <w:r>
              <w:rPr>
                <w:color w:val="auto"/>
                <w:sz w:val="21"/>
                <w:szCs w:val="21"/>
                <w:highlight w:val="none"/>
                <w:u w:val="single"/>
              </w:rPr>
              <w:t>45</w:t>
            </w:r>
          </w:p>
        </w:tc>
      </w:tr>
      <w:tr w14:paraId="4874B44F">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673" w:type="pct"/>
            <w:tcBorders>
              <w:top w:val="single" w:color="auto" w:sz="4" w:space="0"/>
              <w:bottom w:val="single" w:color="auto" w:sz="4" w:space="0"/>
            </w:tcBorders>
            <w:vAlign w:val="center"/>
          </w:tcPr>
          <w:p w14:paraId="2BC8E476">
            <w:pPr>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秋季</w:t>
            </w:r>
          </w:p>
        </w:tc>
        <w:tc>
          <w:tcPr>
            <w:tcW w:w="827" w:type="pct"/>
            <w:tcBorders>
              <w:top w:val="single" w:color="auto" w:sz="4" w:space="0"/>
              <w:bottom w:val="single" w:color="auto" w:sz="4" w:space="0"/>
            </w:tcBorders>
            <w:vAlign w:val="center"/>
          </w:tcPr>
          <w:p w14:paraId="54F14F11">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3</w:t>
            </w:r>
            <w:r>
              <w:rPr>
                <w:color w:val="auto"/>
                <w:spacing w:val="1"/>
                <w:sz w:val="21"/>
                <w:szCs w:val="21"/>
                <w:highlight w:val="none"/>
                <w:u w:val="single"/>
              </w:rPr>
              <w:t>1</w:t>
            </w:r>
            <w:r>
              <w:rPr>
                <w:color w:val="auto"/>
                <w:spacing w:val="-1"/>
                <w:sz w:val="21"/>
                <w:szCs w:val="21"/>
                <w:highlight w:val="none"/>
                <w:u w:val="single"/>
              </w:rPr>
              <w:t>.</w:t>
            </w:r>
            <w:r>
              <w:rPr>
                <w:color w:val="auto"/>
                <w:sz w:val="21"/>
                <w:szCs w:val="21"/>
                <w:highlight w:val="none"/>
                <w:u w:val="single"/>
              </w:rPr>
              <w:t>56</w:t>
            </w:r>
          </w:p>
        </w:tc>
        <w:tc>
          <w:tcPr>
            <w:tcW w:w="803" w:type="pct"/>
            <w:tcBorders>
              <w:top w:val="single" w:color="auto" w:sz="4" w:space="0"/>
              <w:bottom w:val="single" w:color="auto" w:sz="4" w:space="0"/>
            </w:tcBorders>
            <w:vAlign w:val="center"/>
          </w:tcPr>
          <w:p w14:paraId="487334F6">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2</w:t>
            </w:r>
            <w:r>
              <w:rPr>
                <w:color w:val="auto"/>
                <w:spacing w:val="1"/>
                <w:sz w:val="21"/>
                <w:szCs w:val="21"/>
                <w:highlight w:val="none"/>
                <w:u w:val="single"/>
              </w:rPr>
              <w:t>1</w:t>
            </w:r>
            <w:r>
              <w:rPr>
                <w:color w:val="auto"/>
                <w:spacing w:val="-1"/>
                <w:sz w:val="21"/>
                <w:szCs w:val="21"/>
                <w:highlight w:val="none"/>
                <w:u w:val="single"/>
              </w:rPr>
              <w:t>.</w:t>
            </w:r>
            <w:r>
              <w:rPr>
                <w:color w:val="auto"/>
                <w:sz w:val="21"/>
                <w:szCs w:val="21"/>
                <w:highlight w:val="none"/>
                <w:u w:val="single"/>
              </w:rPr>
              <w:t>94</w:t>
            </w:r>
          </w:p>
        </w:tc>
        <w:tc>
          <w:tcPr>
            <w:tcW w:w="852" w:type="pct"/>
            <w:tcBorders>
              <w:top w:val="single" w:color="auto" w:sz="4" w:space="0"/>
              <w:bottom w:val="single" w:color="auto" w:sz="4" w:space="0"/>
            </w:tcBorders>
            <w:vAlign w:val="center"/>
          </w:tcPr>
          <w:p w14:paraId="06C3AFE4">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2</w:t>
            </w:r>
            <w:r>
              <w:rPr>
                <w:color w:val="auto"/>
                <w:spacing w:val="1"/>
                <w:sz w:val="21"/>
                <w:szCs w:val="21"/>
                <w:highlight w:val="none"/>
                <w:u w:val="single"/>
              </w:rPr>
              <w:t>9</w:t>
            </w:r>
            <w:r>
              <w:rPr>
                <w:color w:val="auto"/>
                <w:spacing w:val="-1"/>
                <w:sz w:val="21"/>
                <w:szCs w:val="21"/>
                <w:highlight w:val="none"/>
                <w:u w:val="single"/>
              </w:rPr>
              <w:t>.</w:t>
            </w:r>
            <w:r>
              <w:rPr>
                <w:color w:val="auto"/>
                <w:sz w:val="21"/>
                <w:szCs w:val="21"/>
                <w:highlight w:val="none"/>
                <w:u w:val="single"/>
              </w:rPr>
              <w:t>05</w:t>
            </w:r>
          </w:p>
        </w:tc>
        <w:tc>
          <w:tcPr>
            <w:tcW w:w="845" w:type="pct"/>
            <w:tcBorders>
              <w:top w:val="single" w:color="auto" w:sz="4" w:space="0"/>
              <w:bottom w:val="single" w:color="auto" w:sz="4" w:space="0"/>
            </w:tcBorders>
            <w:vAlign w:val="center"/>
          </w:tcPr>
          <w:p w14:paraId="1C3F6E3C">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2</w:t>
            </w:r>
            <w:r>
              <w:rPr>
                <w:color w:val="auto"/>
                <w:spacing w:val="1"/>
                <w:sz w:val="21"/>
                <w:szCs w:val="21"/>
                <w:highlight w:val="none"/>
                <w:u w:val="single"/>
              </w:rPr>
              <w:t>9</w:t>
            </w:r>
            <w:r>
              <w:rPr>
                <w:color w:val="auto"/>
                <w:spacing w:val="-1"/>
                <w:sz w:val="21"/>
                <w:szCs w:val="21"/>
                <w:highlight w:val="none"/>
                <w:u w:val="single"/>
              </w:rPr>
              <w:t>.</w:t>
            </w:r>
            <w:r>
              <w:rPr>
                <w:color w:val="auto"/>
                <w:sz w:val="21"/>
                <w:szCs w:val="21"/>
                <w:highlight w:val="none"/>
                <w:u w:val="single"/>
              </w:rPr>
              <w:t>18</w:t>
            </w:r>
          </w:p>
        </w:tc>
      </w:tr>
      <w:tr w14:paraId="3B25ACBD">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673" w:type="pct"/>
            <w:tcBorders>
              <w:top w:val="single" w:color="auto" w:sz="4" w:space="0"/>
              <w:bottom w:val="single" w:color="auto" w:sz="4" w:space="0"/>
            </w:tcBorders>
            <w:vAlign w:val="center"/>
          </w:tcPr>
          <w:p w14:paraId="40362399">
            <w:pPr>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冬季</w:t>
            </w:r>
          </w:p>
        </w:tc>
        <w:tc>
          <w:tcPr>
            <w:tcW w:w="827" w:type="pct"/>
            <w:tcBorders>
              <w:top w:val="single" w:color="auto" w:sz="4" w:space="0"/>
              <w:bottom w:val="single" w:color="auto" w:sz="4" w:space="0"/>
            </w:tcBorders>
            <w:vAlign w:val="center"/>
          </w:tcPr>
          <w:p w14:paraId="780089CF">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3</w:t>
            </w:r>
            <w:r>
              <w:rPr>
                <w:color w:val="auto"/>
                <w:spacing w:val="1"/>
                <w:sz w:val="21"/>
                <w:szCs w:val="21"/>
                <w:highlight w:val="none"/>
                <w:u w:val="single"/>
              </w:rPr>
              <w:t>2</w:t>
            </w:r>
            <w:r>
              <w:rPr>
                <w:color w:val="auto"/>
                <w:spacing w:val="-1"/>
                <w:sz w:val="21"/>
                <w:szCs w:val="21"/>
                <w:highlight w:val="none"/>
                <w:u w:val="single"/>
              </w:rPr>
              <w:t>.</w:t>
            </w:r>
            <w:r>
              <w:rPr>
                <w:color w:val="auto"/>
                <w:sz w:val="21"/>
                <w:szCs w:val="21"/>
                <w:highlight w:val="none"/>
                <w:u w:val="single"/>
              </w:rPr>
              <w:t>33</w:t>
            </w:r>
          </w:p>
        </w:tc>
        <w:tc>
          <w:tcPr>
            <w:tcW w:w="803" w:type="pct"/>
            <w:tcBorders>
              <w:top w:val="single" w:color="auto" w:sz="4" w:space="0"/>
              <w:bottom w:val="single" w:color="auto" w:sz="4" w:space="0"/>
            </w:tcBorders>
            <w:vAlign w:val="center"/>
          </w:tcPr>
          <w:p w14:paraId="47B3B340">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2</w:t>
            </w:r>
            <w:r>
              <w:rPr>
                <w:color w:val="auto"/>
                <w:spacing w:val="1"/>
                <w:sz w:val="21"/>
                <w:szCs w:val="21"/>
                <w:highlight w:val="none"/>
                <w:u w:val="single"/>
              </w:rPr>
              <w:t>5</w:t>
            </w:r>
            <w:r>
              <w:rPr>
                <w:color w:val="auto"/>
                <w:spacing w:val="-1"/>
                <w:sz w:val="21"/>
                <w:szCs w:val="21"/>
                <w:highlight w:val="none"/>
                <w:u w:val="single"/>
              </w:rPr>
              <w:t>.</w:t>
            </w:r>
            <w:r>
              <w:rPr>
                <w:color w:val="auto"/>
                <w:sz w:val="21"/>
                <w:szCs w:val="21"/>
                <w:highlight w:val="none"/>
                <w:u w:val="single"/>
              </w:rPr>
              <w:t>48</w:t>
            </w:r>
          </w:p>
        </w:tc>
        <w:tc>
          <w:tcPr>
            <w:tcW w:w="852" w:type="pct"/>
            <w:tcBorders>
              <w:top w:val="single" w:color="auto" w:sz="4" w:space="0"/>
              <w:bottom w:val="single" w:color="auto" w:sz="4" w:space="0"/>
            </w:tcBorders>
            <w:vAlign w:val="center"/>
          </w:tcPr>
          <w:p w14:paraId="53F06B33">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3</w:t>
            </w:r>
            <w:r>
              <w:rPr>
                <w:color w:val="auto"/>
                <w:spacing w:val="1"/>
                <w:sz w:val="21"/>
                <w:szCs w:val="21"/>
                <w:highlight w:val="none"/>
                <w:u w:val="single"/>
              </w:rPr>
              <w:t>0</w:t>
            </w:r>
            <w:r>
              <w:rPr>
                <w:color w:val="auto"/>
                <w:spacing w:val="-1"/>
                <w:sz w:val="21"/>
                <w:szCs w:val="21"/>
                <w:highlight w:val="none"/>
                <w:u w:val="single"/>
              </w:rPr>
              <w:t>.</w:t>
            </w:r>
            <w:r>
              <w:rPr>
                <w:color w:val="auto"/>
                <w:sz w:val="21"/>
                <w:szCs w:val="21"/>
                <w:highlight w:val="none"/>
                <w:u w:val="single"/>
              </w:rPr>
              <w:t>76</w:t>
            </w:r>
          </w:p>
        </w:tc>
        <w:tc>
          <w:tcPr>
            <w:tcW w:w="845" w:type="pct"/>
            <w:tcBorders>
              <w:top w:val="single" w:color="auto" w:sz="4" w:space="0"/>
              <w:bottom w:val="single" w:color="auto" w:sz="4" w:space="0"/>
            </w:tcBorders>
            <w:vAlign w:val="center"/>
          </w:tcPr>
          <w:p w14:paraId="494D7245">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3</w:t>
            </w:r>
            <w:r>
              <w:rPr>
                <w:color w:val="auto"/>
                <w:spacing w:val="1"/>
                <w:sz w:val="21"/>
                <w:szCs w:val="21"/>
                <w:highlight w:val="none"/>
                <w:u w:val="single"/>
              </w:rPr>
              <w:t>0</w:t>
            </w:r>
            <w:r>
              <w:rPr>
                <w:color w:val="auto"/>
                <w:spacing w:val="-1"/>
                <w:sz w:val="21"/>
                <w:szCs w:val="21"/>
                <w:highlight w:val="none"/>
                <w:u w:val="single"/>
              </w:rPr>
              <w:t>.</w:t>
            </w:r>
            <w:r>
              <w:rPr>
                <w:color w:val="auto"/>
                <w:sz w:val="21"/>
                <w:szCs w:val="21"/>
                <w:highlight w:val="none"/>
                <w:u w:val="single"/>
              </w:rPr>
              <w:t>88</w:t>
            </w:r>
          </w:p>
        </w:tc>
      </w:tr>
      <w:tr w14:paraId="48312D88">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673" w:type="pct"/>
            <w:tcBorders>
              <w:top w:val="single" w:color="auto" w:sz="4" w:space="0"/>
              <w:bottom w:val="single" w:color="auto" w:sz="12" w:space="0"/>
            </w:tcBorders>
            <w:vAlign w:val="center"/>
          </w:tcPr>
          <w:p w14:paraId="2F60A92D">
            <w:pPr>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全年</w:t>
            </w:r>
          </w:p>
        </w:tc>
        <w:tc>
          <w:tcPr>
            <w:tcW w:w="827" w:type="pct"/>
            <w:tcBorders>
              <w:top w:val="single" w:color="auto" w:sz="4" w:space="0"/>
              <w:bottom w:val="single" w:color="auto" w:sz="12" w:space="0"/>
            </w:tcBorders>
            <w:vAlign w:val="center"/>
          </w:tcPr>
          <w:p w14:paraId="2A46E702">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3</w:t>
            </w:r>
            <w:r>
              <w:rPr>
                <w:color w:val="auto"/>
                <w:spacing w:val="1"/>
                <w:sz w:val="21"/>
                <w:szCs w:val="21"/>
                <w:highlight w:val="none"/>
                <w:u w:val="single"/>
              </w:rPr>
              <w:t>2</w:t>
            </w:r>
            <w:r>
              <w:rPr>
                <w:color w:val="auto"/>
                <w:spacing w:val="-1"/>
                <w:sz w:val="21"/>
                <w:szCs w:val="21"/>
                <w:highlight w:val="none"/>
                <w:u w:val="single"/>
              </w:rPr>
              <w:t>.</w:t>
            </w:r>
            <w:r>
              <w:rPr>
                <w:color w:val="auto"/>
                <w:sz w:val="21"/>
                <w:szCs w:val="21"/>
                <w:highlight w:val="none"/>
                <w:u w:val="single"/>
              </w:rPr>
              <w:t>33</w:t>
            </w:r>
          </w:p>
        </w:tc>
        <w:tc>
          <w:tcPr>
            <w:tcW w:w="803" w:type="pct"/>
            <w:tcBorders>
              <w:top w:val="single" w:color="auto" w:sz="4" w:space="0"/>
              <w:bottom w:val="single" w:color="auto" w:sz="12" w:space="0"/>
            </w:tcBorders>
            <w:vAlign w:val="center"/>
          </w:tcPr>
          <w:p w14:paraId="7D191263">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8.50</w:t>
            </w:r>
          </w:p>
        </w:tc>
        <w:tc>
          <w:tcPr>
            <w:tcW w:w="852" w:type="pct"/>
            <w:tcBorders>
              <w:top w:val="single" w:color="auto" w:sz="4" w:space="0"/>
              <w:bottom w:val="single" w:color="auto" w:sz="12" w:space="0"/>
            </w:tcBorders>
            <w:vAlign w:val="center"/>
          </w:tcPr>
          <w:p w14:paraId="45E357ED">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2</w:t>
            </w:r>
            <w:r>
              <w:rPr>
                <w:color w:val="auto"/>
                <w:spacing w:val="1"/>
                <w:sz w:val="21"/>
                <w:szCs w:val="21"/>
                <w:highlight w:val="none"/>
                <w:u w:val="single"/>
              </w:rPr>
              <w:t>7</w:t>
            </w:r>
            <w:r>
              <w:rPr>
                <w:color w:val="auto"/>
                <w:spacing w:val="-1"/>
                <w:sz w:val="21"/>
                <w:szCs w:val="21"/>
                <w:highlight w:val="none"/>
                <w:u w:val="single"/>
              </w:rPr>
              <w:t>.</w:t>
            </w:r>
            <w:r>
              <w:rPr>
                <w:color w:val="auto"/>
                <w:sz w:val="21"/>
                <w:szCs w:val="21"/>
                <w:highlight w:val="none"/>
                <w:u w:val="single"/>
              </w:rPr>
              <w:t>96</w:t>
            </w:r>
          </w:p>
        </w:tc>
        <w:tc>
          <w:tcPr>
            <w:tcW w:w="845" w:type="pct"/>
            <w:tcBorders>
              <w:top w:val="single" w:color="auto" w:sz="4" w:space="0"/>
              <w:bottom w:val="single" w:color="auto" w:sz="12" w:space="0"/>
            </w:tcBorders>
            <w:vAlign w:val="center"/>
          </w:tcPr>
          <w:p w14:paraId="3DB0F198">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2</w:t>
            </w:r>
            <w:r>
              <w:rPr>
                <w:color w:val="auto"/>
                <w:spacing w:val="1"/>
                <w:sz w:val="21"/>
                <w:szCs w:val="21"/>
                <w:highlight w:val="none"/>
                <w:u w:val="single"/>
              </w:rPr>
              <w:t>8</w:t>
            </w:r>
            <w:r>
              <w:rPr>
                <w:color w:val="auto"/>
                <w:spacing w:val="-1"/>
                <w:sz w:val="21"/>
                <w:szCs w:val="21"/>
                <w:highlight w:val="none"/>
                <w:u w:val="single"/>
              </w:rPr>
              <w:t>.</w:t>
            </w:r>
            <w:r>
              <w:rPr>
                <w:color w:val="auto"/>
                <w:sz w:val="21"/>
                <w:szCs w:val="21"/>
                <w:highlight w:val="none"/>
                <w:u w:val="single"/>
              </w:rPr>
              <w:t>52</w:t>
            </w:r>
          </w:p>
        </w:tc>
      </w:tr>
    </w:tbl>
    <w:p w14:paraId="21ACA807">
      <w:pPr>
        <w:ind w:firstLine="480"/>
        <w:rPr>
          <w:rFonts w:eastAsiaTheme="minorEastAsia"/>
          <w:color w:val="auto"/>
          <w:highlight w:val="none"/>
        </w:rPr>
      </w:pPr>
      <w:r>
        <w:rPr>
          <w:color w:val="auto"/>
          <w:highlight w:val="none"/>
        </w:rPr>
        <w:t>水温变化特征分为夏季型、冬季型和过渡型三种。夏季沿岸水温高，外海低，冬季水温则是外海高沿岸低；春夏分层稳定，上层高，下层低。水温的升降则以春季和秋季为过渡季节。最高水温32.75℃，平均水温21.90℃。</w:t>
      </w:r>
    </w:p>
    <w:p w14:paraId="77B6E46A">
      <w:pPr>
        <w:pStyle w:val="7"/>
        <w:numPr>
          <w:ilvl w:val="2"/>
          <w:numId w:val="9"/>
        </w:numPr>
        <w:rPr>
          <w:color w:val="auto"/>
          <w:sz w:val="28"/>
          <w:highlight w:val="none"/>
        </w:rPr>
      </w:pPr>
      <w:r>
        <w:rPr>
          <w:color w:val="auto"/>
          <w:sz w:val="28"/>
          <w:highlight w:val="none"/>
        </w:rPr>
        <w:t>海域地貌特征与泥沙运动</w:t>
      </w:r>
    </w:p>
    <w:p w14:paraId="3E65A879">
      <w:pPr>
        <w:pStyle w:val="533"/>
        <w:numPr>
          <w:ilvl w:val="3"/>
          <w:numId w:val="9"/>
        </w:numPr>
        <w:rPr>
          <w:color w:val="auto"/>
          <w:szCs w:val="24"/>
          <w:highlight w:val="none"/>
        </w:rPr>
      </w:pPr>
      <w:r>
        <w:rPr>
          <w:color w:val="auto"/>
          <w:szCs w:val="24"/>
          <w:highlight w:val="none"/>
        </w:rPr>
        <w:t>地貌特征</w:t>
      </w:r>
    </w:p>
    <w:p w14:paraId="5CFD0E6F">
      <w:pPr>
        <w:ind w:firstLine="480"/>
        <w:rPr>
          <w:color w:val="auto"/>
          <w:highlight w:val="none"/>
        </w:rPr>
      </w:pPr>
      <w:r>
        <w:rPr>
          <w:color w:val="auto"/>
          <w:highlight w:val="none"/>
        </w:rPr>
        <w:t>钦州湾是冰后期海平面上升，海水淹没钦江和茅岭江古河谷而形成的典型的巨型溺谷湾。该湾深入内陆，岸线蜿蜒曲折，海底地形起伏不平，在沿岸河流水动力和海洋水动力的共同作用下，形成了各种各样的水下动力地貌（图3.1-3）。</w:t>
      </w:r>
    </w:p>
    <w:p w14:paraId="731FA86A">
      <w:pPr>
        <w:ind w:firstLine="480"/>
        <w:rPr>
          <w:color w:val="auto"/>
          <w:highlight w:val="none"/>
        </w:rPr>
      </w:pPr>
      <w:r>
        <w:rPr>
          <w:color w:val="auto"/>
          <w:highlight w:val="none"/>
        </w:rPr>
        <w:t>该湾水下动力地貌主要有：潮间浅滩（包括淤泥滩、沙滩、红树林滩）、河口沙坝、潮沟、潮流沙脊、潮流深槽、水下拦门浅滩、水下岸坡等7种类型。</w:t>
      </w:r>
    </w:p>
    <w:p w14:paraId="208CE086">
      <w:pPr>
        <w:ind w:firstLine="480"/>
        <w:rPr>
          <w:color w:val="auto"/>
          <w:highlight w:val="none"/>
        </w:rPr>
      </w:pPr>
      <w:r>
        <w:rPr>
          <w:color w:val="auto"/>
          <w:highlight w:val="none"/>
        </w:rPr>
        <w:t>（1）潮间浅滩</w:t>
      </w:r>
    </w:p>
    <w:p w14:paraId="578E2B73">
      <w:pPr>
        <w:ind w:firstLine="480"/>
        <w:rPr>
          <w:color w:val="auto"/>
          <w:highlight w:val="none"/>
        </w:rPr>
      </w:pPr>
      <w:r>
        <w:rPr>
          <w:color w:val="auto"/>
          <w:highlight w:val="none"/>
        </w:rPr>
        <w:t>广泛分布于茅尾海、龙门、金鼓江、鹿耳环江和钦州湾东、西两侧湾以及三娘湾沿岸潮间带。潮滩宽阔平坦，一般宽1～3km，最宽的潮滩分布在茅尾海，宽度达4～6km，其次为东岸金鼓江淡水湾沿岸和西岸沙螺寮至山新沿岸一带，宽度2～4km，坡度为1.0‰～2.0‰，位于湾中部勒沟-果子山-鹰岭一带的潮滩最窄，仅0.1～0.3km，坡度较陡，为2.8‰。潮滩受入海河流、沿岸流、近海潮流及波浪作用的影响。潮滩沉积物的粒度由低潮滩向高潮滩逐渐变细，泥质含量逐渐增多，分选性差，如茅尾海南定坪和中部东岸果子山的潮滩最为典型。潮滩的上部往往生长莎草和红树林。茅尾海顶部一带潮滩最上部由于人工围塘而开辟为水稻田和虾蟹养殖塘。潮间浅滩按其沉积物粗细及组成特征可划分为沙滩、沙泥滩、红树林滩。其中，沙滩主要见于钦州湾外湾西南山新-下底坡一带沿海潮间带和三娘湾潮间带中、下部以及麻蓝岛南部沿岸，沉积物</w:t>
      </w:r>
      <w:r>
        <w:rPr>
          <w:rFonts w:hint="eastAsia"/>
          <w:color w:val="auto"/>
          <w:highlight w:val="none"/>
          <w:lang w:eastAsia="zh-CN"/>
        </w:rPr>
        <w:t>由</w:t>
      </w:r>
      <w:r>
        <w:rPr>
          <w:color w:val="auto"/>
          <w:highlight w:val="none"/>
        </w:rPr>
        <w:t>中细砂组成；淤泥滩主要分布在茅尾海沿岸潮间带和金鼓江-鹿耳环江-犀牛脚以及龙门-朱沙港一带，潮间带沉积物以粘土为主，约占60%，砂次之，约40%；红树林滩主要见于钦江河口东侧沿岸，茅尾海西岸，金鼓江、鹿耳环江两侧潮间带中、上部，沉积物组成复杂，由粘土、粉砂、砂组成。</w:t>
      </w:r>
    </w:p>
    <w:p w14:paraId="0425D284">
      <w:pPr>
        <w:pStyle w:val="91"/>
        <w:spacing w:after="0" w:line="360" w:lineRule="auto"/>
        <w:ind w:left="0" w:leftChars="0" w:firstLine="0" w:firstLineChars="0"/>
        <w:jc w:val="center"/>
        <w:rPr>
          <w:rFonts w:ascii="Times New Roman" w:hAnsi="Times New Roman" w:cs="Times New Roman"/>
          <w:color w:val="auto"/>
          <w:highlight w:val="none"/>
        </w:rPr>
      </w:pPr>
      <w:r>
        <w:rPr>
          <w:rFonts w:ascii="Times New Roman" w:hAnsi="Times New Roman" w:cs="Times New Roman"/>
          <w:color w:val="auto"/>
          <w:highlight w:val="none"/>
        </w:rPr>
        <w:drawing>
          <wp:inline distT="0" distB="0" distL="0" distR="0">
            <wp:extent cx="4563110" cy="5762625"/>
            <wp:effectExtent l="0" t="0" r="8890" b="952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99"/>
                    <a:stretch>
                      <a:fillRect/>
                    </a:stretch>
                  </pic:blipFill>
                  <pic:spPr>
                    <a:xfrm>
                      <a:off x="0" y="0"/>
                      <a:ext cx="4568924" cy="5770344"/>
                    </a:xfrm>
                    <a:prstGeom prst="rect">
                      <a:avLst/>
                    </a:prstGeom>
                  </pic:spPr>
                </pic:pic>
              </a:graphicData>
            </a:graphic>
          </wp:inline>
        </w:drawing>
      </w:r>
    </w:p>
    <w:p w14:paraId="3A09CF78">
      <w:pPr>
        <w:pStyle w:val="38"/>
        <w:spacing w:after="0" w:line="240" w:lineRule="auto"/>
        <w:ind w:firstLine="0" w:firstLineChars="0"/>
        <w:jc w:val="center"/>
        <w:rPr>
          <w:b/>
          <w:color w:val="auto"/>
          <w:sz w:val="21"/>
          <w:szCs w:val="21"/>
          <w:highlight w:val="none"/>
        </w:rPr>
      </w:pPr>
      <w:r>
        <w:rPr>
          <w:b/>
          <w:color w:val="auto"/>
          <w:sz w:val="21"/>
          <w:szCs w:val="21"/>
          <w:highlight w:val="none"/>
        </w:rPr>
        <w:t>图3.1-3 钦州港水下动力地貌图</w:t>
      </w:r>
    </w:p>
    <w:p w14:paraId="25690D4E">
      <w:pPr>
        <w:ind w:firstLine="480"/>
        <w:rPr>
          <w:color w:val="auto"/>
          <w:highlight w:val="none"/>
        </w:rPr>
      </w:pPr>
      <w:r>
        <w:rPr>
          <w:color w:val="auto"/>
          <w:highlight w:val="none"/>
        </w:rPr>
        <w:t>（2）河口沙坝</w:t>
      </w:r>
    </w:p>
    <w:p w14:paraId="4A303397">
      <w:pPr>
        <w:ind w:firstLine="480"/>
        <w:rPr>
          <w:color w:val="auto"/>
          <w:highlight w:val="none"/>
        </w:rPr>
      </w:pPr>
      <w:r>
        <w:rPr>
          <w:color w:val="auto"/>
          <w:highlight w:val="none"/>
        </w:rPr>
        <w:t>发育于钦江、茅岭江河口湾内，较大规模的有四道：紫沙、四方沙、按马沙河石西沙。这四道沙坝走向均呈南北向，与潮流流向一致，最大长度约2.3km，最大宽度约1.0km。沉积物中为中砂和细砂，分选性从好到差均有，泥质含量较少，为0～14%，重矿物含量为2.31%～2.72%。这些河口沙坝的成因主要是来自茅尾海南部潮流和北部径流相互作用，流速骤减而沉积形成的。</w:t>
      </w:r>
    </w:p>
    <w:p w14:paraId="363801EC">
      <w:pPr>
        <w:ind w:firstLine="480"/>
        <w:rPr>
          <w:color w:val="auto"/>
          <w:highlight w:val="none"/>
        </w:rPr>
      </w:pPr>
      <w:r>
        <w:rPr>
          <w:color w:val="auto"/>
          <w:highlight w:val="none"/>
        </w:rPr>
        <w:t>（3）潮沟</w:t>
      </w:r>
    </w:p>
    <w:p w14:paraId="1DAE7AF3">
      <w:pPr>
        <w:ind w:firstLine="480"/>
        <w:rPr>
          <w:color w:val="auto"/>
          <w:highlight w:val="none"/>
        </w:rPr>
      </w:pPr>
      <w:r>
        <w:rPr>
          <w:color w:val="auto"/>
          <w:highlight w:val="none"/>
        </w:rPr>
        <w:t>普遍发育于潮间浅滩和深入内陆的潮流汊道地带，一般在高潮期被淹没。低潮期间出露，其与潮滩的滩面高差2～5m，宽50～100m，长2～30km不等，为潮流或径流的通道，可作为小型渔船的天然航道。潮沟的沉积物粗细取决于水动力条件和潮滩的垂向沉积物，通常在流速急而大的潮沟为砂质沉积，如茅尾海的钦江口外和茅岭江口外的潮沟为中砂和中细砂；在流速慢而小的潮沟为泥质沉积，如金鼓江和鹿耳环江潮流汊道沉积物为砂质淤泥。</w:t>
      </w:r>
    </w:p>
    <w:p w14:paraId="49AF894E">
      <w:pPr>
        <w:ind w:firstLine="480"/>
        <w:rPr>
          <w:color w:val="auto"/>
          <w:highlight w:val="none"/>
        </w:rPr>
      </w:pPr>
      <w:r>
        <w:rPr>
          <w:color w:val="auto"/>
          <w:highlight w:val="none"/>
        </w:rPr>
        <w:t>（4）潮流沙脊</w:t>
      </w:r>
    </w:p>
    <w:p w14:paraId="6E3344AF">
      <w:pPr>
        <w:ind w:firstLine="480"/>
        <w:rPr>
          <w:color w:val="auto"/>
          <w:highlight w:val="none"/>
        </w:rPr>
      </w:pPr>
      <w:r>
        <w:rPr>
          <w:color w:val="auto"/>
          <w:highlight w:val="none"/>
        </w:rPr>
        <w:t>发育于钦州湾外湾一带海区，规模较大的潮流沙脊为老人沙，长7.5km，宽约0.7km，长宽比为10.7，沙体走向为NNW，低潮时露出水面，与相邻的深槽水深相差7m 左右。老人沙两侧还有两个小型潮流沙脊在低潮露出水面，组成一个“小”字型，脊潮相间排列，呈辐射状分布。潮流沙脊的沉积物主要为细砂，分选性很好到中等，其中粉砂质成分的含量很低（0～14%）；相邻的深槽沉积物粗细无规律，分选性差，这与潮流的速度、槽的深浅及物源等多种因素有关。</w:t>
      </w:r>
    </w:p>
    <w:p w14:paraId="3FDED520">
      <w:pPr>
        <w:ind w:firstLine="480"/>
        <w:rPr>
          <w:color w:val="auto"/>
          <w:highlight w:val="none"/>
        </w:rPr>
      </w:pPr>
      <w:r>
        <w:rPr>
          <w:color w:val="auto"/>
          <w:highlight w:val="none"/>
        </w:rPr>
        <w:t>（5）潮流深槽</w:t>
      </w:r>
    </w:p>
    <w:p w14:paraId="62A307A9">
      <w:pPr>
        <w:ind w:firstLine="480"/>
        <w:rPr>
          <w:color w:val="auto"/>
          <w:highlight w:val="none"/>
        </w:rPr>
      </w:pPr>
      <w:r>
        <w:rPr>
          <w:color w:val="auto"/>
          <w:highlight w:val="none"/>
        </w:rPr>
        <w:t>钦州湾潮流深槽相当发育，贯通内外湾的主槽在湾中部外端呈指状分叉呈三道，最长的</w:t>
      </w:r>
      <w:r>
        <w:rPr>
          <w:rFonts w:hint="eastAsia"/>
          <w:color w:val="auto"/>
          <w:highlight w:val="none"/>
          <w:lang w:eastAsia="zh-CN"/>
        </w:rPr>
        <w:t>达</w:t>
      </w:r>
      <w:r>
        <w:rPr>
          <w:color w:val="auto"/>
          <w:highlight w:val="none"/>
        </w:rPr>
        <w:t>27km，一般水深为5～10m，最大水深达18.6m，深槽北部沉积物</w:t>
      </w:r>
      <w:r>
        <w:rPr>
          <w:rFonts w:hint="eastAsia"/>
          <w:color w:val="auto"/>
          <w:highlight w:val="none"/>
          <w:lang w:eastAsia="zh-CN"/>
        </w:rPr>
        <w:t>由</w:t>
      </w:r>
      <w:r>
        <w:rPr>
          <w:color w:val="auto"/>
          <w:highlight w:val="none"/>
        </w:rPr>
        <w:t>砂砾物质组成，南部东侧深槽沉积物由泥质砂和中细砂组成，西侧深槽由粗砂或细中砂组成，中间深槽由含砾粗砂组成，潮流深槽为涨、落潮流冲刷海底而成，湾内落潮流速大于涨潮流速，为维持深槽稳定性创造了必要的条件，目前深槽北部已开发为钦州港和龙门港的港池及锚地，南部东、西两道深槽已开发成为钦州港东进港航道和西进港航道，矿区便处于两航道之间。</w:t>
      </w:r>
    </w:p>
    <w:p w14:paraId="2369D2D6">
      <w:pPr>
        <w:ind w:firstLine="480"/>
        <w:rPr>
          <w:color w:val="auto"/>
          <w:highlight w:val="none"/>
        </w:rPr>
      </w:pPr>
      <w:r>
        <w:rPr>
          <w:color w:val="auto"/>
          <w:highlight w:val="none"/>
        </w:rPr>
        <w:t>（6）水下拦门浅滩</w:t>
      </w:r>
    </w:p>
    <w:p w14:paraId="2DCA198F">
      <w:pPr>
        <w:ind w:firstLine="480"/>
        <w:rPr>
          <w:color w:val="auto"/>
          <w:highlight w:val="none"/>
        </w:rPr>
      </w:pPr>
      <w:r>
        <w:rPr>
          <w:color w:val="auto"/>
          <w:highlight w:val="none"/>
        </w:rPr>
        <w:t>发育于钦州湾外湾口门潮流冲刷深槽南端，大潮低潮时水深在2～5m之间，宽1.5～4.0km，与潮流沙脊和潮流流向成垂直关系，但与南向波浪基本平行。其形成</w:t>
      </w:r>
      <w:r>
        <w:rPr>
          <w:rFonts w:hint="eastAsia"/>
          <w:color w:val="auto"/>
          <w:highlight w:val="none"/>
          <w:lang w:eastAsia="zh-CN"/>
        </w:rPr>
        <w:t>原因是</w:t>
      </w:r>
      <w:r>
        <w:rPr>
          <w:color w:val="auto"/>
          <w:highlight w:val="none"/>
        </w:rPr>
        <w:t>潮流和南向波浪共同作用的结果。拦门浅滩沉积物由细砂组成，地形微起伏，向南缓倾斜，坡度为0.1‰～1.5‰，沉积物中碎屑重矿物含量较高，均在1.0%～5.0%之间。</w:t>
      </w:r>
    </w:p>
    <w:p w14:paraId="3D43572B">
      <w:pPr>
        <w:ind w:firstLine="480"/>
        <w:rPr>
          <w:color w:val="auto"/>
          <w:highlight w:val="none"/>
        </w:rPr>
      </w:pPr>
      <w:r>
        <w:rPr>
          <w:color w:val="auto"/>
          <w:highlight w:val="none"/>
        </w:rPr>
        <w:t>（7）水下斜坡</w:t>
      </w:r>
    </w:p>
    <w:p w14:paraId="5B73ECC1">
      <w:pPr>
        <w:ind w:firstLine="480"/>
        <w:rPr>
          <w:color w:val="auto"/>
          <w:highlight w:val="none"/>
        </w:rPr>
      </w:pPr>
      <w:r>
        <w:rPr>
          <w:color w:val="auto"/>
          <w:highlight w:val="none"/>
        </w:rPr>
        <w:t>发育于钦州湾口门外水深5～12m之间，宽4.0～8.0km，西部较窄，东部较宽。水下斜坡的外缘水深为10～13m，且东部水深大，西部水深小，其坡度近岸陡，一般为0.5‰～1.2‰，向海坡度变缓0.1‰～1.0‰。水下斜坡表层沉积物为砂-粉砂-粘土覆盖，沉积物中含较多贝壳碎片和完整贝壳，局部夹有砂质粘土团块，具虫管、钙质骨针。沉积物中有孔虫群含量丰富，一般每50g干样含500～5000枚，最多达10000 枚，其中有孔虫遭受损磨严重，尤其是瓷质贝壳类最为明显，在被磨穿的有孔虫壳体内充填有自生黄铁矿之类矿物。</w:t>
      </w:r>
    </w:p>
    <w:p w14:paraId="094E83AE">
      <w:pPr>
        <w:ind w:firstLine="480"/>
        <w:rPr>
          <w:color w:val="auto"/>
          <w:highlight w:val="none"/>
        </w:rPr>
      </w:pPr>
      <w:r>
        <w:rPr>
          <w:color w:val="auto"/>
          <w:highlight w:val="none"/>
        </w:rPr>
        <w:t>（8）潮下带（水下岸坡）</w:t>
      </w:r>
    </w:p>
    <w:p w14:paraId="241E5C57">
      <w:pPr>
        <w:ind w:firstLine="480"/>
        <w:rPr>
          <w:color w:val="auto"/>
          <w:highlight w:val="none"/>
        </w:rPr>
      </w:pPr>
      <w:r>
        <w:rPr>
          <w:color w:val="auto"/>
          <w:highlight w:val="none"/>
        </w:rPr>
        <w:t>主要分布于金鼓江浅滩东南侧和钦州湾两侧三块石附近海域。该潮下带属于近岸陆坡向海延伸部分，水深一般为0.2m~1.2m，金鼓江浅滩东南侧的水下岸坡较宽，达3km 以上，而三块石水下岸坡宽只有0.5m~1.0m。潮下带的物质组成以细砂为主，含少许淤泥。</w:t>
      </w:r>
    </w:p>
    <w:p w14:paraId="3BC93CF0">
      <w:pPr>
        <w:ind w:firstLine="480"/>
        <w:rPr>
          <w:color w:val="auto"/>
          <w:highlight w:val="none"/>
        </w:rPr>
      </w:pPr>
      <w:r>
        <w:rPr>
          <w:color w:val="auto"/>
          <w:highlight w:val="none"/>
        </w:rPr>
        <w:t>（9）水下岩滩</w:t>
      </w:r>
    </w:p>
    <w:p w14:paraId="32339A08">
      <w:pPr>
        <w:ind w:firstLine="480"/>
        <w:rPr>
          <w:color w:val="auto"/>
          <w:highlight w:val="none"/>
        </w:rPr>
      </w:pPr>
      <w:r>
        <w:rPr>
          <w:color w:val="auto"/>
          <w:highlight w:val="none"/>
        </w:rPr>
        <w:t>水下岩滩主要分布于亚公山东南侧的将军石，果子山附近深槽西侧的小鸦石、乱石和青菜头附近的小鬼石、老鸦石等。这些水下岩滩一般称之水下礁石（暗礁），有部分在低潮时出露（如将军石）。涨潮时才淹没，其特点是对</w:t>
      </w:r>
      <w:r>
        <w:rPr>
          <w:rFonts w:hint="eastAsia"/>
          <w:color w:val="auto"/>
          <w:highlight w:val="none"/>
          <w:lang w:eastAsia="zh-CN"/>
        </w:rPr>
        <w:t>航船</w:t>
      </w:r>
      <w:r>
        <w:rPr>
          <w:color w:val="auto"/>
          <w:highlight w:val="none"/>
        </w:rPr>
        <w:t>有很大威胁性。因为它们都处于航道附近。</w:t>
      </w:r>
    </w:p>
    <w:p w14:paraId="00A8EC64">
      <w:pPr>
        <w:ind w:firstLine="480"/>
        <w:rPr>
          <w:color w:val="auto"/>
          <w:highlight w:val="none"/>
        </w:rPr>
      </w:pPr>
      <w:r>
        <w:rPr>
          <w:color w:val="auto"/>
          <w:highlight w:val="none"/>
        </w:rPr>
        <w:t>（10）深水航道</w:t>
      </w:r>
    </w:p>
    <w:p w14:paraId="6B8176BE">
      <w:pPr>
        <w:ind w:firstLine="480"/>
        <w:rPr>
          <w:color w:val="auto"/>
          <w:highlight w:val="none"/>
        </w:rPr>
      </w:pPr>
      <w:r>
        <w:rPr>
          <w:color w:val="auto"/>
          <w:highlight w:val="none"/>
        </w:rPr>
        <w:t>钦州湾的外湾自青菜头以南海域呈</w:t>
      </w:r>
      <w:r>
        <w:rPr>
          <w:rFonts w:hint="eastAsia"/>
          <w:color w:val="auto"/>
          <w:highlight w:val="none"/>
          <w:lang w:eastAsia="zh-CN"/>
        </w:rPr>
        <w:t>喇叭</w:t>
      </w:r>
      <w:r>
        <w:rPr>
          <w:color w:val="auto"/>
          <w:highlight w:val="none"/>
        </w:rPr>
        <w:t>状展开。在潮流的作用下，形成东、中、西三条水道。其中，西水道基本呈南北走向，槽宽水深，自然水深10m 以上；5m槽全线贯通，宽度1500m~2000m，10m 槽处北端大豪石至大坪石之间水深较小处，可直达钦州湾的口门处。水道南面的拦门沙水深约5m。目前，该水道已经开发成钦州港西航道并投入使用，设计水深16.66m，全长24.4km，可进出载货10 万t 左右的船舶。</w:t>
      </w:r>
    </w:p>
    <w:p w14:paraId="60B53CA0">
      <w:pPr>
        <w:ind w:firstLine="480"/>
        <w:rPr>
          <w:color w:val="auto"/>
          <w:highlight w:val="none"/>
        </w:rPr>
      </w:pPr>
      <w:r>
        <w:rPr>
          <w:color w:val="auto"/>
          <w:highlight w:val="none"/>
        </w:rPr>
        <w:t>东水道呈南南东走向，位于最大潮流脊老人沙东侧，与潮汐通道走向大致相同。其自然水深为5m~10m。在靠近青菜头附近区域，水道的相对水深较大，最深处大于16m，其中，10m槽长约5km，5m槽与口门区的5m深水域相同，槽宽700m~1500m；东水道拦门沙段水深约5m。该水道正在施工，由以前的3万吨级航道向两边拓宽为10 万t 级进港航道。全长33.3km，设计底宽度160m（三墩段航道设计底宽为190m），底标高-13m，设计水深16.66m，乘潮水位3.34m，乘潮保证率为90%。</w:t>
      </w:r>
    </w:p>
    <w:p w14:paraId="23E3B732">
      <w:pPr>
        <w:ind w:firstLine="480"/>
        <w:rPr>
          <w:color w:val="auto"/>
          <w:highlight w:val="none"/>
        </w:rPr>
      </w:pPr>
      <w:r>
        <w:rPr>
          <w:color w:val="auto"/>
          <w:highlight w:val="none"/>
        </w:rPr>
        <w:t>（11）落潮三角洲（水下拦门浅滩）</w:t>
      </w:r>
    </w:p>
    <w:p w14:paraId="71F7B04F">
      <w:pPr>
        <w:ind w:firstLine="480"/>
        <w:rPr>
          <w:color w:val="auto"/>
          <w:highlight w:val="none"/>
        </w:rPr>
      </w:pPr>
      <w:r>
        <w:rPr>
          <w:color w:val="auto"/>
          <w:highlight w:val="none"/>
        </w:rPr>
        <w:t>发育于钦州湾口门至湾口海域，口门处与深槽、砂脊相间排列，水深在0.5m~1.2m之间；湾口处与潮流砂脊、潮流流向成垂直关系，与南向波浪基本平行，水深在2m~5m之间，其形成</w:t>
      </w:r>
      <w:r>
        <w:rPr>
          <w:rFonts w:hint="eastAsia"/>
          <w:color w:val="auto"/>
          <w:highlight w:val="none"/>
          <w:lang w:eastAsia="zh-CN"/>
        </w:rPr>
        <w:t>原因是</w:t>
      </w:r>
      <w:r>
        <w:rPr>
          <w:color w:val="auto"/>
          <w:highlight w:val="none"/>
        </w:rPr>
        <w:t>潮流和南向波浪共同作用的结果。浅滩面较为平坦，微向海（南）倾斜，坡度为0.05%~0.12%，沉积物主要为细砂组成，与潮流砂脊物质组成相近。</w:t>
      </w:r>
    </w:p>
    <w:p w14:paraId="4633BAEA">
      <w:pPr>
        <w:ind w:firstLine="480"/>
        <w:rPr>
          <w:color w:val="auto"/>
          <w:highlight w:val="none"/>
        </w:rPr>
      </w:pPr>
      <w:r>
        <w:rPr>
          <w:color w:val="auto"/>
          <w:highlight w:val="none"/>
        </w:rPr>
        <w:t>工程区地貌主要以水下拦门浅滩地貌和水下斜坡为主。</w:t>
      </w:r>
    </w:p>
    <w:p w14:paraId="4996725B">
      <w:pPr>
        <w:pStyle w:val="533"/>
        <w:numPr>
          <w:ilvl w:val="3"/>
          <w:numId w:val="9"/>
        </w:numPr>
        <w:rPr>
          <w:color w:val="auto"/>
          <w:szCs w:val="24"/>
          <w:highlight w:val="none"/>
        </w:rPr>
      </w:pPr>
      <w:r>
        <w:rPr>
          <w:color w:val="auto"/>
          <w:szCs w:val="24"/>
          <w:highlight w:val="none"/>
        </w:rPr>
        <w:t>泥沙运动</w:t>
      </w:r>
    </w:p>
    <w:p w14:paraId="2BADF49C">
      <w:pPr>
        <w:pStyle w:val="1555"/>
        <w:ind w:firstLine="480"/>
        <w:rPr>
          <w:color w:val="auto"/>
          <w:sz w:val="24"/>
          <w:szCs w:val="24"/>
          <w:highlight w:val="none"/>
        </w:rPr>
      </w:pPr>
      <w:r>
        <w:rPr>
          <w:color w:val="auto"/>
          <w:sz w:val="24"/>
          <w:szCs w:val="24"/>
          <w:highlight w:val="none"/>
        </w:rPr>
        <w:t>钦州湾面积宽广，有17种沉积物类型，分布复杂，但仍有规律可循。沉积物分布与地貌部位及水动力条件密切相关。茅尾海既为内湾纳潮水域，又为钦江和茅岭江入海河口湾，沉积物较细，中值粒径约0.25～0.015mm。龙门岛东部通道峡谷深槽上下及南向潮流冲刷槽，底质较粗，中径约1.0～0.25mm。落潮三角洲潮流冲刷槽之间的沙脊、沙坝和海湾两侧滩地及浅水区，中径约0.5～0.063mm。钦州湾外5～10m水下岸坡，中径一般小于0.063mm。</w:t>
      </w:r>
    </w:p>
    <w:p w14:paraId="4B8DDF8F">
      <w:pPr>
        <w:pStyle w:val="1555"/>
        <w:ind w:firstLine="480"/>
        <w:rPr>
          <w:color w:val="auto"/>
          <w:sz w:val="24"/>
          <w:szCs w:val="24"/>
          <w:highlight w:val="none"/>
        </w:rPr>
      </w:pPr>
      <w:r>
        <w:rPr>
          <w:color w:val="auto"/>
          <w:sz w:val="24"/>
          <w:szCs w:val="24"/>
          <w:highlight w:val="none"/>
        </w:rPr>
        <w:t>钦州湾内湾的茅尾海北面有茅岭江和钦江注入，其中茅岭江年径流量为15.97亿m</w:t>
      </w:r>
      <w:r>
        <w:rPr>
          <w:color w:val="auto"/>
          <w:sz w:val="24"/>
          <w:szCs w:val="24"/>
          <w:highlight w:val="none"/>
          <w:vertAlign w:val="superscript"/>
        </w:rPr>
        <w:t>3</w:t>
      </w:r>
      <w:r>
        <w:rPr>
          <w:color w:val="auto"/>
          <w:sz w:val="24"/>
          <w:szCs w:val="24"/>
          <w:highlight w:val="none"/>
        </w:rPr>
        <w:t>，年均输沙量为31.86万t；钦江年径流量为11.69亿m</w:t>
      </w:r>
      <w:r>
        <w:rPr>
          <w:color w:val="auto"/>
          <w:sz w:val="24"/>
          <w:szCs w:val="24"/>
          <w:highlight w:val="none"/>
          <w:vertAlign w:val="superscript"/>
        </w:rPr>
        <w:t>3</w:t>
      </w:r>
      <w:r>
        <w:rPr>
          <w:color w:val="auto"/>
          <w:sz w:val="24"/>
          <w:szCs w:val="24"/>
          <w:highlight w:val="none"/>
        </w:rPr>
        <w:t>，年均输沙量为26.99万t。两河携带来的泥沙，绝大部分沉积在河口区和茅尾海内，只有极少量极细的颗粒才会随潮进入钦州湾。据2003年8～9月的水文观测，大潮期最大含沙量出现在湾颈处，垂线平均含沙量最大值为0.143kg/m</w:t>
      </w:r>
      <w:r>
        <w:rPr>
          <w:color w:val="auto"/>
          <w:sz w:val="24"/>
          <w:szCs w:val="24"/>
          <w:highlight w:val="none"/>
          <w:vertAlign w:val="superscript"/>
        </w:rPr>
        <w:t>3</w:t>
      </w:r>
      <w:r>
        <w:rPr>
          <w:color w:val="auto"/>
          <w:sz w:val="24"/>
          <w:szCs w:val="24"/>
          <w:highlight w:val="none"/>
        </w:rPr>
        <w:t>，外湾其他各站海水含沙量相对较小，一般在0.002～0.100kg/m</w:t>
      </w:r>
      <w:r>
        <w:rPr>
          <w:color w:val="auto"/>
          <w:sz w:val="24"/>
          <w:szCs w:val="24"/>
          <w:highlight w:val="none"/>
          <w:vertAlign w:val="superscript"/>
        </w:rPr>
        <w:t>3</w:t>
      </w:r>
      <w:r>
        <w:rPr>
          <w:color w:val="auto"/>
          <w:sz w:val="24"/>
          <w:szCs w:val="24"/>
          <w:highlight w:val="none"/>
        </w:rPr>
        <w:t>。水体含沙浓度平面分布，夏季以钦州港区水域相对较高，平均为0.039kg/m</w:t>
      </w:r>
      <w:r>
        <w:rPr>
          <w:color w:val="auto"/>
          <w:sz w:val="24"/>
          <w:szCs w:val="24"/>
          <w:highlight w:val="none"/>
          <w:vertAlign w:val="superscript"/>
        </w:rPr>
        <w:t>3</w:t>
      </w:r>
      <w:r>
        <w:rPr>
          <w:color w:val="auto"/>
          <w:sz w:val="24"/>
          <w:szCs w:val="24"/>
          <w:highlight w:val="none"/>
        </w:rPr>
        <w:t>，其次是钦州湾北部和中部水域均为0.008kg/m</w:t>
      </w:r>
      <w:r>
        <w:rPr>
          <w:color w:val="auto"/>
          <w:sz w:val="24"/>
          <w:szCs w:val="24"/>
          <w:highlight w:val="none"/>
          <w:vertAlign w:val="superscript"/>
        </w:rPr>
        <w:t>3</w:t>
      </w:r>
      <w:r>
        <w:rPr>
          <w:color w:val="auto"/>
          <w:sz w:val="24"/>
          <w:szCs w:val="24"/>
          <w:highlight w:val="none"/>
        </w:rPr>
        <w:t>，钦州湾南部水域较低，平均为0.004kg/m</w:t>
      </w:r>
      <w:r>
        <w:rPr>
          <w:color w:val="auto"/>
          <w:sz w:val="24"/>
          <w:szCs w:val="24"/>
          <w:highlight w:val="none"/>
          <w:vertAlign w:val="superscript"/>
        </w:rPr>
        <w:t>3</w:t>
      </w:r>
      <w:r>
        <w:rPr>
          <w:color w:val="auto"/>
          <w:sz w:val="24"/>
          <w:szCs w:val="24"/>
          <w:highlight w:val="none"/>
        </w:rPr>
        <w:t>；冬季钦州湾北部水域平均为0.009kg/m</w:t>
      </w:r>
      <w:r>
        <w:rPr>
          <w:color w:val="auto"/>
          <w:sz w:val="24"/>
          <w:szCs w:val="24"/>
          <w:highlight w:val="none"/>
          <w:vertAlign w:val="superscript"/>
        </w:rPr>
        <w:t>3</w:t>
      </w:r>
      <w:r>
        <w:rPr>
          <w:color w:val="auto"/>
          <w:sz w:val="24"/>
          <w:szCs w:val="24"/>
          <w:highlight w:val="none"/>
        </w:rPr>
        <w:t>，其次是钦州港区和钦州湾中部水域均为0.008kg/m</w:t>
      </w:r>
      <w:r>
        <w:rPr>
          <w:color w:val="auto"/>
          <w:sz w:val="24"/>
          <w:szCs w:val="24"/>
          <w:highlight w:val="none"/>
          <w:vertAlign w:val="superscript"/>
        </w:rPr>
        <w:t>3</w:t>
      </w:r>
      <w:r>
        <w:rPr>
          <w:color w:val="auto"/>
          <w:sz w:val="24"/>
          <w:szCs w:val="24"/>
          <w:highlight w:val="none"/>
        </w:rPr>
        <w:t>，钦州湾南部水域较低，平均为0.005kg/m</w:t>
      </w:r>
      <w:r>
        <w:rPr>
          <w:color w:val="auto"/>
          <w:sz w:val="24"/>
          <w:szCs w:val="24"/>
          <w:highlight w:val="none"/>
          <w:vertAlign w:val="superscript"/>
        </w:rPr>
        <w:t>3</w:t>
      </w:r>
      <w:r>
        <w:rPr>
          <w:color w:val="auto"/>
          <w:sz w:val="24"/>
          <w:szCs w:val="24"/>
          <w:highlight w:val="none"/>
        </w:rPr>
        <w:t>。除钦州港区夏季测验时水体含沙浓度受挖泥船影响外，总体上平面分布比较均匀。含沙量较小，与流速关系不明显。</w:t>
      </w:r>
    </w:p>
    <w:p w14:paraId="1CC65774">
      <w:pPr>
        <w:pStyle w:val="1555"/>
        <w:ind w:firstLine="480"/>
        <w:rPr>
          <w:color w:val="auto"/>
          <w:sz w:val="24"/>
          <w:szCs w:val="24"/>
          <w:highlight w:val="none"/>
        </w:rPr>
      </w:pPr>
      <w:r>
        <w:rPr>
          <w:color w:val="auto"/>
          <w:sz w:val="24"/>
          <w:szCs w:val="24"/>
          <w:highlight w:val="none"/>
        </w:rPr>
        <w:t>本地区常风向北向，为离岸风，波浪对海岸作用较小。虽S～SW为强浪向，但浪高平均仅为0.6m左右。本海区潮汐动力较强，平均潮差2.51m，最大潮差5.52m，基于上述特点，本区海岸泥沙运动有如下特点：</w:t>
      </w:r>
    </w:p>
    <w:p w14:paraId="0015C334">
      <w:pPr>
        <w:pStyle w:val="1555"/>
        <w:ind w:firstLine="480"/>
        <w:rPr>
          <w:color w:val="auto"/>
          <w:sz w:val="24"/>
          <w:szCs w:val="24"/>
          <w:highlight w:val="none"/>
        </w:rPr>
      </w:pPr>
      <w:r>
        <w:rPr>
          <w:color w:val="auto"/>
          <w:sz w:val="24"/>
          <w:szCs w:val="24"/>
          <w:highlight w:val="none"/>
        </w:rPr>
        <w:t>（1）泥沙来源不多</w:t>
      </w:r>
    </w:p>
    <w:p w14:paraId="5DEE4EFF">
      <w:pPr>
        <w:pStyle w:val="1555"/>
        <w:ind w:firstLine="480"/>
        <w:rPr>
          <w:color w:val="auto"/>
          <w:sz w:val="24"/>
          <w:szCs w:val="24"/>
          <w:highlight w:val="none"/>
        </w:rPr>
      </w:pPr>
      <w:r>
        <w:rPr>
          <w:color w:val="auto"/>
          <w:sz w:val="24"/>
          <w:szCs w:val="24"/>
          <w:highlight w:val="none"/>
        </w:rPr>
        <w:t>①茅岭江和钦江从钦州湾顶注入，但其径流量不大，夹带泥沙有限，且比降骤降，径流携带的泥沙几乎全部沉积在茅尾海中。</w:t>
      </w:r>
    </w:p>
    <w:p w14:paraId="1A5973D1">
      <w:pPr>
        <w:pStyle w:val="1555"/>
        <w:ind w:firstLine="480"/>
        <w:rPr>
          <w:color w:val="auto"/>
          <w:sz w:val="24"/>
          <w:szCs w:val="24"/>
          <w:highlight w:val="none"/>
        </w:rPr>
      </w:pPr>
      <w:r>
        <w:rPr>
          <w:color w:val="auto"/>
          <w:sz w:val="24"/>
          <w:szCs w:val="24"/>
          <w:highlight w:val="none"/>
        </w:rPr>
        <w:t>②钦州湾口处普遍发育有拦门沙，虽潮汐动力较强，但波浪掀沙能力较弱，因而泥沙进入港湾很少。据当地海军多年观察，该拦门沙一直没有扩大和延伸。</w:t>
      </w:r>
    </w:p>
    <w:p w14:paraId="74BCDE9B">
      <w:pPr>
        <w:pStyle w:val="1555"/>
        <w:ind w:firstLine="480"/>
        <w:rPr>
          <w:color w:val="auto"/>
          <w:sz w:val="24"/>
          <w:szCs w:val="24"/>
          <w:highlight w:val="none"/>
        </w:rPr>
      </w:pPr>
      <w:r>
        <w:rPr>
          <w:color w:val="auto"/>
          <w:sz w:val="24"/>
          <w:szCs w:val="24"/>
          <w:highlight w:val="none"/>
        </w:rPr>
        <w:t>③钦州湾内含沙量低</w:t>
      </w:r>
    </w:p>
    <w:p w14:paraId="0CB4DDAB">
      <w:pPr>
        <w:pStyle w:val="1555"/>
        <w:ind w:firstLine="480"/>
        <w:rPr>
          <w:color w:val="auto"/>
          <w:sz w:val="24"/>
          <w:szCs w:val="24"/>
          <w:highlight w:val="none"/>
        </w:rPr>
      </w:pPr>
      <w:r>
        <w:rPr>
          <w:color w:val="auto"/>
          <w:sz w:val="24"/>
          <w:szCs w:val="24"/>
          <w:highlight w:val="none"/>
        </w:rPr>
        <w:t>根据天津水利科学研究所实测资料：最大含沙量：0.08kg/m</w:t>
      </w:r>
      <w:r>
        <w:rPr>
          <w:color w:val="auto"/>
          <w:sz w:val="24"/>
          <w:szCs w:val="24"/>
          <w:highlight w:val="none"/>
          <w:vertAlign w:val="superscript"/>
        </w:rPr>
        <w:t>3</w:t>
      </w:r>
      <w:r>
        <w:rPr>
          <w:color w:val="auto"/>
          <w:sz w:val="24"/>
          <w:szCs w:val="24"/>
          <w:highlight w:val="none"/>
        </w:rPr>
        <w:t>，夏季含沙量：0.05kg/m</w:t>
      </w:r>
      <w:r>
        <w:rPr>
          <w:color w:val="auto"/>
          <w:sz w:val="24"/>
          <w:szCs w:val="24"/>
          <w:highlight w:val="none"/>
          <w:vertAlign w:val="superscript"/>
        </w:rPr>
        <w:t>3</w:t>
      </w:r>
      <w:r>
        <w:rPr>
          <w:color w:val="auto"/>
          <w:sz w:val="24"/>
          <w:szCs w:val="24"/>
          <w:highlight w:val="none"/>
        </w:rPr>
        <w:t>，冬季含沙量：0.03kg/m</w:t>
      </w:r>
      <w:r>
        <w:rPr>
          <w:color w:val="auto"/>
          <w:sz w:val="24"/>
          <w:szCs w:val="24"/>
          <w:highlight w:val="none"/>
          <w:vertAlign w:val="superscript"/>
        </w:rPr>
        <w:t>3</w:t>
      </w:r>
      <w:r>
        <w:rPr>
          <w:color w:val="auto"/>
          <w:sz w:val="24"/>
          <w:szCs w:val="24"/>
          <w:highlight w:val="none"/>
        </w:rPr>
        <w:t>。</w:t>
      </w:r>
    </w:p>
    <w:p w14:paraId="11A89841">
      <w:pPr>
        <w:pStyle w:val="1555"/>
        <w:ind w:firstLine="480"/>
        <w:rPr>
          <w:color w:val="auto"/>
          <w:sz w:val="24"/>
          <w:szCs w:val="24"/>
          <w:highlight w:val="none"/>
        </w:rPr>
      </w:pPr>
      <w:r>
        <w:rPr>
          <w:color w:val="auto"/>
          <w:sz w:val="24"/>
          <w:szCs w:val="24"/>
          <w:highlight w:val="none"/>
        </w:rPr>
        <w:t>勒沟泾东岸有大片洼塘与勒沟泾相通，部分泥沙随地表径流进入洼塘，随涨落潮或洪水带出，但泥沙量不大，且大部分落于勒沟泾口以北。随着钦州港的逐步开发，洼塘填平形成陆域后，自然解决。</w:t>
      </w:r>
    </w:p>
    <w:p w14:paraId="0BE5B2C2">
      <w:pPr>
        <w:pStyle w:val="1555"/>
        <w:ind w:firstLine="480"/>
        <w:rPr>
          <w:color w:val="auto"/>
          <w:sz w:val="24"/>
          <w:szCs w:val="24"/>
          <w:highlight w:val="none"/>
        </w:rPr>
      </w:pPr>
      <w:r>
        <w:rPr>
          <w:color w:val="auto"/>
          <w:sz w:val="24"/>
          <w:szCs w:val="24"/>
          <w:highlight w:val="none"/>
        </w:rPr>
        <w:t>（2）以落潮为主的潮汐水道，平均涨潮历时10h23min，平均落潮历时8h。因落潮流速大于涨潮流速，随涨潮入港之泥沙由落潮水流带出港外，使港区处于不淤或少淤状态。综上所述，本海域不存在大规模泥沙运动，在较强的涨落潮流作用下，港区无明显泥沙冲淤，基本保持动态平衡。</w:t>
      </w:r>
    </w:p>
    <w:p w14:paraId="06077859">
      <w:pPr>
        <w:pStyle w:val="7"/>
        <w:numPr>
          <w:ilvl w:val="2"/>
          <w:numId w:val="9"/>
        </w:numPr>
        <w:rPr>
          <w:color w:val="auto"/>
          <w:sz w:val="28"/>
          <w:highlight w:val="none"/>
        </w:rPr>
      </w:pPr>
      <w:r>
        <w:rPr>
          <w:color w:val="auto"/>
          <w:sz w:val="28"/>
          <w:highlight w:val="none"/>
        </w:rPr>
        <w:t>主要海洋自然灾害</w:t>
      </w:r>
    </w:p>
    <w:p w14:paraId="67A0A6D3">
      <w:pPr>
        <w:ind w:firstLine="480"/>
        <w:rPr>
          <w:rFonts w:eastAsiaTheme="minorEastAsia"/>
          <w:color w:val="auto"/>
          <w:highlight w:val="none"/>
        </w:rPr>
      </w:pPr>
      <w:r>
        <w:rPr>
          <w:rFonts w:eastAsiaTheme="minorEastAsia"/>
          <w:color w:val="auto"/>
          <w:highlight w:val="none"/>
        </w:rPr>
        <w:t>（1）热带气旋</w:t>
      </w:r>
    </w:p>
    <w:p w14:paraId="192CEB35">
      <w:pPr>
        <w:ind w:firstLine="480"/>
        <w:rPr>
          <w:rFonts w:eastAsiaTheme="minorEastAsia"/>
          <w:color w:val="auto"/>
          <w:highlight w:val="none"/>
        </w:rPr>
      </w:pPr>
      <w:r>
        <w:rPr>
          <w:rFonts w:eastAsiaTheme="minorEastAsia"/>
          <w:color w:val="auto"/>
          <w:highlight w:val="none"/>
        </w:rPr>
        <w:t>热带气旋是夏半年袭击北部湾海洋，对广西沿海地区危害最大的一种海洋灾害。根据钦州市气象站的观测资料统计，影响和登陆钦州市的台风平均每年2-3 次。每年5 月～11月属热带气旋影响季节，以7月～9月居多。近年来登陆或影响钦州市的台风主要有：</w:t>
      </w:r>
    </w:p>
    <w:p w14:paraId="6B482213">
      <w:pPr>
        <w:ind w:firstLine="480"/>
        <w:rPr>
          <w:rFonts w:eastAsiaTheme="minorEastAsia"/>
          <w:color w:val="auto"/>
          <w:highlight w:val="none"/>
        </w:rPr>
      </w:pPr>
      <w:r>
        <w:rPr>
          <w:rFonts w:eastAsiaTheme="minorEastAsia"/>
          <w:color w:val="auto"/>
          <w:highlight w:val="none"/>
        </w:rPr>
        <w:t>2007年15号台风“利奇马”、2008年9号台风“北冕”、2012年13号台风“启德”、2013年11号强台风“尤特”、30号台风“海燕”等。根据台风天气网资料，2014年7月强台风“威马逊”影响广西沿海，最大风力48m/s，9月又有台风“海鸥”影响。台风同时带来强降雨，对广西沿海造成较大损失。</w:t>
      </w:r>
    </w:p>
    <w:p w14:paraId="49501A3A">
      <w:pPr>
        <w:ind w:firstLine="480"/>
        <w:rPr>
          <w:rFonts w:eastAsiaTheme="minorEastAsia"/>
          <w:color w:val="auto"/>
          <w:highlight w:val="none"/>
        </w:rPr>
      </w:pPr>
      <w:r>
        <w:rPr>
          <w:rFonts w:eastAsiaTheme="minorEastAsia"/>
          <w:color w:val="auto"/>
          <w:highlight w:val="none"/>
        </w:rPr>
        <w:t>（2）风暴潮</w:t>
      </w:r>
    </w:p>
    <w:p w14:paraId="210B0F7E">
      <w:pPr>
        <w:ind w:firstLine="480"/>
        <w:rPr>
          <w:color w:val="auto"/>
          <w:highlight w:val="none"/>
        </w:rPr>
      </w:pPr>
      <w:r>
        <w:rPr>
          <w:rFonts w:eastAsiaTheme="minorEastAsia"/>
          <w:color w:val="auto"/>
          <w:highlight w:val="none"/>
        </w:rPr>
        <w:t>钦州湾的风暴潮，一般始于每年5月，而止于11月，尤以7月～9月发生最多。根据广西水文水资源局钦州分局在《广西沿海风暴潮预报方案研究》中的统计资料，1950</w:t>
      </w:r>
      <w:r>
        <w:rPr>
          <w:color w:val="auto"/>
          <w:highlight w:val="none"/>
        </w:rPr>
        <w:t>年～</w:t>
      </w:r>
      <w:r>
        <w:rPr>
          <w:rFonts w:eastAsia="TimesNewRoman"/>
          <w:color w:val="auto"/>
          <w:highlight w:val="none"/>
        </w:rPr>
        <w:t>1998</w:t>
      </w:r>
      <w:r>
        <w:rPr>
          <w:color w:val="auto"/>
          <w:highlight w:val="none"/>
        </w:rPr>
        <w:t>年累年出现大于</w:t>
      </w:r>
      <w:r>
        <w:rPr>
          <w:rFonts w:eastAsia="TimesNewRoman"/>
          <w:color w:val="auto"/>
          <w:highlight w:val="none"/>
        </w:rPr>
        <w:t>50cm</w:t>
      </w:r>
      <w:r>
        <w:rPr>
          <w:color w:val="auto"/>
          <w:highlight w:val="none"/>
        </w:rPr>
        <w:t>的台风暴潮增水次数为</w:t>
      </w:r>
      <w:r>
        <w:rPr>
          <w:rFonts w:eastAsia="TimesNewRoman"/>
          <w:color w:val="auto"/>
          <w:highlight w:val="none"/>
        </w:rPr>
        <w:t>193</w:t>
      </w:r>
      <w:r>
        <w:rPr>
          <w:color w:val="auto"/>
          <w:highlight w:val="none"/>
        </w:rPr>
        <w:t>次，平均每年约</w:t>
      </w:r>
      <w:r>
        <w:rPr>
          <w:rFonts w:eastAsia="TimesNewRoman"/>
          <w:color w:val="auto"/>
          <w:highlight w:val="none"/>
        </w:rPr>
        <w:t>4</w:t>
      </w:r>
      <w:r>
        <w:rPr>
          <w:color w:val="auto"/>
          <w:highlight w:val="none"/>
        </w:rPr>
        <w:t>次，其中造成较大风暴潮灾害损失的有</w:t>
      </w:r>
      <w:r>
        <w:rPr>
          <w:rFonts w:eastAsia="TimesNewRoman"/>
          <w:color w:val="auto"/>
          <w:highlight w:val="none"/>
        </w:rPr>
        <w:t>20</w:t>
      </w:r>
      <w:r>
        <w:rPr>
          <w:color w:val="auto"/>
          <w:highlight w:val="none"/>
        </w:rPr>
        <w:t>次，平均每年</w:t>
      </w:r>
      <w:r>
        <w:rPr>
          <w:rFonts w:eastAsia="TimesNewRoman"/>
          <w:color w:val="auto"/>
          <w:highlight w:val="none"/>
        </w:rPr>
        <w:t>0.5</w:t>
      </w:r>
      <w:r>
        <w:rPr>
          <w:color w:val="auto"/>
          <w:highlight w:val="none"/>
        </w:rPr>
        <w:t>次。其中最大增水值为</w:t>
      </w:r>
      <w:r>
        <w:rPr>
          <w:rFonts w:eastAsia="TimesNewRoman"/>
          <w:color w:val="auto"/>
          <w:highlight w:val="none"/>
        </w:rPr>
        <w:t>153cm</w:t>
      </w:r>
      <w:r>
        <w:rPr>
          <w:color w:val="auto"/>
          <w:highlight w:val="none"/>
        </w:rPr>
        <w:t>（</w:t>
      </w:r>
      <w:r>
        <w:rPr>
          <w:rFonts w:eastAsia="TimesNewRoman"/>
          <w:color w:val="auto"/>
          <w:highlight w:val="none"/>
        </w:rPr>
        <w:t>1980</w:t>
      </w:r>
      <w:r>
        <w:rPr>
          <w:color w:val="auto"/>
          <w:highlight w:val="none"/>
        </w:rPr>
        <w:t>年</w:t>
      </w:r>
      <w:r>
        <w:rPr>
          <w:rFonts w:eastAsia="TimesNewRoman"/>
          <w:color w:val="auto"/>
          <w:highlight w:val="none"/>
        </w:rPr>
        <w:t>7</w:t>
      </w:r>
      <w:r>
        <w:rPr>
          <w:color w:val="auto"/>
          <w:highlight w:val="none"/>
        </w:rPr>
        <w:t>月</w:t>
      </w:r>
      <w:r>
        <w:rPr>
          <w:rFonts w:eastAsia="TimesNewRoman"/>
          <w:color w:val="auto"/>
          <w:highlight w:val="none"/>
        </w:rPr>
        <w:t>23</w:t>
      </w:r>
      <w:r>
        <w:rPr>
          <w:color w:val="auto"/>
          <w:highlight w:val="none"/>
        </w:rPr>
        <w:t>日），最大减水值为</w:t>
      </w:r>
      <w:r>
        <w:rPr>
          <w:rFonts w:eastAsia="TimesNewRoman"/>
          <w:color w:val="auto"/>
          <w:highlight w:val="none"/>
        </w:rPr>
        <w:t>167cm</w:t>
      </w:r>
      <w:r>
        <w:rPr>
          <w:color w:val="auto"/>
          <w:highlight w:val="none"/>
        </w:rPr>
        <w:t>（</w:t>
      </w:r>
      <w:r>
        <w:rPr>
          <w:rFonts w:eastAsia="TimesNewRoman"/>
          <w:color w:val="auto"/>
          <w:highlight w:val="none"/>
        </w:rPr>
        <w:t>1973</w:t>
      </w:r>
      <w:r>
        <w:rPr>
          <w:color w:val="auto"/>
          <w:highlight w:val="none"/>
        </w:rPr>
        <w:t>年</w:t>
      </w:r>
      <w:r>
        <w:rPr>
          <w:rFonts w:eastAsia="TimesNewRoman"/>
          <w:color w:val="auto"/>
          <w:highlight w:val="none"/>
        </w:rPr>
        <w:t>10</w:t>
      </w:r>
      <w:r>
        <w:rPr>
          <w:color w:val="auto"/>
          <w:highlight w:val="none"/>
        </w:rPr>
        <w:t>月</w:t>
      </w:r>
      <w:r>
        <w:rPr>
          <w:rFonts w:eastAsia="TimesNewRoman"/>
          <w:color w:val="auto"/>
          <w:highlight w:val="none"/>
        </w:rPr>
        <w:t>14</w:t>
      </w:r>
      <w:r>
        <w:rPr>
          <w:color w:val="auto"/>
          <w:highlight w:val="none"/>
        </w:rPr>
        <w:t>日）。根据广西</w:t>
      </w:r>
      <w:r>
        <w:rPr>
          <w:rFonts w:eastAsia="TimesNewRoman"/>
          <w:color w:val="auto"/>
          <w:highlight w:val="none"/>
        </w:rPr>
        <w:t>2014</w:t>
      </w:r>
      <w:r>
        <w:rPr>
          <w:color w:val="auto"/>
          <w:highlight w:val="none"/>
        </w:rPr>
        <w:t>年海洋环境质量公报，</w:t>
      </w:r>
      <w:r>
        <w:rPr>
          <w:rFonts w:eastAsia="TimesNewRoman"/>
          <w:color w:val="auto"/>
          <w:highlight w:val="none"/>
        </w:rPr>
        <w:t>2014</w:t>
      </w:r>
      <w:r>
        <w:rPr>
          <w:color w:val="auto"/>
          <w:highlight w:val="none"/>
        </w:rPr>
        <w:t>年</w:t>
      </w:r>
      <w:r>
        <w:rPr>
          <w:rFonts w:eastAsia="TimesNewRoman"/>
          <w:color w:val="auto"/>
          <w:highlight w:val="none"/>
        </w:rPr>
        <w:t>7</w:t>
      </w:r>
      <w:r>
        <w:rPr>
          <w:color w:val="auto"/>
          <w:highlight w:val="none"/>
        </w:rPr>
        <w:t>月，受</w:t>
      </w:r>
      <w:r>
        <w:rPr>
          <w:rFonts w:eastAsia="TimesNewRoman"/>
          <w:color w:val="auto"/>
          <w:highlight w:val="none"/>
        </w:rPr>
        <w:t>1409</w:t>
      </w:r>
      <w:r>
        <w:rPr>
          <w:color w:val="auto"/>
          <w:highlight w:val="none"/>
        </w:rPr>
        <w:t>号台风</w:t>
      </w:r>
      <w:r>
        <w:rPr>
          <w:rFonts w:eastAsia="TimesNewRoman"/>
          <w:color w:val="auto"/>
          <w:highlight w:val="none"/>
        </w:rPr>
        <w:t>“</w:t>
      </w:r>
      <w:r>
        <w:rPr>
          <w:color w:val="auto"/>
          <w:highlight w:val="none"/>
        </w:rPr>
        <w:t>威马逊</w:t>
      </w:r>
      <w:r>
        <w:rPr>
          <w:rFonts w:eastAsia="TimesNewRoman"/>
          <w:color w:val="auto"/>
          <w:highlight w:val="none"/>
        </w:rPr>
        <w:t>”</w:t>
      </w:r>
      <w:r>
        <w:rPr>
          <w:color w:val="auto"/>
          <w:highlight w:val="none"/>
        </w:rPr>
        <w:t>外围风力的影响，广西沿海各验潮站出现</w:t>
      </w:r>
      <w:r>
        <w:rPr>
          <w:rFonts w:eastAsia="TimesNewRoman"/>
          <w:color w:val="auto"/>
          <w:highlight w:val="none"/>
        </w:rPr>
        <w:t>84cm</w:t>
      </w:r>
      <w:r>
        <w:rPr>
          <w:color w:val="auto"/>
          <w:highlight w:val="none"/>
        </w:rPr>
        <w:t>～</w:t>
      </w:r>
      <w:r>
        <w:rPr>
          <w:rFonts w:eastAsia="TimesNewRoman"/>
          <w:color w:val="auto"/>
          <w:highlight w:val="none"/>
        </w:rPr>
        <w:t>286cm</w:t>
      </w:r>
      <w:r>
        <w:rPr>
          <w:color w:val="auto"/>
          <w:highlight w:val="none"/>
        </w:rPr>
        <w:t>的风暴增水。</w:t>
      </w:r>
    </w:p>
    <w:p w14:paraId="405E283E">
      <w:pPr>
        <w:ind w:firstLine="480"/>
        <w:rPr>
          <w:color w:val="auto"/>
          <w:highlight w:val="none"/>
        </w:rPr>
      </w:pPr>
      <w:r>
        <w:rPr>
          <w:color w:val="auto"/>
          <w:highlight w:val="none"/>
        </w:rPr>
        <w:t>（</w:t>
      </w:r>
      <w:r>
        <w:rPr>
          <w:rFonts w:eastAsia="TimesNewRoman"/>
          <w:color w:val="auto"/>
          <w:highlight w:val="none"/>
        </w:rPr>
        <w:t>3</w:t>
      </w:r>
      <w:r>
        <w:rPr>
          <w:color w:val="auto"/>
          <w:highlight w:val="none"/>
        </w:rPr>
        <w:t>）暴雨</w:t>
      </w:r>
    </w:p>
    <w:p w14:paraId="773AB9B2">
      <w:pPr>
        <w:ind w:firstLine="480"/>
        <w:rPr>
          <w:color w:val="auto"/>
          <w:highlight w:val="none"/>
        </w:rPr>
      </w:pPr>
      <w:r>
        <w:rPr>
          <w:color w:val="auto"/>
          <w:highlight w:val="none"/>
        </w:rPr>
        <w:t>钦州湾沿岸地形低平，雨量丰富，是广西沿岸暴雨最多的地区之一。以钦州市为例，累年平均雨量</w:t>
      </w:r>
      <w:r>
        <w:rPr>
          <w:rFonts w:eastAsia="TimesNewRoman"/>
          <w:color w:val="auto"/>
          <w:highlight w:val="none"/>
        </w:rPr>
        <w:t>≥50mm</w:t>
      </w:r>
      <w:r>
        <w:rPr>
          <w:color w:val="auto"/>
          <w:highlight w:val="none"/>
        </w:rPr>
        <w:t>的暴雨日数为</w:t>
      </w:r>
      <w:r>
        <w:rPr>
          <w:rFonts w:eastAsia="TimesNewRoman"/>
          <w:color w:val="auto"/>
          <w:highlight w:val="none"/>
        </w:rPr>
        <w:t>9.7d</w:t>
      </w:r>
      <w:r>
        <w:rPr>
          <w:color w:val="auto"/>
          <w:highlight w:val="none"/>
        </w:rPr>
        <w:t>；累年平均雨量</w:t>
      </w:r>
      <w:r>
        <w:rPr>
          <w:rFonts w:eastAsia="TimesNewRoman"/>
          <w:color w:val="auto"/>
          <w:highlight w:val="none"/>
        </w:rPr>
        <w:t>≥80mm</w:t>
      </w:r>
      <w:r>
        <w:rPr>
          <w:color w:val="auto"/>
          <w:highlight w:val="none"/>
        </w:rPr>
        <w:t>的暴雨天数为</w:t>
      </w:r>
      <w:r>
        <w:rPr>
          <w:rFonts w:eastAsia="TimesNewRoman"/>
          <w:color w:val="auto"/>
          <w:highlight w:val="none"/>
        </w:rPr>
        <w:t>4.2d</w:t>
      </w:r>
      <w:r>
        <w:rPr>
          <w:color w:val="auto"/>
          <w:highlight w:val="none"/>
        </w:rPr>
        <w:t>；</w:t>
      </w:r>
      <w:r>
        <w:rPr>
          <w:rFonts w:eastAsia="TimesNewRoman"/>
          <w:color w:val="auto"/>
          <w:highlight w:val="none"/>
        </w:rPr>
        <w:t>≥l00mm</w:t>
      </w:r>
      <w:r>
        <w:rPr>
          <w:color w:val="auto"/>
          <w:highlight w:val="none"/>
        </w:rPr>
        <w:t>的暴雨日数为</w:t>
      </w:r>
      <w:r>
        <w:rPr>
          <w:rFonts w:eastAsia="TimesNewRoman"/>
          <w:color w:val="auto"/>
          <w:highlight w:val="none"/>
        </w:rPr>
        <w:t>2.5d</w:t>
      </w:r>
      <w:r>
        <w:rPr>
          <w:color w:val="auto"/>
          <w:highlight w:val="none"/>
        </w:rPr>
        <w:t>。暴雨一年四季均可出现，以夏季</w:t>
      </w:r>
      <w:r>
        <w:rPr>
          <w:rFonts w:eastAsia="TimesNewRoman"/>
          <w:color w:val="auto"/>
          <w:highlight w:val="none"/>
        </w:rPr>
        <w:t xml:space="preserve">6 </w:t>
      </w:r>
      <w:r>
        <w:rPr>
          <w:color w:val="auto"/>
          <w:highlight w:val="none"/>
        </w:rPr>
        <w:t>月～</w:t>
      </w:r>
      <w:r>
        <w:rPr>
          <w:rFonts w:eastAsia="TimesNewRoman"/>
          <w:color w:val="auto"/>
          <w:highlight w:val="none"/>
        </w:rPr>
        <w:t xml:space="preserve">8 </w:t>
      </w:r>
      <w:r>
        <w:rPr>
          <w:color w:val="auto"/>
          <w:highlight w:val="none"/>
        </w:rPr>
        <w:t>月最多，暴雨天数占全年的</w:t>
      </w:r>
      <w:r>
        <w:rPr>
          <w:rFonts w:eastAsia="TimesNewRoman"/>
          <w:color w:val="auto"/>
          <w:highlight w:val="none"/>
        </w:rPr>
        <w:t>73%</w:t>
      </w:r>
      <w:r>
        <w:rPr>
          <w:color w:val="auto"/>
          <w:highlight w:val="none"/>
        </w:rPr>
        <w:t>，其中以</w:t>
      </w:r>
      <w:r>
        <w:rPr>
          <w:rFonts w:eastAsia="TimesNewRoman"/>
          <w:color w:val="auto"/>
          <w:highlight w:val="none"/>
        </w:rPr>
        <w:t>7</w:t>
      </w:r>
      <w:r>
        <w:rPr>
          <w:color w:val="auto"/>
          <w:highlight w:val="none"/>
        </w:rPr>
        <w:t>月居多，占全年暴雨量的</w:t>
      </w:r>
      <w:r>
        <w:rPr>
          <w:rFonts w:eastAsia="TimesNewRoman"/>
          <w:color w:val="auto"/>
          <w:highlight w:val="none"/>
        </w:rPr>
        <w:t>28%</w:t>
      </w:r>
      <w:r>
        <w:rPr>
          <w:color w:val="auto"/>
          <w:highlight w:val="none"/>
        </w:rPr>
        <w:t>。在钦江、茅岭江流域平均每年出现洪涝</w:t>
      </w:r>
      <w:r>
        <w:rPr>
          <w:rFonts w:eastAsia="TimesNewRoman"/>
          <w:color w:val="auto"/>
          <w:highlight w:val="none"/>
        </w:rPr>
        <w:t xml:space="preserve">0.9 </w:t>
      </w:r>
      <w:r>
        <w:rPr>
          <w:color w:val="auto"/>
          <w:highlight w:val="none"/>
        </w:rPr>
        <w:t>次，平均维持时间为</w:t>
      </w:r>
      <w:r>
        <w:rPr>
          <w:rFonts w:eastAsia="TimesNewRoman"/>
          <w:color w:val="auto"/>
          <w:highlight w:val="none"/>
        </w:rPr>
        <w:t>26h</w:t>
      </w:r>
      <w:r>
        <w:rPr>
          <w:color w:val="auto"/>
          <w:highlight w:val="none"/>
        </w:rPr>
        <w:t>。</w:t>
      </w:r>
    </w:p>
    <w:p w14:paraId="22F2E670">
      <w:pPr>
        <w:ind w:firstLine="480"/>
        <w:rPr>
          <w:color w:val="auto"/>
          <w:highlight w:val="none"/>
        </w:rPr>
      </w:pPr>
      <w:r>
        <w:rPr>
          <w:color w:val="auto"/>
          <w:highlight w:val="none"/>
        </w:rPr>
        <w:t>（4）海雾</w:t>
      </w:r>
    </w:p>
    <w:p w14:paraId="5B7F2B6E">
      <w:pPr>
        <w:ind w:firstLine="480"/>
        <w:rPr>
          <w:color w:val="auto"/>
          <w:highlight w:val="none"/>
        </w:rPr>
      </w:pPr>
      <w:r>
        <w:rPr>
          <w:color w:val="auto"/>
          <w:highlight w:val="none"/>
        </w:rPr>
        <w:t>广西沿海及北部湾的雾一年四季均可出现，平均每年海上雾日20d～25d，历年最多雾日32d（1985年）。海雾多发于春季（11月～翌年4月），尤以3月份最多。海雾生成从早晨4h～5h为多，持续时间一般为3h～4h，最长可持续1d。</w:t>
      </w:r>
    </w:p>
    <w:p w14:paraId="38B20582">
      <w:pPr>
        <w:ind w:firstLine="480"/>
        <w:rPr>
          <w:color w:val="auto"/>
          <w:highlight w:val="none"/>
        </w:rPr>
      </w:pPr>
      <w:r>
        <w:rPr>
          <w:color w:val="auto"/>
          <w:highlight w:val="none"/>
        </w:rPr>
        <w:t>（5）局地强对流灾害性天气</w:t>
      </w:r>
    </w:p>
    <w:p w14:paraId="208A314F">
      <w:pPr>
        <w:ind w:firstLine="480"/>
        <w:rPr>
          <w:color w:val="auto"/>
          <w:highlight w:val="none"/>
        </w:rPr>
      </w:pPr>
      <w:r>
        <w:rPr>
          <w:color w:val="auto"/>
          <w:highlight w:val="none"/>
        </w:rPr>
        <w:t>主要有雷暴、雹线、龙卷风及冰雹等。此类天气一般影响时间短、范围小，但发生突然、来势凶猛、强度大，因而常常造成严重灾害。</w:t>
      </w:r>
    </w:p>
    <w:p w14:paraId="70925872">
      <w:pPr>
        <w:ind w:firstLine="480"/>
        <w:rPr>
          <w:color w:val="auto"/>
          <w:highlight w:val="none"/>
        </w:rPr>
      </w:pPr>
      <w:r>
        <w:rPr>
          <w:color w:val="auto"/>
          <w:highlight w:val="none"/>
        </w:rPr>
        <w:t>（6）地震</w:t>
      </w:r>
    </w:p>
    <w:p w14:paraId="395808D2">
      <w:pPr>
        <w:ind w:firstLine="480"/>
        <w:rPr>
          <w:color w:val="auto"/>
          <w:highlight w:val="none"/>
        </w:rPr>
      </w:pPr>
      <w:r>
        <w:rPr>
          <w:color w:val="auto"/>
          <w:highlight w:val="none"/>
        </w:rPr>
        <w:t>根据《建筑抗震设计规范》（GB50011-2010）附录A和《中国地震动参数区划图》（GB18306-2001），本项目所在地的抗震设防烈度为7度，震峰加速度分区为0.05g区，地震动反映谱特征周期为0.35s。</w:t>
      </w:r>
    </w:p>
    <w:p w14:paraId="0157406D">
      <w:pPr>
        <w:pStyle w:val="6"/>
        <w:numPr>
          <w:ilvl w:val="1"/>
          <w:numId w:val="9"/>
        </w:numPr>
        <w:rPr>
          <w:color w:val="auto"/>
          <w:sz w:val="32"/>
          <w:szCs w:val="32"/>
          <w:highlight w:val="none"/>
        </w:rPr>
      </w:pPr>
      <w:bookmarkStart w:id="133" w:name="_Toc12433"/>
      <w:r>
        <w:rPr>
          <w:color w:val="auto"/>
          <w:sz w:val="32"/>
          <w:szCs w:val="32"/>
          <w:highlight w:val="none"/>
        </w:rPr>
        <w:t>海洋资源概况及开发利用现状</w:t>
      </w:r>
      <w:bookmarkEnd w:id="133"/>
    </w:p>
    <w:p w14:paraId="0B4F4ACD">
      <w:pPr>
        <w:pStyle w:val="7"/>
        <w:numPr>
          <w:ilvl w:val="2"/>
          <w:numId w:val="9"/>
        </w:numPr>
        <w:rPr>
          <w:color w:val="auto"/>
          <w:sz w:val="28"/>
          <w:highlight w:val="none"/>
        </w:rPr>
      </w:pPr>
      <w:r>
        <w:rPr>
          <w:color w:val="auto"/>
          <w:sz w:val="28"/>
          <w:highlight w:val="none"/>
        </w:rPr>
        <w:t>海洋资源概况</w:t>
      </w:r>
    </w:p>
    <w:p w14:paraId="7BF54C99">
      <w:pPr>
        <w:ind w:firstLine="480"/>
        <w:rPr>
          <w:color w:val="auto"/>
          <w:highlight w:val="none"/>
        </w:rPr>
      </w:pPr>
      <w:r>
        <w:rPr>
          <w:color w:val="auto"/>
          <w:highlight w:val="none"/>
        </w:rPr>
        <w:t>项目所在区域钦州湾海洋资源主要有港口与航道资源、渔业资源、旅游资源、红树林资源、海洋矿产资源等。</w:t>
      </w:r>
    </w:p>
    <w:p w14:paraId="0C8882C8">
      <w:pPr>
        <w:pStyle w:val="533"/>
        <w:numPr>
          <w:ilvl w:val="3"/>
          <w:numId w:val="9"/>
        </w:numPr>
        <w:rPr>
          <w:color w:val="auto"/>
          <w:szCs w:val="24"/>
          <w:highlight w:val="none"/>
        </w:rPr>
      </w:pPr>
      <w:r>
        <w:rPr>
          <w:color w:val="auto"/>
          <w:szCs w:val="24"/>
          <w:highlight w:val="none"/>
        </w:rPr>
        <w:t>港口与航道资源</w:t>
      </w:r>
    </w:p>
    <w:p w14:paraId="6C0DF1D2">
      <w:pPr>
        <w:ind w:firstLine="480"/>
        <w:rPr>
          <w:color w:val="auto"/>
          <w:highlight w:val="none"/>
          <w:u w:val="single"/>
        </w:rPr>
      </w:pPr>
      <w:r>
        <w:rPr>
          <w:color w:val="auto"/>
          <w:highlight w:val="none"/>
          <w:u w:val="single"/>
        </w:rPr>
        <w:t>（1）港口资源</w:t>
      </w:r>
    </w:p>
    <w:p w14:paraId="6E02E3D9">
      <w:pPr>
        <w:ind w:firstLine="480"/>
        <w:rPr>
          <w:color w:val="auto"/>
          <w:highlight w:val="none"/>
          <w:u w:val="single"/>
        </w:rPr>
      </w:pPr>
      <w:r>
        <w:rPr>
          <w:rFonts w:hint="eastAsia"/>
          <w:color w:val="auto"/>
          <w:highlight w:val="none"/>
          <w:u w:val="single"/>
        </w:rPr>
        <w:t>钦州港现主要生产性泊位集中在金谷港区、大榄坪港区和三墩港区。2024 年钦州港年货物吞吐量首次突破2亿吨，从1994年的12.2万吨，到2007年突破1000万吨，到2018年突破1亿吨，再到2024年突破2亿吨，实现了历史性、跨越式发展。目前，北部湾港集装箱航线共有79条，挂靠钦州港的集装箱航线就有72条，其中外贸42条，内贸30条，基本实现国内主要港口和东南亚、东北亚主要港口全覆盖，通达全球100 多个国家和地区的200 多个港口。</w:t>
      </w:r>
    </w:p>
    <w:p w14:paraId="7FEBDEA9">
      <w:pPr>
        <w:ind w:firstLine="480"/>
        <w:rPr>
          <w:color w:val="auto"/>
          <w:highlight w:val="none"/>
          <w:u w:val="single"/>
        </w:rPr>
      </w:pPr>
      <w:r>
        <w:rPr>
          <w:rFonts w:hint="eastAsia"/>
          <w:color w:val="auto"/>
          <w:highlight w:val="none"/>
          <w:u w:val="single"/>
        </w:rPr>
        <w:t>工程附近为大榄坪港区和三墩港区。大榄坪港区已建成大榄坪南作业区，目前大榄坪作业区正在开发建设。大榄坪南作业区现有广西北部湾国际港务集团有限公司的13个5～10万吨级生产性泊位，其中大榄坪南作业区1号～7号泊位为7万吨级多用途泊位，8号泊位为10万吨级集装箱泊位，12号～13号泊位为10万吨级多用途泊位。大榄坪北1 号泊位为7 万吨级商品汽车滚装泊位，北2号～北3号泊位为5万吨级多用途泊位。主要货种有煤炭、轻工医药产品、金属矿石、粮食、非金属矿石、钢铁、化工原料及制品、木材等，大榄坪港区已发展成为钦州港的主要集装箱作业区。</w:t>
      </w:r>
    </w:p>
    <w:p w14:paraId="16C9E9B7">
      <w:pPr>
        <w:ind w:firstLine="480"/>
        <w:rPr>
          <w:color w:val="auto"/>
          <w:highlight w:val="none"/>
          <w:u w:val="single"/>
        </w:rPr>
      </w:pPr>
      <w:r>
        <w:rPr>
          <w:rFonts w:hint="eastAsia"/>
          <w:color w:val="auto"/>
          <w:highlight w:val="none"/>
          <w:u w:val="single"/>
        </w:rPr>
        <w:t>钦州港三墩作业区已初具规模，2019年建成广西北部湾国际港务集团有限公司的1 个30 万吨级原油泊位，码头岸线长546.3m，年通过能力986 万吨。除此之外，中船基地后方陆域吹填工程大部分已完成，码头工程项目总体建设有序推进中。目前厂区内已建一座395m直立式驳岸码头；以及2#出运码头和5#舾装码头。三墩作业区2#码头和5#码头主体工程已顺利完成；码头前沿停泊水域已完成疏浚，港池内连接水域于2025 年3 月完成疏浚。</w:t>
      </w:r>
    </w:p>
    <w:p w14:paraId="5B17CFBF">
      <w:pPr>
        <w:ind w:firstLine="480"/>
        <w:rPr>
          <w:color w:val="auto"/>
          <w:highlight w:val="none"/>
          <w:u w:val="single"/>
        </w:rPr>
      </w:pPr>
      <w:r>
        <w:rPr>
          <w:color w:val="auto"/>
          <w:highlight w:val="none"/>
          <w:u w:val="single"/>
        </w:rPr>
        <w:t>（2）航道资源</w:t>
      </w:r>
    </w:p>
    <w:p w14:paraId="3B89AA0E">
      <w:pPr>
        <w:ind w:firstLine="480"/>
        <w:rPr>
          <w:color w:val="auto"/>
          <w:highlight w:val="none"/>
          <w:u w:val="single"/>
        </w:rPr>
      </w:pPr>
      <w:r>
        <w:rPr>
          <w:rFonts w:hint="eastAsia"/>
          <w:color w:val="auto"/>
          <w:highlight w:val="none"/>
          <w:u w:val="single"/>
        </w:rPr>
        <w:t>目前，钦州港有两条进港航道。</w:t>
      </w:r>
    </w:p>
    <w:p w14:paraId="2B4DA27F">
      <w:pPr>
        <w:ind w:firstLine="480"/>
        <w:rPr>
          <w:color w:val="auto"/>
          <w:highlight w:val="none"/>
          <w:u w:val="single"/>
        </w:rPr>
      </w:pPr>
      <w:r>
        <w:rPr>
          <w:rFonts w:hint="eastAsia"/>
          <w:color w:val="auto"/>
          <w:highlight w:val="none"/>
          <w:u w:val="single"/>
        </w:rPr>
        <w:t>一条是位于钦州湾西深槽的西航道，从拦门沙进口至勒沟作业区起步码头港池止，为万吨级单向航道，全长24.4km。西航道拦门沙至大红排段底宽95m，大红排至青菜头段底宽110m，底高程-6.6m，乘潮保证率90%。西航道全程设有灯浮标22 座，助导航设施基本齐全。</w:t>
      </w:r>
    </w:p>
    <w:p w14:paraId="5C5F9995">
      <w:pPr>
        <w:ind w:firstLine="480"/>
        <w:rPr>
          <w:color w:val="auto"/>
          <w:highlight w:val="none"/>
          <w:u w:val="single"/>
        </w:rPr>
      </w:pPr>
      <w:r>
        <w:rPr>
          <w:rFonts w:hint="eastAsia"/>
          <w:color w:val="auto"/>
          <w:highlight w:val="none"/>
          <w:u w:val="single"/>
        </w:rPr>
        <w:t>另一条是位于东深槽的东航道，钦州东航道轴线走向由南向北，从钦州湾口经三墩、大榄坪、鹰岭、果子山、勒沟至樟木环。</w:t>
      </w:r>
    </w:p>
    <w:p w14:paraId="5A93D2DA">
      <w:pPr>
        <w:ind w:firstLine="480"/>
        <w:rPr>
          <w:color w:val="auto"/>
          <w:highlight w:val="none"/>
          <w:u w:val="single"/>
        </w:rPr>
      </w:pPr>
      <w:r>
        <w:rPr>
          <w:rFonts w:hint="eastAsia"/>
          <w:color w:val="auto"/>
          <w:highlight w:val="none"/>
          <w:u w:val="single"/>
        </w:rPr>
        <w:t>①东航道湾外航道段</w:t>
      </w:r>
    </w:p>
    <w:p w14:paraId="740CDA58">
      <w:pPr>
        <w:ind w:firstLine="480"/>
        <w:rPr>
          <w:color w:val="auto"/>
          <w:highlight w:val="none"/>
          <w:u w:val="single"/>
        </w:rPr>
      </w:pPr>
      <w:r>
        <w:rPr>
          <w:rFonts w:hint="eastAsia"/>
          <w:color w:val="auto"/>
          <w:highlight w:val="none"/>
          <w:u w:val="single"/>
        </w:rPr>
        <w:t>钦州湾口至外海-21.0m 水深处已建成30万吨级单向航道，可乘潮通航30 万吨级油轮，航道走向9°～189°，长34.3km，通航宽度320m，底高程-21.0m，乘潮保证率62%；钦州湾口至30 万吨级油码头的30万吨级进港航道支航道工程亦已建成，长9km，通航宽度320m，底高程-21.0m。航道配套的导助航设施较为完善。</w:t>
      </w:r>
    </w:p>
    <w:p w14:paraId="2C216A6A">
      <w:pPr>
        <w:ind w:firstLine="480"/>
        <w:rPr>
          <w:color w:val="auto"/>
          <w:highlight w:val="none"/>
          <w:u w:val="single"/>
        </w:rPr>
      </w:pPr>
      <w:r>
        <w:rPr>
          <w:rFonts w:hint="eastAsia"/>
          <w:color w:val="auto"/>
          <w:highlight w:val="none"/>
          <w:u w:val="single"/>
        </w:rPr>
        <w:t>②湾口至金鼓江口段</w:t>
      </w:r>
    </w:p>
    <w:p w14:paraId="18FC3582">
      <w:pPr>
        <w:ind w:firstLine="480"/>
        <w:rPr>
          <w:color w:val="auto"/>
          <w:highlight w:val="none"/>
          <w:u w:val="single"/>
        </w:rPr>
      </w:pPr>
      <w:r>
        <w:rPr>
          <w:rFonts w:hint="eastAsia"/>
          <w:color w:val="auto"/>
          <w:highlight w:val="none"/>
          <w:u w:val="single"/>
        </w:rPr>
        <w:t>钦州港东航道扩建工程（扩建10万吨级双向航道）起点为钦州港东航道外海-13.3m 水深处，从南往北依次为南段航道、三墩航道、大榄坪航道1、大榄坪航道2，终点为大榄坪1 号泊位船舶回旋水域处，航道通航宽度360～390m，底高程-13.3m，可满足10 万吨级集装箱船舶乘潮（乘潮水位为3.43m，3小时90%保证率）通航需要。</w:t>
      </w:r>
      <w:r>
        <w:rPr>
          <w:rFonts w:hint="eastAsia"/>
          <w:color w:val="auto"/>
          <w:highlight w:val="none"/>
          <w:u w:val="single"/>
          <w:lang w:eastAsia="zh-CN"/>
        </w:rPr>
        <w:t>工程</w:t>
      </w:r>
      <w:r>
        <w:rPr>
          <w:rFonts w:hint="eastAsia"/>
          <w:color w:val="auto"/>
          <w:highlight w:val="none"/>
          <w:u w:val="single"/>
        </w:rPr>
        <w:t>分两期建设，于2020年6月完工。</w:t>
      </w:r>
    </w:p>
    <w:p w14:paraId="1E9D7D44">
      <w:pPr>
        <w:ind w:firstLine="480"/>
        <w:rPr>
          <w:color w:val="auto"/>
          <w:highlight w:val="none"/>
          <w:u w:val="single"/>
        </w:rPr>
      </w:pPr>
      <w:r>
        <w:rPr>
          <w:rFonts w:hint="eastAsia"/>
          <w:color w:val="auto"/>
          <w:highlight w:val="none"/>
          <w:u w:val="single"/>
        </w:rPr>
        <w:t>钦州港东航道扩建调整工程南起于钦州湾湾口南端航道的南端，北至金鼓江口与果鹰航道相接处，航道长23.34km。调整工程在满足10 万吨级集装箱船双向乘潮通航（保证率90%）基础上，按满足10万吨级集装箱船满载单向不乘潮进出港、兼顾15万吨级集装箱船满载单向乘潮进出港（乘潮历时3.0 小时、保证率100%）和20万吨级集装箱船满载单向乘潮进出港（乘潮历时3.0 小时、保证率90%）的通航要求建设。目前钦州港东航道扩建调整工程已交工验收。</w:t>
      </w:r>
    </w:p>
    <w:p w14:paraId="1ADB66A8">
      <w:pPr>
        <w:ind w:firstLine="480"/>
        <w:rPr>
          <w:color w:val="auto"/>
          <w:highlight w:val="none"/>
          <w:u w:val="single"/>
        </w:rPr>
      </w:pPr>
      <w:r>
        <w:rPr>
          <w:rFonts w:hint="eastAsia"/>
          <w:color w:val="auto"/>
          <w:highlight w:val="none"/>
          <w:u w:val="single"/>
        </w:rPr>
        <w:t>③果鹰航道段</w:t>
      </w:r>
    </w:p>
    <w:p w14:paraId="6DFE0369">
      <w:pPr>
        <w:ind w:firstLine="480"/>
        <w:rPr>
          <w:color w:val="auto"/>
          <w:highlight w:val="none"/>
          <w:u w:val="single"/>
        </w:rPr>
      </w:pPr>
      <w:r>
        <w:rPr>
          <w:rFonts w:hint="eastAsia"/>
          <w:color w:val="auto"/>
          <w:highlight w:val="none"/>
          <w:u w:val="single"/>
        </w:rPr>
        <w:t>金鼓江口至中石化泊位前方为果鹰航道，现状为10 万吨级单向航道，航道设计底宽为160m～190m，底高程-13.0m，乘潮保证率80%。</w:t>
      </w:r>
    </w:p>
    <w:p w14:paraId="44D5BED1">
      <w:pPr>
        <w:ind w:firstLine="480"/>
        <w:rPr>
          <w:color w:val="auto"/>
          <w:highlight w:val="none"/>
          <w:u w:val="single"/>
        </w:rPr>
      </w:pPr>
      <w:r>
        <w:rPr>
          <w:rFonts w:hint="eastAsia"/>
          <w:color w:val="auto"/>
          <w:highlight w:val="none"/>
          <w:u w:val="single"/>
        </w:rPr>
        <w:t>④果子山作业区至勒沟作业区段</w:t>
      </w:r>
    </w:p>
    <w:p w14:paraId="57063283">
      <w:pPr>
        <w:ind w:firstLine="480"/>
        <w:rPr>
          <w:color w:val="auto"/>
          <w:highlight w:val="none"/>
          <w:u w:val="single"/>
        </w:rPr>
      </w:pPr>
      <w:r>
        <w:rPr>
          <w:rFonts w:hint="eastAsia"/>
          <w:color w:val="auto"/>
          <w:highlight w:val="none"/>
          <w:u w:val="single"/>
        </w:rPr>
        <w:t>目前，钦州港东航道果子山作业区至勒沟作业区航段调整工程按满足7万吨级散货船满载单向乘潮通航标准建设，乘潮保证率90%，航道里程全长约2.1km，航道通航宽度140m，航道设计底高程为-12.7m（当地理论深度基准面）。航道南起鹰岭作业区中石化泊位前方，北至勒沟作业区13#、14#泊位，衔接钦州港10万吨级单向航道与果子山至樟木环3万吨级航道。航道选线方案总体上采用在现有3万吨级航道基础上往南偏移方式，通过尽量避开水深不满足要求区域，对航线范围内局部浅点进行浚深，从而满足7万吨级散货船满载通行要求的目的。航道亦调整完善了浮标设施配布。</w:t>
      </w:r>
    </w:p>
    <w:p w14:paraId="23CCBC95">
      <w:pPr>
        <w:ind w:firstLine="480"/>
        <w:rPr>
          <w:color w:val="auto"/>
          <w:highlight w:val="none"/>
          <w:u w:val="single"/>
        </w:rPr>
      </w:pPr>
      <w:r>
        <w:rPr>
          <w:rFonts w:hint="eastAsia"/>
          <w:color w:val="auto"/>
          <w:highlight w:val="none"/>
          <w:u w:val="single"/>
        </w:rPr>
        <w:t>⑤勒沟作业区至樟木环段</w:t>
      </w:r>
    </w:p>
    <w:p w14:paraId="006B76AD">
      <w:pPr>
        <w:ind w:firstLine="480"/>
        <w:rPr>
          <w:color w:val="auto"/>
          <w:highlight w:val="none"/>
          <w:u w:val="single"/>
        </w:rPr>
      </w:pPr>
      <w:r>
        <w:rPr>
          <w:rFonts w:hint="eastAsia"/>
          <w:color w:val="auto"/>
          <w:highlight w:val="none"/>
          <w:u w:val="single"/>
        </w:rPr>
        <w:t>勒沟作业区至樟木环航道仍保持3 万吨级航道，设计底宽110m，设计通航水深12.3m，航道设计底标高为-8.9m，乘潮水位3.43m，历时3小时、保证率为90%</w:t>
      </w:r>
    </w:p>
    <w:p w14:paraId="35B47675">
      <w:pPr>
        <w:ind w:firstLine="480"/>
        <w:rPr>
          <w:color w:val="auto"/>
          <w:highlight w:val="none"/>
        </w:rPr>
      </w:pPr>
    </w:p>
    <w:p w14:paraId="67313567">
      <w:pPr>
        <w:pStyle w:val="533"/>
        <w:numPr>
          <w:ilvl w:val="3"/>
          <w:numId w:val="9"/>
        </w:numPr>
        <w:rPr>
          <w:color w:val="auto"/>
          <w:szCs w:val="24"/>
          <w:highlight w:val="none"/>
        </w:rPr>
      </w:pPr>
      <w:r>
        <w:rPr>
          <w:color w:val="auto"/>
          <w:szCs w:val="24"/>
          <w:highlight w:val="none"/>
        </w:rPr>
        <w:t>岸线资源</w:t>
      </w:r>
    </w:p>
    <w:p w14:paraId="65DA9FFC">
      <w:pPr>
        <w:ind w:firstLine="480"/>
        <w:rPr>
          <w:color w:val="auto"/>
          <w:highlight w:val="none"/>
        </w:rPr>
      </w:pPr>
      <w:r>
        <w:rPr>
          <w:color w:val="auto"/>
          <w:highlight w:val="none"/>
        </w:rPr>
        <w:t>根据钦州市大陆海岸线2019年修测成果，钦州市大陆海岸线修测516.03千米，其中自然岸线191.72千米，占比37.15%；人工岸线322.30千米，占比62.46%；其他岸线2.00千米，占比0.39%，主要分布在钦州市三娘湾。本项目</w:t>
      </w:r>
      <w:r>
        <w:rPr>
          <w:rFonts w:hint="eastAsia"/>
          <w:color w:val="auto"/>
          <w:highlight w:val="none"/>
        </w:rPr>
        <w:t>评价</w:t>
      </w:r>
      <w:r>
        <w:rPr>
          <w:color w:val="auto"/>
          <w:highlight w:val="none"/>
        </w:rPr>
        <w:t>范围内大陆海岸线长度约63.91千米，其中人工岸线52.38千米，自然岸线11.53千米，项目所在海域主要为人工岸线。</w:t>
      </w:r>
    </w:p>
    <w:p w14:paraId="0F387226">
      <w:pPr>
        <w:ind w:firstLine="480"/>
        <w:rPr>
          <w:color w:val="auto"/>
          <w:highlight w:val="none"/>
        </w:rPr>
      </w:pPr>
      <w:r>
        <w:rPr>
          <w:color w:val="auto"/>
          <w:highlight w:val="none"/>
        </w:rPr>
        <w:t>钦州市宜建港岸线长 86.1km，其中深水岸线 54.5km。钦州湾自亚公山至青菜头潮汐通道两侧沿岸和果子山至犀牛脚和三墩沿岸一带，潮流流速大，泥沙回淤少，天然屏障良好，水深条件优良，具有建设深水良港的自然条件。</w:t>
      </w:r>
    </w:p>
    <w:p w14:paraId="037FC8FE">
      <w:pPr>
        <w:pStyle w:val="533"/>
        <w:numPr>
          <w:ilvl w:val="3"/>
          <w:numId w:val="9"/>
        </w:numPr>
        <w:rPr>
          <w:color w:val="auto"/>
          <w:szCs w:val="24"/>
          <w:highlight w:val="none"/>
        </w:rPr>
      </w:pPr>
      <w:bookmarkStart w:id="134" w:name="_Toc26257133"/>
      <w:bookmarkStart w:id="135" w:name="_Hlk24723356"/>
      <w:bookmarkStart w:id="136" w:name="_Toc33967110"/>
      <w:bookmarkStart w:id="137" w:name="_Toc33967214"/>
      <w:r>
        <w:rPr>
          <w:color w:val="auto"/>
          <w:szCs w:val="24"/>
          <w:highlight w:val="none"/>
        </w:rPr>
        <w:t>滩涂岛礁资源</w:t>
      </w:r>
    </w:p>
    <w:p w14:paraId="584E59B1">
      <w:pPr>
        <w:ind w:firstLine="480"/>
        <w:rPr>
          <w:color w:val="auto"/>
          <w:highlight w:val="none"/>
          <w:u w:val="single"/>
        </w:rPr>
      </w:pPr>
      <w:r>
        <w:rPr>
          <w:color w:val="auto"/>
          <w:highlight w:val="none"/>
          <w:u w:val="single"/>
        </w:rPr>
        <w:t>钦州市有大小连片滩涂50多个（其中面积1平方公里以上的滩涂10多个），总面积171.82km</w:t>
      </w:r>
      <w:r>
        <w:rPr>
          <w:color w:val="auto"/>
          <w:highlight w:val="none"/>
          <w:u w:val="single"/>
          <w:vertAlign w:val="superscript"/>
        </w:rPr>
        <w:t>2</w:t>
      </w:r>
      <w:r>
        <w:rPr>
          <w:color w:val="auto"/>
          <w:highlight w:val="none"/>
          <w:u w:val="single"/>
        </w:rPr>
        <w:t>。其中，以泥滩最多，面积107.52km</w:t>
      </w:r>
      <w:r>
        <w:rPr>
          <w:color w:val="auto"/>
          <w:highlight w:val="none"/>
          <w:u w:val="single"/>
          <w:vertAlign w:val="superscript"/>
        </w:rPr>
        <w:t>2</w:t>
      </w:r>
      <w:r>
        <w:rPr>
          <w:color w:val="auto"/>
          <w:highlight w:val="none"/>
          <w:u w:val="single"/>
        </w:rPr>
        <w:t>，占全市滩涂面积的62.6%，其次为沙滩（含沙泥滩），面积为58.51km</w:t>
      </w:r>
      <w:r>
        <w:rPr>
          <w:color w:val="auto"/>
          <w:highlight w:val="none"/>
          <w:u w:val="single"/>
          <w:vertAlign w:val="superscript"/>
        </w:rPr>
        <w:t>2</w:t>
      </w:r>
      <w:r>
        <w:rPr>
          <w:color w:val="auto"/>
          <w:highlight w:val="none"/>
          <w:u w:val="single"/>
        </w:rPr>
        <w:t>，占滩涂面积的34%。</w:t>
      </w:r>
    </w:p>
    <w:p w14:paraId="50D3B597">
      <w:pPr>
        <w:ind w:firstLine="480"/>
        <w:rPr>
          <w:color w:val="auto"/>
          <w:highlight w:val="none"/>
        </w:rPr>
      </w:pPr>
      <w:r>
        <w:rPr>
          <w:color w:val="auto"/>
          <w:highlight w:val="none"/>
          <w:u w:val="single"/>
        </w:rPr>
        <w:t>钦州市共有大小岛屿294个，其中无居民海岛288个，有居民海岛6个</w:t>
      </w:r>
      <w:r>
        <w:rPr>
          <w:color w:val="auto"/>
          <w:highlight w:val="none"/>
        </w:rPr>
        <w:t>。</w:t>
      </w:r>
    </w:p>
    <w:p w14:paraId="64EA36F9">
      <w:pPr>
        <w:pStyle w:val="533"/>
        <w:numPr>
          <w:ilvl w:val="3"/>
          <w:numId w:val="9"/>
        </w:numPr>
        <w:rPr>
          <w:color w:val="auto"/>
          <w:szCs w:val="24"/>
          <w:highlight w:val="none"/>
        </w:rPr>
      </w:pPr>
      <w:r>
        <w:rPr>
          <w:color w:val="auto"/>
          <w:szCs w:val="24"/>
          <w:highlight w:val="none"/>
        </w:rPr>
        <w:t>渔业资源</w:t>
      </w:r>
    </w:p>
    <w:p w14:paraId="084BD57D">
      <w:pPr>
        <w:ind w:firstLine="480"/>
        <w:rPr>
          <w:color w:val="auto"/>
          <w:highlight w:val="none"/>
        </w:rPr>
      </w:pPr>
      <w:r>
        <w:rPr>
          <w:color w:val="auto"/>
          <w:highlight w:val="none"/>
        </w:rPr>
        <w:t>据资料记载，钦州湾经济价值较高的渔类有60多种，虾蟹类30多种，贝类110种，历来是沿岸群众耕海牧渔的重要场所，许多海产珍品，尤其是四大名产（近江牡蛎、青蟹、对虾和石斑鱼）早已驰名中外，作为近江牡蛎、青蟹、鲈鱼等重要海水养殖品种的天然产地，每年均向区内外养殖场提供了大量的天然种苗，是中国南方最大的天然大蚝采苗和养殖加工基地，享有“中国大蚝之乡”的美誉。同时，钦州湾还出产鲈鱼、真鲷、黄鳍鲷、黑鲷、二长棘鲷、鱿鱼等。</w:t>
      </w:r>
    </w:p>
    <w:p w14:paraId="6049C685">
      <w:pPr>
        <w:ind w:firstLine="480"/>
        <w:rPr>
          <w:color w:val="auto"/>
          <w:highlight w:val="none"/>
        </w:rPr>
      </w:pPr>
      <w:r>
        <w:rPr>
          <w:color w:val="auto"/>
          <w:highlight w:val="none"/>
        </w:rPr>
        <w:t>据调查，钦州市20m水深以内的浅海有虾类35种，蟹类191种，螺类143种，贝类178种，头足类17种，鱼类326种。其中主要捕捞的鱼类有二长棘鲷、圆腹鲱、棕斑兔头鱼、短吻鱼、斑点马鲛、丽叶参、斑鲚、宝刀鱼、鲐鱼、真鲷、白姑鱼、金钱鱼等20 余种主要经济鱼类；虾类有须赤虾、刀额新对虾、长中鹰爪虾、日本对虾、长毛对虾、墨吉对虾等10多种经济虾类；还有火枪乌贼、拟目乌贼等3种头足类，此外，近江蛎、文蛤、毛蚶、方格星虫、锯缘青蟹和江蓠等主要浅海滩涂经济生物分布广泛，资源最大。钦州市浅海鱼类资源量估计为4200t/a，可捕捞量约为2100t/a。</w:t>
      </w:r>
    </w:p>
    <w:p w14:paraId="0951B94E">
      <w:pPr>
        <w:ind w:firstLine="480"/>
        <w:rPr>
          <w:color w:val="auto"/>
          <w:highlight w:val="none"/>
        </w:rPr>
      </w:pPr>
      <w:r>
        <w:rPr>
          <w:color w:val="auto"/>
          <w:highlight w:val="none"/>
        </w:rPr>
        <w:t>钦州市海水养殖重点发展对虾、近江</w:t>
      </w:r>
      <w:r>
        <w:rPr>
          <w:rFonts w:hint="eastAsia"/>
          <w:color w:val="auto"/>
          <w:highlight w:val="none"/>
          <w:lang w:eastAsia="zh-CN"/>
        </w:rPr>
        <w:t>牡蛎</w:t>
      </w:r>
      <w:r>
        <w:rPr>
          <w:color w:val="auto"/>
          <w:highlight w:val="none"/>
        </w:rPr>
        <w:t>（大蚝）、青蟹、文蛤、泥蚶、珍珠、鲍鱼、石斑鱼、鲈鱼、真鲷、中华乌塘鳢、美国大黄鱼、象鼻螺等名优品种。其中，对虾养殖区主要分布在茅尾海北部康熙岭的团和、长坡、横山、白鸡，尖山镇的黄坡启、谷仓、九鸦、排榜、沙井、螃蟹岭，犀牛脚镇的鹿耳环、丹廖、平山、大灶等地沿岸；近江牡蛎（大蚝）养殖区主要分布于茅尾海、龙门、七十二泾、鹿耳环江、平山等地浅海滩涂；青蟹养殖区主要分布于大番坡镇、龙门镇、犀牛脚镇的局部岸段；珍珠、鲍鱼养殖区仅见于犀牛脚镇南面沿岸的乌雷、大面墩一带海域；文蛤、泥蚶养殖区主要分布于平山、三娘湾一带沿岸2m水深以内的浅海滩涂，名贵海洋鱼类网箱养殖区分布于龙门港以南水流畅通海水洁净的局部海域。</w:t>
      </w:r>
    </w:p>
    <w:p w14:paraId="1F3EA8C6">
      <w:pPr>
        <w:pStyle w:val="533"/>
        <w:numPr>
          <w:ilvl w:val="3"/>
          <w:numId w:val="9"/>
        </w:numPr>
        <w:rPr>
          <w:color w:val="auto"/>
          <w:szCs w:val="24"/>
          <w:highlight w:val="none"/>
        </w:rPr>
      </w:pPr>
      <w:bookmarkStart w:id="138" w:name="4.2.1.5旅游资源"/>
      <w:bookmarkEnd w:id="138"/>
      <w:r>
        <w:rPr>
          <w:color w:val="auto"/>
          <w:szCs w:val="24"/>
          <w:highlight w:val="none"/>
        </w:rPr>
        <w:t>旅游资源</w:t>
      </w:r>
    </w:p>
    <w:p w14:paraId="41DD79B0">
      <w:pPr>
        <w:ind w:firstLine="480"/>
        <w:rPr>
          <w:color w:val="auto"/>
          <w:highlight w:val="none"/>
        </w:rPr>
      </w:pPr>
      <w:r>
        <w:rPr>
          <w:color w:val="auto"/>
          <w:highlight w:val="none"/>
        </w:rPr>
        <w:t>钦州湾为溺谷湾海湾，岛屿众多，岸线曲折迂回，长达336km，自然风光迥异，海湾与岬角相间分布，其间常见细软洁净的沙滩，海中错落有致地点缀着大大小小的岛屿、岩礁，景观富有层次感，滨海旅游资源丰富，其中，七十二泾、麻蓝岛、三娘湾沙滩及白海豚旅游区、红树林旅游资源较为突出。</w:t>
      </w:r>
    </w:p>
    <w:p w14:paraId="689232E5">
      <w:pPr>
        <w:ind w:firstLine="480"/>
        <w:rPr>
          <w:color w:val="auto"/>
          <w:highlight w:val="none"/>
        </w:rPr>
      </w:pPr>
      <w:r>
        <w:rPr>
          <w:color w:val="auto"/>
          <w:highlight w:val="none"/>
        </w:rPr>
        <w:t>（1）龙门七十二泾风景旅游区</w:t>
      </w:r>
    </w:p>
    <w:p w14:paraId="4BB772DA">
      <w:pPr>
        <w:ind w:firstLine="480"/>
        <w:rPr>
          <w:color w:val="auto"/>
          <w:highlight w:val="none"/>
        </w:rPr>
      </w:pPr>
      <w:r>
        <w:rPr>
          <w:color w:val="auto"/>
          <w:highlight w:val="none"/>
        </w:rPr>
        <w:t>在钦州湾36km</w:t>
      </w:r>
      <w:r>
        <w:rPr>
          <w:color w:val="auto"/>
          <w:highlight w:val="none"/>
          <w:vertAlign w:val="superscript"/>
        </w:rPr>
        <w:t>2</w:t>
      </w:r>
      <w:r>
        <w:rPr>
          <w:color w:val="auto"/>
          <w:highlight w:val="none"/>
        </w:rPr>
        <w:t>的海面上，分布着大大小小、形态各异的小岛100多个，而岛与岛之间被72 条弯弯曲曲的水道环绕，这些水道被称为“泾”。七十二泾，泾泾相通，岛岛相望，泾如玉带，岛如明珠，故又称“龙泾环珠”。从高空俯览，星罗棋布的小岛宛如一颗颗碧绿璀璨的玛瑙散布在一个蔚蓝的大玉盘中。这里还有数千亩连片的被誉为“海底活化石”的红树林，景色蔚为壮观。“七十二泾通四海，南国蓬莱秀中华”，1998年，经钦州市八大景评委员会评定为钦州市八大景观之一。</w:t>
      </w:r>
    </w:p>
    <w:p w14:paraId="57BDF21B">
      <w:pPr>
        <w:ind w:firstLine="480"/>
        <w:rPr>
          <w:color w:val="auto"/>
          <w:highlight w:val="none"/>
        </w:rPr>
      </w:pPr>
      <w:r>
        <w:rPr>
          <w:color w:val="auto"/>
          <w:highlight w:val="none"/>
        </w:rPr>
        <w:t>（2）麻蓝岛</w:t>
      </w:r>
    </w:p>
    <w:p w14:paraId="2CFDD8A4">
      <w:pPr>
        <w:ind w:firstLine="480"/>
        <w:rPr>
          <w:color w:val="auto"/>
          <w:highlight w:val="none"/>
        </w:rPr>
      </w:pPr>
      <w:r>
        <w:rPr>
          <w:color w:val="auto"/>
          <w:highlight w:val="none"/>
        </w:rPr>
        <w:t>麻蓝岛是钦州市新八景之一，位于犀牛脚镇西北部沿岸，与大环半岛隔海相望，退潮时相连。该岛形似弯月，长900m，宽200～400m，面积约28.7hm</w:t>
      </w:r>
      <w:r>
        <w:rPr>
          <w:color w:val="auto"/>
          <w:highlight w:val="none"/>
          <w:vertAlign w:val="superscript"/>
        </w:rPr>
        <w:t>2</w:t>
      </w:r>
      <w:r>
        <w:rPr>
          <w:color w:val="auto"/>
          <w:highlight w:val="none"/>
        </w:rPr>
        <w:t>，现已被列为旅游度假区进行开发，已铺设了环岛游览道，建有小别墅、饭店等设施，已具备旅游接待能力。岛上西北部有长1500m、宽1000m的沙滩，是优良的海水浴场；西南为千姿百态的礁石滩；东南为一片红树林，海岛、沙滩、海石滩、红树林海滩互相映衬，风光旖旎。麻蓝岛盛产“三沙”（沙虫、沙钻鱼、沙蟹），是著名特产。</w:t>
      </w:r>
    </w:p>
    <w:p w14:paraId="216CD576">
      <w:pPr>
        <w:ind w:firstLine="480"/>
        <w:rPr>
          <w:color w:val="auto"/>
          <w:highlight w:val="none"/>
        </w:rPr>
      </w:pPr>
      <w:r>
        <w:rPr>
          <w:color w:val="auto"/>
          <w:highlight w:val="none"/>
        </w:rPr>
        <w:t>（3）三娘湾</w:t>
      </w:r>
    </w:p>
    <w:p w14:paraId="6745C716">
      <w:pPr>
        <w:ind w:firstLine="480"/>
        <w:rPr>
          <w:color w:val="auto"/>
          <w:highlight w:val="none"/>
        </w:rPr>
      </w:pPr>
      <w:r>
        <w:rPr>
          <w:color w:val="auto"/>
          <w:highlight w:val="none"/>
        </w:rPr>
        <w:t>三娘湾是中华白海豚之乡，约200余头野生中华白海豚长年栖居于此，可以看到的海豚有黑色、灰色、白色、粉红色、墨绿色、海蓝色等。海岸防护林带保护完好，绿树成荫，沙滩平坦广阔，沙质松软。三娘湾已建或正在建设多个旅游开发项目，是钦州旅游开发的重中之重。三娘湾沙滩长达3km，平坦宽阔，沙质金黄，防风林带完好，沙滩上的花岗岩经球形风化形成了一个个大小不等，类似海南三亚海滨的球状、椭球状石蛋，造型优美，典型的有三娘石、石狗、猪婆石等。</w:t>
      </w:r>
    </w:p>
    <w:p w14:paraId="7AF3922C">
      <w:pPr>
        <w:pStyle w:val="533"/>
        <w:numPr>
          <w:ilvl w:val="3"/>
          <w:numId w:val="9"/>
        </w:numPr>
        <w:rPr>
          <w:color w:val="auto"/>
          <w:szCs w:val="24"/>
          <w:highlight w:val="none"/>
        </w:rPr>
      </w:pPr>
      <w:r>
        <w:rPr>
          <w:color w:val="auto"/>
          <w:szCs w:val="24"/>
          <w:highlight w:val="none"/>
        </w:rPr>
        <w:t>红树林资源</w:t>
      </w:r>
    </w:p>
    <w:p w14:paraId="6D3B9380">
      <w:pPr>
        <w:ind w:firstLine="480"/>
        <w:rPr>
          <w:color w:val="auto"/>
          <w:highlight w:val="none"/>
        </w:rPr>
      </w:pPr>
      <w:r>
        <w:rPr>
          <w:color w:val="auto"/>
          <w:highlight w:val="none"/>
        </w:rPr>
        <w:t>红树林是指分布在沿海潮间带和入海河口，以红树科植物为主体的常绿灌木或者乔木组成的潮滩湿地木本植物群落，具有消浪护堤、固碳储碳、净化海水、改善海岸景观、保护渔业资源等多种重要生态功能，被称为“海岸卫士”和“消浪先锋”，对于保护生物多样性、抵御海洋自然灾害、改善沿海生态环境、促进海洋蓝碳经济具有十分重要的作用。</w:t>
      </w:r>
    </w:p>
    <w:p w14:paraId="21967689">
      <w:pPr>
        <w:ind w:firstLine="480"/>
        <w:rPr>
          <w:color w:val="auto"/>
          <w:highlight w:val="none"/>
        </w:rPr>
      </w:pPr>
      <w:r>
        <w:rPr>
          <w:color w:val="auto"/>
          <w:highlight w:val="none"/>
        </w:rPr>
        <w:t>（1）资源现状</w:t>
      </w:r>
    </w:p>
    <w:p w14:paraId="244E21F0">
      <w:pPr>
        <w:ind w:firstLine="480"/>
        <w:rPr>
          <w:color w:val="auto"/>
          <w:highlight w:val="none"/>
        </w:rPr>
      </w:pPr>
      <w:r>
        <w:rPr>
          <w:color w:val="auto"/>
          <w:highlight w:val="none"/>
        </w:rPr>
        <w:t>根据2022年5月30日钦州市林业局发布的《钦州市红树林资源保护规划（2022-2030 年）》相关内容：以钦州市2020 年国土变更调查数据为基础，衔接广西红树林资源保护规划再结合现场补充调查成果，钦州市现有红树林面积3212.82 公顷。主要包括乔木红树林和灌木红树林两大类，其中：</w:t>
      </w:r>
    </w:p>
    <w:p w14:paraId="6478C88E">
      <w:pPr>
        <w:ind w:firstLine="480"/>
        <w:rPr>
          <w:color w:val="auto"/>
          <w:highlight w:val="none"/>
        </w:rPr>
      </w:pPr>
      <w:r>
        <w:rPr>
          <w:color w:val="auto"/>
          <w:highlight w:val="none"/>
        </w:rPr>
        <w:t>①乔木类红树林以人工营造的无瓣海桑为主，面积494.58公顷；</w:t>
      </w:r>
    </w:p>
    <w:p w14:paraId="08B2DDA9">
      <w:pPr>
        <w:ind w:firstLine="480"/>
        <w:rPr>
          <w:color w:val="auto"/>
          <w:highlight w:val="none"/>
        </w:rPr>
      </w:pPr>
      <w:r>
        <w:rPr>
          <w:color w:val="auto"/>
          <w:highlight w:val="none"/>
        </w:rPr>
        <w:t>②灌木类红树林包括桐花树、秋茄、白骨壤等天然或人工类型，面积2718.24 公顷。</w:t>
      </w:r>
    </w:p>
    <w:p w14:paraId="50EE495A">
      <w:pPr>
        <w:ind w:firstLine="480"/>
        <w:rPr>
          <w:color w:val="auto"/>
          <w:highlight w:val="none"/>
        </w:rPr>
      </w:pPr>
      <w:r>
        <w:rPr>
          <w:color w:val="auto"/>
          <w:highlight w:val="none"/>
        </w:rPr>
        <w:t>（2）资源分布</w:t>
      </w:r>
    </w:p>
    <w:p w14:paraId="6080DAEF">
      <w:pPr>
        <w:ind w:firstLine="480"/>
        <w:rPr>
          <w:color w:val="auto"/>
          <w:highlight w:val="none"/>
        </w:rPr>
      </w:pPr>
      <w:r>
        <w:rPr>
          <w:color w:val="auto"/>
          <w:highlight w:val="none"/>
        </w:rPr>
        <w:t>钦州市红树林主要分布于茅尾海、七十二泾、大风江一带近海河口，面积3212.82 公顷。其中，自然保护地（包含广西茅尾海红树林自治区级自然保护区和广西钦州茅尾海国家级海洋公园）内红树林面积2035.24 公顷，占全市红树林总面积63.35%；自然保护地外红树林面积1177.58 公顷，占全市红树林总面积36.65%。钦州市的红树林全部位于钦南区行政范围内，涉及沙埠镇、康熙岭镇、尖山街道、大番坡镇、龙门港镇、东场镇、那丽镇、犀牛脚镇（含三娘湾旅游管理区）、自贸区钦州港片区等9个乡镇（街道/开发区）。各红树林分布面积如下：</w:t>
      </w:r>
    </w:p>
    <w:p w14:paraId="4A5BE97A">
      <w:pPr>
        <w:ind w:firstLine="480"/>
        <w:rPr>
          <w:color w:val="auto"/>
          <w:highlight w:val="none"/>
        </w:rPr>
      </w:pPr>
      <w:r>
        <w:rPr>
          <w:color w:val="auto"/>
          <w:highlight w:val="none"/>
        </w:rPr>
        <w:t>①沙埠镇红树林面积45.12 公顷，占红树林总面积1.40%；</w:t>
      </w:r>
    </w:p>
    <w:p w14:paraId="4318C151">
      <w:pPr>
        <w:ind w:firstLine="480"/>
        <w:rPr>
          <w:color w:val="auto"/>
          <w:highlight w:val="none"/>
        </w:rPr>
      </w:pPr>
      <w:r>
        <w:rPr>
          <w:color w:val="auto"/>
          <w:highlight w:val="none"/>
        </w:rPr>
        <w:t>②康熙岭镇红树林面积841.63 公顷，占红树林总面积26.20%；</w:t>
      </w:r>
    </w:p>
    <w:p w14:paraId="27BD0BA8">
      <w:pPr>
        <w:ind w:firstLine="480"/>
        <w:rPr>
          <w:color w:val="auto"/>
          <w:highlight w:val="none"/>
        </w:rPr>
      </w:pPr>
      <w:r>
        <w:rPr>
          <w:color w:val="auto"/>
          <w:highlight w:val="none"/>
        </w:rPr>
        <w:t>③尖山街道红树林面积897.88 公顷，占红树林总面积27.95%；</w:t>
      </w:r>
    </w:p>
    <w:p w14:paraId="1A74ED99">
      <w:pPr>
        <w:ind w:firstLine="480"/>
        <w:rPr>
          <w:color w:val="auto"/>
          <w:highlight w:val="none"/>
        </w:rPr>
      </w:pPr>
      <w:r>
        <w:rPr>
          <w:color w:val="auto"/>
          <w:highlight w:val="none"/>
        </w:rPr>
        <w:t>④大番坡镇红树林面积316.01 公顷，占红树林总面积9.84%；</w:t>
      </w:r>
    </w:p>
    <w:p w14:paraId="12CBB797">
      <w:pPr>
        <w:ind w:firstLine="480"/>
        <w:rPr>
          <w:color w:val="auto"/>
          <w:highlight w:val="none"/>
        </w:rPr>
      </w:pPr>
      <w:r>
        <w:rPr>
          <w:color w:val="auto"/>
          <w:highlight w:val="none"/>
        </w:rPr>
        <w:t>⑤龙门港镇红树林面积68.92 公顷，占红树林总面积2.15%；</w:t>
      </w:r>
    </w:p>
    <w:p w14:paraId="2C4EC764">
      <w:pPr>
        <w:ind w:firstLine="480"/>
        <w:rPr>
          <w:color w:val="auto"/>
          <w:highlight w:val="none"/>
        </w:rPr>
      </w:pPr>
      <w:r>
        <w:rPr>
          <w:color w:val="auto"/>
          <w:highlight w:val="none"/>
        </w:rPr>
        <w:t>⑥东场镇红树林面积198.92 公顷，占红树林总面积6.19%；</w:t>
      </w:r>
    </w:p>
    <w:p w14:paraId="65440F42">
      <w:pPr>
        <w:ind w:firstLine="480"/>
        <w:rPr>
          <w:color w:val="auto"/>
          <w:highlight w:val="none"/>
        </w:rPr>
      </w:pPr>
      <w:r>
        <w:rPr>
          <w:color w:val="auto"/>
          <w:highlight w:val="none"/>
        </w:rPr>
        <w:t>⑦那丽镇红树林面积255.24 公顷，占红树林总面积7.94%；</w:t>
      </w:r>
    </w:p>
    <w:p w14:paraId="7F0A3F33">
      <w:pPr>
        <w:ind w:firstLine="480"/>
        <w:rPr>
          <w:color w:val="auto"/>
          <w:highlight w:val="none"/>
        </w:rPr>
      </w:pPr>
      <w:r>
        <w:rPr>
          <w:color w:val="auto"/>
          <w:highlight w:val="none"/>
        </w:rPr>
        <w:t>⑧犀牛脚镇（含三娘湾旅游管理区）红树林面积371.59公顷，占红树林总面积11.57%；</w:t>
      </w:r>
    </w:p>
    <w:p w14:paraId="47277AC4">
      <w:pPr>
        <w:ind w:firstLine="480"/>
        <w:rPr>
          <w:color w:val="auto"/>
          <w:highlight w:val="none"/>
        </w:rPr>
      </w:pPr>
      <w:r>
        <w:rPr>
          <w:color w:val="auto"/>
          <w:highlight w:val="none"/>
        </w:rPr>
        <w:t>⑨自贸区钦州港片区红树林面积217.51 公顷，占红树林总面积6.77%。</w:t>
      </w:r>
    </w:p>
    <w:p w14:paraId="509D9921">
      <w:pPr>
        <w:ind w:firstLine="480"/>
        <w:rPr>
          <w:color w:val="auto"/>
          <w:highlight w:val="none"/>
        </w:rPr>
      </w:pPr>
      <w:r>
        <w:rPr>
          <w:color w:val="auto"/>
          <w:highlight w:val="none"/>
        </w:rPr>
        <w:t>（3）资源构成</w:t>
      </w:r>
    </w:p>
    <w:p w14:paraId="49085E5B">
      <w:pPr>
        <w:ind w:firstLine="480"/>
        <w:rPr>
          <w:color w:val="auto"/>
          <w:highlight w:val="none"/>
        </w:rPr>
      </w:pPr>
      <w:r>
        <w:rPr>
          <w:color w:val="auto"/>
          <w:highlight w:val="none"/>
        </w:rPr>
        <w:t>1）红树林优势树种（组）组成及分布</w:t>
      </w:r>
    </w:p>
    <w:p w14:paraId="61189AF4">
      <w:pPr>
        <w:ind w:firstLine="480"/>
        <w:rPr>
          <w:color w:val="auto"/>
          <w:highlight w:val="none"/>
        </w:rPr>
      </w:pPr>
      <w:r>
        <w:rPr>
          <w:color w:val="auto"/>
          <w:highlight w:val="none"/>
        </w:rPr>
        <w:t>钦州市现有红树林主要优势树种（组）为桐花树、无瓣海桑、白骨壤和秋茄，以桐花树为主。其中：</w:t>
      </w:r>
    </w:p>
    <w:p w14:paraId="07FD70F0">
      <w:pPr>
        <w:ind w:firstLine="480"/>
        <w:rPr>
          <w:color w:val="auto"/>
          <w:highlight w:val="none"/>
        </w:rPr>
      </w:pPr>
      <w:r>
        <w:rPr>
          <w:color w:val="auto"/>
          <w:highlight w:val="none"/>
        </w:rPr>
        <w:t>①以桐花树为优势树种的红树林面积2411.06 公顷，占总面积75.05%，在钦南区各乡镇均有分布，是钦州市红树林分布最广的树种；</w:t>
      </w:r>
    </w:p>
    <w:p w14:paraId="20E2690D">
      <w:pPr>
        <w:ind w:firstLine="480"/>
        <w:rPr>
          <w:color w:val="auto"/>
          <w:highlight w:val="none"/>
        </w:rPr>
      </w:pPr>
      <w:r>
        <w:rPr>
          <w:color w:val="auto"/>
          <w:highlight w:val="none"/>
        </w:rPr>
        <w:t>②以无瓣海桑为优势树种的红树林面积494.58 公顷，占总面积15.39%；主要分布在康熙岭镇，为人工种植的引入种，自然繁殖生长能力强，种子随海水潮涨潮落漂移生根发芽，植株生长迅速，近几年无瓣海桑果甚至已随潮水侵入到远离原种植地10公里外的尖山街道一带；</w:t>
      </w:r>
    </w:p>
    <w:p w14:paraId="28E4E49A">
      <w:pPr>
        <w:ind w:firstLine="480"/>
        <w:rPr>
          <w:color w:val="auto"/>
          <w:highlight w:val="none"/>
        </w:rPr>
      </w:pPr>
      <w:r>
        <w:rPr>
          <w:color w:val="auto"/>
          <w:highlight w:val="none"/>
        </w:rPr>
        <w:t>③以白骨壤为优势树种的红树林面积306.43 公顷，占总面积9.54%，主要分布在犀牛脚镇、龙门港镇、大番坡镇、自贸区钦州港片区，生长在盐度较大的近海河口和海湾；</w:t>
      </w:r>
    </w:p>
    <w:p w14:paraId="7022A95B">
      <w:pPr>
        <w:ind w:firstLine="480"/>
        <w:rPr>
          <w:color w:val="auto"/>
          <w:highlight w:val="none"/>
        </w:rPr>
      </w:pPr>
      <w:r>
        <w:rPr>
          <w:color w:val="auto"/>
          <w:highlight w:val="none"/>
        </w:rPr>
        <w:t>④以秋茄为优势树种的红树林面积0.75 公顷，占总面积0.02%，主要零星分布在桐花树群落中，以人工种植的成片秋茄分布在康熙岭镇和犀牛脚镇沿海一带。</w:t>
      </w:r>
    </w:p>
    <w:p w14:paraId="7CC7F7D9">
      <w:pPr>
        <w:ind w:firstLine="480"/>
        <w:rPr>
          <w:color w:val="auto"/>
          <w:highlight w:val="none"/>
        </w:rPr>
      </w:pPr>
      <w:r>
        <w:rPr>
          <w:color w:val="auto"/>
          <w:highlight w:val="none"/>
        </w:rPr>
        <w:t>2）其他红树林资源分布情况</w:t>
      </w:r>
    </w:p>
    <w:p w14:paraId="1E7C4056">
      <w:pPr>
        <w:ind w:firstLine="480"/>
        <w:rPr>
          <w:color w:val="auto"/>
          <w:highlight w:val="none"/>
        </w:rPr>
      </w:pPr>
      <w:r>
        <w:rPr>
          <w:color w:val="auto"/>
          <w:highlight w:val="none"/>
        </w:rPr>
        <w:t>钦州市区域内分布数量极少的红树林有木榄、老鼠簕，濒危红树林物种有红海榄、榄李。半红树植物有苦郎树、钝叶臭黄荆、海芒果、黄槿、草海桐、水黄皮、阔苞菊。分布情况如下：</w:t>
      </w:r>
    </w:p>
    <w:p w14:paraId="1FBCEA80">
      <w:pPr>
        <w:ind w:firstLine="480"/>
        <w:rPr>
          <w:color w:val="auto"/>
          <w:highlight w:val="none"/>
        </w:rPr>
      </w:pPr>
      <w:r>
        <w:rPr>
          <w:color w:val="auto"/>
          <w:highlight w:val="none"/>
        </w:rPr>
        <w:t>①木榄：主要零星分布在七十二泾一带的红树林群落内，数量较少。</w:t>
      </w:r>
    </w:p>
    <w:p w14:paraId="2D7D0060">
      <w:pPr>
        <w:ind w:firstLine="480"/>
        <w:rPr>
          <w:color w:val="auto"/>
          <w:highlight w:val="none"/>
        </w:rPr>
      </w:pPr>
      <w:r>
        <w:rPr>
          <w:color w:val="auto"/>
          <w:highlight w:val="none"/>
        </w:rPr>
        <w:t>②老鼠簕：在坚心围一带有少量成片分布，多数为小范围零星分布在桐花树等群落中，主要位于北部湾大学南面茶山江一带。分布较广数量较少。</w:t>
      </w:r>
    </w:p>
    <w:p w14:paraId="2F842E7B">
      <w:pPr>
        <w:ind w:firstLine="480"/>
        <w:rPr>
          <w:color w:val="auto"/>
          <w:highlight w:val="none"/>
        </w:rPr>
      </w:pPr>
      <w:r>
        <w:rPr>
          <w:color w:val="auto"/>
          <w:highlight w:val="none"/>
        </w:rPr>
        <w:t>③红海榄和榄李：主要零星分布在七十二泾一带的红树林群落内，数量较少。</w:t>
      </w:r>
    </w:p>
    <w:p w14:paraId="7CF7E2B9">
      <w:pPr>
        <w:ind w:firstLine="480"/>
        <w:rPr>
          <w:color w:val="auto"/>
          <w:highlight w:val="none"/>
        </w:rPr>
      </w:pPr>
      <w:r>
        <w:rPr>
          <w:color w:val="auto"/>
          <w:highlight w:val="none"/>
        </w:rPr>
        <w:t>④海漆和黄槿：分布在江河沿岸及养殖塘周边广泛分布两种树种混交散生在河流沿岸地势较高处。</w:t>
      </w:r>
    </w:p>
    <w:p w14:paraId="4CC1BC55">
      <w:pPr>
        <w:ind w:firstLine="480"/>
        <w:rPr>
          <w:color w:val="auto"/>
          <w:highlight w:val="none"/>
        </w:rPr>
      </w:pPr>
      <w:r>
        <w:rPr>
          <w:color w:val="auto"/>
          <w:highlight w:val="none"/>
        </w:rPr>
        <w:t>⑤苦郎树：规划区均有分布，集中分布在江河上、中游河岸一带，部分与桐花树混交形成桐花树+苦郎树群落。</w:t>
      </w:r>
    </w:p>
    <w:p w14:paraId="3F62DCB9">
      <w:pPr>
        <w:ind w:firstLine="480"/>
        <w:rPr>
          <w:color w:val="auto"/>
          <w:highlight w:val="none"/>
        </w:rPr>
      </w:pPr>
      <w:r>
        <w:rPr>
          <w:color w:val="auto"/>
          <w:highlight w:val="none"/>
        </w:rPr>
        <w:t>⑥钝叶臭黄荆、草海桐和阔苞菊在规划范围内的江河两岸及海岸线一带有零星分布。</w:t>
      </w:r>
    </w:p>
    <w:p w14:paraId="4EBA88DC">
      <w:pPr>
        <w:ind w:firstLine="480"/>
        <w:rPr>
          <w:color w:val="auto"/>
          <w:highlight w:val="none"/>
        </w:rPr>
      </w:pPr>
      <w:r>
        <w:rPr>
          <w:color w:val="auto"/>
          <w:highlight w:val="none"/>
        </w:rPr>
        <w:t>3）红树林主要群落类型</w:t>
      </w:r>
    </w:p>
    <w:p w14:paraId="65215016">
      <w:pPr>
        <w:ind w:firstLine="480"/>
        <w:rPr>
          <w:color w:val="auto"/>
          <w:highlight w:val="none"/>
        </w:rPr>
      </w:pPr>
      <w:r>
        <w:rPr>
          <w:color w:val="auto"/>
          <w:highlight w:val="none"/>
        </w:rPr>
        <w:t>钦州市红树林主要群落类型有：桐花树群落、无瓣海桑群落、白骨壤群落、无瓣海桑+桐花树群落、无瓣海桑+桐花树+秋茄群落、桐花树+秋茄群落、桐花树+卤蕨群落、白骨壤+桐花树+秋茄群落、白骨壤+桐花树群落、秋茄群落和白骨壤+秋茄群落。各群落类型面积分布情况见表3.2-1。</w:t>
      </w:r>
    </w:p>
    <w:p w14:paraId="4A0A58F9">
      <w:pPr>
        <w:pStyle w:val="38"/>
        <w:spacing w:after="0" w:line="240" w:lineRule="auto"/>
        <w:ind w:firstLine="0" w:firstLineChars="0"/>
        <w:jc w:val="center"/>
        <w:rPr>
          <w:b/>
          <w:color w:val="auto"/>
          <w:sz w:val="21"/>
          <w:szCs w:val="21"/>
          <w:highlight w:val="none"/>
        </w:rPr>
      </w:pPr>
      <w:r>
        <w:rPr>
          <w:b/>
          <w:color w:val="auto"/>
          <w:sz w:val="21"/>
          <w:szCs w:val="21"/>
          <w:highlight w:val="none"/>
        </w:rPr>
        <w:t>表3.2-1  钦州市红树林主要群落类型分布情况统计表</w:t>
      </w:r>
    </w:p>
    <w:tbl>
      <w:tblPr>
        <w:tblStyle w:val="154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8"/>
        <w:gridCol w:w="3402"/>
        <w:gridCol w:w="2507"/>
        <w:gridCol w:w="2419"/>
      </w:tblGrid>
      <w:tr w14:paraId="3776CA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0A042167">
            <w:pPr>
              <w:pStyle w:val="91"/>
              <w:spacing w:after="0"/>
              <w:ind w:left="0" w:leftChars="0" w:firstLine="0" w:firstLineChars="0"/>
              <w:jc w:val="center"/>
              <w:textAlignment w:val="center"/>
              <w:rPr>
                <w:rFonts w:ascii="Times New Roman" w:hAnsi="Times New Roman" w:cs="Times New Roman"/>
                <w:b/>
                <w:bCs w:val="0"/>
                <w:iCs/>
                <w:snapToGrid w:val="0"/>
                <w:color w:val="auto"/>
                <w:highlight w:val="none"/>
              </w:rPr>
            </w:pPr>
            <w:r>
              <w:rPr>
                <w:rFonts w:ascii="Times New Roman" w:hAnsi="Times New Roman" w:cs="Times New Roman"/>
                <w:b/>
                <w:bCs w:val="0"/>
                <w:iCs/>
                <w:snapToGrid w:val="0"/>
                <w:color w:val="auto"/>
                <w:highlight w:val="none"/>
              </w:rPr>
              <w:t>序号</w:t>
            </w:r>
          </w:p>
        </w:tc>
        <w:tc>
          <w:tcPr>
            <w:tcW w:w="1832" w:type="pct"/>
            <w:vAlign w:val="center"/>
          </w:tcPr>
          <w:p w14:paraId="5B8210D5">
            <w:pPr>
              <w:pStyle w:val="91"/>
              <w:spacing w:after="0"/>
              <w:ind w:left="0" w:leftChars="0" w:firstLine="0" w:firstLineChars="0"/>
              <w:jc w:val="center"/>
              <w:textAlignment w:val="center"/>
              <w:rPr>
                <w:rFonts w:ascii="Times New Roman" w:hAnsi="Times New Roman" w:cs="Times New Roman"/>
                <w:b/>
                <w:bCs w:val="0"/>
                <w:iCs/>
                <w:snapToGrid w:val="0"/>
                <w:color w:val="auto"/>
                <w:highlight w:val="none"/>
              </w:rPr>
            </w:pPr>
            <w:r>
              <w:rPr>
                <w:rFonts w:ascii="Times New Roman" w:hAnsi="Times New Roman" w:cs="Times New Roman"/>
                <w:b/>
                <w:bCs w:val="0"/>
                <w:iCs/>
                <w:snapToGrid w:val="0"/>
                <w:color w:val="auto"/>
                <w:highlight w:val="none"/>
              </w:rPr>
              <w:t>群落类型</w:t>
            </w:r>
          </w:p>
        </w:tc>
        <w:tc>
          <w:tcPr>
            <w:tcW w:w="1350" w:type="pct"/>
            <w:vAlign w:val="center"/>
          </w:tcPr>
          <w:p w14:paraId="27CC9FDC">
            <w:pPr>
              <w:pStyle w:val="91"/>
              <w:spacing w:after="0"/>
              <w:ind w:left="0" w:leftChars="0" w:firstLine="0" w:firstLineChars="0"/>
              <w:jc w:val="center"/>
              <w:textAlignment w:val="center"/>
              <w:rPr>
                <w:rFonts w:ascii="Times New Roman" w:hAnsi="Times New Roman" w:cs="Times New Roman"/>
                <w:b/>
                <w:bCs w:val="0"/>
                <w:iCs/>
                <w:snapToGrid w:val="0"/>
                <w:color w:val="auto"/>
                <w:highlight w:val="none"/>
              </w:rPr>
            </w:pPr>
            <w:r>
              <w:rPr>
                <w:rFonts w:ascii="Times New Roman" w:hAnsi="Times New Roman" w:cs="Times New Roman"/>
                <w:b/>
                <w:bCs w:val="0"/>
                <w:iCs/>
                <w:snapToGrid w:val="0"/>
                <w:color w:val="auto"/>
                <w:highlight w:val="none"/>
              </w:rPr>
              <w:t>面积（公顷）</w:t>
            </w:r>
          </w:p>
        </w:tc>
        <w:tc>
          <w:tcPr>
            <w:tcW w:w="1302" w:type="pct"/>
            <w:vAlign w:val="center"/>
          </w:tcPr>
          <w:p w14:paraId="701D84A6">
            <w:pPr>
              <w:pStyle w:val="91"/>
              <w:spacing w:after="0"/>
              <w:ind w:left="0" w:leftChars="0" w:firstLine="0" w:firstLineChars="0"/>
              <w:jc w:val="center"/>
              <w:textAlignment w:val="center"/>
              <w:rPr>
                <w:rFonts w:ascii="Times New Roman" w:hAnsi="Times New Roman" w:cs="Times New Roman"/>
                <w:b/>
                <w:bCs w:val="0"/>
                <w:iCs/>
                <w:snapToGrid w:val="0"/>
                <w:color w:val="auto"/>
                <w:highlight w:val="none"/>
              </w:rPr>
            </w:pPr>
            <w:r>
              <w:rPr>
                <w:rFonts w:ascii="Times New Roman" w:hAnsi="Times New Roman" w:cs="Times New Roman"/>
                <w:b/>
                <w:bCs w:val="0"/>
                <w:iCs/>
                <w:snapToGrid w:val="0"/>
                <w:color w:val="auto"/>
                <w:highlight w:val="none"/>
              </w:rPr>
              <w:t>占总面积比例（%）</w:t>
            </w:r>
          </w:p>
        </w:tc>
      </w:tr>
      <w:tr w14:paraId="7D1775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633C628F">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1</w:t>
            </w:r>
          </w:p>
        </w:tc>
        <w:tc>
          <w:tcPr>
            <w:tcW w:w="1832" w:type="pct"/>
            <w:vAlign w:val="center"/>
          </w:tcPr>
          <w:p w14:paraId="1E9DFFB0">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桐花树+秋茄</w:t>
            </w:r>
          </w:p>
        </w:tc>
        <w:tc>
          <w:tcPr>
            <w:tcW w:w="1350" w:type="pct"/>
            <w:vAlign w:val="center"/>
          </w:tcPr>
          <w:p w14:paraId="2E66C074">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988.53</w:t>
            </w:r>
          </w:p>
        </w:tc>
        <w:tc>
          <w:tcPr>
            <w:tcW w:w="1302" w:type="pct"/>
            <w:vAlign w:val="center"/>
          </w:tcPr>
          <w:p w14:paraId="36F200DA">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30.76</w:t>
            </w:r>
          </w:p>
        </w:tc>
      </w:tr>
      <w:tr w14:paraId="5A74FE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080196D8">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2</w:t>
            </w:r>
          </w:p>
        </w:tc>
        <w:tc>
          <w:tcPr>
            <w:tcW w:w="1832" w:type="pct"/>
            <w:vAlign w:val="center"/>
          </w:tcPr>
          <w:p w14:paraId="40049CD5">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桐花树</w:t>
            </w:r>
          </w:p>
        </w:tc>
        <w:tc>
          <w:tcPr>
            <w:tcW w:w="1350" w:type="pct"/>
            <w:vAlign w:val="center"/>
          </w:tcPr>
          <w:p w14:paraId="0C017258">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822.08</w:t>
            </w:r>
          </w:p>
        </w:tc>
        <w:tc>
          <w:tcPr>
            <w:tcW w:w="1302" w:type="pct"/>
            <w:vAlign w:val="center"/>
          </w:tcPr>
          <w:p w14:paraId="2E8C6114">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25.58</w:t>
            </w:r>
          </w:p>
        </w:tc>
      </w:tr>
      <w:tr w14:paraId="41E9E0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5548E4BC">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3</w:t>
            </w:r>
          </w:p>
        </w:tc>
        <w:tc>
          <w:tcPr>
            <w:tcW w:w="1832" w:type="pct"/>
            <w:vAlign w:val="center"/>
          </w:tcPr>
          <w:p w14:paraId="687BE3F3">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无瓣海桑</w:t>
            </w:r>
          </w:p>
        </w:tc>
        <w:tc>
          <w:tcPr>
            <w:tcW w:w="1350" w:type="pct"/>
            <w:vAlign w:val="center"/>
          </w:tcPr>
          <w:p w14:paraId="73E4D171">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30.49</w:t>
            </w:r>
          </w:p>
        </w:tc>
        <w:tc>
          <w:tcPr>
            <w:tcW w:w="1302" w:type="pct"/>
            <w:vAlign w:val="center"/>
          </w:tcPr>
          <w:p w14:paraId="2C43D908">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0.965</w:t>
            </w:r>
          </w:p>
        </w:tc>
      </w:tr>
      <w:tr w14:paraId="2EB113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4463AF9C">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4</w:t>
            </w:r>
          </w:p>
        </w:tc>
        <w:tc>
          <w:tcPr>
            <w:tcW w:w="1832" w:type="pct"/>
            <w:vAlign w:val="center"/>
          </w:tcPr>
          <w:p w14:paraId="3F54D827">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白骨壤</w:t>
            </w:r>
          </w:p>
        </w:tc>
        <w:tc>
          <w:tcPr>
            <w:tcW w:w="1350" w:type="pct"/>
            <w:vAlign w:val="center"/>
          </w:tcPr>
          <w:p w14:paraId="34F519E6">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284.29</w:t>
            </w:r>
          </w:p>
        </w:tc>
        <w:tc>
          <w:tcPr>
            <w:tcW w:w="1302" w:type="pct"/>
            <w:vAlign w:val="center"/>
          </w:tcPr>
          <w:p w14:paraId="39EF5C34">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0.965</w:t>
            </w:r>
          </w:p>
        </w:tc>
      </w:tr>
      <w:tr w14:paraId="22D903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5A57420B">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5</w:t>
            </w:r>
          </w:p>
        </w:tc>
        <w:tc>
          <w:tcPr>
            <w:tcW w:w="1832" w:type="pct"/>
            <w:vAlign w:val="center"/>
          </w:tcPr>
          <w:p w14:paraId="608D87FF">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秋茄</w:t>
            </w:r>
          </w:p>
        </w:tc>
        <w:tc>
          <w:tcPr>
            <w:tcW w:w="1350" w:type="pct"/>
            <w:vAlign w:val="center"/>
          </w:tcPr>
          <w:p w14:paraId="30A71FF9">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0.67</w:t>
            </w:r>
          </w:p>
        </w:tc>
        <w:tc>
          <w:tcPr>
            <w:tcW w:w="1302" w:type="pct"/>
            <w:vAlign w:val="center"/>
          </w:tcPr>
          <w:p w14:paraId="1682613C">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0.02</w:t>
            </w:r>
          </w:p>
        </w:tc>
      </w:tr>
      <w:tr w14:paraId="361305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7A58E125">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6</w:t>
            </w:r>
          </w:p>
        </w:tc>
        <w:tc>
          <w:tcPr>
            <w:tcW w:w="1832" w:type="pct"/>
            <w:vAlign w:val="center"/>
          </w:tcPr>
          <w:p w14:paraId="3EC24D71">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无瓣海桑+桐花树</w:t>
            </w:r>
          </w:p>
        </w:tc>
        <w:tc>
          <w:tcPr>
            <w:tcW w:w="1350" w:type="pct"/>
            <w:vAlign w:val="center"/>
          </w:tcPr>
          <w:p w14:paraId="3F21AB69">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572.34</w:t>
            </w:r>
          </w:p>
        </w:tc>
        <w:tc>
          <w:tcPr>
            <w:tcW w:w="1302" w:type="pct"/>
            <w:vAlign w:val="center"/>
          </w:tcPr>
          <w:p w14:paraId="09B9C04D">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17.81</w:t>
            </w:r>
          </w:p>
        </w:tc>
      </w:tr>
      <w:tr w14:paraId="722BCC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12CE283A">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7</w:t>
            </w:r>
          </w:p>
        </w:tc>
        <w:tc>
          <w:tcPr>
            <w:tcW w:w="1832" w:type="pct"/>
            <w:vAlign w:val="center"/>
          </w:tcPr>
          <w:p w14:paraId="09E9F325">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无瓣海桑+桐花树+秋茄</w:t>
            </w:r>
          </w:p>
        </w:tc>
        <w:tc>
          <w:tcPr>
            <w:tcW w:w="1350" w:type="pct"/>
            <w:vAlign w:val="center"/>
          </w:tcPr>
          <w:p w14:paraId="6F217D26">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182.11</w:t>
            </w:r>
          </w:p>
        </w:tc>
        <w:tc>
          <w:tcPr>
            <w:tcW w:w="1302" w:type="pct"/>
            <w:vAlign w:val="center"/>
          </w:tcPr>
          <w:p w14:paraId="72CB092C">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5.67</w:t>
            </w:r>
          </w:p>
        </w:tc>
      </w:tr>
      <w:tr w14:paraId="6CAD11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1547A96A">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8</w:t>
            </w:r>
          </w:p>
        </w:tc>
        <w:tc>
          <w:tcPr>
            <w:tcW w:w="1832" w:type="pct"/>
            <w:vAlign w:val="center"/>
          </w:tcPr>
          <w:p w14:paraId="793B0C37">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桐花树+卤蕨</w:t>
            </w:r>
          </w:p>
        </w:tc>
        <w:tc>
          <w:tcPr>
            <w:tcW w:w="1350" w:type="pct"/>
            <w:vAlign w:val="center"/>
          </w:tcPr>
          <w:p w14:paraId="69508979">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24.87</w:t>
            </w:r>
          </w:p>
        </w:tc>
        <w:tc>
          <w:tcPr>
            <w:tcW w:w="1302" w:type="pct"/>
            <w:vAlign w:val="center"/>
          </w:tcPr>
          <w:p w14:paraId="51B6CB96">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0.77</w:t>
            </w:r>
          </w:p>
        </w:tc>
      </w:tr>
      <w:tr w14:paraId="1C4602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4678194D">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9</w:t>
            </w:r>
          </w:p>
        </w:tc>
        <w:tc>
          <w:tcPr>
            <w:tcW w:w="1832" w:type="pct"/>
            <w:vAlign w:val="center"/>
          </w:tcPr>
          <w:p w14:paraId="086F7CDD">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白骨壤+桐花树+秋茄</w:t>
            </w:r>
          </w:p>
        </w:tc>
        <w:tc>
          <w:tcPr>
            <w:tcW w:w="1350" w:type="pct"/>
            <w:vAlign w:val="center"/>
          </w:tcPr>
          <w:p w14:paraId="3815CE40">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26.25</w:t>
            </w:r>
          </w:p>
        </w:tc>
        <w:tc>
          <w:tcPr>
            <w:tcW w:w="1302" w:type="pct"/>
            <w:vAlign w:val="center"/>
          </w:tcPr>
          <w:p w14:paraId="37964E48">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0.82</w:t>
            </w:r>
          </w:p>
        </w:tc>
      </w:tr>
      <w:tr w14:paraId="1DFDB8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44DF0E70">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10</w:t>
            </w:r>
          </w:p>
        </w:tc>
        <w:tc>
          <w:tcPr>
            <w:tcW w:w="1832" w:type="pct"/>
            <w:vAlign w:val="center"/>
          </w:tcPr>
          <w:p w14:paraId="3C39AA84">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白骨壤+桐花树</w:t>
            </w:r>
          </w:p>
        </w:tc>
        <w:tc>
          <w:tcPr>
            <w:tcW w:w="1350" w:type="pct"/>
            <w:vAlign w:val="center"/>
          </w:tcPr>
          <w:p w14:paraId="0B4F5CE7">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276.82</w:t>
            </w:r>
          </w:p>
        </w:tc>
        <w:tc>
          <w:tcPr>
            <w:tcW w:w="1302" w:type="pct"/>
            <w:vAlign w:val="center"/>
          </w:tcPr>
          <w:p w14:paraId="7EABC050">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8.63</w:t>
            </w:r>
          </w:p>
        </w:tc>
      </w:tr>
      <w:tr w14:paraId="3CBDB4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2994F3FD">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11</w:t>
            </w:r>
          </w:p>
        </w:tc>
        <w:tc>
          <w:tcPr>
            <w:tcW w:w="1832" w:type="pct"/>
            <w:vAlign w:val="center"/>
          </w:tcPr>
          <w:p w14:paraId="5260EE5A">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白骨壤+秋茄</w:t>
            </w:r>
          </w:p>
        </w:tc>
        <w:tc>
          <w:tcPr>
            <w:tcW w:w="1350" w:type="pct"/>
            <w:vAlign w:val="center"/>
          </w:tcPr>
          <w:p w14:paraId="6BA4CA6F">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0.08</w:t>
            </w:r>
          </w:p>
        </w:tc>
        <w:tc>
          <w:tcPr>
            <w:tcW w:w="1302" w:type="pct"/>
            <w:vAlign w:val="center"/>
          </w:tcPr>
          <w:p w14:paraId="2BF6F910">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0.01</w:t>
            </w:r>
          </w:p>
        </w:tc>
      </w:tr>
      <w:tr w14:paraId="1A28D7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54C83C57">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12</w:t>
            </w:r>
          </w:p>
        </w:tc>
        <w:tc>
          <w:tcPr>
            <w:tcW w:w="1832" w:type="pct"/>
            <w:vAlign w:val="center"/>
          </w:tcPr>
          <w:p w14:paraId="20BFAEFF">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其他</w:t>
            </w:r>
          </w:p>
        </w:tc>
        <w:tc>
          <w:tcPr>
            <w:tcW w:w="1350" w:type="pct"/>
            <w:vAlign w:val="center"/>
          </w:tcPr>
          <w:p w14:paraId="74A93ADC">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4.29</w:t>
            </w:r>
          </w:p>
        </w:tc>
        <w:tc>
          <w:tcPr>
            <w:tcW w:w="1302" w:type="pct"/>
            <w:vAlign w:val="center"/>
          </w:tcPr>
          <w:p w14:paraId="1B43FC0A">
            <w:pPr>
              <w:pStyle w:val="91"/>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0.12</w:t>
            </w:r>
          </w:p>
        </w:tc>
      </w:tr>
    </w:tbl>
    <w:p w14:paraId="2BE73C6D">
      <w:pPr>
        <w:pStyle w:val="533"/>
        <w:numPr>
          <w:ilvl w:val="3"/>
          <w:numId w:val="9"/>
        </w:numPr>
        <w:rPr>
          <w:color w:val="auto"/>
          <w:szCs w:val="24"/>
          <w:highlight w:val="none"/>
        </w:rPr>
      </w:pPr>
      <w:r>
        <w:rPr>
          <w:color w:val="auto"/>
          <w:szCs w:val="24"/>
          <w:highlight w:val="none"/>
        </w:rPr>
        <w:t>海洋矿产资源</w:t>
      </w:r>
    </w:p>
    <w:p w14:paraId="6105F1FE">
      <w:pPr>
        <w:topLinePunct w:val="0"/>
        <w:autoSpaceDE w:val="0"/>
        <w:autoSpaceDN w:val="0"/>
        <w:snapToGrid/>
        <w:ind w:firstLine="480"/>
        <w:jc w:val="left"/>
        <w:rPr>
          <w:color w:val="auto"/>
          <w:highlight w:val="none"/>
        </w:rPr>
      </w:pPr>
      <w:r>
        <w:rPr>
          <w:color w:val="auto"/>
          <w:highlight w:val="none"/>
        </w:rPr>
        <w:t>钦州湾沿岸海域的矿产资源主要包括：犀牛脚三娘湾大型钛铁矿，面积107.5km</w:t>
      </w:r>
      <w:r>
        <w:rPr>
          <w:color w:val="auto"/>
          <w:highlight w:val="none"/>
          <w:vertAlign w:val="superscript"/>
        </w:rPr>
        <w:t>2</w:t>
      </w:r>
      <w:r>
        <w:rPr>
          <w:color w:val="auto"/>
          <w:highlight w:val="none"/>
        </w:rPr>
        <w:t>，钛铁储量约600万t，以及伴生的锆英石、金红石、独居石等近100万t；犀牛脚乌雷和龙港（炮台）的黑云母花岗岩大型矿床，面积20.75km</w:t>
      </w:r>
      <w:r>
        <w:rPr>
          <w:color w:val="auto"/>
          <w:highlight w:val="none"/>
          <w:vertAlign w:val="superscript"/>
        </w:rPr>
        <w:t>2</w:t>
      </w:r>
      <w:r>
        <w:rPr>
          <w:color w:val="auto"/>
          <w:highlight w:val="none"/>
        </w:rPr>
        <w:t>，总储量约2400万m</w:t>
      </w:r>
      <w:r>
        <w:rPr>
          <w:color w:val="auto"/>
          <w:highlight w:val="none"/>
          <w:vertAlign w:val="superscript"/>
        </w:rPr>
        <w:t>3</w:t>
      </w:r>
      <w:r>
        <w:rPr>
          <w:color w:val="auto"/>
          <w:highlight w:val="none"/>
        </w:rPr>
        <w:t>；其余还有犀牛脚吉子根、乌雷的褐铁矿、龙门西村的赤铁矿、大番坡鸡窝的金沙矿、大番坡石口江和犀牛脚西坑的黄铁矿等。</w:t>
      </w:r>
    </w:p>
    <w:p w14:paraId="3C2199A8">
      <w:pPr>
        <w:pStyle w:val="7"/>
        <w:numPr>
          <w:ilvl w:val="2"/>
          <w:numId w:val="9"/>
        </w:numPr>
        <w:rPr>
          <w:color w:val="auto"/>
          <w:sz w:val="28"/>
          <w:highlight w:val="none"/>
        </w:rPr>
      </w:pPr>
      <w:r>
        <w:rPr>
          <w:color w:val="auto"/>
          <w:sz w:val="28"/>
          <w:highlight w:val="none"/>
        </w:rPr>
        <w:t>海域开发利用现状</w:t>
      </w:r>
    </w:p>
    <w:p w14:paraId="70108996">
      <w:pPr>
        <w:topLinePunct w:val="0"/>
        <w:autoSpaceDE w:val="0"/>
        <w:autoSpaceDN w:val="0"/>
        <w:snapToGrid/>
        <w:ind w:firstLine="480"/>
        <w:jc w:val="left"/>
        <w:rPr>
          <w:color w:val="auto"/>
          <w:highlight w:val="none"/>
        </w:rPr>
      </w:pPr>
      <w:r>
        <w:rPr>
          <w:color w:val="auto"/>
          <w:highlight w:val="none"/>
        </w:rPr>
        <w:t>根据现场踏勘及资料搜集情况，结合遥感影像图，了解到项目所在海域及周边海域海洋开发活动较多，主要为航道、港口、锚地及滨海旅游区等。工程所在海域的海洋开发利用现状见表3.2-2和图3.2-1。</w:t>
      </w:r>
    </w:p>
    <w:p w14:paraId="457B2B3D">
      <w:pPr>
        <w:pStyle w:val="38"/>
        <w:spacing w:after="0" w:line="240" w:lineRule="auto"/>
        <w:ind w:firstLine="0" w:firstLineChars="0"/>
        <w:jc w:val="center"/>
        <w:rPr>
          <w:b/>
          <w:color w:val="auto"/>
          <w:sz w:val="21"/>
          <w:szCs w:val="21"/>
          <w:highlight w:val="none"/>
        </w:rPr>
      </w:pPr>
      <w:r>
        <w:rPr>
          <w:b/>
          <w:color w:val="auto"/>
          <w:sz w:val="21"/>
          <w:szCs w:val="21"/>
          <w:highlight w:val="none"/>
        </w:rPr>
        <w:t>表3.2-2工程区周边海域利用现状</w:t>
      </w:r>
    </w:p>
    <w:tbl>
      <w:tblPr>
        <w:tblStyle w:val="1535"/>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7"/>
        <w:gridCol w:w="2020"/>
        <w:gridCol w:w="4060"/>
        <w:gridCol w:w="1108"/>
        <w:gridCol w:w="1377"/>
      </w:tblGrid>
      <w:tr w14:paraId="57C27C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86" w:type="pct"/>
            <w:tcBorders>
              <w:top w:val="single" w:color="auto" w:sz="12" w:space="0"/>
              <w:tl2br w:val="nil"/>
              <w:tr2bl w:val="nil"/>
            </w:tcBorders>
            <w:vAlign w:val="center"/>
          </w:tcPr>
          <w:p w14:paraId="2136A4CB">
            <w:pPr>
              <w:kinsoku w:val="0"/>
              <w:overflowPunct w:val="0"/>
              <w:topLinePunct w:val="0"/>
              <w:autoSpaceDE w:val="0"/>
              <w:autoSpaceDN w:val="0"/>
              <w:snapToGrid/>
              <w:spacing w:line="240" w:lineRule="auto"/>
              <w:ind w:firstLine="0" w:firstLineChars="0"/>
              <w:jc w:val="center"/>
              <w:rPr>
                <w:b/>
                <w:bCs/>
                <w:color w:val="auto"/>
                <w:sz w:val="21"/>
                <w:szCs w:val="21"/>
                <w:highlight w:val="none"/>
                <w:u w:val="single"/>
              </w:rPr>
            </w:pPr>
            <w:r>
              <w:rPr>
                <w:b/>
                <w:bCs/>
                <w:color w:val="auto"/>
                <w:spacing w:val="-1"/>
                <w:sz w:val="21"/>
                <w:szCs w:val="21"/>
                <w:highlight w:val="none"/>
                <w:u w:val="single"/>
              </w:rPr>
              <w:t>序</w:t>
            </w:r>
            <w:r>
              <w:rPr>
                <w:b/>
                <w:bCs/>
                <w:color w:val="auto"/>
                <w:sz w:val="21"/>
                <w:szCs w:val="21"/>
                <w:highlight w:val="none"/>
                <w:u w:val="single"/>
              </w:rPr>
              <w:t>号</w:t>
            </w:r>
          </w:p>
        </w:tc>
        <w:tc>
          <w:tcPr>
            <w:tcW w:w="3275" w:type="pct"/>
            <w:gridSpan w:val="2"/>
            <w:tcBorders>
              <w:top w:val="single" w:color="auto" w:sz="12" w:space="0"/>
              <w:tl2br w:val="nil"/>
              <w:tr2bl w:val="nil"/>
            </w:tcBorders>
            <w:vAlign w:val="center"/>
          </w:tcPr>
          <w:p w14:paraId="485CCD39">
            <w:pPr>
              <w:kinsoku w:val="0"/>
              <w:overflowPunct w:val="0"/>
              <w:topLinePunct w:val="0"/>
              <w:autoSpaceDE w:val="0"/>
              <w:autoSpaceDN w:val="0"/>
              <w:snapToGrid/>
              <w:spacing w:line="240" w:lineRule="auto"/>
              <w:ind w:firstLine="0" w:firstLineChars="0"/>
              <w:jc w:val="center"/>
              <w:rPr>
                <w:b/>
                <w:bCs/>
                <w:color w:val="auto"/>
                <w:sz w:val="21"/>
                <w:szCs w:val="21"/>
                <w:highlight w:val="none"/>
                <w:u w:val="single"/>
              </w:rPr>
            </w:pPr>
            <w:r>
              <w:rPr>
                <w:b/>
                <w:bCs/>
                <w:color w:val="auto"/>
                <w:spacing w:val="-1"/>
                <w:sz w:val="21"/>
                <w:szCs w:val="21"/>
                <w:highlight w:val="none"/>
                <w:u w:val="single"/>
              </w:rPr>
              <w:t>开</w:t>
            </w:r>
            <w:r>
              <w:rPr>
                <w:b/>
                <w:bCs/>
                <w:color w:val="auto"/>
                <w:spacing w:val="2"/>
                <w:sz w:val="21"/>
                <w:szCs w:val="21"/>
                <w:highlight w:val="none"/>
                <w:u w:val="single"/>
              </w:rPr>
              <w:t>发</w:t>
            </w:r>
            <w:r>
              <w:rPr>
                <w:b/>
                <w:bCs/>
                <w:color w:val="auto"/>
                <w:spacing w:val="-1"/>
                <w:sz w:val="21"/>
                <w:szCs w:val="21"/>
                <w:highlight w:val="none"/>
                <w:u w:val="single"/>
              </w:rPr>
              <w:t>利</w:t>
            </w:r>
            <w:r>
              <w:rPr>
                <w:b/>
                <w:bCs/>
                <w:color w:val="auto"/>
                <w:spacing w:val="2"/>
                <w:sz w:val="21"/>
                <w:szCs w:val="21"/>
                <w:highlight w:val="none"/>
                <w:u w:val="single"/>
              </w:rPr>
              <w:t>用</w:t>
            </w:r>
            <w:r>
              <w:rPr>
                <w:b/>
                <w:bCs/>
                <w:color w:val="auto"/>
                <w:spacing w:val="-1"/>
                <w:sz w:val="21"/>
                <w:szCs w:val="21"/>
                <w:highlight w:val="none"/>
                <w:u w:val="single"/>
              </w:rPr>
              <w:t>活</w:t>
            </w:r>
            <w:r>
              <w:rPr>
                <w:b/>
                <w:bCs/>
                <w:color w:val="auto"/>
                <w:sz w:val="21"/>
                <w:szCs w:val="21"/>
                <w:highlight w:val="none"/>
                <w:u w:val="single"/>
              </w:rPr>
              <w:t>动</w:t>
            </w:r>
          </w:p>
        </w:tc>
        <w:tc>
          <w:tcPr>
            <w:tcW w:w="597" w:type="pct"/>
            <w:tcBorders>
              <w:top w:val="single" w:color="auto" w:sz="12" w:space="0"/>
              <w:tl2br w:val="nil"/>
              <w:tr2bl w:val="nil"/>
            </w:tcBorders>
            <w:vAlign w:val="center"/>
          </w:tcPr>
          <w:p w14:paraId="2B39D681">
            <w:pPr>
              <w:kinsoku w:val="0"/>
              <w:overflowPunct w:val="0"/>
              <w:topLinePunct w:val="0"/>
              <w:autoSpaceDE w:val="0"/>
              <w:autoSpaceDN w:val="0"/>
              <w:snapToGrid/>
              <w:spacing w:line="240" w:lineRule="auto"/>
              <w:ind w:firstLine="0" w:firstLineChars="0"/>
              <w:jc w:val="center"/>
              <w:rPr>
                <w:b/>
                <w:bCs/>
                <w:color w:val="auto"/>
                <w:sz w:val="21"/>
                <w:szCs w:val="21"/>
                <w:highlight w:val="none"/>
                <w:u w:val="single"/>
              </w:rPr>
            </w:pPr>
            <w:r>
              <w:rPr>
                <w:b/>
                <w:bCs/>
                <w:color w:val="auto"/>
                <w:spacing w:val="-1"/>
                <w:sz w:val="21"/>
                <w:szCs w:val="21"/>
                <w:highlight w:val="none"/>
                <w:u w:val="single"/>
              </w:rPr>
              <w:t>方</w:t>
            </w:r>
            <w:r>
              <w:rPr>
                <w:b/>
                <w:bCs/>
                <w:color w:val="auto"/>
                <w:sz w:val="21"/>
                <w:szCs w:val="21"/>
                <w:highlight w:val="none"/>
                <w:u w:val="single"/>
              </w:rPr>
              <w:t>位</w:t>
            </w:r>
          </w:p>
        </w:tc>
        <w:tc>
          <w:tcPr>
            <w:tcW w:w="742" w:type="pct"/>
            <w:tcBorders>
              <w:top w:val="single" w:color="auto" w:sz="12" w:space="0"/>
              <w:tl2br w:val="nil"/>
              <w:tr2bl w:val="nil"/>
            </w:tcBorders>
            <w:vAlign w:val="center"/>
          </w:tcPr>
          <w:p w14:paraId="64E6E1B0">
            <w:pPr>
              <w:kinsoku w:val="0"/>
              <w:overflowPunct w:val="0"/>
              <w:topLinePunct w:val="0"/>
              <w:autoSpaceDE w:val="0"/>
              <w:autoSpaceDN w:val="0"/>
              <w:snapToGrid/>
              <w:spacing w:line="240" w:lineRule="auto"/>
              <w:ind w:firstLine="0" w:firstLineChars="0"/>
              <w:jc w:val="center"/>
              <w:rPr>
                <w:b/>
                <w:bCs/>
                <w:color w:val="auto"/>
                <w:spacing w:val="2"/>
                <w:sz w:val="21"/>
                <w:szCs w:val="21"/>
                <w:highlight w:val="none"/>
                <w:u w:val="single"/>
              </w:rPr>
            </w:pPr>
            <w:r>
              <w:rPr>
                <w:b/>
                <w:bCs/>
                <w:color w:val="auto"/>
                <w:spacing w:val="-1"/>
                <w:sz w:val="21"/>
                <w:szCs w:val="21"/>
                <w:highlight w:val="none"/>
                <w:u w:val="single"/>
              </w:rPr>
              <w:t>最</w:t>
            </w:r>
            <w:r>
              <w:rPr>
                <w:b/>
                <w:bCs/>
                <w:color w:val="auto"/>
                <w:spacing w:val="2"/>
                <w:sz w:val="21"/>
                <w:szCs w:val="21"/>
                <w:highlight w:val="none"/>
                <w:u w:val="single"/>
              </w:rPr>
              <w:t>近</w:t>
            </w:r>
            <w:r>
              <w:rPr>
                <w:b/>
                <w:bCs/>
                <w:color w:val="auto"/>
                <w:spacing w:val="-1"/>
                <w:sz w:val="21"/>
                <w:szCs w:val="21"/>
                <w:highlight w:val="none"/>
                <w:u w:val="single"/>
              </w:rPr>
              <w:t>距</w:t>
            </w:r>
            <w:r>
              <w:rPr>
                <w:b/>
                <w:bCs/>
                <w:color w:val="auto"/>
                <w:spacing w:val="2"/>
                <w:sz w:val="21"/>
                <w:szCs w:val="21"/>
                <w:highlight w:val="none"/>
                <w:u w:val="single"/>
              </w:rPr>
              <w:t>离</w:t>
            </w:r>
          </w:p>
          <w:p w14:paraId="086CFA14">
            <w:pPr>
              <w:kinsoku w:val="0"/>
              <w:overflowPunct w:val="0"/>
              <w:topLinePunct w:val="0"/>
              <w:autoSpaceDE w:val="0"/>
              <w:autoSpaceDN w:val="0"/>
              <w:snapToGrid/>
              <w:spacing w:line="240" w:lineRule="auto"/>
              <w:ind w:firstLine="0" w:firstLineChars="0"/>
              <w:jc w:val="center"/>
              <w:rPr>
                <w:b/>
                <w:bCs/>
                <w:color w:val="auto"/>
                <w:sz w:val="21"/>
                <w:szCs w:val="21"/>
                <w:highlight w:val="none"/>
                <w:u w:val="single"/>
              </w:rPr>
            </w:pPr>
            <w:r>
              <w:rPr>
                <w:b/>
                <w:bCs/>
                <w:color w:val="auto"/>
                <w:spacing w:val="2"/>
                <w:sz w:val="21"/>
                <w:szCs w:val="21"/>
                <w:highlight w:val="none"/>
                <w:u w:val="single"/>
              </w:rPr>
              <w:t>（</w:t>
            </w:r>
            <w:r>
              <w:rPr>
                <w:b/>
                <w:bCs/>
                <w:color w:val="auto"/>
                <w:spacing w:val="1"/>
                <w:sz w:val="21"/>
                <w:szCs w:val="21"/>
                <w:highlight w:val="none"/>
                <w:u w:val="single"/>
              </w:rPr>
              <w:t>k</w:t>
            </w:r>
            <w:r>
              <w:rPr>
                <w:b/>
                <w:bCs/>
                <w:color w:val="auto"/>
                <w:spacing w:val="-2"/>
                <w:sz w:val="21"/>
                <w:szCs w:val="21"/>
                <w:highlight w:val="none"/>
                <w:u w:val="single"/>
              </w:rPr>
              <w:t>m</w:t>
            </w:r>
            <w:r>
              <w:rPr>
                <w:b/>
                <w:bCs/>
                <w:color w:val="auto"/>
                <w:sz w:val="21"/>
                <w:szCs w:val="21"/>
                <w:highlight w:val="none"/>
                <w:u w:val="single"/>
              </w:rPr>
              <w:t>）</w:t>
            </w:r>
          </w:p>
        </w:tc>
      </w:tr>
      <w:tr w14:paraId="427FF7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6" w:type="pct"/>
            <w:vMerge w:val="restart"/>
            <w:tcBorders>
              <w:tl2br w:val="nil"/>
              <w:tr2bl w:val="nil"/>
            </w:tcBorders>
            <w:vAlign w:val="center"/>
          </w:tcPr>
          <w:p w14:paraId="5B266D4F">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1</w:t>
            </w:r>
          </w:p>
        </w:tc>
        <w:tc>
          <w:tcPr>
            <w:tcW w:w="1088" w:type="pct"/>
            <w:vMerge w:val="restart"/>
            <w:tcBorders>
              <w:tl2br w:val="nil"/>
              <w:tr2bl w:val="nil"/>
            </w:tcBorders>
            <w:vAlign w:val="center"/>
          </w:tcPr>
          <w:p w14:paraId="6C3C4E68">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pacing w:val="-1"/>
                <w:sz w:val="21"/>
                <w:szCs w:val="21"/>
                <w:highlight w:val="none"/>
                <w:u w:val="single"/>
              </w:rPr>
              <w:t>航</w:t>
            </w:r>
            <w:r>
              <w:rPr>
                <w:color w:val="auto"/>
                <w:sz w:val="21"/>
                <w:szCs w:val="21"/>
                <w:highlight w:val="none"/>
                <w:u w:val="single"/>
              </w:rPr>
              <w:t>道</w:t>
            </w:r>
          </w:p>
        </w:tc>
        <w:tc>
          <w:tcPr>
            <w:tcW w:w="2187" w:type="pct"/>
            <w:tcBorders>
              <w:tl2br w:val="nil"/>
              <w:tr2bl w:val="nil"/>
            </w:tcBorders>
            <w:vAlign w:val="center"/>
          </w:tcPr>
          <w:p w14:paraId="6098DC66">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pacing w:val="-1"/>
                <w:sz w:val="21"/>
                <w:szCs w:val="21"/>
                <w:highlight w:val="none"/>
                <w:u w:val="single"/>
              </w:rPr>
              <w:t>钦</w:t>
            </w:r>
            <w:r>
              <w:rPr>
                <w:color w:val="auto"/>
                <w:spacing w:val="2"/>
                <w:sz w:val="21"/>
                <w:szCs w:val="21"/>
                <w:highlight w:val="none"/>
                <w:u w:val="single"/>
              </w:rPr>
              <w:t>州</w:t>
            </w:r>
            <w:r>
              <w:rPr>
                <w:color w:val="auto"/>
                <w:spacing w:val="-1"/>
                <w:sz w:val="21"/>
                <w:szCs w:val="21"/>
                <w:highlight w:val="none"/>
                <w:u w:val="single"/>
              </w:rPr>
              <w:t>港</w:t>
            </w:r>
            <w:r>
              <w:rPr>
                <w:color w:val="auto"/>
                <w:spacing w:val="2"/>
                <w:sz w:val="21"/>
                <w:szCs w:val="21"/>
                <w:highlight w:val="none"/>
                <w:u w:val="single"/>
              </w:rPr>
              <w:t>东</w:t>
            </w:r>
            <w:r>
              <w:rPr>
                <w:color w:val="auto"/>
                <w:spacing w:val="-1"/>
                <w:sz w:val="21"/>
                <w:szCs w:val="21"/>
                <w:highlight w:val="none"/>
                <w:u w:val="single"/>
              </w:rPr>
              <w:t>航</w:t>
            </w:r>
            <w:r>
              <w:rPr>
                <w:color w:val="auto"/>
                <w:sz w:val="21"/>
                <w:szCs w:val="21"/>
                <w:highlight w:val="none"/>
                <w:u w:val="single"/>
              </w:rPr>
              <w:t>道</w:t>
            </w:r>
          </w:p>
        </w:tc>
        <w:tc>
          <w:tcPr>
            <w:tcW w:w="597" w:type="pct"/>
            <w:tcBorders>
              <w:tl2br w:val="nil"/>
              <w:tr2bl w:val="nil"/>
            </w:tcBorders>
            <w:vAlign w:val="center"/>
          </w:tcPr>
          <w:p w14:paraId="634C0F31">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西</w:t>
            </w:r>
            <w:r>
              <w:rPr>
                <w:color w:val="auto"/>
                <w:sz w:val="21"/>
                <w:szCs w:val="21"/>
                <w:highlight w:val="none"/>
                <w:u w:val="single"/>
              </w:rPr>
              <w:t>面</w:t>
            </w:r>
          </w:p>
        </w:tc>
        <w:tc>
          <w:tcPr>
            <w:tcW w:w="742" w:type="pct"/>
            <w:tcBorders>
              <w:tl2br w:val="nil"/>
              <w:tr2bl w:val="nil"/>
            </w:tcBorders>
            <w:vAlign w:val="center"/>
          </w:tcPr>
          <w:p w14:paraId="77EFB858">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1.4</w:t>
            </w:r>
          </w:p>
        </w:tc>
      </w:tr>
      <w:tr w14:paraId="1FEDF4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6" w:type="pct"/>
            <w:vMerge w:val="continue"/>
            <w:tcBorders>
              <w:tl2br w:val="nil"/>
              <w:tr2bl w:val="nil"/>
            </w:tcBorders>
            <w:vAlign w:val="center"/>
          </w:tcPr>
          <w:p w14:paraId="423CAEF5">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p>
        </w:tc>
        <w:tc>
          <w:tcPr>
            <w:tcW w:w="1088" w:type="pct"/>
            <w:vMerge w:val="continue"/>
            <w:tcBorders>
              <w:tl2br w:val="nil"/>
              <w:tr2bl w:val="nil"/>
            </w:tcBorders>
            <w:vAlign w:val="center"/>
          </w:tcPr>
          <w:p w14:paraId="2D10D801">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p>
        </w:tc>
        <w:tc>
          <w:tcPr>
            <w:tcW w:w="2187" w:type="pct"/>
            <w:tcBorders>
              <w:tl2br w:val="nil"/>
              <w:tr2bl w:val="nil"/>
            </w:tcBorders>
            <w:vAlign w:val="center"/>
          </w:tcPr>
          <w:p w14:paraId="7A3B6086">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pacing w:val="-1"/>
                <w:sz w:val="21"/>
                <w:szCs w:val="21"/>
                <w:highlight w:val="none"/>
                <w:u w:val="single"/>
              </w:rPr>
              <w:t>钦</w:t>
            </w:r>
            <w:r>
              <w:rPr>
                <w:color w:val="auto"/>
                <w:spacing w:val="2"/>
                <w:sz w:val="21"/>
                <w:szCs w:val="21"/>
                <w:highlight w:val="none"/>
                <w:u w:val="single"/>
              </w:rPr>
              <w:t>州</w:t>
            </w:r>
            <w:r>
              <w:rPr>
                <w:color w:val="auto"/>
                <w:spacing w:val="-1"/>
                <w:sz w:val="21"/>
                <w:szCs w:val="21"/>
                <w:highlight w:val="none"/>
                <w:u w:val="single"/>
              </w:rPr>
              <w:t>港</w:t>
            </w:r>
            <w:r>
              <w:rPr>
                <w:color w:val="auto"/>
                <w:spacing w:val="2"/>
                <w:sz w:val="21"/>
                <w:szCs w:val="21"/>
                <w:highlight w:val="none"/>
                <w:u w:val="single"/>
              </w:rPr>
              <w:t>西</w:t>
            </w:r>
            <w:r>
              <w:rPr>
                <w:color w:val="auto"/>
                <w:spacing w:val="-1"/>
                <w:sz w:val="21"/>
                <w:szCs w:val="21"/>
                <w:highlight w:val="none"/>
                <w:u w:val="single"/>
              </w:rPr>
              <w:t>航</w:t>
            </w:r>
            <w:r>
              <w:rPr>
                <w:color w:val="auto"/>
                <w:sz w:val="21"/>
                <w:szCs w:val="21"/>
                <w:highlight w:val="none"/>
                <w:u w:val="single"/>
              </w:rPr>
              <w:t>道</w:t>
            </w:r>
          </w:p>
        </w:tc>
        <w:tc>
          <w:tcPr>
            <w:tcW w:w="597" w:type="pct"/>
            <w:tcBorders>
              <w:tl2br w:val="nil"/>
              <w:tr2bl w:val="nil"/>
            </w:tcBorders>
            <w:vAlign w:val="center"/>
          </w:tcPr>
          <w:p w14:paraId="52F2DD6E">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西面</w:t>
            </w:r>
          </w:p>
        </w:tc>
        <w:tc>
          <w:tcPr>
            <w:tcW w:w="742" w:type="pct"/>
            <w:tcBorders>
              <w:tl2br w:val="nil"/>
              <w:tr2bl w:val="nil"/>
            </w:tcBorders>
            <w:vAlign w:val="center"/>
          </w:tcPr>
          <w:p w14:paraId="4A259C67">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9.8</w:t>
            </w:r>
          </w:p>
        </w:tc>
      </w:tr>
      <w:tr w14:paraId="649799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6" w:type="pct"/>
            <w:vMerge w:val="restart"/>
            <w:tcBorders>
              <w:tl2br w:val="nil"/>
              <w:tr2bl w:val="nil"/>
            </w:tcBorders>
            <w:vAlign w:val="center"/>
          </w:tcPr>
          <w:p w14:paraId="06C15855">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2</w:t>
            </w:r>
          </w:p>
        </w:tc>
        <w:tc>
          <w:tcPr>
            <w:tcW w:w="1088" w:type="pct"/>
            <w:vMerge w:val="restart"/>
            <w:tcBorders>
              <w:tl2br w:val="nil"/>
              <w:tr2bl w:val="nil"/>
            </w:tcBorders>
            <w:vAlign w:val="center"/>
          </w:tcPr>
          <w:p w14:paraId="4266771E">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pacing w:val="-1"/>
                <w:sz w:val="21"/>
                <w:szCs w:val="21"/>
                <w:highlight w:val="none"/>
              </w:rPr>
              <w:t>锚</w:t>
            </w:r>
            <w:r>
              <w:rPr>
                <w:color w:val="auto"/>
                <w:sz w:val="21"/>
                <w:szCs w:val="21"/>
                <w:highlight w:val="none"/>
              </w:rPr>
              <w:t>地</w:t>
            </w:r>
          </w:p>
        </w:tc>
        <w:tc>
          <w:tcPr>
            <w:tcW w:w="2187" w:type="pct"/>
            <w:tcBorders>
              <w:tl2br w:val="nil"/>
              <w:tr2bl w:val="nil"/>
            </w:tcBorders>
            <w:vAlign w:val="center"/>
          </w:tcPr>
          <w:p w14:paraId="6FF48340">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pacing w:val="1"/>
                <w:sz w:val="21"/>
                <w:szCs w:val="21"/>
                <w:highlight w:val="none"/>
              </w:rPr>
              <w:t>0#</w:t>
            </w:r>
            <w:r>
              <w:rPr>
                <w:color w:val="auto"/>
                <w:spacing w:val="-1"/>
                <w:sz w:val="21"/>
                <w:szCs w:val="21"/>
                <w:highlight w:val="none"/>
              </w:rPr>
              <w:t>锚</w:t>
            </w:r>
            <w:r>
              <w:rPr>
                <w:color w:val="auto"/>
                <w:sz w:val="21"/>
                <w:szCs w:val="21"/>
                <w:highlight w:val="none"/>
              </w:rPr>
              <w:t>地</w:t>
            </w:r>
          </w:p>
        </w:tc>
        <w:tc>
          <w:tcPr>
            <w:tcW w:w="597" w:type="pct"/>
            <w:tcBorders>
              <w:tl2br w:val="nil"/>
              <w:tr2bl w:val="nil"/>
            </w:tcBorders>
            <w:vAlign w:val="center"/>
          </w:tcPr>
          <w:p w14:paraId="125C27C9">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西南面</w:t>
            </w:r>
          </w:p>
        </w:tc>
        <w:tc>
          <w:tcPr>
            <w:tcW w:w="742" w:type="pct"/>
            <w:tcBorders>
              <w:tl2br w:val="nil"/>
              <w:tr2bl w:val="nil"/>
            </w:tcBorders>
            <w:vAlign w:val="center"/>
          </w:tcPr>
          <w:p w14:paraId="746F1578">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18.4</w:t>
            </w:r>
          </w:p>
        </w:tc>
      </w:tr>
      <w:tr w14:paraId="2229D7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6" w:type="pct"/>
            <w:vMerge w:val="continue"/>
            <w:tcBorders>
              <w:tl2br w:val="nil"/>
              <w:tr2bl w:val="nil"/>
            </w:tcBorders>
            <w:vAlign w:val="center"/>
          </w:tcPr>
          <w:p w14:paraId="26E5B5C1">
            <w:pPr>
              <w:kinsoku w:val="0"/>
              <w:overflowPunct w:val="0"/>
              <w:topLinePunct w:val="0"/>
              <w:autoSpaceDE w:val="0"/>
              <w:autoSpaceDN w:val="0"/>
              <w:snapToGrid/>
              <w:spacing w:line="240" w:lineRule="auto"/>
              <w:ind w:firstLine="0" w:firstLineChars="0"/>
              <w:jc w:val="center"/>
              <w:rPr>
                <w:color w:val="auto"/>
                <w:sz w:val="21"/>
                <w:szCs w:val="21"/>
                <w:highlight w:val="none"/>
              </w:rPr>
            </w:pPr>
          </w:p>
        </w:tc>
        <w:tc>
          <w:tcPr>
            <w:tcW w:w="1088" w:type="pct"/>
            <w:vMerge w:val="continue"/>
            <w:tcBorders>
              <w:tl2br w:val="nil"/>
              <w:tr2bl w:val="nil"/>
            </w:tcBorders>
            <w:vAlign w:val="center"/>
          </w:tcPr>
          <w:p w14:paraId="557A67B5">
            <w:pPr>
              <w:kinsoku w:val="0"/>
              <w:overflowPunct w:val="0"/>
              <w:topLinePunct w:val="0"/>
              <w:autoSpaceDE w:val="0"/>
              <w:autoSpaceDN w:val="0"/>
              <w:snapToGrid/>
              <w:spacing w:line="240" w:lineRule="auto"/>
              <w:ind w:firstLine="0" w:firstLineChars="0"/>
              <w:jc w:val="center"/>
              <w:rPr>
                <w:color w:val="auto"/>
                <w:spacing w:val="-1"/>
                <w:sz w:val="21"/>
                <w:szCs w:val="21"/>
                <w:highlight w:val="none"/>
              </w:rPr>
            </w:pPr>
          </w:p>
        </w:tc>
        <w:tc>
          <w:tcPr>
            <w:tcW w:w="2187" w:type="pct"/>
            <w:tcBorders>
              <w:tl2br w:val="nil"/>
              <w:tr2bl w:val="nil"/>
            </w:tcBorders>
            <w:vAlign w:val="center"/>
          </w:tcPr>
          <w:p w14:paraId="53E9663E">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pacing w:val="1"/>
                <w:sz w:val="21"/>
                <w:szCs w:val="21"/>
                <w:highlight w:val="none"/>
              </w:rPr>
              <w:t>1#</w:t>
            </w:r>
            <w:r>
              <w:rPr>
                <w:color w:val="auto"/>
                <w:spacing w:val="-1"/>
                <w:sz w:val="21"/>
                <w:szCs w:val="21"/>
                <w:highlight w:val="none"/>
              </w:rPr>
              <w:t>锚</w:t>
            </w:r>
            <w:r>
              <w:rPr>
                <w:color w:val="auto"/>
                <w:sz w:val="21"/>
                <w:szCs w:val="21"/>
                <w:highlight w:val="none"/>
              </w:rPr>
              <w:t>地</w:t>
            </w:r>
          </w:p>
        </w:tc>
        <w:tc>
          <w:tcPr>
            <w:tcW w:w="597" w:type="pct"/>
            <w:tcBorders>
              <w:tl2br w:val="nil"/>
              <w:tr2bl w:val="nil"/>
            </w:tcBorders>
            <w:vAlign w:val="center"/>
          </w:tcPr>
          <w:p w14:paraId="3C042A0C">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南面</w:t>
            </w:r>
          </w:p>
        </w:tc>
        <w:tc>
          <w:tcPr>
            <w:tcW w:w="742" w:type="pct"/>
            <w:tcBorders>
              <w:tl2br w:val="nil"/>
              <w:tr2bl w:val="nil"/>
            </w:tcBorders>
            <w:vAlign w:val="center"/>
          </w:tcPr>
          <w:p w14:paraId="06CDD9D1">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12.7</w:t>
            </w:r>
          </w:p>
        </w:tc>
      </w:tr>
      <w:tr w14:paraId="6C4005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6" w:type="pct"/>
            <w:vMerge w:val="continue"/>
            <w:tcBorders>
              <w:tl2br w:val="nil"/>
              <w:tr2bl w:val="nil"/>
            </w:tcBorders>
            <w:vAlign w:val="center"/>
          </w:tcPr>
          <w:p w14:paraId="3A2B18E9">
            <w:pPr>
              <w:kinsoku w:val="0"/>
              <w:overflowPunct w:val="0"/>
              <w:topLinePunct w:val="0"/>
              <w:autoSpaceDE w:val="0"/>
              <w:autoSpaceDN w:val="0"/>
              <w:snapToGrid/>
              <w:spacing w:line="240" w:lineRule="auto"/>
              <w:ind w:firstLine="0" w:firstLineChars="0"/>
              <w:jc w:val="center"/>
              <w:rPr>
                <w:color w:val="auto"/>
                <w:sz w:val="21"/>
                <w:szCs w:val="21"/>
                <w:highlight w:val="none"/>
              </w:rPr>
            </w:pPr>
          </w:p>
        </w:tc>
        <w:tc>
          <w:tcPr>
            <w:tcW w:w="1088" w:type="pct"/>
            <w:vMerge w:val="continue"/>
            <w:tcBorders>
              <w:tl2br w:val="nil"/>
              <w:tr2bl w:val="nil"/>
            </w:tcBorders>
            <w:vAlign w:val="center"/>
          </w:tcPr>
          <w:p w14:paraId="226775AB">
            <w:pPr>
              <w:kinsoku w:val="0"/>
              <w:overflowPunct w:val="0"/>
              <w:topLinePunct w:val="0"/>
              <w:autoSpaceDE w:val="0"/>
              <w:autoSpaceDN w:val="0"/>
              <w:snapToGrid/>
              <w:spacing w:line="240" w:lineRule="auto"/>
              <w:ind w:firstLine="0" w:firstLineChars="0"/>
              <w:jc w:val="center"/>
              <w:rPr>
                <w:color w:val="auto"/>
                <w:sz w:val="21"/>
                <w:szCs w:val="21"/>
                <w:highlight w:val="none"/>
              </w:rPr>
            </w:pPr>
          </w:p>
        </w:tc>
        <w:tc>
          <w:tcPr>
            <w:tcW w:w="2187" w:type="pct"/>
            <w:tcBorders>
              <w:tl2br w:val="nil"/>
              <w:tr2bl w:val="nil"/>
            </w:tcBorders>
            <w:vAlign w:val="center"/>
          </w:tcPr>
          <w:p w14:paraId="7619DE7C">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pacing w:val="1"/>
                <w:sz w:val="21"/>
                <w:szCs w:val="21"/>
                <w:highlight w:val="none"/>
              </w:rPr>
              <w:t>2#</w:t>
            </w:r>
            <w:r>
              <w:rPr>
                <w:color w:val="auto"/>
                <w:spacing w:val="-1"/>
                <w:sz w:val="21"/>
                <w:szCs w:val="21"/>
                <w:highlight w:val="none"/>
              </w:rPr>
              <w:t>锚</w:t>
            </w:r>
            <w:r>
              <w:rPr>
                <w:color w:val="auto"/>
                <w:sz w:val="21"/>
                <w:szCs w:val="21"/>
                <w:highlight w:val="none"/>
              </w:rPr>
              <w:t>地</w:t>
            </w:r>
          </w:p>
        </w:tc>
        <w:tc>
          <w:tcPr>
            <w:tcW w:w="597" w:type="pct"/>
            <w:tcBorders>
              <w:tl2br w:val="nil"/>
              <w:tr2bl w:val="nil"/>
            </w:tcBorders>
            <w:vAlign w:val="center"/>
          </w:tcPr>
          <w:p w14:paraId="5979322F">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南面</w:t>
            </w:r>
          </w:p>
        </w:tc>
        <w:tc>
          <w:tcPr>
            <w:tcW w:w="742" w:type="pct"/>
            <w:tcBorders>
              <w:tl2br w:val="nil"/>
              <w:tr2bl w:val="nil"/>
            </w:tcBorders>
            <w:vAlign w:val="center"/>
          </w:tcPr>
          <w:p w14:paraId="198707B9">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20.0</w:t>
            </w:r>
          </w:p>
        </w:tc>
      </w:tr>
      <w:tr w14:paraId="72AAEB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6" w:type="pct"/>
            <w:vMerge w:val="continue"/>
            <w:tcBorders>
              <w:tl2br w:val="nil"/>
              <w:tr2bl w:val="nil"/>
            </w:tcBorders>
            <w:vAlign w:val="center"/>
          </w:tcPr>
          <w:p w14:paraId="6F104F18">
            <w:pPr>
              <w:kinsoku w:val="0"/>
              <w:overflowPunct w:val="0"/>
              <w:topLinePunct w:val="0"/>
              <w:autoSpaceDE w:val="0"/>
              <w:autoSpaceDN w:val="0"/>
              <w:snapToGrid/>
              <w:spacing w:line="240" w:lineRule="auto"/>
              <w:ind w:firstLine="0" w:firstLineChars="0"/>
              <w:jc w:val="center"/>
              <w:rPr>
                <w:color w:val="auto"/>
                <w:sz w:val="21"/>
                <w:szCs w:val="21"/>
                <w:highlight w:val="none"/>
              </w:rPr>
            </w:pPr>
          </w:p>
        </w:tc>
        <w:tc>
          <w:tcPr>
            <w:tcW w:w="1088" w:type="pct"/>
            <w:vMerge w:val="continue"/>
            <w:tcBorders>
              <w:tl2br w:val="nil"/>
              <w:tr2bl w:val="nil"/>
            </w:tcBorders>
            <w:vAlign w:val="center"/>
          </w:tcPr>
          <w:p w14:paraId="5FB742C7">
            <w:pPr>
              <w:kinsoku w:val="0"/>
              <w:overflowPunct w:val="0"/>
              <w:topLinePunct w:val="0"/>
              <w:autoSpaceDE w:val="0"/>
              <w:autoSpaceDN w:val="0"/>
              <w:snapToGrid/>
              <w:spacing w:line="240" w:lineRule="auto"/>
              <w:ind w:firstLine="0" w:firstLineChars="0"/>
              <w:jc w:val="center"/>
              <w:rPr>
                <w:color w:val="auto"/>
                <w:sz w:val="21"/>
                <w:szCs w:val="21"/>
                <w:highlight w:val="none"/>
              </w:rPr>
            </w:pPr>
          </w:p>
        </w:tc>
        <w:tc>
          <w:tcPr>
            <w:tcW w:w="2187" w:type="pct"/>
            <w:tcBorders>
              <w:tl2br w:val="nil"/>
              <w:tr2bl w:val="nil"/>
            </w:tcBorders>
            <w:vAlign w:val="center"/>
          </w:tcPr>
          <w:p w14:paraId="1489BE43">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pacing w:val="1"/>
                <w:sz w:val="21"/>
                <w:szCs w:val="21"/>
                <w:highlight w:val="none"/>
              </w:rPr>
              <w:t>3#</w:t>
            </w:r>
            <w:r>
              <w:rPr>
                <w:color w:val="auto"/>
                <w:spacing w:val="-1"/>
                <w:sz w:val="21"/>
                <w:szCs w:val="21"/>
                <w:highlight w:val="none"/>
              </w:rPr>
              <w:t>锚</w:t>
            </w:r>
            <w:r>
              <w:rPr>
                <w:color w:val="auto"/>
                <w:sz w:val="21"/>
                <w:szCs w:val="21"/>
                <w:highlight w:val="none"/>
              </w:rPr>
              <w:t>地</w:t>
            </w:r>
          </w:p>
        </w:tc>
        <w:tc>
          <w:tcPr>
            <w:tcW w:w="597" w:type="pct"/>
            <w:tcBorders>
              <w:tl2br w:val="nil"/>
              <w:tr2bl w:val="nil"/>
            </w:tcBorders>
            <w:vAlign w:val="center"/>
          </w:tcPr>
          <w:p w14:paraId="0354CE62">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南面</w:t>
            </w:r>
          </w:p>
        </w:tc>
        <w:tc>
          <w:tcPr>
            <w:tcW w:w="742" w:type="pct"/>
            <w:tcBorders>
              <w:tl2br w:val="nil"/>
              <w:tr2bl w:val="nil"/>
            </w:tcBorders>
            <w:vAlign w:val="center"/>
          </w:tcPr>
          <w:p w14:paraId="677E485C">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20.2</w:t>
            </w:r>
          </w:p>
        </w:tc>
      </w:tr>
      <w:tr w14:paraId="2C0AF0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6" w:type="pct"/>
            <w:vMerge w:val="restart"/>
            <w:tcBorders>
              <w:tl2br w:val="nil"/>
              <w:tr2bl w:val="nil"/>
            </w:tcBorders>
            <w:vAlign w:val="center"/>
          </w:tcPr>
          <w:p w14:paraId="221B9A47">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3</w:t>
            </w:r>
          </w:p>
        </w:tc>
        <w:tc>
          <w:tcPr>
            <w:tcW w:w="1088" w:type="pct"/>
            <w:vMerge w:val="restart"/>
            <w:tcBorders>
              <w:tl2br w:val="nil"/>
              <w:tr2bl w:val="nil"/>
            </w:tcBorders>
            <w:vAlign w:val="center"/>
          </w:tcPr>
          <w:p w14:paraId="17FA5AA8">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pacing w:val="-1"/>
                <w:sz w:val="21"/>
                <w:szCs w:val="21"/>
                <w:highlight w:val="none"/>
              </w:rPr>
              <w:t>港</w:t>
            </w:r>
            <w:r>
              <w:rPr>
                <w:color w:val="auto"/>
                <w:spacing w:val="2"/>
                <w:sz w:val="21"/>
                <w:szCs w:val="21"/>
                <w:highlight w:val="none"/>
              </w:rPr>
              <w:t>口</w:t>
            </w:r>
            <w:r>
              <w:rPr>
                <w:color w:val="auto"/>
                <w:spacing w:val="-1"/>
                <w:sz w:val="21"/>
                <w:szCs w:val="21"/>
                <w:highlight w:val="none"/>
              </w:rPr>
              <w:t>码</w:t>
            </w:r>
            <w:r>
              <w:rPr>
                <w:color w:val="auto"/>
                <w:sz w:val="21"/>
                <w:szCs w:val="21"/>
                <w:highlight w:val="none"/>
              </w:rPr>
              <w:t>头</w:t>
            </w:r>
          </w:p>
        </w:tc>
        <w:tc>
          <w:tcPr>
            <w:tcW w:w="2187" w:type="pct"/>
            <w:tcBorders>
              <w:tl2br w:val="nil"/>
              <w:tr2bl w:val="nil"/>
            </w:tcBorders>
            <w:vAlign w:val="center"/>
          </w:tcPr>
          <w:p w14:paraId="7A748FBB">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pacing w:val="-1"/>
                <w:sz w:val="21"/>
                <w:szCs w:val="21"/>
                <w:highlight w:val="none"/>
              </w:rPr>
              <w:t>钦</w:t>
            </w:r>
            <w:r>
              <w:rPr>
                <w:color w:val="auto"/>
                <w:spacing w:val="2"/>
                <w:sz w:val="21"/>
                <w:szCs w:val="21"/>
                <w:highlight w:val="none"/>
              </w:rPr>
              <w:t>州</w:t>
            </w:r>
            <w:r>
              <w:rPr>
                <w:color w:val="auto"/>
                <w:spacing w:val="-1"/>
                <w:sz w:val="21"/>
                <w:szCs w:val="21"/>
                <w:highlight w:val="none"/>
              </w:rPr>
              <w:t>保</w:t>
            </w:r>
            <w:r>
              <w:rPr>
                <w:color w:val="auto"/>
                <w:spacing w:val="2"/>
                <w:sz w:val="21"/>
                <w:szCs w:val="21"/>
                <w:highlight w:val="none"/>
              </w:rPr>
              <w:t>税</w:t>
            </w:r>
            <w:r>
              <w:rPr>
                <w:color w:val="auto"/>
                <w:spacing w:val="-1"/>
                <w:sz w:val="21"/>
                <w:szCs w:val="21"/>
                <w:highlight w:val="none"/>
              </w:rPr>
              <w:t>港</w:t>
            </w:r>
            <w:r>
              <w:rPr>
                <w:color w:val="auto"/>
                <w:sz w:val="21"/>
                <w:szCs w:val="21"/>
                <w:highlight w:val="none"/>
              </w:rPr>
              <w:t>区</w:t>
            </w:r>
          </w:p>
        </w:tc>
        <w:tc>
          <w:tcPr>
            <w:tcW w:w="597" w:type="pct"/>
            <w:tcBorders>
              <w:tl2br w:val="nil"/>
              <w:tr2bl w:val="nil"/>
            </w:tcBorders>
            <w:vAlign w:val="center"/>
          </w:tcPr>
          <w:p w14:paraId="64BAFBAE">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北面</w:t>
            </w:r>
          </w:p>
        </w:tc>
        <w:tc>
          <w:tcPr>
            <w:tcW w:w="742" w:type="pct"/>
            <w:tcBorders>
              <w:tl2br w:val="nil"/>
              <w:tr2bl w:val="nil"/>
            </w:tcBorders>
            <w:vAlign w:val="center"/>
          </w:tcPr>
          <w:p w14:paraId="74564110">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9.3</w:t>
            </w:r>
          </w:p>
        </w:tc>
      </w:tr>
      <w:tr w14:paraId="59AE97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6" w:type="pct"/>
            <w:vMerge w:val="continue"/>
            <w:tcBorders>
              <w:tl2br w:val="nil"/>
              <w:tr2bl w:val="nil"/>
            </w:tcBorders>
            <w:vAlign w:val="center"/>
          </w:tcPr>
          <w:p w14:paraId="3AB98212">
            <w:pPr>
              <w:kinsoku w:val="0"/>
              <w:overflowPunct w:val="0"/>
              <w:topLinePunct w:val="0"/>
              <w:autoSpaceDE w:val="0"/>
              <w:autoSpaceDN w:val="0"/>
              <w:snapToGrid/>
              <w:spacing w:line="240" w:lineRule="auto"/>
              <w:ind w:firstLine="0" w:firstLineChars="0"/>
              <w:jc w:val="center"/>
              <w:rPr>
                <w:color w:val="auto"/>
                <w:sz w:val="21"/>
                <w:szCs w:val="21"/>
                <w:highlight w:val="none"/>
              </w:rPr>
            </w:pPr>
          </w:p>
        </w:tc>
        <w:tc>
          <w:tcPr>
            <w:tcW w:w="1088" w:type="pct"/>
            <w:vMerge w:val="continue"/>
            <w:tcBorders>
              <w:tl2br w:val="nil"/>
              <w:tr2bl w:val="nil"/>
            </w:tcBorders>
            <w:vAlign w:val="center"/>
          </w:tcPr>
          <w:p w14:paraId="79BFB404">
            <w:pPr>
              <w:kinsoku w:val="0"/>
              <w:overflowPunct w:val="0"/>
              <w:topLinePunct w:val="0"/>
              <w:autoSpaceDE w:val="0"/>
              <w:autoSpaceDN w:val="0"/>
              <w:snapToGrid/>
              <w:spacing w:line="240" w:lineRule="auto"/>
              <w:ind w:firstLine="0" w:firstLineChars="0"/>
              <w:jc w:val="center"/>
              <w:rPr>
                <w:color w:val="auto"/>
                <w:sz w:val="21"/>
                <w:szCs w:val="21"/>
                <w:highlight w:val="none"/>
              </w:rPr>
            </w:pPr>
          </w:p>
        </w:tc>
        <w:tc>
          <w:tcPr>
            <w:tcW w:w="2187" w:type="pct"/>
            <w:tcBorders>
              <w:tl2br w:val="nil"/>
              <w:tr2bl w:val="nil"/>
            </w:tcBorders>
            <w:vAlign w:val="center"/>
          </w:tcPr>
          <w:p w14:paraId="4A6A0898">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pacing w:val="-1"/>
                <w:sz w:val="21"/>
                <w:szCs w:val="21"/>
                <w:highlight w:val="none"/>
              </w:rPr>
              <w:t>大</w:t>
            </w:r>
            <w:r>
              <w:rPr>
                <w:color w:val="auto"/>
                <w:spacing w:val="2"/>
                <w:sz w:val="21"/>
                <w:szCs w:val="21"/>
                <w:highlight w:val="none"/>
              </w:rPr>
              <w:t>榄</w:t>
            </w:r>
            <w:r>
              <w:rPr>
                <w:color w:val="auto"/>
                <w:spacing w:val="-1"/>
                <w:sz w:val="21"/>
                <w:szCs w:val="21"/>
                <w:highlight w:val="none"/>
              </w:rPr>
              <w:t>坪</w:t>
            </w:r>
            <w:r>
              <w:rPr>
                <w:color w:val="auto"/>
                <w:spacing w:val="2"/>
                <w:sz w:val="21"/>
                <w:szCs w:val="21"/>
                <w:highlight w:val="none"/>
              </w:rPr>
              <w:t>综</w:t>
            </w:r>
            <w:r>
              <w:rPr>
                <w:color w:val="auto"/>
                <w:spacing w:val="-1"/>
                <w:sz w:val="21"/>
                <w:szCs w:val="21"/>
                <w:highlight w:val="none"/>
              </w:rPr>
              <w:t>合</w:t>
            </w:r>
            <w:r>
              <w:rPr>
                <w:color w:val="auto"/>
                <w:spacing w:val="2"/>
                <w:sz w:val="21"/>
                <w:szCs w:val="21"/>
                <w:highlight w:val="none"/>
              </w:rPr>
              <w:t>物</w:t>
            </w:r>
            <w:r>
              <w:rPr>
                <w:color w:val="auto"/>
                <w:spacing w:val="-1"/>
                <w:sz w:val="21"/>
                <w:szCs w:val="21"/>
                <w:highlight w:val="none"/>
              </w:rPr>
              <w:t>流</w:t>
            </w:r>
            <w:r>
              <w:rPr>
                <w:color w:val="auto"/>
                <w:spacing w:val="2"/>
                <w:sz w:val="21"/>
                <w:szCs w:val="21"/>
                <w:highlight w:val="none"/>
              </w:rPr>
              <w:t>加</w:t>
            </w:r>
            <w:r>
              <w:rPr>
                <w:color w:val="auto"/>
                <w:spacing w:val="-1"/>
                <w:sz w:val="21"/>
                <w:szCs w:val="21"/>
                <w:highlight w:val="none"/>
              </w:rPr>
              <w:t>工</w:t>
            </w:r>
            <w:r>
              <w:rPr>
                <w:color w:val="auto"/>
                <w:sz w:val="21"/>
                <w:szCs w:val="21"/>
                <w:highlight w:val="none"/>
              </w:rPr>
              <w:t>区</w:t>
            </w:r>
          </w:p>
        </w:tc>
        <w:tc>
          <w:tcPr>
            <w:tcW w:w="597" w:type="pct"/>
            <w:tcBorders>
              <w:tl2br w:val="nil"/>
              <w:tr2bl w:val="nil"/>
            </w:tcBorders>
            <w:vAlign w:val="center"/>
          </w:tcPr>
          <w:p w14:paraId="60D894E5">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北面</w:t>
            </w:r>
          </w:p>
        </w:tc>
        <w:tc>
          <w:tcPr>
            <w:tcW w:w="742" w:type="pct"/>
            <w:tcBorders>
              <w:tl2br w:val="nil"/>
              <w:tr2bl w:val="nil"/>
            </w:tcBorders>
            <w:vAlign w:val="center"/>
          </w:tcPr>
          <w:p w14:paraId="6FD501AF">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11.7</w:t>
            </w:r>
          </w:p>
        </w:tc>
      </w:tr>
      <w:tr w14:paraId="41171F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6" w:type="pct"/>
            <w:vMerge w:val="continue"/>
            <w:tcBorders>
              <w:tl2br w:val="nil"/>
              <w:tr2bl w:val="nil"/>
            </w:tcBorders>
            <w:vAlign w:val="center"/>
          </w:tcPr>
          <w:p w14:paraId="19F22102">
            <w:pPr>
              <w:kinsoku w:val="0"/>
              <w:overflowPunct w:val="0"/>
              <w:topLinePunct w:val="0"/>
              <w:autoSpaceDE w:val="0"/>
              <w:autoSpaceDN w:val="0"/>
              <w:snapToGrid/>
              <w:spacing w:line="240" w:lineRule="auto"/>
              <w:ind w:firstLine="0" w:firstLineChars="0"/>
              <w:jc w:val="center"/>
              <w:rPr>
                <w:color w:val="auto"/>
                <w:sz w:val="21"/>
                <w:szCs w:val="21"/>
                <w:highlight w:val="none"/>
              </w:rPr>
            </w:pPr>
          </w:p>
        </w:tc>
        <w:tc>
          <w:tcPr>
            <w:tcW w:w="1088" w:type="pct"/>
            <w:vMerge w:val="continue"/>
            <w:tcBorders>
              <w:tl2br w:val="nil"/>
              <w:tr2bl w:val="nil"/>
            </w:tcBorders>
            <w:vAlign w:val="center"/>
          </w:tcPr>
          <w:p w14:paraId="78E9091D">
            <w:pPr>
              <w:kinsoku w:val="0"/>
              <w:overflowPunct w:val="0"/>
              <w:topLinePunct w:val="0"/>
              <w:autoSpaceDE w:val="0"/>
              <w:autoSpaceDN w:val="0"/>
              <w:snapToGrid/>
              <w:spacing w:line="240" w:lineRule="auto"/>
              <w:ind w:firstLine="0" w:firstLineChars="0"/>
              <w:jc w:val="center"/>
              <w:rPr>
                <w:color w:val="auto"/>
                <w:sz w:val="21"/>
                <w:szCs w:val="21"/>
                <w:highlight w:val="none"/>
              </w:rPr>
            </w:pPr>
          </w:p>
        </w:tc>
        <w:tc>
          <w:tcPr>
            <w:tcW w:w="2187" w:type="pct"/>
            <w:tcBorders>
              <w:tl2br w:val="nil"/>
              <w:tr2bl w:val="nil"/>
            </w:tcBorders>
            <w:vAlign w:val="center"/>
          </w:tcPr>
          <w:p w14:paraId="1F0F9101">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pacing w:val="-1"/>
                <w:sz w:val="21"/>
                <w:szCs w:val="21"/>
                <w:highlight w:val="none"/>
              </w:rPr>
              <w:t>大</w:t>
            </w:r>
            <w:r>
              <w:rPr>
                <w:color w:val="auto"/>
                <w:spacing w:val="2"/>
                <w:sz w:val="21"/>
                <w:szCs w:val="21"/>
                <w:highlight w:val="none"/>
              </w:rPr>
              <w:t>榄</w:t>
            </w:r>
            <w:r>
              <w:rPr>
                <w:color w:val="auto"/>
                <w:spacing w:val="-1"/>
                <w:sz w:val="21"/>
                <w:szCs w:val="21"/>
                <w:highlight w:val="none"/>
              </w:rPr>
              <w:t>坪</w:t>
            </w:r>
            <w:r>
              <w:rPr>
                <w:color w:val="auto"/>
                <w:spacing w:val="2"/>
                <w:sz w:val="21"/>
                <w:szCs w:val="21"/>
                <w:highlight w:val="none"/>
              </w:rPr>
              <w:t>南</w:t>
            </w:r>
            <w:r>
              <w:rPr>
                <w:color w:val="auto"/>
                <w:spacing w:val="-1"/>
                <w:sz w:val="21"/>
                <w:szCs w:val="21"/>
                <w:highlight w:val="none"/>
              </w:rPr>
              <w:t>作</w:t>
            </w:r>
            <w:r>
              <w:rPr>
                <w:color w:val="auto"/>
                <w:spacing w:val="2"/>
                <w:sz w:val="21"/>
                <w:szCs w:val="21"/>
                <w:highlight w:val="none"/>
              </w:rPr>
              <w:t>业</w:t>
            </w:r>
            <w:r>
              <w:rPr>
                <w:color w:val="auto"/>
                <w:sz w:val="21"/>
                <w:szCs w:val="21"/>
                <w:highlight w:val="none"/>
              </w:rPr>
              <w:t>区</w:t>
            </w:r>
          </w:p>
        </w:tc>
        <w:tc>
          <w:tcPr>
            <w:tcW w:w="597" w:type="pct"/>
            <w:tcBorders>
              <w:tl2br w:val="nil"/>
              <w:tr2bl w:val="nil"/>
            </w:tcBorders>
            <w:vAlign w:val="center"/>
          </w:tcPr>
          <w:p w14:paraId="333A8365">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北面</w:t>
            </w:r>
          </w:p>
        </w:tc>
        <w:tc>
          <w:tcPr>
            <w:tcW w:w="742" w:type="pct"/>
            <w:tcBorders>
              <w:tl2br w:val="nil"/>
              <w:tr2bl w:val="nil"/>
            </w:tcBorders>
            <w:vAlign w:val="center"/>
          </w:tcPr>
          <w:p w14:paraId="66CF7DB9">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5.3</w:t>
            </w:r>
          </w:p>
        </w:tc>
      </w:tr>
      <w:tr w14:paraId="10ACBD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6" w:type="pct"/>
            <w:vMerge w:val="continue"/>
            <w:tcBorders>
              <w:tl2br w:val="nil"/>
              <w:tr2bl w:val="nil"/>
            </w:tcBorders>
            <w:vAlign w:val="center"/>
          </w:tcPr>
          <w:p w14:paraId="2F286C79">
            <w:pPr>
              <w:kinsoku w:val="0"/>
              <w:overflowPunct w:val="0"/>
              <w:topLinePunct w:val="0"/>
              <w:autoSpaceDE w:val="0"/>
              <w:autoSpaceDN w:val="0"/>
              <w:snapToGrid/>
              <w:spacing w:line="240" w:lineRule="auto"/>
              <w:ind w:firstLine="0" w:firstLineChars="0"/>
              <w:jc w:val="center"/>
              <w:rPr>
                <w:color w:val="auto"/>
                <w:sz w:val="21"/>
                <w:szCs w:val="21"/>
                <w:highlight w:val="none"/>
              </w:rPr>
            </w:pPr>
          </w:p>
        </w:tc>
        <w:tc>
          <w:tcPr>
            <w:tcW w:w="1088" w:type="pct"/>
            <w:vMerge w:val="continue"/>
            <w:tcBorders>
              <w:tl2br w:val="nil"/>
              <w:tr2bl w:val="nil"/>
            </w:tcBorders>
            <w:vAlign w:val="center"/>
          </w:tcPr>
          <w:p w14:paraId="3CD63240">
            <w:pPr>
              <w:kinsoku w:val="0"/>
              <w:overflowPunct w:val="0"/>
              <w:topLinePunct w:val="0"/>
              <w:autoSpaceDE w:val="0"/>
              <w:autoSpaceDN w:val="0"/>
              <w:snapToGrid/>
              <w:spacing w:line="240" w:lineRule="auto"/>
              <w:ind w:firstLine="0" w:firstLineChars="0"/>
              <w:jc w:val="center"/>
              <w:rPr>
                <w:color w:val="auto"/>
                <w:sz w:val="21"/>
                <w:szCs w:val="21"/>
                <w:highlight w:val="none"/>
              </w:rPr>
            </w:pPr>
          </w:p>
        </w:tc>
        <w:tc>
          <w:tcPr>
            <w:tcW w:w="2187" w:type="pct"/>
            <w:tcBorders>
              <w:tl2br w:val="nil"/>
              <w:tr2bl w:val="nil"/>
            </w:tcBorders>
            <w:vAlign w:val="center"/>
          </w:tcPr>
          <w:p w14:paraId="0052A85B">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pacing w:val="-1"/>
                <w:sz w:val="21"/>
                <w:szCs w:val="21"/>
                <w:highlight w:val="none"/>
              </w:rPr>
              <w:t>大</w:t>
            </w:r>
            <w:r>
              <w:rPr>
                <w:color w:val="auto"/>
                <w:spacing w:val="2"/>
                <w:sz w:val="21"/>
                <w:szCs w:val="21"/>
                <w:highlight w:val="none"/>
              </w:rPr>
              <w:t>榄</w:t>
            </w:r>
            <w:r>
              <w:rPr>
                <w:color w:val="auto"/>
                <w:spacing w:val="-1"/>
                <w:sz w:val="21"/>
                <w:szCs w:val="21"/>
                <w:highlight w:val="none"/>
              </w:rPr>
              <w:t>坪</w:t>
            </w:r>
            <w:r>
              <w:rPr>
                <w:color w:val="auto"/>
                <w:spacing w:val="2"/>
                <w:sz w:val="21"/>
                <w:szCs w:val="21"/>
                <w:highlight w:val="none"/>
              </w:rPr>
              <w:t>作</w:t>
            </w:r>
            <w:r>
              <w:rPr>
                <w:color w:val="auto"/>
                <w:spacing w:val="-1"/>
                <w:sz w:val="21"/>
                <w:szCs w:val="21"/>
                <w:highlight w:val="none"/>
              </w:rPr>
              <w:t>业</w:t>
            </w:r>
            <w:r>
              <w:rPr>
                <w:color w:val="auto"/>
                <w:sz w:val="21"/>
                <w:szCs w:val="21"/>
                <w:highlight w:val="none"/>
              </w:rPr>
              <w:t>区</w:t>
            </w:r>
          </w:p>
        </w:tc>
        <w:tc>
          <w:tcPr>
            <w:tcW w:w="597" w:type="pct"/>
            <w:tcBorders>
              <w:tl2br w:val="nil"/>
              <w:tr2bl w:val="nil"/>
            </w:tcBorders>
            <w:vAlign w:val="center"/>
          </w:tcPr>
          <w:p w14:paraId="7E115C22">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北面</w:t>
            </w:r>
          </w:p>
        </w:tc>
        <w:tc>
          <w:tcPr>
            <w:tcW w:w="742" w:type="pct"/>
            <w:tcBorders>
              <w:tl2br w:val="nil"/>
              <w:tr2bl w:val="nil"/>
            </w:tcBorders>
            <w:vAlign w:val="center"/>
          </w:tcPr>
          <w:p w14:paraId="7B088394">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11.3</w:t>
            </w:r>
          </w:p>
        </w:tc>
      </w:tr>
      <w:tr w14:paraId="34669D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6" w:type="pct"/>
            <w:vMerge w:val="continue"/>
            <w:tcBorders>
              <w:tl2br w:val="nil"/>
              <w:tr2bl w:val="nil"/>
            </w:tcBorders>
            <w:vAlign w:val="center"/>
          </w:tcPr>
          <w:p w14:paraId="4DE7FD08">
            <w:pPr>
              <w:kinsoku w:val="0"/>
              <w:overflowPunct w:val="0"/>
              <w:topLinePunct w:val="0"/>
              <w:autoSpaceDE w:val="0"/>
              <w:autoSpaceDN w:val="0"/>
              <w:snapToGrid/>
              <w:spacing w:line="240" w:lineRule="auto"/>
              <w:ind w:firstLine="0" w:firstLineChars="0"/>
              <w:jc w:val="center"/>
              <w:rPr>
                <w:color w:val="auto"/>
                <w:sz w:val="21"/>
                <w:szCs w:val="21"/>
                <w:highlight w:val="none"/>
              </w:rPr>
            </w:pPr>
          </w:p>
        </w:tc>
        <w:tc>
          <w:tcPr>
            <w:tcW w:w="1088" w:type="pct"/>
            <w:vMerge w:val="continue"/>
            <w:tcBorders>
              <w:tl2br w:val="nil"/>
              <w:tr2bl w:val="nil"/>
            </w:tcBorders>
            <w:vAlign w:val="center"/>
          </w:tcPr>
          <w:p w14:paraId="57E2FA9D">
            <w:pPr>
              <w:kinsoku w:val="0"/>
              <w:overflowPunct w:val="0"/>
              <w:topLinePunct w:val="0"/>
              <w:autoSpaceDE w:val="0"/>
              <w:autoSpaceDN w:val="0"/>
              <w:snapToGrid/>
              <w:spacing w:line="240" w:lineRule="auto"/>
              <w:ind w:firstLine="0" w:firstLineChars="0"/>
              <w:jc w:val="center"/>
              <w:rPr>
                <w:color w:val="auto"/>
                <w:sz w:val="21"/>
                <w:szCs w:val="21"/>
                <w:highlight w:val="none"/>
              </w:rPr>
            </w:pPr>
          </w:p>
        </w:tc>
        <w:tc>
          <w:tcPr>
            <w:tcW w:w="2187" w:type="pct"/>
            <w:tcBorders>
              <w:tl2br w:val="nil"/>
              <w:tr2bl w:val="nil"/>
            </w:tcBorders>
            <w:vAlign w:val="center"/>
          </w:tcPr>
          <w:p w14:paraId="39B549A7">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pacing w:val="-1"/>
                <w:sz w:val="21"/>
                <w:szCs w:val="21"/>
                <w:highlight w:val="none"/>
              </w:rPr>
              <w:t>三</w:t>
            </w:r>
            <w:r>
              <w:rPr>
                <w:color w:val="auto"/>
                <w:spacing w:val="2"/>
                <w:sz w:val="21"/>
                <w:szCs w:val="21"/>
                <w:highlight w:val="none"/>
              </w:rPr>
              <w:t>墩</w:t>
            </w:r>
            <w:r>
              <w:rPr>
                <w:color w:val="auto"/>
                <w:spacing w:val="-1"/>
                <w:sz w:val="21"/>
                <w:szCs w:val="21"/>
                <w:highlight w:val="none"/>
              </w:rPr>
              <w:t>作</w:t>
            </w:r>
            <w:r>
              <w:rPr>
                <w:color w:val="auto"/>
                <w:spacing w:val="2"/>
                <w:sz w:val="21"/>
                <w:szCs w:val="21"/>
                <w:highlight w:val="none"/>
              </w:rPr>
              <w:t>业</w:t>
            </w:r>
            <w:r>
              <w:rPr>
                <w:color w:val="auto"/>
                <w:sz w:val="21"/>
                <w:szCs w:val="21"/>
                <w:highlight w:val="none"/>
              </w:rPr>
              <w:t>区</w:t>
            </w:r>
          </w:p>
        </w:tc>
        <w:tc>
          <w:tcPr>
            <w:tcW w:w="1339" w:type="pct"/>
            <w:gridSpan w:val="2"/>
            <w:tcBorders>
              <w:tl2br w:val="nil"/>
              <w:tr2bl w:val="nil"/>
            </w:tcBorders>
            <w:vAlign w:val="center"/>
          </w:tcPr>
          <w:p w14:paraId="7AD765BA">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项目所在区域</w:t>
            </w:r>
          </w:p>
        </w:tc>
      </w:tr>
      <w:tr w14:paraId="2283E8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6" w:type="pct"/>
            <w:vMerge w:val="continue"/>
            <w:tcBorders>
              <w:tl2br w:val="nil"/>
              <w:tr2bl w:val="nil"/>
            </w:tcBorders>
            <w:vAlign w:val="center"/>
          </w:tcPr>
          <w:p w14:paraId="5FB577B0">
            <w:pPr>
              <w:kinsoku w:val="0"/>
              <w:overflowPunct w:val="0"/>
              <w:topLinePunct w:val="0"/>
              <w:autoSpaceDE w:val="0"/>
              <w:autoSpaceDN w:val="0"/>
              <w:snapToGrid/>
              <w:spacing w:line="240" w:lineRule="auto"/>
              <w:ind w:firstLine="0" w:firstLineChars="0"/>
              <w:jc w:val="center"/>
              <w:rPr>
                <w:color w:val="auto"/>
                <w:sz w:val="21"/>
                <w:szCs w:val="21"/>
                <w:highlight w:val="none"/>
              </w:rPr>
            </w:pPr>
          </w:p>
        </w:tc>
        <w:tc>
          <w:tcPr>
            <w:tcW w:w="1088" w:type="pct"/>
            <w:vMerge w:val="continue"/>
            <w:tcBorders>
              <w:tl2br w:val="nil"/>
              <w:tr2bl w:val="nil"/>
            </w:tcBorders>
            <w:vAlign w:val="center"/>
          </w:tcPr>
          <w:p w14:paraId="4FBD979E">
            <w:pPr>
              <w:kinsoku w:val="0"/>
              <w:overflowPunct w:val="0"/>
              <w:topLinePunct w:val="0"/>
              <w:autoSpaceDE w:val="0"/>
              <w:autoSpaceDN w:val="0"/>
              <w:snapToGrid/>
              <w:spacing w:line="240" w:lineRule="auto"/>
              <w:ind w:firstLine="0" w:firstLineChars="0"/>
              <w:jc w:val="center"/>
              <w:rPr>
                <w:color w:val="auto"/>
                <w:sz w:val="21"/>
                <w:szCs w:val="21"/>
                <w:highlight w:val="none"/>
              </w:rPr>
            </w:pPr>
          </w:p>
        </w:tc>
        <w:tc>
          <w:tcPr>
            <w:tcW w:w="2187" w:type="pct"/>
            <w:tcBorders>
              <w:tl2br w:val="nil"/>
              <w:tr2bl w:val="nil"/>
            </w:tcBorders>
            <w:vAlign w:val="center"/>
          </w:tcPr>
          <w:p w14:paraId="376E6BD4">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pacing w:val="-1"/>
                <w:sz w:val="21"/>
                <w:szCs w:val="21"/>
                <w:highlight w:val="none"/>
              </w:rPr>
              <w:t>金</w:t>
            </w:r>
            <w:r>
              <w:rPr>
                <w:color w:val="auto"/>
                <w:spacing w:val="2"/>
                <w:sz w:val="21"/>
                <w:szCs w:val="21"/>
                <w:highlight w:val="none"/>
              </w:rPr>
              <w:t>鼓</w:t>
            </w:r>
            <w:r>
              <w:rPr>
                <w:color w:val="auto"/>
                <w:spacing w:val="-1"/>
                <w:sz w:val="21"/>
                <w:szCs w:val="21"/>
                <w:highlight w:val="none"/>
              </w:rPr>
              <w:t>江</w:t>
            </w:r>
            <w:r>
              <w:rPr>
                <w:color w:val="auto"/>
                <w:spacing w:val="2"/>
                <w:sz w:val="21"/>
                <w:szCs w:val="21"/>
                <w:highlight w:val="none"/>
              </w:rPr>
              <w:t>作</w:t>
            </w:r>
            <w:r>
              <w:rPr>
                <w:color w:val="auto"/>
                <w:spacing w:val="-1"/>
                <w:sz w:val="21"/>
                <w:szCs w:val="21"/>
                <w:highlight w:val="none"/>
              </w:rPr>
              <w:t>业</w:t>
            </w:r>
            <w:r>
              <w:rPr>
                <w:color w:val="auto"/>
                <w:sz w:val="21"/>
                <w:szCs w:val="21"/>
                <w:highlight w:val="none"/>
              </w:rPr>
              <w:t>区</w:t>
            </w:r>
          </w:p>
        </w:tc>
        <w:tc>
          <w:tcPr>
            <w:tcW w:w="597" w:type="pct"/>
            <w:tcBorders>
              <w:tl2br w:val="nil"/>
              <w:tr2bl w:val="nil"/>
            </w:tcBorders>
            <w:vAlign w:val="center"/>
          </w:tcPr>
          <w:p w14:paraId="222B7F48">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西北面</w:t>
            </w:r>
          </w:p>
        </w:tc>
        <w:tc>
          <w:tcPr>
            <w:tcW w:w="742" w:type="pct"/>
            <w:tcBorders>
              <w:tl2br w:val="nil"/>
              <w:tr2bl w:val="nil"/>
            </w:tcBorders>
            <w:vAlign w:val="center"/>
          </w:tcPr>
          <w:p w14:paraId="79BEA9C5">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13.8</w:t>
            </w:r>
          </w:p>
        </w:tc>
      </w:tr>
      <w:tr w14:paraId="329DC1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6" w:type="pct"/>
            <w:vMerge w:val="restart"/>
            <w:tcBorders>
              <w:tl2br w:val="nil"/>
              <w:tr2bl w:val="nil"/>
            </w:tcBorders>
            <w:vAlign w:val="center"/>
          </w:tcPr>
          <w:p w14:paraId="3984BCBB">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4</w:t>
            </w:r>
          </w:p>
        </w:tc>
        <w:tc>
          <w:tcPr>
            <w:tcW w:w="1088" w:type="pct"/>
            <w:vMerge w:val="restart"/>
            <w:tcBorders>
              <w:tl2br w:val="nil"/>
              <w:tr2bl w:val="nil"/>
            </w:tcBorders>
            <w:vAlign w:val="center"/>
          </w:tcPr>
          <w:p w14:paraId="34492781">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pacing w:val="-1"/>
                <w:sz w:val="21"/>
                <w:szCs w:val="21"/>
                <w:highlight w:val="none"/>
              </w:rPr>
              <w:t>旅</w:t>
            </w:r>
            <w:r>
              <w:rPr>
                <w:color w:val="auto"/>
                <w:spacing w:val="2"/>
                <w:sz w:val="21"/>
                <w:szCs w:val="21"/>
                <w:highlight w:val="none"/>
              </w:rPr>
              <w:t>游</w:t>
            </w:r>
            <w:r>
              <w:rPr>
                <w:color w:val="auto"/>
                <w:sz w:val="21"/>
                <w:szCs w:val="21"/>
                <w:highlight w:val="none"/>
              </w:rPr>
              <w:t>区</w:t>
            </w:r>
          </w:p>
        </w:tc>
        <w:tc>
          <w:tcPr>
            <w:tcW w:w="2187" w:type="pct"/>
            <w:tcBorders>
              <w:tl2br w:val="nil"/>
              <w:tr2bl w:val="nil"/>
            </w:tcBorders>
            <w:vAlign w:val="center"/>
          </w:tcPr>
          <w:p w14:paraId="757D43F8">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pacing w:val="-1"/>
                <w:sz w:val="21"/>
                <w:szCs w:val="21"/>
                <w:highlight w:val="none"/>
              </w:rPr>
              <w:t>三</w:t>
            </w:r>
            <w:r>
              <w:rPr>
                <w:color w:val="auto"/>
                <w:spacing w:val="2"/>
                <w:sz w:val="21"/>
                <w:szCs w:val="21"/>
                <w:highlight w:val="none"/>
              </w:rPr>
              <w:t>娘</w:t>
            </w:r>
            <w:r>
              <w:rPr>
                <w:color w:val="auto"/>
                <w:spacing w:val="-1"/>
                <w:sz w:val="21"/>
                <w:szCs w:val="21"/>
                <w:highlight w:val="none"/>
              </w:rPr>
              <w:t>湾休闲</w:t>
            </w:r>
            <w:r>
              <w:rPr>
                <w:color w:val="auto"/>
                <w:spacing w:val="2"/>
                <w:sz w:val="21"/>
                <w:szCs w:val="21"/>
                <w:highlight w:val="none"/>
              </w:rPr>
              <w:t>旅</w:t>
            </w:r>
            <w:r>
              <w:rPr>
                <w:color w:val="auto"/>
                <w:spacing w:val="-1"/>
                <w:sz w:val="21"/>
                <w:szCs w:val="21"/>
                <w:highlight w:val="none"/>
              </w:rPr>
              <w:t>游</w:t>
            </w:r>
            <w:r>
              <w:rPr>
                <w:color w:val="auto"/>
                <w:sz w:val="21"/>
                <w:szCs w:val="21"/>
                <w:highlight w:val="none"/>
              </w:rPr>
              <w:t>区</w:t>
            </w:r>
          </w:p>
        </w:tc>
        <w:tc>
          <w:tcPr>
            <w:tcW w:w="597" w:type="pct"/>
            <w:tcBorders>
              <w:tl2br w:val="nil"/>
              <w:tr2bl w:val="nil"/>
            </w:tcBorders>
            <w:vAlign w:val="center"/>
          </w:tcPr>
          <w:p w14:paraId="61A58591">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东北面</w:t>
            </w:r>
          </w:p>
        </w:tc>
        <w:tc>
          <w:tcPr>
            <w:tcW w:w="742" w:type="pct"/>
            <w:tcBorders>
              <w:tl2br w:val="nil"/>
              <w:tr2bl w:val="nil"/>
            </w:tcBorders>
            <w:vAlign w:val="center"/>
          </w:tcPr>
          <w:p w14:paraId="2601EAE9">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4.5</w:t>
            </w:r>
          </w:p>
        </w:tc>
      </w:tr>
      <w:tr w14:paraId="10545F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6" w:type="pct"/>
            <w:vMerge w:val="continue"/>
            <w:tcBorders>
              <w:tl2br w:val="nil"/>
              <w:tr2bl w:val="nil"/>
            </w:tcBorders>
            <w:vAlign w:val="center"/>
          </w:tcPr>
          <w:p w14:paraId="690DFDA4">
            <w:pPr>
              <w:kinsoku w:val="0"/>
              <w:overflowPunct w:val="0"/>
              <w:topLinePunct w:val="0"/>
              <w:autoSpaceDE w:val="0"/>
              <w:autoSpaceDN w:val="0"/>
              <w:snapToGrid/>
              <w:spacing w:line="240" w:lineRule="auto"/>
              <w:ind w:firstLine="0" w:firstLineChars="0"/>
              <w:jc w:val="center"/>
              <w:rPr>
                <w:color w:val="auto"/>
                <w:sz w:val="21"/>
                <w:szCs w:val="21"/>
                <w:highlight w:val="none"/>
              </w:rPr>
            </w:pPr>
          </w:p>
        </w:tc>
        <w:tc>
          <w:tcPr>
            <w:tcW w:w="1088" w:type="pct"/>
            <w:vMerge w:val="continue"/>
            <w:tcBorders>
              <w:tl2br w:val="nil"/>
              <w:tr2bl w:val="nil"/>
            </w:tcBorders>
            <w:vAlign w:val="center"/>
          </w:tcPr>
          <w:p w14:paraId="58C865C7">
            <w:pPr>
              <w:kinsoku w:val="0"/>
              <w:overflowPunct w:val="0"/>
              <w:topLinePunct w:val="0"/>
              <w:autoSpaceDE w:val="0"/>
              <w:autoSpaceDN w:val="0"/>
              <w:snapToGrid/>
              <w:spacing w:line="240" w:lineRule="auto"/>
              <w:ind w:firstLine="0" w:firstLineChars="0"/>
              <w:jc w:val="center"/>
              <w:rPr>
                <w:color w:val="auto"/>
                <w:spacing w:val="-1"/>
                <w:sz w:val="21"/>
                <w:szCs w:val="21"/>
                <w:highlight w:val="none"/>
              </w:rPr>
            </w:pPr>
          </w:p>
        </w:tc>
        <w:tc>
          <w:tcPr>
            <w:tcW w:w="2187" w:type="pct"/>
            <w:tcBorders>
              <w:tl2br w:val="nil"/>
              <w:tr2bl w:val="nil"/>
            </w:tcBorders>
            <w:vAlign w:val="center"/>
          </w:tcPr>
          <w:p w14:paraId="1AF55E09">
            <w:pPr>
              <w:kinsoku w:val="0"/>
              <w:overflowPunct w:val="0"/>
              <w:topLinePunct w:val="0"/>
              <w:autoSpaceDE w:val="0"/>
              <w:autoSpaceDN w:val="0"/>
              <w:snapToGrid/>
              <w:spacing w:line="240" w:lineRule="auto"/>
              <w:ind w:firstLine="0" w:firstLineChars="0"/>
              <w:jc w:val="center"/>
              <w:rPr>
                <w:color w:val="auto"/>
                <w:spacing w:val="-1"/>
                <w:sz w:val="21"/>
                <w:szCs w:val="21"/>
                <w:highlight w:val="none"/>
              </w:rPr>
            </w:pPr>
            <w:r>
              <w:rPr>
                <w:color w:val="auto"/>
                <w:spacing w:val="-1"/>
                <w:sz w:val="21"/>
                <w:szCs w:val="21"/>
                <w:highlight w:val="none"/>
              </w:rPr>
              <w:t>龙门及观音堂旅游休闲娱乐区</w:t>
            </w:r>
          </w:p>
        </w:tc>
        <w:tc>
          <w:tcPr>
            <w:tcW w:w="597" w:type="pct"/>
            <w:tcBorders>
              <w:tl2br w:val="nil"/>
              <w:tr2bl w:val="nil"/>
            </w:tcBorders>
            <w:vAlign w:val="center"/>
          </w:tcPr>
          <w:p w14:paraId="52253179">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西北面</w:t>
            </w:r>
          </w:p>
        </w:tc>
        <w:tc>
          <w:tcPr>
            <w:tcW w:w="742" w:type="pct"/>
            <w:tcBorders>
              <w:tl2br w:val="nil"/>
              <w:tr2bl w:val="nil"/>
            </w:tcBorders>
            <w:vAlign w:val="center"/>
          </w:tcPr>
          <w:p w14:paraId="77E7BD41">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19.2</w:t>
            </w:r>
          </w:p>
        </w:tc>
      </w:tr>
      <w:tr w14:paraId="217C93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6" w:type="pct"/>
            <w:vMerge w:val="continue"/>
            <w:tcBorders>
              <w:tl2br w:val="nil"/>
              <w:tr2bl w:val="nil"/>
            </w:tcBorders>
            <w:vAlign w:val="center"/>
          </w:tcPr>
          <w:p w14:paraId="0FE81DE3">
            <w:pPr>
              <w:kinsoku w:val="0"/>
              <w:overflowPunct w:val="0"/>
              <w:topLinePunct w:val="0"/>
              <w:autoSpaceDE w:val="0"/>
              <w:autoSpaceDN w:val="0"/>
              <w:snapToGrid/>
              <w:spacing w:line="240" w:lineRule="auto"/>
              <w:ind w:firstLine="0" w:firstLineChars="0"/>
              <w:jc w:val="center"/>
              <w:rPr>
                <w:color w:val="auto"/>
                <w:sz w:val="21"/>
                <w:szCs w:val="21"/>
                <w:highlight w:val="none"/>
              </w:rPr>
            </w:pPr>
          </w:p>
        </w:tc>
        <w:tc>
          <w:tcPr>
            <w:tcW w:w="1088" w:type="pct"/>
            <w:vMerge w:val="continue"/>
            <w:tcBorders>
              <w:tl2br w:val="nil"/>
              <w:tr2bl w:val="nil"/>
            </w:tcBorders>
            <w:vAlign w:val="center"/>
          </w:tcPr>
          <w:p w14:paraId="56CF485B">
            <w:pPr>
              <w:kinsoku w:val="0"/>
              <w:overflowPunct w:val="0"/>
              <w:topLinePunct w:val="0"/>
              <w:autoSpaceDE w:val="0"/>
              <w:autoSpaceDN w:val="0"/>
              <w:snapToGrid/>
              <w:spacing w:line="240" w:lineRule="auto"/>
              <w:ind w:firstLine="0" w:firstLineChars="0"/>
              <w:jc w:val="center"/>
              <w:rPr>
                <w:color w:val="auto"/>
                <w:sz w:val="21"/>
                <w:szCs w:val="21"/>
                <w:highlight w:val="none"/>
              </w:rPr>
            </w:pPr>
          </w:p>
        </w:tc>
        <w:tc>
          <w:tcPr>
            <w:tcW w:w="2187" w:type="pct"/>
            <w:tcBorders>
              <w:tl2br w:val="nil"/>
              <w:tr2bl w:val="nil"/>
            </w:tcBorders>
            <w:vAlign w:val="center"/>
          </w:tcPr>
          <w:p w14:paraId="6917C26B">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pacing w:val="-1"/>
                <w:sz w:val="21"/>
                <w:szCs w:val="21"/>
                <w:highlight w:val="none"/>
              </w:rPr>
              <w:t>七</w:t>
            </w:r>
            <w:r>
              <w:rPr>
                <w:color w:val="auto"/>
                <w:spacing w:val="2"/>
                <w:sz w:val="21"/>
                <w:szCs w:val="21"/>
                <w:highlight w:val="none"/>
              </w:rPr>
              <w:t>十</w:t>
            </w:r>
            <w:r>
              <w:rPr>
                <w:color w:val="auto"/>
                <w:spacing w:val="-1"/>
                <w:sz w:val="21"/>
                <w:szCs w:val="21"/>
                <w:highlight w:val="none"/>
              </w:rPr>
              <w:t>二</w:t>
            </w:r>
            <w:r>
              <w:rPr>
                <w:color w:val="auto"/>
                <w:spacing w:val="2"/>
                <w:sz w:val="21"/>
                <w:szCs w:val="21"/>
                <w:highlight w:val="none"/>
              </w:rPr>
              <w:t>泾</w:t>
            </w:r>
            <w:r>
              <w:rPr>
                <w:color w:val="auto"/>
                <w:spacing w:val="-1"/>
                <w:sz w:val="21"/>
                <w:szCs w:val="21"/>
                <w:highlight w:val="none"/>
              </w:rPr>
              <w:t>旅</w:t>
            </w:r>
            <w:r>
              <w:rPr>
                <w:color w:val="auto"/>
                <w:spacing w:val="2"/>
                <w:sz w:val="21"/>
                <w:szCs w:val="21"/>
                <w:highlight w:val="none"/>
              </w:rPr>
              <w:t>游</w:t>
            </w:r>
            <w:r>
              <w:rPr>
                <w:color w:val="auto"/>
                <w:spacing w:val="-1"/>
                <w:sz w:val="21"/>
                <w:szCs w:val="21"/>
                <w:highlight w:val="none"/>
              </w:rPr>
              <w:t>休闲娱乐</w:t>
            </w:r>
            <w:r>
              <w:rPr>
                <w:color w:val="auto"/>
                <w:sz w:val="21"/>
                <w:szCs w:val="21"/>
                <w:highlight w:val="none"/>
              </w:rPr>
              <w:t>区</w:t>
            </w:r>
          </w:p>
        </w:tc>
        <w:tc>
          <w:tcPr>
            <w:tcW w:w="597" w:type="pct"/>
            <w:tcBorders>
              <w:tl2br w:val="nil"/>
              <w:tr2bl w:val="nil"/>
            </w:tcBorders>
            <w:vAlign w:val="center"/>
          </w:tcPr>
          <w:p w14:paraId="4F8A6A46">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西北面</w:t>
            </w:r>
          </w:p>
        </w:tc>
        <w:tc>
          <w:tcPr>
            <w:tcW w:w="742" w:type="pct"/>
            <w:tcBorders>
              <w:tl2br w:val="nil"/>
              <w:tr2bl w:val="nil"/>
            </w:tcBorders>
            <w:vAlign w:val="center"/>
          </w:tcPr>
          <w:p w14:paraId="0C1BCC62">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18.5</w:t>
            </w:r>
          </w:p>
        </w:tc>
      </w:tr>
      <w:tr w14:paraId="1F8386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6" w:type="pct"/>
            <w:vMerge w:val="restart"/>
            <w:tcBorders>
              <w:tl2br w:val="nil"/>
              <w:tr2bl w:val="nil"/>
            </w:tcBorders>
            <w:vAlign w:val="center"/>
          </w:tcPr>
          <w:p w14:paraId="4345EFDB">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5</w:t>
            </w:r>
          </w:p>
        </w:tc>
        <w:tc>
          <w:tcPr>
            <w:tcW w:w="1088" w:type="pct"/>
            <w:vMerge w:val="restart"/>
            <w:tcBorders>
              <w:tl2br w:val="nil"/>
              <w:tr2bl w:val="nil"/>
            </w:tcBorders>
            <w:vAlign w:val="center"/>
          </w:tcPr>
          <w:p w14:paraId="6D0F7F12">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pacing w:val="-1"/>
                <w:sz w:val="21"/>
                <w:szCs w:val="21"/>
                <w:highlight w:val="none"/>
              </w:rPr>
              <w:t>养</w:t>
            </w:r>
            <w:r>
              <w:rPr>
                <w:color w:val="auto"/>
                <w:spacing w:val="2"/>
                <w:sz w:val="21"/>
                <w:szCs w:val="21"/>
                <w:highlight w:val="none"/>
              </w:rPr>
              <w:t>殖</w:t>
            </w:r>
            <w:r>
              <w:rPr>
                <w:color w:val="auto"/>
                <w:sz w:val="21"/>
                <w:szCs w:val="21"/>
                <w:highlight w:val="none"/>
              </w:rPr>
              <w:t>区</w:t>
            </w:r>
          </w:p>
        </w:tc>
        <w:tc>
          <w:tcPr>
            <w:tcW w:w="2187" w:type="pct"/>
            <w:tcBorders>
              <w:tl2br w:val="nil"/>
              <w:tr2bl w:val="nil"/>
            </w:tcBorders>
            <w:vAlign w:val="center"/>
          </w:tcPr>
          <w:p w14:paraId="068ABF91">
            <w:pPr>
              <w:spacing w:line="240" w:lineRule="auto"/>
              <w:ind w:firstLine="0" w:firstLineChars="0"/>
              <w:jc w:val="center"/>
              <w:rPr>
                <w:color w:val="auto"/>
                <w:sz w:val="21"/>
                <w:szCs w:val="21"/>
                <w:highlight w:val="none"/>
              </w:rPr>
            </w:pPr>
            <w:r>
              <w:rPr>
                <w:color w:val="auto"/>
                <w:sz w:val="21"/>
                <w:szCs w:val="21"/>
                <w:highlight w:val="none"/>
              </w:rPr>
              <w:t>茅尾海南部浅海滩涂养殖区（3.1.1-1）</w:t>
            </w:r>
          </w:p>
        </w:tc>
        <w:tc>
          <w:tcPr>
            <w:tcW w:w="597" w:type="pct"/>
            <w:tcBorders>
              <w:tl2br w:val="nil"/>
              <w:tr2bl w:val="nil"/>
            </w:tcBorders>
          </w:tcPr>
          <w:p w14:paraId="13E3D20E">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西北面</w:t>
            </w:r>
          </w:p>
        </w:tc>
        <w:tc>
          <w:tcPr>
            <w:tcW w:w="742" w:type="pct"/>
            <w:tcBorders>
              <w:tl2br w:val="nil"/>
              <w:tr2bl w:val="nil"/>
            </w:tcBorders>
            <w:vAlign w:val="center"/>
          </w:tcPr>
          <w:p w14:paraId="25FE154A">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23.2</w:t>
            </w:r>
          </w:p>
        </w:tc>
      </w:tr>
      <w:tr w14:paraId="3CB3FB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6" w:type="pct"/>
            <w:vMerge w:val="continue"/>
            <w:tcBorders>
              <w:tl2br w:val="nil"/>
              <w:tr2bl w:val="nil"/>
            </w:tcBorders>
            <w:vAlign w:val="center"/>
          </w:tcPr>
          <w:p w14:paraId="13BF8BCC">
            <w:pPr>
              <w:kinsoku w:val="0"/>
              <w:overflowPunct w:val="0"/>
              <w:topLinePunct w:val="0"/>
              <w:autoSpaceDE w:val="0"/>
              <w:autoSpaceDN w:val="0"/>
              <w:snapToGrid/>
              <w:spacing w:line="240" w:lineRule="auto"/>
              <w:ind w:firstLine="0" w:firstLineChars="0"/>
              <w:jc w:val="center"/>
              <w:rPr>
                <w:color w:val="auto"/>
                <w:sz w:val="21"/>
                <w:szCs w:val="21"/>
                <w:highlight w:val="none"/>
              </w:rPr>
            </w:pPr>
          </w:p>
        </w:tc>
        <w:tc>
          <w:tcPr>
            <w:tcW w:w="1088" w:type="pct"/>
            <w:vMerge w:val="continue"/>
            <w:tcBorders>
              <w:tl2br w:val="nil"/>
              <w:tr2bl w:val="nil"/>
            </w:tcBorders>
            <w:vAlign w:val="center"/>
          </w:tcPr>
          <w:p w14:paraId="3662D8F7">
            <w:pPr>
              <w:kinsoku w:val="0"/>
              <w:overflowPunct w:val="0"/>
              <w:topLinePunct w:val="0"/>
              <w:autoSpaceDE w:val="0"/>
              <w:autoSpaceDN w:val="0"/>
              <w:snapToGrid/>
              <w:spacing w:line="240" w:lineRule="auto"/>
              <w:ind w:firstLine="0" w:firstLineChars="0"/>
              <w:jc w:val="center"/>
              <w:rPr>
                <w:color w:val="auto"/>
                <w:spacing w:val="-1"/>
                <w:sz w:val="21"/>
                <w:szCs w:val="21"/>
                <w:highlight w:val="none"/>
              </w:rPr>
            </w:pPr>
          </w:p>
        </w:tc>
        <w:tc>
          <w:tcPr>
            <w:tcW w:w="2187" w:type="pct"/>
            <w:tcBorders>
              <w:tl2br w:val="nil"/>
              <w:tr2bl w:val="nil"/>
            </w:tcBorders>
            <w:vAlign w:val="center"/>
          </w:tcPr>
          <w:p w14:paraId="092A5CFE">
            <w:pPr>
              <w:spacing w:line="240" w:lineRule="auto"/>
              <w:ind w:firstLine="0" w:firstLineChars="0"/>
              <w:jc w:val="center"/>
              <w:rPr>
                <w:color w:val="auto"/>
                <w:sz w:val="21"/>
                <w:szCs w:val="21"/>
                <w:highlight w:val="none"/>
              </w:rPr>
            </w:pPr>
            <w:r>
              <w:rPr>
                <w:color w:val="auto"/>
                <w:sz w:val="21"/>
                <w:szCs w:val="21"/>
                <w:highlight w:val="none"/>
              </w:rPr>
              <w:t>龙门群岛浅海滩涂养殖区（3.1.1-2）</w:t>
            </w:r>
          </w:p>
        </w:tc>
        <w:tc>
          <w:tcPr>
            <w:tcW w:w="597" w:type="pct"/>
            <w:tcBorders>
              <w:tl2br w:val="nil"/>
              <w:tr2bl w:val="nil"/>
            </w:tcBorders>
          </w:tcPr>
          <w:p w14:paraId="393E26E9">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西北面</w:t>
            </w:r>
          </w:p>
        </w:tc>
        <w:tc>
          <w:tcPr>
            <w:tcW w:w="742" w:type="pct"/>
            <w:tcBorders>
              <w:tl2br w:val="nil"/>
              <w:tr2bl w:val="nil"/>
            </w:tcBorders>
          </w:tcPr>
          <w:p w14:paraId="206779AF">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21.3</w:t>
            </w:r>
          </w:p>
        </w:tc>
      </w:tr>
      <w:tr w14:paraId="055EE0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6" w:type="pct"/>
            <w:vMerge w:val="continue"/>
            <w:tcBorders>
              <w:tl2br w:val="nil"/>
              <w:tr2bl w:val="nil"/>
            </w:tcBorders>
            <w:vAlign w:val="center"/>
          </w:tcPr>
          <w:p w14:paraId="5FC5326C">
            <w:pPr>
              <w:kinsoku w:val="0"/>
              <w:overflowPunct w:val="0"/>
              <w:topLinePunct w:val="0"/>
              <w:autoSpaceDE w:val="0"/>
              <w:autoSpaceDN w:val="0"/>
              <w:snapToGrid/>
              <w:spacing w:line="240" w:lineRule="auto"/>
              <w:ind w:firstLine="0" w:firstLineChars="0"/>
              <w:jc w:val="center"/>
              <w:rPr>
                <w:color w:val="auto"/>
                <w:sz w:val="21"/>
                <w:szCs w:val="21"/>
                <w:highlight w:val="none"/>
              </w:rPr>
            </w:pPr>
          </w:p>
        </w:tc>
        <w:tc>
          <w:tcPr>
            <w:tcW w:w="1088" w:type="pct"/>
            <w:vMerge w:val="continue"/>
            <w:tcBorders>
              <w:tl2br w:val="nil"/>
              <w:tr2bl w:val="nil"/>
            </w:tcBorders>
            <w:vAlign w:val="center"/>
          </w:tcPr>
          <w:p w14:paraId="2B2C44E8">
            <w:pPr>
              <w:kinsoku w:val="0"/>
              <w:overflowPunct w:val="0"/>
              <w:topLinePunct w:val="0"/>
              <w:autoSpaceDE w:val="0"/>
              <w:autoSpaceDN w:val="0"/>
              <w:snapToGrid/>
              <w:spacing w:line="240" w:lineRule="auto"/>
              <w:ind w:firstLine="0" w:firstLineChars="0"/>
              <w:jc w:val="center"/>
              <w:rPr>
                <w:color w:val="auto"/>
                <w:spacing w:val="-1"/>
                <w:sz w:val="21"/>
                <w:szCs w:val="21"/>
                <w:highlight w:val="none"/>
              </w:rPr>
            </w:pPr>
          </w:p>
        </w:tc>
        <w:tc>
          <w:tcPr>
            <w:tcW w:w="2187" w:type="pct"/>
            <w:tcBorders>
              <w:tl2br w:val="nil"/>
              <w:tr2bl w:val="nil"/>
            </w:tcBorders>
            <w:vAlign w:val="center"/>
          </w:tcPr>
          <w:p w14:paraId="5C5C52CB">
            <w:pPr>
              <w:spacing w:line="240" w:lineRule="auto"/>
              <w:ind w:firstLine="0" w:firstLineChars="0"/>
              <w:jc w:val="center"/>
              <w:rPr>
                <w:color w:val="auto"/>
                <w:sz w:val="21"/>
                <w:szCs w:val="21"/>
                <w:highlight w:val="none"/>
              </w:rPr>
            </w:pPr>
            <w:bookmarkStart w:id="139" w:name="OLE_LINK3"/>
            <w:r>
              <w:rPr>
                <w:color w:val="auto"/>
                <w:sz w:val="21"/>
                <w:szCs w:val="21"/>
                <w:highlight w:val="none"/>
              </w:rPr>
              <w:t>钦州港青菜头南浅海滩涂养殖区</w:t>
            </w:r>
            <w:bookmarkEnd w:id="139"/>
            <w:r>
              <w:rPr>
                <w:color w:val="auto"/>
                <w:sz w:val="21"/>
                <w:szCs w:val="21"/>
                <w:highlight w:val="none"/>
              </w:rPr>
              <w:t>（3.1.1-3）</w:t>
            </w:r>
          </w:p>
        </w:tc>
        <w:tc>
          <w:tcPr>
            <w:tcW w:w="597" w:type="pct"/>
            <w:tcBorders>
              <w:tl2br w:val="nil"/>
              <w:tr2bl w:val="nil"/>
            </w:tcBorders>
          </w:tcPr>
          <w:p w14:paraId="5CE11FC5">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西面</w:t>
            </w:r>
          </w:p>
        </w:tc>
        <w:tc>
          <w:tcPr>
            <w:tcW w:w="742" w:type="pct"/>
            <w:tcBorders>
              <w:tl2br w:val="nil"/>
              <w:tr2bl w:val="nil"/>
            </w:tcBorders>
          </w:tcPr>
          <w:p w14:paraId="438CA33B">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5.0</w:t>
            </w:r>
          </w:p>
        </w:tc>
      </w:tr>
      <w:tr w14:paraId="604406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6" w:type="pct"/>
            <w:vMerge w:val="continue"/>
            <w:tcBorders>
              <w:tl2br w:val="nil"/>
              <w:tr2bl w:val="nil"/>
            </w:tcBorders>
            <w:vAlign w:val="center"/>
          </w:tcPr>
          <w:p w14:paraId="23C56554">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p>
        </w:tc>
        <w:tc>
          <w:tcPr>
            <w:tcW w:w="1088" w:type="pct"/>
            <w:vMerge w:val="continue"/>
            <w:tcBorders>
              <w:tl2br w:val="nil"/>
              <w:tr2bl w:val="nil"/>
            </w:tcBorders>
            <w:vAlign w:val="center"/>
          </w:tcPr>
          <w:p w14:paraId="66CD19DC">
            <w:pPr>
              <w:kinsoku w:val="0"/>
              <w:overflowPunct w:val="0"/>
              <w:topLinePunct w:val="0"/>
              <w:autoSpaceDE w:val="0"/>
              <w:autoSpaceDN w:val="0"/>
              <w:snapToGrid/>
              <w:spacing w:line="240" w:lineRule="auto"/>
              <w:ind w:firstLine="0" w:firstLineChars="0"/>
              <w:jc w:val="center"/>
              <w:rPr>
                <w:color w:val="auto"/>
                <w:spacing w:val="-1"/>
                <w:sz w:val="21"/>
                <w:szCs w:val="21"/>
                <w:highlight w:val="none"/>
                <w:u w:val="single"/>
              </w:rPr>
            </w:pPr>
          </w:p>
        </w:tc>
        <w:tc>
          <w:tcPr>
            <w:tcW w:w="2187" w:type="pct"/>
            <w:tcBorders>
              <w:tl2br w:val="nil"/>
              <w:tr2bl w:val="nil"/>
            </w:tcBorders>
            <w:vAlign w:val="center"/>
          </w:tcPr>
          <w:p w14:paraId="6565FEA9">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项目周边蚝排养殖区</w:t>
            </w:r>
          </w:p>
        </w:tc>
        <w:tc>
          <w:tcPr>
            <w:tcW w:w="597" w:type="pct"/>
            <w:tcBorders>
              <w:tl2br w:val="nil"/>
              <w:tr2bl w:val="nil"/>
            </w:tcBorders>
          </w:tcPr>
          <w:p w14:paraId="14E78F42">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北面、东北面</w:t>
            </w:r>
          </w:p>
        </w:tc>
        <w:tc>
          <w:tcPr>
            <w:tcW w:w="742" w:type="pct"/>
            <w:tcBorders>
              <w:tl2br w:val="nil"/>
              <w:tr2bl w:val="nil"/>
            </w:tcBorders>
            <w:vAlign w:val="center"/>
          </w:tcPr>
          <w:p w14:paraId="126FA61B">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1.0</w:t>
            </w:r>
          </w:p>
        </w:tc>
      </w:tr>
      <w:tr w14:paraId="486895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6" w:type="pct"/>
            <w:vMerge w:val="restart"/>
            <w:tcBorders>
              <w:tl2br w:val="nil"/>
              <w:tr2bl w:val="nil"/>
            </w:tcBorders>
            <w:vAlign w:val="center"/>
          </w:tcPr>
          <w:p w14:paraId="2CAA879C">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6</w:t>
            </w:r>
          </w:p>
        </w:tc>
        <w:tc>
          <w:tcPr>
            <w:tcW w:w="1088" w:type="pct"/>
            <w:vMerge w:val="restart"/>
            <w:tcBorders>
              <w:tl2br w:val="nil"/>
              <w:tr2bl w:val="nil"/>
            </w:tcBorders>
            <w:vAlign w:val="center"/>
          </w:tcPr>
          <w:p w14:paraId="25212AB0">
            <w:pPr>
              <w:kinsoku w:val="0"/>
              <w:overflowPunct w:val="0"/>
              <w:topLinePunct w:val="0"/>
              <w:autoSpaceDE w:val="0"/>
              <w:autoSpaceDN w:val="0"/>
              <w:snapToGrid/>
              <w:spacing w:line="240" w:lineRule="auto"/>
              <w:ind w:firstLine="0" w:firstLineChars="0"/>
              <w:jc w:val="center"/>
              <w:rPr>
                <w:color w:val="auto"/>
                <w:spacing w:val="-1"/>
                <w:sz w:val="21"/>
                <w:szCs w:val="21"/>
                <w:highlight w:val="none"/>
              </w:rPr>
            </w:pPr>
            <w:r>
              <w:rPr>
                <w:color w:val="auto"/>
                <w:spacing w:val="-1"/>
                <w:sz w:val="21"/>
                <w:szCs w:val="21"/>
                <w:highlight w:val="none"/>
              </w:rPr>
              <w:t>入海排污口</w:t>
            </w:r>
          </w:p>
        </w:tc>
        <w:tc>
          <w:tcPr>
            <w:tcW w:w="2187" w:type="pct"/>
            <w:tcBorders>
              <w:tl2br w:val="nil"/>
              <w:tr2bl w:val="nil"/>
            </w:tcBorders>
            <w:vAlign w:val="center"/>
          </w:tcPr>
          <w:p w14:paraId="046F7290">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pacing w:val="-1"/>
                <w:sz w:val="21"/>
                <w:szCs w:val="21"/>
                <w:highlight w:val="none"/>
              </w:rPr>
              <w:t>防</w:t>
            </w:r>
            <w:r>
              <w:rPr>
                <w:color w:val="auto"/>
                <w:spacing w:val="2"/>
                <w:sz w:val="21"/>
                <w:szCs w:val="21"/>
                <w:highlight w:val="none"/>
              </w:rPr>
              <w:t>城</w:t>
            </w:r>
            <w:r>
              <w:rPr>
                <w:color w:val="auto"/>
                <w:spacing w:val="-1"/>
                <w:sz w:val="21"/>
                <w:szCs w:val="21"/>
                <w:highlight w:val="none"/>
              </w:rPr>
              <w:t>港</w:t>
            </w:r>
            <w:r>
              <w:rPr>
                <w:color w:val="auto"/>
                <w:spacing w:val="2"/>
                <w:sz w:val="21"/>
                <w:szCs w:val="21"/>
                <w:highlight w:val="none"/>
              </w:rPr>
              <w:t>核</w:t>
            </w:r>
            <w:r>
              <w:rPr>
                <w:color w:val="auto"/>
                <w:spacing w:val="-1"/>
                <w:sz w:val="21"/>
                <w:szCs w:val="21"/>
                <w:highlight w:val="none"/>
              </w:rPr>
              <w:t>电</w:t>
            </w:r>
            <w:r>
              <w:rPr>
                <w:color w:val="auto"/>
                <w:spacing w:val="2"/>
                <w:sz w:val="21"/>
                <w:szCs w:val="21"/>
                <w:highlight w:val="none"/>
              </w:rPr>
              <w:t>工</w:t>
            </w:r>
            <w:r>
              <w:rPr>
                <w:color w:val="auto"/>
                <w:sz w:val="21"/>
                <w:szCs w:val="21"/>
                <w:highlight w:val="none"/>
              </w:rPr>
              <w:t>程</w:t>
            </w:r>
            <w:r>
              <w:rPr>
                <w:color w:val="auto"/>
                <w:spacing w:val="2"/>
                <w:sz w:val="21"/>
                <w:szCs w:val="21"/>
                <w:highlight w:val="none"/>
              </w:rPr>
              <w:t>取</w:t>
            </w:r>
            <w:r>
              <w:rPr>
                <w:color w:val="auto"/>
                <w:spacing w:val="-1"/>
                <w:sz w:val="21"/>
                <w:szCs w:val="21"/>
                <w:highlight w:val="none"/>
              </w:rPr>
              <w:t>、</w:t>
            </w:r>
            <w:r>
              <w:rPr>
                <w:color w:val="auto"/>
                <w:spacing w:val="2"/>
                <w:sz w:val="21"/>
                <w:szCs w:val="21"/>
                <w:highlight w:val="none"/>
              </w:rPr>
              <w:t>排</w:t>
            </w:r>
            <w:r>
              <w:rPr>
                <w:color w:val="auto"/>
                <w:spacing w:val="-1"/>
                <w:sz w:val="21"/>
                <w:szCs w:val="21"/>
                <w:highlight w:val="none"/>
              </w:rPr>
              <w:t>水</w:t>
            </w:r>
            <w:r>
              <w:rPr>
                <w:color w:val="auto"/>
                <w:spacing w:val="2"/>
                <w:sz w:val="21"/>
                <w:szCs w:val="21"/>
                <w:highlight w:val="none"/>
              </w:rPr>
              <w:t>口</w:t>
            </w:r>
          </w:p>
        </w:tc>
        <w:tc>
          <w:tcPr>
            <w:tcW w:w="597" w:type="pct"/>
            <w:tcBorders>
              <w:tl2br w:val="nil"/>
              <w:tr2bl w:val="nil"/>
            </w:tcBorders>
            <w:vAlign w:val="center"/>
          </w:tcPr>
          <w:p w14:paraId="428AC2DF">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西面</w:t>
            </w:r>
          </w:p>
        </w:tc>
        <w:tc>
          <w:tcPr>
            <w:tcW w:w="742" w:type="pct"/>
            <w:tcBorders>
              <w:tl2br w:val="nil"/>
              <w:tr2bl w:val="nil"/>
            </w:tcBorders>
            <w:vAlign w:val="center"/>
          </w:tcPr>
          <w:p w14:paraId="6062C691">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10.1</w:t>
            </w:r>
          </w:p>
        </w:tc>
      </w:tr>
      <w:tr w14:paraId="488FBE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6" w:type="pct"/>
            <w:vMerge w:val="continue"/>
            <w:tcBorders>
              <w:tl2br w:val="nil"/>
              <w:tr2bl w:val="nil"/>
            </w:tcBorders>
            <w:vAlign w:val="center"/>
          </w:tcPr>
          <w:p w14:paraId="6F3DF2C6">
            <w:pPr>
              <w:kinsoku w:val="0"/>
              <w:overflowPunct w:val="0"/>
              <w:topLinePunct w:val="0"/>
              <w:autoSpaceDE w:val="0"/>
              <w:autoSpaceDN w:val="0"/>
              <w:snapToGrid/>
              <w:spacing w:line="240" w:lineRule="auto"/>
              <w:ind w:firstLine="0" w:firstLineChars="0"/>
              <w:jc w:val="center"/>
              <w:rPr>
                <w:color w:val="auto"/>
                <w:sz w:val="21"/>
                <w:szCs w:val="21"/>
                <w:highlight w:val="none"/>
              </w:rPr>
            </w:pPr>
          </w:p>
        </w:tc>
        <w:tc>
          <w:tcPr>
            <w:tcW w:w="1088" w:type="pct"/>
            <w:vMerge w:val="continue"/>
            <w:tcBorders>
              <w:tl2br w:val="nil"/>
              <w:tr2bl w:val="nil"/>
            </w:tcBorders>
            <w:vAlign w:val="center"/>
          </w:tcPr>
          <w:p w14:paraId="36978ABE">
            <w:pPr>
              <w:kinsoku w:val="0"/>
              <w:overflowPunct w:val="0"/>
              <w:topLinePunct w:val="0"/>
              <w:autoSpaceDE w:val="0"/>
              <w:autoSpaceDN w:val="0"/>
              <w:snapToGrid/>
              <w:spacing w:line="240" w:lineRule="auto"/>
              <w:ind w:firstLine="0" w:firstLineChars="0"/>
              <w:jc w:val="center"/>
              <w:rPr>
                <w:color w:val="auto"/>
                <w:spacing w:val="-1"/>
                <w:sz w:val="21"/>
                <w:szCs w:val="21"/>
                <w:highlight w:val="none"/>
              </w:rPr>
            </w:pPr>
          </w:p>
        </w:tc>
        <w:tc>
          <w:tcPr>
            <w:tcW w:w="2187" w:type="pct"/>
            <w:tcBorders>
              <w:tl2br w:val="nil"/>
              <w:tr2bl w:val="nil"/>
            </w:tcBorders>
            <w:vAlign w:val="center"/>
          </w:tcPr>
          <w:p w14:paraId="6EB27BC1">
            <w:pPr>
              <w:kinsoku w:val="0"/>
              <w:overflowPunct w:val="0"/>
              <w:topLinePunct w:val="0"/>
              <w:autoSpaceDE w:val="0"/>
              <w:autoSpaceDN w:val="0"/>
              <w:snapToGrid/>
              <w:spacing w:line="240" w:lineRule="auto"/>
              <w:ind w:firstLine="0" w:firstLineChars="0"/>
              <w:jc w:val="center"/>
              <w:rPr>
                <w:color w:val="auto"/>
                <w:spacing w:val="-1"/>
                <w:sz w:val="21"/>
                <w:szCs w:val="21"/>
                <w:highlight w:val="none"/>
              </w:rPr>
            </w:pPr>
            <w:r>
              <w:rPr>
                <w:color w:val="auto"/>
                <w:sz w:val="21"/>
                <w:szCs w:val="21"/>
                <w:highlight w:val="none"/>
              </w:rPr>
              <w:t>钦州港三墩作业区污水处理厂A3排放口</w:t>
            </w:r>
          </w:p>
        </w:tc>
        <w:tc>
          <w:tcPr>
            <w:tcW w:w="597" w:type="pct"/>
            <w:tcBorders>
              <w:tl2br w:val="nil"/>
              <w:tr2bl w:val="nil"/>
            </w:tcBorders>
            <w:vAlign w:val="center"/>
          </w:tcPr>
          <w:p w14:paraId="5042880F">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西北面</w:t>
            </w:r>
          </w:p>
        </w:tc>
        <w:tc>
          <w:tcPr>
            <w:tcW w:w="742" w:type="pct"/>
            <w:tcBorders>
              <w:tl2br w:val="nil"/>
              <w:tr2bl w:val="nil"/>
            </w:tcBorders>
            <w:vAlign w:val="center"/>
          </w:tcPr>
          <w:p w14:paraId="236A857C">
            <w:pPr>
              <w:spacing w:line="240" w:lineRule="auto"/>
              <w:ind w:left="-72" w:leftChars="-30" w:right="-72" w:rightChars="-30" w:firstLine="0" w:firstLineChars="0"/>
              <w:jc w:val="center"/>
              <w:rPr>
                <w:color w:val="auto"/>
                <w:spacing w:val="1"/>
                <w:sz w:val="21"/>
                <w:szCs w:val="21"/>
                <w:highlight w:val="none"/>
              </w:rPr>
            </w:pPr>
            <w:r>
              <w:rPr>
                <w:color w:val="auto"/>
                <w:spacing w:val="1"/>
                <w:sz w:val="21"/>
                <w:szCs w:val="21"/>
                <w:highlight w:val="none"/>
              </w:rPr>
              <w:t>0.39</w:t>
            </w:r>
          </w:p>
        </w:tc>
      </w:tr>
    </w:tbl>
    <w:p w14:paraId="4D84DBDA">
      <w:pPr>
        <w:topLinePunct w:val="0"/>
        <w:autoSpaceDE w:val="0"/>
        <w:autoSpaceDN w:val="0"/>
        <w:snapToGrid/>
        <w:ind w:firstLine="480"/>
        <w:jc w:val="left"/>
        <w:rPr>
          <w:color w:val="auto"/>
          <w:highlight w:val="none"/>
        </w:rPr>
      </w:pPr>
    </w:p>
    <w:p w14:paraId="7CF31D66">
      <w:pPr>
        <w:pStyle w:val="38"/>
        <w:spacing w:after="0" w:line="240" w:lineRule="auto"/>
        <w:ind w:firstLine="0" w:firstLineChars="0"/>
        <w:jc w:val="center"/>
        <w:rPr>
          <w:b/>
          <w:color w:val="auto"/>
          <w:sz w:val="21"/>
          <w:szCs w:val="21"/>
          <w:highlight w:val="none"/>
        </w:rPr>
      </w:pPr>
      <w:r>
        <w:rPr>
          <w:b/>
          <w:color w:val="auto"/>
          <w:sz w:val="21"/>
          <w:szCs w:val="21"/>
          <w:highlight w:val="none"/>
        </w:rPr>
        <w:drawing>
          <wp:inline distT="0" distB="0" distL="0" distR="0">
            <wp:extent cx="5759450" cy="8145780"/>
            <wp:effectExtent l="0" t="0" r="12700" b="7620"/>
            <wp:docPr id="1720621954" name="图片 172062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21954" name="图片 172062195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5759450" cy="8145780"/>
                    </a:xfrm>
                    <a:prstGeom prst="rect">
                      <a:avLst/>
                    </a:prstGeom>
                    <a:noFill/>
                    <a:ln>
                      <a:noFill/>
                    </a:ln>
                  </pic:spPr>
                </pic:pic>
              </a:graphicData>
            </a:graphic>
          </wp:inline>
        </w:drawing>
      </w:r>
    </w:p>
    <w:p w14:paraId="15BBBEC7">
      <w:pPr>
        <w:pStyle w:val="38"/>
        <w:spacing w:after="0" w:line="240" w:lineRule="auto"/>
        <w:ind w:firstLine="0" w:firstLineChars="0"/>
        <w:jc w:val="center"/>
        <w:rPr>
          <w:b/>
          <w:color w:val="auto"/>
          <w:sz w:val="21"/>
          <w:szCs w:val="21"/>
          <w:highlight w:val="none"/>
        </w:rPr>
      </w:pPr>
      <w:r>
        <w:rPr>
          <w:b/>
          <w:color w:val="auto"/>
          <w:sz w:val="21"/>
          <w:szCs w:val="21"/>
          <w:highlight w:val="none"/>
        </w:rPr>
        <w:t>图3.2-1 工程周边海域开发利用现状图</w:t>
      </w:r>
    </w:p>
    <w:p w14:paraId="5E92A159">
      <w:pPr>
        <w:ind w:firstLine="480"/>
        <w:rPr>
          <w:color w:val="auto"/>
          <w:highlight w:val="none"/>
        </w:rPr>
      </w:pPr>
    </w:p>
    <w:bookmarkEnd w:id="134"/>
    <w:bookmarkEnd w:id="135"/>
    <w:bookmarkEnd w:id="136"/>
    <w:bookmarkEnd w:id="137"/>
    <w:p w14:paraId="3A44B0FE">
      <w:pPr>
        <w:pStyle w:val="6"/>
        <w:numPr>
          <w:ilvl w:val="1"/>
          <w:numId w:val="9"/>
        </w:numPr>
        <w:rPr>
          <w:color w:val="auto"/>
          <w:sz w:val="32"/>
          <w:szCs w:val="32"/>
          <w:highlight w:val="none"/>
        </w:rPr>
      </w:pPr>
      <w:bookmarkStart w:id="140" w:name="_Toc23158"/>
      <w:bookmarkStart w:id="141" w:name="_Toc33967112"/>
      <w:bookmarkStart w:id="142" w:name="_Toc33967216"/>
      <w:r>
        <w:rPr>
          <w:color w:val="auto"/>
          <w:sz w:val="32"/>
          <w:szCs w:val="32"/>
          <w:highlight w:val="none"/>
        </w:rPr>
        <w:t>区域环境敏感区调查</w:t>
      </w:r>
      <w:bookmarkEnd w:id="140"/>
    </w:p>
    <w:p w14:paraId="7846DC0F">
      <w:pPr>
        <w:ind w:firstLine="480"/>
        <w:rPr>
          <w:color w:val="auto"/>
          <w:highlight w:val="none"/>
        </w:rPr>
      </w:pPr>
      <w:r>
        <w:rPr>
          <w:color w:val="auto"/>
          <w:highlight w:val="none"/>
        </w:rPr>
        <w:t>根据现场踏勘及调查相关资料，项目周围5km范围内主要为码头、航道、工业企业，无居民点分布，项目所在海域及周围海域距离较近的环境敏感区主要有：龙门及观音堂旅游休闲娱乐区、三娘湾海洋保护区、北部湾二长棘鲷长毛对虾国家级种质资源保护区、七十二径休闲娱乐区、钦州湾外湾农渔业区、企沙半岛南部农渔业区、钦州港青菜头南浅海滩涂养殖区、鹿耳环至三娘湾旅游休闲娱乐区、三娘湾旅游休闲娱乐区、白海豚分布区以及钦州茅尾海国家级海洋公园、金鼓江红树林分布区等，现将周边主要的环境敏感目标概况介绍如下。</w:t>
      </w:r>
    </w:p>
    <w:p w14:paraId="517518D8">
      <w:pPr>
        <w:pStyle w:val="7"/>
        <w:numPr>
          <w:ilvl w:val="2"/>
          <w:numId w:val="9"/>
        </w:numPr>
        <w:rPr>
          <w:color w:val="auto"/>
          <w:sz w:val="28"/>
          <w:highlight w:val="none"/>
        </w:rPr>
      </w:pPr>
      <w:r>
        <w:rPr>
          <w:color w:val="auto"/>
          <w:sz w:val="28"/>
          <w:highlight w:val="none"/>
        </w:rPr>
        <w:t>北部湾二长棘鲷长毛对虾国家级水产种质资源保护区</w:t>
      </w:r>
    </w:p>
    <w:p w14:paraId="1446F7CE">
      <w:pPr>
        <w:ind w:firstLine="480"/>
        <w:rPr>
          <w:color w:val="auto"/>
          <w:highlight w:val="none"/>
        </w:rPr>
      </w:pPr>
      <w:r>
        <w:rPr>
          <w:color w:val="auto"/>
          <w:highlight w:val="none"/>
        </w:rPr>
        <w:t>北部湾二长棘鲷长毛对虾种质资源保护区被</w:t>
      </w:r>
      <w:r>
        <w:rPr>
          <w:rFonts w:hint="eastAsia"/>
          <w:color w:val="auto"/>
          <w:highlight w:val="none"/>
          <w:lang w:eastAsia="zh-CN"/>
        </w:rPr>
        <w:t>农业农村部</w:t>
      </w:r>
      <w:r>
        <w:rPr>
          <w:color w:val="auto"/>
          <w:highlight w:val="none"/>
        </w:rPr>
        <w:t>列为63个国家级水产种质资源保护区之一。总面积1142158.03hm</w:t>
      </w:r>
      <w:r>
        <w:rPr>
          <w:color w:val="auto"/>
          <w:highlight w:val="none"/>
          <w:vertAlign w:val="superscript"/>
        </w:rPr>
        <w:t>2</w:t>
      </w:r>
      <w:r>
        <w:rPr>
          <w:color w:val="auto"/>
          <w:highlight w:val="none"/>
        </w:rPr>
        <w:t>，其中核心区面积808771.36hm</w:t>
      </w:r>
      <w:r>
        <w:rPr>
          <w:color w:val="auto"/>
          <w:highlight w:val="none"/>
          <w:vertAlign w:val="superscript"/>
        </w:rPr>
        <w:t>2</w:t>
      </w:r>
      <w:r>
        <w:rPr>
          <w:color w:val="auto"/>
          <w:highlight w:val="none"/>
        </w:rPr>
        <w:t>，实验区面积</w:t>
      </w:r>
      <w:r>
        <w:rPr>
          <w:rFonts w:eastAsia="TimesNewRomanPSMT"/>
          <w:color w:val="auto"/>
          <w:highlight w:val="none"/>
        </w:rPr>
        <w:t>333386.67hm</w:t>
      </w:r>
      <w:r>
        <w:rPr>
          <w:rFonts w:eastAsia="TimesNewRomanPSMT"/>
          <w:color w:val="auto"/>
          <w:highlight w:val="none"/>
          <w:vertAlign w:val="superscript"/>
        </w:rPr>
        <w:t>2</w:t>
      </w:r>
      <w:r>
        <w:rPr>
          <w:color w:val="auto"/>
          <w:highlight w:val="none"/>
        </w:rPr>
        <w:t>。核心区特别保护期为</w:t>
      </w:r>
      <w:r>
        <w:rPr>
          <w:rFonts w:eastAsia="TimesNewRomanPSMT"/>
          <w:color w:val="auto"/>
          <w:highlight w:val="none"/>
        </w:rPr>
        <w:t>1</w:t>
      </w:r>
      <w:r>
        <w:rPr>
          <w:color w:val="auto"/>
          <w:highlight w:val="none"/>
        </w:rPr>
        <w:t>月</w:t>
      </w:r>
      <w:r>
        <w:rPr>
          <w:rFonts w:eastAsia="TimesNewRomanPSMT"/>
          <w:color w:val="auto"/>
          <w:highlight w:val="none"/>
        </w:rPr>
        <w:t>15</w:t>
      </w:r>
      <w:r>
        <w:rPr>
          <w:color w:val="auto"/>
          <w:highlight w:val="none"/>
        </w:rPr>
        <w:t>日至</w:t>
      </w:r>
      <w:r>
        <w:rPr>
          <w:rFonts w:eastAsia="TimesNewRomanPSMT"/>
          <w:color w:val="auto"/>
          <w:highlight w:val="none"/>
        </w:rPr>
        <w:t>3</w:t>
      </w:r>
      <w:r>
        <w:rPr>
          <w:color w:val="auto"/>
          <w:highlight w:val="none"/>
        </w:rPr>
        <w:t>月</w:t>
      </w:r>
      <w:r>
        <w:rPr>
          <w:rFonts w:eastAsia="TimesNewRomanPSMT"/>
          <w:color w:val="auto"/>
          <w:highlight w:val="none"/>
        </w:rPr>
        <w:t>1</w:t>
      </w:r>
      <w:r>
        <w:rPr>
          <w:color w:val="auto"/>
          <w:highlight w:val="none"/>
        </w:rPr>
        <w:t>日。</w:t>
      </w:r>
    </w:p>
    <w:p w14:paraId="019D4B71">
      <w:pPr>
        <w:ind w:firstLine="480"/>
        <w:rPr>
          <w:color w:val="auto"/>
          <w:highlight w:val="none"/>
        </w:rPr>
      </w:pPr>
      <w:r>
        <w:rPr>
          <w:color w:val="auto"/>
          <w:highlight w:val="none"/>
        </w:rPr>
        <w:t>保护区位于北部湾东北部沿岸区域，由北纬</w:t>
      </w:r>
      <w:r>
        <w:rPr>
          <w:rFonts w:eastAsia="TimesNewRomanPSMT"/>
          <w:color w:val="auto"/>
          <w:highlight w:val="none"/>
        </w:rPr>
        <w:t>21°31′</w:t>
      </w:r>
      <w:r>
        <w:rPr>
          <w:color w:val="auto"/>
          <w:highlight w:val="none"/>
        </w:rPr>
        <w:t>线、五个拐点连线及广西</w:t>
      </w:r>
      <w:r>
        <w:rPr>
          <w:rFonts w:hint="eastAsia"/>
          <w:color w:val="auto"/>
          <w:highlight w:val="none"/>
        </w:rPr>
        <w:t>壮族</w:t>
      </w:r>
      <w:r>
        <w:rPr>
          <w:color w:val="auto"/>
          <w:highlight w:val="none"/>
        </w:rPr>
        <w:t>自治区防城港市、北海市海岸线组成，主要保护对象为二长棘鲷和长毛对虾，其他保护物种包括金线鱼、蓝圆鲹、黄带鲱鲤、长尾大眼鲷、蛇鲻类、日本金线鱼、墨吉对虾、长足鹰爪虾、中华管鞭虾、锈斑蟳、逍遥馒头蟹、日本蟳、马氏珠母贝、方格星虫等。</w:t>
      </w:r>
    </w:p>
    <w:p w14:paraId="0A63EAF9">
      <w:pPr>
        <w:ind w:firstLine="480"/>
        <w:rPr>
          <w:color w:val="auto"/>
          <w:highlight w:val="none"/>
        </w:rPr>
      </w:pPr>
      <w:r>
        <w:rPr>
          <w:color w:val="auto"/>
          <w:highlight w:val="none"/>
        </w:rPr>
        <w:t>该保护区位于项目南面，距项目约10km。</w:t>
      </w:r>
    </w:p>
    <w:p w14:paraId="3639F96C">
      <w:pPr>
        <w:pStyle w:val="38"/>
        <w:spacing w:after="0" w:line="240" w:lineRule="auto"/>
        <w:ind w:firstLine="0" w:firstLineChars="0"/>
        <w:jc w:val="center"/>
        <w:rPr>
          <w:b/>
          <w:color w:val="auto"/>
          <w:sz w:val="21"/>
          <w:szCs w:val="21"/>
          <w:highlight w:val="none"/>
        </w:rPr>
      </w:pPr>
      <w:r>
        <w:rPr>
          <w:b/>
          <w:color w:val="auto"/>
          <w:sz w:val="21"/>
          <w:szCs w:val="21"/>
          <w:highlight w:val="none"/>
        </w:rPr>
        <w:drawing>
          <wp:inline distT="0" distB="0" distL="0" distR="0">
            <wp:extent cx="5207635" cy="3329305"/>
            <wp:effectExtent l="0" t="0" r="12065" b="444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01"/>
                    <a:stretch>
                      <a:fillRect/>
                    </a:stretch>
                  </pic:blipFill>
                  <pic:spPr>
                    <a:xfrm>
                      <a:off x="0" y="0"/>
                      <a:ext cx="5207635" cy="3329305"/>
                    </a:xfrm>
                    <a:prstGeom prst="rect">
                      <a:avLst/>
                    </a:prstGeom>
                  </pic:spPr>
                </pic:pic>
              </a:graphicData>
            </a:graphic>
          </wp:inline>
        </w:drawing>
      </w:r>
    </w:p>
    <w:p w14:paraId="69227498">
      <w:pPr>
        <w:pStyle w:val="38"/>
        <w:spacing w:after="0" w:line="240" w:lineRule="auto"/>
        <w:ind w:firstLine="0" w:firstLineChars="0"/>
        <w:jc w:val="center"/>
        <w:rPr>
          <w:b/>
          <w:color w:val="auto"/>
          <w:sz w:val="21"/>
          <w:szCs w:val="21"/>
          <w:highlight w:val="none"/>
        </w:rPr>
      </w:pPr>
      <w:r>
        <w:rPr>
          <w:b/>
          <w:color w:val="auto"/>
          <w:sz w:val="21"/>
          <w:szCs w:val="21"/>
          <w:highlight w:val="none"/>
        </w:rPr>
        <w:t>图3.3-1  北部湾二长棘鲷长毛对虾种质资源保护区范围图</w:t>
      </w:r>
    </w:p>
    <w:p w14:paraId="69DFD0F8">
      <w:pPr>
        <w:pStyle w:val="7"/>
        <w:numPr>
          <w:ilvl w:val="2"/>
          <w:numId w:val="9"/>
        </w:numPr>
        <w:rPr>
          <w:color w:val="auto"/>
          <w:sz w:val="28"/>
          <w:highlight w:val="none"/>
        </w:rPr>
      </w:pPr>
      <w:r>
        <w:rPr>
          <w:color w:val="auto"/>
          <w:sz w:val="28"/>
          <w:highlight w:val="none"/>
        </w:rPr>
        <w:t>广西茅尾海自治区级自然保护区</w:t>
      </w:r>
    </w:p>
    <w:p w14:paraId="4A60AD8F">
      <w:pPr>
        <w:ind w:firstLine="480"/>
        <w:rPr>
          <w:color w:val="auto"/>
          <w:highlight w:val="none"/>
        </w:rPr>
      </w:pPr>
      <w:r>
        <w:rPr>
          <w:color w:val="auto"/>
          <w:highlight w:val="none"/>
        </w:rPr>
        <w:t>广西茅尾海自治区级自然保护区位于钦州市的钦南区和钦州港区，面向北部湾，总面积2784公顷，其中红树林面积1892.7公顷，北纬21°38'～21°57'，东经108°27'~108°44'。保护区于2005年经自治区人民政府批准建立。</w:t>
      </w:r>
    </w:p>
    <w:p w14:paraId="79EF1D43">
      <w:pPr>
        <w:ind w:firstLine="480"/>
        <w:rPr>
          <w:color w:val="auto"/>
          <w:highlight w:val="none"/>
        </w:rPr>
      </w:pPr>
      <w:r>
        <w:rPr>
          <w:color w:val="auto"/>
          <w:highlight w:val="none"/>
        </w:rPr>
        <w:t>主要群落类型：桐花树群落、秋茄+桐花树群落、白骨壤+桐花树群落和白骨壤群落。</w:t>
      </w:r>
    </w:p>
    <w:p w14:paraId="65429D22">
      <w:pPr>
        <w:ind w:firstLine="480"/>
        <w:rPr>
          <w:color w:val="auto"/>
          <w:highlight w:val="none"/>
        </w:rPr>
      </w:pPr>
      <w:r>
        <w:rPr>
          <w:color w:val="auto"/>
          <w:highlight w:val="none"/>
        </w:rPr>
        <w:t>红树植物种类：秋茄、桐花树、白骨壤、老鼠簕、木榄、红海榄、海漆、卤蕨、榄李、海檬果、苦郎树、黄槿、钝叶臭黄荆。</w:t>
      </w:r>
    </w:p>
    <w:p w14:paraId="4792FCB0">
      <w:pPr>
        <w:ind w:firstLine="480"/>
        <w:rPr>
          <w:color w:val="auto"/>
          <w:highlight w:val="none"/>
        </w:rPr>
      </w:pPr>
      <w:r>
        <w:rPr>
          <w:color w:val="auto"/>
          <w:highlight w:val="none"/>
        </w:rPr>
        <w:t>该保护区拥有独特的岩生红树林和七十二泾的“龙泾还珠”岛群红树林景观。保护区内有红树植物11科16种（即木榄、秋茄、红海榄、白骨壤、老鼠簕等），占全国红树种类的43.2%，其中珍稀红树林植物有爵床科的老鼠簕，濒危树种有红树科的木榄和红海榄；各种动物491种（如鸟类黑鹳，海鸬鹚；兽类儒艮、江豚等），其中33 种鸟是中澳、中日保护候鸟及其栖息环境协定的保护鸟类。</w:t>
      </w:r>
    </w:p>
    <w:p w14:paraId="6CF4D5E2">
      <w:pPr>
        <w:ind w:firstLine="480"/>
        <w:rPr>
          <w:color w:val="auto"/>
          <w:highlight w:val="none"/>
        </w:rPr>
      </w:pPr>
      <w:r>
        <w:rPr>
          <w:color w:val="auto"/>
          <w:highlight w:val="none"/>
        </w:rPr>
        <w:t>2015年7月30日，广西壮族自治区人民政府以桂政函</w:t>
      </w:r>
      <w:r>
        <w:rPr>
          <w:rFonts w:hint="eastAsia"/>
          <w:color w:val="auto"/>
          <w:highlight w:val="none"/>
          <w:lang w:eastAsia="zh-CN"/>
        </w:rPr>
        <w:t>〔2015〕167号</w:t>
      </w:r>
      <w:r>
        <w:rPr>
          <w:color w:val="auto"/>
          <w:highlight w:val="none"/>
        </w:rPr>
        <w:t>文发布了《关于同意广西茅尾海红树林自治区级自然保护区范围和功能区调整的批复》。根据该批复，广西茅尾海红树林自治区级自然保护区（以下简称保护区）范围和功能区作以下调整。</w:t>
      </w:r>
    </w:p>
    <w:p w14:paraId="07BE392A">
      <w:pPr>
        <w:ind w:firstLine="480"/>
        <w:rPr>
          <w:color w:val="auto"/>
          <w:highlight w:val="none"/>
        </w:rPr>
      </w:pPr>
      <w:r>
        <w:rPr>
          <w:color w:val="auto"/>
          <w:highlight w:val="none"/>
        </w:rPr>
        <w:t>调整后保护区东部与北海市合浦县的西场镇交界，西与防城港市的茅岭镇接壤，面向北部湾，背依钦南区与钦州港区。地理坐标为：东经108°28′33″～108°54′24″、北纬21°44′19″～21°54′10″，保护区总面积3454.00公顷，包括核心区1293.30公顷、缓冲区1152.20公顷、实验区1008.50公顷。保护区由康熙岭片、坚心围片、七十二泾片和大风江片四大片区组成。</w:t>
      </w:r>
    </w:p>
    <w:p w14:paraId="27A3AFB0">
      <w:pPr>
        <w:ind w:firstLine="480"/>
        <w:rPr>
          <w:color w:val="auto"/>
          <w:highlight w:val="none"/>
        </w:rPr>
      </w:pPr>
      <w:r>
        <w:rPr>
          <w:color w:val="auto"/>
          <w:highlight w:val="none"/>
        </w:rPr>
        <w:t>康熙岭片区位于康熙岭镇辖区的滩涂湿地，陆地大部分以标准海堤为界，面积1826.7公顷，其中，核心区面积597.30公顷，缓冲区面积564.30公顷，实验区面积665.10公顷。</w:t>
      </w:r>
    </w:p>
    <w:p w14:paraId="4D97CBF4">
      <w:pPr>
        <w:ind w:firstLine="480"/>
        <w:rPr>
          <w:color w:val="auto"/>
          <w:highlight w:val="none"/>
        </w:rPr>
      </w:pPr>
      <w:r>
        <w:rPr>
          <w:color w:val="auto"/>
          <w:highlight w:val="none"/>
        </w:rPr>
        <w:t>坚心围片区位于茅尾海区域的尖山、大番坡、坚心围一带的滩涂湿地，陆地部分以标准海堤为界，面积754.8公顷，其中，核心区面积442.20公顷，缓冲区面积242.10公顷，实验区面积70.50公顷。</w:t>
      </w:r>
    </w:p>
    <w:p w14:paraId="53782163">
      <w:pPr>
        <w:ind w:firstLine="480"/>
        <w:rPr>
          <w:color w:val="auto"/>
          <w:highlight w:val="none"/>
        </w:rPr>
      </w:pPr>
      <w:r>
        <w:rPr>
          <w:color w:val="auto"/>
          <w:highlight w:val="none"/>
        </w:rPr>
        <w:t>七十二泾片区位于钦州港辖区的滩涂湿地，陆地部分以仙岛公园边缘和松飞大岭脚为界，面积192.7公顷，其中，核心区面积80.90公顷，缓冲区面积74.00公顷，实验区面积37.80公顷。</w:t>
      </w:r>
    </w:p>
    <w:p w14:paraId="42A5B353">
      <w:pPr>
        <w:ind w:firstLine="480"/>
        <w:rPr>
          <w:color w:val="auto"/>
          <w:highlight w:val="none"/>
        </w:rPr>
      </w:pPr>
      <w:r>
        <w:rPr>
          <w:color w:val="auto"/>
          <w:highlight w:val="none"/>
        </w:rPr>
        <w:t>大风江片区位于东场镇、那丽镇大风江区域的滩涂湿地，与北海交界部分以航道中心线（即与北海分界线）为界，其余以河（海）岸为界，面积为679.8公顷，其中，核心区面积172.90公顷，缓冲区面积271.80公顷，实验区面积235.10公顷。</w:t>
      </w:r>
    </w:p>
    <w:p w14:paraId="69DD4141">
      <w:pPr>
        <w:ind w:firstLine="480"/>
        <w:rPr>
          <w:color w:val="auto"/>
          <w:highlight w:val="none"/>
        </w:rPr>
      </w:pPr>
      <w:r>
        <w:rPr>
          <w:color w:val="auto"/>
          <w:highlight w:val="none"/>
        </w:rPr>
        <w:t>距离本项目最近的片区为七十二泾片区，位于本项目厂址西北侧约18.5km。</w:t>
      </w:r>
    </w:p>
    <w:p w14:paraId="681D4D1A">
      <w:pPr>
        <w:pStyle w:val="7"/>
        <w:numPr>
          <w:ilvl w:val="2"/>
          <w:numId w:val="9"/>
        </w:numPr>
        <w:rPr>
          <w:color w:val="auto"/>
          <w:sz w:val="28"/>
          <w:highlight w:val="none"/>
        </w:rPr>
      </w:pPr>
      <w:r>
        <w:rPr>
          <w:color w:val="auto"/>
          <w:sz w:val="28"/>
          <w:highlight w:val="none"/>
        </w:rPr>
        <w:t>白海豚分布与洄游区</w:t>
      </w:r>
    </w:p>
    <w:p w14:paraId="4723CD44">
      <w:pPr>
        <w:ind w:firstLine="480"/>
        <w:rPr>
          <w:color w:val="auto"/>
          <w:highlight w:val="none"/>
        </w:rPr>
      </w:pPr>
      <w:r>
        <w:rPr>
          <w:color w:val="auto"/>
          <w:highlight w:val="none"/>
        </w:rPr>
        <w:t>中华白海豚是当前地球上最稀有的物种之一，被我国列为国家一级重点保护动物，有“海上大熊猫”、“海上国宝”之称，被世界自然保护联盟(IUCU）红皮书收录为“极危物种”，具有很高的科研价值和潜在的经济价值。钦州市大风江口至三娘湾一带的浅海区域由于有着优越的浅海地貌和水文条件，浅海及潮间带依然保持着</w:t>
      </w:r>
      <w:r>
        <w:rPr>
          <w:rFonts w:hint="eastAsia"/>
          <w:color w:val="auto"/>
          <w:highlight w:val="none"/>
          <w:lang w:eastAsia="zh-CN"/>
        </w:rPr>
        <w:t>较</w:t>
      </w:r>
      <w:r>
        <w:rPr>
          <w:color w:val="auto"/>
          <w:highlight w:val="none"/>
        </w:rPr>
        <w:t>好的自然环境，河口上游植被良好，空气清新，水质清澈，多样性的生物资源形成丰富的饵料，非常适合中华白海豚的生存和繁衍，成为中华白海豚的一个优良的栖息地。</w:t>
      </w:r>
    </w:p>
    <w:p w14:paraId="438675FB">
      <w:pPr>
        <w:ind w:firstLine="480"/>
        <w:rPr>
          <w:color w:val="auto"/>
          <w:highlight w:val="none"/>
        </w:rPr>
      </w:pPr>
      <w:r>
        <w:rPr>
          <w:color w:val="auto"/>
          <w:highlight w:val="none"/>
        </w:rPr>
        <w:t>根据《钦州市三娘湾旅游</w:t>
      </w:r>
      <w:r>
        <w:rPr>
          <w:rFonts w:hint="eastAsia"/>
          <w:color w:val="auto"/>
          <w:highlight w:val="none"/>
        </w:rPr>
        <w:t>度</w:t>
      </w:r>
      <w:r>
        <w:rPr>
          <w:color w:val="auto"/>
          <w:highlight w:val="none"/>
        </w:rPr>
        <w:t>假区总体规划》的说明，中华白海豚可能的迁移路线为钦州湾东侧的大风江口至北海东南侧海域。从发现海豚的位路来看，主要分布在大风江口以东的海湾和北海东南侧海湾，而钦州湾内则没有观察到中华白海豚活动。</w:t>
      </w:r>
    </w:p>
    <w:p w14:paraId="1868F494">
      <w:pPr>
        <w:ind w:firstLine="480"/>
        <w:rPr>
          <w:color w:val="auto"/>
          <w:highlight w:val="none"/>
        </w:rPr>
      </w:pPr>
      <w:r>
        <w:rPr>
          <w:color w:val="auto"/>
          <w:highlight w:val="none"/>
        </w:rPr>
        <w:t>根据南京师范大学《钦州30万吨油码头中华白海豚影响专题论证报告》，研究团队自2000年以来对北部湾中华白海豚进行了长期研究，与2011-2015年对北部大风江及沙田水域进行了连续调查，应用特征重捕法估算了大风江和南流江水域的中华白海豚数量为316头。北部湾白海豚是我国第三大种群，其分成大风江水域和沙田水域两个群体。</w:t>
      </w:r>
    </w:p>
    <w:p w14:paraId="0D7B95CE">
      <w:pPr>
        <w:ind w:firstLine="480"/>
        <w:rPr>
          <w:color w:val="auto"/>
          <w:highlight w:val="none"/>
        </w:rPr>
      </w:pPr>
      <w:r>
        <w:rPr>
          <w:color w:val="auto"/>
          <w:highlight w:val="none"/>
        </w:rPr>
        <w:t>大风江</w:t>
      </w:r>
      <w:r>
        <w:rPr>
          <w:rFonts w:eastAsia="TimesNewRomanPSMT"/>
          <w:color w:val="auto"/>
          <w:highlight w:val="none"/>
        </w:rPr>
        <w:t>-</w:t>
      </w:r>
      <w:r>
        <w:rPr>
          <w:color w:val="auto"/>
          <w:highlight w:val="none"/>
        </w:rPr>
        <w:t>南流江社群以青年和成体为主（</w:t>
      </w:r>
      <w:r>
        <w:rPr>
          <w:rFonts w:eastAsia="TimesNewRomanPSMT"/>
          <w:color w:val="auto"/>
          <w:highlight w:val="none"/>
        </w:rPr>
        <w:t>72.1%</w:t>
      </w:r>
      <w:r>
        <w:rPr>
          <w:color w:val="auto"/>
          <w:highlight w:val="none"/>
        </w:rPr>
        <w:t>）（图</w:t>
      </w:r>
      <w:r>
        <w:rPr>
          <w:rFonts w:eastAsia="TimesNewRomanPSMT"/>
          <w:color w:val="auto"/>
          <w:highlight w:val="none"/>
        </w:rPr>
        <w:t>3.3-2</w:t>
      </w:r>
      <w:r>
        <w:rPr>
          <w:color w:val="auto"/>
          <w:highlight w:val="none"/>
        </w:rPr>
        <w:t>）。群大小平均为</w:t>
      </w:r>
      <w:r>
        <w:rPr>
          <w:rFonts w:eastAsia="TimesNewRomanPSMT"/>
          <w:color w:val="auto"/>
          <w:highlight w:val="none"/>
        </w:rPr>
        <w:t>12</w:t>
      </w:r>
      <w:r>
        <w:rPr>
          <w:color w:val="auto"/>
          <w:highlight w:val="none"/>
        </w:rPr>
        <w:t>头。多数识别个体间的联系度为</w:t>
      </w:r>
      <w:r>
        <w:rPr>
          <w:rFonts w:eastAsia="TimesNewRomanPSMT"/>
          <w:color w:val="auto"/>
          <w:highlight w:val="none"/>
        </w:rPr>
        <w:t>0</w:t>
      </w:r>
      <w:r>
        <w:rPr>
          <w:color w:val="auto"/>
          <w:highlight w:val="none"/>
        </w:rPr>
        <w:t>，除此之外，其余联系度主要集中在</w:t>
      </w:r>
      <w:r>
        <w:rPr>
          <w:rFonts w:eastAsia="TimesNewRomanPSMT"/>
          <w:color w:val="auto"/>
          <w:highlight w:val="none"/>
        </w:rPr>
        <w:t>0.1-0.5</w:t>
      </w:r>
      <w:r>
        <w:rPr>
          <w:color w:val="auto"/>
          <w:highlight w:val="none"/>
        </w:rPr>
        <w:t>之间（图</w:t>
      </w:r>
      <w:r>
        <w:rPr>
          <w:rFonts w:eastAsia="TimesNewRomanPSMT"/>
          <w:color w:val="auto"/>
          <w:highlight w:val="none"/>
        </w:rPr>
        <w:t>3.3-3</w:t>
      </w:r>
      <w:r>
        <w:rPr>
          <w:color w:val="auto"/>
          <w:highlight w:val="none"/>
        </w:rPr>
        <w:t>，左上），这</w:t>
      </w:r>
      <w:r>
        <w:rPr>
          <w:rFonts w:hint="eastAsia"/>
          <w:color w:val="auto"/>
          <w:highlight w:val="none"/>
          <w:lang w:eastAsia="zh-CN"/>
        </w:rPr>
        <w:t>意味着</w:t>
      </w:r>
      <w:r>
        <w:rPr>
          <w:color w:val="auto"/>
          <w:highlight w:val="none"/>
        </w:rPr>
        <w:t>两头个体平均有</w:t>
      </w:r>
      <w:r>
        <w:rPr>
          <w:rFonts w:eastAsia="TimesNewRomanPSMT"/>
          <w:color w:val="auto"/>
          <w:highlight w:val="none"/>
        </w:rPr>
        <w:t>10%-50%</w:t>
      </w:r>
      <w:r>
        <w:rPr>
          <w:color w:val="auto"/>
          <w:highlight w:val="none"/>
        </w:rPr>
        <w:t>的时间在一起。对于个体而言，最大联系度均大于</w:t>
      </w:r>
      <w:r>
        <w:rPr>
          <w:rFonts w:eastAsia="TimesNewRomanPSMT"/>
          <w:color w:val="auto"/>
          <w:highlight w:val="none"/>
        </w:rPr>
        <w:t>0.6</w:t>
      </w:r>
      <w:r>
        <w:rPr>
          <w:color w:val="auto"/>
          <w:highlight w:val="none"/>
        </w:rPr>
        <w:t>，</w:t>
      </w:r>
      <w:r>
        <w:rPr>
          <w:rFonts w:eastAsia="TimesNewRomanPSMT"/>
          <w:color w:val="auto"/>
          <w:highlight w:val="none"/>
        </w:rPr>
        <w:t>29</w:t>
      </w:r>
      <w:r>
        <w:rPr>
          <w:color w:val="auto"/>
          <w:highlight w:val="none"/>
        </w:rPr>
        <w:t>头个体的最大联系度为</w:t>
      </w:r>
      <w:r>
        <w:rPr>
          <w:rFonts w:eastAsia="TimesNewRomanPSMT"/>
          <w:color w:val="auto"/>
          <w:highlight w:val="none"/>
        </w:rPr>
        <w:t>1</w:t>
      </w:r>
      <w:r>
        <w:rPr>
          <w:color w:val="auto"/>
          <w:highlight w:val="none"/>
        </w:rPr>
        <w:t>（图</w:t>
      </w:r>
      <w:r>
        <w:rPr>
          <w:rFonts w:eastAsia="TimesNewRomanPSMT"/>
          <w:color w:val="auto"/>
          <w:highlight w:val="none"/>
        </w:rPr>
        <w:t>3.3-3</w:t>
      </w:r>
      <w:r>
        <w:rPr>
          <w:color w:val="auto"/>
          <w:highlight w:val="none"/>
        </w:rPr>
        <w:t>，右上）；个体与</w:t>
      </w:r>
      <w:r>
        <w:rPr>
          <w:rFonts w:hint="eastAsia"/>
          <w:color w:val="auto"/>
          <w:highlight w:val="none"/>
          <w:lang w:eastAsia="zh-CN"/>
        </w:rPr>
        <w:t>其他</w:t>
      </w:r>
      <w:r>
        <w:rPr>
          <w:color w:val="auto"/>
          <w:highlight w:val="none"/>
        </w:rPr>
        <w:t>个体的平均联系度主要集中在</w:t>
      </w:r>
      <w:r>
        <w:rPr>
          <w:rFonts w:eastAsia="TimesNewRomanPSMT"/>
          <w:color w:val="auto"/>
          <w:highlight w:val="none"/>
        </w:rPr>
        <w:t>0.1-0.5</w:t>
      </w:r>
      <w:r>
        <w:rPr>
          <w:color w:val="auto"/>
          <w:highlight w:val="none"/>
        </w:rPr>
        <w:t>之间（图</w:t>
      </w:r>
      <w:r>
        <w:rPr>
          <w:rFonts w:eastAsia="TimesNewRomanPSMT"/>
          <w:color w:val="auto"/>
          <w:highlight w:val="none"/>
        </w:rPr>
        <w:t>3.3-3</w:t>
      </w:r>
      <w:r>
        <w:rPr>
          <w:color w:val="auto"/>
          <w:highlight w:val="none"/>
        </w:rPr>
        <w:t>，左下）；</w:t>
      </w:r>
      <w:r>
        <w:rPr>
          <w:rFonts w:eastAsia="TimesNewRomanPSMT"/>
          <w:color w:val="auto"/>
          <w:highlight w:val="none"/>
        </w:rPr>
        <w:t xml:space="preserve">30 </w:t>
      </w:r>
      <w:r>
        <w:rPr>
          <w:color w:val="auto"/>
          <w:highlight w:val="none"/>
        </w:rPr>
        <w:t>头个体联系度总值大于</w:t>
      </w:r>
      <w:r>
        <w:rPr>
          <w:rFonts w:eastAsia="TimesNewRomanPSMT"/>
          <w:color w:val="auto"/>
          <w:highlight w:val="none"/>
        </w:rPr>
        <w:t>5</w:t>
      </w:r>
      <w:r>
        <w:rPr>
          <w:color w:val="auto"/>
          <w:highlight w:val="none"/>
        </w:rPr>
        <w:t>（图</w:t>
      </w:r>
      <w:r>
        <w:rPr>
          <w:rFonts w:eastAsia="TimesNewRomanPSMT"/>
          <w:color w:val="auto"/>
          <w:highlight w:val="none"/>
        </w:rPr>
        <w:t>3.3-3</w:t>
      </w:r>
      <w:r>
        <w:rPr>
          <w:color w:val="auto"/>
          <w:highlight w:val="none"/>
        </w:rPr>
        <w:t>，右下）。</w:t>
      </w:r>
    </w:p>
    <w:p w14:paraId="592EB09D">
      <w:pPr>
        <w:ind w:firstLine="480"/>
        <w:rPr>
          <w:color w:val="auto"/>
          <w:highlight w:val="none"/>
        </w:rPr>
      </w:pPr>
      <w:r>
        <w:rPr>
          <w:color w:val="auto"/>
          <w:highlight w:val="none"/>
        </w:rPr>
        <w:t>大风江</w:t>
      </w:r>
      <w:r>
        <w:rPr>
          <w:rFonts w:eastAsia="TimesNewRomanPSMT"/>
          <w:color w:val="auto"/>
          <w:highlight w:val="none"/>
        </w:rPr>
        <w:t>-</w:t>
      </w:r>
      <w:r>
        <w:rPr>
          <w:color w:val="auto"/>
          <w:highlight w:val="none"/>
        </w:rPr>
        <w:t>南流江中华白海豚分成</w:t>
      </w:r>
      <w:r>
        <w:rPr>
          <w:rFonts w:eastAsia="TimesNewRomanPSMT"/>
          <w:color w:val="auto"/>
          <w:highlight w:val="none"/>
        </w:rPr>
        <w:t>4</w:t>
      </w:r>
      <w:r>
        <w:rPr>
          <w:color w:val="auto"/>
          <w:highlight w:val="none"/>
        </w:rPr>
        <w:t>个小的群体，其中</w:t>
      </w:r>
      <w:r>
        <w:rPr>
          <w:rFonts w:eastAsia="TimesNewRomanPSMT"/>
          <w:color w:val="auto"/>
          <w:highlight w:val="none"/>
        </w:rPr>
        <w:t>Group1</w:t>
      </w:r>
      <w:r>
        <w:rPr>
          <w:color w:val="auto"/>
          <w:highlight w:val="none"/>
        </w:rPr>
        <w:t>包含个体包含</w:t>
      </w:r>
      <w:r>
        <w:rPr>
          <w:rFonts w:eastAsia="TimesNewRomanPSMT"/>
          <w:color w:val="auto"/>
          <w:highlight w:val="none"/>
        </w:rPr>
        <w:t>4</w:t>
      </w:r>
      <w:r>
        <w:rPr>
          <w:color w:val="auto"/>
          <w:highlight w:val="none"/>
        </w:rPr>
        <w:t>头，</w:t>
      </w:r>
      <w:r>
        <w:rPr>
          <w:rFonts w:eastAsia="TimesNewRomanPSMT"/>
          <w:color w:val="auto"/>
          <w:highlight w:val="none"/>
        </w:rPr>
        <w:t>G2</w:t>
      </w:r>
      <w:r>
        <w:rPr>
          <w:color w:val="auto"/>
          <w:highlight w:val="none"/>
        </w:rPr>
        <w:t>为</w:t>
      </w:r>
      <w:r>
        <w:rPr>
          <w:rFonts w:eastAsia="TimesNewRomanPSMT"/>
          <w:color w:val="auto"/>
          <w:highlight w:val="none"/>
        </w:rPr>
        <w:t>6</w:t>
      </w:r>
      <w:r>
        <w:rPr>
          <w:color w:val="auto"/>
          <w:highlight w:val="none"/>
        </w:rPr>
        <w:t>头，</w:t>
      </w:r>
      <w:r>
        <w:rPr>
          <w:rFonts w:eastAsia="TimesNewRomanPSMT"/>
          <w:color w:val="auto"/>
          <w:highlight w:val="none"/>
        </w:rPr>
        <w:t>G3</w:t>
      </w:r>
      <w:r>
        <w:rPr>
          <w:color w:val="auto"/>
          <w:highlight w:val="none"/>
        </w:rPr>
        <w:t>为</w:t>
      </w:r>
      <w:r>
        <w:rPr>
          <w:rFonts w:eastAsia="TimesNewRomanPSMT"/>
          <w:color w:val="auto"/>
          <w:highlight w:val="none"/>
        </w:rPr>
        <w:t>9</w:t>
      </w:r>
      <w:r>
        <w:rPr>
          <w:color w:val="auto"/>
          <w:highlight w:val="none"/>
        </w:rPr>
        <w:t>头，</w:t>
      </w:r>
      <w:r>
        <w:rPr>
          <w:rFonts w:eastAsia="TimesNewRomanPSMT"/>
          <w:color w:val="auto"/>
          <w:highlight w:val="none"/>
        </w:rPr>
        <w:t>G4</w:t>
      </w:r>
      <w:r>
        <w:rPr>
          <w:color w:val="auto"/>
          <w:highlight w:val="none"/>
        </w:rPr>
        <w:t>为</w:t>
      </w:r>
      <w:r>
        <w:rPr>
          <w:rFonts w:eastAsia="TimesNewRomanPSMT"/>
          <w:color w:val="auto"/>
          <w:highlight w:val="none"/>
        </w:rPr>
        <w:t>12</w:t>
      </w:r>
      <w:r>
        <w:rPr>
          <w:color w:val="auto"/>
          <w:highlight w:val="none"/>
        </w:rPr>
        <w:t>头（图</w:t>
      </w:r>
      <w:r>
        <w:rPr>
          <w:rFonts w:eastAsia="TimesNewRomanPSMT"/>
          <w:color w:val="auto"/>
          <w:highlight w:val="none"/>
        </w:rPr>
        <w:t>3.3-4</w:t>
      </w:r>
      <w:r>
        <w:rPr>
          <w:color w:val="auto"/>
          <w:highlight w:val="none"/>
        </w:rPr>
        <w:t>）。从聚类图、网格图的结果上来看，每一群体内的个体间联系度均非常紧密，可能是由于我们发现次数太少所致（图</w:t>
      </w:r>
      <w:r>
        <w:rPr>
          <w:rFonts w:eastAsia="TimesNewRomanPSMT"/>
          <w:color w:val="auto"/>
          <w:highlight w:val="none"/>
        </w:rPr>
        <w:t>3.3-4</w:t>
      </w:r>
      <w:r>
        <w:rPr>
          <w:color w:val="auto"/>
          <w:highlight w:val="none"/>
        </w:rPr>
        <w:t>，图</w:t>
      </w:r>
      <w:r>
        <w:rPr>
          <w:rFonts w:eastAsia="TimesNewRomanPSMT"/>
          <w:color w:val="auto"/>
          <w:highlight w:val="none"/>
        </w:rPr>
        <w:t>3.3-5</w:t>
      </w:r>
      <w:r>
        <w:rPr>
          <w:color w:val="auto"/>
          <w:highlight w:val="none"/>
        </w:rPr>
        <w:t>）。</w:t>
      </w:r>
    </w:p>
    <w:p w14:paraId="6F3A5A63">
      <w:pPr>
        <w:ind w:firstLine="480"/>
        <w:rPr>
          <w:color w:val="auto"/>
          <w:highlight w:val="none"/>
        </w:rPr>
      </w:pPr>
      <w:r>
        <w:rPr>
          <w:color w:val="auto"/>
          <w:highlight w:val="none"/>
        </w:rPr>
        <w:t>在不同小群的个体年龄组成有所不同，</w:t>
      </w:r>
      <w:r>
        <w:rPr>
          <w:rFonts w:eastAsia="TimesNewRomanPSMT"/>
          <w:color w:val="auto"/>
          <w:highlight w:val="none"/>
        </w:rPr>
        <w:t xml:space="preserve">G1 </w:t>
      </w:r>
      <w:r>
        <w:rPr>
          <w:color w:val="auto"/>
          <w:highlight w:val="none"/>
        </w:rPr>
        <w:t>当中包括</w:t>
      </w:r>
      <w:r>
        <w:rPr>
          <w:rFonts w:eastAsia="TimesNewRomanPSMT"/>
          <w:color w:val="auto"/>
          <w:highlight w:val="none"/>
        </w:rPr>
        <w:t>2</w:t>
      </w:r>
      <w:r>
        <w:rPr>
          <w:color w:val="auto"/>
          <w:highlight w:val="none"/>
        </w:rPr>
        <w:t>幼崽和</w:t>
      </w:r>
      <w:r>
        <w:rPr>
          <w:rFonts w:eastAsia="TimesNewRomanPSMT"/>
          <w:color w:val="auto"/>
          <w:highlight w:val="none"/>
        </w:rPr>
        <w:t>2</w:t>
      </w:r>
      <w:r>
        <w:rPr>
          <w:color w:val="auto"/>
          <w:highlight w:val="none"/>
        </w:rPr>
        <w:t>成年个体；</w:t>
      </w:r>
      <w:r>
        <w:rPr>
          <w:rFonts w:eastAsia="TimesNewRomanPSMT"/>
          <w:color w:val="auto"/>
          <w:highlight w:val="none"/>
        </w:rPr>
        <w:t>G2</w:t>
      </w:r>
      <w:r>
        <w:rPr>
          <w:color w:val="auto"/>
          <w:highlight w:val="none"/>
        </w:rPr>
        <w:t>只包含</w:t>
      </w:r>
      <w:r>
        <w:rPr>
          <w:rFonts w:eastAsia="TimesNewRomanPSMT"/>
          <w:color w:val="auto"/>
          <w:highlight w:val="none"/>
        </w:rPr>
        <w:t xml:space="preserve">3 </w:t>
      </w:r>
      <w:r>
        <w:rPr>
          <w:color w:val="auto"/>
          <w:highlight w:val="none"/>
        </w:rPr>
        <w:t>青年和</w:t>
      </w:r>
      <w:r>
        <w:rPr>
          <w:rFonts w:eastAsia="TimesNewRomanPSMT"/>
          <w:color w:val="auto"/>
          <w:highlight w:val="none"/>
        </w:rPr>
        <w:t>3</w:t>
      </w:r>
      <w:r>
        <w:rPr>
          <w:color w:val="auto"/>
          <w:highlight w:val="none"/>
        </w:rPr>
        <w:t>个成体个体；</w:t>
      </w:r>
      <w:r>
        <w:rPr>
          <w:rFonts w:eastAsia="TimesNewRomanPSMT"/>
          <w:color w:val="auto"/>
          <w:highlight w:val="none"/>
        </w:rPr>
        <w:t>G3</w:t>
      </w:r>
      <w:r>
        <w:rPr>
          <w:color w:val="auto"/>
          <w:highlight w:val="none"/>
        </w:rPr>
        <w:t>和</w:t>
      </w:r>
      <w:r>
        <w:rPr>
          <w:rFonts w:eastAsia="TimesNewRomanPSMT"/>
          <w:color w:val="auto"/>
          <w:highlight w:val="none"/>
        </w:rPr>
        <w:t>G4</w:t>
      </w:r>
      <w:r>
        <w:rPr>
          <w:color w:val="auto"/>
          <w:highlight w:val="none"/>
        </w:rPr>
        <w:t>具有所有年龄的个体（图</w:t>
      </w:r>
      <w:r>
        <w:rPr>
          <w:rFonts w:eastAsia="TimesNewRomanPSMT"/>
          <w:color w:val="auto"/>
          <w:highlight w:val="none"/>
        </w:rPr>
        <w:t>3.3-6</w:t>
      </w:r>
      <w:r>
        <w:rPr>
          <w:color w:val="auto"/>
          <w:highlight w:val="none"/>
        </w:rPr>
        <w:t>）。</w:t>
      </w:r>
    </w:p>
    <w:p w14:paraId="2CAA82A0">
      <w:pPr>
        <w:pStyle w:val="38"/>
        <w:spacing w:after="0" w:line="240" w:lineRule="auto"/>
        <w:ind w:firstLine="0" w:firstLineChars="0"/>
        <w:jc w:val="center"/>
        <w:rPr>
          <w:b/>
          <w:color w:val="auto"/>
          <w:sz w:val="21"/>
          <w:szCs w:val="21"/>
          <w:highlight w:val="none"/>
        </w:rPr>
      </w:pPr>
      <w:r>
        <w:rPr>
          <w:b/>
          <w:color w:val="auto"/>
          <w:sz w:val="21"/>
          <w:szCs w:val="21"/>
          <w:highlight w:val="none"/>
        </w:rPr>
        <w:drawing>
          <wp:inline distT="0" distB="0" distL="0" distR="0">
            <wp:extent cx="4886960" cy="2722880"/>
            <wp:effectExtent l="0" t="0" r="8890" b="127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02"/>
                    <a:stretch>
                      <a:fillRect/>
                    </a:stretch>
                  </pic:blipFill>
                  <pic:spPr>
                    <a:xfrm>
                      <a:off x="0" y="0"/>
                      <a:ext cx="4886960" cy="2722880"/>
                    </a:xfrm>
                    <a:prstGeom prst="rect">
                      <a:avLst/>
                    </a:prstGeom>
                  </pic:spPr>
                </pic:pic>
              </a:graphicData>
            </a:graphic>
          </wp:inline>
        </w:drawing>
      </w:r>
    </w:p>
    <w:p w14:paraId="2461F4F1">
      <w:pPr>
        <w:pStyle w:val="38"/>
        <w:spacing w:after="0" w:line="240" w:lineRule="auto"/>
        <w:ind w:firstLine="0" w:firstLineChars="0"/>
        <w:jc w:val="center"/>
        <w:rPr>
          <w:b/>
          <w:color w:val="auto"/>
          <w:sz w:val="21"/>
          <w:szCs w:val="21"/>
          <w:highlight w:val="none"/>
        </w:rPr>
      </w:pPr>
      <w:r>
        <w:rPr>
          <w:b/>
          <w:color w:val="auto"/>
          <w:sz w:val="21"/>
          <w:szCs w:val="21"/>
          <w:highlight w:val="none"/>
        </w:rPr>
        <w:t>图3.3-2 大风江-南流江中华白海豚不同年龄段个体组成</w:t>
      </w:r>
    </w:p>
    <w:p w14:paraId="5CFE7999">
      <w:pPr>
        <w:pStyle w:val="38"/>
        <w:spacing w:after="0" w:line="240" w:lineRule="auto"/>
        <w:ind w:firstLine="0" w:firstLineChars="0"/>
        <w:jc w:val="center"/>
        <w:rPr>
          <w:b/>
          <w:color w:val="auto"/>
          <w:sz w:val="21"/>
          <w:szCs w:val="21"/>
          <w:highlight w:val="none"/>
        </w:rPr>
      </w:pPr>
    </w:p>
    <w:p w14:paraId="298BB754">
      <w:pPr>
        <w:pStyle w:val="38"/>
        <w:spacing w:after="0" w:line="240" w:lineRule="auto"/>
        <w:ind w:firstLine="0" w:firstLineChars="0"/>
        <w:jc w:val="center"/>
        <w:rPr>
          <w:b/>
          <w:color w:val="auto"/>
          <w:sz w:val="21"/>
          <w:szCs w:val="21"/>
          <w:highlight w:val="none"/>
        </w:rPr>
      </w:pPr>
      <w:r>
        <w:rPr>
          <w:b/>
          <w:color w:val="auto"/>
          <w:sz w:val="21"/>
          <w:szCs w:val="21"/>
          <w:highlight w:val="none"/>
        </w:rPr>
        <w:drawing>
          <wp:inline distT="0" distB="0" distL="0" distR="0">
            <wp:extent cx="5313045" cy="4305300"/>
            <wp:effectExtent l="0" t="0" r="190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03"/>
                    <a:stretch>
                      <a:fillRect/>
                    </a:stretch>
                  </pic:blipFill>
                  <pic:spPr>
                    <a:xfrm>
                      <a:off x="0" y="0"/>
                      <a:ext cx="5329757" cy="4318455"/>
                    </a:xfrm>
                    <a:prstGeom prst="rect">
                      <a:avLst/>
                    </a:prstGeom>
                  </pic:spPr>
                </pic:pic>
              </a:graphicData>
            </a:graphic>
          </wp:inline>
        </w:drawing>
      </w:r>
    </w:p>
    <w:p w14:paraId="7004D5B3">
      <w:pPr>
        <w:pStyle w:val="38"/>
        <w:spacing w:after="0" w:line="240" w:lineRule="auto"/>
        <w:ind w:firstLine="0" w:firstLineChars="0"/>
        <w:jc w:val="center"/>
        <w:rPr>
          <w:b/>
          <w:color w:val="auto"/>
          <w:sz w:val="21"/>
          <w:szCs w:val="21"/>
          <w:highlight w:val="none"/>
        </w:rPr>
      </w:pPr>
      <w:r>
        <w:rPr>
          <w:b/>
          <w:color w:val="auto"/>
          <w:sz w:val="21"/>
          <w:szCs w:val="21"/>
          <w:highlight w:val="none"/>
        </w:rPr>
        <w:t>图3.3-3 大风江-南流江中华白海豚联系度频次图（左上，所有联系度；右上，个体最大联系度；左下，个体平均联系度；右下，每头个体与</w:t>
      </w:r>
      <w:r>
        <w:rPr>
          <w:rFonts w:hint="eastAsia"/>
          <w:b/>
          <w:color w:val="auto"/>
          <w:sz w:val="21"/>
          <w:szCs w:val="21"/>
          <w:highlight w:val="none"/>
          <w:lang w:eastAsia="zh-CN"/>
        </w:rPr>
        <w:t>其他</w:t>
      </w:r>
      <w:r>
        <w:rPr>
          <w:b/>
          <w:color w:val="auto"/>
          <w:sz w:val="21"/>
          <w:szCs w:val="21"/>
          <w:highlight w:val="none"/>
        </w:rPr>
        <w:t>个体联系度总和）</w:t>
      </w:r>
    </w:p>
    <w:p w14:paraId="0487191C">
      <w:pPr>
        <w:pStyle w:val="38"/>
        <w:spacing w:after="0" w:line="240" w:lineRule="auto"/>
        <w:ind w:firstLine="0" w:firstLineChars="0"/>
        <w:jc w:val="center"/>
        <w:rPr>
          <w:b/>
          <w:color w:val="auto"/>
          <w:sz w:val="21"/>
          <w:szCs w:val="21"/>
          <w:highlight w:val="none"/>
        </w:rPr>
      </w:pPr>
      <w:r>
        <w:rPr>
          <w:b/>
          <w:color w:val="auto"/>
          <w:sz w:val="21"/>
          <w:szCs w:val="21"/>
          <w:highlight w:val="none"/>
        </w:rPr>
        <w:drawing>
          <wp:inline distT="0" distB="0" distL="0" distR="0">
            <wp:extent cx="5454650" cy="3307080"/>
            <wp:effectExtent l="0" t="0" r="12700" b="762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04"/>
                    <a:stretch>
                      <a:fillRect/>
                    </a:stretch>
                  </pic:blipFill>
                  <pic:spPr>
                    <a:xfrm>
                      <a:off x="0" y="0"/>
                      <a:ext cx="5513686" cy="3342861"/>
                    </a:xfrm>
                    <a:prstGeom prst="rect">
                      <a:avLst/>
                    </a:prstGeom>
                  </pic:spPr>
                </pic:pic>
              </a:graphicData>
            </a:graphic>
          </wp:inline>
        </w:drawing>
      </w:r>
    </w:p>
    <w:p w14:paraId="4DDAFBFF">
      <w:pPr>
        <w:pStyle w:val="38"/>
        <w:spacing w:after="0" w:line="240" w:lineRule="auto"/>
        <w:ind w:firstLine="0" w:firstLineChars="0"/>
        <w:jc w:val="center"/>
        <w:rPr>
          <w:b/>
          <w:color w:val="auto"/>
          <w:sz w:val="21"/>
          <w:szCs w:val="21"/>
          <w:highlight w:val="none"/>
        </w:rPr>
      </w:pPr>
      <w:r>
        <w:rPr>
          <w:b/>
          <w:color w:val="auto"/>
          <w:sz w:val="21"/>
          <w:szCs w:val="21"/>
          <w:highlight w:val="none"/>
        </w:rPr>
        <w:t>图3.3-4大风江-南流江中华白海豚社群结构图</w:t>
      </w:r>
    </w:p>
    <w:p w14:paraId="650241A6">
      <w:pPr>
        <w:pStyle w:val="38"/>
        <w:spacing w:after="0" w:line="240" w:lineRule="auto"/>
        <w:ind w:firstLine="0" w:firstLineChars="0"/>
        <w:jc w:val="center"/>
        <w:rPr>
          <w:b/>
          <w:color w:val="auto"/>
          <w:sz w:val="21"/>
          <w:szCs w:val="21"/>
          <w:highlight w:val="none"/>
        </w:rPr>
      </w:pPr>
    </w:p>
    <w:p w14:paraId="229D593E">
      <w:pPr>
        <w:pStyle w:val="38"/>
        <w:spacing w:after="0" w:line="240" w:lineRule="auto"/>
        <w:ind w:firstLine="0" w:firstLineChars="0"/>
        <w:jc w:val="center"/>
        <w:rPr>
          <w:b/>
          <w:color w:val="auto"/>
          <w:sz w:val="21"/>
          <w:szCs w:val="21"/>
          <w:highlight w:val="none"/>
        </w:rPr>
      </w:pPr>
      <w:r>
        <w:rPr>
          <w:b/>
          <w:color w:val="auto"/>
          <w:sz w:val="21"/>
          <w:szCs w:val="21"/>
          <w:highlight w:val="none"/>
        </w:rPr>
        <w:drawing>
          <wp:inline distT="0" distB="0" distL="0" distR="0">
            <wp:extent cx="5380355" cy="3802380"/>
            <wp:effectExtent l="0" t="0" r="10795" b="762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05"/>
                    <a:stretch>
                      <a:fillRect/>
                    </a:stretch>
                  </pic:blipFill>
                  <pic:spPr>
                    <a:xfrm>
                      <a:off x="0" y="0"/>
                      <a:ext cx="5388792" cy="3808080"/>
                    </a:xfrm>
                    <a:prstGeom prst="rect">
                      <a:avLst/>
                    </a:prstGeom>
                  </pic:spPr>
                </pic:pic>
              </a:graphicData>
            </a:graphic>
          </wp:inline>
        </w:drawing>
      </w:r>
    </w:p>
    <w:p w14:paraId="0975747F">
      <w:pPr>
        <w:pStyle w:val="38"/>
        <w:spacing w:after="0" w:line="240" w:lineRule="auto"/>
        <w:ind w:firstLine="0" w:firstLineChars="0"/>
        <w:jc w:val="center"/>
        <w:rPr>
          <w:b/>
          <w:color w:val="auto"/>
          <w:sz w:val="21"/>
          <w:szCs w:val="21"/>
          <w:highlight w:val="none"/>
        </w:rPr>
      </w:pPr>
      <w:r>
        <w:rPr>
          <w:b/>
          <w:color w:val="auto"/>
          <w:sz w:val="21"/>
          <w:szCs w:val="21"/>
          <w:highlight w:val="none"/>
        </w:rPr>
        <w:t>图3.3-5 大风江-南流江中华白海豚网格关系图</w:t>
      </w:r>
    </w:p>
    <w:p w14:paraId="7A02DEDC">
      <w:pPr>
        <w:pStyle w:val="38"/>
        <w:spacing w:after="0" w:line="240" w:lineRule="auto"/>
        <w:ind w:firstLine="0" w:firstLineChars="0"/>
        <w:jc w:val="center"/>
        <w:rPr>
          <w:b/>
          <w:color w:val="auto"/>
          <w:sz w:val="21"/>
          <w:szCs w:val="21"/>
          <w:highlight w:val="none"/>
        </w:rPr>
      </w:pPr>
      <w:r>
        <w:rPr>
          <w:b/>
          <w:color w:val="auto"/>
          <w:sz w:val="21"/>
          <w:szCs w:val="21"/>
          <w:highlight w:val="none"/>
        </w:rPr>
        <w:drawing>
          <wp:inline distT="0" distB="0" distL="0" distR="0">
            <wp:extent cx="4786630" cy="2849880"/>
            <wp:effectExtent l="0" t="0" r="13970" b="762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06"/>
                    <a:stretch>
                      <a:fillRect/>
                    </a:stretch>
                  </pic:blipFill>
                  <pic:spPr>
                    <a:xfrm>
                      <a:off x="0" y="0"/>
                      <a:ext cx="4832451" cy="2876872"/>
                    </a:xfrm>
                    <a:prstGeom prst="rect">
                      <a:avLst/>
                    </a:prstGeom>
                  </pic:spPr>
                </pic:pic>
              </a:graphicData>
            </a:graphic>
          </wp:inline>
        </w:drawing>
      </w:r>
    </w:p>
    <w:p w14:paraId="5B2C9D00">
      <w:pPr>
        <w:pStyle w:val="38"/>
        <w:spacing w:after="0" w:line="240" w:lineRule="auto"/>
        <w:ind w:firstLine="0" w:firstLineChars="0"/>
        <w:jc w:val="center"/>
        <w:rPr>
          <w:b/>
          <w:color w:val="auto"/>
          <w:sz w:val="21"/>
          <w:szCs w:val="21"/>
          <w:highlight w:val="none"/>
        </w:rPr>
      </w:pPr>
      <w:r>
        <w:rPr>
          <w:b/>
          <w:color w:val="auto"/>
          <w:sz w:val="21"/>
          <w:szCs w:val="21"/>
          <w:highlight w:val="none"/>
        </w:rPr>
        <w:t>图3.3-6 大风江-南流江中华白海豚4 个群中不同年龄个体组成</w:t>
      </w:r>
    </w:p>
    <w:p w14:paraId="598FE53C">
      <w:pPr>
        <w:pStyle w:val="38"/>
        <w:spacing w:after="0" w:line="240" w:lineRule="auto"/>
        <w:ind w:firstLine="0" w:firstLineChars="0"/>
        <w:jc w:val="center"/>
        <w:rPr>
          <w:b/>
          <w:color w:val="auto"/>
          <w:sz w:val="21"/>
          <w:szCs w:val="21"/>
          <w:highlight w:val="none"/>
        </w:rPr>
      </w:pPr>
    </w:p>
    <w:p w14:paraId="005A1FA5">
      <w:pPr>
        <w:ind w:firstLine="480"/>
        <w:rPr>
          <w:color w:val="auto"/>
          <w:highlight w:val="none"/>
        </w:rPr>
      </w:pPr>
      <w:r>
        <w:rPr>
          <w:color w:val="auto"/>
          <w:highlight w:val="none"/>
        </w:rPr>
        <w:t>北部湾中华白海豚分成两个群体：大风江水域和沙田水域（图3.3-7），两个群体很少有交流。虽然，在中间区域内的调查努力量相对较少，还不能完全排除交流的可能性。但是，经过比对两个群体的识别个体照片，未发现相同的个体，表明两个群体间的交流很少。与30 万吨油码头位置邻近的是大风江群体（DRE）。</w:t>
      </w:r>
    </w:p>
    <w:p w14:paraId="1C7C9F30">
      <w:pPr>
        <w:ind w:firstLine="480"/>
        <w:rPr>
          <w:color w:val="auto"/>
          <w:highlight w:val="none"/>
        </w:rPr>
      </w:pPr>
      <w:r>
        <w:rPr>
          <w:color w:val="auto"/>
          <w:highlight w:val="none"/>
        </w:rPr>
        <w:t>白海豚分布与洄游区位于项目东南面，距项目约9.6km。</w:t>
      </w:r>
    </w:p>
    <w:p w14:paraId="73F3A849">
      <w:pPr>
        <w:pStyle w:val="38"/>
        <w:spacing w:after="0" w:line="240" w:lineRule="auto"/>
        <w:ind w:firstLine="0" w:firstLineChars="0"/>
        <w:jc w:val="center"/>
        <w:rPr>
          <w:b/>
          <w:color w:val="auto"/>
          <w:sz w:val="21"/>
          <w:szCs w:val="21"/>
          <w:highlight w:val="none"/>
        </w:rPr>
      </w:pPr>
      <w:r>
        <w:rPr>
          <w:b/>
          <w:color w:val="auto"/>
          <w:sz w:val="21"/>
          <w:szCs w:val="21"/>
          <w:highlight w:val="none"/>
        </w:rPr>
        <w:drawing>
          <wp:inline distT="0" distB="0" distL="0" distR="0">
            <wp:extent cx="4622800" cy="3611880"/>
            <wp:effectExtent l="0" t="0" r="6350" b="762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07"/>
                    <a:stretch>
                      <a:fillRect/>
                    </a:stretch>
                  </pic:blipFill>
                  <pic:spPr>
                    <a:xfrm>
                      <a:off x="0" y="0"/>
                      <a:ext cx="4646239" cy="3629906"/>
                    </a:xfrm>
                    <a:prstGeom prst="rect">
                      <a:avLst/>
                    </a:prstGeom>
                  </pic:spPr>
                </pic:pic>
              </a:graphicData>
            </a:graphic>
          </wp:inline>
        </w:drawing>
      </w:r>
    </w:p>
    <w:p w14:paraId="658BFB6B">
      <w:pPr>
        <w:pStyle w:val="38"/>
        <w:spacing w:after="0" w:line="240" w:lineRule="auto"/>
        <w:ind w:firstLine="0" w:firstLineChars="0"/>
        <w:jc w:val="center"/>
        <w:rPr>
          <w:b/>
          <w:color w:val="auto"/>
          <w:sz w:val="21"/>
          <w:szCs w:val="21"/>
          <w:highlight w:val="none"/>
        </w:rPr>
      </w:pPr>
      <w:r>
        <w:rPr>
          <w:b/>
          <w:color w:val="auto"/>
          <w:sz w:val="21"/>
          <w:szCs w:val="21"/>
          <w:highlight w:val="none"/>
        </w:rPr>
        <w:t>图3.3-7  2011~2014年北部湾中华白海豚的分布（DRE 大风江群体，SC 沙田群体）</w:t>
      </w:r>
    </w:p>
    <w:p w14:paraId="46391E4C">
      <w:pPr>
        <w:pStyle w:val="7"/>
        <w:numPr>
          <w:ilvl w:val="2"/>
          <w:numId w:val="9"/>
        </w:numPr>
        <w:rPr>
          <w:color w:val="auto"/>
          <w:sz w:val="28"/>
          <w:highlight w:val="none"/>
        </w:rPr>
      </w:pPr>
      <w:r>
        <w:rPr>
          <w:color w:val="auto"/>
          <w:sz w:val="28"/>
          <w:highlight w:val="none"/>
        </w:rPr>
        <w:t>三娘湾海洋保护区（公园）</w:t>
      </w:r>
    </w:p>
    <w:p w14:paraId="184C2F11">
      <w:pPr>
        <w:ind w:firstLine="480"/>
        <w:rPr>
          <w:color w:val="auto"/>
          <w:highlight w:val="none"/>
        </w:rPr>
      </w:pPr>
      <w:r>
        <w:rPr>
          <w:color w:val="auto"/>
          <w:highlight w:val="none"/>
        </w:rPr>
        <w:t>位于三娘湾海岸，面积1030公顷，岸段长度4672米。海洋特别保护区用海，用于三娘湾国家海洋公园建设</w:t>
      </w:r>
      <w:r>
        <w:rPr>
          <w:rFonts w:hint="eastAsia"/>
          <w:color w:val="auto"/>
          <w:highlight w:val="none"/>
          <w:lang w:eastAsia="zh-CN"/>
        </w:rPr>
        <w:t>；</w:t>
      </w:r>
      <w:r>
        <w:rPr>
          <w:color w:val="auto"/>
          <w:highlight w:val="none"/>
        </w:rPr>
        <w:t>兼顾旅游娱乐功能。生态保护重点目标为对中华白海豚及其海洋环境的保护。三娘湾海洋保护区位于项目东面，距项目约7.3km。</w:t>
      </w:r>
    </w:p>
    <w:p w14:paraId="3DB65067">
      <w:pPr>
        <w:pStyle w:val="7"/>
        <w:numPr>
          <w:ilvl w:val="2"/>
          <w:numId w:val="9"/>
        </w:numPr>
        <w:rPr>
          <w:color w:val="auto"/>
          <w:sz w:val="28"/>
          <w:highlight w:val="none"/>
        </w:rPr>
      </w:pPr>
      <w:r>
        <w:rPr>
          <w:color w:val="auto"/>
          <w:sz w:val="28"/>
          <w:highlight w:val="none"/>
        </w:rPr>
        <w:t xml:space="preserve"> 三娘湾旅游休闲娱乐区</w:t>
      </w:r>
    </w:p>
    <w:p w14:paraId="16376639">
      <w:pPr>
        <w:ind w:firstLine="480"/>
        <w:rPr>
          <w:color w:val="auto"/>
          <w:highlight w:val="none"/>
        </w:rPr>
      </w:pPr>
      <w:r>
        <w:rPr>
          <w:color w:val="auto"/>
          <w:highlight w:val="none"/>
        </w:rPr>
        <w:t>位于钦州市钦南区三娘湾沿岸海域，面积2495公顷，岸段长度13560米。重点发展海滨度假、休闲游憩、建设度假酒店、高档滨海浴场、开辟白海豚驯养、海底潜水观光等参与性项目。生态保护重点目标为保持沿岸重要自然景观和人文景观的完整性和原生性。三娘湾海洋保护区位于项目东北面，距项目约4.5km。</w:t>
      </w:r>
    </w:p>
    <w:p w14:paraId="66595446">
      <w:pPr>
        <w:pStyle w:val="7"/>
        <w:numPr>
          <w:ilvl w:val="2"/>
          <w:numId w:val="9"/>
        </w:numPr>
        <w:rPr>
          <w:color w:val="auto"/>
          <w:sz w:val="28"/>
          <w:highlight w:val="none"/>
        </w:rPr>
      </w:pPr>
      <w:r>
        <w:rPr>
          <w:color w:val="auto"/>
          <w:sz w:val="28"/>
          <w:highlight w:val="none"/>
        </w:rPr>
        <w:t>钦州茅尾海国家级海洋公园</w:t>
      </w:r>
    </w:p>
    <w:p w14:paraId="0C02EAC8">
      <w:pPr>
        <w:ind w:firstLine="480"/>
        <w:rPr>
          <w:color w:val="auto"/>
          <w:highlight w:val="none"/>
        </w:rPr>
      </w:pPr>
      <w:bookmarkStart w:id="143" w:name="_Hlk87286096"/>
      <w:r>
        <w:rPr>
          <w:color w:val="auto"/>
          <w:highlight w:val="none"/>
        </w:rPr>
        <w:t>钦州茅尾海国家级海洋公园</w:t>
      </w:r>
      <w:bookmarkEnd w:id="143"/>
      <w:r>
        <w:rPr>
          <w:color w:val="auto"/>
          <w:highlight w:val="none"/>
        </w:rPr>
        <w:t>位于广西钦州市茅尾海海域，总面积3482.7公顷，边界长25.0千米，边界南连七十二泾群岛，西临茅岭江航道，北连广西茅尾海红树林自然保护区，东接沙井岛航道。广西钦州茅尾海国家级海洋公园划分为三个功能分区，分别是重点保护区、生态与资源恢复区和适度利用区。重点保护区面积为578.7公顷，严格保护红树林、盐沼生态系统及其海洋环境，控制陆源污染和人为干扰，维持典型海洋生态系统的生物多样性、保护典型海洋生态系统的生命过程与生态功能，为典型海洋生态系统的恢复与修复提供自然模式与种源；适度利用区面积为2183.0公顷，在不破坏或较少影响海洋生态环境的前提下，开展海上观光旅游、休闲渔业、海上运动和渔业资源养殖增殖等，无公害、环境友好地利用和管理海洋资源与环境，促进生态环境与经济的和谐发展；生态与资源恢复区面积为721.0公顷，为典型海域生态系统的自然扩展和人工恢复与修复提供适合的生境空间，修复和恢复物种多样性与天然景观，保护近江牡蛎天然母贝生境。钦州茅尾海国家级海洋公园位于本工程西北面约28km。</w:t>
      </w:r>
    </w:p>
    <w:p w14:paraId="66F5BCF7">
      <w:pPr>
        <w:pStyle w:val="7"/>
        <w:numPr>
          <w:ilvl w:val="2"/>
          <w:numId w:val="9"/>
        </w:numPr>
        <w:rPr>
          <w:color w:val="auto"/>
          <w:sz w:val="28"/>
          <w:highlight w:val="none"/>
        </w:rPr>
      </w:pPr>
      <w:r>
        <w:rPr>
          <w:color w:val="auto"/>
          <w:sz w:val="28"/>
          <w:highlight w:val="none"/>
        </w:rPr>
        <w:t>金鼓江红树林分布区</w:t>
      </w:r>
    </w:p>
    <w:p w14:paraId="7C5F466A">
      <w:pPr>
        <w:ind w:firstLine="480"/>
        <w:rPr>
          <w:color w:val="auto"/>
          <w:highlight w:val="none"/>
        </w:rPr>
      </w:pPr>
      <w:r>
        <w:rPr>
          <w:color w:val="auto"/>
          <w:highlight w:val="none"/>
        </w:rPr>
        <w:t>根据调查，项目北面金鼓江两岸区域有少量红树林分布，</w:t>
      </w:r>
      <w:r>
        <w:rPr>
          <w:bCs/>
          <w:color w:val="auto"/>
          <w:spacing w:val="10"/>
          <w:highlight w:val="none"/>
        </w:rPr>
        <w:t>不在自然保护区范围，属红树林小区，主要分布于矮江村周边，面积约20</w:t>
      </w:r>
      <w:r>
        <w:rPr>
          <w:color w:val="auto"/>
          <w:highlight w:val="none"/>
        </w:rPr>
        <w:t>hm</w:t>
      </w:r>
      <w:r>
        <w:rPr>
          <w:color w:val="auto"/>
          <w:highlight w:val="none"/>
          <w:vertAlign w:val="superscript"/>
        </w:rPr>
        <w:t>2</w:t>
      </w:r>
      <w:r>
        <w:rPr>
          <w:bCs/>
          <w:color w:val="auto"/>
          <w:spacing w:val="10"/>
          <w:highlight w:val="none"/>
        </w:rPr>
        <w:t>，该区域</w:t>
      </w:r>
      <w:r>
        <w:rPr>
          <w:color w:val="auto"/>
          <w:highlight w:val="none"/>
        </w:rPr>
        <w:t>红树林种类较少，评价范围内涉及的红树林种类主要有白骨壤和红海榄2种，群落类型包括白骨壤群落、红海榄-白骨壤群落。红树单优群落的特征如下：</w:t>
      </w:r>
    </w:p>
    <w:p w14:paraId="6E1D45EB">
      <w:pPr>
        <w:ind w:firstLine="480"/>
        <w:rPr>
          <w:color w:val="auto"/>
          <w:highlight w:val="none"/>
        </w:rPr>
      </w:pPr>
      <w:r>
        <w:rPr>
          <w:color w:val="auto"/>
          <w:highlight w:val="none"/>
        </w:rPr>
        <w:t>白骨壤群落：天然分布于低潮线附近到中内滩，外貌银灰色，高度约0.8～1.5m，是红树林的先锋群落。</w:t>
      </w:r>
    </w:p>
    <w:p w14:paraId="74103A7C">
      <w:pPr>
        <w:ind w:firstLine="480"/>
        <w:jc w:val="left"/>
        <w:rPr>
          <w:color w:val="auto"/>
          <w:highlight w:val="none"/>
        </w:rPr>
      </w:pPr>
      <w:r>
        <w:rPr>
          <w:color w:val="auto"/>
          <w:highlight w:val="none"/>
        </w:rPr>
        <w:t>桐花树群落：以海滩外缘或海湾河口汇合处为多，外貌黄绿色，高度1.2m 左右，常因遭受砍伐而多呈丛生状，天然下种更新能力强。</w:t>
      </w:r>
    </w:p>
    <w:p w14:paraId="160622FF">
      <w:pPr>
        <w:ind w:firstLine="480"/>
        <w:rPr>
          <w:color w:val="auto"/>
          <w:highlight w:val="none"/>
          <w:u w:val="single"/>
        </w:rPr>
      </w:pPr>
      <w:r>
        <w:rPr>
          <w:color w:val="auto"/>
          <w:highlight w:val="none"/>
          <w:u w:val="single"/>
        </w:rPr>
        <w:t>金鼓江红树林分布区位于本工程</w:t>
      </w:r>
      <w:r>
        <w:rPr>
          <w:rFonts w:hint="eastAsia"/>
          <w:color w:val="auto"/>
          <w:highlight w:val="none"/>
          <w:u w:val="single"/>
        </w:rPr>
        <w:t>西</w:t>
      </w:r>
      <w:r>
        <w:rPr>
          <w:color w:val="auto"/>
          <w:highlight w:val="none"/>
          <w:u w:val="single"/>
        </w:rPr>
        <w:t>北面</w:t>
      </w:r>
      <w:r>
        <w:rPr>
          <w:rFonts w:hint="eastAsia"/>
          <w:color w:val="auto"/>
          <w:highlight w:val="none"/>
          <w:u w:val="single"/>
        </w:rPr>
        <w:t>，其中淡水湾旁红树林距离项目最近，</w:t>
      </w:r>
      <w:r>
        <w:rPr>
          <w:color w:val="auto"/>
          <w:highlight w:val="none"/>
          <w:u w:val="single"/>
        </w:rPr>
        <w:t>约15km。</w:t>
      </w:r>
    </w:p>
    <w:p w14:paraId="052C2BCC">
      <w:pPr>
        <w:ind w:firstLine="480"/>
        <w:jc w:val="left"/>
        <w:rPr>
          <w:color w:val="auto"/>
          <w:highlight w:val="none"/>
        </w:rPr>
      </w:pPr>
      <w:r>
        <w:rPr>
          <w:color w:val="auto"/>
          <w:highlight w:val="none"/>
          <w:u w:val="single"/>
        </w:rPr>
        <w:t>项目与周边环境敏感区位置关系见图3.3-8，根据项目与周边环境敏感区位置关系分析，评价范围内的环境敏感区主要有三娘湾旅游休闲娱乐区、钦州港青菜头南浅海滩涂养殖区</w:t>
      </w:r>
      <w:r>
        <w:rPr>
          <w:color w:val="auto"/>
          <w:highlight w:val="none"/>
        </w:rPr>
        <w:t>。</w:t>
      </w:r>
    </w:p>
    <w:p w14:paraId="0A98E21E">
      <w:pPr>
        <w:pStyle w:val="38"/>
        <w:spacing w:after="0" w:line="240" w:lineRule="auto"/>
        <w:ind w:firstLine="0" w:firstLineChars="0"/>
        <w:jc w:val="center"/>
        <w:rPr>
          <w:b/>
          <w:color w:val="auto"/>
          <w:sz w:val="21"/>
          <w:szCs w:val="21"/>
          <w:highlight w:val="none"/>
        </w:rPr>
      </w:pPr>
      <w:r>
        <w:rPr>
          <w:b/>
          <w:color w:val="auto"/>
          <w:sz w:val="21"/>
          <w:szCs w:val="21"/>
          <w:highlight w:val="none"/>
        </w:rPr>
        <w:drawing>
          <wp:inline distT="0" distB="0" distL="0" distR="0">
            <wp:extent cx="5759450" cy="8147685"/>
            <wp:effectExtent l="0" t="0" r="12700" b="571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5759450" cy="8147685"/>
                    </a:xfrm>
                    <a:prstGeom prst="rect">
                      <a:avLst/>
                    </a:prstGeom>
                    <a:noFill/>
                    <a:ln>
                      <a:noFill/>
                    </a:ln>
                  </pic:spPr>
                </pic:pic>
              </a:graphicData>
            </a:graphic>
          </wp:inline>
        </w:drawing>
      </w:r>
    </w:p>
    <w:p w14:paraId="2627446F">
      <w:pPr>
        <w:pStyle w:val="38"/>
        <w:spacing w:after="0" w:line="240" w:lineRule="auto"/>
        <w:ind w:firstLine="0" w:firstLineChars="0"/>
        <w:jc w:val="center"/>
        <w:rPr>
          <w:b/>
          <w:color w:val="auto"/>
          <w:sz w:val="21"/>
          <w:szCs w:val="21"/>
          <w:highlight w:val="none"/>
        </w:rPr>
      </w:pPr>
      <w:r>
        <w:rPr>
          <w:b/>
          <w:color w:val="auto"/>
          <w:sz w:val="21"/>
          <w:szCs w:val="21"/>
          <w:highlight w:val="none"/>
        </w:rPr>
        <w:t>图3.3-8  项目与周边环境敏感区位置关系图</w:t>
      </w:r>
    </w:p>
    <w:p w14:paraId="4B791E41">
      <w:pPr>
        <w:ind w:firstLine="480"/>
        <w:rPr>
          <w:color w:val="auto"/>
          <w:highlight w:val="none"/>
        </w:rPr>
      </w:pPr>
    </w:p>
    <w:p w14:paraId="008A8BD8">
      <w:pPr>
        <w:pStyle w:val="6"/>
        <w:numPr>
          <w:ilvl w:val="1"/>
          <w:numId w:val="9"/>
        </w:numPr>
        <w:rPr>
          <w:color w:val="auto"/>
          <w:sz w:val="32"/>
          <w:szCs w:val="32"/>
          <w:highlight w:val="none"/>
        </w:rPr>
      </w:pPr>
      <w:bookmarkStart w:id="144" w:name="_Toc11319"/>
      <w:bookmarkStart w:id="145" w:name="_Toc18208"/>
      <w:bookmarkStart w:id="146" w:name="_Toc475975362"/>
      <w:r>
        <w:rPr>
          <w:color w:val="auto"/>
          <w:sz w:val="32"/>
          <w:szCs w:val="32"/>
          <w:highlight w:val="none"/>
        </w:rPr>
        <w:t>环境质量现状调查与评价</w:t>
      </w:r>
      <w:bookmarkEnd w:id="141"/>
      <w:bookmarkEnd w:id="142"/>
      <w:bookmarkEnd w:id="144"/>
      <w:bookmarkEnd w:id="145"/>
      <w:bookmarkEnd w:id="146"/>
    </w:p>
    <w:p w14:paraId="5E2383FB">
      <w:pPr>
        <w:pStyle w:val="7"/>
        <w:numPr>
          <w:ilvl w:val="2"/>
          <w:numId w:val="9"/>
        </w:numPr>
        <w:rPr>
          <w:color w:val="auto"/>
          <w:sz w:val="28"/>
          <w:highlight w:val="none"/>
        </w:rPr>
      </w:pPr>
      <w:r>
        <w:rPr>
          <w:color w:val="auto"/>
          <w:sz w:val="28"/>
          <w:highlight w:val="none"/>
        </w:rPr>
        <w:t>环境空气质量现状调查与评价</w:t>
      </w:r>
    </w:p>
    <w:p w14:paraId="138B1BF7">
      <w:pPr>
        <w:pStyle w:val="533"/>
        <w:numPr>
          <w:ilvl w:val="3"/>
          <w:numId w:val="9"/>
        </w:numPr>
        <w:rPr>
          <w:color w:val="auto"/>
          <w:szCs w:val="24"/>
          <w:highlight w:val="none"/>
        </w:rPr>
      </w:pPr>
      <w:r>
        <w:rPr>
          <w:color w:val="auto"/>
          <w:szCs w:val="24"/>
          <w:highlight w:val="none"/>
        </w:rPr>
        <w:t>达标区判定及基本污染物环境质量现状</w:t>
      </w:r>
    </w:p>
    <w:p w14:paraId="5ABC8142">
      <w:pPr>
        <w:widowControl/>
        <w:ind w:firstLine="480"/>
        <w:jc w:val="left"/>
        <w:rPr>
          <w:color w:val="auto"/>
          <w:highlight w:val="none"/>
        </w:rPr>
      </w:pPr>
      <w:r>
        <w:rPr>
          <w:color w:val="auto"/>
          <w:highlight w:val="none"/>
        </w:rPr>
        <w:t>根据《自治区生态环境厅关于通报2024年设区城市及各县（市、区）环境空气质量的函》（桂环函〔2025〕66号），2024年钦州市二氧化硫、二氧化氮、可吸入颗粒物（PM</w:t>
      </w:r>
      <w:r>
        <w:rPr>
          <w:color w:val="auto"/>
          <w:highlight w:val="none"/>
          <w:vertAlign w:val="subscript"/>
        </w:rPr>
        <w:t>10</w:t>
      </w:r>
      <w:r>
        <w:rPr>
          <w:color w:val="auto"/>
          <w:highlight w:val="none"/>
        </w:rPr>
        <w:t>）、细颗粒物（PM</w:t>
      </w:r>
      <w:r>
        <w:rPr>
          <w:color w:val="auto"/>
          <w:highlight w:val="none"/>
          <w:vertAlign w:val="subscript"/>
        </w:rPr>
        <w:t>2.5</w:t>
      </w:r>
      <w:r>
        <w:rPr>
          <w:color w:val="auto"/>
          <w:highlight w:val="none"/>
        </w:rPr>
        <w:t>）、一氧化碳、臭氧浓度年评价指标均符合《环境空气质量标准》（GB3095-2026）</w:t>
      </w:r>
      <w:r>
        <w:rPr>
          <w:rFonts w:hint="eastAsia"/>
          <w:color w:val="auto"/>
          <w:highlight w:val="none"/>
        </w:rPr>
        <w:t>过渡阶段</w:t>
      </w:r>
      <w:r>
        <w:rPr>
          <w:color w:val="auto"/>
          <w:highlight w:val="none"/>
        </w:rPr>
        <w:t>二级标准，项目所在区域属于达标区。</w:t>
      </w:r>
      <w:r>
        <w:rPr>
          <w:color w:val="auto"/>
          <w:highlight w:val="none"/>
          <w:lang w:bidi="ar"/>
        </w:rPr>
        <w:t xml:space="preserve"> </w:t>
      </w:r>
    </w:p>
    <w:p w14:paraId="0CB7B977">
      <w:pPr>
        <w:pStyle w:val="38"/>
        <w:spacing w:after="0" w:line="240" w:lineRule="auto"/>
        <w:ind w:firstLine="0" w:firstLineChars="0"/>
        <w:jc w:val="center"/>
        <w:rPr>
          <w:b/>
          <w:color w:val="auto"/>
          <w:sz w:val="21"/>
          <w:szCs w:val="21"/>
          <w:highlight w:val="none"/>
        </w:rPr>
      </w:pPr>
      <w:r>
        <w:rPr>
          <w:b/>
          <w:color w:val="auto"/>
          <w:sz w:val="21"/>
          <w:szCs w:val="21"/>
          <w:highlight w:val="none"/>
        </w:rPr>
        <w:t>表3.4-1 区域空气质量现状评价表</w:t>
      </w:r>
    </w:p>
    <w:tbl>
      <w:tblPr>
        <w:tblStyle w:val="1557"/>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70"/>
        <w:gridCol w:w="3293"/>
        <w:gridCol w:w="1417"/>
        <w:gridCol w:w="1515"/>
        <w:gridCol w:w="1109"/>
        <w:gridCol w:w="882"/>
      </w:tblGrid>
      <w:tr w14:paraId="689353D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tblHeader/>
        </w:trPr>
        <w:tc>
          <w:tcPr>
            <w:tcW w:w="576" w:type="pct"/>
            <w:vAlign w:val="center"/>
          </w:tcPr>
          <w:p w14:paraId="7F52C0B3">
            <w:pPr>
              <w:widowControl/>
              <w:spacing w:line="240" w:lineRule="auto"/>
              <w:ind w:firstLine="0" w:firstLineChars="0"/>
              <w:jc w:val="center"/>
              <w:rPr>
                <w:b/>
                <w:bCs/>
                <w:color w:val="auto"/>
                <w:sz w:val="21"/>
                <w:szCs w:val="21"/>
                <w:highlight w:val="none"/>
              </w:rPr>
            </w:pPr>
            <w:r>
              <w:rPr>
                <w:b/>
                <w:bCs/>
                <w:color w:val="auto"/>
                <w:sz w:val="21"/>
                <w:szCs w:val="21"/>
                <w:highlight w:val="none"/>
              </w:rPr>
              <w:t>污染物</w:t>
            </w:r>
          </w:p>
        </w:tc>
        <w:tc>
          <w:tcPr>
            <w:tcW w:w="1773" w:type="pct"/>
            <w:vAlign w:val="center"/>
          </w:tcPr>
          <w:p w14:paraId="24B79541">
            <w:pPr>
              <w:widowControl/>
              <w:spacing w:line="240" w:lineRule="auto"/>
              <w:ind w:firstLine="0" w:firstLineChars="0"/>
              <w:jc w:val="center"/>
              <w:rPr>
                <w:b/>
                <w:bCs/>
                <w:color w:val="auto"/>
                <w:sz w:val="21"/>
                <w:szCs w:val="21"/>
                <w:highlight w:val="none"/>
              </w:rPr>
            </w:pPr>
            <w:r>
              <w:rPr>
                <w:b/>
                <w:bCs/>
                <w:color w:val="auto"/>
                <w:sz w:val="21"/>
                <w:szCs w:val="21"/>
                <w:highlight w:val="none"/>
              </w:rPr>
              <w:t>年评价指标</w:t>
            </w:r>
          </w:p>
        </w:tc>
        <w:tc>
          <w:tcPr>
            <w:tcW w:w="763" w:type="pct"/>
            <w:vAlign w:val="center"/>
          </w:tcPr>
          <w:p w14:paraId="25A5B755">
            <w:pPr>
              <w:widowControl/>
              <w:spacing w:line="240" w:lineRule="auto"/>
              <w:ind w:firstLine="0" w:firstLineChars="0"/>
              <w:jc w:val="center"/>
              <w:rPr>
                <w:b/>
                <w:bCs/>
                <w:color w:val="auto"/>
                <w:sz w:val="21"/>
                <w:szCs w:val="21"/>
                <w:highlight w:val="none"/>
              </w:rPr>
            </w:pPr>
            <w:r>
              <w:rPr>
                <w:b/>
                <w:bCs/>
                <w:color w:val="auto"/>
                <w:sz w:val="21"/>
                <w:szCs w:val="21"/>
                <w:highlight w:val="none"/>
              </w:rPr>
              <w:t xml:space="preserve">现状浓度 </w:t>
            </w:r>
          </w:p>
          <w:p w14:paraId="31E5ACC4">
            <w:pPr>
              <w:widowControl/>
              <w:spacing w:line="240" w:lineRule="auto"/>
              <w:ind w:firstLine="0" w:firstLineChars="0"/>
              <w:jc w:val="center"/>
              <w:rPr>
                <w:b/>
                <w:bCs/>
                <w:color w:val="auto"/>
                <w:sz w:val="21"/>
                <w:szCs w:val="21"/>
                <w:highlight w:val="none"/>
              </w:rPr>
            </w:pPr>
            <w:r>
              <w:rPr>
                <w:rFonts w:hint="eastAsia"/>
                <w:b/>
                <w:bCs/>
                <w:color w:val="auto"/>
                <w:sz w:val="21"/>
                <w:szCs w:val="21"/>
                <w:highlight w:val="none"/>
                <w:lang w:eastAsia="zh-CN"/>
              </w:rPr>
              <w:t>μg/m</w:t>
            </w:r>
            <w:r>
              <w:rPr>
                <w:rFonts w:hint="eastAsia"/>
                <w:b/>
                <w:bCs/>
                <w:color w:val="auto"/>
                <w:sz w:val="21"/>
                <w:szCs w:val="21"/>
                <w:highlight w:val="none"/>
                <w:vertAlign w:val="superscript"/>
                <w:lang w:eastAsia="zh-CN"/>
              </w:rPr>
              <w:t>3</w:t>
            </w:r>
          </w:p>
        </w:tc>
        <w:tc>
          <w:tcPr>
            <w:tcW w:w="816" w:type="pct"/>
            <w:vAlign w:val="center"/>
          </w:tcPr>
          <w:p w14:paraId="7BD740CE">
            <w:pPr>
              <w:widowControl/>
              <w:spacing w:line="240" w:lineRule="auto"/>
              <w:ind w:firstLine="0" w:firstLineChars="0"/>
              <w:jc w:val="center"/>
              <w:rPr>
                <w:b/>
                <w:bCs/>
                <w:color w:val="auto"/>
                <w:sz w:val="21"/>
                <w:szCs w:val="21"/>
                <w:highlight w:val="none"/>
              </w:rPr>
            </w:pPr>
            <w:r>
              <w:rPr>
                <w:b/>
                <w:bCs/>
                <w:color w:val="auto"/>
                <w:sz w:val="21"/>
                <w:szCs w:val="21"/>
                <w:highlight w:val="none"/>
              </w:rPr>
              <w:t>标准值</w:t>
            </w:r>
          </w:p>
          <w:p w14:paraId="53219FFD">
            <w:pPr>
              <w:widowControl/>
              <w:spacing w:line="240" w:lineRule="auto"/>
              <w:ind w:firstLine="0" w:firstLineChars="0"/>
              <w:jc w:val="center"/>
              <w:rPr>
                <w:b/>
                <w:bCs/>
                <w:color w:val="auto"/>
                <w:sz w:val="21"/>
                <w:szCs w:val="21"/>
                <w:highlight w:val="none"/>
              </w:rPr>
            </w:pPr>
            <w:r>
              <w:rPr>
                <w:b/>
                <w:bCs/>
                <w:color w:val="auto"/>
                <w:sz w:val="21"/>
                <w:szCs w:val="21"/>
                <w:highlight w:val="none"/>
              </w:rPr>
              <w:t xml:space="preserve"> </w:t>
            </w:r>
            <w:r>
              <w:rPr>
                <w:rFonts w:hint="eastAsia"/>
                <w:b/>
                <w:bCs/>
                <w:color w:val="auto"/>
                <w:sz w:val="21"/>
                <w:szCs w:val="21"/>
                <w:highlight w:val="none"/>
                <w:lang w:eastAsia="zh-CN"/>
              </w:rPr>
              <w:t>μg/m</w:t>
            </w:r>
            <w:r>
              <w:rPr>
                <w:rFonts w:hint="eastAsia"/>
                <w:b/>
                <w:bCs/>
                <w:color w:val="auto"/>
                <w:sz w:val="21"/>
                <w:szCs w:val="21"/>
                <w:highlight w:val="none"/>
                <w:vertAlign w:val="superscript"/>
                <w:lang w:eastAsia="zh-CN"/>
              </w:rPr>
              <w:t>3</w:t>
            </w:r>
          </w:p>
        </w:tc>
        <w:tc>
          <w:tcPr>
            <w:tcW w:w="597" w:type="pct"/>
            <w:vAlign w:val="center"/>
          </w:tcPr>
          <w:p w14:paraId="4C037D02">
            <w:pPr>
              <w:widowControl/>
              <w:spacing w:line="240" w:lineRule="auto"/>
              <w:ind w:firstLine="0" w:firstLineChars="0"/>
              <w:jc w:val="center"/>
              <w:rPr>
                <w:b/>
                <w:bCs/>
                <w:color w:val="auto"/>
                <w:sz w:val="21"/>
                <w:szCs w:val="21"/>
                <w:highlight w:val="none"/>
              </w:rPr>
            </w:pPr>
            <w:r>
              <w:rPr>
                <w:b/>
                <w:bCs/>
                <w:color w:val="auto"/>
                <w:sz w:val="21"/>
                <w:szCs w:val="21"/>
                <w:highlight w:val="none"/>
              </w:rPr>
              <w:t>占标率%</w:t>
            </w:r>
          </w:p>
        </w:tc>
        <w:tc>
          <w:tcPr>
            <w:tcW w:w="475" w:type="pct"/>
            <w:vAlign w:val="center"/>
          </w:tcPr>
          <w:p w14:paraId="3CDF963C">
            <w:pPr>
              <w:widowControl/>
              <w:spacing w:line="240" w:lineRule="auto"/>
              <w:ind w:firstLine="0" w:firstLineChars="0"/>
              <w:jc w:val="center"/>
              <w:rPr>
                <w:b/>
                <w:bCs/>
                <w:color w:val="auto"/>
                <w:sz w:val="21"/>
                <w:szCs w:val="21"/>
                <w:highlight w:val="none"/>
              </w:rPr>
            </w:pPr>
            <w:r>
              <w:rPr>
                <w:b/>
                <w:bCs/>
                <w:color w:val="auto"/>
                <w:sz w:val="21"/>
                <w:szCs w:val="21"/>
                <w:highlight w:val="none"/>
              </w:rPr>
              <w:t>达标情况</w:t>
            </w:r>
          </w:p>
        </w:tc>
      </w:tr>
      <w:tr w14:paraId="526872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trPr>
        <w:tc>
          <w:tcPr>
            <w:tcW w:w="576" w:type="pct"/>
            <w:vAlign w:val="center"/>
          </w:tcPr>
          <w:p w14:paraId="770422FD">
            <w:pPr>
              <w:widowControl/>
              <w:spacing w:line="240" w:lineRule="auto"/>
              <w:ind w:firstLine="0" w:firstLineChars="0"/>
              <w:jc w:val="center"/>
              <w:rPr>
                <w:color w:val="auto"/>
                <w:sz w:val="21"/>
                <w:szCs w:val="21"/>
                <w:highlight w:val="none"/>
              </w:rPr>
            </w:pPr>
            <w:r>
              <w:rPr>
                <w:color w:val="auto"/>
                <w:sz w:val="21"/>
                <w:szCs w:val="21"/>
                <w:highlight w:val="none"/>
              </w:rPr>
              <w:t>SO</w:t>
            </w:r>
            <w:r>
              <w:rPr>
                <w:color w:val="auto"/>
                <w:sz w:val="21"/>
                <w:szCs w:val="21"/>
                <w:highlight w:val="none"/>
                <w:vertAlign w:val="subscript"/>
              </w:rPr>
              <w:t>2</w:t>
            </w:r>
          </w:p>
        </w:tc>
        <w:tc>
          <w:tcPr>
            <w:tcW w:w="1773" w:type="pct"/>
            <w:vAlign w:val="center"/>
          </w:tcPr>
          <w:p w14:paraId="74BF337A">
            <w:pPr>
              <w:widowControl/>
              <w:spacing w:line="240" w:lineRule="auto"/>
              <w:ind w:firstLine="0" w:firstLineChars="0"/>
              <w:jc w:val="center"/>
              <w:rPr>
                <w:color w:val="auto"/>
                <w:sz w:val="21"/>
                <w:szCs w:val="21"/>
                <w:highlight w:val="none"/>
              </w:rPr>
            </w:pPr>
            <w:r>
              <w:rPr>
                <w:color w:val="auto"/>
                <w:sz w:val="21"/>
                <w:szCs w:val="21"/>
                <w:highlight w:val="none"/>
              </w:rPr>
              <w:t>年平均</w:t>
            </w:r>
          </w:p>
        </w:tc>
        <w:tc>
          <w:tcPr>
            <w:tcW w:w="763" w:type="pct"/>
            <w:vAlign w:val="center"/>
          </w:tcPr>
          <w:p w14:paraId="6626BAFE">
            <w:pPr>
              <w:widowControl/>
              <w:spacing w:line="240" w:lineRule="auto"/>
              <w:ind w:firstLine="0" w:firstLineChars="0"/>
              <w:jc w:val="center"/>
              <w:rPr>
                <w:color w:val="auto"/>
                <w:sz w:val="21"/>
                <w:szCs w:val="21"/>
                <w:highlight w:val="none"/>
              </w:rPr>
            </w:pPr>
            <w:r>
              <w:rPr>
                <w:color w:val="auto"/>
                <w:sz w:val="21"/>
                <w:szCs w:val="21"/>
                <w:highlight w:val="none"/>
              </w:rPr>
              <w:t>8</w:t>
            </w:r>
          </w:p>
        </w:tc>
        <w:tc>
          <w:tcPr>
            <w:tcW w:w="816" w:type="pct"/>
            <w:vAlign w:val="center"/>
          </w:tcPr>
          <w:p w14:paraId="76E07CDC">
            <w:pPr>
              <w:widowControl/>
              <w:spacing w:line="240" w:lineRule="auto"/>
              <w:ind w:firstLine="0" w:firstLineChars="0"/>
              <w:jc w:val="center"/>
              <w:rPr>
                <w:color w:val="auto"/>
                <w:sz w:val="21"/>
                <w:szCs w:val="21"/>
                <w:highlight w:val="none"/>
              </w:rPr>
            </w:pPr>
            <w:r>
              <w:rPr>
                <w:color w:val="auto"/>
                <w:sz w:val="21"/>
                <w:szCs w:val="21"/>
                <w:highlight w:val="none"/>
              </w:rPr>
              <w:t>60</w:t>
            </w:r>
          </w:p>
        </w:tc>
        <w:tc>
          <w:tcPr>
            <w:tcW w:w="597" w:type="pct"/>
            <w:vAlign w:val="center"/>
          </w:tcPr>
          <w:p w14:paraId="1D22F4EB">
            <w:pPr>
              <w:widowControl/>
              <w:spacing w:line="240" w:lineRule="auto"/>
              <w:ind w:firstLine="0" w:firstLineChars="0"/>
              <w:jc w:val="center"/>
              <w:rPr>
                <w:color w:val="auto"/>
                <w:sz w:val="21"/>
                <w:szCs w:val="21"/>
                <w:highlight w:val="none"/>
              </w:rPr>
            </w:pPr>
            <w:r>
              <w:rPr>
                <w:color w:val="auto"/>
                <w:sz w:val="21"/>
                <w:szCs w:val="21"/>
                <w:highlight w:val="none"/>
              </w:rPr>
              <w:t xml:space="preserve">13.33 </w:t>
            </w:r>
          </w:p>
        </w:tc>
        <w:tc>
          <w:tcPr>
            <w:tcW w:w="475" w:type="pct"/>
            <w:vAlign w:val="center"/>
          </w:tcPr>
          <w:p w14:paraId="611A8B8C">
            <w:pPr>
              <w:widowControl/>
              <w:spacing w:line="240" w:lineRule="auto"/>
              <w:ind w:firstLine="0" w:firstLineChars="0"/>
              <w:jc w:val="center"/>
              <w:rPr>
                <w:color w:val="auto"/>
                <w:sz w:val="21"/>
                <w:szCs w:val="21"/>
                <w:highlight w:val="none"/>
              </w:rPr>
            </w:pPr>
            <w:r>
              <w:rPr>
                <w:color w:val="auto"/>
                <w:sz w:val="21"/>
                <w:szCs w:val="21"/>
                <w:highlight w:val="none"/>
              </w:rPr>
              <w:t>达标</w:t>
            </w:r>
          </w:p>
        </w:tc>
      </w:tr>
      <w:tr w14:paraId="28BF4AC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trPr>
        <w:tc>
          <w:tcPr>
            <w:tcW w:w="576" w:type="pct"/>
            <w:vAlign w:val="center"/>
          </w:tcPr>
          <w:p w14:paraId="0BF1B711">
            <w:pPr>
              <w:widowControl/>
              <w:spacing w:line="240" w:lineRule="auto"/>
              <w:ind w:firstLine="0" w:firstLineChars="0"/>
              <w:jc w:val="center"/>
              <w:rPr>
                <w:color w:val="auto"/>
                <w:sz w:val="21"/>
                <w:szCs w:val="21"/>
                <w:highlight w:val="none"/>
              </w:rPr>
            </w:pPr>
            <w:r>
              <w:rPr>
                <w:color w:val="auto"/>
                <w:sz w:val="21"/>
                <w:szCs w:val="21"/>
                <w:highlight w:val="none"/>
              </w:rPr>
              <w:t>NO</w:t>
            </w:r>
            <w:r>
              <w:rPr>
                <w:color w:val="auto"/>
                <w:sz w:val="21"/>
                <w:szCs w:val="21"/>
                <w:highlight w:val="none"/>
                <w:vertAlign w:val="subscript"/>
              </w:rPr>
              <w:t>2</w:t>
            </w:r>
          </w:p>
        </w:tc>
        <w:tc>
          <w:tcPr>
            <w:tcW w:w="1773" w:type="pct"/>
            <w:vAlign w:val="center"/>
          </w:tcPr>
          <w:p w14:paraId="5308C4EA">
            <w:pPr>
              <w:widowControl/>
              <w:spacing w:line="240" w:lineRule="auto"/>
              <w:ind w:firstLine="0" w:firstLineChars="0"/>
              <w:jc w:val="center"/>
              <w:rPr>
                <w:color w:val="auto"/>
                <w:sz w:val="21"/>
                <w:szCs w:val="21"/>
                <w:highlight w:val="none"/>
              </w:rPr>
            </w:pPr>
            <w:r>
              <w:rPr>
                <w:color w:val="auto"/>
                <w:sz w:val="21"/>
                <w:szCs w:val="21"/>
                <w:highlight w:val="none"/>
              </w:rPr>
              <w:t>年平均</w:t>
            </w:r>
          </w:p>
        </w:tc>
        <w:tc>
          <w:tcPr>
            <w:tcW w:w="763" w:type="pct"/>
            <w:vAlign w:val="center"/>
          </w:tcPr>
          <w:p w14:paraId="127738A0">
            <w:pPr>
              <w:widowControl/>
              <w:spacing w:line="240" w:lineRule="auto"/>
              <w:ind w:firstLine="0" w:firstLineChars="0"/>
              <w:jc w:val="center"/>
              <w:rPr>
                <w:color w:val="auto"/>
                <w:sz w:val="21"/>
                <w:szCs w:val="21"/>
                <w:highlight w:val="none"/>
              </w:rPr>
            </w:pPr>
            <w:r>
              <w:rPr>
                <w:color w:val="auto"/>
                <w:sz w:val="21"/>
                <w:szCs w:val="21"/>
                <w:highlight w:val="none"/>
              </w:rPr>
              <w:t>19</w:t>
            </w:r>
          </w:p>
        </w:tc>
        <w:tc>
          <w:tcPr>
            <w:tcW w:w="816" w:type="pct"/>
            <w:vAlign w:val="center"/>
          </w:tcPr>
          <w:p w14:paraId="02C41005">
            <w:pPr>
              <w:widowControl/>
              <w:spacing w:line="240" w:lineRule="auto"/>
              <w:ind w:firstLine="0" w:firstLineChars="0"/>
              <w:jc w:val="center"/>
              <w:rPr>
                <w:color w:val="auto"/>
                <w:sz w:val="21"/>
                <w:szCs w:val="21"/>
                <w:highlight w:val="none"/>
              </w:rPr>
            </w:pPr>
            <w:r>
              <w:rPr>
                <w:color w:val="auto"/>
                <w:sz w:val="21"/>
                <w:szCs w:val="21"/>
                <w:highlight w:val="none"/>
              </w:rPr>
              <w:t>40</w:t>
            </w:r>
          </w:p>
        </w:tc>
        <w:tc>
          <w:tcPr>
            <w:tcW w:w="597" w:type="pct"/>
            <w:vAlign w:val="center"/>
          </w:tcPr>
          <w:p w14:paraId="36A744A4">
            <w:pPr>
              <w:widowControl/>
              <w:spacing w:line="240" w:lineRule="auto"/>
              <w:ind w:firstLine="0" w:firstLineChars="0"/>
              <w:jc w:val="center"/>
              <w:rPr>
                <w:color w:val="auto"/>
                <w:sz w:val="21"/>
                <w:szCs w:val="21"/>
                <w:highlight w:val="none"/>
              </w:rPr>
            </w:pPr>
            <w:r>
              <w:rPr>
                <w:color w:val="auto"/>
                <w:sz w:val="21"/>
                <w:szCs w:val="21"/>
                <w:highlight w:val="none"/>
              </w:rPr>
              <w:t xml:space="preserve">47.50 </w:t>
            </w:r>
          </w:p>
        </w:tc>
        <w:tc>
          <w:tcPr>
            <w:tcW w:w="475" w:type="pct"/>
            <w:vAlign w:val="center"/>
          </w:tcPr>
          <w:p w14:paraId="4A012398">
            <w:pPr>
              <w:widowControl/>
              <w:spacing w:line="240" w:lineRule="auto"/>
              <w:ind w:firstLine="0" w:firstLineChars="0"/>
              <w:jc w:val="center"/>
              <w:rPr>
                <w:color w:val="auto"/>
                <w:sz w:val="21"/>
                <w:szCs w:val="21"/>
                <w:highlight w:val="none"/>
              </w:rPr>
            </w:pPr>
            <w:r>
              <w:rPr>
                <w:color w:val="auto"/>
                <w:sz w:val="21"/>
                <w:szCs w:val="21"/>
                <w:highlight w:val="none"/>
              </w:rPr>
              <w:t>达标</w:t>
            </w:r>
          </w:p>
        </w:tc>
      </w:tr>
      <w:tr w14:paraId="4678783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trPr>
        <w:tc>
          <w:tcPr>
            <w:tcW w:w="576" w:type="pct"/>
            <w:vAlign w:val="center"/>
          </w:tcPr>
          <w:p w14:paraId="4DA54003">
            <w:pPr>
              <w:widowControl/>
              <w:spacing w:line="240" w:lineRule="auto"/>
              <w:ind w:firstLine="0" w:firstLineChars="0"/>
              <w:jc w:val="center"/>
              <w:rPr>
                <w:color w:val="auto"/>
                <w:sz w:val="21"/>
                <w:szCs w:val="21"/>
                <w:highlight w:val="none"/>
              </w:rPr>
            </w:pPr>
            <w:r>
              <w:rPr>
                <w:color w:val="auto"/>
                <w:sz w:val="21"/>
                <w:szCs w:val="21"/>
                <w:highlight w:val="none"/>
              </w:rPr>
              <w:t>PM</w:t>
            </w:r>
            <w:r>
              <w:rPr>
                <w:color w:val="auto"/>
                <w:sz w:val="21"/>
                <w:szCs w:val="21"/>
                <w:highlight w:val="none"/>
                <w:vertAlign w:val="subscript"/>
              </w:rPr>
              <w:t>10</w:t>
            </w:r>
          </w:p>
        </w:tc>
        <w:tc>
          <w:tcPr>
            <w:tcW w:w="1773" w:type="pct"/>
            <w:vAlign w:val="center"/>
          </w:tcPr>
          <w:p w14:paraId="57958D01">
            <w:pPr>
              <w:widowControl/>
              <w:spacing w:line="240" w:lineRule="auto"/>
              <w:ind w:firstLine="0" w:firstLineChars="0"/>
              <w:jc w:val="center"/>
              <w:rPr>
                <w:color w:val="auto"/>
                <w:sz w:val="21"/>
                <w:szCs w:val="21"/>
                <w:highlight w:val="none"/>
              </w:rPr>
            </w:pPr>
            <w:r>
              <w:rPr>
                <w:color w:val="auto"/>
                <w:sz w:val="21"/>
                <w:szCs w:val="21"/>
                <w:highlight w:val="none"/>
              </w:rPr>
              <w:t>年平均</w:t>
            </w:r>
          </w:p>
        </w:tc>
        <w:tc>
          <w:tcPr>
            <w:tcW w:w="763" w:type="pct"/>
            <w:vAlign w:val="center"/>
          </w:tcPr>
          <w:p w14:paraId="1F4F3801">
            <w:pPr>
              <w:widowControl/>
              <w:spacing w:line="240" w:lineRule="auto"/>
              <w:ind w:firstLine="0" w:firstLineChars="0"/>
              <w:jc w:val="center"/>
              <w:rPr>
                <w:color w:val="auto"/>
                <w:sz w:val="21"/>
                <w:szCs w:val="21"/>
                <w:highlight w:val="none"/>
                <w:u w:val="single"/>
              </w:rPr>
            </w:pPr>
            <w:r>
              <w:rPr>
                <w:color w:val="auto"/>
                <w:sz w:val="21"/>
                <w:szCs w:val="21"/>
                <w:highlight w:val="none"/>
                <w:u w:val="single"/>
              </w:rPr>
              <w:t>47</w:t>
            </w:r>
          </w:p>
        </w:tc>
        <w:tc>
          <w:tcPr>
            <w:tcW w:w="816" w:type="pct"/>
            <w:vAlign w:val="center"/>
          </w:tcPr>
          <w:p w14:paraId="3D2453A2">
            <w:pPr>
              <w:widowControl/>
              <w:spacing w:line="240" w:lineRule="auto"/>
              <w:ind w:firstLine="0" w:firstLineChars="0"/>
              <w:jc w:val="center"/>
              <w:rPr>
                <w:color w:val="auto"/>
                <w:sz w:val="21"/>
                <w:szCs w:val="21"/>
                <w:highlight w:val="none"/>
                <w:u w:val="single"/>
              </w:rPr>
            </w:pPr>
            <w:r>
              <w:rPr>
                <w:color w:val="auto"/>
                <w:sz w:val="21"/>
                <w:szCs w:val="21"/>
                <w:highlight w:val="none"/>
                <w:u w:val="single"/>
              </w:rPr>
              <w:t>60</w:t>
            </w:r>
          </w:p>
        </w:tc>
        <w:tc>
          <w:tcPr>
            <w:tcW w:w="597" w:type="pct"/>
            <w:vAlign w:val="center"/>
          </w:tcPr>
          <w:p w14:paraId="35A93C74">
            <w:pPr>
              <w:widowControl/>
              <w:spacing w:line="240" w:lineRule="auto"/>
              <w:ind w:firstLine="0" w:firstLineChars="0"/>
              <w:jc w:val="center"/>
              <w:rPr>
                <w:color w:val="auto"/>
                <w:sz w:val="21"/>
                <w:szCs w:val="21"/>
                <w:highlight w:val="none"/>
                <w:u w:val="single"/>
              </w:rPr>
            </w:pPr>
            <w:r>
              <w:rPr>
                <w:color w:val="auto"/>
                <w:sz w:val="21"/>
                <w:szCs w:val="21"/>
                <w:highlight w:val="none"/>
                <w:u w:val="single"/>
              </w:rPr>
              <w:t xml:space="preserve">78.33 </w:t>
            </w:r>
          </w:p>
        </w:tc>
        <w:tc>
          <w:tcPr>
            <w:tcW w:w="475" w:type="pct"/>
            <w:vAlign w:val="center"/>
          </w:tcPr>
          <w:p w14:paraId="3880F65F">
            <w:pPr>
              <w:widowControl/>
              <w:spacing w:line="240" w:lineRule="auto"/>
              <w:ind w:firstLine="0" w:firstLineChars="0"/>
              <w:jc w:val="center"/>
              <w:rPr>
                <w:color w:val="auto"/>
                <w:sz w:val="21"/>
                <w:szCs w:val="21"/>
                <w:highlight w:val="none"/>
              </w:rPr>
            </w:pPr>
            <w:r>
              <w:rPr>
                <w:color w:val="auto"/>
                <w:sz w:val="21"/>
                <w:szCs w:val="21"/>
                <w:highlight w:val="none"/>
              </w:rPr>
              <w:t>达标</w:t>
            </w:r>
          </w:p>
        </w:tc>
      </w:tr>
      <w:tr w14:paraId="23E89E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trPr>
        <w:tc>
          <w:tcPr>
            <w:tcW w:w="576" w:type="pct"/>
            <w:vAlign w:val="center"/>
          </w:tcPr>
          <w:p w14:paraId="16A9EBA5">
            <w:pPr>
              <w:widowControl/>
              <w:spacing w:line="240" w:lineRule="auto"/>
              <w:ind w:firstLine="0" w:firstLineChars="0"/>
              <w:jc w:val="center"/>
              <w:rPr>
                <w:color w:val="auto"/>
                <w:sz w:val="21"/>
                <w:szCs w:val="21"/>
                <w:highlight w:val="none"/>
              </w:rPr>
            </w:pPr>
            <w:r>
              <w:rPr>
                <w:color w:val="auto"/>
                <w:sz w:val="21"/>
                <w:szCs w:val="21"/>
                <w:highlight w:val="none"/>
              </w:rPr>
              <w:t>PM</w:t>
            </w:r>
            <w:r>
              <w:rPr>
                <w:color w:val="auto"/>
                <w:sz w:val="21"/>
                <w:szCs w:val="21"/>
                <w:highlight w:val="none"/>
                <w:vertAlign w:val="subscript"/>
              </w:rPr>
              <w:t>2.5</w:t>
            </w:r>
          </w:p>
        </w:tc>
        <w:tc>
          <w:tcPr>
            <w:tcW w:w="1773" w:type="pct"/>
            <w:vAlign w:val="center"/>
          </w:tcPr>
          <w:p w14:paraId="0FC1DBDB">
            <w:pPr>
              <w:widowControl/>
              <w:spacing w:line="240" w:lineRule="auto"/>
              <w:ind w:firstLine="0" w:firstLineChars="0"/>
              <w:jc w:val="center"/>
              <w:rPr>
                <w:color w:val="auto"/>
                <w:sz w:val="21"/>
                <w:szCs w:val="21"/>
                <w:highlight w:val="none"/>
              </w:rPr>
            </w:pPr>
            <w:r>
              <w:rPr>
                <w:color w:val="auto"/>
                <w:sz w:val="21"/>
                <w:szCs w:val="21"/>
                <w:highlight w:val="none"/>
              </w:rPr>
              <w:t>年平均</w:t>
            </w:r>
          </w:p>
        </w:tc>
        <w:tc>
          <w:tcPr>
            <w:tcW w:w="763" w:type="pct"/>
            <w:vAlign w:val="center"/>
          </w:tcPr>
          <w:p w14:paraId="1B1C1BE8">
            <w:pPr>
              <w:widowControl/>
              <w:spacing w:line="240" w:lineRule="auto"/>
              <w:ind w:firstLine="0" w:firstLineChars="0"/>
              <w:jc w:val="center"/>
              <w:rPr>
                <w:color w:val="auto"/>
                <w:sz w:val="21"/>
                <w:szCs w:val="21"/>
                <w:highlight w:val="none"/>
                <w:u w:val="single"/>
              </w:rPr>
            </w:pPr>
            <w:r>
              <w:rPr>
                <w:color w:val="auto"/>
                <w:sz w:val="21"/>
                <w:szCs w:val="21"/>
                <w:highlight w:val="none"/>
                <w:u w:val="single"/>
              </w:rPr>
              <w:t>24.6</w:t>
            </w:r>
          </w:p>
        </w:tc>
        <w:tc>
          <w:tcPr>
            <w:tcW w:w="816" w:type="pct"/>
            <w:vAlign w:val="center"/>
          </w:tcPr>
          <w:p w14:paraId="2067415D">
            <w:pPr>
              <w:widowControl/>
              <w:spacing w:line="240" w:lineRule="auto"/>
              <w:ind w:firstLine="0" w:firstLineChars="0"/>
              <w:jc w:val="center"/>
              <w:rPr>
                <w:color w:val="auto"/>
                <w:sz w:val="21"/>
                <w:szCs w:val="21"/>
                <w:highlight w:val="none"/>
                <w:u w:val="single"/>
              </w:rPr>
            </w:pPr>
            <w:r>
              <w:rPr>
                <w:color w:val="auto"/>
                <w:sz w:val="21"/>
                <w:szCs w:val="21"/>
                <w:highlight w:val="none"/>
                <w:u w:val="single"/>
              </w:rPr>
              <w:t>30</w:t>
            </w:r>
          </w:p>
        </w:tc>
        <w:tc>
          <w:tcPr>
            <w:tcW w:w="597" w:type="pct"/>
            <w:vAlign w:val="center"/>
          </w:tcPr>
          <w:p w14:paraId="34435B76">
            <w:pPr>
              <w:widowControl/>
              <w:spacing w:line="240" w:lineRule="auto"/>
              <w:ind w:firstLine="0" w:firstLineChars="0"/>
              <w:jc w:val="center"/>
              <w:rPr>
                <w:color w:val="auto"/>
                <w:sz w:val="21"/>
                <w:szCs w:val="21"/>
                <w:highlight w:val="none"/>
                <w:u w:val="single"/>
              </w:rPr>
            </w:pPr>
            <w:r>
              <w:rPr>
                <w:color w:val="auto"/>
                <w:sz w:val="21"/>
                <w:szCs w:val="21"/>
                <w:highlight w:val="none"/>
                <w:u w:val="single"/>
              </w:rPr>
              <w:t>82.00</w:t>
            </w:r>
          </w:p>
        </w:tc>
        <w:tc>
          <w:tcPr>
            <w:tcW w:w="475" w:type="pct"/>
            <w:vAlign w:val="center"/>
          </w:tcPr>
          <w:p w14:paraId="17188D12">
            <w:pPr>
              <w:widowControl/>
              <w:spacing w:line="240" w:lineRule="auto"/>
              <w:ind w:firstLine="0" w:firstLineChars="0"/>
              <w:jc w:val="center"/>
              <w:rPr>
                <w:color w:val="auto"/>
                <w:sz w:val="21"/>
                <w:szCs w:val="21"/>
                <w:highlight w:val="none"/>
              </w:rPr>
            </w:pPr>
            <w:r>
              <w:rPr>
                <w:color w:val="auto"/>
                <w:sz w:val="21"/>
                <w:szCs w:val="21"/>
                <w:highlight w:val="none"/>
              </w:rPr>
              <w:t>达标</w:t>
            </w:r>
          </w:p>
        </w:tc>
      </w:tr>
      <w:tr w14:paraId="59E86DF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trPr>
        <w:tc>
          <w:tcPr>
            <w:tcW w:w="576" w:type="pct"/>
            <w:vAlign w:val="center"/>
          </w:tcPr>
          <w:p w14:paraId="2E208E84">
            <w:pPr>
              <w:widowControl/>
              <w:spacing w:line="240" w:lineRule="auto"/>
              <w:ind w:firstLine="0" w:firstLineChars="0"/>
              <w:jc w:val="center"/>
              <w:rPr>
                <w:color w:val="auto"/>
                <w:sz w:val="21"/>
                <w:szCs w:val="21"/>
                <w:highlight w:val="none"/>
              </w:rPr>
            </w:pPr>
            <w:r>
              <w:rPr>
                <w:color w:val="auto"/>
                <w:sz w:val="21"/>
                <w:szCs w:val="21"/>
                <w:highlight w:val="none"/>
              </w:rPr>
              <w:t>CO</w:t>
            </w:r>
          </w:p>
        </w:tc>
        <w:tc>
          <w:tcPr>
            <w:tcW w:w="1773" w:type="pct"/>
            <w:vAlign w:val="center"/>
          </w:tcPr>
          <w:p w14:paraId="32081D58">
            <w:pPr>
              <w:widowControl/>
              <w:spacing w:line="240" w:lineRule="auto"/>
              <w:ind w:firstLine="0" w:firstLineChars="0"/>
              <w:jc w:val="center"/>
              <w:rPr>
                <w:color w:val="auto"/>
                <w:sz w:val="21"/>
                <w:szCs w:val="21"/>
                <w:highlight w:val="none"/>
              </w:rPr>
            </w:pPr>
            <w:r>
              <w:rPr>
                <w:color w:val="auto"/>
                <w:sz w:val="21"/>
                <w:szCs w:val="21"/>
                <w:highlight w:val="none"/>
              </w:rPr>
              <w:t>24小时平均第95百分位数</w:t>
            </w:r>
          </w:p>
        </w:tc>
        <w:tc>
          <w:tcPr>
            <w:tcW w:w="763" w:type="pct"/>
            <w:vAlign w:val="center"/>
          </w:tcPr>
          <w:p w14:paraId="7C5A8611">
            <w:pPr>
              <w:widowControl/>
              <w:spacing w:line="240" w:lineRule="auto"/>
              <w:ind w:firstLine="0" w:firstLineChars="0"/>
              <w:jc w:val="center"/>
              <w:rPr>
                <w:color w:val="auto"/>
                <w:sz w:val="21"/>
                <w:szCs w:val="21"/>
                <w:highlight w:val="none"/>
              </w:rPr>
            </w:pPr>
            <w:r>
              <w:rPr>
                <w:color w:val="auto"/>
                <w:sz w:val="21"/>
                <w:szCs w:val="21"/>
                <w:highlight w:val="none"/>
              </w:rPr>
              <w:t>1.1mg/m</w:t>
            </w:r>
            <w:r>
              <w:rPr>
                <w:color w:val="auto"/>
                <w:sz w:val="21"/>
                <w:szCs w:val="21"/>
                <w:highlight w:val="none"/>
                <w:vertAlign w:val="superscript"/>
              </w:rPr>
              <w:t>3</w:t>
            </w:r>
          </w:p>
        </w:tc>
        <w:tc>
          <w:tcPr>
            <w:tcW w:w="816" w:type="pct"/>
            <w:vAlign w:val="center"/>
          </w:tcPr>
          <w:p w14:paraId="37D636DB">
            <w:pPr>
              <w:widowControl/>
              <w:spacing w:line="240" w:lineRule="auto"/>
              <w:ind w:firstLine="0" w:firstLineChars="0"/>
              <w:jc w:val="center"/>
              <w:rPr>
                <w:color w:val="auto"/>
                <w:sz w:val="21"/>
                <w:szCs w:val="21"/>
                <w:highlight w:val="none"/>
              </w:rPr>
            </w:pPr>
            <w:r>
              <w:rPr>
                <w:color w:val="auto"/>
                <w:sz w:val="21"/>
                <w:szCs w:val="21"/>
                <w:highlight w:val="none"/>
              </w:rPr>
              <w:t>4mg/m</w:t>
            </w:r>
            <w:r>
              <w:rPr>
                <w:color w:val="auto"/>
                <w:sz w:val="21"/>
                <w:szCs w:val="21"/>
                <w:highlight w:val="none"/>
                <w:vertAlign w:val="superscript"/>
              </w:rPr>
              <w:t>3</w:t>
            </w:r>
          </w:p>
        </w:tc>
        <w:tc>
          <w:tcPr>
            <w:tcW w:w="597" w:type="pct"/>
            <w:vAlign w:val="center"/>
          </w:tcPr>
          <w:p w14:paraId="300352FD">
            <w:pPr>
              <w:widowControl/>
              <w:spacing w:line="240" w:lineRule="auto"/>
              <w:ind w:firstLine="0" w:firstLineChars="0"/>
              <w:jc w:val="center"/>
              <w:rPr>
                <w:color w:val="auto"/>
                <w:sz w:val="21"/>
                <w:szCs w:val="21"/>
                <w:highlight w:val="none"/>
              </w:rPr>
            </w:pPr>
            <w:r>
              <w:rPr>
                <w:color w:val="auto"/>
                <w:sz w:val="21"/>
                <w:szCs w:val="21"/>
                <w:highlight w:val="none"/>
              </w:rPr>
              <w:t xml:space="preserve">27.50 </w:t>
            </w:r>
          </w:p>
        </w:tc>
        <w:tc>
          <w:tcPr>
            <w:tcW w:w="475" w:type="pct"/>
            <w:vAlign w:val="center"/>
          </w:tcPr>
          <w:p w14:paraId="0A938F2D">
            <w:pPr>
              <w:widowControl/>
              <w:spacing w:line="240" w:lineRule="auto"/>
              <w:ind w:firstLine="0" w:firstLineChars="0"/>
              <w:jc w:val="center"/>
              <w:rPr>
                <w:color w:val="auto"/>
                <w:sz w:val="21"/>
                <w:szCs w:val="21"/>
                <w:highlight w:val="none"/>
              </w:rPr>
            </w:pPr>
            <w:r>
              <w:rPr>
                <w:color w:val="auto"/>
                <w:sz w:val="21"/>
                <w:szCs w:val="21"/>
                <w:highlight w:val="none"/>
              </w:rPr>
              <w:t>达标</w:t>
            </w:r>
          </w:p>
        </w:tc>
      </w:tr>
      <w:tr w14:paraId="6B15F85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trPr>
        <w:tc>
          <w:tcPr>
            <w:tcW w:w="576" w:type="pct"/>
            <w:vAlign w:val="center"/>
          </w:tcPr>
          <w:p w14:paraId="44CF748C">
            <w:pPr>
              <w:widowControl/>
              <w:spacing w:line="240" w:lineRule="auto"/>
              <w:ind w:firstLine="0" w:firstLineChars="0"/>
              <w:jc w:val="center"/>
              <w:rPr>
                <w:color w:val="auto"/>
                <w:sz w:val="21"/>
                <w:szCs w:val="21"/>
                <w:highlight w:val="none"/>
              </w:rPr>
            </w:pPr>
            <w:r>
              <w:rPr>
                <w:color w:val="auto"/>
                <w:sz w:val="21"/>
                <w:szCs w:val="21"/>
                <w:highlight w:val="none"/>
              </w:rPr>
              <w:t>O3</w:t>
            </w:r>
          </w:p>
        </w:tc>
        <w:tc>
          <w:tcPr>
            <w:tcW w:w="1773" w:type="pct"/>
            <w:vAlign w:val="center"/>
          </w:tcPr>
          <w:p w14:paraId="65B6F433">
            <w:pPr>
              <w:widowControl/>
              <w:spacing w:line="240" w:lineRule="auto"/>
              <w:ind w:firstLine="0" w:firstLineChars="0"/>
              <w:jc w:val="center"/>
              <w:rPr>
                <w:color w:val="auto"/>
                <w:sz w:val="21"/>
                <w:szCs w:val="21"/>
                <w:highlight w:val="none"/>
              </w:rPr>
            </w:pPr>
            <w:r>
              <w:rPr>
                <w:color w:val="auto"/>
                <w:sz w:val="21"/>
                <w:szCs w:val="21"/>
                <w:highlight w:val="none"/>
              </w:rPr>
              <w:t>日最大8小时平均第90百分位数</w:t>
            </w:r>
          </w:p>
        </w:tc>
        <w:tc>
          <w:tcPr>
            <w:tcW w:w="763" w:type="pct"/>
            <w:vAlign w:val="center"/>
          </w:tcPr>
          <w:p w14:paraId="36C34476">
            <w:pPr>
              <w:widowControl/>
              <w:spacing w:line="240" w:lineRule="auto"/>
              <w:ind w:firstLine="0" w:firstLineChars="0"/>
              <w:jc w:val="center"/>
              <w:rPr>
                <w:color w:val="auto"/>
                <w:sz w:val="21"/>
                <w:szCs w:val="21"/>
                <w:highlight w:val="none"/>
              </w:rPr>
            </w:pPr>
            <w:r>
              <w:rPr>
                <w:color w:val="auto"/>
                <w:sz w:val="21"/>
                <w:szCs w:val="21"/>
                <w:highlight w:val="none"/>
              </w:rPr>
              <w:t>125</w:t>
            </w:r>
          </w:p>
        </w:tc>
        <w:tc>
          <w:tcPr>
            <w:tcW w:w="816" w:type="pct"/>
            <w:vAlign w:val="center"/>
          </w:tcPr>
          <w:p w14:paraId="7C2626F9">
            <w:pPr>
              <w:widowControl/>
              <w:spacing w:line="240" w:lineRule="auto"/>
              <w:ind w:firstLine="0" w:firstLineChars="0"/>
              <w:jc w:val="center"/>
              <w:rPr>
                <w:color w:val="auto"/>
                <w:sz w:val="21"/>
                <w:szCs w:val="21"/>
                <w:highlight w:val="none"/>
              </w:rPr>
            </w:pPr>
            <w:r>
              <w:rPr>
                <w:color w:val="auto"/>
                <w:sz w:val="21"/>
                <w:szCs w:val="21"/>
                <w:highlight w:val="none"/>
              </w:rPr>
              <w:t>160</w:t>
            </w:r>
          </w:p>
        </w:tc>
        <w:tc>
          <w:tcPr>
            <w:tcW w:w="597" w:type="pct"/>
            <w:vAlign w:val="center"/>
          </w:tcPr>
          <w:p w14:paraId="5EB222EE">
            <w:pPr>
              <w:widowControl/>
              <w:spacing w:line="240" w:lineRule="auto"/>
              <w:ind w:firstLine="0" w:firstLineChars="0"/>
              <w:jc w:val="center"/>
              <w:rPr>
                <w:color w:val="auto"/>
                <w:sz w:val="21"/>
                <w:szCs w:val="21"/>
                <w:highlight w:val="none"/>
              </w:rPr>
            </w:pPr>
            <w:r>
              <w:rPr>
                <w:color w:val="auto"/>
                <w:sz w:val="21"/>
                <w:szCs w:val="21"/>
                <w:highlight w:val="none"/>
              </w:rPr>
              <w:t>78.13</w:t>
            </w:r>
          </w:p>
        </w:tc>
        <w:tc>
          <w:tcPr>
            <w:tcW w:w="475" w:type="pct"/>
            <w:vAlign w:val="center"/>
          </w:tcPr>
          <w:p w14:paraId="72F2E3B1">
            <w:pPr>
              <w:widowControl/>
              <w:spacing w:line="240" w:lineRule="auto"/>
              <w:ind w:firstLine="0" w:firstLineChars="0"/>
              <w:jc w:val="center"/>
              <w:rPr>
                <w:color w:val="auto"/>
                <w:sz w:val="21"/>
                <w:szCs w:val="21"/>
                <w:highlight w:val="none"/>
              </w:rPr>
            </w:pPr>
            <w:r>
              <w:rPr>
                <w:color w:val="auto"/>
                <w:sz w:val="21"/>
                <w:szCs w:val="21"/>
                <w:highlight w:val="none"/>
              </w:rPr>
              <w:t>达标</w:t>
            </w:r>
          </w:p>
        </w:tc>
      </w:tr>
    </w:tbl>
    <w:p w14:paraId="44E4B89C">
      <w:pPr>
        <w:widowControl/>
        <w:ind w:firstLine="480"/>
        <w:jc w:val="left"/>
        <w:rPr>
          <w:color w:val="auto"/>
          <w:highlight w:val="none"/>
        </w:rPr>
      </w:pPr>
    </w:p>
    <w:p w14:paraId="158B0986">
      <w:pPr>
        <w:pStyle w:val="533"/>
        <w:numPr>
          <w:ilvl w:val="3"/>
          <w:numId w:val="9"/>
        </w:numPr>
        <w:rPr>
          <w:color w:val="auto"/>
          <w:szCs w:val="24"/>
          <w:highlight w:val="none"/>
        </w:rPr>
      </w:pPr>
      <w:r>
        <w:rPr>
          <w:color w:val="auto"/>
          <w:szCs w:val="24"/>
          <w:highlight w:val="none"/>
        </w:rPr>
        <w:t>其他污染物环境质量现状</w:t>
      </w:r>
    </w:p>
    <w:p w14:paraId="11F90CC9">
      <w:pPr>
        <w:ind w:firstLine="480"/>
        <w:rPr>
          <w:color w:val="auto"/>
          <w:highlight w:val="none"/>
          <w:lang w:bidi="ar"/>
        </w:rPr>
      </w:pPr>
      <w:r>
        <w:rPr>
          <w:color w:val="auto"/>
          <w:highlight w:val="none"/>
          <w:lang w:bidi="ar"/>
        </w:rPr>
        <w:t>（1）监测点布设及监测因子</w:t>
      </w:r>
    </w:p>
    <w:p w14:paraId="1A6C29DA">
      <w:pPr>
        <w:ind w:firstLine="480"/>
        <w:rPr>
          <w:color w:val="auto"/>
          <w:highlight w:val="none"/>
          <w:lang w:bidi="ar"/>
        </w:rPr>
      </w:pPr>
      <w:r>
        <w:rPr>
          <w:color w:val="auto"/>
          <w:highlight w:val="none"/>
          <w:lang w:bidi="ar"/>
        </w:rPr>
        <w:t>项目委托广西三达环境监测有限公司对项目区环境空气质量进行了补充监测，在船坞南面（下风向）设置一个监测点，监测时</w:t>
      </w:r>
      <w:r>
        <w:rPr>
          <w:rFonts w:hint="eastAsia"/>
          <w:color w:val="auto"/>
          <w:highlight w:val="none"/>
          <w:lang w:eastAsia="zh-CN" w:bidi="ar"/>
        </w:rPr>
        <w:t>间为</w:t>
      </w:r>
      <w:r>
        <w:rPr>
          <w:color w:val="auto"/>
          <w:highlight w:val="none"/>
          <w:lang w:bidi="ar"/>
        </w:rPr>
        <w:t>2025年12月15日~2025年12月21日；监测项目为TVOC、非甲烷总烃、苯、甲苯、二甲苯、TSP。</w:t>
      </w:r>
    </w:p>
    <w:p w14:paraId="428E57D4">
      <w:pPr>
        <w:ind w:firstLine="480"/>
        <w:rPr>
          <w:color w:val="auto"/>
          <w:highlight w:val="none"/>
          <w:lang w:bidi="ar"/>
        </w:rPr>
      </w:pPr>
      <w:r>
        <w:rPr>
          <w:color w:val="auto"/>
          <w:highlight w:val="none"/>
          <w:lang w:bidi="ar"/>
        </w:rPr>
        <w:t>（2）监测时间与频率</w:t>
      </w:r>
    </w:p>
    <w:p w14:paraId="69CC2C5E">
      <w:pPr>
        <w:ind w:firstLine="480"/>
        <w:rPr>
          <w:color w:val="auto"/>
          <w:highlight w:val="none"/>
          <w:lang w:bidi="ar"/>
        </w:rPr>
      </w:pPr>
      <w:r>
        <w:rPr>
          <w:color w:val="auto"/>
          <w:highlight w:val="none"/>
          <w:lang w:bidi="ar"/>
        </w:rPr>
        <w:t>监测频次：连续监测7天，TSP连续采样24小时；非甲烷总烃、苯、甲苯、二甲苯均监测小时浓度值，每天采样4次；TVOC测量8小时浓度值。</w:t>
      </w:r>
    </w:p>
    <w:p w14:paraId="58CEEF82">
      <w:pPr>
        <w:ind w:firstLine="480"/>
        <w:rPr>
          <w:color w:val="auto"/>
          <w:highlight w:val="none"/>
          <w:lang w:bidi="ar"/>
        </w:rPr>
      </w:pPr>
      <w:r>
        <w:rPr>
          <w:color w:val="auto"/>
          <w:highlight w:val="none"/>
          <w:lang w:bidi="ar"/>
        </w:rPr>
        <w:t>（3）监测采样及分析方法</w:t>
      </w:r>
    </w:p>
    <w:p w14:paraId="15C73482">
      <w:pPr>
        <w:ind w:firstLine="480"/>
        <w:rPr>
          <w:color w:val="auto"/>
          <w:highlight w:val="none"/>
          <w:lang w:bidi="ar"/>
        </w:rPr>
      </w:pPr>
      <w:bookmarkStart w:id="147" w:name="_Toc457904635"/>
      <w:bookmarkStart w:id="148" w:name="_Toc454087224"/>
      <w:r>
        <w:rPr>
          <w:color w:val="auto"/>
          <w:highlight w:val="none"/>
          <w:lang w:bidi="ar"/>
        </w:rPr>
        <w:t>按照《环境空气质量手工监测技术规范》（HJ/T194-2005）和《空气和废气监测分析方法》（第四版国家生态环境局2003年）进行操作，环境空气采样分析方法及检出限详见表3.4-2。</w:t>
      </w:r>
    </w:p>
    <w:p w14:paraId="16361062">
      <w:pPr>
        <w:pStyle w:val="38"/>
        <w:spacing w:after="0" w:line="240" w:lineRule="auto"/>
        <w:ind w:firstLine="0" w:firstLineChars="0"/>
        <w:jc w:val="center"/>
        <w:rPr>
          <w:b/>
          <w:color w:val="auto"/>
          <w:sz w:val="21"/>
          <w:szCs w:val="21"/>
          <w:highlight w:val="none"/>
        </w:rPr>
      </w:pPr>
    </w:p>
    <w:p w14:paraId="331F3913">
      <w:pPr>
        <w:pStyle w:val="38"/>
        <w:spacing w:after="0" w:line="240" w:lineRule="auto"/>
        <w:ind w:firstLine="0" w:firstLineChars="0"/>
        <w:jc w:val="center"/>
        <w:rPr>
          <w:b/>
          <w:color w:val="auto"/>
          <w:sz w:val="21"/>
          <w:szCs w:val="21"/>
          <w:highlight w:val="none"/>
        </w:rPr>
      </w:pPr>
    </w:p>
    <w:p w14:paraId="4FDD4D97">
      <w:pPr>
        <w:pStyle w:val="38"/>
        <w:spacing w:after="0" w:line="240" w:lineRule="auto"/>
        <w:ind w:firstLine="0" w:firstLineChars="0"/>
        <w:jc w:val="center"/>
        <w:rPr>
          <w:b/>
          <w:color w:val="auto"/>
          <w:sz w:val="21"/>
          <w:szCs w:val="21"/>
          <w:highlight w:val="none"/>
        </w:rPr>
      </w:pPr>
    </w:p>
    <w:p w14:paraId="77F682D4">
      <w:pPr>
        <w:pStyle w:val="38"/>
        <w:spacing w:after="0" w:line="240" w:lineRule="auto"/>
        <w:ind w:firstLine="0" w:firstLineChars="0"/>
        <w:jc w:val="center"/>
        <w:rPr>
          <w:b/>
          <w:color w:val="auto"/>
          <w:sz w:val="21"/>
          <w:szCs w:val="21"/>
          <w:highlight w:val="none"/>
        </w:rPr>
      </w:pPr>
    </w:p>
    <w:p w14:paraId="4705EB36">
      <w:pPr>
        <w:pStyle w:val="38"/>
        <w:spacing w:after="0" w:line="240" w:lineRule="auto"/>
        <w:ind w:firstLine="0" w:firstLineChars="0"/>
        <w:jc w:val="center"/>
        <w:rPr>
          <w:b/>
          <w:color w:val="auto"/>
          <w:sz w:val="21"/>
          <w:szCs w:val="21"/>
          <w:highlight w:val="none"/>
        </w:rPr>
      </w:pPr>
      <w:r>
        <w:rPr>
          <w:b/>
          <w:color w:val="auto"/>
          <w:sz w:val="21"/>
          <w:szCs w:val="21"/>
          <w:highlight w:val="none"/>
        </w:rPr>
        <w:t>表3.4-2  环境空气监测分析方法及检出限</w:t>
      </w:r>
    </w:p>
    <w:tbl>
      <w:tblPr>
        <w:tblStyle w:val="1549"/>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2"/>
        <w:gridCol w:w="535"/>
        <w:gridCol w:w="1204"/>
        <w:gridCol w:w="5232"/>
        <w:gridCol w:w="1671"/>
      </w:tblGrid>
      <w:tr w14:paraId="32BE93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12" w:type="dxa"/>
            <w:vAlign w:val="center"/>
          </w:tcPr>
          <w:p w14:paraId="491D5B8C">
            <w:pPr>
              <w:topLinePunct w:val="0"/>
              <w:adjustRightInd/>
              <w:spacing w:line="240" w:lineRule="auto"/>
              <w:ind w:firstLine="0" w:firstLineChars="0"/>
              <w:jc w:val="center"/>
              <w:textAlignment w:val="center"/>
              <w:rPr>
                <w:b/>
                <w:bCs w:val="0"/>
                <w:iCs/>
                <w:snapToGrid w:val="0"/>
                <w:color w:val="auto"/>
                <w:sz w:val="21"/>
                <w:szCs w:val="21"/>
                <w:highlight w:val="none"/>
              </w:rPr>
            </w:pPr>
            <w:r>
              <w:rPr>
                <w:b/>
                <w:bCs w:val="0"/>
                <w:iCs/>
                <w:snapToGrid w:val="0"/>
                <w:color w:val="auto"/>
                <w:sz w:val="21"/>
                <w:szCs w:val="21"/>
                <w:highlight w:val="none"/>
              </w:rPr>
              <w:t>序号</w:t>
            </w:r>
          </w:p>
        </w:tc>
        <w:tc>
          <w:tcPr>
            <w:tcW w:w="1739" w:type="dxa"/>
            <w:gridSpan w:val="2"/>
            <w:vAlign w:val="center"/>
          </w:tcPr>
          <w:p w14:paraId="064DD70A">
            <w:pPr>
              <w:topLinePunct w:val="0"/>
              <w:adjustRightInd/>
              <w:spacing w:line="240" w:lineRule="auto"/>
              <w:ind w:firstLine="0" w:firstLineChars="0"/>
              <w:jc w:val="center"/>
              <w:textAlignment w:val="center"/>
              <w:rPr>
                <w:b/>
                <w:bCs w:val="0"/>
                <w:iCs/>
                <w:snapToGrid w:val="0"/>
                <w:color w:val="auto"/>
                <w:sz w:val="21"/>
                <w:szCs w:val="21"/>
                <w:highlight w:val="none"/>
              </w:rPr>
            </w:pPr>
            <w:r>
              <w:rPr>
                <w:b/>
                <w:bCs w:val="0"/>
                <w:iCs/>
                <w:snapToGrid w:val="0"/>
                <w:color w:val="auto"/>
                <w:sz w:val="21"/>
                <w:szCs w:val="21"/>
                <w:highlight w:val="none"/>
              </w:rPr>
              <w:t>检测因子</w:t>
            </w:r>
          </w:p>
        </w:tc>
        <w:tc>
          <w:tcPr>
            <w:tcW w:w="5232" w:type="dxa"/>
            <w:vAlign w:val="center"/>
          </w:tcPr>
          <w:p w14:paraId="733F518D">
            <w:pPr>
              <w:topLinePunct w:val="0"/>
              <w:adjustRightInd/>
              <w:spacing w:line="240" w:lineRule="auto"/>
              <w:ind w:firstLine="0" w:firstLineChars="0"/>
              <w:jc w:val="center"/>
              <w:textAlignment w:val="center"/>
              <w:rPr>
                <w:b/>
                <w:bCs w:val="0"/>
                <w:iCs/>
                <w:snapToGrid w:val="0"/>
                <w:color w:val="auto"/>
                <w:sz w:val="21"/>
                <w:szCs w:val="21"/>
                <w:highlight w:val="none"/>
              </w:rPr>
            </w:pPr>
            <w:r>
              <w:rPr>
                <w:b/>
                <w:bCs w:val="0"/>
                <w:iCs/>
                <w:snapToGrid w:val="0"/>
                <w:color w:val="auto"/>
                <w:sz w:val="21"/>
                <w:szCs w:val="21"/>
                <w:highlight w:val="none"/>
              </w:rPr>
              <w:t>分析方法</w:t>
            </w:r>
          </w:p>
        </w:tc>
        <w:tc>
          <w:tcPr>
            <w:tcW w:w="1671" w:type="dxa"/>
            <w:vAlign w:val="center"/>
          </w:tcPr>
          <w:p w14:paraId="5F2893E5">
            <w:pPr>
              <w:topLinePunct w:val="0"/>
              <w:adjustRightInd/>
              <w:spacing w:line="240" w:lineRule="auto"/>
              <w:ind w:firstLine="0" w:firstLineChars="0"/>
              <w:jc w:val="center"/>
              <w:textAlignment w:val="center"/>
              <w:rPr>
                <w:b/>
                <w:bCs w:val="0"/>
                <w:iCs/>
                <w:snapToGrid w:val="0"/>
                <w:color w:val="auto"/>
                <w:sz w:val="21"/>
                <w:szCs w:val="21"/>
                <w:highlight w:val="none"/>
              </w:rPr>
            </w:pPr>
            <w:r>
              <w:rPr>
                <w:b/>
                <w:bCs w:val="0"/>
                <w:iCs/>
                <w:snapToGrid w:val="0"/>
                <w:color w:val="auto"/>
                <w:sz w:val="21"/>
                <w:szCs w:val="21"/>
                <w:highlight w:val="none"/>
              </w:rPr>
              <w:t>检出限</w:t>
            </w:r>
          </w:p>
        </w:tc>
      </w:tr>
      <w:tr w14:paraId="5E0D4C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543A0B79">
            <w:pPr>
              <w:topLinePunct w:val="0"/>
              <w:adjustRightInd/>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1</w:t>
            </w:r>
          </w:p>
        </w:tc>
        <w:tc>
          <w:tcPr>
            <w:tcW w:w="1739" w:type="dxa"/>
            <w:gridSpan w:val="2"/>
            <w:vAlign w:val="center"/>
          </w:tcPr>
          <w:p w14:paraId="51D70A88">
            <w:pPr>
              <w:topLinePunct w:val="0"/>
              <w:adjustRightInd/>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采样依据</w:t>
            </w:r>
          </w:p>
        </w:tc>
        <w:tc>
          <w:tcPr>
            <w:tcW w:w="6903" w:type="dxa"/>
            <w:gridSpan w:val="2"/>
            <w:vAlign w:val="center"/>
          </w:tcPr>
          <w:p w14:paraId="41BBDA9F">
            <w:pPr>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《环境空气质量手工监测技术规范》（HJ 194-2017）及修改单</w:t>
            </w:r>
          </w:p>
          <w:p w14:paraId="5EBEF015">
            <w:pPr>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《环境空气质量标准》</w:t>
            </w:r>
          </w:p>
        </w:tc>
      </w:tr>
      <w:tr w14:paraId="7F11A6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3F2FCEBC">
            <w:pPr>
              <w:topLinePunct w:val="0"/>
              <w:adjustRightInd/>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2</w:t>
            </w:r>
          </w:p>
        </w:tc>
        <w:tc>
          <w:tcPr>
            <w:tcW w:w="1739" w:type="dxa"/>
            <w:gridSpan w:val="2"/>
            <w:vAlign w:val="center"/>
          </w:tcPr>
          <w:p w14:paraId="281AD638">
            <w:pPr>
              <w:topLinePunct w:val="0"/>
              <w:adjustRightInd/>
              <w:spacing w:line="240" w:lineRule="auto"/>
              <w:ind w:firstLine="0" w:firstLineChars="0"/>
              <w:jc w:val="center"/>
              <w:textAlignment w:val="auto"/>
              <w:rPr>
                <w:bCs/>
                <w:iCs/>
                <w:snapToGrid w:val="0"/>
                <w:color w:val="auto"/>
                <w:kern w:val="2"/>
                <w:sz w:val="21"/>
                <w:szCs w:val="21"/>
                <w:highlight w:val="none"/>
              </w:rPr>
            </w:pPr>
            <w:r>
              <w:rPr>
                <w:bCs/>
                <w:iCs/>
                <w:snapToGrid w:val="0"/>
                <w:color w:val="auto"/>
                <w:sz w:val="21"/>
                <w:szCs w:val="21"/>
                <w:highlight w:val="none"/>
              </w:rPr>
              <w:t>总悬浮颗粒物（TSP）</w:t>
            </w:r>
          </w:p>
        </w:tc>
        <w:tc>
          <w:tcPr>
            <w:tcW w:w="5232" w:type="dxa"/>
            <w:vAlign w:val="center"/>
          </w:tcPr>
          <w:p w14:paraId="2898E69B">
            <w:pPr>
              <w:topLinePunct w:val="0"/>
              <w:adjustRightInd/>
              <w:spacing w:line="240" w:lineRule="auto"/>
              <w:ind w:firstLine="0" w:firstLineChars="0"/>
              <w:jc w:val="center"/>
              <w:textAlignment w:val="auto"/>
              <w:rPr>
                <w:bCs/>
                <w:iCs/>
                <w:snapToGrid w:val="0"/>
                <w:color w:val="auto"/>
                <w:sz w:val="21"/>
                <w:szCs w:val="21"/>
                <w:highlight w:val="none"/>
              </w:rPr>
            </w:pPr>
            <w:r>
              <w:rPr>
                <w:bCs/>
                <w:iCs/>
                <w:snapToGrid w:val="0"/>
                <w:color w:val="auto"/>
                <w:sz w:val="21"/>
                <w:szCs w:val="21"/>
                <w:highlight w:val="none"/>
              </w:rPr>
              <w:t xml:space="preserve">《环境空气 总悬浮颗粒物的测定 重量法》 </w:t>
            </w:r>
          </w:p>
          <w:p w14:paraId="0CD38DFF">
            <w:pPr>
              <w:topLinePunct w:val="0"/>
              <w:adjustRightInd/>
              <w:spacing w:line="240" w:lineRule="auto"/>
              <w:ind w:firstLine="0" w:firstLineChars="0"/>
              <w:jc w:val="center"/>
              <w:textAlignment w:val="auto"/>
              <w:rPr>
                <w:bCs/>
                <w:iCs/>
                <w:snapToGrid w:val="0"/>
                <w:color w:val="auto"/>
                <w:sz w:val="21"/>
                <w:szCs w:val="21"/>
                <w:highlight w:val="none"/>
              </w:rPr>
            </w:pPr>
            <w:r>
              <w:rPr>
                <w:bCs/>
                <w:iCs/>
                <w:snapToGrid w:val="0"/>
                <w:color w:val="auto"/>
                <w:sz w:val="21"/>
                <w:szCs w:val="21"/>
                <w:highlight w:val="none"/>
              </w:rPr>
              <w:t>（HJ 1263-2022）</w:t>
            </w:r>
          </w:p>
        </w:tc>
        <w:tc>
          <w:tcPr>
            <w:tcW w:w="1671" w:type="dxa"/>
            <w:vAlign w:val="center"/>
          </w:tcPr>
          <w:p w14:paraId="2AFB2044">
            <w:pPr>
              <w:topLinePunct w:val="0"/>
              <w:adjustRightInd/>
              <w:spacing w:line="240" w:lineRule="auto"/>
              <w:ind w:firstLine="0" w:firstLineChars="0"/>
              <w:jc w:val="center"/>
              <w:textAlignment w:val="auto"/>
              <w:rPr>
                <w:bCs/>
                <w:iCs/>
                <w:snapToGrid w:val="0"/>
                <w:color w:val="auto"/>
                <w:kern w:val="2"/>
                <w:sz w:val="21"/>
                <w:szCs w:val="21"/>
                <w:highlight w:val="none"/>
              </w:rPr>
            </w:pPr>
            <w:r>
              <w:rPr>
                <w:bCs/>
                <w:iCs/>
                <w:snapToGrid w:val="0"/>
                <w:color w:val="auto"/>
                <w:kern w:val="2"/>
                <w:sz w:val="21"/>
                <w:szCs w:val="21"/>
                <w:highlight w:val="none"/>
              </w:rPr>
              <w:t>7μg/m</w:t>
            </w:r>
            <w:r>
              <w:rPr>
                <w:bCs/>
                <w:iCs/>
                <w:snapToGrid w:val="0"/>
                <w:color w:val="auto"/>
                <w:kern w:val="2"/>
                <w:sz w:val="21"/>
                <w:szCs w:val="21"/>
                <w:highlight w:val="none"/>
                <w:vertAlign w:val="superscript"/>
              </w:rPr>
              <w:t>3</w:t>
            </w:r>
          </w:p>
        </w:tc>
      </w:tr>
      <w:tr w14:paraId="76300E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631ECFCC">
            <w:pPr>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3</w:t>
            </w:r>
          </w:p>
        </w:tc>
        <w:tc>
          <w:tcPr>
            <w:tcW w:w="1739" w:type="dxa"/>
            <w:gridSpan w:val="2"/>
            <w:vAlign w:val="center"/>
          </w:tcPr>
          <w:p w14:paraId="3016AB8A">
            <w:pPr>
              <w:topLinePunct w:val="0"/>
              <w:adjustRightInd/>
              <w:spacing w:line="240" w:lineRule="auto"/>
              <w:ind w:firstLine="0" w:firstLineChars="0"/>
              <w:jc w:val="center"/>
              <w:textAlignment w:val="auto"/>
              <w:rPr>
                <w:bCs/>
                <w:iCs/>
                <w:snapToGrid w:val="0"/>
                <w:color w:val="auto"/>
                <w:kern w:val="2"/>
                <w:sz w:val="21"/>
                <w:szCs w:val="21"/>
                <w:highlight w:val="none"/>
              </w:rPr>
            </w:pPr>
            <w:r>
              <w:rPr>
                <w:bCs/>
                <w:iCs/>
                <w:snapToGrid w:val="0"/>
                <w:color w:val="auto"/>
                <w:kern w:val="2"/>
                <w:sz w:val="21"/>
                <w:szCs w:val="21"/>
                <w:highlight w:val="none"/>
              </w:rPr>
              <w:t>非甲烷总烃</w:t>
            </w:r>
          </w:p>
        </w:tc>
        <w:tc>
          <w:tcPr>
            <w:tcW w:w="5232" w:type="dxa"/>
            <w:vAlign w:val="center"/>
          </w:tcPr>
          <w:p w14:paraId="70BF8C38">
            <w:pPr>
              <w:topLinePunct w:val="0"/>
              <w:adjustRightInd/>
              <w:spacing w:line="240" w:lineRule="auto"/>
              <w:ind w:firstLine="0" w:firstLineChars="0"/>
              <w:jc w:val="center"/>
              <w:textAlignment w:val="auto"/>
              <w:rPr>
                <w:bCs/>
                <w:iCs/>
                <w:snapToGrid w:val="0"/>
                <w:color w:val="auto"/>
                <w:kern w:val="2"/>
                <w:sz w:val="21"/>
                <w:szCs w:val="21"/>
                <w:highlight w:val="none"/>
              </w:rPr>
            </w:pPr>
            <w:r>
              <w:rPr>
                <w:bCs/>
                <w:iCs/>
                <w:snapToGrid w:val="0"/>
                <w:color w:val="auto"/>
                <w:sz w:val="21"/>
                <w:szCs w:val="21"/>
                <w:highlight w:val="none"/>
              </w:rPr>
              <w:t>《</w:t>
            </w:r>
            <w:r>
              <w:rPr>
                <w:bCs/>
                <w:iCs/>
                <w:snapToGrid w:val="0"/>
                <w:color w:val="auto"/>
                <w:kern w:val="2"/>
                <w:sz w:val="21"/>
                <w:szCs w:val="21"/>
                <w:highlight w:val="none"/>
              </w:rPr>
              <w:t>环境空气 总烃、甲烷和非甲烷总烃的测定</w:t>
            </w:r>
          </w:p>
          <w:p w14:paraId="7F733E4B">
            <w:pPr>
              <w:topLinePunct w:val="0"/>
              <w:adjustRightInd/>
              <w:spacing w:line="240" w:lineRule="auto"/>
              <w:ind w:firstLine="0" w:firstLineChars="0"/>
              <w:jc w:val="center"/>
              <w:textAlignment w:val="auto"/>
              <w:rPr>
                <w:bCs/>
                <w:iCs/>
                <w:snapToGrid w:val="0"/>
                <w:color w:val="auto"/>
                <w:kern w:val="2"/>
                <w:sz w:val="21"/>
                <w:szCs w:val="21"/>
                <w:highlight w:val="none"/>
              </w:rPr>
            </w:pPr>
            <w:r>
              <w:rPr>
                <w:bCs/>
                <w:iCs/>
                <w:snapToGrid w:val="0"/>
                <w:color w:val="auto"/>
                <w:kern w:val="2"/>
                <w:sz w:val="21"/>
                <w:szCs w:val="21"/>
                <w:highlight w:val="none"/>
              </w:rPr>
              <w:t>直接进样-气相色谱法</w:t>
            </w:r>
            <w:r>
              <w:rPr>
                <w:bCs/>
                <w:iCs/>
                <w:snapToGrid w:val="0"/>
                <w:color w:val="auto"/>
                <w:sz w:val="21"/>
                <w:szCs w:val="21"/>
                <w:highlight w:val="none"/>
              </w:rPr>
              <w:t>》（</w:t>
            </w:r>
            <w:r>
              <w:rPr>
                <w:bCs/>
                <w:iCs/>
                <w:snapToGrid w:val="0"/>
                <w:color w:val="auto"/>
                <w:kern w:val="2"/>
                <w:sz w:val="21"/>
                <w:szCs w:val="21"/>
                <w:highlight w:val="none"/>
              </w:rPr>
              <w:t>HJ 604-2017</w:t>
            </w:r>
            <w:r>
              <w:rPr>
                <w:bCs/>
                <w:iCs/>
                <w:snapToGrid w:val="0"/>
                <w:color w:val="auto"/>
                <w:sz w:val="21"/>
                <w:szCs w:val="21"/>
                <w:highlight w:val="none"/>
              </w:rPr>
              <w:t>）</w:t>
            </w:r>
          </w:p>
        </w:tc>
        <w:tc>
          <w:tcPr>
            <w:tcW w:w="1671" w:type="dxa"/>
            <w:vAlign w:val="center"/>
          </w:tcPr>
          <w:p w14:paraId="0329D07D">
            <w:pPr>
              <w:topLinePunct w:val="0"/>
              <w:adjustRightInd/>
              <w:spacing w:line="240" w:lineRule="auto"/>
              <w:ind w:firstLine="0" w:firstLineChars="0"/>
              <w:jc w:val="center"/>
              <w:textAlignment w:val="auto"/>
              <w:rPr>
                <w:bCs/>
                <w:iCs/>
                <w:snapToGrid w:val="0"/>
                <w:color w:val="auto"/>
                <w:kern w:val="2"/>
                <w:sz w:val="21"/>
                <w:szCs w:val="21"/>
                <w:highlight w:val="none"/>
              </w:rPr>
            </w:pPr>
            <w:r>
              <w:rPr>
                <w:bCs/>
                <w:iCs/>
                <w:snapToGrid w:val="0"/>
                <w:color w:val="auto"/>
                <w:kern w:val="2"/>
                <w:sz w:val="21"/>
                <w:szCs w:val="21"/>
                <w:highlight w:val="none"/>
              </w:rPr>
              <w:t>0.07</w:t>
            </w:r>
            <w:r>
              <w:rPr>
                <w:bCs/>
                <w:iCs/>
                <w:snapToGrid w:val="0"/>
                <w:color w:val="auto"/>
                <w:sz w:val="21"/>
                <w:szCs w:val="21"/>
                <w:highlight w:val="none"/>
              </w:rPr>
              <w:t>mg/m</w:t>
            </w:r>
            <w:r>
              <w:rPr>
                <w:bCs/>
                <w:iCs/>
                <w:snapToGrid w:val="0"/>
                <w:color w:val="auto"/>
                <w:sz w:val="21"/>
                <w:szCs w:val="21"/>
                <w:highlight w:val="none"/>
                <w:vertAlign w:val="superscript"/>
              </w:rPr>
              <w:t>3</w:t>
            </w:r>
          </w:p>
        </w:tc>
      </w:tr>
      <w:tr w14:paraId="00C4EA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2C96C204">
            <w:pPr>
              <w:widowControl/>
              <w:topLinePunct w:val="0"/>
              <w:adjustRightInd/>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4</w:t>
            </w:r>
          </w:p>
        </w:tc>
        <w:tc>
          <w:tcPr>
            <w:tcW w:w="1739" w:type="dxa"/>
            <w:gridSpan w:val="2"/>
            <w:vAlign w:val="center"/>
          </w:tcPr>
          <w:p w14:paraId="2E9DE919">
            <w:pPr>
              <w:topLinePunct w:val="0"/>
              <w:adjustRightInd/>
              <w:spacing w:line="240" w:lineRule="auto"/>
              <w:ind w:firstLine="0" w:firstLineChars="0"/>
              <w:jc w:val="center"/>
              <w:textAlignment w:val="auto"/>
              <w:rPr>
                <w:bCs/>
                <w:iCs/>
                <w:snapToGrid w:val="0"/>
                <w:color w:val="auto"/>
                <w:kern w:val="2"/>
                <w:sz w:val="21"/>
                <w:szCs w:val="21"/>
                <w:highlight w:val="none"/>
              </w:rPr>
            </w:pPr>
            <w:r>
              <w:rPr>
                <w:bCs/>
                <w:iCs/>
                <w:snapToGrid w:val="0"/>
                <w:color w:val="auto"/>
                <w:kern w:val="2"/>
                <w:sz w:val="21"/>
                <w:szCs w:val="21"/>
                <w:highlight w:val="none"/>
              </w:rPr>
              <w:t>苯</w:t>
            </w:r>
          </w:p>
        </w:tc>
        <w:tc>
          <w:tcPr>
            <w:tcW w:w="5232" w:type="dxa"/>
            <w:vMerge w:val="restart"/>
            <w:vAlign w:val="center"/>
          </w:tcPr>
          <w:p w14:paraId="7B042F28">
            <w:pPr>
              <w:widowControl/>
              <w:spacing w:line="240" w:lineRule="auto"/>
              <w:ind w:firstLine="0" w:firstLineChars="0"/>
              <w:jc w:val="center"/>
              <w:textAlignment w:val="center"/>
              <w:rPr>
                <w:bCs/>
                <w:iCs/>
                <w:snapToGrid w:val="0"/>
                <w:color w:val="auto"/>
                <w:kern w:val="2"/>
                <w:sz w:val="21"/>
                <w:szCs w:val="21"/>
                <w:highlight w:val="none"/>
              </w:rPr>
            </w:pPr>
            <w:r>
              <w:rPr>
                <w:bCs/>
                <w:iCs w:val="0"/>
                <w:snapToGrid w:val="0"/>
                <w:color w:val="auto"/>
                <w:sz w:val="21"/>
                <w:szCs w:val="21"/>
                <w:highlight w:val="none"/>
                <w:lang w:bidi="ar"/>
              </w:rPr>
              <w:t xml:space="preserve">《环境空气 苯系物的测定 活性碳吸附/二硫化碳解吸-气相色谱法》（HJ 584-2010） </w:t>
            </w:r>
          </w:p>
        </w:tc>
        <w:tc>
          <w:tcPr>
            <w:tcW w:w="1671" w:type="dxa"/>
            <w:vAlign w:val="center"/>
          </w:tcPr>
          <w:p w14:paraId="6A9211E2">
            <w:pPr>
              <w:topLinePunct w:val="0"/>
              <w:adjustRightInd/>
              <w:spacing w:line="240" w:lineRule="auto"/>
              <w:ind w:firstLine="0" w:firstLineChars="0"/>
              <w:jc w:val="center"/>
              <w:textAlignment w:val="auto"/>
              <w:rPr>
                <w:bCs/>
                <w:iCs/>
                <w:snapToGrid w:val="0"/>
                <w:color w:val="auto"/>
                <w:kern w:val="2"/>
                <w:sz w:val="21"/>
                <w:szCs w:val="21"/>
                <w:highlight w:val="none"/>
              </w:rPr>
            </w:pPr>
            <w:r>
              <w:rPr>
                <w:bCs/>
                <w:iCs/>
                <w:snapToGrid w:val="0"/>
                <w:color w:val="auto"/>
                <w:sz w:val="21"/>
                <w:szCs w:val="21"/>
                <w:highlight w:val="none"/>
              </w:rPr>
              <w:t>1.5×10</w:t>
            </w:r>
            <w:r>
              <w:rPr>
                <w:bCs/>
                <w:iCs/>
                <w:snapToGrid w:val="0"/>
                <w:color w:val="auto"/>
                <w:sz w:val="21"/>
                <w:szCs w:val="21"/>
                <w:highlight w:val="none"/>
                <w:vertAlign w:val="superscript"/>
              </w:rPr>
              <w:t>-3</w:t>
            </w:r>
            <w:r>
              <w:rPr>
                <w:bCs/>
                <w:iCs/>
                <w:snapToGrid w:val="0"/>
                <w:color w:val="auto"/>
                <w:sz w:val="21"/>
                <w:szCs w:val="21"/>
                <w:highlight w:val="none"/>
              </w:rPr>
              <w:t>mg/m</w:t>
            </w:r>
            <w:r>
              <w:rPr>
                <w:bCs/>
                <w:iCs/>
                <w:snapToGrid w:val="0"/>
                <w:color w:val="auto"/>
                <w:sz w:val="21"/>
                <w:szCs w:val="21"/>
                <w:highlight w:val="none"/>
                <w:vertAlign w:val="superscript"/>
              </w:rPr>
              <w:t>3</w:t>
            </w:r>
          </w:p>
        </w:tc>
      </w:tr>
      <w:tr w14:paraId="6CEEA4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1D6FF923">
            <w:pPr>
              <w:widowControl/>
              <w:topLinePunct w:val="0"/>
              <w:adjustRightInd/>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5</w:t>
            </w:r>
          </w:p>
        </w:tc>
        <w:tc>
          <w:tcPr>
            <w:tcW w:w="1739" w:type="dxa"/>
            <w:gridSpan w:val="2"/>
            <w:vAlign w:val="center"/>
          </w:tcPr>
          <w:p w14:paraId="6BB57E91">
            <w:pPr>
              <w:topLinePunct w:val="0"/>
              <w:adjustRightInd/>
              <w:spacing w:line="240" w:lineRule="auto"/>
              <w:ind w:firstLine="0" w:firstLineChars="0"/>
              <w:jc w:val="center"/>
              <w:textAlignment w:val="auto"/>
              <w:rPr>
                <w:bCs/>
                <w:iCs/>
                <w:snapToGrid w:val="0"/>
                <w:color w:val="auto"/>
                <w:kern w:val="2"/>
                <w:sz w:val="21"/>
                <w:szCs w:val="21"/>
                <w:highlight w:val="none"/>
              </w:rPr>
            </w:pPr>
            <w:r>
              <w:rPr>
                <w:bCs/>
                <w:iCs/>
                <w:snapToGrid w:val="0"/>
                <w:color w:val="auto"/>
                <w:kern w:val="2"/>
                <w:sz w:val="21"/>
                <w:szCs w:val="21"/>
                <w:highlight w:val="none"/>
              </w:rPr>
              <w:t>甲苯</w:t>
            </w:r>
          </w:p>
        </w:tc>
        <w:tc>
          <w:tcPr>
            <w:tcW w:w="5232" w:type="dxa"/>
            <w:vMerge w:val="continue"/>
            <w:vAlign w:val="center"/>
          </w:tcPr>
          <w:p w14:paraId="2CC577A0">
            <w:pPr>
              <w:topLinePunct w:val="0"/>
              <w:adjustRightInd/>
              <w:spacing w:line="240" w:lineRule="auto"/>
              <w:ind w:firstLine="0" w:firstLineChars="0"/>
              <w:jc w:val="center"/>
              <w:textAlignment w:val="auto"/>
              <w:rPr>
                <w:bCs/>
                <w:iCs/>
                <w:snapToGrid w:val="0"/>
                <w:color w:val="auto"/>
                <w:kern w:val="2"/>
                <w:sz w:val="21"/>
                <w:szCs w:val="21"/>
                <w:highlight w:val="none"/>
              </w:rPr>
            </w:pPr>
          </w:p>
          <w:p w14:paraId="2E8B096C">
            <w:pPr>
              <w:topLinePunct w:val="0"/>
              <w:adjustRightInd/>
              <w:spacing w:line="240" w:lineRule="auto"/>
              <w:ind w:firstLine="0" w:firstLineChars="0"/>
              <w:jc w:val="center"/>
              <w:textAlignment w:val="auto"/>
              <w:rPr>
                <w:bCs/>
                <w:iCs/>
                <w:snapToGrid w:val="0"/>
                <w:color w:val="auto"/>
                <w:sz w:val="21"/>
                <w:szCs w:val="21"/>
                <w:highlight w:val="none"/>
                <w:vertAlign w:val="superscript"/>
              </w:rPr>
            </w:pPr>
            <w:r>
              <w:rPr>
                <w:bCs/>
                <w:iCs/>
                <w:snapToGrid w:val="0"/>
                <w:color w:val="auto"/>
                <w:sz w:val="21"/>
                <w:szCs w:val="21"/>
                <w:highlight w:val="none"/>
              </w:rPr>
              <w:t>5.0×10</w:t>
            </w:r>
            <w:r>
              <w:rPr>
                <w:bCs/>
                <w:iCs/>
                <w:snapToGrid w:val="0"/>
                <w:color w:val="auto"/>
                <w:sz w:val="21"/>
                <w:szCs w:val="21"/>
                <w:highlight w:val="none"/>
                <w:vertAlign w:val="superscript"/>
              </w:rPr>
              <w:t>-4</w:t>
            </w:r>
            <w:r>
              <w:rPr>
                <w:bCs/>
                <w:iCs/>
                <w:snapToGrid w:val="0"/>
                <w:color w:val="auto"/>
                <w:sz w:val="21"/>
                <w:szCs w:val="21"/>
                <w:highlight w:val="none"/>
              </w:rPr>
              <w:t>mg/m</w:t>
            </w:r>
            <w:r>
              <w:rPr>
                <w:bCs/>
                <w:iCs/>
                <w:snapToGrid w:val="0"/>
                <w:color w:val="auto"/>
                <w:sz w:val="21"/>
                <w:szCs w:val="21"/>
                <w:highlight w:val="none"/>
                <w:vertAlign w:val="superscript"/>
              </w:rPr>
              <w:t>3</w:t>
            </w:r>
          </w:p>
          <w:p w14:paraId="26F534F9">
            <w:pPr>
              <w:topLinePunct w:val="0"/>
              <w:adjustRightInd/>
              <w:spacing w:line="240" w:lineRule="auto"/>
              <w:ind w:firstLine="0" w:firstLineChars="0"/>
              <w:jc w:val="center"/>
              <w:textAlignment w:val="auto"/>
              <w:rPr>
                <w:bCs/>
                <w:iCs/>
                <w:snapToGrid w:val="0"/>
                <w:color w:val="auto"/>
                <w:sz w:val="21"/>
                <w:szCs w:val="21"/>
                <w:highlight w:val="none"/>
                <w:vertAlign w:val="superscript"/>
              </w:rPr>
            </w:pPr>
            <w:r>
              <w:rPr>
                <w:bCs/>
                <w:iCs/>
                <w:snapToGrid w:val="0"/>
                <w:color w:val="auto"/>
                <w:sz w:val="21"/>
                <w:szCs w:val="21"/>
                <w:highlight w:val="none"/>
              </w:rPr>
              <w:t>5.0×10</w:t>
            </w:r>
            <w:r>
              <w:rPr>
                <w:bCs/>
                <w:iCs/>
                <w:snapToGrid w:val="0"/>
                <w:color w:val="auto"/>
                <w:sz w:val="21"/>
                <w:szCs w:val="21"/>
                <w:highlight w:val="none"/>
                <w:vertAlign w:val="superscript"/>
              </w:rPr>
              <w:t>-4</w:t>
            </w:r>
            <w:r>
              <w:rPr>
                <w:bCs/>
                <w:iCs/>
                <w:snapToGrid w:val="0"/>
                <w:color w:val="auto"/>
                <w:sz w:val="21"/>
                <w:szCs w:val="21"/>
                <w:highlight w:val="none"/>
              </w:rPr>
              <w:t>mg/m</w:t>
            </w:r>
            <w:r>
              <w:rPr>
                <w:bCs/>
                <w:iCs/>
                <w:snapToGrid w:val="0"/>
                <w:color w:val="auto"/>
                <w:sz w:val="21"/>
                <w:szCs w:val="21"/>
                <w:highlight w:val="none"/>
                <w:vertAlign w:val="superscript"/>
              </w:rPr>
              <w:t>3</w:t>
            </w:r>
          </w:p>
          <w:p w14:paraId="27FE0BE6">
            <w:pPr>
              <w:topLinePunct w:val="0"/>
              <w:adjustRightInd/>
              <w:spacing w:line="240" w:lineRule="auto"/>
              <w:ind w:firstLine="0" w:firstLineChars="0"/>
              <w:jc w:val="center"/>
              <w:textAlignment w:val="auto"/>
              <w:rPr>
                <w:bCs/>
                <w:iCs/>
                <w:snapToGrid w:val="0"/>
                <w:color w:val="auto"/>
                <w:sz w:val="21"/>
                <w:szCs w:val="21"/>
                <w:highlight w:val="none"/>
                <w:vertAlign w:val="superscript"/>
              </w:rPr>
            </w:pPr>
            <w:r>
              <w:rPr>
                <w:bCs/>
                <w:iCs/>
                <w:snapToGrid w:val="0"/>
                <w:color w:val="auto"/>
                <w:sz w:val="21"/>
                <w:szCs w:val="21"/>
                <w:highlight w:val="none"/>
              </w:rPr>
              <w:t>5.0×10</w:t>
            </w:r>
            <w:r>
              <w:rPr>
                <w:bCs/>
                <w:iCs/>
                <w:snapToGrid w:val="0"/>
                <w:color w:val="auto"/>
                <w:sz w:val="21"/>
                <w:szCs w:val="21"/>
                <w:highlight w:val="none"/>
                <w:vertAlign w:val="superscript"/>
              </w:rPr>
              <w:t>-4</w:t>
            </w:r>
            <w:r>
              <w:rPr>
                <w:bCs/>
                <w:iCs/>
                <w:snapToGrid w:val="0"/>
                <w:color w:val="auto"/>
                <w:sz w:val="21"/>
                <w:szCs w:val="21"/>
                <w:highlight w:val="none"/>
              </w:rPr>
              <w:t>mg/m</w:t>
            </w:r>
            <w:r>
              <w:rPr>
                <w:bCs/>
                <w:iCs/>
                <w:snapToGrid w:val="0"/>
                <w:color w:val="auto"/>
                <w:sz w:val="21"/>
                <w:szCs w:val="21"/>
                <w:highlight w:val="none"/>
                <w:vertAlign w:val="superscript"/>
              </w:rPr>
              <w:t>3</w:t>
            </w:r>
          </w:p>
          <w:p w14:paraId="581B4F6B">
            <w:pPr>
              <w:topLinePunct w:val="0"/>
              <w:adjustRightInd/>
              <w:spacing w:line="240" w:lineRule="auto"/>
              <w:ind w:firstLine="0" w:firstLineChars="0"/>
              <w:jc w:val="center"/>
              <w:textAlignment w:val="auto"/>
              <w:rPr>
                <w:bCs/>
                <w:iCs/>
                <w:snapToGrid w:val="0"/>
                <w:color w:val="auto"/>
                <w:sz w:val="21"/>
                <w:szCs w:val="21"/>
                <w:highlight w:val="none"/>
                <w:vertAlign w:val="superscript"/>
              </w:rPr>
            </w:pPr>
            <w:r>
              <w:rPr>
                <w:bCs/>
                <w:iCs/>
                <w:snapToGrid w:val="0"/>
                <w:color w:val="auto"/>
                <w:sz w:val="21"/>
                <w:szCs w:val="21"/>
                <w:highlight w:val="none"/>
              </w:rPr>
              <w:t>1.5×10</w:t>
            </w:r>
            <w:r>
              <w:rPr>
                <w:bCs/>
                <w:iCs/>
                <w:snapToGrid w:val="0"/>
                <w:color w:val="auto"/>
                <w:sz w:val="21"/>
                <w:szCs w:val="21"/>
                <w:highlight w:val="none"/>
                <w:vertAlign w:val="superscript"/>
              </w:rPr>
              <w:t>-3</w:t>
            </w:r>
            <w:r>
              <w:rPr>
                <w:bCs/>
                <w:iCs/>
                <w:snapToGrid w:val="0"/>
                <w:color w:val="auto"/>
                <w:sz w:val="21"/>
                <w:szCs w:val="21"/>
                <w:highlight w:val="none"/>
              </w:rPr>
              <w:t>mg/m</w:t>
            </w:r>
            <w:r>
              <w:rPr>
                <w:bCs/>
                <w:iCs/>
                <w:snapToGrid w:val="0"/>
                <w:color w:val="auto"/>
                <w:sz w:val="21"/>
                <w:szCs w:val="21"/>
                <w:highlight w:val="none"/>
                <w:vertAlign w:val="superscript"/>
              </w:rPr>
              <w:t>3</w:t>
            </w:r>
          </w:p>
          <w:p w14:paraId="2AC2A60C">
            <w:pPr>
              <w:topLinePunct w:val="0"/>
              <w:adjustRightInd/>
              <w:spacing w:line="240" w:lineRule="auto"/>
              <w:ind w:firstLine="0" w:firstLineChars="0"/>
              <w:jc w:val="center"/>
              <w:textAlignment w:val="auto"/>
              <w:rPr>
                <w:bCs/>
                <w:iCs/>
                <w:snapToGrid w:val="0"/>
                <w:color w:val="auto"/>
                <w:sz w:val="21"/>
                <w:szCs w:val="21"/>
                <w:highlight w:val="none"/>
                <w:vertAlign w:val="superscript"/>
              </w:rPr>
            </w:pPr>
            <w:r>
              <w:rPr>
                <w:bCs/>
                <w:iCs/>
                <w:snapToGrid w:val="0"/>
                <w:color w:val="auto"/>
                <w:sz w:val="21"/>
                <w:szCs w:val="21"/>
                <w:highlight w:val="none"/>
              </w:rPr>
              <w:t>1.5×10</w:t>
            </w:r>
            <w:r>
              <w:rPr>
                <w:bCs/>
                <w:iCs/>
                <w:snapToGrid w:val="0"/>
                <w:color w:val="auto"/>
                <w:sz w:val="21"/>
                <w:szCs w:val="21"/>
                <w:highlight w:val="none"/>
                <w:vertAlign w:val="superscript"/>
              </w:rPr>
              <w:t>-3</w:t>
            </w:r>
            <w:r>
              <w:rPr>
                <w:bCs/>
                <w:iCs/>
                <w:snapToGrid w:val="0"/>
                <w:color w:val="auto"/>
                <w:sz w:val="21"/>
                <w:szCs w:val="21"/>
                <w:highlight w:val="none"/>
              </w:rPr>
              <w:t>mg/m</w:t>
            </w:r>
            <w:r>
              <w:rPr>
                <w:bCs/>
                <w:iCs/>
                <w:snapToGrid w:val="0"/>
                <w:color w:val="auto"/>
                <w:sz w:val="21"/>
                <w:szCs w:val="21"/>
                <w:highlight w:val="none"/>
                <w:vertAlign w:val="superscript"/>
              </w:rPr>
              <w:t>3</w:t>
            </w:r>
          </w:p>
          <w:p w14:paraId="0868DC9A">
            <w:pPr>
              <w:topLinePunct w:val="0"/>
              <w:adjustRightInd/>
              <w:spacing w:line="240" w:lineRule="auto"/>
              <w:ind w:firstLine="0" w:firstLineChars="0"/>
              <w:jc w:val="center"/>
              <w:textAlignment w:val="auto"/>
              <w:rPr>
                <w:bCs/>
                <w:iCs/>
                <w:snapToGrid w:val="0"/>
                <w:color w:val="auto"/>
                <w:sz w:val="21"/>
                <w:szCs w:val="21"/>
                <w:highlight w:val="none"/>
                <w:vertAlign w:val="superscript"/>
              </w:rPr>
            </w:pPr>
            <w:r>
              <w:rPr>
                <w:bCs/>
                <w:iCs/>
                <w:snapToGrid w:val="0"/>
                <w:color w:val="auto"/>
                <w:sz w:val="21"/>
                <w:szCs w:val="21"/>
                <w:highlight w:val="none"/>
              </w:rPr>
              <w:t>1.5×10</w:t>
            </w:r>
            <w:r>
              <w:rPr>
                <w:bCs/>
                <w:iCs/>
                <w:snapToGrid w:val="0"/>
                <w:color w:val="auto"/>
                <w:sz w:val="21"/>
                <w:szCs w:val="21"/>
                <w:highlight w:val="none"/>
                <w:vertAlign w:val="superscript"/>
              </w:rPr>
              <w:t>-3</w:t>
            </w:r>
            <w:r>
              <w:rPr>
                <w:bCs/>
                <w:iCs/>
                <w:snapToGrid w:val="0"/>
                <w:color w:val="auto"/>
                <w:sz w:val="21"/>
                <w:szCs w:val="21"/>
                <w:highlight w:val="none"/>
              </w:rPr>
              <w:t>mg/m</w:t>
            </w:r>
            <w:r>
              <w:rPr>
                <w:bCs/>
                <w:iCs/>
                <w:snapToGrid w:val="0"/>
                <w:color w:val="auto"/>
                <w:sz w:val="21"/>
                <w:szCs w:val="21"/>
                <w:highlight w:val="none"/>
                <w:vertAlign w:val="superscript"/>
              </w:rPr>
              <w:t>3</w:t>
            </w:r>
          </w:p>
        </w:tc>
        <w:tc>
          <w:tcPr>
            <w:tcW w:w="1671" w:type="dxa"/>
            <w:vAlign w:val="center"/>
          </w:tcPr>
          <w:p w14:paraId="39E3A2F0">
            <w:pPr>
              <w:topLinePunct w:val="0"/>
              <w:adjustRightInd/>
              <w:spacing w:line="240" w:lineRule="auto"/>
              <w:ind w:firstLine="0" w:firstLineChars="0"/>
              <w:jc w:val="center"/>
              <w:textAlignment w:val="auto"/>
              <w:rPr>
                <w:bCs/>
                <w:iCs/>
                <w:snapToGrid w:val="0"/>
                <w:color w:val="auto"/>
                <w:kern w:val="2"/>
                <w:sz w:val="21"/>
                <w:szCs w:val="21"/>
                <w:highlight w:val="none"/>
              </w:rPr>
            </w:pPr>
            <w:r>
              <w:rPr>
                <w:bCs/>
                <w:iCs/>
                <w:snapToGrid w:val="0"/>
                <w:color w:val="auto"/>
                <w:sz w:val="21"/>
                <w:szCs w:val="21"/>
                <w:highlight w:val="none"/>
              </w:rPr>
              <w:t>1.5×10</w:t>
            </w:r>
            <w:r>
              <w:rPr>
                <w:bCs/>
                <w:iCs/>
                <w:snapToGrid w:val="0"/>
                <w:color w:val="auto"/>
                <w:sz w:val="21"/>
                <w:szCs w:val="21"/>
                <w:highlight w:val="none"/>
                <w:vertAlign w:val="superscript"/>
              </w:rPr>
              <w:t>-3</w:t>
            </w:r>
            <w:r>
              <w:rPr>
                <w:bCs/>
                <w:iCs/>
                <w:snapToGrid w:val="0"/>
                <w:color w:val="auto"/>
                <w:sz w:val="21"/>
                <w:szCs w:val="21"/>
                <w:highlight w:val="none"/>
              </w:rPr>
              <w:t>mg/m</w:t>
            </w:r>
            <w:r>
              <w:rPr>
                <w:bCs/>
                <w:iCs/>
                <w:snapToGrid w:val="0"/>
                <w:color w:val="auto"/>
                <w:sz w:val="21"/>
                <w:szCs w:val="21"/>
                <w:highlight w:val="none"/>
                <w:vertAlign w:val="superscript"/>
              </w:rPr>
              <w:t>3</w:t>
            </w:r>
          </w:p>
        </w:tc>
      </w:tr>
      <w:tr w14:paraId="652475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Merge w:val="restart"/>
            <w:vAlign w:val="center"/>
          </w:tcPr>
          <w:p w14:paraId="1A2428BA">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6</w:t>
            </w:r>
          </w:p>
        </w:tc>
        <w:tc>
          <w:tcPr>
            <w:tcW w:w="535" w:type="dxa"/>
            <w:vMerge w:val="restart"/>
            <w:vAlign w:val="center"/>
          </w:tcPr>
          <w:p w14:paraId="783B302C">
            <w:pPr>
              <w:topLinePunct w:val="0"/>
              <w:adjustRightInd/>
              <w:spacing w:line="240" w:lineRule="auto"/>
              <w:ind w:firstLine="0" w:firstLineChars="0"/>
              <w:jc w:val="center"/>
              <w:textAlignment w:val="auto"/>
              <w:rPr>
                <w:bCs/>
                <w:iCs/>
                <w:snapToGrid w:val="0"/>
                <w:color w:val="auto"/>
                <w:kern w:val="2"/>
                <w:sz w:val="21"/>
                <w:szCs w:val="21"/>
                <w:highlight w:val="none"/>
              </w:rPr>
            </w:pPr>
            <w:r>
              <w:rPr>
                <w:bCs/>
                <w:iCs/>
                <w:snapToGrid w:val="0"/>
                <w:color w:val="auto"/>
                <w:kern w:val="2"/>
                <w:sz w:val="21"/>
                <w:szCs w:val="21"/>
                <w:highlight w:val="none"/>
              </w:rPr>
              <w:t>二甲苯</w:t>
            </w:r>
          </w:p>
        </w:tc>
        <w:tc>
          <w:tcPr>
            <w:tcW w:w="1204" w:type="dxa"/>
            <w:vAlign w:val="center"/>
          </w:tcPr>
          <w:p w14:paraId="11B40891">
            <w:pPr>
              <w:topLinePunct w:val="0"/>
              <w:adjustRightInd/>
              <w:spacing w:line="240" w:lineRule="auto"/>
              <w:ind w:firstLine="0" w:firstLineChars="0"/>
              <w:jc w:val="center"/>
              <w:textAlignment w:val="auto"/>
              <w:rPr>
                <w:bCs/>
                <w:iCs/>
                <w:snapToGrid w:val="0"/>
                <w:color w:val="auto"/>
                <w:kern w:val="2"/>
                <w:sz w:val="21"/>
                <w:szCs w:val="21"/>
                <w:highlight w:val="none"/>
              </w:rPr>
            </w:pPr>
            <w:r>
              <w:rPr>
                <w:bCs/>
                <w:iCs/>
                <w:snapToGrid w:val="0"/>
                <w:color w:val="auto"/>
                <w:sz w:val="21"/>
                <w:szCs w:val="21"/>
                <w:highlight w:val="none"/>
              </w:rPr>
              <w:t>对二甲苯</w:t>
            </w:r>
          </w:p>
        </w:tc>
        <w:tc>
          <w:tcPr>
            <w:tcW w:w="5232" w:type="dxa"/>
            <w:vMerge w:val="continue"/>
            <w:vAlign w:val="center"/>
          </w:tcPr>
          <w:p w14:paraId="42B94A76">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596A7C03">
            <w:pPr>
              <w:topLinePunct w:val="0"/>
              <w:adjustRightInd/>
              <w:spacing w:line="240" w:lineRule="auto"/>
              <w:ind w:firstLine="0" w:firstLineChars="0"/>
              <w:jc w:val="center"/>
              <w:textAlignment w:val="auto"/>
              <w:rPr>
                <w:bCs/>
                <w:iCs/>
                <w:snapToGrid w:val="0"/>
                <w:color w:val="auto"/>
                <w:kern w:val="2"/>
                <w:sz w:val="21"/>
                <w:szCs w:val="21"/>
                <w:highlight w:val="none"/>
              </w:rPr>
            </w:pPr>
            <w:r>
              <w:rPr>
                <w:bCs/>
                <w:iCs/>
                <w:snapToGrid w:val="0"/>
                <w:color w:val="auto"/>
                <w:sz w:val="21"/>
                <w:szCs w:val="21"/>
                <w:highlight w:val="none"/>
              </w:rPr>
              <w:t>1.5×10</w:t>
            </w:r>
            <w:r>
              <w:rPr>
                <w:bCs/>
                <w:iCs/>
                <w:snapToGrid w:val="0"/>
                <w:color w:val="auto"/>
                <w:sz w:val="21"/>
                <w:szCs w:val="21"/>
                <w:highlight w:val="none"/>
                <w:vertAlign w:val="superscript"/>
              </w:rPr>
              <w:t>-3</w:t>
            </w:r>
            <w:r>
              <w:rPr>
                <w:bCs/>
                <w:iCs/>
                <w:snapToGrid w:val="0"/>
                <w:color w:val="auto"/>
                <w:sz w:val="21"/>
                <w:szCs w:val="21"/>
                <w:highlight w:val="none"/>
              </w:rPr>
              <w:t>mg/m</w:t>
            </w:r>
            <w:r>
              <w:rPr>
                <w:bCs/>
                <w:iCs/>
                <w:snapToGrid w:val="0"/>
                <w:color w:val="auto"/>
                <w:sz w:val="21"/>
                <w:szCs w:val="21"/>
                <w:highlight w:val="none"/>
                <w:vertAlign w:val="superscript"/>
              </w:rPr>
              <w:t>3</w:t>
            </w:r>
          </w:p>
        </w:tc>
      </w:tr>
      <w:tr w14:paraId="193DD2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Merge w:val="continue"/>
            <w:vAlign w:val="center"/>
          </w:tcPr>
          <w:p w14:paraId="42BE82BB">
            <w:pPr>
              <w:widowControl/>
              <w:spacing w:line="240" w:lineRule="auto"/>
              <w:ind w:firstLine="0" w:firstLineChars="0"/>
              <w:jc w:val="center"/>
              <w:textAlignment w:val="center"/>
              <w:rPr>
                <w:bCs/>
                <w:iCs/>
                <w:snapToGrid w:val="0"/>
                <w:color w:val="auto"/>
                <w:kern w:val="2"/>
                <w:sz w:val="21"/>
                <w:szCs w:val="21"/>
                <w:highlight w:val="none"/>
              </w:rPr>
            </w:pPr>
          </w:p>
        </w:tc>
        <w:tc>
          <w:tcPr>
            <w:tcW w:w="535" w:type="dxa"/>
            <w:vMerge w:val="continue"/>
            <w:vAlign w:val="center"/>
          </w:tcPr>
          <w:p w14:paraId="21AA17FA">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204" w:type="dxa"/>
            <w:vAlign w:val="center"/>
          </w:tcPr>
          <w:p w14:paraId="156695B5">
            <w:pPr>
              <w:topLinePunct w:val="0"/>
              <w:adjustRightInd/>
              <w:spacing w:line="240" w:lineRule="auto"/>
              <w:ind w:firstLine="0" w:firstLineChars="0"/>
              <w:jc w:val="center"/>
              <w:textAlignment w:val="auto"/>
              <w:rPr>
                <w:bCs/>
                <w:iCs/>
                <w:snapToGrid w:val="0"/>
                <w:color w:val="auto"/>
                <w:kern w:val="2"/>
                <w:sz w:val="21"/>
                <w:szCs w:val="21"/>
                <w:highlight w:val="none"/>
              </w:rPr>
            </w:pPr>
            <w:r>
              <w:rPr>
                <w:bCs/>
                <w:iCs/>
                <w:snapToGrid w:val="0"/>
                <w:color w:val="auto"/>
                <w:sz w:val="21"/>
                <w:szCs w:val="21"/>
                <w:highlight w:val="none"/>
              </w:rPr>
              <w:t>间二甲苯</w:t>
            </w:r>
          </w:p>
        </w:tc>
        <w:tc>
          <w:tcPr>
            <w:tcW w:w="5232" w:type="dxa"/>
            <w:vMerge w:val="continue"/>
            <w:vAlign w:val="center"/>
          </w:tcPr>
          <w:p w14:paraId="1B8A09F6">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19ACE79B">
            <w:pPr>
              <w:topLinePunct w:val="0"/>
              <w:adjustRightInd/>
              <w:spacing w:line="240" w:lineRule="auto"/>
              <w:ind w:firstLine="0" w:firstLineChars="0"/>
              <w:jc w:val="center"/>
              <w:textAlignment w:val="auto"/>
              <w:rPr>
                <w:bCs/>
                <w:iCs/>
                <w:snapToGrid w:val="0"/>
                <w:color w:val="auto"/>
                <w:kern w:val="2"/>
                <w:sz w:val="21"/>
                <w:szCs w:val="21"/>
                <w:highlight w:val="none"/>
              </w:rPr>
            </w:pPr>
            <w:r>
              <w:rPr>
                <w:bCs/>
                <w:iCs/>
                <w:snapToGrid w:val="0"/>
                <w:color w:val="auto"/>
                <w:sz w:val="21"/>
                <w:szCs w:val="21"/>
                <w:highlight w:val="none"/>
              </w:rPr>
              <w:t>1.5×10</w:t>
            </w:r>
            <w:r>
              <w:rPr>
                <w:bCs/>
                <w:iCs/>
                <w:snapToGrid w:val="0"/>
                <w:color w:val="auto"/>
                <w:sz w:val="21"/>
                <w:szCs w:val="21"/>
                <w:highlight w:val="none"/>
                <w:vertAlign w:val="superscript"/>
              </w:rPr>
              <w:t>-3</w:t>
            </w:r>
            <w:r>
              <w:rPr>
                <w:bCs/>
                <w:iCs/>
                <w:snapToGrid w:val="0"/>
                <w:color w:val="auto"/>
                <w:sz w:val="21"/>
                <w:szCs w:val="21"/>
                <w:highlight w:val="none"/>
              </w:rPr>
              <w:t>mg/m</w:t>
            </w:r>
            <w:r>
              <w:rPr>
                <w:bCs/>
                <w:iCs/>
                <w:snapToGrid w:val="0"/>
                <w:color w:val="auto"/>
                <w:sz w:val="21"/>
                <w:szCs w:val="21"/>
                <w:highlight w:val="none"/>
                <w:vertAlign w:val="superscript"/>
              </w:rPr>
              <w:t>3</w:t>
            </w:r>
          </w:p>
        </w:tc>
      </w:tr>
      <w:tr w14:paraId="4FEAC7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Merge w:val="continue"/>
            <w:vAlign w:val="center"/>
          </w:tcPr>
          <w:p w14:paraId="73C0F38D">
            <w:pPr>
              <w:widowControl/>
              <w:spacing w:line="240" w:lineRule="auto"/>
              <w:ind w:firstLine="0" w:firstLineChars="0"/>
              <w:jc w:val="center"/>
              <w:textAlignment w:val="center"/>
              <w:rPr>
                <w:bCs/>
                <w:iCs/>
                <w:snapToGrid w:val="0"/>
                <w:color w:val="auto"/>
                <w:kern w:val="2"/>
                <w:sz w:val="21"/>
                <w:szCs w:val="21"/>
                <w:highlight w:val="none"/>
              </w:rPr>
            </w:pPr>
          </w:p>
        </w:tc>
        <w:tc>
          <w:tcPr>
            <w:tcW w:w="535" w:type="dxa"/>
            <w:vMerge w:val="continue"/>
            <w:vAlign w:val="center"/>
          </w:tcPr>
          <w:p w14:paraId="4C4C68E0">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204" w:type="dxa"/>
            <w:vAlign w:val="center"/>
          </w:tcPr>
          <w:p w14:paraId="2A602E92">
            <w:pPr>
              <w:topLinePunct w:val="0"/>
              <w:adjustRightInd/>
              <w:spacing w:line="240" w:lineRule="auto"/>
              <w:ind w:firstLine="0" w:firstLineChars="0"/>
              <w:jc w:val="center"/>
              <w:textAlignment w:val="auto"/>
              <w:rPr>
                <w:bCs/>
                <w:iCs/>
                <w:snapToGrid w:val="0"/>
                <w:color w:val="auto"/>
                <w:kern w:val="2"/>
                <w:sz w:val="21"/>
                <w:szCs w:val="21"/>
                <w:highlight w:val="none"/>
              </w:rPr>
            </w:pPr>
            <w:r>
              <w:rPr>
                <w:bCs/>
                <w:iCs/>
                <w:snapToGrid w:val="0"/>
                <w:color w:val="auto"/>
                <w:sz w:val="21"/>
                <w:szCs w:val="21"/>
                <w:highlight w:val="none"/>
              </w:rPr>
              <w:t>邻二甲苯</w:t>
            </w:r>
          </w:p>
        </w:tc>
        <w:tc>
          <w:tcPr>
            <w:tcW w:w="5232" w:type="dxa"/>
            <w:vMerge w:val="continue"/>
            <w:vAlign w:val="center"/>
          </w:tcPr>
          <w:p w14:paraId="46E75EAC">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3527B8D6">
            <w:pPr>
              <w:topLinePunct w:val="0"/>
              <w:adjustRightInd/>
              <w:spacing w:line="240" w:lineRule="auto"/>
              <w:ind w:firstLine="0" w:firstLineChars="0"/>
              <w:jc w:val="center"/>
              <w:textAlignment w:val="auto"/>
              <w:rPr>
                <w:bCs/>
                <w:iCs/>
                <w:snapToGrid w:val="0"/>
                <w:color w:val="auto"/>
                <w:kern w:val="2"/>
                <w:sz w:val="21"/>
                <w:szCs w:val="21"/>
                <w:highlight w:val="none"/>
              </w:rPr>
            </w:pPr>
            <w:r>
              <w:rPr>
                <w:bCs/>
                <w:iCs/>
                <w:snapToGrid w:val="0"/>
                <w:color w:val="auto"/>
                <w:sz w:val="21"/>
                <w:szCs w:val="21"/>
                <w:highlight w:val="none"/>
              </w:rPr>
              <w:t>1.5×10</w:t>
            </w:r>
            <w:r>
              <w:rPr>
                <w:bCs/>
                <w:iCs/>
                <w:snapToGrid w:val="0"/>
                <w:color w:val="auto"/>
                <w:sz w:val="21"/>
                <w:szCs w:val="21"/>
                <w:highlight w:val="none"/>
                <w:vertAlign w:val="superscript"/>
              </w:rPr>
              <w:t>-3</w:t>
            </w:r>
            <w:r>
              <w:rPr>
                <w:bCs/>
                <w:iCs/>
                <w:snapToGrid w:val="0"/>
                <w:color w:val="auto"/>
                <w:sz w:val="21"/>
                <w:szCs w:val="21"/>
                <w:highlight w:val="none"/>
              </w:rPr>
              <w:t>mg/m</w:t>
            </w:r>
            <w:r>
              <w:rPr>
                <w:bCs/>
                <w:iCs/>
                <w:snapToGrid w:val="0"/>
                <w:color w:val="auto"/>
                <w:sz w:val="21"/>
                <w:szCs w:val="21"/>
                <w:highlight w:val="none"/>
                <w:vertAlign w:val="superscript"/>
              </w:rPr>
              <w:t>3</w:t>
            </w:r>
          </w:p>
        </w:tc>
      </w:tr>
      <w:tr w14:paraId="50639A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7CE516B8">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7</w:t>
            </w:r>
          </w:p>
        </w:tc>
        <w:tc>
          <w:tcPr>
            <w:tcW w:w="1739" w:type="dxa"/>
            <w:gridSpan w:val="2"/>
            <w:vAlign w:val="center"/>
          </w:tcPr>
          <w:p w14:paraId="7BA58EB8">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1,1-二氯乙烯</w:t>
            </w:r>
          </w:p>
        </w:tc>
        <w:tc>
          <w:tcPr>
            <w:tcW w:w="5232" w:type="dxa"/>
            <w:vMerge w:val="restart"/>
            <w:vAlign w:val="center"/>
          </w:tcPr>
          <w:p w14:paraId="19612F0B">
            <w:pPr>
              <w:topLinePunct w:val="0"/>
              <w:adjustRightInd/>
              <w:spacing w:line="240" w:lineRule="auto"/>
              <w:ind w:firstLine="0" w:firstLineChars="0"/>
              <w:jc w:val="center"/>
              <w:textAlignment w:val="auto"/>
              <w:rPr>
                <w:bCs/>
                <w:iCs/>
                <w:snapToGrid w:val="0"/>
                <w:color w:val="auto"/>
                <w:kern w:val="2"/>
                <w:sz w:val="21"/>
                <w:szCs w:val="21"/>
                <w:highlight w:val="none"/>
              </w:rPr>
            </w:pPr>
            <w:r>
              <w:rPr>
                <w:bCs/>
                <w:iCs/>
                <w:snapToGrid w:val="0"/>
                <w:color w:val="auto"/>
                <w:kern w:val="2"/>
                <w:sz w:val="21"/>
                <w:szCs w:val="21"/>
                <w:highlight w:val="none"/>
              </w:rPr>
              <w:t>《环境空气 挥发性有机物的测定 吸附管采样-热脱附/气相色谱-质谱法》（HJ 644-2013）</w:t>
            </w:r>
          </w:p>
        </w:tc>
        <w:tc>
          <w:tcPr>
            <w:tcW w:w="1671" w:type="dxa"/>
            <w:vAlign w:val="center"/>
          </w:tcPr>
          <w:p w14:paraId="405678C3">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0.3μg/m</w:t>
            </w:r>
            <w:r>
              <w:rPr>
                <w:bCs/>
                <w:iCs/>
                <w:snapToGrid w:val="0"/>
                <w:color w:val="auto"/>
                <w:sz w:val="21"/>
                <w:szCs w:val="21"/>
                <w:highlight w:val="none"/>
                <w:vertAlign w:val="superscript"/>
              </w:rPr>
              <w:t>3</w:t>
            </w:r>
          </w:p>
        </w:tc>
      </w:tr>
      <w:tr w14:paraId="000B31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1827E2F3">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8</w:t>
            </w:r>
          </w:p>
        </w:tc>
        <w:tc>
          <w:tcPr>
            <w:tcW w:w="1739" w:type="dxa"/>
            <w:gridSpan w:val="2"/>
            <w:vAlign w:val="center"/>
          </w:tcPr>
          <w:p w14:paraId="4D3A4337">
            <w:pPr>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1,1,2-三氯-</w:t>
            </w:r>
          </w:p>
          <w:p w14:paraId="4F3184FF">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1,2,2-三氟乙烷</w:t>
            </w:r>
          </w:p>
        </w:tc>
        <w:tc>
          <w:tcPr>
            <w:tcW w:w="5232" w:type="dxa"/>
            <w:vMerge w:val="continue"/>
            <w:vAlign w:val="center"/>
          </w:tcPr>
          <w:p w14:paraId="39C819AE">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4C8E0964">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0.5μg/m</w:t>
            </w:r>
            <w:r>
              <w:rPr>
                <w:bCs/>
                <w:iCs/>
                <w:snapToGrid w:val="0"/>
                <w:color w:val="auto"/>
                <w:sz w:val="21"/>
                <w:szCs w:val="21"/>
                <w:highlight w:val="none"/>
                <w:vertAlign w:val="superscript"/>
              </w:rPr>
              <w:t>3</w:t>
            </w:r>
          </w:p>
        </w:tc>
      </w:tr>
      <w:tr w14:paraId="781DA2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487F4B5E">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9</w:t>
            </w:r>
          </w:p>
        </w:tc>
        <w:tc>
          <w:tcPr>
            <w:tcW w:w="1739" w:type="dxa"/>
            <w:gridSpan w:val="2"/>
            <w:vAlign w:val="center"/>
          </w:tcPr>
          <w:p w14:paraId="567B21BA">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氯丙烯</w:t>
            </w:r>
          </w:p>
        </w:tc>
        <w:tc>
          <w:tcPr>
            <w:tcW w:w="5232" w:type="dxa"/>
            <w:vMerge w:val="continue"/>
            <w:vAlign w:val="center"/>
          </w:tcPr>
          <w:p w14:paraId="4CC9B61C">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715C2C55">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0.3μg/m</w:t>
            </w:r>
            <w:r>
              <w:rPr>
                <w:bCs/>
                <w:iCs/>
                <w:snapToGrid w:val="0"/>
                <w:color w:val="auto"/>
                <w:sz w:val="21"/>
                <w:szCs w:val="21"/>
                <w:highlight w:val="none"/>
                <w:vertAlign w:val="superscript"/>
              </w:rPr>
              <w:t>3</w:t>
            </w:r>
          </w:p>
        </w:tc>
      </w:tr>
      <w:tr w14:paraId="48F4FE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23F992EB">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10</w:t>
            </w:r>
          </w:p>
        </w:tc>
        <w:tc>
          <w:tcPr>
            <w:tcW w:w="1739" w:type="dxa"/>
            <w:gridSpan w:val="2"/>
            <w:vAlign w:val="center"/>
          </w:tcPr>
          <w:p w14:paraId="3885FBE4">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二氯甲烷</w:t>
            </w:r>
          </w:p>
        </w:tc>
        <w:tc>
          <w:tcPr>
            <w:tcW w:w="5232" w:type="dxa"/>
            <w:vMerge w:val="continue"/>
            <w:vAlign w:val="center"/>
          </w:tcPr>
          <w:p w14:paraId="071D2E5A">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0587E1FB">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1.0μg/m</w:t>
            </w:r>
            <w:r>
              <w:rPr>
                <w:bCs/>
                <w:iCs/>
                <w:snapToGrid w:val="0"/>
                <w:color w:val="auto"/>
                <w:sz w:val="21"/>
                <w:szCs w:val="21"/>
                <w:highlight w:val="none"/>
                <w:vertAlign w:val="superscript"/>
              </w:rPr>
              <w:t>3</w:t>
            </w:r>
          </w:p>
        </w:tc>
      </w:tr>
      <w:tr w14:paraId="596E39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79E3978A">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11</w:t>
            </w:r>
          </w:p>
        </w:tc>
        <w:tc>
          <w:tcPr>
            <w:tcW w:w="1739" w:type="dxa"/>
            <w:gridSpan w:val="2"/>
            <w:vAlign w:val="center"/>
          </w:tcPr>
          <w:p w14:paraId="2B398F1B">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1,1-二氯乙烷</w:t>
            </w:r>
          </w:p>
        </w:tc>
        <w:tc>
          <w:tcPr>
            <w:tcW w:w="5232" w:type="dxa"/>
            <w:vMerge w:val="continue"/>
            <w:vAlign w:val="center"/>
          </w:tcPr>
          <w:p w14:paraId="5A33CFF4">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10BDB8FB">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0.4μg/m</w:t>
            </w:r>
            <w:r>
              <w:rPr>
                <w:bCs/>
                <w:iCs/>
                <w:snapToGrid w:val="0"/>
                <w:color w:val="auto"/>
                <w:sz w:val="21"/>
                <w:szCs w:val="21"/>
                <w:highlight w:val="none"/>
                <w:vertAlign w:val="superscript"/>
              </w:rPr>
              <w:t>3</w:t>
            </w:r>
          </w:p>
        </w:tc>
      </w:tr>
      <w:tr w14:paraId="14383B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74AFCF52">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12</w:t>
            </w:r>
          </w:p>
        </w:tc>
        <w:tc>
          <w:tcPr>
            <w:tcW w:w="1739" w:type="dxa"/>
            <w:gridSpan w:val="2"/>
            <w:vAlign w:val="center"/>
          </w:tcPr>
          <w:p w14:paraId="17B1616C">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顺式-1,2-二氯乙烯</w:t>
            </w:r>
          </w:p>
        </w:tc>
        <w:tc>
          <w:tcPr>
            <w:tcW w:w="5232" w:type="dxa"/>
            <w:vMerge w:val="continue"/>
            <w:vAlign w:val="center"/>
          </w:tcPr>
          <w:p w14:paraId="0AF31D9E">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2BC3DE69">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0.5μg/m</w:t>
            </w:r>
            <w:r>
              <w:rPr>
                <w:bCs/>
                <w:iCs/>
                <w:snapToGrid w:val="0"/>
                <w:color w:val="auto"/>
                <w:sz w:val="21"/>
                <w:szCs w:val="21"/>
                <w:highlight w:val="none"/>
                <w:vertAlign w:val="superscript"/>
              </w:rPr>
              <w:t>3</w:t>
            </w:r>
          </w:p>
        </w:tc>
      </w:tr>
      <w:tr w14:paraId="11F407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4C5C447A">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13</w:t>
            </w:r>
          </w:p>
        </w:tc>
        <w:tc>
          <w:tcPr>
            <w:tcW w:w="1739" w:type="dxa"/>
            <w:gridSpan w:val="2"/>
            <w:vAlign w:val="center"/>
          </w:tcPr>
          <w:p w14:paraId="0ABBDDF5">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三氯甲烷</w:t>
            </w:r>
          </w:p>
        </w:tc>
        <w:tc>
          <w:tcPr>
            <w:tcW w:w="5232" w:type="dxa"/>
            <w:vMerge w:val="continue"/>
            <w:vAlign w:val="center"/>
          </w:tcPr>
          <w:p w14:paraId="643EA71D">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529DFCB2">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0.4μg/m</w:t>
            </w:r>
            <w:r>
              <w:rPr>
                <w:bCs/>
                <w:iCs/>
                <w:snapToGrid w:val="0"/>
                <w:color w:val="auto"/>
                <w:sz w:val="21"/>
                <w:szCs w:val="21"/>
                <w:highlight w:val="none"/>
                <w:vertAlign w:val="superscript"/>
              </w:rPr>
              <w:t>3</w:t>
            </w:r>
          </w:p>
        </w:tc>
      </w:tr>
      <w:tr w14:paraId="7BDD67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59D0238B">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14</w:t>
            </w:r>
          </w:p>
        </w:tc>
        <w:tc>
          <w:tcPr>
            <w:tcW w:w="1739" w:type="dxa"/>
            <w:gridSpan w:val="2"/>
            <w:vAlign w:val="center"/>
          </w:tcPr>
          <w:p w14:paraId="20F0833C">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1,1,1-三氯乙烷</w:t>
            </w:r>
          </w:p>
        </w:tc>
        <w:tc>
          <w:tcPr>
            <w:tcW w:w="5232" w:type="dxa"/>
            <w:vMerge w:val="continue"/>
            <w:vAlign w:val="center"/>
          </w:tcPr>
          <w:p w14:paraId="45E75250">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564DA5C5">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0.4μg/m</w:t>
            </w:r>
            <w:r>
              <w:rPr>
                <w:bCs/>
                <w:iCs/>
                <w:snapToGrid w:val="0"/>
                <w:color w:val="auto"/>
                <w:sz w:val="21"/>
                <w:szCs w:val="21"/>
                <w:highlight w:val="none"/>
                <w:vertAlign w:val="superscript"/>
              </w:rPr>
              <w:t>3</w:t>
            </w:r>
          </w:p>
        </w:tc>
      </w:tr>
      <w:tr w14:paraId="0D4D23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77CC5023">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15</w:t>
            </w:r>
          </w:p>
        </w:tc>
        <w:tc>
          <w:tcPr>
            <w:tcW w:w="1739" w:type="dxa"/>
            <w:gridSpan w:val="2"/>
            <w:vAlign w:val="center"/>
          </w:tcPr>
          <w:p w14:paraId="742B3570">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四氯化碳</w:t>
            </w:r>
          </w:p>
        </w:tc>
        <w:tc>
          <w:tcPr>
            <w:tcW w:w="5232" w:type="dxa"/>
            <w:vMerge w:val="continue"/>
            <w:vAlign w:val="center"/>
          </w:tcPr>
          <w:p w14:paraId="38AE0B17">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07EC3F82">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0.6μg/m</w:t>
            </w:r>
            <w:r>
              <w:rPr>
                <w:bCs/>
                <w:iCs/>
                <w:snapToGrid w:val="0"/>
                <w:color w:val="auto"/>
                <w:sz w:val="21"/>
                <w:szCs w:val="21"/>
                <w:highlight w:val="none"/>
                <w:vertAlign w:val="superscript"/>
              </w:rPr>
              <w:t>3</w:t>
            </w:r>
          </w:p>
        </w:tc>
      </w:tr>
      <w:tr w14:paraId="5753E8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6344FA30">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16</w:t>
            </w:r>
          </w:p>
        </w:tc>
        <w:tc>
          <w:tcPr>
            <w:tcW w:w="1739" w:type="dxa"/>
            <w:gridSpan w:val="2"/>
            <w:vAlign w:val="center"/>
          </w:tcPr>
          <w:p w14:paraId="683EE3F1">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苯</w:t>
            </w:r>
          </w:p>
        </w:tc>
        <w:tc>
          <w:tcPr>
            <w:tcW w:w="5232" w:type="dxa"/>
            <w:vMerge w:val="continue"/>
            <w:vAlign w:val="center"/>
          </w:tcPr>
          <w:p w14:paraId="4FBB92F4">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6A0184E3">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0.4μg/m</w:t>
            </w:r>
            <w:r>
              <w:rPr>
                <w:bCs/>
                <w:iCs/>
                <w:snapToGrid w:val="0"/>
                <w:color w:val="auto"/>
                <w:sz w:val="21"/>
                <w:szCs w:val="21"/>
                <w:highlight w:val="none"/>
                <w:vertAlign w:val="superscript"/>
              </w:rPr>
              <w:t>3</w:t>
            </w:r>
          </w:p>
        </w:tc>
      </w:tr>
      <w:tr w14:paraId="0742BA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48F96681">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序号</w:t>
            </w:r>
          </w:p>
        </w:tc>
        <w:tc>
          <w:tcPr>
            <w:tcW w:w="1739" w:type="dxa"/>
            <w:gridSpan w:val="2"/>
            <w:vAlign w:val="center"/>
          </w:tcPr>
          <w:p w14:paraId="22DE3669">
            <w:pPr>
              <w:spacing w:line="240" w:lineRule="auto"/>
              <w:ind w:firstLine="0" w:firstLineChars="0"/>
              <w:jc w:val="center"/>
              <w:textAlignment w:val="center"/>
              <w:rPr>
                <w:bCs/>
                <w:iCs/>
                <w:snapToGrid w:val="0"/>
                <w:color w:val="auto"/>
                <w:kern w:val="2"/>
                <w:sz w:val="21"/>
                <w:szCs w:val="21"/>
                <w:highlight w:val="none"/>
                <w:lang w:val="zh-CN"/>
              </w:rPr>
            </w:pPr>
            <w:r>
              <w:rPr>
                <w:bCs/>
                <w:iCs/>
                <w:snapToGrid w:val="0"/>
                <w:color w:val="auto"/>
                <w:sz w:val="21"/>
                <w:szCs w:val="21"/>
                <w:highlight w:val="none"/>
              </w:rPr>
              <w:t>检测因子</w:t>
            </w:r>
          </w:p>
        </w:tc>
        <w:tc>
          <w:tcPr>
            <w:tcW w:w="5232" w:type="dxa"/>
            <w:vAlign w:val="center"/>
          </w:tcPr>
          <w:p w14:paraId="41DA21ED">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分析方法</w:t>
            </w:r>
          </w:p>
        </w:tc>
        <w:tc>
          <w:tcPr>
            <w:tcW w:w="1671" w:type="dxa"/>
            <w:vAlign w:val="center"/>
          </w:tcPr>
          <w:p w14:paraId="68545B62">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检出限</w:t>
            </w:r>
          </w:p>
        </w:tc>
      </w:tr>
      <w:tr w14:paraId="471F6A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25E99EA8">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17</w:t>
            </w:r>
          </w:p>
        </w:tc>
        <w:tc>
          <w:tcPr>
            <w:tcW w:w="1739" w:type="dxa"/>
            <w:gridSpan w:val="2"/>
            <w:vAlign w:val="center"/>
          </w:tcPr>
          <w:p w14:paraId="0E786382">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1,2-二氯乙烷</w:t>
            </w:r>
          </w:p>
        </w:tc>
        <w:tc>
          <w:tcPr>
            <w:tcW w:w="5232" w:type="dxa"/>
            <w:vMerge w:val="restart"/>
            <w:vAlign w:val="center"/>
          </w:tcPr>
          <w:p w14:paraId="3B8E28DA">
            <w:pPr>
              <w:topLinePunct w:val="0"/>
              <w:adjustRightInd/>
              <w:spacing w:line="240" w:lineRule="auto"/>
              <w:ind w:firstLine="0" w:firstLineChars="0"/>
              <w:jc w:val="center"/>
              <w:textAlignment w:val="auto"/>
              <w:rPr>
                <w:bCs/>
                <w:iCs/>
                <w:snapToGrid w:val="0"/>
                <w:color w:val="auto"/>
                <w:kern w:val="2"/>
                <w:sz w:val="21"/>
                <w:szCs w:val="21"/>
                <w:highlight w:val="none"/>
              </w:rPr>
            </w:pPr>
            <w:r>
              <w:rPr>
                <w:bCs/>
                <w:iCs/>
                <w:snapToGrid w:val="0"/>
                <w:color w:val="auto"/>
                <w:kern w:val="2"/>
                <w:sz w:val="21"/>
                <w:szCs w:val="21"/>
                <w:highlight w:val="none"/>
              </w:rPr>
              <w:t>《环境空气 挥发性有机物的测定 吸附管采样-热脱附/气相色谱-质谱法》（HJ 644-2013）</w:t>
            </w:r>
          </w:p>
        </w:tc>
        <w:tc>
          <w:tcPr>
            <w:tcW w:w="1671" w:type="dxa"/>
            <w:vAlign w:val="center"/>
          </w:tcPr>
          <w:p w14:paraId="57C1F6A1">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0.8μg/m</w:t>
            </w:r>
            <w:r>
              <w:rPr>
                <w:bCs/>
                <w:iCs/>
                <w:snapToGrid w:val="0"/>
                <w:color w:val="auto"/>
                <w:sz w:val="21"/>
                <w:szCs w:val="21"/>
                <w:highlight w:val="none"/>
                <w:vertAlign w:val="superscript"/>
              </w:rPr>
              <w:t>3</w:t>
            </w:r>
          </w:p>
        </w:tc>
      </w:tr>
      <w:tr w14:paraId="18CE2F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1B49C0A2">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18</w:t>
            </w:r>
          </w:p>
        </w:tc>
        <w:tc>
          <w:tcPr>
            <w:tcW w:w="1739" w:type="dxa"/>
            <w:gridSpan w:val="2"/>
            <w:vAlign w:val="center"/>
          </w:tcPr>
          <w:p w14:paraId="776FD825">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三氯乙烯</w:t>
            </w:r>
          </w:p>
        </w:tc>
        <w:tc>
          <w:tcPr>
            <w:tcW w:w="5232" w:type="dxa"/>
            <w:vMerge w:val="continue"/>
            <w:vAlign w:val="center"/>
          </w:tcPr>
          <w:p w14:paraId="18C406B8">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33427D50">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0.5μg/m</w:t>
            </w:r>
            <w:r>
              <w:rPr>
                <w:bCs/>
                <w:iCs/>
                <w:snapToGrid w:val="0"/>
                <w:color w:val="auto"/>
                <w:sz w:val="21"/>
                <w:szCs w:val="21"/>
                <w:highlight w:val="none"/>
                <w:vertAlign w:val="superscript"/>
              </w:rPr>
              <w:t>3</w:t>
            </w:r>
          </w:p>
        </w:tc>
      </w:tr>
      <w:tr w14:paraId="242716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39120E23">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19</w:t>
            </w:r>
          </w:p>
        </w:tc>
        <w:tc>
          <w:tcPr>
            <w:tcW w:w="1739" w:type="dxa"/>
            <w:gridSpan w:val="2"/>
            <w:vAlign w:val="center"/>
          </w:tcPr>
          <w:p w14:paraId="04B5298A">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1,2-二氯丙烷</w:t>
            </w:r>
          </w:p>
        </w:tc>
        <w:tc>
          <w:tcPr>
            <w:tcW w:w="5232" w:type="dxa"/>
            <w:vMerge w:val="continue"/>
            <w:vAlign w:val="center"/>
          </w:tcPr>
          <w:p w14:paraId="350737EC">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70F939B0">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0.4μg/m</w:t>
            </w:r>
            <w:r>
              <w:rPr>
                <w:bCs/>
                <w:iCs/>
                <w:snapToGrid w:val="0"/>
                <w:color w:val="auto"/>
                <w:sz w:val="21"/>
                <w:szCs w:val="21"/>
                <w:highlight w:val="none"/>
                <w:vertAlign w:val="superscript"/>
              </w:rPr>
              <w:t>3</w:t>
            </w:r>
          </w:p>
        </w:tc>
      </w:tr>
      <w:tr w14:paraId="4AF38E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0AA214FC">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20</w:t>
            </w:r>
          </w:p>
        </w:tc>
        <w:tc>
          <w:tcPr>
            <w:tcW w:w="1739" w:type="dxa"/>
            <w:gridSpan w:val="2"/>
            <w:vAlign w:val="center"/>
          </w:tcPr>
          <w:p w14:paraId="070BB39C">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顺式-1,3-二氯丙烯</w:t>
            </w:r>
          </w:p>
        </w:tc>
        <w:tc>
          <w:tcPr>
            <w:tcW w:w="5232" w:type="dxa"/>
            <w:vMerge w:val="continue"/>
            <w:vAlign w:val="center"/>
          </w:tcPr>
          <w:p w14:paraId="66F613A7">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095CDF6A">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0.5μg/m</w:t>
            </w:r>
            <w:r>
              <w:rPr>
                <w:bCs/>
                <w:iCs/>
                <w:snapToGrid w:val="0"/>
                <w:color w:val="auto"/>
                <w:sz w:val="21"/>
                <w:szCs w:val="21"/>
                <w:highlight w:val="none"/>
                <w:vertAlign w:val="superscript"/>
              </w:rPr>
              <w:t>3</w:t>
            </w:r>
          </w:p>
        </w:tc>
      </w:tr>
      <w:tr w14:paraId="03A7FF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7CB41F10">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21</w:t>
            </w:r>
          </w:p>
        </w:tc>
        <w:tc>
          <w:tcPr>
            <w:tcW w:w="1739" w:type="dxa"/>
            <w:gridSpan w:val="2"/>
            <w:vAlign w:val="center"/>
          </w:tcPr>
          <w:p w14:paraId="2518A1D3">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甲苯</w:t>
            </w:r>
          </w:p>
        </w:tc>
        <w:tc>
          <w:tcPr>
            <w:tcW w:w="5232" w:type="dxa"/>
            <w:vMerge w:val="continue"/>
            <w:vAlign w:val="center"/>
          </w:tcPr>
          <w:p w14:paraId="3D04DC9E">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7E905F61">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0.4μg/m</w:t>
            </w:r>
            <w:r>
              <w:rPr>
                <w:bCs/>
                <w:iCs/>
                <w:snapToGrid w:val="0"/>
                <w:color w:val="auto"/>
                <w:sz w:val="21"/>
                <w:szCs w:val="21"/>
                <w:highlight w:val="none"/>
                <w:vertAlign w:val="superscript"/>
              </w:rPr>
              <w:t>3</w:t>
            </w:r>
          </w:p>
        </w:tc>
      </w:tr>
      <w:tr w14:paraId="7E66C7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5EF273D1">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22</w:t>
            </w:r>
          </w:p>
        </w:tc>
        <w:tc>
          <w:tcPr>
            <w:tcW w:w="1739" w:type="dxa"/>
            <w:gridSpan w:val="2"/>
            <w:vAlign w:val="center"/>
          </w:tcPr>
          <w:p w14:paraId="1651FDEF">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反式-1,3-二氯丙烯</w:t>
            </w:r>
          </w:p>
        </w:tc>
        <w:tc>
          <w:tcPr>
            <w:tcW w:w="5232" w:type="dxa"/>
            <w:vMerge w:val="continue"/>
            <w:vAlign w:val="center"/>
          </w:tcPr>
          <w:p w14:paraId="6287679B">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7F9E7E78">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0.5μg/m</w:t>
            </w:r>
            <w:r>
              <w:rPr>
                <w:bCs/>
                <w:iCs/>
                <w:snapToGrid w:val="0"/>
                <w:color w:val="auto"/>
                <w:sz w:val="21"/>
                <w:szCs w:val="21"/>
                <w:highlight w:val="none"/>
                <w:vertAlign w:val="superscript"/>
              </w:rPr>
              <w:t>3</w:t>
            </w:r>
          </w:p>
        </w:tc>
      </w:tr>
      <w:tr w14:paraId="768CB9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4805B6C5">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23</w:t>
            </w:r>
          </w:p>
        </w:tc>
        <w:tc>
          <w:tcPr>
            <w:tcW w:w="1739" w:type="dxa"/>
            <w:gridSpan w:val="2"/>
            <w:vAlign w:val="center"/>
          </w:tcPr>
          <w:p w14:paraId="1E417577">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1,1,2-三氯乙烷</w:t>
            </w:r>
          </w:p>
        </w:tc>
        <w:tc>
          <w:tcPr>
            <w:tcW w:w="5232" w:type="dxa"/>
            <w:vMerge w:val="continue"/>
            <w:vAlign w:val="center"/>
          </w:tcPr>
          <w:p w14:paraId="50441E29">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6045F31E">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0.4μg/m</w:t>
            </w:r>
            <w:r>
              <w:rPr>
                <w:bCs/>
                <w:iCs/>
                <w:snapToGrid w:val="0"/>
                <w:color w:val="auto"/>
                <w:sz w:val="21"/>
                <w:szCs w:val="21"/>
                <w:highlight w:val="none"/>
                <w:vertAlign w:val="superscript"/>
              </w:rPr>
              <w:t>3</w:t>
            </w:r>
          </w:p>
        </w:tc>
      </w:tr>
      <w:tr w14:paraId="55078C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0FA75B7E">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24</w:t>
            </w:r>
          </w:p>
        </w:tc>
        <w:tc>
          <w:tcPr>
            <w:tcW w:w="1739" w:type="dxa"/>
            <w:gridSpan w:val="2"/>
            <w:vAlign w:val="center"/>
          </w:tcPr>
          <w:p w14:paraId="226DBA48">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四氯乙烯</w:t>
            </w:r>
          </w:p>
        </w:tc>
        <w:tc>
          <w:tcPr>
            <w:tcW w:w="5232" w:type="dxa"/>
            <w:vMerge w:val="continue"/>
            <w:vAlign w:val="center"/>
          </w:tcPr>
          <w:p w14:paraId="669016E6">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40CB5EFB">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0.4μg/m</w:t>
            </w:r>
            <w:r>
              <w:rPr>
                <w:bCs/>
                <w:iCs/>
                <w:snapToGrid w:val="0"/>
                <w:color w:val="auto"/>
                <w:sz w:val="21"/>
                <w:szCs w:val="21"/>
                <w:highlight w:val="none"/>
                <w:vertAlign w:val="superscript"/>
              </w:rPr>
              <w:t>3</w:t>
            </w:r>
          </w:p>
        </w:tc>
      </w:tr>
      <w:tr w14:paraId="6C84F9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1DA47D6F">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25</w:t>
            </w:r>
          </w:p>
        </w:tc>
        <w:tc>
          <w:tcPr>
            <w:tcW w:w="1739" w:type="dxa"/>
            <w:gridSpan w:val="2"/>
            <w:vAlign w:val="center"/>
          </w:tcPr>
          <w:p w14:paraId="4A6CDABF">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1,2-二溴乙烷</w:t>
            </w:r>
          </w:p>
        </w:tc>
        <w:tc>
          <w:tcPr>
            <w:tcW w:w="5232" w:type="dxa"/>
            <w:vMerge w:val="continue"/>
            <w:vAlign w:val="center"/>
          </w:tcPr>
          <w:p w14:paraId="4D10BFE8">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169EFE0D">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0.4μg/m</w:t>
            </w:r>
            <w:r>
              <w:rPr>
                <w:bCs/>
                <w:iCs/>
                <w:snapToGrid w:val="0"/>
                <w:color w:val="auto"/>
                <w:sz w:val="21"/>
                <w:szCs w:val="21"/>
                <w:highlight w:val="none"/>
                <w:vertAlign w:val="superscript"/>
              </w:rPr>
              <w:t>3</w:t>
            </w:r>
          </w:p>
        </w:tc>
      </w:tr>
      <w:tr w14:paraId="250B8D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445A5BB2">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26</w:t>
            </w:r>
          </w:p>
        </w:tc>
        <w:tc>
          <w:tcPr>
            <w:tcW w:w="1739" w:type="dxa"/>
            <w:gridSpan w:val="2"/>
            <w:vAlign w:val="center"/>
          </w:tcPr>
          <w:p w14:paraId="597CA0E4">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氯苯</w:t>
            </w:r>
          </w:p>
        </w:tc>
        <w:tc>
          <w:tcPr>
            <w:tcW w:w="5232" w:type="dxa"/>
            <w:vMerge w:val="continue"/>
            <w:vAlign w:val="center"/>
          </w:tcPr>
          <w:p w14:paraId="1D3533E1">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1D140B8B">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0.3μg/m</w:t>
            </w:r>
            <w:r>
              <w:rPr>
                <w:bCs/>
                <w:iCs/>
                <w:snapToGrid w:val="0"/>
                <w:color w:val="auto"/>
                <w:sz w:val="21"/>
                <w:szCs w:val="21"/>
                <w:highlight w:val="none"/>
                <w:vertAlign w:val="superscript"/>
              </w:rPr>
              <w:t>3</w:t>
            </w:r>
          </w:p>
        </w:tc>
      </w:tr>
      <w:tr w14:paraId="638B13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4751241A">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27</w:t>
            </w:r>
          </w:p>
        </w:tc>
        <w:tc>
          <w:tcPr>
            <w:tcW w:w="1739" w:type="dxa"/>
            <w:gridSpan w:val="2"/>
            <w:vAlign w:val="center"/>
          </w:tcPr>
          <w:p w14:paraId="0EE2D336">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乙苯</w:t>
            </w:r>
          </w:p>
        </w:tc>
        <w:tc>
          <w:tcPr>
            <w:tcW w:w="5232" w:type="dxa"/>
            <w:vMerge w:val="continue"/>
            <w:vAlign w:val="center"/>
          </w:tcPr>
          <w:p w14:paraId="2ECD8952">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1E19EC4D">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0.3μg/m</w:t>
            </w:r>
            <w:r>
              <w:rPr>
                <w:bCs/>
                <w:iCs/>
                <w:snapToGrid w:val="0"/>
                <w:color w:val="auto"/>
                <w:sz w:val="21"/>
                <w:szCs w:val="21"/>
                <w:highlight w:val="none"/>
                <w:vertAlign w:val="superscript"/>
              </w:rPr>
              <w:t>3</w:t>
            </w:r>
          </w:p>
        </w:tc>
      </w:tr>
      <w:tr w14:paraId="5FFB57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698454ED">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28</w:t>
            </w:r>
          </w:p>
        </w:tc>
        <w:tc>
          <w:tcPr>
            <w:tcW w:w="1739" w:type="dxa"/>
            <w:gridSpan w:val="2"/>
            <w:vAlign w:val="center"/>
          </w:tcPr>
          <w:p w14:paraId="14BAE8AF">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间,对-二甲苯</w:t>
            </w:r>
          </w:p>
        </w:tc>
        <w:tc>
          <w:tcPr>
            <w:tcW w:w="5232" w:type="dxa"/>
            <w:vMerge w:val="continue"/>
            <w:vAlign w:val="center"/>
          </w:tcPr>
          <w:p w14:paraId="617D3A38">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1C2F5C79">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0.6μg/m</w:t>
            </w:r>
            <w:r>
              <w:rPr>
                <w:bCs/>
                <w:iCs/>
                <w:snapToGrid w:val="0"/>
                <w:color w:val="auto"/>
                <w:sz w:val="21"/>
                <w:szCs w:val="21"/>
                <w:highlight w:val="none"/>
                <w:vertAlign w:val="superscript"/>
              </w:rPr>
              <w:t>3</w:t>
            </w:r>
          </w:p>
        </w:tc>
      </w:tr>
      <w:tr w14:paraId="534E26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485A0AD8">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29</w:t>
            </w:r>
          </w:p>
        </w:tc>
        <w:tc>
          <w:tcPr>
            <w:tcW w:w="1739" w:type="dxa"/>
            <w:gridSpan w:val="2"/>
            <w:vAlign w:val="center"/>
          </w:tcPr>
          <w:p w14:paraId="415EE5C6">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邻-二甲苯</w:t>
            </w:r>
          </w:p>
        </w:tc>
        <w:tc>
          <w:tcPr>
            <w:tcW w:w="5232" w:type="dxa"/>
            <w:vMerge w:val="continue"/>
            <w:vAlign w:val="center"/>
          </w:tcPr>
          <w:p w14:paraId="70A1A695">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0480912D">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0.6μg/m</w:t>
            </w:r>
            <w:r>
              <w:rPr>
                <w:bCs/>
                <w:iCs/>
                <w:snapToGrid w:val="0"/>
                <w:color w:val="auto"/>
                <w:sz w:val="21"/>
                <w:szCs w:val="21"/>
                <w:highlight w:val="none"/>
                <w:vertAlign w:val="superscript"/>
              </w:rPr>
              <w:t>3</w:t>
            </w:r>
          </w:p>
        </w:tc>
      </w:tr>
      <w:tr w14:paraId="17F3FE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7820C963">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30</w:t>
            </w:r>
          </w:p>
        </w:tc>
        <w:tc>
          <w:tcPr>
            <w:tcW w:w="1739" w:type="dxa"/>
            <w:gridSpan w:val="2"/>
            <w:vAlign w:val="center"/>
          </w:tcPr>
          <w:p w14:paraId="1CDAE49C">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苯乙烯</w:t>
            </w:r>
          </w:p>
        </w:tc>
        <w:tc>
          <w:tcPr>
            <w:tcW w:w="5232" w:type="dxa"/>
            <w:vMerge w:val="continue"/>
            <w:vAlign w:val="center"/>
          </w:tcPr>
          <w:p w14:paraId="14810213">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34395EBB">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0.6μg/m</w:t>
            </w:r>
            <w:r>
              <w:rPr>
                <w:bCs/>
                <w:iCs/>
                <w:snapToGrid w:val="0"/>
                <w:color w:val="auto"/>
                <w:sz w:val="21"/>
                <w:szCs w:val="21"/>
                <w:highlight w:val="none"/>
                <w:vertAlign w:val="superscript"/>
              </w:rPr>
              <w:t>3</w:t>
            </w:r>
          </w:p>
        </w:tc>
      </w:tr>
      <w:tr w14:paraId="6C56A9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0685DA81">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31</w:t>
            </w:r>
          </w:p>
        </w:tc>
        <w:tc>
          <w:tcPr>
            <w:tcW w:w="1739" w:type="dxa"/>
            <w:gridSpan w:val="2"/>
            <w:vAlign w:val="center"/>
          </w:tcPr>
          <w:p w14:paraId="581C3565">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1,1,2,2-四氯乙烷</w:t>
            </w:r>
          </w:p>
        </w:tc>
        <w:tc>
          <w:tcPr>
            <w:tcW w:w="5232" w:type="dxa"/>
            <w:vMerge w:val="continue"/>
            <w:vAlign w:val="center"/>
          </w:tcPr>
          <w:p w14:paraId="4D3935D0">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26D24967">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0.4μg/m</w:t>
            </w:r>
            <w:r>
              <w:rPr>
                <w:bCs/>
                <w:iCs/>
                <w:snapToGrid w:val="0"/>
                <w:color w:val="auto"/>
                <w:sz w:val="21"/>
                <w:szCs w:val="21"/>
                <w:highlight w:val="none"/>
                <w:vertAlign w:val="superscript"/>
              </w:rPr>
              <w:t>3</w:t>
            </w:r>
          </w:p>
        </w:tc>
      </w:tr>
      <w:tr w14:paraId="359CEE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53C16A5F">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32</w:t>
            </w:r>
          </w:p>
        </w:tc>
        <w:tc>
          <w:tcPr>
            <w:tcW w:w="1739" w:type="dxa"/>
            <w:gridSpan w:val="2"/>
            <w:vAlign w:val="center"/>
          </w:tcPr>
          <w:p w14:paraId="3E1A9BCC">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4-乙基甲苯</w:t>
            </w:r>
          </w:p>
        </w:tc>
        <w:tc>
          <w:tcPr>
            <w:tcW w:w="5232" w:type="dxa"/>
            <w:vMerge w:val="continue"/>
            <w:vAlign w:val="center"/>
          </w:tcPr>
          <w:p w14:paraId="1DD7C06C">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78FDA481">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0.8μg/m</w:t>
            </w:r>
            <w:r>
              <w:rPr>
                <w:bCs/>
                <w:iCs/>
                <w:snapToGrid w:val="0"/>
                <w:color w:val="auto"/>
                <w:sz w:val="21"/>
                <w:szCs w:val="21"/>
                <w:highlight w:val="none"/>
                <w:vertAlign w:val="superscript"/>
              </w:rPr>
              <w:t>3</w:t>
            </w:r>
          </w:p>
        </w:tc>
      </w:tr>
      <w:tr w14:paraId="388D7E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607D994C">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33</w:t>
            </w:r>
          </w:p>
        </w:tc>
        <w:tc>
          <w:tcPr>
            <w:tcW w:w="1739" w:type="dxa"/>
            <w:gridSpan w:val="2"/>
            <w:vAlign w:val="center"/>
          </w:tcPr>
          <w:p w14:paraId="4D6EDDC3">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1,3,5-三甲基苯</w:t>
            </w:r>
          </w:p>
        </w:tc>
        <w:tc>
          <w:tcPr>
            <w:tcW w:w="5232" w:type="dxa"/>
            <w:vMerge w:val="continue"/>
            <w:vAlign w:val="center"/>
          </w:tcPr>
          <w:p w14:paraId="313E63EC">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418C25A8">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0.7μg/m</w:t>
            </w:r>
            <w:r>
              <w:rPr>
                <w:bCs/>
                <w:iCs/>
                <w:snapToGrid w:val="0"/>
                <w:color w:val="auto"/>
                <w:sz w:val="21"/>
                <w:szCs w:val="21"/>
                <w:highlight w:val="none"/>
                <w:vertAlign w:val="superscript"/>
              </w:rPr>
              <w:t>3</w:t>
            </w:r>
          </w:p>
        </w:tc>
      </w:tr>
      <w:tr w14:paraId="1814B2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27396C4E">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34</w:t>
            </w:r>
          </w:p>
        </w:tc>
        <w:tc>
          <w:tcPr>
            <w:tcW w:w="1739" w:type="dxa"/>
            <w:gridSpan w:val="2"/>
            <w:vAlign w:val="center"/>
          </w:tcPr>
          <w:p w14:paraId="60FCB457">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1,2,4三甲基苯</w:t>
            </w:r>
          </w:p>
        </w:tc>
        <w:tc>
          <w:tcPr>
            <w:tcW w:w="5232" w:type="dxa"/>
            <w:vMerge w:val="continue"/>
            <w:vAlign w:val="center"/>
          </w:tcPr>
          <w:p w14:paraId="599F5CCC">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51B7ED3A">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0.8μg/m</w:t>
            </w:r>
            <w:r>
              <w:rPr>
                <w:bCs/>
                <w:iCs/>
                <w:snapToGrid w:val="0"/>
                <w:color w:val="auto"/>
                <w:sz w:val="21"/>
                <w:szCs w:val="21"/>
                <w:highlight w:val="none"/>
                <w:vertAlign w:val="superscript"/>
              </w:rPr>
              <w:t>3</w:t>
            </w:r>
          </w:p>
        </w:tc>
      </w:tr>
      <w:tr w14:paraId="6680BA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6D05FA9D">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35</w:t>
            </w:r>
          </w:p>
        </w:tc>
        <w:tc>
          <w:tcPr>
            <w:tcW w:w="1739" w:type="dxa"/>
            <w:gridSpan w:val="2"/>
            <w:vAlign w:val="center"/>
          </w:tcPr>
          <w:p w14:paraId="196C44EF">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1,3-二氯苯</w:t>
            </w:r>
          </w:p>
        </w:tc>
        <w:tc>
          <w:tcPr>
            <w:tcW w:w="5232" w:type="dxa"/>
            <w:vMerge w:val="continue"/>
            <w:vAlign w:val="center"/>
          </w:tcPr>
          <w:p w14:paraId="699D4DE1">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52C18E66">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0.6μg/m</w:t>
            </w:r>
            <w:r>
              <w:rPr>
                <w:bCs/>
                <w:iCs/>
                <w:snapToGrid w:val="0"/>
                <w:color w:val="auto"/>
                <w:sz w:val="21"/>
                <w:szCs w:val="21"/>
                <w:highlight w:val="none"/>
                <w:vertAlign w:val="superscript"/>
              </w:rPr>
              <w:t>3</w:t>
            </w:r>
          </w:p>
        </w:tc>
      </w:tr>
      <w:tr w14:paraId="63A162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738CB77F">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36</w:t>
            </w:r>
          </w:p>
        </w:tc>
        <w:tc>
          <w:tcPr>
            <w:tcW w:w="1739" w:type="dxa"/>
            <w:gridSpan w:val="2"/>
            <w:vAlign w:val="center"/>
          </w:tcPr>
          <w:p w14:paraId="78688AD4">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1,4-二氯苯</w:t>
            </w:r>
          </w:p>
        </w:tc>
        <w:tc>
          <w:tcPr>
            <w:tcW w:w="5232" w:type="dxa"/>
            <w:vMerge w:val="continue"/>
            <w:vAlign w:val="center"/>
          </w:tcPr>
          <w:p w14:paraId="5DA2E56B">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4D482432">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0.7μg/m</w:t>
            </w:r>
            <w:r>
              <w:rPr>
                <w:bCs/>
                <w:iCs/>
                <w:snapToGrid w:val="0"/>
                <w:color w:val="auto"/>
                <w:sz w:val="21"/>
                <w:szCs w:val="21"/>
                <w:highlight w:val="none"/>
                <w:vertAlign w:val="superscript"/>
              </w:rPr>
              <w:t>3</w:t>
            </w:r>
          </w:p>
        </w:tc>
      </w:tr>
      <w:tr w14:paraId="5343F7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414664B8">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37</w:t>
            </w:r>
          </w:p>
        </w:tc>
        <w:tc>
          <w:tcPr>
            <w:tcW w:w="1739" w:type="dxa"/>
            <w:gridSpan w:val="2"/>
            <w:vAlign w:val="center"/>
          </w:tcPr>
          <w:p w14:paraId="4492BAC3">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苄基氯</w:t>
            </w:r>
          </w:p>
        </w:tc>
        <w:tc>
          <w:tcPr>
            <w:tcW w:w="5232" w:type="dxa"/>
            <w:vMerge w:val="continue"/>
            <w:vAlign w:val="center"/>
          </w:tcPr>
          <w:p w14:paraId="4C13B576">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2B255BEA">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0.7μg/m</w:t>
            </w:r>
            <w:r>
              <w:rPr>
                <w:bCs/>
                <w:iCs/>
                <w:snapToGrid w:val="0"/>
                <w:color w:val="auto"/>
                <w:sz w:val="21"/>
                <w:szCs w:val="21"/>
                <w:highlight w:val="none"/>
                <w:vertAlign w:val="superscript"/>
              </w:rPr>
              <w:t>3</w:t>
            </w:r>
          </w:p>
        </w:tc>
      </w:tr>
      <w:tr w14:paraId="785C1A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7167906A">
            <w:pPr>
              <w:widowControl/>
              <w:spacing w:line="240" w:lineRule="auto"/>
              <w:ind w:firstLine="0" w:firstLineChars="0"/>
              <w:jc w:val="center"/>
              <w:textAlignment w:val="center"/>
              <w:rPr>
                <w:bCs/>
                <w:iCs/>
                <w:snapToGrid w:val="0"/>
                <w:color w:val="auto"/>
                <w:kern w:val="2"/>
                <w:sz w:val="21"/>
                <w:szCs w:val="21"/>
                <w:highlight w:val="none"/>
              </w:rPr>
            </w:pPr>
            <w:r>
              <w:rPr>
                <w:bCs/>
                <w:iCs/>
                <w:snapToGrid w:val="0"/>
                <w:color w:val="auto"/>
                <w:kern w:val="2"/>
                <w:sz w:val="21"/>
                <w:szCs w:val="21"/>
                <w:highlight w:val="none"/>
              </w:rPr>
              <w:t>38</w:t>
            </w:r>
          </w:p>
        </w:tc>
        <w:tc>
          <w:tcPr>
            <w:tcW w:w="1739" w:type="dxa"/>
            <w:gridSpan w:val="2"/>
            <w:vAlign w:val="center"/>
          </w:tcPr>
          <w:p w14:paraId="2D1C3569">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1,2-二氯苯</w:t>
            </w:r>
          </w:p>
        </w:tc>
        <w:tc>
          <w:tcPr>
            <w:tcW w:w="5232" w:type="dxa"/>
            <w:vMerge w:val="continue"/>
            <w:vAlign w:val="center"/>
          </w:tcPr>
          <w:p w14:paraId="2E39BD36">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781C7FB4">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0.7μg/m</w:t>
            </w:r>
            <w:r>
              <w:rPr>
                <w:bCs/>
                <w:iCs/>
                <w:snapToGrid w:val="0"/>
                <w:color w:val="auto"/>
                <w:sz w:val="21"/>
                <w:szCs w:val="21"/>
                <w:highlight w:val="none"/>
                <w:vertAlign w:val="superscript"/>
              </w:rPr>
              <w:t>3</w:t>
            </w:r>
          </w:p>
        </w:tc>
      </w:tr>
      <w:tr w14:paraId="069B2A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006B88D9">
            <w:pPr>
              <w:widowControl/>
              <w:topLinePunct w:val="0"/>
              <w:adjustRightInd/>
              <w:spacing w:line="240" w:lineRule="auto"/>
              <w:ind w:firstLine="0" w:firstLineChars="0"/>
              <w:jc w:val="center"/>
              <w:textAlignment w:val="center"/>
              <w:rPr>
                <w:bCs/>
                <w:iCs w:val="0"/>
                <w:snapToGrid w:val="0"/>
                <w:color w:val="auto"/>
                <w:sz w:val="21"/>
                <w:szCs w:val="21"/>
                <w:highlight w:val="none"/>
                <w:lang w:bidi="ar"/>
              </w:rPr>
            </w:pPr>
            <w:r>
              <w:rPr>
                <w:bCs/>
                <w:iCs w:val="0"/>
                <w:snapToGrid w:val="0"/>
                <w:color w:val="auto"/>
                <w:sz w:val="21"/>
                <w:szCs w:val="21"/>
                <w:highlight w:val="none"/>
                <w:lang w:bidi="ar"/>
              </w:rPr>
              <w:t>39</w:t>
            </w:r>
          </w:p>
        </w:tc>
        <w:tc>
          <w:tcPr>
            <w:tcW w:w="1739" w:type="dxa"/>
            <w:gridSpan w:val="2"/>
            <w:vAlign w:val="center"/>
          </w:tcPr>
          <w:p w14:paraId="386DAF72">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1,2,4-三氯苯</w:t>
            </w:r>
          </w:p>
        </w:tc>
        <w:tc>
          <w:tcPr>
            <w:tcW w:w="5232" w:type="dxa"/>
            <w:vMerge w:val="continue"/>
            <w:vAlign w:val="center"/>
          </w:tcPr>
          <w:p w14:paraId="62F06E3F">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3CC25748">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0.7μg/m</w:t>
            </w:r>
            <w:r>
              <w:rPr>
                <w:bCs/>
                <w:iCs/>
                <w:snapToGrid w:val="0"/>
                <w:color w:val="auto"/>
                <w:sz w:val="21"/>
                <w:szCs w:val="21"/>
                <w:highlight w:val="none"/>
                <w:vertAlign w:val="superscript"/>
              </w:rPr>
              <w:t>3</w:t>
            </w:r>
          </w:p>
        </w:tc>
      </w:tr>
      <w:tr w14:paraId="7F6A68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14:paraId="09B33202">
            <w:pPr>
              <w:widowControl/>
              <w:topLinePunct w:val="0"/>
              <w:adjustRightInd/>
              <w:spacing w:line="240" w:lineRule="auto"/>
              <w:ind w:firstLine="0" w:firstLineChars="0"/>
              <w:jc w:val="center"/>
              <w:textAlignment w:val="center"/>
              <w:rPr>
                <w:bCs/>
                <w:iCs w:val="0"/>
                <w:snapToGrid w:val="0"/>
                <w:color w:val="auto"/>
                <w:sz w:val="21"/>
                <w:szCs w:val="21"/>
                <w:highlight w:val="none"/>
                <w:lang w:bidi="ar"/>
              </w:rPr>
            </w:pPr>
            <w:r>
              <w:rPr>
                <w:bCs/>
                <w:iCs w:val="0"/>
                <w:snapToGrid w:val="0"/>
                <w:color w:val="auto"/>
                <w:sz w:val="21"/>
                <w:szCs w:val="21"/>
                <w:highlight w:val="none"/>
                <w:lang w:bidi="ar"/>
              </w:rPr>
              <w:t>40</w:t>
            </w:r>
          </w:p>
        </w:tc>
        <w:tc>
          <w:tcPr>
            <w:tcW w:w="1739" w:type="dxa"/>
            <w:gridSpan w:val="2"/>
            <w:vAlign w:val="center"/>
          </w:tcPr>
          <w:p w14:paraId="3A921C44">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六氯丁二烯</w:t>
            </w:r>
          </w:p>
        </w:tc>
        <w:tc>
          <w:tcPr>
            <w:tcW w:w="5232" w:type="dxa"/>
            <w:vMerge w:val="continue"/>
            <w:vAlign w:val="center"/>
          </w:tcPr>
          <w:p w14:paraId="1253369F">
            <w:pPr>
              <w:topLinePunct w:val="0"/>
              <w:adjustRightInd/>
              <w:spacing w:line="240" w:lineRule="auto"/>
              <w:ind w:firstLine="0" w:firstLineChars="0"/>
              <w:jc w:val="center"/>
              <w:textAlignment w:val="auto"/>
              <w:rPr>
                <w:bCs/>
                <w:iCs/>
                <w:snapToGrid w:val="0"/>
                <w:color w:val="auto"/>
                <w:kern w:val="2"/>
                <w:sz w:val="21"/>
                <w:szCs w:val="21"/>
                <w:highlight w:val="none"/>
              </w:rPr>
            </w:pPr>
          </w:p>
        </w:tc>
        <w:tc>
          <w:tcPr>
            <w:tcW w:w="1671" w:type="dxa"/>
            <w:vAlign w:val="center"/>
          </w:tcPr>
          <w:p w14:paraId="1D63240B">
            <w:pPr>
              <w:spacing w:line="240" w:lineRule="auto"/>
              <w:ind w:firstLine="0" w:firstLineChars="0"/>
              <w:jc w:val="center"/>
              <w:textAlignment w:val="center"/>
              <w:rPr>
                <w:bCs/>
                <w:iCs/>
                <w:snapToGrid w:val="0"/>
                <w:color w:val="auto"/>
                <w:kern w:val="2"/>
                <w:sz w:val="21"/>
                <w:szCs w:val="21"/>
                <w:highlight w:val="none"/>
              </w:rPr>
            </w:pPr>
            <w:r>
              <w:rPr>
                <w:bCs/>
                <w:iCs/>
                <w:snapToGrid w:val="0"/>
                <w:color w:val="auto"/>
                <w:sz w:val="21"/>
                <w:szCs w:val="21"/>
                <w:highlight w:val="none"/>
              </w:rPr>
              <w:t>0.6μg/m</w:t>
            </w:r>
            <w:r>
              <w:rPr>
                <w:bCs/>
                <w:iCs/>
                <w:snapToGrid w:val="0"/>
                <w:color w:val="auto"/>
                <w:sz w:val="21"/>
                <w:szCs w:val="21"/>
                <w:highlight w:val="none"/>
                <w:vertAlign w:val="superscript"/>
              </w:rPr>
              <w:t>3</w:t>
            </w:r>
          </w:p>
        </w:tc>
      </w:tr>
      <w:bookmarkEnd w:id="147"/>
      <w:bookmarkEnd w:id="148"/>
    </w:tbl>
    <w:p w14:paraId="30473485">
      <w:pPr>
        <w:spacing w:before="120" w:beforeLines="50"/>
        <w:ind w:firstLine="480"/>
        <w:rPr>
          <w:color w:val="auto"/>
          <w:highlight w:val="none"/>
          <w:lang w:bidi="ar"/>
        </w:rPr>
      </w:pPr>
      <w:r>
        <w:rPr>
          <w:color w:val="auto"/>
          <w:highlight w:val="none"/>
          <w:lang w:bidi="ar"/>
        </w:rPr>
        <w:t>（6）评价标准</w:t>
      </w:r>
    </w:p>
    <w:p w14:paraId="36B69AA0">
      <w:pPr>
        <w:ind w:firstLine="480"/>
        <w:rPr>
          <w:color w:val="auto"/>
          <w:highlight w:val="none"/>
          <w:lang w:bidi="ar"/>
        </w:rPr>
      </w:pPr>
      <w:r>
        <w:rPr>
          <w:color w:val="auto"/>
          <w:highlight w:val="none"/>
          <w:lang w:bidi="ar"/>
        </w:rPr>
        <w:t>评价标准按《环境空气质量标准》（GB3095-20</w:t>
      </w:r>
      <w:r>
        <w:rPr>
          <w:rFonts w:hint="eastAsia"/>
          <w:color w:val="auto"/>
          <w:highlight w:val="none"/>
          <w:lang w:bidi="ar"/>
        </w:rPr>
        <w:t>26</w:t>
      </w:r>
      <w:r>
        <w:rPr>
          <w:color w:val="auto"/>
          <w:highlight w:val="none"/>
          <w:lang w:bidi="ar"/>
        </w:rPr>
        <w:t>）中二级标准进行评价。</w:t>
      </w:r>
    </w:p>
    <w:p w14:paraId="1656AA78">
      <w:pPr>
        <w:ind w:firstLine="480"/>
        <w:rPr>
          <w:color w:val="auto"/>
          <w:highlight w:val="none"/>
          <w:lang w:bidi="ar"/>
        </w:rPr>
      </w:pPr>
      <w:r>
        <w:rPr>
          <w:color w:val="auto"/>
          <w:highlight w:val="none"/>
          <w:lang w:bidi="ar"/>
        </w:rPr>
        <w:t>（7）评价方法</w:t>
      </w:r>
    </w:p>
    <w:p w14:paraId="15D675DE">
      <w:pPr>
        <w:ind w:firstLine="480"/>
        <w:rPr>
          <w:color w:val="auto"/>
          <w:highlight w:val="none"/>
        </w:rPr>
      </w:pPr>
      <w:r>
        <w:rPr>
          <w:color w:val="auto"/>
          <w:highlight w:val="none"/>
        </w:rPr>
        <w:t>采用单项标准指数法，数学表达式如下：</w:t>
      </w:r>
    </w:p>
    <w:p w14:paraId="5F7488EF">
      <w:pPr>
        <w:ind w:firstLine="0" w:firstLineChars="0"/>
        <w:jc w:val="center"/>
        <w:rPr>
          <w:color w:val="auto"/>
          <w:highlight w:val="none"/>
        </w:rPr>
      </w:pPr>
      <m:oMathPara>
        <m:oMath>
          <m:sSub>
            <m:sSubPr>
              <m:ctrlPr>
                <w:rPr>
                  <w:rFonts w:ascii="Cambria Math" w:hAnsi="Cambria Math"/>
                  <w:color w:val="auto"/>
                  <w:highlight w:val="none"/>
                </w:rPr>
              </m:ctrlPr>
            </m:sSubPr>
            <m:e>
              <m:r>
                <m:rPr>
                  <m:nor/>
                </m:rPr>
                <w:rPr>
                  <w:i/>
                  <w:color w:val="auto"/>
                  <w:highlight w:val="none"/>
                </w:rPr>
                <m:t>P</m:t>
              </m:r>
              <m:ctrlPr>
                <w:rPr>
                  <w:rFonts w:ascii="Cambria Math" w:hAnsi="Cambria Math"/>
                  <w:color w:val="auto"/>
                  <w:highlight w:val="none"/>
                </w:rPr>
              </m:ctrlPr>
            </m:e>
            <m:sub>
              <m:r>
                <m:rPr>
                  <m:nor/>
                </m:rPr>
                <w:rPr>
                  <w:i/>
                  <w:color w:val="auto"/>
                  <w:highlight w:val="none"/>
                </w:rPr>
                <m:t>i</m:t>
              </m:r>
              <m:ctrlPr>
                <w:rPr>
                  <w:rFonts w:ascii="Cambria Math" w:hAnsi="Cambria Math"/>
                  <w:color w:val="auto"/>
                  <w:highlight w:val="none"/>
                </w:rPr>
              </m:ctrlPr>
            </m:sub>
          </m:sSub>
          <m:r>
            <m:rPr>
              <m:nor/>
              <m:sty m:val="p"/>
            </m:rPr>
            <w:rPr>
              <w:b w:val="0"/>
              <w:i w:val="0"/>
              <w:color w:val="auto"/>
              <w:highlight w:val="none"/>
            </w:rPr>
            <m:t>=</m:t>
          </m:r>
          <m:f>
            <m:fPr>
              <m:ctrlPr>
                <w:rPr>
                  <w:rFonts w:ascii="Cambria Math" w:hAnsi="Cambria Math"/>
                  <w:i/>
                  <w:color w:val="auto"/>
                  <w:highlight w:val="none"/>
                </w:rPr>
              </m:ctrlPr>
            </m:fPr>
            <m:num>
              <m:sSub>
                <m:sSubPr>
                  <m:ctrlPr>
                    <w:rPr>
                      <w:rFonts w:ascii="Cambria Math" w:hAnsi="Cambria Math"/>
                      <w:color w:val="auto"/>
                      <w:highlight w:val="none"/>
                    </w:rPr>
                  </m:ctrlPr>
                </m:sSubPr>
                <m:e>
                  <m:r>
                    <m:rPr>
                      <m:nor/>
                    </m:rPr>
                    <w:rPr>
                      <w:i/>
                      <w:color w:val="auto"/>
                      <w:highlight w:val="none"/>
                    </w:rPr>
                    <m:t>C</m:t>
                  </m:r>
                  <m:ctrlPr>
                    <w:rPr>
                      <w:rFonts w:ascii="Cambria Math" w:hAnsi="Cambria Math"/>
                      <w:color w:val="auto"/>
                      <w:highlight w:val="none"/>
                    </w:rPr>
                  </m:ctrlPr>
                </m:e>
                <m:sub>
                  <m:r>
                    <m:rPr>
                      <m:nor/>
                    </m:rPr>
                    <w:rPr>
                      <w:i/>
                      <w:color w:val="auto"/>
                      <w:highlight w:val="none"/>
                    </w:rPr>
                    <m:t>i</m:t>
                  </m:r>
                  <m:ctrlPr>
                    <w:rPr>
                      <w:rFonts w:ascii="Cambria Math" w:hAnsi="Cambria Math"/>
                      <w:color w:val="auto"/>
                      <w:highlight w:val="none"/>
                    </w:rPr>
                  </m:ctrlPr>
                </m:sub>
              </m:sSub>
              <m:ctrlPr>
                <w:rPr>
                  <w:rFonts w:ascii="Cambria Math" w:hAnsi="Cambria Math"/>
                  <w:i/>
                  <w:color w:val="auto"/>
                  <w:highlight w:val="none"/>
                </w:rPr>
              </m:ctrlPr>
            </m:num>
            <m:den>
              <m:sSub>
                <m:sSubPr>
                  <m:ctrlPr>
                    <w:rPr>
                      <w:rFonts w:ascii="Cambria Math" w:hAnsi="Cambria Math"/>
                      <w:i/>
                      <w:color w:val="auto"/>
                      <w:highlight w:val="none"/>
                    </w:rPr>
                  </m:ctrlPr>
                </m:sSubPr>
                <m:e>
                  <m:r>
                    <m:rPr>
                      <m:nor/>
                    </m:rPr>
                    <w:rPr>
                      <w:i/>
                      <w:color w:val="auto"/>
                      <w:highlight w:val="none"/>
                    </w:rPr>
                    <m:t>C</m:t>
                  </m:r>
                  <m:ctrlPr>
                    <w:rPr>
                      <w:rFonts w:ascii="Cambria Math" w:hAnsi="Cambria Math"/>
                      <w:i/>
                      <w:color w:val="auto"/>
                      <w:highlight w:val="none"/>
                    </w:rPr>
                  </m:ctrlPr>
                </m:e>
                <m:sub>
                  <m:r>
                    <m:rPr>
                      <m:nor/>
                    </m:rPr>
                    <w:rPr>
                      <w:i/>
                      <w:color w:val="auto"/>
                      <w:highlight w:val="none"/>
                    </w:rPr>
                    <m:t>o</m:t>
                  </m:r>
                  <m:ctrlPr>
                    <w:rPr>
                      <w:rFonts w:ascii="Cambria Math" w:hAnsi="Cambria Math"/>
                      <w:i/>
                      <w:color w:val="auto"/>
                      <w:highlight w:val="none"/>
                    </w:rPr>
                  </m:ctrlPr>
                </m:sub>
              </m:sSub>
              <m:ctrlPr>
                <w:rPr>
                  <w:rFonts w:ascii="Cambria Math" w:hAnsi="Cambria Math"/>
                  <w:i/>
                  <w:color w:val="auto"/>
                  <w:highlight w:val="none"/>
                </w:rPr>
              </m:ctrlPr>
            </m:den>
          </m:f>
        </m:oMath>
      </m:oMathPara>
    </w:p>
    <w:p w14:paraId="14B61703">
      <w:pPr>
        <w:ind w:firstLine="480"/>
        <w:rPr>
          <w:color w:val="auto"/>
          <w:highlight w:val="none"/>
        </w:rPr>
      </w:pPr>
      <w:r>
        <w:rPr>
          <w:color w:val="auto"/>
          <w:highlight w:val="none"/>
        </w:rPr>
        <w:t>公式中：</w:t>
      </w:r>
    </w:p>
    <w:p w14:paraId="289D8DEE">
      <w:pPr>
        <w:ind w:firstLine="960" w:firstLineChars="400"/>
        <w:rPr>
          <w:color w:val="auto"/>
          <w:highlight w:val="none"/>
        </w:rPr>
      </w:pPr>
      <w:r>
        <w:rPr>
          <w:color w:val="auto"/>
          <w:highlight w:val="none"/>
        </w:rPr>
        <w:t>P</w:t>
      </w:r>
      <w:r>
        <w:rPr>
          <w:color w:val="auto"/>
          <w:highlight w:val="none"/>
          <w:vertAlign w:val="subscript"/>
        </w:rPr>
        <w:t>i</w:t>
      </w:r>
      <w:r>
        <w:rPr>
          <w:color w:val="auto"/>
          <w:highlight w:val="none"/>
        </w:rPr>
        <w:t>—第i种污染物环境质量指数；</w:t>
      </w:r>
    </w:p>
    <w:p w14:paraId="3F5AB402">
      <w:pPr>
        <w:ind w:firstLine="960" w:firstLineChars="400"/>
        <w:rPr>
          <w:color w:val="auto"/>
          <w:highlight w:val="none"/>
        </w:rPr>
      </w:pPr>
      <w:r>
        <w:rPr>
          <w:color w:val="auto"/>
          <w:highlight w:val="none"/>
        </w:rPr>
        <w:t>Ci—第i种污染物的平均浓度，mg/m</w:t>
      </w:r>
      <w:r>
        <w:rPr>
          <w:color w:val="auto"/>
          <w:highlight w:val="none"/>
          <w:vertAlign w:val="superscript"/>
        </w:rPr>
        <w:t>3</w:t>
      </w:r>
      <w:r>
        <w:rPr>
          <w:color w:val="auto"/>
          <w:highlight w:val="none"/>
        </w:rPr>
        <w:t>；</w:t>
      </w:r>
    </w:p>
    <w:p w14:paraId="15B894AF">
      <w:pPr>
        <w:ind w:firstLine="960" w:firstLineChars="400"/>
        <w:rPr>
          <w:color w:val="auto"/>
          <w:highlight w:val="none"/>
        </w:rPr>
      </w:pPr>
      <w:r>
        <w:rPr>
          <w:color w:val="auto"/>
          <w:highlight w:val="none"/>
        </w:rPr>
        <w:t>Co—第i种污染物环境质量标准，mg/m</w:t>
      </w:r>
      <w:r>
        <w:rPr>
          <w:color w:val="auto"/>
          <w:highlight w:val="none"/>
          <w:vertAlign w:val="superscript"/>
        </w:rPr>
        <w:t>3</w:t>
      </w:r>
      <w:r>
        <w:rPr>
          <w:color w:val="auto"/>
          <w:highlight w:val="none"/>
        </w:rPr>
        <w:t>。</w:t>
      </w:r>
    </w:p>
    <w:p w14:paraId="652CBCE3">
      <w:pPr>
        <w:ind w:firstLine="480"/>
        <w:rPr>
          <w:color w:val="auto"/>
          <w:highlight w:val="none"/>
        </w:rPr>
      </w:pPr>
      <w:r>
        <w:rPr>
          <w:color w:val="auto"/>
          <w:highlight w:val="none"/>
        </w:rPr>
        <w:t>评价因子的标准指数＜1时，表明该评价因子的浓度符合环境空气功能及环境空气质量标准的要求。</w:t>
      </w:r>
    </w:p>
    <w:p w14:paraId="00573CF7">
      <w:pPr>
        <w:ind w:firstLine="480"/>
        <w:rPr>
          <w:color w:val="auto"/>
          <w:highlight w:val="none"/>
        </w:rPr>
      </w:pPr>
      <w:r>
        <w:rPr>
          <w:color w:val="auto"/>
          <w:highlight w:val="none"/>
        </w:rPr>
        <w:t>（8）监测结果及评价</w:t>
      </w:r>
    </w:p>
    <w:p w14:paraId="2DCA83CF">
      <w:pPr>
        <w:ind w:firstLine="480"/>
        <w:rPr>
          <w:rFonts w:eastAsiaTheme="minorEastAsia"/>
          <w:color w:val="auto"/>
          <w:highlight w:val="none"/>
        </w:rPr>
        <w:sectPr>
          <w:headerReference r:id="rId39" w:type="default"/>
          <w:pgSz w:w="11906" w:h="16838"/>
          <w:pgMar w:top="1559" w:right="1418" w:bottom="1503" w:left="1418" w:header="850" w:footer="964" w:gutter="0"/>
          <w:cols w:space="720" w:num="1"/>
          <w:docGrid w:linePitch="326" w:charSpace="0"/>
        </w:sectPr>
      </w:pPr>
      <w:r>
        <w:rPr>
          <w:rFonts w:eastAsiaTheme="minorEastAsia"/>
          <w:color w:val="auto"/>
          <w:highlight w:val="none"/>
        </w:rPr>
        <w:t>监测结果统计及分析见表3.4-3。</w:t>
      </w:r>
    </w:p>
    <w:p w14:paraId="4D2F58E4">
      <w:pPr>
        <w:pStyle w:val="38"/>
        <w:spacing w:after="0" w:line="240" w:lineRule="auto"/>
        <w:ind w:firstLine="0" w:firstLineChars="0"/>
        <w:jc w:val="right"/>
        <w:rPr>
          <w:b/>
          <w:color w:val="auto"/>
          <w:sz w:val="21"/>
          <w:szCs w:val="21"/>
          <w:highlight w:val="none"/>
        </w:rPr>
      </w:pPr>
      <w:r>
        <w:rPr>
          <w:b/>
          <w:color w:val="auto"/>
          <w:sz w:val="21"/>
          <w:szCs w:val="21"/>
          <w:highlight w:val="none"/>
        </w:rPr>
        <w:t xml:space="preserve">表3.4-3  监测结果统计及分析一览表 </w:t>
      </w:r>
      <w:r>
        <w:rPr>
          <w:rFonts w:hint="eastAsia"/>
          <w:b/>
          <w:color w:val="auto"/>
          <w:sz w:val="21"/>
          <w:szCs w:val="21"/>
          <w:highlight w:val="none"/>
        </w:rPr>
        <w:t xml:space="preserve">                              </w:t>
      </w:r>
      <w:r>
        <w:rPr>
          <w:b/>
          <w:color w:val="auto"/>
          <w:sz w:val="21"/>
          <w:szCs w:val="21"/>
          <w:highlight w:val="none"/>
        </w:rPr>
        <w:t xml:space="preserve"> 单位：mg/m</w:t>
      </w:r>
      <w:r>
        <w:rPr>
          <w:b/>
          <w:color w:val="auto"/>
          <w:sz w:val="21"/>
          <w:szCs w:val="21"/>
          <w:highlight w:val="none"/>
          <w:vertAlign w:val="superscript"/>
        </w:rPr>
        <w:t>3</w:t>
      </w:r>
    </w:p>
    <w:tbl>
      <w:tblPr>
        <w:tblStyle w:val="92"/>
        <w:tblpPr w:leftFromText="180" w:rightFromText="180" w:vertAnchor="text" w:tblpXSpec="center" w:tblpY="1"/>
        <w:tblOverlap w:val="never"/>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37"/>
        <w:gridCol w:w="1161"/>
        <w:gridCol w:w="1226"/>
        <w:gridCol w:w="714"/>
        <w:gridCol w:w="1133"/>
        <w:gridCol w:w="565"/>
        <w:gridCol w:w="1276"/>
        <w:gridCol w:w="1136"/>
        <w:gridCol w:w="1133"/>
        <w:gridCol w:w="851"/>
        <w:gridCol w:w="1268"/>
        <w:gridCol w:w="859"/>
        <w:gridCol w:w="1136"/>
        <w:gridCol w:w="697"/>
      </w:tblGrid>
      <w:tr w14:paraId="28FD8B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299" w:type="pct"/>
            <w:vMerge w:val="restart"/>
            <w:vAlign w:val="center"/>
          </w:tcPr>
          <w:p w14:paraId="2C721000">
            <w:pPr>
              <w:pStyle w:val="38"/>
              <w:spacing w:after="0" w:line="240" w:lineRule="auto"/>
              <w:ind w:firstLine="0" w:firstLineChars="0"/>
              <w:jc w:val="center"/>
              <w:rPr>
                <w:b/>
                <w:color w:val="auto"/>
                <w:sz w:val="21"/>
                <w:szCs w:val="21"/>
                <w:highlight w:val="none"/>
              </w:rPr>
            </w:pPr>
            <w:r>
              <w:rPr>
                <w:b/>
                <w:color w:val="auto"/>
                <w:sz w:val="21"/>
                <w:szCs w:val="21"/>
                <w:highlight w:val="none"/>
              </w:rPr>
              <w:t>监测点位</w:t>
            </w:r>
          </w:p>
        </w:tc>
        <w:tc>
          <w:tcPr>
            <w:tcW w:w="415" w:type="pct"/>
            <w:vMerge w:val="restart"/>
            <w:vAlign w:val="center"/>
          </w:tcPr>
          <w:p w14:paraId="2EDC9C6E">
            <w:pPr>
              <w:pStyle w:val="38"/>
              <w:spacing w:after="0" w:line="240" w:lineRule="auto"/>
              <w:ind w:firstLine="0" w:firstLineChars="0"/>
              <w:jc w:val="center"/>
              <w:rPr>
                <w:b/>
                <w:color w:val="auto"/>
                <w:sz w:val="21"/>
                <w:szCs w:val="21"/>
                <w:highlight w:val="none"/>
              </w:rPr>
            </w:pPr>
            <w:r>
              <w:rPr>
                <w:b/>
                <w:color w:val="auto"/>
                <w:sz w:val="21"/>
                <w:szCs w:val="21"/>
                <w:highlight w:val="none"/>
              </w:rPr>
              <w:t>采样日期</w:t>
            </w:r>
          </w:p>
        </w:tc>
        <w:tc>
          <w:tcPr>
            <w:tcW w:w="693" w:type="pct"/>
            <w:gridSpan w:val="2"/>
            <w:vAlign w:val="center"/>
          </w:tcPr>
          <w:p w14:paraId="6069E5ED">
            <w:pPr>
              <w:pStyle w:val="38"/>
              <w:spacing w:after="0" w:line="240" w:lineRule="auto"/>
              <w:ind w:firstLine="0" w:firstLineChars="0"/>
              <w:jc w:val="center"/>
              <w:rPr>
                <w:b/>
                <w:color w:val="auto"/>
                <w:sz w:val="21"/>
                <w:szCs w:val="21"/>
                <w:highlight w:val="none"/>
              </w:rPr>
            </w:pPr>
            <w:r>
              <w:rPr>
                <w:b/>
                <w:color w:val="auto"/>
                <w:sz w:val="21"/>
                <w:szCs w:val="21"/>
                <w:highlight w:val="none"/>
              </w:rPr>
              <w:t>TSP</w:t>
            </w:r>
          </w:p>
        </w:tc>
        <w:tc>
          <w:tcPr>
            <w:tcW w:w="607" w:type="pct"/>
            <w:gridSpan w:val="2"/>
            <w:vAlign w:val="center"/>
          </w:tcPr>
          <w:p w14:paraId="59A69741">
            <w:pPr>
              <w:pStyle w:val="38"/>
              <w:spacing w:after="0" w:line="240" w:lineRule="auto"/>
              <w:ind w:firstLine="0" w:firstLineChars="0"/>
              <w:jc w:val="center"/>
              <w:rPr>
                <w:b/>
                <w:color w:val="auto"/>
                <w:sz w:val="21"/>
                <w:szCs w:val="21"/>
                <w:highlight w:val="none"/>
              </w:rPr>
            </w:pPr>
            <w:r>
              <w:rPr>
                <w:b/>
                <w:color w:val="auto"/>
                <w:sz w:val="21"/>
                <w:szCs w:val="21"/>
                <w:highlight w:val="none"/>
              </w:rPr>
              <w:t>TVOC</w:t>
            </w:r>
          </w:p>
        </w:tc>
        <w:tc>
          <w:tcPr>
            <w:tcW w:w="862" w:type="pct"/>
            <w:gridSpan w:val="2"/>
            <w:vAlign w:val="center"/>
          </w:tcPr>
          <w:p w14:paraId="67057081">
            <w:pPr>
              <w:pStyle w:val="38"/>
              <w:spacing w:after="0" w:line="240" w:lineRule="auto"/>
              <w:ind w:firstLine="0" w:firstLineChars="0"/>
              <w:jc w:val="center"/>
              <w:rPr>
                <w:b/>
                <w:color w:val="auto"/>
                <w:sz w:val="21"/>
                <w:szCs w:val="21"/>
                <w:highlight w:val="none"/>
              </w:rPr>
            </w:pPr>
            <w:r>
              <w:rPr>
                <w:b/>
                <w:color w:val="auto"/>
                <w:sz w:val="21"/>
                <w:szCs w:val="21"/>
                <w:highlight w:val="none"/>
              </w:rPr>
              <w:t>非甲烷总烃</w:t>
            </w:r>
          </w:p>
        </w:tc>
        <w:tc>
          <w:tcPr>
            <w:tcW w:w="709" w:type="pct"/>
            <w:gridSpan w:val="2"/>
            <w:vAlign w:val="center"/>
          </w:tcPr>
          <w:p w14:paraId="56B9E12D">
            <w:pPr>
              <w:pStyle w:val="38"/>
              <w:spacing w:after="0" w:line="240" w:lineRule="auto"/>
              <w:ind w:firstLine="0" w:firstLineChars="0"/>
              <w:jc w:val="center"/>
              <w:rPr>
                <w:b/>
                <w:color w:val="auto"/>
                <w:sz w:val="21"/>
                <w:szCs w:val="21"/>
                <w:highlight w:val="none"/>
              </w:rPr>
            </w:pPr>
            <w:r>
              <w:rPr>
                <w:b/>
                <w:color w:val="auto"/>
                <w:sz w:val="21"/>
                <w:szCs w:val="21"/>
                <w:highlight w:val="none"/>
              </w:rPr>
              <w:t>苯</w:t>
            </w:r>
          </w:p>
        </w:tc>
        <w:tc>
          <w:tcPr>
            <w:tcW w:w="760" w:type="pct"/>
            <w:gridSpan w:val="2"/>
            <w:vAlign w:val="center"/>
          </w:tcPr>
          <w:p w14:paraId="34004CCC">
            <w:pPr>
              <w:pStyle w:val="38"/>
              <w:spacing w:after="0" w:line="240" w:lineRule="auto"/>
              <w:ind w:firstLine="0" w:firstLineChars="0"/>
              <w:jc w:val="center"/>
              <w:rPr>
                <w:b/>
                <w:color w:val="auto"/>
                <w:sz w:val="21"/>
                <w:szCs w:val="21"/>
                <w:highlight w:val="none"/>
              </w:rPr>
            </w:pPr>
            <w:r>
              <w:rPr>
                <w:b/>
                <w:color w:val="auto"/>
                <w:sz w:val="21"/>
                <w:szCs w:val="21"/>
                <w:highlight w:val="none"/>
              </w:rPr>
              <w:t>甲苯</w:t>
            </w:r>
          </w:p>
        </w:tc>
        <w:tc>
          <w:tcPr>
            <w:tcW w:w="655" w:type="pct"/>
            <w:gridSpan w:val="2"/>
            <w:vAlign w:val="center"/>
          </w:tcPr>
          <w:p w14:paraId="0A8EF299">
            <w:pPr>
              <w:pStyle w:val="38"/>
              <w:spacing w:after="0" w:line="240" w:lineRule="auto"/>
              <w:ind w:firstLine="0" w:firstLineChars="0"/>
              <w:jc w:val="center"/>
              <w:rPr>
                <w:b/>
                <w:color w:val="auto"/>
                <w:sz w:val="21"/>
                <w:szCs w:val="21"/>
                <w:highlight w:val="none"/>
              </w:rPr>
            </w:pPr>
            <w:r>
              <w:rPr>
                <w:b/>
                <w:color w:val="auto"/>
                <w:sz w:val="21"/>
                <w:szCs w:val="21"/>
                <w:highlight w:val="none"/>
              </w:rPr>
              <w:t>二甲苯</w:t>
            </w:r>
          </w:p>
        </w:tc>
      </w:tr>
      <w:tr w14:paraId="25C0C0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299" w:type="pct"/>
            <w:vMerge w:val="continue"/>
            <w:vAlign w:val="center"/>
          </w:tcPr>
          <w:p w14:paraId="21E94ED4">
            <w:pPr>
              <w:pStyle w:val="523"/>
              <w:spacing w:line="240" w:lineRule="auto"/>
              <w:ind w:left="0" w:leftChars="0" w:right="0" w:rightChars="0"/>
              <w:rPr>
                <w:b/>
                <w:bCs w:val="0"/>
                <w:color w:val="auto"/>
                <w:highlight w:val="none"/>
              </w:rPr>
            </w:pPr>
          </w:p>
        </w:tc>
        <w:tc>
          <w:tcPr>
            <w:tcW w:w="415" w:type="pct"/>
            <w:vMerge w:val="continue"/>
            <w:vAlign w:val="center"/>
          </w:tcPr>
          <w:p w14:paraId="0E81F190">
            <w:pPr>
              <w:pStyle w:val="523"/>
              <w:spacing w:line="240" w:lineRule="auto"/>
              <w:ind w:left="0" w:leftChars="0" w:right="0" w:rightChars="0"/>
              <w:rPr>
                <w:b/>
                <w:bCs w:val="0"/>
                <w:color w:val="auto"/>
                <w:highlight w:val="none"/>
              </w:rPr>
            </w:pPr>
          </w:p>
        </w:tc>
        <w:tc>
          <w:tcPr>
            <w:tcW w:w="438" w:type="pct"/>
            <w:vAlign w:val="center"/>
          </w:tcPr>
          <w:p w14:paraId="2A1CCCEC">
            <w:pPr>
              <w:pStyle w:val="523"/>
              <w:spacing w:line="240" w:lineRule="auto"/>
              <w:ind w:left="0" w:leftChars="0" w:right="0" w:rightChars="0"/>
              <w:rPr>
                <w:b/>
                <w:bCs w:val="0"/>
                <w:color w:val="auto"/>
                <w:highlight w:val="none"/>
              </w:rPr>
            </w:pPr>
            <w:r>
              <w:rPr>
                <w:b/>
                <w:bCs w:val="0"/>
                <w:color w:val="auto"/>
                <w:highlight w:val="none"/>
              </w:rPr>
              <w:t>监测结果</w:t>
            </w:r>
          </w:p>
        </w:tc>
        <w:tc>
          <w:tcPr>
            <w:tcW w:w="255" w:type="pct"/>
            <w:vAlign w:val="center"/>
          </w:tcPr>
          <w:p w14:paraId="2DEE48A3">
            <w:pPr>
              <w:pStyle w:val="523"/>
              <w:spacing w:line="240" w:lineRule="auto"/>
              <w:ind w:left="0" w:leftChars="0" w:right="0" w:rightChars="0"/>
              <w:rPr>
                <w:b/>
                <w:bCs w:val="0"/>
                <w:color w:val="auto"/>
                <w:highlight w:val="none"/>
              </w:rPr>
            </w:pPr>
            <w:r>
              <w:rPr>
                <w:b/>
                <w:bCs w:val="0"/>
                <w:color w:val="auto"/>
                <w:highlight w:val="none"/>
              </w:rPr>
              <w:t>Pi</w:t>
            </w:r>
          </w:p>
        </w:tc>
        <w:tc>
          <w:tcPr>
            <w:tcW w:w="405" w:type="pct"/>
            <w:vAlign w:val="center"/>
          </w:tcPr>
          <w:p w14:paraId="296552F5">
            <w:pPr>
              <w:pStyle w:val="523"/>
              <w:spacing w:line="240" w:lineRule="auto"/>
              <w:ind w:left="0" w:leftChars="0" w:right="0" w:rightChars="0"/>
              <w:rPr>
                <w:b/>
                <w:bCs w:val="0"/>
                <w:color w:val="auto"/>
                <w:highlight w:val="none"/>
              </w:rPr>
            </w:pPr>
            <w:r>
              <w:rPr>
                <w:b/>
                <w:bCs w:val="0"/>
                <w:color w:val="auto"/>
                <w:highlight w:val="none"/>
              </w:rPr>
              <w:t>监测结果</w:t>
            </w:r>
          </w:p>
        </w:tc>
        <w:tc>
          <w:tcPr>
            <w:tcW w:w="202" w:type="pct"/>
            <w:vAlign w:val="center"/>
          </w:tcPr>
          <w:p w14:paraId="2F2C4E42">
            <w:pPr>
              <w:pStyle w:val="523"/>
              <w:spacing w:line="240" w:lineRule="auto"/>
              <w:ind w:left="0" w:leftChars="0" w:right="0" w:rightChars="0"/>
              <w:rPr>
                <w:b/>
                <w:bCs w:val="0"/>
                <w:color w:val="auto"/>
                <w:highlight w:val="none"/>
              </w:rPr>
            </w:pPr>
            <w:r>
              <w:rPr>
                <w:b/>
                <w:bCs w:val="0"/>
                <w:color w:val="auto"/>
                <w:highlight w:val="none"/>
              </w:rPr>
              <w:t>Pi</w:t>
            </w:r>
          </w:p>
        </w:tc>
        <w:tc>
          <w:tcPr>
            <w:tcW w:w="456" w:type="pct"/>
            <w:vAlign w:val="center"/>
          </w:tcPr>
          <w:p w14:paraId="51C2F7DE">
            <w:pPr>
              <w:pStyle w:val="523"/>
              <w:spacing w:line="240" w:lineRule="auto"/>
              <w:ind w:left="0" w:leftChars="0" w:right="0" w:rightChars="0"/>
              <w:rPr>
                <w:b/>
                <w:bCs w:val="0"/>
                <w:color w:val="auto"/>
                <w:highlight w:val="none"/>
              </w:rPr>
            </w:pPr>
            <w:r>
              <w:rPr>
                <w:b/>
                <w:bCs w:val="0"/>
                <w:color w:val="auto"/>
                <w:highlight w:val="none"/>
              </w:rPr>
              <w:t>监测结果</w:t>
            </w:r>
          </w:p>
        </w:tc>
        <w:tc>
          <w:tcPr>
            <w:tcW w:w="406" w:type="pct"/>
            <w:vAlign w:val="center"/>
          </w:tcPr>
          <w:p w14:paraId="3FABDAD6">
            <w:pPr>
              <w:pStyle w:val="523"/>
              <w:spacing w:line="240" w:lineRule="auto"/>
              <w:ind w:left="0" w:leftChars="0" w:right="0" w:rightChars="0"/>
              <w:rPr>
                <w:b/>
                <w:bCs w:val="0"/>
                <w:color w:val="auto"/>
                <w:highlight w:val="none"/>
              </w:rPr>
            </w:pPr>
            <w:r>
              <w:rPr>
                <w:b/>
                <w:bCs w:val="0"/>
                <w:color w:val="auto"/>
                <w:highlight w:val="none"/>
              </w:rPr>
              <w:t>Pi</w:t>
            </w:r>
          </w:p>
        </w:tc>
        <w:tc>
          <w:tcPr>
            <w:tcW w:w="405" w:type="pct"/>
            <w:vAlign w:val="center"/>
          </w:tcPr>
          <w:p w14:paraId="3EF71FC1">
            <w:pPr>
              <w:pStyle w:val="523"/>
              <w:spacing w:line="240" w:lineRule="auto"/>
              <w:ind w:left="0" w:leftChars="0" w:right="0" w:rightChars="0"/>
              <w:rPr>
                <w:b/>
                <w:bCs w:val="0"/>
                <w:color w:val="auto"/>
                <w:highlight w:val="none"/>
              </w:rPr>
            </w:pPr>
            <w:r>
              <w:rPr>
                <w:b/>
                <w:bCs w:val="0"/>
                <w:color w:val="auto"/>
                <w:highlight w:val="none"/>
              </w:rPr>
              <w:t>监测结果</w:t>
            </w:r>
          </w:p>
        </w:tc>
        <w:tc>
          <w:tcPr>
            <w:tcW w:w="304" w:type="pct"/>
            <w:vAlign w:val="center"/>
          </w:tcPr>
          <w:p w14:paraId="298A0B0D">
            <w:pPr>
              <w:pStyle w:val="523"/>
              <w:spacing w:line="240" w:lineRule="auto"/>
              <w:ind w:left="0" w:leftChars="0" w:right="0" w:rightChars="0"/>
              <w:rPr>
                <w:b/>
                <w:bCs w:val="0"/>
                <w:color w:val="auto"/>
                <w:highlight w:val="none"/>
              </w:rPr>
            </w:pPr>
            <w:r>
              <w:rPr>
                <w:b/>
                <w:bCs w:val="0"/>
                <w:color w:val="auto"/>
                <w:highlight w:val="none"/>
              </w:rPr>
              <w:t>Pi</w:t>
            </w:r>
          </w:p>
        </w:tc>
        <w:tc>
          <w:tcPr>
            <w:tcW w:w="453" w:type="pct"/>
            <w:vAlign w:val="center"/>
          </w:tcPr>
          <w:p w14:paraId="2FD6C6B1">
            <w:pPr>
              <w:pStyle w:val="523"/>
              <w:spacing w:line="240" w:lineRule="auto"/>
              <w:ind w:left="0" w:leftChars="0" w:right="0" w:rightChars="0"/>
              <w:rPr>
                <w:b/>
                <w:bCs w:val="0"/>
                <w:color w:val="auto"/>
                <w:highlight w:val="none"/>
              </w:rPr>
            </w:pPr>
            <w:r>
              <w:rPr>
                <w:b/>
                <w:bCs w:val="0"/>
                <w:color w:val="auto"/>
                <w:highlight w:val="none"/>
              </w:rPr>
              <w:t>监测结果</w:t>
            </w:r>
          </w:p>
        </w:tc>
        <w:tc>
          <w:tcPr>
            <w:tcW w:w="307" w:type="pct"/>
            <w:vAlign w:val="center"/>
          </w:tcPr>
          <w:p w14:paraId="5D914D64">
            <w:pPr>
              <w:pStyle w:val="523"/>
              <w:spacing w:line="240" w:lineRule="auto"/>
              <w:ind w:left="0" w:leftChars="0" w:right="0" w:rightChars="0"/>
              <w:rPr>
                <w:b/>
                <w:bCs w:val="0"/>
                <w:color w:val="auto"/>
                <w:highlight w:val="none"/>
              </w:rPr>
            </w:pPr>
            <w:r>
              <w:rPr>
                <w:b/>
                <w:bCs w:val="0"/>
                <w:color w:val="auto"/>
                <w:highlight w:val="none"/>
              </w:rPr>
              <w:t>Pi</w:t>
            </w:r>
          </w:p>
        </w:tc>
        <w:tc>
          <w:tcPr>
            <w:tcW w:w="406" w:type="pct"/>
            <w:vAlign w:val="center"/>
          </w:tcPr>
          <w:p w14:paraId="2A52CE0B">
            <w:pPr>
              <w:pStyle w:val="523"/>
              <w:spacing w:line="240" w:lineRule="auto"/>
              <w:ind w:left="0" w:leftChars="0" w:right="0" w:rightChars="0"/>
              <w:rPr>
                <w:b/>
                <w:bCs w:val="0"/>
                <w:color w:val="auto"/>
                <w:highlight w:val="none"/>
              </w:rPr>
            </w:pPr>
            <w:r>
              <w:rPr>
                <w:b/>
                <w:bCs w:val="0"/>
                <w:color w:val="auto"/>
                <w:highlight w:val="none"/>
              </w:rPr>
              <w:t>监测结果</w:t>
            </w:r>
          </w:p>
        </w:tc>
        <w:tc>
          <w:tcPr>
            <w:tcW w:w="249" w:type="pct"/>
            <w:vAlign w:val="center"/>
          </w:tcPr>
          <w:p w14:paraId="45B7583C">
            <w:pPr>
              <w:pStyle w:val="523"/>
              <w:spacing w:line="240" w:lineRule="auto"/>
              <w:ind w:left="0" w:leftChars="0" w:right="0" w:rightChars="0"/>
              <w:rPr>
                <w:b/>
                <w:bCs w:val="0"/>
                <w:color w:val="auto"/>
                <w:highlight w:val="none"/>
              </w:rPr>
            </w:pPr>
            <w:r>
              <w:rPr>
                <w:b/>
                <w:bCs w:val="0"/>
                <w:color w:val="auto"/>
                <w:highlight w:val="none"/>
              </w:rPr>
              <w:t>Pi</w:t>
            </w:r>
          </w:p>
        </w:tc>
      </w:tr>
      <w:tr w14:paraId="3153C2F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99" w:type="pct"/>
            <w:vMerge w:val="restart"/>
            <w:vAlign w:val="center"/>
          </w:tcPr>
          <w:p w14:paraId="6E9D2C65">
            <w:pPr>
              <w:pStyle w:val="523"/>
              <w:spacing w:line="240" w:lineRule="auto"/>
              <w:ind w:left="0" w:leftChars="0" w:right="0" w:rightChars="0"/>
              <w:rPr>
                <w:color w:val="auto"/>
                <w:highlight w:val="none"/>
              </w:rPr>
            </w:pPr>
            <w:r>
              <w:rPr>
                <w:color w:val="auto"/>
                <w:highlight w:val="none"/>
              </w:rPr>
              <w:t>G1船坞南面陆域</w:t>
            </w:r>
          </w:p>
        </w:tc>
        <w:tc>
          <w:tcPr>
            <w:tcW w:w="415" w:type="pct"/>
            <w:vAlign w:val="center"/>
          </w:tcPr>
          <w:p w14:paraId="1EBD1F45">
            <w:pPr>
              <w:spacing w:line="240" w:lineRule="auto"/>
              <w:ind w:firstLine="0" w:firstLineChars="0"/>
              <w:jc w:val="center"/>
              <w:rPr>
                <w:b/>
                <w:color w:val="auto"/>
                <w:sz w:val="21"/>
                <w:szCs w:val="21"/>
                <w:highlight w:val="none"/>
              </w:rPr>
            </w:pPr>
            <w:r>
              <w:rPr>
                <w:color w:val="auto"/>
                <w:sz w:val="21"/>
                <w:szCs w:val="21"/>
                <w:highlight w:val="none"/>
              </w:rPr>
              <w:t>2025.12.15</w:t>
            </w:r>
          </w:p>
        </w:tc>
        <w:tc>
          <w:tcPr>
            <w:tcW w:w="438" w:type="pct"/>
            <w:vAlign w:val="center"/>
          </w:tcPr>
          <w:p w14:paraId="58656837">
            <w:pPr>
              <w:pStyle w:val="523"/>
              <w:spacing w:line="240" w:lineRule="auto"/>
              <w:ind w:left="0" w:leftChars="0" w:right="0" w:rightChars="0"/>
              <w:rPr>
                <w:color w:val="auto"/>
                <w:highlight w:val="none"/>
              </w:rPr>
            </w:pPr>
          </w:p>
        </w:tc>
        <w:tc>
          <w:tcPr>
            <w:tcW w:w="255" w:type="pct"/>
            <w:vAlign w:val="center"/>
          </w:tcPr>
          <w:p w14:paraId="455BF121">
            <w:pPr>
              <w:pStyle w:val="523"/>
              <w:spacing w:line="240" w:lineRule="auto"/>
              <w:ind w:left="0" w:leftChars="0" w:right="0" w:rightChars="0"/>
              <w:rPr>
                <w:color w:val="auto"/>
                <w:highlight w:val="none"/>
              </w:rPr>
            </w:pPr>
          </w:p>
        </w:tc>
        <w:tc>
          <w:tcPr>
            <w:tcW w:w="405" w:type="pct"/>
            <w:vAlign w:val="center"/>
          </w:tcPr>
          <w:p w14:paraId="733E4F15">
            <w:pPr>
              <w:pStyle w:val="523"/>
              <w:spacing w:line="240" w:lineRule="auto"/>
              <w:ind w:left="0" w:leftChars="0" w:right="0" w:rightChars="0"/>
              <w:rPr>
                <w:color w:val="auto"/>
                <w:highlight w:val="none"/>
              </w:rPr>
            </w:pPr>
          </w:p>
        </w:tc>
        <w:tc>
          <w:tcPr>
            <w:tcW w:w="202" w:type="pct"/>
            <w:vAlign w:val="center"/>
          </w:tcPr>
          <w:p w14:paraId="386CDF80">
            <w:pPr>
              <w:pStyle w:val="523"/>
              <w:spacing w:line="240" w:lineRule="auto"/>
              <w:ind w:left="0" w:leftChars="0" w:right="0" w:rightChars="0"/>
              <w:rPr>
                <w:color w:val="auto"/>
                <w:highlight w:val="none"/>
              </w:rPr>
            </w:pPr>
          </w:p>
        </w:tc>
        <w:tc>
          <w:tcPr>
            <w:tcW w:w="456" w:type="pct"/>
            <w:vAlign w:val="center"/>
          </w:tcPr>
          <w:p w14:paraId="43C7098A">
            <w:pPr>
              <w:pStyle w:val="523"/>
              <w:spacing w:line="240" w:lineRule="auto"/>
              <w:ind w:left="0" w:leftChars="0" w:right="0" w:rightChars="0"/>
              <w:rPr>
                <w:color w:val="auto"/>
                <w:highlight w:val="none"/>
              </w:rPr>
            </w:pPr>
          </w:p>
        </w:tc>
        <w:tc>
          <w:tcPr>
            <w:tcW w:w="406" w:type="pct"/>
            <w:vAlign w:val="center"/>
          </w:tcPr>
          <w:p w14:paraId="45C5DD62">
            <w:pPr>
              <w:pStyle w:val="523"/>
              <w:spacing w:line="240" w:lineRule="auto"/>
              <w:ind w:left="0" w:leftChars="0" w:right="0" w:rightChars="0"/>
              <w:rPr>
                <w:color w:val="auto"/>
                <w:highlight w:val="none"/>
              </w:rPr>
            </w:pPr>
          </w:p>
        </w:tc>
        <w:tc>
          <w:tcPr>
            <w:tcW w:w="405" w:type="pct"/>
            <w:vAlign w:val="center"/>
          </w:tcPr>
          <w:p w14:paraId="52CAC1CE">
            <w:pPr>
              <w:pStyle w:val="523"/>
              <w:spacing w:line="240" w:lineRule="auto"/>
              <w:ind w:left="0" w:leftChars="0" w:right="0" w:rightChars="0"/>
              <w:rPr>
                <w:color w:val="auto"/>
                <w:highlight w:val="none"/>
              </w:rPr>
            </w:pPr>
          </w:p>
        </w:tc>
        <w:tc>
          <w:tcPr>
            <w:tcW w:w="304" w:type="pct"/>
            <w:vAlign w:val="center"/>
          </w:tcPr>
          <w:p w14:paraId="4779E76F">
            <w:pPr>
              <w:pStyle w:val="523"/>
              <w:spacing w:line="240" w:lineRule="auto"/>
              <w:ind w:left="0" w:leftChars="0" w:right="0" w:rightChars="0"/>
              <w:rPr>
                <w:color w:val="auto"/>
                <w:highlight w:val="none"/>
              </w:rPr>
            </w:pPr>
          </w:p>
        </w:tc>
        <w:tc>
          <w:tcPr>
            <w:tcW w:w="453" w:type="pct"/>
            <w:vAlign w:val="center"/>
          </w:tcPr>
          <w:p w14:paraId="2AB060DF">
            <w:pPr>
              <w:pStyle w:val="523"/>
              <w:spacing w:line="240" w:lineRule="auto"/>
              <w:ind w:left="0" w:leftChars="0" w:right="0" w:rightChars="0"/>
              <w:rPr>
                <w:color w:val="auto"/>
                <w:highlight w:val="none"/>
              </w:rPr>
            </w:pPr>
          </w:p>
        </w:tc>
        <w:tc>
          <w:tcPr>
            <w:tcW w:w="307" w:type="pct"/>
            <w:vAlign w:val="center"/>
          </w:tcPr>
          <w:p w14:paraId="4B8112CB">
            <w:pPr>
              <w:pStyle w:val="523"/>
              <w:spacing w:line="240" w:lineRule="auto"/>
              <w:ind w:left="0" w:leftChars="0" w:right="0" w:rightChars="0"/>
              <w:rPr>
                <w:color w:val="auto"/>
                <w:highlight w:val="none"/>
              </w:rPr>
            </w:pPr>
          </w:p>
        </w:tc>
        <w:tc>
          <w:tcPr>
            <w:tcW w:w="406" w:type="pct"/>
            <w:vAlign w:val="center"/>
          </w:tcPr>
          <w:p w14:paraId="31BAD009">
            <w:pPr>
              <w:pStyle w:val="523"/>
              <w:spacing w:line="240" w:lineRule="auto"/>
              <w:ind w:left="0" w:leftChars="0" w:right="0" w:rightChars="0"/>
              <w:rPr>
                <w:color w:val="auto"/>
                <w:highlight w:val="none"/>
              </w:rPr>
            </w:pPr>
          </w:p>
        </w:tc>
        <w:tc>
          <w:tcPr>
            <w:tcW w:w="249" w:type="pct"/>
            <w:vAlign w:val="center"/>
          </w:tcPr>
          <w:p w14:paraId="66CBBE63">
            <w:pPr>
              <w:pStyle w:val="523"/>
              <w:spacing w:line="240" w:lineRule="auto"/>
              <w:ind w:left="0" w:leftChars="0" w:right="0" w:rightChars="0"/>
              <w:rPr>
                <w:color w:val="auto"/>
                <w:highlight w:val="none"/>
              </w:rPr>
            </w:pPr>
          </w:p>
        </w:tc>
      </w:tr>
      <w:tr w14:paraId="52F965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99" w:type="pct"/>
            <w:vMerge w:val="continue"/>
            <w:vAlign w:val="center"/>
          </w:tcPr>
          <w:p w14:paraId="756C5ABE">
            <w:pPr>
              <w:pStyle w:val="523"/>
              <w:spacing w:line="240" w:lineRule="auto"/>
              <w:ind w:left="0" w:leftChars="0" w:right="0" w:rightChars="0"/>
              <w:rPr>
                <w:color w:val="auto"/>
                <w:highlight w:val="none"/>
              </w:rPr>
            </w:pPr>
          </w:p>
        </w:tc>
        <w:tc>
          <w:tcPr>
            <w:tcW w:w="415" w:type="pct"/>
            <w:vAlign w:val="center"/>
          </w:tcPr>
          <w:p w14:paraId="58E22E5F">
            <w:pPr>
              <w:spacing w:line="240" w:lineRule="auto"/>
              <w:ind w:firstLine="0" w:firstLineChars="0"/>
              <w:jc w:val="center"/>
              <w:rPr>
                <w:b/>
                <w:color w:val="auto"/>
                <w:sz w:val="21"/>
                <w:szCs w:val="21"/>
                <w:highlight w:val="none"/>
              </w:rPr>
            </w:pPr>
            <w:r>
              <w:rPr>
                <w:color w:val="auto"/>
                <w:sz w:val="21"/>
                <w:szCs w:val="21"/>
                <w:highlight w:val="none"/>
              </w:rPr>
              <w:t>2025.12.16</w:t>
            </w:r>
          </w:p>
        </w:tc>
        <w:tc>
          <w:tcPr>
            <w:tcW w:w="438" w:type="pct"/>
            <w:vAlign w:val="center"/>
          </w:tcPr>
          <w:p w14:paraId="7819DC62">
            <w:pPr>
              <w:pStyle w:val="523"/>
              <w:spacing w:line="240" w:lineRule="auto"/>
              <w:ind w:left="0" w:leftChars="0" w:right="0" w:rightChars="0"/>
              <w:rPr>
                <w:color w:val="auto"/>
                <w:highlight w:val="none"/>
              </w:rPr>
            </w:pPr>
          </w:p>
        </w:tc>
        <w:tc>
          <w:tcPr>
            <w:tcW w:w="255" w:type="pct"/>
            <w:vAlign w:val="center"/>
          </w:tcPr>
          <w:p w14:paraId="13288EB2">
            <w:pPr>
              <w:pStyle w:val="523"/>
              <w:spacing w:line="240" w:lineRule="auto"/>
              <w:ind w:left="0" w:leftChars="0" w:right="0" w:rightChars="0"/>
              <w:rPr>
                <w:color w:val="auto"/>
                <w:highlight w:val="none"/>
              </w:rPr>
            </w:pPr>
          </w:p>
        </w:tc>
        <w:tc>
          <w:tcPr>
            <w:tcW w:w="405" w:type="pct"/>
            <w:vAlign w:val="center"/>
          </w:tcPr>
          <w:p w14:paraId="15F6F625">
            <w:pPr>
              <w:pStyle w:val="523"/>
              <w:spacing w:line="240" w:lineRule="auto"/>
              <w:ind w:left="0" w:leftChars="0" w:right="0" w:rightChars="0"/>
              <w:rPr>
                <w:color w:val="auto"/>
                <w:highlight w:val="none"/>
              </w:rPr>
            </w:pPr>
          </w:p>
        </w:tc>
        <w:tc>
          <w:tcPr>
            <w:tcW w:w="202" w:type="pct"/>
            <w:vAlign w:val="center"/>
          </w:tcPr>
          <w:p w14:paraId="3E4D94C0">
            <w:pPr>
              <w:pStyle w:val="523"/>
              <w:spacing w:line="240" w:lineRule="auto"/>
              <w:ind w:left="0" w:leftChars="0" w:right="0" w:rightChars="0"/>
              <w:rPr>
                <w:color w:val="auto"/>
                <w:highlight w:val="none"/>
              </w:rPr>
            </w:pPr>
          </w:p>
        </w:tc>
        <w:tc>
          <w:tcPr>
            <w:tcW w:w="456" w:type="pct"/>
            <w:vAlign w:val="center"/>
          </w:tcPr>
          <w:p w14:paraId="41506324">
            <w:pPr>
              <w:pStyle w:val="523"/>
              <w:spacing w:line="240" w:lineRule="auto"/>
              <w:ind w:left="0" w:leftChars="0" w:right="0" w:rightChars="0"/>
              <w:rPr>
                <w:color w:val="auto"/>
                <w:highlight w:val="none"/>
              </w:rPr>
            </w:pPr>
          </w:p>
        </w:tc>
        <w:tc>
          <w:tcPr>
            <w:tcW w:w="406" w:type="pct"/>
            <w:vAlign w:val="center"/>
          </w:tcPr>
          <w:p w14:paraId="43F82A4E">
            <w:pPr>
              <w:pStyle w:val="523"/>
              <w:spacing w:line="240" w:lineRule="auto"/>
              <w:ind w:left="0" w:leftChars="0" w:right="0" w:rightChars="0"/>
              <w:rPr>
                <w:color w:val="auto"/>
                <w:highlight w:val="none"/>
              </w:rPr>
            </w:pPr>
          </w:p>
        </w:tc>
        <w:tc>
          <w:tcPr>
            <w:tcW w:w="405" w:type="pct"/>
            <w:vAlign w:val="center"/>
          </w:tcPr>
          <w:p w14:paraId="227BBE17">
            <w:pPr>
              <w:pStyle w:val="523"/>
              <w:spacing w:line="240" w:lineRule="auto"/>
              <w:ind w:left="0" w:leftChars="0" w:right="0" w:rightChars="0"/>
              <w:rPr>
                <w:color w:val="auto"/>
                <w:highlight w:val="none"/>
              </w:rPr>
            </w:pPr>
          </w:p>
        </w:tc>
        <w:tc>
          <w:tcPr>
            <w:tcW w:w="304" w:type="pct"/>
            <w:vAlign w:val="center"/>
          </w:tcPr>
          <w:p w14:paraId="00384456">
            <w:pPr>
              <w:pStyle w:val="523"/>
              <w:spacing w:line="240" w:lineRule="auto"/>
              <w:ind w:left="0" w:leftChars="0" w:right="0" w:rightChars="0"/>
              <w:rPr>
                <w:color w:val="auto"/>
                <w:highlight w:val="none"/>
              </w:rPr>
            </w:pPr>
          </w:p>
        </w:tc>
        <w:tc>
          <w:tcPr>
            <w:tcW w:w="453" w:type="pct"/>
            <w:vAlign w:val="center"/>
          </w:tcPr>
          <w:p w14:paraId="09A251C4">
            <w:pPr>
              <w:pStyle w:val="523"/>
              <w:spacing w:line="240" w:lineRule="auto"/>
              <w:ind w:left="0" w:leftChars="0" w:right="0" w:rightChars="0"/>
              <w:rPr>
                <w:color w:val="auto"/>
                <w:highlight w:val="none"/>
              </w:rPr>
            </w:pPr>
          </w:p>
        </w:tc>
        <w:tc>
          <w:tcPr>
            <w:tcW w:w="307" w:type="pct"/>
            <w:vAlign w:val="center"/>
          </w:tcPr>
          <w:p w14:paraId="33277A5D">
            <w:pPr>
              <w:pStyle w:val="523"/>
              <w:spacing w:line="240" w:lineRule="auto"/>
              <w:ind w:left="0" w:leftChars="0" w:right="0" w:rightChars="0"/>
              <w:rPr>
                <w:color w:val="auto"/>
                <w:highlight w:val="none"/>
              </w:rPr>
            </w:pPr>
          </w:p>
        </w:tc>
        <w:tc>
          <w:tcPr>
            <w:tcW w:w="406" w:type="pct"/>
            <w:vAlign w:val="center"/>
          </w:tcPr>
          <w:p w14:paraId="0C8DFF72">
            <w:pPr>
              <w:pStyle w:val="523"/>
              <w:spacing w:line="240" w:lineRule="auto"/>
              <w:ind w:left="0" w:leftChars="0" w:right="0" w:rightChars="0"/>
              <w:rPr>
                <w:color w:val="auto"/>
                <w:highlight w:val="none"/>
              </w:rPr>
            </w:pPr>
          </w:p>
        </w:tc>
        <w:tc>
          <w:tcPr>
            <w:tcW w:w="249" w:type="pct"/>
            <w:vAlign w:val="center"/>
          </w:tcPr>
          <w:p w14:paraId="3E8D6F73">
            <w:pPr>
              <w:pStyle w:val="523"/>
              <w:spacing w:line="240" w:lineRule="auto"/>
              <w:ind w:left="0" w:leftChars="0" w:right="0" w:rightChars="0"/>
              <w:rPr>
                <w:color w:val="auto"/>
                <w:highlight w:val="none"/>
              </w:rPr>
            </w:pPr>
          </w:p>
        </w:tc>
      </w:tr>
      <w:tr w14:paraId="7D31E8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99" w:type="pct"/>
            <w:vMerge w:val="continue"/>
            <w:vAlign w:val="center"/>
          </w:tcPr>
          <w:p w14:paraId="44B23CA9">
            <w:pPr>
              <w:pStyle w:val="523"/>
              <w:spacing w:line="240" w:lineRule="auto"/>
              <w:ind w:left="0" w:leftChars="0" w:right="0" w:rightChars="0"/>
              <w:rPr>
                <w:color w:val="auto"/>
                <w:highlight w:val="none"/>
              </w:rPr>
            </w:pPr>
          </w:p>
        </w:tc>
        <w:tc>
          <w:tcPr>
            <w:tcW w:w="415" w:type="pct"/>
            <w:vAlign w:val="center"/>
          </w:tcPr>
          <w:p w14:paraId="04CDE8C1">
            <w:pPr>
              <w:spacing w:line="240" w:lineRule="auto"/>
              <w:ind w:firstLine="0" w:firstLineChars="0"/>
              <w:jc w:val="center"/>
              <w:rPr>
                <w:b/>
                <w:color w:val="auto"/>
                <w:sz w:val="21"/>
                <w:szCs w:val="21"/>
                <w:highlight w:val="none"/>
              </w:rPr>
            </w:pPr>
            <w:r>
              <w:rPr>
                <w:color w:val="auto"/>
                <w:sz w:val="21"/>
                <w:szCs w:val="21"/>
                <w:highlight w:val="none"/>
              </w:rPr>
              <w:t>2025.12.17</w:t>
            </w:r>
          </w:p>
        </w:tc>
        <w:tc>
          <w:tcPr>
            <w:tcW w:w="438" w:type="pct"/>
            <w:vAlign w:val="center"/>
          </w:tcPr>
          <w:p w14:paraId="6A66E0EB">
            <w:pPr>
              <w:pStyle w:val="523"/>
              <w:spacing w:line="240" w:lineRule="auto"/>
              <w:ind w:left="0" w:leftChars="0" w:right="0" w:rightChars="0"/>
              <w:rPr>
                <w:color w:val="auto"/>
                <w:highlight w:val="none"/>
              </w:rPr>
            </w:pPr>
          </w:p>
        </w:tc>
        <w:tc>
          <w:tcPr>
            <w:tcW w:w="255" w:type="pct"/>
            <w:vAlign w:val="center"/>
          </w:tcPr>
          <w:p w14:paraId="07CF890B">
            <w:pPr>
              <w:pStyle w:val="523"/>
              <w:spacing w:line="240" w:lineRule="auto"/>
              <w:ind w:left="0" w:leftChars="0" w:right="0" w:rightChars="0"/>
              <w:rPr>
                <w:color w:val="auto"/>
                <w:highlight w:val="none"/>
              </w:rPr>
            </w:pPr>
          </w:p>
        </w:tc>
        <w:tc>
          <w:tcPr>
            <w:tcW w:w="405" w:type="pct"/>
            <w:vAlign w:val="center"/>
          </w:tcPr>
          <w:p w14:paraId="3FC90D2A">
            <w:pPr>
              <w:pStyle w:val="523"/>
              <w:spacing w:line="240" w:lineRule="auto"/>
              <w:ind w:left="0" w:leftChars="0" w:right="0" w:rightChars="0"/>
              <w:rPr>
                <w:color w:val="auto"/>
                <w:highlight w:val="none"/>
              </w:rPr>
            </w:pPr>
          </w:p>
        </w:tc>
        <w:tc>
          <w:tcPr>
            <w:tcW w:w="202" w:type="pct"/>
            <w:vAlign w:val="center"/>
          </w:tcPr>
          <w:p w14:paraId="1F0AD781">
            <w:pPr>
              <w:pStyle w:val="523"/>
              <w:spacing w:line="240" w:lineRule="auto"/>
              <w:ind w:left="0" w:leftChars="0" w:right="0" w:rightChars="0"/>
              <w:rPr>
                <w:color w:val="auto"/>
                <w:highlight w:val="none"/>
              </w:rPr>
            </w:pPr>
          </w:p>
        </w:tc>
        <w:tc>
          <w:tcPr>
            <w:tcW w:w="456" w:type="pct"/>
            <w:vAlign w:val="center"/>
          </w:tcPr>
          <w:p w14:paraId="7DFA4222">
            <w:pPr>
              <w:pStyle w:val="523"/>
              <w:spacing w:line="240" w:lineRule="auto"/>
              <w:ind w:left="0" w:leftChars="0" w:right="0" w:rightChars="0"/>
              <w:rPr>
                <w:color w:val="auto"/>
                <w:highlight w:val="none"/>
              </w:rPr>
            </w:pPr>
          </w:p>
        </w:tc>
        <w:tc>
          <w:tcPr>
            <w:tcW w:w="406" w:type="pct"/>
            <w:vAlign w:val="center"/>
          </w:tcPr>
          <w:p w14:paraId="04C7FD21">
            <w:pPr>
              <w:pStyle w:val="523"/>
              <w:spacing w:line="240" w:lineRule="auto"/>
              <w:ind w:left="0" w:leftChars="0" w:right="0" w:rightChars="0"/>
              <w:rPr>
                <w:color w:val="auto"/>
                <w:highlight w:val="none"/>
              </w:rPr>
            </w:pPr>
          </w:p>
        </w:tc>
        <w:tc>
          <w:tcPr>
            <w:tcW w:w="405" w:type="pct"/>
            <w:vAlign w:val="center"/>
          </w:tcPr>
          <w:p w14:paraId="07468853">
            <w:pPr>
              <w:pStyle w:val="523"/>
              <w:spacing w:line="240" w:lineRule="auto"/>
              <w:ind w:left="0" w:leftChars="0" w:right="0" w:rightChars="0"/>
              <w:rPr>
                <w:color w:val="auto"/>
                <w:highlight w:val="none"/>
              </w:rPr>
            </w:pPr>
          </w:p>
        </w:tc>
        <w:tc>
          <w:tcPr>
            <w:tcW w:w="304" w:type="pct"/>
            <w:vAlign w:val="center"/>
          </w:tcPr>
          <w:p w14:paraId="37E88782">
            <w:pPr>
              <w:pStyle w:val="523"/>
              <w:spacing w:line="240" w:lineRule="auto"/>
              <w:ind w:left="0" w:leftChars="0" w:right="0" w:rightChars="0"/>
              <w:rPr>
                <w:color w:val="auto"/>
                <w:highlight w:val="none"/>
              </w:rPr>
            </w:pPr>
          </w:p>
        </w:tc>
        <w:tc>
          <w:tcPr>
            <w:tcW w:w="453" w:type="pct"/>
            <w:vAlign w:val="center"/>
          </w:tcPr>
          <w:p w14:paraId="6EA35845">
            <w:pPr>
              <w:pStyle w:val="523"/>
              <w:spacing w:line="240" w:lineRule="auto"/>
              <w:ind w:left="0" w:leftChars="0" w:right="0" w:rightChars="0"/>
              <w:rPr>
                <w:color w:val="auto"/>
                <w:highlight w:val="none"/>
              </w:rPr>
            </w:pPr>
          </w:p>
        </w:tc>
        <w:tc>
          <w:tcPr>
            <w:tcW w:w="307" w:type="pct"/>
            <w:vAlign w:val="center"/>
          </w:tcPr>
          <w:p w14:paraId="0B7E4B4D">
            <w:pPr>
              <w:pStyle w:val="523"/>
              <w:spacing w:line="240" w:lineRule="auto"/>
              <w:ind w:left="0" w:leftChars="0" w:right="0" w:rightChars="0"/>
              <w:rPr>
                <w:color w:val="auto"/>
                <w:highlight w:val="none"/>
              </w:rPr>
            </w:pPr>
          </w:p>
        </w:tc>
        <w:tc>
          <w:tcPr>
            <w:tcW w:w="406" w:type="pct"/>
            <w:vAlign w:val="center"/>
          </w:tcPr>
          <w:p w14:paraId="071B82BF">
            <w:pPr>
              <w:pStyle w:val="523"/>
              <w:spacing w:line="240" w:lineRule="auto"/>
              <w:ind w:left="0" w:leftChars="0" w:right="0" w:rightChars="0"/>
              <w:rPr>
                <w:color w:val="auto"/>
                <w:highlight w:val="none"/>
              </w:rPr>
            </w:pPr>
          </w:p>
        </w:tc>
        <w:tc>
          <w:tcPr>
            <w:tcW w:w="249" w:type="pct"/>
            <w:vAlign w:val="center"/>
          </w:tcPr>
          <w:p w14:paraId="45738E96">
            <w:pPr>
              <w:pStyle w:val="523"/>
              <w:spacing w:line="240" w:lineRule="auto"/>
              <w:ind w:left="0" w:leftChars="0" w:right="0" w:rightChars="0"/>
              <w:rPr>
                <w:color w:val="auto"/>
                <w:highlight w:val="none"/>
              </w:rPr>
            </w:pPr>
          </w:p>
        </w:tc>
      </w:tr>
      <w:tr w14:paraId="297A6D8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99" w:type="pct"/>
            <w:vMerge w:val="continue"/>
            <w:vAlign w:val="center"/>
          </w:tcPr>
          <w:p w14:paraId="7EC3D2E0">
            <w:pPr>
              <w:pStyle w:val="523"/>
              <w:spacing w:line="240" w:lineRule="auto"/>
              <w:ind w:left="0" w:leftChars="0" w:right="0" w:rightChars="0"/>
              <w:rPr>
                <w:color w:val="auto"/>
                <w:highlight w:val="none"/>
              </w:rPr>
            </w:pPr>
          </w:p>
        </w:tc>
        <w:tc>
          <w:tcPr>
            <w:tcW w:w="415" w:type="pct"/>
            <w:vAlign w:val="center"/>
          </w:tcPr>
          <w:p w14:paraId="397DD895">
            <w:pPr>
              <w:spacing w:line="240" w:lineRule="auto"/>
              <w:ind w:firstLine="0" w:firstLineChars="0"/>
              <w:jc w:val="center"/>
              <w:rPr>
                <w:b/>
                <w:color w:val="auto"/>
                <w:sz w:val="21"/>
                <w:szCs w:val="21"/>
                <w:highlight w:val="none"/>
              </w:rPr>
            </w:pPr>
            <w:r>
              <w:rPr>
                <w:color w:val="auto"/>
                <w:sz w:val="21"/>
                <w:szCs w:val="21"/>
                <w:highlight w:val="none"/>
              </w:rPr>
              <w:t>2025.12.18</w:t>
            </w:r>
          </w:p>
        </w:tc>
        <w:tc>
          <w:tcPr>
            <w:tcW w:w="438" w:type="pct"/>
            <w:vAlign w:val="center"/>
          </w:tcPr>
          <w:p w14:paraId="2BEA93B0">
            <w:pPr>
              <w:pStyle w:val="523"/>
              <w:spacing w:line="240" w:lineRule="auto"/>
              <w:ind w:left="0" w:leftChars="0" w:right="0" w:rightChars="0"/>
              <w:rPr>
                <w:color w:val="auto"/>
                <w:highlight w:val="none"/>
              </w:rPr>
            </w:pPr>
          </w:p>
        </w:tc>
        <w:tc>
          <w:tcPr>
            <w:tcW w:w="255" w:type="pct"/>
            <w:vAlign w:val="center"/>
          </w:tcPr>
          <w:p w14:paraId="61308C52">
            <w:pPr>
              <w:pStyle w:val="523"/>
              <w:spacing w:line="240" w:lineRule="auto"/>
              <w:ind w:left="0" w:leftChars="0" w:right="0" w:rightChars="0"/>
              <w:rPr>
                <w:color w:val="auto"/>
                <w:highlight w:val="none"/>
              </w:rPr>
            </w:pPr>
          </w:p>
        </w:tc>
        <w:tc>
          <w:tcPr>
            <w:tcW w:w="405" w:type="pct"/>
            <w:vAlign w:val="center"/>
          </w:tcPr>
          <w:p w14:paraId="1E840746">
            <w:pPr>
              <w:pStyle w:val="523"/>
              <w:spacing w:line="240" w:lineRule="auto"/>
              <w:ind w:left="0" w:leftChars="0" w:right="0" w:rightChars="0"/>
              <w:rPr>
                <w:color w:val="auto"/>
                <w:highlight w:val="none"/>
              </w:rPr>
            </w:pPr>
          </w:p>
        </w:tc>
        <w:tc>
          <w:tcPr>
            <w:tcW w:w="202" w:type="pct"/>
            <w:vAlign w:val="center"/>
          </w:tcPr>
          <w:p w14:paraId="4A17C7F8">
            <w:pPr>
              <w:pStyle w:val="523"/>
              <w:spacing w:line="240" w:lineRule="auto"/>
              <w:ind w:left="0" w:leftChars="0" w:right="0" w:rightChars="0"/>
              <w:rPr>
                <w:color w:val="auto"/>
                <w:highlight w:val="none"/>
              </w:rPr>
            </w:pPr>
          </w:p>
        </w:tc>
        <w:tc>
          <w:tcPr>
            <w:tcW w:w="456" w:type="pct"/>
            <w:vAlign w:val="center"/>
          </w:tcPr>
          <w:p w14:paraId="0D5F5023">
            <w:pPr>
              <w:pStyle w:val="523"/>
              <w:spacing w:line="240" w:lineRule="auto"/>
              <w:ind w:left="0" w:leftChars="0" w:right="0" w:rightChars="0"/>
              <w:rPr>
                <w:color w:val="auto"/>
                <w:highlight w:val="none"/>
              </w:rPr>
            </w:pPr>
          </w:p>
        </w:tc>
        <w:tc>
          <w:tcPr>
            <w:tcW w:w="406" w:type="pct"/>
            <w:vAlign w:val="center"/>
          </w:tcPr>
          <w:p w14:paraId="1C91F66E">
            <w:pPr>
              <w:pStyle w:val="523"/>
              <w:spacing w:line="240" w:lineRule="auto"/>
              <w:ind w:left="0" w:leftChars="0" w:right="0" w:rightChars="0"/>
              <w:rPr>
                <w:color w:val="auto"/>
                <w:highlight w:val="none"/>
              </w:rPr>
            </w:pPr>
          </w:p>
        </w:tc>
        <w:tc>
          <w:tcPr>
            <w:tcW w:w="405" w:type="pct"/>
            <w:vAlign w:val="center"/>
          </w:tcPr>
          <w:p w14:paraId="26A797C7">
            <w:pPr>
              <w:pStyle w:val="523"/>
              <w:spacing w:line="240" w:lineRule="auto"/>
              <w:ind w:left="0" w:leftChars="0" w:right="0" w:rightChars="0"/>
              <w:rPr>
                <w:color w:val="auto"/>
                <w:highlight w:val="none"/>
              </w:rPr>
            </w:pPr>
          </w:p>
        </w:tc>
        <w:tc>
          <w:tcPr>
            <w:tcW w:w="304" w:type="pct"/>
            <w:vAlign w:val="center"/>
          </w:tcPr>
          <w:p w14:paraId="06768184">
            <w:pPr>
              <w:pStyle w:val="523"/>
              <w:spacing w:line="240" w:lineRule="auto"/>
              <w:ind w:left="0" w:leftChars="0" w:right="0" w:rightChars="0"/>
              <w:rPr>
                <w:color w:val="auto"/>
                <w:highlight w:val="none"/>
              </w:rPr>
            </w:pPr>
          </w:p>
        </w:tc>
        <w:tc>
          <w:tcPr>
            <w:tcW w:w="453" w:type="pct"/>
            <w:vAlign w:val="center"/>
          </w:tcPr>
          <w:p w14:paraId="0B535EBA">
            <w:pPr>
              <w:pStyle w:val="523"/>
              <w:spacing w:line="240" w:lineRule="auto"/>
              <w:ind w:left="0" w:leftChars="0" w:right="0" w:rightChars="0"/>
              <w:rPr>
                <w:color w:val="auto"/>
                <w:highlight w:val="none"/>
              </w:rPr>
            </w:pPr>
          </w:p>
        </w:tc>
        <w:tc>
          <w:tcPr>
            <w:tcW w:w="307" w:type="pct"/>
            <w:vAlign w:val="center"/>
          </w:tcPr>
          <w:p w14:paraId="1865BAC6">
            <w:pPr>
              <w:pStyle w:val="523"/>
              <w:spacing w:line="240" w:lineRule="auto"/>
              <w:ind w:left="0" w:leftChars="0" w:right="0" w:rightChars="0"/>
              <w:rPr>
                <w:color w:val="auto"/>
                <w:highlight w:val="none"/>
              </w:rPr>
            </w:pPr>
          </w:p>
        </w:tc>
        <w:tc>
          <w:tcPr>
            <w:tcW w:w="406" w:type="pct"/>
            <w:vAlign w:val="center"/>
          </w:tcPr>
          <w:p w14:paraId="11BAF00F">
            <w:pPr>
              <w:pStyle w:val="523"/>
              <w:spacing w:line="240" w:lineRule="auto"/>
              <w:ind w:left="0" w:leftChars="0" w:right="0" w:rightChars="0"/>
              <w:rPr>
                <w:color w:val="auto"/>
                <w:highlight w:val="none"/>
              </w:rPr>
            </w:pPr>
          </w:p>
        </w:tc>
        <w:tc>
          <w:tcPr>
            <w:tcW w:w="249" w:type="pct"/>
            <w:vAlign w:val="center"/>
          </w:tcPr>
          <w:p w14:paraId="4B9836C8">
            <w:pPr>
              <w:pStyle w:val="523"/>
              <w:spacing w:line="240" w:lineRule="auto"/>
              <w:ind w:left="0" w:leftChars="0" w:right="0" w:rightChars="0"/>
              <w:rPr>
                <w:color w:val="auto"/>
                <w:highlight w:val="none"/>
              </w:rPr>
            </w:pPr>
          </w:p>
        </w:tc>
      </w:tr>
      <w:tr w14:paraId="01867E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99" w:type="pct"/>
            <w:vMerge w:val="continue"/>
            <w:vAlign w:val="center"/>
          </w:tcPr>
          <w:p w14:paraId="58C78EFB">
            <w:pPr>
              <w:pStyle w:val="523"/>
              <w:spacing w:line="240" w:lineRule="auto"/>
              <w:ind w:left="0" w:leftChars="0" w:right="0" w:rightChars="0"/>
              <w:rPr>
                <w:color w:val="auto"/>
                <w:highlight w:val="none"/>
              </w:rPr>
            </w:pPr>
          </w:p>
        </w:tc>
        <w:tc>
          <w:tcPr>
            <w:tcW w:w="415" w:type="pct"/>
            <w:vAlign w:val="center"/>
          </w:tcPr>
          <w:p w14:paraId="7AC517F5">
            <w:pPr>
              <w:spacing w:line="240" w:lineRule="auto"/>
              <w:ind w:firstLine="0" w:firstLineChars="0"/>
              <w:jc w:val="center"/>
              <w:rPr>
                <w:b/>
                <w:color w:val="auto"/>
                <w:sz w:val="21"/>
                <w:szCs w:val="21"/>
                <w:highlight w:val="none"/>
              </w:rPr>
            </w:pPr>
            <w:r>
              <w:rPr>
                <w:color w:val="auto"/>
                <w:sz w:val="21"/>
                <w:szCs w:val="21"/>
                <w:highlight w:val="none"/>
              </w:rPr>
              <w:t>2025.12.19</w:t>
            </w:r>
          </w:p>
        </w:tc>
        <w:tc>
          <w:tcPr>
            <w:tcW w:w="438" w:type="pct"/>
            <w:vAlign w:val="center"/>
          </w:tcPr>
          <w:p w14:paraId="76351DF8">
            <w:pPr>
              <w:pStyle w:val="523"/>
              <w:spacing w:line="240" w:lineRule="auto"/>
              <w:ind w:left="0" w:leftChars="0" w:right="0" w:rightChars="0"/>
              <w:rPr>
                <w:color w:val="auto"/>
                <w:highlight w:val="none"/>
              </w:rPr>
            </w:pPr>
          </w:p>
        </w:tc>
        <w:tc>
          <w:tcPr>
            <w:tcW w:w="255" w:type="pct"/>
            <w:vAlign w:val="center"/>
          </w:tcPr>
          <w:p w14:paraId="6ECB989E">
            <w:pPr>
              <w:pStyle w:val="523"/>
              <w:spacing w:line="240" w:lineRule="auto"/>
              <w:ind w:left="0" w:leftChars="0" w:right="0" w:rightChars="0"/>
              <w:rPr>
                <w:color w:val="auto"/>
                <w:highlight w:val="none"/>
              </w:rPr>
            </w:pPr>
          </w:p>
        </w:tc>
        <w:tc>
          <w:tcPr>
            <w:tcW w:w="405" w:type="pct"/>
            <w:vAlign w:val="center"/>
          </w:tcPr>
          <w:p w14:paraId="13AAEA66">
            <w:pPr>
              <w:pStyle w:val="523"/>
              <w:spacing w:line="240" w:lineRule="auto"/>
              <w:ind w:left="0" w:leftChars="0" w:right="0" w:rightChars="0"/>
              <w:rPr>
                <w:color w:val="auto"/>
                <w:highlight w:val="none"/>
              </w:rPr>
            </w:pPr>
          </w:p>
        </w:tc>
        <w:tc>
          <w:tcPr>
            <w:tcW w:w="202" w:type="pct"/>
            <w:vAlign w:val="center"/>
          </w:tcPr>
          <w:p w14:paraId="1EEF0E6B">
            <w:pPr>
              <w:pStyle w:val="523"/>
              <w:spacing w:line="240" w:lineRule="auto"/>
              <w:ind w:left="0" w:leftChars="0" w:right="0" w:rightChars="0"/>
              <w:rPr>
                <w:color w:val="auto"/>
                <w:highlight w:val="none"/>
              </w:rPr>
            </w:pPr>
          </w:p>
        </w:tc>
        <w:tc>
          <w:tcPr>
            <w:tcW w:w="456" w:type="pct"/>
            <w:vAlign w:val="center"/>
          </w:tcPr>
          <w:p w14:paraId="5408DDA9">
            <w:pPr>
              <w:pStyle w:val="523"/>
              <w:spacing w:line="240" w:lineRule="auto"/>
              <w:ind w:left="0" w:leftChars="0" w:right="0" w:rightChars="0"/>
              <w:rPr>
                <w:color w:val="auto"/>
                <w:highlight w:val="none"/>
              </w:rPr>
            </w:pPr>
          </w:p>
        </w:tc>
        <w:tc>
          <w:tcPr>
            <w:tcW w:w="406" w:type="pct"/>
            <w:vAlign w:val="center"/>
          </w:tcPr>
          <w:p w14:paraId="732C7E79">
            <w:pPr>
              <w:pStyle w:val="523"/>
              <w:spacing w:line="240" w:lineRule="auto"/>
              <w:ind w:left="0" w:leftChars="0" w:right="0" w:rightChars="0"/>
              <w:rPr>
                <w:color w:val="auto"/>
                <w:highlight w:val="none"/>
              </w:rPr>
            </w:pPr>
          </w:p>
        </w:tc>
        <w:tc>
          <w:tcPr>
            <w:tcW w:w="405" w:type="pct"/>
            <w:vAlign w:val="center"/>
          </w:tcPr>
          <w:p w14:paraId="0CFCDF3F">
            <w:pPr>
              <w:pStyle w:val="523"/>
              <w:spacing w:line="240" w:lineRule="auto"/>
              <w:ind w:left="0" w:leftChars="0" w:right="0" w:rightChars="0"/>
              <w:rPr>
                <w:color w:val="auto"/>
                <w:highlight w:val="none"/>
              </w:rPr>
            </w:pPr>
          </w:p>
        </w:tc>
        <w:tc>
          <w:tcPr>
            <w:tcW w:w="304" w:type="pct"/>
            <w:vAlign w:val="center"/>
          </w:tcPr>
          <w:p w14:paraId="5C0D2DF4">
            <w:pPr>
              <w:pStyle w:val="523"/>
              <w:spacing w:line="240" w:lineRule="auto"/>
              <w:ind w:left="0" w:leftChars="0" w:right="0" w:rightChars="0"/>
              <w:rPr>
                <w:color w:val="auto"/>
                <w:highlight w:val="none"/>
              </w:rPr>
            </w:pPr>
          </w:p>
        </w:tc>
        <w:tc>
          <w:tcPr>
            <w:tcW w:w="453" w:type="pct"/>
            <w:vAlign w:val="center"/>
          </w:tcPr>
          <w:p w14:paraId="00A8E115">
            <w:pPr>
              <w:pStyle w:val="523"/>
              <w:spacing w:line="240" w:lineRule="auto"/>
              <w:ind w:left="0" w:leftChars="0" w:right="0" w:rightChars="0"/>
              <w:rPr>
                <w:color w:val="auto"/>
                <w:highlight w:val="none"/>
              </w:rPr>
            </w:pPr>
          </w:p>
        </w:tc>
        <w:tc>
          <w:tcPr>
            <w:tcW w:w="307" w:type="pct"/>
            <w:vAlign w:val="center"/>
          </w:tcPr>
          <w:p w14:paraId="69CF8445">
            <w:pPr>
              <w:pStyle w:val="523"/>
              <w:spacing w:line="240" w:lineRule="auto"/>
              <w:ind w:left="0" w:leftChars="0" w:right="0" w:rightChars="0"/>
              <w:rPr>
                <w:color w:val="auto"/>
                <w:highlight w:val="none"/>
              </w:rPr>
            </w:pPr>
          </w:p>
        </w:tc>
        <w:tc>
          <w:tcPr>
            <w:tcW w:w="406" w:type="pct"/>
            <w:vAlign w:val="center"/>
          </w:tcPr>
          <w:p w14:paraId="59123A43">
            <w:pPr>
              <w:pStyle w:val="523"/>
              <w:spacing w:line="240" w:lineRule="auto"/>
              <w:ind w:left="0" w:leftChars="0" w:right="0" w:rightChars="0"/>
              <w:rPr>
                <w:color w:val="auto"/>
                <w:highlight w:val="none"/>
              </w:rPr>
            </w:pPr>
          </w:p>
        </w:tc>
        <w:tc>
          <w:tcPr>
            <w:tcW w:w="249" w:type="pct"/>
            <w:vAlign w:val="center"/>
          </w:tcPr>
          <w:p w14:paraId="2B51F090">
            <w:pPr>
              <w:pStyle w:val="523"/>
              <w:spacing w:line="240" w:lineRule="auto"/>
              <w:ind w:left="0" w:leftChars="0" w:right="0" w:rightChars="0"/>
              <w:rPr>
                <w:color w:val="auto"/>
                <w:highlight w:val="none"/>
              </w:rPr>
            </w:pPr>
          </w:p>
        </w:tc>
      </w:tr>
      <w:tr w14:paraId="25069C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99" w:type="pct"/>
            <w:vMerge w:val="continue"/>
            <w:vAlign w:val="center"/>
          </w:tcPr>
          <w:p w14:paraId="1F9FC732">
            <w:pPr>
              <w:pStyle w:val="523"/>
              <w:spacing w:line="240" w:lineRule="auto"/>
              <w:ind w:left="0" w:leftChars="0" w:right="0" w:rightChars="0"/>
              <w:rPr>
                <w:color w:val="auto"/>
                <w:highlight w:val="none"/>
              </w:rPr>
            </w:pPr>
          </w:p>
        </w:tc>
        <w:tc>
          <w:tcPr>
            <w:tcW w:w="415" w:type="pct"/>
            <w:vAlign w:val="center"/>
          </w:tcPr>
          <w:p w14:paraId="4FA97B4B">
            <w:pPr>
              <w:spacing w:line="240" w:lineRule="auto"/>
              <w:ind w:firstLine="0" w:firstLineChars="0"/>
              <w:jc w:val="center"/>
              <w:rPr>
                <w:b/>
                <w:color w:val="auto"/>
                <w:sz w:val="21"/>
                <w:szCs w:val="21"/>
                <w:highlight w:val="none"/>
              </w:rPr>
            </w:pPr>
            <w:r>
              <w:rPr>
                <w:color w:val="auto"/>
                <w:sz w:val="21"/>
                <w:szCs w:val="21"/>
                <w:highlight w:val="none"/>
              </w:rPr>
              <w:t>2025.12.20</w:t>
            </w:r>
          </w:p>
        </w:tc>
        <w:tc>
          <w:tcPr>
            <w:tcW w:w="438" w:type="pct"/>
            <w:vAlign w:val="center"/>
          </w:tcPr>
          <w:p w14:paraId="33EBBF15">
            <w:pPr>
              <w:pStyle w:val="523"/>
              <w:spacing w:line="240" w:lineRule="auto"/>
              <w:ind w:left="0" w:leftChars="0" w:right="0" w:rightChars="0"/>
              <w:rPr>
                <w:color w:val="auto"/>
                <w:highlight w:val="none"/>
              </w:rPr>
            </w:pPr>
          </w:p>
        </w:tc>
        <w:tc>
          <w:tcPr>
            <w:tcW w:w="255" w:type="pct"/>
            <w:vAlign w:val="center"/>
          </w:tcPr>
          <w:p w14:paraId="760E47B7">
            <w:pPr>
              <w:pStyle w:val="523"/>
              <w:spacing w:line="240" w:lineRule="auto"/>
              <w:ind w:left="0" w:leftChars="0" w:right="0" w:rightChars="0"/>
              <w:rPr>
                <w:color w:val="auto"/>
                <w:highlight w:val="none"/>
              </w:rPr>
            </w:pPr>
          </w:p>
        </w:tc>
        <w:tc>
          <w:tcPr>
            <w:tcW w:w="405" w:type="pct"/>
            <w:vAlign w:val="center"/>
          </w:tcPr>
          <w:p w14:paraId="1CE23570">
            <w:pPr>
              <w:pStyle w:val="523"/>
              <w:spacing w:line="240" w:lineRule="auto"/>
              <w:ind w:left="0" w:leftChars="0" w:right="0" w:rightChars="0"/>
              <w:rPr>
                <w:color w:val="auto"/>
                <w:highlight w:val="none"/>
              </w:rPr>
            </w:pPr>
          </w:p>
        </w:tc>
        <w:tc>
          <w:tcPr>
            <w:tcW w:w="202" w:type="pct"/>
            <w:vAlign w:val="center"/>
          </w:tcPr>
          <w:p w14:paraId="2D28CA34">
            <w:pPr>
              <w:pStyle w:val="523"/>
              <w:spacing w:line="240" w:lineRule="auto"/>
              <w:ind w:left="0" w:leftChars="0" w:right="0" w:rightChars="0"/>
              <w:rPr>
                <w:color w:val="auto"/>
                <w:highlight w:val="none"/>
              </w:rPr>
            </w:pPr>
          </w:p>
        </w:tc>
        <w:tc>
          <w:tcPr>
            <w:tcW w:w="456" w:type="pct"/>
            <w:vAlign w:val="center"/>
          </w:tcPr>
          <w:p w14:paraId="10E1EF6E">
            <w:pPr>
              <w:pStyle w:val="523"/>
              <w:spacing w:line="240" w:lineRule="auto"/>
              <w:ind w:left="0" w:leftChars="0" w:right="0" w:rightChars="0"/>
              <w:rPr>
                <w:color w:val="auto"/>
                <w:highlight w:val="none"/>
              </w:rPr>
            </w:pPr>
          </w:p>
        </w:tc>
        <w:tc>
          <w:tcPr>
            <w:tcW w:w="406" w:type="pct"/>
            <w:vAlign w:val="center"/>
          </w:tcPr>
          <w:p w14:paraId="46AB0DD3">
            <w:pPr>
              <w:pStyle w:val="523"/>
              <w:spacing w:line="240" w:lineRule="auto"/>
              <w:ind w:left="0" w:leftChars="0" w:right="0" w:rightChars="0"/>
              <w:rPr>
                <w:color w:val="auto"/>
                <w:highlight w:val="none"/>
              </w:rPr>
            </w:pPr>
          </w:p>
        </w:tc>
        <w:tc>
          <w:tcPr>
            <w:tcW w:w="405" w:type="pct"/>
            <w:vAlign w:val="center"/>
          </w:tcPr>
          <w:p w14:paraId="2B3E40B4">
            <w:pPr>
              <w:pStyle w:val="523"/>
              <w:spacing w:line="240" w:lineRule="auto"/>
              <w:ind w:left="0" w:leftChars="0" w:right="0" w:rightChars="0"/>
              <w:rPr>
                <w:color w:val="auto"/>
                <w:highlight w:val="none"/>
              </w:rPr>
            </w:pPr>
          </w:p>
        </w:tc>
        <w:tc>
          <w:tcPr>
            <w:tcW w:w="304" w:type="pct"/>
            <w:vAlign w:val="center"/>
          </w:tcPr>
          <w:p w14:paraId="0E450632">
            <w:pPr>
              <w:pStyle w:val="523"/>
              <w:spacing w:line="240" w:lineRule="auto"/>
              <w:ind w:left="0" w:leftChars="0" w:right="0" w:rightChars="0"/>
              <w:rPr>
                <w:color w:val="auto"/>
                <w:highlight w:val="none"/>
              </w:rPr>
            </w:pPr>
          </w:p>
        </w:tc>
        <w:tc>
          <w:tcPr>
            <w:tcW w:w="453" w:type="pct"/>
            <w:vAlign w:val="center"/>
          </w:tcPr>
          <w:p w14:paraId="090B669D">
            <w:pPr>
              <w:pStyle w:val="523"/>
              <w:spacing w:line="240" w:lineRule="auto"/>
              <w:ind w:left="0" w:leftChars="0" w:right="0" w:rightChars="0"/>
              <w:rPr>
                <w:color w:val="auto"/>
                <w:highlight w:val="none"/>
              </w:rPr>
            </w:pPr>
          </w:p>
        </w:tc>
        <w:tc>
          <w:tcPr>
            <w:tcW w:w="307" w:type="pct"/>
            <w:vAlign w:val="center"/>
          </w:tcPr>
          <w:p w14:paraId="156C3C3A">
            <w:pPr>
              <w:pStyle w:val="523"/>
              <w:spacing w:line="240" w:lineRule="auto"/>
              <w:ind w:left="0" w:leftChars="0" w:right="0" w:rightChars="0"/>
              <w:rPr>
                <w:color w:val="auto"/>
                <w:highlight w:val="none"/>
              </w:rPr>
            </w:pPr>
          </w:p>
        </w:tc>
        <w:tc>
          <w:tcPr>
            <w:tcW w:w="406" w:type="pct"/>
            <w:vAlign w:val="center"/>
          </w:tcPr>
          <w:p w14:paraId="744F3078">
            <w:pPr>
              <w:pStyle w:val="523"/>
              <w:spacing w:line="240" w:lineRule="auto"/>
              <w:ind w:left="0" w:leftChars="0" w:right="0" w:rightChars="0"/>
              <w:rPr>
                <w:color w:val="auto"/>
                <w:highlight w:val="none"/>
              </w:rPr>
            </w:pPr>
          </w:p>
        </w:tc>
        <w:tc>
          <w:tcPr>
            <w:tcW w:w="249" w:type="pct"/>
            <w:vAlign w:val="center"/>
          </w:tcPr>
          <w:p w14:paraId="1D035CAA">
            <w:pPr>
              <w:pStyle w:val="523"/>
              <w:spacing w:line="240" w:lineRule="auto"/>
              <w:ind w:left="0" w:leftChars="0" w:right="0" w:rightChars="0"/>
              <w:rPr>
                <w:color w:val="auto"/>
                <w:highlight w:val="none"/>
              </w:rPr>
            </w:pPr>
          </w:p>
        </w:tc>
      </w:tr>
      <w:tr w14:paraId="45CE6A0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99" w:type="pct"/>
            <w:vMerge w:val="continue"/>
            <w:vAlign w:val="center"/>
          </w:tcPr>
          <w:p w14:paraId="09C11E02">
            <w:pPr>
              <w:pStyle w:val="523"/>
              <w:spacing w:line="240" w:lineRule="auto"/>
              <w:ind w:left="0" w:leftChars="0" w:right="0" w:rightChars="0"/>
              <w:rPr>
                <w:color w:val="auto"/>
                <w:highlight w:val="none"/>
              </w:rPr>
            </w:pPr>
          </w:p>
        </w:tc>
        <w:tc>
          <w:tcPr>
            <w:tcW w:w="415" w:type="pct"/>
            <w:vAlign w:val="center"/>
          </w:tcPr>
          <w:p w14:paraId="50A8D784">
            <w:pPr>
              <w:spacing w:line="240" w:lineRule="auto"/>
              <w:ind w:firstLine="0" w:firstLineChars="0"/>
              <w:jc w:val="center"/>
              <w:rPr>
                <w:b/>
                <w:color w:val="auto"/>
                <w:sz w:val="21"/>
                <w:szCs w:val="21"/>
                <w:highlight w:val="none"/>
              </w:rPr>
            </w:pPr>
            <w:r>
              <w:rPr>
                <w:color w:val="auto"/>
                <w:sz w:val="21"/>
                <w:szCs w:val="21"/>
                <w:highlight w:val="none"/>
              </w:rPr>
              <w:t>2025.12.21</w:t>
            </w:r>
          </w:p>
        </w:tc>
        <w:tc>
          <w:tcPr>
            <w:tcW w:w="438" w:type="pct"/>
            <w:vAlign w:val="center"/>
          </w:tcPr>
          <w:p w14:paraId="7860C3E8">
            <w:pPr>
              <w:pStyle w:val="523"/>
              <w:spacing w:line="240" w:lineRule="auto"/>
              <w:ind w:left="0" w:leftChars="0" w:right="0" w:rightChars="0"/>
              <w:rPr>
                <w:color w:val="auto"/>
                <w:highlight w:val="none"/>
              </w:rPr>
            </w:pPr>
          </w:p>
        </w:tc>
        <w:tc>
          <w:tcPr>
            <w:tcW w:w="255" w:type="pct"/>
            <w:vAlign w:val="center"/>
          </w:tcPr>
          <w:p w14:paraId="33489D22">
            <w:pPr>
              <w:pStyle w:val="523"/>
              <w:spacing w:line="240" w:lineRule="auto"/>
              <w:ind w:left="0" w:leftChars="0" w:right="0" w:rightChars="0"/>
              <w:rPr>
                <w:color w:val="auto"/>
                <w:highlight w:val="none"/>
              </w:rPr>
            </w:pPr>
          </w:p>
        </w:tc>
        <w:tc>
          <w:tcPr>
            <w:tcW w:w="405" w:type="pct"/>
            <w:vAlign w:val="center"/>
          </w:tcPr>
          <w:p w14:paraId="03C0F2F4">
            <w:pPr>
              <w:pStyle w:val="523"/>
              <w:spacing w:line="240" w:lineRule="auto"/>
              <w:ind w:left="0" w:leftChars="0" w:right="0" w:rightChars="0"/>
              <w:rPr>
                <w:color w:val="auto"/>
                <w:highlight w:val="none"/>
              </w:rPr>
            </w:pPr>
          </w:p>
        </w:tc>
        <w:tc>
          <w:tcPr>
            <w:tcW w:w="202" w:type="pct"/>
            <w:vAlign w:val="center"/>
          </w:tcPr>
          <w:p w14:paraId="1C3526B3">
            <w:pPr>
              <w:pStyle w:val="523"/>
              <w:spacing w:line="240" w:lineRule="auto"/>
              <w:ind w:left="0" w:leftChars="0" w:right="0" w:rightChars="0"/>
              <w:rPr>
                <w:color w:val="auto"/>
                <w:highlight w:val="none"/>
              </w:rPr>
            </w:pPr>
          </w:p>
        </w:tc>
        <w:tc>
          <w:tcPr>
            <w:tcW w:w="456" w:type="pct"/>
            <w:vAlign w:val="center"/>
          </w:tcPr>
          <w:p w14:paraId="3E1A7360">
            <w:pPr>
              <w:pStyle w:val="523"/>
              <w:spacing w:line="240" w:lineRule="auto"/>
              <w:ind w:left="0" w:leftChars="0" w:right="0" w:rightChars="0"/>
              <w:rPr>
                <w:color w:val="auto"/>
                <w:highlight w:val="none"/>
              </w:rPr>
            </w:pPr>
          </w:p>
        </w:tc>
        <w:tc>
          <w:tcPr>
            <w:tcW w:w="406" w:type="pct"/>
            <w:vAlign w:val="center"/>
          </w:tcPr>
          <w:p w14:paraId="17C8F541">
            <w:pPr>
              <w:pStyle w:val="523"/>
              <w:spacing w:line="240" w:lineRule="auto"/>
              <w:ind w:left="0" w:leftChars="0" w:right="0" w:rightChars="0"/>
              <w:rPr>
                <w:color w:val="auto"/>
                <w:highlight w:val="none"/>
              </w:rPr>
            </w:pPr>
          </w:p>
        </w:tc>
        <w:tc>
          <w:tcPr>
            <w:tcW w:w="405" w:type="pct"/>
            <w:vAlign w:val="center"/>
          </w:tcPr>
          <w:p w14:paraId="13758E1E">
            <w:pPr>
              <w:pStyle w:val="523"/>
              <w:spacing w:line="240" w:lineRule="auto"/>
              <w:ind w:left="0" w:leftChars="0" w:right="0" w:rightChars="0"/>
              <w:rPr>
                <w:color w:val="auto"/>
                <w:highlight w:val="none"/>
              </w:rPr>
            </w:pPr>
          </w:p>
        </w:tc>
        <w:tc>
          <w:tcPr>
            <w:tcW w:w="304" w:type="pct"/>
            <w:vAlign w:val="center"/>
          </w:tcPr>
          <w:p w14:paraId="1FD9BDA9">
            <w:pPr>
              <w:pStyle w:val="523"/>
              <w:spacing w:line="240" w:lineRule="auto"/>
              <w:ind w:left="0" w:leftChars="0" w:right="0" w:rightChars="0"/>
              <w:rPr>
                <w:color w:val="auto"/>
                <w:highlight w:val="none"/>
              </w:rPr>
            </w:pPr>
          </w:p>
        </w:tc>
        <w:tc>
          <w:tcPr>
            <w:tcW w:w="453" w:type="pct"/>
            <w:vAlign w:val="center"/>
          </w:tcPr>
          <w:p w14:paraId="7F4DCF09">
            <w:pPr>
              <w:pStyle w:val="523"/>
              <w:spacing w:line="240" w:lineRule="auto"/>
              <w:ind w:left="0" w:leftChars="0" w:right="0" w:rightChars="0"/>
              <w:rPr>
                <w:color w:val="auto"/>
                <w:highlight w:val="none"/>
              </w:rPr>
            </w:pPr>
          </w:p>
        </w:tc>
        <w:tc>
          <w:tcPr>
            <w:tcW w:w="307" w:type="pct"/>
            <w:vAlign w:val="center"/>
          </w:tcPr>
          <w:p w14:paraId="670C99E2">
            <w:pPr>
              <w:pStyle w:val="523"/>
              <w:spacing w:line="240" w:lineRule="auto"/>
              <w:ind w:left="0" w:leftChars="0" w:right="0" w:rightChars="0"/>
              <w:rPr>
                <w:color w:val="auto"/>
                <w:highlight w:val="none"/>
              </w:rPr>
            </w:pPr>
          </w:p>
        </w:tc>
        <w:tc>
          <w:tcPr>
            <w:tcW w:w="406" w:type="pct"/>
            <w:vAlign w:val="center"/>
          </w:tcPr>
          <w:p w14:paraId="697858A1">
            <w:pPr>
              <w:pStyle w:val="523"/>
              <w:spacing w:line="240" w:lineRule="auto"/>
              <w:ind w:left="0" w:leftChars="0" w:right="0" w:rightChars="0"/>
              <w:rPr>
                <w:color w:val="auto"/>
                <w:highlight w:val="none"/>
              </w:rPr>
            </w:pPr>
          </w:p>
        </w:tc>
        <w:tc>
          <w:tcPr>
            <w:tcW w:w="249" w:type="pct"/>
            <w:vAlign w:val="center"/>
          </w:tcPr>
          <w:p w14:paraId="48ECF70C">
            <w:pPr>
              <w:pStyle w:val="523"/>
              <w:spacing w:line="240" w:lineRule="auto"/>
              <w:ind w:left="0" w:leftChars="0" w:right="0" w:rightChars="0"/>
              <w:rPr>
                <w:color w:val="auto"/>
                <w:highlight w:val="none"/>
              </w:rPr>
            </w:pPr>
          </w:p>
        </w:tc>
      </w:tr>
    </w:tbl>
    <w:p w14:paraId="1AC6E3F1">
      <w:pPr>
        <w:spacing w:line="240" w:lineRule="auto"/>
        <w:ind w:firstLine="0" w:firstLineChars="0"/>
        <w:rPr>
          <w:b/>
          <w:bCs/>
          <w:color w:val="auto"/>
          <w:sz w:val="21"/>
          <w:szCs w:val="21"/>
          <w:highlight w:val="none"/>
        </w:rPr>
      </w:pPr>
      <w:r>
        <w:rPr>
          <w:b/>
          <w:bCs/>
          <w:color w:val="auto"/>
          <w:sz w:val="21"/>
          <w:szCs w:val="21"/>
          <w:highlight w:val="none"/>
        </w:rPr>
        <w:t>注：（1）检测结果低于方法检出限，以“ND”表示，占标车采用检出限一半值计算；</w:t>
      </w:r>
    </w:p>
    <w:p w14:paraId="5B235404">
      <w:pPr>
        <w:spacing w:line="240" w:lineRule="auto"/>
        <w:ind w:firstLine="632" w:firstLineChars="300"/>
        <w:rPr>
          <w:b/>
          <w:bCs/>
          <w:color w:val="auto"/>
          <w:sz w:val="21"/>
          <w:szCs w:val="21"/>
          <w:highlight w:val="none"/>
        </w:rPr>
      </w:pPr>
      <w:r>
        <w:rPr>
          <w:b/>
          <w:bCs/>
          <w:color w:val="auto"/>
          <w:sz w:val="21"/>
          <w:szCs w:val="21"/>
          <w:highlight w:val="none"/>
        </w:rPr>
        <w:t>（2）挥发性有机物（TVOC）以单项VOCs物质的质量浓度之和计，单项VOCs低于方法检出限时以“0”计，各单项VOCs监测结果见附件。</w:t>
      </w:r>
    </w:p>
    <w:p w14:paraId="755AF185">
      <w:pPr>
        <w:spacing w:before="240" w:beforeLines="100"/>
        <w:ind w:firstLine="480"/>
        <w:rPr>
          <w:color w:val="auto"/>
          <w:highlight w:val="none"/>
        </w:rPr>
      </w:pPr>
      <w:r>
        <w:rPr>
          <w:color w:val="auto"/>
          <w:highlight w:val="none"/>
        </w:rPr>
        <w:t>根据监测结果统计及分析可知，监测点位各</w:t>
      </w:r>
      <w:r>
        <w:rPr>
          <w:rFonts w:hint="eastAsia"/>
          <w:color w:val="auto"/>
          <w:highlight w:val="none"/>
          <w:lang w:eastAsia="zh-CN"/>
        </w:rPr>
        <w:t>污染物</w:t>
      </w:r>
      <w:r>
        <w:rPr>
          <w:color w:val="auto"/>
          <w:highlight w:val="none"/>
        </w:rPr>
        <w:t>标准指数均小于1，</w:t>
      </w:r>
      <w:r>
        <w:rPr>
          <w:color w:val="auto"/>
          <w:highlight w:val="none"/>
          <w:u w:val="single"/>
        </w:rPr>
        <w:t>TSP浓度可满足《环境空气质量标准》（GB3095-2026）中二级标准要求</w:t>
      </w:r>
      <w:r>
        <w:rPr>
          <w:color w:val="auto"/>
          <w:highlight w:val="none"/>
        </w:rPr>
        <w:t>，苯、甲苯、二甲苯、TVOC浓度满足《环境影响评价技术导则  大气环境》（HJ2.2-2018）附录D中的浓度参考限值要求，非甲烷总烃浓度满足《大气污染物综合排放标准详解》中质量浓度限值要求。</w:t>
      </w:r>
    </w:p>
    <w:p w14:paraId="3CF073E0">
      <w:pPr>
        <w:pStyle w:val="90"/>
        <w:ind w:firstLine="240"/>
        <w:rPr>
          <w:color w:val="auto"/>
          <w:highlight w:val="none"/>
        </w:rPr>
      </w:pPr>
    </w:p>
    <w:p w14:paraId="6F9A3C40">
      <w:pPr>
        <w:spacing w:before="120" w:beforeLines="50"/>
        <w:ind w:firstLine="480"/>
        <w:rPr>
          <w:color w:val="auto"/>
          <w:highlight w:val="none"/>
        </w:rPr>
        <w:sectPr>
          <w:headerReference r:id="rId40" w:type="default"/>
          <w:footerReference r:id="rId41" w:type="default"/>
          <w:pgSz w:w="16838" w:h="11906" w:orient="landscape"/>
          <w:pgMar w:top="1418" w:right="1559" w:bottom="1418" w:left="1503" w:header="850" w:footer="964" w:gutter="0"/>
          <w:cols w:space="720" w:num="1"/>
          <w:docGrid w:linePitch="326" w:charSpace="0"/>
        </w:sectPr>
      </w:pPr>
    </w:p>
    <w:p w14:paraId="0B066854">
      <w:pPr>
        <w:pStyle w:val="7"/>
        <w:numPr>
          <w:ilvl w:val="2"/>
          <w:numId w:val="9"/>
        </w:numPr>
        <w:rPr>
          <w:color w:val="auto"/>
          <w:sz w:val="28"/>
          <w:highlight w:val="none"/>
        </w:rPr>
      </w:pPr>
      <w:r>
        <w:rPr>
          <w:color w:val="auto"/>
          <w:sz w:val="28"/>
          <w:highlight w:val="none"/>
        </w:rPr>
        <w:t>海洋生态环境现状调查与评价</w:t>
      </w:r>
    </w:p>
    <w:p w14:paraId="0FDD0269">
      <w:pPr>
        <w:pStyle w:val="533"/>
        <w:numPr>
          <w:ilvl w:val="3"/>
          <w:numId w:val="9"/>
        </w:numPr>
        <w:rPr>
          <w:color w:val="auto"/>
          <w:szCs w:val="24"/>
          <w:highlight w:val="none"/>
        </w:rPr>
      </w:pPr>
      <w:r>
        <w:rPr>
          <w:color w:val="auto"/>
          <w:szCs w:val="24"/>
          <w:highlight w:val="none"/>
        </w:rPr>
        <w:t>数据来源</w:t>
      </w:r>
    </w:p>
    <w:p w14:paraId="2CB229D9">
      <w:pPr>
        <w:ind w:firstLine="480"/>
        <w:jc w:val="left"/>
        <w:rPr>
          <w:color w:val="auto"/>
          <w:highlight w:val="none"/>
        </w:rPr>
      </w:pPr>
      <w:r>
        <w:rPr>
          <w:color w:val="auto"/>
          <w:highlight w:val="none"/>
        </w:rPr>
        <w:t>本项目评价等级为3级，根据《环境影响评价技术导则海洋 生态环境》（HJ 1409-2025）要求，可不开展海洋沉积物现状调查，海洋水质与海洋生态环境质量现状调查与评价引用广西海洋所生态环境监测服务有限公司《钦州市茅尾海、钦州湾、大风江海域海洋环境现状调查》中相关站点数据，本次评价主要引用项目附近的2个海水水质站位、2个海洋生态现状调查站位，调查时间为2024年11月，引用资料调查站位布设情况见表3.4-4及图3.4-1。</w:t>
      </w:r>
    </w:p>
    <w:p w14:paraId="49FC2A0C">
      <w:pPr>
        <w:pStyle w:val="38"/>
        <w:spacing w:after="0" w:line="240" w:lineRule="auto"/>
        <w:ind w:firstLine="0" w:firstLineChars="0"/>
        <w:jc w:val="center"/>
        <w:rPr>
          <w:b/>
          <w:color w:val="auto"/>
          <w:sz w:val="21"/>
          <w:szCs w:val="21"/>
          <w:highlight w:val="none"/>
        </w:rPr>
      </w:pPr>
      <w:r>
        <w:rPr>
          <w:b/>
          <w:color w:val="auto"/>
          <w:sz w:val="21"/>
          <w:szCs w:val="21"/>
          <w:highlight w:val="none"/>
        </w:rPr>
        <w:t>表 3.4-4   引用资料海洋环境现状调查站位布设情况表</w:t>
      </w:r>
    </w:p>
    <w:p w14:paraId="69E5DB62">
      <w:pPr>
        <w:kinsoku w:val="0"/>
        <w:overflowPunct w:val="0"/>
        <w:autoSpaceDE w:val="0"/>
        <w:autoSpaceDN w:val="0"/>
        <w:spacing w:before="9" w:line="10" w:lineRule="exact"/>
        <w:ind w:firstLine="40"/>
        <w:jc w:val="left"/>
        <w:rPr>
          <w:color w:val="auto"/>
          <w:sz w:val="2"/>
          <w:szCs w:val="2"/>
          <w:highlight w:val="none"/>
        </w:rPr>
      </w:pPr>
    </w:p>
    <w:tbl>
      <w:tblPr>
        <w:tblStyle w:val="154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73"/>
        <w:gridCol w:w="898"/>
        <w:gridCol w:w="1672"/>
        <w:gridCol w:w="1529"/>
        <w:gridCol w:w="1529"/>
        <w:gridCol w:w="1196"/>
        <w:gridCol w:w="963"/>
        <w:gridCol w:w="926"/>
      </w:tblGrid>
      <w:tr w14:paraId="243A55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24" w:type="pct"/>
            <w:vMerge w:val="restart"/>
            <w:vAlign w:val="center"/>
          </w:tcPr>
          <w:p w14:paraId="321E3451">
            <w:pPr>
              <w:kinsoku w:val="0"/>
              <w:overflowPunct w:val="0"/>
              <w:autoSpaceDE w:val="0"/>
              <w:autoSpaceDN w:val="0"/>
              <w:spacing w:line="240" w:lineRule="auto"/>
              <w:ind w:firstLine="0" w:firstLineChars="0"/>
              <w:jc w:val="center"/>
              <w:textAlignment w:val="center"/>
              <w:rPr>
                <w:b/>
                <w:bCs w:val="0"/>
                <w:iCs/>
                <w:snapToGrid w:val="0"/>
                <w:color w:val="auto"/>
                <w:sz w:val="21"/>
                <w:szCs w:val="21"/>
                <w:highlight w:val="none"/>
              </w:rPr>
            </w:pPr>
            <w:r>
              <w:rPr>
                <w:b/>
                <w:bCs w:val="0"/>
                <w:iCs/>
                <w:snapToGrid w:val="0"/>
                <w:color w:val="auto"/>
                <w:sz w:val="21"/>
                <w:szCs w:val="21"/>
                <w:highlight w:val="none"/>
              </w:rPr>
              <w:t>站号</w:t>
            </w:r>
          </w:p>
        </w:tc>
        <w:tc>
          <w:tcPr>
            <w:tcW w:w="499" w:type="pct"/>
            <w:vMerge w:val="restart"/>
            <w:vAlign w:val="center"/>
          </w:tcPr>
          <w:p w14:paraId="4BC9C89D">
            <w:pPr>
              <w:kinsoku w:val="0"/>
              <w:overflowPunct w:val="0"/>
              <w:autoSpaceDE w:val="0"/>
              <w:autoSpaceDN w:val="0"/>
              <w:spacing w:line="240" w:lineRule="auto"/>
              <w:ind w:firstLine="0" w:firstLineChars="0"/>
              <w:jc w:val="center"/>
              <w:textAlignment w:val="center"/>
              <w:rPr>
                <w:b/>
                <w:bCs w:val="0"/>
                <w:iCs/>
                <w:snapToGrid w:val="0"/>
                <w:color w:val="auto"/>
                <w:spacing w:val="2"/>
                <w:sz w:val="21"/>
                <w:szCs w:val="21"/>
                <w:highlight w:val="none"/>
              </w:rPr>
            </w:pPr>
            <w:r>
              <w:rPr>
                <w:b/>
                <w:bCs w:val="0"/>
                <w:iCs/>
                <w:snapToGrid w:val="0"/>
                <w:color w:val="auto"/>
                <w:spacing w:val="2"/>
                <w:sz w:val="21"/>
                <w:szCs w:val="21"/>
                <w:highlight w:val="none"/>
              </w:rPr>
              <w:t>引用资料中对应站号</w:t>
            </w:r>
          </w:p>
        </w:tc>
        <w:tc>
          <w:tcPr>
            <w:tcW w:w="1755" w:type="pct"/>
            <w:gridSpan w:val="2"/>
            <w:vAlign w:val="center"/>
          </w:tcPr>
          <w:p w14:paraId="172209ED">
            <w:pPr>
              <w:kinsoku w:val="0"/>
              <w:overflowPunct w:val="0"/>
              <w:autoSpaceDE w:val="0"/>
              <w:autoSpaceDN w:val="0"/>
              <w:spacing w:line="240" w:lineRule="auto"/>
              <w:ind w:firstLine="0" w:firstLineChars="0"/>
              <w:jc w:val="center"/>
              <w:textAlignment w:val="center"/>
              <w:rPr>
                <w:b/>
                <w:bCs w:val="0"/>
                <w:iCs/>
                <w:snapToGrid w:val="0"/>
                <w:color w:val="auto"/>
                <w:sz w:val="21"/>
                <w:szCs w:val="21"/>
                <w:highlight w:val="none"/>
              </w:rPr>
            </w:pPr>
            <w:r>
              <w:rPr>
                <w:b/>
                <w:bCs w:val="0"/>
                <w:iCs/>
                <w:snapToGrid w:val="0"/>
                <w:color w:val="auto"/>
                <w:spacing w:val="2"/>
                <w:sz w:val="21"/>
                <w:szCs w:val="21"/>
                <w:highlight w:val="none"/>
              </w:rPr>
              <w:t>坐</w:t>
            </w:r>
            <w:r>
              <w:rPr>
                <w:b/>
                <w:bCs w:val="0"/>
                <w:iCs/>
                <w:snapToGrid w:val="0"/>
                <w:color w:val="auto"/>
                <w:sz w:val="21"/>
                <w:szCs w:val="21"/>
                <w:highlight w:val="none"/>
              </w:rPr>
              <w:t>标</w:t>
            </w:r>
          </w:p>
        </w:tc>
        <w:tc>
          <w:tcPr>
            <w:tcW w:w="839" w:type="pct"/>
            <w:vMerge w:val="restart"/>
            <w:vAlign w:val="center"/>
          </w:tcPr>
          <w:p w14:paraId="0FE3893D">
            <w:pPr>
              <w:kinsoku w:val="0"/>
              <w:overflowPunct w:val="0"/>
              <w:autoSpaceDE w:val="0"/>
              <w:autoSpaceDN w:val="0"/>
              <w:spacing w:line="240" w:lineRule="auto"/>
              <w:ind w:firstLine="0" w:firstLineChars="0"/>
              <w:jc w:val="center"/>
              <w:textAlignment w:val="center"/>
              <w:rPr>
                <w:b/>
                <w:bCs w:val="0"/>
                <w:iCs/>
                <w:snapToGrid w:val="0"/>
                <w:color w:val="auto"/>
                <w:sz w:val="21"/>
                <w:szCs w:val="21"/>
                <w:highlight w:val="none"/>
              </w:rPr>
            </w:pPr>
            <w:r>
              <w:rPr>
                <w:b/>
                <w:bCs w:val="0"/>
                <w:iCs/>
                <w:snapToGrid w:val="0"/>
                <w:color w:val="auto"/>
                <w:spacing w:val="2"/>
                <w:sz w:val="21"/>
                <w:szCs w:val="21"/>
                <w:highlight w:val="none"/>
              </w:rPr>
              <w:t>引用数据类型</w:t>
            </w:r>
          </w:p>
        </w:tc>
        <w:tc>
          <w:tcPr>
            <w:tcW w:w="535" w:type="pct"/>
            <w:vMerge w:val="restart"/>
            <w:vAlign w:val="center"/>
          </w:tcPr>
          <w:p w14:paraId="2714AF38">
            <w:pPr>
              <w:kinsoku w:val="0"/>
              <w:overflowPunct w:val="0"/>
              <w:autoSpaceDE w:val="0"/>
              <w:autoSpaceDN w:val="0"/>
              <w:spacing w:line="240" w:lineRule="auto"/>
              <w:ind w:firstLine="0" w:firstLineChars="0"/>
              <w:jc w:val="center"/>
              <w:textAlignment w:val="center"/>
              <w:rPr>
                <w:b/>
                <w:bCs w:val="0"/>
                <w:iCs/>
                <w:snapToGrid w:val="0"/>
                <w:color w:val="auto"/>
                <w:spacing w:val="2"/>
                <w:sz w:val="21"/>
                <w:szCs w:val="21"/>
                <w:highlight w:val="none"/>
              </w:rPr>
            </w:pPr>
            <w:r>
              <w:rPr>
                <w:rFonts w:hint="eastAsia"/>
                <w:b/>
                <w:bCs w:val="0"/>
                <w:iCs/>
                <w:snapToGrid w:val="0"/>
                <w:color w:val="auto"/>
                <w:spacing w:val="2"/>
                <w:sz w:val="21"/>
                <w:szCs w:val="21"/>
                <w:highlight w:val="none"/>
              </w:rPr>
              <w:t>近岸海域环境</w:t>
            </w:r>
          </w:p>
          <w:p w14:paraId="5F92CAD0">
            <w:pPr>
              <w:kinsoku w:val="0"/>
              <w:overflowPunct w:val="0"/>
              <w:autoSpaceDE w:val="0"/>
              <w:autoSpaceDN w:val="0"/>
              <w:spacing w:line="240" w:lineRule="auto"/>
              <w:ind w:firstLine="0" w:firstLineChars="0"/>
              <w:jc w:val="center"/>
              <w:textAlignment w:val="center"/>
              <w:rPr>
                <w:b/>
                <w:bCs w:val="0"/>
                <w:iCs/>
                <w:snapToGrid w:val="0"/>
                <w:color w:val="auto"/>
                <w:sz w:val="21"/>
                <w:szCs w:val="21"/>
                <w:highlight w:val="none"/>
              </w:rPr>
            </w:pPr>
            <w:r>
              <w:rPr>
                <w:rFonts w:hint="eastAsia"/>
                <w:b/>
                <w:bCs w:val="0"/>
                <w:iCs/>
                <w:snapToGrid w:val="0"/>
                <w:color w:val="auto"/>
                <w:spacing w:val="2"/>
                <w:sz w:val="21"/>
                <w:szCs w:val="21"/>
                <w:highlight w:val="none"/>
              </w:rPr>
              <w:t>功能区</w:t>
            </w:r>
          </w:p>
        </w:tc>
        <w:tc>
          <w:tcPr>
            <w:tcW w:w="1048" w:type="pct"/>
            <w:gridSpan w:val="2"/>
            <w:vAlign w:val="center"/>
          </w:tcPr>
          <w:p w14:paraId="1D7B74BE">
            <w:pPr>
              <w:kinsoku w:val="0"/>
              <w:overflowPunct w:val="0"/>
              <w:autoSpaceDE w:val="0"/>
              <w:autoSpaceDN w:val="0"/>
              <w:spacing w:line="240" w:lineRule="auto"/>
              <w:ind w:firstLine="0" w:firstLineChars="0"/>
              <w:jc w:val="center"/>
              <w:textAlignment w:val="center"/>
              <w:rPr>
                <w:b/>
                <w:bCs w:val="0"/>
                <w:iCs/>
                <w:snapToGrid w:val="0"/>
                <w:color w:val="auto"/>
                <w:spacing w:val="2"/>
                <w:sz w:val="21"/>
                <w:szCs w:val="21"/>
                <w:highlight w:val="none"/>
              </w:rPr>
            </w:pPr>
            <w:r>
              <w:rPr>
                <w:b/>
                <w:bCs w:val="0"/>
                <w:iCs/>
                <w:snapToGrid w:val="0"/>
                <w:color w:val="auto"/>
                <w:spacing w:val="2"/>
                <w:sz w:val="21"/>
                <w:szCs w:val="21"/>
                <w:highlight w:val="none"/>
              </w:rPr>
              <w:t>执行标</w:t>
            </w:r>
            <w:r>
              <w:rPr>
                <w:b/>
                <w:bCs w:val="0"/>
                <w:iCs/>
                <w:snapToGrid w:val="0"/>
                <w:color w:val="auto"/>
                <w:sz w:val="21"/>
                <w:szCs w:val="21"/>
                <w:highlight w:val="none"/>
              </w:rPr>
              <w:t>准</w:t>
            </w:r>
          </w:p>
        </w:tc>
      </w:tr>
      <w:tr w14:paraId="556CDC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24" w:type="pct"/>
            <w:vMerge w:val="continue"/>
            <w:vAlign w:val="center"/>
          </w:tcPr>
          <w:p w14:paraId="6CDE6848">
            <w:pPr>
              <w:kinsoku w:val="0"/>
              <w:overflowPunct w:val="0"/>
              <w:autoSpaceDE w:val="0"/>
              <w:autoSpaceDN w:val="0"/>
              <w:spacing w:line="240" w:lineRule="auto"/>
              <w:ind w:firstLine="0" w:firstLineChars="0"/>
              <w:jc w:val="center"/>
              <w:textAlignment w:val="center"/>
              <w:rPr>
                <w:b/>
                <w:bCs w:val="0"/>
                <w:iCs/>
                <w:snapToGrid w:val="0"/>
                <w:color w:val="auto"/>
                <w:sz w:val="21"/>
                <w:szCs w:val="21"/>
                <w:highlight w:val="none"/>
              </w:rPr>
            </w:pPr>
          </w:p>
        </w:tc>
        <w:tc>
          <w:tcPr>
            <w:tcW w:w="499" w:type="pct"/>
            <w:vMerge w:val="continue"/>
            <w:vAlign w:val="center"/>
          </w:tcPr>
          <w:p w14:paraId="2B537CB5">
            <w:pPr>
              <w:kinsoku w:val="0"/>
              <w:overflowPunct w:val="0"/>
              <w:autoSpaceDE w:val="0"/>
              <w:autoSpaceDN w:val="0"/>
              <w:spacing w:line="240" w:lineRule="auto"/>
              <w:ind w:firstLine="0" w:firstLineChars="0"/>
              <w:jc w:val="center"/>
              <w:textAlignment w:val="center"/>
              <w:rPr>
                <w:b/>
                <w:bCs w:val="0"/>
                <w:iCs/>
                <w:snapToGrid w:val="0"/>
                <w:color w:val="auto"/>
                <w:sz w:val="21"/>
                <w:szCs w:val="21"/>
                <w:highlight w:val="none"/>
              </w:rPr>
            </w:pPr>
          </w:p>
        </w:tc>
        <w:tc>
          <w:tcPr>
            <w:tcW w:w="916" w:type="pct"/>
            <w:vAlign w:val="center"/>
          </w:tcPr>
          <w:p w14:paraId="3CE3EA9F">
            <w:pPr>
              <w:kinsoku w:val="0"/>
              <w:overflowPunct w:val="0"/>
              <w:autoSpaceDE w:val="0"/>
              <w:autoSpaceDN w:val="0"/>
              <w:spacing w:line="240" w:lineRule="auto"/>
              <w:ind w:firstLine="0" w:firstLineChars="0"/>
              <w:jc w:val="center"/>
              <w:textAlignment w:val="center"/>
              <w:rPr>
                <w:b/>
                <w:bCs w:val="0"/>
                <w:iCs/>
                <w:snapToGrid w:val="0"/>
                <w:color w:val="auto"/>
                <w:sz w:val="21"/>
                <w:szCs w:val="21"/>
                <w:highlight w:val="none"/>
              </w:rPr>
            </w:pPr>
            <w:r>
              <w:rPr>
                <w:b/>
                <w:bCs w:val="0"/>
                <w:iCs/>
                <w:snapToGrid w:val="0"/>
                <w:color w:val="auto"/>
                <w:sz w:val="21"/>
                <w:szCs w:val="21"/>
                <w:highlight w:val="none"/>
              </w:rPr>
              <w:t>经度(E)</w:t>
            </w:r>
          </w:p>
        </w:tc>
        <w:tc>
          <w:tcPr>
            <w:tcW w:w="839" w:type="pct"/>
            <w:vAlign w:val="center"/>
          </w:tcPr>
          <w:p w14:paraId="0EAC9874">
            <w:pPr>
              <w:kinsoku w:val="0"/>
              <w:overflowPunct w:val="0"/>
              <w:autoSpaceDE w:val="0"/>
              <w:autoSpaceDN w:val="0"/>
              <w:spacing w:line="240" w:lineRule="auto"/>
              <w:ind w:firstLine="0" w:firstLineChars="0"/>
              <w:jc w:val="center"/>
              <w:textAlignment w:val="center"/>
              <w:rPr>
                <w:b/>
                <w:bCs w:val="0"/>
                <w:iCs/>
                <w:snapToGrid w:val="0"/>
                <w:color w:val="auto"/>
                <w:sz w:val="21"/>
                <w:szCs w:val="21"/>
                <w:highlight w:val="none"/>
              </w:rPr>
            </w:pPr>
            <w:r>
              <w:rPr>
                <w:b/>
                <w:bCs w:val="0"/>
                <w:iCs/>
                <w:snapToGrid w:val="0"/>
                <w:color w:val="auto"/>
                <w:sz w:val="21"/>
                <w:szCs w:val="21"/>
                <w:highlight w:val="none"/>
              </w:rPr>
              <w:t>纬度(N)</w:t>
            </w:r>
          </w:p>
        </w:tc>
        <w:tc>
          <w:tcPr>
            <w:tcW w:w="839" w:type="pct"/>
            <w:vMerge w:val="continue"/>
            <w:vAlign w:val="center"/>
          </w:tcPr>
          <w:p w14:paraId="0E614095">
            <w:pPr>
              <w:kinsoku w:val="0"/>
              <w:overflowPunct w:val="0"/>
              <w:autoSpaceDE w:val="0"/>
              <w:autoSpaceDN w:val="0"/>
              <w:spacing w:line="240" w:lineRule="auto"/>
              <w:ind w:firstLine="0" w:firstLineChars="0"/>
              <w:jc w:val="center"/>
              <w:textAlignment w:val="center"/>
              <w:rPr>
                <w:b/>
                <w:bCs w:val="0"/>
                <w:iCs/>
                <w:snapToGrid w:val="0"/>
                <w:color w:val="auto"/>
                <w:sz w:val="21"/>
                <w:szCs w:val="21"/>
                <w:highlight w:val="none"/>
              </w:rPr>
            </w:pPr>
          </w:p>
        </w:tc>
        <w:tc>
          <w:tcPr>
            <w:tcW w:w="535" w:type="pct"/>
            <w:vMerge w:val="continue"/>
            <w:vAlign w:val="center"/>
          </w:tcPr>
          <w:p w14:paraId="43F74E93">
            <w:pPr>
              <w:kinsoku w:val="0"/>
              <w:overflowPunct w:val="0"/>
              <w:autoSpaceDE w:val="0"/>
              <w:autoSpaceDN w:val="0"/>
              <w:spacing w:line="240" w:lineRule="auto"/>
              <w:ind w:firstLine="0" w:firstLineChars="0"/>
              <w:jc w:val="center"/>
              <w:textAlignment w:val="center"/>
              <w:rPr>
                <w:b/>
                <w:bCs w:val="0"/>
                <w:iCs/>
                <w:snapToGrid w:val="0"/>
                <w:color w:val="auto"/>
                <w:sz w:val="21"/>
                <w:szCs w:val="21"/>
                <w:highlight w:val="none"/>
              </w:rPr>
            </w:pPr>
          </w:p>
        </w:tc>
        <w:tc>
          <w:tcPr>
            <w:tcW w:w="534" w:type="pct"/>
            <w:vAlign w:val="center"/>
          </w:tcPr>
          <w:p w14:paraId="018E2AF5">
            <w:pPr>
              <w:kinsoku w:val="0"/>
              <w:overflowPunct w:val="0"/>
              <w:autoSpaceDE w:val="0"/>
              <w:autoSpaceDN w:val="0"/>
              <w:spacing w:line="240" w:lineRule="auto"/>
              <w:ind w:firstLine="0" w:firstLineChars="0"/>
              <w:jc w:val="center"/>
              <w:textAlignment w:val="center"/>
              <w:rPr>
                <w:b/>
                <w:bCs w:val="0"/>
                <w:iCs/>
                <w:snapToGrid w:val="0"/>
                <w:color w:val="auto"/>
                <w:sz w:val="21"/>
                <w:szCs w:val="21"/>
                <w:highlight w:val="none"/>
              </w:rPr>
            </w:pPr>
            <w:r>
              <w:rPr>
                <w:b/>
                <w:bCs w:val="0"/>
                <w:iCs/>
                <w:snapToGrid w:val="0"/>
                <w:color w:val="auto"/>
                <w:spacing w:val="2"/>
                <w:sz w:val="21"/>
                <w:szCs w:val="21"/>
                <w:highlight w:val="none"/>
              </w:rPr>
              <w:t>水</w:t>
            </w:r>
            <w:r>
              <w:rPr>
                <w:b/>
                <w:bCs w:val="0"/>
                <w:iCs/>
                <w:snapToGrid w:val="0"/>
                <w:color w:val="auto"/>
                <w:sz w:val="21"/>
                <w:szCs w:val="21"/>
                <w:highlight w:val="none"/>
              </w:rPr>
              <w:t>质</w:t>
            </w:r>
          </w:p>
        </w:tc>
        <w:tc>
          <w:tcPr>
            <w:tcW w:w="514" w:type="pct"/>
            <w:vAlign w:val="center"/>
          </w:tcPr>
          <w:p w14:paraId="4612AC68">
            <w:pPr>
              <w:kinsoku w:val="0"/>
              <w:overflowPunct w:val="0"/>
              <w:autoSpaceDE w:val="0"/>
              <w:autoSpaceDN w:val="0"/>
              <w:spacing w:line="240" w:lineRule="auto"/>
              <w:ind w:firstLine="0" w:firstLineChars="0"/>
              <w:jc w:val="center"/>
              <w:textAlignment w:val="center"/>
              <w:rPr>
                <w:b/>
                <w:bCs w:val="0"/>
                <w:iCs/>
                <w:snapToGrid w:val="0"/>
                <w:color w:val="auto"/>
                <w:spacing w:val="2"/>
                <w:sz w:val="21"/>
                <w:szCs w:val="21"/>
                <w:highlight w:val="none"/>
              </w:rPr>
            </w:pPr>
            <w:r>
              <w:rPr>
                <w:b/>
                <w:bCs w:val="0"/>
                <w:iCs/>
                <w:snapToGrid w:val="0"/>
                <w:color w:val="auto"/>
                <w:spacing w:val="2"/>
                <w:sz w:val="21"/>
                <w:szCs w:val="21"/>
                <w:highlight w:val="none"/>
              </w:rPr>
              <w:t>生物质量</w:t>
            </w:r>
          </w:p>
        </w:tc>
      </w:tr>
      <w:tr w14:paraId="125EC8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24" w:type="pct"/>
            <w:vAlign w:val="center"/>
          </w:tcPr>
          <w:p w14:paraId="4C536A05">
            <w:pPr>
              <w:widowControl/>
              <w:topLinePunct w:val="0"/>
              <w:adjustRightInd/>
              <w:snapToGrid/>
              <w:spacing w:line="240" w:lineRule="auto"/>
              <w:ind w:firstLine="0" w:firstLineChars="0"/>
              <w:jc w:val="center"/>
              <w:textAlignment w:val="center"/>
              <w:rPr>
                <w:bCs/>
                <w:iCs/>
                <w:snapToGrid w:val="0"/>
                <w:color w:val="auto"/>
                <w:sz w:val="21"/>
                <w:szCs w:val="21"/>
                <w:highlight w:val="none"/>
              </w:rPr>
            </w:pPr>
            <w:r>
              <w:rPr>
                <w:bCs/>
                <w:iCs w:val="0"/>
                <w:snapToGrid w:val="0"/>
                <w:color w:val="auto"/>
                <w:sz w:val="21"/>
                <w:szCs w:val="21"/>
                <w:highlight w:val="none"/>
              </w:rPr>
              <w:t>1#</w:t>
            </w:r>
          </w:p>
        </w:tc>
        <w:tc>
          <w:tcPr>
            <w:tcW w:w="499" w:type="pct"/>
            <w:vAlign w:val="center"/>
          </w:tcPr>
          <w:p w14:paraId="37172E04">
            <w:pPr>
              <w:widowControl/>
              <w:topLinePunct w:val="0"/>
              <w:adjustRightInd/>
              <w:snapToGrid/>
              <w:spacing w:line="240" w:lineRule="auto"/>
              <w:ind w:firstLine="0" w:firstLineChars="0"/>
              <w:jc w:val="center"/>
              <w:textAlignment w:val="center"/>
              <w:rPr>
                <w:bCs/>
                <w:iCs w:val="0"/>
                <w:snapToGrid w:val="0"/>
                <w:color w:val="auto"/>
                <w:sz w:val="21"/>
                <w:szCs w:val="21"/>
                <w:highlight w:val="none"/>
              </w:rPr>
            </w:pPr>
            <w:r>
              <w:rPr>
                <w:bCs/>
                <w:iCs w:val="0"/>
                <w:snapToGrid w:val="0"/>
                <w:color w:val="auto"/>
                <w:sz w:val="21"/>
                <w:szCs w:val="21"/>
                <w:highlight w:val="none"/>
              </w:rPr>
              <w:t>37#</w:t>
            </w:r>
          </w:p>
        </w:tc>
        <w:tc>
          <w:tcPr>
            <w:tcW w:w="916" w:type="pct"/>
            <w:vAlign w:val="center"/>
          </w:tcPr>
          <w:p w14:paraId="0F4D0E06">
            <w:pPr>
              <w:widowControl/>
              <w:topLinePunct w:val="0"/>
              <w:adjustRightInd/>
              <w:snapToGrid/>
              <w:spacing w:line="240" w:lineRule="auto"/>
              <w:ind w:firstLine="0" w:firstLineChars="0"/>
              <w:jc w:val="center"/>
              <w:textAlignment w:val="center"/>
              <w:rPr>
                <w:bCs/>
                <w:iCs/>
                <w:snapToGrid w:val="0"/>
                <w:color w:val="auto"/>
                <w:sz w:val="21"/>
                <w:szCs w:val="21"/>
                <w:highlight w:val="none"/>
              </w:rPr>
            </w:pPr>
          </w:p>
        </w:tc>
        <w:tc>
          <w:tcPr>
            <w:tcW w:w="839" w:type="pct"/>
            <w:vAlign w:val="center"/>
          </w:tcPr>
          <w:p w14:paraId="1A1FA2FF">
            <w:pPr>
              <w:widowControl/>
              <w:topLinePunct w:val="0"/>
              <w:adjustRightInd/>
              <w:snapToGrid/>
              <w:spacing w:line="240" w:lineRule="auto"/>
              <w:ind w:firstLine="0" w:firstLineChars="0"/>
              <w:jc w:val="center"/>
              <w:textAlignment w:val="center"/>
              <w:rPr>
                <w:bCs/>
                <w:iCs/>
                <w:snapToGrid w:val="0"/>
                <w:color w:val="auto"/>
                <w:sz w:val="21"/>
                <w:szCs w:val="21"/>
                <w:highlight w:val="none"/>
              </w:rPr>
            </w:pPr>
          </w:p>
        </w:tc>
        <w:tc>
          <w:tcPr>
            <w:tcW w:w="839" w:type="pct"/>
            <w:vAlign w:val="center"/>
          </w:tcPr>
          <w:p w14:paraId="4ABCC78F">
            <w:pPr>
              <w:kinsoku w:val="0"/>
              <w:overflowPunct w:val="0"/>
              <w:autoSpaceDE w:val="0"/>
              <w:autoSpaceDN w:val="0"/>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海洋生物生态</w:t>
            </w:r>
          </w:p>
        </w:tc>
        <w:tc>
          <w:tcPr>
            <w:tcW w:w="535" w:type="pct"/>
            <w:vAlign w:val="center"/>
          </w:tcPr>
          <w:p w14:paraId="47409842">
            <w:pPr>
              <w:kinsoku w:val="0"/>
              <w:overflowPunct w:val="0"/>
              <w:autoSpaceDE w:val="0"/>
              <w:autoSpaceDN w:val="0"/>
              <w:spacing w:line="240" w:lineRule="auto"/>
              <w:ind w:firstLine="0" w:firstLineChars="0"/>
              <w:jc w:val="center"/>
              <w:textAlignment w:val="center"/>
              <w:rPr>
                <w:bCs/>
                <w:iCs/>
                <w:snapToGrid w:val="0"/>
                <w:color w:val="auto"/>
                <w:sz w:val="21"/>
                <w:szCs w:val="21"/>
                <w:highlight w:val="none"/>
                <w:u w:val="single"/>
              </w:rPr>
            </w:pPr>
            <w:r>
              <w:rPr>
                <w:rFonts w:hint="eastAsia"/>
                <w:bCs/>
                <w:iCs/>
                <w:snapToGrid w:val="0"/>
                <w:color w:val="auto"/>
                <w:sz w:val="21"/>
                <w:szCs w:val="21"/>
                <w:highlight w:val="none"/>
                <w:u w:val="single"/>
              </w:rPr>
              <w:t>GX057DⅣ</w:t>
            </w:r>
          </w:p>
        </w:tc>
        <w:tc>
          <w:tcPr>
            <w:tcW w:w="534" w:type="pct"/>
            <w:vAlign w:val="center"/>
          </w:tcPr>
          <w:p w14:paraId="141DF79E">
            <w:pPr>
              <w:kinsoku w:val="0"/>
              <w:overflowPunct w:val="0"/>
              <w:autoSpaceDE w:val="0"/>
              <w:autoSpaceDN w:val="0"/>
              <w:spacing w:line="240" w:lineRule="auto"/>
              <w:ind w:firstLine="0" w:firstLineChars="0"/>
              <w:jc w:val="center"/>
              <w:textAlignment w:val="center"/>
              <w:rPr>
                <w:bCs/>
                <w:iCs/>
                <w:snapToGrid w:val="0"/>
                <w:color w:val="auto"/>
                <w:sz w:val="21"/>
                <w:szCs w:val="21"/>
                <w:highlight w:val="none"/>
                <w:u w:val="single"/>
              </w:rPr>
            </w:pPr>
            <w:r>
              <w:rPr>
                <w:bCs/>
                <w:iCs/>
                <w:snapToGrid w:val="0"/>
                <w:color w:val="auto"/>
                <w:sz w:val="21"/>
                <w:szCs w:val="21"/>
                <w:highlight w:val="none"/>
                <w:u w:val="single"/>
              </w:rPr>
              <w:t>第</w:t>
            </w:r>
            <w:r>
              <w:rPr>
                <w:bCs/>
                <w:iCs/>
                <w:snapToGrid w:val="0"/>
                <w:color w:val="auto"/>
                <w:spacing w:val="2"/>
                <w:sz w:val="21"/>
                <w:szCs w:val="21"/>
                <w:highlight w:val="none"/>
                <w:u w:val="single"/>
              </w:rPr>
              <w:t>四</w:t>
            </w:r>
            <w:r>
              <w:rPr>
                <w:bCs/>
                <w:iCs/>
                <w:snapToGrid w:val="0"/>
                <w:color w:val="auto"/>
                <w:sz w:val="21"/>
                <w:szCs w:val="21"/>
                <w:highlight w:val="none"/>
                <w:u w:val="single"/>
              </w:rPr>
              <w:t>类</w:t>
            </w:r>
          </w:p>
        </w:tc>
        <w:tc>
          <w:tcPr>
            <w:tcW w:w="514" w:type="pct"/>
            <w:vAlign w:val="center"/>
          </w:tcPr>
          <w:p w14:paraId="5CB1217E">
            <w:pPr>
              <w:kinsoku w:val="0"/>
              <w:overflowPunct w:val="0"/>
              <w:autoSpaceDE w:val="0"/>
              <w:autoSpaceDN w:val="0"/>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第</w:t>
            </w:r>
            <w:r>
              <w:rPr>
                <w:bCs/>
                <w:iCs/>
                <w:snapToGrid w:val="0"/>
                <w:color w:val="auto"/>
                <w:spacing w:val="2"/>
                <w:sz w:val="21"/>
                <w:szCs w:val="21"/>
                <w:highlight w:val="none"/>
              </w:rPr>
              <w:t>三</w:t>
            </w:r>
            <w:r>
              <w:rPr>
                <w:bCs/>
                <w:iCs/>
                <w:snapToGrid w:val="0"/>
                <w:color w:val="auto"/>
                <w:sz w:val="21"/>
                <w:szCs w:val="21"/>
                <w:highlight w:val="none"/>
              </w:rPr>
              <w:t>类</w:t>
            </w:r>
          </w:p>
        </w:tc>
      </w:tr>
      <w:tr w14:paraId="3F35CA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24" w:type="pct"/>
            <w:vAlign w:val="center"/>
          </w:tcPr>
          <w:p w14:paraId="5938D58C">
            <w:pPr>
              <w:widowControl/>
              <w:topLinePunct w:val="0"/>
              <w:adjustRightInd/>
              <w:snapToGrid/>
              <w:spacing w:line="240" w:lineRule="auto"/>
              <w:ind w:firstLine="0" w:firstLineChars="0"/>
              <w:jc w:val="center"/>
              <w:textAlignment w:val="center"/>
              <w:rPr>
                <w:bCs/>
                <w:iCs/>
                <w:snapToGrid w:val="0"/>
                <w:color w:val="auto"/>
                <w:sz w:val="21"/>
                <w:szCs w:val="21"/>
                <w:highlight w:val="none"/>
              </w:rPr>
            </w:pPr>
            <w:r>
              <w:rPr>
                <w:bCs/>
                <w:iCs w:val="0"/>
                <w:snapToGrid w:val="0"/>
                <w:color w:val="auto"/>
                <w:sz w:val="21"/>
                <w:szCs w:val="21"/>
                <w:highlight w:val="none"/>
              </w:rPr>
              <w:t>2#</w:t>
            </w:r>
          </w:p>
        </w:tc>
        <w:tc>
          <w:tcPr>
            <w:tcW w:w="499" w:type="pct"/>
            <w:vAlign w:val="center"/>
          </w:tcPr>
          <w:p w14:paraId="7465462E">
            <w:pPr>
              <w:widowControl/>
              <w:spacing w:line="240" w:lineRule="auto"/>
              <w:ind w:firstLine="0" w:firstLineChars="0"/>
              <w:jc w:val="center"/>
              <w:textAlignment w:val="center"/>
              <w:rPr>
                <w:bCs/>
                <w:iCs w:val="0"/>
                <w:snapToGrid w:val="0"/>
                <w:color w:val="auto"/>
                <w:sz w:val="21"/>
                <w:szCs w:val="21"/>
                <w:highlight w:val="none"/>
              </w:rPr>
            </w:pPr>
            <w:r>
              <w:rPr>
                <w:bCs/>
                <w:iCs w:val="0"/>
                <w:snapToGrid w:val="0"/>
                <w:color w:val="auto"/>
                <w:sz w:val="21"/>
                <w:szCs w:val="21"/>
                <w:highlight w:val="none"/>
              </w:rPr>
              <w:t>42#</w:t>
            </w:r>
          </w:p>
        </w:tc>
        <w:tc>
          <w:tcPr>
            <w:tcW w:w="916" w:type="pct"/>
            <w:vAlign w:val="center"/>
          </w:tcPr>
          <w:p w14:paraId="6C42493F">
            <w:pPr>
              <w:widowControl/>
              <w:spacing w:line="240" w:lineRule="auto"/>
              <w:ind w:firstLine="0" w:firstLineChars="0"/>
              <w:jc w:val="center"/>
              <w:textAlignment w:val="center"/>
              <w:rPr>
                <w:bCs/>
                <w:iCs/>
                <w:snapToGrid w:val="0"/>
                <w:color w:val="auto"/>
                <w:sz w:val="21"/>
                <w:szCs w:val="21"/>
                <w:highlight w:val="none"/>
              </w:rPr>
            </w:pPr>
          </w:p>
        </w:tc>
        <w:tc>
          <w:tcPr>
            <w:tcW w:w="839" w:type="pct"/>
            <w:vAlign w:val="center"/>
          </w:tcPr>
          <w:p w14:paraId="4600DD83">
            <w:pPr>
              <w:widowControl/>
              <w:spacing w:line="240" w:lineRule="auto"/>
              <w:ind w:firstLine="0" w:firstLineChars="0"/>
              <w:jc w:val="center"/>
              <w:textAlignment w:val="center"/>
              <w:rPr>
                <w:bCs/>
                <w:iCs/>
                <w:snapToGrid w:val="0"/>
                <w:color w:val="auto"/>
                <w:sz w:val="21"/>
                <w:szCs w:val="21"/>
                <w:highlight w:val="none"/>
              </w:rPr>
            </w:pPr>
          </w:p>
        </w:tc>
        <w:tc>
          <w:tcPr>
            <w:tcW w:w="839" w:type="pct"/>
            <w:vAlign w:val="center"/>
          </w:tcPr>
          <w:p w14:paraId="2A3ECC86">
            <w:pPr>
              <w:kinsoku w:val="0"/>
              <w:overflowPunct w:val="0"/>
              <w:autoSpaceDE w:val="0"/>
              <w:autoSpaceDN w:val="0"/>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海洋水质</w:t>
            </w:r>
          </w:p>
        </w:tc>
        <w:tc>
          <w:tcPr>
            <w:tcW w:w="535" w:type="pct"/>
            <w:vMerge w:val="restart"/>
            <w:vAlign w:val="center"/>
          </w:tcPr>
          <w:p w14:paraId="4638F3AA">
            <w:pPr>
              <w:kinsoku w:val="0"/>
              <w:overflowPunct w:val="0"/>
              <w:autoSpaceDE w:val="0"/>
              <w:autoSpaceDN w:val="0"/>
              <w:spacing w:line="240" w:lineRule="auto"/>
              <w:ind w:firstLine="0" w:firstLineChars="0"/>
              <w:jc w:val="center"/>
              <w:textAlignment w:val="center"/>
              <w:rPr>
                <w:bCs/>
                <w:iCs/>
                <w:snapToGrid w:val="0"/>
                <w:color w:val="auto"/>
                <w:sz w:val="21"/>
                <w:szCs w:val="21"/>
                <w:highlight w:val="none"/>
                <w:u w:val="single"/>
              </w:rPr>
            </w:pPr>
            <w:r>
              <w:rPr>
                <w:rFonts w:hint="eastAsia"/>
                <w:bCs/>
                <w:iCs/>
                <w:snapToGrid w:val="0"/>
                <w:color w:val="auto"/>
                <w:sz w:val="21"/>
                <w:szCs w:val="21"/>
                <w:highlight w:val="none"/>
                <w:u w:val="single"/>
              </w:rPr>
              <w:t>GX059DⅣ</w:t>
            </w:r>
          </w:p>
        </w:tc>
        <w:tc>
          <w:tcPr>
            <w:tcW w:w="534" w:type="pct"/>
            <w:vAlign w:val="center"/>
          </w:tcPr>
          <w:p w14:paraId="11E8A970">
            <w:pPr>
              <w:kinsoku w:val="0"/>
              <w:overflowPunct w:val="0"/>
              <w:autoSpaceDE w:val="0"/>
              <w:autoSpaceDN w:val="0"/>
              <w:spacing w:line="240" w:lineRule="auto"/>
              <w:ind w:firstLine="0" w:firstLineChars="0"/>
              <w:jc w:val="center"/>
              <w:textAlignment w:val="center"/>
              <w:rPr>
                <w:bCs/>
                <w:iCs/>
                <w:snapToGrid w:val="0"/>
                <w:color w:val="auto"/>
                <w:sz w:val="21"/>
                <w:szCs w:val="21"/>
                <w:highlight w:val="none"/>
                <w:u w:val="single"/>
              </w:rPr>
            </w:pPr>
            <w:r>
              <w:rPr>
                <w:bCs/>
                <w:iCs/>
                <w:snapToGrid w:val="0"/>
                <w:color w:val="auto"/>
                <w:sz w:val="21"/>
                <w:szCs w:val="21"/>
                <w:highlight w:val="none"/>
                <w:u w:val="single"/>
              </w:rPr>
              <w:t>第</w:t>
            </w:r>
            <w:r>
              <w:rPr>
                <w:rFonts w:hint="eastAsia"/>
                <w:bCs/>
                <w:iCs/>
                <w:snapToGrid w:val="0"/>
                <w:color w:val="auto"/>
                <w:spacing w:val="2"/>
                <w:sz w:val="21"/>
                <w:szCs w:val="21"/>
                <w:highlight w:val="none"/>
                <w:u w:val="single"/>
              </w:rPr>
              <w:t>三</w:t>
            </w:r>
            <w:r>
              <w:rPr>
                <w:bCs/>
                <w:iCs/>
                <w:snapToGrid w:val="0"/>
                <w:color w:val="auto"/>
                <w:sz w:val="21"/>
                <w:szCs w:val="21"/>
                <w:highlight w:val="none"/>
                <w:u w:val="single"/>
              </w:rPr>
              <w:t>类</w:t>
            </w:r>
          </w:p>
        </w:tc>
        <w:tc>
          <w:tcPr>
            <w:tcW w:w="514" w:type="pct"/>
            <w:vAlign w:val="center"/>
          </w:tcPr>
          <w:p w14:paraId="25B8D7A6">
            <w:pPr>
              <w:kinsoku w:val="0"/>
              <w:overflowPunct w:val="0"/>
              <w:autoSpaceDE w:val="0"/>
              <w:autoSpaceDN w:val="0"/>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w:t>
            </w:r>
          </w:p>
        </w:tc>
      </w:tr>
      <w:tr w14:paraId="05EFC5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24" w:type="pct"/>
            <w:vAlign w:val="center"/>
          </w:tcPr>
          <w:p w14:paraId="0DA0D0BD">
            <w:pPr>
              <w:widowControl/>
              <w:topLinePunct w:val="0"/>
              <w:adjustRightInd/>
              <w:snapToGrid/>
              <w:spacing w:line="240" w:lineRule="auto"/>
              <w:ind w:firstLine="0" w:firstLineChars="0"/>
              <w:jc w:val="center"/>
              <w:textAlignment w:val="center"/>
              <w:rPr>
                <w:bCs/>
                <w:iCs/>
                <w:snapToGrid w:val="0"/>
                <w:color w:val="auto"/>
                <w:sz w:val="21"/>
                <w:szCs w:val="21"/>
                <w:highlight w:val="none"/>
              </w:rPr>
            </w:pPr>
            <w:r>
              <w:rPr>
                <w:bCs/>
                <w:iCs w:val="0"/>
                <w:snapToGrid w:val="0"/>
                <w:color w:val="auto"/>
                <w:sz w:val="21"/>
                <w:szCs w:val="21"/>
                <w:highlight w:val="none"/>
              </w:rPr>
              <w:t>3#</w:t>
            </w:r>
          </w:p>
        </w:tc>
        <w:tc>
          <w:tcPr>
            <w:tcW w:w="499" w:type="pct"/>
            <w:vAlign w:val="center"/>
          </w:tcPr>
          <w:p w14:paraId="6D74A7AB">
            <w:pPr>
              <w:widowControl/>
              <w:spacing w:line="240" w:lineRule="auto"/>
              <w:ind w:firstLine="0" w:firstLineChars="0"/>
              <w:jc w:val="center"/>
              <w:textAlignment w:val="center"/>
              <w:rPr>
                <w:bCs/>
                <w:iCs w:val="0"/>
                <w:snapToGrid w:val="0"/>
                <w:color w:val="auto"/>
                <w:sz w:val="21"/>
                <w:szCs w:val="21"/>
                <w:highlight w:val="none"/>
              </w:rPr>
            </w:pPr>
            <w:r>
              <w:rPr>
                <w:bCs/>
                <w:iCs w:val="0"/>
                <w:snapToGrid w:val="0"/>
                <w:color w:val="auto"/>
                <w:sz w:val="21"/>
                <w:szCs w:val="21"/>
                <w:highlight w:val="none"/>
              </w:rPr>
              <w:t>43#</w:t>
            </w:r>
          </w:p>
        </w:tc>
        <w:tc>
          <w:tcPr>
            <w:tcW w:w="916" w:type="pct"/>
            <w:vAlign w:val="center"/>
          </w:tcPr>
          <w:p w14:paraId="2F513020">
            <w:pPr>
              <w:widowControl/>
              <w:spacing w:line="240" w:lineRule="auto"/>
              <w:ind w:firstLine="0" w:firstLineChars="0"/>
              <w:jc w:val="center"/>
              <w:textAlignment w:val="center"/>
              <w:rPr>
                <w:bCs/>
                <w:iCs/>
                <w:snapToGrid w:val="0"/>
                <w:color w:val="auto"/>
                <w:sz w:val="21"/>
                <w:szCs w:val="21"/>
                <w:highlight w:val="none"/>
              </w:rPr>
            </w:pPr>
          </w:p>
        </w:tc>
        <w:tc>
          <w:tcPr>
            <w:tcW w:w="839" w:type="pct"/>
            <w:vAlign w:val="center"/>
          </w:tcPr>
          <w:p w14:paraId="58B00FC5">
            <w:pPr>
              <w:widowControl/>
              <w:spacing w:line="240" w:lineRule="auto"/>
              <w:ind w:firstLine="0" w:firstLineChars="0"/>
              <w:jc w:val="center"/>
              <w:textAlignment w:val="center"/>
              <w:rPr>
                <w:bCs/>
                <w:iCs/>
                <w:snapToGrid w:val="0"/>
                <w:color w:val="auto"/>
                <w:sz w:val="21"/>
                <w:szCs w:val="21"/>
                <w:highlight w:val="none"/>
              </w:rPr>
            </w:pPr>
          </w:p>
        </w:tc>
        <w:tc>
          <w:tcPr>
            <w:tcW w:w="839" w:type="pct"/>
            <w:vAlign w:val="center"/>
          </w:tcPr>
          <w:p w14:paraId="7559D1BA">
            <w:pPr>
              <w:kinsoku w:val="0"/>
              <w:overflowPunct w:val="0"/>
              <w:autoSpaceDE w:val="0"/>
              <w:autoSpaceDN w:val="0"/>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海洋水质、海洋生物生态</w:t>
            </w:r>
          </w:p>
        </w:tc>
        <w:tc>
          <w:tcPr>
            <w:tcW w:w="535" w:type="pct"/>
            <w:vMerge w:val="continue"/>
            <w:vAlign w:val="center"/>
          </w:tcPr>
          <w:p w14:paraId="11CFD29F">
            <w:pPr>
              <w:kinsoku w:val="0"/>
              <w:overflowPunct w:val="0"/>
              <w:autoSpaceDE w:val="0"/>
              <w:autoSpaceDN w:val="0"/>
              <w:spacing w:line="240" w:lineRule="auto"/>
              <w:ind w:firstLine="0" w:firstLineChars="0"/>
              <w:jc w:val="center"/>
              <w:textAlignment w:val="center"/>
              <w:rPr>
                <w:bCs/>
                <w:iCs/>
                <w:snapToGrid w:val="0"/>
                <w:color w:val="auto"/>
                <w:sz w:val="21"/>
                <w:szCs w:val="21"/>
                <w:highlight w:val="none"/>
              </w:rPr>
            </w:pPr>
          </w:p>
        </w:tc>
        <w:tc>
          <w:tcPr>
            <w:tcW w:w="534" w:type="pct"/>
            <w:vAlign w:val="center"/>
          </w:tcPr>
          <w:p w14:paraId="6CCFCF96">
            <w:pPr>
              <w:kinsoku w:val="0"/>
              <w:overflowPunct w:val="0"/>
              <w:autoSpaceDE w:val="0"/>
              <w:autoSpaceDN w:val="0"/>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第</w:t>
            </w:r>
            <w:r>
              <w:rPr>
                <w:bCs/>
                <w:iCs/>
                <w:snapToGrid w:val="0"/>
                <w:color w:val="auto"/>
                <w:spacing w:val="2"/>
                <w:sz w:val="21"/>
                <w:szCs w:val="21"/>
                <w:highlight w:val="none"/>
              </w:rPr>
              <w:t>四</w:t>
            </w:r>
            <w:r>
              <w:rPr>
                <w:bCs/>
                <w:iCs/>
                <w:snapToGrid w:val="0"/>
                <w:color w:val="auto"/>
                <w:sz w:val="21"/>
                <w:szCs w:val="21"/>
                <w:highlight w:val="none"/>
              </w:rPr>
              <w:t>类</w:t>
            </w:r>
          </w:p>
        </w:tc>
        <w:tc>
          <w:tcPr>
            <w:tcW w:w="514" w:type="pct"/>
            <w:vAlign w:val="center"/>
          </w:tcPr>
          <w:p w14:paraId="7B5BA5AD">
            <w:pPr>
              <w:kinsoku w:val="0"/>
              <w:overflowPunct w:val="0"/>
              <w:autoSpaceDE w:val="0"/>
              <w:autoSpaceDN w:val="0"/>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第</w:t>
            </w:r>
            <w:r>
              <w:rPr>
                <w:bCs/>
                <w:iCs/>
                <w:snapToGrid w:val="0"/>
                <w:color w:val="auto"/>
                <w:spacing w:val="2"/>
                <w:sz w:val="21"/>
                <w:szCs w:val="21"/>
                <w:highlight w:val="none"/>
              </w:rPr>
              <w:t>三</w:t>
            </w:r>
            <w:r>
              <w:rPr>
                <w:bCs/>
                <w:iCs/>
                <w:snapToGrid w:val="0"/>
                <w:color w:val="auto"/>
                <w:sz w:val="21"/>
                <w:szCs w:val="21"/>
                <w:highlight w:val="none"/>
              </w:rPr>
              <w:t>类</w:t>
            </w:r>
          </w:p>
        </w:tc>
      </w:tr>
    </w:tbl>
    <w:p w14:paraId="5A6C1568">
      <w:pPr>
        <w:ind w:firstLine="0" w:firstLineChars="0"/>
        <w:jc w:val="left"/>
        <w:rPr>
          <w:b/>
          <w:bCs/>
          <w:color w:val="auto"/>
          <w:sz w:val="21"/>
          <w:szCs w:val="21"/>
          <w:highlight w:val="none"/>
          <w:u w:val="single"/>
        </w:rPr>
      </w:pPr>
      <w:r>
        <w:rPr>
          <w:b/>
          <w:bCs/>
          <w:color w:val="auto"/>
          <w:sz w:val="21"/>
          <w:szCs w:val="21"/>
          <w:highlight w:val="none"/>
          <w:u w:val="single"/>
        </w:rPr>
        <w:t>注：42#站位位于0.5公里水质过渡带</w:t>
      </w:r>
      <w:r>
        <w:rPr>
          <w:rFonts w:hint="eastAsia"/>
          <w:b/>
          <w:bCs/>
          <w:color w:val="auto"/>
          <w:sz w:val="21"/>
          <w:szCs w:val="21"/>
          <w:highlight w:val="none"/>
          <w:u w:val="single"/>
        </w:rPr>
        <w:t>，水质执行第三类标准</w:t>
      </w:r>
      <w:r>
        <w:rPr>
          <w:b/>
          <w:bCs/>
          <w:color w:val="auto"/>
          <w:sz w:val="21"/>
          <w:szCs w:val="21"/>
          <w:highlight w:val="none"/>
          <w:u w:val="single"/>
        </w:rPr>
        <w:t>。</w:t>
      </w:r>
    </w:p>
    <w:p w14:paraId="7F7E0A3F">
      <w:pPr>
        <w:ind w:firstLine="480"/>
        <w:jc w:val="left"/>
        <w:rPr>
          <w:color w:val="auto"/>
          <w:highlight w:val="none"/>
        </w:rPr>
      </w:pPr>
      <w:r>
        <w:rPr>
          <w:color w:val="auto"/>
          <w:highlight w:val="none"/>
        </w:rPr>
        <w:t>根据《环境影响评价技术导则  海洋生态环境》（HJ 1409-2025）中“5.3评价时段”要求，3级评价项目评价时段为任何一季；根据HJ1409-2025中“6海洋生态环境现状调查与评价”相关要求，3级评价项目，海水水质现状调查站位数量不少于2个，海洋生态调查站位数量不少于水质站位的60%；沿岸海域的海水水质、海洋生态现状数据有效期为3年，其他海域的为5年，数据有效期以取得现场调查样品之月顺延起算。本次评价引用项目附近2个海水水质站位、2个海洋生态现状调查站位数据，数据取得时间不超过3年，调查站位数量及数据取得时间均满足三级评价要求。</w:t>
      </w:r>
    </w:p>
    <w:p w14:paraId="215C206E">
      <w:pPr>
        <w:ind w:firstLine="480"/>
        <w:jc w:val="left"/>
        <w:rPr>
          <w:color w:val="auto"/>
          <w:highlight w:val="none"/>
        </w:rPr>
      </w:pPr>
      <w:r>
        <w:rPr>
          <w:color w:val="auto"/>
          <w:highlight w:val="none"/>
        </w:rPr>
        <w:t>综上，项目海洋生态环境现状调查引用资料可行。</w:t>
      </w:r>
    </w:p>
    <w:p w14:paraId="6654D415">
      <w:pPr>
        <w:pStyle w:val="38"/>
        <w:spacing w:after="0" w:line="240" w:lineRule="auto"/>
        <w:ind w:firstLine="0" w:firstLineChars="0"/>
        <w:jc w:val="center"/>
        <w:rPr>
          <w:b/>
          <w:color w:val="auto"/>
          <w:sz w:val="21"/>
          <w:szCs w:val="21"/>
          <w:highlight w:val="none"/>
        </w:rPr>
      </w:pPr>
      <w:r>
        <w:rPr>
          <w:b/>
          <w:color w:val="auto"/>
          <w:sz w:val="21"/>
          <w:szCs w:val="21"/>
          <w:highlight w:val="none"/>
        </w:rPr>
        <w:drawing>
          <wp:inline distT="0" distB="0" distL="114300" distR="114300">
            <wp:extent cx="5633720" cy="4568825"/>
            <wp:effectExtent l="0" t="0" r="5080" b="3175"/>
            <wp:docPr id="7" name="图片 7" descr="海洋监测布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海洋监测布点"/>
                    <pic:cNvPicPr>
                      <a:picLocks noChangeAspect="1"/>
                    </pic:cNvPicPr>
                  </pic:nvPicPr>
                  <pic:blipFill>
                    <a:blip r:embed="rId109"/>
                    <a:srcRect l="8201" t="6156" r="8554" b="6485"/>
                    <a:stretch>
                      <a:fillRect/>
                    </a:stretch>
                  </pic:blipFill>
                  <pic:spPr>
                    <a:xfrm>
                      <a:off x="0" y="0"/>
                      <a:ext cx="5633720" cy="4568825"/>
                    </a:xfrm>
                    <a:prstGeom prst="rect">
                      <a:avLst/>
                    </a:prstGeom>
                  </pic:spPr>
                </pic:pic>
              </a:graphicData>
            </a:graphic>
          </wp:inline>
        </w:drawing>
      </w:r>
    </w:p>
    <w:p w14:paraId="5F590557">
      <w:pPr>
        <w:pStyle w:val="38"/>
        <w:spacing w:after="0" w:line="240" w:lineRule="auto"/>
        <w:ind w:firstLine="0" w:firstLineChars="0"/>
        <w:jc w:val="center"/>
        <w:rPr>
          <w:b/>
          <w:color w:val="auto"/>
          <w:sz w:val="21"/>
          <w:szCs w:val="21"/>
          <w:highlight w:val="none"/>
        </w:rPr>
      </w:pPr>
      <w:r>
        <w:rPr>
          <w:b/>
          <w:color w:val="auto"/>
          <w:sz w:val="21"/>
          <w:szCs w:val="21"/>
          <w:highlight w:val="none"/>
        </w:rPr>
        <w:t>图3.4-1  2024年11月（秋季）现场调查站位图</w:t>
      </w:r>
    </w:p>
    <w:p w14:paraId="752EC108">
      <w:pPr>
        <w:pStyle w:val="38"/>
        <w:spacing w:after="0" w:line="240" w:lineRule="auto"/>
        <w:ind w:firstLine="0" w:firstLineChars="0"/>
        <w:jc w:val="center"/>
        <w:rPr>
          <w:b/>
          <w:color w:val="auto"/>
          <w:sz w:val="21"/>
          <w:szCs w:val="21"/>
          <w:highlight w:val="none"/>
        </w:rPr>
      </w:pPr>
    </w:p>
    <w:p w14:paraId="1DB0355D">
      <w:pPr>
        <w:pStyle w:val="533"/>
        <w:numPr>
          <w:ilvl w:val="3"/>
          <w:numId w:val="9"/>
        </w:numPr>
        <w:rPr>
          <w:color w:val="auto"/>
          <w:szCs w:val="24"/>
          <w:highlight w:val="none"/>
        </w:rPr>
      </w:pPr>
      <w:r>
        <w:rPr>
          <w:color w:val="auto"/>
          <w:szCs w:val="24"/>
          <w:highlight w:val="none"/>
        </w:rPr>
        <w:t>海洋水质环境质量现状调查与评价</w:t>
      </w:r>
    </w:p>
    <w:p w14:paraId="0BFBE22B">
      <w:pPr>
        <w:pStyle w:val="11"/>
        <w:numPr>
          <w:ilvl w:val="0"/>
          <w:numId w:val="0"/>
        </w:numPr>
        <w:spacing w:before="0" w:after="0" w:line="360" w:lineRule="auto"/>
        <w:ind w:firstLine="482" w:firstLineChars="200"/>
        <w:rPr>
          <w:color w:val="auto"/>
          <w:sz w:val="24"/>
          <w:szCs w:val="24"/>
          <w:highlight w:val="none"/>
        </w:rPr>
      </w:pPr>
      <w:r>
        <w:rPr>
          <w:color w:val="auto"/>
          <w:sz w:val="24"/>
          <w:szCs w:val="24"/>
          <w:highlight w:val="none"/>
        </w:rPr>
        <w:t>（1）监测项目及分析方法</w:t>
      </w:r>
    </w:p>
    <w:p w14:paraId="592033A2">
      <w:pPr>
        <w:ind w:firstLine="480"/>
        <w:rPr>
          <w:color w:val="auto"/>
          <w:highlight w:val="none"/>
        </w:rPr>
      </w:pPr>
      <w:r>
        <w:rPr>
          <w:color w:val="auto"/>
          <w:highlight w:val="none"/>
        </w:rPr>
        <w:t>①监测项目</w:t>
      </w:r>
    </w:p>
    <w:p w14:paraId="4369A78A">
      <w:pPr>
        <w:ind w:firstLine="480"/>
        <w:rPr>
          <w:color w:val="auto"/>
          <w:highlight w:val="none"/>
        </w:rPr>
      </w:pPr>
      <w:r>
        <w:rPr>
          <w:color w:val="auto"/>
          <w:highlight w:val="none"/>
        </w:rPr>
        <w:t>监测项目包括水温、透明度、水深、pH、盐度、悬浮物、生化需氧量、化学需氧量、硫化物、溶解氧、硝酸盐氮、亚硝酸盐氮、氨氮、活性磷酸盐、挥发性酚、油类、铜、铅、锌、镉、汞、砷、铬共23项。</w:t>
      </w:r>
    </w:p>
    <w:p w14:paraId="474D433B">
      <w:pPr>
        <w:ind w:firstLine="480"/>
        <w:rPr>
          <w:color w:val="auto"/>
          <w:highlight w:val="none"/>
        </w:rPr>
      </w:pPr>
      <w:r>
        <w:rPr>
          <w:color w:val="auto"/>
          <w:highlight w:val="none"/>
        </w:rPr>
        <w:t>②采样方法</w:t>
      </w:r>
    </w:p>
    <w:p w14:paraId="7A191010">
      <w:pPr>
        <w:ind w:firstLine="480"/>
        <w:rPr>
          <w:color w:val="auto"/>
          <w:highlight w:val="none"/>
        </w:rPr>
      </w:pPr>
      <w:r>
        <w:rPr>
          <w:color w:val="auto"/>
          <w:highlight w:val="none"/>
        </w:rPr>
        <w:t>采样层次按《海洋调查规范》（GB/T12763-2007）、《海洋监测规范》（GB17378-2007）有关技术要求执行，水深小于10m时，只采表层水样，水深大于10m时，采集表、底层水样（表层指海面以下（0～1.0）m，底层为距海底 2.0 m 的水层）。石油类只采表层样品。</w:t>
      </w:r>
    </w:p>
    <w:p w14:paraId="2E8A29A7">
      <w:pPr>
        <w:ind w:firstLine="480"/>
        <w:rPr>
          <w:color w:val="auto"/>
          <w:highlight w:val="none"/>
        </w:rPr>
      </w:pPr>
      <w:r>
        <w:rPr>
          <w:color w:val="auto"/>
          <w:highlight w:val="none"/>
        </w:rPr>
        <w:t>③分析方法</w:t>
      </w:r>
    </w:p>
    <w:p w14:paraId="056CBE9E">
      <w:pPr>
        <w:ind w:firstLine="480"/>
        <w:rPr>
          <w:color w:val="auto"/>
          <w:highlight w:val="none"/>
        </w:rPr>
      </w:pPr>
      <w:r>
        <w:rPr>
          <w:color w:val="auto"/>
          <w:highlight w:val="none"/>
        </w:rPr>
        <w:t>样品的分析按照《海洋调查规范》（GB/T12763-2007）和《海洋监测规范》（GB17378-2007）进行，超出的项目参照其他行业标准测试，各项目的分析方法如表3.4-5。</w:t>
      </w:r>
    </w:p>
    <w:p w14:paraId="37D969CC">
      <w:pPr>
        <w:pStyle w:val="38"/>
        <w:spacing w:after="0" w:line="240" w:lineRule="auto"/>
        <w:ind w:firstLine="0" w:firstLineChars="0"/>
        <w:jc w:val="center"/>
        <w:rPr>
          <w:b/>
          <w:color w:val="auto"/>
          <w:sz w:val="21"/>
          <w:szCs w:val="21"/>
          <w:highlight w:val="none"/>
        </w:rPr>
      </w:pPr>
      <w:r>
        <w:rPr>
          <w:b/>
          <w:color w:val="auto"/>
          <w:sz w:val="21"/>
          <w:szCs w:val="21"/>
          <w:highlight w:val="none"/>
        </w:rPr>
        <w:t>表3.4-5 海水水质各监测项目分析方法、仪器及检出限</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53"/>
        <w:gridCol w:w="4688"/>
        <w:gridCol w:w="1157"/>
        <w:gridCol w:w="2288"/>
      </w:tblGrid>
      <w:tr w14:paraId="0D00E3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621" w:type="pct"/>
            <w:tcBorders>
              <w:tl2br w:val="nil"/>
              <w:tr2bl w:val="nil"/>
            </w:tcBorders>
            <w:vAlign w:val="center"/>
          </w:tcPr>
          <w:p w14:paraId="2ABC8C01">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检测项目</w:t>
            </w:r>
          </w:p>
        </w:tc>
        <w:tc>
          <w:tcPr>
            <w:tcW w:w="2524" w:type="pct"/>
            <w:tcBorders>
              <w:tl2br w:val="nil"/>
              <w:tr2bl w:val="nil"/>
            </w:tcBorders>
            <w:vAlign w:val="center"/>
          </w:tcPr>
          <w:p w14:paraId="1E53D47D">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检测方法</w:t>
            </w:r>
          </w:p>
        </w:tc>
        <w:tc>
          <w:tcPr>
            <w:tcW w:w="623" w:type="pct"/>
            <w:tcBorders>
              <w:tl2br w:val="nil"/>
              <w:tr2bl w:val="nil"/>
            </w:tcBorders>
            <w:vAlign w:val="center"/>
          </w:tcPr>
          <w:p w14:paraId="110B75E3">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检出限</w:t>
            </w:r>
          </w:p>
        </w:tc>
        <w:tc>
          <w:tcPr>
            <w:tcW w:w="1232" w:type="pct"/>
            <w:tcBorders>
              <w:tl2br w:val="nil"/>
              <w:tr2bl w:val="nil"/>
            </w:tcBorders>
            <w:vAlign w:val="center"/>
          </w:tcPr>
          <w:p w14:paraId="7FB63AF6">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仪器名称、型号（编号）</w:t>
            </w:r>
          </w:p>
        </w:tc>
      </w:tr>
      <w:tr w14:paraId="075CC8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621" w:type="pct"/>
            <w:tcBorders>
              <w:tl2br w:val="nil"/>
              <w:tr2bl w:val="nil"/>
            </w:tcBorders>
            <w:vAlign w:val="center"/>
          </w:tcPr>
          <w:p w14:paraId="762D5A37">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水温</w:t>
            </w:r>
          </w:p>
        </w:tc>
        <w:tc>
          <w:tcPr>
            <w:tcW w:w="2524" w:type="pct"/>
            <w:tcBorders>
              <w:tl2br w:val="nil"/>
              <w:tr2bl w:val="nil"/>
            </w:tcBorders>
            <w:vAlign w:val="center"/>
          </w:tcPr>
          <w:p w14:paraId="44EAF5A7">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海洋监测规范 第4部分：海水分析</w:t>
            </w:r>
          </w:p>
          <w:p w14:paraId="04DEE34F">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 xml:space="preserve"> GB 17378.4-2007（25.2 颠倒温度表法）</w:t>
            </w:r>
          </w:p>
        </w:tc>
        <w:tc>
          <w:tcPr>
            <w:tcW w:w="623" w:type="pct"/>
            <w:tcBorders>
              <w:tl2br w:val="nil"/>
              <w:tr2bl w:val="nil"/>
            </w:tcBorders>
            <w:vAlign w:val="center"/>
          </w:tcPr>
          <w:p w14:paraId="75C306CB">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w:t>
            </w:r>
          </w:p>
        </w:tc>
        <w:tc>
          <w:tcPr>
            <w:tcW w:w="1232" w:type="pct"/>
            <w:tcBorders>
              <w:tl2br w:val="nil"/>
              <w:tr2bl w:val="nil"/>
            </w:tcBorders>
            <w:vAlign w:val="center"/>
          </w:tcPr>
          <w:p w14:paraId="55E88352">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颠倒温度计</w:t>
            </w:r>
          </w:p>
          <w:p w14:paraId="5402B814">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SWL1-1（24030）</w:t>
            </w:r>
          </w:p>
        </w:tc>
      </w:tr>
      <w:tr w14:paraId="35DC76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621" w:type="pct"/>
            <w:tcBorders>
              <w:tl2br w:val="nil"/>
              <w:tr2bl w:val="nil"/>
            </w:tcBorders>
            <w:vAlign w:val="center"/>
          </w:tcPr>
          <w:p w14:paraId="0D86E201">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水深</w:t>
            </w:r>
          </w:p>
        </w:tc>
        <w:tc>
          <w:tcPr>
            <w:tcW w:w="2524" w:type="pct"/>
            <w:tcBorders>
              <w:tl2br w:val="nil"/>
              <w:tr2bl w:val="nil"/>
            </w:tcBorders>
            <w:vAlign w:val="center"/>
          </w:tcPr>
          <w:p w14:paraId="0A9901DB">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海洋调查规范 第2部分：海洋水文观测</w:t>
            </w:r>
          </w:p>
          <w:p w14:paraId="2AE8D898">
            <w:pPr>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GB/T 12763.2-2007（测深仪法）</w:t>
            </w:r>
          </w:p>
        </w:tc>
        <w:tc>
          <w:tcPr>
            <w:tcW w:w="623" w:type="pct"/>
            <w:tcBorders>
              <w:tl2br w:val="nil"/>
              <w:tr2bl w:val="nil"/>
            </w:tcBorders>
            <w:vAlign w:val="center"/>
          </w:tcPr>
          <w:p w14:paraId="41CA153D">
            <w:pPr>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w:t>
            </w:r>
          </w:p>
        </w:tc>
        <w:tc>
          <w:tcPr>
            <w:tcW w:w="1232" w:type="pct"/>
            <w:tcBorders>
              <w:tl2br w:val="nil"/>
              <w:tr2bl w:val="nil"/>
            </w:tcBorders>
            <w:vAlign w:val="center"/>
          </w:tcPr>
          <w:p w14:paraId="009D8CB9">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手持测深仪</w:t>
            </w:r>
          </w:p>
          <w:p w14:paraId="372C343A">
            <w:pPr>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lang w:bidi="ar"/>
              </w:rPr>
              <w:t>SM-5A（24029）</w:t>
            </w:r>
          </w:p>
        </w:tc>
      </w:tr>
      <w:tr w14:paraId="0864EB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621" w:type="pct"/>
            <w:tcBorders>
              <w:tl2br w:val="nil"/>
              <w:tr2bl w:val="nil"/>
            </w:tcBorders>
            <w:vAlign w:val="center"/>
          </w:tcPr>
          <w:p w14:paraId="65BCF096">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透明度</w:t>
            </w:r>
          </w:p>
        </w:tc>
        <w:tc>
          <w:tcPr>
            <w:tcW w:w="2524" w:type="pct"/>
            <w:tcBorders>
              <w:tl2br w:val="nil"/>
              <w:tr2bl w:val="nil"/>
            </w:tcBorders>
            <w:vAlign w:val="center"/>
          </w:tcPr>
          <w:p w14:paraId="1C66A3E1">
            <w:pPr>
              <w:widowControl/>
              <w:topLinePunct w:val="0"/>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海洋监测规范 第4部分 海水分析</w:t>
            </w:r>
          </w:p>
          <w:p w14:paraId="28A9AC1B">
            <w:pPr>
              <w:widowControl/>
              <w:topLinePunct w:val="0"/>
              <w:spacing w:line="240" w:lineRule="auto"/>
              <w:ind w:left="-72" w:leftChars="-30" w:right="-72" w:rightChars="-30" w:firstLine="0" w:firstLineChars="0"/>
              <w:jc w:val="center"/>
              <w:textAlignment w:val="center"/>
              <w:rPr>
                <w:color w:val="auto"/>
                <w:kern w:val="2"/>
                <w:sz w:val="21"/>
                <w:szCs w:val="21"/>
                <w:highlight w:val="none"/>
              </w:rPr>
            </w:pPr>
            <w:r>
              <w:rPr>
                <w:color w:val="auto"/>
                <w:sz w:val="21"/>
                <w:szCs w:val="21"/>
                <w:highlight w:val="none"/>
              </w:rPr>
              <w:t>GB 17378.4-2007（22透明圆盘法）</w:t>
            </w:r>
          </w:p>
        </w:tc>
        <w:tc>
          <w:tcPr>
            <w:tcW w:w="623" w:type="pct"/>
            <w:tcBorders>
              <w:tl2br w:val="nil"/>
              <w:tr2bl w:val="nil"/>
            </w:tcBorders>
            <w:vAlign w:val="center"/>
          </w:tcPr>
          <w:p w14:paraId="103C5896">
            <w:pPr>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w:t>
            </w:r>
          </w:p>
        </w:tc>
        <w:tc>
          <w:tcPr>
            <w:tcW w:w="1232" w:type="pct"/>
            <w:tcBorders>
              <w:tl2br w:val="nil"/>
              <w:tr2bl w:val="nil"/>
            </w:tcBorders>
            <w:vAlign w:val="center"/>
          </w:tcPr>
          <w:p w14:paraId="761F1E9F">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赛氏盘</w:t>
            </w:r>
          </w:p>
          <w:p w14:paraId="22E6B971">
            <w:pPr>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SD30（24031）</w:t>
            </w:r>
          </w:p>
        </w:tc>
      </w:tr>
      <w:tr w14:paraId="6752ED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621" w:type="pct"/>
            <w:tcBorders>
              <w:tl2br w:val="nil"/>
              <w:tr2bl w:val="nil"/>
            </w:tcBorders>
            <w:vAlign w:val="center"/>
          </w:tcPr>
          <w:p w14:paraId="22A40593">
            <w:pPr>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pH值</w:t>
            </w:r>
          </w:p>
        </w:tc>
        <w:tc>
          <w:tcPr>
            <w:tcW w:w="2524" w:type="pct"/>
            <w:tcBorders>
              <w:tl2br w:val="nil"/>
              <w:tr2bl w:val="nil"/>
            </w:tcBorders>
            <w:vAlign w:val="center"/>
          </w:tcPr>
          <w:p w14:paraId="0976A402">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海洋监测规范 第4部分：海水分析</w:t>
            </w:r>
          </w:p>
          <w:p w14:paraId="277E9EC5">
            <w:pPr>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GB 17378.4-2007（26 pH计法）</w:t>
            </w:r>
          </w:p>
        </w:tc>
        <w:tc>
          <w:tcPr>
            <w:tcW w:w="623" w:type="pct"/>
            <w:tcBorders>
              <w:tl2br w:val="nil"/>
              <w:tr2bl w:val="nil"/>
            </w:tcBorders>
            <w:vAlign w:val="center"/>
          </w:tcPr>
          <w:p w14:paraId="3F9DAE54">
            <w:pPr>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w:t>
            </w:r>
          </w:p>
        </w:tc>
        <w:tc>
          <w:tcPr>
            <w:tcW w:w="1232" w:type="pct"/>
            <w:tcBorders>
              <w:tl2br w:val="nil"/>
              <w:tr2bl w:val="nil"/>
            </w:tcBorders>
            <w:vAlign w:val="center"/>
          </w:tcPr>
          <w:p w14:paraId="1F35A04A">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水质多功能参数计SX751型（24028）</w:t>
            </w:r>
          </w:p>
        </w:tc>
      </w:tr>
      <w:tr w14:paraId="7B8381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621" w:type="pct"/>
            <w:tcBorders>
              <w:tl2br w:val="nil"/>
              <w:tr2bl w:val="nil"/>
            </w:tcBorders>
            <w:vAlign w:val="center"/>
          </w:tcPr>
          <w:p w14:paraId="7362D82D">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盐度</w:t>
            </w:r>
          </w:p>
        </w:tc>
        <w:tc>
          <w:tcPr>
            <w:tcW w:w="2524" w:type="pct"/>
            <w:tcBorders>
              <w:tl2br w:val="nil"/>
              <w:tr2bl w:val="nil"/>
            </w:tcBorders>
            <w:vAlign w:val="center"/>
          </w:tcPr>
          <w:p w14:paraId="320C32F4">
            <w:pPr>
              <w:topLinePunct w:val="0"/>
              <w:spacing w:line="240" w:lineRule="auto"/>
              <w:ind w:left="-72" w:leftChars="-30" w:right="-72" w:rightChars="-30" w:firstLine="0" w:firstLineChars="0"/>
              <w:jc w:val="center"/>
              <w:rPr>
                <w:color w:val="auto"/>
                <w:sz w:val="21"/>
                <w:szCs w:val="21"/>
                <w:highlight w:val="none"/>
              </w:rPr>
            </w:pPr>
            <w:r>
              <w:rPr>
                <w:color w:val="auto"/>
                <w:sz w:val="21"/>
                <w:szCs w:val="21"/>
                <w:highlight w:val="none"/>
              </w:rPr>
              <w:t>海洋监测规范 第4部分：海水分析</w:t>
            </w:r>
          </w:p>
          <w:p w14:paraId="190B972E">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GB 17378.4-2007（29.1盐度计法）</w:t>
            </w:r>
          </w:p>
        </w:tc>
        <w:tc>
          <w:tcPr>
            <w:tcW w:w="623" w:type="pct"/>
            <w:tcBorders>
              <w:tl2br w:val="nil"/>
              <w:tr2bl w:val="nil"/>
            </w:tcBorders>
            <w:vAlign w:val="center"/>
          </w:tcPr>
          <w:p w14:paraId="6CB37FB3">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w:t>
            </w:r>
          </w:p>
        </w:tc>
        <w:tc>
          <w:tcPr>
            <w:tcW w:w="1232" w:type="pct"/>
            <w:vMerge w:val="restart"/>
            <w:tcBorders>
              <w:tl2br w:val="nil"/>
              <w:tr2bl w:val="nil"/>
            </w:tcBorders>
            <w:vAlign w:val="center"/>
          </w:tcPr>
          <w:p w14:paraId="3D36D483">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水质多功能参数计SX751型（24028）</w:t>
            </w:r>
          </w:p>
        </w:tc>
      </w:tr>
      <w:tr w14:paraId="72C1B9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621" w:type="pct"/>
            <w:tcBorders>
              <w:tl2br w:val="nil"/>
              <w:tr2bl w:val="nil"/>
            </w:tcBorders>
            <w:vAlign w:val="center"/>
          </w:tcPr>
          <w:p w14:paraId="7F072D44">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溶解氧</w:t>
            </w:r>
          </w:p>
        </w:tc>
        <w:tc>
          <w:tcPr>
            <w:tcW w:w="2524" w:type="pct"/>
            <w:tcBorders>
              <w:tl2br w:val="nil"/>
              <w:tr2bl w:val="nil"/>
            </w:tcBorders>
            <w:vAlign w:val="center"/>
          </w:tcPr>
          <w:p w14:paraId="51609166">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水质 溶解氧的测定 电化学探头法</w:t>
            </w:r>
          </w:p>
          <w:p w14:paraId="00B6CE1A">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HJ 506-2009</w:t>
            </w:r>
          </w:p>
        </w:tc>
        <w:tc>
          <w:tcPr>
            <w:tcW w:w="623" w:type="pct"/>
            <w:tcBorders>
              <w:tl2br w:val="nil"/>
              <w:tr2bl w:val="nil"/>
            </w:tcBorders>
            <w:vAlign w:val="center"/>
          </w:tcPr>
          <w:p w14:paraId="000D58F9">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w:t>
            </w:r>
          </w:p>
        </w:tc>
        <w:tc>
          <w:tcPr>
            <w:tcW w:w="1232" w:type="pct"/>
            <w:vMerge w:val="continue"/>
            <w:tcBorders>
              <w:tl2br w:val="nil"/>
              <w:tr2bl w:val="nil"/>
            </w:tcBorders>
            <w:vAlign w:val="center"/>
          </w:tcPr>
          <w:p w14:paraId="1B1AEB4D">
            <w:pPr>
              <w:topLinePunct w:val="0"/>
              <w:spacing w:line="240" w:lineRule="auto"/>
              <w:ind w:left="-72" w:leftChars="-30" w:right="-72" w:rightChars="-30" w:firstLine="0" w:firstLineChars="0"/>
              <w:jc w:val="center"/>
              <w:rPr>
                <w:color w:val="auto"/>
                <w:kern w:val="2"/>
                <w:sz w:val="21"/>
                <w:szCs w:val="21"/>
                <w:highlight w:val="none"/>
              </w:rPr>
            </w:pPr>
          </w:p>
        </w:tc>
      </w:tr>
      <w:tr w14:paraId="2B137F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621" w:type="pct"/>
            <w:tcBorders>
              <w:tl2br w:val="nil"/>
              <w:tr2bl w:val="nil"/>
            </w:tcBorders>
            <w:vAlign w:val="center"/>
          </w:tcPr>
          <w:p w14:paraId="0CFE221F">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悬浮物</w:t>
            </w:r>
          </w:p>
        </w:tc>
        <w:tc>
          <w:tcPr>
            <w:tcW w:w="2524" w:type="pct"/>
            <w:tcBorders>
              <w:tl2br w:val="nil"/>
              <w:tr2bl w:val="nil"/>
            </w:tcBorders>
            <w:vAlign w:val="center"/>
          </w:tcPr>
          <w:p w14:paraId="0C6FB48A">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 xml:space="preserve">海洋监测规范 第4部分 海水分析 </w:t>
            </w:r>
          </w:p>
          <w:p w14:paraId="346DCB3B">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GB 17378.4-2007（27重量法）</w:t>
            </w:r>
          </w:p>
        </w:tc>
        <w:tc>
          <w:tcPr>
            <w:tcW w:w="623" w:type="pct"/>
            <w:tcBorders>
              <w:tl2br w:val="nil"/>
              <w:tr2bl w:val="nil"/>
            </w:tcBorders>
            <w:vAlign w:val="center"/>
          </w:tcPr>
          <w:p w14:paraId="731A59A4">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4mg/L</w:t>
            </w:r>
          </w:p>
        </w:tc>
        <w:tc>
          <w:tcPr>
            <w:tcW w:w="1232" w:type="pct"/>
            <w:tcBorders>
              <w:tl2br w:val="nil"/>
              <w:tr2bl w:val="nil"/>
            </w:tcBorders>
            <w:vAlign w:val="center"/>
          </w:tcPr>
          <w:p w14:paraId="54EDE628">
            <w:pPr>
              <w:topLinePunct w:val="0"/>
              <w:spacing w:line="240" w:lineRule="auto"/>
              <w:ind w:left="-72" w:leftChars="-30" w:right="-72" w:rightChars="-30" w:firstLine="0" w:firstLineChars="0"/>
              <w:jc w:val="center"/>
              <w:rPr>
                <w:color w:val="auto"/>
                <w:sz w:val="21"/>
                <w:szCs w:val="21"/>
                <w:highlight w:val="none"/>
              </w:rPr>
            </w:pPr>
            <w:r>
              <w:rPr>
                <w:color w:val="auto"/>
                <w:sz w:val="21"/>
                <w:szCs w:val="21"/>
                <w:highlight w:val="none"/>
              </w:rPr>
              <w:t>万分之一电子天平AR2140（23035）</w:t>
            </w:r>
          </w:p>
          <w:p w14:paraId="45A376DB">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电热恒温鼓风干燥箱GZX-GF101（23062）</w:t>
            </w:r>
          </w:p>
        </w:tc>
      </w:tr>
      <w:tr w14:paraId="685CF2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621" w:type="pct"/>
            <w:tcBorders>
              <w:tl2br w:val="nil"/>
              <w:tr2bl w:val="nil"/>
            </w:tcBorders>
            <w:vAlign w:val="center"/>
          </w:tcPr>
          <w:p w14:paraId="26181069">
            <w:pPr>
              <w:topLinePunct w:val="0"/>
              <w:spacing w:line="240" w:lineRule="auto"/>
              <w:ind w:left="-72" w:leftChars="-30" w:right="-72" w:rightChars="-30" w:firstLine="0" w:firstLineChars="0"/>
              <w:jc w:val="center"/>
              <w:rPr>
                <w:color w:val="auto"/>
                <w:sz w:val="21"/>
                <w:szCs w:val="21"/>
                <w:highlight w:val="none"/>
              </w:rPr>
            </w:pPr>
            <w:r>
              <w:rPr>
                <w:color w:val="auto"/>
                <w:sz w:val="21"/>
                <w:szCs w:val="21"/>
                <w:highlight w:val="none"/>
              </w:rPr>
              <w:t>化学需</w:t>
            </w:r>
          </w:p>
          <w:p w14:paraId="043A6011">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氧量</w:t>
            </w:r>
          </w:p>
        </w:tc>
        <w:tc>
          <w:tcPr>
            <w:tcW w:w="2524" w:type="pct"/>
            <w:tcBorders>
              <w:tl2br w:val="nil"/>
              <w:tr2bl w:val="nil"/>
            </w:tcBorders>
            <w:vAlign w:val="center"/>
          </w:tcPr>
          <w:p w14:paraId="4E84306F">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海洋监测规范 第4部分：海水分析</w:t>
            </w:r>
          </w:p>
          <w:p w14:paraId="4042FE5F">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GB 17378.4-2007（32 碱性高锰酸钾法）</w:t>
            </w:r>
          </w:p>
        </w:tc>
        <w:tc>
          <w:tcPr>
            <w:tcW w:w="623" w:type="pct"/>
            <w:tcBorders>
              <w:tl2br w:val="nil"/>
              <w:tr2bl w:val="nil"/>
            </w:tcBorders>
            <w:vAlign w:val="center"/>
          </w:tcPr>
          <w:p w14:paraId="65255980">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0.15mg/L</w:t>
            </w:r>
          </w:p>
        </w:tc>
        <w:tc>
          <w:tcPr>
            <w:tcW w:w="1232" w:type="pct"/>
            <w:tcBorders>
              <w:tl2br w:val="nil"/>
              <w:tr2bl w:val="nil"/>
            </w:tcBorders>
            <w:vAlign w:val="center"/>
          </w:tcPr>
          <w:p w14:paraId="64E77F48">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COD消解仪</w:t>
            </w:r>
          </w:p>
          <w:p w14:paraId="200AC9B2">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XH-102（23037）</w:t>
            </w:r>
          </w:p>
          <w:p w14:paraId="58E871A7">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滴定管HYST-DDG-01</w:t>
            </w:r>
          </w:p>
        </w:tc>
      </w:tr>
      <w:tr w14:paraId="2F937A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621" w:type="pct"/>
            <w:tcBorders>
              <w:tl2br w:val="nil"/>
              <w:tr2bl w:val="nil"/>
            </w:tcBorders>
            <w:vAlign w:val="center"/>
          </w:tcPr>
          <w:p w14:paraId="50C29DE1">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生化需氧量</w:t>
            </w:r>
          </w:p>
        </w:tc>
        <w:tc>
          <w:tcPr>
            <w:tcW w:w="2524" w:type="pct"/>
            <w:tcBorders>
              <w:tl2br w:val="nil"/>
              <w:tr2bl w:val="nil"/>
            </w:tcBorders>
            <w:vAlign w:val="center"/>
          </w:tcPr>
          <w:p w14:paraId="552FA72A">
            <w:pPr>
              <w:topLinePunct w:val="0"/>
              <w:spacing w:line="240" w:lineRule="auto"/>
              <w:ind w:left="-72" w:leftChars="-30" w:right="-72" w:rightChars="-30" w:firstLine="0" w:firstLineChars="0"/>
              <w:jc w:val="center"/>
              <w:rPr>
                <w:color w:val="auto"/>
                <w:sz w:val="21"/>
                <w:szCs w:val="21"/>
                <w:highlight w:val="none"/>
                <w:lang w:bidi="ar"/>
              </w:rPr>
            </w:pPr>
            <w:r>
              <w:rPr>
                <w:color w:val="auto"/>
                <w:sz w:val="21"/>
                <w:szCs w:val="21"/>
                <w:highlight w:val="none"/>
                <w:lang w:bidi="ar"/>
              </w:rPr>
              <w:t>海洋监测规范 第4部分：海水分析</w:t>
            </w:r>
          </w:p>
          <w:p w14:paraId="202CDBB7">
            <w:pPr>
              <w:topLinePunct w:val="0"/>
              <w:spacing w:line="240" w:lineRule="auto"/>
              <w:ind w:left="-72" w:leftChars="-30" w:right="-72" w:rightChars="-30" w:firstLine="0" w:firstLineChars="0"/>
              <w:jc w:val="center"/>
              <w:rPr>
                <w:color w:val="auto"/>
                <w:sz w:val="21"/>
                <w:szCs w:val="21"/>
                <w:highlight w:val="none"/>
                <w:lang w:bidi="ar"/>
              </w:rPr>
            </w:pPr>
            <w:r>
              <w:rPr>
                <w:color w:val="auto"/>
                <w:sz w:val="21"/>
                <w:szCs w:val="21"/>
                <w:highlight w:val="none"/>
                <w:lang w:bidi="ar"/>
              </w:rPr>
              <w:t>GB 17378.4-2007 （33.1 五日培养法）</w:t>
            </w:r>
          </w:p>
        </w:tc>
        <w:tc>
          <w:tcPr>
            <w:tcW w:w="623" w:type="pct"/>
            <w:tcBorders>
              <w:tl2br w:val="nil"/>
              <w:tr2bl w:val="nil"/>
            </w:tcBorders>
            <w:vAlign w:val="center"/>
          </w:tcPr>
          <w:p w14:paraId="73F5ACB5">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0.3mg/L</w:t>
            </w:r>
          </w:p>
        </w:tc>
        <w:tc>
          <w:tcPr>
            <w:tcW w:w="1232" w:type="pct"/>
            <w:tcBorders>
              <w:tl2br w:val="nil"/>
              <w:tr2bl w:val="nil"/>
            </w:tcBorders>
            <w:vAlign w:val="center"/>
          </w:tcPr>
          <w:p w14:paraId="32EF828F">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生化培养箱</w:t>
            </w:r>
          </w:p>
          <w:p w14:paraId="29706385">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LRH-250A（23031）</w:t>
            </w:r>
          </w:p>
          <w:p w14:paraId="57A6A84D">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滴定管DDG-003</w:t>
            </w:r>
          </w:p>
        </w:tc>
      </w:tr>
      <w:tr w14:paraId="0DEE2E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621" w:type="pct"/>
            <w:tcBorders>
              <w:tl2br w:val="nil"/>
              <w:tr2bl w:val="nil"/>
            </w:tcBorders>
            <w:vAlign w:val="center"/>
          </w:tcPr>
          <w:p w14:paraId="47D502A1">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活性磷酸盐</w:t>
            </w:r>
          </w:p>
        </w:tc>
        <w:tc>
          <w:tcPr>
            <w:tcW w:w="2524" w:type="pct"/>
            <w:tcBorders>
              <w:tl2br w:val="nil"/>
              <w:tr2bl w:val="nil"/>
            </w:tcBorders>
            <w:vAlign w:val="center"/>
          </w:tcPr>
          <w:p w14:paraId="51D2A989">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海洋监测规范 第4部分：海水分析</w:t>
            </w:r>
          </w:p>
          <w:p w14:paraId="19BEDED0">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GB 17378.4-2007（39.1磷钼蓝分光光度法）</w:t>
            </w:r>
          </w:p>
        </w:tc>
        <w:tc>
          <w:tcPr>
            <w:tcW w:w="623" w:type="pct"/>
            <w:tcBorders>
              <w:tl2br w:val="nil"/>
              <w:tr2bl w:val="nil"/>
            </w:tcBorders>
            <w:vAlign w:val="center"/>
          </w:tcPr>
          <w:p w14:paraId="4A769692">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0.005mg/L</w:t>
            </w:r>
          </w:p>
        </w:tc>
        <w:tc>
          <w:tcPr>
            <w:tcW w:w="1232" w:type="pct"/>
            <w:vMerge w:val="restart"/>
            <w:tcBorders>
              <w:tl2br w:val="nil"/>
              <w:tr2bl w:val="nil"/>
            </w:tcBorders>
            <w:vAlign w:val="center"/>
          </w:tcPr>
          <w:p w14:paraId="427B440B">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紫外可见分光光度计UV-2000（23066）</w:t>
            </w:r>
          </w:p>
        </w:tc>
      </w:tr>
      <w:tr w14:paraId="7E3BCC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621" w:type="pct"/>
            <w:tcBorders>
              <w:tl2br w:val="nil"/>
              <w:tr2bl w:val="nil"/>
            </w:tcBorders>
            <w:vAlign w:val="center"/>
          </w:tcPr>
          <w:p w14:paraId="056CF43F">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硝酸盐</w:t>
            </w:r>
          </w:p>
        </w:tc>
        <w:tc>
          <w:tcPr>
            <w:tcW w:w="2524" w:type="pct"/>
            <w:tcBorders>
              <w:tl2br w:val="nil"/>
              <w:tr2bl w:val="nil"/>
            </w:tcBorders>
            <w:vAlign w:val="center"/>
          </w:tcPr>
          <w:p w14:paraId="3FE2CE35">
            <w:pPr>
              <w:topLinePunct w:val="0"/>
              <w:spacing w:line="240" w:lineRule="auto"/>
              <w:ind w:left="-72" w:leftChars="-30" w:right="-72" w:rightChars="-30" w:firstLine="0" w:firstLineChars="0"/>
              <w:jc w:val="center"/>
              <w:rPr>
                <w:color w:val="auto"/>
                <w:sz w:val="21"/>
                <w:szCs w:val="21"/>
                <w:highlight w:val="none"/>
                <w:lang w:bidi="ar"/>
              </w:rPr>
            </w:pPr>
            <w:r>
              <w:rPr>
                <w:color w:val="auto"/>
                <w:sz w:val="21"/>
                <w:szCs w:val="21"/>
                <w:highlight w:val="none"/>
                <w:lang w:bidi="ar"/>
              </w:rPr>
              <w:t>海洋监测规范 第4部分：海水分析</w:t>
            </w:r>
          </w:p>
          <w:p w14:paraId="7B0D9F5E">
            <w:pPr>
              <w:topLinePunct w:val="0"/>
              <w:spacing w:line="240" w:lineRule="auto"/>
              <w:ind w:left="-72" w:leftChars="-30" w:right="-72" w:rightChars="-30" w:firstLine="0" w:firstLineChars="0"/>
              <w:jc w:val="center"/>
              <w:rPr>
                <w:color w:val="auto"/>
                <w:sz w:val="21"/>
                <w:szCs w:val="21"/>
                <w:highlight w:val="none"/>
                <w:lang w:bidi="ar"/>
              </w:rPr>
            </w:pPr>
            <w:r>
              <w:rPr>
                <w:color w:val="auto"/>
                <w:sz w:val="21"/>
                <w:szCs w:val="21"/>
                <w:highlight w:val="none"/>
                <w:lang w:bidi="ar"/>
              </w:rPr>
              <w:t>GB 17378.4-2007（38.1镉柱还原法）</w:t>
            </w:r>
          </w:p>
        </w:tc>
        <w:tc>
          <w:tcPr>
            <w:tcW w:w="623" w:type="pct"/>
            <w:tcBorders>
              <w:tl2br w:val="nil"/>
              <w:tr2bl w:val="nil"/>
            </w:tcBorders>
            <w:vAlign w:val="center"/>
          </w:tcPr>
          <w:p w14:paraId="54A7CA5D">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0.7</w:t>
            </w:r>
            <w:r>
              <w:rPr>
                <w:color w:val="auto"/>
                <w:kern w:val="2"/>
                <w:sz w:val="21"/>
                <w:szCs w:val="21"/>
                <w:highlight w:val="none"/>
              </w:rPr>
              <w:t>μg/L</w:t>
            </w:r>
          </w:p>
        </w:tc>
        <w:tc>
          <w:tcPr>
            <w:tcW w:w="1232" w:type="pct"/>
            <w:vMerge w:val="continue"/>
            <w:tcBorders>
              <w:tl2br w:val="nil"/>
              <w:tr2bl w:val="nil"/>
            </w:tcBorders>
            <w:vAlign w:val="center"/>
          </w:tcPr>
          <w:p w14:paraId="440B3D4F">
            <w:pPr>
              <w:topLinePunct w:val="0"/>
              <w:spacing w:line="240" w:lineRule="auto"/>
              <w:ind w:left="-72" w:leftChars="-30" w:right="-72" w:rightChars="-30" w:firstLine="0" w:firstLineChars="0"/>
              <w:jc w:val="center"/>
              <w:rPr>
                <w:color w:val="auto"/>
                <w:kern w:val="2"/>
                <w:sz w:val="21"/>
                <w:szCs w:val="21"/>
                <w:highlight w:val="none"/>
              </w:rPr>
            </w:pPr>
          </w:p>
        </w:tc>
      </w:tr>
      <w:tr w14:paraId="6E8A66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621" w:type="pct"/>
            <w:tcBorders>
              <w:tl2br w:val="nil"/>
              <w:tr2bl w:val="nil"/>
            </w:tcBorders>
            <w:vAlign w:val="center"/>
          </w:tcPr>
          <w:p w14:paraId="57188BB2">
            <w:pPr>
              <w:topLinePunct w:val="0"/>
              <w:spacing w:line="240" w:lineRule="auto"/>
              <w:ind w:left="-72" w:leftChars="-30" w:right="-72" w:rightChars="-30" w:firstLine="0" w:firstLineChars="0"/>
              <w:jc w:val="center"/>
              <w:rPr>
                <w:color w:val="auto"/>
                <w:sz w:val="21"/>
                <w:szCs w:val="21"/>
                <w:highlight w:val="none"/>
              </w:rPr>
            </w:pPr>
            <w:r>
              <w:rPr>
                <w:color w:val="auto"/>
                <w:sz w:val="21"/>
                <w:szCs w:val="21"/>
                <w:highlight w:val="none"/>
              </w:rPr>
              <w:t>亚硝</w:t>
            </w:r>
          </w:p>
          <w:p w14:paraId="63B405A7">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酸盐</w:t>
            </w:r>
          </w:p>
        </w:tc>
        <w:tc>
          <w:tcPr>
            <w:tcW w:w="2524" w:type="pct"/>
            <w:tcBorders>
              <w:tl2br w:val="nil"/>
              <w:tr2bl w:val="nil"/>
            </w:tcBorders>
            <w:vAlign w:val="center"/>
          </w:tcPr>
          <w:p w14:paraId="0C49B748">
            <w:pPr>
              <w:topLinePunct w:val="0"/>
              <w:spacing w:line="240" w:lineRule="auto"/>
              <w:ind w:left="-72" w:leftChars="-30" w:right="-72" w:rightChars="-30" w:firstLine="0" w:firstLineChars="0"/>
              <w:jc w:val="center"/>
              <w:rPr>
                <w:color w:val="auto"/>
                <w:sz w:val="21"/>
                <w:szCs w:val="21"/>
                <w:highlight w:val="none"/>
                <w:lang w:bidi="ar"/>
              </w:rPr>
            </w:pPr>
            <w:r>
              <w:rPr>
                <w:color w:val="auto"/>
                <w:sz w:val="21"/>
                <w:szCs w:val="21"/>
                <w:highlight w:val="none"/>
                <w:lang w:bidi="ar"/>
              </w:rPr>
              <w:t>海洋监测规范 第4部分：海水分析</w:t>
            </w:r>
          </w:p>
          <w:p w14:paraId="0308EFF2">
            <w:pPr>
              <w:topLinePunct w:val="0"/>
              <w:spacing w:line="240" w:lineRule="auto"/>
              <w:ind w:left="-72" w:leftChars="-30" w:right="-72" w:rightChars="-30" w:firstLine="0" w:firstLineChars="0"/>
              <w:jc w:val="center"/>
              <w:rPr>
                <w:color w:val="auto"/>
                <w:sz w:val="21"/>
                <w:szCs w:val="21"/>
                <w:highlight w:val="none"/>
                <w:lang w:bidi="ar"/>
              </w:rPr>
            </w:pPr>
            <w:r>
              <w:rPr>
                <w:color w:val="auto"/>
                <w:sz w:val="21"/>
                <w:szCs w:val="21"/>
                <w:highlight w:val="none"/>
                <w:lang w:bidi="ar"/>
              </w:rPr>
              <w:t>GB 17378.4-2007（37 萘乙二胺分光光度法）</w:t>
            </w:r>
          </w:p>
        </w:tc>
        <w:tc>
          <w:tcPr>
            <w:tcW w:w="623" w:type="pct"/>
            <w:tcBorders>
              <w:tl2br w:val="nil"/>
              <w:tr2bl w:val="nil"/>
            </w:tcBorders>
            <w:vAlign w:val="center"/>
          </w:tcPr>
          <w:p w14:paraId="08E9BF87">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0.5</w:t>
            </w:r>
            <w:r>
              <w:rPr>
                <w:color w:val="auto"/>
                <w:kern w:val="2"/>
                <w:sz w:val="21"/>
                <w:szCs w:val="21"/>
                <w:highlight w:val="none"/>
              </w:rPr>
              <w:t>μg/L</w:t>
            </w:r>
          </w:p>
        </w:tc>
        <w:tc>
          <w:tcPr>
            <w:tcW w:w="1232" w:type="pct"/>
            <w:vMerge w:val="continue"/>
            <w:tcBorders>
              <w:tl2br w:val="nil"/>
              <w:tr2bl w:val="nil"/>
            </w:tcBorders>
            <w:vAlign w:val="center"/>
          </w:tcPr>
          <w:p w14:paraId="0A6562C2">
            <w:pPr>
              <w:topLinePunct w:val="0"/>
              <w:spacing w:line="240" w:lineRule="auto"/>
              <w:ind w:left="-72" w:leftChars="-30" w:right="-72" w:rightChars="-30" w:firstLine="0" w:firstLineChars="0"/>
              <w:jc w:val="center"/>
              <w:rPr>
                <w:color w:val="auto"/>
                <w:kern w:val="2"/>
                <w:sz w:val="21"/>
                <w:szCs w:val="21"/>
                <w:highlight w:val="none"/>
              </w:rPr>
            </w:pPr>
          </w:p>
        </w:tc>
      </w:tr>
      <w:tr w14:paraId="29F20E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621" w:type="pct"/>
            <w:tcBorders>
              <w:tl2br w:val="nil"/>
              <w:tr2bl w:val="nil"/>
            </w:tcBorders>
            <w:vAlign w:val="center"/>
          </w:tcPr>
          <w:p w14:paraId="4E80FE77">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氨</w:t>
            </w:r>
          </w:p>
        </w:tc>
        <w:tc>
          <w:tcPr>
            <w:tcW w:w="2524" w:type="pct"/>
            <w:tcBorders>
              <w:tl2br w:val="nil"/>
              <w:tr2bl w:val="nil"/>
            </w:tcBorders>
            <w:vAlign w:val="center"/>
          </w:tcPr>
          <w:p w14:paraId="45AEF91E">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海洋监测规范 第4部分：海水分析</w:t>
            </w:r>
          </w:p>
          <w:p w14:paraId="6497BE3A">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GB 17378.4-2007（36.2次溴酸盐氧化法）</w:t>
            </w:r>
          </w:p>
        </w:tc>
        <w:tc>
          <w:tcPr>
            <w:tcW w:w="623" w:type="pct"/>
            <w:tcBorders>
              <w:tl2br w:val="nil"/>
              <w:tr2bl w:val="nil"/>
            </w:tcBorders>
            <w:vAlign w:val="center"/>
          </w:tcPr>
          <w:p w14:paraId="2C69981B">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0.4μg/L</w:t>
            </w:r>
          </w:p>
        </w:tc>
        <w:tc>
          <w:tcPr>
            <w:tcW w:w="1232" w:type="pct"/>
            <w:vMerge w:val="continue"/>
            <w:tcBorders>
              <w:tl2br w:val="nil"/>
              <w:tr2bl w:val="nil"/>
            </w:tcBorders>
            <w:vAlign w:val="center"/>
          </w:tcPr>
          <w:p w14:paraId="69FCFFE6">
            <w:pPr>
              <w:topLinePunct w:val="0"/>
              <w:spacing w:line="240" w:lineRule="auto"/>
              <w:ind w:left="-72" w:leftChars="-30" w:right="-72" w:rightChars="-30" w:firstLine="0" w:firstLineChars="0"/>
              <w:jc w:val="center"/>
              <w:rPr>
                <w:color w:val="auto"/>
                <w:kern w:val="2"/>
                <w:sz w:val="21"/>
                <w:szCs w:val="21"/>
                <w:highlight w:val="none"/>
              </w:rPr>
            </w:pPr>
          </w:p>
        </w:tc>
      </w:tr>
      <w:tr w14:paraId="298AAB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621" w:type="pct"/>
            <w:tcBorders>
              <w:tl2br w:val="nil"/>
              <w:tr2bl w:val="nil"/>
            </w:tcBorders>
            <w:vAlign w:val="center"/>
          </w:tcPr>
          <w:p w14:paraId="461C2B9E">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油类</w:t>
            </w:r>
          </w:p>
        </w:tc>
        <w:tc>
          <w:tcPr>
            <w:tcW w:w="2524" w:type="pct"/>
            <w:tcBorders>
              <w:tl2br w:val="nil"/>
              <w:tr2bl w:val="nil"/>
            </w:tcBorders>
            <w:vAlign w:val="center"/>
          </w:tcPr>
          <w:p w14:paraId="41C21F58">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海洋监测规范 第4部分：海水分析</w:t>
            </w:r>
          </w:p>
          <w:p w14:paraId="4F394FBB">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 xml:space="preserve"> GB 17378.4-2007（13.2紫外分光光度法）</w:t>
            </w:r>
          </w:p>
        </w:tc>
        <w:tc>
          <w:tcPr>
            <w:tcW w:w="623" w:type="pct"/>
            <w:tcBorders>
              <w:tl2br w:val="nil"/>
              <w:tr2bl w:val="nil"/>
            </w:tcBorders>
            <w:vAlign w:val="center"/>
          </w:tcPr>
          <w:p w14:paraId="64B48DD3">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3.5μg/L</w:t>
            </w:r>
          </w:p>
        </w:tc>
        <w:tc>
          <w:tcPr>
            <w:tcW w:w="1232" w:type="pct"/>
            <w:vMerge w:val="continue"/>
            <w:tcBorders>
              <w:tl2br w:val="nil"/>
              <w:tr2bl w:val="nil"/>
            </w:tcBorders>
            <w:vAlign w:val="center"/>
          </w:tcPr>
          <w:p w14:paraId="7DB1D022">
            <w:pPr>
              <w:topLinePunct w:val="0"/>
              <w:spacing w:line="240" w:lineRule="auto"/>
              <w:ind w:left="-72" w:leftChars="-30" w:right="-72" w:rightChars="-30" w:firstLine="0" w:firstLineChars="0"/>
              <w:jc w:val="center"/>
              <w:rPr>
                <w:color w:val="auto"/>
                <w:kern w:val="2"/>
                <w:sz w:val="21"/>
                <w:szCs w:val="21"/>
                <w:highlight w:val="none"/>
              </w:rPr>
            </w:pPr>
          </w:p>
        </w:tc>
      </w:tr>
      <w:tr w14:paraId="20BB32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621" w:type="pct"/>
            <w:tcBorders>
              <w:tl2br w:val="nil"/>
              <w:tr2bl w:val="nil"/>
            </w:tcBorders>
            <w:vAlign w:val="center"/>
          </w:tcPr>
          <w:p w14:paraId="47E41C29">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硫化物</w:t>
            </w:r>
          </w:p>
        </w:tc>
        <w:tc>
          <w:tcPr>
            <w:tcW w:w="2524" w:type="pct"/>
            <w:tcBorders>
              <w:tl2br w:val="nil"/>
              <w:tr2bl w:val="nil"/>
            </w:tcBorders>
            <w:vAlign w:val="center"/>
          </w:tcPr>
          <w:p w14:paraId="151925DE">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海洋监测规范 第4部分：海水分析</w:t>
            </w:r>
          </w:p>
          <w:p w14:paraId="00CE6861">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 xml:space="preserve"> GB 17378.4-2007（18.1亚甲基蓝分光光度法）</w:t>
            </w:r>
          </w:p>
        </w:tc>
        <w:tc>
          <w:tcPr>
            <w:tcW w:w="623" w:type="pct"/>
            <w:tcBorders>
              <w:tl2br w:val="nil"/>
              <w:tr2bl w:val="nil"/>
            </w:tcBorders>
            <w:vAlign w:val="center"/>
          </w:tcPr>
          <w:p w14:paraId="09870398">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0.2μg/L</w:t>
            </w:r>
          </w:p>
        </w:tc>
        <w:tc>
          <w:tcPr>
            <w:tcW w:w="1232" w:type="pct"/>
            <w:vMerge w:val="continue"/>
            <w:tcBorders>
              <w:tl2br w:val="nil"/>
              <w:tr2bl w:val="nil"/>
            </w:tcBorders>
            <w:vAlign w:val="center"/>
          </w:tcPr>
          <w:p w14:paraId="1BA19419">
            <w:pPr>
              <w:topLinePunct w:val="0"/>
              <w:spacing w:line="240" w:lineRule="auto"/>
              <w:ind w:left="-72" w:leftChars="-30" w:right="-72" w:rightChars="-30" w:firstLine="0" w:firstLineChars="0"/>
              <w:jc w:val="center"/>
              <w:rPr>
                <w:color w:val="auto"/>
                <w:kern w:val="2"/>
                <w:sz w:val="21"/>
                <w:szCs w:val="21"/>
                <w:highlight w:val="none"/>
              </w:rPr>
            </w:pPr>
          </w:p>
        </w:tc>
      </w:tr>
      <w:tr w14:paraId="426A9C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621" w:type="pct"/>
            <w:tcBorders>
              <w:tl2br w:val="nil"/>
              <w:tr2bl w:val="nil"/>
            </w:tcBorders>
            <w:vAlign w:val="center"/>
          </w:tcPr>
          <w:p w14:paraId="4894D448">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挥发性酚</w:t>
            </w:r>
          </w:p>
        </w:tc>
        <w:tc>
          <w:tcPr>
            <w:tcW w:w="2524" w:type="pct"/>
            <w:tcBorders>
              <w:tl2br w:val="nil"/>
              <w:tr2bl w:val="nil"/>
            </w:tcBorders>
            <w:vAlign w:val="center"/>
          </w:tcPr>
          <w:p w14:paraId="10A0A8C9">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海洋监测规范 第4部分 海水分析</w:t>
            </w:r>
          </w:p>
          <w:p w14:paraId="7E77E1E9">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GB 17378.4-2007（19 4-氨基安替比林分光光度法）</w:t>
            </w:r>
          </w:p>
        </w:tc>
        <w:tc>
          <w:tcPr>
            <w:tcW w:w="623" w:type="pct"/>
            <w:tcBorders>
              <w:tl2br w:val="nil"/>
              <w:tr2bl w:val="nil"/>
            </w:tcBorders>
            <w:vAlign w:val="center"/>
          </w:tcPr>
          <w:p w14:paraId="58229F01">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1.1μg/L</w:t>
            </w:r>
          </w:p>
        </w:tc>
        <w:tc>
          <w:tcPr>
            <w:tcW w:w="1232" w:type="pct"/>
            <w:vMerge w:val="continue"/>
            <w:tcBorders>
              <w:tl2br w:val="nil"/>
              <w:tr2bl w:val="nil"/>
            </w:tcBorders>
            <w:vAlign w:val="center"/>
          </w:tcPr>
          <w:p w14:paraId="433AD0D7">
            <w:pPr>
              <w:topLinePunct w:val="0"/>
              <w:spacing w:line="240" w:lineRule="auto"/>
              <w:ind w:left="-72" w:leftChars="-30" w:right="-72" w:rightChars="-30" w:firstLine="0" w:firstLineChars="0"/>
              <w:jc w:val="center"/>
              <w:rPr>
                <w:color w:val="auto"/>
                <w:kern w:val="2"/>
                <w:sz w:val="21"/>
                <w:szCs w:val="21"/>
                <w:highlight w:val="none"/>
              </w:rPr>
            </w:pPr>
          </w:p>
        </w:tc>
      </w:tr>
      <w:tr w14:paraId="4B242C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621" w:type="pct"/>
            <w:tcBorders>
              <w:tl2br w:val="nil"/>
              <w:tr2bl w:val="nil"/>
            </w:tcBorders>
            <w:vAlign w:val="center"/>
          </w:tcPr>
          <w:p w14:paraId="0EF07CCE">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汞</w:t>
            </w:r>
          </w:p>
        </w:tc>
        <w:tc>
          <w:tcPr>
            <w:tcW w:w="2524" w:type="pct"/>
            <w:tcBorders>
              <w:tl2br w:val="nil"/>
              <w:tr2bl w:val="nil"/>
            </w:tcBorders>
            <w:vAlign w:val="center"/>
          </w:tcPr>
          <w:p w14:paraId="3AF0B085">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海洋监测规范 第4部分：海水分析</w:t>
            </w:r>
          </w:p>
          <w:p w14:paraId="3EB0B54F">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GB 17378.4-2007（5.1原子荧光法）</w:t>
            </w:r>
          </w:p>
        </w:tc>
        <w:tc>
          <w:tcPr>
            <w:tcW w:w="623" w:type="pct"/>
            <w:tcBorders>
              <w:tl2br w:val="nil"/>
              <w:tr2bl w:val="nil"/>
            </w:tcBorders>
            <w:vAlign w:val="center"/>
          </w:tcPr>
          <w:p w14:paraId="1C286D1F">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0.007μg/L</w:t>
            </w:r>
          </w:p>
        </w:tc>
        <w:tc>
          <w:tcPr>
            <w:tcW w:w="1232" w:type="pct"/>
            <w:vMerge w:val="restart"/>
            <w:tcBorders>
              <w:tl2br w:val="nil"/>
              <w:tr2bl w:val="nil"/>
            </w:tcBorders>
            <w:vAlign w:val="center"/>
          </w:tcPr>
          <w:p w14:paraId="55EEF46F">
            <w:pPr>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原子荧光光度计AFS-8520（24004）</w:t>
            </w:r>
          </w:p>
        </w:tc>
      </w:tr>
      <w:tr w14:paraId="54D7A6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621" w:type="pct"/>
            <w:tcBorders>
              <w:tl2br w:val="nil"/>
              <w:tr2bl w:val="nil"/>
            </w:tcBorders>
            <w:vAlign w:val="center"/>
          </w:tcPr>
          <w:p w14:paraId="45D2C755">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砷</w:t>
            </w:r>
          </w:p>
        </w:tc>
        <w:tc>
          <w:tcPr>
            <w:tcW w:w="2524" w:type="pct"/>
            <w:tcBorders>
              <w:tl2br w:val="nil"/>
              <w:tr2bl w:val="nil"/>
            </w:tcBorders>
            <w:vAlign w:val="center"/>
          </w:tcPr>
          <w:p w14:paraId="4235E397">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海洋监测规范 第4部分：海水分析</w:t>
            </w:r>
          </w:p>
          <w:p w14:paraId="2868FE49">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GB 17378.4-2007（11.1原子荧光法）</w:t>
            </w:r>
          </w:p>
        </w:tc>
        <w:tc>
          <w:tcPr>
            <w:tcW w:w="623" w:type="pct"/>
            <w:tcBorders>
              <w:tl2br w:val="nil"/>
              <w:tr2bl w:val="nil"/>
            </w:tcBorders>
            <w:vAlign w:val="center"/>
          </w:tcPr>
          <w:p w14:paraId="5EEFF59C">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0.5μg/L</w:t>
            </w:r>
          </w:p>
        </w:tc>
        <w:tc>
          <w:tcPr>
            <w:tcW w:w="1232" w:type="pct"/>
            <w:vMerge w:val="continue"/>
            <w:tcBorders>
              <w:tl2br w:val="nil"/>
              <w:tr2bl w:val="nil"/>
            </w:tcBorders>
            <w:vAlign w:val="center"/>
          </w:tcPr>
          <w:p w14:paraId="36AE3944">
            <w:pPr>
              <w:topLinePunct w:val="0"/>
              <w:spacing w:line="240" w:lineRule="auto"/>
              <w:ind w:left="-72" w:leftChars="-30" w:right="-72" w:rightChars="-30" w:firstLine="0" w:firstLineChars="0"/>
              <w:jc w:val="center"/>
              <w:rPr>
                <w:color w:val="auto"/>
                <w:kern w:val="2"/>
                <w:sz w:val="21"/>
                <w:szCs w:val="21"/>
                <w:highlight w:val="none"/>
              </w:rPr>
            </w:pPr>
          </w:p>
        </w:tc>
      </w:tr>
      <w:tr w14:paraId="11DAD8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621" w:type="pct"/>
            <w:tcBorders>
              <w:tl2br w:val="nil"/>
              <w:tr2bl w:val="nil"/>
            </w:tcBorders>
            <w:vAlign w:val="center"/>
          </w:tcPr>
          <w:p w14:paraId="700D9502">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镉</w:t>
            </w:r>
          </w:p>
        </w:tc>
        <w:tc>
          <w:tcPr>
            <w:tcW w:w="2524" w:type="pct"/>
            <w:tcBorders>
              <w:tl2br w:val="nil"/>
              <w:tr2bl w:val="nil"/>
            </w:tcBorders>
            <w:vAlign w:val="center"/>
          </w:tcPr>
          <w:p w14:paraId="541A5713">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海洋监测规范 第4部分：海水分析</w:t>
            </w:r>
          </w:p>
          <w:p w14:paraId="118B5CBB">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GB 17378.4-2007（8.3火焰原子吸收分光光度法）</w:t>
            </w:r>
          </w:p>
        </w:tc>
        <w:tc>
          <w:tcPr>
            <w:tcW w:w="623" w:type="pct"/>
            <w:tcBorders>
              <w:tl2br w:val="nil"/>
              <w:tr2bl w:val="nil"/>
            </w:tcBorders>
            <w:vAlign w:val="center"/>
          </w:tcPr>
          <w:p w14:paraId="2A7129D5">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0.3μg/L</w:t>
            </w:r>
          </w:p>
        </w:tc>
        <w:tc>
          <w:tcPr>
            <w:tcW w:w="1232" w:type="pct"/>
            <w:vMerge w:val="restart"/>
            <w:tcBorders>
              <w:tl2br w:val="nil"/>
              <w:tr2bl w:val="nil"/>
            </w:tcBorders>
            <w:vAlign w:val="center"/>
          </w:tcPr>
          <w:p w14:paraId="525E972F">
            <w:pPr>
              <w:topLinePunct w:val="0"/>
              <w:spacing w:line="240" w:lineRule="auto"/>
              <w:ind w:left="-72" w:leftChars="-30" w:right="-72" w:rightChars="-30" w:firstLine="0" w:firstLineChars="0"/>
              <w:jc w:val="center"/>
              <w:rPr>
                <w:color w:val="auto"/>
                <w:sz w:val="21"/>
                <w:szCs w:val="21"/>
                <w:highlight w:val="none"/>
              </w:rPr>
            </w:pPr>
            <w:r>
              <w:rPr>
                <w:color w:val="auto"/>
                <w:kern w:val="2"/>
                <w:sz w:val="21"/>
                <w:szCs w:val="21"/>
                <w:highlight w:val="none"/>
              </w:rPr>
              <w:t>原子吸收光谱仪AA7800（24003）</w:t>
            </w:r>
          </w:p>
        </w:tc>
      </w:tr>
      <w:tr w14:paraId="6CADD9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621" w:type="pct"/>
            <w:tcBorders>
              <w:tl2br w:val="nil"/>
              <w:tr2bl w:val="nil"/>
            </w:tcBorders>
            <w:vAlign w:val="center"/>
          </w:tcPr>
          <w:p w14:paraId="13BE7A9E">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铅</w:t>
            </w:r>
          </w:p>
        </w:tc>
        <w:tc>
          <w:tcPr>
            <w:tcW w:w="2524" w:type="pct"/>
            <w:tcBorders>
              <w:tl2br w:val="nil"/>
              <w:tr2bl w:val="nil"/>
            </w:tcBorders>
            <w:vAlign w:val="center"/>
          </w:tcPr>
          <w:p w14:paraId="0D72BB32">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海洋监测规范 第4部分：海水分析</w:t>
            </w:r>
          </w:p>
          <w:p w14:paraId="05841EB2">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GB 17378.4-2007（7.3火焰原子吸收分光光度法）</w:t>
            </w:r>
          </w:p>
        </w:tc>
        <w:tc>
          <w:tcPr>
            <w:tcW w:w="623" w:type="pct"/>
            <w:tcBorders>
              <w:tl2br w:val="nil"/>
              <w:tr2bl w:val="nil"/>
            </w:tcBorders>
            <w:vAlign w:val="center"/>
          </w:tcPr>
          <w:p w14:paraId="389A489D">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1.8μg/L</w:t>
            </w:r>
          </w:p>
        </w:tc>
        <w:tc>
          <w:tcPr>
            <w:tcW w:w="1232" w:type="pct"/>
            <w:vMerge w:val="continue"/>
            <w:tcBorders>
              <w:tl2br w:val="nil"/>
              <w:tr2bl w:val="nil"/>
            </w:tcBorders>
          </w:tcPr>
          <w:p w14:paraId="11E0807C">
            <w:pPr>
              <w:spacing w:line="240" w:lineRule="auto"/>
              <w:ind w:left="-72" w:leftChars="-30" w:right="-72" w:rightChars="-30" w:firstLine="0" w:firstLineChars="0"/>
              <w:jc w:val="center"/>
              <w:rPr>
                <w:color w:val="auto"/>
                <w:sz w:val="21"/>
                <w:szCs w:val="21"/>
                <w:highlight w:val="none"/>
              </w:rPr>
            </w:pPr>
          </w:p>
        </w:tc>
      </w:tr>
      <w:tr w14:paraId="1B5DB7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621" w:type="pct"/>
            <w:tcBorders>
              <w:tl2br w:val="nil"/>
              <w:tr2bl w:val="nil"/>
            </w:tcBorders>
            <w:vAlign w:val="center"/>
          </w:tcPr>
          <w:p w14:paraId="647F10FE">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锌</w:t>
            </w:r>
          </w:p>
        </w:tc>
        <w:tc>
          <w:tcPr>
            <w:tcW w:w="2524" w:type="pct"/>
            <w:tcBorders>
              <w:tl2br w:val="nil"/>
              <w:tr2bl w:val="nil"/>
            </w:tcBorders>
            <w:vAlign w:val="center"/>
          </w:tcPr>
          <w:p w14:paraId="79BBD156">
            <w:pPr>
              <w:topLinePunct w:val="0"/>
              <w:spacing w:line="240" w:lineRule="auto"/>
              <w:ind w:left="-72" w:leftChars="-30" w:right="-72" w:rightChars="-30" w:firstLine="0" w:firstLineChars="0"/>
              <w:jc w:val="center"/>
              <w:rPr>
                <w:color w:val="auto"/>
                <w:sz w:val="21"/>
                <w:szCs w:val="21"/>
                <w:highlight w:val="none"/>
              </w:rPr>
            </w:pPr>
            <w:r>
              <w:rPr>
                <w:color w:val="auto"/>
                <w:sz w:val="21"/>
                <w:szCs w:val="21"/>
                <w:highlight w:val="none"/>
              </w:rPr>
              <w:t>海洋监测规范 第4部分：海水分析</w:t>
            </w:r>
          </w:p>
          <w:p w14:paraId="355AD41E">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GB 17378.4-2007（9.1火焰原子吸收分光光度法）</w:t>
            </w:r>
          </w:p>
        </w:tc>
        <w:tc>
          <w:tcPr>
            <w:tcW w:w="623" w:type="pct"/>
            <w:tcBorders>
              <w:tl2br w:val="nil"/>
              <w:tr2bl w:val="nil"/>
            </w:tcBorders>
            <w:vAlign w:val="center"/>
          </w:tcPr>
          <w:p w14:paraId="788850BF">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3.1μg/L</w:t>
            </w:r>
          </w:p>
        </w:tc>
        <w:tc>
          <w:tcPr>
            <w:tcW w:w="1232" w:type="pct"/>
            <w:vMerge w:val="continue"/>
            <w:tcBorders>
              <w:tl2br w:val="nil"/>
              <w:tr2bl w:val="nil"/>
            </w:tcBorders>
          </w:tcPr>
          <w:p w14:paraId="208EA507">
            <w:pPr>
              <w:spacing w:line="240" w:lineRule="auto"/>
              <w:ind w:left="-72" w:leftChars="-30" w:right="-72" w:rightChars="-30" w:firstLine="0" w:firstLineChars="0"/>
              <w:jc w:val="center"/>
              <w:rPr>
                <w:color w:val="auto"/>
                <w:sz w:val="21"/>
                <w:szCs w:val="21"/>
                <w:highlight w:val="none"/>
              </w:rPr>
            </w:pPr>
          </w:p>
        </w:tc>
      </w:tr>
      <w:tr w14:paraId="2A27C0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621" w:type="pct"/>
            <w:tcBorders>
              <w:tl2br w:val="nil"/>
              <w:tr2bl w:val="nil"/>
            </w:tcBorders>
            <w:vAlign w:val="center"/>
          </w:tcPr>
          <w:p w14:paraId="75655296">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铜</w:t>
            </w:r>
          </w:p>
        </w:tc>
        <w:tc>
          <w:tcPr>
            <w:tcW w:w="2524" w:type="pct"/>
            <w:tcBorders>
              <w:tl2br w:val="nil"/>
              <w:tr2bl w:val="nil"/>
            </w:tcBorders>
            <w:vAlign w:val="center"/>
          </w:tcPr>
          <w:p w14:paraId="4B1E48BE">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海洋监测规范 第4部分：海水分析</w:t>
            </w:r>
          </w:p>
          <w:p w14:paraId="63D96B6D">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GB 17378.4-2007（6.3火焰原子吸收分光光度法）</w:t>
            </w:r>
          </w:p>
        </w:tc>
        <w:tc>
          <w:tcPr>
            <w:tcW w:w="623" w:type="pct"/>
            <w:tcBorders>
              <w:tl2br w:val="nil"/>
              <w:tr2bl w:val="nil"/>
            </w:tcBorders>
            <w:vAlign w:val="center"/>
          </w:tcPr>
          <w:p w14:paraId="26FB1C9A">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1.1μg/L</w:t>
            </w:r>
          </w:p>
        </w:tc>
        <w:tc>
          <w:tcPr>
            <w:tcW w:w="1232" w:type="pct"/>
            <w:vMerge w:val="continue"/>
            <w:tcBorders>
              <w:tl2br w:val="nil"/>
              <w:tr2bl w:val="nil"/>
            </w:tcBorders>
          </w:tcPr>
          <w:p w14:paraId="0A84F7EC">
            <w:pPr>
              <w:spacing w:line="240" w:lineRule="auto"/>
              <w:ind w:left="-72" w:leftChars="-30" w:right="-72" w:rightChars="-30" w:firstLine="0" w:firstLineChars="0"/>
              <w:jc w:val="center"/>
              <w:rPr>
                <w:color w:val="auto"/>
                <w:sz w:val="21"/>
                <w:szCs w:val="21"/>
                <w:highlight w:val="none"/>
              </w:rPr>
            </w:pPr>
          </w:p>
        </w:tc>
      </w:tr>
      <w:tr w14:paraId="235CD7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621" w:type="pct"/>
            <w:tcBorders>
              <w:tl2br w:val="nil"/>
              <w:tr2bl w:val="nil"/>
            </w:tcBorders>
            <w:vAlign w:val="center"/>
          </w:tcPr>
          <w:p w14:paraId="52033A1C">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总铬</w:t>
            </w:r>
          </w:p>
        </w:tc>
        <w:tc>
          <w:tcPr>
            <w:tcW w:w="2524" w:type="pct"/>
            <w:tcBorders>
              <w:tl2br w:val="nil"/>
              <w:tr2bl w:val="nil"/>
            </w:tcBorders>
            <w:vAlign w:val="center"/>
          </w:tcPr>
          <w:p w14:paraId="60D928E0">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海洋监测规范 第4部分：海水分析</w:t>
            </w:r>
          </w:p>
          <w:p w14:paraId="0601F803">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GB 17378.4-2007</w:t>
            </w:r>
          </w:p>
          <w:p w14:paraId="14944E61">
            <w:pPr>
              <w:topLinePunct w:val="0"/>
              <w:spacing w:line="240" w:lineRule="auto"/>
              <w:ind w:left="-72" w:leftChars="-30" w:right="-72" w:rightChars="-30" w:firstLine="0" w:firstLineChars="0"/>
              <w:jc w:val="center"/>
              <w:rPr>
                <w:color w:val="auto"/>
                <w:kern w:val="2"/>
                <w:sz w:val="21"/>
                <w:szCs w:val="21"/>
                <w:highlight w:val="none"/>
              </w:rPr>
            </w:pPr>
            <w:r>
              <w:rPr>
                <w:color w:val="auto"/>
                <w:kern w:val="2"/>
                <w:sz w:val="21"/>
                <w:szCs w:val="21"/>
                <w:highlight w:val="none"/>
              </w:rPr>
              <w:t>（10.1无火焰原子吸收分光光度法）</w:t>
            </w:r>
          </w:p>
        </w:tc>
        <w:tc>
          <w:tcPr>
            <w:tcW w:w="623" w:type="pct"/>
            <w:tcBorders>
              <w:tl2br w:val="nil"/>
              <w:tr2bl w:val="nil"/>
            </w:tcBorders>
            <w:vAlign w:val="center"/>
          </w:tcPr>
          <w:p w14:paraId="188F9710">
            <w:pPr>
              <w:topLinePunct w:val="0"/>
              <w:spacing w:line="240" w:lineRule="auto"/>
              <w:ind w:left="-72" w:leftChars="-30" w:right="-72" w:rightChars="-30" w:firstLine="0" w:firstLineChars="0"/>
              <w:jc w:val="center"/>
              <w:rPr>
                <w:color w:val="auto"/>
                <w:kern w:val="2"/>
                <w:sz w:val="21"/>
                <w:szCs w:val="21"/>
                <w:highlight w:val="none"/>
              </w:rPr>
            </w:pPr>
            <w:r>
              <w:rPr>
                <w:color w:val="auto"/>
                <w:sz w:val="21"/>
                <w:szCs w:val="21"/>
                <w:highlight w:val="none"/>
              </w:rPr>
              <w:t>0.4μg/L</w:t>
            </w:r>
          </w:p>
        </w:tc>
        <w:tc>
          <w:tcPr>
            <w:tcW w:w="1232" w:type="pct"/>
            <w:vMerge w:val="continue"/>
            <w:tcBorders>
              <w:tl2br w:val="nil"/>
              <w:tr2bl w:val="nil"/>
            </w:tcBorders>
          </w:tcPr>
          <w:p w14:paraId="57A300A6">
            <w:pPr>
              <w:spacing w:line="240" w:lineRule="auto"/>
              <w:ind w:left="-72" w:leftChars="-30" w:right="-72" w:rightChars="-30" w:firstLine="0" w:firstLineChars="0"/>
              <w:jc w:val="center"/>
              <w:rPr>
                <w:color w:val="auto"/>
                <w:sz w:val="21"/>
                <w:szCs w:val="21"/>
                <w:highlight w:val="none"/>
              </w:rPr>
            </w:pPr>
          </w:p>
        </w:tc>
      </w:tr>
    </w:tbl>
    <w:p w14:paraId="3BB93CEF">
      <w:pPr>
        <w:pStyle w:val="11"/>
        <w:numPr>
          <w:ilvl w:val="0"/>
          <w:numId w:val="0"/>
        </w:numPr>
        <w:spacing w:before="120" w:beforeLines="50" w:after="0" w:line="360" w:lineRule="auto"/>
        <w:ind w:firstLine="482" w:firstLineChars="200"/>
        <w:rPr>
          <w:color w:val="auto"/>
          <w:sz w:val="24"/>
          <w:szCs w:val="24"/>
          <w:highlight w:val="none"/>
        </w:rPr>
      </w:pPr>
      <w:r>
        <w:rPr>
          <w:color w:val="auto"/>
          <w:sz w:val="24"/>
          <w:szCs w:val="24"/>
          <w:highlight w:val="none"/>
        </w:rPr>
        <w:t>（2）评价标准和评价方法</w:t>
      </w:r>
    </w:p>
    <w:p w14:paraId="4C638280">
      <w:pPr>
        <w:ind w:firstLine="480"/>
        <w:rPr>
          <w:color w:val="auto"/>
          <w:highlight w:val="none"/>
        </w:rPr>
      </w:pPr>
      <w:r>
        <w:rPr>
          <w:color w:val="auto"/>
          <w:highlight w:val="none"/>
          <w:lang w:eastAsia="ja-JP"/>
        </w:rPr>
        <w:t>①</w:t>
      </w:r>
      <w:r>
        <w:rPr>
          <w:color w:val="auto"/>
          <w:highlight w:val="none"/>
        </w:rPr>
        <w:t>评价标准</w:t>
      </w:r>
    </w:p>
    <w:p w14:paraId="20925500">
      <w:pPr>
        <w:ind w:firstLine="480"/>
        <w:rPr>
          <w:color w:val="auto"/>
          <w:highlight w:val="none"/>
        </w:rPr>
      </w:pPr>
      <w:r>
        <w:rPr>
          <w:color w:val="auto"/>
          <w:highlight w:val="none"/>
        </w:rPr>
        <w:t>按照《广西近岸海域环境功能区划调整方案（2023）》，确定各站位所属功能区要求，采用《海水水质标准》（GB 3097-1997）中的相应水质标准要求进行评价，各站位执行水质标准类别详见表3.4-4、，标准限值见表1.3-3。</w:t>
      </w:r>
    </w:p>
    <w:p w14:paraId="28D39514">
      <w:pPr>
        <w:ind w:firstLine="480"/>
        <w:rPr>
          <w:color w:val="auto"/>
          <w:highlight w:val="none"/>
        </w:rPr>
      </w:pPr>
      <w:r>
        <w:rPr>
          <w:color w:val="auto"/>
          <w:highlight w:val="none"/>
          <w:lang w:eastAsia="ja-JP"/>
        </w:rPr>
        <w:t>②</w:t>
      </w:r>
      <w:r>
        <w:rPr>
          <w:color w:val="auto"/>
          <w:highlight w:val="none"/>
        </w:rPr>
        <w:t>评价方法</w:t>
      </w:r>
    </w:p>
    <w:p w14:paraId="580ADCF5">
      <w:pPr>
        <w:ind w:firstLine="480"/>
        <w:rPr>
          <w:color w:val="auto"/>
          <w:highlight w:val="none"/>
        </w:rPr>
      </w:pPr>
      <w:r>
        <w:rPr>
          <w:rFonts w:hint="eastAsia"/>
          <w:color w:val="auto"/>
          <w:highlight w:val="none"/>
          <w:u w:val="single"/>
        </w:rPr>
        <w:t xml:space="preserve">根据《环境影响评价技术导则 </w:t>
      </w:r>
      <w:r>
        <w:rPr>
          <w:color w:val="auto"/>
          <w:highlight w:val="none"/>
          <w:u w:val="single"/>
        </w:rPr>
        <w:t xml:space="preserve"> </w:t>
      </w:r>
      <w:r>
        <w:rPr>
          <w:rFonts w:hint="eastAsia"/>
          <w:color w:val="auto"/>
          <w:highlight w:val="none"/>
          <w:u w:val="single"/>
        </w:rPr>
        <w:t>海洋生态环境》（H</w:t>
      </w:r>
      <w:r>
        <w:rPr>
          <w:color w:val="auto"/>
          <w:highlight w:val="none"/>
          <w:u w:val="single"/>
        </w:rPr>
        <w:t>J1409-2025</w:t>
      </w:r>
      <w:r>
        <w:rPr>
          <w:rFonts w:hint="eastAsia"/>
          <w:color w:val="auto"/>
          <w:highlight w:val="none"/>
          <w:u w:val="single"/>
        </w:rPr>
        <w:t>），海水水质现状评价采用单一站位的单因子标准指数法，指数计算公式参考H</w:t>
      </w:r>
      <w:r>
        <w:rPr>
          <w:color w:val="auto"/>
          <w:highlight w:val="none"/>
          <w:u w:val="single"/>
        </w:rPr>
        <w:t>J2.3</w:t>
      </w:r>
      <w:r>
        <w:rPr>
          <w:rFonts w:hint="eastAsia"/>
          <w:color w:val="auto"/>
          <w:highlight w:val="none"/>
          <w:u w:val="single"/>
        </w:rPr>
        <w:t>附录D。根据H</w:t>
      </w:r>
      <w:r>
        <w:rPr>
          <w:color w:val="auto"/>
          <w:highlight w:val="none"/>
          <w:u w:val="single"/>
        </w:rPr>
        <w:t>J2.3</w:t>
      </w:r>
      <w:r>
        <w:rPr>
          <w:rFonts w:hint="eastAsia"/>
          <w:color w:val="auto"/>
          <w:highlight w:val="none"/>
          <w:u w:val="single"/>
        </w:rPr>
        <w:t>附录D，</w:t>
      </w:r>
      <w:r>
        <w:rPr>
          <w:color w:val="auto"/>
          <w:highlight w:val="none"/>
        </w:rPr>
        <w:t>一般水质因子采用标准指数法进行评价，按下列公式计算：</w:t>
      </w:r>
    </w:p>
    <w:p w14:paraId="33CB81CA">
      <w:pPr>
        <w:ind w:firstLine="480"/>
        <w:jc w:val="center"/>
        <w:rPr>
          <w:color w:val="auto"/>
          <w:highlight w:val="none"/>
          <w:lang w:val="fr-FR"/>
        </w:rPr>
      </w:pPr>
      <w:r>
        <w:rPr>
          <w:color w:val="auto"/>
          <w:highlight w:val="none"/>
          <w:lang w:val="fr-FR"/>
        </w:rPr>
        <w:t>S</w:t>
      </w:r>
      <w:r>
        <w:rPr>
          <w:color w:val="auto"/>
          <w:highlight w:val="none"/>
          <w:vertAlign w:val="subscript"/>
          <w:lang w:val="fr-FR"/>
        </w:rPr>
        <w:t>i,j</w:t>
      </w:r>
      <w:r>
        <w:rPr>
          <w:color w:val="auto"/>
          <w:highlight w:val="none"/>
          <w:lang w:val="fr-FR"/>
        </w:rPr>
        <w:t>=C</w:t>
      </w:r>
      <w:r>
        <w:rPr>
          <w:color w:val="auto"/>
          <w:highlight w:val="none"/>
          <w:vertAlign w:val="subscript"/>
          <w:lang w:val="fr-FR"/>
        </w:rPr>
        <w:t>i，j/</w:t>
      </w:r>
      <w:r>
        <w:rPr>
          <w:color w:val="auto"/>
          <w:highlight w:val="none"/>
          <w:lang w:val="fr-FR"/>
        </w:rPr>
        <w:t>C</w:t>
      </w:r>
      <w:r>
        <w:rPr>
          <w:color w:val="auto"/>
          <w:highlight w:val="none"/>
          <w:vertAlign w:val="subscript"/>
          <w:lang w:val="fr-FR"/>
        </w:rPr>
        <w:t>s，i</w:t>
      </w:r>
    </w:p>
    <w:p w14:paraId="213EF39B">
      <w:pPr>
        <w:ind w:firstLine="480"/>
        <w:rPr>
          <w:color w:val="auto"/>
          <w:highlight w:val="none"/>
        </w:rPr>
      </w:pPr>
      <w:r>
        <w:rPr>
          <w:color w:val="auto"/>
          <w:highlight w:val="none"/>
        </w:rPr>
        <w:t>式中：S</w:t>
      </w:r>
      <w:r>
        <w:rPr>
          <w:color w:val="auto"/>
          <w:highlight w:val="none"/>
          <w:vertAlign w:val="subscript"/>
        </w:rPr>
        <w:t>i，j</w:t>
      </w:r>
      <w:r>
        <w:rPr>
          <w:color w:val="auto"/>
          <w:highlight w:val="none"/>
        </w:rPr>
        <w:t>——污染物i在监测点j的标准指数，标准指数大于1，说明该监测点水质受到该污染物的污染，即受监测物质的浓度超过环境质量标准的规定值；</w:t>
      </w:r>
    </w:p>
    <w:p w14:paraId="07145741">
      <w:pPr>
        <w:ind w:firstLine="1132" w:firstLineChars="472"/>
        <w:rPr>
          <w:color w:val="auto"/>
          <w:highlight w:val="none"/>
        </w:rPr>
      </w:pPr>
      <w:r>
        <w:rPr>
          <w:color w:val="auto"/>
          <w:highlight w:val="none"/>
        </w:rPr>
        <w:t>C</w:t>
      </w:r>
      <w:r>
        <w:rPr>
          <w:color w:val="auto"/>
          <w:highlight w:val="none"/>
          <w:vertAlign w:val="subscript"/>
        </w:rPr>
        <w:t>i，j</w:t>
      </w:r>
      <w:r>
        <w:rPr>
          <w:color w:val="auto"/>
          <w:highlight w:val="none"/>
        </w:rPr>
        <w:t>——污染物i在监测点j的浓度；</w:t>
      </w:r>
    </w:p>
    <w:p w14:paraId="32641934">
      <w:pPr>
        <w:ind w:firstLine="1132" w:firstLineChars="472"/>
        <w:rPr>
          <w:color w:val="auto"/>
          <w:highlight w:val="none"/>
        </w:rPr>
      </w:pPr>
      <w:r>
        <w:rPr>
          <w:color w:val="auto"/>
          <w:highlight w:val="none"/>
        </w:rPr>
        <w:t>C</w:t>
      </w:r>
      <w:r>
        <w:rPr>
          <w:color w:val="auto"/>
          <w:highlight w:val="none"/>
          <w:vertAlign w:val="subscript"/>
        </w:rPr>
        <w:t>s，i</w:t>
      </w:r>
      <w:r>
        <w:rPr>
          <w:color w:val="auto"/>
          <w:highlight w:val="none"/>
        </w:rPr>
        <w:t>——水质参数i的地表水水质标准值。</w:t>
      </w:r>
    </w:p>
    <w:p w14:paraId="3C6A8EF0">
      <w:pPr>
        <w:ind w:firstLine="480"/>
        <w:rPr>
          <w:color w:val="auto"/>
          <w:highlight w:val="none"/>
          <w:u w:val="single"/>
        </w:rPr>
      </w:pPr>
      <w:r>
        <w:rPr>
          <w:color w:val="auto"/>
          <w:highlight w:val="none"/>
          <w:u w:val="single"/>
        </w:rPr>
        <w:t>pH值</w:t>
      </w:r>
      <w:r>
        <w:rPr>
          <w:rFonts w:hint="eastAsia"/>
          <w:color w:val="auto"/>
          <w:highlight w:val="none"/>
          <w:u w:val="single"/>
        </w:rPr>
        <w:t>污染指数参考《海洋监测规范 第7部分近海污染生态调查和生物监测》（G</w:t>
      </w:r>
      <w:r>
        <w:rPr>
          <w:color w:val="auto"/>
          <w:highlight w:val="none"/>
          <w:u w:val="single"/>
        </w:rPr>
        <w:t>B17378.7-2007</w:t>
      </w:r>
      <w:r>
        <w:rPr>
          <w:rFonts w:hint="eastAsia"/>
          <w:color w:val="auto"/>
          <w:highlight w:val="none"/>
          <w:u w:val="single"/>
        </w:rPr>
        <w:t>）中评价方法计算：</w:t>
      </w:r>
      <w:r>
        <w:rPr>
          <w:color w:val="auto"/>
          <w:highlight w:val="none"/>
          <w:u w:val="single"/>
        </w:rPr>
        <w:t xml:space="preserve"> </w:t>
      </w:r>
    </w:p>
    <w:p w14:paraId="53018033">
      <w:pPr>
        <w:ind w:firstLine="480"/>
        <w:jc w:val="center"/>
        <w:rPr>
          <w:color w:val="auto"/>
          <w:highlight w:val="none"/>
          <w:u w:val="single"/>
        </w:rPr>
      </w:pPr>
      <w:r>
        <w:rPr>
          <w:color w:val="auto"/>
          <w:highlight w:val="none"/>
          <w:u w:val="single"/>
        </w:rPr>
        <w:drawing>
          <wp:inline distT="0" distB="0" distL="0" distR="0">
            <wp:extent cx="1152525" cy="314960"/>
            <wp:effectExtent l="0" t="0" r="9525" b="8890"/>
            <wp:docPr id="1720621955" name="图片 172062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21955" name="图片 1720621955"/>
                    <pic:cNvPicPr>
                      <a:picLocks noChangeAspect="1"/>
                    </pic:cNvPicPr>
                  </pic:nvPicPr>
                  <pic:blipFill>
                    <a:blip r:embed="rId110"/>
                    <a:stretch>
                      <a:fillRect/>
                    </a:stretch>
                  </pic:blipFill>
                  <pic:spPr>
                    <a:xfrm>
                      <a:off x="0" y="0"/>
                      <a:ext cx="1180597" cy="323205"/>
                    </a:xfrm>
                    <a:prstGeom prst="rect">
                      <a:avLst/>
                    </a:prstGeom>
                  </pic:spPr>
                </pic:pic>
              </a:graphicData>
            </a:graphic>
          </wp:inline>
        </w:drawing>
      </w:r>
    </w:p>
    <w:p w14:paraId="2527FB4C">
      <w:pPr>
        <w:ind w:firstLine="480"/>
        <w:jc w:val="center"/>
        <w:rPr>
          <w:color w:val="auto"/>
          <w:highlight w:val="none"/>
          <w:u w:val="single"/>
        </w:rPr>
      </w:pPr>
      <w:r>
        <w:rPr>
          <w:color w:val="auto"/>
          <w:highlight w:val="none"/>
          <w:u w:val="single"/>
        </w:rPr>
        <w:drawing>
          <wp:inline distT="0" distB="0" distL="0" distR="0">
            <wp:extent cx="1059815" cy="307340"/>
            <wp:effectExtent l="0" t="0" r="6985" b="16510"/>
            <wp:docPr id="1720621958" name="图片 172062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21958" name="图片 1720621958"/>
                    <pic:cNvPicPr>
                      <a:picLocks noChangeAspect="1"/>
                    </pic:cNvPicPr>
                  </pic:nvPicPr>
                  <pic:blipFill>
                    <a:blip r:embed="rId111"/>
                    <a:stretch>
                      <a:fillRect/>
                    </a:stretch>
                  </pic:blipFill>
                  <pic:spPr>
                    <a:xfrm>
                      <a:off x="0" y="0"/>
                      <a:ext cx="1087830" cy="315684"/>
                    </a:xfrm>
                    <a:prstGeom prst="rect">
                      <a:avLst/>
                    </a:prstGeom>
                  </pic:spPr>
                </pic:pic>
              </a:graphicData>
            </a:graphic>
          </wp:inline>
        </w:drawing>
      </w:r>
    </w:p>
    <w:p w14:paraId="5B4AC9E1">
      <w:pPr>
        <w:ind w:firstLine="480"/>
        <w:jc w:val="center"/>
        <w:rPr>
          <w:rFonts w:hint="eastAsia"/>
          <w:color w:val="auto"/>
          <w:highlight w:val="none"/>
          <w:u w:val="single"/>
        </w:rPr>
      </w:pPr>
      <w:r>
        <w:rPr>
          <w:color w:val="auto"/>
          <w:highlight w:val="none"/>
          <w:u w:val="single"/>
        </w:rPr>
        <w:drawing>
          <wp:inline distT="0" distB="0" distL="0" distR="0">
            <wp:extent cx="1075690" cy="317500"/>
            <wp:effectExtent l="0" t="0" r="10160" b="6350"/>
            <wp:docPr id="1720621959" name="图片 172062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21959" name="图片 1720621959"/>
                    <pic:cNvPicPr>
                      <a:picLocks noChangeAspect="1"/>
                    </pic:cNvPicPr>
                  </pic:nvPicPr>
                  <pic:blipFill>
                    <a:blip r:embed="rId112"/>
                    <a:stretch>
                      <a:fillRect/>
                    </a:stretch>
                  </pic:blipFill>
                  <pic:spPr>
                    <a:xfrm>
                      <a:off x="0" y="0"/>
                      <a:ext cx="1105571" cy="326864"/>
                    </a:xfrm>
                    <a:prstGeom prst="rect">
                      <a:avLst/>
                    </a:prstGeom>
                  </pic:spPr>
                </pic:pic>
              </a:graphicData>
            </a:graphic>
          </wp:inline>
        </w:drawing>
      </w:r>
    </w:p>
    <w:p w14:paraId="6692A52F">
      <w:pPr>
        <w:ind w:firstLine="480"/>
        <w:rPr>
          <w:color w:val="auto"/>
          <w:highlight w:val="none"/>
          <w:u w:val="single"/>
        </w:rPr>
      </w:pPr>
      <w:r>
        <w:rPr>
          <w:color w:val="auto"/>
          <w:highlight w:val="none"/>
          <w:u w:val="single"/>
        </w:rPr>
        <w:t>式中：</w:t>
      </w:r>
      <w:r>
        <w:rPr>
          <w:rFonts w:hint="eastAsia"/>
          <w:color w:val="auto"/>
          <w:highlight w:val="none"/>
          <w:u w:val="single"/>
        </w:rPr>
        <w:t>S</w:t>
      </w:r>
      <w:r>
        <w:rPr>
          <w:color w:val="auto"/>
          <w:highlight w:val="none"/>
          <w:u w:val="single"/>
          <w:vertAlign w:val="subscript"/>
        </w:rPr>
        <w:t>pH</w:t>
      </w:r>
      <w:r>
        <w:rPr>
          <w:color w:val="auto"/>
          <w:highlight w:val="none"/>
          <w:u w:val="single"/>
        </w:rPr>
        <w:t>——pH</w:t>
      </w:r>
      <w:r>
        <w:rPr>
          <w:rFonts w:hint="eastAsia"/>
          <w:color w:val="auto"/>
          <w:highlight w:val="none"/>
          <w:u w:val="single"/>
        </w:rPr>
        <w:t>的污染指数</w:t>
      </w:r>
      <w:r>
        <w:rPr>
          <w:color w:val="auto"/>
          <w:highlight w:val="none"/>
          <w:u w:val="single"/>
        </w:rPr>
        <w:t>；</w:t>
      </w:r>
    </w:p>
    <w:p w14:paraId="00028DCB">
      <w:pPr>
        <w:ind w:firstLine="1132" w:firstLineChars="472"/>
        <w:rPr>
          <w:color w:val="auto"/>
          <w:highlight w:val="none"/>
          <w:u w:val="single"/>
        </w:rPr>
      </w:pPr>
      <w:r>
        <w:rPr>
          <w:i/>
          <w:iCs/>
          <w:color w:val="auto"/>
          <w:highlight w:val="none"/>
          <w:u w:val="single"/>
        </w:rPr>
        <w:t>pH</w:t>
      </w:r>
      <w:r>
        <w:rPr>
          <w:color w:val="auto"/>
          <w:highlight w:val="none"/>
          <w:u w:val="single"/>
        </w:rPr>
        <w:t>——</w:t>
      </w:r>
      <w:r>
        <w:rPr>
          <w:rFonts w:hint="eastAsia"/>
          <w:color w:val="auto"/>
          <w:highlight w:val="none"/>
          <w:u w:val="single"/>
        </w:rPr>
        <w:t>本次调查实测值</w:t>
      </w:r>
      <w:r>
        <w:rPr>
          <w:color w:val="auto"/>
          <w:highlight w:val="none"/>
          <w:u w:val="single"/>
        </w:rPr>
        <w:t>；</w:t>
      </w:r>
    </w:p>
    <w:p w14:paraId="5548D33D">
      <w:pPr>
        <w:ind w:firstLine="1132" w:firstLineChars="472"/>
        <w:rPr>
          <w:color w:val="auto"/>
          <w:highlight w:val="none"/>
          <w:u w:val="single"/>
        </w:rPr>
      </w:pPr>
      <w:r>
        <w:rPr>
          <w:i/>
          <w:iCs/>
          <w:color w:val="auto"/>
          <w:highlight w:val="none"/>
          <w:u w:val="single"/>
        </w:rPr>
        <w:t>pH</w:t>
      </w:r>
      <w:r>
        <w:rPr>
          <w:color w:val="auto"/>
          <w:highlight w:val="none"/>
          <w:u w:val="single"/>
          <w:vertAlign w:val="subscript"/>
        </w:rPr>
        <w:t>su</w:t>
      </w:r>
      <w:r>
        <w:rPr>
          <w:color w:val="auto"/>
          <w:highlight w:val="none"/>
          <w:u w:val="single"/>
        </w:rPr>
        <w:t>——</w:t>
      </w:r>
      <w:r>
        <w:rPr>
          <w:rFonts w:hint="eastAsia"/>
          <w:color w:val="auto"/>
          <w:highlight w:val="none"/>
          <w:u w:val="single"/>
        </w:rPr>
        <w:t>海水</w:t>
      </w:r>
      <w:r>
        <w:rPr>
          <w:color w:val="auto"/>
          <w:highlight w:val="none"/>
          <w:u w:val="single"/>
        </w:rPr>
        <w:t>pH</w:t>
      </w:r>
      <w:r>
        <w:rPr>
          <w:rFonts w:hint="eastAsia"/>
          <w:color w:val="auto"/>
          <w:highlight w:val="none"/>
          <w:u w:val="single"/>
          <w:lang w:eastAsia="zh-CN"/>
        </w:rPr>
        <w:t>标准</w:t>
      </w:r>
      <w:r>
        <w:rPr>
          <w:rFonts w:hint="eastAsia"/>
          <w:color w:val="auto"/>
          <w:highlight w:val="none"/>
          <w:u w:val="single"/>
        </w:rPr>
        <w:t>的</w:t>
      </w:r>
      <w:r>
        <w:rPr>
          <w:color w:val="auto"/>
          <w:highlight w:val="none"/>
          <w:u w:val="single"/>
        </w:rPr>
        <w:t>上限</w:t>
      </w:r>
      <w:r>
        <w:rPr>
          <w:rFonts w:hint="eastAsia"/>
          <w:color w:val="auto"/>
          <w:highlight w:val="none"/>
          <w:u w:val="single"/>
        </w:rPr>
        <w:t>值；</w:t>
      </w:r>
    </w:p>
    <w:p w14:paraId="3568D53B">
      <w:pPr>
        <w:ind w:firstLine="1132" w:firstLineChars="472"/>
        <w:rPr>
          <w:color w:val="auto"/>
          <w:highlight w:val="none"/>
          <w:u w:val="single"/>
        </w:rPr>
      </w:pPr>
      <w:r>
        <w:rPr>
          <w:i/>
          <w:iCs/>
          <w:color w:val="auto"/>
          <w:highlight w:val="none"/>
          <w:u w:val="single"/>
        </w:rPr>
        <w:t>pH</w:t>
      </w:r>
      <w:r>
        <w:rPr>
          <w:color w:val="auto"/>
          <w:highlight w:val="none"/>
          <w:u w:val="single"/>
          <w:vertAlign w:val="subscript"/>
        </w:rPr>
        <w:t>sd</w:t>
      </w:r>
      <w:r>
        <w:rPr>
          <w:color w:val="auto"/>
          <w:highlight w:val="none"/>
          <w:u w:val="single"/>
        </w:rPr>
        <w:t>——</w:t>
      </w:r>
      <w:r>
        <w:rPr>
          <w:rFonts w:hint="eastAsia"/>
          <w:color w:val="auto"/>
          <w:highlight w:val="none"/>
          <w:u w:val="single"/>
        </w:rPr>
        <w:t>海水</w:t>
      </w:r>
      <w:r>
        <w:rPr>
          <w:color w:val="auto"/>
          <w:highlight w:val="none"/>
          <w:u w:val="single"/>
        </w:rPr>
        <w:t>pH</w:t>
      </w:r>
      <w:r>
        <w:rPr>
          <w:rFonts w:hint="eastAsia"/>
          <w:color w:val="auto"/>
          <w:highlight w:val="none"/>
          <w:u w:val="single"/>
          <w:lang w:eastAsia="zh-CN"/>
        </w:rPr>
        <w:t>标准</w:t>
      </w:r>
      <w:r>
        <w:rPr>
          <w:rFonts w:hint="eastAsia"/>
          <w:color w:val="auto"/>
          <w:highlight w:val="none"/>
          <w:u w:val="single"/>
        </w:rPr>
        <w:t>的下</w:t>
      </w:r>
      <w:r>
        <w:rPr>
          <w:color w:val="auto"/>
          <w:highlight w:val="none"/>
          <w:u w:val="single"/>
        </w:rPr>
        <w:t>限</w:t>
      </w:r>
      <w:r>
        <w:rPr>
          <w:rFonts w:hint="eastAsia"/>
          <w:color w:val="auto"/>
          <w:highlight w:val="none"/>
          <w:u w:val="single"/>
        </w:rPr>
        <w:t>值。</w:t>
      </w:r>
    </w:p>
    <w:p w14:paraId="661779D5">
      <w:pPr>
        <w:ind w:firstLine="480"/>
        <w:rPr>
          <w:color w:val="auto"/>
          <w:highlight w:val="none"/>
        </w:rPr>
      </w:pPr>
      <w:r>
        <w:rPr>
          <w:color w:val="auto"/>
          <w:highlight w:val="none"/>
        </w:rPr>
        <w:t>溶解氧的标准指数为：</w:t>
      </w:r>
    </w:p>
    <w:p w14:paraId="2DA9DD83">
      <w:pPr>
        <w:widowControl/>
        <w:ind w:firstLine="480"/>
        <w:jc w:val="center"/>
        <w:rPr>
          <w:color w:val="auto"/>
          <w:highlight w:val="none"/>
        </w:rPr>
      </w:pPr>
      <w:r>
        <w:rPr>
          <w:color w:val="auto"/>
          <w:highlight w:val="none"/>
        </w:rPr>
        <w:drawing>
          <wp:inline distT="0" distB="0" distL="114300" distR="114300">
            <wp:extent cx="2223135" cy="717550"/>
            <wp:effectExtent l="0" t="0" r="5715" b="6350"/>
            <wp:docPr id="172062195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21957" name="图片 9"/>
                    <pic:cNvPicPr>
                      <a:picLocks noChangeAspect="1"/>
                    </pic:cNvPicPr>
                  </pic:nvPicPr>
                  <pic:blipFill>
                    <a:blip r:embed="rId113"/>
                    <a:stretch>
                      <a:fillRect/>
                    </a:stretch>
                  </pic:blipFill>
                  <pic:spPr>
                    <a:xfrm>
                      <a:off x="0" y="0"/>
                      <a:ext cx="2223135" cy="717550"/>
                    </a:xfrm>
                    <a:prstGeom prst="rect">
                      <a:avLst/>
                    </a:prstGeom>
                    <a:noFill/>
                    <a:ln>
                      <a:noFill/>
                    </a:ln>
                  </pic:spPr>
                </pic:pic>
              </a:graphicData>
            </a:graphic>
          </wp:inline>
        </w:drawing>
      </w:r>
      <w:r>
        <w:rPr>
          <w:color w:val="auto"/>
          <w:highlight w:val="none"/>
        </w:rPr>
        <w:t xml:space="preserve"> </w:t>
      </w:r>
    </w:p>
    <w:p w14:paraId="68A3AB1A">
      <w:pPr>
        <w:widowControl/>
        <w:ind w:firstLine="480"/>
        <w:jc w:val="center"/>
        <w:rPr>
          <w:color w:val="auto"/>
          <w:highlight w:val="none"/>
        </w:rPr>
      </w:pPr>
      <w:r>
        <w:rPr>
          <w:color w:val="auto"/>
          <w:highlight w:val="none"/>
        </w:rPr>
        <w:t>DO</w:t>
      </w:r>
      <w:r>
        <w:rPr>
          <w:color w:val="auto"/>
          <w:highlight w:val="none"/>
          <w:vertAlign w:val="subscript"/>
        </w:rPr>
        <w:t>f</w:t>
      </w:r>
      <w:r>
        <w:rPr>
          <w:color w:val="auto"/>
          <w:highlight w:val="none"/>
        </w:rPr>
        <w:t>=（491-2.65S）/（33.5+T）</w:t>
      </w:r>
    </w:p>
    <w:p w14:paraId="69E7ED58">
      <w:pPr>
        <w:ind w:firstLine="480"/>
        <w:rPr>
          <w:color w:val="auto"/>
          <w:highlight w:val="none"/>
        </w:rPr>
      </w:pPr>
      <w:r>
        <w:rPr>
          <w:color w:val="auto"/>
          <w:highlight w:val="none"/>
        </w:rPr>
        <w:t>式中：S</w:t>
      </w:r>
      <w:r>
        <w:rPr>
          <w:color w:val="auto"/>
          <w:highlight w:val="none"/>
          <w:vertAlign w:val="subscript"/>
        </w:rPr>
        <w:t>DO,j</w:t>
      </w:r>
      <w:r>
        <w:rPr>
          <w:color w:val="auto"/>
          <w:highlight w:val="none"/>
        </w:rPr>
        <w:t>——溶解氧的标准指数，大于1表明该水质因子超标；</w:t>
      </w:r>
    </w:p>
    <w:p w14:paraId="01892E33">
      <w:pPr>
        <w:ind w:firstLine="1132" w:firstLineChars="472"/>
        <w:rPr>
          <w:color w:val="auto"/>
          <w:highlight w:val="none"/>
        </w:rPr>
      </w:pPr>
      <w:r>
        <w:rPr>
          <w:color w:val="auto"/>
          <w:highlight w:val="none"/>
        </w:rPr>
        <w:t>DO</w:t>
      </w:r>
      <w:r>
        <w:rPr>
          <w:color w:val="auto"/>
          <w:highlight w:val="none"/>
          <w:vertAlign w:val="subscript"/>
        </w:rPr>
        <w:t>j</w:t>
      </w:r>
      <w:r>
        <w:rPr>
          <w:color w:val="auto"/>
          <w:highlight w:val="none"/>
        </w:rPr>
        <w:t>——溶解氧在j点的实测统计代表值，mg/L；</w:t>
      </w:r>
    </w:p>
    <w:p w14:paraId="06BE1D38">
      <w:pPr>
        <w:ind w:firstLine="1132" w:firstLineChars="472"/>
        <w:rPr>
          <w:color w:val="auto"/>
          <w:highlight w:val="none"/>
        </w:rPr>
      </w:pPr>
      <w:r>
        <w:rPr>
          <w:color w:val="auto"/>
          <w:highlight w:val="none"/>
        </w:rPr>
        <w:t>DO</w:t>
      </w:r>
      <w:r>
        <w:rPr>
          <w:color w:val="auto"/>
          <w:highlight w:val="none"/>
          <w:vertAlign w:val="subscript"/>
        </w:rPr>
        <w:t>s</w:t>
      </w:r>
      <w:r>
        <w:rPr>
          <w:color w:val="auto"/>
          <w:highlight w:val="none"/>
        </w:rPr>
        <w:t>——溶解氧的水质评价标准限值，mg/L；</w:t>
      </w:r>
    </w:p>
    <w:p w14:paraId="467393C8">
      <w:pPr>
        <w:ind w:firstLine="1132" w:firstLineChars="472"/>
        <w:rPr>
          <w:color w:val="auto"/>
          <w:highlight w:val="none"/>
        </w:rPr>
      </w:pPr>
      <w:r>
        <w:rPr>
          <w:color w:val="auto"/>
          <w:highlight w:val="none"/>
        </w:rPr>
        <w:t>DO</w:t>
      </w:r>
      <w:r>
        <w:rPr>
          <w:color w:val="auto"/>
          <w:highlight w:val="none"/>
          <w:vertAlign w:val="subscript"/>
        </w:rPr>
        <w:t>f</w:t>
      </w:r>
      <w:r>
        <w:rPr>
          <w:color w:val="auto"/>
          <w:highlight w:val="none"/>
        </w:rPr>
        <w:t>——饱和溶解氧浓度，mg/L；</w:t>
      </w:r>
    </w:p>
    <w:p w14:paraId="5AF94BF7">
      <w:pPr>
        <w:ind w:firstLine="1132" w:firstLineChars="472"/>
        <w:rPr>
          <w:color w:val="auto"/>
          <w:highlight w:val="none"/>
        </w:rPr>
      </w:pPr>
      <w:r>
        <w:rPr>
          <w:color w:val="auto"/>
          <w:highlight w:val="none"/>
        </w:rPr>
        <w:t>S——实用盐度符号，量纲为1；</w:t>
      </w:r>
    </w:p>
    <w:p w14:paraId="28E41EE5">
      <w:pPr>
        <w:pStyle w:val="9"/>
        <w:ind w:firstLine="1080" w:firstLineChars="450"/>
        <w:rPr>
          <w:color w:val="auto"/>
          <w:highlight w:val="none"/>
        </w:rPr>
      </w:pPr>
      <w:r>
        <w:rPr>
          <w:color w:val="auto"/>
          <w:highlight w:val="none"/>
        </w:rPr>
        <w:t>T——水温，℃。</w:t>
      </w:r>
    </w:p>
    <w:p w14:paraId="5281FAB3">
      <w:pPr>
        <w:pStyle w:val="11"/>
        <w:numPr>
          <w:ilvl w:val="0"/>
          <w:numId w:val="0"/>
        </w:numPr>
        <w:spacing w:before="0" w:after="0" w:line="360" w:lineRule="auto"/>
        <w:ind w:firstLine="482" w:firstLineChars="200"/>
        <w:rPr>
          <w:color w:val="auto"/>
          <w:sz w:val="24"/>
          <w:szCs w:val="24"/>
          <w:highlight w:val="none"/>
        </w:rPr>
      </w:pPr>
      <w:r>
        <w:rPr>
          <w:color w:val="auto"/>
          <w:sz w:val="24"/>
          <w:szCs w:val="24"/>
          <w:highlight w:val="none"/>
        </w:rPr>
        <w:t>（3）调查结果及评价</w:t>
      </w:r>
    </w:p>
    <w:p w14:paraId="5F7B981E">
      <w:pPr>
        <w:ind w:right="482" w:firstLine="480"/>
        <w:jc w:val="left"/>
        <w:rPr>
          <w:color w:val="auto"/>
          <w:highlight w:val="none"/>
        </w:rPr>
      </w:pPr>
      <w:r>
        <w:rPr>
          <w:color w:val="auto"/>
          <w:highlight w:val="none"/>
        </w:rPr>
        <w:t>2024年11月海水水质调查结果及评价结果见表3.4-6，从表中可以看出，调查各站各项目均符合相应功能区海水水质标准要求，总体而言，调查海域海水水质较好。</w:t>
      </w:r>
    </w:p>
    <w:p w14:paraId="238790BD">
      <w:pPr>
        <w:pStyle w:val="38"/>
        <w:spacing w:after="0" w:line="240" w:lineRule="auto"/>
        <w:ind w:firstLine="0" w:firstLineChars="0"/>
        <w:jc w:val="center"/>
        <w:rPr>
          <w:b/>
          <w:color w:val="auto"/>
          <w:sz w:val="21"/>
          <w:szCs w:val="21"/>
          <w:highlight w:val="none"/>
        </w:rPr>
      </w:pPr>
      <w:r>
        <w:rPr>
          <w:b/>
          <w:color w:val="auto"/>
          <w:sz w:val="21"/>
          <w:szCs w:val="21"/>
          <w:highlight w:val="none"/>
        </w:rPr>
        <w:t>表3.4-6 海水水质各监测项目监测结果及评价结果一览表</w:t>
      </w:r>
    </w:p>
    <w:tbl>
      <w:tblPr>
        <w:tblStyle w:val="154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9"/>
        <w:gridCol w:w="1549"/>
        <w:gridCol w:w="1549"/>
        <w:gridCol w:w="1547"/>
        <w:gridCol w:w="1547"/>
        <w:gridCol w:w="1545"/>
      </w:tblGrid>
      <w:tr w14:paraId="2D9DBF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tblHeader/>
          <w:jc w:val="center"/>
        </w:trPr>
        <w:tc>
          <w:tcPr>
            <w:tcW w:w="834" w:type="pct"/>
            <w:vMerge w:val="restart"/>
            <w:vAlign w:val="center"/>
          </w:tcPr>
          <w:p w14:paraId="22C87456">
            <w:pPr>
              <w:widowControl/>
              <w:topLinePunct w:val="0"/>
              <w:adjustRightInd/>
              <w:spacing w:line="240" w:lineRule="auto"/>
              <w:ind w:firstLine="0" w:firstLineChars="0"/>
              <w:jc w:val="center"/>
              <w:textAlignment w:val="center"/>
              <w:rPr>
                <w:b/>
                <w:bCs w:val="0"/>
                <w:iCs/>
                <w:snapToGrid w:val="0"/>
                <w:color w:val="auto"/>
                <w:sz w:val="21"/>
                <w:szCs w:val="21"/>
                <w:highlight w:val="none"/>
              </w:rPr>
            </w:pPr>
            <w:r>
              <w:rPr>
                <w:b/>
                <w:bCs w:val="0"/>
                <w:iCs/>
                <w:snapToGrid w:val="0"/>
                <w:color w:val="auto"/>
                <w:sz w:val="21"/>
                <w:szCs w:val="21"/>
                <w:highlight w:val="none"/>
              </w:rPr>
              <w:t>监测项目</w:t>
            </w:r>
          </w:p>
        </w:tc>
        <w:tc>
          <w:tcPr>
            <w:tcW w:w="834" w:type="pct"/>
            <w:vMerge w:val="restart"/>
            <w:vAlign w:val="center"/>
          </w:tcPr>
          <w:p w14:paraId="7F23BA44">
            <w:pPr>
              <w:widowControl/>
              <w:topLinePunct w:val="0"/>
              <w:adjustRightInd/>
              <w:spacing w:line="240" w:lineRule="auto"/>
              <w:ind w:firstLine="0" w:firstLineChars="0"/>
              <w:jc w:val="center"/>
              <w:textAlignment w:val="center"/>
              <w:rPr>
                <w:b/>
                <w:bCs w:val="0"/>
                <w:iCs/>
                <w:snapToGrid w:val="0"/>
                <w:color w:val="auto"/>
                <w:sz w:val="21"/>
                <w:szCs w:val="21"/>
                <w:highlight w:val="none"/>
              </w:rPr>
            </w:pPr>
            <w:r>
              <w:rPr>
                <w:b/>
                <w:bCs w:val="0"/>
                <w:iCs/>
                <w:snapToGrid w:val="0"/>
                <w:color w:val="auto"/>
                <w:sz w:val="21"/>
                <w:szCs w:val="21"/>
                <w:highlight w:val="none"/>
              </w:rPr>
              <w:t>单位</w:t>
            </w:r>
          </w:p>
        </w:tc>
        <w:tc>
          <w:tcPr>
            <w:tcW w:w="1667" w:type="pct"/>
            <w:gridSpan w:val="2"/>
            <w:vAlign w:val="center"/>
          </w:tcPr>
          <w:p w14:paraId="18ADB74B">
            <w:pPr>
              <w:widowControl/>
              <w:topLinePunct w:val="0"/>
              <w:adjustRightInd/>
              <w:spacing w:line="240" w:lineRule="auto"/>
              <w:ind w:firstLine="0" w:firstLineChars="0"/>
              <w:jc w:val="center"/>
              <w:textAlignment w:val="center"/>
              <w:rPr>
                <w:b/>
                <w:bCs w:val="0"/>
                <w:iCs/>
                <w:snapToGrid w:val="0"/>
                <w:color w:val="auto"/>
                <w:sz w:val="21"/>
                <w:szCs w:val="21"/>
                <w:highlight w:val="none"/>
              </w:rPr>
            </w:pPr>
            <w:r>
              <w:rPr>
                <w:b/>
                <w:bCs w:val="0"/>
                <w:iCs/>
                <w:snapToGrid w:val="0"/>
                <w:color w:val="auto"/>
                <w:sz w:val="21"/>
                <w:szCs w:val="21"/>
                <w:highlight w:val="none"/>
              </w:rPr>
              <w:t>2#</w:t>
            </w:r>
          </w:p>
        </w:tc>
        <w:tc>
          <w:tcPr>
            <w:tcW w:w="1665" w:type="pct"/>
            <w:gridSpan w:val="2"/>
            <w:vAlign w:val="center"/>
          </w:tcPr>
          <w:p w14:paraId="5B5D83FF">
            <w:pPr>
              <w:widowControl/>
              <w:topLinePunct w:val="0"/>
              <w:adjustRightInd/>
              <w:spacing w:line="240" w:lineRule="auto"/>
              <w:ind w:firstLine="0" w:firstLineChars="0"/>
              <w:jc w:val="center"/>
              <w:textAlignment w:val="center"/>
              <w:rPr>
                <w:b/>
                <w:bCs w:val="0"/>
                <w:iCs/>
                <w:snapToGrid w:val="0"/>
                <w:color w:val="auto"/>
                <w:sz w:val="21"/>
                <w:szCs w:val="21"/>
                <w:highlight w:val="none"/>
              </w:rPr>
            </w:pPr>
            <w:r>
              <w:rPr>
                <w:b/>
                <w:bCs w:val="0"/>
                <w:iCs/>
                <w:snapToGrid w:val="0"/>
                <w:color w:val="auto"/>
                <w:sz w:val="21"/>
                <w:szCs w:val="21"/>
                <w:highlight w:val="none"/>
              </w:rPr>
              <w:t>3#</w:t>
            </w:r>
          </w:p>
        </w:tc>
      </w:tr>
      <w:tr w14:paraId="669372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tblHeader/>
          <w:jc w:val="center"/>
        </w:trPr>
        <w:tc>
          <w:tcPr>
            <w:tcW w:w="834" w:type="pct"/>
            <w:vMerge w:val="continue"/>
            <w:vAlign w:val="center"/>
          </w:tcPr>
          <w:p w14:paraId="17DABAB5">
            <w:pPr>
              <w:widowControl/>
              <w:topLinePunct w:val="0"/>
              <w:adjustRightInd/>
              <w:spacing w:line="240" w:lineRule="auto"/>
              <w:ind w:firstLine="0" w:firstLineChars="0"/>
              <w:jc w:val="center"/>
              <w:textAlignment w:val="center"/>
              <w:rPr>
                <w:b/>
                <w:bCs w:val="0"/>
                <w:iCs/>
                <w:snapToGrid w:val="0"/>
                <w:color w:val="auto"/>
                <w:sz w:val="21"/>
                <w:szCs w:val="21"/>
                <w:highlight w:val="none"/>
              </w:rPr>
            </w:pPr>
          </w:p>
        </w:tc>
        <w:tc>
          <w:tcPr>
            <w:tcW w:w="834" w:type="pct"/>
            <w:vMerge w:val="continue"/>
            <w:vAlign w:val="center"/>
          </w:tcPr>
          <w:p w14:paraId="3D395FE9">
            <w:pPr>
              <w:widowControl/>
              <w:topLinePunct w:val="0"/>
              <w:adjustRightInd/>
              <w:spacing w:line="240" w:lineRule="auto"/>
              <w:ind w:firstLine="0" w:firstLineChars="0"/>
              <w:jc w:val="center"/>
              <w:textAlignment w:val="center"/>
              <w:rPr>
                <w:b/>
                <w:bCs w:val="0"/>
                <w:iCs/>
                <w:snapToGrid w:val="0"/>
                <w:color w:val="auto"/>
                <w:sz w:val="21"/>
                <w:szCs w:val="21"/>
                <w:highlight w:val="none"/>
              </w:rPr>
            </w:pPr>
          </w:p>
        </w:tc>
        <w:tc>
          <w:tcPr>
            <w:tcW w:w="834" w:type="pct"/>
            <w:vAlign w:val="center"/>
          </w:tcPr>
          <w:p w14:paraId="5D214349">
            <w:pPr>
              <w:widowControl/>
              <w:topLinePunct w:val="0"/>
              <w:adjustRightInd/>
              <w:spacing w:line="240" w:lineRule="auto"/>
              <w:ind w:firstLine="0" w:firstLineChars="0"/>
              <w:jc w:val="center"/>
              <w:textAlignment w:val="center"/>
              <w:rPr>
                <w:b/>
                <w:bCs w:val="0"/>
                <w:iCs/>
                <w:snapToGrid w:val="0"/>
                <w:color w:val="auto"/>
                <w:sz w:val="21"/>
                <w:szCs w:val="21"/>
                <w:highlight w:val="none"/>
              </w:rPr>
            </w:pPr>
            <w:r>
              <w:rPr>
                <w:b/>
                <w:bCs w:val="0"/>
                <w:iCs/>
                <w:snapToGrid w:val="0"/>
                <w:color w:val="auto"/>
                <w:sz w:val="21"/>
                <w:szCs w:val="21"/>
                <w:highlight w:val="none"/>
              </w:rPr>
              <w:t>监测结果</w:t>
            </w:r>
          </w:p>
        </w:tc>
        <w:tc>
          <w:tcPr>
            <w:tcW w:w="833" w:type="pct"/>
            <w:vAlign w:val="center"/>
          </w:tcPr>
          <w:p w14:paraId="601F38F6">
            <w:pPr>
              <w:widowControl/>
              <w:topLinePunct w:val="0"/>
              <w:adjustRightInd/>
              <w:spacing w:line="240" w:lineRule="auto"/>
              <w:ind w:firstLine="0" w:firstLineChars="0"/>
              <w:jc w:val="center"/>
              <w:textAlignment w:val="center"/>
              <w:rPr>
                <w:b/>
                <w:bCs w:val="0"/>
                <w:iCs/>
                <w:snapToGrid w:val="0"/>
                <w:color w:val="auto"/>
                <w:sz w:val="21"/>
                <w:szCs w:val="21"/>
                <w:highlight w:val="none"/>
              </w:rPr>
            </w:pPr>
            <w:r>
              <w:rPr>
                <w:b/>
                <w:bCs w:val="0"/>
                <w:iCs/>
                <w:snapToGrid w:val="0"/>
                <w:color w:val="auto"/>
                <w:sz w:val="21"/>
                <w:szCs w:val="21"/>
                <w:highlight w:val="none"/>
              </w:rPr>
              <w:t>评价结果</w:t>
            </w:r>
          </w:p>
        </w:tc>
        <w:tc>
          <w:tcPr>
            <w:tcW w:w="833" w:type="pct"/>
            <w:vAlign w:val="center"/>
          </w:tcPr>
          <w:p w14:paraId="28D90F5C">
            <w:pPr>
              <w:widowControl/>
              <w:topLinePunct w:val="0"/>
              <w:adjustRightInd/>
              <w:spacing w:line="240" w:lineRule="auto"/>
              <w:ind w:firstLine="0" w:firstLineChars="0"/>
              <w:jc w:val="center"/>
              <w:textAlignment w:val="center"/>
              <w:rPr>
                <w:b/>
                <w:bCs w:val="0"/>
                <w:iCs/>
                <w:snapToGrid w:val="0"/>
                <w:color w:val="auto"/>
                <w:sz w:val="21"/>
                <w:szCs w:val="21"/>
                <w:highlight w:val="none"/>
              </w:rPr>
            </w:pPr>
            <w:r>
              <w:rPr>
                <w:b/>
                <w:bCs w:val="0"/>
                <w:iCs/>
                <w:snapToGrid w:val="0"/>
                <w:color w:val="auto"/>
                <w:sz w:val="21"/>
                <w:szCs w:val="21"/>
                <w:highlight w:val="none"/>
              </w:rPr>
              <w:t>监测结果</w:t>
            </w:r>
          </w:p>
        </w:tc>
        <w:tc>
          <w:tcPr>
            <w:tcW w:w="832" w:type="pct"/>
            <w:vAlign w:val="center"/>
          </w:tcPr>
          <w:p w14:paraId="2A2EF5AB">
            <w:pPr>
              <w:widowControl/>
              <w:topLinePunct w:val="0"/>
              <w:adjustRightInd/>
              <w:spacing w:line="240" w:lineRule="auto"/>
              <w:ind w:firstLine="0" w:firstLineChars="0"/>
              <w:jc w:val="center"/>
              <w:textAlignment w:val="center"/>
              <w:rPr>
                <w:b/>
                <w:bCs w:val="0"/>
                <w:iCs/>
                <w:snapToGrid w:val="0"/>
                <w:color w:val="auto"/>
                <w:sz w:val="21"/>
                <w:szCs w:val="21"/>
                <w:highlight w:val="none"/>
              </w:rPr>
            </w:pPr>
            <w:r>
              <w:rPr>
                <w:b/>
                <w:bCs w:val="0"/>
                <w:iCs/>
                <w:snapToGrid w:val="0"/>
                <w:color w:val="auto"/>
                <w:sz w:val="21"/>
                <w:szCs w:val="21"/>
                <w:highlight w:val="none"/>
              </w:rPr>
              <w:t>评价结果</w:t>
            </w:r>
          </w:p>
        </w:tc>
      </w:tr>
      <w:tr w14:paraId="13273C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34" w:type="pct"/>
            <w:vAlign w:val="center"/>
          </w:tcPr>
          <w:p w14:paraId="4193900B">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水温</w:t>
            </w:r>
          </w:p>
        </w:tc>
        <w:tc>
          <w:tcPr>
            <w:tcW w:w="834" w:type="pct"/>
            <w:vAlign w:val="center"/>
          </w:tcPr>
          <w:p w14:paraId="5509BAB4">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w:t>
            </w:r>
          </w:p>
        </w:tc>
        <w:tc>
          <w:tcPr>
            <w:tcW w:w="834" w:type="pct"/>
            <w:vAlign w:val="center"/>
          </w:tcPr>
          <w:p w14:paraId="714C7AE2">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1E1314BC">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5D0F21AC">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2" w:type="pct"/>
            <w:vAlign w:val="center"/>
          </w:tcPr>
          <w:p w14:paraId="288BB839">
            <w:pPr>
              <w:widowControl/>
              <w:topLinePunct w:val="0"/>
              <w:adjustRightInd/>
              <w:spacing w:line="240" w:lineRule="auto"/>
              <w:ind w:firstLine="0" w:firstLineChars="0"/>
              <w:jc w:val="center"/>
              <w:textAlignment w:val="center"/>
              <w:rPr>
                <w:bCs/>
                <w:iCs/>
                <w:snapToGrid w:val="0"/>
                <w:color w:val="auto"/>
                <w:sz w:val="21"/>
                <w:szCs w:val="21"/>
                <w:highlight w:val="none"/>
              </w:rPr>
            </w:pPr>
          </w:p>
        </w:tc>
      </w:tr>
      <w:tr w14:paraId="23B7FF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34" w:type="pct"/>
            <w:vAlign w:val="center"/>
          </w:tcPr>
          <w:p w14:paraId="6344D8CA">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水深</w:t>
            </w:r>
          </w:p>
        </w:tc>
        <w:tc>
          <w:tcPr>
            <w:tcW w:w="834" w:type="pct"/>
            <w:vAlign w:val="center"/>
          </w:tcPr>
          <w:p w14:paraId="633D9F03">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m</w:t>
            </w:r>
          </w:p>
        </w:tc>
        <w:tc>
          <w:tcPr>
            <w:tcW w:w="834" w:type="pct"/>
            <w:vAlign w:val="center"/>
          </w:tcPr>
          <w:p w14:paraId="4E0A29EE">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76F76241">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0B814CCE">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2" w:type="pct"/>
            <w:vAlign w:val="center"/>
          </w:tcPr>
          <w:p w14:paraId="7A6C319B">
            <w:pPr>
              <w:widowControl/>
              <w:topLinePunct w:val="0"/>
              <w:adjustRightInd/>
              <w:spacing w:line="240" w:lineRule="auto"/>
              <w:ind w:firstLine="0" w:firstLineChars="0"/>
              <w:jc w:val="center"/>
              <w:textAlignment w:val="center"/>
              <w:rPr>
                <w:bCs/>
                <w:iCs/>
                <w:snapToGrid w:val="0"/>
                <w:color w:val="auto"/>
                <w:sz w:val="21"/>
                <w:szCs w:val="21"/>
                <w:highlight w:val="none"/>
              </w:rPr>
            </w:pPr>
          </w:p>
        </w:tc>
      </w:tr>
      <w:tr w14:paraId="231864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34" w:type="pct"/>
            <w:vAlign w:val="center"/>
          </w:tcPr>
          <w:p w14:paraId="64C02D06">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透明度</w:t>
            </w:r>
          </w:p>
        </w:tc>
        <w:tc>
          <w:tcPr>
            <w:tcW w:w="834" w:type="pct"/>
            <w:vAlign w:val="center"/>
          </w:tcPr>
          <w:p w14:paraId="3B8C2BD4">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w:t>
            </w:r>
          </w:p>
        </w:tc>
        <w:tc>
          <w:tcPr>
            <w:tcW w:w="834" w:type="pct"/>
            <w:vAlign w:val="center"/>
          </w:tcPr>
          <w:p w14:paraId="0B7A2608">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6811B55B">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0A674399">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2" w:type="pct"/>
            <w:vAlign w:val="center"/>
          </w:tcPr>
          <w:p w14:paraId="3698E866">
            <w:pPr>
              <w:widowControl/>
              <w:topLinePunct w:val="0"/>
              <w:adjustRightInd/>
              <w:spacing w:line="240" w:lineRule="auto"/>
              <w:ind w:firstLine="0" w:firstLineChars="0"/>
              <w:jc w:val="center"/>
              <w:textAlignment w:val="center"/>
              <w:rPr>
                <w:bCs/>
                <w:iCs/>
                <w:snapToGrid w:val="0"/>
                <w:color w:val="auto"/>
                <w:sz w:val="21"/>
                <w:szCs w:val="21"/>
                <w:highlight w:val="none"/>
              </w:rPr>
            </w:pPr>
          </w:p>
        </w:tc>
      </w:tr>
      <w:tr w14:paraId="068BA9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34" w:type="pct"/>
            <w:vAlign w:val="center"/>
          </w:tcPr>
          <w:p w14:paraId="79C6F080">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pH值</w:t>
            </w:r>
          </w:p>
        </w:tc>
        <w:tc>
          <w:tcPr>
            <w:tcW w:w="834" w:type="pct"/>
            <w:vAlign w:val="center"/>
          </w:tcPr>
          <w:p w14:paraId="60055183">
            <w:pPr>
              <w:widowControl/>
              <w:topLinePunct w:val="0"/>
              <w:adjustRightInd/>
              <w:spacing w:line="240" w:lineRule="auto"/>
              <w:ind w:firstLine="0" w:firstLineChars="0"/>
              <w:jc w:val="center"/>
              <w:textAlignment w:val="center"/>
              <w:rPr>
                <w:bCs/>
                <w:iCs/>
                <w:snapToGrid w:val="0"/>
                <w:color w:val="auto"/>
                <w:sz w:val="21"/>
                <w:szCs w:val="21"/>
                <w:highlight w:val="none"/>
                <w:u w:val="single"/>
              </w:rPr>
            </w:pPr>
            <w:r>
              <w:rPr>
                <w:bCs/>
                <w:iCs/>
                <w:snapToGrid w:val="0"/>
                <w:color w:val="auto"/>
                <w:sz w:val="21"/>
                <w:szCs w:val="21"/>
                <w:highlight w:val="none"/>
                <w:u w:val="single"/>
              </w:rPr>
              <w:t>无量纲</w:t>
            </w:r>
          </w:p>
        </w:tc>
        <w:tc>
          <w:tcPr>
            <w:tcW w:w="834" w:type="pct"/>
            <w:vAlign w:val="center"/>
          </w:tcPr>
          <w:p w14:paraId="471507E6">
            <w:pPr>
              <w:widowControl/>
              <w:topLinePunct w:val="0"/>
              <w:adjustRightInd/>
              <w:spacing w:line="240" w:lineRule="auto"/>
              <w:ind w:firstLine="0" w:firstLineChars="0"/>
              <w:jc w:val="center"/>
              <w:textAlignment w:val="center"/>
              <w:rPr>
                <w:bCs/>
                <w:iCs/>
                <w:snapToGrid w:val="0"/>
                <w:color w:val="auto"/>
                <w:sz w:val="21"/>
                <w:szCs w:val="21"/>
                <w:highlight w:val="none"/>
                <w:u w:val="single"/>
              </w:rPr>
            </w:pPr>
          </w:p>
        </w:tc>
        <w:tc>
          <w:tcPr>
            <w:tcW w:w="833" w:type="pct"/>
            <w:vAlign w:val="center"/>
          </w:tcPr>
          <w:p w14:paraId="0CDCDF52">
            <w:pPr>
              <w:spacing w:line="240" w:lineRule="auto"/>
              <w:ind w:firstLine="0" w:firstLineChars="0"/>
              <w:jc w:val="center"/>
              <w:textAlignment w:val="center"/>
              <w:rPr>
                <w:bCs/>
                <w:iCs/>
                <w:snapToGrid w:val="0"/>
                <w:color w:val="auto"/>
                <w:sz w:val="21"/>
                <w:szCs w:val="21"/>
                <w:highlight w:val="none"/>
                <w:u w:val="single"/>
              </w:rPr>
            </w:pPr>
          </w:p>
        </w:tc>
        <w:tc>
          <w:tcPr>
            <w:tcW w:w="833" w:type="pct"/>
            <w:vAlign w:val="center"/>
          </w:tcPr>
          <w:p w14:paraId="106FFB53">
            <w:pPr>
              <w:widowControl/>
              <w:topLinePunct w:val="0"/>
              <w:adjustRightInd/>
              <w:spacing w:line="240" w:lineRule="auto"/>
              <w:ind w:firstLine="0" w:firstLineChars="0"/>
              <w:jc w:val="center"/>
              <w:textAlignment w:val="center"/>
              <w:rPr>
                <w:bCs/>
                <w:iCs/>
                <w:snapToGrid w:val="0"/>
                <w:color w:val="auto"/>
                <w:sz w:val="21"/>
                <w:szCs w:val="21"/>
                <w:highlight w:val="none"/>
                <w:u w:val="single"/>
              </w:rPr>
            </w:pPr>
          </w:p>
        </w:tc>
        <w:tc>
          <w:tcPr>
            <w:tcW w:w="832" w:type="pct"/>
            <w:vAlign w:val="center"/>
          </w:tcPr>
          <w:p w14:paraId="33094AE9">
            <w:pPr>
              <w:spacing w:line="240" w:lineRule="auto"/>
              <w:ind w:firstLine="0" w:firstLineChars="0"/>
              <w:jc w:val="center"/>
              <w:textAlignment w:val="center"/>
              <w:rPr>
                <w:bCs/>
                <w:iCs/>
                <w:snapToGrid w:val="0"/>
                <w:color w:val="auto"/>
                <w:sz w:val="21"/>
                <w:szCs w:val="21"/>
                <w:highlight w:val="none"/>
                <w:u w:val="single"/>
              </w:rPr>
            </w:pPr>
          </w:p>
        </w:tc>
      </w:tr>
      <w:tr w14:paraId="50381E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34" w:type="pct"/>
            <w:vAlign w:val="center"/>
          </w:tcPr>
          <w:p w14:paraId="36F1AF8C">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盐度</w:t>
            </w:r>
          </w:p>
        </w:tc>
        <w:tc>
          <w:tcPr>
            <w:tcW w:w="834" w:type="pct"/>
            <w:vAlign w:val="center"/>
          </w:tcPr>
          <w:p w14:paraId="70E85BDB">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val="0"/>
                <w:snapToGrid w:val="0"/>
                <w:color w:val="auto"/>
                <w:sz w:val="21"/>
                <w:szCs w:val="21"/>
                <w:highlight w:val="none"/>
                <w:lang w:bidi="ar"/>
              </w:rPr>
              <w:t>‰</w:t>
            </w:r>
          </w:p>
        </w:tc>
        <w:tc>
          <w:tcPr>
            <w:tcW w:w="834" w:type="pct"/>
            <w:vAlign w:val="center"/>
          </w:tcPr>
          <w:p w14:paraId="1D18E423">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5EF4C4B1">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6F2A9A0E">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2" w:type="pct"/>
            <w:vAlign w:val="center"/>
          </w:tcPr>
          <w:p w14:paraId="50651088">
            <w:pPr>
              <w:widowControl/>
              <w:topLinePunct w:val="0"/>
              <w:adjustRightInd/>
              <w:spacing w:line="240" w:lineRule="auto"/>
              <w:ind w:firstLine="0" w:firstLineChars="0"/>
              <w:jc w:val="center"/>
              <w:textAlignment w:val="center"/>
              <w:rPr>
                <w:bCs/>
                <w:iCs/>
                <w:snapToGrid w:val="0"/>
                <w:color w:val="auto"/>
                <w:sz w:val="21"/>
                <w:szCs w:val="21"/>
                <w:highlight w:val="none"/>
              </w:rPr>
            </w:pPr>
          </w:p>
        </w:tc>
      </w:tr>
      <w:tr w14:paraId="1CE671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34" w:type="pct"/>
            <w:vAlign w:val="center"/>
          </w:tcPr>
          <w:p w14:paraId="13F9E032">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溶解氧</w:t>
            </w:r>
          </w:p>
        </w:tc>
        <w:tc>
          <w:tcPr>
            <w:tcW w:w="834" w:type="pct"/>
            <w:vMerge w:val="restart"/>
            <w:vAlign w:val="center"/>
          </w:tcPr>
          <w:p w14:paraId="741A9C20">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mg/L</w:t>
            </w:r>
          </w:p>
        </w:tc>
        <w:tc>
          <w:tcPr>
            <w:tcW w:w="834" w:type="pct"/>
            <w:vAlign w:val="center"/>
          </w:tcPr>
          <w:p w14:paraId="3BE48025">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4814E37B">
            <w:pPr>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6467CFEE">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2" w:type="pct"/>
            <w:vAlign w:val="center"/>
          </w:tcPr>
          <w:p w14:paraId="7DA0CD07">
            <w:pPr>
              <w:spacing w:line="240" w:lineRule="auto"/>
              <w:ind w:firstLine="0" w:firstLineChars="0"/>
              <w:jc w:val="center"/>
              <w:textAlignment w:val="center"/>
              <w:rPr>
                <w:bCs/>
                <w:iCs/>
                <w:snapToGrid w:val="0"/>
                <w:color w:val="auto"/>
                <w:sz w:val="21"/>
                <w:szCs w:val="21"/>
                <w:highlight w:val="none"/>
              </w:rPr>
            </w:pPr>
          </w:p>
        </w:tc>
      </w:tr>
      <w:tr w14:paraId="30C855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34" w:type="pct"/>
            <w:vAlign w:val="center"/>
          </w:tcPr>
          <w:p w14:paraId="4F8F459F">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悬浮物</w:t>
            </w:r>
          </w:p>
        </w:tc>
        <w:tc>
          <w:tcPr>
            <w:tcW w:w="834" w:type="pct"/>
            <w:vMerge w:val="continue"/>
            <w:vAlign w:val="center"/>
          </w:tcPr>
          <w:p w14:paraId="466ED2E8">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4" w:type="pct"/>
            <w:vAlign w:val="center"/>
          </w:tcPr>
          <w:p w14:paraId="249DE892">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58EFFE28">
            <w:pPr>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09F62B90">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2" w:type="pct"/>
            <w:vAlign w:val="center"/>
          </w:tcPr>
          <w:p w14:paraId="43F1DD6C">
            <w:pPr>
              <w:spacing w:line="240" w:lineRule="auto"/>
              <w:ind w:firstLine="0" w:firstLineChars="0"/>
              <w:jc w:val="center"/>
              <w:textAlignment w:val="center"/>
              <w:rPr>
                <w:bCs/>
                <w:iCs/>
                <w:snapToGrid w:val="0"/>
                <w:color w:val="auto"/>
                <w:sz w:val="21"/>
                <w:szCs w:val="21"/>
                <w:highlight w:val="none"/>
              </w:rPr>
            </w:pPr>
          </w:p>
        </w:tc>
      </w:tr>
      <w:tr w14:paraId="10C524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34" w:type="pct"/>
            <w:vAlign w:val="center"/>
          </w:tcPr>
          <w:p w14:paraId="107A2F25">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化学需氧</w:t>
            </w:r>
          </w:p>
        </w:tc>
        <w:tc>
          <w:tcPr>
            <w:tcW w:w="834" w:type="pct"/>
            <w:vMerge w:val="continue"/>
            <w:vAlign w:val="center"/>
          </w:tcPr>
          <w:p w14:paraId="3A6F6433">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4" w:type="pct"/>
            <w:vAlign w:val="center"/>
          </w:tcPr>
          <w:p w14:paraId="5E63D67C">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37284AB5">
            <w:pPr>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1FC6DEAB">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2" w:type="pct"/>
            <w:vAlign w:val="center"/>
          </w:tcPr>
          <w:p w14:paraId="2B590297">
            <w:pPr>
              <w:spacing w:line="240" w:lineRule="auto"/>
              <w:ind w:firstLine="0" w:firstLineChars="0"/>
              <w:jc w:val="center"/>
              <w:textAlignment w:val="center"/>
              <w:rPr>
                <w:bCs/>
                <w:iCs/>
                <w:snapToGrid w:val="0"/>
                <w:color w:val="auto"/>
                <w:sz w:val="21"/>
                <w:szCs w:val="21"/>
                <w:highlight w:val="none"/>
              </w:rPr>
            </w:pPr>
          </w:p>
        </w:tc>
      </w:tr>
      <w:tr w14:paraId="7C558D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34" w:type="pct"/>
            <w:vAlign w:val="center"/>
          </w:tcPr>
          <w:p w14:paraId="761F1DE1">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生化需氧量</w:t>
            </w:r>
          </w:p>
        </w:tc>
        <w:tc>
          <w:tcPr>
            <w:tcW w:w="834" w:type="pct"/>
            <w:vMerge w:val="continue"/>
            <w:vAlign w:val="center"/>
          </w:tcPr>
          <w:p w14:paraId="22CA3BEC">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4" w:type="pct"/>
            <w:vAlign w:val="center"/>
          </w:tcPr>
          <w:p w14:paraId="436997E3">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44F4C06C">
            <w:pPr>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7C86CAB8">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2" w:type="pct"/>
            <w:vAlign w:val="center"/>
          </w:tcPr>
          <w:p w14:paraId="5A1BECBA">
            <w:pPr>
              <w:spacing w:line="240" w:lineRule="auto"/>
              <w:ind w:firstLine="0" w:firstLineChars="0"/>
              <w:jc w:val="center"/>
              <w:textAlignment w:val="center"/>
              <w:rPr>
                <w:bCs/>
                <w:iCs/>
                <w:snapToGrid w:val="0"/>
                <w:color w:val="auto"/>
                <w:sz w:val="21"/>
                <w:szCs w:val="21"/>
                <w:highlight w:val="none"/>
              </w:rPr>
            </w:pPr>
          </w:p>
        </w:tc>
      </w:tr>
      <w:tr w14:paraId="5CB3BA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34" w:type="pct"/>
            <w:vAlign w:val="center"/>
          </w:tcPr>
          <w:p w14:paraId="791DE56E">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硝酸盐*</w:t>
            </w:r>
          </w:p>
        </w:tc>
        <w:tc>
          <w:tcPr>
            <w:tcW w:w="834" w:type="pct"/>
            <w:vMerge w:val="continue"/>
            <w:vAlign w:val="center"/>
          </w:tcPr>
          <w:p w14:paraId="0AF79E7B">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4" w:type="pct"/>
            <w:vAlign w:val="center"/>
          </w:tcPr>
          <w:p w14:paraId="58878F5A">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63935226">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25C36F92">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2" w:type="pct"/>
            <w:vAlign w:val="center"/>
          </w:tcPr>
          <w:p w14:paraId="559BFFDE">
            <w:pPr>
              <w:widowControl/>
              <w:topLinePunct w:val="0"/>
              <w:adjustRightInd/>
              <w:spacing w:line="240" w:lineRule="auto"/>
              <w:ind w:firstLine="0" w:firstLineChars="0"/>
              <w:jc w:val="center"/>
              <w:textAlignment w:val="center"/>
              <w:rPr>
                <w:bCs/>
                <w:iCs/>
                <w:snapToGrid w:val="0"/>
                <w:color w:val="auto"/>
                <w:sz w:val="21"/>
                <w:szCs w:val="21"/>
                <w:highlight w:val="none"/>
              </w:rPr>
            </w:pPr>
          </w:p>
        </w:tc>
      </w:tr>
      <w:tr w14:paraId="25F89B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34" w:type="pct"/>
            <w:vAlign w:val="center"/>
          </w:tcPr>
          <w:p w14:paraId="760A35FA">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亚硝酸盐*</w:t>
            </w:r>
          </w:p>
        </w:tc>
        <w:tc>
          <w:tcPr>
            <w:tcW w:w="834" w:type="pct"/>
            <w:vMerge w:val="continue"/>
            <w:vAlign w:val="center"/>
          </w:tcPr>
          <w:p w14:paraId="00C5B315">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4" w:type="pct"/>
            <w:vAlign w:val="center"/>
          </w:tcPr>
          <w:p w14:paraId="3B73D876">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66440AAC">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5B5A4BB0">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2" w:type="pct"/>
            <w:vAlign w:val="center"/>
          </w:tcPr>
          <w:p w14:paraId="32168BA9">
            <w:pPr>
              <w:widowControl/>
              <w:topLinePunct w:val="0"/>
              <w:adjustRightInd/>
              <w:spacing w:line="240" w:lineRule="auto"/>
              <w:ind w:firstLine="0" w:firstLineChars="0"/>
              <w:jc w:val="center"/>
              <w:textAlignment w:val="center"/>
              <w:rPr>
                <w:bCs/>
                <w:iCs/>
                <w:snapToGrid w:val="0"/>
                <w:color w:val="auto"/>
                <w:sz w:val="21"/>
                <w:szCs w:val="21"/>
                <w:highlight w:val="none"/>
              </w:rPr>
            </w:pPr>
          </w:p>
        </w:tc>
      </w:tr>
      <w:tr w14:paraId="790226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34" w:type="pct"/>
            <w:vAlign w:val="center"/>
          </w:tcPr>
          <w:p w14:paraId="4D6D8891">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氨*</w:t>
            </w:r>
          </w:p>
        </w:tc>
        <w:tc>
          <w:tcPr>
            <w:tcW w:w="834" w:type="pct"/>
            <w:vMerge w:val="continue"/>
            <w:vAlign w:val="center"/>
          </w:tcPr>
          <w:p w14:paraId="7E1D0295">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4" w:type="pct"/>
            <w:vAlign w:val="center"/>
          </w:tcPr>
          <w:p w14:paraId="39F8FB26">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1FC7C5BC">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4DF98A79">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2" w:type="pct"/>
            <w:vAlign w:val="center"/>
          </w:tcPr>
          <w:p w14:paraId="7942213D">
            <w:pPr>
              <w:widowControl/>
              <w:topLinePunct w:val="0"/>
              <w:adjustRightInd/>
              <w:spacing w:line="240" w:lineRule="auto"/>
              <w:ind w:firstLine="0" w:firstLineChars="0"/>
              <w:jc w:val="center"/>
              <w:textAlignment w:val="center"/>
              <w:rPr>
                <w:bCs/>
                <w:iCs/>
                <w:snapToGrid w:val="0"/>
                <w:color w:val="auto"/>
                <w:sz w:val="21"/>
                <w:szCs w:val="21"/>
                <w:highlight w:val="none"/>
              </w:rPr>
            </w:pPr>
          </w:p>
        </w:tc>
      </w:tr>
      <w:tr w14:paraId="32C72F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34" w:type="pct"/>
            <w:vAlign w:val="center"/>
          </w:tcPr>
          <w:p w14:paraId="62989504">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活性磷酸盐</w:t>
            </w:r>
          </w:p>
        </w:tc>
        <w:tc>
          <w:tcPr>
            <w:tcW w:w="834" w:type="pct"/>
            <w:vMerge w:val="continue"/>
            <w:vAlign w:val="center"/>
          </w:tcPr>
          <w:p w14:paraId="129999FD">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4" w:type="pct"/>
            <w:vAlign w:val="center"/>
          </w:tcPr>
          <w:p w14:paraId="29B54917">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2AC1CA74">
            <w:pPr>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67808879">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2" w:type="pct"/>
            <w:vAlign w:val="center"/>
          </w:tcPr>
          <w:p w14:paraId="49007CF9">
            <w:pPr>
              <w:spacing w:line="240" w:lineRule="auto"/>
              <w:ind w:firstLine="0" w:firstLineChars="0"/>
              <w:jc w:val="center"/>
              <w:textAlignment w:val="center"/>
              <w:rPr>
                <w:bCs/>
                <w:iCs/>
                <w:snapToGrid w:val="0"/>
                <w:color w:val="auto"/>
                <w:sz w:val="21"/>
                <w:szCs w:val="21"/>
                <w:highlight w:val="none"/>
              </w:rPr>
            </w:pPr>
          </w:p>
        </w:tc>
      </w:tr>
      <w:tr w14:paraId="0B5743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34" w:type="pct"/>
            <w:vAlign w:val="center"/>
          </w:tcPr>
          <w:p w14:paraId="1E6F7F50">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硫化物</w:t>
            </w:r>
          </w:p>
        </w:tc>
        <w:tc>
          <w:tcPr>
            <w:tcW w:w="834" w:type="pct"/>
            <w:vMerge w:val="restart"/>
            <w:vAlign w:val="center"/>
          </w:tcPr>
          <w:p w14:paraId="3673D2B7">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μg/L</w:t>
            </w:r>
          </w:p>
        </w:tc>
        <w:tc>
          <w:tcPr>
            <w:tcW w:w="834" w:type="pct"/>
            <w:vAlign w:val="center"/>
          </w:tcPr>
          <w:p w14:paraId="1467883B">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62E1F96D">
            <w:pPr>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122ABB11">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2" w:type="pct"/>
            <w:vAlign w:val="center"/>
          </w:tcPr>
          <w:p w14:paraId="0C57474E">
            <w:pPr>
              <w:spacing w:line="240" w:lineRule="auto"/>
              <w:ind w:firstLine="0" w:firstLineChars="0"/>
              <w:jc w:val="center"/>
              <w:textAlignment w:val="center"/>
              <w:rPr>
                <w:bCs/>
                <w:iCs/>
                <w:snapToGrid w:val="0"/>
                <w:color w:val="auto"/>
                <w:sz w:val="21"/>
                <w:szCs w:val="21"/>
                <w:highlight w:val="none"/>
              </w:rPr>
            </w:pPr>
          </w:p>
        </w:tc>
      </w:tr>
      <w:tr w14:paraId="00B416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34" w:type="pct"/>
            <w:vAlign w:val="center"/>
          </w:tcPr>
          <w:p w14:paraId="2DD08F06">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挥发酚</w:t>
            </w:r>
          </w:p>
        </w:tc>
        <w:tc>
          <w:tcPr>
            <w:tcW w:w="834" w:type="pct"/>
            <w:vMerge w:val="continue"/>
            <w:vAlign w:val="center"/>
          </w:tcPr>
          <w:p w14:paraId="350BAF93">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4" w:type="pct"/>
            <w:vAlign w:val="center"/>
          </w:tcPr>
          <w:p w14:paraId="1C5B5E71">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7842C5D3">
            <w:pPr>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34AC395F">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2" w:type="pct"/>
            <w:vAlign w:val="center"/>
          </w:tcPr>
          <w:p w14:paraId="4E21C5F5">
            <w:pPr>
              <w:spacing w:line="240" w:lineRule="auto"/>
              <w:ind w:firstLine="0" w:firstLineChars="0"/>
              <w:jc w:val="center"/>
              <w:textAlignment w:val="center"/>
              <w:rPr>
                <w:bCs/>
                <w:iCs/>
                <w:snapToGrid w:val="0"/>
                <w:color w:val="auto"/>
                <w:sz w:val="21"/>
                <w:szCs w:val="21"/>
                <w:highlight w:val="none"/>
              </w:rPr>
            </w:pPr>
          </w:p>
        </w:tc>
      </w:tr>
      <w:tr w14:paraId="4C7B89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34" w:type="pct"/>
            <w:vAlign w:val="center"/>
          </w:tcPr>
          <w:p w14:paraId="17D6E06A">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油类</w:t>
            </w:r>
          </w:p>
        </w:tc>
        <w:tc>
          <w:tcPr>
            <w:tcW w:w="834" w:type="pct"/>
            <w:vMerge w:val="continue"/>
            <w:vAlign w:val="center"/>
          </w:tcPr>
          <w:p w14:paraId="296BF5C3">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4" w:type="pct"/>
            <w:vAlign w:val="center"/>
          </w:tcPr>
          <w:p w14:paraId="2DC0021C">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3A1DBA36">
            <w:pPr>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217D7722">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2" w:type="pct"/>
            <w:vAlign w:val="center"/>
          </w:tcPr>
          <w:p w14:paraId="6550167C">
            <w:pPr>
              <w:spacing w:line="240" w:lineRule="auto"/>
              <w:ind w:firstLine="0" w:firstLineChars="0"/>
              <w:jc w:val="center"/>
              <w:textAlignment w:val="center"/>
              <w:rPr>
                <w:bCs/>
                <w:iCs/>
                <w:snapToGrid w:val="0"/>
                <w:color w:val="auto"/>
                <w:sz w:val="21"/>
                <w:szCs w:val="21"/>
                <w:highlight w:val="none"/>
              </w:rPr>
            </w:pPr>
          </w:p>
        </w:tc>
      </w:tr>
      <w:tr w14:paraId="1AAD97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34" w:type="pct"/>
            <w:vAlign w:val="center"/>
          </w:tcPr>
          <w:p w14:paraId="3A5CE07A">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汞</w:t>
            </w:r>
          </w:p>
        </w:tc>
        <w:tc>
          <w:tcPr>
            <w:tcW w:w="834" w:type="pct"/>
            <w:vMerge w:val="continue"/>
            <w:vAlign w:val="center"/>
          </w:tcPr>
          <w:p w14:paraId="181C781F">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4" w:type="pct"/>
            <w:vAlign w:val="center"/>
          </w:tcPr>
          <w:p w14:paraId="173901E6">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010A96B8">
            <w:pPr>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0E44D33C">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2" w:type="pct"/>
            <w:vAlign w:val="center"/>
          </w:tcPr>
          <w:p w14:paraId="016855BB">
            <w:pPr>
              <w:spacing w:line="240" w:lineRule="auto"/>
              <w:ind w:firstLine="0" w:firstLineChars="0"/>
              <w:jc w:val="center"/>
              <w:textAlignment w:val="center"/>
              <w:rPr>
                <w:bCs/>
                <w:iCs/>
                <w:snapToGrid w:val="0"/>
                <w:color w:val="auto"/>
                <w:sz w:val="21"/>
                <w:szCs w:val="21"/>
                <w:highlight w:val="none"/>
              </w:rPr>
            </w:pPr>
          </w:p>
        </w:tc>
      </w:tr>
      <w:tr w14:paraId="745C21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34" w:type="pct"/>
            <w:vAlign w:val="center"/>
          </w:tcPr>
          <w:p w14:paraId="1086B5B5">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砷</w:t>
            </w:r>
          </w:p>
        </w:tc>
        <w:tc>
          <w:tcPr>
            <w:tcW w:w="834" w:type="pct"/>
            <w:vMerge w:val="continue"/>
            <w:vAlign w:val="center"/>
          </w:tcPr>
          <w:p w14:paraId="1AF587CB">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4" w:type="pct"/>
            <w:vAlign w:val="center"/>
          </w:tcPr>
          <w:p w14:paraId="58674293">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0C71D45A">
            <w:pPr>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05EC3719">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2" w:type="pct"/>
            <w:vAlign w:val="center"/>
          </w:tcPr>
          <w:p w14:paraId="520A689D">
            <w:pPr>
              <w:spacing w:line="240" w:lineRule="auto"/>
              <w:ind w:firstLine="0" w:firstLineChars="0"/>
              <w:jc w:val="center"/>
              <w:textAlignment w:val="center"/>
              <w:rPr>
                <w:bCs/>
                <w:iCs/>
                <w:snapToGrid w:val="0"/>
                <w:color w:val="auto"/>
                <w:sz w:val="21"/>
                <w:szCs w:val="21"/>
                <w:highlight w:val="none"/>
              </w:rPr>
            </w:pPr>
          </w:p>
        </w:tc>
      </w:tr>
      <w:tr w14:paraId="297AC1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34" w:type="pct"/>
            <w:vAlign w:val="center"/>
          </w:tcPr>
          <w:p w14:paraId="0D70D85F">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镉</w:t>
            </w:r>
          </w:p>
        </w:tc>
        <w:tc>
          <w:tcPr>
            <w:tcW w:w="834" w:type="pct"/>
            <w:vMerge w:val="continue"/>
            <w:vAlign w:val="center"/>
          </w:tcPr>
          <w:p w14:paraId="3D296A16">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4" w:type="pct"/>
            <w:vAlign w:val="center"/>
          </w:tcPr>
          <w:p w14:paraId="78D7A2F5">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03939076">
            <w:pPr>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4F19B14B">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2" w:type="pct"/>
            <w:vAlign w:val="center"/>
          </w:tcPr>
          <w:p w14:paraId="27B36D74">
            <w:pPr>
              <w:spacing w:line="240" w:lineRule="auto"/>
              <w:ind w:firstLine="0" w:firstLineChars="0"/>
              <w:jc w:val="center"/>
              <w:textAlignment w:val="center"/>
              <w:rPr>
                <w:bCs/>
                <w:iCs/>
                <w:snapToGrid w:val="0"/>
                <w:color w:val="auto"/>
                <w:sz w:val="21"/>
                <w:szCs w:val="21"/>
                <w:highlight w:val="none"/>
              </w:rPr>
            </w:pPr>
          </w:p>
        </w:tc>
      </w:tr>
      <w:tr w14:paraId="1D517B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34" w:type="pct"/>
            <w:vAlign w:val="center"/>
          </w:tcPr>
          <w:p w14:paraId="655E147A">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铅</w:t>
            </w:r>
          </w:p>
        </w:tc>
        <w:tc>
          <w:tcPr>
            <w:tcW w:w="834" w:type="pct"/>
            <w:vMerge w:val="continue"/>
            <w:vAlign w:val="center"/>
          </w:tcPr>
          <w:p w14:paraId="65448960">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4" w:type="pct"/>
            <w:vAlign w:val="center"/>
          </w:tcPr>
          <w:p w14:paraId="115707C9">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52D270AD">
            <w:pPr>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6E3981B3">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2" w:type="pct"/>
            <w:vAlign w:val="center"/>
          </w:tcPr>
          <w:p w14:paraId="2F319C9A">
            <w:pPr>
              <w:spacing w:line="240" w:lineRule="auto"/>
              <w:ind w:firstLine="0" w:firstLineChars="0"/>
              <w:jc w:val="center"/>
              <w:textAlignment w:val="center"/>
              <w:rPr>
                <w:bCs/>
                <w:iCs/>
                <w:snapToGrid w:val="0"/>
                <w:color w:val="auto"/>
                <w:sz w:val="21"/>
                <w:szCs w:val="21"/>
                <w:highlight w:val="none"/>
              </w:rPr>
            </w:pPr>
          </w:p>
        </w:tc>
      </w:tr>
      <w:tr w14:paraId="4E7BDF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34" w:type="pct"/>
            <w:vAlign w:val="center"/>
          </w:tcPr>
          <w:p w14:paraId="59EAFAB7">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总铬</w:t>
            </w:r>
          </w:p>
        </w:tc>
        <w:tc>
          <w:tcPr>
            <w:tcW w:w="834" w:type="pct"/>
            <w:vMerge w:val="continue"/>
            <w:vAlign w:val="center"/>
          </w:tcPr>
          <w:p w14:paraId="26A11985">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4" w:type="pct"/>
            <w:vAlign w:val="center"/>
          </w:tcPr>
          <w:p w14:paraId="0D5CD165">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3CD9CD82">
            <w:pPr>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0AADC873">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2" w:type="pct"/>
            <w:vAlign w:val="center"/>
          </w:tcPr>
          <w:p w14:paraId="47EF9D8C">
            <w:pPr>
              <w:spacing w:line="240" w:lineRule="auto"/>
              <w:ind w:firstLine="0" w:firstLineChars="0"/>
              <w:jc w:val="center"/>
              <w:textAlignment w:val="center"/>
              <w:rPr>
                <w:bCs/>
                <w:iCs/>
                <w:snapToGrid w:val="0"/>
                <w:color w:val="auto"/>
                <w:sz w:val="21"/>
                <w:szCs w:val="21"/>
                <w:highlight w:val="none"/>
              </w:rPr>
            </w:pPr>
          </w:p>
        </w:tc>
      </w:tr>
      <w:tr w14:paraId="3F0DD2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34" w:type="pct"/>
            <w:vAlign w:val="center"/>
          </w:tcPr>
          <w:p w14:paraId="01370ABB">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铜</w:t>
            </w:r>
          </w:p>
        </w:tc>
        <w:tc>
          <w:tcPr>
            <w:tcW w:w="834" w:type="pct"/>
            <w:vMerge w:val="continue"/>
            <w:vAlign w:val="center"/>
          </w:tcPr>
          <w:p w14:paraId="37A348E7">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4" w:type="pct"/>
            <w:vAlign w:val="center"/>
          </w:tcPr>
          <w:p w14:paraId="0E309CC4">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79FAB7C8">
            <w:pPr>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226976C8">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2" w:type="pct"/>
            <w:vAlign w:val="center"/>
          </w:tcPr>
          <w:p w14:paraId="42FEABB3">
            <w:pPr>
              <w:spacing w:line="240" w:lineRule="auto"/>
              <w:ind w:firstLine="0" w:firstLineChars="0"/>
              <w:jc w:val="center"/>
              <w:textAlignment w:val="center"/>
              <w:rPr>
                <w:bCs/>
                <w:iCs/>
                <w:snapToGrid w:val="0"/>
                <w:color w:val="auto"/>
                <w:sz w:val="21"/>
                <w:szCs w:val="21"/>
                <w:highlight w:val="none"/>
              </w:rPr>
            </w:pPr>
          </w:p>
        </w:tc>
      </w:tr>
      <w:tr w14:paraId="1B1079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34" w:type="pct"/>
            <w:vAlign w:val="center"/>
          </w:tcPr>
          <w:p w14:paraId="10416A97">
            <w:pPr>
              <w:widowControl/>
              <w:topLinePunct w:val="0"/>
              <w:adjustRightInd/>
              <w:spacing w:line="240" w:lineRule="auto"/>
              <w:ind w:firstLine="0" w:firstLineChars="0"/>
              <w:jc w:val="center"/>
              <w:textAlignment w:val="center"/>
              <w:rPr>
                <w:bCs/>
                <w:iCs/>
                <w:snapToGrid w:val="0"/>
                <w:color w:val="auto"/>
                <w:sz w:val="21"/>
                <w:szCs w:val="21"/>
                <w:highlight w:val="none"/>
              </w:rPr>
            </w:pPr>
            <w:r>
              <w:rPr>
                <w:bCs/>
                <w:iCs/>
                <w:snapToGrid w:val="0"/>
                <w:color w:val="auto"/>
                <w:sz w:val="21"/>
                <w:szCs w:val="21"/>
                <w:highlight w:val="none"/>
              </w:rPr>
              <w:t>锌</w:t>
            </w:r>
          </w:p>
        </w:tc>
        <w:tc>
          <w:tcPr>
            <w:tcW w:w="834" w:type="pct"/>
            <w:vMerge w:val="continue"/>
            <w:vAlign w:val="center"/>
          </w:tcPr>
          <w:p w14:paraId="38A2D91B">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4" w:type="pct"/>
            <w:vAlign w:val="center"/>
          </w:tcPr>
          <w:p w14:paraId="5A6FA7C4">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0883E492">
            <w:pPr>
              <w:spacing w:line="240" w:lineRule="auto"/>
              <w:ind w:firstLine="0" w:firstLineChars="0"/>
              <w:jc w:val="center"/>
              <w:textAlignment w:val="center"/>
              <w:rPr>
                <w:bCs/>
                <w:iCs/>
                <w:snapToGrid w:val="0"/>
                <w:color w:val="auto"/>
                <w:sz w:val="21"/>
                <w:szCs w:val="21"/>
                <w:highlight w:val="none"/>
              </w:rPr>
            </w:pPr>
          </w:p>
        </w:tc>
        <w:tc>
          <w:tcPr>
            <w:tcW w:w="833" w:type="pct"/>
            <w:vAlign w:val="center"/>
          </w:tcPr>
          <w:p w14:paraId="46E46AC3">
            <w:pPr>
              <w:widowControl/>
              <w:topLinePunct w:val="0"/>
              <w:adjustRightInd/>
              <w:spacing w:line="240" w:lineRule="auto"/>
              <w:ind w:firstLine="0" w:firstLineChars="0"/>
              <w:jc w:val="center"/>
              <w:textAlignment w:val="center"/>
              <w:rPr>
                <w:bCs/>
                <w:iCs/>
                <w:snapToGrid w:val="0"/>
                <w:color w:val="auto"/>
                <w:sz w:val="21"/>
                <w:szCs w:val="21"/>
                <w:highlight w:val="none"/>
              </w:rPr>
            </w:pPr>
          </w:p>
        </w:tc>
        <w:tc>
          <w:tcPr>
            <w:tcW w:w="832" w:type="pct"/>
            <w:vAlign w:val="center"/>
          </w:tcPr>
          <w:p w14:paraId="43E09DBF">
            <w:pPr>
              <w:spacing w:line="240" w:lineRule="auto"/>
              <w:ind w:firstLine="0" w:firstLineChars="0"/>
              <w:jc w:val="center"/>
              <w:textAlignment w:val="center"/>
              <w:rPr>
                <w:bCs/>
                <w:iCs/>
                <w:snapToGrid w:val="0"/>
                <w:color w:val="auto"/>
                <w:sz w:val="21"/>
                <w:szCs w:val="21"/>
                <w:highlight w:val="none"/>
              </w:rPr>
            </w:pPr>
          </w:p>
        </w:tc>
      </w:tr>
    </w:tbl>
    <w:p w14:paraId="6207CC42">
      <w:pPr>
        <w:widowControl/>
        <w:topLinePunct w:val="0"/>
        <w:adjustRightInd/>
        <w:spacing w:line="240" w:lineRule="auto"/>
        <w:ind w:firstLine="0" w:firstLineChars="0"/>
        <w:jc w:val="left"/>
        <w:rPr>
          <w:b/>
          <w:color w:val="auto"/>
          <w:sz w:val="21"/>
          <w:szCs w:val="21"/>
          <w:highlight w:val="none"/>
        </w:rPr>
      </w:pPr>
      <w:r>
        <w:rPr>
          <w:b/>
          <w:iCs/>
          <w:snapToGrid w:val="0"/>
          <w:color w:val="auto"/>
          <w:sz w:val="21"/>
          <w:szCs w:val="21"/>
          <w:highlight w:val="none"/>
        </w:rPr>
        <w:t>注：“*”无评价标准，仅有监测数据。</w:t>
      </w:r>
    </w:p>
    <w:p w14:paraId="6033FB88">
      <w:pPr>
        <w:kinsoku w:val="0"/>
        <w:overflowPunct w:val="0"/>
        <w:topLinePunct w:val="0"/>
        <w:autoSpaceDE w:val="0"/>
        <w:autoSpaceDN w:val="0"/>
        <w:snapToGrid/>
        <w:spacing w:before="9" w:line="10" w:lineRule="exact"/>
        <w:ind w:firstLine="0" w:firstLineChars="0"/>
        <w:jc w:val="left"/>
        <w:rPr>
          <w:color w:val="auto"/>
          <w:sz w:val="2"/>
          <w:szCs w:val="2"/>
          <w:highlight w:val="none"/>
        </w:rPr>
      </w:pPr>
    </w:p>
    <w:p w14:paraId="45457E67">
      <w:pPr>
        <w:pStyle w:val="533"/>
        <w:numPr>
          <w:ilvl w:val="3"/>
          <w:numId w:val="9"/>
        </w:numPr>
        <w:rPr>
          <w:color w:val="auto"/>
          <w:szCs w:val="24"/>
          <w:highlight w:val="none"/>
        </w:rPr>
      </w:pPr>
      <w:r>
        <w:rPr>
          <w:color w:val="auto"/>
          <w:szCs w:val="24"/>
          <w:highlight w:val="none"/>
        </w:rPr>
        <w:t>海洋生态现状调查与评价</w:t>
      </w:r>
    </w:p>
    <w:p w14:paraId="160F01C6">
      <w:pPr>
        <w:pStyle w:val="11"/>
        <w:numPr>
          <w:ilvl w:val="0"/>
          <w:numId w:val="0"/>
        </w:numPr>
        <w:spacing w:before="0" w:after="0" w:line="360" w:lineRule="auto"/>
        <w:ind w:firstLine="482" w:firstLineChars="200"/>
        <w:rPr>
          <w:color w:val="auto"/>
          <w:sz w:val="24"/>
          <w:szCs w:val="24"/>
          <w:highlight w:val="none"/>
        </w:rPr>
      </w:pPr>
      <w:r>
        <w:rPr>
          <w:color w:val="auto"/>
          <w:sz w:val="24"/>
          <w:szCs w:val="24"/>
          <w:highlight w:val="none"/>
        </w:rPr>
        <w:t>（1）调查内容及调查方法</w:t>
      </w:r>
    </w:p>
    <w:p w14:paraId="58C3BFED">
      <w:pPr>
        <w:ind w:firstLine="480"/>
        <w:rPr>
          <w:color w:val="auto"/>
          <w:highlight w:val="none"/>
        </w:rPr>
      </w:pPr>
      <w:r>
        <w:rPr>
          <w:color w:val="auto"/>
          <w:highlight w:val="none"/>
        </w:rPr>
        <w:t>1）调查内容</w:t>
      </w:r>
    </w:p>
    <w:p w14:paraId="68A6CD5F">
      <w:pPr>
        <w:ind w:firstLine="480"/>
        <w:rPr>
          <w:color w:val="auto"/>
          <w:highlight w:val="none"/>
        </w:rPr>
      </w:pPr>
      <w:r>
        <w:rPr>
          <w:color w:val="auto"/>
          <w:highlight w:val="none"/>
        </w:rPr>
        <w:t>根据《环境影响评价技术导则  海洋生态环境》（HJ1409-2025）“6.4.3海洋生态现状评价”要求：三级评价项目依据</w:t>
      </w:r>
      <w:r>
        <w:rPr>
          <w:rFonts w:hint="eastAsia"/>
          <w:color w:val="auto"/>
          <w:highlight w:val="none"/>
          <w:lang w:eastAsia="zh-CN"/>
        </w:rPr>
        <w:t>收集</w:t>
      </w:r>
      <w:r>
        <w:rPr>
          <w:color w:val="auto"/>
          <w:highlight w:val="none"/>
        </w:rPr>
        <w:t>的资料定量或定性分析生物生态现状及特点、定量或定性</w:t>
      </w:r>
      <w:r>
        <w:rPr>
          <w:rFonts w:hint="eastAsia"/>
          <w:color w:val="auto"/>
          <w:highlight w:val="none"/>
          <w:lang w:eastAsia="zh-CN"/>
        </w:rPr>
        <w:t>分析</w:t>
      </w:r>
      <w:r>
        <w:rPr>
          <w:color w:val="auto"/>
          <w:highlight w:val="none"/>
        </w:rPr>
        <w:t>评价生物质量各评价因子的环境现状及特点。本次海洋生态现状调查分为生物生态和生物资源调查和生物质量调查，其中生物生态和生物资源主要引用叶绿素a、浮游植物、浮游动物、底栖生物调查数据；生物质量调查因子包括：石油烃、总汞、镉、铅、铬、铜、锌、砷。</w:t>
      </w:r>
    </w:p>
    <w:p w14:paraId="6221B364">
      <w:pPr>
        <w:ind w:firstLine="480"/>
        <w:rPr>
          <w:color w:val="auto"/>
          <w:highlight w:val="none"/>
        </w:rPr>
      </w:pPr>
      <w:r>
        <w:rPr>
          <w:color w:val="auto"/>
          <w:highlight w:val="none"/>
        </w:rPr>
        <w:t>2）调查方法</w:t>
      </w:r>
    </w:p>
    <w:p w14:paraId="41EBE329">
      <w:pPr>
        <w:ind w:firstLine="480"/>
        <w:rPr>
          <w:color w:val="auto"/>
          <w:highlight w:val="none"/>
        </w:rPr>
      </w:pPr>
      <w:r>
        <w:rPr>
          <w:color w:val="auto"/>
          <w:highlight w:val="none"/>
        </w:rPr>
        <w:t>现场采集所有生物样品带回实验室分析，采集与分析方法如下：</w:t>
      </w:r>
    </w:p>
    <w:p w14:paraId="117681F3">
      <w:pPr>
        <w:ind w:firstLine="480"/>
        <w:rPr>
          <w:color w:val="auto"/>
          <w:highlight w:val="none"/>
        </w:rPr>
      </w:pPr>
      <w:r>
        <w:rPr>
          <w:color w:val="auto"/>
          <w:highlight w:val="none"/>
        </w:rPr>
        <w:t>生物生态调查站位依据《海洋监测规范》（GB17378-2007）的技术要求执行，具体 的调查与分析方法如下：</w:t>
      </w:r>
    </w:p>
    <w:p w14:paraId="0A6409E4">
      <w:pPr>
        <w:ind w:firstLine="480"/>
        <w:rPr>
          <w:color w:val="auto"/>
          <w:highlight w:val="none"/>
        </w:rPr>
      </w:pPr>
      <w:r>
        <w:rPr>
          <w:color w:val="auto"/>
          <w:highlight w:val="none"/>
        </w:rPr>
        <w:t>①叶绿素a</w:t>
      </w:r>
    </w:p>
    <w:p w14:paraId="3ADC35A9">
      <w:pPr>
        <w:ind w:firstLine="480"/>
        <w:rPr>
          <w:color w:val="auto"/>
          <w:highlight w:val="none"/>
        </w:rPr>
      </w:pPr>
      <w:r>
        <w:rPr>
          <w:color w:val="auto"/>
          <w:highlight w:val="none"/>
        </w:rPr>
        <w:t>海水叶绿素a的含量和海洋初级生产力水平的监测，共布设</w:t>
      </w:r>
      <w:r>
        <w:rPr>
          <w:rFonts w:hint="eastAsia"/>
          <w:color w:val="auto"/>
          <w:highlight w:val="none"/>
        </w:rPr>
        <w:t>2</w:t>
      </w:r>
      <w:r>
        <w:rPr>
          <w:color w:val="auto"/>
          <w:highlight w:val="none"/>
        </w:rPr>
        <w:t>个调查站位，与水质调查同步开展，海水透明度作同步观测，用以估算海洋初级生产力水平。叶绿素a的测定按照《海洋监测规范》（GB 17378.7 -2007）中规定的方法（分光光度法）进行。</w:t>
      </w:r>
    </w:p>
    <w:p w14:paraId="2D037953">
      <w:pPr>
        <w:ind w:firstLine="480"/>
        <w:rPr>
          <w:color w:val="auto"/>
          <w:highlight w:val="none"/>
        </w:rPr>
      </w:pPr>
      <w:r>
        <w:rPr>
          <w:color w:val="auto"/>
          <w:highlight w:val="none"/>
        </w:rPr>
        <w:t>②浮游植物</w:t>
      </w:r>
    </w:p>
    <w:p w14:paraId="79523253">
      <w:pPr>
        <w:ind w:firstLine="480"/>
        <w:rPr>
          <w:color w:val="auto"/>
          <w:highlight w:val="none"/>
        </w:rPr>
      </w:pPr>
      <w:r>
        <w:rPr>
          <w:color w:val="auto"/>
          <w:highlight w:val="none"/>
        </w:rPr>
        <w:t>浮游植物的采样分析按照《海洋监测规范第7部分：近海污染生态调查和生物调查》（GB17378.7-2007）进行。浮游植物现场采样调查共布设</w:t>
      </w:r>
      <w:r>
        <w:rPr>
          <w:rFonts w:hint="eastAsia"/>
          <w:color w:val="auto"/>
          <w:highlight w:val="none"/>
        </w:rPr>
        <w:t>2</w:t>
      </w:r>
      <w:r>
        <w:rPr>
          <w:color w:val="auto"/>
          <w:highlight w:val="none"/>
        </w:rPr>
        <w:t>个站点，现场调查采用浅水Ⅲ型浮游生物网（网口面积0.1m2，网口直径37cm，网长140cm）由海底至海面作垂直拖网一次，采集到的样品用5%的甲醛溶液固定，然后带回实验室进行镜检分析、种类鉴定和个体数量计数。</w:t>
      </w:r>
    </w:p>
    <w:p w14:paraId="61619DCD">
      <w:pPr>
        <w:ind w:firstLine="480"/>
        <w:rPr>
          <w:color w:val="auto"/>
          <w:highlight w:val="none"/>
        </w:rPr>
      </w:pPr>
      <w:r>
        <w:rPr>
          <w:color w:val="auto"/>
          <w:highlight w:val="none"/>
        </w:rPr>
        <w:t>③浮游动物</w:t>
      </w:r>
    </w:p>
    <w:p w14:paraId="78EFA0DA">
      <w:pPr>
        <w:ind w:firstLine="480"/>
        <w:rPr>
          <w:color w:val="auto"/>
          <w:highlight w:val="none"/>
        </w:rPr>
      </w:pPr>
      <w:r>
        <w:rPr>
          <w:color w:val="auto"/>
          <w:highlight w:val="none"/>
        </w:rPr>
        <w:t>现场调查采用浅水Ⅰ型浮游生物网（网口面积0.2 m</w:t>
      </w:r>
      <w:r>
        <w:rPr>
          <w:color w:val="auto"/>
          <w:highlight w:val="none"/>
          <w:vertAlign w:val="superscript"/>
        </w:rPr>
        <w:t>2</w:t>
      </w:r>
      <w:r>
        <w:rPr>
          <w:color w:val="auto"/>
          <w:highlight w:val="none"/>
        </w:rPr>
        <w:t>，网口直径50cm，网长145cm）由海底至海面垂直拖网一次，采集到的样品用5%的甲醛溶液固定，带回实验室进行种类鉴定、个体数量计数和生物量称重。</w:t>
      </w:r>
    </w:p>
    <w:p w14:paraId="1BFAD42B">
      <w:pPr>
        <w:ind w:firstLine="480"/>
        <w:rPr>
          <w:color w:val="auto"/>
          <w:highlight w:val="none"/>
        </w:rPr>
      </w:pPr>
      <w:r>
        <w:rPr>
          <w:color w:val="auto"/>
          <w:highlight w:val="none"/>
        </w:rPr>
        <w:t>④大型底栖生物</w:t>
      </w:r>
    </w:p>
    <w:p w14:paraId="00AA2A99">
      <w:pPr>
        <w:ind w:firstLine="480"/>
        <w:rPr>
          <w:color w:val="auto"/>
          <w:highlight w:val="none"/>
        </w:rPr>
      </w:pPr>
      <w:r>
        <w:rPr>
          <w:color w:val="auto"/>
          <w:highlight w:val="none"/>
        </w:rPr>
        <w:t>定量样品一般采用开口面积为0.05m</w:t>
      </w:r>
      <w:r>
        <w:rPr>
          <w:color w:val="auto"/>
          <w:highlight w:val="none"/>
          <w:vertAlign w:val="superscript"/>
        </w:rPr>
        <w:t>2</w:t>
      </w:r>
      <w:r>
        <w:rPr>
          <w:color w:val="auto"/>
          <w:highlight w:val="none"/>
        </w:rPr>
        <w:t>的抓斗式采泥器采集，每站采样2次，泥样淘洗后，拣出所有底栖生物装入样品瓶中，用5%的甲醛溶液固定；定性样品用阿氏拖网采样，采集到的样品亦用5％甲醛溶液固定保存。</w:t>
      </w:r>
    </w:p>
    <w:p w14:paraId="1B30F32C">
      <w:pPr>
        <w:pStyle w:val="11"/>
        <w:numPr>
          <w:ilvl w:val="0"/>
          <w:numId w:val="0"/>
        </w:numPr>
        <w:spacing w:before="0" w:after="0" w:line="360" w:lineRule="auto"/>
        <w:ind w:firstLine="482" w:firstLineChars="200"/>
        <w:rPr>
          <w:color w:val="auto"/>
          <w:sz w:val="24"/>
          <w:szCs w:val="24"/>
          <w:highlight w:val="none"/>
        </w:rPr>
      </w:pPr>
      <w:r>
        <w:rPr>
          <w:color w:val="auto"/>
          <w:sz w:val="24"/>
          <w:szCs w:val="24"/>
          <w:highlight w:val="none"/>
        </w:rPr>
        <w:t>（2）评价方法</w:t>
      </w:r>
    </w:p>
    <w:p w14:paraId="3FED8C51">
      <w:pPr>
        <w:pStyle w:val="38"/>
        <w:spacing w:after="0"/>
        <w:ind w:firstLine="480"/>
        <w:rPr>
          <w:rFonts w:eastAsiaTheme="minorEastAsia"/>
          <w:color w:val="auto"/>
          <w:highlight w:val="none"/>
        </w:rPr>
      </w:pPr>
      <w:r>
        <w:rPr>
          <w:rFonts w:eastAsiaTheme="minorEastAsia"/>
          <w:color w:val="auto"/>
          <w:highlight w:val="none"/>
        </w:rPr>
        <w:t>用反映生物群落特征指数，多样性指数（H′）、均匀度（J）和丰富度（d）对所调查的生物群落结构特征进行分析。计算公式如下。</w:t>
      </w:r>
    </w:p>
    <w:p w14:paraId="172CE0A6">
      <w:pPr>
        <w:pStyle w:val="38"/>
        <w:spacing w:after="0"/>
        <w:ind w:firstLine="480"/>
        <w:rPr>
          <w:color w:val="auto"/>
          <w:highlight w:val="none"/>
        </w:rPr>
      </w:pPr>
      <w:r>
        <w:rPr>
          <w:color w:val="auto"/>
          <w:highlight w:val="none"/>
        </w:rPr>
        <w:t>①初级生产力</w:t>
      </w:r>
    </w:p>
    <w:p w14:paraId="2FB2FA9A">
      <w:pPr>
        <w:pStyle w:val="38"/>
        <w:spacing w:after="0"/>
        <w:ind w:firstLine="480"/>
        <w:rPr>
          <w:color w:val="auto"/>
          <w:highlight w:val="none"/>
        </w:rPr>
      </w:pPr>
      <w:r>
        <w:rPr>
          <w:color w:val="auto"/>
          <w:highlight w:val="none"/>
        </w:rPr>
        <w:t>初级生产力的估算采用叶绿素α法，按联合国教科文组织（UNESCO）推荐的下列公式估算：</w:t>
      </w:r>
    </w:p>
    <w:p w14:paraId="0044A590">
      <w:pPr>
        <w:pStyle w:val="38"/>
        <w:spacing w:after="0"/>
        <w:ind w:firstLine="0" w:firstLineChars="0"/>
        <w:jc w:val="center"/>
        <w:rPr>
          <w:color w:val="auto"/>
          <w:highlight w:val="none"/>
        </w:rPr>
      </w:pPr>
      <w:r>
        <w:rPr>
          <w:color w:val="auto"/>
          <w:highlight w:val="none"/>
        </w:rPr>
        <w:drawing>
          <wp:inline distT="0" distB="0" distL="0" distR="0">
            <wp:extent cx="1208405" cy="480695"/>
            <wp:effectExtent l="0" t="0" r="10795" b="14605"/>
            <wp:docPr id="1720621969" name="图片 172062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21969" name="图片 1720621969"/>
                    <pic:cNvPicPr>
                      <a:picLocks noChangeAspect="1"/>
                    </pic:cNvPicPr>
                  </pic:nvPicPr>
                  <pic:blipFill>
                    <a:blip r:embed="rId114"/>
                    <a:stretch>
                      <a:fillRect/>
                    </a:stretch>
                  </pic:blipFill>
                  <pic:spPr>
                    <a:xfrm>
                      <a:off x="0" y="0"/>
                      <a:ext cx="1233669" cy="490884"/>
                    </a:xfrm>
                    <a:prstGeom prst="rect">
                      <a:avLst/>
                    </a:prstGeom>
                  </pic:spPr>
                </pic:pic>
              </a:graphicData>
            </a:graphic>
          </wp:inline>
        </w:drawing>
      </w:r>
    </w:p>
    <w:p w14:paraId="649040F4">
      <w:pPr>
        <w:pStyle w:val="38"/>
        <w:spacing w:after="0"/>
        <w:ind w:firstLine="480"/>
        <w:rPr>
          <w:color w:val="auto"/>
          <w:highlight w:val="none"/>
        </w:rPr>
      </w:pPr>
      <w:r>
        <w:rPr>
          <w:color w:val="auto"/>
          <w:highlight w:val="none"/>
        </w:rPr>
        <w:t>式中：P——现场初级生产力（mg·C/(m</w:t>
      </w:r>
      <w:r>
        <w:rPr>
          <w:color w:val="auto"/>
          <w:highlight w:val="none"/>
          <w:vertAlign w:val="superscript"/>
        </w:rPr>
        <w:t>2</w:t>
      </w:r>
      <w:r>
        <w:rPr>
          <w:color w:val="auto"/>
          <w:highlight w:val="none"/>
        </w:rPr>
        <w:t>·d)）；</w:t>
      </w:r>
    </w:p>
    <w:p w14:paraId="0D18C0F7">
      <w:pPr>
        <w:pStyle w:val="38"/>
        <w:spacing w:after="0"/>
        <w:ind w:firstLine="1132" w:firstLineChars="472"/>
        <w:rPr>
          <w:color w:val="auto"/>
          <w:highlight w:val="none"/>
        </w:rPr>
      </w:pPr>
      <w:r>
        <w:rPr>
          <w:color w:val="auto"/>
          <w:highlight w:val="none"/>
        </w:rPr>
        <w:t>chla——真光层内平均叶绿素α 含量（mg/m</w:t>
      </w:r>
      <w:r>
        <w:rPr>
          <w:color w:val="auto"/>
          <w:highlight w:val="none"/>
          <w:vertAlign w:val="superscript"/>
        </w:rPr>
        <w:t>3</w:t>
      </w:r>
      <w:r>
        <w:rPr>
          <w:color w:val="auto"/>
          <w:highlight w:val="none"/>
        </w:rPr>
        <w:t>）</w:t>
      </w:r>
    </w:p>
    <w:p w14:paraId="09AF69F3">
      <w:pPr>
        <w:pStyle w:val="38"/>
        <w:spacing w:after="0"/>
        <w:ind w:firstLine="1132" w:firstLineChars="472"/>
        <w:rPr>
          <w:color w:val="auto"/>
          <w:highlight w:val="none"/>
        </w:rPr>
      </w:pPr>
      <w:r>
        <w:rPr>
          <w:color w:val="auto"/>
          <w:highlight w:val="none"/>
        </w:rPr>
        <w:t>Q——不同层次同化指数算术平均值，取3.7</w:t>
      </w:r>
    </w:p>
    <w:p w14:paraId="298034D1">
      <w:pPr>
        <w:pStyle w:val="38"/>
        <w:spacing w:after="0"/>
        <w:ind w:firstLine="1132" w:firstLineChars="472"/>
        <w:rPr>
          <w:color w:val="auto"/>
          <w:highlight w:val="none"/>
        </w:rPr>
      </w:pPr>
      <w:r>
        <w:rPr>
          <w:color w:val="auto"/>
          <w:highlight w:val="none"/>
        </w:rPr>
        <w:t>D——昼长时间（h），根据季节和海区情况取12小时；</w:t>
      </w:r>
    </w:p>
    <w:p w14:paraId="36770FD7">
      <w:pPr>
        <w:pStyle w:val="38"/>
        <w:spacing w:after="0"/>
        <w:ind w:firstLine="480"/>
        <w:rPr>
          <w:color w:val="auto"/>
          <w:highlight w:val="none"/>
        </w:rPr>
      </w:pPr>
      <w:r>
        <w:rPr>
          <w:color w:val="auto"/>
          <w:highlight w:val="none"/>
        </w:rPr>
        <w:t>E—真光层深度，取3m。</w:t>
      </w:r>
    </w:p>
    <w:p w14:paraId="10A783C0">
      <w:pPr>
        <w:pStyle w:val="38"/>
        <w:spacing w:after="0"/>
        <w:ind w:firstLine="480"/>
        <w:rPr>
          <w:rFonts w:eastAsiaTheme="minorEastAsia"/>
          <w:color w:val="auto"/>
          <w:highlight w:val="none"/>
        </w:rPr>
      </w:pPr>
      <w:r>
        <w:rPr>
          <w:color w:val="auto"/>
          <w:highlight w:val="none"/>
        </w:rPr>
        <w:t>②</w:t>
      </w:r>
      <w:r>
        <w:rPr>
          <w:rFonts w:eastAsiaTheme="minorEastAsia"/>
          <w:color w:val="auto"/>
          <w:highlight w:val="none"/>
        </w:rPr>
        <w:t>香农-韦弗（Shannon-Weaver）多样性指数</w:t>
      </w:r>
    </w:p>
    <w:p w14:paraId="05760BA9">
      <w:pPr>
        <w:topLinePunct w:val="0"/>
        <w:autoSpaceDE w:val="0"/>
        <w:autoSpaceDN w:val="0"/>
        <w:ind w:firstLineChars="0"/>
        <w:jc w:val="center"/>
        <w:rPr>
          <w:color w:val="auto"/>
          <w:highlight w:val="none"/>
        </w:rPr>
      </w:pPr>
      <w:r>
        <w:rPr>
          <w:color w:val="auto"/>
          <w:highlight w:val="none"/>
        </w:rPr>
        <w:drawing>
          <wp:inline distT="0" distB="0" distL="0" distR="0">
            <wp:extent cx="1470660" cy="428625"/>
            <wp:effectExtent l="0" t="0" r="15240" b="952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15"/>
                    <a:stretch>
                      <a:fillRect/>
                    </a:stretch>
                  </pic:blipFill>
                  <pic:spPr>
                    <a:xfrm>
                      <a:off x="0" y="0"/>
                      <a:ext cx="1518387" cy="442607"/>
                    </a:xfrm>
                    <a:prstGeom prst="rect">
                      <a:avLst/>
                    </a:prstGeom>
                  </pic:spPr>
                </pic:pic>
              </a:graphicData>
            </a:graphic>
          </wp:inline>
        </w:drawing>
      </w:r>
    </w:p>
    <w:p w14:paraId="1CA9FAA2">
      <w:pPr>
        <w:pStyle w:val="38"/>
        <w:spacing w:after="0"/>
        <w:ind w:firstLine="480"/>
        <w:rPr>
          <w:rFonts w:eastAsiaTheme="minorEastAsia"/>
          <w:color w:val="auto"/>
          <w:highlight w:val="none"/>
        </w:rPr>
      </w:pPr>
      <w:r>
        <w:rPr>
          <w:rFonts w:eastAsiaTheme="minorEastAsia"/>
          <w:color w:val="auto"/>
          <w:highlight w:val="none"/>
        </w:rPr>
        <w:t>式中：H'---生物多样性指数；</w:t>
      </w:r>
    </w:p>
    <w:p w14:paraId="4000E115">
      <w:pPr>
        <w:pStyle w:val="38"/>
        <w:spacing w:after="0"/>
        <w:ind w:firstLine="1132" w:firstLineChars="472"/>
        <w:rPr>
          <w:rFonts w:eastAsiaTheme="minorEastAsia"/>
          <w:color w:val="auto"/>
          <w:highlight w:val="none"/>
        </w:rPr>
      </w:pPr>
      <w:r>
        <w:rPr>
          <w:rFonts w:eastAsiaTheme="minorEastAsia"/>
          <w:color w:val="auto"/>
          <w:highlight w:val="none"/>
        </w:rPr>
        <w:t>S ---样品中的种类数量；</w:t>
      </w:r>
    </w:p>
    <w:p w14:paraId="7CC7C05C">
      <w:pPr>
        <w:pStyle w:val="38"/>
        <w:spacing w:after="0"/>
        <w:ind w:firstLine="1132" w:firstLineChars="472"/>
        <w:rPr>
          <w:rFonts w:eastAsiaTheme="minorEastAsia"/>
          <w:color w:val="auto"/>
          <w:highlight w:val="none"/>
        </w:rPr>
      </w:pPr>
      <w:r>
        <w:rPr>
          <w:rFonts w:eastAsiaTheme="minorEastAsia"/>
          <w:color w:val="auto"/>
          <w:highlight w:val="none"/>
        </w:rPr>
        <w:t>Pi ---第i 种的个体数与总个体数的比值。</w:t>
      </w:r>
    </w:p>
    <w:p w14:paraId="162B928B">
      <w:pPr>
        <w:pStyle w:val="38"/>
        <w:spacing w:after="0"/>
        <w:ind w:firstLine="480"/>
        <w:rPr>
          <w:rFonts w:eastAsiaTheme="minorEastAsia"/>
          <w:color w:val="auto"/>
          <w:highlight w:val="none"/>
        </w:rPr>
      </w:pPr>
      <w:r>
        <w:rPr>
          <w:color w:val="auto"/>
          <w:highlight w:val="none"/>
        </w:rPr>
        <w:t>③</w:t>
      </w:r>
      <w:r>
        <w:rPr>
          <w:rFonts w:eastAsiaTheme="minorEastAsia"/>
          <w:color w:val="auto"/>
          <w:highlight w:val="none"/>
        </w:rPr>
        <w:t>均匀度指数</w:t>
      </w:r>
    </w:p>
    <w:p w14:paraId="20A1A18F">
      <w:pPr>
        <w:pStyle w:val="26"/>
        <w:ind w:firstLineChars="0"/>
        <w:jc w:val="center"/>
        <w:rPr>
          <w:rFonts w:ascii="Times New Roman" w:hAnsi="Times New Roman"/>
          <w:color w:val="auto"/>
          <w:highlight w:val="none"/>
        </w:rPr>
      </w:pPr>
      <w:r>
        <w:rPr>
          <w:rFonts w:ascii="Times New Roman" w:hAnsi="Times New Roman"/>
          <w:color w:val="auto"/>
          <w:highlight w:val="none"/>
        </w:rPr>
        <w:drawing>
          <wp:inline distT="0" distB="0" distL="0" distR="0">
            <wp:extent cx="708660" cy="452120"/>
            <wp:effectExtent l="0" t="0" r="15240" b="508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16"/>
                    <a:stretch>
                      <a:fillRect/>
                    </a:stretch>
                  </pic:blipFill>
                  <pic:spPr>
                    <a:xfrm>
                      <a:off x="0" y="0"/>
                      <a:ext cx="734314" cy="468712"/>
                    </a:xfrm>
                    <a:prstGeom prst="rect">
                      <a:avLst/>
                    </a:prstGeom>
                  </pic:spPr>
                </pic:pic>
              </a:graphicData>
            </a:graphic>
          </wp:inline>
        </w:drawing>
      </w:r>
    </w:p>
    <w:p w14:paraId="73BFB43A">
      <w:pPr>
        <w:pStyle w:val="38"/>
        <w:spacing w:after="0"/>
        <w:ind w:firstLine="480"/>
        <w:rPr>
          <w:rFonts w:eastAsiaTheme="minorEastAsia"/>
          <w:color w:val="auto"/>
          <w:highlight w:val="none"/>
        </w:rPr>
      </w:pPr>
      <w:r>
        <w:rPr>
          <w:rFonts w:eastAsiaTheme="minorEastAsia"/>
          <w:color w:val="auto"/>
          <w:highlight w:val="none"/>
        </w:rPr>
        <w:t>式中：J ---均匀度指数；</w:t>
      </w:r>
    </w:p>
    <w:p w14:paraId="1C7207A3">
      <w:pPr>
        <w:pStyle w:val="38"/>
        <w:spacing w:after="0"/>
        <w:ind w:firstLine="1132" w:firstLineChars="472"/>
        <w:rPr>
          <w:rFonts w:eastAsiaTheme="minorEastAsia"/>
          <w:color w:val="auto"/>
          <w:highlight w:val="none"/>
        </w:rPr>
      </w:pPr>
      <w:r>
        <w:rPr>
          <w:rFonts w:eastAsiaTheme="minorEastAsia"/>
          <w:color w:val="auto"/>
          <w:highlight w:val="none"/>
        </w:rPr>
        <w:t>H'---多样性指数；</w:t>
      </w:r>
    </w:p>
    <w:p w14:paraId="5D9BC7B6">
      <w:pPr>
        <w:pStyle w:val="38"/>
        <w:spacing w:after="0"/>
        <w:ind w:firstLine="1132" w:firstLineChars="472"/>
        <w:rPr>
          <w:rFonts w:eastAsiaTheme="minorEastAsia"/>
          <w:color w:val="auto"/>
          <w:highlight w:val="none"/>
        </w:rPr>
      </w:pPr>
      <w:r>
        <w:rPr>
          <w:rFonts w:eastAsiaTheme="minorEastAsia"/>
          <w:color w:val="auto"/>
          <w:highlight w:val="none"/>
        </w:rPr>
        <w:t>Hmax---log2S，表示多样性指数的最大值；</w:t>
      </w:r>
    </w:p>
    <w:p w14:paraId="3C49869B">
      <w:pPr>
        <w:pStyle w:val="38"/>
        <w:spacing w:after="0"/>
        <w:ind w:firstLine="1132" w:firstLineChars="472"/>
        <w:rPr>
          <w:rFonts w:eastAsiaTheme="minorEastAsia"/>
          <w:color w:val="auto"/>
          <w:highlight w:val="none"/>
        </w:rPr>
      </w:pPr>
      <w:r>
        <w:rPr>
          <w:rFonts w:eastAsiaTheme="minorEastAsia"/>
          <w:color w:val="auto"/>
          <w:highlight w:val="none"/>
        </w:rPr>
        <w:t>S---样品中的种类数量。</w:t>
      </w:r>
    </w:p>
    <w:p w14:paraId="6BBDBAF4">
      <w:pPr>
        <w:pStyle w:val="38"/>
        <w:spacing w:after="0"/>
        <w:ind w:firstLine="468"/>
        <w:rPr>
          <w:rFonts w:eastAsiaTheme="minorEastAsia"/>
          <w:color w:val="auto"/>
          <w:highlight w:val="none"/>
        </w:rPr>
      </w:pPr>
      <w:r>
        <w:rPr>
          <w:color w:val="auto"/>
          <w:spacing w:val="-3"/>
          <w:highlight w:val="none"/>
        </w:rPr>
        <w:t>④</w:t>
      </w:r>
      <w:r>
        <w:rPr>
          <w:rFonts w:eastAsiaTheme="minorEastAsia"/>
          <w:color w:val="auto"/>
          <w:highlight w:val="none"/>
        </w:rPr>
        <w:t>丰富度指数</w:t>
      </w:r>
    </w:p>
    <w:p w14:paraId="68BA09E4">
      <w:pPr>
        <w:pStyle w:val="26"/>
        <w:ind w:firstLine="480"/>
        <w:jc w:val="center"/>
        <w:rPr>
          <w:rFonts w:ascii="Times New Roman" w:hAnsi="Times New Roman"/>
          <w:color w:val="auto"/>
          <w:highlight w:val="none"/>
        </w:rPr>
      </w:pPr>
      <w:r>
        <w:rPr>
          <w:rFonts w:ascii="Times New Roman" w:hAnsi="Times New Roman"/>
          <w:color w:val="auto"/>
          <w:highlight w:val="none"/>
        </w:rPr>
        <w:drawing>
          <wp:inline distT="0" distB="0" distL="0" distR="0">
            <wp:extent cx="720090" cy="464820"/>
            <wp:effectExtent l="0" t="0" r="3810" b="11430"/>
            <wp:docPr id="1720621952" name="图片 172062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21952" name="图片 1720621952"/>
                    <pic:cNvPicPr>
                      <a:picLocks noChangeAspect="1"/>
                    </pic:cNvPicPr>
                  </pic:nvPicPr>
                  <pic:blipFill>
                    <a:blip r:embed="rId117"/>
                    <a:stretch>
                      <a:fillRect/>
                    </a:stretch>
                  </pic:blipFill>
                  <pic:spPr>
                    <a:xfrm>
                      <a:off x="0" y="0"/>
                      <a:ext cx="741014" cy="478074"/>
                    </a:xfrm>
                    <a:prstGeom prst="rect">
                      <a:avLst/>
                    </a:prstGeom>
                  </pic:spPr>
                </pic:pic>
              </a:graphicData>
            </a:graphic>
          </wp:inline>
        </w:drawing>
      </w:r>
    </w:p>
    <w:p w14:paraId="441A555B">
      <w:pPr>
        <w:pStyle w:val="38"/>
        <w:spacing w:after="0"/>
        <w:ind w:firstLine="480"/>
        <w:rPr>
          <w:rFonts w:eastAsiaTheme="minorEastAsia"/>
          <w:color w:val="auto"/>
          <w:highlight w:val="none"/>
        </w:rPr>
      </w:pPr>
      <w:r>
        <w:rPr>
          <w:rFonts w:eastAsiaTheme="minorEastAsia"/>
          <w:color w:val="auto"/>
          <w:highlight w:val="none"/>
        </w:rPr>
        <w:t>式中：d ---丰度指数；</w:t>
      </w:r>
    </w:p>
    <w:p w14:paraId="4149629E">
      <w:pPr>
        <w:pStyle w:val="38"/>
        <w:spacing w:after="0"/>
        <w:ind w:firstLine="1132" w:firstLineChars="472"/>
        <w:rPr>
          <w:rFonts w:eastAsiaTheme="minorEastAsia"/>
          <w:color w:val="auto"/>
          <w:highlight w:val="none"/>
        </w:rPr>
      </w:pPr>
      <w:r>
        <w:rPr>
          <w:rFonts w:eastAsiaTheme="minorEastAsia"/>
          <w:color w:val="auto"/>
          <w:highlight w:val="none"/>
        </w:rPr>
        <w:t>S ---样品中的种类数量；</w:t>
      </w:r>
    </w:p>
    <w:p w14:paraId="37592A14">
      <w:pPr>
        <w:pStyle w:val="38"/>
        <w:spacing w:after="0"/>
        <w:ind w:firstLine="1132" w:firstLineChars="472"/>
        <w:rPr>
          <w:rFonts w:eastAsiaTheme="minorEastAsia"/>
          <w:color w:val="auto"/>
          <w:highlight w:val="none"/>
        </w:rPr>
      </w:pPr>
      <w:r>
        <w:rPr>
          <w:rFonts w:eastAsiaTheme="minorEastAsia"/>
          <w:color w:val="auto"/>
          <w:highlight w:val="none"/>
        </w:rPr>
        <w:t>N ---样品中的生物个体总数。</w:t>
      </w:r>
    </w:p>
    <w:p w14:paraId="72B02392">
      <w:pPr>
        <w:pStyle w:val="38"/>
        <w:spacing w:after="0"/>
        <w:ind w:firstLine="468"/>
        <w:rPr>
          <w:color w:val="auto"/>
          <w:spacing w:val="-3"/>
          <w:highlight w:val="none"/>
        </w:rPr>
      </w:pPr>
      <w:r>
        <w:rPr>
          <w:color w:val="auto"/>
          <w:spacing w:val="-3"/>
          <w:highlight w:val="none"/>
        </w:rPr>
        <w:t>⑤优势种</w:t>
      </w:r>
    </w:p>
    <w:p w14:paraId="6A517DDD">
      <w:pPr>
        <w:pStyle w:val="38"/>
        <w:spacing w:after="0"/>
        <w:ind w:firstLine="468"/>
        <w:rPr>
          <w:color w:val="auto"/>
          <w:highlight w:val="none"/>
        </w:rPr>
      </w:pPr>
      <w:r>
        <w:rPr>
          <w:color w:val="auto"/>
          <w:spacing w:val="-3"/>
          <w:highlight w:val="none"/>
        </w:rPr>
        <w:t>优势种的优势度有多种方法表示，这里采用不同的计算公式来分别计算和表示各个</w:t>
      </w:r>
      <w:r>
        <w:rPr>
          <w:color w:val="auto"/>
          <w:spacing w:val="-2"/>
          <w:highlight w:val="none"/>
        </w:rPr>
        <w:t>调查站优势种的优势度和整个调查海区优势种的优势度。</w:t>
      </w:r>
    </w:p>
    <w:p w14:paraId="535681CB">
      <w:pPr>
        <w:pStyle w:val="38"/>
        <w:spacing w:after="0"/>
        <w:ind w:firstLine="468"/>
        <w:rPr>
          <w:color w:val="auto"/>
          <w:highlight w:val="none"/>
        </w:rPr>
      </w:pPr>
      <w:r>
        <w:rPr>
          <w:color w:val="auto"/>
          <w:spacing w:val="-3"/>
          <w:highlight w:val="none"/>
        </w:rPr>
        <w:t>对于某一调查站优势种的优势度可用百分比表示：</w:t>
      </w:r>
    </w:p>
    <w:p w14:paraId="38BE21E9">
      <w:pPr>
        <w:pStyle w:val="38"/>
        <w:spacing w:after="0"/>
        <w:ind w:firstLine="500"/>
        <w:jc w:val="center"/>
        <w:rPr>
          <w:color w:val="auto"/>
          <w:highlight w:val="none"/>
        </w:rPr>
      </w:pPr>
      <w:r>
        <w:rPr>
          <w:rFonts w:eastAsia="Times New Roman"/>
          <w:color w:val="auto"/>
          <w:spacing w:val="5"/>
          <w:position w:val="2"/>
          <w:highlight w:val="none"/>
        </w:rPr>
        <w:t>D</w:t>
      </w:r>
      <w:r>
        <w:rPr>
          <w:rFonts w:eastAsia="Times New Roman"/>
          <w:color w:val="auto"/>
          <w:spacing w:val="-23"/>
          <w:position w:val="2"/>
          <w:highlight w:val="none"/>
        </w:rPr>
        <w:t xml:space="preserve"> </w:t>
      </w:r>
      <w:r>
        <w:rPr>
          <w:rFonts w:hint="eastAsia" w:eastAsia="宋体"/>
          <w:color w:val="auto"/>
          <w:spacing w:val="-23"/>
          <w:position w:val="2"/>
          <w:highlight w:val="none"/>
          <w:lang w:eastAsia="zh-CN"/>
        </w:rPr>
        <w:t>=</w:t>
      </w:r>
      <w:r>
        <w:rPr>
          <w:rFonts w:eastAsia="Times New Roman"/>
          <w:color w:val="auto"/>
          <w:position w:val="2"/>
          <w:highlight w:val="none"/>
        </w:rPr>
        <w:t>ni</w:t>
      </w:r>
      <w:r>
        <w:rPr>
          <w:rFonts w:eastAsia="Times New Roman"/>
          <w:color w:val="auto"/>
          <w:spacing w:val="5"/>
          <w:position w:val="2"/>
          <w:highlight w:val="none"/>
        </w:rPr>
        <w:t>/N•100</w:t>
      </w:r>
      <w:r>
        <w:rPr>
          <w:color w:val="auto"/>
          <w:spacing w:val="5"/>
          <w:position w:val="2"/>
          <w:highlight w:val="none"/>
        </w:rPr>
        <w:t>%</w:t>
      </w:r>
    </w:p>
    <w:p w14:paraId="7127C753">
      <w:pPr>
        <w:pStyle w:val="38"/>
        <w:spacing w:after="0"/>
        <w:ind w:firstLine="460"/>
        <w:rPr>
          <w:color w:val="auto"/>
          <w:highlight w:val="none"/>
        </w:rPr>
      </w:pPr>
      <w:r>
        <w:rPr>
          <w:color w:val="auto"/>
          <w:spacing w:val="-5"/>
          <w:highlight w:val="none"/>
        </w:rPr>
        <w:t>式中：</w:t>
      </w:r>
      <w:r>
        <w:rPr>
          <w:rFonts w:eastAsia="Times New Roman"/>
          <w:color w:val="auto"/>
          <w:spacing w:val="-5"/>
          <w:highlight w:val="none"/>
        </w:rPr>
        <w:t>D—</w:t>
      </w:r>
      <w:r>
        <w:rPr>
          <w:color w:val="auto"/>
          <w:spacing w:val="-5"/>
          <w:highlight w:val="none"/>
        </w:rPr>
        <w:t>第</w:t>
      </w:r>
      <w:r>
        <w:rPr>
          <w:rFonts w:eastAsia="Times New Roman"/>
          <w:color w:val="auto"/>
          <w:spacing w:val="-5"/>
          <w:highlight w:val="none"/>
        </w:rPr>
        <w:t>i</w:t>
      </w:r>
      <w:r>
        <w:rPr>
          <w:color w:val="auto"/>
          <w:spacing w:val="-5"/>
          <w:highlight w:val="none"/>
        </w:rPr>
        <w:t>种的百分比优势度；</w:t>
      </w:r>
    </w:p>
    <w:p w14:paraId="1E16B9A2">
      <w:pPr>
        <w:pStyle w:val="38"/>
        <w:spacing w:after="0"/>
        <w:ind w:firstLine="1150" w:firstLineChars="500"/>
        <w:rPr>
          <w:color w:val="auto"/>
          <w:highlight w:val="none"/>
        </w:rPr>
      </w:pPr>
      <w:r>
        <w:rPr>
          <w:rFonts w:eastAsia="Times New Roman"/>
          <w:color w:val="auto"/>
          <w:spacing w:val="-5"/>
          <w:highlight w:val="none"/>
        </w:rPr>
        <w:t>ni—</w:t>
      </w:r>
      <w:r>
        <w:rPr>
          <w:color w:val="auto"/>
          <w:spacing w:val="-5"/>
          <w:highlight w:val="none"/>
        </w:rPr>
        <w:t>第</w:t>
      </w:r>
      <w:r>
        <w:rPr>
          <w:rFonts w:eastAsia="Times New Roman"/>
          <w:color w:val="auto"/>
          <w:spacing w:val="-5"/>
          <w:highlight w:val="none"/>
        </w:rPr>
        <w:t>i</w:t>
      </w:r>
      <w:r>
        <w:rPr>
          <w:color w:val="auto"/>
          <w:spacing w:val="-5"/>
          <w:highlight w:val="none"/>
        </w:rPr>
        <w:t>种的数量；</w:t>
      </w:r>
    </w:p>
    <w:p w14:paraId="68DC46B4">
      <w:pPr>
        <w:pStyle w:val="38"/>
        <w:spacing w:after="0"/>
        <w:ind w:firstLine="1140" w:firstLineChars="500"/>
        <w:rPr>
          <w:color w:val="auto"/>
          <w:highlight w:val="none"/>
        </w:rPr>
      </w:pPr>
      <w:r>
        <w:rPr>
          <w:rFonts w:eastAsia="Times New Roman"/>
          <w:color w:val="auto"/>
          <w:spacing w:val="-6"/>
          <w:highlight w:val="none"/>
        </w:rPr>
        <w:t>N—</w:t>
      </w:r>
      <w:r>
        <w:rPr>
          <w:color w:val="auto"/>
          <w:spacing w:val="-6"/>
          <w:highlight w:val="none"/>
        </w:rPr>
        <w:t>该站群落中所有种的数量，数量可用个体数、密度、重量等单位表示，本报告</w:t>
      </w:r>
      <w:r>
        <w:rPr>
          <w:color w:val="auto"/>
          <w:spacing w:val="-7"/>
          <w:highlight w:val="none"/>
        </w:rPr>
        <w:t>用密度表示。</w:t>
      </w:r>
    </w:p>
    <w:p w14:paraId="659152D6">
      <w:pPr>
        <w:pStyle w:val="38"/>
        <w:spacing w:after="0"/>
        <w:ind w:firstLine="468"/>
        <w:rPr>
          <w:color w:val="auto"/>
          <w:highlight w:val="none"/>
        </w:rPr>
      </w:pPr>
      <w:r>
        <w:rPr>
          <w:color w:val="auto"/>
          <w:spacing w:val="-3"/>
          <w:highlight w:val="none"/>
        </w:rPr>
        <w:t>⑥对于某一区域优势种的优势度，计算公式如下：</w:t>
      </w:r>
    </w:p>
    <w:p w14:paraId="1323C7B8">
      <w:pPr>
        <w:ind w:firstLine="480"/>
        <w:jc w:val="center"/>
        <w:rPr>
          <w:color w:val="auto"/>
          <w:highlight w:val="none"/>
        </w:rPr>
      </w:pPr>
      <w:r>
        <w:rPr>
          <w:color w:val="auto"/>
          <w:position w:val="-12"/>
          <w:highlight w:val="none"/>
        </w:rPr>
        <w:drawing>
          <wp:inline distT="0" distB="0" distL="0" distR="0">
            <wp:extent cx="754380" cy="393700"/>
            <wp:effectExtent l="0" t="0" r="7620" b="6350"/>
            <wp:docPr id="296" name="IM 182"/>
            <wp:cNvGraphicFramePr/>
            <a:graphic xmlns:a="http://schemas.openxmlformats.org/drawingml/2006/main">
              <a:graphicData uri="http://schemas.openxmlformats.org/drawingml/2006/picture">
                <pic:pic xmlns:pic="http://schemas.openxmlformats.org/drawingml/2006/picture">
                  <pic:nvPicPr>
                    <pic:cNvPr id="296" name="IM 182"/>
                    <pic:cNvPicPr/>
                  </pic:nvPicPr>
                  <pic:blipFill>
                    <a:blip r:embed="rId118"/>
                    <a:stretch>
                      <a:fillRect/>
                    </a:stretch>
                  </pic:blipFill>
                  <pic:spPr>
                    <a:xfrm>
                      <a:off x="0" y="0"/>
                      <a:ext cx="755014" cy="393700"/>
                    </a:xfrm>
                    <a:prstGeom prst="rect">
                      <a:avLst/>
                    </a:prstGeom>
                  </pic:spPr>
                </pic:pic>
              </a:graphicData>
            </a:graphic>
          </wp:inline>
        </w:drawing>
      </w:r>
    </w:p>
    <w:p w14:paraId="5EB18781">
      <w:pPr>
        <w:pStyle w:val="38"/>
        <w:spacing w:after="0"/>
        <w:ind w:firstLine="460"/>
        <w:rPr>
          <w:color w:val="auto"/>
          <w:highlight w:val="none"/>
        </w:rPr>
      </w:pPr>
      <w:r>
        <w:rPr>
          <w:color w:val="auto"/>
          <w:spacing w:val="-5"/>
          <w:highlight w:val="none"/>
        </w:rPr>
        <w:t>式中：</w:t>
      </w:r>
      <w:r>
        <w:rPr>
          <w:rFonts w:eastAsia="Times New Roman"/>
          <w:color w:val="auto"/>
          <w:spacing w:val="-5"/>
          <w:highlight w:val="none"/>
        </w:rPr>
        <w:t>ni—</w:t>
      </w:r>
      <w:r>
        <w:rPr>
          <w:color w:val="auto"/>
          <w:spacing w:val="-5"/>
          <w:highlight w:val="none"/>
        </w:rPr>
        <w:t>为第</w:t>
      </w:r>
      <w:r>
        <w:rPr>
          <w:rFonts w:eastAsia="Times New Roman"/>
          <w:color w:val="auto"/>
          <w:spacing w:val="-5"/>
          <w:highlight w:val="none"/>
        </w:rPr>
        <w:t>i</w:t>
      </w:r>
      <w:r>
        <w:rPr>
          <w:color w:val="auto"/>
          <w:spacing w:val="-5"/>
          <w:highlight w:val="none"/>
        </w:rPr>
        <w:t>种的数量；</w:t>
      </w:r>
    </w:p>
    <w:p w14:paraId="5BA83967">
      <w:pPr>
        <w:pStyle w:val="38"/>
        <w:spacing w:after="0"/>
        <w:ind w:firstLine="1150" w:firstLineChars="500"/>
        <w:rPr>
          <w:color w:val="auto"/>
          <w:highlight w:val="none"/>
        </w:rPr>
      </w:pPr>
      <w:r>
        <w:rPr>
          <w:rFonts w:eastAsia="Times New Roman"/>
          <w:color w:val="auto"/>
          <w:spacing w:val="-5"/>
          <w:highlight w:val="none"/>
        </w:rPr>
        <w:t>fi—</w:t>
      </w:r>
      <w:r>
        <w:rPr>
          <w:color w:val="auto"/>
          <w:spacing w:val="-5"/>
          <w:highlight w:val="none"/>
        </w:rPr>
        <w:t>为该种在各站出现的频率；</w:t>
      </w:r>
    </w:p>
    <w:p w14:paraId="5FAF0094">
      <w:pPr>
        <w:pStyle w:val="38"/>
        <w:spacing w:after="0"/>
        <w:ind w:firstLine="1170" w:firstLineChars="500"/>
        <w:rPr>
          <w:color w:val="auto"/>
          <w:highlight w:val="none"/>
        </w:rPr>
      </w:pPr>
      <w:r>
        <w:rPr>
          <w:rFonts w:eastAsia="Times New Roman"/>
          <w:color w:val="auto"/>
          <w:spacing w:val="-3"/>
          <w:highlight w:val="none"/>
        </w:rPr>
        <w:t>N—</w:t>
      </w:r>
      <w:r>
        <w:rPr>
          <w:color w:val="auto"/>
          <w:spacing w:val="-3"/>
          <w:highlight w:val="none"/>
        </w:rPr>
        <w:t>为群落中所有种的数量。</w:t>
      </w:r>
    </w:p>
    <w:p w14:paraId="57B617A3">
      <w:pPr>
        <w:ind w:firstLine="472"/>
        <w:rPr>
          <w:color w:val="auto"/>
          <w:spacing w:val="-2"/>
          <w:highlight w:val="none"/>
        </w:rPr>
      </w:pPr>
      <w:r>
        <w:rPr>
          <w:color w:val="auto"/>
          <w:spacing w:val="-2"/>
          <w:highlight w:val="none"/>
        </w:rPr>
        <w:t>当某一种浮游植物的优势度</w:t>
      </w:r>
      <w:r>
        <w:rPr>
          <w:rFonts w:eastAsia="Times New Roman"/>
          <w:color w:val="auto"/>
          <w:spacing w:val="-2"/>
          <w:highlight w:val="none"/>
        </w:rPr>
        <w:t>Y</w:t>
      </w:r>
      <w:r>
        <w:rPr>
          <w:color w:val="auto"/>
          <w:spacing w:val="-2"/>
          <w:highlight w:val="none"/>
        </w:rPr>
        <w:t>≥</w:t>
      </w:r>
      <w:r>
        <w:rPr>
          <w:rFonts w:eastAsia="Times New Roman"/>
          <w:color w:val="auto"/>
          <w:spacing w:val="-2"/>
          <w:highlight w:val="none"/>
        </w:rPr>
        <w:t>0.02</w:t>
      </w:r>
      <w:r>
        <w:rPr>
          <w:color w:val="auto"/>
          <w:spacing w:val="-2"/>
          <w:highlight w:val="none"/>
        </w:rPr>
        <w:t>时，判定该种为监测区域的优势种。</w:t>
      </w:r>
    </w:p>
    <w:p w14:paraId="7FB5BB4D">
      <w:pPr>
        <w:pStyle w:val="38"/>
        <w:spacing w:after="0"/>
        <w:ind w:firstLine="480"/>
        <w:rPr>
          <w:color w:val="auto"/>
          <w:highlight w:val="none"/>
        </w:rPr>
      </w:pPr>
      <w:r>
        <w:rPr>
          <w:color w:val="auto"/>
          <w:highlight w:val="none"/>
        </w:rPr>
        <w:t>⑦生物质量评价标准及方法</w:t>
      </w:r>
    </w:p>
    <w:p w14:paraId="79DF792C">
      <w:pPr>
        <w:pStyle w:val="38"/>
        <w:spacing w:after="0"/>
        <w:ind w:firstLine="480"/>
        <w:rPr>
          <w:color w:val="auto"/>
          <w:highlight w:val="none"/>
        </w:rPr>
      </w:pPr>
      <w:r>
        <w:rPr>
          <w:color w:val="auto"/>
          <w:highlight w:val="none"/>
        </w:rPr>
        <w:t>评价标准：海洋生物中贝类执行《海洋生物质量》（GB18421-2001）中的第三类标准，鱼类、软体类（非双壳贝类）、甲壳类执行《环境影响评价技术导则海洋生态环境》（HJ 1409-2025）“附录C其他海洋生物质量参考值”，铬含量评价标准采用《全国海岸带和海涂资源综合调查简明规程》中规定的生物质量标准，具体标准值见表1.3-4。</w:t>
      </w:r>
    </w:p>
    <w:p w14:paraId="0D388519">
      <w:pPr>
        <w:pStyle w:val="38"/>
        <w:spacing w:after="0"/>
        <w:ind w:firstLine="480"/>
        <w:rPr>
          <w:color w:val="auto"/>
          <w:highlight w:val="none"/>
        </w:rPr>
      </w:pPr>
      <w:r>
        <w:rPr>
          <w:color w:val="auto"/>
          <w:highlight w:val="none"/>
        </w:rPr>
        <w:t>评价方法：采用单因子标准指数法进行评价，其计算方法与水质评价方法相同。</w:t>
      </w:r>
    </w:p>
    <w:p w14:paraId="4C56CA27">
      <w:pPr>
        <w:pStyle w:val="11"/>
        <w:numPr>
          <w:ilvl w:val="0"/>
          <w:numId w:val="0"/>
        </w:numPr>
        <w:spacing w:before="0" w:after="0" w:line="360" w:lineRule="auto"/>
        <w:ind w:firstLine="482" w:firstLineChars="200"/>
        <w:rPr>
          <w:color w:val="auto"/>
          <w:sz w:val="24"/>
          <w:szCs w:val="24"/>
          <w:highlight w:val="none"/>
        </w:rPr>
      </w:pPr>
      <w:r>
        <w:rPr>
          <w:color w:val="auto"/>
          <w:sz w:val="24"/>
          <w:szCs w:val="24"/>
          <w:highlight w:val="none"/>
        </w:rPr>
        <w:t>（3）叶绿素a调查结果及初级生产力估算</w:t>
      </w:r>
    </w:p>
    <w:p w14:paraId="38960B3E">
      <w:pPr>
        <w:pStyle w:val="38"/>
        <w:spacing w:after="0"/>
        <w:ind w:firstLine="480"/>
        <w:rPr>
          <w:color w:val="auto"/>
          <w:highlight w:val="none"/>
        </w:rPr>
      </w:pPr>
      <w:r>
        <w:rPr>
          <w:color w:val="auto"/>
          <w:highlight w:val="none"/>
        </w:rPr>
        <w:t>2024年秋季，本次引用站点各站叶绿素a含量的测定值见表3.4-7。</w:t>
      </w:r>
    </w:p>
    <w:p w14:paraId="21BF573D">
      <w:pPr>
        <w:pStyle w:val="38"/>
        <w:spacing w:after="0" w:line="240" w:lineRule="auto"/>
        <w:ind w:firstLine="0" w:firstLineChars="0"/>
        <w:jc w:val="center"/>
        <w:rPr>
          <w:b/>
          <w:color w:val="auto"/>
          <w:sz w:val="21"/>
          <w:szCs w:val="21"/>
          <w:highlight w:val="none"/>
        </w:rPr>
      </w:pPr>
      <w:r>
        <w:rPr>
          <w:b/>
          <w:color w:val="auto"/>
          <w:sz w:val="21"/>
          <w:szCs w:val="21"/>
          <w:highlight w:val="none"/>
        </w:rPr>
        <w:t>表3.4-7 叶绿素a含量调查结果一览表</w:t>
      </w:r>
    </w:p>
    <w:tbl>
      <w:tblPr>
        <w:tblStyle w:val="92"/>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385"/>
        <w:gridCol w:w="1701"/>
        <w:gridCol w:w="1844"/>
        <w:gridCol w:w="2022"/>
        <w:gridCol w:w="2334"/>
      </w:tblGrid>
      <w:tr w14:paraId="358C03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746" w:type="pct"/>
            <w:vMerge w:val="restart"/>
            <w:tcBorders>
              <w:tl2br w:val="nil"/>
              <w:tr2bl w:val="nil"/>
            </w:tcBorders>
            <w:vAlign w:val="center"/>
          </w:tcPr>
          <w:p w14:paraId="448287EA">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调查站位</w:t>
            </w:r>
          </w:p>
        </w:tc>
        <w:tc>
          <w:tcPr>
            <w:tcW w:w="916" w:type="pct"/>
            <w:tcBorders>
              <w:tl2br w:val="nil"/>
              <w:tr2bl w:val="nil"/>
            </w:tcBorders>
            <w:vAlign w:val="center"/>
          </w:tcPr>
          <w:p w14:paraId="5EA50428">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水深</w:t>
            </w:r>
          </w:p>
        </w:tc>
        <w:tc>
          <w:tcPr>
            <w:tcW w:w="993" w:type="pct"/>
            <w:tcBorders>
              <w:tl2br w:val="nil"/>
              <w:tr2bl w:val="nil"/>
            </w:tcBorders>
            <w:vAlign w:val="center"/>
          </w:tcPr>
          <w:p w14:paraId="7B9D5ECD">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透明度</w:t>
            </w:r>
          </w:p>
        </w:tc>
        <w:tc>
          <w:tcPr>
            <w:tcW w:w="1089" w:type="pct"/>
            <w:tcBorders>
              <w:tl2br w:val="nil"/>
              <w:tr2bl w:val="nil"/>
            </w:tcBorders>
            <w:vAlign w:val="center"/>
          </w:tcPr>
          <w:p w14:paraId="5F4ACA5E">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叶绿素a含量</w:t>
            </w:r>
          </w:p>
        </w:tc>
        <w:tc>
          <w:tcPr>
            <w:tcW w:w="1256" w:type="pct"/>
            <w:tcBorders>
              <w:tl2br w:val="nil"/>
              <w:tr2bl w:val="nil"/>
            </w:tcBorders>
            <w:vAlign w:val="center"/>
          </w:tcPr>
          <w:p w14:paraId="53426791">
            <w:pPr>
              <w:widowControl/>
              <w:spacing w:line="240" w:lineRule="auto"/>
              <w:ind w:firstLine="0" w:firstLineChars="0"/>
              <w:jc w:val="center"/>
              <w:textAlignment w:val="center"/>
              <w:rPr>
                <w:b/>
                <w:bCs/>
                <w:color w:val="auto"/>
                <w:sz w:val="21"/>
                <w:szCs w:val="21"/>
                <w:highlight w:val="none"/>
              </w:rPr>
            </w:pPr>
            <w:r>
              <w:rPr>
                <w:b/>
                <w:bCs/>
                <w:color w:val="auto"/>
                <w:sz w:val="21"/>
                <w:szCs w:val="21"/>
                <w:highlight w:val="none"/>
                <w:lang w:bidi="ar"/>
              </w:rPr>
              <w:t>初级生产力</w:t>
            </w:r>
          </w:p>
        </w:tc>
      </w:tr>
      <w:tr w14:paraId="0916ED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746" w:type="pct"/>
            <w:vMerge w:val="continue"/>
            <w:tcBorders>
              <w:tl2br w:val="nil"/>
              <w:tr2bl w:val="nil"/>
            </w:tcBorders>
            <w:vAlign w:val="center"/>
          </w:tcPr>
          <w:p w14:paraId="5768D607">
            <w:pPr>
              <w:widowControl/>
              <w:spacing w:line="240" w:lineRule="auto"/>
              <w:ind w:firstLine="0" w:firstLineChars="0"/>
              <w:jc w:val="center"/>
              <w:rPr>
                <w:b/>
                <w:bCs/>
                <w:color w:val="auto"/>
                <w:sz w:val="21"/>
                <w:szCs w:val="21"/>
                <w:highlight w:val="none"/>
              </w:rPr>
            </w:pPr>
          </w:p>
        </w:tc>
        <w:tc>
          <w:tcPr>
            <w:tcW w:w="916" w:type="pct"/>
            <w:tcBorders>
              <w:tl2br w:val="nil"/>
              <w:tr2bl w:val="nil"/>
            </w:tcBorders>
            <w:vAlign w:val="center"/>
          </w:tcPr>
          <w:p w14:paraId="6BE7B7F0">
            <w:pPr>
              <w:widowControl/>
              <w:spacing w:line="240" w:lineRule="auto"/>
              <w:ind w:firstLine="0" w:firstLineChars="0"/>
              <w:jc w:val="center"/>
              <w:textAlignment w:val="top"/>
              <w:rPr>
                <w:color w:val="auto"/>
                <w:sz w:val="21"/>
                <w:szCs w:val="21"/>
                <w:highlight w:val="none"/>
              </w:rPr>
            </w:pPr>
            <w:r>
              <w:rPr>
                <w:color w:val="auto"/>
                <w:sz w:val="21"/>
                <w:szCs w:val="21"/>
                <w:highlight w:val="none"/>
                <w:lang w:bidi="ar"/>
              </w:rPr>
              <w:t>m</w:t>
            </w:r>
          </w:p>
        </w:tc>
        <w:tc>
          <w:tcPr>
            <w:tcW w:w="993" w:type="pct"/>
            <w:tcBorders>
              <w:tl2br w:val="nil"/>
              <w:tr2bl w:val="nil"/>
            </w:tcBorders>
            <w:vAlign w:val="center"/>
          </w:tcPr>
          <w:p w14:paraId="33885385">
            <w:pPr>
              <w:widowControl/>
              <w:spacing w:line="240" w:lineRule="auto"/>
              <w:ind w:firstLine="0" w:firstLineChars="0"/>
              <w:jc w:val="center"/>
              <w:textAlignment w:val="top"/>
              <w:rPr>
                <w:color w:val="auto"/>
                <w:sz w:val="21"/>
                <w:szCs w:val="21"/>
                <w:highlight w:val="none"/>
              </w:rPr>
            </w:pPr>
            <w:r>
              <w:rPr>
                <w:rStyle w:val="1560"/>
                <w:rFonts w:ascii="Times New Roman" w:hAnsi="Times New Roman" w:cs="Times New Roman"/>
                <w:color w:val="auto"/>
                <w:sz w:val="21"/>
                <w:szCs w:val="21"/>
                <w:highlight w:val="none"/>
                <w:lang w:bidi="ar"/>
              </w:rPr>
              <w:t>m</w:t>
            </w:r>
          </w:p>
        </w:tc>
        <w:tc>
          <w:tcPr>
            <w:tcW w:w="1089" w:type="pct"/>
            <w:tcBorders>
              <w:tl2br w:val="nil"/>
              <w:tr2bl w:val="nil"/>
            </w:tcBorders>
            <w:vAlign w:val="center"/>
          </w:tcPr>
          <w:p w14:paraId="0FF8ED5C">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μg/L</w:t>
            </w:r>
          </w:p>
        </w:tc>
        <w:tc>
          <w:tcPr>
            <w:tcW w:w="1256" w:type="pct"/>
            <w:tcBorders>
              <w:tl2br w:val="nil"/>
              <w:tr2bl w:val="nil"/>
            </w:tcBorders>
            <w:vAlign w:val="center"/>
          </w:tcPr>
          <w:p w14:paraId="5BB6A64E">
            <w:pPr>
              <w:widowControl/>
              <w:spacing w:line="240" w:lineRule="auto"/>
              <w:ind w:firstLine="0" w:firstLineChars="0"/>
              <w:jc w:val="center"/>
              <w:textAlignment w:val="center"/>
              <w:rPr>
                <w:color w:val="auto"/>
                <w:sz w:val="21"/>
                <w:szCs w:val="21"/>
                <w:highlight w:val="none"/>
              </w:rPr>
            </w:pPr>
            <w:r>
              <w:rPr>
                <w:color w:val="auto"/>
                <w:sz w:val="21"/>
                <w:szCs w:val="21"/>
                <w:highlight w:val="none"/>
                <w:lang w:bidi="ar"/>
              </w:rPr>
              <w:t>mg·C/(m²·d)</w:t>
            </w:r>
          </w:p>
        </w:tc>
      </w:tr>
      <w:tr w14:paraId="142235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746" w:type="pct"/>
            <w:tcBorders>
              <w:tl2br w:val="nil"/>
              <w:tr2bl w:val="nil"/>
            </w:tcBorders>
            <w:vAlign w:val="center"/>
          </w:tcPr>
          <w:p w14:paraId="4FB1A284">
            <w:pPr>
              <w:widowControl/>
              <w:spacing w:line="240" w:lineRule="auto"/>
              <w:ind w:firstLine="0" w:firstLineChars="0"/>
              <w:jc w:val="center"/>
              <w:textAlignment w:val="center"/>
              <w:rPr>
                <w:color w:val="auto"/>
                <w:sz w:val="21"/>
                <w:szCs w:val="21"/>
                <w:highlight w:val="none"/>
                <w:lang w:bidi="ar"/>
              </w:rPr>
            </w:pPr>
            <w:r>
              <w:rPr>
                <w:color w:val="auto"/>
                <w:sz w:val="21"/>
                <w:szCs w:val="21"/>
                <w:highlight w:val="none"/>
                <w:lang w:bidi="ar"/>
              </w:rPr>
              <w:t>1#</w:t>
            </w:r>
          </w:p>
        </w:tc>
        <w:tc>
          <w:tcPr>
            <w:tcW w:w="916" w:type="pct"/>
            <w:tcBorders>
              <w:tl2br w:val="nil"/>
              <w:tr2bl w:val="nil"/>
            </w:tcBorders>
            <w:vAlign w:val="center"/>
          </w:tcPr>
          <w:p w14:paraId="6CB4757F">
            <w:pPr>
              <w:widowControl/>
              <w:spacing w:line="240" w:lineRule="auto"/>
              <w:ind w:firstLine="0" w:firstLineChars="0"/>
              <w:jc w:val="center"/>
              <w:textAlignment w:val="center"/>
              <w:rPr>
                <w:color w:val="auto"/>
                <w:sz w:val="21"/>
                <w:szCs w:val="21"/>
                <w:highlight w:val="none"/>
                <w:lang w:bidi="ar"/>
              </w:rPr>
            </w:pPr>
          </w:p>
        </w:tc>
        <w:tc>
          <w:tcPr>
            <w:tcW w:w="993" w:type="pct"/>
            <w:tcBorders>
              <w:tl2br w:val="nil"/>
              <w:tr2bl w:val="nil"/>
            </w:tcBorders>
            <w:vAlign w:val="center"/>
          </w:tcPr>
          <w:p w14:paraId="620C7748">
            <w:pPr>
              <w:widowControl/>
              <w:spacing w:line="240" w:lineRule="auto"/>
              <w:ind w:firstLine="0" w:firstLineChars="0"/>
              <w:jc w:val="center"/>
              <w:textAlignment w:val="center"/>
              <w:rPr>
                <w:color w:val="auto"/>
                <w:sz w:val="21"/>
                <w:szCs w:val="21"/>
                <w:highlight w:val="none"/>
                <w:lang w:bidi="ar"/>
              </w:rPr>
            </w:pPr>
          </w:p>
        </w:tc>
        <w:tc>
          <w:tcPr>
            <w:tcW w:w="1089" w:type="pct"/>
            <w:tcBorders>
              <w:tl2br w:val="nil"/>
              <w:tr2bl w:val="nil"/>
            </w:tcBorders>
            <w:vAlign w:val="center"/>
          </w:tcPr>
          <w:p w14:paraId="1348DF99">
            <w:pPr>
              <w:widowControl/>
              <w:spacing w:line="240" w:lineRule="auto"/>
              <w:ind w:firstLine="0" w:firstLineChars="0"/>
              <w:jc w:val="center"/>
              <w:textAlignment w:val="center"/>
              <w:rPr>
                <w:color w:val="auto"/>
                <w:sz w:val="21"/>
                <w:szCs w:val="21"/>
                <w:highlight w:val="none"/>
                <w:lang w:bidi="ar"/>
              </w:rPr>
            </w:pPr>
          </w:p>
        </w:tc>
        <w:tc>
          <w:tcPr>
            <w:tcW w:w="1256" w:type="pct"/>
            <w:tcBorders>
              <w:tl2br w:val="nil"/>
              <w:tr2bl w:val="nil"/>
            </w:tcBorders>
            <w:vAlign w:val="center"/>
          </w:tcPr>
          <w:p w14:paraId="6DB6AD46">
            <w:pPr>
              <w:widowControl/>
              <w:spacing w:line="240" w:lineRule="auto"/>
              <w:ind w:firstLine="0" w:firstLineChars="0"/>
              <w:jc w:val="center"/>
              <w:textAlignment w:val="center"/>
              <w:rPr>
                <w:color w:val="auto"/>
                <w:sz w:val="21"/>
                <w:szCs w:val="21"/>
                <w:highlight w:val="none"/>
                <w:lang w:bidi="ar"/>
              </w:rPr>
            </w:pPr>
          </w:p>
        </w:tc>
      </w:tr>
      <w:tr w14:paraId="7DFA9C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746" w:type="pct"/>
            <w:tcBorders>
              <w:tl2br w:val="nil"/>
              <w:tr2bl w:val="nil"/>
            </w:tcBorders>
            <w:vAlign w:val="center"/>
          </w:tcPr>
          <w:p w14:paraId="7F605046">
            <w:pPr>
              <w:widowControl/>
              <w:spacing w:line="240" w:lineRule="auto"/>
              <w:ind w:firstLine="0" w:firstLineChars="0"/>
              <w:jc w:val="center"/>
              <w:textAlignment w:val="center"/>
              <w:rPr>
                <w:color w:val="auto"/>
                <w:sz w:val="21"/>
                <w:szCs w:val="21"/>
                <w:highlight w:val="none"/>
                <w:lang w:bidi="ar"/>
              </w:rPr>
            </w:pPr>
            <w:r>
              <w:rPr>
                <w:color w:val="auto"/>
                <w:sz w:val="21"/>
                <w:szCs w:val="21"/>
                <w:highlight w:val="none"/>
                <w:lang w:bidi="ar"/>
              </w:rPr>
              <w:t>3#</w:t>
            </w:r>
          </w:p>
        </w:tc>
        <w:tc>
          <w:tcPr>
            <w:tcW w:w="916" w:type="pct"/>
            <w:tcBorders>
              <w:tl2br w:val="nil"/>
              <w:tr2bl w:val="nil"/>
            </w:tcBorders>
            <w:vAlign w:val="center"/>
          </w:tcPr>
          <w:p w14:paraId="2CF490B5">
            <w:pPr>
              <w:widowControl/>
              <w:spacing w:line="240" w:lineRule="auto"/>
              <w:ind w:firstLine="0" w:firstLineChars="0"/>
              <w:jc w:val="center"/>
              <w:textAlignment w:val="center"/>
              <w:rPr>
                <w:color w:val="auto"/>
                <w:sz w:val="21"/>
                <w:szCs w:val="21"/>
                <w:highlight w:val="none"/>
                <w:lang w:bidi="ar"/>
              </w:rPr>
            </w:pPr>
          </w:p>
        </w:tc>
        <w:tc>
          <w:tcPr>
            <w:tcW w:w="993" w:type="pct"/>
            <w:tcBorders>
              <w:tl2br w:val="nil"/>
              <w:tr2bl w:val="nil"/>
            </w:tcBorders>
            <w:vAlign w:val="center"/>
          </w:tcPr>
          <w:p w14:paraId="3D602C39">
            <w:pPr>
              <w:widowControl/>
              <w:spacing w:line="240" w:lineRule="auto"/>
              <w:ind w:firstLine="0" w:firstLineChars="0"/>
              <w:jc w:val="center"/>
              <w:textAlignment w:val="center"/>
              <w:rPr>
                <w:color w:val="auto"/>
                <w:sz w:val="21"/>
                <w:szCs w:val="21"/>
                <w:highlight w:val="none"/>
                <w:lang w:bidi="ar"/>
              </w:rPr>
            </w:pPr>
          </w:p>
        </w:tc>
        <w:tc>
          <w:tcPr>
            <w:tcW w:w="1089" w:type="pct"/>
            <w:tcBorders>
              <w:tl2br w:val="nil"/>
              <w:tr2bl w:val="nil"/>
            </w:tcBorders>
            <w:vAlign w:val="center"/>
          </w:tcPr>
          <w:p w14:paraId="2D8D5096">
            <w:pPr>
              <w:widowControl/>
              <w:spacing w:line="240" w:lineRule="auto"/>
              <w:ind w:firstLine="0" w:firstLineChars="0"/>
              <w:jc w:val="center"/>
              <w:textAlignment w:val="center"/>
              <w:rPr>
                <w:color w:val="auto"/>
                <w:sz w:val="21"/>
                <w:szCs w:val="21"/>
                <w:highlight w:val="none"/>
                <w:lang w:bidi="ar"/>
              </w:rPr>
            </w:pPr>
          </w:p>
        </w:tc>
        <w:tc>
          <w:tcPr>
            <w:tcW w:w="1256" w:type="pct"/>
            <w:tcBorders>
              <w:tl2br w:val="nil"/>
              <w:tr2bl w:val="nil"/>
            </w:tcBorders>
            <w:vAlign w:val="center"/>
          </w:tcPr>
          <w:p w14:paraId="21596814">
            <w:pPr>
              <w:widowControl/>
              <w:spacing w:line="240" w:lineRule="auto"/>
              <w:ind w:firstLine="0" w:firstLineChars="0"/>
              <w:jc w:val="center"/>
              <w:textAlignment w:val="center"/>
              <w:rPr>
                <w:color w:val="auto"/>
                <w:sz w:val="21"/>
                <w:szCs w:val="21"/>
                <w:highlight w:val="none"/>
                <w:lang w:bidi="ar"/>
              </w:rPr>
            </w:pPr>
          </w:p>
        </w:tc>
      </w:tr>
    </w:tbl>
    <w:p w14:paraId="1242C326">
      <w:pPr>
        <w:pStyle w:val="38"/>
        <w:spacing w:before="120" w:beforeLines="50" w:after="0"/>
        <w:ind w:firstLine="472"/>
        <w:rPr>
          <w:color w:val="auto"/>
          <w:spacing w:val="-3"/>
          <w:highlight w:val="none"/>
        </w:rPr>
      </w:pPr>
      <w:r>
        <w:rPr>
          <w:color w:val="auto"/>
          <w:spacing w:val="-2"/>
          <w:highlight w:val="none"/>
        </w:rPr>
        <w:t>由上表可知，</w:t>
      </w:r>
      <w:r>
        <w:rPr>
          <w:color w:val="auto"/>
          <w:spacing w:val="-1"/>
          <w:highlight w:val="none"/>
        </w:rPr>
        <w:t>项目附近海域</w:t>
      </w:r>
      <w:r>
        <w:rPr>
          <w:color w:val="auto"/>
          <w:spacing w:val="-2"/>
          <w:highlight w:val="none"/>
        </w:rPr>
        <w:t>叶绿素</w:t>
      </w:r>
      <w:r>
        <w:rPr>
          <w:rFonts w:eastAsia="Times New Roman"/>
          <w:color w:val="auto"/>
          <w:spacing w:val="-2"/>
          <w:highlight w:val="none"/>
        </w:rPr>
        <w:t>a</w:t>
      </w:r>
      <w:r>
        <w:rPr>
          <w:color w:val="auto"/>
          <w:spacing w:val="-2"/>
          <w:highlight w:val="none"/>
        </w:rPr>
        <w:t>含量范围为2</w:t>
      </w:r>
      <w:r>
        <w:rPr>
          <w:rFonts w:eastAsia="Times New Roman"/>
          <w:color w:val="auto"/>
          <w:spacing w:val="-2"/>
          <w:highlight w:val="none"/>
        </w:rPr>
        <w:t>μg/L</w:t>
      </w:r>
      <w:r>
        <w:rPr>
          <w:color w:val="auto"/>
          <w:spacing w:val="-2"/>
          <w:highlight w:val="none"/>
        </w:rPr>
        <w:t>～3</w:t>
      </w:r>
      <w:r>
        <w:rPr>
          <w:rFonts w:eastAsia="Times New Roman"/>
          <w:color w:val="auto"/>
          <w:spacing w:val="-3"/>
          <w:highlight w:val="none"/>
        </w:rPr>
        <w:t>μg/L</w:t>
      </w:r>
      <w:r>
        <w:rPr>
          <w:color w:val="auto"/>
          <w:spacing w:val="-1"/>
          <w:highlight w:val="none"/>
        </w:rPr>
        <w:t>，</w:t>
      </w:r>
      <w:r>
        <w:rPr>
          <w:color w:val="auto"/>
          <w:spacing w:val="10"/>
          <w:highlight w:val="none"/>
        </w:rPr>
        <w:t>初级生产力变化范围在</w:t>
      </w:r>
      <w:r>
        <w:rPr>
          <w:color w:val="auto"/>
          <w:spacing w:val="9"/>
          <w:highlight w:val="none"/>
        </w:rPr>
        <w:t>133.2～199.8</w:t>
      </w:r>
      <w:r>
        <w:rPr>
          <w:color w:val="auto"/>
          <w:highlight w:val="none"/>
          <w:lang w:bidi="ar"/>
        </w:rPr>
        <w:t>mg·C/(m²·d)</w:t>
      </w:r>
      <w:r>
        <w:rPr>
          <w:color w:val="auto"/>
          <w:spacing w:val="-4"/>
          <w:highlight w:val="none"/>
        </w:rPr>
        <w:t>之间</w:t>
      </w:r>
      <w:r>
        <w:rPr>
          <w:color w:val="auto"/>
          <w:spacing w:val="-3"/>
          <w:highlight w:val="none"/>
        </w:rPr>
        <w:t>。</w:t>
      </w:r>
    </w:p>
    <w:p w14:paraId="2645437A">
      <w:pPr>
        <w:pStyle w:val="11"/>
        <w:numPr>
          <w:ilvl w:val="0"/>
          <w:numId w:val="0"/>
        </w:numPr>
        <w:spacing w:before="0" w:after="0" w:line="360" w:lineRule="auto"/>
        <w:ind w:firstLine="482" w:firstLineChars="200"/>
        <w:rPr>
          <w:color w:val="auto"/>
          <w:sz w:val="24"/>
          <w:szCs w:val="24"/>
          <w:highlight w:val="none"/>
        </w:rPr>
      </w:pPr>
      <w:r>
        <w:rPr>
          <w:color w:val="auto"/>
          <w:sz w:val="24"/>
          <w:szCs w:val="24"/>
          <w:highlight w:val="none"/>
        </w:rPr>
        <w:t>（4）浮游植物调查及评价结果</w:t>
      </w:r>
    </w:p>
    <w:p w14:paraId="4A3A5B6A">
      <w:pPr>
        <w:pStyle w:val="38"/>
        <w:spacing w:after="0"/>
        <w:ind w:firstLine="480"/>
        <w:rPr>
          <w:color w:val="auto"/>
          <w:highlight w:val="none"/>
        </w:rPr>
      </w:pPr>
      <w:r>
        <w:rPr>
          <w:color w:val="auto"/>
          <w:highlight w:val="none"/>
        </w:rPr>
        <w:t>①种类组成与分布</w:t>
      </w:r>
    </w:p>
    <w:p w14:paraId="3BD1BEE9">
      <w:pPr>
        <w:pStyle w:val="38"/>
        <w:spacing w:after="0"/>
        <w:ind w:firstLine="480"/>
        <w:rPr>
          <w:color w:val="auto"/>
          <w:highlight w:val="none"/>
        </w:rPr>
      </w:pPr>
      <w:r>
        <w:rPr>
          <w:color w:val="auto"/>
          <w:highlight w:val="none"/>
        </w:rPr>
        <w:t>根据调查结果，项目附近站点浮游植物样品共鉴定出4大类23属27种，其中</w:t>
      </w:r>
      <w:r>
        <w:rPr>
          <w:color w:val="auto"/>
          <w:spacing w:val="-3"/>
          <w:highlight w:val="none"/>
        </w:rPr>
        <w:t>1#站点共调查到16种浮游植物，3#站点调查到11种浮游植物，</w:t>
      </w:r>
      <w:r>
        <w:rPr>
          <w:color w:val="auto"/>
          <w:highlight w:val="none"/>
        </w:rPr>
        <w:t>其中，硅藻种类较多，有16属19种，其次是甲藻，有5属6种，蓝藻鉴定出1属1种，隐藻鉴定出1属1种。</w:t>
      </w:r>
      <w:r>
        <w:rPr>
          <w:color w:val="auto"/>
          <w:spacing w:val="-3"/>
          <w:highlight w:val="none"/>
        </w:rPr>
        <w:t>可以看出，项目区附近以硅藻种类占优势。</w:t>
      </w:r>
    </w:p>
    <w:p w14:paraId="7895BC78">
      <w:pPr>
        <w:pStyle w:val="38"/>
        <w:spacing w:after="0" w:line="240" w:lineRule="auto"/>
        <w:ind w:firstLine="0" w:firstLineChars="0"/>
        <w:jc w:val="center"/>
        <w:rPr>
          <w:b/>
          <w:color w:val="auto"/>
          <w:sz w:val="21"/>
          <w:szCs w:val="21"/>
          <w:highlight w:val="none"/>
        </w:rPr>
      </w:pPr>
      <w:r>
        <w:rPr>
          <w:b/>
          <w:color w:val="auto"/>
          <w:sz w:val="21"/>
          <w:szCs w:val="21"/>
          <w:highlight w:val="none"/>
        </w:rPr>
        <w:t>表3.4-8 浮游植物种类调查结果一览表</w:t>
      </w:r>
    </w:p>
    <w:tbl>
      <w:tblPr>
        <w:tblStyle w:val="9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57"/>
        <w:gridCol w:w="1857"/>
        <w:gridCol w:w="1857"/>
        <w:gridCol w:w="1857"/>
        <w:gridCol w:w="1858"/>
      </w:tblGrid>
      <w:tr w14:paraId="02C359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1000" w:type="pct"/>
            <w:vMerge w:val="restart"/>
            <w:tcBorders>
              <w:tl2br w:val="nil"/>
              <w:tr2bl w:val="nil"/>
            </w:tcBorders>
            <w:vAlign w:val="center"/>
          </w:tcPr>
          <w:p w14:paraId="236C40E8">
            <w:pPr>
              <w:spacing w:line="240" w:lineRule="auto"/>
              <w:ind w:firstLine="0" w:firstLineChars="0"/>
              <w:jc w:val="center"/>
              <w:rPr>
                <w:rFonts w:eastAsia="Times New Roman"/>
                <w:b/>
                <w:bCs/>
                <w:color w:val="auto"/>
                <w:spacing w:val="-2"/>
                <w:sz w:val="21"/>
                <w:szCs w:val="21"/>
                <w:highlight w:val="none"/>
              </w:rPr>
            </w:pPr>
            <w:r>
              <w:rPr>
                <w:b/>
                <w:bCs/>
                <w:color w:val="auto"/>
                <w:spacing w:val="-2"/>
                <w:sz w:val="21"/>
                <w:szCs w:val="21"/>
                <w:highlight w:val="none"/>
              </w:rPr>
              <w:t>监测点位</w:t>
            </w:r>
          </w:p>
        </w:tc>
        <w:tc>
          <w:tcPr>
            <w:tcW w:w="4000" w:type="pct"/>
            <w:gridSpan w:val="4"/>
            <w:tcBorders>
              <w:tl2br w:val="nil"/>
              <w:tr2bl w:val="nil"/>
            </w:tcBorders>
            <w:noWrap/>
            <w:vAlign w:val="center"/>
          </w:tcPr>
          <w:p w14:paraId="0B02BAC2">
            <w:pPr>
              <w:spacing w:line="240" w:lineRule="auto"/>
              <w:ind w:firstLine="0" w:firstLineChars="0"/>
              <w:jc w:val="center"/>
              <w:rPr>
                <w:b/>
                <w:bCs/>
                <w:color w:val="auto"/>
                <w:spacing w:val="-2"/>
                <w:sz w:val="21"/>
                <w:szCs w:val="21"/>
                <w:highlight w:val="none"/>
              </w:rPr>
            </w:pPr>
            <w:r>
              <w:rPr>
                <w:b/>
                <w:bCs/>
                <w:color w:val="auto"/>
                <w:spacing w:val="-2"/>
                <w:sz w:val="21"/>
                <w:szCs w:val="21"/>
                <w:highlight w:val="none"/>
              </w:rPr>
              <w:t>种类</w:t>
            </w:r>
          </w:p>
        </w:tc>
      </w:tr>
      <w:tr w14:paraId="39D551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1000" w:type="pct"/>
            <w:vMerge w:val="continue"/>
            <w:tcBorders>
              <w:tl2br w:val="nil"/>
              <w:tr2bl w:val="nil"/>
            </w:tcBorders>
            <w:vAlign w:val="center"/>
          </w:tcPr>
          <w:p w14:paraId="1B5F99D3">
            <w:pPr>
              <w:spacing w:line="240" w:lineRule="auto"/>
              <w:ind w:firstLine="0" w:firstLineChars="0"/>
              <w:jc w:val="center"/>
              <w:rPr>
                <w:b/>
                <w:bCs/>
                <w:color w:val="auto"/>
                <w:highlight w:val="none"/>
              </w:rPr>
            </w:pPr>
          </w:p>
        </w:tc>
        <w:tc>
          <w:tcPr>
            <w:tcW w:w="1000" w:type="pct"/>
            <w:tcBorders>
              <w:tl2br w:val="nil"/>
              <w:tr2bl w:val="nil"/>
            </w:tcBorders>
            <w:noWrap/>
            <w:vAlign w:val="center"/>
          </w:tcPr>
          <w:p w14:paraId="3D9CEA81">
            <w:pPr>
              <w:spacing w:line="240" w:lineRule="auto"/>
              <w:ind w:firstLine="0" w:firstLineChars="0"/>
              <w:jc w:val="center"/>
              <w:rPr>
                <w:rFonts w:eastAsia="Times New Roman"/>
                <w:b/>
                <w:bCs/>
                <w:color w:val="auto"/>
                <w:spacing w:val="-2"/>
                <w:sz w:val="21"/>
                <w:szCs w:val="21"/>
                <w:highlight w:val="none"/>
              </w:rPr>
            </w:pPr>
            <w:r>
              <w:rPr>
                <w:b/>
                <w:bCs/>
                <w:color w:val="auto"/>
                <w:spacing w:val="-2"/>
                <w:sz w:val="21"/>
                <w:szCs w:val="21"/>
                <w:highlight w:val="none"/>
              </w:rPr>
              <w:t>硅藻</w:t>
            </w:r>
          </w:p>
        </w:tc>
        <w:tc>
          <w:tcPr>
            <w:tcW w:w="1000" w:type="pct"/>
            <w:tcBorders>
              <w:tl2br w:val="nil"/>
              <w:tr2bl w:val="nil"/>
            </w:tcBorders>
            <w:noWrap/>
            <w:vAlign w:val="center"/>
          </w:tcPr>
          <w:p w14:paraId="47DD1FD8">
            <w:pPr>
              <w:spacing w:line="240" w:lineRule="auto"/>
              <w:ind w:firstLine="0" w:firstLineChars="0"/>
              <w:jc w:val="center"/>
              <w:rPr>
                <w:rFonts w:eastAsia="Times New Roman"/>
                <w:b/>
                <w:bCs/>
                <w:color w:val="auto"/>
                <w:spacing w:val="-2"/>
                <w:sz w:val="21"/>
                <w:szCs w:val="21"/>
                <w:highlight w:val="none"/>
              </w:rPr>
            </w:pPr>
            <w:r>
              <w:rPr>
                <w:b/>
                <w:bCs/>
                <w:color w:val="auto"/>
                <w:spacing w:val="-2"/>
                <w:sz w:val="21"/>
                <w:szCs w:val="21"/>
                <w:highlight w:val="none"/>
              </w:rPr>
              <w:t>甲藻</w:t>
            </w:r>
          </w:p>
        </w:tc>
        <w:tc>
          <w:tcPr>
            <w:tcW w:w="1000" w:type="pct"/>
            <w:tcBorders>
              <w:tl2br w:val="nil"/>
              <w:tr2bl w:val="nil"/>
            </w:tcBorders>
            <w:noWrap/>
            <w:vAlign w:val="center"/>
          </w:tcPr>
          <w:p w14:paraId="091B782A">
            <w:pPr>
              <w:spacing w:line="240" w:lineRule="auto"/>
              <w:ind w:firstLine="0" w:firstLineChars="0"/>
              <w:jc w:val="center"/>
              <w:rPr>
                <w:rFonts w:eastAsia="Times New Roman"/>
                <w:b/>
                <w:bCs/>
                <w:color w:val="auto"/>
                <w:spacing w:val="-2"/>
                <w:sz w:val="21"/>
                <w:szCs w:val="21"/>
                <w:highlight w:val="none"/>
              </w:rPr>
            </w:pPr>
            <w:r>
              <w:rPr>
                <w:b/>
                <w:bCs/>
                <w:color w:val="auto"/>
                <w:spacing w:val="-2"/>
                <w:sz w:val="21"/>
                <w:szCs w:val="21"/>
                <w:highlight w:val="none"/>
              </w:rPr>
              <w:t>蓝藻</w:t>
            </w:r>
          </w:p>
        </w:tc>
        <w:tc>
          <w:tcPr>
            <w:tcW w:w="1000" w:type="pct"/>
            <w:tcBorders>
              <w:tl2br w:val="nil"/>
              <w:tr2bl w:val="nil"/>
            </w:tcBorders>
            <w:noWrap/>
            <w:vAlign w:val="center"/>
          </w:tcPr>
          <w:p w14:paraId="7DDD9CCD">
            <w:pPr>
              <w:spacing w:line="240" w:lineRule="auto"/>
              <w:ind w:firstLine="0" w:firstLineChars="0"/>
              <w:jc w:val="center"/>
              <w:rPr>
                <w:rFonts w:eastAsia="Times New Roman"/>
                <w:b/>
                <w:bCs/>
                <w:color w:val="auto"/>
                <w:spacing w:val="-2"/>
                <w:sz w:val="21"/>
                <w:szCs w:val="21"/>
                <w:highlight w:val="none"/>
              </w:rPr>
            </w:pPr>
            <w:r>
              <w:rPr>
                <w:b/>
                <w:bCs/>
                <w:color w:val="auto"/>
                <w:spacing w:val="-2"/>
                <w:sz w:val="21"/>
                <w:szCs w:val="21"/>
                <w:highlight w:val="none"/>
              </w:rPr>
              <w:t>隐藻</w:t>
            </w:r>
          </w:p>
        </w:tc>
      </w:tr>
      <w:tr w14:paraId="12B554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00" w:type="pct"/>
            <w:tcBorders>
              <w:tl2br w:val="nil"/>
              <w:tr2bl w:val="nil"/>
            </w:tcBorders>
            <w:vAlign w:val="center"/>
          </w:tcPr>
          <w:p w14:paraId="47A433B4">
            <w:pPr>
              <w:spacing w:line="240" w:lineRule="auto"/>
              <w:ind w:firstLine="0" w:firstLineChars="0"/>
              <w:jc w:val="center"/>
              <w:rPr>
                <w:rFonts w:eastAsia="Times New Roman"/>
                <w:color w:val="auto"/>
                <w:spacing w:val="-1"/>
                <w:sz w:val="21"/>
                <w:szCs w:val="21"/>
                <w:highlight w:val="none"/>
              </w:rPr>
            </w:pPr>
            <w:r>
              <w:rPr>
                <w:rFonts w:eastAsia="Times New Roman"/>
                <w:color w:val="auto"/>
                <w:spacing w:val="-1"/>
                <w:sz w:val="21"/>
                <w:szCs w:val="21"/>
                <w:highlight w:val="none"/>
              </w:rPr>
              <w:t>1#</w:t>
            </w:r>
          </w:p>
        </w:tc>
        <w:tc>
          <w:tcPr>
            <w:tcW w:w="1000" w:type="pct"/>
            <w:tcBorders>
              <w:tl2br w:val="nil"/>
              <w:tr2bl w:val="nil"/>
            </w:tcBorders>
            <w:noWrap/>
            <w:vAlign w:val="center"/>
          </w:tcPr>
          <w:p w14:paraId="01604D92">
            <w:pPr>
              <w:spacing w:line="240" w:lineRule="auto"/>
              <w:ind w:firstLine="0" w:firstLineChars="0"/>
              <w:jc w:val="center"/>
              <w:rPr>
                <w:rFonts w:eastAsia="Times New Roman"/>
                <w:color w:val="auto"/>
                <w:spacing w:val="-2"/>
                <w:sz w:val="21"/>
                <w:szCs w:val="21"/>
                <w:highlight w:val="none"/>
              </w:rPr>
            </w:pPr>
          </w:p>
        </w:tc>
        <w:tc>
          <w:tcPr>
            <w:tcW w:w="1000" w:type="pct"/>
            <w:tcBorders>
              <w:tl2br w:val="nil"/>
              <w:tr2bl w:val="nil"/>
            </w:tcBorders>
            <w:noWrap/>
            <w:vAlign w:val="center"/>
          </w:tcPr>
          <w:p w14:paraId="668C90F6">
            <w:pPr>
              <w:spacing w:line="240" w:lineRule="auto"/>
              <w:ind w:firstLine="0" w:firstLineChars="0"/>
              <w:jc w:val="center"/>
              <w:rPr>
                <w:rFonts w:eastAsia="Times New Roman"/>
                <w:color w:val="auto"/>
                <w:spacing w:val="-2"/>
                <w:sz w:val="21"/>
                <w:szCs w:val="21"/>
                <w:highlight w:val="none"/>
              </w:rPr>
            </w:pPr>
          </w:p>
        </w:tc>
        <w:tc>
          <w:tcPr>
            <w:tcW w:w="1000" w:type="pct"/>
            <w:tcBorders>
              <w:tl2br w:val="nil"/>
              <w:tr2bl w:val="nil"/>
            </w:tcBorders>
            <w:noWrap/>
            <w:vAlign w:val="center"/>
          </w:tcPr>
          <w:p w14:paraId="39A20CAE">
            <w:pPr>
              <w:spacing w:line="240" w:lineRule="auto"/>
              <w:ind w:firstLine="0" w:firstLineChars="0"/>
              <w:jc w:val="center"/>
              <w:rPr>
                <w:rFonts w:eastAsia="Times New Roman"/>
                <w:color w:val="auto"/>
                <w:spacing w:val="-2"/>
                <w:sz w:val="21"/>
                <w:szCs w:val="21"/>
                <w:highlight w:val="none"/>
              </w:rPr>
            </w:pPr>
          </w:p>
        </w:tc>
        <w:tc>
          <w:tcPr>
            <w:tcW w:w="1000" w:type="pct"/>
            <w:tcBorders>
              <w:tl2br w:val="nil"/>
              <w:tr2bl w:val="nil"/>
            </w:tcBorders>
            <w:noWrap/>
            <w:vAlign w:val="center"/>
          </w:tcPr>
          <w:p w14:paraId="18CD2FF4">
            <w:pPr>
              <w:spacing w:line="240" w:lineRule="auto"/>
              <w:ind w:firstLine="0" w:firstLineChars="0"/>
              <w:jc w:val="center"/>
              <w:rPr>
                <w:rFonts w:eastAsia="Times New Roman"/>
                <w:color w:val="auto"/>
                <w:spacing w:val="-2"/>
                <w:sz w:val="21"/>
                <w:szCs w:val="21"/>
                <w:highlight w:val="none"/>
              </w:rPr>
            </w:pPr>
          </w:p>
        </w:tc>
      </w:tr>
      <w:tr w14:paraId="1E4EE5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00" w:type="pct"/>
            <w:tcBorders>
              <w:tl2br w:val="nil"/>
              <w:tr2bl w:val="nil"/>
            </w:tcBorders>
            <w:vAlign w:val="center"/>
          </w:tcPr>
          <w:p w14:paraId="517FEFB5">
            <w:pPr>
              <w:spacing w:line="240" w:lineRule="auto"/>
              <w:ind w:firstLine="0" w:firstLineChars="0"/>
              <w:jc w:val="center"/>
              <w:rPr>
                <w:rFonts w:eastAsia="Times New Roman"/>
                <w:color w:val="auto"/>
                <w:spacing w:val="-1"/>
                <w:sz w:val="21"/>
                <w:szCs w:val="21"/>
                <w:highlight w:val="none"/>
              </w:rPr>
            </w:pPr>
            <w:r>
              <w:rPr>
                <w:rFonts w:eastAsia="Times New Roman"/>
                <w:color w:val="auto"/>
                <w:spacing w:val="-1"/>
                <w:sz w:val="21"/>
                <w:szCs w:val="21"/>
                <w:highlight w:val="none"/>
              </w:rPr>
              <w:t>3#</w:t>
            </w:r>
          </w:p>
        </w:tc>
        <w:tc>
          <w:tcPr>
            <w:tcW w:w="1000" w:type="pct"/>
            <w:tcBorders>
              <w:tl2br w:val="nil"/>
              <w:tr2bl w:val="nil"/>
            </w:tcBorders>
            <w:noWrap/>
            <w:vAlign w:val="center"/>
          </w:tcPr>
          <w:p w14:paraId="341BDCEE">
            <w:pPr>
              <w:spacing w:line="240" w:lineRule="auto"/>
              <w:ind w:firstLine="0" w:firstLineChars="0"/>
              <w:jc w:val="center"/>
              <w:rPr>
                <w:rFonts w:eastAsia="Times New Roman"/>
                <w:color w:val="auto"/>
                <w:spacing w:val="-2"/>
                <w:sz w:val="21"/>
                <w:szCs w:val="21"/>
                <w:highlight w:val="none"/>
              </w:rPr>
            </w:pPr>
          </w:p>
        </w:tc>
        <w:tc>
          <w:tcPr>
            <w:tcW w:w="1000" w:type="pct"/>
            <w:tcBorders>
              <w:tl2br w:val="nil"/>
              <w:tr2bl w:val="nil"/>
            </w:tcBorders>
            <w:noWrap/>
            <w:vAlign w:val="center"/>
          </w:tcPr>
          <w:p w14:paraId="2BF758B3">
            <w:pPr>
              <w:spacing w:line="240" w:lineRule="auto"/>
              <w:ind w:firstLine="0" w:firstLineChars="0"/>
              <w:jc w:val="center"/>
              <w:rPr>
                <w:rFonts w:eastAsia="Times New Roman"/>
                <w:color w:val="auto"/>
                <w:spacing w:val="-2"/>
                <w:sz w:val="21"/>
                <w:szCs w:val="21"/>
                <w:highlight w:val="none"/>
              </w:rPr>
            </w:pPr>
          </w:p>
        </w:tc>
        <w:tc>
          <w:tcPr>
            <w:tcW w:w="1000" w:type="pct"/>
            <w:tcBorders>
              <w:tl2br w:val="nil"/>
              <w:tr2bl w:val="nil"/>
            </w:tcBorders>
            <w:noWrap/>
            <w:vAlign w:val="center"/>
          </w:tcPr>
          <w:p w14:paraId="4B129462">
            <w:pPr>
              <w:spacing w:line="240" w:lineRule="auto"/>
              <w:ind w:firstLine="0" w:firstLineChars="0"/>
              <w:jc w:val="center"/>
              <w:rPr>
                <w:rFonts w:eastAsia="Times New Roman"/>
                <w:color w:val="auto"/>
                <w:spacing w:val="-2"/>
                <w:sz w:val="21"/>
                <w:szCs w:val="21"/>
                <w:highlight w:val="none"/>
              </w:rPr>
            </w:pPr>
          </w:p>
        </w:tc>
        <w:tc>
          <w:tcPr>
            <w:tcW w:w="1000" w:type="pct"/>
            <w:tcBorders>
              <w:tl2br w:val="nil"/>
              <w:tr2bl w:val="nil"/>
            </w:tcBorders>
            <w:noWrap/>
            <w:vAlign w:val="center"/>
          </w:tcPr>
          <w:p w14:paraId="22D346C6">
            <w:pPr>
              <w:spacing w:line="240" w:lineRule="auto"/>
              <w:ind w:firstLine="0" w:firstLineChars="0"/>
              <w:jc w:val="center"/>
              <w:rPr>
                <w:rFonts w:eastAsia="Times New Roman"/>
                <w:color w:val="auto"/>
                <w:spacing w:val="-2"/>
                <w:sz w:val="21"/>
                <w:szCs w:val="21"/>
                <w:highlight w:val="none"/>
              </w:rPr>
            </w:pPr>
          </w:p>
        </w:tc>
      </w:tr>
      <w:tr w14:paraId="233848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00" w:type="pct"/>
            <w:tcBorders>
              <w:tl2br w:val="nil"/>
              <w:tr2bl w:val="nil"/>
            </w:tcBorders>
            <w:noWrap/>
            <w:vAlign w:val="center"/>
          </w:tcPr>
          <w:p w14:paraId="53BCF754">
            <w:pPr>
              <w:spacing w:line="240" w:lineRule="auto"/>
              <w:ind w:firstLine="0" w:firstLineChars="0"/>
              <w:jc w:val="center"/>
              <w:rPr>
                <w:rFonts w:eastAsia="Times New Roman"/>
                <w:color w:val="auto"/>
                <w:spacing w:val="-2"/>
                <w:sz w:val="21"/>
                <w:szCs w:val="21"/>
                <w:highlight w:val="none"/>
              </w:rPr>
            </w:pPr>
            <w:r>
              <w:rPr>
                <w:color w:val="auto"/>
                <w:spacing w:val="-2"/>
                <w:sz w:val="21"/>
                <w:szCs w:val="21"/>
                <w:highlight w:val="none"/>
              </w:rPr>
              <w:t>合计</w:t>
            </w:r>
          </w:p>
        </w:tc>
        <w:tc>
          <w:tcPr>
            <w:tcW w:w="1000" w:type="pct"/>
            <w:tcBorders>
              <w:tl2br w:val="nil"/>
              <w:tr2bl w:val="nil"/>
            </w:tcBorders>
            <w:noWrap/>
            <w:vAlign w:val="center"/>
          </w:tcPr>
          <w:p w14:paraId="136924C4">
            <w:pPr>
              <w:spacing w:line="240" w:lineRule="auto"/>
              <w:ind w:firstLine="0" w:firstLineChars="0"/>
              <w:jc w:val="center"/>
              <w:rPr>
                <w:rFonts w:eastAsia="Times New Roman"/>
                <w:color w:val="auto"/>
                <w:spacing w:val="-2"/>
                <w:sz w:val="21"/>
                <w:szCs w:val="21"/>
                <w:highlight w:val="none"/>
              </w:rPr>
            </w:pPr>
          </w:p>
        </w:tc>
        <w:tc>
          <w:tcPr>
            <w:tcW w:w="1000" w:type="pct"/>
            <w:tcBorders>
              <w:tl2br w:val="nil"/>
              <w:tr2bl w:val="nil"/>
            </w:tcBorders>
            <w:noWrap/>
            <w:vAlign w:val="center"/>
          </w:tcPr>
          <w:p w14:paraId="43B41F1C">
            <w:pPr>
              <w:spacing w:line="240" w:lineRule="auto"/>
              <w:ind w:firstLine="0" w:firstLineChars="0"/>
              <w:jc w:val="center"/>
              <w:rPr>
                <w:rFonts w:eastAsia="Times New Roman"/>
                <w:color w:val="auto"/>
                <w:spacing w:val="-2"/>
                <w:sz w:val="21"/>
                <w:szCs w:val="21"/>
                <w:highlight w:val="none"/>
              </w:rPr>
            </w:pPr>
          </w:p>
        </w:tc>
        <w:tc>
          <w:tcPr>
            <w:tcW w:w="1000" w:type="pct"/>
            <w:tcBorders>
              <w:tl2br w:val="nil"/>
              <w:tr2bl w:val="nil"/>
            </w:tcBorders>
            <w:noWrap/>
            <w:vAlign w:val="center"/>
          </w:tcPr>
          <w:p w14:paraId="701A5FF1">
            <w:pPr>
              <w:spacing w:line="240" w:lineRule="auto"/>
              <w:ind w:firstLine="0" w:firstLineChars="0"/>
              <w:jc w:val="center"/>
              <w:rPr>
                <w:rFonts w:eastAsia="Times New Roman"/>
                <w:color w:val="auto"/>
                <w:spacing w:val="-2"/>
                <w:sz w:val="21"/>
                <w:szCs w:val="21"/>
                <w:highlight w:val="none"/>
              </w:rPr>
            </w:pPr>
          </w:p>
        </w:tc>
        <w:tc>
          <w:tcPr>
            <w:tcW w:w="1000" w:type="pct"/>
            <w:tcBorders>
              <w:tl2br w:val="nil"/>
              <w:tr2bl w:val="nil"/>
            </w:tcBorders>
            <w:noWrap/>
            <w:vAlign w:val="center"/>
          </w:tcPr>
          <w:p w14:paraId="3EDF9A89">
            <w:pPr>
              <w:spacing w:line="240" w:lineRule="auto"/>
              <w:ind w:firstLine="0" w:firstLineChars="0"/>
              <w:jc w:val="center"/>
              <w:rPr>
                <w:rFonts w:eastAsia="Times New Roman"/>
                <w:color w:val="auto"/>
                <w:spacing w:val="-2"/>
                <w:sz w:val="21"/>
                <w:szCs w:val="21"/>
                <w:highlight w:val="none"/>
              </w:rPr>
            </w:pPr>
          </w:p>
        </w:tc>
      </w:tr>
    </w:tbl>
    <w:p w14:paraId="4142EC7C">
      <w:pPr>
        <w:pStyle w:val="38"/>
        <w:spacing w:before="120" w:beforeLines="50" w:after="0"/>
        <w:ind w:firstLine="480"/>
        <w:rPr>
          <w:color w:val="auto"/>
          <w:highlight w:val="none"/>
        </w:rPr>
      </w:pPr>
      <w:r>
        <w:rPr>
          <w:color w:val="auto"/>
          <w:highlight w:val="none"/>
        </w:rPr>
        <w:t>②数量组成与分布</w:t>
      </w:r>
    </w:p>
    <w:p w14:paraId="3F77268A">
      <w:pPr>
        <w:pStyle w:val="38"/>
        <w:spacing w:after="0"/>
        <w:ind w:firstLine="532"/>
        <w:rPr>
          <w:color w:val="auto"/>
          <w:spacing w:val="-1"/>
          <w:highlight w:val="none"/>
        </w:rPr>
      </w:pPr>
      <w:r>
        <w:rPr>
          <w:color w:val="auto"/>
          <w:spacing w:val="13"/>
          <w:highlight w:val="none"/>
        </w:rPr>
        <w:t>根据统计分析，1</w:t>
      </w:r>
      <w:r>
        <w:rPr>
          <w:rFonts w:eastAsia="Times New Roman"/>
          <w:color w:val="auto"/>
          <w:spacing w:val="13"/>
          <w:highlight w:val="none"/>
        </w:rPr>
        <w:t>#</w:t>
      </w:r>
      <w:r>
        <w:rPr>
          <w:color w:val="auto"/>
          <w:spacing w:val="13"/>
          <w:highlight w:val="none"/>
        </w:rPr>
        <w:t>站点浮游植物细胞</w:t>
      </w:r>
      <w:r>
        <w:rPr>
          <w:color w:val="auto"/>
          <w:spacing w:val="-71"/>
          <w:highlight w:val="none"/>
        </w:rPr>
        <w:t xml:space="preserve"> </w:t>
      </w:r>
      <w:r>
        <w:rPr>
          <w:color w:val="auto"/>
          <w:spacing w:val="13"/>
          <w:highlight w:val="none"/>
        </w:rPr>
        <w:t>丰度为5.65</w:t>
      </w:r>
      <w:r>
        <w:rPr>
          <w:rFonts w:eastAsia="Times New Roman"/>
          <w:color w:val="auto"/>
          <w:spacing w:val="13"/>
          <w:highlight w:val="none"/>
        </w:rPr>
        <w:t>×10</w:t>
      </w:r>
      <w:r>
        <w:rPr>
          <w:color w:val="auto"/>
          <w:spacing w:val="13"/>
          <w:highlight w:val="none"/>
          <w:vertAlign w:val="superscript"/>
        </w:rPr>
        <w:t>7</w:t>
      </w:r>
      <w:r>
        <w:rPr>
          <w:rFonts w:eastAsia="Times New Roman"/>
          <w:color w:val="auto"/>
          <w:spacing w:val="-3"/>
          <w:highlight w:val="none"/>
        </w:rPr>
        <w:t xml:space="preserve"> cells/m</w:t>
      </w:r>
      <w:r>
        <w:rPr>
          <w:color w:val="auto"/>
          <w:spacing w:val="-3"/>
          <w:highlight w:val="none"/>
          <w:vertAlign w:val="superscript"/>
        </w:rPr>
        <w:t>3</w:t>
      </w:r>
      <w:r>
        <w:rPr>
          <w:color w:val="auto"/>
          <w:spacing w:val="-3"/>
          <w:highlight w:val="none"/>
        </w:rPr>
        <w:t>，3#站点</w:t>
      </w:r>
      <w:r>
        <w:rPr>
          <w:color w:val="auto"/>
          <w:spacing w:val="13"/>
          <w:highlight w:val="none"/>
        </w:rPr>
        <w:t>浮游植物细胞</w:t>
      </w:r>
      <w:r>
        <w:rPr>
          <w:color w:val="auto"/>
          <w:spacing w:val="-71"/>
          <w:highlight w:val="none"/>
        </w:rPr>
        <w:t xml:space="preserve"> </w:t>
      </w:r>
      <w:r>
        <w:rPr>
          <w:color w:val="auto"/>
          <w:spacing w:val="13"/>
          <w:highlight w:val="none"/>
        </w:rPr>
        <w:t>丰度为5.35</w:t>
      </w:r>
      <w:r>
        <w:rPr>
          <w:rFonts w:eastAsia="Times New Roman"/>
          <w:color w:val="auto"/>
          <w:spacing w:val="13"/>
          <w:highlight w:val="none"/>
        </w:rPr>
        <w:t>×10</w:t>
      </w:r>
      <w:r>
        <w:rPr>
          <w:color w:val="auto"/>
          <w:spacing w:val="13"/>
          <w:highlight w:val="none"/>
          <w:vertAlign w:val="superscript"/>
        </w:rPr>
        <w:t>7</w:t>
      </w:r>
      <w:r>
        <w:rPr>
          <w:rFonts w:eastAsia="Times New Roman"/>
          <w:color w:val="auto"/>
          <w:spacing w:val="-3"/>
          <w:highlight w:val="none"/>
        </w:rPr>
        <w:t xml:space="preserve"> cells/m</w:t>
      </w:r>
      <w:r>
        <w:rPr>
          <w:color w:val="auto"/>
          <w:spacing w:val="-3"/>
          <w:highlight w:val="none"/>
          <w:vertAlign w:val="superscript"/>
        </w:rPr>
        <w:t>3</w:t>
      </w:r>
      <w:r>
        <w:rPr>
          <w:color w:val="auto"/>
          <w:spacing w:val="-3"/>
          <w:highlight w:val="none"/>
        </w:rPr>
        <w:t>，</w:t>
      </w:r>
      <w:r>
        <w:rPr>
          <w:color w:val="auto"/>
          <w:spacing w:val="-1"/>
          <w:highlight w:val="none"/>
        </w:rPr>
        <w:t>硅藻丰度最高。</w:t>
      </w:r>
    </w:p>
    <w:p w14:paraId="590E5FA3">
      <w:pPr>
        <w:pStyle w:val="38"/>
        <w:spacing w:after="0"/>
        <w:ind w:firstLine="532"/>
        <w:rPr>
          <w:color w:val="auto"/>
          <w:spacing w:val="13"/>
          <w:highlight w:val="none"/>
        </w:rPr>
      </w:pPr>
      <w:r>
        <w:rPr>
          <w:color w:val="auto"/>
          <w:spacing w:val="13"/>
          <w:highlight w:val="none"/>
        </w:rPr>
        <w:t>③群落特征</w:t>
      </w:r>
    </w:p>
    <w:p w14:paraId="1777D273">
      <w:pPr>
        <w:pStyle w:val="38"/>
        <w:spacing w:after="0"/>
        <w:ind w:firstLine="532"/>
        <w:rPr>
          <w:color w:val="auto"/>
          <w:spacing w:val="13"/>
          <w:highlight w:val="none"/>
        </w:rPr>
      </w:pPr>
      <w:r>
        <w:rPr>
          <w:color w:val="auto"/>
          <w:spacing w:val="13"/>
          <w:highlight w:val="none"/>
        </w:rPr>
        <w:t>经统计分析，1#站点浮游植物种类多样性指数为3.48，均匀度为0.87，丰富度为0.95、优势度为0.19；3#站点浮游植物种类多样性指数为3.02，均匀度为0.87，丰富度为0.64、优势度为0.24。整体来说，项目附近海域浮游植物的种类多样性指数处于中等水平，丰富度、优势度皆较低。</w:t>
      </w:r>
    </w:p>
    <w:p w14:paraId="6AD13E45">
      <w:pPr>
        <w:pStyle w:val="38"/>
        <w:spacing w:after="0" w:line="240" w:lineRule="auto"/>
        <w:ind w:firstLine="0" w:firstLineChars="0"/>
        <w:jc w:val="center"/>
        <w:rPr>
          <w:b/>
          <w:color w:val="auto"/>
          <w:sz w:val="21"/>
          <w:szCs w:val="21"/>
          <w:highlight w:val="none"/>
        </w:rPr>
      </w:pPr>
      <w:r>
        <w:rPr>
          <w:b/>
          <w:color w:val="auto"/>
          <w:sz w:val="21"/>
          <w:szCs w:val="21"/>
          <w:highlight w:val="none"/>
        </w:rPr>
        <w:t>表3.4-9 浮游植物种类多样性指数、均匀度和丰富度</w:t>
      </w:r>
    </w:p>
    <w:tbl>
      <w:tblPr>
        <w:tblStyle w:val="875"/>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504"/>
        <w:gridCol w:w="1491"/>
        <w:gridCol w:w="1598"/>
        <w:gridCol w:w="1491"/>
        <w:gridCol w:w="1493"/>
        <w:gridCol w:w="1493"/>
      </w:tblGrid>
      <w:tr w14:paraId="2B664A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blHeader/>
        </w:trPr>
        <w:tc>
          <w:tcPr>
            <w:tcW w:w="829" w:type="pct"/>
            <w:tcBorders>
              <w:top w:val="single" w:color="000000" w:sz="12" w:space="0"/>
              <w:left w:val="nil"/>
              <w:bottom w:val="single" w:color="000000" w:sz="4" w:space="0"/>
              <w:right w:val="single" w:color="000000" w:sz="4" w:space="0"/>
            </w:tcBorders>
            <w:vAlign w:val="center"/>
          </w:tcPr>
          <w:p w14:paraId="784EDB9E">
            <w:pPr>
              <w:pStyle w:val="1561"/>
              <w:autoSpaceDE/>
              <w:autoSpaceDN/>
              <w:spacing w:line="240" w:lineRule="auto"/>
              <w:ind w:firstLine="0" w:firstLineChars="0"/>
              <w:jc w:val="center"/>
              <w:rPr>
                <w:rFonts w:ascii="Times New Roman" w:hAnsi="Times New Roman" w:cs="Times New Roman"/>
                <w:b/>
                <w:bCs/>
                <w:color w:val="auto"/>
                <w:highlight w:val="none"/>
              </w:rPr>
            </w:pPr>
            <w:r>
              <w:rPr>
                <w:rFonts w:ascii="Times New Roman" w:hAnsi="Times New Roman" w:cs="Times New Roman"/>
                <w:b/>
                <w:bCs/>
                <w:color w:val="auto"/>
                <w:spacing w:val="-2"/>
                <w:highlight w:val="none"/>
              </w:rPr>
              <w:t>站号</w:t>
            </w:r>
          </w:p>
        </w:tc>
        <w:tc>
          <w:tcPr>
            <w:tcW w:w="822" w:type="pct"/>
            <w:tcBorders>
              <w:top w:val="single" w:color="000000" w:sz="12" w:space="0"/>
              <w:left w:val="single" w:color="000000" w:sz="4" w:space="0"/>
              <w:bottom w:val="single" w:color="000000" w:sz="4" w:space="0"/>
              <w:right w:val="single" w:color="000000" w:sz="4" w:space="0"/>
            </w:tcBorders>
            <w:vAlign w:val="center"/>
          </w:tcPr>
          <w:p w14:paraId="044C34AA">
            <w:pPr>
              <w:pStyle w:val="1561"/>
              <w:autoSpaceDE/>
              <w:autoSpaceDN/>
              <w:spacing w:line="240" w:lineRule="auto"/>
              <w:ind w:firstLine="0" w:firstLineChars="0"/>
              <w:jc w:val="center"/>
              <w:rPr>
                <w:rFonts w:ascii="Times New Roman" w:hAnsi="Times New Roman" w:eastAsia="Times New Roman" w:cs="Times New Roman"/>
                <w:b/>
                <w:bCs/>
                <w:color w:val="auto"/>
                <w:highlight w:val="none"/>
              </w:rPr>
            </w:pPr>
            <w:r>
              <w:rPr>
                <w:rFonts w:ascii="Times New Roman" w:hAnsi="Times New Roman" w:cs="Times New Roman"/>
                <w:b/>
                <w:bCs/>
                <w:color w:val="auto"/>
                <w:spacing w:val="-1"/>
                <w:highlight w:val="none"/>
              </w:rPr>
              <w:t>种类数</w:t>
            </w:r>
            <w:r>
              <w:rPr>
                <w:rFonts w:ascii="Times New Roman" w:hAnsi="Times New Roman" w:eastAsia="Times New Roman" w:cs="Times New Roman"/>
                <w:b/>
                <w:bCs/>
                <w:color w:val="auto"/>
                <w:spacing w:val="-1"/>
                <w:highlight w:val="none"/>
              </w:rPr>
              <w:t>(</w:t>
            </w:r>
            <w:r>
              <w:rPr>
                <w:rFonts w:ascii="Times New Roman" w:hAnsi="Times New Roman" w:cs="Times New Roman"/>
                <w:b/>
                <w:bCs/>
                <w:color w:val="auto"/>
                <w:spacing w:val="-1"/>
                <w:highlight w:val="none"/>
              </w:rPr>
              <w:t>种</w:t>
            </w:r>
            <w:r>
              <w:rPr>
                <w:rFonts w:ascii="Times New Roman" w:hAnsi="Times New Roman" w:eastAsia="Times New Roman" w:cs="Times New Roman"/>
                <w:b/>
                <w:bCs/>
                <w:color w:val="auto"/>
                <w:spacing w:val="-1"/>
                <w:highlight w:val="none"/>
              </w:rPr>
              <w:t>)</w:t>
            </w:r>
          </w:p>
        </w:tc>
        <w:tc>
          <w:tcPr>
            <w:tcW w:w="881" w:type="pct"/>
            <w:tcBorders>
              <w:top w:val="single" w:color="000000" w:sz="12" w:space="0"/>
              <w:left w:val="single" w:color="000000" w:sz="4" w:space="0"/>
              <w:bottom w:val="single" w:color="000000" w:sz="4" w:space="0"/>
              <w:right w:val="single" w:color="000000" w:sz="4" w:space="0"/>
            </w:tcBorders>
            <w:vAlign w:val="center"/>
          </w:tcPr>
          <w:p w14:paraId="7A8CFF66">
            <w:pPr>
              <w:pStyle w:val="1561"/>
              <w:autoSpaceDE/>
              <w:autoSpaceDN/>
              <w:spacing w:line="240" w:lineRule="auto"/>
              <w:ind w:firstLine="0" w:firstLineChars="0"/>
              <w:jc w:val="center"/>
              <w:rPr>
                <w:rFonts w:ascii="Times New Roman" w:hAnsi="Times New Roman" w:cs="Times New Roman"/>
                <w:b/>
                <w:bCs/>
                <w:color w:val="auto"/>
                <w:highlight w:val="none"/>
              </w:rPr>
            </w:pPr>
            <w:r>
              <w:rPr>
                <w:rFonts w:ascii="Times New Roman" w:hAnsi="Times New Roman" w:cs="Times New Roman"/>
                <w:b/>
                <w:bCs/>
                <w:color w:val="auto"/>
                <w:spacing w:val="-2"/>
                <w:highlight w:val="none"/>
              </w:rPr>
              <w:t>多样性指数（</w:t>
            </w:r>
            <w:r>
              <w:rPr>
                <w:rFonts w:ascii="Times New Roman" w:hAnsi="Times New Roman" w:eastAsia="Times New Roman" w:cs="Times New Roman"/>
                <w:b/>
                <w:bCs/>
                <w:color w:val="auto"/>
                <w:spacing w:val="-2"/>
                <w:highlight w:val="none"/>
              </w:rPr>
              <w:t>Hˊ</w:t>
            </w:r>
            <w:r>
              <w:rPr>
                <w:rFonts w:ascii="Times New Roman" w:hAnsi="Times New Roman" w:cs="Times New Roman"/>
                <w:b/>
                <w:bCs/>
                <w:color w:val="auto"/>
                <w:spacing w:val="-2"/>
                <w:highlight w:val="none"/>
              </w:rPr>
              <w:t>)</w:t>
            </w:r>
          </w:p>
        </w:tc>
        <w:tc>
          <w:tcPr>
            <w:tcW w:w="822" w:type="pct"/>
            <w:tcBorders>
              <w:top w:val="single" w:color="000000" w:sz="12" w:space="0"/>
              <w:left w:val="single" w:color="000000" w:sz="4" w:space="0"/>
              <w:bottom w:val="single" w:color="000000" w:sz="4" w:space="0"/>
              <w:right w:val="single" w:color="000000" w:sz="4" w:space="0"/>
            </w:tcBorders>
            <w:vAlign w:val="center"/>
          </w:tcPr>
          <w:p w14:paraId="0E2EDB40">
            <w:pPr>
              <w:pStyle w:val="1561"/>
              <w:autoSpaceDE/>
              <w:autoSpaceDN/>
              <w:spacing w:line="240" w:lineRule="auto"/>
              <w:ind w:firstLine="0" w:firstLineChars="0"/>
              <w:jc w:val="center"/>
              <w:rPr>
                <w:rFonts w:ascii="Times New Roman" w:hAnsi="Times New Roman" w:cs="Times New Roman"/>
                <w:b/>
                <w:bCs/>
                <w:color w:val="auto"/>
                <w:highlight w:val="none"/>
              </w:rPr>
            </w:pPr>
            <w:r>
              <w:rPr>
                <w:rFonts w:ascii="Times New Roman" w:hAnsi="Times New Roman" w:cs="Times New Roman"/>
                <w:b/>
                <w:bCs/>
                <w:color w:val="auto"/>
                <w:spacing w:val="-1"/>
                <w:highlight w:val="none"/>
              </w:rPr>
              <w:t>均匀度（</w:t>
            </w:r>
            <w:r>
              <w:rPr>
                <w:rFonts w:ascii="Times New Roman" w:hAnsi="Times New Roman" w:eastAsia="Times New Roman" w:cs="Times New Roman"/>
                <w:b/>
                <w:bCs/>
                <w:color w:val="auto"/>
                <w:spacing w:val="-1"/>
                <w:highlight w:val="none"/>
              </w:rPr>
              <w:t>Jˊ</w:t>
            </w:r>
            <w:r>
              <w:rPr>
                <w:rFonts w:ascii="Times New Roman" w:hAnsi="Times New Roman" w:cs="Times New Roman"/>
                <w:b/>
                <w:bCs/>
                <w:color w:val="auto"/>
                <w:spacing w:val="-1"/>
                <w:highlight w:val="none"/>
              </w:rPr>
              <w:t>)</w:t>
            </w:r>
          </w:p>
        </w:tc>
        <w:tc>
          <w:tcPr>
            <w:tcW w:w="823" w:type="pct"/>
            <w:tcBorders>
              <w:top w:val="single" w:color="000000" w:sz="12" w:space="0"/>
              <w:left w:val="single" w:color="000000" w:sz="4" w:space="0"/>
              <w:bottom w:val="single" w:color="000000" w:sz="4" w:space="0"/>
              <w:right w:val="single" w:color="000000" w:sz="4" w:space="0"/>
            </w:tcBorders>
            <w:vAlign w:val="center"/>
          </w:tcPr>
          <w:p w14:paraId="369DEF02">
            <w:pPr>
              <w:pStyle w:val="1561"/>
              <w:autoSpaceDE/>
              <w:autoSpaceDN/>
              <w:spacing w:line="240" w:lineRule="auto"/>
              <w:ind w:firstLine="0" w:firstLineChars="0"/>
              <w:jc w:val="center"/>
              <w:rPr>
                <w:rFonts w:ascii="Times New Roman" w:hAnsi="Times New Roman" w:cs="Times New Roman"/>
                <w:b/>
                <w:bCs/>
                <w:color w:val="auto"/>
                <w:highlight w:val="none"/>
              </w:rPr>
            </w:pPr>
            <w:r>
              <w:rPr>
                <w:rFonts w:ascii="Times New Roman" w:hAnsi="Times New Roman" w:cs="Times New Roman"/>
                <w:b/>
                <w:bCs/>
                <w:color w:val="auto"/>
                <w:spacing w:val="-1"/>
                <w:highlight w:val="none"/>
              </w:rPr>
              <w:t>丰富度（</w:t>
            </w:r>
            <w:r>
              <w:rPr>
                <w:rFonts w:ascii="Times New Roman" w:hAnsi="Times New Roman" w:eastAsia="Times New Roman" w:cs="Times New Roman"/>
                <w:b/>
                <w:bCs/>
                <w:color w:val="auto"/>
                <w:spacing w:val="-1"/>
                <w:highlight w:val="none"/>
              </w:rPr>
              <w:t>d</w:t>
            </w:r>
            <w:r>
              <w:rPr>
                <w:rFonts w:ascii="Times New Roman" w:hAnsi="Times New Roman" w:cs="Times New Roman"/>
                <w:b/>
                <w:bCs/>
                <w:color w:val="auto"/>
                <w:spacing w:val="-1"/>
                <w:highlight w:val="none"/>
              </w:rPr>
              <w:t>）</w:t>
            </w:r>
          </w:p>
        </w:tc>
        <w:tc>
          <w:tcPr>
            <w:tcW w:w="823" w:type="pct"/>
            <w:tcBorders>
              <w:top w:val="single" w:color="000000" w:sz="12" w:space="0"/>
              <w:left w:val="single" w:color="000000" w:sz="4" w:space="0"/>
              <w:bottom w:val="single" w:color="000000" w:sz="4" w:space="0"/>
              <w:right w:val="nil"/>
            </w:tcBorders>
            <w:vAlign w:val="center"/>
          </w:tcPr>
          <w:p w14:paraId="63E6E183">
            <w:pPr>
              <w:pStyle w:val="1561"/>
              <w:autoSpaceDE/>
              <w:autoSpaceDN/>
              <w:spacing w:line="240" w:lineRule="auto"/>
              <w:ind w:firstLine="0" w:firstLineChars="0"/>
              <w:jc w:val="center"/>
              <w:rPr>
                <w:rFonts w:ascii="Times New Roman" w:hAnsi="Times New Roman" w:cs="Times New Roman"/>
                <w:b/>
                <w:bCs/>
                <w:color w:val="auto"/>
                <w:spacing w:val="-1"/>
                <w:highlight w:val="none"/>
                <w:lang w:eastAsia="zh-CN"/>
              </w:rPr>
            </w:pPr>
            <w:r>
              <w:rPr>
                <w:rFonts w:ascii="Times New Roman" w:hAnsi="Times New Roman" w:cs="Times New Roman"/>
                <w:b/>
                <w:bCs/>
                <w:color w:val="auto"/>
                <w:spacing w:val="-1"/>
                <w:highlight w:val="none"/>
                <w:lang w:eastAsia="zh-CN"/>
              </w:rPr>
              <w:t>优势度</w:t>
            </w:r>
          </w:p>
        </w:tc>
      </w:tr>
      <w:tr w14:paraId="6ACCEB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29" w:type="pct"/>
            <w:tcBorders>
              <w:top w:val="single" w:color="000000" w:sz="4" w:space="0"/>
              <w:left w:val="nil"/>
              <w:bottom w:val="single" w:color="000000" w:sz="4" w:space="0"/>
              <w:right w:val="single" w:color="000000" w:sz="4" w:space="0"/>
            </w:tcBorders>
            <w:vAlign w:val="center"/>
          </w:tcPr>
          <w:p w14:paraId="0E52C5D2">
            <w:pPr>
              <w:autoSpaceDE/>
              <w:autoSpaceDN/>
              <w:spacing w:line="240" w:lineRule="auto"/>
              <w:ind w:firstLine="0" w:firstLineChars="0"/>
              <w:jc w:val="center"/>
              <w:rPr>
                <w:rFonts w:eastAsia="Times New Roman"/>
                <w:color w:val="auto"/>
                <w:spacing w:val="-1"/>
                <w:sz w:val="21"/>
                <w:szCs w:val="21"/>
                <w:highlight w:val="none"/>
                <w:lang w:eastAsia="en-US"/>
              </w:rPr>
            </w:pPr>
            <w:r>
              <w:rPr>
                <w:rFonts w:eastAsia="Times New Roman"/>
                <w:color w:val="auto"/>
                <w:spacing w:val="-1"/>
                <w:sz w:val="21"/>
                <w:szCs w:val="21"/>
                <w:highlight w:val="none"/>
                <w:lang w:eastAsia="en-US"/>
              </w:rPr>
              <w:t>1#</w:t>
            </w:r>
          </w:p>
        </w:tc>
        <w:tc>
          <w:tcPr>
            <w:tcW w:w="822" w:type="pct"/>
            <w:tcBorders>
              <w:top w:val="single" w:color="000000" w:sz="4" w:space="0"/>
              <w:left w:val="single" w:color="000000" w:sz="4" w:space="0"/>
              <w:bottom w:val="single" w:color="000000" w:sz="4" w:space="0"/>
              <w:right w:val="single" w:color="000000" w:sz="4" w:space="0"/>
            </w:tcBorders>
            <w:vAlign w:val="center"/>
          </w:tcPr>
          <w:p w14:paraId="187BD259">
            <w:pPr>
              <w:autoSpaceDE/>
              <w:autoSpaceDN/>
              <w:spacing w:line="240" w:lineRule="auto"/>
              <w:ind w:firstLine="0" w:firstLineChars="0"/>
              <w:jc w:val="center"/>
              <w:rPr>
                <w:rFonts w:eastAsia="Times New Roman"/>
                <w:color w:val="auto"/>
                <w:spacing w:val="-1"/>
                <w:sz w:val="21"/>
                <w:szCs w:val="21"/>
                <w:highlight w:val="none"/>
                <w:lang w:eastAsia="en-US"/>
              </w:rPr>
            </w:pPr>
          </w:p>
        </w:tc>
        <w:tc>
          <w:tcPr>
            <w:tcW w:w="881" w:type="pct"/>
            <w:tcBorders>
              <w:top w:val="single" w:color="000000" w:sz="4" w:space="0"/>
              <w:left w:val="single" w:color="000000" w:sz="4" w:space="0"/>
              <w:bottom w:val="single" w:color="000000" w:sz="4" w:space="0"/>
              <w:right w:val="single" w:color="000000" w:sz="4" w:space="0"/>
            </w:tcBorders>
            <w:vAlign w:val="center"/>
          </w:tcPr>
          <w:p w14:paraId="614157A1">
            <w:pPr>
              <w:autoSpaceDE/>
              <w:autoSpaceDN/>
              <w:spacing w:line="240" w:lineRule="auto"/>
              <w:ind w:firstLine="0" w:firstLineChars="0"/>
              <w:jc w:val="center"/>
              <w:rPr>
                <w:rFonts w:eastAsia="Times New Roman"/>
                <w:color w:val="auto"/>
                <w:spacing w:val="-1"/>
                <w:sz w:val="21"/>
                <w:szCs w:val="21"/>
                <w:highlight w:val="none"/>
                <w:lang w:eastAsia="en-US"/>
              </w:rPr>
            </w:pPr>
          </w:p>
        </w:tc>
        <w:tc>
          <w:tcPr>
            <w:tcW w:w="822" w:type="pct"/>
            <w:tcBorders>
              <w:top w:val="single" w:color="000000" w:sz="4" w:space="0"/>
              <w:left w:val="single" w:color="000000" w:sz="4" w:space="0"/>
              <w:bottom w:val="single" w:color="000000" w:sz="4" w:space="0"/>
              <w:right w:val="single" w:color="000000" w:sz="4" w:space="0"/>
            </w:tcBorders>
            <w:vAlign w:val="center"/>
          </w:tcPr>
          <w:p w14:paraId="22CB9747">
            <w:pPr>
              <w:autoSpaceDE/>
              <w:autoSpaceDN/>
              <w:spacing w:line="240" w:lineRule="auto"/>
              <w:ind w:firstLine="0" w:firstLineChars="0"/>
              <w:jc w:val="center"/>
              <w:rPr>
                <w:rFonts w:eastAsia="Times New Roman"/>
                <w:color w:val="auto"/>
                <w:spacing w:val="-1"/>
                <w:sz w:val="21"/>
                <w:szCs w:val="21"/>
                <w:highlight w:val="none"/>
                <w:lang w:eastAsia="en-US"/>
              </w:rPr>
            </w:pPr>
          </w:p>
        </w:tc>
        <w:tc>
          <w:tcPr>
            <w:tcW w:w="823" w:type="pct"/>
            <w:tcBorders>
              <w:top w:val="single" w:color="000000" w:sz="4" w:space="0"/>
              <w:left w:val="single" w:color="000000" w:sz="4" w:space="0"/>
              <w:bottom w:val="single" w:color="000000" w:sz="4" w:space="0"/>
              <w:right w:val="single" w:color="000000" w:sz="4" w:space="0"/>
            </w:tcBorders>
            <w:vAlign w:val="center"/>
          </w:tcPr>
          <w:p w14:paraId="777745D2">
            <w:pPr>
              <w:autoSpaceDE/>
              <w:autoSpaceDN/>
              <w:spacing w:line="240" w:lineRule="auto"/>
              <w:ind w:firstLine="0" w:firstLineChars="0"/>
              <w:jc w:val="center"/>
              <w:rPr>
                <w:rFonts w:eastAsia="Times New Roman"/>
                <w:color w:val="auto"/>
                <w:spacing w:val="-1"/>
                <w:sz w:val="21"/>
                <w:szCs w:val="21"/>
                <w:highlight w:val="none"/>
                <w:lang w:eastAsia="en-US"/>
              </w:rPr>
            </w:pPr>
          </w:p>
        </w:tc>
        <w:tc>
          <w:tcPr>
            <w:tcW w:w="823" w:type="pct"/>
            <w:tcBorders>
              <w:top w:val="single" w:color="000000" w:sz="4" w:space="0"/>
              <w:left w:val="single" w:color="000000" w:sz="4" w:space="0"/>
              <w:bottom w:val="single" w:color="000000" w:sz="4" w:space="0"/>
              <w:right w:val="nil"/>
            </w:tcBorders>
            <w:vAlign w:val="center"/>
          </w:tcPr>
          <w:p w14:paraId="35BE90FC">
            <w:pPr>
              <w:autoSpaceDE/>
              <w:autoSpaceDN/>
              <w:spacing w:line="240" w:lineRule="auto"/>
              <w:ind w:firstLine="0" w:firstLineChars="0"/>
              <w:jc w:val="center"/>
              <w:rPr>
                <w:rFonts w:eastAsia="Times New Roman"/>
                <w:color w:val="auto"/>
                <w:spacing w:val="-1"/>
                <w:sz w:val="21"/>
                <w:szCs w:val="21"/>
                <w:highlight w:val="none"/>
                <w:lang w:eastAsia="en-US"/>
              </w:rPr>
            </w:pPr>
          </w:p>
        </w:tc>
      </w:tr>
      <w:tr w14:paraId="7147FB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29" w:type="pct"/>
            <w:tcBorders>
              <w:top w:val="single" w:color="000000" w:sz="4" w:space="0"/>
              <w:left w:val="nil"/>
              <w:bottom w:val="single" w:color="000000" w:sz="12" w:space="0"/>
              <w:right w:val="single" w:color="000000" w:sz="4" w:space="0"/>
            </w:tcBorders>
            <w:vAlign w:val="center"/>
          </w:tcPr>
          <w:p w14:paraId="5276C3BD">
            <w:pPr>
              <w:autoSpaceDE/>
              <w:autoSpaceDN/>
              <w:spacing w:line="240" w:lineRule="auto"/>
              <w:ind w:firstLine="0" w:firstLineChars="0"/>
              <w:jc w:val="center"/>
              <w:rPr>
                <w:rFonts w:eastAsia="Times New Roman"/>
                <w:color w:val="auto"/>
                <w:spacing w:val="-1"/>
                <w:sz w:val="21"/>
                <w:szCs w:val="21"/>
                <w:highlight w:val="none"/>
                <w:lang w:eastAsia="en-US"/>
              </w:rPr>
            </w:pPr>
            <w:r>
              <w:rPr>
                <w:rFonts w:eastAsia="Times New Roman"/>
                <w:color w:val="auto"/>
                <w:spacing w:val="-1"/>
                <w:sz w:val="21"/>
                <w:szCs w:val="21"/>
                <w:highlight w:val="none"/>
                <w:lang w:eastAsia="en-US"/>
              </w:rPr>
              <w:t>3#</w:t>
            </w:r>
          </w:p>
        </w:tc>
        <w:tc>
          <w:tcPr>
            <w:tcW w:w="822" w:type="pct"/>
            <w:tcBorders>
              <w:top w:val="single" w:color="000000" w:sz="4" w:space="0"/>
              <w:left w:val="single" w:color="000000" w:sz="4" w:space="0"/>
              <w:bottom w:val="single" w:color="000000" w:sz="12" w:space="0"/>
              <w:right w:val="single" w:color="000000" w:sz="4" w:space="0"/>
            </w:tcBorders>
            <w:vAlign w:val="center"/>
          </w:tcPr>
          <w:p w14:paraId="31401961">
            <w:pPr>
              <w:autoSpaceDE/>
              <w:autoSpaceDN/>
              <w:spacing w:line="240" w:lineRule="auto"/>
              <w:ind w:firstLine="0" w:firstLineChars="0"/>
              <w:jc w:val="center"/>
              <w:rPr>
                <w:rFonts w:eastAsia="Times New Roman"/>
                <w:color w:val="auto"/>
                <w:spacing w:val="-1"/>
                <w:sz w:val="21"/>
                <w:szCs w:val="21"/>
                <w:highlight w:val="none"/>
                <w:lang w:eastAsia="en-US"/>
              </w:rPr>
            </w:pPr>
          </w:p>
        </w:tc>
        <w:tc>
          <w:tcPr>
            <w:tcW w:w="881" w:type="pct"/>
            <w:tcBorders>
              <w:top w:val="single" w:color="000000" w:sz="4" w:space="0"/>
              <w:left w:val="single" w:color="000000" w:sz="4" w:space="0"/>
              <w:bottom w:val="single" w:color="000000" w:sz="12" w:space="0"/>
              <w:right w:val="single" w:color="000000" w:sz="4" w:space="0"/>
            </w:tcBorders>
            <w:vAlign w:val="center"/>
          </w:tcPr>
          <w:p w14:paraId="031A716A">
            <w:pPr>
              <w:autoSpaceDE/>
              <w:autoSpaceDN/>
              <w:spacing w:line="240" w:lineRule="auto"/>
              <w:ind w:firstLine="0" w:firstLineChars="0"/>
              <w:jc w:val="center"/>
              <w:rPr>
                <w:rFonts w:eastAsia="Times New Roman"/>
                <w:color w:val="auto"/>
                <w:spacing w:val="-1"/>
                <w:sz w:val="21"/>
                <w:szCs w:val="21"/>
                <w:highlight w:val="none"/>
                <w:lang w:eastAsia="en-US"/>
              </w:rPr>
            </w:pPr>
          </w:p>
        </w:tc>
        <w:tc>
          <w:tcPr>
            <w:tcW w:w="822" w:type="pct"/>
            <w:tcBorders>
              <w:top w:val="single" w:color="000000" w:sz="4" w:space="0"/>
              <w:left w:val="single" w:color="000000" w:sz="4" w:space="0"/>
              <w:bottom w:val="single" w:color="000000" w:sz="12" w:space="0"/>
              <w:right w:val="single" w:color="000000" w:sz="4" w:space="0"/>
            </w:tcBorders>
            <w:vAlign w:val="center"/>
          </w:tcPr>
          <w:p w14:paraId="287D9473">
            <w:pPr>
              <w:autoSpaceDE/>
              <w:autoSpaceDN/>
              <w:spacing w:line="240" w:lineRule="auto"/>
              <w:ind w:firstLine="0" w:firstLineChars="0"/>
              <w:jc w:val="center"/>
              <w:rPr>
                <w:rFonts w:eastAsia="Times New Roman"/>
                <w:color w:val="auto"/>
                <w:spacing w:val="-1"/>
                <w:sz w:val="21"/>
                <w:szCs w:val="21"/>
                <w:highlight w:val="none"/>
                <w:lang w:eastAsia="en-US"/>
              </w:rPr>
            </w:pPr>
          </w:p>
        </w:tc>
        <w:tc>
          <w:tcPr>
            <w:tcW w:w="823" w:type="pct"/>
            <w:tcBorders>
              <w:top w:val="single" w:color="000000" w:sz="4" w:space="0"/>
              <w:left w:val="single" w:color="000000" w:sz="4" w:space="0"/>
              <w:bottom w:val="single" w:color="000000" w:sz="12" w:space="0"/>
              <w:right w:val="single" w:color="000000" w:sz="4" w:space="0"/>
            </w:tcBorders>
            <w:vAlign w:val="center"/>
          </w:tcPr>
          <w:p w14:paraId="74B4C84F">
            <w:pPr>
              <w:autoSpaceDE/>
              <w:autoSpaceDN/>
              <w:spacing w:line="240" w:lineRule="auto"/>
              <w:ind w:firstLine="0" w:firstLineChars="0"/>
              <w:jc w:val="center"/>
              <w:rPr>
                <w:rFonts w:eastAsia="Times New Roman"/>
                <w:color w:val="auto"/>
                <w:spacing w:val="-1"/>
                <w:sz w:val="21"/>
                <w:szCs w:val="21"/>
                <w:highlight w:val="none"/>
                <w:lang w:eastAsia="en-US"/>
              </w:rPr>
            </w:pPr>
          </w:p>
        </w:tc>
        <w:tc>
          <w:tcPr>
            <w:tcW w:w="823" w:type="pct"/>
            <w:tcBorders>
              <w:top w:val="single" w:color="000000" w:sz="4" w:space="0"/>
              <w:left w:val="single" w:color="000000" w:sz="4" w:space="0"/>
              <w:bottom w:val="single" w:color="000000" w:sz="12" w:space="0"/>
              <w:right w:val="nil"/>
            </w:tcBorders>
            <w:vAlign w:val="center"/>
          </w:tcPr>
          <w:p w14:paraId="567568F2">
            <w:pPr>
              <w:autoSpaceDE/>
              <w:autoSpaceDN/>
              <w:spacing w:line="240" w:lineRule="auto"/>
              <w:ind w:firstLine="0" w:firstLineChars="0"/>
              <w:jc w:val="center"/>
              <w:rPr>
                <w:rFonts w:eastAsia="Times New Roman"/>
                <w:color w:val="auto"/>
                <w:spacing w:val="-1"/>
                <w:sz w:val="21"/>
                <w:szCs w:val="21"/>
                <w:highlight w:val="none"/>
                <w:lang w:eastAsia="en-US"/>
              </w:rPr>
            </w:pPr>
          </w:p>
        </w:tc>
      </w:tr>
    </w:tbl>
    <w:p w14:paraId="543736A2">
      <w:pPr>
        <w:pStyle w:val="11"/>
        <w:numPr>
          <w:ilvl w:val="0"/>
          <w:numId w:val="0"/>
        </w:numPr>
        <w:spacing w:before="0" w:after="0" w:line="360" w:lineRule="auto"/>
        <w:ind w:firstLine="482" w:firstLineChars="200"/>
        <w:rPr>
          <w:color w:val="auto"/>
          <w:sz w:val="24"/>
          <w:szCs w:val="24"/>
          <w:highlight w:val="none"/>
        </w:rPr>
      </w:pPr>
      <w:r>
        <w:rPr>
          <w:color w:val="auto"/>
          <w:sz w:val="24"/>
          <w:szCs w:val="24"/>
          <w:highlight w:val="none"/>
        </w:rPr>
        <w:t>（5）浮游动物调查结果</w:t>
      </w:r>
    </w:p>
    <w:p w14:paraId="6537BB64">
      <w:pPr>
        <w:pStyle w:val="38"/>
        <w:spacing w:after="0"/>
        <w:ind w:firstLine="480"/>
        <w:rPr>
          <w:color w:val="auto"/>
          <w:highlight w:val="none"/>
        </w:rPr>
      </w:pPr>
      <w:r>
        <w:rPr>
          <w:color w:val="auto"/>
          <w:highlight w:val="none"/>
        </w:rPr>
        <w:t>①种类组成与分布</w:t>
      </w:r>
    </w:p>
    <w:p w14:paraId="261CE3AA">
      <w:pPr>
        <w:pStyle w:val="38"/>
        <w:spacing w:after="0"/>
        <w:ind w:firstLine="480"/>
        <w:rPr>
          <w:color w:val="auto"/>
          <w:highlight w:val="none"/>
        </w:rPr>
      </w:pPr>
      <w:r>
        <w:rPr>
          <w:color w:val="auto"/>
          <w:highlight w:val="none"/>
        </w:rPr>
        <w:t>根据调查结果，项目附近站点调查到浮游动物11种和浮游幼虫1类。其中，桡足类动物种类最多，有5种，各占浮游动物总种数的（含浮游幼虫）41.67%；其次为节肢类，有4种，占浮游动物总种数的（含浮游幼虫）33.33%。</w:t>
      </w:r>
    </w:p>
    <w:p w14:paraId="3D56BFA8">
      <w:pPr>
        <w:pStyle w:val="38"/>
        <w:spacing w:after="0"/>
        <w:ind w:firstLine="480"/>
        <w:rPr>
          <w:color w:val="auto"/>
          <w:highlight w:val="none"/>
        </w:rPr>
      </w:pPr>
      <w:r>
        <w:rPr>
          <w:color w:val="auto"/>
          <w:highlight w:val="none"/>
        </w:rPr>
        <w:t>②数量组成与分布</w:t>
      </w:r>
    </w:p>
    <w:p w14:paraId="44037423">
      <w:pPr>
        <w:pStyle w:val="38"/>
        <w:spacing w:after="0"/>
        <w:ind w:firstLine="480"/>
        <w:rPr>
          <w:color w:val="auto"/>
          <w:highlight w:val="none"/>
        </w:rPr>
      </w:pPr>
      <w:r>
        <w:rPr>
          <w:color w:val="auto"/>
          <w:highlight w:val="none"/>
        </w:rPr>
        <w:t>根据统计分析，1#站点浮游动物的密度介于10～54个/m</w:t>
      </w:r>
      <w:r>
        <w:rPr>
          <w:color w:val="auto"/>
          <w:highlight w:val="none"/>
          <w:vertAlign w:val="superscript"/>
        </w:rPr>
        <w:t>3</w:t>
      </w:r>
      <w:r>
        <w:rPr>
          <w:color w:val="auto"/>
          <w:highlight w:val="none"/>
        </w:rPr>
        <w:t>之间，平均为29个/m</w:t>
      </w:r>
      <w:r>
        <w:rPr>
          <w:color w:val="auto"/>
          <w:highlight w:val="none"/>
          <w:vertAlign w:val="superscript"/>
        </w:rPr>
        <w:t>3</w:t>
      </w:r>
      <w:r>
        <w:rPr>
          <w:color w:val="auto"/>
          <w:highlight w:val="none"/>
        </w:rPr>
        <w:t>，平均生物量为96mg/m</w:t>
      </w:r>
      <w:r>
        <w:rPr>
          <w:color w:val="auto"/>
          <w:highlight w:val="none"/>
          <w:vertAlign w:val="superscript"/>
        </w:rPr>
        <w:t>3</w:t>
      </w:r>
      <w:r>
        <w:rPr>
          <w:color w:val="auto"/>
          <w:highlight w:val="none"/>
        </w:rPr>
        <w:t>；3#站点浮游动物的密度介于12～78个/m</w:t>
      </w:r>
      <w:r>
        <w:rPr>
          <w:color w:val="auto"/>
          <w:highlight w:val="none"/>
          <w:vertAlign w:val="superscript"/>
        </w:rPr>
        <w:t>3</w:t>
      </w:r>
      <w:r>
        <w:rPr>
          <w:color w:val="auto"/>
          <w:highlight w:val="none"/>
        </w:rPr>
        <w:t>之间，平均为54个/m</w:t>
      </w:r>
      <w:r>
        <w:rPr>
          <w:color w:val="auto"/>
          <w:highlight w:val="none"/>
          <w:vertAlign w:val="superscript"/>
        </w:rPr>
        <w:t>3</w:t>
      </w:r>
      <w:r>
        <w:rPr>
          <w:color w:val="auto"/>
          <w:highlight w:val="none"/>
        </w:rPr>
        <w:t>，平均生物量为84mg/m</w:t>
      </w:r>
      <w:r>
        <w:rPr>
          <w:color w:val="auto"/>
          <w:highlight w:val="none"/>
          <w:vertAlign w:val="superscript"/>
        </w:rPr>
        <w:t>3</w:t>
      </w:r>
      <w:r>
        <w:rPr>
          <w:color w:val="auto"/>
          <w:highlight w:val="none"/>
        </w:rPr>
        <w:t>，浮游动物生物量较低。</w:t>
      </w:r>
    </w:p>
    <w:p w14:paraId="538B2FF7">
      <w:pPr>
        <w:pStyle w:val="38"/>
        <w:spacing w:after="0"/>
        <w:ind w:firstLine="480"/>
        <w:rPr>
          <w:color w:val="auto"/>
          <w:highlight w:val="none"/>
        </w:rPr>
      </w:pPr>
      <w:r>
        <w:rPr>
          <w:color w:val="auto"/>
          <w:highlight w:val="none"/>
        </w:rPr>
        <w:t>③种类多样性指数、均匀度和丰富度</w:t>
      </w:r>
    </w:p>
    <w:p w14:paraId="1DBBFAFD">
      <w:pPr>
        <w:pStyle w:val="38"/>
        <w:spacing w:after="0"/>
        <w:ind w:firstLine="480"/>
        <w:rPr>
          <w:color w:val="auto"/>
          <w:highlight w:val="none"/>
        </w:rPr>
      </w:pPr>
      <w:r>
        <w:rPr>
          <w:color w:val="auto"/>
          <w:highlight w:val="none"/>
        </w:rPr>
        <w:t>经统计分析，1#站点浮游动物种类多样性指数为2.63，均匀度为0.94，丰富度为0.78、优势度为0.26；3#站点浮游动物种类多样性指数为2.43，均匀度为0.94，丰富度为0.60、优势度为0.24。整体来说，项目附近海域浮游动物的种类多样性指数处于中等水平，丰富度、优势度皆较低。</w:t>
      </w:r>
    </w:p>
    <w:p w14:paraId="4F9870BC">
      <w:pPr>
        <w:pStyle w:val="38"/>
        <w:spacing w:after="0" w:line="240" w:lineRule="auto"/>
        <w:ind w:firstLine="0" w:firstLineChars="0"/>
        <w:jc w:val="center"/>
        <w:rPr>
          <w:b/>
          <w:color w:val="auto"/>
          <w:sz w:val="21"/>
          <w:szCs w:val="21"/>
          <w:highlight w:val="none"/>
        </w:rPr>
      </w:pPr>
      <w:r>
        <w:rPr>
          <w:b/>
          <w:color w:val="auto"/>
          <w:sz w:val="21"/>
          <w:szCs w:val="21"/>
          <w:highlight w:val="none"/>
        </w:rPr>
        <w:t>表3.4-10  浮游动物种类多样性指数、均匀度和丰富度</w:t>
      </w:r>
    </w:p>
    <w:tbl>
      <w:tblPr>
        <w:tblStyle w:val="875"/>
        <w:tblW w:w="499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501"/>
        <w:gridCol w:w="1491"/>
        <w:gridCol w:w="1598"/>
        <w:gridCol w:w="1491"/>
        <w:gridCol w:w="1492"/>
        <w:gridCol w:w="1492"/>
      </w:tblGrid>
      <w:tr w14:paraId="3F6B06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blHeader/>
        </w:trPr>
        <w:tc>
          <w:tcPr>
            <w:tcW w:w="828" w:type="pct"/>
            <w:tcBorders>
              <w:top w:val="single" w:color="000000" w:sz="12" w:space="0"/>
              <w:left w:val="nil"/>
              <w:bottom w:val="single" w:color="000000" w:sz="4" w:space="0"/>
              <w:right w:val="single" w:color="000000" w:sz="4" w:space="0"/>
            </w:tcBorders>
            <w:vAlign w:val="center"/>
          </w:tcPr>
          <w:p w14:paraId="2629B850">
            <w:pPr>
              <w:autoSpaceDE/>
              <w:autoSpaceDN/>
              <w:spacing w:line="240" w:lineRule="auto"/>
              <w:ind w:firstLine="0" w:firstLineChars="0"/>
              <w:jc w:val="center"/>
              <w:rPr>
                <w:rFonts w:eastAsia="Times New Roman"/>
                <w:b/>
                <w:bCs/>
                <w:color w:val="auto"/>
                <w:sz w:val="21"/>
                <w:szCs w:val="21"/>
                <w:highlight w:val="none"/>
                <w:lang w:eastAsia="en-US"/>
              </w:rPr>
            </w:pPr>
            <w:r>
              <w:rPr>
                <w:rFonts w:eastAsia="Times New Roman"/>
                <w:b/>
                <w:bCs/>
                <w:color w:val="auto"/>
                <w:sz w:val="21"/>
                <w:szCs w:val="21"/>
                <w:highlight w:val="none"/>
                <w:lang w:eastAsia="en-US"/>
              </w:rPr>
              <w:t>站号</w:t>
            </w:r>
          </w:p>
        </w:tc>
        <w:tc>
          <w:tcPr>
            <w:tcW w:w="822" w:type="pct"/>
            <w:tcBorders>
              <w:top w:val="single" w:color="000000" w:sz="12" w:space="0"/>
              <w:left w:val="single" w:color="000000" w:sz="4" w:space="0"/>
              <w:bottom w:val="single" w:color="000000" w:sz="4" w:space="0"/>
              <w:right w:val="single" w:color="000000" w:sz="4" w:space="0"/>
            </w:tcBorders>
            <w:vAlign w:val="center"/>
          </w:tcPr>
          <w:p w14:paraId="29908AA3">
            <w:pPr>
              <w:autoSpaceDE/>
              <w:autoSpaceDN/>
              <w:spacing w:line="240" w:lineRule="auto"/>
              <w:ind w:firstLine="0" w:firstLineChars="0"/>
              <w:jc w:val="center"/>
              <w:rPr>
                <w:rFonts w:eastAsia="Times New Roman"/>
                <w:b/>
                <w:bCs/>
                <w:color w:val="auto"/>
                <w:sz w:val="21"/>
                <w:szCs w:val="21"/>
                <w:highlight w:val="none"/>
                <w:lang w:eastAsia="en-US"/>
              </w:rPr>
            </w:pPr>
            <w:r>
              <w:rPr>
                <w:rFonts w:eastAsia="Times New Roman"/>
                <w:b/>
                <w:bCs/>
                <w:color w:val="auto"/>
                <w:sz w:val="21"/>
                <w:szCs w:val="21"/>
                <w:highlight w:val="none"/>
                <w:lang w:eastAsia="en-US"/>
              </w:rPr>
              <w:t>种类数(种)</w:t>
            </w:r>
          </w:p>
        </w:tc>
        <w:tc>
          <w:tcPr>
            <w:tcW w:w="881" w:type="pct"/>
            <w:tcBorders>
              <w:top w:val="single" w:color="000000" w:sz="12" w:space="0"/>
              <w:left w:val="single" w:color="000000" w:sz="4" w:space="0"/>
              <w:bottom w:val="single" w:color="000000" w:sz="4" w:space="0"/>
              <w:right w:val="single" w:color="000000" w:sz="4" w:space="0"/>
            </w:tcBorders>
            <w:vAlign w:val="center"/>
          </w:tcPr>
          <w:p w14:paraId="2923642F">
            <w:pPr>
              <w:autoSpaceDE/>
              <w:autoSpaceDN/>
              <w:spacing w:line="240" w:lineRule="auto"/>
              <w:ind w:firstLine="0" w:firstLineChars="0"/>
              <w:jc w:val="center"/>
              <w:rPr>
                <w:rFonts w:eastAsia="Times New Roman"/>
                <w:b/>
                <w:bCs/>
                <w:color w:val="auto"/>
                <w:sz w:val="21"/>
                <w:szCs w:val="21"/>
                <w:highlight w:val="none"/>
                <w:lang w:eastAsia="en-US"/>
              </w:rPr>
            </w:pPr>
            <w:r>
              <w:rPr>
                <w:rFonts w:eastAsia="Times New Roman"/>
                <w:b/>
                <w:bCs/>
                <w:color w:val="auto"/>
                <w:sz w:val="21"/>
                <w:szCs w:val="21"/>
                <w:highlight w:val="none"/>
                <w:lang w:eastAsia="en-US"/>
              </w:rPr>
              <w:t>多样性指数（Hˊ)</w:t>
            </w:r>
          </w:p>
        </w:tc>
        <w:tc>
          <w:tcPr>
            <w:tcW w:w="822" w:type="pct"/>
            <w:tcBorders>
              <w:top w:val="single" w:color="000000" w:sz="12" w:space="0"/>
              <w:left w:val="single" w:color="000000" w:sz="4" w:space="0"/>
              <w:bottom w:val="single" w:color="000000" w:sz="4" w:space="0"/>
              <w:right w:val="single" w:color="000000" w:sz="4" w:space="0"/>
            </w:tcBorders>
            <w:vAlign w:val="center"/>
          </w:tcPr>
          <w:p w14:paraId="4DC7382A">
            <w:pPr>
              <w:autoSpaceDE/>
              <w:autoSpaceDN/>
              <w:spacing w:line="240" w:lineRule="auto"/>
              <w:ind w:firstLine="0" w:firstLineChars="0"/>
              <w:jc w:val="center"/>
              <w:rPr>
                <w:rFonts w:eastAsia="Times New Roman"/>
                <w:b/>
                <w:bCs/>
                <w:color w:val="auto"/>
                <w:sz w:val="21"/>
                <w:szCs w:val="21"/>
                <w:highlight w:val="none"/>
                <w:lang w:eastAsia="en-US"/>
              </w:rPr>
            </w:pPr>
            <w:r>
              <w:rPr>
                <w:rFonts w:eastAsia="Times New Roman"/>
                <w:b/>
                <w:bCs/>
                <w:color w:val="auto"/>
                <w:sz w:val="21"/>
                <w:szCs w:val="21"/>
                <w:highlight w:val="none"/>
                <w:lang w:eastAsia="en-US"/>
              </w:rPr>
              <w:t>均匀度（Jˊ)</w:t>
            </w:r>
          </w:p>
        </w:tc>
        <w:tc>
          <w:tcPr>
            <w:tcW w:w="823" w:type="pct"/>
            <w:tcBorders>
              <w:top w:val="single" w:color="000000" w:sz="12" w:space="0"/>
              <w:left w:val="single" w:color="000000" w:sz="4" w:space="0"/>
              <w:bottom w:val="single" w:color="000000" w:sz="4" w:space="0"/>
              <w:right w:val="single" w:color="000000" w:sz="4" w:space="0"/>
            </w:tcBorders>
            <w:vAlign w:val="center"/>
          </w:tcPr>
          <w:p w14:paraId="6EC27BF8">
            <w:pPr>
              <w:autoSpaceDE/>
              <w:autoSpaceDN/>
              <w:spacing w:line="240" w:lineRule="auto"/>
              <w:ind w:firstLine="0" w:firstLineChars="0"/>
              <w:jc w:val="center"/>
              <w:rPr>
                <w:rFonts w:eastAsia="Times New Roman"/>
                <w:b/>
                <w:bCs/>
                <w:color w:val="auto"/>
                <w:sz w:val="21"/>
                <w:szCs w:val="21"/>
                <w:highlight w:val="none"/>
                <w:lang w:eastAsia="en-US"/>
              </w:rPr>
            </w:pPr>
            <w:r>
              <w:rPr>
                <w:rFonts w:eastAsia="Times New Roman"/>
                <w:b/>
                <w:bCs/>
                <w:color w:val="auto"/>
                <w:sz w:val="21"/>
                <w:szCs w:val="21"/>
                <w:highlight w:val="none"/>
                <w:lang w:eastAsia="en-US"/>
              </w:rPr>
              <w:t>丰富度（d）</w:t>
            </w:r>
          </w:p>
        </w:tc>
        <w:tc>
          <w:tcPr>
            <w:tcW w:w="823" w:type="pct"/>
            <w:tcBorders>
              <w:top w:val="single" w:color="000000" w:sz="12" w:space="0"/>
              <w:left w:val="single" w:color="000000" w:sz="4" w:space="0"/>
              <w:bottom w:val="single" w:color="000000" w:sz="4" w:space="0"/>
              <w:right w:val="nil"/>
            </w:tcBorders>
            <w:vAlign w:val="center"/>
          </w:tcPr>
          <w:p w14:paraId="361ADBB2">
            <w:pPr>
              <w:autoSpaceDE/>
              <w:autoSpaceDN/>
              <w:spacing w:line="240" w:lineRule="auto"/>
              <w:ind w:firstLine="0" w:firstLineChars="0"/>
              <w:jc w:val="center"/>
              <w:rPr>
                <w:b/>
                <w:bCs/>
                <w:color w:val="auto"/>
                <w:sz w:val="21"/>
                <w:szCs w:val="21"/>
                <w:highlight w:val="none"/>
                <w:lang w:eastAsia="en-US"/>
              </w:rPr>
            </w:pPr>
            <w:r>
              <w:rPr>
                <w:b/>
                <w:bCs/>
                <w:color w:val="auto"/>
                <w:sz w:val="21"/>
                <w:szCs w:val="21"/>
                <w:highlight w:val="none"/>
                <w:lang w:eastAsia="en-US"/>
              </w:rPr>
              <w:t>优势度</w:t>
            </w:r>
          </w:p>
        </w:tc>
      </w:tr>
      <w:tr w14:paraId="325DF3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28" w:type="pct"/>
            <w:tcBorders>
              <w:top w:val="single" w:color="000000" w:sz="4" w:space="0"/>
              <w:left w:val="nil"/>
              <w:bottom w:val="single" w:color="000000" w:sz="4" w:space="0"/>
              <w:right w:val="single" w:color="000000" w:sz="4" w:space="0"/>
            </w:tcBorders>
            <w:vAlign w:val="center"/>
          </w:tcPr>
          <w:p w14:paraId="07DA61EC">
            <w:pPr>
              <w:kinsoku w:val="0"/>
              <w:overflowPunct w:val="0"/>
              <w:topLinePunct w:val="0"/>
              <w:autoSpaceDE w:val="0"/>
              <w:autoSpaceDN w:val="0"/>
              <w:snapToGrid/>
              <w:spacing w:line="240" w:lineRule="auto"/>
              <w:ind w:firstLine="0" w:firstLineChars="0"/>
              <w:jc w:val="center"/>
              <w:rPr>
                <w:color w:val="auto"/>
                <w:sz w:val="21"/>
                <w:szCs w:val="21"/>
                <w:highlight w:val="none"/>
                <w:lang w:eastAsia="en-US"/>
              </w:rPr>
            </w:pPr>
            <w:r>
              <w:rPr>
                <w:color w:val="auto"/>
                <w:sz w:val="21"/>
                <w:szCs w:val="21"/>
                <w:highlight w:val="none"/>
                <w:lang w:eastAsia="en-US"/>
              </w:rPr>
              <w:t>1#</w:t>
            </w:r>
          </w:p>
        </w:tc>
        <w:tc>
          <w:tcPr>
            <w:tcW w:w="822" w:type="pct"/>
            <w:tcBorders>
              <w:top w:val="single" w:color="000000" w:sz="4" w:space="0"/>
              <w:left w:val="single" w:color="000000" w:sz="4" w:space="0"/>
              <w:bottom w:val="single" w:color="000000" w:sz="4" w:space="0"/>
              <w:right w:val="single" w:color="000000" w:sz="4" w:space="0"/>
            </w:tcBorders>
            <w:vAlign w:val="center"/>
          </w:tcPr>
          <w:p w14:paraId="5FEB4A76">
            <w:pPr>
              <w:kinsoku w:val="0"/>
              <w:overflowPunct w:val="0"/>
              <w:topLinePunct w:val="0"/>
              <w:autoSpaceDE w:val="0"/>
              <w:autoSpaceDN w:val="0"/>
              <w:snapToGrid/>
              <w:spacing w:line="240" w:lineRule="auto"/>
              <w:ind w:firstLine="0" w:firstLineChars="0"/>
              <w:jc w:val="center"/>
              <w:rPr>
                <w:rFonts w:eastAsia="Times New Roman"/>
                <w:color w:val="auto"/>
                <w:sz w:val="21"/>
                <w:szCs w:val="21"/>
                <w:highlight w:val="none"/>
                <w:lang w:eastAsia="en-US"/>
              </w:rPr>
            </w:pPr>
          </w:p>
        </w:tc>
        <w:tc>
          <w:tcPr>
            <w:tcW w:w="881" w:type="pct"/>
            <w:tcBorders>
              <w:top w:val="single" w:color="000000" w:sz="4" w:space="0"/>
              <w:left w:val="single" w:color="000000" w:sz="4" w:space="0"/>
              <w:bottom w:val="single" w:color="000000" w:sz="4" w:space="0"/>
              <w:right w:val="single" w:color="000000" w:sz="4" w:space="0"/>
            </w:tcBorders>
            <w:vAlign w:val="center"/>
          </w:tcPr>
          <w:p w14:paraId="609485C1">
            <w:pPr>
              <w:kinsoku w:val="0"/>
              <w:overflowPunct w:val="0"/>
              <w:topLinePunct w:val="0"/>
              <w:autoSpaceDE w:val="0"/>
              <w:autoSpaceDN w:val="0"/>
              <w:snapToGrid/>
              <w:spacing w:line="240" w:lineRule="auto"/>
              <w:ind w:firstLine="0" w:firstLineChars="0"/>
              <w:jc w:val="center"/>
              <w:rPr>
                <w:color w:val="auto"/>
                <w:sz w:val="21"/>
                <w:szCs w:val="21"/>
                <w:highlight w:val="none"/>
                <w:lang w:eastAsia="en-US"/>
              </w:rPr>
            </w:pPr>
          </w:p>
        </w:tc>
        <w:tc>
          <w:tcPr>
            <w:tcW w:w="822" w:type="pct"/>
            <w:tcBorders>
              <w:top w:val="single" w:color="000000" w:sz="4" w:space="0"/>
              <w:left w:val="single" w:color="000000" w:sz="4" w:space="0"/>
              <w:bottom w:val="single" w:color="000000" w:sz="4" w:space="0"/>
              <w:right w:val="single" w:color="000000" w:sz="4" w:space="0"/>
            </w:tcBorders>
            <w:vAlign w:val="center"/>
          </w:tcPr>
          <w:p w14:paraId="3CDC24BD">
            <w:pPr>
              <w:kinsoku w:val="0"/>
              <w:overflowPunct w:val="0"/>
              <w:topLinePunct w:val="0"/>
              <w:autoSpaceDE w:val="0"/>
              <w:autoSpaceDN w:val="0"/>
              <w:snapToGrid/>
              <w:spacing w:line="240" w:lineRule="auto"/>
              <w:ind w:firstLine="0" w:firstLineChars="0"/>
              <w:jc w:val="center"/>
              <w:rPr>
                <w:color w:val="auto"/>
                <w:sz w:val="21"/>
                <w:szCs w:val="21"/>
                <w:highlight w:val="none"/>
                <w:lang w:eastAsia="en-US"/>
              </w:rPr>
            </w:pPr>
          </w:p>
        </w:tc>
        <w:tc>
          <w:tcPr>
            <w:tcW w:w="823" w:type="pct"/>
            <w:tcBorders>
              <w:top w:val="single" w:color="000000" w:sz="4" w:space="0"/>
              <w:left w:val="single" w:color="000000" w:sz="4" w:space="0"/>
              <w:bottom w:val="single" w:color="000000" w:sz="4" w:space="0"/>
              <w:right w:val="single" w:color="000000" w:sz="4" w:space="0"/>
            </w:tcBorders>
            <w:vAlign w:val="center"/>
          </w:tcPr>
          <w:p w14:paraId="647A4884">
            <w:pPr>
              <w:kinsoku w:val="0"/>
              <w:overflowPunct w:val="0"/>
              <w:topLinePunct w:val="0"/>
              <w:autoSpaceDE w:val="0"/>
              <w:autoSpaceDN w:val="0"/>
              <w:snapToGrid/>
              <w:spacing w:line="240" w:lineRule="auto"/>
              <w:ind w:firstLine="0" w:firstLineChars="0"/>
              <w:jc w:val="center"/>
              <w:rPr>
                <w:color w:val="auto"/>
                <w:sz w:val="21"/>
                <w:szCs w:val="21"/>
                <w:highlight w:val="none"/>
                <w:lang w:eastAsia="en-US"/>
              </w:rPr>
            </w:pPr>
          </w:p>
        </w:tc>
        <w:tc>
          <w:tcPr>
            <w:tcW w:w="823" w:type="pct"/>
            <w:tcBorders>
              <w:top w:val="single" w:color="000000" w:sz="4" w:space="0"/>
              <w:left w:val="single" w:color="000000" w:sz="4" w:space="0"/>
              <w:bottom w:val="single" w:color="000000" w:sz="4" w:space="0"/>
              <w:right w:val="nil"/>
            </w:tcBorders>
            <w:vAlign w:val="center"/>
          </w:tcPr>
          <w:p w14:paraId="423CD256">
            <w:pPr>
              <w:kinsoku w:val="0"/>
              <w:overflowPunct w:val="0"/>
              <w:topLinePunct w:val="0"/>
              <w:autoSpaceDE w:val="0"/>
              <w:autoSpaceDN w:val="0"/>
              <w:snapToGrid/>
              <w:spacing w:line="240" w:lineRule="auto"/>
              <w:ind w:firstLine="0" w:firstLineChars="0"/>
              <w:jc w:val="center"/>
              <w:rPr>
                <w:color w:val="auto"/>
                <w:sz w:val="21"/>
                <w:szCs w:val="21"/>
                <w:highlight w:val="none"/>
                <w:lang w:eastAsia="en-US"/>
              </w:rPr>
            </w:pPr>
          </w:p>
        </w:tc>
      </w:tr>
      <w:tr w14:paraId="79C69A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28" w:type="pct"/>
            <w:tcBorders>
              <w:top w:val="single" w:color="000000" w:sz="4" w:space="0"/>
              <w:left w:val="nil"/>
              <w:bottom w:val="single" w:color="000000" w:sz="12" w:space="0"/>
              <w:right w:val="single" w:color="000000" w:sz="4" w:space="0"/>
            </w:tcBorders>
            <w:vAlign w:val="center"/>
          </w:tcPr>
          <w:p w14:paraId="595A03CC">
            <w:pPr>
              <w:kinsoku w:val="0"/>
              <w:overflowPunct w:val="0"/>
              <w:topLinePunct w:val="0"/>
              <w:autoSpaceDE w:val="0"/>
              <w:autoSpaceDN w:val="0"/>
              <w:snapToGrid/>
              <w:spacing w:line="240" w:lineRule="auto"/>
              <w:ind w:firstLine="0" w:firstLineChars="0"/>
              <w:jc w:val="center"/>
              <w:rPr>
                <w:color w:val="auto"/>
                <w:sz w:val="21"/>
                <w:szCs w:val="21"/>
                <w:highlight w:val="none"/>
                <w:lang w:eastAsia="en-US"/>
              </w:rPr>
            </w:pPr>
            <w:r>
              <w:rPr>
                <w:color w:val="auto"/>
                <w:sz w:val="21"/>
                <w:szCs w:val="21"/>
                <w:highlight w:val="none"/>
                <w:lang w:eastAsia="en-US"/>
              </w:rPr>
              <w:t>3#</w:t>
            </w:r>
          </w:p>
        </w:tc>
        <w:tc>
          <w:tcPr>
            <w:tcW w:w="822" w:type="pct"/>
            <w:tcBorders>
              <w:top w:val="single" w:color="000000" w:sz="4" w:space="0"/>
              <w:left w:val="single" w:color="000000" w:sz="4" w:space="0"/>
              <w:bottom w:val="single" w:color="000000" w:sz="12" w:space="0"/>
              <w:right w:val="single" w:color="000000" w:sz="4" w:space="0"/>
            </w:tcBorders>
            <w:vAlign w:val="center"/>
          </w:tcPr>
          <w:p w14:paraId="6D507BAE">
            <w:pPr>
              <w:kinsoku w:val="0"/>
              <w:overflowPunct w:val="0"/>
              <w:topLinePunct w:val="0"/>
              <w:autoSpaceDE w:val="0"/>
              <w:autoSpaceDN w:val="0"/>
              <w:snapToGrid/>
              <w:spacing w:line="240" w:lineRule="auto"/>
              <w:ind w:firstLine="0" w:firstLineChars="0"/>
              <w:jc w:val="center"/>
              <w:rPr>
                <w:rFonts w:eastAsia="Times New Roman"/>
                <w:color w:val="auto"/>
                <w:sz w:val="21"/>
                <w:szCs w:val="21"/>
                <w:highlight w:val="none"/>
                <w:lang w:eastAsia="en-US"/>
              </w:rPr>
            </w:pPr>
          </w:p>
        </w:tc>
        <w:tc>
          <w:tcPr>
            <w:tcW w:w="881" w:type="pct"/>
            <w:tcBorders>
              <w:top w:val="single" w:color="000000" w:sz="4" w:space="0"/>
              <w:left w:val="single" w:color="000000" w:sz="4" w:space="0"/>
              <w:bottom w:val="single" w:color="000000" w:sz="12" w:space="0"/>
              <w:right w:val="single" w:color="000000" w:sz="4" w:space="0"/>
            </w:tcBorders>
            <w:vAlign w:val="center"/>
          </w:tcPr>
          <w:p w14:paraId="43A5A27E">
            <w:pPr>
              <w:kinsoku w:val="0"/>
              <w:overflowPunct w:val="0"/>
              <w:topLinePunct w:val="0"/>
              <w:autoSpaceDE w:val="0"/>
              <w:autoSpaceDN w:val="0"/>
              <w:snapToGrid/>
              <w:spacing w:line="240" w:lineRule="auto"/>
              <w:ind w:firstLine="0" w:firstLineChars="0"/>
              <w:jc w:val="center"/>
              <w:rPr>
                <w:color w:val="auto"/>
                <w:sz w:val="21"/>
                <w:szCs w:val="21"/>
                <w:highlight w:val="none"/>
                <w:lang w:eastAsia="en-US"/>
              </w:rPr>
            </w:pPr>
          </w:p>
        </w:tc>
        <w:tc>
          <w:tcPr>
            <w:tcW w:w="822" w:type="pct"/>
            <w:tcBorders>
              <w:top w:val="single" w:color="000000" w:sz="4" w:space="0"/>
              <w:left w:val="single" w:color="000000" w:sz="4" w:space="0"/>
              <w:bottom w:val="single" w:color="000000" w:sz="12" w:space="0"/>
              <w:right w:val="single" w:color="000000" w:sz="4" w:space="0"/>
            </w:tcBorders>
            <w:vAlign w:val="center"/>
          </w:tcPr>
          <w:p w14:paraId="4457A559">
            <w:pPr>
              <w:kinsoku w:val="0"/>
              <w:overflowPunct w:val="0"/>
              <w:topLinePunct w:val="0"/>
              <w:autoSpaceDE w:val="0"/>
              <w:autoSpaceDN w:val="0"/>
              <w:snapToGrid/>
              <w:spacing w:line="240" w:lineRule="auto"/>
              <w:ind w:firstLine="0" w:firstLineChars="0"/>
              <w:jc w:val="center"/>
              <w:rPr>
                <w:color w:val="auto"/>
                <w:sz w:val="21"/>
                <w:szCs w:val="21"/>
                <w:highlight w:val="none"/>
                <w:lang w:eastAsia="en-US"/>
              </w:rPr>
            </w:pPr>
          </w:p>
        </w:tc>
        <w:tc>
          <w:tcPr>
            <w:tcW w:w="823" w:type="pct"/>
            <w:tcBorders>
              <w:top w:val="single" w:color="000000" w:sz="4" w:space="0"/>
              <w:left w:val="single" w:color="000000" w:sz="4" w:space="0"/>
              <w:bottom w:val="single" w:color="000000" w:sz="12" w:space="0"/>
              <w:right w:val="single" w:color="000000" w:sz="4" w:space="0"/>
            </w:tcBorders>
            <w:vAlign w:val="center"/>
          </w:tcPr>
          <w:p w14:paraId="716F1E8C">
            <w:pPr>
              <w:kinsoku w:val="0"/>
              <w:overflowPunct w:val="0"/>
              <w:topLinePunct w:val="0"/>
              <w:autoSpaceDE w:val="0"/>
              <w:autoSpaceDN w:val="0"/>
              <w:snapToGrid/>
              <w:spacing w:line="240" w:lineRule="auto"/>
              <w:ind w:firstLine="0" w:firstLineChars="0"/>
              <w:jc w:val="center"/>
              <w:rPr>
                <w:color w:val="auto"/>
                <w:sz w:val="21"/>
                <w:szCs w:val="21"/>
                <w:highlight w:val="none"/>
                <w:lang w:eastAsia="en-US"/>
              </w:rPr>
            </w:pPr>
          </w:p>
        </w:tc>
        <w:tc>
          <w:tcPr>
            <w:tcW w:w="823" w:type="pct"/>
            <w:tcBorders>
              <w:top w:val="single" w:color="000000" w:sz="4" w:space="0"/>
              <w:left w:val="single" w:color="000000" w:sz="4" w:space="0"/>
              <w:bottom w:val="single" w:color="000000" w:sz="12" w:space="0"/>
              <w:right w:val="nil"/>
            </w:tcBorders>
            <w:vAlign w:val="center"/>
          </w:tcPr>
          <w:p w14:paraId="4EF3CB2F">
            <w:pPr>
              <w:kinsoku w:val="0"/>
              <w:overflowPunct w:val="0"/>
              <w:topLinePunct w:val="0"/>
              <w:autoSpaceDE w:val="0"/>
              <w:autoSpaceDN w:val="0"/>
              <w:snapToGrid/>
              <w:spacing w:line="240" w:lineRule="auto"/>
              <w:ind w:firstLine="0" w:firstLineChars="0"/>
              <w:jc w:val="center"/>
              <w:rPr>
                <w:color w:val="auto"/>
                <w:sz w:val="21"/>
                <w:szCs w:val="21"/>
                <w:highlight w:val="none"/>
                <w:lang w:eastAsia="en-US"/>
              </w:rPr>
            </w:pPr>
          </w:p>
        </w:tc>
      </w:tr>
    </w:tbl>
    <w:p w14:paraId="531B2A3C">
      <w:pPr>
        <w:ind w:firstLine="480"/>
        <w:rPr>
          <w:color w:val="auto"/>
          <w:highlight w:val="none"/>
        </w:rPr>
      </w:pPr>
    </w:p>
    <w:p w14:paraId="54300FBF">
      <w:pPr>
        <w:pStyle w:val="11"/>
        <w:numPr>
          <w:ilvl w:val="0"/>
          <w:numId w:val="0"/>
        </w:numPr>
        <w:spacing w:before="0" w:after="0" w:line="360" w:lineRule="auto"/>
        <w:ind w:firstLine="482" w:firstLineChars="200"/>
        <w:rPr>
          <w:color w:val="auto"/>
          <w:sz w:val="24"/>
          <w:szCs w:val="24"/>
          <w:highlight w:val="none"/>
        </w:rPr>
      </w:pPr>
      <w:r>
        <w:rPr>
          <w:color w:val="auto"/>
          <w:sz w:val="24"/>
          <w:szCs w:val="24"/>
          <w:highlight w:val="none"/>
        </w:rPr>
        <w:t>（6）底栖生物调查结果</w:t>
      </w:r>
    </w:p>
    <w:p w14:paraId="52D8E4F5">
      <w:pPr>
        <w:pStyle w:val="38"/>
        <w:spacing w:after="0"/>
        <w:ind w:firstLine="480"/>
        <w:rPr>
          <w:rFonts w:eastAsiaTheme="minorEastAsia"/>
          <w:color w:val="auto"/>
          <w:highlight w:val="none"/>
        </w:rPr>
      </w:pPr>
      <w:r>
        <w:rPr>
          <w:color w:val="auto"/>
          <w:highlight w:val="none"/>
        </w:rPr>
        <w:t>①</w:t>
      </w:r>
      <w:r>
        <w:rPr>
          <w:rFonts w:eastAsiaTheme="minorEastAsia"/>
          <w:color w:val="auto"/>
          <w:highlight w:val="none"/>
        </w:rPr>
        <w:t>种类组成与分布</w:t>
      </w:r>
    </w:p>
    <w:p w14:paraId="65D46B49">
      <w:pPr>
        <w:pStyle w:val="38"/>
        <w:spacing w:after="0"/>
        <w:ind w:firstLine="480"/>
        <w:rPr>
          <w:rFonts w:eastAsiaTheme="minorEastAsia"/>
          <w:color w:val="auto"/>
          <w:highlight w:val="none"/>
        </w:rPr>
      </w:pPr>
      <w:r>
        <w:rPr>
          <w:rFonts w:eastAsiaTheme="minorEastAsia"/>
          <w:color w:val="auto"/>
          <w:highlight w:val="none"/>
        </w:rPr>
        <w:t>根据调查，1#站点未检测出底栖生物，3#站点底栖生物样品共鉴定出3种，分属于环节动物、节肢动物2个门类。</w:t>
      </w:r>
    </w:p>
    <w:p w14:paraId="2124B905">
      <w:pPr>
        <w:ind w:firstLine="480"/>
        <w:rPr>
          <w:color w:val="auto"/>
          <w:highlight w:val="none"/>
        </w:rPr>
      </w:pPr>
      <w:r>
        <w:rPr>
          <w:color w:val="auto"/>
          <w:highlight w:val="none"/>
        </w:rPr>
        <w:t>②密度和生物量分布</w:t>
      </w:r>
    </w:p>
    <w:p w14:paraId="18DAC511">
      <w:pPr>
        <w:ind w:firstLine="480"/>
        <w:rPr>
          <w:color w:val="auto"/>
          <w:highlight w:val="none"/>
        </w:rPr>
      </w:pPr>
      <w:r>
        <w:rPr>
          <w:color w:val="auto"/>
          <w:highlight w:val="none"/>
        </w:rPr>
        <w:t>3#站点底栖动物密度分布范围为20ind/m</w:t>
      </w:r>
      <w:r>
        <w:rPr>
          <w:color w:val="auto"/>
          <w:highlight w:val="none"/>
          <w:vertAlign w:val="superscript"/>
        </w:rPr>
        <w:t>2</w:t>
      </w:r>
      <w:r>
        <w:rPr>
          <w:color w:val="auto"/>
          <w:highlight w:val="none"/>
        </w:rPr>
        <w:t>，生物量为0.24g/m</w:t>
      </w:r>
      <w:r>
        <w:rPr>
          <w:color w:val="auto"/>
          <w:highlight w:val="none"/>
          <w:vertAlign w:val="superscript"/>
        </w:rPr>
        <w:t>2</w:t>
      </w:r>
      <w:r>
        <w:rPr>
          <w:color w:val="auto"/>
          <w:highlight w:val="none"/>
        </w:rPr>
        <w:t>。</w:t>
      </w:r>
    </w:p>
    <w:p w14:paraId="1BC6E542">
      <w:pPr>
        <w:ind w:firstLine="480"/>
        <w:rPr>
          <w:color w:val="auto"/>
          <w:highlight w:val="none"/>
        </w:rPr>
      </w:pPr>
      <w:r>
        <w:rPr>
          <w:color w:val="auto"/>
          <w:highlight w:val="none"/>
        </w:rPr>
        <w:t>③种类多样性指数、均匀度和丰富度</w:t>
      </w:r>
    </w:p>
    <w:p w14:paraId="3855E4C7">
      <w:pPr>
        <w:ind w:firstLine="480"/>
        <w:rPr>
          <w:color w:val="auto"/>
          <w:highlight w:val="none"/>
        </w:rPr>
      </w:pPr>
      <w:r>
        <w:rPr>
          <w:color w:val="auto"/>
          <w:highlight w:val="none"/>
        </w:rPr>
        <w:t>经过统计分析，3#站点底栖生物种类多样性指数为1.52，均匀度为0.96，丰富度为0.46、优势度为0.40，多样性指数、丰富度、优势度等普遍处于较低水平</w:t>
      </w:r>
      <w:r>
        <w:rPr>
          <w:rFonts w:hint="eastAsia"/>
          <w:color w:val="auto"/>
          <w:highlight w:val="none"/>
        </w:rPr>
        <w:t>。</w:t>
      </w:r>
    </w:p>
    <w:p w14:paraId="52366AED">
      <w:pPr>
        <w:ind w:firstLine="480"/>
        <w:rPr>
          <w:color w:val="auto"/>
          <w:highlight w:val="none"/>
        </w:rPr>
      </w:pPr>
    </w:p>
    <w:p w14:paraId="0CB0EEA0">
      <w:pPr>
        <w:pStyle w:val="11"/>
        <w:numPr>
          <w:ilvl w:val="0"/>
          <w:numId w:val="0"/>
        </w:numPr>
        <w:spacing w:before="0" w:after="0" w:line="360" w:lineRule="auto"/>
        <w:ind w:firstLine="482" w:firstLineChars="200"/>
        <w:rPr>
          <w:color w:val="auto"/>
          <w:sz w:val="24"/>
          <w:szCs w:val="24"/>
          <w:highlight w:val="none"/>
        </w:rPr>
      </w:pPr>
      <w:r>
        <w:rPr>
          <w:color w:val="auto"/>
          <w:sz w:val="24"/>
          <w:szCs w:val="24"/>
          <w:highlight w:val="none"/>
        </w:rPr>
        <w:t>（7）生物质量现状调查与评价</w:t>
      </w:r>
    </w:p>
    <w:p w14:paraId="7ABF3282">
      <w:pPr>
        <w:ind w:firstLine="480"/>
        <w:rPr>
          <w:color w:val="auto"/>
          <w:highlight w:val="none"/>
        </w:rPr>
      </w:pPr>
      <w:r>
        <w:rPr>
          <w:color w:val="auto"/>
          <w:highlight w:val="none"/>
        </w:rPr>
        <w:t>①样品来源</w:t>
      </w:r>
    </w:p>
    <w:p w14:paraId="1401A2E2">
      <w:pPr>
        <w:ind w:firstLine="480"/>
        <w:rPr>
          <w:color w:val="auto"/>
          <w:highlight w:val="none"/>
        </w:rPr>
      </w:pPr>
      <w:r>
        <w:rPr>
          <w:color w:val="auto"/>
          <w:highlight w:val="none"/>
        </w:rPr>
        <w:t>在1#、3#号站位采集样品进行生物质量分析，样品品种有鱼类（金钱鱼、灰鳍棘鲷、短吻鲾、白姑鱼）、甲壳类（刀额新对虾）、软体动物（中国枪乌贼）。</w:t>
      </w:r>
    </w:p>
    <w:p w14:paraId="1DD2831B">
      <w:pPr>
        <w:ind w:firstLine="480"/>
        <w:rPr>
          <w:color w:val="auto"/>
          <w:highlight w:val="none"/>
        </w:rPr>
      </w:pPr>
      <w:r>
        <w:rPr>
          <w:color w:val="auto"/>
          <w:highlight w:val="none"/>
        </w:rPr>
        <w:t>②分析方法</w:t>
      </w:r>
    </w:p>
    <w:p w14:paraId="2FFC75D5">
      <w:pPr>
        <w:ind w:firstLine="480"/>
        <w:rPr>
          <w:color w:val="auto"/>
          <w:highlight w:val="none"/>
        </w:rPr>
      </w:pPr>
      <w:r>
        <w:rPr>
          <w:color w:val="auto"/>
          <w:highlight w:val="none"/>
        </w:rPr>
        <w:t>分析方法见表3.4-11。</w:t>
      </w:r>
    </w:p>
    <w:p w14:paraId="034129C0">
      <w:pPr>
        <w:pStyle w:val="38"/>
        <w:spacing w:after="0" w:line="240" w:lineRule="auto"/>
        <w:ind w:firstLine="0" w:firstLineChars="0"/>
        <w:jc w:val="center"/>
        <w:rPr>
          <w:b/>
          <w:color w:val="auto"/>
          <w:sz w:val="21"/>
          <w:szCs w:val="21"/>
          <w:highlight w:val="none"/>
        </w:rPr>
      </w:pPr>
      <w:r>
        <w:rPr>
          <w:b/>
          <w:color w:val="auto"/>
          <w:sz w:val="21"/>
          <w:szCs w:val="21"/>
          <w:highlight w:val="none"/>
        </w:rPr>
        <w:t>表 3.4-11   生物质量分析方法及检出限一览表</w:t>
      </w:r>
    </w:p>
    <w:tbl>
      <w:tblPr>
        <w:tblStyle w:val="875"/>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36"/>
        <w:gridCol w:w="1527"/>
        <w:gridCol w:w="4999"/>
        <w:gridCol w:w="1804"/>
      </w:tblGrid>
      <w:tr w14:paraId="0910C2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trPr>
        <w:tc>
          <w:tcPr>
            <w:tcW w:w="406" w:type="pct"/>
            <w:tcBorders>
              <w:top w:val="single" w:color="000000" w:sz="12" w:space="0"/>
              <w:left w:val="nil"/>
            </w:tcBorders>
            <w:vAlign w:val="center"/>
          </w:tcPr>
          <w:p w14:paraId="75EB5528">
            <w:pPr>
              <w:pStyle w:val="1561"/>
              <w:autoSpaceDE/>
              <w:autoSpaceDN/>
              <w:spacing w:line="240" w:lineRule="auto"/>
              <w:ind w:firstLine="0" w:firstLineChars="0"/>
              <w:jc w:val="center"/>
              <w:rPr>
                <w:rFonts w:ascii="Times New Roman" w:hAnsi="Times New Roman" w:cs="Times New Roman"/>
                <w:b/>
                <w:bCs/>
                <w:color w:val="auto"/>
                <w:highlight w:val="none"/>
              </w:rPr>
            </w:pPr>
            <w:r>
              <w:rPr>
                <w:rFonts w:ascii="Times New Roman" w:hAnsi="Times New Roman" w:cs="Times New Roman"/>
                <w:b/>
                <w:bCs/>
                <w:color w:val="auto"/>
                <w:spacing w:val="-2"/>
                <w:highlight w:val="none"/>
              </w:rPr>
              <w:t>序号</w:t>
            </w:r>
          </w:p>
        </w:tc>
        <w:tc>
          <w:tcPr>
            <w:tcW w:w="842" w:type="pct"/>
            <w:tcBorders>
              <w:top w:val="single" w:color="000000" w:sz="12" w:space="0"/>
            </w:tcBorders>
            <w:vAlign w:val="center"/>
          </w:tcPr>
          <w:p w14:paraId="602ED864">
            <w:pPr>
              <w:pStyle w:val="1561"/>
              <w:autoSpaceDE/>
              <w:autoSpaceDN/>
              <w:spacing w:line="240" w:lineRule="auto"/>
              <w:ind w:firstLine="0" w:firstLineChars="0"/>
              <w:jc w:val="center"/>
              <w:rPr>
                <w:rFonts w:ascii="Times New Roman" w:hAnsi="Times New Roman" w:cs="Times New Roman"/>
                <w:b/>
                <w:bCs/>
                <w:color w:val="auto"/>
                <w:highlight w:val="none"/>
              </w:rPr>
            </w:pPr>
            <w:r>
              <w:rPr>
                <w:rFonts w:ascii="Times New Roman" w:hAnsi="Times New Roman" w:cs="Times New Roman"/>
                <w:b/>
                <w:bCs/>
                <w:color w:val="auto"/>
                <w:spacing w:val="-2"/>
                <w:highlight w:val="none"/>
              </w:rPr>
              <w:t>监测项目</w:t>
            </w:r>
          </w:p>
        </w:tc>
        <w:tc>
          <w:tcPr>
            <w:tcW w:w="2757" w:type="pct"/>
            <w:tcBorders>
              <w:top w:val="single" w:color="000000" w:sz="12" w:space="0"/>
            </w:tcBorders>
            <w:vAlign w:val="center"/>
          </w:tcPr>
          <w:p w14:paraId="003064A6">
            <w:pPr>
              <w:pStyle w:val="1561"/>
              <w:autoSpaceDE/>
              <w:autoSpaceDN/>
              <w:spacing w:line="240" w:lineRule="auto"/>
              <w:ind w:firstLine="0" w:firstLineChars="0"/>
              <w:jc w:val="center"/>
              <w:rPr>
                <w:rFonts w:ascii="Times New Roman" w:hAnsi="Times New Roman" w:cs="Times New Roman"/>
                <w:b/>
                <w:bCs/>
                <w:color w:val="auto"/>
                <w:highlight w:val="none"/>
              </w:rPr>
            </w:pPr>
            <w:r>
              <w:rPr>
                <w:rFonts w:ascii="Times New Roman" w:hAnsi="Times New Roman" w:cs="Times New Roman"/>
                <w:b/>
                <w:bCs/>
                <w:color w:val="auto"/>
                <w:spacing w:val="-2"/>
                <w:highlight w:val="none"/>
              </w:rPr>
              <w:t>测试方法</w:t>
            </w:r>
          </w:p>
        </w:tc>
        <w:tc>
          <w:tcPr>
            <w:tcW w:w="995" w:type="pct"/>
            <w:tcBorders>
              <w:top w:val="single" w:color="000000" w:sz="12" w:space="0"/>
              <w:right w:val="nil"/>
            </w:tcBorders>
            <w:vAlign w:val="center"/>
          </w:tcPr>
          <w:p w14:paraId="5B91F27E">
            <w:pPr>
              <w:pStyle w:val="1561"/>
              <w:autoSpaceDE/>
              <w:autoSpaceDN/>
              <w:spacing w:line="240" w:lineRule="auto"/>
              <w:ind w:firstLine="0" w:firstLineChars="0"/>
              <w:jc w:val="center"/>
              <w:rPr>
                <w:rFonts w:ascii="Times New Roman" w:hAnsi="Times New Roman" w:cs="Times New Roman"/>
                <w:b/>
                <w:bCs/>
                <w:color w:val="auto"/>
                <w:highlight w:val="none"/>
              </w:rPr>
            </w:pPr>
            <w:r>
              <w:rPr>
                <w:rFonts w:ascii="Times New Roman" w:hAnsi="Times New Roman" w:cs="Times New Roman"/>
                <w:b/>
                <w:bCs/>
                <w:color w:val="auto"/>
                <w:spacing w:val="-2"/>
                <w:highlight w:val="none"/>
              </w:rPr>
              <w:t>检出限</w:t>
            </w:r>
          </w:p>
        </w:tc>
      </w:tr>
      <w:tr w14:paraId="09E2AE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06" w:type="pct"/>
            <w:tcBorders>
              <w:left w:val="nil"/>
            </w:tcBorders>
            <w:vAlign w:val="center"/>
          </w:tcPr>
          <w:p w14:paraId="630F65A8">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1</w:t>
            </w:r>
          </w:p>
        </w:tc>
        <w:tc>
          <w:tcPr>
            <w:tcW w:w="842" w:type="pct"/>
            <w:vAlign w:val="center"/>
          </w:tcPr>
          <w:p w14:paraId="60BBB6AB">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石油烃</w:t>
            </w:r>
          </w:p>
        </w:tc>
        <w:tc>
          <w:tcPr>
            <w:tcW w:w="2757" w:type="pct"/>
            <w:vAlign w:val="center"/>
          </w:tcPr>
          <w:p w14:paraId="1C5BB9C1">
            <w:pPr>
              <w:autoSpaceDE/>
              <w:autoSpaceDN/>
              <w:spacing w:line="240" w:lineRule="auto"/>
              <w:ind w:firstLine="0" w:firstLineChars="0"/>
              <w:jc w:val="center"/>
              <w:rPr>
                <w:color w:val="auto"/>
                <w:sz w:val="21"/>
                <w:szCs w:val="21"/>
                <w:highlight w:val="none"/>
                <w:lang w:eastAsia="zh-CN"/>
              </w:rPr>
            </w:pPr>
            <w:r>
              <w:rPr>
                <w:color w:val="auto"/>
                <w:sz w:val="21"/>
                <w:szCs w:val="21"/>
                <w:highlight w:val="none"/>
                <w:lang w:eastAsia="zh-CN"/>
              </w:rPr>
              <w:t>海洋监测规范 第6部分：生物体分析</w:t>
            </w:r>
          </w:p>
          <w:p w14:paraId="05F1EFB8">
            <w:pPr>
              <w:autoSpaceDE/>
              <w:autoSpaceDN/>
              <w:spacing w:line="240" w:lineRule="auto"/>
              <w:ind w:firstLine="0" w:firstLineChars="0"/>
              <w:jc w:val="center"/>
              <w:rPr>
                <w:color w:val="auto"/>
                <w:sz w:val="21"/>
                <w:szCs w:val="21"/>
                <w:highlight w:val="none"/>
                <w:lang w:eastAsia="zh-CN"/>
              </w:rPr>
            </w:pPr>
            <w:r>
              <w:rPr>
                <w:color w:val="auto"/>
                <w:sz w:val="21"/>
                <w:szCs w:val="21"/>
                <w:highlight w:val="none"/>
                <w:lang w:eastAsia="zh-CN"/>
              </w:rPr>
              <w:t>GB 17378.6-2007（13荧光分光光度法）</w:t>
            </w:r>
          </w:p>
        </w:tc>
        <w:tc>
          <w:tcPr>
            <w:tcW w:w="995" w:type="pct"/>
            <w:tcBorders>
              <w:right w:val="nil"/>
            </w:tcBorders>
            <w:vAlign w:val="center"/>
          </w:tcPr>
          <w:p w14:paraId="2D8607B6">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0.2×10</w:t>
            </w:r>
            <w:r>
              <w:rPr>
                <w:color w:val="auto"/>
                <w:sz w:val="21"/>
                <w:szCs w:val="21"/>
                <w:highlight w:val="none"/>
                <w:vertAlign w:val="superscript"/>
                <w:lang w:eastAsia="en-US"/>
              </w:rPr>
              <w:t>-6</w:t>
            </w:r>
          </w:p>
        </w:tc>
      </w:tr>
      <w:tr w14:paraId="5B5CD2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06" w:type="pct"/>
            <w:tcBorders>
              <w:left w:val="nil"/>
            </w:tcBorders>
            <w:vAlign w:val="center"/>
          </w:tcPr>
          <w:p w14:paraId="585AC3F3">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2</w:t>
            </w:r>
          </w:p>
        </w:tc>
        <w:tc>
          <w:tcPr>
            <w:tcW w:w="842" w:type="pct"/>
            <w:vAlign w:val="center"/>
          </w:tcPr>
          <w:p w14:paraId="2D1C2A8E">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总汞</w:t>
            </w:r>
          </w:p>
        </w:tc>
        <w:tc>
          <w:tcPr>
            <w:tcW w:w="2757" w:type="pct"/>
            <w:vAlign w:val="center"/>
          </w:tcPr>
          <w:p w14:paraId="2C9944EE">
            <w:pPr>
              <w:autoSpaceDE/>
              <w:autoSpaceDN/>
              <w:spacing w:line="240" w:lineRule="auto"/>
              <w:ind w:firstLine="0" w:firstLineChars="0"/>
              <w:jc w:val="center"/>
              <w:rPr>
                <w:color w:val="auto"/>
                <w:sz w:val="21"/>
                <w:szCs w:val="21"/>
                <w:highlight w:val="none"/>
                <w:lang w:eastAsia="zh-CN"/>
              </w:rPr>
            </w:pPr>
            <w:r>
              <w:rPr>
                <w:color w:val="auto"/>
                <w:sz w:val="21"/>
                <w:szCs w:val="21"/>
                <w:highlight w:val="none"/>
                <w:lang w:eastAsia="zh-CN"/>
              </w:rPr>
              <w:t>海洋监测规范 第6部分：生物体分析</w:t>
            </w:r>
          </w:p>
          <w:p w14:paraId="0EF632E9">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GB 17378.6-2007（5.1原子荧光法）</w:t>
            </w:r>
          </w:p>
        </w:tc>
        <w:tc>
          <w:tcPr>
            <w:tcW w:w="995" w:type="pct"/>
            <w:tcBorders>
              <w:right w:val="nil"/>
            </w:tcBorders>
            <w:vAlign w:val="center"/>
          </w:tcPr>
          <w:p w14:paraId="160BBCF5">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0.002×10</w:t>
            </w:r>
            <w:r>
              <w:rPr>
                <w:color w:val="auto"/>
                <w:sz w:val="21"/>
                <w:szCs w:val="21"/>
                <w:highlight w:val="none"/>
                <w:vertAlign w:val="superscript"/>
                <w:lang w:eastAsia="en-US"/>
              </w:rPr>
              <w:t>-6</w:t>
            </w:r>
          </w:p>
        </w:tc>
      </w:tr>
      <w:tr w14:paraId="7E9937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06" w:type="pct"/>
            <w:tcBorders>
              <w:left w:val="nil"/>
            </w:tcBorders>
            <w:vAlign w:val="center"/>
          </w:tcPr>
          <w:p w14:paraId="12F8EE82">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3</w:t>
            </w:r>
          </w:p>
        </w:tc>
        <w:tc>
          <w:tcPr>
            <w:tcW w:w="842" w:type="pct"/>
            <w:vAlign w:val="center"/>
          </w:tcPr>
          <w:p w14:paraId="72E2ADFE">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砷</w:t>
            </w:r>
          </w:p>
        </w:tc>
        <w:tc>
          <w:tcPr>
            <w:tcW w:w="2757" w:type="pct"/>
            <w:vAlign w:val="center"/>
          </w:tcPr>
          <w:p w14:paraId="7D39CF06">
            <w:pPr>
              <w:autoSpaceDE/>
              <w:autoSpaceDN/>
              <w:spacing w:line="240" w:lineRule="auto"/>
              <w:ind w:firstLine="0" w:firstLineChars="0"/>
              <w:jc w:val="center"/>
              <w:rPr>
                <w:color w:val="auto"/>
                <w:sz w:val="21"/>
                <w:szCs w:val="21"/>
                <w:highlight w:val="none"/>
                <w:lang w:eastAsia="zh-CN"/>
              </w:rPr>
            </w:pPr>
            <w:r>
              <w:rPr>
                <w:color w:val="auto"/>
                <w:sz w:val="21"/>
                <w:szCs w:val="21"/>
                <w:highlight w:val="none"/>
                <w:lang w:eastAsia="zh-CN"/>
              </w:rPr>
              <w:t>海洋监测规范 第6部分：生物体分析</w:t>
            </w:r>
          </w:p>
          <w:p w14:paraId="2DC80CCC">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GB 17378.6-2007（11.1原子荧光法）</w:t>
            </w:r>
          </w:p>
        </w:tc>
        <w:tc>
          <w:tcPr>
            <w:tcW w:w="995" w:type="pct"/>
            <w:tcBorders>
              <w:right w:val="nil"/>
            </w:tcBorders>
            <w:vAlign w:val="center"/>
          </w:tcPr>
          <w:p w14:paraId="6E9FAC13">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0.2×10</w:t>
            </w:r>
            <w:r>
              <w:rPr>
                <w:color w:val="auto"/>
                <w:sz w:val="21"/>
                <w:szCs w:val="21"/>
                <w:highlight w:val="none"/>
                <w:vertAlign w:val="superscript"/>
                <w:lang w:eastAsia="en-US"/>
              </w:rPr>
              <w:t>-6</w:t>
            </w:r>
          </w:p>
        </w:tc>
      </w:tr>
      <w:tr w14:paraId="24E5A7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06" w:type="pct"/>
            <w:tcBorders>
              <w:left w:val="nil"/>
            </w:tcBorders>
            <w:vAlign w:val="center"/>
          </w:tcPr>
          <w:p w14:paraId="56E2127D">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4</w:t>
            </w:r>
          </w:p>
        </w:tc>
        <w:tc>
          <w:tcPr>
            <w:tcW w:w="842" w:type="pct"/>
            <w:vAlign w:val="center"/>
          </w:tcPr>
          <w:p w14:paraId="39EC2FBC">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铜</w:t>
            </w:r>
          </w:p>
        </w:tc>
        <w:tc>
          <w:tcPr>
            <w:tcW w:w="2757" w:type="pct"/>
            <w:vAlign w:val="center"/>
          </w:tcPr>
          <w:p w14:paraId="34F00F79">
            <w:pPr>
              <w:autoSpaceDE/>
              <w:autoSpaceDN/>
              <w:spacing w:line="240" w:lineRule="auto"/>
              <w:ind w:firstLine="0" w:firstLineChars="0"/>
              <w:jc w:val="center"/>
              <w:rPr>
                <w:color w:val="auto"/>
                <w:sz w:val="21"/>
                <w:szCs w:val="21"/>
                <w:highlight w:val="none"/>
                <w:lang w:eastAsia="zh-CN"/>
              </w:rPr>
            </w:pPr>
            <w:r>
              <w:rPr>
                <w:color w:val="auto"/>
                <w:sz w:val="21"/>
                <w:szCs w:val="21"/>
                <w:highlight w:val="none"/>
                <w:lang w:eastAsia="zh-CN"/>
              </w:rPr>
              <w:t>海洋监测规范 第6部分：生物体分析</w:t>
            </w:r>
          </w:p>
          <w:p w14:paraId="788E5611">
            <w:pPr>
              <w:autoSpaceDE/>
              <w:autoSpaceDN/>
              <w:spacing w:line="240" w:lineRule="auto"/>
              <w:ind w:firstLine="0" w:firstLineChars="0"/>
              <w:jc w:val="center"/>
              <w:rPr>
                <w:color w:val="auto"/>
                <w:sz w:val="21"/>
                <w:szCs w:val="21"/>
                <w:highlight w:val="none"/>
                <w:lang w:eastAsia="zh-CN"/>
              </w:rPr>
            </w:pPr>
            <w:r>
              <w:rPr>
                <w:color w:val="auto"/>
                <w:sz w:val="21"/>
                <w:szCs w:val="21"/>
                <w:highlight w:val="none"/>
                <w:lang w:eastAsia="zh-CN"/>
              </w:rPr>
              <w:t>GB 17378.6-2007（6.3火焰原子吸收分光光度计）</w:t>
            </w:r>
          </w:p>
        </w:tc>
        <w:tc>
          <w:tcPr>
            <w:tcW w:w="995" w:type="pct"/>
            <w:tcBorders>
              <w:right w:val="nil"/>
            </w:tcBorders>
            <w:vAlign w:val="center"/>
          </w:tcPr>
          <w:p w14:paraId="0788C476">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2.0×10</w:t>
            </w:r>
            <w:r>
              <w:rPr>
                <w:color w:val="auto"/>
                <w:sz w:val="21"/>
                <w:szCs w:val="21"/>
                <w:highlight w:val="none"/>
                <w:vertAlign w:val="superscript"/>
                <w:lang w:eastAsia="en-US"/>
              </w:rPr>
              <w:t>-6</w:t>
            </w:r>
          </w:p>
        </w:tc>
      </w:tr>
      <w:tr w14:paraId="3E4659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06" w:type="pct"/>
            <w:tcBorders>
              <w:left w:val="nil"/>
            </w:tcBorders>
            <w:vAlign w:val="center"/>
          </w:tcPr>
          <w:p w14:paraId="194962AD">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5</w:t>
            </w:r>
          </w:p>
        </w:tc>
        <w:tc>
          <w:tcPr>
            <w:tcW w:w="842" w:type="pct"/>
            <w:vAlign w:val="center"/>
          </w:tcPr>
          <w:p w14:paraId="2F5B377A">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铅</w:t>
            </w:r>
          </w:p>
        </w:tc>
        <w:tc>
          <w:tcPr>
            <w:tcW w:w="2757" w:type="pct"/>
            <w:vAlign w:val="center"/>
          </w:tcPr>
          <w:p w14:paraId="596C18BD">
            <w:pPr>
              <w:autoSpaceDE/>
              <w:autoSpaceDN/>
              <w:spacing w:line="240" w:lineRule="auto"/>
              <w:ind w:firstLine="0" w:firstLineChars="0"/>
              <w:jc w:val="center"/>
              <w:rPr>
                <w:color w:val="auto"/>
                <w:sz w:val="21"/>
                <w:szCs w:val="21"/>
                <w:highlight w:val="none"/>
                <w:lang w:eastAsia="zh-CN"/>
              </w:rPr>
            </w:pPr>
            <w:r>
              <w:rPr>
                <w:color w:val="auto"/>
                <w:sz w:val="21"/>
                <w:szCs w:val="21"/>
                <w:highlight w:val="none"/>
                <w:lang w:eastAsia="zh-CN"/>
              </w:rPr>
              <w:t>海洋监测规范 第6部分：生物体分析</w:t>
            </w:r>
          </w:p>
          <w:p w14:paraId="22FDE733">
            <w:pPr>
              <w:autoSpaceDE/>
              <w:autoSpaceDN/>
              <w:spacing w:line="240" w:lineRule="auto"/>
              <w:ind w:firstLine="0" w:firstLineChars="0"/>
              <w:jc w:val="center"/>
              <w:rPr>
                <w:color w:val="auto"/>
                <w:sz w:val="21"/>
                <w:szCs w:val="21"/>
                <w:highlight w:val="none"/>
                <w:lang w:eastAsia="zh-CN"/>
              </w:rPr>
            </w:pPr>
            <w:r>
              <w:rPr>
                <w:color w:val="auto"/>
                <w:sz w:val="21"/>
                <w:szCs w:val="21"/>
                <w:highlight w:val="none"/>
                <w:lang w:eastAsia="zh-CN"/>
              </w:rPr>
              <w:t>GB 17378.6-2007（7.3火焰原子吸收分光光度计）</w:t>
            </w:r>
          </w:p>
        </w:tc>
        <w:tc>
          <w:tcPr>
            <w:tcW w:w="995" w:type="pct"/>
            <w:tcBorders>
              <w:right w:val="nil"/>
            </w:tcBorders>
            <w:vAlign w:val="center"/>
          </w:tcPr>
          <w:p w14:paraId="019B4F85">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0.6×10</w:t>
            </w:r>
            <w:r>
              <w:rPr>
                <w:color w:val="auto"/>
                <w:sz w:val="21"/>
                <w:szCs w:val="21"/>
                <w:highlight w:val="none"/>
                <w:vertAlign w:val="superscript"/>
                <w:lang w:eastAsia="en-US"/>
              </w:rPr>
              <w:t>-6</w:t>
            </w:r>
          </w:p>
        </w:tc>
      </w:tr>
      <w:tr w14:paraId="7C3481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06" w:type="pct"/>
            <w:tcBorders>
              <w:left w:val="nil"/>
            </w:tcBorders>
            <w:vAlign w:val="center"/>
          </w:tcPr>
          <w:p w14:paraId="2BE1F967">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6</w:t>
            </w:r>
          </w:p>
        </w:tc>
        <w:tc>
          <w:tcPr>
            <w:tcW w:w="842" w:type="pct"/>
            <w:vAlign w:val="center"/>
          </w:tcPr>
          <w:p w14:paraId="1729AFF3">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镉</w:t>
            </w:r>
          </w:p>
        </w:tc>
        <w:tc>
          <w:tcPr>
            <w:tcW w:w="2757" w:type="pct"/>
            <w:vAlign w:val="center"/>
          </w:tcPr>
          <w:p w14:paraId="354FB45A">
            <w:pPr>
              <w:autoSpaceDE/>
              <w:autoSpaceDN/>
              <w:spacing w:line="240" w:lineRule="auto"/>
              <w:ind w:firstLine="0" w:firstLineChars="0"/>
              <w:jc w:val="center"/>
              <w:rPr>
                <w:color w:val="auto"/>
                <w:sz w:val="21"/>
                <w:szCs w:val="21"/>
                <w:highlight w:val="none"/>
                <w:lang w:eastAsia="zh-CN"/>
              </w:rPr>
            </w:pPr>
            <w:r>
              <w:rPr>
                <w:color w:val="auto"/>
                <w:sz w:val="21"/>
                <w:szCs w:val="21"/>
                <w:highlight w:val="none"/>
                <w:lang w:eastAsia="zh-CN"/>
              </w:rPr>
              <w:t>海洋监测规范 第6部分：生物体分析</w:t>
            </w:r>
          </w:p>
          <w:p w14:paraId="4DC6A794">
            <w:pPr>
              <w:autoSpaceDE/>
              <w:autoSpaceDN/>
              <w:spacing w:line="240" w:lineRule="auto"/>
              <w:ind w:firstLine="0" w:firstLineChars="0"/>
              <w:jc w:val="center"/>
              <w:rPr>
                <w:color w:val="auto"/>
                <w:sz w:val="21"/>
                <w:szCs w:val="21"/>
                <w:highlight w:val="none"/>
                <w:lang w:eastAsia="zh-CN"/>
              </w:rPr>
            </w:pPr>
            <w:r>
              <w:rPr>
                <w:color w:val="auto"/>
                <w:sz w:val="21"/>
                <w:szCs w:val="21"/>
                <w:highlight w:val="none"/>
                <w:lang w:eastAsia="zh-CN"/>
              </w:rPr>
              <w:t>GB 17378.6-2007（8.3火焰原子吸收分光光度计）</w:t>
            </w:r>
          </w:p>
        </w:tc>
        <w:tc>
          <w:tcPr>
            <w:tcW w:w="995" w:type="pct"/>
            <w:tcBorders>
              <w:right w:val="nil"/>
            </w:tcBorders>
            <w:vAlign w:val="center"/>
          </w:tcPr>
          <w:p w14:paraId="5917AC29">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0.08×10</w:t>
            </w:r>
            <w:r>
              <w:rPr>
                <w:color w:val="auto"/>
                <w:sz w:val="21"/>
                <w:szCs w:val="21"/>
                <w:highlight w:val="none"/>
                <w:vertAlign w:val="superscript"/>
                <w:lang w:eastAsia="en-US"/>
              </w:rPr>
              <w:t>-6</w:t>
            </w:r>
          </w:p>
        </w:tc>
      </w:tr>
      <w:tr w14:paraId="45693C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06" w:type="pct"/>
            <w:tcBorders>
              <w:left w:val="nil"/>
            </w:tcBorders>
            <w:vAlign w:val="center"/>
          </w:tcPr>
          <w:p w14:paraId="0549A4FB">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7</w:t>
            </w:r>
          </w:p>
        </w:tc>
        <w:tc>
          <w:tcPr>
            <w:tcW w:w="842" w:type="pct"/>
            <w:vAlign w:val="center"/>
          </w:tcPr>
          <w:p w14:paraId="754ADF43">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锌</w:t>
            </w:r>
          </w:p>
        </w:tc>
        <w:tc>
          <w:tcPr>
            <w:tcW w:w="2757" w:type="pct"/>
            <w:vAlign w:val="center"/>
          </w:tcPr>
          <w:p w14:paraId="54640260">
            <w:pPr>
              <w:autoSpaceDE/>
              <w:autoSpaceDN/>
              <w:spacing w:line="240" w:lineRule="auto"/>
              <w:ind w:firstLine="0" w:firstLineChars="0"/>
              <w:jc w:val="center"/>
              <w:rPr>
                <w:color w:val="auto"/>
                <w:sz w:val="21"/>
                <w:szCs w:val="21"/>
                <w:highlight w:val="none"/>
                <w:lang w:eastAsia="zh-CN"/>
              </w:rPr>
            </w:pPr>
            <w:r>
              <w:rPr>
                <w:color w:val="auto"/>
                <w:sz w:val="21"/>
                <w:szCs w:val="21"/>
                <w:highlight w:val="none"/>
                <w:lang w:eastAsia="zh-CN"/>
              </w:rPr>
              <w:t>海洋监测规范 第6部分：生物体分析</w:t>
            </w:r>
          </w:p>
          <w:p w14:paraId="1BBC1297">
            <w:pPr>
              <w:autoSpaceDE/>
              <w:autoSpaceDN/>
              <w:spacing w:line="240" w:lineRule="auto"/>
              <w:ind w:firstLine="0" w:firstLineChars="0"/>
              <w:jc w:val="center"/>
              <w:rPr>
                <w:color w:val="auto"/>
                <w:sz w:val="21"/>
                <w:szCs w:val="21"/>
                <w:highlight w:val="none"/>
                <w:lang w:eastAsia="zh-CN"/>
              </w:rPr>
            </w:pPr>
            <w:r>
              <w:rPr>
                <w:color w:val="auto"/>
                <w:sz w:val="21"/>
                <w:szCs w:val="21"/>
                <w:highlight w:val="none"/>
                <w:lang w:eastAsia="zh-CN"/>
              </w:rPr>
              <w:t>GB 17378.6-2007（9.1火焰原子吸收分光光度计）</w:t>
            </w:r>
          </w:p>
        </w:tc>
        <w:tc>
          <w:tcPr>
            <w:tcW w:w="995" w:type="pct"/>
            <w:tcBorders>
              <w:right w:val="nil"/>
            </w:tcBorders>
            <w:vAlign w:val="center"/>
          </w:tcPr>
          <w:p w14:paraId="1921EC0C">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0.4×10</w:t>
            </w:r>
            <w:r>
              <w:rPr>
                <w:color w:val="auto"/>
                <w:sz w:val="21"/>
                <w:szCs w:val="21"/>
                <w:highlight w:val="none"/>
                <w:vertAlign w:val="superscript"/>
                <w:lang w:eastAsia="en-US"/>
              </w:rPr>
              <w:t>-6</w:t>
            </w:r>
          </w:p>
        </w:tc>
      </w:tr>
      <w:tr w14:paraId="505A52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06" w:type="pct"/>
            <w:tcBorders>
              <w:left w:val="nil"/>
              <w:bottom w:val="single" w:color="000000" w:sz="12" w:space="0"/>
            </w:tcBorders>
            <w:vAlign w:val="center"/>
          </w:tcPr>
          <w:p w14:paraId="7151909A">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8</w:t>
            </w:r>
          </w:p>
        </w:tc>
        <w:tc>
          <w:tcPr>
            <w:tcW w:w="842" w:type="pct"/>
            <w:tcBorders>
              <w:bottom w:val="single" w:color="000000" w:sz="12" w:space="0"/>
            </w:tcBorders>
            <w:vAlign w:val="center"/>
          </w:tcPr>
          <w:p w14:paraId="6125505D">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铬</w:t>
            </w:r>
          </w:p>
        </w:tc>
        <w:tc>
          <w:tcPr>
            <w:tcW w:w="2757" w:type="pct"/>
            <w:tcBorders>
              <w:bottom w:val="single" w:color="000000" w:sz="12" w:space="0"/>
            </w:tcBorders>
            <w:vAlign w:val="center"/>
          </w:tcPr>
          <w:p w14:paraId="6F88F9B1">
            <w:pPr>
              <w:autoSpaceDE/>
              <w:autoSpaceDN/>
              <w:spacing w:line="240" w:lineRule="auto"/>
              <w:ind w:firstLine="0" w:firstLineChars="0"/>
              <w:jc w:val="center"/>
              <w:rPr>
                <w:color w:val="auto"/>
                <w:sz w:val="21"/>
                <w:szCs w:val="21"/>
                <w:highlight w:val="none"/>
                <w:lang w:eastAsia="zh-CN"/>
              </w:rPr>
            </w:pPr>
            <w:r>
              <w:rPr>
                <w:color w:val="auto"/>
                <w:sz w:val="21"/>
                <w:szCs w:val="21"/>
                <w:highlight w:val="none"/>
                <w:lang w:eastAsia="zh-CN"/>
              </w:rPr>
              <w:t>海洋监测规范 第6部分：生物体分析</w:t>
            </w:r>
          </w:p>
          <w:p w14:paraId="74DFE971">
            <w:pPr>
              <w:autoSpaceDE/>
              <w:autoSpaceDN/>
              <w:spacing w:line="240" w:lineRule="auto"/>
              <w:ind w:firstLine="0" w:firstLineChars="0"/>
              <w:jc w:val="center"/>
              <w:rPr>
                <w:color w:val="auto"/>
                <w:sz w:val="21"/>
                <w:szCs w:val="21"/>
                <w:highlight w:val="none"/>
                <w:lang w:eastAsia="zh-CN"/>
              </w:rPr>
            </w:pPr>
            <w:r>
              <w:rPr>
                <w:color w:val="auto"/>
                <w:sz w:val="21"/>
                <w:szCs w:val="21"/>
                <w:highlight w:val="none"/>
                <w:lang w:eastAsia="zh-CN"/>
              </w:rPr>
              <w:t>GB 17378.6-2007（10.2无火焰原子吸收分光光度计）</w:t>
            </w:r>
          </w:p>
        </w:tc>
        <w:tc>
          <w:tcPr>
            <w:tcW w:w="995" w:type="pct"/>
            <w:tcBorders>
              <w:bottom w:val="single" w:color="000000" w:sz="12" w:space="0"/>
              <w:right w:val="nil"/>
            </w:tcBorders>
            <w:vAlign w:val="center"/>
          </w:tcPr>
          <w:p w14:paraId="4D0B94DA">
            <w:pPr>
              <w:autoSpaceDE/>
              <w:autoSpaceDN/>
              <w:spacing w:line="240" w:lineRule="auto"/>
              <w:ind w:firstLine="0" w:firstLineChars="0"/>
              <w:jc w:val="center"/>
              <w:rPr>
                <w:color w:val="auto"/>
                <w:sz w:val="21"/>
                <w:szCs w:val="21"/>
                <w:highlight w:val="none"/>
                <w:lang w:eastAsia="en-US"/>
              </w:rPr>
            </w:pPr>
            <w:r>
              <w:rPr>
                <w:color w:val="auto"/>
                <w:sz w:val="21"/>
                <w:szCs w:val="21"/>
                <w:highlight w:val="none"/>
                <w:lang w:eastAsia="en-US"/>
              </w:rPr>
              <w:t>0.04×10</w:t>
            </w:r>
            <w:r>
              <w:rPr>
                <w:color w:val="auto"/>
                <w:sz w:val="21"/>
                <w:szCs w:val="21"/>
                <w:highlight w:val="none"/>
                <w:vertAlign w:val="superscript"/>
                <w:lang w:eastAsia="en-US"/>
              </w:rPr>
              <w:t>-6</w:t>
            </w:r>
          </w:p>
        </w:tc>
      </w:tr>
    </w:tbl>
    <w:p w14:paraId="34151FE8">
      <w:pPr>
        <w:spacing w:before="120" w:beforeLines="50"/>
        <w:ind w:firstLine="480"/>
        <w:rPr>
          <w:color w:val="auto"/>
          <w:highlight w:val="none"/>
        </w:rPr>
      </w:pPr>
      <w:r>
        <w:rPr>
          <w:color w:val="auto"/>
          <w:highlight w:val="none"/>
        </w:rPr>
        <w:t>③调查评价结果</w:t>
      </w:r>
    </w:p>
    <w:p w14:paraId="2975D462">
      <w:pPr>
        <w:ind w:firstLine="480"/>
        <w:rPr>
          <w:color w:val="auto"/>
          <w:highlight w:val="none"/>
        </w:rPr>
      </w:pPr>
      <w:r>
        <w:rPr>
          <w:color w:val="auto"/>
          <w:highlight w:val="none"/>
        </w:rPr>
        <w:t>调查评价结果见表3.4-12，生物质量标准指数见表3.4-13。调查结果显示，项目附近海域的生物体中铜、铅、锌、铬、镉、总汞、石油烃标准指数均小于1，砷标准指数都大于1，超标率100%，最大超标倍数0.7倍。</w:t>
      </w:r>
      <w:r>
        <w:rPr>
          <w:color w:val="auto"/>
          <w:highlight w:val="none"/>
          <w:u w:val="single"/>
        </w:rPr>
        <w:t>海区生物质量除</w:t>
      </w:r>
      <w:r>
        <w:rPr>
          <w:rFonts w:hint="eastAsia"/>
          <w:color w:val="auto"/>
          <w:highlight w:val="none"/>
          <w:u w:val="single"/>
        </w:rPr>
        <w:t>砷</w:t>
      </w:r>
      <w:r>
        <w:rPr>
          <w:color w:val="auto"/>
          <w:highlight w:val="none"/>
          <w:u w:val="single"/>
        </w:rPr>
        <w:t>外，其他评价因子均能满足《环境影响评价技术导则海洋生态环境》（HJ 1409-2025）“附录C其他海洋生物质量参考值”</w:t>
      </w:r>
      <w:r>
        <w:rPr>
          <w:color w:val="auto"/>
          <w:highlight w:val="none"/>
        </w:rPr>
        <w:t>。</w:t>
      </w:r>
      <w:r>
        <w:rPr>
          <w:rFonts w:hint="eastAsia"/>
          <w:color w:val="auto"/>
          <w:highlight w:val="none"/>
        </w:rPr>
        <w:t xml:space="preserve"> 由于海洋生物（如牡蛎、蛤蜊、虾类）具有较强的砷富集能力，项目所在海域主要为工业用海，且北面有农业径流汇入，海水及沉积物中均含有砷元素，而海洋生物通过食物链富集砷，可导致其体内砷含量升高。</w:t>
      </w:r>
    </w:p>
    <w:p w14:paraId="286189EC">
      <w:pPr>
        <w:pStyle w:val="38"/>
        <w:spacing w:after="0" w:line="240" w:lineRule="auto"/>
        <w:ind w:firstLine="0" w:firstLineChars="0"/>
        <w:jc w:val="center"/>
        <w:rPr>
          <w:b/>
          <w:color w:val="auto"/>
          <w:sz w:val="21"/>
          <w:szCs w:val="21"/>
          <w:highlight w:val="none"/>
        </w:rPr>
      </w:pPr>
      <w:r>
        <w:rPr>
          <w:b/>
          <w:color w:val="auto"/>
          <w:sz w:val="21"/>
          <w:szCs w:val="21"/>
          <w:highlight w:val="none"/>
        </w:rPr>
        <w:t>表3.4-12  生物质量监测结果</w:t>
      </w:r>
    </w:p>
    <w:tbl>
      <w:tblPr>
        <w:tblStyle w:val="92"/>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676"/>
        <w:gridCol w:w="995"/>
        <w:gridCol w:w="1700"/>
        <w:gridCol w:w="707"/>
        <w:gridCol w:w="707"/>
        <w:gridCol w:w="711"/>
        <w:gridCol w:w="707"/>
        <w:gridCol w:w="707"/>
        <w:gridCol w:w="566"/>
        <w:gridCol w:w="852"/>
        <w:gridCol w:w="952"/>
      </w:tblGrid>
      <w:tr w14:paraId="368199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4" w:type="pct"/>
            <w:tcBorders>
              <w:tl2br w:val="nil"/>
              <w:tr2bl w:val="nil"/>
            </w:tcBorders>
            <w:vAlign w:val="center"/>
          </w:tcPr>
          <w:p w14:paraId="40F4DFCD">
            <w:pPr>
              <w:pStyle w:val="1561"/>
              <w:spacing w:line="240" w:lineRule="auto"/>
              <w:ind w:firstLine="0" w:firstLineChars="0"/>
              <w:jc w:val="center"/>
              <w:rPr>
                <w:rFonts w:ascii="Times New Roman" w:hAnsi="Times New Roman" w:cs="Times New Roman"/>
                <w:b/>
                <w:bCs/>
                <w:color w:val="auto"/>
                <w:spacing w:val="-1"/>
                <w:highlight w:val="none"/>
                <w:lang w:eastAsia="zh-CN"/>
              </w:rPr>
            </w:pPr>
            <w:bookmarkStart w:id="149" w:name="OLE_LINK56"/>
            <w:r>
              <w:rPr>
                <w:rFonts w:ascii="Times New Roman" w:hAnsi="Times New Roman" w:cs="Times New Roman"/>
                <w:b/>
                <w:bCs/>
                <w:color w:val="auto"/>
                <w:spacing w:val="-1"/>
                <w:highlight w:val="none"/>
                <w:lang w:eastAsia="zh-CN"/>
              </w:rPr>
              <w:t>站位</w:t>
            </w:r>
          </w:p>
        </w:tc>
        <w:tc>
          <w:tcPr>
            <w:tcW w:w="536" w:type="pct"/>
            <w:tcBorders>
              <w:tl2br w:val="nil"/>
              <w:tr2bl w:val="nil"/>
            </w:tcBorders>
            <w:vAlign w:val="center"/>
          </w:tcPr>
          <w:p w14:paraId="0D3A96BD">
            <w:pPr>
              <w:pStyle w:val="1561"/>
              <w:spacing w:line="240" w:lineRule="auto"/>
              <w:ind w:firstLine="0" w:firstLineChars="0"/>
              <w:jc w:val="center"/>
              <w:rPr>
                <w:rFonts w:ascii="Times New Roman" w:hAnsi="Times New Roman" w:cs="Times New Roman"/>
                <w:b/>
                <w:bCs/>
                <w:color w:val="auto"/>
                <w:spacing w:val="-1"/>
                <w:highlight w:val="none"/>
                <w:lang w:eastAsia="zh-CN"/>
              </w:rPr>
            </w:pPr>
            <w:r>
              <w:rPr>
                <w:rFonts w:ascii="Times New Roman" w:hAnsi="Times New Roman" w:cs="Times New Roman"/>
                <w:b/>
                <w:bCs/>
                <w:color w:val="auto"/>
                <w:spacing w:val="-1"/>
                <w:highlight w:val="none"/>
                <w:lang w:eastAsia="zh-CN"/>
              </w:rPr>
              <w:t>种类</w:t>
            </w:r>
          </w:p>
        </w:tc>
        <w:tc>
          <w:tcPr>
            <w:tcW w:w="916" w:type="pct"/>
            <w:tcBorders>
              <w:tl2br w:val="nil"/>
              <w:tr2bl w:val="nil"/>
            </w:tcBorders>
            <w:vAlign w:val="center"/>
          </w:tcPr>
          <w:p w14:paraId="1BB58D48">
            <w:pPr>
              <w:pStyle w:val="1561"/>
              <w:spacing w:line="240" w:lineRule="auto"/>
              <w:ind w:firstLine="0" w:firstLineChars="0"/>
              <w:jc w:val="center"/>
              <w:rPr>
                <w:rFonts w:ascii="Times New Roman" w:hAnsi="Times New Roman" w:cs="Times New Roman"/>
                <w:b/>
                <w:bCs/>
                <w:color w:val="auto"/>
                <w:spacing w:val="-1"/>
                <w:highlight w:val="none"/>
                <w:lang w:eastAsia="zh-CN"/>
              </w:rPr>
            </w:pPr>
            <w:r>
              <w:rPr>
                <w:rFonts w:ascii="Times New Roman" w:hAnsi="Times New Roman" w:cs="Times New Roman"/>
                <w:b/>
                <w:bCs/>
                <w:color w:val="auto"/>
                <w:spacing w:val="-1"/>
                <w:highlight w:val="none"/>
                <w:lang w:eastAsia="zh-CN"/>
              </w:rPr>
              <w:t>生物种中文学名</w:t>
            </w:r>
          </w:p>
        </w:tc>
        <w:tc>
          <w:tcPr>
            <w:tcW w:w="381" w:type="pct"/>
            <w:tcBorders>
              <w:tl2br w:val="nil"/>
              <w:tr2bl w:val="nil"/>
            </w:tcBorders>
            <w:vAlign w:val="center"/>
          </w:tcPr>
          <w:p w14:paraId="1EF9B49C">
            <w:pPr>
              <w:pStyle w:val="1561"/>
              <w:spacing w:line="240" w:lineRule="auto"/>
              <w:ind w:firstLine="0" w:firstLineChars="0"/>
              <w:jc w:val="center"/>
              <w:rPr>
                <w:rFonts w:ascii="Times New Roman" w:hAnsi="Times New Roman" w:cs="Times New Roman"/>
                <w:b/>
                <w:bCs/>
                <w:color w:val="auto"/>
                <w:spacing w:val="-1"/>
                <w:highlight w:val="none"/>
                <w:lang w:eastAsia="zh-CN"/>
              </w:rPr>
            </w:pPr>
            <w:r>
              <w:rPr>
                <w:rFonts w:ascii="Times New Roman" w:hAnsi="Times New Roman" w:cs="Times New Roman"/>
                <w:b/>
                <w:bCs/>
                <w:color w:val="auto"/>
                <w:spacing w:val="-1"/>
                <w:highlight w:val="none"/>
                <w:lang w:eastAsia="zh-CN"/>
              </w:rPr>
              <w:t>铜</w:t>
            </w:r>
          </w:p>
        </w:tc>
        <w:tc>
          <w:tcPr>
            <w:tcW w:w="381" w:type="pct"/>
            <w:tcBorders>
              <w:tl2br w:val="nil"/>
              <w:tr2bl w:val="nil"/>
            </w:tcBorders>
            <w:vAlign w:val="center"/>
          </w:tcPr>
          <w:p w14:paraId="6C929A03">
            <w:pPr>
              <w:pStyle w:val="1561"/>
              <w:spacing w:line="240" w:lineRule="auto"/>
              <w:ind w:firstLine="0" w:firstLineChars="0"/>
              <w:jc w:val="center"/>
              <w:rPr>
                <w:rFonts w:ascii="Times New Roman" w:hAnsi="Times New Roman" w:cs="Times New Roman"/>
                <w:b/>
                <w:bCs/>
                <w:color w:val="auto"/>
                <w:spacing w:val="-1"/>
                <w:highlight w:val="none"/>
                <w:lang w:eastAsia="zh-CN"/>
              </w:rPr>
            </w:pPr>
            <w:r>
              <w:rPr>
                <w:rFonts w:ascii="Times New Roman" w:hAnsi="Times New Roman" w:cs="Times New Roman"/>
                <w:b/>
                <w:bCs/>
                <w:color w:val="auto"/>
                <w:spacing w:val="-1"/>
                <w:highlight w:val="none"/>
                <w:lang w:eastAsia="zh-CN"/>
              </w:rPr>
              <w:t>铅</w:t>
            </w:r>
          </w:p>
        </w:tc>
        <w:tc>
          <w:tcPr>
            <w:tcW w:w="383" w:type="pct"/>
            <w:tcBorders>
              <w:tl2br w:val="nil"/>
              <w:tr2bl w:val="nil"/>
            </w:tcBorders>
            <w:vAlign w:val="center"/>
          </w:tcPr>
          <w:p w14:paraId="4F2B6105">
            <w:pPr>
              <w:pStyle w:val="1561"/>
              <w:spacing w:line="240" w:lineRule="auto"/>
              <w:ind w:firstLine="0" w:firstLineChars="0"/>
              <w:jc w:val="center"/>
              <w:rPr>
                <w:rFonts w:ascii="Times New Roman" w:hAnsi="Times New Roman" w:cs="Times New Roman"/>
                <w:b/>
                <w:bCs/>
                <w:color w:val="auto"/>
                <w:spacing w:val="-1"/>
                <w:highlight w:val="none"/>
                <w:lang w:eastAsia="zh-CN"/>
              </w:rPr>
            </w:pPr>
            <w:r>
              <w:rPr>
                <w:rFonts w:ascii="Times New Roman" w:hAnsi="Times New Roman" w:cs="Times New Roman"/>
                <w:b/>
                <w:bCs/>
                <w:color w:val="auto"/>
                <w:spacing w:val="-1"/>
                <w:highlight w:val="none"/>
                <w:lang w:eastAsia="zh-CN"/>
              </w:rPr>
              <w:t>锌</w:t>
            </w:r>
          </w:p>
        </w:tc>
        <w:tc>
          <w:tcPr>
            <w:tcW w:w="381" w:type="pct"/>
            <w:tcBorders>
              <w:tl2br w:val="nil"/>
              <w:tr2bl w:val="nil"/>
            </w:tcBorders>
            <w:vAlign w:val="center"/>
          </w:tcPr>
          <w:p w14:paraId="4E35E770">
            <w:pPr>
              <w:pStyle w:val="1561"/>
              <w:spacing w:line="240" w:lineRule="auto"/>
              <w:ind w:firstLine="0" w:firstLineChars="0"/>
              <w:jc w:val="center"/>
              <w:rPr>
                <w:rFonts w:ascii="Times New Roman" w:hAnsi="Times New Roman" w:cs="Times New Roman"/>
                <w:b/>
                <w:bCs/>
                <w:color w:val="auto"/>
                <w:spacing w:val="-1"/>
                <w:highlight w:val="none"/>
                <w:lang w:eastAsia="zh-CN"/>
              </w:rPr>
            </w:pPr>
            <w:r>
              <w:rPr>
                <w:rFonts w:ascii="Times New Roman" w:hAnsi="Times New Roman" w:cs="Times New Roman"/>
                <w:b/>
                <w:bCs/>
                <w:color w:val="auto"/>
                <w:spacing w:val="-1"/>
                <w:highlight w:val="none"/>
                <w:lang w:eastAsia="zh-CN"/>
              </w:rPr>
              <w:t>铬</w:t>
            </w:r>
          </w:p>
        </w:tc>
        <w:tc>
          <w:tcPr>
            <w:tcW w:w="381" w:type="pct"/>
            <w:tcBorders>
              <w:tl2br w:val="nil"/>
              <w:tr2bl w:val="nil"/>
            </w:tcBorders>
            <w:vAlign w:val="center"/>
          </w:tcPr>
          <w:p w14:paraId="04FC9FBD">
            <w:pPr>
              <w:pStyle w:val="1561"/>
              <w:spacing w:line="240" w:lineRule="auto"/>
              <w:ind w:firstLine="0" w:firstLineChars="0"/>
              <w:jc w:val="center"/>
              <w:rPr>
                <w:rFonts w:ascii="Times New Roman" w:hAnsi="Times New Roman" w:cs="Times New Roman"/>
                <w:b/>
                <w:bCs/>
                <w:color w:val="auto"/>
                <w:spacing w:val="-1"/>
                <w:highlight w:val="none"/>
                <w:lang w:eastAsia="zh-CN"/>
              </w:rPr>
            </w:pPr>
            <w:r>
              <w:rPr>
                <w:rFonts w:ascii="Times New Roman" w:hAnsi="Times New Roman" w:cs="Times New Roman"/>
                <w:b/>
                <w:bCs/>
                <w:color w:val="auto"/>
                <w:spacing w:val="-1"/>
                <w:highlight w:val="none"/>
                <w:lang w:eastAsia="zh-CN"/>
              </w:rPr>
              <w:t>镉</w:t>
            </w:r>
          </w:p>
        </w:tc>
        <w:tc>
          <w:tcPr>
            <w:tcW w:w="305" w:type="pct"/>
            <w:tcBorders>
              <w:tl2br w:val="nil"/>
              <w:tr2bl w:val="nil"/>
            </w:tcBorders>
            <w:vAlign w:val="center"/>
          </w:tcPr>
          <w:p w14:paraId="6A88C649">
            <w:pPr>
              <w:pStyle w:val="1561"/>
              <w:spacing w:line="240" w:lineRule="auto"/>
              <w:ind w:firstLine="0" w:firstLineChars="0"/>
              <w:jc w:val="center"/>
              <w:rPr>
                <w:rFonts w:ascii="Times New Roman" w:hAnsi="Times New Roman" w:cs="Times New Roman"/>
                <w:b/>
                <w:bCs/>
                <w:color w:val="auto"/>
                <w:spacing w:val="-1"/>
                <w:highlight w:val="none"/>
                <w:lang w:eastAsia="zh-CN"/>
              </w:rPr>
            </w:pPr>
            <w:r>
              <w:rPr>
                <w:rFonts w:ascii="Times New Roman" w:hAnsi="Times New Roman" w:cs="Times New Roman"/>
                <w:b/>
                <w:bCs/>
                <w:color w:val="auto"/>
                <w:spacing w:val="-1"/>
                <w:highlight w:val="none"/>
                <w:lang w:eastAsia="zh-CN"/>
              </w:rPr>
              <w:t>砷</w:t>
            </w:r>
          </w:p>
        </w:tc>
        <w:tc>
          <w:tcPr>
            <w:tcW w:w="459" w:type="pct"/>
            <w:tcBorders>
              <w:tl2br w:val="nil"/>
              <w:tr2bl w:val="nil"/>
            </w:tcBorders>
            <w:vAlign w:val="center"/>
          </w:tcPr>
          <w:p w14:paraId="1C2BDA4E">
            <w:pPr>
              <w:pStyle w:val="1561"/>
              <w:spacing w:line="240" w:lineRule="auto"/>
              <w:ind w:firstLine="0" w:firstLineChars="0"/>
              <w:jc w:val="center"/>
              <w:rPr>
                <w:rFonts w:ascii="Times New Roman" w:hAnsi="Times New Roman" w:cs="Times New Roman"/>
                <w:b/>
                <w:bCs/>
                <w:color w:val="auto"/>
                <w:spacing w:val="-1"/>
                <w:highlight w:val="none"/>
                <w:lang w:eastAsia="zh-CN"/>
              </w:rPr>
            </w:pPr>
            <w:r>
              <w:rPr>
                <w:rFonts w:ascii="Times New Roman" w:hAnsi="Times New Roman" w:cs="Times New Roman"/>
                <w:b/>
                <w:bCs/>
                <w:color w:val="auto"/>
                <w:spacing w:val="-1"/>
                <w:highlight w:val="none"/>
                <w:lang w:eastAsia="zh-CN"/>
              </w:rPr>
              <w:t>总汞</w:t>
            </w:r>
          </w:p>
        </w:tc>
        <w:tc>
          <w:tcPr>
            <w:tcW w:w="513" w:type="pct"/>
            <w:tcBorders>
              <w:tl2br w:val="nil"/>
              <w:tr2bl w:val="nil"/>
            </w:tcBorders>
            <w:vAlign w:val="center"/>
          </w:tcPr>
          <w:p w14:paraId="59629882">
            <w:pPr>
              <w:pStyle w:val="1561"/>
              <w:spacing w:line="240" w:lineRule="auto"/>
              <w:ind w:firstLine="0" w:firstLineChars="0"/>
              <w:jc w:val="center"/>
              <w:rPr>
                <w:rFonts w:ascii="Times New Roman" w:hAnsi="Times New Roman" w:cs="Times New Roman"/>
                <w:b/>
                <w:bCs/>
                <w:color w:val="auto"/>
                <w:spacing w:val="-1"/>
                <w:highlight w:val="none"/>
                <w:lang w:eastAsia="zh-CN"/>
              </w:rPr>
            </w:pPr>
            <w:r>
              <w:rPr>
                <w:rFonts w:ascii="Times New Roman" w:hAnsi="Times New Roman" w:cs="Times New Roman"/>
                <w:b/>
                <w:bCs/>
                <w:color w:val="auto"/>
                <w:spacing w:val="-1"/>
                <w:highlight w:val="none"/>
                <w:lang w:eastAsia="zh-CN"/>
              </w:rPr>
              <w:t>石油烃</w:t>
            </w:r>
          </w:p>
        </w:tc>
      </w:tr>
      <w:tr w14:paraId="4589F0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4" w:type="pct"/>
            <w:vMerge w:val="restart"/>
            <w:tcBorders>
              <w:tl2br w:val="nil"/>
              <w:tr2bl w:val="nil"/>
            </w:tcBorders>
            <w:vAlign w:val="center"/>
          </w:tcPr>
          <w:p w14:paraId="24EDA141">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1#</w:t>
            </w:r>
          </w:p>
        </w:tc>
        <w:tc>
          <w:tcPr>
            <w:tcW w:w="536" w:type="pct"/>
            <w:vMerge w:val="restart"/>
            <w:tcBorders>
              <w:tl2br w:val="nil"/>
              <w:tr2bl w:val="nil"/>
            </w:tcBorders>
            <w:vAlign w:val="center"/>
          </w:tcPr>
          <w:p w14:paraId="4B4FEFF6">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鱼类</w:t>
            </w:r>
          </w:p>
        </w:tc>
        <w:tc>
          <w:tcPr>
            <w:tcW w:w="916" w:type="pct"/>
            <w:tcBorders>
              <w:tl2br w:val="nil"/>
              <w:tr2bl w:val="nil"/>
            </w:tcBorders>
            <w:vAlign w:val="center"/>
          </w:tcPr>
          <w:p w14:paraId="54B596CB">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金钱鱼</w:t>
            </w:r>
          </w:p>
        </w:tc>
        <w:tc>
          <w:tcPr>
            <w:tcW w:w="381" w:type="pct"/>
            <w:tcBorders>
              <w:tl2br w:val="nil"/>
              <w:tr2bl w:val="nil"/>
            </w:tcBorders>
            <w:noWrap/>
            <w:vAlign w:val="center"/>
          </w:tcPr>
          <w:p w14:paraId="5566CF33">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1" w:type="pct"/>
            <w:tcBorders>
              <w:tl2br w:val="nil"/>
              <w:tr2bl w:val="nil"/>
            </w:tcBorders>
            <w:vAlign w:val="center"/>
          </w:tcPr>
          <w:p w14:paraId="6427AF1E">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3" w:type="pct"/>
            <w:tcBorders>
              <w:tl2br w:val="nil"/>
              <w:tr2bl w:val="nil"/>
            </w:tcBorders>
            <w:noWrap/>
            <w:vAlign w:val="center"/>
          </w:tcPr>
          <w:p w14:paraId="6175F8B3">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1" w:type="pct"/>
            <w:tcBorders>
              <w:tl2br w:val="nil"/>
              <w:tr2bl w:val="nil"/>
            </w:tcBorders>
            <w:noWrap/>
            <w:vAlign w:val="center"/>
          </w:tcPr>
          <w:p w14:paraId="05D2CCF6">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1" w:type="pct"/>
            <w:tcBorders>
              <w:tl2br w:val="nil"/>
              <w:tr2bl w:val="nil"/>
            </w:tcBorders>
            <w:vAlign w:val="center"/>
          </w:tcPr>
          <w:p w14:paraId="030DBC5B">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05" w:type="pct"/>
            <w:tcBorders>
              <w:tl2br w:val="nil"/>
              <w:tr2bl w:val="nil"/>
            </w:tcBorders>
            <w:noWrap/>
            <w:vAlign w:val="center"/>
          </w:tcPr>
          <w:p w14:paraId="40FFB15F">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459" w:type="pct"/>
            <w:tcBorders>
              <w:tl2br w:val="nil"/>
              <w:tr2bl w:val="nil"/>
            </w:tcBorders>
            <w:noWrap/>
            <w:vAlign w:val="center"/>
          </w:tcPr>
          <w:p w14:paraId="2C4459D7">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513" w:type="pct"/>
            <w:tcBorders>
              <w:tl2br w:val="nil"/>
              <w:tr2bl w:val="nil"/>
            </w:tcBorders>
            <w:noWrap/>
            <w:vAlign w:val="center"/>
          </w:tcPr>
          <w:p w14:paraId="55374CCB">
            <w:pPr>
              <w:pStyle w:val="1561"/>
              <w:spacing w:line="240" w:lineRule="auto"/>
              <w:ind w:firstLine="0" w:firstLineChars="0"/>
              <w:jc w:val="center"/>
              <w:rPr>
                <w:rFonts w:ascii="Times New Roman" w:hAnsi="Times New Roman" w:cs="Times New Roman"/>
                <w:color w:val="auto"/>
                <w:spacing w:val="-1"/>
                <w:highlight w:val="none"/>
                <w:lang w:eastAsia="zh-CN"/>
              </w:rPr>
            </w:pPr>
          </w:p>
        </w:tc>
      </w:tr>
      <w:tr w14:paraId="68DF10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4" w:type="pct"/>
            <w:vMerge w:val="continue"/>
            <w:tcBorders>
              <w:tl2br w:val="nil"/>
              <w:tr2bl w:val="nil"/>
            </w:tcBorders>
            <w:vAlign w:val="center"/>
          </w:tcPr>
          <w:p w14:paraId="57E4AF0A">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536" w:type="pct"/>
            <w:vMerge w:val="continue"/>
            <w:tcBorders>
              <w:tl2br w:val="nil"/>
              <w:tr2bl w:val="nil"/>
            </w:tcBorders>
            <w:vAlign w:val="center"/>
          </w:tcPr>
          <w:p w14:paraId="7B1BF78F">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916" w:type="pct"/>
            <w:tcBorders>
              <w:tl2br w:val="nil"/>
              <w:tr2bl w:val="nil"/>
            </w:tcBorders>
            <w:vAlign w:val="center"/>
          </w:tcPr>
          <w:p w14:paraId="7AF51C7C">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灰鳍棘鲷</w:t>
            </w:r>
          </w:p>
        </w:tc>
        <w:tc>
          <w:tcPr>
            <w:tcW w:w="381" w:type="pct"/>
            <w:tcBorders>
              <w:tl2br w:val="nil"/>
              <w:tr2bl w:val="nil"/>
            </w:tcBorders>
            <w:noWrap/>
            <w:vAlign w:val="center"/>
          </w:tcPr>
          <w:p w14:paraId="2852C4D9">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1" w:type="pct"/>
            <w:tcBorders>
              <w:tl2br w:val="nil"/>
              <w:tr2bl w:val="nil"/>
            </w:tcBorders>
            <w:vAlign w:val="center"/>
          </w:tcPr>
          <w:p w14:paraId="0A567FCB">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3" w:type="pct"/>
            <w:tcBorders>
              <w:tl2br w:val="nil"/>
              <w:tr2bl w:val="nil"/>
            </w:tcBorders>
            <w:noWrap/>
            <w:vAlign w:val="center"/>
          </w:tcPr>
          <w:p w14:paraId="337142BF">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1" w:type="pct"/>
            <w:tcBorders>
              <w:tl2br w:val="nil"/>
              <w:tr2bl w:val="nil"/>
            </w:tcBorders>
            <w:noWrap/>
            <w:vAlign w:val="center"/>
          </w:tcPr>
          <w:p w14:paraId="1B1A757A">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1" w:type="pct"/>
            <w:tcBorders>
              <w:tl2br w:val="nil"/>
              <w:tr2bl w:val="nil"/>
            </w:tcBorders>
            <w:vAlign w:val="center"/>
          </w:tcPr>
          <w:p w14:paraId="611985DC">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05" w:type="pct"/>
            <w:tcBorders>
              <w:tl2br w:val="nil"/>
              <w:tr2bl w:val="nil"/>
            </w:tcBorders>
            <w:noWrap/>
            <w:vAlign w:val="center"/>
          </w:tcPr>
          <w:p w14:paraId="2B314022">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459" w:type="pct"/>
            <w:tcBorders>
              <w:tl2br w:val="nil"/>
              <w:tr2bl w:val="nil"/>
            </w:tcBorders>
            <w:noWrap/>
            <w:vAlign w:val="center"/>
          </w:tcPr>
          <w:p w14:paraId="1B7631D2">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513" w:type="pct"/>
            <w:tcBorders>
              <w:tl2br w:val="nil"/>
              <w:tr2bl w:val="nil"/>
            </w:tcBorders>
            <w:noWrap/>
            <w:vAlign w:val="center"/>
          </w:tcPr>
          <w:p w14:paraId="2061F41F">
            <w:pPr>
              <w:pStyle w:val="1561"/>
              <w:spacing w:line="240" w:lineRule="auto"/>
              <w:ind w:firstLine="0" w:firstLineChars="0"/>
              <w:jc w:val="center"/>
              <w:rPr>
                <w:rFonts w:ascii="Times New Roman" w:hAnsi="Times New Roman" w:cs="Times New Roman"/>
                <w:color w:val="auto"/>
                <w:spacing w:val="-1"/>
                <w:highlight w:val="none"/>
                <w:lang w:eastAsia="zh-CN"/>
              </w:rPr>
            </w:pPr>
          </w:p>
        </w:tc>
      </w:tr>
      <w:tr w14:paraId="7585EC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4" w:type="pct"/>
            <w:vMerge w:val="continue"/>
            <w:tcBorders>
              <w:tl2br w:val="nil"/>
              <w:tr2bl w:val="nil"/>
            </w:tcBorders>
            <w:vAlign w:val="center"/>
          </w:tcPr>
          <w:p w14:paraId="5097ED8B">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536" w:type="pct"/>
            <w:vMerge w:val="continue"/>
            <w:tcBorders>
              <w:tl2br w:val="nil"/>
              <w:tr2bl w:val="nil"/>
            </w:tcBorders>
            <w:vAlign w:val="center"/>
          </w:tcPr>
          <w:p w14:paraId="6F80CADB">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916" w:type="pct"/>
            <w:tcBorders>
              <w:tl2br w:val="nil"/>
              <w:tr2bl w:val="nil"/>
            </w:tcBorders>
            <w:vAlign w:val="center"/>
          </w:tcPr>
          <w:p w14:paraId="3AF319D6">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短吻鲾</w:t>
            </w:r>
          </w:p>
        </w:tc>
        <w:tc>
          <w:tcPr>
            <w:tcW w:w="381" w:type="pct"/>
            <w:tcBorders>
              <w:tl2br w:val="nil"/>
              <w:tr2bl w:val="nil"/>
            </w:tcBorders>
            <w:noWrap/>
            <w:vAlign w:val="center"/>
          </w:tcPr>
          <w:p w14:paraId="1B32FE56">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1" w:type="pct"/>
            <w:tcBorders>
              <w:tl2br w:val="nil"/>
              <w:tr2bl w:val="nil"/>
            </w:tcBorders>
            <w:vAlign w:val="center"/>
          </w:tcPr>
          <w:p w14:paraId="0E53E9AF">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3" w:type="pct"/>
            <w:tcBorders>
              <w:tl2br w:val="nil"/>
              <w:tr2bl w:val="nil"/>
            </w:tcBorders>
            <w:noWrap/>
            <w:vAlign w:val="center"/>
          </w:tcPr>
          <w:p w14:paraId="44389A24">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1" w:type="pct"/>
            <w:tcBorders>
              <w:tl2br w:val="nil"/>
              <w:tr2bl w:val="nil"/>
            </w:tcBorders>
            <w:noWrap/>
            <w:vAlign w:val="center"/>
          </w:tcPr>
          <w:p w14:paraId="4A7E406D">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1" w:type="pct"/>
            <w:tcBorders>
              <w:tl2br w:val="nil"/>
              <w:tr2bl w:val="nil"/>
            </w:tcBorders>
            <w:vAlign w:val="center"/>
          </w:tcPr>
          <w:p w14:paraId="687A7E45">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05" w:type="pct"/>
            <w:tcBorders>
              <w:tl2br w:val="nil"/>
              <w:tr2bl w:val="nil"/>
            </w:tcBorders>
            <w:noWrap/>
            <w:vAlign w:val="center"/>
          </w:tcPr>
          <w:p w14:paraId="3E4B13C1">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459" w:type="pct"/>
            <w:tcBorders>
              <w:tl2br w:val="nil"/>
              <w:tr2bl w:val="nil"/>
            </w:tcBorders>
            <w:noWrap/>
            <w:vAlign w:val="center"/>
          </w:tcPr>
          <w:p w14:paraId="6141A229">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513" w:type="pct"/>
            <w:tcBorders>
              <w:tl2br w:val="nil"/>
              <w:tr2bl w:val="nil"/>
            </w:tcBorders>
            <w:noWrap/>
            <w:vAlign w:val="center"/>
          </w:tcPr>
          <w:p w14:paraId="2DF6F0F0">
            <w:pPr>
              <w:pStyle w:val="1561"/>
              <w:spacing w:line="240" w:lineRule="auto"/>
              <w:ind w:firstLine="0" w:firstLineChars="0"/>
              <w:jc w:val="center"/>
              <w:rPr>
                <w:rFonts w:ascii="Times New Roman" w:hAnsi="Times New Roman" w:cs="Times New Roman"/>
                <w:color w:val="auto"/>
                <w:spacing w:val="-1"/>
                <w:highlight w:val="none"/>
                <w:lang w:eastAsia="zh-CN"/>
              </w:rPr>
            </w:pPr>
          </w:p>
        </w:tc>
      </w:tr>
      <w:tr w14:paraId="13E978F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4" w:type="pct"/>
            <w:vMerge w:val="restart"/>
            <w:tcBorders>
              <w:tl2br w:val="nil"/>
              <w:tr2bl w:val="nil"/>
            </w:tcBorders>
            <w:vAlign w:val="center"/>
          </w:tcPr>
          <w:p w14:paraId="2DC31F2B">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3#</w:t>
            </w:r>
          </w:p>
        </w:tc>
        <w:tc>
          <w:tcPr>
            <w:tcW w:w="536" w:type="pct"/>
            <w:tcBorders>
              <w:tl2br w:val="nil"/>
              <w:tr2bl w:val="nil"/>
            </w:tcBorders>
            <w:vAlign w:val="center"/>
          </w:tcPr>
          <w:p w14:paraId="318F88C4">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鱼类</w:t>
            </w:r>
          </w:p>
        </w:tc>
        <w:tc>
          <w:tcPr>
            <w:tcW w:w="916" w:type="pct"/>
            <w:tcBorders>
              <w:tl2br w:val="nil"/>
              <w:tr2bl w:val="nil"/>
            </w:tcBorders>
            <w:vAlign w:val="center"/>
          </w:tcPr>
          <w:p w14:paraId="6A7EA05E">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白姑鱼</w:t>
            </w:r>
          </w:p>
        </w:tc>
        <w:tc>
          <w:tcPr>
            <w:tcW w:w="381" w:type="pct"/>
            <w:tcBorders>
              <w:tl2br w:val="nil"/>
              <w:tr2bl w:val="nil"/>
            </w:tcBorders>
            <w:noWrap/>
            <w:vAlign w:val="center"/>
          </w:tcPr>
          <w:p w14:paraId="16DB15D6">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1" w:type="pct"/>
            <w:tcBorders>
              <w:tl2br w:val="nil"/>
              <w:tr2bl w:val="nil"/>
            </w:tcBorders>
            <w:vAlign w:val="center"/>
          </w:tcPr>
          <w:p w14:paraId="6DE1647E">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3" w:type="pct"/>
            <w:tcBorders>
              <w:tl2br w:val="nil"/>
              <w:tr2bl w:val="nil"/>
            </w:tcBorders>
            <w:noWrap/>
            <w:vAlign w:val="center"/>
          </w:tcPr>
          <w:p w14:paraId="7AD926FD">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1" w:type="pct"/>
            <w:tcBorders>
              <w:tl2br w:val="nil"/>
              <w:tr2bl w:val="nil"/>
            </w:tcBorders>
            <w:noWrap/>
            <w:vAlign w:val="center"/>
          </w:tcPr>
          <w:p w14:paraId="77B9A36E">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1" w:type="pct"/>
            <w:tcBorders>
              <w:tl2br w:val="nil"/>
              <w:tr2bl w:val="nil"/>
            </w:tcBorders>
            <w:vAlign w:val="center"/>
          </w:tcPr>
          <w:p w14:paraId="27BFA5FA">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05" w:type="pct"/>
            <w:tcBorders>
              <w:tl2br w:val="nil"/>
              <w:tr2bl w:val="nil"/>
            </w:tcBorders>
            <w:noWrap/>
            <w:vAlign w:val="center"/>
          </w:tcPr>
          <w:p w14:paraId="7E4F3AC3">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459" w:type="pct"/>
            <w:tcBorders>
              <w:tl2br w:val="nil"/>
              <w:tr2bl w:val="nil"/>
            </w:tcBorders>
            <w:noWrap/>
            <w:vAlign w:val="center"/>
          </w:tcPr>
          <w:p w14:paraId="408E4DF7">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513" w:type="pct"/>
            <w:tcBorders>
              <w:tl2br w:val="nil"/>
              <w:tr2bl w:val="nil"/>
            </w:tcBorders>
            <w:noWrap/>
            <w:vAlign w:val="center"/>
          </w:tcPr>
          <w:p w14:paraId="2E51D1C7">
            <w:pPr>
              <w:pStyle w:val="1561"/>
              <w:spacing w:line="240" w:lineRule="auto"/>
              <w:ind w:firstLine="0" w:firstLineChars="0"/>
              <w:jc w:val="center"/>
              <w:rPr>
                <w:rFonts w:ascii="Times New Roman" w:hAnsi="Times New Roman" w:cs="Times New Roman"/>
                <w:color w:val="auto"/>
                <w:spacing w:val="-1"/>
                <w:highlight w:val="none"/>
                <w:lang w:eastAsia="zh-CN"/>
              </w:rPr>
            </w:pPr>
          </w:p>
        </w:tc>
      </w:tr>
      <w:tr w14:paraId="5DC2B02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4" w:type="pct"/>
            <w:vMerge w:val="continue"/>
            <w:tcBorders>
              <w:tl2br w:val="nil"/>
              <w:tr2bl w:val="nil"/>
            </w:tcBorders>
            <w:vAlign w:val="center"/>
          </w:tcPr>
          <w:p w14:paraId="7ED35680">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536" w:type="pct"/>
            <w:tcBorders>
              <w:tl2br w:val="nil"/>
              <w:tr2bl w:val="nil"/>
            </w:tcBorders>
            <w:vAlign w:val="center"/>
          </w:tcPr>
          <w:p w14:paraId="0CAA6F7A">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甲壳类</w:t>
            </w:r>
          </w:p>
        </w:tc>
        <w:tc>
          <w:tcPr>
            <w:tcW w:w="916" w:type="pct"/>
            <w:tcBorders>
              <w:tl2br w:val="nil"/>
              <w:tr2bl w:val="nil"/>
            </w:tcBorders>
            <w:vAlign w:val="center"/>
          </w:tcPr>
          <w:p w14:paraId="01836248">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刀额新对虾</w:t>
            </w:r>
          </w:p>
        </w:tc>
        <w:tc>
          <w:tcPr>
            <w:tcW w:w="381" w:type="pct"/>
            <w:tcBorders>
              <w:tl2br w:val="nil"/>
              <w:tr2bl w:val="nil"/>
            </w:tcBorders>
            <w:noWrap/>
            <w:vAlign w:val="center"/>
          </w:tcPr>
          <w:p w14:paraId="285E1829">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1" w:type="pct"/>
            <w:tcBorders>
              <w:tl2br w:val="nil"/>
              <w:tr2bl w:val="nil"/>
            </w:tcBorders>
            <w:vAlign w:val="center"/>
          </w:tcPr>
          <w:p w14:paraId="3CD1929F">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3" w:type="pct"/>
            <w:tcBorders>
              <w:tl2br w:val="nil"/>
              <w:tr2bl w:val="nil"/>
            </w:tcBorders>
            <w:noWrap/>
            <w:vAlign w:val="center"/>
          </w:tcPr>
          <w:p w14:paraId="4EF2A5CE">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1" w:type="pct"/>
            <w:tcBorders>
              <w:tl2br w:val="nil"/>
              <w:tr2bl w:val="nil"/>
            </w:tcBorders>
            <w:noWrap/>
            <w:vAlign w:val="center"/>
          </w:tcPr>
          <w:p w14:paraId="4DCFAF4B">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1" w:type="pct"/>
            <w:tcBorders>
              <w:tl2br w:val="nil"/>
              <w:tr2bl w:val="nil"/>
            </w:tcBorders>
            <w:vAlign w:val="center"/>
          </w:tcPr>
          <w:p w14:paraId="3384B9D2">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05" w:type="pct"/>
            <w:tcBorders>
              <w:tl2br w:val="nil"/>
              <w:tr2bl w:val="nil"/>
            </w:tcBorders>
            <w:noWrap/>
            <w:vAlign w:val="center"/>
          </w:tcPr>
          <w:p w14:paraId="05D98482">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459" w:type="pct"/>
            <w:tcBorders>
              <w:tl2br w:val="nil"/>
              <w:tr2bl w:val="nil"/>
            </w:tcBorders>
            <w:noWrap/>
            <w:vAlign w:val="center"/>
          </w:tcPr>
          <w:p w14:paraId="04BD3331">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513" w:type="pct"/>
            <w:tcBorders>
              <w:tl2br w:val="nil"/>
              <w:tr2bl w:val="nil"/>
            </w:tcBorders>
            <w:noWrap/>
            <w:vAlign w:val="center"/>
          </w:tcPr>
          <w:p w14:paraId="6961889C">
            <w:pPr>
              <w:pStyle w:val="1561"/>
              <w:spacing w:line="240" w:lineRule="auto"/>
              <w:ind w:firstLine="0" w:firstLineChars="0"/>
              <w:jc w:val="center"/>
              <w:rPr>
                <w:rFonts w:ascii="Times New Roman" w:hAnsi="Times New Roman" w:cs="Times New Roman"/>
                <w:color w:val="auto"/>
                <w:spacing w:val="-1"/>
                <w:highlight w:val="none"/>
                <w:lang w:eastAsia="zh-CN"/>
              </w:rPr>
            </w:pPr>
          </w:p>
        </w:tc>
      </w:tr>
      <w:tr w14:paraId="4575C9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4" w:type="pct"/>
            <w:vMerge w:val="continue"/>
            <w:tcBorders>
              <w:tl2br w:val="nil"/>
              <w:tr2bl w:val="nil"/>
            </w:tcBorders>
            <w:vAlign w:val="center"/>
          </w:tcPr>
          <w:p w14:paraId="10EC75BA">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536" w:type="pct"/>
            <w:tcBorders>
              <w:tl2br w:val="nil"/>
              <w:tr2bl w:val="nil"/>
            </w:tcBorders>
            <w:vAlign w:val="center"/>
          </w:tcPr>
          <w:p w14:paraId="5A6D24D4">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软体</w:t>
            </w:r>
          </w:p>
        </w:tc>
        <w:tc>
          <w:tcPr>
            <w:tcW w:w="916" w:type="pct"/>
            <w:tcBorders>
              <w:tl2br w:val="nil"/>
              <w:tr2bl w:val="nil"/>
            </w:tcBorders>
            <w:vAlign w:val="center"/>
          </w:tcPr>
          <w:p w14:paraId="282AC510">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中国枪乌贼</w:t>
            </w:r>
          </w:p>
        </w:tc>
        <w:tc>
          <w:tcPr>
            <w:tcW w:w="381" w:type="pct"/>
            <w:tcBorders>
              <w:tl2br w:val="nil"/>
              <w:tr2bl w:val="nil"/>
            </w:tcBorders>
            <w:noWrap/>
            <w:vAlign w:val="center"/>
          </w:tcPr>
          <w:p w14:paraId="0BD6CDCF">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1" w:type="pct"/>
            <w:tcBorders>
              <w:tl2br w:val="nil"/>
              <w:tr2bl w:val="nil"/>
            </w:tcBorders>
            <w:vAlign w:val="center"/>
          </w:tcPr>
          <w:p w14:paraId="4AA22D41">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3" w:type="pct"/>
            <w:tcBorders>
              <w:tl2br w:val="nil"/>
              <w:tr2bl w:val="nil"/>
            </w:tcBorders>
            <w:noWrap/>
            <w:vAlign w:val="center"/>
          </w:tcPr>
          <w:p w14:paraId="4AAEF326">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1" w:type="pct"/>
            <w:tcBorders>
              <w:tl2br w:val="nil"/>
              <w:tr2bl w:val="nil"/>
            </w:tcBorders>
            <w:noWrap/>
            <w:vAlign w:val="center"/>
          </w:tcPr>
          <w:p w14:paraId="34B2DF28">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81" w:type="pct"/>
            <w:tcBorders>
              <w:tl2br w:val="nil"/>
              <w:tr2bl w:val="nil"/>
            </w:tcBorders>
            <w:vAlign w:val="center"/>
          </w:tcPr>
          <w:p w14:paraId="4D27E004">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305" w:type="pct"/>
            <w:tcBorders>
              <w:tl2br w:val="nil"/>
              <w:tr2bl w:val="nil"/>
            </w:tcBorders>
            <w:noWrap/>
            <w:vAlign w:val="center"/>
          </w:tcPr>
          <w:p w14:paraId="0DC9D52B">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459" w:type="pct"/>
            <w:tcBorders>
              <w:tl2br w:val="nil"/>
              <w:tr2bl w:val="nil"/>
            </w:tcBorders>
            <w:noWrap/>
            <w:vAlign w:val="center"/>
          </w:tcPr>
          <w:p w14:paraId="130392B0">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513" w:type="pct"/>
            <w:tcBorders>
              <w:tl2br w:val="nil"/>
              <w:tr2bl w:val="nil"/>
            </w:tcBorders>
            <w:noWrap/>
            <w:vAlign w:val="center"/>
          </w:tcPr>
          <w:p w14:paraId="0B1F2908">
            <w:pPr>
              <w:pStyle w:val="1561"/>
              <w:spacing w:line="240" w:lineRule="auto"/>
              <w:ind w:firstLine="0" w:firstLineChars="0"/>
              <w:jc w:val="center"/>
              <w:rPr>
                <w:rFonts w:ascii="Times New Roman" w:hAnsi="Times New Roman" w:cs="Times New Roman"/>
                <w:color w:val="auto"/>
                <w:spacing w:val="-1"/>
                <w:highlight w:val="none"/>
                <w:lang w:eastAsia="zh-CN"/>
              </w:rPr>
            </w:pPr>
          </w:p>
        </w:tc>
      </w:tr>
      <w:bookmarkEnd w:id="149"/>
    </w:tbl>
    <w:p w14:paraId="52B20427">
      <w:pPr>
        <w:pStyle w:val="91"/>
        <w:ind w:left="0" w:leftChars="0" w:firstLine="0" w:firstLineChars="0"/>
        <w:rPr>
          <w:rFonts w:ascii="Times New Roman" w:hAnsi="Times New Roman" w:cs="Times New Roman"/>
          <w:b/>
          <w:bCs/>
          <w:color w:val="auto"/>
          <w:highlight w:val="none"/>
        </w:rPr>
      </w:pPr>
      <w:r>
        <w:rPr>
          <w:rFonts w:ascii="Times New Roman" w:hAnsi="Times New Roman" w:cs="Times New Roman"/>
          <w:b/>
          <w:bCs/>
          <w:color w:val="auto"/>
          <w:highlight w:val="none"/>
        </w:rPr>
        <w:t>注：低于检出限的，取检出限的1/2参加统计计算</w:t>
      </w:r>
    </w:p>
    <w:p w14:paraId="12562E1A">
      <w:pPr>
        <w:pStyle w:val="38"/>
        <w:spacing w:after="0" w:line="240" w:lineRule="auto"/>
        <w:ind w:firstLine="0" w:firstLineChars="0"/>
        <w:jc w:val="center"/>
        <w:rPr>
          <w:b/>
          <w:color w:val="auto"/>
          <w:sz w:val="21"/>
          <w:szCs w:val="21"/>
          <w:highlight w:val="none"/>
        </w:rPr>
      </w:pPr>
      <w:r>
        <w:rPr>
          <w:b/>
          <w:color w:val="auto"/>
          <w:sz w:val="21"/>
          <w:szCs w:val="21"/>
          <w:highlight w:val="none"/>
        </w:rPr>
        <w:t>表3.4-13生物质量标准指数值</w:t>
      </w:r>
    </w:p>
    <w:tbl>
      <w:tblPr>
        <w:tblStyle w:val="9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671"/>
        <w:gridCol w:w="995"/>
        <w:gridCol w:w="1701"/>
        <w:gridCol w:w="710"/>
        <w:gridCol w:w="710"/>
        <w:gridCol w:w="710"/>
        <w:gridCol w:w="708"/>
        <w:gridCol w:w="708"/>
        <w:gridCol w:w="708"/>
        <w:gridCol w:w="708"/>
        <w:gridCol w:w="957"/>
      </w:tblGrid>
      <w:tr w14:paraId="1040A3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62" w:type="pct"/>
            <w:tcBorders>
              <w:tl2br w:val="nil"/>
              <w:tr2bl w:val="nil"/>
            </w:tcBorders>
            <w:vAlign w:val="center"/>
          </w:tcPr>
          <w:p w14:paraId="0F335E6F">
            <w:pPr>
              <w:pStyle w:val="1561"/>
              <w:spacing w:line="240" w:lineRule="auto"/>
              <w:ind w:firstLine="0" w:firstLineChars="0"/>
              <w:jc w:val="center"/>
              <w:rPr>
                <w:rFonts w:ascii="Times New Roman" w:hAnsi="Times New Roman" w:cs="Times New Roman"/>
                <w:b/>
                <w:bCs/>
                <w:color w:val="auto"/>
                <w:spacing w:val="-1"/>
                <w:highlight w:val="none"/>
                <w:lang w:eastAsia="zh-CN"/>
              </w:rPr>
            </w:pPr>
            <w:r>
              <w:rPr>
                <w:rFonts w:ascii="Times New Roman" w:hAnsi="Times New Roman" w:cs="Times New Roman"/>
                <w:b/>
                <w:bCs/>
                <w:color w:val="auto"/>
                <w:spacing w:val="-1"/>
                <w:highlight w:val="none"/>
                <w:lang w:eastAsia="zh-CN"/>
              </w:rPr>
              <w:t>站位</w:t>
            </w:r>
          </w:p>
        </w:tc>
        <w:tc>
          <w:tcPr>
            <w:tcW w:w="536" w:type="pct"/>
            <w:tcBorders>
              <w:tl2br w:val="nil"/>
              <w:tr2bl w:val="nil"/>
            </w:tcBorders>
            <w:vAlign w:val="center"/>
          </w:tcPr>
          <w:p w14:paraId="40BA8AA3">
            <w:pPr>
              <w:pStyle w:val="1561"/>
              <w:spacing w:line="240" w:lineRule="auto"/>
              <w:ind w:firstLine="0" w:firstLineChars="0"/>
              <w:jc w:val="center"/>
              <w:rPr>
                <w:rFonts w:ascii="Times New Roman" w:hAnsi="Times New Roman" w:cs="Times New Roman"/>
                <w:b/>
                <w:bCs/>
                <w:color w:val="auto"/>
                <w:spacing w:val="-1"/>
                <w:highlight w:val="none"/>
                <w:lang w:eastAsia="zh-CN"/>
              </w:rPr>
            </w:pPr>
            <w:r>
              <w:rPr>
                <w:rFonts w:ascii="Times New Roman" w:hAnsi="Times New Roman" w:cs="Times New Roman"/>
                <w:b/>
                <w:bCs/>
                <w:color w:val="auto"/>
                <w:spacing w:val="-1"/>
                <w:highlight w:val="none"/>
                <w:lang w:eastAsia="zh-CN"/>
              </w:rPr>
              <w:t>种类</w:t>
            </w:r>
          </w:p>
        </w:tc>
        <w:tc>
          <w:tcPr>
            <w:tcW w:w="916" w:type="pct"/>
            <w:tcBorders>
              <w:tl2br w:val="nil"/>
              <w:tr2bl w:val="nil"/>
            </w:tcBorders>
            <w:vAlign w:val="center"/>
          </w:tcPr>
          <w:p w14:paraId="4F655F8A">
            <w:pPr>
              <w:pStyle w:val="1561"/>
              <w:spacing w:line="240" w:lineRule="auto"/>
              <w:ind w:firstLine="0" w:firstLineChars="0"/>
              <w:jc w:val="center"/>
              <w:rPr>
                <w:rFonts w:ascii="Times New Roman" w:hAnsi="Times New Roman" w:cs="Times New Roman"/>
                <w:b/>
                <w:bCs/>
                <w:color w:val="auto"/>
                <w:spacing w:val="-1"/>
                <w:highlight w:val="none"/>
                <w:lang w:eastAsia="zh-CN"/>
              </w:rPr>
            </w:pPr>
            <w:r>
              <w:rPr>
                <w:rFonts w:ascii="Times New Roman" w:hAnsi="Times New Roman" w:cs="Times New Roman"/>
                <w:b/>
                <w:bCs/>
                <w:color w:val="auto"/>
                <w:spacing w:val="-1"/>
                <w:highlight w:val="none"/>
                <w:lang w:eastAsia="zh-CN"/>
              </w:rPr>
              <w:t>生物种中文学名</w:t>
            </w:r>
          </w:p>
        </w:tc>
        <w:tc>
          <w:tcPr>
            <w:tcW w:w="382" w:type="pct"/>
            <w:tcBorders>
              <w:tl2br w:val="nil"/>
              <w:tr2bl w:val="nil"/>
            </w:tcBorders>
            <w:vAlign w:val="center"/>
          </w:tcPr>
          <w:p w14:paraId="7F0F002E">
            <w:pPr>
              <w:pStyle w:val="1561"/>
              <w:spacing w:line="240" w:lineRule="auto"/>
              <w:ind w:firstLine="0" w:firstLineChars="0"/>
              <w:jc w:val="center"/>
              <w:rPr>
                <w:rFonts w:ascii="Times New Roman" w:hAnsi="Times New Roman" w:cs="Times New Roman"/>
                <w:b/>
                <w:bCs/>
                <w:color w:val="auto"/>
                <w:spacing w:val="-1"/>
                <w:highlight w:val="none"/>
                <w:lang w:eastAsia="zh-CN"/>
              </w:rPr>
            </w:pPr>
            <w:r>
              <w:rPr>
                <w:rFonts w:ascii="Times New Roman" w:hAnsi="Times New Roman" w:cs="Times New Roman"/>
                <w:b/>
                <w:bCs/>
                <w:color w:val="auto"/>
                <w:spacing w:val="-1"/>
                <w:highlight w:val="none"/>
                <w:lang w:eastAsia="zh-CN"/>
              </w:rPr>
              <w:t>铜</w:t>
            </w:r>
          </w:p>
        </w:tc>
        <w:tc>
          <w:tcPr>
            <w:tcW w:w="382" w:type="pct"/>
            <w:tcBorders>
              <w:tl2br w:val="nil"/>
              <w:tr2bl w:val="nil"/>
            </w:tcBorders>
            <w:vAlign w:val="center"/>
          </w:tcPr>
          <w:p w14:paraId="7D86D6C0">
            <w:pPr>
              <w:pStyle w:val="1561"/>
              <w:spacing w:line="240" w:lineRule="auto"/>
              <w:ind w:firstLine="0" w:firstLineChars="0"/>
              <w:jc w:val="center"/>
              <w:rPr>
                <w:rFonts w:ascii="Times New Roman" w:hAnsi="Times New Roman" w:cs="Times New Roman"/>
                <w:b/>
                <w:bCs/>
                <w:color w:val="auto"/>
                <w:spacing w:val="-1"/>
                <w:highlight w:val="none"/>
                <w:lang w:eastAsia="zh-CN"/>
              </w:rPr>
            </w:pPr>
            <w:r>
              <w:rPr>
                <w:rFonts w:ascii="Times New Roman" w:hAnsi="Times New Roman" w:cs="Times New Roman"/>
                <w:b/>
                <w:bCs/>
                <w:color w:val="auto"/>
                <w:spacing w:val="-1"/>
                <w:highlight w:val="none"/>
                <w:lang w:eastAsia="zh-CN"/>
              </w:rPr>
              <w:t>铅</w:t>
            </w:r>
          </w:p>
        </w:tc>
        <w:tc>
          <w:tcPr>
            <w:tcW w:w="382" w:type="pct"/>
            <w:tcBorders>
              <w:tl2br w:val="nil"/>
              <w:tr2bl w:val="nil"/>
            </w:tcBorders>
            <w:vAlign w:val="center"/>
          </w:tcPr>
          <w:p w14:paraId="38E96F46">
            <w:pPr>
              <w:pStyle w:val="1561"/>
              <w:spacing w:line="240" w:lineRule="auto"/>
              <w:ind w:firstLine="0" w:firstLineChars="0"/>
              <w:jc w:val="center"/>
              <w:rPr>
                <w:rFonts w:ascii="Times New Roman" w:hAnsi="Times New Roman" w:cs="Times New Roman"/>
                <w:b/>
                <w:bCs/>
                <w:color w:val="auto"/>
                <w:spacing w:val="-1"/>
                <w:highlight w:val="none"/>
                <w:lang w:eastAsia="zh-CN"/>
              </w:rPr>
            </w:pPr>
            <w:r>
              <w:rPr>
                <w:rFonts w:ascii="Times New Roman" w:hAnsi="Times New Roman" w:cs="Times New Roman"/>
                <w:b/>
                <w:bCs/>
                <w:color w:val="auto"/>
                <w:spacing w:val="-1"/>
                <w:highlight w:val="none"/>
                <w:lang w:eastAsia="zh-CN"/>
              </w:rPr>
              <w:t>锌</w:t>
            </w:r>
          </w:p>
        </w:tc>
        <w:tc>
          <w:tcPr>
            <w:tcW w:w="381" w:type="pct"/>
            <w:tcBorders>
              <w:tl2br w:val="nil"/>
              <w:tr2bl w:val="nil"/>
            </w:tcBorders>
            <w:vAlign w:val="center"/>
          </w:tcPr>
          <w:p w14:paraId="6E5E9D14">
            <w:pPr>
              <w:pStyle w:val="1561"/>
              <w:spacing w:line="240" w:lineRule="auto"/>
              <w:ind w:firstLine="0" w:firstLineChars="0"/>
              <w:jc w:val="center"/>
              <w:rPr>
                <w:rFonts w:ascii="Times New Roman" w:hAnsi="Times New Roman" w:cs="Times New Roman"/>
                <w:b/>
                <w:bCs/>
                <w:color w:val="auto"/>
                <w:spacing w:val="-1"/>
                <w:highlight w:val="none"/>
                <w:lang w:eastAsia="zh-CN"/>
              </w:rPr>
            </w:pPr>
            <w:r>
              <w:rPr>
                <w:rFonts w:ascii="Times New Roman" w:hAnsi="Times New Roman" w:cs="Times New Roman"/>
                <w:b/>
                <w:bCs/>
                <w:color w:val="auto"/>
                <w:spacing w:val="-1"/>
                <w:highlight w:val="none"/>
                <w:lang w:eastAsia="zh-CN"/>
              </w:rPr>
              <w:t>铬</w:t>
            </w:r>
          </w:p>
        </w:tc>
        <w:tc>
          <w:tcPr>
            <w:tcW w:w="381" w:type="pct"/>
            <w:tcBorders>
              <w:tl2br w:val="nil"/>
              <w:tr2bl w:val="nil"/>
            </w:tcBorders>
            <w:vAlign w:val="center"/>
          </w:tcPr>
          <w:p w14:paraId="3EBD0180">
            <w:pPr>
              <w:pStyle w:val="1561"/>
              <w:spacing w:line="240" w:lineRule="auto"/>
              <w:ind w:firstLine="0" w:firstLineChars="0"/>
              <w:jc w:val="center"/>
              <w:rPr>
                <w:rFonts w:ascii="Times New Roman" w:hAnsi="Times New Roman" w:cs="Times New Roman"/>
                <w:b/>
                <w:bCs/>
                <w:color w:val="auto"/>
                <w:spacing w:val="-1"/>
                <w:highlight w:val="none"/>
                <w:lang w:eastAsia="zh-CN"/>
              </w:rPr>
            </w:pPr>
            <w:r>
              <w:rPr>
                <w:rFonts w:ascii="Times New Roman" w:hAnsi="Times New Roman" w:cs="Times New Roman"/>
                <w:b/>
                <w:bCs/>
                <w:color w:val="auto"/>
                <w:spacing w:val="-1"/>
                <w:highlight w:val="none"/>
                <w:lang w:eastAsia="zh-CN"/>
              </w:rPr>
              <w:t>镉</w:t>
            </w:r>
          </w:p>
        </w:tc>
        <w:tc>
          <w:tcPr>
            <w:tcW w:w="381" w:type="pct"/>
            <w:tcBorders>
              <w:tl2br w:val="nil"/>
              <w:tr2bl w:val="nil"/>
            </w:tcBorders>
            <w:vAlign w:val="center"/>
          </w:tcPr>
          <w:p w14:paraId="73EF6171">
            <w:pPr>
              <w:pStyle w:val="1561"/>
              <w:spacing w:line="240" w:lineRule="auto"/>
              <w:ind w:firstLine="0" w:firstLineChars="0"/>
              <w:jc w:val="center"/>
              <w:rPr>
                <w:rFonts w:ascii="Times New Roman" w:hAnsi="Times New Roman" w:cs="Times New Roman"/>
                <w:b/>
                <w:bCs/>
                <w:color w:val="auto"/>
                <w:spacing w:val="-1"/>
                <w:highlight w:val="none"/>
                <w:lang w:eastAsia="zh-CN"/>
              </w:rPr>
            </w:pPr>
            <w:r>
              <w:rPr>
                <w:rFonts w:ascii="Times New Roman" w:hAnsi="Times New Roman" w:cs="Times New Roman"/>
                <w:b/>
                <w:bCs/>
                <w:color w:val="auto"/>
                <w:spacing w:val="-1"/>
                <w:highlight w:val="none"/>
                <w:lang w:eastAsia="zh-CN"/>
              </w:rPr>
              <w:t>砷</w:t>
            </w:r>
          </w:p>
        </w:tc>
        <w:tc>
          <w:tcPr>
            <w:tcW w:w="381" w:type="pct"/>
            <w:tcBorders>
              <w:tl2br w:val="nil"/>
              <w:tr2bl w:val="nil"/>
            </w:tcBorders>
            <w:vAlign w:val="center"/>
          </w:tcPr>
          <w:p w14:paraId="417A1301">
            <w:pPr>
              <w:pStyle w:val="1561"/>
              <w:spacing w:line="240" w:lineRule="auto"/>
              <w:ind w:firstLine="0" w:firstLineChars="0"/>
              <w:jc w:val="center"/>
              <w:rPr>
                <w:rFonts w:ascii="Times New Roman" w:hAnsi="Times New Roman" w:cs="Times New Roman"/>
                <w:b/>
                <w:bCs/>
                <w:color w:val="auto"/>
                <w:spacing w:val="-1"/>
                <w:highlight w:val="none"/>
                <w:lang w:eastAsia="zh-CN"/>
              </w:rPr>
            </w:pPr>
            <w:r>
              <w:rPr>
                <w:rFonts w:ascii="Times New Roman" w:hAnsi="Times New Roman" w:cs="Times New Roman"/>
                <w:b/>
                <w:bCs/>
                <w:color w:val="auto"/>
                <w:spacing w:val="-1"/>
                <w:highlight w:val="none"/>
                <w:lang w:eastAsia="zh-CN"/>
              </w:rPr>
              <w:t>总汞</w:t>
            </w:r>
          </w:p>
        </w:tc>
        <w:tc>
          <w:tcPr>
            <w:tcW w:w="515" w:type="pct"/>
            <w:tcBorders>
              <w:tl2br w:val="nil"/>
              <w:tr2bl w:val="nil"/>
            </w:tcBorders>
            <w:vAlign w:val="center"/>
          </w:tcPr>
          <w:p w14:paraId="0337D706">
            <w:pPr>
              <w:pStyle w:val="1561"/>
              <w:spacing w:line="240" w:lineRule="auto"/>
              <w:ind w:firstLine="0" w:firstLineChars="0"/>
              <w:jc w:val="center"/>
              <w:rPr>
                <w:rFonts w:ascii="Times New Roman" w:hAnsi="Times New Roman" w:cs="Times New Roman"/>
                <w:b/>
                <w:bCs/>
                <w:color w:val="auto"/>
                <w:spacing w:val="-1"/>
                <w:highlight w:val="none"/>
                <w:lang w:eastAsia="zh-CN"/>
              </w:rPr>
            </w:pPr>
            <w:r>
              <w:rPr>
                <w:rFonts w:ascii="Times New Roman" w:hAnsi="Times New Roman" w:cs="Times New Roman"/>
                <w:b/>
                <w:bCs/>
                <w:color w:val="auto"/>
                <w:spacing w:val="-1"/>
                <w:highlight w:val="none"/>
                <w:lang w:eastAsia="zh-CN"/>
              </w:rPr>
              <w:t>石油烃</w:t>
            </w:r>
          </w:p>
        </w:tc>
      </w:tr>
      <w:tr w14:paraId="4FA3BB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62" w:type="pct"/>
            <w:vMerge w:val="restart"/>
            <w:tcBorders>
              <w:tl2br w:val="nil"/>
              <w:tr2bl w:val="nil"/>
            </w:tcBorders>
            <w:vAlign w:val="center"/>
          </w:tcPr>
          <w:p w14:paraId="1ACD2053">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1#</w:t>
            </w:r>
          </w:p>
        </w:tc>
        <w:tc>
          <w:tcPr>
            <w:tcW w:w="536" w:type="pct"/>
            <w:vMerge w:val="restart"/>
            <w:tcBorders>
              <w:tl2br w:val="nil"/>
              <w:tr2bl w:val="nil"/>
            </w:tcBorders>
            <w:vAlign w:val="center"/>
          </w:tcPr>
          <w:p w14:paraId="4A5DCAD2">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鱼类</w:t>
            </w:r>
          </w:p>
        </w:tc>
        <w:tc>
          <w:tcPr>
            <w:tcW w:w="916" w:type="pct"/>
            <w:tcBorders>
              <w:tl2br w:val="nil"/>
              <w:tr2bl w:val="nil"/>
            </w:tcBorders>
            <w:vAlign w:val="center"/>
          </w:tcPr>
          <w:p w14:paraId="0B3ABCC0">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金钱鱼</w:t>
            </w:r>
          </w:p>
        </w:tc>
        <w:tc>
          <w:tcPr>
            <w:tcW w:w="382" w:type="pct"/>
            <w:tcBorders>
              <w:tl2br w:val="nil"/>
              <w:tr2bl w:val="nil"/>
            </w:tcBorders>
            <w:noWrap/>
            <w:vAlign w:val="center"/>
          </w:tcPr>
          <w:p w14:paraId="6767B8C9">
            <w:pPr>
              <w:widowControl/>
              <w:topLinePunct w:val="0"/>
              <w:adjustRightInd/>
              <w:snapToGrid/>
              <w:spacing w:line="240" w:lineRule="auto"/>
              <w:ind w:firstLine="0" w:firstLineChars="0"/>
              <w:jc w:val="center"/>
              <w:rPr>
                <w:color w:val="auto"/>
                <w:spacing w:val="-1"/>
                <w:sz w:val="21"/>
                <w:szCs w:val="21"/>
                <w:highlight w:val="none"/>
              </w:rPr>
            </w:pPr>
          </w:p>
        </w:tc>
        <w:tc>
          <w:tcPr>
            <w:tcW w:w="382" w:type="pct"/>
            <w:tcBorders>
              <w:tl2br w:val="nil"/>
              <w:tr2bl w:val="nil"/>
            </w:tcBorders>
            <w:vAlign w:val="center"/>
          </w:tcPr>
          <w:p w14:paraId="1128E937">
            <w:pPr>
              <w:spacing w:line="240" w:lineRule="auto"/>
              <w:ind w:firstLine="0" w:firstLineChars="0"/>
              <w:jc w:val="center"/>
              <w:rPr>
                <w:color w:val="auto"/>
                <w:spacing w:val="-1"/>
                <w:sz w:val="21"/>
                <w:szCs w:val="21"/>
                <w:highlight w:val="none"/>
              </w:rPr>
            </w:pPr>
          </w:p>
        </w:tc>
        <w:tc>
          <w:tcPr>
            <w:tcW w:w="382" w:type="pct"/>
            <w:tcBorders>
              <w:tl2br w:val="nil"/>
              <w:tr2bl w:val="nil"/>
            </w:tcBorders>
            <w:noWrap/>
            <w:vAlign w:val="center"/>
          </w:tcPr>
          <w:p w14:paraId="69878F90">
            <w:pPr>
              <w:spacing w:line="240" w:lineRule="auto"/>
              <w:ind w:firstLine="0" w:firstLineChars="0"/>
              <w:jc w:val="center"/>
              <w:rPr>
                <w:color w:val="auto"/>
                <w:spacing w:val="-1"/>
                <w:sz w:val="21"/>
                <w:szCs w:val="21"/>
                <w:highlight w:val="none"/>
              </w:rPr>
            </w:pPr>
          </w:p>
        </w:tc>
        <w:tc>
          <w:tcPr>
            <w:tcW w:w="381" w:type="pct"/>
            <w:tcBorders>
              <w:tl2br w:val="nil"/>
              <w:tr2bl w:val="nil"/>
            </w:tcBorders>
            <w:noWrap/>
            <w:vAlign w:val="center"/>
          </w:tcPr>
          <w:p w14:paraId="109B6414">
            <w:pPr>
              <w:spacing w:line="240" w:lineRule="auto"/>
              <w:ind w:firstLine="0" w:firstLineChars="0"/>
              <w:jc w:val="center"/>
              <w:rPr>
                <w:color w:val="auto"/>
                <w:spacing w:val="-1"/>
                <w:sz w:val="21"/>
                <w:szCs w:val="21"/>
                <w:highlight w:val="none"/>
              </w:rPr>
            </w:pPr>
          </w:p>
        </w:tc>
        <w:tc>
          <w:tcPr>
            <w:tcW w:w="381" w:type="pct"/>
            <w:tcBorders>
              <w:tl2br w:val="nil"/>
              <w:tr2bl w:val="nil"/>
            </w:tcBorders>
            <w:vAlign w:val="center"/>
          </w:tcPr>
          <w:p w14:paraId="345B01CC">
            <w:pPr>
              <w:spacing w:line="240" w:lineRule="auto"/>
              <w:ind w:firstLine="0" w:firstLineChars="0"/>
              <w:jc w:val="center"/>
              <w:rPr>
                <w:color w:val="auto"/>
                <w:spacing w:val="-1"/>
                <w:sz w:val="21"/>
                <w:szCs w:val="21"/>
                <w:highlight w:val="none"/>
              </w:rPr>
            </w:pPr>
          </w:p>
        </w:tc>
        <w:tc>
          <w:tcPr>
            <w:tcW w:w="381" w:type="pct"/>
            <w:tcBorders>
              <w:tl2br w:val="nil"/>
              <w:tr2bl w:val="nil"/>
            </w:tcBorders>
            <w:noWrap/>
            <w:vAlign w:val="center"/>
          </w:tcPr>
          <w:p w14:paraId="2260C13C">
            <w:pPr>
              <w:spacing w:line="240" w:lineRule="auto"/>
              <w:ind w:firstLine="0" w:firstLineChars="0"/>
              <w:jc w:val="center"/>
              <w:rPr>
                <w:color w:val="auto"/>
                <w:spacing w:val="-1"/>
                <w:sz w:val="21"/>
                <w:szCs w:val="21"/>
                <w:highlight w:val="none"/>
              </w:rPr>
            </w:pPr>
          </w:p>
        </w:tc>
        <w:tc>
          <w:tcPr>
            <w:tcW w:w="381" w:type="pct"/>
            <w:tcBorders>
              <w:tl2br w:val="nil"/>
              <w:tr2bl w:val="nil"/>
            </w:tcBorders>
            <w:noWrap/>
            <w:vAlign w:val="center"/>
          </w:tcPr>
          <w:p w14:paraId="74E1D144">
            <w:pPr>
              <w:spacing w:line="240" w:lineRule="auto"/>
              <w:ind w:firstLine="0" w:firstLineChars="0"/>
              <w:jc w:val="center"/>
              <w:rPr>
                <w:color w:val="auto"/>
                <w:spacing w:val="-1"/>
                <w:sz w:val="21"/>
                <w:szCs w:val="21"/>
                <w:highlight w:val="none"/>
              </w:rPr>
            </w:pPr>
          </w:p>
        </w:tc>
        <w:tc>
          <w:tcPr>
            <w:tcW w:w="515" w:type="pct"/>
            <w:tcBorders>
              <w:tl2br w:val="nil"/>
              <w:tr2bl w:val="nil"/>
            </w:tcBorders>
            <w:noWrap/>
            <w:vAlign w:val="center"/>
          </w:tcPr>
          <w:p w14:paraId="16261FEE">
            <w:pPr>
              <w:spacing w:line="240" w:lineRule="auto"/>
              <w:ind w:firstLine="0" w:firstLineChars="0"/>
              <w:jc w:val="center"/>
              <w:rPr>
                <w:color w:val="auto"/>
                <w:spacing w:val="-1"/>
                <w:sz w:val="21"/>
                <w:szCs w:val="21"/>
                <w:highlight w:val="none"/>
              </w:rPr>
            </w:pPr>
          </w:p>
        </w:tc>
      </w:tr>
      <w:tr w14:paraId="7B9350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62" w:type="pct"/>
            <w:vMerge w:val="continue"/>
            <w:tcBorders>
              <w:tl2br w:val="nil"/>
              <w:tr2bl w:val="nil"/>
            </w:tcBorders>
            <w:vAlign w:val="center"/>
          </w:tcPr>
          <w:p w14:paraId="57613AD1">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536" w:type="pct"/>
            <w:vMerge w:val="continue"/>
            <w:tcBorders>
              <w:tl2br w:val="nil"/>
              <w:tr2bl w:val="nil"/>
            </w:tcBorders>
            <w:vAlign w:val="center"/>
          </w:tcPr>
          <w:p w14:paraId="481A5A63">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916" w:type="pct"/>
            <w:tcBorders>
              <w:tl2br w:val="nil"/>
              <w:tr2bl w:val="nil"/>
            </w:tcBorders>
            <w:vAlign w:val="center"/>
          </w:tcPr>
          <w:p w14:paraId="360A6879">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灰鳍棘鲷</w:t>
            </w:r>
          </w:p>
        </w:tc>
        <w:tc>
          <w:tcPr>
            <w:tcW w:w="382" w:type="pct"/>
            <w:tcBorders>
              <w:tl2br w:val="nil"/>
              <w:tr2bl w:val="nil"/>
            </w:tcBorders>
            <w:noWrap/>
            <w:vAlign w:val="center"/>
          </w:tcPr>
          <w:p w14:paraId="4856C1FF">
            <w:pPr>
              <w:spacing w:line="240" w:lineRule="auto"/>
              <w:ind w:firstLine="0" w:firstLineChars="0"/>
              <w:jc w:val="center"/>
              <w:rPr>
                <w:color w:val="auto"/>
                <w:spacing w:val="-1"/>
                <w:sz w:val="21"/>
                <w:szCs w:val="21"/>
                <w:highlight w:val="none"/>
              </w:rPr>
            </w:pPr>
          </w:p>
        </w:tc>
        <w:tc>
          <w:tcPr>
            <w:tcW w:w="382" w:type="pct"/>
            <w:tcBorders>
              <w:tl2br w:val="nil"/>
              <w:tr2bl w:val="nil"/>
            </w:tcBorders>
            <w:vAlign w:val="center"/>
          </w:tcPr>
          <w:p w14:paraId="435D3DE3">
            <w:pPr>
              <w:spacing w:line="240" w:lineRule="auto"/>
              <w:ind w:firstLine="0" w:firstLineChars="0"/>
              <w:jc w:val="center"/>
              <w:rPr>
                <w:color w:val="auto"/>
                <w:spacing w:val="-1"/>
                <w:sz w:val="21"/>
                <w:szCs w:val="21"/>
                <w:highlight w:val="none"/>
              </w:rPr>
            </w:pPr>
          </w:p>
        </w:tc>
        <w:tc>
          <w:tcPr>
            <w:tcW w:w="382" w:type="pct"/>
            <w:tcBorders>
              <w:tl2br w:val="nil"/>
              <w:tr2bl w:val="nil"/>
            </w:tcBorders>
            <w:noWrap/>
            <w:vAlign w:val="center"/>
          </w:tcPr>
          <w:p w14:paraId="6B1BF6AB">
            <w:pPr>
              <w:spacing w:line="240" w:lineRule="auto"/>
              <w:ind w:firstLine="0" w:firstLineChars="0"/>
              <w:jc w:val="center"/>
              <w:rPr>
                <w:color w:val="auto"/>
                <w:spacing w:val="-1"/>
                <w:sz w:val="21"/>
                <w:szCs w:val="21"/>
                <w:highlight w:val="none"/>
              </w:rPr>
            </w:pPr>
          </w:p>
        </w:tc>
        <w:tc>
          <w:tcPr>
            <w:tcW w:w="381" w:type="pct"/>
            <w:tcBorders>
              <w:tl2br w:val="nil"/>
              <w:tr2bl w:val="nil"/>
            </w:tcBorders>
            <w:noWrap/>
            <w:vAlign w:val="center"/>
          </w:tcPr>
          <w:p w14:paraId="2AD2E9B8">
            <w:pPr>
              <w:spacing w:line="240" w:lineRule="auto"/>
              <w:ind w:firstLine="0" w:firstLineChars="0"/>
              <w:jc w:val="center"/>
              <w:rPr>
                <w:color w:val="auto"/>
                <w:spacing w:val="-1"/>
                <w:sz w:val="21"/>
                <w:szCs w:val="21"/>
                <w:highlight w:val="none"/>
              </w:rPr>
            </w:pPr>
          </w:p>
        </w:tc>
        <w:tc>
          <w:tcPr>
            <w:tcW w:w="381" w:type="pct"/>
            <w:tcBorders>
              <w:tl2br w:val="nil"/>
              <w:tr2bl w:val="nil"/>
            </w:tcBorders>
            <w:vAlign w:val="center"/>
          </w:tcPr>
          <w:p w14:paraId="785D0B63">
            <w:pPr>
              <w:spacing w:line="240" w:lineRule="auto"/>
              <w:ind w:firstLine="0" w:firstLineChars="0"/>
              <w:jc w:val="center"/>
              <w:rPr>
                <w:color w:val="auto"/>
                <w:spacing w:val="-1"/>
                <w:sz w:val="21"/>
                <w:szCs w:val="21"/>
                <w:highlight w:val="none"/>
              </w:rPr>
            </w:pPr>
          </w:p>
        </w:tc>
        <w:tc>
          <w:tcPr>
            <w:tcW w:w="381" w:type="pct"/>
            <w:tcBorders>
              <w:tl2br w:val="nil"/>
              <w:tr2bl w:val="nil"/>
            </w:tcBorders>
            <w:noWrap/>
            <w:vAlign w:val="center"/>
          </w:tcPr>
          <w:p w14:paraId="248AC31D">
            <w:pPr>
              <w:spacing w:line="240" w:lineRule="auto"/>
              <w:ind w:firstLine="0" w:firstLineChars="0"/>
              <w:jc w:val="center"/>
              <w:rPr>
                <w:color w:val="auto"/>
                <w:spacing w:val="-1"/>
                <w:sz w:val="21"/>
                <w:szCs w:val="21"/>
                <w:highlight w:val="none"/>
              </w:rPr>
            </w:pPr>
          </w:p>
        </w:tc>
        <w:tc>
          <w:tcPr>
            <w:tcW w:w="381" w:type="pct"/>
            <w:tcBorders>
              <w:tl2br w:val="nil"/>
              <w:tr2bl w:val="nil"/>
            </w:tcBorders>
            <w:noWrap/>
            <w:vAlign w:val="center"/>
          </w:tcPr>
          <w:p w14:paraId="7A6BE39B">
            <w:pPr>
              <w:spacing w:line="240" w:lineRule="auto"/>
              <w:ind w:firstLine="0" w:firstLineChars="0"/>
              <w:jc w:val="center"/>
              <w:rPr>
                <w:color w:val="auto"/>
                <w:spacing w:val="-1"/>
                <w:sz w:val="21"/>
                <w:szCs w:val="21"/>
                <w:highlight w:val="none"/>
              </w:rPr>
            </w:pPr>
          </w:p>
        </w:tc>
        <w:tc>
          <w:tcPr>
            <w:tcW w:w="515" w:type="pct"/>
            <w:tcBorders>
              <w:tl2br w:val="nil"/>
              <w:tr2bl w:val="nil"/>
            </w:tcBorders>
            <w:noWrap/>
            <w:vAlign w:val="center"/>
          </w:tcPr>
          <w:p w14:paraId="1807BABB">
            <w:pPr>
              <w:spacing w:line="240" w:lineRule="auto"/>
              <w:ind w:firstLine="0" w:firstLineChars="0"/>
              <w:jc w:val="center"/>
              <w:rPr>
                <w:color w:val="auto"/>
                <w:spacing w:val="-1"/>
                <w:sz w:val="21"/>
                <w:szCs w:val="21"/>
                <w:highlight w:val="none"/>
              </w:rPr>
            </w:pPr>
          </w:p>
        </w:tc>
      </w:tr>
      <w:tr w14:paraId="65DA2D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62" w:type="pct"/>
            <w:vMerge w:val="continue"/>
            <w:tcBorders>
              <w:tl2br w:val="nil"/>
              <w:tr2bl w:val="nil"/>
            </w:tcBorders>
            <w:vAlign w:val="center"/>
          </w:tcPr>
          <w:p w14:paraId="5D844405">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536" w:type="pct"/>
            <w:vMerge w:val="continue"/>
            <w:tcBorders>
              <w:tl2br w:val="nil"/>
              <w:tr2bl w:val="nil"/>
            </w:tcBorders>
            <w:vAlign w:val="center"/>
          </w:tcPr>
          <w:p w14:paraId="36326808">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916" w:type="pct"/>
            <w:tcBorders>
              <w:tl2br w:val="nil"/>
              <w:tr2bl w:val="nil"/>
            </w:tcBorders>
            <w:vAlign w:val="center"/>
          </w:tcPr>
          <w:p w14:paraId="46CDCA2E">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短吻鲾</w:t>
            </w:r>
          </w:p>
        </w:tc>
        <w:tc>
          <w:tcPr>
            <w:tcW w:w="382" w:type="pct"/>
            <w:tcBorders>
              <w:tl2br w:val="nil"/>
              <w:tr2bl w:val="nil"/>
            </w:tcBorders>
            <w:noWrap/>
            <w:vAlign w:val="center"/>
          </w:tcPr>
          <w:p w14:paraId="5FD2274B">
            <w:pPr>
              <w:spacing w:line="240" w:lineRule="auto"/>
              <w:ind w:firstLine="0" w:firstLineChars="0"/>
              <w:jc w:val="center"/>
              <w:rPr>
                <w:color w:val="auto"/>
                <w:spacing w:val="-1"/>
                <w:sz w:val="21"/>
                <w:szCs w:val="21"/>
                <w:highlight w:val="none"/>
              </w:rPr>
            </w:pPr>
          </w:p>
        </w:tc>
        <w:tc>
          <w:tcPr>
            <w:tcW w:w="382" w:type="pct"/>
            <w:tcBorders>
              <w:tl2br w:val="nil"/>
              <w:tr2bl w:val="nil"/>
            </w:tcBorders>
            <w:vAlign w:val="center"/>
          </w:tcPr>
          <w:p w14:paraId="1C3A4742">
            <w:pPr>
              <w:spacing w:line="240" w:lineRule="auto"/>
              <w:ind w:firstLine="0" w:firstLineChars="0"/>
              <w:jc w:val="center"/>
              <w:rPr>
                <w:color w:val="auto"/>
                <w:spacing w:val="-1"/>
                <w:sz w:val="21"/>
                <w:szCs w:val="21"/>
                <w:highlight w:val="none"/>
              </w:rPr>
            </w:pPr>
          </w:p>
        </w:tc>
        <w:tc>
          <w:tcPr>
            <w:tcW w:w="382" w:type="pct"/>
            <w:tcBorders>
              <w:tl2br w:val="nil"/>
              <w:tr2bl w:val="nil"/>
            </w:tcBorders>
            <w:noWrap/>
            <w:vAlign w:val="center"/>
          </w:tcPr>
          <w:p w14:paraId="02CC6EBF">
            <w:pPr>
              <w:spacing w:line="240" w:lineRule="auto"/>
              <w:ind w:firstLine="0" w:firstLineChars="0"/>
              <w:jc w:val="center"/>
              <w:rPr>
                <w:color w:val="auto"/>
                <w:spacing w:val="-1"/>
                <w:sz w:val="21"/>
                <w:szCs w:val="21"/>
                <w:highlight w:val="none"/>
              </w:rPr>
            </w:pPr>
          </w:p>
        </w:tc>
        <w:tc>
          <w:tcPr>
            <w:tcW w:w="381" w:type="pct"/>
            <w:tcBorders>
              <w:tl2br w:val="nil"/>
              <w:tr2bl w:val="nil"/>
            </w:tcBorders>
            <w:noWrap/>
            <w:vAlign w:val="center"/>
          </w:tcPr>
          <w:p w14:paraId="77C1389A">
            <w:pPr>
              <w:spacing w:line="240" w:lineRule="auto"/>
              <w:ind w:firstLine="0" w:firstLineChars="0"/>
              <w:jc w:val="center"/>
              <w:rPr>
                <w:color w:val="auto"/>
                <w:spacing w:val="-1"/>
                <w:sz w:val="21"/>
                <w:szCs w:val="21"/>
                <w:highlight w:val="none"/>
              </w:rPr>
            </w:pPr>
          </w:p>
        </w:tc>
        <w:tc>
          <w:tcPr>
            <w:tcW w:w="381" w:type="pct"/>
            <w:tcBorders>
              <w:tl2br w:val="nil"/>
              <w:tr2bl w:val="nil"/>
            </w:tcBorders>
            <w:vAlign w:val="center"/>
          </w:tcPr>
          <w:p w14:paraId="4AA55406">
            <w:pPr>
              <w:spacing w:line="240" w:lineRule="auto"/>
              <w:ind w:firstLine="0" w:firstLineChars="0"/>
              <w:jc w:val="center"/>
              <w:rPr>
                <w:color w:val="auto"/>
                <w:spacing w:val="-1"/>
                <w:sz w:val="21"/>
                <w:szCs w:val="21"/>
                <w:highlight w:val="none"/>
              </w:rPr>
            </w:pPr>
          </w:p>
        </w:tc>
        <w:tc>
          <w:tcPr>
            <w:tcW w:w="381" w:type="pct"/>
            <w:tcBorders>
              <w:tl2br w:val="nil"/>
              <w:tr2bl w:val="nil"/>
            </w:tcBorders>
            <w:noWrap/>
            <w:vAlign w:val="center"/>
          </w:tcPr>
          <w:p w14:paraId="4395401F">
            <w:pPr>
              <w:spacing w:line="240" w:lineRule="auto"/>
              <w:ind w:firstLine="0" w:firstLineChars="0"/>
              <w:jc w:val="center"/>
              <w:rPr>
                <w:color w:val="auto"/>
                <w:spacing w:val="-1"/>
                <w:sz w:val="21"/>
                <w:szCs w:val="21"/>
                <w:highlight w:val="none"/>
              </w:rPr>
            </w:pPr>
          </w:p>
        </w:tc>
        <w:tc>
          <w:tcPr>
            <w:tcW w:w="381" w:type="pct"/>
            <w:tcBorders>
              <w:tl2br w:val="nil"/>
              <w:tr2bl w:val="nil"/>
            </w:tcBorders>
            <w:noWrap/>
            <w:vAlign w:val="center"/>
          </w:tcPr>
          <w:p w14:paraId="4FC9CC36">
            <w:pPr>
              <w:spacing w:line="240" w:lineRule="auto"/>
              <w:ind w:firstLine="0" w:firstLineChars="0"/>
              <w:jc w:val="center"/>
              <w:rPr>
                <w:color w:val="auto"/>
                <w:spacing w:val="-1"/>
                <w:sz w:val="21"/>
                <w:szCs w:val="21"/>
                <w:highlight w:val="none"/>
              </w:rPr>
            </w:pPr>
          </w:p>
        </w:tc>
        <w:tc>
          <w:tcPr>
            <w:tcW w:w="515" w:type="pct"/>
            <w:tcBorders>
              <w:tl2br w:val="nil"/>
              <w:tr2bl w:val="nil"/>
            </w:tcBorders>
            <w:noWrap/>
            <w:vAlign w:val="center"/>
          </w:tcPr>
          <w:p w14:paraId="0BAC237D">
            <w:pPr>
              <w:spacing w:line="240" w:lineRule="auto"/>
              <w:ind w:firstLine="0" w:firstLineChars="0"/>
              <w:jc w:val="center"/>
              <w:rPr>
                <w:color w:val="auto"/>
                <w:spacing w:val="-1"/>
                <w:sz w:val="21"/>
                <w:szCs w:val="21"/>
                <w:highlight w:val="none"/>
              </w:rPr>
            </w:pPr>
          </w:p>
        </w:tc>
      </w:tr>
      <w:tr w14:paraId="6FE757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62" w:type="pct"/>
            <w:vMerge w:val="restart"/>
            <w:tcBorders>
              <w:tl2br w:val="nil"/>
              <w:tr2bl w:val="nil"/>
            </w:tcBorders>
            <w:vAlign w:val="center"/>
          </w:tcPr>
          <w:p w14:paraId="7E031A97">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3#</w:t>
            </w:r>
          </w:p>
        </w:tc>
        <w:tc>
          <w:tcPr>
            <w:tcW w:w="536" w:type="pct"/>
            <w:tcBorders>
              <w:tl2br w:val="nil"/>
              <w:tr2bl w:val="nil"/>
            </w:tcBorders>
            <w:vAlign w:val="center"/>
          </w:tcPr>
          <w:p w14:paraId="5820027F">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鱼类</w:t>
            </w:r>
          </w:p>
        </w:tc>
        <w:tc>
          <w:tcPr>
            <w:tcW w:w="916" w:type="pct"/>
            <w:tcBorders>
              <w:tl2br w:val="nil"/>
              <w:tr2bl w:val="nil"/>
            </w:tcBorders>
            <w:vAlign w:val="center"/>
          </w:tcPr>
          <w:p w14:paraId="5F0CB4DA">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白姑鱼</w:t>
            </w:r>
          </w:p>
        </w:tc>
        <w:tc>
          <w:tcPr>
            <w:tcW w:w="382" w:type="pct"/>
            <w:tcBorders>
              <w:tl2br w:val="nil"/>
              <w:tr2bl w:val="nil"/>
            </w:tcBorders>
            <w:noWrap/>
            <w:vAlign w:val="center"/>
          </w:tcPr>
          <w:p w14:paraId="0582EC8F">
            <w:pPr>
              <w:spacing w:line="240" w:lineRule="auto"/>
              <w:ind w:firstLine="0" w:firstLineChars="0"/>
              <w:jc w:val="center"/>
              <w:rPr>
                <w:color w:val="auto"/>
                <w:spacing w:val="-1"/>
                <w:sz w:val="21"/>
                <w:szCs w:val="21"/>
                <w:highlight w:val="none"/>
              </w:rPr>
            </w:pPr>
          </w:p>
        </w:tc>
        <w:tc>
          <w:tcPr>
            <w:tcW w:w="382" w:type="pct"/>
            <w:tcBorders>
              <w:tl2br w:val="nil"/>
              <w:tr2bl w:val="nil"/>
            </w:tcBorders>
            <w:vAlign w:val="center"/>
          </w:tcPr>
          <w:p w14:paraId="0AB9E9DE">
            <w:pPr>
              <w:spacing w:line="240" w:lineRule="auto"/>
              <w:ind w:firstLine="0" w:firstLineChars="0"/>
              <w:jc w:val="center"/>
              <w:rPr>
                <w:color w:val="auto"/>
                <w:spacing w:val="-1"/>
                <w:sz w:val="21"/>
                <w:szCs w:val="21"/>
                <w:highlight w:val="none"/>
              </w:rPr>
            </w:pPr>
          </w:p>
        </w:tc>
        <w:tc>
          <w:tcPr>
            <w:tcW w:w="382" w:type="pct"/>
            <w:tcBorders>
              <w:tl2br w:val="nil"/>
              <w:tr2bl w:val="nil"/>
            </w:tcBorders>
            <w:noWrap/>
            <w:vAlign w:val="center"/>
          </w:tcPr>
          <w:p w14:paraId="194D9ACE">
            <w:pPr>
              <w:spacing w:line="240" w:lineRule="auto"/>
              <w:ind w:firstLine="0" w:firstLineChars="0"/>
              <w:jc w:val="center"/>
              <w:rPr>
                <w:color w:val="auto"/>
                <w:spacing w:val="-1"/>
                <w:sz w:val="21"/>
                <w:szCs w:val="21"/>
                <w:highlight w:val="none"/>
              </w:rPr>
            </w:pPr>
          </w:p>
        </w:tc>
        <w:tc>
          <w:tcPr>
            <w:tcW w:w="381" w:type="pct"/>
            <w:tcBorders>
              <w:tl2br w:val="nil"/>
              <w:tr2bl w:val="nil"/>
            </w:tcBorders>
            <w:noWrap/>
            <w:vAlign w:val="center"/>
          </w:tcPr>
          <w:p w14:paraId="51388A4E">
            <w:pPr>
              <w:spacing w:line="240" w:lineRule="auto"/>
              <w:ind w:firstLine="0" w:firstLineChars="0"/>
              <w:jc w:val="center"/>
              <w:rPr>
                <w:color w:val="auto"/>
                <w:spacing w:val="-1"/>
                <w:sz w:val="21"/>
                <w:szCs w:val="21"/>
                <w:highlight w:val="none"/>
              </w:rPr>
            </w:pPr>
          </w:p>
        </w:tc>
        <w:tc>
          <w:tcPr>
            <w:tcW w:w="381" w:type="pct"/>
            <w:tcBorders>
              <w:tl2br w:val="nil"/>
              <w:tr2bl w:val="nil"/>
            </w:tcBorders>
            <w:vAlign w:val="center"/>
          </w:tcPr>
          <w:p w14:paraId="011EB864">
            <w:pPr>
              <w:spacing w:line="240" w:lineRule="auto"/>
              <w:ind w:firstLine="0" w:firstLineChars="0"/>
              <w:jc w:val="center"/>
              <w:rPr>
                <w:color w:val="auto"/>
                <w:spacing w:val="-1"/>
                <w:sz w:val="21"/>
                <w:szCs w:val="21"/>
                <w:highlight w:val="none"/>
              </w:rPr>
            </w:pPr>
          </w:p>
        </w:tc>
        <w:tc>
          <w:tcPr>
            <w:tcW w:w="381" w:type="pct"/>
            <w:tcBorders>
              <w:tl2br w:val="nil"/>
              <w:tr2bl w:val="nil"/>
            </w:tcBorders>
            <w:noWrap/>
            <w:vAlign w:val="center"/>
          </w:tcPr>
          <w:p w14:paraId="129496F1">
            <w:pPr>
              <w:spacing w:line="240" w:lineRule="auto"/>
              <w:ind w:firstLine="0" w:firstLineChars="0"/>
              <w:jc w:val="center"/>
              <w:rPr>
                <w:color w:val="auto"/>
                <w:spacing w:val="-1"/>
                <w:sz w:val="21"/>
                <w:szCs w:val="21"/>
                <w:highlight w:val="none"/>
              </w:rPr>
            </w:pPr>
          </w:p>
        </w:tc>
        <w:tc>
          <w:tcPr>
            <w:tcW w:w="381" w:type="pct"/>
            <w:tcBorders>
              <w:tl2br w:val="nil"/>
              <w:tr2bl w:val="nil"/>
            </w:tcBorders>
            <w:noWrap/>
            <w:vAlign w:val="center"/>
          </w:tcPr>
          <w:p w14:paraId="696F6162">
            <w:pPr>
              <w:spacing w:line="240" w:lineRule="auto"/>
              <w:ind w:firstLine="0" w:firstLineChars="0"/>
              <w:jc w:val="center"/>
              <w:rPr>
                <w:color w:val="auto"/>
                <w:spacing w:val="-1"/>
                <w:sz w:val="21"/>
                <w:szCs w:val="21"/>
                <w:highlight w:val="none"/>
              </w:rPr>
            </w:pPr>
          </w:p>
        </w:tc>
        <w:tc>
          <w:tcPr>
            <w:tcW w:w="515" w:type="pct"/>
            <w:tcBorders>
              <w:tl2br w:val="nil"/>
              <w:tr2bl w:val="nil"/>
            </w:tcBorders>
            <w:noWrap/>
            <w:vAlign w:val="center"/>
          </w:tcPr>
          <w:p w14:paraId="70F7DD07">
            <w:pPr>
              <w:spacing w:line="240" w:lineRule="auto"/>
              <w:ind w:firstLine="0" w:firstLineChars="0"/>
              <w:jc w:val="center"/>
              <w:rPr>
                <w:color w:val="auto"/>
                <w:spacing w:val="-1"/>
                <w:sz w:val="21"/>
                <w:szCs w:val="21"/>
                <w:highlight w:val="none"/>
              </w:rPr>
            </w:pPr>
          </w:p>
        </w:tc>
      </w:tr>
      <w:tr w14:paraId="1A65E7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62" w:type="pct"/>
            <w:vMerge w:val="continue"/>
            <w:tcBorders>
              <w:tl2br w:val="nil"/>
              <w:tr2bl w:val="nil"/>
            </w:tcBorders>
            <w:vAlign w:val="center"/>
          </w:tcPr>
          <w:p w14:paraId="191EEEB8">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536" w:type="pct"/>
            <w:tcBorders>
              <w:tl2br w:val="nil"/>
              <w:tr2bl w:val="nil"/>
            </w:tcBorders>
            <w:vAlign w:val="center"/>
          </w:tcPr>
          <w:p w14:paraId="52B8CDB4">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甲壳类</w:t>
            </w:r>
          </w:p>
        </w:tc>
        <w:tc>
          <w:tcPr>
            <w:tcW w:w="916" w:type="pct"/>
            <w:tcBorders>
              <w:tl2br w:val="nil"/>
              <w:tr2bl w:val="nil"/>
            </w:tcBorders>
            <w:vAlign w:val="center"/>
          </w:tcPr>
          <w:p w14:paraId="16B84976">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刀额新对虾</w:t>
            </w:r>
          </w:p>
        </w:tc>
        <w:tc>
          <w:tcPr>
            <w:tcW w:w="382" w:type="pct"/>
            <w:tcBorders>
              <w:tl2br w:val="nil"/>
              <w:tr2bl w:val="nil"/>
            </w:tcBorders>
            <w:noWrap/>
            <w:vAlign w:val="center"/>
          </w:tcPr>
          <w:p w14:paraId="36E6E9E4">
            <w:pPr>
              <w:spacing w:line="240" w:lineRule="auto"/>
              <w:ind w:firstLine="0" w:firstLineChars="0"/>
              <w:jc w:val="center"/>
              <w:rPr>
                <w:color w:val="auto"/>
                <w:spacing w:val="-1"/>
                <w:sz w:val="21"/>
                <w:szCs w:val="21"/>
                <w:highlight w:val="none"/>
              </w:rPr>
            </w:pPr>
          </w:p>
        </w:tc>
        <w:tc>
          <w:tcPr>
            <w:tcW w:w="382" w:type="pct"/>
            <w:tcBorders>
              <w:tl2br w:val="nil"/>
              <w:tr2bl w:val="nil"/>
            </w:tcBorders>
            <w:vAlign w:val="center"/>
          </w:tcPr>
          <w:p w14:paraId="53A7A83E">
            <w:pPr>
              <w:spacing w:line="240" w:lineRule="auto"/>
              <w:ind w:firstLine="0" w:firstLineChars="0"/>
              <w:jc w:val="center"/>
              <w:rPr>
                <w:color w:val="auto"/>
                <w:spacing w:val="-1"/>
                <w:sz w:val="21"/>
                <w:szCs w:val="21"/>
                <w:highlight w:val="none"/>
              </w:rPr>
            </w:pPr>
          </w:p>
        </w:tc>
        <w:tc>
          <w:tcPr>
            <w:tcW w:w="382" w:type="pct"/>
            <w:tcBorders>
              <w:tl2br w:val="nil"/>
              <w:tr2bl w:val="nil"/>
            </w:tcBorders>
            <w:noWrap/>
            <w:vAlign w:val="center"/>
          </w:tcPr>
          <w:p w14:paraId="61EE3940">
            <w:pPr>
              <w:spacing w:line="240" w:lineRule="auto"/>
              <w:ind w:firstLine="0" w:firstLineChars="0"/>
              <w:jc w:val="center"/>
              <w:rPr>
                <w:color w:val="auto"/>
                <w:spacing w:val="-1"/>
                <w:sz w:val="21"/>
                <w:szCs w:val="21"/>
                <w:highlight w:val="none"/>
              </w:rPr>
            </w:pPr>
          </w:p>
        </w:tc>
        <w:tc>
          <w:tcPr>
            <w:tcW w:w="381" w:type="pct"/>
            <w:tcBorders>
              <w:tl2br w:val="nil"/>
              <w:tr2bl w:val="nil"/>
            </w:tcBorders>
            <w:noWrap/>
            <w:vAlign w:val="center"/>
          </w:tcPr>
          <w:p w14:paraId="0B172737">
            <w:pPr>
              <w:spacing w:line="240" w:lineRule="auto"/>
              <w:ind w:firstLine="0" w:firstLineChars="0"/>
              <w:jc w:val="center"/>
              <w:rPr>
                <w:color w:val="auto"/>
                <w:spacing w:val="-1"/>
                <w:sz w:val="21"/>
                <w:szCs w:val="21"/>
                <w:highlight w:val="none"/>
              </w:rPr>
            </w:pPr>
          </w:p>
        </w:tc>
        <w:tc>
          <w:tcPr>
            <w:tcW w:w="381" w:type="pct"/>
            <w:tcBorders>
              <w:tl2br w:val="nil"/>
              <w:tr2bl w:val="nil"/>
            </w:tcBorders>
            <w:vAlign w:val="center"/>
          </w:tcPr>
          <w:p w14:paraId="12483017">
            <w:pPr>
              <w:spacing w:line="240" w:lineRule="auto"/>
              <w:ind w:firstLine="0" w:firstLineChars="0"/>
              <w:jc w:val="center"/>
              <w:rPr>
                <w:color w:val="auto"/>
                <w:spacing w:val="-1"/>
                <w:sz w:val="21"/>
                <w:szCs w:val="21"/>
                <w:highlight w:val="none"/>
              </w:rPr>
            </w:pPr>
          </w:p>
        </w:tc>
        <w:tc>
          <w:tcPr>
            <w:tcW w:w="381" w:type="pct"/>
            <w:tcBorders>
              <w:tl2br w:val="nil"/>
              <w:tr2bl w:val="nil"/>
            </w:tcBorders>
            <w:noWrap/>
            <w:vAlign w:val="center"/>
          </w:tcPr>
          <w:p w14:paraId="7669A44A">
            <w:pPr>
              <w:spacing w:line="240" w:lineRule="auto"/>
              <w:ind w:firstLine="0" w:firstLineChars="0"/>
              <w:jc w:val="center"/>
              <w:rPr>
                <w:color w:val="auto"/>
                <w:spacing w:val="-1"/>
                <w:sz w:val="21"/>
                <w:szCs w:val="21"/>
                <w:highlight w:val="none"/>
              </w:rPr>
            </w:pPr>
          </w:p>
        </w:tc>
        <w:tc>
          <w:tcPr>
            <w:tcW w:w="381" w:type="pct"/>
            <w:tcBorders>
              <w:tl2br w:val="nil"/>
              <w:tr2bl w:val="nil"/>
            </w:tcBorders>
            <w:noWrap/>
            <w:vAlign w:val="center"/>
          </w:tcPr>
          <w:p w14:paraId="4DD0A517">
            <w:pPr>
              <w:spacing w:line="240" w:lineRule="auto"/>
              <w:ind w:firstLine="0" w:firstLineChars="0"/>
              <w:jc w:val="center"/>
              <w:rPr>
                <w:color w:val="auto"/>
                <w:spacing w:val="-1"/>
                <w:sz w:val="21"/>
                <w:szCs w:val="21"/>
                <w:highlight w:val="none"/>
              </w:rPr>
            </w:pPr>
          </w:p>
        </w:tc>
        <w:tc>
          <w:tcPr>
            <w:tcW w:w="515" w:type="pct"/>
            <w:tcBorders>
              <w:tl2br w:val="nil"/>
              <w:tr2bl w:val="nil"/>
            </w:tcBorders>
            <w:noWrap/>
            <w:vAlign w:val="center"/>
          </w:tcPr>
          <w:p w14:paraId="585A4715">
            <w:pPr>
              <w:spacing w:line="240" w:lineRule="auto"/>
              <w:ind w:firstLine="0" w:firstLineChars="0"/>
              <w:jc w:val="center"/>
              <w:rPr>
                <w:color w:val="auto"/>
                <w:spacing w:val="-1"/>
                <w:sz w:val="21"/>
                <w:szCs w:val="21"/>
                <w:highlight w:val="none"/>
              </w:rPr>
            </w:pPr>
          </w:p>
        </w:tc>
      </w:tr>
      <w:tr w14:paraId="515CE2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62" w:type="pct"/>
            <w:vMerge w:val="continue"/>
            <w:tcBorders>
              <w:tl2br w:val="nil"/>
              <w:tr2bl w:val="nil"/>
            </w:tcBorders>
            <w:vAlign w:val="center"/>
          </w:tcPr>
          <w:p w14:paraId="52791CB3">
            <w:pPr>
              <w:pStyle w:val="1561"/>
              <w:spacing w:line="240" w:lineRule="auto"/>
              <w:ind w:firstLine="0" w:firstLineChars="0"/>
              <w:jc w:val="center"/>
              <w:rPr>
                <w:rFonts w:ascii="Times New Roman" w:hAnsi="Times New Roman" w:cs="Times New Roman"/>
                <w:color w:val="auto"/>
                <w:spacing w:val="-1"/>
                <w:highlight w:val="none"/>
                <w:lang w:eastAsia="zh-CN"/>
              </w:rPr>
            </w:pPr>
          </w:p>
        </w:tc>
        <w:tc>
          <w:tcPr>
            <w:tcW w:w="536" w:type="pct"/>
            <w:tcBorders>
              <w:tl2br w:val="nil"/>
              <w:tr2bl w:val="nil"/>
            </w:tcBorders>
            <w:vAlign w:val="center"/>
          </w:tcPr>
          <w:p w14:paraId="0B4ED858">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头足类</w:t>
            </w:r>
          </w:p>
        </w:tc>
        <w:tc>
          <w:tcPr>
            <w:tcW w:w="916" w:type="pct"/>
            <w:tcBorders>
              <w:tl2br w:val="nil"/>
              <w:tr2bl w:val="nil"/>
            </w:tcBorders>
            <w:vAlign w:val="center"/>
          </w:tcPr>
          <w:p w14:paraId="6ACE6F39">
            <w:pPr>
              <w:pStyle w:val="1561"/>
              <w:spacing w:line="240" w:lineRule="auto"/>
              <w:ind w:firstLine="0" w:firstLineChars="0"/>
              <w:jc w:val="center"/>
              <w:rPr>
                <w:rFonts w:ascii="Times New Roman" w:hAnsi="Times New Roman" w:cs="Times New Roman"/>
                <w:color w:val="auto"/>
                <w:spacing w:val="-1"/>
                <w:highlight w:val="none"/>
                <w:lang w:eastAsia="zh-CN"/>
              </w:rPr>
            </w:pPr>
            <w:r>
              <w:rPr>
                <w:rFonts w:ascii="Times New Roman" w:hAnsi="Times New Roman" w:cs="Times New Roman"/>
                <w:color w:val="auto"/>
                <w:spacing w:val="-1"/>
                <w:highlight w:val="none"/>
                <w:lang w:eastAsia="zh-CN"/>
              </w:rPr>
              <w:t>中国枪乌贼</w:t>
            </w:r>
          </w:p>
        </w:tc>
        <w:tc>
          <w:tcPr>
            <w:tcW w:w="382" w:type="pct"/>
            <w:tcBorders>
              <w:tl2br w:val="nil"/>
              <w:tr2bl w:val="nil"/>
            </w:tcBorders>
            <w:noWrap/>
            <w:vAlign w:val="center"/>
          </w:tcPr>
          <w:p w14:paraId="0C8DD3F3">
            <w:pPr>
              <w:spacing w:line="240" w:lineRule="auto"/>
              <w:ind w:firstLine="0" w:firstLineChars="0"/>
              <w:jc w:val="center"/>
              <w:rPr>
                <w:color w:val="auto"/>
                <w:spacing w:val="-1"/>
                <w:sz w:val="21"/>
                <w:szCs w:val="21"/>
                <w:highlight w:val="none"/>
              </w:rPr>
            </w:pPr>
          </w:p>
        </w:tc>
        <w:tc>
          <w:tcPr>
            <w:tcW w:w="382" w:type="pct"/>
            <w:tcBorders>
              <w:tl2br w:val="nil"/>
              <w:tr2bl w:val="nil"/>
            </w:tcBorders>
            <w:vAlign w:val="center"/>
          </w:tcPr>
          <w:p w14:paraId="3808B6AB">
            <w:pPr>
              <w:spacing w:line="240" w:lineRule="auto"/>
              <w:ind w:firstLine="0" w:firstLineChars="0"/>
              <w:jc w:val="center"/>
              <w:rPr>
                <w:color w:val="auto"/>
                <w:spacing w:val="-1"/>
                <w:sz w:val="21"/>
                <w:szCs w:val="21"/>
                <w:highlight w:val="none"/>
              </w:rPr>
            </w:pPr>
          </w:p>
        </w:tc>
        <w:tc>
          <w:tcPr>
            <w:tcW w:w="382" w:type="pct"/>
            <w:tcBorders>
              <w:tl2br w:val="nil"/>
              <w:tr2bl w:val="nil"/>
            </w:tcBorders>
            <w:noWrap/>
            <w:vAlign w:val="center"/>
          </w:tcPr>
          <w:p w14:paraId="41548A19">
            <w:pPr>
              <w:spacing w:line="240" w:lineRule="auto"/>
              <w:ind w:firstLine="0" w:firstLineChars="0"/>
              <w:jc w:val="center"/>
              <w:rPr>
                <w:color w:val="auto"/>
                <w:spacing w:val="-1"/>
                <w:sz w:val="21"/>
                <w:szCs w:val="21"/>
                <w:highlight w:val="none"/>
              </w:rPr>
            </w:pPr>
          </w:p>
        </w:tc>
        <w:tc>
          <w:tcPr>
            <w:tcW w:w="381" w:type="pct"/>
            <w:tcBorders>
              <w:tl2br w:val="nil"/>
              <w:tr2bl w:val="nil"/>
            </w:tcBorders>
            <w:noWrap/>
            <w:vAlign w:val="center"/>
          </w:tcPr>
          <w:p w14:paraId="6342C1F6">
            <w:pPr>
              <w:spacing w:line="240" w:lineRule="auto"/>
              <w:ind w:firstLine="0" w:firstLineChars="0"/>
              <w:jc w:val="center"/>
              <w:rPr>
                <w:color w:val="auto"/>
                <w:spacing w:val="-1"/>
                <w:sz w:val="21"/>
                <w:szCs w:val="21"/>
                <w:highlight w:val="none"/>
              </w:rPr>
            </w:pPr>
          </w:p>
        </w:tc>
        <w:tc>
          <w:tcPr>
            <w:tcW w:w="381" w:type="pct"/>
            <w:tcBorders>
              <w:tl2br w:val="nil"/>
              <w:tr2bl w:val="nil"/>
            </w:tcBorders>
            <w:vAlign w:val="center"/>
          </w:tcPr>
          <w:p w14:paraId="1317F541">
            <w:pPr>
              <w:spacing w:line="240" w:lineRule="auto"/>
              <w:ind w:firstLine="0" w:firstLineChars="0"/>
              <w:jc w:val="center"/>
              <w:rPr>
                <w:color w:val="auto"/>
                <w:spacing w:val="-1"/>
                <w:sz w:val="21"/>
                <w:szCs w:val="21"/>
                <w:highlight w:val="none"/>
              </w:rPr>
            </w:pPr>
          </w:p>
        </w:tc>
        <w:tc>
          <w:tcPr>
            <w:tcW w:w="381" w:type="pct"/>
            <w:tcBorders>
              <w:tl2br w:val="nil"/>
              <w:tr2bl w:val="nil"/>
            </w:tcBorders>
            <w:noWrap/>
            <w:vAlign w:val="center"/>
          </w:tcPr>
          <w:p w14:paraId="19286DE5">
            <w:pPr>
              <w:spacing w:line="240" w:lineRule="auto"/>
              <w:ind w:firstLine="0" w:firstLineChars="0"/>
              <w:jc w:val="center"/>
              <w:rPr>
                <w:color w:val="auto"/>
                <w:spacing w:val="-1"/>
                <w:sz w:val="21"/>
                <w:szCs w:val="21"/>
                <w:highlight w:val="none"/>
              </w:rPr>
            </w:pPr>
          </w:p>
        </w:tc>
        <w:tc>
          <w:tcPr>
            <w:tcW w:w="381" w:type="pct"/>
            <w:tcBorders>
              <w:tl2br w:val="nil"/>
              <w:tr2bl w:val="nil"/>
            </w:tcBorders>
            <w:noWrap/>
            <w:vAlign w:val="center"/>
          </w:tcPr>
          <w:p w14:paraId="3F0CB545">
            <w:pPr>
              <w:spacing w:line="240" w:lineRule="auto"/>
              <w:ind w:firstLine="0" w:firstLineChars="0"/>
              <w:jc w:val="center"/>
              <w:rPr>
                <w:color w:val="auto"/>
                <w:spacing w:val="-1"/>
                <w:sz w:val="21"/>
                <w:szCs w:val="21"/>
                <w:highlight w:val="none"/>
              </w:rPr>
            </w:pPr>
          </w:p>
        </w:tc>
        <w:tc>
          <w:tcPr>
            <w:tcW w:w="515" w:type="pct"/>
            <w:tcBorders>
              <w:tl2br w:val="nil"/>
              <w:tr2bl w:val="nil"/>
            </w:tcBorders>
            <w:noWrap/>
            <w:vAlign w:val="center"/>
          </w:tcPr>
          <w:p w14:paraId="6592F20E">
            <w:pPr>
              <w:spacing w:line="240" w:lineRule="auto"/>
              <w:ind w:firstLine="0" w:firstLineChars="0"/>
              <w:jc w:val="center"/>
              <w:rPr>
                <w:color w:val="auto"/>
                <w:spacing w:val="-1"/>
                <w:sz w:val="21"/>
                <w:szCs w:val="21"/>
                <w:highlight w:val="none"/>
              </w:rPr>
            </w:pPr>
          </w:p>
        </w:tc>
      </w:tr>
    </w:tbl>
    <w:p w14:paraId="737197CF">
      <w:pPr>
        <w:ind w:firstLine="480"/>
        <w:rPr>
          <w:color w:val="auto"/>
          <w:highlight w:val="none"/>
        </w:rPr>
      </w:pPr>
    </w:p>
    <w:p w14:paraId="67D9D589">
      <w:pPr>
        <w:pStyle w:val="7"/>
        <w:numPr>
          <w:ilvl w:val="2"/>
          <w:numId w:val="9"/>
        </w:numPr>
        <w:rPr>
          <w:color w:val="auto"/>
          <w:sz w:val="28"/>
          <w:highlight w:val="none"/>
        </w:rPr>
      </w:pPr>
      <w:r>
        <w:rPr>
          <w:color w:val="auto"/>
          <w:sz w:val="28"/>
          <w:highlight w:val="none"/>
        </w:rPr>
        <w:t>声环境质量现状</w:t>
      </w:r>
    </w:p>
    <w:p w14:paraId="2AE1D3FE">
      <w:pPr>
        <w:ind w:firstLine="480"/>
        <w:rPr>
          <w:color w:val="auto"/>
          <w:highlight w:val="none"/>
        </w:rPr>
      </w:pPr>
      <w:r>
        <w:rPr>
          <w:color w:val="auto"/>
          <w:highlight w:val="none"/>
        </w:rPr>
        <w:t>由于项目临海，且周边200m范围内没有声环境敏感目标分布，结合工程布置情况，本次评价仅在浮船坞建筑硬化场地南面、西面陆地区域各设1个声环境质量监测点。</w:t>
      </w:r>
    </w:p>
    <w:p w14:paraId="348E8E57">
      <w:pPr>
        <w:ind w:firstLine="480"/>
        <w:rPr>
          <w:color w:val="auto"/>
          <w:highlight w:val="none"/>
        </w:rPr>
      </w:pPr>
      <w:r>
        <w:rPr>
          <w:color w:val="auto"/>
          <w:highlight w:val="none"/>
        </w:rPr>
        <w:t>（1）监测因子</w:t>
      </w:r>
    </w:p>
    <w:p w14:paraId="5BF77BFE">
      <w:pPr>
        <w:ind w:firstLine="480"/>
        <w:rPr>
          <w:color w:val="auto"/>
          <w:highlight w:val="none"/>
        </w:rPr>
      </w:pPr>
      <w:r>
        <w:rPr>
          <w:color w:val="auto"/>
          <w:highlight w:val="none"/>
        </w:rPr>
        <w:t>等效连续A声级。</w:t>
      </w:r>
    </w:p>
    <w:p w14:paraId="405C97B0">
      <w:pPr>
        <w:ind w:firstLine="480"/>
        <w:rPr>
          <w:color w:val="auto"/>
          <w:highlight w:val="none"/>
        </w:rPr>
      </w:pPr>
      <w:r>
        <w:rPr>
          <w:color w:val="auto"/>
          <w:highlight w:val="none"/>
        </w:rPr>
        <w:t>（2）监测时间和频率</w:t>
      </w:r>
    </w:p>
    <w:p w14:paraId="3B3421AA">
      <w:pPr>
        <w:ind w:firstLine="480"/>
        <w:rPr>
          <w:color w:val="auto"/>
          <w:highlight w:val="none"/>
        </w:rPr>
      </w:pPr>
      <w:r>
        <w:rPr>
          <w:color w:val="auto"/>
          <w:highlight w:val="none"/>
        </w:rPr>
        <w:t>监测时间为2025年12月15日～16日，连续监测2天，每天昼、夜间各监测1次。</w:t>
      </w:r>
    </w:p>
    <w:p w14:paraId="59FC51B8">
      <w:pPr>
        <w:ind w:firstLine="480"/>
        <w:rPr>
          <w:color w:val="auto"/>
          <w:highlight w:val="none"/>
        </w:rPr>
      </w:pPr>
      <w:bookmarkStart w:id="150" w:name="_Toc346269308"/>
      <w:bookmarkStart w:id="151" w:name="_Toc349391628"/>
      <w:bookmarkStart w:id="152" w:name="_Toc349896071"/>
      <w:bookmarkStart w:id="153" w:name="_Toc345602632"/>
      <w:bookmarkStart w:id="154" w:name="_Toc343177827"/>
      <w:bookmarkStart w:id="155" w:name="_Toc343583861"/>
      <w:r>
        <w:rPr>
          <w:color w:val="auto"/>
          <w:highlight w:val="none"/>
        </w:rPr>
        <w:t>（3）监测方法</w:t>
      </w:r>
      <w:bookmarkEnd w:id="150"/>
      <w:bookmarkEnd w:id="151"/>
      <w:bookmarkEnd w:id="152"/>
      <w:bookmarkEnd w:id="153"/>
      <w:bookmarkEnd w:id="154"/>
      <w:bookmarkEnd w:id="155"/>
    </w:p>
    <w:p w14:paraId="3FD7ED50">
      <w:pPr>
        <w:ind w:firstLine="480"/>
        <w:rPr>
          <w:color w:val="auto"/>
          <w:highlight w:val="none"/>
        </w:rPr>
      </w:pPr>
      <w:r>
        <w:rPr>
          <w:color w:val="auto"/>
          <w:highlight w:val="none"/>
        </w:rPr>
        <w:t>按照《声环境质量标准》（GB3096-2008）有关规定进行。所用的监测仪器为AWA6221A型噪声统计分析仪，仪器编号为SD-YQ-100，使用前用声级校准器进行校准，选择无雨、风速小于5m/s时进行测量，每天昼间（6：00～22：00），夜间（22：00～次日6：00）各测量一次。</w:t>
      </w:r>
    </w:p>
    <w:p w14:paraId="59B7FE5D">
      <w:pPr>
        <w:ind w:firstLine="480"/>
        <w:rPr>
          <w:color w:val="auto"/>
          <w:highlight w:val="none"/>
        </w:rPr>
      </w:pPr>
      <w:bookmarkStart w:id="156" w:name="_Toc346269309"/>
      <w:bookmarkStart w:id="157" w:name="_Toc343583862"/>
      <w:bookmarkStart w:id="158" w:name="_Toc349391629"/>
      <w:bookmarkStart w:id="159" w:name="_Toc343177828"/>
      <w:bookmarkStart w:id="160" w:name="_Toc349896072"/>
      <w:bookmarkStart w:id="161" w:name="_Toc345602633"/>
      <w:r>
        <w:rPr>
          <w:color w:val="auto"/>
          <w:highlight w:val="none"/>
        </w:rPr>
        <w:t>（4）评价方法</w:t>
      </w:r>
      <w:bookmarkEnd w:id="156"/>
      <w:bookmarkEnd w:id="157"/>
      <w:bookmarkEnd w:id="158"/>
      <w:bookmarkEnd w:id="159"/>
      <w:bookmarkEnd w:id="160"/>
      <w:bookmarkEnd w:id="161"/>
    </w:p>
    <w:p w14:paraId="02A609A2">
      <w:pPr>
        <w:ind w:firstLine="480"/>
        <w:rPr>
          <w:color w:val="auto"/>
          <w:highlight w:val="none"/>
        </w:rPr>
      </w:pPr>
      <w:r>
        <w:rPr>
          <w:color w:val="auto"/>
          <w:highlight w:val="none"/>
        </w:rPr>
        <w:t>对监测结果作统计分析，与评价标准进行比较，评价项目场址周围地区现状噪声质量情况。</w:t>
      </w:r>
    </w:p>
    <w:p w14:paraId="36CC4925">
      <w:pPr>
        <w:ind w:firstLine="480"/>
        <w:rPr>
          <w:color w:val="auto"/>
          <w:highlight w:val="none"/>
        </w:rPr>
      </w:pPr>
      <w:bookmarkStart w:id="162" w:name="_Toc346269310"/>
      <w:bookmarkStart w:id="163" w:name="_Toc343583863"/>
      <w:bookmarkStart w:id="164" w:name="_Toc349391630"/>
      <w:bookmarkStart w:id="165" w:name="_Toc349896073"/>
      <w:bookmarkStart w:id="166" w:name="_Toc345602634"/>
      <w:bookmarkStart w:id="167" w:name="_Toc343177829"/>
      <w:r>
        <w:rPr>
          <w:color w:val="auto"/>
          <w:highlight w:val="none"/>
        </w:rPr>
        <w:t>（5）评价标准</w:t>
      </w:r>
      <w:bookmarkEnd w:id="162"/>
      <w:bookmarkEnd w:id="163"/>
      <w:bookmarkEnd w:id="164"/>
      <w:bookmarkEnd w:id="165"/>
      <w:bookmarkEnd w:id="166"/>
      <w:bookmarkEnd w:id="167"/>
    </w:p>
    <w:p w14:paraId="561EDA3F">
      <w:pPr>
        <w:ind w:firstLine="480"/>
        <w:rPr>
          <w:color w:val="auto"/>
          <w:highlight w:val="none"/>
        </w:rPr>
      </w:pPr>
      <w:r>
        <w:rPr>
          <w:color w:val="auto"/>
          <w:highlight w:val="none"/>
        </w:rPr>
        <w:t>以等效声级LAeq为评价量，根据《声环境质量标准》（GB3096-2008）3类标准评价。其标准详见表3.</w:t>
      </w:r>
      <w:r>
        <w:rPr>
          <w:rFonts w:hint="eastAsia"/>
          <w:color w:val="auto"/>
          <w:highlight w:val="none"/>
        </w:rPr>
        <w:t>4</w:t>
      </w:r>
      <w:r>
        <w:rPr>
          <w:color w:val="auto"/>
          <w:highlight w:val="none"/>
        </w:rPr>
        <w:t>-14。</w:t>
      </w:r>
    </w:p>
    <w:p w14:paraId="78A79081">
      <w:pPr>
        <w:pStyle w:val="38"/>
        <w:spacing w:after="0" w:line="240" w:lineRule="auto"/>
        <w:ind w:firstLine="0" w:firstLineChars="0"/>
        <w:jc w:val="center"/>
        <w:rPr>
          <w:b/>
          <w:color w:val="auto"/>
          <w:sz w:val="21"/>
          <w:szCs w:val="21"/>
          <w:highlight w:val="none"/>
        </w:rPr>
      </w:pPr>
      <w:r>
        <w:rPr>
          <w:b/>
          <w:color w:val="auto"/>
          <w:sz w:val="21"/>
          <w:szCs w:val="21"/>
          <w:highlight w:val="none"/>
        </w:rPr>
        <w:t>表3.</w:t>
      </w:r>
      <w:r>
        <w:rPr>
          <w:rFonts w:hint="eastAsia"/>
          <w:b/>
          <w:color w:val="auto"/>
          <w:sz w:val="21"/>
          <w:szCs w:val="21"/>
          <w:highlight w:val="none"/>
        </w:rPr>
        <w:t>4</w:t>
      </w:r>
      <w:r>
        <w:rPr>
          <w:b/>
          <w:color w:val="auto"/>
          <w:sz w:val="21"/>
          <w:szCs w:val="21"/>
          <w:highlight w:val="none"/>
        </w:rPr>
        <w:t>-14   噪声评价标准限值表   单位：dB（A）</w:t>
      </w:r>
    </w:p>
    <w:tbl>
      <w:tblPr>
        <w:tblStyle w:val="92"/>
        <w:tblW w:w="907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147"/>
        <w:gridCol w:w="1463"/>
        <w:gridCol w:w="1462"/>
      </w:tblGrid>
      <w:tr w14:paraId="1AEAE5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147" w:type="dxa"/>
            <w:vAlign w:val="center"/>
          </w:tcPr>
          <w:p w14:paraId="4F5F9B19">
            <w:pPr>
              <w:spacing w:line="240" w:lineRule="auto"/>
              <w:ind w:firstLine="0" w:firstLineChars="0"/>
              <w:jc w:val="center"/>
              <w:rPr>
                <w:color w:val="auto"/>
                <w:sz w:val="21"/>
                <w:szCs w:val="21"/>
                <w:highlight w:val="none"/>
              </w:rPr>
            </w:pPr>
            <w:r>
              <w:rPr>
                <w:color w:val="auto"/>
                <w:sz w:val="21"/>
                <w:szCs w:val="21"/>
                <w:highlight w:val="none"/>
              </w:rPr>
              <w:t>适用评价标准</w:t>
            </w:r>
          </w:p>
        </w:tc>
        <w:tc>
          <w:tcPr>
            <w:tcW w:w="1463" w:type="dxa"/>
            <w:vAlign w:val="center"/>
          </w:tcPr>
          <w:p w14:paraId="21CE0033">
            <w:pPr>
              <w:spacing w:line="240" w:lineRule="auto"/>
              <w:ind w:firstLine="0" w:firstLineChars="0"/>
              <w:jc w:val="center"/>
              <w:rPr>
                <w:color w:val="auto"/>
                <w:sz w:val="21"/>
                <w:szCs w:val="21"/>
                <w:highlight w:val="none"/>
              </w:rPr>
            </w:pPr>
            <w:r>
              <w:rPr>
                <w:color w:val="auto"/>
                <w:sz w:val="21"/>
                <w:szCs w:val="21"/>
                <w:highlight w:val="none"/>
              </w:rPr>
              <w:t>昼间</w:t>
            </w:r>
          </w:p>
        </w:tc>
        <w:tc>
          <w:tcPr>
            <w:tcW w:w="1462" w:type="dxa"/>
            <w:vAlign w:val="center"/>
          </w:tcPr>
          <w:p w14:paraId="76EA7080">
            <w:pPr>
              <w:spacing w:line="240" w:lineRule="auto"/>
              <w:ind w:firstLine="0" w:firstLineChars="0"/>
              <w:jc w:val="center"/>
              <w:rPr>
                <w:color w:val="auto"/>
                <w:sz w:val="21"/>
                <w:szCs w:val="21"/>
                <w:highlight w:val="none"/>
              </w:rPr>
            </w:pPr>
            <w:r>
              <w:rPr>
                <w:color w:val="auto"/>
                <w:sz w:val="21"/>
                <w:szCs w:val="21"/>
                <w:highlight w:val="none"/>
              </w:rPr>
              <w:t>夜间</w:t>
            </w:r>
          </w:p>
        </w:tc>
      </w:tr>
      <w:tr w14:paraId="1C89F08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147" w:type="dxa"/>
            <w:vAlign w:val="center"/>
          </w:tcPr>
          <w:p w14:paraId="407CA4FB">
            <w:pPr>
              <w:spacing w:line="240" w:lineRule="auto"/>
              <w:ind w:firstLine="0" w:firstLineChars="0"/>
              <w:jc w:val="center"/>
              <w:rPr>
                <w:color w:val="auto"/>
                <w:sz w:val="21"/>
                <w:szCs w:val="21"/>
                <w:highlight w:val="none"/>
              </w:rPr>
            </w:pPr>
            <w:r>
              <w:rPr>
                <w:color w:val="auto"/>
                <w:sz w:val="21"/>
                <w:szCs w:val="21"/>
                <w:highlight w:val="none"/>
              </w:rPr>
              <w:t>《声环境质量标准》（GB3096-2008）3类标准</w:t>
            </w:r>
          </w:p>
        </w:tc>
        <w:tc>
          <w:tcPr>
            <w:tcW w:w="1463" w:type="dxa"/>
            <w:vAlign w:val="center"/>
          </w:tcPr>
          <w:p w14:paraId="08D20DCC">
            <w:pPr>
              <w:spacing w:line="240" w:lineRule="auto"/>
              <w:ind w:firstLine="0" w:firstLineChars="0"/>
              <w:jc w:val="center"/>
              <w:rPr>
                <w:color w:val="auto"/>
                <w:sz w:val="21"/>
                <w:szCs w:val="21"/>
                <w:highlight w:val="none"/>
              </w:rPr>
            </w:pPr>
            <w:r>
              <w:rPr>
                <w:color w:val="auto"/>
                <w:sz w:val="21"/>
                <w:szCs w:val="21"/>
                <w:highlight w:val="none"/>
              </w:rPr>
              <w:t>65</w:t>
            </w:r>
          </w:p>
        </w:tc>
        <w:tc>
          <w:tcPr>
            <w:tcW w:w="1462" w:type="dxa"/>
            <w:vAlign w:val="center"/>
          </w:tcPr>
          <w:p w14:paraId="7D681210">
            <w:pPr>
              <w:spacing w:line="240" w:lineRule="auto"/>
              <w:ind w:firstLine="0" w:firstLineChars="0"/>
              <w:jc w:val="center"/>
              <w:rPr>
                <w:color w:val="auto"/>
                <w:sz w:val="21"/>
                <w:szCs w:val="21"/>
                <w:highlight w:val="none"/>
              </w:rPr>
            </w:pPr>
            <w:r>
              <w:rPr>
                <w:color w:val="auto"/>
                <w:sz w:val="21"/>
                <w:szCs w:val="21"/>
                <w:highlight w:val="none"/>
              </w:rPr>
              <w:t>55</w:t>
            </w:r>
          </w:p>
        </w:tc>
      </w:tr>
    </w:tbl>
    <w:p w14:paraId="72DDBA5E">
      <w:pPr>
        <w:spacing w:before="120" w:beforeLines="50"/>
        <w:ind w:firstLine="480"/>
        <w:rPr>
          <w:color w:val="auto"/>
          <w:highlight w:val="none"/>
        </w:rPr>
      </w:pPr>
      <w:bookmarkStart w:id="168" w:name="_Toc349896074"/>
      <w:bookmarkStart w:id="169" w:name="_Toc346269311"/>
      <w:bookmarkStart w:id="170" w:name="_Toc349391631"/>
      <w:r>
        <w:rPr>
          <w:color w:val="auto"/>
          <w:highlight w:val="none"/>
        </w:rPr>
        <w:t>（6）监测结果及评价</w:t>
      </w:r>
      <w:bookmarkEnd w:id="168"/>
      <w:bookmarkEnd w:id="169"/>
      <w:bookmarkEnd w:id="170"/>
    </w:p>
    <w:p w14:paraId="3F4398FE">
      <w:pPr>
        <w:ind w:firstLine="480"/>
        <w:rPr>
          <w:color w:val="auto"/>
          <w:highlight w:val="none"/>
        </w:rPr>
      </w:pPr>
      <w:r>
        <w:rPr>
          <w:color w:val="auto"/>
          <w:highlight w:val="none"/>
        </w:rPr>
        <w:t>声环境质量监测与评价结果见表3.</w:t>
      </w:r>
      <w:r>
        <w:rPr>
          <w:rFonts w:hint="eastAsia"/>
          <w:color w:val="auto"/>
          <w:highlight w:val="none"/>
        </w:rPr>
        <w:t>4</w:t>
      </w:r>
      <w:r>
        <w:rPr>
          <w:color w:val="auto"/>
          <w:highlight w:val="none"/>
        </w:rPr>
        <w:t>-15。</w:t>
      </w:r>
    </w:p>
    <w:p w14:paraId="1F511108">
      <w:pPr>
        <w:pStyle w:val="38"/>
        <w:spacing w:after="0" w:line="240" w:lineRule="auto"/>
        <w:ind w:firstLine="0" w:firstLineChars="0"/>
        <w:jc w:val="center"/>
        <w:rPr>
          <w:b/>
          <w:color w:val="auto"/>
          <w:sz w:val="21"/>
          <w:szCs w:val="21"/>
          <w:highlight w:val="none"/>
        </w:rPr>
      </w:pPr>
      <w:r>
        <w:rPr>
          <w:b/>
          <w:color w:val="auto"/>
          <w:sz w:val="21"/>
          <w:szCs w:val="21"/>
          <w:highlight w:val="none"/>
        </w:rPr>
        <w:t>表3.</w:t>
      </w:r>
      <w:r>
        <w:rPr>
          <w:rFonts w:hint="eastAsia"/>
          <w:b/>
          <w:color w:val="auto"/>
          <w:sz w:val="21"/>
          <w:szCs w:val="21"/>
          <w:highlight w:val="none"/>
        </w:rPr>
        <w:t>4</w:t>
      </w:r>
      <w:r>
        <w:rPr>
          <w:b/>
          <w:color w:val="auto"/>
          <w:sz w:val="21"/>
          <w:szCs w:val="21"/>
          <w:highlight w:val="none"/>
        </w:rPr>
        <w:t>-15  噪声监测及评价结果表   单位：dB（A）</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81"/>
        <w:gridCol w:w="1551"/>
        <w:gridCol w:w="1515"/>
        <w:gridCol w:w="2113"/>
        <w:gridCol w:w="1595"/>
        <w:gridCol w:w="1331"/>
      </w:tblGrid>
      <w:tr w14:paraId="4EAEAA0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36" w:type="pct"/>
            <w:vAlign w:val="center"/>
          </w:tcPr>
          <w:p w14:paraId="040721B3">
            <w:pPr>
              <w:spacing w:line="240" w:lineRule="auto"/>
              <w:ind w:firstLine="0" w:firstLineChars="0"/>
              <w:jc w:val="center"/>
              <w:rPr>
                <w:rFonts w:eastAsiaTheme="minorEastAsia"/>
                <w:b/>
                <w:bCs/>
                <w:color w:val="auto"/>
                <w:sz w:val="21"/>
                <w:szCs w:val="21"/>
                <w:highlight w:val="none"/>
              </w:rPr>
            </w:pPr>
            <w:r>
              <w:rPr>
                <w:rFonts w:eastAsiaTheme="minorEastAsia"/>
                <w:b/>
                <w:bCs/>
                <w:color w:val="auto"/>
                <w:sz w:val="21"/>
                <w:szCs w:val="21"/>
                <w:highlight w:val="none"/>
              </w:rPr>
              <w:t>监测点位</w:t>
            </w:r>
          </w:p>
        </w:tc>
        <w:tc>
          <w:tcPr>
            <w:tcW w:w="835" w:type="pct"/>
            <w:vAlign w:val="center"/>
          </w:tcPr>
          <w:p w14:paraId="20A46F93">
            <w:pPr>
              <w:spacing w:line="240" w:lineRule="auto"/>
              <w:ind w:firstLine="0" w:firstLineChars="0"/>
              <w:jc w:val="center"/>
              <w:rPr>
                <w:rFonts w:eastAsiaTheme="minorEastAsia"/>
                <w:b/>
                <w:bCs/>
                <w:color w:val="auto"/>
                <w:sz w:val="21"/>
                <w:szCs w:val="21"/>
                <w:highlight w:val="none"/>
              </w:rPr>
            </w:pPr>
            <w:r>
              <w:rPr>
                <w:rFonts w:eastAsiaTheme="minorEastAsia"/>
                <w:b/>
                <w:bCs/>
                <w:color w:val="auto"/>
                <w:sz w:val="21"/>
                <w:szCs w:val="21"/>
                <w:highlight w:val="none"/>
              </w:rPr>
              <w:t>监测时间</w:t>
            </w:r>
          </w:p>
        </w:tc>
        <w:tc>
          <w:tcPr>
            <w:tcW w:w="816" w:type="pct"/>
            <w:vAlign w:val="center"/>
          </w:tcPr>
          <w:p w14:paraId="5F591FEF">
            <w:pPr>
              <w:spacing w:line="240" w:lineRule="auto"/>
              <w:ind w:firstLine="0" w:firstLineChars="0"/>
              <w:jc w:val="center"/>
              <w:rPr>
                <w:rFonts w:eastAsiaTheme="minorEastAsia"/>
                <w:b/>
                <w:bCs/>
                <w:color w:val="auto"/>
                <w:sz w:val="21"/>
                <w:szCs w:val="21"/>
                <w:highlight w:val="none"/>
              </w:rPr>
            </w:pPr>
            <w:r>
              <w:rPr>
                <w:rFonts w:eastAsiaTheme="minorEastAsia"/>
                <w:b/>
                <w:bCs/>
                <w:color w:val="auto"/>
                <w:sz w:val="21"/>
                <w:szCs w:val="21"/>
                <w:highlight w:val="none"/>
              </w:rPr>
              <w:t>监测时段</w:t>
            </w:r>
          </w:p>
        </w:tc>
        <w:tc>
          <w:tcPr>
            <w:tcW w:w="1138" w:type="pct"/>
            <w:vAlign w:val="center"/>
          </w:tcPr>
          <w:p w14:paraId="792B033D">
            <w:pPr>
              <w:spacing w:line="240" w:lineRule="auto"/>
              <w:ind w:firstLine="0" w:firstLineChars="0"/>
              <w:jc w:val="center"/>
              <w:rPr>
                <w:rFonts w:eastAsiaTheme="minorEastAsia"/>
                <w:b/>
                <w:bCs/>
                <w:color w:val="auto"/>
                <w:sz w:val="21"/>
                <w:szCs w:val="21"/>
                <w:highlight w:val="none"/>
              </w:rPr>
            </w:pPr>
            <w:r>
              <w:rPr>
                <w:rFonts w:eastAsiaTheme="minorEastAsia"/>
                <w:b/>
                <w:bCs/>
                <w:color w:val="auto"/>
                <w:sz w:val="21"/>
                <w:szCs w:val="21"/>
                <w:highlight w:val="none"/>
              </w:rPr>
              <w:t>等效声级（</w:t>
            </w:r>
            <w:r>
              <w:rPr>
                <w:rFonts w:eastAsiaTheme="minorEastAsia"/>
                <w:b/>
                <w:bCs/>
                <w:i/>
                <w:iCs/>
                <w:color w:val="auto"/>
                <w:sz w:val="21"/>
                <w:szCs w:val="21"/>
                <w:highlight w:val="none"/>
              </w:rPr>
              <w:t>L</w:t>
            </w:r>
            <w:r>
              <w:rPr>
                <w:rFonts w:eastAsiaTheme="minorEastAsia"/>
                <w:b/>
                <w:bCs/>
                <w:color w:val="auto"/>
                <w:sz w:val="21"/>
                <w:szCs w:val="21"/>
                <w:highlight w:val="none"/>
              </w:rPr>
              <w:t>eq）</w:t>
            </w:r>
          </w:p>
        </w:tc>
        <w:tc>
          <w:tcPr>
            <w:tcW w:w="859" w:type="pct"/>
            <w:vAlign w:val="center"/>
          </w:tcPr>
          <w:p w14:paraId="02283F30">
            <w:pPr>
              <w:spacing w:line="240" w:lineRule="auto"/>
              <w:ind w:firstLine="0" w:firstLineChars="0"/>
              <w:jc w:val="center"/>
              <w:rPr>
                <w:rFonts w:eastAsiaTheme="minorEastAsia"/>
                <w:b/>
                <w:bCs/>
                <w:color w:val="auto"/>
                <w:sz w:val="21"/>
                <w:szCs w:val="21"/>
                <w:highlight w:val="none"/>
              </w:rPr>
            </w:pPr>
            <w:r>
              <w:rPr>
                <w:rFonts w:eastAsiaTheme="minorEastAsia"/>
                <w:b/>
                <w:bCs/>
                <w:color w:val="auto"/>
                <w:sz w:val="21"/>
                <w:szCs w:val="21"/>
                <w:highlight w:val="none"/>
              </w:rPr>
              <w:t>标准限值</w:t>
            </w:r>
          </w:p>
        </w:tc>
        <w:tc>
          <w:tcPr>
            <w:tcW w:w="716" w:type="pct"/>
            <w:vAlign w:val="center"/>
          </w:tcPr>
          <w:p w14:paraId="5D0CCA03">
            <w:pPr>
              <w:spacing w:line="240" w:lineRule="auto"/>
              <w:ind w:firstLine="0" w:firstLineChars="0"/>
              <w:jc w:val="center"/>
              <w:rPr>
                <w:rFonts w:eastAsiaTheme="minorEastAsia"/>
                <w:b/>
                <w:bCs/>
                <w:color w:val="auto"/>
                <w:sz w:val="21"/>
                <w:szCs w:val="21"/>
                <w:highlight w:val="none"/>
              </w:rPr>
            </w:pPr>
            <w:r>
              <w:rPr>
                <w:rFonts w:eastAsiaTheme="minorEastAsia"/>
                <w:b/>
                <w:bCs/>
                <w:color w:val="auto"/>
                <w:sz w:val="21"/>
                <w:szCs w:val="21"/>
                <w:highlight w:val="none"/>
              </w:rPr>
              <w:t>是否达标</w:t>
            </w:r>
          </w:p>
        </w:tc>
      </w:tr>
      <w:tr w14:paraId="5627805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36" w:type="pct"/>
            <w:vMerge w:val="restart"/>
            <w:vAlign w:val="center"/>
          </w:tcPr>
          <w:p w14:paraId="1DBEF18B">
            <w:pPr>
              <w:spacing w:line="240" w:lineRule="auto"/>
              <w:ind w:firstLine="0" w:firstLineChars="0"/>
              <w:jc w:val="center"/>
              <w:rPr>
                <w:rFonts w:eastAsiaTheme="minorEastAsia"/>
                <w:color w:val="auto"/>
                <w:sz w:val="21"/>
                <w:szCs w:val="21"/>
                <w:highlight w:val="none"/>
              </w:rPr>
            </w:pPr>
            <w:r>
              <w:rPr>
                <w:rFonts w:eastAsiaTheme="minorEastAsia"/>
                <w:color w:val="auto"/>
                <w:sz w:val="21"/>
                <w:szCs w:val="21"/>
                <w:highlight w:val="none"/>
              </w:rPr>
              <w:t>N2浮船坞建筑硬化场地南面</w:t>
            </w:r>
          </w:p>
        </w:tc>
        <w:tc>
          <w:tcPr>
            <w:tcW w:w="835" w:type="pct"/>
            <w:vMerge w:val="restart"/>
            <w:vAlign w:val="center"/>
          </w:tcPr>
          <w:p w14:paraId="41453125">
            <w:pPr>
              <w:spacing w:line="240" w:lineRule="auto"/>
              <w:ind w:firstLine="0" w:firstLineChars="0"/>
              <w:jc w:val="center"/>
              <w:rPr>
                <w:rFonts w:eastAsiaTheme="minorEastAsia"/>
                <w:color w:val="auto"/>
                <w:sz w:val="21"/>
                <w:szCs w:val="21"/>
                <w:highlight w:val="none"/>
              </w:rPr>
            </w:pPr>
            <w:r>
              <w:rPr>
                <w:rFonts w:eastAsiaTheme="minorEastAsia"/>
                <w:color w:val="auto"/>
                <w:sz w:val="21"/>
                <w:szCs w:val="21"/>
                <w:highlight w:val="none"/>
              </w:rPr>
              <w:t>2025.12.15</w:t>
            </w:r>
          </w:p>
        </w:tc>
        <w:tc>
          <w:tcPr>
            <w:tcW w:w="816" w:type="pct"/>
            <w:vAlign w:val="center"/>
          </w:tcPr>
          <w:p w14:paraId="167B3581">
            <w:pPr>
              <w:spacing w:line="240" w:lineRule="auto"/>
              <w:ind w:firstLine="0" w:firstLineChars="0"/>
              <w:jc w:val="center"/>
              <w:rPr>
                <w:rFonts w:eastAsiaTheme="minorEastAsia"/>
                <w:color w:val="auto"/>
                <w:sz w:val="21"/>
                <w:szCs w:val="21"/>
                <w:highlight w:val="none"/>
              </w:rPr>
            </w:pPr>
            <w:r>
              <w:rPr>
                <w:rFonts w:eastAsiaTheme="minorEastAsia"/>
                <w:color w:val="auto"/>
                <w:sz w:val="21"/>
                <w:szCs w:val="21"/>
                <w:highlight w:val="none"/>
              </w:rPr>
              <w:t>昼间</w:t>
            </w:r>
          </w:p>
        </w:tc>
        <w:tc>
          <w:tcPr>
            <w:tcW w:w="1138" w:type="pct"/>
            <w:vAlign w:val="center"/>
          </w:tcPr>
          <w:p w14:paraId="0FC06045">
            <w:pPr>
              <w:spacing w:line="240" w:lineRule="auto"/>
              <w:ind w:firstLine="0" w:firstLineChars="0"/>
              <w:jc w:val="center"/>
              <w:rPr>
                <w:color w:val="auto"/>
                <w:sz w:val="21"/>
                <w:szCs w:val="21"/>
                <w:highlight w:val="none"/>
              </w:rPr>
            </w:pPr>
          </w:p>
        </w:tc>
        <w:tc>
          <w:tcPr>
            <w:tcW w:w="859" w:type="pct"/>
            <w:vAlign w:val="center"/>
          </w:tcPr>
          <w:p w14:paraId="6239F8B4">
            <w:pPr>
              <w:spacing w:line="240" w:lineRule="auto"/>
              <w:ind w:firstLine="0" w:firstLineChars="0"/>
              <w:jc w:val="center"/>
              <w:rPr>
                <w:rFonts w:eastAsiaTheme="minorEastAsia"/>
                <w:color w:val="auto"/>
                <w:sz w:val="21"/>
                <w:szCs w:val="21"/>
                <w:highlight w:val="none"/>
              </w:rPr>
            </w:pPr>
          </w:p>
        </w:tc>
        <w:tc>
          <w:tcPr>
            <w:tcW w:w="716" w:type="pct"/>
            <w:vAlign w:val="center"/>
          </w:tcPr>
          <w:p w14:paraId="6506EFB9">
            <w:pPr>
              <w:spacing w:line="240" w:lineRule="auto"/>
              <w:ind w:firstLine="0" w:firstLineChars="0"/>
              <w:jc w:val="center"/>
              <w:rPr>
                <w:rFonts w:eastAsiaTheme="minorEastAsia"/>
                <w:color w:val="auto"/>
                <w:sz w:val="21"/>
                <w:szCs w:val="21"/>
                <w:highlight w:val="none"/>
              </w:rPr>
            </w:pPr>
            <w:r>
              <w:rPr>
                <w:rFonts w:eastAsiaTheme="minorEastAsia"/>
                <w:color w:val="auto"/>
                <w:sz w:val="21"/>
                <w:szCs w:val="21"/>
                <w:highlight w:val="none"/>
              </w:rPr>
              <w:t>达标</w:t>
            </w:r>
          </w:p>
        </w:tc>
      </w:tr>
      <w:tr w14:paraId="4CB42C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36" w:type="pct"/>
            <w:vMerge w:val="continue"/>
            <w:vAlign w:val="center"/>
          </w:tcPr>
          <w:p w14:paraId="44739EA3">
            <w:pPr>
              <w:spacing w:line="240" w:lineRule="auto"/>
              <w:ind w:firstLine="0" w:firstLineChars="0"/>
              <w:jc w:val="center"/>
              <w:rPr>
                <w:rFonts w:eastAsiaTheme="minorEastAsia"/>
                <w:color w:val="auto"/>
                <w:sz w:val="21"/>
                <w:szCs w:val="21"/>
                <w:highlight w:val="none"/>
              </w:rPr>
            </w:pPr>
          </w:p>
        </w:tc>
        <w:tc>
          <w:tcPr>
            <w:tcW w:w="835" w:type="pct"/>
            <w:vMerge w:val="continue"/>
            <w:vAlign w:val="center"/>
          </w:tcPr>
          <w:p w14:paraId="2299B7EC">
            <w:pPr>
              <w:spacing w:line="240" w:lineRule="auto"/>
              <w:ind w:firstLine="0" w:firstLineChars="0"/>
              <w:jc w:val="center"/>
              <w:rPr>
                <w:rFonts w:eastAsiaTheme="minorEastAsia"/>
                <w:color w:val="auto"/>
                <w:sz w:val="21"/>
                <w:szCs w:val="21"/>
                <w:highlight w:val="none"/>
              </w:rPr>
            </w:pPr>
          </w:p>
        </w:tc>
        <w:tc>
          <w:tcPr>
            <w:tcW w:w="816" w:type="pct"/>
            <w:vAlign w:val="center"/>
          </w:tcPr>
          <w:p w14:paraId="7E319101">
            <w:pPr>
              <w:spacing w:line="240" w:lineRule="auto"/>
              <w:ind w:firstLine="0" w:firstLineChars="0"/>
              <w:jc w:val="center"/>
              <w:rPr>
                <w:rFonts w:eastAsiaTheme="minorEastAsia"/>
                <w:color w:val="auto"/>
                <w:sz w:val="21"/>
                <w:szCs w:val="21"/>
                <w:highlight w:val="none"/>
              </w:rPr>
            </w:pPr>
            <w:r>
              <w:rPr>
                <w:rFonts w:eastAsiaTheme="minorEastAsia"/>
                <w:color w:val="auto"/>
                <w:sz w:val="21"/>
                <w:szCs w:val="21"/>
                <w:highlight w:val="none"/>
              </w:rPr>
              <w:t>夜间</w:t>
            </w:r>
          </w:p>
        </w:tc>
        <w:tc>
          <w:tcPr>
            <w:tcW w:w="1138" w:type="pct"/>
            <w:vAlign w:val="center"/>
          </w:tcPr>
          <w:p w14:paraId="4E94BD03">
            <w:pPr>
              <w:spacing w:line="240" w:lineRule="auto"/>
              <w:ind w:firstLine="0" w:firstLineChars="0"/>
              <w:jc w:val="center"/>
              <w:rPr>
                <w:color w:val="auto"/>
                <w:sz w:val="21"/>
                <w:szCs w:val="21"/>
                <w:highlight w:val="none"/>
              </w:rPr>
            </w:pPr>
          </w:p>
        </w:tc>
        <w:tc>
          <w:tcPr>
            <w:tcW w:w="859" w:type="pct"/>
            <w:vAlign w:val="center"/>
          </w:tcPr>
          <w:p w14:paraId="3B23FA6D">
            <w:pPr>
              <w:spacing w:line="240" w:lineRule="auto"/>
              <w:ind w:firstLine="0" w:firstLineChars="0"/>
              <w:jc w:val="center"/>
              <w:rPr>
                <w:rFonts w:eastAsiaTheme="minorEastAsia"/>
                <w:color w:val="auto"/>
                <w:sz w:val="21"/>
                <w:szCs w:val="21"/>
                <w:highlight w:val="none"/>
              </w:rPr>
            </w:pPr>
          </w:p>
        </w:tc>
        <w:tc>
          <w:tcPr>
            <w:tcW w:w="716" w:type="pct"/>
            <w:vAlign w:val="center"/>
          </w:tcPr>
          <w:p w14:paraId="6E4AF55F">
            <w:pPr>
              <w:spacing w:line="240" w:lineRule="auto"/>
              <w:ind w:firstLine="0" w:firstLineChars="0"/>
              <w:jc w:val="center"/>
              <w:rPr>
                <w:rFonts w:eastAsiaTheme="minorEastAsia"/>
                <w:color w:val="auto"/>
                <w:sz w:val="21"/>
                <w:szCs w:val="21"/>
                <w:highlight w:val="none"/>
              </w:rPr>
            </w:pPr>
            <w:r>
              <w:rPr>
                <w:rFonts w:eastAsiaTheme="minorEastAsia"/>
                <w:color w:val="auto"/>
                <w:sz w:val="21"/>
                <w:szCs w:val="21"/>
                <w:highlight w:val="none"/>
              </w:rPr>
              <w:t>达标</w:t>
            </w:r>
          </w:p>
        </w:tc>
      </w:tr>
      <w:tr w14:paraId="53C70E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36" w:type="pct"/>
            <w:vMerge w:val="continue"/>
            <w:vAlign w:val="center"/>
          </w:tcPr>
          <w:p w14:paraId="370FC57E">
            <w:pPr>
              <w:spacing w:line="240" w:lineRule="auto"/>
              <w:ind w:firstLine="0" w:firstLineChars="0"/>
              <w:jc w:val="center"/>
              <w:rPr>
                <w:rFonts w:eastAsiaTheme="minorEastAsia"/>
                <w:color w:val="auto"/>
                <w:sz w:val="21"/>
                <w:szCs w:val="21"/>
                <w:highlight w:val="none"/>
              </w:rPr>
            </w:pPr>
          </w:p>
        </w:tc>
        <w:tc>
          <w:tcPr>
            <w:tcW w:w="835" w:type="pct"/>
            <w:vMerge w:val="restart"/>
            <w:vAlign w:val="center"/>
          </w:tcPr>
          <w:p w14:paraId="73183203">
            <w:pPr>
              <w:spacing w:line="240" w:lineRule="auto"/>
              <w:ind w:firstLine="0" w:firstLineChars="0"/>
              <w:jc w:val="center"/>
              <w:rPr>
                <w:rFonts w:eastAsiaTheme="minorEastAsia"/>
                <w:color w:val="auto"/>
                <w:sz w:val="21"/>
                <w:szCs w:val="21"/>
                <w:highlight w:val="none"/>
              </w:rPr>
            </w:pPr>
            <w:r>
              <w:rPr>
                <w:rFonts w:eastAsiaTheme="minorEastAsia"/>
                <w:color w:val="auto"/>
                <w:sz w:val="21"/>
                <w:szCs w:val="21"/>
                <w:highlight w:val="none"/>
              </w:rPr>
              <w:t>2025.12.16</w:t>
            </w:r>
          </w:p>
        </w:tc>
        <w:tc>
          <w:tcPr>
            <w:tcW w:w="816" w:type="pct"/>
            <w:vAlign w:val="center"/>
          </w:tcPr>
          <w:p w14:paraId="0243829F">
            <w:pPr>
              <w:spacing w:line="240" w:lineRule="auto"/>
              <w:ind w:firstLine="0" w:firstLineChars="0"/>
              <w:jc w:val="center"/>
              <w:rPr>
                <w:rFonts w:eastAsiaTheme="minorEastAsia"/>
                <w:color w:val="auto"/>
                <w:sz w:val="21"/>
                <w:szCs w:val="21"/>
                <w:highlight w:val="none"/>
              </w:rPr>
            </w:pPr>
            <w:r>
              <w:rPr>
                <w:rFonts w:eastAsiaTheme="minorEastAsia"/>
                <w:color w:val="auto"/>
                <w:sz w:val="21"/>
                <w:szCs w:val="21"/>
                <w:highlight w:val="none"/>
              </w:rPr>
              <w:t>昼间</w:t>
            </w:r>
          </w:p>
        </w:tc>
        <w:tc>
          <w:tcPr>
            <w:tcW w:w="1138" w:type="pct"/>
            <w:vAlign w:val="center"/>
          </w:tcPr>
          <w:p w14:paraId="72F6C608">
            <w:pPr>
              <w:spacing w:line="240" w:lineRule="auto"/>
              <w:ind w:firstLine="0" w:firstLineChars="0"/>
              <w:jc w:val="center"/>
              <w:rPr>
                <w:color w:val="auto"/>
                <w:sz w:val="21"/>
                <w:szCs w:val="21"/>
                <w:highlight w:val="none"/>
              </w:rPr>
            </w:pPr>
          </w:p>
        </w:tc>
        <w:tc>
          <w:tcPr>
            <w:tcW w:w="859" w:type="pct"/>
            <w:vAlign w:val="center"/>
          </w:tcPr>
          <w:p w14:paraId="00180A90">
            <w:pPr>
              <w:spacing w:line="240" w:lineRule="auto"/>
              <w:ind w:firstLine="0" w:firstLineChars="0"/>
              <w:jc w:val="center"/>
              <w:rPr>
                <w:rFonts w:eastAsiaTheme="minorEastAsia"/>
                <w:color w:val="auto"/>
                <w:sz w:val="21"/>
                <w:szCs w:val="21"/>
                <w:highlight w:val="none"/>
              </w:rPr>
            </w:pPr>
          </w:p>
        </w:tc>
        <w:tc>
          <w:tcPr>
            <w:tcW w:w="716" w:type="pct"/>
            <w:vAlign w:val="center"/>
          </w:tcPr>
          <w:p w14:paraId="3559DEDA">
            <w:pPr>
              <w:spacing w:line="240" w:lineRule="auto"/>
              <w:ind w:firstLine="0" w:firstLineChars="0"/>
              <w:jc w:val="center"/>
              <w:rPr>
                <w:rFonts w:eastAsiaTheme="minorEastAsia"/>
                <w:color w:val="auto"/>
                <w:sz w:val="21"/>
                <w:szCs w:val="21"/>
                <w:highlight w:val="none"/>
              </w:rPr>
            </w:pPr>
            <w:r>
              <w:rPr>
                <w:rFonts w:eastAsiaTheme="minorEastAsia"/>
                <w:color w:val="auto"/>
                <w:sz w:val="21"/>
                <w:szCs w:val="21"/>
                <w:highlight w:val="none"/>
              </w:rPr>
              <w:t>达标</w:t>
            </w:r>
          </w:p>
        </w:tc>
      </w:tr>
      <w:tr w14:paraId="31D8CA1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36" w:type="pct"/>
            <w:vMerge w:val="continue"/>
            <w:vAlign w:val="center"/>
          </w:tcPr>
          <w:p w14:paraId="1694E814">
            <w:pPr>
              <w:spacing w:line="240" w:lineRule="auto"/>
              <w:ind w:firstLine="0" w:firstLineChars="0"/>
              <w:jc w:val="center"/>
              <w:rPr>
                <w:rFonts w:eastAsiaTheme="minorEastAsia"/>
                <w:color w:val="auto"/>
                <w:sz w:val="21"/>
                <w:szCs w:val="21"/>
                <w:highlight w:val="none"/>
              </w:rPr>
            </w:pPr>
          </w:p>
        </w:tc>
        <w:tc>
          <w:tcPr>
            <w:tcW w:w="835" w:type="pct"/>
            <w:vMerge w:val="continue"/>
            <w:vAlign w:val="center"/>
          </w:tcPr>
          <w:p w14:paraId="69980767">
            <w:pPr>
              <w:spacing w:line="240" w:lineRule="auto"/>
              <w:ind w:firstLine="0" w:firstLineChars="0"/>
              <w:jc w:val="center"/>
              <w:rPr>
                <w:rFonts w:eastAsiaTheme="minorEastAsia"/>
                <w:color w:val="auto"/>
                <w:sz w:val="21"/>
                <w:szCs w:val="21"/>
                <w:highlight w:val="none"/>
              </w:rPr>
            </w:pPr>
          </w:p>
        </w:tc>
        <w:tc>
          <w:tcPr>
            <w:tcW w:w="816" w:type="pct"/>
            <w:vAlign w:val="center"/>
          </w:tcPr>
          <w:p w14:paraId="0860E6D8">
            <w:pPr>
              <w:spacing w:line="240" w:lineRule="auto"/>
              <w:ind w:firstLine="0" w:firstLineChars="0"/>
              <w:jc w:val="center"/>
              <w:rPr>
                <w:rFonts w:eastAsiaTheme="minorEastAsia"/>
                <w:color w:val="auto"/>
                <w:sz w:val="21"/>
                <w:szCs w:val="21"/>
                <w:highlight w:val="none"/>
              </w:rPr>
            </w:pPr>
            <w:r>
              <w:rPr>
                <w:rFonts w:eastAsiaTheme="minorEastAsia"/>
                <w:color w:val="auto"/>
                <w:sz w:val="21"/>
                <w:szCs w:val="21"/>
                <w:highlight w:val="none"/>
              </w:rPr>
              <w:t>夜间</w:t>
            </w:r>
          </w:p>
        </w:tc>
        <w:tc>
          <w:tcPr>
            <w:tcW w:w="1138" w:type="pct"/>
            <w:vAlign w:val="center"/>
          </w:tcPr>
          <w:p w14:paraId="08849994">
            <w:pPr>
              <w:spacing w:line="240" w:lineRule="auto"/>
              <w:ind w:firstLine="0" w:firstLineChars="0"/>
              <w:jc w:val="center"/>
              <w:rPr>
                <w:color w:val="auto"/>
                <w:sz w:val="21"/>
                <w:szCs w:val="21"/>
                <w:highlight w:val="none"/>
              </w:rPr>
            </w:pPr>
          </w:p>
        </w:tc>
        <w:tc>
          <w:tcPr>
            <w:tcW w:w="859" w:type="pct"/>
            <w:vAlign w:val="center"/>
          </w:tcPr>
          <w:p w14:paraId="62048394">
            <w:pPr>
              <w:spacing w:line="240" w:lineRule="auto"/>
              <w:ind w:firstLine="0" w:firstLineChars="0"/>
              <w:jc w:val="center"/>
              <w:rPr>
                <w:rFonts w:eastAsiaTheme="minorEastAsia"/>
                <w:color w:val="auto"/>
                <w:sz w:val="21"/>
                <w:szCs w:val="21"/>
                <w:highlight w:val="none"/>
              </w:rPr>
            </w:pPr>
          </w:p>
        </w:tc>
        <w:tc>
          <w:tcPr>
            <w:tcW w:w="716" w:type="pct"/>
            <w:vAlign w:val="center"/>
          </w:tcPr>
          <w:p w14:paraId="6238A32C">
            <w:pPr>
              <w:spacing w:line="240" w:lineRule="auto"/>
              <w:ind w:firstLine="0" w:firstLineChars="0"/>
              <w:jc w:val="center"/>
              <w:rPr>
                <w:rFonts w:eastAsiaTheme="minorEastAsia"/>
                <w:color w:val="auto"/>
                <w:sz w:val="21"/>
                <w:szCs w:val="21"/>
                <w:highlight w:val="none"/>
              </w:rPr>
            </w:pPr>
            <w:r>
              <w:rPr>
                <w:rFonts w:eastAsiaTheme="minorEastAsia"/>
                <w:color w:val="auto"/>
                <w:sz w:val="21"/>
                <w:szCs w:val="21"/>
                <w:highlight w:val="none"/>
              </w:rPr>
              <w:t>达标</w:t>
            </w:r>
          </w:p>
        </w:tc>
      </w:tr>
      <w:tr w14:paraId="307F0D9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36" w:type="pct"/>
            <w:vMerge w:val="restart"/>
            <w:vAlign w:val="center"/>
          </w:tcPr>
          <w:p w14:paraId="64CDBEE7">
            <w:pPr>
              <w:spacing w:line="240" w:lineRule="auto"/>
              <w:ind w:firstLine="0" w:firstLineChars="0"/>
              <w:jc w:val="center"/>
              <w:rPr>
                <w:rFonts w:eastAsiaTheme="minorEastAsia"/>
                <w:color w:val="auto"/>
                <w:sz w:val="21"/>
                <w:szCs w:val="21"/>
                <w:highlight w:val="none"/>
              </w:rPr>
            </w:pPr>
            <w:r>
              <w:rPr>
                <w:rFonts w:eastAsiaTheme="minorEastAsia"/>
                <w:color w:val="auto"/>
                <w:sz w:val="21"/>
                <w:szCs w:val="21"/>
                <w:highlight w:val="none"/>
              </w:rPr>
              <w:t>N3浮船坞建筑硬化场地西面</w:t>
            </w:r>
          </w:p>
        </w:tc>
        <w:tc>
          <w:tcPr>
            <w:tcW w:w="835" w:type="pct"/>
            <w:vMerge w:val="restart"/>
            <w:vAlign w:val="center"/>
          </w:tcPr>
          <w:p w14:paraId="442188FF">
            <w:pPr>
              <w:spacing w:line="240" w:lineRule="auto"/>
              <w:ind w:firstLine="0" w:firstLineChars="0"/>
              <w:jc w:val="center"/>
              <w:rPr>
                <w:rFonts w:eastAsiaTheme="minorEastAsia"/>
                <w:color w:val="auto"/>
                <w:sz w:val="21"/>
                <w:szCs w:val="21"/>
                <w:highlight w:val="none"/>
              </w:rPr>
            </w:pPr>
            <w:r>
              <w:rPr>
                <w:rFonts w:eastAsiaTheme="minorEastAsia"/>
                <w:color w:val="auto"/>
                <w:sz w:val="21"/>
                <w:szCs w:val="21"/>
                <w:highlight w:val="none"/>
              </w:rPr>
              <w:t>2025.12.15</w:t>
            </w:r>
          </w:p>
        </w:tc>
        <w:tc>
          <w:tcPr>
            <w:tcW w:w="816" w:type="pct"/>
            <w:vAlign w:val="center"/>
          </w:tcPr>
          <w:p w14:paraId="559179C0">
            <w:pPr>
              <w:spacing w:line="240" w:lineRule="auto"/>
              <w:ind w:firstLine="0" w:firstLineChars="0"/>
              <w:jc w:val="center"/>
              <w:rPr>
                <w:rFonts w:eastAsiaTheme="minorEastAsia"/>
                <w:color w:val="auto"/>
                <w:sz w:val="21"/>
                <w:szCs w:val="21"/>
                <w:highlight w:val="none"/>
              </w:rPr>
            </w:pPr>
            <w:r>
              <w:rPr>
                <w:rFonts w:eastAsiaTheme="minorEastAsia"/>
                <w:color w:val="auto"/>
                <w:sz w:val="21"/>
                <w:szCs w:val="21"/>
                <w:highlight w:val="none"/>
              </w:rPr>
              <w:t>昼间</w:t>
            </w:r>
          </w:p>
        </w:tc>
        <w:tc>
          <w:tcPr>
            <w:tcW w:w="1138" w:type="pct"/>
            <w:vAlign w:val="center"/>
          </w:tcPr>
          <w:p w14:paraId="48F88FCB">
            <w:pPr>
              <w:spacing w:line="240" w:lineRule="auto"/>
              <w:ind w:firstLine="0" w:firstLineChars="0"/>
              <w:jc w:val="center"/>
              <w:rPr>
                <w:color w:val="auto"/>
                <w:sz w:val="21"/>
                <w:szCs w:val="21"/>
                <w:highlight w:val="none"/>
              </w:rPr>
            </w:pPr>
          </w:p>
        </w:tc>
        <w:tc>
          <w:tcPr>
            <w:tcW w:w="859" w:type="pct"/>
            <w:vAlign w:val="center"/>
          </w:tcPr>
          <w:p w14:paraId="02B13ECF">
            <w:pPr>
              <w:spacing w:line="240" w:lineRule="auto"/>
              <w:ind w:firstLine="0" w:firstLineChars="0"/>
              <w:jc w:val="center"/>
              <w:rPr>
                <w:rFonts w:eastAsiaTheme="minorEastAsia"/>
                <w:color w:val="auto"/>
                <w:sz w:val="21"/>
                <w:szCs w:val="21"/>
                <w:highlight w:val="none"/>
              </w:rPr>
            </w:pPr>
          </w:p>
        </w:tc>
        <w:tc>
          <w:tcPr>
            <w:tcW w:w="716" w:type="pct"/>
            <w:vAlign w:val="center"/>
          </w:tcPr>
          <w:p w14:paraId="64C3396E">
            <w:pPr>
              <w:spacing w:line="240" w:lineRule="auto"/>
              <w:ind w:firstLine="0" w:firstLineChars="0"/>
              <w:jc w:val="center"/>
              <w:rPr>
                <w:rFonts w:eastAsiaTheme="minorEastAsia"/>
                <w:color w:val="auto"/>
                <w:sz w:val="21"/>
                <w:szCs w:val="21"/>
                <w:highlight w:val="none"/>
              </w:rPr>
            </w:pPr>
            <w:r>
              <w:rPr>
                <w:rFonts w:eastAsiaTheme="minorEastAsia"/>
                <w:color w:val="auto"/>
                <w:sz w:val="21"/>
                <w:szCs w:val="21"/>
                <w:highlight w:val="none"/>
              </w:rPr>
              <w:t>达标</w:t>
            </w:r>
          </w:p>
        </w:tc>
      </w:tr>
      <w:tr w14:paraId="3757C0C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36" w:type="pct"/>
            <w:vMerge w:val="continue"/>
            <w:vAlign w:val="center"/>
          </w:tcPr>
          <w:p w14:paraId="15389E5E">
            <w:pPr>
              <w:spacing w:line="240" w:lineRule="auto"/>
              <w:ind w:firstLine="0" w:firstLineChars="0"/>
              <w:jc w:val="center"/>
              <w:rPr>
                <w:rFonts w:eastAsiaTheme="minorEastAsia"/>
                <w:color w:val="auto"/>
                <w:sz w:val="21"/>
                <w:szCs w:val="21"/>
                <w:highlight w:val="none"/>
              </w:rPr>
            </w:pPr>
          </w:p>
        </w:tc>
        <w:tc>
          <w:tcPr>
            <w:tcW w:w="835" w:type="pct"/>
            <w:vMerge w:val="continue"/>
            <w:vAlign w:val="center"/>
          </w:tcPr>
          <w:p w14:paraId="38202715">
            <w:pPr>
              <w:spacing w:line="240" w:lineRule="auto"/>
              <w:ind w:firstLine="0" w:firstLineChars="0"/>
              <w:jc w:val="center"/>
              <w:rPr>
                <w:rFonts w:eastAsiaTheme="minorEastAsia"/>
                <w:color w:val="auto"/>
                <w:sz w:val="21"/>
                <w:szCs w:val="21"/>
                <w:highlight w:val="none"/>
              </w:rPr>
            </w:pPr>
          </w:p>
        </w:tc>
        <w:tc>
          <w:tcPr>
            <w:tcW w:w="816" w:type="pct"/>
            <w:vAlign w:val="center"/>
          </w:tcPr>
          <w:p w14:paraId="44882D8A">
            <w:pPr>
              <w:spacing w:line="240" w:lineRule="auto"/>
              <w:ind w:firstLine="0" w:firstLineChars="0"/>
              <w:jc w:val="center"/>
              <w:rPr>
                <w:rFonts w:eastAsiaTheme="minorEastAsia"/>
                <w:color w:val="auto"/>
                <w:sz w:val="21"/>
                <w:szCs w:val="21"/>
                <w:highlight w:val="none"/>
              </w:rPr>
            </w:pPr>
            <w:r>
              <w:rPr>
                <w:rFonts w:eastAsiaTheme="minorEastAsia"/>
                <w:color w:val="auto"/>
                <w:sz w:val="21"/>
                <w:szCs w:val="21"/>
                <w:highlight w:val="none"/>
              </w:rPr>
              <w:t>夜间</w:t>
            </w:r>
          </w:p>
        </w:tc>
        <w:tc>
          <w:tcPr>
            <w:tcW w:w="1138" w:type="pct"/>
            <w:vAlign w:val="center"/>
          </w:tcPr>
          <w:p w14:paraId="3747E9F7">
            <w:pPr>
              <w:spacing w:line="240" w:lineRule="auto"/>
              <w:ind w:firstLine="0" w:firstLineChars="0"/>
              <w:jc w:val="center"/>
              <w:rPr>
                <w:color w:val="auto"/>
                <w:sz w:val="21"/>
                <w:szCs w:val="21"/>
                <w:highlight w:val="none"/>
              </w:rPr>
            </w:pPr>
          </w:p>
        </w:tc>
        <w:tc>
          <w:tcPr>
            <w:tcW w:w="859" w:type="pct"/>
            <w:vAlign w:val="center"/>
          </w:tcPr>
          <w:p w14:paraId="5CE7729C">
            <w:pPr>
              <w:spacing w:line="240" w:lineRule="auto"/>
              <w:ind w:firstLine="0" w:firstLineChars="0"/>
              <w:jc w:val="center"/>
              <w:rPr>
                <w:rFonts w:eastAsiaTheme="minorEastAsia"/>
                <w:color w:val="auto"/>
                <w:sz w:val="21"/>
                <w:szCs w:val="21"/>
                <w:highlight w:val="none"/>
              </w:rPr>
            </w:pPr>
          </w:p>
        </w:tc>
        <w:tc>
          <w:tcPr>
            <w:tcW w:w="716" w:type="pct"/>
            <w:vAlign w:val="center"/>
          </w:tcPr>
          <w:p w14:paraId="3624A842">
            <w:pPr>
              <w:spacing w:line="240" w:lineRule="auto"/>
              <w:ind w:firstLine="0" w:firstLineChars="0"/>
              <w:jc w:val="center"/>
              <w:rPr>
                <w:rFonts w:eastAsiaTheme="minorEastAsia"/>
                <w:color w:val="auto"/>
                <w:sz w:val="21"/>
                <w:szCs w:val="21"/>
                <w:highlight w:val="none"/>
              </w:rPr>
            </w:pPr>
            <w:r>
              <w:rPr>
                <w:rFonts w:eastAsiaTheme="minorEastAsia"/>
                <w:color w:val="auto"/>
                <w:sz w:val="21"/>
                <w:szCs w:val="21"/>
                <w:highlight w:val="none"/>
              </w:rPr>
              <w:t>达标</w:t>
            </w:r>
          </w:p>
        </w:tc>
      </w:tr>
      <w:tr w14:paraId="3694A4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36" w:type="pct"/>
            <w:vMerge w:val="continue"/>
            <w:vAlign w:val="center"/>
          </w:tcPr>
          <w:p w14:paraId="3C8C1D43">
            <w:pPr>
              <w:spacing w:line="240" w:lineRule="auto"/>
              <w:ind w:firstLine="0" w:firstLineChars="0"/>
              <w:jc w:val="center"/>
              <w:rPr>
                <w:rFonts w:eastAsiaTheme="minorEastAsia"/>
                <w:color w:val="auto"/>
                <w:sz w:val="21"/>
                <w:szCs w:val="21"/>
                <w:highlight w:val="none"/>
              </w:rPr>
            </w:pPr>
          </w:p>
        </w:tc>
        <w:tc>
          <w:tcPr>
            <w:tcW w:w="835" w:type="pct"/>
            <w:vMerge w:val="restart"/>
            <w:vAlign w:val="center"/>
          </w:tcPr>
          <w:p w14:paraId="664B744C">
            <w:pPr>
              <w:spacing w:line="240" w:lineRule="auto"/>
              <w:ind w:firstLine="0" w:firstLineChars="0"/>
              <w:jc w:val="center"/>
              <w:rPr>
                <w:rFonts w:eastAsiaTheme="minorEastAsia"/>
                <w:color w:val="auto"/>
                <w:sz w:val="21"/>
                <w:szCs w:val="21"/>
                <w:highlight w:val="none"/>
              </w:rPr>
            </w:pPr>
            <w:r>
              <w:rPr>
                <w:rFonts w:eastAsiaTheme="minorEastAsia"/>
                <w:color w:val="auto"/>
                <w:sz w:val="21"/>
                <w:szCs w:val="21"/>
                <w:highlight w:val="none"/>
              </w:rPr>
              <w:t>2025.12.16</w:t>
            </w:r>
          </w:p>
        </w:tc>
        <w:tc>
          <w:tcPr>
            <w:tcW w:w="816" w:type="pct"/>
            <w:vAlign w:val="center"/>
          </w:tcPr>
          <w:p w14:paraId="77B96318">
            <w:pPr>
              <w:spacing w:line="240" w:lineRule="auto"/>
              <w:ind w:firstLine="0" w:firstLineChars="0"/>
              <w:jc w:val="center"/>
              <w:rPr>
                <w:rFonts w:eastAsiaTheme="minorEastAsia"/>
                <w:color w:val="auto"/>
                <w:sz w:val="21"/>
                <w:szCs w:val="21"/>
                <w:highlight w:val="none"/>
              </w:rPr>
            </w:pPr>
            <w:r>
              <w:rPr>
                <w:rFonts w:eastAsiaTheme="minorEastAsia"/>
                <w:color w:val="auto"/>
                <w:sz w:val="21"/>
                <w:szCs w:val="21"/>
                <w:highlight w:val="none"/>
              </w:rPr>
              <w:t>昼间</w:t>
            </w:r>
          </w:p>
        </w:tc>
        <w:tc>
          <w:tcPr>
            <w:tcW w:w="1138" w:type="pct"/>
            <w:vAlign w:val="center"/>
          </w:tcPr>
          <w:p w14:paraId="1E1B879B">
            <w:pPr>
              <w:spacing w:line="240" w:lineRule="auto"/>
              <w:ind w:firstLine="0" w:firstLineChars="0"/>
              <w:jc w:val="center"/>
              <w:rPr>
                <w:color w:val="auto"/>
                <w:sz w:val="21"/>
                <w:szCs w:val="21"/>
                <w:highlight w:val="none"/>
              </w:rPr>
            </w:pPr>
          </w:p>
        </w:tc>
        <w:tc>
          <w:tcPr>
            <w:tcW w:w="859" w:type="pct"/>
            <w:vAlign w:val="center"/>
          </w:tcPr>
          <w:p w14:paraId="212E10C3">
            <w:pPr>
              <w:spacing w:line="240" w:lineRule="auto"/>
              <w:ind w:firstLine="0" w:firstLineChars="0"/>
              <w:jc w:val="center"/>
              <w:rPr>
                <w:rFonts w:eastAsiaTheme="minorEastAsia"/>
                <w:color w:val="auto"/>
                <w:sz w:val="21"/>
                <w:szCs w:val="21"/>
                <w:highlight w:val="none"/>
              </w:rPr>
            </w:pPr>
          </w:p>
        </w:tc>
        <w:tc>
          <w:tcPr>
            <w:tcW w:w="716" w:type="pct"/>
            <w:vAlign w:val="center"/>
          </w:tcPr>
          <w:p w14:paraId="7F45DF4E">
            <w:pPr>
              <w:spacing w:line="240" w:lineRule="auto"/>
              <w:ind w:firstLine="0" w:firstLineChars="0"/>
              <w:jc w:val="center"/>
              <w:rPr>
                <w:rFonts w:eastAsiaTheme="minorEastAsia"/>
                <w:color w:val="auto"/>
                <w:sz w:val="21"/>
                <w:szCs w:val="21"/>
                <w:highlight w:val="none"/>
              </w:rPr>
            </w:pPr>
            <w:r>
              <w:rPr>
                <w:rFonts w:eastAsiaTheme="minorEastAsia"/>
                <w:color w:val="auto"/>
                <w:sz w:val="21"/>
                <w:szCs w:val="21"/>
                <w:highlight w:val="none"/>
              </w:rPr>
              <w:t>达标</w:t>
            </w:r>
          </w:p>
        </w:tc>
      </w:tr>
      <w:tr w14:paraId="037F7F1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36" w:type="pct"/>
            <w:vMerge w:val="continue"/>
            <w:vAlign w:val="center"/>
          </w:tcPr>
          <w:p w14:paraId="7F7F607C">
            <w:pPr>
              <w:spacing w:line="240" w:lineRule="auto"/>
              <w:ind w:firstLine="0" w:firstLineChars="0"/>
              <w:jc w:val="center"/>
              <w:rPr>
                <w:rFonts w:eastAsiaTheme="minorEastAsia"/>
                <w:color w:val="auto"/>
                <w:sz w:val="21"/>
                <w:szCs w:val="21"/>
                <w:highlight w:val="none"/>
              </w:rPr>
            </w:pPr>
          </w:p>
        </w:tc>
        <w:tc>
          <w:tcPr>
            <w:tcW w:w="835" w:type="pct"/>
            <w:vMerge w:val="continue"/>
            <w:vAlign w:val="center"/>
          </w:tcPr>
          <w:p w14:paraId="54A55FBE">
            <w:pPr>
              <w:spacing w:line="240" w:lineRule="auto"/>
              <w:ind w:firstLine="0" w:firstLineChars="0"/>
              <w:jc w:val="center"/>
              <w:rPr>
                <w:rFonts w:eastAsiaTheme="minorEastAsia"/>
                <w:color w:val="auto"/>
                <w:sz w:val="21"/>
                <w:szCs w:val="21"/>
                <w:highlight w:val="none"/>
              </w:rPr>
            </w:pPr>
          </w:p>
        </w:tc>
        <w:tc>
          <w:tcPr>
            <w:tcW w:w="816" w:type="pct"/>
            <w:vAlign w:val="center"/>
          </w:tcPr>
          <w:p w14:paraId="6756EF09">
            <w:pPr>
              <w:spacing w:line="240" w:lineRule="auto"/>
              <w:ind w:firstLine="0" w:firstLineChars="0"/>
              <w:jc w:val="center"/>
              <w:rPr>
                <w:rFonts w:eastAsiaTheme="minorEastAsia"/>
                <w:color w:val="auto"/>
                <w:sz w:val="21"/>
                <w:szCs w:val="21"/>
                <w:highlight w:val="none"/>
              </w:rPr>
            </w:pPr>
            <w:r>
              <w:rPr>
                <w:rFonts w:eastAsiaTheme="minorEastAsia"/>
                <w:color w:val="auto"/>
                <w:sz w:val="21"/>
                <w:szCs w:val="21"/>
                <w:highlight w:val="none"/>
              </w:rPr>
              <w:t>夜间</w:t>
            </w:r>
          </w:p>
        </w:tc>
        <w:tc>
          <w:tcPr>
            <w:tcW w:w="1138" w:type="pct"/>
            <w:vAlign w:val="center"/>
          </w:tcPr>
          <w:p w14:paraId="0D1D2582">
            <w:pPr>
              <w:spacing w:line="240" w:lineRule="auto"/>
              <w:ind w:firstLine="0" w:firstLineChars="0"/>
              <w:jc w:val="center"/>
              <w:rPr>
                <w:color w:val="auto"/>
                <w:sz w:val="21"/>
                <w:szCs w:val="21"/>
                <w:highlight w:val="none"/>
              </w:rPr>
            </w:pPr>
          </w:p>
        </w:tc>
        <w:tc>
          <w:tcPr>
            <w:tcW w:w="859" w:type="pct"/>
            <w:vAlign w:val="center"/>
          </w:tcPr>
          <w:p w14:paraId="32349BA8">
            <w:pPr>
              <w:spacing w:line="240" w:lineRule="auto"/>
              <w:ind w:firstLine="0" w:firstLineChars="0"/>
              <w:jc w:val="center"/>
              <w:rPr>
                <w:rFonts w:eastAsiaTheme="minorEastAsia"/>
                <w:color w:val="auto"/>
                <w:sz w:val="21"/>
                <w:szCs w:val="21"/>
                <w:highlight w:val="none"/>
              </w:rPr>
            </w:pPr>
          </w:p>
        </w:tc>
        <w:tc>
          <w:tcPr>
            <w:tcW w:w="716" w:type="pct"/>
            <w:vAlign w:val="center"/>
          </w:tcPr>
          <w:p w14:paraId="2744550C">
            <w:pPr>
              <w:spacing w:line="240" w:lineRule="auto"/>
              <w:ind w:firstLine="0" w:firstLineChars="0"/>
              <w:jc w:val="center"/>
              <w:rPr>
                <w:rFonts w:eastAsiaTheme="minorEastAsia"/>
                <w:color w:val="auto"/>
                <w:sz w:val="21"/>
                <w:szCs w:val="21"/>
                <w:highlight w:val="none"/>
              </w:rPr>
            </w:pPr>
            <w:r>
              <w:rPr>
                <w:rFonts w:eastAsiaTheme="minorEastAsia"/>
                <w:color w:val="auto"/>
                <w:sz w:val="21"/>
                <w:szCs w:val="21"/>
                <w:highlight w:val="none"/>
              </w:rPr>
              <w:t>达标</w:t>
            </w:r>
          </w:p>
        </w:tc>
      </w:tr>
    </w:tbl>
    <w:p w14:paraId="4D3C0F2A">
      <w:pPr>
        <w:spacing w:before="120" w:beforeLines="50"/>
        <w:ind w:firstLine="480"/>
        <w:rPr>
          <w:color w:val="auto"/>
          <w:highlight w:val="none"/>
        </w:rPr>
      </w:pPr>
      <w:r>
        <w:rPr>
          <w:color w:val="auto"/>
          <w:highlight w:val="none"/>
        </w:rPr>
        <w:t>从表中可知：项目所在区域昼间、夜间噪声均达到《声环境质量标准》（GB3096-2008）3类标准限值要求。</w:t>
      </w:r>
    </w:p>
    <w:p w14:paraId="141EAEBA">
      <w:pPr>
        <w:pStyle w:val="6"/>
        <w:numPr>
          <w:ilvl w:val="1"/>
          <w:numId w:val="9"/>
        </w:numPr>
        <w:rPr>
          <w:color w:val="auto"/>
          <w:sz w:val="32"/>
          <w:szCs w:val="32"/>
          <w:highlight w:val="none"/>
        </w:rPr>
      </w:pPr>
      <w:bookmarkStart w:id="171" w:name="_Toc28307"/>
      <w:bookmarkStart w:id="172" w:name="_Toc15743"/>
      <w:r>
        <w:rPr>
          <w:color w:val="auto"/>
          <w:sz w:val="32"/>
          <w:szCs w:val="32"/>
          <w:highlight w:val="none"/>
        </w:rPr>
        <w:t>区域污染源调查</w:t>
      </w:r>
      <w:bookmarkEnd w:id="171"/>
      <w:bookmarkEnd w:id="172"/>
    </w:p>
    <w:p w14:paraId="7821E1B2">
      <w:pPr>
        <w:ind w:firstLine="480"/>
        <w:rPr>
          <w:rFonts w:eastAsiaTheme="minorEastAsia"/>
          <w:color w:val="auto"/>
          <w:highlight w:val="none"/>
        </w:rPr>
      </w:pPr>
      <w:r>
        <w:rPr>
          <w:rFonts w:eastAsiaTheme="minorEastAsia"/>
          <w:color w:val="auto"/>
          <w:highlight w:val="none"/>
        </w:rPr>
        <w:t>项目选址位于钦州港大榄坪港区三墩作业区，项目选址位于中船钦州修船资源整合项目范围内，现已建成运营，</w:t>
      </w:r>
      <w:r>
        <w:rPr>
          <w:rFonts w:hint="eastAsia" w:eastAsiaTheme="minorEastAsia"/>
          <w:color w:val="auto"/>
          <w:highlight w:val="none"/>
        </w:rPr>
        <w:t>该项目</w:t>
      </w:r>
      <w:r>
        <w:rPr>
          <w:rFonts w:eastAsiaTheme="minorEastAsia"/>
          <w:color w:val="auto"/>
          <w:highlight w:val="none"/>
        </w:rPr>
        <w:t>年修理和改装10万吨级以下各型船舶及海洋工程产品90艘。</w:t>
      </w:r>
    </w:p>
    <w:p w14:paraId="46DC587C">
      <w:pPr>
        <w:ind w:firstLine="480"/>
        <w:rPr>
          <w:rFonts w:eastAsiaTheme="minorEastAsia"/>
          <w:color w:val="auto"/>
          <w:highlight w:val="none"/>
        </w:rPr>
      </w:pPr>
      <w:r>
        <w:rPr>
          <w:rFonts w:eastAsiaTheme="minorEastAsia"/>
          <w:color w:val="auto"/>
          <w:highlight w:val="none"/>
        </w:rPr>
        <w:t>项目西侧为中船广西海上风电装备产业基地南翼项目2#码头和5#码头工程，5#码头为舾装码头，2#码头主要为海工重件出运码头，兼顾作为舾装码头使用，已建成运营；南面为</w:t>
      </w:r>
      <w:r>
        <w:rPr>
          <w:color w:val="auto"/>
          <w:highlight w:val="none"/>
        </w:rPr>
        <w:t>广西文船重工有限公司</w:t>
      </w:r>
      <w:r>
        <w:rPr>
          <w:rFonts w:eastAsiaTheme="minorEastAsia"/>
          <w:color w:val="auto"/>
          <w:highlight w:val="none"/>
        </w:rPr>
        <w:t xml:space="preserve">中船广西海上风电装备产业南翼（一期）项目，年产海上风电单桩12万吨，已建成运营。 </w:t>
      </w:r>
    </w:p>
    <w:p w14:paraId="0E3B5967">
      <w:pPr>
        <w:ind w:firstLine="480"/>
        <w:rPr>
          <w:rFonts w:eastAsiaTheme="minorEastAsia"/>
          <w:color w:val="auto"/>
          <w:highlight w:val="none"/>
        </w:rPr>
      </w:pPr>
      <w:r>
        <w:rPr>
          <w:rFonts w:eastAsiaTheme="minorEastAsia"/>
          <w:color w:val="auto"/>
          <w:highlight w:val="none"/>
        </w:rPr>
        <w:t>项目所在区域主要污染源为大榄坪港区1~10#泊位、12#、13#泊位、2#码头和5#码头工程的装卸废气、道路扬尘、进港船舶废气、配套装卸设备噪声、生活污水、车辆冲洗废水、集装箱冲洗废水、场区初期雨水、进港船舶生活污水、生活垃圾以及维修车间产生的废机油；中船钦州修船资源整合项目产生油漆有机废气、各类粉尘、油烟废气、含油废水、化学清洗酸碱废水、生活污水、船舶废油、</w:t>
      </w:r>
      <w:r>
        <w:rPr>
          <w:rFonts w:hint="eastAsia" w:eastAsiaTheme="minorEastAsia"/>
          <w:color w:val="auto"/>
          <w:highlight w:val="none"/>
        </w:rPr>
        <w:t>漆渣、</w:t>
      </w:r>
      <w:r>
        <w:rPr>
          <w:rFonts w:eastAsiaTheme="minorEastAsia"/>
          <w:color w:val="auto"/>
          <w:highlight w:val="none"/>
        </w:rPr>
        <w:t>废油漆桶、化学清洗废液、废乳化液、含油锯木和棉纱、油污水处理站产生的废油及污泥等危险废物，废铜矿砂及铁锈、生活垃圾及动力设备运行噪声等。中船广西海上风电装备产业南翼（一期）项目产生的焊接烟尘、各类粉尘、喷漆废气等，生活污水、初期雨水，废金属边角料、焊渣、废钢丸、铁锈、除尘系统收集的粉尘及沉降粉尘、初期雨水收集池沉渣等固体废物</w:t>
      </w:r>
      <w:r>
        <w:rPr>
          <w:rFonts w:hint="eastAsia" w:eastAsiaTheme="minorEastAsia"/>
          <w:color w:val="auto"/>
          <w:highlight w:val="none"/>
        </w:rPr>
        <w:t>。</w:t>
      </w:r>
    </w:p>
    <w:p w14:paraId="15E17B6B">
      <w:pPr>
        <w:ind w:firstLine="480"/>
        <w:rPr>
          <w:rFonts w:eastAsiaTheme="minorEastAsia"/>
          <w:color w:val="auto"/>
          <w:highlight w:val="none"/>
        </w:rPr>
      </w:pPr>
      <w:r>
        <w:rPr>
          <w:rFonts w:hint="eastAsia" w:eastAsiaTheme="minorEastAsia"/>
          <w:color w:val="auto"/>
          <w:highlight w:val="none"/>
          <w:u w:val="single"/>
        </w:rPr>
        <w:t>此外，项目附近分布有较多蚝排，污染源主要为养殖过程中牡蛎生长过程中产生的分泌排泄物，养殖管理船舶燃油废气、噪声、油污废水、生活垃圾，以及养殖管理维护产生的废网绳、废浮球、废网笼等</w:t>
      </w:r>
      <w:r>
        <w:rPr>
          <w:rFonts w:eastAsiaTheme="minorEastAsia"/>
          <w:color w:val="auto"/>
          <w:highlight w:val="none"/>
        </w:rPr>
        <w:t>。</w:t>
      </w:r>
    </w:p>
    <w:p w14:paraId="064877CA">
      <w:pPr>
        <w:ind w:firstLine="480"/>
        <w:rPr>
          <w:rFonts w:eastAsiaTheme="minorEastAsia"/>
          <w:color w:val="auto"/>
          <w:highlight w:val="none"/>
        </w:rPr>
        <w:sectPr>
          <w:headerReference r:id="rId42" w:type="default"/>
          <w:footerReference r:id="rId43" w:type="default"/>
          <w:pgSz w:w="11906" w:h="16838"/>
          <w:pgMar w:top="1559" w:right="1418" w:bottom="1503" w:left="1418" w:header="850" w:footer="964" w:gutter="0"/>
          <w:cols w:space="720" w:num="1"/>
          <w:docGrid w:linePitch="326" w:charSpace="0"/>
        </w:sectPr>
      </w:pPr>
      <w:bookmarkStart w:id="173" w:name="_Toc475975367"/>
    </w:p>
    <w:p w14:paraId="2528318A">
      <w:pPr>
        <w:pStyle w:val="5"/>
        <w:numPr>
          <w:ilvl w:val="0"/>
          <w:numId w:val="9"/>
        </w:numPr>
        <w:jc w:val="center"/>
        <w:rPr>
          <w:color w:val="auto"/>
          <w:sz w:val="36"/>
          <w:szCs w:val="36"/>
          <w:highlight w:val="none"/>
        </w:rPr>
      </w:pPr>
      <w:bookmarkStart w:id="174" w:name="_Toc10303"/>
      <w:bookmarkStart w:id="175" w:name="_Toc33967113"/>
      <w:bookmarkStart w:id="176" w:name="_Hlk39234177"/>
      <w:bookmarkStart w:id="177" w:name="_Toc33967217"/>
      <w:bookmarkStart w:id="178" w:name="_Toc20183"/>
      <w:r>
        <w:rPr>
          <w:color w:val="auto"/>
          <w:sz w:val="36"/>
          <w:szCs w:val="36"/>
          <w:highlight w:val="none"/>
        </w:rPr>
        <w:t>环境影响</w:t>
      </w:r>
      <w:bookmarkEnd w:id="173"/>
      <w:r>
        <w:rPr>
          <w:color w:val="auto"/>
          <w:sz w:val="36"/>
          <w:szCs w:val="36"/>
          <w:highlight w:val="none"/>
        </w:rPr>
        <w:t>预测与评价</w:t>
      </w:r>
      <w:bookmarkEnd w:id="174"/>
      <w:bookmarkEnd w:id="175"/>
      <w:bookmarkEnd w:id="176"/>
      <w:bookmarkEnd w:id="177"/>
      <w:bookmarkEnd w:id="178"/>
    </w:p>
    <w:p w14:paraId="1201349B">
      <w:pPr>
        <w:pStyle w:val="6"/>
        <w:numPr>
          <w:ilvl w:val="1"/>
          <w:numId w:val="9"/>
        </w:numPr>
        <w:rPr>
          <w:color w:val="auto"/>
          <w:sz w:val="32"/>
          <w:szCs w:val="32"/>
          <w:highlight w:val="none"/>
        </w:rPr>
      </w:pPr>
      <w:bookmarkStart w:id="179" w:name="_Toc361515059"/>
      <w:bookmarkEnd w:id="179"/>
      <w:bookmarkStart w:id="180" w:name="_Toc3445"/>
      <w:bookmarkStart w:id="181" w:name="_Toc16220"/>
      <w:bookmarkStart w:id="182" w:name="_Toc371234008"/>
      <w:bookmarkStart w:id="183" w:name="_Toc33967218"/>
      <w:bookmarkStart w:id="184" w:name="_Toc33967114"/>
      <w:bookmarkStart w:id="185" w:name="_Toc475975368"/>
      <w:bookmarkStart w:id="186" w:name="_Toc475975369"/>
      <w:r>
        <w:rPr>
          <w:color w:val="auto"/>
          <w:sz w:val="32"/>
          <w:szCs w:val="32"/>
          <w:highlight w:val="none"/>
        </w:rPr>
        <w:t>施工期环境影响预测与评价</w:t>
      </w:r>
      <w:bookmarkEnd w:id="180"/>
      <w:bookmarkEnd w:id="181"/>
    </w:p>
    <w:p w14:paraId="534BDDFF">
      <w:pPr>
        <w:pStyle w:val="7"/>
        <w:numPr>
          <w:ilvl w:val="2"/>
          <w:numId w:val="9"/>
        </w:numPr>
        <w:rPr>
          <w:color w:val="auto"/>
          <w:sz w:val="28"/>
          <w:highlight w:val="none"/>
        </w:rPr>
      </w:pPr>
      <w:bookmarkStart w:id="187" w:name="_Toc34128258"/>
      <w:r>
        <w:rPr>
          <w:color w:val="auto"/>
          <w:sz w:val="28"/>
          <w:highlight w:val="none"/>
        </w:rPr>
        <w:t>施工期大气环境影响分析</w:t>
      </w:r>
    </w:p>
    <w:p w14:paraId="2090689D">
      <w:pPr>
        <w:pStyle w:val="533"/>
        <w:numPr>
          <w:ilvl w:val="3"/>
          <w:numId w:val="9"/>
        </w:numPr>
        <w:rPr>
          <w:color w:val="auto"/>
          <w:szCs w:val="24"/>
          <w:highlight w:val="none"/>
        </w:rPr>
      </w:pPr>
      <w:r>
        <w:rPr>
          <w:color w:val="auto"/>
          <w:szCs w:val="24"/>
          <w:highlight w:val="none"/>
        </w:rPr>
        <w:t>施工粉尘影响分析</w:t>
      </w:r>
    </w:p>
    <w:p w14:paraId="5F0A14DE">
      <w:pPr>
        <w:ind w:firstLine="480"/>
        <w:rPr>
          <w:color w:val="auto"/>
          <w:highlight w:val="none"/>
        </w:rPr>
      </w:pPr>
      <w:r>
        <w:rPr>
          <w:color w:val="auto"/>
          <w:highlight w:val="none"/>
        </w:rPr>
        <w:t>施工期浮船坞建造场地位置的场地平整、材料运输堆存等各种施工活动将给施工现场造成TSP污染影响。根据国内港口工程施工现场监测资料，在正常风况下，施工活动将使施工现场及附近大气环境中的TSP浓度增加。能产生扬尘的颗粒物</w:t>
      </w:r>
      <w:r>
        <w:rPr>
          <w:rFonts w:hint="eastAsia"/>
          <w:color w:val="auto"/>
          <w:highlight w:val="none"/>
          <w:lang w:eastAsia="zh-CN"/>
        </w:rPr>
        <w:t>粒径</w:t>
      </w:r>
      <w:r>
        <w:rPr>
          <w:color w:val="auto"/>
          <w:highlight w:val="none"/>
        </w:rPr>
        <w:t>分布为：＜5μm的占8%，5～20μm的占24%，＞20μm占68%。据类似区域施工现场监测结果，采取洒水抑尘措施后，离施工现场50m处，TSP日均浓度为0.426mg/m</w:t>
      </w:r>
      <w:r>
        <w:rPr>
          <w:color w:val="auto"/>
          <w:highlight w:val="none"/>
          <w:vertAlign w:val="superscript"/>
        </w:rPr>
        <w:t>3</w:t>
      </w:r>
      <w:r>
        <w:rPr>
          <w:color w:val="auto"/>
          <w:highlight w:val="none"/>
        </w:rPr>
        <w:t>，离现场200m处日均浓度为0.215mg/m</w:t>
      </w:r>
      <w:r>
        <w:rPr>
          <w:color w:val="auto"/>
          <w:highlight w:val="none"/>
          <w:vertAlign w:val="superscript"/>
        </w:rPr>
        <w:t>3</w:t>
      </w:r>
      <w:r>
        <w:rPr>
          <w:color w:val="auto"/>
          <w:highlight w:val="none"/>
        </w:rPr>
        <w:t>。其影响范围见表4.1-1。</w:t>
      </w:r>
    </w:p>
    <w:p w14:paraId="20CF6D94">
      <w:pPr>
        <w:spacing w:line="240" w:lineRule="auto"/>
        <w:ind w:firstLine="0" w:firstLineChars="0"/>
        <w:jc w:val="center"/>
        <w:rPr>
          <w:b/>
          <w:bCs/>
          <w:color w:val="auto"/>
          <w:sz w:val="21"/>
          <w:szCs w:val="21"/>
          <w:highlight w:val="none"/>
        </w:rPr>
      </w:pPr>
      <w:r>
        <w:rPr>
          <w:b/>
          <w:bCs/>
          <w:color w:val="auto"/>
          <w:sz w:val="21"/>
          <w:szCs w:val="21"/>
          <w:highlight w:val="none"/>
        </w:rPr>
        <w:t>表4.1-1  施工现场扬尘TSP对环境的污染状况    单位：mg/m</w:t>
      </w:r>
      <w:r>
        <w:rPr>
          <w:b/>
          <w:bCs/>
          <w:color w:val="auto"/>
          <w:sz w:val="21"/>
          <w:szCs w:val="21"/>
          <w:highlight w:val="none"/>
          <w:vertAlign w:val="superscript"/>
        </w:rPr>
        <w:t>3</w:t>
      </w:r>
    </w:p>
    <w:tbl>
      <w:tblPr>
        <w:tblStyle w:val="92"/>
        <w:tblW w:w="907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13"/>
        <w:gridCol w:w="880"/>
        <w:gridCol w:w="1043"/>
        <w:gridCol w:w="1041"/>
        <w:gridCol w:w="1043"/>
        <w:gridCol w:w="1041"/>
        <w:gridCol w:w="1043"/>
        <w:gridCol w:w="1368"/>
      </w:tblGrid>
      <w:tr w14:paraId="12C29C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563" w:type="dxa"/>
            <w:vMerge w:val="restart"/>
            <w:vAlign w:val="center"/>
          </w:tcPr>
          <w:p w14:paraId="50AB93F1">
            <w:pPr>
              <w:spacing w:line="240" w:lineRule="auto"/>
              <w:ind w:firstLine="0" w:firstLineChars="0"/>
              <w:jc w:val="center"/>
              <w:rPr>
                <w:b/>
                <w:bCs/>
                <w:color w:val="auto"/>
                <w:sz w:val="21"/>
                <w:szCs w:val="21"/>
                <w:highlight w:val="none"/>
              </w:rPr>
            </w:pPr>
            <w:r>
              <w:rPr>
                <w:b/>
                <w:bCs/>
                <w:color w:val="auto"/>
                <w:sz w:val="21"/>
                <w:szCs w:val="21"/>
                <w:highlight w:val="none"/>
              </w:rPr>
              <w:t>防尘措施</w:t>
            </w:r>
          </w:p>
        </w:tc>
        <w:tc>
          <w:tcPr>
            <w:tcW w:w="5901" w:type="dxa"/>
            <w:gridSpan w:val="6"/>
            <w:vAlign w:val="center"/>
          </w:tcPr>
          <w:p w14:paraId="615761D6">
            <w:pPr>
              <w:spacing w:line="240" w:lineRule="auto"/>
              <w:ind w:firstLine="0" w:firstLineChars="0"/>
              <w:jc w:val="center"/>
              <w:rPr>
                <w:b/>
                <w:bCs/>
                <w:color w:val="auto"/>
                <w:sz w:val="21"/>
                <w:szCs w:val="21"/>
                <w:highlight w:val="none"/>
              </w:rPr>
            </w:pPr>
            <w:r>
              <w:rPr>
                <w:b/>
                <w:bCs/>
                <w:color w:val="auto"/>
                <w:sz w:val="21"/>
                <w:szCs w:val="21"/>
                <w:highlight w:val="none"/>
              </w:rPr>
              <w:t>工地下</w:t>
            </w:r>
            <w:r>
              <w:rPr>
                <w:rFonts w:hint="eastAsia"/>
                <w:b/>
                <w:bCs/>
                <w:color w:val="auto"/>
                <w:sz w:val="21"/>
                <w:szCs w:val="21"/>
                <w:highlight w:val="none"/>
                <w:lang w:eastAsia="zh-CN"/>
              </w:rPr>
              <w:t>风向</w:t>
            </w:r>
            <w:r>
              <w:rPr>
                <w:b/>
                <w:bCs/>
                <w:color w:val="auto"/>
                <w:sz w:val="21"/>
                <w:szCs w:val="21"/>
                <w:highlight w:val="none"/>
              </w:rPr>
              <w:t>距离</w:t>
            </w:r>
          </w:p>
        </w:tc>
        <w:tc>
          <w:tcPr>
            <w:tcW w:w="1325" w:type="dxa"/>
            <w:vMerge w:val="restart"/>
            <w:vAlign w:val="center"/>
          </w:tcPr>
          <w:p w14:paraId="70512E0C">
            <w:pPr>
              <w:spacing w:line="240" w:lineRule="auto"/>
              <w:ind w:firstLine="0" w:firstLineChars="0"/>
              <w:jc w:val="center"/>
              <w:rPr>
                <w:b/>
                <w:bCs/>
                <w:color w:val="auto"/>
                <w:sz w:val="21"/>
                <w:szCs w:val="21"/>
                <w:highlight w:val="none"/>
              </w:rPr>
            </w:pPr>
            <w:r>
              <w:rPr>
                <w:b/>
                <w:bCs/>
                <w:color w:val="auto"/>
                <w:sz w:val="21"/>
                <w:szCs w:val="21"/>
                <w:highlight w:val="none"/>
              </w:rPr>
              <w:t>工地上风向</w:t>
            </w:r>
          </w:p>
          <w:p w14:paraId="7560845B">
            <w:pPr>
              <w:spacing w:line="240" w:lineRule="auto"/>
              <w:ind w:firstLine="0" w:firstLineChars="0"/>
              <w:jc w:val="center"/>
              <w:rPr>
                <w:b/>
                <w:bCs/>
                <w:color w:val="auto"/>
                <w:sz w:val="21"/>
                <w:szCs w:val="21"/>
                <w:highlight w:val="none"/>
              </w:rPr>
            </w:pPr>
            <w:r>
              <w:rPr>
                <w:b/>
                <w:bCs/>
                <w:color w:val="auto"/>
                <w:sz w:val="21"/>
                <w:szCs w:val="21"/>
                <w:highlight w:val="none"/>
              </w:rPr>
              <w:t>（对照点）</w:t>
            </w:r>
          </w:p>
        </w:tc>
      </w:tr>
      <w:tr w14:paraId="583D66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563" w:type="dxa"/>
            <w:vMerge w:val="continue"/>
            <w:vAlign w:val="center"/>
          </w:tcPr>
          <w:p w14:paraId="4F0C2D42">
            <w:pPr>
              <w:spacing w:line="240" w:lineRule="auto"/>
              <w:ind w:firstLine="0" w:firstLineChars="0"/>
              <w:jc w:val="center"/>
              <w:rPr>
                <w:b/>
                <w:bCs/>
                <w:color w:val="auto"/>
                <w:sz w:val="21"/>
                <w:szCs w:val="21"/>
                <w:highlight w:val="none"/>
              </w:rPr>
            </w:pPr>
          </w:p>
        </w:tc>
        <w:tc>
          <w:tcPr>
            <w:tcW w:w="853" w:type="dxa"/>
            <w:vAlign w:val="center"/>
          </w:tcPr>
          <w:p w14:paraId="2131170B">
            <w:pPr>
              <w:spacing w:line="240" w:lineRule="auto"/>
              <w:ind w:firstLine="0" w:firstLineChars="0"/>
              <w:jc w:val="center"/>
              <w:rPr>
                <w:b/>
                <w:bCs/>
                <w:color w:val="auto"/>
                <w:sz w:val="21"/>
                <w:szCs w:val="21"/>
                <w:highlight w:val="none"/>
              </w:rPr>
            </w:pPr>
            <w:r>
              <w:rPr>
                <w:b/>
                <w:bCs/>
                <w:color w:val="auto"/>
                <w:sz w:val="21"/>
                <w:szCs w:val="21"/>
                <w:highlight w:val="none"/>
              </w:rPr>
              <w:t>20m</w:t>
            </w:r>
          </w:p>
        </w:tc>
        <w:tc>
          <w:tcPr>
            <w:tcW w:w="1010" w:type="dxa"/>
            <w:vAlign w:val="center"/>
          </w:tcPr>
          <w:p w14:paraId="734DC135">
            <w:pPr>
              <w:spacing w:line="240" w:lineRule="auto"/>
              <w:ind w:firstLine="0" w:firstLineChars="0"/>
              <w:jc w:val="center"/>
              <w:rPr>
                <w:b/>
                <w:bCs/>
                <w:color w:val="auto"/>
                <w:sz w:val="21"/>
                <w:szCs w:val="21"/>
                <w:highlight w:val="none"/>
              </w:rPr>
            </w:pPr>
            <w:r>
              <w:rPr>
                <w:b/>
                <w:bCs/>
                <w:color w:val="auto"/>
                <w:sz w:val="21"/>
                <w:szCs w:val="21"/>
                <w:highlight w:val="none"/>
              </w:rPr>
              <w:t>50m</w:t>
            </w:r>
          </w:p>
        </w:tc>
        <w:tc>
          <w:tcPr>
            <w:tcW w:w="1009" w:type="dxa"/>
            <w:vAlign w:val="center"/>
          </w:tcPr>
          <w:p w14:paraId="08FA01A6">
            <w:pPr>
              <w:spacing w:line="240" w:lineRule="auto"/>
              <w:ind w:firstLine="0" w:firstLineChars="0"/>
              <w:jc w:val="center"/>
              <w:rPr>
                <w:b/>
                <w:bCs/>
                <w:color w:val="auto"/>
                <w:sz w:val="21"/>
                <w:szCs w:val="21"/>
                <w:highlight w:val="none"/>
              </w:rPr>
            </w:pPr>
            <w:r>
              <w:rPr>
                <w:b/>
                <w:bCs/>
                <w:color w:val="auto"/>
                <w:sz w:val="21"/>
                <w:szCs w:val="21"/>
                <w:highlight w:val="none"/>
              </w:rPr>
              <w:t>100m</w:t>
            </w:r>
          </w:p>
        </w:tc>
        <w:tc>
          <w:tcPr>
            <w:tcW w:w="1010" w:type="dxa"/>
            <w:vAlign w:val="center"/>
          </w:tcPr>
          <w:p w14:paraId="7A1DE64A">
            <w:pPr>
              <w:spacing w:line="240" w:lineRule="auto"/>
              <w:ind w:firstLine="0" w:firstLineChars="0"/>
              <w:jc w:val="center"/>
              <w:rPr>
                <w:b/>
                <w:bCs/>
                <w:color w:val="auto"/>
                <w:sz w:val="21"/>
                <w:szCs w:val="21"/>
                <w:highlight w:val="none"/>
              </w:rPr>
            </w:pPr>
            <w:r>
              <w:rPr>
                <w:b/>
                <w:bCs/>
                <w:color w:val="auto"/>
                <w:sz w:val="21"/>
                <w:szCs w:val="21"/>
                <w:highlight w:val="none"/>
              </w:rPr>
              <w:t>150m</w:t>
            </w:r>
          </w:p>
        </w:tc>
        <w:tc>
          <w:tcPr>
            <w:tcW w:w="1009" w:type="dxa"/>
            <w:vAlign w:val="center"/>
          </w:tcPr>
          <w:p w14:paraId="68188C6E">
            <w:pPr>
              <w:spacing w:line="240" w:lineRule="auto"/>
              <w:ind w:firstLine="0" w:firstLineChars="0"/>
              <w:jc w:val="center"/>
              <w:rPr>
                <w:b/>
                <w:bCs/>
                <w:color w:val="auto"/>
                <w:sz w:val="21"/>
                <w:szCs w:val="21"/>
                <w:highlight w:val="none"/>
              </w:rPr>
            </w:pPr>
            <w:r>
              <w:rPr>
                <w:b/>
                <w:bCs/>
                <w:color w:val="auto"/>
                <w:sz w:val="21"/>
                <w:szCs w:val="21"/>
                <w:highlight w:val="none"/>
              </w:rPr>
              <w:t>200m</w:t>
            </w:r>
          </w:p>
        </w:tc>
        <w:tc>
          <w:tcPr>
            <w:tcW w:w="1010" w:type="dxa"/>
            <w:vAlign w:val="center"/>
          </w:tcPr>
          <w:p w14:paraId="10D0595E">
            <w:pPr>
              <w:spacing w:line="240" w:lineRule="auto"/>
              <w:ind w:firstLine="0" w:firstLineChars="0"/>
              <w:jc w:val="center"/>
              <w:rPr>
                <w:b/>
                <w:bCs/>
                <w:color w:val="auto"/>
                <w:sz w:val="21"/>
                <w:szCs w:val="21"/>
                <w:highlight w:val="none"/>
              </w:rPr>
            </w:pPr>
            <w:r>
              <w:rPr>
                <w:b/>
                <w:bCs/>
                <w:color w:val="auto"/>
                <w:sz w:val="21"/>
                <w:szCs w:val="21"/>
                <w:highlight w:val="none"/>
              </w:rPr>
              <w:t>250m</w:t>
            </w:r>
          </w:p>
        </w:tc>
        <w:tc>
          <w:tcPr>
            <w:tcW w:w="1325" w:type="dxa"/>
            <w:vMerge w:val="continue"/>
            <w:vAlign w:val="center"/>
          </w:tcPr>
          <w:p w14:paraId="240112DD">
            <w:pPr>
              <w:spacing w:line="240" w:lineRule="auto"/>
              <w:ind w:firstLine="0" w:firstLineChars="0"/>
              <w:jc w:val="center"/>
              <w:rPr>
                <w:b/>
                <w:bCs/>
                <w:color w:val="auto"/>
                <w:sz w:val="21"/>
                <w:szCs w:val="21"/>
                <w:highlight w:val="none"/>
              </w:rPr>
            </w:pPr>
          </w:p>
        </w:tc>
      </w:tr>
      <w:tr w14:paraId="35AD248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563" w:type="dxa"/>
            <w:vAlign w:val="center"/>
          </w:tcPr>
          <w:p w14:paraId="4682C7AA">
            <w:pPr>
              <w:spacing w:line="240" w:lineRule="auto"/>
              <w:ind w:firstLine="0" w:firstLineChars="0"/>
              <w:jc w:val="center"/>
              <w:rPr>
                <w:color w:val="auto"/>
                <w:sz w:val="21"/>
                <w:szCs w:val="21"/>
                <w:highlight w:val="none"/>
              </w:rPr>
            </w:pPr>
            <w:r>
              <w:rPr>
                <w:color w:val="auto"/>
                <w:sz w:val="21"/>
                <w:szCs w:val="21"/>
                <w:highlight w:val="none"/>
              </w:rPr>
              <w:t>无</w:t>
            </w:r>
          </w:p>
        </w:tc>
        <w:tc>
          <w:tcPr>
            <w:tcW w:w="853" w:type="dxa"/>
            <w:vAlign w:val="center"/>
          </w:tcPr>
          <w:p w14:paraId="2232A4E5">
            <w:pPr>
              <w:spacing w:line="240" w:lineRule="auto"/>
              <w:ind w:firstLine="0" w:firstLineChars="0"/>
              <w:jc w:val="center"/>
              <w:rPr>
                <w:color w:val="auto"/>
                <w:sz w:val="21"/>
                <w:szCs w:val="21"/>
                <w:highlight w:val="none"/>
              </w:rPr>
            </w:pPr>
            <w:r>
              <w:rPr>
                <w:color w:val="auto"/>
                <w:sz w:val="21"/>
                <w:szCs w:val="21"/>
                <w:highlight w:val="none"/>
              </w:rPr>
              <w:t>1.303</w:t>
            </w:r>
          </w:p>
        </w:tc>
        <w:tc>
          <w:tcPr>
            <w:tcW w:w="1010" w:type="dxa"/>
            <w:vAlign w:val="center"/>
          </w:tcPr>
          <w:p w14:paraId="0BEC9A65">
            <w:pPr>
              <w:spacing w:line="240" w:lineRule="auto"/>
              <w:ind w:firstLine="0" w:firstLineChars="0"/>
              <w:jc w:val="center"/>
              <w:rPr>
                <w:color w:val="auto"/>
                <w:sz w:val="21"/>
                <w:szCs w:val="21"/>
                <w:highlight w:val="none"/>
              </w:rPr>
            </w:pPr>
            <w:r>
              <w:rPr>
                <w:color w:val="auto"/>
                <w:sz w:val="21"/>
                <w:szCs w:val="21"/>
                <w:highlight w:val="none"/>
              </w:rPr>
              <w:t>0.722</w:t>
            </w:r>
          </w:p>
        </w:tc>
        <w:tc>
          <w:tcPr>
            <w:tcW w:w="1009" w:type="dxa"/>
            <w:vAlign w:val="center"/>
          </w:tcPr>
          <w:p w14:paraId="0EEBC6D2">
            <w:pPr>
              <w:spacing w:line="240" w:lineRule="auto"/>
              <w:ind w:firstLine="0" w:firstLineChars="0"/>
              <w:jc w:val="center"/>
              <w:rPr>
                <w:color w:val="auto"/>
                <w:sz w:val="21"/>
                <w:szCs w:val="21"/>
                <w:highlight w:val="none"/>
              </w:rPr>
            </w:pPr>
            <w:r>
              <w:rPr>
                <w:color w:val="auto"/>
                <w:sz w:val="21"/>
                <w:szCs w:val="21"/>
                <w:highlight w:val="none"/>
              </w:rPr>
              <w:t>0.402</w:t>
            </w:r>
          </w:p>
        </w:tc>
        <w:tc>
          <w:tcPr>
            <w:tcW w:w="1010" w:type="dxa"/>
            <w:vAlign w:val="center"/>
          </w:tcPr>
          <w:p w14:paraId="06372DA0">
            <w:pPr>
              <w:spacing w:line="240" w:lineRule="auto"/>
              <w:ind w:firstLine="0" w:firstLineChars="0"/>
              <w:jc w:val="center"/>
              <w:rPr>
                <w:color w:val="auto"/>
                <w:sz w:val="21"/>
                <w:szCs w:val="21"/>
                <w:highlight w:val="none"/>
              </w:rPr>
            </w:pPr>
            <w:r>
              <w:rPr>
                <w:color w:val="auto"/>
                <w:sz w:val="21"/>
                <w:szCs w:val="21"/>
                <w:highlight w:val="none"/>
              </w:rPr>
              <w:t>0.311</w:t>
            </w:r>
          </w:p>
        </w:tc>
        <w:tc>
          <w:tcPr>
            <w:tcW w:w="1009" w:type="dxa"/>
            <w:vAlign w:val="center"/>
          </w:tcPr>
          <w:p w14:paraId="0DDE039B">
            <w:pPr>
              <w:spacing w:line="240" w:lineRule="auto"/>
              <w:ind w:firstLine="0" w:firstLineChars="0"/>
              <w:jc w:val="center"/>
              <w:rPr>
                <w:color w:val="auto"/>
                <w:sz w:val="21"/>
                <w:szCs w:val="21"/>
                <w:highlight w:val="none"/>
              </w:rPr>
            </w:pPr>
            <w:r>
              <w:rPr>
                <w:color w:val="auto"/>
                <w:sz w:val="21"/>
                <w:szCs w:val="21"/>
                <w:highlight w:val="none"/>
              </w:rPr>
              <w:t>0.270</w:t>
            </w:r>
          </w:p>
        </w:tc>
        <w:tc>
          <w:tcPr>
            <w:tcW w:w="1010" w:type="dxa"/>
            <w:vAlign w:val="center"/>
          </w:tcPr>
          <w:p w14:paraId="193D18CB">
            <w:pPr>
              <w:spacing w:line="240" w:lineRule="auto"/>
              <w:ind w:firstLine="0" w:firstLineChars="0"/>
              <w:jc w:val="center"/>
              <w:rPr>
                <w:color w:val="auto"/>
                <w:sz w:val="21"/>
                <w:szCs w:val="21"/>
                <w:highlight w:val="none"/>
              </w:rPr>
            </w:pPr>
            <w:r>
              <w:rPr>
                <w:color w:val="auto"/>
                <w:sz w:val="21"/>
                <w:szCs w:val="21"/>
                <w:highlight w:val="none"/>
              </w:rPr>
              <w:t>0.210</w:t>
            </w:r>
          </w:p>
        </w:tc>
        <w:tc>
          <w:tcPr>
            <w:tcW w:w="1325" w:type="dxa"/>
            <w:vMerge w:val="restart"/>
            <w:vAlign w:val="center"/>
          </w:tcPr>
          <w:p w14:paraId="57ECE229">
            <w:pPr>
              <w:spacing w:line="240" w:lineRule="auto"/>
              <w:ind w:firstLine="0" w:firstLineChars="0"/>
              <w:jc w:val="center"/>
              <w:rPr>
                <w:color w:val="auto"/>
                <w:sz w:val="21"/>
                <w:szCs w:val="21"/>
                <w:highlight w:val="none"/>
              </w:rPr>
            </w:pPr>
            <w:r>
              <w:rPr>
                <w:color w:val="auto"/>
                <w:sz w:val="21"/>
                <w:szCs w:val="21"/>
                <w:highlight w:val="none"/>
              </w:rPr>
              <w:t>0.204</w:t>
            </w:r>
          </w:p>
        </w:tc>
      </w:tr>
      <w:tr w14:paraId="21336F1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563" w:type="dxa"/>
            <w:vAlign w:val="center"/>
          </w:tcPr>
          <w:p w14:paraId="4E5E01AA">
            <w:pPr>
              <w:spacing w:line="240" w:lineRule="auto"/>
              <w:ind w:firstLine="0" w:firstLineChars="0"/>
              <w:jc w:val="center"/>
              <w:rPr>
                <w:color w:val="auto"/>
                <w:sz w:val="21"/>
                <w:szCs w:val="21"/>
                <w:highlight w:val="none"/>
              </w:rPr>
            </w:pPr>
            <w:r>
              <w:rPr>
                <w:color w:val="auto"/>
                <w:sz w:val="21"/>
                <w:szCs w:val="21"/>
                <w:highlight w:val="none"/>
              </w:rPr>
              <w:t>洒水</w:t>
            </w:r>
          </w:p>
        </w:tc>
        <w:tc>
          <w:tcPr>
            <w:tcW w:w="853" w:type="dxa"/>
            <w:vAlign w:val="center"/>
          </w:tcPr>
          <w:p w14:paraId="0772B552">
            <w:pPr>
              <w:spacing w:line="240" w:lineRule="auto"/>
              <w:ind w:firstLine="0" w:firstLineChars="0"/>
              <w:jc w:val="center"/>
              <w:rPr>
                <w:color w:val="auto"/>
                <w:sz w:val="21"/>
                <w:szCs w:val="21"/>
                <w:highlight w:val="none"/>
              </w:rPr>
            </w:pPr>
            <w:r>
              <w:rPr>
                <w:color w:val="auto"/>
                <w:sz w:val="21"/>
                <w:szCs w:val="21"/>
                <w:highlight w:val="none"/>
              </w:rPr>
              <w:t>0.824</w:t>
            </w:r>
          </w:p>
        </w:tc>
        <w:tc>
          <w:tcPr>
            <w:tcW w:w="1010" w:type="dxa"/>
            <w:vAlign w:val="center"/>
          </w:tcPr>
          <w:p w14:paraId="56A2C71B">
            <w:pPr>
              <w:spacing w:line="240" w:lineRule="auto"/>
              <w:ind w:firstLine="0" w:firstLineChars="0"/>
              <w:jc w:val="center"/>
              <w:rPr>
                <w:color w:val="auto"/>
                <w:sz w:val="21"/>
                <w:szCs w:val="21"/>
                <w:highlight w:val="none"/>
              </w:rPr>
            </w:pPr>
            <w:r>
              <w:rPr>
                <w:color w:val="auto"/>
                <w:sz w:val="21"/>
                <w:szCs w:val="21"/>
                <w:highlight w:val="none"/>
              </w:rPr>
              <w:t>0.426</w:t>
            </w:r>
          </w:p>
        </w:tc>
        <w:tc>
          <w:tcPr>
            <w:tcW w:w="1009" w:type="dxa"/>
            <w:vAlign w:val="center"/>
          </w:tcPr>
          <w:p w14:paraId="3DBD391D">
            <w:pPr>
              <w:spacing w:line="240" w:lineRule="auto"/>
              <w:ind w:firstLine="0" w:firstLineChars="0"/>
              <w:jc w:val="center"/>
              <w:rPr>
                <w:color w:val="auto"/>
                <w:sz w:val="21"/>
                <w:szCs w:val="21"/>
                <w:highlight w:val="none"/>
              </w:rPr>
            </w:pPr>
            <w:r>
              <w:rPr>
                <w:color w:val="auto"/>
                <w:sz w:val="21"/>
                <w:szCs w:val="21"/>
                <w:highlight w:val="none"/>
              </w:rPr>
              <w:t>0.235</w:t>
            </w:r>
          </w:p>
        </w:tc>
        <w:tc>
          <w:tcPr>
            <w:tcW w:w="1010" w:type="dxa"/>
            <w:vAlign w:val="center"/>
          </w:tcPr>
          <w:p w14:paraId="1F44F35D">
            <w:pPr>
              <w:spacing w:line="240" w:lineRule="auto"/>
              <w:ind w:firstLine="0" w:firstLineChars="0"/>
              <w:jc w:val="center"/>
              <w:rPr>
                <w:color w:val="auto"/>
                <w:sz w:val="21"/>
                <w:szCs w:val="21"/>
                <w:highlight w:val="none"/>
              </w:rPr>
            </w:pPr>
            <w:r>
              <w:rPr>
                <w:color w:val="auto"/>
                <w:sz w:val="21"/>
                <w:szCs w:val="21"/>
                <w:highlight w:val="none"/>
              </w:rPr>
              <w:t>0.221</w:t>
            </w:r>
          </w:p>
        </w:tc>
        <w:tc>
          <w:tcPr>
            <w:tcW w:w="1009" w:type="dxa"/>
            <w:vAlign w:val="center"/>
          </w:tcPr>
          <w:p w14:paraId="33390ADB">
            <w:pPr>
              <w:spacing w:line="240" w:lineRule="auto"/>
              <w:ind w:firstLine="0" w:firstLineChars="0"/>
              <w:jc w:val="center"/>
              <w:rPr>
                <w:color w:val="auto"/>
                <w:sz w:val="21"/>
                <w:szCs w:val="21"/>
                <w:highlight w:val="none"/>
              </w:rPr>
            </w:pPr>
            <w:r>
              <w:rPr>
                <w:color w:val="auto"/>
                <w:sz w:val="21"/>
                <w:szCs w:val="21"/>
                <w:highlight w:val="none"/>
              </w:rPr>
              <w:t>0.215</w:t>
            </w:r>
          </w:p>
        </w:tc>
        <w:tc>
          <w:tcPr>
            <w:tcW w:w="1010" w:type="dxa"/>
            <w:vAlign w:val="center"/>
          </w:tcPr>
          <w:p w14:paraId="2E6245C2">
            <w:pPr>
              <w:spacing w:line="240" w:lineRule="auto"/>
              <w:ind w:firstLine="0" w:firstLineChars="0"/>
              <w:jc w:val="center"/>
              <w:rPr>
                <w:color w:val="auto"/>
                <w:sz w:val="21"/>
                <w:szCs w:val="21"/>
                <w:highlight w:val="none"/>
              </w:rPr>
            </w:pPr>
            <w:r>
              <w:rPr>
                <w:color w:val="auto"/>
                <w:sz w:val="21"/>
                <w:szCs w:val="21"/>
                <w:highlight w:val="none"/>
              </w:rPr>
              <w:t>0.206</w:t>
            </w:r>
          </w:p>
        </w:tc>
        <w:tc>
          <w:tcPr>
            <w:tcW w:w="1325" w:type="dxa"/>
            <w:vMerge w:val="continue"/>
            <w:vAlign w:val="center"/>
          </w:tcPr>
          <w:p w14:paraId="0B1AE0EC">
            <w:pPr>
              <w:spacing w:line="240" w:lineRule="auto"/>
              <w:ind w:firstLine="0" w:firstLineChars="0"/>
              <w:jc w:val="center"/>
              <w:rPr>
                <w:color w:val="auto"/>
                <w:sz w:val="21"/>
                <w:szCs w:val="21"/>
                <w:highlight w:val="none"/>
              </w:rPr>
            </w:pPr>
          </w:p>
        </w:tc>
      </w:tr>
    </w:tbl>
    <w:p w14:paraId="4D3A79E9">
      <w:pPr>
        <w:spacing w:before="120" w:beforeLines="50"/>
        <w:ind w:firstLine="480"/>
        <w:rPr>
          <w:color w:val="auto"/>
          <w:highlight w:val="none"/>
        </w:rPr>
      </w:pPr>
      <w:r>
        <w:rPr>
          <w:color w:val="auto"/>
          <w:highlight w:val="none"/>
        </w:rPr>
        <w:t>从上表可知，在扬尘点下风向0～50m为重污染带，50～100m为较重污染带，100～200m为轻污染带，200m以外对大气影响甚微。采取洒水抑尘措施后，距施工现场200m处的TSP浓度为0.215mg/m</w:t>
      </w:r>
      <w:r>
        <w:rPr>
          <w:color w:val="auto"/>
          <w:highlight w:val="none"/>
          <w:vertAlign w:val="superscript"/>
        </w:rPr>
        <w:t>3</w:t>
      </w:r>
      <w:r>
        <w:rPr>
          <w:color w:val="auto"/>
          <w:highlight w:val="none"/>
        </w:rPr>
        <w:t>，可达到《环境空气质量标准》（</w:t>
      </w:r>
      <w:r>
        <w:rPr>
          <w:rFonts w:hint="eastAsia"/>
          <w:color w:val="auto"/>
          <w:highlight w:val="none"/>
        </w:rPr>
        <w:t>GB3095-2026</w:t>
      </w:r>
      <w:r>
        <w:rPr>
          <w:color w:val="auto"/>
          <w:highlight w:val="none"/>
        </w:rPr>
        <w:t xml:space="preserve">）二级标准要求。 </w:t>
      </w:r>
    </w:p>
    <w:p w14:paraId="5763B955">
      <w:pPr>
        <w:pStyle w:val="533"/>
        <w:numPr>
          <w:ilvl w:val="3"/>
          <w:numId w:val="9"/>
        </w:numPr>
        <w:rPr>
          <w:color w:val="auto"/>
          <w:szCs w:val="24"/>
          <w:highlight w:val="none"/>
        </w:rPr>
      </w:pPr>
      <w:r>
        <w:rPr>
          <w:color w:val="auto"/>
          <w:szCs w:val="24"/>
          <w:highlight w:val="none"/>
        </w:rPr>
        <w:t>焊接烟尘</w:t>
      </w:r>
    </w:p>
    <w:p w14:paraId="27C9DBFB">
      <w:pPr>
        <w:ind w:firstLine="480"/>
        <w:rPr>
          <w:color w:val="auto"/>
          <w:highlight w:val="none"/>
        </w:rPr>
      </w:pPr>
      <w:r>
        <w:rPr>
          <w:color w:val="auto"/>
          <w:highlight w:val="none"/>
        </w:rPr>
        <w:t>浮船坞分段组装过程会产生少量的焊接烟尘，焊接方式以点焊焊接方法为主，</w:t>
      </w:r>
      <w:r>
        <w:rPr>
          <w:rFonts w:hint="eastAsia"/>
          <w:color w:val="auto"/>
          <w:highlight w:val="none"/>
          <w:lang w:eastAsia="zh-CN"/>
        </w:rPr>
        <w:t>其他</w:t>
      </w:r>
      <w:r>
        <w:rPr>
          <w:color w:val="auto"/>
          <w:highlight w:val="none"/>
        </w:rPr>
        <w:t>焊接为辅。点焊焊接方法主要使用CO</w:t>
      </w:r>
      <w:r>
        <w:rPr>
          <w:color w:val="auto"/>
          <w:highlight w:val="none"/>
          <w:vertAlign w:val="subscript"/>
        </w:rPr>
        <w:t>2</w:t>
      </w:r>
      <w:r>
        <w:rPr>
          <w:color w:val="auto"/>
          <w:highlight w:val="none"/>
        </w:rPr>
        <w:t>作为保护气，利用旋点焊机加热熔化通过夹具贴合在一起的钣金件，该过程无污染物产生。</w:t>
      </w:r>
      <w:r>
        <w:rPr>
          <w:rFonts w:hint="eastAsia"/>
          <w:color w:val="auto"/>
          <w:highlight w:val="none"/>
          <w:lang w:eastAsia="zh-CN"/>
        </w:rPr>
        <w:t>其他</w:t>
      </w:r>
      <w:r>
        <w:rPr>
          <w:color w:val="auto"/>
          <w:highlight w:val="none"/>
        </w:rPr>
        <w:t>焊接方法主要为使用CO</w:t>
      </w:r>
      <w:r>
        <w:rPr>
          <w:color w:val="auto"/>
          <w:highlight w:val="none"/>
          <w:vertAlign w:val="subscript"/>
        </w:rPr>
        <w:t>2</w:t>
      </w:r>
      <w:r>
        <w:rPr>
          <w:color w:val="auto"/>
          <w:highlight w:val="none"/>
        </w:rPr>
        <w:t>焊丝进行焊接接合的钣金件，焊接过程中产生少量焊烟，烟尘中主要污染物为MnO</w:t>
      </w:r>
      <w:r>
        <w:rPr>
          <w:color w:val="auto"/>
          <w:highlight w:val="none"/>
          <w:vertAlign w:val="subscript"/>
        </w:rPr>
        <w:t>2</w:t>
      </w:r>
      <w:r>
        <w:rPr>
          <w:color w:val="auto"/>
          <w:highlight w:val="none"/>
        </w:rPr>
        <w:t>和少量SiO</w:t>
      </w:r>
      <w:r>
        <w:rPr>
          <w:color w:val="auto"/>
          <w:highlight w:val="none"/>
          <w:vertAlign w:val="subscript"/>
        </w:rPr>
        <w:t>2</w:t>
      </w:r>
      <w:r>
        <w:rPr>
          <w:color w:val="auto"/>
          <w:highlight w:val="none"/>
        </w:rPr>
        <w:t>、Fe</w:t>
      </w:r>
      <w:r>
        <w:rPr>
          <w:color w:val="auto"/>
          <w:highlight w:val="none"/>
          <w:vertAlign w:val="subscript"/>
        </w:rPr>
        <w:t>2</w:t>
      </w:r>
      <w:r>
        <w:rPr>
          <w:color w:val="auto"/>
          <w:highlight w:val="none"/>
        </w:rPr>
        <w:t>O</w:t>
      </w:r>
      <w:r>
        <w:rPr>
          <w:color w:val="auto"/>
          <w:highlight w:val="none"/>
          <w:vertAlign w:val="subscript"/>
        </w:rPr>
        <w:t>3</w:t>
      </w:r>
      <w:r>
        <w:rPr>
          <w:color w:val="auto"/>
          <w:highlight w:val="none"/>
        </w:rPr>
        <w:t>，有害气体为CO、NOx。</w:t>
      </w:r>
    </w:p>
    <w:p w14:paraId="0608E775">
      <w:pPr>
        <w:ind w:firstLine="480"/>
        <w:rPr>
          <w:color w:val="auto"/>
          <w:highlight w:val="none"/>
        </w:rPr>
      </w:pPr>
      <w:r>
        <w:rPr>
          <w:color w:val="auto"/>
          <w:highlight w:val="none"/>
        </w:rPr>
        <w:t>参考《焊接工作的劳动保护》及其同行业类比分析可知，CO</w:t>
      </w:r>
      <w:r>
        <w:rPr>
          <w:color w:val="auto"/>
          <w:highlight w:val="none"/>
          <w:vertAlign w:val="subscript"/>
        </w:rPr>
        <w:t>2</w:t>
      </w:r>
      <w:r>
        <w:rPr>
          <w:color w:val="auto"/>
          <w:highlight w:val="none"/>
        </w:rPr>
        <w:t>保护焊丝烟尘产生量为5~8g/kg，取8g/kg。分段组装过程CO</w:t>
      </w:r>
      <w:r>
        <w:rPr>
          <w:color w:val="auto"/>
          <w:highlight w:val="none"/>
          <w:vertAlign w:val="subscript"/>
        </w:rPr>
        <w:t>2</w:t>
      </w:r>
      <w:r>
        <w:rPr>
          <w:color w:val="auto"/>
          <w:highlight w:val="none"/>
        </w:rPr>
        <w:t>保护焊丝使用量为1t，则焊烟产生量为8kg。项目采用配有焊接烟尘净化装置的机器进行焊接。可去除80%的焊接烟尘，因此浮船坞分段组装过程焊接烟尘无组织排放量为1.6kg。本项目硬化场地周围空旷、距离施工场地最近的敏感点在5km以上，经过自然扩散，焊接烟尘对周围环境影响较小。</w:t>
      </w:r>
    </w:p>
    <w:p w14:paraId="1EA41A9E">
      <w:pPr>
        <w:pStyle w:val="533"/>
        <w:numPr>
          <w:ilvl w:val="3"/>
          <w:numId w:val="9"/>
        </w:numPr>
        <w:rPr>
          <w:color w:val="auto"/>
          <w:szCs w:val="24"/>
          <w:highlight w:val="none"/>
        </w:rPr>
      </w:pPr>
      <w:r>
        <w:rPr>
          <w:color w:val="auto"/>
          <w:szCs w:val="24"/>
          <w:highlight w:val="none"/>
        </w:rPr>
        <w:t>运输扬尘影响分析</w:t>
      </w:r>
    </w:p>
    <w:p w14:paraId="189DF232">
      <w:pPr>
        <w:ind w:firstLine="480"/>
        <w:rPr>
          <w:color w:val="auto"/>
          <w:highlight w:val="none"/>
        </w:rPr>
      </w:pPr>
      <w:r>
        <w:rPr>
          <w:color w:val="auto"/>
          <w:highlight w:val="none"/>
        </w:rPr>
        <w:t>根据施工现场汽车运输引起的扬尘现场监测结果，运输车辆下风向50m处TSP的浓度为11.625mg/m</w:t>
      </w:r>
      <w:r>
        <w:rPr>
          <w:color w:val="auto"/>
          <w:highlight w:val="none"/>
          <w:vertAlign w:val="superscript"/>
        </w:rPr>
        <w:t>3</w:t>
      </w:r>
      <w:r>
        <w:rPr>
          <w:color w:val="auto"/>
          <w:highlight w:val="none"/>
        </w:rPr>
        <w:t>；下风向100m处TSP的浓度为9.694mg/m</w:t>
      </w:r>
      <w:r>
        <w:rPr>
          <w:color w:val="auto"/>
          <w:highlight w:val="none"/>
          <w:vertAlign w:val="superscript"/>
        </w:rPr>
        <w:t>3</w:t>
      </w:r>
      <w:r>
        <w:rPr>
          <w:color w:val="auto"/>
          <w:highlight w:val="none"/>
        </w:rPr>
        <w:t>；下风向150m处TSP的浓度为5.093mg/m</w:t>
      </w:r>
      <w:r>
        <w:rPr>
          <w:color w:val="auto"/>
          <w:highlight w:val="none"/>
          <w:vertAlign w:val="superscript"/>
        </w:rPr>
        <w:t>3</w:t>
      </w:r>
      <w:r>
        <w:rPr>
          <w:color w:val="auto"/>
          <w:highlight w:val="none"/>
        </w:rPr>
        <w:t>，超过环境空气质量二级标准；在采取洒水抑尘的环保措施，每天洒水4～5次后，可使道路扬尘总量减少70%，可将TSP污染距离缩小到20～50m范围。</w:t>
      </w:r>
    </w:p>
    <w:p w14:paraId="7E6136FC">
      <w:pPr>
        <w:pStyle w:val="38"/>
        <w:spacing w:after="0" w:line="240" w:lineRule="auto"/>
        <w:ind w:firstLine="0" w:firstLineChars="0"/>
        <w:jc w:val="center"/>
        <w:rPr>
          <w:b/>
          <w:color w:val="auto"/>
          <w:sz w:val="21"/>
          <w:szCs w:val="21"/>
          <w:highlight w:val="none"/>
        </w:rPr>
      </w:pPr>
      <w:r>
        <w:rPr>
          <w:b/>
          <w:color w:val="auto"/>
          <w:sz w:val="21"/>
          <w:szCs w:val="21"/>
          <w:highlight w:val="none"/>
        </w:rPr>
        <w:t>表4.1-2  施工场地洒水抑尘试验结果</w:t>
      </w:r>
    </w:p>
    <w:tbl>
      <w:tblPr>
        <w:tblStyle w:val="92"/>
        <w:tblW w:w="907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258"/>
        <w:gridCol w:w="1346"/>
        <w:gridCol w:w="1447"/>
        <w:gridCol w:w="1408"/>
        <w:gridCol w:w="1306"/>
        <w:gridCol w:w="1307"/>
      </w:tblGrid>
      <w:tr w14:paraId="7C7B1B3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605" w:type="dxa"/>
            <w:gridSpan w:val="2"/>
            <w:vAlign w:val="center"/>
          </w:tcPr>
          <w:p w14:paraId="7287650B">
            <w:pPr>
              <w:spacing w:line="240" w:lineRule="auto"/>
              <w:ind w:firstLine="0" w:firstLineChars="0"/>
              <w:jc w:val="center"/>
              <w:rPr>
                <w:b/>
                <w:bCs/>
                <w:color w:val="auto"/>
                <w:sz w:val="21"/>
                <w:szCs w:val="21"/>
                <w:highlight w:val="none"/>
              </w:rPr>
            </w:pPr>
            <w:r>
              <w:rPr>
                <w:b/>
                <w:bCs/>
                <w:color w:val="auto"/>
                <w:sz w:val="21"/>
                <w:szCs w:val="21"/>
                <w:highlight w:val="none"/>
              </w:rPr>
              <w:t>距离（米）</w:t>
            </w:r>
          </w:p>
        </w:tc>
        <w:tc>
          <w:tcPr>
            <w:tcW w:w="1448" w:type="dxa"/>
            <w:vAlign w:val="center"/>
          </w:tcPr>
          <w:p w14:paraId="4F3C4ECE">
            <w:pPr>
              <w:spacing w:line="240" w:lineRule="auto"/>
              <w:ind w:firstLine="0" w:firstLineChars="0"/>
              <w:jc w:val="center"/>
              <w:rPr>
                <w:b/>
                <w:bCs/>
                <w:color w:val="auto"/>
                <w:sz w:val="21"/>
                <w:szCs w:val="21"/>
                <w:highlight w:val="none"/>
              </w:rPr>
            </w:pPr>
            <w:r>
              <w:rPr>
                <w:b/>
                <w:bCs/>
                <w:color w:val="auto"/>
                <w:sz w:val="21"/>
                <w:szCs w:val="21"/>
                <w:highlight w:val="none"/>
              </w:rPr>
              <w:t>5</w:t>
            </w:r>
          </w:p>
        </w:tc>
        <w:tc>
          <w:tcPr>
            <w:tcW w:w="1409" w:type="dxa"/>
            <w:vAlign w:val="center"/>
          </w:tcPr>
          <w:p w14:paraId="57A81FC2">
            <w:pPr>
              <w:spacing w:line="240" w:lineRule="auto"/>
              <w:ind w:firstLine="0" w:firstLineChars="0"/>
              <w:jc w:val="center"/>
              <w:rPr>
                <w:b/>
                <w:bCs/>
                <w:color w:val="auto"/>
                <w:sz w:val="21"/>
                <w:szCs w:val="21"/>
                <w:highlight w:val="none"/>
              </w:rPr>
            </w:pPr>
            <w:r>
              <w:rPr>
                <w:b/>
                <w:bCs/>
                <w:color w:val="auto"/>
                <w:sz w:val="21"/>
                <w:szCs w:val="21"/>
                <w:highlight w:val="none"/>
              </w:rPr>
              <w:t>20</w:t>
            </w:r>
          </w:p>
        </w:tc>
        <w:tc>
          <w:tcPr>
            <w:tcW w:w="1307" w:type="dxa"/>
            <w:vAlign w:val="center"/>
          </w:tcPr>
          <w:p w14:paraId="67D73708">
            <w:pPr>
              <w:spacing w:line="240" w:lineRule="auto"/>
              <w:ind w:firstLine="0" w:firstLineChars="0"/>
              <w:jc w:val="center"/>
              <w:rPr>
                <w:b/>
                <w:bCs/>
                <w:color w:val="auto"/>
                <w:sz w:val="21"/>
                <w:szCs w:val="21"/>
                <w:highlight w:val="none"/>
              </w:rPr>
            </w:pPr>
            <w:r>
              <w:rPr>
                <w:b/>
                <w:bCs/>
                <w:color w:val="auto"/>
                <w:sz w:val="21"/>
                <w:szCs w:val="21"/>
                <w:highlight w:val="none"/>
              </w:rPr>
              <w:t>50</w:t>
            </w:r>
          </w:p>
        </w:tc>
        <w:tc>
          <w:tcPr>
            <w:tcW w:w="1308" w:type="dxa"/>
            <w:vAlign w:val="center"/>
          </w:tcPr>
          <w:p w14:paraId="46671AC7">
            <w:pPr>
              <w:spacing w:line="240" w:lineRule="auto"/>
              <w:ind w:firstLine="0" w:firstLineChars="0"/>
              <w:jc w:val="center"/>
              <w:rPr>
                <w:b/>
                <w:bCs/>
                <w:color w:val="auto"/>
                <w:sz w:val="21"/>
                <w:szCs w:val="21"/>
                <w:highlight w:val="none"/>
              </w:rPr>
            </w:pPr>
            <w:r>
              <w:rPr>
                <w:b/>
                <w:bCs/>
                <w:color w:val="auto"/>
                <w:sz w:val="21"/>
                <w:szCs w:val="21"/>
                <w:highlight w:val="none"/>
              </w:rPr>
              <w:t>100</w:t>
            </w:r>
          </w:p>
        </w:tc>
      </w:tr>
      <w:tr w14:paraId="75A525D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58" w:type="dxa"/>
            <w:vMerge w:val="restart"/>
            <w:vAlign w:val="center"/>
          </w:tcPr>
          <w:p w14:paraId="19CFB512">
            <w:pPr>
              <w:spacing w:line="240" w:lineRule="auto"/>
              <w:ind w:firstLine="0" w:firstLineChars="0"/>
              <w:jc w:val="center"/>
              <w:rPr>
                <w:color w:val="auto"/>
                <w:sz w:val="21"/>
                <w:szCs w:val="21"/>
                <w:highlight w:val="none"/>
              </w:rPr>
            </w:pPr>
            <w:r>
              <w:rPr>
                <w:color w:val="auto"/>
                <w:sz w:val="21"/>
                <w:szCs w:val="21"/>
                <w:highlight w:val="none"/>
              </w:rPr>
              <w:t>TSP小时平均浓度</w:t>
            </w:r>
          </w:p>
          <w:p w14:paraId="50622DE8">
            <w:pPr>
              <w:spacing w:line="240" w:lineRule="auto"/>
              <w:ind w:firstLine="0" w:firstLineChars="0"/>
              <w:jc w:val="center"/>
              <w:rPr>
                <w:color w:val="auto"/>
                <w:sz w:val="21"/>
                <w:szCs w:val="21"/>
                <w:highlight w:val="none"/>
              </w:rPr>
            </w:pPr>
            <w:r>
              <w:rPr>
                <w:color w:val="auto"/>
                <w:sz w:val="21"/>
                <w:szCs w:val="21"/>
                <w:highlight w:val="none"/>
              </w:rPr>
              <w:t>（mg/m</w:t>
            </w:r>
            <w:r>
              <w:rPr>
                <w:color w:val="auto"/>
                <w:sz w:val="21"/>
                <w:szCs w:val="21"/>
                <w:highlight w:val="none"/>
                <w:vertAlign w:val="superscript"/>
              </w:rPr>
              <w:t>3</w:t>
            </w:r>
            <w:r>
              <w:rPr>
                <w:color w:val="auto"/>
                <w:sz w:val="21"/>
                <w:szCs w:val="21"/>
                <w:highlight w:val="none"/>
              </w:rPr>
              <w:t>）</w:t>
            </w:r>
          </w:p>
        </w:tc>
        <w:tc>
          <w:tcPr>
            <w:tcW w:w="1347" w:type="dxa"/>
            <w:vAlign w:val="center"/>
          </w:tcPr>
          <w:p w14:paraId="61880A3A">
            <w:pPr>
              <w:spacing w:line="240" w:lineRule="auto"/>
              <w:ind w:firstLine="0" w:firstLineChars="0"/>
              <w:jc w:val="center"/>
              <w:rPr>
                <w:color w:val="auto"/>
                <w:sz w:val="21"/>
                <w:szCs w:val="21"/>
                <w:highlight w:val="none"/>
              </w:rPr>
            </w:pPr>
            <w:r>
              <w:rPr>
                <w:color w:val="auto"/>
                <w:sz w:val="21"/>
                <w:szCs w:val="21"/>
                <w:highlight w:val="none"/>
              </w:rPr>
              <w:t>不洒水</w:t>
            </w:r>
          </w:p>
        </w:tc>
        <w:tc>
          <w:tcPr>
            <w:tcW w:w="1448" w:type="dxa"/>
            <w:vAlign w:val="center"/>
          </w:tcPr>
          <w:p w14:paraId="3AFD30F5">
            <w:pPr>
              <w:spacing w:line="240" w:lineRule="auto"/>
              <w:ind w:firstLine="0" w:firstLineChars="0"/>
              <w:jc w:val="center"/>
              <w:rPr>
                <w:color w:val="auto"/>
                <w:sz w:val="21"/>
                <w:szCs w:val="21"/>
                <w:highlight w:val="none"/>
              </w:rPr>
            </w:pPr>
            <w:r>
              <w:rPr>
                <w:color w:val="auto"/>
                <w:sz w:val="21"/>
                <w:szCs w:val="21"/>
                <w:highlight w:val="none"/>
              </w:rPr>
              <w:t>10.14</w:t>
            </w:r>
          </w:p>
        </w:tc>
        <w:tc>
          <w:tcPr>
            <w:tcW w:w="1409" w:type="dxa"/>
            <w:vAlign w:val="center"/>
          </w:tcPr>
          <w:p w14:paraId="1E4BF156">
            <w:pPr>
              <w:spacing w:line="240" w:lineRule="auto"/>
              <w:ind w:firstLine="0" w:firstLineChars="0"/>
              <w:jc w:val="center"/>
              <w:rPr>
                <w:color w:val="auto"/>
                <w:sz w:val="21"/>
                <w:szCs w:val="21"/>
                <w:highlight w:val="none"/>
              </w:rPr>
            </w:pPr>
            <w:r>
              <w:rPr>
                <w:color w:val="auto"/>
                <w:sz w:val="21"/>
                <w:szCs w:val="21"/>
                <w:highlight w:val="none"/>
              </w:rPr>
              <w:t>2.89</w:t>
            </w:r>
          </w:p>
        </w:tc>
        <w:tc>
          <w:tcPr>
            <w:tcW w:w="1307" w:type="dxa"/>
            <w:vAlign w:val="center"/>
          </w:tcPr>
          <w:p w14:paraId="62762AE9">
            <w:pPr>
              <w:spacing w:line="240" w:lineRule="auto"/>
              <w:ind w:firstLine="0" w:firstLineChars="0"/>
              <w:jc w:val="center"/>
              <w:rPr>
                <w:color w:val="auto"/>
                <w:sz w:val="21"/>
                <w:szCs w:val="21"/>
                <w:highlight w:val="none"/>
              </w:rPr>
            </w:pPr>
            <w:r>
              <w:rPr>
                <w:color w:val="auto"/>
                <w:sz w:val="21"/>
                <w:szCs w:val="21"/>
                <w:highlight w:val="none"/>
              </w:rPr>
              <w:t>1.15</w:t>
            </w:r>
          </w:p>
        </w:tc>
        <w:tc>
          <w:tcPr>
            <w:tcW w:w="1308" w:type="dxa"/>
            <w:vAlign w:val="center"/>
          </w:tcPr>
          <w:p w14:paraId="6A590F19">
            <w:pPr>
              <w:spacing w:line="240" w:lineRule="auto"/>
              <w:ind w:firstLine="0" w:firstLineChars="0"/>
              <w:jc w:val="center"/>
              <w:rPr>
                <w:color w:val="auto"/>
                <w:sz w:val="21"/>
                <w:szCs w:val="21"/>
                <w:highlight w:val="none"/>
              </w:rPr>
            </w:pPr>
            <w:r>
              <w:rPr>
                <w:color w:val="auto"/>
                <w:sz w:val="21"/>
                <w:szCs w:val="21"/>
                <w:highlight w:val="none"/>
              </w:rPr>
              <w:t>0.86</w:t>
            </w:r>
          </w:p>
        </w:tc>
      </w:tr>
      <w:tr w14:paraId="129E1D0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58" w:type="dxa"/>
            <w:vMerge w:val="continue"/>
            <w:vAlign w:val="center"/>
          </w:tcPr>
          <w:p w14:paraId="5BA9C1A8">
            <w:pPr>
              <w:spacing w:line="240" w:lineRule="auto"/>
              <w:ind w:firstLine="0" w:firstLineChars="0"/>
              <w:jc w:val="center"/>
              <w:rPr>
                <w:color w:val="auto"/>
                <w:sz w:val="21"/>
                <w:szCs w:val="21"/>
                <w:highlight w:val="none"/>
              </w:rPr>
            </w:pPr>
          </w:p>
        </w:tc>
        <w:tc>
          <w:tcPr>
            <w:tcW w:w="1347" w:type="dxa"/>
            <w:vAlign w:val="center"/>
          </w:tcPr>
          <w:p w14:paraId="1A774358">
            <w:pPr>
              <w:spacing w:line="240" w:lineRule="auto"/>
              <w:ind w:firstLine="0" w:firstLineChars="0"/>
              <w:jc w:val="center"/>
              <w:rPr>
                <w:color w:val="auto"/>
                <w:sz w:val="21"/>
                <w:szCs w:val="21"/>
                <w:highlight w:val="none"/>
              </w:rPr>
            </w:pPr>
            <w:r>
              <w:rPr>
                <w:color w:val="auto"/>
                <w:sz w:val="21"/>
                <w:szCs w:val="21"/>
                <w:highlight w:val="none"/>
              </w:rPr>
              <w:t>洒水</w:t>
            </w:r>
          </w:p>
        </w:tc>
        <w:tc>
          <w:tcPr>
            <w:tcW w:w="1448" w:type="dxa"/>
            <w:vAlign w:val="center"/>
          </w:tcPr>
          <w:p w14:paraId="6C5F3D5D">
            <w:pPr>
              <w:spacing w:line="240" w:lineRule="auto"/>
              <w:ind w:firstLine="0" w:firstLineChars="0"/>
              <w:jc w:val="center"/>
              <w:rPr>
                <w:color w:val="auto"/>
                <w:sz w:val="21"/>
                <w:szCs w:val="21"/>
                <w:highlight w:val="none"/>
              </w:rPr>
            </w:pPr>
            <w:r>
              <w:rPr>
                <w:color w:val="auto"/>
                <w:sz w:val="21"/>
                <w:szCs w:val="21"/>
                <w:highlight w:val="none"/>
              </w:rPr>
              <w:t>2.01</w:t>
            </w:r>
          </w:p>
        </w:tc>
        <w:tc>
          <w:tcPr>
            <w:tcW w:w="1409" w:type="dxa"/>
            <w:vAlign w:val="center"/>
          </w:tcPr>
          <w:p w14:paraId="1CC2140B">
            <w:pPr>
              <w:spacing w:line="240" w:lineRule="auto"/>
              <w:ind w:firstLine="0" w:firstLineChars="0"/>
              <w:jc w:val="center"/>
              <w:rPr>
                <w:color w:val="auto"/>
                <w:sz w:val="21"/>
                <w:szCs w:val="21"/>
                <w:highlight w:val="none"/>
              </w:rPr>
            </w:pPr>
            <w:r>
              <w:rPr>
                <w:color w:val="auto"/>
                <w:sz w:val="21"/>
                <w:szCs w:val="21"/>
                <w:highlight w:val="none"/>
              </w:rPr>
              <w:t>1.40</w:t>
            </w:r>
          </w:p>
        </w:tc>
        <w:tc>
          <w:tcPr>
            <w:tcW w:w="1307" w:type="dxa"/>
            <w:vAlign w:val="center"/>
          </w:tcPr>
          <w:p w14:paraId="5C87BC31">
            <w:pPr>
              <w:spacing w:line="240" w:lineRule="auto"/>
              <w:ind w:firstLine="0" w:firstLineChars="0"/>
              <w:jc w:val="center"/>
              <w:rPr>
                <w:color w:val="auto"/>
                <w:sz w:val="21"/>
                <w:szCs w:val="21"/>
                <w:highlight w:val="none"/>
              </w:rPr>
            </w:pPr>
            <w:r>
              <w:rPr>
                <w:color w:val="auto"/>
                <w:sz w:val="21"/>
                <w:szCs w:val="21"/>
                <w:highlight w:val="none"/>
              </w:rPr>
              <w:t>0.67</w:t>
            </w:r>
          </w:p>
        </w:tc>
        <w:tc>
          <w:tcPr>
            <w:tcW w:w="1308" w:type="dxa"/>
            <w:vAlign w:val="center"/>
          </w:tcPr>
          <w:p w14:paraId="5E4B879B">
            <w:pPr>
              <w:spacing w:line="240" w:lineRule="auto"/>
              <w:ind w:firstLine="0" w:firstLineChars="0"/>
              <w:jc w:val="center"/>
              <w:rPr>
                <w:color w:val="auto"/>
                <w:sz w:val="21"/>
                <w:szCs w:val="21"/>
                <w:highlight w:val="none"/>
              </w:rPr>
            </w:pPr>
            <w:r>
              <w:rPr>
                <w:color w:val="auto"/>
                <w:sz w:val="21"/>
                <w:szCs w:val="21"/>
                <w:highlight w:val="none"/>
              </w:rPr>
              <w:t>0.60</w:t>
            </w:r>
          </w:p>
        </w:tc>
      </w:tr>
    </w:tbl>
    <w:p w14:paraId="56CD4A19">
      <w:pPr>
        <w:spacing w:before="120" w:beforeLines="50"/>
        <w:ind w:firstLine="480"/>
        <w:rPr>
          <w:color w:val="auto"/>
          <w:highlight w:val="none"/>
        </w:rPr>
      </w:pPr>
      <w:r>
        <w:rPr>
          <w:color w:val="auto"/>
          <w:highlight w:val="none"/>
        </w:rPr>
        <w:t>根据上表可知，洒水之后距施工场地100m处TSP小时平均浓度为0.6mg/m</w:t>
      </w:r>
      <w:r>
        <w:rPr>
          <w:color w:val="auto"/>
          <w:highlight w:val="none"/>
          <w:vertAlign w:val="superscript"/>
        </w:rPr>
        <w:t>3</w:t>
      </w:r>
      <w:r>
        <w:rPr>
          <w:color w:val="auto"/>
          <w:highlight w:val="none"/>
        </w:rPr>
        <w:t>，满足《环境空气质量标准》（GB3095-20</w:t>
      </w:r>
      <w:r>
        <w:rPr>
          <w:rFonts w:hint="eastAsia"/>
          <w:color w:val="auto"/>
          <w:highlight w:val="none"/>
        </w:rPr>
        <w:t>26</w:t>
      </w:r>
      <w:r>
        <w:rPr>
          <w:color w:val="auto"/>
          <w:highlight w:val="none"/>
        </w:rPr>
        <w:t>）的二级标准。</w:t>
      </w:r>
    </w:p>
    <w:p w14:paraId="1CA07AC6">
      <w:pPr>
        <w:pStyle w:val="533"/>
        <w:numPr>
          <w:ilvl w:val="3"/>
          <w:numId w:val="9"/>
        </w:numPr>
        <w:rPr>
          <w:color w:val="auto"/>
          <w:szCs w:val="24"/>
          <w:highlight w:val="none"/>
        </w:rPr>
      </w:pPr>
      <w:r>
        <w:rPr>
          <w:color w:val="auto"/>
          <w:szCs w:val="24"/>
          <w:highlight w:val="none"/>
        </w:rPr>
        <w:t>施工机械（车辆）尾气影响分析</w:t>
      </w:r>
    </w:p>
    <w:p w14:paraId="5392C1AA">
      <w:pPr>
        <w:ind w:firstLine="480"/>
        <w:rPr>
          <w:color w:val="auto"/>
          <w:highlight w:val="none"/>
        </w:rPr>
      </w:pPr>
      <w:r>
        <w:rPr>
          <w:color w:val="auto"/>
          <w:highlight w:val="none"/>
        </w:rPr>
        <w:t>施工期间各种施工机械、运输车辆在燃油时会产生SO</w:t>
      </w:r>
      <w:r>
        <w:rPr>
          <w:color w:val="auto"/>
          <w:highlight w:val="none"/>
          <w:vertAlign w:val="subscript"/>
        </w:rPr>
        <w:t>2</w:t>
      </w:r>
      <w:r>
        <w:rPr>
          <w:color w:val="auto"/>
          <w:highlight w:val="none"/>
        </w:rPr>
        <w:t>、NO</w:t>
      </w:r>
      <w:r>
        <w:rPr>
          <w:color w:val="auto"/>
          <w:highlight w:val="none"/>
          <w:vertAlign w:val="subscript"/>
        </w:rPr>
        <w:t>2</w:t>
      </w:r>
      <w:r>
        <w:rPr>
          <w:color w:val="auto"/>
          <w:highlight w:val="none"/>
        </w:rPr>
        <w:t>、CO、烃类等大气污染物，但这些污染源较分散且为流动性，污染物排放量不大，表现为间歇性特征，影响是短期和局部的，施工结束影响也随之消失；这类废气对大气环境的影响比较小，同时施工单位必须使用污染物排放符合国家标准的运输车辆，加强车辆的保养，使车辆处于良好的工作状态，严禁使用报废车辆，以减少施工车辆尾气对周围环境的影响。</w:t>
      </w:r>
    </w:p>
    <w:p w14:paraId="401C7864">
      <w:pPr>
        <w:pStyle w:val="7"/>
        <w:numPr>
          <w:ilvl w:val="2"/>
          <w:numId w:val="9"/>
        </w:numPr>
        <w:rPr>
          <w:color w:val="auto"/>
          <w:sz w:val="28"/>
          <w:highlight w:val="none"/>
        </w:rPr>
      </w:pPr>
      <w:bookmarkStart w:id="188" w:name="_Toc34128259"/>
      <w:r>
        <w:rPr>
          <w:color w:val="auto"/>
          <w:sz w:val="28"/>
          <w:highlight w:val="none"/>
        </w:rPr>
        <w:t>施工期水环境影响分析</w:t>
      </w:r>
      <w:bookmarkEnd w:id="188"/>
    </w:p>
    <w:p w14:paraId="1F4361CE">
      <w:pPr>
        <w:ind w:firstLine="480"/>
        <w:rPr>
          <w:color w:val="auto"/>
          <w:highlight w:val="none"/>
        </w:rPr>
      </w:pPr>
      <w:r>
        <w:rPr>
          <w:color w:val="auto"/>
          <w:highlight w:val="none"/>
        </w:rPr>
        <w:t>本</w:t>
      </w:r>
      <w:r>
        <w:rPr>
          <w:rFonts w:hint="eastAsia"/>
          <w:color w:val="auto"/>
          <w:highlight w:val="none"/>
        </w:rPr>
        <w:t>次建设的</w:t>
      </w:r>
      <w:r>
        <w:rPr>
          <w:color w:val="auto"/>
          <w:highlight w:val="none"/>
        </w:rPr>
        <w:t>浮船坞依托现有坞坑安放</w:t>
      </w:r>
      <w:r>
        <w:rPr>
          <w:rFonts w:hint="eastAsia"/>
          <w:color w:val="auto"/>
          <w:highlight w:val="none"/>
        </w:rPr>
        <w:t>，不需对坞坑进行改建；</w:t>
      </w:r>
      <w:r>
        <w:rPr>
          <w:color w:val="auto"/>
          <w:highlight w:val="none"/>
        </w:rPr>
        <w:t>根据新增船坞尺寸，需新增浮坞锚块5座，锚块总面积为1125m</w:t>
      </w:r>
      <w:r>
        <w:rPr>
          <w:color w:val="auto"/>
          <w:highlight w:val="none"/>
          <w:vertAlign w:val="superscript"/>
        </w:rPr>
        <w:t>2</w:t>
      </w:r>
      <w:r>
        <w:rPr>
          <w:color w:val="auto"/>
          <w:highlight w:val="none"/>
        </w:rPr>
        <w:t>（225 m</w:t>
      </w:r>
      <w:r>
        <w:rPr>
          <w:color w:val="auto"/>
          <w:highlight w:val="none"/>
          <w:vertAlign w:val="superscript"/>
        </w:rPr>
        <w:t>2</w:t>
      </w:r>
      <w:r>
        <w:rPr>
          <w:color w:val="auto"/>
          <w:highlight w:val="none"/>
        </w:rPr>
        <w:t>×5）；</w:t>
      </w:r>
      <w:bookmarkStart w:id="189" w:name="OLE_LINK2"/>
      <w:r>
        <w:rPr>
          <w:color w:val="auto"/>
          <w:highlight w:val="none"/>
        </w:rPr>
        <w:t>浮船坞配套建造场地</w:t>
      </w:r>
      <w:bookmarkEnd w:id="189"/>
      <w:r>
        <w:rPr>
          <w:color w:val="auto"/>
          <w:highlight w:val="none"/>
        </w:rPr>
        <w:t>位于中船钦州修船资源整合项目用海范围，已取得海域使用权并完成填海建设，项目仅对场地进行硬化施工，不涉及清淤疏浚</w:t>
      </w:r>
      <w:r>
        <w:rPr>
          <w:rFonts w:hint="eastAsia"/>
          <w:color w:val="auto"/>
          <w:highlight w:val="none"/>
        </w:rPr>
        <w:t>。</w:t>
      </w:r>
    </w:p>
    <w:p w14:paraId="770BEEA1">
      <w:pPr>
        <w:ind w:firstLine="480"/>
        <w:rPr>
          <w:color w:val="auto"/>
          <w:highlight w:val="none"/>
        </w:rPr>
      </w:pPr>
      <w:r>
        <w:rPr>
          <w:color w:val="auto"/>
          <w:highlight w:val="none"/>
        </w:rPr>
        <w:t>因此施工期对水环境的影响主要来自新增浮坞锚块投放。</w:t>
      </w:r>
    </w:p>
    <w:p w14:paraId="1FCE8BAE">
      <w:pPr>
        <w:pStyle w:val="533"/>
        <w:numPr>
          <w:ilvl w:val="3"/>
          <w:numId w:val="9"/>
        </w:numPr>
        <w:rPr>
          <w:color w:val="auto"/>
          <w:szCs w:val="24"/>
          <w:highlight w:val="none"/>
        </w:rPr>
      </w:pPr>
      <w:r>
        <w:rPr>
          <w:color w:val="auto"/>
          <w:szCs w:val="24"/>
          <w:highlight w:val="none"/>
        </w:rPr>
        <w:t>水文水动力影响分析</w:t>
      </w:r>
    </w:p>
    <w:p w14:paraId="51D148FC">
      <w:pPr>
        <w:ind w:firstLine="480"/>
        <w:rPr>
          <w:color w:val="auto"/>
          <w:highlight w:val="none"/>
        </w:rPr>
      </w:pPr>
      <w:r>
        <w:rPr>
          <w:color w:val="auto"/>
          <w:highlight w:val="none"/>
        </w:rPr>
        <w:t>根据项目的设计情况，项目新增锚块底面积合计1125m</w:t>
      </w:r>
      <w:r>
        <w:rPr>
          <w:color w:val="auto"/>
          <w:highlight w:val="none"/>
          <w:vertAlign w:val="superscript"/>
        </w:rPr>
        <w:t>2</w:t>
      </w:r>
      <w:r>
        <w:rPr>
          <w:color w:val="auto"/>
          <w:highlight w:val="none"/>
        </w:rPr>
        <w:t>，相对于项目区的大片平坦深水区而言，规格较小，由于混凝土锚凸起导致的水深改变而造成的水动力环境改变较小；项目不</w:t>
      </w:r>
      <w:r>
        <w:rPr>
          <w:rFonts w:hint="eastAsia"/>
          <w:color w:val="auto"/>
          <w:highlight w:val="none"/>
          <w:lang w:eastAsia="zh-CN"/>
        </w:rPr>
        <w:t>涉及</w:t>
      </w:r>
      <w:r>
        <w:rPr>
          <w:color w:val="auto"/>
          <w:highlight w:val="none"/>
        </w:rPr>
        <w:t>陆地海岸线和海岛岸线的占用，也不会形成新的岸线，不会造成岸滩的冲淤变化，涉海施工主要为浮船坞锚块投放，过程较为简单，锚块规格较小，且锚块投放点位于坞坑内，从项目附近大范围海域考虑，新增锚块投放后，对冲淤环境无明显影响。</w:t>
      </w:r>
    </w:p>
    <w:p w14:paraId="64E9BCEB">
      <w:pPr>
        <w:pStyle w:val="533"/>
        <w:numPr>
          <w:ilvl w:val="3"/>
          <w:numId w:val="9"/>
        </w:numPr>
        <w:rPr>
          <w:color w:val="auto"/>
          <w:szCs w:val="24"/>
          <w:highlight w:val="none"/>
        </w:rPr>
      </w:pPr>
      <w:r>
        <w:rPr>
          <w:color w:val="auto"/>
          <w:szCs w:val="24"/>
          <w:highlight w:val="none"/>
        </w:rPr>
        <w:t>海水水质影响分析</w:t>
      </w:r>
    </w:p>
    <w:p w14:paraId="7601673F">
      <w:pPr>
        <w:ind w:firstLine="480"/>
        <w:rPr>
          <w:color w:val="auto"/>
          <w:highlight w:val="none"/>
        </w:rPr>
      </w:pPr>
      <w:r>
        <w:rPr>
          <w:color w:val="auto"/>
          <w:highlight w:val="none"/>
        </w:rPr>
        <w:t>本项目施工期需增加投放5块浮坞锚块，固定锚需沉入海底，在抛锚过程中有可能搅动底泥造成泥沙再悬浮，造成水体中悬浮物浓度增大，此为间断排放。锚块底面积合计1125m</w:t>
      </w:r>
      <w:r>
        <w:rPr>
          <w:color w:val="auto"/>
          <w:highlight w:val="none"/>
          <w:vertAlign w:val="superscript"/>
        </w:rPr>
        <w:t>2</w:t>
      </w:r>
      <w:r>
        <w:rPr>
          <w:color w:val="auto"/>
          <w:highlight w:val="none"/>
        </w:rPr>
        <w:t>，固定所占面积较小，且施工方式为逐个投放，产生的悬浮泥沙也比较少，投放时间较为短暂，影响范围主要局限在坞坑范围内，随着距离的增加，影响将逐渐减轻，且工程所处海域水深较大，该海域水体交换能力较好，悬浮泥沙的浓度会在短时间内沉降，施工结束后可以很快恢复至本底值。</w:t>
      </w:r>
    </w:p>
    <w:p w14:paraId="2EE2E0F6">
      <w:pPr>
        <w:ind w:firstLine="480"/>
        <w:rPr>
          <w:color w:val="auto"/>
          <w:highlight w:val="none"/>
        </w:rPr>
      </w:pPr>
      <w:r>
        <w:rPr>
          <w:color w:val="auto"/>
          <w:highlight w:val="none"/>
        </w:rPr>
        <w:t>总体来看，施工产生的悬浮泥沙对水质环境影响不明显，且间断排放，影响时间较短暂，施工结束后，悬沙影响将在数小时内消失，恢复到施工前的水平，对海洋环境的影响很小。</w:t>
      </w:r>
    </w:p>
    <w:p w14:paraId="50DD079F">
      <w:pPr>
        <w:pStyle w:val="533"/>
        <w:numPr>
          <w:ilvl w:val="3"/>
          <w:numId w:val="9"/>
        </w:numPr>
        <w:rPr>
          <w:color w:val="auto"/>
          <w:szCs w:val="24"/>
          <w:highlight w:val="none"/>
        </w:rPr>
      </w:pPr>
      <w:r>
        <w:rPr>
          <w:color w:val="auto"/>
          <w:szCs w:val="24"/>
          <w:highlight w:val="none"/>
        </w:rPr>
        <w:t>海洋沉积物影响</w:t>
      </w:r>
    </w:p>
    <w:p w14:paraId="4A7A38D3">
      <w:pPr>
        <w:ind w:firstLine="480"/>
        <w:rPr>
          <w:color w:val="auto"/>
          <w:highlight w:val="none"/>
        </w:rPr>
      </w:pPr>
      <w:r>
        <w:rPr>
          <w:color w:val="auto"/>
          <w:highlight w:val="none"/>
        </w:rPr>
        <w:t>本工程对海洋沉积物的影响主要来自锚块投放安装施工产生的悬浮物，悬浮泥沙对沉积物影响包括两个方面：一是粒度较大的泥沙被扰动悬浮到上覆水体后，经过较短距离的扩散即沉降，其沉降范围位于作业点附近，这部分泥沙对施工区外的沉积物基本</w:t>
      </w:r>
      <w:r>
        <w:rPr>
          <w:rFonts w:hint="eastAsia"/>
          <w:color w:val="auto"/>
          <w:highlight w:val="none"/>
          <w:lang w:eastAsia="zh-CN"/>
        </w:rPr>
        <w:t>没有</w:t>
      </w:r>
      <w:r>
        <w:rPr>
          <w:color w:val="auto"/>
          <w:highlight w:val="none"/>
        </w:rPr>
        <w:t>影响；二是粒度较小的颗粒物进入水体而影响海水水质，并长时间悬浮于水体中，经过相对较长距离的扩散后再沉降，随着粒度较小的悬浮物的扩散及沉淀，从项目施工区域漂移的悬浮物将成为其所覆盖区域的新的表层沉积物。</w:t>
      </w:r>
    </w:p>
    <w:p w14:paraId="4DE2DD3B">
      <w:pPr>
        <w:ind w:firstLine="480"/>
        <w:rPr>
          <w:color w:val="auto"/>
          <w:highlight w:val="none"/>
        </w:rPr>
      </w:pPr>
      <w:r>
        <w:rPr>
          <w:color w:val="auto"/>
          <w:highlight w:val="none"/>
        </w:rPr>
        <w:t>根据本项目工程特点，本项目抛锚施工方式为逐个投放，投放时间较为短暂，掀起的悬浮泥沙量很小，根据水质预测结果，悬浮泥沙扩散主要在项目周边的周边海域内扩散，由于调查海区整体沉积物环境质量较好，悬浮泥沙粒径小、粘度大，沉降到海底后使海底表层沉积物粒径变小，粘性变大，工程搅动海底沉积物在2天内沉积海底，除对海底沉积物产生部分分选、位移、重组和松动外，没有</w:t>
      </w:r>
      <w:r>
        <w:rPr>
          <w:rFonts w:hint="eastAsia"/>
          <w:color w:val="auto"/>
          <w:highlight w:val="none"/>
          <w:lang w:eastAsia="zh-CN"/>
        </w:rPr>
        <w:t>其他</w:t>
      </w:r>
      <w:r>
        <w:rPr>
          <w:color w:val="auto"/>
          <w:highlight w:val="none"/>
        </w:rPr>
        <w:t>污染物混入，不会对海底沉积物质量造成不利影响，影响范围仅集中在工程附近，且项目作业过程产生的悬浮物主要来自本海区，经扩散和沉降后，项目附近海域的沉积物环境不会发生明显变化。</w:t>
      </w:r>
    </w:p>
    <w:p w14:paraId="134DED77">
      <w:pPr>
        <w:ind w:firstLine="480"/>
        <w:rPr>
          <w:color w:val="auto"/>
          <w:highlight w:val="none"/>
        </w:rPr>
      </w:pPr>
      <w:r>
        <w:rPr>
          <w:color w:val="auto"/>
          <w:highlight w:val="none"/>
        </w:rPr>
        <w:t>因此，项目施工对海洋沉积物影响较小，且项目作业过程产生的悬浮物扩散对沉积物的影响是短暂的，一旦作业完毕，这种影响将不再持续。</w:t>
      </w:r>
    </w:p>
    <w:p w14:paraId="2F9B9738">
      <w:pPr>
        <w:pStyle w:val="7"/>
        <w:numPr>
          <w:ilvl w:val="2"/>
          <w:numId w:val="9"/>
        </w:numPr>
        <w:rPr>
          <w:color w:val="auto"/>
          <w:sz w:val="28"/>
          <w:highlight w:val="none"/>
        </w:rPr>
      </w:pPr>
      <w:r>
        <w:rPr>
          <w:color w:val="auto"/>
          <w:sz w:val="28"/>
          <w:highlight w:val="none"/>
        </w:rPr>
        <w:t>施工期声环境影响预测与分析</w:t>
      </w:r>
    </w:p>
    <w:p w14:paraId="7F050087">
      <w:pPr>
        <w:ind w:firstLine="480"/>
        <w:rPr>
          <w:color w:val="auto"/>
          <w:highlight w:val="none"/>
        </w:rPr>
      </w:pPr>
      <w:r>
        <w:rPr>
          <w:color w:val="auto"/>
          <w:highlight w:val="none"/>
        </w:rPr>
        <w:t>施工期间施工机械噪声可近似作为点声源处理，根据点声源噪声传播衰减模式，可估算施工期间离噪声声源不同距离处的噪声值。</w:t>
      </w:r>
    </w:p>
    <w:p w14:paraId="7DF23C4A">
      <w:pPr>
        <w:ind w:firstLine="480"/>
        <w:rPr>
          <w:color w:val="auto"/>
          <w:highlight w:val="none"/>
        </w:rPr>
      </w:pPr>
      <w:r>
        <w:rPr>
          <w:color w:val="auto"/>
          <w:highlight w:val="none"/>
        </w:rPr>
        <w:t>施工机械噪声经距离衰减采用点声源几何发散衰减模式：</w:t>
      </w:r>
    </w:p>
    <w:p w14:paraId="50FFEFD2">
      <w:pPr>
        <w:ind w:firstLine="480"/>
        <w:rPr>
          <w:color w:val="auto"/>
          <w:highlight w:val="none"/>
        </w:rPr>
      </w:pPr>
      <w:r>
        <w:rPr>
          <w:color w:val="auto"/>
          <w:highlight w:val="none"/>
        </w:rPr>
        <w:t>L</w:t>
      </w:r>
      <w:r>
        <w:rPr>
          <w:color w:val="auto"/>
          <w:highlight w:val="none"/>
          <w:vertAlign w:val="subscript"/>
        </w:rPr>
        <w:t>A</w:t>
      </w:r>
      <w:r>
        <w:rPr>
          <w:color w:val="auto"/>
          <w:highlight w:val="none"/>
        </w:rPr>
        <w:t>（r）=L</w:t>
      </w:r>
      <w:r>
        <w:rPr>
          <w:color w:val="auto"/>
          <w:highlight w:val="none"/>
          <w:vertAlign w:val="subscript"/>
        </w:rPr>
        <w:t>A</w:t>
      </w:r>
      <w:r>
        <w:rPr>
          <w:color w:val="auto"/>
          <w:highlight w:val="none"/>
        </w:rPr>
        <w:t>（r</w:t>
      </w:r>
      <w:r>
        <w:rPr>
          <w:color w:val="auto"/>
          <w:highlight w:val="none"/>
          <w:vertAlign w:val="subscript"/>
        </w:rPr>
        <w:t>0</w:t>
      </w:r>
      <w:r>
        <w:rPr>
          <w:color w:val="auto"/>
          <w:highlight w:val="none"/>
        </w:rPr>
        <w:t>）－20lg（r/r</w:t>
      </w:r>
      <w:r>
        <w:rPr>
          <w:color w:val="auto"/>
          <w:highlight w:val="none"/>
          <w:vertAlign w:val="subscript"/>
        </w:rPr>
        <w:t>0</w:t>
      </w:r>
      <w:r>
        <w:rPr>
          <w:color w:val="auto"/>
          <w:highlight w:val="none"/>
        </w:rPr>
        <w:t>）</w:t>
      </w:r>
    </w:p>
    <w:p w14:paraId="05A03EC2">
      <w:pPr>
        <w:ind w:firstLine="480"/>
        <w:rPr>
          <w:color w:val="auto"/>
          <w:highlight w:val="none"/>
        </w:rPr>
      </w:pPr>
      <w:r>
        <w:rPr>
          <w:color w:val="auto"/>
          <w:highlight w:val="none"/>
        </w:rPr>
        <w:t>式中：L</w:t>
      </w:r>
      <w:r>
        <w:rPr>
          <w:color w:val="auto"/>
          <w:highlight w:val="none"/>
          <w:vertAlign w:val="subscript"/>
        </w:rPr>
        <w:t>A</w:t>
      </w:r>
      <w:r>
        <w:rPr>
          <w:color w:val="auto"/>
          <w:highlight w:val="none"/>
        </w:rPr>
        <w:t>（r）、L</w:t>
      </w:r>
      <w:r>
        <w:rPr>
          <w:color w:val="auto"/>
          <w:highlight w:val="none"/>
          <w:vertAlign w:val="subscript"/>
        </w:rPr>
        <w:t>A</w:t>
      </w:r>
      <w:r>
        <w:rPr>
          <w:color w:val="auto"/>
          <w:highlight w:val="none"/>
        </w:rPr>
        <w:t>（r</w:t>
      </w:r>
      <w:r>
        <w:rPr>
          <w:color w:val="auto"/>
          <w:highlight w:val="none"/>
          <w:vertAlign w:val="subscript"/>
        </w:rPr>
        <w:t>0</w:t>
      </w:r>
      <w:r>
        <w:rPr>
          <w:color w:val="auto"/>
          <w:highlight w:val="none"/>
        </w:rPr>
        <w:t>）——分别为预测点、参考点处的A声级；</w:t>
      </w:r>
    </w:p>
    <w:p w14:paraId="6F94486E">
      <w:pPr>
        <w:ind w:firstLine="1132" w:firstLineChars="472"/>
        <w:rPr>
          <w:color w:val="auto"/>
          <w:highlight w:val="none"/>
        </w:rPr>
      </w:pPr>
      <w:r>
        <w:rPr>
          <w:color w:val="auto"/>
          <w:highlight w:val="none"/>
        </w:rPr>
        <w:t>r、r</w:t>
      </w:r>
      <w:r>
        <w:rPr>
          <w:color w:val="auto"/>
          <w:highlight w:val="none"/>
          <w:vertAlign w:val="subscript"/>
        </w:rPr>
        <w:t>0</w:t>
      </w:r>
      <w:r>
        <w:rPr>
          <w:color w:val="auto"/>
          <w:highlight w:val="none"/>
        </w:rPr>
        <w:t xml:space="preserve"> ——分别是预测点和参考点距点声源的距离，其中r</w:t>
      </w:r>
      <w:r>
        <w:rPr>
          <w:color w:val="auto"/>
          <w:highlight w:val="none"/>
          <w:vertAlign w:val="subscript"/>
        </w:rPr>
        <w:t>0</w:t>
      </w:r>
      <w:r>
        <w:rPr>
          <w:color w:val="auto"/>
          <w:highlight w:val="none"/>
        </w:rPr>
        <w:t>为1m。</w:t>
      </w:r>
    </w:p>
    <w:p w14:paraId="26AB8765">
      <w:pPr>
        <w:ind w:firstLine="480"/>
        <w:rPr>
          <w:color w:val="auto"/>
          <w:highlight w:val="none"/>
        </w:rPr>
      </w:pPr>
      <w:r>
        <w:rPr>
          <w:color w:val="auto"/>
          <w:highlight w:val="none"/>
        </w:rPr>
        <w:t>随距离增加的衰减量△L=20lg（r/r</w:t>
      </w:r>
      <w:r>
        <w:rPr>
          <w:color w:val="auto"/>
          <w:highlight w:val="none"/>
          <w:vertAlign w:val="subscript"/>
        </w:rPr>
        <w:t>0</w:t>
      </w:r>
      <w:r>
        <w:rPr>
          <w:color w:val="auto"/>
          <w:highlight w:val="none"/>
        </w:rPr>
        <w:t>），根据模式计算，不同类型施工机械噪声在不同距离处的噪声预测值列于表4.1-3。</w:t>
      </w:r>
    </w:p>
    <w:p w14:paraId="1D75E2AB">
      <w:pPr>
        <w:spacing w:line="240" w:lineRule="auto"/>
        <w:ind w:firstLine="0" w:firstLineChars="0"/>
        <w:jc w:val="center"/>
        <w:rPr>
          <w:b/>
          <w:bCs/>
          <w:color w:val="auto"/>
          <w:sz w:val="21"/>
          <w:szCs w:val="21"/>
          <w:highlight w:val="none"/>
        </w:rPr>
      </w:pPr>
      <w:r>
        <w:rPr>
          <w:b/>
          <w:bCs/>
          <w:color w:val="auto"/>
          <w:sz w:val="21"/>
          <w:szCs w:val="21"/>
          <w:highlight w:val="none"/>
        </w:rPr>
        <w:t>表4.1-3 主要施工机械噪声随距离的变化情况   单位：dB（A）</w:t>
      </w:r>
    </w:p>
    <w:tbl>
      <w:tblPr>
        <w:tblStyle w:val="92"/>
        <w:tblW w:w="907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80"/>
        <w:gridCol w:w="876"/>
        <w:gridCol w:w="877"/>
        <w:gridCol w:w="876"/>
        <w:gridCol w:w="878"/>
        <w:gridCol w:w="876"/>
        <w:gridCol w:w="877"/>
        <w:gridCol w:w="876"/>
        <w:gridCol w:w="877"/>
        <w:gridCol w:w="879"/>
      </w:tblGrid>
      <w:tr w14:paraId="5DCB7D7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180" w:type="dxa"/>
            <w:vMerge w:val="restart"/>
            <w:vAlign w:val="center"/>
          </w:tcPr>
          <w:p w14:paraId="4E857DB5">
            <w:pPr>
              <w:spacing w:line="240" w:lineRule="auto"/>
              <w:ind w:firstLine="0" w:firstLineChars="0"/>
              <w:jc w:val="center"/>
              <w:rPr>
                <w:b/>
                <w:bCs/>
                <w:color w:val="auto"/>
                <w:sz w:val="21"/>
                <w:szCs w:val="21"/>
                <w:highlight w:val="none"/>
              </w:rPr>
            </w:pPr>
            <w:r>
              <w:rPr>
                <w:b/>
                <w:bCs/>
                <w:color w:val="auto"/>
                <w:sz w:val="21"/>
                <w:szCs w:val="21"/>
                <w:highlight w:val="none"/>
              </w:rPr>
              <w:t>主要施工机械</w:t>
            </w:r>
          </w:p>
        </w:tc>
        <w:tc>
          <w:tcPr>
            <w:tcW w:w="7892" w:type="dxa"/>
            <w:gridSpan w:val="9"/>
            <w:vAlign w:val="center"/>
          </w:tcPr>
          <w:p w14:paraId="72345C72">
            <w:pPr>
              <w:spacing w:line="240" w:lineRule="auto"/>
              <w:ind w:firstLine="0" w:firstLineChars="0"/>
              <w:jc w:val="center"/>
              <w:rPr>
                <w:b/>
                <w:bCs/>
                <w:color w:val="auto"/>
                <w:sz w:val="21"/>
                <w:szCs w:val="21"/>
                <w:highlight w:val="none"/>
              </w:rPr>
            </w:pPr>
            <w:r>
              <w:rPr>
                <w:b/>
                <w:bCs/>
                <w:color w:val="auto"/>
                <w:sz w:val="21"/>
                <w:szCs w:val="21"/>
                <w:highlight w:val="none"/>
              </w:rPr>
              <w:t>不同距离的预测值</w:t>
            </w:r>
          </w:p>
        </w:tc>
      </w:tr>
      <w:tr w14:paraId="5FAA140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180" w:type="dxa"/>
            <w:vMerge w:val="continue"/>
            <w:vAlign w:val="center"/>
          </w:tcPr>
          <w:p w14:paraId="629A432E">
            <w:pPr>
              <w:spacing w:line="240" w:lineRule="auto"/>
              <w:ind w:firstLine="0" w:firstLineChars="0"/>
              <w:jc w:val="center"/>
              <w:rPr>
                <w:b/>
                <w:bCs/>
                <w:color w:val="auto"/>
                <w:sz w:val="21"/>
                <w:szCs w:val="21"/>
                <w:highlight w:val="none"/>
              </w:rPr>
            </w:pPr>
          </w:p>
        </w:tc>
        <w:tc>
          <w:tcPr>
            <w:tcW w:w="876" w:type="dxa"/>
            <w:vAlign w:val="center"/>
          </w:tcPr>
          <w:p w14:paraId="531037F1">
            <w:pPr>
              <w:spacing w:line="240" w:lineRule="auto"/>
              <w:ind w:firstLine="0" w:firstLineChars="0"/>
              <w:jc w:val="center"/>
              <w:rPr>
                <w:b/>
                <w:bCs/>
                <w:color w:val="auto"/>
                <w:sz w:val="21"/>
                <w:szCs w:val="21"/>
                <w:highlight w:val="none"/>
              </w:rPr>
            </w:pPr>
            <w:r>
              <w:rPr>
                <w:b/>
                <w:bCs/>
                <w:color w:val="auto"/>
                <w:sz w:val="21"/>
                <w:szCs w:val="21"/>
                <w:highlight w:val="none"/>
              </w:rPr>
              <w:t>1m</w:t>
            </w:r>
          </w:p>
        </w:tc>
        <w:tc>
          <w:tcPr>
            <w:tcW w:w="877" w:type="dxa"/>
            <w:vAlign w:val="center"/>
          </w:tcPr>
          <w:p w14:paraId="303EF889">
            <w:pPr>
              <w:spacing w:line="240" w:lineRule="auto"/>
              <w:ind w:firstLine="0" w:firstLineChars="0"/>
              <w:jc w:val="center"/>
              <w:rPr>
                <w:b/>
                <w:bCs/>
                <w:color w:val="auto"/>
                <w:sz w:val="21"/>
                <w:szCs w:val="21"/>
                <w:highlight w:val="none"/>
              </w:rPr>
            </w:pPr>
            <w:r>
              <w:rPr>
                <w:b/>
                <w:bCs/>
                <w:color w:val="auto"/>
                <w:sz w:val="21"/>
                <w:szCs w:val="21"/>
                <w:highlight w:val="none"/>
              </w:rPr>
              <w:t>15m</w:t>
            </w:r>
          </w:p>
        </w:tc>
        <w:tc>
          <w:tcPr>
            <w:tcW w:w="876" w:type="dxa"/>
            <w:vAlign w:val="center"/>
          </w:tcPr>
          <w:p w14:paraId="7AD16D64">
            <w:pPr>
              <w:spacing w:line="240" w:lineRule="auto"/>
              <w:ind w:firstLine="0" w:firstLineChars="0"/>
              <w:jc w:val="center"/>
              <w:rPr>
                <w:b/>
                <w:bCs/>
                <w:color w:val="auto"/>
                <w:sz w:val="21"/>
                <w:szCs w:val="21"/>
                <w:highlight w:val="none"/>
              </w:rPr>
            </w:pPr>
            <w:r>
              <w:rPr>
                <w:b/>
                <w:bCs/>
                <w:color w:val="auto"/>
                <w:sz w:val="21"/>
                <w:szCs w:val="21"/>
                <w:highlight w:val="none"/>
              </w:rPr>
              <w:t>25m</w:t>
            </w:r>
          </w:p>
        </w:tc>
        <w:tc>
          <w:tcPr>
            <w:tcW w:w="878" w:type="dxa"/>
            <w:vAlign w:val="center"/>
          </w:tcPr>
          <w:p w14:paraId="4F5E9C6C">
            <w:pPr>
              <w:spacing w:line="240" w:lineRule="auto"/>
              <w:ind w:firstLine="0" w:firstLineChars="0"/>
              <w:jc w:val="center"/>
              <w:rPr>
                <w:b/>
                <w:bCs/>
                <w:color w:val="auto"/>
                <w:sz w:val="21"/>
                <w:szCs w:val="21"/>
                <w:highlight w:val="none"/>
              </w:rPr>
            </w:pPr>
            <w:r>
              <w:rPr>
                <w:b/>
                <w:bCs/>
                <w:color w:val="auto"/>
                <w:sz w:val="21"/>
                <w:szCs w:val="21"/>
                <w:highlight w:val="none"/>
              </w:rPr>
              <w:t>50m</w:t>
            </w:r>
          </w:p>
        </w:tc>
        <w:tc>
          <w:tcPr>
            <w:tcW w:w="876" w:type="dxa"/>
            <w:vAlign w:val="center"/>
          </w:tcPr>
          <w:p w14:paraId="7BA3C840">
            <w:pPr>
              <w:spacing w:line="240" w:lineRule="auto"/>
              <w:ind w:firstLine="0" w:firstLineChars="0"/>
              <w:jc w:val="center"/>
              <w:rPr>
                <w:b/>
                <w:bCs/>
                <w:color w:val="auto"/>
                <w:sz w:val="21"/>
                <w:szCs w:val="21"/>
                <w:highlight w:val="none"/>
              </w:rPr>
            </w:pPr>
            <w:r>
              <w:rPr>
                <w:b/>
                <w:bCs/>
                <w:color w:val="auto"/>
                <w:sz w:val="21"/>
                <w:szCs w:val="21"/>
                <w:highlight w:val="none"/>
              </w:rPr>
              <w:t>80m</w:t>
            </w:r>
          </w:p>
        </w:tc>
        <w:tc>
          <w:tcPr>
            <w:tcW w:w="877" w:type="dxa"/>
            <w:vAlign w:val="center"/>
          </w:tcPr>
          <w:p w14:paraId="55464A77">
            <w:pPr>
              <w:spacing w:line="240" w:lineRule="auto"/>
              <w:ind w:firstLine="0" w:firstLineChars="0"/>
              <w:jc w:val="center"/>
              <w:rPr>
                <w:b/>
                <w:bCs/>
                <w:color w:val="auto"/>
                <w:sz w:val="21"/>
                <w:szCs w:val="21"/>
                <w:highlight w:val="none"/>
              </w:rPr>
            </w:pPr>
            <w:r>
              <w:rPr>
                <w:b/>
                <w:bCs/>
                <w:color w:val="auto"/>
                <w:sz w:val="21"/>
                <w:szCs w:val="21"/>
                <w:highlight w:val="none"/>
              </w:rPr>
              <w:t>100m</w:t>
            </w:r>
          </w:p>
        </w:tc>
        <w:tc>
          <w:tcPr>
            <w:tcW w:w="876" w:type="dxa"/>
            <w:vAlign w:val="center"/>
          </w:tcPr>
          <w:p w14:paraId="04A3A3F5">
            <w:pPr>
              <w:spacing w:line="240" w:lineRule="auto"/>
              <w:ind w:firstLine="0" w:firstLineChars="0"/>
              <w:jc w:val="center"/>
              <w:rPr>
                <w:b/>
                <w:bCs/>
                <w:color w:val="auto"/>
                <w:sz w:val="21"/>
                <w:szCs w:val="21"/>
                <w:highlight w:val="none"/>
              </w:rPr>
            </w:pPr>
            <w:r>
              <w:rPr>
                <w:b/>
                <w:bCs/>
                <w:color w:val="auto"/>
                <w:sz w:val="21"/>
                <w:szCs w:val="21"/>
                <w:highlight w:val="none"/>
              </w:rPr>
              <w:t>150m</w:t>
            </w:r>
          </w:p>
        </w:tc>
        <w:tc>
          <w:tcPr>
            <w:tcW w:w="877" w:type="dxa"/>
            <w:vAlign w:val="center"/>
          </w:tcPr>
          <w:p w14:paraId="14D590A0">
            <w:pPr>
              <w:spacing w:line="240" w:lineRule="auto"/>
              <w:ind w:firstLine="0" w:firstLineChars="0"/>
              <w:jc w:val="center"/>
              <w:rPr>
                <w:b/>
                <w:bCs/>
                <w:color w:val="auto"/>
                <w:sz w:val="21"/>
                <w:szCs w:val="21"/>
                <w:highlight w:val="none"/>
              </w:rPr>
            </w:pPr>
            <w:r>
              <w:rPr>
                <w:b/>
                <w:bCs/>
                <w:color w:val="auto"/>
                <w:sz w:val="21"/>
                <w:szCs w:val="21"/>
                <w:highlight w:val="none"/>
              </w:rPr>
              <w:t>180m</w:t>
            </w:r>
          </w:p>
        </w:tc>
        <w:tc>
          <w:tcPr>
            <w:tcW w:w="879" w:type="dxa"/>
            <w:vAlign w:val="center"/>
          </w:tcPr>
          <w:p w14:paraId="6019FA74">
            <w:pPr>
              <w:spacing w:line="240" w:lineRule="auto"/>
              <w:ind w:firstLine="0" w:firstLineChars="0"/>
              <w:jc w:val="center"/>
              <w:rPr>
                <w:b/>
                <w:bCs/>
                <w:color w:val="auto"/>
                <w:sz w:val="21"/>
                <w:szCs w:val="21"/>
                <w:highlight w:val="none"/>
              </w:rPr>
            </w:pPr>
            <w:r>
              <w:rPr>
                <w:b/>
                <w:bCs/>
                <w:color w:val="auto"/>
                <w:sz w:val="21"/>
                <w:szCs w:val="21"/>
                <w:highlight w:val="none"/>
              </w:rPr>
              <w:t>200m</w:t>
            </w:r>
          </w:p>
        </w:tc>
      </w:tr>
      <w:tr w14:paraId="7B1B731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180" w:type="dxa"/>
            <w:vAlign w:val="center"/>
          </w:tcPr>
          <w:p w14:paraId="1ACFFD62">
            <w:pPr>
              <w:spacing w:line="240" w:lineRule="auto"/>
              <w:ind w:firstLine="0" w:firstLineChars="0"/>
              <w:jc w:val="center"/>
              <w:rPr>
                <w:color w:val="auto"/>
                <w:sz w:val="21"/>
                <w:szCs w:val="21"/>
                <w:highlight w:val="none"/>
              </w:rPr>
            </w:pPr>
            <w:r>
              <w:rPr>
                <w:color w:val="auto"/>
                <w:sz w:val="21"/>
                <w:szCs w:val="21"/>
                <w:highlight w:val="none"/>
              </w:rPr>
              <w:t>推土机</w:t>
            </w:r>
          </w:p>
        </w:tc>
        <w:tc>
          <w:tcPr>
            <w:tcW w:w="876" w:type="dxa"/>
            <w:vAlign w:val="center"/>
          </w:tcPr>
          <w:p w14:paraId="38385718">
            <w:pPr>
              <w:spacing w:line="240" w:lineRule="auto"/>
              <w:ind w:firstLine="0" w:firstLineChars="0"/>
              <w:jc w:val="center"/>
              <w:rPr>
                <w:color w:val="auto"/>
                <w:sz w:val="21"/>
                <w:szCs w:val="21"/>
                <w:highlight w:val="none"/>
              </w:rPr>
            </w:pPr>
            <w:r>
              <w:rPr>
                <w:color w:val="auto"/>
                <w:sz w:val="21"/>
                <w:szCs w:val="21"/>
                <w:highlight w:val="none"/>
              </w:rPr>
              <w:t>107</w:t>
            </w:r>
          </w:p>
        </w:tc>
        <w:tc>
          <w:tcPr>
            <w:tcW w:w="877" w:type="dxa"/>
            <w:vAlign w:val="center"/>
          </w:tcPr>
          <w:p w14:paraId="6471F9ED">
            <w:pPr>
              <w:spacing w:line="240" w:lineRule="auto"/>
              <w:ind w:firstLine="0" w:firstLineChars="0"/>
              <w:jc w:val="center"/>
              <w:rPr>
                <w:color w:val="auto"/>
                <w:sz w:val="21"/>
                <w:szCs w:val="21"/>
                <w:highlight w:val="none"/>
              </w:rPr>
            </w:pPr>
            <w:r>
              <w:rPr>
                <w:color w:val="auto"/>
                <w:sz w:val="21"/>
                <w:szCs w:val="21"/>
                <w:highlight w:val="none"/>
              </w:rPr>
              <w:t>83.5</w:t>
            </w:r>
          </w:p>
        </w:tc>
        <w:tc>
          <w:tcPr>
            <w:tcW w:w="876" w:type="dxa"/>
            <w:vAlign w:val="center"/>
          </w:tcPr>
          <w:p w14:paraId="038DDA82">
            <w:pPr>
              <w:spacing w:line="240" w:lineRule="auto"/>
              <w:ind w:firstLine="0" w:firstLineChars="0"/>
              <w:jc w:val="center"/>
              <w:rPr>
                <w:color w:val="auto"/>
                <w:sz w:val="21"/>
                <w:szCs w:val="21"/>
                <w:highlight w:val="none"/>
              </w:rPr>
            </w:pPr>
            <w:r>
              <w:rPr>
                <w:color w:val="auto"/>
                <w:sz w:val="21"/>
                <w:szCs w:val="21"/>
                <w:highlight w:val="none"/>
              </w:rPr>
              <w:t>79</w:t>
            </w:r>
          </w:p>
        </w:tc>
        <w:tc>
          <w:tcPr>
            <w:tcW w:w="878" w:type="dxa"/>
            <w:vAlign w:val="center"/>
          </w:tcPr>
          <w:p w14:paraId="740465CB">
            <w:pPr>
              <w:spacing w:line="240" w:lineRule="auto"/>
              <w:ind w:firstLine="0" w:firstLineChars="0"/>
              <w:jc w:val="center"/>
              <w:rPr>
                <w:color w:val="auto"/>
                <w:sz w:val="21"/>
                <w:szCs w:val="21"/>
                <w:highlight w:val="none"/>
              </w:rPr>
            </w:pPr>
            <w:r>
              <w:rPr>
                <w:color w:val="auto"/>
                <w:sz w:val="21"/>
                <w:szCs w:val="21"/>
                <w:highlight w:val="none"/>
              </w:rPr>
              <w:t>73</w:t>
            </w:r>
          </w:p>
        </w:tc>
        <w:tc>
          <w:tcPr>
            <w:tcW w:w="876" w:type="dxa"/>
            <w:vAlign w:val="center"/>
          </w:tcPr>
          <w:p w14:paraId="67C22244">
            <w:pPr>
              <w:spacing w:line="240" w:lineRule="auto"/>
              <w:ind w:firstLine="0" w:firstLineChars="0"/>
              <w:jc w:val="center"/>
              <w:rPr>
                <w:color w:val="auto"/>
                <w:sz w:val="21"/>
                <w:szCs w:val="21"/>
                <w:highlight w:val="none"/>
              </w:rPr>
            </w:pPr>
            <w:r>
              <w:rPr>
                <w:color w:val="auto"/>
                <w:sz w:val="21"/>
                <w:szCs w:val="21"/>
                <w:highlight w:val="none"/>
              </w:rPr>
              <w:t>68.9</w:t>
            </w:r>
          </w:p>
        </w:tc>
        <w:tc>
          <w:tcPr>
            <w:tcW w:w="877" w:type="dxa"/>
            <w:vAlign w:val="center"/>
          </w:tcPr>
          <w:p w14:paraId="1DA97EEB">
            <w:pPr>
              <w:spacing w:line="240" w:lineRule="auto"/>
              <w:ind w:firstLine="0" w:firstLineChars="0"/>
              <w:jc w:val="center"/>
              <w:rPr>
                <w:color w:val="auto"/>
                <w:sz w:val="21"/>
                <w:szCs w:val="21"/>
                <w:highlight w:val="none"/>
              </w:rPr>
            </w:pPr>
            <w:r>
              <w:rPr>
                <w:color w:val="auto"/>
                <w:sz w:val="21"/>
                <w:szCs w:val="21"/>
                <w:highlight w:val="none"/>
              </w:rPr>
              <w:t>67</w:t>
            </w:r>
          </w:p>
        </w:tc>
        <w:tc>
          <w:tcPr>
            <w:tcW w:w="876" w:type="dxa"/>
            <w:vAlign w:val="center"/>
          </w:tcPr>
          <w:p w14:paraId="0A76CCA6">
            <w:pPr>
              <w:spacing w:line="240" w:lineRule="auto"/>
              <w:ind w:firstLine="0" w:firstLineChars="0"/>
              <w:jc w:val="center"/>
              <w:rPr>
                <w:color w:val="auto"/>
                <w:sz w:val="21"/>
                <w:szCs w:val="21"/>
                <w:highlight w:val="none"/>
              </w:rPr>
            </w:pPr>
            <w:r>
              <w:rPr>
                <w:color w:val="auto"/>
                <w:sz w:val="21"/>
                <w:szCs w:val="21"/>
                <w:highlight w:val="none"/>
              </w:rPr>
              <w:t>63.5</w:t>
            </w:r>
          </w:p>
        </w:tc>
        <w:tc>
          <w:tcPr>
            <w:tcW w:w="877" w:type="dxa"/>
            <w:vAlign w:val="center"/>
          </w:tcPr>
          <w:p w14:paraId="0A95B687">
            <w:pPr>
              <w:spacing w:line="240" w:lineRule="auto"/>
              <w:ind w:firstLine="0" w:firstLineChars="0"/>
              <w:jc w:val="center"/>
              <w:rPr>
                <w:color w:val="auto"/>
                <w:sz w:val="21"/>
                <w:szCs w:val="21"/>
                <w:highlight w:val="none"/>
              </w:rPr>
            </w:pPr>
            <w:r>
              <w:rPr>
                <w:color w:val="auto"/>
                <w:sz w:val="21"/>
                <w:szCs w:val="21"/>
                <w:highlight w:val="none"/>
              </w:rPr>
              <w:t>61.9</w:t>
            </w:r>
          </w:p>
        </w:tc>
        <w:tc>
          <w:tcPr>
            <w:tcW w:w="879" w:type="dxa"/>
            <w:vAlign w:val="center"/>
          </w:tcPr>
          <w:p w14:paraId="2C8811B1">
            <w:pPr>
              <w:spacing w:line="240" w:lineRule="auto"/>
              <w:ind w:firstLine="0" w:firstLineChars="0"/>
              <w:jc w:val="center"/>
              <w:rPr>
                <w:color w:val="auto"/>
                <w:sz w:val="21"/>
                <w:szCs w:val="21"/>
                <w:highlight w:val="none"/>
              </w:rPr>
            </w:pPr>
            <w:r>
              <w:rPr>
                <w:color w:val="auto"/>
                <w:sz w:val="21"/>
                <w:szCs w:val="21"/>
                <w:highlight w:val="none"/>
              </w:rPr>
              <w:t>61</w:t>
            </w:r>
          </w:p>
        </w:tc>
      </w:tr>
      <w:tr w14:paraId="38D0CD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180" w:type="dxa"/>
            <w:vAlign w:val="center"/>
          </w:tcPr>
          <w:p w14:paraId="671A1CC1">
            <w:pPr>
              <w:spacing w:line="240" w:lineRule="auto"/>
              <w:ind w:firstLine="0" w:firstLineChars="0"/>
              <w:jc w:val="center"/>
              <w:rPr>
                <w:color w:val="auto"/>
                <w:sz w:val="21"/>
                <w:szCs w:val="21"/>
                <w:highlight w:val="none"/>
              </w:rPr>
            </w:pPr>
            <w:r>
              <w:rPr>
                <w:color w:val="auto"/>
                <w:sz w:val="21"/>
                <w:szCs w:val="21"/>
                <w:highlight w:val="none"/>
              </w:rPr>
              <w:t>装载机</w:t>
            </w:r>
          </w:p>
        </w:tc>
        <w:tc>
          <w:tcPr>
            <w:tcW w:w="876" w:type="dxa"/>
            <w:vAlign w:val="center"/>
          </w:tcPr>
          <w:p w14:paraId="6FCE0056">
            <w:pPr>
              <w:spacing w:line="240" w:lineRule="auto"/>
              <w:ind w:firstLine="0" w:firstLineChars="0"/>
              <w:jc w:val="center"/>
              <w:rPr>
                <w:color w:val="auto"/>
                <w:sz w:val="21"/>
                <w:szCs w:val="21"/>
                <w:highlight w:val="none"/>
              </w:rPr>
            </w:pPr>
            <w:r>
              <w:rPr>
                <w:color w:val="auto"/>
                <w:sz w:val="21"/>
                <w:szCs w:val="21"/>
                <w:highlight w:val="none"/>
              </w:rPr>
              <w:t>103</w:t>
            </w:r>
          </w:p>
        </w:tc>
        <w:tc>
          <w:tcPr>
            <w:tcW w:w="877" w:type="dxa"/>
            <w:vAlign w:val="center"/>
          </w:tcPr>
          <w:p w14:paraId="4CEFD67B">
            <w:pPr>
              <w:spacing w:line="240" w:lineRule="auto"/>
              <w:ind w:firstLine="0" w:firstLineChars="0"/>
              <w:jc w:val="center"/>
              <w:rPr>
                <w:color w:val="auto"/>
                <w:sz w:val="21"/>
                <w:szCs w:val="21"/>
                <w:highlight w:val="none"/>
              </w:rPr>
            </w:pPr>
            <w:r>
              <w:rPr>
                <w:color w:val="auto"/>
                <w:sz w:val="21"/>
                <w:szCs w:val="21"/>
                <w:highlight w:val="none"/>
              </w:rPr>
              <w:t>79.5</w:t>
            </w:r>
          </w:p>
        </w:tc>
        <w:tc>
          <w:tcPr>
            <w:tcW w:w="876" w:type="dxa"/>
            <w:vAlign w:val="center"/>
          </w:tcPr>
          <w:p w14:paraId="2804149C">
            <w:pPr>
              <w:spacing w:line="240" w:lineRule="auto"/>
              <w:ind w:firstLine="0" w:firstLineChars="0"/>
              <w:jc w:val="center"/>
              <w:rPr>
                <w:color w:val="auto"/>
                <w:sz w:val="21"/>
                <w:szCs w:val="21"/>
                <w:highlight w:val="none"/>
              </w:rPr>
            </w:pPr>
            <w:r>
              <w:rPr>
                <w:color w:val="auto"/>
                <w:sz w:val="21"/>
                <w:szCs w:val="21"/>
                <w:highlight w:val="none"/>
              </w:rPr>
              <w:t>75</w:t>
            </w:r>
          </w:p>
        </w:tc>
        <w:tc>
          <w:tcPr>
            <w:tcW w:w="878" w:type="dxa"/>
            <w:vAlign w:val="center"/>
          </w:tcPr>
          <w:p w14:paraId="3F977C0A">
            <w:pPr>
              <w:spacing w:line="240" w:lineRule="auto"/>
              <w:ind w:firstLine="0" w:firstLineChars="0"/>
              <w:jc w:val="center"/>
              <w:rPr>
                <w:color w:val="auto"/>
                <w:sz w:val="21"/>
                <w:szCs w:val="21"/>
                <w:highlight w:val="none"/>
              </w:rPr>
            </w:pPr>
            <w:r>
              <w:rPr>
                <w:color w:val="auto"/>
                <w:sz w:val="21"/>
                <w:szCs w:val="21"/>
                <w:highlight w:val="none"/>
              </w:rPr>
              <w:t>69</w:t>
            </w:r>
          </w:p>
        </w:tc>
        <w:tc>
          <w:tcPr>
            <w:tcW w:w="876" w:type="dxa"/>
            <w:vAlign w:val="center"/>
          </w:tcPr>
          <w:p w14:paraId="317E5D88">
            <w:pPr>
              <w:spacing w:line="240" w:lineRule="auto"/>
              <w:ind w:firstLine="0" w:firstLineChars="0"/>
              <w:jc w:val="center"/>
              <w:rPr>
                <w:color w:val="auto"/>
                <w:sz w:val="21"/>
                <w:szCs w:val="21"/>
                <w:highlight w:val="none"/>
              </w:rPr>
            </w:pPr>
            <w:r>
              <w:rPr>
                <w:color w:val="auto"/>
                <w:sz w:val="21"/>
                <w:szCs w:val="21"/>
                <w:highlight w:val="none"/>
              </w:rPr>
              <w:t>64.9</w:t>
            </w:r>
          </w:p>
        </w:tc>
        <w:tc>
          <w:tcPr>
            <w:tcW w:w="877" w:type="dxa"/>
            <w:vAlign w:val="center"/>
          </w:tcPr>
          <w:p w14:paraId="57D6F256">
            <w:pPr>
              <w:spacing w:line="240" w:lineRule="auto"/>
              <w:ind w:firstLine="0" w:firstLineChars="0"/>
              <w:jc w:val="center"/>
              <w:rPr>
                <w:color w:val="auto"/>
                <w:sz w:val="21"/>
                <w:szCs w:val="21"/>
                <w:highlight w:val="none"/>
              </w:rPr>
            </w:pPr>
            <w:r>
              <w:rPr>
                <w:color w:val="auto"/>
                <w:sz w:val="21"/>
                <w:szCs w:val="21"/>
                <w:highlight w:val="none"/>
              </w:rPr>
              <w:t>63</w:t>
            </w:r>
          </w:p>
        </w:tc>
        <w:tc>
          <w:tcPr>
            <w:tcW w:w="876" w:type="dxa"/>
            <w:vAlign w:val="center"/>
          </w:tcPr>
          <w:p w14:paraId="6C1BB577">
            <w:pPr>
              <w:spacing w:line="240" w:lineRule="auto"/>
              <w:ind w:firstLine="0" w:firstLineChars="0"/>
              <w:jc w:val="center"/>
              <w:rPr>
                <w:color w:val="auto"/>
                <w:sz w:val="21"/>
                <w:szCs w:val="21"/>
                <w:highlight w:val="none"/>
              </w:rPr>
            </w:pPr>
            <w:r>
              <w:rPr>
                <w:color w:val="auto"/>
                <w:sz w:val="21"/>
                <w:szCs w:val="21"/>
                <w:highlight w:val="none"/>
              </w:rPr>
              <w:t>59.5</w:t>
            </w:r>
          </w:p>
        </w:tc>
        <w:tc>
          <w:tcPr>
            <w:tcW w:w="877" w:type="dxa"/>
            <w:vAlign w:val="center"/>
          </w:tcPr>
          <w:p w14:paraId="7E0D8977">
            <w:pPr>
              <w:spacing w:line="240" w:lineRule="auto"/>
              <w:ind w:firstLine="0" w:firstLineChars="0"/>
              <w:jc w:val="center"/>
              <w:rPr>
                <w:color w:val="auto"/>
                <w:sz w:val="21"/>
                <w:szCs w:val="21"/>
                <w:highlight w:val="none"/>
              </w:rPr>
            </w:pPr>
            <w:r>
              <w:rPr>
                <w:color w:val="auto"/>
                <w:sz w:val="21"/>
                <w:szCs w:val="21"/>
                <w:highlight w:val="none"/>
              </w:rPr>
              <w:t>57.9</w:t>
            </w:r>
          </w:p>
        </w:tc>
        <w:tc>
          <w:tcPr>
            <w:tcW w:w="879" w:type="dxa"/>
            <w:vAlign w:val="center"/>
          </w:tcPr>
          <w:p w14:paraId="685FA884">
            <w:pPr>
              <w:spacing w:line="240" w:lineRule="auto"/>
              <w:ind w:firstLine="0" w:firstLineChars="0"/>
              <w:jc w:val="center"/>
              <w:rPr>
                <w:color w:val="auto"/>
                <w:sz w:val="21"/>
                <w:szCs w:val="21"/>
                <w:highlight w:val="none"/>
              </w:rPr>
            </w:pPr>
            <w:r>
              <w:rPr>
                <w:color w:val="auto"/>
                <w:sz w:val="21"/>
                <w:szCs w:val="21"/>
                <w:highlight w:val="none"/>
              </w:rPr>
              <w:t>57</w:t>
            </w:r>
          </w:p>
        </w:tc>
      </w:tr>
      <w:tr w14:paraId="38374DF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180" w:type="dxa"/>
            <w:vAlign w:val="center"/>
          </w:tcPr>
          <w:p w14:paraId="3D726458">
            <w:pPr>
              <w:spacing w:line="240" w:lineRule="auto"/>
              <w:ind w:firstLine="0" w:firstLineChars="0"/>
              <w:jc w:val="center"/>
              <w:rPr>
                <w:color w:val="auto"/>
                <w:sz w:val="21"/>
                <w:szCs w:val="21"/>
                <w:highlight w:val="none"/>
              </w:rPr>
            </w:pPr>
            <w:r>
              <w:rPr>
                <w:color w:val="auto"/>
                <w:sz w:val="21"/>
                <w:szCs w:val="21"/>
                <w:highlight w:val="none"/>
              </w:rPr>
              <w:t>振捣器</w:t>
            </w:r>
          </w:p>
        </w:tc>
        <w:tc>
          <w:tcPr>
            <w:tcW w:w="876" w:type="dxa"/>
            <w:vAlign w:val="center"/>
          </w:tcPr>
          <w:p w14:paraId="688047C7">
            <w:pPr>
              <w:spacing w:line="240" w:lineRule="auto"/>
              <w:ind w:firstLine="0" w:firstLineChars="0"/>
              <w:jc w:val="center"/>
              <w:rPr>
                <w:color w:val="auto"/>
                <w:sz w:val="21"/>
                <w:szCs w:val="21"/>
                <w:highlight w:val="none"/>
              </w:rPr>
            </w:pPr>
            <w:r>
              <w:rPr>
                <w:color w:val="auto"/>
                <w:sz w:val="21"/>
                <w:szCs w:val="21"/>
                <w:highlight w:val="none"/>
              </w:rPr>
              <w:t>105</w:t>
            </w:r>
          </w:p>
        </w:tc>
        <w:tc>
          <w:tcPr>
            <w:tcW w:w="877" w:type="dxa"/>
            <w:vAlign w:val="center"/>
          </w:tcPr>
          <w:p w14:paraId="1C4E85E5">
            <w:pPr>
              <w:spacing w:line="240" w:lineRule="auto"/>
              <w:ind w:firstLine="0" w:firstLineChars="0"/>
              <w:jc w:val="center"/>
              <w:rPr>
                <w:color w:val="auto"/>
                <w:sz w:val="21"/>
                <w:szCs w:val="21"/>
                <w:highlight w:val="none"/>
              </w:rPr>
            </w:pPr>
            <w:r>
              <w:rPr>
                <w:color w:val="auto"/>
                <w:sz w:val="21"/>
                <w:szCs w:val="21"/>
                <w:highlight w:val="none"/>
              </w:rPr>
              <w:t>81.5</w:t>
            </w:r>
          </w:p>
        </w:tc>
        <w:tc>
          <w:tcPr>
            <w:tcW w:w="876" w:type="dxa"/>
            <w:vAlign w:val="center"/>
          </w:tcPr>
          <w:p w14:paraId="0B736B8D">
            <w:pPr>
              <w:spacing w:line="240" w:lineRule="auto"/>
              <w:ind w:firstLine="0" w:firstLineChars="0"/>
              <w:jc w:val="center"/>
              <w:rPr>
                <w:color w:val="auto"/>
                <w:sz w:val="21"/>
                <w:szCs w:val="21"/>
                <w:highlight w:val="none"/>
              </w:rPr>
            </w:pPr>
            <w:r>
              <w:rPr>
                <w:color w:val="auto"/>
                <w:sz w:val="21"/>
                <w:szCs w:val="21"/>
                <w:highlight w:val="none"/>
              </w:rPr>
              <w:t>77</w:t>
            </w:r>
          </w:p>
        </w:tc>
        <w:tc>
          <w:tcPr>
            <w:tcW w:w="878" w:type="dxa"/>
            <w:vAlign w:val="center"/>
          </w:tcPr>
          <w:p w14:paraId="65F1AD07">
            <w:pPr>
              <w:spacing w:line="240" w:lineRule="auto"/>
              <w:ind w:firstLine="0" w:firstLineChars="0"/>
              <w:jc w:val="center"/>
              <w:rPr>
                <w:color w:val="auto"/>
                <w:sz w:val="21"/>
                <w:szCs w:val="21"/>
                <w:highlight w:val="none"/>
              </w:rPr>
            </w:pPr>
            <w:r>
              <w:rPr>
                <w:color w:val="auto"/>
                <w:sz w:val="21"/>
                <w:szCs w:val="21"/>
                <w:highlight w:val="none"/>
              </w:rPr>
              <w:t>71</w:t>
            </w:r>
          </w:p>
        </w:tc>
        <w:tc>
          <w:tcPr>
            <w:tcW w:w="876" w:type="dxa"/>
            <w:vAlign w:val="center"/>
          </w:tcPr>
          <w:p w14:paraId="0387D737">
            <w:pPr>
              <w:spacing w:line="240" w:lineRule="auto"/>
              <w:ind w:firstLine="0" w:firstLineChars="0"/>
              <w:jc w:val="center"/>
              <w:rPr>
                <w:color w:val="auto"/>
                <w:sz w:val="21"/>
                <w:szCs w:val="21"/>
                <w:highlight w:val="none"/>
              </w:rPr>
            </w:pPr>
            <w:r>
              <w:rPr>
                <w:color w:val="auto"/>
                <w:sz w:val="21"/>
                <w:szCs w:val="21"/>
                <w:highlight w:val="none"/>
              </w:rPr>
              <w:t>66.9</w:t>
            </w:r>
          </w:p>
        </w:tc>
        <w:tc>
          <w:tcPr>
            <w:tcW w:w="877" w:type="dxa"/>
            <w:vAlign w:val="center"/>
          </w:tcPr>
          <w:p w14:paraId="0D57FB27">
            <w:pPr>
              <w:spacing w:line="240" w:lineRule="auto"/>
              <w:ind w:firstLine="0" w:firstLineChars="0"/>
              <w:jc w:val="center"/>
              <w:rPr>
                <w:color w:val="auto"/>
                <w:sz w:val="21"/>
                <w:szCs w:val="21"/>
                <w:highlight w:val="none"/>
              </w:rPr>
            </w:pPr>
            <w:r>
              <w:rPr>
                <w:color w:val="auto"/>
                <w:sz w:val="21"/>
                <w:szCs w:val="21"/>
                <w:highlight w:val="none"/>
              </w:rPr>
              <w:t>65</w:t>
            </w:r>
          </w:p>
        </w:tc>
        <w:tc>
          <w:tcPr>
            <w:tcW w:w="876" w:type="dxa"/>
            <w:vAlign w:val="center"/>
          </w:tcPr>
          <w:p w14:paraId="034AB40E">
            <w:pPr>
              <w:spacing w:line="240" w:lineRule="auto"/>
              <w:ind w:firstLine="0" w:firstLineChars="0"/>
              <w:jc w:val="center"/>
              <w:rPr>
                <w:color w:val="auto"/>
                <w:sz w:val="21"/>
                <w:szCs w:val="21"/>
                <w:highlight w:val="none"/>
              </w:rPr>
            </w:pPr>
            <w:r>
              <w:rPr>
                <w:color w:val="auto"/>
                <w:sz w:val="21"/>
                <w:szCs w:val="21"/>
                <w:highlight w:val="none"/>
              </w:rPr>
              <w:t>61.5</w:t>
            </w:r>
          </w:p>
        </w:tc>
        <w:tc>
          <w:tcPr>
            <w:tcW w:w="877" w:type="dxa"/>
            <w:vAlign w:val="center"/>
          </w:tcPr>
          <w:p w14:paraId="63EA28FE">
            <w:pPr>
              <w:spacing w:line="240" w:lineRule="auto"/>
              <w:ind w:firstLine="0" w:firstLineChars="0"/>
              <w:jc w:val="center"/>
              <w:rPr>
                <w:color w:val="auto"/>
                <w:sz w:val="21"/>
                <w:szCs w:val="21"/>
                <w:highlight w:val="none"/>
              </w:rPr>
            </w:pPr>
            <w:r>
              <w:rPr>
                <w:color w:val="auto"/>
                <w:sz w:val="21"/>
                <w:szCs w:val="21"/>
                <w:highlight w:val="none"/>
              </w:rPr>
              <w:t>59.9</w:t>
            </w:r>
          </w:p>
        </w:tc>
        <w:tc>
          <w:tcPr>
            <w:tcW w:w="879" w:type="dxa"/>
            <w:vAlign w:val="center"/>
          </w:tcPr>
          <w:p w14:paraId="2933830D">
            <w:pPr>
              <w:spacing w:line="240" w:lineRule="auto"/>
              <w:ind w:firstLine="0" w:firstLineChars="0"/>
              <w:jc w:val="center"/>
              <w:rPr>
                <w:color w:val="auto"/>
                <w:sz w:val="21"/>
                <w:szCs w:val="21"/>
                <w:highlight w:val="none"/>
              </w:rPr>
            </w:pPr>
            <w:r>
              <w:rPr>
                <w:color w:val="auto"/>
                <w:sz w:val="21"/>
                <w:szCs w:val="21"/>
                <w:highlight w:val="none"/>
              </w:rPr>
              <w:t>59</w:t>
            </w:r>
          </w:p>
        </w:tc>
      </w:tr>
      <w:tr w14:paraId="54C9D5A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180" w:type="dxa"/>
            <w:vAlign w:val="center"/>
          </w:tcPr>
          <w:p w14:paraId="3CB7823B">
            <w:pPr>
              <w:spacing w:line="240" w:lineRule="auto"/>
              <w:ind w:firstLine="0" w:firstLineChars="0"/>
              <w:jc w:val="center"/>
              <w:rPr>
                <w:color w:val="auto"/>
                <w:sz w:val="21"/>
                <w:szCs w:val="21"/>
                <w:highlight w:val="none"/>
              </w:rPr>
            </w:pPr>
            <w:r>
              <w:rPr>
                <w:color w:val="auto"/>
                <w:sz w:val="21"/>
                <w:szCs w:val="21"/>
                <w:highlight w:val="none"/>
              </w:rPr>
              <w:t>挖掘机</w:t>
            </w:r>
          </w:p>
        </w:tc>
        <w:tc>
          <w:tcPr>
            <w:tcW w:w="876" w:type="dxa"/>
            <w:vAlign w:val="center"/>
          </w:tcPr>
          <w:p w14:paraId="670BE86C">
            <w:pPr>
              <w:spacing w:line="240" w:lineRule="auto"/>
              <w:ind w:firstLine="0" w:firstLineChars="0"/>
              <w:jc w:val="center"/>
              <w:rPr>
                <w:color w:val="auto"/>
                <w:sz w:val="21"/>
                <w:szCs w:val="21"/>
                <w:highlight w:val="none"/>
              </w:rPr>
            </w:pPr>
            <w:r>
              <w:rPr>
                <w:color w:val="auto"/>
                <w:sz w:val="21"/>
                <w:szCs w:val="21"/>
                <w:highlight w:val="none"/>
              </w:rPr>
              <w:t>89</w:t>
            </w:r>
          </w:p>
        </w:tc>
        <w:tc>
          <w:tcPr>
            <w:tcW w:w="877" w:type="dxa"/>
            <w:vAlign w:val="center"/>
          </w:tcPr>
          <w:p w14:paraId="4EE07304">
            <w:pPr>
              <w:spacing w:line="240" w:lineRule="auto"/>
              <w:ind w:firstLine="0" w:firstLineChars="0"/>
              <w:jc w:val="center"/>
              <w:rPr>
                <w:color w:val="auto"/>
                <w:sz w:val="21"/>
                <w:szCs w:val="21"/>
                <w:highlight w:val="none"/>
              </w:rPr>
            </w:pPr>
            <w:r>
              <w:rPr>
                <w:color w:val="auto"/>
                <w:sz w:val="21"/>
                <w:szCs w:val="21"/>
                <w:highlight w:val="none"/>
              </w:rPr>
              <w:t>65.5</w:t>
            </w:r>
          </w:p>
        </w:tc>
        <w:tc>
          <w:tcPr>
            <w:tcW w:w="876" w:type="dxa"/>
            <w:vAlign w:val="center"/>
          </w:tcPr>
          <w:p w14:paraId="13A93CFE">
            <w:pPr>
              <w:spacing w:line="240" w:lineRule="auto"/>
              <w:ind w:firstLine="0" w:firstLineChars="0"/>
              <w:jc w:val="center"/>
              <w:rPr>
                <w:color w:val="auto"/>
                <w:sz w:val="21"/>
                <w:szCs w:val="21"/>
                <w:highlight w:val="none"/>
              </w:rPr>
            </w:pPr>
            <w:r>
              <w:rPr>
                <w:color w:val="auto"/>
                <w:sz w:val="21"/>
                <w:szCs w:val="21"/>
                <w:highlight w:val="none"/>
              </w:rPr>
              <w:t>61</w:t>
            </w:r>
          </w:p>
        </w:tc>
        <w:tc>
          <w:tcPr>
            <w:tcW w:w="878" w:type="dxa"/>
            <w:vAlign w:val="center"/>
          </w:tcPr>
          <w:p w14:paraId="5E959C43">
            <w:pPr>
              <w:spacing w:line="240" w:lineRule="auto"/>
              <w:ind w:firstLine="0" w:firstLineChars="0"/>
              <w:jc w:val="center"/>
              <w:rPr>
                <w:color w:val="auto"/>
                <w:sz w:val="21"/>
                <w:szCs w:val="21"/>
                <w:highlight w:val="none"/>
              </w:rPr>
            </w:pPr>
            <w:r>
              <w:rPr>
                <w:color w:val="auto"/>
                <w:sz w:val="21"/>
                <w:szCs w:val="21"/>
                <w:highlight w:val="none"/>
              </w:rPr>
              <w:t>55</w:t>
            </w:r>
          </w:p>
        </w:tc>
        <w:tc>
          <w:tcPr>
            <w:tcW w:w="876" w:type="dxa"/>
            <w:vAlign w:val="center"/>
          </w:tcPr>
          <w:p w14:paraId="2C9894D3">
            <w:pPr>
              <w:spacing w:line="240" w:lineRule="auto"/>
              <w:ind w:firstLine="0" w:firstLineChars="0"/>
              <w:jc w:val="center"/>
              <w:rPr>
                <w:color w:val="auto"/>
                <w:sz w:val="21"/>
                <w:szCs w:val="21"/>
                <w:highlight w:val="none"/>
              </w:rPr>
            </w:pPr>
            <w:r>
              <w:rPr>
                <w:color w:val="auto"/>
                <w:sz w:val="21"/>
                <w:szCs w:val="21"/>
                <w:highlight w:val="none"/>
              </w:rPr>
              <w:t>50.9</w:t>
            </w:r>
          </w:p>
        </w:tc>
        <w:tc>
          <w:tcPr>
            <w:tcW w:w="877" w:type="dxa"/>
            <w:vAlign w:val="center"/>
          </w:tcPr>
          <w:p w14:paraId="74923E5D">
            <w:pPr>
              <w:spacing w:line="240" w:lineRule="auto"/>
              <w:ind w:firstLine="0" w:firstLineChars="0"/>
              <w:jc w:val="center"/>
              <w:rPr>
                <w:color w:val="auto"/>
                <w:sz w:val="21"/>
                <w:szCs w:val="21"/>
                <w:highlight w:val="none"/>
              </w:rPr>
            </w:pPr>
            <w:r>
              <w:rPr>
                <w:color w:val="auto"/>
                <w:sz w:val="21"/>
                <w:szCs w:val="21"/>
                <w:highlight w:val="none"/>
              </w:rPr>
              <w:t>49</w:t>
            </w:r>
          </w:p>
        </w:tc>
        <w:tc>
          <w:tcPr>
            <w:tcW w:w="876" w:type="dxa"/>
            <w:vAlign w:val="center"/>
          </w:tcPr>
          <w:p w14:paraId="296F5C37">
            <w:pPr>
              <w:spacing w:line="240" w:lineRule="auto"/>
              <w:ind w:firstLine="0" w:firstLineChars="0"/>
              <w:jc w:val="center"/>
              <w:rPr>
                <w:color w:val="auto"/>
                <w:sz w:val="21"/>
                <w:szCs w:val="21"/>
                <w:highlight w:val="none"/>
              </w:rPr>
            </w:pPr>
            <w:r>
              <w:rPr>
                <w:color w:val="auto"/>
                <w:sz w:val="21"/>
                <w:szCs w:val="21"/>
                <w:highlight w:val="none"/>
              </w:rPr>
              <w:t>45.5</w:t>
            </w:r>
          </w:p>
        </w:tc>
        <w:tc>
          <w:tcPr>
            <w:tcW w:w="877" w:type="dxa"/>
            <w:vAlign w:val="center"/>
          </w:tcPr>
          <w:p w14:paraId="30316925">
            <w:pPr>
              <w:spacing w:line="240" w:lineRule="auto"/>
              <w:ind w:firstLine="0" w:firstLineChars="0"/>
              <w:jc w:val="center"/>
              <w:rPr>
                <w:color w:val="auto"/>
                <w:sz w:val="21"/>
                <w:szCs w:val="21"/>
                <w:highlight w:val="none"/>
              </w:rPr>
            </w:pPr>
            <w:r>
              <w:rPr>
                <w:color w:val="auto"/>
                <w:sz w:val="21"/>
                <w:szCs w:val="21"/>
                <w:highlight w:val="none"/>
              </w:rPr>
              <w:t>43.9</w:t>
            </w:r>
          </w:p>
        </w:tc>
        <w:tc>
          <w:tcPr>
            <w:tcW w:w="879" w:type="dxa"/>
            <w:vAlign w:val="center"/>
          </w:tcPr>
          <w:p w14:paraId="729B8F00">
            <w:pPr>
              <w:spacing w:line="240" w:lineRule="auto"/>
              <w:ind w:firstLine="0" w:firstLineChars="0"/>
              <w:jc w:val="center"/>
              <w:rPr>
                <w:color w:val="auto"/>
                <w:sz w:val="21"/>
                <w:szCs w:val="21"/>
                <w:highlight w:val="none"/>
              </w:rPr>
            </w:pPr>
            <w:r>
              <w:rPr>
                <w:color w:val="auto"/>
                <w:sz w:val="21"/>
                <w:szCs w:val="21"/>
                <w:highlight w:val="none"/>
              </w:rPr>
              <w:t>43</w:t>
            </w:r>
          </w:p>
        </w:tc>
      </w:tr>
      <w:tr w14:paraId="7D8084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180" w:type="dxa"/>
            <w:vAlign w:val="center"/>
          </w:tcPr>
          <w:p w14:paraId="5E175697">
            <w:pPr>
              <w:spacing w:line="240" w:lineRule="auto"/>
              <w:ind w:firstLine="0" w:firstLineChars="0"/>
              <w:jc w:val="center"/>
              <w:rPr>
                <w:color w:val="auto"/>
                <w:sz w:val="21"/>
                <w:szCs w:val="21"/>
                <w:highlight w:val="none"/>
              </w:rPr>
            </w:pPr>
            <w:r>
              <w:rPr>
                <w:color w:val="auto"/>
                <w:sz w:val="21"/>
                <w:szCs w:val="21"/>
                <w:highlight w:val="none"/>
              </w:rPr>
              <w:t>起重机</w:t>
            </w:r>
          </w:p>
        </w:tc>
        <w:tc>
          <w:tcPr>
            <w:tcW w:w="876" w:type="dxa"/>
            <w:vAlign w:val="center"/>
          </w:tcPr>
          <w:p w14:paraId="4061CBA7">
            <w:pPr>
              <w:spacing w:line="240" w:lineRule="auto"/>
              <w:ind w:firstLine="0" w:firstLineChars="0"/>
              <w:jc w:val="center"/>
              <w:rPr>
                <w:color w:val="auto"/>
                <w:sz w:val="21"/>
                <w:szCs w:val="21"/>
                <w:highlight w:val="none"/>
              </w:rPr>
            </w:pPr>
            <w:r>
              <w:rPr>
                <w:color w:val="auto"/>
                <w:sz w:val="21"/>
                <w:szCs w:val="21"/>
                <w:highlight w:val="none"/>
              </w:rPr>
              <w:t>95</w:t>
            </w:r>
          </w:p>
        </w:tc>
        <w:tc>
          <w:tcPr>
            <w:tcW w:w="877" w:type="dxa"/>
            <w:vAlign w:val="center"/>
          </w:tcPr>
          <w:p w14:paraId="02CE959F">
            <w:pPr>
              <w:spacing w:line="240" w:lineRule="auto"/>
              <w:ind w:firstLine="0" w:firstLineChars="0"/>
              <w:jc w:val="center"/>
              <w:rPr>
                <w:color w:val="auto"/>
                <w:sz w:val="21"/>
                <w:szCs w:val="21"/>
                <w:highlight w:val="none"/>
              </w:rPr>
            </w:pPr>
            <w:r>
              <w:rPr>
                <w:color w:val="auto"/>
                <w:sz w:val="21"/>
                <w:szCs w:val="21"/>
                <w:highlight w:val="none"/>
              </w:rPr>
              <w:t>71.5</w:t>
            </w:r>
          </w:p>
        </w:tc>
        <w:tc>
          <w:tcPr>
            <w:tcW w:w="876" w:type="dxa"/>
            <w:vAlign w:val="center"/>
          </w:tcPr>
          <w:p w14:paraId="4A4EA0F8">
            <w:pPr>
              <w:spacing w:line="240" w:lineRule="auto"/>
              <w:ind w:firstLine="0" w:firstLineChars="0"/>
              <w:jc w:val="center"/>
              <w:rPr>
                <w:color w:val="auto"/>
                <w:sz w:val="21"/>
                <w:szCs w:val="21"/>
                <w:highlight w:val="none"/>
              </w:rPr>
            </w:pPr>
            <w:r>
              <w:rPr>
                <w:color w:val="auto"/>
                <w:sz w:val="21"/>
                <w:szCs w:val="21"/>
                <w:highlight w:val="none"/>
              </w:rPr>
              <w:t>67.0</w:t>
            </w:r>
          </w:p>
        </w:tc>
        <w:tc>
          <w:tcPr>
            <w:tcW w:w="878" w:type="dxa"/>
            <w:vAlign w:val="center"/>
          </w:tcPr>
          <w:p w14:paraId="45822A61">
            <w:pPr>
              <w:spacing w:line="240" w:lineRule="auto"/>
              <w:ind w:firstLine="0" w:firstLineChars="0"/>
              <w:jc w:val="center"/>
              <w:rPr>
                <w:color w:val="auto"/>
                <w:sz w:val="21"/>
                <w:szCs w:val="21"/>
                <w:highlight w:val="none"/>
              </w:rPr>
            </w:pPr>
            <w:r>
              <w:rPr>
                <w:color w:val="auto"/>
                <w:sz w:val="21"/>
                <w:szCs w:val="21"/>
                <w:highlight w:val="none"/>
              </w:rPr>
              <w:t>61.0</w:t>
            </w:r>
          </w:p>
        </w:tc>
        <w:tc>
          <w:tcPr>
            <w:tcW w:w="876" w:type="dxa"/>
            <w:vAlign w:val="center"/>
          </w:tcPr>
          <w:p w14:paraId="2DA0A561">
            <w:pPr>
              <w:spacing w:line="240" w:lineRule="auto"/>
              <w:ind w:firstLine="0" w:firstLineChars="0"/>
              <w:jc w:val="center"/>
              <w:rPr>
                <w:color w:val="auto"/>
                <w:sz w:val="21"/>
                <w:szCs w:val="21"/>
                <w:highlight w:val="none"/>
              </w:rPr>
            </w:pPr>
            <w:r>
              <w:rPr>
                <w:color w:val="auto"/>
                <w:sz w:val="21"/>
                <w:szCs w:val="21"/>
                <w:highlight w:val="none"/>
              </w:rPr>
              <w:t>56.9</w:t>
            </w:r>
          </w:p>
        </w:tc>
        <w:tc>
          <w:tcPr>
            <w:tcW w:w="877" w:type="dxa"/>
            <w:vAlign w:val="center"/>
          </w:tcPr>
          <w:p w14:paraId="06F5416D">
            <w:pPr>
              <w:spacing w:line="240" w:lineRule="auto"/>
              <w:ind w:firstLine="0" w:firstLineChars="0"/>
              <w:jc w:val="center"/>
              <w:rPr>
                <w:color w:val="auto"/>
                <w:sz w:val="21"/>
                <w:szCs w:val="21"/>
                <w:highlight w:val="none"/>
              </w:rPr>
            </w:pPr>
            <w:r>
              <w:rPr>
                <w:color w:val="auto"/>
                <w:sz w:val="21"/>
                <w:szCs w:val="21"/>
                <w:highlight w:val="none"/>
              </w:rPr>
              <w:t>55.0</w:t>
            </w:r>
          </w:p>
        </w:tc>
        <w:tc>
          <w:tcPr>
            <w:tcW w:w="876" w:type="dxa"/>
            <w:vAlign w:val="center"/>
          </w:tcPr>
          <w:p w14:paraId="09DB9525">
            <w:pPr>
              <w:spacing w:line="240" w:lineRule="auto"/>
              <w:ind w:firstLine="0" w:firstLineChars="0"/>
              <w:jc w:val="center"/>
              <w:rPr>
                <w:color w:val="auto"/>
                <w:sz w:val="21"/>
                <w:szCs w:val="21"/>
                <w:highlight w:val="none"/>
              </w:rPr>
            </w:pPr>
            <w:r>
              <w:rPr>
                <w:color w:val="auto"/>
                <w:sz w:val="21"/>
                <w:szCs w:val="21"/>
                <w:highlight w:val="none"/>
              </w:rPr>
              <w:t>51.5</w:t>
            </w:r>
          </w:p>
        </w:tc>
        <w:tc>
          <w:tcPr>
            <w:tcW w:w="877" w:type="dxa"/>
            <w:vAlign w:val="center"/>
          </w:tcPr>
          <w:p w14:paraId="47F555CD">
            <w:pPr>
              <w:spacing w:line="240" w:lineRule="auto"/>
              <w:ind w:firstLine="0" w:firstLineChars="0"/>
              <w:jc w:val="center"/>
              <w:rPr>
                <w:color w:val="auto"/>
                <w:sz w:val="21"/>
                <w:szCs w:val="21"/>
                <w:highlight w:val="none"/>
              </w:rPr>
            </w:pPr>
            <w:r>
              <w:rPr>
                <w:color w:val="auto"/>
                <w:sz w:val="21"/>
                <w:szCs w:val="21"/>
                <w:highlight w:val="none"/>
              </w:rPr>
              <w:t>49.9</w:t>
            </w:r>
          </w:p>
        </w:tc>
        <w:tc>
          <w:tcPr>
            <w:tcW w:w="879" w:type="dxa"/>
            <w:vAlign w:val="center"/>
          </w:tcPr>
          <w:p w14:paraId="29E97D81">
            <w:pPr>
              <w:spacing w:line="240" w:lineRule="auto"/>
              <w:ind w:firstLine="0" w:firstLineChars="0"/>
              <w:jc w:val="center"/>
              <w:rPr>
                <w:color w:val="auto"/>
                <w:sz w:val="21"/>
                <w:szCs w:val="21"/>
                <w:highlight w:val="none"/>
              </w:rPr>
            </w:pPr>
            <w:r>
              <w:rPr>
                <w:color w:val="auto"/>
                <w:sz w:val="21"/>
                <w:szCs w:val="21"/>
                <w:highlight w:val="none"/>
              </w:rPr>
              <w:t>49.0</w:t>
            </w:r>
          </w:p>
        </w:tc>
      </w:tr>
      <w:tr w14:paraId="4732A80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180" w:type="dxa"/>
            <w:vAlign w:val="center"/>
          </w:tcPr>
          <w:p w14:paraId="465A67D1">
            <w:pPr>
              <w:spacing w:line="240" w:lineRule="auto"/>
              <w:ind w:firstLine="0" w:firstLineChars="0"/>
              <w:jc w:val="center"/>
              <w:rPr>
                <w:color w:val="auto"/>
                <w:sz w:val="21"/>
                <w:szCs w:val="21"/>
                <w:highlight w:val="none"/>
              </w:rPr>
            </w:pPr>
            <w:r>
              <w:rPr>
                <w:color w:val="auto"/>
                <w:sz w:val="21"/>
                <w:szCs w:val="21"/>
                <w:highlight w:val="none"/>
              </w:rPr>
              <w:t>焊接设备</w:t>
            </w:r>
          </w:p>
        </w:tc>
        <w:tc>
          <w:tcPr>
            <w:tcW w:w="876" w:type="dxa"/>
            <w:vAlign w:val="center"/>
          </w:tcPr>
          <w:p w14:paraId="154D97D1">
            <w:pPr>
              <w:spacing w:line="240" w:lineRule="auto"/>
              <w:ind w:firstLine="0" w:firstLineChars="0"/>
              <w:jc w:val="center"/>
              <w:rPr>
                <w:color w:val="auto"/>
                <w:sz w:val="21"/>
                <w:szCs w:val="21"/>
                <w:highlight w:val="none"/>
              </w:rPr>
            </w:pPr>
            <w:r>
              <w:rPr>
                <w:color w:val="auto"/>
                <w:sz w:val="21"/>
                <w:szCs w:val="21"/>
                <w:highlight w:val="none"/>
              </w:rPr>
              <w:t>90</w:t>
            </w:r>
          </w:p>
        </w:tc>
        <w:tc>
          <w:tcPr>
            <w:tcW w:w="877" w:type="dxa"/>
            <w:vAlign w:val="center"/>
          </w:tcPr>
          <w:p w14:paraId="5CC5ED10">
            <w:pPr>
              <w:spacing w:line="240" w:lineRule="auto"/>
              <w:ind w:firstLine="0" w:firstLineChars="0"/>
              <w:jc w:val="center"/>
              <w:rPr>
                <w:color w:val="auto"/>
                <w:sz w:val="21"/>
                <w:szCs w:val="21"/>
                <w:highlight w:val="none"/>
              </w:rPr>
            </w:pPr>
            <w:r>
              <w:rPr>
                <w:color w:val="auto"/>
                <w:sz w:val="21"/>
                <w:szCs w:val="21"/>
                <w:highlight w:val="none"/>
              </w:rPr>
              <w:t>66.5</w:t>
            </w:r>
          </w:p>
        </w:tc>
        <w:tc>
          <w:tcPr>
            <w:tcW w:w="876" w:type="dxa"/>
            <w:vAlign w:val="center"/>
          </w:tcPr>
          <w:p w14:paraId="30246B3C">
            <w:pPr>
              <w:spacing w:line="240" w:lineRule="auto"/>
              <w:ind w:firstLine="0" w:firstLineChars="0"/>
              <w:jc w:val="center"/>
              <w:rPr>
                <w:color w:val="auto"/>
                <w:sz w:val="21"/>
                <w:szCs w:val="21"/>
                <w:highlight w:val="none"/>
              </w:rPr>
            </w:pPr>
            <w:r>
              <w:rPr>
                <w:color w:val="auto"/>
                <w:sz w:val="21"/>
                <w:szCs w:val="21"/>
                <w:highlight w:val="none"/>
              </w:rPr>
              <w:t>62</w:t>
            </w:r>
          </w:p>
        </w:tc>
        <w:tc>
          <w:tcPr>
            <w:tcW w:w="878" w:type="dxa"/>
            <w:vAlign w:val="center"/>
          </w:tcPr>
          <w:p w14:paraId="0032B045">
            <w:pPr>
              <w:spacing w:line="240" w:lineRule="auto"/>
              <w:ind w:firstLine="0" w:firstLineChars="0"/>
              <w:jc w:val="center"/>
              <w:rPr>
                <w:color w:val="auto"/>
                <w:sz w:val="21"/>
                <w:szCs w:val="21"/>
                <w:highlight w:val="none"/>
              </w:rPr>
            </w:pPr>
            <w:r>
              <w:rPr>
                <w:color w:val="auto"/>
                <w:sz w:val="21"/>
                <w:szCs w:val="21"/>
                <w:highlight w:val="none"/>
              </w:rPr>
              <w:t>56</w:t>
            </w:r>
          </w:p>
        </w:tc>
        <w:tc>
          <w:tcPr>
            <w:tcW w:w="876" w:type="dxa"/>
            <w:vAlign w:val="center"/>
          </w:tcPr>
          <w:p w14:paraId="33A107E1">
            <w:pPr>
              <w:spacing w:line="240" w:lineRule="auto"/>
              <w:ind w:firstLine="0" w:firstLineChars="0"/>
              <w:jc w:val="center"/>
              <w:rPr>
                <w:color w:val="auto"/>
                <w:sz w:val="21"/>
                <w:szCs w:val="21"/>
                <w:highlight w:val="none"/>
              </w:rPr>
            </w:pPr>
            <w:r>
              <w:rPr>
                <w:color w:val="auto"/>
                <w:sz w:val="21"/>
                <w:szCs w:val="21"/>
                <w:highlight w:val="none"/>
              </w:rPr>
              <w:t>51.9</w:t>
            </w:r>
          </w:p>
        </w:tc>
        <w:tc>
          <w:tcPr>
            <w:tcW w:w="877" w:type="dxa"/>
            <w:vAlign w:val="center"/>
          </w:tcPr>
          <w:p w14:paraId="43B82126">
            <w:pPr>
              <w:spacing w:line="240" w:lineRule="auto"/>
              <w:ind w:firstLine="0" w:firstLineChars="0"/>
              <w:jc w:val="center"/>
              <w:rPr>
                <w:color w:val="auto"/>
                <w:sz w:val="21"/>
                <w:szCs w:val="21"/>
                <w:highlight w:val="none"/>
              </w:rPr>
            </w:pPr>
            <w:r>
              <w:rPr>
                <w:color w:val="auto"/>
                <w:sz w:val="21"/>
                <w:szCs w:val="21"/>
                <w:highlight w:val="none"/>
              </w:rPr>
              <w:t>50</w:t>
            </w:r>
          </w:p>
        </w:tc>
        <w:tc>
          <w:tcPr>
            <w:tcW w:w="876" w:type="dxa"/>
            <w:vAlign w:val="center"/>
          </w:tcPr>
          <w:p w14:paraId="09DC91F0">
            <w:pPr>
              <w:spacing w:line="240" w:lineRule="auto"/>
              <w:ind w:firstLine="0" w:firstLineChars="0"/>
              <w:jc w:val="center"/>
              <w:rPr>
                <w:color w:val="auto"/>
                <w:sz w:val="21"/>
                <w:szCs w:val="21"/>
                <w:highlight w:val="none"/>
              </w:rPr>
            </w:pPr>
            <w:r>
              <w:rPr>
                <w:color w:val="auto"/>
                <w:sz w:val="21"/>
                <w:szCs w:val="21"/>
                <w:highlight w:val="none"/>
              </w:rPr>
              <w:t>46.5</w:t>
            </w:r>
          </w:p>
        </w:tc>
        <w:tc>
          <w:tcPr>
            <w:tcW w:w="877" w:type="dxa"/>
            <w:vAlign w:val="center"/>
          </w:tcPr>
          <w:p w14:paraId="6DD76393">
            <w:pPr>
              <w:spacing w:line="240" w:lineRule="auto"/>
              <w:ind w:firstLine="0" w:firstLineChars="0"/>
              <w:jc w:val="center"/>
              <w:rPr>
                <w:color w:val="auto"/>
                <w:sz w:val="21"/>
                <w:szCs w:val="21"/>
                <w:highlight w:val="none"/>
              </w:rPr>
            </w:pPr>
            <w:r>
              <w:rPr>
                <w:color w:val="auto"/>
                <w:sz w:val="21"/>
                <w:szCs w:val="21"/>
                <w:highlight w:val="none"/>
              </w:rPr>
              <w:t>44.9</w:t>
            </w:r>
          </w:p>
        </w:tc>
        <w:tc>
          <w:tcPr>
            <w:tcW w:w="879" w:type="dxa"/>
            <w:vAlign w:val="center"/>
          </w:tcPr>
          <w:p w14:paraId="7B13F1DD">
            <w:pPr>
              <w:spacing w:line="240" w:lineRule="auto"/>
              <w:ind w:firstLine="0" w:firstLineChars="0"/>
              <w:jc w:val="center"/>
              <w:rPr>
                <w:color w:val="auto"/>
                <w:sz w:val="21"/>
                <w:szCs w:val="21"/>
                <w:highlight w:val="none"/>
              </w:rPr>
            </w:pPr>
            <w:r>
              <w:rPr>
                <w:color w:val="auto"/>
                <w:sz w:val="21"/>
                <w:szCs w:val="21"/>
                <w:highlight w:val="none"/>
              </w:rPr>
              <w:t>44</w:t>
            </w:r>
          </w:p>
        </w:tc>
      </w:tr>
      <w:tr w14:paraId="641D4FD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180" w:type="dxa"/>
            <w:vAlign w:val="center"/>
          </w:tcPr>
          <w:p w14:paraId="7D65721A">
            <w:pPr>
              <w:spacing w:line="240" w:lineRule="auto"/>
              <w:ind w:firstLine="0" w:firstLineChars="0"/>
              <w:jc w:val="center"/>
              <w:rPr>
                <w:color w:val="auto"/>
                <w:sz w:val="21"/>
                <w:szCs w:val="21"/>
                <w:highlight w:val="none"/>
              </w:rPr>
            </w:pPr>
            <w:r>
              <w:rPr>
                <w:color w:val="auto"/>
                <w:sz w:val="21"/>
                <w:szCs w:val="21"/>
                <w:highlight w:val="none"/>
              </w:rPr>
              <w:t>打桩机</w:t>
            </w:r>
          </w:p>
        </w:tc>
        <w:tc>
          <w:tcPr>
            <w:tcW w:w="876" w:type="dxa"/>
            <w:vAlign w:val="center"/>
          </w:tcPr>
          <w:p w14:paraId="37D753EB">
            <w:pPr>
              <w:spacing w:line="240" w:lineRule="auto"/>
              <w:ind w:firstLine="0" w:firstLineChars="0"/>
              <w:jc w:val="center"/>
              <w:rPr>
                <w:color w:val="auto"/>
                <w:sz w:val="21"/>
                <w:szCs w:val="21"/>
                <w:highlight w:val="none"/>
              </w:rPr>
            </w:pPr>
            <w:r>
              <w:rPr>
                <w:color w:val="auto"/>
                <w:sz w:val="21"/>
                <w:szCs w:val="21"/>
                <w:highlight w:val="none"/>
              </w:rPr>
              <w:t>90</w:t>
            </w:r>
          </w:p>
        </w:tc>
        <w:tc>
          <w:tcPr>
            <w:tcW w:w="877" w:type="dxa"/>
            <w:vAlign w:val="center"/>
          </w:tcPr>
          <w:p w14:paraId="5ABB3D9B">
            <w:pPr>
              <w:spacing w:line="240" w:lineRule="auto"/>
              <w:ind w:firstLine="0" w:firstLineChars="0"/>
              <w:jc w:val="center"/>
              <w:rPr>
                <w:color w:val="auto"/>
                <w:sz w:val="21"/>
                <w:szCs w:val="21"/>
                <w:highlight w:val="none"/>
              </w:rPr>
            </w:pPr>
            <w:r>
              <w:rPr>
                <w:color w:val="auto"/>
                <w:sz w:val="21"/>
                <w:szCs w:val="21"/>
                <w:highlight w:val="none"/>
              </w:rPr>
              <w:t>66.5</w:t>
            </w:r>
          </w:p>
        </w:tc>
        <w:tc>
          <w:tcPr>
            <w:tcW w:w="876" w:type="dxa"/>
            <w:vAlign w:val="center"/>
          </w:tcPr>
          <w:p w14:paraId="5C3737FA">
            <w:pPr>
              <w:spacing w:line="240" w:lineRule="auto"/>
              <w:ind w:firstLine="0" w:firstLineChars="0"/>
              <w:jc w:val="center"/>
              <w:rPr>
                <w:color w:val="auto"/>
                <w:sz w:val="21"/>
                <w:szCs w:val="21"/>
                <w:highlight w:val="none"/>
              </w:rPr>
            </w:pPr>
            <w:r>
              <w:rPr>
                <w:color w:val="auto"/>
                <w:sz w:val="21"/>
                <w:szCs w:val="21"/>
                <w:highlight w:val="none"/>
              </w:rPr>
              <w:t>62</w:t>
            </w:r>
          </w:p>
        </w:tc>
        <w:tc>
          <w:tcPr>
            <w:tcW w:w="878" w:type="dxa"/>
            <w:vAlign w:val="center"/>
          </w:tcPr>
          <w:p w14:paraId="4D6B5566">
            <w:pPr>
              <w:spacing w:line="240" w:lineRule="auto"/>
              <w:ind w:firstLine="0" w:firstLineChars="0"/>
              <w:jc w:val="center"/>
              <w:rPr>
                <w:color w:val="auto"/>
                <w:sz w:val="21"/>
                <w:szCs w:val="21"/>
                <w:highlight w:val="none"/>
              </w:rPr>
            </w:pPr>
            <w:r>
              <w:rPr>
                <w:color w:val="auto"/>
                <w:sz w:val="21"/>
                <w:szCs w:val="21"/>
                <w:highlight w:val="none"/>
              </w:rPr>
              <w:t>56</w:t>
            </w:r>
          </w:p>
        </w:tc>
        <w:tc>
          <w:tcPr>
            <w:tcW w:w="876" w:type="dxa"/>
            <w:vAlign w:val="center"/>
          </w:tcPr>
          <w:p w14:paraId="29B81341">
            <w:pPr>
              <w:spacing w:line="240" w:lineRule="auto"/>
              <w:ind w:firstLine="0" w:firstLineChars="0"/>
              <w:jc w:val="center"/>
              <w:rPr>
                <w:color w:val="auto"/>
                <w:sz w:val="21"/>
                <w:szCs w:val="21"/>
                <w:highlight w:val="none"/>
              </w:rPr>
            </w:pPr>
            <w:r>
              <w:rPr>
                <w:color w:val="auto"/>
                <w:sz w:val="21"/>
                <w:szCs w:val="21"/>
                <w:highlight w:val="none"/>
              </w:rPr>
              <w:t>51.9</w:t>
            </w:r>
          </w:p>
        </w:tc>
        <w:tc>
          <w:tcPr>
            <w:tcW w:w="877" w:type="dxa"/>
            <w:vAlign w:val="center"/>
          </w:tcPr>
          <w:p w14:paraId="15C77F5B">
            <w:pPr>
              <w:spacing w:line="240" w:lineRule="auto"/>
              <w:ind w:firstLine="0" w:firstLineChars="0"/>
              <w:jc w:val="center"/>
              <w:rPr>
                <w:color w:val="auto"/>
                <w:sz w:val="21"/>
                <w:szCs w:val="21"/>
                <w:highlight w:val="none"/>
              </w:rPr>
            </w:pPr>
            <w:r>
              <w:rPr>
                <w:color w:val="auto"/>
                <w:sz w:val="21"/>
                <w:szCs w:val="21"/>
                <w:highlight w:val="none"/>
              </w:rPr>
              <w:t>50</w:t>
            </w:r>
          </w:p>
        </w:tc>
        <w:tc>
          <w:tcPr>
            <w:tcW w:w="876" w:type="dxa"/>
            <w:vAlign w:val="center"/>
          </w:tcPr>
          <w:p w14:paraId="216D7843">
            <w:pPr>
              <w:spacing w:line="240" w:lineRule="auto"/>
              <w:ind w:firstLine="0" w:firstLineChars="0"/>
              <w:jc w:val="center"/>
              <w:rPr>
                <w:color w:val="auto"/>
                <w:sz w:val="21"/>
                <w:szCs w:val="21"/>
                <w:highlight w:val="none"/>
              </w:rPr>
            </w:pPr>
            <w:r>
              <w:rPr>
                <w:color w:val="auto"/>
                <w:sz w:val="21"/>
                <w:szCs w:val="21"/>
                <w:highlight w:val="none"/>
              </w:rPr>
              <w:t>46.5</w:t>
            </w:r>
          </w:p>
        </w:tc>
        <w:tc>
          <w:tcPr>
            <w:tcW w:w="877" w:type="dxa"/>
            <w:vAlign w:val="center"/>
          </w:tcPr>
          <w:p w14:paraId="7FAB70A3">
            <w:pPr>
              <w:spacing w:line="240" w:lineRule="auto"/>
              <w:ind w:firstLine="0" w:firstLineChars="0"/>
              <w:jc w:val="center"/>
              <w:rPr>
                <w:color w:val="auto"/>
                <w:sz w:val="21"/>
                <w:szCs w:val="21"/>
                <w:highlight w:val="none"/>
              </w:rPr>
            </w:pPr>
            <w:r>
              <w:rPr>
                <w:color w:val="auto"/>
                <w:sz w:val="21"/>
                <w:szCs w:val="21"/>
                <w:highlight w:val="none"/>
              </w:rPr>
              <w:t>44.9</w:t>
            </w:r>
          </w:p>
        </w:tc>
        <w:tc>
          <w:tcPr>
            <w:tcW w:w="879" w:type="dxa"/>
            <w:vAlign w:val="center"/>
          </w:tcPr>
          <w:p w14:paraId="6F0D164C">
            <w:pPr>
              <w:spacing w:line="240" w:lineRule="auto"/>
              <w:ind w:firstLine="0" w:firstLineChars="0"/>
              <w:jc w:val="center"/>
              <w:rPr>
                <w:color w:val="auto"/>
                <w:sz w:val="21"/>
                <w:szCs w:val="21"/>
                <w:highlight w:val="none"/>
              </w:rPr>
            </w:pPr>
            <w:r>
              <w:rPr>
                <w:color w:val="auto"/>
                <w:sz w:val="21"/>
                <w:szCs w:val="21"/>
                <w:highlight w:val="none"/>
              </w:rPr>
              <w:t>44</w:t>
            </w:r>
          </w:p>
        </w:tc>
      </w:tr>
    </w:tbl>
    <w:p w14:paraId="538C5959">
      <w:pPr>
        <w:spacing w:before="120" w:beforeLines="50"/>
        <w:ind w:firstLine="480"/>
        <w:rPr>
          <w:color w:val="auto"/>
          <w:highlight w:val="none"/>
        </w:rPr>
      </w:pPr>
      <w:r>
        <w:rPr>
          <w:color w:val="auto"/>
          <w:highlight w:val="none"/>
        </w:rPr>
        <w:t>从表4.1-3可知：在无任何噪声防治措施的情况下，各施工机械的噪声经80m距离衰减后，可达到《建筑施工场界环境噪声排放标准》（GBl2523-2011）昼间标准；经180m距离衰减后可达到夜间标准。实际施工中，施工机械将不可避免的在施工场界内附近进行施工，当施工点距离场界小于80m时，场界噪声将超出《建筑施工场界环境噪声排放标准》（GBl2523-2011）昼间标准限值，若夜间施工，夜间场界噪声的超标量更大。</w:t>
      </w:r>
    </w:p>
    <w:p w14:paraId="4A4C834C">
      <w:pPr>
        <w:ind w:firstLine="480"/>
        <w:rPr>
          <w:color w:val="auto"/>
          <w:highlight w:val="none"/>
        </w:rPr>
      </w:pPr>
      <w:r>
        <w:rPr>
          <w:color w:val="auto"/>
          <w:highlight w:val="none"/>
        </w:rPr>
        <w:t>距离施工场地最近的敏感点在5km以上，项目对敏感点的影响不大，为进一步减小施工场界噪声值及对周围声环境的影响，采取以下噪声防治措施：选择低噪声设备，加强设备的运行维护；合理安排施工顺序和工艺，在高噪声设备附近加设可移动的简单围障或者安装</w:t>
      </w:r>
      <w:r>
        <w:rPr>
          <w:rFonts w:hint="eastAsia"/>
          <w:color w:val="auto"/>
          <w:highlight w:val="none"/>
          <w:lang w:eastAsia="zh-CN"/>
        </w:rPr>
        <w:t>消声器</w:t>
      </w:r>
      <w:r>
        <w:rPr>
          <w:color w:val="auto"/>
          <w:highlight w:val="none"/>
        </w:rPr>
        <w:t>，以降低其噪音辐射：严格控制施工时间，不在夜间和中午进行施工作业；对高噪声机械、设备安装</w:t>
      </w:r>
      <w:r>
        <w:rPr>
          <w:rFonts w:hint="eastAsia"/>
          <w:color w:val="auto"/>
          <w:highlight w:val="none"/>
          <w:lang w:eastAsia="zh-CN"/>
        </w:rPr>
        <w:t>减振</w:t>
      </w:r>
      <w:r>
        <w:rPr>
          <w:color w:val="auto"/>
          <w:highlight w:val="none"/>
        </w:rPr>
        <w:t>垫、消声器等；采取以上措施一般可减小施工噪声15dB（A）以上。施工过程中做好了噪声防护措施，施工噪声对周边环境影响较小。</w:t>
      </w:r>
    </w:p>
    <w:p w14:paraId="7455DDE3">
      <w:pPr>
        <w:pStyle w:val="7"/>
        <w:numPr>
          <w:ilvl w:val="2"/>
          <w:numId w:val="9"/>
        </w:numPr>
        <w:rPr>
          <w:color w:val="auto"/>
          <w:sz w:val="28"/>
          <w:highlight w:val="none"/>
        </w:rPr>
      </w:pPr>
      <w:bookmarkStart w:id="190" w:name="_Toc34128261"/>
      <w:r>
        <w:rPr>
          <w:color w:val="auto"/>
          <w:sz w:val="28"/>
          <w:highlight w:val="none"/>
        </w:rPr>
        <w:t>施工期固体废物影响分析</w:t>
      </w:r>
      <w:bookmarkEnd w:id="190"/>
    </w:p>
    <w:p w14:paraId="1D2E4128">
      <w:pPr>
        <w:ind w:firstLine="480"/>
        <w:rPr>
          <w:color w:val="auto"/>
          <w:highlight w:val="none"/>
        </w:rPr>
      </w:pPr>
      <w:r>
        <w:rPr>
          <w:bCs/>
          <w:color w:val="auto"/>
          <w:kern w:val="2"/>
          <w:highlight w:val="none"/>
        </w:rPr>
        <w:t>①浮船坞建筑场地内土石方在内部工程进行调配，无借方、弃方</w:t>
      </w:r>
      <w:r>
        <w:rPr>
          <w:color w:val="auto"/>
          <w:highlight w:val="none"/>
        </w:rPr>
        <w:t>；</w:t>
      </w:r>
    </w:p>
    <w:p w14:paraId="12866065">
      <w:pPr>
        <w:tabs>
          <w:tab w:val="left" w:pos="960"/>
        </w:tabs>
        <w:ind w:firstLine="480"/>
        <w:rPr>
          <w:bCs/>
          <w:color w:val="auto"/>
          <w:kern w:val="2"/>
          <w:highlight w:val="none"/>
        </w:rPr>
      </w:pPr>
      <w:r>
        <w:rPr>
          <w:bCs/>
          <w:color w:val="auto"/>
          <w:kern w:val="2"/>
          <w:highlight w:val="none"/>
        </w:rPr>
        <w:t>②项目施工期间可能少量产生的废焊条和焊渣、废铁屑、钢材切割废料等。集中堆放在现有工程一般固废暂存间暂存，能回收的回收利用，不能回收利用的由中标公司（最近一次委托处理单位为钦州市鼎鑫再生资源回收利用有限公司）外运处理。</w:t>
      </w:r>
    </w:p>
    <w:p w14:paraId="482CB365">
      <w:pPr>
        <w:ind w:firstLine="480"/>
        <w:rPr>
          <w:color w:val="auto"/>
          <w:highlight w:val="none"/>
        </w:rPr>
      </w:pPr>
      <w:r>
        <w:rPr>
          <w:color w:val="auto"/>
          <w:highlight w:val="none"/>
        </w:rPr>
        <w:t>③施工人员生活垃圾在施工现场设置垃圾桶，由环卫部门统一收集处理。</w:t>
      </w:r>
    </w:p>
    <w:p w14:paraId="75EB0613">
      <w:pPr>
        <w:pStyle w:val="7"/>
        <w:numPr>
          <w:ilvl w:val="2"/>
          <w:numId w:val="9"/>
        </w:numPr>
        <w:rPr>
          <w:color w:val="auto"/>
          <w:sz w:val="28"/>
          <w:highlight w:val="none"/>
        </w:rPr>
      </w:pPr>
      <w:r>
        <w:rPr>
          <w:color w:val="auto"/>
          <w:sz w:val="28"/>
          <w:highlight w:val="none"/>
        </w:rPr>
        <w:t>施工期生态环境的影响预测与分析</w:t>
      </w:r>
    </w:p>
    <w:p w14:paraId="545505AE">
      <w:pPr>
        <w:pStyle w:val="533"/>
        <w:numPr>
          <w:ilvl w:val="3"/>
          <w:numId w:val="9"/>
        </w:numPr>
        <w:rPr>
          <w:color w:val="auto"/>
          <w:szCs w:val="24"/>
          <w:highlight w:val="none"/>
        </w:rPr>
      </w:pPr>
      <w:r>
        <w:rPr>
          <w:color w:val="auto"/>
          <w:szCs w:val="24"/>
          <w:highlight w:val="none"/>
        </w:rPr>
        <w:t>施工期陆域生态环境影响预测与分析</w:t>
      </w:r>
    </w:p>
    <w:p w14:paraId="5CC7CAF0">
      <w:pPr>
        <w:ind w:firstLine="480"/>
        <w:rPr>
          <w:color w:val="auto"/>
          <w:highlight w:val="none"/>
        </w:rPr>
      </w:pPr>
      <w:r>
        <w:rPr>
          <w:color w:val="auto"/>
          <w:highlight w:val="none"/>
        </w:rPr>
        <w:t>建设期对陆域生态环境的的影响主要集中在浮船坞配套建造场地施工建设，会对工程涉及区植物造成直接影响，占地的植被会永久性损失，本项目浮船坞配套建造场地为利用钦州基地现环段总组场地进行扩建，场地现状为空地，土地已平整，厂区内主要植被均为土地平整后自然生长的杂草，无原生植被，杂草多为当地常见种类，施工造成的植被损失对区域生态环境影响较小。</w:t>
      </w:r>
    </w:p>
    <w:p w14:paraId="77C13426">
      <w:pPr>
        <w:ind w:firstLine="480"/>
        <w:rPr>
          <w:color w:val="auto"/>
          <w:highlight w:val="none"/>
        </w:rPr>
      </w:pPr>
      <w:r>
        <w:rPr>
          <w:color w:val="auto"/>
          <w:highlight w:val="none"/>
        </w:rPr>
        <w:t>项目所在区域为填海形成，场地临海，且人类活动频繁，项目区内野生动物的种类及数量都不多，常见物种主要有小型哺乳动物、爬行类、昆虫类，无珍稀野生动植物。项目建设期间将使原栖息地上的动物丧失部分栖息地和觅食地，为觅食和寻找适宜的栖息地而向四周迁移，但区域内动物都</w:t>
      </w:r>
      <w:r>
        <w:rPr>
          <w:rFonts w:hint="eastAsia"/>
          <w:color w:val="auto"/>
          <w:highlight w:val="none"/>
          <w:lang w:eastAsia="zh-CN"/>
        </w:rPr>
        <w:t>是一</w:t>
      </w:r>
      <w:r>
        <w:rPr>
          <w:color w:val="auto"/>
          <w:highlight w:val="none"/>
        </w:rPr>
        <w:t>些常见种类，场地周边仍存在生境相似区域，只要它们不被捕杀，最终它们中的大多数将辗转至周边其它地带。因此，项目施工所造成的原有动物迁移，不会影响区域野生动物群系组成，对整个区域的野生动物影响不大。</w:t>
      </w:r>
    </w:p>
    <w:p w14:paraId="49FA8346">
      <w:pPr>
        <w:pStyle w:val="533"/>
        <w:numPr>
          <w:ilvl w:val="3"/>
          <w:numId w:val="9"/>
        </w:numPr>
        <w:rPr>
          <w:color w:val="auto"/>
          <w:szCs w:val="24"/>
          <w:highlight w:val="none"/>
        </w:rPr>
      </w:pPr>
      <w:r>
        <w:rPr>
          <w:color w:val="auto"/>
          <w:szCs w:val="24"/>
          <w:highlight w:val="none"/>
        </w:rPr>
        <w:t>施工期对海域生态环境的影响分析</w:t>
      </w:r>
    </w:p>
    <w:p w14:paraId="2A8AFCCE">
      <w:pPr>
        <w:ind w:firstLine="480"/>
        <w:rPr>
          <w:color w:val="auto"/>
          <w:highlight w:val="none"/>
        </w:rPr>
      </w:pPr>
      <w:r>
        <w:rPr>
          <w:color w:val="auto"/>
          <w:highlight w:val="none"/>
        </w:rPr>
        <w:t>本项目施工不涉及水域疏浚、石方开挖等，涉水施工主要为新增浮船坞锚块投放，会导致局部悬浮物浓度</w:t>
      </w:r>
      <w:r>
        <w:rPr>
          <w:rFonts w:hint="eastAsia"/>
          <w:color w:val="auto"/>
          <w:highlight w:val="none"/>
          <w:lang w:eastAsia="zh-CN"/>
        </w:rPr>
        <w:t>急剧</w:t>
      </w:r>
      <w:r>
        <w:rPr>
          <w:color w:val="auto"/>
          <w:highlight w:val="none"/>
        </w:rPr>
        <w:t>增加，成为影响项目海域生态环境的主导因素；此外，项目施工期的非污染生态影响因素具体表现为锚块投放破坏底栖生物、浮游生物、游泳生物的生存环境，令其全部或部分死亡。</w:t>
      </w:r>
    </w:p>
    <w:p w14:paraId="311145A6">
      <w:pPr>
        <w:ind w:firstLine="480"/>
        <w:rPr>
          <w:color w:val="auto"/>
          <w:highlight w:val="none"/>
          <w:lang w:bidi="ar"/>
        </w:rPr>
      </w:pPr>
      <w:r>
        <w:rPr>
          <w:color w:val="auto"/>
          <w:highlight w:val="none"/>
          <w:lang w:bidi="ar"/>
        </w:rPr>
        <w:t>（1）对浮游生物的影响分析</w:t>
      </w:r>
    </w:p>
    <w:p w14:paraId="7EA9D0D6">
      <w:pPr>
        <w:ind w:firstLine="480"/>
        <w:rPr>
          <w:color w:val="auto"/>
          <w:highlight w:val="none"/>
          <w:lang w:bidi="ar"/>
        </w:rPr>
      </w:pPr>
      <w:r>
        <w:rPr>
          <w:color w:val="auto"/>
          <w:highlight w:val="none"/>
          <w:lang w:bidi="ar"/>
        </w:rPr>
        <w:t>施工过程中对浮游植物最主要的影响是水体中增加的悬浮物质影响了水体的透光性，进而影响了浮游植物的光合作用。一般而言，悬浮物的浓度增加在10mg/L以下时，水体中的浮游植物不会受到影响，而当悬浮物浓度增加50mg/L 以上时，浮游植物会受到较大的影响，特别是中心区域，悬浮物含量高，海水透光性差，浮游植物难以生存。当悬浮物的浓度增加量在10~50mg/L时，浮游植物将会受到轻微的影响。</w:t>
      </w:r>
    </w:p>
    <w:p w14:paraId="53BD9249">
      <w:pPr>
        <w:ind w:firstLine="480"/>
        <w:rPr>
          <w:color w:val="auto"/>
          <w:highlight w:val="none"/>
          <w:lang w:bidi="ar"/>
        </w:rPr>
      </w:pPr>
      <w:r>
        <w:rPr>
          <w:color w:val="auto"/>
          <w:highlight w:val="none"/>
          <w:lang w:bidi="ar"/>
        </w:rPr>
        <w:t>施工对浮游动物最主要的影响同样来自增加的悬浮物质。悬浮物对浮游动物的影响与悬浮物的粒径、浓度等有关。由于悬浮颗粒物的浓度增加，造成以滤食性为主的浮游动物摄入粒径合适的泥沙，内部系统紊乱，因饥饿而死亡。某些桡足类动物，具有依据光线强弱变化而进行昼夜垂直迁移的习性，水体的透明度降低，会引起这些动物生活习性的混乱，破坏其生理功能。具体影响反映在浮游动物的生长率、存活率、摄食率、密度、生产量及群落结构等方面。悬浮物浓度增加50mg/L 以上时，浮游动物的损失率可以达到40%以上。</w:t>
      </w:r>
    </w:p>
    <w:p w14:paraId="2AA1CDC4">
      <w:pPr>
        <w:ind w:firstLine="480"/>
        <w:rPr>
          <w:color w:val="auto"/>
          <w:highlight w:val="none"/>
        </w:rPr>
      </w:pPr>
      <w:r>
        <w:rPr>
          <w:color w:val="auto"/>
          <w:highlight w:val="none"/>
          <w:lang w:bidi="ar"/>
        </w:rPr>
        <w:t>本项目施工期悬浮泥沙主要是由于锚块抛放搅动底泥造成，本项目所使用的</w:t>
      </w:r>
      <w:r>
        <w:rPr>
          <w:color w:val="auto"/>
          <w:highlight w:val="none"/>
        </w:rPr>
        <w:t>锚碇面积较小，施工方式为逐个投放，投放时间较为短暂，影响范围局限在坞坑范围内，</w:t>
      </w:r>
      <w:r>
        <w:rPr>
          <w:color w:val="auto"/>
          <w:highlight w:val="none"/>
          <w:lang w:bidi="ar"/>
        </w:rPr>
        <w:t>因此，项目施工对浮游生物的影响较小。</w:t>
      </w:r>
    </w:p>
    <w:p w14:paraId="1C5FAA7A">
      <w:pPr>
        <w:ind w:firstLine="480"/>
        <w:rPr>
          <w:color w:val="auto"/>
          <w:highlight w:val="none"/>
        </w:rPr>
      </w:pPr>
      <w:r>
        <w:rPr>
          <w:color w:val="auto"/>
          <w:highlight w:val="none"/>
        </w:rPr>
        <w:t>（2）底栖生物影响分析</w:t>
      </w:r>
    </w:p>
    <w:p w14:paraId="1D1BCEBB">
      <w:pPr>
        <w:ind w:firstLine="480"/>
        <w:rPr>
          <w:color w:val="auto"/>
          <w:highlight w:val="none"/>
        </w:rPr>
      </w:pPr>
      <w:r>
        <w:rPr>
          <w:color w:val="auto"/>
          <w:highlight w:val="none"/>
        </w:rPr>
        <w:t>本项目固定锚将直接掩埋底栖动物，造成直接死亡，加之覆盖了原有底质，破坏了底栖生物尤其是定居性贝类的栖息环境。</w:t>
      </w:r>
    </w:p>
    <w:p w14:paraId="4ED6AF8E">
      <w:pPr>
        <w:ind w:firstLine="480"/>
        <w:rPr>
          <w:color w:val="auto"/>
          <w:highlight w:val="none"/>
        </w:rPr>
      </w:pPr>
      <w:r>
        <w:rPr>
          <w:color w:val="auto"/>
          <w:highlight w:val="none"/>
        </w:rPr>
        <w:t>工程作业过程中产生的悬浮物直接影响滤食性贝类摄食率和生理结构，贝类在悬浮物激增的环境中，其滤食系统</w:t>
      </w:r>
      <w:r>
        <w:rPr>
          <w:rFonts w:hint="eastAsia"/>
          <w:color w:val="auto"/>
          <w:highlight w:val="none"/>
          <w:lang w:eastAsia="zh-CN"/>
        </w:rPr>
        <w:t>受到</w:t>
      </w:r>
      <w:r>
        <w:rPr>
          <w:color w:val="auto"/>
          <w:highlight w:val="none"/>
        </w:rPr>
        <w:t>应激限制，需通过降低滤食频率减少机体损伤程度，因此在</w:t>
      </w:r>
      <w:r>
        <w:rPr>
          <w:rFonts w:hint="eastAsia"/>
          <w:color w:val="auto"/>
          <w:highlight w:val="none"/>
          <w:lang w:eastAsia="zh-CN"/>
        </w:rPr>
        <w:t>这种</w:t>
      </w:r>
      <w:r>
        <w:rPr>
          <w:color w:val="auto"/>
          <w:highlight w:val="none"/>
        </w:rPr>
        <w:t>环境下会使贝类滤水率降低。增加的悬浮泥沙会增加贝类能量的消耗，对饵料的利用率下降，从而使生长受限。由于项目固定锚规模小，占用海底底栖生物的量极小，且均位于坞坑范围内，根据现状调查，项目区底栖动物密度较低，实施过程中施工产生悬浮物也很少，悬浮物含量将较快恢复原值，对底栖生物的影响可忽略不计。</w:t>
      </w:r>
    </w:p>
    <w:p w14:paraId="1D19A957">
      <w:pPr>
        <w:ind w:firstLine="480"/>
        <w:rPr>
          <w:color w:val="auto"/>
          <w:highlight w:val="none"/>
        </w:rPr>
      </w:pPr>
      <w:r>
        <w:rPr>
          <w:color w:val="auto"/>
          <w:highlight w:val="none"/>
        </w:rPr>
        <w:t>（3）对鱼类的影响</w:t>
      </w:r>
    </w:p>
    <w:p w14:paraId="7C821E68">
      <w:pPr>
        <w:ind w:firstLine="480"/>
        <w:rPr>
          <w:color w:val="auto"/>
          <w:highlight w:val="none"/>
        </w:rPr>
      </w:pPr>
      <w:r>
        <w:rPr>
          <w:color w:val="auto"/>
          <w:highlight w:val="none"/>
        </w:rPr>
        <w:t>由于施工过程中，对部分游泳生物来讲，悬浮物的影响较为显著。悬浮物可以粘附在动物身体表面干扰动物的感觉功能，有些粘附甚至可引起动物表皮组织的溃烂；通过动物呼吸，悬浮物可以阻塞鱼类的鳃组织，造成</w:t>
      </w:r>
      <w:r>
        <w:rPr>
          <w:rFonts w:hint="eastAsia"/>
          <w:color w:val="auto"/>
          <w:highlight w:val="none"/>
          <w:lang w:eastAsia="zh-CN"/>
        </w:rPr>
        <w:t>呼吸困难</w:t>
      </w:r>
      <w:r>
        <w:rPr>
          <w:color w:val="auto"/>
          <w:highlight w:val="none"/>
        </w:rPr>
        <w:t>；某些滤食性动物，只有分辨颗粒大小的能力，只要粒径合适就可吸入体内，如果吸入的是泥沙，那么动物有可能因饥饿而死亡；水体的浑浊还会降低水中溶解氧含量，进而对游泳生物和浮游动物产生不利影响，甚至引起死亡。但鱼类等游泳生物都比较容易适应水环境的缓慢变化，但对骤变的环境，它们</w:t>
      </w:r>
      <w:r>
        <w:rPr>
          <w:rFonts w:hint="eastAsia"/>
          <w:color w:val="auto"/>
          <w:highlight w:val="none"/>
          <w:lang w:eastAsia="zh-CN"/>
        </w:rPr>
        <w:t>反应</w:t>
      </w:r>
      <w:r>
        <w:rPr>
          <w:color w:val="auto"/>
          <w:highlight w:val="none"/>
        </w:rPr>
        <w:t>是敏感的，悬浮物质含量变化其过程呈跳跃式和脉冲式，这必然引起鱼类等其他游泳生物行动的改变，他们将避开这一点源混浊区，产生“驱散效应”。</w:t>
      </w:r>
    </w:p>
    <w:p w14:paraId="26D577A4">
      <w:pPr>
        <w:ind w:firstLine="480"/>
        <w:rPr>
          <w:color w:val="auto"/>
          <w:highlight w:val="none"/>
        </w:rPr>
      </w:pPr>
      <w:r>
        <w:rPr>
          <w:color w:val="auto"/>
          <w:highlight w:val="none"/>
        </w:rPr>
        <w:t>本项目施工期悬浮物主要是来源于抛锚过程中搅动底泥造成泥沙再悬浮，施工方式为逐个投放，投放时间较为短暂，影响范围局限在坞坑区域，对周边海域的渔业资源无明显影响，且施工结束后悬浮物可以很快恢复至本底值，随着项目施工完成，这一影响就会消失。</w:t>
      </w:r>
    </w:p>
    <w:p w14:paraId="665B8BCB">
      <w:pPr>
        <w:pStyle w:val="7"/>
        <w:numPr>
          <w:ilvl w:val="2"/>
          <w:numId w:val="9"/>
        </w:numPr>
        <w:rPr>
          <w:color w:val="auto"/>
          <w:sz w:val="28"/>
          <w:highlight w:val="none"/>
        </w:rPr>
      </w:pPr>
      <w:r>
        <w:rPr>
          <w:color w:val="auto"/>
          <w:sz w:val="28"/>
          <w:highlight w:val="none"/>
        </w:rPr>
        <w:t>项目施工期对环境敏感目标的影响分析</w:t>
      </w:r>
    </w:p>
    <w:p w14:paraId="610ED3F2">
      <w:pPr>
        <w:ind w:firstLine="480"/>
        <w:rPr>
          <w:color w:val="auto"/>
          <w:highlight w:val="none"/>
        </w:rPr>
      </w:pPr>
      <w:r>
        <w:rPr>
          <w:color w:val="auto"/>
          <w:highlight w:val="none"/>
        </w:rPr>
        <w:t>根据项目与周边环境敏感区位置关系分析，评价范围内的环境敏感区主要有三娘湾旅游休闲娱乐区、钦州港青菜头南浅海滩涂养殖区。</w:t>
      </w:r>
    </w:p>
    <w:p w14:paraId="10E5C5A8">
      <w:pPr>
        <w:pStyle w:val="91"/>
        <w:adjustRightInd w:val="0"/>
        <w:snapToGrid w:val="0"/>
        <w:spacing w:after="0" w:line="360" w:lineRule="auto"/>
        <w:ind w:left="0" w:leftChars="0" w:firstLine="480"/>
        <w:rPr>
          <w:rFonts w:ascii="Times New Roman" w:hAnsi="Times New Roman" w:cs="Times New Roman"/>
          <w:color w:val="auto"/>
          <w:kern w:val="0"/>
          <w:sz w:val="24"/>
          <w:highlight w:val="none"/>
        </w:rPr>
      </w:pPr>
      <w:r>
        <w:rPr>
          <w:rFonts w:ascii="Times New Roman" w:hAnsi="Times New Roman" w:cs="Times New Roman"/>
          <w:color w:val="auto"/>
          <w:kern w:val="0"/>
          <w:sz w:val="24"/>
          <w:highlight w:val="none"/>
        </w:rPr>
        <w:t>本项目邻近钦州港青菜头南浅海滩涂养殖区，该农渔业区管理要求主要是严格限制改变海域自然属性；按照养殖容量控制养殖规模和养殖密度，发展健康、生态养殖方式；禁渔期间，禁止底拖网渔船和拖虾渔船及捕捞二长棘鲷幼鱼和幼虾为主的</w:t>
      </w:r>
      <w:r>
        <w:rPr>
          <w:rFonts w:hint="eastAsia" w:ascii="Times New Roman" w:hAnsi="Times New Roman" w:cs="Times New Roman"/>
          <w:color w:val="auto"/>
          <w:kern w:val="0"/>
          <w:sz w:val="24"/>
          <w:highlight w:val="none"/>
          <w:lang w:eastAsia="zh-CN"/>
        </w:rPr>
        <w:t>其他作业</w:t>
      </w:r>
      <w:r>
        <w:rPr>
          <w:rFonts w:ascii="Times New Roman" w:hAnsi="Times New Roman" w:cs="Times New Roman"/>
          <w:color w:val="auto"/>
          <w:kern w:val="0"/>
          <w:sz w:val="24"/>
          <w:highlight w:val="none"/>
        </w:rPr>
        <w:t>渔船进入生产；禁止影响航道安全的养殖活动。在这些区域南侧边界向北5~12km范围内不得进行鱼排、鱼栅、人工鱼礁、围海等活动。</w:t>
      </w:r>
    </w:p>
    <w:p w14:paraId="59DC703B">
      <w:pPr>
        <w:pStyle w:val="91"/>
        <w:adjustRightInd w:val="0"/>
        <w:snapToGrid w:val="0"/>
        <w:spacing w:after="0" w:line="360" w:lineRule="auto"/>
        <w:ind w:left="0" w:leftChars="0" w:firstLine="480"/>
        <w:rPr>
          <w:rFonts w:ascii="Times New Roman" w:hAnsi="Times New Roman" w:cs="Times New Roman"/>
          <w:color w:val="auto"/>
          <w:kern w:val="0"/>
          <w:sz w:val="24"/>
          <w:highlight w:val="none"/>
        </w:rPr>
      </w:pPr>
      <w:r>
        <w:rPr>
          <w:rFonts w:ascii="Times New Roman" w:hAnsi="Times New Roman" w:cs="Times New Roman"/>
          <w:color w:val="auto"/>
          <w:kern w:val="0"/>
          <w:sz w:val="24"/>
          <w:highlight w:val="none"/>
        </w:rPr>
        <w:t>本项目施工不涉及上述施工活动，新增锚块投放过程中会产生一定的悬浮泥沙，产生量较小，且影响范围主要集中在坞坑范围内，不会涉及附近农渔业区，对其海洋生态环境质量造成的影响较小。</w:t>
      </w:r>
    </w:p>
    <w:p w14:paraId="78CA7C18">
      <w:pPr>
        <w:pStyle w:val="91"/>
        <w:adjustRightInd w:val="0"/>
        <w:snapToGrid w:val="0"/>
        <w:spacing w:after="0" w:line="360" w:lineRule="auto"/>
        <w:ind w:left="0" w:leftChars="0" w:firstLine="480"/>
        <w:rPr>
          <w:rFonts w:ascii="Times New Roman" w:hAnsi="Times New Roman" w:cs="Times New Roman"/>
          <w:color w:val="auto"/>
          <w:kern w:val="0"/>
          <w:sz w:val="24"/>
          <w:highlight w:val="none"/>
        </w:rPr>
      </w:pPr>
      <w:r>
        <w:rPr>
          <w:rFonts w:ascii="Times New Roman" w:hAnsi="Times New Roman" w:cs="Times New Roman"/>
          <w:color w:val="auto"/>
          <w:kern w:val="0"/>
          <w:sz w:val="24"/>
          <w:highlight w:val="none"/>
        </w:rPr>
        <w:t>三娘湾旅游休闲娱乐区位于项目东北面4.5km，距离本项目较远，船舶均不进入旅游区，不会对旅游区的视觉景观的协调性造成明显影响，施工期产生的悬浮物影响范围集中在坞坑区域，扩散基本不影响到旅游区的范围，不会造成海水浑浊从而影响旅游区的景观，施工期的污水污物都不在区域排放，也不会对旅游区产生影响。</w:t>
      </w:r>
    </w:p>
    <w:p w14:paraId="0B079DCE">
      <w:pPr>
        <w:pStyle w:val="38"/>
        <w:ind w:firstLine="480"/>
        <w:rPr>
          <w:color w:val="auto"/>
          <w:highlight w:val="none"/>
        </w:rPr>
      </w:pPr>
    </w:p>
    <w:p w14:paraId="3E3DAFB1">
      <w:pPr>
        <w:pStyle w:val="91"/>
        <w:ind w:left="480"/>
        <w:rPr>
          <w:rFonts w:ascii="Times New Roman" w:hAnsi="Times New Roman" w:cs="Times New Roman"/>
          <w:color w:val="auto"/>
          <w:highlight w:val="none"/>
        </w:rPr>
        <w:sectPr>
          <w:headerReference r:id="rId44" w:type="default"/>
          <w:pgSz w:w="11906" w:h="16838"/>
          <w:pgMar w:top="1559" w:right="1418" w:bottom="1503" w:left="1418" w:header="850" w:footer="964" w:gutter="0"/>
          <w:cols w:space="720" w:num="1"/>
          <w:docGrid w:linePitch="326" w:charSpace="0"/>
        </w:sectPr>
      </w:pPr>
    </w:p>
    <w:p w14:paraId="5F89FA8E">
      <w:pPr>
        <w:pStyle w:val="6"/>
        <w:numPr>
          <w:ilvl w:val="1"/>
          <w:numId w:val="9"/>
        </w:numPr>
        <w:rPr>
          <w:color w:val="auto"/>
          <w:sz w:val="32"/>
          <w:szCs w:val="32"/>
          <w:highlight w:val="none"/>
        </w:rPr>
      </w:pPr>
      <w:bookmarkStart w:id="191" w:name="_Toc28957"/>
      <w:bookmarkStart w:id="192" w:name="_Toc29447"/>
      <w:r>
        <w:rPr>
          <w:color w:val="auto"/>
          <w:sz w:val="32"/>
          <w:szCs w:val="32"/>
          <w:highlight w:val="none"/>
        </w:rPr>
        <w:t>运营期环境影响预测与评价</w:t>
      </w:r>
      <w:bookmarkEnd w:id="191"/>
      <w:bookmarkEnd w:id="192"/>
    </w:p>
    <w:p w14:paraId="4B5E10F2">
      <w:pPr>
        <w:pStyle w:val="7"/>
        <w:numPr>
          <w:ilvl w:val="2"/>
          <w:numId w:val="9"/>
        </w:numPr>
        <w:rPr>
          <w:color w:val="auto"/>
          <w:sz w:val="28"/>
          <w:highlight w:val="none"/>
        </w:rPr>
      </w:pPr>
      <w:r>
        <w:rPr>
          <w:color w:val="auto"/>
          <w:sz w:val="28"/>
          <w:highlight w:val="none"/>
        </w:rPr>
        <w:t>运营期大气环境影响预测与评价</w:t>
      </w:r>
    </w:p>
    <w:p w14:paraId="72BCFB50">
      <w:pPr>
        <w:pStyle w:val="533"/>
        <w:numPr>
          <w:ilvl w:val="3"/>
          <w:numId w:val="9"/>
        </w:numPr>
        <w:rPr>
          <w:color w:val="auto"/>
          <w:szCs w:val="24"/>
          <w:highlight w:val="none"/>
        </w:rPr>
      </w:pPr>
      <w:bookmarkStart w:id="193" w:name="_Toc271126510"/>
      <w:bookmarkStart w:id="194" w:name="_Toc390326495"/>
      <w:bookmarkStart w:id="195" w:name="_Toc32223"/>
      <w:bookmarkStart w:id="196" w:name="_Toc277267493"/>
      <w:bookmarkStart w:id="197" w:name="_Toc403463980"/>
      <w:bookmarkStart w:id="198" w:name="_Toc122440714"/>
      <w:bookmarkStart w:id="199" w:name="_Toc401675070"/>
      <w:bookmarkStart w:id="200" w:name="_Toc396371720"/>
      <w:r>
        <w:rPr>
          <w:color w:val="auto"/>
          <w:szCs w:val="24"/>
          <w:highlight w:val="none"/>
        </w:rPr>
        <w:t>预测</w:t>
      </w:r>
      <w:bookmarkEnd w:id="193"/>
      <w:bookmarkEnd w:id="194"/>
      <w:bookmarkEnd w:id="195"/>
      <w:bookmarkEnd w:id="196"/>
      <w:r>
        <w:rPr>
          <w:color w:val="auto"/>
          <w:szCs w:val="24"/>
          <w:highlight w:val="none"/>
        </w:rPr>
        <w:t>内容</w:t>
      </w:r>
      <w:bookmarkEnd w:id="197"/>
      <w:bookmarkEnd w:id="198"/>
      <w:bookmarkEnd w:id="199"/>
      <w:bookmarkEnd w:id="200"/>
    </w:p>
    <w:p w14:paraId="57021F60">
      <w:pPr>
        <w:ind w:firstLine="480"/>
        <w:rPr>
          <w:color w:val="auto"/>
          <w:highlight w:val="none"/>
        </w:rPr>
      </w:pPr>
      <w:r>
        <w:rPr>
          <w:color w:val="auto"/>
          <w:highlight w:val="none"/>
        </w:rPr>
        <w:t>本项目位于环境空气质量达标区，项目预测与评价内容详见表4.2-1。</w:t>
      </w:r>
    </w:p>
    <w:p w14:paraId="077A94B3">
      <w:pPr>
        <w:spacing w:line="240" w:lineRule="auto"/>
        <w:ind w:firstLine="0" w:firstLineChars="0"/>
        <w:jc w:val="center"/>
        <w:rPr>
          <w:b/>
          <w:bCs/>
          <w:color w:val="auto"/>
          <w:sz w:val="21"/>
          <w:szCs w:val="21"/>
          <w:highlight w:val="none"/>
        </w:rPr>
      </w:pPr>
      <w:r>
        <w:rPr>
          <w:b/>
          <w:bCs/>
          <w:color w:val="auto"/>
          <w:sz w:val="21"/>
          <w:szCs w:val="21"/>
          <w:highlight w:val="none"/>
        </w:rPr>
        <w:t>表4.2-1 预测内容和评价要求</w:t>
      </w:r>
    </w:p>
    <w:tbl>
      <w:tblPr>
        <w:tblStyle w:val="92"/>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958"/>
        <w:gridCol w:w="1372"/>
        <w:gridCol w:w="998"/>
        <w:gridCol w:w="1724"/>
        <w:gridCol w:w="1441"/>
        <w:gridCol w:w="2574"/>
      </w:tblGrid>
      <w:tr w14:paraId="080B42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28" w:type="pct"/>
            <w:tcBorders>
              <w:tl2br w:val="nil"/>
              <w:tr2bl w:val="nil"/>
            </w:tcBorders>
            <w:vAlign w:val="center"/>
          </w:tcPr>
          <w:p w14:paraId="04A73CF2">
            <w:pPr>
              <w:spacing w:line="240" w:lineRule="auto"/>
              <w:ind w:firstLine="0" w:firstLineChars="0"/>
              <w:jc w:val="center"/>
              <w:rPr>
                <w:b/>
                <w:color w:val="auto"/>
                <w:sz w:val="21"/>
                <w:szCs w:val="21"/>
                <w:highlight w:val="none"/>
              </w:rPr>
            </w:pPr>
            <w:r>
              <w:rPr>
                <w:b/>
                <w:color w:val="auto"/>
                <w:sz w:val="21"/>
                <w:szCs w:val="21"/>
                <w:highlight w:val="none"/>
              </w:rPr>
              <w:t>评价对象</w:t>
            </w:r>
          </w:p>
        </w:tc>
        <w:tc>
          <w:tcPr>
            <w:tcW w:w="756" w:type="pct"/>
            <w:tcBorders>
              <w:tl2br w:val="nil"/>
              <w:tr2bl w:val="nil"/>
            </w:tcBorders>
            <w:vAlign w:val="center"/>
          </w:tcPr>
          <w:p w14:paraId="1ED9BFF2">
            <w:pPr>
              <w:spacing w:line="240" w:lineRule="auto"/>
              <w:ind w:firstLine="0" w:firstLineChars="0"/>
              <w:jc w:val="center"/>
              <w:rPr>
                <w:b/>
                <w:color w:val="auto"/>
                <w:sz w:val="21"/>
                <w:szCs w:val="21"/>
                <w:highlight w:val="none"/>
              </w:rPr>
            </w:pPr>
            <w:r>
              <w:rPr>
                <w:b/>
                <w:color w:val="auto"/>
                <w:sz w:val="21"/>
                <w:szCs w:val="21"/>
                <w:highlight w:val="none"/>
              </w:rPr>
              <w:t>污染源</w:t>
            </w:r>
          </w:p>
        </w:tc>
        <w:tc>
          <w:tcPr>
            <w:tcW w:w="550" w:type="pct"/>
            <w:tcBorders>
              <w:tl2br w:val="nil"/>
              <w:tr2bl w:val="nil"/>
            </w:tcBorders>
            <w:vAlign w:val="center"/>
          </w:tcPr>
          <w:p w14:paraId="22A56AF3">
            <w:pPr>
              <w:spacing w:line="240" w:lineRule="auto"/>
              <w:ind w:firstLine="0" w:firstLineChars="0"/>
              <w:jc w:val="center"/>
              <w:rPr>
                <w:b/>
                <w:color w:val="auto"/>
                <w:sz w:val="21"/>
                <w:szCs w:val="21"/>
                <w:highlight w:val="none"/>
              </w:rPr>
            </w:pPr>
            <w:r>
              <w:rPr>
                <w:b/>
                <w:color w:val="auto"/>
                <w:sz w:val="21"/>
                <w:szCs w:val="21"/>
                <w:highlight w:val="none"/>
              </w:rPr>
              <w:t>污染源排放形式</w:t>
            </w:r>
          </w:p>
        </w:tc>
        <w:tc>
          <w:tcPr>
            <w:tcW w:w="950" w:type="pct"/>
            <w:tcBorders>
              <w:tl2br w:val="nil"/>
              <w:tr2bl w:val="nil"/>
            </w:tcBorders>
            <w:vAlign w:val="center"/>
          </w:tcPr>
          <w:p w14:paraId="3F04C36B">
            <w:pPr>
              <w:spacing w:line="240" w:lineRule="auto"/>
              <w:ind w:firstLine="0" w:firstLineChars="0"/>
              <w:jc w:val="center"/>
              <w:rPr>
                <w:b/>
                <w:color w:val="auto"/>
                <w:sz w:val="21"/>
                <w:szCs w:val="21"/>
                <w:highlight w:val="none"/>
              </w:rPr>
            </w:pPr>
            <w:r>
              <w:rPr>
                <w:b/>
                <w:color w:val="auto"/>
                <w:sz w:val="21"/>
                <w:szCs w:val="21"/>
                <w:highlight w:val="none"/>
              </w:rPr>
              <w:t>预测因子</w:t>
            </w:r>
          </w:p>
        </w:tc>
        <w:tc>
          <w:tcPr>
            <w:tcW w:w="794" w:type="pct"/>
            <w:tcBorders>
              <w:tl2br w:val="nil"/>
              <w:tr2bl w:val="nil"/>
            </w:tcBorders>
            <w:vAlign w:val="center"/>
          </w:tcPr>
          <w:p w14:paraId="34C9C33A">
            <w:pPr>
              <w:spacing w:line="240" w:lineRule="auto"/>
              <w:ind w:firstLine="0" w:firstLineChars="0"/>
              <w:jc w:val="center"/>
              <w:rPr>
                <w:b/>
                <w:color w:val="auto"/>
                <w:sz w:val="21"/>
                <w:szCs w:val="21"/>
                <w:highlight w:val="none"/>
              </w:rPr>
            </w:pPr>
            <w:r>
              <w:rPr>
                <w:b/>
                <w:color w:val="auto"/>
                <w:sz w:val="21"/>
                <w:szCs w:val="21"/>
                <w:highlight w:val="none"/>
              </w:rPr>
              <w:t>预测内容</w:t>
            </w:r>
          </w:p>
        </w:tc>
        <w:tc>
          <w:tcPr>
            <w:tcW w:w="1418" w:type="pct"/>
            <w:tcBorders>
              <w:tl2br w:val="nil"/>
              <w:tr2bl w:val="nil"/>
            </w:tcBorders>
            <w:vAlign w:val="center"/>
          </w:tcPr>
          <w:p w14:paraId="3B535C5E">
            <w:pPr>
              <w:spacing w:line="240" w:lineRule="auto"/>
              <w:ind w:firstLine="0" w:firstLineChars="0"/>
              <w:jc w:val="center"/>
              <w:rPr>
                <w:b/>
                <w:color w:val="auto"/>
                <w:sz w:val="21"/>
                <w:szCs w:val="21"/>
                <w:highlight w:val="none"/>
              </w:rPr>
            </w:pPr>
            <w:r>
              <w:rPr>
                <w:b/>
                <w:color w:val="auto"/>
                <w:sz w:val="21"/>
                <w:szCs w:val="21"/>
                <w:highlight w:val="none"/>
              </w:rPr>
              <w:t>评价内容</w:t>
            </w:r>
          </w:p>
        </w:tc>
      </w:tr>
      <w:tr w14:paraId="4E3E82E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28" w:type="pct"/>
            <w:vMerge w:val="restart"/>
            <w:tcBorders>
              <w:tl2br w:val="nil"/>
              <w:tr2bl w:val="nil"/>
            </w:tcBorders>
            <w:vAlign w:val="center"/>
          </w:tcPr>
          <w:p w14:paraId="3311D5E8">
            <w:pPr>
              <w:spacing w:line="240" w:lineRule="auto"/>
              <w:ind w:firstLine="0" w:firstLineChars="0"/>
              <w:jc w:val="center"/>
              <w:rPr>
                <w:color w:val="auto"/>
                <w:sz w:val="21"/>
                <w:szCs w:val="21"/>
                <w:highlight w:val="none"/>
              </w:rPr>
            </w:pPr>
            <w:r>
              <w:rPr>
                <w:color w:val="auto"/>
                <w:sz w:val="21"/>
                <w:szCs w:val="21"/>
                <w:highlight w:val="none"/>
              </w:rPr>
              <w:t>达标区评价项目</w:t>
            </w:r>
          </w:p>
        </w:tc>
        <w:tc>
          <w:tcPr>
            <w:tcW w:w="756" w:type="pct"/>
            <w:vMerge w:val="restart"/>
            <w:tcBorders>
              <w:tl2br w:val="nil"/>
              <w:tr2bl w:val="nil"/>
            </w:tcBorders>
            <w:vAlign w:val="center"/>
          </w:tcPr>
          <w:p w14:paraId="4E47FE25">
            <w:pPr>
              <w:spacing w:line="240" w:lineRule="auto"/>
              <w:ind w:firstLine="0" w:firstLineChars="0"/>
              <w:jc w:val="center"/>
              <w:rPr>
                <w:color w:val="auto"/>
                <w:sz w:val="21"/>
                <w:szCs w:val="21"/>
                <w:highlight w:val="none"/>
              </w:rPr>
            </w:pPr>
            <w:r>
              <w:rPr>
                <w:color w:val="auto"/>
                <w:sz w:val="21"/>
                <w:szCs w:val="21"/>
                <w:highlight w:val="none"/>
              </w:rPr>
              <w:t>本项目新增污染源</w:t>
            </w:r>
          </w:p>
        </w:tc>
        <w:tc>
          <w:tcPr>
            <w:tcW w:w="550" w:type="pct"/>
            <w:vMerge w:val="restart"/>
            <w:tcBorders>
              <w:tl2br w:val="nil"/>
              <w:tr2bl w:val="nil"/>
            </w:tcBorders>
            <w:vAlign w:val="center"/>
          </w:tcPr>
          <w:p w14:paraId="3AEDBB9E">
            <w:pPr>
              <w:spacing w:line="240" w:lineRule="auto"/>
              <w:ind w:firstLine="0" w:firstLineChars="0"/>
              <w:jc w:val="center"/>
              <w:rPr>
                <w:color w:val="auto"/>
                <w:sz w:val="21"/>
                <w:szCs w:val="21"/>
                <w:highlight w:val="none"/>
              </w:rPr>
            </w:pPr>
            <w:r>
              <w:rPr>
                <w:color w:val="auto"/>
                <w:sz w:val="21"/>
                <w:szCs w:val="21"/>
                <w:highlight w:val="none"/>
              </w:rPr>
              <w:t>正常排放</w:t>
            </w:r>
          </w:p>
        </w:tc>
        <w:tc>
          <w:tcPr>
            <w:tcW w:w="950" w:type="pct"/>
            <w:tcBorders>
              <w:tl2br w:val="nil"/>
              <w:tr2bl w:val="nil"/>
            </w:tcBorders>
            <w:vAlign w:val="center"/>
          </w:tcPr>
          <w:p w14:paraId="4D435EA2">
            <w:pPr>
              <w:spacing w:line="240" w:lineRule="auto"/>
              <w:ind w:firstLine="0" w:firstLineChars="0"/>
              <w:jc w:val="center"/>
              <w:rPr>
                <w:color w:val="auto"/>
                <w:sz w:val="21"/>
                <w:szCs w:val="21"/>
                <w:highlight w:val="none"/>
              </w:rPr>
            </w:pPr>
            <w:r>
              <w:rPr>
                <w:color w:val="auto"/>
                <w:sz w:val="21"/>
                <w:szCs w:val="21"/>
                <w:highlight w:val="none"/>
              </w:rPr>
              <w:t>二甲苯、</w:t>
            </w:r>
            <w:r>
              <w:rPr>
                <w:rFonts w:hint="eastAsia"/>
                <w:color w:val="auto"/>
                <w:sz w:val="21"/>
                <w:szCs w:val="21"/>
                <w:highlight w:val="none"/>
              </w:rPr>
              <w:t>T</w:t>
            </w:r>
            <w:r>
              <w:rPr>
                <w:color w:val="auto"/>
                <w:sz w:val="21"/>
                <w:szCs w:val="21"/>
                <w:highlight w:val="none"/>
              </w:rPr>
              <w:t>VOC</w:t>
            </w:r>
          </w:p>
        </w:tc>
        <w:tc>
          <w:tcPr>
            <w:tcW w:w="794" w:type="pct"/>
            <w:tcBorders>
              <w:tl2br w:val="nil"/>
              <w:tr2bl w:val="nil"/>
            </w:tcBorders>
            <w:vAlign w:val="center"/>
          </w:tcPr>
          <w:p w14:paraId="2C925C92">
            <w:pPr>
              <w:spacing w:line="240" w:lineRule="auto"/>
              <w:ind w:firstLine="0" w:firstLineChars="0"/>
              <w:jc w:val="center"/>
              <w:rPr>
                <w:color w:val="auto"/>
                <w:sz w:val="21"/>
                <w:szCs w:val="21"/>
                <w:highlight w:val="none"/>
              </w:rPr>
            </w:pPr>
            <w:r>
              <w:rPr>
                <w:color w:val="auto"/>
                <w:sz w:val="21"/>
                <w:szCs w:val="21"/>
                <w:highlight w:val="none"/>
              </w:rPr>
              <w:t>1小时平均浓度</w:t>
            </w:r>
          </w:p>
        </w:tc>
        <w:tc>
          <w:tcPr>
            <w:tcW w:w="1418" w:type="pct"/>
            <w:vMerge w:val="restart"/>
            <w:tcBorders>
              <w:tl2br w:val="nil"/>
              <w:tr2bl w:val="nil"/>
            </w:tcBorders>
            <w:vAlign w:val="center"/>
          </w:tcPr>
          <w:p w14:paraId="05F62037">
            <w:pPr>
              <w:spacing w:line="240" w:lineRule="auto"/>
              <w:ind w:firstLine="0" w:firstLineChars="0"/>
              <w:jc w:val="center"/>
              <w:rPr>
                <w:color w:val="auto"/>
                <w:sz w:val="21"/>
                <w:szCs w:val="21"/>
                <w:highlight w:val="none"/>
              </w:rPr>
            </w:pPr>
            <w:r>
              <w:rPr>
                <w:color w:val="auto"/>
                <w:sz w:val="21"/>
                <w:szCs w:val="21"/>
                <w:highlight w:val="none"/>
              </w:rPr>
              <w:t>最大浓度占标率</w:t>
            </w:r>
          </w:p>
        </w:tc>
      </w:tr>
      <w:tr w14:paraId="29942C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28" w:type="pct"/>
            <w:vMerge w:val="continue"/>
            <w:tcBorders>
              <w:tl2br w:val="nil"/>
              <w:tr2bl w:val="nil"/>
            </w:tcBorders>
            <w:vAlign w:val="center"/>
          </w:tcPr>
          <w:p w14:paraId="4F316044">
            <w:pPr>
              <w:spacing w:line="240" w:lineRule="auto"/>
              <w:ind w:firstLine="0" w:firstLineChars="0"/>
              <w:jc w:val="center"/>
              <w:rPr>
                <w:color w:val="auto"/>
                <w:sz w:val="21"/>
                <w:szCs w:val="21"/>
                <w:highlight w:val="none"/>
              </w:rPr>
            </w:pPr>
          </w:p>
        </w:tc>
        <w:tc>
          <w:tcPr>
            <w:tcW w:w="756" w:type="pct"/>
            <w:vMerge w:val="continue"/>
            <w:tcBorders>
              <w:tl2br w:val="nil"/>
              <w:tr2bl w:val="nil"/>
            </w:tcBorders>
            <w:vAlign w:val="center"/>
          </w:tcPr>
          <w:p w14:paraId="3446E3F3">
            <w:pPr>
              <w:spacing w:line="240" w:lineRule="auto"/>
              <w:ind w:firstLine="0" w:firstLineChars="0"/>
              <w:jc w:val="center"/>
              <w:rPr>
                <w:color w:val="auto"/>
                <w:sz w:val="21"/>
                <w:szCs w:val="21"/>
                <w:highlight w:val="none"/>
              </w:rPr>
            </w:pPr>
          </w:p>
        </w:tc>
        <w:tc>
          <w:tcPr>
            <w:tcW w:w="550" w:type="pct"/>
            <w:vMerge w:val="continue"/>
            <w:tcBorders>
              <w:tl2br w:val="nil"/>
              <w:tr2bl w:val="nil"/>
            </w:tcBorders>
            <w:vAlign w:val="center"/>
          </w:tcPr>
          <w:p w14:paraId="1EA3B38D">
            <w:pPr>
              <w:spacing w:line="240" w:lineRule="auto"/>
              <w:ind w:firstLine="0" w:firstLineChars="0"/>
              <w:jc w:val="center"/>
              <w:rPr>
                <w:color w:val="auto"/>
                <w:sz w:val="21"/>
                <w:szCs w:val="21"/>
                <w:highlight w:val="none"/>
              </w:rPr>
            </w:pPr>
          </w:p>
        </w:tc>
        <w:tc>
          <w:tcPr>
            <w:tcW w:w="950" w:type="pct"/>
            <w:tcBorders>
              <w:tl2br w:val="nil"/>
              <w:tr2bl w:val="nil"/>
            </w:tcBorders>
            <w:vAlign w:val="center"/>
          </w:tcPr>
          <w:p w14:paraId="092BECA3">
            <w:pPr>
              <w:spacing w:line="240" w:lineRule="auto"/>
              <w:ind w:firstLine="0" w:firstLineChars="0"/>
              <w:jc w:val="center"/>
              <w:rPr>
                <w:color w:val="auto"/>
                <w:sz w:val="21"/>
                <w:szCs w:val="21"/>
                <w:highlight w:val="none"/>
              </w:rPr>
            </w:pPr>
            <w:r>
              <w:rPr>
                <w:color w:val="auto"/>
                <w:sz w:val="21"/>
                <w:szCs w:val="21"/>
                <w:highlight w:val="none"/>
              </w:rPr>
              <w:t>TSP</w:t>
            </w:r>
          </w:p>
        </w:tc>
        <w:tc>
          <w:tcPr>
            <w:tcW w:w="794" w:type="pct"/>
            <w:tcBorders>
              <w:tl2br w:val="nil"/>
              <w:tr2bl w:val="nil"/>
            </w:tcBorders>
            <w:vAlign w:val="center"/>
          </w:tcPr>
          <w:p w14:paraId="7521D678">
            <w:pPr>
              <w:spacing w:line="240" w:lineRule="auto"/>
              <w:ind w:firstLine="0" w:firstLineChars="0"/>
              <w:jc w:val="center"/>
              <w:rPr>
                <w:color w:val="auto"/>
                <w:sz w:val="21"/>
                <w:szCs w:val="21"/>
                <w:highlight w:val="none"/>
              </w:rPr>
            </w:pPr>
            <w:r>
              <w:rPr>
                <w:color w:val="auto"/>
                <w:sz w:val="21"/>
                <w:szCs w:val="21"/>
                <w:highlight w:val="none"/>
              </w:rPr>
              <w:t>日平均浓度、年平均</w:t>
            </w:r>
          </w:p>
        </w:tc>
        <w:tc>
          <w:tcPr>
            <w:tcW w:w="1418" w:type="pct"/>
            <w:vMerge w:val="continue"/>
            <w:tcBorders>
              <w:tl2br w:val="nil"/>
              <w:tr2bl w:val="nil"/>
            </w:tcBorders>
            <w:vAlign w:val="center"/>
          </w:tcPr>
          <w:p w14:paraId="2E2DAEB5">
            <w:pPr>
              <w:spacing w:line="240" w:lineRule="auto"/>
              <w:ind w:firstLine="0" w:firstLineChars="0"/>
              <w:jc w:val="center"/>
              <w:rPr>
                <w:color w:val="auto"/>
                <w:sz w:val="21"/>
                <w:szCs w:val="21"/>
                <w:highlight w:val="none"/>
              </w:rPr>
            </w:pPr>
          </w:p>
        </w:tc>
      </w:tr>
      <w:tr w14:paraId="5B5EB08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528" w:type="pct"/>
            <w:vMerge w:val="continue"/>
            <w:tcBorders>
              <w:tl2br w:val="nil"/>
              <w:tr2bl w:val="nil"/>
            </w:tcBorders>
            <w:vAlign w:val="center"/>
          </w:tcPr>
          <w:p w14:paraId="3468B219">
            <w:pPr>
              <w:spacing w:line="240" w:lineRule="auto"/>
              <w:ind w:firstLine="0" w:firstLineChars="0"/>
              <w:jc w:val="center"/>
              <w:rPr>
                <w:color w:val="auto"/>
                <w:sz w:val="21"/>
                <w:szCs w:val="21"/>
                <w:highlight w:val="none"/>
              </w:rPr>
            </w:pPr>
          </w:p>
        </w:tc>
        <w:tc>
          <w:tcPr>
            <w:tcW w:w="756" w:type="pct"/>
            <w:vMerge w:val="restart"/>
            <w:tcBorders>
              <w:tl2br w:val="nil"/>
              <w:tr2bl w:val="nil"/>
            </w:tcBorders>
            <w:vAlign w:val="center"/>
          </w:tcPr>
          <w:p w14:paraId="2F854878">
            <w:pPr>
              <w:spacing w:line="240" w:lineRule="auto"/>
              <w:ind w:firstLine="0" w:firstLineChars="0"/>
              <w:jc w:val="center"/>
              <w:rPr>
                <w:color w:val="auto"/>
                <w:sz w:val="21"/>
                <w:szCs w:val="21"/>
                <w:highlight w:val="none"/>
              </w:rPr>
            </w:pPr>
            <w:r>
              <w:rPr>
                <w:color w:val="auto"/>
                <w:sz w:val="21"/>
                <w:szCs w:val="21"/>
                <w:highlight w:val="none"/>
              </w:rPr>
              <w:t>本项目新增污染源</w:t>
            </w:r>
          </w:p>
        </w:tc>
        <w:tc>
          <w:tcPr>
            <w:tcW w:w="550" w:type="pct"/>
            <w:vMerge w:val="restart"/>
            <w:tcBorders>
              <w:tl2br w:val="nil"/>
              <w:tr2bl w:val="nil"/>
            </w:tcBorders>
            <w:vAlign w:val="center"/>
          </w:tcPr>
          <w:p w14:paraId="2739DFD7">
            <w:pPr>
              <w:spacing w:line="240" w:lineRule="auto"/>
              <w:ind w:firstLine="0" w:firstLineChars="0"/>
              <w:jc w:val="center"/>
              <w:rPr>
                <w:color w:val="auto"/>
                <w:sz w:val="21"/>
                <w:szCs w:val="21"/>
                <w:highlight w:val="none"/>
              </w:rPr>
            </w:pPr>
            <w:r>
              <w:rPr>
                <w:color w:val="auto"/>
                <w:sz w:val="21"/>
                <w:szCs w:val="21"/>
                <w:highlight w:val="none"/>
              </w:rPr>
              <w:t>正常排放</w:t>
            </w:r>
          </w:p>
        </w:tc>
        <w:tc>
          <w:tcPr>
            <w:tcW w:w="950" w:type="pct"/>
            <w:tcBorders>
              <w:tl2br w:val="nil"/>
              <w:tr2bl w:val="nil"/>
            </w:tcBorders>
            <w:vAlign w:val="center"/>
          </w:tcPr>
          <w:p w14:paraId="724CF014">
            <w:pPr>
              <w:spacing w:line="240" w:lineRule="auto"/>
              <w:ind w:firstLine="0" w:firstLineChars="0"/>
              <w:jc w:val="center"/>
              <w:rPr>
                <w:color w:val="auto"/>
                <w:sz w:val="21"/>
                <w:szCs w:val="21"/>
                <w:highlight w:val="none"/>
              </w:rPr>
            </w:pPr>
            <w:r>
              <w:rPr>
                <w:color w:val="auto"/>
                <w:sz w:val="21"/>
                <w:szCs w:val="21"/>
                <w:highlight w:val="none"/>
              </w:rPr>
              <w:t>二甲苯、</w:t>
            </w:r>
            <w:r>
              <w:rPr>
                <w:rFonts w:hint="eastAsia"/>
                <w:color w:val="auto"/>
                <w:sz w:val="21"/>
                <w:szCs w:val="21"/>
                <w:highlight w:val="none"/>
              </w:rPr>
              <w:t>T</w:t>
            </w:r>
            <w:r>
              <w:rPr>
                <w:color w:val="auto"/>
                <w:sz w:val="21"/>
                <w:szCs w:val="21"/>
                <w:highlight w:val="none"/>
              </w:rPr>
              <w:t>VOC</w:t>
            </w:r>
          </w:p>
        </w:tc>
        <w:tc>
          <w:tcPr>
            <w:tcW w:w="794" w:type="pct"/>
            <w:tcBorders>
              <w:tl2br w:val="nil"/>
              <w:tr2bl w:val="nil"/>
            </w:tcBorders>
            <w:vAlign w:val="center"/>
          </w:tcPr>
          <w:p w14:paraId="0CA31938">
            <w:pPr>
              <w:spacing w:line="240" w:lineRule="auto"/>
              <w:ind w:firstLine="0" w:firstLineChars="0"/>
              <w:jc w:val="center"/>
              <w:rPr>
                <w:color w:val="auto"/>
                <w:sz w:val="21"/>
                <w:szCs w:val="21"/>
                <w:highlight w:val="none"/>
              </w:rPr>
            </w:pPr>
            <w:r>
              <w:rPr>
                <w:color w:val="auto"/>
                <w:sz w:val="21"/>
                <w:szCs w:val="21"/>
                <w:highlight w:val="none"/>
              </w:rPr>
              <w:t>小时浓度</w:t>
            </w:r>
          </w:p>
        </w:tc>
        <w:tc>
          <w:tcPr>
            <w:tcW w:w="1418" w:type="pct"/>
            <w:vMerge w:val="restart"/>
            <w:tcBorders>
              <w:tl2br w:val="nil"/>
              <w:tr2bl w:val="nil"/>
            </w:tcBorders>
            <w:vAlign w:val="center"/>
          </w:tcPr>
          <w:p w14:paraId="680B26D3">
            <w:pPr>
              <w:spacing w:line="240" w:lineRule="auto"/>
              <w:ind w:firstLine="0" w:firstLineChars="0"/>
              <w:jc w:val="center"/>
              <w:rPr>
                <w:color w:val="auto"/>
                <w:sz w:val="21"/>
                <w:szCs w:val="21"/>
                <w:highlight w:val="none"/>
              </w:rPr>
            </w:pPr>
            <w:r>
              <w:rPr>
                <w:color w:val="auto"/>
                <w:sz w:val="21"/>
                <w:szCs w:val="21"/>
                <w:highlight w:val="none"/>
              </w:rPr>
              <w:t>叠加环境质量现状浓度后的</w:t>
            </w:r>
          </w:p>
          <w:p w14:paraId="0EDD504F">
            <w:pPr>
              <w:spacing w:line="240" w:lineRule="auto"/>
              <w:ind w:firstLine="0" w:firstLineChars="0"/>
              <w:jc w:val="center"/>
              <w:rPr>
                <w:color w:val="auto"/>
                <w:sz w:val="21"/>
                <w:szCs w:val="21"/>
                <w:highlight w:val="none"/>
              </w:rPr>
            </w:pPr>
            <w:r>
              <w:rPr>
                <w:color w:val="auto"/>
                <w:sz w:val="21"/>
                <w:szCs w:val="21"/>
                <w:highlight w:val="none"/>
              </w:rPr>
              <w:t>保证率日平均质量浓度和年平均质量浓度的占标率，或短期浓度的达标情况</w:t>
            </w:r>
          </w:p>
        </w:tc>
      </w:tr>
      <w:tr w14:paraId="360601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0" w:hRule="atLeast"/>
        </w:trPr>
        <w:tc>
          <w:tcPr>
            <w:tcW w:w="528" w:type="pct"/>
            <w:vMerge w:val="continue"/>
            <w:tcBorders>
              <w:tl2br w:val="nil"/>
              <w:tr2bl w:val="nil"/>
            </w:tcBorders>
            <w:vAlign w:val="center"/>
          </w:tcPr>
          <w:p w14:paraId="5AA61B7B">
            <w:pPr>
              <w:spacing w:line="240" w:lineRule="auto"/>
              <w:ind w:firstLine="0" w:firstLineChars="0"/>
              <w:jc w:val="center"/>
              <w:rPr>
                <w:color w:val="auto"/>
                <w:sz w:val="21"/>
                <w:szCs w:val="21"/>
                <w:highlight w:val="none"/>
              </w:rPr>
            </w:pPr>
          </w:p>
        </w:tc>
        <w:tc>
          <w:tcPr>
            <w:tcW w:w="756" w:type="pct"/>
            <w:vMerge w:val="continue"/>
            <w:tcBorders>
              <w:tl2br w:val="nil"/>
              <w:tr2bl w:val="nil"/>
            </w:tcBorders>
            <w:vAlign w:val="center"/>
          </w:tcPr>
          <w:p w14:paraId="317916A0">
            <w:pPr>
              <w:spacing w:line="240" w:lineRule="auto"/>
              <w:ind w:firstLine="0" w:firstLineChars="0"/>
              <w:jc w:val="center"/>
              <w:rPr>
                <w:color w:val="auto"/>
                <w:sz w:val="21"/>
                <w:szCs w:val="21"/>
                <w:highlight w:val="none"/>
              </w:rPr>
            </w:pPr>
          </w:p>
        </w:tc>
        <w:tc>
          <w:tcPr>
            <w:tcW w:w="550" w:type="pct"/>
            <w:vMerge w:val="continue"/>
            <w:tcBorders>
              <w:tl2br w:val="nil"/>
              <w:tr2bl w:val="nil"/>
            </w:tcBorders>
            <w:vAlign w:val="center"/>
          </w:tcPr>
          <w:p w14:paraId="0D65C2E8">
            <w:pPr>
              <w:spacing w:line="240" w:lineRule="auto"/>
              <w:ind w:firstLine="0" w:firstLineChars="0"/>
              <w:jc w:val="center"/>
              <w:rPr>
                <w:color w:val="auto"/>
                <w:sz w:val="21"/>
                <w:szCs w:val="21"/>
                <w:highlight w:val="none"/>
              </w:rPr>
            </w:pPr>
          </w:p>
        </w:tc>
        <w:tc>
          <w:tcPr>
            <w:tcW w:w="950" w:type="pct"/>
            <w:tcBorders>
              <w:tl2br w:val="nil"/>
              <w:tr2bl w:val="nil"/>
            </w:tcBorders>
            <w:vAlign w:val="center"/>
          </w:tcPr>
          <w:p w14:paraId="13F2FC66">
            <w:pPr>
              <w:spacing w:line="240" w:lineRule="auto"/>
              <w:ind w:firstLine="0" w:firstLineChars="0"/>
              <w:jc w:val="center"/>
              <w:rPr>
                <w:color w:val="auto"/>
                <w:sz w:val="21"/>
                <w:szCs w:val="21"/>
                <w:highlight w:val="none"/>
              </w:rPr>
            </w:pPr>
            <w:r>
              <w:rPr>
                <w:color w:val="auto"/>
                <w:sz w:val="21"/>
                <w:szCs w:val="21"/>
                <w:highlight w:val="none"/>
              </w:rPr>
              <w:t>TSP</w:t>
            </w:r>
          </w:p>
        </w:tc>
        <w:tc>
          <w:tcPr>
            <w:tcW w:w="794" w:type="pct"/>
            <w:tcBorders>
              <w:tl2br w:val="nil"/>
              <w:tr2bl w:val="nil"/>
            </w:tcBorders>
            <w:vAlign w:val="center"/>
          </w:tcPr>
          <w:p w14:paraId="6BC99EC8">
            <w:pPr>
              <w:spacing w:line="240" w:lineRule="auto"/>
              <w:ind w:firstLine="0" w:firstLineChars="0"/>
              <w:jc w:val="center"/>
              <w:rPr>
                <w:color w:val="auto"/>
                <w:sz w:val="21"/>
                <w:szCs w:val="21"/>
                <w:highlight w:val="none"/>
              </w:rPr>
            </w:pPr>
            <w:r>
              <w:rPr>
                <w:color w:val="auto"/>
                <w:sz w:val="21"/>
                <w:szCs w:val="21"/>
                <w:highlight w:val="none"/>
              </w:rPr>
              <w:t>日平均浓度</w:t>
            </w:r>
          </w:p>
        </w:tc>
        <w:tc>
          <w:tcPr>
            <w:tcW w:w="1418" w:type="pct"/>
            <w:vMerge w:val="continue"/>
            <w:tcBorders>
              <w:tl2br w:val="nil"/>
              <w:tr2bl w:val="nil"/>
            </w:tcBorders>
            <w:vAlign w:val="center"/>
          </w:tcPr>
          <w:p w14:paraId="30DD54AB">
            <w:pPr>
              <w:spacing w:line="240" w:lineRule="auto"/>
              <w:ind w:firstLine="0" w:firstLineChars="0"/>
              <w:jc w:val="center"/>
              <w:rPr>
                <w:color w:val="auto"/>
                <w:sz w:val="21"/>
                <w:szCs w:val="21"/>
                <w:highlight w:val="none"/>
              </w:rPr>
            </w:pPr>
          </w:p>
        </w:tc>
      </w:tr>
      <w:tr w14:paraId="57C50F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28" w:type="pct"/>
            <w:tcBorders>
              <w:tl2br w:val="nil"/>
              <w:tr2bl w:val="nil"/>
            </w:tcBorders>
            <w:vAlign w:val="center"/>
          </w:tcPr>
          <w:p w14:paraId="1F6B125A">
            <w:pPr>
              <w:spacing w:line="240" w:lineRule="auto"/>
              <w:ind w:firstLine="0" w:firstLineChars="0"/>
              <w:jc w:val="center"/>
              <w:rPr>
                <w:color w:val="auto"/>
                <w:sz w:val="21"/>
                <w:szCs w:val="21"/>
                <w:highlight w:val="none"/>
              </w:rPr>
            </w:pPr>
            <w:r>
              <w:rPr>
                <w:color w:val="auto"/>
                <w:sz w:val="21"/>
                <w:szCs w:val="21"/>
                <w:highlight w:val="none"/>
              </w:rPr>
              <w:t>大气环境防护距离</w:t>
            </w:r>
          </w:p>
        </w:tc>
        <w:tc>
          <w:tcPr>
            <w:tcW w:w="756" w:type="pct"/>
            <w:tcBorders>
              <w:tl2br w:val="nil"/>
              <w:tr2bl w:val="nil"/>
            </w:tcBorders>
            <w:vAlign w:val="center"/>
          </w:tcPr>
          <w:p w14:paraId="69ABC436">
            <w:pPr>
              <w:spacing w:line="240" w:lineRule="auto"/>
              <w:ind w:firstLine="0" w:firstLineChars="0"/>
              <w:jc w:val="center"/>
              <w:rPr>
                <w:color w:val="auto"/>
                <w:sz w:val="21"/>
                <w:szCs w:val="21"/>
                <w:highlight w:val="none"/>
              </w:rPr>
            </w:pPr>
            <w:r>
              <w:rPr>
                <w:color w:val="auto"/>
                <w:sz w:val="21"/>
                <w:szCs w:val="21"/>
                <w:highlight w:val="none"/>
              </w:rPr>
              <w:t>新增污染源</w:t>
            </w:r>
            <w:r>
              <w:rPr>
                <w:rFonts w:hint="eastAsia"/>
                <w:color w:val="auto"/>
                <w:sz w:val="21"/>
                <w:szCs w:val="21"/>
                <w:highlight w:val="none"/>
              </w:rPr>
              <w:t>+全厂现有污染源</w:t>
            </w:r>
          </w:p>
        </w:tc>
        <w:tc>
          <w:tcPr>
            <w:tcW w:w="550" w:type="pct"/>
            <w:tcBorders>
              <w:tl2br w:val="nil"/>
              <w:tr2bl w:val="nil"/>
            </w:tcBorders>
            <w:vAlign w:val="center"/>
          </w:tcPr>
          <w:p w14:paraId="7D932A53">
            <w:pPr>
              <w:spacing w:line="240" w:lineRule="auto"/>
              <w:ind w:firstLine="0" w:firstLineChars="0"/>
              <w:jc w:val="center"/>
              <w:rPr>
                <w:color w:val="auto"/>
                <w:sz w:val="21"/>
                <w:szCs w:val="21"/>
                <w:highlight w:val="none"/>
              </w:rPr>
            </w:pPr>
            <w:r>
              <w:rPr>
                <w:color w:val="auto"/>
                <w:sz w:val="21"/>
                <w:szCs w:val="21"/>
                <w:highlight w:val="none"/>
              </w:rPr>
              <w:t>正常排放</w:t>
            </w:r>
          </w:p>
        </w:tc>
        <w:tc>
          <w:tcPr>
            <w:tcW w:w="950" w:type="pct"/>
            <w:tcBorders>
              <w:tl2br w:val="nil"/>
              <w:tr2bl w:val="nil"/>
            </w:tcBorders>
            <w:vAlign w:val="center"/>
          </w:tcPr>
          <w:p w14:paraId="11CBA2C6">
            <w:pPr>
              <w:spacing w:line="240" w:lineRule="auto"/>
              <w:ind w:firstLine="0" w:firstLineChars="0"/>
              <w:jc w:val="center"/>
              <w:rPr>
                <w:color w:val="auto"/>
                <w:sz w:val="21"/>
                <w:szCs w:val="21"/>
                <w:highlight w:val="none"/>
              </w:rPr>
            </w:pPr>
            <w:r>
              <w:rPr>
                <w:color w:val="auto"/>
                <w:sz w:val="21"/>
                <w:szCs w:val="21"/>
                <w:highlight w:val="none"/>
              </w:rPr>
              <w:t>二甲苯、</w:t>
            </w:r>
            <w:r>
              <w:rPr>
                <w:rFonts w:hint="eastAsia"/>
                <w:color w:val="auto"/>
                <w:sz w:val="21"/>
                <w:szCs w:val="21"/>
                <w:highlight w:val="none"/>
              </w:rPr>
              <w:t>T</w:t>
            </w:r>
            <w:r>
              <w:rPr>
                <w:color w:val="auto"/>
                <w:sz w:val="21"/>
                <w:szCs w:val="21"/>
                <w:highlight w:val="none"/>
              </w:rPr>
              <w:t>VOC、TSP</w:t>
            </w:r>
          </w:p>
        </w:tc>
        <w:tc>
          <w:tcPr>
            <w:tcW w:w="794" w:type="pct"/>
            <w:tcBorders>
              <w:tl2br w:val="nil"/>
              <w:tr2bl w:val="nil"/>
            </w:tcBorders>
            <w:vAlign w:val="center"/>
          </w:tcPr>
          <w:p w14:paraId="4C3039B4">
            <w:pPr>
              <w:spacing w:line="240" w:lineRule="auto"/>
              <w:ind w:firstLine="0" w:firstLineChars="0"/>
              <w:jc w:val="center"/>
              <w:rPr>
                <w:color w:val="auto"/>
                <w:sz w:val="21"/>
                <w:szCs w:val="21"/>
                <w:highlight w:val="none"/>
              </w:rPr>
            </w:pPr>
            <w:r>
              <w:rPr>
                <w:color w:val="auto"/>
                <w:sz w:val="21"/>
                <w:szCs w:val="21"/>
                <w:highlight w:val="none"/>
              </w:rPr>
              <w:t>短期浓度</w:t>
            </w:r>
          </w:p>
        </w:tc>
        <w:tc>
          <w:tcPr>
            <w:tcW w:w="1418" w:type="pct"/>
            <w:tcBorders>
              <w:tl2br w:val="nil"/>
              <w:tr2bl w:val="nil"/>
            </w:tcBorders>
            <w:vAlign w:val="center"/>
          </w:tcPr>
          <w:p w14:paraId="71229BEF">
            <w:pPr>
              <w:spacing w:line="240" w:lineRule="auto"/>
              <w:ind w:firstLine="0" w:firstLineChars="0"/>
              <w:jc w:val="center"/>
              <w:rPr>
                <w:color w:val="auto"/>
                <w:sz w:val="21"/>
                <w:szCs w:val="21"/>
                <w:highlight w:val="none"/>
              </w:rPr>
            </w:pPr>
            <w:r>
              <w:rPr>
                <w:color w:val="auto"/>
                <w:sz w:val="21"/>
                <w:szCs w:val="21"/>
                <w:highlight w:val="none"/>
              </w:rPr>
              <w:t>大气环境防护距离</w:t>
            </w:r>
          </w:p>
        </w:tc>
      </w:tr>
    </w:tbl>
    <w:p w14:paraId="3DE0DB85">
      <w:pPr>
        <w:spacing w:line="240" w:lineRule="auto"/>
        <w:ind w:firstLine="0" w:firstLineChars="0"/>
        <w:jc w:val="left"/>
        <w:rPr>
          <w:b/>
          <w:bCs/>
          <w:color w:val="auto"/>
          <w:sz w:val="21"/>
          <w:szCs w:val="21"/>
          <w:highlight w:val="none"/>
        </w:rPr>
      </w:pPr>
      <w:bookmarkStart w:id="201" w:name="_Toc122440715"/>
      <w:r>
        <w:rPr>
          <w:b/>
          <w:bCs/>
          <w:color w:val="auto"/>
          <w:sz w:val="21"/>
          <w:szCs w:val="21"/>
          <w:highlight w:val="none"/>
        </w:rPr>
        <w:t>注：①项目无区域削减污染源；评价范围无其他在建、拟建污染源；</w:t>
      </w:r>
    </w:p>
    <w:p w14:paraId="765241F3">
      <w:pPr>
        <w:spacing w:line="240" w:lineRule="auto"/>
        <w:ind w:firstLine="422"/>
        <w:jc w:val="left"/>
        <w:rPr>
          <w:b/>
          <w:bCs/>
          <w:color w:val="auto"/>
          <w:sz w:val="21"/>
          <w:szCs w:val="21"/>
          <w:highlight w:val="none"/>
        </w:rPr>
      </w:pPr>
      <w:r>
        <w:rPr>
          <w:b/>
          <w:bCs/>
          <w:color w:val="auto"/>
          <w:sz w:val="21"/>
          <w:szCs w:val="21"/>
          <w:highlight w:val="none"/>
        </w:rPr>
        <w:t>②项目大气污染物均为无组织排放，不存在非正常排放情形。</w:t>
      </w:r>
    </w:p>
    <w:p w14:paraId="4CB8EFCD">
      <w:pPr>
        <w:pStyle w:val="91"/>
        <w:ind w:left="480"/>
        <w:rPr>
          <w:color w:val="auto"/>
          <w:highlight w:val="none"/>
        </w:rPr>
      </w:pPr>
    </w:p>
    <w:p w14:paraId="6DD4744B">
      <w:pPr>
        <w:pStyle w:val="533"/>
        <w:numPr>
          <w:ilvl w:val="3"/>
          <w:numId w:val="9"/>
        </w:numPr>
        <w:rPr>
          <w:color w:val="auto"/>
          <w:szCs w:val="24"/>
          <w:highlight w:val="none"/>
        </w:rPr>
      </w:pPr>
      <w:r>
        <w:rPr>
          <w:color w:val="auto"/>
          <w:szCs w:val="24"/>
          <w:highlight w:val="none"/>
        </w:rPr>
        <w:t>预测因子、范围、周期</w:t>
      </w:r>
      <w:bookmarkEnd w:id="201"/>
    </w:p>
    <w:p w14:paraId="0A7E65DF">
      <w:pPr>
        <w:pStyle w:val="11"/>
        <w:numPr>
          <w:ilvl w:val="0"/>
          <w:numId w:val="0"/>
        </w:numPr>
        <w:spacing w:before="0" w:after="0" w:line="360" w:lineRule="auto"/>
        <w:ind w:firstLine="482" w:firstLineChars="200"/>
        <w:rPr>
          <w:color w:val="auto"/>
          <w:sz w:val="24"/>
          <w:szCs w:val="24"/>
          <w:highlight w:val="none"/>
        </w:rPr>
      </w:pPr>
      <w:r>
        <w:rPr>
          <w:color w:val="auto"/>
          <w:sz w:val="24"/>
          <w:szCs w:val="24"/>
          <w:highlight w:val="none"/>
        </w:rPr>
        <w:t>（1）预测因子</w:t>
      </w:r>
    </w:p>
    <w:p w14:paraId="2E16E2F8">
      <w:pPr>
        <w:ind w:firstLine="480"/>
        <w:rPr>
          <w:color w:val="auto"/>
          <w:highlight w:val="none"/>
        </w:rPr>
      </w:pPr>
      <w:r>
        <w:rPr>
          <w:color w:val="auto"/>
          <w:highlight w:val="none"/>
        </w:rPr>
        <w:t>根据本项目污染源废气排放特点，选取二甲苯、</w:t>
      </w:r>
      <w:r>
        <w:rPr>
          <w:rFonts w:hint="eastAsia"/>
          <w:color w:val="auto"/>
          <w:highlight w:val="none"/>
        </w:rPr>
        <w:t>T</w:t>
      </w:r>
      <w:r>
        <w:rPr>
          <w:color w:val="auto"/>
          <w:highlight w:val="none"/>
        </w:rPr>
        <w:t>VOC、TSP作为预测因子。</w:t>
      </w:r>
    </w:p>
    <w:p w14:paraId="3F0E1E75">
      <w:pPr>
        <w:pStyle w:val="11"/>
        <w:numPr>
          <w:ilvl w:val="0"/>
          <w:numId w:val="0"/>
        </w:numPr>
        <w:spacing w:before="0" w:after="0" w:line="360" w:lineRule="auto"/>
        <w:ind w:firstLine="482" w:firstLineChars="200"/>
        <w:rPr>
          <w:color w:val="auto"/>
          <w:sz w:val="24"/>
          <w:szCs w:val="24"/>
          <w:highlight w:val="none"/>
        </w:rPr>
      </w:pPr>
      <w:r>
        <w:rPr>
          <w:color w:val="auto"/>
          <w:sz w:val="24"/>
          <w:szCs w:val="24"/>
          <w:highlight w:val="none"/>
        </w:rPr>
        <w:t>（2）现状浓度</w:t>
      </w:r>
    </w:p>
    <w:p w14:paraId="1BB34A98">
      <w:pPr>
        <w:ind w:firstLine="480"/>
        <w:textAlignment w:val="baseline"/>
        <w:rPr>
          <w:color w:val="auto"/>
          <w:highlight w:val="none"/>
          <w:lang w:val="zh-CN"/>
        </w:rPr>
      </w:pPr>
      <w:r>
        <w:rPr>
          <w:color w:val="auto"/>
          <w:highlight w:val="none"/>
        </w:rPr>
        <w:t>二甲苯、</w:t>
      </w:r>
      <w:r>
        <w:rPr>
          <w:rFonts w:hint="eastAsia"/>
          <w:color w:val="auto"/>
          <w:highlight w:val="none"/>
        </w:rPr>
        <w:t>T</w:t>
      </w:r>
      <w:r>
        <w:rPr>
          <w:color w:val="auto"/>
          <w:highlight w:val="none"/>
        </w:rPr>
        <w:t>VOC、TSP现状浓度</w:t>
      </w:r>
      <w:r>
        <w:rPr>
          <w:color w:val="auto"/>
          <w:highlight w:val="none"/>
          <w:lang w:val="zh-CN"/>
        </w:rPr>
        <w:t>取项目大气环境监测点位数据相同时刻平均值，再取各监测时段平均值中最大值。</w:t>
      </w:r>
    </w:p>
    <w:p w14:paraId="484165C3">
      <w:pPr>
        <w:pStyle w:val="11"/>
        <w:numPr>
          <w:ilvl w:val="0"/>
          <w:numId w:val="0"/>
        </w:numPr>
        <w:spacing w:before="0" w:after="0" w:line="360" w:lineRule="auto"/>
        <w:ind w:firstLine="482" w:firstLineChars="200"/>
        <w:rPr>
          <w:color w:val="auto"/>
          <w:sz w:val="24"/>
          <w:szCs w:val="24"/>
          <w:highlight w:val="none"/>
        </w:rPr>
      </w:pPr>
      <w:r>
        <w:rPr>
          <w:color w:val="auto"/>
          <w:sz w:val="24"/>
          <w:szCs w:val="24"/>
          <w:highlight w:val="none"/>
        </w:rPr>
        <w:t>（3）预测范围及周期</w:t>
      </w:r>
    </w:p>
    <w:p w14:paraId="0FE9BAB1">
      <w:pPr>
        <w:ind w:firstLine="480"/>
        <w:rPr>
          <w:color w:val="auto"/>
          <w:highlight w:val="none"/>
        </w:rPr>
      </w:pPr>
      <w:r>
        <w:rPr>
          <w:color w:val="auto"/>
          <w:highlight w:val="none"/>
        </w:rPr>
        <w:t>根据《环境影响评价技术导则 大气环境》（HJ 2.2-2018）：5.4.1一级评价项目根据建设项目排放污染物的最远影响距离（D10%）确定大气环境影响评价范围。即以项目厂址为中心区域，自厂界外延D10%的矩形区域作为大气环境影响评价范围。当D10%超过25km时，确定评价范围为边长50km的矩形区域；当D10%小于2.5km时，评价范围边长取5km。本项目占标率10%的最远距离D10%为3500m（喷漆过程排放的二甲苯无组织废气），评价范围边长取</w:t>
      </w:r>
      <w:r>
        <w:rPr>
          <w:rFonts w:hint="eastAsia"/>
          <w:color w:val="auto"/>
          <w:highlight w:val="none"/>
        </w:rPr>
        <w:t>7km，</w:t>
      </w:r>
      <w:r>
        <w:rPr>
          <w:color w:val="auto"/>
          <w:highlight w:val="none"/>
        </w:rPr>
        <w:t>符合导则规范要求。</w:t>
      </w:r>
    </w:p>
    <w:p w14:paraId="14ABCB68">
      <w:pPr>
        <w:ind w:firstLine="480"/>
        <w:rPr>
          <w:color w:val="auto"/>
          <w:highlight w:val="none"/>
        </w:rPr>
      </w:pPr>
      <w:r>
        <w:rPr>
          <w:color w:val="auto"/>
          <w:highlight w:val="none"/>
        </w:rPr>
        <w:t>本次评价基准年为2024年，以2024年作为预测周期，预测时段取连续1年。</w:t>
      </w:r>
    </w:p>
    <w:p w14:paraId="1DA7039D">
      <w:pPr>
        <w:pStyle w:val="533"/>
        <w:numPr>
          <w:ilvl w:val="3"/>
          <w:numId w:val="9"/>
        </w:numPr>
        <w:rPr>
          <w:color w:val="auto"/>
          <w:szCs w:val="24"/>
          <w:highlight w:val="none"/>
        </w:rPr>
      </w:pPr>
      <w:bookmarkStart w:id="202" w:name="_Toc122440716"/>
      <w:r>
        <w:rPr>
          <w:color w:val="auto"/>
          <w:szCs w:val="24"/>
          <w:highlight w:val="none"/>
        </w:rPr>
        <w:t>预测模型及参数</w:t>
      </w:r>
      <w:bookmarkEnd w:id="202"/>
    </w:p>
    <w:p w14:paraId="2B4265AB">
      <w:pPr>
        <w:pStyle w:val="11"/>
        <w:numPr>
          <w:ilvl w:val="0"/>
          <w:numId w:val="0"/>
        </w:numPr>
        <w:spacing w:before="0" w:after="0" w:line="360" w:lineRule="auto"/>
        <w:ind w:firstLine="482" w:firstLineChars="200"/>
        <w:rPr>
          <w:color w:val="auto"/>
          <w:sz w:val="24"/>
          <w:szCs w:val="24"/>
          <w:highlight w:val="none"/>
        </w:rPr>
      </w:pPr>
      <w:r>
        <w:rPr>
          <w:color w:val="auto"/>
          <w:sz w:val="24"/>
          <w:szCs w:val="24"/>
          <w:highlight w:val="none"/>
        </w:rPr>
        <w:t>（1）预测模型</w:t>
      </w:r>
    </w:p>
    <w:p w14:paraId="2D431D79">
      <w:pPr>
        <w:ind w:firstLine="480"/>
        <w:rPr>
          <w:color w:val="auto"/>
          <w:highlight w:val="none"/>
        </w:rPr>
      </w:pPr>
      <w:r>
        <w:rPr>
          <w:color w:val="auto"/>
          <w:highlight w:val="none"/>
        </w:rPr>
        <w:t>本工程大气环境影响评价工作等级为一级，污染源类型为面源，评价范围小于50km，采用《环境影响评价技术导则 大气环境》（HJ 2.2-2018）推荐模式AERMOD进行大气环境影响预测计算。</w:t>
      </w:r>
    </w:p>
    <w:p w14:paraId="02CE8852">
      <w:pPr>
        <w:ind w:firstLine="480"/>
        <w:rPr>
          <w:color w:val="auto"/>
          <w:highlight w:val="none"/>
        </w:rPr>
      </w:pPr>
      <w:r>
        <w:rPr>
          <w:color w:val="auto"/>
          <w:highlight w:val="none"/>
        </w:rPr>
        <w:t>预测软件：EIAProA2018软件，版本号2.6.500。</w:t>
      </w:r>
    </w:p>
    <w:p w14:paraId="485071B4">
      <w:pPr>
        <w:pStyle w:val="11"/>
        <w:numPr>
          <w:ilvl w:val="0"/>
          <w:numId w:val="0"/>
        </w:numPr>
        <w:spacing w:before="0" w:after="0" w:line="360" w:lineRule="auto"/>
        <w:ind w:firstLine="482" w:firstLineChars="200"/>
        <w:rPr>
          <w:color w:val="auto"/>
          <w:sz w:val="24"/>
          <w:szCs w:val="24"/>
          <w:highlight w:val="none"/>
        </w:rPr>
      </w:pPr>
      <w:r>
        <w:rPr>
          <w:color w:val="auto"/>
          <w:sz w:val="24"/>
          <w:szCs w:val="24"/>
          <w:highlight w:val="none"/>
        </w:rPr>
        <w:t>（2）预测参数</w:t>
      </w:r>
    </w:p>
    <w:p w14:paraId="5126DDE9">
      <w:pPr>
        <w:widowControl/>
        <w:ind w:firstLine="482"/>
        <w:rPr>
          <w:b/>
          <w:color w:val="auto"/>
          <w:highlight w:val="none"/>
          <w:lang w:bidi="he-IL"/>
        </w:rPr>
      </w:pPr>
      <w:r>
        <w:rPr>
          <w:b/>
          <w:color w:val="auto"/>
          <w:highlight w:val="none"/>
          <w:lang w:bidi="he-IL"/>
        </w:rPr>
        <w:t>①气象参数</w:t>
      </w:r>
    </w:p>
    <w:p w14:paraId="5B1C041E">
      <w:pPr>
        <w:widowControl/>
        <w:ind w:firstLine="480"/>
        <w:rPr>
          <w:color w:val="auto"/>
          <w:highlight w:val="none"/>
          <w:lang w:bidi="he-IL"/>
        </w:rPr>
      </w:pPr>
      <w:r>
        <w:rPr>
          <w:color w:val="auto"/>
          <w:highlight w:val="none"/>
          <w:lang w:bidi="he-IL"/>
        </w:rPr>
        <w:t>本项目位于</w:t>
      </w:r>
      <w:r>
        <w:rPr>
          <w:color w:val="auto"/>
          <w:highlight w:val="none"/>
        </w:rPr>
        <w:t>广西壮族自治区钦州市钦州港三墩大道1号</w:t>
      </w:r>
      <w:r>
        <w:rPr>
          <w:color w:val="auto"/>
          <w:highlight w:val="none"/>
          <w:lang w:bidi="he-IL"/>
        </w:rPr>
        <w:t>，项目采用钦州气象站2024年数据，项目距离钦州气象站约39km。本数据中风向、风速、温度等原始地面气象观测数据来源于</w:t>
      </w:r>
      <w:r>
        <w:rPr>
          <w:rFonts w:hint="eastAsia"/>
          <w:color w:val="auto"/>
          <w:highlight w:val="none"/>
          <w:lang w:eastAsia="zh-CN" w:bidi="he-IL"/>
        </w:rPr>
        <w:t>中国气象局</w:t>
      </w:r>
      <w:r>
        <w:rPr>
          <w:color w:val="auto"/>
          <w:highlight w:val="none"/>
          <w:lang w:bidi="he-IL"/>
        </w:rPr>
        <w:t>，云量数据来源于国家环境保护环境影响评价数值模拟重点实验室卫星观测总云量（Cloud Total Amount retrieved by Satellite，CTAS）。</w:t>
      </w:r>
    </w:p>
    <w:p w14:paraId="5CD6CFE2">
      <w:pPr>
        <w:spacing w:line="240" w:lineRule="auto"/>
        <w:ind w:firstLine="0" w:firstLineChars="0"/>
        <w:jc w:val="center"/>
        <w:rPr>
          <w:b/>
          <w:bCs/>
          <w:color w:val="auto"/>
          <w:sz w:val="21"/>
          <w:szCs w:val="21"/>
          <w:highlight w:val="none"/>
        </w:rPr>
      </w:pPr>
      <w:r>
        <w:rPr>
          <w:b/>
          <w:bCs/>
          <w:color w:val="auto"/>
          <w:sz w:val="21"/>
          <w:szCs w:val="21"/>
          <w:highlight w:val="none"/>
        </w:rPr>
        <w:t>表4.2-2  地面气象数据信息</w:t>
      </w:r>
    </w:p>
    <w:tbl>
      <w:tblPr>
        <w:tblStyle w:val="9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42"/>
        <w:gridCol w:w="1150"/>
        <w:gridCol w:w="1144"/>
        <w:gridCol w:w="1209"/>
        <w:gridCol w:w="1094"/>
        <w:gridCol w:w="1100"/>
        <w:gridCol w:w="1311"/>
        <w:gridCol w:w="1132"/>
      </w:tblGrid>
      <w:tr w14:paraId="1DD3B2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5" w:type="pct"/>
            <w:vMerge w:val="restart"/>
            <w:vAlign w:val="center"/>
          </w:tcPr>
          <w:p w14:paraId="37F1FAE7">
            <w:pPr>
              <w:pStyle w:val="1556"/>
              <w:spacing w:beforeLines="0" w:afterLines="0" w:line="240" w:lineRule="auto"/>
              <w:ind w:firstLine="0"/>
              <w:jc w:val="center"/>
              <w:rPr>
                <w:rFonts w:ascii="Times New Roman" w:hAnsi="Times New Roman"/>
                <w:b/>
                <w:color w:val="auto"/>
                <w:sz w:val="21"/>
                <w:szCs w:val="21"/>
                <w:highlight w:val="none"/>
              </w:rPr>
            </w:pPr>
            <w:r>
              <w:rPr>
                <w:rFonts w:ascii="Times New Roman" w:hAnsi="Times New Roman"/>
                <w:b/>
                <w:color w:val="auto"/>
                <w:sz w:val="21"/>
                <w:szCs w:val="21"/>
                <w:highlight w:val="none"/>
              </w:rPr>
              <w:t>站点名称</w:t>
            </w:r>
          </w:p>
        </w:tc>
        <w:tc>
          <w:tcPr>
            <w:tcW w:w="619" w:type="pct"/>
            <w:vMerge w:val="restart"/>
            <w:vAlign w:val="center"/>
          </w:tcPr>
          <w:p w14:paraId="593335AD">
            <w:pPr>
              <w:pStyle w:val="1556"/>
              <w:spacing w:beforeLines="0" w:afterLines="0" w:line="240" w:lineRule="auto"/>
              <w:ind w:firstLine="0"/>
              <w:jc w:val="center"/>
              <w:rPr>
                <w:rFonts w:ascii="Times New Roman" w:hAnsi="Times New Roman"/>
                <w:b/>
                <w:color w:val="auto"/>
                <w:sz w:val="21"/>
                <w:szCs w:val="21"/>
                <w:highlight w:val="none"/>
              </w:rPr>
            </w:pPr>
            <w:r>
              <w:rPr>
                <w:rFonts w:ascii="Times New Roman" w:hAnsi="Times New Roman"/>
                <w:b/>
                <w:color w:val="auto"/>
                <w:sz w:val="21"/>
                <w:szCs w:val="21"/>
                <w:highlight w:val="none"/>
              </w:rPr>
              <w:t>站点编号</w:t>
            </w:r>
          </w:p>
        </w:tc>
        <w:tc>
          <w:tcPr>
            <w:tcW w:w="616" w:type="pct"/>
            <w:vMerge w:val="restart"/>
            <w:vAlign w:val="center"/>
          </w:tcPr>
          <w:p w14:paraId="1C9F0BCF">
            <w:pPr>
              <w:pStyle w:val="1556"/>
              <w:spacing w:beforeLines="0" w:afterLines="0" w:line="240" w:lineRule="auto"/>
              <w:ind w:firstLine="0"/>
              <w:jc w:val="center"/>
              <w:rPr>
                <w:rFonts w:ascii="Times New Roman" w:hAnsi="Times New Roman"/>
                <w:b/>
                <w:color w:val="auto"/>
                <w:sz w:val="21"/>
                <w:szCs w:val="21"/>
                <w:highlight w:val="none"/>
              </w:rPr>
            </w:pPr>
            <w:r>
              <w:rPr>
                <w:rFonts w:ascii="Times New Roman" w:hAnsi="Times New Roman"/>
                <w:b/>
                <w:color w:val="auto"/>
                <w:sz w:val="21"/>
                <w:szCs w:val="21"/>
                <w:highlight w:val="none"/>
              </w:rPr>
              <w:t>站点类型</w:t>
            </w:r>
          </w:p>
        </w:tc>
        <w:tc>
          <w:tcPr>
            <w:tcW w:w="1240" w:type="pct"/>
            <w:gridSpan w:val="2"/>
            <w:vAlign w:val="center"/>
          </w:tcPr>
          <w:p w14:paraId="1C94D580">
            <w:pPr>
              <w:pStyle w:val="1556"/>
              <w:spacing w:beforeLines="0" w:afterLines="0" w:line="240" w:lineRule="auto"/>
              <w:ind w:firstLine="0"/>
              <w:jc w:val="center"/>
              <w:rPr>
                <w:rFonts w:ascii="Times New Roman" w:hAnsi="Times New Roman"/>
                <w:b/>
                <w:color w:val="auto"/>
                <w:sz w:val="21"/>
                <w:szCs w:val="21"/>
                <w:highlight w:val="none"/>
              </w:rPr>
            </w:pPr>
            <w:r>
              <w:rPr>
                <w:rFonts w:ascii="Times New Roman" w:hAnsi="Times New Roman"/>
                <w:b/>
                <w:color w:val="auto"/>
                <w:sz w:val="21"/>
                <w:szCs w:val="21"/>
                <w:highlight w:val="none"/>
              </w:rPr>
              <w:t>气象站坐标/°</w:t>
            </w:r>
          </w:p>
        </w:tc>
        <w:tc>
          <w:tcPr>
            <w:tcW w:w="592" w:type="pct"/>
            <w:vMerge w:val="restart"/>
            <w:vAlign w:val="center"/>
          </w:tcPr>
          <w:p w14:paraId="14CF460D">
            <w:pPr>
              <w:pStyle w:val="1556"/>
              <w:spacing w:beforeLines="0" w:afterLines="0" w:line="240" w:lineRule="auto"/>
              <w:ind w:firstLine="0"/>
              <w:jc w:val="center"/>
              <w:rPr>
                <w:rFonts w:ascii="Times New Roman" w:hAnsi="Times New Roman"/>
                <w:b/>
                <w:color w:val="auto"/>
                <w:sz w:val="21"/>
                <w:szCs w:val="21"/>
                <w:highlight w:val="none"/>
              </w:rPr>
            </w:pPr>
            <w:r>
              <w:rPr>
                <w:rFonts w:ascii="Times New Roman" w:hAnsi="Times New Roman"/>
                <w:b/>
                <w:color w:val="auto"/>
                <w:sz w:val="21"/>
                <w:szCs w:val="21"/>
                <w:highlight w:val="none"/>
              </w:rPr>
              <w:t>海拔高度/m</w:t>
            </w:r>
          </w:p>
        </w:tc>
        <w:tc>
          <w:tcPr>
            <w:tcW w:w="706" w:type="pct"/>
            <w:vMerge w:val="restart"/>
            <w:vAlign w:val="center"/>
          </w:tcPr>
          <w:p w14:paraId="6EBF1D30">
            <w:pPr>
              <w:pStyle w:val="1556"/>
              <w:spacing w:beforeLines="0" w:afterLines="0" w:line="240" w:lineRule="auto"/>
              <w:ind w:firstLine="0"/>
              <w:jc w:val="center"/>
              <w:rPr>
                <w:rFonts w:ascii="Times New Roman" w:hAnsi="Times New Roman"/>
                <w:b/>
                <w:color w:val="auto"/>
                <w:sz w:val="21"/>
                <w:szCs w:val="21"/>
                <w:highlight w:val="none"/>
              </w:rPr>
            </w:pPr>
            <w:r>
              <w:rPr>
                <w:rFonts w:ascii="Times New Roman" w:hAnsi="Times New Roman"/>
                <w:b/>
                <w:color w:val="auto"/>
                <w:sz w:val="21"/>
                <w:szCs w:val="21"/>
                <w:highlight w:val="none"/>
              </w:rPr>
              <w:t>相对方位/距离</w:t>
            </w:r>
          </w:p>
        </w:tc>
        <w:tc>
          <w:tcPr>
            <w:tcW w:w="609" w:type="pct"/>
            <w:vMerge w:val="restart"/>
            <w:vAlign w:val="center"/>
          </w:tcPr>
          <w:p w14:paraId="34CFAAAE">
            <w:pPr>
              <w:pStyle w:val="1556"/>
              <w:spacing w:beforeLines="0" w:afterLines="0" w:line="240" w:lineRule="auto"/>
              <w:ind w:firstLine="0"/>
              <w:jc w:val="center"/>
              <w:rPr>
                <w:rFonts w:ascii="Times New Roman" w:hAnsi="Times New Roman"/>
                <w:b/>
                <w:color w:val="auto"/>
                <w:sz w:val="21"/>
                <w:szCs w:val="21"/>
                <w:highlight w:val="none"/>
              </w:rPr>
            </w:pPr>
            <w:r>
              <w:rPr>
                <w:rFonts w:ascii="Times New Roman" w:hAnsi="Times New Roman"/>
                <w:b/>
                <w:color w:val="auto"/>
                <w:sz w:val="21"/>
                <w:szCs w:val="21"/>
                <w:highlight w:val="none"/>
              </w:rPr>
              <w:t>数据年限（年）</w:t>
            </w:r>
          </w:p>
        </w:tc>
      </w:tr>
      <w:tr w14:paraId="59A578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5" w:type="pct"/>
            <w:vMerge w:val="continue"/>
            <w:vAlign w:val="center"/>
          </w:tcPr>
          <w:p w14:paraId="5D84D0AB">
            <w:pPr>
              <w:pStyle w:val="1556"/>
              <w:spacing w:beforeLines="0" w:afterLines="0" w:line="240" w:lineRule="auto"/>
              <w:ind w:firstLine="0"/>
              <w:jc w:val="center"/>
              <w:rPr>
                <w:rFonts w:ascii="Times New Roman" w:hAnsi="Times New Roman"/>
                <w:b/>
                <w:color w:val="auto"/>
                <w:sz w:val="21"/>
                <w:szCs w:val="21"/>
                <w:highlight w:val="none"/>
              </w:rPr>
            </w:pPr>
          </w:p>
        </w:tc>
        <w:tc>
          <w:tcPr>
            <w:tcW w:w="619" w:type="pct"/>
            <w:vMerge w:val="continue"/>
            <w:vAlign w:val="center"/>
          </w:tcPr>
          <w:p w14:paraId="4B461965">
            <w:pPr>
              <w:pStyle w:val="1556"/>
              <w:spacing w:beforeLines="0" w:afterLines="0" w:line="240" w:lineRule="auto"/>
              <w:ind w:firstLine="0"/>
              <w:jc w:val="center"/>
              <w:rPr>
                <w:rFonts w:ascii="Times New Roman" w:hAnsi="Times New Roman"/>
                <w:b/>
                <w:color w:val="auto"/>
                <w:sz w:val="21"/>
                <w:szCs w:val="21"/>
                <w:highlight w:val="none"/>
              </w:rPr>
            </w:pPr>
          </w:p>
        </w:tc>
        <w:tc>
          <w:tcPr>
            <w:tcW w:w="616" w:type="pct"/>
            <w:vMerge w:val="continue"/>
            <w:vAlign w:val="center"/>
          </w:tcPr>
          <w:p w14:paraId="5B491966">
            <w:pPr>
              <w:pStyle w:val="1556"/>
              <w:spacing w:beforeLines="0" w:afterLines="0" w:line="240" w:lineRule="auto"/>
              <w:ind w:firstLine="0"/>
              <w:jc w:val="center"/>
              <w:rPr>
                <w:rFonts w:ascii="Times New Roman" w:hAnsi="Times New Roman"/>
                <w:b/>
                <w:color w:val="auto"/>
                <w:sz w:val="21"/>
                <w:szCs w:val="21"/>
                <w:highlight w:val="none"/>
              </w:rPr>
            </w:pPr>
          </w:p>
        </w:tc>
        <w:tc>
          <w:tcPr>
            <w:tcW w:w="651" w:type="pct"/>
            <w:vAlign w:val="center"/>
          </w:tcPr>
          <w:p w14:paraId="1E603280">
            <w:pPr>
              <w:pStyle w:val="1556"/>
              <w:spacing w:beforeLines="0" w:afterLines="0" w:line="240" w:lineRule="auto"/>
              <w:ind w:firstLine="0"/>
              <w:jc w:val="center"/>
              <w:rPr>
                <w:rFonts w:ascii="Times New Roman" w:hAnsi="Times New Roman"/>
                <w:b/>
                <w:color w:val="auto"/>
                <w:sz w:val="21"/>
                <w:szCs w:val="21"/>
                <w:highlight w:val="none"/>
              </w:rPr>
            </w:pPr>
            <w:r>
              <w:rPr>
                <w:rFonts w:ascii="Times New Roman" w:hAnsi="Times New Roman"/>
                <w:b/>
                <w:color w:val="auto"/>
                <w:sz w:val="21"/>
                <w:szCs w:val="21"/>
                <w:highlight w:val="none"/>
              </w:rPr>
              <w:t>经度</w:t>
            </w:r>
          </w:p>
        </w:tc>
        <w:tc>
          <w:tcPr>
            <w:tcW w:w="589" w:type="pct"/>
            <w:vAlign w:val="center"/>
          </w:tcPr>
          <w:p w14:paraId="6B7E272C">
            <w:pPr>
              <w:pStyle w:val="1556"/>
              <w:spacing w:beforeLines="0" w:afterLines="0" w:line="240" w:lineRule="auto"/>
              <w:ind w:firstLine="0"/>
              <w:jc w:val="center"/>
              <w:rPr>
                <w:rFonts w:ascii="Times New Roman" w:hAnsi="Times New Roman"/>
                <w:b/>
                <w:color w:val="auto"/>
                <w:sz w:val="21"/>
                <w:szCs w:val="21"/>
                <w:highlight w:val="none"/>
              </w:rPr>
            </w:pPr>
            <w:r>
              <w:rPr>
                <w:rFonts w:ascii="Times New Roman" w:hAnsi="Times New Roman"/>
                <w:b/>
                <w:color w:val="auto"/>
                <w:sz w:val="21"/>
                <w:szCs w:val="21"/>
                <w:highlight w:val="none"/>
              </w:rPr>
              <w:t>纬度</w:t>
            </w:r>
          </w:p>
        </w:tc>
        <w:tc>
          <w:tcPr>
            <w:tcW w:w="592" w:type="pct"/>
            <w:vMerge w:val="continue"/>
            <w:vAlign w:val="center"/>
          </w:tcPr>
          <w:p w14:paraId="61B1B88C">
            <w:pPr>
              <w:pStyle w:val="1556"/>
              <w:spacing w:beforeLines="0" w:afterLines="0" w:line="240" w:lineRule="auto"/>
              <w:ind w:firstLine="0"/>
              <w:jc w:val="center"/>
              <w:rPr>
                <w:rFonts w:ascii="Times New Roman" w:hAnsi="Times New Roman"/>
                <w:b/>
                <w:color w:val="auto"/>
                <w:sz w:val="21"/>
                <w:szCs w:val="21"/>
                <w:highlight w:val="none"/>
              </w:rPr>
            </w:pPr>
          </w:p>
        </w:tc>
        <w:tc>
          <w:tcPr>
            <w:tcW w:w="706" w:type="pct"/>
            <w:vMerge w:val="continue"/>
            <w:vAlign w:val="center"/>
          </w:tcPr>
          <w:p w14:paraId="7A01AC8C">
            <w:pPr>
              <w:pStyle w:val="1556"/>
              <w:spacing w:beforeLines="0" w:afterLines="0" w:line="240" w:lineRule="auto"/>
              <w:ind w:firstLine="0"/>
              <w:jc w:val="center"/>
              <w:rPr>
                <w:rFonts w:ascii="Times New Roman" w:hAnsi="Times New Roman"/>
                <w:b/>
                <w:color w:val="auto"/>
                <w:sz w:val="21"/>
                <w:szCs w:val="21"/>
                <w:highlight w:val="none"/>
              </w:rPr>
            </w:pPr>
          </w:p>
        </w:tc>
        <w:tc>
          <w:tcPr>
            <w:tcW w:w="609" w:type="pct"/>
            <w:vMerge w:val="continue"/>
            <w:vAlign w:val="center"/>
          </w:tcPr>
          <w:p w14:paraId="2D4560F6">
            <w:pPr>
              <w:pStyle w:val="1556"/>
              <w:spacing w:beforeLines="0" w:afterLines="0" w:line="240" w:lineRule="auto"/>
              <w:ind w:firstLine="0"/>
              <w:jc w:val="center"/>
              <w:rPr>
                <w:rFonts w:ascii="Times New Roman" w:hAnsi="Times New Roman"/>
                <w:b/>
                <w:color w:val="auto"/>
                <w:sz w:val="21"/>
                <w:szCs w:val="21"/>
                <w:highlight w:val="none"/>
              </w:rPr>
            </w:pPr>
          </w:p>
        </w:tc>
      </w:tr>
      <w:tr w14:paraId="5379BF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5" w:type="pct"/>
            <w:vAlign w:val="center"/>
          </w:tcPr>
          <w:p w14:paraId="3C11D2B1">
            <w:pPr>
              <w:pStyle w:val="1556"/>
              <w:spacing w:beforeLines="0" w:afterLines="0" w:line="240" w:lineRule="auto"/>
              <w:ind w:firstLine="0"/>
              <w:jc w:val="center"/>
              <w:rPr>
                <w:rFonts w:ascii="Times New Roman" w:hAnsi="Times New Roman"/>
                <w:bCs/>
                <w:color w:val="auto"/>
                <w:sz w:val="21"/>
                <w:szCs w:val="21"/>
                <w:highlight w:val="none"/>
              </w:rPr>
            </w:pPr>
            <w:r>
              <w:rPr>
                <w:rFonts w:ascii="Times New Roman" w:hAnsi="Times New Roman"/>
                <w:bCs/>
                <w:color w:val="auto"/>
                <w:sz w:val="21"/>
                <w:szCs w:val="21"/>
                <w:highlight w:val="none"/>
              </w:rPr>
              <w:t>钦州</w:t>
            </w:r>
          </w:p>
        </w:tc>
        <w:tc>
          <w:tcPr>
            <w:tcW w:w="619" w:type="pct"/>
            <w:vAlign w:val="center"/>
          </w:tcPr>
          <w:p w14:paraId="12CCA31A">
            <w:pPr>
              <w:pStyle w:val="1556"/>
              <w:spacing w:beforeLines="0" w:afterLines="0" w:line="240" w:lineRule="auto"/>
              <w:ind w:firstLine="0"/>
              <w:jc w:val="center"/>
              <w:rPr>
                <w:rFonts w:ascii="Times New Roman" w:hAnsi="Times New Roman"/>
                <w:bCs/>
                <w:color w:val="auto"/>
                <w:sz w:val="21"/>
                <w:szCs w:val="21"/>
                <w:highlight w:val="none"/>
              </w:rPr>
            </w:pPr>
            <w:r>
              <w:rPr>
                <w:rFonts w:ascii="Times New Roman" w:hAnsi="Times New Roman"/>
                <w:bCs/>
                <w:color w:val="auto"/>
                <w:sz w:val="21"/>
                <w:szCs w:val="21"/>
                <w:highlight w:val="none"/>
              </w:rPr>
              <w:t>59632</w:t>
            </w:r>
          </w:p>
        </w:tc>
        <w:tc>
          <w:tcPr>
            <w:tcW w:w="616" w:type="pct"/>
            <w:vAlign w:val="center"/>
          </w:tcPr>
          <w:p w14:paraId="4F99C4E8">
            <w:pPr>
              <w:pStyle w:val="1556"/>
              <w:spacing w:beforeLines="0" w:afterLines="0" w:line="240" w:lineRule="auto"/>
              <w:ind w:firstLine="0"/>
              <w:jc w:val="center"/>
              <w:rPr>
                <w:rFonts w:ascii="Times New Roman" w:hAnsi="Times New Roman"/>
                <w:bCs/>
                <w:color w:val="auto"/>
                <w:sz w:val="21"/>
                <w:szCs w:val="21"/>
                <w:highlight w:val="none"/>
              </w:rPr>
            </w:pPr>
            <w:r>
              <w:rPr>
                <w:rFonts w:ascii="Times New Roman" w:hAnsi="Times New Roman"/>
                <w:bCs/>
                <w:color w:val="auto"/>
                <w:sz w:val="21"/>
                <w:szCs w:val="21"/>
                <w:highlight w:val="none"/>
              </w:rPr>
              <w:t>基本站</w:t>
            </w:r>
          </w:p>
        </w:tc>
        <w:tc>
          <w:tcPr>
            <w:tcW w:w="651" w:type="pct"/>
            <w:vAlign w:val="center"/>
          </w:tcPr>
          <w:p w14:paraId="5923D56A">
            <w:pPr>
              <w:pStyle w:val="1556"/>
              <w:spacing w:beforeLines="0" w:afterLines="0" w:line="240" w:lineRule="auto"/>
              <w:ind w:firstLine="0"/>
              <w:jc w:val="center"/>
              <w:rPr>
                <w:rFonts w:ascii="Times New Roman" w:hAnsi="Times New Roman"/>
                <w:bCs/>
                <w:color w:val="auto"/>
                <w:sz w:val="21"/>
                <w:szCs w:val="21"/>
                <w:highlight w:val="none"/>
              </w:rPr>
            </w:pPr>
            <w:r>
              <w:rPr>
                <w:rFonts w:ascii="Times New Roman" w:hAnsi="Times New Roman"/>
                <w:bCs/>
                <w:color w:val="auto"/>
                <w:sz w:val="21"/>
                <w:szCs w:val="21"/>
                <w:highlight w:val="none"/>
              </w:rPr>
              <w:t>108.61667</w:t>
            </w:r>
          </w:p>
        </w:tc>
        <w:tc>
          <w:tcPr>
            <w:tcW w:w="589" w:type="pct"/>
            <w:vAlign w:val="center"/>
          </w:tcPr>
          <w:p w14:paraId="4EBF3B3E">
            <w:pPr>
              <w:pStyle w:val="1556"/>
              <w:spacing w:beforeLines="0" w:afterLines="0" w:line="240" w:lineRule="auto"/>
              <w:ind w:firstLine="0"/>
              <w:jc w:val="center"/>
              <w:rPr>
                <w:rFonts w:ascii="Times New Roman" w:hAnsi="Times New Roman"/>
                <w:bCs/>
                <w:color w:val="auto"/>
                <w:sz w:val="21"/>
                <w:szCs w:val="21"/>
                <w:highlight w:val="none"/>
              </w:rPr>
            </w:pPr>
            <w:r>
              <w:rPr>
                <w:rFonts w:ascii="Times New Roman" w:hAnsi="Times New Roman"/>
                <w:bCs/>
                <w:color w:val="auto"/>
                <w:sz w:val="21"/>
                <w:szCs w:val="21"/>
                <w:highlight w:val="none"/>
              </w:rPr>
              <w:t>21.95000</w:t>
            </w:r>
          </w:p>
        </w:tc>
        <w:tc>
          <w:tcPr>
            <w:tcW w:w="592" w:type="pct"/>
            <w:vAlign w:val="center"/>
          </w:tcPr>
          <w:p w14:paraId="19509D68">
            <w:pPr>
              <w:pStyle w:val="1556"/>
              <w:spacing w:beforeLines="0" w:afterLines="0" w:line="240" w:lineRule="auto"/>
              <w:ind w:firstLine="0"/>
              <w:jc w:val="center"/>
              <w:rPr>
                <w:rFonts w:ascii="Times New Roman" w:hAnsi="Times New Roman"/>
                <w:bCs/>
                <w:color w:val="auto"/>
                <w:sz w:val="21"/>
                <w:szCs w:val="21"/>
                <w:highlight w:val="none"/>
              </w:rPr>
            </w:pPr>
            <w:r>
              <w:rPr>
                <w:rFonts w:ascii="Times New Roman" w:hAnsi="Times New Roman"/>
                <w:bCs/>
                <w:color w:val="auto"/>
                <w:sz w:val="21"/>
                <w:szCs w:val="21"/>
                <w:highlight w:val="none"/>
              </w:rPr>
              <w:t>6</w:t>
            </w:r>
          </w:p>
        </w:tc>
        <w:tc>
          <w:tcPr>
            <w:tcW w:w="706" w:type="pct"/>
            <w:vAlign w:val="center"/>
          </w:tcPr>
          <w:p w14:paraId="44B35721">
            <w:pPr>
              <w:pStyle w:val="1556"/>
              <w:spacing w:beforeLines="0" w:afterLines="0" w:line="240" w:lineRule="auto"/>
              <w:ind w:firstLine="0"/>
              <w:jc w:val="center"/>
              <w:rPr>
                <w:rFonts w:ascii="Times New Roman" w:hAnsi="Times New Roman"/>
                <w:bCs/>
                <w:color w:val="auto"/>
                <w:sz w:val="21"/>
                <w:szCs w:val="21"/>
                <w:highlight w:val="none"/>
              </w:rPr>
            </w:pPr>
            <w:r>
              <w:rPr>
                <w:rFonts w:ascii="Times New Roman" w:hAnsi="Times New Roman"/>
                <w:bCs/>
                <w:color w:val="auto"/>
                <w:sz w:val="21"/>
                <w:szCs w:val="21"/>
                <w:highlight w:val="none"/>
              </w:rPr>
              <w:t>北/39km</w:t>
            </w:r>
          </w:p>
        </w:tc>
        <w:tc>
          <w:tcPr>
            <w:tcW w:w="609" w:type="pct"/>
            <w:vAlign w:val="center"/>
          </w:tcPr>
          <w:p w14:paraId="2F22573E">
            <w:pPr>
              <w:pStyle w:val="1556"/>
              <w:spacing w:beforeLines="0" w:afterLines="0" w:line="240" w:lineRule="auto"/>
              <w:ind w:firstLine="0"/>
              <w:jc w:val="center"/>
              <w:rPr>
                <w:rFonts w:ascii="Times New Roman" w:hAnsi="Times New Roman"/>
                <w:bCs/>
                <w:color w:val="auto"/>
                <w:sz w:val="21"/>
                <w:szCs w:val="21"/>
                <w:highlight w:val="none"/>
              </w:rPr>
            </w:pPr>
            <w:r>
              <w:rPr>
                <w:rFonts w:ascii="Times New Roman" w:hAnsi="Times New Roman"/>
                <w:bCs/>
                <w:color w:val="auto"/>
                <w:sz w:val="21"/>
                <w:szCs w:val="21"/>
                <w:highlight w:val="none"/>
              </w:rPr>
              <w:t>2024</w:t>
            </w:r>
          </w:p>
        </w:tc>
      </w:tr>
    </w:tbl>
    <w:p w14:paraId="00B7C413">
      <w:pPr>
        <w:spacing w:line="240" w:lineRule="auto"/>
        <w:ind w:firstLine="0" w:firstLineChars="0"/>
        <w:jc w:val="center"/>
        <w:rPr>
          <w:b/>
          <w:bCs/>
          <w:color w:val="auto"/>
          <w:sz w:val="21"/>
          <w:szCs w:val="21"/>
          <w:highlight w:val="none"/>
        </w:rPr>
      </w:pPr>
    </w:p>
    <w:p w14:paraId="24E9B391">
      <w:pPr>
        <w:spacing w:line="240" w:lineRule="auto"/>
        <w:ind w:firstLine="0" w:firstLineChars="0"/>
        <w:jc w:val="center"/>
        <w:rPr>
          <w:b/>
          <w:bCs/>
          <w:color w:val="auto"/>
          <w:sz w:val="21"/>
          <w:szCs w:val="21"/>
          <w:highlight w:val="none"/>
        </w:rPr>
      </w:pPr>
      <w:r>
        <w:rPr>
          <w:b/>
          <w:bCs/>
          <w:color w:val="auto"/>
          <w:sz w:val="21"/>
          <w:szCs w:val="21"/>
          <w:highlight w:val="none"/>
        </w:rPr>
        <w:t>表4.2-3 模拟气象数据信息</w:t>
      </w:r>
    </w:p>
    <w:tbl>
      <w:tblPr>
        <w:tblStyle w:val="9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70"/>
        <w:gridCol w:w="1519"/>
        <w:gridCol w:w="1363"/>
        <w:gridCol w:w="1547"/>
        <w:gridCol w:w="1656"/>
        <w:gridCol w:w="1433"/>
      </w:tblGrid>
      <w:tr w14:paraId="33EF6A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953" w:type="pct"/>
            <w:vMerge w:val="restart"/>
            <w:vAlign w:val="center"/>
          </w:tcPr>
          <w:p w14:paraId="349A9107">
            <w:pPr>
              <w:pStyle w:val="1556"/>
              <w:spacing w:beforeLines="0" w:afterLines="0" w:line="240" w:lineRule="auto"/>
              <w:ind w:firstLine="0"/>
              <w:jc w:val="center"/>
              <w:rPr>
                <w:rFonts w:ascii="Times New Roman" w:hAnsi="Times New Roman"/>
                <w:b/>
                <w:color w:val="auto"/>
                <w:sz w:val="21"/>
                <w:szCs w:val="21"/>
                <w:highlight w:val="none"/>
              </w:rPr>
            </w:pPr>
            <w:r>
              <w:rPr>
                <w:rFonts w:ascii="Times New Roman" w:hAnsi="Times New Roman"/>
                <w:b/>
                <w:color w:val="auto"/>
                <w:sz w:val="21"/>
                <w:szCs w:val="21"/>
                <w:highlight w:val="none"/>
              </w:rPr>
              <w:t>模拟网格点编号</w:t>
            </w:r>
          </w:p>
        </w:tc>
        <w:tc>
          <w:tcPr>
            <w:tcW w:w="1550" w:type="pct"/>
            <w:gridSpan w:val="2"/>
            <w:vAlign w:val="center"/>
          </w:tcPr>
          <w:p w14:paraId="28BA863C">
            <w:pPr>
              <w:pStyle w:val="1556"/>
              <w:spacing w:beforeLines="0" w:afterLines="0" w:line="240" w:lineRule="auto"/>
              <w:ind w:firstLine="0"/>
              <w:jc w:val="center"/>
              <w:rPr>
                <w:rFonts w:ascii="Times New Roman" w:hAnsi="Times New Roman"/>
                <w:b/>
                <w:color w:val="auto"/>
                <w:sz w:val="21"/>
                <w:szCs w:val="21"/>
                <w:highlight w:val="none"/>
              </w:rPr>
            </w:pPr>
            <w:r>
              <w:rPr>
                <w:rFonts w:ascii="Times New Roman" w:hAnsi="Times New Roman"/>
                <w:b/>
                <w:color w:val="auto"/>
                <w:sz w:val="21"/>
                <w:szCs w:val="21"/>
                <w:highlight w:val="none"/>
              </w:rPr>
              <w:t>模拟点坐标</w:t>
            </w:r>
          </w:p>
        </w:tc>
        <w:tc>
          <w:tcPr>
            <w:tcW w:w="832" w:type="pct"/>
            <w:vMerge w:val="restart"/>
            <w:vAlign w:val="center"/>
          </w:tcPr>
          <w:p w14:paraId="16BC6EF9">
            <w:pPr>
              <w:pStyle w:val="1556"/>
              <w:spacing w:beforeLines="0" w:afterLines="0" w:line="240" w:lineRule="auto"/>
              <w:ind w:firstLine="0"/>
              <w:jc w:val="center"/>
              <w:rPr>
                <w:rFonts w:ascii="Times New Roman" w:hAnsi="Times New Roman"/>
                <w:b/>
                <w:color w:val="auto"/>
                <w:sz w:val="21"/>
                <w:szCs w:val="21"/>
                <w:highlight w:val="none"/>
              </w:rPr>
            </w:pPr>
            <w:r>
              <w:rPr>
                <w:rFonts w:ascii="Times New Roman" w:hAnsi="Times New Roman"/>
                <w:b/>
                <w:color w:val="auto"/>
                <w:sz w:val="21"/>
                <w:szCs w:val="21"/>
                <w:highlight w:val="none"/>
              </w:rPr>
              <w:t>海拔高度/m</w:t>
            </w:r>
          </w:p>
        </w:tc>
        <w:tc>
          <w:tcPr>
            <w:tcW w:w="891" w:type="pct"/>
            <w:vMerge w:val="restart"/>
            <w:vAlign w:val="center"/>
          </w:tcPr>
          <w:p w14:paraId="55FA0702">
            <w:pPr>
              <w:pStyle w:val="1556"/>
              <w:spacing w:beforeLines="0" w:afterLines="0" w:line="240" w:lineRule="auto"/>
              <w:ind w:firstLine="0"/>
              <w:jc w:val="center"/>
              <w:rPr>
                <w:rFonts w:ascii="Times New Roman" w:hAnsi="Times New Roman"/>
                <w:b/>
                <w:color w:val="auto"/>
                <w:sz w:val="21"/>
                <w:szCs w:val="21"/>
                <w:highlight w:val="none"/>
              </w:rPr>
            </w:pPr>
            <w:r>
              <w:rPr>
                <w:rFonts w:ascii="Times New Roman" w:hAnsi="Times New Roman"/>
                <w:b/>
                <w:color w:val="auto"/>
                <w:sz w:val="21"/>
                <w:szCs w:val="21"/>
                <w:highlight w:val="none"/>
              </w:rPr>
              <w:t>相对方位/距离</w:t>
            </w:r>
          </w:p>
        </w:tc>
        <w:tc>
          <w:tcPr>
            <w:tcW w:w="771" w:type="pct"/>
            <w:vMerge w:val="restart"/>
            <w:vAlign w:val="center"/>
          </w:tcPr>
          <w:p w14:paraId="73EBB0ED">
            <w:pPr>
              <w:pStyle w:val="1556"/>
              <w:spacing w:beforeLines="0" w:afterLines="0" w:line="240" w:lineRule="auto"/>
              <w:ind w:firstLine="0"/>
              <w:jc w:val="center"/>
              <w:rPr>
                <w:rFonts w:ascii="Times New Roman" w:hAnsi="Times New Roman"/>
                <w:b/>
                <w:color w:val="auto"/>
                <w:sz w:val="21"/>
                <w:szCs w:val="21"/>
                <w:highlight w:val="none"/>
              </w:rPr>
            </w:pPr>
            <w:r>
              <w:rPr>
                <w:rFonts w:ascii="Times New Roman" w:hAnsi="Times New Roman"/>
                <w:b/>
                <w:color w:val="auto"/>
                <w:sz w:val="21"/>
                <w:szCs w:val="21"/>
                <w:highlight w:val="none"/>
              </w:rPr>
              <w:t>数据年限</w:t>
            </w:r>
          </w:p>
        </w:tc>
      </w:tr>
      <w:tr w14:paraId="08772C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3" w:type="pct"/>
            <w:vMerge w:val="continue"/>
            <w:vAlign w:val="center"/>
          </w:tcPr>
          <w:p w14:paraId="02D4F097">
            <w:pPr>
              <w:pStyle w:val="1556"/>
              <w:spacing w:beforeLines="0" w:afterLines="0" w:line="240" w:lineRule="auto"/>
              <w:ind w:firstLine="0"/>
              <w:jc w:val="center"/>
              <w:rPr>
                <w:rFonts w:ascii="Times New Roman" w:hAnsi="Times New Roman"/>
                <w:b/>
                <w:color w:val="auto"/>
                <w:sz w:val="21"/>
                <w:szCs w:val="21"/>
                <w:highlight w:val="none"/>
              </w:rPr>
            </w:pPr>
          </w:p>
        </w:tc>
        <w:tc>
          <w:tcPr>
            <w:tcW w:w="817" w:type="pct"/>
            <w:vAlign w:val="center"/>
          </w:tcPr>
          <w:p w14:paraId="3E1E86A8">
            <w:pPr>
              <w:pStyle w:val="1556"/>
              <w:spacing w:beforeLines="0" w:afterLines="0" w:line="240" w:lineRule="auto"/>
              <w:ind w:firstLine="0"/>
              <w:jc w:val="center"/>
              <w:rPr>
                <w:rFonts w:ascii="Times New Roman" w:hAnsi="Times New Roman"/>
                <w:b/>
                <w:color w:val="auto"/>
                <w:sz w:val="21"/>
                <w:szCs w:val="21"/>
                <w:highlight w:val="none"/>
              </w:rPr>
            </w:pPr>
            <w:r>
              <w:rPr>
                <w:rFonts w:ascii="Times New Roman" w:hAnsi="Times New Roman"/>
                <w:b/>
                <w:color w:val="auto"/>
                <w:sz w:val="21"/>
                <w:szCs w:val="21"/>
                <w:highlight w:val="none"/>
              </w:rPr>
              <w:t>经度</w:t>
            </w:r>
          </w:p>
        </w:tc>
        <w:tc>
          <w:tcPr>
            <w:tcW w:w="732" w:type="pct"/>
            <w:vAlign w:val="center"/>
          </w:tcPr>
          <w:p w14:paraId="34209E8C">
            <w:pPr>
              <w:pStyle w:val="1556"/>
              <w:spacing w:beforeLines="0" w:afterLines="0" w:line="240" w:lineRule="auto"/>
              <w:ind w:firstLine="0"/>
              <w:jc w:val="center"/>
              <w:rPr>
                <w:rFonts w:ascii="Times New Roman" w:hAnsi="Times New Roman"/>
                <w:b/>
                <w:color w:val="auto"/>
                <w:sz w:val="21"/>
                <w:szCs w:val="21"/>
                <w:highlight w:val="none"/>
              </w:rPr>
            </w:pPr>
            <w:r>
              <w:rPr>
                <w:rFonts w:ascii="Times New Roman" w:hAnsi="Times New Roman"/>
                <w:b/>
                <w:color w:val="auto"/>
                <w:sz w:val="21"/>
                <w:szCs w:val="21"/>
                <w:highlight w:val="none"/>
              </w:rPr>
              <w:t>纬度</w:t>
            </w:r>
          </w:p>
        </w:tc>
        <w:tc>
          <w:tcPr>
            <w:tcW w:w="832" w:type="pct"/>
            <w:vMerge w:val="continue"/>
            <w:vAlign w:val="center"/>
          </w:tcPr>
          <w:p w14:paraId="626F1E39">
            <w:pPr>
              <w:pStyle w:val="1556"/>
              <w:spacing w:beforeLines="0" w:afterLines="0" w:line="240" w:lineRule="auto"/>
              <w:ind w:firstLine="0"/>
              <w:jc w:val="center"/>
              <w:rPr>
                <w:rFonts w:ascii="Times New Roman" w:hAnsi="Times New Roman"/>
                <w:b/>
                <w:color w:val="auto"/>
                <w:sz w:val="21"/>
                <w:szCs w:val="21"/>
                <w:highlight w:val="none"/>
              </w:rPr>
            </w:pPr>
          </w:p>
        </w:tc>
        <w:tc>
          <w:tcPr>
            <w:tcW w:w="891" w:type="pct"/>
            <w:vMerge w:val="continue"/>
            <w:vAlign w:val="center"/>
          </w:tcPr>
          <w:p w14:paraId="5BE767D7">
            <w:pPr>
              <w:pStyle w:val="1556"/>
              <w:spacing w:beforeLines="0" w:afterLines="0" w:line="240" w:lineRule="auto"/>
              <w:ind w:firstLine="0"/>
              <w:jc w:val="center"/>
              <w:rPr>
                <w:rFonts w:ascii="Times New Roman" w:hAnsi="Times New Roman"/>
                <w:b/>
                <w:color w:val="auto"/>
                <w:sz w:val="21"/>
                <w:szCs w:val="21"/>
                <w:highlight w:val="none"/>
              </w:rPr>
            </w:pPr>
          </w:p>
        </w:tc>
        <w:tc>
          <w:tcPr>
            <w:tcW w:w="771" w:type="pct"/>
            <w:vMerge w:val="continue"/>
            <w:vAlign w:val="center"/>
          </w:tcPr>
          <w:p w14:paraId="57879BF7">
            <w:pPr>
              <w:pStyle w:val="1556"/>
              <w:spacing w:beforeLines="0" w:afterLines="0" w:line="240" w:lineRule="auto"/>
              <w:ind w:firstLine="0"/>
              <w:jc w:val="center"/>
              <w:rPr>
                <w:rFonts w:ascii="Times New Roman" w:hAnsi="Times New Roman"/>
                <w:b/>
                <w:color w:val="auto"/>
                <w:sz w:val="21"/>
                <w:szCs w:val="21"/>
                <w:highlight w:val="none"/>
              </w:rPr>
            </w:pPr>
          </w:p>
        </w:tc>
      </w:tr>
      <w:tr w14:paraId="700A28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3" w:type="pct"/>
            <w:vAlign w:val="center"/>
          </w:tcPr>
          <w:p w14:paraId="5EE18F9D">
            <w:pPr>
              <w:pStyle w:val="1556"/>
              <w:spacing w:beforeLines="0" w:afterLines="0" w:line="240" w:lineRule="auto"/>
              <w:ind w:firstLine="0"/>
              <w:jc w:val="center"/>
              <w:rPr>
                <w:rFonts w:ascii="Times New Roman" w:hAnsi="Times New Roman"/>
                <w:bCs/>
                <w:color w:val="auto"/>
                <w:sz w:val="21"/>
                <w:szCs w:val="21"/>
                <w:highlight w:val="none"/>
              </w:rPr>
            </w:pPr>
            <w:r>
              <w:rPr>
                <w:rFonts w:ascii="Times New Roman" w:hAnsi="Times New Roman"/>
                <w:bCs/>
                <w:color w:val="auto"/>
                <w:sz w:val="21"/>
                <w:szCs w:val="21"/>
                <w:highlight w:val="none"/>
              </w:rPr>
              <w:t>121023</w:t>
            </w:r>
          </w:p>
        </w:tc>
        <w:tc>
          <w:tcPr>
            <w:tcW w:w="817" w:type="pct"/>
            <w:vAlign w:val="center"/>
          </w:tcPr>
          <w:p w14:paraId="0E4F7046">
            <w:pPr>
              <w:pStyle w:val="1556"/>
              <w:spacing w:beforeLines="0" w:afterLines="0" w:line="240" w:lineRule="auto"/>
              <w:ind w:firstLine="0"/>
              <w:jc w:val="center"/>
              <w:rPr>
                <w:rFonts w:ascii="Times New Roman" w:hAnsi="Times New Roman"/>
                <w:bCs/>
                <w:color w:val="auto"/>
                <w:sz w:val="21"/>
                <w:szCs w:val="21"/>
                <w:highlight w:val="none"/>
              </w:rPr>
            </w:pPr>
            <w:r>
              <w:rPr>
                <w:rFonts w:ascii="Times New Roman" w:hAnsi="Times New Roman"/>
                <w:bCs/>
                <w:color w:val="auto"/>
                <w:sz w:val="21"/>
                <w:szCs w:val="21"/>
                <w:highlight w:val="none"/>
              </w:rPr>
              <w:t>108.75300</w:t>
            </w:r>
          </w:p>
        </w:tc>
        <w:tc>
          <w:tcPr>
            <w:tcW w:w="732" w:type="pct"/>
            <w:vAlign w:val="center"/>
          </w:tcPr>
          <w:p w14:paraId="1892F909">
            <w:pPr>
              <w:pStyle w:val="1556"/>
              <w:spacing w:beforeLines="0" w:afterLines="0" w:line="240" w:lineRule="auto"/>
              <w:ind w:firstLine="0"/>
              <w:jc w:val="center"/>
              <w:rPr>
                <w:rFonts w:ascii="Times New Roman" w:hAnsi="Times New Roman"/>
                <w:bCs/>
                <w:color w:val="auto"/>
                <w:sz w:val="21"/>
                <w:szCs w:val="21"/>
                <w:highlight w:val="none"/>
              </w:rPr>
            </w:pPr>
            <w:r>
              <w:rPr>
                <w:rFonts w:ascii="Times New Roman" w:hAnsi="Times New Roman"/>
                <w:bCs/>
                <w:color w:val="auto"/>
                <w:sz w:val="21"/>
                <w:szCs w:val="21"/>
                <w:highlight w:val="none"/>
              </w:rPr>
              <w:t>21.79930</w:t>
            </w:r>
          </w:p>
        </w:tc>
        <w:tc>
          <w:tcPr>
            <w:tcW w:w="832" w:type="pct"/>
            <w:vAlign w:val="center"/>
          </w:tcPr>
          <w:p w14:paraId="59688C4F">
            <w:pPr>
              <w:pStyle w:val="1556"/>
              <w:spacing w:beforeLines="0" w:afterLines="0" w:line="240" w:lineRule="auto"/>
              <w:ind w:firstLine="0"/>
              <w:jc w:val="center"/>
              <w:rPr>
                <w:rFonts w:ascii="Times New Roman" w:hAnsi="Times New Roman"/>
                <w:bCs/>
                <w:color w:val="auto"/>
                <w:sz w:val="21"/>
                <w:szCs w:val="21"/>
                <w:highlight w:val="none"/>
              </w:rPr>
            </w:pPr>
            <w:r>
              <w:rPr>
                <w:rFonts w:ascii="Times New Roman" w:hAnsi="Times New Roman"/>
                <w:bCs/>
                <w:color w:val="auto"/>
                <w:sz w:val="21"/>
                <w:szCs w:val="21"/>
                <w:highlight w:val="none"/>
              </w:rPr>
              <w:t>11</w:t>
            </w:r>
          </w:p>
        </w:tc>
        <w:tc>
          <w:tcPr>
            <w:tcW w:w="891" w:type="pct"/>
            <w:vAlign w:val="center"/>
          </w:tcPr>
          <w:p w14:paraId="1ADB9BD4">
            <w:pPr>
              <w:pStyle w:val="1556"/>
              <w:spacing w:beforeLines="0" w:afterLines="0" w:line="240" w:lineRule="auto"/>
              <w:ind w:firstLine="0"/>
              <w:jc w:val="center"/>
              <w:rPr>
                <w:rFonts w:ascii="Times New Roman" w:hAnsi="Times New Roman"/>
                <w:bCs/>
                <w:color w:val="auto"/>
                <w:sz w:val="21"/>
                <w:szCs w:val="21"/>
                <w:highlight w:val="none"/>
              </w:rPr>
            </w:pPr>
            <w:r>
              <w:rPr>
                <w:rFonts w:ascii="Times New Roman" w:hAnsi="Times New Roman"/>
                <w:bCs/>
                <w:color w:val="auto"/>
                <w:sz w:val="21"/>
                <w:szCs w:val="21"/>
                <w:highlight w:val="none"/>
              </w:rPr>
              <w:t>北/23.7km</w:t>
            </w:r>
          </w:p>
        </w:tc>
        <w:tc>
          <w:tcPr>
            <w:tcW w:w="771" w:type="pct"/>
            <w:vAlign w:val="center"/>
          </w:tcPr>
          <w:p w14:paraId="75F5C16B">
            <w:pPr>
              <w:pStyle w:val="1556"/>
              <w:spacing w:beforeLines="0" w:afterLines="0" w:line="240" w:lineRule="auto"/>
              <w:ind w:firstLine="0"/>
              <w:jc w:val="center"/>
              <w:rPr>
                <w:rFonts w:ascii="Times New Roman" w:hAnsi="Times New Roman"/>
                <w:bCs/>
                <w:color w:val="auto"/>
                <w:sz w:val="21"/>
                <w:szCs w:val="21"/>
                <w:highlight w:val="none"/>
              </w:rPr>
            </w:pPr>
            <w:r>
              <w:rPr>
                <w:rFonts w:ascii="Times New Roman" w:hAnsi="Times New Roman"/>
                <w:bCs/>
                <w:color w:val="auto"/>
                <w:sz w:val="21"/>
                <w:szCs w:val="21"/>
                <w:highlight w:val="none"/>
              </w:rPr>
              <w:t>2024</w:t>
            </w:r>
          </w:p>
        </w:tc>
      </w:tr>
    </w:tbl>
    <w:p w14:paraId="50D0B3BC">
      <w:pPr>
        <w:spacing w:line="240" w:lineRule="auto"/>
        <w:ind w:firstLine="0" w:firstLineChars="0"/>
        <w:jc w:val="center"/>
        <w:rPr>
          <w:b/>
          <w:bCs/>
          <w:color w:val="auto"/>
          <w:sz w:val="21"/>
          <w:szCs w:val="21"/>
          <w:highlight w:val="none"/>
        </w:rPr>
      </w:pPr>
    </w:p>
    <w:p w14:paraId="718C1094">
      <w:pPr>
        <w:spacing w:line="240" w:lineRule="auto"/>
        <w:ind w:firstLine="0" w:firstLineChars="0"/>
        <w:jc w:val="center"/>
        <w:rPr>
          <w:b/>
          <w:bCs/>
          <w:color w:val="auto"/>
          <w:sz w:val="21"/>
          <w:szCs w:val="21"/>
          <w:highlight w:val="none"/>
        </w:rPr>
      </w:pPr>
      <w:r>
        <w:rPr>
          <w:b/>
          <w:bCs/>
          <w:color w:val="auto"/>
          <w:sz w:val="21"/>
          <w:szCs w:val="21"/>
          <w:highlight w:val="none"/>
        </w:rPr>
        <w:t>表4.2-4 钦州市2024年平均温度的月变化</w:t>
      </w:r>
    </w:p>
    <w:tbl>
      <w:tblPr>
        <w:tblStyle w:val="9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310"/>
        <w:gridCol w:w="649"/>
        <w:gridCol w:w="650"/>
        <w:gridCol w:w="650"/>
        <w:gridCol w:w="650"/>
        <w:gridCol w:w="650"/>
        <w:gridCol w:w="650"/>
        <w:gridCol w:w="650"/>
        <w:gridCol w:w="650"/>
        <w:gridCol w:w="650"/>
        <w:gridCol w:w="650"/>
        <w:gridCol w:w="650"/>
        <w:gridCol w:w="643"/>
      </w:tblGrid>
      <w:tr w14:paraId="5F2BED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720" w:type="pct"/>
            <w:noWrap/>
            <w:tcMar>
              <w:top w:w="15" w:type="dxa"/>
              <w:left w:w="15" w:type="dxa"/>
              <w:right w:w="15" w:type="dxa"/>
            </w:tcMar>
            <w:vAlign w:val="center"/>
          </w:tcPr>
          <w:p w14:paraId="25650371">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 xml:space="preserve">月份    </w:t>
            </w:r>
          </w:p>
        </w:tc>
        <w:tc>
          <w:tcPr>
            <w:tcW w:w="357" w:type="pct"/>
            <w:noWrap/>
            <w:tcMar>
              <w:top w:w="15" w:type="dxa"/>
              <w:left w:w="15" w:type="dxa"/>
              <w:right w:w="15" w:type="dxa"/>
            </w:tcMar>
            <w:vAlign w:val="center"/>
          </w:tcPr>
          <w:p w14:paraId="2F41BB53">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1月</w:t>
            </w:r>
          </w:p>
        </w:tc>
        <w:tc>
          <w:tcPr>
            <w:tcW w:w="357" w:type="pct"/>
            <w:noWrap/>
            <w:tcMar>
              <w:top w:w="15" w:type="dxa"/>
              <w:left w:w="15" w:type="dxa"/>
              <w:right w:w="15" w:type="dxa"/>
            </w:tcMar>
            <w:vAlign w:val="center"/>
          </w:tcPr>
          <w:p w14:paraId="07BC3E9D">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2月</w:t>
            </w:r>
          </w:p>
        </w:tc>
        <w:tc>
          <w:tcPr>
            <w:tcW w:w="357" w:type="pct"/>
            <w:noWrap/>
            <w:tcMar>
              <w:top w:w="15" w:type="dxa"/>
              <w:left w:w="15" w:type="dxa"/>
              <w:right w:w="15" w:type="dxa"/>
            </w:tcMar>
            <w:vAlign w:val="center"/>
          </w:tcPr>
          <w:p w14:paraId="5BBAD03F">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3月</w:t>
            </w:r>
          </w:p>
        </w:tc>
        <w:tc>
          <w:tcPr>
            <w:tcW w:w="357" w:type="pct"/>
            <w:noWrap/>
            <w:tcMar>
              <w:top w:w="15" w:type="dxa"/>
              <w:left w:w="15" w:type="dxa"/>
              <w:right w:w="15" w:type="dxa"/>
            </w:tcMar>
            <w:vAlign w:val="center"/>
          </w:tcPr>
          <w:p w14:paraId="28D3D81B">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4月</w:t>
            </w:r>
          </w:p>
        </w:tc>
        <w:tc>
          <w:tcPr>
            <w:tcW w:w="357" w:type="pct"/>
            <w:noWrap/>
            <w:tcMar>
              <w:top w:w="15" w:type="dxa"/>
              <w:left w:w="15" w:type="dxa"/>
              <w:right w:w="15" w:type="dxa"/>
            </w:tcMar>
            <w:vAlign w:val="center"/>
          </w:tcPr>
          <w:p w14:paraId="621647C4">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5月</w:t>
            </w:r>
          </w:p>
        </w:tc>
        <w:tc>
          <w:tcPr>
            <w:tcW w:w="357" w:type="pct"/>
            <w:noWrap/>
            <w:tcMar>
              <w:top w:w="15" w:type="dxa"/>
              <w:left w:w="15" w:type="dxa"/>
              <w:right w:w="15" w:type="dxa"/>
            </w:tcMar>
            <w:vAlign w:val="center"/>
          </w:tcPr>
          <w:p w14:paraId="0BCC20BE">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6月</w:t>
            </w:r>
          </w:p>
        </w:tc>
        <w:tc>
          <w:tcPr>
            <w:tcW w:w="357" w:type="pct"/>
            <w:noWrap/>
            <w:tcMar>
              <w:top w:w="15" w:type="dxa"/>
              <w:left w:w="15" w:type="dxa"/>
              <w:right w:w="15" w:type="dxa"/>
            </w:tcMar>
            <w:vAlign w:val="center"/>
          </w:tcPr>
          <w:p w14:paraId="3110DA23">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7月</w:t>
            </w:r>
          </w:p>
        </w:tc>
        <w:tc>
          <w:tcPr>
            <w:tcW w:w="357" w:type="pct"/>
            <w:noWrap/>
            <w:tcMar>
              <w:top w:w="15" w:type="dxa"/>
              <w:left w:w="15" w:type="dxa"/>
              <w:right w:w="15" w:type="dxa"/>
            </w:tcMar>
            <w:vAlign w:val="center"/>
          </w:tcPr>
          <w:p w14:paraId="6E8D44A2">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8月</w:t>
            </w:r>
          </w:p>
        </w:tc>
        <w:tc>
          <w:tcPr>
            <w:tcW w:w="357" w:type="pct"/>
            <w:noWrap/>
            <w:tcMar>
              <w:top w:w="15" w:type="dxa"/>
              <w:left w:w="15" w:type="dxa"/>
              <w:right w:w="15" w:type="dxa"/>
            </w:tcMar>
            <w:vAlign w:val="center"/>
          </w:tcPr>
          <w:p w14:paraId="3C8EE57A">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9月</w:t>
            </w:r>
          </w:p>
        </w:tc>
        <w:tc>
          <w:tcPr>
            <w:tcW w:w="357" w:type="pct"/>
            <w:noWrap/>
            <w:tcMar>
              <w:top w:w="15" w:type="dxa"/>
              <w:left w:w="15" w:type="dxa"/>
              <w:right w:w="15" w:type="dxa"/>
            </w:tcMar>
            <w:vAlign w:val="center"/>
          </w:tcPr>
          <w:p w14:paraId="51063F14">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10月</w:t>
            </w:r>
          </w:p>
        </w:tc>
        <w:tc>
          <w:tcPr>
            <w:tcW w:w="357" w:type="pct"/>
            <w:noWrap/>
            <w:tcMar>
              <w:top w:w="15" w:type="dxa"/>
              <w:left w:w="15" w:type="dxa"/>
              <w:right w:w="15" w:type="dxa"/>
            </w:tcMar>
            <w:vAlign w:val="center"/>
          </w:tcPr>
          <w:p w14:paraId="77AEC039">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11月</w:t>
            </w:r>
          </w:p>
        </w:tc>
        <w:tc>
          <w:tcPr>
            <w:tcW w:w="353" w:type="pct"/>
            <w:noWrap/>
            <w:tcMar>
              <w:top w:w="15" w:type="dxa"/>
              <w:left w:w="15" w:type="dxa"/>
              <w:right w:w="15" w:type="dxa"/>
            </w:tcMar>
            <w:vAlign w:val="center"/>
          </w:tcPr>
          <w:p w14:paraId="0611425F">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12月</w:t>
            </w:r>
          </w:p>
        </w:tc>
      </w:tr>
      <w:tr w14:paraId="7C34DF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720" w:type="pct"/>
            <w:noWrap/>
            <w:tcMar>
              <w:top w:w="15" w:type="dxa"/>
              <w:left w:w="15" w:type="dxa"/>
              <w:right w:w="15" w:type="dxa"/>
            </w:tcMar>
            <w:vAlign w:val="center"/>
          </w:tcPr>
          <w:p w14:paraId="33351B27">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温度（℃）  </w:t>
            </w:r>
          </w:p>
        </w:tc>
        <w:tc>
          <w:tcPr>
            <w:tcW w:w="357" w:type="pct"/>
            <w:noWrap/>
            <w:tcMar>
              <w:top w:w="15" w:type="dxa"/>
              <w:left w:w="15" w:type="dxa"/>
              <w:right w:w="15" w:type="dxa"/>
            </w:tcMar>
            <w:vAlign w:val="center"/>
          </w:tcPr>
          <w:p w14:paraId="175F6CE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13.6 </w:t>
            </w:r>
          </w:p>
        </w:tc>
        <w:tc>
          <w:tcPr>
            <w:tcW w:w="357" w:type="pct"/>
            <w:noWrap/>
            <w:tcMar>
              <w:top w:w="15" w:type="dxa"/>
              <w:left w:w="15" w:type="dxa"/>
              <w:right w:w="15" w:type="dxa"/>
            </w:tcMar>
            <w:vAlign w:val="center"/>
          </w:tcPr>
          <w:p w14:paraId="42E29E0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16.5 </w:t>
            </w:r>
          </w:p>
        </w:tc>
        <w:tc>
          <w:tcPr>
            <w:tcW w:w="357" w:type="pct"/>
            <w:noWrap/>
            <w:tcMar>
              <w:top w:w="15" w:type="dxa"/>
              <w:left w:w="15" w:type="dxa"/>
              <w:right w:w="15" w:type="dxa"/>
            </w:tcMar>
            <w:vAlign w:val="center"/>
          </w:tcPr>
          <w:p w14:paraId="0AD676C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19.0 </w:t>
            </w:r>
          </w:p>
        </w:tc>
        <w:tc>
          <w:tcPr>
            <w:tcW w:w="357" w:type="pct"/>
            <w:noWrap/>
            <w:tcMar>
              <w:top w:w="15" w:type="dxa"/>
              <w:left w:w="15" w:type="dxa"/>
              <w:right w:w="15" w:type="dxa"/>
            </w:tcMar>
            <w:vAlign w:val="center"/>
          </w:tcPr>
          <w:p w14:paraId="60965A4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25.0 </w:t>
            </w:r>
          </w:p>
        </w:tc>
        <w:tc>
          <w:tcPr>
            <w:tcW w:w="357" w:type="pct"/>
            <w:noWrap/>
            <w:tcMar>
              <w:top w:w="15" w:type="dxa"/>
              <w:left w:w="15" w:type="dxa"/>
              <w:right w:w="15" w:type="dxa"/>
            </w:tcMar>
            <w:vAlign w:val="center"/>
          </w:tcPr>
          <w:p w14:paraId="0312F872">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25.7 </w:t>
            </w:r>
          </w:p>
        </w:tc>
        <w:tc>
          <w:tcPr>
            <w:tcW w:w="357" w:type="pct"/>
            <w:noWrap/>
            <w:tcMar>
              <w:top w:w="15" w:type="dxa"/>
              <w:left w:w="15" w:type="dxa"/>
              <w:right w:w="15" w:type="dxa"/>
            </w:tcMar>
            <w:vAlign w:val="center"/>
          </w:tcPr>
          <w:p w14:paraId="09D1D0E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28.8 </w:t>
            </w:r>
          </w:p>
        </w:tc>
        <w:tc>
          <w:tcPr>
            <w:tcW w:w="357" w:type="pct"/>
            <w:noWrap/>
            <w:tcMar>
              <w:top w:w="15" w:type="dxa"/>
              <w:left w:w="15" w:type="dxa"/>
              <w:right w:w="15" w:type="dxa"/>
            </w:tcMar>
            <w:vAlign w:val="center"/>
          </w:tcPr>
          <w:p w14:paraId="5149180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29.0 </w:t>
            </w:r>
          </w:p>
        </w:tc>
        <w:tc>
          <w:tcPr>
            <w:tcW w:w="357" w:type="pct"/>
            <w:noWrap/>
            <w:tcMar>
              <w:top w:w="15" w:type="dxa"/>
              <w:left w:w="15" w:type="dxa"/>
              <w:right w:w="15" w:type="dxa"/>
            </w:tcMar>
            <w:vAlign w:val="center"/>
          </w:tcPr>
          <w:p w14:paraId="7C2C702B">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28.7 </w:t>
            </w:r>
          </w:p>
        </w:tc>
        <w:tc>
          <w:tcPr>
            <w:tcW w:w="357" w:type="pct"/>
            <w:noWrap/>
            <w:tcMar>
              <w:top w:w="15" w:type="dxa"/>
              <w:left w:w="15" w:type="dxa"/>
              <w:right w:w="15" w:type="dxa"/>
            </w:tcMar>
            <w:vAlign w:val="center"/>
          </w:tcPr>
          <w:p w14:paraId="4FD82126">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27.7 </w:t>
            </w:r>
          </w:p>
        </w:tc>
        <w:tc>
          <w:tcPr>
            <w:tcW w:w="357" w:type="pct"/>
            <w:noWrap/>
            <w:tcMar>
              <w:top w:w="15" w:type="dxa"/>
              <w:left w:w="15" w:type="dxa"/>
              <w:right w:w="15" w:type="dxa"/>
            </w:tcMar>
            <w:vAlign w:val="center"/>
          </w:tcPr>
          <w:p w14:paraId="317C8EA4">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24.6 </w:t>
            </w:r>
          </w:p>
        </w:tc>
        <w:tc>
          <w:tcPr>
            <w:tcW w:w="357" w:type="pct"/>
            <w:noWrap/>
            <w:tcMar>
              <w:top w:w="15" w:type="dxa"/>
              <w:left w:w="15" w:type="dxa"/>
              <w:right w:w="15" w:type="dxa"/>
            </w:tcMar>
            <w:vAlign w:val="center"/>
          </w:tcPr>
          <w:p w14:paraId="1278E945">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20.9 </w:t>
            </w:r>
          </w:p>
        </w:tc>
        <w:tc>
          <w:tcPr>
            <w:tcW w:w="353" w:type="pct"/>
            <w:noWrap/>
            <w:tcMar>
              <w:top w:w="15" w:type="dxa"/>
              <w:left w:w="15" w:type="dxa"/>
              <w:right w:w="15" w:type="dxa"/>
            </w:tcMar>
            <w:vAlign w:val="center"/>
          </w:tcPr>
          <w:p w14:paraId="4399BEA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16.8 </w:t>
            </w:r>
          </w:p>
        </w:tc>
      </w:tr>
    </w:tbl>
    <w:p w14:paraId="135D8DED">
      <w:pPr>
        <w:spacing w:line="240" w:lineRule="auto"/>
        <w:ind w:firstLine="0" w:firstLineChars="0"/>
        <w:jc w:val="center"/>
        <w:rPr>
          <w:b/>
          <w:bCs/>
          <w:color w:val="auto"/>
          <w:sz w:val="21"/>
          <w:szCs w:val="21"/>
          <w:highlight w:val="none"/>
        </w:rPr>
      </w:pPr>
    </w:p>
    <w:p w14:paraId="071A8A5A">
      <w:pPr>
        <w:spacing w:line="240" w:lineRule="auto"/>
        <w:ind w:firstLine="0" w:firstLineChars="0"/>
        <w:jc w:val="center"/>
        <w:rPr>
          <w:b/>
          <w:bCs/>
          <w:color w:val="auto"/>
          <w:sz w:val="21"/>
          <w:szCs w:val="21"/>
          <w:highlight w:val="none"/>
        </w:rPr>
      </w:pPr>
      <w:r>
        <w:rPr>
          <w:b/>
          <w:bCs/>
          <w:color w:val="auto"/>
          <w:sz w:val="21"/>
          <w:szCs w:val="21"/>
          <w:highlight w:val="none"/>
        </w:rPr>
        <w:t>表4.2-5 钦州市2024年平均风速的月变化</w:t>
      </w:r>
    </w:p>
    <w:tbl>
      <w:tblPr>
        <w:tblStyle w:val="9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310"/>
        <w:gridCol w:w="649"/>
        <w:gridCol w:w="650"/>
        <w:gridCol w:w="650"/>
        <w:gridCol w:w="650"/>
        <w:gridCol w:w="650"/>
        <w:gridCol w:w="650"/>
        <w:gridCol w:w="650"/>
        <w:gridCol w:w="650"/>
        <w:gridCol w:w="650"/>
        <w:gridCol w:w="650"/>
        <w:gridCol w:w="650"/>
        <w:gridCol w:w="643"/>
      </w:tblGrid>
      <w:tr w14:paraId="588C7B8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720" w:type="pct"/>
            <w:noWrap/>
            <w:tcMar>
              <w:top w:w="15" w:type="dxa"/>
              <w:left w:w="15" w:type="dxa"/>
              <w:right w:w="15" w:type="dxa"/>
            </w:tcMar>
            <w:vAlign w:val="center"/>
          </w:tcPr>
          <w:p w14:paraId="203A5C97">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 xml:space="preserve">  月份    </w:t>
            </w:r>
          </w:p>
        </w:tc>
        <w:tc>
          <w:tcPr>
            <w:tcW w:w="357" w:type="pct"/>
            <w:noWrap/>
            <w:tcMar>
              <w:top w:w="15" w:type="dxa"/>
              <w:left w:w="15" w:type="dxa"/>
              <w:right w:w="15" w:type="dxa"/>
            </w:tcMar>
            <w:vAlign w:val="center"/>
          </w:tcPr>
          <w:p w14:paraId="79FEC1AD">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1月</w:t>
            </w:r>
          </w:p>
        </w:tc>
        <w:tc>
          <w:tcPr>
            <w:tcW w:w="357" w:type="pct"/>
            <w:noWrap/>
            <w:tcMar>
              <w:top w:w="15" w:type="dxa"/>
              <w:left w:w="15" w:type="dxa"/>
              <w:right w:w="15" w:type="dxa"/>
            </w:tcMar>
            <w:vAlign w:val="center"/>
          </w:tcPr>
          <w:p w14:paraId="3D590C39">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2月</w:t>
            </w:r>
          </w:p>
        </w:tc>
        <w:tc>
          <w:tcPr>
            <w:tcW w:w="357" w:type="pct"/>
            <w:noWrap/>
            <w:tcMar>
              <w:top w:w="15" w:type="dxa"/>
              <w:left w:w="15" w:type="dxa"/>
              <w:right w:w="15" w:type="dxa"/>
            </w:tcMar>
            <w:vAlign w:val="center"/>
          </w:tcPr>
          <w:p w14:paraId="1C36C2A6">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3月</w:t>
            </w:r>
          </w:p>
        </w:tc>
        <w:tc>
          <w:tcPr>
            <w:tcW w:w="357" w:type="pct"/>
            <w:noWrap/>
            <w:tcMar>
              <w:top w:w="15" w:type="dxa"/>
              <w:left w:w="15" w:type="dxa"/>
              <w:right w:w="15" w:type="dxa"/>
            </w:tcMar>
            <w:vAlign w:val="center"/>
          </w:tcPr>
          <w:p w14:paraId="7BD608E8">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4月</w:t>
            </w:r>
          </w:p>
        </w:tc>
        <w:tc>
          <w:tcPr>
            <w:tcW w:w="357" w:type="pct"/>
            <w:noWrap/>
            <w:tcMar>
              <w:top w:w="15" w:type="dxa"/>
              <w:left w:w="15" w:type="dxa"/>
              <w:right w:w="15" w:type="dxa"/>
            </w:tcMar>
            <w:vAlign w:val="center"/>
          </w:tcPr>
          <w:p w14:paraId="5D20ABBC">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5月</w:t>
            </w:r>
          </w:p>
        </w:tc>
        <w:tc>
          <w:tcPr>
            <w:tcW w:w="357" w:type="pct"/>
            <w:noWrap/>
            <w:tcMar>
              <w:top w:w="15" w:type="dxa"/>
              <w:left w:w="15" w:type="dxa"/>
              <w:right w:w="15" w:type="dxa"/>
            </w:tcMar>
            <w:vAlign w:val="center"/>
          </w:tcPr>
          <w:p w14:paraId="49692416">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6月</w:t>
            </w:r>
          </w:p>
        </w:tc>
        <w:tc>
          <w:tcPr>
            <w:tcW w:w="357" w:type="pct"/>
            <w:noWrap/>
            <w:tcMar>
              <w:top w:w="15" w:type="dxa"/>
              <w:left w:w="15" w:type="dxa"/>
              <w:right w:w="15" w:type="dxa"/>
            </w:tcMar>
            <w:vAlign w:val="center"/>
          </w:tcPr>
          <w:p w14:paraId="619A4332">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7月</w:t>
            </w:r>
          </w:p>
        </w:tc>
        <w:tc>
          <w:tcPr>
            <w:tcW w:w="357" w:type="pct"/>
            <w:noWrap/>
            <w:tcMar>
              <w:top w:w="15" w:type="dxa"/>
              <w:left w:w="15" w:type="dxa"/>
              <w:right w:w="15" w:type="dxa"/>
            </w:tcMar>
            <w:vAlign w:val="center"/>
          </w:tcPr>
          <w:p w14:paraId="7610C1E2">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8月</w:t>
            </w:r>
          </w:p>
        </w:tc>
        <w:tc>
          <w:tcPr>
            <w:tcW w:w="357" w:type="pct"/>
            <w:noWrap/>
            <w:tcMar>
              <w:top w:w="15" w:type="dxa"/>
              <w:left w:w="15" w:type="dxa"/>
              <w:right w:w="15" w:type="dxa"/>
            </w:tcMar>
            <w:vAlign w:val="center"/>
          </w:tcPr>
          <w:p w14:paraId="7BEAEA71">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9月</w:t>
            </w:r>
          </w:p>
        </w:tc>
        <w:tc>
          <w:tcPr>
            <w:tcW w:w="357" w:type="pct"/>
            <w:noWrap/>
            <w:tcMar>
              <w:top w:w="15" w:type="dxa"/>
              <w:left w:w="15" w:type="dxa"/>
              <w:right w:w="15" w:type="dxa"/>
            </w:tcMar>
            <w:vAlign w:val="center"/>
          </w:tcPr>
          <w:p w14:paraId="7E30EE41">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10月</w:t>
            </w:r>
          </w:p>
        </w:tc>
        <w:tc>
          <w:tcPr>
            <w:tcW w:w="357" w:type="pct"/>
            <w:noWrap/>
            <w:tcMar>
              <w:top w:w="15" w:type="dxa"/>
              <w:left w:w="15" w:type="dxa"/>
              <w:right w:w="15" w:type="dxa"/>
            </w:tcMar>
            <w:vAlign w:val="center"/>
          </w:tcPr>
          <w:p w14:paraId="36312189">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11月</w:t>
            </w:r>
          </w:p>
        </w:tc>
        <w:tc>
          <w:tcPr>
            <w:tcW w:w="353" w:type="pct"/>
            <w:noWrap/>
            <w:tcMar>
              <w:top w:w="15" w:type="dxa"/>
              <w:left w:w="15" w:type="dxa"/>
              <w:right w:w="15" w:type="dxa"/>
            </w:tcMar>
            <w:vAlign w:val="center"/>
          </w:tcPr>
          <w:p w14:paraId="15E04A3B">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12月</w:t>
            </w:r>
          </w:p>
        </w:tc>
      </w:tr>
      <w:tr w14:paraId="0BC163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720" w:type="pct"/>
            <w:noWrap/>
            <w:tcMar>
              <w:top w:w="15" w:type="dxa"/>
              <w:left w:w="15" w:type="dxa"/>
              <w:right w:w="15" w:type="dxa"/>
            </w:tcMar>
            <w:vAlign w:val="center"/>
          </w:tcPr>
          <w:p w14:paraId="206B7F1A">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风速（m/s）  </w:t>
            </w:r>
          </w:p>
        </w:tc>
        <w:tc>
          <w:tcPr>
            <w:tcW w:w="357" w:type="pct"/>
            <w:noWrap/>
            <w:tcMar>
              <w:top w:w="15" w:type="dxa"/>
              <w:left w:w="15" w:type="dxa"/>
              <w:right w:w="15" w:type="dxa"/>
            </w:tcMar>
            <w:vAlign w:val="center"/>
          </w:tcPr>
          <w:p w14:paraId="56F7BD7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3.2</w:t>
            </w:r>
          </w:p>
        </w:tc>
        <w:tc>
          <w:tcPr>
            <w:tcW w:w="357" w:type="pct"/>
            <w:noWrap/>
            <w:tcMar>
              <w:top w:w="15" w:type="dxa"/>
              <w:left w:w="15" w:type="dxa"/>
              <w:right w:w="15" w:type="dxa"/>
            </w:tcMar>
            <w:vAlign w:val="center"/>
          </w:tcPr>
          <w:p w14:paraId="792D7BB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3.1</w:t>
            </w:r>
          </w:p>
        </w:tc>
        <w:tc>
          <w:tcPr>
            <w:tcW w:w="357" w:type="pct"/>
            <w:noWrap/>
            <w:tcMar>
              <w:top w:w="15" w:type="dxa"/>
              <w:left w:w="15" w:type="dxa"/>
              <w:right w:w="15" w:type="dxa"/>
            </w:tcMar>
            <w:vAlign w:val="center"/>
          </w:tcPr>
          <w:p w14:paraId="60EF04D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3.0</w:t>
            </w:r>
          </w:p>
        </w:tc>
        <w:tc>
          <w:tcPr>
            <w:tcW w:w="357" w:type="pct"/>
            <w:noWrap/>
            <w:tcMar>
              <w:top w:w="15" w:type="dxa"/>
              <w:left w:w="15" w:type="dxa"/>
              <w:right w:w="15" w:type="dxa"/>
            </w:tcMar>
            <w:vAlign w:val="center"/>
          </w:tcPr>
          <w:p w14:paraId="4C9ADB9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3.4</w:t>
            </w:r>
          </w:p>
        </w:tc>
        <w:tc>
          <w:tcPr>
            <w:tcW w:w="357" w:type="pct"/>
            <w:noWrap/>
            <w:tcMar>
              <w:top w:w="15" w:type="dxa"/>
              <w:left w:w="15" w:type="dxa"/>
              <w:right w:w="15" w:type="dxa"/>
            </w:tcMar>
            <w:vAlign w:val="center"/>
          </w:tcPr>
          <w:p w14:paraId="6BE818D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2.9</w:t>
            </w:r>
          </w:p>
        </w:tc>
        <w:tc>
          <w:tcPr>
            <w:tcW w:w="357" w:type="pct"/>
            <w:noWrap/>
            <w:tcMar>
              <w:top w:w="15" w:type="dxa"/>
              <w:left w:w="15" w:type="dxa"/>
              <w:right w:w="15" w:type="dxa"/>
            </w:tcMar>
            <w:vAlign w:val="center"/>
          </w:tcPr>
          <w:p w14:paraId="420E8F4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3.2</w:t>
            </w:r>
          </w:p>
        </w:tc>
        <w:tc>
          <w:tcPr>
            <w:tcW w:w="357" w:type="pct"/>
            <w:noWrap/>
            <w:tcMar>
              <w:top w:w="15" w:type="dxa"/>
              <w:left w:w="15" w:type="dxa"/>
              <w:right w:w="15" w:type="dxa"/>
            </w:tcMar>
            <w:vAlign w:val="center"/>
          </w:tcPr>
          <w:p w14:paraId="439C8604">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3.0</w:t>
            </w:r>
          </w:p>
        </w:tc>
        <w:tc>
          <w:tcPr>
            <w:tcW w:w="357" w:type="pct"/>
            <w:noWrap/>
            <w:tcMar>
              <w:top w:w="15" w:type="dxa"/>
              <w:left w:w="15" w:type="dxa"/>
              <w:right w:w="15" w:type="dxa"/>
            </w:tcMar>
            <w:vAlign w:val="center"/>
          </w:tcPr>
          <w:p w14:paraId="66CE29C2">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2.6</w:t>
            </w:r>
          </w:p>
        </w:tc>
        <w:tc>
          <w:tcPr>
            <w:tcW w:w="357" w:type="pct"/>
            <w:noWrap/>
            <w:tcMar>
              <w:top w:w="15" w:type="dxa"/>
              <w:left w:w="15" w:type="dxa"/>
              <w:right w:w="15" w:type="dxa"/>
            </w:tcMar>
            <w:vAlign w:val="center"/>
          </w:tcPr>
          <w:p w14:paraId="0E24DD4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2.6</w:t>
            </w:r>
          </w:p>
        </w:tc>
        <w:tc>
          <w:tcPr>
            <w:tcW w:w="357" w:type="pct"/>
            <w:noWrap/>
            <w:tcMar>
              <w:top w:w="15" w:type="dxa"/>
              <w:left w:w="15" w:type="dxa"/>
              <w:right w:w="15" w:type="dxa"/>
            </w:tcMar>
            <w:vAlign w:val="center"/>
          </w:tcPr>
          <w:p w14:paraId="374ACD68">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2.6</w:t>
            </w:r>
          </w:p>
        </w:tc>
        <w:tc>
          <w:tcPr>
            <w:tcW w:w="357" w:type="pct"/>
            <w:noWrap/>
            <w:tcMar>
              <w:top w:w="15" w:type="dxa"/>
              <w:left w:w="15" w:type="dxa"/>
              <w:right w:w="15" w:type="dxa"/>
            </w:tcMar>
            <w:vAlign w:val="center"/>
          </w:tcPr>
          <w:p w14:paraId="4BB6E0FA">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2.9</w:t>
            </w:r>
          </w:p>
        </w:tc>
        <w:tc>
          <w:tcPr>
            <w:tcW w:w="353" w:type="pct"/>
            <w:noWrap/>
            <w:tcMar>
              <w:top w:w="15" w:type="dxa"/>
              <w:left w:w="15" w:type="dxa"/>
              <w:right w:w="15" w:type="dxa"/>
            </w:tcMar>
            <w:vAlign w:val="center"/>
          </w:tcPr>
          <w:p w14:paraId="41E1BAA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3.0</w:t>
            </w:r>
          </w:p>
        </w:tc>
      </w:tr>
    </w:tbl>
    <w:p w14:paraId="15210A07">
      <w:pPr>
        <w:spacing w:line="240" w:lineRule="auto"/>
        <w:ind w:firstLine="0" w:firstLineChars="0"/>
        <w:jc w:val="center"/>
        <w:rPr>
          <w:b/>
          <w:bCs/>
          <w:color w:val="auto"/>
          <w:sz w:val="21"/>
          <w:szCs w:val="21"/>
          <w:highlight w:val="none"/>
        </w:rPr>
      </w:pPr>
    </w:p>
    <w:p w14:paraId="2F8A61DF">
      <w:pPr>
        <w:spacing w:line="240" w:lineRule="auto"/>
        <w:ind w:firstLine="0" w:firstLineChars="0"/>
        <w:jc w:val="center"/>
        <w:rPr>
          <w:b/>
          <w:bCs/>
          <w:color w:val="auto"/>
          <w:sz w:val="21"/>
          <w:szCs w:val="21"/>
          <w:highlight w:val="none"/>
        </w:rPr>
      </w:pPr>
      <w:r>
        <w:rPr>
          <w:b/>
          <w:bCs/>
          <w:color w:val="auto"/>
          <w:sz w:val="21"/>
          <w:szCs w:val="21"/>
          <w:highlight w:val="none"/>
        </w:rPr>
        <w:t>表4.2-6  钦州市2024年季小时平均风速的日变化</w:t>
      </w:r>
    </w:p>
    <w:tbl>
      <w:tblPr>
        <w:tblStyle w:val="92"/>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136"/>
        <w:gridCol w:w="818"/>
        <w:gridCol w:w="666"/>
        <w:gridCol w:w="545"/>
        <w:gridCol w:w="545"/>
        <w:gridCol w:w="549"/>
        <w:gridCol w:w="549"/>
        <w:gridCol w:w="549"/>
        <w:gridCol w:w="549"/>
        <w:gridCol w:w="549"/>
        <w:gridCol w:w="549"/>
        <w:gridCol w:w="549"/>
        <w:gridCol w:w="549"/>
      </w:tblGrid>
      <w:tr w14:paraId="057D681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19" w:hRule="atLeast"/>
        </w:trPr>
        <w:tc>
          <w:tcPr>
            <w:tcW w:w="1172" w:type="pct"/>
            <w:tcBorders>
              <w:tl2br w:val="nil"/>
              <w:tr2bl w:val="nil"/>
            </w:tcBorders>
            <w:shd w:val="clear" w:color="auto" w:fill="auto"/>
            <w:noWrap/>
            <w:tcMar>
              <w:top w:w="15" w:type="dxa"/>
              <w:left w:w="15" w:type="dxa"/>
              <w:right w:w="15" w:type="dxa"/>
            </w:tcMar>
            <w:vAlign w:val="center"/>
            <mc:AlternateContent>
              <mc:Choice Requires="wpsCustomData">
                <wpsCustomData:diagonals>
                  <wpsCustomData:diagonal from="10000" to="30000">
                    <wpsCustomData:border w:val="single" w:color="000000" w:sz="4" w:space="0"/>
                  </wpsCustomData:diagonal>
                </wpsCustomData:diagonals>
              </mc:Choice>
            </mc:AlternateContent>
          </w:tcPr>
          <w:p w14:paraId="0214815E">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 xml:space="preserve">      </w:t>
            </w:r>
          </w:p>
          <w:p w14:paraId="67B392EA">
            <w:pPr>
              <w:pStyle w:val="1556"/>
              <w:adjustRightInd w:val="0"/>
              <w:snapToGrid w:val="0"/>
              <w:spacing w:beforeLines="0" w:afterLines="0" w:line="240" w:lineRule="auto"/>
              <w:ind w:firstLine="0"/>
              <mc:AlternateContent>
                <mc:Choice Requires="wpsCustomData">
                  <wpsCustomData:diagonalParaType/>
                </mc:Choice>
              </mc:AlternateContent>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 xml:space="preserve">小时（h） </w:t>
            </w:r>
          </w:p>
          <w:p w14:paraId="74CCF67B">
            <w:pPr>
              <w:pStyle w:val="1556"/>
              <w:adjustRightInd w:val="0"/>
              <w:snapToGrid w:val="0"/>
              <w:spacing w:beforeLines="0" w:afterLines="0" w:line="240" w:lineRule="auto"/>
              <w:ind w:firstLine="0"/>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风速（m/s）</w:t>
            </w:r>
          </w:p>
        </w:tc>
        <w:tc>
          <w:tcPr>
            <w:tcW w:w="449" w:type="pct"/>
            <w:tcBorders>
              <w:tl2br w:val="nil"/>
              <w:tr2bl w:val="nil"/>
            </w:tcBorders>
            <w:shd w:val="clear" w:color="auto" w:fill="auto"/>
            <w:noWrap/>
            <w:tcMar>
              <w:top w:w="15" w:type="dxa"/>
              <w:left w:w="15" w:type="dxa"/>
              <w:right w:w="15" w:type="dxa"/>
            </w:tcMar>
            <w:vAlign w:val="center"/>
          </w:tcPr>
          <w:p w14:paraId="6F181BCF">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1</w:t>
            </w:r>
          </w:p>
        </w:tc>
        <w:tc>
          <w:tcPr>
            <w:tcW w:w="366" w:type="pct"/>
            <w:tcBorders>
              <w:tl2br w:val="nil"/>
              <w:tr2bl w:val="nil"/>
            </w:tcBorders>
            <w:shd w:val="clear" w:color="auto" w:fill="auto"/>
            <w:noWrap/>
            <w:tcMar>
              <w:top w:w="15" w:type="dxa"/>
              <w:left w:w="15" w:type="dxa"/>
              <w:right w:w="15" w:type="dxa"/>
            </w:tcMar>
            <w:vAlign w:val="center"/>
          </w:tcPr>
          <w:p w14:paraId="0AEFCE43">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2</w:t>
            </w:r>
          </w:p>
        </w:tc>
        <w:tc>
          <w:tcPr>
            <w:tcW w:w="299" w:type="pct"/>
            <w:tcBorders>
              <w:tl2br w:val="nil"/>
              <w:tr2bl w:val="nil"/>
            </w:tcBorders>
            <w:shd w:val="clear" w:color="auto" w:fill="auto"/>
            <w:noWrap/>
            <w:tcMar>
              <w:top w:w="15" w:type="dxa"/>
              <w:left w:w="15" w:type="dxa"/>
              <w:right w:w="15" w:type="dxa"/>
            </w:tcMar>
            <w:vAlign w:val="center"/>
          </w:tcPr>
          <w:p w14:paraId="2CC88FC5">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3</w:t>
            </w:r>
          </w:p>
        </w:tc>
        <w:tc>
          <w:tcPr>
            <w:tcW w:w="299" w:type="pct"/>
            <w:tcBorders>
              <w:tl2br w:val="nil"/>
              <w:tr2bl w:val="nil"/>
            </w:tcBorders>
            <w:shd w:val="clear" w:color="auto" w:fill="auto"/>
            <w:noWrap/>
            <w:tcMar>
              <w:top w:w="15" w:type="dxa"/>
              <w:left w:w="15" w:type="dxa"/>
              <w:right w:w="15" w:type="dxa"/>
            </w:tcMar>
            <w:vAlign w:val="center"/>
          </w:tcPr>
          <w:p w14:paraId="25405195">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4</w:t>
            </w:r>
          </w:p>
        </w:tc>
        <w:tc>
          <w:tcPr>
            <w:tcW w:w="301" w:type="pct"/>
            <w:tcBorders>
              <w:tl2br w:val="nil"/>
              <w:tr2bl w:val="nil"/>
            </w:tcBorders>
            <w:shd w:val="clear" w:color="auto" w:fill="auto"/>
            <w:noWrap/>
            <w:tcMar>
              <w:top w:w="15" w:type="dxa"/>
              <w:left w:w="15" w:type="dxa"/>
              <w:right w:w="15" w:type="dxa"/>
            </w:tcMar>
            <w:vAlign w:val="center"/>
          </w:tcPr>
          <w:p w14:paraId="2F8692E1">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5</w:t>
            </w:r>
          </w:p>
        </w:tc>
        <w:tc>
          <w:tcPr>
            <w:tcW w:w="301" w:type="pct"/>
            <w:tcBorders>
              <w:tl2br w:val="nil"/>
              <w:tr2bl w:val="nil"/>
            </w:tcBorders>
            <w:shd w:val="clear" w:color="auto" w:fill="auto"/>
            <w:noWrap/>
            <w:tcMar>
              <w:top w:w="15" w:type="dxa"/>
              <w:left w:w="15" w:type="dxa"/>
              <w:right w:w="15" w:type="dxa"/>
            </w:tcMar>
            <w:vAlign w:val="center"/>
          </w:tcPr>
          <w:p w14:paraId="58BD7BBB">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6</w:t>
            </w:r>
          </w:p>
        </w:tc>
        <w:tc>
          <w:tcPr>
            <w:tcW w:w="301" w:type="pct"/>
            <w:tcBorders>
              <w:tl2br w:val="nil"/>
              <w:tr2bl w:val="nil"/>
            </w:tcBorders>
            <w:shd w:val="clear" w:color="auto" w:fill="auto"/>
            <w:noWrap/>
            <w:tcMar>
              <w:top w:w="15" w:type="dxa"/>
              <w:left w:w="15" w:type="dxa"/>
              <w:right w:w="15" w:type="dxa"/>
            </w:tcMar>
            <w:vAlign w:val="center"/>
          </w:tcPr>
          <w:p w14:paraId="7840A566">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7</w:t>
            </w:r>
          </w:p>
        </w:tc>
        <w:tc>
          <w:tcPr>
            <w:tcW w:w="301" w:type="pct"/>
            <w:tcBorders>
              <w:tl2br w:val="nil"/>
              <w:tr2bl w:val="nil"/>
            </w:tcBorders>
            <w:shd w:val="clear" w:color="auto" w:fill="auto"/>
            <w:noWrap/>
            <w:tcMar>
              <w:top w:w="15" w:type="dxa"/>
              <w:left w:w="15" w:type="dxa"/>
              <w:right w:w="15" w:type="dxa"/>
            </w:tcMar>
            <w:vAlign w:val="center"/>
          </w:tcPr>
          <w:p w14:paraId="63162C8B">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8</w:t>
            </w:r>
          </w:p>
        </w:tc>
        <w:tc>
          <w:tcPr>
            <w:tcW w:w="301" w:type="pct"/>
            <w:tcBorders>
              <w:tl2br w:val="nil"/>
              <w:tr2bl w:val="nil"/>
            </w:tcBorders>
            <w:shd w:val="clear" w:color="auto" w:fill="auto"/>
            <w:noWrap/>
            <w:tcMar>
              <w:top w:w="15" w:type="dxa"/>
              <w:left w:w="15" w:type="dxa"/>
              <w:right w:w="15" w:type="dxa"/>
            </w:tcMar>
            <w:vAlign w:val="center"/>
          </w:tcPr>
          <w:p w14:paraId="64B7BF50">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9</w:t>
            </w:r>
          </w:p>
        </w:tc>
        <w:tc>
          <w:tcPr>
            <w:tcW w:w="301" w:type="pct"/>
            <w:tcBorders>
              <w:tl2br w:val="nil"/>
              <w:tr2bl w:val="nil"/>
            </w:tcBorders>
            <w:shd w:val="clear" w:color="auto" w:fill="auto"/>
            <w:noWrap/>
            <w:tcMar>
              <w:top w:w="15" w:type="dxa"/>
              <w:left w:w="15" w:type="dxa"/>
              <w:right w:w="15" w:type="dxa"/>
            </w:tcMar>
            <w:vAlign w:val="center"/>
          </w:tcPr>
          <w:p w14:paraId="783352B3">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10</w:t>
            </w:r>
          </w:p>
        </w:tc>
        <w:tc>
          <w:tcPr>
            <w:tcW w:w="301" w:type="pct"/>
            <w:tcBorders>
              <w:tl2br w:val="nil"/>
              <w:tr2bl w:val="nil"/>
            </w:tcBorders>
            <w:shd w:val="clear" w:color="auto" w:fill="auto"/>
            <w:noWrap/>
            <w:tcMar>
              <w:top w:w="15" w:type="dxa"/>
              <w:left w:w="15" w:type="dxa"/>
              <w:right w:w="15" w:type="dxa"/>
            </w:tcMar>
            <w:vAlign w:val="center"/>
          </w:tcPr>
          <w:p w14:paraId="63F899C8">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11</w:t>
            </w:r>
          </w:p>
        </w:tc>
        <w:tc>
          <w:tcPr>
            <w:tcW w:w="301" w:type="pct"/>
            <w:tcBorders>
              <w:tl2br w:val="nil"/>
              <w:tr2bl w:val="nil"/>
            </w:tcBorders>
            <w:shd w:val="clear" w:color="auto" w:fill="auto"/>
            <w:noWrap/>
            <w:tcMar>
              <w:top w:w="15" w:type="dxa"/>
              <w:left w:w="15" w:type="dxa"/>
              <w:right w:w="15" w:type="dxa"/>
            </w:tcMar>
            <w:vAlign w:val="center"/>
          </w:tcPr>
          <w:p w14:paraId="53307821">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12</w:t>
            </w:r>
          </w:p>
        </w:tc>
      </w:tr>
      <w:tr w14:paraId="069957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172" w:type="pct"/>
            <w:tcBorders>
              <w:tl2br w:val="nil"/>
              <w:tr2bl w:val="nil"/>
            </w:tcBorders>
            <w:shd w:val="clear" w:color="auto" w:fill="auto"/>
            <w:noWrap/>
            <w:tcMar>
              <w:top w:w="15" w:type="dxa"/>
              <w:left w:w="15" w:type="dxa"/>
              <w:right w:w="15" w:type="dxa"/>
            </w:tcMar>
            <w:vAlign w:val="center"/>
          </w:tcPr>
          <w:p w14:paraId="370F6651">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 xml:space="preserve">春季                </w:t>
            </w:r>
          </w:p>
        </w:tc>
        <w:tc>
          <w:tcPr>
            <w:tcW w:w="449" w:type="pct"/>
            <w:tcBorders>
              <w:tl2br w:val="nil"/>
              <w:tr2bl w:val="nil"/>
            </w:tcBorders>
            <w:shd w:val="clear" w:color="auto" w:fill="auto"/>
            <w:noWrap/>
            <w:tcMar>
              <w:top w:w="15" w:type="dxa"/>
              <w:left w:w="15" w:type="dxa"/>
              <w:right w:w="15" w:type="dxa"/>
            </w:tcMar>
            <w:vAlign w:val="center"/>
          </w:tcPr>
          <w:p w14:paraId="64D50618">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2.7</w:t>
            </w:r>
          </w:p>
        </w:tc>
        <w:tc>
          <w:tcPr>
            <w:tcW w:w="366" w:type="pct"/>
            <w:tcBorders>
              <w:tl2br w:val="nil"/>
              <w:tr2bl w:val="nil"/>
            </w:tcBorders>
            <w:shd w:val="clear" w:color="auto" w:fill="auto"/>
            <w:noWrap/>
            <w:tcMar>
              <w:top w:w="15" w:type="dxa"/>
              <w:left w:w="15" w:type="dxa"/>
              <w:right w:w="15" w:type="dxa"/>
            </w:tcMar>
            <w:vAlign w:val="center"/>
          </w:tcPr>
          <w:p w14:paraId="5B57AA4C">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2.6</w:t>
            </w:r>
          </w:p>
        </w:tc>
        <w:tc>
          <w:tcPr>
            <w:tcW w:w="299" w:type="pct"/>
            <w:tcBorders>
              <w:tl2br w:val="nil"/>
              <w:tr2bl w:val="nil"/>
            </w:tcBorders>
            <w:shd w:val="clear" w:color="auto" w:fill="auto"/>
            <w:noWrap/>
            <w:tcMar>
              <w:top w:w="15" w:type="dxa"/>
              <w:left w:w="15" w:type="dxa"/>
              <w:right w:w="15" w:type="dxa"/>
            </w:tcMar>
            <w:vAlign w:val="center"/>
          </w:tcPr>
          <w:p w14:paraId="4D2D0ECF">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2.6</w:t>
            </w:r>
          </w:p>
        </w:tc>
        <w:tc>
          <w:tcPr>
            <w:tcW w:w="299" w:type="pct"/>
            <w:tcBorders>
              <w:tl2br w:val="nil"/>
              <w:tr2bl w:val="nil"/>
            </w:tcBorders>
            <w:shd w:val="clear" w:color="auto" w:fill="auto"/>
            <w:noWrap/>
            <w:tcMar>
              <w:top w:w="15" w:type="dxa"/>
              <w:left w:w="15" w:type="dxa"/>
              <w:right w:w="15" w:type="dxa"/>
            </w:tcMar>
            <w:vAlign w:val="center"/>
          </w:tcPr>
          <w:p w14:paraId="549DF5F0">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2.5</w:t>
            </w:r>
          </w:p>
        </w:tc>
        <w:tc>
          <w:tcPr>
            <w:tcW w:w="301" w:type="pct"/>
            <w:tcBorders>
              <w:tl2br w:val="nil"/>
              <w:tr2bl w:val="nil"/>
            </w:tcBorders>
            <w:shd w:val="clear" w:color="auto" w:fill="auto"/>
            <w:noWrap/>
            <w:tcMar>
              <w:top w:w="15" w:type="dxa"/>
              <w:left w:w="15" w:type="dxa"/>
              <w:right w:w="15" w:type="dxa"/>
            </w:tcMar>
            <w:vAlign w:val="center"/>
          </w:tcPr>
          <w:p w14:paraId="4AF0D0C1">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2.5</w:t>
            </w:r>
          </w:p>
        </w:tc>
        <w:tc>
          <w:tcPr>
            <w:tcW w:w="301" w:type="pct"/>
            <w:tcBorders>
              <w:tl2br w:val="nil"/>
              <w:tr2bl w:val="nil"/>
            </w:tcBorders>
            <w:shd w:val="clear" w:color="auto" w:fill="auto"/>
            <w:noWrap/>
            <w:tcMar>
              <w:top w:w="15" w:type="dxa"/>
              <w:left w:w="15" w:type="dxa"/>
              <w:right w:w="15" w:type="dxa"/>
            </w:tcMar>
            <w:vAlign w:val="center"/>
          </w:tcPr>
          <w:p w14:paraId="13854A6B">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2.5</w:t>
            </w:r>
          </w:p>
        </w:tc>
        <w:tc>
          <w:tcPr>
            <w:tcW w:w="301" w:type="pct"/>
            <w:tcBorders>
              <w:tl2br w:val="nil"/>
              <w:tr2bl w:val="nil"/>
            </w:tcBorders>
            <w:shd w:val="clear" w:color="auto" w:fill="auto"/>
            <w:noWrap/>
            <w:tcMar>
              <w:top w:w="15" w:type="dxa"/>
              <w:left w:w="15" w:type="dxa"/>
              <w:right w:w="15" w:type="dxa"/>
            </w:tcMar>
            <w:vAlign w:val="center"/>
          </w:tcPr>
          <w:p w14:paraId="7B84973A">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2.5</w:t>
            </w:r>
          </w:p>
        </w:tc>
        <w:tc>
          <w:tcPr>
            <w:tcW w:w="301" w:type="pct"/>
            <w:tcBorders>
              <w:tl2br w:val="nil"/>
              <w:tr2bl w:val="nil"/>
            </w:tcBorders>
            <w:shd w:val="clear" w:color="auto" w:fill="auto"/>
            <w:noWrap/>
            <w:tcMar>
              <w:top w:w="15" w:type="dxa"/>
              <w:left w:w="15" w:type="dxa"/>
              <w:right w:w="15" w:type="dxa"/>
            </w:tcMar>
            <w:vAlign w:val="center"/>
          </w:tcPr>
          <w:p w14:paraId="28AA7A4B">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2.7</w:t>
            </w:r>
          </w:p>
        </w:tc>
        <w:tc>
          <w:tcPr>
            <w:tcW w:w="301" w:type="pct"/>
            <w:tcBorders>
              <w:tl2br w:val="nil"/>
              <w:tr2bl w:val="nil"/>
            </w:tcBorders>
            <w:shd w:val="clear" w:color="auto" w:fill="auto"/>
            <w:noWrap/>
            <w:tcMar>
              <w:top w:w="15" w:type="dxa"/>
              <w:left w:w="15" w:type="dxa"/>
              <w:right w:w="15" w:type="dxa"/>
            </w:tcMar>
            <w:vAlign w:val="center"/>
          </w:tcPr>
          <w:p w14:paraId="2F224A37">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2.8</w:t>
            </w:r>
          </w:p>
        </w:tc>
        <w:tc>
          <w:tcPr>
            <w:tcW w:w="301" w:type="pct"/>
            <w:tcBorders>
              <w:tl2br w:val="nil"/>
              <w:tr2bl w:val="nil"/>
            </w:tcBorders>
            <w:shd w:val="clear" w:color="auto" w:fill="auto"/>
            <w:noWrap/>
            <w:tcMar>
              <w:top w:w="15" w:type="dxa"/>
              <w:left w:w="15" w:type="dxa"/>
              <w:right w:w="15" w:type="dxa"/>
            </w:tcMar>
            <w:vAlign w:val="center"/>
          </w:tcPr>
          <w:p w14:paraId="5185F7F2">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3.1</w:t>
            </w:r>
          </w:p>
        </w:tc>
        <w:tc>
          <w:tcPr>
            <w:tcW w:w="301" w:type="pct"/>
            <w:tcBorders>
              <w:tl2br w:val="nil"/>
              <w:tr2bl w:val="nil"/>
            </w:tcBorders>
            <w:shd w:val="clear" w:color="auto" w:fill="auto"/>
            <w:noWrap/>
            <w:tcMar>
              <w:top w:w="15" w:type="dxa"/>
              <w:left w:w="15" w:type="dxa"/>
              <w:right w:w="15" w:type="dxa"/>
            </w:tcMar>
            <w:vAlign w:val="center"/>
          </w:tcPr>
          <w:p w14:paraId="1B85E232">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3.4</w:t>
            </w:r>
          </w:p>
        </w:tc>
        <w:tc>
          <w:tcPr>
            <w:tcW w:w="301" w:type="pct"/>
            <w:tcBorders>
              <w:tl2br w:val="nil"/>
              <w:tr2bl w:val="nil"/>
            </w:tcBorders>
            <w:shd w:val="clear" w:color="auto" w:fill="auto"/>
            <w:noWrap/>
            <w:tcMar>
              <w:top w:w="15" w:type="dxa"/>
              <w:left w:w="15" w:type="dxa"/>
              <w:right w:w="15" w:type="dxa"/>
            </w:tcMar>
            <w:vAlign w:val="center"/>
          </w:tcPr>
          <w:p w14:paraId="7A43657D">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3.7</w:t>
            </w:r>
          </w:p>
        </w:tc>
      </w:tr>
      <w:tr w14:paraId="6CB6BE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172" w:type="pct"/>
            <w:tcBorders>
              <w:tl2br w:val="nil"/>
              <w:tr2bl w:val="nil"/>
            </w:tcBorders>
            <w:shd w:val="clear" w:color="auto" w:fill="auto"/>
            <w:noWrap/>
            <w:tcMar>
              <w:top w:w="15" w:type="dxa"/>
              <w:left w:w="15" w:type="dxa"/>
              <w:right w:w="15" w:type="dxa"/>
            </w:tcMar>
            <w:vAlign w:val="center"/>
          </w:tcPr>
          <w:p w14:paraId="43C3B8FE">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 xml:space="preserve">夏季                </w:t>
            </w:r>
          </w:p>
        </w:tc>
        <w:tc>
          <w:tcPr>
            <w:tcW w:w="449" w:type="pct"/>
            <w:tcBorders>
              <w:tl2br w:val="nil"/>
              <w:tr2bl w:val="nil"/>
            </w:tcBorders>
            <w:shd w:val="clear" w:color="auto" w:fill="auto"/>
            <w:noWrap/>
            <w:tcMar>
              <w:top w:w="15" w:type="dxa"/>
              <w:left w:w="15" w:type="dxa"/>
              <w:right w:w="15" w:type="dxa"/>
            </w:tcMar>
            <w:vAlign w:val="center"/>
          </w:tcPr>
          <w:p w14:paraId="469CCBA1">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2.4</w:t>
            </w:r>
          </w:p>
        </w:tc>
        <w:tc>
          <w:tcPr>
            <w:tcW w:w="366" w:type="pct"/>
            <w:tcBorders>
              <w:tl2br w:val="nil"/>
              <w:tr2bl w:val="nil"/>
            </w:tcBorders>
            <w:shd w:val="clear" w:color="auto" w:fill="auto"/>
            <w:noWrap/>
            <w:tcMar>
              <w:top w:w="15" w:type="dxa"/>
              <w:left w:w="15" w:type="dxa"/>
              <w:right w:w="15" w:type="dxa"/>
            </w:tcMar>
            <w:vAlign w:val="center"/>
          </w:tcPr>
          <w:p w14:paraId="083CB3C9">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2.4</w:t>
            </w:r>
          </w:p>
        </w:tc>
        <w:tc>
          <w:tcPr>
            <w:tcW w:w="299" w:type="pct"/>
            <w:tcBorders>
              <w:tl2br w:val="nil"/>
              <w:tr2bl w:val="nil"/>
            </w:tcBorders>
            <w:shd w:val="clear" w:color="auto" w:fill="auto"/>
            <w:noWrap/>
            <w:tcMar>
              <w:top w:w="15" w:type="dxa"/>
              <w:left w:w="15" w:type="dxa"/>
              <w:right w:w="15" w:type="dxa"/>
            </w:tcMar>
            <w:vAlign w:val="center"/>
          </w:tcPr>
          <w:p w14:paraId="1BC9E6C3">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2.3</w:t>
            </w:r>
          </w:p>
        </w:tc>
        <w:tc>
          <w:tcPr>
            <w:tcW w:w="299" w:type="pct"/>
            <w:tcBorders>
              <w:tl2br w:val="nil"/>
              <w:tr2bl w:val="nil"/>
            </w:tcBorders>
            <w:shd w:val="clear" w:color="auto" w:fill="auto"/>
            <w:noWrap/>
            <w:tcMar>
              <w:top w:w="15" w:type="dxa"/>
              <w:left w:w="15" w:type="dxa"/>
              <w:right w:w="15" w:type="dxa"/>
            </w:tcMar>
            <w:vAlign w:val="center"/>
          </w:tcPr>
          <w:p w14:paraId="2BA677EB">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2.3</w:t>
            </w:r>
          </w:p>
        </w:tc>
        <w:tc>
          <w:tcPr>
            <w:tcW w:w="301" w:type="pct"/>
            <w:tcBorders>
              <w:tl2br w:val="nil"/>
              <w:tr2bl w:val="nil"/>
            </w:tcBorders>
            <w:shd w:val="clear" w:color="auto" w:fill="auto"/>
            <w:noWrap/>
            <w:tcMar>
              <w:top w:w="15" w:type="dxa"/>
              <w:left w:w="15" w:type="dxa"/>
              <w:right w:w="15" w:type="dxa"/>
            </w:tcMar>
            <w:vAlign w:val="center"/>
          </w:tcPr>
          <w:p w14:paraId="2C534B3D">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2.3</w:t>
            </w:r>
          </w:p>
        </w:tc>
        <w:tc>
          <w:tcPr>
            <w:tcW w:w="301" w:type="pct"/>
            <w:tcBorders>
              <w:tl2br w:val="nil"/>
              <w:tr2bl w:val="nil"/>
            </w:tcBorders>
            <w:shd w:val="clear" w:color="auto" w:fill="auto"/>
            <w:noWrap/>
            <w:tcMar>
              <w:top w:w="15" w:type="dxa"/>
              <w:left w:w="15" w:type="dxa"/>
              <w:right w:w="15" w:type="dxa"/>
            </w:tcMar>
            <w:vAlign w:val="center"/>
          </w:tcPr>
          <w:p w14:paraId="127A26F9">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2.3</w:t>
            </w:r>
          </w:p>
        </w:tc>
        <w:tc>
          <w:tcPr>
            <w:tcW w:w="301" w:type="pct"/>
            <w:tcBorders>
              <w:tl2br w:val="nil"/>
              <w:tr2bl w:val="nil"/>
            </w:tcBorders>
            <w:shd w:val="clear" w:color="auto" w:fill="auto"/>
            <w:noWrap/>
            <w:tcMar>
              <w:top w:w="15" w:type="dxa"/>
              <w:left w:w="15" w:type="dxa"/>
              <w:right w:w="15" w:type="dxa"/>
            </w:tcMar>
            <w:vAlign w:val="center"/>
          </w:tcPr>
          <w:p w14:paraId="7335E0B1">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2.3</w:t>
            </w:r>
          </w:p>
        </w:tc>
        <w:tc>
          <w:tcPr>
            <w:tcW w:w="301" w:type="pct"/>
            <w:tcBorders>
              <w:tl2br w:val="nil"/>
              <w:tr2bl w:val="nil"/>
            </w:tcBorders>
            <w:shd w:val="clear" w:color="auto" w:fill="auto"/>
            <w:noWrap/>
            <w:tcMar>
              <w:top w:w="15" w:type="dxa"/>
              <w:left w:w="15" w:type="dxa"/>
              <w:right w:w="15" w:type="dxa"/>
            </w:tcMar>
            <w:vAlign w:val="center"/>
          </w:tcPr>
          <w:p w14:paraId="74F9D604">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2.4</w:t>
            </w:r>
          </w:p>
        </w:tc>
        <w:tc>
          <w:tcPr>
            <w:tcW w:w="301" w:type="pct"/>
            <w:tcBorders>
              <w:tl2br w:val="nil"/>
              <w:tr2bl w:val="nil"/>
            </w:tcBorders>
            <w:shd w:val="clear" w:color="auto" w:fill="auto"/>
            <w:noWrap/>
            <w:tcMar>
              <w:top w:w="15" w:type="dxa"/>
              <w:left w:w="15" w:type="dxa"/>
              <w:right w:w="15" w:type="dxa"/>
            </w:tcMar>
            <w:vAlign w:val="center"/>
          </w:tcPr>
          <w:p w14:paraId="2F945110">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2.8</w:t>
            </w:r>
          </w:p>
        </w:tc>
        <w:tc>
          <w:tcPr>
            <w:tcW w:w="301" w:type="pct"/>
            <w:tcBorders>
              <w:tl2br w:val="nil"/>
              <w:tr2bl w:val="nil"/>
            </w:tcBorders>
            <w:shd w:val="clear" w:color="auto" w:fill="auto"/>
            <w:noWrap/>
            <w:tcMar>
              <w:top w:w="15" w:type="dxa"/>
              <w:left w:w="15" w:type="dxa"/>
              <w:right w:w="15" w:type="dxa"/>
            </w:tcMar>
            <w:vAlign w:val="center"/>
          </w:tcPr>
          <w:p w14:paraId="67F6A528">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3.1</w:t>
            </w:r>
          </w:p>
        </w:tc>
        <w:tc>
          <w:tcPr>
            <w:tcW w:w="301" w:type="pct"/>
            <w:tcBorders>
              <w:tl2br w:val="nil"/>
              <w:tr2bl w:val="nil"/>
            </w:tcBorders>
            <w:shd w:val="clear" w:color="auto" w:fill="auto"/>
            <w:noWrap/>
            <w:tcMar>
              <w:top w:w="15" w:type="dxa"/>
              <w:left w:w="15" w:type="dxa"/>
              <w:right w:w="15" w:type="dxa"/>
            </w:tcMar>
            <w:vAlign w:val="center"/>
          </w:tcPr>
          <w:p w14:paraId="7C2AE145">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3.3</w:t>
            </w:r>
          </w:p>
        </w:tc>
        <w:tc>
          <w:tcPr>
            <w:tcW w:w="301" w:type="pct"/>
            <w:tcBorders>
              <w:tl2br w:val="nil"/>
              <w:tr2bl w:val="nil"/>
            </w:tcBorders>
            <w:shd w:val="clear" w:color="auto" w:fill="auto"/>
            <w:noWrap/>
            <w:tcMar>
              <w:top w:w="15" w:type="dxa"/>
              <w:left w:w="15" w:type="dxa"/>
              <w:right w:w="15" w:type="dxa"/>
            </w:tcMar>
            <w:vAlign w:val="center"/>
          </w:tcPr>
          <w:p w14:paraId="141109EE">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3.5</w:t>
            </w:r>
          </w:p>
        </w:tc>
      </w:tr>
      <w:tr w14:paraId="0F739BF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172" w:type="pct"/>
            <w:tcBorders>
              <w:tl2br w:val="nil"/>
              <w:tr2bl w:val="nil"/>
            </w:tcBorders>
            <w:shd w:val="clear" w:color="auto" w:fill="auto"/>
            <w:noWrap/>
            <w:tcMar>
              <w:top w:w="15" w:type="dxa"/>
              <w:left w:w="15" w:type="dxa"/>
              <w:right w:w="15" w:type="dxa"/>
            </w:tcMar>
            <w:vAlign w:val="center"/>
          </w:tcPr>
          <w:p w14:paraId="39BD3302">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 xml:space="preserve">秋季                </w:t>
            </w:r>
          </w:p>
        </w:tc>
        <w:tc>
          <w:tcPr>
            <w:tcW w:w="449" w:type="pct"/>
            <w:tcBorders>
              <w:tl2br w:val="nil"/>
              <w:tr2bl w:val="nil"/>
            </w:tcBorders>
            <w:shd w:val="clear" w:color="auto" w:fill="auto"/>
            <w:noWrap/>
            <w:tcMar>
              <w:top w:w="15" w:type="dxa"/>
              <w:left w:w="15" w:type="dxa"/>
              <w:right w:w="15" w:type="dxa"/>
            </w:tcMar>
            <w:vAlign w:val="center"/>
          </w:tcPr>
          <w:p w14:paraId="2A5AB6DC">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2.2</w:t>
            </w:r>
          </w:p>
        </w:tc>
        <w:tc>
          <w:tcPr>
            <w:tcW w:w="366" w:type="pct"/>
            <w:tcBorders>
              <w:tl2br w:val="nil"/>
              <w:tr2bl w:val="nil"/>
            </w:tcBorders>
            <w:shd w:val="clear" w:color="auto" w:fill="auto"/>
            <w:noWrap/>
            <w:tcMar>
              <w:top w:w="15" w:type="dxa"/>
              <w:left w:w="15" w:type="dxa"/>
              <w:right w:w="15" w:type="dxa"/>
            </w:tcMar>
            <w:vAlign w:val="center"/>
          </w:tcPr>
          <w:p w14:paraId="7525D54F">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2.3</w:t>
            </w:r>
          </w:p>
        </w:tc>
        <w:tc>
          <w:tcPr>
            <w:tcW w:w="299" w:type="pct"/>
            <w:tcBorders>
              <w:tl2br w:val="nil"/>
              <w:tr2bl w:val="nil"/>
            </w:tcBorders>
            <w:shd w:val="clear" w:color="auto" w:fill="auto"/>
            <w:noWrap/>
            <w:tcMar>
              <w:top w:w="15" w:type="dxa"/>
              <w:left w:w="15" w:type="dxa"/>
              <w:right w:w="15" w:type="dxa"/>
            </w:tcMar>
            <w:vAlign w:val="center"/>
          </w:tcPr>
          <w:p w14:paraId="47752B2A">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2.4</w:t>
            </w:r>
          </w:p>
        </w:tc>
        <w:tc>
          <w:tcPr>
            <w:tcW w:w="299" w:type="pct"/>
            <w:tcBorders>
              <w:tl2br w:val="nil"/>
              <w:tr2bl w:val="nil"/>
            </w:tcBorders>
            <w:shd w:val="clear" w:color="auto" w:fill="auto"/>
            <w:noWrap/>
            <w:tcMar>
              <w:top w:w="15" w:type="dxa"/>
              <w:left w:w="15" w:type="dxa"/>
              <w:right w:w="15" w:type="dxa"/>
            </w:tcMar>
            <w:vAlign w:val="center"/>
          </w:tcPr>
          <w:p w14:paraId="7505C0A6">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2.4</w:t>
            </w:r>
          </w:p>
        </w:tc>
        <w:tc>
          <w:tcPr>
            <w:tcW w:w="301" w:type="pct"/>
            <w:tcBorders>
              <w:tl2br w:val="nil"/>
              <w:tr2bl w:val="nil"/>
            </w:tcBorders>
            <w:shd w:val="clear" w:color="auto" w:fill="auto"/>
            <w:noWrap/>
            <w:tcMar>
              <w:top w:w="15" w:type="dxa"/>
              <w:left w:w="15" w:type="dxa"/>
              <w:right w:w="15" w:type="dxa"/>
            </w:tcMar>
            <w:vAlign w:val="center"/>
          </w:tcPr>
          <w:p w14:paraId="78BC8AB3">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2.6</w:t>
            </w:r>
          </w:p>
        </w:tc>
        <w:tc>
          <w:tcPr>
            <w:tcW w:w="301" w:type="pct"/>
            <w:tcBorders>
              <w:tl2br w:val="nil"/>
              <w:tr2bl w:val="nil"/>
            </w:tcBorders>
            <w:shd w:val="clear" w:color="auto" w:fill="auto"/>
            <w:noWrap/>
            <w:tcMar>
              <w:top w:w="15" w:type="dxa"/>
              <w:left w:w="15" w:type="dxa"/>
              <w:right w:w="15" w:type="dxa"/>
            </w:tcMar>
            <w:vAlign w:val="center"/>
          </w:tcPr>
          <w:p w14:paraId="7421F288">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2.6</w:t>
            </w:r>
          </w:p>
        </w:tc>
        <w:tc>
          <w:tcPr>
            <w:tcW w:w="301" w:type="pct"/>
            <w:tcBorders>
              <w:tl2br w:val="nil"/>
              <w:tr2bl w:val="nil"/>
            </w:tcBorders>
            <w:shd w:val="clear" w:color="auto" w:fill="auto"/>
            <w:noWrap/>
            <w:tcMar>
              <w:top w:w="15" w:type="dxa"/>
              <w:left w:w="15" w:type="dxa"/>
              <w:right w:w="15" w:type="dxa"/>
            </w:tcMar>
            <w:vAlign w:val="center"/>
          </w:tcPr>
          <w:p w14:paraId="55622ED6">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2.5</w:t>
            </w:r>
          </w:p>
        </w:tc>
        <w:tc>
          <w:tcPr>
            <w:tcW w:w="301" w:type="pct"/>
            <w:tcBorders>
              <w:tl2br w:val="nil"/>
              <w:tr2bl w:val="nil"/>
            </w:tcBorders>
            <w:shd w:val="clear" w:color="auto" w:fill="auto"/>
            <w:noWrap/>
            <w:tcMar>
              <w:top w:w="15" w:type="dxa"/>
              <w:left w:w="15" w:type="dxa"/>
              <w:right w:w="15" w:type="dxa"/>
            </w:tcMar>
            <w:vAlign w:val="center"/>
          </w:tcPr>
          <w:p w14:paraId="32ABA315">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2.4</w:t>
            </w:r>
          </w:p>
        </w:tc>
        <w:tc>
          <w:tcPr>
            <w:tcW w:w="301" w:type="pct"/>
            <w:tcBorders>
              <w:tl2br w:val="nil"/>
              <w:tr2bl w:val="nil"/>
            </w:tcBorders>
            <w:shd w:val="clear" w:color="auto" w:fill="auto"/>
            <w:noWrap/>
            <w:tcMar>
              <w:top w:w="15" w:type="dxa"/>
              <w:left w:w="15" w:type="dxa"/>
              <w:right w:w="15" w:type="dxa"/>
            </w:tcMar>
            <w:vAlign w:val="center"/>
          </w:tcPr>
          <w:p w14:paraId="7D9C2036">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2.6</w:t>
            </w:r>
          </w:p>
        </w:tc>
        <w:tc>
          <w:tcPr>
            <w:tcW w:w="301" w:type="pct"/>
            <w:tcBorders>
              <w:tl2br w:val="nil"/>
              <w:tr2bl w:val="nil"/>
            </w:tcBorders>
            <w:shd w:val="clear" w:color="auto" w:fill="auto"/>
            <w:noWrap/>
            <w:tcMar>
              <w:top w:w="15" w:type="dxa"/>
              <w:left w:w="15" w:type="dxa"/>
              <w:right w:w="15" w:type="dxa"/>
            </w:tcMar>
            <w:vAlign w:val="center"/>
          </w:tcPr>
          <w:p w14:paraId="698CB1AC">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3.1</w:t>
            </w:r>
          </w:p>
        </w:tc>
        <w:tc>
          <w:tcPr>
            <w:tcW w:w="301" w:type="pct"/>
            <w:tcBorders>
              <w:tl2br w:val="nil"/>
              <w:tr2bl w:val="nil"/>
            </w:tcBorders>
            <w:shd w:val="clear" w:color="auto" w:fill="auto"/>
            <w:noWrap/>
            <w:tcMar>
              <w:top w:w="15" w:type="dxa"/>
              <w:left w:w="15" w:type="dxa"/>
              <w:right w:w="15" w:type="dxa"/>
            </w:tcMar>
            <w:vAlign w:val="center"/>
          </w:tcPr>
          <w:p w14:paraId="55890FA4">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w:t>
            </w:r>
          </w:p>
        </w:tc>
        <w:tc>
          <w:tcPr>
            <w:tcW w:w="301" w:type="pct"/>
            <w:tcBorders>
              <w:tl2br w:val="nil"/>
              <w:tr2bl w:val="nil"/>
            </w:tcBorders>
            <w:shd w:val="clear" w:color="auto" w:fill="auto"/>
            <w:noWrap/>
            <w:tcMar>
              <w:top w:w="15" w:type="dxa"/>
              <w:left w:w="15" w:type="dxa"/>
              <w:right w:w="15" w:type="dxa"/>
            </w:tcMar>
            <w:vAlign w:val="center"/>
          </w:tcPr>
          <w:p w14:paraId="0629DF99">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3.3</w:t>
            </w:r>
          </w:p>
        </w:tc>
      </w:tr>
      <w:tr w14:paraId="25BFC6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172" w:type="pct"/>
            <w:tcBorders>
              <w:tl2br w:val="nil"/>
              <w:tr2bl w:val="nil"/>
            </w:tcBorders>
            <w:shd w:val="clear" w:color="auto" w:fill="auto"/>
            <w:noWrap/>
            <w:tcMar>
              <w:top w:w="15" w:type="dxa"/>
              <w:left w:w="15" w:type="dxa"/>
              <w:right w:w="15" w:type="dxa"/>
            </w:tcMar>
            <w:vAlign w:val="center"/>
          </w:tcPr>
          <w:p w14:paraId="61333316">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 xml:space="preserve">冬季                </w:t>
            </w:r>
          </w:p>
        </w:tc>
        <w:tc>
          <w:tcPr>
            <w:tcW w:w="449" w:type="pct"/>
            <w:tcBorders>
              <w:tl2br w:val="nil"/>
              <w:tr2bl w:val="nil"/>
            </w:tcBorders>
            <w:shd w:val="clear" w:color="auto" w:fill="auto"/>
            <w:noWrap/>
            <w:tcMar>
              <w:top w:w="15" w:type="dxa"/>
              <w:left w:w="15" w:type="dxa"/>
              <w:right w:w="15" w:type="dxa"/>
            </w:tcMar>
            <w:vAlign w:val="center"/>
          </w:tcPr>
          <w:p w14:paraId="043BC377">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w:t>
            </w:r>
          </w:p>
        </w:tc>
        <w:tc>
          <w:tcPr>
            <w:tcW w:w="366" w:type="pct"/>
            <w:tcBorders>
              <w:tl2br w:val="nil"/>
              <w:tr2bl w:val="nil"/>
            </w:tcBorders>
            <w:shd w:val="clear" w:color="auto" w:fill="auto"/>
            <w:noWrap/>
            <w:tcMar>
              <w:top w:w="15" w:type="dxa"/>
              <w:left w:w="15" w:type="dxa"/>
              <w:right w:w="15" w:type="dxa"/>
            </w:tcMar>
            <w:vAlign w:val="center"/>
          </w:tcPr>
          <w:p w14:paraId="03C65200">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w:t>
            </w:r>
          </w:p>
        </w:tc>
        <w:tc>
          <w:tcPr>
            <w:tcW w:w="299" w:type="pct"/>
            <w:tcBorders>
              <w:tl2br w:val="nil"/>
              <w:tr2bl w:val="nil"/>
            </w:tcBorders>
            <w:shd w:val="clear" w:color="auto" w:fill="auto"/>
            <w:noWrap/>
            <w:tcMar>
              <w:top w:w="15" w:type="dxa"/>
              <w:left w:w="15" w:type="dxa"/>
              <w:right w:w="15" w:type="dxa"/>
            </w:tcMar>
            <w:vAlign w:val="center"/>
          </w:tcPr>
          <w:p w14:paraId="6A446C17">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3.1</w:t>
            </w:r>
          </w:p>
        </w:tc>
        <w:tc>
          <w:tcPr>
            <w:tcW w:w="299" w:type="pct"/>
            <w:tcBorders>
              <w:tl2br w:val="nil"/>
              <w:tr2bl w:val="nil"/>
            </w:tcBorders>
            <w:shd w:val="clear" w:color="auto" w:fill="auto"/>
            <w:noWrap/>
            <w:tcMar>
              <w:top w:w="15" w:type="dxa"/>
              <w:left w:w="15" w:type="dxa"/>
              <w:right w:w="15" w:type="dxa"/>
            </w:tcMar>
            <w:vAlign w:val="center"/>
          </w:tcPr>
          <w:p w14:paraId="5DF3A0FF">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w:t>
            </w:r>
          </w:p>
        </w:tc>
        <w:tc>
          <w:tcPr>
            <w:tcW w:w="301" w:type="pct"/>
            <w:tcBorders>
              <w:tl2br w:val="nil"/>
              <w:tr2bl w:val="nil"/>
            </w:tcBorders>
            <w:shd w:val="clear" w:color="auto" w:fill="auto"/>
            <w:noWrap/>
            <w:tcMar>
              <w:top w:w="15" w:type="dxa"/>
              <w:left w:w="15" w:type="dxa"/>
              <w:right w:w="15" w:type="dxa"/>
            </w:tcMar>
            <w:vAlign w:val="center"/>
          </w:tcPr>
          <w:p w14:paraId="66742D07">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w:t>
            </w:r>
          </w:p>
        </w:tc>
        <w:tc>
          <w:tcPr>
            <w:tcW w:w="301" w:type="pct"/>
            <w:tcBorders>
              <w:tl2br w:val="nil"/>
              <w:tr2bl w:val="nil"/>
            </w:tcBorders>
            <w:shd w:val="clear" w:color="auto" w:fill="auto"/>
            <w:noWrap/>
            <w:tcMar>
              <w:top w:w="15" w:type="dxa"/>
              <w:left w:w="15" w:type="dxa"/>
              <w:right w:w="15" w:type="dxa"/>
            </w:tcMar>
            <w:vAlign w:val="center"/>
          </w:tcPr>
          <w:p w14:paraId="11F04FF2">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w:t>
            </w:r>
          </w:p>
        </w:tc>
        <w:tc>
          <w:tcPr>
            <w:tcW w:w="301" w:type="pct"/>
            <w:tcBorders>
              <w:tl2br w:val="nil"/>
              <w:tr2bl w:val="nil"/>
            </w:tcBorders>
            <w:shd w:val="clear" w:color="auto" w:fill="auto"/>
            <w:noWrap/>
            <w:tcMar>
              <w:top w:w="15" w:type="dxa"/>
              <w:left w:w="15" w:type="dxa"/>
              <w:right w:w="15" w:type="dxa"/>
            </w:tcMar>
            <w:vAlign w:val="center"/>
          </w:tcPr>
          <w:p w14:paraId="4B37A7B1">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3.1</w:t>
            </w:r>
          </w:p>
        </w:tc>
        <w:tc>
          <w:tcPr>
            <w:tcW w:w="301" w:type="pct"/>
            <w:tcBorders>
              <w:tl2br w:val="nil"/>
              <w:tr2bl w:val="nil"/>
            </w:tcBorders>
            <w:shd w:val="clear" w:color="auto" w:fill="auto"/>
            <w:noWrap/>
            <w:tcMar>
              <w:top w:w="15" w:type="dxa"/>
              <w:left w:w="15" w:type="dxa"/>
              <w:right w:w="15" w:type="dxa"/>
            </w:tcMar>
            <w:vAlign w:val="center"/>
          </w:tcPr>
          <w:p w14:paraId="312914A8">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w:t>
            </w:r>
          </w:p>
        </w:tc>
        <w:tc>
          <w:tcPr>
            <w:tcW w:w="301" w:type="pct"/>
            <w:tcBorders>
              <w:tl2br w:val="nil"/>
              <w:tr2bl w:val="nil"/>
            </w:tcBorders>
            <w:shd w:val="clear" w:color="auto" w:fill="auto"/>
            <w:noWrap/>
            <w:tcMar>
              <w:top w:w="15" w:type="dxa"/>
              <w:left w:w="15" w:type="dxa"/>
              <w:right w:w="15" w:type="dxa"/>
            </w:tcMar>
            <w:vAlign w:val="center"/>
          </w:tcPr>
          <w:p w14:paraId="100A4554">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w:t>
            </w:r>
          </w:p>
        </w:tc>
        <w:tc>
          <w:tcPr>
            <w:tcW w:w="301" w:type="pct"/>
            <w:tcBorders>
              <w:tl2br w:val="nil"/>
              <w:tr2bl w:val="nil"/>
            </w:tcBorders>
            <w:shd w:val="clear" w:color="auto" w:fill="auto"/>
            <w:noWrap/>
            <w:tcMar>
              <w:top w:w="15" w:type="dxa"/>
              <w:left w:w="15" w:type="dxa"/>
              <w:right w:w="15" w:type="dxa"/>
            </w:tcMar>
            <w:vAlign w:val="center"/>
          </w:tcPr>
          <w:p w14:paraId="75126840">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3.2</w:t>
            </w:r>
          </w:p>
        </w:tc>
        <w:tc>
          <w:tcPr>
            <w:tcW w:w="301" w:type="pct"/>
            <w:tcBorders>
              <w:tl2br w:val="nil"/>
              <w:tr2bl w:val="nil"/>
            </w:tcBorders>
            <w:shd w:val="clear" w:color="auto" w:fill="auto"/>
            <w:noWrap/>
            <w:tcMar>
              <w:top w:w="15" w:type="dxa"/>
              <w:left w:w="15" w:type="dxa"/>
              <w:right w:w="15" w:type="dxa"/>
            </w:tcMar>
            <w:vAlign w:val="center"/>
          </w:tcPr>
          <w:p w14:paraId="5E365D0E">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3.2</w:t>
            </w:r>
          </w:p>
        </w:tc>
        <w:tc>
          <w:tcPr>
            <w:tcW w:w="301" w:type="pct"/>
            <w:tcBorders>
              <w:tl2br w:val="nil"/>
              <w:tr2bl w:val="nil"/>
            </w:tcBorders>
            <w:shd w:val="clear" w:color="auto" w:fill="auto"/>
            <w:noWrap/>
            <w:tcMar>
              <w:top w:w="15" w:type="dxa"/>
              <w:left w:w="15" w:type="dxa"/>
              <w:right w:w="15" w:type="dxa"/>
            </w:tcMar>
            <w:vAlign w:val="center"/>
          </w:tcPr>
          <w:p w14:paraId="669CBB06">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3.3</w:t>
            </w:r>
          </w:p>
        </w:tc>
      </w:tr>
      <w:tr w14:paraId="24D219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14" w:hRule="atLeast"/>
        </w:trPr>
        <w:tc>
          <w:tcPr>
            <w:tcW w:w="1172" w:type="pct"/>
            <w:tcBorders>
              <w:tl2br w:val="nil"/>
              <w:tr2bl w:val="nil"/>
            </w:tcBorders>
            <w:shd w:val="clear" w:color="auto" w:fill="auto"/>
            <w:noWrap/>
            <w:tcMar>
              <w:top w:w="15" w:type="dxa"/>
              <w:left w:w="15" w:type="dxa"/>
              <w:right w:w="15" w:type="dxa"/>
            </w:tcMar>
            <w:vAlign w:val="center"/>
            <mc:AlternateContent>
              <mc:Choice Requires="wpsCustomData">
                <wpsCustomData:diagonals>
                  <wpsCustomData:diagonal from="10000" to="30000">
                    <wpsCustomData:border w:val="single" w:color="000000" w:sz="4" w:space="0"/>
                  </wpsCustomData:diagonal>
                </wpsCustomData:diagonals>
              </mc:Choice>
            </mc:AlternateContent>
          </w:tcPr>
          <w:p w14:paraId="49281C45">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 xml:space="preserve">   </w:t>
            </w:r>
            <w:r>
              <w:rPr>
                <w:rFonts w:hint="eastAsia" w:ascii="Times New Roman" w:hAnsi="Times New Roman" w:cs="Times New Roman"/>
                <w:b/>
                <w:bCs/>
                <w:color w:val="auto"/>
                <w:sz w:val="21"/>
                <w:szCs w:val="21"/>
                <w:u w:val="none"/>
                <w:lang w:val="en-US" w:eastAsia="zh-CN"/>
              </w:rPr>
              <w:t xml:space="preserve">   </w:t>
            </w:r>
            <w:r>
              <w:rPr>
                <w:rFonts w:hint="default" w:ascii="Times New Roman" w:hAnsi="Times New Roman" w:cs="Times New Roman"/>
                <w:b/>
                <w:bCs/>
                <w:color w:val="auto"/>
                <w:sz w:val="21"/>
                <w:szCs w:val="21"/>
                <w:u w:val="none"/>
              </w:rPr>
              <w:t xml:space="preserve">    </w:t>
            </w:r>
          </w:p>
          <w:p w14:paraId="22D14CCC">
            <w:pPr>
              <w:pStyle w:val="1556"/>
              <w:adjustRightInd w:val="0"/>
              <w:snapToGrid w:val="0"/>
              <w:spacing w:beforeLines="0" w:afterLines="0" w:line="240" w:lineRule="auto"/>
              <w:ind w:firstLine="0"/>
              <mc:AlternateContent>
                <mc:Choice Requires="wpsCustomData">
                  <wpsCustomData:diagonalParaType/>
                </mc:Choice>
              </mc:AlternateContent>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 xml:space="preserve">小时（h） </w:t>
            </w:r>
          </w:p>
          <w:p w14:paraId="64E66F19">
            <w:pPr>
              <w:pStyle w:val="1556"/>
              <w:adjustRightInd w:val="0"/>
              <w:snapToGrid w:val="0"/>
              <w:spacing w:beforeLines="0" w:afterLines="0" w:line="240" w:lineRule="auto"/>
              <w:ind w:firstLine="0"/>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风速（m/s）</w:t>
            </w:r>
          </w:p>
        </w:tc>
        <w:tc>
          <w:tcPr>
            <w:tcW w:w="449" w:type="pct"/>
            <w:tcBorders>
              <w:tl2br w:val="nil"/>
              <w:tr2bl w:val="nil"/>
            </w:tcBorders>
            <w:shd w:val="clear" w:color="auto" w:fill="auto"/>
            <w:noWrap/>
            <w:tcMar>
              <w:top w:w="15" w:type="dxa"/>
              <w:left w:w="15" w:type="dxa"/>
              <w:right w:w="15" w:type="dxa"/>
            </w:tcMar>
            <w:vAlign w:val="center"/>
          </w:tcPr>
          <w:p w14:paraId="527BFDC2">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13</w:t>
            </w:r>
          </w:p>
        </w:tc>
        <w:tc>
          <w:tcPr>
            <w:tcW w:w="366" w:type="pct"/>
            <w:tcBorders>
              <w:tl2br w:val="nil"/>
              <w:tr2bl w:val="nil"/>
            </w:tcBorders>
            <w:shd w:val="clear" w:color="auto" w:fill="auto"/>
            <w:noWrap/>
            <w:tcMar>
              <w:top w:w="15" w:type="dxa"/>
              <w:left w:w="15" w:type="dxa"/>
              <w:right w:w="15" w:type="dxa"/>
            </w:tcMar>
            <w:vAlign w:val="center"/>
          </w:tcPr>
          <w:p w14:paraId="79C2D889">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14</w:t>
            </w:r>
          </w:p>
        </w:tc>
        <w:tc>
          <w:tcPr>
            <w:tcW w:w="299" w:type="pct"/>
            <w:tcBorders>
              <w:tl2br w:val="nil"/>
              <w:tr2bl w:val="nil"/>
            </w:tcBorders>
            <w:shd w:val="clear" w:color="auto" w:fill="auto"/>
            <w:noWrap/>
            <w:tcMar>
              <w:top w:w="15" w:type="dxa"/>
              <w:left w:w="15" w:type="dxa"/>
              <w:right w:w="15" w:type="dxa"/>
            </w:tcMar>
            <w:vAlign w:val="center"/>
          </w:tcPr>
          <w:p w14:paraId="42F9F089">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15</w:t>
            </w:r>
          </w:p>
        </w:tc>
        <w:tc>
          <w:tcPr>
            <w:tcW w:w="299" w:type="pct"/>
            <w:tcBorders>
              <w:tl2br w:val="nil"/>
              <w:tr2bl w:val="nil"/>
            </w:tcBorders>
            <w:shd w:val="clear" w:color="auto" w:fill="auto"/>
            <w:noWrap/>
            <w:tcMar>
              <w:top w:w="15" w:type="dxa"/>
              <w:left w:w="15" w:type="dxa"/>
              <w:right w:w="15" w:type="dxa"/>
            </w:tcMar>
            <w:vAlign w:val="center"/>
          </w:tcPr>
          <w:p w14:paraId="098D9FD9">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16</w:t>
            </w:r>
          </w:p>
        </w:tc>
        <w:tc>
          <w:tcPr>
            <w:tcW w:w="301" w:type="pct"/>
            <w:tcBorders>
              <w:tl2br w:val="nil"/>
              <w:tr2bl w:val="nil"/>
            </w:tcBorders>
            <w:shd w:val="clear" w:color="auto" w:fill="auto"/>
            <w:noWrap/>
            <w:tcMar>
              <w:top w:w="15" w:type="dxa"/>
              <w:left w:w="15" w:type="dxa"/>
              <w:right w:w="15" w:type="dxa"/>
            </w:tcMar>
            <w:vAlign w:val="center"/>
          </w:tcPr>
          <w:p w14:paraId="193A06C6">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17</w:t>
            </w:r>
          </w:p>
        </w:tc>
        <w:tc>
          <w:tcPr>
            <w:tcW w:w="301" w:type="pct"/>
            <w:tcBorders>
              <w:tl2br w:val="nil"/>
              <w:tr2bl w:val="nil"/>
            </w:tcBorders>
            <w:shd w:val="clear" w:color="auto" w:fill="auto"/>
            <w:noWrap/>
            <w:tcMar>
              <w:top w:w="15" w:type="dxa"/>
              <w:left w:w="15" w:type="dxa"/>
              <w:right w:w="15" w:type="dxa"/>
            </w:tcMar>
            <w:vAlign w:val="center"/>
          </w:tcPr>
          <w:p w14:paraId="6222A395">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18</w:t>
            </w:r>
          </w:p>
        </w:tc>
        <w:tc>
          <w:tcPr>
            <w:tcW w:w="301" w:type="pct"/>
            <w:tcBorders>
              <w:tl2br w:val="nil"/>
              <w:tr2bl w:val="nil"/>
            </w:tcBorders>
            <w:shd w:val="clear" w:color="auto" w:fill="auto"/>
            <w:noWrap/>
            <w:tcMar>
              <w:top w:w="15" w:type="dxa"/>
              <w:left w:w="15" w:type="dxa"/>
              <w:right w:w="15" w:type="dxa"/>
            </w:tcMar>
            <w:vAlign w:val="center"/>
          </w:tcPr>
          <w:p w14:paraId="65EA7A2C">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19</w:t>
            </w:r>
          </w:p>
        </w:tc>
        <w:tc>
          <w:tcPr>
            <w:tcW w:w="301" w:type="pct"/>
            <w:tcBorders>
              <w:tl2br w:val="nil"/>
              <w:tr2bl w:val="nil"/>
            </w:tcBorders>
            <w:shd w:val="clear" w:color="auto" w:fill="auto"/>
            <w:noWrap/>
            <w:tcMar>
              <w:top w:w="15" w:type="dxa"/>
              <w:left w:w="15" w:type="dxa"/>
              <w:right w:w="15" w:type="dxa"/>
            </w:tcMar>
            <w:vAlign w:val="center"/>
          </w:tcPr>
          <w:p w14:paraId="6F5DCB2A">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20</w:t>
            </w:r>
          </w:p>
        </w:tc>
        <w:tc>
          <w:tcPr>
            <w:tcW w:w="301" w:type="pct"/>
            <w:tcBorders>
              <w:tl2br w:val="nil"/>
              <w:tr2bl w:val="nil"/>
            </w:tcBorders>
            <w:shd w:val="clear" w:color="auto" w:fill="auto"/>
            <w:noWrap/>
            <w:tcMar>
              <w:top w:w="15" w:type="dxa"/>
              <w:left w:w="15" w:type="dxa"/>
              <w:right w:w="15" w:type="dxa"/>
            </w:tcMar>
            <w:vAlign w:val="center"/>
          </w:tcPr>
          <w:p w14:paraId="7C47FAA6">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21</w:t>
            </w:r>
          </w:p>
        </w:tc>
        <w:tc>
          <w:tcPr>
            <w:tcW w:w="301" w:type="pct"/>
            <w:tcBorders>
              <w:tl2br w:val="nil"/>
              <w:tr2bl w:val="nil"/>
            </w:tcBorders>
            <w:shd w:val="clear" w:color="auto" w:fill="auto"/>
            <w:noWrap/>
            <w:tcMar>
              <w:top w:w="15" w:type="dxa"/>
              <w:left w:w="15" w:type="dxa"/>
              <w:right w:w="15" w:type="dxa"/>
            </w:tcMar>
            <w:vAlign w:val="center"/>
          </w:tcPr>
          <w:p w14:paraId="70679DD3">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22</w:t>
            </w:r>
          </w:p>
        </w:tc>
        <w:tc>
          <w:tcPr>
            <w:tcW w:w="301" w:type="pct"/>
            <w:tcBorders>
              <w:tl2br w:val="nil"/>
              <w:tr2bl w:val="nil"/>
            </w:tcBorders>
            <w:shd w:val="clear" w:color="auto" w:fill="auto"/>
            <w:noWrap/>
            <w:tcMar>
              <w:top w:w="15" w:type="dxa"/>
              <w:left w:w="15" w:type="dxa"/>
              <w:right w:w="15" w:type="dxa"/>
            </w:tcMar>
            <w:vAlign w:val="center"/>
          </w:tcPr>
          <w:p w14:paraId="521E9AAB">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23</w:t>
            </w:r>
          </w:p>
        </w:tc>
        <w:tc>
          <w:tcPr>
            <w:tcW w:w="301" w:type="pct"/>
            <w:tcBorders>
              <w:tl2br w:val="nil"/>
              <w:tr2bl w:val="nil"/>
            </w:tcBorders>
            <w:shd w:val="clear" w:color="auto" w:fill="auto"/>
            <w:noWrap/>
            <w:tcMar>
              <w:top w:w="15" w:type="dxa"/>
              <w:left w:w="15" w:type="dxa"/>
              <w:right w:w="15" w:type="dxa"/>
            </w:tcMar>
            <w:vAlign w:val="center"/>
          </w:tcPr>
          <w:p w14:paraId="7B206510">
            <w:pPr>
              <w:pStyle w:val="1556"/>
              <w:adjustRightInd w:val="0"/>
              <w:snapToGrid w:val="0"/>
              <w:spacing w:beforeLines="0" w:afterLines="0" w:line="240" w:lineRule="auto"/>
              <w:ind w:firstLine="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24</w:t>
            </w:r>
          </w:p>
        </w:tc>
      </w:tr>
      <w:tr w14:paraId="65C60C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172" w:type="pct"/>
            <w:tcBorders>
              <w:tl2br w:val="nil"/>
              <w:tr2bl w:val="nil"/>
            </w:tcBorders>
            <w:shd w:val="clear" w:color="auto" w:fill="auto"/>
            <w:noWrap/>
            <w:tcMar>
              <w:top w:w="15" w:type="dxa"/>
              <w:left w:w="15" w:type="dxa"/>
              <w:right w:w="15" w:type="dxa"/>
            </w:tcMar>
            <w:vAlign w:val="center"/>
          </w:tcPr>
          <w:p w14:paraId="2B39E13C">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 xml:space="preserve">春季                </w:t>
            </w:r>
          </w:p>
        </w:tc>
        <w:tc>
          <w:tcPr>
            <w:tcW w:w="449" w:type="pct"/>
            <w:tcBorders>
              <w:tl2br w:val="nil"/>
              <w:tr2bl w:val="nil"/>
            </w:tcBorders>
            <w:shd w:val="clear" w:color="auto" w:fill="auto"/>
            <w:noWrap/>
            <w:tcMar>
              <w:top w:w="15" w:type="dxa"/>
              <w:left w:w="15" w:type="dxa"/>
              <w:right w:w="15" w:type="dxa"/>
            </w:tcMar>
            <w:vAlign w:val="center"/>
          </w:tcPr>
          <w:p w14:paraId="6682747D">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3.8</w:t>
            </w:r>
          </w:p>
        </w:tc>
        <w:tc>
          <w:tcPr>
            <w:tcW w:w="366" w:type="pct"/>
            <w:tcBorders>
              <w:tl2br w:val="nil"/>
              <w:tr2bl w:val="nil"/>
            </w:tcBorders>
            <w:shd w:val="clear" w:color="auto" w:fill="auto"/>
            <w:noWrap/>
            <w:tcMar>
              <w:top w:w="15" w:type="dxa"/>
              <w:left w:w="15" w:type="dxa"/>
              <w:right w:w="15" w:type="dxa"/>
            </w:tcMar>
            <w:vAlign w:val="center"/>
          </w:tcPr>
          <w:p w14:paraId="35BBDA5E">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3.9</w:t>
            </w:r>
          </w:p>
        </w:tc>
        <w:tc>
          <w:tcPr>
            <w:tcW w:w="299" w:type="pct"/>
            <w:tcBorders>
              <w:tl2br w:val="nil"/>
              <w:tr2bl w:val="nil"/>
            </w:tcBorders>
            <w:shd w:val="clear" w:color="auto" w:fill="auto"/>
            <w:noWrap/>
            <w:tcMar>
              <w:top w:w="15" w:type="dxa"/>
              <w:left w:w="15" w:type="dxa"/>
              <w:right w:w="15" w:type="dxa"/>
            </w:tcMar>
            <w:vAlign w:val="center"/>
          </w:tcPr>
          <w:p w14:paraId="02B524C4">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4</w:t>
            </w:r>
          </w:p>
        </w:tc>
        <w:tc>
          <w:tcPr>
            <w:tcW w:w="299" w:type="pct"/>
            <w:tcBorders>
              <w:tl2br w:val="nil"/>
              <w:tr2bl w:val="nil"/>
            </w:tcBorders>
            <w:shd w:val="clear" w:color="auto" w:fill="auto"/>
            <w:noWrap/>
            <w:tcMar>
              <w:top w:w="15" w:type="dxa"/>
              <w:left w:w="15" w:type="dxa"/>
              <w:right w:w="15" w:type="dxa"/>
            </w:tcMar>
            <w:vAlign w:val="center"/>
          </w:tcPr>
          <w:p w14:paraId="7A5013CB">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4</w:t>
            </w:r>
          </w:p>
        </w:tc>
        <w:tc>
          <w:tcPr>
            <w:tcW w:w="301" w:type="pct"/>
            <w:tcBorders>
              <w:tl2br w:val="nil"/>
              <w:tr2bl w:val="nil"/>
            </w:tcBorders>
            <w:shd w:val="clear" w:color="auto" w:fill="auto"/>
            <w:noWrap/>
            <w:tcMar>
              <w:top w:w="15" w:type="dxa"/>
              <w:left w:w="15" w:type="dxa"/>
              <w:right w:w="15" w:type="dxa"/>
            </w:tcMar>
            <w:vAlign w:val="center"/>
          </w:tcPr>
          <w:p w14:paraId="6D145379">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3.8</w:t>
            </w:r>
          </w:p>
        </w:tc>
        <w:tc>
          <w:tcPr>
            <w:tcW w:w="301" w:type="pct"/>
            <w:tcBorders>
              <w:tl2br w:val="nil"/>
              <w:tr2bl w:val="nil"/>
            </w:tcBorders>
            <w:shd w:val="clear" w:color="auto" w:fill="auto"/>
            <w:noWrap/>
            <w:tcMar>
              <w:top w:w="15" w:type="dxa"/>
              <w:left w:w="15" w:type="dxa"/>
              <w:right w:w="15" w:type="dxa"/>
            </w:tcMar>
            <w:vAlign w:val="center"/>
          </w:tcPr>
          <w:p w14:paraId="3FD33C1F">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3.6</w:t>
            </w:r>
          </w:p>
        </w:tc>
        <w:tc>
          <w:tcPr>
            <w:tcW w:w="301" w:type="pct"/>
            <w:tcBorders>
              <w:tl2br w:val="nil"/>
              <w:tr2bl w:val="nil"/>
            </w:tcBorders>
            <w:shd w:val="clear" w:color="auto" w:fill="auto"/>
            <w:noWrap/>
            <w:tcMar>
              <w:top w:w="15" w:type="dxa"/>
              <w:left w:w="15" w:type="dxa"/>
              <w:right w:w="15" w:type="dxa"/>
            </w:tcMar>
            <w:vAlign w:val="center"/>
          </w:tcPr>
          <w:p w14:paraId="25B65225">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3.4</w:t>
            </w:r>
          </w:p>
        </w:tc>
        <w:tc>
          <w:tcPr>
            <w:tcW w:w="301" w:type="pct"/>
            <w:tcBorders>
              <w:tl2br w:val="nil"/>
              <w:tr2bl w:val="nil"/>
            </w:tcBorders>
            <w:shd w:val="clear" w:color="auto" w:fill="auto"/>
            <w:noWrap/>
            <w:tcMar>
              <w:top w:w="15" w:type="dxa"/>
              <w:left w:w="15" w:type="dxa"/>
              <w:right w:w="15" w:type="dxa"/>
            </w:tcMar>
            <w:vAlign w:val="center"/>
          </w:tcPr>
          <w:p w14:paraId="5E7A29F6">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3.1</w:t>
            </w:r>
          </w:p>
        </w:tc>
        <w:tc>
          <w:tcPr>
            <w:tcW w:w="301" w:type="pct"/>
            <w:tcBorders>
              <w:tl2br w:val="nil"/>
              <w:tr2bl w:val="nil"/>
            </w:tcBorders>
            <w:shd w:val="clear" w:color="auto" w:fill="auto"/>
            <w:noWrap/>
            <w:tcMar>
              <w:top w:w="15" w:type="dxa"/>
              <w:left w:w="15" w:type="dxa"/>
              <w:right w:w="15" w:type="dxa"/>
            </w:tcMar>
            <w:vAlign w:val="center"/>
          </w:tcPr>
          <w:p w14:paraId="0FA89803">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w:t>
            </w:r>
          </w:p>
        </w:tc>
        <w:tc>
          <w:tcPr>
            <w:tcW w:w="301" w:type="pct"/>
            <w:tcBorders>
              <w:tl2br w:val="nil"/>
              <w:tr2bl w:val="nil"/>
            </w:tcBorders>
            <w:shd w:val="clear" w:color="auto" w:fill="auto"/>
            <w:noWrap/>
            <w:tcMar>
              <w:top w:w="15" w:type="dxa"/>
              <w:left w:w="15" w:type="dxa"/>
              <w:right w:w="15" w:type="dxa"/>
            </w:tcMar>
            <w:vAlign w:val="center"/>
          </w:tcPr>
          <w:p w14:paraId="51DC762B">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2.8</w:t>
            </w:r>
          </w:p>
        </w:tc>
        <w:tc>
          <w:tcPr>
            <w:tcW w:w="301" w:type="pct"/>
            <w:tcBorders>
              <w:tl2br w:val="nil"/>
              <w:tr2bl w:val="nil"/>
            </w:tcBorders>
            <w:shd w:val="clear" w:color="auto" w:fill="auto"/>
            <w:noWrap/>
            <w:tcMar>
              <w:top w:w="15" w:type="dxa"/>
              <w:left w:w="15" w:type="dxa"/>
              <w:right w:w="15" w:type="dxa"/>
            </w:tcMar>
            <w:vAlign w:val="center"/>
          </w:tcPr>
          <w:p w14:paraId="11AE299D">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2.7</w:t>
            </w:r>
          </w:p>
        </w:tc>
        <w:tc>
          <w:tcPr>
            <w:tcW w:w="301" w:type="pct"/>
            <w:tcBorders>
              <w:tl2br w:val="nil"/>
              <w:tr2bl w:val="nil"/>
            </w:tcBorders>
            <w:shd w:val="clear" w:color="auto" w:fill="auto"/>
            <w:noWrap/>
            <w:tcMar>
              <w:top w:w="15" w:type="dxa"/>
              <w:left w:w="15" w:type="dxa"/>
              <w:right w:w="15" w:type="dxa"/>
            </w:tcMar>
            <w:vAlign w:val="center"/>
          </w:tcPr>
          <w:p w14:paraId="617F2547">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2.8</w:t>
            </w:r>
          </w:p>
        </w:tc>
      </w:tr>
      <w:tr w14:paraId="44A87CF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172" w:type="pct"/>
            <w:tcBorders>
              <w:tl2br w:val="nil"/>
              <w:tr2bl w:val="nil"/>
            </w:tcBorders>
            <w:shd w:val="clear" w:color="auto" w:fill="auto"/>
            <w:noWrap/>
            <w:tcMar>
              <w:top w:w="15" w:type="dxa"/>
              <w:left w:w="15" w:type="dxa"/>
              <w:right w:w="15" w:type="dxa"/>
            </w:tcMar>
            <w:vAlign w:val="center"/>
          </w:tcPr>
          <w:p w14:paraId="79D2DB4F">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 xml:space="preserve">夏季                </w:t>
            </w:r>
          </w:p>
        </w:tc>
        <w:tc>
          <w:tcPr>
            <w:tcW w:w="449" w:type="pct"/>
            <w:tcBorders>
              <w:tl2br w:val="nil"/>
              <w:tr2bl w:val="nil"/>
            </w:tcBorders>
            <w:shd w:val="clear" w:color="auto" w:fill="auto"/>
            <w:noWrap/>
            <w:tcMar>
              <w:top w:w="15" w:type="dxa"/>
              <w:left w:w="15" w:type="dxa"/>
              <w:right w:w="15" w:type="dxa"/>
            </w:tcMar>
            <w:vAlign w:val="center"/>
          </w:tcPr>
          <w:p w14:paraId="293450C6">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3.6</w:t>
            </w:r>
          </w:p>
        </w:tc>
        <w:tc>
          <w:tcPr>
            <w:tcW w:w="366" w:type="pct"/>
            <w:tcBorders>
              <w:tl2br w:val="nil"/>
              <w:tr2bl w:val="nil"/>
            </w:tcBorders>
            <w:shd w:val="clear" w:color="auto" w:fill="auto"/>
            <w:noWrap/>
            <w:tcMar>
              <w:top w:w="15" w:type="dxa"/>
              <w:left w:w="15" w:type="dxa"/>
              <w:right w:w="15" w:type="dxa"/>
            </w:tcMar>
            <w:vAlign w:val="center"/>
          </w:tcPr>
          <w:p w14:paraId="570B8522">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3.5</w:t>
            </w:r>
          </w:p>
        </w:tc>
        <w:tc>
          <w:tcPr>
            <w:tcW w:w="299" w:type="pct"/>
            <w:tcBorders>
              <w:tl2br w:val="nil"/>
              <w:tr2bl w:val="nil"/>
            </w:tcBorders>
            <w:shd w:val="clear" w:color="auto" w:fill="auto"/>
            <w:noWrap/>
            <w:tcMar>
              <w:top w:w="15" w:type="dxa"/>
              <w:left w:w="15" w:type="dxa"/>
              <w:right w:w="15" w:type="dxa"/>
            </w:tcMar>
            <w:vAlign w:val="center"/>
          </w:tcPr>
          <w:p w14:paraId="6FFF54F2">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3.7</w:t>
            </w:r>
          </w:p>
        </w:tc>
        <w:tc>
          <w:tcPr>
            <w:tcW w:w="299" w:type="pct"/>
            <w:tcBorders>
              <w:tl2br w:val="nil"/>
              <w:tr2bl w:val="nil"/>
            </w:tcBorders>
            <w:shd w:val="clear" w:color="auto" w:fill="auto"/>
            <w:noWrap/>
            <w:tcMar>
              <w:top w:w="15" w:type="dxa"/>
              <w:left w:w="15" w:type="dxa"/>
              <w:right w:w="15" w:type="dxa"/>
            </w:tcMar>
            <w:vAlign w:val="center"/>
          </w:tcPr>
          <w:p w14:paraId="316AC1D3">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3.5</w:t>
            </w:r>
          </w:p>
        </w:tc>
        <w:tc>
          <w:tcPr>
            <w:tcW w:w="301" w:type="pct"/>
            <w:tcBorders>
              <w:tl2br w:val="nil"/>
              <w:tr2bl w:val="nil"/>
            </w:tcBorders>
            <w:shd w:val="clear" w:color="auto" w:fill="auto"/>
            <w:noWrap/>
            <w:tcMar>
              <w:top w:w="15" w:type="dxa"/>
              <w:left w:w="15" w:type="dxa"/>
              <w:right w:w="15" w:type="dxa"/>
            </w:tcMar>
            <w:vAlign w:val="center"/>
          </w:tcPr>
          <w:p w14:paraId="679A8382">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3.7</w:t>
            </w:r>
          </w:p>
        </w:tc>
        <w:tc>
          <w:tcPr>
            <w:tcW w:w="301" w:type="pct"/>
            <w:tcBorders>
              <w:tl2br w:val="nil"/>
              <w:tr2bl w:val="nil"/>
            </w:tcBorders>
            <w:shd w:val="clear" w:color="auto" w:fill="auto"/>
            <w:noWrap/>
            <w:tcMar>
              <w:top w:w="15" w:type="dxa"/>
              <w:left w:w="15" w:type="dxa"/>
              <w:right w:w="15" w:type="dxa"/>
            </w:tcMar>
            <w:vAlign w:val="center"/>
          </w:tcPr>
          <w:p w14:paraId="2DB3F37C">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3.5</w:t>
            </w:r>
          </w:p>
        </w:tc>
        <w:tc>
          <w:tcPr>
            <w:tcW w:w="301" w:type="pct"/>
            <w:tcBorders>
              <w:tl2br w:val="nil"/>
              <w:tr2bl w:val="nil"/>
            </w:tcBorders>
            <w:shd w:val="clear" w:color="auto" w:fill="auto"/>
            <w:noWrap/>
            <w:tcMar>
              <w:top w:w="15" w:type="dxa"/>
              <w:left w:w="15" w:type="dxa"/>
              <w:right w:w="15" w:type="dxa"/>
            </w:tcMar>
            <w:vAlign w:val="center"/>
          </w:tcPr>
          <w:p w14:paraId="6B90AD0B">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3.4</w:t>
            </w:r>
          </w:p>
        </w:tc>
        <w:tc>
          <w:tcPr>
            <w:tcW w:w="301" w:type="pct"/>
            <w:tcBorders>
              <w:tl2br w:val="nil"/>
              <w:tr2bl w:val="nil"/>
            </w:tcBorders>
            <w:shd w:val="clear" w:color="auto" w:fill="auto"/>
            <w:noWrap/>
            <w:tcMar>
              <w:top w:w="15" w:type="dxa"/>
              <w:left w:w="15" w:type="dxa"/>
              <w:right w:w="15" w:type="dxa"/>
            </w:tcMar>
            <w:vAlign w:val="center"/>
          </w:tcPr>
          <w:p w14:paraId="284B6666">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2.9</w:t>
            </w:r>
          </w:p>
        </w:tc>
        <w:tc>
          <w:tcPr>
            <w:tcW w:w="301" w:type="pct"/>
            <w:tcBorders>
              <w:tl2br w:val="nil"/>
              <w:tr2bl w:val="nil"/>
            </w:tcBorders>
            <w:shd w:val="clear" w:color="auto" w:fill="auto"/>
            <w:noWrap/>
            <w:tcMar>
              <w:top w:w="15" w:type="dxa"/>
              <w:left w:w="15" w:type="dxa"/>
              <w:right w:w="15" w:type="dxa"/>
            </w:tcMar>
            <w:vAlign w:val="center"/>
          </w:tcPr>
          <w:p w14:paraId="6FA42401">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2.8</w:t>
            </w:r>
          </w:p>
        </w:tc>
        <w:tc>
          <w:tcPr>
            <w:tcW w:w="301" w:type="pct"/>
            <w:tcBorders>
              <w:tl2br w:val="nil"/>
              <w:tr2bl w:val="nil"/>
            </w:tcBorders>
            <w:shd w:val="clear" w:color="auto" w:fill="auto"/>
            <w:noWrap/>
            <w:tcMar>
              <w:top w:w="15" w:type="dxa"/>
              <w:left w:w="15" w:type="dxa"/>
              <w:right w:w="15" w:type="dxa"/>
            </w:tcMar>
            <w:vAlign w:val="center"/>
          </w:tcPr>
          <w:p w14:paraId="0706291C">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2.7</w:t>
            </w:r>
          </w:p>
        </w:tc>
        <w:tc>
          <w:tcPr>
            <w:tcW w:w="301" w:type="pct"/>
            <w:tcBorders>
              <w:tl2br w:val="nil"/>
              <w:tr2bl w:val="nil"/>
            </w:tcBorders>
            <w:shd w:val="clear" w:color="auto" w:fill="auto"/>
            <w:noWrap/>
            <w:tcMar>
              <w:top w:w="15" w:type="dxa"/>
              <w:left w:w="15" w:type="dxa"/>
              <w:right w:w="15" w:type="dxa"/>
            </w:tcMar>
            <w:vAlign w:val="center"/>
          </w:tcPr>
          <w:p w14:paraId="1263DCA2">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2.6</w:t>
            </w:r>
          </w:p>
        </w:tc>
        <w:tc>
          <w:tcPr>
            <w:tcW w:w="301" w:type="pct"/>
            <w:tcBorders>
              <w:tl2br w:val="nil"/>
              <w:tr2bl w:val="nil"/>
            </w:tcBorders>
            <w:shd w:val="clear" w:color="auto" w:fill="auto"/>
            <w:noWrap/>
            <w:tcMar>
              <w:top w:w="15" w:type="dxa"/>
              <w:left w:w="15" w:type="dxa"/>
              <w:right w:w="15" w:type="dxa"/>
            </w:tcMar>
            <w:vAlign w:val="center"/>
          </w:tcPr>
          <w:p w14:paraId="1C13F4F1">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2.5</w:t>
            </w:r>
          </w:p>
        </w:tc>
      </w:tr>
      <w:tr w14:paraId="4B3213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172" w:type="pct"/>
            <w:tcBorders>
              <w:tl2br w:val="nil"/>
              <w:tr2bl w:val="nil"/>
            </w:tcBorders>
            <w:shd w:val="clear" w:color="auto" w:fill="auto"/>
            <w:noWrap/>
            <w:tcMar>
              <w:top w:w="15" w:type="dxa"/>
              <w:left w:w="15" w:type="dxa"/>
              <w:right w:w="15" w:type="dxa"/>
            </w:tcMar>
            <w:vAlign w:val="center"/>
          </w:tcPr>
          <w:p w14:paraId="0ECF1182">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 xml:space="preserve">秋季                </w:t>
            </w:r>
          </w:p>
        </w:tc>
        <w:tc>
          <w:tcPr>
            <w:tcW w:w="449" w:type="pct"/>
            <w:tcBorders>
              <w:tl2br w:val="nil"/>
              <w:tr2bl w:val="nil"/>
            </w:tcBorders>
            <w:shd w:val="clear" w:color="auto" w:fill="auto"/>
            <w:noWrap/>
            <w:tcMar>
              <w:top w:w="15" w:type="dxa"/>
              <w:left w:w="15" w:type="dxa"/>
              <w:right w:w="15" w:type="dxa"/>
            </w:tcMar>
            <w:vAlign w:val="center"/>
          </w:tcPr>
          <w:p w14:paraId="38DF72C8">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3.3</w:t>
            </w:r>
          </w:p>
        </w:tc>
        <w:tc>
          <w:tcPr>
            <w:tcW w:w="366" w:type="pct"/>
            <w:tcBorders>
              <w:tl2br w:val="nil"/>
              <w:tr2bl w:val="nil"/>
            </w:tcBorders>
            <w:shd w:val="clear" w:color="auto" w:fill="auto"/>
            <w:noWrap/>
            <w:tcMar>
              <w:top w:w="15" w:type="dxa"/>
              <w:left w:w="15" w:type="dxa"/>
              <w:right w:w="15" w:type="dxa"/>
            </w:tcMar>
            <w:vAlign w:val="center"/>
          </w:tcPr>
          <w:p w14:paraId="6F43323A">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3.3</w:t>
            </w:r>
          </w:p>
        </w:tc>
        <w:tc>
          <w:tcPr>
            <w:tcW w:w="299" w:type="pct"/>
            <w:tcBorders>
              <w:tl2br w:val="nil"/>
              <w:tr2bl w:val="nil"/>
            </w:tcBorders>
            <w:shd w:val="clear" w:color="auto" w:fill="auto"/>
            <w:noWrap/>
            <w:tcMar>
              <w:top w:w="15" w:type="dxa"/>
              <w:left w:w="15" w:type="dxa"/>
              <w:right w:w="15" w:type="dxa"/>
            </w:tcMar>
            <w:vAlign w:val="center"/>
          </w:tcPr>
          <w:p w14:paraId="7FEAD786">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3.3</w:t>
            </w:r>
          </w:p>
        </w:tc>
        <w:tc>
          <w:tcPr>
            <w:tcW w:w="299" w:type="pct"/>
            <w:tcBorders>
              <w:tl2br w:val="nil"/>
              <w:tr2bl w:val="nil"/>
            </w:tcBorders>
            <w:shd w:val="clear" w:color="auto" w:fill="auto"/>
            <w:noWrap/>
            <w:tcMar>
              <w:top w:w="15" w:type="dxa"/>
              <w:left w:w="15" w:type="dxa"/>
              <w:right w:w="15" w:type="dxa"/>
            </w:tcMar>
            <w:vAlign w:val="center"/>
          </w:tcPr>
          <w:p w14:paraId="6F5B24A4">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3.2</w:t>
            </w:r>
          </w:p>
        </w:tc>
        <w:tc>
          <w:tcPr>
            <w:tcW w:w="301" w:type="pct"/>
            <w:tcBorders>
              <w:tl2br w:val="nil"/>
              <w:tr2bl w:val="nil"/>
            </w:tcBorders>
            <w:shd w:val="clear" w:color="auto" w:fill="auto"/>
            <w:noWrap/>
            <w:tcMar>
              <w:top w:w="15" w:type="dxa"/>
              <w:left w:w="15" w:type="dxa"/>
              <w:right w:w="15" w:type="dxa"/>
            </w:tcMar>
            <w:vAlign w:val="center"/>
          </w:tcPr>
          <w:p w14:paraId="16999640">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3.1</w:t>
            </w:r>
          </w:p>
        </w:tc>
        <w:tc>
          <w:tcPr>
            <w:tcW w:w="301" w:type="pct"/>
            <w:tcBorders>
              <w:tl2br w:val="nil"/>
              <w:tr2bl w:val="nil"/>
            </w:tcBorders>
            <w:shd w:val="clear" w:color="auto" w:fill="auto"/>
            <w:noWrap/>
            <w:tcMar>
              <w:top w:w="15" w:type="dxa"/>
              <w:left w:w="15" w:type="dxa"/>
              <w:right w:w="15" w:type="dxa"/>
            </w:tcMar>
            <w:vAlign w:val="center"/>
          </w:tcPr>
          <w:p w14:paraId="1D25D3AB">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2.7</w:t>
            </w:r>
          </w:p>
        </w:tc>
        <w:tc>
          <w:tcPr>
            <w:tcW w:w="301" w:type="pct"/>
            <w:tcBorders>
              <w:tl2br w:val="nil"/>
              <w:tr2bl w:val="nil"/>
            </w:tcBorders>
            <w:shd w:val="clear" w:color="auto" w:fill="auto"/>
            <w:noWrap/>
            <w:tcMar>
              <w:top w:w="15" w:type="dxa"/>
              <w:left w:w="15" w:type="dxa"/>
              <w:right w:w="15" w:type="dxa"/>
            </w:tcMar>
            <w:vAlign w:val="center"/>
          </w:tcPr>
          <w:p w14:paraId="4F36065C">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2.6</w:t>
            </w:r>
          </w:p>
        </w:tc>
        <w:tc>
          <w:tcPr>
            <w:tcW w:w="301" w:type="pct"/>
            <w:tcBorders>
              <w:tl2br w:val="nil"/>
              <w:tr2bl w:val="nil"/>
            </w:tcBorders>
            <w:shd w:val="clear" w:color="auto" w:fill="auto"/>
            <w:noWrap/>
            <w:tcMar>
              <w:top w:w="15" w:type="dxa"/>
              <w:left w:w="15" w:type="dxa"/>
              <w:right w:w="15" w:type="dxa"/>
            </w:tcMar>
            <w:vAlign w:val="center"/>
          </w:tcPr>
          <w:p w14:paraId="669EDCF3">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2.4</w:t>
            </w:r>
          </w:p>
        </w:tc>
        <w:tc>
          <w:tcPr>
            <w:tcW w:w="301" w:type="pct"/>
            <w:tcBorders>
              <w:tl2br w:val="nil"/>
              <w:tr2bl w:val="nil"/>
            </w:tcBorders>
            <w:shd w:val="clear" w:color="auto" w:fill="auto"/>
            <w:noWrap/>
            <w:tcMar>
              <w:top w:w="15" w:type="dxa"/>
              <w:left w:w="15" w:type="dxa"/>
              <w:right w:w="15" w:type="dxa"/>
            </w:tcMar>
            <w:vAlign w:val="center"/>
          </w:tcPr>
          <w:p w14:paraId="778F34D5">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2.4</w:t>
            </w:r>
          </w:p>
        </w:tc>
        <w:tc>
          <w:tcPr>
            <w:tcW w:w="301" w:type="pct"/>
            <w:tcBorders>
              <w:tl2br w:val="nil"/>
              <w:tr2bl w:val="nil"/>
            </w:tcBorders>
            <w:shd w:val="clear" w:color="auto" w:fill="auto"/>
            <w:noWrap/>
            <w:tcMar>
              <w:top w:w="15" w:type="dxa"/>
              <w:left w:w="15" w:type="dxa"/>
              <w:right w:w="15" w:type="dxa"/>
            </w:tcMar>
            <w:vAlign w:val="center"/>
          </w:tcPr>
          <w:p w14:paraId="4BEAD86C">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2.4</w:t>
            </w:r>
          </w:p>
        </w:tc>
        <w:tc>
          <w:tcPr>
            <w:tcW w:w="301" w:type="pct"/>
            <w:tcBorders>
              <w:tl2br w:val="nil"/>
              <w:tr2bl w:val="nil"/>
            </w:tcBorders>
            <w:shd w:val="clear" w:color="auto" w:fill="auto"/>
            <w:noWrap/>
            <w:tcMar>
              <w:top w:w="15" w:type="dxa"/>
              <w:left w:w="15" w:type="dxa"/>
              <w:right w:w="15" w:type="dxa"/>
            </w:tcMar>
            <w:vAlign w:val="center"/>
          </w:tcPr>
          <w:p w14:paraId="0B7D899E">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2.3</w:t>
            </w:r>
          </w:p>
        </w:tc>
        <w:tc>
          <w:tcPr>
            <w:tcW w:w="301" w:type="pct"/>
            <w:tcBorders>
              <w:tl2br w:val="nil"/>
              <w:tr2bl w:val="nil"/>
            </w:tcBorders>
            <w:shd w:val="clear" w:color="auto" w:fill="auto"/>
            <w:noWrap/>
            <w:tcMar>
              <w:top w:w="15" w:type="dxa"/>
              <w:left w:w="15" w:type="dxa"/>
              <w:right w:w="15" w:type="dxa"/>
            </w:tcMar>
            <w:vAlign w:val="center"/>
          </w:tcPr>
          <w:p w14:paraId="6A1538D4">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2.3</w:t>
            </w:r>
          </w:p>
        </w:tc>
      </w:tr>
      <w:tr w14:paraId="01D52B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172" w:type="pct"/>
            <w:tcBorders>
              <w:tl2br w:val="nil"/>
              <w:tr2bl w:val="nil"/>
            </w:tcBorders>
            <w:shd w:val="clear" w:color="auto" w:fill="auto"/>
            <w:noWrap/>
            <w:tcMar>
              <w:top w:w="15" w:type="dxa"/>
              <w:left w:w="15" w:type="dxa"/>
              <w:right w:w="15" w:type="dxa"/>
            </w:tcMar>
            <w:vAlign w:val="center"/>
          </w:tcPr>
          <w:p w14:paraId="5B1C5016">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 xml:space="preserve">冬季                </w:t>
            </w:r>
          </w:p>
        </w:tc>
        <w:tc>
          <w:tcPr>
            <w:tcW w:w="449" w:type="pct"/>
            <w:tcBorders>
              <w:tl2br w:val="nil"/>
              <w:tr2bl w:val="nil"/>
            </w:tcBorders>
            <w:shd w:val="clear" w:color="auto" w:fill="auto"/>
            <w:noWrap/>
            <w:tcMar>
              <w:top w:w="15" w:type="dxa"/>
              <w:left w:w="15" w:type="dxa"/>
              <w:right w:w="15" w:type="dxa"/>
            </w:tcMar>
            <w:vAlign w:val="center"/>
          </w:tcPr>
          <w:p w14:paraId="68393C46">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3.5</w:t>
            </w:r>
          </w:p>
        </w:tc>
        <w:tc>
          <w:tcPr>
            <w:tcW w:w="366" w:type="pct"/>
            <w:tcBorders>
              <w:tl2br w:val="nil"/>
              <w:tr2bl w:val="nil"/>
            </w:tcBorders>
            <w:shd w:val="clear" w:color="auto" w:fill="auto"/>
            <w:noWrap/>
            <w:tcMar>
              <w:top w:w="15" w:type="dxa"/>
              <w:left w:w="15" w:type="dxa"/>
              <w:right w:w="15" w:type="dxa"/>
            </w:tcMar>
            <w:vAlign w:val="center"/>
          </w:tcPr>
          <w:p w14:paraId="76CA32ED">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3.5</w:t>
            </w:r>
          </w:p>
        </w:tc>
        <w:tc>
          <w:tcPr>
            <w:tcW w:w="299" w:type="pct"/>
            <w:tcBorders>
              <w:tl2br w:val="nil"/>
              <w:tr2bl w:val="nil"/>
            </w:tcBorders>
            <w:shd w:val="clear" w:color="auto" w:fill="auto"/>
            <w:noWrap/>
            <w:tcMar>
              <w:top w:w="15" w:type="dxa"/>
              <w:left w:w="15" w:type="dxa"/>
              <w:right w:w="15" w:type="dxa"/>
            </w:tcMar>
            <w:vAlign w:val="center"/>
          </w:tcPr>
          <w:p w14:paraId="4610A4B6">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3.5</w:t>
            </w:r>
          </w:p>
        </w:tc>
        <w:tc>
          <w:tcPr>
            <w:tcW w:w="299" w:type="pct"/>
            <w:tcBorders>
              <w:tl2br w:val="nil"/>
              <w:tr2bl w:val="nil"/>
            </w:tcBorders>
            <w:shd w:val="clear" w:color="auto" w:fill="auto"/>
            <w:noWrap/>
            <w:tcMar>
              <w:top w:w="15" w:type="dxa"/>
              <w:left w:w="15" w:type="dxa"/>
              <w:right w:w="15" w:type="dxa"/>
            </w:tcMar>
            <w:vAlign w:val="center"/>
          </w:tcPr>
          <w:p w14:paraId="078BA247">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3.4</w:t>
            </w:r>
          </w:p>
        </w:tc>
        <w:tc>
          <w:tcPr>
            <w:tcW w:w="301" w:type="pct"/>
            <w:tcBorders>
              <w:tl2br w:val="nil"/>
              <w:tr2bl w:val="nil"/>
            </w:tcBorders>
            <w:shd w:val="clear" w:color="auto" w:fill="auto"/>
            <w:noWrap/>
            <w:tcMar>
              <w:top w:w="15" w:type="dxa"/>
              <w:left w:w="15" w:type="dxa"/>
              <w:right w:w="15" w:type="dxa"/>
            </w:tcMar>
            <w:vAlign w:val="center"/>
          </w:tcPr>
          <w:p w14:paraId="12DD2E33">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3.3</w:t>
            </w:r>
          </w:p>
        </w:tc>
        <w:tc>
          <w:tcPr>
            <w:tcW w:w="301" w:type="pct"/>
            <w:tcBorders>
              <w:tl2br w:val="nil"/>
              <w:tr2bl w:val="nil"/>
            </w:tcBorders>
            <w:shd w:val="clear" w:color="auto" w:fill="auto"/>
            <w:noWrap/>
            <w:tcMar>
              <w:top w:w="15" w:type="dxa"/>
              <w:left w:w="15" w:type="dxa"/>
              <w:right w:w="15" w:type="dxa"/>
            </w:tcMar>
            <w:vAlign w:val="center"/>
          </w:tcPr>
          <w:p w14:paraId="4A421B0A">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3</w:t>
            </w:r>
          </w:p>
        </w:tc>
        <w:tc>
          <w:tcPr>
            <w:tcW w:w="301" w:type="pct"/>
            <w:tcBorders>
              <w:tl2br w:val="nil"/>
              <w:tr2bl w:val="nil"/>
            </w:tcBorders>
            <w:shd w:val="clear" w:color="auto" w:fill="auto"/>
            <w:noWrap/>
            <w:tcMar>
              <w:top w:w="15" w:type="dxa"/>
              <w:left w:w="15" w:type="dxa"/>
              <w:right w:w="15" w:type="dxa"/>
            </w:tcMar>
            <w:vAlign w:val="center"/>
          </w:tcPr>
          <w:p w14:paraId="65143788">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2.9</w:t>
            </w:r>
          </w:p>
        </w:tc>
        <w:tc>
          <w:tcPr>
            <w:tcW w:w="301" w:type="pct"/>
            <w:tcBorders>
              <w:tl2br w:val="nil"/>
              <w:tr2bl w:val="nil"/>
            </w:tcBorders>
            <w:shd w:val="clear" w:color="auto" w:fill="auto"/>
            <w:noWrap/>
            <w:tcMar>
              <w:top w:w="15" w:type="dxa"/>
              <w:left w:w="15" w:type="dxa"/>
              <w:right w:w="15" w:type="dxa"/>
            </w:tcMar>
            <w:vAlign w:val="center"/>
          </w:tcPr>
          <w:p w14:paraId="53A341A2">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2.8</w:t>
            </w:r>
          </w:p>
        </w:tc>
        <w:tc>
          <w:tcPr>
            <w:tcW w:w="301" w:type="pct"/>
            <w:tcBorders>
              <w:tl2br w:val="nil"/>
              <w:tr2bl w:val="nil"/>
            </w:tcBorders>
            <w:shd w:val="clear" w:color="auto" w:fill="auto"/>
            <w:noWrap/>
            <w:tcMar>
              <w:top w:w="15" w:type="dxa"/>
              <w:left w:w="15" w:type="dxa"/>
              <w:right w:w="15" w:type="dxa"/>
            </w:tcMar>
            <w:vAlign w:val="center"/>
          </w:tcPr>
          <w:p w14:paraId="3919CCE7">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2.9</w:t>
            </w:r>
          </w:p>
        </w:tc>
        <w:tc>
          <w:tcPr>
            <w:tcW w:w="301" w:type="pct"/>
            <w:tcBorders>
              <w:tl2br w:val="nil"/>
              <w:tr2bl w:val="nil"/>
            </w:tcBorders>
            <w:shd w:val="clear" w:color="auto" w:fill="auto"/>
            <w:noWrap/>
            <w:tcMar>
              <w:top w:w="15" w:type="dxa"/>
              <w:left w:w="15" w:type="dxa"/>
              <w:right w:w="15" w:type="dxa"/>
            </w:tcMar>
            <w:vAlign w:val="center"/>
          </w:tcPr>
          <w:p w14:paraId="2DD686B9">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2.9</w:t>
            </w:r>
          </w:p>
        </w:tc>
        <w:tc>
          <w:tcPr>
            <w:tcW w:w="301" w:type="pct"/>
            <w:tcBorders>
              <w:tl2br w:val="nil"/>
              <w:tr2bl w:val="nil"/>
            </w:tcBorders>
            <w:shd w:val="clear" w:color="auto" w:fill="auto"/>
            <w:noWrap/>
            <w:tcMar>
              <w:top w:w="15" w:type="dxa"/>
              <w:left w:w="15" w:type="dxa"/>
              <w:right w:w="15" w:type="dxa"/>
            </w:tcMar>
            <w:vAlign w:val="center"/>
          </w:tcPr>
          <w:p w14:paraId="19FB21A7">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2.8</w:t>
            </w:r>
          </w:p>
        </w:tc>
        <w:tc>
          <w:tcPr>
            <w:tcW w:w="301" w:type="pct"/>
            <w:tcBorders>
              <w:tl2br w:val="nil"/>
              <w:tr2bl w:val="nil"/>
            </w:tcBorders>
            <w:shd w:val="clear" w:color="auto" w:fill="auto"/>
            <w:noWrap/>
            <w:tcMar>
              <w:top w:w="15" w:type="dxa"/>
              <w:left w:w="15" w:type="dxa"/>
              <w:right w:w="15" w:type="dxa"/>
            </w:tcMar>
            <w:vAlign w:val="center"/>
          </w:tcPr>
          <w:p w14:paraId="5246D138">
            <w:pPr>
              <w:pStyle w:val="1556"/>
              <w:adjustRightInd w:val="0"/>
              <w:snapToGrid w:val="0"/>
              <w:spacing w:beforeLines="0" w:afterLines="0" w:line="240" w:lineRule="auto"/>
              <w:ind w:firstLine="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2"/>
                <w:szCs w:val="22"/>
                <w:u w:val="none"/>
              </w:rPr>
              <w:t>2.9</w:t>
            </w:r>
          </w:p>
        </w:tc>
      </w:tr>
    </w:tbl>
    <w:p w14:paraId="3FF97140">
      <w:pPr>
        <w:pStyle w:val="1556"/>
        <w:spacing w:beforeLines="0" w:afterLines="0"/>
        <w:ind w:firstLine="0"/>
        <w:jc w:val="center"/>
        <w:rPr>
          <w:rFonts w:ascii="Times New Roman" w:hAnsi="Times New Roman"/>
          <w:b/>
          <w:color w:val="auto"/>
          <w:highlight w:val="none"/>
        </w:rPr>
        <w:sectPr>
          <w:headerReference r:id="rId46" w:type="first"/>
          <w:footerReference r:id="rId48" w:type="first"/>
          <w:headerReference r:id="rId45" w:type="even"/>
          <w:footerReference r:id="rId47" w:type="even"/>
          <w:pgSz w:w="11906" w:h="16838"/>
          <w:pgMar w:top="1559" w:right="1417" w:bottom="1502" w:left="1417" w:header="851" w:footer="850" w:gutter="0"/>
          <w:cols w:space="0" w:num="1"/>
          <w:docGrid w:linePitch="326" w:charSpace="0"/>
        </w:sectPr>
      </w:pPr>
    </w:p>
    <w:p w14:paraId="54D7A217">
      <w:pPr>
        <w:spacing w:line="240" w:lineRule="auto"/>
        <w:ind w:firstLine="0" w:firstLineChars="0"/>
        <w:jc w:val="center"/>
        <w:rPr>
          <w:b/>
          <w:bCs/>
          <w:color w:val="auto"/>
          <w:sz w:val="21"/>
          <w:szCs w:val="21"/>
          <w:highlight w:val="none"/>
        </w:rPr>
      </w:pPr>
      <w:r>
        <w:rPr>
          <w:b/>
          <w:bCs/>
          <w:color w:val="auto"/>
          <w:sz w:val="21"/>
          <w:szCs w:val="21"/>
          <w:highlight w:val="none"/>
        </w:rPr>
        <w:t>表4.2-7   钦州市2024年均风频的月变化</w:t>
      </w:r>
    </w:p>
    <w:tbl>
      <w:tblPr>
        <w:tblStyle w:val="92"/>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690"/>
        <w:gridCol w:w="825"/>
        <w:gridCol w:w="712"/>
        <w:gridCol w:w="760"/>
        <w:gridCol w:w="732"/>
        <w:gridCol w:w="687"/>
        <w:gridCol w:w="899"/>
        <w:gridCol w:w="777"/>
        <w:gridCol w:w="760"/>
        <w:gridCol w:w="704"/>
        <w:gridCol w:w="689"/>
        <w:gridCol w:w="662"/>
        <w:gridCol w:w="754"/>
        <w:gridCol w:w="642"/>
        <w:gridCol w:w="789"/>
        <w:gridCol w:w="679"/>
        <w:gridCol w:w="731"/>
        <w:gridCol w:w="682"/>
      </w:tblGrid>
      <w:tr w14:paraId="55804DD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582" w:type="pct"/>
            <w:tcBorders>
              <w:tl2br w:val="single" w:color="000000" w:sz="4" w:space="0"/>
            </w:tcBorders>
            <w:noWrap/>
            <w:vAlign w:val="center"/>
          </w:tcPr>
          <w:p w14:paraId="6F721C87">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 xml:space="preserve">    风频（%）    </w:t>
            </w:r>
          </w:p>
          <w:p w14:paraId="07BD4E86">
            <w:pPr>
              <w:pStyle w:val="1556"/>
              <w:spacing w:beforeLines="0" w:afterLines="0" w:line="240" w:lineRule="auto"/>
              <w:ind w:firstLine="0"/>
              <w:rPr>
                <w:rFonts w:ascii="Times New Roman" w:hAnsi="Times New Roman"/>
                <w:b/>
                <w:bCs/>
                <w:color w:val="auto"/>
                <w:sz w:val="21"/>
                <w:szCs w:val="21"/>
                <w:highlight w:val="none"/>
              </w:rPr>
            </w:pPr>
            <w:r>
              <w:rPr>
                <w:rFonts w:ascii="Times New Roman" w:hAnsi="Times New Roman"/>
                <w:b/>
                <w:bCs/>
                <w:color w:val="auto"/>
                <w:sz w:val="21"/>
                <w:szCs w:val="21"/>
                <w:highlight w:val="none"/>
              </w:rPr>
              <w:t xml:space="preserve">风向  </w:t>
            </w:r>
          </w:p>
        </w:tc>
        <w:tc>
          <w:tcPr>
            <w:tcW w:w="294" w:type="pct"/>
            <w:noWrap/>
            <w:vAlign w:val="center"/>
          </w:tcPr>
          <w:p w14:paraId="047A1851">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N</w:t>
            </w:r>
          </w:p>
        </w:tc>
        <w:tc>
          <w:tcPr>
            <w:tcW w:w="254" w:type="pct"/>
            <w:noWrap/>
            <w:vAlign w:val="center"/>
          </w:tcPr>
          <w:p w14:paraId="5B03804A">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NNE</w:t>
            </w:r>
          </w:p>
        </w:tc>
        <w:tc>
          <w:tcPr>
            <w:tcW w:w="271" w:type="pct"/>
            <w:noWrap/>
            <w:vAlign w:val="center"/>
          </w:tcPr>
          <w:p w14:paraId="305D7ECF">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NE</w:t>
            </w:r>
          </w:p>
        </w:tc>
        <w:tc>
          <w:tcPr>
            <w:tcW w:w="261" w:type="pct"/>
            <w:noWrap/>
            <w:vAlign w:val="center"/>
          </w:tcPr>
          <w:p w14:paraId="0DD6A292">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ENE</w:t>
            </w:r>
          </w:p>
        </w:tc>
        <w:tc>
          <w:tcPr>
            <w:tcW w:w="245" w:type="pct"/>
            <w:noWrap/>
            <w:vAlign w:val="center"/>
          </w:tcPr>
          <w:p w14:paraId="7E276692">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E</w:t>
            </w:r>
          </w:p>
        </w:tc>
        <w:tc>
          <w:tcPr>
            <w:tcW w:w="320" w:type="pct"/>
            <w:noWrap/>
            <w:vAlign w:val="center"/>
          </w:tcPr>
          <w:p w14:paraId="4896DD55">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ESE</w:t>
            </w:r>
          </w:p>
        </w:tc>
        <w:tc>
          <w:tcPr>
            <w:tcW w:w="277" w:type="pct"/>
            <w:noWrap/>
            <w:vAlign w:val="center"/>
          </w:tcPr>
          <w:p w14:paraId="5EB5EE1A">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SE</w:t>
            </w:r>
          </w:p>
        </w:tc>
        <w:tc>
          <w:tcPr>
            <w:tcW w:w="271" w:type="pct"/>
            <w:noWrap/>
            <w:vAlign w:val="center"/>
          </w:tcPr>
          <w:p w14:paraId="047C4EB0">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SSE</w:t>
            </w:r>
          </w:p>
        </w:tc>
        <w:tc>
          <w:tcPr>
            <w:tcW w:w="251" w:type="pct"/>
            <w:noWrap/>
            <w:vAlign w:val="center"/>
          </w:tcPr>
          <w:p w14:paraId="2FE3775A">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S</w:t>
            </w:r>
          </w:p>
        </w:tc>
        <w:tc>
          <w:tcPr>
            <w:tcW w:w="243" w:type="pct"/>
            <w:noWrap/>
            <w:vAlign w:val="center"/>
          </w:tcPr>
          <w:p w14:paraId="44668120">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SSW</w:t>
            </w:r>
          </w:p>
        </w:tc>
        <w:tc>
          <w:tcPr>
            <w:tcW w:w="236" w:type="pct"/>
            <w:noWrap/>
            <w:vAlign w:val="center"/>
          </w:tcPr>
          <w:p w14:paraId="2B7482C4">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SW</w:t>
            </w:r>
          </w:p>
        </w:tc>
        <w:tc>
          <w:tcPr>
            <w:tcW w:w="258" w:type="pct"/>
            <w:noWrap/>
            <w:vAlign w:val="center"/>
          </w:tcPr>
          <w:p w14:paraId="2FC96063">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WSW</w:t>
            </w:r>
          </w:p>
        </w:tc>
        <w:tc>
          <w:tcPr>
            <w:tcW w:w="229" w:type="pct"/>
            <w:noWrap/>
            <w:vAlign w:val="center"/>
          </w:tcPr>
          <w:p w14:paraId="5B837EDE">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W</w:t>
            </w:r>
          </w:p>
        </w:tc>
        <w:tc>
          <w:tcPr>
            <w:tcW w:w="270" w:type="pct"/>
            <w:noWrap/>
            <w:vAlign w:val="center"/>
          </w:tcPr>
          <w:p w14:paraId="5EA700BC">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WNW</w:t>
            </w:r>
          </w:p>
        </w:tc>
        <w:tc>
          <w:tcPr>
            <w:tcW w:w="242" w:type="pct"/>
            <w:noWrap/>
            <w:vAlign w:val="center"/>
          </w:tcPr>
          <w:p w14:paraId="47D41053">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NW</w:t>
            </w:r>
          </w:p>
        </w:tc>
        <w:tc>
          <w:tcPr>
            <w:tcW w:w="253" w:type="pct"/>
            <w:noWrap/>
            <w:vAlign w:val="center"/>
          </w:tcPr>
          <w:p w14:paraId="2D832CCD">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NNW</w:t>
            </w:r>
          </w:p>
        </w:tc>
        <w:tc>
          <w:tcPr>
            <w:tcW w:w="243" w:type="pct"/>
            <w:noWrap/>
            <w:vAlign w:val="center"/>
          </w:tcPr>
          <w:p w14:paraId="1C5A767D">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 xml:space="preserve"> C </w:t>
            </w:r>
          </w:p>
        </w:tc>
      </w:tr>
      <w:tr w14:paraId="0E66CE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582" w:type="pct"/>
            <w:noWrap/>
            <w:vAlign w:val="center"/>
          </w:tcPr>
          <w:p w14:paraId="3637D075">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一月           </w:t>
            </w:r>
          </w:p>
        </w:tc>
        <w:tc>
          <w:tcPr>
            <w:tcW w:w="294" w:type="pct"/>
            <w:noWrap/>
            <w:vAlign w:val="center"/>
          </w:tcPr>
          <w:p w14:paraId="1644E2B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55.78</w:t>
            </w:r>
          </w:p>
        </w:tc>
        <w:tc>
          <w:tcPr>
            <w:tcW w:w="254" w:type="pct"/>
            <w:noWrap/>
            <w:vAlign w:val="center"/>
          </w:tcPr>
          <w:p w14:paraId="6BB926AB">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12.1</w:t>
            </w:r>
          </w:p>
        </w:tc>
        <w:tc>
          <w:tcPr>
            <w:tcW w:w="271" w:type="pct"/>
            <w:noWrap/>
            <w:vAlign w:val="center"/>
          </w:tcPr>
          <w:p w14:paraId="390D58D2">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6.05</w:t>
            </w:r>
          </w:p>
        </w:tc>
        <w:tc>
          <w:tcPr>
            <w:tcW w:w="261" w:type="pct"/>
            <w:noWrap/>
            <w:vAlign w:val="center"/>
          </w:tcPr>
          <w:p w14:paraId="50153CF1">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0.94</w:t>
            </w:r>
          </w:p>
        </w:tc>
        <w:tc>
          <w:tcPr>
            <w:tcW w:w="245" w:type="pct"/>
            <w:noWrap/>
            <w:vAlign w:val="center"/>
          </w:tcPr>
          <w:p w14:paraId="59CFBC6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1.75</w:t>
            </w:r>
          </w:p>
        </w:tc>
        <w:tc>
          <w:tcPr>
            <w:tcW w:w="320" w:type="pct"/>
            <w:noWrap/>
            <w:vAlign w:val="center"/>
          </w:tcPr>
          <w:p w14:paraId="117C5108">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1.08</w:t>
            </w:r>
          </w:p>
        </w:tc>
        <w:tc>
          <w:tcPr>
            <w:tcW w:w="277" w:type="pct"/>
            <w:noWrap/>
            <w:vAlign w:val="center"/>
          </w:tcPr>
          <w:p w14:paraId="693D528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2.15</w:t>
            </w:r>
          </w:p>
        </w:tc>
        <w:tc>
          <w:tcPr>
            <w:tcW w:w="271" w:type="pct"/>
            <w:noWrap/>
            <w:vAlign w:val="center"/>
          </w:tcPr>
          <w:p w14:paraId="709509B1">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1.08</w:t>
            </w:r>
          </w:p>
        </w:tc>
        <w:tc>
          <w:tcPr>
            <w:tcW w:w="251" w:type="pct"/>
            <w:noWrap/>
            <w:vAlign w:val="center"/>
          </w:tcPr>
          <w:p w14:paraId="20A1D206">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2.42</w:t>
            </w:r>
          </w:p>
        </w:tc>
        <w:tc>
          <w:tcPr>
            <w:tcW w:w="243" w:type="pct"/>
            <w:noWrap/>
            <w:vAlign w:val="center"/>
          </w:tcPr>
          <w:p w14:paraId="7B02FA6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2.42</w:t>
            </w:r>
          </w:p>
        </w:tc>
        <w:tc>
          <w:tcPr>
            <w:tcW w:w="236" w:type="pct"/>
            <w:noWrap/>
            <w:vAlign w:val="center"/>
          </w:tcPr>
          <w:p w14:paraId="3C4E4E63">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1.61</w:t>
            </w:r>
          </w:p>
        </w:tc>
        <w:tc>
          <w:tcPr>
            <w:tcW w:w="258" w:type="pct"/>
            <w:noWrap/>
            <w:vAlign w:val="center"/>
          </w:tcPr>
          <w:p w14:paraId="232212B2">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1.34</w:t>
            </w:r>
          </w:p>
        </w:tc>
        <w:tc>
          <w:tcPr>
            <w:tcW w:w="229" w:type="pct"/>
            <w:noWrap/>
            <w:vAlign w:val="center"/>
          </w:tcPr>
          <w:p w14:paraId="6D33EB43">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0.67</w:t>
            </w:r>
          </w:p>
        </w:tc>
        <w:tc>
          <w:tcPr>
            <w:tcW w:w="270" w:type="pct"/>
            <w:noWrap/>
            <w:vAlign w:val="center"/>
          </w:tcPr>
          <w:p w14:paraId="7BD556C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1.21</w:t>
            </w:r>
          </w:p>
        </w:tc>
        <w:tc>
          <w:tcPr>
            <w:tcW w:w="242" w:type="pct"/>
            <w:noWrap/>
            <w:vAlign w:val="center"/>
          </w:tcPr>
          <w:p w14:paraId="42702B93">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1.61</w:t>
            </w:r>
          </w:p>
        </w:tc>
        <w:tc>
          <w:tcPr>
            <w:tcW w:w="253" w:type="pct"/>
            <w:noWrap/>
            <w:vAlign w:val="center"/>
          </w:tcPr>
          <w:p w14:paraId="6444814A">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7.66</w:t>
            </w:r>
          </w:p>
        </w:tc>
        <w:tc>
          <w:tcPr>
            <w:tcW w:w="243" w:type="pct"/>
            <w:noWrap/>
            <w:vAlign w:val="center"/>
          </w:tcPr>
          <w:p w14:paraId="3320DA63">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0.13</w:t>
            </w:r>
          </w:p>
        </w:tc>
      </w:tr>
      <w:tr w14:paraId="12863B9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582" w:type="pct"/>
            <w:noWrap/>
            <w:vAlign w:val="center"/>
          </w:tcPr>
          <w:p w14:paraId="18FA8FA7">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二月           </w:t>
            </w:r>
          </w:p>
        </w:tc>
        <w:tc>
          <w:tcPr>
            <w:tcW w:w="294" w:type="pct"/>
            <w:noWrap/>
            <w:vAlign w:val="center"/>
          </w:tcPr>
          <w:p w14:paraId="5F65BA7B">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34.82</w:t>
            </w:r>
          </w:p>
        </w:tc>
        <w:tc>
          <w:tcPr>
            <w:tcW w:w="254" w:type="pct"/>
            <w:noWrap/>
            <w:vAlign w:val="center"/>
          </w:tcPr>
          <w:p w14:paraId="5CAFDF18">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17.26</w:t>
            </w:r>
          </w:p>
        </w:tc>
        <w:tc>
          <w:tcPr>
            <w:tcW w:w="271" w:type="pct"/>
            <w:noWrap/>
            <w:vAlign w:val="center"/>
          </w:tcPr>
          <w:p w14:paraId="620E7076">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8.78</w:t>
            </w:r>
          </w:p>
        </w:tc>
        <w:tc>
          <w:tcPr>
            <w:tcW w:w="261" w:type="pct"/>
            <w:noWrap/>
            <w:vAlign w:val="center"/>
          </w:tcPr>
          <w:p w14:paraId="5EFD496A">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2.08</w:t>
            </w:r>
          </w:p>
        </w:tc>
        <w:tc>
          <w:tcPr>
            <w:tcW w:w="245" w:type="pct"/>
            <w:noWrap/>
            <w:vAlign w:val="center"/>
          </w:tcPr>
          <w:p w14:paraId="35F64C96">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2.23</w:t>
            </w:r>
          </w:p>
        </w:tc>
        <w:tc>
          <w:tcPr>
            <w:tcW w:w="320" w:type="pct"/>
            <w:noWrap/>
            <w:vAlign w:val="center"/>
          </w:tcPr>
          <w:p w14:paraId="44E4F19B">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1.79</w:t>
            </w:r>
          </w:p>
        </w:tc>
        <w:tc>
          <w:tcPr>
            <w:tcW w:w="277" w:type="pct"/>
            <w:noWrap/>
            <w:vAlign w:val="center"/>
          </w:tcPr>
          <w:p w14:paraId="1E159C5B">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1.34</w:t>
            </w:r>
          </w:p>
        </w:tc>
        <w:tc>
          <w:tcPr>
            <w:tcW w:w="271" w:type="pct"/>
            <w:noWrap/>
            <w:vAlign w:val="center"/>
          </w:tcPr>
          <w:p w14:paraId="3E1C08C1">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3.72</w:t>
            </w:r>
          </w:p>
        </w:tc>
        <w:tc>
          <w:tcPr>
            <w:tcW w:w="251" w:type="pct"/>
            <w:noWrap/>
            <w:vAlign w:val="center"/>
          </w:tcPr>
          <w:p w14:paraId="5488A8B5">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14.14</w:t>
            </w:r>
          </w:p>
        </w:tc>
        <w:tc>
          <w:tcPr>
            <w:tcW w:w="243" w:type="pct"/>
            <w:noWrap/>
            <w:vAlign w:val="center"/>
          </w:tcPr>
          <w:p w14:paraId="19BD045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7.29</w:t>
            </w:r>
          </w:p>
        </w:tc>
        <w:tc>
          <w:tcPr>
            <w:tcW w:w="236" w:type="pct"/>
            <w:noWrap/>
            <w:vAlign w:val="center"/>
          </w:tcPr>
          <w:p w14:paraId="035D511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2.23</w:t>
            </w:r>
          </w:p>
        </w:tc>
        <w:tc>
          <w:tcPr>
            <w:tcW w:w="258" w:type="pct"/>
            <w:noWrap/>
            <w:vAlign w:val="center"/>
          </w:tcPr>
          <w:p w14:paraId="2DFD532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0.74</w:t>
            </w:r>
          </w:p>
        </w:tc>
        <w:tc>
          <w:tcPr>
            <w:tcW w:w="229" w:type="pct"/>
            <w:noWrap/>
            <w:vAlign w:val="center"/>
          </w:tcPr>
          <w:p w14:paraId="6A6C9B12">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0.15</w:t>
            </w:r>
          </w:p>
        </w:tc>
        <w:tc>
          <w:tcPr>
            <w:tcW w:w="270" w:type="pct"/>
            <w:noWrap/>
            <w:vAlign w:val="center"/>
          </w:tcPr>
          <w:p w14:paraId="6385E471">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0.6</w:t>
            </w:r>
          </w:p>
        </w:tc>
        <w:tc>
          <w:tcPr>
            <w:tcW w:w="242" w:type="pct"/>
            <w:noWrap/>
            <w:vAlign w:val="center"/>
          </w:tcPr>
          <w:p w14:paraId="2299BA44">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0.3</w:t>
            </w:r>
          </w:p>
        </w:tc>
        <w:tc>
          <w:tcPr>
            <w:tcW w:w="253" w:type="pct"/>
            <w:noWrap/>
            <w:vAlign w:val="center"/>
          </w:tcPr>
          <w:p w14:paraId="7E8B75CD">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2.53</w:t>
            </w:r>
          </w:p>
        </w:tc>
        <w:tc>
          <w:tcPr>
            <w:tcW w:w="243" w:type="pct"/>
            <w:noWrap/>
            <w:vAlign w:val="center"/>
          </w:tcPr>
          <w:p w14:paraId="47333508">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w:t>
            </w:r>
          </w:p>
        </w:tc>
      </w:tr>
      <w:tr w14:paraId="7A48233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582" w:type="pct"/>
            <w:noWrap/>
            <w:vAlign w:val="center"/>
          </w:tcPr>
          <w:p w14:paraId="42A9C95B">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三月           </w:t>
            </w:r>
          </w:p>
        </w:tc>
        <w:tc>
          <w:tcPr>
            <w:tcW w:w="294" w:type="pct"/>
            <w:noWrap/>
            <w:vAlign w:val="center"/>
          </w:tcPr>
          <w:p w14:paraId="069E814D">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38.04</w:t>
            </w:r>
          </w:p>
        </w:tc>
        <w:tc>
          <w:tcPr>
            <w:tcW w:w="254" w:type="pct"/>
            <w:noWrap/>
            <w:vAlign w:val="center"/>
          </w:tcPr>
          <w:p w14:paraId="09D32744">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9.01</w:t>
            </w:r>
          </w:p>
        </w:tc>
        <w:tc>
          <w:tcPr>
            <w:tcW w:w="271" w:type="pct"/>
            <w:noWrap/>
            <w:vAlign w:val="center"/>
          </w:tcPr>
          <w:p w14:paraId="04960957">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5.38</w:t>
            </w:r>
          </w:p>
        </w:tc>
        <w:tc>
          <w:tcPr>
            <w:tcW w:w="261" w:type="pct"/>
            <w:noWrap/>
            <w:vAlign w:val="center"/>
          </w:tcPr>
          <w:p w14:paraId="0AF0F379">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0.94</w:t>
            </w:r>
          </w:p>
        </w:tc>
        <w:tc>
          <w:tcPr>
            <w:tcW w:w="245" w:type="pct"/>
            <w:noWrap/>
            <w:vAlign w:val="center"/>
          </w:tcPr>
          <w:p w14:paraId="58B92A85">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1.88</w:t>
            </w:r>
          </w:p>
        </w:tc>
        <w:tc>
          <w:tcPr>
            <w:tcW w:w="320" w:type="pct"/>
            <w:noWrap/>
            <w:vAlign w:val="center"/>
          </w:tcPr>
          <w:p w14:paraId="52A107A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1.88</w:t>
            </w:r>
          </w:p>
        </w:tc>
        <w:tc>
          <w:tcPr>
            <w:tcW w:w="277" w:type="pct"/>
            <w:noWrap/>
            <w:vAlign w:val="center"/>
          </w:tcPr>
          <w:p w14:paraId="06B0967A">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2.82</w:t>
            </w:r>
          </w:p>
        </w:tc>
        <w:tc>
          <w:tcPr>
            <w:tcW w:w="271" w:type="pct"/>
            <w:noWrap/>
            <w:vAlign w:val="center"/>
          </w:tcPr>
          <w:p w14:paraId="3F8967E3">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4.44</w:t>
            </w:r>
          </w:p>
        </w:tc>
        <w:tc>
          <w:tcPr>
            <w:tcW w:w="251" w:type="pct"/>
            <w:noWrap/>
            <w:vAlign w:val="center"/>
          </w:tcPr>
          <w:p w14:paraId="156357B1">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13.04</w:t>
            </w:r>
          </w:p>
        </w:tc>
        <w:tc>
          <w:tcPr>
            <w:tcW w:w="243" w:type="pct"/>
            <w:noWrap/>
            <w:vAlign w:val="center"/>
          </w:tcPr>
          <w:p w14:paraId="1F27EE2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7.12</w:t>
            </w:r>
          </w:p>
        </w:tc>
        <w:tc>
          <w:tcPr>
            <w:tcW w:w="236" w:type="pct"/>
            <w:noWrap/>
            <w:vAlign w:val="center"/>
          </w:tcPr>
          <w:p w14:paraId="59E91C1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2.42</w:t>
            </w:r>
          </w:p>
        </w:tc>
        <w:tc>
          <w:tcPr>
            <w:tcW w:w="258" w:type="pct"/>
            <w:noWrap/>
            <w:vAlign w:val="center"/>
          </w:tcPr>
          <w:p w14:paraId="5EE8C10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0.81</w:t>
            </w:r>
          </w:p>
        </w:tc>
        <w:tc>
          <w:tcPr>
            <w:tcW w:w="229" w:type="pct"/>
            <w:noWrap/>
            <w:vAlign w:val="center"/>
          </w:tcPr>
          <w:p w14:paraId="2243103A">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1.21</w:t>
            </w:r>
          </w:p>
        </w:tc>
        <w:tc>
          <w:tcPr>
            <w:tcW w:w="270" w:type="pct"/>
            <w:noWrap/>
            <w:vAlign w:val="center"/>
          </w:tcPr>
          <w:p w14:paraId="01D24842">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0.67</w:t>
            </w:r>
          </w:p>
        </w:tc>
        <w:tc>
          <w:tcPr>
            <w:tcW w:w="242" w:type="pct"/>
            <w:noWrap/>
            <w:vAlign w:val="center"/>
          </w:tcPr>
          <w:p w14:paraId="7B2AAE84">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0.94</w:t>
            </w:r>
          </w:p>
        </w:tc>
        <w:tc>
          <w:tcPr>
            <w:tcW w:w="253" w:type="pct"/>
            <w:noWrap/>
            <w:vAlign w:val="center"/>
          </w:tcPr>
          <w:p w14:paraId="2F75F40B">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9.14</w:t>
            </w:r>
          </w:p>
        </w:tc>
        <w:tc>
          <w:tcPr>
            <w:tcW w:w="243" w:type="pct"/>
            <w:noWrap/>
            <w:vAlign w:val="center"/>
          </w:tcPr>
          <w:p w14:paraId="5B201EBD">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0.27</w:t>
            </w:r>
          </w:p>
        </w:tc>
      </w:tr>
      <w:tr w14:paraId="1AF76B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582" w:type="pct"/>
            <w:noWrap/>
            <w:vAlign w:val="center"/>
          </w:tcPr>
          <w:p w14:paraId="3C7B8D55">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四月           </w:t>
            </w:r>
          </w:p>
        </w:tc>
        <w:tc>
          <w:tcPr>
            <w:tcW w:w="294" w:type="pct"/>
            <w:noWrap/>
            <w:vAlign w:val="center"/>
          </w:tcPr>
          <w:p w14:paraId="6AE9D11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14.03</w:t>
            </w:r>
          </w:p>
        </w:tc>
        <w:tc>
          <w:tcPr>
            <w:tcW w:w="254" w:type="pct"/>
            <w:noWrap/>
            <w:vAlign w:val="center"/>
          </w:tcPr>
          <w:p w14:paraId="27065531">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6.11</w:t>
            </w:r>
          </w:p>
        </w:tc>
        <w:tc>
          <w:tcPr>
            <w:tcW w:w="271" w:type="pct"/>
            <w:noWrap/>
            <w:vAlign w:val="center"/>
          </w:tcPr>
          <w:p w14:paraId="38FEEE6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3.75</w:t>
            </w:r>
          </w:p>
        </w:tc>
        <w:tc>
          <w:tcPr>
            <w:tcW w:w="261" w:type="pct"/>
            <w:noWrap/>
            <w:vAlign w:val="center"/>
          </w:tcPr>
          <w:p w14:paraId="270BADD8">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1.11</w:t>
            </w:r>
          </w:p>
        </w:tc>
        <w:tc>
          <w:tcPr>
            <w:tcW w:w="245" w:type="pct"/>
            <w:noWrap/>
            <w:vAlign w:val="center"/>
          </w:tcPr>
          <w:p w14:paraId="0619109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2.22</w:t>
            </w:r>
          </w:p>
        </w:tc>
        <w:tc>
          <w:tcPr>
            <w:tcW w:w="320" w:type="pct"/>
            <w:noWrap/>
            <w:vAlign w:val="center"/>
          </w:tcPr>
          <w:p w14:paraId="0A9D16AB">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2.92</w:t>
            </w:r>
          </w:p>
        </w:tc>
        <w:tc>
          <w:tcPr>
            <w:tcW w:w="277" w:type="pct"/>
            <w:noWrap/>
            <w:vAlign w:val="center"/>
          </w:tcPr>
          <w:p w14:paraId="477B53F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5.14</w:t>
            </w:r>
          </w:p>
        </w:tc>
        <w:tc>
          <w:tcPr>
            <w:tcW w:w="271" w:type="pct"/>
            <w:noWrap/>
            <w:vAlign w:val="center"/>
          </w:tcPr>
          <w:p w14:paraId="6152281D">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6.39</w:t>
            </w:r>
          </w:p>
        </w:tc>
        <w:tc>
          <w:tcPr>
            <w:tcW w:w="251" w:type="pct"/>
            <w:noWrap/>
            <w:vAlign w:val="center"/>
          </w:tcPr>
          <w:p w14:paraId="27D9CF81">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32.92</w:t>
            </w:r>
          </w:p>
        </w:tc>
        <w:tc>
          <w:tcPr>
            <w:tcW w:w="243" w:type="pct"/>
            <w:noWrap/>
            <w:vAlign w:val="center"/>
          </w:tcPr>
          <w:p w14:paraId="69FA6213">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11.67</w:t>
            </w:r>
          </w:p>
        </w:tc>
        <w:tc>
          <w:tcPr>
            <w:tcW w:w="236" w:type="pct"/>
            <w:noWrap/>
            <w:vAlign w:val="center"/>
          </w:tcPr>
          <w:p w14:paraId="4591676A">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1.94</w:t>
            </w:r>
          </w:p>
        </w:tc>
        <w:tc>
          <w:tcPr>
            <w:tcW w:w="258" w:type="pct"/>
            <w:noWrap/>
            <w:vAlign w:val="center"/>
          </w:tcPr>
          <w:p w14:paraId="763938A7">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0.42</w:t>
            </w:r>
          </w:p>
        </w:tc>
        <w:tc>
          <w:tcPr>
            <w:tcW w:w="229" w:type="pct"/>
            <w:noWrap/>
            <w:vAlign w:val="center"/>
          </w:tcPr>
          <w:p w14:paraId="0C3F5522">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0.14</w:t>
            </w:r>
          </w:p>
        </w:tc>
        <w:tc>
          <w:tcPr>
            <w:tcW w:w="270" w:type="pct"/>
            <w:noWrap/>
            <w:vAlign w:val="center"/>
          </w:tcPr>
          <w:p w14:paraId="74B1B391">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0.83</w:t>
            </w:r>
          </w:p>
        </w:tc>
        <w:tc>
          <w:tcPr>
            <w:tcW w:w="242" w:type="pct"/>
            <w:noWrap/>
            <w:vAlign w:val="center"/>
          </w:tcPr>
          <w:p w14:paraId="6042C70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2.5</w:t>
            </w:r>
          </w:p>
        </w:tc>
        <w:tc>
          <w:tcPr>
            <w:tcW w:w="253" w:type="pct"/>
            <w:noWrap/>
            <w:vAlign w:val="center"/>
          </w:tcPr>
          <w:p w14:paraId="7CDAFD7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7.36</w:t>
            </w:r>
          </w:p>
        </w:tc>
        <w:tc>
          <w:tcPr>
            <w:tcW w:w="243" w:type="pct"/>
            <w:noWrap/>
            <w:vAlign w:val="center"/>
          </w:tcPr>
          <w:p w14:paraId="783B6DFD">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0.56</w:t>
            </w:r>
          </w:p>
        </w:tc>
      </w:tr>
      <w:tr w14:paraId="5C49A99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582" w:type="pct"/>
            <w:noWrap/>
            <w:vAlign w:val="center"/>
          </w:tcPr>
          <w:p w14:paraId="20D5EAAB">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五月           </w:t>
            </w:r>
          </w:p>
        </w:tc>
        <w:tc>
          <w:tcPr>
            <w:tcW w:w="294" w:type="pct"/>
            <w:noWrap/>
            <w:vAlign w:val="center"/>
          </w:tcPr>
          <w:p w14:paraId="49986A8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21.51</w:t>
            </w:r>
          </w:p>
        </w:tc>
        <w:tc>
          <w:tcPr>
            <w:tcW w:w="254" w:type="pct"/>
            <w:noWrap/>
            <w:vAlign w:val="center"/>
          </w:tcPr>
          <w:p w14:paraId="773A9C2B">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14.38</w:t>
            </w:r>
          </w:p>
        </w:tc>
        <w:tc>
          <w:tcPr>
            <w:tcW w:w="271" w:type="pct"/>
            <w:noWrap/>
            <w:vAlign w:val="center"/>
          </w:tcPr>
          <w:p w14:paraId="1E861E8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6.05</w:t>
            </w:r>
          </w:p>
        </w:tc>
        <w:tc>
          <w:tcPr>
            <w:tcW w:w="261" w:type="pct"/>
            <w:noWrap/>
            <w:vAlign w:val="center"/>
          </w:tcPr>
          <w:p w14:paraId="1A4CD82A">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1.75</w:t>
            </w:r>
          </w:p>
        </w:tc>
        <w:tc>
          <w:tcPr>
            <w:tcW w:w="245" w:type="pct"/>
            <w:noWrap/>
            <w:vAlign w:val="center"/>
          </w:tcPr>
          <w:p w14:paraId="110D779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3.49</w:t>
            </w:r>
          </w:p>
        </w:tc>
        <w:tc>
          <w:tcPr>
            <w:tcW w:w="320" w:type="pct"/>
            <w:noWrap/>
            <w:vAlign w:val="center"/>
          </w:tcPr>
          <w:p w14:paraId="4CB07A8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1.88</w:t>
            </w:r>
          </w:p>
        </w:tc>
        <w:tc>
          <w:tcPr>
            <w:tcW w:w="277" w:type="pct"/>
            <w:noWrap/>
            <w:vAlign w:val="center"/>
          </w:tcPr>
          <w:p w14:paraId="295A1F48">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3.09</w:t>
            </w:r>
          </w:p>
        </w:tc>
        <w:tc>
          <w:tcPr>
            <w:tcW w:w="271" w:type="pct"/>
            <w:noWrap/>
            <w:vAlign w:val="center"/>
          </w:tcPr>
          <w:p w14:paraId="016EDF82">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4.84</w:t>
            </w:r>
          </w:p>
        </w:tc>
        <w:tc>
          <w:tcPr>
            <w:tcW w:w="251" w:type="pct"/>
            <w:noWrap/>
            <w:vAlign w:val="center"/>
          </w:tcPr>
          <w:p w14:paraId="1581233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22.72</w:t>
            </w:r>
          </w:p>
        </w:tc>
        <w:tc>
          <w:tcPr>
            <w:tcW w:w="243" w:type="pct"/>
            <w:noWrap/>
            <w:vAlign w:val="center"/>
          </w:tcPr>
          <w:p w14:paraId="1631D107">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6.18</w:t>
            </w:r>
          </w:p>
        </w:tc>
        <w:tc>
          <w:tcPr>
            <w:tcW w:w="236" w:type="pct"/>
            <w:noWrap/>
            <w:vAlign w:val="center"/>
          </w:tcPr>
          <w:p w14:paraId="102CADC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0.54</w:t>
            </w:r>
          </w:p>
        </w:tc>
        <w:tc>
          <w:tcPr>
            <w:tcW w:w="258" w:type="pct"/>
            <w:noWrap/>
            <w:vAlign w:val="center"/>
          </w:tcPr>
          <w:p w14:paraId="1D149922">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0.67</w:t>
            </w:r>
          </w:p>
        </w:tc>
        <w:tc>
          <w:tcPr>
            <w:tcW w:w="229" w:type="pct"/>
            <w:noWrap/>
            <w:vAlign w:val="center"/>
          </w:tcPr>
          <w:p w14:paraId="3A436EA7">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0.54</w:t>
            </w:r>
          </w:p>
        </w:tc>
        <w:tc>
          <w:tcPr>
            <w:tcW w:w="270" w:type="pct"/>
            <w:noWrap/>
            <w:vAlign w:val="center"/>
          </w:tcPr>
          <w:p w14:paraId="47F8CED4">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1.08</w:t>
            </w:r>
          </w:p>
        </w:tc>
        <w:tc>
          <w:tcPr>
            <w:tcW w:w="242" w:type="pct"/>
            <w:noWrap/>
            <w:vAlign w:val="center"/>
          </w:tcPr>
          <w:p w14:paraId="2F236831">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1.48</w:t>
            </w:r>
          </w:p>
        </w:tc>
        <w:tc>
          <w:tcPr>
            <w:tcW w:w="253" w:type="pct"/>
            <w:noWrap/>
            <w:vAlign w:val="center"/>
          </w:tcPr>
          <w:p w14:paraId="7C60FD15">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9.68</w:t>
            </w:r>
          </w:p>
        </w:tc>
        <w:tc>
          <w:tcPr>
            <w:tcW w:w="243" w:type="pct"/>
            <w:noWrap/>
            <w:vAlign w:val="center"/>
          </w:tcPr>
          <w:p w14:paraId="2FDA144D">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0.13</w:t>
            </w:r>
          </w:p>
        </w:tc>
      </w:tr>
      <w:tr w14:paraId="1AAEA0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582" w:type="pct"/>
            <w:noWrap/>
            <w:vAlign w:val="center"/>
          </w:tcPr>
          <w:p w14:paraId="10FCA522">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六月           </w:t>
            </w:r>
          </w:p>
        </w:tc>
        <w:tc>
          <w:tcPr>
            <w:tcW w:w="294" w:type="pct"/>
            <w:noWrap/>
            <w:vAlign w:val="center"/>
          </w:tcPr>
          <w:p w14:paraId="4757CC9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5.97</w:t>
            </w:r>
          </w:p>
        </w:tc>
        <w:tc>
          <w:tcPr>
            <w:tcW w:w="254" w:type="pct"/>
            <w:noWrap/>
            <w:vAlign w:val="center"/>
          </w:tcPr>
          <w:p w14:paraId="0E4F8788">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5.69</w:t>
            </w:r>
          </w:p>
        </w:tc>
        <w:tc>
          <w:tcPr>
            <w:tcW w:w="271" w:type="pct"/>
            <w:noWrap/>
            <w:vAlign w:val="center"/>
          </w:tcPr>
          <w:p w14:paraId="1C0F305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4.31</w:t>
            </w:r>
          </w:p>
        </w:tc>
        <w:tc>
          <w:tcPr>
            <w:tcW w:w="261" w:type="pct"/>
            <w:noWrap/>
            <w:vAlign w:val="center"/>
          </w:tcPr>
          <w:p w14:paraId="0DBF5653">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2.36</w:t>
            </w:r>
          </w:p>
        </w:tc>
        <w:tc>
          <w:tcPr>
            <w:tcW w:w="245" w:type="pct"/>
            <w:noWrap/>
            <w:vAlign w:val="center"/>
          </w:tcPr>
          <w:p w14:paraId="005F6F45">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2.92</w:t>
            </w:r>
          </w:p>
        </w:tc>
        <w:tc>
          <w:tcPr>
            <w:tcW w:w="320" w:type="pct"/>
            <w:noWrap/>
            <w:vAlign w:val="center"/>
          </w:tcPr>
          <w:p w14:paraId="683C579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3.89</w:t>
            </w:r>
          </w:p>
        </w:tc>
        <w:tc>
          <w:tcPr>
            <w:tcW w:w="277" w:type="pct"/>
            <w:noWrap/>
            <w:vAlign w:val="center"/>
          </w:tcPr>
          <w:p w14:paraId="6DFA5962">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1.81</w:t>
            </w:r>
          </w:p>
        </w:tc>
        <w:tc>
          <w:tcPr>
            <w:tcW w:w="271" w:type="pct"/>
            <w:noWrap/>
            <w:vAlign w:val="center"/>
          </w:tcPr>
          <w:p w14:paraId="3843FF09">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6.81</w:t>
            </w:r>
          </w:p>
        </w:tc>
        <w:tc>
          <w:tcPr>
            <w:tcW w:w="251" w:type="pct"/>
            <w:noWrap/>
            <w:vAlign w:val="center"/>
          </w:tcPr>
          <w:p w14:paraId="239BCE9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39.03</w:t>
            </w:r>
          </w:p>
        </w:tc>
        <w:tc>
          <w:tcPr>
            <w:tcW w:w="243" w:type="pct"/>
            <w:noWrap/>
            <w:vAlign w:val="center"/>
          </w:tcPr>
          <w:p w14:paraId="2B524EC7">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12.36</w:t>
            </w:r>
          </w:p>
        </w:tc>
        <w:tc>
          <w:tcPr>
            <w:tcW w:w="236" w:type="pct"/>
            <w:noWrap/>
            <w:vAlign w:val="center"/>
          </w:tcPr>
          <w:p w14:paraId="0FA4F7C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1.67</w:t>
            </w:r>
          </w:p>
        </w:tc>
        <w:tc>
          <w:tcPr>
            <w:tcW w:w="258" w:type="pct"/>
            <w:noWrap/>
            <w:vAlign w:val="center"/>
          </w:tcPr>
          <w:p w14:paraId="46C2F5D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1.67</w:t>
            </w:r>
          </w:p>
        </w:tc>
        <w:tc>
          <w:tcPr>
            <w:tcW w:w="229" w:type="pct"/>
            <w:noWrap/>
            <w:vAlign w:val="center"/>
          </w:tcPr>
          <w:p w14:paraId="405F3EA8">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2.08</w:t>
            </w:r>
          </w:p>
        </w:tc>
        <w:tc>
          <w:tcPr>
            <w:tcW w:w="270" w:type="pct"/>
            <w:noWrap/>
            <w:vAlign w:val="center"/>
          </w:tcPr>
          <w:p w14:paraId="20F39A49">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1.53</w:t>
            </w:r>
          </w:p>
        </w:tc>
        <w:tc>
          <w:tcPr>
            <w:tcW w:w="242" w:type="pct"/>
            <w:noWrap/>
            <w:vAlign w:val="center"/>
          </w:tcPr>
          <w:p w14:paraId="3C72A189">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2.5</w:t>
            </w:r>
          </w:p>
        </w:tc>
        <w:tc>
          <w:tcPr>
            <w:tcW w:w="253" w:type="pct"/>
            <w:noWrap/>
            <w:vAlign w:val="center"/>
          </w:tcPr>
          <w:p w14:paraId="14ABD565">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4.31</w:t>
            </w:r>
          </w:p>
        </w:tc>
        <w:tc>
          <w:tcPr>
            <w:tcW w:w="243" w:type="pct"/>
            <w:noWrap/>
            <w:vAlign w:val="center"/>
          </w:tcPr>
          <w:p w14:paraId="1F264841">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1.11</w:t>
            </w:r>
          </w:p>
        </w:tc>
      </w:tr>
      <w:tr w14:paraId="464373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582" w:type="pct"/>
            <w:noWrap/>
            <w:vAlign w:val="center"/>
          </w:tcPr>
          <w:p w14:paraId="385BEBB5">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七月           </w:t>
            </w:r>
          </w:p>
        </w:tc>
        <w:tc>
          <w:tcPr>
            <w:tcW w:w="294" w:type="pct"/>
            <w:noWrap/>
            <w:vAlign w:val="center"/>
          </w:tcPr>
          <w:p w14:paraId="396E55A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8.33</w:t>
            </w:r>
          </w:p>
        </w:tc>
        <w:tc>
          <w:tcPr>
            <w:tcW w:w="254" w:type="pct"/>
            <w:noWrap/>
            <w:vAlign w:val="center"/>
          </w:tcPr>
          <w:p w14:paraId="58D975E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7.93</w:t>
            </w:r>
          </w:p>
        </w:tc>
        <w:tc>
          <w:tcPr>
            <w:tcW w:w="271" w:type="pct"/>
            <w:noWrap/>
            <w:vAlign w:val="center"/>
          </w:tcPr>
          <w:p w14:paraId="298E327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7.66</w:t>
            </w:r>
          </w:p>
        </w:tc>
        <w:tc>
          <w:tcPr>
            <w:tcW w:w="261" w:type="pct"/>
            <w:noWrap/>
            <w:vAlign w:val="center"/>
          </w:tcPr>
          <w:p w14:paraId="4F337EA9">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3.63</w:t>
            </w:r>
          </w:p>
        </w:tc>
        <w:tc>
          <w:tcPr>
            <w:tcW w:w="245" w:type="pct"/>
            <w:noWrap/>
            <w:vAlign w:val="center"/>
          </w:tcPr>
          <w:p w14:paraId="058EFB68">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5.11</w:t>
            </w:r>
          </w:p>
        </w:tc>
        <w:tc>
          <w:tcPr>
            <w:tcW w:w="320" w:type="pct"/>
            <w:noWrap/>
            <w:vAlign w:val="center"/>
          </w:tcPr>
          <w:p w14:paraId="594F685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3.36</w:t>
            </w:r>
          </w:p>
        </w:tc>
        <w:tc>
          <w:tcPr>
            <w:tcW w:w="277" w:type="pct"/>
            <w:noWrap/>
            <w:vAlign w:val="center"/>
          </w:tcPr>
          <w:p w14:paraId="5663E91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3.63</w:t>
            </w:r>
          </w:p>
        </w:tc>
        <w:tc>
          <w:tcPr>
            <w:tcW w:w="271" w:type="pct"/>
            <w:noWrap/>
            <w:vAlign w:val="center"/>
          </w:tcPr>
          <w:p w14:paraId="51F101D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7.26</w:t>
            </w:r>
          </w:p>
        </w:tc>
        <w:tc>
          <w:tcPr>
            <w:tcW w:w="251" w:type="pct"/>
            <w:noWrap/>
            <w:vAlign w:val="center"/>
          </w:tcPr>
          <w:p w14:paraId="25E1B9E8">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32.93</w:t>
            </w:r>
          </w:p>
        </w:tc>
        <w:tc>
          <w:tcPr>
            <w:tcW w:w="243" w:type="pct"/>
            <w:noWrap/>
            <w:vAlign w:val="center"/>
          </w:tcPr>
          <w:p w14:paraId="5FA5B05A">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10.35</w:t>
            </w:r>
          </w:p>
        </w:tc>
        <w:tc>
          <w:tcPr>
            <w:tcW w:w="236" w:type="pct"/>
            <w:noWrap/>
            <w:vAlign w:val="center"/>
          </w:tcPr>
          <w:p w14:paraId="726B59F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2.42</w:t>
            </w:r>
          </w:p>
        </w:tc>
        <w:tc>
          <w:tcPr>
            <w:tcW w:w="258" w:type="pct"/>
            <w:noWrap/>
            <w:vAlign w:val="center"/>
          </w:tcPr>
          <w:p w14:paraId="1B6645F3">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1.21</w:t>
            </w:r>
          </w:p>
        </w:tc>
        <w:tc>
          <w:tcPr>
            <w:tcW w:w="229" w:type="pct"/>
            <w:noWrap/>
            <w:vAlign w:val="center"/>
          </w:tcPr>
          <w:p w14:paraId="3D963533">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1.21</w:t>
            </w:r>
          </w:p>
        </w:tc>
        <w:tc>
          <w:tcPr>
            <w:tcW w:w="270" w:type="pct"/>
            <w:noWrap/>
            <w:vAlign w:val="center"/>
          </w:tcPr>
          <w:p w14:paraId="4683A8AA">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1.21</w:t>
            </w:r>
          </w:p>
        </w:tc>
        <w:tc>
          <w:tcPr>
            <w:tcW w:w="242" w:type="pct"/>
            <w:noWrap/>
            <w:vAlign w:val="center"/>
          </w:tcPr>
          <w:p w14:paraId="43EA5202">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0.4</w:t>
            </w:r>
          </w:p>
        </w:tc>
        <w:tc>
          <w:tcPr>
            <w:tcW w:w="253" w:type="pct"/>
            <w:noWrap/>
            <w:vAlign w:val="center"/>
          </w:tcPr>
          <w:p w14:paraId="0F58DED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2.96</w:t>
            </w:r>
          </w:p>
        </w:tc>
        <w:tc>
          <w:tcPr>
            <w:tcW w:w="243" w:type="pct"/>
            <w:noWrap/>
            <w:vAlign w:val="center"/>
          </w:tcPr>
          <w:p w14:paraId="5F687AF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0.4</w:t>
            </w:r>
          </w:p>
        </w:tc>
      </w:tr>
      <w:tr w14:paraId="482DAE0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582" w:type="pct"/>
            <w:noWrap/>
            <w:vAlign w:val="center"/>
          </w:tcPr>
          <w:p w14:paraId="24B7F661">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八月           </w:t>
            </w:r>
          </w:p>
        </w:tc>
        <w:tc>
          <w:tcPr>
            <w:tcW w:w="294" w:type="pct"/>
            <w:noWrap/>
            <w:vAlign w:val="center"/>
          </w:tcPr>
          <w:p w14:paraId="4073A9A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11.96</w:t>
            </w:r>
          </w:p>
        </w:tc>
        <w:tc>
          <w:tcPr>
            <w:tcW w:w="254" w:type="pct"/>
            <w:noWrap/>
            <w:vAlign w:val="center"/>
          </w:tcPr>
          <w:p w14:paraId="303F366B">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10.35</w:t>
            </w:r>
          </w:p>
        </w:tc>
        <w:tc>
          <w:tcPr>
            <w:tcW w:w="271" w:type="pct"/>
            <w:noWrap/>
            <w:vAlign w:val="center"/>
          </w:tcPr>
          <w:p w14:paraId="041771C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13.84</w:t>
            </w:r>
          </w:p>
        </w:tc>
        <w:tc>
          <w:tcPr>
            <w:tcW w:w="261" w:type="pct"/>
            <w:noWrap/>
            <w:vAlign w:val="center"/>
          </w:tcPr>
          <w:p w14:paraId="12759187">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5.51</w:t>
            </w:r>
          </w:p>
        </w:tc>
        <w:tc>
          <w:tcPr>
            <w:tcW w:w="245" w:type="pct"/>
            <w:noWrap/>
            <w:vAlign w:val="center"/>
          </w:tcPr>
          <w:p w14:paraId="435CA988">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5.78</w:t>
            </w:r>
          </w:p>
        </w:tc>
        <w:tc>
          <w:tcPr>
            <w:tcW w:w="320" w:type="pct"/>
            <w:noWrap/>
            <w:vAlign w:val="center"/>
          </w:tcPr>
          <w:p w14:paraId="54E096C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1.34</w:t>
            </w:r>
          </w:p>
        </w:tc>
        <w:tc>
          <w:tcPr>
            <w:tcW w:w="277" w:type="pct"/>
            <w:noWrap/>
            <w:vAlign w:val="center"/>
          </w:tcPr>
          <w:p w14:paraId="470632DA">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2.55</w:t>
            </w:r>
          </w:p>
        </w:tc>
        <w:tc>
          <w:tcPr>
            <w:tcW w:w="271" w:type="pct"/>
            <w:noWrap/>
            <w:vAlign w:val="center"/>
          </w:tcPr>
          <w:p w14:paraId="53D9C31D">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4.03</w:t>
            </w:r>
          </w:p>
        </w:tc>
        <w:tc>
          <w:tcPr>
            <w:tcW w:w="251" w:type="pct"/>
            <w:noWrap/>
            <w:vAlign w:val="center"/>
          </w:tcPr>
          <w:p w14:paraId="641F1B48">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8.74</w:t>
            </w:r>
          </w:p>
        </w:tc>
        <w:tc>
          <w:tcPr>
            <w:tcW w:w="243" w:type="pct"/>
            <w:noWrap/>
            <w:vAlign w:val="center"/>
          </w:tcPr>
          <w:p w14:paraId="18667AA4">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9.14</w:t>
            </w:r>
          </w:p>
        </w:tc>
        <w:tc>
          <w:tcPr>
            <w:tcW w:w="236" w:type="pct"/>
            <w:noWrap/>
            <w:vAlign w:val="center"/>
          </w:tcPr>
          <w:p w14:paraId="2E7BA51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4.17</w:t>
            </w:r>
          </w:p>
        </w:tc>
        <w:tc>
          <w:tcPr>
            <w:tcW w:w="258" w:type="pct"/>
            <w:noWrap/>
            <w:vAlign w:val="center"/>
          </w:tcPr>
          <w:p w14:paraId="587A4AE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3.09</w:t>
            </w:r>
          </w:p>
        </w:tc>
        <w:tc>
          <w:tcPr>
            <w:tcW w:w="229" w:type="pct"/>
            <w:noWrap/>
            <w:vAlign w:val="center"/>
          </w:tcPr>
          <w:p w14:paraId="6699A743">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3.49</w:t>
            </w:r>
          </w:p>
        </w:tc>
        <w:tc>
          <w:tcPr>
            <w:tcW w:w="270" w:type="pct"/>
            <w:noWrap/>
            <w:vAlign w:val="center"/>
          </w:tcPr>
          <w:p w14:paraId="2FB29985">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2.15</w:t>
            </w:r>
          </w:p>
        </w:tc>
        <w:tc>
          <w:tcPr>
            <w:tcW w:w="242" w:type="pct"/>
            <w:noWrap/>
            <w:vAlign w:val="center"/>
          </w:tcPr>
          <w:p w14:paraId="71B85788">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4.03</w:t>
            </w:r>
          </w:p>
        </w:tc>
        <w:tc>
          <w:tcPr>
            <w:tcW w:w="253" w:type="pct"/>
            <w:noWrap/>
            <w:vAlign w:val="center"/>
          </w:tcPr>
          <w:p w14:paraId="480302E7">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9.01</w:t>
            </w:r>
          </w:p>
        </w:tc>
        <w:tc>
          <w:tcPr>
            <w:tcW w:w="243" w:type="pct"/>
            <w:noWrap/>
            <w:vAlign w:val="center"/>
          </w:tcPr>
          <w:p w14:paraId="3693338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0.81</w:t>
            </w:r>
          </w:p>
        </w:tc>
      </w:tr>
      <w:tr w14:paraId="136D57D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582" w:type="pct"/>
            <w:noWrap/>
            <w:vAlign w:val="center"/>
          </w:tcPr>
          <w:p w14:paraId="1B7AC593">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九月           </w:t>
            </w:r>
          </w:p>
        </w:tc>
        <w:tc>
          <w:tcPr>
            <w:tcW w:w="294" w:type="pct"/>
            <w:noWrap/>
            <w:vAlign w:val="center"/>
          </w:tcPr>
          <w:p w14:paraId="4FFA4941">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32.92</w:t>
            </w:r>
          </w:p>
        </w:tc>
        <w:tc>
          <w:tcPr>
            <w:tcW w:w="254" w:type="pct"/>
            <w:noWrap/>
            <w:vAlign w:val="center"/>
          </w:tcPr>
          <w:p w14:paraId="4FD92CF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16.53</w:t>
            </w:r>
          </w:p>
        </w:tc>
        <w:tc>
          <w:tcPr>
            <w:tcW w:w="271" w:type="pct"/>
            <w:noWrap/>
            <w:vAlign w:val="center"/>
          </w:tcPr>
          <w:p w14:paraId="599DC35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6.11</w:t>
            </w:r>
          </w:p>
        </w:tc>
        <w:tc>
          <w:tcPr>
            <w:tcW w:w="261" w:type="pct"/>
            <w:noWrap/>
            <w:vAlign w:val="center"/>
          </w:tcPr>
          <w:p w14:paraId="145C87E7">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2.08</w:t>
            </w:r>
          </w:p>
        </w:tc>
        <w:tc>
          <w:tcPr>
            <w:tcW w:w="245" w:type="pct"/>
            <w:noWrap/>
            <w:vAlign w:val="center"/>
          </w:tcPr>
          <w:p w14:paraId="3CD6567A">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0.97</w:t>
            </w:r>
          </w:p>
        </w:tc>
        <w:tc>
          <w:tcPr>
            <w:tcW w:w="320" w:type="pct"/>
            <w:noWrap/>
            <w:vAlign w:val="center"/>
          </w:tcPr>
          <w:p w14:paraId="05C04A95">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0.97</w:t>
            </w:r>
          </w:p>
        </w:tc>
        <w:tc>
          <w:tcPr>
            <w:tcW w:w="277" w:type="pct"/>
            <w:noWrap/>
            <w:vAlign w:val="center"/>
          </w:tcPr>
          <w:p w14:paraId="3CF9FBD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0.69</w:t>
            </w:r>
          </w:p>
        </w:tc>
        <w:tc>
          <w:tcPr>
            <w:tcW w:w="271" w:type="pct"/>
            <w:noWrap/>
            <w:vAlign w:val="center"/>
          </w:tcPr>
          <w:p w14:paraId="5D3E318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1.67</w:t>
            </w:r>
          </w:p>
        </w:tc>
        <w:tc>
          <w:tcPr>
            <w:tcW w:w="251" w:type="pct"/>
            <w:noWrap/>
            <w:vAlign w:val="center"/>
          </w:tcPr>
          <w:p w14:paraId="35FFEA01">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6.25</w:t>
            </w:r>
          </w:p>
        </w:tc>
        <w:tc>
          <w:tcPr>
            <w:tcW w:w="243" w:type="pct"/>
            <w:noWrap/>
            <w:vAlign w:val="center"/>
          </w:tcPr>
          <w:p w14:paraId="35C104E7">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4.86</w:t>
            </w:r>
          </w:p>
        </w:tc>
        <w:tc>
          <w:tcPr>
            <w:tcW w:w="236" w:type="pct"/>
            <w:noWrap/>
            <w:vAlign w:val="center"/>
          </w:tcPr>
          <w:p w14:paraId="48E5D1E8">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2.78</w:t>
            </w:r>
          </w:p>
        </w:tc>
        <w:tc>
          <w:tcPr>
            <w:tcW w:w="258" w:type="pct"/>
            <w:noWrap/>
            <w:vAlign w:val="center"/>
          </w:tcPr>
          <w:p w14:paraId="33B28FC4">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1.25</w:t>
            </w:r>
          </w:p>
        </w:tc>
        <w:tc>
          <w:tcPr>
            <w:tcW w:w="229" w:type="pct"/>
            <w:noWrap/>
            <w:vAlign w:val="center"/>
          </w:tcPr>
          <w:p w14:paraId="64422DEA">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1.39</w:t>
            </w:r>
          </w:p>
        </w:tc>
        <w:tc>
          <w:tcPr>
            <w:tcW w:w="270" w:type="pct"/>
            <w:noWrap/>
            <w:vAlign w:val="center"/>
          </w:tcPr>
          <w:p w14:paraId="59E8506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2.78</w:t>
            </w:r>
          </w:p>
        </w:tc>
        <w:tc>
          <w:tcPr>
            <w:tcW w:w="242" w:type="pct"/>
            <w:noWrap/>
            <w:vAlign w:val="center"/>
          </w:tcPr>
          <w:p w14:paraId="406297C7">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4.72</w:t>
            </w:r>
          </w:p>
        </w:tc>
        <w:tc>
          <w:tcPr>
            <w:tcW w:w="253" w:type="pct"/>
            <w:noWrap/>
            <w:vAlign w:val="center"/>
          </w:tcPr>
          <w:p w14:paraId="216584E3">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12.22</w:t>
            </w:r>
          </w:p>
        </w:tc>
        <w:tc>
          <w:tcPr>
            <w:tcW w:w="243" w:type="pct"/>
            <w:noWrap/>
            <w:vAlign w:val="center"/>
          </w:tcPr>
          <w:p w14:paraId="4EA7B8E7">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1.81</w:t>
            </w:r>
          </w:p>
        </w:tc>
      </w:tr>
      <w:tr w14:paraId="48E7FB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582" w:type="pct"/>
            <w:noWrap/>
            <w:vAlign w:val="center"/>
          </w:tcPr>
          <w:p w14:paraId="64D0092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十月           </w:t>
            </w:r>
          </w:p>
        </w:tc>
        <w:tc>
          <w:tcPr>
            <w:tcW w:w="294" w:type="pct"/>
            <w:noWrap/>
            <w:vAlign w:val="center"/>
          </w:tcPr>
          <w:p w14:paraId="1BFD1263">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29.84</w:t>
            </w:r>
          </w:p>
        </w:tc>
        <w:tc>
          <w:tcPr>
            <w:tcW w:w="254" w:type="pct"/>
            <w:noWrap/>
            <w:vAlign w:val="center"/>
          </w:tcPr>
          <w:p w14:paraId="56B73049">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14.38</w:t>
            </w:r>
          </w:p>
        </w:tc>
        <w:tc>
          <w:tcPr>
            <w:tcW w:w="271" w:type="pct"/>
            <w:noWrap/>
            <w:vAlign w:val="center"/>
          </w:tcPr>
          <w:p w14:paraId="4CC455E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6.85</w:t>
            </w:r>
          </w:p>
        </w:tc>
        <w:tc>
          <w:tcPr>
            <w:tcW w:w="261" w:type="pct"/>
            <w:noWrap/>
            <w:vAlign w:val="center"/>
          </w:tcPr>
          <w:p w14:paraId="23217D81">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1.48</w:t>
            </w:r>
          </w:p>
        </w:tc>
        <w:tc>
          <w:tcPr>
            <w:tcW w:w="245" w:type="pct"/>
            <w:noWrap/>
            <w:vAlign w:val="center"/>
          </w:tcPr>
          <w:p w14:paraId="56D882D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1.75</w:t>
            </w:r>
          </w:p>
        </w:tc>
        <w:tc>
          <w:tcPr>
            <w:tcW w:w="320" w:type="pct"/>
            <w:noWrap/>
            <w:vAlign w:val="center"/>
          </w:tcPr>
          <w:p w14:paraId="4B218A04">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1.88</w:t>
            </w:r>
          </w:p>
        </w:tc>
        <w:tc>
          <w:tcPr>
            <w:tcW w:w="277" w:type="pct"/>
            <w:noWrap/>
            <w:vAlign w:val="center"/>
          </w:tcPr>
          <w:p w14:paraId="60B88F99">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2.15</w:t>
            </w:r>
          </w:p>
        </w:tc>
        <w:tc>
          <w:tcPr>
            <w:tcW w:w="271" w:type="pct"/>
            <w:noWrap/>
            <w:vAlign w:val="center"/>
          </w:tcPr>
          <w:p w14:paraId="2369B9C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3.9</w:t>
            </w:r>
          </w:p>
        </w:tc>
        <w:tc>
          <w:tcPr>
            <w:tcW w:w="251" w:type="pct"/>
            <w:noWrap/>
            <w:vAlign w:val="center"/>
          </w:tcPr>
          <w:p w14:paraId="2A07B412">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5.51</w:t>
            </w:r>
          </w:p>
        </w:tc>
        <w:tc>
          <w:tcPr>
            <w:tcW w:w="243" w:type="pct"/>
            <w:noWrap/>
            <w:vAlign w:val="center"/>
          </w:tcPr>
          <w:p w14:paraId="0493EEA9">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6.72</w:t>
            </w:r>
          </w:p>
        </w:tc>
        <w:tc>
          <w:tcPr>
            <w:tcW w:w="236" w:type="pct"/>
            <w:noWrap/>
            <w:vAlign w:val="center"/>
          </w:tcPr>
          <w:p w14:paraId="3A376DE3">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3.09</w:t>
            </w:r>
          </w:p>
        </w:tc>
        <w:tc>
          <w:tcPr>
            <w:tcW w:w="258" w:type="pct"/>
            <w:noWrap/>
            <w:vAlign w:val="center"/>
          </w:tcPr>
          <w:p w14:paraId="7B7F628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2.15</w:t>
            </w:r>
          </w:p>
        </w:tc>
        <w:tc>
          <w:tcPr>
            <w:tcW w:w="229" w:type="pct"/>
            <w:noWrap/>
            <w:vAlign w:val="center"/>
          </w:tcPr>
          <w:p w14:paraId="60F480D4">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1.21</w:t>
            </w:r>
          </w:p>
        </w:tc>
        <w:tc>
          <w:tcPr>
            <w:tcW w:w="270" w:type="pct"/>
            <w:noWrap/>
            <w:vAlign w:val="center"/>
          </w:tcPr>
          <w:p w14:paraId="1EFF3B7B">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1.88</w:t>
            </w:r>
          </w:p>
        </w:tc>
        <w:tc>
          <w:tcPr>
            <w:tcW w:w="242" w:type="pct"/>
            <w:noWrap/>
            <w:vAlign w:val="center"/>
          </w:tcPr>
          <w:p w14:paraId="409997D4">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2.15</w:t>
            </w:r>
          </w:p>
        </w:tc>
        <w:tc>
          <w:tcPr>
            <w:tcW w:w="253" w:type="pct"/>
            <w:noWrap/>
            <w:vAlign w:val="center"/>
          </w:tcPr>
          <w:p w14:paraId="5F62780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13.71</w:t>
            </w:r>
          </w:p>
        </w:tc>
        <w:tc>
          <w:tcPr>
            <w:tcW w:w="243" w:type="pct"/>
            <w:noWrap/>
            <w:vAlign w:val="center"/>
          </w:tcPr>
          <w:p w14:paraId="5FA49B55">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1.34</w:t>
            </w:r>
          </w:p>
        </w:tc>
      </w:tr>
      <w:tr w14:paraId="3C74C9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582" w:type="pct"/>
            <w:noWrap/>
            <w:vAlign w:val="center"/>
          </w:tcPr>
          <w:p w14:paraId="06A63004">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十一月         </w:t>
            </w:r>
          </w:p>
        </w:tc>
        <w:tc>
          <w:tcPr>
            <w:tcW w:w="294" w:type="pct"/>
            <w:noWrap/>
            <w:vAlign w:val="center"/>
          </w:tcPr>
          <w:p w14:paraId="308CB6A3">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44.03</w:t>
            </w:r>
          </w:p>
        </w:tc>
        <w:tc>
          <w:tcPr>
            <w:tcW w:w="254" w:type="pct"/>
            <w:noWrap/>
            <w:vAlign w:val="center"/>
          </w:tcPr>
          <w:p w14:paraId="2147530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15.83</w:t>
            </w:r>
          </w:p>
        </w:tc>
        <w:tc>
          <w:tcPr>
            <w:tcW w:w="271" w:type="pct"/>
            <w:noWrap/>
            <w:vAlign w:val="center"/>
          </w:tcPr>
          <w:p w14:paraId="4847DAED">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5.28</w:t>
            </w:r>
          </w:p>
        </w:tc>
        <w:tc>
          <w:tcPr>
            <w:tcW w:w="261" w:type="pct"/>
            <w:noWrap/>
            <w:vAlign w:val="center"/>
          </w:tcPr>
          <w:p w14:paraId="07A68B38">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2.36</w:t>
            </w:r>
          </w:p>
        </w:tc>
        <w:tc>
          <w:tcPr>
            <w:tcW w:w="245" w:type="pct"/>
            <w:noWrap/>
            <w:vAlign w:val="center"/>
          </w:tcPr>
          <w:p w14:paraId="1B37A402">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2.36</w:t>
            </w:r>
          </w:p>
        </w:tc>
        <w:tc>
          <w:tcPr>
            <w:tcW w:w="320" w:type="pct"/>
            <w:noWrap/>
            <w:vAlign w:val="center"/>
          </w:tcPr>
          <w:p w14:paraId="409BB133">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2.5</w:t>
            </w:r>
          </w:p>
        </w:tc>
        <w:tc>
          <w:tcPr>
            <w:tcW w:w="277" w:type="pct"/>
            <w:noWrap/>
            <w:vAlign w:val="center"/>
          </w:tcPr>
          <w:p w14:paraId="2FE9CE84">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2.5</w:t>
            </w:r>
          </w:p>
        </w:tc>
        <w:tc>
          <w:tcPr>
            <w:tcW w:w="271" w:type="pct"/>
            <w:noWrap/>
            <w:vAlign w:val="center"/>
          </w:tcPr>
          <w:p w14:paraId="37A46164">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1.39</w:t>
            </w:r>
          </w:p>
        </w:tc>
        <w:tc>
          <w:tcPr>
            <w:tcW w:w="251" w:type="pct"/>
            <w:noWrap/>
            <w:vAlign w:val="center"/>
          </w:tcPr>
          <w:p w14:paraId="3838FF16">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2.78</w:t>
            </w:r>
          </w:p>
        </w:tc>
        <w:tc>
          <w:tcPr>
            <w:tcW w:w="243" w:type="pct"/>
            <w:noWrap/>
            <w:vAlign w:val="center"/>
          </w:tcPr>
          <w:p w14:paraId="7D9ECCF3">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2.5</w:t>
            </w:r>
          </w:p>
        </w:tc>
        <w:tc>
          <w:tcPr>
            <w:tcW w:w="236" w:type="pct"/>
            <w:noWrap/>
            <w:vAlign w:val="center"/>
          </w:tcPr>
          <w:p w14:paraId="50297DF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1.94</w:t>
            </w:r>
          </w:p>
        </w:tc>
        <w:tc>
          <w:tcPr>
            <w:tcW w:w="258" w:type="pct"/>
            <w:noWrap/>
            <w:vAlign w:val="center"/>
          </w:tcPr>
          <w:p w14:paraId="62D13D2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0.83</w:t>
            </w:r>
          </w:p>
        </w:tc>
        <w:tc>
          <w:tcPr>
            <w:tcW w:w="229" w:type="pct"/>
            <w:noWrap/>
            <w:vAlign w:val="center"/>
          </w:tcPr>
          <w:p w14:paraId="1024AAC9">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0.97</w:t>
            </w:r>
          </w:p>
        </w:tc>
        <w:tc>
          <w:tcPr>
            <w:tcW w:w="270" w:type="pct"/>
            <w:noWrap/>
            <w:vAlign w:val="center"/>
          </w:tcPr>
          <w:p w14:paraId="69B8A6C7">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0.83</w:t>
            </w:r>
          </w:p>
        </w:tc>
        <w:tc>
          <w:tcPr>
            <w:tcW w:w="242" w:type="pct"/>
            <w:noWrap/>
            <w:vAlign w:val="center"/>
          </w:tcPr>
          <w:p w14:paraId="6BE2FE4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1.39</w:t>
            </w:r>
          </w:p>
        </w:tc>
        <w:tc>
          <w:tcPr>
            <w:tcW w:w="253" w:type="pct"/>
            <w:noWrap/>
            <w:vAlign w:val="center"/>
          </w:tcPr>
          <w:p w14:paraId="7E40D4E8">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12.5</w:t>
            </w:r>
          </w:p>
        </w:tc>
        <w:tc>
          <w:tcPr>
            <w:tcW w:w="243" w:type="pct"/>
            <w:noWrap/>
            <w:vAlign w:val="center"/>
          </w:tcPr>
          <w:p w14:paraId="1834CBA2">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w:t>
            </w:r>
          </w:p>
        </w:tc>
      </w:tr>
      <w:tr w14:paraId="385C410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582" w:type="pct"/>
            <w:noWrap/>
            <w:vAlign w:val="center"/>
          </w:tcPr>
          <w:p w14:paraId="675DC182">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十二月         </w:t>
            </w:r>
          </w:p>
        </w:tc>
        <w:tc>
          <w:tcPr>
            <w:tcW w:w="294" w:type="pct"/>
            <w:noWrap/>
            <w:vAlign w:val="center"/>
          </w:tcPr>
          <w:p w14:paraId="12D5986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41.67</w:t>
            </w:r>
          </w:p>
        </w:tc>
        <w:tc>
          <w:tcPr>
            <w:tcW w:w="254" w:type="pct"/>
            <w:noWrap/>
            <w:vAlign w:val="center"/>
          </w:tcPr>
          <w:p w14:paraId="274585A2">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12.37</w:t>
            </w:r>
          </w:p>
        </w:tc>
        <w:tc>
          <w:tcPr>
            <w:tcW w:w="271" w:type="pct"/>
            <w:noWrap/>
            <w:vAlign w:val="center"/>
          </w:tcPr>
          <w:p w14:paraId="3124713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4.97</w:t>
            </w:r>
          </w:p>
        </w:tc>
        <w:tc>
          <w:tcPr>
            <w:tcW w:w="261" w:type="pct"/>
            <w:noWrap/>
            <w:vAlign w:val="center"/>
          </w:tcPr>
          <w:p w14:paraId="5E1925B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0.81</w:t>
            </w:r>
          </w:p>
        </w:tc>
        <w:tc>
          <w:tcPr>
            <w:tcW w:w="245" w:type="pct"/>
            <w:noWrap/>
            <w:vAlign w:val="center"/>
          </w:tcPr>
          <w:p w14:paraId="05CA0282">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1.34</w:t>
            </w:r>
          </w:p>
        </w:tc>
        <w:tc>
          <w:tcPr>
            <w:tcW w:w="320" w:type="pct"/>
            <w:noWrap/>
            <w:vAlign w:val="center"/>
          </w:tcPr>
          <w:p w14:paraId="31CEDAD7">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0.94</w:t>
            </w:r>
          </w:p>
        </w:tc>
        <w:tc>
          <w:tcPr>
            <w:tcW w:w="277" w:type="pct"/>
            <w:noWrap/>
            <w:vAlign w:val="center"/>
          </w:tcPr>
          <w:p w14:paraId="67AE4AF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2.15</w:t>
            </w:r>
          </w:p>
        </w:tc>
        <w:tc>
          <w:tcPr>
            <w:tcW w:w="271" w:type="pct"/>
            <w:noWrap/>
            <w:vAlign w:val="center"/>
          </w:tcPr>
          <w:p w14:paraId="247FA06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2.15</w:t>
            </w:r>
          </w:p>
        </w:tc>
        <w:tc>
          <w:tcPr>
            <w:tcW w:w="251" w:type="pct"/>
            <w:noWrap/>
            <w:vAlign w:val="center"/>
          </w:tcPr>
          <w:p w14:paraId="4F3A719A">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6.45</w:t>
            </w:r>
          </w:p>
        </w:tc>
        <w:tc>
          <w:tcPr>
            <w:tcW w:w="243" w:type="pct"/>
            <w:noWrap/>
            <w:vAlign w:val="center"/>
          </w:tcPr>
          <w:p w14:paraId="10251264">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5.91</w:t>
            </w:r>
          </w:p>
        </w:tc>
        <w:tc>
          <w:tcPr>
            <w:tcW w:w="236" w:type="pct"/>
            <w:noWrap/>
            <w:vAlign w:val="center"/>
          </w:tcPr>
          <w:p w14:paraId="793F39F3">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3.09</w:t>
            </w:r>
          </w:p>
        </w:tc>
        <w:tc>
          <w:tcPr>
            <w:tcW w:w="258" w:type="pct"/>
            <w:noWrap/>
            <w:vAlign w:val="center"/>
          </w:tcPr>
          <w:p w14:paraId="099F2541">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0.81</w:t>
            </w:r>
          </w:p>
        </w:tc>
        <w:tc>
          <w:tcPr>
            <w:tcW w:w="229" w:type="pct"/>
            <w:noWrap/>
            <w:vAlign w:val="center"/>
          </w:tcPr>
          <w:p w14:paraId="3964D966">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0.4</w:t>
            </w:r>
          </w:p>
        </w:tc>
        <w:tc>
          <w:tcPr>
            <w:tcW w:w="270" w:type="pct"/>
            <w:noWrap/>
            <w:vAlign w:val="center"/>
          </w:tcPr>
          <w:p w14:paraId="6CF4ED07">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1.08</w:t>
            </w:r>
          </w:p>
        </w:tc>
        <w:tc>
          <w:tcPr>
            <w:tcW w:w="242" w:type="pct"/>
            <w:noWrap/>
            <w:vAlign w:val="center"/>
          </w:tcPr>
          <w:p w14:paraId="0B36109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2.28</w:t>
            </w:r>
          </w:p>
        </w:tc>
        <w:tc>
          <w:tcPr>
            <w:tcW w:w="253" w:type="pct"/>
            <w:noWrap/>
            <w:vAlign w:val="center"/>
          </w:tcPr>
          <w:p w14:paraId="3428469B">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13.58</w:t>
            </w:r>
          </w:p>
        </w:tc>
        <w:tc>
          <w:tcPr>
            <w:tcW w:w="243" w:type="pct"/>
            <w:noWrap/>
            <w:vAlign w:val="center"/>
          </w:tcPr>
          <w:p w14:paraId="08296D8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w:t>
            </w:r>
          </w:p>
        </w:tc>
      </w:tr>
    </w:tbl>
    <w:p w14:paraId="46380AC7">
      <w:pPr>
        <w:spacing w:line="240" w:lineRule="auto"/>
        <w:ind w:firstLine="0" w:firstLineChars="0"/>
        <w:jc w:val="center"/>
        <w:rPr>
          <w:b/>
          <w:bCs/>
          <w:color w:val="auto"/>
          <w:sz w:val="21"/>
          <w:szCs w:val="21"/>
          <w:highlight w:val="none"/>
        </w:rPr>
      </w:pPr>
    </w:p>
    <w:p w14:paraId="6F024E94">
      <w:pPr>
        <w:spacing w:line="240" w:lineRule="auto"/>
        <w:ind w:firstLine="0" w:firstLineChars="0"/>
        <w:jc w:val="center"/>
        <w:rPr>
          <w:b/>
          <w:bCs/>
          <w:color w:val="auto"/>
          <w:sz w:val="21"/>
          <w:szCs w:val="21"/>
          <w:highlight w:val="none"/>
        </w:rPr>
      </w:pPr>
      <w:r>
        <w:rPr>
          <w:b/>
          <w:bCs/>
          <w:color w:val="auto"/>
          <w:sz w:val="21"/>
          <w:szCs w:val="21"/>
          <w:highlight w:val="none"/>
        </w:rPr>
        <w:t>表4.2-8 钦州市2024年均风频的季变化及年均风频</w:t>
      </w:r>
    </w:p>
    <w:tbl>
      <w:tblPr>
        <w:tblStyle w:val="92"/>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795"/>
        <w:gridCol w:w="804"/>
        <w:gridCol w:w="761"/>
        <w:gridCol w:w="733"/>
        <w:gridCol w:w="761"/>
        <w:gridCol w:w="676"/>
        <w:gridCol w:w="691"/>
        <w:gridCol w:w="710"/>
        <w:gridCol w:w="761"/>
        <w:gridCol w:w="761"/>
        <w:gridCol w:w="762"/>
        <w:gridCol w:w="638"/>
        <w:gridCol w:w="771"/>
        <w:gridCol w:w="638"/>
        <w:gridCol w:w="789"/>
        <w:gridCol w:w="692"/>
        <w:gridCol w:w="762"/>
        <w:gridCol w:w="669"/>
      </w:tblGrid>
      <w:tr w14:paraId="26672A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621" w:type="pct"/>
            <w:tcBorders>
              <w:tl2br w:val="single" w:color="auto" w:sz="4" w:space="0"/>
            </w:tcBorders>
            <w:noWrap/>
            <w:vAlign w:val="center"/>
          </w:tcPr>
          <w:p w14:paraId="468D7F3F">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 xml:space="preserve">     风频（%）    </w:t>
            </w:r>
          </w:p>
          <w:p w14:paraId="3D577AEA">
            <w:pPr>
              <w:pStyle w:val="1556"/>
              <w:spacing w:beforeLines="0" w:afterLines="0" w:line="240" w:lineRule="auto"/>
              <w:ind w:firstLine="0"/>
              <w:rPr>
                <w:rFonts w:ascii="Times New Roman" w:hAnsi="Times New Roman"/>
                <w:b/>
                <w:bCs/>
                <w:color w:val="auto"/>
                <w:sz w:val="21"/>
                <w:szCs w:val="21"/>
                <w:highlight w:val="none"/>
              </w:rPr>
            </w:pPr>
            <w:r>
              <w:rPr>
                <w:rFonts w:ascii="Times New Roman" w:hAnsi="Times New Roman"/>
                <w:b/>
                <w:bCs/>
                <w:color w:val="auto"/>
                <w:sz w:val="21"/>
                <w:szCs w:val="21"/>
                <w:highlight w:val="none"/>
              </w:rPr>
              <w:t xml:space="preserve">风向  </w:t>
            </w:r>
          </w:p>
        </w:tc>
        <w:tc>
          <w:tcPr>
            <w:tcW w:w="285" w:type="pct"/>
            <w:noWrap/>
            <w:vAlign w:val="center"/>
          </w:tcPr>
          <w:p w14:paraId="6013337B">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N</w:t>
            </w:r>
          </w:p>
        </w:tc>
        <w:tc>
          <w:tcPr>
            <w:tcW w:w="270" w:type="pct"/>
            <w:noWrap/>
            <w:vAlign w:val="center"/>
          </w:tcPr>
          <w:p w14:paraId="5BAAD2AB">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NNE</w:t>
            </w:r>
          </w:p>
        </w:tc>
        <w:tc>
          <w:tcPr>
            <w:tcW w:w="260" w:type="pct"/>
            <w:noWrap/>
            <w:vAlign w:val="center"/>
          </w:tcPr>
          <w:p w14:paraId="4360D3EC">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NE</w:t>
            </w:r>
          </w:p>
        </w:tc>
        <w:tc>
          <w:tcPr>
            <w:tcW w:w="270" w:type="pct"/>
            <w:noWrap/>
            <w:vAlign w:val="center"/>
          </w:tcPr>
          <w:p w14:paraId="74AECA7D">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ENE</w:t>
            </w:r>
          </w:p>
        </w:tc>
        <w:tc>
          <w:tcPr>
            <w:tcW w:w="240" w:type="pct"/>
            <w:noWrap/>
            <w:vAlign w:val="center"/>
          </w:tcPr>
          <w:p w14:paraId="709B21BB">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E</w:t>
            </w:r>
          </w:p>
        </w:tc>
        <w:tc>
          <w:tcPr>
            <w:tcW w:w="245" w:type="pct"/>
            <w:noWrap/>
            <w:vAlign w:val="center"/>
          </w:tcPr>
          <w:p w14:paraId="0A69FABF">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ESE</w:t>
            </w:r>
          </w:p>
        </w:tc>
        <w:tc>
          <w:tcPr>
            <w:tcW w:w="252" w:type="pct"/>
            <w:noWrap/>
            <w:vAlign w:val="center"/>
          </w:tcPr>
          <w:p w14:paraId="1EC535F3">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SE</w:t>
            </w:r>
          </w:p>
        </w:tc>
        <w:tc>
          <w:tcPr>
            <w:tcW w:w="270" w:type="pct"/>
            <w:noWrap/>
            <w:vAlign w:val="center"/>
          </w:tcPr>
          <w:p w14:paraId="0EB36679">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SSE</w:t>
            </w:r>
          </w:p>
        </w:tc>
        <w:tc>
          <w:tcPr>
            <w:tcW w:w="270" w:type="pct"/>
            <w:noWrap/>
            <w:vAlign w:val="center"/>
          </w:tcPr>
          <w:p w14:paraId="136EF678">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S</w:t>
            </w:r>
          </w:p>
        </w:tc>
        <w:tc>
          <w:tcPr>
            <w:tcW w:w="270" w:type="pct"/>
            <w:noWrap/>
            <w:vAlign w:val="center"/>
          </w:tcPr>
          <w:p w14:paraId="22F20A26">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SSW</w:t>
            </w:r>
          </w:p>
        </w:tc>
        <w:tc>
          <w:tcPr>
            <w:tcW w:w="226" w:type="pct"/>
            <w:noWrap/>
            <w:vAlign w:val="center"/>
          </w:tcPr>
          <w:p w14:paraId="3A7C2241">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SW</w:t>
            </w:r>
          </w:p>
        </w:tc>
        <w:tc>
          <w:tcPr>
            <w:tcW w:w="273" w:type="pct"/>
            <w:noWrap/>
            <w:vAlign w:val="center"/>
          </w:tcPr>
          <w:p w14:paraId="473AF845">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WSW</w:t>
            </w:r>
          </w:p>
        </w:tc>
        <w:tc>
          <w:tcPr>
            <w:tcW w:w="226" w:type="pct"/>
            <w:noWrap/>
            <w:vAlign w:val="center"/>
          </w:tcPr>
          <w:p w14:paraId="3C53550B">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W</w:t>
            </w:r>
          </w:p>
        </w:tc>
        <w:tc>
          <w:tcPr>
            <w:tcW w:w="270" w:type="pct"/>
            <w:noWrap/>
            <w:vAlign w:val="center"/>
          </w:tcPr>
          <w:p w14:paraId="63F26900">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WNW</w:t>
            </w:r>
          </w:p>
        </w:tc>
        <w:tc>
          <w:tcPr>
            <w:tcW w:w="245" w:type="pct"/>
            <w:noWrap/>
            <w:vAlign w:val="center"/>
          </w:tcPr>
          <w:p w14:paraId="65B31551">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NW</w:t>
            </w:r>
          </w:p>
        </w:tc>
        <w:tc>
          <w:tcPr>
            <w:tcW w:w="270" w:type="pct"/>
            <w:noWrap/>
            <w:vAlign w:val="center"/>
          </w:tcPr>
          <w:p w14:paraId="2245A8FB">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NNW</w:t>
            </w:r>
          </w:p>
        </w:tc>
        <w:tc>
          <w:tcPr>
            <w:tcW w:w="237" w:type="pct"/>
            <w:noWrap/>
            <w:vAlign w:val="center"/>
          </w:tcPr>
          <w:p w14:paraId="657075E1">
            <w:pPr>
              <w:pStyle w:val="1556"/>
              <w:spacing w:beforeLines="0" w:afterLines="0" w:line="240" w:lineRule="auto"/>
              <w:ind w:firstLine="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 xml:space="preserve"> C </w:t>
            </w:r>
          </w:p>
        </w:tc>
      </w:tr>
      <w:tr w14:paraId="719B56B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621" w:type="pct"/>
            <w:noWrap/>
            <w:vAlign w:val="center"/>
          </w:tcPr>
          <w:p w14:paraId="5EDB3FE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春季           </w:t>
            </w:r>
          </w:p>
        </w:tc>
        <w:tc>
          <w:tcPr>
            <w:tcW w:w="285" w:type="pct"/>
            <w:noWrap/>
            <w:vAlign w:val="center"/>
          </w:tcPr>
          <w:p w14:paraId="1C302DFB">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24.64</w:t>
            </w:r>
          </w:p>
        </w:tc>
        <w:tc>
          <w:tcPr>
            <w:tcW w:w="270" w:type="pct"/>
            <w:noWrap/>
            <w:vAlign w:val="center"/>
          </w:tcPr>
          <w:p w14:paraId="7F60C993">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9.87</w:t>
            </w:r>
          </w:p>
        </w:tc>
        <w:tc>
          <w:tcPr>
            <w:tcW w:w="260" w:type="pct"/>
            <w:noWrap/>
            <w:vAlign w:val="center"/>
          </w:tcPr>
          <w:p w14:paraId="3F2212F9">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5.07</w:t>
            </w:r>
          </w:p>
        </w:tc>
        <w:tc>
          <w:tcPr>
            <w:tcW w:w="270" w:type="pct"/>
            <w:noWrap/>
            <w:vAlign w:val="center"/>
          </w:tcPr>
          <w:p w14:paraId="193EBCF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1.27</w:t>
            </w:r>
          </w:p>
        </w:tc>
        <w:tc>
          <w:tcPr>
            <w:tcW w:w="240" w:type="pct"/>
            <w:noWrap/>
            <w:vAlign w:val="center"/>
          </w:tcPr>
          <w:p w14:paraId="16E50A48">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2.54</w:t>
            </w:r>
          </w:p>
        </w:tc>
        <w:tc>
          <w:tcPr>
            <w:tcW w:w="245" w:type="pct"/>
            <w:noWrap/>
            <w:vAlign w:val="center"/>
          </w:tcPr>
          <w:p w14:paraId="6BC833D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2.22</w:t>
            </w:r>
          </w:p>
        </w:tc>
        <w:tc>
          <w:tcPr>
            <w:tcW w:w="252" w:type="pct"/>
            <w:noWrap/>
            <w:vAlign w:val="center"/>
          </w:tcPr>
          <w:p w14:paraId="7A7A789A">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3.67</w:t>
            </w:r>
          </w:p>
        </w:tc>
        <w:tc>
          <w:tcPr>
            <w:tcW w:w="270" w:type="pct"/>
            <w:noWrap/>
            <w:vAlign w:val="center"/>
          </w:tcPr>
          <w:p w14:paraId="4771AB8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5.21</w:t>
            </w:r>
          </w:p>
        </w:tc>
        <w:tc>
          <w:tcPr>
            <w:tcW w:w="270" w:type="pct"/>
            <w:noWrap/>
            <w:vAlign w:val="center"/>
          </w:tcPr>
          <w:p w14:paraId="6ECF0095">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22.78</w:t>
            </w:r>
          </w:p>
        </w:tc>
        <w:tc>
          <w:tcPr>
            <w:tcW w:w="270" w:type="pct"/>
            <w:noWrap/>
            <w:vAlign w:val="center"/>
          </w:tcPr>
          <w:p w14:paraId="16565575">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8.29</w:t>
            </w:r>
          </w:p>
        </w:tc>
        <w:tc>
          <w:tcPr>
            <w:tcW w:w="226" w:type="pct"/>
            <w:noWrap/>
            <w:vAlign w:val="center"/>
          </w:tcPr>
          <w:p w14:paraId="091930C4">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1.63</w:t>
            </w:r>
          </w:p>
        </w:tc>
        <w:tc>
          <w:tcPr>
            <w:tcW w:w="273" w:type="pct"/>
            <w:noWrap/>
            <w:vAlign w:val="center"/>
          </w:tcPr>
          <w:p w14:paraId="267078B7">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0.63</w:t>
            </w:r>
          </w:p>
        </w:tc>
        <w:tc>
          <w:tcPr>
            <w:tcW w:w="226" w:type="pct"/>
            <w:noWrap/>
            <w:vAlign w:val="center"/>
          </w:tcPr>
          <w:p w14:paraId="43D3D015">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0.63</w:t>
            </w:r>
          </w:p>
        </w:tc>
        <w:tc>
          <w:tcPr>
            <w:tcW w:w="270" w:type="pct"/>
            <w:noWrap/>
            <w:vAlign w:val="center"/>
          </w:tcPr>
          <w:p w14:paraId="2FE29A09">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0.86</w:t>
            </w:r>
          </w:p>
        </w:tc>
        <w:tc>
          <w:tcPr>
            <w:tcW w:w="245" w:type="pct"/>
            <w:noWrap/>
            <w:vAlign w:val="center"/>
          </w:tcPr>
          <w:p w14:paraId="233C0E08">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1.63</w:t>
            </w:r>
          </w:p>
        </w:tc>
        <w:tc>
          <w:tcPr>
            <w:tcW w:w="270" w:type="pct"/>
            <w:noWrap/>
            <w:vAlign w:val="center"/>
          </w:tcPr>
          <w:p w14:paraId="51F31CAD">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8.74</w:t>
            </w:r>
          </w:p>
        </w:tc>
        <w:tc>
          <w:tcPr>
            <w:tcW w:w="237" w:type="pct"/>
            <w:noWrap/>
            <w:vAlign w:val="center"/>
          </w:tcPr>
          <w:p w14:paraId="769FF588">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0.32</w:t>
            </w:r>
          </w:p>
        </w:tc>
      </w:tr>
      <w:tr w14:paraId="027B400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621" w:type="pct"/>
            <w:noWrap/>
            <w:vAlign w:val="center"/>
          </w:tcPr>
          <w:p w14:paraId="6F59C0E7">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夏季           </w:t>
            </w:r>
          </w:p>
        </w:tc>
        <w:tc>
          <w:tcPr>
            <w:tcW w:w="285" w:type="pct"/>
            <w:noWrap/>
            <w:vAlign w:val="center"/>
          </w:tcPr>
          <w:p w14:paraId="614A60D1">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8.79</w:t>
            </w:r>
          </w:p>
        </w:tc>
        <w:tc>
          <w:tcPr>
            <w:tcW w:w="270" w:type="pct"/>
            <w:noWrap/>
            <w:vAlign w:val="center"/>
          </w:tcPr>
          <w:p w14:paraId="7D711859">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8.02</w:t>
            </w:r>
          </w:p>
        </w:tc>
        <w:tc>
          <w:tcPr>
            <w:tcW w:w="260" w:type="pct"/>
            <w:noWrap/>
            <w:vAlign w:val="center"/>
          </w:tcPr>
          <w:p w14:paraId="76C01A25">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8.65</w:t>
            </w:r>
          </w:p>
        </w:tc>
        <w:tc>
          <w:tcPr>
            <w:tcW w:w="270" w:type="pct"/>
            <w:noWrap/>
            <w:vAlign w:val="center"/>
          </w:tcPr>
          <w:p w14:paraId="42B7FB8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3.85</w:t>
            </w:r>
          </w:p>
        </w:tc>
        <w:tc>
          <w:tcPr>
            <w:tcW w:w="240" w:type="pct"/>
            <w:noWrap/>
            <w:vAlign w:val="center"/>
          </w:tcPr>
          <w:p w14:paraId="2739F85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4.62</w:t>
            </w:r>
          </w:p>
        </w:tc>
        <w:tc>
          <w:tcPr>
            <w:tcW w:w="245" w:type="pct"/>
            <w:noWrap/>
            <w:vAlign w:val="center"/>
          </w:tcPr>
          <w:p w14:paraId="75F7CF5B">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2.85</w:t>
            </w:r>
          </w:p>
        </w:tc>
        <w:tc>
          <w:tcPr>
            <w:tcW w:w="252" w:type="pct"/>
            <w:noWrap/>
            <w:vAlign w:val="center"/>
          </w:tcPr>
          <w:p w14:paraId="3EDABC09">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2.67</w:t>
            </w:r>
          </w:p>
        </w:tc>
        <w:tc>
          <w:tcPr>
            <w:tcW w:w="270" w:type="pct"/>
            <w:noWrap/>
            <w:vAlign w:val="center"/>
          </w:tcPr>
          <w:p w14:paraId="686C8759">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6.02</w:t>
            </w:r>
          </w:p>
        </w:tc>
        <w:tc>
          <w:tcPr>
            <w:tcW w:w="270" w:type="pct"/>
            <w:noWrap/>
            <w:vAlign w:val="center"/>
          </w:tcPr>
          <w:p w14:paraId="2691589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26.77</w:t>
            </w:r>
          </w:p>
        </w:tc>
        <w:tc>
          <w:tcPr>
            <w:tcW w:w="270" w:type="pct"/>
            <w:noWrap/>
            <w:vAlign w:val="center"/>
          </w:tcPr>
          <w:p w14:paraId="310185D5">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10.6</w:t>
            </w:r>
          </w:p>
        </w:tc>
        <w:tc>
          <w:tcPr>
            <w:tcW w:w="226" w:type="pct"/>
            <w:noWrap/>
            <w:vAlign w:val="center"/>
          </w:tcPr>
          <w:p w14:paraId="22780D74">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2.76</w:t>
            </w:r>
          </w:p>
        </w:tc>
        <w:tc>
          <w:tcPr>
            <w:tcW w:w="273" w:type="pct"/>
            <w:noWrap/>
            <w:vAlign w:val="center"/>
          </w:tcPr>
          <w:p w14:paraId="72A8E325">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1.99</w:t>
            </w:r>
          </w:p>
        </w:tc>
        <w:tc>
          <w:tcPr>
            <w:tcW w:w="226" w:type="pct"/>
            <w:noWrap/>
            <w:vAlign w:val="center"/>
          </w:tcPr>
          <w:p w14:paraId="541EF1A2">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2.26</w:t>
            </w:r>
          </w:p>
        </w:tc>
        <w:tc>
          <w:tcPr>
            <w:tcW w:w="270" w:type="pct"/>
            <w:noWrap/>
            <w:vAlign w:val="center"/>
          </w:tcPr>
          <w:p w14:paraId="4228C2F8">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1.63</w:t>
            </w:r>
          </w:p>
        </w:tc>
        <w:tc>
          <w:tcPr>
            <w:tcW w:w="245" w:type="pct"/>
            <w:noWrap/>
            <w:vAlign w:val="center"/>
          </w:tcPr>
          <w:p w14:paraId="30CC8C3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2.31</w:t>
            </w:r>
          </w:p>
        </w:tc>
        <w:tc>
          <w:tcPr>
            <w:tcW w:w="270" w:type="pct"/>
            <w:noWrap/>
            <w:vAlign w:val="center"/>
          </w:tcPr>
          <w:p w14:paraId="322D12C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5.43</w:t>
            </w:r>
          </w:p>
        </w:tc>
        <w:tc>
          <w:tcPr>
            <w:tcW w:w="237" w:type="pct"/>
            <w:noWrap/>
            <w:vAlign w:val="center"/>
          </w:tcPr>
          <w:p w14:paraId="0636E1A6">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0.77</w:t>
            </w:r>
          </w:p>
        </w:tc>
      </w:tr>
      <w:tr w14:paraId="4298D4C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621" w:type="pct"/>
            <w:noWrap/>
            <w:vAlign w:val="center"/>
          </w:tcPr>
          <w:p w14:paraId="4D52F74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秋季           </w:t>
            </w:r>
          </w:p>
        </w:tc>
        <w:tc>
          <w:tcPr>
            <w:tcW w:w="285" w:type="pct"/>
            <w:noWrap/>
            <w:vAlign w:val="center"/>
          </w:tcPr>
          <w:p w14:paraId="02E5FA67">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35.53</w:t>
            </w:r>
          </w:p>
        </w:tc>
        <w:tc>
          <w:tcPr>
            <w:tcW w:w="270" w:type="pct"/>
            <w:noWrap/>
            <w:vAlign w:val="center"/>
          </w:tcPr>
          <w:p w14:paraId="4BC3F917">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15.57</w:t>
            </w:r>
          </w:p>
        </w:tc>
        <w:tc>
          <w:tcPr>
            <w:tcW w:w="260" w:type="pct"/>
            <w:noWrap/>
            <w:vAlign w:val="center"/>
          </w:tcPr>
          <w:p w14:paraId="3837BFA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6.09</w:t>
            </w:r>
          </w:p>
        </w:tc>
        <w:tc>
          <w:tcPr>
            <w:tcW w:w="270" w:type="pct"/>
            <w:noWrap/>
            <w:vAlign w:val="center"/>
          </w:tcPr>
          <w:p w14:paraId="4DBF268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1.97</w:t>
            </w:r>
          </w:p>
        </w:tc>
        <w:tc>
          <w:tcPr>
            <w:tcW w:w="240" w:type="pct"/>
            <w:noWrap/>
            <w:vAlign w:val="center"/>
          </w:tcPr>
          <w:p w14:paraId="3936EFBA">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1.69</w:t>
            </w:r>
          </w:p>
        </w:tc>
        <w:tc>
          <w:tcPr>
            <w:tcW w:w="245" w:type="pct"/>
            <w:noWrap/>
            <w:vAlign w:val="center"/>
          </w:tcPr>
          <w:p w14:paraId="0B9779C1">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1.79</w:t>
            </w:r>
          </w:p>
        </w:tc>
        <w:tc>
          <w:tcPr>
            <w:tcW w:w="252" w:type="pct"/>
            <w:noWrap/>
            <w:vAlign w:val="center"/>
          </w:tcPr>
          <w:p w14:paraId="4D26AA05">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1.79</w:t>
            </w:r>
          </w:p>
        </w:tc>
        <w:tc>
          <w:tcPr>
            <w:tcW w:w="270" w:type="pct"/>
            <w:noWrap/>
            <w:vAlign w:val="center"/>
          </w:tcPr>
          <w:p w14:paraId="5F55518A">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2.34</w:t>
            </w:r>
          </w:p>
        </w:tc>
        <w:tc>
          <w:tcPr>
            <w:tcW w:w="270" w:type="pct"/>
            <w:noWrap/>
            <w:vAlign w:val="center"/>
          </w:tcPr>
          <w:p w14:paraId="6725FF29">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4.85</w:t>
            </w:r>
          </w:p>
        </w:tc>
        <w:tc>
          <w:tcPr>
            <w:tcW w:w="270" w:type="pct"/>
            <w:noWrap/>
            <w:vAlign w:val="center"/>
          </w:tcPr>
          <w:p w14:paraId="37BAB48B">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4.72</w:t>
            </w:r>
          </w:p>
        </w:tc>
        <w:tc>
          <w:tcPr>
            <w:tcW w:w="226" w:type="pct"/>
            <w:noWrap/>
            <w:vAlign w:val="center"/>
          </w:tcPr>
          <w:p w14:paraId="10ACFA83">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2.61</w:t>
            </w:r>
          </w:p>
        </w:tc>
        <w:tc>
          <w:tcPr>
            <w:tcW w:w="273" w:type="pct"/>
            <w:noWrap/>
            <w:vAlign w:val="center"/>
          </w:tcPr>
          <w:p w14:paraId="5713280A">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1.42</w:t>
            </w:r>
          </w:p>
        </w:tc>
        <w:tc>
          <w:tcPr>
            <w:tcW w:w="226" w:type="pct"/>
            <w:noWrap/>
            <w:vAlign w:val="center"/>
          </w:tcPr>
          <w:p w14:paraId="14F3E72B">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1.19</w:t>
            </w:r>
          </w:p>
        </w:tc>
        <w:tc>
          <w:tcPr>
            <w:tcW w:w="270" w:type="pct"/>
            <w:noWrap/>
            <w:vAlign w:val="center"/>
          </w:tcPr>
          <w:p w14:paraId="6BF826CC">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1.83</w:t>
            </w:r>
          </w:p>
        </w:tc>
        <w:tc>
          <w:tcPr>
            <w:tcW w:w="245" w:type="pct"/>
            <w:noWrap/>
            <w:vAlign w:val="center"/>
          </w:tcPr>
          <w:p w14:paraId="29F55992">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2.75</w:t>
            </w:r>
          </w:p>
        </w:tc>
        <w:tc>
          <w:tcPr>
            <w:tcW w:w="270" w:type="pct"/>
            <w:noWrap/>
            <w:vAlign w:val="center"/>
          </w:tcPr>
          <w:p w14:paraId="4479FA73">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12.82</w:t>
            </w:r>
          </w:p>
        </w:tc>
        <w:tc>
          <w:tcPr>
            <w:tcW w:w="237" w:type="pct"/>
            <w:noWrap/>
            <w:vAlign w:val="center"/>
          </w:tcPr>
          <w:p w14:paraId="1689E166">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1.05</w:t>
            </w:r>
          </w:p>
        </w:tc>
      </w:tr>
      <w:tr w14:paraId="6667A7A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621" w:type="pct"/>
            <w:noWrap/>
            <w:vAlign w:val="center"/>
          </w:tcPr>
          <w:p w14:paraId="7C28B900">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冬季           </w:t>
            </w:r>
          </w:p>
        </w:tc>
        <w:tc>
          <w:tcPr>
            <w:tcW w:w="285" w:type="pct"/>
            <w:noWrap/>
            <w:vAlign w:val="center"/>
          </w:tcPr>
          <w:p w14:paraId="414E30DB">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44.4</w:t>
            </w:r>
          </w:p>
        </w:tc>
        <w:tc>
          <w:tcPr>
            <w:tcW w:w="270" w:type="pct"/>
            <w:noWrap/>
            <w:vAlign w:val="center"/>
          </w:tcPr>
          <w:p w14:paraId="6FB52523">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13.8</w:t>
            </w:r>
          </w:p>
        </w:tc>
        <w:tc>
          <w:tcPr>
            <w:tcW w:w="260" w:type="pct"/>
            <w:noWrap/>
            <w:vAlign w:val="center"/>
          </w:tcPr>
          <w:p w14:paraId="135E98EB">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6.53</w:t>
            </w:r>
          </w:p>
        </w:tc>
        <w:tc>
          <w:tcPr>
            <w:tcW w:w="270" w:type="pct"/>
            <w:noWrap/>
            <w:vAlign w:val="center"/>
          </w:tcPr>
          <w:p w14:paraId="2F1D23B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1.25</w:t>
            </w:r>
          </w:p>
        </w:tc>
        <w:tc>
          <w:tcPr>
            <w:tcW w:w="240" w:type="pct"/>
            <w:noWrap/>
            <w:vAlign w:val="center"/>
          </w:tcPr>
          <w:p w14:paraId="0BF12EF5">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1.76</w:t>
            </w:r>
          </w:p>
        </w:tc>
        <w:tc>
          <w:tcPr>
            <w:tcW w:w="245" w:type="pct"/>
            <w:noWrap/>
            <w:vAlign w:val="center"/>
          </w:tcPr>
          <w:p w14:paraId="3EA314F1">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1.25</w:t>
            </w:r>
          </w:p>
        </w:tc>
        <w:tc>
          <w:tcPr>
            <w:tcW w:w="252" w:type="pct"/>
            <w:noWrap/>
            <w:vAlign w:val="center"/>
          </w:tcPr>
          <w:p w14:paraId="11673446">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1.9</w:t>
            </w:r>
          </w:p>
        </w:tc>
        <w:tc>
          <w:tcPr>
            <w:tcW w:w="270" w:type="pct"/>
            <w:noWrap/>
            <w:vAlign w:val="center"/>
          </w:tcPr>
          <w:p w14:paraId="3F4D2949">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2.27</w:t>
            </w:r>
          </w:p>
        </w:tc>
        <w:tc>
          <w:tcPr>
            <w:tcW w:w="270" w:type="pct"/>
            <w:noWrap/>
            <w:vAlign w:val="center"/>
          </w:tcPr>
          <w:p w14:paraId="0E35B6C8">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7.45</w:t>
            </w:r>
          </w:p>
        </w:tc>
        <w:tc>
          <w:tcPr>
            <w:tcW w:w="270" w:type="pct"/>
            <w:noWrap/>
            <w:vAlign w:val="center"/>
          </w:tcPr>
          <w:p w14:paraId="3DB1C14A">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5.14</w:t>
            </w:r>
          </w:p>
        </w:tc>
        <w:tc>
          <w:tcPr>
            <w:tcW w:w="226" w:type="pct"/>
            <w:noWrap/>
            <w:vAlign w:val="center"/>
          </w:tcPr>
          <w:p w14:paraId="67511B48">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2.31</w:t>
            </w:r>
          </w:p>
        </w:tc>
        <w:tc>
          <w:tcPr>
            <w:tcW w:w="273" w:type="pct"/>
            <w:noWrap/>
            <w:vAlign w:val="center"/>
          </w:tcPr>
          <w:p w14:paraId="2D908C79">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0.97</w:t>
            </w:r>
          </w:p>
        </w:tc>
        <w:tc>
          <w:tcPr>
            <w:tcW w:w="226" w:type="pct"/>
            <w:noWrap/>
            <w:vAlign w:val="center"/>
          </w:tcPr>
          <w:p w14:paraId="1D69C657">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0.42</w:t>
            </w:r>
          </w:p>
        </w:tc>
        <w:tc>
          <w:tcPr>
            <w:tcW w:w="270" w:type="pct"/>
            <w:noWrap/>
            <w:vAlign w:val="center"/>
          </w:tcPr>
          <w:p w14:paraId="7DEABCE9">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0.97</w:t>
            </w:r>
          </w:p>
        </w:tc>
        <w:tc>
          <w:tcPr>
            <w:tcW w:w="245" w:type="pct"/>
            <w:noWrap/>
            <w:vAlign w:val="center"/>
          </w:tcPr>
          <w:p w14:paraId="315E3786">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1.44</w:t>
            </w:r>
          </w:p>
        </w:tc>
        <w:tc>
          <w:tcPr>
            <w:tcW w:w="270" w:type="pct"/>
            <w:noWrap/>
            <w:vAlign w:val="center"/>
          </w:tcPr>
          <w:p w14:paraId="0684D358">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8.1</w:t>
            </w:r>
          </w:p>
        </w:tc>
        <w:tc>
          <w:tcPr>
            <w:tcW w:w="237" w:type="pct"/>
            <w:noWrap/>
            <w:vAlign w:val="center"/>
          </w:tcPr>
          <w:p w14:paraId="30AC8B45">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0.05</w:t>
            </w:r>
          </w:p>
        </w:tc>
      </w:tr>
      <w:tr w14:paraId="7C92436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621" w:type="pct"/>
            <w:noWrap/>
            <w:vAlign w:val="center"/>
          </w:tcPr>
          <w:p w14:paraId="3197F72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color w:val="auto"/>
                <w:sz w:val="21"/>
                <w:szCs w:val="21"/>
                <w:highlight w:val="none"/>
              </w:rPr>
              <w:t xml:space="preserve">全年           </w:t>
            </w:r>
          </w:p>
        </w:tc>
        <w:tc>
          <w:tcPr>
            <w:tcW w:w="285" w:type="pct"/>
            <w:noWrap/>
            <w:vAlign w:val="center"/>
          </w:tcPr>
          <w:p w14:paraId="2DF2720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28.23</w:t>
            </w:r>
          </w:p>
        </w:tc>
        <w:tc>
          <w:tcPr>
            <w:tcW w:w="270" w:type="pct"/>
            <w:noWrap/>
            <w:vAlign w:val="center"/>
          </w:tcPr>
          <w:p w14:paraId="490E74D4">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11.79</w:t>
            </w:r>
          </w:p>
        </w:tc>
        <w:tc>
          <w:tcPr>
            <w:tcW w:w="260" w:type="pct"/>
            <w:noWrap/>
            <w:vAlign w:val="center"/>
          </w:tcPr>
          <w:p w14:paraId="4AA4B884">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6.59</w:t>
            </w:r>
          </w:p>
        </w:tc>
        <w:tc>
          <w:tcPr>
            <w:tcW w:w="270" w:type="pct"/>
            <w:noWrap/>
            <w:vAlign w:val="center"/>
          </w:tcPr>
          <w:p w14:paraId="2C476F14">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2.09</w:t>
            </w:r>
          </w:p>
        </w:tc>
        <w:tc>
          <w:tcPr>
            <w:tcW w:w="240" w:type="pct"/>
            <w:noWrap/>
            <w:vAlign w:val="center"/>
          </w:tcPr>
          <w:p w14:paraId="4B7D24E9">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2.66</w:t>
            </w:r>
          </w:p>
        </w:tc>
        <w:tc>
          <w:tcPr>
            <w:tcW w:w="245" w:type="pct"/>
            <w:noWrap/>
            <w:vAlign w:val="center"/>
          </w:tcPr>
          <w:p w14:paraId="1AFDE5E6">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2.03</w:t>
            </w:r>
          </w:p>
        </w:tc>
        <w:tc>
          <w:tcPr>
            <w:tcW w:w="252" w:type="pct"/>
            <w:noWrap/>
            <w:vAlign w:val="center"/>
          </w:tcPr>
          <w:p w14:paraId="19696792">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2.51</w:t>
            </w:r>
          </w:p>
        </w:tc>
        <w:tc>
          <w:tcPr>
            <w:tcW w:w="270" w:type="pct"/>
            <w:noWrap/>
            <w:vAlign w:val="center"/>
          </w:tcPr>
          <w:p w14:paraId="7BB71CA9">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3.97</w:t>
            </w:r>
          </w:p>
        </w:tc>
        <w:tc>
          <w:tcPr>
            <w:tcW w:w="270" w:type="pct"/>
            <w:noWrap/>
            <w:vAlign w:val="center"/>
          </w:tcPr>
          <w:p w14:paraId="3AD36A51">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15.54</w:t>
            </w:r>
          </w:p>
        </w:tc>
        <w:tc>
          <w:tcPr>
            <w:tcW w:w="270" w:type="pct"/>
            <w:noWrap/>
            <w:vAlign w:val="center"/>
          </w:tcPr>
          <w:p w14:paraId="5BA2870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7.2</w:t>
            </w:r>
          </w:p>
        </w:tc>
        <w:tc>
          <w:tcPr>
            <w:tcW w:w="226" w:type="pct"/>
            <w:noWrap/>
            <w:vAlign w:val="center"/>
          </w:tcPr>
          <w:p w14:paraId="052417E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2.33</w:t>
            </w:r>
          </w:p>
        </w:tc>
        <w:tc>
          <w:tcPr>
            <w:tcW w:w="273" w:type="pct"/>
            <w:noWrap/>
            <w:vAlign w:val="center"/>
          </w:tcPr>
          <w:p w14:paraId="54B6B1E4">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1.26</w:t>
            </w:r>
          </w:p>
        </w:tc>
        <w:tc>
          <w:tcPr>
            <w:tcW w:w="226" w:type="pct"/>
            <w:noWrap/>
            <w:vAlign w:val="center"/>
          </w:tcPr>
          <w:p w14:paraId="7FD36D03">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1.13</w:t>
            </w:r>
          </w:p>
        </w:tc>
        <w:tc>
          <w:tcPr>
            <w:tcW w:w="270" w:type="pct"/>
            <w:noWrap/>
            <w:vAlign w:val="center"/>
          </w:tcPr>
          <w:p w14:paraId="6D0A0F96">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1.32</w:t>
            </w:r>
          </w:p>
        </w:tc>
        <w:tc>
          <w:tcPr>
            <w:tcW w:w="245" w:type="pct"/>
            <w:noWrap/>
            <w:vAlign w:val="center"/>
          </w:tcPr>
          <w:p w14:paraId="3604E54E">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2.03</w:t>
            </w:r>
          </w:p>
        </w:tc>
        <w:tc>
          <w:tcPr>
            <w:tcW w:w="270" w:type="pct"/>
            <w:noWrap/>
            <w:vAlign w:val="center"/>
          </w:tcPr>
          <w:p w14:paraId="74DDA5E4">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8.77</w:t>
            </w:r>
          </w:p>
        </w:tc>
        <w:tc>
          <w:tcPr>
            <w:tcW w:w="237" w:type="pct"/>
            <w:noWrap/>
            <w:vAlign w:val="center"/>
          </w:tcPr>
          <w:p w14:paraId="763223BF">
            <w:pPr>
              <w:pStyle w:val="1556"/>
              <w:spacing w:beforeLines="0" w:afterLines="0" w:line="240" w:lineRule="auto"/>
              <w:ind w:firstLine="0"/>
              <w:jc w:val="center"/>
              <w:rPr>
                <w:rFonts w:ascii="Times New Roman" w:hAnsi="Times New Roman"/>
                <w:color w:val="auto"/>
                <w:sz w:val="21"/>
                <w:szCs w:val="21"/>
                <w:highlight w:val="none"/>
              </w:rPr>
            </w:pPr>
            <w:r>
              <w:rPr>
                <w:rFonts w:ascii="Times New Roman" w:hAnsi="Times New Roman" w:eastAsia="新宋体"/>
                <w:color w:val="auto"/>
                <w:sz w:val="21"/>
                <w:szCs w:val="21"/>
                <w:highlight w:val="none"/>
              </w:rPr>
              <w:t>0.55</w:t>
            </w:r>
          </w:p>
        </w:tc>
      </w:tr>
    </w:tbl>
    <w:p w14:paraId="1230D1B6">
      <w:pPr>
        <w:ind w:firstLine="480"/>
        <w:jc w:val="center"/>
        <w:rPr>
          <w:color w:val="auto"/>
          <w:highlight w:val="none"/>
        </w:rPr>
        <w:sectPr>
          <w:headerReference r:id="rId49" w:type="default"/>
          <w:pgSz w:w="16838" w:h="11906" w:orient="landscape"/>
          <w:pgMar w:top="1800" w:right="1440" w:bottom="1800" w:left="1440" w:header="851" w:footer="850" w:gutter="0"/>
          <w:cols w:space="720" w:num="1"/>
          <w:docGrid w:linePitch="326" w:charSpace="0"/>
        </w:sectPr>
      </w:pPr>
    </w:p>
    <w:p w14:paraId="75EA005E">
      <w:pPr>
        <w:spacing w:line="240" w:lineRule="auto"/>
        <w:ind w:firstLine="0" w:firstLineChars="0"/>
        <w:jc w:val="center"/>
        <w:rPr>
          <w:b/>
          <w:bCs/>
          <w:color w:val="auto"/>
          <w:sz w:val="21"/>
          <w:szCs w:val="21"/>
          <w:highlight w:val="none"/>
        </w:rPr>
      </w:pPr>
      <w:r>
        <w:rPr>
          <w:b/>
          <w:bCs/>
          <w:color w:val="auto"/>
          <w:sz w:val="21"/>
          <w:szCs w:val="21"/>
          <w:highlight w:val="none"/>
        </w:rPr>
        <w:drawing>
          <wp:inline distT="0" distB="0" distL="0" distR="0">
            <wp:extent cx="22860" cy="2286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22860" cy="22860"/>
                    </a:xfrm>
                    <a:prstGeom prst="rect">
                      <a:avLst/>
                    </a:prstGeom>
                    <a:noFill/>
                    <a:ln>
                      <a:noFill/>
                    </a:ln>
                  </pic:spPr>
                </pic:pic>
              </a:graphicData>
            </a:graphic>
          </wp:inline>
        </w:drawing>
      </w:r>
      <w:r>
        <w:rPr>
          <w:b/>
          <w:bCs/>
          <w:color w:val="auto"/>
          <w:sz w:val="21"/>
          <w:szCs w:val="21"/>
          <w:highlight w:val="none"/>
        </w:rPr>
        <w:drawing>
          <wp:inline distT="0" distB="0" distL="0" distR="0">
            <wp:extent cx="22860" cy="22860"/>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22860" cy="22860"/>
                    </a:xfrm>
                    <a:prstGeom prst="rect">
                      <a:avLst/>
                    </a:prstGeom>
                    <a:noFill/>
                    <a:ln>
                      <a:noFill/>
                    </a:ln>
                  </pic:spPr>
                </pic:pic>
              </a:graphicData>
            </a:graphic>
          </wp:inline>
        </w:drawing>
      </w:r>
      <w:r>
        <w:rPr>
          <w:b/>
          <w:bCs/>
          <w:color w:val="auto"/>
          <w:sz w:val="21"/>
          <w:szCs w:val="21"/>
          <w:highlight w:val="none"/>
        </w:rPr>
        <w:drawing>
          <wp:inline distT="0" distB="0" distL="0" distR="0">
            <wp:extent cx="5584825" cy="7773035"/>
            <wp:effectExtent l="0" t="0" r="15875" b="1841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noChangeArrowheads="1"/>
                    </pic:cNvPicPr>
                  </pic:nvPicPr>
                  <pic:blipFill>
                    <a:blip r:embed="rId121">
                      <a:extLst>
                        <a:ext uri="{28A0092B-C50C-407E-A947-70E740481C1C}">
                          <a14:useLocalDpi xmlns:a14="http://schemas.microsoft.com/office/drawing/2010/main" val="0"/>
                        </a:ext>
                      </a:extLst>
                    </a:blip>
                    <a:srcRect t="2506"/>
                    <a:stretch>
                      <a:fillRect/>
                    </a:stretch>
                  </pic:blipFill>
                  <pic:spPr>
                    <a:xfrm>
                      <a:off x="0" y="0"/>
                      <a:ext cx="5584825" cy="7773035"/>
                    </a:xfrm>
                    <a:prstGeom prst="rect">
                      <a:avLst/>
                    </a:prstGeom>
                    <a:noFill/>
                    <a:ln>
                      <a:noFill/>
                    </a:ln>
                  </pic:spPr>
                </pic:pic>
              </a:graphicData>
            </a:graphic>
          </wp:inline>
        </w:drawing>
      </w:r>
    </w:p>
    <w:p w14:paraId="2D1CFA67">
      <w:pPr>
        <w:spacing w:line="240" w:lineRule="auto"/>
        <w:ind w:firstLine="0" w:firstLineChars="0"/>
        <w:jc w:val="center"/>
        <w:rPr>
          <w:b/>
          <w:bCs/>
          <w:color w:val="auto"/>
          <w:sz w:val="21"/>
          <w:szCs w:val="21"/>
          <w:highlight w:val="none"/>
        </w:rPr>
      </w:pPr>
      <w:r>
        <w:rPr>
          <w:b/>
          <w:bCs/>
          <w:color w:val="auto"/>
          <w:sz w:val="21"/>
          <w:szCs w:val="21"/>
          <w:highlight w:val="none"/>
        </w:rPr>
        <w:t>图4.2-1  钦州地区2024年逐月、四季和全年风向频率统计</w:t>
      </w:r>
    </w:p>
    <w:p w14:paraId="4BBF1CC1">
      <w:pPr>
        <w:ind w:firstLine="480"/>
        <w:rPr>
          <w:bCs/>
          <w:color w:val="auto"/>
          <w:highlight w:val="none"/>
        </w:rPr>
      </w:pPr>
    </w:p>
    <w:p w14:paraId="7DBF020F">
      <w:pPr>
        <w:ind w:firstLine="480"/>
        <w:rPr>
          <w:bCs/>
          <w:color w:val="auto"/>
          <w:highlight w:val="none"/>
        </w:rPr>
      </w:pPr>
      <w:r>
        <w:rPr>
          <w:bCs/>
          <w:color w:val="auto"/>
          <w:highlight w:val="none"/>
        </w:rPr>
        <w:t>根据图4.2-1，钦州市2024年主要风向为N，占全年28.23％左右。</w:t>
      </w:r>
    </w:p>
    <w:p w14:paraId="23BEF382">
      <w:pPr>
        <w:widowControl/>
        <w:ind w:firstLine="482"/>
        <w:jc w:val="center"/>
        <w:rPr>
          <w:b/>
          <w:color w:val="auto"/>
          <w:highlight w:val="none"/>
        </w:rPr>
      </w:pPr>
    </w:p>
    <w:p w14:paraId="6F909804">
      <w:pPr>
        <w:ind w:firstLine="482"/>
        <w:rPr>
          <w:b/>
          <w:bCs/>
          <w:color w:val="auto"/>
          <w:highlight w:val="none"/>
        </w:rPr>
      </w:pPr>
      <w:r>
        <w:rPr>
          <w:b/>
          <w:bCs/>
          <w:color w:val="auto"/>
          <w:highlight w:val="none"/>
        </w:rPr>
        <w:t>②地形参数及地表特征参数</w:t>
      </w:r>
    </w:p>
    <w:p w14:paraId="1924D0D5">
      <w:pPr>
        <w:widowControl/>
        <w:ind w:firstLine="480"/>
        <w:jc w:val="left"/>
        <w:rPr>
          <w:color w:val="auto"/>
          <w:highlight w:val="none"/>
        </w:rPr>
      </w:pPr>
      <w:r>
        <w:rPr>
          <w:color w:val="auto"/>
          <w:highlight w:val="none"/>
        </w:rPr>
        <w:t>地形数据来自根据SRTM（航天飞机雷达地形测绘使命）系统获取的雷达影像数据制成的数字地形高程模型，版本为V4.1（最新），文件格式为dem格式，分辨率为90m，（网站：</w:t>
      </w:r>
      <w:r>
        <w:rPr>
          <w:color w:val="auto"/>
          <w:highlight w:val="none"/>
        </w:rPr>
        <w:fldChar w:fldCharType="begin"/>
      </w:r>
      <w:r>
        <w:rPr>
          <w:color w:val="auto"/>
          <w:highlight w:val="none"/>
        </w:rPr>
        <w:instrText xml:space="preserve"> HYPERLINK "http://srtm.csi.cgiar.org/）。地形图信息见表4.2-9。预测范围内地形见图4.2-2所示。" </w:instrText>
      </w:r>
      <w:r>
        <w:rPr>
          <w:color w:val="auto"/>
          <w:highlight w:val="none"/>
        </w:rPr>
        <w:fldChar w:fldCharType="separate"/>
      </w:r>
      <w:r>
        <w:rPr>
          <w:color w:val="auto"/>
          <w:highlight w:val="none"/>
        </w:rPr>
        <w:t>http://srtm.csi.cgiar.org/）。预测范围内地形见图4.2-5所示。</w:t>
      </w:r>
      <w:r>
        <w:rPr>
          <w:color w:val="auto"/>
          <w:highlight w:val="none"/>
        </w:rPr>
        <w:fldChar w:fldCharType="end"/>
      </w:r>
    </w:p>
    <w:p w14:paraId="346C4D20">
      <w:pPr>
        <w:spacing w:line="240" w:lineRule="auto"/>
        <w:ind w:firstLine="0" w:firstLineChars="0"/>
        <w:jc w:val="center"/>
        <w:rPr>
          <w:b/>
          <w:bCs/>
          <w:color w:val="auto"/>
          <w:sz w:val="21"/>
          <w:szCs w:val="21"/>
          <w:highlight w:val="none"/>
        </w:rPr>
      </w:pPr>
      <w:r>
        <w:rPr>
          <w:b/>
          <w:bCs/>
          <w:color w:val="auto"/>
          <w:sz w:val="21"/>
          <w:szCs w:val="21"/>
          <w:highlight w:val="none"/>
        </w:rPr>
        <w:t>表4.2-9 项目地形信息一览表</w:t>
      </w:r>
    </w:p>
    <w:tbl>
      <w:tblPr>
        <w:tblStyle w:val="92"/>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87"/>
        <w:gridCol w:w="1415"/>
        <w:gridCol w:w="1739"/>
        <w:gridCol w:w="1988"/>
        <w:gridCol w:w="2857"/>
      </w:tblGrid>
      <w:tr w14:paraId="48FEA9E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693" w:type="pct"/>
            <w:vAlign w:val="center"/>
          </w:tcPr>
          <w:p w14:paraId="39D7A4FC">
            <w:pPr>
              <w:widowControl/>
              <w:spacing w:line="240" w:lineRule="auto"/>
              <w:ind w:firstLine="0" w:firstLineChars="0"/>
              <w:jc w:val="center"/>
              <w:rPr>
                <w:color w:val="auto"/>
                <w:sz w:val="21"/>
                <w:szCs w:val="21"/>
                <w:highlight w:val="none"/>
              </w:rPr>
            </w:pPr>
            <w:r>
              <w:rPr>
                <w:color w:val="auto"/>
                <w:sz w:val="21"/>
                <w:szCs w:val="21"/>
                <w:highlight w:val="none"/>
              </w:rPr>
              <w:t>数据来源</w:t>
            </w:r>
          </w:p>
        </w:tc>
        <w:tc>
          <w:tcPr>
            <w:tcW w:w="762" w:type="pct"/>
            <w:vAlign w:val="center"/>
          </w:tcPr>
          <w:p w14:paraId="20E121A7">
            <w:pPr>
              <w:widowControl/>
              <w:spacing w:line="240" w:lineRule="auto"/>
              <w:ind w:firstLine="0" w:firstLineChars="0"/>
              <w:jc w:val="center"/>
              <w:rPr>
                <w:color w:val="auto"/>
                <w:sz w:val="21"/>
                <w:szCs w:val="21"/>
                <w:highlight w:val="none"/>
              </w:rPr>
            </w:pPr>
            <w:r>
              <w:rPr>
                <w:color w:val="auto"/>
                <w:sz w:val="21"/>
                <w:szCs w:val="21"/>
                <w:highlight w:val="none"/>
              </w:rPr>
              <w:t>版本</w:t>
            </w:r>
          </w:p>
        </w:tc>
        <w:tc>
          <w:tcPr>
            <w:tcW w:w="936" w:type="pct"/>
            <w:vAlign w:val="center"/>
          </w:tcPr>
          <w:p w14:paraId="77D4CFCB">
            <w:pPr>
              <w:widowControl/>
              <w:spacing w:line="240" w:lineRule="auto"/>
              <w:ind w:firstLine="0" w:firstLineChars="0"/>
              <w:jc w:val="center"/>
              <w:rPr>
                <w:color w:val="auto"/>
                <w:sz w:val="21"/>
                <w:szCs w:val="21"/>
                <w:highlight w:val="none"/>
              </w:rPr>
            </w:pPr>
            <w:r>
              <w:rPr>
                <w:color w:val="auto"/>
                <w:sz w:val="21"/>
                <w:szCs w:val="21"/>
                <w:highlight w:val="none"/>
              </w:rPr>
              <w:t>数据时间</w:t>
            </w:r>
          </w:p>
        </w:tc>
        <w:tc>
          <w:tcPr>
            <w:tcW w:w="1070" w:type="pct"/>
            <w:vAlign w:val="center"/>
          </w:tcPr>
          <w:p w14:paraId="3A348D91">
            <w:pPr>
              <w:widowControl/>
              <w:spacing w:line="240" w:lineRule="auto"/>
              <w:ind w:firstLine="0" w:firstLineChars="0"/>
              <w:jc w:val="center"/>
              <w:rPr>
                <w:color w:val="auto"/>
                <w:sz w:val="21"/>
                <w:szCs w:val="21"/>
                <w:highlight w:val="none"/>
              </w:rPr>
            </w:pPr>
            <w:r>
              <w:rPr>
                <w:color w:val="auto"/>
                <w:sz w:val="21"/>
                <w:szCs w:val="21"/>
                <w:highlight w:val="none"/>
              </w:rPr>
              <w:t>文件格式</w:t>
            </w:r>
          </w:p>
        </w:tc>
        <w:tc>
          <w:tcPr>
            <w:tcW w:w="1538" w:type="pct"/>
            <w:vAlign w:val="center"/>
          </w:tcPr>
          <w:p w14:paraId="0D27C008">
            <w:pPr>
              <w:widowControl/>
              <w:spacing w:line="240" w:lineRule="auto"/>
              <w:ind w:firstLine="0" w:firstLineChars="0"/>
              <w:jc w:val="center"/>
              <w:rPr>
                <w:color w:val="auto"/>
                <w:sz w:val="21"/>
                <w:szCs w:val="21"/>
                <w:highlight w:val="none"/>
              </w:rPr>
            </w:pPr>
            <w:r>
              <w:rPr>
                <w:color w:val="auto"/>
                <w:sz w:val="21"/>
                <w:szCs w:val="21"/>
                <w:highlight w:val="none"/>
              </w:rPr>
              <w:t>分辨率/m</w:t>
            </w:r>
          </w:p>
        </w:tc>
      </w:tr>
      <w:tr w14:paraId="43E098F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693" w:type="pct"/>
            <w:vAlign w:val="center"/>
          </w:tcPr>
          <w:p w14:paraId="6CC8E931">
            <w:pPr>
              <w:widowControl/>
              <w:spacing w:line="240" w:lineRule="auto"/>
              <w:ind w:firstLine="0" w:firstLineChars="0"/>
              <w:jc w:val="center"/>
              <w:rPr>
                <w:color w:val="auto"/>
                <w:sz w:val="21"/>
                <w:szCs w:val="21"/>
                <w:highlight w:val="none"/>
              </w:rPr>
            </w:pPr>
            <w:r>
              <w:rPr>
                <w:color w:val="auto"/>
                <w:sz w:val="21"/>
                <w:szCs w:val="21"/>
                <w:highlight w:val="none"/>
              </w:rPr>
              <w:t xml:space="preserve"> SRTM</w:t>
            </w:r>
          </w:p>
        </w:tc>
        <w:tc>
          <w:tcPr>
            <w:tcW w:w="762" w:type="pct"/>
            <w:vAlign w:val="center"/>
          </w:tcPr>
          <w:p w14:paraId="72A6FAAD">
            <w:pPr>
              <w:widowControl/>
              <w:spacing w:line="240" w:lineRule="auto"/>
              <w:ind w:firstLine="0" w:firstLineChars="0"/>
              <w:jc w:val="center"/>
              <w:rPr>
                <w:color w:val="auto"/>
                <w:sz w:val="21"/>
                <w:szCs w:val="21"/>
                <w:highlight w:val="none"/>
              </w:rPr>
            </w:pPr>
            <w:r>
              <w:rPr>
                <w:color w:val="auto"/>
                <w:sz w:val="21"/>
                <w:szCs w:val="21"/>
                <w:highlight w:val="none"/>
              </w:rPr>
              <w:t>V4.1</w:t>
            </w:r>
          </w:p>
        </w:tc>
        <w:tc>
          <w:tcPr>
            <w:tcW w:w="936" w:type="pct"/>
            <w:vAlign w:val="center"/>
          </w:tcPr>
          <w:p w14:paraId="0AEBC50C">
            <w:pPr>
              <w:widowControl/>
              <w:spacing w:line="240" w:lineRule="auto"/>
              <w:ind w:firstLine="0" w:firstLineChars="0"/>
              <w:jc w:val="center"/>
              <w:rPr>
                <w:color w:val="auto"/>
                <w:sz w:val="21"/>
                <w:szCs w:val="21"/>
                <w:highlight w:val="none"/>
              </w:rPr>
            </w:pPr>
            <w:r>
              <w:rPr>
                <w:color w:val="auto"/>
                <w:sz w:val="21"/>
                <w:szCs w:val="21"/>
                <w:highlight w:val="none"/>
              </w:rPr>
              <w:t>2007年</w:t>
            </w:r>
          </w:p>
        </w:tc>
        <w:tc>
          <w:tcPr>
            <w:tcW w:w="1070" w:type="pct"/>
            <w:vAlign w:val="center"/>
          </w:tcPr>
          <w:p w14:paraId="11F31D20">
            <w:pPr>
              <w:widowControl/>
              <w:spacing w:line="240" w:lineRule="auto"/>
              <w:ind w:firstLine="0" w:firstLineChars="0"/>
              <w:jc w:val="center"/>
              <w:rPr>
                <w:color w:val="auto"/>
                <w:sz w:val="21"/>
                <w:szCs w:val="21"/>
                <w:highlight w:val="none"/>
              </w:rPr>
            </w:pPr>
            <w:r>
              <w:rPr>
                <w:color w:val="auto"/>
                <w:sz w:val="21"/>
                <w:szCs w:val="21"/>
                <w:highlight w:val="none"/>
              </w:rPr>
              <w:t>dem</w:t>
            </w:r>
          </w:p>
        </w:tc>
        <w:tc>
          <w:tcPr>
            <w:tcW w:w="1538" w:type="pct"/>
            <w:vAlign w:val="center"/>
          </w:tcPr>
          <w:p w14:paraId="36B11E35">
            <w:pPr>
              <w:widowControl/>
              <w:spacing w:line="240" w:lineRule="auto"/>
              <w:ind w:firstLine="0" w:firstLineChars="0"/>
              <w:jc w:val="center"/>
              <w:rPr>
                <w:color w:val="auto"/>
                <w:sz w:val="21"/>
                <w:szCs w:val="21"/>
                <w:highlight w:val="none"/>
              </w:rPr>
            </w:pPr>
            <w:r>
              <w:rPr>
                <w:color w:val="auto"/>
                <w:sz w:val="21"/>
                <w:szCs w:val="21"/>
                <w:highlight w:val="none"/>
              </w:rPr>
              <w:t>90</w:t>
            </w:r>
          </w:p>
        </w:tc>
      </w:tr>
    </w:tbl>
    <w:p w14:paraId="1A592109">
      <w:pPr>
        <w:spacing w:before="240" w:beforeLines="100" w:after="240" w:afterLines="100"/>
        <w:ind w:firstLine="0" w:firstLineChars="0"/>
        <w:jc w:val="center"/>
        <w:rPr>
          <w:color w:val="auto"/>
          <w:highlight w:val="none"/>
        </w:rPr>
      </w:pPr>
      <w:r>
        <w:rPr>
          <w:color w:val="auto"/>
          <w:highlight w:val="none"/>
        </w:rPr>
        <mc:AlternateContent>
          <mc:Choice Requires="wps">
            <w:drawing>
              <wp:anchor distT="0" distB="0" distL="114300" distR="114300" simplePos="0" relativeHeight="251663360" behindDoc="0" locked="0" layoutInCell="1" allowOverlap="1">
                <wp:simplePos x="0" y="0"/>
                <wp:positionH relativeFrom="column">
                  <wp:posOffset>3093720</wp:posOffset>
                </wp:positionH>
                <wp:positionV relativeFrom="paragraph">
                  <wp:posOffset>1311275</wp:posOffset>
                </wp:positionV>
                <wp:extent cx="800100" cy="304165"/>
                <wp:effectExtent l="304165" t="4445" r="19685" b="529590"/>
                <wp:wrapNone/>
                <wp:docPr id="87" name="矩形标注 87"/>
                <wp:cNvGraphicFramePr/>
                <a:graphic xmlns:a="http://schemas.openxmlformats.org/drawingml/2006/main">
                  <a:graphicData uri="http://schemas.microsoft.com/office/word/2010/wordprocessingShape">
                    <wps:wsp>
                      <wps:cNvSpPr/>
                      <wps:spPr>
                        <a:xfrm>
                          <a:off x="0" y="0"/>
                          <a:ext cx="800100" cy="304165"/>
                        </a:xfrm>
                        <a:prstGeom prst="wedgeRectCallout">
                          <a:avLst>
                            <a:gd name="adj1" fmla="val -84523"/>
                            <a:gd name="adj2" fmla="val 212213"/>
                          </a:avLst>
                        </a:prstGeom>
                        <a:solidFill>
                          <a:srgbClr val="FFFFFF"/>
                        </a:solidFill>
                        <a:ln w="9525" cap="flat" cmpd="sng">
                          <a:solidFill>
                            <a:srgbClr val="000000"/>
                          </a:solidFill>
                          <a:prstDash val="solid"/>
                          <a:miter/>
                          <a:headEnd type="none" w="med" len="med"/>
                          <a:tailEnd type="none" w="med" len="med"/>
                        </a:ln>
                      </wps:spPr>
                      <wps:txbx>
                        <w:txbxContent>
                          <w:p w14:paraId="3B543210">
                            <w:pPr>
                              <w:ind w:firstLine="0" w:firstLineChars="0"/>
                              <w:rPr>
                                <w:sz w:val="21"/>
                                <w:szCs w:val="21"/>
                              </w:rPr>
                            </w:pPr>
                            <w:r>
                              <w:rPr>
                                <w:rFonts w:hint="eastAsia"/>
                                <w:sz w:val="21"/>
                                <w:szCs w:val="21"/>
                              </w:rPr>
                              <w:t>项目位置</w:t>
                            </w:r>
                          </w:p>
                        </w:txbxContent>
                      </wps:txbx>
                      <wps:bodyPr upright="1"/>
                    </wps:wsp>
                  </a:graphicData>
                </a:graphic>
              </wp:anchor>
            </w:drawing>
          </mc:Choice>
          <mc:Fallback>
            <w:pict>
              <v:shape id="_x0000_s1026" o:spid="_x0000_s1026" o:spt="61" type="#_x0000_t61" style="position:absolute;left:0pt;margin-left:243.6pt;margin-top:103.25pt;height:23.95pt;width:63pt;z-index:251663360;mso-width-relative:page;mso-height-relative:page;" fillcolor="#FFFFFF" filled="t" stroked="t" coordsize="21600,21600" o:gfxdata="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uZNcd2QAAAAsBAAAPAAAAAAAAAAEAIAAAACIAAABkcnMvZG93&#10;bnJldi54bWxQSwECFAAUAAAACACHTuJAr6UiVTgCAACPBAAADgAAAAAAAAABACAAAAAoAQAAZHJz&#10;L2Uyb0RvYy54bWxQSwUGAAAAAAYABgBZAQAA0gUAAAAA&#10;" adj="-7457,56638">
                <v:fill on="t" focussize="0,0"/>
                <v:stroke color="#000000" joinstyle="miter"/>
                <v:imagedata o:title=""/>
                <o:lock v:ext="edit" aspectratio="f"/>
                <v:textbox>
                  <w:txbxContent>
                    <w:p w14:paraId="3B543210">
                      <w:pPr>
                        <w:ind w:firstLine="0" w:firstLineChars="0"/>
                        <w:rPr>
                          <w:sz w:val="21"/>
                          <w:szCs w:val="21"/>
                        </w:rPr>
                      </w:pPr>
                      <w:r>
                        <w:rPr>
                          <w:rFonts w:hint="eastAsia"/>
                          <w:sz w:val="21"/>
                          <w:szCs w:val="21"/>
                        </w:rPr>
                        <w:t>项目位置</w:t>
                      </w:r>
                    </w:p>
                  </w:txbxContent>
                </v:textbox>
              </v:shape>
            </w:pict>
          </mc:Fallback>
        </mc:AlternateContent>
      </w:r>
      <w:r>
        <w:rPr>
          <w:color w:val="auto"/>
          <w:highlight w:val="none"/>
        </w:rPr>
        <w:drawing>
          <wp:inline distT="0" distB="0" distL="114300" distR="114300">
            <wp:extent cx="5959475" cy="4513580"/>
            <wp:effectExtent l="0" t="0" r="3175" b="1270"/>
            <wp:docPr id="9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61"/>
                    <pic:cNvPicPr>
                      <a:picLocks noChangeAspect="1"/>
                    </pic:cNvPicPr>
                  </pic:nvPicPr>
                  <pic:blipFill>
                    <a:blip r:embed="rId122"/>
                    <a:stretch>
                      <a:fillRect/>
                    </a:stretch>
                  </pic:blipFill>
                  <pic:spPr>
                    <a:xfrm>
                      <a:off x="0" y="0"/>
                      <a:ext cx="5959475" cy="4513580"/>
                    </a:xfrm>
                    <a:prstGeom prst="rect">
                      <a:avLst/>
                    </a:prstGeom>
                    <a:noFill/>
                    <a:ln>
                      <a:noFill/>
                    </a:ln>
                  </pic:spPr>
                </pic:pic>
              </a:graphicData>
            </a:graphic>
          </wp:inline>
        </w:drawing>
      </w:r>
    </w:p>
    <w:p w14:paraId="68551FEC">
      <w:pPr>
        <w:spacing w:after="240" w:afterLines="100" w:line="240" w:lineRule="auto"/>
        <w:ind w:firstLine="0" w:firstLineChars="0"/>
        <w:jc w:val="center"/>
        <w:rPr>
          <w:b/>
          <w:bCs/>
          <w:color w:val="auto"/>
          <w:sz w:val="21"/>
          <w:szCs w:val="21"/>
          <w:highlight w:val="none"/>
        </w:rPr>
      </w:pPr>
      <w:r>
        <w:rPr>
          <w:b/>
          <w:bCs/>
          <w:color w:val="auto"/>
          <w:sz w:val="21"/>
          <w:szCs w:val="21"/>
          <w:highlight w:val="none"/>
        </w:rPr>
        <w:t>图4.2-2  项目大气预测地形图</w:t>
      </w:r>
    </w:p>
    <w:p w14:paraId="24B68FC8">
      <w:pPr>
        <w:widowControl/>
        <w:ind w:firstLine="480"/>
        <w:rPr>
          <w:color w:val="auto"/>
          <w:highlight w:val="none"/>
        </w:rPr>
      </w:pPr>
      <w:r>
        <w:rPr>
          <w:color w:val="auto"/>
          <w:highlight w:val="none"/>
        </w:rPr>
        <w:t>AERMET通用地表类型：根据拟建项目所处地理环境，项目周边，评价区土地利用类型为城市建设用地及水面。</w:t>
      </w:r>
    </w:p>
    <w:p w14:paraId="0AB6A67B">
      <w:pPr>
        <w:ind w:firstLine="480"/>
        <w:rPr>
          <w:color w:val="auto"/>
          <w:highlight w:val="none"/>
        </w:rPr>
      </w:pPr>
      <w:r>
        <w:rPr>
          <w:color w:val="auto"/>
          <w:highlight w:val="none"/>
        </w:rPr>
        <w:t>AERMET通用地表湿度：根据中国干湿状况划分图，防城港市属于湿润区，通用地表湿度为潮湿气候。</w:t>
      </w:r>
    </w:p>
    <w:p w14:paraId="1C1D605A">
      <w:pPr>
        <w:ind w:firstLine="480"/>
        <w:rPr>
          <w:color w:val="auto"/>
          <w:highlight w:val="none"/>
        </w:rPr>
      </w:pPr>
      <w:r>
        <w:rPr>
          <w:color w:val="auto"/>
          <w:highlight w:val="none"/>
        </w:rPr>
        <w:t>按月计算评价区地面特征参数，本项目评价区地面特征参数详见下表。</w:t>
      </w:r>
    </w:p>
    <w:p w14:paraId="33AB3658">
      <w:pPr>
        <w:spacing w:line="240" w:lineRule="auto"/>
        <w:ind w:firstLine="0" w:firstLineChars="0"/>
        <w:jc w:val="center"/>
        <w:rPr>
          <w:b/>
          <w:bCs/>
          <w:color w:val="auto"/>
          <w:sz w:val="21"/>
          <w:szCs w:val="21"/>
          <w:highlight w:val="none"/>
        </w:rPr>
      </w:pPr>
    </w:p>
    <w:p w14:paraId="2E0621DB">
      <w:pPr>
        <w:spacing w:line="240" w:lineRule="auto"/>
        <w:ind w:firstLine="0" w:firstLineChars="0"/>
        <w:jc w:val="center"/>
        <w:rPr>
          <w:b/>
          <w:bCs/>
          <w:color w:val="auto"/>
          <w:sz w:val="21"/>
          <w:szCs w:val="21"/>
          <w:highlight w:val="none"/>
        </w:rPr>
      </w:pPr>
      <w:r>
        <w:rPr>
          <w:b/>
          <w:bCs/>
          <w:color w:val="auto"/>
          <w:sz w:val="21"/>
          <w:szCs w:val="21"/>
          <w:highlight w:val="none"/>
        </w:rPr>
        <w:t>表4.2-10  AERMOD地面特征参数</w:t>
      </w:r>
    </w:p>
    <w:tbl>
      <w:tblPr>
        <w:tblStyle w:val="92"/>
        <w:tblW w:w="4998" w:type="pct"/>
        <w:tblInd w:w="0" w:type="dxa"/>
        <w:tblLayout w:type="autofit"/>
        <w:tblCellMar>
          <w:top w:w="0" w:type="dxa"/>
          <w:left w:w="108" w:type="dxa"/>
          <w:bottom w:w="0" w:type="dxa"/>
          <w:right w:w="108" w:type="dxa"/>
        </w:tblCellMar>
      </w:tblPr>
      <w:tblGrid>
        <w:gridCol w:w="817"/>
        <w:gridCol w:w="2276"/>
        <w:gridCol w:w="1547"/>
        <w:gridCol w:w="1547"/>
        <w:gridCol w:w="1547"/>
        <w:gridCol w:w="1548"/>
      </w:tblGrid>
      <w:tr w14:paraId="53E63E9C">
        <w:tblPrEx>
          <w:tblCellMar>
            <w:top w:w="0" w:type="dxa"/>
            <w:left w:w="108" w:type="dxa"/>
            <w:bottom w:w="0" w:type="dxa"/>
            <w:right w:w="108" w:type="dxa"/>
          </w:tblCellMar>
        </w:tblPrEx>
        <w:trPr>
          <w:trHeight w:val="340" w:hRule="atLeast"/>
        </w:trPr>
        <w:tc>
          <w:tcPr>
            <w:tcW w:w="440" w:type="pct"/>
            <w:tcBorders>
              <w:top w:val="single" w:color="auto" w:sz="12" w:space="0"/>
              <w:left w:val="nil"/>
              <w:bottom w:val="single" w:color="auto" w:sz="4" w:space="0"/>
              <w:right w:val="single" w:color="auto" w:sz="4" w:space="0"/>
            </w:tcBorders>
            <w:noWrap/>
            <w:vAlign w:val="bottom"/>
          </w:tcPr>
          <w:p w14:paraId="3C4D9B23">
            <w:pPr>
              <w:widowControl/>
              <w:spacing w:line="240" w:lineRule="auto"/>
              <w:ind w:firstLine="0" w:firstLineChars="0"/>
              <w:jc w:val="center"/>
              <w:rPr>
                <w:b/>
                <w:bCs/>
                <w:color w:val="auto"/>
                <w:sz w:val="21"/>
                <w:szCs w:val="21"/>
                <w:highlight w:val="none"/>
              </w:rPr>
            </w:pPr>
            <w:r>
              <w:rPr>
                <w:b/>
                <w:bCs/>
                <w:color w:val="auto"/>
                <w:sz w:val="21"/>
                <w:szCs w:val="21"/>
                <w:highlight w:val="none"/>
              </w:rPr>
              <w:t>序号</w:t>
            </w:r>
          </w:p>
        </w:tc>
        <w:tc>
          <w:tcPr>
            <w:tcW w:w="1225" w:type="pct"/>
            <w:tcBorders>
              <w:top w:val="single" w:color="auto" w:sz="12" w:space="0"/>
              <w:left w:val="single" w:color="auto" w:sz="4" w:space="0"/>
              <w:bottom w:val="single" w:color="auto" w:sz="4" w:space="0"/>
              <w:right w:val="single" w:color="auto" w:sz="4" w:space="0"/>
            </w:tcBorders>
            <w:noWrap/>
            <w:vAlign w:val="bottom"/>
          </w:tcPr>
          <w:p w14:paraId="0845599F">
            <w:pPr>
              <w:widowControl/>
              <w:spacing w:line="240" w:lineRule="auto"/>
              <w:ind w:firstLine="0" w:firstLineChars="0"/>
              <w:jc w:val="center"/>
              <w:rPr>
                <w:b/>
                <w:bCs/>
                <w:color w:val="auto"/>
                <w:sz w:val="21"/>
                <w:szCs w:val="21"/>
                <w:highlight w:val="none"/>
              </w:rPr>
            </w:pPr>
            <w:r>
              <w:rPr>
                <w:b/>
                <w:bCs/>
                <w:color w:val="auto"/>
                <w:sz w:val="21"/>
                <w:szCs w:val="21"/>
                <w:highlight w:val="none"/>
              </w:rPr>
              <w:t>扇区</w:t>
            </w:r>
          </w:p>
        </w:tc>
        <w:tc>
          <w:tcPr>
            <w:tcW w:w="833" w:type="pct"/>
            <w:tcBorders>
              <w:top w:val="single" w:color="auto" w:sz="12" w:space="0"/>
              <w:left w:val="single" w:color="auto" w:sz="4" w:space="0"/>
              <w:bottom w:val="single" w:color="auto" w:sz="4" w:space="0"/>
              <w:right w:val="single" w:color="auto" w:sz="4" w:space="0"/>
            </w:tcBorders>
            <w:noWrap/>
            <w:vAlign w:val="bottom"/>
          </w:tcPr>
          <w:p w14:paraId="678BDC4F">
            <w:pPr>
              <w:widowControl/>
              <w:spacing w:line="240" w:lineRule="auto"/>
              <w:ind w:firstLine="0" w:firstLineChars="0"/>
              <w:jc w:val="center"/>
              <w:rPr>
                <w:b/>
                <w:bCs/>
                <w:color w:val="auto"/>
                <w:sz w:val="21"/>
                <w:szCs w:val="21"/>
                <w:highlight w:val="none"/>
              </w:rPr>
            </w:pPr>
            <w:r>
              <w:rPr>
                <w:b/>
                <w:bCs/>
                <w:color w:val="auto"/>
                <w:sz w:val="21"/>
                <w:szCs w:val="21"/>
                <w:highlight w:val="none"/>
              </w:rPr>
              <w:t>时段</w:t>
            </w:r>
          </w:p>
        </w:tc>
        <w:tc>
          <w:tcPr>
            <w:tcW w:w="833" w:type="pct"/>
            <w:tcBorders>
              <w:top w:val="single" w:color="auto" w:sz="12" w:space="0"/>
              <w:left w:val="single" w:color="auto" w:sz="4" w:space="0"/>
              <w:bottom w:val="single" w:color="auto" w:sz="4" w:space="0"/>
              <w:right w:val="single" w:color="auto" w:sz="4" w:space="0"/>
            </w:tcBorders>
            <w:noWrap/>
            <w:vAlign w:val="bottom"/>
          </w:tcPr>
          <w:p w14:paraId="7B8FC1B3">
            <w:pPr>
              <w:widowControl/>
              <w:spacing w:line="240" w:lineRule="auto"/>
              <w:ind w:firstLine="0" w:firstLineChars="0"/>
              <w:jc w:val="center"/>
              <w:rPr>
                <w:b/>
                <w:bCs/>
                <w:color w:val="auto"/>
                <w:sz w:val="21"/>
                <w:szCs w:val="21"/>
                <w:highlight w:val="none"/>
              </w:rPr>
            </w:pPr>
            <w:r>
              <w:rPr>
                <w:b/>
                <w:bCs/>
                <w:color w:val="auto"/>
                <w:sz w:val="21"/>
                <w:szCs w:val="21"/>
                <w:highlight w:val="none"/>
              </w:rPr>
              <w:t>正午反照率</w:t>
            </w:r>
          </w:p>
        </w:tc>
        <w:tc>
          <w:tcPr>
            <w:tcW w:w="833" w:type="pct"/>
            <w:tcBorders>
              <w:top w:val="single" w:color="auto" w:sz="12" w:space="0"/>
              <w:left w:val="single" w:color="auto" w:sz="4" w:space="0"/>
              <w:bottom w:val="single" w:color="auto" w:sz="4" w:space="0"/>
              <w:right w:val="single" w:color="auto" w:sz="4" w:space="0"/>
            </w:tcBorders>
            <w:noWrap/>
            <w:vAlign w:val="bottom"/>
          </w:tcPr>
          <w:p w14:paraId="5506EBA8">
            <w:pPr>
              <w:widowControl/>
              <w:spacing w:line="240" w:lineRule="auto"/>
              <w:ind w:firstLine="0" w:firstLineChars="0"/>
              <w:jc w:val="center"/>
              <w:rPr>
                <w:b/>
                <w:bCs/>
                <w:color w:val="auto"/>
                <w:sz w:val="21"/>
                <w:szCs w:val="21"/>
                <w:highlight w:val="none"/>
              </w:rPr>
            </w:pPr>
            <w:r>
              <w:rPr>
                <w:b/>
                <w:bCs/>
                <w:color w:val="auto"/>
                <w:sz w:val="21"/>
                <w:szCs w:val="21"/>
                <w:highlight w:val="none"/>
              </w:rPr>
              <w:t>BOWEN</w:t>
            </w:r>
          </w:p>
        </w:tc>
        <w:tc>
          <w:tcPr>
            <w:tcW w:w="833" w:type="pct"/>
            <w:tcBorders>
              <w:top w:val="single" w:color="auto" w:sz="12" w:space="0"/>
              <w:left w:val="single" w:color="auto" w:sz="4" w:space="0"/>
              <w:bottom w:val="single" w:color="auto" w:sz="4" w:space="0"/>
              <w:right w:val="nil"/>
            </w:tcBorders>
            <w:noWrap/>
            <w:vAlign w:val="bottom"/>
          </w:tcPr>
          <w:p w14:paraId="058B8126">
            <w:pPr>
              <w:widowControl/>
              <w:spacing w:line="240" w:lineRule="auto"/>
              <w:ind w:firstLine="0" w:firstLineChars="0"/>
              <w:jc w:val="center"/>
              <w:rPr>
                <w:b/>
                <w:bCs/>
                <w:color w:val="auto"/>
                <w:sz w:val="21"/>
                <w:szCs w:val="21"/>
                <w:highlight w:val="none"/>
              </w:rPr>
            </w:pPr>
            <w:r>
              <w:rPr>
                <w:b/>
                <w:bCs/>
                <w:color w:val="auto"/>
                <w:sz w:val="21"/>
                <w:szCs w:val="21"/>
                <w:highlight w:val="none"/>
              </w:rPr>
              <w:t>粗糙度</w:t>
            </w:r>
          </w:p>
        </w:tc>
      </w:tr>
      <w:tr w14:paraId="1B940C49">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4" w:space="0"/>
              <w:right w:val="single" w:color="auto" w:sz="4" w:space="0"/>
            </w:tcBorders>
            <w:noWrap/>
            <w:vAlign w:val="bottom"/>
          </w:tcPr>
          <w:p w14:paraId="42FCBC2A">
            <w:pPr>
              <w:widowControl/>
              <w:spacing w:line="240" w:lineRule="auto"/>
              <w:ind w:firstLine="0" w:firstLineChars="0"/>
              <w:jc w:val="center"/>
              <w:rPr>
                <w:color w:val="auto"/>
                <w:sz w:val="21"/>
                <w:szCs w:val="21"/>
                <w:highlight w:val="none"/>
                <w:lang w:val="zh-CN"/>
              </w:rPr>
            </w:pPr>
            <w:r>
              <w:rPr>
                <w:color w:val="auto"/>
                <w:sz w:val="21"/>
                <w:szCs w:val="21"/>
                <w:highlight w:val="none"/>
              </w:rPr>
              <w:t>1</w:t>
            </w:r>
          </w:p>
        </w:tc>
        <w:tc>
          <w:tcPr>
            <w:tcW w:w="1225" w:type="pct"/>
            <w:tcBorders>
              <w:top w:val="single" w:color="auto" w:sz="4" w:space="0"/>
              <w:left w:val="single" w:color="auto" w:sz="4" w:space="0"/>
              <w:bottom w:val="single" w:color="auto" w:sz="4" w:space="0"/>
              <w:right w:val="single" w:color="auto" w:sz="4" w:space="0"/>
            </w:tcBorders>
            <w:noWrap/>
            <w:vAlign w:val="bottom"/>
          </w:tcPr>
          <w:p w14:paraId="74CB7AC2">
            <w:pPr>
              <w:widowControl/>
              <w:spacing w:line="240" w:lineRule="auto"/>
              <w:ind w:firstLine="0" w:firstLineChars="0"/>
              <w:jc w:val="center"/>
              <w:rPr>
                <w:color w:val="auto"/>
                <w:sz w:val="21"/>
                <w:szCs w:val="21"/>
                <w:highlight w:val="none"/>
              </w:rPr>
            </w:pPr>
            <w:r>
              <w:rPr>
                <w:color w:val="auto"/>
                <w:sz w:val="21"/>
                <w:szCs w:val="21"/>
                <w:highlight w:val="none"/>
              </w:rPr>
              <w:t>45-225</w:t>
            </w:r>
          </w:p>
        </w:tc>
        <w:tc>
          <w:tcPr>
            <w:tcW w:w="833" w:type="pct"/>
            <w:tcBorders>
              <w:top w:val="single" w:color="auto" w:sz="4" w:space="0"/>
              <w:left w:val="single" w:color="auto" w:sz="4" w:space="0"/>
              <w:bottom w:val="single" w:color="auto" w:sz="4" w:space="0"/>
              <w:right w:val="single" w:color="auto" w:sz="4" w:space="0"/>
            </w:tcBorders>
            <w:noWrap/>
            <w:vAlign w:val="bottom"/>
          </w:tcPr>
          <w:p w14:paraId="3D316D12">
            <w:pPr>
              <w:widowControl/>
              <w:spacing w:line="240" w:lineRule="auto"/>
              <w:ind w:firstLine="0" w:firstLineChars="0"/>
              <w:jc w:val="center"/>
              <w:rPr>
                <w:color w:val="auto"/>
                <w:sz w:val="21"/>
                <w:szCs w:val="21"/>
                <w:highlight w:val="none"/>
                <w:lang w:val="zh-CN"/>
              </w:rPr>
            </w:pPr>
            <w:r>
              <w:rPr>
                <w:color w:val="auto"/>
                <w:sz w:val="21"/>
                <w:szCs w:val="21"/>
                <w:highlight w:val="none"/>
              </w:rPr>
              <w:t>一月</w:t>
            </w:r>
          </w:p>
        </w:tc>
        <w:tc>
          <w:tcPr>
            <w:tcW w:w="833" w:type="pct"/>
            <w:tcBorders>
              <w:top w:val="single" w:color="auto" w:sz="4" w:space="0"/>
              <w:left w:val="single" w:color="auto" w:sz="4" w:space="0"/>
              <w:bottom w:val="single" w:color="auto" w:sz="4" w:space="0"/>
              <w:right w:val="single" w:color="auto" w:sz="4" w:space="0"/>
            </w:tcBorders>
            <w:noWrap/>
            <w:vAlign w:val="bottom"/>
          </w:tcPr>
          <w:p w14:paraId="2C322A7A">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.35</w:t>
            </w:r>
          </w:p>
        </w:tc>
        <w:tc>
          <w:tcPr>
            <w:tcW w:w="833" w:type="pct"/>
            <w:tcBorders>
              <w:top w:val="single" w:color="auto" w:sz="4" w:space="0"/>
              <w:left w:val="single" w:color="auto" w:sz="4" w:space="0"/>
              <w:bottom w:val="single" w:color="auto" w:sz="4" w:space="0"/>
              <w:right w:val="single" w:color="auto" w:sz="4" w:space="0"/>
            </w:tcBorders>
            <w:noWrap/>
            <w:vAlign w:val="bottom"/>
          </w:tcPr>
          <w:p w14:paraId="1B94431E">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.5</w:t>
            </w:r>
          </w:p>
        </w:tc>
        <w:tc>
          <w:tcPr>
            <w:tcW w:w="833" w:type="pct"/>
            <w:tcBorders>
              <w:top w:val="single" w:color="auto" w:sz="4" w:space="0"/>
              <w:left w:val="single" w:color="auto" w:sz="4" w:space="0"/>
              <w:bottom w:val="single" w:color="auto" w:sz="4" w:space="0"/>
              <w:right w:val="nil"/>
            </w:tcBorders>
            <w:noWrap/>
            <w:vAlign w:val="bottom"/>
          </w:tcPr>
          <w:p w14:paraId="21DFA39A">
            <w:pPr>
              <w:widowControl/>
              <w:spacing w:line="240" w:lineRule="auto"/>
              <w:ind w:firstLine="0" w:firstLineChars="0"/>
              <w:jc w:val="center"/>
              <w:rPr>
                <w:color w:val="auto"/>
                <w:sz w:val="21"/>
                <w:szCs w:val="21"/>
                <w:highlight w:val="none"/>
                <w:lang w:val="zh-CN"/>
              </w:rPr>
            </w:pPr>
            <w:r>
              <w:rPr>
                <w:color w:val="auto"/>
                <w:sz w:val="21"/>
                <w:szCs w:val="21"/>
                <w:highlight w:val="none"/>
              </w:rPr>
              <w:t>1</w:t>
            </w:r>
          </w:p>
        </w:tc>
      </w:tr>
      <w:tr w14:paraId="08EB570B">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4" w:space="0"/>
              <w:right w:val="single" w:color="auto" w:sz="4" w:space="0"/>
            </w:tcBorders>
            <w:noWrap/>
            <w:vAlign w:val="bottom"/>
          </w:tcPr>
          <w:p w14:paraId="19A80EFC">
            <w:pPr>
              <w:widowControl/>
              <w:spacing w:line="240" w:lineRule="auto"/>
              <w:ind w:firstLine="0" w:firstLineChars="0"/>
              <w:jc w:val="center"/>
              <w:rPr>
                <w:color w:val="auto"/>
                <w:sz w:val="21"/>
                <w:szCs w:val="21"/>
                <w:highlight w:val="none"/>
                <w:lang w:val="zh-CN"/>
              </w:rPr>
            </w:pPr>
            <w:r>
              <w:rPr>
                <w:color w:val="auto"/>
                <w:sz w:val="21"/>
                <w:szCs w:val="21"/>
                <w:highlight w:val="none"/>
              </w:rPr>
              <w:t>2</w:t>
            </w:r>
          </w:p>
        </w:tc>
        <w:tc>
          <w:tcPr>
            <w:tcW w:w="1225" w:type="pct"/>
            <w:tcBorders>
              <w:top w:val="single" w:color="auto" w:sz="4" w:space="0"/>
              <w:left w:val="single" w:color="auto" w:sz="4" w:space="0"/>
              <w:bottom w:val="single" w:color="auto" w:sz="4" w:space="0"/>
              <w:right w:val="single" w:color="auto" w:sz="4" w:space="0"/>
            </w:tcBorders>
            <w:noWrap/>
            <w:vAlign w:val="bottom"/>
          </w:tcPr>
          <w:p w14:paraId="5F539171">
            <w:pPr>
              <w:widowControl/>
              <w:spacing w:line="240" w:lineRule="auto"/>
              <w:ind w:firstLine="0" w:firstLineChars="0"/>
              <w:jc w:val="center"/>
              <w:rPr>
                <w:color w:val="auto"/>
                <w:sz w:val="21"/>
                <w:szCs w:val="21"/>
                <w:highlight w:val="none"/>
                <w:lang w:val="zh-CN"/>
              </w:rPr>
            </w:pPr>
            <w:r>
              <w:rPr>
                <w:color w:val="auto"/>
                <w:sz w:val="21"/>
                <w:szCs w:val="21"/>
                <w:highlight w:val="none"/>
              </w:rPr>
              <w:t>45-225</w:t>
            </w:r>
          </w:p>
        </w:tc>
        <w:tc>
          <w:tcPr>
            <w:tcW w:w="833" w:type="pct"/>
            <w:tcBorders>
              <w:top w:val="single" w:color="auto" w:sz="4" w:space="0"/>
              <w:left w:val="single" w:color="auto" w:sz="4" w:space="0"/>
              <w:bottom w:val="single" w:color="auto" w:sz="4" w:space="0"/>
              <w:right w:val="single" w:color="auto" w:sz="4" w:space="0"/>
            </w:tcBorders>
            <w:noWrap/>
            <w:vAlign w:val="bottom"/>
          </w:tcPr>
          <w:p w14:paraId="23FF8939">
            <w:pPr>
              <w:widowControl/>
              <w:spacing w:line="240" w:lineRule="auto"/>
              <w:ind w:firstLine="0" w:firstLineChars="0"/>
              <w:jc w:val="center"/>
              <w:rPr>
                <w:color w:val="auto"/>
                <w:sz w:val="21"/>
                <w:szCs w:val="21"/>
                <w:highlight w:val="none"/>
                <w:lang w:val="zh-CN"/>
              </w:rPr>
            </w:pPr>
            <w:r>
              <w:rPr>
                <w:color w:val="auto"/>
                <w:sz w:val="21"/>
                <w:szCs w:val="21"/>
                <w:highlight w:val="none"/>
              </w:rPr>
              <w:t>二月</w:t>
            </w:r>
          </w:p>
        </w:tc>
        <w:tc>
          <w:tcPr>
            <w:tcW w:w="833" w:type="pct"/>
            <w:tcBorders>
              <w:top w:val="single" w:color="auto" w:sz="4" w:space="0"/>
              <w:left w:val="single" w:color="auto" w:sz="4" w:space="0"/>
              <w:bottom w:val="single" w:color="auto" w:sz="4" w:space="0"/>
              <w:right w:val="single" w:color="auto" w:sz="4" w:space="0"/>
            </w:tcBorders>
            <w:noWrap/>
            <w:vAlign w:val="bottom"/>
          </w:tcPr>
          <w:p w14:paraId="1D401C23">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.35</w:t>
            </w:r>
          </w:p>
        </w:tc>
        <w:tc>
          <w:tcPr>
            <w:tcW w:w="833" w:type="pct"/>
            <w:tcBorders>
              <w:top w:val="single" w:color="auto" w:sz="4" w:space="0"/>
              <w:left w:val="single" w:color="auto" w:sz="4" w:space="0"/>
              <w:bottom w:val="single" w:color="auto" w:sz="4" w:space="0"/>
              <w:right w:val="single" w:color="auto" w:sz="4" w:space="0"/>
            </w:tcBorders>
            <w:noWrap/>
            <w:vAlign w:val="bottom"/>
          </w:tcPr>
          <w:p w14:paraId="3F8428AE">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.5</w:t>
            </w:r>
          </w:p>
        </w:tc>
        <w:tc>
          <w:tcPr>
            <w:tcW w:w="833" w:type="pct"/>
            <w:tcBorders>
              <w:top w:val="single" w:color="auto" w:sz="4" w:space="0"/>
              <w:left w:val="single" w:color="auto" w:sz="4" w:space="0"/>
              <w:bottom w:val="single" w:color="auto" w:sz="4" w:space="0"/>
              <w:right w:val="nil"/>
            </w:tcBorders>
            <w:noWrap/>
            <w:vAlign w:val="bottom"/>
          </w:tcPr>
          <w:p w14:paraId="4C197D5E">
            <w:pPr>
              <w:widowControl/>
              <w:spacing w:line="240" w:lineRule="auto"/>
              <w:ind w:firstLine="0" w:firstLineChars="0"/>
              <w:jc w:val="center"/>
              <w:rPr>
                <w:color w:val="auto"/>
                <w:sz w:val="21"/>
                <w:szCs w:val="21"/>
                <w:highlight w:val="none"/>
                <w:lang w:val="zh-CN"/>
              </w:rPr>
            </w:pPr>
            <w:r>
              <w:rPr>
                <w:color w:val="auto"/>
                <w:sz w:val="21"/>
                <w:szCs w:val="21"/>
                <w:highlight w:val="none"/>
              </w:rPr>
              <w:t>1</w:t>
            </w:r>
          </w:p>
        </w:tc>
      </w:tr>
      <w:tr w14:paraId="199CFD29">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4" w:space="0"/>
              <w:right w:val="single" w:color="auto" w:sz="4" w:space="0"/>
            </w:tcBorders>
            <w:noWrap/>
            <w:vAlign w:val="bottom"/>
          </w:tcPr>
          <w:p w14:paraId="4776F6F2">
            <w:pPr>
              <w:widowControl/>
              <w:spacing w:line="240" w:lineRule="auto"/>
              <w:ind w:firstLine="0" w:firstLineChars="0"/>
              <w:jc w:val="center"/>
              <w:rPr>
                <w:color w:val="auto"/>
                <w:sz w:val="21"/>
                <w:szCs w:val="21"/>
                <w:highlight w:val="none"/>
                <w:lang w:val="zh-CN"/>
              </w:rPr>
            </w:pPr>
            <w:r>
              <w:rPr>
                <w:color w:val="auto"/>
                <w:sz w:val="21"/>
                <w:szCs w:val="21"/>
                <w:highlight w:val="none"/>
              </w:rPr>
              <w:t>3</w:t>
            </w:r>
          </w:p>
        </w:tc>
        <w:tc>
          <w:tcPr>
            <w:tcW w:w="1225" w:type="pct"/>
            <w:tcBorders>
              <w:top w:val="single" w:color="auto" w:sz="4" w:space="0"/>
              <w:left w:val="single" w:color="auto" w:sz="4" w:space="0"/>
              <w:bottom w:val="single" w:color="auto" w:sz="4" w:space="0"/>
              <w:right w:val="single" w:color="auto" w:sz="4" w:space="0"/>
            </w:tcBorders>
            <w:noWrap/>
            <w:vAlign w:val="bottom"/>
          </w:tcPr>
          <w:p w14:paraId="39EC735D">
            <w:pPr>
              <w:widowControl/>
              <w:spacing w:line="240" w:lineRule="auto"/>
              <w:ind w:firstLine="0" w:firstLineChars="0"/>
              <w:jc w:val="center"/>
              <w:rPr>
                <w:color w:val="auto"/>
                <w:sz w:val="21"/>
                <w:szCs w:val="21"/>
                <w:highlight w:val="none"/>
                <w:lang w:val="zh-CN"/>
              </w:rPr>
            </w:pPr>
            <w:r>
              <w:rPr>
                <w:color w:val="auto"/>
                <w:sz w:val="21"/>
                <w:szCs w:val="21"/>
                <w:highlight w:val="none"/>
              </w:rPr>
              <w:t>45-225</w:t>
            </w:r>
          </w:p>
        </w:tc>
        <w:tc>
          <w:tcPr>
            <w:tcW w:w="833" w:type="pct"/>
            <w:tcBorders>
              <w:top w:val="single" w:color="auto" w:sz="4" w:space="0"/>
              <w:left w:val="single" w:color="auto" w:sz="4" w:space="0"/>
              <w:bottom w:val="single" w:color="auto" w:sz="4" w:space="0"/>
              <w:right w:val="single" w:color="auto" w:sz="4" w:space="0"/>
            </w:tcBorders>
            <w:noWrap/>
            <w:vAlign w:val="bottom"/>
          </w:tcPr>
          <w:p w14:paraId="3F127B45">
            <w:pPr>
              <w:widowControl/>
              <w:spacing w:line="240" w:lineRule="auto"/>
              <w:ind w:firstLine="0" w:firstLineChars="0"/>
              <w:jc w:val="center"/>
              <w:rPr>
                <w:color w:val="auto"/>
                <w:sz w:val="21"/>
                <w:szCs w:val="21"/>
                <w:highlight w:val="none"/>
                <w:lang w:val="zh-CN"/>
              </w:rPr>
            </w:pPr>
            <w:r>
              <w:rPr>
                <w:color w:val="auto"/>
                <w:sz w:val="21"/>
                <w:szCs w:val="21"/>
                <w:highlight w:val="none"/>
              </w:rPr>
              <w:t>三月</w:t>
            </w:r>
          </w:p>
        </w:tc>
        <w:tc>
          <w:tcPr>
            <w:tcW w:w="833" w:type="pct"/>
            <w:tcBorders>
              <w:top w:val="single" w:color="auto" w:sz="4" w:space="0"/>
              <w:left w:val="single" w:color="auto" w:sz="4" w:space="0"/>
              <w:bottom w:val="single" w:color="auto" w:sz="4" w:space="0"/>
              <w:right w:val="single" w:color="auto" w:sz="4" w:space="0"/>
            </w:tcBorders>
            <w:noWrap/>
            <w:vAlign w:val="bottom"/>
          </w:tcPr>
          <w:p w14:paraId="430FE0A8">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.14</w:t>
            </w:r>
          </w:p>
        </w:tc>
        <w:tc>
          <w:tcPr>
            <w:tcW w:w="833" w:type="pct"/>
            <w:tcBorders>
              <w:top w:val="single" w:color="auto" w:sz="4" w:space="0"/>
              <w:left w:val="single" w:color="auto" w:sz="4" w:space="0"/>
              <w:bottom w:val="single" w:color="auto" w:sz="4" w:space="0"/>
              <w:right w:val="single" w:color="auto" w:sz="4" w:space="0"/>
            </w:tcBorders>
            <w:noWrap/>
            <w:vAlign w:val="bottom"/>
          </w:tcPr>
          <w:p w14:paraId="532A57A9">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.5</w:t>
            </w:r>
          </w:p>
        </w:tc>
        <w:tc>
          <w:tcPr>
            <w:tcW w:w="833" w:type="pct"/>
            <w:tcBorders>
              <w:top w:val="single" w:color="auto" w:sz="4" w:space="0"/>
              <w:left w:val="single" w:color="auto" w:sz="4" w:space="0"/>
              <w:bottom w:val="single" w:color="auto" w:sz="4" w:space="0"/>
              <w:right w:val="nil"/>
            </w:tcBorders>
            <w:noWrap/>
            <w:vAlign w:val="bottom"/>
          </w:tcPr>
          <w:p w14:paraId="1A71C4F0">
            <w:pPr>
              <w:widowControl/>
              <w:spacing w:line="240" w:lineRule="auto"/>
              <w:ind w:firstLine="0" w:firstLineChars="0"/>
              <w:jc w:val="center"/>
              <w:rPr>
                <w:color w:val="auto"/>
                <w:sz w:val="21"/>
                <w:szCs w:val="21"/>
                <w:highlight w:val="none"/>
                <w:lang w:val="zh-CN"/>
              </w:rPr>
            </w:pPr>
            <w:r>
              <w:rPr>
                <w:color w:val="auto"/>
                <w:sz w:val="21"/>
                <w:szCs w:val="21"/>
                <w:highlight w:val="none"/>
              </w:rPr>
              <w:t>1</w:t>
            </w:r>
          </w:p>
        </w:tc>
      </w:tr>
      <w:tr w14:paraId="4170D30E">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4" w:space="0"/>
              <w:right w:val="single" w:color="auto" w:sz="4" w:space="0"/>
            </w:tcBorders>
            <w:noWrap/>
            <w:vAlign w:val="bottom"/>
          </w:tcPr>
          <w:p w14:paraId="36A8DCCB">
            <w:pPr>
              <w:widowControl/>
              <w:spacing w:line="240" w:lineRule="auto"/>
              <w:ind w:firstLine="0" w:firstLineChars="0"/>
              <w:jc w:val="center"/>
              <w:rPr>
                <w:color w:val="auto"/>
                <w:sz w:val="21"/>
                <w:szCs w:val="21"/>
                <w:highlight w:val="none"/>
                <w:lang w:val="zh-CN"/>
              </w:rPr>
            </w:pPr>
            <w:r>
              <w:rPr>
                <w:color w:val="auto"/>
                <w:sz w:val="21"/>
                <w:szCs w:val="21"/>
                <w:highlight w:val="none"/>
              </w:rPr>
              <w:t>4</w:t>
            </w:r>
          </w:p>
        </w:tc>
        <w:tc>
          <w:tcPr>
            <w:tcW w:w="1225" w:type="pct"/>
            <w:tcBorders>
              <w:top w:val="single" w:color="auto" w:sz="4" w:space="0"/>
              <w:left w:val="single" w:color="auto" w:sz="4" w:space="0"/>
              <w:bottom w:val="single" w:color="auto" w:sz="4" w:space="0"/>
              <w:right w:val="single" w:color="auto" w:sz="4" w:space="0"/>
            </w:tcBorders>
            <w:noWrap/>
            <w:vAlign w:val="bottom"/>
          </w:tcPr>
          <w:p w14:paraId="072B3BDB">
            <w:pPr>
              <w:widowControl/>
              <w:spacing w:line="240" w:lineRule="auto"/>
              <w:ind w:firstLine="0" w:firstLineChars="0"/>
              <w:jc w:val="center"/>
              <w:rPr>
                <w:color w:val="auto"/>
                <w:sz w:val="21"/>
                <w:szCs w:val="21"/>
                <w:highlight w:val="none"/>
                <w:lang w:val="zh-CN"/>
              </w:rPr>
            </w:pPr>
            <w:r>
              <w:rPr>
                <w:color w:val="auto"/>
                <w:sz w:val="21"/>
                <w:szCs w:val="21"/>
                <w:highlight w:val="none"/>
              </w:rPr>
              <w:t>45-225</w:t>
            </w:r>
          </w:p>
        </w:tc>
        <w:tc>
          <w:tcPr>
            <w:tcW w:w="833" w:type="pct"/>
            <w:tcBorders>
              <w:top w:val="single" w:color="auto" w:sz="4" w:space="0"/>
              <w:left w:val="single" w:color="auto" w:sz="4" w:space="0"/>
              <w:bottom w:val="single" w:color="auto" w:sz="4" w:space="0"/>
              <w:right w:val="single" w:color="auto" w:sz="4" w:space="0"/>
            </w:tcBorders>
            <w:noWrap/>
            <w:vAlign w:val="bottom"/>
          </w:tcPr>
          <w:p w14:paraId="20A3E773">
            <w:pPr>
              <w:widowControl/>
              <w:spacing w:line="240" w:lineRule="auto"/>
              <w:ind w:firstLine="0" w:firstLineChars="0"/>
              <w:jc w:val="center"/>
              <w:rPr>
                <w:color w:val="auto"/>
                <w:sz w:val="21"/>
                <w:szCs w:val="21"/>
                <w:highlight w:val="none"/>
                <w:lang w:val="zh-CN"/>
              </w:rPr>
            </w:pPr>
            <w:r>
              <w:rPr>
                <w:color w:val="auto"/>
                <w:sz w:val="21"/>
                <w:szCs w:val="21"/>
                <w:highlight w:val="none"/>
              </w:rPr>
              <w:t>四月</w:t>
            </w:r>
          </w:p>
        </w:tc>
        <w:tc>
          <w:tcPr>
            <w:tcW w:w="833" w:type="pct"/>
            <w:tcBorders>
              <w:top w:val="single" w:color="auto" w:sz="4" w:space="0"/>
              <w:left w:val="single" w:color="auto" w:sz="4" w:space="0"/>
              <w:bottom w:val="single" w:color="auto" w:sz="4" w:space="0"/>
              <w:right w:val="single" w:color="auto" w:sz="4" w:space="0"/>
            </w:tcBorders>
            <w:noWrap/>
            <w:vAlign w:val="bottom"/>
          </w:tcPr>
          <w:p w14:paraId="4AF2E4AB">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.14</w:t>
            </w:r>
          </w:p>
        </w:tc>
        <w:tc>
          <w:tcPr>
            <w:tcW w:w="833" w:type="pct"/>
            <w:tcBorders>
              <w:top w:val="single" w:color="auto" w:sz="4" w:space="0"/>
              <w:left w:val="single" w:color="auto" w:sz="4" w:space="0"/>
              <w:bottom w:val="single" w:color="auto" w:sz="4" w:space="0"/>
              <w:right w:val="single" w:color="auto" w:sz="4" w:space="0"/>
            </w:tcBorders>
            <w:noWrap/>
            <w:vAlign w:val="bottom"/>
          </w:tcPr>
          <w:p w14:paraId="633B4F4F">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.5</w:t>
            </w:r>
          </w:p>
        </w:tc>
        <w:tc>
          <w:tcPr>
            <w:tcW w:w="833" w:type="pct"/>
            <w:tcBorders>
              <w:top w:val="single" w:color="auto" w:sz="4" w:space="0"/>
              <w:left w:val="single" w:color="auto" w:sz="4" w:space="0"/>
              <w:bottom w:val="single" w:color="auto" w:sz="4" w:space="0"/>
              <w:right w:val="nil"/>
            </w:tcBorders>
            <w:noWrap/>
            <w:vAlign w:val="bottom"/>
          </w:tcPr>
          <w:p w14:paraId="755E65B5">
            <w:pPr>
              <w:widowControl/>
              <w:spacing w:line="240" w:lineRule="auto"/>
              <w:ind w:firstLine="0" w:firstLineChars="0"/>
              <w:jc w:val="center"/>
              <w:rPr>
                <w:color w:val="auto"/>
                <w:sz w:val="21"/>
                <w:szCs w:val="21"/>
                <w:highlight w:val="none"/>
                <w:lang w:val="zh-CN"/>
              </w:rPr>
            </w:pPr>
            <w:r>
              <w:rPr>
                <w:color w:val="auto"/>
                <w:sz w:val="21"/>
                <w:szCs w:val="21"/>
                <w:highlight w:val="none"/>
              </w:rPr>
              <w:t>1</w:t>
            </w:r>
          </w:p>
        </w:tc>
      </w:tr>
      <w:tr w14:paraId="70F896A7">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4" w:space="0"/>
              <w:right w:val="single" w:color="auto" w:sz="4" w:space="0"/>
            </w:tcBorders>
            <w:noWrap/>
            <w:vAlign w:val="bottom"/>
          </w:tcPr>
          <w:p w14:paraId="205D9522">
            <w:pPr>
              <w:widowControl/>
              <w:spacing w:line="240" w:lineRule="auto"/>
              <w:ind w:firstLine="0" w:firstLineChars="0"/>
              <w:jc w:val="center"/>
              <w:rPr>
                <w:color w:val="auto"/>
                <w:sz w:val="21"/>
                <w:szCs w:val="21"/>
                <w:highlight w:val="none"/>
                <w:lang w:val="zh-CN"/>
              </w:rPr>
            </w:pPr>
            <w:r>
              <w:rPr>
                <w:color w:val="auto"/>
                <w:sz w:val="21"/>
                <w:szCs w:val="21"/>
                <w:highlight w:val="none"/>
              </w:rPr>
              <w:t>5</w:t>
            </w:r>
          </w:p>
        </w:tc>
        <w:tc>
          <w:tcPr>
            <w:tcW w:w="1225" w:type="pct"/>
            <w:tcBorders>
              <w:top w:val="single" w:color="auto" w:sz="4" w:space="0"/>
              <w:left w:val="single" w:color="auto" w:sz="4" w:space="0"/>
              <w:bottom w:val="single" w:color="auto" w:sz="4" w:space="0"/>
              <w:right w:val="single" w:color="auto" w:sz="4" w:space="0"/>
            </w:tcBorders>
            <w:noWrap/>
            <w:vAlign w:val="bottom"/>
          </w:tcPr>
          <w:p w14:paraId="412EF30C">
            <w:pPr>
              <w:widowControl/>
              <w:spacing w:line="240" w:lineRule="auto"/>
              <w:ind w:firstLine="0" w:firstLineChars="0"/>
              <w:jc w:val="center"/>
              <w:rPr>
                <w:color w:val="auto"/>
                <w:sz w:val="21"/>
                <w:szCs w:val="21"/>
                <w:highlight w:val="none"/>
                <w:lang w:val="zh-CN"/>
              </w:rPr>
            </w:pPr>
            <w:r>
              <w:rPr>
                <w:color w:val="auto"/>
                <w:sz w:val="21"/>
                <w:szCs w:val="21"/>
                <w:highlight w:val="none"/>
              </w:rPr>
              <w:t>45-225</w:t>
            </w:r>
          </w:p>
        </w:tc>
        <w:tc>
          <w:tcPr>
            <w:tcW w:w="833" w:type="pct"/>
            <w:tcBorders>
              <w:top w:val="single" w:color="auto" w:sz="4" w:space="0"/>
              <w:left w:val="single" w:color="auto" w:sz="4" w:space="0"/>
              <w:bottom w:val="single" w:color="auto" w:sz="4" w:space="0"/>
              <w:right w:val="single" w:color="auto" w:sz="4" w:space="0"/>
            </w:tcBorders>
            <w:noWrap/>
            <w:vAlign w:val="bottom"/>
          </w:tcPr>
          <w:p w14:paraId="412EE7F4">
            <w:pPr>
              <w:widowControl/>
              <w:spacing w:line="240" w:lineRule="auto"/>
              <w:ind w:firstLine="0" w:firstLineChars="0"/>
              <w:jc w:val="center"/>
              <w:rPr>
                <w:color w:val="auto"/>
                <w:sz w:val="21"/>
                <w:szCs w:val="21"/>
                <w:highlight w:val="none"/>
                <w:lang w:val="zh-CN"/>
              </w:rPr>
            </w:pPr>
            <w:r>
              <w:rPr>
                <w:color w:val="auto"/>
                <w:sz w:val="21"/>
                <w:szCs w:val="21"/>
                <w:highlight w:val="none"/>
              </w:rPr>
              <w:t>五月</w:t>
            </w:r>
          </w:p>
        </w:tc>
        <w:tc>
          <w:tcPr>
            <w:tcW w:w="833" w:type="pct"/>
            <w:tcBorders>
              <w:top w:val="single" w:color="auto" w:sz="4" w:space="0"/>
              <w:left w:val="single" w:color="auto" w:sz="4" w:space="0"/>
              <w:bottom w:val="single" w:color="auto" w:sz="4" w:space="0"/>
              <w:right w:val="single" w:color="auto" w:sz="4" w:space="0"/>
            </w:tcBorders>
            <w:noWrap/>
            <w:vAlign w:val="bottom"/>
          </w:tcPr>
          <w:p w14:paraId="3F855841">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.14</w:t>
            </w:r>
          </w:p>
        </w:tc>
        <w:tc>
          <w:tcPr>
            <w:tcW w:w="833" w:type="pct"/>
            <w:tcBorders>
              <w:top w:val="single" w:color="auto" w:sz="4" w:space="0"/>
              <w:left w:val="single" w:color="auto" w:sz="4" w:space="0"/>
              <w:bottom w:val="single" w:color="auto" w:sz="4" w:space="0"/>
              <w:right w:val="single" w:color="auto" w:sz="4" w:space="0"/>
            </w:tcBorders>
            <w:noWrap/>
            <w:vAlign w:val="bottom"/>
          </w:tcPr>
          <w:p w14:paraId="79977C91">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.5</w:t>
            </w:r>
          </w:p>
        </w:tc>
        <w:tc>
          <w:tcPr>
            <w:tcW w:w="833" w:type="pct"/>
            <w:tcBorders>
              <w:top w:val="single" w:color="auto" w:sz="4" w:space="0"/>
              <w:left w:val="single" w:color="auto" w:sz="4" w:space="0"/>
              <w:bottom w:val="single" w:color="auto" w:sz="4" w:space="0"/>
              <w:right w:val="nil"/>
            </w:tcBorders>
            <w:noWrap/>
            <w:vAlign w:val="bottom"/>
          </w:tcPr>
          <w:p w14:paraId="4392C767">
            <w:pPr>
              <w:widowControl/>
              <w:spacing w:line="240" w:lineRule="auto"/>
              <w:ind w:firstLine="0" w:firstLineChars="0"/>
              <w:jc w:val="center"/>
              <w:rPr>
                <w:color w:val="auto"/>
                <w:sz w:val="21"/>
                <w:szCs w:val="21"/>
                <w:highlight w:val="none"/>
                <w:lang w:val="zh-CN"/>
              </w:rPr>
            </w:pPr>
            <w:r>
              <w:rPr>
                <w:color w:val="auto"/>
                <w:sz w:val="21"/>
                <w:szCs w:val="21"/>
                <w:highlight w:val="none"/>
              </w:rPr>
              <w:t>1</w:t>
            </w:r>
          </w:p>
        </w:tc>
      </w:tr>
      <w:tr w14:paraId="681D4210">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4" w:space="0"/>
              <w:right w:val="single" w:color="auto" w:sz="4" w:space="0"/>
            </w:tcBorders>
            <w:noWrap/>
            <w:vAlign w:val="bottom"/>
          </w:tcPr>
          <w:p w14:paraId="0BB87583">
            <w:pPr>
              <w:widowControl/>
              <w:spacing w:line="240" w:lineRule="auto"/>
              <w:ind w:firstLine="0" w:firstLineChars="0"/>
              <w:jc w:val="center"/>
              <w:rPr>
                <w:color w:val="auto"/>
                <w:sz w:val="21"/>
                <w:szCs w:val="21"/>
                <w:highlight w:val="none"/>
                <w:lang w:val="zh-CN"/>
              </w:rPr>
            </w:pPr>
            <w:r>
              <w:rPr>
                <w:color w:val="auto"/>
                <w:sz w:val="21"/>
                <w:szCs w:val="21"/>
                <w:highlight w:val="none"/>
              </w:rPr>
              <w:t>6</w:t>
            </w:r>
          </w:p>
        </w:tc>
        <w:tc>
          <w:tcPr>
            <w:tcW w:w="1225" w:type="pct"/>
            <w:tcBorders>
              <w:top w:val="single" w:color="auto" w:sz="4" w:space="0"/>
              <w:left w:val="single" w:color="auto" w:sz="4" w:space="0"/>
              <w:bottom w:val="single" w:color="auto" w:sz="4" w:space="0"/>
              <w:right w:val="single" w:color="auto" w:sz="4" w:space="0"/>
            </w:tcBorders>
            <w:noWrap/>
            <w:vAlign w:val="bottom"/>
          </w:tcPr>
          <w:p w14:paraId="3E80EB58">
            <w:pPr>
              <w:widowControl/>
              <w:spacing w:line="240" w:lineRule="auto"/>
              <w:ind w:firstLine="0" w:firstLineChars="0"/>
              <w:jc w:val="center"/>
              <w:rPr>
                <w:color w:val="auto"/>
                <w:sz w:val="21"/>
                <w:szCs w:val="21"/>
                <w:highlight w:val="none"/>
                <w:lang w:val="zh-CN"/>
              </w:rPr>
            </w:pPr>
            <w:r>
              <w:rPr>
                <w:color w:val="auto"/>
                <w:sz w:val="21"/>
                <w:szCs w:val="21"/>
                <w:highlight w:val="none"/>
              </w:rPr>
              <w:t>45-225</w:t>
            </w:r>
          </w:p>
        </w:tc>
        <w:tc>
          <w:tcPr>
            <w:tcW w:w="833" w:type="pct"/>
            <w:tcBorders>
              <w:top w:val="single" w:color="auto" w:sz="4" w:space="0"/>
              <w:left w:val="single" w:color="auto" w:sz="4" w:space="0"/>
              <w:bottom w:val="single" w:color="auto" w:sz="4" w:space="0"/>
              <w:right w:val="single" w:color="auto" w:sz="4" w:space="0"/>
            </w:tcBorders>
            <w:noWrap/>
            <w:vAlign w:val="bottom"/>
          </w:tcPr>
          <w:p w14:paraId="72D1771E">
            <w:pPr>
              <w:widowControl/>
              <w:spacing w:line="240" w:lineRule="auto"/>
              <w:ind w:firstLine="0" w:firstLineChars="0"/>
              <w:jc w:val="center"/>
              <w:rPr>
                <w:color w:val="auto"/>
                <w:sz w:val="21"/>
                <w:szCs w:val="21"/>
                <w:highlight w:val="none"/>
                <w:lang w:val="zh-CN"/>
              </w:rPr>
            </w:pPr>
            <w:r>
              <w:rPr>
                <w:color w:val="auto"/>
                <w:sz w:val="21"/>
                <w:szCs w:val="21"/>
                <w:highlight w:val="none"/>
              </w:rPr>
              <w:t>六月</w:t>
            </w:r>
          </w:p>
        </w:tc>
        <w:tc>
          <w:tcPr>
            <w:tcW w:w="833" w:type="pct"/>
            <w:tcBorders>
              <w:top w:val="single" w:color="auto" w:sz="4" w:space="0"/>
              <w:left w:val="single" w:color="auto" w:sz="4" w:space="0"/>
              <w:bottom w:val="single" w:color="auto" w:sz="4" w:space="0"/>
              <w:right w:val="single" w:color="auto" w:sz="4" w:space="0"/>
            </w:tcBorders>
            <w:noWrap/>
            <w:vAlign w:val="bottom"/>
          </w:tcPr>
          <w:p w14:paraId="68D3A62B">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.16</w:t>
            </w:r>
          </w:p>
        </w:tc>
        <w:tc>
          <w:tcPr>
            <w:tcW w:w="833" w:type="pct"/>
            <w:tcBorders>
              <w:top w:val="single" w:color="auto" w:sz="4" w:space="0"/>
              <w:left w:val="single" w:color="auto" w:sz="4" w:space="0"/>
              <w:bottom w:val="single" w:color="auto" w:sz="4" w:space="0"/>
              <w:right w:val="single" w:color="auto" w:sz="4" w:space="0"/>
            </w:tcBorders>
            <w:noWrap/>
            <w:vAlign w:val="bottom"/>
          </w:tcPr>
          <w:p w14:paraId="1A9AAB98">
            <w:pPr>
              <w:widowControl/>
              <w:spacing w:line="240" w:lineRule="auto"/>
              <w:ind w:firstLine="0" w:firstLineChars="0"/>
              <w:jc w:val="center"/>
              <w:rPr>
                <w:color w:val="auto"/>
                <w:sz w:val="21"/>
                <w:szCs w:val="21"/>
                <w:highlight w:val="none"/>
                <w:lang w:val="zh-CN"/>
              </w:rPr>
            </w:pPr>
            <w:r>
              <w:rPr>
                <w:color w:val="auto"/>
                <w:sz w:val="21"/>
                <w:szCs w:val="21"/>
                <w:highlight w:val="none"/>
              </w:rPr>
              <w:t>1</w:t>
            </w:r>
          </w:p>
        </w:tc>
        <w:tc>
          <w:tcPr>
            <w:tcW w:w="833" w:type="pct"/>
            <w:tcBorders>
              <w:top w:val="single" w:color="auto" w:sz="4" w:space="0"/>
              <w:left w:val="single" w:color="auto" w:sz="4" w:space="0"/>
              <w:bottom w:val="single" w:color="auto" w:sz="4" w:space="0"/>
              <w:right w:val="nil"/>
            </w:tcBorders>
            <w:noWrap/>
            <w:vAlign w:val="bottom"/>
          </w:tcPr>
          <w:p w14:paraId="3AB5B63E">
            <w:pPr>
              <w:widowControl/>
              <w:spacing w:line="240" w:lineRule="auto"/>
              <w:ind w:firstLine="0" w:firstLineChars="0"/>
              <w:jc w:val="center"/>
              <w:rPr>
                <w:color w:val="auto"/>
                <w:sz w:val="21"/>
                <w:szCs w:val="21"/>
                <w:highlight w:val="none"/>
                <w:lang w:val="zh-CN"/>
              </w:rPr>
            </w:pPr>
            <w:r>
              <w:rPr>
                <w:color w:val="auto"/>
                <w:sz w:val="21"/>
                <w:szCs w:val="21"/>
                <w:highlight w:val="none"/>
              </w:rPr>
              <w:t>1</w:t>
            </w:r>
          </w:p>
        </w:tc>
      </w:tr>
      <w:tr w14:paraId="53185E15">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4" w:space="0"/>
              <w:right w:val="single" w:color="auto" w:sz="4" w:space="0"/>
            </w:tcBorders>
            <w:noWrap/>
            <w:vAlign w:val="bottom"/>
          </w:tcPr>
          <w:p w14:paraId="457C3BF9">
            <w:pPr>
              <w:widowControl/>
              <w:spacing w:line="240" w:lineRule="auto"/>
              <w:ind w:firstLine="0" w:firstLineChars="0"/>
              <w:jc w:val="center"/>
              <w:rPr>
                <w:color w:val="auto"/>
                <w:sz w:val="21"/>
                <w:szCs w:val="21"/>
                <w:highlight w:val="none"/>
                <w:lang w:val="zh-CN"/>
              </w:rPr>
            </w:pPr>
            <w:r>
              <w:rPr>
                <w:color w:val="auto"/>
                <w:sz w:val="21"/>
                <w:szCs w:val="21"/>
                <w:highlight w:val="none"/>
              </w:rPr>
              <w:t>7</w:t>
            </w:r>
          </w:p>
        </w:tc>
        <w:tc>
          <w:tcPr>
            <w:tcW w:w="1225" w:type="pct"/>
            <w:tcBorders>
              <w:top w:val="single" w:color="auto" w:sz="4" w:space="0"/>
              <w:left w:val="single" w:color="auto" w:sz="4" w:space="0"/>
              <w:bottom w:val="single" w:color="auto" w:sz="4" w:space="0"/>
              <w:right w:val="single" w:color="auto" w:sz="4" w:space="0"/>
            </w:tcBorders>
            <w:noWrap/>
            <w:vAlign w:val="bottom"/>
          </w:tcPr>
          <w:p w14:paraId="4A15A955">
            <w:pPr>
              <w:widowControl/>
              <w:spacing w:line="240" w:lineRule="auto"/>
              <w:ind w:firstLine="0" w:firstLineChars="0"/>
              <w:jc w:val="center"/>
              <w:rPr>
                <w:color w:val="auto"/>
                <w:sz w:val="21"/>
                <w:szCs w:val="21"/>
                <w:highlight w:val="none"/>
                <w:lang w:val="zh-CN"/>
              </w:rPr>
            </w:pPr>
            <w:r>
              <w:rPr>
                <w:color w:val="auto"/>
                <w:sz w:val="21"/>
                <w:szCs w:val="21"/>
                <w:highlight w:val="none"/>
              </w:rPr>
              <w:t>45-225</w:t>
            </w:r>
          </w:p>
        </w:tc>
        <w:tc>
          <w:tcPr>
            <w:tcW w:w="833" w:type="pct"/>
            <w:tcBorders>
              <w:top w:val="single" w:color="auto" w:sz="4" w:space="0"/>
              <w:left w:val="single" w:color="auto" w:sz="4" w:space="0"/>
              <w:bottom w:val="single" w:color="auto" w:sz="4" w:space="0"/>
              <w:right w:val="single" w:color="auto" w:sz="4" w:space="0"/>
            </w:tcBorders>
            <w:noWrap/>
            <w:vAlign w:val="bottom"/>
          </w:tcPr>
          <w:p w14:paraId="3C0DEE9B">
            <w:pPr>
              <w:widowControl/>
              <w:spacing w:line="240" w:lineRule="auto"/>
              <w:ind w:firstLine="0" w:firstLineChars="0"/>
              <w:jc w:val="center"/>
              <w:rPr>
                <w:color w:val="auto"/>
                <w:sz w:val="21"/>
                <w:szCs w:val="21"/>
                <w:highlight w:val="none"/>
                <w:lang w:val="zh-CN"/>
              </w:rPr>
            </w:pPr>
            <w:r>
              <w:rPr>
                <w:color w:val="auto"/>
                <w:sz w:val="21"/>
                <w:szCs w:val="21"/>
                <w:highlight w:val="none"/>
              </w:rPr>
              <w:t>七月</w:t>
            </w:r>
          </w:p>
        </w:tc>
        <w:tc>
          <w:tcPr>
            <w:tcW w:w="833" w:type="pct"/>
            <w:tcBorders>
              <w:top w:val="single" w:color="auto" w:sz="4" w:space="0"/>
              <w:left w:val="single" w:color="auto" w:sz="4" w:space="0"/>
              <w:bottom w:val="single" w:color="auto" w:sz="4" w:space="0"/>
              <w:right w:val="single" w:color="auto" w:sz="4" w:space="0"/>
            </w:tcBorders>
            <w:noWrap/>
            <w:vAlign w:val="bottom"/>
          </w:tcPr>
          <w:p w14:paraId="7D878A25">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.16</w:t>
            </w:r>
          </w:p>
        </w:tc>
        <w:tc>
          <w:tcPr>
            <w:tcW w:w="833" w:type="pct"/>
            <w:tcBorders>
              <w:top w:val="single" w:color="auto" w:sz="4" w:space="0"/>
              <w:left w:val="single" w:color="auto" w:sz="4" w:space="0"/>
              <w:bottom w:val="single" w:color="auto" w:sz="4" w:space="0"/>
              <w:right w:val="single" w:color="auto" w:sz="4" w:space="0"/>
            </w:tcBorders>
            <w:noWrap/>
            <w:vAlign w:val="bottom"/>
          </w:tcPr>
          <w:p w14:paraId="53CBA57A">
            <w:pPr>
              <w:widowControl/>
              <w:spacing w:line="240" w:lineRule="auto"/>
              <w:ind w:firstLine="0" w:firstLineChars="0"/>
              <w:jc w:val="center"/>
              <w:rPr>
                <w:color w:val="auto"/>
                <w:sz w:val="21"/>
                <w:szCs w:val="21"/>
                <w:highlight w:val="none"/>
                <w:lang w:val="zh-CN"/>
              </w:rPr>
            </w:pPr>
            <w:r>
              <w:rPr>
                <w:color w:val="auto"/>
                <w:sz w:val="21"/>
                <w:szCs w:val="21"/>
                <w:highlight w:val="none"/>
              </w:rPr>
              <w:t>1</w:t>
            </w:r>
          </w:p>
        </w:tc>
        <w:tc>
          <w:tcPr>
            <w:tcW w:w="833" w:type="pct"/>
            <w:tcBorders>
              <w:top w:val="single" w:color="auto" w:sz="4" w:space="0"/>
              <w:left w:val="single" w:color="auto" w:sz="4" w:space="0"/>
              <w:bottom w:val="single" w:color="auto" w:sz="4" w:space="0"/>
              <w:right w:val="nil"/>
            </w:tcBorders>
            <w:noWrap/>
            <w:vAlign w:val="bottom"/>
          </w:tcPr>
          <w:p w14:paraId="469812DC">
            <w:pPr>
              <w:widowControl/>
              <w:spacing w:line="240" w:lineRule="auto"/>
              <w:ind w:firstLine="0" w:firstLineChars="0"/>
              <w:jc w:val="center"/>
              <w:rPr>
                <w:color w:val="auto"/>
                <w:sz w:val="21"/>
                <w:szCs w:val="21"/>
                <w:highlight w:val="none"/>
                <w:lang w:val="zh-CN"/>
              </w:rPr>
            </w:pPr>
            <w:r>
              <w:rPr>
                <w:color w:val="auto"/>
                <w:sz w:val="21"/>
                <w:szCs w:val="21"/>
                <w:highlight w:val="none"/>
              </w:rPr>
              <w:t>1</w:t>
            </w:r>
          </w:p>
        </w:tc>
      </w:tr>
      <w:tr w14:paraId="62A6D204">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4" w:space="0"/>
              <w:right w:val="single" w:color="auto" w:sz="4" w:space="0"/>
            </w:tcBorders>
            <w:noWrap/>
            <w:vAlign w:val="bottom"/>
          </w:tcPr>
          <w:p w14:paraId="68DE3580">
            <w:pPr>
              <w:widowControl/>
              <w:spacing w:line="240" w:lineRule="auto"/>
              <w:ind w:firstLine="0" w:firstLineChars="0"/>
              <w:jc w:val="center"/>
              <w:rPr>
                <w:color w:val="auto"/>
                <w:sz w:val="21"/>
                <w:szCs w:val="21"/>
                <w:highlight w:val="none"/>
                <w:lang w:val="zh-CN"/>
              </w:rPr>
            </w:pPr>
            <w:r>
              <w:rPr>
                <w:color w:val="auto"/>
                <w:sz w:val="21"/>
                <w:szCs w:val="21"/>
                <w:highlight w:val="none"/>
              </w:rPr>
              <w:t>8</w:t>
            </w:r>
          </w:p>
        </w:tc>
        <w:tc>
          <w:tcPr>
            <w:tcW w:w="1225" w:type="pct"/>
            <w:tcBorders>
              <w:top w:val="single" w:color="auto" w:sz="4" w:space="0"/>
              <w:left w:val="single" w:color="auto" w:sz="4" w:space="0"/>
              <w:bottom w:val="single" w:color="auto" w:sz="4" w:space="0"/>
              <w:right w:val="single" w:color="auto" w:sz="4" w:space="0"/>
            </w:tcBorders>
            <w:noWrap/>
            <w:vAlign w:val="bottom"/>
          </w:tcPr>
          <w:p w14:paraId="2FB76297">
            <w:pPr>
              <w:widowControl/>
              <w:spacing w:line="240" w:lineRule="auto"/>
              <w:ind w:firstLine="0" w:firstLineChars="0"/>
              <w:jc w:val="center"/>
              <w:rPr>
                <w:color w:val="auto"/>
                <w:sz w:val="21"/>
                <w:szCs w:val="21"/>
                <w:highlight w:val="none"/>
                <w:lang w:val="zh-CN"/>
              </w:rPr>
            </w:pPr>
            <w:r>
              <w:rPr>
                <w:color w:val="auto"/>
                <w:sz w:val="21"/>
                <w:szCs w:val="21"/>
                <w:highlight w:val="none"/>
              </w:rPr>
              <w:t>45-225</w:t>
            </w:r>
          </w:p>
        </w:tc>
        <w:tc>
          <w:tcPr>
            <w:tcW w:w="833" w:type="pct"/>
            <w:tcBorders>
              <w:top w:val="single" w:color="auto" w:sz="4" w:space="0"/>
              <w:left w:val="single" w:color="auto" w:sz="4" w:space="0"/>
              <w:bottom w:val="single" w:color="auto" w:sz="4" w:space="0"/>
              <w:right w:val="single" w:color="auto" w:sz="4" w:space="0"/>
            </w:tcBorders>
            <w:noWrap/>
            <w:vAlign w:val="bottom"/>
          </w:tcPr>
          <w:p w14:paraId="294E14B2">
            <w:pPr>
              <w:widowControl/>
              <w:spacing w:line="240" w:lineRule="auto"/>
              <w:ind w:firstLine="0" w:firstLineChars="0"/>
              <w:jc w:val="center"/>
              <w:rPr>
                <w:color w:val="auto"/>
                <w:sz w:val="21"/>
                <w:szCs w:val="21"/>
                <w:highlight w:val="none"/>
                <w:lang w:val="zh-CN"/>
              </w:rPr>
            </w:pPr>
            <w:r>
              <w:rPr>
                <w:color w:val="auto"/>
                <w:sz w:val="21"/>
                <w:szCs w:val="21"/>
                <w:highlight w:val="none"/>
              </w:rPr>
              <w:t>八月</w:t>
            </w:r>
          </w:p>
        </w:tc>
        <w:tc>
          <w:tcPr>
            <w:tcW w:w="833" w:type="pct"/>
            <w:tcBorders>
              <w:top w:val="single" w:color="auto" w:sz="4" w:space="0"/>
              <w:left w:val="single" w:color="auto" w:sz="4" w:space="0"/>
              <w:bottom w:val="single" w:color="auto" w:sz="4" w:space="0"/>
              <w:right w:val="single" w:color="auto" w:sz="4" w:space="0"/>
            </w:tcBorders>
            <w:noWrap/>
            <w:vAlign w:val="bottom"/>
          </w:tcPr>
          <w:p w14:paraId="337CC256">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.16</w:t>
            </w:r>
          </w:p>
        </w:tc>
        <w:tc>
          <w:tcPr>
            <w:tcW w:w="833" w:type="pct"/>
            <w:tcBorders>
              <w:top w:val="single" w:color="auto" w:sz="4" w:space="0"/>
              <w:left w:val="single" w:color="auto" w:sz="4" w:space="0"/>
              <w:bottom w:val="single" w:color="auto" w:sz="4" w:space="0"/>
              <w:right w:val="single" w:color="auto" w:sz="4" w:space="0"/>
            </w:tcBorders>
            <w:noWrap/>
            <w:vAlign w:val="bottom"/>
          </w:tcPr>
          <w:p w14:paraId="543836A1">
            <w:pPr>
              <w:widowControl/>
              <w:spacing w:line="240" w:lineRule="auto"/>
              <w:ind w:firstLine="0" w:firstLineChars="0"/>
              <w:jc w:val="center"/>
              <w:rPr>
                <w:color w:val="auto"/>
                <w:sz w:val="21"/>
                <w:szCs w:val="21"/>
                <w:highlight w:val="none"/>
                <w:lang w:val="zh-CN"/>
              </w:rPr>
            </w:pPr>
            <w:r>
              <w:rPr>
                <w:color w:val="auto"/>
                <w:sz w:val="21"/>
                <w:szCs w:val="21"/>
                <w:highlight w:val="none"/>
              </w:rPr>
              <w:t>1</w:t>
            </w:r>
          </w:p>
        </w:tc>
        <w:tc>
          <w:tcPr>
            <w:tcW w:w="833" w:type="pct"/>
            <w:tcBorders>
              <w:top w:val="single" w:color="auto" w:sz="4" w:space="0"/>
              <w:left w:val="single" w:color="auto" w:sz="4" w:space="0"/>
              <w:bottom w:val="single" w:color="auto" w:sz="4" w:space="0"/>
              <w:right w:val="nil"/>
            </w:tcBorders>
            <w:noWrap/>
            <w:vAlign w:val="bottom"/>
          </w:tcPr>
          <w:p w14:paraId="0B94B315">
            <w:pPr>
              <w:widowControl/>
              <w:spacing w:line="240" w:lineRule="auto"/>
              <w:ind w:firstLine="0" w:firstLineChars="0"/>
              <w:jc w:val="center"/>
              <w:rPr>
                <w:color w:val="auto"/>
                <w:sz w:val="21"/>
                <w:szCs w:val="21"/>
                <w:highlight w:val="none"/>
                <w:lang w:val="zh-CN"/>
              </w:rPr>
            </w:pPr>
            <w:r>
              <w:rPr>
                <w:color w:val="auto"/>
                <w:sz w:val="21"/>
                <w:szCs w:val="21"/>
                <w:highlight w:val="none"/>
              </w:rPr>
              <w:t>1</w:t>
            </w:r>
          </w:p>
        </w:tc>
      </w:tr>
      <w:tr w14:paraId="31C5E714">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4" w:space="0"/>
              <w:right w:val="single" w:color="auto" w:sz="4" w:space="0"/>
            </w:tcBorders>
            <w:noWrap/>
            <w:vAlign w:val="bottom"/>
          </w:tcPr>
          <w:p w14:paraId="34D3D5CB">
            <w:pPr>
              <w:widowControl/>
              <w:spacing w:line="240" w:lineRule="auto"/>
              <w:ind w:firstLine="0" w:firstLineChars="0"/>
              <w:jc w:val="center"/>
              <w:rPr>
                <w:color w:val="auto"/>
                <w:sz w:val="21"/>
                <w:szCs w:val="21"/>
                <w:highlight w:val="none"/>
                <w:lang w:val="zh-CN"/>
              </w:rPr>
            </w:pPr>
            <w:r>
              <w:rPr>
                <w:color w:val="auto"/>
                <w:sz w:val="21"/>
                <w:szCs w:val="21"/>
                <w:highlight w:val="none"/>
              </w:rPr>
              <w:t>9</w:t>
            </w:r>
          </w:p>
        </w:tc>
        <w:tc>
          <w:tcPr>
            <w:tcW w:w="1225" w:type="pct"/>
            <w:tcBorders>
              <w:top w:val="single" w:color="auto" w:sz="4" w:space="0"/>
              <w:left w:val="single" w:color="auto" w:sz="4" w:space="0"/>
              <w:bottom w:val="single" w:color="auto" w:sz="4" w:space="0"/>
              <w:right w:val="single" w:color="auto" w:sz="4" w:space="0"/>
            </w:tcBorders>
            <w:noWrap/>
            <w:vAlign w:val="bottom"/>
          </w:tcPr>
          <w:p w14:paraId="3DBDADA1">
            <w:pPr>
              <w:widowControl/>
              <w:spacing w:line="240" w:lineRule="auto"/>
              <w:ind w:firstLine="0" w:firstLineChars="0"/>
              <w:jc w:val="center"/>
              <w:rPr>
                <w:color w:val="auto"/>
                <w:sz w:val="21"/>
                <w:szCs w:val="21"/>
                <w:highlight w:val="none"/>
                <w:lang w:val="zh-CN"/>
              </w:rPr>
            </w:pPr>
            <w:r>
              <w:rPr>
                <w:color w:val="auto"/>
                <w:sz w:val="21"/>
                <w:szCs w:val="21"/>
                <w:highlight w:val="none"/>
              </w:rPr>
              <w:t>45-225</w:t>
            </w:r>
          </w:p>
        </w:tc>
        <w:tc>
          <w:tcPr>
            <w:tcW w:w="833" w:type="pct"/>
            <w:tcBorders>
              <w:top w:val="single" w:color="auto" w:sz="4" w:space="0"/>
              <w:left w:val="single" w:color="auto" w:sz="4" w:space="0"/>
              <w:bottom w:val="single" w:color="auto" w:sz="4" w:space="0"/>
              <w:right w:val="single" w:color="auto" w:sz="4" w:space="0"/>
            </w:tcBorders>
            <w:noWrap/>
            <w:vAlign w:val="bottom"/>
          </w:tcPr>
          <w:p w14:paraId="30BACE02">
            <w:pPr>
              <w:widowControl/>
              <w:spacing w:line="240" w:lineRule="auto"/>
              <w:ind w:firstLine="0" w:firstLineChars="0"/>
              <w:jc w:val="center"/>
              <w:rPr>
                <w:color w:val="auto"/>
                <w:sz w:val="21"/>
                <w:szCs w:val="21"/>
                <w:highlight w:val="none"/>
                <w:lang w:val="zh-CN"/>
              </w:rPr>
            </w:pPr>
            <w:r>
              <w:rPr>
                <w:color w:val="auto"/>
                <w:sz w:val="21"/>
                <w:szCs w:val="21"/>
                <w:highlight w:val="none"/>
              </w:rPr>
              <w:t>九月</w:t>
            </w:r>
          </w:p>
        </w:tc>
        <w:tc>
          <w:tcPr>
            <w:tcW w:w="833" w:type="pct"/>
            <w:tcBorders>
              <w:top w:val="single" w:color="auto" w:sz="4" w:space="0"/>
              <w:left w:val="single" w:color="auto" w:sz="4" w:space="0"/>
              <w:bottom w:val="single" w:color="auto" w:sz="4" w:space="0"/>
              <w:right w:val="single" w:color="auto" w:sz="4" w:space="0"/>
            </w:tcBorders>
            <w:noWrap/>
            <w:vAlign w:val="bottom"/>
          </w:tcPr>
          <w:p w14:paraId="097DF860">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.18</w:t>
            </w:r>
          </w:p>
        </w:tc>
        <w:tc>
          <w:tcPr>
            <w:tcW w:w="833" w:type="pct"/>
            <w:tcBorders>
              <w:top w:val="single" w:color="auto" w:sz="4" w:space="0"/>
              <w:left w:val="single" w:color="auto" w:sz="4" w:space="0"/>
              <w:bottom w:val="single" w:color="auto" w:sz="4" w:space="0"/>
              <w:right w:val="single" w:color="auto" w:sz="4" w:space="0"/>
            </w:tcBorders>
            <w:noWrap/>
            <w:vAlign w:val="bottom"/>
          </w:tcPr>
          <w:p w14:paraId="40AE1F97">
            <w:pPr>
              <w:widowControl/>
              <w:spacing w:line="240" w:lineRule="auto"/>
              <w:ind w:firstLine="0" w:firstLineChars="0"/>
              <w:jc w:val="center"/>
              <w:rPr>
                <w:color w:val="auto"/>
                <w:sz w:val="21"/>
                <w:szCs w:val="21"/>
                <w:highlight w:val="none"/>
                <w:lang w:val="zh-CN"/>
              </w:rPr>
            </w:pPr>
            <w:r>
              <w:rPr>
                <w:color w:val="auto"/>
                <w:sz w:val="21"/>
                <w:szCs w:val="21"/>
                <w:highlight w:val="none"/>
              </w:rPr>
              <w:t>1</w:t>
            </w:r>
          </w:p>
        </w:tc>
        <w:tc>
          <w:tcPr>
            <w:tcW w:w="833" w:type="pct"/>
            <w:tcBorders>
              <w:top w:val="single" w:color="auto" w:sz="4" w:space="0"/>
              <w:left w:val="single" w:color="auto" w:sz="4" w:space="0"/>
              <w:bottom w:val="single" w:color="auto" w:sz="4" w:space="0"/>
              <w:right w:val="nil"/>
            </w:tcBorders>
            <w:noWrap/>
            <w:vAlign w:val="bottom"/>
          </w:tcPr>
          <w:p w14:paraId="72FEBDD7">
            <w:pPr>
              <w:widowControl/>
              <w:spacing w:line="240" w:lineRule="auto"/>
              <w:ind w:firstLine="0" w:firstLineChars="0"/>
              <w:jc w:val="center"/>
              <w:rPr>
                <w:color w:val="auto"/>
                <w:sz w:val="21"/>
                <w:szCs w:val="21"/>
                <w:highlight w:val="none"/>
                <w:lang w:val="zh-CN"/>
              </w:rPr>
            </w:pPr>
            <w:r>
              <w:rPr>
                <w:color w:val="auto"/>
                <w:sz w:val="21"/>
                <w:szCs w:val="21"/>
                <w:highlight w:val="none"/>
              </w:rPr>
              <w:t>1</w:t>
            </w:r>
          </w:p>
        </w:tc>
      </w:tr>
      <w:tr w14:paraId="61EA0CF7">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4" w:space="0"/>
              <w:right w:val="single" w:color="auto" w:sz="4" w:space="0"/>
            </w:tcBorders>
            <w:noWrap/>
            <w:vAlign w:val="bottom"/>
          </w:tcPr>
          <w:p w14:paraId="103EBB6B">
            <w:pPr>
              <w:widowControl/>
              <w:spacing w:line="240" w:lineRule="auto"/>
              <w:ind w:firstLine="0" w:firstLineChars="0"/>
              <w:jc w:val="center"/>
              <w:rPr>
                <w:color w:val="auto"/>
                <w:sz w:val="21"/>
                <w:szCs w:val="21"/>
                <w:highlight w:val="none"/>
                <w:lang w:val="zh-CN"/>
              </w:rPr>
            </w:pPr>
            <w:r>
              <w:rPr>
                <w:color w:val="auto"/>
                <w:sz w:val="21"/>
                <w:szCs w:val="21"/>
                <w:highlight w:val="none"/>
              </w:rPr>
              <w:t>10</w:t>
            </w:r>
          </w:p>
        </w:tc>
        <w:tc>
          <w:tcPr>
            <w:tcW w:w="1225" w:type="pct"/>
            <w:tcBorders>
              <w:top w:val="single" w:color="auto" w:sz="4" w:space="0"/>
              <w:left w:val="single" w:color="auto" w:sz="4" w:space="0"/>
              <w:bottom w:val="single" w:color="auto" w:sz="4" w:space="0"/>
              <w:right w:val="single" w:color="auto" w:sz="4" w:space="0"/>
            </w:tcBorders>
            <w:noWrap/>
            <w:vAlign w:val="bottom"/>
          </w:tcPr>
          <w:p w14:paraId="51A8A07B">
            <w:pPr>
              <w:widowControl/>
              <w:spacing w:line="240" w:lineRule="auto"/>
              <w:ind w:firstLine="0" w:firstLineChars="0"/>
              <w:jc w:val="center"/>
              <w:rPr>
                <w:color w:val="auto"/>
                <w:sz w:val="21"/>
                <w:szCs w:val="21"/>
                <w:highlight w:val="none"/>
                <w:lang w:val="zh-CN"/>
              </w:rPr>
            </w:pPr>
            <w:r>
              <w:rPr>
                <w:color w:val="auto"/>
                <w:sz w:val="21"/>
                <w:szCs w:val="21"/>
                <w:highlight w:val="none"/>
              </w:rPr>
              <w:t>45-225</w:t>
            </w:r>
          </w:p>
        </w:tc>
        <w:tc>
          <w:tcPr>
            <w:tcW w:w="833" w:type="pct"/>
            <w:tcBorders>
              <w:top w:val="single" w:color="auto" w:sz="4" w:space="0"/>
              <w:left w:val="single" w:color="auto" w:sz="4" w:space="0"/>
              <w:bottom w:val="single" w:color="auto" w:sz="4" w:space="0"/>
              <w:right w:val="single" w:color="auto" w:sz="4" w:space="0"/>
            </w:tcBorders>
            <w:noWrap/>
            <w:vAlign w:val="bottom"/>
          </w:tcPr>
          <w:p w14:paraId="4D2179C1">
            <w:pPr>
              <w:widowControl/>
              <w:spacing w:line="240" w:lineRule="auto"/>
              <w:ind w:firstLine="0" w:firstLineChars="0"/>
              <w:jc w:val="center"/>
              <w:rPr>
                <w:color w:val="auto"/>
                <w:sz w:val="21"/>
                <w:szCs w:val="21"/>
                <w:highlight w:val="none"/>
                <w:lang w:val="zh-CN"/>
              </w:rPr>
            </w:pPr>
            <w:r>
              <w:rPr>
                <w:color w:val="auto"/>
                <w:sz w:val="21"/>
                <w:szCs w:val="21"/>
                <w:highlight w:val="none"/>
              </w:rPr>
              <w:t>十月</w:t>
            </w:r>
          </w:p>
        </w:tc>
        <w:tc>
          <w:tcPr>
            <w:tcW w:w="833" w:type="pct"/>
            <w:tcBorders>
              <w:top w:val="single" w:color="auto" w:sz="4" w:space="0"/>
              <w:left w:val="single" w:color="auto" w:sz="4" w:space="0"/>
              <w:bottom w:val="single" w:color="auto" w:sz="4" w:space="0"/>
              <w:right w:val="single" w:color="auto" w:sz="4" w:space="0"/>
            </w:tcBorders>
            <w:noWrap/>
            <w:vAlign w:val="bottom"/>
          </w:tcPr>
          <w:p w14:paraId="1848D09C">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.18</w:t>
            </w:r>
          </w:p>
        </w:tc>
        <w:tc>
          <w:tcPr>
            <w:tcW w:w="833" w:type="pct"/>
            <w:tcBorders>
              <w:top w:val="single" w:color="auto" w:sz="4" w:space="0"/>
              <w:left w:val="single" w:color="auto" w:sz="4" w:space="0"/>
              <w:bottom w:val="single" w:color="auto" w:sz="4" w:space="0"/>
              <w:right w:val="single" w:color="auto" w:sz="4" w:space="0"/>
            </w:tcBorders>
            <w:noWrap/>
            <w:vAlign w:val="bottom"/>
          </w:tcPr>
          <w:p w14:paraId="3C77AEF0">
            <w:pPr>
              <w:widowControl/>
              <w:spacing w:line="240" w:lineRule="auto"/>
              <w:ind w:firstLine="0" w:firstLineChars="0"/>
              <w:jc w:val="center"/>
              <w:rPr>
                <w:color w:val="auto"/>
                <w:sz w:val="21"/>
                <w:szCs w:val="21"/>
                <w:highlight w:val="none"/>
                <w:lang w:val="zh-CN"/>
              </w:rPr>
            </w:pPr>
            <w:r>
              <w:rPr>
                <w:color w:val="auto"/>
                <w:sz w:val="21"/>
                <w:szCs w:val="21"/>
                <w:highlight w:val="none"/>
              </w:rPr>
              <w:t>1</w:t>
            </w:r>
          </w:p>
        </w:tc>
        <w:tc>
          <w:tcPr>
            <w:tcW w:w="833" w:type="pct"/>
            <w:tcBorders>
              <w:top w:val="single" w:color="auto" w:sz="4" w:space="0"/>
              <w:left w:val="single" w:color="auto" w:sz="4" w:space="0"/>
              <w:bottom w:val="single" w:color="auto" w:sz="4" w:space="0"/>
              <w:right w:val="nil"/>
            </w:tcBorders>
            <w:noWrap/>
            <w:vAlign w:val="bottom"/>
          </w:tcPr>
          <w:p w14:paraId="567F04DA">
            <w:pPr>
              <w:widowControl/>
              <w:spacing w:line="240" w:lineRule="auto"/>
              <w:ind w:firstLine="0" w:firstLineChars="0"/>
              <w:jc w:val="center"/>
              <w:rPr>
                <w:color w:val="auto"/>
                <w:sz w:val="21"/>
                <w:szCs w:val="21"/>
                <w:highlight w:val="none"/>
                <w:lang w:val="zh-CN"/>
              </w:rPr>
            </w:pPr>
            <w:r>
              <w:rPr>
                <w:color w:val="auto"/>
                <w:sz w:val="21"/>
                <w:szCs w:val="21"/>
                <w:highlight w:val="none"/>
              </w:rPr>
              <w:t>1</w:t>
            </w:r>
          </w:p>
        </w:tc>
      </w:tr>
      <w:tr w14:paraId="4ED6E37E">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4" w:space="0"/>
              <w:right w:val="single" w:color="auto" w:sz="4" w:space="0"/>
            </w:tcBorders>
            <w:noWrap/>
            <w:vAlign w:val="bottom"/>
          </w:tcPr>
          <w:p w14:paraId="6B003D8A">
            <w:pPr>
              <w:widowControl/>
              <w:spacing w:line="240" w:lineRule="auto"/>
              <w:ind w:firstLine="0" w:firstLineChars="0"/>
              <w:jc w:val="center"/>
              <w:rPr>
                <w:color w:val="auto"/>
                <w:sz w:val="21"/>
                <w:szCs w:val="21"/>
                <w:highlight w:val="none"/>
                <w:lang w:val="zh-CN"/>
              </w:rPr>
            </w:pPr>
            <w:r>
              <w:rPr>
                <w:color w:val="auto"/>
                <w:sz w:val="21"/>
                <w:szCs w:val="21"/>
                <w:highlight w:val="none"/>
              </w:rPr>
              <w:t>11</w:t>
            </w:r>
          </w:p>
        </w:tc>
        <w:tc>
          <w:tcPr>
            <w:tcW w:w="1225" w:type="pct"/>
            <w:tcBorders>
              <w:top w:val="single" w:color="auto" w:sz="4" w:space="0"/>
              <w:left w:val="single" w:color="auto" w:sz="4" w:space="0"/>
              <w:bottom w:val="single" w:color="auto" w:sz="4" w:space="0"/>
              <w:right w:val="single" w:color="auto" w:sz="4" w:space="0"/>
            </w:tcBorders>
            <w:noWrap/>
            <w:vAlign w:val="bottom"/>
          </w:tcPr>
          <w:p w14:paraId="0345C0DC">
            <w:pPr>
              <w:widowControl/>
              <w:spacing w:line="240" w:lineRule="auto"/>
              <w:ind w:firstLine="0" w:firstLineChars="0"/>
              <w:jc w:val="center"/>
              <w:rPr>
                <w:color w:val="auto"/>
                <w:sz w:val="21"/>
                <w:szCs w:val="21"/>
                <w:highlight w:val="none"/>
                <w:lang w:val="zh-CN"/>
              </w:rPr>
            </w:pPr>
            <w:r>
              <w:rPr>
                <w:color w:val="auto"/>
                <w:sz w:val="21"/>
                <w:szCs w:val="21"/>
                <w:highlight w:val="none"/>
              </w:rPr>
              <w:t>45-225</w:t>
            </w:r>
          </w:p>
        </w:tc>
        <w:tc>
          <w:tcPr>
            <w:tcW w:w="833" w:type="pct"/>
            <w:tcBorders>
              <w:top w:val="single" w:color="auto" w:sz="4" w:space="0"/>
              <w:left w:val="single" w:color="auto" w:sz="4" w:space="0"/>
              <w:bottom w:val="single" w:color="auto" w:sz="4" w:space="0"/>
              <w:right w:val="single" w:color="auto" w:sz="4" w:space="0"/>
            </w:tcBorders>
            <w:noWrap/>
            <w:vAlign w:val="bottom"/>
          </w:tcPr>
          <w:p w14:paraId="260476CA">
            <w:pPr>
              <w:widowControl/>
              <w:spacing w:line="240" w:lineRule="auto"/>
              <w:ind w:firstLine="0" w:firstLineChars="0"/>
              <w:jc w:val="center"/>
              <w:rPr>
                <w:color w:val="auto"/>
                <w:sz w:val="21"/>
                <w:szCs w:val="21"/>
                <w:highlight w:val="none"/>
                <w:lang w:val="zh-CN"/>
              </w:rPr>
            </w:pPr>
            <w:r>
              <w:rPr>
                <w:color w:val="auto"/>
                <w:sz w:val="21"/>
                <w:szCs w:val="21"/>
                <w:highlight w:val="none"/>
              </w:rPr>
              <w:t>十一月</w:t>
            </w:r>
          </w:p>
        </w:tc>
        <w:tc>
          <w:tcPr>
            <w:tcW w:w="833" w:type="pct"/>
            <w:tcBorders>
              <w:top w:val="single" w:color="auto" w:sz="4" w:space="0"/>
              <w:left w:val="single" w:color="auto" w:sz="4" w:space="0"/>
              <w:bottom w:val="single" w:color="auto" w:sz="4" w:space="0"/>
              <w:right w:val="single" w:color="auto" w:sz="4" w:space="0"/>
            </w:tcBorders>
            <w:noWrap/>
            <w:vAlign w:val="bottom"/>
          </w:tcPr>
          <w:p w14:paraId="144DE613">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.18</w:t>
            </w:r>
          </w:p>
        </w:tc>
        <w:tc>
          <w:tcPr>
            <w:tcW w:w="833" w:type="pct"/>
            <w:tcBorders>
              <w:top w:val="single" w:color="auto" w:sz="4" w:space="0"/>
              <w:left w:val="single" w:color="auto" w:sz="4" w:space="0"/>
              <w:bottom w:val="single" w:color="auto" w:sz="4" w:space="0"/>
              <w:right w:val="single" w:color="auto" w:sz="4" w:space="0"/>
            </w:tcBorders>
            <w:noWrap/>
            <w:vAlign w:val="bottom"/>
          </w:tcPr>
          <w:p w14:paraId="0B802459">
            <w:pPr>
              <w:widowControl/>
              <w:spacing w:line="240" w:lineRule="auto"/>
              <w:ind w:firstLine="0" w:firstLineChars="0"/>
              <w:jc w:val="center"/>
              <w:rPr>
                <w:color w:val="auto"/>
                <w:sz w:val="21"/>
                <w:szCs w:val="21"/>
                <w:highlight w:val="none"/>
                <w:lang w:val="zh-CN"/>
              </w:rPr>
            </w:pPr>
            <w:r>
              <w:rPr>
                <w:color w:val="auto"/>
                <w:sz w:val="21"/>
                <w:szCs w:val="21"/>
                <w:highlight w:val="none"/>
              </w:rPr>
              <w:t>1</w:t>
            </w:r>
          </w:p>
        </w:tc>
        <w:tc>
          <w:tcPr>
            <w:tcW w:w="833" w:type="pct"/>
            <w:tcBorders>
              <w:top w:val="single" w:color="auto" w:sz="4" w:space="0"/>
              <w:left w:val="single" w:color="auto" w:sz="4" w:space="0"/>
              <w:bottom w:val="single" w:color="auto" w:sz="4" w:space="0"/>
              <w:right w:val="nil"/>
            </w:tcBorders>
            <w:noWrap/>
            <w:vAlign w:val="bottom"/>
          </w:tcPr>
          <w:p w14:paraId="4DFF1BB6">
            <w:pPr>
              <w:widowControl/>
              <w:spacing w:line="240" w:lineRule="auto"/>
              <w:ind w:firstLine="0" w:firstLineChars="0"/>
              <w:jc w:val="center"/>
              <w:rPr>
                <w:color w:val="auto"/>
                <w:sz w:val="21"/>
                <w:szCs w:val="21"/>
                <w:highlight w:val="none"/>
                <w:lang w:val="zh-CN"/>
              </w:rPr>
            </w:pPr>
            <w:r>
              <w:rPr>
                <w:color w:val="auto"/>
                <w:sz w:val="21"/>
                <w:szCs w:val="21"/>
                <w:highlight w:val="none"/>
              </w:rPr>
              <w:t>1</w:t>
            </w:r>
          </w:p>
        </w:tc>
      </w:tr>
      <w:tr w14:paraId="00710946">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4" w:space="0"/>
              <w:right w:val="single" w:color="auto" w:sz="4" w:space="0"/>
            </w:tcBorders>
            <w:noWrap/>
            <w:vAlign w:val="bottom"/>
          </w:tcPr>
          <w:p w14:paraId="24E23277">
            <w:pPr>
              <w:widowControl/>
              <w:spacing w:line="240" w:lineRule="auto"/>
              <w:ind w:firstLine="0" w:firstLineChars="0"/>
              <w:jc w:val="center"/>
              <w:rPr>
                <w:color w:val="auto"/>
                <w:sz w:val="21"/>
                <w:szCs w:val="21"/>
                <w:highlight w:val="none"/>
                <w:lang w:val="zh-CN"/>
              </w:rPr>
            </w:pPr>
            <w:r>
              <w:rPr>
                <w:color w:val="auto"/>
                <w:sz w:val="21"/>
                <w:szCs w:val="21"/>
                <w:highlight w:val="none"/>
              </w:rPr>
              <w:t>12</w:t>
            </w:r>
          </w:p>
        </w:tc>
        <w:tc>
          <w:tcPr>
            <w:tcW w:w="1225" w:type="pct"/>
            <w:tcBorders>
              <w:top w:val="single" w:color="auto" w:sz="4" w:space="0"/>
              <w:left w:val="single" w:color="auto" w:sz="4" w:space="0"/>
              <w:bottom w:val="single" w:color="auto" w:sz="4" w:space="0"/>
              <w:right w:val="single" w:color="auto" w:sz="4" w:space="0"/>
            </w:tcBorders>
            <w:noWrap/>
            <w:vAlign w:val="bottom"/>
          </w:tcPr>
          <w:p w14:paraId="14B6C2F8">
            <w:pPr>
              <w:widowControl/>
              <w:spacing w:line="240" w:lineRule="auto"/>
              <w:ind w:firstLine="0" w:firstLineChars="0"/>
              <w:jc w:val="center"/>
              <w:rPr>
                <w:color w:val="auto"/>
                <w:sz w:val="21"/>
                <w:szCs w:val="21"/>
                <w:highlight w:val="none"/>
                <w:lang w:val="zh-CN"/>
              </w:rPr>
            </w:pPr>
            <w:r>
              <w:rPr>
                <w:color w:val="auto"/>
                <w:sz w:val="21"/>
                <w:szCs w:val="21"/>
                <w:highlight w:val="none"/>
              </w:rPr>
              <w:t>45-225</w:t>
            </w:r>
          </w:p>
        </w:tc>
        <w:tc>
          <w:tcPr>
            <w:tcW w:w="833" w:type="pct"/>
            <w:tcBorders>
              <w:top w:val="single" w:color="auto" w:sz="4" w:space="0"/>
              <w:left w:val="single" w:color="auto" w:sz="4" w:space="0"/>
              <w:bottom w:val="single" w:color="auto" w:sz="4" w:space="0"/>
              <w:right w:val="single" w:color="auto" w:sz="4" w:space="0"/>
            </w:tcBorders>
            <w:noWrap/>
            <w:vAlign w:val="bottom"/>
          </w:tcPr>
          <w:p w14:paraId="42625F5D">
            <w:pPr>
              <w:widowControl/>
              <w:spacing w:line="240" w:lineRule="auto"/>
              <w:ind w:firstLine="0" w:firstLineChars="0"/>
              <w:jc w:val="center"/>
              <w:rPr>
                <w:color w:val="auto"/>
                <w:sz w:val="21"/>
                <w:szCs w:val="21"/>
                <w:highlight w:val="none"/>
                <w:lang w:val="zh-CN"/>
              </w:rPr>
            </w:pPr>
            <w:r>
              <w:rPr>
                <w:color w:val="auto"/>
                <w:sz w:val="21"/>
                <w:szCs w:val="21"/>
                <w:highlight w:val="none"/>
              </w:rPr>
              <w:t>十二月</w:t>
            </w:r>
          </w:p>
        </w:tc>
        <w:tc>
          <w:tcPr>
            <w:tcW w:w="833" w:type="pct"/>
            <w:tcBorders>
              <w:top w:val="single" w:color="auto" w:sz="4" w:space="0"/>
              <w:left w:val="single" w:color="auto" w:sz="4" w:space="0"/>
              <w:bottom w:val="single" w:color="auto" w:sz="4" w:space="0"/>
              <w:right w:val="single" w:color="auto" w:sz="4" w:space="0"/>
            </w:tcBorders>
            <w:noWrap/>
            <w:vAlign w:val="bottom"/>
          </w:tcPr>
          <w:p w14:paraId="52F14043">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.35</w:t>
            </w:r>
          </w:p>
        </w:tc>
        <w:tc>
          <w:tcPr>
            <w:tcW w:w="833" w:type="pct"/>
            <w:tcBorders>
              <w:top w:val="single" w:color="auto" w:sz="4" w:space="0"/>
              <w:left w:val="single" w:color="auto" w:sz="4" w:space="0"/>
              <w:bottom w:val="single" w:color="auto" w:sz="4" w:space="0"/>
              <w:right w:val="single" w:color="auto" w:sz="4" w:space="0"/>
            </w:tcBorders>
            <w:noWrap/>
            <w:vAlign w:val="bottom"/>
          </w:tcPr>
          <w:p w14:paraId="0C3B1D24">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.5</w:t>
            </w:r>
          </w:p>
        </w:tc>
        <w:tc>
          <w:tcPr>
            <w:tcW w:w="833" w:type="pct"/>
            <w:tcBorders>
              <w:top w:val="single" w:color="auto" w:sz="4" w:space="0"/>
              <w:left w:val="single" w:color="auto" w:sz="4" w:space="0"/>
              <w:bottom w:val="single" w:color="auto" w:sz="4" w:space="0"/>
              <w:right w:val="nil"/>
            </w:tcBorders>
            <w:noWrap/>
            <w:vAlign w:val="bottom"/>
          </w:tcPr>
          <w:p w14:paraId="52D9968A">
            <w:pPr>
              <w:widowControl/>
              <w:spacing w:line="240" w:lineRule="auto"/>
              <w:ind w:firstLine="0" w:firstLineChars="0"/>
              <w:jc w:val="center"/>
              <w:rPr>
                <w:color w:val="auto"/>
                <w:sz w:val="21"/>
                <w:szCs w:val="21"/>
                <w:highlight w:val="none"/>
                <w:lang w:val="zh-CN"/>
              </w:rPr>
            </w:pPr>
            <w:r>
              <w:rPr>
                <w:color w:val="auto"/>
                <w:sz w:val="21"/>
                <w:szCs w:val="21"/>
                <w:highlight w:val="none"/>
              </w:rPr>
              <w:t>1</w:t>
            </w:r>
          </w:p>
        </w:tc>
      </w:tr>
      <w:tr w14:paraId="400A357D">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4" w:space="0"/>
              <w:right w:val="single" w:color="auto" w:sz="4" w:space="0"/>
            </w:tcBorders>
            <w:noWrap/>
            <w:vAlign w:val="bottom"/>
          </w:tcPr>
          <w:p w14:paraId="0B7D6D71">
            <w:pPr>
              <w:widowControl/>
              <w:spacing w:line="240" w:lineRule="auto"/>
              <w:ind w:firstLine="0" w:firstLineChars="0"/>
              <w:jc w:val="center"/>
              <w:rPr>
                <w:color w:val="auto"/>
                <w:sz w:val="21"/>
                <w:szCs w:val="21"/>
                <w:highlight w:val="none"/>
                <w:lang w:val="zh-CN"/>
              </w:rPr>
            </w:pPr>
            <w:r>
              <w:rPr>
                <w:color w:val="auto"/>
                <w:sz w:val="21"/>
                <w:szCs w:val="21"/>
                <w:highlight w:val="none"/>
              </w:rPr>
              <w:t>13</w:t>
            </w:r>
          </w:p>
        </w:tc>
        <w:tc>
          <w:tcPr>
            <w:tcW w:w="1225" w:type="pct"/>
            <w:tcBorders>
              <w:top w:val="single" w:color="auto" w:sz="4" w:space="0"/>
              <w:left w:val="single" w:color="auto" w:sz="4" w:space="0"/>
              <w:bottom w:val="single" w:color="auto" w:sz="4" w:space="0"/>
              <w:right w:val="single" w:color="auto" w:sz="4" w:space="0"/>
            </w:tcBorders>
            <w:noWrap/>
            <w:vAlign w:val="bottom"/>
          </w:tcPr>
          <w:p w14:paraId="65DC4591">
            <w:pPr>
              <w:widowControl/>
              <w:spacing w:line="240" w:lineRule="auto"/>
              <w:ind w:firstLine="0" w:firstLineChars="0"/>
              <w:jc w:val="center"/>
              <w:rPr>
                <w:color w:val="auto"/>
                <w:sz w:val="21"/>
                <w:szCs w:val="21"/>
                <w:highlight w:val="none"/>
              </w:rPr>
            </w:pPr>
            <w:r>
              <w:rPr>
                <w:color w:val="auto"/>
                <w:sz w:val="21"/>
                <w:szCs w:val="21"/>
                <w:highlight w:val="none"/>
              </w:rPr>
              <w:t>225-45</w:t>
            </w:r>
          </w:p>
        </w:tc>
        <w:tc>
          <w:tcPr>
            <w:tcW w:w="833" w:type="pct"/>
            <w:tcBorders>
              <w:top w:val="single" w:color="auto" w:sz="4" w:space="0"/>
              <w:left w:val="single" w:color="auto" w:sz="4" w:space="0"/>
              <w:bottom w:val="single" w:color="auto" w:sz="4" w:space="0"/>
              <w:right w:val="single" w:color="auto" w:sz="4" w:space="0"/>
            </w:tcBorders>
            <w:noWrap/>
            <w:vAlign w:val="bottom"/>
          </w:tcPr>
          <w:p w14:paraId="4E65B5E3">
            <w:pPr>
              <w:widowControl/>
              <w:spacing w:line="240" w:lineRule="auto"/>
              <w:ind w:firstLine="0" w:firstLineChars="0"/>
              <w:jc w:val="center"/>
              <w:rPr>
                <w:color w:val="auto"/>
                <w:sz w:val="21"/>
                <w:szCs w:val="21"/>
                <w:highlight w:val="none"/>
                <w:lang w:val="zh-CN"/>
              </w:rPr>
            </w:pPr>
            <w:r>
              <w:rPr>
                <w:color w:val="auto"/>
                <w:sz w:val="21"/>
                <w:szCs w:val="21"/>
                <w:highlight w:val="none"/>
              </w:rPr>
              <w:t>一月</w:t>
            </w:r>
          </w:p>
        </w:tc>
        <w:tc>
          <w:tcPr>
            <w:tcW w:w="833" w:type="pct"/>
            <w:tcBorders>
              <w:top w:val="single" w:color="auto" w:sz="4" w:space="0"/>
              <w:left w:val="single" w:color="auto" w:sz="4" w:space="0"/>
              <w:bottom w:val="single" w:color="auto" w:sz="4" w:space="0"/>
              <w:right w:val="single" w:color="auto" w:sz="4" w:space="0"/>
            </w:tcBorders>
            <w:noWrap/>
            <w:vAlign w:val="bottom"/>
          </w:tcPr>
          <w:p w14:paraId="2EFF9E55">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.2</w:t>
            </w:r>
          </w:p>
        </w:tc>
        <w:tc>
          <w:tcPr>
            <w:tcW w:w="833" w:type="pct"/>
            <w:tcBorders>
              <w:top w:val="single" w:color="auto" w:sz="4" w:space="0"/>
              <w:left w:val="single" w:color="auto" w:sz="4" w:space="0"/>
              <w:bottom w:val="single" w:color="auto" w:sz="4" w:space="0"/>
              <w:right w:val="single" w:color="auto" w:sz="4" w:space="0"/>
            </w:tcBorders>
            <w:noWrap/>
            <w:vAlign w:val="bottom"/>
          </w:tcPr>
          <w:p w14:paraId="1F69E6B1">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.3</w:t>
            </w:r>
          </w:p>
        </w:tc>
        <w:tc>
          <w:tcPr>
            <w:tcW w:w="833" w:type="pct"/>
            <w:tcBorders>
              <w:top w:val="single" w:color="auto" w:sz="4" w:space="0"/>
              <w:left w:val="single" w:color="auto" w:sz="4" w:space="0"/>
              <w:bottom w:val="single" w:color="auto" w:sz="4" w:space="0"/>
              <w:right w:val="nil"/>
            </w:tcBorders>
            <w:noWrap/>
            <w:vAlign w:val="bottom"/>
          </w:tcPr>
          <w:p w14:paraId="3CC3D68A">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.0001</w:t>
            </w:r>
          </w:p>
        </w:tc>
      </w:tr>
      <w:tr w14:paraId="41A114E7">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4" w:space="0"/>
              <w:right w:val="single" w:color="auto" w:sz="4" w:space="0"/>
            </w:tcBorders>
            <w:noWrap/>
            <w:vAlign w:val="bottom"/>
          </w:tcPr>
          <w:p w14:paraId="62B2CF94">
            <w:pPr>
              <w:widowControl/>
              <w:spacing w:line="240" w:lineRule="auto"/>
              <w:ind w:firstLine="0" w:firstLineChars="0"/>
              <w:jc w:val="center"/>
              <w:rPr>
                <w:color w:val="auto"/>
                <w:sz w:val="21"/>
                <w:szCs w:val="21"/>
                <w:highlight w:val="none"/>
                <w:lang w:val="zh-CN"/>
              </w:rPr>
            </w:pPr>
            <w:r>
              <w:rPr>
                <w:color w:val="auto"/>
                <w:sz w:val="21"/>
                <w:szCs w:val="21"/>
                <w:highlight w:val="none"/>
              </w:rPr>
              <w:t>14</w:t>
            </w:r>
          </w:p>
        </w:tc>
        <w:tc>
          <w:tcPr>
            <w:tcW w:w="1225" w:type="pct"/>
            <w:tcBorders>
              <w:top w:val="single" w:color="auto" w:sz="4" w:space="0"/>
              <w:left w:val="single" w:color="auto" w:sz="4" w:space="0"/>
              <w:bottom w:val="single" w:color="auto" w:sz="4" w:space="0"/>
              <w:right w:val="single" w:color="auto" w:sz="4" w:space="0"/>
            </w:tcBorders>
            <w:noWrap/>
            <w:vAlign w:val="bottom"/>
          </w:tcPr>
          <w:p w14:paraId="00D25270">
            <w:pPr>
              <w:widowControl/>
              <w:spacing w:line="240" w:lineRule="auto"/>
              <w:ind w:firstLine="0" w:firstLineChars="0"/>
              <w:jc w:val="center"/>
              <w:rPr>
                <w:color w:val="auto"/>
                <w:sz w:val="21"/>
                <w:szCs w:val="21"/>
                <w:highlight w:val="none"/>
                <w:lang w:val="zh-CN"/>
              </w:rPr>
            </w:pPr>
            <w:r>
              <w:rPr>
                <w:color w:val="auto"/>
                <w:sz w:val="21"/>
                <w:szCs w:val="21"/>
                <w:highlight w:val="none"/>
              </w:rPr>
              <w:t>225-45</w:t>
            </w:r>
          </w:p>
        </w:tc>
        <w:tc>
          <w:tcPr>
            <w:tcW w:w="833" w:type="pct"/>
            <w:tcBorders>
              <w:top w:val="single" w:color="auto" w:sz="4" w:space="0"/>
              <w:left w:val="single" w:color="auto" w:sz="4" w:space="0"/>
              <w:bottom w:val="single" w:color="auto" w:sz="4" w:space="0"/>
              <w:right w:val="single" w:color="auto" w:sz="4" w:space="0"/>
            </w:tcBorders>
            <w:noWrap/>
            <w:vAlign w:val="bottom"/>
          </w:tcPr>
          <w:p w14:paraId="1FB134DB">
            <w:pPr>
              <w:widowControl/>
              <w:spacing w:line="240" w:lineRule="auto"/>
              <w:ind w:firstLine="0" w:firstLineChars="0"/>
              <w:jc w:val="center"/>
              <w:rPr>
                <w:color w:val="auto"/>
                <w:sz w:val="21"/>
                <w:szCs w:val="21"/>
                <w:highlight w:val="none"/>
                <w:lang w:val="zh-CN"/>
              </w:rPr>
            </w:pPr>
            <w:r>
              <w:rPr>
                <w:color w:val="auto"/>
                <w:sz w:val="21"/>
                <w:szCs w:val="21"/>
                <w:highlight w:val="none"/>
              </w:rPr>
              <w:t>二月</w:t>
            </w:r>
          </w:p>
        </w:tc>
        <w:tc>
          <w:tcPr>
            <w:tcW w:w="833" w:type="pct"/>
            <w:tcBorders>
              <w:top w:val="single" w:color="auto" w:sz="4" w:space="0"/>
              <w:left w:val="single" w:color="auto" w:sz="4" w:space="0"/>
              <w:bottom w:val="single" w:color="auto" w:sz="4" w:space="0"/>
              <w:right w:val="single" w:color="auto" w:sz="4" w:space="0"/>
            </w:tcBorders>
            <w:noWrap/>
            <w:vAlign w:val="bottom"/>
          </w:tcPr>
          <w:p w14:paraId="6C4588CD">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.2</w:t>
            </w:r>
          </w:p>
        </w:tc>
        <w:tc>
          <w:tcPr>
            <w:tcW w:w="833" w:type="pct"/>
            <w:tcBorders>
              <w:top w:val="single" w:color="auto" w:sz="4" w:space="0"/>
              <w:left w:val="single" w:color="auto" w:sz="4" w:space="0"/>
              <w:bottom w:val="single" w:color="auto" w:sz="4" w:space="0"/>
              <w:right w:val="single" w:color="auto" w:sz="4" w:space="0"/>
            </w:tcBorders>
            <w:noWrap/>
            <w:vAlign w:val="bottom"/>
          </w:tcPr>
          <w:p w14:paraId="429E249C">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.3</w:t>
            </w:r>
          </w:p>
        </w:tc>
        <w:tc>
          <w:tcPr>
            <w:tcW w:w="833" w:type="pct"/>
            <w:tcBorders>
              <w:top w:val="single" w:color="auto" w:sz="4" w:space="0"/>
              <w:left w:val="single" w:color="auto" w:sz="4" w:space="0"/>
              <w:bottom w:val="single" w:color="auto" w:sz="4" w:space="0"/>
              <w:right w:val="nil"/>
            </w:tcBorders>
            <w:noWrap/>
            <w:vAlign w:val="bottom"/>
          </w:tcPr>
          <w:p w14:paraId="47EF47C4">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.0001</w:t>
            </w:r>
          </w:p>
        </w:tc>
      </w:tr>
      <w:tr w14:paraId="2DABE302">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4" w:space="0"/>
              <w:right w:val="single" w:color="auto" w:sz="4" w:space="0"/>
            </w:tcBorders>
            <w:noWrap/>
            <w:vAlign w:val="bottom"/>
          </w:tcPr>
          <w:p w14:paraId="5BABAE91">
            <w:pPr>
              <w:widowControl/>
              <w:spacing w:line="240" w:lineRule="auto"/>
              <w:ind w:firstLine="0" w:firstLineChars="0"/>
              <w:jc w:val="center"/>
              <w:rPr>
                <w:color w:val="auto"/>
                <w:sz w:val="21"/>
                <w:szCs w:val="21"/>
                <w:highlight w:val="none"/>
                <w:lang w:val="zh-CN"/>
              </w:rPr>
            </w:pPr>
            <w:r>
              <w:rPr>
                <w:color w:val="auto"/>
                <w:sz w:val="21"/>
                <w:szCs w:val="21"/>
                <w:highlight w:val="none"/>
              </w:rPr>
              <w:t>15</w:t>
            </w:r>
          </w:p>
        </w:tc>
        <w:tc>
          <w:tcPr>
            <w:tcW w:w="1225" w:type="pct"/>
            <w:tcBorders>
              <w:top w:val="single" w:color="auto" w:sz="4" w:space="0"/>
              <w:left w:val="single" w:color="auto" w:sz="4" w:space="0"/>
              <w:bottom w:val="single" w:color="auto" w:sz="4" w:space="0"/>
              <w:right w:val="single" w:color="auto" w:sz="4" w:space="0"/>
            </w:tcBorders>
            <w:noWrap/>
            <w:vAlign w:val="bottom"/>
          </w:tcPr>
          <w:p w14:paraId="6454E9E8">
            <w:pPr>
              <w:widowControl/>
              <w:spacing w:line="240" w:lineRule="auto"/>
              <w:ind w:firstLine="0" w:firstLineChars="0"/>
              <w:jc w:val="center"/>
              <w:rPr>
                <w:color w:val="auto"/>
                <w:sz w:val="21"/>
                <w:szCs w:val="21"/>
                <w:highlight w:val="none"/>
                <w:lang w:val="zh-CN"/>
              </w:rPr>
            </w:pPr>
            <w:r>
              <w:rPr>
                <w:color w:val="auto"/>
                <w:sz w:val="21"/>
                <w:szCs w:val="21"/>
                <w:highlight w:val="none"/>
              </w:rPr>
              <w:t>225-45</w:t>
            </w:r>
          </w:p>
        </w:tc>
        <w:tc>
          <w:tcPr>
            <w:tcW w:w="833" w:type="pct"/>
            <w:tcBorders>
              <w:top w:val="single" w:color="auto" w:sz="4" w:space="0"/>
              <w:left w:val="single" w:color="auto" w:sz="4" w:space="0"/>
              <w:bottom w:val="single" w:color="auto" w:sz="4" w:space="0"/>
              <w:right w:val="single" w:color="auto" w:sz="4" w:space="0"/>
            </w:tcBorders>
            <w:noWrap/>
            <w:vAlign w:val="bottom"/>
          </w:tcPr>
          <w:p w14:paraId="289E6570">
            <w:pPr>
              <w:widowControl/>
              <w:spacing w:line="240" w:lineRule="auto"/>
              <w:ind w:firstLine="0" w:firstLineChars="0"/>
              <w:jc w:val="center"/>
              <w:rPr>
                <w:color w:val="auto"/>
                <w:sz w:val="21"/>
                <w:szCs w:val="21"/>
                <w:highlight w:val="none"/>
                <w:lang w:val="zh-CN"/>
              </w:rPr>
            </w:pPr>
            <w:r>
              <w:rPr>
                <w:color w:val="auto"/>
                <w:sz w:val="21"/>
                <w:szCs w:val="21"/>
                <w:highlight w:val="none"/>
              </w:rPr>
              <w:t>三月</w:t>
            </w:r>
          </w:p>
        </w:tc>
        <w:tc>
          <w:tcPr>
            <w:tcW w:w="833" w:type="pct"/>
            <w:tcBorders>
              <w:top w:val="single" w:color="auto" w:sz="4" w:space="0"/>
              <w:left w:val="single" w:color="auto" w:sz="4" w:space="0"/>
              <w:bottom w:val="single" w:color="auto" w:sz="4" w:space="0"/>
              <w:right w:val="single" w:color="auto" w:sz="4" w:space="0"/>
            </w:tcBorders>
            <w:noWrap/>
            <w:vAlign w:val="bottom"/>
          </w:tcPr>
          <w:p w14:paraId="5FA652B3">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.12</w:t>
            </w:r>
          </w:p>
        </w:tc>
        <w:tc>
          <w:tcPr>
            <w:tcW w:w="833" w:type="pct"/>
            <w:tcBorders>
              <w:top w:val="single" w:color="auto" w:sz="4" w:space="0"/>
              <w:left w:val="single" w:color="auto" w:sz="4" w:space="0"/>
              <w:bottom w:val="single" w:color="auto" w:sz="4" w:space="0"/>
              <w:right w:val="single" w:color="auto" w:sz="4" w:space="0"/>
            </w:tcBorders>
            <w:noWrap/>
            <w:vAlign w:val="bottom"/>
          </w:tcPr>
          <w:p w14:paraId="0ABF9524">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w:t>
            </w:r>
          </w:p>
        </w:tc>
        <w:tc>
          <w:tcPr>
            <w:tcW w:w="833" w:type="pct"/>
            <w:tcBorders>
              <w:top w:val="single" w:color="auto" w:sz="4" w:space="0"/>
              <w:left w:val="single" w:color="auto" w:sz="4" w:space="0"/>
              <w:bottom w:val="single" w:color="auto" w:sz="4" w:space="0"/>
              <w:right w:val="nil"/>
            </w:tcBorders>
            <w:noWrap/>
            <w:vAlign w:val="bottom"/>
          </w:tcPr>
          <w:p w14:paraId="72C94012">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.0001</w:t>
            </w:r>
          </w:p>
        </w:tc>
      </w:tr>
      <w:tr w14:paraId="443BE765">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4" w:space="0"/>
              <w:right w:val="single" w:color="auto" w:sz="4" w:space="0"/>
            </w:tcBorders>
            <w:noWrap/>
            <w:vAlign w:val="bottom"/>
          </w:tcPr>
          <w:p w14:paraId="36308FEE">
            <w:pPr>
              <w:widowControl/>
              <w:spacing w:line="240" w:lineRule="auto"/>
              <w:ind w:firstLine="0" w:firstLineChars="0"/>
              <w:jc w:val="center"/>
              <w:rPr>
                <w:color w:val="auto"/>
                <w:sz w:val="21"/>
                <w:szCs w:val="21"/>
                <w:highlight w:val="none"/>
                <w:lang w:val="zh-CN"/>
              </w:rPr>
            </w:pPr>
            <w:r>
              <w:rPr>
                <w:color w:val="auto"/>
                <w:sz w:val="21"/>
                <w:szCs w:val="21"/>
                <w:highlight w:val="none"/>
              </w:rPr>
              <w:t>16</w:t>
            </w:r>
          </w:p>
        </w:tc>
        <w:tc>
          <w:tcPr>
            <w:tcW w:w="1225" w:type="pct"/>
            <w:tcBorders>
              <w:top w:val="single" w:color="auto" w:sz="4" w:space="0"/>
              <w:left w:val="single" w:color="auto" w:sz="4" w:space="0"/>
              <w:bottom w:val="single" w:color="auto" w:sz="4" w:space="0"/>
              <w:right w:val="single" w:color="auto" w:sz="4" w:space="0"/>
            </w:tcBorders>
            <w:noWrap/>
            <w:vAlign w:val="bottom"/>
          </w:tcPr>
          <w:p w14:paraId="000E6CE4">
            <w:pPr>
              <w:widowControl/>
              <w:spacing w:line="240" w:lineRule="auto"/>
              <w:ind w:firstLine="0" w:firstLineChars="0"/>
              <w:jc w:val="center"/>
              <w:rPr>
                <w:color w:val="auto"/>
                <w:sz w:val="21"/>
                <w:szCs w:val="21"/>
                <w:highlight w:val="none"/>
                <w:lang w:val="zh-CN"/>
              </w:rPr>
            </w:pPr>
            <w:r>
              <w:rPr>
                <w:color w:val="auto"/>
                <w:sz w:val="21"/>
                <w:szCs w:val="21"/>
                <w:highlight w:val="none"/>
              </w:rPr>
              <w:t>225-45</w:t>
            </w:r>
          </w:p>
        </w:tc>
        <w:tc>
          <w:tcPr>
            <w:tcW w:w="833" w:type="pct"/>
            <w:tcBorders>
              <w:top w:val="single" w:color="auto" w:sz="4" w:space="0"/>
              <w:left w:val="single" w:color="auto" w:sz="4" w:space="0"/>
              <w:bottom w:val="single" w:color="auto" w:sz="4" w:space="0"/>
              <w:right w:val="single" w:color="auto" w:sz="4" w:space="0"/>
            </w:tcBorders>
            <w:noWrap/>
            <w:vAlign w:val="bottom"/>
          </w:tcPr>
          <w:p w14:paraId="4474089F">
            <w:pPr>
              <w:widowControl/>
              <w:spacing w:line="240" w:lineRule="auto"/>
              <w:ind w:firstLine="0" w:firstLineChars="0"/>
              <w:jc w:val="center"/>
              <w:rPr>
                <w:color w:val="auto"/>
                <w:sz w:val="21"/>
                <w:szCs w:val="21"/>
                <w:highlight w:val="none"/>
                <w:lang w:val="zh-CN"/>
              </w:rPr>
            </w:pPr>
            <w:r>
              <w:rPr>
                <w:color w:val="auto"/>
                <w:sz w:val="21"/>
                <w:szCs w:val="21"/>
                <w:highlight w:val="none"/>
              </w:rPr>
              <w:t>四月</w:t>
            </w:r>
          </w:p>
        </w:tc>
        <w:tc>
          <w:tcPr>
            <w:tcW w:w="833" w:type="pct"/>
            <w:tcBorders>
              <w:top w:val="single" w:color="auto" w:sz="4" w:space="0"/>
              <w:left w:val="single" w:color="auto" w:sz="4" w:space="0"/>
              <w:bottom w:val="single" w:color="auto" w:sz="4" w:space="0"/>
              <w:right w:val="single" w:color="auto" w:sz="4" w:space="0"/>
            </w:tcBorders>
            <w:noWrap/>
            <w:vAlign w:val="bottom"/>
          </w:tcPr>
          <w:p w14:paraId="327B9288">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.12</w:t>
            </w:r>
          </w:p>
        </w:tc>
        <w:tc>
          <w:tcPr>
            <w:tcW w:w="833" w:type="pct"/>
            <w:tcBorders>
              <w:top w:val="single" w:color="auto" w:sz="4" w:space="0"/>
              <w:left w:val="single" w:color="auto" w:sz="4" w:space="0"/>
              <w:bottom w:val="single" w:color="auto" w:sz="4" w:space="0"/>
              <w:right w:val="single" w:color="auto" w:sz="4" w:space="0"/>
            </w:tcBorders>
            <w:noWrap/>
            <w:vAlign w:val="bottom"/>
          </w:tcPr>
          <w:p w14:paraId="49B1398E">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w:t>
            </w:r>
          </w:p>
        </w:tc>
        <w:tc>
          <w:tcPr>
            <w:tcW w:w="833" w:type="pct"/>
            <w:tcBorders>
              <w:top w:val="single" w:color="auto" w:sz="4" w:space="0"/>
              <w:left w:val="single" w:color="auto" w:sz="4" w:space="0"/>
              <w:bottom w:val="single" w:color="auto" w:sz="4" w:space="0"/>
              <w:right w:val="nil"/>
            </w:tcBorders>
            <w:noWrap/>
            <w:vAlign w:val="bottom"/>
          </w:tcPr>
          <w:p w14:paraId="2EF9E7BC">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.0001</w:t>
            </w:r>
          </w:p>
        </w:tc>
      </w:tr>
      <w:tr w14:paraId="00CEF247">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4" w:space="0"/>
              <w:right w:val="single" w:color="auto" w:sz="4" w:space="0"/>
            </w:tcBorders>
            <w:noWrap/>
            <w:vAlign w:val="bottom"/>
          </w:tcPr>
          <w:p w14:paraId="4928EE33">
            <w:pPr>
              <w:widowControl/>
              <w:spacing w:line="240" w:lineRule="auto"/>
              <w:ind w:firstLine="0" w:firstLineChars="0"/>
              <w:jc w:val="center"/>
              <w:rPr>
                <w:color w:val="auto"/>
                <w:sz w:val="21"/>
                <w:szCs w:val="21"/>
                <w:highlight w:val="none"/>
                <w:lang w:val="zh-CN"/>
              </w:rPr>
            </w:pPr>
            <w:r>
              <w:rPr>
                <w:color w:val="auto"/>
                <w:sz w:val="21"/>
                <w:szCs w:val="21"/>
                <w:highlight w:val="none"/>
              </w:rPr>
              <w:t>17</w:t>
            </w:r>
          </w:p>
        </w:tc>
        <w:tc>
          <w:tcPr>
            <w:tcW w:w="1225" w:type="pct"/>
            <w:tcBorders>
              <w:top w:val="single" w:color="auto" w:sz="4" w:space="0"/>
              <w:left w:val="single" w:color="auto" w:sz="4" w:space="0"/>
              <w:bottom w:val="single" w:color="auto" w:sz="4" w:space="0"/>
              <w:right w:val="single" w:color="auto" w:sz="4" w:space="0"/>
            </w:tcBorders>
            <w:noWrap/>
            <w:vAlign w:val="bottom"/>
          </w:tcPr>
          <w:p w14:paraId="4246F291">
            <w:pPr>
              <w:widowControl/>
              <w:spacing w:line="240" w:lineRule="auto"/>
              <w:ind w:firstLine="0" w:firstLineChars="0"/>
              <w:jc w:val="center"/>
              <w:rPr>
                <w:color w:val="auto"/>
                <w:sz w:val="21"/>
                <w:szCs w:val="21"/>
                <w:highlight w:val="none"/>
                <w:lang w:val="zh-CN"/>
              </w:rPr>
            </w:pPr>
            <w:r>
              <w:rPr>
                <w:color w:val="auto"/>
                <w:sz w:val="21"/>
                <w:szCs w:val="21"/>
                <w:highlight w:val="none"/>
              </w:rPr>
              <w:t>225-45</w:t>
            </w:r>
          </w:p>
        </w:tc>
        <w:tc>
          <w:tcPr>
            <w:tcW w:w="833" w:type="pct"/>
            <w:tcBorders>
              <w:top w:val="single" w:color="auto" w:sz="4" w:space="0"/>
              <w:left w:val="single" w:color="auto" w:sz="4" w:space="0"/>
              <w:bottom w:val="single" w:color="auto" w:sz="4" w:space="0"/>
              <w:right w:val="single" w:color="auto" w:sz="4" w:space="0"/>
            </w:tcBorders>
            <w:noWrap/>
            <w:vAlign w:val="bottom"/>
          </w:tcPr>
          <w:p w14:paraId="36D48EED">
            <w:pPr>
              <w:widowControl/>
              <w:spacing w:line="240" w:lineRule="auto"/>
              <w:ind w:firstLine="0" w:firstLineChars="0"/>
              <w:jc w:val="center"/>
              <w:rPr>
                <w:color w:val="auto"/>
                <w:sz w:val="21"/>
                <w:szCs w:val="21"/>
                <w:highlight w:val="none"/>
                <w:lang w:val="zh-CN"/>
              </w:rPr>
            </w:pPr>
            <w:r>
              <w:rPr>
                <w:color w:val="auto"/>
                <w:sz w:val="21"/>
                <w:szCs w:val="21"/>
                <w:highlight w:val="none"/>
              </w:rPr>
              <w:t>五月</w:t>
            </w:r>
          </w:p>
        </w:tc>
        <w:tc>
          <w:tcPr>
            <w:tcW w:w="833" w:type="pct"/>
            <w:tcBorders>
              <w:top w:val="single" w:color="auto" w:sz="4" w:space="0"/>
              <w:left w:val="single" w:color="auto" w:sz="4" w:space="0"/>
              <w:bottom w:val="single" w:color="auto" w:sz="4" w:space="0"/>
              <w:right w:val="single" w:color="auto" w:sz="4" w:space="0"/>
            </w:tcBorders>
            <w:noWrap/>
            <w:vAlign w:val="bottom"/>
          </w:tcPr>
          <w:p w14:paraId="137BE34E">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.12</w:t>
            </w:r>
          </w:p>
        </w:tc>
        <w:tc>
          <w:tcPr>
            <w:tcW w:w="833" w:type="pct"/>
            <w:tcBorders>
              <w:top w:val="single" w:color="auto" w:sz="4" w:space="0"/>
              <w:left w:val="single" w:color="auto" w:sz="4" w:space="0"/>
              <w:bottom w:val="single" w:color="auto" w:sz="4" w:space="0"/>
              <w:right w:val="single" w:color="auto" w:sz="4" w:space="0"/>
            </w:tcBorders>
            <w:noWrap/>
            <w:vAlign w:val="bottom"/>
          </w:tcPr>
          <w:p w14:paraId="12CBEC93">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w:t>
            </w:r>
          </w:p>
        </w:tc>
        <w:tc>
          <w:tcPr>
            <w:tcW w:w="833" w:type="pct"/>
            <w:tcBorders>
              <w:top w:val="single" w:color="auto" w:sz="4" w:space="0"/>
              <w:left w:val="single" w:color="auto" w:sz="4" w:space="0"/>
              <w:bottom w:val="single" w:color="auto" w:sz="4" w:space="0"/>
              <w:right w:val="nil"/>
            </w:tcBorders>
            <w:noWrap/>
            <w:vAlign w:val="bottom"/>
          </w:tcPr>
          <w:p w14:paraId="343F7096">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.0001</w:t>
            </w:r>
          </w:p>
        </w:tc>
      </w:tr>
      <w:tr w14:paraId="26174428">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4" w:space="0"/>
              <w:right w:val="single" w:color="auto" w:sz="4" w:space="0"/>
            </w:tcBorders>
            <w:noWrap/>
            <w:vAlign w:val="bottom"/>
          </w:tcPr>
          <w:p w14:paraId="1E3141B8">
            <w:pPr>
              <w:widowControl/>
              <w:spacing w:line="240" w:lineRule="auto"/>
              <w:ind w:firstLine="0" w:firstLineChars="0"/>
              <w:jc w:val="center"/>
              <w:rPr>
                <w:color w:val="auto"/>
                <w:sz w:val="21"/>
                <w:szCs w:val="21"/>
                <w:highlight w:val="none"/>
                <w:lang w:val="zh-CN"/>
              </w:rPr>
            </w:pPr>
            <w:r>
              <w:rPr>
                <w:color w:val="auto"/>
                <w:sz w:val="21"/>
                <w:szCs w:val="21"/>
                <w:highlight w:val="none"/>
              </w:rPr>
              <w:t>18</w:t>
            </w:r>
          </w:p>
        </w:tc>
        <w:tc>
          <w:tcPr>
            <w:tcW w:w="1225" w:type="pct"/>
            <w:tcBorders>
              <w:top w:val="single" w:color="auto" w:sz="4" w:space="0"/>
              <w:left w:val="single" w:color="auto" w:sz="4" w:space="0"/>
              <w:bottom w:val="single" w:color="auto" w:sz="4" w:space="0"/>
              <w:right w:val="single" w:color="auto" w:sz="4" w:space="0"/>
            </w:tcBorders>
            <w:noWrap/>
            <w:vAlign w:val="bottom"/>
          </w:tcPr>
          <w:p w14:paraId="62B304F6">
            <w:pPr>
              <w:widowControl/>
              <w:spacing w:line="240" w:lineRule="auto"/>
              <w:ind w:firstLine="0" w:firstLineChars="0"/>
              <w:jc w:val="center"/>
              <w:rPr>
                <w:color w:val="auto"/>
                <w:sz w:val="21"/>
                <w:szCs w:val="21"/>
                <w:highlight w:val="none"/>
                <w:lang w:val="zh-CN"/>
              </w:rPr>
            </w:pPr>
            <w:r>
              <w:rPr>
                <w:color w:val="auto"/>
                <w:sz w:val="21"/>
                <w:szCs w:val="21"/>
                <w:highlight w:val="none"/>
              </w:rPr>
              <w:t>225-45</w:t>
            </w:r>
          </w:p>
        </w:tc>
        <w:tc>
          <w:tcPr>
            <w:tcW w:w="833" w:type="pct"/>
            <w:tcBorders>
              <w:top w:val="single" w:color="auto" w:sz="4" w:space="0"/>
              <w:left w:val="single" w:color="auto" w:sz="4" w:space="0"/>
              <w:bottom w:val="single" w:color="auto" w:sz="4" w:space="0"/>
              <w:right w:val="single" w:color="auto" w:sz="4" w:space="0"/>
            </w:tcBorders>
            <w:noWrap/>
            <w:vAlign w:val="bottom"/>
          </w:tcPr>
          <w:p w14:paraId="08D243E6">
            <w:pPr>
              <w:widowControl/>
              <w:spacing w:line="240" w:lineRule="auto"/>
              <w:ind w:firstLine="0" w:firstLineChars="0"/>
              <w:jc w:val="center"/>
              <w:rPr>
                <w:color w:val="auto"/>
                <w:sz w:val="21"/>
                <w:szCs w:val="21"/>
                <w:highlight w:val="none"/>
                <w:lang w:val="zh-CN"/>
              </w:rPr>
            </w:pPr>
            <w:r>
              <w:rPr>
                <w:color w:val="auto"/>
                <w:sz w:val="21"/>
                <w:szCs w:val="21"/>
                <w:highlight w:val="none"/>
              </w:rPr>
              <w:t>六月</w:t>
            </w:r>
          </w:p>
        </w:tc>
        <w:tc>
          <w:tcPr>
            <w:tcW w:w="833" w:type="pct"/>
            <w:tcBorders>
              <w:top w:val="single" w:color="auto" w:sz="4" w:space="0"/>
              <w:left w:val="single" w:color="auto" w:sz="4" w:space="0"/>
              <w:bottom w:val="single" w:color="auto" w:sz="4" w:space="0"/>
              <w:right w:val="single" w:color="auto" w:sz="4" w:space="0"/>
            </w:tcBorders>
            <w:noWrap/>
            <w:vAlign w:val="bottom"/>
          </w:tcPr>
          <w:p w14:paraId="0583875B">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w:t>
            </w:r>
          </w:p>
        </w:tc>
        <w:tc>
          <w:tcPr>
            <w:tcW w:w="833" w:type="pct"/>
            <w:tcBorders>
              <w:top w:val="single" w:color="auto" w:sz="4" w:space="0"/>
              <w:left w:val="single" w:color="auto" w:sz="4" w:space="0"/>
              <w:bottom w:val="single" w:color="auto" w:sz="4" w:space="0"/>
              <w:right w:val="single" w:color="auto" w:sz="4" w:space="0"/>
            </w:tcBorders>
            <w:noWrap/>
            <w:vAlign w:val="bottom"/>
          </w:tcPr>
          <w:p w14:paraId="21EC5566">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w:t>
            </w:r>
          </w:p>
        </w:tc>
        <w:tc>
          <w:tcPr>
            <w:tcW w:w="833" w:type="pct"/>
            <w:tcBorders>
              <w:top w:val="single" w:color="auto" w:sz="4" w:space="0"/>
              <w:left w:val="single" w:color="auto" w:sz="4" w:space="0"/>
              <w:bottom w:val="single" w:color="auto" w:sz="4" w:space="0"/>
              <w:right w:val="nil"/>
            </w:tcBorders>
            <w:noWrap/>
            <w:vAlign w:val="bottom"/>
          </w:tcPr>
          <w:p w14:paraId="0294EB65">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.0001</w:t>
            </w:r>
          </w:p>
        </w:tc>
      </w:tr>
      <w:tr w14:paraId="12A123D6">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4" w:space="0"/>
              <w:right w:val="single" w:color="auto" w:sz="4" w:space="0"/>
            </w:tcBorders>
            <w:noWrap/>
            <w:vAlign w:val="bottom"/>
          </w:tcPr>
          <w:p w14:paraId="659E6A6E">
            <w:pPr>
              <w:widowControl/>
              <w:spacing w:line="240" w:lineRule="auto"/>
              <w:ind w:firstLine="0" w:firstLineChars="0"/>
              <w:jc w:val="center"/>
              <w:rPr>
                <w:color w:val="auto"/>
                <w:sz w:val="21"/>
                <w:szCs w:val="21"/>
                <w:highlight w:val="none"/>
                <w:lang w:val="zh-CN"/>
              </w:rPr>
            </w:pPr>
            <w:r>
              <w:rPr>
                <w:color w:val="auto"/>
                <w:sz w:val="21"/>
                <w:szCs w:val="21"/>
                <w:highlight w:val="none"/>
              </w:rPr>
              <w:t>19</w:t>
            </w:r>
          </w:p>
        </w:tc>
        <w:tc>
          <w:tcPr>
            <w:tcW w:w="1225" w:type="pct"/>
            <w:tcBorders>
              <w:top w:val="single" w:color="auto" w:sz="4" w:space="0"/>
              <w:left w:val="single" w:color="auto" w:sz="4" w:space="0"/>
              <w:bottom w:val="single" w:color="auto" w:sz="4" w:space="0"/>
              <w:right w:val="single" w:color="auto" w:sz="4" w:space="0"/>
            </w:tcBorders>
            <w:noWrap/>
            <w:vAlign w:val="bottom"/>
          </w:tcPr>
          <w:p w14:paraId="0965DBC6">
            <w:pPr>
              <w:widowControl/>
              <w:spacing w:line="240" w:lineRule="auto"/>
              <w:ind w:firstLine="0" w:firstLineChars="0"/>
              <w:jc w:val="center"/>
              <w:rPr>
                <w:color w:val="auto"/>
                <w:sz w:val="21"/>
                <w:szCs w:val="21"/>
                <w:highlight w:val="none"/>
                <w:lang w:val="zh-CN"/>
              </w:rPr>
            </w:pPr>
            <w:r>
              <w:rPr>
                <w:color w:val="auto"/>
                <w:sz w:val="21"/>
                <w:szCs w:val="21"/>
                <w:highlight w:val="none"/>
              </w:rPr>
              <w:t>225-45</w:t>
            </w:r>
          </w:p>
        </w:tc>
        <w:tc>
          <w:tcPr>
            <w:tcW w:w="833" w:type="pct"/>
            <w:tcBorders>
              <w:top w:val="single" w:color="auto" w:sz="4" w:space="0"/>
              <w:left w:val="single" w:color="auto" w:sz="4" w:space="0"/>
              <w:bottom w:val="single" w:color="auto" w:sz="4" w:space="0"/>
              <w:right w:val="single" w:color="auto" w:sz="4" w:space="0"/>
            </w:tcBorders>
            <w:noWrap/>
            <w:vAlign w:val="bottom"/>
          </w:tcPr>
          <w:p w14:paraId="23ACFE4B">
            <w:pPr>
              <w:widowControl/>
              <w:spacing w:line="240" w:lineRule="auto"/>
              <w:ind w:firstLine="0" w:firstLineChars="0"/>
              <w:jc w:val="center"/>
              <w:rPr>
                <w:color w:val="auto"/>
                <w:sz w:val="21"/>
                <w:szCs w:val="21"/>
                <w:highlight w:val="none"/>
                <w:lang w:val="zh-CN"/>
              </w:rPr>
            </w:pPr>
            <w:r>
              <w:rPr>
                <w:color w:val="auto"/>
                <w:sz w:val="21"/>
                <w:szCs w:val="21"/>
                <w:highlight w:val="none"/>
              </w:rPr>
              <w:t>七月</w:t>
            </w:r>
          </w:p>
        </w:tc>
        <w:tc>
          <w:tcPr>
            <w:tcW w:w="833" w:type="pct"/>
            <w:tcBorders>
              <w:top w:val="single" w:color="auto" w:sz="4" w:space="0"/>
              <w:left w:val="single" w:color="auto" w:sz="4" w:space="0"/>
              <w:bottom w:val="single" w:color="auto" w:sz="4" w:space="0"/>
              <w:right w:val="single" w:color="auto" w:sz="4" w:space="0"/>
            </w:tcBorders>
            <w:noWrap/>
            <w:vAlign w:val="bottom"/>
          </w:tcPr>
          <w:p w14:paraId="3EA44209">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w:t>
            </w:r>
          </w:p>
        </w:tc>
        <w:tc>
          <w:tcPr>
            <w:tcW w:w="833" w:type="pct"/>
            <w:tcBorders>
              <w:top w:val="single" w:color="auto" w:sz="4" w:space="0"/>
              <w:left w:val="single" w:color="auto" w:sz="4" w:space="0"/>
              <w:bottom w:val="single" w:color="auto" w:sz="4" w:space="0"/>
              <w:right w:val="single" w:color="auto" w:sz="4" w:space="0"/>
            </w:tcBorders>
            <w:noWrap/>
            <w:vAlign w:val="bottom"/>
          </w:tcPr>
          <w:p w14:paraId="3E86355A">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w:t>
            </w:r>
          </w:p>
        </w:tc>
        <w:tc>
          <w:tcPr>
            <w:tcW w:w="833" w:type="pct"/>
            <w:tcBorders>
              <w:top w:val="single" w:color="auto" w:sz="4" w:space="0"/>
              <w:left w:val="single" w:color="auto" w:sz="4" w:space="0"/>
              <w:bottom w:val="single" w:color="auto" w:sz="4" w:space="0"/>
              <w:right w:val="nil"/>
            </w:tcBorders>
            <w:noWrap/>
            <w:vAlign w:val="bottom"/>
          </w:tcPr>
          <w:p w14:paraId="3DB98E9E">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.0001</w:t>
            </w:r>
          </w:p>
        </w:tc>
      </w:tr>
      <w:tr w14:paraId="4A169762">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4" w:space="0"/>
              <w:right w:val="single" w:color="auto" w:sz="4" w:space="0"/>
            </w:tcBorders>
            <w:noWrap/>
            <w:vAlign w:val="bottom"/>
          </w:tcPr>
          <w:p w14:paraId="4AE87373">
            <w:pPr>
              <w:widowControl/>
              <w:spacing w:line="240" w:lineRule="auto"/>
              <w:ind w:firstLine="0" w:firstLineChars="0"/>
              <w:jc w:val="center"/>
              <w:rPr>
                <w:color w:val="auto"/>
                <w:sz w:val="21"/>
                <w:szCs w:val="21"/>
                <w:highlight w:val="none"/>
                <w:lang w:val="zh-CN"/>
              </w:rPr>
            </w:pPr>
            <w:r>
              <w:rPr>
                <w:color w:val="auto"/>
                <w:sz w:val="21"/>
                <w:szCs w:val="21"/>
                <w:highlight w:val="none"/>
              </w:rPr>
              <w:t>20</w:t>
            </w:r>
          </w:p>
        </w:tc>
        <w:tc>
          <w:tcPr>
            <w:tcW w:w="1225" w:type="pct"/>
            <w:tcBorders>
              <w:top w:val="single" w:color="auto" w:sz="4" w:space="0"/>
              <w:left w:val="single" w:color="auto" w:sz="4" w:space="0"/>
              <w:bottom w:val="single" w:color="auto" w:sz="4" w:space="0"/>
              <w:right w:val="single" w:color="auto" w:sz="4" w:space="0"/>
            </w:tcBorders>
            <w:noWrap/>
            <w:vAlign w:val="bottom"/>
          </w:tcPr>
          <w:p w14:paraId="52A1F125">
            <w:pPr>
              <w:widowControl/>
              <w:spacing w:line="240" w:lineRule="auto"/>
              <w:ind w:firstLine="0" w:firstLineChars="0"/>
              <w:jc w:val="center"/>
              <w:rPr>
                <w:color w:val="auto"/>
                <w:sz w:val="21"/>
                <w:szCs w:val="21"/>
                <w:highlight w:val="none"/>
                <w:lang w:val="zh-CN"/>
              </w:rPr>
            </w:pPr>
            <w:r>
              <w:rPr>
                <w:color w:val="auto"/>
                <w:sz w:val="21"/>
                <w:szCs w:val="21"/>
                <w:highlight w:val="none"/>
              </w:rPr>
              <w:t>225-45</w:t>
            </w:r>
          </w:p>
        </w:tc>
        <w:tc>
          <w:tcPr>
            <w:tcW w:w="833" w:type="pct"/>
            <w:tcBorders>
              <w:top w:val="single" w:color="auto" w:sz="4" w:space="0"/>
              <w:left w:val="single" w:color="auto" w:sz="4" w:space="0"/>
              <w:bottom w:val="single" w:color="auto" w:sz="4" w:space="0"/>
              <w:right w:val="single" w:color="auto" w:sz="4" w:space="0"/>
            </w:tcBorders>
            <w:noWrap/>
            <w:vAlign w:val="bottom"/>
          </w:tcPr>
          <w:p w14:paraId="29AD07A3">
            <w:pPr>
              <w:widowControl/>
              <w:spacing w:line="240" w:lineRule="auto"/>
              <w:ind w:firstLine="0" w:firstLineChars="0"/>
              <w:jc w:val="center"/>
              <w:rPr>
                <w:color w:val="auto"/>
                <w:sz w:val="21"/>
                <w:szCs w:val="21"/>
                <w:highlight w:val="none"/>
                <w:lang w:val="zh-CN"/>
              </w:rPr>
            </w:pPr>
            <w:r>
              <w:rPr>
                <w:color w:val="auto"/>
                <w:sz w:val="21"/>
                <w:szCs w:val="21"/>
                <w:highlight w:val="none"/>
              </w:rPr>
              <w:t>八月</w:t>
            </w:r>
          </w:p>
        </w:tc>
        <w:tc>
          <w:tcPr>
            <w:tcW w:w="833" w:type="pct"/>
            <w:tcBorders>
              <w:top w:val="single" w:color="auto" w:sz="4" w:space="0"/>
              <w:left w:val="single" w:color="auto" w:sz="4" w:space="0"/>
              <w:bottom w:val="single" w:color="auto" w:sz="4" w:space="0"/>
              <w:right w:val="single" w:color="auto" w:sz="4" w:space="0"/>
            </w:tcBorders>
            <w:noWrap/>
            <w:vAlign w:val="bottom"/>
          </w:tcPr>
          <w:p w14:paraId="6E0AC0F8">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w:t>
            </w:r>
          </w:p>
        </w:tc>
        <w:tc>
          <w:tcPr>
            <w:tcW w:w="833" w:type="pct"/>
            <w:tcBorders>
              <w:top w:val="single" w:color="auto" w:sz="4" w:space="0"/>
              <w:left w:val="single" w:color="auto" w:sz="4" w:space="0"/>
              <w:bottom w:val="single" w:color="auto" w:sz="4" w:space="0"/>
              <w:right w:val="single" w:color="auto" w:sz="4" w:space="0"/>
            </w:tcBorders>
            <w:noWrap/>
            <w:vAlign w:val="bottom"/>
          </w:tcPr>
          <w:p w14:paraId="2D99D23F">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w:t>
            </w:r>
          </w:p>
        </w:tc>
        <w:tc>
          <w:tcPr>
            <w:tcW w:w="833" w:type="pct"/>
            <w:tcBorders>
              <w:top w:val="single" w:color="auto" w:sz="4" w:space="0"/>
              <w:left w:val="single" w:color="auto" w:sz="4" w:space="0"/>
              <w:bottom w:val="single" w:color="auto" w:sz="4" w:space="0"/>
              <w:right w:val="nil"/>
            </w:tcBorders>
            <w:noWrap/>
            <w:vAlign w:val="bottom"/>
          </w:tcPr>
          <w:p w14:paraId="012380F3">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.0001</w:t>
            </w:r>
          </w:p>
        </w:tc>
      </w:tr>
      <w:tr w14:paraId="7929A959">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4" w:space="0"/>
              <w:right w:val="single" w:color="auto" w:sz="4" w:space="0"/>
            </w:tcBorders>
            <w:noWrap/>
            <w:vAlign w:val="bottom"/>
          </w:tcPr>
          <w:p w14:paraId="5FBA71C7">
            <w:pPr>
              <w:widowControl/>
              <w:spacing w:line="240" w:lineRule="auto"/>
              <w:ind w:firstLine="0" w:firstLineChars="0"/>
              <w:jc w:val="center"/>
              <w:rPr>
                <w:color w:val="auto"/>
                <w:sz w:val="21"/>
                <w:szCs w:val="21"/>
                <w:highlight w:val="none"/>
                <w:lang w:val="zh-CN"/>
              </w:rPr>
            </w:pPr>
            <w:r>
              <w:rPr>
                <w:color w:val="auto"/>
                <w:sz w:val="21"/>
                <w:szCs w:val="21"/>
                <w:highlight w:val="none"/>
              </w:rPr>
              <w:t>21</w:t>
            </w:r>
          </w:p>
        </w:tc>
        <w:tc>
          <w:tcPr>
            <w:tcW w:w="1225" w:type="pct"/>
            <w:tcBorders>
              <w:top w:val="single" w:color="auto" w:sz="4" w:space="0"/>
              <w:left w:val="single" w:color="auto" w:sz="4" w:space="0"/>
              <w:bottom w:val="single" w:color="auto" w:sz="4" w:space="0"/>
              <w:right w:val="single" w:color="auto" w:sz="4" w:space="0"/>
            </w:tcBorders>
            <w:noWrap/>
            <w:vAlign w:val="bottom"/>
          </w:tcPr>
          <w:p w14:paraId="0EABC92C">
            <w:pPr>
              <w:widowControl/>
              <w:spacing w:line="240" w:lineRule="auto"/>
              <w:ind w:firstLine="0" w:firstLineChars="0"/>
              <w:jc w:val="center"/>
              <w:rPr>
                <w:color w:val="auto"/>
                <w:sz w:val="21"/>
                <w:szCs w:val="21"/>
                <w:highlight w:val="none"/>
                <w:lang w:val="zh-CN"/>
              </w:rPr>
            </w:pPr>
            <w:r>
              <w:rPr>
                <w:color w:val="auto"/>
                <w:sz w:val="21"/>
                <w:szCs w:val="21"/>
                <w:highlight w:val="none"/>
              </w:rPr>
              <w:t>225-45</w:t>
            </w:r>
          </w:p>
        </w:tc>
        <w:tc>
          <w:tcPr>
            <w:tcW w:w="833" w:type="pct"/>
            <w:tcBorders>
              <w:top w:val="single" w:color="auto" w:sz="4" w:space="0"/>
              <w:left w:val="single" w:color="auto" w:sz="4" w:space="0"/>
              <w:bottom w:val="single" w:color="auto" w:sz="4" w:space="0"/>
              <w:right w:val="single" w:color="auto" w:sz="4" w:space="0"/>
            </w:tcBorders>
            <w:noWrap/>
            <w:vAlign w:val="bottom"/>
          </w:tcPr>
          <w:p w14:paraId="6F514358">
            <w:pPr>
              <w:widowControl/>
              <w:spacing w:line="240" w:lineRule="auto"/>
              <w:ind w:firstLine="0" w:firstLineChars="0"/>
              <w:jc w:val="center"/>
              <w:rPr>
                <w:color w:val="auto"/>
                <w:sz w:val="21"/>
                <w:szCs w:val="21"/>
                <w:highlight w:val="none"/>
                <w:lang w:val="zh-CN"/>
              </w:rPr>
            </w:pPr>
            <w:r>
              <w:rPr>
                <w:color w:val="auto"/>
                <w:sz w:val="21"/>
                <w:szCs w:val="21"/>
                <w:highlight w:val="none"/>
              </w:rPr>
              <w:t>九月</w:t>
            </w:r>
          </w:p>
        </w:tc>
        <w:tc>
          <w:tcPr>
            <w:tcW w:w="833" w:type="pct"/>
            <w:tcBorders>
              <w:top w:val="single" w:color="auto" w:sz="4" w:space="0"/>
              <w:left w:val="single" w:color="auto" w:sz="4" w:space="0"/>
              <w:bottom w:val="single" w:color="auto" w:sz="4" w:space="0"/>
              <w:right w:val="single" w:color="auto" w:sz="4" w:space="0"/>
            </w:tcBorders>
            <w:noWrap/>
            <w:vAlign w:val="bottom"/>
          </w:tcPr>
          <w:p w14:paraId="1B91872C">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.14</w:t>
            </w:r>
          </w:p>
        </w:tc>
        <w:tc>
          <w:tcPr>
            <w:tcW w:w="833" w:type="pct"/>
            <w:tcBorders>
              <w:top w:val="single" w:color="auto" w:sz="4" w:space="0"/>
              <w:left w:val="single" w:color="auto" w:sz="4" w:space="0"/>
              <w:bottom w:val="single" w:color="auto" w:sz="4" w:space="0"/>
              <w:right w:val="single" w:color="auto" w:sz="4" w:space="0"/>
            </w:tcBorders>
            <w:noWrap/>
            <w:vAlign w:val="bottom"/>
          </w:tcPr>
          <w:p w14:paraId="38FB74BB">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w:t>
            </w:r>
          </w:p>
        </w:tc>
        <w:tc>
          <w:tcPr>
            <w:tcW w:w="833" w:type="pct"/>
            <w:tcBorders>
              <w:top w:val="single" w:color="auto" w:sz="4" w:space="0"/>
              <w:left w:val="single" w:color="auto" w:sz="4" w:space="0"/>
              <w:bottom w:val="single" w:color="auto" w:sz="4" w:space="0"/>
              <w:right w:val="nil"/>
            </w:tcBorders>
            <w:noWrap/>
            <w:vAlign w:val="bottom"/>
          </w:tcPr>
          <w:p w14:paraId="21BA0A4B">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.0001</w:t>
            </w:r>
          </w:p>
        </w:tc>
      </w:tr>
      <w:tr w14:paraId="289E4C5C">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4" w:space="0"/>
              <w:right w:val="single" w:color="auto" w:sz="4" w:space="0"/>
            </w:tcBorders>
            <w:noWrap/>
            <w:vAlign w:val="bottom"/>
          </w:tcPr>
          <w:p w14:paraId="4E52ADD2">
            <w:pPr>
              <w:widowControl/>
              <w:spacing w:line="240" w:lineRule="auto"/>
              <w:ind w:firstLine="0" w:firstLineChars="0"/>
              <w:jc w:val="center"/>
              <w:rPr>
                <w:color w:val="auto"/>
                <w:sz w:val="21"/>
                <w:szCs w:val="21"/>
                <w:highlight w:val="none"/>
                <w:lang w:val="zh-CN"/>
              </w:rPr>
            </w:pPr>
            <w:r>
              <w:rPr>
                <w:color w:val="auto"/>
                <w:sz w:val="21"/>
                <w:szCs w:val="21"/>
                <w:highlight w:val="none"/>
              </w:rPr>
              <w:t>22</w:t>
            </w:r>
          </w:p>
        </w:tc>
        <w:tc>
          <w:tcPr>
            <w:tcW w:w="1225" w:type="pct"/>
            <w:tcBorders>
              <w:top w:val="single" w:color="auto" w:sz="4" w:space="0"/>
              <w:left w:val="single" w:color="auto" w:sz="4" w:space="0"/>
              <w:bottom w:val="single" w:color="auto" w:sz="4" w:space="0"/>
              <w:right w:val="single" w:color="auto" w:sz="4" w:space="0"/>
            </w:tcBorders>
            <w:noWrap/>
            <w:vAlign w:val="bottom"/>
          </w:tcPr>
          <w:p w14:paraId="54E3401B">
            <w:pPr>
              <w:widowControl/>
              <w:spacing w:line="240" w:lineRule="auto"/>
              <w:ind w:firstLine="0" w:firstLineChars="0"/>
              <w:jc w:val="center"/>
              <w:rPr>
                <w:color w:val="auto"/>
                <w:sz w:val="21"/>
                <w:szCs w:val="21"/>
                <w:highlight w:val="none"/>
                <w:lang w:val="zh-CN"/>
              </w:rPr>
            </w:pPr>
            <w:r>
              <w:rPr>
                <w:color w:val="auto"/>
                <w:sz w:val="21"/>
                <w:szCs w:val="21"/>
                <w:highlight w:val="none"/>
              </w:rPr>
              <w:t>225-45</w:t>
            </w:r>
          </w:p>
        </w:tc>
        <w:tc>
          <w:tcPr>
            <w:tcW w:w="833" w:type="pct"/>
            <w:tcBorders>
              <w:top w:val="single" w:color="auto" w:sz="4" w:space="0"/>
              <w:left w:val="single" w:color="auto" w:sz="4" w:space="0"/>
              <w:bottom w:val="single" w:color="auto" w:sz="4" w:space="0"/>
              <w:right w:val="single" w:color="auto" w:sz="4" w:space="0"/>
            </w:tcBorders>
            <w:noWrap/>
            <w:vAlign w:val="bottom"/>
          </w:tcPr>
          <w:p w14:paraId="2D1F3E73">
            <w:pPr>
              <w:widowControl/>
              <w:spacing w:line="240" w:lineRule="auto"/>
              <w:ind w:firstLine="0" w:firstLineChars="0"/>
              <w:jc w:val="center"/>
              <w:rPr>
                <w:color w:val="auto"/>
                <w:sz w:val="21"/>
                <w:szCs w:val="21"/>
                <w:highlight w:val="none"/>
                <w:lang w:val="zh-CN"/>
              </w:rPr>
            </w:pPr>
            <w:r>
              <w:rPr>
                <w:color w:val="auto"/>
                <w:sz w:val="21"/>
                <w:szCs w:val="21"/>
                <w:highlight w:val="none"/>
              </w:rPr>
              <w:t>十月</w:t>
            </w:r>
          </w:p>
        </w:tc>
        <w:tc>
          <w:tcPr>
            <w:tcW w:w="833" w:type="pct"/>
            <w:tcBorders>
              <w:top w:val="single" w:color="auto" w:sz="4" w:space="0"/>
              <w:left w:val="single" w:color="auto" w:sz="4" w:space="0"/>
              <w:bottom w:val="single" w:color="auto" w:sz="4" w:space="0"/>
              <w:right w:val="single" w:color="auto" w:sz="4" w:space="0"/>
            </w:tcBorders>
            <w:noWrap/>
            <w:vAlign w:val="bottom"/>
          </w:tcPr>
          <w:p w14:paraId="22AB982C">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.14</w:t>
            </w:r>
          </w:p>
        </w:tc>
        <w:tc>
          <w:tcPr>
            <w:tcW w:w="833" w:type="pct"/>
            <w:tcBorders>
              <w:top w:val="single" w:color="auto" w:sz="4" w:space="0"/>
              <w:left w:val="single" w:color="auto" w:sz="4" w:space="0"/>
              <w:bottom w:val="single" w:color="auto" w:sz="4" w:space="0"/>
              <w:right w:val="single" w:color="auto" w:sz="4" w:space="0"/>
            </w:tcBorders>
            <w:noWrap/>
            <w:vAlign w:val="bottom"/>
          </w:tcPr>
          <w:p w14:paraId="2BF99405">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w:t>
            </w:r>
          </w:p>
        </w:tc>
        <w:tc>
          <w:tcPr>
            <w:tcW w:w="833" w:type="pct"/>
            <w:tcBorders>
              <w:top w:val="single" w:color="auto" w:sz="4" w:space="0"/>
              <w:left w:val="single" w:color="auto" w:sz="4" w:space="0"/>
              <w:bottom w:val="single" w:color="auto" w:sz="4" w:space="0"/>
              <w:right w:val="nil"/>
            </w:tcBorders>
            <w:noWrap/>
            <w:vAlign w:val="bottom"/>
          </w:tcPr>
          <w:p w14:paraId="20B05AF6">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.0001</w:t>
            </w:r>
          </w:p>
        </w:tc>
      </w:tr>
      <w:tr w14:paraId="46531A5C">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4" w:space="0"/>
              <w:right w:val="single" w:color="auto" w:sz="4" w:space="0"/>
            </w:tcBorders>
            <w:noWrap/>
            <w:vAlign w:val="bottom"/>
          </w:tcPr>
          <w:p w14:paraId="5BE439B7">
            <w:pPr>
              <w:widowControl/>
              <w:spacing w:line="240" w:lineRule="auto"/>
              <w:ind w:firstLine="0" w:firstLineChars="0"/>
              <w:jc w:val="center"/>
              <w:rPr>
                <w:color w:val="auto"/>
                <w:sz w:val="21"/>
                <w:szCs w:val="21"/>
                <w:highlight w:val="none"/>
                <w:lang w:val="zh-CN"/>
              </w:rPr>
            </w:pPr>
            <w:r>
              <w:rPr>
                <w:color w:val="auto"/>
                <w:sz w:val="21"/>
                <w:szCs w:val="21"/>
                <w:highlight w:val="none"/>
              </w:rPr>
              <w:t>23</w:t>
            </w:r>
          </w:p>
        </w:tc>
        <w:tc>
          <w:tcPr>
            <w:tcW w:w="1225" w:type="pct"/>
            <w:tcBorders>
              <w:top w:val="single" w:color="auto" w:sz="4" w:space="0"/>
              <w:left w:val="single" w:color="auto" w:sz="4" w:space="0"/>
              <w:bottom w:val="single" w:color="auto" w:sz="4" w:space="0"/>
              <w:right w:val="single" w:color="auto" w:sz="4" w:space="0"/>
            </w:tcBorders>
            <w:noWrap/>
            <w:vAlign w:val="bottom"/>
          </w:tcPr>
          <w:p w14:paraId="5D870895">
            <w:pPr>
              <w:widowControl/>
              <w:spacing w:line="240" w:lineRule="auto"/>
              <w:ind w:firstLine="0" w:firstLineChars="0"/>
              <w:jc w:val="center"/>
              <w:rPr>
                <w:color w:val="auto"/>
                <w:sz w:val="21"/>
                <w:szCs w:val="21"/>
                <w:highlight w:val="none"/>
                <w:lang w:val="zh-CN"/>
              </w:rPr>
            </w:pPr>
            <w:r>
              <w:rPr>
                <w:color w:val="auto"/>
                <w:sz w:val="21"/>
                <w:szCs w:val="21"/>
                <w:highlight w:val="none"/>
              </w:rPr>
              <w:t>225-45</w:t>
            </w:r>
          </w:p>
        </w:tc>
        <w:tc>
          <w:tcPr>
            <w:tcW w:w="833" w:type="pct"/>
            <w:tcBorders>
              <w:top w:val="single" w:color="auto" w:sz="4" w:space="0"/>
              <w:left w:val="single" w:color="auto" w:sz="4" w:space="0"/>
              <w:bottom w:val="single" w:color="auto" w:sz="4" w:space="0"/>
              <w:right w:val="single" w:color="auto" w:sz="4" w:space="0"/>
            </w:tcBorders>
            <w:noWrap/>
            <w:vAlign w:val="bottom"/>
          </w:tcPr>
          <w:p w14:paraId="20611393">
            <w:pPr>
              <w:widowControl/>
              <w:spacing w:line="240" w:lineRule="auto"/>
              <w:ind w:firstLine="0" w:firstLineChars="0"/>
              <w:jc w:val="center"/>
              <w:rPr>
                <w:color w:val="auto"/>
                <w:sz w:val="21"/>
                <w:szCs w:val="21"/>
                <w:highlight w:val="none"/>
                <w:lang w:val="zh-CN"/>
              </w:rPr>
            </w:pPr>
            <w:r>
              <w:rPr>
                <w:color w:val="auto"/>
                <w:sz w:val="21"/>
                <w:szCs w:val="21"/>
                <w:highlight w:val="none"/>
              </w:rPr>
              <w:t>十一月</w:t>
            </w:r>
          </w:p>
        </w:tc>
        <w:tc>
          <w:tcPr>
            <w:tcW w:w="833" w:type="pct"/>
            <w:tcBorders>
              <w:top w:val="single" w:color="auto" w:sz="4" w:space="0"/>
              <w:left w:val="single" w:color="auto" w:sz="4" w:space="0"/>
              <w:bottom w:val="single" w:color="auto" w:sz="4" w:space="0"/>
              <w:right w:val="single" w:color="auto" w:sz="4" w:space="0"/>
            </w:tcBorders>
            <w:noWrap/>
            <w:vAlign w:val="bottom"/>
          </w:tcPr>
          <w:p w14:paraId="4738A0E7">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.14</w:t>
            </w:r>
          </w:p>
        </w:tc>
        <w:tc>
          <w:tcPr>
            <w:tcW w:w="833" w:type="pct"/>
            <w:tcBorders>
              <w:top w:val="single" w:color="auto" w:sz="4" w:space="0"/>
              <w:left w:val="single" w:color="auto" w:sz="4" w:space="0"/>
              <w:bottom w:val="single" w:color="auto" w:sz="4" w:space="0"/>
              <w:right w:val="single" w:color="auto" w:sz="4" w:space="0"/>
            </w:tcBorders>
            <w:noWrap/>
            <w:vAlign w:val="bottom"/>
          </w:tcPr>
          <w:p w14:paraId="6281A817">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.1</w:t>
            </w:r>
          </w:p>
        </w:tc>
        <w:tc>
          <w:tcPr>
            <w:tcW w:w="833" w:type="pct"/>
            <w:tcBorders>
              <w:top w:val="single" w:color="auto" w:sz="4" w:space="0"/>
              <w:left w:val="single" w:color="auto" w:sz="4" w:space="0"/>
              <w:bottom w:val="single" w:color="auto" w:sz="4" w:space="0"/>
              <w:right w:val="nil"/>
            </w:tcBorders>
            <w:noWrap/>
            <w:vAlign w:val="bottom"/>
          </w:tcPr>
          <w:p w14:paraId="231A62F5">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.0001</w:t>
            </w:r>
          </w:p>
        </w:tc>
      </w:tr>
      <w:tr w14:paraId="52239569">
        <w:tblPrEx>
          <w:tblCellMar>
            <w:top w:w="0" w:type="dxa"/>
            <w:left w:w="108" w:type="dxa"/>
            <w:bottom w:w="0" w:type="dxa"/>
            <w:right w:w="108" w:type="dxa"/>
          </w:tblCellMar>
        </w:tblPrEx>
        <w:trPr>
          <w:trHeight w:val="340" w:hRule="atLeast"/>
        </w:trPr>
        <w:tc>
          <w:tcPr>
            <w:tcW w:w="440" w:type="pct"/>
            <w:tcBorders>
              <w:top w:val="single" w:color="auto" w:sz="4" w:space="0"/>
              <w:left w:val="nil"/>
              <w:bottom w:val="single" w:color="auto" w:sz="12" w:space="0"/>
              <w:right w:val="single" w:color="auto" w:sz="4" w:space="0"/>
            </w:tcBorders>
            <w:noWrap/>
            <w:vAlign w:val="bottom"/>
          </w:tcPr>
          <w:p w14:paraId="7D270E97">
            <w:pPr>
              <w:widowControl/>
              <w:spacing w:line="240" w:lineRule="auto"/>
              <w:ind w:firstLine="0" w:firstLineChars="0"/>
              <w:jc w:val="center"/>
              <w:rPr>
                <w:color w:val="auto"/>
                <w:sz w:val="21"/>
                <w:szCs w:val="21"/>
                <w:highlight w:val="none"/>
                <w:lang w:val="zh-CN"/>
              </w:rPr>
            </w:pPr>
            <w:r>
              <w:rPr>
                <w:color w:val="auto"/>
                <w:sz w:val="21"/>
                <w:szCs w:val="21"/>
                <w:highlight w:val="none"/>
              </w:rPr>
              <w:t>24</w:t>
            </w:r>
          </w:p>
        </w:tc>
        <w:tc>
          <w:tcPr>
            <w:tcW w:w="1225" w:type="pct"/>
            <w:tcBorders>
              <w:top w:val="single" w:color="auto" w:sz="4" w:space="0"/>
              <w:left w:val="single" w:color="auto" w:sz="4" w:space="0"/>
              <w:bottom w:val="single" w:color="auto" w:sz="12" w:space="0"/>
              <w:right w:val="single" w:color="auto" w:sz="4" w:space="0"/>
            </w:tcBorders>
            <w:noWrap/>
            <w:vAlign w:val="bottom"/>
          </w:tcPr>
          <w:p w14:paraId="5E67A885">
            <w:pPr>
              <w:widowControl/>
              <w:spacing w:line="240" w:lineRule="auto"/>
              <w:ind w:firstLine="0" w:firstLineChars="0"/>
              <w:jc w:val="center"/>
              <w:rPr>
                <w:color w:val="auto"/>
                <w:sz w:val="21"/>
                <w:szCs w:val="21"/>
                <w:highlight w:val="none"/>
                <w:lang w:val="zh-CN"/>
              </w:rPr>
            </w:pPr>
            <w:r>
              <w:rPr>
                <w:color w:val="auto"/>
                <w:sz w:val="21"/>
                <w:szCs w:val="21"/>
                <w:highlight w:val="none"/>
              </w:rPr>
              <w:t>225-45</w:t>
            </w:r>
          </w:p>
        </w:tc>
        <w:tc>
          <w:tcPr>
            <w:tcW w:w="833" w:type="pct"/>
            <w:tcBorders>
              <w:top w:val="single" w:color="auto" w:sz="4" w:space="0"/>
              <w:left w:val="single" w:color="auto" w:sz="4" w:space="0"/>
              <w:bottom w:val="single" w:color="auto" w:sz="12" w:space="0"/>
              <w:right w:val="single" w:color="auto" w:sz="4" w:space="0"/>
            </w:tcBorders>
            <w:noWrap/>
            <w:vAlign w:val="bottom"/>
          </w:tcPr>
          <w:p w14:paraId="49B8E549">
            <w:pPr>
              <w:widowControl/>
              <w:spacing w:line="240" w:lineRule="auto"/>
              <w:ind w:firstLine="0" w:firstLineChars="0"/>
              <w:jc w:val="center"/>
              <w:rPr>
                <w:color w:val="auto"/>
                <w:sz w:val="21"/>
                <w:szCs w:val="21"/>
                <w:highlight w:val="none"/>
                <w:lang w:val="zh-CN"/>
              </w:rPr>
            </w:pPr>
            <w:r>
              <w:rPr>
                <w:color w:val="auto"/>
                <w:sz w:val="21"/>
                <w:szCs w:val="21"/>
                <w:highlight w:val="none"/>
              </w:rPr>
              <w:t>十二月</w:t>
            </w:r>
          </w:p>
        </w:tc>
        <w:tc>
          <w:tcPr>
            <w:tcW w:w="833" w:type="pct"/>
            <w:tcBorders>
              <w:top w:val="single" w:color="auto" w:sz="4" w:space="0"/>
              <w:left w:val="single" w:color="auto" w:sz="4" w:space="0"/>
              <w:bottom w:val="single" w:color="auto" w:sz="12" w:space="0"/>
              <w:right w:val="single" w:color="auto" w:sz="4" w:space="0"/>
            </w:tcBorders>
            <w:noWrap/>
            <w:vAlign w:val="bottom"/>
          </w:tcPr>
          <w:p w14:paraId="5540FBBB">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.2</w:t>
            </w:r>
          </w:p>
        </w:tc>
        <w:tc>
          <w:tcPr>
            <w:tcW w:w="833" w:type="pct"/>
            <w:tcBorders>
              <w:top w:val="single" w:color="auto" w:sz="4" w:space="0"/>
              <w:left w:val="single" w:color="auto" w:sz="4" w:space="0"/>
              <w:bottom w:val="single" w:color="auto" w:sz="12" w:space="0"/>
              <w:right w:val="single" w:color="auto" w:sz="4" w:space="0"/>
            </w:tcBorders>
            <w:noWrap/>
            <w:vAlign w:val="bottom"/>
          </w:tcPr>
          <w:p w14:paraId="39062973">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.3</w:t>
            </w:r>
          </w:p>
        </w:tc>
        <w:tc>
          <w:tcPr>
            <w:tcW w:w="833" w:type="pct"/>
            <w:tcBorders>
              <w:top w:val="single" w:color="auto" w:sz="4" w:space="0"/>
              <w:left w:val="single" w:color="auto" w:sz="4" w:space="0"/>
              <w:bottom w:val="single" w:color="auto" w:sz="12" w:space="0"/>
              <w:right w:val="nil"/>
            </w:tcBorders>
            <w:noWrap/>
            <w:vAlign w:val="bottom"/>
          </w:tcPr>
          <w:p w14:paraId="3C70E590">
            <w:pPr>
              <w:widowControl/>
              <w:spacing w:line="240" w:lineRule="auto"/>
              <w:ind w:firstLine="0" w:firstLineChars="0"/>
              <w:jc w:val="center"/>
              <w:rPr>
                <w:color w:val="auto"/>
                <w:sz w:val="21"/>
                <w:szCs w:val="21"/>
                <w:highlight w:val="none"/>
                <w:lang w:val="zh-CN"/>
              </w:rPr>
            </w:pPr>
            <w:r>
              <w:rPr>
                <w:rFonts w:hint="eastAsia"/>
                <w:color w:val="auto"/>
                <w:sz w:val="21"/>
                <w:szCs w:val="21"/>
                <w:highlight w:val="none"/>
              </w:rPr>
              <w:t>0</w:t>
            </w:r>
            <w:r>
              <w:rPr>
                <w:color w:val="auto"/>
                <w:sz w:val="21"/>
                <w:szCs w:val="21"/>
                <w:highlight w:val="none"/>
              </w:rPr>
              <w:t>.0001</w:t>
            </w:r>
          </w:p>
        </w:tc>
      </w:tr>
    </w:tbl>
    <w:p w14:paraId="3A27BDA7">
      <w:pPr>
        <w:spacing w:line="240" w:lineRule="auto"/>
        <w:ind w:firstLine="0" w:firstLineChars="0"/>
        <w:rPr>
          <w:b/>
          <w:color w:val="auto"/>
          <w:highlight w:val="none"/>
        </w:rPr>
      </w:pPr>
    </w:p>
    <w:p w14:paraId="21A387B6">
      <w:pPr>
        <w:ind w:firstLine="482"/>
        <w:rPr>
          <w:b/>
          <w:color w:val="auto"/>
          <w:highlight w:val="none"/>
        </w:rPr>
      </w:pPr>
      <w:r>
        <w:rPr>
          <w:b/>
          <w:color w:val="auto"/>
          <w:highlight w:val="none"/>
        </w:rPr>
        <w:t>③模型预测网格及预测坐标系</w:t>
      </w:r>
    </w:p>
    <w:p w14:paraId="199A1501">
      <w:pPr>
        <w:ind w:firstLine="480"/>
        <w:rPr>
          <w:color w:val="auto"/>
          <w:highlight w:val="none"/>
        </w:rPr>
      </w:pPr>
      <w:r>
        <w:rPr>
          <w:color w:val="auto"/>
          <w:highlight w:val="none"/>
        </w:rPr>
        <w:t>选择以下的环境空气关心点、预测范围内的网格点以及区域最大地面浓度点作为计算点。网格点设置采用直角坐标网格、近密远疏法。预测计算点数总计1681点。构建评价范围的预测网格时，采用直角坐标的方式。项目预测网格设置见表4.2-11。</w:t>
      </w:r>
    </w:p>
    <w:p w14:paraId="47249091">
      <w:pPr>
        <w:spacing w:line="240" w:lineRule="auto"/>
        <w:ind w:firstLine="0" w:firstLineChars="0"/>
        <w:jc w:val="center"/>
        <w:rPr>
          <w:b/>
          <w:bCs/>
          <w:color w:val="auto"/>
          <w:sz w:val="21"/>
          <w:szCs w:val="21"/>
          <w:highlight w:val="none"/>
        </w:rPr>
      </w:pPr>
      <w:r>
        <w:rPr>
          <w:b/>
          <w:bCs/>
          <w:color w:val="auto"/>
          <w:sz w:val="21"/>
          <w:szCs w:val="21"/>
          <w:highlight w:val="none"/>
        </w:rPr>
        <w:t>表4.2-11 预测网格设置情况</w:t>
      </w:r>
    </w:p>
    <w:tbl>
      <w:tblPr>
        <w:tblStyle w:val="9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89"/>
        <w:gridCol w:w="3864"/>
        <w:gridCol w:w="2833"/>
      </w:tblGrid>
      <w:tr w14:paraId="498374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74" w:type="pct"/>
            <w:gridSpan w:val="2"/>
            <w:vAlign w:val="center"/>
          </w:tcPr>
          <w:p w14:paraId="60CAF645">
            <w:pPr>
              <w:widowControl/>
              <w:spacing w:line="240" w:lineRule="auto"/>
              <w:ind w:firstLine="0" w:firstLineChars="0"/>
              <w:jc w:val="center"/>
              <w:rPr>
                <w:bCs/>
                <w:color w:val="auto"/>
                <w:sz w:val="21"/>
                <w:szCs w:val="21"/>
                <w:highlight w:val="none"/>
                <w:lang w:val="zh-CN"/>
              </w:rPr>
            </w:pPr>
            <w:r>
              <w:rPr>
                <w:bCs/>
                <w:color w:val="auto"/>
                <w:sz w:val="21"/>
                <w:szCs w:val="21"/>
                <w:highlight w:val="none"/>
                <w:lang w:val="zh-CN"/>
              </w:rPr>
              <w:t>预测网格设置方法</w:t>
            </w:r>
          </w:p>
        </w:tc>
        <w:tc>
          <w:tcPr>
            <w:tcW w:w="1525" w:type="pct"/>
            <w:vAlign w:val="center"/>
          </w:tcPr>
          <w:p w14:paraId="6556AEF9">
            <w:pPr>
              <w:widowControl/>
              <w:spacing w:line="240" w:lineRule="auto"/>
              <w:ind w:firstLine="0" w:firstLineChars="0"/>
              <w:jc w:val="center"/>
              <w:rPr>
                <w:bCs/>
                <w:color w:val="auto"/>
                <w:sz w:val="21"/>
                <w:szCs w:val="21"/>
                <w:highlight w:val="none"/>
                <w:lang w:val="zh-CN"/>
              </w:rPr>
            </w:pPr>
            <w:r>
              <w:rPr>
                <w:bCs/>
                <w:color w:val="auto"/>
                <w:sz w:val="21"/>
                <w:szCs w:val="21"/>
                <w:highlight w:val="none"/>
                <w:lang w:val="zh-CN"/>
              </w:rPr>
              <w:t>直角坐标网格</w:t>
            </w:r>
          </w:p>
        </w:tc>
      </w:tr>
      <w:tr w14:paraId="556664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74" w:type="pct"/>
            <w:gridSpan w:val="2"/>
            <w:vAlign w:val="center"/>
          </w:tcPr>
          <w:p w14:paraId="531D123C">
            <w:pPr>
              <w:widowControl/>
              <w:spacing w:line="240" w:lineRule="auto"/>
              <w:ind w:firstLine="0" w:firstLineChars="0"/>
              <w:jc w:val="center"/>
              <w:rPr>
                <w:color w:val="auto"/>
                <w:sz w:val="21"/>
                <w:szCs w:val="21"/>
                <w:highlight w:val="none"/>
                <w:lang w:val="zh-CN"/>
              </w:rPr>
            </w:pPr>
            <w:r>
              <w:rPr>
                <w:color w:val="auto"/>
                <w:sz w:val="21"/>
                <w:szCs w:val="21"/>
                <w:highlight w:val="none"/>
                <w:lang w:val="zh-CN"/>
              </w:rPr>
              <w:t>布点原则</w:t>
            </w:r>
          </w:p>
        </w:tc>
        <w:tc>
          <w:tcPr>
            <w:tcW w:w="1525" w:type="pct"/>
            <w:vAlign w:val="center"/>
          </w:tcPr>
          <w:p w14:paraId="1D515CEB">
            <w:pPr>
              <w:widowControl/>
              <w:spacing w:line="240" w:lineRule="auto"/>
              <w:ind w:firstLine="0" w:firstLineChars="0"/>
              <w:jc w:val="center"/>
              <w:rPr>
                <w:color w:val="auto"/>
                <w:sz w:val="21"/>
                <w:szCs w:val="21"/>
                <w:highlight w:val="none"/>
                <w:lang w:val="zh-CN"/>
              </w:rPr>
            </w:pPr>
            <w:r>
              <w:rPr>
                <w:color w:val="auto"/>
                <w:sz w:val="21"/>
                <w:szCs w:val="21"/>
                <w:highlight w:val="none"/>
              </w:rPr>
              <w:t>近密远疏法</w:t>
            </w:r>
          </w:p>
        </w:tc>
      </w:tr>
      <w:tr w14:paraId="340695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4" w:type="pct"/>
            <w:vMerge w:val="restart"/>
            <w:vAlign w:val="center"/>
          </w:tcPr>
          <w:p w14:paraId="54187DBE">
            <w:pPr>
              <w:widowControl/>
              <w:spacing w:line="240" w:lineRule="auto"/>
              <w:ind w:firstLine="0" w:firstLineChars="0"/>
              <w:jc w:val="center"/>
              <w:rPr>
                <w:color w:val="auto"/>
                <w:sz w:val="21"/>
                <w:szCs w:val="21"/>
                <w:highlight w:val="none"/>
                <w:lang w:val="zh-CN"/>
              </w:rPr>
            </w:pPr>
            <w:r>
              <w:rPr>
                <w:color w:val="auto"/>
                <w:sz w:val="21"/>
                <w:szCs w:val="21"/>
                <w:highlight w:val="none"/>
                <w:lang w:val="zh-CN"/>
              </w:rPr>
              <w:t>预测网格点网格距</w:t>
            </w:r>
          </w:p>
        </w:tc>
        <w:tc>
          <w:tcPr>
            <w:tcW w:w="2080" w:type="pct"/>
            <w:vAlign w:val="center"/>
          </w:tcPr>
          <w:p w14:paraId="4A9CBF02">
            <w:pPr>
              <w:widowControl/>
              <w:spacing w:line="240" w:lineRule="auto"/>
              <w:ind w:firstLine="0" w:firstLineChars="0"/>
              <w:jc w:val="center"/>
              <w:rPr>
                <w:color w:val="auto"/>
                <w:sz w:val="21"/>
                <w:szCs w:val="21"/>
                <w:highlight w:val="none"/>
                <w:lang w:val="zh-CN"/>
              </w:rPr>
            </w:pPr>
            <w:r>
              <w:rPr>
                <w:color w:val="auto"/>
                <w:sz w:val="21"/>
                <w:szCs w:val="21"/>
                <w:highlight w:val="none"/>
                <w:lang w:val="zh-CN"/>
              </w:rPr>
              <w:t>距源中心≤</w:t>
            </w:r>
            <w:r>
              <w:rPr>
                <w:color w:val="auto"/>
                <w:sz w:val="21"/>
                <w:szCs w:val="21"/>
                <w:highlight w:val="none"/>
              </w:rPr>
              <w:t>1</w:t>
            </w:r>
            <w:r>
              <w:rPr>
                <w:color w:val="auto"/>
                <w:sz w:val="21"/>
                <w:szCs w:val="21"/>
                <w:highlight w:val="none"/>
                <w:lang w:val="zh-CN"/>
              </w:rPr>
              <w:t>km</w:t>
            </w:r>
          </w:p>
        </w:tc>
        <w:tc>
          <w:tcPr>
            <w:tcW w:w="1525" w:type="pct"/>
            <w:vAlign w:val="center"/>
          </w:tcPr>
          <w:p w14:paraId="7A589986">
            <w:pPr>
              <w:widowControl/>
              <w:spacing w:line="240" w:lineRule="auto"/>
              <w:ind w:firstLine="0" w:firstLineChars="0"/>
              <w:jc w:val="center"/>
              <w:rPr>
                <w:color w:val="auto"/>
                <w:sz w:val="21"/>
                <w:szCs w:val="21"/>
                <w:highlight w:val="none"/>
                <w:lang w:val="zh-CN"/>
              </w:rPr>
            </w:pPr>
            <w:r>
              <w:rPr>
                <w:color w:val="auto"/>
                <w:sz w:val="21"/>
                <w:szCs w:val="21"/>
                <w:highlight w:val="none"/>
              </w:rPr>
              <w:t>50</w:t>
            </w:r>
            <w:r>
              <w:rPr>
                <w:color w:val="auto"/>
                <w:sz w:val="21"/>
                <w:szCs w:val="21"/>
                <w:highlight w:val="none"/>
                <w:lang w:val="zh-CN"/>
              </w:rPr>
              <w:t>m</w:t>
            </w:r>
          </w:p>
        </w:tc>
      </w:tr>
      <w:tr w14:paraId="384F87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4" w:type="pct"/>
            <w:vMerge w:val="continue"/>
            <w:vAlign w:val="center"/>
          </w:tcPr>
          <w:p w14:paraId="7BADB781">
            <w:pPr>
              <w:widowControl/>
              <w:spacing w:line="240" w:lineRule="auto"/>
              <w:ind w:firstLine="0" w:firstLineChars="0"/>
              <w:jc w:val="center"/>
              <w:rPr>
                <w:color w:val="auto"/>
                <w:sz w:val="21"/>
                <w:szCs w:val="21"/>
                <w:highlight w:val="none"/>
                <w:lang w:val="zh-CN"/>
              </w:rPr>
            </w:pPr>
          </w:p>
        </w:tc>
        <w:tc>
          <w:tcPr>
            <w:tcW w:w="2080" w:type="pct"/>
            <w:vAlign w:val="center"/>
          </w:tcPr>
          <w:p w14:paraId="5265CE7E">
            <w:pPr>
              <w:widowControl/>
              <w:spacing w:line="240" w:lineRule="auto"/>
              <w:ind w:firstLine="0" w:firstLineChars="0"/>
              <w:jc w:val="center"/>
              <w:rPr>
                <w:color w:val="auto"/>
                <w:sz w:val="21"/>
                <w:szCs w:val="21"/>
                <w:highlight w:val="none"/>
                <w:lang w:val="zh-CN"/>
              </w:rPr>
            </w:pPr>
            <w:r>
              <w:rPr>
                <w:color w:val="auto"/>
                <w:sz w:val="21"/>
                <w:szCs w:val="21"/>
                <w:highlight w:val="none"/>
                <w:lang w:val="zh-CN"/>
              </w:rPr>
              <w:t>距源中心≤</w:t>
            </w:r>
            <w:r>
              <w:rPr>
                <w:color w:val="auto"/>
                <w:sz w:val="21"/>
                <w:szCs w:val="21"/>
                <w:highlight w:val="none"/>
              </w:rPr>
              <w:t>5</w:t>
            </w:r>
            <w:r>
              <w:rPr>
                <w:color w:val="auto"/>
                <w:sz w:val="21"/>
                <w:szCs w:val="21"/>
                <w:highlight w:val="none"/>
                <w:lang w:val="zh-CN"/>
              </w:rPr>
              <w:t>km</w:t>
            </w:r>
          </w:p>
        </w:tc>
        <w:tc>
          <w:tcPr>
            <w:tcW w:w="1525" w:type="pct"/>
            <w:vAlign w:val="center"/>
          </w:tcPr>
          <w:p w14:paraId="26AF90B7">
            <w:pPr>
              <w:widowControl/>
              <w:spacing w:line="240" w:lineRule="auto"/>
              <w:ind w:firstLine="0" w:firstLineChars="0"/>
              <w:jc w:val="center"/>
              <w:rPr>
                <w:color w:val="auto"/>
                <w:sz w:val="21"/>
                <w:szCs w:val="21"/>
                <w:highlight w:val="none"/>
              </w:rPr>
            </w:pPr>
            <w:r>
              <w:rPr>
                <w:color w:val="auto"/>
                <w:sz w:val="21"/>
                <w:szCs w:val="21"/>
                <w:highlight w:val="none"/>
              </w:rPr>
              <w:t>100m</w:t>
            </w:r>
          </w:p>
        </w:tc>
      </w:tr>
    </w:tbl>
    <w:p w14:paraId="5E04D374">
      <w:pPr>
        <w:ind w:firstLine="482"/>
        <w:rPr>
          <w:b/>
          <w:bCs/>
          <w:color w:val="auto"/>
          <w:highlight w:val="none"/>
        </w:rPr>
      </w:pPr>
    </w:p>
    <w:p w14:paraId="6FD047D2">
      <w:pPr>
        <w:ind w:firstLine="482"/>
        <w:rPr>
          <w:b/>
          <w:bCs/>
          <w:color w:val="auto"/>
          <w:highlight w:val="none"/>
        </w:rPr>
      </w:pPr>
    </w:p>
    <w:p w14:paraId="7A30F93B">
      <w:pPr>
        <w:ind w:firstLine="482"/>
        <w:rPr>
          <w:b/>
          <w:bCs/>
          <w:color w:val="auto"/>
          <w:highlight w:val="none"/>
        </w:rPr>
      </w:pPr>
      <w:r>
        <w:rPr>
          <w:b/>
          <w:bCs/>
          <w:color w:val="auto"/>
          <w:highlight w:val="none"/>
        </w:rPr>
        <w:t>④计算点</w:t>
      </w:r>
    </w:p>
    <w:p w14:paraId="43D64272">
      <w:pPr>
        <w:ind w:firstLine="480"/>
        <w:rPr>
          <w:color w:val="auto"/>
          <w:highlight w:val="none"/>
        </w:rPr>
      </w:pPr>
      <w:r>
        <w:rPr>
          <w:color w:val="auto"/>
          <w:highlight w:val="none"/>
        </w:rPr>
        <w:t>计算点主要为关心点和网格点，其中关心点为项目敏感点，本项目评价范围无环境空气敏感点，因此计算点主要为网格点。</w:t>
      </w:r>
    </w:p>
    <w:p w14:paraId="0DBFEC8E">
      <w:pPr>
        <w:pStyle w:val="533"/>
        <w:numPr>
          <w:ilvl w:val="3"/>
          <w:numId w:val="9"/>
        </w:numPr>
        <w:rPr>
          <w:color w:val="auto"/>
          <w:szCs w:val="24"/>
          <w:highlight w:val="none"/>
        </w:rPr>
      </w:pPr>
      <w:r>
        <w:rPr>
          <w:color w:val="auto"/>
          <w:szCs w:val="24"/>
          <w:highlight w:val="none"/>
        </w:rPr>
        <w:t>污染源调查清单</w:t>
      </w:r>
    </w:p>
    <w:p w14:paraId="16E2AE99">
      <w:pPr>
        <w:ind w:firstLine="480"/>
        <w:rPr>
          <w:color w:val="auto"/>
          <w:highlight w:val="none"/>
        </w:rPr>
      </w:pPr>
      <w:r>
        <w:rPr>
          <w:color w:val="auto"/>
          <w:highlight w:val="none"/>
          <w:lang w:val="zh-CN"/>
        </w:rPr>
        <w:t>根据工程分析，本项目均为无组织排放污染源，项目大气预测废气污染物排放源强见表4.2-1</w:t>
      </w:r>
      <w:r>
        <w:rPr>
          <w:rFonts w:hint="eastAsia"/>
          <w:color w:val="auto"/>
          <w:highlight w:val="none"/>
        </w:rPr>
        <w:t>2</w:t>
      </w:r>
      <w:r>
        <w:rPr>
          <w:color w:val="auto"/>
          <w:highlight w:val="none"/>
          <w:lang w:val="zh-CN"/>
        </w:rPr>
        <w:t>。经调查，评价范围内无其他被取代</w:t>
      </w:r>
      <w:r>
        <w:rPr>
          <w:color w:val="auto"/>
          <w:highlight w:val="none"/>
        </w:rPr>
        <w:t>和削减的</w:t>
      </w:r>
      <w:r>
        <w:rPr>
          <w:color w:val="auto"/>
          <w:highlight w:val="none"/>
          <w:lang w:val="zh-CN"/>
        </w:rPr>
        <w:t>污染源，无区域在建、拟建相关污染源。</w:t>
      </w:r>
      <w:r>
        <w:rPr>
          <w:color w:val="auto"/>
          <w:highlight w:val="none"/>
          <w:u w:val="single"/>
        </w:rPr>
        <w:t>本期工程环境质量现状监测期间，</w:t>
      </w:r>
      <w:r>
        <w:rPr>
          <w:rFonts w:hint="eastAsia"/>
          <w:color w:val="auto"/>
          <w:highlight w:val="none"/>
          <w:u w:val="single"/>
        </w:rPr>
        <w:t>除浮船坞外，</w:t>
      </w:r>
      <w:r>
        <w:rPr>
          <w:color w:val="auto"/>
          <w:highlight w:val="none"/>
          <w:u w:val="single"/>
        </w:rPr>
        <w:t>评价区域内</w:t>
      </w:r>
      <w:r>
        <w:rPr>
          <w:rFonts w:hint="eastAsia"/>
          <w:color w:val="auto"/>
          <w:highlight w:val="none"/>
          <w:u w:val="single"/>
        </w:rPr>
        <w:t>其他</w:t>
      </w:r>
      <w:r>
        <w:rPr>
          <w:color w:val="auto"/>
          <w:highlight w:val="none"/>
          <w:u w:val="single"/>
        </w:rPr>
        <w:t>已建污染源在正常工况下生产运行，现状监测值中已包含评价范围内</w:t>
      </w:r>
      <w:r>
        <w:rPr>
          <w:rFonts w:hint="eastAsia"/>
          <w:color w:val="auto"/>
          <w:highlight w:val="none"/>
          <w:u w:val="single"/>
        </w:rPr>
        <w:t>除浮船坞外的其他</w:t>
      </w:r>
      <w:r>
        <w:rPr>
          <w:color w:val="auto"/>
          <w:highlight w:val="none"/>
          <w:u w:val="single"/>
        </w:rPr>
        <w:t>已建的污染源的大气环境影响贡献值。</w:t>
      </w:r>
    </w:p>
    <w:p w14:paraId="1150E11A">
      <w:pPr>
        <w:ind w:firstLine="480"/>
        <w:rPr>
          <w:b/>
          <w:bCs/>
          <w:color w:val="auto"/>
          <w:highlight w:val="none"/>
        </w:rPr>
      </w:pPr>
      <w:r>
        <w:rPr>
          <w:rFonts w:hint="eastAsia"/>
          <w:b/>
          <w:bCs/>
          <w:color w:val="auto"/>
          <w:highlight w:val="none"/>
        </w:rPr>
        <w:t>（1）项目污染源</w:t>
      </w:r>
    </w:p>
    <w:p w14:paraId="66D85ACA">
      <w:pPr>
        <w:ind w:firstLine="480"/>
        <w:rPr>
          <w:color w:val="auto"/>
          <w:highlight w:val="none"/>
        </w:rPr>
      </w:pPr>
      <w:r>
        <w:rPr>
          <w:rFonts w:hint="eastAsia"/>
          <w:color w:val="auto"/>
          <w:highlight w:val="none"/>
        </w:rPr>
        <w:t>本项目无组织面源排放参数见下表。</w:t>
      </w:r>
    </w:p>
    <w:p w14:paraId="151FE801">
      <w:pPr>
        <w:spacing w:line="240" w:lineRule="auto"/>
        <w:ind w:firstLine="0" w:firstLineChars="0"/>
        <w:jc w:val="center"/>
        <w:rPr>
          <w:b/>
          <w:bCs/>
          <w:color w:val="auto"/>
          <w:sz w:val="21"/>
          <w:szCs w:val="21"/>
          <w:highlight w:val="none"/>
        </w:rPr>
      </w:pPr>
      <w:r>
        <w:rPr>
          <w:b/>
          <w:bCs/>
          <w:color w:val="auto"/>
          <w:sz w:val="21"/>
          <w:szCs w:val="21"/>
          <w:highlight w:val="none"/>
        </w:rPr>
        <w:t>表4.2-</w:t>
      </w:r>
      <w:r>
        <w:rPr>
          <w:rFonts w:hint="eastAsia"/>
          <w:b/>
          <w:bCs/>
          <w:color w:val="auto"/>
          <w:sz w:val="21"/>
          <w:szCs w:val="21"/>
          <w:highlight w:val="none"/>
        </w:rPr>
        <w:t>12</w:t>
      </w:r>
      <w:r>
        <w:rPr>
          <w:b/>
          <w:bCs/>
          <w:color w:val="auto"/>
          <w:sz w:val="21"/>
          <w:szCs w:val="21"/>
          <w:highlight w:val="none"/>
        </w:rPr>
        <w:t>无组织面源排放参数表</w:t>
      </w:r>
    </w:p>
    <w:tbl>
      <w:tblPr>
        <w:tblStyle w:val="92"/>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5"/>
        <w:gridCol w:w="845"/>
        <w:gridCol w:w="1136"/>
        <w:gridCol w:w="1056"/>
        <w:gridCol w:w="880"/>
        <w:gridCol w:w="822"/>
        <w:gridCol w:w="822"/>
        <w:gridCol w:w="1026"/>
        <w:gridCol w:w="752"/>
        <w:gridCol w:w="752"/>
        <w:gridCol w:w="759"/>
      </w:tblGrid>
      <w:tr w14:paraId="7F5D8F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29" w:type="pct"/>
            <w:vMerge w:val="restart"/>
            <w:tcBorders>
              <w:tl2br w:val="nil"/>
              <w:tr2bl w:val="nil"/>
            </w:tcBorders>
            <w:vAlign w:val="center"/>
          </w:tcPr>
          <w:p w14:paraId="04142211">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序号</w:t>
            </w:r>
          </w:p>
        </w:tc>
        <w:tc>
          <w:tcPr>
            <w:tcW w:w="455" w:type="pct"/>
            <w:vMerge w:val="restart"/>
            <w:tcBorders>
              <w:tl2br w:val="nil"/>
              <w:tr2bl w:val="nil"/>
            </w:tcBorders>
            <w:vAlign w:val="center"/>
          </w:tcPr>
          <w:p w14:paraId="136BA664">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面源污染源</w:t>
            </w:r>
          </w:p>
        </w:tc>
        <w:tc>
          <w:tcPr>
            <w:tcW w:w="1181" w:type="pct"/>
            <w:gridSpan w:val="2"/>
            <w:tcBorders>
              <w:tl2br w:val="nil"/>
              <w:tr2bl w:val="nil"/>
            </w:tcBorders>
            <w:vAlign w:val="center"/>
          </w:tcPr>
          <w:p w14:paraId="23DB175B">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坐标</w:t>
            </w:r>
          </w:p>
        </w:tc>
        <w:tc>
          <w:tcPr>
            <w:tcW w:w="474" w:type="pct"/>
            <w:vMerge w:val="restart"/>
            <w:tcBorders>
              <w:tl2br w:val="nil"/>
              <w:tr2bl w:val="nil"/>
            </w:tcBorders>
            <w:vAlign w:val="center"/>
          </w:tcPr>
          <w:p w14:paraId="271BCD69">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宽度（m）</w:t>
            </w:r>
          </w:p>
        </w:tc>
        <w:tc>
          <w:tcPr>
            <w:tcW w:w="443" w:type="pct"/>
            <w:vMerge w:val="restart"/>
            <w:tcBorders>
              <w:tl2br w:val="nil"/>
              <w:tr2bl w:val="nil"/>
            </w:tcBorders>
            <w:vAlign w:val="center"/>
          </w:tcPr>
          <w:p w14:paraId="70A3F654">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边长（m）</w:t>
            </w:r>
          </w:p>
        </w:tc>
        <w:tc>
          <w:tcPr>
            <w:tcW w:w="443" w:type="pct"/>
            <w:vMerge w:val="restart"/>
            <w:tcBorders>
              <w:tl2br w:val="nil"/>
              <w:tr2bl w:val="nil"/>
            </w:tcBorders>
            <w:vAlign w:val="center"/>
          </w:tcPr>
          <w:p w14:paraId="5D2DF5C4">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角度（m）</w:t>
            </w:r>
          </w:p>
        </w:tc>
        <w:tc>
          <w:tcPr>
            <w:tcW w:w="553" w:type="pct"/>
            <w:vMerge w:val="restart"/>
            <w:tcBorders>
              <w:tl2br w:val="nil"/>
              <w:tr2bl w:val="nil"/>
            </w:tcBorders>
            <w:vAlign w:val="center"/>
          </w:tcPr>
          <w:p w14:paraId="473A46C8">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排放高度（m）</w:t>
            </w:r>
          </w:p>
        </w:tc>
        <w:tc>
          <w:tcPr>
            <w:tcW w:w="1219" w:type="pct"/>
            <w:gridSpan w:val="3"/>
            <w:tcBorders>
              <w:tl2br w:val="nil"/>
              <w:tr2bl w:val="nil"/>
            </w:tcBorders>
            <w:vAlign w:val="center"/>
          </w:tcPr>
          <w:p w14:paraId="21BA33AF">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污染物排放情况（kg/h）</w:t>
            </w:r>
          </w:p>
        </w:tc>
      </w:tr>
      <w:tr w14:paraId="4FE626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29" w:type="pct"/>
            <w:vMerge w:val="continue"/>
            <w:tcBorders>
              <w:tl2br w:val="nil"/>
              <w:tr2bl w:val="nil"/>
            </w:tcBorders>
            <w:vAlign w:val="center"/>
          </w:tcPr>
          <w:p w14:paraId="43673849">
            <w:pPr>
              <w:spacing w:line="240" w:lineRule="auto"/>
              <w:ind w:left="-72" w:leftChars="-30" w:right="-72" w:rightChars="-30" w:firstLine="0" w:firstLineChars="0"/>
              <w:jc w:val="center"/>
              <w:rPr>
                <w:b/>
                <w:bCs/>
                <w:color w:val="auto"/>
                <w:sz w:val="21"/>
                <w:szCs w:val="21"/>
                <w:highlight w:val="none"/>
              </w:rPr>
            </w:pPr>
          </w:p>
        </w:tc>
        <w:tc>
          <w:tcPr>
            <w:tcW w:w="455" w:type="pct"/>
            <w:vMerge w:val="continue"/>
            <w:tcBorders>
              <w:tl2br w:val="nil"/>
              <w:tr2bl w:val="nil"/>
            </w:tcBorders>
            <w:vAlign w:val="center"/>
          </w:tcPr>
          <w:p w14:paraId="69E7238E">
            <w:pPr>
              <w:spacing w:line="240" w:lineRule="auto"/>
              <w:ind w:left="-72" w:leftChars="-30" w:right="-72" w:rightChars="-30" w:firstLine="0" w:firstLineChars="0"/>
              <w:jc w:val="center"/>
              <w:rPr>
                <w:b/>
                <w:bCs/>
                <w:color w:val="auto"/>
                <w:sz w:val="21"/>
                <w:szCs w:val="21"/>
                <w:highlight w:val="none"/>
              </w:rPr>
            </w:pPr>
          </w:p>
        </w:tc>
        <w:tc>
          <w:tcPr>
            <w:tcW w:w="612" w:type="pct"/>
            <w:tcBorders>
              <w:tl2br w:val="nil"/>
              <w:tr2bl w:val="nil"/>
            </w:tcBorders>
            <w:vAlign w:val="center"/>
          </w:tcPr>
          <w:p w14:paraId="634BF306">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x</w:t>
            </w:r>
          </w:p>
        </w:tc>
        <w:tc>
          <w:tcPr>
            <w:tcW w:w="569" w:type="pct"/>
            <w:tcBorders>
              <w:tl2br w:val="nil"/>
              <w:tr2bl w:val="nil"/>
            </w:tcBorders>
            <w:vAlign w:val="center"/>
          </w:tcPr>
          <w:p w14:paraId="73B7115B">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y</w:t>
            </w:r>
          </w:p>
        </w:tc>
        <w:tc>
          <w:tcPr>
            <w:tcW w:w="474" w:type="pct"/>
            <w:vMerge w:val="continue"/>
            <w:tcBorders>
              <w:tl2br w:val="nil"/>
              <w:tr2bl w:val="nil"/>
            </w:tcBorders>
            <w:vAlign w:val="center"/>
          </w:tcPr>
          <w:p w14:paraId="5121CAA4">
            <w:pPr>
              <w:spacing w:line="240" w:lineRule="auto"/>
              <w:ind w:left="-72" w:leftChars="-30" w:right="-72" w:rightChars="-30" w:firstLine="0" w:firstLineChars="0"/>
              <w:jc w:val="center"/>
              <w:rPr>
                <w:b/>
                <w:bCs/>
                <w:color w:val="auto"/>
                <w:sz w:val="21"/>
                <w:szCs w:val="21"/>
                <w:highlight w:val="none"/>
              </w:rPr>
            </w:pPr>
          </w:p>
        </w:tc>
        <w:tc>
          <w:tcPr>
            <w:tcW w:w="443" w:type="pct"/>
            <w:vMerge w:val="continue"/>
            <w:tcBorders>
              <w:tl2br w:val="nil"/>
              <w:tr2bl w:val="nil"/>
            </w:tcBorders>
            <w:vAlign w:val="center"/>
          </w:tcPr>
          <w:p w14:paraId="1867D5B7">
            <w:pPr>
              <w:spacing w:line="240" w:lineRule="auto"/>
              <w:ind w:left="-72" w:leftChars="-30" w:right="-72" w:rightChars="-30" w:firstLine="0" w:firstLineChars="0"/>
              <w:jc w:val="center"/>
              <w:rPr>
                <w:b/>
                <w:bCs/>
                <w:color w:val="auto"/>
                <w:sz w:val="21"/>
                <w:szCs w:val="21"/>
                <w:highlight w:val="none"/>
              </w:rPr>
            </w:pPr>
          </w:p>
        </w:tc>
        <w:tc>
          <w:tcPr>
            <w:tcW w:w="443" w:type="pct"/>
            <w:vMerge w:val="continue"/>
            <w:tcBorders>
              <w:tl2br w:val="nil"/>
              <w:tr2bl w:val="nil"/>
            </w:tcBorders>
            <w:vAlign w:val="center"/>
          </w:tcPr>
          <w:p w14:paraId="627E82AE">
            <w:pPr>
              <w:spacing w:line="240" w:lineRule="auto"/>
              <w:ind w:left="-72" w:leftChars="-30" w:right="-72" w:rightChars="-30" w:firstLine="0" w:firstLineChars="0"/>
              <w:jc w:val="center"/>
              <w:rPr>
                <w:b/>
                <w:bCs/>
                <w:color w:val="auto"/>
                <w:sz w:val="21"/>
                <w:szCs w:val="21"/>
                <w:highlight w:val="none"/>
              </w:rPr>
            </w:pPr>
          </w:p>
        </w:tc>
        <w:tc>
          <w:tcPr>
            <w:tcW w:w="553" w:type="pct"/>
            <w:vMerge w:val="continue"/>
            <w:tcBorders>
              <w:tl2br w:val="nil"/>
              <w:tr2bl w:val="nil"/>
            </w:tcBorders>
            <w:vAlign w:val="center"/>
          </w:tcPr>
          <w:p w14:paraId="2A6825B4">
            <w:pPr>
              <w:spacing w:line="240" w:lineRule="auto"/>
              <w:ind w:left="-72" w:leftChars="-30" w:right="-72" w:rightChars="-30" w:firstLine="0" w:firstLineChars="0"/>
              <w:jc w:val="center"/>
              <w:rPr>
                <w:b/>
                <w:bCs/>
                <w:color w:val="auto"/>
                <w:sz w:val="21"/>
                <w:szCs w:val="21"/>
                <w:highlight w:val="none"/>
              </w:rPr>
            </w:pPr>
          </w:p>
        </w:tc>
        <w:tc>
          <w:tcPr>
            <w:tcW w:w="405" w:type="pct"/>
            <w:tcBorders>
              <w:tl2br w:val="nil"/>
              <w:tr2bl w:val="nil"/>
            </w:tcBorders>
            <w:vAlign w:val="center"/>
          </w:tcPr>
          <w:p w14:paraId="787B31B8">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二甲苯</w:t>
            </w:r>
          </w:p>
        </w:tc>
        <w:tc>
          <w:tcPr>
            <w:tcW w:w="405" w:type="pct"/>
            <w:tcBorders>
              <w:tl2br w:val="nil"/>
              <w:tr2bl w:val="nil"/>
            </w:tcBorders>
            <w:vAlign w:val="center"/>
          </w:tcPr>
          <w:p w14:paraId="292F5D0D">
            <w:pPr>
              <w:spacing w:line="240" w:lineRule="auto"/>
              <w:ind w:left="-72" w:leftChars="-30" w:right="-72" w:rightChars="-30" w:firstLine="0" w:firstLineChars="0"/>
              <w:jc w:val="center"/>
              <w:rPr>
                <w:b/>
                <w:bCs/>
                <w:color w:val="auto"/>
                <w:sz w:val="21"/>
                <w:szCs w:val="21"/>
                <w:highlight w:val="none"/>
              </w:rPr>
            </w:pPr>
            <w:r>
              <w:rPr>
                <w:rFonts w:hint="eastAsia"/>
                <w:b/>
                <w:bCs/>
                <w:color w:val="auto"/>
                <w:sz w:val="21"/>
                <w:szCs w:val="21"/>
                <w:highlight w:val="none"/>
              </w:rPr>
              <w:t>T</w:t>
            </w:r>
            <w:r>
              <w:rPr>
                <w:b/>
                <w:bCs/>
                <w:color w:val="auto"/>
                <w:sz w:val="21"/>
                <w:szCs w:val="21"/>
                <w:highlight w:val="none"/>
              </w:rPr>
              <w:t>VOC</w:t>
            </w:r>
          </w:p>
        </w:tc>
        <w:tc>
          <w:tcPr>
            <w:tcW w:w="409" w:type="pct"/>
            <w:tcBorders>
              <w:tl2br w:val="nil"/>
              <w:tr2bl w:val="nil"/>
            </w:tcBorders>
            <w:vAlign w:val="center"/>
          </w:tcPr>
          <w:p w14:paraId="19118348">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TSP</w:t>
            </w:r>
          </w:p>
        </w:tc>
      </w:tr>
      <w:tr w14:paraId="1E57D7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9" w:type="pct"/>
            <w:vMerge w:val="restart"/>
            <w:tcBorders>
              <w:tl2br w:val="nil"/>
              <w:tr2bl w:val="nil"/>
            </w:tcBorders>
            <w:vAlign w:val="center"/>
          </w:tcPr>
          <w:p w14:paraId="4B615D9D">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1</w:t>
            </w:r>
          </w:p>
        </w:tc>
        <w:tc>
          <w:tcPr>
            <w:tcW w:w="455" w:type="pct"/>
            <w:vMerge w:val="restart"/>
            <w:tcBorders>
              <w:tl2br w:val="nil"/>
              <w:tr2bl w:val="nil"/>
            </w:tcBorders>
            <w:vAlign w:val="center"/>
          </w:tcPr>
          <w:p w14:paraId="715135EF">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浮船坞无组织废气</w:t>
            </w:r>
          </w:p>
        </w:tc>
        <w:tc>
          <w:tcPr>
            <w:tcW w:w="612" w:type="pct"/>
            <w:tcBorders>
              <w:tl2br w:val="nil"/>
              <w:tr2bl w:val="nil"/>
            </w:tcBorders>
            <w:vAlign w:val="center"/>
          </w:tcPr>
          <w:p w14:paraId="538F1339">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-62</w:t>
            </w:r>
          </w:p>
        </w:tc>
        <w:tc>
          <w:tcPr>
            <w:tcW w:w="569" w:type="pct"/>
            <w:tcBorders>
              <w:tl2br w:val="nil"/>
              <w:tr2bl w:val="nil"/>
            </w:tcBorders>
            <w:vAlign w:val="center"/>
          </w:tcPr>
          <w:p w14:paraId="32E16639">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167</w:t>
            </w:r>
          </w:p>
        </w:tc>
        <w:tc>
          <w:tcPr>
            <w:tcW w:w="474" w:type="pct"/>
            <w:vMerge w:val="restart"/>
            <w:tcBorders>
              <w:tl2br w:val="nil"/>
              <w:tr2bl w:val="nil"/>
            </w:tcBorders>
            <w:vAlign w:val="center"/>
          </w:tcPr>
          <w:p w14:paraId="0C1B5D7F">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265</w:t>
            </w:r>
          </w:p>
        </w:tc>
        <w:tc>
          <w:tcPr>
            <w:tcW w:w="443" w:type="pct"/>
            <w:vMerge w:val="restart"/>
            <w:tcBorders>
              <w:tl2br w:val="nil"/>
              <w:tr2bl w:val="nil"/>
            </w:tcBorders>
            <w:vAlign w:val="center"/>
          </w:tcPr>
          <w:p w14:paraId="10DE7AE0">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55</w:t>
            </w:r>
          </w:p>
        </w:tc>
        <w:tc>
          <w:tcPr>
            <w:tcW w:w="443" w:type="pct"/>
            <w:vMerge w:val="restart"/>
            <w:tcBorders>
              <w:tl2br w:val="nil"/>
              <w:tr2bl w:val="nil"/>
            </w:tcBorders>
            <w:vAlign w:val="center"/>
          </w:tcPr>
          <w:p w14:paraId="421C9D85">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w:t>
            </w:r>
          </w:p>
        </w:tc>
        <w:tc>
          <w:tcPr>
            <w:tcW w:w="553" w:type="pct"/>
            <w:vMerge w:val="restart"/>
            <w:tcBorders>
              <w:tl2br w:val="nil"/>
              <w:tr2bl w:val="nil"/>
            </w:tcBorders>
            <w:vAlign w:val="center"/>
          </w:tcPr>
          <w:p w14:paraId="5ED3CF5B">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15</w:t>
            </w:r>
          </w:p>
        </w:tc>
        <w:tc>
          <w:tcPr>
            <w:tcW w:w="405" w:type="pct"/>
            <w:vMerge w:val="restart"/>
            <w:tcBorders>
              <w:tl2br w:val="nil"/>
              <w:tr2bl w:val="nil"/>
            </w:tcBorders>
            <w:vAlign w:val="center"/>
          </w:tcPr>
          <w:p w14:paraId="7EC6C04E">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2.45</w:t>
            </w:r>
          </w:p>
        </w:tc>
        <w:tc>
          <w:tcPr>
            <w:tcW w:w="405" w:type="pct"/>
            <w:vMerge w:val="restart"/>
            <w:tcBorders>
              <w:tl2br w:val="nil"/>
              <w:tr2bl w:val="nil"/>
            </w:tcBorders>
            <w:vAlign w:val="center"/>
          </w:tcPr>
          <w:p w14:paraId="29CC5FE8">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9.81</w:t>
            </w:r>
          </w:p>
        </w:tc>
        <w:tc>
          <w:tcPr>
            <w:tcW w:w="409" w:type="pct"/>
            <w:vMerge w:val="restart"/>
            <w:tcBorders>
              <w:tl2br w:val="nil"/>
              <w:tr2bl w:val="nil"/>
            </w:tcBorders>
            <w:vAlign w:val="center"/>
          </w:tcPr>
          <w:p w14:paraId="20880C98">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7.</w:t>
            </w:r>
            <w:r>
              <w:rPr>
                <w:rFonts w:hint="eastAsia"/>
                <w:color w:val="auto"/>
                <w:sz w:val="21"/>
                <w:szCs w:val="21"/>
                <w:highlight w:val="none"/>
              </w:rPr>
              <w:t>058</w:t>
            </w:r>
          </w:p>
        </w:tc>
      </w:tr>
      <w:tr w14:paraId="4ADFFD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9" w:type="pct"/>
            <w:vMerge w:val="continue"/>
            <w:tcBorders>
              <w:tl2br w:val="nil"/>
              <w:tr2bl w:val="nil"/>
            </w:tcBorders>
            <w:vAlign w:val="center"/>
          </w:tcPr>
          <w:p w14:paraId="2AEE1B2C">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0B9541A7">
            <w:pPr>
              <w:spacing w:line="240" w:lineRule="auto"/>
              <w:ind w:left="-72" w:leftChars="-30" w:right="-72" w:rightChars="-30" w:firstLine="0" w:firstLineChars="0"/>
              <w:jc w:val="center"/>
              <w:rPr>
                <w:color w:val="auto"/>
                <w:sz w:val="21"/>
                <w:szCs w:val="21"/>
                <w:highlight w:val="none"/>
              </w:rPr>
            </w:pPr>
          </w:p>
        </w:tc>
        <w:tc>
          <w:tcPr>
            <w:tcW w:w="612" w:type="pct"/>
            <w:tcBorders>
              <w:tl2br w:val="nil"/>
              <w:tr2bl w:val="nil"/>
            </w:tcBorders>
            <w:vAlign w:val="center"/>
          </w:tcPr>
          <w:p w14:paraId="78044EE6">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40</w:t>
            </w:r>
          </w:p>
        </w:tc>
        <w:tc>
          <w:tcPr>
            <w:tcW w:w="569" w:type="pct"/>
            <w:tcBorders>
              <w:tl2br w:val="nil"/>
              <w:tr2bl w:val="nil"/>
            </w:tcBorders>
            <w:vAlign w:val="center"/>
          </w:tcPr>
          <w:p w14:paraId="5853C657">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162</w:t>
            </w:r>
          </w:p>
        </w:tc>
        <w:tc>
          <w:tcPr>
            <w:tcW w:w="474" w:type="pct"/>
            <w:vMerge w:val="continue"/>
            <w:tcBorders>
              <w:tl2br w:val="nil"/>
              <w:tr2bl w:val="nil"/>
            </w:tcBorders>
            <w:vAlign w:val="center"/>
          </w:tcPr>
          <w:p w14:paraId="20ECC9F4">
            <w:pPr>
              <w:spacing w:line="240" w:lineRule="auto"/>
              <w:ind w:left="-72" w:leftChars="-30" w:right="-72" w:rightChars="-30" w:firstLine="0" w:firstLineChars="0"/>
              <w:jc w:val="center"/>
              <w:rPr>
                <w:color w:val="auto"/>
                <w:sz w:val="21"/>
                <w:szCs w:val="21"/>
                <w:highlight w:val="none"/>
              </w:rPr>
            </w:pPr>
          </w:p>
        </w:tc>
        <w:tc>
          <w:tcPr>
            <w:tcW w:w="443" w:type="pct"/>
            <w:vMerge w:val="continue"/>
            <w:tcBorders>
              <w:tl2br w:val="nil"/>
              <w:tr2bl w:val="nil"/>
            </w:tcBorders>
            <w:vAlign w:val="center"/>
          </w:tcPr>
          <w:p w14:paraId="370C6105">
            <w:pPr>
              <w:spacing w:line="240" w:lineRule="auto"/>
              <w:ind w:left="-72" w:leftChars="-30" w:right="-72" w:rightChars="-30" w:firstLine="0" w:firstLineChars="0"/>
              <w:jc w:val="center"/>
              <w:rPr>
                <w:color w:val="auto"/>
                <w:sz w:val="21"/>
                <w:szCs w:val="21"/>
                <w:highlight w:val="none"/>
              </w:rPr>
            </w:pPr>
          </w:p>
        </w:tc>
        <w:tc>
          <w:tcPr>
            <w:tcW w:w="443" w:type="pct"/>
            <w:vMerge w:val="continue"/>
            <w:tcBorders>
              <w:tl2br w:val="nil"/>
              <w:tr2bl w:val="nil"/>
            </w:tcBorders>
            <w:vAlign w:val="center"/>
          </w:tcPr>
          <w:p w14:paraId="70F2CC50">
            <w:pPr>
              <w:spacing w:line="240" w:lineRule="auto"/>
              <w:ind w:left="-72" w:leftChars="-30" w:right="-72" w:rightChars="-30" w:firstLine="0" w:firstLineChars="0"/>
              <w:jc w:val="center"/>
              <w:rPr>
                <w:color w:val="auto"/>
                <w:sz w:val="21"/>
                <w:szCs w:val="21"/>
                <w:highlight w:val="none"/>
              </w:rPr>
            </w:pPr>
          </w:p>
        </w:tc>
        <w:tc>
          <w:tcPr>
            <w:tcW w:w="553" w:type="pct"/>
            <w:vMerge w:val="continue"/>
            <w:tcBorders>
              <w:tl2br w:val="nil"/>
              <w:tr2bl w:val="nil"/>
            </w:tcBorders>
            <w:vAlign w:val="center"/>
          </w:tcPr>
          <w:p w14:paraId="2D950E8D">
            <w:pPr>
              <w:spacing w:line="240" w:lineRule="auto"/>
              <w:ind w:left="-72" w:leftChars="-30" w:right="-72" w:rightChars="-30" w:firstLine="0" w:firstLineChars="0"/>
              <w:jc w:val="center"/>
              <w:rPr>
                <w:color w:val="auto"/>
                <w:sz w:val="21"/>
                <w:szCs w:val="21"/>
                <w:highlight w:val="none"/>
              </w:rPr>
            </w:pPr>
          </w:p>
        </w:tc>
        <w:tc>
          <w:tcPr>
            <w:tcW w:w="405" w:type="pct"/>
            <w:vMerge w:val="continue"/>
            <w:tcBorders>
              <w:tl2br w:val="nil"/>
              <w:tr2bl w:val="nil"/>
            </w:tcBorders>
            <w:vAlign w:val="center"/>
          </w:tcPr>
          <w:p w14:paraId="4A5C09DE">
            <w:pPr>
              <w:spacing w:line="240" w:lineRule="auto"/>
              <w:ind w:left="-72" w:leftChars="-30" w:right="-72" w:rightChars="-30" w:firstLine="0" w:firstLineChars="0"/>
              <w:jc w:val="center"/>
              <w:rPr>
                <w:color w:val="auto"/>
                <w:sz w:val="21"/>
                <w:szCs w:val="21"/>
                <w:highlight w:val="none"/>
              </w:rPr>
            </w:pPr>
          </w:p>
        </w:tc>
        <w:tc>
          <w:tcPr>
            <w:tcW w:w="405" w:type="pct"/>
            <w:vMerge w:val="continue"/>
            <w:tcBorders>
              <w:tl2br w:val="nil"/>
              <w:tr2bl w:val="nil"/>
            </w:tcBorders>
            <w:vAlign w:val="center"/>
          </w:tcPr>
          <w:p w14:paraId="47F370E6">
            <w:pPr>
              <w:spacing w:line="240" w:lineRule="auto"/>
              <w:ind w:left="-72" w:leftChars="-30" w:right="-72" w:rightChars="-30" w:firstLine="0" w:firstLineChars="0"/>
              <w:jc w:val="center"/>
              <w:rPr>
                <w:color w:val="auto"/>
                <w:sz w:val="21"/>
                <w:szCs w:val="21"/>
                <w:highlight w:val="none"/>
              </w:rPr>
            </w:pPr>
          </w:p>
        </w:tc>
        <w:tc>
          <w:tcPr>
            <w:tcW w:w="409" w:type="pct"/>
            <w:vMerge w:val="continue"/>
            <w:tcBorders>
              <w:tl2br w:val="nil"/>
              <w:tr2bl w:val="nil"/>
            </w:tcBorders>
            <w:vAlign w:val="center"/>
          </w:tcPr>
          <w:p w14:paraId="613F0CEE">
            <w:pPr>
              <w:spacing w:line="240" w:lineRule="auto"/>
              <w:ind w:left="-72" w:leftChars="-30" w:right="-72" w:rightChars="-30" w:firstLine="0" w:firstLineChars="0"/>
              <w:jc w:val="center"/>
              <w:rPr>
                <w:color w:val="auto"/>
                <w:sz w:val="21"/>
                <w:szCs w:val="21"/>
                <w:highlight w:val="none"/>
              </w:rPr>
            </w:pPr>
          </w:p>
        </w:tc>
      </w:tr>
      <w:tr w14:paraId="201C44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9" w:type="pct"/>
            <w:vMerge w:val="continue"/>
            <w:tcBorders>
              <w:tl2br w:val="nil"/>
              <w:tr2bl w:val="nil"/>
            </w:tcBorders>
            <w:vAlign w:val="center"/>
          </w:tcPr>
          <w:p w14:paraId="0E0AE957">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53A669CC">
            <w:pPr>
              <w:spacing w:line="240" w:lineRule="auto"/>
              <w:ind w:left="-72" w:leftChars="-30" w:right="-72" w:rightChars="-30" w:firstLine="0" w:firstLineChars="0"/>
              <w:jc w:val="center"/>
              <w:rPr>
                <w:color w:val="auto"/>
                <w:sz w:val="21"/>
                <w:szCs w:val="21"/>
                <w:highlight w:val="none"/>
              </w:rPr>
            </w:pPr>
          </w:p>
        </w:tc>
        <w:tc>
          <w:tcPr>
            <w:tcW w:w="612" w:type="pct"/>
            <w:tcBorders>
              <w:tl2br w:val="nil"/>
              <w:tr2bl w:val="nil"/>
            </w:tcBorders>
            <w:vAlign w:val="center"/>
          </w:tcPr>
          <w:p w14:paraId="3235A3FB">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42</w:t>
            </w:r>
          </w:p>
        </w:tc>
        <w:tc>
          <w:tcPr>
            <w:tcW w:w="569" w:type="pct"/>
            <w:tcBorders>
              <w:tl2br w:val="nil"/>
              <w:tr2bl w:val="nil"/>
            </w:tcBorders>
            <w:vAlign w:val="center"/>
          </w:tcPr>
          <w:p w14:paraId="4EE0AB1A">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-138</w:t>
            </w:r>
          </w:p>
        </w:tc>
        <w:tc>
          <w:tcPr>
            <w:tcW w:w="474" w:type="pct"/>
            <w:vMerge w:val="continue"/>
            <w:tcBorders>
              <w:tl2br w:val="nil"/>
              <w:tr2bl w:val="nil"/>
            </w:tcBorders>
            <w:vAlign w:val="center"/>
          </w:tcPr>
          <w:p w14:paraId="1C10D2E6">
            <w:pPr>
              <w:spacing w:line="240" w:lineRule="auto"/>
              <w:ind w:left="-72" w:leftChars="-30" w:right="-72" w:rightChars="-30" w:firstLine="0" w:firstLineChars="0"/>
              <w:jc w:val="center"/>
              <w:rPr>
                <w:color w:val="auto"/>
                <w:sz w:val="21"/>
                <w:szCs w:val="21"/>
                <w:highlight w:val="none"/>
              </w:rPr>
            </w:pPr>
          </w:p>
        </w:tc>
        <w:tc>
          <w:tcPr>
            <w:tcW w:w="443" w:type="pct"/>
            <w:vMerge w:val="continue"/>
            <w:tcBorders>
              <w:tl2br w:val="nil"/>
              <w:tr2bl w:val="nil"/>
            </w:tcBorders>
            <w:vAlign w:val="center"/>
          </w:tcPr>
          <w:p w14:paraId="4C777BD9">
            <w:pPr>
              <w:spacing w:line="240" w:lineRule="auto"/>
              <w:ind w:left="-72" w:leftChars="-30" w:right="-72" w:rightChars="-30" w:firstLine="0" w:firstLineChars="0"/>
              <w:jc w:val="center"/>
              <w:rPr>
                <w:color w:val="auto"/>
                <w:sz w:val="21"/>
                <w:szCs w:val="21"/>
                <w:highlight w:val="none"/>
              </w:rPr>
            </w:pPr>
          </w:p>
        </w:tc>
        <w:tc>
          <w:tcPr>
            <w:tcW w:w="443" w:type="pct"/>
            <w:vMerge w:val="continue"/>
            <w:tcBorders>
              <w:tl2br w:val="nil"/>
              <w:tr2bl w:val="nil"/>
            </w:tcBorders>
            <w:vAlign w:val="center"/>
          </w:tcPr>
          <w:p w14:paraId="1ED719D0">
            <w:pPr>
              <w:spacing w:line="240" w:lineRule="auto"/>
              <w:ind w:left="-72" w:leftChars="-30" w:right="-72" w:rightChars="-30" w:firstLine="0" w:firstLineChars="0"/>
              <w:jc w:val="center"/>
              <w:rPr>
                <w:color w:val="auto"/>
                <w:sz w:val="21"/>
                <w:szCs w:val="21"/>
                <w:highlight w:val="none"/>
              </w:rPr>
            </w:pPr>
          </w:p>
        </w:tc>
        <w:tc>
          <w:tcPr>
            <w:tcW w:w="553" w:type="pct"/>
            <w:vMerge w:val="continue"/>
            <w:tcBorders>
              <w:tl2br w:val="nil"/>
              <w:tr2bl w:val="nil"/>
            </w:tcBorders>
            <w:vAlign w:val="center"/>
          </w:tcPr>
          <w:p w14:paraId="3D05FC35">
            <w:pPr>
              <w:spacing w:line="240" w:lineRule="auto"/>
              <w:ind w:left="-72" w:leftChars="-30" w:right="-72" w:rightChars="-30" w:firstLine="0" w:firstLineChars="0"/>
              <w:jc w:val="center"/>
              <w:rPr>
                <w:color w:val="auto"/>
                <w:sz w:val="21"/>
                <w:szCs w:val="21"/>
                <w:highlight w:val="none"/>
              </w:rPr>
            </w:pPr>
          </w:p>
        </w:tc>
        <w:tc>
          <w:tcPr>
            <w:tcW w:w="405" w:type="pct"/>
            <w:vMerge w:val="continue"/>
            <w:tcBorders>
              <w:tl2br w:val="nil"/>
              <w:tr2bl w:val="nil"/>
            </w:tcBorders>
            <w:vAlign w:val="center"/>
          </w:tcPr>
          <w:p w14:paraId="29A94736">
            <w:pPr>
              <w:spacing w:line="240" w:lineRule="auto"/>
              <w:ind w:left="-72" w:leftChars="-30" w:right="-72" w:rightChars="-30" w:firstLine="0" w:firstLineChars="0"/>
              <w:jc w:val="center"/>
              <w:rPr>
                <w:color w:val="auto"/>
                <w:sz w:val="21"/>
                <w:szCs w:val="21"/>
                <w:highlight w:val="none"/>
              </w:rPr>
            </w:pPr>
          </w:p>
        </w:tc>
        <w:tc>
          <w:tcPr>
            <w:tcW w:w="405" w:type="pct"/>
            <w:vMerge w:val="continue"/>
            <w:tcBorders>
              <w:tl2br w:val="nil"/>
              <w:tr2bl w:val="nil"/>
            </w:tcBorders>
            <w:vAlign w:val="center"/>
          </w:tcPr>
          <w:p w14:paraId="5E1DA0CE">
            <w:pPr>
              <w:spacing w:line="240" w:lineRule="auto"/>
              <w:ind w:left="-72" w:leftChars="-30" w:right="-72" w:rightChars="-30" w:firstLine="0" w:firstLineChars="0"/>
              <w:jc w:val="center"/>
              <w:rPr>
                <w:color w:val="auto"/>
                <w:sz w:val="21"/>
                <w:szCs w:val="21"/>
                <w:highlight w:val="none"/>
              </w:rPr>
            </w:pPr>
          </w:p>
        </w:tc>
        <w:tc>
          <w:tcPr>
            <w:tcW w:w="409" w:type="pct"/>
            <w:vMerge w:val="continue"/>
            <w:tcBorders>
              <w:tl2br w:val="nil"/>
              <w:tr2bl w:val="nil"/>
            </w:tcBorders>
            <w:vAlign w:val="center"/>
          </w:tcPr>
          <w:p w14:paraId="31AEF5E6">
            <w:pPr>
              <w:spacing w:line="240" w:lineRule="auto"/>
              <w:ind w:left="-72" w:leftChars="-30" w:right="-72" w:rightChars="-30" w:firstLine="0" w:firstLineChars="0"/>
              <w:jc w:val="center"/>
              <w:rPr>
                <w:color w:val="auto"/>
                <w:sz w:val="21"/>
                <w:szCs w:val="21"/>
                <w:highlight w:val="none"/>
              </w:rPr>
            </w:pPr>
          </w:p>
        </w:tc>
      </w:tr>
      <w:tr w14:paraId="52FE03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9" w:type="pct"/>
            <w:vMerge w:val="continue"/>
            <w:tcBorders>
              <w:tl2br w:val="nil"/>
              <w:tr2bl w:val="nil"/>
            </w:tcBorders>
            <w:vAlign w:val="center"/>
          </w:tcPr>
          <w:p w14:paraId="776CB710">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20B7CE0F">
            <w:pPr>
              <w:spacing w:line="240" w:lineRule="auto"/>
              <w:ind w:left="-72" w:leftChars="-30" w:right="-72" w:rightChars="-30" w:firstLine="0" w:firstLineChars="0"/>
              <w:jc w:val="center"/>
              <w:rPr>
                <w:color w:val="auto"/>
                <w:sz w:val="21"/>
                <w:szCs w:val="21"/>
                <w:highlight w:val="none"/>
              </w:rPr>
            </w:pPr>
          </w:p>
        </w:tc>
        <w:tc>
          <w:tcPr>
            <w:tcW w:w="612" w:type="pct"/>
            <w:tcBorders>
              <w:tl2br w:val="nil"/>
              <w:tr2bl w:val="nil"/>
            </w:tcBorders>
            <w:vAlign w:val="center"/>
          </w:tcPr>
          <w:p w14:paraId="4668E8FF">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-50</w:t>
            </w:r>
          </w:p>
        </w:tc>
        <w:tc>
          <w:tcPr>
            <w:tcW w:w="569" w:type="pct"/>
            <w:tcBorders>
              <w:tl2br w:val="nil"/>
              <w:tr2bl w:val="nil"/>
            </w:tcBorders>
            <w:vAlign w:val="center"/>
          </w:tcPr>
          <w:p w14:paraId="41BF466B">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-138</w:t>
            </w:r>
          </w:p>
        </w:tc>
        <w:tc>
          <w:tcPr>
            <w:tcW w:w="474" w:type="pct"/>
            <w:vMerge w:val="continue"/>
            <w:tcBorders>
              <w:tl2br w:val="nil"/>
              <w:tr2bl w:val="nil"/>
            </w:tcBorders>
            <w:vAlign w:val="center"/>
          </w:tcPr>
          <w:p w14:paraId="61FD5128">
            <w:pPr>
              <w:spacing w:line="240" w:lineRule="auto"/>
              <w:ind w:left="-72" w:leftChars="-30" w:right="-72" w:rightChars="-30" w:firstLine="0" w:firstLineChars="0"/>
              <w:jc w:val="center"/>
              <w:rPr>
                <w:color w:val="auto"/>
                <w:sz w:val="21"/>
                <w:szCs w:val="21"/>
                <w:highlight w:val="none"/>
              </w:rPr>
            </w:pPr>
          </w:p>
        </w:tc>
        <w:tc>
          <w:tcPr>
            <w:tcW w:w="443" w:type="pct"/>
            <w:vMerge w:val="continue"/>
            <w:tcBorders>
              <w:tl2br w:val="nil"/>
              <w:tr2bl w:val="nil"/>
            </w:tcBorders>
            <w:vAlign w:val="center"/>
          </w:tcPr>
          <w:p w14:paraId="4E1F6703">
            <w:pPr>
              <w:spacing w:line="240" w:lineRule="auto"/>
              <w:ind w:left="-72" w:leftChars="-30" w:right="-72" w:rightChars="-30" w:firstLine="0" w:firstLineChars="0"/>
              <w:jc w:val="center"/>
              <w:rPr>
                <w:color w:val="auto"/>
                <w:sz w:val="21"/>
                <w:szCs w:val="21"/>
                <w:highlight w:val="none"/>
              </w:rPr>
            </w:pPr>
          </w:p>
        </w:tc>
        <w:tc>
          <w:tcPr>
            <w:tcW w:w="443" w:type="pct"/>
            <w:vMerge w:val="continue"/>
            <w:tcBorders>
              <w:tl2br w:val="nil"/>
              <w:tr2bl w:val="nil"/>
            </w:tcBorders>
            <w:vAlign w:val="center"/>
          </w:tcPr>
          <w:p w14:paraId="25BFC51E">
            <w:pPr>
              <w:spacing w:line="240" w:lineRule="auto"/>
              <w:ind w:left="-72" w:leftChars="-30" w:right="-72" w:rightChars="-30" w:firstLine="0" w:firstLineChars="0"/>
              <w:jc w:val="center"/>
              <w:rPr>
                <w:color w:val="auto"/>
                <w:sz w:val="21"/>
                <w:szCs w:val="21"/>
                <w:highlight w:val="none"/>
              </w:rPr>
            </w:pPr>
          </w:p>
        </w:tc>
        <w:tc>
          <w:tcPr>
            <w:tcW w:w="553" w:type="pct"/>
            <w:vMerge w:val="continue"/>
            <w:tcBorders>
              <w:tl2br w:val="nil"/>
              <w:tr2bl w:val="nil"/>
            </w:tcBorders>
            <w:vAlign w:val="center"/>
          </w:tcPr>
          <w:p w14:paraId="48F9E05F">
            <w:pPr>
              <w:spacing w:line="240" w:lineRule="auto"/>
              <w:ind w:left="-72" w:leftChars="-30" w:right="-72" w:rightChars="-30" w:firstLine="0" w:firstLineChars="0"/>
              <w:jc w:val="center"/>
              <w:rPr>
                <w:color w:val="auto"/>
                <w:sz w:val="21"/>
                <w:szCs w:val="21"/>
                <w:highlight w:val="none"/>
              </w:rPr>
            </w:pPr>
          </w:p>
        </w:tc>
        <w:tc>
          <w:tcPr>
            <w:tcW w:w="405" w:type="pct"/>
            <w:vMerge w:val="continue"/>
            <w:tcBorders>
              <w:tl2br w:val="nil"/>
              <w:tr2bl w:val="nil"/>
            </w:tcBorders>
            <w:vAlign w:val="center"/>
          </w:tcPr>
          <w:p w14:paraId="35217980">
            <w:pPr>
              <w:spacing w:line="240" w:lineRule="auto"/>
              <w:ind w:left="-72" w:leftChars="-30" w:right="-72" w:rightChars="-30" w:firstLine="0" w:firstLineChars="0"/>
              <w:jc w:val="center"/>
              <w:rPr>
                <w:color w:val="auto"/>
                <w:sz w:val="21"/>
                <w:szCs w:val="21"/>
                <w:highlight w:val="none"/>
              </w:rPr>
            </w:pPr>
          </w:p>
        </w:tc>
        <w:tc>
          <w:tcPr>
            <w:tcW w:w="405" w:type="pct"/>
            <w:vMerge w:val="continue"/>
            <w:tcBorders>
              <w:tl2br w:val="nil"/>
              <w:tr2bl w:val="nil"/>
            </w:tcBorders>
            <w:vAlign w:val="center"/>
          </w:tcPr>
          <w:p w14:paraId="603EE6EF">
            <w:pPr>
              <w:spacing w:line="240" w:lineRule="auto"/>
              <w:ind w:left="-72" w:leftChars="-30" w:right="-72" w:rightChars="-30" w:firstLine="0" w:firstLineChars="0"/>
              <w:jc w:val="center"/>
              <w:rPr>
                <w:color w:val="auto"/>
                <w:sz w:val="21"/>
                <w:szCs w:val="21"/>
                <w:highlight w:val="none"/>
              </w:rPr>
            </w:pPr>
          </w:p>
        </w:tc>
        <w:tc>
          <w:tcPr>
            <w:tcW w:w="409" w:type="pct"/>
            <w:vMerge w:val="continue"/>
            <w:tcBorders>
              <w:tl2br w:val="nil"/>
              <w:tr2bl w:val="nil"/>
            </w:tcBorders>
            <w:vAlign w:val="center"/>
          </w:tcPr>
          <w:p w14:paraId="682E4AF2">
            <w:pPr>
              <w:spacing w:line="240" w:lineRule="auto"/>
              <w:ind w:left="-72" w:leftChars="-30" w:right="-72" w:rightChars="-30" w:firstLine="0" w:firstLineChars="0"/>
              <w:jc w:val="center"/>
              <w:rPr>
                <w:color w:val="auto"/>
                <w:sz w:val="21"/>
                <w:szCs w:val="21"/>
                <w:highlight w:val="none"/>
              </w:rPr>
            </w:pPr>
          </w:p>
        </w:tc>
      </w:tr>
      <w:tr w14:paraId="6B3EAE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9" w:type="pct"/>
            <w:vMerge w:val="continue"/>
            <w:tcBorders>
              <w:tl2br w:val="nil"/>
              <w:tr2bl w:val="nil"/>
            </w:tcBorders>
            <w:vAlign w:val="center"/>
          </w:tcPr>
          <w:p w14:paraId="75E779AB">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4C339865">
            <w:pPr>
              <w:spacing w:line="240" w:lineRule="auto"/>
              <w:ind w:left="-72" w:leftChars="-30" w:right="-72" w:rightChars="-30" w:firstLine="0" w:firstLineChars="0"/>
              <w:jc w:val="center"/>
              <w:rPr>
                <w:color w:val="auto"/>
                <w:sz w:val="21"/>
                <w:szCs w:val="21"/>
                <w:highlight w:val="none"/>
              </w:rPr>
            </w:pPr>
          </w:p>
        </w:tc>
        <w:tc>
          <w:tcPr>
            <w:tcW w:w="612" w:type="pct"/>
            <w:tcBorders>
              <w:tl2br w:val="nil"/>
              <w:tr2bl w:val="nil"/>
            </w:tcBorders>
            <w:vAlign w:val="center"/>
          </w:tcPr>
          <w:p w14:paraId="726A3D85">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-62</w:t>
            </w:r>
          </w:p>
        </w:tc>
        <w:tc>
          <w:tcPr>
            <w:tcW w:w="569" w:type="pct"/>
            <w:tcBorders>
              <w:tl2br w:val="nil"/>
              <w:tr2bl w:val="nil"/>
            </w:tcBorders>
            <w:vAlign w:val="center"/>
          </w:tcPr>
          <w:p w14:paraId="70C7078E">
            <w:pPr>
              <w:spacing w:line="240" w:lineRule="auto"/>
              <w:ind w:left="-72" w:leftChars="-30" w:right="-72" w:rightChars="-30" w:firstLine="0" w:firstLineChars="0"/>
              <w:jc w:val="center"/>
              <w:rPr>
                <w:color w:val="auto"/>
                <w:sz w:val="21"/>
                <w:szCs w:val="21"/>
                <w:highlight w:val="none"/>
              </w:rPr>
            </w:pPr>
            <w:r>
              <w:rPr>
                <w:color w:val="auto"/>
                <w:sz w:val="21"/>
                <w:szCs w:val="21"/>
                <w:highlight w:val="none"/>
              </w:rPr>
              <w:t>167</w:t>
            </w:r>
          </w:p>
        </w:tc>
        <w:tc>
          <w:tcPr>
            <w:tcW w:w="474" w:type="pct"/>
            <w:vMerge w:val="continue"/>
            <w:tcBorders>
              <w:tl2br w:val="nil"/>
              <w:tr2bl w:val="nil"/>
            </w:tcBorders>
            <w:vAlign w:val="center"/>
          </w:tcPr>
          <w:p w14:paraId="1E79D6B0">
            <w:pPr>
              <w:spacing w:line="240" w:lineRule="auto"/>
              <w:ind w:left="-72" w:leftChars="-30" w:right="-72" w:rightChars="-30" w:firstLine="0" w:firstLineChars="0"/>
              <w:jc w:val="center"/>
              <w:rPr>
                <w:color w:val="auto"/>
                <w:sz w:val="21"/>
                <w:szCs w:val="21"/>
                <w:highlight w:val="none"/>
              </w:rPr>
            </w:pPr>
          </w:p>
        </w:tc>
        <w:tc>
          <w:tcPr>
            <w:tcW w:w="443" w:type="pct"/>
            <w:vMerge w:val="continue"/>
            <w:tcBorders>
              <w:tl2br w:val="nil"/>
              <w:tr2bl w:val="nil"/>
            </w:tcBorders>
            <w:vAlign w:val="center"/>
          </w:tcPr>
          <w:p w14:paraId="432DDA68">
            <w:pPr>
              <w:spacing w:line="240" w:lineRule="auto"/>
              <w:ind w:left="-72" w:leftChars="-30" w:right="-72" w:rightChars="-30" w:firstLine="0" w:firstLineChars="0"/>
              <w:jc w:val="center"/>
              <w:rPr>
                <w:color w:val="auto"/>
                <w:sz w:val="21"/>
                <w:szCs w:val="21"/>
                <w:highlight w:val="none"/>
              </w:rPr>
            </w:pPr>
          </w:p>
        </w:tc>
        <w:tc>
          <w:tcPr>
            <w:tcW w:w="443" w:type="pct"/>
            <w:vMerge w:val="continue"/>
            <w:tcBorders>
              <w:tl2br w:val="nil"/>
              <w:tr2bl w:val="nil"/>
            </w:tcBorders>
            <w:vAlign w:val="center"/>
          </w:tcPr>
          <w:p w14:paraId="512091A9">
            <w:pPr>
              <w:spacing w:line="240" w:lineRule="auto"/>
              <w:ind w:left="-72" w:leftChars="-30" w:right="-72" w:rightChars="-30" w:firstLine="0" w:firstLineChars="0"/>
              <w:jc w:val="center"/>
              <w:rPr>
                <w:color w:val="auto"/>
                <w:sz w:val="21"/>
                <w:szCs w:val="21"/>
                <w:highlight w:val="none"/>
              </w:rPr>
            </w:pPr>
          </w:p>
        </w:tc>
        <w:tc>
          <w:tcPr>
            <w:tcW w:w="553" w:type="pct"/>
            <w:vMerge w:val="continue"/>
            <w:tcBorders>
              <w:tl2br w:val="nil"/>
              <w:tr2bl w:val="nil"/>
            </w:tcBorders>
            <w:vAlign w:val="center"/>
          </w:tcPr>
          <w:p w14:paraId="6980DDFA">
            <w:pPr>
              <w:spacing w:line="240" w:lineRule="auto"/>
              <w:ind w:left="-72" w:leftChars="-30" w:right="-72" w:rightChars="-30" w:firstLine="0" w:firstLineChars="0"/>
              <w:jc w:val="center"/>
              <w:rPr>
                <w:color w:val="auto"/>
                <w:sz w:val="21"/>
                <w:szCs w:val="21"/>
                <w:highlight w:val="none"/>
              </w:rPr>
            </w:pPr>
          </w:p>
        </w:tc>
        <w:tc>
          <w:tcPr>
            <w:tcW w:w="405" w:type="pct"/>
            <w:vMerge w:val="continue"/>
            <w:tcBorders>
              <w:tl2br w:val="nil"/>
              <w:tr2bl w:val="nil"/>
            </w:tcBorders>
            <w:vAlign w:val="center"/>
          </w:tcPr>
          <w:p w14:paraId="0FD0BB01">
            <w:pPr>
              <w:spacing w:line="240" w:lineRule="auto"/>
              <w:ind w:left="-72" w:leftChars="-30" w:right="-72" w:rightChars="-30" w:firstLine="0" w:firstLineChars="0"/>
              <w:jc w:val="center"/>
              <w:rPr>
                <w:color w:val="auto"/>
                <w:sz w:val="21"/>
                <w:szCs w:val="21"/>
                <w:highlight w:val="none"/>
              </w:rPr>
            </w:pPr>
          </w:p>
        </w:tc>
        <w:tc>
          <w:tcPr>
            <w:tcW w:w="405" w:type="pct"/>
            <w:vMerge w:val="continue"/>
            <w:tcBorders>
              <w:tl2br w:val="nil"/>
              <w:tr2bl w:val="nil"/>
            </w:tcBorders>
            <w:vAlign w:val="center"/>
          </w:tcPr>
          <w:p w14:paraId="55A2E084">
            <w:pPr>
              <w:spacing w:line="240" w:lineRule="auto"/>
              <w:ind w:left="-72" w:leftChars="-30" w:right="-72" w:rightChars="-30" w:firstLine="0" w:firstLineChars="0"/>
              <w:jc w:val="center"/>
              <w:rPr>
                <w:color w:val="auto"/>
                <w:sz w:val="21"/>
                <w:szCs w:val="21"/>
                <w:highlight w:val="none"/>
              </w:rPr>
            </w:pPr>
          </w:p>
        </w:tc>
        <w:tc>
          <w:tcPr>
            <w:tcW w:w="409" w:type="pct"/>
            <w:vMerge w:val="continue"/>
            <w:tcBorders>
              <w:tl2br w:val="nil"/>
              <w:tr2bl w:val="nil"/>
            </w:tcBorders>
            <w:vAlign w:val="center"/>
          </w:tcPr>
          <w:p w14:paraId="648C08E9">
            <w:pPr>
              <w:spacing w:line="240" w:lineRule="auto"/>
              <w:ind w:left="-72" w:leftChars="-30" w:right="-72" w:rightChars="-30" w:firstLine="0" w:firstLineChars="0"/>
              <w:jc w:val="center"/>
              <w:rPr>
                <w:color w:val="auto"/>
                <w:sz w:val="21"/>
                <w:szCs w:val="21"/>
                <w:highlight w:val="none"/>
              </w:rPr>
            </w:pPr>
          </w:p>
        </w:tc>
      </w:tr>
    </w:tbl>
    <w:p w14:paraId="5EAB1FDF">
      <w:pPr>
        <w:ind w:firstLine="480"/>
        <w:rPr>
          <w:color w:val="auto"/>
          <w:highlight w:val="none"/>
        </w:rPr>
      </w:pPr>
    </w:p>
    <w:p w14:paraId="65F29FD3">
      <w:pPr>
        <w:ind w:firstLine="480"/>
        <w:rPr>
          <w:b/>
          <w:bCs/>
          <w:color w:val="auto"/>
          <w:highlight w:val="none"/>
        </w:rPr>
      </w:pPr>
      <w:r>
        <w:rPr>
          <w:rFonts w:hint="eastAsia"/>
          <w:b/>
          <w:bCs/>
          <w:color w:val="auto"/>
          <w:highlight w:val="none"/>
        </w:rPr>
        <w:t>（2）全厂现有工程污染源（计算大气防护距离用）</w:t>
      </w:r>
    </w:p>
    <w:p w14:paraId="27EA5E7C">
      <w:pPr>
        <w:spacing w:line="240" w:lineRule="auto"/>
        <w:ind w:firstLine="0" w:firstLineChars="0"/>
        <w:jc w:val="center"/>
        <w:rPr>
          <w:b/>
          <w:bCs/>
          <w:color w:val="auto"/>
          <w:sz w:val="21"/>
          <w:szCs w:val="21"/>
          <w:highlight w:val="none"/>
        </w:rPr>
      </w:pPr>
      <w:r>
        <w:rPr>
          <w:b/>
          <w:bCs/>
          <w:color w:val="auto"/>
          <w:sz w:val="21"/>
          <w:szCs w:val="21"/>
          <w:highlight w:val="none"/>
        </w:rPr>
        <w:t>表4.2-</w:t>
      </w:r>
      <w:r>
        <w:rPr>
          <w:rFonts w:hint="eastAsia"/>
          <w:b/>
          <w:bCs/>
          <w:color w:val="auto"/>
          <w:sz w:val="21"/>
          <w:szCs w:val="21"/>
          <w:highlight w:val="none"/>
        </w:rPr>
        <w:t>13现有工程</w:t>
      </w:r>
      <w:r>
        <w:rPr>
          <w:b/>
          <w:bCs/>
          <w:color w:val="auto"/>
          <w:sz w:val="21"/>
          <w:szCs w:val="21"/>
          <w:highlight w:val="none"/>
        </w:rPr>
        <w:t>无组织面源排放参数表</w:t>
      </w:r>
    </w:p>
    <w:tbl>
      <w:tblPr>
        <w:tblStyle w:val="9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4"/>
        <w:gridCol w:w="1268"/>
        <w:gridCol w:w="960"/>
        <w:gridCol w:w="1190"/>
        <w:gridCol w:w="990"/>
        <w:gridCol w:w="925"/>
        <w:gridCol w:w="925"/>
        <w:gridCol w:w="845"/>
        <w:gridCol w:w="845"/>
        <w:gridCol w:w="858"/>
      </w:tblGrid>
      <w:tr w14:paraId="63B033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56" w:type="pct"/>
            <w:vMerge w:val="restart"/>
            <w:tcBorders>
              <w:tl2br w:val="nil"/>
              <w:tr2bl w:val="nil"/>
            </w:tcBorders>
            <w:vAlign w:val="center"/>
          </w:tcPr>
          <w:p w14:paraId="6537860C">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序号</w:t>
            </w:r>
          </w:p>
        </w:tc>
        <w:tc>
          <w:tcPr>
            <w:tcW w:w="683" w:type="pct"/>
            <w:vMerge w:val="restart"/>
            <w:tcBorders>
              <w:tl2br w:val="nil"/>
              <w:tr2bl w:val="nil"/>
            </w:tcBorders>
            <w:vAlign w:val="center"/>
          </w:tcPr>
          <w:p w14:paraId="1E1E73BF">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面源污染源</w:t>
            </w:r>
          </w:p>
        </w:tc>
        <w:tc>
          <w:tcPr>
            <w:tcW w:w="1158" w:type="pct"/>
            <w:gridSpan w:val="2"/>
            <w:tcBorders>
              <w:tl2br w:val="nil"/>
              <w:tr2bl w:val="nil"/>
            </w:tcBorders>
            <w:vAlign w:val="center"/>
          </w:tcPr>
          <w:p w14:paraId="114B23C2">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坐标</w:t>
            </w:r>
          </w:p>
        </w:tc>
        <w:tc>
          <w:tcPr>
            <w:tcW w:w="533" w:type="pct"/>
            <w:vMerge w:val="restart"/>
            <w:tcBorders>
              <w:tl2br w:val="nil"/>
              <w:tr2bl w:val="nil"/>
            </w:tcBorders>
            <w:vAlign w:val="center"/>
          </w:tcPr>
          <w:p w14:paraId="0AA773E4">
            <w:pPr>
              <w:widowControl/>
              <w:spacing w:line="240" w:lineRule="auto"/>
              <w:ind w:firstLine="0" w:firstLineChars="0"/>
              <w:jc w:val="center"/>
              <w:rPr>
                <w:b/>
                <w:bCs/>
                <w:color w:val="auto"/>
                <w:sz w:val="21"/>
                <w:szCs w:val="21"/>
                <w:highlight w:val="none"/>
              </w:rPr>
            </w:pPr>
            <w:r>
              <w:rPr>
                <w:b/>
                <w:bCs/>
                <w:color w:val="auto"/>
                <w:sz w:val="21"/>
                <w:szCs w:val="21"/>
                <w:highlight w:val="none"/>
              </w:rPr>
              <w:t>地面高程</w:t>
            </w:r>
          </w:p>
          <w:p w14:paraId="55159DF6">
            <w:pPr>
              <w:widowControl/>
              <w:spacing w:line="240" w:lineRule="auto"/>
              <w:ind w:firstLine="0" w:firstLineChars="0"/>
              <w:jc w:val="center"/>
              <w:rPr>
                <w:b/>
                <w:bCs/>
                <w:color w:val="auto"/>
                <w:sz w:val="21"/>
                <w:szCs w:val="21"/>
                <w:highlight w:val="none"/>
              </w:rPr>
            </w:pPr>
            <w:r>
              <w:rPr>
                <w:rFonts w:hint="eastAsia"/>
                <w:b/>
                <w:bCs/>
                <w:color w:val="auto"/>
                <w:sz w:val="21"/>
                <w:szCs w:val="21"/>
                <w:highlight w:val="none"/>
              </w:rPr>
              <w:t>/</w:t>
            </w:r>
            <w:r>
              <w:rPr>
                <w:b/>
                <w:bCs/>
                <w:color w:val="auto"/>
                <w:sz w:val="21"/>
                <w:szCs w:val="21"/>
                <w:highlight w:val="none"/>
              </w:rPr>
              <w:t>m</w:t>
            </w:r>
          </w:p>
        </w:tc>
        <w:tc>
          <w:tcPr>
            <w:tcW w:w="498" w:type="pct"/>
            <w:vMerge w:val="restart"/>
            <w:tcBorders>
              <w:tl2br w:val="nil"/>
              <w:tr2bl w:val="nil"/>
            </w:tcBorders>
            <w:vAlign w:val="center"/>
          </w:tcPr>
          <w:p w14:paraId="3959BFAF">
            <w:pPr>
              <w:widowControl/>
              <w:spacing w:line="240" w:lineRule="auto"/>
              <w:ind w:firstLine="0" w:firstLineChars="0"/>
              <w:jc w:val="center"/>
              <w:rPr>
                <w:b/>
                <w:bCs/>
                <w:color w:val="auto"/>
                <w:sz w:val="21"/>
                <w:szCs w:val="21"/>
                <w:highlight w:val="none"/>
              </w:rPr>
            </w:pPr>
            <w:r>
              <w:rPr>
                <w:rFonts w:hint="eastAsia"/>
                <w:b/>
                <w:bCs/>
                <w:color w:val="auto"/>
                <w:sz w:val="21"/>
                <w:szCs w:val="21"/>
                <w:highlight w:val="none"/>
              </w:rPr>
              <w:t>有效</w:t>
            </w:r>
            <w:r>
              <w:rPr>
                <w:b/>
                <w:bCs/>
                <w:color w:val="auto"/>
                <w:sz w:val="21"/>
                <w:szCs w:val="21"/>
                <w:highlight w:val="none"/>
              </w:rPr>
              <w:t>排放高度</w:t>
            </w:r>
            <w:r>
              <w:rPr>
                <w:rFonts w:hint="eastAsia"/>
                <w:b/>
                <w:bCs/>
                <w:color w:val="auto"/>
                <w:sz w:val="21"/>
                <w:szCs w:val="21"/>
                <w:highlight w:val="none"/>
              </w:rPr>
              <w:t>/</w:t>
            </w:r>
            <w:r>
              <w:rPr>
                <w:b/>
                <w:bCs/>
                <w:color w:val="auto"/>
                <w:sz w:val="21"/>
                <w:szCs w:val="21"/>
                <w:highlight w:val="none"/>
              </w:rPr>
              <w:t>m</w:t>
            </w:r>
          </w:p>
        </w:tc>
        <w:tc>
          <w:tcPr>
            <w:tcW w:w="498" w:type="pct"/>
            <w:vMerge w:val="restart"/>
            <w:tcBorders>
              <w:tl2br w:val="nil"/>
              <w:tr2bl w:val="nil"/>
            </w:tcBorders>
            <w:vAlign w:val="center"/>
          </w:tcPr>
          <w:p w14:paraId="431B63D5">
            <w:pPr>
              <w:widowControl/>
              <w:spacing w:line="240" w:lineRule="auto"/>
              <w:ind w:firstLine="0" w:firstLineChars="0"/>
              <w:jc w:val="center"/>
              <w:rPr>
                <w:b/>
                <w:bCs/>
                <w:color w:val="auto"/>
                <w:sz w:val="21"/>
                <w:szCs w:val="21"/>
                <w:highlight w:val="none"/>
              </w:rPr>
            </w:pPr>
            <w:r>
              <w:rPr>
                <w:b/>
                <w:bCs/>
                <w:color w:val="auto"/>
                <w:sz w:val="21"/>
                <w:szCs w:val="21"/>
                <w:highlight w:val="none"/>
              </w:rPr>
              <w:t>年排放时间</w:t>
            </w:r>
            <w:r>
              <w:rPr>
                <w:rFonts w:hint="eastAsia"/>
                <w:b/>
                <w:bCs/>
                <w:color w:val="auto"/>
                <w:sz w:val="21"/>
                <w:szCs w:val="21"/>
                <w:highlight w:val="none"/>
              </w:rPr>
              <w:t>/</w:t>
            </w:r>
            <w:r>
              <w:rPr>
                <w:b/>
                <w:bCs/>
                <w:color w:val="auto"/>
                <w:sz w:val="21"/>
                <w:szCs w:val="21"/>
                <w:highlight w:val="none"/>
              </w:rPr>
              <w:t>h</w:t>
            </w:r>
          </w:p>
        </w:tc>
        <w:tc>
          <w:tcPr>
            <w:tcW w:w="1372" w:type="pct"/>
            <w:gridSpan w:val="3"/>
            <w:tcBorders>
              <w:tl2br w:val="nil"/>
              <w:tr2bl w:val="nil"/>
            </w:tcBorders>
            <w:vAlign w:val="center"/>
          </w:tcPr>
          <w:p w14:paraId="0CD1B242">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污染物排放情况（kg/h）</w:t>
            </w:r>
          </w:p>
        </w:tc>
      </w:tr>
      <w:tr w14:paraId="25701D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56" w:type="pct"/>
            <w:vMerge w:val="continue"/>
            <w:tcBorders>
              <w:tl2br w:val="nil"/>
              <w:tr2bl w:val="nil"/>
            </w:tcBorders>
            <w:vAlign w:val="center"/>
          </w:tcPr>
          <w:p w14:paraId="79A9A962">
            <w:pPr>
              <w:spacing w:line="240" w:lineRule="auto"/>
              <w:ind w:left="-72" w:leftChars="-30" w:right="-72" w:rightChars="-30" w:firstLine="0" w:firstLineChars="0"/>
              <w:jc w:val="center"/>
              <w:rPr>
                <w:b/>
                <w:bCs/>
                <w:color w:val="auto"/>
                <w:sz w:val="21"/>
                <w:szCs w:val="21"/>
                <w:highlight w:val="none"/>
              </w:rPr>
            </w:pPr>
          </w:p>
        </w:tc>
        <w:tc>
          <w:tcPr>
            <w:tcW w:w="683" w:type="pct"/>
            <w:vMerge w:val="continue"/>
            <w:tcBorders>
              <w:tl2br w:val="nil"/>
              <w:tr2bl w:val="nil"/>
            </w:tcBorders>
            <w:vAlign w:val="center"/>
          </w:tcPr>
          <w:p w14:paraId="7CD3FDB9">
            <w:pPr>
              <w:spacing w:line="240" w:lineRule="auto"/>
              <w:ind w:left="-72" w:leftChars="-30" w:right="-72" w:rightChars="-30" w:firstLine="0" w:firstLineChars="0"/>
              <w:jc w:val="center"/>
              <w:rPr>
                <w:b/>
                <w:bCs/>
                <w:color w:val="auto"/>
                <w:sz w:val="21"/>
                <w:szCs w:val="21"/>
                <w:highlight w:val="none"/>
              </w:rPr>
            </w:pPr>
          </w:p>
        </w:tc>
        <w:tc>
          <w:tcPr>
            <w:tcW w:w="517" w:type="pct"/>
            <w:tcBorders>
              <w:tl2br w:val="nil"/>
              <w:tr2bl w:val="nil"/>
            </w:tcBorders>
            <w:vAlign w:val="center"/>
          </w:tcPr>
          <w:p w14:paraId="6BB99C6A">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x</w:t>
            </w:r>
          </w:p>
        </w:tc>
        <w:tc>
          <w:tcPr>
            <w:tcW w:w="641" w:type="pct"/>
            <w:tcBorders>
              <w:tl2br w:val="nil"/>
              <w:tr2bl w:val="nil"/>
            </w:tcBorders>
            <w:vAlign w:val="center"/>
          </w:tcPr>
          <w:p w14:paraId="4AB2723D">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y</w:t>
            </w:r>
          </w:p>
        </w:tc>
        <w:tc>
          <w:tcPr>
            <w:tcW w:w="533" w:type="pct"/>
            <w:vMerge w:val="continue"/>
            <w:tcBorders>
              <w:tl2br w:val="nil"/>
              <w:tr2bl w:val="nil"/>
            </w:tcBorders>
            <w:vAlign w:val="center"/>
          </w:tcPr>
          <w:p w14:paraId="3AD55F02">
            <w:pPr>
              <w:spacing w:line="240" w:lineRule="auto"/>
              <w:ind w:left="-72" w:leftChars="-30" w:right="-72" w:rightChars="-30" w:firstLine="0" w:firstLineChars="0"/>
              <w:jc w:val="center"/>
              <w:rPr>
                <w:b/>
                <w:bCs/>
                <w:color w:val="auto"/>
                <w:sz w:val="21"/>
                <w:szCs w:val="21"/>
                <w:highlight w:val="none"/>
              </w:rPr>
            </w:pPr>
          </w:p>
        </w:tc>
        <w:tc>
          <w:tcPr>
            <w:tcW w:w="498" w:type="pct"/>
            <w:vMerge w:val="continue"/>
            <w:tcBorders>
              <w:tl2br w:val="nil"/>
              <w:tr2bl w:val="nil"/>
            </w:tcBorders>
            <w:vAlign w:val="center"/>
          </w:tcPr>
          <w:p w14:paraId="26AAA931">
            <w:pPr>
              <w:spacing w:line="240" w:lineRule="auto"/>
              <w:ind w:left="-72" w:leftChars="-30" w:right="-72" w:rightChars="-30" w:firstLine="0" w:firstLineChars="0"/>
              <w:jc w:val="center"/>
              <w:rPr>
                <w:b/>
                <w:bCs/>
                <w:color w:val="auto"/>
                <w:sz w:val="21"/>
                <w:szCs w:val="21"/>
                <w:highlight w:val="none"/>
              </w:rPr>
            </w:pPr>
          </w:p>
        </w:tc>
        <w:tc>
          <w:tcPr>
            <w:tcW w:w="498" w:type="pct"/>
            <w:vMerge w:val="continue"/>
            <w:tcBorders>
              <w:tl2br w:val="nil"/>
              <w:tr2bl w:val="nil"/>
            </w:tcBorders>
            <w:vAlign w:val="center"/>
          </w:tcPr>
          <w:p w14:paraId="7C2991FE">
            <w:pPr>
              <w:spacing w:line="240" w:lineRule="auto"/>
              <w:ind w:left="-72" w:leftChars="-30" w:right="-72" w:rightChars="-30" w:firstLine="0" w:firstLineChars="0"/>
              <w:jc w:val="center"/>
              <w:rPr>
                <w:b/>
                <w:bCs/>
                <w:color w:val="auto"/>
                <w:sz w:val="21"/>
                <w:szCs w:val="21"/>
                <w:highlight w:val="none"/>
              </w:rPr>
            </w:pPr>
          </w:p>
        </w:tc>
        <w:tc>
          <w:tcPr>
            <w:tcW w:w="455" w:type="pct"/>
            <w:tcBorders>
              <w:tl2br w:val="nil"/>
              <w:tr2bl w:val="nil"/>
            </w:tcBorders>
            <w:vAlign w:val="center"/>
          </w:tcPr>
          <w:p w14:paraId="61D2AB44">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二甲苯</w:t>
            </w:r>
          </w:p>
        </w:tc>
        <w:tc>
          <w:tcPr>
            <w:tcW w:w="455" w:type="pct"/>
            <w:tcBorders>
              <w:tl2br w:val="nil"/>
              <w:tr2bl w:val="nil"/>
            </w:tcBorders>
            <w:vAlign w:val="center"/>
          </w:tcPr>
          <w:p w14:paraId="6A01426B">
            <w:pPr>
              <w:spacing w:line="240" w:lineRule="auto"/>
              <w:ind w:left="-72" w:leftChars="-30" w:right="-72" w:rightChars="-30" w:firstLine="0" w:firstLineChars="0"/>
              <w:jc w:val="center"/>
              <w:rPr>
                <w:b/>
                <w:bCs/>
                <w:color w:val="auto"/>
                <w:sz w:val="21"/>
                <w:szCs w:val="21"/>
                <w:highlight w:val="none"/>
              </w:rPr>
            </w:pPr>
            <w:r>
              <w:rPr>
                <w:rFonts w:hint="eastAsia"/>
                <w:b/>
                <w:bCs/>
                <w:color w:val="auto"/>
                <w:sz w:val="21"/>
                <w:szCs w:val="21"/>
                <w:highlight w:val="none"/>
              </w:rPr>
              <w:t>T</w:t>
            </w:r>
            <w:r>
              <w:rPr>
                <w:b/>
                <w:bCs/>
                <w:color w:val="auto"/>
                <w:sz w:val="21"/>
                <w:szCs w:val="21"/>
                <w:highlight w:val="none"/>
              </w:rPr>
              <w:t>VOC</w:t>
            </w:r>
          </w:p>
        </w:tc>
        <w:tc>
          <w:tcPr>
            <w:tcW w:w="461" w:type="pct"/>
            <w:tcBorders>
              <w:tl2br w:val="nil"/>
              <w:tr2bl w:val="nil"/>
            </w:tcBorders>
            <w:vAlign w:val="center"/>
          </w:tcPr>
          <w:p w14:paraId="4D5DE03B">
            <w:pPr>
              <w:spacing w:line="240" w:lineRule="auto"/>
              <w:ind w:left="-72" w:leftChars="-30" w:right="-72" w:rightChars="-30" w:firstLine="0" w:firstLineChars="0"/>
              <w:jc w:val="center"/>
              <w:rPr>
                <w:b/>
                <w:bCs/>
                <w:color w:val="auto"/>
                <w:sz w:val="21"/>
                <w:szCs w:val="21"/>
                <w:highlight w:val="none"/>
              </w:rPr>
            </w:pPr>
            <w:r>
              <w:rPr>
                <w:b/>
                <w:bCs/>
                <w:color w:val="auto"/>
                <w:sz w:val="21"/>
                <w:szCs w:val="21"/>
                <w:highlight w:val="none"/>
              </w:rPr>
              <w:t>TSP</w:t>
            </w:r>
          </w:p>
        </w:tc>
      </w:tr>
      <w:tr w14:paraId="5DD1FF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6" w:type="pct"/>
            <w:vMerge w:val="restart"/>
            <w:tcBorders>
              <w:tl2br w:val="nil"/>
              <w:tr2bl w:val="nil"/>
            </w:tcBorders>
            <w:vAlign w:val="center"/>
          </w:tcPr>
          <w:p w14:paraId="5930A6A2">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1</w:t>
            </w:r>
          </w:p>
        </w:tc>
        <w:tc>
          <w:tcPr>
            <w:tcW w:w="683" w:type="pct"/>
            <w:vMerge w:val="restart"/>
            <w:tcBorders>
              <w:tl2br w:val="nil"/>
              <w:tr2bl w:val="nil"/>
            </w:tcBorders>
            <w:vAlign w:val="center"/>
          </w:tcPr>
          <w:p w14:paraId="3A7574AF">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中船钦州广船设施设备资源利用项目</w:t>
            </w:r>
          </w:p>
        </w:tc>
        <w:tc>
          <w:tcPr>
            <w:tcW w:w="517" w:type="pct"/>
            <w:tcBorders>
              <w:tl2br w:val="nil"/>
              <w:tr2bl w:val="nil"/>
            </w:tcBorders>
            <w:vAlign w:val="center"/>
          </w:tcPr>
          <w:p w14:paraId="470A43A0">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231</w:t>
            </w:r>
          </w:p>
        </w:tc>
        <w:tc>
          <w:tcPr>
            <w:tcW w:w="641" w:type="pct"/>
            <w:tcBorders>
              <w:tl2br w:val="nil"/>
              <w:tr2bl w:val="nil"/>
            </w:tcBorders>
            <w:vAlign w:val="center"/>
          </w:tcPr>
          <w:p w14:paraId="6FD13A19">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-184</w:t>
            </w:r>
          </w:p>
        </w:tc>
        <w:tc>
          <w:tcPr>
            <w:tcW w:w="533" w:type="pct"/>
            <w:vMerge w:val="restart"/>
            <w:tcBorders>
              <w:tl2br w:val="nil"/>
              <w:tr2bl w:val="nil"/>
            </w:tcBorders>
            <w:vAlign w:val="center"/>
          </w:tcPr>
          <w:p w14:paraId="48AEBD47">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0</w:t>
            </w:r>
          </w:p>
        </w:tc>
        <w:tc>
          <w:tcPr>
            <w:tcW w:w="498" w:type="pct"/>
            <w:vMerge w:val="restart"/>
            <w:tcBorders>
              <w:tl2br w:val="nil"/>
              <w:tr2bl w:val="nil"/>
            </w:tcBorders>
            <w:vAlign w:val="center"/>
          </w:tcPr>
          <w:p w14:paraId="72A031B8">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10</w:t>
            </w:r>
          </w:p>
        </w:tc>
        <w:tc>
          <w:tcPr>
            <w:tcW w:w="498" w:type="pct"/>
            <w:vMerge w:val="restart"/>
            <w:tcBorders>
              <w:tl2br w:val="nil"/>
              <w:tr2bl w:val="nil"/>
            </w:tcBorders>
            <w:vAlign w:val="center"/>
          </w:tcPr>
          <w:p w14:paraId="06A05363">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3820</w:t>
            </w:r>
          </w:p>
        </w:tc>
        <w:tc>
          <w:tcPr>
            <w:tcW w:w="455" w:type="pct"/>
            <w:vMerge w:val="restart"/>
            <w:tcBorders>
              <w:tl2br w:val="nil"/>
              <w:tr2bl w:val="nil"/>
            </w:tcBorders>
            <w:vAlign w:val="center"/>
          </w:tcPr>
          <w:p w14:paraId="4FABB409">
            <w:pPr>
              <w:spacing w:line="240" w:lineRule="auto"/>
              <w:ind w:left="-72" w:leftChars="-30" w:right="-72" w:rightChars="-30" w:firstLine="0" w:firstLineChars="0"/>
              <w:jc w:val="center"/>
              <w:rPr>
                <w:color w:val="auto"/>
                <w:sz w:val="21"/>
                <w:szCs w:val="21"/>
                <w:highlight w:val="none"/>
              </w:rPr>
            </w:pPr>
          </w:p>
        </w:tc>
        <w:tc>
          <w:tcPr>
            <w:tcW w:w="455" w:type="pct"/>
            <w:vMerge w:val="restart"/>
            <w:tcBorders>
              <w:tl2br w:val="nil"/>
              <w:tr2bl w:val="nil"/>
            </w:tcBorders>
            <w:vAlign w:val="center"/>
          </w:tcPr>
          <w:p w14:paraId="0926AA85">
            <w:pPr>
              <w:spacing w:line="240" w:lineRule="auto"/>
              <w:ind w:left="-72" w:leftChars="-30" w:right="-72" w:rightChars="-30" w:firstLine="0" w:firstLineChars="0"/>
              <w:jc w:val="center"/>
              <w:rPr>
                <w:color w:val="auto"/>
                <w:sz w:val="21"/>
                <w:szCs w:val="21"/>
                <w:highlight w:val="none"/>
              </w:rPr>
            </w:pPr>
          </w:p>
        </w:tc>
        <w:tc>
          <w:tcPr>
            <w:tcW w:w="461" w:type="pct"/>
            <w:vMerge w:val="restart"/>
            <w:tcBorders>
              <w:tl2br w:val="nil"/>
              <w:tr2bl w:val="nil"/>
            </w:tcBorders>
            <w:vAlign w:val="center"/>
          </w:tcPr>
          <w:p w14:paraId="2B685D5A">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0.03</w:t>
            </w:r>
          </w:p>
        </w:tc>
      </w:tr>
      <w:tr w14:paraId="302A49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6" w:type="pct"/>
            <w:vMerge w:val="continue"/>
            <w:tcBorders>
              <w:tl2br w:val="nil"/>
              <w:tr2bl w:val="nil"/>
            </w:tcBorders>
            <w:vAlign w:val="center"/>
          </w:tcPr>
          <w:p w14:paraId="5C4533AA">
            <w:pPr>
              <w:spacing w:line="240" w:lineRule="auto"/>
              <w:ind w:left="-72" w:leftChars="-30" w:right="-72" w:rightChars="-30" w:firstLine="0" w:firstLineChars="0"/>
              <w:jc w:val="center"/>
              <w:rPr>
                <w:color w:val="auto"/>
                <w:sz w:val="21"/>
                <w:szCs w:val="21"/>
                <w:highlight w:val="none"/>
              </w:rPr>
            </w:pPr>
          </w:p>
        </w:tc>
        <w:tc>
          <w:tcPr>
            <w:tcW w:w="683" w:type="pct"/>
            <w:vMerge w:val="continue"/>
            <w:tcBorders>
              <w:tl2br w:val="nil"/>
              <w:tr2bl w:val="nil"/>
            </w:tcBorders>
            <w:vAlign w:val="center"/>
          </w:tcPr>
          <w:p w14:paraId="65DBD520">
            <w:pPr>
              <w:spacing w:line="240" w:lineRule="auto"/>
              <w:ind w:left="-72" w:leftChars="-30" w:right="-72" w:rightChars="-30" w:firstLine="0" w:firstLineChars="0"/>
              <w:jc w:val="center"/>
              <w:rPr>
                <w:color w:val="auto"/>
                <w:sz w:val="21"/>
                <w:szCs w:val="21"/>
                <w:highlight w:val="none"/>
              </w:rPr>
            </w:pPr>
          </w:p>
        </w:tc>
        <w:tc>
          <w:tcPr>
            <w:tcW w:w="517" w:type="pct"/>
            <w:tcBorders>
              <w:tl2br w:val="nil"/>
              <w:tr2bl w:val="nil"/>
            </w:tcBorders>
            <w:vAlign w:val="center"/>
          </w:tcPr>
          <w:p w14:paraId="3D8C1AB2">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298</w:t>
            </w:r>
          </w:p>
        </w:tc>
        <w:tc>
          <w:tcPr>
            <w:tcW w:w="641" w:type="pct"/>
            <w:tcBorders>
              <w:tl2br w:val="nil"/>
              <w:tr2bl w:val="nil"/>
            </w:tcBorders>
            <w:vAlign w:val="center"/>
          </w:tcPr>
          <w:p w14:paraId="42E8F1FC">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-256</w:t>
            </w:r>
          </w:p>
        </w:tc>
        <w:tc>
          <w:tcPr>
            <w:tcW w:w="533" w:type="pct"/>
            <w:vMerge w:val="continue"/>
            <w:tcBorders>
              <w:tl2br w:val="nil"/>
              <w:tr2bl w:val="nil"/>
            </w:tcBorders>
            <w:vAlign w:val="center"/>
          </w:tcPr>
          <w:p w14:paraId="7D9829C8">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5187EAAC">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66429CA0">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247FA5A8">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5002D75A">
            <w:pPr>
              <w:spacing w:line="240" w:lineRule="auto"/>
              <w:ind w:left="-72" w:leftChars="-30" w:right="-72" w:rightChars="-30" w:firstLine="0" w:firstLineChars="0"/>
              <w:jc w:val="center"/>
              <w:rPr>
                <w:color w:val="auto"/>
                <w:sz w:val="21"/>
                <w:szCs w:val="21"/>
                <w:highlight w:val="none"/>
              </w:rPr>
            </w:pPr>
          </w:p>
        </w:tc>
        <w:tc>
          <w:tcPr>
            <w:tcW w:w="461" w:type="pct"/>
            <w:vMerge w:val="continue"/>
            <w:tcBorders>
              <w:tl2br w:val="nil"/>
              <w:tr2bl w:val="nil"/>
            </w:tcBorders>
            <w:vAlign w:val="center"/>
          </w:tcPr>
          <w:p w14:paraId="180C6FD0">
            <w:pPr>
              <w:spacing w:line="240" w:lineRule="auto"/>
              <w:ind w:left="-72" w:leftChars="-30" w:right="-72" w:rightChars="-30" w:firstLine="0" w:firstLineChars="0"/>
              <w:jc w:val="center"/>
              <w:rPr>
                <w:color w:val="auto"/>
                <w:sz w:val="21"/>
                <w:szCs w:val="21"/>
                <w:highlight w:val="none"/>
              </w:rPr>
            </w:pPr>
          </w:p>
        </w:tc>
      </w:tr>
      <w:tr w14:paraId="643C07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6" w:type="pct"/>
            <w:vMerge w:val="continue"/>
            <w:tcBorders>
              <w:tl2br w:val="nil"/>
              <w:tr2bl w:val="nil"/>
            </w:tcBorders>
            <w:vAlign w:val="center"/>
          </w:tcPr>
          <w:p w14:paraId="614F52F4">
            <w:pPr>
              <w:spacing w:line="240" w:lineRule="auto"/>
              <w:ind w:left="-72" w:leftChars="-30" w:right="-72" w:rightChars="-30" w:firstLine="0" w:firstLineChars="0"/>
              <w:jc w:val="center"/>
              <w:rPr>
                <w:color w:val="auto"/>
                <w:sz w:val="21"/>
                <w:szCs w:val="21"/>
                <w:highlight w:val="none"/>
              </w:rPr>
            </w:pPr>
          </w:p>
        </w:tc>
        <w:tc>
          <w:tcPr>
            <w:tcW w:w="683" w:type="pct"/>
            <w:vMerge w:val="continue"/>
            <w:tcBorders>
              <w:tl2br w:val="nil"/>
              <w:tr2bl w:val="nil"/>
            </w:tcBorders>
            <w:vAlign w:val="center"/>
          </w:tcPr>
          <w:p w14:paraId="3B2E469D">
            <w:pPr>
              <w:spacing w:line="240" w:lineRule="auto"/>
              <w:ind w:left="-72" w:leftChars="-30" w:right="-72" w:rightChars="-30" w:firstLine="0" w:firstLineChars="0"/>
              <w:jc w:val="center"/>
              <w:rPr>
                <w:color w:val="auto"/>
                <w:sz w:val="21"/>
                <w:szCs w:val="21"/>
                <w:highlight w:val="none"/>
              </w:rPr>
            </w:pPr>
          </w:p>
        </w:tc>
        <w:tc>
          <w:tcPr>
            <w:tcW w:w="517" w:type="pct"/>
            <w:tcBorders>
              <w:tl2br w:val="nil"/>
              <w:tr2bl w:val="nil"/>
            </w:tcBorders>
            <w:vAlign w:val="center"/>
          </w:tcPr>
          <w:p w14:paraId="7957C50E">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197</w:t>
            </w:r>
          </w:p>
        </w:tc>
        <w:tc>
          <w:tcPr>
            <w:tcW w:w="641" w:type="pct"/>
            <w:tcBorders>
              <w:tl2br w:val="nil"/>
              <w:tr2bl w:val="nil"/>
            </w:tcBorders>
            <w:vAlign w:val="center"/>
          </w:tcPr>
          <w:p w14:paraId="372FA9FD">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-355</w:t>
            </w:r>
          </w:p>
        </w:tc>
        <w:tc>
          <w:tcPr>
            <w:tcW w:w="533" w:type="pct"/>
            <w:vMerge w:val="continue"/>
            <w:tcBorders>
              <w:tl2br w:val="nil"/>
              <w:tr2bl w:val="nil"/>
            </w:tcBorders>
            <w:vAlign w:val="center"/>
          </w:tcPr>
          <w:p w14:paraId="3A992B26">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21191B49">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5B388820">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22CB0DD7">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62DEBF41">
            <w:pPr>
              <w:spacing w:line="240" w:lineRule="auto"/>
              <w:ind w:left="-72" w:leftChars="-30" w:right="-72" w:rightChars="-30" w:firstLine="0" w:firstLineChars="0"/>
              <w:jc w:val="center"/>
              <w:rPr>
                <w:color w:val="auto"/>
                <w:sz w:val="21"/>
                <w:szCs w:val="21"/>
                <w:highlight w:val="none"/>
              </w:rPr>
            </w:pPr>
          </w:p>
        </w:tc>
        <w:tc>
          <w:tcPr>
            <w:tcW w:w="461" w:type="pct"/>
            <w:vMerge w:val="continue"/>
            <w:tcBorders>
              <w:tl2br w:val="nil"/>
              <w:tr2bl w:val="nil"/>
            </w:tcBorders>
            <w:vAlign w:val="center"/>
          </w:tcPr>
          <w:p w14:paraId="165C0BC3">
            <w:pPr>
              <w:spacing w:line="240" w:lineRule="auto"/>
              <w:ind w:left="-72" w:leftChars="-30" w:right="-72" w:rightChars="-30" w:firstLine="0" w:firstLineChars="0"/>
              <w:jc w:val="center"/>
              <w:rPr>
                <w:color w:val="auto"/>
                <w:sz w:val="21"/>
                <w:szCs w:val="21"/>
                <w:highlight w:val="none"/>
              </w:rPr>
            </w:pPr>
          </w:p>
        </w:tc>
      </w:tr>
      <w:tr w14:paraId="0A4332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6" w:type="pct"/>
            <w:vMerge w:val="continue"/>
            <w:tcBorders>
              <w:tl2br w:val="nil"/>
              <w:tr2bl w:val="nil"/>
            </w:tcBorders>
            <w:vAlign w:val="center"/>
          </w:tcPr>
          <w:p w14:paraId="6E0962B1">
            <w:pPr>
              <w:spacing w:line="240" w:lineRule="auto"/>
              <w:ind w:left="-72" w:leftChars="-30" w:right="-72" w:rightChars="-30" w:firstLine="0" w:firstLineChars="0"/>
              <w:jc w:val="center"/>
              <w:rPr>
                <w:color w:val="auto"/>
                <w:sz w:val="21"/>
                <w:szCs w:val="21"/>
                <w:highlight w:val="none"/>
              </w:rPr>
            </w:pPr>
          </w:p>
        </w:tc>
        <w:tc>
          <w:tcPr>
            <w:tcW w:w="683" w:type="pct"/>
            <w:vMerge w:val="continue"/>
            <w:tcBorders>
              <w:tl2br w:val="nil"/>
              <w:tr2bl w:val="nil"/>
            </w:tcBorders>
            <w:vAlign w:val="center"/>
          </w:tcPr>
          <w:p w14:paraId="791C1EB4">
            <w:pPr>
              <w:spacing w:line="240" w:lineRule="auto"/>
              <w:ind w:left="-72" w:leftChars="-30" w:right="-72" w:rightChars="-30" w:firstLine="0" w:firstLineChars="0"/>
              <w:jc w:val="center"/>
              <w:rPr>
                <w:color w:val="auto"/>
                <w:sz w:val="21"/>
                <w:szCs w:val="21"/>
                <w:highlight w:val="none"/>
              </w:rPr>
            </w:pPr>
          </w:p>
        </w:tc>
        <w:tc>
          <w:tcPr>
            <w:tcW w:w="517" w:type="pct"/>
            <w:tcBorders>
              <w:tl2br w:val="nil"/>
              <w:tr2bl w:val="nil"/>
            </w:tcBorders>
            <w:vAlign w:val="center"/>
          </w:tcPr>
          <w:p w14:paraId="46D2C9B7">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132</w:t>
            </w:r>
          </w:p>
        </w:tc>
        <w:tc>
          <w:tcPr>
            <w:tcW w:w="641" w:type="pct"/>
            <w:tcBorders>
              <w:tl2br w:val="nil"/>
              <w:tr2bl w:val="nil"/>
            </w:tcBorders>
            <w:vAlign w:val="center"/>
          </w:tcPr>
          <w:p w14:paraId="1F9141BB">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-294</w:t>
            </w:r>
          </w:p>
        </w:tc>
        <w:tc>
          <w:tcPr>
            <w:tcW w:w="533" w:type="pct"/>
            <w:vMerge w:val="continue"/>
            <w:tcBorders>
              <w:tl2br w:val="nil"/>
              <w:tr2bl w:val="nil"/>
            </w:tcBorders>
            <w:vAlign w:val="center"/>
          </w:tcPr>
          <w:p w14:paraId="22936B04">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0C7D4841">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3D49AA40">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4E151B69">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1AC973E6">
            <w:pPr>
              <w:spacing w:line="240" w:lineRule="auto"/>
              <w:ind w:left="-72" w:leftChars="-30" w:right="-72" w:rightChars="-30" w:firstLine="0" w:firstLineChars="0"/>
              <w:jc w:val="center"/>
              <w:rPr>
                <w:color w:val="auto"/>
                <w:sz w:val="21"/>
                <w:szCs w:val="21"/>
                <w:highlight w:val="none"/>
              </w:rPr>
            </w:pPr>
          </w:p>
        </w:tc>
        <w:tc>
          <w:tcPr>
            <w:tcW w:w="461" w:type="pct"/>
            <w:vMerge w:val="continue"/>
            <w:tcBorders>
              <w:tl2br w:val="nil"/>
              <w:tr2bl w:val="nil"/>
            </w:tcBorders>
            <w:vAlign w:val="center"/>
          </w:tcPr>
          <w:p w14:paraId="3D6FEF7C">
            <w:pPr>
              <w:spacing w:line="240" w:lineRule="auto"/>
              <w:ind w:left="-72" w:leftChars="-30" w:right="-72" w:rightChars="-30" w:firstLine="0" w:firstLineChars="0"/>
              <w:jc w:val="center"/>
              <w:rPr>
                <w:color w:val="auto"/>
                <w:sz w:val="21"/>
                <w:szCs w:val="21"/>
                <w:highlight w:val="none"/>
              </w:rPr>
            </w:pPr>
          </w:p>
        </w:tc>
      </w:tr>
      <w:tr w14:paraId="1CB779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6" w:type="pct"/>
            <w:vMerge w:val="continue"/>
            <w:tcBorders>
              <w:tl2br w:val="nil"/>
              <w:tr2bl w:val="nil"/>
            </w:tcBorders>
            <w:vAlign w:val="center"/>
          </w:tcPr>
          <w:p w14:paraId="4F076CDF">
            <w:pPr>
              <w:spacing w:line="240" w:lineRule="auto"/>
              <w:ind w:left="-72" w:leftChars="-30" w:right="-72" w:rightChars="-30" w:firstLine="0" w:firstLineChars="0"/>
              <w:jc w:val="center"/>
              <w:rPr>
                <w:color w:val="auto"/>
                <w:sz w:val="21"/>
                <w:szCs w:val="21"/>
                <w:highlight w:val="none"/>
              </w:rPr>
            </w:pPr>
          </w:p>
        </w:tc>
        <w:tc>
          <w:tcPr>
            <w:tcW w:w="683" w:type="pct"/>
            <w:vMerge w:val="continue"/>
            <w:tcBorders>
              <w:tl2br w:val="nil"/>
              <w:tr2bl w:val="nil"/>
            </w:tcBorders>
            <w:vAlign w:val="center"/>
          </w:tcPr>
          <w:p w14:paraId="6AE88EDC">
            <w:pPr>
              <w:spacing w:line="240" w:lineRule="auto"/>
              <w:ind w:left="-72" w:leftChars="-30" w:right="-72" w:rightChars="-30" w:firstLine="0" w:firstLineChars="0"/>
              <w:jc w:val="center"/>
              <w:rPr>
                <w:color w:val="auto"/>
                <w:sz w:val="21"/>
                <w:szCs w:val="21"/>
                <w:highlight w:val="none"/>
              </w:rPr>
            </w:pPr>
          </w:p>
        </w:tc>
        <w:tc>
          <w:tcPr>
            <w:tcW w:w="517" w:type="pct"/>
            <w:tcBorders>
              <w:tl2br w:val="nil"/>
              <w:tr2bl w:val="nil"/>
            </w:tcBorders>
            <w:vAlign w:val="center"/>
          </w:tcPr>
          <w:p w14:paraId="76BD84AE">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231</w:t>
            </w:r>
          </w:p>
        </w:tc>
        <w:tc>
          <w:tcPr>
            <w:tcW w:w="641" w:type="pct"/>
            <w:tcBorders>
              <w:tl2br w:val="nil"/>
              <w:tr2bl w:val="nil"/>
            </w:tcBorders>
            <w:vAlign w:val="center"/>
          </w:tcPr>
          <w:p w14:paraId="5F9803AA">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-184</w:t>
            </w:r>
          </w:p>
        </w:tc>
        <w:tc>
          <w:tcPr>
            <w:tcW w:w="533" w:type="pct"/>
            <w:vMerge w:val="continue"/>
            <w:tcBorders>
              <w:tl2br w:val="nil"/>
              <w:tr2bl w:val="nil"/>
            </w:tcBorders>
            <w:vAlign w:val="center"/>
          </w:tcPr>
          <w:p w14:paraId="65D185B8">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3203D270">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57ACF06C">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209041FE">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5940702F">
            <w:pPr>
              <w:spacing w:line="240" w:lineRule="auto"/>
              <w:ind w:left="-72" w:leftChars="-30" w:right="-72" w:rightChars="-30" w:firstLine="0" w:firstLineChars="0"/>
              <w:jc w:val="center"/>
              <w:rPr>
                <w:color w:val="auto"/>
                <w:sz w:val="21"/>
                <w:szCs w:val="21"/>
                <w:highlight w:val="none"/>
              </w:rPr>
            </w:pPr>
          </w:p>
        </w:tc>
        <w:tc>
          <w:tcPr>
            <w:tcW w:w="461" w:type="pct"/>
            <w:vMerge w:val="continue"/>
            <w:tcBorders>
              <w:tl2br w:val="nil"/>
              <w:tr2bl w:val="nil"/>
            </w:tcBorders>
            <w:vAlign w:val="center"/>
          </w:tcPr>
          <w:p w14:paraId="181C9CC9">
            <w:pPr>
              <w:spacing w:line="240" w:lineRule="auto"/>
              <w:ind w:left="-72" w:leftChars="-30" w:right="-72" w:rightChars="-30" w:firstLine="0" w:firstLineChars="0"/>
              <w:jc w:val="center"/>
              <w:rPr>
                <w:color w:val="auto"/>
                <w:sz w:val="21"/>
                <w:szCs w:val="21"/>
                <w:highlight w:val="none"/>
              </w:rPr>
            </w:pPr>
          </w:p>
        </w:tc>
      </w:tr>
      <w:tr w14:paraId="3ABFFB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 w:hRule="atLeast"/>
        </w:trPr>
        <w:tc>
          <w:tcPr>
            <w:tcW w:w="256" w:type="pct"/>
            <w:vMerge w:val="restart"/>
            <w:tcBorders>
              <w:tl2br w:val="nil"/>
              <w:tr2bl w:val="nil"/>
            </w:tcBorders>
            <w:vAlign w:val="center"/>
          </w:tcPr>
          <w:p w14:paraId="45ADA91F">
            <w:pPr>
              <w:spacing w:line="240" w:lineRule="auto"/>
              <w:ind w:left="-72" w:leftChars="-30" w:right="-72" w:rightChars="-30" w:firstLine="0" w:firstLineChars="0"/>
              <w:jc w:val="center"/>
              <w:rPr>
                <w:color w:val="auto"/>
                <w:sz w:val="21"/>
                <w:szCs w:val="21"/>
                <w:highlight w:val="none"/>
              </w:rPr>
            </w:pPr>
          </w:p>
        </w:tc>
        <w:tc>
          <w:tcPr>
            <w:tcW w:w="683" w:type="pct"/>
            <w:vMerge w:val="restart"/>
            <w:tcBorders>
              <w:tl2br w:val="nil"/>
              <w:tr2bl w:val="nil"/>
            </w:tcBorders>
            <w:vAlign w:val="center"/>
          </w:tcPr>
          <w:p w14:paraId="323DD976">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中船钦州风电塔柔性生产线项目</w:t>
            </w:r>
          </w:p>
          <w:p w14:paraId="09CC5D7C">
            <w:pPr>
              <w:spacing w:line="240" w:lineRule="auto"/>
              <w:ind w:left="-72" w:leftChars="-30" w:right="-72" w:rightChars="-30" w:firstLine="0" w:firstLineChars="0"/>
              <w:jc w:val="center"/>
              <w:rPr>
                <w:color w:val="auto"/>
                <w:sz w:val="21"/>
                <w:szCs w:val="21"/>
                <w:highlight w:val="none"/>
              </w:rPr>
            </w:pPr>
          </w:p>
        </w:tc>
        <w:tc>
          <w:tcPr>
            <w:tcW w:w="517" w:type="pct"/>
            <w:tcBorders>
              <w:tl2br w:val="nil"/>
              <w:tr2bl w:val="nil"/>
            </w:tcBorders>
            <w:vAlign w:val="center"/>
          </w:tcPr>
          <w:p w14:paraId="002B1AD1">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550</w:t>
            </w:r>
          </w:p>
        </w:tc>
        <w:tc>
          <w:tcPr>
            <w:tcW w:w="641" w:type="pct"/>
            <w:tcBorders>
              <w:tl2br w:val="nil"/>
              <w:tr2bl w:val="nil"/>
            </w:tcBorders>
            <w:vAlign w:val="center"/>
          </w:tcPr>
          <w:p w14:paraId="10B08351">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129</w:t>
            </w:r>
          </w:p>
        </w:tc>
        <w:tc>
          <w:tcPr>
            <w:tcW w:w="533" w:type="pct"/>
            <w:vMerge w:val="restart"/>
            <w:tcBorders>
              <w:tl2br w:val="nil"/>
              <w:tr2bl w:val="nil"/>
            </w:tcBorders>
            <w:vAlign w:val="center"/>
          </w:tcPr>
          <w:p w14:paraId="5EAA8787">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0</w:t>
            </w:r>
          </w:p>
        </w:tc>
        <w:tc>
          <w:tcPr>
            <w:tcW w:w="498" w:type="pct"/>
            <w:vMerge w:val="restart"/>
            <w:tcBorders>
              <w:tl2br w:val="nil"/>
              <w:tr2bl w:val="nil"/>
            </w:tcBorders>
            <w:vAlign w:val="center"/>
          </w:tcPr>
          <w:p w14:paraId="4F1E2ABA">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10</w:t>
            </w:r>
          </w:p>
        </w:tc>
        <w:tc>
          <w:tcPr>
            <w:tcW w:w="498" w:type="pct"/>
            <w:vMerge w:val="restart"/>
            <w:tcBorders>
              <w:tl2br w:val="nil"/>
              <w:tr2bl w:val="nil"/>
            </w:tcBorders>
            <w:vAlign w:val="center"/>
          </w:tcPr>
          <w:p w14:paraId="535A0812">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3820</w:t>
            </w:r>
          </w:p>
        </w:tc>
        <w:tc>
          <w:tcPr>
            <w:tcW w:w="455" w:type="pct"/>
            <w:vMerge w:val="restart"/>
            <w:tcBorders>
              <w:tl2br w:val="nil"/>
              <w:tr2bl w:val="nil"/>
            </w:tcBorders>
            <w:vAlign w:val="center"/>
          </w:tcPr>
          <w:p w14:paraId="3FF486F6">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0.57</w:t>
            </w:r>
          </w:p>
        </w:tc>
        <w:tc>
          <w:tcPr>
            <w:tcW w:w="455" w:type="pct"/>
            <w:vMerge w:val="restart"/>
            <w:tcBorders>
              <w:tl2br w:val="nil"/>
              <w:tr2bl w:val="nil"/>
            </w:tcBorders>
            <w:vAlign w:val="center"/>
          </w:tcPr>
          <w:p w14:paraId="22EA5ED7">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1.45</w:t>
            </w:r>
          </w:p>
        </w:tc>
        <w:tc>
          <w:tcPr>
            <w:tcW w:w="461" w:type="pct"/>
            <w:vMerge w:val="restart"/>
            <w:tcBorders>
              <w:tl2br w:val="nil"/>
              <w:tr2bl w:val="nil"/>
            </w:tcBorders>
            <w:vAlign w:val="center"/>
          </w:tcPr>
          <w:p w14:paraId="14451EEC">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0.75</w:t>
            </w:r>
          </w:p>
        </w:tc>
      </w:tr>
      <w:tr w14:paraId="520CCE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 w:hRule="atLeast"/>
        </w:trPr>
        <w:tc>
          <w:tcPr>
            <w:tcW w:w="256" w:type="pct"/>
            <w:vMerge w:val="continue"/>
            <w:tcBorders>
              <w:tl2br w:val="nil"/>
              <w:tr2bl w:val="nil"/>
            </w:tcBorders>
            <w:vAlign w:val="center"/>
          </w:tcPr>
          <w:p w14:paraId="722AFC66">
            <w:pPr>
              <w:spacing w:line="240" w:lineRule="auto"/>
              <w:ind w:left="-72" w:leftChars="-30" w:right="-72" w:rightChars="-30" w:firstLine="0" w:firstLineChars="0"/>
              <w:jc w:val="center"/>
              <w:rPr>
                <w:color w:val="auto"/>
                <w:sz w:val="21"/>
                <w:szCs w:val="21"/>
                <w:highlight w:val="none"/>
              </w:rPr>
            </w:pPr>
          </w:p>
        </w:tc>
        <w:tc>
          <w:tcPr>
            <w:tcW w:w="683" w:type="pct"/>
            <w:vMerge w:val="continue"/>
            <w:tcBorders>
              <w:tl2br w:val="nil"/>
              <w:tr2bl w:val="nil"/>
            </w:tcBorders>
            <w:vAlign w:val="center"/>
          </w:tcPr>
          <w:p w14:paraId="7621BF9A">
            <w:pPr>
              <w:spacing w:line="240" w:lineRule="auto"/>
              <w:ind w:left="-72" w:leftChars="-30" w:right="-72" w:rightChars="-30" w:firstLine="0" w:firstLineChars="0"/>
              <w:jc w:val="center"/>
              <w:rPr>
                <w:color w:val="auto"/>
                <w:sz w:val="21"/>
                <w:szCs w:val="21"/>
                <w:highlight w:val="none"/>
              </w:rPr>
            </w:pPr>
          </w:p>
        </w:tc>
        <w:tc>
          <w:tcPr>
            <w:tcW w:w="517" w:type="pct"/>
            <w:tcBorders>
              <w:tl2br w:val="nil"/>
              <w:tr2bl w:val="nil"/>
            </w:tcBorders>
            <w:vAlign w:val="center"/>
          </w:tcPr>
          <w:p w14:paraId="07C05C2D">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618</w:t>
            </w:r>
          </w:p>
        </w:tc>
        <w:tc>
          <w:tcPr>
            <w:tcW w:w="641" w:type="pct"/>
            <w:tcBorders>
              <w:tl2br w:val="nil"/>
              <w:tr2bl w:val="nil"/>
            </w:tcBorders>
            <w:vAlign w:val="center"/>
          </w:tcPr>
          <w:p w14:paraId="799CED1B">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75</w:t>
            </w:r>
          </w:p>
        </w:tc>
        <w:tc>
          <w:tcPr>
            <w:tcW w:w="533" w:type="pct"/>
            <w:vMerge w:val="continue"/>
            <w:tcBorders>
              <w:tl2br w:val="nil"/>
              <w:tr2bl w:val="nil"/>
            </w:tcBorders>
            <w:vAlign w:val="center"/>
          </w:tcPr>
          <w:p w14:paraId="14411EF2">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214CE064">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1D4911D4">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173DC005">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36FC36AA">
            <w:pPr>
              <w:spacing w:line="240" w:lineRule="auto"/>
              <w:ind w:left="-72" w:leftChars="-30" w:right="-72" w:rightChars="-30" w:firstLine="0" w:firstLineChars="0"/>
              <w:jc w:val="center"/>
              <w:rPr>
                <w:color w:val="auto"/>
                <w:sz w:val="21"/>
                <w:szCs w:val="21"/>
                <w:highlight w:val="none"/>
              </w:rPr>
            </w:pPr>
          </w:p>
        </w:tc>
        <w:tc>
          <w:tcPr>
            <w:tcW w:w="461" w:type="pct"/>
            <w:vMerge w:val="continue"/>
            <w:tcBorders>
              <w:tl2br w:val="nil"/>
              <w:tr2bl w:val="nil"/>
            </w:tcBorders>
            <w:vAlign w:val="center"/>
          </w:tcPr>
          <w:p w14:paraId="04C9F01A">
            <w:pPr>
              <w:spacing w:line="240" w:lineRule="auto"/>
              <w:ind w:left="-72" w:leftChars="-30" w:right="-72" w:rightChars="-30" w:firstLine="0" w:firstLineChars="0"/>
              <w:jc w:val="center"/>
              <w:rPr>
                <w:color w:val="auto"/>
                <w:sz w:val="21"/>
                <w:szCs w:val="21"/>
                <w:highlight w:val="none"/>
              </w:rPr>
            </w:pPr>
          </w:p>
        </w:tc>
      </w:tr>
      <w:tr w14:paraId="4B8A3C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 w:hRule="atLeast"/>
        </w:trPr>
        <w:tc>
          <w:tcPr>
            <w:tcW w:w="256" w:type="pct"/>
            <w:vMerge w:val="continue"/>
            <w:tcBorders>
              <w:tl2br w:val="nil"/>
              <w:tr2bl w:val="nil"/>
            </w:tcBorders>
            <w:vAlign w:val="center"/>
          </w:tcPr>
          <w:p w14:paraId="5067ED30">
            <w:pPr>
              <w:spacing w:line="240" w:lineRule="auto"/>
              <w:ind w:left="-72" w:leftChars="-30" w:right="-72" w:rightChars="-30" w:firstLine="0" w:firstLineChars="0"/>
              <w:jc w:val="center"/>
              <w:rPr>
                <w:color w:val="auto"/>
                <w:sz w:val="21"/>
                <w:szCs w:val="21"/>
                <w:highlight w:val="none"/>
              </w:rPr>
            </w:pPr>
          </w:p>
        </w:tc>
        <w:tc>
          <w:tcPr>
            <w:tcW w:w="683" w:type="pct"/>
            <w:vMerge w:val="continue"/>
            <w:tcBorders>
              <w:tl2br w:val="nil"/>
              <w:tr2bl w:val="nil"/>
            </w:tcBorders>
            <w:vAlign w:val="center"/>
          </w:tcPr>
          <w:p w14:paraId="3E033789">
            <w:pPr>
              <w:spacing w:line="240" w:lineRule="auto"/>
              <w:ind w:left="-72" w:leftChars="-30" w:right="-72" w:rightChars="-30" w:firstLine="0" w:firstLineChars="0"/>
              <w:jc w:val="center"/>
              <w:rPr>
                <w:color w:val="auto"/>
                <w:sz w:val="21"/>
                <w:szCs w:val="21"/>
                <w:highlight w:val="none"/>
              </w:rPr>
            </w:pPr>
          </w:p>
        </w:tc>
        <w:tc>
          <w:tcPr>
            <w:tcW w:w="517" w:type="pct"/>
            <w:tcBorders>
              <w:tl2br w:val="nil"/>
              <w:tr2bl w:val="nil"/>
            </w:tcBorders>
            <w:vAlign w:val="center"/>
          </w:tcPr>
          <w:p w14:paraId="1C76483B">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526</w:t>
            </w:r>
          </w:p>
        </w:tc>
        <w:tc>
          <w:tcPr>
            <w:tcW w:w="641" w:type="pct"/>
            <w:tcBorders>
              <w:tl2br w:val="nil"/>
              <w:tr2bl w:val="nil"/>
            </w:tcBorders>
            <w:vAlign w:val="center"/>
          </w:tcPr>
          <w:p w14:paraId="00BDC186">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0</w:t>
            </w:r>
          </w:p>
        </w:tc>
        <w:tc>
          <w:tcPr>
            <w:tcW w:w="533" w:type="pct"/>
            <w:vMerge w:val="continue"/>
            <w:tcBorders>
              <w:tl2br w:val="nil"/>
              <w:tr2bl w:val="nil"/>
            </w:tcBorders>
            <w:vAlign w:val="center"/>
          </w:tcPr>
          <w:p w14:paraId="0AB5ED1A">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0055B380">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72D3E530">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460C6706">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64D9361B">
            <w:pPr>
              <w:spacing w:line="240" w:lineRule="auto"/>
              <w:ind w:left="-72" w:leftChars="-30" w:right="-72" w:rightChars="-30" w:firstLine="0" w:firstLineChars="0"/>
              <w:jc w:val="center"/>
              <w:rPr>
                <w:color w:val="auto"/>
                <w:sz w:val="21"/>
                <w:szCs w:val="21"/>
                <w:highlight w:val="none"/>
              </w:rPr>
            </w:pPr>
          </w:p>
        </w:tc>
        <w:tc>
          <w:tcPr>
            <w:tcW w:w="461" w:type="pct"/>
            <w:vMerge w:val="continue"/>
            <w:tcBorders>
              <w:tl2br w:val="nil"/>
              <w:tr2bl w:val="nil"/>
            </w:tcBorders>
            <w:vAlign w:val="center"/>
          </w:tcPr>
          <w:p w14:paraId="7BFD9D58">
            <w:pPr>
              <w:spacing w:line="240" w:lineRule="auto"/>
              <w:ind w:left="-72" w:leftChars="-30" w:right="-72" w:rightChars="-30" w:firstLine="0" w:firstLineChars="0"/>
              <w:jc w:val="center"/>
              <w:rPr>
                <w:color w:val="auto"/>
                <w:sz w:val="21"/>
                <w:szCs w:val="21"/>
                <w:highlight w:val="none"/>
              </w:rPr>
            </w:pPr>
          </w:p>
        </w:tc>
      </w:tr>
      <w:tr w14:paraId="7B5E4C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 w:hRule="atLeast"/>
        </w:trPr>
        <w:tc>
          <w:tcPr>
            <w:tcW w:w="256" w:type="pct"/>
            <w:vMerge w:val="continue"/>
            <w:tcBorders>
              <w:tl2br w:val="nil"/>
              <w:tr2bl w:val="nil"/>
            </w:tcBorders>
            <w:vAlign w:val="center"/>
          </w:tcPr>
          <w:p w14:paraId="114458C9">
            <w:pPr>
              <w:spacing w:line="240" w:lineRule="auto"/>
              <w:ind w:left="-72" w:leftChars="-30" w:right="-72" w:rightChars="-30" w:firstLine="0" w:firstLineChars="0"/>
              <w:jc w:val="center"/>
              <w:rPr>
                <w:color w:val="auto"/>
                <w:sz w:val="21"/>
                <w:szCs w:val="21"/>
                <w:highlight w:val="none"/>
              </w:rPr>
            </w:pPr>
          </w:p>
        </w:tc>
        <w:tc>
          <w:tcPr>
            <w:tcW w:w="683" w:type="pct"/>
            <w:vMerge w:val="continue"/>
            <w:tcBorders>
              <w:tl2br w:val="nil"/>
              <w:tr2bl w:val="nil"/>
            </w:tcBorders>
            <w:vAlign w:val="center"/>
          </w:tcPr>
          <w:p w14:paraId="060ED344">
            <w:pPr>
              <w:spacing w:line="240" w:lineRule="auto"/>
              <w:ind w:left="-72" w:leftChars="-30" w:right="-72" w:rightChars="-30" w:firstLine="0" w:firstLineChars="0"/>
              <w:jc w:val="center"/>
              <w:rPr>
                <w:color w:val="auto"/>
                <w:sz w:val="21"/>
                <w:szCs w:val="21"/>
                <w:highlight w:val="none"/>
              </w:rPr>
            </w:pPr>
          </w:p>
        </w:tc>
        <w:tc>
          <w:tcPr>
            <w:tcW w:w="517" w:type="pct"/>
            <w:tcBorders>
              <w:tl2br w:val="nil"/>
              <w:tr2bl w:val="nil"/>
            </w:tcBorders>
            <w:vAlign w:val="center"/>
          </w:tcPr>
          <w:p w14:paraId="01CB8CAE">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464</w:t>
            </w:r>
          </w:p>
        </w:tc>
        <w:tc>
          <w:tcPr>
            <w:tcW w:w="641" w:type="pct"/>
            <w:tcBorders>
              <w:tl2br w:val="nil"/>
              <w:tr2bl w:val="nil"/>
            </w:tcBorders>
            <w:vAlign w:val="center"/>
          </w:tcPr>
          <w:p w14:paraId="78E0B2CB">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44</w:t>
            </w:r>
          </w:p>
        </w:tc>
        <w:tc>
          <w:tcPr>
            <w:tcW w:w="533" w:type="pct"/>
            <w:vMerge w:val="continue"/>
            <w:tcBorders>
              <w:tl2br w:val="nil"/>
              <w:tr2bl w:val="nil"/>
            </w:tcBorders>
            <w:vAlign w:val="center"/>
          </w:tcPr>
          <w:p w14:paraId="5F380FCE">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04C33E90">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5143BCEE">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2EB3CD28">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42D23114">
            <w:pPr>
              <w:spacing w:line="240" w:lineRule="auto"/>
              <w:ind w:left="-72" w:leftChars="-30" w:right="-72" w:rightChars="-30" w:firstLine="0" w:firstLineChars="0"/>
              <w:jc w:val="center"/>
              <w:rPr>
                <w:color w:val="auto"/>
                <w:sz w:val="21"/>
                <w:szCs w:val="21"/>
                <w:highlight w:val="none"/>
              </w:rPr>
            </w:pPr>
          </w:p>
        </w:tc>
        <w:tc>
          <w:tcPr>
            <w:tcW w:w="461" w:type="pct"/>
            <w:vMerge w:val="continue"/>
            <w:tcBorders>
              <w:tl2br w:val="nil"/>
              <w:tr2bl w:val="nil"/>
            </w:tcBorders>
            <w:vAlign w:val="center"/>
          </w:tcPr>
          <w:p w14:paraId="14B192ED">
            <w:pPr>
              <w:spacing w:line="240" w:lineRule="auto"/>
              <w:ind w:left="-72" w:leftChars="-30" w:right="-72" w:rightChars="-30" w:firstLine="0" w:firstLineChars="0"/>
              <w:jc w:val="center"/>
              <w:rPr>
                <w:color w:val="auto"/>
                <w:sz w:val="21"/>
                <w:szCs w:val="21"/>
                <w:highlight w:val="none"/>
              </w:rPr>
            </w:pPr>
          </w:p>
        </w:tc>
      </w:tr>
      <w:tr w14:paraId="28882A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 w:hRule="atLeast"/>
        </w:trPr>
        <w:tc>
          <w:tcPr>
            <w:tcW w:w="256" w:type="pct"/>
            <w:vMerge w:val="continue"/>
            <w:tcBorders>
              <w:tl2br w:val="nil"/>
              <w:tr2bl w:val="nil"/>
            </w:tcBorders>
            <w:vAlign w:val="center"/>
          </w:tcPr>
          <w:p w14:paraId="6BAD0310">
            <w:pPr>
              <w:spacing w:line="240" w:lineRule="auto"/>
              <w:ind w:left="-72" w:leftChars="-30" w:right="-72" w:rightChars="-30" w:firstLine="0" w:firstLineChars="0"/>
              <w:jc w:val="center"/>
              <w:rPr>
                <w:color w:val="auto"/>
                <w:sz w:val="21"/>
                <w:szCs w:val="21"/>
                <w:highlight w:val="none"/>
              </w:rPr>
            </w:pPr>
          </w:p>
        </w:tc>
        <w:tc>
          <w:tcPr>
            <w:tcW w:w="683" w:type="pct"/>
            <w:vMerge w:val="continue"/>
            <w:tcBorders>
              <w:tl2br w:val="nil"/>
              <w:tr2bl w:val="nil"/>
            </w:tcBorders>
            <w:vAlign w:val="center"/>
          </w:tcPr>
          <w:p w14:paraId="675B5E4B">
            <w:pPr>
              <w:spacing w:line="240" w:lineRule="auto"/>
              <w:ind w:left="-72" w:leftChars="-30" w:right="-72" w:rightChars="-30" w:firstLine="0" w:firstLineChars="0"/>
              <w:jc w:val="center"/>
              <w:rPr>
                <w:color w:val="auto"/>
                <w:sz w:val="21"/>
                <w:szCs w:val="21"/>
                <w:highlight w:val="none"/>
              </w:rPr>
            </w:pPr>
          </w:p>
        </w:tc>
        <w:tc>
          <w:tcPr>
            <w:tcW w:w="517" w:type="pct"/>
            <w:tcBorders>
              <w:tl2br w:val="nil"/>
              <w:tr2bl w:val="nil"/>
            </w:tcBorders>
            <w:vAlign w:val="center"/>
          </w:tcPr>
          <w:p w14:paraId="373D4939">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550</w:t>
            </w:r>
          </w:p>
        </w:tc>
        <w:tc>
          <w:tcPr>
            <w:tcW w:w="641" w:type="pct"/>
            <w:tcBorders>
              <w:tl2br w:val="nil"/>
              <w:tr2bl w:val="nil"/>
            </w:tcBorders>
            <w:vAlign w:val="center"/>
          </w:tcPr>
          <w:p w14:paraId="452EF1B7">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129</w:t>
            </w:r>
          </w:p>
        </w:tc>
        <w:tc>
          <w:tcPr>
            <w:tcW w:w="533" w:type="pct"/>
            <w:vMerge w:val="continue"/>
            <w:tcBorders>
              <w:tl2br w:val="nil"/>
              <w:tr2bl w:val="nil"/>
            </w:tcBorders>
            <w:vAlign w:val="center"/>
          </w:tcPr>
          <w:p w14:paraId="34FBC370">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39855DE1">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4C6F5170">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65940137">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79FF786A">
            <w:pPr>
              <w:spacing w:line="240" w:lineRule="auto"/>
              <w:ind w:left="-72" w:leftChars="-30" w:right="-72" w:rightChars="-30" w:firstLine="0" w:firstLineChars="0"/>
              <w:jc w:val="center"/>
              <w:rPr>
                <w:color w:val="auto"/>
                <w:sz w:val="21"/>
                <w:szCs w:val="21"/>
                <w:highlight w:val="none"/>
              </w:rPr>
            </w:pPr>
          </w:p>
        </w:tc>
        <w:tc>
          <w:tcPr>
            <w:tcW w:w="461" w:type="pct"/>
            <w:vMerge w:val="continue"/>
            <w:tcBorders>
              <w:tl2br w:val="nil"/>
              <w:tr2bl w:val="nil"/>
            </w:tcBorders>
            <w:vAlign w:val="center"/>
          </w:tcPr>
          <w:p w14:paraId="58BB67C1">
            <w:pPr>
              <w:spacing w:line="240" w:lineRule="auto"/>
              <w:ind w:left="-72" w:leftChars="-30" w:right="-72" w:rightChars="-30" w:firstLine="0" w:firstLineChars="0"/>
              <w:jc w:val="center"/>
              <w:rPr>
                <w:color w:val="auto"/>
                <w:sz w:val="21"/>
                <w:szCs w:val="21"/>
                <w:highlight w:val="none"/>
              </w:rPr>
            </w:pPr>
          </w:p>
        </w:tc>
      </w:tr>
      <w:tr w14:paraId="3CB113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 w:hRule="atLeast"/>
        </w:trPr>
        <w:tc>
          <w:tcPr>
            <w:tcW w:w="256" w:type="pct"/>
            <w:vMerge w:val="restart"/>
            <w:tcBorders>
              <w:tl2br w:val="nil"/>
              <w:tr2bl w:val="nil"/>
            </w:tcBorders>
            <w:vAlign w:val="center"/>
          </w:tcPr>
          <w:p w14:paraId="0AD95D2E">
            <w:pPr>
              <w:spacing w:line="240" w:lineRule="auto"/>
              <w:ind w:left="-72" w:leftChars="-30" w:right="-72" w:rightChars="-30" w:firstLine="0" w:firstLineChars="0"/>
              <w:jc w:val="center"/>
              <w:rPr>
                <w:color w:val="auto"/>
                <w:sz w:val="21"/>
                <w:szCs w:val="21"/>
                <w:highlight w:val="none"/>
              </w:rPr>
            </w:pPr>
          </w:p>
        </w:tc>
        <w:tc>
          <w:tcPr>
            <w:tcW w:w="683" w:type="pct"/>
            <w:vMerge w:val="restart"/>
            <w:tcBorders>
              <w:tl2br w:val="nil"/>
              <w:tr2bl w:val="nil"/>
            </w:tcBorders>
            <w:vAlign w:val="center"/>
          </w:tcPr>
          <w:p w14:paraId="4FD861A3">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2#码头和5#码头工程项目</w:t>
            </w:r>
          </w:p>
        </w:tc>
        <w:tc>
          <w:tcPr>
            <w:tcW w:w="517" w:type="pct"/>
            <w:tcBorders>
              <w:tl2br w:val="nil"/>
              <w:tr2bl w:val="nil"/>
            </w:tcBorders>
            <w:vAlign w:val="center"/>
          </w:tcPr>
          <w:p w14:paraId="3B267F56">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-255</w:t>
            </w:r>
          </w:p>
        </w:tc>
        <w:tc>
          <w:tcPr>
            <w:tcW w:w="641" w:type="pct"/>
            <w:tcBorders>
              <w:tl2br w:val="nil"/>
              <w:tr2bl w:val="nil"/>
            </w:tcBorders>
            <w:vAlign w:val="center"/>
          </w:tcPr>
          <w:p w14:paraId="4EEFC6E8">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34</w:t>
            </w:r>
          </w:p>
        </w:tc>
        <w:tc>
          <w:tcPr>
            <w:tcW w:w="533" w:type="pct"/>
            <w:vMerge w:val="restart"/>
            <w:tcBorders>
              <w:tl2br w:val="nil"/>
              <w:tr2bl w:val="nil"/>
            </w:tcBorders>
            <w:vAlign w:val="center"/>
          </w:tcPr>
          <w:p w14:paraId="5FAE82C1">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0</w:t>
            </w:r>
          </w:p>
        </w:tc>
        <w:tc>
          <w:tcPr>
            <w:tcW w:w="498" w:type="pct"/>
            <w:vMerge w:val="restart"/>
            <w:tcBorders>
              <w:tl2br w:val="nil"/>
              <w:tr2bl w:val="nil"/>
            </w:tcBorders>
            <w:vAlign w:val="center"/>
          </w:tcPr>
          <w:p w14:paraId="44DB0319">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10</w:t>
            </w:r>
          </w:p>
        </w:tc>
        <w:tc>
          <w:tcPr>
            <w:tcW w:w="498" w:type="pct"/>
            <w:vMerge w:val="restart"/>
            <w:tcBorders>
              <w:tl2br w:val="nil"/>
              <w:tr2bl w:val="nil"/>
            </w:tcBorders>
            <w:vAlign w:val="center"/>
          </w:tcPr>
          <w:p w14:paraId="2112BFE2">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3820</w:t>
            </w:r>
          </w:p>
        </w:tc>
        <w:tc>
          <w:tcPr>
            <w:tcW w:w="455" w:type="pct"/>
            <w:vMerge w:val="restart"/>
            <w:tcBorders>
              <w:tl2br w:val="nil"/>
              <w:tr2bl w:val="nil"/>
            </w:tcBorders>
            <w:vAlign w:val="center"/>
          </w:tcPr>
          <w:p w14:paraId="675806DC">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0.03</w:t>
            </w:r>
          </w:p>
        </w:tc>
        <w:tc>
          <w:tcPr>
            <w:tcW w:w="455" w:type="pct"/>
            <w:vMerge w:val="restart"/>
            <w:tcBorders>
              <w:tl2br w:val="nil"/>
              <w:tr2bl w:val="nil"/>
            </w:tcBorders>
            <w:vAlign w:val="center"/>
          </w:tcPr>
          <w:p w14:paraId="370C03E2">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0.12</w:t>
            </w:r>
          </w:p>
        </w:tc>
        <w:tc>
          <w:tcPr>
            <w:tcW w:w="461" w:type="pct"/>
            <w:vMerge w:val="restart"/>
            <w:tcBorders>
              <w:tl2br w:val="nil"/>
              <w:tr2bl w:val="nil"/>
            </w:tcBorders>
            <w:vAlign w:val="center"/>
          </w:tcPr>
          <w:p w14:paraId="62FDC666">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0.49</w:t>
            </w:r>
          </w:p>
        </w:tc>
      </w:tr>
      <w:tr w14:paraId="688FAD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 w:hRule="atLeast"/>
        </w:trPr>
        <w:tc>
          <w:tcPr>
            <w:tcW w:w="256" w:type="pct"/>
            <w:vMerge w:val="continue"/>
            <w:tcBorders>
              <w:tl2br w:val="nil"/>
              <w:tr2bl w:val="nil"/>
            </w:tcBorders>
            <w:vAlign w:val="center"/>
          </w:tcPr>
          <w:p w14:paraId="7057CD8F">
            <w:pPr>
              <w:spacing w:line="240" w:lineRule="auto"/>
              <w:ind w:left="-72" w:leftChars="-30" w:right="-72" w:rightChars="-30" w:firstLine="0" w:firstLineChars="0"/>
              <w:jc w:val="center"/>
              <w:rPr>
                <w:color w:val="auto"/>
                <w:sz w:val="21"/>
                <w:szCs w:val="21"/>
                <w:highlight w:val="none"/>
              </w:rPr>
            </w:pPr>
          </w:p>
        </w:tc>
        <w:tc>
          <w:tcPr>
            <w:tcW w:w="683" w:type="pct"/>
            <w:vMerge w:val="continue"/>
            <w:tcBorders>
              <w:tl2br w:val="nil"/>
              <w:tr2bl w:val="nil"/>
            </w:tcBorders>
            <w:vAlign w:val="center"/>
          </w:tcPr>
          <w:p w14:paraId="7375D730">
            <w:pPr>
              <w:spacing w:line="240" w:lineRule="auto"/>
              <w:ind w:left="-72" w:leftChars="-30" w:right="-72" w:rightChars="-30" w:firstLine="0" w:firstLineChars="0"/>
              <w:jc w:val="center"/>
              <w:rPr>
                <w:color w:val="auto"/>
                <w:sz w:val="21"/>
                <w:szCs w:val="21"/>
                <w:highlight w:val="none"/>
              </w:rPr>
            </w:pPr>
          </w:p>
        </w:tc>
        <w:tc>
          <w:tcPr>
            <w:tcW w:w="517" w:type="pct"/>
            <w:tcBorders>
              <w:tl2br w:val="nil"/>
              <w:tr2bl w:val="nil"/>
            </w:tcBorders>
            <w:vAlign w:val="center"/>
          </w:tcPr>
          <w:p w14:paraId="0ACD508A">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-6</w:t>
            </w:r>
          </w:p>
        </w:tc>
        <w:tc>
          <w:tcPr>
            <w:tcW w:w="641" w:type="pct"/>
            <w:tcBorders>
              <w:tl2br w:val="nil"/>
              <w:tr2bl w:val="nil"/>
            </w:tcBorders>
            <w:vAlign w:val="center"/>
          </w:tcPr>
          <w:p w14:paraId="01977A9B">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-178</w:t>
            </w:r>
          </w:p>
        </w:tc>
        <w:tc>
          <w:tcPr>
            <w:tcW w:w="533" w:type="pct"/>
            <w:vMerge w:val="continue"/>
            <w:tcBorders>
              <w:tl2br w:val="nil"/>
              <w:tr2bl w:val="nil"/>
            </w:tcBorders>
            <w:vAlign w:val="center"/>
          </w:tcPr>
          <w:p w14:paraId="2B472FD4">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65028F3D">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2E3DF77B">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1A4C0373">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712D1D7A">
            <w:pPr>
              <w:spacing w:line="240" w:lineRule="auto"/>
              <w:ind w:left="-72" w:leftChars="-30" w:right="-72" w:rightChars="-30" w:firstLine="0" w:firstLineChars="0"/>
              <w:jc w:val="center"/>
              <w:rPr>
                <w:color w:val="auto"/>
                <w:sz w:val="21"/>
                <w:szCs w:val="21"/>
                <w:highlight w:val="none"/>
              </w:rPr>
            </w:pPr>
          </w:p>
        </w:tc>
        <w:tc>
          <w:tcPr>
            <w:tcW w:w="461" w:type="pct"/>
            <w:vMerge w:val="continue"/>
            <w:tcBorders>
              <w:tl2br w:val="nil"/>
              <w:tr2bl w:val="nil"/>
            </w:tcBorders>
            <w:vAlign w:val="center"/>
          </w:tcPr>
          <w:p w14:paraId="6AD0D531">
            <w:pPr>
              <w:spacing w:line="240" w:lineRule="auto"/>
              <w:ind w:left="-72" w:leftChars="-30" w:right="-72" w:rightChars="-30" w:firstLine="0" w:firstLineChars="0"/>
              <w:jc w:val="center"/>
              <w:rPr>
                <w:color w:val="auto"/>
                <w:sz w:val="21"/>
                <w:szCs w:val="21"/>
                <w:highlight w:val="none"/>
              </w:rPr>
            </w:pPr>
          </w:p>
        </w:tc>
      </w:tr>
      <w:tr w14:paraId="24DC35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 w:hRule="atLeast"/>
        </w:trPr>
        <w:tc>
          <w:tcPr>
            <w:tcW w:w="256" w:type="pct"/>
            <w:vMerge w:val="continue"/>
            <w:tcBorders>
              <w:tl2br w:val="nil"/>
              <w:tr2bl w:val="nil"/>
            </w:tcBorders>
            <w:vAlign w:val="center"/>
          </w:tcPr>
          <w:p w14:paraId="6AED41CD">
            <w:pPr>
              <w:spacing w:line="240" w:lineRule="auto"/>
              <w:ind w:left="-72" w:leftChars="-30" w:right="-72" w:rightChars="-30" w:firstLine="0" w:firstLineChars="0"/>
              <w:jc w:val="center"/>
              <w:rPr>
                <w:color w:val="auto"/>
                <w:sz w:val="21"/>
                <w:szCs w:val="21"/>
                <w:highlight w:val="none"/>
              </w:rPr>
            </w:pPr>
          </w:p>
        </w:tc>
        <w:tc>
          <w:tcPr>
            <w:tcW w:w="683" w:type="pct"/>
            <w:vMerge w:val="continue"/>
            <w:tcBorders>
              <w:tl2br w:val="nil"/>
              <w:tr2bl w:val="nil"/>
            </w:tcBorders>
            <w:vAlign w:val="center"/>
          </w:tcPr>
          <w:p w14:paraId="2B023D06">
            <w:pPr>
              <w:spacing w:line="240" w:lineRule="auto"/>
              <w:ind w:left="-72" w:leftChars="-30" w:right="-72" w:rightChars="-30" w:firstLine="0" w:firstLineChars="0"/>
              <w:jc w:val="center"/>
              <w:rPr>
                <w:color w:val="auto"/>
                <w:sz w:val="21"/>
                <w:szCs w:val="21"/>
                <w:highlight w:val="none"/>
              </w:rPr>
            </w:pPr>
          </w:p>
        </w:tc>
        <w:tc>
          <w:tcPr>
            <w:tcW w:w="517" w:type="pct"/>
            <w:tcBorders>
              <w:tl2br w:val="nil"/>
              <w:tr2bl w:val="nil"/>
            </w:tcBorders>
            <w:vAlign w:val="center"/>
          </w:tcPr>
          <w:p w14:paraId="0FEBEA39">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-37</w:t>
            </w:r>
          </w:p>
        </w:tc>
        <w:tc>
          <w:tcPr>
            <w:tcW w:w="641" w:type="pct"/>
            <w:tcBorders>
              <w:tl2br w:val="nil"/>
              <w:tr2bl w:val="nil"/>
            </w:tcBorders>
            <w:vAlign w:val="center"/>
          </w:tcPr>
          <w:p w14:paraId="6885346B">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-201</w:t>
            </w:r>
          </w:p>
        </w:tc>
        <w:tc>
          <w:tcPr>
            <w:tcW w:w="533" w:type="pct"/>
            <w:vMerge w:val="continue"/>
            <w:tcBorders>
              <w:tl2br w:val="nil"/>
              <w:tr2bl w:val="nil"/>
            </w:tcBorders>
            <w:vAlign w:val="center"/>
          </w:tcPr>
          <w:p w14:paraId="5938D10D">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73B8B3F0">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0FDC04B0">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06AC8937">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2418BC14">
            <w:pPr>
              <w:spacing w:line="240" w:lineRule="auto"/>
              <w:ind w:left="-72" w:leftChars="-30" w:right="-72" w:rightChars="-30" w:firstLine="0" w:firstLineChars="0"/>
              <w:jc w:val="center"/>
              <w:rPr>
                <w:color w:val="auto"/>
                <w:sz w:val="21"/>
                <w:szCs w:val="21"/>
                <w:highlight w:val="none"/>
              </w:rPr>
            </w:pPr>
          </w:p>
        </w:tc>
        <w:tc>
          <w:tcPr>
            <w:tcW w:w="461" w:type="pct"/>
            <w:vMerge w:val="continue"/>
            <w:tcBorders>
              <w:tl2br w:val="nil"/>
              <w:tr2bl w:val="nil"/>
            </w:tcBorders>
            <w:vAlign w:val="center"/>
          </w:tcPr>
          <w:p w14:paraId="63F40E79">
            <w:pPr>
              <w:spacing w:line="240" w:lineRule="auto"/>
              <w:ind w:left="-72" w:leftChars="-30" w:right="-72" w:rightChars="-30" w:firstLine="0" w:firstLineChars="0"/>
              <w:jc w:val="center"/>
              <w:rPr>
                <w:color w:val="auto"/>
                <w:sz w:val="21"/>
                <w:szCs w:val="21"/>
                <w:highlight w:val="none"/>
              </w:rPr>
            </w:pPr>
          </w:p>
        </w:tc>
      </w:tr>
      <w:tr w14:paraId="633E3B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 w:hRule="atLeast"/>
        </w:trPr>
        <w:tc>
          <w:tcPr>
            <w:tcW w:w="256" w:type="pct"/>
            <w:vMerge w:val="continue"/>
            <w:tcBorders>
              <w:tl2br w:val="nil"/>
              <w:tr2bl w:val="nil"/>
            </w:tcBorders>
            <w:vAlign w:val="center"/>
          </w:tcPr>
          <w:p w14:paraId="2EFEB318">
            <w:pPr>
              <w:spacing w:line="240" w:lineRule="auto"/>
              <w:ind w:left="-72" w:leftChars="-30" w:right="-72" w:rightChars="-30" w:firstLine="0" w:firstLineChars="0"/>
              <w:jc w:val="center"/>
              <w:rPr>
                <w:color w:val="auto"/>
                <w:sz w:val="21"/>
                <w:szCs w:val="21"/>
                <w:highlight w:val="none"/>
              </w:rPr>
            </w:pPr>
          </w:p>
        </w:tc>
        <w:tc>
          <w:tcPr>
            <w:tcW w:w="683" w:type="pct"/>
            <w:vMerge w:val="continue"/>
            <w:tcBorders>
              <w:tl2br w:val="nil"/>
              <w:tr2bl w:val="nil"/>
            </w:tcBorders>
            <w:vAlign w:val="center"/>
          </w:tcPr>
          <w:p w14:paraId="7C296FE4">
            <w:pPr>
              <w:spacing w:line="240" w:lineRule="auto"/>
              <w:ind w:left="-72" w:leftChars="-30" w:right="-72" w:rightChars="-30" w:firstLine="0" w:firstLineChars="0"/>
              <w:jc w:val="center"/>
              <w:rPr>
                <w:color w:val="auto"/>
                <w:sz w:val="21"/>
                <w:szCs w:val="21"/>
                <w:highlight w:val="none"/>
              </w:rPr>
            </w:pPr>
          </w:p>
        </w:tc>
        <w:tc>
          <w:tcPr>
            <w:tcW w:w="517" w:type="pct"/>
            <w:tcBorders>
              <w:tl2br w:val="nil"/>
              <w:tr2bl w:val="nil"/>
            </w:tcBorders>
            <w:vAlign w:val="center"/>
          </w:tcPr>
          <w:p w14:paraId="5CB6654D">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-264</w:t>
            </w:r>
          </w:p>
        </w:tc>
        <w:tc>
          <w:tcPr>
            <w:tcW w:w="641" w:type="pct"/>
            <w:tcBorders>
              <w:tl2br w:val="nil"/>
              <w:tr2bl w:val="nil"/>
            </w:tcBorders>
            <w:vAlign w:val="center"/>
          </w:tcPr>
          <w:p w14:paraId="5C593554">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-4</w:t>
            </w:r>
          </w:p>
        </w:tc>
        <w:tc>
          <w:tcPr>
            <w:tcW w:w="533" w:type="pct"/>
            <w:vMerge w:val="continue"/>
            <w:tcBorders>
              <w:tl2br w:val="nil"/>
              <w:tr2bl w:val="nil"/>
            </w:tcBorders>
            <w:vAlign w:val="center"/>
          </w:tcPr>
          <w:p w14:paraId="655FC91B">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26B2F8BC">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3AFD1BAA">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1B1B1AA8">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79DA66F6">
            <w:pPr>
              <w:spacing w:line="240" w:lineRule="auto"/>
              <w:ind w:left="-72" w:leftChars="-30" w:right="-72" w:rightChars="-30" w:firstLine="0" w:firstLineChars="0"/>
              <w:jc w:val="center"/>
              <w:rPr>
                <w:color w:val="auto"/>
                <w:sz w:val="21"/>
                <w:szCs w:val="21"/>
                <w:highlight w:val="none"/>
              </w:rPr>
            </w:pPr>
          </w:p>
        </w:tc>
        <w:tc>
          <w:tcPr>
            <w:tcW w:w="461" w:type="pct"/>
            <w:vMerge w:val="continue"/>
            <w:tcBorders>
              <w:tl2br w:val="nil"/>
              <w:tr2bl w:val="nil"/>
            </w:tcBorders>
            <w:vAlign w:val="center"/>
          </w:tcPr>
          <w:p w14:paraId="4AACD398">
            <w:pPr>
              <w:spacing w:line="240" w:lineRule="auto"/>
              <w:ind w:left="-72" w:leftChars="-30" w:right="-72" w:rightChars="-30" w:firstLine="0" w:firstLineChars="0"/>
              <w:jc w:val="center"/>
              <w:rPr>
                <w:color w:val="auto"/>
                <w:sz w:val="21"/>
                <w:szCs w:val="21"/>
                <w:highlight w:val="none"/>
              </w:rPr>
            </w:pPr>
          </w:p>
        </w:tc>
      </w:tr>
      <w:tr w14:paraId="41E3C7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 w:hRule="atLeast"/>
        </w:trPr>
        <w:tc>
          <w:tcPr>
            <w:tcW w:w="256" w:type="pct"/>
            <w:vMerge w:val="continue"/>
            <w:tcBorders>
              <w:tl2br w:val="nil"/>
              <w:tr2bl w:val="nil"/>
            </w:tcBorders>
            <w:vAlign w:val="center"/>
          </w:tcPr>
          <w:p w14:paraId="6570CF5D">
            <w:pPr>
              <w:spacing w:line="240" w:lineRule="auto"/>
              <w:ind w:left="-72" w:leftChars="-30" w:right="-72" w:rightChars="-30" w:firstLine="0" w:firstLineChars="0"/>
              <w:jc w:val="center"/>
              <w:rPr>
                <w:color w:val="auto"/>
                <w:sz w:val="21"/>
                <w:szCs w:val="21"/>
                <w:highlight w:val="none"/>
              </w:rPr>
            </w:pPr>
          </w:p>
        </w:tc>
        <w:tc>
          <w:tcPr>
            <w:tcW w:w="683" w:type="pct"/>
            <w:vMerge w:val="continue"/>
            <w:tcBorders>
              <w:tl2br w:val="nil"/>
              <w:tr2bl w:val="nil"/>
            </w:tcBorders>
            <w:vAlign w:val="center"/>
          </w:tcPr>
          <w:p w14:paraId="33D00E75">
            <w:pPr>
              <w:spacing w:line="240" w:lineRule="auto"/>
              <w:ind w:left="-72" w:leftChars="-30" w:right="-72" w:rightChars="-30" w:firstLine="0" w:firstLineChars="0"/>
              <w:jc w:val="center"/>
              <w:rPr>
                <w:color w:val="auto"/>
                <w:sz w:val="21"/>
                <w:szCs w:val="21"/>
                <w:highlight w:val="none"/>
              </w:rPr>
            </w:pPr>
          </w:p>
        </w:tc>
        <w:tc>
          <w:tcPr>
            <w:tcW w:w="517" w:type="pct"/>
            <w:tcBorders>
              <w:tl2br w:val="nil"/>
              <w:tr2bl w:val="nil"/>
            </w:tcBorders>
            <w:vAlign w:val="center"/>
          </w:tcPr>
          <w:p w14:paraId="4FC77904">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-436</w:t>
            </w:r>
          </w:p>
        </w:tc>
        <w:tc>
          <w:tcPr>
            <w:tcW w:w="641" w:type="pct"/>
            <w:tcBorders>
              <w:tl2br w:val="nil"/>
              <w:tr2bl w:val="nil"/>
            </w:tcBorders>
            <w:vAlign w:val="center"/>
          </w:tcPr>
          <w:p w14:paraId="327A787A">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-181</w:t>
            </w:r>
          </w:p>
        </w:tc>
        <w:tc>
          <w:tcPr>
            <w:tcW w:w="533" w:type="pct"/>
            <w:vMerge w:val="continue"/>
            <w:tcBorders>
              <w:tl2br w:val="nil"/>
              <w:tr2bl w:val="nil"/>
            </w:tcBorders>
            <w:vAlign w:val="center"/>
          </w:tcPr>
          <w:p w14:paraId="1F6CBAFC">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294E2725">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364088DD">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64CF58A1">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01880A3C">
            <w:pPr>
              <w:spacing w:line="240" w:lineRule="auto"/>
              <w:ind w:left="-72" w:leftChars="-30" w:right="-72" w:rightChars="-30" w:firstLine="0" w:firstLineChars="0"/>
              <w:jc w:val="center"/>
              <w:rPr>
                <w:color w:val="auto"/>
                <w:sz w:val="21"/>
                <w:szCs w:val="21"/>
                <w:highlight w:val="none"/>
              </w:rPr>
            </w:pPr>
          </w:p>
        </w:tc>
        <w:tc>
          <w:tcPr>
            <w:tcW w:w="461" w:type="pct"/>
            <w:vMerge w:val="continue"/>
            <w:tcBorders>
              <w:tl2br w:val="nil"/>
              <w:tr2bl w:val="nil"/>
            </w:tcBorders>
            <w:vAlign w:val="center"/>
          </w:tcPr>
          <w:p w14:paraId="5AFD48EE">
            <w:pPr>
              <w:spacing w:line="240" w:lineRule="auto"/>
              <w:ind w:left="-72" w:leftChars="-30" w:right="-72" w:rightChars="-30" w:firstLine="0" w:firstLineChars="0"/>
              <w:jc w:val="center"/>
              <w:rPr>
                <w:color w:val="auto"/>
                <w:sz w:val="21"/>
                <w:szCs w:val="21"/>
                <w:highlight w:val="none"/>
              </w:rPr>
            </w:pPr>
          </w:p>
        </w:tc>
      </w:tr>
      <w:tr w14:paraId="750049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 w:hRule="atLeast"/>
        </w:trPr>
        <w:tc>
          <w:tcPr>
            <w:tcW w:w="256" w:type="pct"/>
            <w:vMerge w:val="continue"/>
            <w:tcBorders>
              <w:tl2br w:val="nil"/>
              <w:tr2bl w:val="nil"/>
            </w:tcBorders>
            <w:vAlign w:val="center"/>
          </w:tcPr>
          <w:p w14:paraId="5A7A9363">
            <w:pPr>
              <w:spacing w:line="240" w:lineRule="auto"/>
              <w:ind w:left="-72" w:leftChars="-30" w:right="-72" w:rightChars="-30" w:firstLine="0" w:firstLineChars="0"/>
              <w:jc w:val="center"/>
              <w:rPr>
                <w:color w:val="auto"/>
                <w:sz w:val="21"/>
                <w:szCs w:val="21"/>
                <w:highlight w:val="none"/>
              </w:rPr>
            </w:pPr>
          </w:p>
        </w:tc>
        <w:tc>
          <w:tcPr>
            <w:tcW w:w="683" w:type="pct"/>
            <w:vMerge w:val="continue"/>
            <w:tcBorders>
              <w:tl2br w:val="nil"/>
              <w:tr2bl w:val="nil"/>
            </w:tcBorders>
            <w:vAlign w:val="center"/>
          </w:tcPr>
          <w:p w14:paraId="2B751C33">
            <w:pPr>
              <w:spacing w:line="240" w:lineRule="auto"/>
              <w:ind w:left="-72" w:leftChars="-30" w:right="-72" w:rightChars="-30" w:firstLine="0" w:firstLineChars="0"/>
              <w:jc w:val="center"/>
              <w:rPr>
                <w:color w:val="auto"/>
                <w:sz w:val="21"/>
                <w:szCs w:val="21"/>
                <w:highlight w:val="none"/>
              </w:rPr>
            </w:pPr>
          </w:p>
        </w:tc>
        <w:tc>
          <w:tcPr>
            <w:tcW w:w="517" w:type="pct"/>
            <w:tcBorders>
              <w:tl2br w:val="nil"/>
              <w:tr2bl w:val="nil"/>
            </w:tcBorders>
            <w:vAlign w:val="center"/>
          </w:tcPr>
          <w:p w14:paraId="46C7A532">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-461</w:t>
            </w:r>
          </w:p>
        </w:tc>
        <w:tc>
          <w:tcPr>
            <w:tcW w:w="641" w:type="pct"/>
            <w:tcBorders>
              <w:tl2br w:val="nil"/>
              <w:tr2bl w:val="nil"/>
            </w:tcBorders>
            <w:vAlign w:val="center"/>
          </w:tcPr>
          <w:p w14:paraId="741952BE">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-161</w:t>
            </w:r>
          </w:p>
        </w:tc>
        <w:tc>
          <w:tcPr>
            <w:tcW w:w="533" w:type="pct"/>
            <w:vMerge w:val="continue"/>
            <w:tcBorders>
              <w:tl2br w:val="nil"/>
              <w:tr2bl w:val="nil"/>
            </w:tcBorders>
            <w:vAlign w:val="center"/>
          </w:tcPr>
          <w:p w14:paraId="0A882C3A">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25156172">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40482AFB">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2BA5AD7C">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0DFD40C5">
            <w:pPr>
              <w:spacing w:line="240" w:lineRule="auto"/>
              <w:ind w:left="-72" w:leftChars="-30" w:right="-72" w:rightChars="-30" w:firstLine="0" w:firstLineChars="0"/>
              <w:jc w:val="center"/>
              <w:rPr>
                <w:color w:val="auto"/>
                <w:sz w:val="21"/>
                <w:szCs w:val="21"/>
                <w:highlight w:val="none"/>
              </w:rPr>
            </w:pPr>
          </w:p>
        </w:tc>
        <w:tc>
          <w:tcPr>
            <w:tcW w:w="461" w:type="pct"/>
            <w:vMerge w:val="continue"/>
            <w:tcBorders>
              <w:tl2br w:val="nil"/>
              <w:tr2bl w:val="nil"/>
            </w:tcBorders>
            <w:vAlign w:val="center"/>
          </w:tcPr>
          <w:p w14:paraId="47AA8D6C">
            <w:pPr>
              <w:spacing w:line="240" w:lineRule="auto"/>
              <w:ind w:left="-72" w:leftChars="-30" w:right="-72" w:rightChars="-30" w:firstLine="0" w:firstLineChars="0"/>
              <w:jc w:val="center"/>
              <w:rPr>
                <w:color w:val="auto"/>
                <w:sz w:val="21"/>
                <w:szCs w:val="21"/>
                <w:highlight w:val="none"/>
              </w:rPr>
            </w:pPr>
          </w:p>
        </w:tc>
      </w:tr>
      <w:tr w14:paraId="752338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 w:hRule="atLeast"/>
        </w:trPr>
        <w:tc>
          <w:tcPr>
            <w:tcW w:w="256" w:type="pct"/>
            <w:vMerge w:val="continue"/>
            <w:tcBorders>
              <w:tl2br w:val="nil"/>
              <w:tr2bl w:val="nil"/>
            </w:tcBorders>
            <w:vAlign w:val="center"/>
          </w:tcPr>
          <w:p w14:paraId="271037C6">
            <w:pPr>
              <w:spacing w:line="240" w:lineRule="auto"/>
              <w:ind w:left="-72" w:leftChars="-30" w:right="-72" w:rightChars="-30" w:firstLine="0" w:firstLineChars="0"/>
              <w:jc w:val="center"/>
              <w:rPr>
                <w:color w:val="auto"/>
                <w:sz w:val="21"/>
                <w:szCs w:val="21"/>
                <w:highlight w:val="none"/>
              </w:rPr>
            </w:pPr>
          </w:p>
        </w:tc>
        <w:tc>
          <w:tcPr>
            <w:tcW w:w="683" w:type="pct"/>
            <w:vMerge w:val="continue"/>
            <w:tcBorders>
              <w:tl2br w:val="nil"/>
              <w:tr2bl w:val="nil"/>
            </w:tcBorders>
            <w:vAlign w:val="center"/>
          </w:tcPr>
          <w:p w14:paraId="3438680B">
            <w:pPr>
              <w:spacing w:line="240" w:lineRule="auto"/>
              <w:ind w:left="-72" w:leftChars="-30" w:right="-72" w:rightChars="-30" w:firstLine="0" w:firstLineChars="0"/>
              <w:jc w:val="center"/>
              <w:rPr>
                <w:color w:val="auto"/>
                <w:sz w:val="21"/>
                <w:szCs w:val="21"/>
                <w:highlight w:val="none"/>
              </w:rPr>
            </w:pPr>
          </w:p>
        </w:tc>
        <w:tc>
          <w:tcPr>
            <w:tcW w:w="517" w:type="pct"/>
            <w:tcBorders>
              <w:tl2br w:val="nil"/>
              <w:tr2bl w:val="nil"/>
            </w:tcBorders>
            <w:vAlign w:val="center"/>
          </w:tcPr>
          <w:p w14:paraId="72FC41EA">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-273</w:t>
            </w:r>
          </w:p>
        </w:tc>
        <w:tc>
          <w:tcPr>
            <w:tcW w:w="641" w:type="pct"/>
            <w:tcBorders>
              <w:tl2br w:val="nil"/>
              <w:tr2bl w:val="nil"/>
            </w:tcBorders>
            <w:vAlign w:val="center"/>
          </w:tcPr>
          <w:p w14:paraId="527998A1">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34</w:t>
            </w:r>
          </w:p>
        </w:tc>
        <w:tc>
          <w:tcPr>
            <w:tcW w:w="533" w:type="pct"/>
            <w:vMerge w:val="continue"/>
            <w:tcBorders>
              <w:tl2br w:val="nil"/>
              <w:tr2bl w:val="nil"/>
            </w:tcBorders>
            <w:vAlign w:val="center"/>
          </w:tcPr>
          <w:p w14:paraId="1DE1449D">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6611F2A1">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59960226">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6ADD48B7">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463B7750">
            <w:pPr>
              <w:spacing w:line="240" w:lineRule="auto"/>
              <w:ind w:left="-72" w:leftChars="-30" w:right="-72" w:rightChars="-30" w:firstLine="0" w:firstLineChars="0"/>
              <w:jc w:val="center"/>
              <w:rPr>
                <w:color w:val="auto"/>
                <w:sz w:val="21"/>
                <w:szCs w:val="21"/>
                <w:highlight w:val="none"/>
              </w:rPr>
            </w:pPr>
          </w:p>
        </w:tc>
        <w:tc>
          <w:tcPr>
            <w:tcW w:w="461" w:type="pct"/>
            <w:vMerge w:val="continue"/>
            <w:tcBorders>
              <w:tl2br w:val="nil"/>
              <w:tr2bl w:val="nil"/>
            </w:tcBorders>
            <w:vAlign w:val="center"/>
          </w:tcPr>
          <w:p w14:paraId="725D0204">
            <w:pPr>
              <w:spacing w:line="240" w:lineRule="auto"/>
              <w:ind w:left="-72" w:leftChars="-30" w:right="-72" w:rightChars="-30" w:firstLine="0" w:firstLineChars="0"/>
              <w:jc w:val="center"/>
              <w:rPr>
                <w:color w:val="auto"/>
                <w:sz w:val="21"/>
                <w:szCs w:val="21"/>
                <w:highlight w:val="none"/>
              </w:rPr>
            </w:pPr>
          </w:p>
        </w:tc>
      </w:tr>
      <w:tr w14:paraId="0FE5C2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 w:hRule="atLeast"/>
        </w:trPr>
        <w:tc>
          <w:tcPr>
            <w:tcW w:w="256" w:type="pct"/>
            <w:vMerge w:val="continue"/>
            <w:tcBorders>
              <w:tl2br w:val="nil"/>
              <w:tr2bl w:val="nil"/>
            </w:tcBorders>
            <w:vAlign w:val="center"/>
          </w:tcPr>
          <w:p w14:paraId="63287593">
            <w:pPr>
              <w:spacing w:line="240" w:lineRule="auto"/>
              <w:ind w:left="-72" w:leftChars="-30" w:right="-72" w:rightChars="-30" w:firstLine="0" w:firstLineChars="0"/>
              <w:jc w:val="center"/>
              <w:rPr>
                <w:color w:val="auto"/>
                <w:sz w:val="21"/>
                <w:szCs w:val="21"/>
                <w:highlight w:val="none"/>
              </w:rPr>
            </w:pPr>
          </w:p>
        </w:tc>
        <w:tc>
          <w:tcPr>
            <w:tcW w:w="683" w:type="pct"/>
            <w:vMerge w:val="continue"/>
            <w:tcBorders>
              <w:tl2br w:val="nil"/>
              <w:tr2bl w:val="nil"/>
            </w:tcBorders>
            <w:vAlign w:val="center"/>
          </w:tcPr>
          <w:p w14:paraId="223361F2">
            <w:pPr>
              <w:spacing w:line="240" w:lineRule="auto"/>
              <w:ind w:left="-72" w:leftChars="-30" w:right="-72" w:rightChars="-30" w:firstLine="0" w:firstLineChars="0"/>
              <w:jc w:val="center"/>
              <w:rPr>
                <w:color w:val="auto"/>
                <w:sz w:val="21"/>
                <w:szCs w:val="21"/>
                <w:highlight w:val="none"/>
              </w:rPr>
            </w:pPr>
          </w:p>
        </w:tc>
        <w:tc>
          <w:tcPr>
            <w:tcW w:w="517" w:type="pct"/>
            <w:tcBorders>
              <w:tl2br w:val="nil"/>
              <w:tr2bl w:val="nil"/>
            </w:tcBorders>
            <w:vAlign w:val="center"/>
          </w:tcPr>
          <w:p w14:paraId="284136B7">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-255</w:t>
            </w:r>
          </w:p>
        </w:tc>
        <w:tc>
          <w:tcPr>
            <w:tcW w:w="641" w:type="pct"/>
            <w:tcBorders>
              <w:tl2br w:val="nil"/>
              <w:tr2bl w:val="nil"/>
            </w:tcBorders>
            <w:vAlign w:val="center"/>
          </w:tcPr>
          <w:p w14:paraId="68DCCDFD">
            <w:pPr>
              <w:spacing w:line="240" w:lineRule="auto"/>
              <w:ind w:left="-72" w:leftChars="-30" w:right="-72" w:rightChars="-30" w:firstLine="0" w:firstLineChars="0"/>
              <w:jc w:val="center"/>
              <w:rPr>
                <w:color w:val="auto"/>
                <w:sz w:val="21"/>
                <w:szCs w:val="21"/>
                <w:highlight w:val="none"/>
              </w:rPr>
            </w:pPr>
            <w:r>
              <w:rPr>
                <w:rFonts w:hint="eastAsia"/>
                <w:color w:val="auto"/>
                <w:sz w:val="21"/>
                <w:szCs w:val="21"/>
                <w:highlight w:val="none"/>
              </w:rPr>
              <w:t>34</w:t>
            </w:r>
          </w:p>
        </w:tc>
        <w:tc>
          <w:tcPr>
            <w:tcW w:w="533" w:type="pct"/>
            <w:vMerge w:val="continue"/>
            <w:tcBorders>
              <w:tl2br w:val="nil"/>
              <w:tr2bl w:val="nil"/>
            </w:tcBorders>
            <w:vAlign w:val="center"/>
          </w:tcPr>
          <w:p w14:paraId="79D755FF">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550B17D7">
            <w:pPr>
              <w:spacing w:line="240" w:lineRule="auto"/>
              <w:ind w:left="-72" w:leftChars="-30" w:right="-72" w:rightChars="-30" w:firstLine="0" w:firstLineChars="0"/>
              <w:jc w:val="center"/>
              <w:rPr>
                <w:color w:val="auto"/>
                <w:sz w:val="21"/>
                <w:szCs w:val="21"/>
                <w:highlight w:val="none"/>
              </w:rPr>
            </w:pPr>
          </w:p>
        </w:tc>
        <w:tc>
          <w:tcPr>
            <w:tcW w:w="498" w:type="pct"/>
            <w:vMerge w:val="continue"/>
            <w:tcBorders>
              <w:tl2br w:val="nil"/>
              <w:tr2bl w:val="nil"/>
            </w:tcBorders>
            <w:vAlign w:val="center"/>
          </w:tcPr>
          <w:p w14:paraId="259E64DB">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488FDF8E">
            <w:pPr>
              <w:spacing w:line="240" w:lineRule="auto"/>
              <w:ind w:left="-72" w:leftChars="-30" w:right="-72" w:rightChars="-30" w:firstLine="0" w:firstLineChars="0"/>
              <w:jc w:val="center"/>
              <w:rPr>
                <w:color w:val="auto"/>
                <w:sz w:val="21"/>
                <w:szCs w:val="21"/>
                <w:highlight w:val="none"/>
              </w:rPr>
            </w:pPr>
          </w:p>
        </w:tc>
        <w:tc>
          <w:tcPr>
            <w:tcW w:w="455" w:type="pct"/>
            <w:vMerge w:val="continue"/>
            <w:tcBorders>
              <w:tl2br w:val="nil"/>
              <w:tr2bl w:val="nil"/>
            </w:tcBorders>
            <w:vAlign w:val="center"/>
          </w:tcPr>
          <w:p w14:paraId="528014B0">
            <w:pPr>
              <w:spacing w:line="240" w:lineRule="auto"/>
              <w:ind w:left="-72" w:leftChars="-30" w:right="-72" w:rightChars="-30" w:firstLine="0" w:firstLineChars="0"/>
              <w:jc w:val="center"/>
              <w:rPr>
                <w:color w:val="auto"/>
                <w:sz w:val="21"/>
                <w:szCs w:val="21"/>
                <w:highlight w:val="none"/>
              </w:rPr>
            </w:pPr>
          </w:p>
        </w:tc>
        <w:tc>
          <w:tcPr>
            <w:tcW w:w="461" w:type="pct"/>
            <w:vMerge w:val="continue"/>
            <w:tcBorders>
              <w:tl2br w:val="nil"/>
              <w:tr2bl w:val="nil"/>
            </w:tcBorders>
            <w:vAlign w:val="center"/>
          </w:tcPr>
          <w:p w14:paraId="16A6966E">
            <w:pPr>
              <w:spacing w:line="240" w:lineRule="auto"/>
              <w:ind w:left="-72" w:leftChars="-30" w:right="-72" w:rightChars="-30" w:firstLine="0" w:firstLineChars="0"/>
              <w:jc w:val="center"/>
              <w:rPr>
                <w:color w:val="auto"/>
                <w:sz w:val="21"/>
                <w:szCs w:val="21"/>
                <w:highlight w:val="none"/>
              </w:rPr>
            </w:pPr>
          </w:p>
        </w:tc>
      </w:tr>
    </w:tbl>
    <w:p w14:paraId="7C604F25">
      <w:pPr>
        <w:pStyle w:val="91"/>
        <w:ind w:left="480"/>
        <w:rPr>
          <w:color w:val="auto"/>
          <w:highlight w:val="none"/>
        </w:rPr>
      </w:pPr>
    </w:p>
    <w:p w14:paraId="15C93B33">
      <w:pPr>
        <w:pStyle w:val="533"/>
        <w:numPr>
          <w:ilvl w:val="3"/>
          <w:numId w:val="9"/>
        </w:numPr>
        <w:rPr>
          <w:color w:val="auto"/>
          <w:szCs w:val="24"/>
          <w:highlight w:val="none"/>
        </w:rPr>
      </w:pPr>
      <w:r>
        <w:rPr>
          <w:color w:val="auto"/>
          <w:szCs w:val="24"/>
          <w:highlight w:val="none"/>
        </w:rPr>
        <w:t>预测结果</w:t>
      </w:r>
    </w:p>
    <w:p w14:paraId="63F0D7A3">
      <w:pPr>
        <w:pStyle w:val="11"/>
        <w:numPr>
          <w:ilvl w:val="0"/>
          <w:numId w:val="0"/>
        </w:numPr>
        <w:spacing w:before="0" w:after="0" w:line="360" w:lineRule="auto"/>
        <w:ind w:firstLine="482" w:firstLineChars="200"/>
        <w:rPr>
          <w:color w:val="auto"/>
          <w:sz w:val="24"/>
          <w:szCs w:val="24"/>
          <w:highlight w:val="none"/>
        </w:rPr>
      </w:pPr>
      <w:r>
        <w:rPr>
          <w:color w:val="auto"/>
          <w:sz w:val="24"/>
          <w:szCs w:val="24"/>
          <w:highlight w:val="none"/>
        </w:rPr>
        <w:t>（1）新增污染源正常排放预测结果</w:t>
      </w:r>
    </w:p>
    <w:p w14:paraId="298D6654">
      <w:pPr>
        <w:ind w:firstLine="480"/>
        <w:rPr>
          <w:color w:val="auto"/>
          <w:highlight w:val="none"/>
        </w:rPr>
      </w:pPr>
      <w:r>
        <w:rPr>
          <w:color w:val="auto"/>
          <w:highlight w:val="none"/>
        </w:rPr>
        <w:t>项目正常排放情况下，二甲苯、</w:t>
      </w:r>
      <w:r>
        <w:rPr>
          <w:rFonts w:hint="eastAsia"/>
          <w:color w:val="auto"/>
          <w:highlight w:val="none"/>
        </w:rPr>
        <w:t>T</w:t>
      </w:r>
      <w:r>
        <w:rPr>
          <w:color w:val="auto"/>
          <w:highlight w:val="none"/>
        </w:rPr>
        <w:t>VOC、TSP影响的预测计算的结果见表4.2-</w:t>
      </w:r>
      <w:r>
        <w:rPr>
          <w:rFonts w:hint="eastAsia"/>
          <w:color w:val="auto"/>
          <w:highlight w:val="none"/>
        </w:rPr>
        <w:t>14</w:t>
      </w:r>
      <w:r>
        <w:rPr>
          <w:color w:val="auto"/>
          <w:highlight w:val="none"/>
        </w:rPr>
        <w:t>。</w:t>
      </w:r>
    </w:p>
    <w:p w14:paraId="309B5D63">
      <w:pPr>
        <w:spacing w:line="240" w:lineRule="auto"/>
        <w:ind w:firstLine="0" w:firstLineChars="0"/>
        <w:jc w:val="center"/>
        <w:rPr>
          <w:b/>
          <w:bCs/>
          <w:color w:val="auto"/>
          <w:sz w:val="21"/>
          <w:szCs w:val="21"/>
          <w:highlight w:val="none"/>
        </w:rPr>
      </w:pPr>
      <w:r>
        <w:rPr>
          <w:b/>
          <w:bCs/>
          <w:color w:val="auto"/>
          <w:sz w:val="21"/>
          <w:szCs w:val="21"/>
          <w:highlight w:val="none"/>
        </w:rPr>
        <w:t>表4.2-</w:t>
      </w:r>
      <w:r>
        <w:rPr>
          <w:rFonts w:hint="eastAsia"/>
          <w:b/>
          <w:bCs/>
          <w:color w:val="auto"/>
          <w:sz w:val="21"/>
          <w:szCs w:val="21"/>
          <w:highlight w:val="none"/>
        </w:rPr>
        <w:t>14</w:t>
      </w:r>
      <w:r>
        <w:rPr>
          <w:b/>
          <w:bCs/>
          <w:color w:val="auto"/>
          <w:sz w:val="21"/>
          <w:szCs w:val="21"/>
          <w:highlight w:val="none"/>
        </w:rPr>
        <w:t>项目大气污染物贡献质量浓度预测结果表</w:t>
      </w:r>
    </w:p>
    <w:tbl>
      <w:tblPr>
        <w:tblStyle w:val="9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49"/>
        <w:gridCol w:w="849"/>
        <w:gridCol w:w="1079"/>
        <w:gridCol w:w="1314"/>
        <w:gridCol w:w="1061"/>
        <w:gridCol w:w="2008"/>
        <w:gridCol w:w="1061"/>
        <w:gridCol w:w="1061"/>
      </w:tblGrid>
      <w:tr w14:paraId="11A4A2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49" w:type="pct"/>
            <w:noWrap/>
            <w:vAlign w:val="center"/>
          </w:tcPr>
          <w:p w14:paraId="535A73A2">
            <w:pPr>
              <w:widowControl/>
              <w:spacing w:line="240" w:lineRule="auto"/>
              <w:ind w:firstLine="0" w:firstLineChars="0"/>
              <w:jc w:val="center"/>
              <w:rPr>
                <w:b/>
                <w:bCs/>
                <w:color w:val="auto"/>
                <w:sz w:val="21"/>
                <w:szCs w:val="21"/>
                <w:highlight w:val="none"/>
              </w:rPr>
            </w:pPr>
            <w:r>
              <w:rPr>
                <w:b/>
                <w:bCs/>
                <w:color w:val="auto"/>
                <w:sz w:val="21"/>
                <w:szCs w:val="21"/>
                <w:highlight w:val="none"/>
              </w:rPr>
              <w:t>污染物</w:t>
            </w:r>
          </w:p>
        </w:tc>
        <w:tc>
          <w:tcPr>
            <w:tcW w:w="536" w:type="pct"/>
            <w:noWrap/>
            <w:vAlign w:val="center"/>
          </w:tcPr>
          <w:p w14:paraId="5012F16E">
            <w:pPr>
              <w:widowControl/>
              <w:spacing w:line="240" w:lineRule="auto"/>
              <w:ind w:firstLine="0" w:firstLineChars="0"/>
              <w:jc w:val="center"/>
              <w:rPr>
                <w:b/>
                <w:bCs/>
                <w:color w:val="auto"/>
                <w:sz w:val="21"/>
                <w:szCs w:val="21"/>
                <w:highlight w:val="none"/>
              </w:rPr>
            </w:pPr>
            <w:r>
              <w:rPr>
                <w:b/>
                <w:bCs/>
                <w:color w:val="auto"/>
                <w:sz w:val="21"/>
                <w:szCs w:val="21"/>
                <w:highlight w:val="none"/>
              </w:rPr>
              <w:t>点名称</w:t>
            </w:r>
          </w:p>
        </w:tc>
        <w:tc>
          <w:tcPr>
            <w:tcW w:w="675" w:type="pct"/>
            <w:noWrap/>
            <w:vAlign w:val="center"/>
          </w:tcPr>
          <w:p w14:paraId="01C4F22A">
            <w:pPr>
              <w:widowControl/>
              <w:spacing w:line="240" w:lineRule="auto"/>
              <w:ind w:firstLine="0" w:firstLineChars="0"/>
              <w:jc w:val="center"/>
              <w:rPr>
                <w:b/>
                <w:bCs/>
                <w:color w:val="auto"/>
                <w:sz w:val="21"/>
                <w:szCs w:val="21"/>
                <w:highlight w:val="none"/>
              </w:rPr>
            </w:pPr>
            <w:r>
              <w:rPr>
                <w:b/>
                <w:bCs/>
                <w:color w:val="auto"/>
                <w:sz w:val="21"/>
                <w:szCs w:val="21"/>
                <w:highlight w:val="none"/>
              </w:rPr>
              <w:t>浓度类型</w:t>
            </w:r>
          </w:p>
        </w:tc>
        <w:tc>
          <w:tcPr>
            <w:tcW w:w="794" w:type="pct"/>
            <w:noWrap/>
            <w:vAlign w:val="center"/>
          </w:tcPr>
          <w:p w14:paraId="7B8AE9A1">
            <w:pPr>
              <w:widowControl/>
              <w:spacing w:line="240" w:lineRule="auto"/>
              <w:ind w:firstLine="0" w:firstLineChars="0"/>
              <w:jc w:val="center"/>
              <w:rPr>
                <w:b/>
                <w:bCs/>
                <w:color w:val="auto"/>
                <w:sz w:val="21"/>
                <w:szCs w:val="21"/>
                <w:highlight w:val="none"/>
              </w:rPr>
            </w:pPr>
            <w:r>
              <w:rPr>
                <w:b/>
                <w:bCs/>
                <w:color w:val="auto"/>
                <w:sz w:val="21"/>
                <w:szCs w:val="21"/>
                <w:highlight w:val="none"/>
              </w:rPr>
              <w:t>最大贡献值</w:t>
            </w:r>
          </w:p>
          <w:p w14:paraId="1B31C46C">
            <w:pPr>
              <w:widowControl/>
              <w:spacing w:line="240" w:lineRule="auto"/>
              <w:ind w:firstLine="0" w:firstLineChars="0"/>
              <w:jc w:val="center"/>
              <w:rPr>
                <w:b/>
                <w:bCs/>
                <w:color w:val="auto"/>
                <w:sz w:val="21"/>
                <w:szCs w:val="21"/>
                <w:highlight w:val="none"/>
              </w:rPr>
            </w:pPr>
            <w:r>
              <w:rPr>
                <w:b/>
                <w:bCs/>
                <w:color w:val="auto"/>
                <w:sz w:val="21"/>
                <w:szCs w:val="21"/>
                <w:highlight w:val="none"/>
              </w:rPr>
              <w:t>（μg/m</w:t>
            </w:r>
            <w:r>
              <w:rPr>
                <w:b/>
                <w:bCs/>
                <w:color w:val="auto"/>
                <w:sz w:val="21"/>
                <w:szCs w:val="21"/>
                <w:highlight w:val="none"/>
                <w:vertAlign w:val="superscript"/>
              </w:rPr>
              <w:t>3</w:t>
            </w:r>
            <w:r>
              <w:rPr>
                <w:b/>
                <w:bCs/>
                <w:color w:val="auto"/>
                <w:sz w:val="21"/>
                <w:szCs w:val="21"/>
                <w:highlight w:val="none"/>
              </w:rPr>
              <w:t>）</w:t>
            </w:r>
          </w:p>
        </w:tc>
        <w:tc>
          <w:tcPr>
            <w:tcW w:w="571" w:type="pct"/>
            <w:noWrap/>
            <w:vAlign w:val="center"/>
          </w:tcPr>
          <w:p w14:paraId="5F49223F">
            <w:pPr>
              <w:widowControl/>
              <w:spacing w:line="240" w:lineRule="auto"/>
              <w:ind w:firstLine="0" w:firstLineChars="0"/>
              <w:jc w:val="center"/>
              <w:rPr>
                <w:b/>
                <w:bCs/>
                <w:color w:val="auto"/>
                <w:sz w:val="21"/>
                <w:szCs w:val="21"/>
                <w:highlight w:val="none"/>
              </w:rPr>
            </w:pPr>
            <w:r>
              <w:rPr>
                <w:b/>
                <w:bCs/>
                <w:color w:val="auto"/>
                <w:sz w:val="21"/>
                <w:szCs w:val="21"/>
                <w:highlight w:val="none"/>
              </w:rPr>
              <w:t>出现时间</w:t>
            </w:r>
          </w:p>
        </w:tc>
        <w:tc>
          <w:tcPr>
            <w:tcW w:w="686" w:type="pct"/>
            <w:noWrap/>
            <w:vAlign w:val="center"/>
          </w:tcPr>
          <w:p w14:paraId="13B3C1E0">
            <w:pPr>
              <w:widowControl/>
              <w:spacing w:line="240" w:lineRule="auto"/>
              <w:ind w:firstLine="0" w:firstLineChars="0"/>
              <w:jc w:val="center"/>
              <w:rPr>
                <w:b/>
                <w:bCs/>
                <w:color w:val="auto"/>
                <w:sz w:val="21"/>
                <w:szCs w:val="21"/>
                <w:highlight w:val="none"/>
              </w:rPr>
            </w:pPr>
            <w:r>
              <w:rPr>
                <w:b/>
                <w:bCs/>
                <w:color w:val="auto"/>
                <w:sz w:val="21"/>
                <w:szCs w:val="21"/>
                <w:highlight w:val="none"/>
              </w:rPr>
              <w:t>评价标准（μg/m</w:t>
            </w:r>
            <w:r>
              <w:rPr>
                <w:b/>
                <w:bCs/>
                <w:color w:val="auto"/>
                <w:sz w:val="21"/>
                <w:szCs w:val="21"/>
                <w:highlight w:val="none"/>
                <w:vertAlign w:val="superscript"/>
              </w:rPr>
              <w:t>3</w:t>
            </w:r>
            <w:r>
              <w:rPr>
                <w:b/>
                <w:bCs/>
                <w:color w:val="auto"/>
                <w:sz w:val="21"/>
                <w:szCs w:val="21"/>
                <w:highlight w:val="none"/>
              </w:rPr>
              <w:t>）</w:t>
            </w:r>
          </w:p>
        </w:tc>
        <w:tc>
          <w:tcPr>
            <w:tcW w:w="686" w:type="pct"/>
            <w:noWrap/>
            <w:vAlign w:val="center"/>
          </w:tcPr>
          <w:p w14:paraId="722172EF">
            <w:pPr>
              <w:widowControl/>
              <w:spacing w:line="240" w:lineRule="auto"/>
              <w:ind w:firstLine="0" w:firstLineChars="0"/>
              <w:jc w:val="center"/>
              <w:rPr>
                <w:b/>
                <w:bCs/>
                <w:color w:val="auto"/>
                <w:sz w:val="21"/>
                <w:szCs w:val="21"/>
                <w:highlight w:val="none"/>
              </w:rPr>
            </w:pPr>
            <w:r>
              <w:rPr>
                <w:b/>
                <w:bCs/>
                <w:color w:val="auto"/>
                <w:sz w:val="21"/>
                <w:szCs w:val="21"/>
                <w:highlight w:val="none"/>
              </w:rPr>
              <w:t>占标率%</w:t>
            </w:r>
          </w:p>
        </w:tc>
        <w:tc>
          <w:tcPr>
            <w:tcW w:w="599" w:type="pct"/>
            <w:noWrap/>
            <w:vAlign w:val="center"/>
          </w:tcPr>
          <w:p w14:paraId="08431C62">
            <w:pPr>
              <w:widowControl/>
              <w:spacing w:line="240" w:lineRule="auto"/>
              <w:ind w:firstLine="0" w:firstLineChars="0"/>
              <w:jc w:val="center"/>
              <w:rPr>
                <w:b/>
                <w:bCs/>
                <w:color w:val="auto"/>
                <w:sz w:val="21"/>
                <w:szCs w:val="21"/>
                <w:highlight w:val="none"/>
              </w:rPr>
            </w:pPr>
            <w:r>
              <w:rPr>
                <w:b/>
                <w:bCs/>
                <w:color w:val="auto"/>
                <w:sz w:val="21"/>
                <w:szCs w:val="21"/>
                <w:highlight w:val="none"/>
              </w:rPr>
              <w:t>达标情况</w:t>
            </w:r>
          </w:p>
        </w:tc>
      </w:tr>
      <w:tr w14:paraId="402C2B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9" w:type="pct"/>
            <w:noWrap/>
            <w:vAlign w:val="center"/>
          </w:tcPr>
          <w:p w14:paraId="73F1A2D4">
            <w:pPr>
              <w:widowControl/>
              <w:spacing w:line="240" w:lineRule="auto"/>
              <w:ind w:firstLine="0" w:firstLineChars="0"/>
              <w:jc w:val="center"/>
              <w:textAlignment w:val="center"/>
              <w:rPr>
                <w:color w:val="auto"/>
                <w:sz w:val="21"/>
                <w:szCs w:val="21"/>
                <w:highlight w:val="none"/>
              </w:rPr>
            </w:pPr>
            <w:r>
              <w:rPr>
                <w:color w:val="auto"/>
                <w:sz w:val="21"/>
                <w:szCs w:val="21"/>
                <w:highlight w:val="none"/>
              </w:rPr>
              <w:t>二甲苯</w:t>
            </w:r>
          </w:p>
        </w:tc>
        <w:tc>
          <w:tcPr>
            <w:tcW w:w="536" w:type="pct"/>
            <w:noWrap/>
            <w:vAlign w:val="center"/>
          </w:tcPr>
          <w:p w14:paraId="18008B97">
            <w:pPr>
              <w:widowControl/>
              <w:spacing w:line="240" w:lineRule="auto"/>
              <w:ind w:firstLine="0" w:firstLineChars="0"/>
              <w:jc w:val="center"/>
              <w:textAlignment w:val="center"/>
              <w:rPr>
                <w:color w:val="auto"/>
                <w:sz w:val="21"/>
                <w:szCs w:val="21"/>
                <w:highlight w:val="none"/>
              </w:rPr>
            </w:pPr>
            <w:r>
              <w:rPr>
                <w:color w:val="auto"/>
                <w:sz w:val="21"/>
                <w:szCs w:val="21"/>
                <w:highlight w:val="none"/>
              </w:rPr>
              <w:t>网格</w:t>
            </w:r>
          </w:p>
        </w:tc>
        <w:tc>
          <w:tcPr>
            <w:tcW w:w="675" w:type="pct"/>
            <w:noWrap/>
            <w:vAlign w:val="center"/>
          </w:tcPr>
          <w:p w14:paraId="67F7DAF9">
            <w:pPr>
              <w:widowControl/>
              <w:spacing w:line="240" w:lineRule="auto"/>
              <w:ind w:firstLine="0" w:firstLineChars="0"/>
              <w:jc w:val="center"/>
              <w:textAlignment w:val="center"/>
              <w:rPr>
                <w:color w:val="auto"/>
                <w:sz w:val="21"/>
                <w:szCs w:val="21"/>
                <w:highlight w:val="none"/>
              </w:rPr>
            </w:pPr>
            <w:r>
              <w:rPr>
                <w:color w:val="auto"/>
                <w:sz w:val="21"/>
                <w:szCs w:val="21"/>
                <w:highlight w:val="none"/>
              </w:rPr>
              <w:t>1小时</w:t>
            </w:r>
          </w:p>
        </w:tc>
        <w:tc>
          <w:tcPr>
            <w:tcW w:w="794" w:type="pct"/>
            <w:noWrap/>
            <w:vAlign w:val="center"/>
          </w:tcPr>
          <w:p w14:paraId="2A98685C">
            <w:pPr>
              <w:widowControl/>
              <w:spacing w:line="240" w:lineRule="auto"/>
              <w:ind w:firstLine="0" w:firstLineChars="0"/>
              <w:jc w:val="center"/>
              <w:textAlignment w:val="center"/>
              <w:rPr>
                <w:color w:val="auto"/>
                <w:sz w:val="21"/>
                <w:szCs w:val="21"/>
                <w:highlight w:val="none"/>
              </w:rPr>
            </w:pPr>
            <w:r>
              <w:rPr>
                <w:color w:val="auto"/>
                <w:sz w:val="21"/>
                <w:szCs w:val="21"/>
                <w:highlight w:val="none"/>
              </w:rPr>
              <w:t>129.1225</w:t>
            </w:r>
          </w:p>
        </w:tc>
        <w:tc>
          <w:tcPr>
            <w:tcW w:w="571" w:type="pct"/>
            <w:noWrap/>
            <w:vAlign w:val="center"/>
          </w:tcPr>
          <w:p w14:paraId="33E86C76">
            <w:pPr>
              <w:widowControl/>
              <w:spacing w:line="240" w:lineRule="auto"/>
              <w:ind w:firstLine="0" w:firstLineChars="0"/>
              <w:jc w:val="center"/>
              <w:textAlignment w:val="center"/>
              <w:rPr>
                <w:color w:val="auto"/>
                <w:sz w:val="21"/>
                <w:szCs w:val="21"/>
                <w:highlight w:val="none"/>
              </w:rPr>
            </w:pPr>
            <w:r>
              <w:rPr>
                <w:color w:val="auto"/>
                <w:sz w:val="21"/>
                <w:szCs w:val="21"/>
                <w:highlight w:val="none"/>
              </w:rPr>
              <w:t>24040707</w:t>
            </w:r>
          </w:p>
        </w:tc>
        <w:tc>
          <w:tcPr>
            <w:tcW w:w="686" w:type="pct"/>
            <w:noWrap/>
            <w:vAlign w:val="center"/>
          </w:tcPr>
          <w:p w14:paraId="7695B8F1">
            <w:pPr>
              <w:widowControl/>
              <w:spacing w:line="240" w:lineRule="auto"/>
              <w:ind w:firstLine="0" w:firstLineChars="0"/>
              <w:jc w:val="center"/>
              <w:textAlignment w:val="center"/>
              <w:rPr>
                <w:color w:val="auto"/>
                <w:sz w:val="21"/>
                <w:szCs w:val="21"/>
                <w:highlight w:val="none"/>
              </w:rPr>
            </w:pPr>
            <w:r>
              <w:rPr>
                <w:color w:val="auto"/>
                <w:sz w:val="21"/>
                <w:szCs w:val="21"/>
                <w:highlight w:val="none"/>
              </w:rPr>
              <w:t>200</w:t>
            </w:r>
          </w:p>
        </w:tc>
        <w:tc>
          <w:tcPr>
            <w:tcW w:w="686" w:type="pct"/>
            <w:noWrap/>
            <w:vAlign w:val="center"/>
          </w:tcPr>
          <w:p w14:paraId="68E4D9BA">
            <w:pPr>
              <w:widowControl/>
              <w:spacing w:line="240" w:lineRule="auto"/>
              <w:ind w:firstLine="0" w:firstLineChars="0"/>
              <w:jc w:val="center"/>
              <w:textAlignment w:val="center"/>
              <w:rPr>
                <w:color w:val="auto"/>
                <w:sz w:val="21"/>
                <w:szCs w:val="21"/>
                <w:highlight w:val="none"/>
              </w:rPr>
            </w:pPr>
            <w:r>
              <w:rPr>
                <w:color w:val="auto"/>
                <w:sz w:val="21"/>
                <w:szCs w:val="21"/>
                <w:highlight w:val="none"/>
              </w:rPr>
              <w:t>64.56</w:t>
            </w:r>
          </w:p>
        </w:tc>
        <w:tc>
          <w:tcPr>
            <w:tcW w:w="599" w:type="pct"/>
            <w:noWrap/>
            <w:vAlign w:val="center"/>
          </w:tcPr>
          <w:p w14:paraId="2E81AF3B">
            <w:pPr>
              <w:widowControl/>
              <w:spacing w:line="240" w:lineRule="auto"/>
              <w:ind w:firstLine="0" w:firstLineChars="0"/>
              <w:jc w:val="center"/>
              <w:textAlignment w:val="center"/>
              <w:rPr>
                <w:color w:val="auto"/>
                <w:sz w:val="21"/>
                <w:szCs w:val="21"/>
                <w:highlight w:val="none"/>
              </w:rPr>
            </w:pPr>
            <w:r>
              <w:rPr>
                <w:color w:val="auto"/>
                <w:sz w:val="21"/>
                <w:szCs w:val="21"/>
                <w:highlight w:val="none"/>
              </w:rPr>
              <w:t>达标</w:t>
            </w:r>
          </w:p>
        </w:tc>
      </w:tr>
      <w:tr w14:paraId="0F5028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9" w:type="pct"/>
            <w:noWrap/>
            <w:vAlign w:val="center"/>
          </w:tcPr>
          <w:p w14:paraId="79810E6C">
            <w:pPr>
              <w:widowControl/>
              <w:spacing w:line="240" w:lineRule="auto"/>
              <w:ind w:firstLine="0" w:firstLineChars="0"/>
              <w:jc w:val="center"/>
              <w:textAlignment w:val="center"/>
              <w:rPr>
                <w:color w:val="auto"/>
                <w:sz w:val="21"/>
                <w:szCs w:val="21"/>
                <w:highlight w:val="none"/>
              </w:rPr>
            </w:pPr>
            <w:r>
              <w:rPr>
                <w:rFonts w:hint="eastAsia"/>
                <w:color w:val="auto"/>
                <w:sz w:val="21"/>
                <w:szCs w:val="21"/>
                <w:highlight w:val="none"/>
              </w:rPr>
              <w:t>T</w:t>
            </w:r>
            <w:r>
              <w:rPr>
                <w:color w:val="auto"/>
                <w:sz w:val="21"/>
                <w:szCs w:val="21"/>
                <w:highlight w:val="none"/>
              </w:rPr>
              <w:t>VOC</w:t>
            </w:r>
          </w:p>
        </w:tc>
        <w:tc>
          <w:tcPr>
            <w:tcW w:w="536" w:type="pct"/>
            <w:noWrap/>
            <w:vAlign w:val="center"/>
          </w:tcPr>
          <w:p w14:paraId="67134476">
            <w:pPr>
              <w:widowControl/>
              <w:spacing w:line="240" w:lineRule="auto"/>
              <w:ind w:firstLine="0" w:firstLineChars="0"/>
              <w:jc w:val="center"/>
              <w:textAlignment w:val="center"/>
              <w:rPr>
                <w:color w:val="auto"/>
                <w:sz w:val="21"/>
                <w:szCs w:val="21"/>
                <w:highlight w:val="none"/>
              </w:rPr>
            </w:pPr>
            <w:r>
              <w:rPr>
                <w:color w:val="auto"/>
                <w:sz w:val="21"/>
                <w:szCs w:val="21"/>
                <w:highlight w:val="none"/>
              </w:rPr>
              <w:t>网格</w:t>
            </w:r>
          </w:p>
        </w:tc>
        <w:tc>
          <w:tcPr>
            <w:tcW w:w="675" w:type="pct"/>
            <w:noWrap/>
            <w:vAlign w:val="center"/>
          </w:tcPr>
          <w:p w14:paraId="69364D30">
            <w:pPr>
              <w:widowControl/>
              <w:spacing w:line="240" w:lineRule="auto"/>
              <w:ind w:firstLine="0" w:firstLineChars="0"/>
              <w:jc w:val="center"/>
              <w:textAlignment w:val="center"/>
              <w:rPr>
                <w:color w:val="auto"/>
                <w:sz w:val="21"/>
                <w:szCs w:val="21"/>
                <w:highlight w:val="none"/>
              </w:rPr>
            </w:pPr>
            <w:r>
              <w:rPr>
                <w:color w:val="auto"/>
                <w:sz w:val="21"/>
                <w:szCs w:val="21"/>
                <w:highlight w:val="none"/>
              </w:rPr>
              <w:t>1小时</w:t>
            </w:r>
          </w:p>
        </w:tc>
        <w:tc>
          <w:tcPr>
            <w:tcW w:w="794" w:type="pct"/>
            <w:noWrap/>
            <w:vAlign w:val="center"/>
          </w:tcPr>
          <w:p w14:paraId="633C20F9">
            <w:pPr>
              <w:widowControl/>
              <w:spacing w:line="240" w:lineRule="auto"/>
              <w:ind w:firstLine="0" w:firstLineChars="0"/>
              <w:jc w:val="center"/>
              <w:textAlignment w:val="center"/>
              <w:rPr>
                <w:color w:val="auto"/>
                <w:sz w:val="21"/>
                <w:szCs w:val="21"/>
                <w:highlight w:val="none"/>
              </w:rPr>
            </w:pPr>
            <w:r>
              <w:rPr>
                <w:color w:val="auto"/>
                <w:sz w:val="21"/>
                <w:szCs w:val="21"/>
                <w:highlight w:val="none"/>
              </w:rPr>
              <w:t>516.4899</w:t>
            </w:r>
          </w:p>
        </w:tc>
        <w:tc>
          <w:tcPr>
            <w:tcW w:w="571" w:type="pct"/>
            <w:noWrap/>
            <w:vAlign w:val="center"/>
          </w:tcPr>
          <w:p w14:paraId="14C9D7F0">
            <w:pPr>
              <w:widowControl/>
              <w:spacing w:line="240" w:lineRule="auto"/>
              <w:ind w:firstLine="0" w:firstLineChars="0"/>
              <w:jc w:val="center"/>
              <w:textAlignment w:val="center"/>
              <w:rPr>
                <w:color w:val="auto"/>
                <w:sz w:val="21"/>
                <w:szCs w:val="21"/>
                <w:highlight w:val="none"/>
              </w:rPr>
            </w:pPr>
            <w:r>
              <w:rPr>
                <w:color w:val="auto"/>
                <w:sz w:val="21"/>
                <w:szCs w:val="21"/>
                <w:highlight w:val="none"/>
              </w:rPr>
              <w:t>24040707</w:t>
            </w:r>
          </w:p>
        </w:tc>
        <w:tc>
          <w:tcPr>
            <w:tcW w:w="686" w:type="pct"/>
            <w:noWrap/>
            <w:vAlign w:val="center"/>
          </w:tcPr>
          <w:p w14:paraId="1E6DBFBF">
            <w:pPr>
              <w:widowControl/>
              <w:spacing w:line="240" w:lineRule="auto"/>
              <w:ind w:firstLine="0" w:firstLineChars="0"/>
              <w:jc w:val="center"/>
              <w:textAlignment w:val="center"/>
              <w:rPr>
                <w:color w:val="auto"/>
                <w:sz w:val="21"/>
                <w:szCs w:val="21"/>
                <w:highlight w:val="none"/>
              </w:rPr>
            </w:pPr>
            <w:r>
              <w:rPr>
                <w:color w:val="auto"/>
                <w:sz w:val="21"/>
                <w:szCs w:val="21"/>
                <w:highlight w:val="none"/>
              </w:rPr>
              <w:t>1200</w:t>
            </w:r>
          </w:p>
        </w:tc>
        <w:tc>
          <w:tcPr>
            <w:tcW w:w="686" w:type="pct"/>
            <w:noWrap/>
            <w:vAlign w:val="center"/>
          </w:tcPr>
          <w:p w14:paraId="7361C6A5">
            <w:pPr>
              <w:widowControl/>
              <w:spacing w:line="240" w:lineRule="auto"/>
              <w:ind w:firstLine="0" w:firstLineChars="0"/>
              <w:jc w:val="center"/>
              <w:textAlignment w:val="center"/>
              <w:rPr>
                <w:color w:val="auto"/>
                <w:sz w:val="21"/>
                <w:szCs w:val="21"/>
                <w:highlight w:val="none"/>
              </w:rPr>
            </w:pPr>
            <w:r>
              <w:rPr>
                <w:color w:val="auto"/>
                <w:sz w:val="21"/>
                <w:szCs w:val="21"/>
                <w:highlight w:val="none"/>
              </w:rPr>
              <w:t>43.04</w:t>
            </w:r>
          </w:p>
        </w:tc>
        <w:tc>
          <w:tcPr>
            <w:tcW w:w="599" w:type="pct"/>
            <w:noWrap/>
            <w:vAlign w:val="center"/>
          </w:tcPr>
          <w:p w14:paraId="090E93FE">
            <w:pPr>
              <w:widowControl/>
              <w:spacing w:line="240" w:lineRule="auto"/>
              <w:ind w:firstLine="0" w:firstLineChars="0"/>
              <w:jc w:val="center"/>
              <w:textAlignment w:val="center"/>
              <w:rPr>
                <w:color w:val="auto"/>
                <w:sz w:val="21"/>
                <w:szCs w:val="21"/>
                <w:highlight w:val="none"/>
              </w:rPr>
            </w:pPr>
            <w:r>
              <w:rPr>
                <w:color w:val="auto"/>
                <w:sz w:val="21"/>
                <w:szCs w:val="21"/>
                <w:highlight w:val="none"/>
              </w:rPr>
              <w:t>达标</w:t>
            </w:r>
          </w:p>
        </w:tc>
      </w:tr>
      <w:tr w14:paraId="5CFC73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9" w:type="pct"/>
            <w:vMerge w:val="restart"/>
            <w:noWrap/>
            <w:vAlign w:val="center"/>
          </w:tcPr>
          <w:p w14:paraId="111D5E15">
            <w:pPr>
              <w:widowControl/>
              <w:spacing w:line="240" w:lineRule="auto"/>
              <w:ind w:firstLine="0" w:firstLineChars="0"/>
              <w:jc w:val="center"/>
              <w:textAlignment w:val="center"/>
              <w:rPr>
                <w:color w:val="auto"/>
                <w:sz w:val="21"/>
                <w:szCs w:val="21"/>
                <w:highlight w:val="none"/>
              </w:rPr>
            </w:pPr>
            <w:r>
              <w:rPr>
                <w:color w:val="auto"/>
                <w:sz w:val="21"/>
                <w:szCs w:val="21"/>
                <w:highlight w:val="none"/>
              </w:rPr>
              <w:t>TSP</w:t>
            </w:r>
          </w:p>
        </w:tc>
        <w:tc>
          <w:tcPr>
            <w:tcW w:w="536" w:type="pct"/>
            <w:vMerge w:val="restart"/>
            <w:noWrap/>
            <w:vAlign w:val="center"/>
          </w:tcPr>
          <w:p w14:paraId="2EAEF990">
            <w:pPr>
              <w:widowControl/>
              <w:spacing w:line="240" w:lineRule="auto"/>
              <w:ind w:firstLine="0" w:firstLineChars="0"/>
              <w:jc w:val="center"/>
              <w:textAlignment w:val="center"/>
              <w:rPr>
                <w:color w:val="auto"/>
                <w:sz w:val="21"/>
                <w:szCs w:val="21"/>
                <w:highlight w:val="none"/>
              </w:rPr>
            </w:pPr>
            <w:r>
              <w:rPr>
                <w:color w:val="auto"/>
                <w:sz w:val="21"/>
                <w:szCs w:val="21"/>
                <w:highlight w:val="none"/>
              </w:rPr>
              <w:t>网格</w:t>
            </w:r>
          </w:p>
        </w:tc>
        <w:tc>
          <w:tcPr>
            <w:tcW w:w="675" w:type="pct"/>
            <w:noWrap/>
            <w:vAlign w:val="center"/>
          </w:tcPr>
          <w:p w14:paraId="09A8CA0E">
            <w:pPr>
              <w:widowControl/>
              <w:spacing w:line="240" w:lineRule="auto"/>
              <w:ind w:firstLine="0" w:firstLineChars="0"/>
              <w:jc w:val="center"/>
              <w:textAlignment w:val="center"/>
              <w:rPr>
                <w:color w:val="auto"/>
                <w:sz w:val="21"/>
                <w:szCs w:val="21"/>
                <w:highlight w:val="none"/>
              </w:rPr>
            </w:pPr>
            <w:r>
              <w:rPr>
                <w:color w:val="auto"/>
                <w:sz w:val="21"/>
                <w:szCs w:val="21"/>
                <w:highlight w:val="none"/>
              </w:rPr>
              <w:t>日平均</w:t>
            </w:r>
          </w:p>
        </w:tc>
        <w:tc>
          <w:tcPr>
            <w:tcW w:w="794" w:type="pct"/>
            <w:noWrap/>
            <w:vAlign w:val="center"/>
          </w:tcPr>
          <w:p w14:paraId="2B5C2C2A">
            <w:pPr>
              <w:widowControl/>
              <w:spacing w:line="240" w:lineRule="auto"/>
              <w:ind w:firstLine="0" w:firstLineChars="0"/>
              <w:jc w:val="center"/>
              <w:textAlignment w:val="center"/>
              <w:rPr>
                <w:color w:val="auto"/>
                <w:sz w:val="21"/>
                <w:szCs w:val="21"/>
                <w:highlight w:val="none"/>
              </w:rPr>
            </w:pPr>
            <w:r>
              <w:rPr>
                <w:rFonts w:hint="eastAsia"/>
                <w:color w:val="auto"/>
                <w:sz w:val="21"/>
                <w:szCs w:val="21"/>
                <w:highlight w:val="none"/>
              </w:rPr>
              <w:t>41.28973</w:t>
            </w:r>
          </w:p>
        </w:tc>
        <w:tc>
          <w:tcPr>
            <w:tcW w:w="571" w:type="pct"/>
            <w:noWrap/>
            <w:vAlign w:val="center"/>
          </w:tcPr>
          <w:p w14:paraId="0A172020">
            <w:pPr>
              <w:widowControl/>
              <w:spacing w:line="240" w:lineRule="auto"/>
              <w:ind w:firstLine="0" w:firstLineChars="0"/>
              <w:jc w:val="center"/>
              <w:textAlignment w:val="center"/>
              <w:rPr>
                <w:color w:val="auto"/>
                <w:sz w:val="21"/>
                <w:szCs w:val="21"/>
                <w:highlight w:val="none"/>
              </w:rPr>
            </w:pPr>
            <w:r>
              <w:rPr>
                <w:color w:val="auto"/>
                <w:sz w:val="21"/>
                <w:szCs w:val="21"/>
                <w:highlight w:val="none"/>
              </w:rPr>
              <w:t>240531</w:t>
            </w:r>
          </w:p>
        </w:tc>
        <w:tc>
          <w:tcPr>
            <w:tcW w:w="2007" w:type="dxa"/>
            <w:noWrap/>
            <w:vAlign w:val="center"/>
          </w:tcPr>
          <w:p w14:paraId="34382F70">
            <w:pPr>
              <w:widowControl/>
              <w:spacing w:line="240" w:lineRule="auto"/>
              <w:ind w:firstLine="0" w:firstLineChars="0"/>
              <w:jc w:val="center"/>
              <w:textAlignment w:val="center"/>
              <w:rPr>
                <w:color w:val="auto"/>
                <w:sz w:val="21"/>
                <w:szCs w:val="21"/>
                <w:highlight w:val="none"/>
              </w:rPr>
            </w:pPr>
            <w:r>
              <w:rPr>
                <w:rFonts w:hint="eastAsia"/>
                <w:color w:val="auto"/>
                <w:sz w:val="21"/>
                <w:szCs w:val="21"/>
                <w:highlight w:val="none"/>
              </w:rPr>
              <w:t>300.0</w:t>
            </w:r>
          </w:p>
        </w:tc>
        <w:tc>
          <w:tcPr>
            <w:tcW w:w="1060" w:type="dxa"/>
            <w:noWrap/>
            <w:vAlign w:val="center"/>
          </w:tcPr>
          <w:p w14:paraId="6A809DEC">
            <w:pPr>
              <w:widowControl/>
              <w:spacing w:line="240" w:lineRule="auto"/>
              <w:ind w:firstLine="0" w:firstLineChars="0"/>
              <w:jc w:val="center"/>
              <w:textAlignment w:val="center"/>
              <w:rPr>
                <w:color w:val="auto"/>
                <w:sz w:val="21"/>
                <w:szCs w:val="21"/>
                <w:highlight w:val="none"/>
              </w:rPr>
            </w:pPr>
            <w:r>
              <w:rPr>
                <w:rFonts w:hint="eastAsia"/>
                <w:color w:val="auto"/>
                <w:sz w:val="21"/>
                <w:szCs w:val="21"/>
                <w:highlight w:val="none"/>
              </w:rPr>
              <w:t>13.76</w:t>
            </w:r>
          </w:p>
        </w:tc>
        <w:tc>
          <w:tcPr>
            <w:tcW w:w="599" w:type="pct"/>
            <w:noWrap/>
            <w:vAlign w:val="center"/>
          </w:tcPr>
          <w:p w14:paraId="63375673">
            <w:pPr>
              <w:widowControl/>
              <w:spacing w:line="240" w:lineRule="auto"/>
              <w:ind w:firstLine="0" w:firstLineChars="0"/>
              <w:jc w:val="center"/>
              <w:textAlignment w:val="center"/>
              <w:rPr>
                <w:color w:val="auto"/>
                <w:sz w:val="21"/>
                <w:szCs w:val="21"/>
                <w:highlight w:val="none"/>
              </w:rPr>
            </w:pPr>
            <w:r>
              <w:rPr>
                <w:color w:val="auto"/>
                <w:sz w:val="21"/>
                <w:szCs w:val="21"/>
                <w:highlight w:val="none"/>
              </w:rPr>
              <w:t>达标</w:t>
            </w:r>
          </w:p>
        </w:tc>
      </w:tr>
      <w:tr w14:paraId="2374B5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9" w:type="pct"/>
            <w:vMerge w:val="continue"/>
          </w:tcPr>
          <w:p w14:paraId="5BE08F5D">
            <w:pPr>
              <w:widowControl/>
              <w:spacing w:line="240" w:lineRule="auto"/>
              <w:ind w:firstLine="0" w:firstLineChars="0"/>
              <w:jc w:val="center"/>
              <w:rPr>
                <w:color w:val="auto"/>
                <w:sz w:val="21"/>
                <w:szCs w:val="21"/>
                <w:highlight w:val="none"/>
              </w:rPr>
            </w:pPr>
          </w:p>
        </w:tc>
        <w:tc>
          <w:tcPr>
            <w:tcW w:w="536" w:type="pct"/>
            <w:vMerge w:val="continue"/>
          </w:tcPr>
          <w:p w14:paraId="50E8D1AE">
            <w:pPr>
              <w:widowControl/>
              <w:spacing w:line="240" w:lineRule="auto"/>
              <w:ind w:firstLine="0" w:firstLineChars="0"/>
              <w:jc w:val="center"/>
              <w:rPr>
                <w:color w:val="auto"/>
                <w:sz w:val="21"/>
                <w:szCs w:val="21"/>
                <w:highlight w:val="none"/>
              </w:rPr>
            </w:pPr>
          </w:p>
        </w:tc>
        <w:tc>
          <w:tcPr>
            <w:tcW w:w="675" w:type="pct"/>
            <w:vAlign w:val="center"/>
          </w:tcPr>
          <w:p w14:paraId="0EC0D376">
            <w:pPr>
              <w:widowControl/>
              <w:spacing w:line="240" w:lineRule="auto"/>
              <w:ind w:firstLine="0" w:firstLineChars="0"/>
              <w:jc w:val="center"/>
              <w:textAlignment w:val="center"/>
              <w:rPr>
                <w:color w:val="auto"/>
                <w:sz w:val="21"/>
                <w:szCs w:val="21"/>
                <w:highlight w:val="none"/>
              </w:rPr>
            </w:pPr>
            <w:r>
              <w:rPr>
                <w:color w:val="auto"/>
                <w:sz w:val="21"/>
                <w:szCs w:val="21"/>
                <w:highlight w:val="none"/>
              </w:rPr>
              <w:t>年平均</w:t>
            </w:r>
          </w:p>
        </w:tc>
        <w:tc>
          <w:tcPr>
            <w:tcW w:w="794" w:type="pct"/>
            <w:vAlign w:val="center"/>
          </w:tcPr>
          <w:p w14:paraId="167D01C7">
            <w:pPr>
              <w:widowControl/>
              <w:spacing w:line="240" w:lineRule="auto"/>
              <w:ind w:firstLine="0" w:firstLineChars="0"/>
              <w:jc w:val="center"/>
              <w:textAlignment w:val="center"/>
              <w:rPr>
                <w:color w:val="auto"/>
                <w:sz w:val="21"/>
                <w:szCs w:val="21"/>
                <w:highlight w:val="none"/>
              </w:rPr>
            </w:pPr>
            <w:r>
              <w:rPr>
                <w:rFonts w:hint="eastAsia"/>
                <w:color w:val="auto"/>
                <w:sz w:val="21"/>
                <w:szCs w:val="21"/>
                <w:highlight w:val="none"/>
              </w:rPr>
              <w:t>7.52151</w:t>
            </w:r>
          </w:p>
        </w:tc>
        <w:tc>
          <w:tcPr>
            <w:tcW w:w="571" w:type="pct"/>
            <w:vAlign w:val="center"/>
          </w:tcPr>
          <w:p w14:paraId="54B9F3B4">
            <w:pPr>
              <w:widowControl/>
              <w:spacing w:line="240" w:lineRule="auto"/>
              <w:ind w:firstLine="0" w:firstLineChars="0"/>
              <w:jc w:val="center"/>
              <w:textAlignment w:val="center"/>
              <w:rPr>
                <w:color w:val="auto"/>
                <w:sz w:val="21"/>
                <w:szCs w:val="21"/>
                <w:highlight w:val="none"/>
              </w:rPr>
            </w:pPr>
            <w:r>
              <w:rPr>
                <w:color w:val="auto"/>
                <w:sz w:val="21"/>
                <w:szCs w:val="21"/>
                <w:highlight w:val="none"/>
              </w:rPr>
              <w:t>平均值</w:t>
            </w:r>
          </w:p>
        </w:tc>
        <w:tc>
          <w:tcPr>
            <w:tcW w:w="2007" w:type="dxa"/>
            <w:vAlign w:val="center"/>
          </w:tcPr>
          <w:p w14:paraId="7CC71402">
            <w:pPr>
              <w:widowControl/>
              <w:spacing w:line="240" w:lineRule="auto"/>
              <w:ind w:firstLine="0" w:firstLineChars="0"/>
              <w:jc w:val="center"/>
              <w:textAlignment w:val="center"/>
              <w:rPr>
                <w:color w:val="auto"/>
                <w:sz w:val="21"/>
                <w:szCs w:val="21"/>
                <w:highlight w:val="none"/>
              </w:rPr>
            </w:pPr>
            <w:r>
              <w:rPr>
                <w:rFonts w:hint="eastAsia"/>
                <w:color w:val="auto"/>
                <w:sz w:val="21"/>
                <w:szCs w:val="21"/>
                <w:highlight w:val="none"/>
              </w:rPr>
              <w:t>200.0</w:t>
            </w:r>
          </w:p>
        </w:tc>
        <w:tc>
          <w:tcPr>
            <w:tcW w:w="1060" w:type="dxa"/>
            <w:vAlign w:val="center"/>
          </w:tcPr>
          <w:p w14:paraId="7C5785D6">
            <w:pPr>
              <w:widowControl/>
              <w:spacing w:line="240" w:lineRule="auto"/>
              <w:ind w:firstLine="0" w:firstLineChars="0"/>
              <w:jc w:val="center"/>
              <w:textAlignment w:val="center"/>
              <w:rPr>
                <w:color w:val="auto"/>
                <w:sz w:val="21"/>
                <w:szCs w:val="21"/>
                <w:highlight w:val="none"/>
              </w:rPr>
            </w:pPr>
            <w:r>
              <w:rPr>
                <w:rFonts w:hint="eastAsia"/>
                <w:color w:val="auto"/>
                <w:sz w:val="21"/>
                <w:szCs w:val="21"/>
                <w:highlight w:val="none"/>
              </w:rPr>
              <w:t>3.76</w:t>
            </w:r>
          </w:p>
        </w:tc>
        <w:tc>
          <w:tcPr>
            <w:tcW w:w="599" w:type="pct"/>
            <w:vAlign w:val="center"/>
          </w:tcPr>
          <w:p w14:paraId="44B65F59">
            <w:pPr>
              <w:widowControl/>
              <w:spacing w:line="240" w:lineRule="auto"/>
              <w:ind w:firstLine="0" w:firstLineChars="0"/>
              <w:jc w:val="center"/>
              <w:textAlignment w:val="center"/>
              <w:rPr>
                <w:color w:val="auto"/>
                <w:sz w:val="21"/>
                <w:szCs w:val="21"/>
                <w:highlight w:val="none"/>
              </w:rPr>
            </w:pPr>
            <w:r>
              <w:rPr>
                <w:color w:val="auto"/>
                <w:sz w:val="21"/>
                <w:szCs w:val="21"/>
                <w:highlight w:val="none"/>
              </w:rPr>
              <w:t>达标</w:t>
            </w:r>
          </w:p>
        </w:tc>
      </w:tr>
    </w:tbl>
    <w:p w14:paraId="4F71EC00">
      <w:pPr>
        <w:ind w:firstLine="480"/>
        <w:rPr>
          <w:color w:val="auto"/>
          <w:highlight w:val="none"/>
        </w:rPr>
      </w:pPr>
      <w:r>
        <w:rPr>
          <w:color w:val="auto"/>
          <w:highlight w:val="none"/>
        </w:rPr>
        <w:t>根据预测表可知：</w:t>
      </w:r>
    </w:p>
    <w:p w14:paraId="60779A7C">
      <w:pPr>
        <w:ind w:firstLine="480"/>
        <w:rPr>
          <w:color w:val="auto"/>
          <w:highlight w:val="none"/>
        </w:rPr>
      </w:pPr>
      <w:r>
        <w:rPr>
          <w:color w:val="auto"/>
          <w:highlight w:val="none"/>
        </w:rPr>
        <w:t>二甲苯区域最大落地浓度中，小时浓度贡献值最大值为129.1225μg/m</w:t>
      </w:r>
      <w:r>
        <w:rPr>
          <w:color w:val="auto"/>
          <w:highlight w:val="none"/>
          <w:vertAlign w:val="superscript"/>
        </w:rPr>
        <w:t>3</w:t>
      </w:r>
      <w:r>
        <w:rPr>
          <w:color w:val="auto"/>
          <w:highlight w:val="none"/>
        </w:rPr>
        <w:t>，最大占标率为64.56%。项目二甲苯短期浓度贡献值最大浓度占标率小于100%。</w:t>
      </w:r>
    </w:p>
    <w:p w14:paraId="676E62C2">
      <w:pPr>
        <w:ind w:firstLine="480"/>
        <w:rPr>
          <w:color w:val="auto"/>
          <w:highlight w:val="none"/>
        </w:rPr>
      </w:pPr>
      <w:r>
        <w:rPr>
          <w:rFonts w:hint="eastAsia"/>
          <w:color w:val="auto"/>
          <w:highlight w:val="none"/>
        </w:rPr>
        <w:t>T</w:t>
      </w:r>
      <w:r>
        <w:rPr>
          <w:color w:val="auto"/>
          <w:highlight w:val="none"/>
        </w:rPr>
        <w:t>VOC区域最大落地浓度中，小时浓度贡献值最大值为516.4899μg/m</w:t>
      </w:r>
      <w:r>
        <w:rPr>
          <w:color w:val="auto"/>
          <w:highlight w:val="none"/>
          <w:vertAlign w:val="superscript"/>
        </w:rPr>
        <w:t>3</w:t>
      </w:r>
      <w:r>
        <w:rPr>
          <w:color w:val="auto"/>
          <w:highlight w:val="none"/>
        </w:rPr>
        <w:t>，最大占标率为43.04%。项目</w:t>
      </w:r>
      <w:r>
        <w:rPr>
          <w:rFonts w:hint="eastAsia"/>
          <w:color w:val="auto"/>
          <w:highlight w:val="none"/>
        </w:rPr>
        <w:t>T</w:t>
      </w:r>
      <w:r>
        <w:rPr>
          <w:color w:val="auto"/>
          <w:highlight w:val="none"/>
        </w:rPr>
        <w:t>VOC短期浓度贡献值最大浓度占标率小于100%。</w:t>
      </w:r>
    </w:p>
    <w:p w14:paraId="10CF92E8">
      <w:pPr>
        <w:ind w:firstLine="480"/>
        <w:rPr>
          <w:color w:val="auto"/>
          <w:highlight w:val="none"/>
        </w:rPr>
      </w:pPr>
      <w:r>
        <w:rPr>
          <w:color w:val="auto"/>
          <w:highlight w:val="none"/>
        </w:rPr>
        <w:t>TSP区域最大落地浓度中，日均浓度贡献值最大值为41.28973μg/m</w:t>
      </w:r>
      <w:r>
        <w:rPr>
          <w:color w:val="auto"/>
          <w:highlight w:val="none"/>
          <w:vertAlign w:val="superscript"/>
        </w:rPr>
        <w:t>3</w:t>
      </w:r>
      <w:r>
        <w:rPr>
          <w:color w:val="auto"/>
          <w:highlight w:val="none"/>
        </w:rPr>
        <w:t>，最大占标率为</w:t>
      </w:r>
      <w:r>
        <w:rPr>
          <w:rFonts w:hint="eastAsia"/>
          <w:color w:val="auto"/>
          <w:highlight w:val="none"/>
        </w:rPr>
        <w:t>13.76</w:t>
      </w:r>
      <w:r>
        <w:rPr>
          <w:color w:val="auto"/>
          <w:highlight w:val="none"/>
        </w:rPr>
        <w:t>%，TSP短期浓度贡献值最大浓度占标率小于100%；年均浓度贡献值最大值为7.52151μg/m</w:t>
      </w:r>
      <w:r>
        <w:rPr>
          <w:color w:val="auto"/>
          <w:highlight w:val="none"/>
          <w:vertAlign w:val="superscript"/>
        </w:rPr>
        <w:t>3</w:t>
      </w:r>
      <w:r>
        <w:rPr>
          <w:color w:val="auto"/>
          <w:highlight w:val="none"/>
        </w:rPr>
        <w:t>，最大占标率为3.</w:t>
      </w:r>
      <w:r>
        <w:rPr>
          <w:rFonts w:hint="eastAsia"/>
          <w:color w:val="auto"/>
          <w:highlight w:val="none"/>
        </w:rPr>
        <w:t>76</w:t>
      </w:r>
      <w:r>
        <w:rPr>
          <w:color w:val="auto"/>
          <w:highlight w:val="none"/>
        </w:rPr>
        <w:t>%，TSP年均浓度贡献值的最大浓度占标率小于30%。</w:t>
      </w:r>
    </w:p>
    <w:p w14:paraId="06438D60">
      <w:pPr>
        <w:pStyle w:val="11"/>
        <w:numPr>
          <w:ilvl w:val="0"/>
          <w:numId w:val="0"/>
        </w:numPr>
        <w:spacing w:before="0" w:after="0" w:line="360" w:lineRule="auto"/>
        <w:ind w:firstLine="482" w:firstLineChars="200"/>
        <w:rPr>
          <w:color w:val="auto"/>
          <w:sz w:val="24"/>
          <w:szCs w:val="24"/>
          <w:highlight w:val="none"/>
        </w:rPr>
      </w:pPr>
      <w:r>
        <w:rPr>
          <w:color w:val="auto"/>
          <w:sz w:val="24"/>
          <w:szCs w:val="24"/>
          <w:highlight w:val="none"/>
        </w:rPr>
        <w:t>（2）叠加情景下正常排放预测结果</w:t>
      </w:r>
    </w:p>
    <w:p w14:paraId="68934D1A">
      <w:pPr>
        <w:widowControl/>
        <w:ind w:firstLine="480"/>
        <w:jc w:val="left"/>
        <w:rPr>
          <w:color w:val="auto"/>
          <w:highlight w:val="none"/>
        </w:rPr>
      </w:pPr>
      <w:r>
        <w:rPr>
          <w:color w:val="auto"/>
          <w:highlight w:val="none"/>
        </w:rPr>
        <w:t>①二甲苯的叠加预测结果</w:t>
      </w:r>
    </w:p>
    <w:p w14:paraId="7601C53E">
      <w:pPr>
        <w:widowControl/>
        <w:ind w:firstLine="480"/>
        <w:jc w:val="left"/>
        <w:rPr>
          <w:color w:val="auto"/>
          <w:highlight w:val="none"/>
        </w:rPr>
      </w:pPr>
      <w:r>
        <w:rPr>
          <w:color w:val="auto"/>
          <w:highlight w:val="none"/>
        </w:rPr>
        <w:t>二甲苯预测结果见表4.2-</w:t>
      </w:r>
      <w:r>
        <w:rPr>
          <w:rFonts w:hint="eastAsia"/>
          <w:color w:val="auto"/>
          <w:highlight w:val="none"/>
        </w:rPr>
        <w:t>15</w:t>
      </w:r>
      <w:r>
        <w:rPr>
          <w:color w:val="auto"/>
          <w:highlight w:val="none"/>
        </w:rPr>
        <w:t>，根据预测结果，二甲苯的小时浓度（短期浓度）满足《环境影响评价技术导则  大气环境》（HJ2.2-2018）附录D。</w:t>
      </w:r>
    </w:p>
    <w:p w14:paraId="3CF8E3D2">
      <w:pPr>
        <w:spacing w:line="240" w:lineRule="auto"/>
        <w:ind w:firstLine="0" w:firstLineChars="0"/>
        <w:jc w:val="center"/>
        <w:rPr>
          <w:b/>
          <w:bCs/>
          <w:color w:val="auto"/>
          <w:sz w:val="21"/>
          <w:szCs w:val="21"/>
          <w:highlight w:val="none"/>
        </w:rPr>
      </w:pPr>
      <w:r>
        <w:rPr>
          <w:b/>
          <w:bCs/>
          <w:color w:val="auto"/>
          <w:sz w:val="21"/>
          <w:szCs w:val="21"/>
          <w:highlight w:val="none"/>
        </w:rPr>
        <w:t>表4.2-</w:t>
      </w:r>
      <w:r>
        <w:rPr>
          <w:rFonts w:hint="eastAsia"/>
          <w:b/>
          <w:bCs/>
          <w:color w:val="auto"/>
          <w:sz w:val="21"/>
          <w:szCs w:val="21"/>
          <w:highlight w:val="none"/>
        </w:rPr>
        <w:t>15</w:t>
      </w:r>
      <w:r>
        <w:rPr>
          <w:b/>
          <w:bCs/>
          <w:color w:val="auto"/>
          <w:sz w:val="21"/>
          <w:szCs w:val="21"/>
          <w:highlight w:val="none"/>
        </w:rPr>
        <w:t xml:space="preserve"> 二甲苯叠加后环境质量浓度预测结果表</w:t>
      </w:r>
    </w:p>
    <w:tbl>
      <w:tblPr>
        <w:tblStyle w:val="92"/>
        <w:tblW w:w="500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3"/>
        <w:gridCol w:w="749"/>
        <w:gridCol w:w="674"/>
        <w:gridCol w:w="884"/>
        <w:gridCol w:w="1051"/>
        <w:gridCol w:w="960"/>
        <w:gridCol w:w="1126"/>
        <w:gridCol w:w="1126"/>
        <w:gridCol w:w="1494"/>
        <w:gridCol w:w="661"/>
      </w:tblGrid>
      <w:tr w14:paraId="72066A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blHeader/>
          <w:jc w:val="center"/>
        </w:trPr>
        <w:tc>
          <w:tcPr>
            <w:tcW w:w="303" w:type="pct"/>
            <w:tcBorders>
              <w:tl2br w:val="nil"/>
              <w:tr2bl w:val="nil"/>
            </w:tcBorders>
            <w:noWrap/>
            <w:vAlign w:val="center"/>
          </w:tcPr>
          <w:p w14:paraId="3348B25A">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序号</w:t>
            </w:r>
          </w:p>
        </w:tc>
        <w:tc>
          <w:tcPr>
            <w:tcW w:w="403" w:type="pct"/>
            <w:tcBorders>
              <w:tl2br w:val="nil"/>
              <w:tr2bl w:val="nil"/>
            </w:tcBorders>
            <w:noWrap/>
            <w:vAlign w:val="center"/>
          </w:tcPr>
          <w:p w14:paraId="06EEEFFB">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预测点</w:t>
            </w:r>
          </w:p>
        </w:tc>
        <w:tc>
          <w:tcPr>
            <w:tcW w:w="363" w:type="pct"/>
            <w:tcBorders>
              <w:tl2br w:val="nil"/>
              <w:tr2bl w:val="nil"/>
            </w:tcBorders>
            <w:noWrap/>
            <w:vAlign w:val="center"/>
          </w:tcPr>
          <w:p w14:paraId="17791606">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平均时段</w:t>
            </w:r>
          </w:p>
        </w:tc>
        <w:tc>
          <w:tcPr>
            <w:tcW w:w="476" w:type="pct"/>
            <w:tcBorders>
              <w:tl2br w:val="nil"/>
              <w:tr2bl w:val="nil"/>
            </w:tcBorders>
            <w:noWrap/>
            <w:vAlign w:val="center"/>
          </w:tcPr>
          <w:p w14:paraId="1B4EB39B">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贡献值(μg/m</w:t>
            </w:r>
            <w:r>
              <w:rPr>
                <w:b/>
                <w:bCs/>
                <w:color w:val="auto"/>
                <w:sz w:val="21"/>
                <w:szCs w:val="21"/>
                <w:highlight w:val="none"/>
                <w:vertAlign w:val="superscript"/>
              </w:rPr>
              <w:t>3</w:t>
            </w:r>
            <w:r>
              <w:rPr>
                <w:b/>
                <w:bCs/>
                <w:color w:val="auto"/>
                <w:sz w:val="21"/>
                <w:szCs w:val="21"/>
                <w:highlight w:val="none"/>
              </w:rPr>
              <w:t>)</w:t>
            </w:r>
          </w:p>
        </w:tc>
        <w:tc>
          <w:tcPr>
            <w:tcW w:w="565" w:type="pct"/>
            <w:tcBorders>
              <w:tl2br w:val="nil"/>
              <w:tr2bl w:val="nil"/>
            </w:tcBorders>
            <w:noWrap/>
            <w:vAlign w:val="center"/>
          </w:tcPr>
          <w:p w14:paraId="354D0977">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出现时间</w:t>
            </w:r>
          </w:p>
        </w:tc>
        <w:tc>
          <w:tcPr>
            <w:tcW w:w="516" w:type="pct"/>
            <w:tcBorders>
              <w:tl2br w:val="nil"/>
              <w:tr2bl w:val="nil"/>
            </w:tcBorders>
            <w:noWrap/>
            <w:vAlign w:val="center"/>
          </w:tcPr>
          <w:p w14:paraId="6770F0FF">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现状浓度(μg/m</w:t>
            </w:r>
            <w:r>
              <w:rPr>
                <w:b/>
                <w:bCs/>
                <w:color w:val="auto"/>
                <w:sz w:val="21"/>
                <w:szCs w:val="21"/>
                <w:highlight w:val="none"/>
                <w:vertAlign w:val="superscript"/>
              </w:rPr>
              <w:t>3</w:t>
            </w:r>
            <w:r>
              <w:rPr>
                <w:b/>
                <w:bCs/>
                <w:color w:val="auto"/>
                <w:sz w:val="21"/>
                <w:szCs w:val="21"/>
                <w:highlight w:val="none"/>
              </w:rPr>
              <w:t>)</w:t>
            </w:r>
          </w:p>
        </w:tc>
        <w:tc>
          <w:tcPr>
            <w:tcW w:w="605" w:type="pct"/>
            <w:tcBorders>
              <w:tl2br w:val="nil"/>
              <w:tr2bl w:val="nil"/>
            </w:tcBorders>
            <w:noWrap/>
            <w:vAlign w:val="center"/>
          </w:tcPr>
          <w:p w14:paraId="72DA4D83">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叠加后浓度(μg/m</w:t>
            </w:r>
            <w:r>
              <w:rPr>
                <w:b/>
                <w:bCs/>
                <w:color w:val="auto"/>
                <w:sz w:val="21"/>
                <w:szCs w:val="21"/>
                <w:highlight w:val="none"/>
                <w:vertAlign w:val="superscript"/>
              </w:rPr>
              <w:t>3</w:t>
            </w:r>
            <w:r>
              <w:rPr>
                <w:b/>
                <w:bCs/>
                <w:color w:val="auto"/>
                <w:sz w:val="21"/>
                <w:szCs w:val="21"/>
                <w:highlight w:val="none"/>
              </w:rPr>
              <w:t>)</w:t>
            </w:r>
          </w:p>
        </w:tc>
        <w:tc>
          <w:tcPr>
            <w:tcW w:w="605" w:type="pct"/>
            <w:tcBorders>
              <w:tl2br w:val="nil"/>
              <w:tr2bl w:val="nil"/>
            </w:tcBorders>
            <w:noWrap/>
            <w:vAlign w:val="center"/>
          </w:tcPr>
          <w:p w14:paraId="3BDC837D">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评价标准(μg/m</w:t>
            </w:r>
            <w:r>
              <w:rPr>
                <w:b/>
                <w:bCs/>
                <w:color w:val="auto"/>
                <w:sz w:val="21"/>
                <w:szCs w:val="21"/>
                <w:highlight w:val="none"/>
                <w:vertAlign w:val="superscript"/>
              </w:rPr>
              <w:t>3</w:t>
            </w:r>
            <w:r>
              <w:rPr>
                <w:b/>
                <w:bCs/>
                <w:color w:val="auto"/>
                <w:sz w:val="21"/>
                <w:szCs w:val="21"/>
                <w:highlight w:val="none"/>
              </w:rPr>
              <w:t>)</w:t>
            </w:r>
          </w:p>
        </w:tc>
        <w:tc>
          <w:tcPr>
            <w:tcW w:w="803" w:type="pct"/>
            <w:tcBorders>
              <w:tl2br w:val="nil"/>
              <w:tr2bl w:val="nil"/>
            </w:tcBorders>
            <w:noWrap/>
            <w:vAlign w:val="center"/>
          </w:tcPr>
          <w:p w14:paraId="15AD37A4">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占标率%(叠加背景以后)</w:t>
            </w:r>
          </w:p>
        </w:tc>
        <w:tc>
          <w:tcPr>
            <w:tcW w:w="356" w:type="pct"/>
            <w:tcBorders>
              <w:tl2br w:val="nil"/>
              <w:tr2bl w:val="nil"/>
            </w:tcBorders>
            <w:noWrap/>
            <w:vAlign w:val="center"/>
          </w:tcPr>
          <w:p w14:paraId="313C5144">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达标情况</w:t>
            </w:r>
          </w:p>
        </w:tc>
      </w:tr>
      <w:tr w14:paraId="0BA60B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03" w:type="pct"/>
            <w:tcBorders>
              <w:tl2br w:val="nil"/>
              <w:tr2bl w:val="nil"/>
            </w:tcBorders>
            <w:noWrap/>
            <w:vAlign w:val="center"/>
          </w:tcPr>
          <w:p w14:paraId="7B30B7AB">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1</w:t>
            </w:r>
          </w:p>
        </w:tc>
        <w:tc>
          <w:tcPr>
            <w:tcW w:w="403" w:type="pct"/>
            <w:tcBorders>
              <w:tl2br w:val="nil"/>
              <w:tr2bl w:val="nil"/>
            </w:tcBorders>
            <w:noWrap/>
            <w:vAlign w:val="center"/>
          </w:tcPr>
          <w:p w14:paraId="17030F0A">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网格</w:t>
            </w:r>
          </w:p>
        </w:tc>
        <w:tc>
          <w:tcPr>
            <w:tcW w:w="363" w:type="pct"/>
            <w:tcBorders>
              <w:tl2br w:val="nil"/>
              <w:tr2bl w:val="nil"/>
            </w:tcBorders>
            <w:noWrap/>
            <w:vAlign w:val="center"/>
          </w:tcPr>
          <w:p w14:paraId="6B64A61B">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1小时</w:t>
            </w:r>
          </w:p>
        </w:tc>
        <w:tc>
          <w:tcPr>
            <w:tcW w:w="476" w:type="pct"/>
            <w:tcBorders>
              <w:tl2br w:val="nil"/>
              <w:tr2bl w:val="nil"/>
            </w:tcBorders>
            <w:noWrap/>
            <w:vAlign w:val="center"/>
          </w:tcPr>
          <w:p w14:paraId="0F4551D9">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129.1225</w:t>
            </w:r>
          </w:p>
        </w:tc>
        <w:tc>
          <w:tcPr>
            <w:tcW w:w="565" w:type="pct"/>
            <w:tcBorders>
              <w:tl2br w:val="nil"/>
              <w:tr2bl w:val="nil"/>
            </w:tcBorders>
            <w:noWrap/>
            <w:vAlign w:val="center"/>
          </w:tcPr>
          <w:p w14:paraId="7161A501">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24040707</w:t>
            </w:r>
          </w:p>
        </w:tc>
        <w:tc>
          <w:tcPr>
            <w:tcW w:w="516" w:type="pct"/>
            <w:tcBorders>
              <w:tl2br w:val="nil"/>
              <w:tr2bl w:val="nil"/>
            </w:tcBorders>
            <w:noWrap/>
            <w:vAlign w:val="center"/>
          </w:tcPr>
          <w:p w14:paraId="4A0419E3">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0.75</w:t>
            </w:r>
          </w:p>
        </w:tc>
        <w:tc>
          <w:tcPr>
            <w:tcW w:w="605" w:type="pct"/>
            <w:tcBorders>
              <w:tl2br w:val="nil"/>
              <w:tr2bl w:val="nil"/>
            </w:tcBorders>
            <w:noWrap/>
            <w:vAlign w:val="center"/>
          </w:tcPr>
          <w:p w14:paraId="1A62037E">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129.8725</w:t>
            </w:r>
          </w:p>
        </w:tc>
        <w:tc>
          <w:tcPr>
            <w:tcW w:w="605" w:type="pct"/>
            <w:tcBorders>
              <w:tl2br w:val="nil"/>
              <w:tr2bl w:val="nil"/>
            </w:tcBorders>
            <w:noWrap/>
            <w:vAlign w:val="center"/>
          </w:tcPr>
          <w:p w14:paraId="3D2CAD13">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200.0</w:t>
            </w:r>
          </w:p>
        </w:tc>
        <w:tc>
          <w:tcPr>
            <w:tcW w:w="803" w:type="pct"/>
            <w:tcBorders>
              <w:tl2br w:val="nil"/>
              <w:tr2bl w:val="nil"/>
            </w:tcBorders>
            <w:noWrap/>
            <w:vAlign w:val="center"/>
          </w:tcPr>
          <w:p w14:paraId="75F8837F">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64.94</w:t>
            </w:r>
          </w:p>
        </w:tc>
        <w:tc>
          <w:tcPr>
            <w:tcW w:w="356" w:type="pct"/>
            <w:tcBorders>
              <w:tl2br w:val="nil"/>
              <w:tr2bl w:val="nil"/>
            </w:tcBorders>
            <w:noWrap/>
            <w:vAlign w:val="center"/>
          </w:tcPr>
          <w:p w14:paraId="59D997EB">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达标</w:t>
            </w:r>
          </w:p>
        </w:tc>
      </w:tr>
    </w:tbl>
    <w:p w14:paraId="7C03F001">
      <w:pPr>
        <w:pStyle w:val="91"/>
        <w:ind w:left="0" w:leftChars="0" w:firstLine="0" w:firstLineChars="0"/>
        <w:rPr>
          <w:rFonts w:ascii="Times New Roman" w:hAnsi="Times New Roman" w:cs="Times New Roman"/>
          <w:color w:val="auto"/>
          <w:highlight w:val="none"/>
        </w:rPr>
      </w:pPr>
    </w:p>
    <w:p w14:paraId="3E1B4C3A">
      <w:pPr>
        <w:pStyle w:val="91"/>
        <w:spacing w:after="0"/>
        <w:ind w:left="0" w:leftChars="0" w:firstLine="0" w:firstLineChars="0"/>
        <w:jc w:val="center"/>
        <w:rPr>
          <w:rFonts w:ascii="Times New Roman" w:hAnsi="Times New Roman" w:cs="Times New Roman"/>
          <w:color w:val="auto"/>
          <w:highlight w:val="none"/>
        </w:rPr>
      </w:pPr>
      <w:r>
        <w:rPr>
          <w:rFonts w:ascii="Times New Roman" w:hAnsi="Times New Roman" w:cs="Times New Roman"/>
          <w:color w:val="auto"/>
          <w:highlight w:val="none"/>
        </w:rPr>
        <w:drawing>
          <wp:inline distT="0" distB="0" distL="114300" distR="114300">
            <wp:extent cx="5618480" cy="4536440"/>
            <wp:effectExtent l="0" t="0" r="1270" b="16510"/>
            <wp:docPr id="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3"/>
                    <pic:cNvPicPr>
                      <a:picLocks noChangeAspect="1"/>
                    </pic:cNvPicPr>
                  </pic:nvPicPr>
                  <pic:blipFill>
                    <a:blip r:embed="rId123"/>
                    <a:stretch>
                      <a:fillRect/>
                    </a:stretch>
                  </pic:blipFill>
                  <pic:spPr>
                    <a:xfrm>
                      <a:off x="0" y="0"/>
                      <a:ext cx="5618480" cy="4536440"/>
                    </a:xfrm>
                    <a:prstGeom prst="rect">
                      <a:avLst/>
                    </a:prstGeom>
                    <a:noFill/>
                    <a:ln>
                      <a:noFill/>
                    </a:ln>
                  </pic:spPr>
                </pic:pic>
              </a:graphicData>
            </a:graphic>
          </wp:inline>
        </w:drawing>
      </w:r>
    </w:p>
    <w:p w14:paraId="38481C45">
      <w:pPr>
        <w:spacing w:line="240" w:lineRule="auto"/>
        <w:ind w:firstLine="0" w:firstLineChars="0"/>
        <w:jc w:val="center"/>
        <w:rPr>
          <w:b/>
          <w:bCs/>
          <w:color w:val="auto"/>
          <w:sz w:val="21"/>
          <w:szCs w:val="21"/>
          <w:highlight w:val="none"/>
        </w:rPr>
      </w:pPr>
      <w:r>
        <w:rPr>
          <w:b/>
          <w:bCs/>
          <w:color w:val="auto"/>
          <w:sz w:val="21"/>
          <w:szCs w:val="21"/>
          <w:highlight w:val="none"/>
        </w:rPr>
        <w:t>图4.2-</w:t>
      </w:r>
      <w:r>
        <w:rPr>
          <w:rFonts w:hint="eastAsia"/>
          <w:b/>
          <w:bCs/>
          <w:color w:val="auto"/>
          <w:sz w:val="21"/>
          <w:szCs w:val="21"/>
          <w:highlight w:val="none"/>
        </w:rPr>
        <w:t>3</w:t>
      </w:r>
      <w:r>
        <w:rPr>
          <w:b/>
          <w:bCs/>
          <w:color w:val="auto"/>
          <w:sz w:val="21"/>
          <w:szCs w:val="21"/>
          <w:highlight w:val="none"/>
        </w:rPr>
        <w:t xml:space="preserve"> 叠加情形下二甲苯短期质量浓度分布图（单位：μg/m</w:t>
      </w:r>
      <w:r>
        <w:rPr>
          <w:b/>
          <w:bCs/>
          <w:color w:val="auto"/>
          <w:sz w:val="21"/>
          <w:szCs w:val="21"/>
          <w:highlight w:val="none"/>
          <w:vertAlign w:val="superscript"/>
        </w:rPr>
        <w:t>3</w:t>
      </w:r>
      <w:r>
        <w:rPr>
          <w:b/>
          <w:bCs/>
          <w:color w:val="auto"/>
          <w:sz w:val="21"/>
          <w:szCs w:val="21"/>
          <w:highlight w:val="none"/>
        </w:rPr>
        <w:t>）</w:t>
      </w:r>
    </w:p>
    <w:p w14:paraId="41715CAE">
      <w:pPr>
        <w:pStyle w:val="91"/>
        <w:ind w:left="480"/>
        <w:rPr>
          <w:color w:val="auto"/>
          <w:highlight w:val="none"/>
        </w:rPr>
      </w:pPr>
    </w:p>
    <w:p w14:paraId="34FD6258">
      <w:pPr>
        <w:widowControl/>
        <w:ind w:firstLine="480"/>
        <w:jc w:val="left"/>
        <w:rPr>
          <w:color w:val="auto"/>
          <w:highlight w:val="none"/>
        </w:rPr>
      </w:pPr>
      <w:r>
        <w:rPr>
          <w:color w:val="auto"/>
          <w:highlight w:val="none"/>
        </w:rPr>
        <w:t>②</w:t>
      </w:r>
      <w:r>
        <w:rPr>
          <w:rFonts w:hint="eastAsia"/>
          <w:color w:val="auto"/>
          <w:highlight w:val="none"/>
        </w:rPr>
        <w:t>T</w:t>
      </w:r>
      <w:r>
        <w:rPr>
          <w:color w:val="auto"/>
          <w:highlight w:val="none"/>
        </w:rPr>
        <w:t>VOC的叠加预测结果</w:t>
      </w:r>
    </w:p>
    <w:p w14:paraId="77B2895B">
      <w:pPr>
        <w:widowControl/>
        <w:ind w:firstLine="480"/>
        <w:jc w:val="left"/>
        <w:rPr>
          <w:color w:val="auto"/>
          <w:highlight w:val="none"/>
        </w:rPr>
      </w:pPr>
      <w:r>
        <w:rPr>
          <w:rFonts w:hint="eastAsia"/>
          <w:color w:val="auto"/>
          <w:highlight w:val="none"/>
        </w:rPr>
        <w:t>T</w:t>
      </w:r>
      <w:r>
        <w:rPr>
          <w:color w:val="auto"/>
          <w:highlight w:val="none"/>
        </w:rPr>
        <w:t>VOC预测结果见表4.2-</w:t>
      </w:r>
      <w:r>
        <w:rPr>
          <w:rFonts w:hint="eastAsia"/>
          <w:color w:val="auto"/>
          <w:highlight w:val="none"/>
        </w:rPr>
        <w:t>16</w:t>
      </w:r>
      <w:r>
        <w:rPr>
          <w:color w:val="auto"/>
          <w:highlight w:val="none"/>
        </w:rPr>
        <w:t>，根据预测结果，</w:t>
      </w:r>
      <w:r>
        <w:rPr>
          <w:rFonts w:hint="eastAsia"/>
          <w:color w:val="auto"/>
          <w:highlight w:val="none"/>
        </w:rPr>
        <w:t>T</w:t>
      </w:r>
      <w:r>
        <w:rPr>
          <w:color w:val="auto"/>
          <w:highlight w:val="none"/>
        </w:rPr>
        <w:t>VOC的小时浓度（短期浓度）满足《环境影响评价技术导则  大气环境》（HJ2.2-2018）附录D。</w:t>
      </w:r>
    </w:p>
    <w:p w14:paraId="174C5B87">
      <w:pPr>
        <w:spacing w:line="240" w:lineRule="auto"/>
        <w:ind w:firstLine="0" w:firstLineChars="0"/>
        <w:jc w:val="center"/>
        <w:rPr>
          <w:b/>
          <w:bCs/>
          <w:color w:val="auto"/>
          <w:sz w:val="21"/>
          <w:szCs w:val="21"/>
          <w:highlight w:val="none"/>
        </w:rPr>
      </w:pPr>
      <w:r>
        <w:rPr>
          <w:b/>
          <w:bCs/>
          <w:color w:val="auto"/>
          <w:sz w:val="21"/>
          <w:szCs w:val="21"/>
          <w:highlight w:val="none"/>
        </w:rPr>
        <w:t>表4.2-</w:t>
      </w:r>
      <w:r>
        <w:rPr>
          <w:rFonts w:hint="eastAsia"/>
          <w:b/>
          <w:bCs/>
          <w:color w:val="auto"/>
          <w:sz w:val="21"/>
          <w:szCs w:val="21"/>
          <w:highlight w:val="none"/>
        </w:rPr>
        <w:t>16</w:t>
      </w:r>
      <w:r>
        <w:rPr>
          <w:b/>
          <w:bCs/>
          <w:color w:val="auto"/>
          <w:sz w:val="21"/>
          <w:szCs w:val="21"/>
          <w:highlight w:val="none"/>
        </w:rPr>
        <w:t xml:space="preserve"> </w:t>
      </w:r>
      <w:r>
        <w:rPr>
          <w:rFonts w:hint="eastAsia"/>
          <w:b/>
          <w:bCs/>
          <w:color w:val="auto"/>
          <w:sz w:val="21"/>
          <w:szCs w:val="21"/>
          <w:highlight w:val="none"/>
        </w:rPr>
        <w:t>T</w:t>
      </w:r>
      <w:r>
        <w:rPr>
          <w:b/>
          <w:bCs/>
          <w:color w:val="auto"/>
          <w:sz w:val="21"/>
          <w:szCs w:val="21"/>
          <w:highlight w:val="none"/>
        </w:rPr>
        <w:t>VOC叠加后环境质量浓度预测结果表</w:t>
      </w:r>
    </w:p>
    <w:tbl>
      <w:tblPr>
        <w:tblStyle w:val="92"/>
        <w:tblW w:w="500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3"/>
        <w:gridCol w:w="749"/>
        <w:gridCol w:w="674"/>
        <w:gridCol w:w="884"/>
        <w:gridCol w:w="1051"/>
        <w:gridCol w:w="960"/>
        <w:gridCol w:w="1126"/>
        <w:gridCol w:w="1126"/>
        <w:gridCol w:w="1494"/>
        <w:gridCol w:w="661"/>
      </w:tblGrid>
      <w:tr w14:paraId="37D189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blHeader/>
          <w:jc w:val="center"/>
        </w:trPr>
        <w:tc>
          <w:tcPr>
            <w:tcW w:w="303" w:type="pct"/>
            <w:tcBorders>
              <w:tl2br w:val="nil"/>
              <w:tr2bl w:val="nil"/>
            </w:tcBorders>
            <w:noWrap/>
            <w:vAlign w:val="center"/>
          </w:tcPr>
          <w:p w14:paraId="675FFA12">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序号</w:t>
            </w:r>
          </w:p>
        </w:tc>
        <w:tc>
          <w:tcPr>
            <w:tcW w:w="403" w:type="pct"/>
            <w:tcBorders>
              <w:tl2br w:val="nil"/>
              <w:tr2bl w:val="nil"/>
            </w:tcBorders>
            <w:noWrap/>
            <w:vAlign w:val="center"/>
          </w:tcPr>
          <w:p w14:paraId="68096EEF">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预测点</w:t>
            </w:r>
          </w:p>
        </w:tc>
        <w:tc>
          <w:tcPr>
            <w:tcW w:w="363" w:type="pct"/>
            <w:tcBorders>
              <w:tl2br w:val="nil"/>
              <w:tr2bl w:val="nil"/>
            </w:tcBorders>
            <w:noWrap/>
            <w:vAlign w:val="center"/>
          </w:tcPr>
          <w:p w14:paraId="4CF1C454">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平均时段</w:t>
            </w:r>
          </w:p>
        </w:tc>
        <w:tc>
          <w:tcPr>
            <w:tcW w:w="476" w:type="pct"/>
            <w:tcBorders>
              <w:tl2br w:val="nil"/>
              <w:tr2bl w:val="nil"/>
            </w:tcBorders>
            <w:noWrap/>
            <w:vAlign w:val="center"/>
          </w:tcPr>
          <w:p w14:paraId="7205ADDE">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贡献值(μg/m</w:t>
            </w:r>
            <w:r>
              <w:rPr>
                <w:b/>
                <w:bCs/>
                <w:color w:val="auto"/>
                <w:sz w:val="21"/>
                <w:szCs w:val="21"/>
                <w:highlight w:val="none"/>
                <w:vertAlign w:val="superscript"/>
              </w:rPr>
              <w:t>3</w:t>
            </w:r>
            <w:r>
              <w:rPr>
                <w:b/>
                <w:bCs/>
                <w:color w:val="auto"/>
                <w:sz w:val="21"/>
                <w:szCs w:val="21"/>
                <w:highlight w:val="none"/>
              </w:rPr>
              <w:t>)</w:t>
            </w:r>
          </w:p>
        </w:tc>
        <w:tc>
          <w:tcPr>
            <w:tcW w:w="565" w:type="pct"/>
            <w:tcBorders>
              <w:tl2br w:val="nil"/>
              <w:tr2bl w:val="nil"/>
            </w:tcBorders>
            <w:noWrap/>
            <w:vAlign w:val="center"/>
          </w:tcPr>
          <w:p w14:paraId="5EEC184E">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出现时间</w:t>
            </w:r>
          </w:p>
        </w:tc>
        <w:tc>
          <w:tcPr>
            <w:tcW w:w="516" w:type="pct"/>
            <w:tcBorders>
              <w:tl2br w:val="nil"/>
              <w:tr2bl w:val="nil"/>
            </w:tcBorders>
            <w:noWrap/>
            <w:vAlign w:val="center"/>
          </w:tcPr>
          <w:p w14:paraId="226D4F84">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现状浓度(μg/m</w:t>
            </w:r>
            <w:r>
              <w:rPr>
                <w:b/>
                <w:bCs/>
                <w:color w:val="auto"/>
                <w:sz w:val="21"/>
                <w:szCs w:val="21"/>
                <w:highlight w:val="none"/>
                <w:vertAlign w:val="superscript"/>
              </w:rPr>
              <w:t>3</w:t>
            </w:r>
            <w:r>
              <w:rPr>
                <w:b/>
                <w:bCs/>
                <w:color w:val="auto"/>
                <w:sz w:val="21"/>
                <w:szCs w:val="21"/>
                <w:highlight w:val="none"/>
              </w:rPr>
              <w:t>)</w:t>
            </w:r>
          </w:p>
        </w:tc>
        <w:tc>
          <w:tcPr>
            <w:tcW w:w="605" w:type="pct"/>
            <w:tcBorders>
              <w:tl2br w:val="nil"/>
              <w:tr2bl w:val="nil"/>
            </w:tcBorders>
            <w:noWrap/>
            <w:vAlign w:val="center"/>
          </w:tcPr>
          <w:p w14:paraId="56903300">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叠加后浓度(μg/m</w:t>
            </w:r>
            <w:r>
              <w:rPr>
                <w:b/>
                <w:bCs/>
                <w:color w:val="auto"/>
                <w:sz w:val="21"/>
                <w:szCs w:val="21"/>
                <w:highlight w:val="none"/>
                <w:vertAlign w:val="superscript"/>
              </w:rPr>
              <w:t>3</w:t>
            </w:r>
            <w:r>
              <w:rPr>
                <w:b/>
                <w:bCs/>
                <w:color w:val="auto"/>
                <w:sz w:val="21"/>
                <w:szCs w:val="21"/>
                <w:highlight w:val="none"/>
              </w:rPr>
              <w:t>)</w:t>
            </w:r>
          </w:p>
        </w:tc>
        <w:tc>
          <w:tcPr>
            <w:tcW w:w="605" w:type="pct"/>
            <w:tcBorders>
              <w:tl2br w:val="nil"/>
              <w:tr2bl w:val="nil"/>
            </w:tcBorders>
            <w:noWrap/>
            <w:vAlign w:val="center"/>
          </w:tcPr>
          <w:p w14:paraId="75015BBE">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评价标准(μg/m</w:t>
            </w:r>
            <w:r>
              <w:rPr>
                <w:b/>
                <w:bCs/>
                <w:color w:val="auto"/>
                <w:sz w:val="21"/>
                <w:szCs w:val="21"/>
                <w:highlight w:val="none"/>
                <w:vertAlign w:val="superscript"/>
              </w:rPr>
              <w:t>3</w:t>
            </w:r>
            <w:r>
              <w:rPr>
                <w:b/>
                <w:bCs/>
                <w:color w:val="auto"/>
                <w:sz w:val="21"/>
                <w:szCs w:val="21"/>
                <w:highlight w:val="none"/>
              </w:rPr>
              <w:t>)</w:t>
            </w:r>
          </w:p>
        </w:tc>
        <w:tc>
          <w:tcPr>
            <w:tcW w:w="803" w:type="pct"/>
            <w:tcBorders>
              <w:tl2br w:val="nil"/>
              <w:tr2bl w:val="nil"/>
            </w:tcBorders>
            <w:noWrap/>
            <w:vAlign w:val="center"/>
          </w:tcPr>
          <w:p w14:paraId="50297292">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占标率%(叠加背景以后)</w:t>
            </w:r>
          </w:p>
        </w:tc>
        <w:tc>
          <w:tcPr>
            <w:tcW w:w="356" w:type="pct"/>
            <w:tcBorders>
              <w:tl2br w:val="nil"/>
              <w:tr2bl w:val="nil"/>
            </w:tcBorders>
            <w:noWrap/>
            <w:vAlign w:val="center"/>
          </w:tcPr>
          <w:p w14:paraId="611D3044">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达标情况</w:t>
            </w:r>
          </w:p>
        </w:tc>
      </w:tr>
      <w:tr w14:paraId="3F8965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03" w:type="pct"/>
            <w:tcBorders>
              <w:tl2br w:val="nil"/>
              <w:tr2bl w:val="nil"/>
            </w:tcBorders>
            <w:noWrap/>
            <w:vAlign w:val="center"/>
          </w:tcPr>
          <w:p w14:paraId="7C9E7DE9">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1</w:t>
            </w:r>
          </w:p>
        </w:tc>
        <w:tc>
          <w:tcPr>
            <w:tcW w:w="403" w:type="pct"/>
            <w:tcBorders>
              <w:tl2br w:val="nil"/>
              <w:tr2bl w:val="nil"/>
            </w:tcBorders>
            <w:noWrap/>
            <w:vAlign w:val="center"/>
          </w:tcPr>
          <w:p w14:paraId="67515AD0">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网格</w:t>
            </w:r>
          </w:p>
        </w:tc>
        <w:tc>
          <w:tcPr>
            <w:tcW w:w="363" w:type="pct"/>
            <w:tcBorders>
              <w:tl2br w:val="nil"/>
              <w:tr2bl w:val="nil"/>
            </w:tcBorders>
            <w:noWrap/>
            <w:vAlign w:val="center"/>
          </w:tcPr>
          <w:p w14:paraId="3715D17A">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1小时</w:t>
            </w:r>
          </w:p>
        </w:tc>
        <w:tc>
          <w:tcPr>
            <w:tcW w:w="476" w:type="pct"/>
            <w:tcBorders>
              <w:tl2br w:val="nil"/>
              <w:tr2bl w:val="nil"/>
            </w:tcBorders>
            <w:noWrap/>
            <w:vAlign w:val="center"/>
          </w:tcPr>
          <w:p w14:paraId="5B120F15">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516.4899</w:t>
            </w:r>
          </w:p>
        </w:tc>
        <w:tc>
          <w:tcPr>
            <w:tcW w:w="565" w:type="pct"/>
            <w:tcBorders>
              <w:tl2br w:val="nil"/>
              <w:tr2bl w:val="nil"/>
            </w:tcBorders>
            <w:noWrap/>
            <w:vAlign w:val="center"/>
          </w:tcPr>
          <w:p w14:paraId="5ED989B2">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24040707</w:t>
            </w:r>
          </w:p>
        </w:tc>
        <w:tc>
          <w:tcPr>
            <w:tcW w:w="516" w:type="pct"/>
            <w:tcBorders>
              <w:tl2br w:val="nil"/>
              <w:tr2bl w:val="nil"/>
            </w:tcBorders>
            <w:noWrap/>
            <w:vAlign w:val="center"/>
          </w:tcPr>
          <w:p w14:paraId="5A844F2C">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310.0</w:t>
            </w:r>
          </w:p>
        </w:tc>
        <w:tc>
          <w:tcPr>
            <w:tcW w:w="605" w:type="pct"/>
            <w:tcBorders>
              <w:tl2br w:val="nil"/>
              <w:tr2bl w:val="nil"/>
            </w:tcBorders>
            <w:noWrap/>
            <w:vAlign w:val="center"/>
          </w:tcPr>
          <w:p w14:paraId="20DE3F33">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826.4899</w:t>
            </w:r>
          </w:p>
        </w:tc>
        <w:tc>
          <w:tcPr>
            <w:tcW w:w="605" w:type="pct"/>
            <w:tcBorders>
              <w:tl2br w:val="nil"/>
              <w:tr2bl w:val="nil"/>
            </w:tcBorders>
            <w:noWrap/>
            <w:vAlign w:val="center"/>
          </w:tcPr>
          <w:p w14:paraId="092B56CE">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1200.0</w:t>
            </w:r>
          </w:p>
        </w:tc>
        <w:tc>
          <w:tcPr>
            <w:tcW w:w="803" w:type="pct"/>
            <w:tcBorders>
              <w:tl2br w:val="nil"/>
              <w:tr2bl w:val="nil"/>
            </w:tcBorders>
            <w:noWrap/>
            <w:vAlign w:val="center"/>
          </w:tcPr>
          <w:p w14:paraId="5EADD70E">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68.87</w:t>
            </w:r>
          </w:p>
        </w:tc>
        <w:tc>
          <w:tcPr>
            <w:tcW w:w="356" w:type="pct"/>
            <w:tcBorders>
              <w:tl2br w:val="nil"/>
              <w:tr2bl w:val="nil"/>
            </w:tcBorders>
            <w:noWrap/>
            <w:vAlign w:val="center"/>
          </w:tcPr>
          <w:p w14:paraId="4E201318">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达标</w:t>
            </w:r>
          </w:p>
        </w:tc>
      </w:tr>
    </w:tbl>
    <w:p w14:paraId="1514FF6A">
      <w:pPr>
        <w:pStyle w:val="91"/>
        <w:ind w:left="0" w:leftChars="0" w:firstLine="0" w:firstLineChars="0"/>
        <w:rPr>
          <w:rFonts w:ascii="Times New Roman" w:hAnsi="Times New Roman" w:cs="Times New Roman"/>
          <w:color w:val="auto"/>
          <w:highlight w:val="none"/>
        </w:rPr>
      </w:pPr>
    </w:p>
    <w:p w14:paraId="61974738">
      <w:pPr>
        <w:pStyle w:val="91"/>
        <w:ind w:left="0" w:leftChars="0" w:firstLine="0" w:firstLineChars="0"/>
        <w:rPr>
          <w:rFonts w:ascii="Times New Roman" w:hAnsi="Times New Roman" w:cs="Times New Roman"/>
          <w:color w:val="auto"/>
          <w:highlight w:val="none"/>
        </w:rPr>
      </w:pPr>
      <w:r>
        <w:rPr>
          <w:rFonts w:ascii="Times New Roman" w:hAnsi="Times New Roman" w:cs="Times New Roman"/>
          <w:color w:val="auto"/>
          <w:highlight w:val="none"/>
        </w:rPr>
        <w:drawing>
          <wp:inline distT="0" distB="0" distL="114300" distR="114300">
            <wp:extent cx="5843905" cy="4457065"/>
            <wp:effectExtent l="0" t="0" r="4445" b="635"/>
            <wp:docPr id="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
                    <pic:cNvPicPr>
                      <a:picLocks noChangeAspect="1"/>
                    </pic:cNvPicPr>
                  </pic:nvPicPr>
                  <pic:blipFill>
                    <a:blip r:embed="rId124"/>
                    <a:stretch>
                      <a:fillRect/>
                    </a:stretch>
                  </pic:blipFill>
                  <pic:spPr>
                    <a:xfrm>
                      <a:off x="0" y="0"/>
                      <a:ext cx="5843905" cy="4457065"/>
                    </a:xfrm>
                    <a:prstGeom prst="rect">
                      <a:avLst/>
                    </a:prstGeom>
                    <a:noFill/>
                    <a:ln>
                      <a:noFill/>
                    </a:ln>
                  </pic:spPr>
                </pic:pic>
              </a:graphicData>
            </a:graphic>
          </wp:inline>
        </w:drawing>
      </w:r>
    </w:p>
    <w:p w14:paraId="039414A7">
      <w:pPr>
        <w:spacing w:line="240" w:lineRule="auto"/>
        <w:ind w:firstLine="0" w:firstLineChars="0"/>
        <w:jc w:val="center"/>
        <w:rPr>
          <w:b/>
          <w:bCs/>
          <w:color w:val="auto"/>
          <w:sz w:val="21"/>
          <w:szCs w:val="21"/>
          <w:highlight w:val="none"/>
        </w:rPr>
      </w:pPr>
      <w:r>
        <w:rPr>
          <w:b/>
          <w:bCs/>
          <w:color w:val="auto"/>
          <w:sz w:val="21"/>
          <w:szCs w:val="21"/>
          <w:highlight w:val="none"/>
        </w:rPr>
        <w:t>图4.2-4 叠加情形下</w:t>
      </w:r>
      <w:r>
        <w:rPr>
          <w:rFonts w:hint="eastAsia"/>
          <w:b/>
          <w:bCs/>
          <w:color w:val="auto"/>
          <w:sz w:val="21"/>
          <w:szCs w:val="21"/>
          <w:highlight w:val="none"/>
        </w:rPr>
        <w:t>T</w:t>
      </w:r>
      <w:r>
        <w:rPr>
          <w:b/>
          <w:bCs/>
          <w:color w:val="auto"/>
          <w:sz w:val="21"/>
          <w:szCs w:val="21"/>
          <w:highlight w:val="none"/>
        </w:rPr>
        <w:t>VOC短期质量浓度分布图（单位：μg/m</w:t>
      </w:r>
      <w:r>
        <w:rPr>
          <w:b/>
          <w:bCs/>
          <w:color w:val="auto"/>
          <w:sz w:val="21"/>
          <w:szCs w:val="21"/>
          <w:highlight w:val="none"/>
          <w:vertAlign w:val="superscript"/>
        </w:rPr>
        <w:t>3</w:t>
      </w:r>
      <w:r>
        <w:rPr>
          <w:b/>
          <w:bCs/>
          <w:color w:val="auto"/>
          <w:sz w:val="21"/>
          <w:szCs w:val="21"/>
          <w:highlight w:val="none"/>
        </w:rPr>
        <w:t>）</w:t>
      </w:r>
    </w:p>
    <w:p w14:paraId="62E8EDF5">
      <w:pPr>
        <w:widowControl/>
        <w:ind w:firstLine="480"/>
        <w:jc w:val="left"/>
        <w:rPr>
          <w:color w:val="auto"/>
          <w:highlight w:val="none"/>
        </w:rPr>
      </w:pPr>
    </w:p>
    <w:p w14:paraId="1CFDBF0D">
      <w:pPr>
        <w:widowControl/>
        <w:ind w:firstLine="480"/>
        <w:jc w:val="left"/>
        <w:rPr>
          <w:color w:val="auto"/>
          <w:highlight w:val="none"/>
        </w:rPr>
      </w:pPr>
      <w:r>
        <w:rPr>
          <w:color w:val="auto"/>
          <w:highlight w:val="none"/>
        </w:rPr>
        <w:t>③TSP的叠加预测结果</w:t>
      </w:r>
    </w:p>
    <w:p w14:paraId="4D97108A">
      <w:pPr>
        <w:ind w:firstLine="480"/>
        <w:rPr>
          <w:color w:val="auto"/>
          <w:highlight w:val="none"/>
        </w:rPr>
      </w:pPr>
      <w:r>
        <w:rPr>
          <w:color w:val="auto"/>
          <w:highlight w:val="none"/>
        </w:rPr>
        <w:t>TSP预测结果见表4.2-</w:t>
      </w:r>
      <w:r>
        <w:rPr>
          <w:rFonts w:hint="eastAsia"/>
          <w:color w:val="auto"/>
          <w:highlight w:val="none"/>
        </w:rPr>
        <w:t>17</w:t>
      </w:r>
      <w:r>
        <w:rPr>
          <w:color w:val="auto"/>
          <w:highlight w:val="none"/>
        </w:rPr>
        <w:t>，根据预测结果，TSP的日平均浓度满足《环境空气质量标准》（GB 3095-20</w:t>
      </w:r>
      <w:r>
        <w:rPr>
          <w:rFonts w:hint="eastAsia"/>
          <w:color w:val="auto"/>
          <w:highlight w:val="none"/>
        </w:rPr>
        <w:t>26</w:t>
      </w:r>
      <w:r>
        <w:rPr>
          <w:color w:val="auto"/>
          <w:highlight w:val="none"/>
        </w:rPr>
        <w:t>）二级标准要求。</w:t>
      </w:r>
    </w:p>
    <w:p w14:paraId="37626E87">
      <w:pPr>
        <w:spacing w:line="240" w:lineRule="auto"/>
        <w:ind w:firstLine="0" w:firstLineChars="0"/>
        <w:jc w:val="center"/>
        <w:rPr>
          <w:b/>
          <w:bCs/>
          <w:color w:val="auto"/>
          <w:sz w:val="21"/>
          <w:szCs w:val="21"/>
          <w:highlight w:val="none"/>
        </w:rPr>
      </w:pPr>
      <w:r>
        <w:rPr>
          <w:b/>
          <w:bCs/>
          <w:color w:val="auto"/>
          <w:sz w:val="21"/>
          <w:szCs w:val="21"/>
          <w:highlight w:val="none"/>
        </w:rPr>
        <w:t>表4.2-</w:t>
      </w:r>
      <w:r>
        <w:rPr>
          <w:rFonts w:hint="eastAsia"/>
          <w:b/>
          <w:bCs/>
          <w:color w:val="auto"/>
          <w:sz w:val="21"/>
          <w:szCs w:val="21"/>
          <w:highlight w:val="none"/>
        </w:rPr>
        <w:t>17</w:t>
      </w:r>
      <w:r>
        <w:rPr>
          <w:b/>
          <w:bCs/>
          <w:color w:val="auto"/>
          <w:sz w:val="21"/>
          <w:szCs w:val="21"/>
          <w:highlight w:val="none"/>
        </w:rPr>
        <w:t xml:space="preserve">  TSP叠加后环境质量浓度预测结果表</w:t>
      </w:r>
    </w:p>
    <w:tbl>
      <w:tblPr>
        <w:tblStyle w:val="92"/>
        <w:tblW w:w="500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2"/>
        <w:gridCol w:w="749"/>
        <w:gridCol w:w="763"/>
        <w:gridCol w:w="901"/>
        <w:gridCol w:w="946"/>
        <w:gridCol w:w="960"/>
        <w:gridCol w:w="1126"/>
        <w:gridCol w:w="1126"/>
        <w:gridCol w:w="1494"/>
        <w:gridCol w:w="661"/>
      </w:tblGrid>
      <w:tr w14:paraId="31FB40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blHeader/>
          <w:jc w:val="center"/>
        </w:trPr>
        <w:tc>
          <w:tcPr>
            <w:tcW w:w="303" w:type="pct"/>
            <w:tcBorders>
              <w:tl2br w:val="nil"/>
              <w:tr2bl w:val="nil"/>
            </w:tcBorders>
            <w:noWrap/>
            <w:vAlign w:val="center"/>
          </w:tcPr>
          <w:p w14:paraId="5636F633">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序号</w:t>
            </w:r>
          </w:p>
        </w:tc>
        <w:tc>
          <w:tcPr>
            <w:tcW w:w="403" w:type="pct"/>
            <w:tcBorders>
              <w:tl2br w:val="nil"/>
              <w:tr2bl w:val="nil"/>
            </w:tcBorders>
            <w:noWrap/>
            <w:vAlign w:val="center"/>
          </w:tcPr>
          <w:p w14:paraId="158FF578">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预测点</w:t>
            </w:r>
          </w:p>
        </w:tc>
        <w:tc>
          <w:tcPr>
            <w:tcW w:w="411" w:type="pct"/>
            <w:tcBorders>
              <w:tl2br w:val="nil"/>
              <w:tr2bl w:val="nil"/>
            </w:tcBorders>
            <w:noWrap/>
            <w:vAlign w:val="center"/>
          </w:tcPr>
          <w:p w14:paraId="4EC8C87F">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平均时段</w:t>
            </w:r>
          </w:p>
        </w:tc>
        <w:tc>
          <w:tcPr>
            <w:tcW w:w="484" w:type="pct"/>
            <w:tcBorders>
              <w:tl2br w:val="nil"/>
              <w:tr2bl w:val="nil"/>
            </w:tcBorders>
            <w:noWrap/>
            <w:vAlign w:val="center"/>
          </w:tcPr>
          <w:p w14:paraId="07C08A0E">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贡献值(μg/m</w:t>
            </w:r>
            <w:r>
              <w:rPr>
                <w:b/>
                <w:bCs/>
                <w:color w:val="auto"/>
                <w:sz w:val="21"/>
                <w:szCs w:val="21"/>
                <w:highlight w:val="none"/>
                <w:vertAlign w:val="superscript"/>
              </w:rPr>
              <w:t>3</w:t>
            </w:r>
            <w:r>
              <w:rPr>
                <w:b/>
                <w:bCs/>
                <w:color w:val="auto"/>
                <w:sz w:val="21"/>
                <w:szCs w:val="21"/>
                <w:highlight w:val="none"/>
              </w:rPr>
              <w:t>)</w:t>
            </w:r>
          </w:p>
        </w:tc>
        <w:tc>
          <w:tcPr>
            <w:tcW w:w="508" w:type="pct"/>
            <w:tcBorders>
              <w:tl2br w:val="nil"/>
              <w:tr2bl w:val="nil"/>
            </w:tcBorders>
            <w:noWrap/>
            <w:vAlign w:val="center"/>
          </w:tcPr>
          <w:p w14:paraId="007CED5E">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出现时间</w:t>
            </w:r>
          </w:p>
        </w:tc>
        <w:tc>
          <w:tcPr>
            <w:tcW w:w="516" w:type="pct"/>
            <w:tcBorders>
              <w:tl2br w:val="nil"/>
              <w:tr2bl w:val="nil"/>
            </w:tcBorders>
            <w:noWrap/>
            <w:vAlign w:val="center"/>
          </w:tcPr>
          <w:p w14:paraId="53AADE0D">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现状浓度(μg/m</w:t>
            </w:r>
            <w:r>
              <w:rPr>
                <w:b/>
                <w:bCs/>
                <w:color w:val="auto"/>
                <w:sz w:val="21"/>
                <w:szCs w:val="21"/>
                <w:highlight w:val="none"/>
                <w:vertAlign w:val="superscript"/>
              </w:rPr>
              <w:t>3</w:t>
            </w:r>
            <w:r>
              <w:rPr>
                <w:b/>
                <w:bCs/>
                <w:color w:val="auto"/>
                <w:sz w:val="21"/>
                <w:szCs w:val="21"/>
                <w:highlight w:val="none"/>
              </w:rPr>
              <w:t>)</w:t>
            </w:r>
          </w:p>
        </w:tc>
        <w:tc>
          <w:tcPr>
            <w:tcW w:w="605" w:type="pct"/>
            <w:tcBorders>
              <w:tl2br w:val="nil"/>
              <w:tr2bl w:val="nil"/>
            </w:tcBorders>
            <w:noWrap/>
            <w:vAlign w:val="center"/>
          </w:tcPr>
          <w:p w14:paraId="5D158DAF">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叠加后浓度(μg/m</w:t>
            </w:r>
            <w:r>
              <w:rPr>
                <w:b/>
                <w:bCs/>
                <w:color w:val="auto"/>
                <w:sz w:val="21"/>
                <w:szCs w:val="21"/>
                <w:highlight w:val="none"/>
                <w:vertAlign w:val="superscript"/>
              </w:rPr>
              <w:t>3</w:t>
            </w:r>
            <w:r>
              <w:rPr>
                <w:b/>
                <w:bCs/>
                <w:color w:val="auto"/>
                <w:sz w:val="21"/>
                <w:szCs w:val="21"/>
                <w:highlight w:val="none"/>
              </w:rPr>
              <w:t>)</w:t>
            </w:r>
          </w:p>
        </w:tc>
        <w:tc>
          <w:tcPr>
            <w:tcW w:w="605" w:type="pct"/>
            <w:tcBorders>
              <w:tl2br w:val="nil"/>
              <w:tr2bl w:val="nil"/>
            </w:tcBorders>
            <w:noWrap/>
            <w:vAlign w:val="center"/>
          </w:tcPr>
          <w:p w14:paraId="1EE96CA2">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评价标准(μg/m</w:t>
            </w:r>
            <w:r>
              <w:rPr>
                <w:b/>
                <w:bCs/>
                <w:color w:val="auto"/>
                <w:sz w:val="21"/>
                <w:szCs w:val="21"/>
                <w:highlight w:val="none"/>
                <w:vertAlign w:val="superscript"/>
              </w:rPr>
              <w:t>3</w:t>
            </w:r>
            <w:r>
              <w:rPr>
                <w:b/>
                <w:bCs/>
                <w:color w:val="auto"/>
                <w:sz w:val="21"/>
                <w:szCs w:val="21"/>
                <w:highlight w:val="none"/>
              </w:rPr>
              <w:t>)</w:t>
            </w:r>
          </w:p>
        </w:tc>
        <w:tc>
          <w:tcPr>
            <w:tcW w:w="803" w:type="pct"/>
            <w:tcBorders>
              <w:tl2br w:val="nil"/>
              <w:tr2bl w:val="nil"/>
            </w:tcBorders>
            <w:noWrap/>
            <w:vAlign w:val="center"/>
          </w:tcPr>
          <w:p w14:paraId="7BF95891">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占标率%(叠加背景以后)</w:t>
            </w:r>
          </w:p>
        </w:tc>
        <w:tc>
          <w:tcPr>
            <w:tcW w:w="356" w:type="pct"/>
            <w:tcBorders>
              <w:tl2br w:val="nil"/>
              <w:tr2bl w:val="nil"/>
            </w:tcBorders>
            <w:noWrap/>
            <w:vAlign w:val="center"/>
          </w:tcPr>
          <w:p w14:paraId="27C7AB16">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达标情况</w:t>
            </w:r>
          </w:p>
        </w:tc>
      </w:tr>
      <w:tr w14:paraId="07B2C0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03" w:type="pct"/>
            <w:tcBorders>
              <w:tl2br w:val="nil"/>
              <w:tr2bl w:val="nil"/>
            </w:tcBorders>
            <w:noWrap/>
            <w:vAlign w:val="center"/>
          </w:tcPr>
          <w:p w14:paraId="0EF6F7C7">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1</w:t>
            </w:r>
          </w:p>
        </w:tc>
        <w:tc>
          <w:tcPr>
            <w:tcW w:w="403" w:type="pct"/>
            <w:tcBorders>
              <w:tl2br w:val="nil"/>
              <w:tr2bl w:val="nil"/>
            </w:tcBorders>
            <w:noWrap/>
            <w:vAlign w:val="center"/>
          </w:tcPr>
          <w:p w14:paraId="338C56CC">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网格</w:t>
            </w:r>
          </w:p>
        </w:tc>
        <w:tc>
          <w:tcPr>
            <w:tcW w:w="411" w:type="pct"/>
            <w:tcBorders>
              <w:tl2br w:val="nil"/>
              <w:tr2bl w:val="nil"/>
            </w:tcBorders>
            <w:noWrap/>
            <w:vAlign w:val="center"/>
          </w:tcPr>
          <w:p w14:paraId="29EAB138">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日平均</w:t>
            </w:r>
          </w:p>
        </w:tc>
        <w:tc>
          <w:tcPr>
            <w:tcW w:w="484" w:type="pct"/>
            <w:tcBorders>
              <w:tl2br w:val="nil"/>
              <w:tr2bl w:val="nil"/>
            </w:tcBorders>
            <w:noWrap/>
            <w:vAlign w:val="center"/>
          </w:tcPr>
          <w:p w14:paraId="2B9D7468">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41.28973</w:t>
            </w:r>
          </w:p>
        </w:tc>
        <w:tc>
          <w:tcPr>
            <w:tcW w:w="508" w:type="pct"/>
            <w:tcBorders>
              <w:tl2br w:val="nil"/>
              <w:tr2bl w:val="nil"/>
            </w:tcBorders>
            <w:noWrap/>
            <w:vAlign w:val="center"/>
          </w:tcPr>
          <w:p w14:paraId="5287830F">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240531</w:t>
            </w:r>
          </w:p>
        </w:tc>
        <w:tc>
          <w:tcPr>
            <w:tcW w:w="516" w:type="pct"/>
            <w:tcBorders>
              <w:tl2br w:val="nil"/>
              <w:tr2bl w:val="nil"/>
            </w:tcBorders>
            <w:noWrap/>
            <w:vAlign w:val="center"/>
          </w:tcPr>
          <w:p w14:paraId="33BBC904">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103.0</w:t>
            </w:r>
          </w:p>
        </w:tc>
        <w:tc>
          <w:tcPr>
            <w:tcW w:w="605" w:type="pct"/>
            <w:tcBorders>
              <w:tl2br w:val="nil"/>
              <w:tr2bl w:val="nil"/>
            </w:tcBorders>
            <w:noWrap/>
            <w:vAlign w:val="center"/>
          </w:tcPr>
          <w:p w14:paraId="461B6DE1">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144.2897</w:t>
            </w:r>
          </w:p>
        </w:tc>
        <w:tc>
          <w:tcPr>
            <w:tcW w:w="605" w:type="pct"/>
            <w:tcBorders>
              <w:tl2br w:val="nil"/>
              <w:tr2bl w:val="nil"/>
            </w:tcBorders>
            <w:noWrap/>
            <w:vAlign w:val="center"/>
          </w:tcPr>
          <w:p w14:paraId="255318E5">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300.0</w:t>
            </w:r>
          </w:p>
        </w:tc>
        <w:tc>
          <w:tcPr>
            <w:tcW w:w="803" w:type="pct"/>
            <w:tcBorders>
              <w:tl2br w:val="nil"/>
              <w:tr2bl w:val="nil"/>
            </w:tcBorders>
            <w:noWrap/>
            <w:vAlign w:val="center"/>
          </w:tcPr>
          <w:p w14:paraId="7FEEDFF4">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48.</w:t>
            </w:r>
            <w:r>
              <w:rPr>
                <w:rFonts w:hint="eastAsia"/>
                <w:color w:val="auto"/>
                <w:sz w:val="21"/>
                <w:szCs w:val="21"/>
                <w:highlight w:val="none"/>
              </w:rPr>
              <w:t>1</w:t>
            </w:r>
            <w:r>
              <w:rPr>
                <w:color w:val="auto"/>
                <w:sz w:val="21"/>
                <w:szCs w:val="21"/>
                <w:highlight w:val="none"/>
              </w:rPr>
              <w:t>0</w:t>
            </w:r>
          </w:p>
        </w:tc>
        <w:tc>
          <w:tcPr>
            <w:tcW w:w="356" w:type="pct"/>
            <w:tcBorders>
              <w:tl2br w:val="nil"/>
              <w:tr2bl w:val="nil"/>
            </w:tcBorders>
            <w:noWrap/>
            <w:vAlign w:val="center"/>
          </w:tcPr>
          <w:p w14:paraId="0A12A0E2">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达标</w:t>
            </w:r>
          </w:p>
        </w:tc>
      </w:tr>
    </w:tbl>
    <w:p w14:paraId="6F97F250">
      <w:pPr>
        <w:pStyle w:val="91"/>
        <w:ind w:left="480"/>
        <w:rPr>
          <w:rFonts w:ascii="Times New Roman" w:hAnsi="Times New Roman" w:cs="Times New Roman"/>
          <w:color w:val="auto"/>
          <w:highlight w:val="none"/>
        </w:rPr>
      </w:pPr>
    </w:p>
    <w:p w14:paraId="3337CBFE">
      <w:pPr>
        <w:pStyle w:val="91"/>
        <w:ind w:left="0" w:leftChars="0" w:firstLine="0" w:firstLineChars="0"/>
        <w:rPr>
          <w:rFonts w:ascii="Times New Roman" w:hAnsi="Times New Roman" w:cs="Times New Roman"/>
          <w:color w:val="auto"/>
          <w:highlight w:val="none"/>
        </w:rPr>
      </w:pPr>
      <w:r>
        <w:rPr>
          <w:color w:val="auto"/>
          <w:highlight w:val="none"/>
        </w:rPr>
        <w:drawing>
          <wp:inline distT="0" distB="0" distL="114300" distR="114300">
            <wp:extent cx="5709285" cy="4438650"/>
            <wp:effectExtent l="0" t="0" r="5715" b="0"/>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125"/>
                    <a:stretch>
                      <a:fillRect/>
                    </a:stretch>
                  </pic:blipFill>
                  <pic:spPr>
                    <a:xfrm>
                      <a:off x="0" y="0"/>
                      <a:ext cx="5709285" cy="4438650"/>
                    </a:xfrm>
                    <a:prstGeom prst="rect">
                      <a:avLst/>
                    </a:prstGeom>
                    <a:noFill/>
                    <a:ln>
                      <a:noFill/>
                    </a:ln>
                  </pic:spPr>
                </pic:pic>
              </a:graphicData>
            </a:graphic>
          </wp:inline>
        </w:drawing>
      </w:r>
    </w:p>
    <w:p w14:paraId="7E999C85">
      <w:pPr>
        <w:spacing w:line="240" w:lineRule="auto"/>
        <w:ind w:firstLine="0" w:firstLineChars="0"/>
        <w:jc w:val="center"/>
        <w:rPr>
          <w:b/>
          <w:bCs/>
          <w:color w:val="auto"/>
          <w:sz w:val="21"/>
          <w:szCs w:val="21"/>
          <w:highlight w:val="none"/>
        </w:rPr>
      </w:pPr>
      <w:r>
        <w:rPr>
          <w:b/>
          <w:bCs/>
          <w:color w:val="auto"/>
          <w:sz w:val="21"/>
          <w:szCs w:val="21"/>
          <w:highlight w:val="none"/>
        </w:rPr>
        <w:t>图4.2-</w:t>
      </w:r>
      <w:r>
        <w:rPr>
          <w:rFonts w:hint="eastAsia"/>
          <w:b/>
          <w:bCs/>
          <w:color w:val="auto"/>
          <w:sz w:val="21"/>
          <w:szCs w:val="21"/>
          <w:highlight w:val="none"/>
        </w:rPr>
        <w:t>5</w:t>
      </w:r>
      <w:r>
        <w:rPr>
          <w:b/>
          <w:bCs/>
          <w:color w:val="auto"/>
          <w:sz w:val="21"/>
          <w:szCs w:val="21"/>
          <w:highlight w:val="none"/>
        </w:rPr>
        <w:t>叠加情形下TSP日平均质量浓度分布图（单位：μg/m</w:t>
      </w:r>
      <w:r>
        <w:rPr>
          <w:b/>
          <w:bCs/>
          <w:color w:val="auto"/>
          <w:sz w:val="21"/>
          <w:szCs w:val="21"/>
          <w:highlight w:val="none"/>
          <w:vertAlign w:val="superscript"/>
        </w:rPr>
        <w:t>3</w:t>
      </w:r>
      <w:r>
        <w:rPr>
          <w:b/>
          <w:bCs/>
          <w:color w:val="auto"/>
          <w:sz w:val="21"/>
          <w:szCs w:val="21"/>
          <w:highlight w:val="none"/>
        </w:rPr>
        <w:t>）</w:t>
      </w:r>
    </w:p>
    <w:p w14:paraId="6616A4EF">
      <w:pPr>
        <w:pStyle w:val="91"/>
        <w:ind w:left="480"/>
        <w:rPr>
          <w:rFonts w:ascii="Times New Roman" w:hAnsi="Times New Roman" w:cs="Times New Roman"/>
          <w:color w:val="auto"/>
          <w:highlight w:val="none"/>
        </w:rPr>
      </w:pPr>
    </w:p>
    <w:p w14:paraId="0DC2402A">
      <w:pPr>
        <w:pStyle w:val="533"/>
        <w:numPr>
          <w:ilvl w:val="3"/>
          <w:numId w:val="9"/>
        </w:numPr>
        <w:rPr>
          <w:color w:val="auto"/>
          <w:szCs w:val="24"/>
          <w:highlight w:val="none"/>
        </w:rPr>
      </w:pPr>
      <w:r>
        <w:rPr>
          <w:color w:val="auto"/>
          <w:szCs w:val="24"/>
          <w:highlight w:val="none"/>
        </w:rPr>
        <w:t>大气环境防护距离</w:t>
      </w:r>
    </w:p>
    <w:p w14:paraId="70244ED7">
      <w:pPr>
        <w:ind w:firstLine="480"/>
        <w:rPr>
          <w:color w:val="auto"/>
          <w:highlight w:val="none"/>
        </w:rPr>
      </w:pPr>
      <w:r>
        <w:rPr>
          <w:color w:val="auto"/>
          <w:highlight w:val="none"/>
        </w:rPr>
        <w:t>根据《环境影响评价技术导则  大气环境》（HJ 2.2-2018），对于项目厂界浓度满足大气污染物厂界浓度限值，但厂界外大气污染物短期贡献浓度超过环境质量浓度限值的，可以自厂界外设置一定范围的大气环境防护区域，以确保大气环境防护区域外的污染物贡献浓度满足环境质量标准。</w:t>
      </w:r>
    </w:p>
    <w:p w14:paraId="3BF1882A">
      <w:pPr>
        <w:pStyle w:val="11"/>
        <w:numPr>
          <w:ilvl w:val="0"/>
          <w:numId w:val="0"/>
        </w:numPr>
        <w:spacing w:before="0" w:after="0" w:line="360" w:lineRule="auto"/>
        <w:ind w:firstLine="482" w:firstLineChars="200"/>
        <w:rPr>
          <w:color w:val="auto"/>
          <w:sz w:val="24"/>
          <w:szCs w:val="24"/>
          <w:highlight w:val="none"/>
        </w:rPr>
      </w:pPr>
      <w:r>
        <w:rPr>
          <w:color w:val="auto"/>
          <w:sz w:val="24"/>
          <w:szCs w:val="24"/>
          <w:highlight w:val="none"/>
        </w:rPr>
        <w:t>（1）污染物厂界达标分析</w:t>
      </w:r>
    </w:p>
    <w:p w14:paraId="3C01890D">
      <w:pPr>
        <w:ind w:firstLine="480"/>
        <w:rPr>
          <w:color w:val="auto"/>
          <w:highlight w:val="none"/>
        </w:rPr>
      </w:pPr>
      <w:r>
        <w:rPr>
          <w:rFonts w:hint="eastAsia"/>
          <w:color w:val="auto"/>
          <w:highlight w:val="none"/>
          <w:lang w:eastAsia="zh-CN"/>
        </w:rPr>
        <w:t>项目污染源叠加全厂现有工程无组织排放的</w:t>
      </w:r>
      <w:r>
        <w:rPr>
          <w:color w:val="auto"/>
          <w:highlight w:val="none"/>
        </w:rPr>
        <w:t>污染</w:t>
      </w:r>
      <w:r>
        <w:rPr>
          <w:rFonts w:hint="eastAsia"/>
          <w:color w:val="auto"/>
          <w:highlight w:val="none"/>
          <w:lang w:eastAsia="zh-CN"/>
        </w:rPr>
        <w:t>源后，</w:t>
      </w:r>
      <w:r>
        <w:rPr>
          <w:color w:val="auto"/>
          <w:highlight w:val="none"/>
        </w:rPr>
        <w:t>厂界浓度预测结果见下表。</w:t>
      </w:r>
    </w:p>
    <w:p w14:paraId="21F390BD">
      <w:pPr>
        <w:spacing w:line="240" w:lineRule="auto"/>
        <w:ind w:firstLine="0" w:firstLineChars="0"/>
        <w:jc w:val="center"/>
        <w:rPr>
          <w:b/>
          <w:color w:val="auto"/>
          <w:sz w:val="21"/>
          <w:szCs w:val="21"/>
          <w:highlight w:val="none"/>
        </w:rPr>
      </w:pPr>
      <w:r>
        <w:rPr>
          <w:b/>
          <w:color w:val="auto"/>
          <w:sz w:val="21"/>
          <w:szCs w:val="21"/>
          <w:highlight w:val="none"/>
        </w:rPr>
        <w:t>表4.2-</w:t>
      </w:r>
      <w:r>
        <w:rPr>
          <w:rFonts w:hint="eastAsia"/>
          <w:b/>
          <w:color w:val="auto"/>
          <w:sz w:val="21"/>
          <w:szCs w:val="21"/>
          <w:highlight w:val="none"/>
        </w:rPr>
        <w:t>18</w:t>
      </w:r>
      <w:r>
        <w:rPr>
          <w:b/>
          <w:color w:val="auto"/>
          <w:sz w:val="21"/>
          <w:szCs w:val="21"/>
          <w:highlight w:val="none"/>
        </w:rPr>
        <w:t xml:space="preserve"> 项目大气污染物厂界达标情况一览表</w:t>
      </w:r>
    </w:p>
    <w:tbl>
      <w:tblPr>
        <w:tblStyle w:val="9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8"/>
        <w:gridCol w:w="1420"/>
        <w:gridCol w:w="1275"/>
        <w:gridCol w:w="1983"/>
        <w:gridCol w:w="2386"/>
        <w:gridCol w:w="1554"/>
      </w:tblGrid>
      <w:tr w14:paraId="6E767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0" w:type="pct"/>
            <w:tcBorders>
              <w:top w:val="single" w:color="auto" w:sz="12" w:space="0"/>
              <w:left w:val="nil"/>
              <w:bottom w:val="single" w:color="auto" w:sz="4" w:space="0"/>
              <w:right w:val="single" w:color="auto" w:sz="4" w:space="0"/>
            </w:tcBorders>
            <w:vAlign w:val="center"/>
          </w:tcPr>
          <w:p w14:paraId="18047469">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序号</w:t>
            </w:r>
          </w:p>
        </w:tc>
        <w:tc>
          <w:tcPr>
            <w:tcW w:w="764" w:type="pct"/>
            <w:tcBorders>
              <w:top w:val="single" w:color="auto" w:sz="12" w:space="0"/>
              <w:left w:val="single" w:color="auto" w:sz="4" w:space="0"/>
              <w:bottom w:val="single" w:color="auto" w:sz="4" w:space="0"/>
              <w:right w:val="single" w:color="auto" w:sz="4" w:space="0"/>
            </w:tcBorders>
            <w:vAlign w:val="center"/>
          </w:tcPr>
          <w:p w14:paraId="7DF29A23">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污染因子</w:t>
            </w:r>
          </w:p>
        </w:tc>
        <w:tc>
          <w:tcPr>
            <w:tcW w:w="686" w:type="pct"/>
            <w:tcBorders>
              <w:top w:val="single" w:color="auto" w:sz="12" w:space="0"/>
              <w:left w:val="single" w:color="auto" w:sz="4" w:space="0"/>
              <w:bottom w:val="single" w:color="auto" w:sz="4" w:space="0"/>
              <w:right w:val="single" w:color="auto" w:sz="4" w:space="0"/>
            </w:tcBorders>
            <w:vAlign w:val="center"/>
          </w:tcPr>
          <w:p w14:paraId="5F10212E">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平均时段</w:t>
            </w:r>
          </w:p>
        </w:tc>
        <w:tc>
          <w:tcPr>
            <w:tcW w:w="1067" w:type="pct"/>
            <w:tcBorders>
              <w:top w:val="single" w:color="auto" w:sz="12" w:space="0"/>
              <w:left w:val="single" w:color="auto" w:sz="4" w:space="0"/>
              <w:bottom w:val="single" w:color="auto" w:sz="4" w:space="0"/>
              <w:right w:val="single" w:color="auto" w:sz="4" w:space="0"/>
            </w:tcBorders>
            <w:vAlign w:val="center"/>
          </w:tcPr>
          <w:p w14:paraId="08D5D448">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厂界浓度贡献值（μg/m</w:t>
            </w:r>
            <w:r>
              <w:rPr>
                <w:b/>
                <w:bCs/>
                <w:color w:val="auto"/>
                <w:sz w:val="21"/>
                <w:szCs w:val="21"/>
                <w:highlight w:val="none"/>
                <w:vertAlign w:val="superscript"/>
              </w:rPr>
              <w:t>3</w:t>
            </w:r>
            <w:r>
              <w:rPr>
                <w:b/>
                <w:bCs/>
                <w:color w:val="auto"/>
                <w:sz w:val="21"/>
                <w:szCs w:val="21"/>
                <w:highlight w:val="none"/>
              </w:rPr>
              <w:t>）</w:t>
            </w:r>
          </w:p>
        </w:tc>
        <w:tc>
          <w:tcPr>
            <w:tcW w:w="1284" w:type="pct"/>
            <w:tcBorders>
              <w:top w:val="single" w:color="auto" w:sz="12" w:space="0"/>
              <w:left w:val="single" w:color="auto" w:sz="4" w:space="0"/>
              <w:bottom w:val="single" w:color="auto" w:sz="4" w:space="0"/>
              <w:right w:val="single" w:color="auto" w:sz="4" w:space="0"/>
            </w:tcBorders>
            <w:vAlign w:val="center"/>
          </w:tcPr>
          <w:p w14:paraId="0E3D7738">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无组织排放监控限值（μg/m</w:t>
            </w:r>
            <w:r>
              <w:rPr>
                <w:b/>
                <w:bCs/>
                <w:color w:val="auto"/>
                <w:sz w:val="21"/>
                <w:szCs w:val="21"/>
                <w:highlight w:val="none"/>
                <w:vertAlign w:val="superscript"/>
              </w:rPr>
              <w:t>3</w:t>
            </w:r>
            <w:r>
              <w:rPr>
                <w:b/>
                <w:bCs/>
                <w:color w:val="auto"/>
                <w:sz w:val="21"/>
                <w:szCs w:val="21"/>
                <w:highlight w:val="none"/>
              </w:rPr>
              <w:t>）</w:t>
            </w:r>
          </w:p>
        </w:tc>
        <w:tc>
          <w:tcPr>
            <w:tcW w:w="836" w:type="pct"/>
            <w:tcBorders>
              <w:top w:val="single" w:color="auto" w:sz="12" w:space="0"/>
              <w:left w:val="single" w:color="auto" w:sz="4" w:space="0"/>
              <w:bottom w:val="single" w:color="auto" w:sz="4" w:space="0"/>
              <w:right w:val="nil"/>
            </w:tcBorders>
            <w:vAlign w:val="center"/>
          </w:tcPr>
          <w:p w14:paraId="6713677F">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达标情况</w:t>
            </w:r>
          </w:p>
        </w:tc>
      </w:tr>
      <w:tr w14:paraId="54A30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0" w:type="pct"/>
            <w:tcBorders>
              <w:top w:val="single" w:color="auto" w:sz="4" w:space="0"/>
              <w:left w:val="nil"/>
              <w:bottom w:val="single" w:color="auto" w:sz="4" w:space="0"/>
              <w:right w:val="single" w:color="auto" w:sz="4" w:space="0"/>
            </w:tcBorders>
            <w:vAlign w:val="center"/>
          </w:tcPr>
          <w:p w14:paraId="50BDC794">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1</w:t>
            </w:r>
          </w:p>
        </w:tc>
        <w:tc>
          <w:tcPr>
            <w:tcW w:w="764" w:type="pct"/>
            <w:tcBorders>
              <w:top w:val="single" w:color="auto" w:sz="4" w:space="0"/>
              <w:left w:val="single" w:color="auto" w:sz="4" w:space="0"/>
              <w:bottom w:val="single" w:color="auto" w:sz="4" w:space="0"/>
              <w:right w:val="single" w:color="auto" w:sz="4" w:space="0"/>
            </w:tcBorders>
            <w:vAlign w:val="center"/>
          </w:tcPr>
          <w:p w14:paraId="1B9E61BE">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二甲苯</w:t>
            </w:r>
          </w:p>
        </w:tc>
        <w:tc>
          <w:tcPr>
            <w:tcW w:w="686" w:type="pct"/>
            <w:tcBorders>
              <w:top w:val="single" w:color="auto" w:sz="4" w:space="0"/>
              <w:left w:val="single" w:color="auto" w:sz="4" w:space="0"/>
              <w:bottom w:val="single" w:color="auto" w:sz="4" w:space="0"/>
              <w:right w:val="single" w:color="auto" w:sz="4" w:space="0"/>
            </w:tcBorders>
            <w:vAlign w:val="center"/>
          </w:tcPr>
          <w:p w14:paraId="26187BDC">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1小时平均</w:t>
            </w:r>
          </w:p>
        </w:tc>
        <w:tc>
          <w:tcPr>
            <w:tcW w:w="1067" w:type="pct"/>
            <w:tcBorders>
              <w:top w:val="single" w:color="auto" w:sz="4" w:space="0"/>
              <w:left w:val="single" w:color="auto" w:sz="4" w:space="0"/>
              <w:bottom w:val="single" w:color="auto" w:sz="4" w:space="0"/>
              <w:right w:val="single" w:color="auto" w:sz="4" w:space="0"/>
            </w:tcBorders>
            <w:vAlign w:val="center"/>
          </w:tcPr>
          <w:p w14:paraId="1454657D">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rPr>
              <w:t>125.9529</w:t>
            </w:r>
          </w:p>
        </w:tc>
        <w:tc>
          <w:tcPr>
            <w:tcW w:w="1284" w:type="pct"/>
            <w:tcBorders>
              <w:top w:val="single" w:color="auto" w:sz="4" w:space="0"/>
              <w:left w:val="single" w:color="auto" w:sz="4" w:space="0"/>
              <w:bottom w:val="single" w:color="auto" w:sz="4" w:space="0"/>
              <w:right w:val="single" w:color="auto" w:sz="4" w:space="0"/>
            </w:tcBorders>
            <w:vAlign w:val="center"/>
          </w:tcPr>
          <w:p w14:paraId="04C63997">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1200</w:t>
            </w:r>
          </w:p>
        </w:tc>
        <w:tc>
          <w:tcPr>
            <w:tcW w:w="836" w:type="pct"/>
            <w:tcBorders>
              <w:top w:val="single" w:color="auto" w:sz="4" w:space="0"/>
              <w:left w:val="single" w:color="auto" w:sz="4" w:space="0"/>
              <w:bottom w:val="single" w:color="auto" w:sz="4" w:space="0"/>
              <w:right w:val="nil"/>
            </w:tcBorders>
            <w:vAlign w:val="center"/>
          </w:tcPr>
          <w:p w14:paraId="439C0CC7">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达标</w:t>
            </w:r>
          </w:p>
        </w:tc>
      </w:tr>
      <w:tr w14:paraId="054D8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0" w:type="pct"/>
            <w:tcBorders>
              <w:top w:val="single" w:color="auto" w:sz="4" w:space="0"/>
              <w:left w:val="nil"/>
              <w:bottom w:val="single" w:color="auto" w:sz="4" w:space="0"/>
              <w:right w:val="single" w:color="auto" w:sz="4" w:space="0"/>
            </w:tcBorders>
            <w:vAlign w:val="center"/>
          </w:tcPr>
          <w:p w14:paraId="0E4DA896">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2</w:t>
            </w:r>
          </w:p>
        </w:tc>
        <w:tc>
          <w:tcPr>
            <w:tcW w:w="764" w:type="pct"/>
            <w:tcBorders>
              <w:top w:val="single" w:color="auto" w:sz="4" w:space="0"/>
              <w:left w:val="single" w:color="auto" w:sz="4" w:space="0"/>
              <w:bottom w:val="single" w:color="auto" w:sz="4" w:space="0"/>
              <w:right w:val="single" w:color="auto" w:sz="4" w:space="0"/>
            </w:tcBorders>
            <w:vAlign w:val="center"/>
          </w:tcPr>
          <w:p w14:paraId="54493B96">
            <w:pPr>
              <w:widowControl/>
              <w:spacing w:line="240" w:lineRule="auto"/>
              <w:ind w:left="-72" w:leftChars="-30" w:right="-72" w:rightChars="-30" w:firstLine="0" w:firstLineChars="0"/>
              <w:jc w:val="center"/>
              <w:textAlignment w:val="center"/>
              <w:rPr>
                <w:color w:val="auto"/>
                <w:sz w:val="21"/>
                <w:szCs w:val="21"/>
                <w:highlight w:val="none"/>
              </w:rPr>
            </w:pPr>
            <w:r>
              <w:rPr>
                <w:rFonts w:hint="eastAsia"/>
                <w:color w:val="auto"/>
                <w:sz w:val="21"/>
                <w:szCs w:val="21"/>
                <w:highlight w:val="none"/>
              </w:rPr>
              <w:t>T</w:t>
            </w:r>
            <w:r>
              <w:rPr>
                <w:color w:val="auto"/>
                <w:sz w:val="21"/>
                <w:szCs w:val="21"/>
                <w:highlight w:val="none"/>
              </w:rPr>
              <w:t>VOC</w:t>
            </w:r>
          </w:p>
        </w:tc>
        <w:tc>
          <w:tcPr>
            <w:tcW w:w="686" w:type="pct"/>
            <w:tcBorders>
              <w:top w:val="single" w:color="auto" w:sz="4" w:space="0"/>
              <w:left w:val="single" w:color="auto" w:sz="4" w:space="0"/>
              <w:bottom w:val="single" w:color="auto" w:sz="4" w:space="0"/>
              <w:right w:val="single" w:color="auto" w:sz="4" w:space="0"/>
            </w:tcBorders>
            <w:vAlign w:val="center"/>
          </w:tcPr>
          <w:p w14:paraId="187FD312">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1小时平均</w:t>
            </w:r>
          </w:p>
        </w:tc>
        <w:tc>
          <w:tcPr>
            <w:tcW w:w="1067" w:type="pct"/>
            <w:tcBorders>
              <w:top w:val="single" w:color="auto" w:sz="4" w:space="0"/>
              <w:left w:val="single" w:color="auto" w:sz="4" w:space="0"/>
              <w:bottom w:val="single" w:color="auto" w:sz="4" w:space="0"/>
              <w:right w:val="single" w:color="auto" w:sz="4" w:space="0"/>
            </w:tcBorders>
            <w:vAlign w:val="center"/>
          </w:tcPr>
          <w:p w14:paraId="7AD10A64">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rPr>
              <w:t>503.8118</w:t>
            </w:r>
          </w:p>
        </w:tc>
        <w:tc>
          <w:tcPr>
            <w:tcW w:w="1284" w:type="pct"/>
            <w:tcBorders>
              <w:top w:val="single" w:color="auto" w:sz="4" w:space="0"/>
              <w:left w:val="single" w:color="auto" w:sz="4" w:space="0"/>
              <w:bottom w:val="single" w:color="auto" w:sz="4" w:space="0"/>
              <w:right w:val="single" w:color="auto" w:sz="4" w:space="0"/>
            </w:tcBorders>
            <w:vAlign w:val="center"/>
          </w:tcPr>
          <w:p w14:paraId="408888A7">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10000</w:t>
            </w:r>
          </w:p>
        </w:tc>
        <w:tc>
          <w:tcPr>
            <w:tcW w:w="836" w:type="pct"/>
            <w:tcBorders>
              <w:top w:val="single" w:color="auto" w:sz="4" w:space="0"/>
              <w:left w:val="single" w:color="auto" w:sz="4" w:space="0"/>
              <w:bottom w:val="single" w:color="auto" w:sz="4" w:space="0"/>
              <w:right w:val="nil"/>
            </w:tcBorders>
            <w:vAlign w:val="center"/>
          </w:tcPr>
          <w:p w14:paraId="50EF3EEA">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达标</w:t>
            </w:r>
          </w:p>
        </w:tc>
      </w:tr>
      <w:tr w14:paraId="7E742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0" w:type="pct"/>
            <w:tcBorders>
              <w:top w:val="single" w:color="auto" w:sz="4" w:space="0"/>
              <w:left w:val="nil"/>
              <w:bottom w:val="single" w:color="auto" w:sz="12" w:space="0"/>
              <w:right w:val="single" w:color="auto" w:sz="4" w:space="0"/>
            </w:tcBorders>
            <w:vAlign w:val="center"/>
          </w:tcPr>
          <w:p w14:paraId="0A0582F1">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3</w:t>
            </w:r>
          </w:p>
        </w:tc>
        <w:tc>
          <w:tcPr>
            <w:tcW w:w="764" w:type="pct"/>
            <w:tcBorders>
              <w:top w:val="single" w:color="auto" w:sz="4" w:space="0"/>
              <w:left w:val="single" w:color="auto" w:sz="4" w:space="0"/>
              <w:bottom w:val="single" w:color="auto" w:sz="12" w:space="0"/>
              <w:right w:val="single" w:color="auto" w:sz="4" w:space="0"/>
            </w:tcBorders>
            <w:vAlign w:val="center"/>
          </w:tcPr>
          <w:p w14:paraId="107D1C30">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TSP</w:t>
            </w:r>
          </w:p>
        </w:tc>
        <w:tc>
          <w:tcPr>
            <w:tcW w:w="686" w:type="pct"/>
            <w:tcBorders>
              <w:top w:val="single" w:color="auto" w:sz="4" w:space="0"/>
              <w:left w:val="single" w:color="auto" w:sz="4" w:space="0"/>
              <w:bottom w:val="single" w:color="auto" w:sz="12" w:space="0"/>
              <w:right w:val="single" w:color="auto" w:sz="4" w:space="0"/>
            </w:tcBorders>
            <w:vAlign w:val="center"/>
          </w:tcPr>
          <w:p w14:paraId="2AAF1F9A">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1小时平均</w:t>
            </w:r>
          </w:p>
        </w:tc>
        <w:tc>
          <w:tcPr>
            <w:tcW w:w="1067" w:type="pct"/>
            <w:tcBorders>
              <w:top w:val="single" w:color="auto" w:sz="4" w:space="0"/>
              <w:left w:val="single" w:color="auto" w:sz="4" w:space="0"/>
              <w:bottom w:val="single" w:color="auto" w:sz="12" w:space="0"/>
              <w:right w:val="single" w:color="auto" w:sz="4" w:space="0"/>
            </w:tcBorders>
            <w:vAlign w:val="center"/>
          </w:tcPr>
          <w:p w14:paraId="1B5C1956">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rPr>
              <w:t>371.9525</w:t>
            </w:r>
          </w:p>
        </w:tc>
        <w:tc>
          <w:tcPr>
            <w:tcW w:w="1284" w:type="pct"/>
            <w:tcBorders>
              <w:top w:val="single" w:color="auto" w:sz="4" w:space="0"/>
              <w:left w:val="single" w:color="auto" w:sz="4" w:space="0"/>
              <w:bottom w:val="single" w:color="auto" w:sz="12" w:space="0"/>
              <w:right w:val="single" w:color="auto" w:sz="4" w:space="0"/>
            </w:tcBorders>
            <w:vAlign w:val="center"/>
          </w:tcPr>
          <w:p w14:paraId="3744A92C">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1000</w:t>
            </w:r>
          </w:p>
        </w:tc>
        <w:tc>
          <w:tcPr>
            <w:tcW w:w="836" w:type="pct"/>
            <w:tcBorders>
              <w:top w:val="single" w:color="auto" w:sz="4" w:space="0"/>
              <w:left w:val="single" w:color="auto" w:sz="4" w:space="0"/>
              <w:bottom w:val="single" w:color="auto" w:sz="12" w:space="0"/>
              <w:right w:val="nil"/>
            </w:tcBorders>
            <w:vAlign w:val="center"/>
          </w:tcPr>
          <w:p w14:paraId="601AC7E9">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达标</w:t>
            </w:r>
          </w:p>
        </w:tc>
      </w:tr>
    </w:tbl>
    <w:p w14:paraId="4931AF4D">
      <w:pPr>
        <w:ind w:firstLine="480"/>
        <w:rPr>
          <w:color w:val="auto"/>
          <w:highlight w:val="none"/>
        </w:rPr>
      </w:pPr>
      <w:r>
        <w:rPr>
          <w:color w:val="auto"/>
          <w:highlight w:val="none"/>
        </w:rPr>
        <w:t>根据预测，二甲苯、TSP大气污染物厂界排放浓度满足《大气污染物综合排放标准》（GB16297-1996）表2 二级标准无组织排放限值，厂界内非甲烷总烃排放浓度满足《挥发性有机物无组织排放控制标准》（GB37822-2019）表 A.1 无组织排放限值。</w:t>
      </w:r>
    </w:p>
    <w:p w14:paraId="121EED86">
      <w:pPr>
        <w:pStyle w:val="11"/>
        <w:numPr>
          <w:ilvl w:val="0"/>
          <w:numId w:val="0"/>
        </w:numPr>
        <w:spacing w:before="0" w:after="0" w:line="360" w:lineRule="auto"/>
        <w:ind w:firstLine="482" w:firstLineChars="200"/>
        <w:rPr>
          <w:color w:val="auto"/>
          <w:sz w:val="24"/>
          <w:szCs w:val="24"/>
          <w:highlight w:val="none"/>
        </w:rPr>
      </w:pPr>
      <w:r>
        <w:rPr>
          <w:color w:val="auto"/>
          <w:sz w:val="24"/>
          <w:szCs w:val="24"/>
          <w:highlight w:val="none"/>
        </w:rPr>
        <w:t>（2）厂界外大气污染物短期贡献浓度</w:t>
      </w:r>
    </w:p>
    <w:p w14:paraId="478AEB45">
      <w:pPr>
        <w:ind w:firstLine="480"/>
        <w:rPr>
          <w:color w:val="auto"/>
          <w:highlight w:val="none"/>
        </w:rPr>
      </w:pPr>
      <w:r>
        <w:rPr>
          <w:color w:val="auto"/>
          <w:highlight w:val="none"/>
        </w:rPr>
        <w:t>采用进一步预测模型模拟评价基准年内，本项目所有污染源</w:t>
      </w:r>
      <w:r>
        <w:rPr>
          <w:rFonts w:hint="eastAsia"/>
          <w:color w:val="auto"/>
          <w:highlight w:val="none"/>
          <w:lang w:eastAsia="zh-CN"/>
        </w:rPr>
        <w:t>叠加全厂现有工程无组织排放的</w:t>
      </w:r>
      <w:r>
        <w:rPr>
          <w:color w:val="auto"/>
          <w:highlight w:val="none"/>
        </w:rPr>
        <w:t>污染</w:t>
      </w:r>
      <w:r>
        <w:rPr>
          <w:rFonts w:hint="eastAsia"/>
          <w:color w:val="auto"/>
          <w:highlight w:val="none"/>
          <w:lang w:eastAsia="zh-CN"/>
        </w:rPr>
        <w:t>源</w:t>
      </w:r>
      <w:r>
        <w:rPr>
          <w:color w:val="auto"/>
          <w:highlight w:val="none"/>
        </w:rPr>
        <w:t>对厂界外主要污染物的短期贡献浓度分布。根据《环境影响评价技术导则 大气环境》（HJ 2.2-2018），使用环境保护部评估中心推荐的进一步预测模型（AERMOD），预测拟建项目污染源厂址附近网格点二甲苯、</w:t>
      </w:r>
      <w:r>
        <w:rPr>
          <w:rFonts w:hint="eastAsia"/>
          <w:color w:val="auto"/>
          <w:highlight w:val="none"/>
        </w:rPr>
        <w:t>T</w:t>
      </w:r>
      <w:r>
        <w:rPr>
          <w:color w:val="auto"/>
          <w:highlight w:val="none"/>
        </w:rPr>
        <w:t>VOC、TSP短期浓度占标率，厂界外（1km范围）预测网格分辨率取50m，预测计算点数总计1681个点。</w:t>
      </w:r>
    </w:p>
    <w:p w14:paraId="37709BBF">
      <w:pPr>
        <w:spacing w:line="240" w:lineRule="auto"/>
        <w:ind w:firstLine="0" w:firstLineChars="0"/>
        <w:jc w:val="center"/>
        <w:rPr>
          <w:b/>
          <w:color w:val="auto"/>
          <w:sz w:val="21"/>
          <w:szCs w:val="21"/>
          <w:highlight w:val="none"/>
        </w:rPr>
      </w:pPr>
      <w:r>
        <w:rPr>
          <w:b/>
          <w:color w:val="auto"/>
          <w:sz w:val="21"/>
          <w:szCs w:val="21"/>
          <w:highlight w:val="none"/>
        </w:rPr>
        <w:t>表4.2-</w:t>
      </w:r>
      <w:r>
        <w:rPr>
          <w:rFonts w:hint="eastAsia"/>
          <w:b/>
          <w:color w:val="auto"/>
          <w:sz w:val="21"/>
          <w:szCs w:val="21"/>
          <w:highlight w:val="none"/>
        </w:rPr>
        <w:t>19</w:t>
      </w:r>
      <w:r>
        <w:rPr>
          <w:b/>
          <w:color w:val="auto"/>
          <w:sz w:val="21"/>
          <w:szCs w:val="21"/>
          <w:highlight w:val="none"/>
        </w:rPr>
        <w:t xml:space="preserve"> 项目厂界外主要污染物的短期贡献浓度预测情况一览表</w:t>
      </w:r>
    </w:p>
    <w:tbl>
      <w:tblPr>
        <w:tblStyle w:val="9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7"/>
        <w:gridCol w:w="1420"/>
        <w:gridCol w:w="1686"/>
        <w:gridCol w:w="2323"/>
        <w:gridCol w:w="1948"/>
        <w:gridCol w:w="1242"/>
      </w:tblGrid>
      <w:tr w14:paraId="1C3434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9" w:type="pct"/>
            <w:tcBorders>
              <w:tl2br w:val="nil"/>
              <w:tr2bl w:val="nil"/>
            </w:tcBorders>
            <w:vAlign w:val="center"/>
          </w:tcPr>
          <w:p w14:paraId="7613B484">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序号</w:t>
            </w:r>
          </w:p>
        </w:tc>
        <w:tc>
          <w:tcPr>
            <w:tcW w:w="764" w:type="pct"/>
            <w:tcBorders>
              <w:tl2br w:val="nil"/>
              <w:tr2bl w:val="nil"/>
            </w:tcBorders>
            <w:vAlign w:val="center"/>
          </w:tcPr>
          <w:p w14:paraId="6D012CC1">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污染因子</w:t>
            </w:r>
          </w:p>
        </w:tc>
        <w:tc>
          <w:tcPr>
            <w:tcW w:w="907" w:type="pct"/>
            <w:tcBorders>
              <w:tl2br w:val="nil"/>
              <w:tr2bl w:val="nil"/>
            </w:tcBorders>
            <w:vAlign w:val="center"/>
          </w:tcPr>
          <w:p w14:paraId="611ECB3E">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平均时段</w:t>
            </w:r>
          </w:p>
        </w:tc>
        <w:tc>
          <w:tcPr>
            <w:tcW w:w="1250" w:type="pct"/>
            <w:tcBorders>
              <w:tl2br w:val="nil"/>
              <w:tr2bl w:val="nil"/>
            </w:tcBorders>
            <w:vAlign w:val="center"/>
          </w:tcPr>
          <w:p w14:paraId="7567EF59">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厂界外最大浓度贡献值（μg/m</w:t>
            </w:r>
            <w:r>
              <w:rPr>
                <w:b/>
                <w:bCs/>
                <w:color w:val="auto"/>
                <w:sz w:val="21"/>
                <w:szCs w:val="21"/>
                <w:highlight w:val="none"/>
                <w:vertAlign w:val="superscript"/>
              </w:rPr>
              <w:t>3</w:t>
            </w:r>
            <w:r>
              <w:rPr>
                <w:b/>
                <w:bCs/>
                <w:color w:val="auto"/>
                <w:sz w:val="21"/>
                <w:szCs w:val="21"/>
                <w:highlight w:val="none"/>
              </w:rPr>
              <w:t>）</w:t>
            </w:r>
          </w:p>
        </w:tc>
        <w:tc>
          <w:tcPr>
            <w:tcW w:w="1048" w:type="pct"/>
            <w:tcBorders>
              <w:tl2br w:val="nil"/>
              <w:tr2bl w:val="nil"/>
            </w:tcBorders>
            <w:vAlign w:val="center"/>
          </w:tcPr>
          <w:p w14:paraId="2F5623C4">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标准限值（μg/m</w:t>
            </w:r>
            <w:r>
              <w:rPr>
                <w:b/>
                <w:bCs/>
                <w:color w:val="auto"/>
                <w:sz w:val="21"/>
                <w:szCs w:val="21"/>
                <w:highlight w:val="none"/>
                <w:vertAlign w:val="superscript"/>
              </w:rPr>
              <w:t>3</w:t>
            </w:r>
            <w:r>
              <w:rPr>
                <w:b/>
                <w:bCs/>
                <w:color w:val="auto"/>
                <w:sz w:val="21"/>
                <w:szCs w:val="21"/>
                <w:highlight w:val="none"/>
              </w:rPr>
              <w:t>）</w:t>
            </w:r>
          </w:p>
        </w:tc>
        <w:tc>
          <w:tcPr>
            <w:tcW w:w="668" w:type="pct"/>
            <w:tcBorders>
              <w:tl2br w:val="nil"/>
              <w:tr2bl w:val="nil"/>
            </w:tcBorders>
            <w:vAlign w:val="center"/>
          </w:tcPr>
          <w:p w14:paraId="16A6E88D">
            <w:pPr>
              <w:widowControl/>
              <w:spacing w:line="240" w:lineRule="auto"/>
              <w:ind w:left="-72" w:leftChars="-30" w:right="-72" w:rightChars="-30" w:firstLine="0" w:firstLineChars="0"/>
              <w:jc w:val="center"/>
              <w:textAlignment w:val="center"/>
              <w:rPr>
                <w:b/>
                <w:bCs/>
                <w:color w:val="auto"/>
                <w:sz w:val="21"/>
                <w:szCs w:val="21"/>
                <w:highlight w:val="none"/>
              </w:rPr>
            </w:pPr>
            <w:r>
              <w:rPr>
                <w:b/>
                <w:bCs/>
                <w:color w:val="auto"/>
                <w:sz w:val="21"/>
                <w:szCs w:val="21"/>
                <w:highlight w:val="none"/>
              </w:rPr>
              <w:t>达标情况</w:t>
            </w:r>
          </w:p>
        </w:tc>
      </w:tr>
      <w:tr w14:paraId="4C1A3F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9" w:type="pct"/>
            <w:tcBorders>
              <w:tl2br w:val="nil"/>
              <w:tr2bl w:val="nil"/>
            </w:tcBorders>
            <w:vAlign w:val="center"/>
          </w:tcPr>
          <w:p w14:paraId="19D2C772">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3</w:t>
            </w:r>
          </w:p>
        </w:tc>
        <w:tc>
          <w:tcPr>
            <w:tcW w:w="764" w:type="pct"/>
            <w:tcBorders>
              <w:tl2br w:val="nil"/>
              <w:tr2bl w:val="nil"/>
            </w:tcBorders>
            <w:vAlign w:val="center"/>
          </w:tcPr>
          <w:p w14:paraId="463A2F8A">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二甲苯</w:t>
            </w:r>
          </w:p>
        </w:tc>
        <w:tc>
          <w:tcPr>
            <w:tcW w:w="907" w:type="pct"/>
            <w:tcBorders>
              <w:tl2br w:val="nil"/>
              <w:tr2bl w:val="nil"/>
            </w:tcBorders>
            <w:vAlign w:val="center"/>
          </w:tcPr>
          <w:p w14:paraId="413E93C7">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1小时平均</w:t>
            </w:r>
          </w:p>
        </w:tc>
        <w:tc>
          <w:tcPr>
            <w:tcW w:w="1250" w:type="pct"/>
            <w:tcBorders>
              <w:tl2br w:val="nil"/>
              <w:tr2bl w:val="nil"/>
            </w:tcBorders>
            <w:vAlign w:val="center"/>
          </w:tcPr>
          <w:p w14:paraId="18B8208C">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rPr>
              <w:t>177.1277</w:t>
            </w:r>
          </w:p>
        </w:tc>
        <w:tc>
          <w:tcPr>
            <w:tcW w:w="1048" w:type="pct"/>
            <w:tcBorders>
              <w:tl2br w:val="nil"/>
              <w:tr2bl w:val="nil"/>
            </w:tcBorders>
            <w:vAlign w:val="center"/>
          </w:tcPr>
          <w:p w14:paraId="6AC559DF">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200</w:t>
            </w:r>
          </w:p>
        </w:tc>
        <w:tc>
          <w:tcPr>
            <w:tcW w:w="668" w:type="pct"/>
            <w:tcBorders>
              <w:tl2br w:val="nil"/>
              <w:tr2bl w:val="nil"/>
            </w:tcBorders>
            <w:vAlign w:val="center"/>
          </w:tcPr>
          <w:p w14:paraId="3015B700">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达标</w:t>
            </w:r>
          </w:p>
        </w:tc>
      </w:tr>
      <w:tr w14:paraId="4D63A5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9" w:type="pct"/>
            <w:tcBorders>
              <w:tl2br w:val="nil"/>
              <w:tr2bl w:val="nil"/>
            </w:tcBorders>
            <w:vAlign w:val="center"/>
          </w:tcPr>
          <w:p w14:paraId="26053282">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4</w:t>
            </w:r>
          </w:p>
        </w:tc>
        <w:tc>
          <w:tcPr>
            <w:tcW w:w="764" w:type="pct"/>
            <w:tcBorders>
              <w:tl2br w:val="nil"/>
              <w:tr2bl w:val="nil"/>
            </w:tcBorders>
            <w:vAlign w:val="center"/>
          </w:tcPr>
          <w:p w14:paraId="306F6BBC">
            <w:pPr>
              <w:widowControl/>
              <w:spacing w:line="240" w:lineRule="auto"/>
              <w:ind w:left="-72" w:leftChars="-30" w:right="-72" w:rightChars="-30" w:firstLine="0" w:firstLineChars="0"/>
              <w:jc w:val="center"/>
              <w:textAlignment w:val="center"/>
              <w:rPr>
                <w:color w:val="auto"/>
                <w:sz w:val="21"/>
                <w:szCs w:val="21"/>
                <w:highlight w:val="none"/>
              </w:rPr>
            </w:pPr>
            <w:r>
              <w:rPr>
                <w:rFonts w:hint="eastAsia"/>
                <w:color w:val="auto"/>
                <w:sz w:val="21"/>
                <w:szCs w:val="21"/>
                <w:highlight w:val="none"/>
              </w:rPr>
              <w:t>T</w:t>
            </w:r>
            <w:r>
              <w:rPr>
                <w:color w:val="auto"/>
                <w:sz w:val="21"/>
                <w:szCs w:val="21"/>
                <w:highlight w:val="none"/>
              </w:rPr>
              <w:t>VOC</w:t>
            </w:r>
          </w:p>
        </w:tc>
        <w:tc>
          <w:tcPr>
            <w:tcW w:w="907" w:type="pct"/>
            <w:tcBorders>
              <w:tl2br w:val="nil"/>
              <w:tr2bl w:val="nil"/>
            </w:tcBorders>
            <w:vAlign w:val="center"/>
          </w:tcPr>
          <w:p w14:paraId="3D84E237">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1小时平均</w:t>
            </w:r>
          </w:p>
        </w:tc>
        <w:tc>
          <w:tcPr>
            <w:tcW w:w="1250" w:type="pct"/>
            <w:tcBorders>
              <w:tl2br w:val="nil"/>
              <w:tr2bl w:val="nil"/>
            </w:tcBorders>
            <w:vAlign w:val="center"/>
          </w:tcPr>
          <w:p w14:paraId="2DE7266F">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rPr>
              <w:t>640.4824</w:t>
            </w:r>
          </w:p>
        </w:tc>
        <w:tc>
          <w:tcPr>
            <w:tcW w:w="1048" w:type="pct"/>
            <w:tcBorders>
              <w:tl2br w:val="nil"/>
              <w:tr2bl w:val="nil"/>
            </w:tcBorders>
            <w:vAlign w:val="center"/>
          </w:tcPr>
          <w:p w14:paraId="17BA2A9F">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1200</w:t>
            </w:r>
          </w:p>
        </w:tc>
        <w:tc>
          <w:tcPr>
            <w:tcW w:w="668" w:type="pct"/>
            <w:tcBorders>
              <w:tl2br w:val="nil"/>
              <w:tr2bl w:val="nil"/>
            </w:tcBorders>
            <w:vAlign w:val="center"/>
          </w:tcPr>
          <w:p w14:paraId="5C01D560">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达标</w:t>
            </w:r>
          </w:p>
        </w:tc>
      </w:tr>
      <w:tr w14:paraId="057E25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9" w:type="pct"/>
            <w:tcBorders>
              <w:tl2br w:val="nil"/>
              <w:tr2bl w:val="nil"/>
            </w:tcBorders>
            <w:vAlign w:val="center"/>
          </w:tcPr>
          <w:p w14:paraId="02DF990F">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5</w:t>
            </w:r>
          </w:p>
        </w:tc>
        <w:tc>
          <w:tcPr>
            <w:tcW w:w="764" w:type="pct"/>
            <w:tcBorders>
              <w:tl2br w:val="nil"/>
              <w:tr2bl w:val="nil"/>
            </w:tcBorders>
            <w:vAlign w:val="center"/>
          </w:tcPr>
          <w:p w14:paraId="56FF92A3">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TSP</w:t>
            </w:r>
          </w:p>
        </w:tc>
        <w:tc>
          <w:tcPr>
            <w:tcW w:w="907" w:type="pct"/>
            <w:tcBorders>
              <w:tl2br w:val="nil"/>
              <w:tr2bl w:val="nil"/>
            </w:tcBorders>
            <w:vAlign w:val="center"/>
          </w:tcPr>
          <w:p w14:paraId="25A96E48">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日均值</w:t>
            </w:r>
          </w:p>
        </w:tc>
        <w:tc>
          <w:tcPr>
            <w:tcW w:w="1250" w:type="pct"/>
            <w:tcBorders>
              <w:tl2br w:val="nil"/>
              <w:tr2bl w:val="nil"/>
            </w:tcBorders>
            <w:vAlign w:val="center"/>
          </w:tcPr>
          <w:p w14:paraId="6FF87C52">
            <w:pPr>
              <w:widowControl/>
              <w:spacing w:line="240" w:lineRule="auto"/>
              <w:ind w:left="-72" w:leftChars="-30" w:right="-72" w:rightChars="-30" w:firstLine="0" w:firstLineChars="0"/>
              <w:jc w:val="center"/>
              <w:textAlignment w:val="center"/>
              <w:rPr>
                <w:color w:val="auto"/>
                <w:sz w:val="21"/>
                <w:szCs w:val="21"/>
                <w:highlight w:val="none"/>
                <w:u w:val="single"/>
              </w:rPr>
            </w:pPr>
            <w:r>
              <w:rPr>
                <w:color w:val="auto"/>
                <w:sz w:val="21"/>
                <w:szCs w:val="21"/>
                <w:highlight w:val="none"/>
                <w:u w:val="single"/>
              </w:rPr>
              <w:t>42.89748</w:t>
            </w:r>
          </w:p>
        </w:tc>
        <w:tc>
          <w:tcPr>
            <w:tcW w:w="1048" w:type="pct"/>
            <w:tcBorders>
              <w:tl2br w:val="nil"/>
              <w:tr2bl w:val="nil"/>
            </w:tcBorders>
            <w:vAlign w:val="center"/>
          </w:tcPr>
          <w:p w14:paraId="2AC65086">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300.0</w:t>
            </w:r>
          </w:p>
        </w:tc>
        <w:tc>
          <w:tcPr>
            <w:tcW w:w="668" w:type="pct"/>
            <w:tcBorders>
              <w:tl2br w:val="nil"/>
              <w:tr2bl w:val="nil"/>
            </w:tcBorders>
            <w:vAlign w:val="center"/>
          </w:tcPr>
          <w:p w14:paraId="150BEC8A">
            <w:pPr>
              <w:widowControl/>
              <w:spacing w:line="240" w:lineRule="auto"/>
              <w:ind w:left="-72" w:leftChars="-30" w:right="-72" w:rightChars="-30" w:firstLine="0" w:firstLineChars="0"/>
              <w:jc w:val="center"/>
              <w:textAlignment w:val="center"/>
              <w:rPr>
                <w:color w:val="auto"/>
                <w:sz w:val="21"/>
                <w:szCs w:val="21"/>
                <w:highlight w:val="none"/>
              </w:rPr>
            </w:pPr>
            <w:r>
              <w:rPr>
                <w:color w:val="auto"/>
                <w:sz w:val="21"/>
                <w:szCs w:val="21"/>
                <w:highlight w:val="none"/>
              </w:rPr>
              <w:t>达标</w:t>
            </w:r>
          </w:p>
        </w:tc>
      </w:tr>
    </w:tbl>
    <w:p w14:paraId="535F4E8A">
      <w:pPr>
        <w:ind w:firstLine="480"/>
        <w:rPr>
          <w:color w:val="auto"/>
          <w:highlight w:val="none"/>
        </w:rPr>
      </w:pPr>
      <w:r>
        <w:rPr>
          <w:color w:val="auto"/>
          <w:highlight w:val="none"/>
        </w:rPr>
        <w:t>根据预测结果，各污染物于厂界外短时浓度贡献值均无超标点。</w:t>
      </w:r>
    </w:p>
    <w:p w14:paraId="0A54EB8A">
      <w:pPr>
        <w:ind w:firstLine="480"/>
        <w:rPr>
          <w:color w:val="auto"/>
          <w:highlight w:val="none"/>
        </w:rPr>
      </w:pPr>
      <w:r>
        <w:rPr>
          <w:color w:val="auto"/>
          <w:highlight w:val="none"/>
        </w:rPr>
        <w:t>综上，本项目</w:t>
      </w:r>
      <w:r>
        <w:rPr>
          <w:color w:val="auto"/>
          <w:highlight w:val="none"/>
          <w:lang w:val="zh-CN"/>
        </w:rPr>
        <w:t>排放的大气污染物</w:t>
      </w:r>
      <w:r>
        <w:rPr>
          <w:rFonts w:hint="eastAsia"/>
          <w:color w:val="auto"/>
          <w:highlight w:val="none"/>
          <w:lang w:val="zh-CN"/>
        </w:rPr>
        <w:t>叠加</w:t>
      </w:r>
      <w:r>
        <w:rPr>
          <w:rFonts w:hint="eastAsia"/>
          <w:color w:val="auto"/>
          <w:highlight w:val="none"/>
          <w:lang w:eastAsia="zh-CN"/>
        </w:rPr>
        <w:t>全厂现有工程无组织排放的</w:t>
      </w:r>
      <w:r>
        <w:rPr>
          <w:color w:val="auto"/>
          <w:highlight w:val="none"/>
        </w:rPr>
        <w:t>污染物厂界浓度满足相应的大气污染物厂界浓度限值，厂界外大气污染物短期贡献浓度满足环境质量浓度限值，因此，项目不需要设置大气环境防护距离。</w:t>
      </w:r>
    </w:p>
    <w:p w14:paraId="76DCB3B8">
      <w:pPr>
        <w:pStyle w:val="533"/>
        <w:numPr>
          <w:ilvl w:val="3"/>
          <w:numId w:val="9"/>
        </w:numPr>
        <w:rPr>
          <w:color w:val="auto"/>
          <w:szCs w:val="24"/>
          <w:highlight w:val="none"/>
        </w:rPr>
      </w:pPr>
      <w:r>
        <w:rPr>
          <w:color w:val="auto"/>
          <w:szCs w:val="24"/>
          <w:highlight w:val="none"/>
        </w:rPr>
        <w:t>污染物排放量核算</w:t>
      </w:r>
    </w:p>
    <w:p w14:paraId="0BE78897">
      <w:pPr>
        <w:ind w:firstLine="480"/>
        <w:rPr>
          <w:color w:val="auto"/>
          <w:highlight w:val="none"/>
        </w:rPr>
      </w:pPr>
      <w:r>
        <w:rPr>
          <w:color w:val="auto"/>
          <w:highlight w:val="none"/>
        </w:rPr>
        <w:t>本项目大气环境影响评价等级为一级，根据《环境影响评价技术导则  大气环境》（HJ 2.2-2018），需对项目污染物排放量进行核算。项目无组织排放量核算见表4.2-</w:t>
      </w:r>
      <w:r>
        <w:rPr>
          <w:rFonts w:hint="eastAsia"/>
          <w:color w:val="auto"/>
          <w:highlight w:val="none"/>
        </w:rPr>
        <w:t>20</w:t>
      </w:r>
      <w:r>
        <w:rPr>
          <w:color w:val="auto"/>
          <w:highlight w:val="none"/>
        </w:rPr>
        <w:t>。</w:t>
      </w:r>
    </w:p>
    <w:p w14:paraId="4C6FCE50">
      <w:pPr>
        <w:spacing w:line="240" w:lineRule="auto"/>
        <w:ind w:firstLine="0" w:firstLineChars="0"/>
        <w:jc w:val="center"/>
        <w:rPr>
          <w:b/>
          <w:color w:val="auto"/>
          <w:sz w:val="21"/>
          <w:szCs w:val="21"/>
          <w:highlight w:val="none"/>
        </w:rPr>
      </w:pPr>
      <w:r>
        <w:rPr>
          <w:b/>
          <w:color w:val="auto"/>
          <w:sz w:val="21"/>
          <w:szCs w:val="21"/>
          <w:highlight w:val="none"/>
        </w:rPr>
        <w:t>表4.2-</w:t>
      </w:r>
      <w:r>
        <w:rPr>
          <w:rFonts w:hint="eastAsia"/>
          <w:b/>
          <w:color w:val="auto"/>
          <w:sz w:val="21"/>
          <w:szCs w:val="21"/>
          <w:highlight w:val="none"/>
        </w:rPr>
        <w:t>20</w:t>
      </w:r>
      <w:r>
        <w:rPr>
          <w:b/>
          <w:color w:val="auto"/>
          <w:sz w:val="21"/>
          <w:szCs w:val="21"/>
          <w:highlight w:val="none"/>
        </w:rPr>
        <w:t>无组织排放量核算表</w:t>
      </w:r>
    </w:p>
    <w:tbl>
      <w:tblPr>
        <w:tblStyle w:val="92"/>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93"/>
        <w:gridCol w:w="997"/>
        <w:gridCol w:w="1190"/>
        <w:gridCol w:w="1734"/>
        <w:gridCol w:w="2763"/>
        <w:gridCol w:w="1198"/>
        <w:gridCol w:w="904"/>
      </w:tblGrid>
      <w:tr w14:paraId="470BD04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6" w:type="pct"/>
            <w:vMerge w:val="restart"/>
            <w:tcBorders>
              <w:tl2br w:val="nil"/>
              <w:tr2bl w:val="nil"/>
            </w:tcBorders>
            <w:vAlign w:val="center"/>
          </w:tcPr>
          <w:p w14:paraId="784ABB82">
            <w:pPr>
              <w:spacing w:line="240" w:lineRule="auto"/>
              <w:ind w:firstLine="0" w:firstLineChars="0"/>
              <w:jc w:val="center"/>
              <w:rPr>
                <w:b/>
                <w:bCs/>
                <w:color w:val="auto"/>
                <w:sz w:val="21"/>
                <w:szCs w:val="21"/>
                <w:highlight w:val="none"/>
              </w:rPr>
            </w:pPr>
            <w:r>
              <w:rPr>
                <w:b/>
                <w:bCs/>
                <w:color w:val="auto"/>
                <w:sz w:val="21"/>
                <w:szCs w:val="21"/>
                <w:highlight w:val="none"/>
              </w:rPr>
              <w:t>序号</w:t>
            </w:r>
          </w:p>
        </w:tc>
        <w:tc>
          <w:tcPr>
            <w:tcW w:w="537" w:type="pct"/>
            <w:vMerge w:val="restart"/>
            <w:tcBorders>
              <w:tl2br w:val="nil"/>
              <w:tr2bl w:val="nil"/>
            </w:tcBorders>
            <w:vAlign w:val="center"/>
          </w:tcPr>
          <w:p w14:paraId="6608725F">
            <w:pPr>
              <w:spacing w:line="240" w:lineRule="auto"/>
              <w:ind w:firstLine="0" w:firstLineChars="0"/>
              <w:jc w:val="center"/>
              <w:rPr>
                <w:b/>
                <w:bCs/>
                <w:color w:val="auto"/>
                <w:sz w:val="21"/>
                <w:szCs w:val="21"/>
                <w:highlight w:val="none"/>
              </w:rPr>
            </w:pPr>
            <w:r>
              <w:rPr>
                <w:b/>
                <w:bCs/>
                <w:color w:val="auto"/>
                <w:sz w:val="21"/>
                <w:szCs w:val="21"/>
                <w:highlight w:val="none"/>
              </w:rPr>
              <w:t>产物环节</w:t>
            </w:r>
          </w:p>
        </w:tc>
        <w:tc>
          <w:tcPr>
            <w:tcW w:w="641" w:type="pct"/>
            <w:vMerge w:val="restart"/>
            <w:tcBorders>
              <w:tl2br w:val="nil"/>
              <w:tr2bl w:val="nil"/>
            </w:tcBorders>
            <w:vAlign w:val="center"/>
          </w:tcPr>
          <w:p w14:paraId="6D1881FF">
            <w:pPr>
              <w:spacing w:line="240" w:lineRule="auto"/>
              <w:ind w:firstLine="0" w:firstLineChars="0"/>
              <w:jc w:val="center"/>
              <w:rPr>
                <w:b/>
                <w:bCs/>
                <w:color w:val="auto"/>
                <w:sz w:val="21"/>
                <w:szCs w:val="21"/>
                <w:highlight w:val="none"/>
              </w:rPr>
            </w:pPr>
            <w:r>
              <w:rPr>
                <w:b/>
                <w:bCs/>
                <w:color w:val="auto"/>
                <w:sz w:val="21"/>
                <w:szCs w:val="21"/>
                <w:highlight w:val="none"/>
              </w:rPr>
              <w:t>污染物</w:t>
            </w:r>
          </w:p>
        </w:tc>
        <w:tc>
          <w:tcPr>
            <w:tcW w:w="934" w:type="pct"/>
            <w:vMerge w:val="restart"/>
            <w:tcBorders>
              <w:tl2br w:val="nil"/>
              <w:tr2bl w:val="nil"/>
            </w:tcBorders>
            <w:vAlign w:val="center"/>
          </w:tcPr>
          <w:p w14:paraId="60400B85">
            <w:pPr>
              <w:spacing w:line="240" w:lineRule="auto"/>
              <w:ind w:firstLine="0" w:firstLineChars="0"/>
              <w:jc w:val="center"/>
              <w:rPr>
                <w:b/>
                <w:bCs/>
                <w:color w:val="auto"/>
                <w:sz w:val="21"/>
                <w:szCs w:val="21"/>
                <w:highlight w:val="none"/>
              </w:rPr>
            </w:pPr>
            <w:r>
              <w:rPr>
                <w:b/>
                <w:bCs/>
                <w:color w:val="auto"/>
                <w:sz w:val="21"/>
                <w:szCs w:val="21"/>
                <w:highlight w:val="none"/>
              </w:rPr>
              <w:t>主要污染防治措施</w:t>
            </w:r>
          </w:p>
        </w:tc>
        <w:tc>
          <w:tcPr>
            <w:tcW w:w="2133" w:type="pct"/>
            <w:gridSpan w:val="2"/>
            <w:tcBorders>
              <w:tl2br w:val="nil"/>
              <w:tr2bl w:val="nil"/>
            </w:tcBorders>
            <w:vAlign w:val="center"/>
          </w:tcPr>
          <w:p w14:paraId="1406DF23">
            <w:pPr>
              <w:spacing w:line="240" w:lineRule="auto"/>
              <w:ind w:firstLine="0" w:firstLineChars="0"/>
              <w:jc w:val="center"/>
              <w:rPr>
                <w:b/>
                <w:bCs/>
                <w:color w:val="auto"/>
                <w:sz w:val="21"/>
                <w:szCs w:val="21"/>
                <w:highlight w:val="none"/>
              </w:rPr>
            </w:pPr>
            <w:r>
              <w:rPr>
                <w:b/>
                <w:bCs/>
                <w:color w:val="auto"/>
                <w:sz w:val="21"/>
                <w:szCs w:val="21"/>
                <w:highlight w:val="none"/>
              </w:rPr>
              <w:t>国家或地方污染物排放标准</w:t>
            </w:r>
          </w:p>
        </w:tc>
        <w:tc>
          <w:tcPr>
            <w:tcW w:w="487" w:type="pct"/>
            <w:vMerge w:val="restart"/>
            <w:tcBorders>
              <w:tl2br w:val="nil"/>
              <w:tr2bl w:val="nil"/>
            </w:tcBorders>
            <w:vAlign w:val="center"/>
          </w:tcPr>
          <w:p w14:paraId="66AAF1D1">
            <w:pPr>
              <w:spacing w:line="240" w:lineRule="auto"/>
              <w:ind w:firstLine="0" w:firstLineChars="0"/>
              <w:jc w:val="center"/>
              <w:rPr>
                <w:b/>
                <w:bCs/>
                <w:color w:val="auto"/>
                <w:sz w:val="21"/>
                <w:szCs w:val="21"/>
                <w:highlight w:val="none"/>
              </w:rPr>
            </w:pPr>
            <w:r>
              <w:rPr>
                <w:b/>
                <w:bCs/>
                <w:color w:val="auto"/>
                <w:sz w:val="21"/>
                <w:szCs w:val="21"/>
                <w:highlight w:val="none"/>
              </w:rPr>
              <w:t>核算年排放量（t/a）</w:t>
            </w:r>
          </w:p>
        </w:tc>
      </w:tr>
      <w:tr w14:paraId="5A65343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6" w:type="pct"/>
            <w:vMerge w:val="continue"/>
            <w:tcBorders>
              <w:tl2br w:val="nil"/>
              <w:tr2bl w:val="nil"/>
            </w:tcBorders>
            <w:vAlign w:val="center"/>
          </w:tcPr>
          <w:p w14:paraId="2B42A045">
            <w:pPr>
              <w:spacing w:line="240" w:lineRule="auto"/>
              <w:ind w:firstLine="0" w:firstLineChars="0"/>
              <w:jc w:val="center"/>
              <w:rPr>
                <w:b/>
                <w:bCs/>
                <w:color w:val="auto"/>
                <w:sz w:val="21"/>
                <w:szCs w:val="21"/>
                <w:highlight w:val="none"/>
              </w:rPr>
            </w:pPr>
          </w:p>
        </w:tc>
        <w:tc>
          <w:tcPr>
            <w:tcW w:w="537" w:type="pct"/>
            <w:vMerge w:val="continue"/>
            <w:tcBorders>
              <w:tl2br w:val="nil"/>
              <w:tr2bl w:val="nil"/>
            </w:tcBorders>
            <w:vAlign w:val="center"/>
          </w:tcPr>
          <w:p w14:paraId="360B346F">
            <w:pPr>
              <w:spacing w:line="240" w:lineRule="auto"/>
              <w:ind w:firstLine="0" w:firstLineChars="0"/>
              <w:jc w:val="center"/>
              <w:rPr>
                <w:b/>
                <w:bCs/>
                <w:color w:val="auto"/>
                <w:sz w:val="21"/>
                <w:szCs w:val="21"/>
                <w:highlight w:val="none"/>
              </w:rPr>
            </w:pPr>
          </w:p>
        </w:tc>
        <w:tc>
          <w:tcPr>
            <w:tcW w:w="641" w:type="pct"/>
            <w:vMerge w:val="continue"/>
            <w:tcBorders>
              <w:tl2br w:val="nil"/>
              <w:tr2bl w:val="nil"/>
            </w:tcBorders>
            <w:vAlign w:val="center"/>
          </w:tcPr>
          <w:p w14:paraId="66E75718">
            <w:pPr>
              <w:spacing w:line="240" w:lineRule="auto"/>
              <w:ind w:firstLine="0" w:firstLineChars="0"/>
              <w:jc w:val="center"/>
              <w:rPr>
                <w:b/>
                <w:bCs/>
                <w:color w:val="auto"/>
                <w:sz w:val="21"/>
                <w:szCs w:val="21"/>
                <w:highlight w:val="none"/>
              </w:rPr>
            </w:pPr>
          </w:p>
        </w:tc>
        <w:tc>
          <w:tcPr>
            <w:tcW w:w="934" w:type="pct"/>
            <w:vMerge w:val="continue"/>
            <w:tcBorders>
              <w:tl2br w:val="nil"/>
              <w:tr2bl w:val="nil"/>
            </w:tcBorders>
            <w:vAlign w:val="center"/>
          </w:tcPr>
          <w:p w14:paraId="54052C94">
            <w:pPr>
              <w:spacing w:line="240" w:lineRule="auto"/>
              <w:ind w:firstLine="0" w:firstLineChars="0"/>
              <w:jc w:val="center"/>
              <w:rPr>
                <w:b/>
                <w:bCs/>
                <w:color w:val="auto"/>
                <w:sz w:val="21"/>
                <w:szCs w:val="21"/>
                <w:highlight w:val="none"/>
              </w:rPr>
            </w:pPr>
          </w:p>
        </w:tc>
        <w:tc>
          <w:tcPr>
            <w:tcW w:w="1488" w:type="pct"/>
            <w:tcBorders>
              <w:tl2br w:val="nil"/>
              <w:tr2bl w:val="nil"/>
            </w:tcBorders>
            <w:vAlign w:val="center"/>
          </w:tcPr>
          <w:p w14:paraId="658C0314">
            <w:pPr>
              <w:spacing w:line="240" w:lineRule="auto"/>
              <w:ind w:firstLine="0" w:firstLineChars="0"/>
              <w:jc w:val="center"/>
              <w:rPr>
                <w:b/>
                <w:bCs/>
                <w:color w:val="auto"/>
                <w:sz w:val="21"/>
                <w:szCs w:val="21"/>
                <w:highlight w:val="none"/>
              </w:rPr>
            </w:pPr>
            <w:r>
              <w:rPr>
                <w:b/>
                <w:bCs/>
                <w:color w:val="auto"/>
                <w:sz w:val="21"/>
                <w:szCs w:val="21"/>
                <w:highlight w:val="none"/>
              </w:rPr>
              <w:t>标准名称</w:t>
            </w:r>
          </w:p>
        </w:tc>
        <w:tc>
          <w:tcPr>
            <w:tcW w:w="644" w:type="pct"/>
            <w:tcBorders>
              <w:tl2br w:val="nil"/>
              <w:tr2bl w:val="nil"/>
            </w:tcBorders>
            <w:vAlign w:val="center"/>
          </w:tcPr>
          <w:p w14:paraId="475F03E3">
            <w:pPr>
              <w:spacing w:line="240" w:lineRule="auto"/>
              <w:ind w:firstLine="0" w:firstLineChars="0"/>
              <w:jc w:val="center"/>
              <w:rPr>
                <w:b/>
                <w:bCs/>
                <w:color w:val="auto"/>
                <w:sz w:val="21"/>
                <w:szCs w:val="21"/>
                <w:highlight w:val="none"/>
              </w:rPr>
            </w:pPr>
            <w:r>
              <w:rPr>
                <w:b/>
                <w:bCs/>
                <w:color w:val="auto"/>
                <w:sz w:val="21"/>
                <w:szCs w:val="21"/>
                <w:highlight w:val="none"/>
              </w:rPr>
              <w:t>浓度限值（mg/m</w:t>
            </w:r>
            <w:r>
              <w:rPr>
                <w:b/>
                <w:bCs/>
                <w:color w:val="auto"/>
                <w:sz w:val="21"/>
                <w:szCs w:val="21"/>
                <w:highlight w:val="none"/>
                <w:vertAlign w:val="superscript"/>
              </w:rPr>
              <w:t>3</w:t>
            </w:r>
            <w:r>
              <w:rPr>
                <w:b/>
                <w:bCs/>
                <w:color w:val="auto"/>
                <w:sz w:val="21"/>
                <w:szCs w:val="21"/>
                <w:highlight w:val="none"/>
              </w:rPr>
              <w:t>）</w:t>
            </w:r>
          </w:p>
        </w:tc>
        <w:tc>
          <w:tcPr>
            <w:tcW w:w="487" w:type="pct"/>
            <w:vMerge w:val="continue"/>
            <w:tcBorders>
              <w:tl2br w:val="nil"/>
              <w:tr2bl w:val="nil"/>
            </w:tcBorders>
            <w:vAlign w:val="center"/>
          </w:tcPr>
          <w:p w14:paraId="2324EB57">
            <w:pPr>
              <w:spacing w:line="240" w:lineRule="auto"/>
              <w:ind w:firstLine="0" w:firstLineChars="0"/>
              <w:jc w:val="center"/>
              <w:rPr>
                <w:b/>
                <w:bCs/>
                <w:color w:val="auto"/>
                <w:sz w:val="21"/>
                <w:szCs w:val="21"/>
                <w:highlight w:val="none"/>
              </w:rPr>
            </w:pPr>
          </w:p>
        </w:tc>
      </w:tr>
      <w:tr w14:paraId="4125DD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6" w:type="pct"/>
            <w:vMerge w:val="restart"/>
            <w:tcBorders>
              <w:tl2br w:val="nil"/>
              <w:tr2bl w:val="nil"/>
            </w:tcBorders>
            <w:vAlign w:val="center"/>
          </w:tcPr>
          <w:p w14:paraId="7790B9A8">
            <w:pPr>
              <w:spacing w:line="240" w:lineRule="auto"/>
              <w:ind w:firstLine="0" w:firstLineChars="0"/>
              <w:jc w:val="center"/>
              <w:rPr>
                <w:color w:val="auto"/>
                <w:sz w:val="21"/>
                <w:szCs w:val="21"/>
                <w:highlight w:val="none"/>
              </w:rPr>
            </w:pPr>
            <w:r>
              <w:rPr>
                <w:color w:val="auto"/>
                <w:sz w:val="21"/>
                <w:szCs w:val="21"/>
                <w:highlight w:val="none"/>
              </w:rPr>
              <w:t>1</w:t>
            </w:r>
          </w:p>
        </w:tc>
        <w:tc>
          <w:tcPr>
            <w:tcW w:w="537" w:type="pct"/>
            <w:vMerge w:val="restart"/>
            <w:tcBorders>
              <w:tl2br w:val="nil"/>
              <w:tr2bl w:val="nil"/>
            </w:tcBorders>
            <w:vAlign w:val="center"/>
          </w:tcPr>
          <w:p w14:paraId="062F4B29">
            <w:pPr>
              <w:spacing w:line="240" w:lineRule="auto"/>
              <w:ind w:firstLine="0" w:firstLineChars="0"/>
              <w:jc w:val="center"/>
              <w:rPr>
                <w:color w:val="auto"/>
                <w:sz w:val="21"/>
                <w:szCs w:val="21"/>
                <w:highlight w:val="none"/>
              </w:rPr>
            </w:pPr>
            <w:r>
              <w:rPr>
                <w:color w:val="auto"/>
                <w:sz w:val="21"/>
                <w:szCs w:val="21"/>
                <w:highlight w:val="none"/>
              </w:rPr>
              <w:t>浮船坞无组织废气</w:t>
            </w:r>
          </w:p>
        </w:tc>
        <w:tc>
          <w:tcPr>
            <w:tcW w:w="641" w:type="pct"/>
            <w:tcBorders>
              <w:tl2br w:val="nil"/>
              <w:tr2bl w:val="nil"/>
            </w:tcBorders>
            <w:vAlign w:val="center"/>
          </w:tcPr>
          <w:p w14:paraId="5F631160">
            <w:pPr>
              <w:spacing w:line="240" w:lineRule="auto"/>
              <w:ind w:firstLine="0" w:firstLineChars="0"/>
              <w:jc w:val="center"/>
              <w:rPr>
                <w:color w:val="auto"/>
                <w:sz w:val="21"/>
                <w:szCs w:val="21"/>
                <w:highlight w:val="none"/>
              </w:rPr>
            </w:pPr>
            <w:r>
              <w:rPr>
                <w:color w:val="auto"/>
                <w:sz w:val="21"/>
                <w:szCs w:val="21"/>
                <w:highlight w:val="none"/>
              </w:rPr>
              <w:t>TSP</w:t>
            </w:r>
          </w:p>
        </w:tc>
        <w:tc>
          <w:tcPr>
            <w:tcW w:w="934" w:type="pct"/>
            <w:tcBorders>
              <w:tl2br w:val="nil"/>
              <w:tr2bl w:val="nil"/>
            </w:tcBorders>
            <w:vAlign w:val="center"/>
          </w:tcPr>
          <w:p w14:paraId="769E7387">
            <w:pPr>
              <w:spacing w:line="240" w:lineRule="auto"/>
              <w:ind w:firstLine="0" w:firstLineChars="0"/>
              <w:jc w:val="center"/>
              <w:rPr>
                <w:color w:val="auto"/>
                <w:sz w:val="21"/>
                <w:szCs w:val="21"/>
                <w:highlight w:val="none"/>
              </w:rPr>
            </w:pPr>
            <w:r>
              <w:rPr>
                <w:color w:val="auto"/>
                <w:sz w:val="21"/>
                <w:szCs w:val="21"/>
                <w:highlight w:val="none"/>
              </w:rPr>
              <w:t>加强船体通风</w:t>
            </w:r>
          </w:p>
        </w:tc>
        <w:tc>
          <w:tcPr>
            <w:tcW w:w="1488" w:type="pct"/>
            <w:vMerge w:val="restart"/>
            <w:tcBorders>
              <w:tl2br w:val="nil"/>
              <w:tr2bl w:val="nil"/>
            </w:tcBorders>
            <w:vAlign w:val="center"/>
          </w:tcPr>
          <w:p w14:paraId="37C2F236">
            <w:pPr>
              <w:spacing w:line="240" w:lineRule="auto"/>
              <w:ind w:firstLine="0" w:firstLineChars="0"/>
              <w:jc w:val="center"/>
              <w:rPr>
                <w:color w:val="auto"/>
                <w:sz w:val="21"/>
                <w:szCs w:val="21"/>
                <w:highlight w:val="none"/>
              </w:rPr>
            </w:pPr>
            <w:r>
              <w:rPr>
                <w:color w:val="auto"/>
                <w:sz w:val="21"/>
                <w:szCs w:val="21"/>
                <w:highlight w:val="none"/>
              </w:rPr>
              <w:t>《大气污染物综合排放标准》（GB16297-1996）中表2新污染源无组织排放标准</w:t>
            </w:r>
          </w:p>
        </w:tc>
        <w:tc>
          <w:tcPr>
            <w:tcW w:w="644" w:type="pct"/>
            <w:tcBorders>
              <w:tl2br w:val="nil"/>
              <w:tr2bl w:val="nil"/>
            </w:tcBorders>
            <w:vAlign w:val="center"/>
          </w:tcPr>
          <w:p w14:paraId="4CD2D84F">
            <w:pPr>
              <w:spacing w:line="240" w:lineRule="auto"/>
              <w:ind w:firstLine="0" w:firstLineChars="0"/>
              <w:jc w:val="center"/>
              <w:rPr>
                <w:color w:val="auto"/>
                <w:sz w:val="21"/>
                <w:szCs w:val="21"/>
                <w:highlight w:val="none"/>
              </w:rPr>
            </w:pPr>
            <w:r>
              <w:rPr>
                <w:color w:val="auto"/>
                <w:sz w:val="21"/>
                <w:szCs w:val="21"/>
                <w:highlight w:val="none"/>
              </w:rPr>
              <w:t>1.0</w:t>
            </w:r>
          </w:p>
        </w:tc>
        <w:tc>
          <w:tcPr>
            <w:tcW w:w="487" w:type="pct"/>
            <w:tcBorders>
              <w:tl2br w:val="nil"/>
              <w:tr2bl w:val="nil"/>
            </w:tcBorders>
            <w:vAlign w:val="center"/>
          </w:tcPr>
          <w:p w14:paraId="4FC12E9B">
            <w:pPr>
              <w:spacing w:line="240" w:lineRule="auto"/>
              <w:ind w:firstLine="0" w:firstLineChars="0"/>
              <w:jc w:val="center"/>
              <w:rPr>
                <w:color w:val="auto"/>
                <w:sz w:val="21"/>
                <w:szCs w:val="21"/>
                <w:highlight w:val="none"/>
              </w:rPr>
            </w:pPr>
            <w:r>
              <w:rPr>
                <w:rFonts w:hint="eastAsia"/>
                <w:color w:val="auto"/>
                <w:sz w:val="21"/>
                <w:szCs w:val="21"/>
                <w:highlight w:val="none"/>
              </w:rPr>
              <w:t>9.442</w:t>
            </w:r>
          </w:p>
        </w:tc>
      </w:tr>
      <w:tr w14:paraId="077AC2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6" w:type="pct"/>
            <w:vMerge w:val="continue"/>
            <w:tcBorders>
              <w:tl2br w:val="nil"/>
              <w:tr2bl w:val="nil"/>
            </w:tcBorders>
            <w:vAlign w:val="center"/>
          </w:tcPr>
          <w:p w14:paraId="64A8C45E">
            <w:pPr>
              <w:spacing w:line="240" w:lineRule="auto"/>
              <w:ind w:firstLine="0" w:firstLineChars="0"/>
              <w:jc w:val="center"/>
              <w:rPr>
                <w:color w:val="auto"/>
                <w:sz w:val="21"/>
                <w:szCs w:val="21"/>
                <w:highlight w:val="none"/>
              </w:rPr>
            </w:pPr>
          </w:p>
        </w:tc>
        <w:tc>
          <w:tcPr>
            <w:tcW w:w="537" w:type="pct"/>
            <w:vMerge w:val="continue"/>
            <w:tcBorders>
              <w:tl2br w:val="nil"/>
              <w:tr2bl w:val="nil"/>
            </w:tcBorders>
            <w:vAlign w:val="center"/>
          </w:tcPr>
          <w:p w14:paraId="398236B8">
            <w:pPr>
              <w:spacing w:line="240" w:lineRule="auto"/>
              <w:ind w:firstLine="0" w:firstLineChars="0"/>
              <w:jc w:val="center"/>
              <w:rPr>
                <w:color w:val="auto"/>
                <w:sz w:val="21"/>
                <w:szCs w:val="21"/>
                <w:highlight w:val="none"/>
              </w:rPr>
            </w:pPr>
          </w:p>
        </w:tc>
        <w:tc>
          <w:tcPr>
            <w:tcW w:w="641" w:type="pct"/>
            <w:tcBorders>
              <w:tl2br w:val="nil"/>
              <w:tr2bl w:val="nil"/>
            </w:tcBorders>
            <w:vAlign w:val="center"/>
          </w:tcPr>
          <w:p w14:paraId="537A1240">
            <w:pPr>
              <w:spacing w:line="240" w:lineRule="auto"/>
              <w:ind w:firstLine="0" w:firstLineChars="0"/>
              <w:jc w:val="center"/>
              <w:rPr>
                <w:color w:val="auto"/>
                <w:sz w:val="21"/>
                <w:szCs w:val="21"/>
                <w:highlight w:val="none"/>
              </w:rPr>
            </w:pPr>
            <w:r>
              <w:rPr>
                <w:color w:val="auto"/>
                <w:sz w:val="21"/>
                <w:szCs w:val="21"/>
                <w:highlight w:val="none"/>
              </w:rPr>
              <w:t>二甲苯</w:t>
            </w:r>
          </w:p>
        </w:tc>
        <w:tc>
          <w:tcPr>
            <w:tcW w:w="934" w:type="pct"/>
            <w:tcBorders>
              <w:tl2br w:val="nil"/>
              <w:tr2bl w:val="nil"/>
            </w:tcBorders>
            <w:vAlign w:val="center"/>
          </w:tcPr>
          <w:p w14:paraId="0D1B0030">
            <w:pPr>
              <w:spacing w:line="240" w:lineRule="auto"/>
              <w:ind w:firstLine="0" w:firstLineChars="0"/>
              <w:jc w:val="center"/>
              <w:rPr>
                <w:color w:val="auto"/>
                <w:sz w:val="21"/>
                <w:szCs w:val="21"/>
                <w:highlight w:val="none"/>
              </w:rPr>
            </w:pPr>
            <w:r>
              <w:rPr>
                <w:color w:val="auto"/>
                <w:sz w:val="21"/>
                <w:szCs w:val="21"/>
                <w:highlight w:val="none"/>
              </w:rPr>
              <w:t>加强船体通风</w:t>
            </w:r>
          </w:p>
        </w:tc>
        <w:tc>
          <w:tcPr>
            <w:tcW w:w="1488" w:type="pct"/>
            <w:vMerge w:val="continue"/>
            <w:tcBorders>
              <w:tl2br w:val="nil"/>
              <w:tr2bl w:val="nil"/>
            </w:tcBorders>
            <w:vAlign w:val="center"/>
          </w:tcPr>
          <w:p w14:paraId="5FE2EA3B">
            <w:pPr>
              <w:spacing w:line="240" w:lineRule="auto"/>
              <w:ind w:firstLine="0" w:firstLineChars="0"/>
              <w:jc w:val="center"/>
              <w:rPr>
                <w:color w:val="auto"/>
                <w:sz w:val="21"/>
                <w:szCs w:val="21"/>
                <w:highlight w:val="none"/>
              </w:rPr>
            </w:pPr>
          </w:p>
        </w:tc>
        <w:tc>
          <w:tcPr>
            <w:tcW w:w="644" w:type="pct"/>
            <w:tcBorders>
              <w:tl2br w:val="nil"/>
              <w:tr2bl w:val="nil"/>
            </w:tcBorders>
            <w:vAlign w:val="center"/>
          </w:tcPr>
          <w:p w14:paraId="1F40CD80">
            <w:pPr>
              <w:spacing w:line="240" w:lineRule="auto"/>
              <w:ind w:firstLine="0" w:firstLineChars="0"/>
              <w:jc w:val="center"/>
              <w:rPr>
                <w:color w:val="auto"/>
                <w:sz w:val="21"/>
                <w:szCs w:val="21"/>
                <w:highlight w:val="none"/>
              </w:rPr>
            </w:pPr>
            <w:r>
              <w:rPr>
                <w:color w:val="auto"/>
                <w:sz w:val="21"/>
                <w:szCs w:val="21"/>
                <w:highlight w:val="none"/>
              </w:rPr>
              <w:t>1.2</w:t>
            </w:r>
          </w:p>
        </w:tc>
        <w:tc>
          <w:tcPr>
            <w:tcW w:w="487" w:type="pct"/>
            <w:tcBorders>
              <w:tl2br w:val="nil"/>
              <w:tr2bl w:val="nil"/>
            </w:tcBorders>
            <w:vAlign w:val="center"/>
          </w:tcPr>
          <w:p w14:paraId="141868D7">
            <w:pPr>
              <w:spacing w:line="240" w:lineRule="auto"/>
              <w:ind w:firstLine="0" w:firstLineChars="0"/>
              <w:jc w:val="center"/>
              <w:rPr>
                <w:color w:val="auto"/>
                <w:sz w:val="21"/>
                <w:szCs w:val="21"/>
                <w:highlight w:val="none"/>
              </w:rPr>
            </w:pPr>
            <w:r>
              <w:rPr>
                <w:color w:val="auto"/>
                <w:sz w:val="21"/>
                <w:szCs w:val="21"/>
                <w:highlight w:val="none"/>
              </w:rPr>
              <w:t>14.71</w:t>
            </w:r>
          </w:p>
        </w:tc>
      </w:tr>
      <w:tr w14:paraId="1DAEAE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6" w:type="pct"/>
            <w:vMerge w:val="continue"/>
            <w:tcBorders>
              <w:tl2br w:val="nil"/>
              <w:tr2bl w:val="nil"/>
            </w:tcBorders>
            <w:vAlign w:val="center"/>
          </w:tcPr>
          <w:p w14:paraId="0B8712F0">
            <w:pPr>
              <w:spacing w:line="240" w:lineRule="auto"/>
              <w:ind w:firstLine="0" w:firstLineChars="0"/>
              <w:jc w:val="center"/>
              <w:rPr>
                <w:color w:val="auto"/>
                <w:sz w:val="21"/>
                <w:szCs w:val="21"/>
                <w:highlight w:val="none"/>
              </w:rPr>
            </w:pPr>
          </w:p>
        </w:tc>
        <w:tc>
          <w:tcPr>
            <w:tcW w:w="537" w:type="pct"/>
            <w:vMerge w:val="continue"/>
            <w:tcBorders>
              <w:tl2br w:val="nil"/>
              <w:tr2bl w:val="nil"/>
            </w:tcBorders>
            <w:vAlign w:val="center"/>
          </w:tcPr>
          <w:p w14:paraId="57EE47FE">
            <w:pPr>
              <w:spacing w:line="240" w:lineRule="auto"/>
              <w:ind w:firstLine="0" w:firstLineChars="0"/>
              <w:jc w:val="center"/>
              <w:rPr>
                <w:color w:val="auto"/>
                <w:sz w:val="21"/>
                <w:szCs w:val="21"/>
                <w:highlight w:val="none"/>
              </w:rPr>
            </w:pPr>
          </w:p>
        </w:tc>
        <w:tc>
          <w:tcPr>
            <w:tcW w:w="641" w:type="pct"/>
            <w:tcBorders>
              <w:tl2br w:val="nil"/>
              <w:tr2bl w:val="nil"/>
            </w:tcBorders>
            <w:vAlign w:val="center"/>
          </w:tcPr>
          <w:p w14:paraId="6B4CCE10">
            <w:pPr>
              <w:spacing w:line="240" w:lineRule="auto"/>
              <w:ind w:firstLine="0" w:firstLineChars="0"/>
              <w:jc w:val="center"/>
              <w:rPr>
                <w:color w:val="auto"/>
                <w:sz w:val="21"/>
                <w:szCs w:val="21"/>
                <w:highlight w:val="none"/>
              </w:rPr>
            </w:pPr>
            <w:r>
              <w:rPr>
                <w:rFonts w:hint="eastAsia"/>
                <w:color w:val="auto"/>
                <w:sz w:val="21"/>
                <w:szCs w:val="21"/>
                <w:highlight w:val="none"/>
              </w:rPr>
              <w:t>T</w:t>
            </w:r>
            <w:r>
              <w:rPr>
                <w:color w:val="auto"/>
                <w:sz w:val="21"/>
                <w:szCs w:val="21"/>
                <w:highlight w:val="none"/>
              </w:rPr>
              <w:t>VOC</w:t>
            </w:r>
          </w:p>
        </w:tc>
        <w:tc>
          <w:tcPr>
            <w:tcW w:w="934" w:type="pct"/>
            <w:tcBorders>
              <w:tl2br w:val="nil"/>
              <w:tr2bl w:val="nil"/>
            </w:tcBorders>
            <w:vAlign w:val="center"/>
          </w:tcPr>
          <w:p w14:paraId="7C8A2023">
            <w:pPr>
              <w:spacing w:line="240" w:lineRule="auto"/>
              <w:ind w:firstLine="0" w:firstLineChars="0"/>
              <w:jc w:val="center"/>
              <w:rPr>
                <w:color w:val="auto"/>
                <w:sz w:val="21"/>
                <w:szCs w:val="21"/>
                <w:highlight w:val="none"/>
              </w:rPr>
            </w:pPr>
            <w:r>
              <w:rPr>
                <w:color w:val="auto"/>
                <w:sz w:val="21"/>
                <w:szCs w:val="21"/>
                <w:highlight w:val="none"/>
              </w:rPr>
              <w:t>加强船体通风</w:t>
            </w:r>
          </w:p>
        </w:tc>
        <w:tc>
          <w:tcPr>
            <w:tcW w:w="1488" w:type="pct"/>
            <w:tcBorders>
              <w:tl2br w:val="nil"/>
              <w:tr2bl w:val="nil"/>
            </w:tcBorders>
            <w:vAlign w:val="center"/>
          </w:tcPr>
          <w:p w14:paraId="59FFE74F">
            <w:pPr>
              <w:spacing w:line="240" w:lineRule="auto"/>
              <w:ind w:firstLine="0" w:firstLineChars="0"/>
              <w:jc w:val="center"/>
              <w:rPr>
                <w:color w:val="auto"/>
                <w:sz w:val="21"/>
                <w:szCs w:val="21"/>
                <w:highlight w:val="none"/>
              </w:rPr>
            </w:pPr>
            <w:r>
              <w:rPr>
                <w:color w:val="auto"/>
                <w:sz w:val="21"/>
                <w:szCs w:val="21"/>
                <w:highlight w:val="none"/>
              </w:rPr>
              <w:t>《挥发性有机物无组织排放控制标准》（GB37822-2019）</w:t>
            </w:r>
          </w:p>
        </w:tc>
        <w:tc>
          <w:tcPr>
            <w:tcW w:w="644" w:type="pct"/>
            <w:tcBorders>
              <w:tl2br w:val="nil"/>
              <w:tr2bl w:val="nil"/>
            </w:tcBorders>
            <w:vAlign w:val="center"/>
          </w:tcPr>
          <w:p w14:paraId="4959A0A2">
            <w:pPr>
              <w:spacing w:line="240" w:lineRule="auto"/>
              <w:ind w:firstLine="0" w:firstLineChars="0"/>
              <w:jc w:val="center"/>
              <w:rPr>
                <w:color w:val="auto"/>
                <w:sz w:val="21"/>
                <w:szCs w:val="21"/>
                <w:highlight w:val="none"/>
              </w:rPr>
            </w:pPr>
            <w:r>
              <w:rPr>
                <w:color w:val="auto"/>
                <w:sz w:val="21"/>
                <w:szCs w:val="21"/>
                <w:highlight w:val="none"/>
              </w:rPr>
              <w:t>10</w:t>
            </w:r>
          </w:p>
        </w:tc>
        <w:tc>
          <w:tcPr>
            <w:tcW w:w="487" w:type="pct"/>
            <w:tcBorders>
              <w:tl2br w:val="nil"/>
              <w:tr2bl w:val="nil"/>
            </w:tcBorders>
            <w:vAlign w:val="center"/>
          </w:tcPr>
          <w:p w14:paraId="0E744604">
            <w:pPr>
              <w:spacing w:line="240" w:lineRule="auto"/>
              <w:ind w:firstLine="0" w:firstLineChars="0"/>
              <w:jc w:val="center"/>
              <w:rPr>
                <w:color w:val="auto"/>
                <w:sz w:val="21"/>
                <w:szCs w:val="21"/>
                <w:highlight w:val="none"/>
              </w:rPr>
            </w:pPr>
            <w:r>
              <w:rPr>
                <w:color w:val="auto"/>
                <w:sz w:val="21"/>
                <w:szCs w:val="21"/>
                <w:highlight w:val="none"/>
              </w:rPr>
              <w:t>58.86</w:t>
            </w:r>
          </w:p>
        </w:tc>
      </w:tr>
    </w:tbl>
    <w:p w14:paraId="51746315">
      <w:pPr>
        <w:ind w:firstLine="480"/>
        <w:rPr>
          <w:color w:val="auto"/>
          <w:highlight w:val="none"/>
        </w:rPr>
      </w:pPr>
    </w:p>
    <w:p w14:paraId="790A0573">
      <w:pPr>
        <w:ind w:firstLine="480"/>
        <w:rPr>
          <w:color w:val="auto"/>
          <w:highlight w:val="none"/>
        </w:rPr>
      </w:pPr>
      <w:r>
        <w:rPr>
          <w:color w:val="auto"/>
          <w:highlight w:val="none"/>
        </w:rPr>
        <w:t>项目大气污染物年排放量核算见表4.2-</w:t>
      </w:r>
      <w:r>
        <w:rPr>
          <w:rFonts w:hint="eastAsia"/>
          <w:color w:val="auto"/>
          <w:highlight w:val="none"/>
        </w:rPr>
        <w:t>21</w:t>
      </w:r>
      <w:r>
        <w:rPr>
          <w:color w:val="auto"/>
          <w:highlight w:val="none"/>
        </w:rPr>
        <w:t>。</w:t>
      </w:r>
    </w:p>
    <w:p w14:paraId="10801167">
      <w:pPr>
        <w:spacing w:line="240" w:lineRule="auto"/>
        <w:ind w:firstLine="0" w:firstLineChars="0"/>
        <w:jc w:val="center"/>
        <w:rPr>
          <w:b/>
          <w:color w:val="auto"/>
          <w:sz w:val="21"/>
          <w:szCs w:val="21"/>
          <w:highlight w:val="none"/>
        </w:rPr>
      </w:pPr>
      <w:r>
        <w:rPr>
          <w:b/>
          <w:color w:val="auto"/>
          <w:sz w:val="21"/>
          <w:szCs w:val="21"/>
          <w:highlight w:val="none"/>
        </w:rPr>
        <w:t>表4.2-</w:t>
      </w:r>
      <w:r>
        <w:rPr>
          <w:rFonts w:hint="eastAsia"/>
          <w:b/>
          <w:color w:val="auto"/>
          <w:sz w:val="21"/>
          <w:szCs w:val="21"/>
          <w:highlight w:val="none"/>
        </w:rPr>
        <w:t>21</w:t>
      </w:r>
      <w:r>
        <w:rPr>
          <w:b/>
          <w:color w:val="auto"/>
          <w:sz w:val="21"/>
          <w:szCs w:val="21"/>
          <w:highlight w:val="none"/>
        </w:rPr>
        <w:t>大气污染物年排放量核算表</w:t>
      </w:r>
    </w:p>
    <w:tbl>
      <w:tblPr>
        <w:tblStyle w:val="92"/>
        <w:tblW w:w="4999"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772"/>
        <w:gridCol w:w="4540"/>
        <w:gridCol w:w="2972"/>
      </w:tblGrid>
      <w:tr w14:paraId="50A227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54" w:type="pct"/>
            <w:tcBorders>
              <w:tl2br w:val="nil"/>
              <w:tr2bl w:val="nil"/>
            </w:tcBorders>
            <w:vAlign w:val="center"/>
          </w:tcPr>
          <w:p w14:paraId="1C286361">
            <w:pPr>
              <w:spacing w:line="240" w:lineRule="auto"/>
              <w:ind w:firstLine="0" w:firstLineChars="0"/>
              <w:jc w:val="center"/>
              <w:rPr>
                <w:b/>
                <w:bCs/>
                <w:color w:val="auto"/>
                <w:sz w:val="21"/>
                <w:szCs w:val="21"/>
                <w:highlight w:val="none"/>
              </w:rPr>
            </w:pPr>
            <w:r>
              <w:rPr>
                <w:b/>
                <w:bCs/>
                <w:color w:val="auto"/>
                <w:sz w:val="21"/>
                <w:szCs w:val="21"/>
                <w:highlight w:val="none"/>
              </w:rPr>
              <w:t>序号</w:t>
            </w:r>
          </w:p>
        </w:tc>
        <w:tc>
          <w:tcPr>
            <w:tcW w:w="2444" w:type="pct"/>
            <w:tcBorders>
              <w:tl2br w:val="nil"/>
              <w:tr2bl w:val="nil"/>
            </w:tcBorders>
            <w:vAlign w:val="center"/>
          </w:tcPr>
          <w:p w14:paraId="5479343D">
            <w:pPr>
              <w:spacing w:line="240" w:lineRule="auto"/>
              <w:ind w:firstLine="0" w:firstLineChars="0"/>
              <w:jc w:val="center"/>
              <w:rPr>
                <w:b/>
                <w:bCs/>
                <w:color w:val="auto"/>
                <w:sz w:val="21"/>
                <w:szCs w:val="21"/>
                <w:highlight w:val="none"/>
              </w:rPr>
            </w:pPr>
            <w:r>
              <w:rPr>
                <w:b/>
                <w:bCs/>
                <w:color w:val="auto"/>
                <w:sz w:val="21"/>
                <w:szCs w:val="21"/>
                <w:highlight w:val="none"/>
              </w:rPr>
              <w:t>污染物</w:t>
            </w:r>
          </w:p>
        </w:tc>
        <w:tc>
          <w:tcPr>
            <w:tcW w:w="1600" w:type="pct"/>
            <w:tcBorders>
              <w:tl2br w:val="nil"/>
              <w:tr2bl w:val="nil"/>
            </w:tcBorders>
            <w:vAlign w:val="center"/>
          </w:tcPr>
          <w:p w14:paraId="48D5E43F">
            <w:pPr>
              <w:spacing w:line="240" w:lineRule="auto"/>
              <w:ind w:firstLine="0" w:firstLineChars="0"/>
              <w:jc w:val="center"/>
              <w:rPr>
                <w:b/>
                <w:bCs/>
                <w:color w:val="auto"/>
                <w:sz w:val="21"/>
                <w:szCs w:val="21"/>
                <w:highlight w:val="none"/>
              </w:rPr>
            </w:pPr>
            <w:r>
              <w:rPr>
                <w:b/>
                <w:bCs/>
                <w:color w:val="auto"/>
                <w:sz w:val="21"/>
                <w:szCs w:val="21"/>
                <w:highlight w:val="none"/>
              </w:rPr>
              <w:t>年排放量（t/a）</w:t>
            </w:r>
          </w:p>
        </w:tc>
      </w:tr>
      <w:tr w14:paraId="7557C5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54" w:type="pct"/>
            <w:tcBorders>
              <w:tl2br w:val="nil"/>
              <w:tr2bl w:val="nil"/>
            </w:tcBorders>
            <w:vAlign w:val="center"/>
          </w:tcPr>
          <w:p w14:paraId="77DD6797">
            <w:pPr>
              <w:spacing w:line="240" w:lineRule="auto"/>
              <w:ind w:firstLine="0" w:firstLineChars="0"/>
              <w:jc w:val="center"/>
              <w:rPr>
                <w:color w:val="auto"/>
                <w:sz w:val="21"/>
                <w:szCs w:val="21"/>
                <w:highlight w:val="none"/>
              </w:rPr>
            </w:pPr>
            <w:r>
              <w:rPr>
                <w:color w:val="auto"/>
                <w:sz w:val="21"/>
                <w:szCs w:val="21"/>
                <w:highlight w:val="none"/>
              </w:rPr>
              <w:t>1</w:t>
            </w:r>
          </w:p>
        </w:tc>
        <w:tc>
          <w:tcPr>
            <w:tcW w:w="2444" w:type="pct"/>
            <w:tcBorders>
              <w:tl2br w:val="nil"/>
              <w:tr2bl w:val="nil"/>
            </w:tcBorders>
            <w:vAlign w:val="center"/>
          </w:tcPr>
          <w:p w14:paraId="03DC0BB0">
            <w:pPr>
              <w:spacing w:line="240" w:lineRule="auto"/>
              <w:ind w:firstLine="0" w:firstLineChars="0"/>
              <w:jc w:val="center"/>
              <w:rPr>
                <w:color w:val="auto"/>
                <w:sz w:val="21"/>
                <w:szCs w:val="21"/>
                <w:highlight w:val="none"/>
              </w:rPr>
            </w:pPr>
            <w:r>
              <w:rPr>
                <w:color w:val="auto"/>
                <w:sz w:val="21"/>
                <w:szCs w:val="21"/>
                <w:highlight w:val="none"/>
              </w:rPr>
              <w:t>TSP</w:t>
            </w:r>
          </w:p>
        </w:tc>
        <w:tc>
          <w:tcPr>
            <w:tcW w:w="2972" w:type="dxa"/>
            <w:tcBorders>
              <w:tl2br w:val="nil"/>
              <w:tr2bl w:val="nil"/>
            </w:tcBorders>
            <w:vAlign w:val="center"/>
          </w:tcPr>
          <w:p w14:paraId="2BB90DEB">
            <w:pPr>
              <w:spacing w:line="240" w:lineRule="auto"/>
              <w:ind w:firstLine="0" w:firstLineChars="0"/>
              <w:jc w:val="center"/>
              <w:rPr>
                <w:color w:val="auto"/>
                <w:sz w:val="21"/>
                <w:szCs w:val="21"/>
                <w:highlight w:val="none"/>
              </w:rPr>
            </w:pPr>
            <w:r>
              <w:rPr>
                <w:rFonts w:hint="eastAsia"/>
                <w:color w:val="auto"/>
                <w:sz w:val="21"/>
                <w:szCs w:val="21"/>
                <w:highlight w:val="none"/>
              </w:rPr>
              <w:t>9.442</w:t>
            </w:r>
          </w:p>
        </w:tc>
      </w:tr>
      <w:tr w14:paraId="259294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54" w:type="pct"/>
            <w:tcBorders>
              <w:tl2br w:val="nil"/>
              <w:tr2bl w:val="nil"/>
            </w:tcBorders>
            <w:vAlign w:val="center"/>
          </w:tcPr>
          <w:p w14:paraId="435172A9">
            <w:pPr>
              <w:spacing w:line="240" w:lineRule="auto"/>
              <w:ind w:firstLine="0" w:firstLineChars="0"/>
              <w:jc w:val="center"/>
              <w:rPr>
                <w:color w:val="auto"/>
                <w:sz w:val="21"/>
                <w:szCs w:val="21"/>
                <w:highlight w:val="none"/>
              </w:rPr>
            </w:pPr>
            <w:r>
              <w:rPr>
                <w:color w:val="auto"/>
                <w:sz w:val="21"/>
                <w:szCs w:val="21"/>
                <w:highlight w:val="none"/>
              </w:rPr>
              <w:t>2</w:t>
            </w:r>
          </w:p>
        </w:tc>
        <w:tc>
          <w:tcPr>
            <w:tcW w:w="2444" w:type="pct"/>
            <w:tcBorders>
              <w:tl2br w:val="nil"/>
              <w:tr2bl w:val="nil"/>
            </w:tcBorders>
            <w:vAlign w:val="center"/>
          </w:tcPr>
          <w:p w14:paraId="26A89B95">
            <w:pPr>
              <w:spacing w:line="240" w:lineRule="auto"/>
              <w:ind w:firstLine="0" w:firstLineChars="0"/>
              <w:jc w:val="center"/>
              <w:rPr>
                <w:color w:val="auto"/>
                <w:sz w:val="21"/>
                <w:szCs w:val="21"/>
                <w:highlight w:val="none"/>
              </w:rPr>
            </w:pPr>
            <w:r>
              <w:rPr>
                <w:color w:val="auto"/>
                <w:sz w:val="21"/>
                <w:szCs w:val="21"/>
                <w:highlight w:val="none"/>
              </w:rPr>
              <w:t>二甲苯</w:t>
            </w:r>
          </w:p>
        </w:tc>
        <w:tc>
          <w:tcPr>
            <w:tcW w:w="2972" w:type="dxa"/>
            <w:tcBorders>
              <w:tl2br w:val="nil"/>
              <w:tr2bl w:val="nil"/>
            </w:tcBorders>
            <w:vAlign w:val="center"/>
          </w:tcPr>
          <w:p w14:paraId="2D6562F8">
            <w:pPr>
              <w:spacing w:line="240" w:lineRule="auto"/>
              <w:ind w:firstLine="0" w:firstLineChars="0"/>
              <w:jc w:val="center"/>
              <w:rPr>
                <w:color w:val="auto"/>
                <w:sz w:val="21"/>
                <w:szCs w:val="21"/>
                <w:highlight w:val="none"/>
              </w:rPr>
            </w:pPr>
            <w:r>
              <w:rPr>
                <w:color w:val="auto"/>
                <w:sz w:val="21"/>
                <w:szCs w:val="21"/>
                <w:highlight w:val="none"/>
              </w:rPr>
              <w:t>14.71</w:t>
            </w:r>
          </w:p>
        </w:tc>
      </w:tr>
      <w:tr w14:paraId="320A16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54" w:type="pct"/>
            <w:tcBorders>
              <w:tl2br w:val="nil"/>
              <w:tr2bl w:val="nil"/>
            </w:tcBorders>
            <w:vAlign w:val="center"/>
          </w:tcPr>
          <w:p w14:paraId="035D3B89">
            <w:pPr>
              <w:spacing w:line="240" w:lineRule="auto"/>
              <w:ind w:firstLine="0" w:firstLineChars="0"/>
              <w:jc w:val="center"/>
              <w:rPr>
                <w:color w:val="auto"/>
                <w:sz w:val="21"/>
                <w:szCs w:val="21"/>
                <w:highlight w:val="none"/>
              </w:rPr>
            </w:pPr>
            <w:r>
              <w:rPr>
                <w:color w:val="auto"/>
                <w:sz w:val="21"/>
                <w:szCs w:val="21"/>
                <w:highlight w:val="none"/>
              </w:rPr>
              <w:t>3</w:t>
            </w:r>
          </w:p>
        </w:tc>
        <w:tc>
          <w:tcPr>
            <w:tcW w:w="2444" w:type="pct"/>
            <w:tcBorders>
              <w:tl2br w:val="nil"/>
              <w:tr2bl w:val="nil"/>
            </w:tcBorders>
            <w:vAlign w:val="center"/>
          </w:tcPr>
          <w:p w14:paraId="2AC1B616">
            <w:pPr>
              <w:spacing w:line="240" w:lineRule="auto"/>
              <w:ind w:firstLine="0" w:firstLineChars="0"/>
              <w:jc w:val="center"/>
              <w:rPr>
                <w:color w:val="auto"/>
                <w:sz w:val="21"/>
                <w:szCs w:val="21"/>
                <w:highlight w:val="none"/>
              </w:rPr>
            </w:pPr>
            <w:r>
              <w:rPr>
                <w:rFonts w:hint="eastAsia"/>
                <w:color w:val="auto"/>
                <w:sz w:val="21"/>
                <w:szCs w:val="21"/>
                <w:highlight w:val="none"/>
              </w:rPr>
              <w:t>T</w:t>
            </w:r>
            <w:r>
              <w:rPr>
                <w:color w:val="auto"/>
                <w:sz w:val="21"/>
                <w:szCs w:val="21"/>
                <w:highlight w:val="none"/>
              </w:rPr>
              <w:t>VOC</w:t>
            </w:r>
          </w:p>
        </w:tc>
        <w:tc>
          <w:tcPr>
            <w:tcW w:w="2972" w:type="dxa"/>
            <w:tcBorders>
              <w:tl2br w:val="nil"/>
              <w:tr2bl w:val="nil"/>
            </w:tcBorders>
            <w:vAlign w:val="center"/>
          </w:tcPr>
          <w:p w14:paraId="64733020">
            <w:pPr>
              <w:spacing w:line="240" w:lineRule="auto"/>
              <w:ind w:firstLine="0" w:firstLineChars="0"/>
              <w:jc w:val="center"/>
              <w:rPr>
                <w:color w:val="auto"/>
                <w:sz w:val="21"/>
                <w:szCs w:val="21"/>
                <w:highlight w:val="none"/>
              </w:rPr>
            </w:pPr>
            <w:r>
              <w:rPr>
                <w:color w:val="auto"/>
                <w:sz w:val="21"/>
                <w:szCs w:val="21"/>
                <w:highlight w:val="none"/>
              </w:rPr>
              <w:t>58.86</w:t>
            </w:r>
          </w:p>
        </w:tc>
      </w:tr>
      <w:bookmarkEnd w:id="182"/>
      <w:bookmarkEnd w:id="183"/>
      <w:bookmarkEnd w:id="184"/>
      <w:bookmarkEnd w:id="187"/>
    </w:tbl>
    <w:p w14:paraId="47FD46DE">
      <w:pPr>
        <w:pStyle w:val="7"/>
        <w:numPr>
          <w:ilvl w:val="2"/>
          <w:numId w:val="9"/>
        </w:numPr>
        <w:rPr>
          <w:color w:val="auto"/>
          <w:sz w:val="28"/>
          <w:highlight w:val="none"/>
        </w:rPr>
      </w:pPr>
      <w:bookmarkStart w:id="203" w:name="_Toc475975310"/>
      <w:bookmarkStart w:id="204" w:name="_Toc371234039"/>
      <w:r>
        <w:rPr>
          <w:color w:val="auto"/>
          <w:sz w:val="28"/>
          <w:highlight w:val="none"/>
        </w:rPr>
        <w:t>运营期水环境影响分析与评价</w:t>
      </w:r>
    </w:p>
    <w:p w14:paraId="5A94916E">
      <w:pPr>
        <w:ind w:firstLine="480"/>
        <w:rPr>
          <w:color w:val="auto"/>
          <w:highlight w:val="none"/>
        </w:rPr>
      </w:pPr>
      <w:r>
        <w:rPr>
          <w:color w:val="auto"/>
          <w:highlight w:val="none"/>
        </w:rPr>
        <w:t>（1）陆域污水环境影响分析</w:t>
      </w:r>
    </w:p>
    <w:p w14:paraId="109C208D">
      <w:pPr>
        <w:ind w:firstLine="480"/>
        <w:rPr>
          <w:color w:val="auto"/>
          <w:highlight w:val="none"/>
        </w:rPr>
      </w:pPr>
      <w:r>
        <w:rPr>
          <w:color w:val="auto"/>
          <w:highlight w:val="none"/>
        </w:rPr>
        <w:t>陆域污水主要为职工生活污水，职工</w:t>
      </w:r>
      <w:r>
        <w:rPr>
          <w:color w:val="auto"/>
          <w:szCs w:val="20"/>
          <w:highlight w:val="none"/>
        </w:rPr>
        <w:t>生活污水经</w:t>
      </w:r>
      <w:r>
        <w:rPr>
          <w:rFonts w:hint="eastAsia"/>
          <w:color w:val="auto"/>
          <w:szCs w:val="20"/>
          <w:highlight w:val="none"/>
        </w:rPr>
        <w:t>陆域</w:t>
      </w:r>
      <w:r>
        <w:rPr>
          <w:color w:val="auto"/>
          <w:szCs w:val="20"/>
          <w:highlight w:val="none"/>
        </w:rPr>
        <w:t>生活污水处理一体化设备（处理规模300m</w:t>
      </w:r>
      <w:r>
        <w:rPr>
          <w:color w:val="auto"/>
          <w:szCs w:val="20"/>
          <w:highlight w:val="none"/>
          <w:vertAlign w:val="superscript"/>
        </w:rPr>
        <w:t>3</w:t>
      </w:r>
      <w:r>
        <w:rPr>
          <w:color w:val="auto"/>
          <w:szCs w:val="20"/>
          <w:highlight w:val="none"/>
        </w:rPr>
        <w:t>/d）处理</w:t>
      </w:r>
      <w:r>
        <w:rPr>
          <w:rFonts w:hint="eastAsia"/>
          <w:color w:val="auto"/>
          <w:szCs w:val="20"/>
          <w:highlight w:val="none"/>
        </w:rPr>
        <w:t>后，进入中水回用池储存，</w:t>
      </w:r>
      <w:r>
        <w:rPr>
          <w:color w:val="auto"/>
          <w:szCs w:val="20"/>
          <w:highlight w:val="none"/>
        </w:rPr>
        <w:t>大部分回用于厂区绿化及降尘，少部分不能回用的由槽罐车运至大榄坪污水处理厂处理</w:t>
      </w:r>
      <w:r>
        <w:rPr>
          <w:color w:val="auto"/>
          <w:highlight w:val="none"/>
        </w:rPr>
        <w:t>。</w:t>
      </w:r>
    </w:p>
    <w:p w14:paraId="509970CD">
      <w:pPr>
        <w:ind w:firstLine="480"/>
        <w:rPr>
          <w:color w:val="auto"/>
          <w:highlight w:val="none"/>
        </w:rPr>
      </w:pPr>
      <w:r>
        <w:rPr>
          <w:color w:val="auto"/>
          <w:highlight w:val="none"/>
        </w:rPr>
        <w:t>（2）船舶污水环境影响分析</w:t>
      </w:r>
    </w:p>
    <w:p w14:paraId="29894F6D">
      <w:pPr>
        <w:ind w:firstLine="480"/>
        <w:rPr>
          <w:bCs/>
          <w:color w:val="auto"/>
          <w:szCs w:val="20"/>
          <w:highlight w:val="none"/>
          <w:u w:val="single"/>
        </w:rPr>
      </w:pPr>
      <w:r>
        <w:rPr>
          <w:color w:val="auto"/>
          <w:highlight w:val="none"/>
        </w:rPr>
        <w:t>船舶污水主要包括</w:t>
      </w:r>
      <w:bookmarkStart w:id="205" w:name="_Hlk218609825"/>
      <w:r>
        <w:rPr>
          <w:color w:val="auto"/>
          <w:highlight w:val="none"/>
        </w:rPr>
        <w:t>压舱水、洗舱废水</w:t>
      </w:r>
      <w:r>
        <w:rPr>
          <w:rFonts w:hint="eastAsia"/>
          <w:color w:val="auto"/>
          <w:highlight w:val="none"/>
        </w:rPr>
        <w:t>、</w:t>
      </w:r>
      <w:r>
        <w:rPr>
          <w:color w:val="auto"/>
          <w:highlight w:val="none"/>
        </w:rPr>
        <w:t>高压冲洗水</w:t>
      </w:r>
      <w:bookmarkEnd w:id="205"/>
      <w:r>
        <w:rPr>
          <w:color w:val="auto"/>
          <w:highlight w:val="none"/>
        </w:rPr>
        <w:t>、含油废水</w:t>
      </w:r>
      <w:r>
        <w:rPr>
          <w:rFonts w:hint="eastAsia"/>
          <w:color w:val="auto"/>
          <w:highlight w:val="none"/>
        </w:rPr>
        <w:t>。</w:t>
      </w:r>
      <w:r>
        <w:rPr>
          <w:rFonts w:hint="eastAsia"/>
          <w:bCs/>
          <w:color w:val="auto"/>
          <w:szCs w:val="20"/>
          <w:highlight w:val="none"/>
          <w:u w:val="single"/>
        </w:rPr>
        <w:t>修理的船舶在进坞前需进行清仓处理，保证空船进坞。压舱水需在进坞前委托有资质单位处理，不得在本项目区域排放；洗舱作业及产生的洗舱废水委托有资质单位处理，不得在本项目区域排放；因此本项目生产废水主要为高压冲洗废水和坞修含油废水。</w:t>
      </w:r>
    </w:p>
    <w:p w14:paraId="13B8D21B">
      <w:pPr>
        <w:ind w:firstLine="480"/>
        <w:rPr>
          <w:color w:val="auto"/>
          <w:highlight w:val="none"/>
        </w:rPr>
      </w:pPr>
      <w:r>
        <w:rPr>
          <w:rFonts w:hint="eastAsia" w:ascii="宋体" w:hAnsi="宋体" w:cs="宋体"/>
          <w:color w:val="auto"/>
          <w:highlight w:val="none"/>
        </w:rPr>
        <w:t>①</w:t>
      </w:r>
      <w:r>
        <w:rPr>
          <w:color w:val="auto"/>
          <w:highlight w:val="none"/>
        </w:rPr>
        <w:t>压舱水</w:t>
      </w:r>
    </w:p>
    <w:p w14:paraId="3461108E">
      <w:pPr>
        <w:ind w:firstLine="480"/>
        <w:rPr>
          <w:color w:val="auto"/>
          <w:highlight w:val="none"/>
        </w:rPr>
      </w:pPr>
      <w:r>
        <w:rPr>
          <w:color w:val="auto"/>
          <w:highlight w:val="none"/>
        </w:rPr>
        <w:t>压舱水是保持船舶平衡，而专门注入船舶的水，压舱水一般取自海水，含有少量的石油类。依据《关于控制和管理船舶压载水，减少有害生物和病原体传播的指南》及压舱水的相关管理规定，所有压舱水根据海事部门的要求进行排放。对于船舶压载水的处理，国内和国际都在进一步研究之中。国家环境保护部、海事局及</w:t>
      </w:r>
      <w:r>
        <w:rPr>
          <w:rFonts w:hint="eastAsia"/>
          <w:color w:val="auto"/>
          <w:highlight w:val="none"/>
          <w:lang w:eastAsia="zh-CN"/>
        </w:rPr>
        <w:t>交通运输部</w:t>
      </w:r>
      <w:r>
        <w:rPr>
          <w:color w:val="auto"/>
          <w:highlight w:val="none"/>
        </w:rPr>
        <w:t>目前未正式颁发任何有关压舱水必须上岸处理的文件。</w:t>
      </w:r>
    </w:p>
    <w:p w14:paraId="0AC4DAA6">
      <w:pPr>
        <w:ind w:firstLine="480"/>
        <w:rPr>
          <w:color w:val="auto"/>
          <w:highlight w:val="none"/>
        </w:rPr>
      </w:pPr>
      <w:r>
        <w:rPr>
          <w:color w:val="auto"/>
          <w:highlight w:val="none"/>
        </w:rPr>
        <w:t>因此在本环境影响报告书中明确要求：“压舱水不得在港池内排放”。外贸船舶在入境前，应更换压舱水，所有压舱水应根据海事部门的要求进行排放，船舶压舱水均由船体自带的油水分离器处理后达到</w:t>
      </w:r>
      <w:r>
        <w:rPr>
          <w:rFonts w:hint="default" w:ascii="Times New Roman" w:hAnsi="Times New Roman" w:cs="Times New Roman"/>
          <w:color w:val="auto"/>
          <w:highlight w:val="none"/>
          <w:u w:val="none"/>
        </w:rPr>
        <w:t>《船舶水污染物排放控制标准》（GB3552-2018）</w:t>
      </w:r>
      <w:r>
        <w:rPr>
          <w:color w:val="auto"/>
          <w:highlight w:val="none"/>
        </w:rPr>
        <w:t>，排入外海，或委托有资质的船舶清理服务公司收集处理，本工程暂不接收处理到港船舶压舱载水。</w:t>
      </w:r>
    </w:p>
    <w:p w14:paraId="3D04DB96">
      <w:pPr>
        <w:ind w:firstLine="480"/>
        <w:rPr>
          <w:color w:val="auto"/>
          <w:highlight w:val="none"/>
        </w:rPr>
      </w:pPr>
      <w:r>
        <w:rPr>
          <w:rFonts w:hint="eastAsia" w:ascii="宋体" w:hAnsi="宋体" w:cs="宋体"/>
          <w:color w:val="auto"/>
          <w:highlight w:val="none"/>
        </w:rPr>
        <w:t>②</w:t>
      </w:r>
      <w:r>
        <w:rPr>
          <w:color w:val="auto"/>
          <w:highlight w:val="none"/>
        </w:rPr>
        <w:t>洗舱废水</w:t>
      </w:r>
    </w:p>
    <w:p w14:paraId="7E68D5B1">
      <w:pPr>
        <w:ind w:firstLine="480"/>
        <w:rPr>
          <w:color w:val="auto"/>
          <w:highlight w:val="none"/>
        </w:rPr>
      </w:pPr>
      <w:r>
        <w:rPr>
          <w:color w:val="auto"/>
          <w:highlight w:val="none"/>
        </w:rPr>
        <w:t>根据工程分析，根据所载运货种的不同，洗舱废水主要包括化工船舶洗舱水和油船洗舱水两类，油船洗舱水含油量较高。洗舱水中还含有油泥、铁锈水中还含有泥、铁锈，散装液体化学品洗舱水含少量化学品残液，本项目待修船舶洗舱委托钦州市苏南船舶服务有限公司承担，并通过清洗作业船舶带走清理过程产生的洗舱废水，废水不在本区域排放。</w:t>
      </w:r>
    </w:p>
    <w:p w14:paraId="16DADD17">
      <w:pPr>
        <w:ind w:firstLine="480"/>
        <w:rPr>
          <w:color w:val="auto"/>
          <w:highlight w:val="none"/>
        </w:rPr>
      </w:pPr>
      <w:r>
        <w:rPr>
          <w:rFonts w:hint="eastAsia" w:ascii="宋体" w:hAnsi="宋体" w:cs="宋体"/>
          <w:color w:val="auto"/>
          <w:highlight w:val="none"/>
        </w:rPr>
        <w:t>③</w:t>
      </w:r>
      <w:r>
        <w:rPr>
          <w:color w:val="auto"/>
          <w:highlight w:val="none"/>
        </w:rPr>
        <w:t>高压冲洗水</w:t>
      </w:r>
    </w:p>
    <w:p w14:paraId="65608382">
      <w:pPr>
        <w:ind w:firstLine="480"/>
        <w:rPr>
          <w:color w:val="auto"/>
          <w:highlight w:val="none"/>
        </w:rPr>
      </w:pPr>
      <w:r>
        <w:rPr>
          <w:color w:val="auto"/>
          <w:highlight w:val="none"/>
        </w:rPr>
        <w:t>船舶进坞后待修部位先用高压水冲洗，以除去船体表面的泥沙、附着物和浮漆等，根据工程分析，该废水主要污染因子为SS，其含量约为300mg/L，含油浓度基本上小于5mg/L，该部分废水经收集沉淀后回用于船体高压冲洗或船坞清洗，不外排，对水环境无影响。</w:t>
      </w:r>
    </w:p>
    <w:p w14:paraId="42A20F5B">
      <w:pPr>
        <w:ind w:firstLine="480"/>
        <w:rPr>
          <w:color w:val="auto"/>
          <w:highlight w:val="none"/>
        </w:rPr>
      </w:pPr>
      <w:r>
        <w:rPr>
          <w:rFonts w:hint="eastAsia" w:ascii="宋体" w:hAnsi="宋体" w:cs="宋体"/>
          <w:color w:val="auto"/>
          <w:highlight w:val="none"/>
        </w:rPr>
        <w:t>④</w:t>
      </w:r>
      <w:r>
        <w:rPr>
          <w:color w:val="auto"/>
          <w:highlight w:val="none"/>
        </w:rPr>
        <w:t>含油废水</w:t>
      </w:r>
    </w:p>
    <w:p w14:paraId="5E33FCEF">
      <w:pPr>
        <w:ind w:firstLine="480"/>
        <w:rPr>
          <w:color w:val="auto"/>
          <w:szCs w:val="20"/>
          <w:highlight w:val="none"/>
        </w:rPr>
      </w:pPr>
      <w:r>
        <w:rPr>
          <w:color w:val="auto"/>
          <w:highlight w:val="none"/>
        </w:rPr>
        <w:t>含油废水主要来自于待修船舶的机舱含油废水、坞底含油废水、坞内清洗含油废水。根据工程分析，含油废水产生量合计8178.75m</w:t>
      </w:r>
      <w:r>
        <w:rPr>
          <w:color w:val="auto"/>
          <w:highlight w:val="none"/>
          <w:vertAlign w:val="superscript"/>
        </w:rPr>
        <w:t>3</w:t>
      </w:r>
      <w:r>
        <w:rPr>
          <w:color w:val="auto"/>
          <w:highlight w:val="none"/>
        </w:rPr>
        <w:t>/a，污染物主要为石油类、COD。</w:t>
      </w:r>
      <w:r>
        <w:rPr>
          <w:color w:val="auto"/>
          <w:szCs w:val="20"/>
          <w:highlight w:val="none"/>
        </w:rPr>
        <w:t>项目坞修产生的含油废水</w:t>
      </w:r>
      <w:r>
        <w:rPr>
          <w:rFonts w:hint="eastAsia"/>
          <w:color w:val="auto"/>
          <w:szCs w:val="20"/>
          <w:highlight w:val="none"/>
        </w:rPr>
        <w:t>经浮船坞配套的污水舱收集后采用罐车运至</w:t>
      </w:r>
      <w:r>
        <w:rPr>
          <w:color w:val="auto"/>
          <w:szCs w:val="20"/>
          <w:highlight w:val="none"/>
        </w:rPr>
        <w:t>厂区</w:t>
      </w:r>
      <w:r>
        <w:rPr>
          <w:rFonts w:hint="eastAsia"/>
          <w:color w:val="auto"/>
          <w:szCs w:val="20"/>
          <w:highlight w:val="none"/>
        </w:rPr>
        <w:t>现有</w:t>
      </w:r>
      <w:r>
        <w:rPr>
          <w:color w:val="auto"/>
          <w:szCs w:val="20"/>
          <w:highlight w:val="none"/>
        </w:rPr>
        <w:t>污水处理站的含油废水处理系统处理</w:t>
      </w:r>
      <w:r>
        <w:rPr>
          <w:rFonts w:hint="eastAsia"/>
          <w:color w:val="auto"/>
          <w:szCs w:val="20"/>
          <w:highlight w:val="none"/>
        </w:rPr>
        <w:t>，</w:t>
      </w:r>
      <w:r>
        <w:rPr>
          <w:color w:val="auto"/>
          <w:szCs w:val="20"/>
          <w:highlight w:val="none"/>
        </w:rPr>
        <w:t>达到《污水综合排放标准》（GB8978-1996）三级标准后，经厂区污水管道排入</w:t>
      </w:r>
      <w:r>
        <w:rPr>
          <w:rFonts w:hint="eastAsia"/>
          <w:color w:val="auto"/>
          <w:szCs w:val="20"/>
          <w:highlight w:val="none"/>
        </w:rPr>
        <w:t>生活污水处理设备配套的中水回用池储存，</w:t>
      </w:r>
      <w:r>
        <w:rPr>
          <w:color w:val="auto"/>
          <w:szCs w:val="20"/>
          <w:highlight w:val="none"/>
        </w:rPr>
        <w:t>大部分回用于厂区绿化及降尘，少部分不能回用的由槽罐车运至大榄坪污水处理厂处理</w:t>
      </w:r>
      <w:r>
        <w:rPr>
          <w:rFonts w:hint="eastAsia"/>
          <w:color w:val="auto"/>
          <w:highlight w:val="none"/>
        </w:rPr>
        <w:t>，</w:t>
      </w:r>
      <w:r>
        <w:rPr>
          <w:color w:val="auto"/>
          <w:szCs w:val="20"/>
          <w:highlight w:val="none"/>
        </w:rPr>
        <w:t>不在本区域排放。</w:t>
      </w:r>
    </w:p>
    <w:p w14:paraId="0B7B45BA">
      <w:pPr>
        <w:ind w:firstLine="480"/>
        <w:rPr>
          <w:color w:val="auto"/>
          <w:highlight w:val="none"/>
        </w:rPr>
      </w:pPr>
      <w:r>
        <w:rPr>
          <w:color w:val="auto"/>
          <w:highlight w:val="none"/>
        </w:rPr>
        <w:t>（3）初期雨水环境影响分析</w:t>
      </w:r>
    </w:p>
    <w:p w14:paraId="132EAF70">
      <w:pPr>
        <w:ind w:firstLine="480"/>
        <w:rPr>
          <w:color w:val="auto"/>
          <w:highlight w:val="none"/>
        </w:rPr>
      </w:pPr>
      <w:r>
        <w:rPr>
          <w:color w:val="auto"/>
          <w:highlight w:val="none"/>
        </w:rPr>
        <w:t>根据工程分析，</w:t>
      </w:r>
      <w:r>
        <w:rPr>
          <w:color w:val="auto"/>
          <w:szCs w:val="20"/>
          <w:highlight w:val="none"/>
        </w:rPr>
        <w:t>项目</w:t>
      </w:r>
      <w:r>
        <w:rPr>
          <w:rFonts w:eastAsiaTheme="minorEastAsia"/>
          <w:color w:val="auto"/>
          <w:highlight w:val="none"/>
        </w:rPr>
        <w:t>浮船坞</w:t>
      </w:r>
      <w:r>
        <w:rPr>
          <w:rFonts w:hint="eastAsia" w:eastAsiaTheme="minorEastAsia"/>
          <w:color w:val="auto"/>
          <w:highlight w:val="none"/>
        </w:rPr>
        <w:t>上喷漆、除锈等作业区</w:t>
      </w:r>
      <w:r>
        <w:rPr>
          <w:color w:val="auto"/>
          <w:szCs w:val="20"/>
          <w:highlight w:val="none"/>
        </w:rPr>
        <w:t>产生的</w:t>
      </w:r>
      <w:r>
        <w:rPr>
          <w:color w:val="auto"/>
          <w:highlight w:val="none"/>
        </w:rPr>
        <w:t>初期雨水</w:t>
      </w:r>
      <w:r>
        <w:rPr>
          <w:color w:val="auto"/>
          <w:szCs w:val="20"/>
          <w:highlight w:val="none"/>
        </w:rPr>
        <w:t>量约为</w:t>
      </w:r>
      <w:r>
        <w:rPr>
          <w:rFonts w:hint="eastAsia"/>
          <w:color w:val="auto"/>
          <w:highlight w:val="none"/>
        </w:rPr>
        <w:t>100.15</w:t>
      </w:r>
      <w:r>
        <w:rPr>
          <w:color w:val="auto"/>
          <w:highlight w:val="none"/>
        </w:rPr>
        <w:t>m</w:t>
      </w:r>
      <w:r>
        <w:rPr>
          <w:color w:val="auto"/>
          <w:highlight w:val="none"/>
          <w:vertAlign w:val="superscript"/>
        </w:rPr>
        <w:t>3</w:t>
      </w:r>
      <w:r>
        <w:rPr>
          <w:color w:val="auto"/>
          <w:highlight w:val="none"/>
        </w:rPr>
        <w:t>/次，</w:t>
      </w:r>
      <w:r>
        <w:rPr>
          <w:color w:val="auto"/>
          <w:szCs w:val="20"/>
          <w:highlight w:val="none"/>
        </w:rPr>
        <w:t>主要污染物为石油类和SS，一般含油较低约40mg/L，SS浓度约250mg/L。</w:t>
      </w:r>
      <w:r>
        <w:rPr>
          <w:rFonts w:hint="eastAsia"/>
          <w:color w:val="auto"/>
          <w:szCs w:val="20"/>
          <w:highlight w:val="none"/>
        </w:rPr>
        <w:t>浮船坞上</w:t>
      </w:r>
      <w:r>
        <w:rPr>
          <w:color w:val="auto"/>
          <w:szCs w:val="20"/>
          <w:highlight w:val="none"/>
        </w:rPr>
        <w:t>配套建设1个初期雨水收集池</w:t>
      </w:r>
      <w:r>
        <w:rPr>
          <w:rFonts w:hint="eastAsia"/>
          <w:color w:val="auto"/>
          <w:szCs w:val="20"/>
          <w:highlight w:val="none"/>
        </w:rPr>
        <w:t>（容积113.85m</w:t>
      </w:r>
      <w:r>
        <w:rPr>
          <w:rFonts w:hint="eastAsia"/>
          <w:color w:val="auto"/>
          <w:szCs w:val="20"/>
          <w:highlight w:val="none"/>
          <w:vertAlign w:val="superscript"/>
        </w:rPr>
        <w:t>3</w:t>
      </w:r>
      <w:r>
        <w:rPr>
          <w:rFonts w:hint="eastAsia"/>
          <w:color w:val="auto"/>
          <w:szCs w:val="20"/>
          <w:highlight w:val="none"/>
        </w:rPr>
        <w:t>）</w:t>
      </w:r>
      <w:r>
        <w:rPr>
          <w:color w:val="auto"/>
          <w:szCs w:val="20"/>
          <w:highlight w:val="none"/>
        </w:rPr>
        <w:t>，</w:t>
      </w:r>
      <w:r>
        <w:rPr>
          <w:rFonts w:hint="eastAsia"/>
          <w:color w:val="auto"/>
          <w:szCs w:val="20"/>
          <w:highlight w:val="none"/>
        </w:rPr>
        <w:t>初期雨水经</w:t>
      </w:r>
      <w:r>
        <w:rPr>
          <w:rFonts w:eastAsiaTheme="minorEastAsia"/>
          <w:color w:val="auto"/>
          <w:highlight w:val="none"/>
          <w:u w:val="single"/>
        </w:rPr>
        <w:t>收集后</w:t>
      </w:r>
      <w:r>
        <w:rPr>
          <w:rFonts w:hint="eastAsia" w:eastAsiaTheme="minorEastAsia"/>
          <w:color w:val="auto"/>
          <w:highlight w:val="none"/>
          <w:u w:val="single"/>
        </w:rPr>
        <w:t>采用罐车转运</w:t>
      </w:r>
      <w:r>
        <w:rPr>
          <w:rFonts w:eastAsiaTheme="minorEastAsia"/>
          <w:color w:val="auto"/>
          <w:highlight w:val="none"/>
          <w:u w:val="single"/>
        </w:rPr>
        <w:t>进入</w:t>
      </w:r>
      <w:r>
        <w:rPr>
          <w:rFonts w:hint="eastAsia" w:eastAsiaTheme="minorEastAsia"/>
          <w:color w:val="auto"/>
          <w:highlight w:val="none"/>
          <w:u w:val="single"/>
        </w:rPr>
        <w:t>钦州基地陆域现有</w:t>
      </w:r>
      <w:r>
        <w:rPr>
          <w:color w:val="auto"/>
          <w:szCs w:val="20"/>
          <w:highlight w:val="none"/>
          <w:u w:val="single"/>
        </w:rPr>
        <w:t>生活污水处理一体化设备（处理规模300m</w:t>
      </w:r>
      <w:r>
        <w:rPr>
          <w:color w:val="auto"/>
          <w:szCs w:val="20"/>
          <w:highlight w:val="none"/>
          <w:u w:val="single"/>
          <w:vertAlign w:val="superscript"/>
        </w:rPr>
        <w:t>3</w:t>
      </w:r>
      <w:r>
        <w:rPr>
          <w:color w:val="auto"/>
          <w:szCs w:val="20"/>
          <w:highlight w:val="none"/>
          <w:u w:val="single"/>
        </w:rPr>
        <w:t>/d）处理</w:t>
      </w:r>
      <w:r>
        <w:rPr>
          <w:rFonts w:hint="eastAsia"/>
          <w:color w:val="auto"/>
          <w:szCs w:val="20"/>
          <w:highlight w:val="none"/>
          <w:u w:val="single"/>
        </w:rPr>
        <w:t>后，进入中水回用池储存，</w:t>
      </w:r>
      <w:r>
        <w:rPr>
          <w:color w:val="auto"/>
          <w:szCs w:val="20"/>
          <w:highlight w:val="none"/>
          <w:u w:val="single"/>
        </w:rPr>
        <w:t>大部分回用于厂区绿化及降尘，少部分不能回用的由槽罐车运至大榄坪污水处理厂处理</w:t>
      </w:r>
      <w:r>
        <w:rPr>
          <w:color w:val="auto"/>
          <w:highlight w:val="none"/>
        </w:rPr>
        <w:t>，不在本区域排放。</w:t>
      </w:r>
    </w:p>
    <w:p w14:paraId="010D1E61">
      <w:pPr>
        <w:ind w:firstLine="480"/>
        <w:rPr>
          <w:color w:val="auto"/>
          <w:highlight w:val="none"/>
        </w:rPr>
      </w:pPr>
      <w:r>
        <w:rPr>
          <w:color w:val="auto"/>
          <w:highlight w:val="none"/>
        </w:rPr>
        <w:t>综上，本项目废水均不在本项目区域排放，对区域水环境无影响。</w:t>
      </w:r>
    </w:p>
    <w:p w14:paraId="6F5315AD">
      <w:pPr>
        <w:pStyle w:val="7"/>
        <w:numPr>
          <w:ilvl w:val="2"/>
          <w:numId w:val="9"/>
        </w:numPr>
        <w:rPr>
          <w:color w:val="auto"/>
          <w:sz w:val="28"/>
          <w:highlight w:val="none"/>
        </w:rPr>
      </w:pPr>
      <w:r>
        <w:rPr>
          <w:color w:val="auto"/>
          <w:sz w:val="28"/>
          <w:highlight w:val="none"/>
        </w:rPr>
        <w:t>运营期声环境影响预测与评价</w:t>
      </w:r>
    </w:p>
    <w:p w14:paraId="61736EA8">
      <w:pPr>
        <w:ind w:firstLine="480"/>
        <w:rPr>
          <w:color w:val="auto"/>
          <w:highlight w:val="none"/>
        </w:rPr>
      </w:pPr>
      <w:r>
        <w:rPr>
          <w:color w:val="auto"/>
          <w:highlight w:val="none"/>
        </w:rPr>
        <w:t>根据工程分析，本项目产生的噪声主要有除锈打磨噪声，钢板撞击、敲打噪声，场地搬运机械，码头起重机机械噪声，及空压机、水泵、风机等动力设备运行噪声等。项目通过选用低噪声设备、对生产动力设备设于室内或设置隔声房、对动力设备采取减振吸声措施、对重噪声设备采取有效的隔声降噪措施对噪声进行控制，治理后噪声源强为75~100 dB(A)</w:t>
      </w:r>
      <w:r>
        <w:rPr>
          <w:rFonts w:hint="eastAsia"/>
          <w:color w:val="auto"/>
          <w:highlight w:val="none"/>
        </w:rPr>
        <w:t>；</w:t>
      </w:r>
      <w:r>
        <w:rPr>
          <w:rFonts w:hint="eastAsia"/>
          <w:color w:val="auto"/>
          <w:highlight w:val="none"/>
          <w:u w:val="single"/>
        </w:rPr>
        <w:t>新增6070门座机噪声源强为8</w:t>
      </w:r>
      <w:r>
        <w:rPr>
          <w:color w:val="auto"/>
          <w:highlight w:val="none"/>
          <w:u w:val="single"/>
        </w:rPr>
        <w:t>8~105 dB(A)。</w:t>
      </w:r>
    </w:p>
    <w:p w14:paraId="2468FC1F">
      <w:pPr>
        <w:ind w:firstLine="480"/>
        <w:rPr>
          <w:color w:val="auto"/>
          <w:highlight w:val="none"/>
          <w:u w:val="single"/>
        </w:rPr>
      </w:pPr>
      <w:r>
        <w:rPr>
          <w:rFonts w:hint="eastAsia"/>
          <w:color w:val="auto"/>
          <w:highlight w:val="none"/>
          <w:u w:val="single"/>
        </w:rPr>
        <w:t>（1）预测方法及预测模式</w:t>
      </w:r>
    </w:p>
    <w:p w14:paraId="6A9D09F9">
      <w:pPr>
        <w:ind w:firstLine="480"/>
        <w:rPr>
          <w:color w:val="auto"/>
          <w:highlight w:val="none"/>
          <w:u w:val="single"/>
        </w:rPr>
      </w:pPr>
      <w:r>
        <w:rPr>
          <w:color w:val="auto"/>
          <w:highlight w:val="none"/>
          <w:u w:val="single"/>
        </w:rPr>
        <w:t>本项目</w:t>
      </w:r>
      <w:r>
        <w:rPr>
          <w:rFonts w:hint="eastAsia"/>
          <w:color w:val="auto"/>
          <w:highlight w:val="none"/>
          <w:u w:val="single"/>
        </w:rPr>
        <w:t>为改建工程，主要建设内容为更换浮船坞，在5</w:t>
      </w:r>
      <w:r>
        <w:rPr>
          <w:color w:val="auto"/>
          <w:highlight w:val="none"/>
          <w:u w:val="single"/>
        </w:rPr>
        <w:t>#</w:t>
      </w:r>
      <w:r>
        <w:rPr>
          <w:rFonts w:hint="eastAsia"/>
          <w:color w:val="auto"/>
          <w:highlight w:val="none"/>
          <w:u w:val="single"/>
        </w:rPr>
        <w:t>舾装码头建设1台6070门座式起重机，</w:t>
      </w:r>
      <w:r>
        <w:rPr>
          <w:color w:val="auto"/>
          <w:highlight w:val="none"/>
          <w:u w:val="single"/>
        </w:rPr>
        <w:t>项目建成后中船钦州修船资源整合项目生产规模不变，新浮船坞依托现有坞坑安放，</w:t>
      </w:r>
      <w:r>
        <w:rPr>
          <w:rFonts w:hint="eastAsia"/>
          <w:color w:val="auto"/>
          <w:highlight w:val="none"/>
          <w:u w:val="single"/>
        </w:rPr>
        <w:t>坞内噪声源及分布位置基本不变，现状厂界噪声监测结果已包含浮船坞内声源影响，新增噪声源主要为6070门座式起重机，本次预测仅考虑几何发散，同时叠加厂区现状厂界噪声，分析说明本工程实施后厂界噪声达标情况</w:t>
      </w:r>
      <w:r>
        <w:rPr>
          <w:color w:val="auto"/>
          <w:highlight w:val="none"/>
          <w:u w:val="single"/>
        </w:rPr>
        <w:t>。</w:t>
      </w:r>
    </w:p>
    <w:p w14:paraId="2594980F">
      <w:pPr>
        <w:ind w:firstLine="480"/>
        <w:rPr>
          <w:color w:val="auto"/>
          <w:highlight w:val="none"/>
          <w:u w:val="single"/>
        </w:rPr>
      </w:pPr>
      <w:r>
        <w:rPr>
          <w:rFonts w:hint="eastAsia"/>
          <w:color w:val="auto"/>
          <w:highlight w:val="none"/>
          <w:u w:val="single"/>
        </w:rPr>
        <w:t>《环境影响评价技术导则 声环境》（HJ2.4-2021），选择室外点声源预测模式模拟预测声源排放噪声。</w:t>
      </w:r>
    </w:p>
    <w:p w14:paraId="509A41ED">
      <w:pPr>
        <w:tabs>
          <w:tab w:val="left" w:pos="720"/>
        </w:tabs>
        <w:ind w:firstLine="480"/>
        <w:rPr>
          <w:color w:val="auto"/>
          <w:highlight w:val="none"/>
          <w:u w:val="single"/>
        </w:rPr>
      </w:pPr>
      <w:r>
        <w:rPr>
          <w:rFonts w:hint="eastAsia" w:ascii="宋体" w:hAnsi="宋体" w:cs="宋体"/>
          <w:color w:val="auto"/>
          <w:highlight w:val="none"/>
          <w:u w:val="single"/>
        </w:rPr>
        <w:t>①</w:t>
      </w:r>
      <w:r>
        <w:rPr>
          <w:color w:val="auto"/>
          <w:highlight w:val="none"/>
          <w:u w:val="single"/>
        </w:rPr>
        <w:t>室外声源</w:t>
      </w:r>
    </w:p>
    <w:p w14:paraId="48E01011">
      <w:pPr>
        <w:tabs>
          <w:tab w:val="left" w:pos="720"/>
        </w:tabs>
        <w:ind w:firstLine="480"/>
        <w:rPr>
          <w:color w:val="auto"/>
          <w:highlight w:val="none"/>
          <w:u w:val="single"/>
        </w:rPr>
      </w:pPr>
      <w:r>
        <w:rPr>
          <w:color w:val="auto"/>
          <w:highlight w:val="none"/>
          <w:u w:val="single"/>
        </w:rPr>
        <w:t>本次评价主要考虑几何发散衰减，计算某个声源在预测点的A声级：</w:t>
      </w:r>
    </w:p>
    <w:p w14:paraId="56D53663">
      <w:pPr>
        <w:tabs>
          <w:tab w:val="left" w:pos="720"/>
        </w:tabs>
        <w:ind w:firstLine="480"/>
        <w:jc w:val="center"/>
        <w:rPr>
          <w:color w:val="auto"/>
          <w:highlight w:val="none"/>
          <w:u w:val="single"/>
          <w:vertAlign w:val="subscript"/>
        </w:rPr>
      </w:pPr>
      <w:r>
        <w:rPr>
          <w:i/>
          <w:iCs/>
          <w:color w:val="auto"/>
          <w:highlight w:val="none"/>
          <w:u w:val="single"/>
        </w:rPr>
        <w:t>L</w:t>
      </w:r>
      <w:r>
        <w:rPr>
          <w:i/>
          <w:iCs/>
          <w:color w:val="auto"/>
          <w:highlight w:val="none"/>
          <w:u w:val="single"/>
          <w:vertAlign w:val="subscript"/>
        </w:rPr>
        <w:t>A</w:t>
      </w:r>
      <w:r>
        <w:rPr>
          <w:color w:val="auto"/>
          <w:highlight w:val="none"/>
          <w:u w:val="single"/>
        </w:rPr>
        <w:t>(</w:t>
      </w:r>
      <w:r>
        <w:rPr>
          <w:i/>
          <w:iCs/>
          <w:color w:val="auto"/>
          <w:highlight w:val="none"/>
          <w:u w:val="single"/>
        </w:rPr>
        <w:t>r</w:t>
      </w:r>
      <w:r>
        <w:rPr>
          <w:color w:val="auto"/>
          <w:highlight w:val="none"/>
          <w:u w:val="single"/>
        </w:rPr>
        <w:t xml:space="preserve">)= </w:t>
      </w:r>
      <w:r>
        <w:rPr>
          <w:i/>
          <w:iCs/>
          <w:color w:val="auto"/>
          <w:highlight w:val="none"/>
          <w:u w:val="single"/>
        </w:rPr>
        <w:t>L</w:t>
      </w:r>
      <w:r>
        <w:rPr>
          <w:i/>
          <w:iCs/>
          <w:color w:val="auto"/>
          <w:highlight w:val="none"/>
          <w:u w:val="single"/>
          <w:vertAlign w:val="subscript"/>
        </w:rPr>
        <w:t>A</w:t>
      </w:r>
      <w:r>
        <w:rPr>
          <w:color w:val="auto"/>
          <w:highlight w:val="none"/>
          <w:u w:val="single"/>
        </w:rPr>
        <w:t>(</w:t>
      </w:r>
      <w:r>
        <w:rPr>
          <w:i/>
          <w:iCs/>
          <w:color w:val="auto"/>
          <w:highlight w:val="none"/>
          <w:u w:val="single"/>
        </w:rPr>
        <w:t>r</w:t>
      </w:r>
      <w:r>
        <w:rPr>
          <w:i/>
          <w:iCs/>
          <w:color w:val="auto"/>
          <w:highlight w:val="none"/>
          <w:u w:val="single"/>
          <w:vertAlign w:val="subscript"/>
        </w:rPr>
        <w:t>0</w:t>
      </w:r>
      <w:r>
        <w:rPr>
          <w:color w:val="auto"/>
          <w:highlight w:val="none"/>
          <w:u w:val="single"/>
        </w:rPr>
        <w:t>)-20</w:t>
      </w:r>
      <w:r>
        <w:rPr>
          <w:i/>
          <w:iCs/>
          <w:color w:val="auto"/>
          <w:highlight w:val="none"/>
          <w:u w:val="single"/>
        </w:rPr>
        <w:t>lg</w:t>
      </w:r>
      <w:r>
        <w:rPr>
          <w:color w:val="auto"/>
          <w:highlight w:val="none"/>
          <w:u w:val="single"/>
        </w:rPr>
        <w:t>(</w:t>
      </w:r>
      <w:r>
        <w:rPr>
          <w:i/>
          <w:iCs/>
          <w:color w:val="auto"/>
          <w:highlight w:val="none"/>
          <w:u w:val="single"/>
        </w:rPr>
        <w:t>r/r</w:t>
      </w:r>
      <w:r>
        <w:rPr>
          <w:color w:val="auto"/>
          <w:highlight w:val="none"/>
          <w:u w:val="single"/>
          <w:vertAlign w:val="subscript"/>
        </w:rPr>
        <w:t>0</w:t>
      </w:r>
      <w:r>
        <w:rPr>
          <w:color w:val="auto"/>
          <w:highlight w:val="none"/>
          <w:u w:val="single"/>
        </w:rPr>
        <w:t>)</w:t>
      </w:r>
    </w:p>
    <w:p w14:paraId="4C94687A">
      <w:pPr>
        <w:tabs>
          <w:tab w:val="left" w:pos="720"/>
        </w:tabs>
        <w:ind w:firstLine="480"/>
        <w:rPr>
          <w:color w:val="auto"/>
          <w:highlight w:val="none"/>
          <w:u w:val="single"/>
        </w:rPr>
      </w:pPr>
      <w:r>
        <w:rPr>
          <w:color w:val="auto"/>
          <w:highlight w:val="none"/>
          <w:u w:val="single"/>
        </w:rPr>
        <w:t xml:space="preserve">式中： </w:t>
      </w:r>
    </w:p>
    <w:p w14:paraId="7478FB77">
      <w:pPr>
        <w:tabs>
          <w:tab w:val="left" w:pos="720"/>
        </w:tabs>
        <w:ind w:firstLine="991" w:firstLineChars="413"/>
        <w:rPr>
          <w:color w:val="auto"/>
          <w:highlight w:val="none"/>
          <w:u w:val="single"/>
        </w:rPr>
      </w:pPr>
      <w:r>
        <w:rPr>
          <w:i/>
          <w:iCs/>
          <w:color w:val="auto"/>
          <w:highlight w:val="none"/>
          <w:u w:val="single"/>
        </w:rPr>
        <w:t>L</w:t>
      </w:r>
      <w:r>
        <w:rPr>
          <w:i/>
          <w:iCs/>
          <w:color w:val="auto"/>
          <w:highlight w:val="none"/>
          <w:u w:val="single"/>
          <w:vertAlign w:val="subscript"/>
        </w:rPr>
        <w:t>A</w:t>
      </w:r>
      <w:r>
        <w:rPr>
          <w:color w:val="auto"/>
          <w:highlight w:val="none"/>
          <w:u w:val="single"/>
        </w:rPr>
        <w:t>(</w:t>
      </w:r>
      <w:r>
        <w:rPr>
          <w:i/>
          <w:iCs/>
          <w:color w:val="auto"/>
          <w:highlight w:val="none"/>
          <w:u w:val="single"/>
        </w:rPr>
        <w:t>r</w:t>
      </w:r>
      <w:r>
        <w:rPr>
          <w:color w:val="auto"/>
          <w:highlight w:val="none"/>
          <w:u w:val="single"/>
        </w:rPr>
        <w:t>)——距声源r处的A声级，dB(A)；</w:t>
      </w:r>
    </w:p>
    <w:p w14:paraId="6053FAB1">
      <w:pPr>
        <w:tabs>
          <w:tab w:val="left" w:pos="720"/>
        </w:tabs>
        <w:ind w:firstLine="991" w:firstLineChars="413"/>
        <w:rPr>
          <w:color w:val="auto"/>
          <w:highlight w:val="none"/>
          <w:u w:val="single"/>
        </w:rPr>
      </w:pPr>
      <w:r>
        <w:rPr>
          <w:i/>
          <w:iCs/>
          <w:color w:val="auto"/>
          <w:highlight w:val="none"/>
          <w:u w:val="single"/>
        </w:rPr>
        <w:t>L</w:t>
      </w:r>
      <w:r>
        <w:rPr>
          <w:i/>
          <w:iCs/>
          <w:color w:val="auto"/>
          <w:highlight w:val="none"/>
          <w:u w:val="single"/>
          <w:vertAlign w:val="subscript"/>
        </w:rPr>
        <w:t>A</w:t>
      </w:r>
      <w:r>
        <w:rPr>
          <w:color w:val="auto"/>
          <w:highlight w:val="none"/>
          <w:u w:val="single"/>
        </w:rPr>
        <w:t>(</w:t>
      </w:r>
      <w:r>
        <w:rPr>
          <w:i/>
          <w:iCs/>
          <w:color w:val="auto"/>
          <w:highlight w:val="none"/>
          <w:u w:val="single"/>
        </w:rPr>
        <w:t>r</w:t>
      </w:r>
      <w:r>
        <w:rPr>
          <w:i/>
          <w:iCs/>
          <w:color w:val="auto"/>
          <w:highlight w:val="none"/>
          <w:u w:val="single"/>
          <w:vertAlign w:val="subscript"/>
        </w:rPr>
        <w:t>0</w:t>
      </w:r>
      <w:r>
        <w:rPr>
          <w:color w:val="auto"/>
          <w:highlight w:val="none"/>
          <w:u w:val="single"/>
        </w:rPr>
        <w:t>)——参考位置</w:t>
      </w:r>
      <w:r>
        <w:rPr>
          <w:i/>
          <w:iCs/>
          <w:color w:val="auto"/>
          <w:highlight w:val="none"/>
          <w:u w:val="single"/>
        </w:rPr>
        <w:t>r</w:t>
      </w:r>
      <w:r>
        <w:rPr>
          <w:i/>
          <w:iCs/>
          <w:color w:val="auto"/>
          <w:highlight w:val="none"/>
          <w:u w:val="single"/>
          <w:vertAlign w:val="subscript"/>
        </w:rPr>
        <w:t>0</w:t>
      </w:r>
      <w:r>
        <w:rPr>
          <w:color w:val="auto"/>
          <w:highlight w:val="none"/>
          <w:u w:val="single"/>
        </w:rPr>
        <w:t>处的A声级，dB(A)；</w:t>
      </w:r>
    </w:p>
    <w:p w14:paraId="10C538E3">
      <w:pPr>
        <w:tabs>
          <w:tab w:val="left" w:pos="720"/>
        </w:tabs>
        <w:ind w:firstLine="991" w:firstLineChars="413"/>
        <w:rPr>
          <w:color w:val="auto"/>
          <w:highlight w:val="none"/>
          <w:u w:val="single"/>
        </w:rPr>
      </w:pPr>
      <w:r>
        <w:rPr>
          <w:i/>
          <w:iCs/>
          <w:color w:val="auto"/>
          <w:highlight w:val="none"/>
          <w:u w:val="single"/>
        </w:rPr>
        <w:t>r—</w:t>
      </w:r>
      <w:r>
        <w:rPr>
          <w:color w:val="auto"/>
          <w:highlight w:val="none"/>
          <w:u w:val="single"/>
        </w:rPr>
        <w:t>预测点距声源的距离；</w:t>
      </w:r>
    </w:p>
    <w:p w14:paraId="7924151C">
      <w:pPr>
        <w:tabs>
          <w:tab w:val="left" w:pos="720"/>
        </w:tabs>
        <w:ind w:firstLine="991" w:firstLineChars="413"/>
        <w:rPr>
          <w:color w:val="auto"/>
          <w:highlight w:val="none"/>
          <w:u w:val="single"/>
        </w:rPr>
      </w:pPr>
      <w:r>
        <w:rPr>
          <w:i/>
          <w:iCs/>
          <w:color w:val="auto"/>
          <w:highlight w:val="none"/>
          <w:u w:val="single"/>
        </w:rPr>
        <w:t>r</w:t>
      </w:r>
      <w:r>
        <w:rPr>
          <w:color w:val="auto"/>
          <w:highlight w:val="none"/>
          <w:u w:val="single"/>
          <w:vertAlign w:val="subscript"/>
        </w:rPr>
        <w:t>0</w:t>
      </w:r>
      <w:r>
        <w:rPr>
          <w:i/>
          <w:iCs/>
          <w:color w:val="auto"/>
          <w:highlight w:val="none"/>
          <w:u w:val="single"/>
        </w:rPr>
        <w:t>—</w:t>
      </w:r>
      <w:r>
        <w:rPr>
          <w:color w:val="auto"/>
          <w:highlight w:val="none"/>
          <w:u w:val="single"/>
        </w:rPr>
        <w:t>参考位置距声源的距离</w:t>
      </w:r>
    </w:p>
    <w:p w14:paraId="784AB94C">
      <w:pPr>
        <w:ind w:firstLine="480"/>
        <w:rPr>
          <w:color w:val="auto"/>
          <w:highlight w:val="none"/>
          <w:u w:val="single"/>
        </w:rPr>
      </w:pPr>
      <w:r>
        <w:rPr>
          <w:rFonts w:hint="eastAsia" w:ascii="宋体" w:hAnsi="宋体" w:cs="宋体"/>
          <w:color w:val="auto"/>
          <w:highlight w:val="none"/>
          <w:u w:val="single"/>
        </w:rPr>
        <w:t>②</w:t>
      </w:r>
      <w:r>
        <w:rPr>
          <w:color w:val="auto"/>
          <w:highlight w:val="none"/>
          <w:u w:val="single"/>
        </w:rPr>
        <w:t>预测值计算</w:t>
      </w:r>
    </w:p>
    <w:p w14:paraId="65B388A0">
      <w:pPr>
        <w:ind w:firstLine="480"/>
        <w:rPr>
          <w:color w:val="auto"/>
          <w:highlight w:val="none"/>
          <w:u w:val="single"/>
        </w:rPr>
      </w:pPr>
      <w:r>
        <w:rPr>
          <w:color w:val="auto"/>
          <w:highlight w:val="none"/>
          <w:u w:val="single"/>
        </w:rPr>
        <w:t>预测点的贡献值和背景值按能量叠加方法计算得到的声级，计算公式如下：</w:t>
      </w:r>
    </w:p>
    <w:p w14:paraId="338D513F">
      <w:pPr>
        <w:ind w:firstLine="480"/>
        <w:jc w:val="center"/>
        <w:rPr>
          <w:color w:val="auto"/>
          <w:highlight w:val="none"/>
          <w:u w:val="single"/>
        </w:rPr>
      </w:pPr>
      <w:r>
        <w:rPr>
          <w:color w:val="auto"/>
          <w:highlight w:val="none"/>
          <w:u w:val="single"/>
        </w:rPr>
        <w:drawing>
          <wp:inline distT="0" distB="0" distL="0" distR="0">
            <wp:extent cx="1951355" cy="375920"/>
            <wp:effectExtent l="0" t="0" r="10795" b="5080"/>
            <wp:docPr id="1720621953" name="图片 172062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21953" name="图片 1720621953"/>
                    <pic:cNvPicPr>
                      <a:picLocks noChangeAspect="1"/>
                    </pic:cNvPicPr>
                  </pic:nvPicPr>
                  <pic:blipFill>
                    <a:blip r:embed="rId126"/>
                    <a:stretch>
                      <a:fillRect/>
                    </a:stretch>
                  </pic:blipFill>
                  <pic:spPr>
                    <a:xfrm>
                      <a:off x="0" y="0"/>
                      <a:ext cx="2073842" cy="399859"/>
                    </a:xfrm>
                    <a:prstGeom prst="rect">
                      <a:avLst/>
                    </a:prstGeom>
                  </pic:spPr>
                </pic:pic>
              </a:graphicData>
            </a:graphic>
          </wp:inline>
        </w:drawing>
      </w:r>
    </w:p>
    <w:p w14:paraId="4F729FAC">
      <w:pPr>
        <w:ind w:firstLine="480"/>
        <w:rPr>
          <w:color w:val="auto"/>
          <w:highlight w:val="none"/>
          <w:u w:val="single"/>
        </w:rPr>
      </w:pPr>
      <w:r>
        <w:rPr>
          <w:color w:val="auto"/>
          <w:highlight w:val="none"/>
          <w:u w:val="single"/>
        </w:rPr>
        <w:t>式中：</w:t>
      </w:r>
    </w:p>
    <w:p w14:paraId="7B6475C1">
      <w:pPr>
        <w:ind w:firstLine="991" w:firstLineChars="413"/>
        <w:rPr>
          <w:color w:val="auto"/>
          <w:highlight w:val="none"/>
          <w:u w:val="single"/>
        </w:rPr>
      </w:pPr>
      <w:r>
        <w:rPr>
          <w:i/>
          <w:iCs/>
          <w:color w:val="auto"/>
          <w:highlight w:val="none"/>
          <w:u w:val="single"/>
        </w:rPr>
        <w:t>L</w:t>
      </w:r>
      <w:r>
        <w:rPr>
          <w:color w:val="auto"/>
          <w:highlight w:val="none"/>
          <w:u w:val="single"/>
          <w:vertAlign w:val="subscript"/>
        </w:rPr>
        <w:t>eq</w:t>
      </w:r>
      <w:r>
        <w:rPr>
          <w:color w:val="auto"/>
          <w:highlight w:val="none"/>
          <w:u w:val="single"/>
        </w:rPr>
        <w:t>—预测点的噪声预测值，dB(A)；</w:t>
      </w:r>
    </w:p>
    <w:p w14:paraId="58065902">
      <w:pPr>
        <w:pStyle w:val="91"/>
        <w:snapToGrid w:val="0"/>
        <w:spacing w:after="0" w:line="360" w:lineRule="auto"/>
        <w:ind w:left="0" w:leftChars="0" w:firstLine="991" w:firstLineChars="413"/>
        <w:rPr>
          <w:rFonts w:ascii="Times New Roman" w:hAnsi="Times New Roman" w:cs="Times New Roman"/>
          <w:color w:val="auto"/>
          <w:sz w:val="24"/>
          <w:highlight w:val="none"/>
          <w:u w:val="single"/>
        </w:rPr>
      </w:pPr>
      <w:r>
        <w:rPr>
          <w:rFonts w:ascii="Times New Roman" w:hAnsi="Times New Roman" w:cs="Times New Roman"/>
          <w:i/>
          <w:iCs/>
          <w:color w:val="auto"/>
          <w:sz w:val="24"/>
          <w:highlight w:val="none"/>
          <w:u w:val="single"/>
        </w:rPr>
        <w:t>L</w:t>
      </w:r>
      <w:r>
        <w:rPr>
          <w:rFonts w:ascii="Times New Roman" w:hAnsi="Times New Roman" w:cs="Times New Roman"/>
          <w:color w:val="auto"/>
          <w:sz w:val="24"/>
          <w:highlight w:val="none"/>
          <w:u w:val="single"/>
          <w:vertAlign w:val="subscript"/>
        </w:rPr>
        <w:t>eqg</w:t>
      </w:r>
      <w:r>
        <w:rPr>
          <w:rFonts w:ascii="Times New Roman" w:hAnsi="Times New Roman" w:cs="Times New Roman"/>
          <w:color w:val="auto"/>
          <w:sz w:val="24"/>
          <w:highlight w:val="none"/>
          <w:u w:val="single"/>
        </w:rPr>
        <w:t>—建设项目声源在预测点产生的噪声贡献值，dB(A)；</w:t>
      </w:r>
    </w:p>
    <w:p w14:paraId="06919126">
      <w:pPr>
        <w:pStyle w:val="91"/>
        <w:snapToGrid w:val="0"/>
        <w:spacing w:after="0" w:line="360" w:lineRule="auto"/>
        <w:ind w:left="0" w:leftChars="0" w:firstLine="991" w:firstLineChars="413"/>
        <w:rPr>
          <w:rFonts w:ascii="Times New Roman" w:hAnsi="Times New Roman" w:cs="Times New Roman"/>
          <w:color w:val="auto"/>
          <w:sz w:val="24"/>
          <w:highlight w:val="none"/>
          <w:u w:val="single"/>
        </w:rPr>
      </w:pPr>
      <w:r>
        <w:rPr>
          <w:rFonts w:ascii="Times New Roman" w:hAnsi="Times New Roman" w:cs="Times New Roman"/>
          <w:i/>
          <w:iCs/>
          <w:color w:val="auto"/>
          <w:sz w:val="24"/>
          <w:highlight w:val="none"/>
          <w:u w:val="single"/>
        </w:rPr>
        <w:t>L</w:t>
      </w:r>
      <w:r>
        <w:rPr>
          <w:rFonts w:ascii="Times New Roman" w:hAnsi="Times New Roman" w:cs="Times New Roman"/>
          <w:color w:val="auto"/>
          <w:sz w:val="24"/>
          <w:highlight w:val="none"/>
          <w:u w:val="single"/>
          <w:vertAlign w:val="subscript"/>
        </w:rPr>
        <w:t>eqb</w:t>
      </w:r>
      <w:r>
        <w:rPr>
          <w:rFonts w:ascii="Times New Roman" w:hAnsi="Times New Roman" w:cs="Times New Roman"/>
          <w:color w:val="auto"/>
          <w:sz w:val="24"/>
          <w:highlight w:val="none"/>
          <w:u w:val="single"/>
        </w:rPr>
        <w:t>—预测点的背景噪声值，dB(A)；</w:t>
      </w:r>
    </w:p>
    <w:p w14:paraId="197A161B">
      <w:pPr>
        <w:ind w:firstLine="480"/>
        <w:rPr>
          <w:color w:val="auto"/>
          <w:highlight w:val="none"/>
          <w:u w:val="single"/>
        </w:rPr>
      </w:pPr>
      <w:bookmarkStart w:id="206" w:name="6.4噪声监测"/>
      <w:bookmarkEnd w:id="206"/>
      <w:bookmarkStart w:id="207" w:name="bookmark0"/>
      <w:bookmarkEnd w:id="207"/>
      <w:r>
        <w:rPr>
          <w:color w:val="auto"/>
          <w:highlight w:val="none"/>
          <w:u w:val="single"/>
        </w:rPr>
        <w:t>（2）声环境影响预测结果</w:t>
      </w:r>
    </w:p>
    <w:p w14:paraId="7BAEBF3B">
      <w:pPr>
        <w:spacing w:line="240" w:lineRule="auto"/>
        <w:ind w:firstLine="0" w:firstLineChars="0"/>
        <w:jc w:val="center"/>
        <w:rPr>
          <w:b/>
          <w:color w:val="auto"/>
          <w:sz w:val="21"/>
          <w:szCs w:val="21"/>
          <w:highlight w:val="none"/>
          <w:u w:val="single"/>
        </w:rPr>
      </w:pPr>
      <w:r>
        <w:rPr>
          <w:b/>
          <w:color w:val="auto"/>
          <w:sz w:val="21"/>
          <w:szCs w:val="21"/>
          <w:highlight w:val="none"/>
          <w:u w:val="single"/>
        </w:rPr>
        <w:t>表 4.2-2</w:t>
      </w:r>
      <w:r>
        <w:rPr>
          <w:rFonts w:hint="eastAsia"/>
          <w:b/>
          <w:color w:val="auto"/>
          <w:sz w:val="21"/>
          <w:szCs w:val="21"/>
          <w:highlight w:val="none"/>
          <w:u w:val="single"/>
        </w:rPr>
        <w:t>2</w:t>
      </w:r>
      <w:r>
        <w:rPr>
          <w:b/>
          <w:color w:val="auto"/>
          <w:sz w:val="21"/>
          <w:szCs w:val="21"/>
          <w:highlight w:val="none"/>
          <w:u w:val="single"/>
        </w:rPr>
        <w:t xml:space="preserve">   厂界噪声监测结果表    单位：</w:t>
      </w:r>
      <w:bookmarkStart w:id="208" w:name="_Hlk218671370"/>
      <w:r>
        <w:rPr>
          <w:b/>
          <w:color w:val="auto"/>
          <w:sz w:val="21"/>
          <w:szCs w:val="21"/>
          <w:highlight w:val="none"/>
          <w:u w:val="single"/>
        </w:rPr>
        <w:t>dB(A)</w:t>
      </w:r>
      <w:bookmarkEnd w:id="208"/>
    </w:p>
    <w:tbl>
      <w:tblPr>
        <w:tblStyle w:val="9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42"/>
        <w:gridCol w:w="1517"/>
        <w:gridCol w:w="1135"/>
        <w:gridCol w:w="1135"/>
        <w:gridCol w:w="1276"/>
        <w:gridCol w:w="1163"/>
        <w:gridCol w:w="921"/>
        <w:gridCol w:w="997"/>
      </w:tblGrid>
      <w:tr w14:paraId="4003A8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615" w:type="pct"/>
            <w:vMerge w:val="restart"/>
            <w:vAlign w:val="center"/>
          </w:tcPr>
          <w:p w14:paraId="79EB27D3">
            <w:pPr>
              <w:spacing w:line="240" w:lineRule="auto"/>
              <w:ind w:firstLine="0" w:firstLineChars="0"/>
              <w:jc w:val="center"/>
              <w:rPr>
                <w:color w:val="auto"/>
                <w:sz w:val="21"/>
                <w:szCs w:val="21"/>
                <w:highlight w:val="none"/>
                <w:u w:val="single"/>
              </w:rPr>
            </w:pPr>
            <w:r>
              <w:rPr>
                <w:color w:val="auto"/>
                <w:sz w:val="21"/>
                <w:szCs w:val="21"/>
                <w:highlight w:val="none"/>
                <w:u w:val="single"/>
              </w:rPr>
              <w:t>预测名称</w:t>
            </w:r>
          </w:p>
        </w:tc>
        <w:tc>
          <w:tcPr>
            <w:tcW w:w="817" w:type="pct"/>
            <w:vMerge w:val="restart"/>
            <w:vAlign w:val="center"/>
          </w:tcPr>
          <w:p w14:paraId="4D63D159">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新增噪声源贡献值</w:t>
            </w:r>
          </w:p>
        </w:tc>
        <w:tc>
          <w:tcPr>
            <w:tcW w:w="1222" w:type="pct"/>
            <w:gridSpan w:val="2"/>
            <w:vAlign w:val="center"/>
          </w:tcPr>
          <w:p w14:paraId="09631B60">
            <w:pPr>
              <w:spacing w:line="240" w:lineRule="auto"/>
              <w:ind w:firstLine="0" w:firstLineChars="0"/>
              <w:jc w:val="center"/>
              <w:rPr>
                <w:color w:val="auto"/>
                <w:sz w:val="21"/>
                <w:szCs w:val="21"/>
                <w:highlight w:val="none"/>
                <w:u w:val="single"/>
              </w:rPr>
            </w:pPr>
            <w:r>
              <w:rPr>
                <w:color w:val="auto"/>
                <w:sz w:val="21"/>
                <w:szCs w:val="21"/>
                <w:highlight w:val="none"/>
                <w:u w:val="single"/>
              </w:rPr>
              <w:t>现状值</w:t>
            </w:r>
          </w:p>
        </w:tc>
        <w:tc>
          <w:tcPr>
            <w:tcW w:w="1312" w:type="pct"/>
            <w:gridSpan w:val="2"/>
            <w:vAlign w:val="center"/>
          </w:tcPr>
          <w:p w14:paraId="3A1DF5C3">
            <w:pPr>
              <w:spacing w:line="240" w:lineRule="auto"/>
              <w:ind w:firstLine="0" w:firstLineChars="0"/>
              <w:jc w:val="center"/>
              <w:rPr>
                <w:color w:val="auto"/>
                <w:sz w:val="21"/>
                <w:szCs w:val="21"/>
                <w:highlight w:val="none"/>
                <w:u w:val="single"/>
              </w:rPr>
            </w:pPr>
            <w:r>
              <w:rPr>
                <w:color w:val="auto"/>
                <w:sz w:val="21"/>
                <w:szCs w:val="21"/>
                <w:highlight w:val="none"/>
                <w:u w:val="single"/>
              </w:rPr>
              <w:t>预测值</w:t>
            </w:r>
          </w:p>
        </w:tc>
        <w:tc>
          <w:tcPr>
            <w:tcW w:w="1034" w:type="pct"/>
            <w:gridSpan w:val="2"/>
            <w:vAlign w:val="center"/>
          </w:tcPr>
          <w:p w14:paraId="2A6A030C">
            <w:pPr>
              <w:spacing w:line="240" w:lineRule="auto"/>
              <w:ind w:firstLine="0" w:firstLineChars="0"/>
              <w:jc w:val="center"/>
              <w:rPr>
                <w:color w:val="auto"/>
                <w:sz w:val="21"/>
                <w:szCs w:val="21"/>
                <w:highlight w:val="none"/>
                <w:u w:val="single"/>
              </w:rPr>
            </w:pPr>
            <w:r>
              <w:rPr>
                <w:color w:val="auto"/>
                <w:sz w:val="21"/>
                <w:szCs w:val="21"/>
                <w:highlight w:val="none"/>
                <w:u w:val="single"/>
              </w:rPr>
              <w:t>标准值</w:t>
            </w:r>
          </w:p>
        </w:tc>
      </w:tr>
      <w:tr w14:paraId="059C57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615" w:type="pct"/>
            <w:vMerge w:val="continue"/>
            <w:vAlign w:val="center"/>
          </w:tcPr>
          <w:p w14:paraId="6767A2C3">
            <w:pPr>
              <w:spacing w:line="240" w:lineRule="auto"/>
              <w:ind w:firstLine="0" w:firstLineChars="0"/>
              <w:jc w:val="center"/>
              <w:rPr>
                <w:color w:val="auto"/>
                <w:sz w:val="21"/>
                <w:szCs w:val="21"/>
                <w:highlight w:val="none"/>
                <w:u w:val="single"/>
              </w:rPr>
            </w:pPr>
          </w:p>
        </w:tc>
        <w:tc>
          <w:tcPr>
            <w:tcW w:w="817" w:type="pct"/>
            <w:vMerge w:val="continue"/>
            <w:vAlign w:val="center"/>
          </w:tcPr>
          <w:p w14:paraId="0DDC00FD">
            <w:pPr>
              <w:spacing w:line="240" w:lineRule="auto"/>
              <w:ind w:firstLine="0" w:firstLineChars="0"/>
              <w:jc w:val="center"/>
              <w:rPr>
                <w:color w:val="auto"/>
                <w:sz w:val="21"/>
                <w:szCs w:val="21"/>
                <w:highlight w:val="none"/>
                <w:u w:val="single"/>
              </w:rPr>
            </w:pPr>
          </w:p>
        </w:tc>
        <w:tc>
          <w:tcPr>
            <w:tcW w:w="611" w:type="pct"/>
            <w:vAlign w:val="center"/>
          </w:tcPr>
          <w:p w14:paraId="4C1E9DD6">
            <w:pPr>
              <w:spacing w:line="240" w:lineRule="auto"/>
              <w:ind w:firstLine="0" w:firstLineChars="0"/>
              <w:jc w:val="center"/>
              <w:rPr>
                <w:color w:val="auto"/>
                <w:sz w:val="21"/>
                <w:szCs w:val="21"/>
                <w:highlight w:val="none"/>
                <w:u w:val="single"/>
              </w:rPr>
            </w:pPr>
            <w:r>
              <w:rPr>
                <w:color w:val="auto"/>
                <w:sz w:val="21"/>
                <w:szCs w:val="21"/>
                <w:highlight w:val="none"/>
                <w:u w:val="single"/>
              </w:rPr>
              <w:t>昼间</w:t>
            </w:r>
          </w:p>
        </w:tc>
        <w:tc>
          <w:tcPr>
            <w:tcW w:w="611" w:type="pct"/>
            <w:vAlign w:val="center"/>
          </w:tcPr>
          <w:p w14:paraId="4D99EFDC">
            <w:pPr>
              <w:spacing w:line="240" w:lineRule="auto"/>
              <w:ind w:firstLine="0" w:firstLineChars="0"/>
              <w:jc w:val="center"/>
              <w:rPr>
                <w:color w:val="auto"/>
                <w:sz w:val="21"/>
                <w:szCs w:val="21"/>
                <w:highlight w:val="none"/>
                <w:u w:val="single"/>
              </w:rPr>
            </w:pPr>
            <w:r>
              <w:rPr>
                <w:color w:val="auto"/>
                <w:sz w:val="21"/>
                <w:szCs w:val="21"/>
                <w:highlight w:val="none"/>
                <w:u w:val="single"/>
              </w:rPr>
              <w:t>夜间</w:t>
            </w:r>
          </w:p>
        </w:tc>
        <w:tc>
          <w:tcPr>
            <w:tcW w:w="687" w:type="pct"/>
            <w:vAlign w:val="center"/>
          </w:tcPr>
          <w:p w14:paraId="2593B1F3">
            <w:pPr>
              <w:spacing w:line="240" w:lineRule="auto"/>
              <w:ind w:firstLine="0" w:firstLineChars="0"/>
              <w:jc w:val="center"/>
              <w:rPr>
                <w:color w:val="auto"/>
                <w:sz w:val="21"/>
                <w:szCs w:val="21"/>
                <w:highlight w:val="none"/>
                <w:u w:val="single"/>
              </w:rPr>
            </w:pPr>
            <w:r>
              <w:rPr>
                <w:color w:val="auto"/>
                <w:sz w:val="21"/>
                <w:szCs w:val="21"/>
                <w:highlight w:val="none"/>
                <w:u w:val="single"/>
              </w:rPr>
              <w:t>昼间</w:t>
            </w:r>
          </w:p>
        </w:tc>
        <w:tc>
          <w:tcPr>
            <w:tcW w:w="626" w:type="pct"/>
            <w:vAlign w:val="center"/>
          </w:tcPr>
          <w:p w14:paraId="2E1E87C0">
            <w:pPr>
              <w:spacing w:line="240" w:lineRule="auto"/>
              <w:ind w:firstLine="0" w:firstLineChars="0"/>
              <w:jc w:val="center"/>
              <w:rPr>
                <w:color w:val="auto"/>
                <w:sz w:val="21"/>
                <w:szCs w:val="21"/>
                <w:highlight w:val="none"/>
                <w:u w:val="single"/>
              </w:rPr>
            </w:pPr>
            <w:r>
              <w:rPr>
                <w:color w:val="auto"/>
                <w:sz w:val="21"/>
                <w:szCs w:val="21"/>
                <w:highlight w:val="none"/>
                <w:u w:val="single"/>
              </w:rPr>
              <w:t>夜间</w:t>
            </w:r>
          </w:p>
        </w:tc>
        <w:tc>
          <w:tcPr>
            <w:tcW w:w="496" w:type="pct"/>
            <w:vAlign w:val="center"/>
          </w:tcPr>
          <w:p w14:paraId="644AADBC">
            <w:pPr>
              <w:spacing w:line="240" w:lineRule="auto"/>
              <w:ind w:firstLine="0" w:firstLineChars="0"/>
              <w:jc w:val="center"/>
              <w:rPr>
                <w:color w:val="auto"/>
                <w:sz w:val="21"/>
                <w:szCs w:val="21"/>
                <w:highlight w:val="none"/>
                <w:u w:val="single"/>
              </w:rPr>
            </w:pPr>
            <w:r>
              <w:rPr>
                <w:color w:val="auto"/>
                <w:sz w:val="21"/>
                <w:szCs w:val="21"/>
                <w:highlight w:val="none"/>
                <w:u w:val="single"/>
              </w:rPr>
              <w:t>昼间</w:t>
            </w:r>
          </w:p>
        </w:tc>
        <w:tc>
          <w:tcPr>
            <w:tcW w:w="538" w:type="pct"/>
            <w:vAlign w:val="center"/>
          </w:tcPr>
          <w:p w14:paraId="1FF7EF19">
            <w:pPr>
              <w:spacing w:line="240" w:lineRule="auto"/>
              <w:ind w:firstLine="0" w:firstLineChars="0"/>
              <w:jc w:val="center"/>
              <w:rPr>
                <w:color w:val="auto"/>
                <w:sz w:val="21"/>
                <w:szCs w:val="21"/>
                <w:highlight w:val="none"/>
                <w:u w:val="single"/>
              </w:rPr>
            </w:pPr>
            <w:r>
              <w:rPr>
                <w:color w:val="auto"/>
                <w:sz w:val="21"/>
                <w:szCs w:val="21"/>
                <w:highlight w:val="none"/>
                <w:u w:val="single"/>
              </w:rPr>
              <w:t>夜间</w:t>
            </w:r>
          </w:p>
        </w:tc>
      </w:tr>
      <w:tr w14:paraId="619D17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5" w:type="pct"/>
            <w:vAlign w:val="center"/>
          </w:tcPr>
          <w:p w14:paraId="59E2B110">
            <w:pPr>
              <w:spacing w:line="240" w:lineRule="auto"/>
              <w:ind w:firstLine="0" w:firstLineChars="0"/>
              <w:jc w:val="center"/>
              <w:rPr>
                <w:color w:val="auto"/>
                <w:sz w:val="21"/>
                <w:szCs w:val="21"/>
                <w:highlight w:val="none"/>
                <w:u w:val="single"/>
              </w:rPr>
            </w:pPr>
            <w:r>
              <w:rPr>
                <w:color w:val="auto"/>
                <w:sz w:val="21"/>
                <w:szCs w:val="21"/>
                <w:highlight w:val="none"/>
                <w:u w:val="single"/>
              </w:rPr>
              <w:t>厂界东</w:t>
            </w:r>
          </w:p>
        </w:tc>
        <w:tc>
          <w:tcPr>
            <w:tcW w:w="817" w:type="pct"/>
            <w:vAlign w:val="center"/>
          </w:tcPr>
          <w:p w14:paraId="68AFAA79">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3</w:t>
            </w:r>
            <w:r>
              <w:rPr>
                <w:color w:val="auto"/>
                <w:sz w:val="21"/>
                <w:szCs w:val="21"/>
                <w:highlight w:val="none"/>
                <w:u w:val="single"/>
              </w:rPr>
              <w:t>6.5</w:t>
            </w:r>
          </w:p>
        </w:tc>
        <w:tc>
          <w:tcPr>
            <w:tcW w:w="611" w:type="pct"/>
            <w:vAlign w:val="center"/>
          </w:tcPr>
          <w:p w14:paraId="362BC0DE">
            <w:pPr>
              <w:spacing w:line="240" w:lineRule="auto"/>
              <w:ind w:firstLine="0" w:firstLineChars="0"/>
              <w:jc w:val="center"/>
              <w:rPr>
                <w:color w:val="auto"/>
                <w:sz w:val="21"/>
                <w:szCs w:val="21"/>
                <w:highlight w:val="none"/>
                <w:u w:val="single"/>
              </w:rPr>
            </w:pPr>
            <w:r>
              <w:rPr>
                <w:color w:val="auto"/>
                <w:sz w:val="21"/>
                <w:szCs w:val="21"/>
                <w:highlight w:val="none"/>
                <w:u w:val="single"/>
              </w:rPr>
              <w:t>56.4</w:t>
            </w:r>
          </w:p>
        </w:tc>
        <w:tc>
          <w:tcPr>
            <w:tcW w:w="611" w:type="pct"/>
            <w:vAlign w:val="center"/>
          </w:tcPr>
          <w:p w14:paraId="4792E77B">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w:t>
            </w:r>
            <w:r>
              <w:rPr>
                <w:color w:val="auto"/>
                <w:sz w:val="21"/>
                <w:szCs w:val="21"/>
                <w:highlight w:val="none"/>
                <w:u w:val="single"/>
              </w:rPr>
              <w:t>9.1</w:t>
            </w:r>
          </w:p>
        </w:tc>
        <w:tc>
          <w:tcPr>
            <w:tcW w:w="687" w:type="pct"/>
            <w:vAlign w:val="center"/>
          </w:tcPr>
          <w:p w14:paraId="69C72390">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w:t>
            </w:r>
            <w:r>
              <w:rPr>
                <w:color w:val="auto"/>
                <w:sz w:val="21"/>
                <w:szCs w:val="21"/>
                <w:highlight w:val="none"/>
                <w:u w:val="single"/>
              </w:rPr>
              <w:t>6.4</w:t>
            </w:r>
          </w:p>
        </w:tc>
        <w:tc>
          <w:tcPr>
            <w:tcW w:w="626" w:type="pct"/>
            <w:vAlign w:val="center"/>
          </w:tcPr>
          <w:p w14:paraId="17AC28E7">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w:t>
            </w:r>
            <w:r>
              <w:rPr>
                <w:color w:val="auto"/>
                <w:sz w:val="21"/>
                <w:szCs w:val="21"/>
                <w:highlight w:val="none"/>
                <w:u w:val="single"/>
              </w:rPr>
              <w:t>9.3</w:t>
            </w:r>
          </w:p>
        </w:tc>
        <w:tc>
          <w:tcPr>
            <w:tcW w:w="496" w:type="pct"/>
            <w:vAlign w:val="center"/>
          </w:tcPr>
          <w:p w14:paraId="42A9D460">
            <w:pPr>
              <w:spacing w:line="240" w:lineRule="auto"/>
              <w:ind w:firstLine="0" w:firstLineChars="0"/>
              <w:jc w:val="center"/>
              <w:rPr>
                <w:color w:val="auto"/>
                <w:sz w:val="21"/>
                <w:szCs w:val="21"/>
                <w:highlight w:val="none"/>
                <w:u w:val="single"/>
              </w:rPr>
            </w:pPr>
            <w:r>
              <w:rPr>
                <w:color w:val="auto"/>
                <w:sz w:val="21"/>
                <w:szCs w:val="21"/>
                <w:highlight w:val="none"/>
                <w:u w:val="single"/>
              </w:rPr>
              <w:t>65</w:t>
            </w:r>
          </w:p>
        </w:tc>
        <w:tc>
          <w:tcPr>
            <w:tcW w:w="538" w:type="pct"/>
            <w:vAlign w:val="center"/>
          </w:tcPr>
          <w:p w14:paraId="08453208">
            <w:pPr>
              <w:spacing w:line="240" w:lineRule="auto"/>
              <w:ind w:firstLine="0" w:firstLineChars="0"/>
              <w:jc w:val="center"/>
              <w:rPr>
                <w:color w:val="auto"/>
                <w:sz w:val="21"/>
                <w:szCs w:val="21"/>
                <w:highlight w:val="none"/>
                <w:u w:val="single"/>
              </w:rPr>
            </w:pPr>
            <w:r>
              <w:rPr>
                <w:color w:val="auto"/>
                <w:sz w:val="21"/>
                <w:szCs w:val="21"/>
                <w:highlight w:val="none"/>
                <w:u w:val="single"/>
              </w:rPr>
              <w:t>55</w:t>
            </w:r>
          </w:p>
        </w:tc>
      </w:tr>
      <w:tr w14:paraId="6E7D12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5" w:type="pct"/>
            <w:vAlign w:val="center"/>
          </w:tcPr>
          <w:p w14:paraId="629B64FC">
            <w:pPr>
              <w:spacing w:line="240" w:lineRule="auto"/>
              <w:ind w:firstLine="0" w:firstLineChars="0"/>
              <w:jc w:val="center"/>
              <w:rPr>
                <w:color w:val="auto"/>
                <w:sz w:val="21"/>
                <w:szCs w:val="21"/>
                <w:highlight w:val="none"/>
                <w:u w:val="single"/>
              </w:rPr>
            </w:pPr>
            <w:r>
              <w:rPr>
                <w:color w:val="auto"/>
                <w:sz w:val="21"/>
                <w:szCs w:val="21"/>
                <w:highlight w:val="none"/>
                <w:u w:val="single"/>
              </w:rPr>
              <w:t>厂界南</w:t>
            </w:r>
          </w:p>
        </w:tc>
        <w:tc>
          <w:tcPr>
            <w:tcW w:w="817" w:type="pct"/>
            <w:vAlign w:val="center"/>
          </w:tcPr>
          <w:p w14:paraId="7E7E0F6E">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w:t>
            </w:r>
            <w:r>
              <w:rPr>
                <w:color w:val="auto"/>
                <w:sz w:val="21"/>
                <w:szCs w:val="21"/>
                <w:highlight w:val="none"/>
                <w:u w:val="single"/>
              </w:rPr>
              <w:t>4.4</w:t>
            </w:r>
          </w:p>
        </w:tc>
        <w:tc>
          <w:tcPr>
            <w:tcW w:w="611" w:type="pct"/>
            <w:vAlign w:val="center"/>
          </w:tcPr>
          <w:p w14:paraId="4522E0C7">
            <w:pPr>
              <w:spacing w:line="240" w:lineRule="auto"/>
              <w:ind w:firstLine="0" w:firstLineChars="0"/>
              <w:jc w:val="center"/>
              <w:rPr>
                <w:color w:val="auto"/>
                <w:sz w:val="21"/>
                <w:szCs w:val="21"/>
                <w:highlight w:val="none"/>
                <w:u w:val="single"/>
              </w:rPr>
            </w:pPr>
            <w:r>
              <w:rPr>
                <w:color w:val="auto"/>
                <w:sz w:val="21"/>
                <w:szCs w:val="21"/>
                <w:highlight w:val="none"/>
                <w:u w:val="single"/>
              </w:rPr>
              <w:t>55.1</w:t>
            </w:r>
          </w:p>
        </w:tc>
        <w:tc>
          <w:tcPr>
            <w:tcW w:w="611" w:type="pct"/>
            <w:vAlign w:val="center"/>
          </w:tcPr>
          <w:p w14:paraId="661608D5">
            <w:pPr>
              <w:spacing w:line="240" w:lineRule="auto"/>
              <w:ind w:firstLine="0" w:firstLineChars="0"/>
              <w:jc w:val="center"/>
              <w:rPr>
                <w:color w:val="auto"/>
                <w:sz w:val="21"/>
                <w:szCs w:val="21"/>
                <w:highlight w:val="none"/>
                <w:u w:val="single"/>
              </w:rPr>
            </w:pPr>
            <w:r>
              <w:rPr>
                <w:color w:val="auto"/>
                <w:sz w:val="21"/>
                <w:szCs w:val="21"/>
                <w:highlight w:val="none"/>
                <w:u w:val="single"/>
              </w:rPr>
              <w:t>51.6</w:t>
            </w:r>
          </w:p>
        </w:tc>
        <w:tc>
          <w:tcPr>
            <w:tcW w:w="687" w:type="pct"/>
            <w:vAlign w:val="center"/>
          </w:tcPr>
          <w:p w14:paraId="765DCBB6">
            <w:pPr>
              <w:spacing w:line="240" w:lineRule="auto"/>
              <w:ind w:firstLine="0" w:firstLineChars="0"/>
              <w:jc w:val="center"/>
              <w:rPr>
                <w:color w:val="auto"/>
                <w:sz w:val="21"/>
                <w:szCs w:val="21"/>
                <w:highlight w:val="none"/>
                <w:u w:val="single"/>
              </w:rPr>
            </w:pPr>
            <w:r>
              <w:rPr>
                <w:color w:val="auto"/>
                <w:sz w:val="21"/>
                <w:szCs w:val="21"/>
                <w:highlight w:val="none"/>
                <w:u w:val="single"/>
              </w:rPr>
              <w:t>5</w:t>
            </w:r>
            <w:r>
              <w:rPr>
                <w:rFonts w:hint="eastAsia"/>
                <w:color w:val="auto"/>
                <w:sz w:val="21"/>
                <w:szCs w:val="21"/>
                <w:highlight w:val="none"/>
                <w:u w:val="single"/>
              </w:rPr>
              <w:t>5</w:t>
            </w:r>
            <w:r>
              <w:rPr>
                <w:color w:val="auto"/>
                <w:sz w:val="21"/>
                <w:szCs w:val="21"/>
                <w:highlight w:val="none"/>
                <w:u w:val="single"/>
              </w:rPr>
              <w:t>.5</w:t>
            </w:r>
          </w:p>
        </w:tc>
        <w:tc>
          <w:tcPr>
            <w:tcW w:w="626" w:type="pct"/>
            <w:vAlign w:val="center"/>
          </w:tcPr>
          <w:p w14:paraId="075CFA62">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w:t>
            </w:r>
            <w:r>
              <w:rPr>
                <w:color w:val="auto"/>
                <w:sz w:val="21"/>
                <w:szCs w:val="21"/>
                <w:highlight w:val="none"/>
                <w:u w:val="single"/>
              </w:rPr>
              <w:t>2.4</w:t>
            </w:r>
          </w:p>
        </w:tc>
        <w:tc>
          <w:tcPr>
            <w:tcW w:w="496" w:type="pct"/>
            <w:vAlign w:val="center"/>
          </w:tcPr>
          <w:p w14:paraId="14FE3F6C">
            <w:pPr>
              <w:spacing w:line="240" w:lineRule="auto"/>
              <w:ind w:firstLine="0" w:firstLineChars="0"/>
              <w:jc w:val="center"/>
              <w:rPr>
                <w:color w:val="auto"/>
                <w:sz w:val="21"/>
                <w:szCs w:val="21"/>
                <w:highlight w:val="none"/>
                <w:u w:val="single"/>
              </w:rPr>
            </w:pPr>
            <w:r>
              <w:rPr>
                <w:color w:val="auto"/>
                <w:sz w:val="21"/>
                <w:szCs w:val="21"/>
                <w:highlight w:val="none"/>
                <w:u w:val="single"/>
              </w:rPr>
              <w:t>65</w:t>
            </w:r>
          </w:p>
        </w:tc>
        <w:tc>
          <w:tcPr>
            <w:tcW w:w="538" w:type="pct"/>
            <w:vAlign w:val="center"/>
          </w:tcPr>
          <w:p w14:paraId="78D3C016">
            <w:pPr>
              <w:spacing w:line="240" w:lineRule="auto"/>
              <w:ind w:firstLine="0" w:firstLineChars="0"/>
              <w:jc w:val="center"/>
              <w:rPr>
                <w:color w:val="auto"/>
                <w:sz w:val="21"/>
                <w:szCs w:val="21"/>
                <w:highlight w:val="none"/>
                <w:u w:val="single"/>
              </w:rPr>
            </w:pPr>
            <w:r>
              <w:rPr>
                <w:color w:val="auto"/>
                <w:sz w:val="21"/>
                <w:szCs w:val="21"/>
                <w:highlight w:val="none"/>
                <w:u w:val="single"/>
              </w:rPr>
              <w:t>55</w:t>
            </w:r>
          </w:p>
        </w:tc>
      </w:tr>
      <w:tr w14:paraId="55A263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5" w:type="pct"/>
            <w:vAlign w:val="center"/>
          </w:tcPr>
          <w:p w14:paraId="4F3B210C">
            <w:pPr>
              <w:spacing w:line="240" w:lineRule="auto"/>
              <w:ind w:firstLine="0" w:firstLineChars="0"/>
              <w:jc w:val="center"/>
              <w:rPr>
                <w:color w:val="auto"/>
                <w:sz w:val="21"/>
                <w:szCs w:val="21"/>
                <w:highlight w:val="none"/>
                <w:u w:val="single"/>
              </w:rPr>
            </w:pPr>
            <w:r>
              <w:rPr>
                <w:color w:val="auto"/>
                <w:sz w:val="21"/>
                <w:szCs w:val="21"/>
                <w:highlight w:val="none"/>
                <w:u w:val="single"/>
              </w:rPr>
              <w:t>厂界西</w:t>
            </w:r>
          </w:p>
        </w:tc>
        <w:tc>
          <w:tcPr>
            <w:tcW w:w="817" w:type="pct"/>
            <w:vAlign w:val="center"/>
          </w:tcPr>
          <w:p w14:paraId="2A6FA8E5">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w:t>
            </w:r>
            <w:r>
              <w:rPr>
                <w:color w:val="auto"/>
                <w:sz w:val="21"/>
                <w:szCs w:val="21"/>
                <w:highlight w:val="none"/>
                <w:u w:val="single"/>
              </w:rPr>
              <w:t>0.5</w:t>
            </w:r>
          </w:p>
        </w:tc>
        <w:tc>
          <w:tcPr>
            <w:tcW w:w="611" w:type="pct"/>
            <w:vAlign w:val="center"/>
          </w:tcPr>
          <w:p w14:paraId="18AF2360">
            <w:pPr>
              <w:spacing w:line="240" w:lineRule="auto"/>
              <w:ind w:firstLine="0" w:firstLineChars="0"/>
              <w:jc w:val="center"/>
              <w:rPr>
                <w:color w:val="auto"/>
                <w:sz w:val="21"/>
                <w:szCs w:val="21"/>
                <w:highlight w:val="none"/>
                <w:u w:val="single"/>
              </w:rPr>
            </w:pPr>
            <w:r>
              <w:rPr>
                <w:color w:val="auto"/>
                <w:sz w:val="21"/>
                <w:szCs w:val="21"/>
                <w:highlight w:val="none"/>
                <w:u w:val="single"/>
              </w:rPr>
              <w:t>55.5</w:t>
            </w:r>
          </w:p>
        </w:tc>
        <w:tc>
          <w:tcPr>
            <w:tcW w:w="611" w:type="pct"/>
            <w:vAlign w:val="center"/>
          </w:tcPr>
          <w:p w14:paraId="11ECC69C">
            <w:pPr>
              <w:spacing w:line="240" w:lineRule="auto"/>
              <w:ind w:firstLine="0" w:firstLineChars="0"/>
              <w:jc w:val="center"/>
              <w:rPr>
                <w:color w:val="auto"/>
                <w:sz w:val="21"/>
                <w:szCs w:val="21"/>
                <w:highlight w:val="none"/>
                <w:u w:val="single"/>
              </w:rPr>
            </w:pPr>
            <w:r>
              <w:rPr>
                <w:color w:val="auto"/>
                <w:sz w:val="21"/>
                <w:szCs w:val="21"/>
                <w:highlight w:val="none"/>
                <w:u w:val="single"/>
              </w:rPr>
              <w:t>49.0</w:t>
            </w:r>
          </w:p>
        </w:tc>
        <w:tc>
          <w:tcPr>
            <w:tcW w:w="687" w:type="pct"/>
            <w:vAlign w:val="center"/>
          </w:tcPr>
          <w:p w14:paraId="438C1302">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w:t>
            </w:r>
            <w:r>
              <w:rPr>
                <w:color w:val="auto"/>
                <w:sz w:val="21"/>
                <w:szCs w:val="21"/>
                <w:highlight w:val="none"/>
                <w:u w:val="single"/>
              </w:rPr>
              <w:t>6.7</w:t>
            </w:r>
          </w:p>
        </w:tc>
        <w:tc>
          <w:tcPr>
            <w:tcW w:w="626" w:type="pct"/>
            <w:vAlign w:val="center"/>
          </w:tcPr>
          <w:p w14:paraId="6FC20060">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w:t>
            </w:r>
            <w:r>
              <w:rPr>
                <w:color w:val="auto"/>
                <w:sz w:val="21"/>
                <w:szCs w:val="21"/>
                <w:highlight w:val="none"/>
                <w:u w:val="single"/>
              </w:rPr>
              <w:t>2.8</w:t>
            </w:r>
          </w:p>
        </w:tc>
        <w:tc>
          <w:tcPr>
            <w:tcW w:w="496" w:type="pct"/>
            <w:vAlign w:val="center"/>
          </w:tcPr>
          <w:p w14:paraId="00955C1D">
            <w:pPr>
              <w:spacing w:line="240" w:lineRule="auto"/>
              <w:ind w:firstLine="0" w:firstLineChars="0"/>
              <w:jc w:val="center"/>
              <w:rPr>
                <w:color w:val="auto"/>
                <w:sz w:val="21"/>
                <w:szCs w:val="21"/>
                <w:highlight w:val="none"/>
                <w:u w:val="single"/>
              </w:rPr>
            </w:pPr>
            <w:r>
              <w:rPr>
                <w:color w:val="auto"/>
                <w:sz w:val="21"/>
                <w:szCs w:val="21"/>
                <w:highlight w:val="none"/>
                <w:u w:val="single"/>
              </w:rPr>
              <w:t>65</w:t>
            </w:r>
          </w:p>
        </w:tc>
        <w:tc>
          <w:tcPr>
            <w:tcW w:w="538" w:type="pct"/>
            <w:vAlign w:val="center"/>
          </w:tcPr>
          <w:p w14:paraId="7CFB741C">
            <w:pPr>
              <w:spacing w:line="240" w:lineRule="auto"/>
              <w:ind w:firstLine="0" w:firstLineChars="0"/>
              <w:jc w:val="center"/>
              <w:rPr>
                <w:color w:val="auto"/>
                <w:sz w:val="21"/>
                <w:szCs w:val="21"/>
                <w:highlight w:val="none"/>
                <w:u w:val="single"/>
              </w:rPr>
            </w:pPr>
            <w:r>
              <w:rPr>
                <w:color w:val="auto"/>
                <w:sz w:val="21"/>
                <w:szCs w:val="21"/>
                <w:highlight w:val="none"/>
                <w:u w:val="single"/>
              </w:rPr>
              <w:t>55</w:t>
            </w:r>
          </w:p>
        </w:tc>
      </w:tr>
      <w:tr w14:paraId="477E39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5" w:type="pct"/>
            <w:vAlign w:val="center"/>
          </w:tcPr>
          <w:p w14:paraId="51CF8774">
            <w:pPr>
              <w:spacing w:line="240" w:lineRule="auto"/>
              <w:ind w:firstLine="0" w:firstLineChars="0"/>
              <w:jc w:val="center"/>
              <w:rPr>
                <w:color w:val="auto"/>
                <w:sz w:val="21"/>
                <w:szCs w:val="21"/>
                <w:highlight w:val="none"/>
                <w:u w:val="single"/>
              </w:rPr>
            </w:pPr>
            <w:r>
              <w:rPr>
                <w:color w:val="auto"/>
                <w:sz w:val="21"/>
                <w:szCs w:val="21"/>
                <w:highlight w:val="none"/>
                <w:u w:val="single"/>
              </w:rPr>
              <w:t>厂界北</w:t>
            </w:r>
          </w:p>
        </w:tc>
        <w:tc>
          <w:tcPr>
            <w:tcW w:w="817" w:type="pct"/>
            <w:vAlign w:val="center"/>
          </w:tcPr>
          <w:p w14:paraId="218C4D33">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4</w:t>
            </w:r>
            <w:r>
              <w:rPr>
                <w:color w:val="auto"/>
                <w:sz w:val="21"/>
                <w:szCs w:val="21"/>
                <w:highlight w:val="none"/>
                <w:u w:val="single"/>
              </w:rPr>
              <w:t>6.0</w:t>
            </w:r>
          </w:p>
        </w:tc>
        <w:tc>
          <w:tcPr>
            <w:tcW w:w="611" w:type="pct"/>
            <w:vAlign w:val="center"/>
          </w:tcPr>
          <w:p w14:paraId="1E7A7220">
            <w:pPr>
              <w:spacing w:line="240" w:lineRule="auto"/>
              <w:ind w:firstLine="0" w:firstLineChars="0"/>
              <w:jc w:val="center"/>
              <w:rPr>
                <w:color w:val="auto"/>
                <w:sz w:val="21"/>
                <w:szCs w:val="21"/>
                <w:highlight w:val="none"/>
                <w:u w:val="single"/>
              </w:rPr>
            </w:pPr>
            <w:r>
              <w:rPr>
                <w:color w:val="auto"/>
                <w:sz w:val="21"/>
                <w:szCs w:val="21"/>
                <w:highlight w:val="none"/>
                <w:u w:val="single"/>
              </w:rPr>
              <w:t>57</w:t>
            </w:r>
          </w:p>
        </w:tc>
        <w:tc>
          <w:tcPr>
            <w:tcW w:w="611" w:type="pct"/>
            <w:vAlign w:val="center"/>
          </w:tcPr>
          <w:p w14:paraId="5A78EBDF">
            <w:pPr>
              <w:spacing w:line="240" w:lineRule="auto"/>
              <w:ind w:firstLine="0" w:firstLineChars="0"/>
              <w:jc w:val="center"/>
              <w:rPr>
                <w:color w:val="auto"/>
                <w:sz w:val="21"/>
                <w:szCs w:val="21"/>
                <w:highlight w:val="none"/>
                <w:u w:val="single"/>
              </w:rPr>
            </w:pPr>
            <w:r>
              <w:rPr>
                <w:color w:val="auto"/>
                <w:sz w:val="21"/>
                <w:szCs w:val="21"/>
                <w:highlight w:val="none"/>
                <w:u w:val="single"/>
              </w:rPr>
              <w:t>49.2</w:t>
            </w:r>
          </w:p>
        </w:tc>
        <w:tc>
          <w:tcPr>
            <w:tcW w:w="687" w:type="pct"/>
            <w:vAlign w:val="center"/>
          </w:tcPr>
          <w:p w14:paraId="6BFDB754">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w:t>
            </w:r>
            <w:r>
              <w:rPr>
                <w:color w:val="auto"/>
                <w:sz w:val="21"/>
                <w:szCs w:val="21"/>
                <w:highlight w:val="none"/>
                <w:u w:val="single"/>
              </w:rPr>
              <w:t>7.3</w:t>
            </w:r>
          </w:p>
        </w:tc>
        <w:tc>
          <w:tcPr>
            <w:tcW w:w="626" w:type="pct"/>
            <w:vAlign w:val="center"/>
          </w:tcPr>
          <w:p w14:paraId="7F6F123D">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5</w:t>
            </w:r>
            <w:r>
              <w:rPr>
                <w:color w:val="auto"/>
                <w:sz w:val="21"/>
                <w:szCs w:val="21"/>
                <w:highlight w:val="none"/>
                <w:u w:val="single"/>
              </w:rPr>
              <w:t>0.9</w:t>
            </w:r>
          </w:p>
        </w:tc>
        <w:tc>
          <w:tcPr>
            <w:tcW w:w="496" w:type="pct"/>
            <w:vAlign w:val="center"/>
          </w:tcPr>
          <w:p w14:paraId="631BB0C2">
            <w:pPr>
              <w:spacing w:line="240" w:lineRule="auto"/>
              <w:ind w:firstLine="0" w:firstLineChars="0"/>
              <w:jc w:val="center"/>
              <w:rPr>
                <w:color w:val="auto"/>
                <w:sz w:val="21"/>
                <w:szCs w:val="21"/>
                <w:highlight w:val="none"/>
                <w:u w:val="single"/>
              </w:rPr>
            </w:pPr>
            <w:r>
              <w:rPr>
                <w:color w:val="auto"/>
                <w:sz w:val="21"/>
                <w:szCs w:val="21"/>
                <w:highlight w:val="none"/>
                <w:u w:val="single"/>
              </w:rPr>
              <w:t>65</w:t>
            </w:r>
          </w:p>
        </w:tc>
        <w:tc>
          <w:tcPr>
            <w:tcW w:w="538" w:type="pct"/>
            <w:vAlign w:val="center"/>
          </w:tcPr>
          <w:p w14:paraId="3858F365">
            <w:pPr>
              <w:spacing w:line="240" w:lineRule="auto"/>
              <w:ind w:firstLine="0" w:firstLineChars="0"/>
              <w:jc w:val="center"/>
              <w:rPr>
                <w:color w:val="auto"/>
                <w:sz w:val="21"/>
                <w:szCs w:val="21"/>
                <w:highlight w:val="none"/>
                <w:u w:val="single"/>
              </w:rPr>
            </w:pPr>
            <w:r>
              <w:rPr>
                <w:color w:val="auto"/>
                <w:sz w:val="21"/>
                <w:szCs w:val="21"/>
                <w:highlight w:val="none"/>
                <w:u w:val="single"/>
              </w:rPr>
              <w:t>55</w:t>
            </w:r>
          </w:p>
        </w:tc>
      </w:tr>
    </w:tbl>
    <w:p w14:paraId="5067BBCC">
      <w:pPr>
        <w:pStyle w:val="91"/>
        <w:snapToGrid w:val="0"/>
        <w:spacing w:after="0"/>
        <w:ind w:left="0" w:leftChars="0"/>
        <w:jc w:val="left"/>
        <w:rPr>
          <w:rFonts w:ascii="Times New Roman" w:hAnsi="Times New Roman" w:cs="Times New Roman"/>
          <w:b/>
          <w:bCs/>
          <w:color w:val="auto"/>
          <w:highlight w:val="none"/>
          <w:u w:val="single"/>
        </w:rPr>
      </w:pPr>
      <w:r>
        <w:rPr>
          <w:rFonts w:ascii="Times New Roman" w:hAnsi="Times New Roman" w:cs="Times New Roman"/>
          <w:b/>
          <w:bCs/>
          <w:color w:val="auto"/>
          <w:highlight w:val="none"/>
          <w:u w:val="single"/>
        </w:rPr>
        <w:t>备注：现状值取2025年厂界噪声自行监测结果最大值。</w:t>
      </w:r>
    </w:p>
    <w:p w14:paraId="369C4FA3">
      <w:pPr>
        <w:spacing w:before="120" w:beforeLines="50"/>
        <w:ind w:firstLine="480"/>
        <w:rPr>
          <w:color w:val="auto"/>
          <w:highlight w:val="none"/>
        </w:rPr>
      </w:pPr>
      <w:r>
        <w:rPr>
          <w:color w:val="auto"/>
          <w:highlight w:val="none"/>
          <w:u w:val="single"/>
        </w:rPr>
        <w:t>根据</w:t>
      </w:r>
      <w:r>
        <w:rPr>
          <w:rFonts w:hint="eastAsia"/>
          <w:color w:val="auto"/>
          <w:highlight w:val="none"/>
          <w:u w:val="single"/>
        </w:rPr>
        <w:t>上述预测</w:t>
      </w:r>
      <w:r>
        <w:rPr>
          <w:color w:val="auto"/>
          <w:highlight w:val="none"/>
          <w:u w:val="single"/>
        </w:rPr>
        <w:t>结果，项目</w:t>
      </w:r>
      <w:r>
        <w:rPr>
          <w:rFonts w:hint="eastAsia"/>
          <w:color w:val="auto"/>
          <w:highlight w:val="none"/>
          <w:u w:val="single"/>
        </w:rPr>
        <w:t>建成后，厂区</w:t>
      </w:r>
      <w:r>
        <w:rPr>
          <w:color w:val="auto"/>
          <w:highlight w:val="none"/>
          <w:u w:val="single"/>
        </w:rPr>
        <w:t>东、南、</w:t>
      </w:r>
      <w:r>
        <w:rPr>
          <w:rFonts w:hint="eastAsia"/>
          <w:color w:val="auto"/>
          <w:highlight w:val="none"/>
          <w:u w:val="single"/>
        </w:rPr>
        <w:t>西、</w:t>
      </w:r>
      <w:r>
        <w:rPr>
          <w:color w:val="auto"/>
          <w:highlight w:val="none"/>
          <w:u w:val="single"/>
        </w:rPr>
        <w:t>北面厂界噪声均可达到《工业企业厂界环境噪声排放标准》（GB12348－2008）3类标准要求，且项目厂界外200m范围内没有敏感目标，项目运营后噪声对周边环境影响较小。</w:t>
      </w:r>
    </w:p>
    <w:p w14:paraId="25A7E17B">
      <w:pPr>
        <w:pStyle w:val="7"/>
        <w:numPr>
          <w:ilvl w:val="2"/>
          <w:numId w:val="9"/>
        </w:numPr>
        <w:rPr>
          <w:color w:val="auto"/>
          <w:sz w:val="28"/>
          <w:highlight w:val="none"/>
        </w:rPr>
      </w:pPr>
      <w:r>
        <w:rPr>
          <w:color w:val="auto"/>
          <w:sz w:val="28"/>
          <w:highlight w:val="none"/>
        </w:rPr>
        <w:t>运营期固体废物影响分析与评价</w:t>
      </w:r>
    </w:p>
    <w:p w14:paraId="3481E72D">
      <w:pPr>
        <w:pStyle w:val="693"/>
        <w:rPr>
          <w:rFonts w:ascii="Times New Roman" w:cs="Times New Roman"/>
          <w:color w:val="auto"/>
          <w:highlight w:val="none"/>
        </w:rPr>
      </w:pPr>
      <w:r>
        <w:rPr>
          <w:rFonts w:ascii="Times New Roman" w:cs="Times New Roman"/>
          <w:color w:val="auto"/>
          <w:highlight w:val="none"/>
        </w:rPr>
        <w:t>固体废物对环境的影响主要体现在以下三个方面：①通过大气降水产生淋滤液，淋滤液进入水体造成环境污染，控制废渣淋滤液的污染，实质是控制固废污染的一个重要问题；②固废沥出水或雨水冲刷水渗入地下，对地下水体造成不利影响；③固废堆存经风吹产生的扬尘污染。</w:t>
      </w:r>
    </w:p>
    <w:p w14:paraId="768E8BBA">
      <w:pPr>
        <w:pStyle w:val="533"/>
        <w:numPr>
          <w:ilvl w:val="3"/>
          <w:numId w:val="9"/>
        </w:numPr>
        <w:rPr>
          <w:color w:val="auto"/>
          <w:szCs w:val="24"/>
          <w:highlight w:val="none"/>
        </w:rPr>
      </w:pPr>
      <w:r>
        <w:rPr>
          <w:color w:val="auto"/>
          <w:szCs w:val="24"/>
          <w:highlight w:val="none"/>
        </w:rPr>
        <w:t>一般工业固体废物处置及影响分析</w:t>
      </w:r>
    </w:p>
    <w:p w14:paraId="55934B5D">
      <w:pPr>
        <w:pStyle w:val="693"/>
        <w:rPr>
          <w:rFonts w:ascii="Times New Roman" w:cs="Times New Roman"/>
          <w:color w:val="auto"/>
          <w:highlight w:val="none"/>
        </w:rPr>
      </w:pPr>
      <w:r>
        <w:rPr>
          <w:rFonts w:ascii="Times New Roman" w:cs="Times New Roman"/>
          <w:color w:val="auto"/>
          <w:highlight w:val="none"/>
        </w:rPr>
        <w:t>一般工业固体废物包括废焊料、焊渣、</w:t>
      </w:r>
      <w:r>
        <w:rPr>
          <w:rFonts w:hint="eastAsia" w:ascii="Times New Roman" w:cs="Times New Roman"/>
          <w:color w:val="auto"/>
          <w:highlight w:val="none"/>
        </w:rPr>
        <w:t>切割废料、</w:t>
      </w:r>
      <w:r>
        <w:rPr>
          <w:rFonts w:ascii="Times New Roman" w:cs="Times New Roman"/>
          <w:color w:val="auto"/>
          <w:highlight w:val="none"/>
        </w:rPr>
        <w:t>废铜矿砂、铁锈、船舶附着海生生物</w:t>
      </w:r>
      <w:r>
        <w:rPr>
          <w:rFonts w:hint="eastAsia" w:ascii="Times New Roman" w:cs="Times New Roman"/>
          <w:color w:val="auto"/>
          <w:highlight w:val="none"/>
        </w:rPr>
        <w:t>、</w:t>
      </w:r>
      <w:r>
        <w:rPr>
          <w:rFonts w:hint="eastAsia"/>
          <w:bCs/>
          <w:color w:val="auto"/>
          <w:highlight w:val="none"/>
          <w:u w:val="single"/>
        </w:rPr>
        <w:t>初期雨水沉渣</w:t>
      </w:r>
      <w:r>
        <w:rPr>
          <w:bCs/>
          <w:color w:val="auto"/>
          <w:highlight w:val="none"/>
        </w:rPr>
        <w:t>等，</w:t>
      </w:r>
      <w:r>
        <w:rPr>
          <w:rFonts w:ascii="Times New Roman" w:cs="Times New Roman"/>
          <w:color w:val="auto"/>
          <w:highlight w:val="none"/>
        </w:rPr>
        <w:t>废焊料、焊渣、</w:t>
      </w:r>
      <w:r>
        <w:rPr>
          <w:rFonts w:hint="eastAsia"/>
          <w:bCs/>
          <w:color w:val="auto"/>
          <w:highlight w:val="none"/>
          <w:u w:val="single"/>
        </w:rPr>
        <w:t>切割废料、</w:t>
      </w:r>
      <w:r>
        <w:rPr>
          <w:rFonts w:ascii="Times New Roman" w:cs="Times New Roman"/>
          <w:color w:val="auto"/>
          <w:highlight w:val="none"/>
        </w:rPr>
        <w:t>废铜矿砂、铁锈等</w:t>
      </w:r>
      <w:r>
        <w:rPr>
          <w:rFonts w:hint="eastAsia" w:ascii="Times New Roman" w:cs="Times New Roman"/>
          <w:color w:val="auto"/>
          <w:highlight w:val="none"/>
        </w:rPr>
        <w:t>，收集</w:t>
      </w:r>
      <w:r>
        <w:rPr>
          <w:rFonts w:ascii="Times New Roman" w:cs="Times New Roman"/>
          <w:color w:val="auto"/>
          <w:highlight w:val="none"/>
        </w:rPr>
        <w:t>后暂存于一般固废暂存间，能回收的回收利用，不能回收利用的由中标公司（项目最近一次委托处理单位为钦州市鼎鑫再生资源回收利用有限公司）外运处理，船舶附着海生生物集中堆放，由环卫部门统一处理</w:t>
      </w:r>
      <w:r>
        <w:rPr>
          <w:rFonts w:hint="eastAsia" w:ascii="Times New Roman" w:cs="Times New Roman"/>
          <w:color w:val="auto"/>
          <w:highlight w:val="none"/>
        </w:rPr>
        <w:t>；</w:t>
      </w:r>
      <w:r>
        <w:rPr>
          <w:rFonts w:hint="eastAsia"/>
          <w:bCs/>
          <w:color w:val="auto"/>
          <w:highlight w:val="none"/>
          <w:u w:val="single"/>
        </w:rPr>
        <w:t>初期雨水沉渣</w:t>
      </w:r>
      <w:r>
        <w:rPr>
          <w:rFonts w:hint="eastAsia"/>
          <w:color w:val="auto"/>
          <w:highlight w:val="none"/>
          <w:u w:val="single"/>
        </w:rPr>
        <w:t>定期掏出后交由环卫部门统一收集处理</w:t>
      </w:r>
      <w:r>
        <w:rPr>
          <w:rFonts w:ascii="Times New Roman" w:cs="Times New Roman"/>
          <w:color w:val="auto"/>
          <w:highlight w:val="none"/>
        </w:rPr>
        <w:t>。一般固废暂存间为室内设施，可做到防扬散、防雨淋，车间地面进行硬化防渗处理，粉状物料采用袋装密封存放，防止产生扬尘。</w:t>
      </w:r>
    </w:p>
    <w:p w14:paraId="0EBF251A">
      <w:pPr>
        <w:pStyle w:val="693"/>
        <w:rPr>
          <w:rFonts w:ascii="Times New Roman" w:cs="Times New Roman"/>
          <w:color w:val="auto"/>
          <w:highlight w:val="none"/>
        </w:rPr>
      </w:pPr>
      <w:r>
        <w:rPr>
          <w:rFonts w:ascii="Times New Roman" w:cs="Times New Roman"/>
          <w:color w:val="auto"/>
          <w:highlight w:val="none"/>
        </w:rPr>
        <w:t>综上，项目一般工业固体废物贮存设施满足《一般工业固体废物贮存和填埋污染控制标准》（GB 18599-2020）要求，且均可以作为资源回收利用，对环境产生影响较小。</w:t>
      </w:r>
    </w:p>
    <w:p w14:paraId="55FF02A7">
      <w:pPr>
        <w:pStyle w:val="533"/>
        <w:numPr>
          <w:ilvl w:val="3"/>
          <w:numId w:val="9"/>
        </w:numPr>
        <w:rPr>
          <w:color w:val="auto"/>
          <w:szCs w:val="24"/>
          <w:highlight w:val="none"/>
        </w:rPr>
      </w:pPr>
      <w:r>
        <w:rPr>
          <w:color w:val="auto"/>
          <w:szCs w:val="24"/>
          <w:highlight w:val="none"/>
        </w:rPr>
        <w:t>危险废物影响分析</w:t>
      </w:r>
    </w:p>
    <w:p w14:paraId="3315A0F4">
      <w:pPr>
        <w:pStyle w:val="693"/>
        <w:rPr>
          <w:rFonts w:ascii="Times New Roman" w:cs="Times New Roman"/>
          <w:color w:val="auto"/>
          <w:highlight w:val="none"/>
        </w:rPr>
      </w:pPr>
      <w:r>
        <w:rPr>
          <w:rFonts w:ascii="Times New Roman" w:cs="Times New Roman"/>
          <w:color w:val="auto"/>
          <w:highlight w:val="none"/>
        </w:rPr>
        <w:t>对于危险废物，从产生、收集、贮存、运输、利用和处置等全过程考虑，分析预测建设项目产生的危险废物可能造成的环境影响</w:t>
      </w:r>
      <w:r>
        <w:rPr>
          <w:rFonts w:hint="eastAsia" w:ascii="Times New Roman" w:cs="Times New Roman"/>
          <w:color w:val="auto"/>
          <w:highlight w:val="none"/>
        </w:rPr>
        <w:t>。</w:t>
      </w:r>
    </w:p>
    <w:p w14:paraId="5FCC73C6">
      <w:pPr>
        <w:pStyle w:val="693"/>
        <w:rPr>
          <w:rFonts w:ascii="Times New Roman" w:cs="Times New Roman"/>
          <w:color w:val="auto"/>
          <w:highlight w:val="none"/>
          <w:u w:val="single"/>
        </w:rPr>
      </w:pPr>
      <w:r>
        <w:rPr>
          <w:rFonts w:ascii="Times New Roman" w:cs="Times New Roman"/>
          <w:color w:val="auto"/>
          <w:highlight w:val="none"/>
          <w:u w:val="single"/>
        </w:rPr>
        <w:t xml:space="preserve">（1）危险废物贮存场所（设施）分析 </w:t>
      </w:r>
    </w:p>
    <w:p w14:paraId="4182698B">
      <w:pPr>
        <w:pStyle w:val="693"/>
        <w:rPr>
          <w:rFonts w:ascii="Times New Roman" w:cs="Times New Roman"/>
          <w:color w:val="auto"/>
          <w:highlight w:val="none"/>
          <w:u w:val="single"/>
        </w:rPr>
      </w:pPr>
      <w:r>
        <w:rPr>
          <w:rFonts w:ascii="Times New Roman" w:cs="Times New Roman"/>
          <w:color w:val="auto"/>
          <w:highlight w:val="none"/>
          <w:u w:val="single"/>
        </w:rPr>
        <w:t>根据工程分析，项目产生的危险废物包括船舶废油、</w:t>
      </w:r>
      <w:r>
        <w:rPr>
          <w:rFonts w:hint="eastAsia" w:ascii="Times New Roman" w:cs="Times New Roman"/>
          <w:color w:val="auto"/>
          <w:highlight w:val="none"/>
          <w:u w:val="single"/>
        </w:rPr>
        <w:t>漆渣、</w:t>
      </w:r>
      <w:r>
        <w:rPr>
          <w:rFonts w:ascii="Times New Roman" w:cs="Times New Roman"/>
          <w:color w:val="auto"/>
          <w:highlight w:val="none"/>
          <w:u w:val="single"/>
        </w:rPr>
        <w:t>废油漆桶</w:t>
      </w:r>
      <w:r>
        <w:rPr>
          <w:rFonts w:hint="eastAsia" w:ascii="Times New Roman" w:cs="Times New Roman"/>
          <w:color w:val="auto"/>
          <w:highlight w:val="none"/>
          <w:u w:val="single"/>
        </w:rPr>
        <w:t>及稀释剂包装物</w:t>
      </w:r>
      <w:r>
        <w:rPr>
          <w:rFonts w:ascii="Times New Roman" w:cs="Times New Roman"/>
          <w:color w:val="auto"/>
          <w:highlight w:val="none"/>
          <w:u w:val="single"/>
        </w:rPr>
        <w:t>、废油污泥</w:t>
      </w:r>
      <w:r>
        <w:rPr>
          <w:rFonts w:hint="eastAsia" w:ascii="Times New Roman" w:cs="Times New Roman"/>
          <w:color w:val="auto"/>
          <w:highlight w:val="none"/>
          <w:u w:val="single"/>
        </w:rPr>
        <w:t>、</w:t>
      </w:r>
      <w:r>
        <w:rPr>
          <w:rFonts w:hint="eastAsia"/>
          <w:color w:val="auto"/>
          <w:highlight w:val="none"/>
          <w:u w:val="single"/>
        </w:rPr>
        <w:t>废乳化液</w:t>
      </w:r>
      <w:r>
        <w:rPr>
          <w:rFonts w:ascii="Times New Roman" w:cs="Times New Roman"/>
          <w:color w:val="auto"/>
          <w:highlight w:val="none"/>
          <w:u w:val="single"/>
        </w:rPr>
        <w:t>等，采用专用容器收集后，分类暂存于厂区现有危废暂存间，定期由中标单位（</w:t>
      </w:r>
      <w:r>
        <w:rPr>
          <w:rFonts w:hint="eastAsia" w:ascii="Times New Roman" w:cs="Times New Roman"/>
          <w:color w:val="auto"/>
          <w:highlight w:val="none"/>
          <w:u w:val="single"/>
        </w:rPr>
        <w:t>最近一次委托处理单位为广西深投环保科技有限公司，目前正在签订新的委托合同</w:t>
      </w:r>
      <w:r>
        <w:rPr>
          <w:rFonts w:ascii="Times New Roman" w:cs="Times New Roman"/>
          <w:color w:val="auto"/>
          <w:highlight w:val="none"/>
          <w:u w:val="single"/>
        </w:rPr>
        <w:t>）外运处理。</w:t>
      </w:r>
    </w:p>
    <w:p w14:paraId="4317C194">
      <w:pPr>
        <w:pStyle w:val="693"/>
        <w:rPr>
          <w:rFonts w:ascii="Times New Roman" w:cs="Times New Roman"/>
          <w:color w:val="auto"/>
          <w:highlight w:val="none"/>
          <w:u w:val="single"/>
        </w:rPr>
      </w:pPr>
      <w:r>
        <w:rPr>
          <w:rFonts w:ascii="Times New Roman" w:cs="Times New Roman"/>
          <w:color w:val="auto"/>
          <w:highlight w:val="none"/>
          <w:u w:val="single"/>
        </w:rPr>
        <w:t>本项目建成后，全厂船舶维修能力不变，危废产生量基本不变，根据调查，现有危废暂存间位于厂区</w:t>
      </w:r>
      <w:r>
        <w:rPr>
          <w:rFonts w:hint="eastAsia" w:ascii="Times New Roman" w:cs="Times New Roman"/>
          <w:color w:val="auto"/>
          <w:highlight w:val="none"/>
          <w:u w:val="single"/>
        </w:rPr>
        <w:t>东北</w:t>
      </w:r>
      <w:r>
        <w:rPr>
          <w:rFonts w:ascii="Times New Roman" w:cs="Times New Roman"/>
          <w:color w:val="auto"/>
          <w:highlight w:val="none"/>
          <w:u w:val="single"/>
        </w:rPr>
        <w:t>角，面积为180.29m</w:t>
      </w:r>
      <w:r>
        <w:rPr>
          <w:rFonts w:ascii="Times New Roman" w:cs="Times New Roman"/>
          <w:color w:val="auto"/>
          <w:highlight w:val="none"/>
          <w:u w:val="single"/>
          <w:vertAlign w:val="superscript"/>
        </w:rPr>
        <w:t>2</w:t>
      </w:r>
      <w:r>
        <w:rPr>
          <w:rFonts w:ascii="Times New Roman" w:cs="Times New Roman"/>
          <w:color w:val="auto"/>
          <w:highlight w:val="none"/>
          <w:u w:val="single"/>
        </w:rPr>
        <w:t>，已按全厂危废暂存需求考虑，危险废物暂存间已按《危险废物贮存污染控制标准》（GB18597-2023）规范建设，并于2017年通过验收，危废暂存间已做好防雨、防风、防渗漏、防流失措施，设置了提示性和警示性图形标志，并建立管理台账，由专人管理，管理人员对入库和出库的危险种类、数量造册登记，并填写交接记录，由入库、管理人、出库人签字，防止危废流失。</w:t>
      </w:r>
    </w:p>
    <w:p w14:paraId="016A1A92">
      <w:pPr>
        <w:pStyle w:val="693"/>
        <w:rPr>
          <w:rFonts w:ascii="Times New Roman" w:cs="Times New Roman"/>
          <w:color w:val="auto"/>
          <w:highlight w:val="none"/>
          <w:u w:val="single"/>
        </w:rPr>
      </w:pPr>
      <w:r>
        <w:rPr>
          <w:rFonts w:hint="eastAsia" w:ascii="Times New Roman" w:cs="Times New Roman"/>
          <w:color w:val="auto"/>
          <w:highlight w:val="none"/>
          <w:u w:val="single"/>
        </w:rPr>
        <w:t xml:space="preserve">（2）危险废物运输转移影响分析 </w:t>
      </w:r>
    </w:p>
    <w:p w14:paraId="5E89F14F">
      <w:pPr>
        <w:pStyle w:val="693"/>
        <w:rPr>
          <w:rFonts w:ascii="Times New Roman" w:cs="Times New Roman"/>
          <w:color w:val="auto"/>
          <w:highlight w:val="none"/>
          <w:u w:val="single"/>
        </w:rPr>
      </w:pPr>
      <w:r>
        <w:rPr>
          <w:rFonts w:hint="eastAsia" w:ascii="Times New Roman" w:cs="Times New Roman"/>
          <w:color w:val="auto"/>
          <w:highlight w:val="none"/>
          <w:u w:val="single"/>
        </w:rPr>
        <w:t>危险废物的收集、贮存、运输应严格按照《危险废物收集贮存运输技术规范》（HJ2025-2012）、《危险废物转移管理办法》要求进行，实施危险废物转移联单制度，实施全过程严格管理，确保危险废弃物的转移过程的安全可靠，减少运输过程中的二次污染和可能造成的环境风险。</w:t>
      </w:r>
    </w:p>
    <w:p w14:paraId="6CFB4C39">
      <w:pPr>
        <w:pStyle w:val="693"/>
        <w:rPr>
          <w:rFonts w:ascii="Times New Roman" w:cs="Times New Roman"/>
          <w:color w:val="auto"/>
          <w:highlight w:val="none"/>
          <w:u w:val="single"/>
        </w:rPr>
      </w:pPr>
      <w:r>
        <w:rPr>
          <w:rFonts w:hint="eastAsia" w:ascii="Times New Roman" w:cs="Times New Roman"/>
          <w:color w:val="auto"/>
          <w:highlight w:val="none"/>
          <w:u w:val="single"/>
        </w:rPr>
        <w:t>危险废物运输过程的污染防治措施：</w:t>
      </w:r>
    </w:p>
    <w:p w14:paraId="7FA81AEB">
      <w:pPr>
        <w:pStyle w:val="693"/>
        <w:rPr>
          <w:rFonts w:ascii="Times New Roman" w:cs="Times New Roman"/>
          <w:color w:val="auto"/>
          <w:highlight w:val="none"/>
          <w:u w:val="single"/>
        </w:rPr>
      </w:pPr>
      <w:r>
        <w:rPr>
          <w:rFonts w:hint="eastAsia" w:ascii="Times New Roman" w:cs="Times New Roman"/>
          <w:color w:val="auto"/>
          <w:highlight w:val="none"/>
          <w:u w:val="single"/>
        </w:rPr>
        <w:t>厂内运输：漆渣采用专用包装袋，废矿物油使用封闭桶盛装，各类危废包装后采用车辆由生产车间转运至危废暂存间，运输道路均硬化，弃渣、废矿物油不易挥发，且危废暂存间满足防风、防雨、防晒、防渗漏等要求，并设置渗漏收集措施。</w:t>
      </w:r>
    </w:p>
    <w:p w14:paraId="6F1D9F15">
      <w:pPr>
        <w:pStyle w:val="693"/>
        <w:rPr>
          <w:rFonts w:ascii="Times New Roman" w:cs="Times New Roman"/>
          <w:color w:val="auto"/>
          <w:highlight w:val="none"/>
          <w:u w:val="single"/>
        </w:rPr>
      </w:pPr>
      <w:r>
        <w:rPr>
          <w:rFonts w:hint="eastAsia" w:ascii="Times New Roman" w:cs="Times New Roman"/>
          <w:color w:val="auto"/>
          <w:highlight w:val="none"/>
          <w:u w:val="single"/>
        </w:rPr>
        <w:t>厂外运输：项目产生的危废委托</w:t>
      </w:r>
      <w:r>
        <w:rPr>
          <w:rFonts w:hint="eastAsia" w:ascii="Times New Roman" w:cs="Times New Roman"/>
          <w:color w:val="auto"/>
          <w:highlight w:val="none"/>
          <w:u w:val="single"/>
          <w:lang w:eastAsia="zh-CN"/>
        </w:rPr>
        <w:t>给</w:t>
      </w:r>
      <w:r>
        <w:rPr>
          <w:rFonts w:hint="eastAsia" w:ascii="Times New Roman" w:cs="Times New Roman"/>
          <w:color w:val="auto"/>
          <w:highlight w:val="none"/>
          <w:u w:val="single"/>
        </w:rPr>
        <w:t>有危废运输资质的单位转运，对转运单位提出以下要求：</w:t>
      </w:r>
    </w:p>
    <w:p w14:paraId="5E6CD041">
      <w:pPr>
        <w:pStyle w:val="693"/>
        <w:rPr>
          <w:rFonts w:ascii="Times New Roman" w:cs="Times New Roman"/>
          <w:color w:val="auto"/>
          <w:highlight w:val="none"/>
          <w:u w:val="single"/>
        </w:rPr>
      </w:pPr>
      <w:r>
        <w:rPr>
          <w:rFonts w:hint="eastAsia" w:ascii="Times New Roman" w:cs="Times New Roman"/>
          <w:color w:val="auto"/>
          <w:highlight w:val="none"/>
          <w:u w:val="single"/>
        </w:rPr>
        <w:t>①危险废物运输应由持有危险废物经营许可证的单位按照其许可证的经营范围组织实施，承担危险废物运输的单位应获得交通运输部门颁发的危险货物运输资质。</w:t>
      </w:r>
    </w:p>
    <w:p w14:paraId="0F7E2F8C">
      <w:pPr>
        <w:pStyle w:val="693"/>
        <w:rPr>
          <w:rFonts w:ascii="Times New Roman" w:cs="Times New Roman"/>
          <w:color w:val="auto"/>
          <w:highlight w:val="none"/>
          <w:u w:val="single"/>
        </w:rPr>
      </w:pPr>
      <w:r>
        <w:rPr>
          <w:rFonts w:hint="eastAsia" w:ascii="Times New Roman" w:cs="Times New Roman"/>
          <w:color w:val="auto"/>
          <w:highlight w:val="none"/>
          <w:u w:val="single"/>
        </w:rPr>
        <w:t>②危险废物公路运输应按照《道路危险货物运输管理规定》（交通部令〔2005〕年第9号）、JT617以及JT618执行。</w:t>
      </w:r>
    </w:p>
    <w:p w14:paraId="76F2D0D8">
      <w:pPr>
        <w:pStyle w:val="693"/>
        <w:rPr>
          <w:rFonts w:ascii="Times New Roman" w:cs="Times New Roman"/>
          <w:color w:val="auto"/>
          <w:highlight w:val="none"/>
          <w:u w:val="single"/>
        </w:rPr>
      </w:pPr>
      <w:r>
        <w:rPr>
          <w:rFonts w:hint="eastAsia" w:ascii="Times New Roman" w:cs="Times New Roman"/>
          <w:color w:val="auto"/>
          <w:highlight w:val="none"/>
          <w:u w:val="single"/>
        </w:rPr>
        <w:t>③运输单位承运危险废物时，应在危险废物包装上按照GB18597附录A 设置标志。</w:t>
      </w:r>
    </w:p>
    <w:p w14:paraId="5C42D724">
      <w:pPr>
        <w:pStyle w:val="693"/>
        <w:rPr>
          <w:rFonts w:ascii="Times New Roman" w:cs="Times New Roman"/>
          <w:color w:val="auto"/>
          <w:highlight w:val="none"/>
          <w:u w:val="single"/>
        </w:rPr>
      </w:pPr>
      <w:r>
        <w:rPr>
          <w:rFonts w:hint="eastAsia" w:ascii="Times New Roman" w:cs="Times New Roman"/>
          <w:color w:val="auto"/>
          <w:highlight w:val="none"/>
          <w:u w:val="single"/>
        </w:rPr>
        <w:t>④危险废物公路运输时，运输车辆应按GB13392设置车辆标志。铁路运输和水路运输危险废物时应在集装箱外按GB190规定悬挂标志。</w:t>
      </w:r>
    </w:p>
    <w:p w14:paraId="0B4476D8">
      <w:pPr>
        <w:pStyle w:val="693"/>
        <w:rPr>
          <w:rFonts w:ascii="Times New Roman" w:cs="Times New Roman"/>
          <w:color w:val="auto"/>
          <w:highlight w:val="none"/>
          <w:u w:val="single"/>
        </w:rPr>
      </w:pPr>
      <w:r>
        <w:rPr>
          <w:rFonts w:hint="eastAsia" w:ascii="Times New Roman" w:cs="Times New Roman"/>
          <w:color w:val="auto"/>
          <w:highlight w:val="none"/>
          <w:u w:val="single"/>
        </w:rPr>
        <w:t xml:space="preserve">⑤危险废物运输时的中转、装卸过程应遵守如下技术要求：卸载区的工作人员应熟悉废物的危险特性，并配备适当的个人防护装备，装卸剧毒废物应配备特殊的防护装备；卸载区应配备必要的消防设备和设施，并设置明显的指示标志；危险废物装卸区应设置隔离设施。 </w:t>
      </w:r>
    </w:p>
    <w:p w14:paraId="5C8FEC1F">
      <w:pPr>
        <w:pStyle w:val="693"/>
        <w:rPr>
          <w:rFonts w:ascii="Times New Roman" w:cs="Times New Roman"/>
          <w:color w:val="auto"/>
          <w:highlight w:val="none"/>
          <w:u w:val="single"/>
        </w:rPr>
      </w:pPr>
      <w:r>
        <w:rPr>
          <w:rFonts w:hint="eastAsia" w:ascii="Times New Roman" w:cs="Times New Roman"/>
          <w:color w:val="auto"/>
          <w:highlight w:val="none"/>
          <w:u w:val="single"/>
        </w:rPr>
        <w:t>采取以上措施，项目危险废物运输转移影响对周边环境影响不大。</w:t>
      </w:r>
    </w:p>
    <w:p w14:paraId="18624F2F">
      <w:pPr>
        <w:pStyle w:val="693"/>
        <w:rPr>
          <w:rFonts w:ascii="Times New Roman" w:cs="Times New Roman"/>
          <w:color w:val="auto"/>
          <w:highlight w:val="none"/>
          <w:u w:val="single"/>
        </w:rPr>
      </w:pPr>
      <w:r>
        <w:rPr>
          <w:rFonts w:hint="eastAsia" w:ascii="Times New Roman" w:cs="Times New Roman"/>
          <w:color w:val="auto"/>
          <w:highlight w:val="none"/>
          <w:u w:val="single"/>
        </w:rPr>
        <w:t xml:space="preserve">（3）委托处置环境影响分析 </w:t>
      </w:r>
    </w:p>
    <w:p w14:paraId="0E848376">
      <w:pPr>
        <w:pStyle w:val="693"/>
        <w:rPr>
          <w:rFonts w:ascii="Times New Roman" w:cs="Times New Roman"/>
          <w:color w:val="auto"/>
          <w:highlight w:val="none"/>
          <w:u w:val="single"/>
        </w:rPr>
      </w:pPr>
      <w:r>
        <w:rPr>
          <w:rFonts w:hint="eastAsia" w:ascii="Times New Roman" w:cs="Times New Roman"/>
          <w:color w:val="auto"/>
          <w:highlight w:val="none"/>
          <w:u w:val="single"/>
        </w:rPr>
        <w:t>项目产生的危险废物委托有相应危废处理资质的单位处理，满足项目危废处置要求。</w:t>
      </w:r>
    </w:p>
    <w:p w14:paraId="0CB400FD">
      <w:pPr>
        <w:pStyle w:val="693"/>
        <w:rPr>
          <w:rFonts w:ascii="Times New Roman" w:cs="Times New Roman"/>
          <w:color w:val="auto"/>
          <w:highlight w:val="none"/>
        </w:rPr>
      </w:pPr>
      <w:r>
        <w:rPr>
          <w:rFonts w:ascii="Times New Roman" w:cs="Times New Roman"/>
          <w:color w:val="auto"/>
          <w:highlight w:val="none"/>
          <w:u w:val="single"/>
        </w:rPr>
        <w:t>综上，项目危废暂存设施满足</w:t>
      </w:r>
      <w:bookmarkStart w:id="209" w:name="OLE_LINK6"/>
      <w:r>
        <w:rPr>
          <w:rFonts w:ascii="Times New Roman" w:cs="Times New Roman"/>
          <w:color w:val="auto"/>
          <w:highlight w:val="none"/>
          <w:u w:val="single"/>
        </w:rPr>
        <w:t>《危险废物贮存污染控制标准》（GB18597-2023）</w:t>
      </w:r>
      <w:bookmarkEnd w:id="209"/>
      <w:r>
        <w:rPr>
          <w:rFonts w:ascii="Times New Roman" w:cs="Times New Roman"/>
          <w:color w:val="auto"/>
          <w:highlight w:val="none"/>
          <w:u w:val="single"/>
        </w:rPr>
        <w:t>要求，</w:t>
      </w:r>
      <w:r>
        <w:rPr>
          <w:rFonts w:hint="eastAsia" w:ascii="Times New Roman" w:cs="Times New Roman"/>
          <w:color w:val="auto"/>
          <w:highlight w:val="none"/>
          <w:u w:val="single"/>
        </w:rPr>
        <w:t>实施危险废物转移联单制度，实施全过程严格管理，委托处置单位满足处置要求，</w:t>
      </w:r>
      <w:r>
        <w:rPr>
          <w:rFonts w:ascii="Times New Roman" w:cs="Times New Roman"/>
          <w:color w:val="auto"/>
          <w:highlight w:val="none"/>
          <w:u w:val="single"/>
        </w:rPr>
        <w:t>项目危险废物得到妥善暂存、外运</w:t>
      </w:r>
      <w:r>
        <w:rPr>
          <w:rFonts w:hint="eastAsia" w:ascii="Times New Roman" w:cs="Times New Roman"/>
          <w:color w:val="auto"/>
          <w:highlight w:val="none"/>
          <w:u w:val="single"/>
        </w:rPr>
        <w:t>及处置</w:t>
      </w:r>
      <w:r>
        <w:rPr>
          <w:rFonts w:ascii="Times New Roman" w:cs="Times New Roman"/>
          <w:color w:val="auto"/>
          <w:highlight w:val="none"/>
          <w:u w:val="single"/>
        </w:rPr>
        <w:t>，项目危险废物对周边环境影响不大</w:t>
      </w:r>
      <w:r>
        <w:rPr>
          <w:rFonts w:ascii="Times New Roman" w:cs="Times New Roman"/>
          <w:color w:val="auto"/>
          <w:highlight w:val="none"/>
        </w:rPr>
        <w:t>。</w:t>
      </w:r>
    </w:p>
    <w:p w14:paraId="7096A972">
      <w:pPr>
        <w:pStyle w:val="533"/>
        <w:numPr>
          <w:ilvl w:val="3"/>
          <w:numId w:val="9"/>
        </w:numPr>
        <w:rPr>
          <w:color w:val="auto"/>
          <w:szCs w:val="24"/>
          <w:highlight w:val="none"/>
        </w:rPr>
      </w:pPr>
      <w:r>
        <w:rPr>
          <w:color w:val="auto"/>
          <w:szCs w:val="24"/>
          <w:highlight w:val="none"/>
        </w:rPr>
        <w:t>生活垃圾环境影响分析</w:t>
      </w:r>
    </w:p>
    <w:p w14:paraId="5EEF7BD0">
      <w:pPr>
        <w:pStyle w:val="693"/>
        <w:rPr>
          <w:rFonts w:ascii="Times New Roman" w:cs="Times New Roman"/>
          <w:color w:val="auto"/>
          <w:highlight w:val="none"/>
        </w:rPr>
      </w:pPr>
      <w:r>
        <w:rPr>
          <w:rFonts w:ascii="Times New Roman" w:cs="Times New Roman"/>
          <w:color w:val="auto"/>
          <w:highlight w:val="none"/>
        </w:rPr>
        <w:t>生活垃圾包括职工生活垃圾及维修船舶携带船员生活垃圾，生活垃圾收集后环卫部门集中收集处理，部分为国外船舶生活垃圾，属特殊固废，经海事、港监部门消毒灭活处理检验后按一般固废处置要求处置，生活垃圾由市政环卫部门统一收集，进行“无害化、减量化、资源化”处理，无害化处理率达到100%，对环境影响较小。</w:t>
      </w:r>
    </w:p>
    <w:p w14:paraId="246DCF14">
      <w:pPr>
        <w:pStyle w:val="693"/>
        <w:rPr>
          <w:rFonts w:ascii="Times New Roman" w:cs="Times New Roman"/>
          <w:color w:val="auto"/>
          <w:highlight w:val="none"/>
        </w:rPr>
      </w:pPr>
      <w:r>
        <w:rPr>
          <w:rFonts w:ascii="Times New Roman" w:cs="Times New Roman"/>
          <w:color w:val="auto"/>
          <w:highlight w:val="none"/>
        </w:rPr>
        <w:t>综上，项目运营期固体废弃物均得到合理处置，对周围环境影响较小。</w:t>
      </w:r>
    </w:p>
    <w:p w14:paraId="23ADF70D">
      <w:pPr>
        <w:pStyle w:val="7"/>
        <w:numPr>
          <w:ilvl w:val="2"/>
          <w:numId w:val="9"/>
        </w:numPr>
        <w:rPr>
          <w:color w:val="auto"/>
          <w:sz w:val="28"/>
          <w:highlight w:val="none"/>
        </w:rPr>
      </w:pPr>
      <w:r>
        <w:rPr>
          <w:color w:val="auto"/>
          <w:sz w:val="28"/>
          <w:highlight w:val="none"/>
        </w:rPr>
        <w:t>运营期对生态环境影响分析</w:t>
      </w:r>
    </w:p>
    <w:p w14:paraId="63EB7DD2">
      <w:pPr>
        <w:pStyle w:val="693"/>
        <w:rPr>
          <w:rFonts w:ascii="Times New Roman" w:cs="Times New Roman"/>
          <w:color w:val="auto"/>
          <w:highlight w:val="none"/>
        </w:rPr>
      </w:pPr>
      <w:r>
        <w:rPr>
          <w:rFonts w:ascii="Times New Roman" w:cs="Times New Roman"/>
          <w:color w:val="auto"/>
          <w:highlight w:val="none"/>
        </w:rPr>
        <w:t>运营期对生态环境的影响主要表现为废水排放对生态的影响。</w:t>
      </w:r>
    </w:p>
    <w:p w14:paraId="5C46C1CC">
      <w:pPr>
        <w:pStyle w:val="693"/>
        <w:rPr>
          <w:rFonts w:ascii="Times New Roman" w:cs="Times New Roman"/>
          <w:color w:val="auto"/>
          <w:highlight w:val="none"/>
        </w:rPr>
      </w:pPr>
      <w:r>
        <w:rPr>
          <w:rFonts w:ascii="Times New Roman" w:cs="Times New Roman"/>
          <w:color w:val="auto"/>
          <w:highlight w:val="none"/>
        </w:rPr>
        <w:t>（1）含油污水</w:t>
      </w:r>
    </w:p>
    <w:p w14:paraId="21858727">
      <w:pPr>
        <w:pStyle w:val="693"/>
        <w:rPr>
          <w:rFonts w:ascii="Times New Roman" w:cs="Times New Roman"/>
          <w:color w:val="auto"/>
          <w:highlight w:val="none"/>
        </w:rPr>
      </w:pPr>
      <w:r>
        <w:rPr>
          <w:rFonts w:ascii="Times New Roman" w:cs="Times New Roman"/>
          <w:color w:val="auto"/>
          <w:highlight w:val="none"/>
        </w:rPr>
        <w:t>含油污水会产生石油类污染物质，如果这部分污水直接排入港池，将会对该水域生物产生较大影响，油污染的主要危害表现在以下几个方面：</w:t>
      </w:r>
    </w:p>
    <w:p w14:paraId="1A9EA70E">
      <w:pPr>
        <w:pStyle w:val="693"/>
        <w:rPr>
          <w:rFonts w:ascii="Times New Roman" w:cs="Times New Roman"/>
          <w:color w:val="auto"/>
          <w:highlight w:val="none"/>
        </w:rPr>
      </w:pPr>
      <w:r>
        <w:rPr>
          <w:rFonts w:ascii="Times New Roman" w:cs="Times New Roman"/>
          <w:color w:val="auto"/>
          <w:highlight w:val="none"/>
        </w:rPr>
        <w:t>①油膜会使海水的透光率下降、降低浮游植物的光合作用，因而影响海域的初级生产力。</w:t>
      </w:r>
    </w:p>
    <w:p w14:paraId="537B8D4A">
      <w:pPr>
        <w:pStyle w:val="693"/>
        <w:rPr>
          <w:rFonts w:ascii="Times New Roman" w:cs="Times New Roman"/>
          <w:color w:val="auto"/>
          <w:highlight w:val="none"/>
        </w:rPr>
      </w:pPr>
      <w:r>
        <w:rPr>
          <w:rFonts w:ascii="Times New Roman" w:cs="Times New Roman"/>
          <w:color w:val="auto"/>
          <w:highlight w:val="none"/>
        </w:rPr>
        <w:t>②油污染能够伤害海洋生物的化学感受器，干扰、破坏海洋生物的趋化性，使其感觉系统发生紊乱。</w:t>
      </w:r>
    </w:p>
    <w:p w14:paraId="45E83B7B">
      <w:pPr>
        <w:pStyle w:val="693"/>
        <w:rPr>
          <w:rFonts w:ascii="Times New Roman" w:cs="Times New Roman"/>
          <w:color w:val="auto"/>
          <w:highlight w:val="none"/>
        </w:rPr>
      </w:pPr>
      <w:r>
        <w:rPr>
          <w:rFonts w:ascii="Times New Roman" w:cs="Times New Roman"/>
          <w:color w:val="auto"/>
          <w:highlight w:val="none"/>
        </w:rPr>
        <w:t>③动物的卵和幼体要比成体更易受伤害，可能导致种群数量的减少。</w:t>
      </w:r>
    </w:p>
    <w:p w14:paraId="793EB13A">
      <w:pPr>
        <w:pStyle w:val="693"/>
        <w:rPr>
          <w:rFonts w:ascii="Times New Roman" w:cs="Times New Roman"/>
          <w:color w:val="auto"/>
          <w:highlight w:val="none"/>
        </w:rPr>
      </w:pPr>
      <w:r>
        <w:rPr>
          <w:rFonts w:ascii="Times New Roman" w:cs="Times New Roman"/>
          <w:color w:val="auto"/>
          <w:highlight w:val="none"/>
        </w:rPr>
        <w:t>④溶解和分散在海水中的油类，较易侵入海洋生物的上皮组织，破坏动植物的细胞质膜和线粒体膜，损害生物的酶系统和</w:t>
      </w:r>
      <w:r>
        <w:rPr>
          <w:rFonts w:hint="eastAsia" w:ascii="Times New Roman" w:cs="Times New Roman"/>
          <w:color w:val="auto"/>
          <w:highlight w:val="none"/>
          <w:lang w:eastAsia="zh-CN"/>
        </w:rPr>
        <w:t>其他蛋白质</w:t>
      </w:r>
      <w:r>
        <w:rPr>
          <w:rFonts w:ascii="Times New Roman" w:cs="Times New Roman"/>
          <w:color w:val="auto"/>
          <w:highlight w:val="none"/>
        </w:rPr>
        <w:t>结构的功能，导致基础代谢活动出现障碍，引起生物发育异常。</w:t>
      </w:r>
    </w:p>
    <w:p w14:paraId="7521EC36">
      <w:pPr>
        <w:pStyle w:val="693"/>
        <w:rPr>
          <w:rFonts w:ascii="Times New Roman" w:cs="Times New Roman"/>
          <w:color w:val="auto"/>
          <w:highlight w:val="none"/>
        </w:rPr>
      </w:pPr>
      <w:r>
        <w:rPr>
          <w:rFonts w:ascii="Times New Roman" w:cs="Times New Roman"/>
          <w:color w:val="auto"/>
          <w:highlight w:val="none"/>
        </w:rPr>
        <w:t>⑤导致种群结构发生变化，生态平衡失调。</w:t>
      </w:r>
    </w:p>
    <w:p w14:paraId="316FD46C">
      <w:pPr>
        <w:pStyle w:val="693"/>
        <w:rPr>
          <w:rFonts w:ascii="Times New Roman" w:cs="Times New Roman"/>
          <w:color w:val="auto"/>
          <w:highlight w:val="none"/>
        </w:rPr>
      </w:pPr>
      <w:r>
        <w:rPr>
          <w:rFonts w:ascii="Times New Roman" w:cs="Times New Roman"/>
          <w:color w:val="auto"/>
          <w:highlight w:val="none"/>
        </w:rPr>
        <w:t>本项目含油废水主要来自于待修船舶的机舱含油废水、坞底含油废水、坞内清洗含油废水。项目浮船坞配备污水收集容积，含油废水收集后进入厂区污水处理站的含油废水处理系统处理达到《污水综合排放标准》（GB8978-1996）三级标准后，</w:t>
      </w:r>
      <w:r>
        <w:rPr>
          <w:rFonts w:ascii="Times New Roman" w:cs="Times New Roman"/>
          <w:color w:val="auto"/>
          <w:kern w:val="0"/>
          <w:highlight w:val="none"/>
        </w:rPr>
        <w:t>经厂区污水管道排入</w:t>
      </w:r>
      <w:r>
        <w:rPr>
          <w:rFonts w:hint="eastAsia" w:ascii="Times New Roman" w:cs="Times New Roman"/>
          <w:color w:val="auto"/>
          <w:kern w:val="0"/>
          <w:highlight w:val="none"/>
        </w:rPr>
        <w:t>生活污水处理设备配套的中水回用池储存，</w:t>
      </w:r>
      <w:r>
        <w:rPr>
          <w:rFonts w:ascii="Times New Roman" w:cs="Times New Roman"/>
          <w:color w:val="auto"/>
          <w:kern w:val="0"/>
          <w:highlight w:val="none"/>
        </w:rPr>
        <w:t>大部分回用于厂区绿化及降尘，少部分不能回用的由槽罐车运至大榄坪污水处理厂处理</w:t>
      </w:r>
      <w:r>
        <w:rPr>
          <w:rFonts w:hint="eastAsia" w:cs="Times New Roman"/>
          <w:color w:val="auto"/>
          <w:szCs w:val="24"/>
          <w:highlight w:val="none"/>
        </w:rPr>
        <w:t>，</w:t>
      </w:r>
      <w:r>
        <w:rPr>
          <w:rFonts w:ascii="Times New Roman" w:cs="Times New Roman"/>
          <w:color w:val="auto"/>
          <w:highlight w:val="none"/>
        </w:rPr>
        <w:t>不在本区域排放，因此对周边生态环境影响不大。</w:t>
      </w:r>
    </w:p>
    <w:p w14:paraId="2A34F001">
      <w:pPr>
        <w:pStyle w:val="693"/>
        <w:rPr>
          <w:rFonts w:ascii="Times New Roman" w:cs="Times New Roman"/>
          <w:color w:val="auto"/>
          <w:highlight w:val="none"/>
        </w:rPr>
      </w:pPr>
      <w:r>
        <w:rPr>
          <w:rFonts w:ascii="Times New Roman" w:cs="Times New Roman"/>
          <w:color w:val="auto"/>
          <w:highlight w:val="none"/>
        </w:rPr>
        <w:t>（2）生活污水</w:t>
      </w:r>
    </w:p>
    <w:p w14:paraId="4BE815C1">
      <w:pPr>
        <w:pStyle w:val="693"/>
        <w:rPr>
          <w:rFonts w:ascii="Times New Roman" w:cs="Times New Roman"/>
          <w:color w:val="auto"/>
          <w:highlight w:val="none"/>
        </w:rPr>
        <w:sectPr>
          <w:headerReference r:id="rId50" w:type="default"/>
          <w:pgSz w:w="11906" w:h="16838"/>
          <w:pgMar w:top="1559" w:right="1418" w:bottom="1503" w:left="1418" w:header="850" w:footer="964" w:gutter="0"/>
          <w:cols w:space="720" w:num="1"/>
          <w:docGrid w:linePitch="326" w:charSpace="0"/>
        </w:sectPr>
      </w:pPr>
      <w:r>
        <w:rPr>
          <w:rFonts w:ascii="Times New Roman" w:cs="Times New Roman"/>
          <w:color w:val="auto"/>
          <w:highlight w:val="none"/>
        </w:rPr>
        <w:t>如果对职工生活污水不加控制任意排放，将造成氮、磷等无机盐类和有机物质在港池内的积累，在气温高、降雨量大、营养盐丰富的适宜条件下，可能会引起赤潮生物的爆发式繁殖，导致赤潮的发生，造成生态系统的严重破坏。生活污水依托陆域生活污水处理系统，不在本项目区域排放，对水域生态环境影响较小。</w:t>
      </w:r>
    </w:p>
    <w:p w14:paraId="21975A37">
      <w:pPr>
        <w:pStyle w:val="6"/>
        <w:numPr>
          <w:ilvl w:val="1"/>
          <w:numId w:val="9"/>
        </w:numPr>
        <w:rPr>
          <w:color w:val="auto"/>
          <w:sz w:val="32"/>
          <w:szCs w:val="32"/>
          <w:highlight w:val="none"/>
        </w:rPr>
      </w:pPr>
      <w:bookmarkStart w:id="210" w:name="_Toc33967223"/>
      <w:bookmarkStart w:id="211" w:name="_Toc33967119"/>
      <w:bookmarkStart w:id="212" w:name="_Toc16131"/>
      <w:bookmarkStart w:id="213" w:name="_Toc24320"/>
      <w:r>
        <w:rPr>
          <w:color w:val="auto"/>
          <w:sz w:val="32"/>
          <w:szCs w:val="32"/>
          <w:highlight w:val="none"/>
        </w:rPr>
        <w:t>环境风险预测与评价</w:t>
      </w:r>
      <w:bookmarkEnd w:id="210"/>
      <w:bookmarkEnd w:id="211"/>
      <w:bookmarkEnd w:id="212"/>
      <w:bookmarkEnd w:id="213"/>
    </w:p>
    <w:p w14:paraId="466CC64C">
      <w:pPr>
        <w:pStyle w:val="7"/>
        <w:numPr>
          <w:ilvl w:val="2"/>
          <w:numId w:val="9"/>
        </w:numPr>
        <w:rPr>
          <w:color w:val="auto"/>
          <w:sz w:val="28"/>
          <w:highlight w:val="none"/>
        </w:rPr>
      </w:pPr>
      <w:r>
        <w:rPr>
          <w:color w:val="auto"/>
          <w:sz w:val="28"/>
          <w:highlight w:val="none"/>
        </w:rPr>
        <w:t>评价目的</w:t>
      </w:r>
    </w:p>
    <w:p w14:paraId="5600350A">
      <w:pPr>
        <w:pStyle w:val="38"/>
        <w:spacing w:after="0"/>
        <w:ind w:firstLine="480"/>
        <w:rPr>
          <w:color w:val="auto"/>
          <w:highlight w:val="none"/>
        </w:rPr>
      </w:pPr>
      <w:r>
        <w:rPr>
          <w:color w:val="auto"/>
          <w:highlight w:val="none"/>
        </w:rPr>
        <w:t>环境风险评价的目的是分析和预测建设项目存在的潜在危险、有害因素，建设项目建设和运行期间可能发生的突发性事件或事故（一般不包括人为破坏及自然灾害），引起有毒有害和易燃易爆等物质泄漏，所造成的人身安全与环境影响和损害程度，提出合理可行的防范、应急与减缓措施，使建设项目事故率、损失和环境影响达到可接受水平。环境风险评价应把事故引起厂（场）界外人群的伤害、环境质量的恶化及对生态系统影响的预测和防护作为评价工作重点。</w:t>
      </w:r>
    </w:p>
    <w:p w14:paraId="60FF9BE5">
      <w:pPr>
        <w:pStyle w:val="38"/>
        <w:spacing w:after="0"/>
        <w:ind w:firstLine="480"/>
        <w:rPr>
          <w:color w:val="auto"/>
          <w:highlight w:val="none"/>
        </w:rPr>
      </w:pPr>
      <w:r>
        <w:rPr>
          <w:color w:val="auto"/>
          <w:highlight w:val="none"/>
        </w:rPr>
        <w:t>本报告以《建设项目环境风险评价技术导则》（HJ/T169-2018）、《环境影响评价技术导则 海洋生态环境》（HJ 1409-2025）的相关要求为依据，针对项目生产特点，物料性质以及可能发生的潜在事故进行风险分析与评价，并提出防范措施、应急预案和减缓措施，以使危险废物安全处置，使环境风险降低到最低程度。</w:t>
      </w:r>
    </w:p>
    <w:p w14:paraId="490C832C">
      <w:pPr>
        <w:pStyle w:val="7"/>
        <w:numPr>
          <w:ilvl w:val="2"/>
          <w:numId w:val="9"/>
        </w:numPr>
        <w:rPr>
          <w:color w:val="auto"/>
          <w:sz w:val="28"/>
          <w:highlight w:val="none"/>
        </w:rPr>
      </w:pPr>
      <w:r>
        <w:rPr>
          <w:color w:val="auto"/>
          <w:sz w:val="28"/>
          <w:highlight w:val="none"/>
        </w:rPr>
        <w:t>环境风险调查</w:t>
      </w:r>
    </w:p>
    <w:p w14:paraId="001106CE">
      <w:pPr>
        <w:pStyle w:val="533"/>
        <w:numPr>
          <w:ilvl w:val="3"/>
          <w:numId w:val="9"/>
        </w:numPr>
        <w:rPr>
          <w:color w:val="auto"/>
          <w:szCs w:val="24"/>
          <w:highlight w:val="none"/>
        </w:rPr>
      </w:pPr>
      <w:r>
        <w:rPr>
          <w:color w:val="auto"/>
          <w:szCs w:val="24"/>
          <w:highlight w:val="none"/>
        </w:rPr>
        <w:t>环境风险源调查</w:t>
      </w:r>
    </w:p>
    <w:p w14:paraId="283EBBD1">
      <w:pPr>
        <w:ind w:firstLine="480"/>
        <w:rPr>
          <w:color w:val="auto"/>
          <w:highlight w:val="none"/>
        </w:rPr>
      </w:pPr>
      <w:r>
        <w:rPr>
          <w:color w:val="auto"/>
          <w:highlight w:val="none"/>
        </w:rPr>
        <w:t>本项目建成后进行船舶维修、改造，涉及的危险物质主要有油漆（含稀释剂）、废机油、废液压油、以及修理船只自带的燃料油品等</w:t>
      </w:r>
      <w:r>
        <w:rPr>
          <w:rFonts w:hint="eastAsia"/>
          <w:color w:val="auto"/>
          <w:highlight w:val="none"/>
        </w:rPr>
        <w:t>。</w:t>
      </w:r>
      <w:r>
        <w:rPr>
          <w:rFonts w:hint="eastAsia"/>
          <w:color w:val="auto"/>
          <w:highlight w:val="none"/>
          <w:u w:val="single"/>
        </w:rPr>
        <w:t>本项目为改建工程，改建后浮船坞不设调漆间及油漆储存库，全厂油漆使用量不变，</w:t>
      </w:r>
      <w:r>
        <w:rPr>
          <w:color w:val="auto"/>
          <w:highlight w:val="none"/>
          <w:u w:val="single"/>
        </w:rPr>
        <w:t>修船使用的油漆储存于基地</w:t>
      </w:r>
      <w:r>
        <w:rPr>
          <w:rFonts w:hint="eastAsia"/>
          <w:color w:val="auto"/>
          <w:highlight w:val="none"/>
          <w:u w:val="single"/>
        </w:rPr>
        <w:t>危化品</w:t>
      </w:r>
      <w:r>
        <w:rPr>
          <w:color w:val="auto"/>
          <w:highlight w:val="none"/>
          <w:u w:val="single"/>
        </w:rPr>
        <w:t>仓库内，</w:t>
      </w:r>
      <w:r>
        <w:rPr>
          <w:rFonts w:hint="eastAsia"/>
          <w:color w:val="auto"/>
          <w:highlight w:val="none"/>
          <w:u w:val="single"/>
        </w:rPr>
        <w:t>储存位置及最大储存量不变</w:t>
      </w:r>
      <w:r>
        <w:rPr>
          <w:color w:val="auto"/>
          <w:highlight w:val="none"/>
          <w:u w:val="single"/>
        </w:rPr>
        <w:t>；</w:t>
      </w:r>
      <w:r>
        <w:rPr>
          <w:rFonts w:hint="eastAsia"/>
          <w:color w:val="auto"/>
          <w:highlight w:val="none"/>
          <w:u w:val="single"/>
        </w:rPr>
        <w:t>本项目浮船坞进行船舶维修改造作业时，产生废油、废乳化液约</w:t>
      </w:r>
      <w:r>
        <w:rPr>
          <w:color w:val="auto"/>
          <w:highlight w:val="none"/>
          <w:u w:val="single"/>
        </w:rPr>
        <w:t>30.5t/a</w:t>
      </w:r>
      <w:r>
        <w:rPr>
          <w:rFonts w:hint="eastAsia"/>
          <w:color w:val="auto"/>
          <w:highlight w:val="none"/>
          <w:u w:val="single"/>
        </w:rPr>
        <w:t>，</w:t>
      </w:r>
      <w:r>
        <w:rPr>
          <w:color w:val="auto"/>
          <w:highlight w:val="none"/>
          <w:u w:val="single"/>
        </w:rPr>
        <w:t>产生后</w:t>
      </w:r>
      <w:r>
        <w:rPr>
          <w:rFonts w:hint="eastAsia"/>
          <w:color w:val="auto"/>
          <w:highlight w:val="none"/>
          <w:u w:val="single"/>
        </w:rPr>
        <w:t>依托</w:t>
      </w:r>
      <w:r>
        <w:rPr>
          <w:color w:val="auto"/>
          <w:highlight w:val="none"/>
          <w:u w:val="single"/>
        </w:rPr>
        <w:t>基地</w:t>
      </w:r>
      <w:r>
        <w:rPr>
          <w:rFonts w:hint="eastAsia"/>
          <w:color w:val="auto"/>
          <w:highlight w:val="none"/>
          <w:u w:val="single"/>
        </w:rPr>
        <w:t>现有</w:t>
      </w:r>
      <w:r>
        <w:rPr>
          <w:color w:val="auto"/>
          <w:highlight w:val="none"/>
          <w:u w:val="single"/>
        </w:rPr>
        <w:t>危险废物暂存库</w:t>
      </w:r>
      <w:r>
        <w:rPr>
          <w:rFonts w:hint="eastAsia"/>
          <w:color w:val="auto"/>
          <w:highlight w:val="none"/>
          <w:u w:val="single"/>
        </w:rPr>
        <w:t>贮存，项目建成后危废暂存库废矿物油（废油、废乳化液）最大暂存量约4</w:t>
      </w:r>
      <w:r>
        <w:rPr>
          <w:color w:val="auto"/>
          <w:highlight w:val="none"/>
          <w:u w:val="single"/>
        </w:rPr>
        <w:t>2.57t/a；</w:t>
      </w:r>
      <w:r>
        <w:rPr>
          <w:color w:val="auto"/>
          <w:highlight w:val="none"/>
        </w:rPr>
        <w:t>船舶燃料油在储油舱内，进行船舶维修工作时可能发生溢油事故，风险物质储存量按最大船型（10万吨级）油舱载油量</w:t>
      </w:r>
      <w:r>
        <w:rPr>
          <w:rFonts w:hint="eastAsia"/>
          <w:color w:val="auto"/>
          <w:highlight w:val="none"/>
          <w:lang w:eastAsia="zh-CN"/>
        </w:rPr>
        <w:t>级</w:t>
      </w:r>
      <w:r>
        <w:rPr>
          <w:color w:val="auto"/>
          <w:highlight w:val="none"/>
        </w:rPr>
        <w:t>计算，根据《水上溢油环境风险评估技术导则（JT/T 1143-2017）》附录C散货船考虑，燃油舱最大载油量取5300m</w:t>
      </w:r>
      <w:r>
        <w:rPr>
          <w:color w:val="auto"/>
          <w:highlight w:val="none"/>
          <w:vertAlign w:val="superscript"/>
        </w:rPr>
        <w:t>3</w:t>
      </w:r>
      <w:r>
        <w:rPr>
          <w:color w:val="auto"/>
          <w:highlight w:val="none"/>
        </w:rPr>
        <w:t>，实载率取80%，则船舶燃油舱载油量为4240m</w:t>
      </w:r>
      <w:r>
        <w:rPr>
          <w:color w:val="auto"/>
          <w:highlight w:val="none"/>
          <w:vertAlign w:val="superscript"/>
        </w:rPr>
        <w:t>3</w:t>
      </w:r>
      <w:r>
        <w:rPr>
          <w:color w:val="auto"/>
          <w:highlight w:val="none"/>
        </w:rPr>
        <w:t>（3756.64t）。</w:t>
      </w:r>
    </w:p>
    <w:p w14:paraId="09B81680">
      <w:pPr>
        <w:pStyle w:val="533"/>
        <w:numPr>
          <w:ilvl w:val="3"/>
          <w:numId w:val="9"/>
        </w:numPr>
        <w:rPr>
          <w:color w:val="auto"/>
          <w:szCs w:val="24"/>
          <w:highlight w:val="none"/>
        </w:rPr>
      </w:pPr>
      <w:r>
        <w:rPr>
          <w:color w:val="auto"/>
          <w:szCs w:val="24"/>
          <w:highlight w:val="none"/>
        </w:rPr>
        <w:t>环境敏感目标调查</w:t>
      </w:r>
    </w:p>
    <w:p w14:paraId="7643D7E1">
      <w:pPr>
        <w:ind w:firstLine="480"/>
        <w:rPr>
          <w:color w:val="auto"/>
          <w:highlight w:val="none"/>
        </w:rPr>
      </w:pPr>
      <w:r>
        <w:rPr>
          <w:color w:val="auto"/>
          <w:highlight w:val="none"/>
        </w:rPr>
        <w:t>项目周边5km范围无居民居住区、医疗卫生、文化教育、科研、行政办公等机构，评价范围内的环境敏感目标主要有三娘湾旅游休闲娱乐区、钦州港青菜头南浅海滩涂养殖区。</w:t>
      </w:r>
    </w:p>
    <w:p w14:paraId="23BDD976">
      <w:pPr>
        <w:pStyle w:val="7"/>
        <w:numPr>
          <w:ilvl w:val="2"/>
          <w:numId w:val="9"/>
        </w:numPr>
        <w:rPr>
          <w:color w:val="auto"/>
          <w:sz w:val="28"/>
          <w:highlight w:val="none"/>
        </w:rPr>
      </w:pPr>
      <w:r>
        <w:rPr>
          <w:color w:val="auto"/>
          <w:sz w:val="28"/>
          <w:highlight w:val="none"/>
        </w:rPr>
        <w:t>环境风险评价等级的确定</w:t>
      </w:r>
    </w:p>
    <w:p w14:paraId="454C4E1F">
      <w:pPr>
        <w:ind w:firstLine="480"/>
        <w:rPr>
          <w:color w:val="auto"/>
          <w:highlight w:val="none"/>
        </w:rPr>
      </w:pPr>
      <w:r>
        <w:rPr>
          <w:color w:val="auto"/>
          <w:highlight w:val="none"/>
        </w:rPr>
        <w:t>根据前文“评价工作等级及范围”章节内容，本项目大气、海洋生态环境风险潜势为均为Ⅰ级，环境风险评价等级为简单分析，应定性分析说明环境影响后果。</w:t>
      </w:r>
    </w:p>
    <w:p w14:paraId="1B5DD554">
      <w:pPr>
        <w:pStyle w:val="7"/>
        <w:numPr>
          <w:ilvl w:val="2"/>
          <w:numId w:val="9"/>
        </w:numPr>
        <w:rPr>
          <w:color w:val="auto"/>
          <w:sz w:val="28"/>
          <w:highlight w:val="none"/>
        </w:rPr>
      </w:pPr>
      <w:r>
        <w:rPr>
          <w:color w:val="auto"/>
          <w:sz w:val="28"/>
          <w:highlight w:val="none"/>
        </w:rPr>
        <w:t>环境风险识别</w:t>
      </w:r>
    </w:p>
    <w:p w14:paraId="79CDB7BA">
      <w:pPr>
        <w:pStyle w:val="533"/>
        <w:numPr>
          <w:ilvl w:val="3"/>
          <w:numId w:val="9"/>
        </w:numPr>
        <w:rPr>
          <w:color w:val="auto"/>
          <w:szCs w:val="24"/>
          <w:highlight w:val="none"/>
        </w:rPr>
      </w:pPr>
      <w:r>
        <w:rPr>
          <w:color w:val="auto"/>
          <w:szCs w:val="24"/>
          <w:highlight w:val="none"/>
        </w:rPr>
        <w:t>物质危险性识别</w:t>
      </w:r>
    </w:p>
    <w:p w14:paraId="640E4DF5">
      <w:pPr>
        <w:ind w:firstLine="480"/>
        <w:rPr>
          <w:color w:val="auto"/>
          <w:highlight w:val="none"/>
          <w:u w:val="single"/>
        </w:rPr>
      </w:pPr>
      <w:r>
        <w:rPr>
          <w:rFonts w:hint="eastAsia"/>
          <w:color w:val="auto"/>
          <w:highlight w:val="none"/>
          <w:u w:val="single"/>
        </w:rPr>
        <w:t>项目涉及的环境风险物质主要有废矿物油及船舶燃料油。</w:t>
      </w:r>
    </w:p>
    <w:p w14:paraId="13D1A5B8">
      <w:pPr>
        <w:ind w:firstLine="480"/>
        <w:rPr>
          <w:color w:val="auto"/>
          <w:highlight w:val="none"/>
        </w:rPr>
      </w:pPr>
      <w:r>
        <w:rPr>
          <w:color w:val="auto"/>
          <w:highlight w:val="none"/>
          <w:u w:val="single"/>
        </w:rPr>
        <w:t>船舶燃料油是由各种烷烃、环烷烃和芳香烃组成的混合物，大部分为液态烃，伴有气态烃和固态烃，所含基本元素是碳和氢，两种元素的总含量平均为97～98%，同时含有少量的硫、氧、氮等，其化学组分因产地不同而有所差异。燃料油</w:t>
      </w:r>
      <w:r>
        <w:rPr>
          <w:rFonts w:hint="eastAsia"/>
          <w:color w:val="auto"/>
          <w:highlight w:val="none"/>
          <w:u w:val="single"/>
        </w:rPr>
        <w:t>理化性质及安全</w:t>
      </w:r>
      <w:r>
        <w:rPr>
          <w:color w:val="auto"/>
          <w:highlight w:val="none"/>
          <w:u w:val="single"/>
        </w:rPr>
        <w:t>特性见表4.3-</w:t>
      </w:r>
      <w:r>
        <w:rPr>
          <w:rFonts w:hint="eastAsia"/>
          <w:color w:val="auto"/>
          <w:highlight w:val="none"/>
          <w:u w:val="single"/>
        </w:rPr>
        <w:t>1，废矿物油理化性质及安全特性见表4</w:t>
      </w:r>
      <w:r>
        <w:rPr>
          <w:color w:val="auto"/>
          <w:highlight w:val="none"/>
          <w:u w:val="single"/>
        </w:rPr>
        <w:t>.3-2</w:t>
      </w:r>
      <w:r>
        <w:rPr>
          <w:color w:val="auto"/>
          <w:highlight w:val="none"/>
        </w:rPr>
        <w:t>。</w:t>
      </w:r>
    </w:p>
    <w:p w14:paraId="6CCF4507">
      <w:pPr>
        <w:spacing w:line="240" w:lineRule="auto"/>
        <w:ind w:firstLine="0" w:firstLineChars="0"/>
        <w:jc w:val="center"/>
        <w:rPr>
          <w:b/>
          <w:color w:val="auto"/>
          <w:sz w:val="21"/>
          <w:szCs w:val="21"/>
          <w:highlight w:val="none"/>
        </w:rPr>
      </w:pPr>
      <w:r>
        <w:rPr>
          <w:b/>
          <w:color w:val="auto"/>
          <w:sz w:val="21"/>
          <w:szCs w:val="21"/>
          <w:highlight w:val="none"/>
        </w:rPr>
        <w:t>表4.3-</w:t>
      </w:r>
      <w:r>
        <w:rPr>
          <w:rFonts w:hint="eastAsia"/>
          <w:b/>
          <w:color w:val="auto"/>
          <w:sz w:val="21"/>
          <w:szCs w:val="21"/>
          <w:highlight w:val="none"/>
        </w:rPr>
        <w:t>1</w:t>
      </w:r>
      <w:r>
        <w:rPr>
          <w:b/>
          <w:color w:val="auto"/>
          <w:sz w:val="21"/>
          <w:szCs w:val="21"/>
          <w:highlight w:val="none"/>
        </w:rPr>
        <w:t xml:space="preserve"> 燃料油理化性质及安全技术特性表</w:t>
      </w:r>
    </w:p>
    <w:tbl>
      <w:tblPr>
        <w:tblStyle w:val="92"/>
        <w:tblW w:w="907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94"/>
        <w:gridCol w:w="3269"/>
        <w:gridCol w:w="1558"/>
        <w:gridCol w:w="2551"/>
      </w:tblGrid>
      <w:tr w14:paraId="75F487F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694" w:type="dxa"/>
            <w:vAlign w:val="center"/>
          </w:tcPr>
          <w:p w14:paraId="66981ECB">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中文名称</w:t>
            </w:r>
          </w:p>
        </w:tc>
        <w:tc>
          <w:tcPr>
            <w:tcW w:w="3269" w:type="dxa"/>
            <w:vAlign w:val="center"/>
          </w:tcPr>
          <w:p w14:paraId="74E23852">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燃料油</w:t>
            </w:r>
          </w:p>
        </w:tc>
        <w:tc>
          <w:tcPr>
            <w:tcW w:w="1558" w:type="dxa"/>
            <w:vAlign w:val="center"/>
          </w:tcPr>
          <w:p w14:paraId="2597952E">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闪点</w:t>
            </w:r>
          </w:p>
        </w:tc>
        <w:tc>
          <w:tcPr>
            <w:tcW w:w="2551" w:type="dxa"/>
            <w:vAlign w:val="center"/>
          </w:tcPr>
          <w:p w14:paraId="4342D50F">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65.6～221.1℃</w:t>
            </w:r>
          </w:p>
        </w:tc>
      </w:tr>
      <w:tr w14:paraId="4731A79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694" w:type="dxa"/>
            <w:vAlign w:val="center"/>
          </w:tcPr>
          <w:p w14:paraId="411242E3">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外观与形状</w:t>
            </w:r>
          </w:p>
        </w:tc>
        <w:tc>
          <w:tcPr>
            <w:tcW w:w="3269" w:type="dxa"/>
            <w:vAlign w:val="center"/>
          </w:tcPr>
          <w:p w14:paraId="749CE50A">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黑色粘稠有气味的液体</w:t>
            </w:r>
          </w:p>
        </w:tc>
        <w:tc>
          <w:tcPr>
            <w:tcW w:w="1558" w:type="dxa"/>
            <w:vAlign w:val="center"/>
          </w:tcPr>
          <w:p w14:paraId="420BA406">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沸点</w:t>
            </w:r>
          </w:p>
        </w:tc>
        <w:tc>
          <w:tcPr>
            <w:tcW w:w="2551" w:type="dxa"/>
            <w:vAlign w:val="center"/>
          </w:tcPr>
          <w:p w14:paraId="53A04987">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&gt;398.9℃</w:t>
            </w:r>
          </w:p>
        </w:tc>
      </w:tr>
      <w:tr w14:paraId="6DFF371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694" w:type="dxa"/>
            <w:vAlign w:val="center"/>
          </w:tcPr>
          <w:p w14:paraId="56F74D1B">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凝固点</w:t>
            </w:r>
          </w:p>
        </w:tc>
        <w:tc>
          <w:tcPr>
            <w:tcW w:w="3269" w:type="dxa"/>
            <w:vAlign w:val="center"/>
          </w:tcPr>
          <w:p w14:paraId="6855EB4F">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&lt;26℃</w:t>
            </w:r>
          </w:p>
        </w:tc>
        <w:tc>
          <w:tcPr>
            <w:tcW w:w="1558" w:type="dxa"/>
            <w:vAlign w:val="center"/>
          </w:tcPr>
          <w:p w14:paraId="4331221F">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粘度（pas）</w:t>
            </w:r>
          </w:p>
        </w:tc>
        <w:tc>
          <w:tcPr>
            <w:tcW w:w="2551" w:type="dxa"/>
            <w:vAlign w:val="center"/>
          </w:tcPr>
          <w:p w14:paraId="4EF6D2BB">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&lt;180</w:t>
            </w:r>
          </w:p>
        </w:tc>
      </w:tr>
      <w:tr w14:paraId="0537F8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694" w:type="dxa"/>
            <w:vAlign w:val="center"/>
          </w:tcPr>
          <w:p w14:paraId="72F20B94">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20℃时蒸气压</w:t>
            </w:r>
          </w:p>
        </w:tc>
        <w:tc>
          <w:tcPr>
            <w:tcW w:w="3269" w:type="dxa"/>
            <w:vAlign w:val="center"/>
          </w:tcPr>
          <w:p w14:paraId="4AB327DF">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很低</w:t>
            </w:r>
          </w:p>
        </w:tc>
        <w:tc>
          <w:tcPr>
            <w:tcW w:w="1558" w:type="dxa"/>
            <w:vAlign w:val="center"/>
          </w:tcPr>
          <w:p w14:paraId="560D80A2">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自然温度（℃）</w:t>
            </w:r>
          </w:p>
        </w:tc>
        <w:tc>
          <w:tcPr>
            <w:tcW w:w="2551" w:type="dxa"/>
            <w:vAlign w:val="center"/>
          </w:tcPr>
          <w:p w14:paraId="5F0CB2E6">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407.2</w:t>
            </w:r>
          </w:p>
        </w:tc>
      </w:tr>
      <w:tr w14:paraId="134BAE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694" w:type="dxa"/>
            <w:vAlign w:val="center"/>
          </w:tcPr>
          <w:p w14:paraId="4F46E847">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雷德蒸气压（kpa）</w:t>
            </w:r>
          </w:p>
        </w:tc>
        <w:tc>
          <w:tcPr>
            <w:tcW w:w="3269" w:type="dxa"/>
            <w:vAlign w:val="center"/>
          </w:tcPr>
          <w:p w14:paraId="6E49C854">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0.3（50℃时）</w:t>
            </w:r>
          </w:p>
        </w:tc>
        <w:tc>
          <w:tcPr>
            <w:tcW w:w="1558" w:type="dxa"/>
            <w:vAlign w:val="center"/>
          </w:tcPr>
          <w:p w14:paraId="1F9724DF">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灭火方法</w:t>
            </w:r>
          </w:p>
        </w:tc>
        <w:tc>
          <w:tcPr>
            <w:tcW w:w="2551" w:type="dxa"/>
            <w:vAlign w:val="center"/>
          </w:tcPr>
          <w:p w14:paraId="046E3749">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二氧化碳、干粉、泡沫</w:t>
            </w:r>
          </w:p>
        </w:tc>
      </w:tr>
      <w:tr w14:paraId="3FBC90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694" w:type="dxa"/>
            <w:vAlign w:val="center"/>
          </w:tcPr>
          <w:p w14:paraId="597DF305">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密度</w:t>
            </w:r>
          </w:p>
        </w:tc>
        <w:tc>
          <w:tcPr>
            <w:tcW w:w="3269" w:type="dxa"/>
            <w:vAlign w:val="center"/>
          </w:tcPr>
          <w:p w14:paraId="4FE0ED05">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相对密度（水=1）0.88</w:t>
            </w:r>
          </w:p>
        </w:tc>
        <w:tc>
          <w:tcPr>
            <w:tcW w:w="1558" w:type="dxa"/>
            <w:vAlign w:val="center"/>
          </w:tcPr>
          <w:p w14:paraId="02F1A95E">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水溶性</w:t>
            </w:r>
          </w:p>
        </w:tc>
        <w:tc>
          <w:tcPr>
            <w:tcW w:w="2551" w:type="dxa"/>
            <w:vAlign w:val="center"/>
          </w:tcPr>
          <w:p w14:paraId="0BFB38BE">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微溶</w:t>
            </w:r>
          </w:p>
        </w:tc>
      </w:tr>
      <w:tr w14:paraId="2F2257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694" w:type="dxa"/>
            <w:vAlign w:val="center"/>
          </w:tcPr>
          <w:p w14:paraId="3FFA36BB">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爆炸极限</w:t>
            </w:r>
          </w:p>
        </w:tc>
        <w:tc>
          <w:tcPr>
            <w:tcW w:w="3269" w:type="dxa"/>
            <w:vAlign w:val="center"/>
          </w:tcPr>
          <w:p w14:paraId="7D128C61">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1～5%</w:t>
            </w:r>
          </w:p>
        </w:tc>
        <w:tc>
          <w:tcPr>
            <w:tcW w:w="1558" w:type="dxa"/>
            <w:vAlign w:val="center"/>
          </w:tcPr>
          <w:p w14:paraId="4BA06D62">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易燃性</w:t>
            </w:r>
          </w:p>
        </w:tc>
        <w:tc>
          <w:tcPr>
            <w:tcW w:w="2551" w:type="dxa"/>
            <w:vAlign w:val="center"/>
          </w:tcPr>
          <w:p w14:paraId="64912416">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不易燃</w:t>
            </w:r>
          </w:p>
        </w:tc>
      </w:tr>
      <w:tr w14:paraId="6E78B8A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694" w:type="dxa"/>
            <w:vAlign w:val="center"/>
          </w:tcPr>
          <w:p w14:paraId="53921E31">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危险性</w:t>
            </w:r>
          </w:p>
        </w:tc>
        <w:tc>
          <w:tcPr>
            <w:tcW w:w="3269" w:type="dxa"/>
            <w:vAlign w:val="center"/>
          </w:tcPr>
          <w:p w14:paraId="279D1445">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必须加热才能持续燃烧</w:t>
            </w:r>
          </w:p>
        </w:tc>
        <w:tc>
          <w:tcPr>
            <w:tcW w:w="1558" w:type="dxa"/>
            <w:vAlign w:val="center"/>
          </w:tcPr>
          <w:p w14:paraId="501F6612">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主要用途</w:t>
            </w:r>
          </w:p>
        </w:tc>
        <w:tc>
          <w:tcPr>
            <w:tcW w:w="2551" w:type="dxa"/>
            <w:vAlign w:val="center"/>
          </w:tcPr>
          <w:p w14:paraId="5F9B938F">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船用燃料</w:t>
            </w:r>
          </w:p>
        </w:tc>
      </w:tr>
      <w:tr w14:paraId="54EA28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694" w:type="dxa"/>
            <w:vAlign w:val="center"/>
          </w:tcPr>
          <w:p w14:paraId="2851BBFC">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健康危害</w:t>
            </w:r>
          </w:p>
        </w:tc>
        <w:tc>
          <w:tcPr>
            <w:tcW w:w="7378" w:type="dxa"/>
            <w:gridSpan w:val="3"/>
            <w:vAlign w:val="center"/>
          </w:tcPr>
          <w:p w14:paraId="62A58531">
            <w:pPr>
              <w:widowControl/>
              <w:spacing w:line="240" w:lineRule="auto"/>
              <w:ind w:firstLine="0" w:firstLineChars="0"/>
              <w:jc w:val="left"/>
              <w:rPr>
                <w:bCs/>
                <w:snapToGrid w:val="0"/>
                <w:color w:val="auto"/>
                <w:sz w:val="21"/>
                <w:szCs w:val="21"/>
                <w:highlight w:val="none"/>
              </w:rPr>
            </w:pPr>
            <w:r>
              <w:rPr>
                <w:bCs/>
                <w:snapToGrid w:val="0"/>
                <w:color w:val="auto"/>
                <w:sz w:val="21"/>
                <w:szCs w:val="21"/>
                <w:highlight w:val="none"/>
              </w:rPr>
              <w:t>侵入途径：吸入、食入。</w:t>
            </w:r>
          </w:p>
          <w:p w14:paraId="02F3900E">
            <w:pPr>
              <w:widowControl/>
              <w:spacing w:line="240" w:lineRule="auto"/>
              <w:ind w:firstLine="0" w:firstLineChars="0"/>
              <w:jc w:val="left"/>
              <w:rPr>
                <w:bCs/>
                <w:snapToGrid w:val="0"/>
                <w:color w:val="auto"/>
                <w:sz w:val="21"/>
                <w:szCs w:val="21"/>
                <w:highlight w:val="none"/>
              </w:rPr>
            </w:pPr>
            <w:r>
              <w:rPr>
                <w:bCs/>
                <w:snapToGrid w:val="0"/>
                <w:color w:val="auto"/>
                <w:sz w:val="21"/>
                <w:szCs w:val="21"/>
                <w:highlight w:val="none"/>
              </w:rPr>
              <w:t>皮肤接触可为主要吸收途径，可致急性肾脏损害。可引起接触性皮炎、油性痤疮，吸入其雾滴或液体呛入可引起吸入性肺炎。能经胎盘进入胎儿血中。柴油废气可引起眼、鼻刺激症状，头晕及头痛。</w:t>
            </w:r>
          </w:p>
        </w:tc>
      </w:tr>
      <w:tr w14:paraId="2F1B01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694" w:type="dxa"/>
            <w:vAlign w:val="center"/>
          </w:tcPr>
          <w:p w14:paraId="36113E12">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危险特性</w:t>
            </w:r>
          </w:p>
        </w:tc>
        <w:tc>
          <w:tcPr>
            <w:tcW w:w="7378" w:type="dxa"/>
            <w:gridSpan w:val="3"/>
            <w:vAlign w:val="center"/>
          </w:tcPr>
          <w:p w14:paraId="4E87141A">
            <w:pPr>
              <w:widowControl/>
              <w:spacing w:line="240" w:lineRule="auto"/>
              <w:ind w:firstLine="0" w:firstLineChars="0"/>
              <w:jc w:val="left"/>
              <w:rPr>
                <w:bCs/>
                <w:snapToGrid w:val="0"/>
                <w:color w:val="auto"/>
                <w:sz w:val="21"/>
                <w:szCs w:val="21"/>
                <w:highlight w:val="none"/>
              </w:rPr>
            </w:pPr>
            <w:r>
              <w:rPr>
                <w:bCs/>
                <w:snapToGrid w:val="0"/>
                <w:color w:val="auto"/>
                <w:sz w:val="21"/>
                <w:szCs w:val="21"/>
                <w:highlight w:val="none"/>
              </w:rPr>
              <w:t>遇明火、高热或与氧化剂接触，有引起燃烧爆炸的危险。若遇高热，容器内压增大，有开裂和爆炸的危险。对环境有危害，对水体和大气可造成污染。</w:t>
            </w:r>
          </w:p>
        </w:tc>
      </w:tr>
      <w:tr w14:paraId="4212B0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694" w:type="dxa"/>
            <w:vAlign w:val="center"/>
          </w:tcPr>
          <w:p w14:paraId="3A261B85">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燃烧（分解）产物</w:t>
            </w:r>
          </w:p>
        </w:tc>
        <w:tc>
          <w:tcPr>
            <w:tcW w:w="7378" w:type="dxa"/>
            <w:gridSpan w:val="3"/>
            <w:vAlign w:val="center"/>
          </w:tcPr>
          <w:p w14:paraId="62FA9428">
            <w:pPr>
              <w:widowControl/>
              <w:spacing w:line="240" w:lineRule="auto"/>
              <w:ind w:firstLine="0" w:firstLineChars="0"/>
              <w:jc w:val="center"/>
              <w:rPr>
                <w:bCs/>
                <w:snapToGrid w:val="0"/>
                <w:color w:val="auto"/>
                <w:sz w:val="21"/>
                <w:szCs w:val="21"/>
                <w:highlight w:val="none"/>
              </w:rPr>
            </w:pPr>
            <w:r>
              <w:rPr>
                <w:bCs/>
                <w:snapToGrid w:val="0"/>
                <w:color w:val="auto"/>
                <w:sz w:val="21"/>
                <w:szCs w:val="21"/>
                <w:highlight w:val="none"/>
              </w:rPr>
              <w:t>一氧化碳、二氧化碳。</w:t>
            </w:r>
          </w:p>
        </w:tc>
      </w:tr>
      <w:tr w14:paraId="766ADC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694" w:type="dxa"/>
            <w:vAlign w:val="center"/>
          </w:tcPr>
          <w:p w14:paraId="620537A7">
            <w:pPr>
              <w:widowControl/>
              <w:spacing w:line="240" w:lineRule="auto"/>
              <w:ind w:firstLine="0" w:firstLineChars="0"/>
              <w:jc w:val="center"/>
              <w:rPr>
                <w:bCs/>
                <w:color w:val="auto"/>
                <w:sz w:val="21"/>
                <w:szCs w:val="21"/>
                <w:highlight w:val="none"/>
              </w:rPr>
            </w:pPr>
            <w:r>
              <w:rPr>
                <w:bCs/>
                <w:color w:val="auto"/>
                <w:sz w:val="21"/>
                <w:szCs w:val="21"/>
                <w:highlight w:val="none"/>
              </w:rPr>
              <w:t>应急处理处置方法</w:t>
            </w:r>
          </w:p>
        </w:tc>
        <w:tc>
          <w:tcPr>
            <w:tcW w:w="7378" w:type="dxa"/>
            <w:gridSpan w:val="3"/>
            <w:vAlign w:val="center"/>
          </w:tcPr>
          <w:p w14:paraId="7D34E744">
            <w:pPr>
              <w:widowControl/>
              <w:spacing w:line="240" w:lineRule="auto"/>
              <w:ind w:firstLine="0" w:firstLineChars="0"/>
              <w:jc w:val="left"/>
              <w:rPr>
                <w:bCs/>
                <w:snapToGrid w:val="0"/>
                <w:color w:val="auto"/>
                <w:sz w:val="21"/>
                <w:szCs w:val="21"/>
                <w:highlight w:val="none"/>
              </w:rPr>
            </w:pPr>
            <w:r>
              <w:rPr>
                <w:bCs/>
                <w:snapToGrid w:val="0"/>
                <w:color w:val="auto"/>
                <w:sz w:val="21"/>
                <w:szCs w:val="21"/>
                <w:highlight w:val="none"/>
              </w:rPr>
              <w:t>一、泄漏应急处理</w:t>
            </w:r>
          </w:p>
          <w:p w14:paraId="71992797">
            <w:pPr>
              <w:widowControl/>
              <w:spacing w:line="240" w:lineRule="auto"/>
              <w:ind w:firstLine="0" w:firstLineChars="0"/>
              <w:jc w:val="left"/>
              <w:rPr>
                <w:bCs/>
                <w:snapToGrid w:val="0"/>
                <w:color w:val="auto"/>
                <w:sz w:val="21"/>
                <w:szCs w:val="21"/>
                <w:highlight w:val="none"/>
              </w:rPr>
            </w:pPr>
            <w:r>
              <w:rPr>
                <w:bCs/>
                <w:snapToGrid w:val="0"/>
                <w:color w:val="auto"/>
                <w:sz w:val="21"/>
                <w:szCs w:val="21"/>
                <w:highlight w:val="none"/>
              </w:rPr>
              <w:t>迅速撤离泄漏污染区人员至安全区，并进行隔离，严格限制出入。切断火源。建议应急处理人员戴自给正压式呼吸器，穿一般作业工作服。尽可能切断泄漏源。防止流入下水道、排洪沟等限制性空间。小量泄漏：用活性炭或其他惰性材料吸收。大量泄漏：构筑围堤或挖坑收容。用泵转移至槽车或专用收集器内，回收或运至废物处理场所处置。</w:t>
            </w:r>
          </w:p>
          <w:p w14:paraId="1B90D0DB">
            <w:pPr>
              <w:widowControl/>
              <w:spacing w:line="240" w:lineRule="auto"/>
              <w:ind w:firstLine="0" w:firstLineChars="0"/>
              <w:jc w:val="left"/>
              <w:rPr>
                <w:bCs/>
                <w:snapToGrid w:val="0"/>
                <w:color w:val="auto"/>
                <w:sz w:val="21"/>
                <w:szCs w:val="21"/>
                <w:highlight w:val="none"/>
              </w:rPr>
            </w:pPr>
            <w:r>
              <w:rPr>
                <w:bCs/>
                <w:snapToGrid w:val="0"/>
                <w:color w:val="auto"/>
                <w:sz w:val="21"/>
                <w:szCs w:val="21"/>
                <w:highlight w:val="none"/>
              </w:rPr>
              <w:t>二、防护措施</w:t>
            </w:r>
          </w:p>
          <w:p w14:paraId="1DA924EC">
            <w:pPr>
              <w:widowControl/>
              <w:spacing w:line="240" w:lineRule="auto"/>
              <w:ind w:firstLine="0" w:firstLineChars="0"/>
              <w:jc w:val="left"/>
              <w:rPr>
                <w:bCs/>
                <w:snapToGrid w:val="0"/>
                <w:color w:val="auto"/>
                <w:sz w:val="21"/>
                <w:szCs w:val="21"/>
                <w:highlight w:val="none"/>
              </w:rPr>
            </w:pPr>
            <w:r>
              <w:rPr>
                <w:bCs/>
                <w:snapToGrid w:val="0"/>
                <w:color w:val="auto"/>
                <w:sz w:val="21"/>
                <w:szCs w:val="21"/>
                <w:highlight w:val="none"/>
              </w:rPr>
              <w:t>工程控制：密闭操作，注意通风；呼吸系统防护：空气中浓度超标时，建议</w:t>
            </w:r>
            <w:r>
              <w:rPr>
                <w:rFonts w:hint="eastAsia"/>
                <w:bCs/>
                <w:snapToGrid w:val="0"/>
                <w:color w:val="auto"/>
                <w:sz w:val="21"/>
                <w:szCs w:val="21"/>
                <w:highlight w:val="none"/>
                <w:lang w:eastAsia="zh-CN"/>
              </w:rPr>
              <w:t>佩戴</w:t>
            </w:r>
            <w:r>
              <w:rPr>
                <w:bCs/>
                <w:snapToGrid w:val="0"/>
                <w:color w:val="auto"/>
                <w:sz w:val="21"/>
                <w:szCs w:val="21"/>
                <w:highlight w:val="none"/>
              </w:rPr>
              <w:t>自吸过滤式防毒面具（半面罩）。紧急事态抢救或撤离时，应该</w:t>
            </w:r>
            <w:r>
              <w:rPr>
                <w:rFonts w:hint="eastAsia"/>
                <w:bCs/>
                <w:snapToGrid w:val="0"/>
                <w:color w:val="auto"/>
                <w:sz w:val="21"/>
                <w:szCs w:val="21"/>
                <w:highlight w:val="none"/>
                <w:lang w:eastAsia="zh-CN"/>
              </w:rPr>
              <w:t>佩戴</w:t>
            </w:r>
            <w:r>
              <w:rPr>
                <w:bCs/>
                <w:snapToGrid w:val="0"/>
                <w:color w:val="auto"/>
                <w:sz w:val="21"/>
                <w:szCs w:val="21"/>
                <w:highlight w:val="none"/>
              </w:rPr>
              <w:t>空气呼吸器；眼睛防护：戴化学安全防护眼镜；身体防护：穿一般作业防护服；手防护：戴橡胶耐油手套；</w:t>
            </w:r>
            <w:r>
              <w:rPr>
                <w:rFonts w:hint="eastAsia"/>
                <w:bCs/>
                <w:snapToGrid w:val="0"/>
                <w:color w:val="auto"/>
                <w:sz w:val="21"/>
                <w:szCs w:val="21"/>
                <w:highlight w:val="none"/>
                <w:lang w:eastAsia="zh-CN"/>
              </w:rPr>
              <w:t>其他</w:t>
            </w:r>
            <w:r>
              <w:rPr>
                <w:bCs/>
                <w:snapToGrid w:val="0"/>
                <w:color w:val="auto"/>
                <w:sz w:val="21"/>
                <w:szCs w:val="21"/>
                <w:highlight w:val="none"/>
              </w:rPr>
              <w:t>：工作现场严禁吸烟。避免长期反复接触。</w:t>
            </w:r>
          </w:p>
          <w:p w14:paraId="7CFA3085">
            <w:pPr>
              <w:widowControl/>
              <w:spacing w:line="240" w:lineRule="auto"/>
              <w:ind w:firstLine="0" w:firstLineChars="0"/>
              <w:jc w:val="left"/>
              <w:rPr>
                <w:bCs/>
                <w:snapToGrid w:val="0"/>
                <w:color w:val="auto"/>
                <w:sz w:val="21"/>
                <w:szCs w:val="21"/>
                <w:highlight w:val="none"/>
              </w:rPr>
            </w:pPr>
            <w:r>
              <w:rPr>
                <w:bCs/>
                <w:snapToGrid w:val="0"/>
                <w:color w:val="auto"/>
                <w:sz w:val="21"/>
                <w:szCs w:val="21"/>
                <w:highlight w:val="none"/>
              </w:rPr>
              <w:t>三、急救措施</w:t>
            </w:r>
          </w:p>
          <w:p w14:paraId="252466C3">
            <w:pPr>
              <w:widowControl/>
              <w:spacing w:line="240" w:lineRule="auto"/>
              <w:ind w:firstLine="0" w:firstLineChars="0"/>
              <w:jc w:val="left"/>
              <w:rPr>
                <w:bCs/>
                <w:snapToGrid w:val="0"/>
                <w:color w:val="auto"/>
                <w:sz w:val="21"/>
                <w:szCs w:val="21"/>
                <w:highlight w:val="none"/>
              </w:rPr>
            </w:pPr>
            <w:r>
              <w:rPr>
                <w:bCs/>
                <w:snapToGrid w:val="0"/>
                <w:color w:val="auto"/>
                <w:sz w:val="21"/>
                <w:szCs w:val="21"/>
                <w:highlight w:val="none"/>
              </w:rPr>
              <w:t>皮肤接触：立即脱去被污染的衣着，用大量清水冲洗；眼睛接触：立即提起眼睑，用大量流动清水或生理盐水彻底冲洗至少15分钟，就医。吸入：迅速脱离现场至空气新鲜处。保持呼吸道通畅。如呼吸困难，给输氧。呼吸心跳停止，立即进行人工呼吸。就医。食入：饮足量温水，催吐，就医。</w:t>
            </w:r>
          </w:p>
          <w:p w14:paraId="008717D7">
            <w:pPr>
              <w:widowControl/>
              <w:spacing w:line="240" w:lineRule="auto"/>
              <w:ind w:firstLine="0" w:firstLineChars="0"/>
              <w:jc w:val="left"/>
              <w:rPr>
                <w:bCs/>
                <w:snapToGrid w:val="0"/>
                <w:color w:val="auto"/>
                <w:sz w:val="21"/>
                <w:szCs w:val="21"/>
                <w:highlight w:val="none"/>
              </w:rPr>
            </w:pPr>
            <w:r>
              <w:rPr>
                <w:bCs/>
                <w:snapToGrid w:val="0"/>
                <w:color w:val="auto"/>
                <w:sz w:val="21"/>
                <w:szCs w:val="21"/>
                <w:highlight w:val="none"/>
              </w:rPr>
              <w:t>灭火方法：消防人员须佩戴防毒面具、穿全身消防服，在上风向灭火、尽可能将容器从火场移至空旷处。喷水保持火场容器冷却，直至灭火结束。处在火场中的容器若已变色或从安全泄压装置中产生声音，必须马上撤离。</w:t>
            </w:r>
          </w:p>
          <w:p w14:paraId="59AA5424">
            <w:pPr>
              <w:widowControl/>
              <w:spacing w:line="240" w:lineRule="auto"/>
              <w:ind w:firstLine="0" w:firstLineChars="0"/>
              <w:jc w:val="left"/>
              <w:rPr>
                <w:bCs/>
                <w:snapToGrid w:val="0"/>
                <w:color w:val="auto"/>
                <w:sz w:val="21"/>
                <w:szCs w:val="21"/>
                <w:highlight w:val="none"/>
              </w:rPr>
            </w:pPr>
            <w:r>
              <w:rPr>
                <w:bCs/>
                <w:snapToGrid w:val="0"/>
                <w:color w:val="auto"/>
                <w:sz w:val="21"/>
                <w:szCs w:val="21"/>
                <w:highlight w:val="none"/>
              </w:rPr>
              <w:t>灭火剂：雾状水、泡沫、干粉、二氧化碳、砂土。</w:t>
            </w:r>
          </w:p>
        </w:tc>
      </w:tr>
    </w:tbl>
    <w:p w14:paraId="7C95E288">
      <w:pPr>
        <w:spacing w:before="120" w:beforeLines="50"/>
        <w:ind w:firstLine="0" w:firstLineChars="0"/>
        <w:jc w:val="center"/>
        <w:rPr>
          <w:b/>
          <w:bCs/>
          <w:color w:val="auto"/>
          <w:sz w:val="21"/>
          <w:szCs w:val="21"/>
          <w:highlight w:val="none"/>
          <w:u w:val="single"/>
        </w:rPr>
      </w:pPr>
      <w:r>
        <w:rPr>
          <w:b/>
          <w:bCs/>
          <w:color w:val="auto"/>
          <w:sz w:val="21"/>
          <w:szCs w:val="21"/>
          <w:highlight w:val="none"/>
          <w:u w:val="single"/>
        </w:rPr>
        <w:t xml:space="preserve">4.3-2 </w:t>
      </w:r>
      <w:r>
        <w:rPr>
          <w:rFonts w:hint="eastAsia"/>
          <w:b/>
          <w:bCs/>
          <w:color w:val="auto"/>
          <w:sz w:val="21"/>
          <w:szCs w:val="21"/>
          <w:highlight w:val="none"/>
          <w:u w:val="single"/>
        </w:rPr>
        <w:t>废矿物油理化性质及危险特性表</w:t>
      </w:r>
    </w:p>
    <w:tbl>
      <w:tblPr>
        <w:tblStyle w:val="154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2"/>
        <w:gridCol w:w="3655"/>
        <w:gridCol w:w="4799"/>
      </w:tblGrid>
      <w:tr w14:paraId="514D3F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pct"/>
            <w:vMerge w:val="restart"/>
            <w:vAlign w:val="center"/>
          </w:tcPr>
          <w:p w14:paraId="1D208580">
            <w:pPr>
              <w:pStyle w:val="304"/>
              <w:snapToGrid w:val="0"/>
              <w:spacing w:line="240" w:lineRule="auto"/>
              <w:jc w:val="center"/>
              <w:textAlignment w:val="center"/>
              <w:rPr>
                <w:bCs w:val="0"/>
                <w:iCs w:val="0"/>
                <w:snapToGrid/>
                <w:color w:val="auto"/>
                <w:sz w:val="21"/>
                <w:szCs w:val="21"/>
                <w:highlight w:val="none"/>
                <w:u w:val="single"/>
              </w:rPr>
            </w:pPr>
            <w:r>
              <w:rPr>
                <w:bCs w:val="0"/>
                <w:iCs w:val="0"/>
                <w:snapToGrid/>
                <w:color w:val="auto"/>
                <w:sz w:val="21"/>
                <w:szCs w:val="21"/>
                <w:highlight w:val="none"/>
                <w:u w:val="single"/>
              </w:rPr>
              <w:t>标识</w:t>
            </w:r>
          </w:p>
        </w:tc>
        <w:tc>
          <w:tcPr>
            <w:tcW w:w="4552" w:type="pct"/>
            <w:gridSpan w:val="2"/>
            <w:vAlign w:val="center"/>
          </w:tcPr>
          <w:p w14:paraId="03AE505A">
            <w:pPr>
              <w:pStyle w:val="304"/>
              <w:snapToGrid w:val="0"/>
              <w:spacing w:line="240" w:lineRule="auto"/>
              <w:jc w:val="left"/>
              <w:textAlignment w:val="center"/>
              <w:rPr>
                <w:bCs w:val="0"/>
                <w:iCs w:val="0"/>
                <w:snapToGrid/>
                <w:color w:val="auto"/>
                <w:sz w:val="21"/>
                <w:szCs w:val="21"/>
                <w:highlight w:val="none"/>
                <w:u w:val="single"/>
              </w:rPr>
            </w:pPr>
            <w:r>
              <w:rPr>
                <w:bCs w:val="0"/>
                <w:iCs w:val="0"/>
                <w:snapToGrid/>
                <w:color w:val="auto"/>
                <w:sz w:val="21"/>
                <w:szCs w:val="21"/>
                <w:highlight w:val="none"/>
                <w:u w:val="single"/>
              </w:rPr>
              <w:t>中文名：废矿物油</w:t>
            </w:r>
          </w:p>
        </w:tc>
      </w:tr>
      <w:tr w14:paraId="2F9331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pct"/>
            <w:vMerge w:val="continue"/>
            <w:vAlign w:val="center"/>
          </w:tcPr>
          <w:p w14:paraId="1B954A4E">
            <w:pPr>
              <w:pStyle w:val="304"/>
              <w:snapToGrid w:val="0"/>
              <w:spacing w:line="240" w:lineRule="auto"/>
              <w:jc w:val="center"/>
              <w:textAlignment w:val="center"/>
              <w:rPr>
                <w:bCs w:val="0"/>
                <w:iCs w:val="0"/>
                <w:snapToGrid/>
                <w:color w:val="auto"/>
                <w:sz w:val="21"/>
                <w:szCs w:val="21"/>
                <w:highlight w:val="none"/>
                <w:u w:val="single"/>
              </w:rPr>
            </w:pPr>
          </w:p>
        </w:tc>
        <w:tc>
          <w:tcPr>
            <w:tcW w:w="1968" w:type="pct"/>
            <w:vAlign w:val="center"/>
          </w:tcPr>
          <w:p w14:paraId="495059F8">
            <w:pPr>
              <w:pStyle w:val="304"/>
              <w:snapToGrid w:val="0"/>
              <w:spacing w:line="240" w:lineRule="auto"/>
              <w:jc w:val="left"/>
              <w:textAlignment w:val="center"/>
              <w:rPr>
                <w:bCs w:val="0"/>
                <w:iCs w:val="0"/>
                <w:snapToGrid/>
                <w:color w:val="auto"/>
                <w:sz w:val="21"/>
                <w:szCs w:val="21"/>
                <w:highlight w:val="none"/>
                <w:u w:val="single"/>
              </w:rPr>
            </w:pPr>
            <w:r>
              <w:rPr>
                <w:bCs w:val="0"/>
                <w:iCs w:val="0"/>
                <w:snapToGrid/>
                <w:color w:val="auto"/>
                <w:sz w:val="21"/>
                <w:szCs w:val="21"/>
                <w:highlight w:val="none"/>
                <w:u w:val="single"/>
              </w:rPr>
              <w:t>废物类别：HW08</w:t>
            </w:r>
          </w:p>
        </w:tc>
        <w:tc>
          <w:tcPr>
            <w:tcW w:w="2584" w:type="pct"/>
            <w:vAlign w:val="center"/>
          </w:tcPr>
          <w:p w14:paraId="2A984B73">
            <w:pPr>
              <w:pStyle w:val="304"/>
              <w:snapToGrid w:val="0"/>
              <w:spacing w:line="240" w:lineRule="auto"/>
              <w:jc w:val="left"/>
              <w:textAlignment w:val="center"/>
              <w:rPr>
                <w:bCs w:val="0"/>
                <w:iCs w:val="0"/>
                <w:snapToGrid/>
                <w:color w:val="auto"/>
                <w:sz w:val="21"/>
                <w:szCs w:val="21"/>
                <w:highlight w:val="none"/>
                <w:u w:val="single"/>
              </w:rPr>
            </w:pPr>
            <w:r>
              <w:rPr>
                <w:bCs w:val="0"/>
                <w:iCs w:val="0"/>
                <w:snapToGrid/>
                <w:color w:val="auto"/>
                <w:sz w:val="21"/>
                <w:szCs w:val="21"/>
                <w:highlight w:val="none"/>
                <w:u w:val="single"/>
              </w:rPr>
              <w:t>废物代码：900-0217-08</w:t>
            </w:r>
          </w:p>
        </w:tc>
      </w:tr>
      <w:tr w14:paraId="06C5A4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pct"/>
            <w:vMerge w:val="continue"/>
            <w:vAlign w:val="center"/>
          </w:tcPr>
          <w:p w14:paraId="3CE95F35">
            <w:pPr>
              <w:pStyle w:val="304"/>
              <w:snapToGrid w:val="0"/>
              <w:spacing w:line="240" w:lineRule="auto"/>
              <w:jc w:val="center"/>
              <w:textAlignment w:val="center"/>
              <w:rPr>
                <w:bCs w:val="0"/>
                <w:iCs w:val="0"/>
                <w:snapToGrid/>
                <w:color w:val="auto"/>
                <w:sz w:val="21"/>
                <w:szCs w:val="21"/>
                <w:highlight w:val="none"/>
                <w:u w:val="single"/>
              </w:rPr>
            </w:pPr>
          </w:p>
        </w:tc>
        <w:tc>
          <w:tcPr>
            <w:tcW w:w="4552" w:type="pct"/>
            <w:gridSpan w:val="2"/>
            <w:vAlign w:val="center"/>
          </w:tcPr>
          <w:p w14:paraId="5FF64BC5">
            <w:pPr>
              <w:pStyle w:val="304"/>
              <w:snapToGrid w:val="0"/>
              <w:spacing w:line="240" w:lineRule="auto"/>
              <w:jc w:val="left"/>
              <w:textAlignment w:val="center"/>
              <w:rPr>
                <w:bCs w:val="0"/>
                <w:iCs w:val="0"/>
                <w:snapToGrid/>
                <w:color w:val="auto"/>
                <w:sz w:val="21"/>
                <w:szCs w:val="21"/>
                <w:highlight w:val="none"/>
                <w:u w:val="single"/>
              </w:rPr>
            </w:pPr>
            <w:r>
              <w:rPr>
                <w:bCs w:val="0"/>
                <w:iCs w:val="0"/>
                <w:snapToGrid/>
                <w:color w:val="auto"/>
                <w:sz w:val="21"/>
                <w:szCs w:val="21"/>
                <w:highlight w:val="none"/>
                <w:u w:val="single"/>
              </w:rPr>
              <w:t>危险特性：T/In</w:t>
            </w:r>
          </w:p>
        </w:tc>
      </w:tr>
      <w:tr w14:paraId="7DA9C7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pct"/>
            <w:vAlign w:val="center"/>
          </w:tcPr>
          <w:p w14:paraId="6740C31B">
            <w:pPr>
              <w:pStyle w:val="304"/>
              <w:snapToGrid w:val="0"/>
              <w:spacing w:line="240" w:lineRule="auto"/>
              <w:jc w:val="center"/>
              <w:textAlignment w:val="center"/>
              <w:rPr>
                <w:bCs w:val="0"/>
                <w:iCs w:val="0"/>
                <w:snapToGrid/>
                <w:color w:val="auto"/>
                <w:sz w:val="21"/>
                <w:szCs w:val="21"/>
                <w:highlight w:val="none"/>
                <w:u w:val="single"/>
              </w:rPr>
            </w:pPr>
            <w:r>
              <w:rPr>
                <w:bCs w:val="0"/>
                <w:iCs w:val="0"/>
                <w:snapToGrid/>
                <w:color w:val="auto"/>
                <w:sz w:val="21"/>
                <w:szCs w:val="21"/>
                <w:highlight w:val="none"/>
                <w:u w:val="single"/>
              </w:rPr>
              <w:t>理化</w:t>
            </w:r>
          </w:p>
          <w:p w14:paraId="3A89CBC9">
            <w:pPr>
              <w:pStyle w:val="304"/>
              <w:snapToGrid w:val="0"/>
              <w:spacing w:line="240" w:lineRule="auto"/>
              <w:jc w:val="center"/>
              <w:textAlignment w:val="center"/>
              <w:rPr>
                <w:bCs w:val="0"/>
                <w:iCs w:val="0"/>
                <w:snapToGrid/>
                <w:color w:val="auto"/>
                <w:sz w:val="21"/>
                <w:szCs w:val="21"/>
                <w:highlight w:val="none"/>
                <w:u w:val="single"/>
              </w:rPr>
            </w:pPr>
            <w:r>
              <w:rPr>
                <w:bCs w:val="0"/>
                <w:iCs w:val="0"/>
                <w:snapToGrid/>
                <w:color w:val="auto"/>
                <w:sz w:val="21"/>
                <w:szCs w:val="21"/>
                <w:highlight w:val="none"/>
                <w:u w:val="single"/>
              </w:rPr>
              <w:t>性质</w:t>
            </w:r>
          </w:p>
        </w:tc>
        <w:tc>
          <w:tcPr>
            <w:tcW w:w="4552" w:type="pct"/>
            <w:gridSpan w:val="2"/>
            <w:vAlign w:val="center"/>
          </w:tcPr>
          <w:p w14:paraId="535BA3DA">
            <w:pPr>
              <w:pStyle w:val="304"/>
              <w:snapToGrid w:val="0"/>
              <w:spacing w:line="240" w:lineRule="auto"/>
              <w:jc w:val="left"/>
              <w:textAlignment w:val="center"/>
              <w:rPr>
                <w:bCs w:val="0"/>
                <w:iCs w:val="0"/>
                <w:snapToGrid/>
                <w:color w:val="auto"/>
                <w:sz w:val="21"/>
                <w:szCs w:val="21"/>
                <w:highlight w:val="none"/>
                <w:u w:val="single"/>
              </w:rPr>
            </w:pPr>
            <w:r>
              <w:rPr>
                <w:bCs w:val="0"/>
                <w:iCs w:val="0"/>
                <w:snapToGrid/>
                <w:color w:val="auto"/>
                <w:sz w:val="21"/>
                <w:szCs w:val="21"/>
                <w:highlight w:val="none"/>
                <w:u w:val="single"/>
              </w:rPr>
              <w:t>性状：液体</w:t>
            </w:r>
          </w:p>
        </w:tc>
      </w:tr>
      <w:tr w14:paraId="6F67CA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pct"/>
            <w:vMerge w:val="restart"/>
            <w:vAlign w:val="center"/>
          </w:tcPr>
          <w:p w14:paraId="7548E3CC">
            <w:pPr>
              <w:pStyle w:val="304"/>
              <w:snapToGrid w:val="0"/>
              <w:spacing w:line="240" w:lineRule="auto"/>
              <w:jc w:val="center"/>
              <w:textAlignment w:val="center"/>
              <w:rPr>
                <w:bCs w:val="0"/>
                <w:iCs w:val="0"/>
                <w:snapToGrid/>
                <w:color w:val="auto"/>
                <w:sz w:val="21"/>
                <w:szCs w:val="21"/>
                <w:highlight w:val="none"/>
                <w:u w:val="single"/>
              </w:rPr>
            </w:pPr>
            <w:r>
              <w:rPr>
                <w:bCs w:val="0"/>
                <w:iCs w:val="0"/>
                <w:snapToGrid/>
                <w:color w:val="auto"/>
                <w:sz w:val="21"/>
                <w:szCs w:val="21"/>
                <w:highlight w:val="none"/>
                <w:u w:val="single"/>
              </w:rPr>
              <w:t>燃烧</w:t>
            </w:r>
          </w:p>
          <w:p w14:paraId="08580CE9">
            <w:pPr>
              <w:pStyle w:val="304"/>
              <w:snapToGrid w:val="0"/>
              <w:spacing w:line="240" w:lineRule="auto"/>
              <w:jc w:val="center"/>
              <w:textAlignment w:val="center"/>
              <w:rPr>
                <w:bCs w:val="0"/>
                <w:iCs w:val="0"/>
                <w:snapToGrid/>
                <w:color w:val="auto"/>
                <w:sz w:val="21"/>
                <w:szCs w:val="21"/>
                <w:highlight w:val="none"/>
                <w:u w:val="single"/>
              </w:rPr>
            </w:pPr>
            <w:r>
              <w:rPr>
                <w:bCs w:val="0"/>
                <w:iCs w:val="0"/>
                <w:snapToGrid/>
                <w:color w:val="auto"/>
                <w:sz w:val="21"/>
                <w:szCs w:val="21"/>
                <w:highlight w:val="none"/>
                <w:u w:val="single"/>
              </w:rPr>
              <w:t>爆炸</w:t>
            </w:r>
          </w:p>
          <w:p w14:paraId="34F40D9A">
            <w:pPr>
              <w:pStyle w:val="304"/>
              <w:snapToGrid w:val="0"/>
              <w:spacing w:line="240" w:lineRule="auto"/>
              <w:jc w:val="center"/>
              <w:textAlignment w:val="center"/>
              <w:rPr>
                <w:bCs w:val="0"/>
                <w:iCs w:val="0"/>
                <w:snapToGrid/>
                <w:color w:val="auto"/>
                <w:sz w:val="21"/>
                <w:szCs w:val="21"/>
                <w:highlight w:val="none"/>
                <w:u w:val="single"/>
              </w:rPr>
            </w:pPr>
            <w:r>
              <w:rPr>
                <w:bCs w:val="0"/>
                <w:iCs w:val="0"/>
                <w:snapToGrid/>
                <w:color w:val="auto"/>
                <w:sz w:val="21"/>
                <w:szCs w:val="21"/>
                <w:highlight w:val="none"/>
                <w:u w:val="single"/>
              </w:rPr>
              <w:t>危险</w:t>
            </w:r>
          </w:p>
          <w:p w14:paraId="11BAA750">
            <w:pPr>
              <w:pStyle w:val="304"/>
              <w:snapToGrid w:val="0"/>
              <w:spacing w:line="240" w:lineRule="auto"/>
              <w:jc w:val="center"/>
              <w:textAlignment w:val="center"/>
              <w:rPr>
                <w:bCs w:val="0"/>
                <w:iCs w:val="0"/>
                <w:snapToGrid/>
                <w:color w:val="auto"/>
                <w:sz w:val="21"/>
                <w:szCs w:val="21"/>
                <w:highlight w:val="none"/>
                <w:u w:val="single"/>
              </w:rPr>
            </w:pPr>
            <w:r>
              <w:rPr>
                <w:bCs w:val="0"/>
                <w:iCs w:val="0"/>
                <w:snapToGrid/>
                <w:color w:val="auto"/>
                <w:sz w:val="21"/>
                <w:szCs w:val="21"/>
                <w:highlight w:val="none"/>
                <w:u w:val="single"/>
              </w:rPr>
              <w:t>性</w:t>
            </w:r>
          </w:p>
        </w:tc>
        <w:tc>
          <w:tcPr>
            <w:tcW w:w="4552" w:type="pct"/>
            <w:gridSpan w:val="2"/>
            <w:vAlign w:val="center"/>
          </w:tcPr>
          <w:p w14:paraId="40B15DC9">
            <w:pPr>
              <w:pStyle w:val="304"/>
              <w:snapToGrid w:val="0"/>
              <w:spacing w:line="240" w:lineRule="auto"/>
              <w:jc w:val="left"/>
              <w:textAlignment w:val="center"/>
              <w:rPr>
                <w:bCs w:val="0"/>
                <w:iCs w:val="0"/>
                <w:snapToGrid/>
                <w:color w:val="auto"/>
                <w:sz w:val="21"/>
                <w:szCs w:val="21"/>
                <w:highlight w:val="none"/>
                <w:u w:val="single"/>
              </w:rPr>
            </w:pPr>
            <w:r>
              <w:rPr>
                <w:bCs w:val="0"/>
                <w:iCs w:val="0"/>
                <w:snapToGrid/>
                <w:color w:val="auto"/>
                <w:sz w:val="21"/>
                <w:szCs w:val="21"/>
                <w:highlight w:val="none"/>
                <w:u w:val="single"/>
              </w:rPr>
              <w:t>燃爆危险：可燃。</w:t>
            </w:r>
          </w:p>
        </w:tc>
      </w:tr>
      <w:tr w14:paraId="3A10AD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pct"/>
            <w:vMerge w:val="continue"/>
            <w:vAlign w:val="center"/>
          </w:tcPr>
          <w:p w14:paraId="7BE0B6F1">
            <w:pPr>
              <w:pStyle w:val="304"/>
              <w:snapToGrid w:val="0"/>
              <w:spacing w:line="240" w:lineRule="auto"/>
              <w:jc w:val="center"/>
              <w:textAlignment w:val="center"/>
              <w:rPr>
                <w:bCs w:val="0"/>
                <w:iCs w:val="0"/>
                <w:snapToGrid/>
                <w:color w:val="auto"/>
                <w:sz w:val="21"/>
                <w:szCs w:val="21"/>
                <w:highlight w:val="none"/>
                <w:u w:val="single"/>
              </w:rPr>
            </w:pPr>
          </w:p>
        </w:tc>
        <w:tc>
          <w:tcPr>
            <w:tcW w:w="4552" w:type="pct"/>
            <w:gridSpan w:val="2"/>
            <w:vAlign w:val="center"/>
          </w:tcPr>
          <w:p w14:paraId="76D73B73">
            <w:pPr>
              <w:pStyle w:val="304"/>
              <w:snapToGrid w:val="0"/>
              <w:spacing w:line="240" w:lineRule="auto"/>
              <w:jc w:val="left"/>
              <w:textAlignment w:val="center"/>
              <w:rPr>
                <w:bCs w:val="0"/>
                <w:iCs w:val="0"/>
                <w:snapToGrid/>
                <w:color w:val="auto"/>
                <w:sz w:val="21"/>
                <w:szCs w:val="21"/>
                <w:highlight w:val="none"/>
                <w:u w:val="single"/>
              </w:rPr>
            </w:pPr>
            <w:r>
              <w:rPr>
                <w:bCs w:val="0"/>
                <w:iCs w:val="0"/>
                <w:snapToGrid/>
                <w:color w:val="auto"/>
                <w:sz w:val="21"/>
                <w:szCs w:val="21"/>
                <w:highlight w:val="none"/>
                <w:u w:val="single"/>
              </w:rPr>
              <w:t>危险特性：易燃、火灾、毒性。</w:t>
            </w:r>
          </w:p>
        </w:tc>
      </w:tr>
      <w:tr w14:paraId="06C61A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pct"/>
            <w:vMerge w:val="continue"/>
            <w:vAlign w:val="center"/>
          </w:tcPr>
          <w:p w14:paraId="2CD82CCB">
            <w:pPr>
              <w:pStyle w:val="304"/>
              <w:snapToGrid w:val="0"/>
              <w:spacing w:line="240" w:lineRule="auto"/>
              <w:jc w:val="center"/>
              <w:textAlignment w:val="center"/>
              <w:rPr>
                <w:bCs w:val="0"/>
                <w:iCs w:val="0"/>
                <w:snapToGrid/>
                <w:color w:val="auto"/>
                <w:sz w:val="21"/>
                <w:szCs w:val="21"/>
                <w:highlight w:val="none"/>
                <w:u w:val="single"/>
              </w:rPr>
            </w:pPr>
          </w:p>
        </w:tc>
        <w:tc>
          <w:tcPr>
            <w:tcW w:w="4552" w:type="pct"/>
            <w:gridSpan w:val="2"/>
            <w:vAlign w:val="center"/>
          </w:tcPr>
          <w:p w14:paraId="7C3B3751">
            <w:pPr>
              <w:pStyle w:val="304"/>
              <w:snapToGrid w:val="0"/>
              <w:spacing w:line="240" w:lineRule="auto"/>
              <w:jc w:val="left"/>
              <w:textAlignment w:val="center"/>
              <w:rPr>
                <w:bCs w:val="0"/>
                <w:iCs w:val="0"/>
                <w:snapToGrid/>
                <w:color w:val="auto"/>
                <w:sz w:val="21"/>
                <w:szCs w:val="21"/>
                <w:highlight w:val="none"/>
                <w:u w:val="single"/>
              </w:rPr>
            </w:pPr>
            <w:r>
              <w:rPr>
                <w:bCs w:val="0"/>
                <w:iCs w:val="0"/>
                <w:snapToGrid/>
                <w:color w:val="auto"/>
                <w:sz w:val="21"/>
                <w:szCs w:val="21"/>
                <w:highlight w:val="none"/>
                <w:u w:val="single"/>
              </w:rPr>
              <w:t xml:space="preserve">燃烧分解产物：一氧化氮、碳氢化合物、氮氧化物 </w:t>
            </w:r>
          </w:p>
        </w:tc>
      </w:tr>
      <w:tr w14:paraId="540B5C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pct"/>
            <w:vMerge w:val="continue"/>
            <w:vAlign w:val="center"/>
          </w:tcPr>
          <w:p w14:paraId="79021EB3">
            <w:pPr>
              <w:pStyle w:val="304"/>
              <w:snapToGrid w:val="0"/>
              <w:spacing w:line="240" w:lineRule="auto"/>
              <w:jc w:val="center"/>
              <w:textAlignment w:val="center"/>
              <w:rPr>
                <w:bCs w:val="0"/>
                <w:iCs w:val="0"/>
                <w:snapToGrid/>
                <w:color w:val="auto"/>
                <w:sz w:val="21"/>
                <w:szCs w:val="21"/>
                <w:highlight w:val="none"/>
                <w:u w:val="single"/>
              </w:rPr>
            </w:pPr>
          </w:p>
        </w:tc>
        <w:tc>
          <w:tcPr>
            <w:tcW w:w="4552" w:type="pct"/>
            <w:gridSpan w:val="2"/>
            <w:vAlign w:val="center"/>
          </w:tcPr>
          <w:p w14:paraId="6160A79F">
            <w:pPr>
              <w:pStyle w:val="304"/>
              <w:snapToGrid w:val="0"/>
              <w:spacing w:line="240" w:lineRule="auto"/>
              <w:jc w:val="left"/>
              <w:textAlignment w:val="center"/>
              <w:rPr>
                <w:bCs w:val="0"/>
                <w:iCs w:val="0"/>
                <w:snapToGrid/>
                <w:color w:val="auto"/>
                <w:sz w:val="21"/>
                <w:szCs w:val="21"/>
                <w:highlight w:val="none"/>
                <w:u w:val="single"/>
              </w:rPr>
            </w:pPr>
            <w:r>
              <w:rPr>
                <w:bCs w:val="0"/>
                <w:iCs w:val="0"/>
                <w:snapToGrid/>
                <w:color w:val="auto"/>
                <w:sz w:val="21"/>
                <w:szCs w:val="21"/>
                <w:highlight w:val="none"/>
                <w:u w:val="single"/>
              </w:rPr>
              <w:t>禁忌物：明火</w:t>
            </w:r>
          </w:p>
        </w:tc>
      </w:tr>
      <w:tr w14:paraId="420C91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pct"/>
            <w:vMerge w:val="continue"/>
            <w:vAlign w:val="center"/>
          </w:tcPr>
          <w:p w14:paraId="52E856E4">
            <w:pPr>
              <w:pStyle w:val="304"/>
              <w:snapToGrid w:val="0"/>
              <w:spacing w:line="240" w:lineRule="auto"/>
              <w:jc w:val="center"/>
              <w:textAlignment w:val="center"/>
              <w:rPr>
                <w:bCs w:val="0"/>
                <w:iCs w:val="0"/>
                <w:snapToGrid/>
                <w:color w:val="auto"/>
                <w:sz w:val="21"/>
                <w:szCs w:val="21"/>
                <w:highlight w:val="none"/>
                <w:u w:val="single"/>
              </w:rPr>
            </w:pPr>
          </w:p>
        </w:tc>
        <w:tc>
          <w:tcPr>
            <w:tcW w:w="4552" w:type="pct"/>
            <w:gridSpan w:val="2"/>
            <w:vAlign w:val="center"/>
          </w:tcPr>
          <w:p w14:paraId="365A521A">
            <w:pPr>
              <w:pStyle w:val="304"/>
              <w:snapToGrid w:val="0"/>
              <w:spacing w:line="240" w:lineRule="auto"/>
              <w:jc w:val="left"/>
              <w:textAlignment w:val="center"/>
              <w:rPr>
                <w:bCs w:val="0"/>
                <w:iCs w:val="0"/>
                <w:snapToGrid/>
                <w:color w:val="auto"/>
                <w:sz w:val="21"/>
                <w:szCs w:val="21"/>
                <w:highlight w:val="none"/>
                <w:u w:val="single"/>
              </w:rPr>
            </w:pPr>
            <w:r>
              <w:rPr>
                <w:bCs w:val="0"/>
                <w:iCs w:val="0"/>
                <w:snapToGrid/>
                <w:color w:val="auto"/>
                <w:sz w:val="21"/>
                <w:szCs w:val="21"/>
                <w:highlight w:val="none"/>
                <w:u w:val="single"/>
              </w:rPr>
              <w:t>灭火方法：消防人员须佩戴防毒面具、穿全身消防服，在上风向灭火。</w:t>
            </w:r>
          </w:p>
        </w:tc>
      </w:tr>
      <w:tr w14:paraId="5924D7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pct"/>
            <w:vMerge w:val="continue"/>
            <w:vAlign w:val="center"/>
          </w:tcPr>
          <w:p w14:paraId="7729599C">
            <w:pPr>
              <w:pStyle w:val="304"/>
              <w:snapToGrid w:val="0"/>
              <w:spacing w:line="240" w:lineRule="auto"/>
              <w:jc w:val="center"/>
              <w:textAlignment w:val="center"/>
              <w:rPr>
                <w:bCs w:val="0"/>
                <w:iCs w:val="0"/>
                <w:snapToGrid/>
                <w:color w:val="auto"/>
                <w:sz w:val="21"/>
                <w:szCs w:val="21"/>
                <w:highlight w:val="none"/>
                <w:u w:val="single"/>
              </w:rPr>
            </w:pPr>
          </w:p>
        </w:tc>
        <w:tc>
          <w:tcPr>
            <w:tcW w:w="4552" w:type="pct"/>
            <w:gridSpan w:val="2"/>
            <w:vAlign w:val="center"/>
          </w:tcPr>
          <w:p w14:paraId="085FAAB7">
            <w:pPr>
              <w:pStyle w:val="304"/>
              <w:snapToGrid w:val="0"/>
              <w:spacing w:line="240" w:lineRule="auto"/>
              <w:jc w:val="left"/>
              <w:textAlignment w:val="center"/>
              <w:rPr>
                <w:bCs w:val="0"/>
                <w:iCs w:val="0"/>
                <w:snapToGrid/>
                <w:color w:val="auto"/>
                <w:sz w:val="21"/>
                <w:szCs w:val="21"/>
                <w:highlight w:val="none"/>
                <w:u w:val="single"/>
              </w:rPr>
            </w:pPr>
            <w:r>
              <w:rPr>
                <w:bCs w:val="0"/>
                <w:iCs w:val="0"/>
                <w:snapToGrid/>
                <w:color w:val="auto"/>
                <w:sz w:val="21"/>
                <w:szCs w:val="21"/>
                <w:highlight w:val="none"/>
                <w:u w:val="single"/>
              </w:rPr>
              <w:t>灭火剂：泡沫、干粉、二氧化碳、砂土。</w:t>
            </w:r>
          </w:p>
        </w:tc>
      </w:tr>
      <w:tr w14:paraId="4F8772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pct"/>
            <w:vMerge w:val="restart"/>
            <w:vAlign w:val="center"/>
          </w:tcPr>
          <w:p w14:paraId="756AD7C7">
            <w:pPr>
              <w:pStyle w:val="304"/>
              <w:snapToGrid w:val="0"/>
              <w:spacing w:line="240" w:lineRule="auto"/>
              <w:jc w:val="center"/>
              <w:textAlignment w:val="center"/>
              <w:rPr>
                <w:bCs w:val="0"/>
                <w:iCs w:val="0"/>
                <w:snapToGrid/>
                <w:color w:val="auto"/>
                <w:sz w:val="21"/>
                <w:szCs w:val="21"/>
                <w:highlight w:val="none"/>
                <w:u w:val="single"/>
              </w:rPr>
            </w:pPr>
            <w:r>
              <w:rPr>
                <w:bCs w:val="0"/>
                <w:iCs w:val="0"/>
                <w:snapToGrid/>
                <w:color w:val="auto"/>
                <w:sz w:val="21"/>
                <w:szCs w:val="21"/>
                <w:highlight w:val="none"/>
                <w:u w:val="single"/>
              </w:rPr>
              <w:t>健康</w:t>
            </w:r>
          </w:p>
          <w:p w14:paraId="1EE4EE8C">
            <w:pPr>
              <w:pStyle w:val="304"/>
              <w:snapToGrid w:val="0"/>
              <w:spacing w:line="240" w:lineRule="auto"/>
              <w:jc w:val="center"/>
              <w:textAlignment w:val="center"/>
              <w:rPr>
                <w:bCs w:val="0"/>
                <w:iCs w:val="0"/>
                <w:snapToGrid/>
                <w:color w:val="auto"/>
                <w:sz w:val="21"/>
                <w:szCs w:val="21"/>
                <w:highlight w:val="none"/>
                <w:u w:val="single"/>
              </w:rPr>
            </w:pPr>
            <w:r>
              <w:rPr>
                <w:bCs w:val="0"/>
                <w:iCs w:val="0"/>
                <w:snapToGrid/>
                <w:color w:val="auto"/>
                <w:sz w:val="21"/>
                <w:szCs w:val="21"/>
                <w:highlight w:val="none"/>
                <w:u w:val="single"/>
              </w:rPr>
              <w:t>危害</w:t>
            </w:r>
          </w:p>
        </w:tc>
        <w:tc>
          <w:tcPr>
            <w:tcW w:w="4552" w:type="pct"/>
            <w:gridSpan w:val="2"/>
            <w:vAlign w:val="center"/>
          </w:tcPr>
          <w:p w14:paraId="4FA03113">
            <w:pPr>
              <w:pStyle w:val="304"/>
              <w:snapToGrid w:val="0"/>
              <w:spacing w:line="240" w:lineRule="auto"/>
              <w:jc w:val="left"/>
              <w:textAlignment w:val="center"/>
              <w:rPr>
                <w:bCs w:val="0"/>
                <w:iCs w:val="0"/>
                <w:snapToGrid/>
                <w:color w:val="auto"/>
                <w:sz w:val="21"/>
                <w:szCs w:val="21"/>
                <w:highlight w:val="none"/>
                <w:u w:val="single"/>
              </w:rPr>
            </w:pPr>
            <w:r>
              <w:rPr>
                <w:bCs w:val="0"/>
                <w:iCs w:val="0"/>
                <w:snapToGrid/>
                <w:color w:val="auto"/>
                <w:sz w:val="21"/>
                <w:szCs w:val="21"/>
                <w:highlight w:val="none"/>
                <w:u w:val="single"/>
              </w:rPr>
              <w:t>侵入途径：食入、经皮吸收</w:t>
            </w:r>
          </w:p>
        </w:tc>
      </w:tr>
      <w:tr w14:paraId="3D3F97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pct"/>
            <w:vMerge w:val="continue"/>
            <w:vAlign w:val="center"/>
          </w:tcPr>
          <w:p w14:paraId="1A50E3D0">
            <w:pPr>
              <w:pStyle w:val="304"/>
              <w:snapToGrid w:val="0"/>
              <w:spacing w:line="240" w:lineRule="auto"/>
              <w:jc w:val="center"/>
              <w:textAlignment w:val="center"/>
              <w:rPr>
                <w:bCs w:val="0"/>
                <w:iCs w:val="0"/>
                <w:snapToGrid/>
                <w:color w:val="auto"/>
                <w:sz w:val="21"/>
                <w:szCs w:val="21"/>
                <w:highlight w:val="none"/>
                <w:u w:val="single"/>
              </w:rPr>
            </w:pPr>
          </w:p>
        </w:tc>
        <w:tc>
          <w:tcPr>
            <w:tcW w:w="4552" w:type="pct"/>
            <w:gridSpan w:val="2"/>
            <w:vAlign w:val="center"/>
          </w:tcPr>
          <w:p w14:paraId="2C4063C0">
            <w:pPr>
              <w:pStyle w:val="304"/>
              <w:snapToGrid w:val="0"/>
              <w:spacing w:line="240" w:lineRule="auto"/>
              <w:jc w:val="left"/>
              <w:textAlignment w:val="center"/>
              <w:rPr>
                <w:bCs w:val="0"/>
                <w:iCs w:val="0"/>
                <w:snapToGrid/>
                <w:color w:val="auto"/>
                <w:sz w:val="21"/>
                <w:szCs w:val="21"/>
                <w:highlight w:val="none"/>
                <w:u w:val="single"/>
              </w:rPr>
            </w:pPr>
            <w:r>
              <w:rPr>
                <w:bCs w:val="0"/>
                <w:iCs w:val="0"/>
                <w:snapToGrid/>
                <w:color w:val="auto"/>
                <w:sz w:val="21"/>
                <w:szCs w:val="21"/>
                <w:highlight w:val="none"/>
                <w:u w:val="single"/>
              </w:rPr>
              <w:t xml:space="preserve">健康危害：封闭毛孔，皮肤不能正常代谢，造成皮肤生理功能受损。 </w:t>
            </w:r>
          </w:p>
        </w:tc>
      </w:tr>
      <w:tr w14:paraId="16B287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pct"/>
            <w:vMerge w:val="continue"/>
            <w:vAlign w:val="center"/>
          </w:tcPr>
          <w:p w14:paraId="4BA92EB7">
            <w:pPr>
              <w:pStyle w:val="304"/>
              <w:snapToGrid w:val="0"/>
              <w:spacing w:line="240" w:lineRule="auto"/>
              <w:jc w:val="center"/>
              <w:textAlignment w:val="center"/>
              <w:rPr>
                <w:bCs w:val="0"/>
                <w:iCs w:val="0"/>
                <w:snapToGrid/>
                <w:color w:val="auto"/>
                <w:sz w:val="21"/>
                <w:szCs w:val="21"/>
                <w:highlight w:val="none"/>
                <w:u w:val="single"/>
              </w:rPr>
            </w:pPr>
          </w:p>
        </w:tc>
        <w:tc>
          <w:tcPr>
            <w:tcW w:w="4552" w:type="pct"/>
            <w:gridSpan w:val="2"/>
            <w:vAlign w:val="center"/>
          </w:tcPr>
          <w:p w14:paraId="34720EE7">
            <w:pPr>
              <w:pStyle w:val="304"/>
              <w:snapToGrid w:val="0"/>
              <w:spacing w:line="240" w:lineRule="auto"/>
              <w:jc w:val="left"/>
              <w:textAlignment w:val="center"/>
              <w:rPr>
                <w:bCs w:val="0"/>
                <w:iCs w:val="0"/>
                <w:snapToGrid/>
                <w:color w:val="auto"/>
                <w:sz w:val="21"/>
                <w:szCs w:val="21"/>
                <w:highlight w:val="none"/>
                <w:u w:val="single"/>
              </w:rPr>
            </w:pPr>
            <w:r>
              <w:rPr>
                <w:bCs w:val="0"/>
                <w:iCs w:val="0"/>
                <w:snapToGrid/>
                <w:color w:val="auto"/>
                <w:sz w:val="21"/>
                <w:szCs w:val="21"/>
                <w:highlight w:val="none"/>
                <w:u w:val="single"/>
              </w:rPr>
              <w:t>环境危害：对土壤有危害。</w:t>
            </w:r>
          </w:p>
        </w:tc>
      </w:tr>
      <w:tr w14:paraId="14FB95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pct"/>
            <w:vMerge w:val="restart"/>
            <w:vAlign w:val="center"/>
          </w:tcPr>
          <w:p w14:paraId="5A00C824">
            <w:pPr>
              <w:pStyle w:val="304"/>
              <w:snapToGrid w:val="0"/>
              <w:spacing w:line="240" w:lineRule="auto"/>
              <w:jc w:val="center"/>
              <w:textAlignment w:val="center"/>
              <w:rPr>
                <w:bCs w:val="0"/>
                <w:iCs w:val="0"/>
                <w:snapToGrid/>
                <w:color w:val="auto"/>
                <w:sz w:val="21"/>
                <w:szCs w:val="21"/>
                <w:highlight w:val="none"/>
                <w:u w:val="single"/>
              </w:rPr>
            </w:pPr>
            <w:r>
              <w:rPr>
                <w:bCs w:val="0"/>
                <w:iCs w:val="0"/>
                <w:snapToGrid/>
                <w:color w:val="auto"/>
                <w:sz w:val="21"/>
                <w:szCs w:val="21"/>
                <w:highlight w:val="none"/>
                <w:u w:val="single"/>
              </w:rPr>
              <w:t>急救</w:t>
            </w:r>
          </w:p>
          <w:p w14:paraId="6B0AEB7C">
            <w:pPr>
              <w:pStyle w:val="304"/>
              <w:snapToGrid w:val="0"/>
              <w:spacing w:line="240" w:lineRule="auto"/>
              <w:jc w:val="center"/>
              <w:textAlignment w:val="center"/>
              <w:rPr>
                <w:bCs w:val="0"/>
                <w:iCs w:val="0"/>
                <w:snapToGrid/>
                <w:color w:val="auto"/>
                <w:sz w:val="21"/>
                <w:szCs w:val="21"/>
                <w:highlight w:val="none"/>
                <w:u w:val="single"/>
              </w:rPr>
            </w:pPr>
            <w:r>
              <w:rPr>
                <w:bCs w:val="0"/>
                <w:iCs w:val="0"/>
                <w:snapToGrid/>
                <w:color w:val="auto"/>
                <w:sz w:val="21"/>
                <w:szCs w:val="21"/>
                <w:highlight w:val="none"/>
                <w:u w:val="single"/>
              </w:rPr>
              <w:t>措施</w:t>
            </w:r>
          </w:p>
        </w:tc>
        <w:tc>
          <w:tcPr>
            <w:tcW w:w="4552" w:type="pct"/>
            <w:gridSpan w:val="2"/>
            <w:vAlign w:val="center"/>
          </w:tcPr>
          <w:p w14:paraId="1CF8EF28">
            <w:pPr>
              <w:pStyle w:val="304"/>
              <w:snapToGrid w:val="0"/>
              <w:spacing w:line="240" w:lineRule="auto"/>
              <w:jc w:val="left"/>
              <w:textAlignment w:val="center"/>
              <w:rPr>
                <w:bCs w:val="0"/>
                <w:iCs w:val="0"/>
                <w:snapToGrid/>
                <w:color w:val="auto"/>
                <w:sz w:val="21"/>
                <w:szCs w:val="21"/>
                <w:highlight w:val="none"/>
                <w:u w:val="single"/>
              </w:rPr>
            </w:pPr>
            <w:r>
              <w:rPr>
                <w:bCs w:val="0"/>
                <w:iCs w:val="0"/>
                <w:snapToGrid/>
                <w:color w:val="auto"/>
                <w:sz w:val="21"/>
                <w:szCs w:val="21"/>
                <w:highlight w:val="none"/>
                <w:u w:val="single"/>
              </w:rPr>
              <w:t>皮肤接触：及时清洗。</w:t>
            </w:r>
          </w:p>
        </w:tc>
      </w:tr>
      <w:tr w14:paraId="5A6C92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pct"/>
            <w:vMerge w:val="continue"/>
            <w:vAlign w:val="center"/>
          </w:tcPr>
          <w:p w14:paraId="12AE526F">
            <w:pPr>
              <w:pStyle w:val="304"/>
              <w:snapToGrid w:val="0"/>
              <w:spacing w:line="240" w:lineRule="auto"/>
              <w:jc w:val="center"/>
              <w:textAlignment w:val="center"/>
              <w:rPr>
                <w:bCs w:val="0"/>
                <w:iCs w:val="0"/>
                <w:snapToGrid/>
                <w:color w:val="auto"/>
                <w:sz w:val="21"/>
                <w:szCs w:val="21"/>
                <w:highlight w:val="none"/>
                <w:u w:val="single"/>
              </w:rPr>
            </w:pPr>
          </w:p>
        </w:tc>
        <w:tc>
          <w:tcPr>
            <w:tcW w:w="4552" w:type="pct"/>
            <w:gridSpan w:val="2"/>
            <w:vAlign w:val="center"/>
          </w:tcPr>
          <w:p w14:paraId="449D1CF4">
            <w:pPr>
              <w:pStyle w:val="304"/>
              <w:snapToGrid w:val="0"/>
              <w:spacing w:line="240" w:lineRule="auto"/>
              <w:jc w:val="left"/>
              <w:textAlignment w:val="center"/>
              <w:rPr>
                <w:bCs w:val="0"/>
                <w:iCs w:val="0"/>
                <w:snapToGrid/>
                <w:color w:val="auto"/>
                <w:sz w:val="21"/>
                <w:szCs w:val="21"/>
                <w:highlight w:val="none"/>
                <w:u w:val="single"/>
              </w:rPr>
            </w:pPr>
            <w:r>
              <w:rPr>
                <w:bCs w:val="0"/>
                <w:iCs w:val="0"/>
                <w:snapToGrid/>
                <w:color w:val="auto"/>
                <w:sz w:val="21"/>
                <w:szCs w:val="21"/>
                <w:highlight w:val="none"/>
                <w:u w:val="single"/>
              </w:rPr>
              <w:t>眼睛接触：提起眼睑，用流动清水或生理盐水冲洗。就医。</w:t>
            </w:r>
          </w:p>
        </w:tc>
      </w:tr>
      <w:tr w14:paraId="78A6C8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pct"/>
            <w:vMerge w:val="continue"/>
            <w:vAlign w:val="center"/>
          </w:tcPr>
          <w:p w14:paraId="122C25FD">
            <w:pPr>
              <w:pStyle w:val="304"/>
              <w:snapToGrid w:val="0"/>
              <w:spacing w:line="240" w:lineRule="auto"/>
              <w:jc w:val="center"/>
              <w:textAlignment w:val="center"/>
              <w:rPr>
                <w:bCs w:val="0"/>
                <w:iCs w:val="0"/>
                <w:snapToGrid/>
                <w:color w:val="auto"/>
                <w:sz w:val="21"/>
                <w:szCs w:val="21"/>
                <w:highlight w:val="none"/>
                <w:u w:val="single"/>
              </w:rPr>
            </w:pPr>
          </w:p>
        </w:tc>
        <w:tc>
          <w:tcPr>
            <w:tcW w:w="4552" w:type="pct"/>
            <w:gridSpan w:val="2"/>
            <w:vAlign w:val="center"/>
          </w:tcPr>
          <w:p w14:paraId="42BA1AE6">
            <w:pPr>
              <w:pStyle w:val="304"/>
              <w:snapToGrid w:val="0"/>
              <w:spacing w:line="240" w:lineRule="auto"/>
              <w:jc w:val="left"/>
              <w:textAlignment w:val="center"/>
              <w:rPr>
                <w:bCs w:val="0"/>
                <w:iCs w:val="0"/>
                <w:snapToGrid/>
                <w:color w:val="auto"/>
                <w:sz w:val="21"/>
                <w:szCs w:val="21"/>
                <w:highlight w:val="none"/>
                <w:u w:val="single"/>
              </w:rPr>
            </w:pPr>
            <w:r>
              <w:rPr>
                <w:bCs w:val="0"/>
                <w:iCs w:val="0"/>
                <w:snapToGrid/>
                <w:color w:val="auto"/>
                <w:sz w:val="21"/>
                <w:szCs w:val="21"/>
                <w:highlight w:val="none"/>
                <w:u w:val="single"/>
              </w:rPr>
              <w:t>食 入：饮足量温水，催吐。就医。</w:t>
            </w:r>
          </w:p>
        </w:tc>
      </w:tr>
      <w:tr w14:paraId="6B2BA0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pct"/>
            <w:vMerge w:val="restart"/>
            <w:vAlign w:val="center"/>
          </w:tcPr>
          <w:p w14:paraId="31550359">
            <w:pPr>
              <w:pStyle w:val="304"/>
              <w:snapToGrid w:val="0"/>
              <w:spacing w:line="240" w:lineRule="auto"/>
              <w:jc w:val="center"/>
              <w:textAlignment w:val="center"/>
              <w:rPr>
                <w:bCs w:val="0"/>
                <w:iCs w:val="0"/>
                <w:snapToGrid/>
                <w:color w:val="auto"/>
                <w:sz w:val="21"/>
                <w:szCs w:val="21"/>
                <w:highlight w:val="none"/>
                <w:u w:val="single"/>
              </w:rPr>
            </w:pPr>
            <w:r>
              <w:rPr>
                <w:bCs w:val="0"/>
                <w:iCs w:val="0"/>
                <w:snapToGrid/>
                <w:color w:val="auto"/>
                <w:sz w:val="21"/>
                <w:szCs w:val="21"/>
                <w:highlight w:val="none"/>
                <w:u w:val="single"/>
              </w:rPr>
              <w:t>防护</w:t>
            </w:r>
          </w:p>
          <w:p w14:paraId="256E2D66">
            <w:pPr>
              <w:pStyle w:val="304"/>
              <w:snapToGrid w:val="0"/>
              <w:spacing w:line="240" w:lineRule="auto"/>
              <w:jc w:val="center"/>
              <w:textAlignment w:val="center"/>
              <w:rPr>
                <w:bCs w:val="0"/>
                <w:iCs w:val="0"/>
                <w:snapToGrid/>
                <w:color w:val="auto"/>
                <w:sz w:val="21"/>
                <w:szCs w:val="21"/>
                <w:highlight w:val="none"/>
                <w:u w:val="single"/>
              </w:rPr>
            </w:pPr>
            <w:r>
              <w:rPr>
                <w:bCs w:val="0"/>
                <w:iCs w:val="0"/>
                <w:snapToGrid/>
                <w:color w:val="auto"/>
                <w:sz w:val="21"/>
                <w:szCs w:val="21"/>
                <w:highlight w:val="none"/>
                <w:u w:val="single"/>
              </w:rPr>
              <w:t>措施</w:t>
            </w:r>
          </w:p>
        </w:tc>
        <w:tc>
          <w:tcPr>
            <w:tcW w:w="4552" w:type="pct"/>
            <w:gridSpan w:val="2"/>
            <w:vAlign w:val="center"/>
          </w:tcPr>
          <w:p w14:paraId="0ED06126">
            <w:pPr>
              <w:pStyle w:val="304"/>
              <w:snapToGrid w:val="0"/>
              <w:spacing w:line="240" w:lineRule="auto"/>
              <w:jc w:val="left"/>
              <w:textAlignment w:val="center"/>
              <w:rPr>
                <w:bCs w:val="0"/>
                <w:iCs w:val="0"/>
                <w:snapToGrid/>
                <w:color w:val="auto"/>
                <w:sz w:val="21"/>
                <w:szCs w:val="21"/>
                <w:highlight w:val="none"/>
                <w:u w:val="single"/>
              </w:rPr>
            </w:pPr>
            <w:r>
              <w:rPr>
                <w:bCs w:val="0"/>
                <w:iCs w:val="0"/>
                <w:snapToGrid/>
                <w:color w:val="auto"/>
                <w:sz w:val="21"/>
                <w:szCs w:val="21"/>
                <w:highlight w:val="none"/>
                <w:u w:val="single"/>
              </w:rPr>
              <w:t>工程控制：提供良好的自然通风条件，地面采用防渗漏处理。</w:t>
            </w:r>
          </w:p>
        </w:tc>
      </w:tr>
      <w:tr w14:paraId="38E23A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pct"/>
            <w:vMerge w:val="continue"/>
            <w:vAlign w:val="center"/>
          </w:tcPr>
          <w:p w14:paraId="03A739B6">
            <w:pPr>
              <w:pStyle w:val="304"/>
              <w:snapToGrid w:val="0"/>
              <w:spacing w:line="240" w:lineRule="auto"/>
              <w:jc w:val="center"/>
              <w:textAlignment w:val="center"/>
              <w:rPr>
                <w:bCs w:val="0"/>
                <w:iCs w:val="0"/>
                <w:snapToGrid/>
                <w:color w:val="auto"/>
                <w:sz w:val="21"/>
                <w:szCs w:val="21"/>
                <w:highlight w:val="none"/>
                <w:u w:val="single"/>
              </w:rPr>
            </w:pPr>
          </w:p>
        </w:tc>
        <w:tc>
          <w:tcPr>
            <w:tcW w:w="4552" w:type="pct"/>
            <w:gridSpan w:val="2"/>
            <w:vAlign w:val="center"/>
          </w:tcPr>
          <w:p w14:paraId="415DB6AF">
            <w:pPr>
              <w:pStyle w:val="304"/>
              <w:snapToGrid w:val="0"/>
              <w:spacing w:line="240" w:lineRule="auto"/>
              <w:jc w:val="left"/>
              <w:textAlignment w:val="center"/>
              <w:rPr>
                <w:bCs w:val="0"/>
                <w:iCs w:val="0"/>
                <w:snapToGrid/>
                <w:color w:val="auto"/>
                <w:sz w:val="21"/>
                <w:szCs w:val="21"/>
                <w:highlight w:val="none"/>
                <w:u w:val="single"/>
              </w:rPr>
            </w:pPr>
            <w:r>
              <w:rPr>
                <w:bCs w:val="0"/>
                <w:iCs w:val="0"/>
                <w:snapToGrid/>
                <w:color w:val="auto"/>
                <w:sz w:val="21"/>
                <w:szCs w:val="21"/>
                <w:highlight w:val="none"/>
                <w:u w:val="single"/>
              </w:rPr>
              <w:t>眼睛防护：戴化学安全防护眼镜。</w:t>
            </w:r>
          </w:p>
          <w:p w14:paraId="433640EC">
            <w:pPr>
              <w:pStyle w:val="304"/>
              <w:snapToGrid w:val="0"/>
              <w:spacing w:line="240" w:lineRule="auto"/>
              <w:jc w:val="left"/>
              <w:textAlignment w:val="center"/>
              <w:rPr>
                <w:bCs w:val="0"/>
                <w:iCs w:val="0"/>
                <w:snapToGrid/>
                <w:color w:val="auto"/>
                <w:sz w:val="21"/>
                <w:szCs w:val="21"/>
                <w:highlight w:val="none"/>
                <w:u w:val="single"/>
              </w:rPr>
            </w:pPr>
            <w:r>
              <w:rPr>
                <w:bCs w:val="0"/>
                <w:iCs w:val="0"/>
                <w:snapToGrid/>
                <w:color w:val="auto"/>
                <w:sz w:val="21"/>
                <w:szCs w:val="21"/>
                <w:highlight w:val="none"/>
                <w:u w:val="single"/>
              </w:rPr>
              <w:t>手防护：戴橡胶耐油手套。</w:t>
            </w:r>
          </w:p>
          <w:p w14:paraId="1365866A">
            <w:pPr>
              <w:pStyle w:val="304"/>
              <w:snapToGrid w:val="0"/>
              <w:spacing w:line="240" w:lineRule="auto"/>
              <w:jc w:val="left"/>
              <w:textAlignment w:val="center"/>
              <w:rPr>
                <w:bCs w:val="0"/>
                <w:iCs w:val="0"/>
                <w:snapToGrid/>
                <w:color w:val="auto"/>
                <w:sz w:val="21"/>
                <w:szCs w:val="21"/>
                <w:highlight w:val="none"/>
                <w:u w:val="single"/>
              </w:rPr>
            </w:pPr>
            <w:r>
              <w:rPr>
                <w:rFonts w:hint="eastAsia"/>
                <w:bCs w:val="0"/>
                <w:iCs w:val="0"/>
                <w:snapToGrid/>
                <w:color w:val="auto"/>
                <w:sz w:val="21"/>
                <w:szCs w:val="21"/>
                <w:highlight w:val="none"/>
                <w:u w:val="single"/>
                <w:lang w:eastAsia="zh-CN"/>
              </w:rPr>
              <w:t>其他</w:t>
            </w:r>
            <w:r>
              <w:rPr>
                <w:bCs w:val="0"/>
                <w:iCs w:val="0"/>
                <w:snapToGrid/>
                <w:color w:val="auto"/>
                <w:sz w:val="21"/>
                <w:szCs w:val="21"/>
                <w:highlight w:val="none"/>
                <w:u w:val="single"/>
              </w:rPr>
              <w:t>防护：工作现场严禁吸烟。</w:t>
            </w:r>
          </w:p>
        </w:tc>
      </w:tr>
      <w:tr w14:paraId="6E1D5B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pct"/>
            <w:vAlign w:val="center"/>
          </w:tcPr>
          <w:p w14:paraId="59E9DCA4">
            <w:pPr>
              <w:pStyle w:val="304"/>
              <w:snapToGrid w:val="0"/>
              <w:spacing w:line="240" w:lineRule="auto"/>
              <w:jc w:val="center"/>
              <w:textAlignment w:val="center"/>
              <w:rPr>
                <w:bCs w:val="0"/>
                <w:iCs w:val="0"/>
                <w:snapToGrid/>
                <w:color w:val="auto"/>
                <w:sz w:val="21"/>
                <w:szCs w:val="21"/>
                <w:highlight w:val="none"/>
                <w:u w:val="single"/>
              </w:rPr>
            </w:pPr>
            <w:r>
              <w:rPr>
                <w:bCs w:val="0"/>
                <w:iCs w:val="0"/>
                <w:snapToGrid/>
                <w:color w:val="auto"/>
                <w:sz w:val="21"/>
                <w:szCs w:val="21"/>
                <w:highlight w:val="none"/>
                <w:u w:val="single"/>
              </w:rPr>
              <w:t>泄漏</w:t>
            </w:r>
          </w:p>
          <w:p w14:paraId="7BC2719E">
            <w:pPr>
              <w:pStyle w:val="304"/>
              <w:snapToGrid w:val="0"/>
              <w:spacing w:line="240" w:lineRule="auto"/>
              <w:jc w:val="center"/>
              <w:textAlignment w:val="center"/>
              <w:rPr>
                <w:bCs w:val="0"/>
                <w:iCs w:val="0"/>
                <w:snapToGrid/>
                <w:color w:val="auto"/>
                <w:sz w:val="21"/>
                <w:szCs w:val="21"/>
                <w:highlight w:val="none"/>
                <w:u w:val="single"/>
              </w:rPr>
            </w:pPr>
            <w:r>
              <w:rPr>
                <w:bCs w:val="0"/>
                <w:iCs w:val="0"/>
                <w:snapToGrid/>
                <w:color w:val="auto"/>
                <w:sz w:val="21"/>
                <w:szCs w:val="21"/>
                <w:highlight w:val="none"/>
                <w:u w:val="single"/>
              </w:rPr>
              <w:t>处理</w:t>
            </w:r>
          </w:p>
        </w:tc>
        <w:tc>
          <w:tcPr>
            <w:tcW w:w="4552" w:type="pct"/>
            <w:gridSpan w:val="2"/>
            <w:vAlign w:val="center"/>
          </w:tcPr>
          <w:p w14:paraId="6D8DA5C5">
            <w:pPr>
              <w:pStyle w:val="304"/>
              <w:snapToGrid w:val="0"/>
              <w:spacing w:line="240" w:lineRule="auto"/>
              <w:jc w:val="left"/>
              <w:textAlignment w:val="center"/>
              <w:rPr>
                <w:bCs w:val="0"/>
                <w:iCs w:val="0"/>
                <w:snapToGrid/>
                <w:color w:val="auto"/>
                <w:sz w:val="21"/>
                <w:szCs w:val="21"/>
                <w:highlight w:val="none"/>
                <w:u w:val="single"/>
              </w:rPr>
            </w:pPr>
            <w:r>
              <w:rPr>
                <w:bCs w:val="0"/>
                <w:iCs w:val="0"/>
                <w:snapToGrid/>
                <w:color w:val="auto"/>
                <w:sz w:val="21"/>
                <w:szCs w:val="21"/>
                <w:highlight w:val="none"/>
                <w:u w:val="single"/>
              </w:rPr>
              <w:t>应急处置：迅速撤离泄漏污染区人员至安全区，并进行隔离，严格限制出入。切断火源。建议应急处理人员戴自给正压式呼吸器，穿防毒服。尽可能切断泄漏源。防止流入下水道、排洪沟等限制性空间。</w:t>
            </w:r>
          </w:p>
        </w:tc>
      </w:tr>
    </w:tbl>
    <w:p w14:paraId="7751A420">
      <w:pPr>
        <w:pStyle w:val="533"/>
        <w:numPr>
          <w:ilvl w:val="3"/>
          <w:numId w:val="9"/>
        </w:numPr>
        <w:rPr>
          <w:color w:val="auto"/>
          <w:szCs w:val="24"/>
          <w:highlight w:val="none"/>
        </w:rPr>
      </w:pPr>
      <w:r>
        <w:rPr>
          <w:color w:val="auto"/>
          <w:szCs w:val="24"/>
          <w:highlight w:val="none"/>
        </w:rPr>
        <w:t>风险类型识别</w:t>
      </w:r>
    </w:p>
    <w:p w14:paraId="12126214">
      <w:pPr>
        <w:ind w:firstLine="480"/>
        <w:rPr>
          <w:color w:val="auto"/>
          <w:highlight w:val="none"/>
          <w:u w:val="single"/>
        </w:rPr>
      </w:pPr>
      <w:r>
        <w:rPr>
          <w:color w:val="auto"/>
          <w:highlight w:val="none"/>
          <w:u w:val="single"/>
        </w:rPr>
        <w:t>项目风险源主要为作业船舶发生油料</w:t>
      </w:r>
      <w:r>
        <w:rPr>
          <w:rFonts w:hint="eastAsia"/>
          <w:color w:val="auto"/>
          <w:highlight w:val="none"/>
          <w:u w:val="single"/>
          <w:lang w:eastAsia="zh-CN"/>
        </w:rPr>
        <w:t>泄漏</w:t>
      </w:r>
      <w:r>
        <w:rPr>
          <w:rFonts w:hint="eastAsia"/>
          <w:color w:val="auto"/>
          <w:highlight w:val="none"/>
          <w:u w:val="single"/>
        </w:rPr>
        <w:t>及危废暂存库废油</w:t>
      </w:r>
      <w:r>
        <w:rPr>
          <w:rFonts w:hint="eastAsia"/>
          <w:color w:val="auto"/>
          <w:highlight w:val="none"/>
          <w:u w:val="single"/>
          <w:lang w:eastAsia="zh-CN"/>
        </w:rPr>
        <w:t>泄漏</w:t>
      </w:r>
      <w:r>
        <w:rPr>
          <w:color w:val="auto"/>
          <w:highlight w:val="none"/>
          <w:u w:val="single"/>
        </w:rPr>
        <w:t>，污染海洋环境，根据本项目特点，油料</w:t>
      </w:r>
      <w:r>
        <w:rPr>
          <w:rFonts w:hint="eastAsia"/>
          <w:color w:val="auto"/>
          <w:highlight w:val="none"/>
          <w:u w:val="single"/>
          <w:lang w:eastAsia="zh-CN"/>
        </w:rPr>
        <w:t>泄漏</w:t>
      </w:r>
      <w:r>
        <w:rPr>
          <w:color w:val="auto"/>
          <w:highlight w:val="none"/>
          <w:u w:val="single"/>
        </w:rPr>
        <w:t>最有可能来自船舶自身故障，即维修船舶油舱破损或管线故障发生油品泄漏</w:t>
      </w:r>
      <w:r>
        <w:rPr>
          <w:rFonts w:hint="eastAsia"/>
          <w:color w:val="auto"/>
          <w:highlight w:val="none"/>
          <w:u w:val="single"/>
        </w:rPr>
        <w:t>；危废暂存库废油</w:t>
      </w:r>
      <w:r>
        <w:rPr>
          <w:rFonts w:hint="eastAsia"/>
          <w:color w:val="auto"/>
          <w:highlight w:val="none"/>
          <w:u w:val="single"/>
          <w:lang w:eastAsia="zh-CN"/>
        </w:rPr>
        <w:t>泄漏</w:t>
      </w:r>
      <w:r>
        <w:rPr>
          <w:rFonts w:hint="eastAsia"/>
          <w:color w:val="auto"/>
          <w:highlight w:val="none"/>
          <w:u w:val="single"/>
        </w:rPr>
        <w:t>最有可能来自废油桶破损发生</w:t>
      </w:r>
      <w:r>
        <w:rPr>
          <w:rFonts w:hint="eastAsia"/>
          <w:color w:val="auto"/>
          <w:highlight w:val="none"/>
          <w:u w:val="single"/>
          <w:lang w:eastAsia="zh-CN"/>
        </w:rPr>
        <w:t>泄漏</w:t>
      </w:r>
      <w:r>
        <w:rPr>
          <w:rFonts w:hint="eastAsia"/>
          <w:color w:val="auto"/>
          <w:highlight w:val="none"/>
          <w:u w:val="single"/>
        </w:rPr>
        <w:t>，或地面防渗层破损，废油渗漏进入地下；此外，燃料油或废油发生</w:t>
      </w:r>
      <w:r>
        <w:rPr>
          <w:rFonts w:hint="eastAsia"/>
          <w:color w:val="auto"/>
          <w:highlight w:val="none"/>
          <w:u w:val="single"/>
          <w:lang w:eastAsia="zh-CN"/>
        </w:rPr>
        <w:t>泄漏</w:t>
      </w:r>
      <w:r>
        <w:rPr>
          <w:rFonts w:hint="eastAsia"/>
          <w:color w:val="auto"/>
          <w:highlight w:val="none"/>
          <w:u w:val="single"/>
        </w:rPr>
        <w:t>事故时，均</w:t>
      </w:r>
      <w:r>
        <w:rPr>
          <w:color w:val="auto"/>
          <w:highlight w:val="none"/>
          <w:u w:val="single"/>
        </w:rPr>
        <w:t>可能发生火灾、爆炸</w:t>
      </w:r>
      <w:r>
        <w:rPr>
          <w:rFonts w:hint="eastAsia"/>
          <w:color w:val="auto"/>
          <w:highlight w:val="none"/>
          <w:u w:val="single"/>
        </w:rPr>
        <w:t>事故，</w:t>
      </w:r>
      <w:r>
        <w:rPr>
          <w:color w:val="auto"/>
          <w:highlight w:val="none"/>
          <w:u w:val="single"/>
        </w:rPr>
        <w:t>引发伴生/次生污染物排放风险。</w:t>
      </w:r>
    </w:p>
    <w:p w14:paraId="664955E1">
      <w:pPr>
        <w:pStyle w:val="533"/>
        <w:numPr>
          <w:ilvl w:val="3"/>
          <w:numId w:val="9"/>
        </w:numPr>
        <w:rPr>
          <w:color w:val="auto"/>
          <w:szCs w:val="24"/>
          <w:highlight w:val="none"/>
        </w:rPr>
      </w:pPr>
      <w:r>
        <w:rPr>
          <w:color w:val="auto"/>
          <w:szCs w:val="24"/>
          <w:highlight w:val="none"/>
        </w:rPr>
        <w:t>影响途径</w:t>
      </w:r>
    </w:p>
    <w:p w14:paraId="267096EB">
      <w:pPr>
        <w:pStyle w:val="26"/>
        <w:ind w:firstLine="480"/>
        <w:rPr>
          <w:rFonts w:ascii="Times New Roman" w:hAnsi="Times New Roman"/>
          <w:color w:val="auto"/>
          <w:highlight w:val="none"/>
        </w:rPr>
      </w:pPr>
      <w:r>
        <w:rPr>
          <w:rFonts w:ascii="Times New Roman" w:hAnsi="Times New Roman"/>
          <w:color w:val="auto"/>
          <w:highlight w:val="none"/>
          <w:u w:val="single"/>
        </w:rPr>
        <w:t>船舶油舱油料泄漏会直接进入海水，油膜通过扩散会对海域产生影响</w:t>
      </w:r>
      <w:r>
        <w:rPr>
          <w:rFonts w:hint="eastAsia" w:ascii="Times New Roman" w:hAnsi="Times New Roman"/>
          <w:color w:val="auto"/>
          <w:highlight w:val="none"/>
          <w:u w:val="single"/>
        </w:rPr>
        <w:t>；危废暂存库废油</w:t>
      </w:r>
      <w:r>
        <w:rPr>
          <w:rFonts w:hint="eastAsia" w:ascii="Times New Roman" w:hAnsi="Times New Roman"/>
          <w:color w:val="auto"/>
          <w:highlight w:val="none"/>
          <w:u w:val="single"/>
          <w:lang w:eastAsia="zh-CN"/>
        </w:rPr>
        <w:t>泄漏</w:t>
      </w:r>
      <w:r>
        <w:rPr>
          <w:rFonts w:hint="eastAsia" w:ascii="Times New Roman" w:hAnsi="Times New Roman"/>
          <w:color w:val="auto"/>
          <w:highlight w:val="none"/>
          <w:u w:val="single"/>
        </w:rPr>
        <w:t>进入厂区雨水管网，通过雨水排放口进入海水对海域产生影响，或发生渗漏进入地下，由于项目区域为填海区，最终会进入海域造成污染</w:t>
      </w:r>
      <w:r>
        <w:rPr>
          <w:rFonts w:ascii="Times New Roman" w:hAnsi="Times New Roman"/>
          <w:color w:val="auto"/>
          <w:highlight w:val="none"/>
          <w:u w:val="single"/>
        </w:rPr>
        <w:t>。</w:t>
      </w:r>
      <w:r>
        <w:rPr>
          <w:rFonts w:ascii="Times New Roman" w:hAnsi="Times New Roman"/>
          <w:color w:val="auto"/>
          <w:highlight w:val="none"/>
        </w:rPr>
        <w:t>油品多属于易燃性物质，同时又有易蒸发的特点，挥发后与空气形成可燃性混合物，当混合物浓度达到一定比例时，遇到火种就可能燃烧或爆炸，会对周围大气产生一定的影响，同时若火灾不及时控制扩散或者扑灭，</w:t>
      </w:r>
      <w:r>
        <w:rPr>
          <w:rFonts w:hint="eastAsia" w:ascii="Times New Roman" w:hAnsi="Times New Roman"/>
          <w:color w:val="auto"/>
          <w:highlight w:val="none"/>
          <w:lang w:eastAsia="zh-CN"/>
        </w:rPr>
        <w:t>一旦</w:t>
      </w:r>
      <w:r>
        <w:rPr>
          <w:rFonts w:ascii="Times New Roman" w:hAnsi="Times New Roman"/>
          <w:color w:val="auto"/>
          <w:highlight w:val="none"/>
        </w:rPr>
        <w:t>蔓延到周边会对周边环境产生巨大的影响。</w:t>
      </w:r>
    </w:p>
    <w:p w14:paraId="485A8AB7">
      <w:pPr>
        <w:ind w:firstLine="480"/>
        <w:rPr>
          <w:color w:val="auto"/>
          <w:highlight w:val="none"/>
        </w:rPr>
      </w:pPr>
      <w:r>
        <w:rPr>
          <w:color w:val="auto"/>
          <w:highlight w:val="none"/>
        </w:rPr>
        <w:t>油品入海后主要漂浮于海面，短期内少量进入水体，其环境影响主要是隔绝了水体和空气之间的正常水气交换，限制了日光向水体的透入，使水质和水体自净能力功能变差，破坏水生生态系统的光合作用及其物质和能量流，对于海洋动物的生理功能均有很大伤害；随着溢出物在海面的漂移扩散，溶解或分散于水体中的溢出物量会逐渐增多，其环境影响主要体现在污染水质并毒害水生生物，造成海洋生态和海岸滩涂的环境变化。油品</w:t>
      </w:r>
      <w:r>
        <w:rPr>
          <w:rFonts w:hint="eastAsia"/>
          <w:color w:val="auto"/>
          <w:highlight w:val="none"/>
          <w:lang w:eastAsia="zh-CN"/>
        </w:rPr>
        <w:t>泄漏</w:t>
      </w:r>
      <w:r>
        <w:rPr>
          <w:color w:val="auto"/>
          <w:highlight w:val="none"/>
        </w:rPr>
        <w:t>后发生火灾、爆炸事故，产生废气，对区域大气环境造成污染，消防废水事故排放，对区域水环境造成污染</w:t>
      </w:r>
    </w:p>
    <w:p w14:paraId="5488640C">
      <w:pPr>
        <w:pStyle w:val="7"/>
        <w:numPr>
          <w:ilvl w:val="2"/>
          <w:numId w:val="9"/>
        </w:numPr>
        <w:rPr>
          <w:color w:val="auto"/>
          <w:sz w:val="28"/>
          <w:highlight w:val="none"/>
        </w:rPr>
      </w:pPr>
      <w:bookmarkStart w:id="214" w:name="_Toc195084824"/>
      <w:r>
        <w:rPr>
          <w:color w:val="auto"/>
          <w:sz w:val="28"/>
          <w:highlight w:val="none"/>
        </w:rPr>
        <w:t>环境风险分析与评价</w:t>
      </w:r>
      <w:bookmarkEnd w:id="214"/>
    </w:p>
    <w:p w14:paraId="0F730AD6">
      <w:pPr>
        <w:pStyle w:val="533"/>
        <w:numPr>
          <w:ilvl w:val="3"/>
          <w:numId w:val="9"/>
        </w:numPr>
        <w:rPr>
          <w:color w:val="auto"/>
          <w:szCs w:val="24"/>
          <w:highlight w:val="none"/>
        </w:rPr>
      </w:pPr>
      <w:r>
        <w:rPr>
          <w:color w:val="auto"/>
          <w:szCs w:val="24"/>
          <w:highlight w:val="none"/>
        </w:rPr>
        <w:t>溢油环境风险分析</w:t>
      </w:r>
    </w:p>
    <w:p w14:paraId="4B736B7D">
      <w:pPr>
        <w:ind w:firstLine="480"/>
        <w:rPr>
          <w:color w:val="auto"/>
          <w:highlight w:val="none"/>
        </w:rPr>
      </w:pPr>
      <w:r>
        <w:rPr>
          <w:color w:val="auto"/>
          <w:highlight w:val="none"/>
        </w:rPr>
        <w:t>本项目运营后主要进行船舶维修改造，如维修作业不当或船舶油舱本身存在破损，则有可能发生燃料</w:t>
      </w:r>
      <w:r>
        <w:rPr>
          <w:rFonts w:hint="eastAsia"/>
          <w:color w:val="auto"/>
          <w:highlight w:val="none"/>
          <w:lang w:eastAsia="zh-CN"/>
        </w:rPr>
        <w:t>泄漏</w:t>
      </w:r>
      <w:r>
        <w:rPr>
          <w:color w:val="auto"/>
          <w:highlight w:val="none"/>
        </w:rPr>
        <w:t>。溢油发生后，油膜溢出坞坑，在海面上漂浮扩散，阻止海气交换，将对海洋水环境、生态环境和景观造成影响。</w:t>
      </w:r>
    </w:p>
    <w:p w14:paraId="25EF79A5">
      <w:pPr>
        <w:ind w:firstLine="480"/>
        <w:rPr>
          <w:color w:val="auto"/>
          <w:highlight w:val="none"/>
        </w:rPr>
      </w:pPr>
      <w:r>
        <w:rPr>
          <w:color w:val="auto"/>
          <w:highlight w:val="none"/>
        </w:rPr>
        <w:t>（1）溢油对海域水质和沉积物环境的影响</w:t>
      </w:r>
    </w:p>
    <w:p w14:paraId="6F1A839C">
      <w:pPr>
        <w:ind w:firstLine="480"/>
        <w:rPr>
          <w:color w:val="auto"/>
          <w:highlight w:val="none"/>
        </w:rPr>
      </w:pPr>
      <w:r>
        <w:rPr>
          <w:color w:val="auto"/>
          <w:highlight w:val="none"/>
        </w:rPr>
        <w:t>受溢油影响的海域，油膜覆盖在海水表面，可溶性组分不断溶于水中，在风浪的冲击下，油膜不断破碎分散，并与水混合成为乳化油，增加了水中的石油浓度。油膜覆盖下，影响海－气之间的交换，致使溶解氧减小，从而影响水的物理化学和生物化学过程。溢油后，石油的重组分可自行沉积，或粘附在悬浮物颗粒中，沉积在沉积物表面。油块可在重力作用下沉降，从而影响沉积物表面物理性质和化学成分。</w:t>
      </w:r>
    </w:p>
    <w:p w14:paraId="6737DB40">
      <w:pPr>
        <w:ind w:firstLine="480"/>
        <w:rPr>
          <w:color w:val="auto"/>
          <w:highlight w:val="none"/>
        </w:rPr>
      </w:pPr>
      <w:r>
        <w:rPr>
          <w:color w:val="auto"/>
          <w:highlight w:val="none"/>
        </w:rPr>
        <w:t>（2）溢油对海洋生态的危害</w:t>
      </w:r>
    </w:p>
    <w:p w14:paraId="64E30F86">
      <w:pPr>
        <w:ind w:firstLine="480"/>
        <w:rPr>
          <w:color w:val="auto"/>
          <w:highlight w:val="none"/>
        </w:rPr>
      </w:pPr>
      <w:r>
        <w:rPr>
          <w:color w:val="auto"/>
          <w:highlight w:val="none"/>
        </w:rPr>
        <w:t>发生溢油时，大部分溢油浮于水面并扩散成油膜，油膜在海面的停留将影响海水与大气之间的物质交流和热交换，使海水中的含氧量、温度等因素发生较大的变化，促使浮游动物窒息死亡，并降低透光率，影响浮游植物的光合作用，从而影响浮游动物、浮游植物、底栖生物及珊瑚礁的生长；而溶解及乳化后的油会对水生生物资源造成一定危害，沉积到底质的油类将对底栖生物造成严重影响。当油污染较轻时，许多海洋生物虽不会立即被伤害，但它们的正常生理功能受到影响，使其捕食能力和生长速度下降，那些对污染抵抗性弱的种类将会减少或消失，从而破坏生态平衡。</w:t>
      </w:r>
    </w:p>
    <w:p w14:paraId="75D76962">
      <w:pPr>
        <w:ind w:firstLine="480"/>
        <w:rPr>
          <w:color w:val="auto"/>
          <w:highlight w:val="none"/>
        </w:rPr>
      </w:pPr>
      <w:r>
        <w:rPr>
          <w:color w:val="auto"/>
          <w:highlight w:val="none"/>
        </w:rPr>
        <w:t>因此，一旦发生事故溢油且处理不及时，将对油膜扫过海域的水生生物资源造成一定影响，主要体现在溢油突发时的急性致死影响及围油、回收油不彻底而产生的长期慢性污染影响。</w:t>
      </w:r>
    </w:p>
    <w:p w14:paraId="63F2CF68">
      <w:pPr>
        <w:ind w:firstLine="480"/>
        <w:rPr>
          <w:color w:val="auto"/>
          <w:highlight w:val="none"/>
        </w:rPr>
      </w:pPr>
      <w:r>
        <w:rPr>
          <w:color w:val="auto"/>
          <w:highlight w:val="none"/>
        </w:rPr>
        <w:t>（3）溢油对渔业生产的影响</w:t>
      </w:r>
    </w:p>
    <w:p w14:paraId="750BBDE4">
      <w:pPr>
        <w:ind w:firstLine="480"/>
        <w:rPr>
          <w:color w:val="auto"/>
          <w:highlight w:val="none"/>
        </w:rPr>
      </w:pPr>
      <w:r>
        <w:rPr>
          <w:color w:val="auto"/>
          <w:highlight w:val="none"/>
        </w:rPr>
        <w:t>溢油事故对渔业资源的中、长期累积影响主要是造成渔业资源种类、数量及组成的改变，从而使渔业长期逐渐减产。</w:t>
      </w:r>
    </w:p>
    <w:p w14:paraId="5E80D05B">
      <w:pPr>
        <w:ind w:firstLine="480"/>
        <w:rPr>
          <w:color w:val="auto"/>
          <w:highlight w:val="none"/>
        </w:rPr>
      </w:pPr>
      <w:r>
        <w:rPr>
          <w:color w:val="auto"/>
          <w:highlight w:val="none"/>
        </w:rPr>
        <w:t>根据对法国布列塔尼发生的AmocoCadiz溢油影响的研究表明，溢油后1年，在2个湾里有几种鱼类的幼体完全消失而其成体的生长则显著减少，并且出现病态及畸变，估计其资源恢复到平衡至少需几年时间；根据对美国马萨诸塞州Buzzards湾发生的佛罗时达号油驳轮溢油的研究发现，溢油后3～4a，大型底栖生物仍没有明显的恢复，而盐沼潮间带的某些蟹类在溢油7a后仍未完全恢复，估计溢油的影响最少持续10a；根据对加利福尼亚州附近发生的一次溢油观察也表明，大多数生物种群在溢油几年后才得到恢复，但水产资源鲍鱼在16a后仍未恢复，而且许多种类也没有达到溢油前的丰度；根据对Chedabucto发生的Arrow号油船溢油的</w:t>
      </w:r>
      <w:r>
        <w:rPr>
          <w:rFonts w:hint="eastAsia"/>
          <w:color w:val="auto"/>
          <w:highlight w:val="none"/>
          <w:lang w:eastAsia="zh-CN"/>
        </w:rPr>
        <w:t>研究</w:t>
      </w:r>
      <w:r>
        <w:rPr>
          <w:color w:val="auto"/>
          <w:highlight w:val="none"/>
        </w:rPr>
        <w:t>表明，溢油后6a，底栖生物的种类多样性仍明显低于对照点，其中软壳蛤的生长率到9a后还比较低；Barry等(1975)曾报道了一次溢油的研究结果，溢油初期潮间带蛤类大量死亡，估计其资源最少要在5～6a后才有明显的恢复；Hiyama(1979)报道了日本SetoInlandSea一次溢油的观察，表明溢油初期沿岸渔业资源曾</w:t>
      </w:r>
      <w:r>
        <w:rPr>
          <w:rFonts w:hint="eastAsia"/>
          <w:color w:val="auto"/>
          <w:highlight w:val="none"/>
          <w:lang w:eastAsia="zh-CN"/>
        </w:rPr>
        <w:t>受到</w:t>
      </w:r>
      <w:r>
        <w:rPr>
          <w:color w:val="auto"/>
          <w:highlight w:val="none"/>
        </w:rPr>
        <w:t>严重损害，但一年后基本恢复正常，其主要归因于采取迅速而有力的恢复工作。</w:t>
      </w:r>
    </w:p>
    <w:p w14:paraId="0EC62F11">
      <w:pPr>
        <w:ind w:firstLine="480"/>
        <w:rPr>
          <w:color w:val="auto"/>
          <w:highlight w:val="none"/>
        </w:rPr>
      </w:pPr>
      <w:r>
        <w:rPr>
          <w:color w:val="auto"/>
          <w:highlight w:val="none"/>
        </w:rPr>
        <w:t>根据上述研究调查，发生溢油事故时，对渔业生产影响较大，这种影响在水域环境中可持续数年至十几年，因溢油规模及溢油地点而异。一般在近岸、河口或盐沼地发生溢油的恢复时间相对要长些。</w:t>
      </w:r>
    </w:p>
    <w:p w14:paraId="64086A41">
      <w:pPr>
        <w:ind w:firstLine="480"/>
        <w:rPr>
          <w:color w:val="auto"/>
          <w:highlight w:val="none"/>
        </w:rPr>
      </w:pPr>
      <w:r>
        <w:rPr>
          <w:color w:val="auto"/>
          <w:highlight w:val="none"/>
        </w:rPr>
        <w:t>（4）溢油对滨海旅游业和红树林资源的影响</w:t>
      </w:r>
    </w:p>
    <w:p w14:paraId="31E1199A">
      <w:pPr>
        <w:ind w:firstLine="480"/>
        <w:rPr>
          <w:color w:val="auto"/>
          <w:highlight w:val="none"/>
        </w:rPr>
      </w:pPr>
      <w:r>
        <w:rPr>
          <w:color w:val="auto"/>
          <w:highlight w:val="none"/>
        </w:rPr>
        <w:t>溢油抵岸后将对红树林资源、岸线直接形成污染危害，造成珊瑚礁及红树林资源受损，影响了所在地的旅游业及居民正常的生产生活活动，造成较大的经济损失和较坏的社会影响。</w:t>
      </w:r>
    </w:p>
    <w:p w14:paraId="23A0088E">
      <w:pPr>
        <w:ind w:firstLine="480"/>
        <w:rPr>
          <w:color w:val="auto"/>
          <w:highlight w:val="none"/>
        </w:rPr>
      </w:pPr>
      <w:r>
        <w:rPr>
          <w:color w:val="auto"/>
          <w:highlight w:val="none"/>
        </w:rPr>
        <w:t>（5）风险分析</w:t>
      </w:r>
    </w:p>
    <w:p w14:paraId="4D7500BC">
      <w:pPr>
        <w:ind w:firstLine="480"/>
        <w:rPr>
          <w:color w:val="auto"/>
          <w:highlight w:val="none"/>
        </w:rPr>
      </w:pPr>
      <w:r>
        <w:rPr>
          <w:color w:val="auto"/>
          <w:highlight w:val="none"/>
        </w:rPr>
        <w:t>综上，溢油对海洋造成的污染是严重而持久的，溢油在海面上漂移的时间越长，扫海面积越大，其对海洋环境的破坏就越大。项目危险船舶进坞后由海事局有关人员对被修船舶进行勘验，待被修船舶的废油、油污水清理达标后再进行修理，如若需要对油舱部位进行修理，各船厂均需委托经海事局认可的专业清舱公司清除油舱内所有残油及油渣并对油舱进行清洗，清洗出来的残油和油渣由清仓公司运走，通过上述措施，已大幅度降低油舱破损发生溢油事故的概率，同时，要求船舶维修人员严格按照维修章程作业，降低人为事故的概率，采取上述措施，项目溢油事故概率较小。</w:t>
      </w:r>
    </w:p>
    <w:p w14:paraId="1CA9FB46">
      <w:pPr>
        <w:ind w:firstLine="480"/>
        <w:rPr>
          <w:color w:val="auto"/>
          <w:highlight w:val="none"/>
        </w:rPr>
      </w:pPr>
      <w:r>
        <w:rPr>
          <w:color w:val="auto"/>
          <w:highlight w:val="none"/>
        </w:rPr>
        <w:t>本项目船舶位于坞坑内，发生事故时及时采取应急措施，最大限度地减少溢油污染对海洋环境的影响，控制和减轻溢油事故所造成的损害程度的进一步扩散的最合理时间是在溢油发生后1h内采用必要的消油或围油措施防止油膜范围扩大，影响范围可控制在局部范围，对沙滩、岸线及附近的红树林等影响较小，对周边渔业区及旅游区影响较小。</w:t>
      </w:r>
    </w:p>
    <w:p w14:paraId="40197124">
      <w:pPr>
        <w:pStyle w:val="26"/>
        <w:ind w:firstLine="480"/>
        <w:rPr>
          <w:rFonts w:ascii="Times New Roman" w:hAnsi="Times New Roman"/>
          <w:color w:val="auto"/>
          <w:highlight w:val="none"/>
        </w:rPr>
      </w:pPr>
      <w:r>
        <w:rPr>
          <w:rFonts w:ascii="Times New Roman" w:hAnsi="Times New Roman"/>
          <w:color w:val="auto"/>
          <w:highlight w:val="none"/>
        </w:rPr>
        <w:t>本项目位于中船钦州修船资源整合项目内，该项目已建成运营，并配备了海上溢油拦截、回收设施，进行拦截、回收，可消除和减缓溢油的损害，</w:t>
      </w:r>
      <w:r>
        <w:rPr>
          <w:rFonts w:hint="eastAsia" w:ascii="Times New Roman" w:hAnsi="Times New Roman"/>
          <w:color w:val="auto"/>
          <w:highlight w:val="none"/>
        </w:rPr>
        <w:t>主要配备了围油栏、应急卸载泵、收油机、轻便储油罐、油拖网、消油剂、分散剂喷洒装置、吸油毡、吸油拖栏</w:t>
      </w:r>
      <w:r>
        <w:rPr>
          <w:rFonts w:hint="eastAsia"/>
          <w:color w:val="auto"/>
          <w:highlight w:val="none"/>
        </w:rPr>
        <w:t>。</w:t>
      </w:r>
      <w:r>
        <w:rPr>
          <w:rFonts w:ascii="Times New Roman" w:hAnsi="Times New Roman"/>
          <w:color w:val="auto"/>
          <w:highlight w:val="none"/>
        </w:rPr>
        <w:t>只要应急措施采取得及时、联合附近溢油应急物资，溢油事故风险较小</w:t>
      </w:r>
      <w:r>
        <w:rPr>
          <w:rFonts w:hint="eastAsia" w:ascii="Times New Roman" w:hAnsi="Times New Roman"/>
          <w:color w:val="auto"/>
          <w:highlight w:val="none"/>
        </w:rPr>
        <w:t>。</w:t>
      </w:r>
    </w:p>
    <w:p w14:paraId="2B163B36">
      <w:pPr>
        <w:pStyle w:val="533"/>
        <w:numPr>
          <w:ilvl w:val="3"/>
          <w:numId w:val="9"/>
        </w:numPr>
        <w:rPr>
          <w:color w:val="auto"/>
          <w:szCs w:val="24"/>
          <w:highlight w:val="none"/>
          <w:u w:val="single"/>
        </w:rPr>
      </w:pPr>
      <w:r>
        <w:rPr>
          <w:rFonts w:hint="eastAsia"/>
          <w:color w:val="auto"/>
          <w:szCs w:val="24"/>
          <w:highlight w:val="none"/>
          <w:u w:val="single"/>
        </w:rPr>
        <w:t>废油</w:t>
      </w:r>
      <w:r>
        <w:rPr>
          <w:rFonts w:hint="eastAsia"/>
          <w:color w:val="auto"/>
          <w:szCs w:val="24"/>
          <w:highlight w:val="none"/>
          <w:u w:val="single"/>
          <w:lang w:eastAsia="zh-CN"/>
        </w:rPr>
        <w:t>泄漏</w:t>
      </w:r>
      <w:r>
        <w:rPr>
          <w:color w:val="auto"/>
          <w:szCs w:val="24"/>
          <w:highlight w:val="none"/>
          <w:u w:val="single"/>
        </w:rPr>
        <w:t>环境风险分析</w:t>
      </w:r>
    </w:p>
    <w:p w14:paraId="0EEA44E3">
      <w:pPr>
        <w:pStyle w:val="26"/>
        <w:ind w:firstLine="480"/>
        <w:rPr>
          <w:rFonts w:ascii="Times New Roman" w:hAnsi="Times New Roman"/>
          <w:color w:val="auto"/>
          <w:highlight w:val="none"/>
          <w:u w:val="single"/>
        </w:rPr>
      </w:pPr>
      <w:r>
        <w:rPr>
          <w:rFonts w:hint="eastAsia" w:ascii="Times New Roman" w:hAnsi="Times New Roman"/>
          <w:color w:val="auto"/>
          <w:highlight w:val="none"/>
          <w:u w:val="single"/>
        </w:rPr>
        <w:t>项目产生的废矿物油依托厂区现有危废暂存库暂存，</w:t>
      </w:r>
      <w:r>
        <w:rPr>
          <w:rFonts w:ascii="Times New Roman"/>
          <w:color w:val="auto"/>
          <w:highlight w:val="none"/>
          <w:u w:val="single"/>
        </w:rPr>
        <w:t>危险废物暂存间已按《危险废物贮存污染控制标准》（GB18597-2023）规范建设，并于2017年通过验收，危废暂存间已做好防雨、防风、防渗漏、防流失措施，</w:t>
      </w:r>
      <w:r>
        <w:rPr>
          <w:rFonts w:hint="eastAsia" w:ascii="Times New Roman"/>
          <w:color w:val="auto"/>
          <w:highlight w:val="none"/>
          <w:u w:val="single"/>
        </w:rPr>
        <w:t>正常情况下库门关闭，库内设置导流沟及收集池，如发生</w:t>
      </w:r>
      <w:r>
        <w:rPr>
          <w:rFonts w:hint="eastAsia" w:ascii="Times New Roman"/>
          <w:color w:val="auto"/>
          <w:highlight w:val="none"/>
          <w:u w:val="single"/>
          <w:lang w:eastAsia="zh-CN"/>
        </w:rPr>
        <w:t>泄漏</w:t>
      </w:r>
      <w:r>
        <w:rPr>
          <w:rFonts w:hint="eastAsia" w:ascii="Times New Roman"/>
          <w:color w:val="auto"/>
          <w:highlight w:val="none"/>
          <w:u w:val="single"/>
        </w:rPr>
        <w:t>，可有效收集，且入口设置挡坎，可将废油阻隔在库房内</w:t>
      </w:r>
      <w:r>
        <w:rPr>
          <w:rFonts w:hint="eastAsia" w:ascii="Times New Roman" w:hAnsi="Times New Roman"/>
          <w:color w:val="auto"/>
          <w:highlight w:val="none"/>
          <w:u w:val="single"/>
        </w:rPr>
        <w:t>，本项目废机油（矿物油）沸点约250~400℃，泄漏后不易产生挥发性有机气体。项目废油产生量较小，委托有资质单位处置，贮存期不超过一年，贮存量较小，环境风险较小。</w:t>
      </w:r>
    </w:p>
    <w:p w14:paraId="4C6169C4">
      <w:pPr>
        <w:pStyle w:val="533"/>
        <w:numPr>
          <w:ilvl w:val="3"/>
          <w:numId w:val="9"/>
        </w:numPr>
        <w:rPr>
          <w:color w:val="auto"/>
          <w:szCs w:val="24"/>
          <w:highlight w:val="none"/>
          <w:u w:val="single"/>
        </w:rPr>
      </w:pPr>
      <w:r>
        <w:rPr>
          <w:color w:val="auto"/>
          <w:szCs w:val="24"/>
          <w:highlight w:val="none"/>
          <w:u w:val="single"/>
        </w:rPr>
        <w:t>火灾爆炸次生伴生环境影响分析</w:t>
      </w:r>
    </w:p>
    <w:p w14:paraId="502371F9">
      <w:pPr>
        <w:ind w:firstLine="480"/>
        <w:rPr>
          <w:color w:val="auto"/>
          <w:highlight w:val="none"/>
          <w:u w:val="single"/>
        </w:rPr>
      </w:pPr>
      <w:r>
        <w:rPr>
          <w:color w:val="auto"/>
          <w:highlight w:val="none"/>
          <w:u w:val="single"/>
        </w:rPr>
        <w:t>发生</w:t>
      </w:r>
      <w:r>
        <w:rPr>
          <w:rFonts w:hint="eastAsia"/>
          <w:color w:val="auto"/>
          <w:highlight w:val="none"/>
          <w:u w:val="single"/>
        </w:rPr>
        <w:t>燃料油、废油</w:t>
      </w:r>
      <w:r>
        <w:rPr>
          <w:rFonts w:hint="eastAsia"/>
          <w:color w:val="auto"/>
          <w:highlight w:val="none"/>
          <w:u w:val="single"/>
          <w:lang w:eastAsia="zh-CN"/>
        </w:rPr>
        <w:t>泄漏</w:t>
      </w:r>
      <w:r>
        <w:rPr>
          <w:color w:val="auto"/>
          <w:highlight w:val="none"/>
          <w:u w:val="single"/>
        </w:rPr>
        <w:t>后，如遇明火，可能引发火灾、爆炸事故，火灾、爆炸事故后可能产生伴生、次生污染物，可能产生的伴生/次生污染主要为消防水、消防土、废气，本次污染分析主要考虑爆炸事故引发的大气污染和水环境污染。</w:t>
      </w:r>
    </w:p>
    <w:p w14:paraId="7AD83B44">
      <w:pPr>
        <w:topLinePunct w:val="0"/>
        <w:adjustRightInd/>
        <w:snapToGrid/>
        <w:ind w:left="480" w:firstLine="0" w:firstLineChars="0"/>
        <w:rPr>
          <w:color w:val="auto"/>
          <w:highlight w:val="none"/>
          <w:u w:val="single"/>
        </w:rPr>
      </w:pPr>
      <w:r>
        <w:rPr>
          <w:rFonts w:hint="eastAsia"/>
          <w:color w:val="auto"/>
          <w:highlight w:val="none"/>
          <w:u w:val="single"/>
        </w:rPr>
        <w:t>（1）</w:t>
      </w:r>
      <w:r>
        <w:rPr>
          <w:color w:val="auto"/>
          <w:highlight w:val="none"/>
          <w:u w:val="single"/>
        </w:rPr>
        <w:t>大气污染影响分析</w:t>
      </w:r>
    </w:p>
    <w:p w14:paraId="5466896D">
      <w:pPr>
        <w:ind w:firstLine="480"/>
        <w:rPr>
          <w:color w:val="auto"/>
          <w:highlight w:val="none"/>
          <w:u w:val="single"/>
        </w:rPr>
      </w:pPr>
      <w:r>
        <w:rPr>
          <w:color w:val="auto"/>
          <w:highlight w:val="none"/>
          <w:u w:val="single"/>
        </w:rPr>
        <w:t>爆炸产生的浓烟会以爆炸点为中心在一定范围内降落大量烟尘，爆炸点上空局部气温、气压、能见度等会产生明显的变化，对局部大气环境（包括下风向大气环境）造成较大的短期的影响；对周围环境的影响体现在有毒烟气对周围环境的影响，这种影响一般是短暂的。爆炸时可能产生黑烟、一氧化碳、二氧化碳、有机物等，其烟气对眼睛、呼吸道以及皮肤有一定的刺激性，过度接触可导致反胃，头疼、发寒、发烧、呕吐等症状。因此，一旦发生爆炸事故，应立即组织附近人员，根据当天风向向上风向撤离疏散至安全地带。</w:t>
      </w:r>
    </w:p>
    <w:p w14:paraId="7CB2FFD3">
      <w:pPr>
        <w:topLinePunct w:val="0"/>
        <w:adjustRightInd/>
        <w:snapToGrid/>
        <w:ind w:left="480" w:firstLine="0" w:firstLineChars="0"/>
        <w:rPr>
          <w:color w:val="auto"/>
          <w:highlight w:val="none"/>
          <w:u w:val="single"/>
        </w:rPr>
      </w:pPr>
      <w:r>
        <w:rPr>
          <w:rFonts w:hint="eastAsia"/>
          <w:color w:val="auto"/>
          <w:highlight w:val="none"/>
          <w:u w:val="single"/>
        </w:rPr>
        <w:t>（2）</w:t>
      </w:r>
      <w:r>
        <w:rPr>
          <w:color w:val="auto"/>
          <w:highlight w:val="none"/>
          <w:u w:val="single"/>
        </w:rPr>
        <w:t>水环境影响分析</w:t>
      </w:r>
    </w:p>
    <w:p w14:paraId="7A0D2AB3">
      <w:pPr>
        <w:ind w:firstLine="480"/>
        <w:rPr>
          <w:color w:val="auto"/>
          <w:highlight w:val="none"/>
          <w:u w:val="single"/>
        </w:rPr>
      </w:pPr>
      <w:r>
        <w:rPr>
          <w:color w:val="auto"/>
          <w:highlight w:val="none"/>
          <w:u w:val="single"/>
        </w:rPr>
        <w:t>发生爆炸事故后，消防废水可能会含有COD、石油类等污染物，消防废水直接排放会对区域环境产生一定的影响。为防止本项目发生爆炸事故后造成消防废水二次污染问题，在发生爆炸事故时，消防废水应收集至事故应急池。厂区设置有事故水池，在事故情况下，雨水阀必须保持关闭，严禁消防废水直接通过雨水沟进入地表水体，若事故池容积不够，可通过雨水沟或泵将消防废水引至初期雨水池暂存，避免消防废水在地面漫流，通过地面下渗污染地下水。</w:t>
      </w:r>
    </w:p>
    <w:p w14:paraId="662C0857">
      <w:pPr>
        <w:ind w:firstLine="480"/>
        <w:rPr>
          <w:color w:val="auto"/>
          <w:highlight w:val="none"/>
        </w:rPr>
      </w:pPr>
      <w:r>
        <w:rPr>
          <w:color w:val="auto"/>
          <w:highlight w:val="none"/>
          <w:u w:val="single"/>
        </w:rPr>
        <w:t>在事故结束后，消防废水经处理达标后回用于绿化。若无法处理达标的，则应急池内废水应用防爆泵转移至密闭槽车或专用收集器内外运至有资质的单位处理，严禁直接外排</w:t>
      </w:r>
      <w:r>
        <w:rPr>
          <w:color w:val="auto"/>
          <w:highlight w:val="none"/>
        </w:rPr>
        <w:t>。</w:t>
      </w:r>
    </w:p>
    <w:p w14:paraId="4248E06D">
      <w:pPr>
        <w:pStyle w:val="7"/>
        <w:numPr>
          <w:ilvl w:val="2"/>
          <w:numId w:val="9"/>
        </w:numPr>
        <w:rPr>
          <w:color w:val="auto"/>
          <w:sz w:val="28"/>
          <w:highlight w:val="none"/>
        </w:rPr>
      </w:pPr>
      <w:r>
        <w:rPr>
          <w:color w:val="auto"/>
          <w:sz w:val="28"/>
          <w:highlight w:val="none"/>
        </w:rPr>
        <w:t>环境风险防范措施</w:t>
      </w:r>
    </w:p>
    <w:p w14:paraId="00D681E1">
      <w:pPr>
        <w:pStyle w:val="533"/>
        <w:numPr>
          <w:ilvl w:val="3"/>
          <w:numId w:val="9"/>
        </w:numPr>
        <w:rPr>
          <w:color w:val="auto"/>
          <w:szCs w:val="24"/>
          <w:highlight w:val="none"/>
        </w:rPr>
      </w:pPr>
      <w:r>
        <w:rPr>
          <w:color w:val="auto"/>
          <w:szCs w:val="24"/>
          <w:highlight w:val="none"/>
        </w:rPr>
        <w:t xml:space="preserve">溢油事故防范措施  </w:t>
      </w:r>
    </w:p>
    <w:p w14:paraId="404144C5">
      <w:pPr>
        <w:topLinePunct w:val="0"/>
        <w:autoSpaceDE w:val="0"/>
        <w:autoSpaceDN w:val="0"/>
        <w:snapToGrid/>
        <w:ind w:firstLine="480"/>
        <w:jc w:val="left"/>
        <w:rPr>
          <w:color w:val="auto"/>
          <w:highlight w:val="none"/>
        </w:rPr>
      </w:pPr>
      <w:r>
        <w:rPr>
          <w:color w:val="auto"/>
          <w:highlight w:val="none"/>
        </w:rPr>
        <w:t>维修船舶油舱破损及管道</w:t>
      </w:r>
      <w:r>
        <w:rPr>
          <w:rFonts w:hint="eastAsia"/>
          <w:color w:val="auto"/>
          <w:highlight w:val="none"/>
          <w:lang w:eastAsia="zh-CN"/>
        </w:rPr>
        <w:t>泄漏</w:t>
      </w:r>
      <w:r>
        <w:rPr>
          <w:color w:val="auto"/>
          <w:highlight w:val="none"/>
        </w:rPr>
        <w:t>是导致溢油事故的主要原因，与船舶入坞检查及维修人员操作关系较大。因此，需要从以下几个方面对溢油事故进行防范。</w:t>
      </w:r>
    </w:p>
    <w:p w14:paraId="22F7FD9B">
      <w:pPr>
        <w:ind w:firstLine="480"/>
        <w:contextualSpacing/>
        <w:rPr>
          <w:color w:val="auto"/>
          <w:highlight w:val="none"/>
        </w:rPr>
      </w:pPr>
      <w:r>
        <w:rPr>
          <w:color w:val="auto"/>
          <w:highlight w:val="none"/>
        </w:rPr>
        <w:t>（1）按照《港口码头水上污染事故应急防备能力要求》（JT/T451-2017）要求配备应急设备</w:t>
      </w:r>
      <w:r>
        <w:rPr>
          <w:rFonts w:hint="eastAsia"/>
          <w:color w:val="auto"/>
          <w:highlight w:val="none"/>
        </w:rPr>
        <w:t>。本项目位于中船钦州修船资源整合项目内，该项目已建成运营，本项目建成后依托现有风险防范措施，根据调查，基地已</w:t>
      </w:r>
      <w:r>
        <w:rPr>
          <w:color w:val="auto"/>
          <w:highlight w:val="none"/>
        </w:rPr>
        <w:t>按照《港口码头水上污染事故应急防备能力要求》（JT/T451-2017）要求配备</w:t>
      </w:r>
      <w:r>
        <w:rPr>
          <w:rFonts w:hint="eastAsia"/>
          <w:color w:val="auto"/>
          <w:highlight w:val="none"/>
        </w:rPr>
        <w:t>了</w:t>
      </w:r>
      <w:r>
        <w:rPr>
          <w:color w:val="auto"/>
          <w:highlight w:val="none"/>
        </w:rPr>
        <w:t>应急设备，</w:t>
      </w:r>
      <w:r>
        <w:rPr>
          <w:rFonts w:hint="eastAsia"/>
          <w:color w:val="auto"/>
          <w:highlight w:val="none"/>
        </w:rPr>
        <w:t>设备</w:t>
      </w:r>
      <w:r>
        <w:rPr>
          <w:color w:val="auto"/>
          <w:highlight w:val="none"/>
        </w:rPr>
        <w:t>情况见表4.3-</w:t>
      </w:r>
      <w:r>
        <w:rPr>
          <w:rFonts w:hint="eastAsia"/>
          <w:color w:val="auto"/>
          <w:highlight w:val="none"/>
        </w:rPr>
        <w:t>3</w:t>
      </w:r>
      <w:r>
        <w:rPr>
          <w:color w:val="auto"/>
          <w:highlight w:val="none"/>
        </w:rPr>
        <w:t>。</w:t>
      </w:r>
    </w:p>
    <w:p w14:paraId="1EC8DF8E">
      <w:pPr>
        <w:spacing w:line="240" w:lineRule="auto"/>
        <w:ind w:firstLine="0" w:firstLineChars="0"/>
        <w:jc w:val="center"/>
        <w:rPr>
          <w:b/>
          <w:color w:val="auto"/>
          <w:sz w:val="21"/>
          <w:szCs w:val="21"/>
          <w:highlight w:val="none"/>
        </w:rPr>
      </w:pPr>
      <w:r>
        <w:rPr>
          <w:b/>
          <w:color w:val="auto"/>
          <w:sz w:val="21"/>
          <w:szCs w:val="21"/>
          <w:highlight w:val="none"/>
        </w:rPr>
        <w:t>4.3-</w:t>
      </w:r>
      <w:r>
        <w:rPr>
          <w:rFonts w:hint="eastAsia"/>
          <w:b/>
          <w:color w:val="auto"/>
          <w:sz w:val="21"/>
          <w:szCs w:val="21"/>
          <w:highlight w:val="none"/>
        </w:rPr>
        <w:t>3</w:t>
      </w:r>
      <w:r>
        <w:rPr>
          <w:b/>
          <w:color w:val="auto"/>
          <w:sz w:val="21"/>
          <w:szCs w:val="21"/>
          <w:highlight w:val="none"/>
        </w:rPr>
        <w:t xml:space="preserve">  </w:t>
      </w:r>
      <w:r>
        <w:rPr>
          <w:rFonts w:hint="eastAsia"/>
          <w:b/>
          <w:color w:val="auto"/>
          <w:sz w:val="21"/>
          <w:szCs w:val="21"/>
          <w:highlight w:val="none"/>
        </w:rPr>
        <w:t>主要</w:t>
      </w:r>
      <w:r>
        <w:rPr>
          <w:b/>
          <w:color w:val="auto"/>
          <w:sz w:val="21"/>
          <w:szCs w:val="21"/>
          <w:highlight w:val="none"/>
        </w:rPr>
        <w:t>应急</w:t>
      </w:r>
      <w:r>
        <w:rPr>
          <w:rFonts w:hint="eastAsia"/>
          <w:b/>
          <w:color w:val="auto"/>
          <w:sz w:val="21"/>
          <w:szCs w:val="21"/>
          <w:highlight w:val="none"/>
        </w:rPr>
        <w:t>资源</w:t>
      </w:r>
      <w:r>
        <w:rPr>
          <w:b/>
          <w:color w:val="auto"/>
          <w:sz w:val="21"/>
          <w:szCs w:val="21"/>
          <w:highlight w:val="none"/>
        </w:rPr>
        <w:t>配备情况</w:t>
      </w:r>
    </w:p>
    <w:tbl>
      <w:tblPr>
        <w:tblStyle w:val="154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57"/>
        <w:gridCol w:w="1857"/>
        <w:gridCol w:w="1857"/>
        <w:gridCol w:w="1857"/>
        <w:gridCol w:w="1858"/>
      </w:tblGrid>
      <w:tr w14:paraId="5EDC23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857" w:type="dxa"/>
            <w:vAlign w:val="center"/>
          </w:tcPr>
          <w:p w14:paraId="1B34FF90">
            <w:pPr>
              <w:pStyle w:val="91"/>
              <w:snapToGrid w:val="0"/>
              <w:spacing w:after="0"/>
              <w:ind w:left="0" w:leftChars="0" w:firstLine="0" w:firstLineChars="0"/>
              <w:jc w:val="center"/>
              <w:textAlignment w:val="center"/>
              <w:rPr>
                <w:rFonts w:ascii="Times New Roman" w:hAnsi="Times New Roman" w:cs="Times New Roman"/>
                <w:b/>
                <w:bCs w:val="0"/>
                <w:iCs/>
                <w:snapToGrid w:val="0"/>
                <w:color w:val="auto"/>
                <w:highlight w:val="none"/>
              </w:rPr>
            </w:pPr>
            <w:r>
              <w:rPr>
                <w:rFonts w:ascii="Times New Roman" w:hAnsi="Times New Roman" w:cs="Times New Roman"/>
                <w:b/>
                <w:bCs w:val="0"/>
                <w:iCs/>
                <w:snapToGrid w:val="0"/>
                <w:color w:val="auto"/>
                <w:highlight w:val="none"/>
              </w:rPr>
              <w:t>序号</w:t>
            </w:r>
          </w:p>
        </w:tc>
        <w:tc>
          <w:tcPr>
            <w:tcW w:w="1857" w:type="dxa"/>
            <w:vAlign w:val="center"/>
          </w:tcPr>
          <w:p w14:paraId="5B3CFAE6">
            <w:pPr>
              <w:pStyle w:val="91"/>
              <w:snapToGrid w:val="0"/>
              <w:spacing w:after="0"/>
              <w:ind w:left="0" w:leftChars="0" w:firstLine="0" w:firstLineChars="0"/>
              <w:jc w:val="center"/>
              <w:textAlignment w:val="center"/>
              <w:rPr>
                <w:rFonts w:ascii="Times New Roman" w:hAnsi="Times New Roman" w:cs="Times New Roman"/>
                <w:b/>
                <w:bCs w:val="0"/>
                <w:iCs/>
                <w:snapToGrid w:val="0"/>
                <w:color w:val="auto"/>
                <w:highlight w:val="none"/>
              </w:rPr>
            </w:pPr>
            <w:r>
              <w:rPr>
                <w:rFonts w:ascii="Times New Roman" w:hAnsi="Times New Roman" w:cs="Times New Roman"/>
                <w:b/>
                <w:bCs w:val="0"/>
                <w:iCs/>
                <w:snapToGrid w:val="0"/>
                <w:color w:val="auto"/>
                <w:highlight w:val="none"/>
              </w:rPr>
              <w:t>名称</w:t>
            </w:r>
          </w:p>
        </w:tc>
        <w:tc>
          <w:tcPr>
            <w:tcW w:w="1857" w:type="dxa"/>
            <w:vAlign w:val="center"/>
          </w:tcPr>
          <w:p w14:paraId="4D721D40">
            <w:pPr>
              <w:pStyle w:val="91"/>
              <w:snapToGrid w:val="0"/>
              <w:spacing w:after="0"/>
              <w:ind w:left="0" w:leftChars="0" w:firstLine="0" w:firstLineChars="0"/>
              <w:jc w:val="center"/>
              <w:textAlignment w:val="center"/>
              <w:rPr>
                <w:rFonts w:ascii="Times New Roman" w:hAnsi="Times New Roman" w:cs="Times New Roman"/>
                <w:b/>
                <w:bCs w:val="0"/>
                <w:iCs/>
                <w:snapToGrid w:val="0"/>
                <w:color w:val="auto"/>
                <w:highlight w:val="none"/>
              </w:rPr>
            </w:pPr>
            <w:r>
              <w:rPr>
                <w:rFonts w:ascii="Times New Roman" w:hAnsi="Times New Roman" w:cs="Times New Roman"/>
                <w:b/>
                <w:bCs w:val="0"/>
                <w:iCs/>
                <w:snapToGrid w:val="0"/>
                <w:color w:val="auto"/>
                <w:highlight w:val="none"/>
              </w:rPr>
              <w:t>规格</w:t>
            </w:r>
          </w:p>
        </w:tc>
        <w:tc>
          <w:tcPr>
            <w:tcW w:w="1857" w:type="dxa"/>
            <w:vAlign w:val="center"/>
          </w:tcPr>
          <w:p w14:paraId="2DD8F5F8">
            <w:pPr>
              <w:pStyle w:val="91"/>
              <w:snapToGrid w:val="0"/>
              <w:spacing w:after="0"/>
              <w:ind w:left="0" w:leftChars="0" w:firstLine="0" w:firstLineChars="0"/>
              <w:jc w:val="center"/>
              <w:textAlignment w:val="center"/>
              <w:rPr>
                <w:rFonts w:ascii="Times New Roman" w:hAnsi="Times New Roman" w:cs="Times New Roman"/>
                <w:b/>
                <w:bCs w:val="0"/>
                <w:iCs/>
                <w:snapToGrid w:val="0"/>
                <w:color w:val="auto"/>
                <w:highlight w:val="none"/>
              </w:rPr>
            </w:pPr>
            <w:r>
              <w:rPr>
                <w:rFonts w:ascii="Times New Roman" w:hAnsi="Times New Roman" w:cs="Times New Roman"/>
                <w:b/>
                <w:bCs w:val="0"/>
                <w:iCs/>
                <w:snapToGrid w:val="0"/>
                <w:color w:val="auto"/>
                <w:highlight w:val="none"/>
              </w:rPr>
              <w:t>单位</w:t>
            </w:r>
          </w:p>
        </w:tc>
        <w:tc>
          <w:tcPr>
            <w:tcW w:w="1858" w:type="dxa"/>
            <w:vAlign w:val="center"/>
          </w:tcPr>
          <w:p w14:paraId="7760FD23">
            <w:pPr>
              <w:pStyle w:val="91"/>
              <w:snapToGrid w:val="0"/>
              <w:spacing w:after="0"/>
              <w:ind w:left="0" w:leftChars="0" w:firstLine="0" w:firstLineChars="0"/>
              <w:jc w:val="center"/>
              <w:textAlignment w:val="center"/>
              <w:rPr>
                <w:rFonts w:ascii="Times New Roman" w:hAnsi="Times New Roman" w:cs="Times New Roman"/>
                <w:b/>
                <w:bCs w:val="0"/>
                <w:iCs/>
                <w:snapToGrid w:val="0"/>
                <w:color w:val="auto"/>
                <w:highlight w:val="none"/>
              </w:rPr>
            </w:pPr>
            <w:r>
              <w:rPr>
                <w:rFonts w:ascii="Times New Roman" w:hAnsi="Times New Roman" w:cs="Times New Roman"/>
                <w:b/>
                <w:bCs w:val="0"/>
                <w:iCs/>
                <w:snapToGrid w:val="0"/>
                <w:color w:val="auto"/>
                <w:highlight w:val="none"/>
              </w:rPr>
              <w:t>数量</w:t>
            </w:r>
          </w:p>
        </w:tc>
      </w:tr>
      <w:tr w14:paraId="66599B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7" w:type="dxa"/>
            <w:vAlign w:val="center"/>
          </w:tcPr>
          <w:p w14:paraId="3E5BDB0C">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1</w:t>
            </w:r>
          </w:p>
        </w:tc>
        <w:tc>
          <w:tcPr>
            <w:tcW w:w="1857" w:type="dxa"/>
            <w:vAlign w:val="center"/>
          </w:tcPr>
          <w:p w14:paraId="64EF36EB">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固体橡胶围油栏</w:t>
            </w:r>
          </w:p>
        </w:tc>
        <w:tc>
          <w:tcPr>
            <w:tcW w:w="1857" w:type="dxa"/>
            <w:vAlign w:val="center"/>
          </w:tcPr>
          <w:p w14:paraId="481AD439">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WCG1300</w:t>
            </w:r>
          </w:p>
        </w:tc>
        <w:tc>
          <w:tcPr>
            <w:tcW w:w="1857" w:type="dxa"/>
            <w:vAlign w:val="center"/>
          </w:tcPr>
          <w:p w14:paraId="484C7C67">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m</w:t>
            </w:r>
          </w:p>
        </w:tc>
        <w:tc>
          <w:tcPr>
            <w:tcW w:w="1858" w:type="dxa"/>
            <w:vAlign w:val="center"/>
          </w:tcPr>
          <w:p w14:paraId="394D5243">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300</w:t>
            </w:r>
          </w:p>
        </w:tc>
      </w:tr>
      <w:tr w14:paraId="632A44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7" w:type="dxa"/>
            <w:vAlign w:val="center"/>
          </w:tcPr>
          <w:p w14:paraId="16BBAC12">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2</w:t>
            </w:r>
          </w:p>
        </w:tc>
        <w:tc>
          <w:tcPr>
            <w:tcW w:w="1857" w:type="dxa"/>
            <w:vAlign w:val="center"/>
          </w:tcPr>
          <w:p w14:paraId="38C4EDC8">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固体PVC围油栏</w:t>
            </w:r>
          </w:p>
        </w:tc>
        <w:tc>
          <w:tcPr>
            <w:tcW w:w="1857" w:type="dxa"/>
            <w:vAlign w:val="center"/>
          </w:tcPr>
          <w:p w14:paraId="75E2D0D1">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WGV1500</w:t>
            </w:r>
          </w:p>
        </w:tc>
        <w:tc>
          <w:tcPr>
            <w:tcW w:w="1857" w:type="dxa"/>
            <w:vAlign w:val="center"/>
          </w:tcPr>
          <w:p w14:paraId="1971E6DA">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m</w:t>
            </w:r>
          </w:p>
        </w:tc>
        <w:tc>
          <w:tcPr>
            <w:tcW w:w="1858" w:type="dxa"/>
            <w:vAlign w:val="center"/>
          </w:tcPr>
          <w:p w14:paraId="41B1F5AA">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150</w:t>
            </w:r>
          </w:p>
        </w:tc>
      </w:tr>
      <w:tr w14:paraId="36F07A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7" w:type="dxa"/>
            <w:vAlign w:val="center"/>
          </w:tcPr>
          <w:p w14:paraId="6797FECC">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3</w:t>
            </w:r>
          </w:p>
        </w:tc>
        <w:tc>
          <w:tcPr>
            <w:tcW w:w="1857" w:type="dxa"/>
            <w:vAlign w:val="center"/>
          </w:tcPr>
          <w:p w14:paraId="4D16D34A">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充气式围油栏</w:t>
            </w:r>
          </w:p>
        </w:tc>
        <w:tc>
          <w:tcPr>
            <w:tcW w:w="1857" w:type="dxa"/>
            <w:vAlign w:val="center"/>
          </w:tcPr>
          <w:p w14:paraId="7FB4AF65">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WQJ1500</w:t>
            </w:r>
          </w:p>
        </w:tc>
        <w:tc>
          <w:tcPr>
            <w:tcW w:w="1857" w:type="dxa"/>
            <w:vAlign w:val="center"/>
          </w:tcPr>
          <w:p w14:paraId="51B9BD03">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m</w:t>
            </w:r>
          </w:p>
        </w:tc>
        <w:tc>
          <w:tcPr>
            <w:tcW w:w="1858" w:type="dxa"/>
            <w:vAlign w:val="center"/>
          </w:tcPr>
          <w:p w14:paraId="5D94F7BA">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150</w:t>
            </w:r>
          </w:p>
        </w:tc>
      </w:tr>
      <w:tr w14:paraId="1D8502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7" w:type="dxa"/>
            <w:vAlign w:val="center"/>
          </w:tcPr>
          <w:p w14:paraId="4286481E">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4</w:t>
            </w:r>
          </w:p>
        </w:tc>
        <w:tc>
          <w:tcPr>
            <w:tcW w:w="1857" w:type="dxa"/>
            <w:vAlign w:val="center"/>
          </w:tcPr>
          <w:p w14:paraId="34897E1E">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油拖网</w:t>
            </w:r>
          </w:p>
        </w:tc>
        <w:tc>
          <w:tcPr>
            <w:tcW w:w="1857" w:type="dxa"/>
            <w:vAlign w:val="center"/>
          </w:tcPr>
          <w:p w14:paraId="19B808DC">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SW2</w:t>
            </w:r>
          </w:p>
        </w:tc>
        <w:tc>
          <w:tcPr>
            <w:tcW w:w="1857" w:type="dxa"/>
            <w:vAlign w:val="center"/>
          </w:tcPr>
          <w:p w14:paraId="4438B018">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套</w:t>
            </w:r>
          </w:p>
        </w:tc>
        <w:tc>
          <w:tcPr>
            <w:tcW w:w="1858" w:type="dxa"/>
            <w:vAlign w:val="center"/>
          </w:tcPr>
          <w:p w14:paraId="4DC87032">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1</w:t>
            </w:r>
          </w:p>
        </w:tc>
      </w:tr>
      <w:tr w14:paraId="1D6F54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7" w:type="dxa"/>
            <w:vAlign w:val="center"/>
          </w:tcPr>
          <w:p w14:paraId="12ADCA41">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5</w:t>
            </w:r>
          </w:p>
        </w:tc>
        <w:tc>
          <w:tcPr>
            <w:tcW w:w="1857" w:type="dxa"/>
            <w:vAlign w:val="center"/>
          </w:tcPr>
          <w:p w14:paraId="3034E54C">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吸油拖网</w:t>
            </w:r>
          </w:p>
        </w:tc>
        <w:tc>
          <w:tcPr>
            <w:tcW w:w="1857" w:type="dxa"/>
            <w:vAlign w:val="center"/>
          </w:tcPr>
          <w:p w14:paraId="784D6B99">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XTL-Y220</w:t>
            </w:r>
          </w:p>
        </w:tc>
        <w:tc>
          <w:tcPr>
            <w:tcW w:w="1857" w:type="dxa"/>
            <w:vAlign w:val="center"/>
          </w:tcPr>
          <w:p w14:paraId="4D25C85D">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m</w:t>
            </w:r>
          </w:p>
        </w:tc>
        <w:tc>
          <w:tcPr>
            <w:tcW w:w="1858" w:type="dxa"/>
            <w:vAlign w:val="center"/>
          </w:tcPr>
          <w:p w14:paraId="3D847452">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150</w:t>
            </w:r>
          </w:p>
        </w:tc>
      </w:tr>
      <w:tr w14:paraId="431230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7" w:type="dxa"/>
            <w:vAlign w:val="center"/>
          </w:tcPr>
          <w:p w14:paraId="52FBC790">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6</w:t>
            </w:r>
          </w:p>
        </w:tc>
        <w:tc>
          <w:tcPr>
            <w:tcW w:w="1857" w:type="dxa"/>
            <w:vAlign w:val="center"/>
          </w:tcPr>
          <w:p w14:paraId="2023BB07">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吸油毡</w:t>
            </w:r>
          </w:p>
        </w:tc>
        <w:tc>
          <w:tcPr>
            <w:tcW w:w="1857" w:type="dxa"/>
            <w:vAlign w:val="center"/>
          </w:tcPr>
          <w:p w14:paraId="15CABB9C">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PP-2</w:t>
            </w:r>
          </w:p>
        </w:tc>
        <w:tc>
          <w:tcPr>
            <w:tcW w:w="1857" w:type="dxa"/>
            <w:vAlign w:val="center"/>
          </w:tcPr>
          <w:p w14:paraId="1D8C0EC4">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吨</w:t>
            </w:r>
          </w:p>
        </w:tc>
        <w:tc>
          <w:tcPr>
            <w:tcW w:w="1858" w:type="dxa"/>
            <w:vAlign w:val="center"/>
          </w:tcPr>
          <w:p w14:paraId="211F266F">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0.5</w:t>
            </w:r>
          </w:p>
        </w:tc>
      </w:tr>
      <w:tr w14:paraId="1835F1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7" w:type="dxa"/>
            <w:vAlign w:val="center"/>
          </w:tcPr>
          <w:p w14:paraId="2BE58AC6">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7</w:t>
            </w:r>
          </w:p>
        </w:tc>
        <w:tc>
          <w:tcPr>
            <w:tcW w:w="1857" w:type="dxa"/>
            <w:vAlign w:val="center"/>
          </w:tcPr>
          <w:p w14:paraId="200990EB">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储罐</w:t>
            </w:r>
          </w:p>
        </w:tc>
        <w:tc>
          <w:tcPr>
            <w:tcW w:w="1857" w:type="dxa"/>
            <w:vAlign w:val="center"/>
          </w:tcPr>
          <w:p w14:paraId="2A0949AF">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p>
        </w:tc>
        <w:tc>
          <w:tcPr>
            <w:tcW w:w="1857" w:type="dxa"/>
            <w:vAlign w:val="center"/>
          </w:tcPr>
          <w:p w14:paraId="415C8EE6">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个</w:t>
            </w:r>
          </w:p>
        </w:tc>
        <w:tc>
          <w:tcPr>
            <w:tcW w:w="1858" w:type="dxa"/>
            <w:vAlign w:val="center"/>
          </w:tcPr>
          <w:p w14:paraId="16E2DC9B">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26</w:t>
            </w:r>
          </w:p>
        </w:tc>
      </w:tr>
      <w:tr w14:paraId="66A9CE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7" w:type="dxa"/>
            <w:vAlign w:val="center"/>
          </w:tcPr>
          <w:p w14:paraId="68913BEB">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8</w:t>
            </w:r>
          </w:p>
        </w:tc>
        <w:tc>
          <w:tcPr>
            <w:tcW w:w="1857" w:type="dxa"/>
            <w:vAlign w:val="center"/>
          </w:tcPr>
          <w:p w14:paraId="26B48B60">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油污水接收船</w:t>
            </w:r>
          </w:p>
        </w:tc>
        <w:tc>
          <w:tcPr>
            <w:tcW w:w="1857" w:type="dxa"/>
            <w:vAlign w:val="center"/>
          </w:tcPr>
          <w:p w14:paraId="7753B604">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p>
        </w:tc>
        <w:tc>
          <w:tcPr>
            <w:tcW w:w="1857" w:type="dxa"/>
            <w:vAlign w:val="center"/>
          </w:tcPr>
          <w:p w14:paraId="617AB6FB">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艘</w:t>
            </w:r>
          </w:p>
        </w:tc>
        <w:tc>
          <w:tcPr>
            <w:tcW w:w="1858" w:type="dxa"/>
            <w:vAlign w:val="center"/>
          </w:tcPr>
          <w:p w14:paraId="3BCA9B04">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1</w:t>
            </w:r>
          </w:p>
        </w:tc>
      </w:tr>
      <w:tr w14:paraId="33714A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7" w:type="dxa"/>
            <w:vAlign w:val="center"/>
          </w:tcPr>
          <w:p w14:paraId="1B6413D7">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9</w:t>
            </w:r>
          </w:p>
        </w:tc>
        <w:tc>
          <w:tcPr>
            <w:tcW w:w="1857" w:type="dxa"/>
            <w:vAlign w:val="center"/>
          </w:tcPr>
          <w:p w14:paraId="6959E4F0">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消油剂</w:t>
            </w:r>
          </w:p>
        </w:tc>
        <w:tc>
          <w:tcPr>
            <w:tcW w:w="1857" w:type="dxa"/>
            <w:vAlign w:val="center"/>
          </w:tcPr>
          <w:p w14:paraId="38B0B01E">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GM-2</w:t>
            </w:r>
          </w:p>
        </w:tc>
        <w:tc>
          <w:tcPr>
            <w:tcW w:w="1857" w:type="dxa"/>
            <w:vAlign w:val="center"/>
          </w:tcPr>
          <w:p w14:paraId="6D613C12">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吨</w:t>
            </w:r>
          </w:p>
        </w:tc>
        <w:tc>
          <w:tcPr>
            <w:tcW w:w="1858" w:type="dxa"/>
            <w:vAlign w:val="center"/>
          </w:tcPr>
          <w:p w14:paraId="464A8230">
            <w:pPr>
              <w:pStyle w:val="91"/>
              <w:snapToGrid w:val="0"/>
              <w:spacing w:after="0"/>
              <w:ind w:left="0" w:leftChars="0" w:firstLine="0" w:firstLineChars="0"/>
              <w:jc w:val="center"/>
              <w:textAlignment w:val="center"/>
              <w:rPr>
                <w:rFonts w:ascii="Times New Roman" w:hAnsi="Times New Roman" w:cs="Times New Roman"/>
                <w:bCs/>
                <w:iCs/>
                <w:snapToGrid w:val="0"/>
                <w:color w:val="auto"/>
                <w:highlight w:val="none"/>
              </w:rPr>
            </w:pPr>
            <w:r>
              <w:rPr>
                <w:rFonts w:ascii="Times New Roman" w:hAnsi="Times New Roman" w:cs="Times New Roman"/>
                <w:bCs/>
                <w:iCs/>
                <w:snapToGrid w:val="0"/>
                <w:color w:val="auto"/>
                <w:highlight w:val="none"/>
              </w:rPr>
              <w:t>0.5</w:t>
            </w:r>
          </w:p>
        </w:tc>
      </w:tr>
    </w:tbl>
    <w:p w14:paraId="1C503CE6">
      <w:pPr>
        <w:topLinePunct w:val="0"/>
        <w:autoSpaceDE w:val="0"/>
        <w:autoSpaceDN w:val="0"/>
        <w:spacing w:before="120" w:beforeLines="50"/>
        <w:ind w:firstLine="480"/>
        <w:jc w:val="left"/>
        <w:rPr>
          <w:color w:val="auto"/>
          <w:highlight w:val="none"/>
        </w:rPr>
      </w:pPr>
      <w:r>
        <w:rPr>
          <w:color w:val="auto"/>
          <w:highlight w:val="none"/>
        </w:rPr>
        <w:t>（2）加强对作业人员操作技能和环保意识的培训，确保按照规范进行操作，树立良好的风险安全意识，减小因人为因素导致的溢油事故的发生几率。</w:t>
      </w:r>
    </w:p>
    <w:p w14:paraId="4D3CF887">
      <w:pPr>
        <w:topLinePunct w:val="0"/>
        <w:autoSpaceDE w:val="0"/>
        <w:autoSpaceDN w:val="0"/>
        <w:ind w:firstLine="480"/>
        <w:jc w:val="left"/>
        <w:rPr>
          <w:color w:val="auto"/>
          <w:highlight w:val="none"/>
        </w:rPr>
      </w:pPr>
      <w:r>
        <w:rPr>
          <w:color w:val="auto"/>
          <w:highlight w:val="none"/>
        </w:rPr>
        <w:t>（3）船舶入坞后应按照规程对船舶进行详细检查，避免遗漏事故项，导致燃料油跑、冒、滴、等情况所造成的对海域的污染；各种船舶燃料油、污染物质等应保存在合适的安全容器中，放指定地点</w:t>
      </w:r>
      <w:r>
        <w:rPr>
          <w:rFonts w:hint="eastAsia"/>
          <w:color w:val="auto"/>
          <w:highlight w:val="none"/>
          <w:lang w:eastAsia="zh-CN"/>
        </w:rPr>
        <w:t>以免</w:t>
      </w:r>
      <w:r>
        <w:rPr>
          <w:color w:val="auto"/>
          <w:highlight w:val="none"/>
        </w:rPr>
        <w:t>意外泄进入水体。</w:t>
      </w:r>
    </w:p>
    <w:p w14:paraId="37173CFE">
      <w:pPr>
        <w:topLinePunct w:val="0"/>
        <w:autoSpaceDE w:val="0"/>
        <w:autoSpaceDN w:val="0"/>
        <w:ind w:firstLine="480"/>
        <w:jc w:val="left"/>
        <w:rPr>
          <w:color w:val="auto"/>
          <w:highlight w:val="none"/>
        </w:rPr>
      </w:pPr>
      <w:r>
        <w:rPr>
          <w:color w:val="auto"/>
          <w:highlight w:val="none"/>
        </w:rPr>
        <w:t>（4）对有关的作业人员进行培训作为兼职应急队伍，平时由港区管理部门统一组织应急业务培训，熟悉应急设施的操作使用</w:t>
      </w:r>
      <w:r>
        <w:rPr>
          <w:rFonts w:hint="eastAsia"/>
          <w:color w:val="auto"/>
          <w:highlight w:val="none"/>
        </w:rPr>
        <w:t>。</w:t>
      </w:r>
    </w:p>
    <w:p w14:paraId="118BAFF9">
      <w:pPr>
        <w:topLinePunct w:val="0"/>
        <w:autoSpaceDE w:val="0"/>
        <w:autoSpaceDN w:val="0"/>
        <w:ind w:firstLine="480"/>
        <w:jc w:val="left"/>
        <w:rPr>
          <w:color w:val="auto"/>
          <w:highlight w:val="none"/>
          <w:u w:val="single"/>
        </w:rPr>
      </w:pPr>
      <w:r>
        <w:rPr>
          <w:rFonts w:hint="eastAsia"/>
          <w:color w:val="auto"/>
          <w:highlight w:val="none"/>
          <w:u w:val="single"/>
        </w:rPr>
        <w:t>本次改建主要更换浮船坞，维修船舶船型不变，燃料油最大存在量不变，现有风险防范及应急设施可满足要求，本次改建无新增。</w:t>
      </w:r>
    </w:p>
    <w:p w14:paraId="36EA92D0">
      <w:pPr>
        <w:pStyle w:val="533"/>
        <w:numPr>
          <w:ilvl w:val="3"/>
          <w:numId w:val="9"/>
        </w:numPr>
        <w:rPr>
          <w:color w:val="auto"/>
          <w:szCs w:val="24"/>
          <w:highlight w:val="none"/>
          <w:u w:val="single"/>
        </w:rPr>
      </w:pPr>
      <w:r>
        <w:rPr>
          <w:rFonts w:hint="eastAsia"/>
          <w:color w:val="auto"/>
          <w:szCs w:val="24"/>
          <w:highlight w:val="none"/>
          <w:u w:val="single"/>
        </w:rPr>
        <w:t>废油</w:t>
      </w:r>
      <w:r>
        <w:rPr>
          <w:rFonts w:hint="eastAsia"/>
          <w:color w:val="auto"/>
          <w:szCs w:val="24"/>
          <w:highlight w:val="none"/>
          <w:u w:val="single"/>
          <w:lang w:eastAsia="zh-CN"/>
        </w:rPr>
        <w:t>泄漏</w:t>
      </w:r>
      <w:r>
        <w:rPr>
          <w:color w:val="auto"/>
          <w:szCs w:val="24"/>
          <w:highlight w:val="none"/>
          <w:u w:val="single"/>
        </w:rPr>
        <w:t xml:space="preserve">事故防范措施  </w:t>
      </w:r>
    </w:p>
    <w:p w14:paraId="600F079B">
      <w:pPr>
        <w:topLinePunct w:val="0"/>
        <w:autoSpaceDE w:val="0"/>
        <w:autoSpaceDN w:val="0"/>
        <w:ind w:firstLine="480"/>
        <w:jc w:val="left"/>
        <w:rPr>
          <w:color w:val="auto"/>
          <w:highlight w:val="none"/>
        </w:rPr>
      </w:pPr>
      <w:r>
        <w:rPr>
          <w:rFonts w:hint="eastAsia"/>
          <w:color w:val="auto"/>
          <w:highlight w:val="none"/>
          <w:u w:val="single"/>
        </w:rPr>
        <w:t>废油贮存</w:t>
      </w:r>
      <w:r>
        <w:rPr>
          <w:rFonts w:hint="eastAsia"/>
          <w:color w:val="auto"/>
          <w:highlight w:val="none"/>
          <w:u w:val="single"/>
          <w:lang w:eastAsia="zh-CN"/>
        </w:rPr>
        <w:t>于</w:t>
      </w:r>
      <w:r>
        <w:rPr>
          <w:rFonts w:hint="eastAsia"/>
          <w:color w:val="auto"/>
          <w:highlight w:val="none"/>
          <w:u w:val="single"/>
        </w:rPr>
        <w:t>危废暂存库内，地面已按重点防渗区进行防渗地面，储存区设置导流沟及收集池，废矿物油采用专用油桶储存，加强日常巡检和维护保养；电器设备、设施的选型、设计、安装及维护等均需符合规范，采取防雷和防静电设计，消防设计符合相关规范的要求。现有暂存库已按全厂贮存需求建设，现有风险防范措施满足改建要求。</w:t>
      </w:r>
    </w:p>
    <w:p w14:paraId="3BA3C18A">
      <w:pPr>
        <w:pStyle w:val="533"/>
        <w:numPr>
          <w:ilvl w:val="3"/>
          <w:numId w:val="9"/>
        </w:numPr>
        <w:rPr>
          <w:color w:val="auto"/>
          <w:szCs w:val="24"/>
          <w:highlight w:val="none"/>
        </w:rPr>
      </w:pPr>
      <w:r>
        <w:rPr>
          <w:color w:val="auto"/>
          <w:szCs w:val="24"/>
          <w:highlight w:val="none"/>
        </w:rPr>
        <w:t>火灾和爆炸事故风险防范措施</w:t>
      </w:r>
    </w:p>
    <w:p w14:paraId="1444AB1E">
      <w:pPr>
        <w:ind w:firstLine="480"/>
        <w:rPr>
          <w:color w:val="auto"/>
          <w:highlight w:val="none"/>
        </w:rPr>
      </w:pPr>
      <w:r>
        <w:rPr>
          <w:color w:val="auto"/>
          <w:highlight w:val="none"/>
        </w:rPr>
        <w:t>（1）在生产、经营等各方面必须严格执行有关法律、法规。具体如《中华人民共和国消防法》、《建筑设计防火规范》、《仓库防火安全管理规范》等。禁止将油漆、稀释剂等可燃物堆场与高热源设置在一起。设置消防池和消防专用通道，消防水源要充足，消防车道要畅通，安装消防专用电话或报警设备。</w:t>
      </w:r>
    </w:p>
    <w:p w14:paraId="29656B87">
      <w:pPr>
        <w:ind w:firstLine="480"/>
        <w:rPr>
          <w:color w:val="auto"/>
          <w:highlight w:val="none"/>
        </w:rPr>
      </w:pPr>
      <w:r>
        <w:rPr>
          <w:color w:val="auto"/>
          <w:highlight w:val="none"/>
        </w:rPr>
        <w:t>（2）对明火严格控制，其发生源为火柴、打火机和香烟头等。</w:t>
      </w:r>
    </w:p>
    <w:p w14:paraId="32DAD46A">
      <w:pPr>
        <w:ind w:firstLine="480"/>
        <w:rPr>
          <w:color w:val="auto"/>
          <w:highlight w:val="none"/>
        </w:rPr>
      </w:pPr>
      <w:r>
        <w:rPr>
          <w:color w:val="auto"/>
          <w:highlight w:val="none"/>
        </w:rPr>
        <w:t>（3）加强消防基础设施建设，配备充足的消防器材，设施齐全，就能够及时扑灭萌芽状态的火灾，减少损失。在重要岗位设置火焰探测器和火警报警系统。并经常检查确保设施正常运转。在现场布置泡沫消防系统。设置事故池，事故池废水经收集后委托处理。</w:t>
      </w:r>
    </w:p>
    <w:p w14:paraId="1013AD18">
      <w:pPr>
        <w:ind w:firstLine="480"/>
        <w:rPr>
          <w:color w:val="auto"/>
          <w:highlight w:val="none"/>
        </w:rPr>
      </w:pPr>
      <w:r>
        <w:rPr>
          <w:color w:val="auto"/>
          <w:highlight w:val="none"/>
        </w:rPr>
        <w:t>（4）火灾、爆炸灭火后会产生的消防污水，消防废水会引起的衍生和次生灾害。当火灾事故现场产生的消防污水较少，可用砂土、蛭石或其他惰性材料吸收，然后对这些材料进行妥善处理。应在厂区内设置事故池，当火灾事故现场产生的消防污水水量比较大，且超过城市污水排放标准时，应及时把消防产生的含有有害物料的废水收集至事故池，把事故产生的有害废水控制在厂区内，分批送厂区污水处理站进行处理后，用槽罐车运至大榄坪污水处理厂集中处理，不得随意排放。</w:t>
      </w:r>
    </w:p>
    <w:p w14:paraId="5DE4293D">
      <w:pPr>
        <w:pStyle w:val="7"/>
        <w:numPr>
          <w:ilvl w:val="2"/>
          <w:numId w:val="9"/>
        </w:numPr>
        <w:rPr>
          <w:color w:val="auto"/>
          <w:sz w:val="28"/>
          <w:highlight w:val="none"/>
        </w:rPr>
      </w:pPr>
      <w:r>
        <w:rPr>
          <w:color w:val="auto"/>
          <w:sz w:val="28"/>
          <w:highlight w:val="none"/>
        </w:rPr>
        <w:t>环境风险应急预案</w:t>
      </w:r>
    </w:p>
    <w:p w14:paraId="150EF9DB">
      <w:pPr>
        <w:ind w:firstLine="480"/>
        <w:contextualSpacing/>
        <w:rPr>
          <w:color w:val="auto"/>
          <w:highlight w:val="none"/>
        </w:rPr>
      </w:pPr>
      <w:bookmarkStart w:id="215" w:name="_Toc361515088"/>
      <w:bookmarkEnd w:id="215"/>
      <w:r>
        <w:rPr>
          <w:rFonts w:hint="eastAsia"/>
          <w:color w:val="auto"/>
          <w:highlight w:val="none"/>
        </w:rPr>
        <w:t>本项目位于中船钦州修船资源整合项目内，本次主要进行浮船坞的更换建设，根据调查，中国船舶集团广西造船有限公司已制定突发环境事件应急预案并完成备案，根据该应急预案</w:t>
      </w:r>
      <w:r>
        <w:rPr>
          <w:color w:val="auto"/>
          <w:highlight w:val="none"/>
        </w:rPr>
        <w:t>，</w:t>
      </w:r>
      <w:r>
        <w:rPr>
          <w:rFonts w:hint="eastAsia"/>
          <w:color w:val="auto"/>
          <w:highlight w:val="none"/>
        </w:rPr>
        <w:t>中船广西公司突发环境应急预案体系，由突发事件总体应急预案、专项应急预案和公司下属各部门现场处置方案组成，包括油料</w:t>
      </w:r>
      <w:r>
        <w:rPr>
          <w:rFonts w:hint="eastAsia"/>
          <w:color w:val="auto"/>
          <w:highlight w:val="none"/>
          <w:lang w:eastAsia="zh-CN"/>
        </w:rPr>
        <w:t>泄漏</w:t>
      </w:r>
      <w:r>
        <w:rPr>
          <w:rFonts w:hint="eastAsia"/>
          <w:color w:val="auto"/>
          <w:highlight w:val="none"/>
        </w:rPr>
        <w:t>事故现场处置方案，同时与上级中国船舶集团有限公司突发环境事件应急预案、广西钦州港经济技术开发区应急预案衔接联动。</w:t>
      </w:r>
    </w:p>
    <w:p w14:paraId="7A940139">
      <w:pPr>
        <w:ind w:firstLine="480"/>
        <w:contextualSpacing/>
        <w:rPr>
          <w:color w:val="auto"/>
          <w:highlight w:val="none"/>
        </w:rPr>
      </w:pPr>
      <w:r>
        <w:rPr>
          <w:rFonts w:hint="eastAsia"/>
          <w:color w:val="auto"/>
          <w:highlight w:val="none"/>
        </w:rPr>
        <w:t>中国船舶集团广西造船有限公司突发环境事件应急预案已规定了适用范围、环境事件分级，确定了组织机构与职责，提出了监控和预警措施，制定了应急响应、应急保障、善后处置方案，并提出了预案管理与演练要求。主要内容如下：</w:t>
      </w:r>
    </w:p>
    <w:p w14:paraId="1AFFF087">
      <w:pPr>
        <w:ind w:firstLine="480"/>
        <w:contextualSpacing/>
        <w:rPr>
          <w:color w:val="auto"/>
          <w:highlight w:val="none"/>
        </w:rPr>
      </w:pPr>
      <w:r>
        <w:rPr>
          <w:color w:val="auto"/>
          <w:highlight w:val="none"/>
        </w:rPr>
        <w:t>（1）应急组织机构</w:t>
      </w:r>
    </w:p>
    <w:p w14:paraId="67BB3897">
      <w:pPr>
        <w:ind w:firstLine="480"/>
        <w:contextualSpacing/>
        <w:rPr>
          <w:color w:val="auto"/>
          <w:highlight w:val="none"/>
        </w:rPr>
      </w:pPr>
      <w:r>
        <w:rPr>
          <w:rFonts w:hint="eastAsia"/>
          <w:color w:val="auto"/>
          <w:highlight w:val="none"/>
        </w:rPr>
        <w:t>中船广西公司应急组织机构由应急指挥部、应急指挥部办公室、现场应急指挥部、事故发生单位（以下简称“事发单位”）的应急机构、应急专业队伍等组成。</w:t>
      </w:r>
    </w:p>
    <w:p w14:paraId="1476F8FC">
      <w:pPr>
        <w:ind w:firstLine="480"/>
        <w:rPr>
          <w:color w:val="auto"/>
          <w:highlight w:val="none"/>
        </w:rPr>
      </w:pPr>
      <w:r>
        <w:rPr>
          <w:color w:val="auto"/>
          <w:highlight w:val="none"/>
        </w:rPr>
        <w:t>（2）</w:t>
      </w:r>
      <w:r>
        <w:rPr>
          <w:rFonts w:hint="eastAsia"/>
          <w:color w:val="auto"/>
          <w:highlight w:val="none"/>
        </w:rPr>
        <w:t>预防和预警措施</w:t>
      </w:r>
    </w:p>
    <w:p w14:paraId="333AA640">
      <w:pPr>
        <w:ind w:firstLine="480"/>
        <w:contextualSpacing/>
        <w:rPr>
          <w:color w:val="auto"/>
          <w:highlight w:val="none"/>
        </w:rPr>
      </w:pPr>
      <w:r>
        <w:rPr>
          <w:rFonts w:hint="eastAsia"/>
          <w:color w:val="auto"/>
          <w:highlight w:val="none"/>
        </w:rPr>
        <w:t>生产区域设置了监控系统，现场管理人员日常巡检和监测，危险化学品贮存设置安全防范措施，按照发生事故灾难的可控性、后果的严重性、影响范围和紧急程度，设置三级预警制度，公司下属各部门接到可能导致突发环境事故的信息后，要按照应急预案的规定及时研究确定解决方案，通知本部门相关人员采取防范措施或启动相应预案</w:t>
      </w:r>
      <w:r>
        <w:rPr>
          <w:color w:val="auto"/>
          <w:highlight w:val="none"/>
        </w:rPr>
        <w:t>。</w:t>
      </w:r>
    </w:p>
    <w:p w14:paraId="6C08C2C2">
      <w:pPr>
        <w:ind w:firstLine="480"/>
        <w:contextualSpacing/>
        <w:rPr>
          <w:color w:val="auto"/>
          <w:highlight w:val="none"/>
        </w:rPr>
      </w:pPr>
      <w:r>
        <w:rPr>
          <w:color w:val="auto"/>
          <w:highlight w:val="none"/>
        </w:rPr>
        <w:t>（</w:t>
      </w:r>
      <w:r>
        <w:rPr>
          <w:rFonts w:hint="eastAsia"/>
          <w:color w:val="auto"/>
          <w:highlight w:val="none"/>
        </w:rPr>
        <w:t>3</w:t>
      </w:r>
      <w:r>
        <w:rPr>
          <w:color w:val="auto"/>
          <w:highlight w:val="none"/>
        </w:rPr>
        <w:t>）报警及通报机制</w:t>
      </w:r>
    </w:p>
    <w:p w14:paraId="272480B1">
      <w:pPr>
        <w:ind w:firstLine="480"/>
        <w:contextualSpacing/>
        <w:rPr>
          <w:color w:val="auto"/>
          <w:highlight w:val="none"/>
        </w:rPr>
      </w:pPr>
      <w:r>
        <w:rPr>
          <w:color w:val="auto"/>
          <w:highlight w:val="none"/>
        </w:rPr>
        <w:t>应急反应过程中，及时对事故的通报是决定整个反应过程和消除污染效果的关键，因此须建立快速报警系统和通讯指挥联络系统，确定应急状态下的报警通讯方式、通知方式、事故上报机制等。</w:t>
      </w:r>
    </w:p>
    <w:p w14:paraId="3E69D5A6">
      <w:pPr>
        <w:ind w:firstLine="480"/>
        <w:contextualSpacing/>
        <w:rPr>
          <w:color w:val="auto"/>
          <w:highlight w:val="none"/>
        </w:rPr>
      </w:pPr>
      <w:r>
        <w:rPr>
          <w:color w:val="auto"/>
          <w:highlight w:val="none"/>
        </w:rPr>
        <w:t>本项目应急指挥中心在接到报警信息后，应对现场事故信息进行收集，核实事故时间、地点情况，污染源，事故原因（如碰撞、搁浅等），污染物种类和数量以及污染区域的描述等。根据事故程度，本港应急指挥中心应及时将相关信息和动态，按上报机制逐级向市应急救援领</w:t>
      </w:r>
      <w:r>
        <w:rPr>
          <w:rFonts w:hint="eastAsia"/>
          <w:color w:val="auto"/>
          <w:highlight w:val="none"/>
          <w:lang w:eastAsia="zh-CN"/>
        </w:rPr>
        <w:t>导小</w:t>
      </w:r>
      <w:r>
        <w:rPr>
          <w:color w:val="auto"/>
          <w:highlight w:val="none"/>
        </w:rPr>
        <w:t>组、省应急工作领导小组等通报，做好相应的记录。</w:t>
      </w:r>
    </w:p>
    <w:p w14:paraId="7D3628DA">
      <w:pPr>
        <w:ind w:firstLine="480"/>
        <w:contextualSpacing/>
        <w:rPr>
          <w:color w:val="auto"/>
          <w:highlight w:val="none"/>
        </w:rPr>
      </w:pPr>
      <w:r>
        <w:rPr>
          <w:color w:val="auto"/>
          <w:highlight w:val="none"/>
        </w:rPr>
        <w:t>（</w:t>
      </w:r>
      <w:r>
        <w:rPr>
          <w:rFonts w:hint="eastAsia"/>
          <w:color w:val="auto"/>
          <w:highlight w:val="none"/>
        </w:rPr>
        <w:t>4</w:t>
      </w:r>
      <w:r>
        <w:rPr>
          <w:color w:val="auto"/>
          <w:highlight w:val="none"/>
        </w:rPr>
        <w:t>）</w:t>
      </w:r>
      <w:r>
        <w:rPr>
          <w:rFonts w:hint="eastAsia"/>
          <w:color w:val="auto"/>
          <w:highlight w:val="none"/>
        </w:rPr>
        <w:t>应急处置措施（溢油事故）</w:t>
      </w:r>
    </w:p>
    <w:p w14:paraId="21CA3473">
      <w:pPr>
        <w:ind w:firstLine="480"/>
        <w:contextualSpacing/>
        <w:rPr>
          <w:color w:val="auto"/>
          <w:highlight w:val="none"/>
        </w:rPr>
      </w:pPr>
      <w:r>
        <w:rPr>
          <w:rFonts w:hint="eastAsia"/>
          <w:color w:val="auto"/>
          <w:highlight w:val="none"/>
        </w:rPr>
        <w:t>发现船坞区或码头区水域溢油（包括危险化学品污水、消防污水等污染物），码头区作业人员要求船方及维修作业人员立即停止作业；迅速将应急物资（围油栏、消油剂、吸油毡等）运往码头区、船坞区相应地点；采用拖轮拉带并布放围油栏，对污染物和泄漏点实施围堵的控制措施；封堵泄漏源，回收码头面及海面围油栏内泄漏的油品。对于无法回收的油品，使用洗衣粉水喷化（因环保因素，尽量不使用消油剂）。</w:t>
      </w:r>
    </w:p>
    <w:p w14:paraId="654ADFFD">
      <w:pPr>
        <w:ind w:firstLine="480"/>
        <w:contextualSpacing/>
        <w:rPr>
          <w:color w:val="auto"/>
          <w:highlight w:val="none"/>
        </w:rPr>
      </w:pPr>
      <w:r>
        <w:rPr>
          <w:color w:val="auto"/>
          <w:highlight w:val="none"/>
        </w:rPr>
        <w:t>（</w:t>
      </w:r>
      <w:r>
        <w:rPr>
          <w:rFonts w:hint="eastAsia"/>
          <w:color w:val="auto"/>
          <w:highlight w:val="none"/>
        </w:rPr>
        <w:t>5</w:t>
      </w:r>
      <w:r>
        <w:rPr>
          <w:color w:val="auto"/>
          <w:highlight w:val="none"/>
        </w:rPr>
        <w:t>）事故报告</w:t>
      </w:r>
    </w:p>
    <w:p w14:paraId="047FE04E">
      <w:pPr>
        <w:ind w:firstLine="480"/>
        <w:contextualSpacing/>
        <w:rPr>
          <w:color w:val="auto"/>
          <w:highlight w:val="none"/>
        </w:rPr>
      </w:pPr>
      <w:r>
        <w:rPr>
          <w:color w:val="auto"/>
          <w:highlight w:val="none"/>
        </w:rPr>
        <w:t>发生溢油事故时应及时上报相关部门，并且在采取应急措施期间建设单位应该记录好事故原因、溢油量、污染清除处理过程、污染范围和影响程度报告等，并根据影响大小形成报告上交到钦州市海事局、生态环境局。</w:t>
      </w:r>
    </w:p>
    <w:p w14:paraId="38CCB953">
      <w:pPr>
        <w:ind w:firstLine="480"/>
        <w:contextualSpacing/>
        <w:rPr>
          <w:color w:val="auto"/>
          <w:highlight w:val="none"/>
        </w:rPr>
      </w:pPr>
      <w:r>
        <w:rPr>
          <w:color w:val="auto"/>
          <w:highlight w:val="none"/>
        </w:rPr>
        <w:t>（</w:t>
      </w:r>
      <w:r>
        <w:rPr>
          <w:rFonts w:hint="eastAsia"/>
          <w:color w:val="auto"/>
          <w:highlight w:val="none"/>
        </w:rPr>
        <w:t>6</w:t>
      </w:r>
      <w:r>
        <w:rPr>
          <w:color w:val="auto"/>
          <w:highlight w:val="none"/>
        </w:rPr>
        <w:t>）与区域应急反应计划的衔接程序</w:t>
      </w:r>
    </w:p>
    <w:p w14:paraId="20EE6658">
      <w:pPr>
        <w:ind w:firstLine="480"/>
        <w:contextualSpacing/>
        <w:rPr>
          <w:color w:val="auto"/>
          <w:highlight w:val="none"/>
        </w:rPr>
      </w:pPr>
      <w:r>
        <w:rPr>
          <w:color w:val="auto"/>
          <w:highlight w:val="none"/>
        </w:rPr>
        <w:t>在发生可能影响到周边港口双方岸线的溢油事故时，应及时上报钦州市海事局，并联系有可能涉及影响的码头一起进行溢油应急措施。</w:t>
      </w:r>
    </w:p>
    <w:p w14:paraId="74D8F27E">
      <w:pPr>
        <w:ind w:firstLine="480"/>
        <w:contextualSpacing/>
        <w:rPr>
          <w:color w:val="auto"/>
          <w:highlight w:val="none"/>
        </w:rPr>
      </w:pPr>
      <w:r>
        <w:rPr>
          <w:color w:val="auto"/>
          <w:highlight w:val="none"/>
        </w:rPr>
        <w:t>由项目应急指挥中心迅速确定事故等级，由应急指挥中心总负责人做出请求区域协作的决策。请求区域协作时应优先考虑设备、人员到达灾区的时间、后勤保障及费用情况。</w:t>
      </w:r>
    </w:p>
    <w:p w14:paraId="41DBB247">
      <w:pPr>
        <w:ind w:firstLine="480"/>
        <w:contextualSpacing/>
        <w:rPr>
          <w:color w:val="auto"/>
          <w:highlight w:val="none"/>
        </w:rPr>
      </w:pPr>
      <w:r>
        <w:rPr>
          <w:color w:val="auto"/>
          <w:highlight w:val="none"/>
        </w:rPr>
        <w:t>（</w:t>
      </w:r>
      <w:r>
        <w:rPr>
          <w:rFonts w:hint="eastAsia"/>
          <w:color w:val="auto"/>
          <w:highlight w:val="none"/>
        </w:rPr>
        <w:t>7</w:t>
      </w:r>
      <w:r>
        <w:rPr>
          <w:color w:val="auto"/>
          <w:highlight w:val="none"/>
        </w:rPr>
        <w:t>）应急培训</w:t>
      </w:r>
      <w:r>
        <w:rPr>
          <w:rFonts w:hint="eastAsia"/>
          <w:color w:val="auto"/>
          <w:highlight w:val="none"/>
        </w:rPr>
        <w:t>和演练</w:t>
      </w:r>
    </w:p>
    <w:p w14:paraId="245313DA">
      <w:pPr>
        <w:ind w:firstLine="480"/>
        <w:contextualSpacing/>
        <w:rPr>
          <w:color w:val="auto"/>
          <w:highlight w:val="none"/>
        </w:rPr>
      </w:pPr>
      <w:r>
        <w:rPr>
          <w:color w:val="auto"/>
          <w:highlight w:val="none"/>
        </w:rPr>
        <w:t>每年定期组织应急人员培训，使受培训人员</w:t>
      </w:r>
      <w:r>
        <w:rPr>
          <w:rFonts w:hint="eastAsia"/>
          <w:color w:val="auto"/>
          <w:highlight w:val="none"/>
          <w:lang w:eastAsia="zh-CN"/>
        </w:rPr>
        <w:t>能够</w:t>
      </w:r>
      <w:r>
        <w:rPr>
          <w:color w:val="auto"/>
          <w:highlight w:val="none"/>
        </w:rPr>
        <w:t>掌握使用和维护、保养各种应急设备和器材，并具有在指挥人员指导下完成应急反应的能力。</w:t>
      </w:r>
    </w:p>
    <w:p w14:paraId="222D65AB">
      <w:pPr>
        <w:ind w:firstLine="480"/>
        <w:contextualSpacing/>
        <w:rPr>
          <w:color w:val="auto"/>
          <w:highlight w:val="none"/>
        </w:rPr>
      </w:pPr>
      <w:r>
        <w:rPr>
          <w:rFonts w:hint="eastAsia"/>
          <w:color w:val="auto"/>
          <w:highlight w:val="none"/>
        </w:rPr>
        <w:t>公司制定应急预案演练计划，按照计划每年组织一次公司级人员综合演习。其它应急功能依实际需求不定期开展演习。演习计划的制定、组织和实施由指挥部负责。演习应保存相应的记录。并作好对环境应急预案演练结果进行评估，撰写演练评估报告，分析存在问题，对环境应急预案提出修改意见。</w:t>
      </w:r>
    </w:p>
    <w:p w14:paraId="42A211EF">
      <w:pPr>
        <w:ind w:firstLine="480"/>
        <w:contextualSpacing/>
        <w:rPr>
          <w:color w:val="auto"/>
          <w:highlight w:val="none"/>
        </w:rPr>
      </w:pPr>
      <w:r>
        <w:rPr>
          <w:color w:val="auto"/>
          <w:highlight w:val="none"/>
        </w:rPr>
        <w:t>（</w:t>
      </w:r>
      <w:r>
        <w:rPr>
          <w:rFonts w:hint="eastAsia"/>
          <w:color w:val="auto"/>
          <w:highlight w:val="none"/>
        </w:rPr>
        <w:t>8</w:t>
      </w:r>
      <w:r>
        <w:rPr>
          <w:color w:val="auto"/>
          <w:highlight w:val="none"/>
        </w:rPr>
        <w:t>）</w:t>
      </w:r>
      <w:r>
        <w:rPr>
          <w:rFonts w:hint="eastAsia"/>
          <w:color w:val="auto"/>
          <w:highlight w:val="none"/>
        </w:rPr>
        <w:t>预案更新</w:t>
      </w:r>
    </w:p>
    <w:p w14:paraId="5E96DC3B">
      <w:pPr>
        <w:ind w:firstLine="480"/>
        <w:contextualSpacing/>
        <w:rPr>
          <w:color w:val="auto"/>
          <w:highlight w:val="none"/>
        </w:rPr>
      </w:pPr>
      <w:r>
        <w:rPr>
          <w:rFonts w:hint="eastAsia"/>
          <w:color w:val="auto"/>
          <w:highlight w:val="none"/>
        </w:rPr>
        <w:t>环境应急预案每三年至少修订一次；有下列情形之一的，公司应当及时进行修订：</w:t>
      </w:r>
    </w:p>
    <w:p w14:paraId="5C8BBE8A">
      <w:pPr>
        <w:ind w:firstLine="480"/>
        <w:contextualSpacing/>
        <w:rPr>
          <w:color w:val="auto"/>
          <w:highlight w:val="none"/>
        </w:rPr>
      </w:pPr>
      <w:r>
        <w:rPr>
          <w:rFonts w:hint="eastAsia"/>
          <w:color w:val="auto"/>
          <w:highlight w:val="none"/>
        </w:rPr>
        <w:t>①面临的环境风险发生重大变化，需要重新进行环境风险评估的；</w:t>
      </w:r>
    </w:p>
    <w:p w14:paraId="78199EAE">
      <w:pPr>
        <w:ind w:firstLine="480"/>
        <w:contextualSpacing/>
        <w:rPr>
          <w:color w:val="auto"/>
          <w:highlight w:val="none"/>
        </w:rPr>
      </w:pPr>
      <w:r>
        <w:rPr>
          <w:rFonts w:hint="eastAsia"/>
          <w:color w:val="auto"/>
          <w:highlight w:val="none"/>
        </w:rPr>
        <w:t>②应急管理组织指挥体系与职责发生重大变化的；</w:t>
      </w:r>
    </w:p>
    <w:p w14:paraId="09E95E4B">
      <w:pPr>
        <w:ind w:firstLine="480"/>
        <w:contextualSpacing/>
        <w:rPr>
          <w:color w:val="auto"/>
          <w:highlight w:val="none"/>
        </w:rPr>
      </w:pPr>
      <w:r>
        <w:rPr>
          <w:rFonts w:hint="eastAsia"/>
          <w:color w:val="auto"/>
          <w:highlight w:val="none"/>
        </w:rPr>
        <w:t>③环境应急监测预警及报告机制、应对流程和措施、应急保障措施发生重大变化的；</w:t>
      </w:r>
    </w:p>
    <w:p w14:paraId="58D31812">
      <w:pPr>
        <w:ind w:firstLine="480"/>
        <w:contextualSpacing/>
        <w:rPr>
          <w:color w:val="auto"/>
          <w:highlight w:val="none"/>
        </w:rPr>
      </w:pPr>
      <w:r>
        <w:rPr>
          <w:rFonts w:hint="eastAsia"/>
          <w:color w:val="auto"/>
          <w:highlight w:val="none"/>
        </w:rPr>
        <w:t>④重要应急资源发生重大变化的；</w:t>
      </w:r>
    </w:p>
    <w:p w14:paraId="354F468D">
      <w:pPr>
        <w:ind w:firstLine="480"/>
        <w:contextualSpacing/>
        <w:rPr>
          <w:color w:val="auto"/>
          <w:highlight w:val="none"/>
        </w:rPr>
      </w:pPr>
      <w:r>
        <w:rPr>
          <w:rFonts w:hint="eastAsia"/>
          <w:color w:val="auto"/>
          <w:highlight w:val="none"/>
        </w:rPr>
        <w:t>⑤在突发事件实际应对和应急演练中发现问题，需要对环境应急预案作出重大调整的</w:t>
      </w:r>
      <w:r>
        <w:rPr>
          <w:color w:val="auto"/>
          <w:highlight w:val="none"/>
        </w:rPr>
        <w:t>。</w:t>
      </w:r>
    </w:p>
    <w:p w14:paraId="3D526B29">
      <w:pPr>
        <w:ind w:firstLine="480"/>
        <w:contextualSpacing/>
        <w:rPr>
          <w:color w:val="auto"/>
          <w:highlight w:val="none"/>
        </w:rPr>
      </w:pPr>
      <w:r>
        <w:rPr>
          <w:rFonts w:hint="eastAsia"/>
          <w:color w:val="auto"/>
          <w:highlight w:val="none"/>
        </w:rPr>
        <w:t>根据上述更新要求，本项目建成后，应及时更新修订应急预案，对企业环境风险、应急物资、应急能力等，进行重新评估，并根据评估结果相应增加相关物资设施，以满足应急处置要求。</w:t>
      </w:r>
    </w:p>
    <w:p w14:paraId="1DE5D8DE">
      <w:pPr>
        <w:pStyle w:val="7"/>
        <w:numPr>
          <w:ilvl w:val="2"/>
          <w:numId w:val="9"/>
        </w:numPr>
        <w:rPr>
          <w:color w:val="auto"/>
          <w:sz w:val="28"/>
          <w:highlight w:val="none"/>
        </w:rPr>
      </w:pPr>
      <w:r>
        <w:rPr>
          <w:color w:val="auto"/>
          <w:sz w:val="28"/>
          <w:highlight w:val="none"/>
        </w:rPr>
        <w:t>风险评价结论及建议</w:t>
      </w:r>
    </w:p>
    <w:p w14:paraId="15BD6F61">
      <w:pPr>
        <w:ind w:firstLine="480"/>
        <w:contextualSpacing/>
        <w:rPr>
          <w:color w:val="auto"/>
          <w:highlight w:val="none"/>
        </w:rPr>
      </w:pPr>
      <w:r>
        <w:rPr>
          <w:color w:val="auto"/>
          <w:highlight w:val="none"/>
        </w:rPr>
        <w:t>（1）项目危险因素</w:t>
      </w:r>
    </w:p>
    <w:p w14:paraId="1F668E98">
      <w:pPr>
        <w:ind w:firstLine="480"/>
        <w:contextualSpacing/>
        <w:rPr>
          <w:color w:val="auto"/>
          <w:highlight w:val="none"/>
        </w:rPr>
      </w:pPr>
      <w:r>
        <w:rPr>
          <w:color w:val="auto"/>
          <w:highlight w:val="none"/>
        </w:rPr>
        <w:t>项目不涉及危险物质运输、储存，项目危险因素主要为船舶碰撞油舱溢油事故。</w:t>
      </w:r>
    </w:p>
    <w:p w14:paraId="3C791318">
      <w:pPr>
        <w:ind w:firstLine="480"/>
        <w:contextualSpacing/>
        <w:rPr>
          <w:color w:val="auto"/>
          <w:highlight w:val="none"/>
        </w:rPr>
      </w:pPr>
      <w:r>
        <w:rPr>
          <w:color w:val="auto"/>
          <w:highlight w:val="none"/>
        </w:rPr>
        <w:t>（2）环境敏感型及事故环境影响</w:t>
      </w:r>
    </w:p>
    <w:p w14:paraId="0BDE4A33">
      <w:pPr>
        <w:ind w:firstLine="480"/>
        <w:rPr>
          <w:color w:val="auto"/>
          <w:highlight w:val="none"/>
        </w:rPr>
      </w:pPr>
      <w:r>
        <w:rPr>
          <w:color w:val="auto"/>
          <w:highlight w:val="none"/>
        </w:rPr>
        <w:t>项目周边5km范围无居民居住区、医疗卫生、文化教育、科研、行政办公等机构，环境敏感目标主要有三娘湾旅游休闲娱乐区、钦州港青菜头南浅海滩涂养殖区。根据分析，项目最有可能发生的风险事故为维修船舶燃料油</w:t>
      </w:r>
      <w:r>
        <w:rPr>
          <w:rFonts w:hint="eastAsia"/>
          <w:color w:val="auto"/>
          <w:highlight w:val="none"/>
          <w:lang w:eastAsia="zh-CN"/>
        </w:rPr>
        <w:t>泄漏</w:t>
      </w:r>
      <w:r>
        <w:rPr>
          <w:color w:val="auto"/>
          <w:highlight w:val="none"/>
        </w:rPr>
        <w:t>事故，通过加强前期检查，规范维修操作，事故发生概率较低，船舶位于坞坑内，发生</w:t>
      </w:r>
      <w:r>
        <w:rPr>
          <w:rFonts w:hint="eastAsia"/>
          <w:color w:val="auto"/>
          <w:highlight w:val="none"/>
          <w:lang w:eastAsia="zh-CN"/>
        </w:rPr>
        <w:t>泄漏</w:t>
      </w:r>
      <w:r>
        <w:rPr>
          <w:color w:val="auto"/>
          <w:highlight w:val="none"/>
        </w:rPr>
        <w:t>后，及时采取拦截措施，可将影响控制在局部范围，对周边环境影响较小，</w:t>
      </w:r>
      <w:r>
        <w:rPr>
          <w:color w:val="auto"/>
          <w:szCs w:val="21"/>
          <w:highlight w:val="none"/>
        </w:rPr>
        <w:t>环境风险水平可接受</w:t>
      </w:r>
      <w:r>
        <w:rPr>
          <w:color w:val="auto"/>
          <w:highlight w:val="none"/>
        </w:rPr>
        <w:t xml:space="preserve"> </w:t>
      </w:r>
    </w:p>
    <w:p w14:paraId="69D14F21">
      <w:pPr>
        <w:ind w:firstLine="480"/>
        <w:contextualSpacing/>
        <w:rPr>
          <w:color w:val="auto"/>
          <w:highlight w:val="none"/>
        </w:rPr>
      </w:pPr>
      <w:r>
        <w:rPr>
          <w:color w:val="auto"/>
          <w:highlight w:val="none"/>
        </w:rPr>
        <w:t>（3）环境风险防范措施和应急预案</w:t>
      </w:r>
    </w:p>
    <w:p w14:paraId="1DD5A591">
      <w:pPr>
        <w:ind w:firstLine="480"/>
        <w:contextualSpacing/>
        <w:rPr>
          <w:color w:val="auto"/>
          <w:highlight w:val="none"/>
        </w:rPr>
      </w:pPr>
      <w:r>
        <w:rPr>
          <w:color w:val="auto"/>
          <w:highlight w:val="none"/>
        </w:rPr>
        <w:t>项目风险防范措施及应急预案合理、可行，应急预案的重点关注内容应包括完整的环境风险应急体系、监控与预警、应急疏散救援以及应急监测等，纳入园区环境风险防控体系和管理的衔接要求，实现厂内与园区环境风险防控设施及管理的有效联动，有效防控环境风险。</w:t>
      </w:r>
    </w:p>
    <w:p w14:paraId="283D79D4">
      <w:pPr>
        <w:ind w:firstLine="480"/>
        <w:contextualSpacing/>
        <w:rPr>
          <w:color w:val="auto"/>
          <w:highlight w:val="none"/>
        </w:rPr>
      </w:pPr>
      <w:r>
        <w:rPr>
          <w:color w:val="auto"/>
          <w:highlight w:val="none"/>
        </w:rPr>
        <w:t>企业在严格执行的同时仍需认真做好对其他可能出现的风险的防范，以期尽可能的避免风险事故的发生。</w:t>
      </w:r>
    </w:p>
    <w:p w14:paraId="59777ECC">
      <w:pPr>
        <w:ind w:firstLine="480"/>
        <w:contextualSpacing/>
        <w:rPr>
          <w:color w:val="auto"/>
          <w:highlight w:val="none"/>
        </w:rPr>
      </w:pPr>
      <w:r>
        <w:rPr>
          <w:color w:val="auto"/>
          <w:highlight w:val="none"/>
        </w:rPr>
        <w:t>（4）环境风险评价结论与建议</w:t>
      </w:r>
    </w:p>
    <w:p w14:paraId="58484E92">
      <w:pPr>
        <w:ind w:firstLine="480"/>
        <w:contextualSpacing/>
        <w:rPr>
          <w:color w:val="auto"/>
          <w:highlight w:val="none"/>
        </w:rPr>
      </w:pPr>
      <w:r>
        <w:rPr>
          <w:color w:val="auto"/>
          <w:highlight w:val="none"/>
        </w:rPr>
        <w:t>本码头针对本项目的风险源，提出了风险防范措施及应急预案要求，一旦发生泄漏事故，企业可采取相应的应急措施，将事故控制在环境可以接受的范围内，把事故对环境的风险降到最低程度，项目风险事故对环境影响是可接受的。因此，项目环境风险为可接受水平。</w:t>
      </w:r>
    </w:p>
    <w:p w14:paraId="68FB178B">
      <w:pPr>
        <w:pStyle w:val="91"/>
        <w:ind w:left="480"/>
        <w:rPr>
          <w:rFonts w:ascii="Times New Roman" w:hAnsi="Times New Roman" w:cs="Times New Roman"/>
          <w:color w:val="auto"/>
          <w:highlight w:val="none"/>
        </w:rPr>
      </w:pPr>
    </w:p>
    <w:p w14:paraId="03C32DE7">
      <w:pPr>
        <w:ind w:firstLine="480"/>
        <w:rPr>
          <w:color w:val="auto"/>
          <w:highlight w:val="none"/>
        </w:rPr>
        <w:sectPr>
          <w:pgSz w:w="11906" w:h="16838"/>
          <w:pgMar w:top="1559" w:right="1418" w:bottom="1503" w:left="1418" w:header="850" w:footer="964" w:gutter="0"/>
          <w:cols w:space="720" w:num="1"/>
          <w:docGrid w:linePitch="326" w:charSpace="0"/>
        </w:sectPr>
      </w:pPr>
    </w:p>
    <w:bookmarkEnd w:id="185"/>
    <w:bookmarkEnd w:id="186"/>
    <w:bookmarkEnd w:id="203"/>
    <w:bookmarkEnd w:id="204"/>
    <w:p w14:paraId="71C4BACD">
      <w:pPr>
        <w:pStyle w:val="5"/>
        <w:numPr>
          <w:ilvl w:val="0"/>
          <w:numId w:val="9"/>
        </w:numPr>
        <w:jc w:val="center"/>
        <w:rPr>
          <w:color w:val="auto"/>
          <w:sz w:val="36"/>
          <w:szCs w:val="36"/>
          <w:highlight w:val="none"/>
        </w:rPr>
      </w:pPr>
      <w:bookmarkStart w:id="216" w:name="_Toc475975379"/>
      <w:bookmarkStart w:id="217" w:name="_Hlk39234187"/>
      <w:bookmarkStart w:id="218" w:name="_Toc4737"/>
      <w:bookmarkStart w:id="219" w:name="_Toc33967225"/>
      <w:bookmarkStart w:id="220" w:name="_Toc33967121"/>
      <w:bookmarkStart w:id="221" w:name="_Toc571"/>
      <w:bookmarkStart w:id="222" w:name="_Toc475975382"/>
      <w:r>
        <w:rPr>
          <w:color w:val="auto"/>
          <w:sz w:val="36"/>
          <w:szCs w:val="36"/>
          <w:highlight w:val="none"/>
        </w:rPr>
        <w:t>环境保护措施</w:t>
      </w:r>
      <w:bookmarkEnd w:id="216"/>
      <w:r>
        <w:rPr>
          <w:color w:val="auto"/>
          <w:sz w:val="36"/>
          <w:szCs w:val="36"/>
          <w:highlight w:val="none"/>
        </w:rPr>
        <w:t>及其可行性论证</w:t>
      </w:r>
      <w:bookmarkEnd w:id="217"/>
      <w:bookmarkEnd w:id="218"/>
      <w:bookmarkEnd w:id="219"/>
      <w:bookmarkEnd w:id="220"/>
      <w:bookmarkEnd w:id="221"/>
    </w:p>
    <w:p w14:paraId="233F3A0B">
      <w:pPr>
        <w:pStyle w:val="6"/>
        <w:numPr>
          <w:ilvl w:val="1"/>
          <w:numId w:val="9"/>
        </w:numPr>
        <w:rPr>
          <w:color w:val="auto"/>
          <w:sz w:val="32"/>
          <w:szCs w:val="32"/>
          <w:highlight w:val="none"/>
        </w:rPr>
      </w:pPr>
      <w:bookmarkStart w:id="223" w:name="_Toc361515101"/>
      <w:bookmarkEnd w:id="223"/>
      <w:bookmarkStart w:id="224" w:name="_Toc27525"/>
      <w:bookmarkStart w:id="225" w:name="_Toc27745"/>
      <w:bookmarkStart w:id="226" w:name="_Toc33967122"/>
      <w:bookmarkStart w:id="227" w:name="_Toc33967226"/>
      <w:r>
        <w:rPr>
          <w:color w:val="auto"/>
          <w:sz w:val="32"/>
          <w:szCs w:val="32"/>
          <w:highlight w:val="none"/>
        </w:rPr>
        <w:t>施工期环境保护措施</w:t>
      </w:r>
      <w:bookmarkEnd w:id="224"/>
      <w:bookmarkEnd w:id="225"/>
    </w:p>
    <w:p w14:paraId="4BA27D4E">
      <w:pPr>
        <w:pStyle w:val="7"/>
        <w:numPr>
          <w:ilvl w:val="2"/>
          <w:numId w:val="9"/>
        </w:numPr>
        <w:rPr>
          <w:color w:val="auto"/>
          <w:sz w:val="28"/>
          <w:highlight w:val="none"/>
        </w:rPr>
      </w:pPr>
      <w:r>
        <w:rPr>
          <w:color w:val="auto"/>
          <w:sz w:val="28"/>
          <w:highlight w:val="none"/>
        </w:rPr>
        <w:t>施工期环境空气保护措施</w:t>
      </w:r>
    </w:p>
    <w:p w14:paraId="33ADF3DA">
      <w:pPr>
        <w:wordWrap w:val="0"/>
        <w:topLinePunct w:val="0"/>
        <w:ind w:firstLine="480"/>
        <w:contextualSpacing/>
        <w:rPr>
          <w:color w:val="auto"/>
          <w:highlight w:val="none"/>
        </w:rPr>
      </w:pPr>
      <w:r>
        <w:rPr>
          <w:color w:val="auto"/>
          <w:highlight w:val="none"/>
        </w:rPr>
        <w:t>项目施工期间，场地平整、建筑材料的运输、装卸过程中产生的扬尘，以及堆放的建筑材料产生的扬尘，各种施工机械和运输车辆产生尾气，焊接过程产生的烟尘，均会使局部范围的大气污染物如TSP、CO、NOx、THC等的增加，但这种影响是暂时的。为减少项目施工期对周边大气环境的影响，施工单位采取了以下防治措施：</w:t>
      </w:r>
    </w:p>
    <w:p w14:paraId="3370B5DB">
      <w:pPr>
        <w:wordWrap w:val="0"/>
        <w:topLinePunct w:val="0"/>
        <w:ind w:firstLine="480"/>
        <w:contextualSpacing/>
        <w:rPr>
          <w:color w:val="auto"/>
          <w:highlight w:val="none"/>
        </w:rPr>
      </w:pPr>
      <w:r>
        <w:rPr>
          <w:color w:val="auto"/>
          <w:highlight w:val="none"/>
        </w:rPr>
        <w:t>（1）浮船坞硬化场地在干燥的天气施工时，施工场地、运输路段定时洒水降尘，以减轻施工对空气的污染。在易产生扬尘的作业时段、作业环节采用洒水的办法减轻总悬浮微粒的污染。</w:t>
      </w:r>
    </w:p>
    <w:p w14:paraId="05FD6D3A">
      <w:pPr>
        <w:wordWrap w:val="0"/>
        <w:topLinePunct w:val="0"/>
        <w:ind w:firstLine="480"/>
        <w:contextualSpacing/>
        <w:rPr>
          <w:color w:val="auto"/>
          <w:highlight w:val="none"/>
        </w:rPr>
      </w:pPr>
      <w:r>
        <w:rPr>
          <w:color w:val="auto"/>
          <w:highlight w:val="none"/>
        </w:rPr>
        <w:t>（2）对易产生扬尘的物料堆、建材等，采用防尘网和防尘布覆盖。</w:t>
      </w:r>
    </w:p>
    <w:p w14:paraId="6653F54D">
      <w:pPr>
        <w:wordWrap w:val="0"/>
        <w:topLinePunct w:val="0"/>
        <w:ind w:firstLine="480"/>
        <w:contextualSpacing/>
        <w:rPr>
          <w:color w:val="auto"/>
          <w:highlight w:val="none"/>
        </w:rPr>
      </w:pPr>
      <w:r>
        <w:rPr>
          <w:color w:val="auto"/>
          <w:highlight w:val="none"/>
        </w:rPr>
        <w:t>（3）运输材料车辆要加盖</w:t>
      </w:r>
      <w:r>
        <w:rPr>
          <w:rFonts w:hint="eastAsia"/>
          <w:color w:val="auto"/>
          <w:highlight w:val="none"/>
          <w:lang w:eastAsia="zh-CN"/>
        </w:rPr>
        <w:t>篷布</w:t>
      </w:r>
      <w:r>
        <w:rPr>
          <w:color w:val="auto"/>
          <w:highlight w:val="none"/>
        </w:rPr>
        <w:t>，减少运输途中洒落。运送材料的车辆在运输沙、石等建筑材料时，不得装载过满，防止沿途洒落，造成二次扬尘。</w:t>
      </w:r>
    </w:p>
    <w:p w14:paraId="3DF683C2">
      <w:pPr>
        <w:wordWrap w:val="0"/>
        <w:topLinePunct w:val="0"/>
        <w:ind w:firstLine="480"/>
        <w:contextualSpacing/>
        <w:rPr>
          <w:color w:val="auto"/>
          <w:highlight w:val="none"/>
        </w:rPr>
      </w:pPr>
      <w:r>
        <w:rPr>
          <w:color w:val="auto"/>
          <w:highlight w:val="none"/>
        </w:rPr>
        <w:t>（4）车辆</w:t>
      </w:r>
      <w:r>
        <w:rPr>
          <w:rFonts w:hint="eastAsia"/>
          <w:color w:val="auto"/>
          <w:highlight w:val="none"/>
          <w:lang w:eastAsia="zh-CN"/>
        </w:rPr>
        <w:t>驶出</w:t>
      </w:r>
      <w:r>
        <w:rPr>
          <w:color w:val="auto"/>
          <w:highlight w:val="none"/>
        </w:rPr>
        <w:t>工地时，应将车身特别是轮胎上的泥土洗净，这样可有效地防止工地的泥土带到道路上，避免造成局部地方严重的二次扬尘污染。</w:t>
      </w:r>
    </w:p>
    <w:p w14:paraId="35297BD3">
      <w:pPr>
        <w:wordWrap w:val="0"/>
        <w:topLinePunct w:val="0"/>
        <w:ind w:firstLine="480"/>
        <w:contextualSpacing/>
        <w:rPr>
          <w:color w:val="auto"/>
          <w:highlight w:val="none"/>
        </w:rPr>
      </w:pPr>
      <w:r>
        <w:rPr>
          <w:color w:val="auto"/>
          <w:highlight w:val="none"/>
        </w:rPr>
        <w:t>（5）施工车辆在进入施工场地后，需减速行驶，以减少施工场地扬尘，建议行驶车速不大于10km/h。</w:t>
      </w:r>
    </w:p>
    <w:p w14:paraId="13801909">
      <w:pPr>
        <w:wordWrap w:val="0"/>
        <w:topLinePunct w:val="0"/>
        <w:ind w:firstLine="480"/>
        <w:contextualSpacing/>
        <w:rPr>
          <w:color w:val="auto"/>
          <w:highlight w:val="none"/>
        </w:rPr>
      </w:pPr>
      <w:r>
        <w:rPr>
          <w:color w:val="auto"/>
          <w:highlight w:val="none"/>
        </w:rPr>
        <w:t>（6）使用污染物排放符合国家标准的运输车辆，加强车辆的保养，使车辆处于良好的工作状态，严禁使用报废车辆，以减少施工车辆尾气对周围环境的影响。</w:t>
      </w:r>
    </w:p>
    <w:p w14:paraId="344D1768">
      <w:pPr>
        <w:wordWrap w:val="0"/>
        <w:topLinePunct w:val="0"/>
        <w:ind w:firstLine="480"/>
        <w:contextualSpacing/>
        <w:rPr>
          <w:color w:val="auto"/>
          <w:highlight w:val="none"/>
        </w:rPr>
      </w:pPr>
      <w:r>
        <w:rPr>
          <w:color w:val="auto"/>
          <w:highlight w:val="none"/>
        </w:rPr>
        <w:t>（7）浮船坞分段组装过程产生的焊接废气采用配有焊接烟尘净化装置的机器进行焊接，减少焊接烟尘的排放。</w:t>
      </w:r>
    </w:p>
    <w:p w14:paraId="0C87BFE9">
      <w:pPr>
        <w:wordWrap w:val="0"/>
        <w:topLinePunct w:val="0"/>
        <w:ind w:firstLine="480"/>
        <w:contextualSpacing/>
        <w:rPr>
          <w:color w:val="auto"/>
          <w:highlight w:val="none"/>
        </w:rPr>
      </w:pPr>
      <w:r>
        <w:rPr>
          <w:color w:val="auto"/>
          <w:highlight w:val="none"/>
        </w:rPr>
        <w:t>本项目施工期针对扬尘污染所采取的防治措施均为施工场地现场文明施工规范中的一些基本措施，在建设单位加强现场管理的前提下，上述措施是可以实现的，因此本项目施工期扬尘及施工机械尾气防治措施可行。</w:t>
      </w:r>
    </w:p>
    <w:p w14:paraId="4ED9F9ED">
      <w:pPr>
        <w:pStyle w:val="7"/>
        <w:numPr>
          <w:ilvl w:val="2"/>
          <w:numId w:val="9"/>
        </w:numPr>
        <w:rPr>
          <w:color w:val="auto"/>
          <w:sz w:val="28"/>
          <w:highlight w:val="none"/>
        </w:rPr>
      </w:pPr>
      <w:r>
        <w:rPr>
          <w:color w:val="auto"/>
          <w:sz w:val="28"/>
          <w:highlight w:val="none"/>
        </w:rPr>
        <w:t>施工期地表水环境保护措施</w:t>
      </w:r>
    </w:p>
    <w:p w14:paraId="1B55E05A">
      <w:pPr>
        <w:topLinePunct w:val="0"/>
        <w:ind w:firstLine="480"/>
        <w:contextualSpacing/>
        <w:rPr>
          <w:color w:val="auto"/>
          <w:highlight w:val="none"/>
        </w:rPr>
      </w:pPr>
      <w:r>
        <w:rPr>
          <w:color w:val="auto"/>
          <w:highlight w:val="none"/>
        </w:rPr>
        <w:t>施工期对水环境的影响主要来自新增浮坞锚块投放。施工过程主要采取的废水防治措施有：</w:t>
      </w:r>
    </w:p>
    <w:p w14:paraId="488C9BB6">
      <w:pPr>
        <w:topLinePunct w:val="0"/>
        <w:ind w:firstLine="480"/>
        <w:contextualSpacing/>
        <w:rPr>
          <w:color w:val="auto"/>
          <w:highlight w:val="none"/>
        </w:rPr>
      </w:pPr>
      <w:r>
        <w:rPr>
          <w:color w:val="auto"/>
          <w:highlight w:val="none"/>
        </w:rPr>
        <w:t>（1）施工期间，施工单位应严格执行《建设工程施工场地文明施工及环境管理暂行规定》，施工产生的废水不得随意排放。</w:t>
      </w:r>
    </w:p>
    <w:p w14:paraId="553E65BD">
      <w:pPr>
        <w:topLinePunct w:val="0"/>
        <w:ind w:firstLine="480"/>
        <w:contextualSpacing/>
        <w:rPr>
          <w:color w:val="auto"/>
          <w:highlight w:val="none"/>
        </w:rPr>
      </w:pPr>
      <w:r>
        <w:rPr>
          <w:color w:val="auto"/>
          <w:highlight w:val="none"/>
        </w:rPr>
        <w:t>（2）使用性能良好的汽车和施工机械、施工船舶，及时保养和维修，防止漏油。</w:t>
      </w:r>
    </w:p>
    <w:p w14:paraId="55D1EE95">
      <w:pPr>
        <w:topLinePunct w:val="0"/>
        <w:ind w:firstLine="480"/>
        <w:contextualSpacing/>
        <w:rPr>
          <w:color w:val="auto"/>
          <w:highlight w:val="none"/>
        </w:rPr>
      </w:pPr>
      <w:r>
        <w:rPr>
          <w:color w:val="auto"/>
          <w:highlight w:val="none"/>
        </w:rPr>
        <w:t>（3）浮坞锚块投放时需逐个投放，不得同时投放，并尽量缩短施工工期。</w:t>
      </w:r>
    </w:p>
    <w:p w14:paraId="71BAABAF">
      <w:pPr>
        <w:topLinePunct w:val="0"/>
        <w:ind w:firstLine="480"/>
        <w:contextualSpacing/>
        <w:rPr>
          <w:color w:val="auto"/>
          <w:highlight w:val="none"/>
        </w:rPr>
      </w:pPr>
      <w:r>
        <w:rPr>
          <w:color w:val="auto"/>
          <w:highlight w:val="none"/>
        </w:rPr>
        <w:t>（4）要做好施工船舶的日常维修检查工作，确保所有投入施工的船只设备均正常良好运行和密闭性，发生故障后应及时予以修复。</w:t>
      </w:r>
    </w:p>
    <w:p w14:paraId="21594572">
      <w:pPr>
        <w:topLinePunct w:val="0"/>
        <w:ind w:firstLine="480"/>
        <w:contextualSpacing/>
        <w:rPr>
          <w:color w:val="auto"/>
          <w:highlight w:val="none"/>
        </w:rPr>
      </w:pPr>
      <w:r>
        <w:rPr>
          <w:color w:val="auto"/>
          <w:highlight w:val="none"/>
        </w:rPr>
        <w:t>（5）台风期间必须停止所有海上施工作业。</w:t>
      </w:r>
    </w:p>
    <w:p w14:paraId="78C9FD67">
      <w:pPr>
        <w:pStyle w:val="7"/>
        <w:numPr>
          <w:ilvl w:val="2"/>
          <w:numId w:val="9"/>
        </w:numPr>
        <w:rPr>
          <w:color w:val="auto"/>
          <w:sz w:val="28"/>
          <w:highlight w:val="none"/>
        </w:rPr>
      </w:pPr>
      <w:r>
        <w:rPr>
          <w:color w:val="auto"/>
          <w:sz w:val="28"/>
          <w:highlight w:val="none"/>
        </w:rPr>
        <w:t>施工期声环境保护措施</w:t>
      </w:r>
    </w:p>
    <w:p w14:paraId="780B5432">
      <w:pPr>
        <w:topLinePunct w:val="0"/>
        <w:ind w:firstLine="480"/>
        <w:contextualSpacing/>
        <w:rPr>
          <w:color w:val="auto"/>
          <w:highlight w:val="none"/>
        </w:rPr>
      </w:pPr>
      <w:r>
        <w:rPr>
          <w:color w:val="auto"/>
          <w:highlight w:val="none"/>
        </w:rPr>
        <w:t>（1）施工机械要采用低噪声设备，加强设备的日常维修保养，使施工机械保持良好状态，避免超过正常噪声运转。</w:t>
      </w:r>
    </w:p>
    <w:p w14:paraId="65AA0510">
      <w:pPr>
        <w:topLinePunct w:val="0"/>
        <w:ind w:firstLine="480"/>
        <w:contextualSpacing/>
        <w:rPr>
          <w:color w:val="auto"/>
          <w:highlight w:val="none"/>
        </w:rPr>
      </w:pPr>
      <w:r>
        <w:rPr>
          <w:color w:val="auto"/>
          <w:highlight w:val="none"/>
        </w:rPr>
        <w:t>（2）对高噪声设备，在其附近加设可移动的简单围障或者安装</w:t>
      </w:r>
      <w:r>
        <w:rPr>
          <w:rFonts w:hint="eastAsia"/>
          <w:color w:val="auto"/>
          <w:highlight w:val="none"/>
          <w:lang w:eastAsia="zh-CN"/>
        </w:rPr>
        <w:t>消声器</w:t>
      </w:r>
      <w:r>
        <w:rPr>
          <w:color w:val="auto"/>
          <w:highlight w:val="none"/>
        </w:rPr>
        <w:t>，以降低其噪音辐射。</w:t>
      </w:r>
    </w:p>
    <w:p w14:paraId="46911D3D">
      <w:pPr>
        <w:topLinePunct w:val="0"/>
        <w:ind w:firstLine="480"/>
        <w:contextualSpacing/>
        <w:rPr>
          <w:color w:val="auto"/>
          <w:highlight w:val="none"/>
        </w:rPr>
      </w:pPr>
      <w:r>
        <w:rPr>
          <w:color w:val="auto"/>
          <w:highlight w:val="none"/>
        </w:rPr>
        <w:t>（3）认真执行《建筑施工噪声排放标准》（GB12523-2025）对施工阶段噪声的要求，合理安排施工作业的时间，避免夜间和中午进行高噪声施工，减少对周围环境的影响。</w:t>
      </w:r>
    </w:p>
    <w:p w14:paraId="481B929D">
      <w:pPr>
        <w:topLinePunct w:val="0"/>
        <w:ind w:firstLine="480"/>
        <w:contextualSpacing/>
        <w:rPr>
          <w:color w:val="auto"/>
          <w:highlight w:val="none"/>
        </w:rPr>
      </w:pPr>
      <w:r>
        <w:rPr>
          <w:color w:val="auto"/>
          <w:highlight w:val="none"/>
        </w:rPr>
        <w:t>（4）对施工机械实行施工前检定措施，未达到产品噪声限值者不准使用等措施。</w:t>
      </w:r>
    </w:p>
    <w:p w14:paraId="64D468A0">
      <w:pPr>
        <w:pStyle w:val="7"/>
        <w:numPr>
          <w:ilvl w:val="2"/>
          <w:numId w:val="9"/>
        </w:numPr>
        <w:rPr>
          <w:color w:val="auto"/>
          <w:sz w:val="28"/>
          <w:highlight w:val="none"/>
        </w:rPr>
      </w:pPr>
      <w:r>
        <w:rPr>
          <w:color w:val="auto"/>
          <w:sz w:val="28"/>
          <w:highlight w:val="none"/>
        </w:rPr>
        <w:t xml:space="preserve"> 施工期固体废物污染防治措施</w:t>
      </w:r>
    </w:p>
    <w:p w14:paraId="43BEA8ED">
      <w:pPr>
        <w:topLinePunct w:val="0"/>
        <w:ind w:firstLine="480"/>
        <w:contextualSpacing/>
        <w:rPr>
          <w:color w:val="auto"/>
          <w:highlight w:val="none"/>
        </w:rPr>
      </w:pPr>
      <w:r>
        <w:rPr>
          <w:color w:val="auto"/>
          <w:highlight w:val="none"/>
        </w:rPr>
        <w:t>（1）项目施工期间可能少量产生的废焊条和焊渣、废铁屑、钢材切割废料等。集中堆放在现有工程一般固废暂存间暂存，能回收的回收利用，不能回收利用的由中标公司（最近一次委托处理单位为钦州市鼎鑫再生资源回收利用有限公司）外运处理。</w:t>
      </w:r>
    </w:p>
    <w:p w14:paraId="04636E08">
      <w:pPr>
        <w:topLinePunct w:val="0"/>
        <w:ind w:firstLine="480"/>
        <w:contextualSpacing/>
        <w:rPr>
          <w:color w:val="auto"/>
          <w:highlight w:val="none"/>
        </w:rPr>
      </w:pPr>
      <w:r>
        <w:rPr>
          <w:color w:val="auto"/>
          <w:highlight w:val="none"/>
        </w:rPr>
        <w:t>（2）施工期生活垃圾在施工现场设置垃圾桶，定期交由环卫部门清运。</w:t>
      </w:r>
    </w:p>
    <w:p w14:paraId="7580EBE4">
      <w:pPr>
        <w:topLinePunct w:val="0"/>
        <w:ind w:firstLine="480"/>
        <w:contextualSpacing/>
        <w:rPr>
          <w:color w:val="auto"/>
          <w:highlight w:val="none"/>
        </w:rPr>
      </w:pPr>
      <w:r>
        <w:rPr>
          <w:color w:val="auto"/>
          <w:highlight w:val="none"/>
        </w:rPr>
        <w:t>（3）施工期间不得随意抛弃建筑材料，残土、旧料及其他杂物。</w:t>
      </w:r>
    </w:p>
    <w:p w14:paraId="6DE67280">
      <w:pPr>
        <w:topLinePunct w:val="0"/>
        <w:ind w:firstLine="480"/>
        <w:contextualSpacing/>
        <w:rPr>
          <w:color w:val="auto"/>
          <w:highlight w:val="none"/>
        </w:rPr>
      </w:pPr>
      <w:r>
        <w:rPr>
          <w:color w:val="auto"/>
          <w:highlight w:val="none"/>
        </w:rPr>
        <w:t>（4）工程竣工后施工单位应尽快将场地清理干净。</w:t>
      </w:r>
    </w:p>
    <w:p w14:paraId="3CC38F43">
      <w:pPr>
        <w:pStyle w:val="7"/>
        <w:numPr>
          <w:ilvl w:val="2"/>
          <w:numId w:val="9"/>
        </w:numPr>
        <w:rPr>
          <w:color w:val="auto"/>
          <w:sz w:val="28"/>
          <w:highlight w:val="none"/>
        </w:rPr>
      </w:pPr>
      <w:r>
        <w:rPr>
          <w:color w:val="auto"/>
          <w:sz w:val="28"/>
          <w:highlight w:val="none"/>
        </w:rPr>
        <w:t>施工期生态环境保护措施</w:t>
      </w:r>
    </w:p>
    <w:p w14:paraId="355BD36F">
      <w:pPr>
        <w:topLinePunct w:val="0"/>
        <w:ind w:firstLine="480"/>
        <w:contextualSpacing/>
        <w:rPr>
          <w:color w:val="auto"/>
          <w:highlight w:val="none"/>
        </w:rPr>
      </w:pPr>
      <w:r>
        <w:rPr>
          <w:color w:val="auto"/>
          <w:highlight w:val="none"/>
        </w:rPr>
        <w:t>（1）为了避免悬浮物对海洋生态的影响，需加强对海水中悬浮物的监测，最大限度减少海水中悬浮物增量。</w:t>
      </w:r>
    </w:p>
    <w:p w14:paraId="1ECB17DA">
      <w:pPr>
        <w:topLinePunct w:val="0"/>
        <w:ind w:firstLine="480"/>
        <w:contextualSpacing/>
        <w:rPr>
          <w:color w:val="auto"/>
          <w:highlight w:val="none"/>
        </w:rPr>
      </w:pPr>
      <w:r>
        <w:rPr>
          <w:color w:val="auto"/>
          <w:highlight w:val="none"/>
        </w:rPr>
        <w:t>（2）作业季节及作业周期：回避鱼类的迁徙期和产卵孵化期（主要为春夏季），同时进行现场监测，采集真实规范的样品，并对其浊度及悬浮物颗粒的变化进行监测。</w:t>
      </w:r>
    </w:p>
    <w:p w14:paraId="705EC775">
      <w:pPr>
        <w:topLinePunct w:val="0"/>
        <w:ind w:firstLine="480"/>
        <w:contextualSpacing/>
        <w:rPr>
          <w:color w:val="auto"/>
          <w:highlight w:val="none"/>
        </w:rPr>
      </w:pPr>
      <w:r>
        <w:rPr>
          <w:color w:val="auto"/>
          <w:highlight w:val="none"/>
        </w:rPr>
        <w:t>（3）施工过程严禁向海域内倾倒、排放污染物，避免水环境污染。</w:t>
      </w:r>
    </w:p>
    <w:p w14:paraId="7F16B55B">
      <w:pPr>
        <w:topLinePunct w:val="0"/>
        <w:ind w:firstLine="480"/>
        <w:contextualSpacing/>
        <w:rPr>
          <w:color w:val="auto"/>
          <w:highlight w:val="none"/>
        </w:rPr>
      </w:pPr>
      <w:r>
        <w:rPr>
          <w:color w:val="auto"/>
          <w:highlight w:val="none"/>
        </w:rPr>
        <w:t>（4）物料运输过程加盖篷布、洒水，避免因起尘带来的扬尘扩散对海洋环境带来影响。</w:t>
      </w:r>
    </w:p>
    <w:bookmarkEnd w:id="226"/>
    <w:bookmarkEnd w:id="227"/>
    <w:p w14:paraId="25386CF4">
      <w:pPr>
        <w:pStyle w:val="6"/>
        <w:numPr>
          <w:ilvl w:val="1"/>
          <w:numId w:val="9"/>
        </w:numPr>
        <w:rPr>
          <w:color w:val="auto"/>
          <w:sz w:val="32"/>
          <w:szCs w:val="32"/>
          <w:highlight w:val="none"/>
        </w:rPr>
      </w:pPr>
      <w:bookmarkStart w:id="228" w:name="_Toc154396210"/>
      <w:bookmarkEnd w:id="228"/>
      <w:bookmarkStart w:id="229" w:name="_Toc75684937"/>
      <w:bookmarkEnd w:id="229"/>
      <w:bookmarkStart w:id="230" w:name="_Toc154309949"/>
      <w:bookmarkEnd w:id="230"/>
      <w:bookmarkStart w:id="231" w:name="_Toc232154574"/>
      <w:bookmarkEnd w:id="231"/>
      <w:bookmarkStart w:id="232" w:name="_Toc232154575"/>
      <w:bookmarkEnd w:id="232"/>
      <w:bookmarkStart w:id="233" w:name="_Toc75684936"/>
      <w:bookmarkEnd w:id="233"/>
      <w:bookmarkStart w:id="234" w:name="_Toc154396211"/>
      <w:bookmarkEnd w:id="234"/>
      <w:bookmarkStart w:id="235" w:name="_Toc154309950"/>
      <w:bookmarkEnd w:id="235"/>
      <w:bookmarkStart w:id="236" w:name="_Toc33967227"/>
      <w:bookmarkStart w:id="237" w:name="_Toc23914"/>
      <w:bookmarkStart w:id="238" w:name="_Toc32230"/>
      <w:bookmarkStart w:id="239" w:name="_Toc33967123"/>
      <w:r>
        <w:rPr>
          <w:color w:val="auto"/>
          <w:sz w:val="32"/>
          <w:szCs w:val="32"/>
          <w:highlight w:val="none"/>
        </w:rPr>
        <w:t>运营</w:t>
      </w:r>
      <w:bookmarkEnd w:id="236"/>
      <w:bookmarkEnd w:id="237"/>
      <w:bookmarkEnd w:id="238"/>
      <w:bookmarkEnd w:id="239"/>
      <w:r>
        <w:rPr>
          <w:color w:val="auto"/>
          <w:sz w:val="32"/>
          <w:szCs w:val="32"/>
          <w:highlight w:val="none"/>
        </w:rPr>
        <w:t>期环境保护措施</w:t>
      </w:r>
    </w:p>
    <w:p w14:paraId="00B8A117">
      <w:pPr>
        <w:pStyle w:val="7"/>
        <w:numPr>
          <w:ilvl w:val="2"/>
          <w:numId w:val="9"/>
        </w:numPr>
        <w:rPr>
          <w:color w:val="auto"/>
          <w:sz w:val="28"/>
          <w:highlight w:val="none"/>
        </w:rPr>
      </w:pPr>
      <w:r>
        <w:rPr>
          <w:color w:val="auto"/>
          <w:sz w:val="28"/>
          <w:highlight w:val="none"/>
        </w:rPr>
        <w:t>运营期环境空气保护措施</w:t>
      </w:r>
    </w:p>
    <w:p w14:paraId="460897AB">
      <w:pPr>
        <w:pStyle w:val="91"/>
        <w:adjustRightInd w:val="0"/>
        <w:snapToGrid w:val="0"/>
        <w:spacing w:after="0" w:line="360" w:lineRule="auto"/>
        <w:ind w:left="0" w:leftChars="0" w:firstLine="480"/>
        <w:rPr>
          <w:rFonts w:ascii="Times New Roman" w:hAnsi="Times New Roman" w:cs="Times New Roman"/>
          <w:color w:val="auto"/>
          <w:kern w:val="0"/>
          <w:sz w:val="24"/>
          <w:highlight w:val="none"/>
        </w:rPr>
      </w:pPr>
      <w:r>
        <w:rPr>
          <w:rFonts w:ascii="Times New Roman" w:hAnsi="Times New Roman" w:cs="Times New Roman"/>
          <w:color w:val="auto"/>
          <w:kern w:val="0"/>
          <w:sz w:val="24"/>
          <w:highlight w:val="none"/>
        </w:rPr>
        <w:t>运营期本工程产生的大气污染物主要是浮船坞修船过程中排放的喷漆有机废气、焊接烟尘、除锈粉尘及切割粉尘等。</w:t>
      </w:r>
      <w:r>
        <w:rPr>
          <w:rFonts w:hint="eastAsia" w:ascii="Times New Roman" w:hAnsi="Times New Roman" w:cs="Times New Roman"/>
          <w:color w:val="auto"/>
          <w:kern w:val="0"/>
          <w:sz w:val="24"/>
          <w:highlight w:val="none"/>
        </w:rPr>
        <w:t>由于船坞设置在海边，风速较大，且船舶体积较大，修造封闭式船坞存在技术及资金上的问题，故国内外用于修造船的船坞基本上是露天设置的。污染物排放方式均为无组织排放。</w:t>
      </w:r>
    </w:p>
    <w:p w14:paraId="52AF4A52">
      <w:pPr>
        <w:pStyle w:val="533"/>
        <w:numPr>
          <w:ilvl w:val="3"/>
          <w:numId w:val="9"/>
        </w:numPr>
        <w:rPr>
          <w:color w:val="auto"/>
          <w:szCs w:val="24"/>
          <w:highlight w:val="none"/>
          <w:u w:val="single"/>
        </w:rPr>
      </w:pPr>
      <w:r>
        <w:rPr>
          <w:color w:val="auto"/>
          <w:szCs w:val="24"/>
          <w:highlight w:val="none"/>
          <w:u w:val="single"/>
        </w:rPr>
        <w:t>喷漆废气</w:t>
      </w:r>
    </w:p>
    <w:p w14:paraId="29C310DE">
      <w:pPr>
        <w:ind w:firstLine="480"/>
        <w:rPr>
          <w:color w:val="auto"/>
          <w:highlight w:val="none"/>
        </w:rPr>
      </w:pPr>
      <w:r>
        <w:rPr>
          <w:color w:val="auto"/>
          <w:highlight w:val="none"/>
          <w:u w:val="single"/>
        </w:rPr>
        <w:t>项目坞修过程</w:t>
      </w:r>
      <w:r>
        <w:rPr>
          <w:color w:val="auto"/>
          <w:szCs w:val="20"/>
          <w:highlight w:val="none"/>
          <w:u w:val="single"/>
        </w:rPr>
        <w:t>需要对船舶的钢板以及维修部位进行防腐防锈油漆作业，漆雾及有机废气正是油漆涂装时产生的，主要来自船坞中船体维修喷涂工序；</w:t>
      </w:r>
      <w:r>
        <w:rPr>
          <w:color w:val="auto"/>
          <w:highlight w:val="none"/>
          <w:u w:val="single"/>
        </w:rPr>
        <w:t>在实际生产中，</w:t>
      </w:r>
      <w:r>
        <w:rPr>
          <w:color w:val="auto"/>
          <w:szCs w:val="20"/>
          <w:highlight w:val="none"/>
          <w:u w:val="single"/>
        </w:rPr>
        <w:t>船坞喷漆点较为分散，且船坞设置在海边，风速较大，移动式废气收集处理设施收集率不高，对于室外进行的喷漆，目前尚无有效收集措施，因此本项目船坞喷漆废气主要采取无组织的形式排放。</w:t>
      </w:r>
      <w:r>
        <w:rPr>
          <w:color w:val="auto"/>
          <w:highlight w:val="none"/>
        </w:rPr>
        <w:t>为了减少对周边大气环境的影响，主要通过以下几个方面对</w:t>
      </w:r>
      <w:r>
        <w:rPr>
          <w:rFonts w:hint="eastAsia"/>
          <w:color w:val="auto"/>
          <w:highlight w:val="none"/>
        </w:rPr>
        <w:t>挥发性有机物</w:t>
      </w:r>
      <w:r>
        <w:rPr>
          <w:color w:val="auto"/>
          <w:highlight w:val="none"/>
        </w:rPr>
        <w:t>进行控制：</w:t>
      </w:r>
    </w:p>
    <w:p w14:paraId="3B6AEFC3">
      <w:pPr>
        <w:ind w:firstLine="480"/>
        <w:rPr>
          <w:color w:val="auto"/>
          <w:highlight w:val="none"/>
        </w:rPr>
      </w:pPr>
      <w:r>
        <w:rPr>
          <w:color w:val="auto"/>
          <w:highlight w:val="none"/>
        </w:rPr>
        <w:t>①加强清洁生产水平，利用较清洁的喷涂工艺，使用苯系物含量较低的有机溶剂、水溶性和无溶剂型涂料；</w:t>
      </w:r>
    </w:p>
    <w:p w14:paraId="107CE0E3">
      <w:pPr>
        <w:ind w:firstLine="480"/>
        <w:rPr>
          <w:color w:val="auto"/>
          <w:highlight w:val="none"/>
        </w:rPr>
      </w:pPr>
      <w:r>
        <w:rPr>
          <w:color w:val="auto"/>
          <w:highlight w:val="none"/>
        </w:rPr>
        <w:t>②使用先进的环保喷涂设施—无气喷涂机，以减少漆雾的飞散，提高油漆利用率，从而从源头减少了污染物的排放；</w:t>
      </w:r>
    </w:p>
    <w:p w14:paraId="21CC1E29">
      <w:pPr>
        <w:ind w:firstLine="480"/>
        <w:rPr>
          <w:color w:val="auto"/>
          <w:highlight w:val="none"/>
        </w:rPr>
      </w:pPr>
      <w:r>
        <w:rPr>
          <w:color w:val="auto"/>
          <w:highlight w:val="none"/>
        </w:rPr>
        <w:t>③在不利天气减少或避免喷涂；</w:t>
      </w:r>
    </w:p>
    <w:p w14:paraId="2EADDF7D">
      <w:pPr>
        <w:ind w:firstLine="480"/>
        <w:rPr>
          <w:color w:val="auto"/>
          <w:highlight w:val="none"/>
        </w:rPr>
      </w:pPr>
      <w:r>
        <w:rPr>
          <w:color w:val="auto"/>
          <w:highlight w:val="none"/>
        </w:rPr>
        <w:t>④控制浮船坞的喷枪数量，避免同时进行大规模喷涂作业。</w:t>
      </w:r>
    </w:p>
    <w:p w14:paraId="5F639B05">
      <w:pPr>
        <w:ind w:firstLine="480"/>
        <w:rPr>
          <w:color w:val="auto"/>
          <w:highlight w:val="none"/>
        </w:rPr>
      </w:pPr>
      <w:r>
        <w:rPr>
          <w:color w:val="auto"/>
          <w:highlight w:val="none"/>
        </w:rPr>
        <w:t>⑤补漆过程需减少装置的跑、冒、滴、漏。</w:t>
      </w:r>
    </w:p>
    <w:p w14:paraId="0B3EFC24">
      <w:pPr>
        <w:ind w:firstLine="480"/>
        <w:rPr>
          <w:color w:val="auto"/>
          <w:highlight w:val="none"/>
        </w:rPr>
      </w:pPr>
      <w:r>
        <w:rPr>
          <w:color w:val="auto"/>
          <w:highlight w:val="none"/>
        </w:rPr>
        <w:t>⑥加强船体的通风。</w:t>
      </w:r>
    </w:p>
    <w:p w14:paraId="0A5BA515">
      <w:pPr>
        <w:ind w:firstLine="480"/>
        <w:rPr>
          <w:color w:val="auto"/>
          <w:highlight w:val="none"/>
        </w:rPr>
      </w:pPr>
      <w:r>
        <w:rPr>
          <w:color w:val="auto"/>
          <w:highlight w:val="none"/>
        </w:rPr>
        <w:t>⑦加强人员培训，加强事故防范意识。</w:t>
      </w:r>
    </w:p>
    <w:p w14:paraId="78D8CC59">
      <w:pPr>
        <w:ind w:firstLine="480"/>
        <w:rPr>
          <w:color w:val="auto"/>
          <w:highlight w:val="none"/>
        </w:rPr>
      </w:pPr>
      <w:r>
        <w:rPr>
          <w:color w:val="auto"/>
          <w:highlight w:val="none"/>
        </w:rPr>
        <w:t>采取以上措施后，项目喷漆过程产生的废气能够得到效控制。</w:t>
      </w:r>
    </w:p>
    <w:p w14:paraId="30247B9A">
      <w:pPr>
        <w:pStyle w:val="533"/>
        <w:numPr>
          <w:ilvl w:val="3"/>
          <w:numId w:val="9"/>
        </w:numPr>
        <w:rPr>
          <w:color w:val="auto"/>
          <w:szCs w:val="24"/>
          <w:highlight w:val="none"/>
        </w:rPr>
      </w:pPr>
      <w:r>
        <w:rPr>
          <w:color w:val="auto"/>
          <w:szCs w:val="24"/>
          <w:highlight w:val="none"/>
        </w:rPr>
        <w:t>切割、除锈粉尘</w:t>
      </w:r>
    </w:p>
    <w:p w14:paraId="02A693CC">
      <w:pPr>
        <w:ind w:firstLine="480"/>
        <w:rPr>
          <w:color w:val="auto"/>
          <w:highlight w:val="none"/>
        </w:rPr>
      </w:pPr>
      <w:r>
        <w:rPr>
          <w:color w:val="auto"/>
          <w:highlight w:val="none"/>
        </w:rPr>
        <w:t>坞修过程会对船体维修部位进行传统喷砂除锈作业，会产生除锈粉尘；修船割除旧部件过程会产生少量切割粉尘；本环评建议在喷砂除锈及切割作业时应采取以下防护措施：</w:t>
      </w:r>
    </w:p>
    <w:p w14:paraId="4B80AC36">
      <w:pPr>
        <w:ind w:firstLine="480"/>
        <w:rPr>
          <w:color w:val="auto"/>
          <w:highlight w:val="none"/>
        </w:rPr>
      </w:pPr>
      <w:r>
        <w:rPr>
          <w:color w:val="auto"/>
          <w:highlight w:val="none"/>
        </w:rPr>
        <w:t>①优选环保型打砂水喷砂设备，降低灰尘的产生；</w:t>
      </w:r>
    </w:p>
    <w:p w14:paraId="225B68D1">
      <w:pPr>
        <w:ind w:firstLine="480"/>
        <w:rPr>
          <w:color w:val="auto"/>
          <w:highlight w:val="none"/>
        </w:rPr>
      </w:pPr>
      <w:r>
        <w:rPr>
          <w:color w:val="auto"/>
          <w:highlight w:val="none"/>
        </w:rPr>
        <w:t>②修船过程中修船坞的喷砂采用硬度较大的铜矿砂，且避免二次使用；</w:t>
      </w:r>
    </w:p>
    <w:p w14:paraId="27D0D233">
      <w:pPr>
        <w:ind w:firstLine="480"/>
        <w:rPr>
          <w:color w:val="auto"/>
          <w:highlight w:val="none"/>
        </w:rPr>
      </w:pPr>
      <w:r>
        <w:rPr>
          <w:color w:val="auto"/>
          <w:highlight w:val="none"/>
        </w:rPr>
        <w:t>③不在大风天气进行室外喷砂、切割作业；</w:t>
      </w:r>
    </w:p>
    <w:p w14:paraId="111CB1D1">
      <w:pPr>
        <w:ind w:firstLine="480"/>
        <w:rPr>
          <w:color w:val="auto"/>
          <w:highlight w:val="none"/>
        </w:rPr>
      </w:pPr>
      <w:r>
        <w:rPr>
          <w:color w:val="auto"/>
          <w:highlight w:val="none"/>
        </w:rPr>
        <w:t>④对</w:t>
      </w:r>
      <w:r>
        <w:rPr>
          <w:rFonts w:hint="eastAsia"/>
          <w:color w:val="auto"/>
          <w:highlight w:val="none"/>
          <w:lang w:eastAsia="zh-CN"/>
        </w:rPr>
        <w:t>喷砂除锈过程产生的</w:t>
      </w:r>
      <w:r>
        <w:rPr>
          <w:color w:val="auto"/>
          <w:highlight w:val="none"/>
        </w:rPr>
        <w:t>废铜矿砂及时清运处理，避免二次扬尘的产生；</w:t>
      </w:r>
    </w:p>
    <w:p w14:paraId="14DE56C0">
      <w:pPr>
        <w:ind w:firstLine="480"/>
        <w:rPr>
          <w:color w:val="auto"/>
          <w:highlight w:val="none"/>
        </w:rPr>
      </w:pPr>
      <w:r>
        <w:rPr>
          <w:color w:val="auto"/>
          <w:highlight w:val="none"/>
        </w:rPr>
        <w:t>⑤加强对喷砂、切割操作工的作业培训和管理，以便将作业过程中产生的绝大部分粉尘回收，从而将喷砂粉尘对环境的影响降至最低限度。</w:t>
      </w:r>
    </w:p>
    <w:p w14:paraId="30B2C397">
      <w:pPr>
        <w:pStyle w:val="533"/>
        <w:numPr>
          <w:ilvl w:val="3"/>
          <w:numId w:val="9"/>
        </w:numPr>
        <w:rPr>
          <w:color w:val="auto"/>
          <w:szCs w:val="24"/>
          <w:highlight w:val="none"/>
        </w:rPr>
      </w:pPr>
      <w:r>
        <w:rPr>
          <w:color w:val="auto"/>
          <w:szCs w:val="24"/>
          <w:highlight w:val="none"/>
        </w:rPr>
        <w:t>焊接烟尘</w:t>
      </w:r>
    </w:p>
    <w:p w14:paraId="55064867">
      <w:pPr>
        <w:pStyle w:val="91"/>
        <w:adjustRightInd w:val="0"/>
        <w:snapToGrid w:val="0"/>
        <w:spacing w:after="0" w:line="360" w:lineRule="auto"/>
        <w:ind w:left="0" w:leftChars="0" w:firstLine="480"/>
        <w:rPr>
          <w:rFonts w:ascii="Times New Roman" w:hAnsi="Times New Roman" w:cs="Times New Roman"/>
          <w:color w:val="auto"/>
          <w:kern w:val="0"/>
          <w:sz w:val="24"/>
          <w:highlight w:val="none"/>
        </w:rPr>
      </w:pPr>
      <w:r>
        <w:rPr>
          <w:rFonts w:ascii="Times New Roman" w:hAnsi="Times New Roman" w:cs="Times New Roman"/>
          <w:color w:val="auto"/>
          <w:kern w:val="0"/>
          <w:sz w:val="24"/>
          <w:highlight w:val="none"/>
        </w:rPr>
        <w:t>在焊接过程中，会产生一定量的焊接烟尘及有毒有害气体，同时伴有弧光、电磁场等有害因素，影响人体健康。为了改善焊接作业区域的劳动环境条件，保护操作人员的身体健康，项目拟采用全面通风净化与局部通风净化相结合的方法，主要采用以下几个方面对其进行污染控制：</w:t>
      </w:r>
    </w:p>
    <w:p w14:paraId="6D147B5F">
      <w:pPr>
        <w:pStyle w:val="91"/>
        <w:adjustRightInd w:val="0"/>
        <w:snapToGrid w:val="0"/>
        <w:spacing w:after="0" w:line="360" w:lineRule="auto"/>
        <w:ind w:left="0" w:leftChars="0" w:firstLine="480"/>
        <w:rPr>
          <w:rFonts w:ascii="Times New Roman" w:hAnsi="Times New Roman" w:cs="Times New Roman"/>
          <w:color w:val="auto"/>
          <w:kern w:val="0"/>
          <w:sz w:val="24"/>
          <w:highlight w:val="none"/>
          <w:u w:val="single"/>
        </w:rPr>
      </w:pPr>
      <w:r>
        <w:rPr>
          <w:rFonts w:ascii="Times New Roman" w:hAnsi="Times New Roman" w:cs="Times New Roman"/>
          <w:color w:val="auto"/>
          <w:kern w:val="0"/>
          <w:sz w:val="24"/>
          <w:highlight w:val="none"/>
          <w:u w:val="single"/>
        </w:rPr>
        <w:t>①</w:t>
      </w:r>
      <w:r>
        <w:rPr>
          <w:rFonts w:hint="eastAsia" w:ascii="Times New Roman" w:hAnsi="Times New Roman" w:cs="Times New Roman"/>
          <w:color w:val="auto"/>
          <w:kern w:val="0"/>
          <w:sz w:val="24"/>
          <w:highlight w:val="none"/>
          <w:u w:val="single"/>
        </w:rPr>
        <w:t>焊接过程采用</w:t>
      </w:r>
      <w:r>
        <w:rPr>
          <w:rFonts w:ascii="Times New Roman" w:hAnsi="Times New Roman" w:cs="Times New Roman"/>
          <w:color w:val="auto"/>
          <w:kern w:val="0"/>
          <w:sz w:val="24"/>
          <w:highlight w:val="none"/>
          <w:u w:val="single"/>
        </w:rPr>
        <w:t>配有焊接烟尘净化装置的机器进行焊接，减少焊接烟尘的排放</w:t>
      </w:r>
      <w:r>
        <w:rPr>
          <w:rFonts w:hint="eastAsia" w:ascii="Times New Roman" w:hAnsi="Times New Roman" w:cs="Times New Roman"/>
          <w:color w:val="auto"/>
          <w:kern w:val="0"/>
          <w:sz w:val="24"/>
          <w:highlight w:val="none"/>
          <w:u w:val="single"/>
        </w:rPr>
        <w:t>；</w:t>
      </w:r>
      <w:r>
        <w:rPr>
          <w:rFonts w:ascii="Times New Roman" w:hAnsi="Times New Roman" w:cs="Times New Roman"/>
          <w:color w:val="auto"/>
          <w:kern w:val="0"/>
          <w:sz w:val="24"/>
          <w:highlight w:val="none"/>
          <w:u w:val="single"/>
        </w:rPr>
        <w:t>对个别焊点不适宜装设局部焊烟净化装置及全面通风装置时，可采用个人防护密闭大帽，通过人鼻、嘴的呼吸自动打开放氧或过滤小型净化设施，阻止操作时产生的焊尘及有毒有害气体与操作者接触。</w:t>
      </w:r>
    </w:p>
    <w:p w14:paraId="45CDD130">
      <w:pPr>
        <w:pStyle w:val="91"/>
        <w:adjustRightInd w:val="0"/>
        <w:snapToGrid w:val="0"/>
        <w:spacing w:after="0" w:line="360" w:lineRule="auto"/>
        <w:ind w:left="0" w:leftChars="0" w:firstLine="480"/>
        <w:rPr>
          <w:rFonts w:ascii="Times New Roman" w:hAnsi="Times New Roman" w:cs="Times New Roman"/>
          <w:color w:val="auto"/>
          <w:kern w:val="0"/>
          <w:sz w:val="24"/>
          <w:highlight w:val="none"/>
        </w:rPr>
      </w:pPr>
      <w:r>
        <w:rPr>
          <w:rFonts w:ascii="Times New Roman" w:hAnsi="Times New Roman" w:cs="Times New Roman"/>
          <w:color w:val="auto"/>
          <w:kern w:val="0"/>
          <w:sz w:val="24"/>
          <w:highlight w:val="none"/>
        </w:rPr>
        <w:t>②使电焊过程自动化、机械化、密闭化，避免焊接烟尘与人体的直接、长期、持续接触，并以一定规模的半自动焊，甚至自动焊来代替手工焊以有效控制烟尘发生量，在一定程度上减少焊接烟尘的危害。</w:t>
      </w:r>
    </w:p>
    <w:p w14:paraId="03DF0B03">
      <w:pPr>
        <w:pStyle w:val="91"/>
        <w:adjustRightInd w:val="0"/>
        <w:snapToGrid w:val="0"/>
        <w:spacing w:after="0" w:line="360" w:lineRule="auto"/>
        <w:ind w:left="0" w:leftChars="0" w:firstLine="480"/>
        <w:rPr>
          <w:rFonts w:ascii="Times New Roman" w:hAnsi="Times New Roman" w:cs="Times New Roman"/>
          <w:color w:val="auto"/>
          <w:kern w:val="0"/>
          <w:sz w:val="24"/>
          <w:highlight w:val="none"/>
        </w:rPr>
      </w:pPr>
      <w:r>
        <w:rPr>
          <w:rFonts w:hint="eastAsia" w:ascii="宋体" w:hAnsi="宋体" w:cs="宋体"/>
          <w:color w:val="auto"/>
          <w:kern w:val="0"/>
          <w:sz w:val="24"/>
          <w:highlight w:val="none"/>
        </w:rPr>
        <w:t>③</w:t>
      </w:r>
      <w:r>
        <w:rPr>
          <w:rFonts w:ascii="Times New Roman" w:hAnsi="Times New Roman" w:cs="Times New Roman"/>
          <w:color w:val="auto"/>
          <w:kern w:val="0"/>
          <w:sz w:val="24"/>
          <w:highlight w:val="none"/>
        </w:rPr>
        <w:t>采用低毒低尘的焊接材料，并严格按照电焊作业操作规范要求进行操作，也可以比较有效地减少烟尘发生量，在一定程度上减少焊接烟尘的危害。</w:t>
      </w:r>
    </w:p>
    <w:p w14:paraId="1EB62D23">
      <w:pPr>
        <w:pStyle w:val="91"/>
        <w:adjustRightInd w:val="0"/>
        <w:snapToGrid w:val="0"/>
        <w:spacing w:after="0" w:line="360" w:lineRule="auto"/>
        <w:ind w:left="0" w:leftChars="0" w:firstLine="480"/>
        <w:rPr>
          <w:rFonts w:ascii="Times New Roman" w:hAnsi="Times New Roman" w:cs="Times New Roman"/>
          <w:color w:val="auto"/>
          <w:kern w:val="0"/>
          <w:sz w:val="24"/>
          <w:highlight w:val="none"/>
        </w:rPr>
      </w:pPr>
      <w:r>
        <w:rPr>
          <w:rFonts w:ascii="Times New Roman" w:hAnsi="Times New Roman" w:cs="Times New Roman"/>
          <w:color w:val="auto"/>
          <w:kern w:val="0"/>
          <w:sz w:val="24"/>
          <w:highlight w:val="none"/>
        </w:rPr>
        <w:t>④焊接作业时对船舱内进行强制性机械通风，以降低焊接作业时舱内的焊接烟尘及有毒有害物质的浓度。</w:t>
      </w:r>
    </w:p>
    <w:p w14:paraId="4DEE5049">
      <w:pPr>
        <w:pStyle w:val="91"/>
        <w:adjustRightInd w:val="0"/>
        <w:snapToGrid w:val="0"/>
        <w:spacing w:after="0" w:line="360" w:lineRule="auto"/>
        <w:ind w:left="0" w:leftChars="0" w:firstLine="480"/>
        <w:rPr>
          <w:rFonts w:ascii="Times New Roman" w:hAnsi="Times New Roman" w:cs="Times New Roman"/>
          <w:color w:val="auto"/>
          <w:kern w:val="0"/>
          <w:sz w:val="24"/>
          <w:highlight w:val="none"/>
        </w:rPr>
      </w:pPr>
      <w:r>
        <w:rPr>
          <w:rFonts w:ascii="Times New Roman" w:hAnsi="Times New Roman" w:cs="Times New Roman"/>
          <w:color w:val="auto"/>
          <w:kern w:val="0"/>
          <w:sz w:val="24"/>
          <w:highlight w:val="none"/>
        </w:rPr>
        <w:t>采取以上措施后焊接烟尘对大气环境影响不大。</w:t>
      </w:r>
    </w:p>
    <w:p w14:paraId="4A8ADFAE">
      <w:pPr>
        <w:pStyle w:val="7"/>
        <w:numPr>
          <w:ilvl w:val="2"/>
          <w:numId w:val="9"/>
        </w:numPr>
        <w:rPr>
          <w:color w:val="auto"/>
          <w:sz w:val="28"/>
          <w:highlight w:val="none"/>
        </w:rPr>
      </w:pPr>
      <w:bookmarkStart w:id="240" w:name="_Toc232154582"/>
      <w:bookmarkEnd w:id="240"/>
      <w:bookmarkStart w:id="241" w:name="_Toc232154577"/>
      <w:bookmarkEnd w:id="241"/>
      <w:bookmarkStart w:id="242" w:name="_Toc33967124"/>
      <w:bookmarkStart w:id="243" w:name="_Toc33967228"/>
      <w:r>
        <w:rPr>
          <w:color w:val="auto"/>
          <w:sz w:val="28"/>
          <w:highlight w:val="none"/>
        </w:rPr>
        <w:t>运营期地表水环境保护措施</w:t>
      </w:r>
      <w:bookmarkEnd w:id="242"/>
      <w:bookmarkEnd w:id="243"/>
    </w:p>
    <w:p w14:paraId="4CB3E3E9">
      <w:pPr>
        <w:ind w:firstLine="480"/>
        <w:rPr>
          <w:color w:val="auto"/>
          <w:highlight w:val="none"/>
        </w:rPr>
      </w:pPr>
      <w:bookmarkStart w:id="244" w:name="_Toc247517400"/>
      <w:r>
        <w:rPr>
          <w:color w:val="auto"/>
          <w:highlight w:val="none"/>
        </w:rPr>
        <w:t>运营期主要为职工生活污水、船舱污水及初期雨水。</w:t>
      </w:r>
    </w:p>
    <w:p w14:paraId="2C3B4959">
      <w:pPr>
        <w:pStyle w:val="533"/>
        <w:numPr>
          <w:ilvl w:val="3"/>
          <w:numId w:val="9"/>
        </w:numPr>
        <w:rPr>
          <w:color w:val="auto"/>
          <w:szCs w:val="24"/>
          <w:highlight w:val="none"/>
        </w:rPr>
      </w:pPr>
      <w:r>
        <w:rPr>
          <w:color w:val="auto"/>
          <w:szCs w:val="24"/>
          <w:highlight w:val="none"/>
        </w:rPr>
        <w:t>职工生活污水</w:t>
      </w:r>
    </w:p>
    <w:p w14:paraId="79799DCA">
      <w:pPr>
        <w:ind w:firstLine="480"/>
        <w:rPr>
          <w:color w:val="auto"/>
          <w:highlight w:val="none"/>
        </w:rPr>
      </w:pPr>
      <w:r>
        <w:rPr>
          <w:color w:val="auto"/>
          <w:highlight w:val="none"/>
        </w:rPr>
        <w:t>陆域污水主要为职工生活污水，职工</w:t>
      </w:r>
      <w:r>
        <w:rPr>
          <w:color w:val="auto"/>
          <w:szCs w:val="20"/>
          <w:highlight w:val="none"/>
        </w:rPr>
        <w:t>生活污水经</w:t>
      </w:r>
      <w:r>
        <w:rPr>
          <w:rFonts w:hint="eastAsia"/>
          <w:color w:val="auto"/>
          <w:szCs w:val="20"/>
          <w:highlight w:val="none"/>
        </w:rPr>
        <w:t>陆域</w:t>
      </w:r>
      <w:r>
        <w:rPr>
          <w:color w:val="auto"/>
          <w:szCs w:val="20"/>
          <w:highlight w:val="none"/>
        </w:rPr>
        <w:t>生活污水处理一体化设备（处理规模300m</w:t>
      </w:r>
      <w:r>
        <w:rPr>
          <w:color w:val="auto"/>
          <w:szCs w:val="20"/>
          <w:highlight w:val="none"/>
          <w:vertAlign w:val="superscript"/>
        </w:rPr>
        <w:t>3</w:t>
      </w:r>
      <w:r>
        <w:rPr>
          <w:color w:val="auto"/>
          <w:szCs w:val="20"/>
          <w:highlight w:val="none"/>
        </w:rPr>
        <w:t>/d）处理</w:t>
      </w:r>
      <w:r>
        <w:rPr>
          <w:rFonts w:hint="eastAsia"/>
          <w:color w:val="auto"/>
          <w:szCs w:val="20"/>
          <w:highlight w:val="none"/>
        </w:rPr>
        <w:t>后，进入中水回用池储存，</w:t>
      </w:r>
      <w:r>
        <w:rPr>
          <w:color w:val="auto"/>
          <w:szCs w:val="20"/>
          <w:highlight w:val="none"/>
        </w:rPr>
        <w:t>大部分回用于厂区绿化及降尘，少部分不能回用的由槽罐车运至大榄坪污水处理厂处理</w:t>
      </w:r>
      <w:r>
        <w:rPr>
          <w:color w:val="auto"/>
          <w:highlight w:val="none"/>
        </w:rPr>
        <w:t>。达到《城镇污水处理厂污染物排放标准》（GB18918-2002）一级A标准后排放，不在本区域排放。</w:t>
      </w:r>
    </w:p>
    <w:p w14:paraId="49A75301">
      <w:pPr>
        <w:pStyle w:val="533"/>
        <w:numPr>
          <w:ilvl w:val="3"/>
          <w:numId w:val="9"/>
        </w:numPr>
        <w:rPr>
          <w:color w:val="auto"/>
          <w:szCs w:val="24"/>
          <w:highlight w:val="none"/>
        </w:rPr>
      </w:pPr>
      <w:r>
        <w:rPr>
          <w:color w:val="auto"/>
          <w:szCs w:val="24"/>
          <w:highlight w:val="none"/>
        </w:rPr>
        <w:t>船舶污水</w:t>
      </w:r>
    </w:p>
    <w:p w14:paraId="33283AAF">
      <w:pPr>
        <w:ind w:firstLine="480"/>
        <w:rPr>
          <w:color w:val="auto"/>
          <w:highlight w:val="none"/>
        </w:rPr>
      </w:pPr>
      <w:r>
        <w:rPr>
          <w:color w:val="auto"/>
          <w:highlight w:val="none"/>
        </w:rPr>
        <w:t>船舶污水主要包括压舱水、洗舱废水、高压冲洗水、含油废水。修理的船舶在进坞前需进行清仓处理，保证空船进坞。压舱水需在进坞前委托有资质单位处理，不得在本项目区域排放；洗舱作业及产生的洗舱废水委托有资质单位处理，不得在本项目区域排放；因此本项目生产废水主要为高压冲洗废水和坞修含油废水。</w:t>
      </w:r>
    </w:p>
    <w:p w14:paraId="296025F0">
      <w:pPr>
        <w:ind w:firstLine="480"/>
        <w:rPr>
          <w:color w:val="auto"/>
          <w:highlight w:val="none"/>
        </w:rPr>
      </w:pPr>
      <w:r>
        <w:rPr>
          <w:color w:val="auto"/>
          <w:highlight w:val="none"/>
        </w:rPr>
        <w:t>高压冲洗水经收集沉淀后回用于船体高压冲洗或船坞清洗，不外排</w:t>
      </w:r>
      <w:r>
        <w:rPr>
          <w:rFonts w:hint="eastAsia"/>
          <w:color w:val="auto"/>
          <w:highlight w:val="none"/>
        </w:rPr>
        <w:t>。</w:t>
      </w:r>
    </w:p>
    <w:p w14:paraId="689C4446">
      <w:pPr>
        <w:ind w:firstLine="480"/>
        <w:rPr>
          <w:color w:val="auto"/>
          <w:szCs w:val="20"/>
          <w:highlight w:val="none"/>
        </w:rPr>
      </w:pPr>
      <w:r>
        <w:rPr>
          <w:color w:val="auto"/>
          <w:highlight w:val="none"/>
        </w:rPr>
        <w:t>本项目产生的含油废水主要来自于待修船舶的机舱含油废水、坞底含油废水、坞内清洗含油废水。根据工程分析，含油废水产生量合计8178.75m</w:t>
      </w:r>
      <w:r>
        <w:rPr>
          <w:color w:val="auto"/>
          <w:highlight w:val="none"/>
          <w:vertAlign w:val="superscript"/>
        </w:rPr>
        <w:t>3</w:t>
      </w:r>
      <w:r>
        <w:rPr>
          <w:color w:val="auto"/>
          <w:highlight w:val="none"/>
        </w:rPr>
        <w:t>/a，污染物主要为石油类、COD。</w:t>
      </w:r>
      <w:r>
        <w:rPr>
          <w:color w:val="auto"/>
          <w:szCs w:val="20"/>
          <w:highlight w:val="none"/>
        </w:rPr>
        <w:t>项目坞修产生的含油废水</w:t>
      </w:r>
      <w:r>
        <w:rPr>
          <w:rFonts w:hint="eastAsia"/>
          <w:color w:val="auto"/>
          <w:szCs w:val="20"/>
          <w:highlight w:val="none"/>
        </w:rPr>
        <w:t>经浮船坞配套的污水舱收集后采用罐车运至</w:t>
      </w:r>
      <w:r>
        <w:rPr>
          <w:color w:val="auto"/>
          <w:szCs w:val="20"/>
          <w:highlight w:val="none"/>
        </w:rPr>
        <w:t>厂区</w:t>
      </w:r>
      <w:r>
        <w:rPr>
          <w:rFonts w:hint="eastAsia"/>
          <w:color w:val="auto"/>
          <w:szCs w:val="20"/>
          <w:highlight w:val="none"/>
        </w:rPr>
        <w:t>现有</w:t>
      </w:r>
      <w:r>
        <w:rPr>
          <w:color w:val="auto"/>
          <w:szCs w:val="20"/>
          <w:highlight w:val="none"/>
        </w:rPr>
        <w:t>污水处理站的含油废水处理系统处理</w:t>
      </w:r>
      <w:r>
        <w:rPr>
          <w:rFonts w:hint="eastAsia"/>
          <w:color w:val="auto"/>
          <w:szCs w:val="20"/>
          <w:highlight w:val="none"/>
        </w:rPr>
        <w:t>，</w:t>
      </w:r>
      <w:r>
        <w:rPr>
          <w:color w:val="auto"/>
          <w:szCs w:val="20"/>
          <w:highlight w:val="none"/>
        </w:rPr>
        <w:t>达到《污水综合排放标准》（GB8978-1996）三级标准后，经厂区污水管道排入</w:t>
      </w:r>
      <w:r>
        <w:rPr>
          <w:rFonts w:hint="eastAsia"/>
          <w:color w:val="auto"/>
          <w:szCs w:val="20"/>
          <w:highlight w:val="none"/>
        </w:rPr>
        <w:t>生活污水处理设备配套的中水回用池储存，</w:t>
      </w:r>
      <w:r>
        <w:rPr>
          <w:color w:val="auto"/>
          <w:szCs w:val="20"/>
          <w:highlight w:val="none"/>
        </w:rPr>
        <w:t>大部分回用于厂区绿化及降尘，少部分不能回用的由槽罐车运至大榄坪污水处理厂处理</w:t>
      </w:r>
      <w:r>
        <w:rPr>
          <w:rFonts w:hint="eastAsia"/>
          <w:color w:val="auto"/>
          <w:highlight w:val="none"/>
        </w:rPr>
        <w:t>，</w:t>
      </w:r>
      <w:r>
        <w:rPr>
          <w:color w:val="auto"/>
          <w:szCs w:val="20"/>
          <w:highlight w:val="none"/>
        </w:rPr>
        <w:t>不在本区域排放。</w:t>
      </w:r>
    </w:p>
    <w:p w14:paraId="4DF41456">
      <w:pPr>
        <w:ind w:firstLine="480"/>
        <w:rPr>
          <w:color w:val="auto"/>
          <w:highlight w:val="none"/>
        </w:rPr>
      </w:pPr>
      <w:r>
        <w:rPr>
          <w:color w:val="auto"/>
          <w:highlight w:val="none"/>
        </w:rPr>
        <w:t>厂区污水处理站含油废水处理系统采用物化处理工艺，设计处理能力：5m</w:t>
      </w:r>
      <w:r>
        <w:rPr>
          <w:color w:val="auto"/>
          <w:highlight w:val="none"/>
          <w:vertAlign w:val="superscript"/>
        </w:rPr>
        <w:t>3</w:t>
      </w:r>
      <w:r>
        <w:rPr>
          <w:color w:val="auto"/>
          <w:highlight w:val="none"/>
        </w:rPr>
        <w:t>/h，配套油污水池有效容积约100m</w:t>
      </w:r>
      <w:r>
        <w:rPr>
          <w:color w:val="auto"/>
          <w:highlight w:val="none"/>
          <w:vertAlign w:val="superscript"/>
        </w:rPr>
        <w:t>3</w:t>
      </w:r>
      <w:r>
        <w:rPr>
          <w:color w:val="auto"/>
          <w:highlight w:val="none"/>
        </w:rPr>
        <w:t>。含油废水经收集后，由槽车运至隔油调节池，上层的浮油设置浮油捕集器进行收集。经隔油后的含油废水经废水泵提升至预分离装置，该装置包括斜板隔油、过滤等处理单元，该装置出水再进入高效油水分离装置，该设备根据水和油品的密度差，利用重力沉降原理去除杂质和水份，内部还有扩散锥，滤网等分离元件。油水分离器主要分三个区：沉淀区、浮油区和出水区。含油及杂物的废水进入油水分离器后，先在沉淀区停留，杂物框将其中的固体杂物截流除去，较轻杂物及油浮漂浮到液面。废水流经浮油区时，利用油水密度差使水中残留的油滴进一步沿隔油板集聚上浮，绝大部分废油在此区浮于液面，然后用集油管汇集排除。废水则沿隔油板向下流动进入出水区，由出水管收集排出。浮油区与出水区之间安装物理净化装置，进一步提高油水分离效率。油水分离器内部结构见图8.2-2。</w:t>
      </w:r>
    </w:p>
    <w:p w14:paraId="27BCF817">
      <w:pPr>
        <w:spacing w:line="240" w:lineRule="auto"/>
        <w:ind w:firstLine="0" w:firstLineChars="0"/>
        <w:jc w:val="center"/>
        <w:rPr>
          <w:b/>
          <w:color w:val="auto"/>
          <w:sz w:val="21"/>
          <w:szCs w:val="21"/>
          <w:highlight w:val="none"/>
        </w:rPr>
      </w:pPr>
      <w:r>
        <w:rPr>
          <w:b/>
          <w:color w:val="auto"/>
          <w:sz w:val="21"/>
          <w:szCs w:val="21"/>
          <w:highlight w:val="none"/>
        </w:rPr>
        <w:drawing>
          <wp:inline distT="0" distB="0" distL="114300" distR="114300">
            <wp:extent cx="4264660" cy="1780540"/>
            <wp:effectExtent l="9525" t="9525" r="12065" b="19685"/>
            <wp:docPr id="6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9"/>
                    <pic:cNvPicPr>
                      <a:picLocks noChangeAspect="1"/>
                    </pic:cNvPicPr>
                  </pic:nvPicPr>
                  <pic:blipFill>
                    <a:blip r:embed="rId127"/>
                    <a:srcRect b="10695"/>
                    <a:stretch>
                      <a:fillRect/>
                    </a:stretch>
                  </pic:blipFill>
                  <pic:spPr>
                    <a:xfrm>
                      <a:off x="0" y="0"/>
                      <a:ext cx="4264660" cy="1780540"/>
                    </a:xfrm>
                    <a:prstGeom prst="rect">
                      <a:avLst/>
                    </a:prstGeom>
                    <a:noFill/>
                    <a:ln>
                      <a:solidFill>
                        <a:schemeClr val="tx1"/>
                      </a:solidFill>
                    </a:ln>
                  </pic:spPr>
                </pic:pic>
              </a:graphicData>
            </a:graphic>
          </wp:inline>
        </w:drawing>
      </w:r>
    </w:p>
    <w:p w14:paraId="178663D3">
      <w:pPr>
        <w:spacing w:line="240" w:lineRule="auto"/>
        <w:ind w:firstLine="0" w:firstLineChars="0"/>
        <w:jc w:val="center"/>
        <w:rPr>
          <w:b/>
          <w:color w:val="auto"/>
          <w:sz w:val="21"/>
          <w:szCs w:val="21"/>
          <w:highlight w:val="none"/>
        </w:rPr>
      </w:pPr>
      <w:r>
        <w:rPr>
          <w:b/>
          <w:color w:val="auto"/>
          <w:sz w:val="21"/>
          <w:szCs w:val="21"/>
          <w:highlight w:val="none"/>
        </w:rPr>
        <w:t>图5.2-1 油水分离器内部结构图</w:t>
      </w:r>
    </w:p>
    <w:p w14:paraId="19B0447C">
      <w:pPr>
        <w:ind w:firstLine="480"/>
        <w:rPr>
          <w:color w:val="auto"/>
          <w:highlight w:val="none"/>
        </w:rPr>
      </w:pPr>
    </w:p>
    <w:p w14:paraId="1A4010AE">
      <w:pPr>
        <w:ind w:firstLine="480"/>
        <w:rPr>
          <w:color w:val="auto"/>
          <w:highlight w:val="none"/>
        </w:rPr>
      </w:pPr>
      <w:r>
        <w:rPr>
          <w:color w:val="auto"/>
          <w:highlight w:val="none"/>
        </w:rPr>
        <w:t>预分离装置排放的的污泥重力流至污泥池，同隔油调节池底部排放的污泥一起经污泥泵提升至污泥脱水机进行脱水。干污泥和废油外协处置。</w:t>
      </w:r>
    </w:p>
    <w:p w14:paraId="26CCAF91">
      <w:pPr>
        <w:ind w:firstLine="480"/>
        <w:rPr>
          <w:color w:val="auto"/>
          <w:highlight w:val="none"/>
        </w:rPr>
      </w:pPr>
      <w:r>
        <w:rPr>
          <w:color w:val="auto"/>
          <w:highlight w:val="none"/>
        </w:rPr>
        <w:t>含油污水处理工艺流程如下图所示：</w:t>
      </w:r>
    </w:p>
    <w:p w14:paraId="157804AD">
      <w:pPr>
        <w:spacing w:line="240" w:lineRule="auto"/>
        <w:ind w:firstLine="0" w:firstLineChars="0"/>
        <w:jc w:val="center"/>
        <w:rPr>
          <w:b/>
          <w:color w:val="auto"/>
          <w:sz w:val="21"/>
          <w:szCs w:val="21"/>
          <w:highlight w:val="none"/>
        </w:rPr>
      </w:pPr>
      <w:r>
        <w:rPr>
          <w:b/>
          <w:color w:val="auto"/>
          <w:sz w:val="21"/>
          <w:szCs w:val="21"/>
          <w:highlight w:val="none"/>
        </w:rPr>
        <w:drawing>
          <wp:inline distT="0" distB="0" distL="114300" distR="114300">
            <wp:extent cx="5210175" cy="1304925"/>
            <wp:effectExtent l="9525" t="9525" r="19050" b="19050"/>
            <wp:docPr id="6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0"/>
                    <pic:cNvPicPr>
                      <a:picLocks noChangeAspect="1"/>
                    </pic:cNvPicPr>
                  </pic:nvPicPr>
                  <pic:blipFill>
                    <a:blip r:embed="rId128"/>
                    <a:stretch>
                      <a:fillRect/>
                    </a:stretch>
                  </pic:blipFill>
                  <pic:spPr>
                    <a:xfrm>
                      <a:off x="0" y="0"/>
                      <a:ext cx="5210175" cy="1304925"/>
                    </a:xfrm>
                    <a:prstGeom prst="rect">
                      <a:avLst/>
                    </a:prstGeom>
                    <a:noFill/>
                    <a:ln>
                      <a:solidFill>
                        <a:schemeClr val="tx1"/>
                      </a:solidFill>
                    </a:ln>
                  </pic:spPr>
                </pic:pic>
              </a:graphicData>
            </a:graphic>
          </wp:inline>
        </w:drawing>
      </w:r>
    </w:p>
    <w:p w14:paraId="385820C3">
      <w:pPr>
        <w:spacing w:line="240" w:lineRule="auto"/>
        <w:ind w:firstLine="0" w:firstLineChars="0"/>
        <w:jc w:val="center"/>
        <w:rPr>
          <w:b/>
          <w:bCs/>
          <w:color w:val="auto"/>
          <w:szCs w:val="21"/>
          <w:highlight w:val="none"/>
        </w:rPr>
      </w:pPr>
      <w:r>
        <w:rPr>
          <w:b/>
          <w:color w:val="auto"/>
          <w:sz w:val="21"/>
          <w:szCs w:val="21"/>
          <w:highlight w:val="none"/>
        </w:rPr>
        <w:t xml:space="preserve">图5.2-2 含油废水处理工艺流程    </w:t>
      </w:r>
      <w:r>
        <w:rPr>
          <w:b/>
          <w:bCs/>
          <w:color w:val="auto"/>
          <w:szCs w:val="21"/>
          <w:highlight w:val="none"/>
        </w:rPr>
        <w:t xml:space="preserve">  </w:t>
      </w:r>
    </w:p>
    <w:p w14:paraId="27EDB05C">
      <w:pPr>
        <w:pStyle w:val="91"/>
        <w:ind w:left="480"/>
        <w:rPr>
          <w:color w:val="auto"/>
          <w:highlight w:val="none"/>
        </w:rPr>
      </w:pPr>
    </w:p>
    <w:p w14:paraId="649372E4">
      <w:pPr>
        <w:ind w:firstLine="480"/>
        <w:rPr>
          <w:color w:val="auto"/>
          <w:highlight w:val="none"/>
        </w:rPr>
      </w:pPr>
      <w:r>
        <w:rPr>
          <w:color w:val="auto"/>
          <w:highlight w:val="none"/>
        </w:rPr>
        <w:t>含油废水处理系统设计进水500~3000mg/L，出水小于10mg/L，去除效率达98%以上，本项目含油废水处理工艺已运行多年，出水能稳定达到《污水综合排放标准》三级标准要求。</w:t>
      </w:r>
    </w:p>
    <w:p w14:paraId="07AB7AE2">
      <w:pPr>
        <w:pStyle w:val="533"/>
        <w:numPr>
          <w:ilvl w:val="3"/>
          <w:numId w:val="9"/>
        </w:numPr>
        <w:rPr>
          <w:color w:val="auto"/>
          <w:szCs w:val="24"/>
          <w:highlight w:val="none"/>
        </w:rPr>
      </w:pPr>
      <w:r>
        <w:rPr>
          <w:color w:val="auto"/>
          <w:szCs w:val="24"/>
          <w:highlight w:val="none"/>
        </w:rPr>
        <w:t>初期雨水</w:t>
      </w:r>
    </w:p>
    <w:p w14:paraId="5895F2B6">
      <w:pPr>
        <w:ind w:firstLine="480"/>
        <w:rPr>
          <w:color w:val="auto"/>
          <w:highlight w:val="none"/>
        </w:rPr>
      </w:pPr>
      <w:r>
        <w:rPr>
          <w:rFonts w:hint="eastAsia"/>
          <w:color w:val="auto"/>
          <w:highlight w:val="none"/>
        </w:rPr>
        <w:t>浮船坞上配套建设</w:t>
      </w:r>
      <w:r>
        <w:rPr>
          <w:color w:val="auto"/>
          <w:highlight w:val="none"/>
        </w:rPr>
        <w:t>1个初期雨水收集池对浮船坞初期雨水进行收集，容积为</w:t>
      </w:r>
      <w:r>
        <w:rPr>
          <w:rFonts w:hint="eastAsia"/>
          <w:color w:val="auto"/>
          <w:highlight w:val="none"/>
        </w:rPr>
        <w:t>113.85</w:t>
      </w:r>
      <w:r>
        <w:rPr>
          <w:color w:val="auto"/>
          <w:highlight w:val="none"/>
        </w:rPr>
        <w:t>m</w:t>
      </w:r>
      <w:r>
        <w:rPr>
          <w:color w:val="auto"/>
          <w:highlight w:val="none"/>
          <w:vertAlign w:val="superscript"/>
        </w:rPr>
        <w:t>3</w:t>
      </w:r>
      <w:r>
        <w:rPr>
          <w:rFonts w:hint="eastAsia"/>
          <w:color w:val="auto"/>
          <w:highlight w:val="none"/>
        </w:rPr>
        <w:t>（</w:t>
      </w:r>
      <w:r>
        <w:rPr>
          <w:rFonts w:hint="eastAsia" w:eastAsiaTheme="minorEastAsia"/>
          <w:color w:val="auto"/>
          <w:highlight w:val="none"/>
        </w:rPr>
        <w:t>5m</w:t>
      </w:r>
      <w:r>
        <w:rPr>
          <w:rFonts w:ascii="Arial" w:hAnsi="Arial" w:cs="Arial" w:eastAsiaTheme="minorEastAsia"/>
          <w:color w:val="auto"/>
          <w:highlight w:val="none"/>
        </w:rPr>
        <w:t>×</w:t>
      </w:r>
      <w:r>
        <w:rPr>
          <w:rFonts w:hint="eastAsia" w:eastAsiaTheme="minorEastAsia"/>
          <w:color w:val="auto"/>
          <w:highlight w:val="none"/>
        </w:rPr>
        <w:t>6.9m</w:t>
      </w:r>
      <w:r>
        <w:rPr>
          <w:rFonts w:ascii="Arial" w:hAnsi="Arial" w:cs="Arial" w:eastAsiaTheme="minorEastAsia"/>
          <w:color w:val="auto"/>
          <w:highlight w:val="none"/>
        </w:rPr>
        <w:t>×</w:t>
      </w:r>
      <w:r>
        <w:rPr>
          <w:rFonts w:hint="eastAsia" w:eastAsiaTheme="minorEastAsia"/>
          <w:color w:val="auto"/>
          <w:highlight w:val="none"/>
        </w:rPr>
        <w:t>3.3m）</w:t>
      </w:r>
      <w:r>
        <w:rPr>
          <w:color w:val="auto"/>
          <w:highlight w:val="none"/>
        </w:rPr>
        <w:t>。初期雨水主要污染物为</w:t>
      </w:r>
      <w:r>
        <w:rPr>
          <w:color w:val="auto"/>
          <w:szCs w:val="20"/>
          <w:highlight w:val="none"/>
        </w:rPr>
        <w:t>石油类和SS。</w:t>
      </w:r>
      <w:r>
        <w:rPr>
          <w:rFonts w:hint="eastAsia"/>
          <w:color w:val="auto"/>
          <w:szCs w:val="20"/>
          <w:highlight w:val="none"/>
        </w:rPr>
        <w:t>初期雨水经</w:t>
      </w:r>
      <w:r>
        <w:rPr>
          <w:rFonts w:eastAsiaTheme="minorEastAsia"/>
          <w:color w:val="auto"/>
          <w:highlight w:val="none"/>
          <w:u w:val="single"/>
        </w:rPr>
        <w:t>收集后</w:t>
      </w:r>
      <w:r>
        <w:rPr>
          <w:rFonts w:hint="eastAsia" w:eastAsiaTheme="minorEastAsia"/>
          <w:color w:val="auto"/>
          <w:highlight w:val="none"/>
          <w:u w:val="single"/>
        </w:rPr>
        <w:t>采用罐车转运</w:t>
      </w:r>
      <w:r>
        <w:rPr>
          <w:rFonts w:eastAsiaTheme="minorEastAsia"/>
          <w:color w:val="auto"/>
          <w:highlight w:val="none"/>
          <w:u w:val="single"/>
        </w:rPr>
        <w:t>进入</w:t>
      </w:r>
      <w:r>
        <w:rPr>
          <w:rFonts w:hint="eastAsia" w:eastAsiaTheme="minorEastAsia"/>
          <w:color w:val="auto"/>
          <w:highlight w:val="none"/>
          <w:u w:val="single"/>
        </w:rPr>
        <w:t>钦州基地陆域现有</w:t>
      </w:r>
      <w:r>
        <w:rPr>
          <w:color w:val="auto"/>
          <w:szCs w:val="20"/>
          <w:highlight w:val="none"/>
          <w:u w:val="single"/>
        </w:rPr>
        <w:t>生活污水处理一体化设备（处理规模300m</w:t>
      </w:r>
      <w:r>
        <w:rPr>
          <w:color w:val="auto"/>
          <w:szCs w:val="20"/>
          <w:highlight w:val="none"/>
          <w:u w:val="single"/>
          <w:vertAlign w:val="superscript"/>
        </w:rPr>
        <w:t>3</w:t>
      </w:r>
      <w:r>
        <w:rPr>
          <w:color w:val="auto"/>
          <w:szCs w:val="20"/>
          <w:highlight w:val="none"/>
          <w:u w:val="single"/>
        </w:rPr>
        <w:t>/d）处理</w:t>
      </w:r>
      <w:r>
        <w:rPr>
          <w:rFonts w:hint="eastAsia"/>
          <w:color w:val="auto"/>
          <w:szCs w:val="20"/>
          <w:highlight w:val="none"/>
          <w:u w:val="single"/>
        </w:rPr>
        <w:t>后，进入中水回用池储存，</w:t>
      </w:r>
      <w:r>
        <w:rPr>
          <w:color w:val="auto"/>
          <w:szCs w:val="20"/>
          <w:highlight w:val="none"/>
          <w:u w:val="single"/>
        </w:rPr>
        <w:t>大部分回用于厂区绿化及降尘，少部分不能回用的由槽罐车运至大榄坪污水处理厂处理</w:t>
      </w:r>
      <w:r>
        <w:rPr>
          <w:color w:val="auto"/>
          <w:highlight w:val="none"/>
        </w:rPr>
        <w:t>，不在本区域排放。</w:t>
      </w:r>
    </w:p>
    <w:p w14:paraId="0B8D1C51">
      <w:pPr>
        <w:pStyle w:val="91"/>
        <w:ind w:left="480"/>
        <w:rPr>
          <w:rFonts w:ascii="Times New Roman" w:hAnsi="Times New Roman" w:cs="Times New Roman"/>
          <w:color w:val="auto"/>
          <w:highlight w:val="none"/>
        </w:rPr>
      </w:pPr>
    </w:p>
    <w:p w14:paraId="3F840DFE">
      <w:pPr>
        <w:spacing w:line="240" w:lineRule="auto"/>
        <w:ind w:firstLine="0" w:firstLineChars="0"/>
        <w:jc w:val="center"/>
        <w:rPr>
          <w:b/>
          <w:color w:val="auto"/>
          <w:sz w:val="21"/>
          <w:szCs w:val="21"/>
          <w:highlight w:val="none"/>
        </w:rPr>
      </w:pPr>
      <w:r>
        <w:rPr>
          <w:b/>
          <w:color w:val="auto"/>
          <w:sz w:val="21"/>
          <w:szCs w:val="21"/>
          <w:highlight w:val="none"/>
        </w:rPr>
        <w:object>
          <v:shape id="_x0000_i1029" o:spt="75" type="#_x0000_t75" style="height:249.2pt;width:379.4pt;" o:ole="t" filled="f" o:preferrelative="t" stroked="f" coordsize="21600,21600">
            <v:path/>
            <v:fill on="f" focussize="0,0"/>
            <v:stroke on="f" joinstyle="miter"/>
            <v:imagedata r:id="rId130" o:title=""/>
            <o:lock v:ext="edit" aspectratio="t"/>
            <w10:wrap type="none"/>
            <w10:anchorlock/>
          </v:shape>
          <o:OLEObject Type="Embed" ProgID="Visio.Drawing.11" ShapeID="_x0000_i1029" DrawAspect="Content" ObjectID="_1468075729" r:id="rId129">
            <o:LockedField>false</o:LockedField>
          </o:OLEObject>
        </w:object>
      </w:r>
    </w:p>
    <w:p w14:paraId="48199673">
      <w:pPr>
        <w:spacing w:line="240" w:lineRule="auto"/>
        <w:ind w:firstLine="0" w:firstLineChars="0"/>
        <w:jc w:val="center"/>
        <w:rPr>
          <w:b/>
          <w:color w:val="auto"/>
          <w:sz w:val="21"/>
          <w:szCs w:val="21"/>
          <w:highlight w:val="none"/>
        </w:rPr>
      </w:pPr>
      <w:r>
        <w:rPr>
          <w:b/>
          <w:color w:val="auto"/>
          <w:sz w:val="21"/>
          <w:szCs w:val="21"/>
          <w:highlight w:val="none"/>
        </w:rPr>
        <w:t>图5.2-3 本项目运营期污水收集处理</w:t>
      </w:r>
      <w:r>
        <w:rPr>
          <w:rFonts w:hint="eastAsia"/>
          <w:b/>
          <w:color w:val="auto"/>
          <w:sz w:val="21"/>
          <w:szCs w:val="21"/>
          <w:highlight w:val="none"/>
        </w:rPr>
        <w:t>示意图</w:t>
      </w:r>
    </w:p>
    <w:p w14:paraId="18AD9711">
      <w:pPr>
        <w:pStyle w:val="91"/>
        <w:ind w:left="480"/>
        <w:rPr>
          <w:rFonts w:ascii="Times New Roman" w:hAnsi="Times New Roman" w:cs="Times New Roman"/>
          <w:color w:val="auto"/>
          <w:highlight w:val="none"/>
        </w:rPr>
      </w:pPr>
    </w:p>
    <w:bookmarkEnd w:id="244"/>
    <w:p w14:paraId="5689201F">
      <w:pPr>
        <w:pStyle w:val="7"/>
        <w:numPr>
          <w:ilvl w:val="2"/>
          <w:numId w:val="9"/>
        </w:numPr>
        <w:rPr>
          <w:color w:val="auto"/>
          <w:sz w:val="28"/>
          <w:highlight w:val="none"/>
        </w:rPr>
      </w:pPr>
      <w:bookmarkStart w:id="245" w:name="_Toc33967125"/>
      <w:bookmarkStart w:id="246" w:name="_Toc33967229"/>
      <w:r>
        <w:rPr>
          <w:color w:val="auto"/>
          <w:sz w:val="28"/>
          <w:highlight w:val="none"/>
        </w:rPr>
        <w:t>运营期声环境保护措施</w:t>
      </w:r>
      <w:bookmarkEnd w:id="245"/>
      <w:bookmarkEnd w:id="246"/>
    </w:p>
    <w:p w14:paraId="65A220E6">
      <w:pPr>
        <w:ind w:firstLine="480"/>
        <w:rPr>
          <w:color w:val="auto"/>
          <w:highlight w:val="none"/>
        </w:rPr>
      </w:pPr>
      <w:r>
        <w:rPr>
          <w:color w:val="auto"/>
          <w:highlight w:val="none"/>
        </w:rPr>
        <w:t>项目运营期间的噪声主要来源于本项目产生的噪声主要有除锈打磨噪声，钢板撞击、敲打噪声，场地搬运机械，码头起重机机械噪声，及空压机、水泵、风机等动力设备运行噪声等，项目通过选用低噪声设备、对生产动力设备设于室内或设置隔声房、对动力设备采取减振吸声措施、对重噪声设备采取有效的隔声降噪措施对噪声进行控制。具体防治措施如下：</w:t>
      </w:r>
    </w:p>
    <w:p w14:paraId="17D4F704">
      <w:pPr>
        <w:ind w:firstLine="480"/>
        <w:rPr>
          <w:color w:val="auto"/>
          <w:highlight w:val="none"/>
        </w:rPr>
      </w:pPr>
      <w:r>
        <w:rPr>
          <w:color w:val="auto"/>
          <w:highlight w:val="none"/>
        </w:rPr>
        <w:t>（1）进港维修船舶停岸即停机，减少停靠时间等方法减少发声的时间。</w:t>
      </w:r>
    </w:p>
    <w:p w14:paraId="601517AA">
      <w:pPr>
        <w:ind w:firstLine="480"/>
        <w:rPr>
          <w:color w:val="auto"/>
          <w:highlight w:val="none"/>
        </w:rPr>
      </w:pPr>
      <w:r>
        <w:rPr>
          <w:color w:val="auto"/>
          <w:highlight w:val="none"/>
        </w:rPr>
        <w:t>（2）加强对机械设备的维护保养和正确操作。</w:t>
      </w:r>
    </w:p>
    <w:p w14:paraId="2439ABFA">
      <w:pPr>
        <w:ind w:firstLine="480"/>
        <w:rPr>
          <w:color w:val="auto"/>
          <w:highlight w:val="none"/>
        </w:rPr>
      </w:pPr>
      <w:r>
        <w:rPr>
          <w:color w:val="auto"/>
          <w:highlight w:val="none"/>
        </w:rPr>
        <w:t>（3）定期对设备的主要部件进行维修和保养，保持其技术性能良好，使其排放的噪声符合有关技术标准。</w:t>
      </w:r>
    </w:p>
    <w:p w14:paraId="538759C8">
      <w:pPr>
        <w:ind w:firstLine="480"/>
        <w:rPr>
          <w:color w:val="auto"/>
          <w:highlight w:val="none"/>
        </w:rPr>
      </w:pPr>
      <w:r>
        <w:rPr>
          <w:color w:val="auto"/>
          <w:highlight w:val="none"/>
        </w:rPr>
        <w:t>（4）及时修理产生异常</w:t>
      </w:r>
      <w:r>
        <w:rPr>
          <w:rFonts w:hint="eastAsia"/>
          <w:color w:val="auto"/>
          <w:highlight w:val="none"/>
          <w:lang w:eastAsia="zh-CN"/>
        </w:rPr>
        <w:t>噪声</w:t>
      </w:r>
      <w:r>
        <w:rPr>
          <w:color w:val="auto"/>
          <w:highlight w:val="none"/>
        </w:rPr>
        <w:t>的车辆、机械设备，缩短异常</w:t>
      </w:r>
      <w:r>
        <w:rPr>
          <w:rFonts w:hint="eastAsia"/>
          <w:color w:val="auto"/>
          <w:highlight w:val="none"/>
          <w:lang w:eastAsia="zh-CN"/>
        </w:rPr>
        <w:t>噪声</w:t>
      </w:r>
      <w:r>
        <w:rPr>
          <w:color w:val="auto"/>
          <w:highlight w:val="none"/>
        </w:rPr>
        <w:t>的排放时间。</w:t>
      </w:r>
    </w:p>
    <w:p w14:paraId="0A8C1DD5">
      <w:pPr>
        <w:ind w:firstLine="480"/>
        <w:rPr>
          <w:color w:val="auto"/>
          <w:highlight w:val="none"/>
        </w:rPr>
      </w:pPr>
      <w:r>
        <w:rPr>
          <w:color w:val="auto"/>
          <w:highlight w:val="none"/>
        </w:rPr>
        <w:t>（5）在高噪声设备上安装消声和减振设施，如在设备的底部加减振垫，在设备的四周可开设一定宽度和深度的沟槽，里面填充松软物质，用来隔离振动的传递；</w:t>
      </w:r>
    </w:p>
    <w:p w14:paraId="3C61357E">
      <w:pPr>
        <w:ind w:firstLine="480"/>
        <w:rPr>
          <w:color w:val="auto"/>
          <w:highlight w:val="none"/>
        </w:rPr>
      </w:pPr>
      <w:r>
        <w:rPr>
          <w:color w:val="auto"/>
          <w:highlight w:val="none"/>
        </w:rPr>
        <w:t>（6）在工程设计中选用的设备单机噪声值必须符合《工业企业噪声控制设计规范》、《港口工程环境保护设计规范》等的有关规定。</w:t>
      </w:r>
    </w:p>
    <w:p w14:paraId="784DF6B1">
      <w:pPr>
        <w:ind w:firstLine="480"/>
        <w:rPr>
          <w:color w:val="auto"/>
          <w:highlight w:val="none"/>
        </w:rPr>
      </w:pPr>
      <w:r>
        <w:rPr>
          <w:color w:val="auto"/>
          <w:highlight w:val="none"/>
        </w:rPr>
        <w:t>（7）加强管理，作业人员培训上岗，制定严格操作规程和环境管理的规章制度，从而减小维修作业的噪声。</w:t>
      </w:r>
    </w:p>
    <w:p w14:paraId="61FDCEEC">
      <w:pPr>
        <w:pStyle w:val="7"/>
        <w:numPr>
          <w:ilvl w:val="2"/>
          <w:numId w:val="9"/>
        </w:numPr>
        <w:rPr>
          <w:color w:val="auto"/>
          <w:sz w:val="28"/>
          <w:highlight w:val="none"/>
        </w:rPr>
      </w:pPr>
      <w:bookmarkStart w:id="247" w:name="_Toc232154578"/>
      <w:bookmarkEnd w:id="247"/>
      <w:bookmarkStart w:id="248" w:name="_Toc232154579"/>
      <w:bookmarkEnd w:id="248"/>
      <w:bookmarkStart w:id="249" w:name="_Toc247517403"/>
      <w:bookmarkEnd w:id="249"/>
      <w:bookmarkStart w:id="250" w:name="_Toc247517510"/>
      <w:bookmarkEnd w:id="250"/>
      <w:r>
        <w:rPr>
          <w:color w:val="auto"/>
          <w:sz w:val="28"/>
          <w:highlight w:val="none"/>
        </w:rPr>
        <w:t>运营期固体废物环境保护措施</w:t>
      </w:r>
    </w:p>
    <w:p w14:paraId="60F81FDB">
      <w:pPr>
        <w:pStyle w:val="533"/>
        <w:numPr>
          <w:ilvl w:val="3"/>
          <w:numId w:val="9"/>
        </w:numPr>
        <w:rPr>
          <w:color w:val="auto"/>
          <w:szCs w:val="24"/>
          <w:highlight w:val="none"/>
        </w:rPr>
      </w:pPr>
      <w:r>
        <w:rPr>
          <w:color w:val="auto"/>
          <w:szCs w:val="24"/>
          <w:highlight w:val="none"/>
        </w:rPr>
        <w:t>生活垃圾环境影响分析</w:t>
      </w:r>
    </w:p>
    <w:p w14:paraId="29EAF285">
      <w:pPr>
        <w:pStyle w:val="693"/>
        <w:rPr>
          <w:rFonts w:ascii="Times New Roman" w:cs="Times New Roman"/>
          <w:color w:val="auto"/>
          <w:highlight w:val="none"/>
        </w:rPr>
      </w:pPr>
      <w:r>
        <w:rPr>
          <w:rFonts w:ascii="Times New Roman" w:cs="Times New Roman"/>
          <w:color w:val="auto"/>
          <w:highlight w:val="none"/>
        </w:rPr>
        <w:t>生活垃圾包括职工生活垃圾及维修船舶携带船员生活垃圾，生活垃圾收集后环卫部门集中收集处理，部分为国外船舶生活垃圾，属特殊固废，经海事、港监部门消毒灭活处理检验后按一般固废处置要求处置，生活垃圾由市政环卫部门统一收集，进行“无害化、减量化、资源化”处理，无害化处理率达到100%，对环境影响较小。</w:t>
      </w:r>
    </w:p>
    <w:p w14:paraId="3566A99D">
      <w:pPr>
        <w:pStyle w:val="533"/>
        <w:numPr>
          <w:ilvl w:val="3"/>
          <w:numId w:val="9"/>
        </w:numPr>
        <w:rPr>
          <w:color w:val="auto"/>
          <w:szCs w:val="24"/>
          <w:highlight w:val="none"/>
        </w:rPr>
      </w:pPr>
      <w:r>
        <w:rPr>
          <w:color w:val="auto"/>
          <w:szCs w:val="24"/>
          <w:highlight w:val="none"/>
        </w:rPr>
        <w:t>一般工业固体废物处置措施</w:t>
      </w:r>
    </w:p>
    <w:p w14:paraId="3E85C8F2">
      <w:pPr>
        <w:pStyle w:val="693"/>
        <w:rPr>
          <w:rFonts w:ascii="Times New Roman" w:cs="Times New Roman"/>
          <w:color w:val="auto"/>
          <w:highlight w:val="none"/>
        </w:rPr>
      </w:pPr>
      <w:r>
        <w:rPr>
          <w:rFonts w:ascii="Times New Roman" w:cs="Times New Roman"/>
          <w:color w:val="auto"/>
          <w:highlight w:val="none"/>
        </w:rPr>
        <w:t>一般工业固体废物包括废焊料、焊渣、</w:t>
      </w:r>
      <w:r>
        <w:rPr>
          <w:rFonts w:hint="eastAsia" w:ascii="Times New Roman" w:cs="Times New Roman"/>
          <w:color w:val="auto"/>
          <w:highlight w:val="none"/>
        </w:rPr>
        <w:t>切割废料、</w:t>
      </w:r>
      <w:r>
        <w:rPr>
          <w:rFonts w:ascii="Times New Roman" w:cs="Times New Roman"/>
          <w:color w:val="auto"/>
          <w:highlight w:val="none"/>
        </w:rPr>
        <w:t>废铜矿砂、铁锈、船舶附着海生生物</w:t>
      </w:r>
      <w:r>
        <w:rPr>
          <w:rFonts w:hint="eastAsia" w:ascii="Times New Roman" w:cs="Times New Roman"/>
          <w:color w:val="auto"/>
          <w:highlight w:val="none"/>
        </w:rPr>
        <w:t>、</w:t>
      </w:r>
      <w:r>
        <w:rPr>
          <w:rFonts w:hint="eastAsia"/>
          <w:bCs/>
          <w:color w:val="auto"/>
          <w:highlight w:val="none"/>
          <w:u w:val="single"/>
        </w:rPr>
        <w:t>初期雨水沉渣</w:t>
      </w:r>
      <w:r>
        <w:rPr>
          <w:bCs/>
          <w:color w:val="auto"/>
          <w:highlight w:val="none"/>
        </w:rPr>
        <w:t>等，</w:t>
      </w:r>
      <w:r>
        <w:rPr>
          <w:rFonts w:ascii="Times New Roman" w:cs="Times New Roman"/>
          <w:color w:val="auto"/>
          <w:highlight w:val="none"/>
        </w:rPr>
        <w:t>废焊料、焊渣、</w:t>
      </w:r>
      <w:r>
        <w:rPr>
          <w:rFonts w:hint="eastAsia"/>
          <w:bCs/>
          <w:color w:val="auto"/>
          <w:highlight w:val="none"/>
          <w:u w:val="single"/>
        </w:rPr>
        <w:t>切割废料、</w:t>
      </w:r>
      <w:r>
        <w:rPr>
          <w:rFonts w:ascii="Times New Roman" w:cs="Times New Roman"/>
          <w:color w:val="auto"/>
          <w:highlight w:val="none"/>
        </w:rPr>
        <w:t>废铜矿砂、铁锈等</w:t>
      </w:r>
      <w:r>
        <w:rPr>
          <w:rFonts w:hint="eastAsia" w:ascii="Times New Roman" w:cs="Times New Roman"/>
          <w:color w:val="auto"/>
          <w:highlight w:val="none"/>
          <w:lang w:eastAsia="zh-CN"/>
        </w:rPr>
        <w:t>收集</w:t>
      </w:r>
      <w:r>
        <w:rPr>
          <w:rFonts w:ascii="Times New Roman" w:cs="Times New Roman"/>
          <w:color w:val="auto"/>
          <w:highlight w:val="none"/>
        </w:rPr>
        <w:t>后暂存于一般固废暂存间，能回收的回收利用，不能回收利用的由中标公司（最近一次委托处理单位为钦州市鼎鑫再生资源回收利用有限公司）外运处理，船舶附着海生生物集中堆放，由环卫部门统一处理</w:t>
      </w:r>
      <w:r>
        <w:rPr>
          <w:rFonts w:hint="eastAsia" w:ascii="Times New Roman" w:cs="Times New Roman"/>
          <w:color w:val="auto"/>
          <w:highlight w:val="none"/>
        </w:rPr>
        <w:t>；</w:t>
      </w:r>
      <w:r>
        <w:rPr>
          <w:rFonts w:hint="eastAsia"/>
          <w:bCs/>
          <w:color w:val="auto"/>
          <w:highlight w:val="none"/>
          <w:u w:val="single"/>
        </w:rPr>
        <w:t>初期雨水沉渣</w:t>
      </w:r>
      <w:r>
        <w:rPr>
          <w:rFonts w:hint="eastAsia"/>
          <w:color w:val="auto"/>
          <w:highlight w:val="none"/>
          <w:u w:val="single"/>
        </w:rPr>
        <w:t>定期掏出后交由环卫部门统一收集处理</w:t>
      </w:r>
      <w:r>
        <w:rPr>
          <w:rFonts w:ascii="Times New Roman" w:cs="Times New Roman"/>
          <w:color w:val="auto"/>
          <w:highlight w:val="none"/>
        </w:rPr>
        <w:t>。一般固废暂存间为室内设施，可做到防扬散、防雨淋，车间地面进行硬化防渗处理，粉状物料采用袋装密封存放，防止产生扬尘。</w:t>
      </w:r>
    </w:p>
    <w:p w14:paraId="2D7ACEBF">
      <w:pPr>
        <w:pStyle w:val="693"/>
        <w:rPr>
          <w:rFonts w:ascii="Times New Roman" w:cs="Times New Roman"/>
          <w:color w:val="auto"/>
          <w:highlight w:val="none"/>
        </w:rPr>
      </w:pPr>
      <w:r>
        <w:rPr>
          <w:rFonts w:ascii="Times New Roman" w:cs="Times New Roman"/>
          <w:color w:val="auto"/>
          <w:highlight w:val="none"/>
        </w:rPr>
        <w:t>综上，项目一般工业固体废物贮存设施满足《一般工业固体废物贮存和填埋污染控制标准》（GB 18599-2020）要求，且均可以作为资源回收利用，对环境产生影响较小。</w:t>
      </w:r>
    </w:p>
    <w:p w14:paraId="5B5A3F44">
      <w:pPr>
        <w:pStyle w:val="533"/>
        <w:numPr>
          <w:ilvl w:val="3"/>
          <w:numId w:val="9"/>
        </w:numPr>
        <w:rPr>
          <w:color w:val="auto"/>
          <w:szCs w:val="24"/>
          <w:highlight w:val="none"/>
        </w:rPr>
      </w:pPr>
      <w:r>
        <w:rPr>
          <w:color w:val="auto"/>
          <w:szCs w:val="24"/>
          <w:highlight w:val="none"/>
        </w:rPr>
        <w:t>危险废物影响分析</w:t>
      </w:r>
    </w:p>
    <w:p w14:paraId="3039F14A">
      <w:pPr>
        <w:pStyle w:val="693"/>
        <w:rPr>
          <w:rFonts w:ascii="Times New Roman" w:cs="Times New Roman"/>
          <w:color w:val="auto"/>
          <w:highlight w:val="none"/>
        </w:rPr>
      </w:pPr>
      <w:r>
        <w:rPr>
          <w:rFonts w:ascii="Times New Roman" w:cs="Times New Roman"/>
          <w:color w:val="auto"/>
          <w:highlight w:val="none"/>
        </w:rPr>
        <w:t>项目产生的危险废物包括船舶废油、</w:t>
      </w:r>
      <w:r>
        <w:rPr>
          <w:rFonts w:hint="eastAsia" w:ascii="Times New Roman" w:cs="Times New Roman"/>
          <w:color w:val="auto"/>
          <w:highlight w:val="none"/>
        </w:rPr>
        <w:t>漆渣、</w:t>
      </w:r>
      <w:r>
        <w:rPr>
          <w:rFonts w:ascii="Times New Roman" w:cs="Times New Roman"/>
          <w:color w:val="auto"/>
          <w:highlight w:val="none"/>
        </w:rPr>
        <w:t>废油漆桶</w:t>
      </w:r>
      <w:r>
        <w:rPr>
          <w:rFonts w:hint="eastAsia" w:ascii="Times New Roman" w:cs="Times New Roman"/>
          <w:color w:val="auto"/>
          <w:highlight w:val="none"/>
        </w:rPr>
        <w:t>及稀释剂包装物</w:t>
      </w:r>
      <w:r>
        <w:rPr>
          <w:rFonts w:ascii="Times New Roman" w:cs="Times New Roman"/>
          <w:color w:val="auto"/>
          <w:highlight w:val="none"/>
        </w:rPr>
        <w:t>、废油污泥</w:t>
      </w:r>
      <w:r>
        <w:rPr>
          <w:rFonts w:hint="eastAsia" w:ascii="Times New Roman" w:cs="Times New Roman"/>
          <w:color w:val="auto"/>
          <w:highlight w:val="none"/>
        </w:rPr>
        <w:t>、</w:t>
      </w:r>
      <w:r>
        <w:rPr>
          <w:rFonts w:hint="eastAsia"/>
          <w:color w:val="auto"/>
          <w:highlight w:val="none"/>
          <w:u w:val="single"/>
        </w:rPr>
        <w:t>废乳化液</w:t>
      </w:r>
      <w:r>
        <w:rPr>
          <w:rFonts w:ascii="Times New Roman" w:cs="Times New Roman"/>
          <w:color w:val="auto"/>
          <w:highlight w:val="none"/>
        </w:rPr>
        <w:t>等，采用专用容器收集后，分类暂存于厂区现有危废暂存间，定期由中标的有相应危废处理资质的单位（</w:t>
      </w:r>
      <w:r>
        <w:rPr>
          <w:rFonts w:hint="eastAsia" w:ascii="Times New Roman" w:cs="Times New Roman"/>
          <w:color w:val="auto"/>
          <w:highlight w:val="none"/>
        </w:rPr>
        <w:t>最近一次委托处理单位为广西深投环保科技有限公司，目前正在签订新的委托合同</w:t>
      </w:r>
      <w:r>
        <w:rPr>
          <w:rFonts w:ascii="Times New Roman" w:cs="Times New Roman"/>
          <w:color w:val="auto"/>
          <w:highlight w:val="none"/>
        </w:rPr>
        <w:t>）外运处理。</w:t>
      </w:r>
    </w:p>
    <w:p w14:paraId="39EA78B4">
      <w:pPr>
        <w:pStyle w:val="693"/>
        <w:rPr>
          <w:rFonts w:ascii="Times New Roman" w:cs="Times New Roman"/>
          <w:color w:val="auto"/>
          <w:highlight w:val="none"/>
        </w:rPr>
      </w:pPr>
      <w:r>
        <w:rPr>
          <w:rFonts w:ascii="Times New Roman" w:cs="Times New Roman"/>
          <w:color w:val="auto"/>
          <w:highlight w:val="none"/>
        </w:rPr>
        <w:t>本项目建成后，全厂船舶维修能力不变，危废产生量基本不变，根据调查，现有危废暂存间位于厂区</w:t>
      </w:r>
      <w:r>
        <w:rPr>
          <w:rFonts w:hint="eastAsia" w:ascii="Times New Roman" w:cs="Times New Roman"/>
          <w:color w:val="auto"/>
          <w:highlight w:val="none"/>
        </w:rPr>
        <w:t>东北</w:t>
      </w:r>
      <w:r>
        <w:rPr>
          <w:rFonts w:ascii="Times New Roman" w:cs="Times New Roman"/>
          <w:color w:val="auto"/>
          <w:highlight w:val="none"/>
        </w:rPr>
        <w:t>角，面积为180.29m</w:t>
      </w:r>
      <w:r>
        <w:rPr>
          <w:rFonts w:ascii="Times New Roman" w:cs="Times New Roman"/>
          <w:color w:val="auto"/>
          <w:highlight w:val="none"/>
          <w:vertAlign w:val="superscript"/>
        </w:rPr>
        <w:t>2</w:t>
      </w:r>
      <w:r>
        <w:rPr>
          <w:rFonts w:ascii="Times New Roman" w:cs="Times New Roman"/>
          <w:color w:val="auto"/>
          <w:highlight w:val="none"/>
        </w:rPr>
        <w:t>，已按全厂危废暂存需求考虑，危险废物暂存间于2017年通过验收，危废暂存间已做好防雨、防风、防渗漏、防流失措施，设置了提示性和警示性图形标志，并建立管理台账，由专人管理，管理人员对入库和出库的危险种类、数量造册登记，并填写交接记录，由入库、管理人、出库人签字，防止危废流失。项目危废暂存设施满足《危险废物贮存污染控制标准》（GB18597-2023）要求，项目危险废物得到妥善暂存、外运，项目危险废物贮存对周边环境影响不大。</w:t>
      </w:r>
    </w:p>
    <w:p w14:paraId="73255C8A">
      <w:pPr>
        <w:pStyle w:val="7"/>
        <w:numPr>
          <w:ilvl w:val="2"/>
          <w:numId w:val="9"/>
        </w:numPr>
        <w:rPr>
          <w:color w:val="auto"/>
          <w:sz w:val="28"/>
          <w:highlight w:val="none"/>
        </w:rPr>
      </w:pPr>
      <w:r>
        <w:rPr>
          <w:color w:val="auto"/>
          <w:sz w:val="28"/>
          <w:highlight w:val="none"/>
        </w:rPr>
        <w:t>运营期生态环境保护措施</w:t>
      </w:r>
    </w:p>
    <w:p w14:paraId="7B5C2173">
      <w:pPr>
        <w:ind w:firstLine="480"/>
        <w:jc w:val="left"/>
        <w:rPr>
          <w:rFonts w:eastAsiaTheme="minorEastAsia"/>
          <w:color w:val="auto"/>
          <w:highlight w:val="none"/>
        </w:rPr>
      </w:pPr>
      <w:r>
        <w:rPr>
          <w:rFonts w:eastAsiaTheme="minorEastAsia"/>
          <w:color w:val="auto"/>
          <w:highlight w:val="none"/>
        </w:rPr>
        <w:t>运营期对生态环境的影响主要表现为废水排放对生态的影响。本项目含油废水主要来自于待修船舶的机舱含油废水、坞底含油废水、坞内清洗含油废水。含油废水收集后进入厂区</w:t>
      </w:r>
      <w:r>
        <w:rPr>
          <w:rFonts w:hint="eastAsia" w:eastAsiaTheme="minorEastAsia"/>
          <w:color w:val="auto"/>
          <w:highlight w:val="none"/>
        </w:rPr>
        <w:t>现有</w:t>
      </w:r>
      <w:r>
        <w:rPr>
          <w:rFonts w:eastAsiaTheme="minorEastAsia"/>
          <w:color w:val="auto"/>
          <w:highlight w:val="none"/>
        </w:rPr>
        <w:t>污水处理站的含油废水处理系统处理达到《污水综合排放标准》（GB8978-1996）三级标准后，经厂区污水管道排入厂区废水收集池（容量为518m</w:t>
      </w:r>
      <w:r>
        <w:rPr>
          <w:rFonts w:eastAsiaTheme="minorEastAsia"/>
          <w:color w:val="auto"/>
          <w:highlight w:val="none"/>
          <w:vertAlign w:val="superscript"/>
        </w:rPr>
        <w:t>3</w:t>
      </w:r>
      <w:r>
        <w:rPr>
          <w:rFonts w:eastAsiaTheme="minorEastAsia"/>
          <w:color w:val="auto"/>
          <w:highlight w:val="none"/>
        </w:rPr>
        <w:t>），定期由槽罐车运至大榄坪污水处理厂做进一步处理，不在本区域排放，因此对周边生态环境影响不大。</w:t>
      </w:r>
    </w:p>
    <w:p w14:paraId="187C3AC8">
      <w:pPr>
        <w:spacing w:line="14" w:lineRule="exact"/>
        <w:ind w:firstLine="480"/>
        <w:rPr>
          <w:color w:val="auto"/>
          <w:highlight w:val="none"/>
        </w:rPr>
      </w:pPr>
    </w:p>
    <w:p w14:paraId="70E7C3D3">
      <w:pPr>
        <w:pStyle w:val="6"/>
        <w:numPr>
          <w:ilvl w:val="1"/>
          <w:numId w:val="9"/>
        </w:numPr>
        <w:rPr>
          <w:color w:val="auto"/>
          <w:sz w:val="32"/>
          <w:szCs w:val="32"/>
          <w:highlight w:val="none"/>
        </w:rPr>
      </w:pPr>
      <w:bookmarkStart w:id="251" w:name="_Toc346051491"/>
      <w:bookmarkEnd w:id="251"/>
      <w:bookmarkStart w:id="252" w:name="_Toc307412808"/>
      <w:bookmarkEnd w:id="252"/>
      <w:bookmarkStart w:id="253" w:name="_Toc361515102"/>
      <w:bookmarkEnd w:id="253"/>
      <w:bookmarkStart w:id="254" w:name="_Toc22364"/>
      <w:bookmarkStart w:id="255" w:name="_Toc19044"/>
      <w:bookmarkStart w:id="256" w:name="_Toc33967231"/>
      <w:bookmarkStart w:id="257" w:name="_Toc33967127"/>
      <w:r>
        <w:rPr>
          <w:color w:val="auto"/>
          <w:sz w:val="32"/>
          <w:szCs w:val="32"/>
          <w:highlight w:val="none"/>
        </w:rPr>
        <w:t>环境风险防范措施</w:t>
      </w:r>
      <w:bookmarkEnd w:id="254"/>
      <w:bookmarkEnd w:id="255"/>
      <w:bookmarkEnd w:id="256"/>
      <w:bookmarkEnd w:id="257"/>
    </w:p>
    <w:p w14:paraId="06506633">
      <w:pPr>
        <w:ind w:firstLine="480"/>
        <w:rPr>
          <w:color w:val="auto"/>
          <w:highlight w:val="none"/>
        </w:rPr>
      </w:pPr>
      <w:r>
        <w:rPr>
          <w:color w:val="auto"/>
          <w:highlight w:val="none"/>
        </w:rPr>
        <w:t>（1）</w:t>
      </w:r>
      <w:r>
        <w:rPr>
          <w:rFonts w:hint="eastAsia"/>
          <w:color w:val="auto"/>
          <w:highlight w:val="none"/>
        </w:rPr>
        <w:t>本项目位于中船钦州修船资源整合项目内，该项目已建成运营，本项目建成后依托现有风险防范措施，根据调查，基地已</w:t>
      </w:r>
      <w:r>
        <w:rPr>
          <w:color w:val="auto"/>
          <w:highlight w:val="none"/>
        </w:rPr>
        <w:t>按照《港口码头水上污染事故应急防备能力要求》（JT/T451-2017）要求配备</w:t>
      </w:r>
      <w:r>
        <w:rPr>
          <w:rFonts w:hint="eastAsia"/>
          <w:color w:val="auto"/>
          <w:highlight w:val="none"/>
        </w:rPr>
        <w:t>了</w:t>
      </w:r>
      <w:r>
        <w:rPr>
          <w:color w:val="auto"/>
          <w:highlight w:val="none"/>
        </w:rPr>
        <w:t>应急设备。</w:t>
      </w:r>
    </w:p>
    <w:p w14:paraId="556D5F69">
      <w:pPr>
        <w:ind w:firstLine="480"/>
        <w:rPr>
          <w:color w:val="auto"/>
          <w:highlight w:val="none"/>
        </w:rPr>
      </w:pPr>
      <w:r>
        <w:rPr>
          <w:color w:val="auto"/>
          <w:highlight w:val="none"/>
        </w:rPr>
        <w:t>（2）加强对作业人员操作技能和环保意识的培训，确保按照规范进行操作，树立良好的风险安全意识，减小因人为因素导致的溢油事故的发生几率。</w:t>
      </w:r>
    </w:p>
    <w:p w14:paraId="5FF2116A">
      <w:pPr>
        <w:ind w:firstLine="480"/>
        <w:rPr>
          <w:color w:val="auto"/>
          <w:highlight w:val="none"/>
        </w:rPr>
      </w:pPr>
      <w:r>
        <w:rPr>
          <w:color w:val="auto"/>
          <w:highlight w:val="none"/>
        </w:rPr>
        <w:t>（3）船舶入坞后应按照规程对船舶进行详细检查，避免遗漏事故项，导致燃料油跑、冒、滴、等情况所造成的对海域的污染；各种船舶燃料油、污染物质等应保存在合适的安全容器中，放指定地点</w:t>
      </w:r>
      <w:r>
        <w:rPr>
          <w:rFonts w:hint="eastAsia"/>
          <w:color w:val="auto"/>
          <w:highlight w:val="none"/>
          <w:lang w:eastAsia="zh-CN"/>
        </w:rPr>
        <w:t>以免</w:t>
      </w:r>
      <w:r>
        <w:rPr>
          <w:color w:val="auto"/>
          <w:highlight w:val="none"/>
        </w:rPr>
        <w:t>意外泄进入水体。</w:t>
      </w:r>
    </w:p>
    <w:p w14:paraId="6492FA47">
      <w:pPr>
        <w:ind w:firstLine="480"/>
        <w:rPr>
          <w:color w:val="auto"/>
          <w:highlight w:val="none"/>
        </w:rPr>
      </w:pPr>
      <w:r>
        <w:rPr>
          <w:color w:val="auto"/>
          <w:highlight w:val="none"/>
        </w:rPr>
        <w:t>（4）对有关的作业人员进行培训作为兼职应急队伍，平时由港区管理部门统一组织应急业务培训，熟悉应急设施的操作使用；</w:t>
      </w:r>
    </w:p>
    <w:p w14:paraId="75986FC6">
      <w:pPr>
        <w:ind w:firstLine="480"/>
        <w:rPr>
          <w:rFonts w:eastAsiaTheme="minorEastAsia"/>
          <w:color w:val="auto"/>
          <w:highlight w:val="none"/>
        </w:rPr>
      </w:pPr>
      <w:r>
        <w:rPr>
          <w:rFonts w:eastAsiaTheme="minorEastAsia"/>
          <w:color w:val="auto"/>
          <w:highlight w:val="none"/>
        </w:rPr>
        <w:t>（5）在生产、经营等各方面必须严格执行有关法律、法规。具体如《中华人民共和国消防法》、《建筑设计防火规范》、《仓库防火安全管理规范》等。禁止将油漆、稀释剂等可燃物堆场与高热源设置在一起。设置消防池和消防专用通道，消防水源要充足，消防车道要畅通，安装消防专用电话或报警设备。</w:t>
      </w:r>
    </w:p>
    <w:p w14:paraId="7404F40A">
      <w:pPr>
        <w:ind w:firstLine="480"/>
        <w:rPr>
          <w:rFonts w:eastAsiaTheme="minorEastAsia"/>
          <w:color w:val="auto"/>
          <w:highlight w:val="none"/>
        </w:rPr>
      </w:pPr>
      <w:r>
        <w:rPr>
          <w:rFonts w:eastAsiaTheme="minorEastAsia"/>
          <w:color w:val="auto"/>
          <w:highlight w:val="none"/>
        </w:rPr>
        <w:t>（7）加强消防基础设施建设，配备充足的消防器材，设施齐全，就能够及时扑灭萌芽状态的火灾，减少损失。在重要岗位设置火焰探测器和火警报警系统。并经常检查确保设施正常运转。在现场布置泡沫消防系统。设置事故池，事故池废水经收集后委托处理。</w:t>
      </w:r>
    </w:p>
    <w:p w14:paraId="7D13203C">
      <w:pPr>
        <w:pStyle w:val="6"/>
        <w:numPr>
          <w:ilvl w:val="1"/>
          <w:numId w:val="9"/>
        </w:numPr>
        <w:rPr>
          <w:color w:val="auto"/>
          <w:sz w:val="32"/>
          <w:szCs w:val="32"/>
          <w:highlight w:val="none"/>
        </w:rPr>
      </w:pPr>
      <w:bookmarkStart w:id="258" w:name="_Toc6058"/>
      <w:bookmarkStart w:id="259" w:name="_Toc33967233"/>
      <w:bookmarkStart w:id="260" w:name="_Toc33967129"/>
      <w:bookmarkStart w:id="261" w:name="_Toc7838"/>
      <w:r>
        <w:rPr>
          <w:color w:val="auto"/>
          <w:sz w:val="32"/>
          <w:szCs w:val="32"/>
          <w:highlight w:val="none"/>
        </w:rPr>
        <w:t>环保投资估算</w:t>
      </w:r>
      <w:bookmarkEnd w:id="258"/>
      <w:bookmarkEnd w:id="259"/>
      <w:bookmarkEnd w:id="260"/>
      <w:bookmarkEnd w:id="261"/>
    </w:p>
    <w:p w14:paraId="61C8A0B2">
      <w:pPr>
        <w:ind w:firstLine="480"/>
        <w:rPr>
          <w:color w:val="auto"/>
          <w:highlight w:val="none"/>
        </w:rPr>
      </w:pPr>
      <w:r>
        <w:rPr>
          <w:color w:val="auto"/>
          <w:highlight w:val="none"/>
        </w:rPr>
        <w:t>项目总投资为35000万元，其中环保投资为125万元，环保投资占投资的0.36%。项目具体的环保投资见表5.4-1。</w:t>
      </w:r>
    </w:p>
    <w:p w14:paraId="68C9B317">
      <w:pPr>
        <w:spacing w:line="240" w:lineRule="auto"/>
        <w:ind w:firstLine="0" w:firstLineChars="0"/>
        <w:jc w:val="center"/>
        <w:rPr>
          <w:b/>
          <w:color w:val="auto"/>
          <w:sz w:val="21"/>
          <w:szCs w:val="21"/>
          <w:highlight w:val="none"/>
        </w:rPr>
      </w:pPr>
      <w:r>
        <w:rPr>
          <w:b/>
          <w:color w:val="auto"/>
          <w:sz w:val="21"/>
          <w:szCs w:val="21"/>
          <w:highlight w:val="none"/>
        </w:rPr>
        <w:t>表5.4-1  项目环保投资估算一览表</w:t>
      </w:r>
    </w:p>
    <w:tbl>
      <w:tblPr>
        <w:tblStyle w:val="92"/>
        <w:tblW w:w="907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28"/>
        <w:gridCol w:w="1174"/>
        <w:gridCol w:w="2409"/>
        <w:gridCol w:w="3260"/>
        <w:gridCol w:w="1701"/>
      </w:tblGrid>
      <w:tr w14:paraId="661BBEB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702" w:type="dxa"/>
            <w:gridSpan w:val="2"/>
            <w:vAlign w:val="center"/>
          </w:tcPr>
          <w:p w14:paraId="1CE85ED0">
            <w:pPr>
              <w:spacing w:line="240" w:lineRule="auto"/>
              <w:ind w:firstLine="0" w:firstLineChars="0"/>
              <w:jc w:val="center"/>
              <w:rPr>
                <w:b/>
                <w:bCs/>
                <w:color w:val="auto"/>
                <w:sz w:val="21"/>
                <w:szCs w:val="21"/>
                <w:highlight w:val="none"/>
              </w:rPr>
            </w:pPr>
            <w:r>
              <w:rPr>
                <w:b/>
                <w:bCs/>
                <w:color w:val="auto"/>
                <w:sz w:val="21"/>
                <w:szCs w:val="21"/>
                <w:highlight w:val="none"/>
              </w:rPr>
              <w:t>类别</w:t>
            </w:r>
          </w:p>
        </w:tc>
        <w:tc>
          <w:tcPr>
            <w:tcW w:w="2409" w:type="dxa"/>
            <w:vAlign w:val="center"/>
          </w:tcPr>
          <w:p w14:paraId="198A02CB">
            <w:pPr>
              <w:spacing w:line="240" w:lineRule="auto"/>
              <w:ind w:firstLine="0" w:firstLineChars="0"/>
              <w:jc w:val="center"/>
              <w:rPr>
                <w:b/>
                <w:bCs/>
                <w:color w:val="auto"/>
                <w:sz w:val="21"/>
                <w:szCs w:val="21"/>
                <w:highlight w:val="none"/>
              </w:rPr>
            </w:pPr>
            <w:r>
              <w:rPr>
                <w:b/>
                <w:bCs/>
                <w:color w:val="auto"/>
                <w:sz w:val="21"/>
                <w:szCs w:val="21"/>
                <w:highlight w:val="none"/>
              </w:rPr>
              <w:t>污染源</w:t>
            </w:r>
          </w:p>
        </w:tc>
        <w:tc>
          <w:tcPr>
            <w:tcW w:w="3260" w:type="dxa"/>
            <w:vAlign w:val="center"/>
          </w:tcPr>
          <w:p w14:paraId="5E99E62F">
            <w:pPr>
              <w:spacing w:line="240" w:lineRule="auto"/>
              <w:ind w:firstLine="0" w:firstLineChars="0"/>
              <w:jc w:val="center"/>
              <w:rPr>
                <w:b/>
                <w:bCs/>
                <w:color w:val="auto"/>
                <w:sz w:val="21"/>
                <w:szCs w:val="21"/>
                <w:highlight w:val="none"/>
              </w:rPr>
            </w:pPr>
            <w:r>
              <w:rPr>
                <w:b/>
                <w:bCs/>
                <w:color w:val="auto"/>
                <w:sz w:val="21"/>
                <w:szCs w:val="21"/>
                <w:highlight w:val="none"/>
              </w:rPr>
              <w:t>治理措施</w:t>
            </w:r>
          </w:p>
        </w:tc>
        <w:tc>
          <w:tcPr>
            <w:tcW w:w="1701" w:type="dxa"/>
            <w:vAlign w:val="center"/>
          </w:tcPr>
          <w:p w14:paraId="51207B01">
            <w:pPr>
              <w:spacing w:line="240" w:lineRule="auto"/>
              <w:ind w:firstLine="0" w:firstLineChars="0"/>
              <w:jc w:val="center"/>
              <w:rPr>
                <w:b/>
                <w:bCs/>
                <w:color w:val="auto"/>
                <w:sz w:val="21"/>
                <w:szCs w:val="21"/>
                <w:highlight w:val="none"/>
              </w:rPr>
            </w:pPr>
            <w:r>
              <w:rPr>
                <w:b/>
                <w:bCs/>
                <w:color w:val="auto"/>
                <w:sz w:val="21"/>
                <w:szCs w:val="21"/>
                <w:highlight w:val="none"/>
              </w:rPr>
              <w:t>投资（万元）</w:t>
            </w:r>
          </w:p>
        </w:tc>
      </w:tr>
      <w:tr w14:paraId="1EB2840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28" w:type="dxa"/>
            <w:vMerge w:val="restart"/>
            <w:vAlign w:val="center"/>
          </w:tcPr>
          <w:p w14:paraId="517034CB">
            <w:pPr>
              <w:spacing w:line="240" w:lineRule="auto"/>
              <w:ind w:firstLine="0" w:firstLineChars="0"/>
              <w:jc w:val="center"/>
              <w:rPr>
                <w:color w:val="auto"/>
                <w:sz w:val="21"/>
                <w:szCs w:val="21"/>
                <w:highlight w:val="none"/>
              </w:rPr>
            </w:pPr>
            <w:r>
              <w:rPr>
                <w:color w:val="auto"/>
                <w:sz w:val="21"/>
                <w:szCs w:val="21"/>
                <w:highlight w:val="none"/>
              </w:rPr>
              <w:t>施工期</w:t>
            </w:r>
          </w:p>
        </w:tc>
        <w:tc>
          <w:tcPr>
            <w:tcW w:w="1174" w:type="dxa"/>
            <w:vAlign w:val="center"/>
          </w:tcPr>
          <w:p w14:paraId="58A62011">
            <w:pPr>
              <w:spacing w:line="240" w:lineRule="auto"/>
              <w:ind w:firstLine="0" w:firstLineChars="0"/>
              <w:jc w:val="center"/>
              <w:rPr>
                <w:color w:val="auto"/>
                <w:sz w:val="21"/>
                <w:szCs w:val="21"/>
                <w:highlight w:val="none"/>
              </w:rPr>
            </w:pPr>
            <w:r>
              <w:rPr>
                <w:color w:val="auto"/>
                <w:sz w:val="21"/>
                <w:szCs w:val="21"/>
                <w:highlight w:val="none"/>
              </w:rPr>
              <w:t>废气</w:t>
            </w:r>
          </w:p>
        </w:tc>
        <w:tc>
          <w:tcPr>
            <w:tcW w:w="2409" w:type="dxa"/>
            <w:vAlign w:val="center"/>
          </w:tcPr>
          <w:p w14:paraId="78292196">
            <w:pPr>
              <w:spacing w:line="240" w:lineRule="auto"/>
              <w:ind w:firstLine="0" w:firstLineChars="0"/>
              <w:jc w:val="center"/>
              <w:rPr>
                <w:color w:val="auto"/>
                <w:sz w:val="21"/>
                <w:szCs w:val="21"/>
                <w:highlight w:val="none"/>
              </w:rPr>
            </w:pPr>
            <w:r>
              <w:rPr>
                <w:color w:val="auto"/>
                <w:sz w:val="21"/>
                <w:szCs w:val="21"/>
                <w:highlight w:val="none"/>
              </w:rPr>
              <w:t>施工扬尘、运输扬尘、机械尾气、焊接烟尘</w:t>
            </w:r>
          </w:p>
        </w:tc>
        <w:tc>
          <w:tcPr>
            <w:tcW w:w="3260" w:type="dxa"/>
            <w:vAlign w:val="center"/>
          </w:tcPr>
          <w:p w14:paraId="5CFA6988">
            <w:pPr>
              <w:spacing w:line="240" w:lineRule="auto"/>
              <w:ind w:firstLine="0" w:firstLineChars="0"/>
              <w:jc w:val="center"/>
              <w:rPr>
                <w:color w:val="auto"/>
                <w:sz w:val="21"/>
                <w:szCs w:val="21"/>
                <w:highlight w:val="none"/>
              </w:rPr>
            </w:pPr>
            <w:r>
              <w:rPr>
                <w:color w:val="auto"/>
                <w:sz w:val="21"/>
                <w:szCs w:val="21"/>
                <w:highlight w:val="none"/>
              </w:rPr>
              <w:t>洒水抑尘，加盖</w:t>
            </w:r>
            <w:r>
              <w:rPr>
                <w:rFonts w:hint="eastAsia"/>
                <w:color w:val="auto"/>
                <w:sz w:val="21"/>
                <w:szCs w:val="21"/>
                <w:highlight w:val="none"/>
                <w:lang w:eastAsia="zh-CN"/>
              </w:rPr>
              <w:t>篷布</w:t>
            </w:r>
          </w:p>
        </w:tc>
        <w:tc>
          <w:tcPr>
            <w:tcW w:w="1701" w:type="dxa"/>
            <w:vAlign w:val="center"/>
          </w:tcPr>
          <w:p w14:paraId="0DAF71EF">
            <w:pPr>
              <w:spacing w:line="240" w:lineRule="auto"/>
              <w:ind w:firstLine="0" w:firstLineChars="0"/>
              <w:jc w:val="center"/>
              <w:rPr>
                <w:color w:val="auto"/>
                <w:sz w:val="21"/>
                <w:szCs w:val="21"/>
                <w:highlight w:val="none"/>
              </w:rPr>
            </w:pPr>
            <w:r>
              <w:rPr>
                <w:color w:val="auto"/>
                <w:sz w:val="21"/>
                <w:szCs w:val="21"/>
                <w:highlight w:val="none"/>
              </w:rPr>
              <w:t>5</w:t>
            </w:r>
          </w:p>
        </w:tc>
      </w:tr>
      <w:tr w14:paraId="6F4057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28" w:type="dxa"/>
            <w:vMerge w:val="continue"/>
            <w:vAlign w:val="center"/>
          </w:tcPr>
          <w:p w14:paraId="41803F89">
            <w:pPr>
              <w:spacing w:line="240" w:lineRule="auto"/>
              <w:ind w:firstLine="0" w:firstLineChars="0"/>
              <w:jc w:val="center"/>
              <w:rPr>
                <w:color w:val="auto"/>
                <w:sz w:val="21"/>
                <w:szCs w:val="21"/>
                <w:highlight w:val="none"/>
              </w:rPr>
            </w:pPr>
          </w:p>
        </w:tc>
        <w:tc>
          <w:tcPr>
            <w:tcW w:w="1174" w:type="dxa"/>
            <w:vAlign w:val="center"/>
          </w:tcPr>
          <w:p w14:paraId="701244AE">
            <w:pPr>
              <w:spacing w:line="240" w:lineRule="auto"/>
              <w:ind w:firstLine="0" w:firstLineChars="0"/>
              <w:jc w:val="center"/>
              <w:rPr>
                <w:color w:val="auto"/>
                <w:sz w:val="21"/>
                <w:szCs w:val="21"/>
                <w:highlight w:val="none"/>
              </w:rPr>
            </w:pPr>
            <w:r>
              <w:rPr>
                <w:color w:val="auto"/>
                <w:sz w:val="21"/>
                <w:szCs w:val="21"/>
                <w:highlight w:val="none"/>
              </w:rPr>
              <w:t>噪声</w:t>
            </w:r>
          </w:p>
        </w:tc>
        <w:tc>
          <w:tcPr>
            <w:tcW w:w="2409" w:type="dxa"/>
            <w:vAlign w:val="center"/>
          </w:tcPr>
          <w:p w14:paraId="07E1C638">
            <w:pPr>
              <w:spacing w:line="240" w:lineRule="auto"/>
              <w:ind w:firstLine="0" w:firstLineChars="0"/>
              <w:jc w:val="center"/>
              <w:rPr>
                <w:color w:val="auto"/>
                <w:sz w:val="21"/>
                <w:szCs w:val="21"/>
                <w:highlight w:val="none"/>
              </w:rPr>
            </w:pPr>
            <w:r>
              <w:rPr>
                <w:color w:val="auto"/>
                <w:sz w:val="21"/>
                <w:szCs w:val="21"/>
                <w:highlight w:val="none"/>
              </w:rPr>
              <w:t>机械设备</w:t>
            </w:r>
          </w:p>
        </w:tc>
        <w:tc>
          <w:tcPr>
            <w:tcW w:w="3260" w:type="dxa"/>
            <w:vAlign w:val="center"/>
          </w:tcPr>
          <w:p w14:paraId="7B7E0152">
            <w:pPr>
              <w:spacing w:line="240" w:lineRule="auto"/>
              <w:ind w:firstLine="0" w:firstLineChars="0"/>
              <w:jc w:val="center"/>
              <w:rPr>
                <w:color w:val="auto"/>
                <w:sz w:val="21"/>
                <w:szCs w:val="21"/>
                <w:highlight w:val="none"/>
              </w:rPr>
            </w:pPr>
            <w:r>
              <w:rPr>
                <w:color w:val="auto"/>
                <w:sz w:val="21"/>
                <w:szCs w:val="21"/>
                <w:highlight w:val="none"/>
              </w:rPr>
              <w:t>选用低噪声设备、设置移动式屏障等</w:t>
            </w:r>
          </w:p>
        </w:tc>
        <w:tc>
          <w:tcPr>
            <w:tcW w:w="1701" w:type="dxa"/>
            <w:vAlign w:val="center"/>
          </w:tcPr>
          <w:p w14:paraId="2C05A2B9">
            <w:pPr>
              <w:spacing w:line="240" w:lineRule="auto"/>
              <w:ind w:firstLine="0" w:firstLineChars="0"/>
              <w:jc w:val="center"/>
              <w:rPr>
                <w:color w:val="auto"/>
                <w:sz w:val="21"/>
                <w:szCs w:val="21"/>
                <w:highlight w:val="none"/>
              </w:rPr>
            </w:pPr>
            <w:r>
              <w:rPr>
                <w:color w:val="auto"/>
                <w:sz w:val="21"/>
                <w:szCs w:val="21"/>
                <w:highlight w:val="none"/>
              </w:rPr>
              <w:t>5</w:t>
            </w:r>
          </w:p>
        </w:tc>
      </w:tr>
      <w:tr w14:paraId="2EDCF0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28" w:type="dxa"/>
            <w:vMerge w:val="continue"/>
            <w:vAlign w:val="center"/>
          </w:tcPr>
          <w:p w14:paraId="12685C48">
            <w:pPr>
              <w:spacing w:line="240" w:lineRule="auto"/>
              <w:ind w:firstLine="0" w:firstLineChars="0"/>
              <w:jc w:val="center"/>
              <w:rPr>
                <w:color w:val="auto"/>
                <w:sz w:val="21"/>
                <w:szCs w:val="21"/>
                <w:highlight w:val="none"/>
              </w:rPr>
            </w:pPr>
          </w:p>
        </w:tc>
        <w:tc>
          <w:tcPr>
            <w:tcW w:w="1174" w:type="dxa"/>
            <w:vAlign w:val="center"/>
          </w:tcPr>
          <w:p w14:paraId="48A8E6EF">
            <w:pPr>
              <w:spacing w:line="240" w:lineRule="auto"/>
              <w:ind w:firstLine="0" w:firstLineChars="0"/>
              <w:jc w:val="center"/>
              <w:rPr>
                <w:color w:val="auto"/>
                <w:sz w:val="21"/>
                <w:szCs w:val="21"/>
                <w:highlight w:val="none"/>
              </w:rPr>
            </w:pPr>
            <w:r>
              <w:rPr>
                <w:color w:val="auto"/>
                <w:sz w:val="21"/>
                <w:szCs w:val="21"/>
                <w:highlight w:val="none"/>
              </w:rPr>
              <w:t>固体废物</w:t>
            </w:r>
          </w:p>
        </w:tc>
        <w:tc>
          <w:tcPr>
            <w:tcW w:w="2409" w:type="dxa"/>
            <w:vAlign w:val="center"/>
          </w:tcPr>
          <w:p w14:paraId="12B0422F">
            <w:pPr>
              <w:spacing w:line="240" w:lineRule="auto"/>
              <w:ind w:firstLine="0" w:firstLineChars="0"/>
              <w:jc w:val="center"/>
              <w:rPr>
                <w:color w:val="auto"/>
                <w:sz w:val="21"/>
                <w:szCs w:val="21"/>
                <w:highlight w:val="none"/>
              </w:rPr>
            </w:pPr>
            <w:r>
              <w:rPr>
                <w:color w:val="auto"/>
                <w:sz w:val="21"/>
                <w:szCs w:val="21"/>
                <w:highlight w:val="none"/>
              </w:rPr>
              <w:t>建筑垃圾、生活垃圾</w:t>
            </w:r>
          </w:p>
        </w:tc>
        <w:tc>
          <w:tcPr>
            <w:tcW w:w="3260" w:type="dxa"/>
            <w:vAlign w:val="center"/>
          </w:tcPr>
          <w:p w14:paraId="0EE7B302">
            <w:pPr>
              <w:spacing w:line="240" w:lineRule="auto"/>
              <w:ind w:firstLine="0" w:firstLineChars="0"/>
              <w:jc w:val="center"/>
              <w:rPr>
                <w:color w:val="auto"/>
                <w:sz w:val="21"/>
                <w:szCs w:val="21"/>
                <w:highlight w:val="none"/>
              </w:rPr>
            </w:pPr>
            <w:r>
              <w:rPr>
                <w:color w:val="auto"/>
                <w:sz w:val="21"/>
                <w:szCs w:val="21"/>
                <w:highlight w:val="none"/>
              </w:rPr>
              <w:t>处理处置费用</w:t>
            </w:r>
          </w:p>
        </w:tc>
        <w:tc>
          <w:tcPr>
            <w:tcW w:w="1701" w:type="dxa"/>
            <w:vAlign w:val="center"/>
          </w:tcPr>
          <w:p w14:paraId="69CB1476">
            <w:pPr>
              <w:spacing w:line="240" w:lineRule="auto"/>
              <w:ind w:firstLine="0" w:firstLineChars="0"/>
              <w:jc w:val="center"/>
              <w:rPr>
                <w:color w:val="auto"/>
                <w:sz w:val="21"/>
                <w:szCs w:val="21"/>
                <w:highlight w:val="none"/>
              </w:rPr>
            </w:pPr>
            <w:r>
              <w:rPr>
                <w:color w:val="auto"/>
                <w:sz w:val="21"/>
                <w:szCs w:val="21"/>
                <w:highlight w:val="none"/>
              </w:rPr>
              <w:t>5</w:t>
            </w:r>
          </w:p>
        </w:tc>
      </w:tr>
      <w:tr w14:paraId="05F3B0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28" w:type="dxa"/>
            <w:vMerge w:val="continue"/>
            <w:vAlign w:val="center"/>
          </w:tcPr>
          <w:p w14:paraId="6D09CF59">
            <w:pPr>
              <w:spacing w:line="240" w:lineRule="auto"/>
              <w:ind w:firstLine="0" w:firstLineChars="0"/>
              <w:jc w:val="center"/>
              <w:rPr>
                <w:color w:val="auto"/>
                <w:sz w:val="21"/>
                <w:szCs w:val="21"/>
                <w:highlight w:val="none"/>
              </w:rPr>
            </w:pPr>
          </w:p>
        </w:tc>
        <w:tc>
          <w:tcPr>
            <w:tcW w:w="1174" w:type="dxa"/>
            <w:vAlign w:val="center"/>
          </w:tcPr>
          <w:p w14:paraId="2C647382">
            <w:pPr>
              <w:spacing w:line="240" w:lineRule="auto"/>
              <w:ind w:firstLine="0" w:firstLineChars="0"/>
              <w:jc w:val="center"/>
              <w:rPr>
                <w:color w:val="auto"/>
                <w:sz w:val="21"/>
                <w:szCs w:val="21"/>
                <w:highlight w:val="none"/>
              </w:rPr>
            </w:pPr>
            <w:r>
              <w:rPr>
                <w:color w:val="auto"/>
                <w:sz w:val="21"/>
                <w:szCs w:val="21"/>
                <w:highlight w:val="none"/>
              </w:rPr>
              <w:t>生态</w:t>
            </w:r>
          </w:p>
        </w:tc>
        <w:tc>
          <w:tcPr>
            <w:tcW w:w="2409" w:type="dxa"/>
            <w:vAlign w:val="center"/>
          </w:tcPr>
          <w:p w14:paraId="24B0048A">
            <w:pPr>
              <w:spacing w:line="240" w:lineRule="auto"/>
              <w:ind w:firstLine="0" w:firstLineChars="0"/>
              <w:jc w:val="center"/>
              <w:rPr>
                <w:color w:val="auto"/>
                <w:sz w:val="21"/>
                <w:szCs w:val="21"/>
                <w:highlight w:val="none"/>
              </w:rPr>
            </w:pPr>
            <w:r>
              <w:rPr>
                <w:color w:val="auto"/>
                <w:sz w:val="21"/>
                <w:szCs w:val="21"/>
                <w:highlight w:val="none"/>
              </w:rPr>
              <w:t>悬浮物</w:t>
            </w:r>
          </w:p>
        </w:tc>
        <w:tc>
          <w:tcPr>
            <w:tcW w:w="3260" w:type="dxa"/>
            <w:vAlign w:val="center"/>
          </w:tcPr>
          <w:p w14:paraId="0FAAF276">
            <w:pPr>
              <w:spacing w:line="240" w:lineRule="auto"/>
              <w:ind w:firstLine="0" w:firstLineChars="0"/>
              <w:jc w:val="center"/>
              <w:rPr>
                <w:color w:val="auto"/>
                <w:sz w:val="21"/>
                <w:szCs w:val="21"/>
                <w:highlight w:val="none"/>
              </w:rPr>
            </w:pPr>
            <w:r>
              <w:rPr>
                <w:color w:val="auto"/>
                <w:sz w:val="21"/>
                <w:szCs w:val="21"/>
                <w:highlight w:val="none"/>
              </w:rPr>
              <w:t>加强监测</w:t>
            </w:r>
          </w:p>
        </w:tc>
        <w:tc>
          <w:tcPr>
            <w:tcW w:w="1701" w:type="dxa"/>
            <w:vAlign w:val="center"/>
          </w:tcPr>
          <w:p w14:paraId="2C24418E">
            <w:pPr>
              <w:spacing w:line="240" w:lineRule="auto"/>
              <w:ind w:firstLine="0" w:firstLineChars="0"/>
              <w:jc w:val="center"/>
              <w:rPr>
                <w:color w:val="auto"/>
                <w:sz w:val="21"/>
                <w:szCs w:val="21"/>
                <w:highlight w:val="none"/>
              </w:rPr>
            </w:pPr>
            <w:r>
              <w:rPr>
                <w:color w:val="auto"/>
                <w:sz w:val="21"/>
                <w:szCs w:val="21"/>
                <w:highlight w:val="none"/>
              </w:rPr>
              <w:t>10</w:t>
            </w:r>
          </w:p>
        </w:tc>
      </w:tr>
      <w:tr w14:paraId="37A85F2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72" w:hRule="atLeast"/>
          <w:jc w:val="center"/>
        </w:trPr>
        <w:tc>
          <w:tcPr>
            <w:tcW w:w="528" w:type="dxa"/>
            <w:vMerge w:val="restart"/>
            <w:vAlign w:val="center"/>
          </w:tcPr>
          <w:p w14:paraId="70BDE5B6">
            <w:pPr>
              <w:spacing w:line="240" w:lineRule="auto"/>
              <w:ind w:firstLine="0" w:firstLineChars="0"/>
              <w:jc w:val="center"/>
              <w:rPr>
                <w:color w:val="auto"/>
                <w:sz w:val="21"/>
                <w:szCs w:val="21"/>
                <w:highlight w:val="none"/>
              </w:rPr>
            </w:pPr>
            <w:r>
              <w:rPr>
                <w:color w:val="auto"/>
                <w:sz w:val="21"/>
                <w:szCs w:val="21"/>
                <w:highlight w:val="none"/>
              </w:rPr>
              <w:t>运营期</w:t>
            </w:r>
          </w:p>
        </w:tc>
        <w:tc>
          <w:tcPr>
            <w:tcW w:w="1174" w:type="dxa"/>
            <w:vMerge w:val="restart"/>
            <w:vAlign w:val="center"/>
          </w:tcPr>
          <w:p w14:paraId="40225C1F">
            <w:pPr>
              <w:spacing w:line="240" w:lineRule="auto"/>
              <w:ind w:firstLine="0" w:firstLineChars="0"/>
              <w:jc w:val="center"/>
              <w:rPr>
                <w:color w:val="auto"/>
                <w:sz w:val="21"/>
                <w:szCs w:val="21"/>
                <w:highlight w:val="none"/>
              </w:rPr>
            </w:pPr>
            <w:r>
              <w:rPr>
                <w:color w:val="auto"/>
                <w:sz w:val="21"/>
                <w:szCs w:val="21"/>
                <w:highlight w:val="none"/>
              </w:rPr>
              <w:t>废气</w:t>
            </w:r>
          </w:p>
        </w:tc>
        <w:tc>
          <w:tcPr>
            <w:tcW w:w="2409" w:type="dxa"/>
            <w:vAlign w:val="center"/>
          </w:tcPr>
          <w:p w14:paraId="0134E569">
            <w:pPr>
              <w:spacing w:line="240" w:lineRule="auto"/>
              <w:ind w:firstLine="0" w:firstLineChars="0"/>
              <w:jc w:val="center"/>
              <w:rPr>
                <w:color w:val="auto"/>
                <w:sz w:val="21"/>
                <w:szCs w:val="21"/>
                <w:highlight w:val="none"/>
              </w:rPr>
            </w:pPr>
            <w:r>
              <w:rPr>
                <w:color w:val="auto"/>
                <w:sz w:val="21"/>
                <w:szCs w:val="21"/>
                <w:highlight w:val="none"/>
              </w:rPr>
              <w:t>喷漆有机废气、焊接烟尘、除锈粉尘及切割粉尘</w:t>
            </w:r>
          </w:p>
        </w:tc>
        <w:tc>
          <w:tcPr>
            <w:tcW w:w="3260" w:type="dxa"/>
            <w:vAlign w:val="center"/>
          </w:tcPr>
          <w:p w14:paraId="65519FF2">
            <w:pPr>
              <w:spacing w:line="240" w:lineRule="auto"/>
              <w:ind w:firstLine="0" w:firstLineChars="0"/>
              <w:jc w:val="center"/>
              <w:rPr>
                <w:color w:val="auto"/>
                <w:sz w:val="21"/>
                <w:szCs w:val="21"/>
                <w:highlight w:val="none"/>
              </w:rPr>
            </w:pPr>
            <w:r>
              <w:rPr>
                <w:color w:val="auto"/>
                <w:sz w:val="21"/>
                <w:szCs w:val="21"/>
                <w:highlight w:val="none"/>
              </w:rPr>
              <w:t>采用配有焊接烟尘净化装置的机器进行焊接</w:t>
            </w:r>
            <w:r>
              <w:rPr>
                <w:rFonts w:hint="eastAsia"/>
                <w:color w:val="auto"/>
                <w:sz w:val="21"/>
                <w:szCs w:val="21"/>
                <w:highlight w:val="none"/>
              </w:rPr>
              <w:t>；</w:t>
            </w:r>
            <w:r>
              <w:rPr>
                <w:color w:val="auto"/>
                <w:sz w:val="21"/>
                <w:szCs w:val="21"/>
                <w:highlight w:val="none"/>
              </w:rPr>
              <w:t>选用先进喷涂设备；采用苯系物含量较低的有机溶剂、水溶性和无溶剂型涂料；采用低毒低尘的焊接材料</w:t>
            </w:r>
          </w:p>
        </w:tc>
        <w:tc>
          <w:tcPr>
            <w:tcW w:w="1701" w:type="dxa"/>
            <w:vAlign w:val="center"/>
          </w:tcPr>
          <w:p w14:paraId="0771E69A">
            <w:pPr>
              <w:spacing w:line="240" w:lineRule="auto"/>
              <w:ind w:firstLine="0" w:firstLineChars="0"/>
              <w:jc w:val="center"/>
              <w:rPr>
                <w:color w:val="auto"/>
                <w:sz w:val="21"/>
                <w:szCs w:val="21"/>
                <w:highlight w:val="none"/>
              </w:rPr>
            </w:pPr>
            <w:r>
              <w:rPr>
                <w:color w:val="auto"/>
                <w:sz w:val="21"/>
                <w:szCs w:val="21"/>
                <w:highlight w:val="none"/>
              </w:rPr>
              <w:t>10</w:t>
            </w:r>
          </w:p>
        </w:tc>
      </w:tr>
      <w:tr w14:paraId="5250B3D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28" w:type="dxa"/>
            <w:vMerge w:val="continue"/>
            <w:vAlign w:val="center"/>
          </w:tcPr>
          <w:p w14:paraId="51579118">
            <w:pPr>
              <w:spacing w:line="240" w:lineRule="auto"/>
              <w:ind w:firstLine="0" w:firstLineChars="0"/>
              <w:jc w:val="center"/>
              <w:rPr>
                <w:color w:val="auto"/>
                <w:sz w:val="21"/>
                <w:szCs w:val="21"/>
                <w:highlight w:val="none"/>
              </w:rPr>
            </w:pPr>
          </w:p>
        </w:tc>
        <w:tc>
          <w:tcPr>
            <w:tcW w:w="1174" w:type="dxa"/>
            <w:vMerge w:val="restart"/>
            <w:vAlign w:val="center"/>
          </w:tcPr>
          <w:p w14:paraId="27662075">
            <w:pPr>
              <w:spacing w:line="240" w:lineRule="auto"/>
              <w:ind w:firstLine="0" w:firstLineChars="0"/>
              <w:jc w:val="center"/>
              <w:rPr>
                <w:color w:val="auto"/>
                <w:sz w:val="21"/>
                <w:szCs w:val="21"/>
                <w:highlight w:val="none"/>
              </w:rPr>
            </w:pPr>
            <w:r>
              <w:rPr>
                <w:color w:val="auto"/>
                <w:sz w:val="21"/>
                <w:szCs w:val="21"/>
                <w:highlight w:val="none"/>
              </w:rPr>
              <w:t>废水</w:t>
            </w:r>
          </w:p>
        </w:tc>
        <w:tc>
          <w:tcPr>
            <w:tcW w:w="2409" w:type="dxa"/>
            <w:vAlign w:val="center"/>
          </w:tcPr>
          <w:p w14:paraId="13F80112">
            <w:pPr>
              <w:spacing w:line="240" w:lineRule="auto"/>
              <w:ind w:firstLine="0" w:firstLineChars="0"/>
              <w:jc w:val="center"/>
              <w:rPr>
                <w:color w:val="auto"/>
                <w:sz w:val="21"/>
                <w:szCs w:val="21"/>
                <w:highlight w:val="none"/>
              </w:rPr>
            </w:pPr>
            <w:r>
              <w:rPr>
                <w:color w:val="auto"/>
                <w:sz w:val="21"/>
                <w:szCs w:val="21"/>
                <w:highlight w:val="none"/>
              </w:rPr>
              <w:t>初期雨水</w:t>
            </w:r>
          </w:p>
        </w:tc>
        <w:tc>
          <w:tcPr>
            <w:tcW w:w="3260" w:type="dxa"/>
            <w:vAlign w:val="center"/>
          </w:tcPr>
          <w:p w14:paraId="1DBC9793">
            <w:pPr>
              <w:spacing w:line="240" w:lineRule="auto"/>
              <w:ind w:firstLine="0" w:firstLineChars="0"/>
              <w:jc w:val="center"/>
              <w:rPr>
                <w:color w:val="auto"/>
                <w:sz w:val="21"/>
                <w:szCs w:val="21"/>
                <w:highlight w:val="none"/>
              </w:rPr>
            </w:pPr>
            <w:r>
              <w:rPr>
                <w:color w:val="auto"/>
                <w:sz w:val="21"/>
                <w:szCs w:val="21"/>
                <w:highlight w:val="none"/>
              </w:rPr>
              <w:t>初期雨水收集池</w:t>
            </w:r>
          </w:p>
          <w:p w14:paraId="2C4DDDD7">
            <w:pPr>
              <w:spacing w:line="240" w:lineRule="auto"/>
              <w:ind w:firstLine="0" w:firstLineChars="0"/>
              <w:jc w:val="center"/>
              <w:rPr>
                <w:color w:val="auto"/>
                <w:sz w:val="21"/>
                <w:szCs w:val="21"/>
                <w:highlight w:val="none"/>
              </w:rPr>
            </w:pPr>
            <w:r>
              <w:rPr>
                <w:color w:val="auto"/>
                <w:sz w:val="21"/>
                <w:szCs w:val="21"/>
                <w:highlight w:val="none"/>
              </w:rPr>
              <w:t>（1座，容积为</w:t>
            </w:r>
            <w:r>
              <w:rPr>
                <w:rFonts w:hint="eastAsia"/>
                <w:color w:val="auto"/>
                <w:sz w:val="21"/>
                <w:szCs w:val="21"/>
                <w:highlight w:val="none"/>
              </w:rPr>
              <w:t>113.85</w:t>
            </w:r>
            <w:r>
              <w:rPr>
                <w:color w:val="auto"/>
                <w:sz w:val="21"/>
                <w:szCs w:val="21"/>
                <w:highlight w:val="none"/>
              </w:rPr>
              <w:t>m</w:t>
            </w:r>
            <w:r>
              <w:rPr>
                <w:color w:val="auto"/>
                <w:sz w:val="21"/>
                <w:szCs w:val="21"/>
                <w:highlight w:val="none"/>
                <w:vertAlign w:val="superscript"/>
              </w:rPr>
              <w:t>3</w:t>
            </w:r>
            <w:r>
              <w:rPr>
                <w:color w:val="auto"/>
                <w:sz w:val="21"/>
                <w:szCs w:val="21"/>
                <w:highlight w:val="none"/>
              </w:rPr>
              <w:t>）</w:t>
            </w:r>
          </w:p>
        </w:tc>
        <w:tc>
          <w:tcPr>
            <w:tcW w:w="1701" w:type="dxa"/>
            <w:vAlign w:val="center"/>
          </w:tcPr>
          <w:p w14:paraId="424453D4">
            <w:pPr>
              <w:spacing w:line="240" w:lineRule="auto"/>
              <w:ind w:firstLine="0" w:firstLineChars="0"/>
              <w:jc w:val="center"/>
              <w:rPr>
                <w:color w:val="auto"/>
                <w:sz w:val="21"/>
                <w:szCs w:val="21"/>
                <w:highlight w:val="none"/>
              </w:rPr>
            </w:pPr>
            <w:r>
              <w:rPr>
                <w:color w:val="auto"/>
                <w:sz w:val="21"/>
                <w:szCs w:val="21"/>
                <w:highlight w:val="none"/>
              </w:rPr>
              <w:t>20</w:t>
            </w:r>
          </w:p>
        </w:tc>
      </w:tr>
      <w:tr w14:paraId="451775C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0" w:hRule="atLeast"/>
          <w:jc w:val="center"/>
        </w:trPr>
        <w:tc>
          <w:tcPr>
            <w:tcW w:w="528" w:type="dxa"/>
            <w:vMerge w:val="continue"/>
            <w:vAlign w:val="center"/>
          </w:tcPr>
          <w:p w14:paraId="7D115344">
            <w:pPr>
              <w:spacing w:line="240" w:lineRule="auto"/>
              <w:ind w:firstLine="0" w:firstLineChars="0"/>
              <w:jc w:val="center"/>
              <w:rPr>
                <w:color w:val="auto"/>
                <w:sz w:val="21"/>
                <w:szCs w:val="21"/>
                <w:highlight w:val="none"/>
              </w:rPr>
            </w:pPr>
          </w:p>
        </w:tc>
        <w:tc>
          <w:tcPr>
            <w:tcW w:w="1174" w:type="dxa"/>
            <w:vMerge w:val="continue"/>
            <w:vAlign w:val="center"/>
          </w:tcPr>
          <w:p w14:paraId="1CB44F11">
            <w:pPr>
              <w:spacing w:line="240" w:lineRule="auto"/>
              <w:ind w:firstLine="0" w:firstLineChars="0"/>
              <w:jc w:val="center"/>
              <w:rPr>
                <w:color w:val="auto"/>
                <w:sz w:val="21"/>
                <w:szCs w:val="21"/>
                <w:highlight w:val="none"/>
              </w:rPr>
            </w:pPr>
          </w:p>
        </w:tc>
        <w:tc>
          <w:tcPr>
            <w:tcW w:w="2409" w:type="dxa"/>
            <w:vAlign w:val="center"/>
          </w:tcPr>
          <w:p w14:paraId="4C4A004A">
            <w:pPr>
              <w:spacing w:line="240" w:lineRule="auto"/>
              <w:ind w:firstLine="0" w:firstLineChars="0"/>
              <w:jc w:val="center"/>
              <w:rPr>
                <w:color w:val="auto"/>
                <w:sz w:val="21"/>
                <w:szCs w:val="21"/>
                <w:highlight w:val="none"/>
              </w:rPr>
            </w:pPr>
            <w:r>
              <w:rPr>
                <w:color w:val="auto"/>
                <w:sz w:val="21"/>
                <w:szCs w:val="21"/>
                <w:highlight w:val="none"/>
              </w:rPr>
              <w:t>含油废水</w:t>
            </w:r>
          </w:p>
        </w:tc>
        <w:tc>
          <w:tcPr>
            <w:tcW w:w="3260" w:type="dxa"/>
            <w:vAlign w:val="center"/>
          </w:tcPr>
          <w:p w14:paraId="4DF9EACD">
            <w:pPr>
              <w:spacing w:line="240" w:lineRule="auto"/>
              <w:ind w:firstLine="0" w:firstLineChars="0"/>
              <w:jc w:val="center"/>
              <w:rPr>
                <w:color w:val="auto"/>
                <w:sz w:val="21"/>
                <w:szCs w:val="21"/>
                <w:highlight w:val="none"/>
              </w:rPr>
            </w:pPr>
            <w:r>
              <w:rPr>
                <w:color w:val="auto"/>
                <w:sz w:val="21"/>
                <w:szCs w:val="21"/>
                <w:highlight w:val="none"/>
              </w:rPr>
              <w:t>依托现有废水处理设施</w:t>
            </w:r>
          </w:p>
        </w:tc>
        <w:tc>
          <w:tcPr>
            <w:tcW w:w="1701" w:type="dxa"/>
            <w:vAlign w:val="center"/>
          </w:tcPr>
          <w:p w14:paraId="07B1A519">
            <w:pPr>
              <w:spacing w:line="240" w:lineRule="auto"/>
              <w:ind w:firstLine="0" w:firstLineChars="0"/>
              <w:jc w:val="center"/>
              <w:rPr>
                <w:color w:val="auto"/>
                <w:sz w:val="21"/>
                <w:szCs w:val="21"/>
                <w:highlight w:val="none"/>
              </w:rPr>
            </w:pPr>
            <w:r>
              <w:rPr>
                <w:color w:val="auto"/>
                <w:sz w:val="21"/>
                <w:szCs w:val="21"/>
                <w:highlight w:val="none"/>
              </w:rPr>
              <w:t>0</w:t>
            </w:r>
          </w:p>
        </w:tc>
      </w:tr>
      <w:tr w14:paraId="6DFD56B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28" w:type="dxa"/>
            <w:vMerge w:val="continue"/>
            <w:vAlign w:val="center"/>
          </w:tcPr>
          <w:p w14:paraId="300DB732">
            <w:pPr>
              <w:spacing w:line="240" w:lineRule="auto"/>
              <w:ind w:firstLine="0" w:firstLineChars="0"/>
              <w:jc w:val="center"/>
              <w:rPr>
                <w:color w:val="auto"/>
                <w:sz w:val="21"/>
                <w:szCs w:val="21"/>
                <w:highlight w:val="none"/>
              </w:rPr>
            </w:pPr>
          </w:p>
        </w:tc>
        <w:tc>
          <w:tcPr>
            <w:tcW w:w="1174" w:type="dxa"/>
            <w:vMerge w:val="continue"/>
            <w:vAlign w:val="center"/>
          </w:tcPr>
          <w:p w14:paraId="1939CE96">
            <w:pPr>
              <w:spacing w:line="240" w:lineRule="auto"/>
              <w:ind w:firstLine="0" w:firstLineChars="0"/>
              <w:jc w:val="center"/>
              <w:rPr>
                <w:color w:val="auto"/>
                <w:sz w:val="21"/>
                <w:szCs w:val="21"/>
                <w:highlight w:val="none"/>
              </w:rPr>
            </w:pPr>
          </w:p>
        </w:tc>
        <w:tc>
          <w:tcPr>
            <w:tcW w:w="2409" w:type="dxa"/>
            <w:vAlign w:val="center"/>
          </w:tcPr>
          <w:p w14:paraId="59B706AA">
            <w:pPr>
              <w:spacing w:line="240" w:lineRule="auto"/>
              <w:ind w:firstLine="0" w:firstLineChars="0"/>
              <w:jc w:val="center"/>
              <w:rPr>
                <w:color w:val="auto"/>
                <w:sz w:val="21"/>
                <w:szCs w:val="21"/>
                <w:highlight w:val="none"/>
              </w:rPr>
            </w:pPr>
            <w:r>
              <w:rPr>
                <w:color w:val="auto"/>
                <w:sz w:val="21"/>
                <w:szCs w:val="21"/>
                <w:highlight w:val="none"/>
              </w:rPr>
              <w:t>生活污水</w:t>
            </w:r>
          </w:p>
        </w:tc>
        <w:tc>
          <w:tcPr>
            <w:tcW w:w="3260" w:type="dxa"/>
            <w:vAlign w:val="center"/>
          </w:tcPr>
          <w:p w14:paraId="5D878E1C">
            <w:pPr>
              <w:spacing w:line="240" w:lineRule="auto"/>
              <w:ind w:firstLine="0" w:firstLineChars="0"/>
              <w:jc w:val="center"/>
              <w:rPr>
                <w:color w:val="auto"/>
                <w:sz w:val="21"/>
                <w:szCs w:val="21"/>
                <w:highlight w:val="none"/>
              </w:rPr>
            </w:pPr>
            <w:r>
              <w:rPr>
                <w:color w:val="auto"/>
                <w:sz w:val="21"/>
                <w:szCs w:val="21"/>
                <w:highlight w:val="none"/>
              </w:rPr>
              <w:t>依托基地生活污水处理系统</w:t>
            </w:r>
          </w:p>
        </w:tc>
        <w:tc>
          <w:tcPr>
            <w:tcW w:w="1701" w:type="dxa"/>
            <w:vAlign w:val="center"/>
          </w:tcPr>
          <w:p w14:paraId="3463A6A8">
            <w:pPr>
              <w:spacing w:line="240" w:lineRule="auto"/>
              <w:ind w:firstLine="0" w:firstLineChars="0"/>
              <w:jc w:val="center"/>
              <w:rPr>
                <w:color w:val="auto"/>
                <w:sz w:val="21"/>
                <w:szCs w:val="21"/>
                <w:highlight w:val="none"/>
              </w:rPr>
            </w:pPr>
            <w:r>
              <w:rPr>
                <w:color w:val="auto"/>
                <w:sz w:val="21"/>
                <w:szCs w:val="21"/>
                <w:highlight w:val="none"/>
              </w:rPr>
              <w:t>0</w:t>
            </w:r>
          </w:p>
        </w:tc>
      </w:tr>
      <w:tr w14:paraId="50571AA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28" w:type="dxa"/>
            <w:vMerge w:val="continue"/>
            <w:vAlign w:val="center"/>
          </w:tcPr>
          <w:p w14:paraId="2AF59D74">
            <w:pPr>
              <w:spacing w:line="240" w:lineRule="auto"/>
              <w:ind w:firstLine="0" w:firstLineChars="0"/>
              <w:jc w:val="center"/>
              <w:rPr>
                <w:color w:val="auto"/>
                <w:sz w:val="21"/>
                <w:szCs w:val="21"/>
                <w:highlight w:val="none"/>
              </w:rPr>
            </w:pPr>
          </w:p>
        </w:tc>
        <w:tc>
          <w:tcPr>
            <w:tcW w:w="1174" w:type="dxa"/>
            <w:vAlign w:val="center"/>
          </w:tcPr>
          <w:p w14:paraId="2BA62A4F">
            <w:pPr>
              <w:spacing w:line="240" w:lineRule="auto"/>
              <w:ind w:firstLine="0" w:firstLineChars="0"/>
              <w:jc w:val="center"/>
              <w:rPr>
                <w:color w:val="auto"/>
                <w:sz w:val="21"/>
                <w:szCs w:val="21"/>
                <w:highlight w:val="none"/>
              </w:rPr>
            </w:pPr>
            <w:r>
              <w:rPr>
                <w:color w:val="auto"/>
                <w:sz w:val="21"/>
                <w:szCs w:val="21"/>
                <w:highlight w:val="none"/>
              </w:rPr>
              <w:t>噪声</w:t>
            </w:r>
          </w:p>
        </w:tc>
        <w:tc>
          <w:tcPr>
            <w:tcW w:w="2409" w:type="dxa"/>
            <w:vAlign w:val="center"/>
          </w:tcPr>
          <w:p w14:paraId="20B1D0E6">
            <w:pPr>
              <w:spacing w:line="240" w:lineRule="auto"/>
              <w:ind w:firstLine="0" w:firstLineChars="0"/>
              <w:jc w:val="center"/>
              <w:rPr>
                <w:color w:val="auto"/>
                <w:sz w:val="21"/>
                <w:szCs w:val="21"/>
                <w:highlight w:val="none"/>
              </w:rPr>
            </w:pPr>
            <w:r>
              <w:rPr>
                <w:color w:val="auto"/>
                <w:sz w:val="21"/>
                <w:szCs w:val="21"/>
                <w:highlight w:val="none"/>
              </w:rPr>
              <w:t>运输车辆、船舶、装卸设备等</w:t>
            </w:r>
          </w:p>
        </w:tc>
        <w:tc>
          <w:tcPr>
            <w:tcW w:w="3260" w:type="dxa"/>
            <w:vAlign w:val="center"/>
          </w:tcPr>
          <w:p w14:paraId="60A7C3DF">
            <w:pPr>
              <w:spacing w:line="240" w:lineRule="auto"/>
              <w:ind w:firstLine="0" w:firstLineChars="0"/>
              <w:jc w:val="center"/>
              <w:rPr>
                <w:color w:val="auto"/>
                <w:sz w:val="21"/>
                <w:szCs w:val="21"/>
                <w:highlight w:val="none"/>
              </w:rPr>
            </w:pPr>
            <w:r>
              <w:rPr>
                <w:color w:val="auto"/>
                <w:sz w:val="21"/>
                <w:szCs w:val="21"/>
                <w:highlight w:val="none"/>
              </w:rPr>
              <w:t>采用低噪声设备；</w:t>
            </w:r>
          </w:p>
          <w:p w14:paraId="1F122452">
            <w:pPr>
              <w:spacing w:line="240" w:lineRule="auto"/>
              <w:ind w:firstLine="0" w:firstLineChars="0"/>
              <w:jc w:val="center"/>
              <w:rPr>
                <w:color w:val="auto"/>
                <w:sz w:val="21"/>
                <w:szCs w:val="21"/>
                <w:highlight w:val="none"/>
              </w:rPr>
            </w:pPr>
            <w:r>
              <w:rPr>
                <w:color w:val="auto"/>
                <w:sz w:val="21"/>
                <w:szCs w:val="21"/>
                <w:highlight w:val="none"/>
              </w:rPr>
              <w:t>隔声、减震措施</w:t>
            </w:r>
          </w:p>
        </w:tc>
        <w:tc>
          <w:tcPr>
            <w:tcW w:w="1701" w:type="dxa"/>
            <w:vAlign w:val="center"/>
          </w:tcPr>
          <w:p w14:paraId="16081D42">
            <w:pPr>
              <w:spacing w:line="240" w:lineRule="auto"/>
              <w:ind w:firstLine="0" w:firstLineChars="0"/>
              <w:jc w:val="center"/>
              <w:rPr>
                <w:color w:val="auto"/>
                <w:sz w:val="21"/>
                <w:szCs w:val="21"/>
                <w:highlight w:val="none"/>
              </w:rPr>
            </w:pPr>
            <w:r>
              <w:rPr>
                <w:color w:val="auto"/>
                <w:sz w:val="21"/>
                <w:szCs w:val="21"/>
                <w:highlight w:val="none"/>
              </w:rPr>
              <w:t>10</w:t>
            </w:r>
          </w:p>
        </w:tc>
      </w:tr>
      <w:tr w14:paraId="15B9A7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28" w:type="dxa"/>
            <w:vMerge w:val="continue"/>
            <w:vAlign w:val="center"/>
          </w:tcPr>
          <w:p w14:paraId="38A77DC5">
            <w:pPr>
              <w:spacing w:line="240" w:lineRule="auto"/>
              <w:ind w:firstLine="0" w:firstLineChars="0"/>
              <w:jc w:val="center"/>
              <w:rPr>
                <w:color w:val="auto"/>
                <w:sz w:val="21"/>
                <w:szCs w:val="21"/>
                <w:highlight w:val="none"/>
              </w:rPr>
            </w:pPr>
          </w:p>
        </w:tc>
        <w:tc>
          <w:tcPr>
            <w:tcW w:w="1174" w:type="dxa"/>
            <w:vMerge w:val="restart"/>
            <w:vAlign w:val="center"/>
          </w:tcPr>
          <w:p w14:paraId="0C90D260">
            <w:pPr>
              <w:spacing w:line="240" w:lineRule="auto"/>
              <w:ind w:firstLine="0" w:firstLineChars="0"/>
              <w:jc w:val="center"/>
              <w:rPr>
                <w:color w:val="auto"/>
                <w:sz w:val="21"/>
                <w:szCs w:val="21"/>
                <w:highlight w:val="none"/>
              </w:rPr>
            </w:pPr>
            <w:r>
              <w:rPr>
                <w:color w:val="auto"/>
                <w:sz w:val="21"/>
                <w:szCs w:val="21"/>
                <w:highlight w:val="none"/>
              </w:rPr>
              <w:t>固体废物</w:t>
            </w:r>
          </w:p>
        </w:tc>
        <w:tc>
          <w:tcPr>
            <w:tcW w:w="2409" w:type="dxa"/>
            <w:vAlign w:val="center"/>
          </w:tcPr>
          <w:p w14:paraId="2AE35E41">
            <w:pPr>
              <w:spacing w:line="240" w:lineRule="auto"/>
              <w:ind w:firstLine="0" w:firstLineChars="0"/>
              <w:jc w:val="center"/>
              <w:rPr>
                <w:color w:val="auto"/>
                <w:sz w:val="21"/>
                <w:szCs w:val="21"/>
                <w:highlight w:val="none"/>
              </w:rPr>
            </w:pPr>
            <w:r>
              <w:rPr>
                <w:color w:val="auto"/>
                <w:sz w:val="21"/>
                <w:szCs w:val="21"/>
                <w:highlight w:val="none"/>
              </w:rPr>
              <w:t>生活垃圾</w:t>
            </w:r>
          </w:p>
        </w:tc>
        <w:tc>
          <w:tcPr>
            <w:tcW w:w="3260" w:type="dxa"/>
            <w:vAlign w:val="center"/>
          </w:tcPr>
          <w:p w14:paraId="6FA3B1FC">
            <w:pPr>
              <w:spacing w:line="240" w:lineRule="auto"/>
              <w:ind w:firstLine="0" w:firstLineChars="0"/>
              <w:jc w:val="center"/>
              <w:rPr>
                <w:color w:val="auto"/>
                <w:sz w:val="21"/>
                <w:szCs w:val="21"/>
                <w:highlight w:val="none"/>
              </w:rPr>
            </w:pPr>
            <w:r>
              <w:rPr>
                <w:color w:val="auto"/>
                <w:sz w:val="21"/>
                <w:szCs w:val="21"/>
                <w:highlight w:val="none"/>
              </w:rPr>
              <w:t>依托现有</w:t>
            </w:r>
          </w:p>
        </w:tc>
        <w:tc>
          <w:tcPr>
            <w:tcW w:w="1701" w:type="dxa"/>
            <w:vAlign w:val="center"/>
          </w:tcPr>
          <w:p w14:paraId="75F01099">
            <w:pPr>
              <w:spacing w:line="240" w:lineRule="auto"/>
              <w:ind w:firstLine="0" w:firstLineChars="0"/>
              <w:jc w:val="center"/>
              <w:rPr>
                <w:color w:val="auto"/>
                <w:sz w:val="21"/>
                <w:szCs w:val="21"/>
                <w:highlight w:val="none"/>
              </w:rPr>
            </w:pPr>
            <w:r>
              <w:rPr>
                <w:color w:val="auto"/>
                <w:sz w:val="21"/>
                <w:szCs w:val="21"/>
                <w:highlight w:val="none"/>
              </w:rPr>
              <w:t>0</w:t>
            </w:r>
          </w:p>
        </w:tc>
      </w:tr>
      <w:tr w14:paraId="6928767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28" w:type="dxa"/>
            <w:vMerge w:val="continue"/>
            <w:vAlign w:val="center"/>
          </w:tcPr>
          <w:p w14:paraId="0E657FCB">
            <w:pPr>
              <w:spacing w:line="240" w:lineRule="auto"/>
              <w:ind w:firstLine="0" w:firstLineChars="0"/>
              <w:jc w:val="center"/>
              <w:rPr>
                <w:color w:val="auto"/>
                <w:sz w:val="21"/>
                <w:szCs w:val="21"/>
                <w:highlight w:val="none"/>
              </w:rPr>
            </w:pPr>
          </w:p>
        </w:tc>
        <w:tc>
          <w:tcPr>
            <w:tcW w:w="1174" w:type="dxa"/>
            <w:vMerge w:val="continue"/>
            <w:vAlign w:val="center"/>
          </w:tcPr>
          <w:p w14:paraId="66E438B4">
            <w:pPr>
              <w:spacing w:line="240" w:lineRule="auto"/>
              <w:ind w:firstLine="0" w:firstLineChars="0"/>
              <w:jc w:val="center"/>
              <w:rPr>
                <w:color w:val="auto"/>
                <w:sz w:val="21"/>
                <w:szCs w:val="21"/>
                <w:highlight w:val="none"/>
              </w:rPr>
            </w:pPr>
          </w:p>
        </w:tc>
        <w:tc>
          <w:tcPr>
            <w:tcW w:w="2409" w:type="dxa"/>
            <w:vAlign w:val="center"/>
          </w:tcPr>
          <w:p w14:paraId="5C6046CD">
            <w:pPr>
              <w:spacing w:line="240" w:lineRule="auto"/>
              <w:ind w:firstLine="0" w:firstLineChars="0"/>
              <w:jc w:val="center"/>
              <w:rPr>
                <w:color w:val="auto"/>
                <w:sz w:val="21"/>
                <w:szCs w:val="21"/>
                <w:highlight w:val="none"/>
              </w:rPr>
            </w:pPr>
            <w:r>
              <w:rPr>
                <w:color w:val="auto"/>
                <w:sz w:val="21"/>
                <w:szCs w:val="21"/>
                <w:highlight w:val="none"/>
              </w:rPr>
              <w:t>一般固体废物</w:t>
            </w:r>
          </w:p>
        </w:tc>
        <w:tc>
          <w:tcPr>
            <w:tcW w:w="3260" w:type="dxa"/>
            <w:vAlign w:val="center"/>
          </w:tcPr>
          <w:p w14:paraId="74891883">
            <w:pPr>
              <w:spacing w:line="240" w:lineRule="auto"/>
              <w:ind w:firstLine="0" w:firstLineChars="0"/>
              <w:jc w:val="center"/>
              <w:rPr>
                <w:color w:val="auto"/>
                <w:sz w:val="21"/>
                <w:szCs w:val="21"/>
                <w:highlight w:val="none"/>
              </w:rPr>
            </w:pPr>
            <w:r>
              <w:rPr>
                <w:color w:val="auto"/>
                <w:sz w:val="21"/>
                <w:szCs w:val="21"/>
                <w:highlight w:val="none"/>
              </w:rPr>
              <w:t>依托现有一般固体废物暂存间</w:t>
            </w:r>
          </w:p>
        </w:tc>
        <w:tc>
          <w:tcPr>
            <w:tcW w:w="1701" w:type="dxa"/>
            <w:vAlign w:val="center"/>
          </w:tcPr>
          <w:p w14:paraId="4A7E44F6">
            <w:pPr>
              <w:spacing w:line="240" w:lineRule="auto"/>
              <w:ind w:firstLine="0" w:firstLineChars="0"/>
              <w:jc w:val="center"/>
              <w:rPr>
                <w:color w:val="auto"/>
                <w:sz w:val="21"/>
                <w:szCs w:val="21"/>
                <w:highlight w:val="none"/>
              </w:rPr>
            </w:pPr>
            <w:r>
              <w:rPr>
                <w:color w:val="auto"/>
                <w:sz w:val="21"/>
                <w:szCs w:val="21"/>
                <w:highlight w:val="none"/>
              </w:rPr>
              <w:t>0</w:t>
            </w:r>
          </w:p>
        </w:tc>
      </w:tr>
      <w:tr w14:paraId="5492279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528" w:type="dxa"/>
            <w:vMerge w:val="continue"/>
            <w:vAlign w:val="center"/>
          </w:tcPr>
          <w:p w14:paraId="5054CE87">
            <w:pPr>
              <w:spacing w:line="240" w:lineRule="auto"/>
              <w:ind w:firstLine="0" w:firstLineChars="0"/>
              <w:jc w:val="center"/>
              <w:rPr>
                <w:color w:val="auto"/>
                <w:sz w:val="21"/>
                <w:szCs w:val="21"/>
                <w:highlight w:val="none"/>
              </w:rPr>
            </w:pPr>
          </w:p>
        </w:tc>
        <w:tc>
          <w:tcPr>
            <w:tcW w:w="1174" w:type="dxa"/>
            <w:vMerge w:val="continue"/>
            <w:vAlign w:val="center"/>
          </w:tcPr>
          <w:p w14:paraId="6083E616">
            <w:pPr>
              <w:spacing w:line="240" w:lineRule="auto"/>
              <w:ind w:firstLine="0" w:firstLineChars="0"/>
              <w:jc w:val="center"/>
              <w:rPr>
                <w:color w:val="auto"/>
                <w:sz w:val="21"/>
                <w:szCs w:val="21"/>
                <w:highlight w:val="none"/>
              </w:rPr>
            </w:pPr>
          </w:p>
        </w:tc>
        <w:tc>
          <w:tcPr>
            <w:tcW w:w="2409" w:type="dxa"/>
            <w:vAlign w:val="center"/>
          </w:tcPr>
          <w:p w14:paraId="3F1EBA0D">
            <w:pPr>
              <w:spacing w:line="240" w:lineRule="auto"/>
              <w:ind w:firstLine="0" w:firstLineChars="0"/>
              <w:jc w:val="center"/>
              <w:rPr>
                <w:color w:val="auto"/>
                <w:sz w:val="21"/>
                <w:szCs w:val="21"/>
                <w:highlight w:val="none"/>
              </w:rPr>
            </w:pPr>
            <w:r>
              <w:rPr>
                <w:color w:val="auto"/>
                <w:sz w:val="21"/>
                <w:szCs w:val="21"/>
                <w:highlight w:val="none"/>
              </w:rPr>
              <w:t>危险废物</w:t>
            </w:r>
          </w:p>
        </w:tc>
        <w:tc>
          <w:tcPr>
            <w:tcW w:w="3260" w:type="dxa"/>
            <w:vAlign w:val="center"/>
          </w:tcPr>
          <w:p w14:paraId="18D45952">
            <w:pPr>
              <w:spacing w:line="240" w:lineRule="auto"/>
              <w:ind w:firstLine="0" w:firstLineChars="0"/>
              <w:jc w:val="center"/>
              <w:rPr>
                <w:color w:val="auto"/>
                <w:sz w:val="21"/>
                <w:szCs w:val="21"/>
                <w:highlight w:val="none"/>
              </w:rPr>
            </w:pPr>
            <w:r>
              <w:rPr>
                <w:color w:val="auto"/>
                <w:sz w:val="21"/>
                <w:szCs w:val="21"/>
                <w:highlight w:val="none"/>
              </w:rPr>
              <w:t>依托现有危险废物暂存间</w:t>
            </w:r>
          </w:p>
        </w:tc>
        <w:tc>
          <w:tcPr>
            <w:tcW w:w="1701" w:type="dxa"/>
            <w:vAlign w:val="center"/>
          </w:tcPr>
          <w:p w14:paraId="2573550A">
            <w:pPr>
              <w:spacing w:line="240" w:lineRule="auto"/>
              <w:ind w:firstLine="0" w:firstLineChars="0"/>
              <w:jc w:val="center"/>
              <w:rPr>
                <w:color w:val="auto"/>
                <w:sz w:val="21"/>
                <w:szCs w:val="21"/>
                <w:highlight w:val="none"/>
              </w:rPr>
            </w:pPr>
            <w:r>
              <w:rPr>
                <w:color w:val="auto"/>
                <w:sz w:val="21"/>
                <w:szCs w:val="21"/>
                <w:highlight w:val="none"/>
              </w:rPr>
              <w:t>0</w:t>
            </w:r>
          </w:p>
        </w:tc>
      </w:tr>
      <w:tr w14:paraId="620CE7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28" w:type="dxa"/>
            <w:vMerge w:val="continue"/>
            <w:vAlign w:val="center"/>
          </w:tcPr>
          <w:p w14:paraId="0605A639">
            <w:pPr>
              <w:spacing w:line="240" w:lineRule="auto"/>
              <w:ind w:firstLine="0" w:firstLineChars="0"/>
              <w:jc w:val="center"/>
              <w:rPr>
                <w:color w:val="auto"/>
                <w:sz w:val="21"/>
                <w:szCs w:val="21"/>
                <w:highlight w:val="none"/>
              </w:rPr>
            </w:pPr>
          </w:p>
        </w:tc>
        <w:tc>
          <w:tcPr>
            <w:tcW w:w="1174" w:type="dxa"/>
            <w:vAlign w:val="center"/>
          </w:tcPr>
          <w:p w14:paraId="21C68E6F">
            <w:pPr>
              <w:spacing w:line="240" w:lineRule="auto"/>
              <w:ind w:firstLine="0" w:firstLineChars="0"/>
              <w:jc w:val="center"/>
              <w:rPr>
                <w:color w:val="auto"/>
                <w:sz w:val="21"/>
                <w:szCs w:val="21"/>
                <w:highlight w:val="none"/>
              </w:rPr>
            </w:pPr>
            <w:r>
              <w:rPr>
                <w:color w:val="auto"/>
                <w:sz w:val="21"/>
                <w:szCs w:val="21"/>
                <w:highlight w:val="none"/>
              </w:rPr>
              <w:t>风险</w:t>
            </w:r>
          </w:p>
        </w:tc>
        <w:tc>
          <w:tcPr>
            <w:tcW w:w="2409" w:type="dxa"/>
            <w:vAlign w:val="center"/>
          </w:tcPr>
          <w:p w14:paraId="5952F4DD">
            <w:pPr>
              <w:spacing w:line="240" w:lineRule="auto"/>
              <w:ind w:firstLine="0" w:firstLineChars="0"/>
              <w:jc w:val="center"/>
              <w:rPr>
                <w:color w:val="auto"/>
                <w:sz w:val="21"/>
                <w:szCs w:val="21"/>
                <w:highlight w:val="none"/>
              </w:rPr>
            </w:pPr>
            <w:r>
              <w:rPr>
                <w:color w:val="auto"/>
                <w:sz w:val="21"/>
                <w:szCs w:val="21"/>
                <w:highlight w:val="none"/>
              </w:rPr>
              <w:t>/</w:t>
            </w:r>
          </w:p>
        </w:tc>
        <w:tc>
          <w:tcPr>
            <w:tcW w:w="3260" w:type="dxa"/>
            <w:vAlign w:val="center"/>
          </w:tcPr>
          <w:p w14:paraId="5E88B97F">
            <w:pPr>
              <w:spacing w:line="240" w:lineRule="auto"/>
              <w:ind w:firstLine="0" w:firstLineChars="0"/>
              <w:jc w:val="center"/>
              <w:rPr>
                <w:color w:val="auto"/>
                <w:sz w:val="21"/>
                <w:szCs w:val="21"/>
                <w:highlight w:val="none"/>
              </w:rPr>
            </w:pPr>
            <w:r>
              <w:rPr>
                <w:color w:val="auto"/>
                <w:sz w:val="21"/>
                <w:szCs w:val="21"/>
                <w:highlight w:val="none"/>
              </w:rPr>
              <w:t>应急物资、突发环境事件应急预案等</w:t>
            </w:r>
          </w:p>
        </w:tc>
        <w:tc>
          <w:tcPr>
            <w:tcW w:w="1701" w:type="dxa"/>
            <w:vAlign w:val="center"/>
          </w:tcPr>
          <w:p w14:paraId="3E41169A">
            <w:pPr>
              <w:spacing w:line="240" w:lineRule="auto"/>
              <w:ind w:firstLine="0" w:firstLineChars="0"/>
              <w:jc w:val="center"/>
              <w:rPr>
                <w:color w:val="auto"/>
                <w:sz w:val="21"/>
                <w:szCs w:val="21"/>
                <w:highlight w:val="none"/>
              </w:rPr>
            </w:pPr>
            <w:r>
              <w:rPr>
                <w:color w:val="auto"/>
                <w:sz w:val="21"/>
                <w:szCs w:val="21"/>
                <w:highlight w:val="none"/>
              </w:rPr>
              <w:t>50</w:t>
            </w:r>
          </w:p>
        </w:tc>
      </w:tr>
      <w:tr w14:paraId="779CA93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28" w:type="dxa"/>
            <w:vMerge w:val="continue"/>
            <w:vAlign w:val="center"/>
          </w:tcPr>
          <w:p w14:paraId="240C17B6">
            <w:pPr>
              <w:spacing w:line="240" w:lineRule="auto"/>
              <w:ind w:firstLine="0" w:firstLineChars="0"/>
              <w:jc w:val="center"/>
              <w:rPr>
                <w:color w:val="auto"/>
                <w:sz w:val="21"/>
                <w:szCs w:val="21"/>
                <w:highlight w:val="none"/>
              </w:rPr>
            </w:pPr>
          </w:p>
        </w:tc>
        <w:tc>
          <w:tcPr>
            <w:tcW w:w="1174" w:type="dxa"/>
            <w:vAlign w:val="center"/>
          </w:tcPr>
          <w:p w14:paraId="7EF66D77">
            <w:pPr>
              <w:spacing w:line="240" w:lineRule="auto"/>
              <w:ind w:firstLine="0" w:firstLineChars="0"/>
              <w:jc w:val="center"/>
              <w:rPr>
                <w:color w:val="auto"/>
                <w:sz w:val="21"/>
                <w:szCs w:val="21"/>
                <w:highlight w:val="none"/>
              </w:rPr>
            </w:pPr>
            <w:r>
              <w:rPr>
                <w:color w:val="auto"/>
                <w:sz w:val="21"/>
                <w:szCs w:val="21"/>
                <w:highlight w:val="none"/>
              </w:rPr>
              <w:t>其他不可预见</w:t>
            </w:r>
          </w:p>
        </w:tc>
        <w:tc>
          <w:tcPr>
            <w:tcW w:w="2409" w:type="dxa"/>
            <w:vAlign w:val="center"/>
          </w:tcPr>
          <w:p w14:paraId="4ED271F4">
            <w:pPr>
              <w:spacing w:line="240" w:lineRule="auto"/>
              <w:ind w:firstLine="0" w:firstLineChars="0"/>
              <w:jc w:val="center"/>
              <w:rPr>
                <w:color w:val="auto"/>
                <w:sz w:val="21"/>
                <w:szCs w:val="21"/>
                <w:highlight w:val="none"/>
              </w:rPr>
            </w:pPr>
            <w:r>
              <w:rPr>
                <w:color w:val="auto"/>
                <w:sz w:val="21"/>
                <w:szCs w:val="21"/>
                <w:highlight w:val="none"/>
              </w:rPr>
              <w:t>/</w:t>
            </w:r>
          </w:p>
        </w:tc>
        <w:tc>
          <w:tcPr>
            <w:tcW w:w="3260" w:type="dxa"/>
            <w:vAlign w:val="center"/>
          </w:tcPr>
          <w:p w14:paraId="7A6A8410">
            <w:pPr>
              <w:spacing w:line="240" w:lineRule="auto"/>
              <w:ind w:firstLine="0" w:firstLineChars="0"/>
              <w:jc w:val="center"/>
              <w:rPr>
                <w:color w:val="auto"/>
                <w:sz w:val="21"/>
                <w:szCs w:val="21"/>
                <w:highlight w:val="none"/>
              </w:rPr>
            </w:pPr>
            <w:r>
              <w:rPr>
                <w:color w:val="auto"/>
                <w:sz w:val="21"/>
                <w:szCs w:val="21"/>
                <w:highlight w:val="none"/>
              </w:rPr>
              <w:t>/</w:t>
            </w:r>
          </w:p>
        </w:tc>
        <w:tc>
          <w:tcPr>
            <w:tcW w:w="1701" w:type="dxa"/>
            <w:vAlign w:val="center"/>
          </w:tcPr>
          <w:p w14:paraId="635965A0">
            <w:pPr>
              <w:spacing w:line="240" w:lineRule="auto"/>
              <w:ind w:firstLine="0" w:firstLineChars="0"/>
              <w:jc w:val="center"/>
              <w:rPr>
                <w:color w:val="auto"/>
                <w:sz w:val="21"/>
                <w:szCs w:val="21"/>
                <w:highlight w:val="none"/>
              </w:rPr>
            </w:pPr>
            <w:r>
              <w:rPr>
                <w:color w:val="auto"/>
                <w:sz w:val="21"/>
                <w:szCs w:val="21"/>
                <w:highlight w:val="none"/>
              </w:rPr>
              <w:t>10</w:t>
            </w:r>
          </w:p>
        </w:tc>
      </w:tr>
      <w:tr w14:paraId="5BFF2E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371" w:type="dxa"/>
            <w:gridSpan w:val="4"/>
            <w:vAlign w:val="center"/>
          </w:tcPr>
          <w:p w14:paraId="50150ACF">
            <w:pPr>
              <w:spacing w:line="240" w:lineRule="auto"/>
              <w:ind w:firstLine="0" w:firstLineChars="0"/>
              <w:jc w:val="center"/>
              <w:rPr>
                <w:b/>
                <w:bCs/>
                <w:color w:val="auto"/>
                <w:sz w:val="21"/>
                <w:szCs w:val="21"/>
                <w:highlight w:val="none"/>
              </w:rPr>
            </w:pPr>
            <w:r>
              <w:rPr>
                <w:b/>
                <w:bCs/>
                <w:color w:val="auto"/>
                <w:sz w:val="21"/>
                <w:szCs w:val="21"/>
                <w:highlight w:val="none"/>
              </w:rPr>
              <w:t>合计</w:t>
            </w:r>
          </w:p>
        </w:tc>
        <w:tc>
          <w:tcPr>
            <w:tcW w:w="1701" w:type="dxa"/>
            <w:vAlign w:val="center"/>
          </w:tcPr>
          <w:p w14:paraId="524C810A">
            <w:pPr>
              <w:spacing w:line="240" w:lineRule="auto"/>
              <w:ind w:firstLine="0" w:firstLineChars="0"/>
              <w:jc w:val="center"/>
              <w:rPr>
                <w:b/>
                <w:bCs/>
                <w:color w:val="auto"/>
                <w:sz w:val="21"/>
                <w:szCs w:val="21"/>
                <w:highlight w:val="none"/>
              </w:rPr>
            </w:pPr>
            <w:r>
              <w:rPr>
                <w:b/>
                <w:bCs/>
                <w:color w:val="auto"/>
                <w:sz w:val="21"/>
                <w:szCs w:val="21"/>
                <w:highlight w:val="none"/>
              </w:rPr>
              <w:t>125</w:t>
            </w:r>
          </w:p>
        </w:tc>
      </w:tr>
    </w:tbl>
    <w:p w14:paraId="67A03FB9">
      <w:pPr>
        <w:ind w:firstLine="480"/>
        <w:rPr>
          <w:color w:val="auto"/>
          <w:highlight w:val="none"/>
        </w:rPr>
      </w:pPr>
    </w:p>
    <w:p w14:paraId="09B990CD">
      <w:pPr>
        <w:ind w:firstLine="482"/>
        <w:rPr>
          <w:b/>
          <w:bCs/>
          <w:color w:val="auto"/>
          <w:highlight w:val="none"/>
        </w:rPr>
        <w:sectPr>
          <w:headerReference r:id="rId51" w:type="default"/>
          <w:pgSz w:w="11906" w:h="16838"/>
          <w:pgMar w:top="1559" w:right="1418" w:bottom="1503" w:left="1418" w:header="850" w:footer="964" w:gutter="0"/>
          <w:cols w:space="720" w:num="1"/>
          <w:docGrid w:linePitch="326" w:charSpace="0"/>
        </w:sectPr>
      </w:pPr>
    </w:p>
    <w:p w14:paraId="2EF4ADDD">
      <w:pPr>
        <w:pStyle w:val="5"/>
        <w:numPr>
          <w:ilvl w:val="0"/>
          <w:numId w:val="9"/>
        </w:numPr>
        <w:jc w:val="center"/>
        <w:rPr>
          <w:color w:val="auto"/>
          <w:sz w:val="36"/>
          <w:szCs w:val="36"/>
          <w:highlight w:val="none"/>
        </w:rPr>
      </w:pPr>
      <w:bookmarkStart w:id="262" w:name="_Toc33967130"/>
      <w:bookmarkStart w:id="263" w:name="_Toc7850"/>
      <w:bookmarkStart w:id="264" w:name="_Toc33967234"/>
      <w:bookmarkStart w:id="265" w:name="_Hlk39234198"/>
      <w:bookmarkStart w:id="266" w:name="_Toc5337"/>
      <w:r>
        <w:rPr>
          <w:color w:val="auto"/>
          <w:sz w:val="36"/>
          <w:szCs w:val="36"/>
          <w:highlight w:val="none"/>
        </w:rPr>
        <w:t>环境影响经济损益分析</w:t>
      </w:r>
      <w:bookmarkEnd w:id="222"/>
      <w:bookmarkEnd w:id="262"/>
      <w:bookmarkEnd w:id="263"/>
      <w:bookmarkEnd w:id="264"/>
      <w:bookmarkEnd w:id="265"/>
      <w:bookmarkEnd w:id="266"/>
    </w:p>
    <w:p w14:paraId="7BBEC342">
      <w:pPr>
        <w:ind w:firstLine="480"/>
        <w:rPr>
          <w:color w:val="auto"/>
          <w:highlight w:val="none"/>
        </w:rPr>
      </w:pPr>
      <w:bookmarkStart w:id="267" w:name="_Toc489876684"/>
      <w:bookmarkStart w:id="268" w:name="_Toc241637326"/>
      <w:bookmarkStart w:id="269" w:name="_Toc458425935"/>
      <w:bookmarkStart w:id="270" w:name="_Toc241637331"/>
      <w:r>
        <w:rPr>
          <w:color w:val="auto"/>
          <w:highlight w:val="none"/>
        </w:rPr>
        <w:t>环境影响经济损益分析是对项目所造成的环境影响的经济评价，估算出项目不利环境影响的环境成本，有利环境影响的环境效益，并将环境成本或环境效益纳入项目的整体经济分析中，从而判断对项目可行性产生的影响范畴。</w:t>
      </w:r>
    </w:p>
    <w:p w14:paraId="6055C238">
      <w:pPr>
        <w:pStyle w:val="6"/>
        <w:numPr>
          <w:ilvl w:val="1"/>
          <w:numId w:val="9"/>
        </w:numPr>
        <w:rPr>
          <w:color w:val="auto"/>
          <w:sz w:val="32"/>
          <w:szCs w:val="32"/>
          <w:highlight w:val="none"/>
        </w:rPr>
      </w:pPr>
      <w:bookmarkStart w:id="271" w:name="_Toc25844213"/>
      <w:bookmarkStart w:id="272" w:name="_Toc14677"/>
      <w:bookmarkStart w:id="273" w:name="_Toc31454"/>
      <w:r>
        <w:rPr>
          <w:color w:val="auto"/>
          <w:sz w:val="32"/>
          <w:szCs w:val="32"/>
          <w:highlight w:val="none"/>
        </w:rPr>
        <w:t>经济效益分析</w:t>
      </w:r>
      <w:bookmarkEnd w:id="271"/>
      <w:bookmarkEnd w:id="272"/>
      <w:bookmarkEnd w:id="273"/>
    </w:p>
    <w:p w14:paraId="5508D94D">
      <w:pPr>
        <w:ind w:firstLine="480"/>
        <w:rPr>
          <w:color w:val="auto"/>
          <w:highlight w:val="none"/>
        </w:rPr>
      </w:pPr>
      <w:r>
        <w:rPr>
          <w:color w:val="auto"/>
          <w:highlight w:val="none"/>
        </w:rPr>
        <w:t>项目总投资为35000万元，其中环保投资为125万元，环保投资占投资的0.35%。项目投产后能够为国家和地方提供稳定的财政收入，有助于当地经济的发展。在企业自身利益保证的情况下，有力的增强了当地的财政实力，体现了项目劳动者、企业、国家共赢的良好效益。</w:t>
      </w:r>
    </w:p>
    <w:p w14:paraId="4F853B95">
      <w:pPr>
        <w:ind w:firstLine="480"/>
        <w:rPr>
          <w:color w:val="auto"/>
          <w:highlight w:val="none"/>
        </w:rPr>
      </w:pPr>
      <w:r>
        <w:rPr>
          <w:color w:val="auto"/>
          <w:highlight w:val="none"/>
        </w:rPr>
        <w:t>因此，从经济角度分析，项目是一个经济效益较好的项目。</w:t>
      </w:r>
    </w:p>
    <w:p w14:paraId="454BB073">
      <w:pPr>
        <w:pStyle w:val="6"/>
        <w:numPr>
          <w:ilvl w:val="1"/>
          <w:numId w:val="9"/>
        </w:numPr>
        <w:rPr>
          <w:color w:val="auto"/>
          <w:sz w:val="32"/>
          <w:szCs w:val="32"/>
          <w:highlight w:val="none"/>
        </w:rPr>
      </w:pPr>
      <w:bookmarkStart w:id="274" w:name="_Toc6548"/>
      <w:bookmarkStart w:id="275" w:name="_Toc25844214"/>
      <w:bookmarkStart w:id="276" w:name="_Toc13513"/>
      <w:r>
        <w:rPr>
          <w:color w:val="auto"/>
          <w:sz w:val="32"/>
          <w:szCs w:val="32"/>
          <w:highlight w:val="none"/>
        </w:rPr>
        <w:t>社会效益分析</w:t>
      </w:r>
      <w:bookmarkEnd w:id="274"/>
      <w:bookmarkEnd w:id="275"/>
      <w:bookmarkEnd w:id="276"/>
    </w:p>
    <w:p w14:paraId="03BD0625">
      <w:pPr>
        <w:ind w:firstLine="480"/>
        <w:rPr>
          <w:color w:val="auto"/>
          <w:highlight w:val="none"/>
        </w:rPr>
      </w:pPr>
      <w:r>
        <w:rPr>
          <w:color w:val="auto"/>
          <w:highlight w:val="none"/>
        </w:rPr>
        <w:t>项目对社会效益具有多方面的促进作用：</w:t>
      </w:r>
    </w:p>
    <w:p w14:paraId="05A16F2B">
      <w:pPr>
        <w:ind w:firstLine="480"/>
        <w:rPr>
          <w:color w:val="auto"/>
          <w:highlight w:val="none"/>
        </w:rPr>
      </w:pPr>
      <w:r>
        <w:rPr>
          <w:color w:val="auto"/>
          <w:highlight w:val="none"/>
        </w:rPr>
        <w:t>（1）增加地方财政收入。项目的建成给企业带来较丰厚的利润，同时也对当地的财政有较大的贡献。</w:t>
      </w:r>
    </w:p>
    <w:p w14:paraId="1D32812A">
      <w:pPr>
        <w:ind w:firstLine="480"/>
        <w:rPr>
          <w:color w:val="auto"/>
          <w:highlight w:val="none"/>
        </w:rPr>
      </w:pPr>
      <w:r>
        <w:rPr>
          <w:color w:val="auto"/>
          <w:highlight w:val="none"/>
        </w:rPr>
        <w:t>（2）提高当地人民生活水平和就业率，促进当地经济的发展。项目的建成可提供就业。</w:t>
      </w:r>
    </w:p>
    <w:p w14:paraId="3591F91B">
      <w:pPr>
        <w:ind w:firstLine="480"/>
        <w:rPr>
          <w:color w:val="auto"/>
          <w:highlight w:val="none"/>
        </w:rPr>
      </w:pPr>
      <w:r>
        <w:rPr>
          <w:color w:val="auto"/>
          <w:highlight w:val="none"/>
        </w:rPr>
        <w:t>（3）项目的建设，对缓解市场需求量，拉动内需，带动地方经济的发展，促进城市建设等方面起着积极的作用，有力支援国家的经济建设和社会的发展。</w:t>
      </w:r>
    </w:p>
    <w:p w14:paraId="3C0E5A46">
      <w:pPr>
        <w:ind w:firstLine="480"/>
        <w:rPr>
          <w:color w:val="auto"/>
          <w:highlight w:val="none"/>
        </w:rPr>
      </w:pPr>
      <w:r>
        <w:rPr>
          <w:color w:val="auto"/>
          <w:highlight w:val="none"/>
        </w:rPr>
        <w:t>因此，从社会角度分析，项目是一个社会效益较好的项目。</w:t>
      </w:r>
    </w:p>
    <w:p w14:paraId="0DAA04A0">
      <w:pPr>
        <w:pStyle w:val="6"/>
        <w:numPr>
          <w:ilvl w:val="1"/>
          <w:numId w:val="9"/>
        </w:numPr>
        <w:rPr>
          <w:color w:val="auto"/>
          <w:sz w:val="32"/>
          <w:szCs w:val="32"/>
          <w:highlight w:val="none"/>
        </w:rPr>
      </w:pPr>
      <w:bookmarkStart w:id="277" w:name="_Toc20143"/>
      <w:bookmarkStart w:id="278" w:name="_Toc19553"/>
      <w:bookmarkStart w:id="279" w:name="_Toc25844215"/>
      <w:r>
        <w:rPr>
          <w:color w:val="auto"/>
          <w:sz w:val="32"/>
          <w:szCs w:val="32"/>
          <w:highlight w:val="none"/>
        </w:rPr>
        <w:t>环境效益</w:t>
      </w:r>
      <w:bookmarkEnd w:id="277"/>
      <w:bookmarkEnd w:id="278"/>
      <w:bookmarkEnd w:id="279"/>
    </w:p>
    <w:p w14:paraId="4E8035C2">
      <w:pPr>
        <w:pStyle w:val="7"/>
        <w:numPr>
          <w:ilvl w:val="2"/>
          <w:numId w:val="9"/>
        </w:numPr>
        <w:rPr>
          <w:color w:val="auto"/>
          <w:sz w:val="28"/>
          <w:highlight w:val="none"/>
        </w:rPr>
      </w:pPr>
      <w:r>
        <w:rPr>
          <w:color w:val="auto"/>
          <w:sz w:val="28"/>
          <w:highlight w:val="none"/>
        </w:rPr>
        <w:t>环保投资估算</w:t>
      </w:r>
    </w:p>
    <w:p w14:paraId="279B1FD5">
      <w:pPr>
        <w:ind w:firstLine="480"/>
        <w:rPr>
          <w:color w:val="auto"/>
          <w:highlight w:val="none"/>
        </w:rPr>
      </w:pPr>
      <w:r>
        <w:rPr>
          <w:color w:val="auto"/>
          <w:highlight w:val="none"/>
        </w:rPr>
        <w:t>建设项目在环保方面的投入约125万元，环保设施基本能满足有关污染治理方面的需要，投资合理。项目建成后“三废”治理措施主要为废气、废水和固体废物处置、生态保护费用，相比投资额</w:t>
      </w:r>
      <w:r>
        <w:rPr>
          <w:rFonts w:hint="eastAsia"/>
          <w:color w:val="auto"/>
          <w:highlight w:val="none"/>
          <w:lang w:eastAsia="zh-CN"/>
        </w:rPr>
        <w:t>所占比重</w:t>
      </w:r>
      <w:r>
        <w:rPr>
          <w:color w:val="auto"/>
          <w:highlight w:val="none"/>
        </w:rPr>
        <w:t>极小，不会对项目运营造成经济负担。</w:t>
      </w:r>
    </w:p>
    <w:p w14:paraId="0520E561">
      <w:pPr>
        <w:ind w:firstLine="480"/>
        <w:rPr>
          <w:color w:val="auto"/>
          <w:highlight w:val="none"/>
        </w:rPr>
      </w:pPr>
      <w:r>
        <w:rPr>
          <w:color w:val="auto"/>
          <w:highlight w:val="none"/>
        </w:rPr>
        <w:t>建设项目在污染治理和控制方面有较大的投入，通过设施建设和日常运行，可保证各类污染物的达标排放，对预防和杜绝可能产生的潜在事故污染影响也能发挥明显的作用，生态保护措施的实施，可修复受损渔业资源和生态环境。因此，建设项目环保投入比较合理，污染物经过各项设施处理后对周围环境影响比较小。</w:t>
      </w:r>
    </w:p>
    <w:p w14:paraId="5A0C7A27">
      <w:pPr>
        <w:pStyle w:val="7"/>
        <w:numPr>
          <w:ilvl w:val="2"/>
          <w:numId w:val="9"/>
        </w:numPr>
        <w:rPr>
          <w:color w:val="auto"/>
          <w:sz w:val="28"/>
          <w:highlight w:val="none"/>
        </w:rPr>
      </w:pPr>
      <w:r>
        <w:rPr>
          <w:color w:val="auto"/>
          <w:sz w:val="28"/>
          <w:highlight w:val="none"/>
        </w:rPr>
        <w:t>环境效益分析</w:t>
      </w:r>
    </w:p>
    <w:p w14:paraId="2BB701B0">
      <w:pPr>
        <w:ind w:firstLine="480"/>
        <w:rPr>
          <w:color w:val="auto"/>
          <w:highlight w:val="none"/>
        </w:rPr>
      </w:pPr>
      <w:r>
        <w:rPr>
          <w:color w:val="auto"/>
          <w:highlight w:val="none"/>
        </w:rPr>
        <w:t>项目各项环保工程措施，包括直接投资的环保设施和属于管理范畴的工程措施，其环境经济效益主要体现在：通过各项环保工程措施的落实，确实有效的保护生态环境，并创建设区良好的环境，达到社会经济建设和环境资源保护的协调发展。</w:t>
      </w:r>
    </w:p>
    <w:p w14:paraId="26C87669">
      <w:pPr>
        <w:ind w:firstLine="480"/>
        <w:rPr>
          <w:color w:val="auto"/>
          <w:highlight w:val="none"/>
        </w:rPr>
      </w:pPr>
      <w:r>
        <w:rPr>
          <w:color w:val="auto"/>
          <w:highlight w:val="none"/>
        </w:rPr>
        <w:t>通过施工期各项环保措施的落实，可减小工程建设过程中各环境污染因子产生的强度，并进行必要的污染治理，使施工场地附近海域水环境和生态环境得到有效保护，降低对海洋物种生态环境潜在的环境风险影响，同时避免或减少施工过程对声环境和大气环境的破坏和影响。</w:t>
      </w:r>
    </w:p>
    <w:p w14:paraId="737359D5">
      <w:pPr>
        <w:ind w:firstLine="480"/>
        <w:rPr>
          <w:color w:val="auto"/>
          <w:highlight w:val="none"/>
        </w:rPr>
      </w:pPr>
      <w:r>
        <w:rPr>
          <w:color w:val="auto"/>
          <w:highlight w:val="none"/>
        </w:rPr>
        <w:t>项目施工期和建成初期污染防治措施的设置及运行、环保人员工资等投入，从财务角度看利润是负值。但环保投入的间接经济效益是显著的，可以减少废气、污水、噪声、固体废弃物对环境的污染，防范、减小事故对海域的污染，既保护了环境，又节约了水资源、能源。环保设施的实施对区域经济的可持续发展意义重大。</w:t>
      </w:r>
    </w:p>
    <w:p w14:paraId="2B4A295B">
      <w:pPr>
        <w:ind w:firstLine="480"/>
        <w:rPr>
          <w:color w:val="auto"/>
          <w:highlight w:val="none"/>
        </w:rPr>
      </w:pPr>
      <w:r>
        <w:rPr>
          <w:color w:val="auto"/>
          <w:highlight w:val="none"/>
        </w:rPr>
        <w:t>工程施工期和运营期产生的废水和固体废物均不向海域排放；虽采取了相关的治理措施，产生的粉尘仍会导致工程附近区域大气中TSP浓度升高，但符合国家相关标准的要求；工程施工期和运营期产生的噪声将会对声环境产生一定影响，通过采取相应的降低噪声的措施，噪声的排放能满足国家相关标准要求，且工程附近无集中居住区，工程排放的噪声对声环境影响较小。</w:t>
      </w:r>
    </w:p>
    <w:p w14:paraId="57214DF7">
      <w:pPr>
        <w:ind w:firstLine="480"/>
        <w:rPr>
          <w:color w:val="auto"/>
          <w:highlight w:val="none"/>
        </w:rPr>
      </w:pPr>
      <w:r>
        <w:rPr>
          <w:color w:val="auto"/>
          <w:highlight w:val="none"/>
        </w:rPr>
        <w:t>工程的建设能够适应港口规模不断扩大及货物运输量递增的需求，完善港口功能，提高港口的通过能力，增加港口的经济效益。为临港产业的发展提供有力保障，降低腹地企业运输成本，增加劳动就业、提高人民生活水平和社会安定。综合分析项目建设的经济损益，项目建设带来的环境资源的损失及负面影响有限，并在可接受范围内。项目建设带来的社会效应和经济效益是比较明显的。</w:t>
      </w:r>
    </w:p>
    <w:p w14:paraId="33B8E8A1">
      <w:pPr>
        <w:pStyle w:val="6"/>
        <w:numPr>
          <w:ilvl w:val="1"/>
          <w:numId w:val="9"/>
        </w:numPr>
        <w:rPr>
          <w:color w:val="auto"/>
          <w:sz w:val="32"/>
          <w:szCs w:val="32"/>
          <w:highlight w:val="none"/>
        </w:rPr>
      </w:pPr>
      <w:bookmarkStart w:id="280" w:name="_Toc14872"/>
      <w:bookmarkStart w:id="281" w:name="_Toc22959"/>
      <w:r>
        <w:rPr>
          <w:color w:val="auto"/>
          <w:sz w:val="32"/>
          <w:szCs w:val="32"/>
          <w:highlight w:val="none"/>
        </w:rPr>
        <w:t>小结</w:t>
      </w:r>
      <w:bookmarkEnd w:id="280"/>
      <w:bookmarkEnd w:id="281"/>
    </w:p>
    <w:p w14:paraId="57C1318B">
      <w:pPr>
        <w:ind w:firstLine="480"/>
        <w:rPr>
          <w:color w:val="auto"/>
          <w:highlight w:val="none"/>
        </w:rPr>
      </w:pPr>
      <w:r>
        <w:rPr>
          <w:color w:val="auto"/>
          <w:highlight w:val="none"/>
        </w:rPr>
        <w:t>项目建设具有良好的社会、经济效益，将会在人口就业、区域经济发展等方面产生正效益。针对项目可能导致的环境方面的负面效益，在采取了良好的环境保护及污染治理措施之后，因项目建设造成的环境方面的负面效应是可以控制在可接受的范围内的；因此，项目在保证环保投资及环保设施运行效果的情况下，能取得良好的环境经济净效益，使得环境外部影响内部化，项目整体具有良好的环境效益、经济效益及社会效益，从环境经济损益分析是可行的。</w:t>
      </w:r>
    </w:p>
    <w:p w14:paraId="29967F28">
      <w:pPr>
        <w:autoSpaceDE w:val="0"/>
        <w:autoSpaceDN w:val="0"/>
        <w:spacing w:line="440" w:lineRule="exact"/>
        <w:ind w:firstLine="182" w:firstLineChars="76"/>
        <w:jc w:val="left"/>
        <w:rPr>
          <w:color w:val="auto"/>
          <w:highlight w:val="none"/>
        </w:rPr>
        <w:sectPr>
          <w:headerReference r:id="rId52" w:type="default"/>
          <w:pgSz w:w="11906" w:h="16838"/>
          <w:pgMar w:top="1559" w:right="1418" w:bottom="1503" w:left="1418" w:header="850" w:footer="964" w:gutter="0"/>
          <w:cols w:space="720" w:num="1"/>
          <w:docGrid w:linePitch="326" w:charSpace="0"/>
        </w:sectPr>
      </w:pPr>
    </w:p>
    <w:bookmarkEnd w:id="267"/>
    <w:bookmarkEnd w:id="268"/>
    <w:bookmarkEnd w:id="269"/>
    <w:p w14:paraId="0D98FD52">
      <w:pPr>
        <w:pStyle w:val="5"/>
        <w:numPr>
          <w:ilvl w:val="0"/>
          <w:numId w:val="9"/>
        </w:numPr>
        <w:jc w:val="center"/>
        <w:rPr>
          <w:color w:val="auto"/>
          <w:sz w:val="36"/>
          <w:szCs w:val="36"/>
          <w:highlight w:val="none"/>
        </w:rPr>
      </w:pPr>
      <w:bookmarkStart w:id="282" w:name="_Toc33967241"/>
      <w:bookmarkStart w:id="283" w:name="_Toc33967137"/>
      <w:bookmarkStart w:id="284" w:name="_Toc8118"/>
      <w:bookmarkStart w:id="285" w:name="_Toc23648"/>
      <w:r>
        <w:rPr>
          <w:color w:val="auto"/>
          <w:sz w:val="36"/>
          <w:szCs w:val="36"/>
          <w:highlight w:val="none"/>
        </w:rPr>
        <w:t xml:space="preserve"> </w:t>
      </w:r>
      <w:bookmarkStart w:id="286" w:name="_Hlk39234207"/>
      <w:r>
        <w:rPr>
          <w:color w:val="auto"/>
          <w:sz w:val="36"/>
          <w:szCs w:val="36"/>
          <w:highlight w:val="none"/>
        </w:rPr>
        <w:t>环境管理与监测计划</w:t>
      </w:r>
      <w:bookmarkEnd w:id="282"/>
      <w:bookmarkEnd w:id="283"/>
      <w:bookmarkEnd w:id="284"/>
      <w:bookmarkEnd w:id="285"/>
      <w:bookmarkEnd w:id="286"/>
    </w:p>
    <w:p w14:paraId="413AF9D2">
      <w:pPr>
        <w:pStyle w:val="6"/>
        <w:numPr>
          <w:ilvl w:val="1"/>
          <w:numId w:val="9"/>
        </w:numPr>
        <w:rPr>
          <w:color w:val="auto"/>
          <w:sz w:val="32"/>
          <w:szCs w:val="32"/>
          <w:highlight w:val="none"/>
        </w:rPr>
      </w:pPr>
      <w:bookmarkStart w:id="287" w:name="_Toc31214"/>
      <w:bookmarkStart w:id="288" w:name="_Toc33967243"/>
      <w:bookmarkStart w:id="289" w:name="_Toc33967139"/>
      <w:bookmarkStart w:id="290" w:name="_Toc1340"/>
      <w:r>
        <w:rPr>
          <w:color w:val="auto"/>
          <w:sz w:val="32"/>
          <w:szCs w:val="32"/>
          <w:highlight w:val="none"/>
        </w:rPr>
        <w:t>环境管理</w:t>
      </w:r>
      <w:bookmarkEnd w:id="287"/>
      <w:bookmarkEnd w:id="288"/>
      <w:bookmarkEnd w:id="289"/>
      <w:bookmarkEnd w:id="290"/>
    </w:p>
    <w:p w14:paraId="0E8ECEA0">
      <w:pPr>
        <w:pStyle w:val="7"/>
        <w:numPr>
          <w:ilvl w:val="2"/>
          <w:numId w:val="9"/>
        </w:numPr>
        <w:rPr>
          <w:color w:val="auto"/>
          <w:sz w:val="28"/>
          <w:highlight w:val="none"/>
        </w:rPr>
      </w:pPr>
      <w:r>
        <w:rPr>
          <w:color w:val="auto"/>
          <w:sz w:val="28"/>
          <w:highlight w:val="none"/>
        </w:rPr>
        <w:t>环境管理目标</w:t>
      </w:r>
    </w:p>
    <w:p w14:paraId="179981BB">
      <w:pPr>
        <w:pStyle w:val="589"/>
        <w:ind w:firstLine="480"/>
        <w:rPr>
          <w:rFonts w:cs="Times New Roman"/>
          <w:color w:val="auto"/>
          <w:highlight w:val="none"/>
        </w:rPr>
      </w:pPr>
      <w:r>
        <w:rPr>
          <w:rFonts w:cs="Times New Roman"/>
          <w:color w:val="auto"/>
          <w:highlight w:val="none"/>
        </w:rPr>
        <w:t>环境管理计划的制定和实施是工程在建设期和运行期环境保护措施落实的重要保证。通过环境管理，使项目建设和环境建设得以同步实施，以避免或控制项目在施工期和运行期对环境带来的不利影响。具体目标为：</w:t>
      </w:r>
    </w:p>
    <w:p w14:paraId="77129FD9">
      <w:pPr>
        <w:pStyle w:val="589"/>
        <w:ind w:firstLine="480"/>
        <w:rPr>
          <w:rFonts w:cs="Times New Roman"/>
          <w:color w:val="auto"/>
          <w:highlight w:val="none"/>
        </w:rPr>
      </w:pPr>
      <w:r>
        <w:rPr>
          <w:rFonts w:cs="Times New Roman"/>
          <w:color w:val="auto"/>
          <w:highlight w:val="none"/>
        </w:rPr>
        <w:t>（1）监督和检查施工期对生态环境、水环境、声环境及空气环境等带来的影响。</w:t>
      </w:r>
    </w:p>
    <w:p w14:paraId="208B3B86">
      <w:pPr>
        <w:pStyle w:val="589"/>
        <w:ind w:firstLine="480"/>
        <w:rPr>
          <w:rFonts w:cs="Times New Roman"/>
          <w:color w:val="auto"/>
          <w:highlight w:val="none"/>
        </w:rPr>
      </w:pPr>
      <w:r>
        <w:rPr>
          <w:rFonts w:cs="Times New Roman"/>
          <w:color w:val="auto"/>
          <w:highlight w:val="none"/>
        </w:rPr>
        <w:t>（2）确保工程建设达到设计要求，确保环境保护设施的建设与工程建设同步实施，使环保措施得以具体落实。</w:t>
      </w:r>
    </w:p>
    <w:p w14:paraId="1877488B">
      <w:pPr>
        <w:pStyle w:val="589"/>
        <w:ind w:firstLine="480"/>
        <w:rPr>
          <w:rFonts w:cs="Times New Roman"/>
          <w:color w:val="auto"/>
          <w:highlight w:val="none"/>
        </w:rPr>
      </w:pPr>
      <w:r>
        <w:rPr>
          <w:rFonts w:cs="Times New Roman"/>
          <w:color w:val="auto"/>
          <w:highlight w:val="none"/>
        </w:rPr>
        <w:t>（3）在工程运行中，对环境保护设施进行维护，监督环保措施的有效执行，强化监督污染物过程控制与终端污染防治，使工程的环境效益和社会效益协调统</w:t>
      </w:r>
    </w:p>
    <w:p w14:paraId="3326AD33">
      <w:pPr>
        <w:pStyle w:val="533"/>
        <w:numPr>
          <w:ilvl w:val="3"/>
          <w:numId w:val="9"/>
        </w:numPr>
        <w:rPr>
          <w:color w:val="auto"/>
          <w:szCs w:val="24"/>
          <w:highlight w:val="none"/>
        </w:rPr>
      </w:pPr>
      <w:r>
        <w:rPr>
          <w:color w:val="auto"/>
          <w:szCs w:val="24"/>
          <w:highlight w:val="none"/>
        </w:rPr>
        <w:t>建设单位环境管理</w:t>
      </w:r>
    </w:p>
    <w:p w14:paraId="6DCF59E9">
      <w:pPr>
        <w:pStyle w:val="589"/>
        <w:ind w:firstLine="480"/>
        <w:rPr>
          <w:rFonts w:cs="Times New Roman"/>
          <w:color w:val="auto"/>
          <w:highlight w:val="none"/>
        </w:rPr>
      </w:pPr>
      <w:r>
        <w:rPr>
          <w:rFonts w:cs="Times New Roman"/>
          <w:color w:val="auto"/>
          <w:highlight w:val="none"/>
        </w:rPr>
        <w:t>建设单位是落实建设项目环境保护责任的主体，建设单位在建设项目开工前和发生重大变动前，必须依法取得环境影响评价审批文件。建设项目实施过程中应严格落实经批准的环境影响评价文件及其批复文件提出的各项环境保护要求，确保环境保护设施正常运行。建设项目应当依法申领排污许可证，严格按照排污许可证规定的污染物排放种类、浓度、总量等排污。</w:t>
      </w:r>
    </w:p>
    <w:p w14:paraId="46B93E6C">
      <w:pPr>
        <w:pStyle w:val="589"/>
        <w:ind w:firstLine="480"/>
        <w:rPr>
          <w:rFonts w:cs="Times New Roman"/>
          <w:color w:val="auto"/>
          <w:highlight w:val="none"/>
        </w:rPr>
      </w:pPr>
      <w:r>
        <w:rPr>
          <w:rFonts w:cs="Times New Roman"/>
          <w:color w:val="auto"/>
          <w:highlight w:val="none"/>
        </w:rPr>
        <w:t>设单位应当主动向社会公开建设项目环境影响评价文件、污染防治设施建设运行。</w:t>
      </w:r>
    </w:p>
    <w:p w14:paraId="4B9C9BF6">
      <w:pPr>
        <w:pStyle w:val="533"/>
        <w:numPr>
          <w:ilvl w:val="3"/>
          <w:numId w:val="9"/>
        </w:numPr>
        <w:rPr>
          <w:color w:val="auto"/>
          <w:szCs w:val="24"/>
          <w:highlight w:val="none"/>
        </w:rPr>
      </w:pPr>
      <w:r>
        <w:rPr>
          <w:color w:val="auto"/>
          <w:szCs w:val="24"/>
          <w:highlight w:val="none"/>
        </w:rPr>
        <w:t xml:space="preserve"> 施工单位环境管理</w:t>
      </w:r>
    </w:p>
    <w:p w14:paraId="52180754">
      <w:pPr>
        <w:pStyle w:val="589"/>
        <w:ind w:firstLine="480"/>
        <w:rPr>
          <w:rFonts w:cs="Times New Roman"/>
          <w:color w:val="auto"/>
          <w:highlight w:val="none"/>
        </w:rPr>
      </w:pPr>
      <w:r>
        <w:rPr>
          <w:rFonts w:cs="Times New Roman"/>
          <w:color w:val="auto"/>
          <w:highlight w:val="none"/>
        </w:rPr>
        <w:t>（1）负责监督、落实有关环境保护管理规章制度，实施环境保护控制措施、管理污染治理设施，并进行详细的记录，以备检查。</w:t>
      </w:r>
    </w:p>
    <w:p w14:paraId="7EDE0EFB">
      <w:pPr>
        <w:pStyle w:val="589"/>
        <w:ind w:firstLine="480"/>
        <w:rPr>
          <w:rFonts w:cs="Times New Roman"/>
          <w:color w:val="auto"/>
          <w:highlight w:val="none"/>
        </w:rPr>
      </w:pPr>
      <w:r>
        <w:rPr>
          <w:rFonts w:cs="Times New Roman"/>
          <w:color w:val="auto"/>
          <w:highlight w:val="none"/>
        </w:rPr>
        <w:t>（2）及时向环境保护主管机构或向单位负责人汇报与本项目施工有关的污染因素、存在问题、采取的污染控制对策、实施情况等，提出改进建议。</w:t>
      </w:r>
    </w:p>
    <w:p w14:paraId="27F1C1D9">
      <w:pPr>
        <w:pStyle w:val="589"/>
        <w:ind w:firstLine="480"/>
        <w:rPr>
          <w:rFonts w:cs="Times New Roman"/>
          <w:color w:val="auto"/>
          <w:highlight w:val="none"/>
        </w:rPr>
      </w:pPr>
      <w:r>
        <w:rPr>
          <w:rFonts w:cs="Times New Roman"/>
          <w:color w:val="auto"/>
          <w:highlight w:val="none"/>
        </w:rPr>
        <w:t>（3）按本报告提出的各项环境保护措施，编制详细施工期环境保护措施落实计划，明确各施工工序的施工场地位置、环境影响、环境保护措施、落实责任机构（人）等，并将该环境计划以书面形式发放给相关人员，以便于各项措施的有效落实。</w:t>
      </w:r>
    </w:p>
    <w:p w14:paraId="00A675AE">
      <w:pPr>
        <w:pStyle w:val="7"/>
        <w:numPr>
          <w:ilvl w:val="2"/>
          <w:numId w:val="9"/>
        </w:numPr>
        <w:rPr>
          <w:color w:val="auto"/>
          <w:sz w:val="28"/>
          <w:highlight w:val="none"/>
        </w:rPr>
      </w:pPr>
      <w:bookmarkStart w:id="291" w:name="_Toc505004511"/>
      <w:bookmarkStart w:id="292" w:name="_Toc503550501"/>
      <w:bookmarkStart w:id="293" w:name="_Toc514311094"/>
      <w:r>
        <w:rPr>
          <w:color w:val="auto"/>
          <w:sz w:val="28"/>
          <w:highlight w:val="none"/>
        </w:rPr>
        <w:t>环境管理</w:t>
      </w:r>
      <w:bookmarkEnd w:id="291"/>
      <w:bookmarkEnd w:id="292"/>
      <w:bookmarkEnd w:id="293"/>
      <w:r>
        <w:rPr>
          <w:color w:val="auto"/>
          <w:sz w:val="28"/>
          <w:highlight w:val="none"/>
        </w:rPr>
        <w:t>计划</w:t>
      </w:r>
    </w:p>
    <w:p w14:paraId="0CFD5181">
      <w:pPr>
        <w:ind w:firstLine="480"/>
        <w:rPr>
          <w:color w:val="auto"/>
          <w:highlight w:val="none"/>
        </w:rPr>
      </w:pPr>
      <w:r>
        <w:rPr>
          <w:color w:val="auto"/>
          <w:highlight w:val="none"/>
        </w:rPr>
        <w:t>环境管理计划见表7.1-1、7.1-2。</w:t>
      </w:r>
    </w:p>
    <w:p w14:paraId="6D2C8BAB">
      <w:pPr>
        <w:spacing w:line="240" w:lineRule="auto"/>
        <w:ind w:firstLine="0" w:firstLineChars="0"/>
        <w:jc w:val="center"/>
        <w:rPr>
          <w:b/>
          <w:color w:val="auto"/>
          <w:sz w:val="21"/>
          <w:szCs w:val="21"/>
          <w:highlight w:val="none"/>
        </w:rPr>
      </w:pPr>
      <w:r>
        <w:rPr>
          <w:b/>
          <w:color w:val="auto"/>
          <w:sz w:val="21"/>
          <w:szCs w:val="21"/>
          <w:highlight w:val="none"/>
        </w:rPr>
        <w:t>表7.1-1  施工期环境管理计划</w:t>
      </w:r>
    </w:p>
    <w:tbl>
      <w:tblPr>
        <w:tblStyle w:val="92"/>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34"/>
        <w:gridCol w:w="7167"/>
        <w:gridCol w:w="778"/>
      </w:tblGrid>
      <w:tr w14:paraId="4BD61B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719" w:type="pct"/>
            <w:vAlign w:val="center"/>
          </w:tcPr>
          <w:p w14:paraId="60F7013D">
            <w:pPr>
              <w:pStyle w:val="475"/>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环境问题</w:t>
            </w:r>
          </w:p>
        </w:tc>
        <w:tc>
          <w:tcPr>
            <w:tcW w:w="3861" w:type="pct"/>
            <w:vAlign w:val="center"/>
          </w:tcPr>
          <w:p w14:paraId="7EF768C8">
            <w:pPr>
              <w:pStyle w:val="475"/>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管理内容</w:t>
            </w:r>
          </w:p>
        </w:tc>
        <w:tc>
          <w:tcPr>
            <w:tcW w:w="419" w:type="pct"/>
            <w:vAlign w:val="center"/>
          </w:tcPr>
          <w:p w14:paraId="747BC8DF">
            <w:pPr>
              <w:pStyle w:val="475"/>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实施机构</w:t>
            </w:r>
          </w:p>
        </w:tc>
      </w:tr>
      <w:tr w14:paraId="67508DD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9" w:type="pct"/>
            <w:vAlign w:val="center"/>
          </w:tcPr>
          <w:p w14:paraId="6FF967B9">
            <w:pPr>
              <w:pStyle w:val="475"/>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大气污染</w:t>
            </w:r>
          </w:p>
        </w:tc>
        <w:tc>
          <w:tcPr>
            <w:tcW w:w="3861" w:type="pct"/>
            <w:vAlign w:val="center"/>
          </w:tcPr>
          <w:p w14:paraId="4E0D193F">
            <w:pPr>
              <w:pStyle w:val="475"/>
              <w:adjustRightInd w:val="0"/>
              <w:snapToGrid w:val="0"/>
              <w:jc w:val="both"/>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1.采取合理的措施，包括洒水、防尘网覆盖等，以降低施工期扬尘的浓度。</w:t>
            </w:r>
          </w:p>
          <w:p w14:paraId="678E553C">
            <w:pPr>
              <w:pStyle w:val="475"/>
              <w:adjustRightInd w:val="0"/>
              <w:snapToGrid w:val="0"/>
              <w:jc w:val="both"/>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2.加强对施工机械、车辆的维修保养，减少尾气排放；</w:t>
            </w:r>
          </w:p>
          <w:p w14:paraId="5A68C659">
            <w:pPr>
              <w:pStyle w:val="475"/>
              <w:adjustRightInd w:val="0"/>
              <w:snapToGrid w:val="0"/>
              <w:jc w:val="both"/>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3.焊接废气采用配有焊接烟尘净化装置的机器进行焊接，建设焊接烟尘的排放。</w:t>
            </w:r>
          </w:p>
        </w:tc>
        <w:tc>
          <w:tcPr>
            <w:tcW w:w="419" w:type="pct"/>
            <w:vMerge w:val="restart"/>
            <w:vAlign w:val="center"/>
          </w:tcPr>
          <w:p w14:paraId="008E1F39">
            <w:pPr>
              <w:pStyle w:val="475"/>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施工单位</w:t>
            </w:r>
          </w:p>
        </w:tc>
      </w:tr>
      <w:tr w14:paraId="50713B2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9" w:type="pct"/>
            <w:vAlign w:val="center"/>
          </w:tcPr>
          <w:p w14:paraId="185E83E5">
            <w:pPr>
              <w:pStyle w:val="475"/>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施工废水</w:t>
            </w:r>
          </w:p>
        </w:tc>
        <w:tc>
          <w:tcPr>
            <w:tcW w:w="3861" w:type="pct"/>
            <w:vAlign w:val="center"/>
          </w:tcPr>
          <w:p w14:paraId="7CF6A0C2">
            <w:pPr>
              <w:pStyle w:val="475"/>
              <w:adjustRightInd w:val="0"/>
              <w:snapToGrid w:val="0"/>
              <w:jc w:val="both"/>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1.浮坞锚块投放时需逐个投放，不得同时投放。</w:t>
            </w:r>
          </w:p>
          <w:p w14:paraId="1C823800">
            <w:pPr>
              <w:pStyle w:val="475"/>
              <w:adjustRightInd w:val="0"/>
              <w:snapToGrid w:val="0"/>
              <w:jc w:val="both"/>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 使用性能良好的汽车和施工机械、施工船舶，及时保养和维修，防止漏油。</w:t>
            </w:r>
          </w:p>
          <w:p w14:paraId="4AAB25DA">
            <w:pPr>
              <w:pStyle w:val="475"/>
              <w:adjustRightInd w:val="0"/>
              <w:snapToGrid w:val="0"/>
              <w:jc w:val="both"/>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3. 台风期间必须停止所有海上施工作业。</w:t>
            </w:r>
          </w:p>
        </w:tc>
        <w:tc>
          <w:tcPr>
            <w:tcW w:w="419" w:type="pct"/>
            <w:vMerge w:val="continue"/>
            <w:vAlign w:val="center"/>
          </w:tcPr>
          <w:p w14:paraId="22D7EB79">
            <w:pPr>
              <w:pStyle w:val="475"/>
              <w:adjustRightInd w:val="0"/>
              <w:snapToGrid w:val="0"/>
              <w:jc w:val="center"/>
              <w:rPr>
                <w:rFonts w:ascii="Times New Roman" w:hAnsi="Times New Roman" w:cs="Times New Roman"/>
                <w:color w:val="auto"/>
                <w:sz w:val="21"/>
                <w:szCs w:val="21"/>
                <w:highlight w:val="none"/>
              </w:rPr>
            </w:pPr>
          </w:p>
        </w:tc>
      </w:tr>
      <w:tr w14:paraId="7874C4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9" w:type="pct"/>
            <w:vAlign w:val="center"/>
          </w:tcPr>
          <w:p w14:paraId="22F80C5C">
            <w:pPr>
              <w:pStyle w:val="475"/>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噪声污染</w:t>
            </w:r>
          </w:p>
        </w:tc>
        <w:tc>
          <w:tcPr>
            <w:tcW w:w="3861" w:type="pct"/>
            <w:vAlign w:val="center"/>
          </w:tcPr>
          <w:p w14:paraId="20FEE530">
            <w:pPr>
              <w:pStyle w:val="475"/>
              <w:adjustRightInd w:val="0"/>
              <w:snapToGrid w:val="0"/>
              <w:jc w:val="both"/>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1.采用低噪声设备，加强设备的日常维修保养。</w:t>
            </w:r>
          </w:p>
          <w:p w14:paraId="6DAB2C04">
            <w:pPr>
              <w:pStyle w:val="475"/>
              <w:adjustRightInd w:val="0"/>
              <w:snapToGrid w:val="0"/>
              <w:jc w:val="both"/>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2.对高噪声设备，加设可移动的简单围障。</w:t>
            </w:r>
          </w:p>
          <w:p w14:paraId="5AC47D87">
            <w:pPr>
              <w:pStyle w:val="475"/>
              <w:adjustRightInd w:val="0"/>
              <w:snapToGrid w:val="0"/>
              <w:jc w:val="both"/>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3.合理安排施工时间，避免夜间和中午进行高噪声施工。</w:t>
            </w:r>
          </w:p>
        </w:tc>
        <w:tc>
          <w:tcPr>
            <w:tcW w:w="419" w:type="pct"/>
            <w:vMerge w:val="continue"/>
            <w:vAlign w:val="center"/>
          </w:tcPr>
          <w:p w14:paraId="3F10896C">
            <w:pPr>
              <w:pStyle w:val="475"/>
              <w:adjustRightInd w:val="0"/>
              <w:snapToGrid w:val="0"/>
              <w:jc w:val="both"/>
              <w:rPr>
                <w:rFonts w:ascii="Times New Roman" w:hAnsi="Times New Roman" w:cs="Times New Roman"/>
                <w:color w:val="auto"/>
                <w:sz w:val="21"/>
                <w:szCs w:val="21"/>
                <w:highlight w:val="none"/>
              </w:rPr>
            </w:pPr>
          </w:p>
        </w:tc>
      </w:tr>
      <w:tr w14:paraId="46E8DB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3" w:hRule="atLeast"/>
          <w:jc w:val="center"/>
        </w:trPr>
        <w:tc>
          <w:tcPr>
            <w:tcW w:w="719" w:type="pct"/>
            <w:vAlign w:val="center"/>
          </w:tcPr>
          <w:p w14:paraId="32B0F07B">
            <w:pPr>
              <w:pStyle w:val="475"/>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固体废物</w:t>
            </w:r>
          </w:p>
        </w:tc>
        <w:tc>
          <w:tcPr>
            <w:tcW w:w="3861" w:type="pct"/>
            <w:vAlign w:val="center"/>
          </w:tcPr>
          <w:p w14:paraId="49068051">
            <w:pPr>
              <w:pStyle w:val="475"/>
              <w:adjustRightInd w:val="0"/>
              <w:snapToGrid w:val="0"/>
              <w:jc w:val="both"/>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1.建筑垃圾堆放在现有一般固废暂存间暂存，能回收的回收利用，不能回收利用的妥善处理。</w:t>
            </w:r>
          </w:p>
          <w:p w14:paraId="197570E8">
            <w:pPr>
              <w:pStyle w:val="475"/>
              <w:adjustRightInd w:val="0"/>
              <w:snapToGrid w:val="0"/>
              <w:jc w:val="both"/>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2.生活垃圾集中放置，每天定期运至指定的地方处理</w:t>
            </w:r>
          </w:p>
        </w:tc>
        <w:tc>
          <w:tcPr>
            <w:tcW w:w="419" w:type="pct"/>
            <w:vMerge w:val="continue"/>
            <w:vAlign w:val="center"/>
          </w:tcPr>
          <w:p w14:paraId="497920B7">
            <w:pPr>
              <w:pStyle w:val="475"/>
              <w:adjustRightInd w:val="0"/>
              <w:snapToGrid w:val="0"/>
              <w:jc w:val="both"/>
              <w:rPr>
                <w:rFonts w:ascii="Times New Roman" w:hAnsi="Times New Roman" w:cs="Times New Roman"/>
                <w:color w:val="auto"/>
                <w:sz w:val="21"/>
                <w:szCs w:val="21"/>
                <w:highlight w:val="none"/>
              </w:rPr>
            </w:pPr>
          </w:p>
        </w:tc>
      </w:tr>
      <w:tr w14:paraId="33ADCF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9" w:type="pct"/>
            <w:vAlign w:val="center"/>
          </w:tcPr>
          <w:p w14:paraId="6E321C78">
            <w:pPr>
              <w:pStyle w:val="475"/>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生态保护</w:t>
            </w:r>
          </w:p>
        </w:tc>
        <w:tc>
          <w:tcPr>
            <w:tcW w:w="3861" w:type="pct"/>
            <w:vAlign w:val="center"/>
          </w:tcPr>
          <w:p w14:paraId="137B1F55">
            <w:pPr>
              <w:pStyle w:val="475"/>
              <w:adjustRightInd w:val="0"/>
              <w:snapToGrid w:val="0"/>
              <w:jc w:val="both"/>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1.回避鱼类的迁徙期和产卵孵化期（主要为春夏季），同时进行现场监测，采集真实规范的样品，并对其浊度及悬浮物颗粒的变化进行监测。</w:t>
            </w:r>
          </w:p>
          <w:p w14:paraId="756DBD8B">
            <w:pPr>
              <w:pStyle w:val="475"/>
              <w:adjustRightInd w:val="0"/>
              <w:snapToGrid w:val="0"/>
              <w:jc w:val="both"/>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2.施工过程严禁向海域内倾倒、排放污染物，避免水环境污染。</w:t>
            </w:r>
          </w:p>
        </w:tc>
        <w:tc>
          <w:tcPr>
            <w:tcW w:w="419" w:type="pct"/>
            <w:vMerge w:val="continue"/>
            <w:vAlign w:val="center"/>
          </w:tcPr>
          <w:p w14:paraId="0E0D6A25">
            <w:pPr>
              <w:pStyle w:val="475"/>
              <w:adjustRightInd w:val="0"/>
              <w:snapToGrid w:val="0"/>
              <w:jc w:val="both"/>
              <w:rPr>
                <w:rFonts w:ascii="Times New Roman" w:hAnsi="Times New Roman" w:cs="Times New Roman"/>
                <w:color w:val="auto"/>
                <w:sz w:val="21"/>
                <w:szCs w:val="21"/>
                <w:highlight w:val="none"/>
              </w:rPr>
            </w:pPr>
          </w:p>
        </w:tc>
      </w:tr>
    </w:tbl>
    <w:p w14:paraId="2E022FB2">
      <w:pPr>
        <w:spacing w:line="240" w:lineRule="auto"/>
        <w:ind w:firstLine="0" w:firstLineChars="0"/>
        <w:jc w:val="center"/>
        <w:rPr>
          <w:b/>
          <w:bCs/>
          <w:color w:val="auto"/>
          <w:highlight w:val="none"/>
        </w:rPr>
      </w:pPr>
    </w:p>
    <w:p w14:paraId="24EC96F5">
      <w:pPr>
        <w:spacing w:line="240" w:lineRule="auto"/>
        <w:ind w:firstLine="0" w:firstLineChars="0"/>
        <w:jc w:val="center"/>
        <w:rPr>
          <w:b/>
          <w:color w:val="auto"/>
          <w:sz w:val="21"/>
          <w:szCs w:val="21"/>
          <w:highlight w:val="none"/>
        </w:rPr>
      </w:pPr>
      <w:r>
        <w:rPr>
          <w:b/>
          <w:color w:val="auto"/>
          <w:sz w:val="21"/>
          <w:szCs w:val="21"/>
          <w:highlight w:val="none"/>
        </w:rPr>
        <w:t>表7.1-2  运营期期环境管理计划</w:t>
      </w:r>
    </w:p>
    <w:tbl>
      <w:tblPr>
        <w:tblStyle w:val="92"/>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24"/>
        <w:gridCol w:w="1160"/>
        <w:gridCol w:w="6676"/>
        <w:gridCol w:w="719"/>
      </w:tblGrid>
      <w:tr w14:paraId="4639EA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15" w:type="pct"/>
            <w:gridSpan w:val="2"/>
            <w:vAlign w:val="center"/>
          </w:tcPr>
          <w:p w14:paraId="2367FFEF">
            <w:pPr>
              <w:spacing w:line="240" w:lineRule="auto"/>
              <w:ind w:firstLine="0" w:firstLineChars="0"/>
              <w:jc w:val="center"/>
              <w:rPr>
                <w:color w:val="auto"/>
                <w:sz w:val="21"/>
                <w:szCs w:val="21"/>
                <w:highlight w:val="none"/>
              </w:rPr>
            </w:pPr>
            <w:r>
              <w:rPr>
                <w:color w:val="auto"/>
                <w:sz w:val="21"/>
                <w:szCs w:val="21"/>
                <w:highlight w:val="none"/>
              </w:rPr>
              <w:t>主要环境问题</w:t>
            </w:r>
          </w:p>
        </w:tc>
        <w:tc>
          <w:tcPr>
            <w:tcW w:w="3596" w:type="pct"/>
            <w:vAlign w:val="center"/>
          </w:tcPr>
          <w:p w14:paraId="67D23FE0">
            <w:pPr>
              <w:spacing w:line="240" w:lineRule="auto"/>
              <w:ind w:firstLine="0" w:firstLineChars="0"/>
              <w:jc w:val="center"/>
              <w:rPr>
                <w:color w:val="auto"/>
                <w:sz w:val="21"/>
                <w:szCs w:val="21"/>
                <w:highlight w:val="none"/>
              </w:rPr>
            </w:pPr>
            <w:r>
              <w:rPr>
                <w:color w:val="auto"/>
                <w:sz w:val="21"/>
                <w:szCs w:val="21"/>
                <w:highlight w:val="none"/>
              </w:rPr>
              <w:t>防治措施</w:t>
            </w:r>
          </w:p>
        </w:tc>
        <w:tc>
          <w:tcPr>
            <w:tcW w:w="387" w:type="pct"/>
            <w:vAlign w:val="center"/>
          </w:tcPr>
          <w:p w14:paraId="07E95C3B">
            <w:pPr>
              <w:spacing w:line="240" w:lineRule="auto"/>
              <w:ind w:firstLine="0" w:firstLineChars="0"/>
              <w:jc w:val="center"/>
              <w:rPr>
                <w:color w:val="auto"/>
                <w:sz w:val="21"/>
                <w:szCs w:val="21"/>
                <w:highlight w:val="none"/>
              </w:rPr>
            </w:pPr>
            <w:r>
              <w:rPr>
                <w:color w:val="auto"/>
                <w:sz w:val="21"/>
                <w:szCs w:val="21"/>
                <w:highlight w:val="none"/>
              </w:rPr>
              <w:t>负责</w:t>
            </w:r>
          </w:p>
          <w:p w14:paraId="1E83ED79">
            <w:pPr>
              <w:spacing w:line="240" w:lineRule="auto"/>
              <w:ind w:firstLine="0" w:firstLineChars="0"/>
              <w:jc w:val="center"/>
              <w:rPr>
                <w:color w:val="auto"/>
                <w:sz w:val="21"/>
                <w:szCs w:val="21"/>
                <w:highlight w:val="none"/>
              </w:rPr>
            </w:pPr>
            <w:r>
              <w:rPr>
                <w:color w:val="auto"/>
                <w:sz w:val="21"/>
                <w:szCs w:val="21"/>
                <w:highlight w:val="none"/>
              </w:rPr>
              <w:t>机构</w:t>
            </w:r>
          </w:p>
        </w:tc>
      </w:tr>
      <w:tr w14:paraId="4366B8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90" w:type="pct"/>
            <w:vAlign w:val="center"/>
          </w:tcPr>
          <w:p w14:paraId="36EA5098">
            <w:pPr>
              <w:spacing w:line="240" w:lineRule="auto"/>
              <w:ind w:firstLine="0" w:firstLineChars="0"/>
              <w:jc w:val="center"/>
              <w:rPr>
                <w:color w:val="auto"/>
                <w:sz w:val="21"/>
                <w:szCs w:val="21"/>
                <w:highlight w:val="none"/>
              </w:rPr>
            </w:pPr>
            <w:r>
              <w:rPr>
                <w:color w:val="auto"/>
                <w:sz w:val="21"/>
                <w:szCs w:val="21"/>
                <w:highlight w:val="none"/>
              </w:rPr>
              <w:t>1</w:t>
            </w:r>
          </w:p>
        </w:tc>
        <w:tc>
          <w:tcPr>
            <w:tcW w:w="625" w:type="pct"/>
            <w:vAlign w:val="center"/>
          </w:tcPr>
          <w:p w14:paraId="56229C9A">
            <w:pPr>
              <w:spacing w:line="240" w:lineRule="auto"/>
              <w:ind w:firstLine="0" w:firstLineChars="0"/>
              <w:jc w:val="center"/>
              <w:rPr>
                <w:color w:val="auto"/>
                <w:sz w:val="21"/>
                <w:szCs w:val="21"/>
                <w:highlight w:val="none"/>
              </w:rPr>
            </w:pPr>
            <w:r>
              <w:rPr>
                <w:color w:val="auto"/>
                <w:sz w:val="21"/>
                <w:szCs w:val="21"/>
                <w:highlight w:val="none"/>
              </w:rPr>
              <w:t>空气污染</w:t>
            </w:r>
          </w:p>
        </w:tc>
        <w:tc>
          <w:tcPr>
            <w:tcW w:w="3596" w:type="pct"/>
            <w:vAlign w:val="center"/>
          </w:tcPr>
          <w:p w14:paraId="08DEA16E">
            <w:pPr>
              <w:spacing w:line="240" w:lineRule="auto"/>
              <w:ind w:firstLine="0" w:firstLineChars="0"/>
              <w:jc w:val="left"/>
              <w:rPr>
                <w:color w:val="auto"/>
                <w:sz w:val="21"/>
                <w:szCs w:val="21"/>
                <w:highlight w:val="none"/>
              </w:rPr>
            </w:pPr>
            <w:r>
              <w:rPr>
                <w:color w:val="auto"/>
                <w:sz w:val="21"/>
                <w:szCs w:val="21"/>
                <w:highlight w:val="none"/>
              </w:rPr>
              <w:t>1.采用配有焊接烟尘净化装置的机器进行焊接</w:t>
            </w:r>
            <w:r>
              <w:rPr>
                <w:rFonts w:hint="eastAsia"/>
                <w:color w:val="auto"/>
                <w:sz w:val="21"/>
                <w:szCs w:val="21"/>
                <w:highlight w:val="none"/>
              </w:rPr>
              <w:t>；</w:t>
            </w:r>
          </w:p>
          <w:p w14:paraId="5FE3B880">
            <w:pPr>
              <w:spacing w:line="240" w:lineRule="auto"/>
              <w:ind w:firstLine="0" w:firstLineChars="0"/>
              <w:jc w:val="left"/>
              <w:rPr>
                <w:color w:val="auto"/>
                <w:sz w:val="21"/>
                <w:szCs w:val="21"/>
                <w:highlight w:val="none"/>
              </w:rPr>
            </w:pPr>
            <w:r>
              <w:rPr>
                <w:rFonts w:hint="eastAsia"/>
                <w:color w:val="auto"/>
                <w:sz w:val="21"/>
                <w:szCs w:val="21"/>
                <w:highlight w:val="none"/>
              </w:rPr>
              <w:t>2.</w:t>
            </w:r>
            <w:r>
              <w:rPr>
                <w:color w:val="auto"/>
                <w:sz w:val="21"/>
                <w:szCs w:val="21"/>
                <w:highlight w:val="none"/>
              </w:rPr>
              <w:t xml:space="preserve">使用苯系物含量较低的有机溶剂、水溶性和无溶剂型涂料； </w:t>
            </w:r>
          </w:p>
          <w:p w14:paraId="3E29E18A">
            <w:pPr>
              <w:spacing w:line="240" w:lineRule="auto"/>
              <w:ind w:firstLine="0" w:firstLineChars="0"/>
              <w:jc w:val="left"/>
              <w:rPr>
                <w:color w:val="auto"/>
                <w:sz w:val="21"/>
                <w:szCs w:val="21"/>
                <w:highlight w:val="none"/>
              </w:rPr>
            </w:pPr>
            <w:r>
              <w:rPr>
                <w:rFonts w:hint="eastAsia"/>
                <w:color w:val="auto"/>
                <w:sz w:val="21"/>
                <w:szCs w:val="21"/>
                <w:highlight w:val="none"/>
              </w:rPr>
              <w:t>3</w:t>
            </w:r>
            <w:r>
              <w:rPr>
                <w:color w:val="auto"/>
                <w:sz w:val="21"/>
                <w:szCs w:val="21"/>
                <w:highlight w:val="none"/>
              </w:rPr>
              <w:t>.使用先进的环保喷涂设施；</w:t>
            </w:r>
          </w:p>
          <w:p w14:paraId="67BE3935">
            <w:pPr>
              <w:spacing w:line="240" w:lineRule="auto"/>
              <w:ind w:firstLine="0" w:firstLineChars="0"/>
              <w:jc w:val="left"/>
              <w:rPr>
                <w:color w:val="auto"/>
                <w:sz w:val="21"/>
                <w:szCs w:val="21"/>
                <w:highlight w:val="none"/>
              </w:rPr>
            </w:pPr>
            <w:r>
              <w:rPr>
                <w:rFonts w:hint="eastAsia"/>
                <w:color w:val="auto"/>
                <w:sz w:val="21"/>
                <w:szCs w:val="21"/>
                <w:highlight w:val="none"/>
              </w:rPr>
              <w:t>4</w:t>
            </w:r>
            <w:r>
              <w:rPr>
                <w:color w:val="auto"/>
                <w:sz w:val="21"/>
                <w:szCs w:val="21"/>
                <w:highlight w:val="none"/>
              </w:rPr>
              <w:t>.控制浮船坞的喷枪数量，避免同时进行大规模喷涂作业；</w:t>
            </w:r>
          </w:p>
          <w:p w14:paraId="07A58A70">
            <w:pPr>
              <w:spacing w:line="240" w:lineRule="auto"/>
              <w:ind w:firstLine="0" w:firstLineChars="0"/>
              <w:jc w:val="left"/>
              <w:rPr>
                <w:color w:val="auto"/>
                <w:sz w:val="21"/>
                <w:szCs w:val="21"/>
                <w:highlight w:val="none"/>
              </w:rPr>
            </w:pPr>
            <w:r>
              <w:rPr>
                <w:rFonts w:hint="eastAsia"/>
                <w:color w:val="auto"/>
                <w:sz w:val="21"/>
                <w:szCs w:val="21"/>
                <w:highlight w:val="none"/>
              </w:rPr>
              <w:t>5</w:t>
            </w:r>
            <w:r>
              <w:rPr>
                <w:color w:val="auto"/>
                <w:sz w:val="21"/>
                <w:szCs w:val="21"/>
                <w:highlight w:val="none"/>
              </w:rPr>
              <w:t>.优选环保型打砂水喷砂设备，降低灰尘的产生。</w:t>
            </w:r>
          </w:p>
          <w:p w14:paraId="74BC988A">
            <w:pPr>
              <w:spacing w:line="240" w:lineRule="auto"/>
              <w:ind w:firstLine="0" w:firstLineChars="0"/>
              <w:jc w:val="left"/>
              <w:rPr>
                <w:color w:val="auto"/>
                <w:sz w:val="21"/>
                <w:szCs w:val="21"/>
                <w:highlight w:val="none"/>
              </w:rPr>
            </w:pPr>
            <w:r>
              <w:rPr>
                <w:rFonts w:hint="eastAsia"/>
                <w:color w:val="auto"/>
                <w:sz w:val="21"/>
                <w:szCs w:val="21"/>
                <w:highlight w:val="none"/>
              </w:rPr>
              <w:t>6</w:t>
            </w:r>
            <w:r>
              <w:rPr>
                <w:color w:val="auto"/>
                <w:sz w:val="21"/>
                <w:szCs w:val="21"/>
                <w:highlight w:val="none"/>
              </w:rPr>
              <w:t>.喷砂采用硬度较大的铜矿砂，且避免二次使用</w:t>
            </w:r>
          </w:p>
        </w:tc>
        <w:tc>
          <w:tcPr>
            <w:tcW w:w="387" w:type="pct"/>
            <w:vMerge w:val="restart"/>
            <w:vAlign w:val="center"/>
          </w:tcPr>
          <w:p w14:paraId="0234ECA2">
            <w:pPr>
              <w:spacing w:line="240" w:lineRule="auto"/>
              <w:ind w:firstLine="0" w:firstLineChars="0"/>
              <w:jc w:val="center"/>
              <w:rPr>
                <w:color w:val="auto"/>
                <w:sz w:val="21"/>
                <w:szCs w:val="21"/>
                <w:highlight w:val="none"/>
              </w:rPr>
            </w:pPr>
            <w:r>
              <w:rPr>
                <w:color w:val="auto"/>
                <w:sz w:val="21"/>
                <w:szCs w:val="21"/>
                <w:highlight w:val="none"/>
              </w:rPr>
              <w:t>建设单位</w:t>
            </w:r>
          </w:p>
        </w:tc>
      </w:tr>
      <w:tr w14:paraId="308AE4E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90" w:type="pct"/>
            <w:vMerge w:val="restart"/>
            <w:vAlign w:val="center"/>
          </w:tcPr>
          <w:p w14:paraId="56B28316">
            <w:pPr>
              <w:spacing w:line="240" w:lineRule="auto"/>
              <w:ind w:firstLine="0" w:firstLineChars="0"/>
              <w:jc w:val="center"/>
              <w:rPr>
                <w:color w:val="auto"/>
                <w:sz w:val="21"/>
                <w:szCs w:val="21"/>
                <w:highlight w:val="none"/>
              </w:rPr>
            </w:pPr>
            <w:r>
              <w:rPr>
                <w:color w:val="auto"/>
                <w:sz w:val="21"/>
                <w:szCs w:val="21"/>
                <w:highlight w:val="none"/>
              </w:rPr>
              <w:t>2</w:t>
            </w:r>
          </w:p>
        </w:tc>
        <w:tc>
          <w:tcPr>
            <w:tcW w:w="625" w:type="pct"/>
            <w:vAlign w:val="center"/>
          </w:tcPr>
          <w:p w14:paraId="195BBD35">
            <w:pPr>
              <w:spacing w:line="240" w:lineRule="auto"/>
              <w:ind w:firstLine="0" w:firstLineChars="0"/>
              <w:jc w:val="center"/>
              <w:rPr>
                <w:color w:val="auto"/>
                <w:sz w:val="21"/>
                <w:szCs w:val="21"/>
                <w:highlight w:val="none"/>
              </w:rPr>
            </w:pPr>
            <w:r>
              <w:rPr>
                <w:color w:val="auto"/>
                <w:sz w:val="21"/>
                <w:szCs w:val="21"/>
                <w:highlight w:val="none"/>
              </w:rPr>
              <w:t>生产废水</w:t>
            </w:r>
          </w:p>
        </w:tc>
        <w:tc>
          <w:tcPr>
            <w:tcW w:w="3596" w:type="pct"/>
            <w:vAlign w:val="center"/>
          </w:tcPr>
          <w:p w14:paraId="6F766867">
            <w:pPr>
              <w:spacing w:line="240" w:lineRule="auto"/>
              <w:ind w:firstLine="0" w:firstLineChars="0"/>
              <w:jc w:val="left"/>
              <w:rPr>
                <w:color w:val="auto"/>
                <w:sz w:val="21"/>
                <w:szCs w:val="21"/>
                <w:highlight w:val="none"/>
              </w:rPr>
            </w:pPr>
            <w:r>
              <w:rPr>
                <w:color w:val="auto"/>
                <w:sz w:val="21"/>
                <w:szCs w:val="21"/>
                <w:highlight w:val="none"/>
              </w:rPr>
              <w:t>依托现有废水处理站处理。</w:t>
            </w:r>
          </w:p>
        </w:tc>
        <w:tc>
          <w:tcPr>
            <w:tcW w:w="387" w:type="pct"/>
            <w:vMerge w:val="continue"/>
            <w:vAlign w:val="center"/>
          </w:tcPr>
          <w:p w14:paraId="2C902291">
            <w:pPr>
              <w:spacing w:line="240" w:lineRule="auto"/>
              <w:ind w:firstLine="0" w:firstLineChars="0"/>
              <w:jc w:val="center"/>
              <w:rPr>
                <w:color w:val="auto"/>
                <w:sz w:val="21"/>
                <w:szCs w:val="21"/>
                <w:highlight w:val="none"/>
              </w:rPr>
            </w:pPr>
          </w:p>
        </w:tc>
      </w:tr>
      <w:tr w14:paraId="43BA41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90" w:type="pct"/>
            <w:vMerge w:val="continue"/>
            <w:vAlign w:val="center"/>
          </w:tcPr>
          <w:p w14:paraId="5B7D202D">
            <w:pPr>
              <w:spacing w:line="240" w:lineRule="auto"/>
              <w:ind w:firstLine="0" w:firstLineChars="0"/>
              <w:jc w:val="center"/>
              <w:rPr>
                <w:color w:val="auto"/>
                <w:sz w:val="21"/>
                <w:szCs w:val="21"/>
                <w:highlight w:val="none"/>
              </w:rPr>
            </w:pPr>
          </w:p>
        </w:tc>
        <w:tc>
          <w:tcPr>
            <w:tcW w:w="625" w:type="pct"/>
            <w:vAlign w:val="center"/>
          </w:tcPr>
          <w:p w14:paraId="6A485482">
            <w:pPr>
              <w:spacing w:line="240" w:lineRule="auto"/>
              <w:ind w:firstLine="0" w:firstLineChars="0"/>
              <w:jc w:val="center"/>
              <w:rPr>
                <w:color w:val="auto"/>
                <w:sz w:val="21"/>
                <w:szCs w:val="21"/>
                <w:highlight w:val="none"/>
              </w:rPr>
            </w:pPr>
            <w:r>
              <w:rPr>
                <w:color w:val="auto"/>
                <w:sz w:val="21"/>
                <w:szCs w:val="21"/>
                <w:highlight w:val="none"/>
              </w:rPr>
              <w:t>生活污水</w:t>
            </w:r>
          </w:p>
        </w:tc>
        <w:tc>
          <w:tcPr>
            <w:tcW w:w="3596" w:type="pct"/>
            <w:vAlign w:val="center"/>
          </w:tcPr>
          <w:p w14:paraId="73DEEA39">
            <w:pPr>
              <w:spacing w:line="240" w:lineRule="auto"/>
              <w:ind w:firstLine="0" w:firstLineChars="0"/>
              <w:jc w:val="left"/>
              <w:rPr>
                <w:color w:val="auto"/>
                <w:sz w:val="21"/>
                <w:szCs w:val="21"/>
                <w:highlight w:val="none"/>
              </w:rPr>
            </w:pPr>
            <w:r>
              <w:rPr>
                <w:color w:val="auto"/>
                <w:sz w:val="21"/>
                <w:szCs w:val="21"/>
                <w:highlight w:val="none"/>
              </w:rPr>
              <w:t>依托基地陆域生活污水系统处理。</w:t>
            </w:r>
          </w:p>
        </w:tc>
        <w:tc>
          <w:tcPr>
            <w:tcW w:w="387" w:type="pct"/>
            <w:vMerge w:val="continue"/>
            <w:vAlign w:val="center"/>
          </w:tcPr>
          <w:p w14:paraId="49CC753B">
            <w:pPr>
              <w:spacing w:line="240" w:lineRule="auto"/>
              <w:ind w:firstLine="0" w:firstLineChars="0"/>
              <w:jc w:val="center"/>
              <w:rPr>
                <w:color w:val="auto"/>
                <w:sz w:val="21"/>
                <w:szCs w:val="21"/>
                <w:highlight w:val="none"/>
              </w:rPr>
            </w:pPr>
          </w:p>
        </w:tc>
      </w:tr>
      <w:tr w14:paraId="4F2038B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90" w:type="pct"/>
            <w:vMerge w:val="continue"/>
            <w:vAlign w:val="center"/>
          </w:tcPr>
          <w:p w14:paraId="5B665F3C">
            <w:pPr>
              <w:spacing w:line="240" w:lineRule="auto"/>
              <w:ind w:firstLine="0" w:firstLineChars="0"/>
              <w:jc w:val="center"/>
              <w:rPr>
                <w:color w:val="auto"/>
                <w:sz w:val="21"/>
                <w:szCs w:val="21"/>
                <w:highlight w:val="none"/>
              </w:rPr>
            </w:pPr>
          </w:p>
        </w:tc>
        <w:tc>
          <w:tcPr>
            <w:tcW w:w="625" w:type="pct"/>
            <w:vAlign w:val="center"/>
          </w:tcPr>
          <w:p w14:paraId="01606DF9">
            <w:pPr>
              <w:spacing w:line="240" w:lineRule="auto"/>
              <w:ind w:firstLine="0" w:firstLineChars="0"/>
              <w:jc w:val="center"/>
              <w:rPr>
                <w:color w:val="auto"/>
                <w:sz w:val="21"/>
                <w:szCs w:val="21"/>
                <w:highlight w:val="none"/>
              </w:rPr>
            </w:pPr>
            <w:r>
              <w:rPr>
                <w:color w:val="auto"/>
                <w:sz w:val="21"/>
                <w:szCs w:val="21"/>
                <w:highlight w:val="none"/>
              </w:rPr>
              <w:t>初期雨水</w:t>
            </w:r>
          </w:p>
        </w:tc>
        <w:tc>
          <w:tcPr>
            <w:tcW w:w="3596" w:type="pct"/>
            <w:vAlign w:val="center"/>
          </w:tcPr>
          <w:p w14:paraId="6B678F85">
            <w:pPr>
              <w:spacing w:line="240" w:lineRule="auto"/>
              <w:ind w:firstLine="0" w:firstLineChars="0"/>
              <w:jc w:val="left"/>
              <w:rPr>
                <w:color w:val="auto"/>
                <w:sz w:val="21"/>
                <w:szCs w:val="21"/>
                <w:highlight w:val="none"/>
              </w:rPr>
            </w:pPr>
            <w:r>
              <w:rPr>
                <w:rFonts w:hint="eastAsia"/>
                <w:color w:val="auto"/>
                <w:sz w:val="21"/>
                <w:szCs w:val="21"/>
                <w:highlight w:val="none"/>
              </w:rPr>
              <w:t>浮船坞上配套</w:t>
            </w:r>
            <w:r>
              <w:rPr>
                <w:color w:val="auto"/>
                <w:sz w:val="21"/>
                <w:szCs w:val="21"/>
                <w:highlight w:val="none"/>
              </w:rPr>
              <w:t>1个初期雨水收集池，初期雨水收集后排至基地生活污水处理一体化设备与生活污水一并处理。</w:t>
            </w:r>
          </w:p>
        </w:tc>
        <w:tc>
          <w:tcPr>
            <w:tcW w:w="387" w:type="pct"/>
            <w:vMerge w:val="continue"/>
            <w:vAlign w:val="center"/>
          </w:tcPr>
          <w:p w14:paraId="7EF9C5A5">
            <w:pPr>
              <w:spacing w:line="240" w:lineRule="auto"/>
              <w:ind w:firstLine="0" w:firstLineChars="0"/>
              <w:jc w:val="center"/>
              <w:rPr>
                <w:color w:val="auto"/>
                <w:sz w:val="21"/>
                <w:szCs w:val="21"/>
                <w:highlight w:val="none"/>
              </w:rPr>
            </w:pPr>
          </w:p>
        </w:tc>
      </w:tr>
      <w:tr w14:paraId="01B281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90" w:type="pct"/>
            <w:vAlign w:val="center"/>
          </w:tcPr>
          <w:p w14:paraId="222C7C01">
            <w:pPr>
              <w:spacing w:line="240" w:lineRule="auto"/>
              <w:ind w:firstLine="0" w:firstLineChars="0"/>
              <w:jc w:val="center"/>
              <w:rPr>
                <w:color w:val="auto"/>
                <w:sz w:val="21"/>
                <w:szCs w:val="21"/>
                <w:highlight w:val="none"/>
              </w:rPr>
            </w:pPr>
            <w:r>
              <w:rPr>
                <w:color w:val="auto"/>
                <w:sz w:val="21"/>
                <w:szCs w:val="21"/>
                <w:highlight w:val="none"/>
              </w:rPr>
              <w:t>5</w:t>
            </w:r>
          </w:p>
        </w:tc>
        <w:tc>
          <w:tcPr>
            <w:tcW w:w="625" w:type="pct"/>
            <w:vAlign w:val="center"/>
          </w:tcPr>
          <w:p w14:paraId="1F9DFCB2">
            <w:pPr>
              <w:spacing w:line="240" w:lineRule="auto"/>
              <w:ind w:firstLine="0" w:firstLineChars="0"/>
              <w:jc w:val="center"/>
              <w:rPr>
                <w:color w:val="auto"/>
                <w:sz w:val="21"/>
                <w:szCs w:val="21"/>
                <w:highlight w:val="none"/>
              </w:rPr>
            </w:pPr>
            <w:r>
              <w:rPr>
                <w:color w:val="auto"/>
                <w:sz w:val="21"/>
                <w:szCs w:val="21"/>
                <w:highlight w:val="none"/>
              </w:rPr>
              <w:t>噪声污染</w:t>
            </w:r>
          </w:p>
        </w:tc>
        <w:tc>
          <w:tcPr>
            <w:tcW w:w="3596" w:type="pct"/>
            <w:vAlign w:val="center"/>
          </w:tcPr>
          <w:p w14:paraId="0AF3F356">
            <w:pPr>
              <w:numPr>
                <w:ilvl w:val="0"/>
                <w:numId w:val="20"/>
              </w:numPr>
              <w:spacing w:line="240" w:lineRule="auto"/>
              <w:ind w:firstLine="0" w:firstLineChars="0"/>
              <w:jc w:val="left"/>
              <w:rPr>
                <w:color w:val="auto"/>
                <w:sz w:val="21"/>
                <w:szCs w:val="21"/>
                <w:highlight w:val="none"/>
              </w:rPr>
            </w:pPr>
            <w:r>
              <w:rPr>
                <w:color w:val="auto"/>
                <w:sz w:val="21"/>
                <w:szCs w:val="21"/>
                <w:highlight w:val="none"/>
              </w:rPr>
              <w:t>进港维修船舶停岸即停机，减少停靠时间等方法减少发声的时间；</w:t>
            </w:r>
          </w:p>
          <w:p w14:paraId="4BCAE656">
            <w:pPr>
              <w:numPr>
                <w:ilvl w:val="0"/>
                <w:numId w:val="20"/>
              </w:numPr>
              <w:spacing w:line="240" w:lineRule="auto"/>
              <w:ind w:firstLine="0" w:firstLineChars="0"/>
              <w:jc w:val="left"/>
              <w:rPr>
                <w:color w:val="auto"/>
                <w:sz w:val="21"/>
                <w:szCs w:val="21"/>
                <w:highlight w:val="none"/>
              </w:rPr>
            </w:pPr>
            <w:r>
              <w:rPr>
                <w:color w:val="auto"/>
                <w:sz w:val="21"/>
                <w:szCs w:val="21"/>
                <w:highlight w:val="none"/>
              </w:rPr>
              <w:t>加强对机械设备的维护保养和正确操作。</w:t>
            </w:r>
          </w:p>
          <w:p w14:paraId="41F33EA5">
            <w:pPr>
              <w:numPr>
                <w:ilvl w:val="0"/>
                <w:numId w:val="20"/>
              </w:numPr>
              <w:spacing w:line="240" w:lineRule="auto"/>
              <w:ind w:firstLine="0" w:firstLineChars="0"/>
              <w:jc w:val="left"/>
              <w:rPr>
                <w:color w:val="auto"/>
                <w:sz w:val="21"/>
                <w:szCs w:val="21"/>
                <w:highlight w:val="none"/>
              </w:rPr>
            </w:pPr>
            <w:r>
              <w:rPr>
                <w:color w:val="auto"/>
                <w:sz w:val="21"/>
                <w:szCs w:val="21"/>
                <w:highlight w:val="none"/>
              </w:rPr>
              <w:t>定期对设备的主要部件进行维修和保养。</w:t>
            </w:r>
          </w:p>
          <w:p w14:paraId="2BB70BC5">
            <w:pPr>
              <w:numPr>
                <w:ilvl w:val="0"/>
                <w:numId w:val="20"/>
              </w:numPr>
              <w:spacing w:line="240" w:lineRule="auto"/>
              <w:ind w:firstLine="0" w:firstLineChars="0"/>
              <w:jc w:val="left"/>
              <w:rPr>
                <w:color w:val="auto"/>
                <w:sz w:val="21"/>
                <w:szCs w:val="21"/>
                <w:highlight w:val="none"/>
              </w:rPr>
            </w:pPr>
            <w:r>
              <w:rPr>
                <w:color w:val="auto"/>
                <w:sz w:val="21"/>
                <w:szCs w:val="21"/>
                <w:highlight w:val="none"/>
              </w:rPr>
              <w:t>及时修理产生异常</w:t>
            </w:r>
            <w:r>
              <w:rPr>
                <w:rFonts w:hint="eastAsia"/>
                <w:color w:val="auto"/>
                <w:sz w:val="21"/>
                <w:szCs w:val="21"/>
                <w:highlight w:val="none"/>
                <w:lang w:eastAsia="zh-CN"/>
              </w:rPr>
              <w:t>噪声</w:t>
            </w:r>
            <w:r>
              <w:rPr>
                <w:color w:val="auto"/>
                <w:sz w:val="21"/>
                <w:szCs w:val="21"/>
                <w:highlight w:val="none"/>
              </w:rPr>
              <w:t>的车辆、机械设备，缩短异常</w:t>
            </w:r>
            <w:r>
              <w:rPr>
                <w:rFonts w:hint="eastAsia"/>
                <w:color w:val="auto"/>
                <w:sz w:val="21"/>
                <w:szCs w:val="21"/>
                <w:highlight w:val="none"/>
                <w:lang w:eastAsia="zh-CN"/>
              </w:rPr>
              <w:t>噪声</w:t>
            </w:r>
            <w:r>
              <w:rPr>
                <w:color w:val="auto"/>
                <w:sz w:val="21"/>
                <w:szCs w:val="21"/>
                <w:highlight w:val="none"/>
              </w:rPr>
              <w:t>的排放时间。</w:t>
            </w:r>
          </w:p>
          <w:p w14:paraId="284B5784">
            <w:pPr>
              <w:numPr>
                <w:ilvl w:val="0"/>
                <w:numId w:val="20"/>
              </w:numPr>
              <w:spacing w:line="240" w:lineRule="auto"/>
              <w:ind w:firstLine="0" w:firstLineChars="0"/>
              <w:jc w:val="left"/>
              <w:rPr>
                <w:color w:val="auto"/>
                <w:sz w:val="21"/>
                <w:szCs w:val="21"/>
                <w:highlight w:val="none"/>
              </w:rPr>
            </w:pPr>
            <w:r>
              <w:rPr>
                <w:color w:val="auto"/>
                <w:sz w:val="21"/>
                <w:szCs w:val="21"/>
                <w:highlight w:val="none"/>
              </w:rPr>
              <w:t>在高噪声设备上如空压机等安装消声和减振设施，如在设备的底部加减振垫，在设备的四周可开设一定宽度和深度的沟槽，里面填充松软物质，用来隔离振动的传递；</w:t>
            </w:r>
          </w:p>
          <w:p w14:paraId="6D691959">
            <w:pPr>
              <w:numPr>
                <w:ilvl w:val="0"/>
                <w:numId w:val="20"/>
              </w:numPr>
              <w:spacing w:line="240" w:lineRule="auto"/>
              <w:ind w:firstLine="0" w:firstLineChars="0"/>
              <w:jc w:val="left"/>
              <w:rPr>
                <w:color w:val="auto"/>
                <w:sz w:val="21"/>
                <w:szCs w:val="21"/>
                <w:highlight w:val="none"/>
              </w:rPr>
            </w:pPr>
            <w:r>
              <w:rPr>
                <w:color w:val="auto"/>
                <w:sz w:val="21"/>
                <w:szCs w:val="21"/>
                <w:highlight w:val="none"/>
              </w:rPr>
              <w:t>加强管理，作业人员培训上岗</w:t>
            </w:r>
          </w:p>
        </w:tc>
        <w:tc>
          <w:tcPr>
            <w:tcW w:w="387" w:type="pct"/>
            <w:vMerge w:val="continue"/>
            <w:vAlign w:val="center"/>
          </w:tcPr>
          <w:p w14:paraId="73FE6696">
            <w:pPr>
              <w:spacing w:line="240" w:lineRule="auto"/>
              <w:ind w:firstLine="0" w:firstLineChars="0"/>
              <w:jc w:val="center"/>
              <w:rPr>
                <w:color w:val="auto"/>
                <w:sz w:val="21"/>
                <w:szCs w:val="21"/>
                <w:highlight w:val="none"/>
              </w:rPr>
            </w:pPr>
          </w:p>
        </w:tc>
      </w:tr>
      <w:tr w14:paraId="3B1E8F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90" w:type="pct"/>
            <w:vAlign w:val="center"/>
          </w:tcPr>
          <w:p w14:paraId="380DB39A">
            <w:pPr>
              <w:spacing w:line="240" w:lineRule="auto"/>
              <w:ind w:firstLine="0" w:firstLineChars="0"/>
              <w:jc w:val="center"/>
              <w:rPr>
                <w:color w:val="auto"/>
                <w:sz w:val="21"/>
                <w:szCs w:val="21"/>
                <w:highlight w:val="none"/>
              </w:rPr>
            </w:pPr>
            <w:r>
              <w:rPr>
                <w:color w:val="auto"/>
                <w:sz w:val="21"/>
                <w:szCs w:val="21"/>
                <w:highlight w:val="none"/>
              </w:rPr>
              <w:t>6</w:t>
            </w:r>
          </w:p>
        </w:tc>
        <w:tc>
          <w:tcPr>
            <w:tcW w:w="625" w:type="pct"/>
            <w:vAlign w:val="center"/>
          </w:tcPr>
          <w:p w14:paraId="00AFF9A9">
            <w:pPr>
              <w:spacing w:line="240" w:lineRule="auto"/>
              <w:ind w:firstLine="0" w:firstLineChars="0"/>
              <w:jc w:val="center"/>
              <w:rPr>
                <w:color w:val="auto"/>
                <w:sz w:val="21"/>
                <w:szCs w:val="21"/>
                <w:highlight w:val="none"/>
              </w:rPr>
            </w:pPr>
            <w:r>
              <w:rPr>
                <w:color w:val="auto"/>
                <w:sz w:val="21"/>
                <w:szCs w:val="21"/>
                <w:highlight w:val="none"/>
              </w:rPr>
              <w:t>固体废物</w:t>
            </w:r>
          </w:p>
        </w:tc>
        <w:tc>
          <w:tcPr>
            <w:tcW w:w="3596" w:type="pct"/>
            <w:vAlign w:val="center"/>
          </w:tcPr>
          <w:p w14:paraId="7A098349">
            <w:pPr>
              <w:numPr>
                <w:ilvl w:val="0"/>
                <w:numId w:val="21"/>
              </w:numPr>
              <w:spacing w:line="240" w:lineRule="auto"/>
              <w:ind w:firstLine="0" w:firstLineChars="0"/>
              <w:jc w:val="left"/>
              <w:rPr>
                <w:color w:val="auto"/>
                <w:sz w:val="21"/>
                <w:szCs w:val="21"/>
                <w:highlight w:val="none"/>
              </w:rPr>
            </w:pPr>
            <w:r>
              <w:rPr>
                <w:color w:val="auto"/>
                <w:sz w:val="21"/>
                <w:szCs w:val="21"/>
                <w:highlight w:val="none"/>
              </w:rPr>
              <w:t>一般固体废物暂存在现有的一般固废暂存间，能回收的回收利用，不能回收利用的由中标公司（最近一次委托处理单位为钦州市鼎鑫再生资源回收利用有限公司）外运处理。</w:t>
            </w:r>
          </w:p>
          <w:p w14:paraId="59FE7EE1">
            <w:pPr>
              <w:numPr>
                <w:ilvl w:val="0"/>
                <w:numId w:val="21"/>
              </w:numPr>
              <w:spacing w:line="240" w:lineRule="auto"/>
              <w:ind w:firstLine="0" w:firstLineChars="0"/>
              <w:jc w:val="left"/>
              <w:rPr>
                <w:color w:val="auto"/>
                <w:sz w:val="21"/>
                <w:szCs w:val="21"/>
                <w:highlight w:val="none"/>
              </w:rPr>
            </w:pPr>
            <w:r>
              <w:rPr>
                <w:color w:val="auto"/>
                <w:sz w:val="21"/>
                <w:szCs w:val="21"/>
                <w:highlight w:val="none"/>
              </w:rPr>
              <w:t>危险废物采用专用容器收集后，分类暂存于厂区现有危废暂存间，定期由中标的有相应危废处理资质的单位（</w:t>
            </w:r>
            <w:r>
              <w:rPr>
                <w:rFonts w:hint="eastAsia"/>
                <w:color w:val="auto"/>
                <w:sz w:val="21"/>
                <w:szCs w:val="21"/>
                <w:highlight w:val="none"/>
              </w:rPr>
              <w:t>最近一次委托处理单位为广西深投环保科技有限公司，目前正在签订新的委托合同</w:t>
            </w:r>
            <w:r>
              <w:rPr>
                <w:color w:val="auto"/>
                <w:sz w:val="21"/>
                <w:szCs w:val="21"/>
                <w:highlight w:val="none"/>
              </w:rPr>
              <w:t>）外运处理；</w:t>
            </w:r>
          </w:p>
          <w:p w14:paraId="135670C2">
            <w:pPr>
              <w:numPr>
                <w:ilvl w:val="0"/>
                <w:numId w:val="21"/>
              </w:numPr>
              <w:spacing w:line="240" w:lineRule="auto"/>
              <w:ind w:firstLine="0" w:firstLineChars="0"/>
              <w:jc w:val="left"/>
              <w:rPr>
                <w:color w:val="auto"/>
                <w:sz w:val="21"/>
                <w:szCs w:val="21"/>
                <w:highlight w:val="none"/>
              </w:rPr>
            </w:pPr>
            <w:r>
              <w:rPr>
                <w:color w:val="auto"/>
                <w:sz w:val="21"/>
                <w:szCs w:val="21"/>
                <w:highlight w:val="none"/>
              </w:rPr>
              <w:t>生活垃圾：垃圾收集</w:t>
            </w:r>
            <w:r>
              <w:rPr>
                <w:rFonts w:hint="eastAsia"/>
                <w:color w:val="auto"/>
                <w:sz w:val="21"/>
                <w:szCs w:val="21"/>
                <w:highlight w:val="none"/>
                <w:lang w:eastAsia="zh-CN"/>
              </w:rPr>
              <w:t>桶</w:t>
            </w:r>
            <w:r>
              <w:rPr>
                <w:color w:val="auto"/>
                <w:sz w:val="21"/>
                <w:szCs w:val="21"/>
                <w:highlight w:val="none"/>
              </w:rPr>
              <w:t>收集后交由环卫部门清理；部分为国外船舶生活垃圾，属特殊固废，经海事、港监部门消毒灭活处理检验后按一般固废处置要求处置。</w:t>
            </w:r>
          </w:p>
        </w:tc>
        <w:tc>
          <w:tcPr>
            <w:tcW w:w="387" w:type="pct"/>
            <w:vMerge w:val="continue"/>
            <w:vAlign w:val="center"/>
          </w:tcPr>
          <w:p w14:paraId="76306EFB">
            <w:pPr>
              <w:spacing w:line="240" w:lineRule="auto"/>
              <w:ind w:firstLine="0" w:firstLineChars="0"/>
              <w:jc w:val="center"/>
              <w:rPr>
                <w:color w:val="auto"/>
                <w:sz w:val="21"/>
                <w:szCs w:val="21"/>
                <w:highlight w:val="none"/>
              </w:rPr>
            </w:pPr>
          </w:p>
        </w:tc>
      </w:tr>
      <w:tr w14:paraId="004B01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90" w:type="pct"/>
            <w:vAlign w:val="center"/>
          </w:tcPr>
          <w:p w14:paraId="1E6DD5B3">
            <w:pPr>
              <w:spacing w:line="240" w:lineRule="auto"/>
              <w:ind w:firstLine="0" w:firstLineChars="0"/>
              <w:jc w:val="center"/>
              <w:rPr>
                <w:color w:val="auto"/>
                <w:sz w:val="21"/>
                <w:szCs w:val="21"/>
                <w:highlight w:val="none"/>
              </w:rPr>
            </w:pPr>
            <w:r>
              <w:rPr>
                <w:color w:val="auto"/>
                <w:sz w:val="21"/>
                <w:szCs w:val="21"/>
                <w:highlight w:val="none"/>
              </w:rPr>
              <w:t>7</w:t>
            </w:r>
          </w:p>
        </w:tc>
        <w:tc>
          <w:tcPr>
            <w:tcW w:w="625" w:type="pct"/>
            <w:vAlign w:val="center"/>
          </w:tcPr>
          <w:p w14:paraId="76ABE660">
            <w:pPr>
              <w:spacing w:line="240" w:lineRule="auto"/>
              <w:ind w:firstLine="0" w:firstLineChars="0"/>
              <w:jc w:val="center"/>
              <w:rPr>
                <w:color w:val="auto"/>
                <w:sz w:val="21"/>
                <w:szCs w:val="21"/>
                <w:highlight w:val="none"/>
              </w:rPr>
            </w:pPr>
            <w:r>
              <w:rPr>
                <w:color w:val="auto"/>
                <w:sz w:val="21"/>
                <w:szCs w:val="21"/>
                <w:highlight w:val="none"/>
              </w:rPr>
              <w:t>事故污染</w:t>
            </w:r>
          </w:p>
        </w:tc>
        <w:tc>
          <w:tcPr>
            <w:tcW w:w="3596" w:type="pct"/>
            <w:vAlign w:val="center"/>
          </w:tcPr>
          <w:p w14:paraId="3BB1F37A">
            <w:pPr>
              <w:spacing w:line="240" w:lineRule="auto"/>
              <w:ind w:firstLine="0" w:firstLineChars="0"/>
              <w:jc w:val="left"/>
              <w:rPr>
                <w:color w:val="auto"/>
                <w:sz w:val="21"/>
                <w:szCs w:val="21"/>
                <w:highlight w:val="none"/>
              </w:rPr>
            </w:pPr>
            <w:r>
              <w:rPr>
                <w:color w:val="auto"/>
                <w:sz w:val="21"/>
                <w:szCs w:val="21"/>
                <w:highlight w:val="none"/>
              </w:rPr>
              <w:t>1.平时做好应急准备，制定应急预案；</w:t>
            </w:r>
          </w:p>
          <w:p w14:paraId="34D659E0">
            <w:pPr>
              <w:spacing w:line="240" w:lineRule="auto"/>
              <w:ind w:firstLine="0" w:firstLineChars="0"/>
              <w:jc w:val="left"/>
              <w:rPr>
                <w:color w:val="auto"/>
                <w:sz w:val="21"/>
                <w:szCs w:val="21"/>
                <w:highlight w:val="none"/>
              </w:rPr>
            </w:pPr>
            <w:r>
              <w:rPr>
                <w:color w:val="auto"/>
                <w:sz w:val="21"/>
                <w:szCs w:val="21"/>
                <w:highlight w:val="none"/>
              </w:rPr>
              <w:t>2.事故发生后，根据具体情况进行监测，并对污染进行追踪调查。</w:t>
            </w:r>
          </w:p>
        </w:tc>
        <w:tc>
          <w:tcPr>
            <w:tcW w:w="387" w:type="pct"/>
            <w:vMerge w:val="continue"/>
            <w:vAlign w:val="center"/>
          </w:tcPr>
          <w:p w14:paraId="1E42B5F4">
            <w:pPr>
              <w:spacing w:line="240" w:lineRule="auto"/>
              <w:ind w:firstLine="0" w:firstLineChars="0"/>
              <w:jc w:val="center"/>
              <w:rPr>
                <w:color w:val="auto"/>
                <w:sz w:val="21"/>
                <w:szCs w:val="21"/>
                <w:highlight w:val="none"/>
              </w:rPr>
            </w:pPr>
          </w:p>
        </w:tc>
      </w:tr>
      <w:tr w14:paraId="63CC138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90" w:type="pct"/>
            <w:vAlign w:val="center"/>
          </w:tcPr>
          <w:p w14:paraId="58806809">
            <w:pPr>
              <w:spacing w:line="240" w:lineRule="auto"/>
              <w:ind w:firstLine="0" w:firstLineChars="0"/>
              <w:jc w:val="center"/>
              <w:rPr>
                <w:color w:val="auto"/>
                <w:sz w:val="21"/>
                <w:szCs w:val="21"/>
                <w:highlight w:val="none"/>
              </w:rPr>
            </w:pPr>
            <w:r>
              <w:rPr>
                <w:color w:val="auto"/>
                <w:sz w:val="21"/>
                <w:szCs w:val="21"/>
                <w:highlight w:val="none"/>
              </w:rPr>
              <w:t>8</w:t>
            </w:r>
          </w:p>
        </w:tc>
        <w:tc>
          <w:tcPr>
            <w:tcW w:w="625" w:type="pct"/>
            <w:vAlign w:val="center"/>
          </w:tcPr>
          <w:p w14:paraId="512408E5">
            <w:pPr>
              <w:spacing w:line="240" w:lineRule="auto"/>
              <w:ind w:firstLine="0" w:firstLineChars="0"/>
              <w:jc w:val="center"/>
              <w:rPr>
                <w:color w:val="auto"/>
                <w:sz w:val="21"/>
                <w:szCs w:val="21"/>
                <w:highlight w:val="none"/>
              </w:rPr>
            </w:pPr>
            <w:r>
              <w:rPr>
                <w:color w:val="auto"/>
                <w:sz w:val="21"/>
                <w:szCs w:val="21"/>
                <w:highlight w:val="none"/>
              </w:rPr>
              <w:t>环境监测</w:t>
            </w:r>
          </w:p>
        </w:tc>
        <w:tc>
          <w:tcPr>
            <w:tcW w:w="3596" w:type="pct"/>
            <w:vAlign w:val="center"/>
          </w:tcPr>
          <w:p w14:paraId="6E76296E">
            <w:pPr>
              <w:spacing w:line="240" w:lineRule="auto"/>
              <w:ind w:firstLine="0" w:firstLineChars="0"/>
              <w:jc w:val="left"/>
              <w:rPr>
                <w:color w:val="auto"/>
                <w:sz w:val="21"/>
                <w:szCs w:val="21"/>
                <w:highlight w:val="none"/>
              </w:rPr>
            </w:pPr>
            <w:r>
              <w:rPr>
                <w:color w:val="auto"/>
                <w:sz w:val="21"/>
                <w:szCs w:val="21"/>
                <w:highlight w:val="none"/>
              </w:rPr>
              <w:t>按照环境监测技术规范和国家</w:t>
            </w:r>
            <w:r>
              <w:rPr>
                <w:rFonts w:hint="eastAsia"/>
                <w:color w:val="auto"/>
                <w:sz w:val="21"/>
                <w:szCs w:val="21"/>
                <w:highlight w:val="none"/>
                <w:lang w:eastAsia="zh-CN"/>
              </w:rPr>
              <w:t>环境部</w:t>
            </w:r>
            <w:r>
              <w:rPr>
                <w:color w:val="auto"/>
                <w:sz w:val="21"/>
                <w:szCs w:val="21"/>
                <w:highlight w:val="none"/>
              </w:rPr>
              <w:t>颁布的相关标</w:t>
            </w:r>
            <w:r>
              <w:rPr>
                <w:rFonts w:hint="eastAsia"/>
                <w:color w:val="auto"/>
                <w:sz w:val="21"/>
                <w:szCs w:val="21"/>
                <w:highlight w:val="none"/>
                <w:lang w:eastAsia="zh-CN"/>
              </w:rPr>
              <w:t>准和</w:t>
            </w:r>
            <w:r>
              <w:rPr>
                <w:color w:val="auto"/>
                <w:sz w:val="21"/>
                <w:szCs w:val="21"/>
                <w:highlight w:val="none"/>
              </w:rPr>
              <w:t>法律及规范，严格执行环境监测。</w:t>
            </w:r>
          </w:p>
        </w:tc>
        <w:tc>
          <w:tcPr>
            <w:tcW w:w="387" w:type="pct"/>
            <w:vMerge w:val="continue"/>
            <w:vAlign w:val="center"/>
          </w:tcPr>
          <w:p w14:paraId="462064E9">
            <w:pPr>
              <w:spacing w:line="240" w:lineRule="auto"/>
              <w:ind w:firstLine="0" w:firstLineChars="0"/>
              <w:jc w:val="center"/>
              <w:rPr>
                <w:color w:val="auto"/>
                <w:sz w:val="21"/>
                <w:szCs w:val="21"/>
                <w:highlight w:val="none"/>
              </w:rPr>
            </w:pPr>
          </w:p>
        </w:tc>
      </w:tr>
      <w:tr w14:paraId="4531DEA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90" w:type="pct"/>
            <w:vAlign w:val="center"/>
          </w:tcPr>
          <w:p w14:paraId="27166742">
            <w:pPr>
              <w:spacing w:line="240" w:lineRule="auto"/>
              <w:ind w:firstLine="0" w:firstLineChars="0"/>
              <w:jc w:val="center"/>
              <w:rPr>
                <w:color w:val="auto"/>
                <w:sz w:val="21"/>
                <w:szCs w:val="21"/>
                <w:highlight w:val="none"/>
              </w:rPr>
            </w:pPr>
            <w:r>
              <w:rPr>
                <w:color w:val="auto"/>
                <w:sz w:val="21"/>
                <w:szCs w:val="21"/>
                <w:highlight w:val="none"/>
              </w:rPr>
              <w:t>9</w:t>
            </w:r>
          </w:p>
        </w:tc>
        <w:tc>
          <w:tcPr>
            <w:tcW w:w="625" w:type="pct"/>
            <w:vAlign w:val="center"/>
          </w:tcPr>
          <w:p w14:paraId="21840574">
            <w:pPr>
              <w:spacing w:line="240" w:lineRule="auto"/>
              <w:ind w:firstLine="0" w:firstLineChars="0"/>
              <w:jc w:val="center"/>
              <w:rPr>
                <w:color w:val="auto"/>
                <w:sz w:val="21"/>
                <w:szCs w:val="21"/>
                <w:highlight w:val="none"/>
              </w:rPr>
            </w:pPr>
            <w:r>
              <w:rPr>
                <w:color w:val="auto"/>
                <w:sz w:val="21"/>
                <w:szCs w:val="21"/>
                <w:highlight w:val="none"/>
              </w:rPr>
              <w:t>风险防范</w:t>
            </w:r>
          </w:p>
          <w:p w14:paraId="60D1E8A3">
            <w:pPr>
              <w:spacing w:line="240" w:lineRule="auto"/>
              <w:ind w:firstLine="0" w:firstLineChars="0"/>
              <w:jc w:val="center"/>
              <w:rPr>
                <w:color w:val="auto"/>
                <w:sz w:val="21"/>
                <w:szCs w:val="21"/>
                <w:highlight w:val="none"/>
              </w:rPr>
            </w:pPr>
            <w:r>
              <w:rPr>
                <w:color w:val="auto"/>
                <w:sz w:val="21"/>
                <w:szCs w:val="21"/>
                <w:highlight w:val="none"/>
              </w:rPr>
              <w:t>措施</w:t>
            </w:r>
          </w:p>
        </w:tc>
        <w:tc>
          <w:tcPr>
            <w:tcW w:w="3596" w:type="pct"/>
            <w:vAlign w:val="center"/>
          </w:tcPr>
          <w:p w14:paraId="6FD6A993">
            <w:pPr>
              <w:spacing w:line="240" w:lineRule="auto"/>
              <w:ind w:firstLine="0" w:firstLineChars="0"/>
              <w:jc w:val="left"/>
              <w:rPr>
                <w:color w:val="auto"/>
                <w:sz w:val="21"/>
                <w:szCs w:val="21"/>
                <w:highlight w:val="none"/>
              </w:rPr>
            </w:pPr>
            <w:r>
              <w:rPr>
                <w:color w:val="auto"/>
                <w:sz w:val="21"/>
                <w:szCs w:val="21"/>
                <w:highlight w:val="none"/>
              </w:rPr>
              <w:t>①制定严格的船舶运输管理规章制度，合理安排货物运输调度。</w:t>
            </w:r>
          </w:p>
          <w:p w14:paraId="19346FFB">
            <w:pPr>
              <w:spacing w:line="240" w:lineRule="auto"/>
              <w:ind w:firstLine="0" w:firstLineChars="0"/>
              <w:jc w:val="left"/>
              <w:rPr>
                <w:color w:val="auto"/>
                <w:sz w:val="21"/>
                <w:szCs w:val="21"/>
                <w:highlight w:val="none"/>
              </w:rPr>
            </w:pPr>
            <w:r>
              <w:rPr>
                <w:color w:val="auto"/>
                <w:sz w:val="21"/>
                <w:szCs w:val="21"/>
                <w:highlight w:val="none"/>
              </w:rPr>
              <w:t>②按《港口码头水上污染事故应急防备能力要求》（JT/T451-2017）配备应急设备。</w:t>
            </w:r>
          </w:p>
        </w:tc>
        <w:tc>
          <w:tcPr>
            <w:tcW w:w="387" w:type="pct"/>
            <w:vAlign w:val="center"/>
          </w:tcPr>
          <w:p w14:paraId="0BB8A22A">
            <w:pPr>
              <w:spacing w:line="240" w:lineRule="auto"/>
              <w:ind w:firstLine="0" w:firstLineChars="0"/>
              <w:jc w:val="center"/>
              <w:rPr>
                <w:color w:val="auto"/>
                <w:sz w:val="21"/>
                <w:szCs w:val="21"/>
                <w:highlight w:val="none"/>
              </w:rPr>
            </w:pPr>
            <w:r>
              <w:rPr>
                <w:color w:val="auto"/>
                <w:sz w:val="21"/>
                <w:szCs w:val="21"/>
                <w:highlight w:val="none"/>
              </w:rPr>
              <w:t>运营机构</w:t>
            </w:r>
          </w:p>
        </w:tc>
      </w:tr>
    </w:tbl>
    <w:p w14:paraId="25378BC1">
      <w:pPr>
        <w:ind w:firstLine="0" w:firstLineChars="0"/>
        <w:rPr>
          <w:color w:val="auto"/>
          <w:highlight w:val="none"/>
        </w:rPr>
      </w:pPr>
      <w:bookmarkStart w:id="294" w:name="_Toc15940"/>
      <w:bookmarkStart w:id="295" w:name="_Toc27016"/>
    </w:p>
    <w:p w14:paraId="5EF931D8">
      <w:pPr>
        <w:pStyle w:val="6"/>
        <w:numPr>
          <w:ilvl w:val="1"/>
          <w:numId w:val="9"/>
        </w:numPr>
        <w:rPr>
          <w:color w:val="auto"/>
          <w:sz w:val="32"/>
          <w:szCs w:val="32"/>
          <w:highlight w:val="none"/>
        </w:rPr>
      </w:pPr>
      <w:r>
        <w:rPr>
          <w:color w:val="auto"/>
          <w:sz w:val="32"/>
          <w:szCs w:val="32"/>
          <w:highlight w:val="none"/>
        </w:rPr>
        <w:t>排污管理要求</w:t>
      </w:r>
      <w:bookmarkEnd w:id="294"/>
      <w:bookmarkEnd w:id="295"/>
    </w:p>
    <w:p w14:paraId="18FA174B">
      <w:pPr>
        <w:pStyle w:val="7"/>
        <w:numPr>
          <w:ilvl w:val="2"/>
          <w:numId w:val="9"/>
        </w:numPr>
        <w:rPr>
          <w:color w:val="auto"/>
          <w:sz w:val="28"/>
          <w:highlight w:val="none"/>
        </w:rPr>
      </w:pPr>
      <w:r>
        <w:rPr>
          <w:color w:val="auto"/>
          <w:sz w:val="28"/>
          <w:highlight w:val="none"/>
        </w:rPr>
        <w:t>污染物排放清单</w:t>
      </w:r>
    </w:p>
    <w:p w14:paraId="4D5C5A55">
      <w:pPr>
        <w:widowControl/>
        <w:ind w:firstLine="480"/>
        <w:rPr>
          <w:rFonts w:eastAsiaTheme="minorEastAsia"/>
          <w:color w:val="auto"/>
          <w:highlight w:val="none"/>
        </w:rPr>
      </w:pPr>
      <w:r>
        <w:rPr>
          <w:color w:val="auto"/>
          <w:highlight w:val="none"/>
        </w:rPr>
        <w:t>根据项目工程分析，项目主要的污染物产生及排放清单见表7.2-1。</w:t>
      </w:r>
    </w:p>
    <w:p w14:paraId="6B0250A8">
      <w:pPr>
        <w:ind w:firstLine="480"/>
        <w:rPr>
          <w:color w:val="auto"/>
          <w:highlight w:val="none"/>
        </w:rPr>
        <w:sectPr>
          <w:pgSz w:w="11906" w:h="16838"/>
          <w:pgMar w:top="1559" w:right="1418" w:bottom="1503" w:left="1418" w:header="851" w:footer="964" w:gutter="0"/>
          <w:cols w:space="720" w:num="1"/>
          <w:docGrid w:linePitch="326" w:charSpace="0"/>
        </w:sectPr>
      </w:pPr>
    </w:p>
    <w:p w14:paraId="52DD3ECE">
      <w:pPr>
        <w:spacing w:line="240" w:lineRule="auto"/>
        <w:ind w:firstLine="0" w:firstLineChars="0"/>
        <w:jc w:val="center"/>
        <w:rPr>
          <w:b/>
          <w:color w:val="auto"/>
          <w:sz w:val="21"/>
          <w:szCs w:val="21"/>
          <w:highlight w:val="none"/>
        </w:rPr>
      </w:pPr>
      <w:r>
        <w:rPr>
          <w:b/>
          <w:color w:val="auto"/>
          <w:sz w:val="21"/>
          <w:szCs w:val="21"/>
          <w:highlight w:val="none"/>
        </w:rPr>
        <w:t>表7.2-1  项目污染物排放清单一览表</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36"/>
        <w:gridCol w:w="1215"/>
        <w:gridCol w:w="1955"/>
        <w:gridCol w:w="1035"/>
        <w:gridCol w:w="1077"/>
        <w:gridCol w:w="5647"/>
        <w:gridCol w:w="2419"/>
      </w:tblGrid>
      <w:tr w14:paraId="4453C0E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227" w:type="pct"/>
            <w:vAlign w:val="center"/>
          </w:tcPr>
          <w:p w14:paraId="0CBF55C2">
            <w:pPr>
              <w:spacing w:line="240" w:lineRule="auto"/>
              <w:ind w:firstLine="0" w:firstLineChars="0"/>
              <w:jc w:val="center"/>
              <w:rPr>
                <w:b/>
                <w:color w:val="auto"/>
                <w:sz w:val="21"/>
                <w:szCs w:val="21"/>
                <w:highlight w:val="none"/>
              </w:rPr>
            </w:pPr>
            <w:r>
              <w:rPr>
                <w:b/>
                <w:color w:val="auto"/>
                <w:sz w:val="21"/>
                <w:szCs w:val="21"/>
                <w:highlight w:val="none"/>
              </w:rPr>
              <w:t>种类</w:t>
            </w:r>
          </w:p>
        </w:tc>
        <w:tc>
          <w:tcPr>
            <w:tcW w:w="434" w:type="pct"/>
            <w:vAlign w:val="center"/>
          </w:tcPr>
          <w:p w14:paraId="23499CB0">
            <w:pPr>
              <w:spacing w:line="240" w:lineRule="auto"/>
              <w:ind w:firstLine="0" w:firstLineChars="0"/>
              <w:jc w:val="center"/>
              <w:rPr>
                <w:b/>
                <w:color w:val="auto"/>
                <w:sz w:val="21"/>
                <w:szCs w:val="21"/>
                <w:highlight w:val="none"/>
              </w:rPr>
            </w:pPr>
            <w:r>
              <w:rPr>
                <w:b/>
                <w:color w:val="auto"/>
                <w:sz w:val="21"/>
                <w:szCs w:val="21"/>
                <w:highlight w:val="none"/>
              </w:rPr>
              <w:t>污染源位置</w:t>
            </w:r>
          </w:p>
        </w:tc>
        <w:tc>
          <w:tcPr>
            <w:tcW w:w="699" w:type="pct"/>
            <w:vAlign w:val="center"/>
          </w:tcPr>
          <w:p w14:paraId="5A0CE207">
            <w:pPr>
              <w:spacing w:line="240" w:lineRule="auto"/>
              <w:ind w:firstLine="0" w:firstLineChars="0"/>
              <w:jc w:val="center"/>
              <w:rPr>
                <w:b/>
                <w:color w:val="auto"/>
                <w:sz w:val="21"/>
                <w:szCs w:val="21"/>
                <w:highlight w:val="none"/>
              </w:rPr>
            </w:pPr>
            <w:r>
              <w:rPr>
                <w:b/>
                <w:color w:val="auto"/>
                <w:sz w:val="21"/>
                <w:szCs w:val="21"/>
                <w:highlight w:val="none"/>
              </w:rPr>
              <w:t>污染物</w:t>
            </w:r>
          </w:p>
        </w:tc>
        <w:tc>
          <w:tcPr>
            <w:tcW w:w="370" w:type="pct"/>
            <w:vAlign w:val="center"/>
          </w:tcPr>
          <w:p w14:paraId="3B481B6F">
            <w:pPr>
              <w:spacing w:line="240" w:lineRule="auto"/>
              <w:ind w:firstLine="0" w:firstLineChars="0"/>
              <w:jc w:val="center"/>
              <w:rPr>
                <w:b/>
                <w:color w:val="auto"/>
                <w:sz w:val="21"/>
                <w:szCs w:val="21"/>
                <w:highlight w:val="none"/>
              </w:rPr>
            </w:pPr>
            <w:r>
              <w:rPr>
                <w:b/>
                <w:color w:val="auto"/>
                <w:sz w:val="21"/>
                <w:szCs w:val="21"/>
                <w:highlight w:val="none"/>
              </w:rPr>
              <w:t>产生量（t/a）</w:t>
            </w:r>
          </w:p>
        </w:tc>
        <w:tc>
          <w:tcPr>
            <w:tcW w:w="385" w:type="pct"/>
            <w:vAlign w:val="center"/>
          </w:tcPr>
          <w:p w14:paraId="58513296">
            <w:pPr>
              <w:spacing w:line="240" w:lineRule="auto"/>
              <w:ind w:firstLine="0" w:firstLineChars="0"/>
              <w:jc w:val="center"/>
              <w:rPr>
                <w:b/>
                <w:color w:val="auto"/>
                <w:sz w:val="21"/>
                <w:szCs w:val="21"/>
                <w:highlight w:val="none"/>
              </w:rPr>
            </w:pPr>
            <w:r>
              <w:rPr>
                <w:b/>
                <w:color w:val="auto"/>
                <w:sz w:val="21"/>
                <w:szCs w:val="21"/>
                <w:highlight w:val="none"/>
              </w:rPr>
              <w:t>排放量（t/a）</w:t>
            </w:r>
          </w:p>
        </w:tc>
        <w:tc>
          <w:tcPr>
            <w:tcW w:w="2019" w:type="pct"/>
            <w:vAlign w:val="center"/>
          </w:tcPr>
          <w:p w14:paraId="3E0E8659">
            <w:pPr>
              <w:spacing w:line="240" w:lineRule="auto"/>
              <w:ind w:firstLine="0" w:firstLineChars="0"/>
              <w:jc w:val="center"/>
              <w:rPr>
                <w:b/>
                <w:color w:val="auto"/>
                <w:sz w:val="21"/>
                <w:szCs w:val="21"/>
                <w:highlight w:val="none"/>
              </w:rPr>
            </w:pPr>
            <w:r>
              <w:rPr>
                <w:b/>
                <w:color w:val="auto"/>
                <w:sz w:val="21"/>
                <w:szCs w:val="21"/>
                <w:highlight w:val="none"/>
              </w:rPr>
              <w:t>处理措施</w:t>
            </w:r>
          </w:p>
        </w:tc>
        <w:tc>
          <w:tcPr>
            <w:tcW w:w="865" w:type="pct"/>
            <w:vAlign w:val="center"/>
          </w:tcPr>
          <w:p w14:paraId="4E44E6B6">
            <w:pPr>
              <w:spacing w:line="240" w:lineRule="auto"/>
              <w:ind w:firstLine="0" w:firstLineChars="0"/>
              <w:jc w:val="center"/>
              <w:rPr>
                <w:b/>
                <w:color w:val="auto"/>
                <w:sz w:val="21"/>
                <w:szCs w:val="21"/>
                <w:highlight w:val="none"/>
              </w:rPr>
            </w:pPr>
            <w:r>
              <w:rPr>
                <w:b/>
                <w:color w:val="auto"/>
                <w:sz w:val="21"/>
                <w:szCs w:val="21"/>
                <w:highlight w:val="none"/>
              </w:rPr>
              <w:t>排放标准</w:t>
            </w:r>
          </w:p>
        </w:tc>
      </w:tr>
      <w:tr w14:paraId="28C3D19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7" w:type="pct"/>
            <w:vMerge w:val="restart"/>
            <w:vAlign w:val="center"/>
          </w:tcPr>
          <w:p w14:paraId="5C1CA0F4">
            <w:pPr>
              <w:spacing w:line="240" w:lineRule="auto"/>
              <w:ind w:firstLine="0" w:firstLineChars="0"/>
              <w:jc w:val="center"/>
              <w:rPr>
                <w:bCs/>
                <w:color w:val="auto"/>
                <w:sz w:val="21"/>
                <w:szCs w:val="21"/>
                <w:highlight w:val="none"/>
              </w:rPr>
            </w:pPr>
            <w:r>
              <w:rPr>
                <w:bCs/>
                <w:color w:val="auto"/>
                <w:sz w:val="21"/>
                <w:szCs w:val="21"/>
                <w:highlight w:val="none"/>
              </w:rPr>
              <w:t>废气</w:t>
            </w:r>
          </w:p>
        </w:tc>
        <w:tc>
          <w:tcPr>
            <w:tcW w:w="434" w:type="pct"/>
            <w:vAlign w:val="center"/>
          </w:tcPr>
          <w:p w14:paraId="5157A993">
            <w:pPr>
              <w:spacing w:line="240" w:lineRule="auto"/>
              <w:ind w:firstLine="0" w:firstLineChars="0"/>
              <w:jc w:val="center"/>
              <w:rPr>
                <w:bCs/>
                <w:color w:val="auto"/>
                <w:sz w:val="21"/>
                <w:szCs w:val="21"/>
                <w:highlight w:val="none"/>
              </w:rPr>
            </w:pPr>
            <w:r>
              <w:rPr>
                <w:bCs/>
                <w:color w:val="auto"/>
                <w:kern w:val="24"/>
                <w:sz w:val="21"/>
                <w:szCs w:val="21"/>
                <w:highlight w:val="none"/>
              </w:rPr>
              <w:t>除锈粉尘</w:t>
            </w:r>
          </w:p>
        </w:tc>
        <w:tc>
          <w:tcPr>
            <w:tcW w:w="699" w:type="pct"/>
            <w:vAlign w:val="center"/>
          </w:tcPr>
          <w:p w14:paraId="2B114CB0">
            <w:pPr>
              <w:spacing w:line="240" w:lineRule="auto"/>
              <w:ind w:firstLine="0" w:firstLineChars="0"/>
              <w:jc w:val="center"/>
              <w:rPr>
                <w:bCs/>
                <w:color w:val="auto"/>
                <w:sz w:val="21"/>
                <w:szCs w:val="21"/>
                <w:highlight w:val="none"/>
              </w:rPr>
            </w:pPr>
            <w:r>
              <w:rPr>
                <w:bCs/>
                <w:color w:val="auto"/>
                <w:sz w:val="21"/>
                <w:szCs w:val="21"/>
                <w:highlight w:val="none"/>
              </w:rPr>
              <w:t>TSP</w:t>
            </w:r>
          </w:p>
        </w:tc>
        <w:tc>
          <w:tcPr>
            <w:tcW w:w="370" w:type="pct"/>
            <w:vAlign w:val="center"/>
          </w:tcPr>
          <w:p w14:paraId="51B7BF13">
            <w:pPr>
              <w:spacing w:line="240" w:lineRule="auto"/>
              <w:ind w:firstLine="0" w:firstLineChars="0"/>
              <w:jc w:val="center"/>
              <w:rPr>
                <w:color w:val="auto"/>
                <w:sz w:val="21"/>
                <w:szCs w:val="21"/>
                <w:highlight w:val="none"/>
              </w:rPr>
            </w:pPr>
            <w:r>
              <w:rPr>
                <w:color w:val="auto"/>
                <w:sz w:val="21"/>
                <w:szCs w:val="21"/>
                <w:highlight w:val="none"/>
              </w:rPr>
              <w:t>3.72</w:t>
            </w:r>
          </w:p>
        </w:tc>
        <w:tc>
          <w:tcPr>
            <w:tcW w:w="385" w:type="pct"/>
            <w:vAlign w:val="center"/>
          </w:tcPr>
          <w:p w14:paraId="112A0C27">
            <w:pPr>
              <w:spacing w:line="240" w:lineRule="auto"/>
              <w:ind w:firstLine="0" w:firstLineChars="0"/>
              <w:jc w:val="center"/>
              <w:rPr>
                <w:color w:val="auto"/>
                <w:sz w:val="21"/>
                <w:szCs w:val="21"/>
                <w:highlight w:val="none"/>
              </w:rPr>
            </w:pPr>
            <w:r>
              <w:rPr>
                <w:color w:val="auto"/>
                <w:sz w:val="21"/>
                <w:szCs w:val="21"/>
                <w:highlight w:val="none"/>
              </w:rPr>
              <w:t>3.72</w:t>
            </w:r>
          </w:p>
        </w:tc>
        <w:tc>
          <w:tcPr>
            <w:tcW w:w="2019" w:type="pct"/>
            <w:vMerge w:val="restart"/>
            <w:vAlign w:val="center"/>
          </w:tcPr>
          <w:p w14:paraId="1520FC40">
            <w:pPr>
              <w:spacing w:line="240" w:lineRule="auto"/>
              <w:ind w:firstLine="0" w:firstLineChars="0"/>
              <w:jc w:val="center"/>
              <w:rPr>
                <w:color w:val="auto"/>
                <w:sz w:val="21"/>
                <w:szCs w:val="21"/>
                <w:highlight w:val="none"/>
              </w:rPr>
            </w:pPr>
            <w:r>
              <w:rPr>
                <w:rFonts w:hint="eastAsia" w:ascii="宋体" w:hAnsi="宋体" w:cs="宋体"/>
                <w:color w:val="auto"/>
                <w:sz w:val="21"/>
                <w:szCs w:val="21"/>
                <w:highlight w:val="none"/>
              </w:rPr>
              <w:t>①</w:t>
            </w:r>
            <w:r>
              <w:rPr>
                <w:color w:val="auto"/>
                <w:sz w:val="21"/>
                <w:szCs w:val="21"/>
                <w:highlight w:val="none"/>
              </w:rPr>
              <w:t>焊接过程采用配有焊接烟尘净化装置的机器进行焊接</w:t>
            </w:r>
            <w:r>
              <w:rPr>
                <w:rFonts w:hint="eastAsia"/>
                <w:color w:val="auto"/>
                <w:sz w:val="21"/>
                <w:szCs w:val="21"/>
                <w:highlight w:val="none"/>
              </w:rPr>
              <w:t>；</w:t>
            </w:r>
          </w:p>
          <w:p w14:paraId="2D79F30D">
            <w:pPr>
              <w:spacing w:line="240" w:lineRule="auto"/>
              <w:ind w:firstLine="0" w:firstLineChars="0"/>
              <w:jc w:val="center"/>
              <w:rPr>
                <w:bCs/>
                <w:color w:val="auto"/>
                <w:sz w:val="21"/>
                <w:szCs w:val="21"/>
                <w:highlight w:val="none"/>
              </w:rPr>
            </w:pPr>
            <w:r>
              <w:rPr>
                <w:rFonts w:hint="eastAsia" w:ascii="宋体" w:hAnsi="宋体" w:cs="宋体"/>
                <w:color w:val="auto"/>
                <w:sz w:val="21"/>
                <w:szCs w:val="21"/>
                <w:highlight w:val="none"/>
              </w:rPr>
              <w:t>②船坞</w:t>
            </w:r>
            <w:r>
              <w:rPr>
                <w:color w:val="auto"/>
                <w:sz w:val="21"/>
                <w:szCs w:val="21"/>
                <w:highlight w:val="none"/>
              </w:rPr>
              <w:t>鼓风机通风无组织排放</w:t>
            </w:r>
          </w:p>
        </w:tc>
        <w:tc>
          <w:tcPr>
            <w:tcW w:w="865" w:type="pct"/>
            <w:vMerge w:val="restart"/>
            <w:vAlign w:val="center"/>
          </w:tcPr>
          <w:p w14:paraId="3A6DFE5C">
            <w:pPr>
              <w:spacing w:line="240" w:lineRule="auto"/>
              <w:ind w:firstLine="0" w:firstLineChars="0"/>
              <w:jc w:val="center"/>
              <w:rPr>
                <w:bCs/>
                <w:color w:val="auto"/>
                <w:sz w:val="21"/>
                <w:szCs w:val="21"/>
                <w:highlight w:val="none"/>
              </w:rPr>
            </w:pPr>
            <w:r>
              <w:rPr>
                <w:bCs/>
                <w:color w:val="auto"/>
                <w:sz w:val="21"/>
                <w:szCs w:val="21"/>
                <w:highlight w:val="none"/>
              </w:rPr>
              <w:t>《大气污染物综合排放标准》（GB16297-1996）新污染源大气污染物排放限值2中无组织排放浓度监控限值</w:t>
            </w:r>
          </w:p>
        </w:tc>
      </w:tr>
      <w:tr w14:paraId="49169A6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7" w:type="pct"/>
            <w:vMerge w:val="continue"/>
            <w:vAlign w:val="center"/>
          </w:tcPr>
          <w:p w14:paraId="7B4C29E0">
            <w:pPr>
              <w:spacing w:line="240" w:lineRule="auto"/>
              <w:ind w:firstLine="0" w:firstLineChars="0"/>
              <w:jc w:val="center"/>
              <w:rPr>
                <w:bCs/>
                <w:color w:val="auto"/>
                <w:sz w:val="21"/>
                <w:szCs w:val="21"/>
                <w:highlight w:val="none"/>
              </w:rPr>
            </w:pPr>
          </w:p>
        </w:tc>
        <w:tc>
          <w:tcPr>
            <w:tcW w:w="434" w:type="pct"/>
            <w:vAlign w:val="center"/>
          </w:tcPr>
          <w:p w14:paraId="33EF7408">
            <w:pPr>
              <w:spacing w:line="240" w:lineRule="auto"/>
              <w:ind w:firstLine="0" w:firstLineChars="0"/>
              <w:jc w:val="center"/>
              <w:rPr>
                <w:bCs/>
                <w:color w:val="auto"/>
                <w:kern w:val="24"/>
                <w:sz w:val="21"/>
                <w:szCs w:val="21"/>
                <w:highlight w:val="none"/>
              </w:rPr>
            </w:pPr>
            <w:r>
              <w:rPr>
                <w:bCs/>
                <w:color w:val="auto"/>
                <w:sz w:val="21"/>
                <w:szCs w:val="21"/>
                <w:highlight w:val="none"/>
              </w:rPr>
              <w:t>焊接烟尘</w:t>
            </w:r>
          </w:p>
        </w:tc>
        <w:tc>
          <w:tcPr>
            <w:tcW w:w="699" w:type="pct"/>
            <w:vAlign w:val="center"/>
          </w:tcPr>
          <w:p w14:paraId="044321EA">
            <w:pPr>
              <w:spacing w:line="240" w:lineRule="auto"/>
              <w:ind w:firstLine="0" w:firstLineChars="0"/>
              <w:jc w:val="center"/>
              <w:rPr>
                <w:bCs/>
                <w:color w:val="auto"/>
                <w:sz w:val="21"/>
                <w:szCs w:val="21"/>
                <w:highlight w:val="none"/>
              </w:rPr>
            </w:pPr>
            <w:r>
              <w:rPr>
                <w:bCs/>
                <w:color w:val="auto"/>
                <w:sz w:val="21"/>
                <w:szCs w:val="21"/>
                <w:highlight w:val="none"/>
              </w:rPr>
              <w:t>TSP</w:t>
            </w:r>
          </w:p>
        </w:tc>
        <w:tc>
          <w:tcPr>
            <w:tcW w:w="370" w:type="pct"/>
            <w:vAlign w:val="center"/>
          </w:tcPr>
          <w:p w14:paraId="1E78BAAB">
            <w:pPr>
              <w:spacing w:line="240" w:lineRule="auto"/>
              <w:ind w:firstLine="0" w:firstLineChars="0"/>
              <w:jc w:val="center"/>
              <w:rPr>
                <w:color w:val="auto"/>
                <w:sz w:val="21"/>
                <w:szCs w:val="21"/>
                <w:highlight w:val="none"/>
              </w:rPr>
            </w:pPr>
            <w:r>
              <w:rPr>
                <w:color w:val="auto"/>
                <w:sz w:val="21"/>
                <w:szCs w:val="21"/>
                <w:highlight w:val="none"/>
              </w:rPr>
              <w:t>0.</w:t>
            </w:r>
            <w:r>
              <w:rPr>
                <w:rFonts w:hint="eastAsia"/>
                <w:color w:val="auto"/>
                <w:sz w:val="21"/>
                <w:szCs w:val="21"/>
                <w:highlight w:val="none"/>
              </w:rPr>
              <w:t>36</w:t>
            </w:r>
          </w:p>
        </w:tc>
        <w:tc>
          <w:tcPr>
            <w:tcW w:w="385" w:type="pct"/>
            <w:vAlign w:val="center"/>
          </w:tcPr>
          <w:p w14:paraId="189DEF7D">
            <w:pPr>
              <w:spacing w:line="240" w:lineRule="auto"/>
              <w:ind w:firstLine="0" w:firstLineChars="0"/>
              <w:jc w:val="center"/>
              <w:rPr>
                <w:color w:val="auto"/>
                <w:sz w:val="21"/>
                <w:szCs w:val="21"/>
                <w:highlight w:val="none"/>
              </w:rPr>
            </w:pPr>
            <w:r>
              <w:rPr>
                <w:color w:val="auto"/>
                <w:sz w:val="21"/>
                <w:szCs w:val="21"/>
                <w:highlight w:val="none"/>
              </w:rPr>
              <w:t>0.</w:t>
            </w:r>
            <w:r>
              <w:rPr>
                <w:rFonts w:hint="eastAsia"/>
                <w:color w:val="auto"/>
                <w:sz w:val="21"/>
                <w:szCs w:val="21"/>
                <w:highlight w:val="none"/>
              </w:rPr>
              <w:t>072</w:t>
            </w:r>
          </w:p>
        </w:tc>
        <w:tc>
          <w:tcPr>
            <w:tcW w:w="2019" w:type="pct"/>
            <w:vMerge w:val="continue"/>
            <w:vAlign w:val="center"/>
          </w:tcPr>
          <w:p w14:paraId="7DF95F2E">
            <w:pPr>
              <w:spacing w:line="240" w:lineRule="auto"/>
              <w:ind w:firstLine="0" w:firstLineChars="0"/>
              <w:jc w:val="center"/>
              <w:rPr>
                <w:bCs/>
                <w:color w:val="auto"/>
                <w:sz w:val="21"/>
                <w:szCs w:val="21"/>
                <w:highlight w:val="none"/>
              </w:rPr>
            </w:pPr>
          </w:p>
        </w:tc>
        <w:tc>
          <w:tcPr>
            <w:tcW w:w="865" w:type="pct"/>
            <w:vMerge w:val="continue"/>
            <w:vAlign w:val="center"/>
          </w:tcPr>
          <w:p w14:paraId="62C56092">
            <w:pPr>
              <w:spacing w:line="240" w:lineRule="auto"/>
              <w:ind w:firstLine="0" w:firstLineChars="0"/>
              <w:jc w:val="center"/>
              <w:rPr>
                <w:bCs/>
                <w:color w:val="auto"/>
                <w:sz w:val="21"/>
                <w:szCs w:val="21"/>
                <w:highlight w:val="none"/>
              </w:rPr>
            </w:pPr>
          </w:p>
        </w:tc>
      </w:tr>
      <w:tr w14:paraId="6FDDE76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7" w:type="pct"/>
            <w:vMerge w:val="continue"/>
            <w:vAlign w:val="center"/>
          </w:tcPr>
          <w:p w14:paraId="032F3C31">
            <w:pPr>
              <w:spacing w:line="240" w:lineRule="auto"/>
              <w:ind w:firstLine="0" w:firstLineChars="0"/>
              <w:jc w:val="center"/>
              <w:rPr>
                <w:bCs/>
                <w:color w:val="auto"/>
                <w:sz w:val="21"/>
                <w:szCs w:val="21"/>
                <w:highlight w:val="none"/>
              </w:rPr>
            </w:pPr>
          </w:p>
        </w:tc>
        <w:tc>
          <w:tcPr>
            <w:tcW w:w="434" w:type="pct"/>
            <w:vAlign w:val="center"/>
          </w:tcPr>
          <w:p w14:paraId="4624C931">
            <w:pPr>
              <w:spacing w:line="240" w:lineRule="auto"/>
              <w:ind w:firstLine="0" w:firstLineChars="0"/>
              <w:jc w:val="center"/>
              <w:rPr>
                <w:bCs/>
                <w:color w:val="auto"/>
                <w:sz w:val="21"/>
                <w:szCs w:val="21"/>
                <w:highlight w:val="none"/>
              </w:rPr>
            </w:pPr>
            <w:r>
              <w:rPr>
                <w:bCs/>
                <w:color w:val="auto"/>
                <w:sz w:val="21"/>
                <w:szCs w:val="21"/>
                <w:highlight w:val="none"/>
              </w:rPr>
              <w:t>切割粉尘</w:t>
            </w:r>
          </w:p>
        </w:tc>
        <w:tc>
          <w:tcPr>
            <w:tcW w:w="699" w:type="pct"/>
            <w:vAlign w:val="center"/>
          </w:tcPr>
          <w:p w14:paraId="0C4728C9">
            <w:pPr>
              <w:spacing w:line="240" w:lineRule="auto"/>
              <w:ind w:firstLine="0" w:firstLineChars="0"/>
              <w:jc w:val="center"/>
              <w:rPr>
                <w:bCs/>
                <w:color w:val="auto"/>
                <w:sz w:val="21"/>
                <w:szCs w:val="21"/>
                <w:highlight w:val="none"/>
              </w:rPr>
            </w:pPr>
            <w:r>
              <w:rPr>
                <w:bCs/>
                <w:color w:val="auto"/>
                <w:sz w:val="21"/>
                <w:szCs w:val="21"/>
                <w:highlight w:val="none"/>
              </w:rPr>
              <w:t>TSP</w:t>
            </w:r>
          </w:p>
        </w:tc>
        <w:tc>
          <w:tcPr>
            <w:tcW w:w="370" w:type="pct"/>
            <w:vAlign w:val="center"/>
          </w:tcPr>
          <w:p w14:paraId="20F4522E">
            <w:pPr>
              <w:spacing w:line="240" w:lineRule="auto"/>
              <w:ind w:firstLine="0" w:firstLineChars="0"/>
              <w:jc w:val="center"/>
              <w:rPr>
                <w:color w:val="auto"/>
                <w:sz w:val="21"/>
                <w:szCs w:val="21"/>
                <w:highlight w:val="none"/>
              </w:rPr>
            </w:pPr>
            <w:r>
              <w:rPr>
                <w:color w:val="auto"/>
                <w:sz w:val="21"/>
                <w:szCs w:val="21"/>
                <w:highlight w:val="none"/>
              </w:rPr>
              <w:t>0.5</w:t>
            </w:r>
          </w:p>
        </w:tc>
        <w:tc>
          <w:tcPr>
            <w:tcW w:w="385" w:type="pct"/>
            <w:vAlign w:val="center"/>
          </w:tcPr>
          <w:p w14:paraId="58017A2A">
            <w:pPr>
              <w:spacing w:line="240" w:lineRule="auto"/>
              <w:ind w:firstLine="0" w:firstLineChars="0"/>
              <w:jc w:val="center"/>
              <w:rPr>
                <w:color w:val="auto"/>
                <w:sz w:val="21"/>
                <w:szCs w:val="21"/>
                <w:highlight w:val="none"/>
              </w:rPr>
            </w:pPr>
            <w:r>
              <w:rPr>
                <w:color w:val="auto"/>
                <w:sz w:val="21"/>
                <w:szCs w:val="21"/>
                <w:highlight w:val="none"/>
              </w:rPr>
              <w:t>0.5</w:t>
            </w:r>
          </w:p>
        </w:tc>
        <w:tc>
          <w:tcPr>
            <w:tcW w:w="2019" w:type="pct"/>
            <w:vMerge w:val="continue"/>
            <w:vAlign w:val="center"/>
          </w:tcPr>
          <w:p w14:paraId="4BB873BA">
            <w:pPr>
              <w:spacing w:line="240" w:lineRule="auto"/>
              <w:ind w:firstLine="0" w:firstLineChars="0"/>
              <w:jc w:val="center"/>
              <w:rPr>
                <w:bCs/>
                <w:color w:val="auto"/>
                <w:sz w:val="21"/>
                <w:szCs w:val="21"/>
                <w:highlight w:val="none"/>
              </w:rPr>
            </w:pPr>
          </w:p>
        </w:tc>
        <w:tc>
          <w:tcPr>
            <w:tcW w:w="865" w:type="pct"/>
            <w:vMerge w:val="continue"/>
            <w:vAlign w:val="center"/>
          </w:tcPr>
          <w:p w14:paraId="7E3C7192">
            <w:pPr>
              <w:spacing w:line="240" w:lineRule="auto"/>
              <w:ind w:firstLine="0" w:firstLineChars="0"/>
              <w:jc w:val="center"/>
              <w:rPr>
                <w:bCs/>
                <w:color w:val="auto"/>
                <w:sz w:val="21"/>
                <w:szCs w:val="21"/>
                <w:highlight w:val="none"/>
              </w:rPr>
            </w:pPr>
          </w:p>
        </w:tc>
      </w:tr>
      <w:tr w14:paraId="5078E81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7" w:type="pct"/>
            <w:vMerge w:val="continue"/>
            <w:vAlign w:val="center"/>
          </w:tcPr>
          <w:p w14:paraId="2F03FDF7">
            <w:pPr>
              <w:spacing w:line="240" w:lineRule="auto"/>
              <w:ind w:firstLine="0" w:firstLineChars="0"/>
              <w:jc w:val="center"/>
              <w:rPr>
                <w:bCs/>
                <w:color w:val="auto"/>
                <w:sz w:val="21"/>
                <w:szCs w:val="21"/>
                <w:highlight w:val="none"/>
              </w:rPr>
            </w:pPr>
          </w:p>
        </w:tc>
        <w:tc>
          <w:tcPr>
            <w:tcW w:w="434" w:type="pct"/>
            <w:vMerge w:val="restart"/>
            <w:vAlign w:val="center"/>
          </w:tcPr>
          <w:p w14:paraId="4732BD94">
            <w:pPr>
              <w:spacing w:line="240" w:lineRule="auto"/>
              <w:ind w:firstLine="0" w:firstLineChars="0"/>
              <w:jc w:val="center"/>
              <w:rPr>
                <w:bCs/>
                <w:color w:val="auto"/>
                <w:sz w:val="21"/>
                <w:szCs w:val="21"/>
                <w:highlight w:val="none"/>
              </w:rPr>
            </w:pPr>
            <w:r>
              <w:rPr>
                <w:bCs/>
                <w:color w:val="auto"/>
                <w:sz w:val="21"/>
                <w:szCs w:val="21"/>
                <w:highlight w:val="none"/>
              </w:rPr>
              <w:t>补漆废气</w:t>
            </w:r>
          </w:p>
        </w:tc>
        <w:tc>
          <w:tcPr>
            <w:tcW w:w="699" w:type="pct"/>
            <w:vAlign w:val="center"/>
          </w:tcPr>
          <w:p w14:paraId="009FB03C">
            <w:pPr>
              <w:spacing w:line="240" w:lineRule="auto"/>
              <w:ind w:firstLine="0" w:firstLineChars="0"/>
              <w:jc w:val="center"/>
              <w:rPr>
                <w:bCs/>
                <w:color w:val="auto"/>
                <w:sz w:val="21"/>
                <w:szCs w:val="21"/>
                <w:highlight w:val="none"/>
              </w:rPr>
            </w:pPr>
            <w:r>
              <w:rPr>
                <w:bCs/>
                <w:color w:val="auto"/>
                <w:sz w:val="21"/>
                <w:szCs w:val="21"/>
                <w:highlight w:val="none"/>
              </w:rPr>
              <w:t>漆雾</w:t>
            </w:r>
          </w:p>
        </w:tc>
        <w:tc>
          <w:tcPr>
            <w:tcW w:w="370" w:type="pct"/>
            <w:vAlign w:val="center"/>
          </w:tcPr>
          <w:p w14:paraId="09389CA1">
            <w:pPr>
              <w:spacing w:line="240" w:lineRule="auto"/>
              <w:ind w:firstLine="0" w:firstLineChars="0"/>
              <w:jc w:val="center"/>
              <w:rPr>
                <w:color w:val="auto"/>
                <w:sz w:val="21"/>
                <w:szCs w:val="21"/>
                <w:highlight w:val="none"/>
              </w:rPr>
            </w:pPr>
            <w:r>
              <w:rPr>
                <w:color w:val="auto"/>
                <w:sz w:val="21"/>
                <w:szCs w:val="21"/>
                <w:highlight w:val="none"/>
              </w:rPr>
              <w:t>5.15</w:t>
            </w:r>
          </w:p>
        </w:tc>
        <w:tc>
          <w:tcPr>
            <w:tcW w:w="385" w:type="pct"/>
            <w:vAlign w:val="center"/>
          </w:tcPr>
          <w:p w14:paraId="5BDD941F">
            <w:pPr>
              <w:spacing w:line="240" w:lineRule="auto"/>
              <w:ind w:firstLine="0" w:firstLineChars="0"/>
              <w:jc w:val="center"/>
              <w:rPr>
                <w:color w:val="auto"/>
                <w:sz w:val="21"/>
                <w:szCs w:val="21"/>
                <w:highlight w:val="none"/>
              </w:rPr>
            </w:pPr>
            <w:r>
              <w:rPr>
                <w:color w:val="auto"/>
                <w:sz w:val="21"/>
                <w:szCs w:val="21"/>
                <w:highlight w:val="none"/>
              </w:rPr>
              <w:t>5.15</w:t>
            </w:r>
          </w:p>
        </w:tc>
        <w:tc>
          <w:tcPr>
            <w:tcW w:w="2019" w:type="pct"/>
            <w:vMerge w:val="restart"/>
            <w:vAlign w:val="center"/>
          </w:tcPr>
          <w:p w14:paraId="5E88411D">
            <w:pPr>
              <w:spacing w:line="240" w:lineRule="auto"/>
              <w:ind w:firstLine="0" w:firstLineChars="0"/>
              <w:jc w:val="center"/>
              <w:rPr>
                <w:bCs/>
                <w:color w:val="auto"/>
                <w:sz w:val="21"/>
                <w:szCs w:val="21"/>
                <w:highlight w:val="none"/>
              </w:rPr>
            </w:pPr>
            <w:r>
              <w:rPr>
                <w:bCs/>
                <w:color w:val="auto"/>
                <w:sz w:val="21"/>
                <w:szCs w:val="21"/>
                <w:highlight w:val="none"/>
              </w:rPr>
              <w:t>减少装置的跑、冒、滴、漏，加强船体的通风</w:t>
            </w:r>
          </w:p>
        </w:tc>
        <w:tc>
          <w:tcPr>
            <w:tcW w:w="865" w:type="pct"/>
            <w:vMerge w:val="continue"/>
            <w:vAlign w:val="center"/>
          </w:tcPr>
          <w:p w14:paraId="2C36E195">
            <w:pPr>
              <w:spacing w:line="240" w:lineRule="auto"/>
              <w:ind w:firstLine="0" w:firstLineChars="0"/>
              <w:jc w:val="center"/>
              <w:rPr>
                <w:bCs/>
                <w:color w:val="auto"/>
                <w:sz w:val="21"/>
                <w:szCs w:val="21"/>
                <w:highlight w:val="none"/>
              </w:rPr>
            </w:pPr>
          </w:p>
        </w:tc>
      </w:tr>
      <w:tr w14:paraId="2AC5AE1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7" w:type="pct"/>
            <w:vMerge w:val="continue"/>
            <w:vAlign w:val="center"/>
          </w:tcPr>
          <w:p w14:paraId="496DC2AE">
            <w:pPr>
              <w:spacing w:line="240" w:lineRule="auto"/>
              <w:ind w:firstLine="0" w:firstLineChars="0"/>
              <w:jc w:val="center"/>
              <w:rPr>
                <w:bCs/>
                <w:color w:val="auto"/>
                <w:sz w:val="21"/>
                <w:szCs w:val="21"/>
                <w:highlight w:val="none"/>
              </w:rPr>
            </w:pPr>
          </w:p>
        </w:tc>
        <w:tc>
          <w:tcPr>
            <w:tcW w:w="434" w:type="pct"/>
            <w:vMerge w:val="continue"/>
            <w:vAlign w:val="center"/>
          </w:tcPr>
          <w:p w14:paraId="12D269C0">
            <w:pPr>
              <w:spacing w:line="240" w:lineRule="auto"/>
              <w:ind w:firstLine="0" w:firstLineChars="0"/>
              <w:jc w:val="center"/>
              <w:rPr>
                <w:bCs/>
                <w:color w:val="auto"/>
                <w:sz w:val="21"/>
                <w:szCs w:val="21"/>
                <w:highlight w:val="none"/>
              </w:rPr>
            </w:pPr>
          </w:p>
        </w:tc>
        <w:tc>
          <w:tcPr>
            <w:tcW w:w="699" w:type="pct"/>
            <w:vAlign w:val="center"/>
          </w:tcPr>
          <w:p w14:paraId="2D2FAABE">
            <w:pPr>
              <w:spacing w:line="240" w:lineRule="auto"/>
              <w:ind w:firstLine="0" w:firstLineChars="0"/>
              <w:jc w:val="center"/>
              <w:rPr>
                <w:bCs/>
                <w:color w:val="auto"/>
                <w:sz w:val="21"/>
                <w:szCs w:val="21"/>
                <w:highlight w:val="none"/>
              </w:rPr>
            </w:pPr>
            <w:r>
              <w:rPr>
                <w:rFonts w:hint="eastAsia"/>
                <w:bCs/>
                <w:color w:val="auto"/>
                <w:sz w:val="21"/>
                <w:szCs w:val="21"/>
                <w:highlight w:val="none"/>
              </w:rPr>
              <w:t>T</w:t>
            </w:r>
            <w:r>
              <w:rPr>
                <w:bCs/>
                <w:color w:val="auto"/>
                <w:sz w:val="21"/>
                <w:szCs w:val="21"/>
                <w:highlight w:val="none"/>
              </w:rPr>
              <w:t>VOC</w:t>
            </w:r>
          </w:p>
        </w:tc>
        <w:tc>
          <w:tcPr>
            <w:tcW w:w="370" w:type="pct"/>
            <w:vAlign w:val="center"/>
          </w:tcPr>
          <w:p w14:paraId="18B5F326">
            <w:pPr>
              <w:spacing w:line="240" w:lineRule="auto"/>
              <w:ind w:firstLine="0" w:firstLineChars="0"/>
              <w:jc w:val="center"/>
              <w:rPr>
                <w:color w:val="auto"/>
                <w:sz w:val="21"/>
                <w:szCs w:val="21"/>
                <w:highlight w:val="none"/>
              </w:rPr>
            </w:pPr>
            <w:r>
              <w:rPr>
                <w:color w:val="auto"/>
                <w:sz w:val="21"/>
                <w:szCs w:val="21"/>
                <w:highlight w:val="none"/>
              </w:rPr>
              <w:t>58.86</w:t>
            </w:r>
          </w:p>
        </w:tc>
        <w:tc>
          <w:tcPr>
            <w:tcW w:w="385" w:type="pct"/>
            <w:vAlign w:val="center"/>
          </w:tcPr>
          <w:p w14:paraId="173DAE28">
            <w:pPr>
              <w:spacing w:line="240" w:lineRule="auto"/>
              <w:ind w:firstLine="0" w:firstLineChars="0"/>
              <w:jc w:val="center"/>
              <w:rPr>
                <w:color w:val="auto"/>
                <w:sz w:val="21"/>
                <w:szCs w:val="21"/>
                <w:highlight w:val="none"/>
              </w:rPr>
            </w:pPr>
            <w:r>
              <w:rPr>
                <w:color w:val="auto"/>
                <w:sz w:val="21"/>
                <w:szCs w:val="21"/>
                <w:highlight w:val="none"/>
              </w:rPr>
              <w:t>58.86</w:t>
            </w:r>
          </w:p>
        </w:tc>
        <w:tc>
          <w:tcPr>
            <w:tcW w:w="2019" w:type="pct"/>
            <w:vMerge w:val="continue"/>
            <w:vAlign w:val="center"/>
          </w:tcPr>
          <w:p w14:paraId="344EF499">
            <w:pPr>
              <w:spacing w:line="240" w:lineRule="auto"/>
              <w:ind w:firstLine="0" w:firstLineChars="0"/>
              <w:jc w:val="center"/>
              <w:rPr>
                <w:bCs/>
                <w:color w:val="auto"/>
                <w:sz w:val="21"/>
                <w:szCs w:val="21"/>
                <w:highlight w:val="none"/>
              </w:rPr>
            </w:pPr>
          </w:p>
        </w:tc>
        <w:tc>
          <w:tcPr>
            <w:tcW w:w="865" w:type="pct"/>
            <w:vMerge w:val="continue"/>
            <w:vAlign w:val="center"/>
          </w:tcPr>
          <w:p w14:paraId="540A50AC">
            <w:pPr>
              <w:spacing w:line="240" w:lineRule="auto"/>
              <w:ind w:firstLine="0" w:firstLineChars="0"/>
              <w:jc w:val="center"/>
              <w:rPr>
                <w:bCs/>
                <w:color w:val="auto"/>
                <w:sz w:val="21"/>
                <w:szCs w:val="21"/>
                <w:highlight w:val="none"/>
              </w:rPr>
            </w:pPr>
          </w:p>
        </w:tc>
      </w:tr>
      <w:tr w14:paraId="6F1BB17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26" w:hRule="atLeast"/>
          <w:jc w:val="center"/>
        </w:trPr>
        <w:tc>
          <w:tcPr>
            <w:tcW w:w="227" w:type="pct"/>
            <w:vMerge w:val="continue"/>
            <w:vAlign w:val="center"/>
          </w:tcPr>
          <w:p w14:paraId="7CB3F5B3">
            <w:pPr>
              <w:spacing w:line="240" w:lineRule="auto"/>
              <w:ind w:firstLine="0" w:firstLineChars="0"/>
              <w:jc w:val="center"/>
              <w:rPr>
                <w:color w:val="auto"/>
                <w:sz w:val="21"/>
                <w:szCs w:val="21"/>
                <w:highlight w:val="none"/>
              </w:rPr>
            </w:pPr>
          </w:p>
        </w:tc>
        <w:tc>
          <w:tcPr>
            <w:tcW w:w="434" w:type="pct"/>
            <w:vMerge w:val="continue"/>
            <w:vAlign w:val="center"/>
          </w:tcPr>
          <w:p w14:paraId="1EE5DC53">
            <w:pPr>
              <w:spacing w:line="240" w:lineRule="auto"/>
              <w:ind w:firstLine="0" w:firstLineChars="0"/>
              <w:jc w:val="center"/>
              <w:rPr>
                <w:color w:val="auto"/>
                <w:sz w:val="21"/>
                <w:szCs w:val="21"/>
                <w:highlight w:val="none"/>
              </w:rPr>
            </w:pPr>
          </w:p>
        </w:tc>
        <w:tc>
          <w:tcPr>
            <w:tcW w:w="699" w:type="pct"/>
            <w:vAlign w:val="center"/>
          </w:tcPr>
          <w:p w14:paraId="73421F36">
            <w:pPr>
              <w:spacing w:line="240" w:lineRule="auto"/>
              <w:ind w:firstLine="0" w:firstLineChars="0"/>
              <w:jc w:val="center"/>
              <w:rPr>
                <w:bCs/>
                <w:color w:val="auto"/>
                <w:sz w:val="21"/>
                <w:szCs w:val="21"/>
                <w:highlight w:val="none"/>
              </w:rPr>
            </w:pPr>
            <w:r>
              <w:rPr>
                <w:bCs/>
                <w:color w:val="auto"/>
                <w:sz w:val="21"/>
                <w:szCs w:val="21"/>
                <w:highlight w:val="none"/>
              </w:rPr>
              <w:t>二甲苯</w:t>
            </w:r>
          </w:p>
        </w:tc>
        <w:tc>
          <w:tcPr>
            <w:tcW w:w="370" w:type="pct"/>
            <w:vAlign w:val="center"/>
          </w:tcPr>
          <w:p w14:paraId="4AB44A43">
            <w:pPr>
              <w:spacing w:line="240" w:lineRule="auto"/>
              <w:ind w:firstLine="0" w:firstLineChars="0"/>
              <w:jc w:val="center"/>
              <w:rPr>
                <w:color w:val="auto"/>
                <w:sz w:val="21"/>
                <w:szCs w:val="21"/>
                <w:highlight w:val="none"/>
              </w:rPr>
            </w:pPr>
            <w:r>
              <w:rPr>
                <w:color w:val="auto"/>
                <w:sz w:val="21"/>
                <w:szCs w:val="21"/>
                <w:highlight w:val="none"/>
              </w:rPr>
              <w:t>14.71</w:t>
            </w:r>
          </w:p>
        </w:tc>
        <w:tc>
          <w:tcPr>
            <w:tcW w:w="385" w:type="pct"/>
            <w:vAlign w:val="center"/>
          </w:tcPr>
          <w:p w14:paraId="0191B8B2">
            <w:pPr>
              <w:spacing w:line="240" w:lineRule="auto"/>
              <w:ind w:firstLine="0" w:firstLineChars="0"/>
              <w:jc w:val="center"/>
              <w:rPr>
                <w:color w:val="auto"/>
                <w:sz w:val="21"/>
                <w:szCs w:val="21"/>
                <w:highlight w:val="none"/>
              </w:rPr>
            </w:pPr>
            <w:r>
              <w:rPr>
                <w:color w:val="auto"/>
                <w:sz w:val="21"/>
                <w:szCs w:val="21"/>
                <w:highlight w:val="none"/>
              </w:rPr>
              <w:t>14.71</w:t>
            </w:r>
          </w:p>
        </w:tc>
        <w:tc>
          <w:tcPr>
            <w:tcW w:w="2019" w:type="pct"/>
            <w:vMerge w:val="continue"/>
            <w:vAlign w:val="center"/>
          </w:tcPr>
          <w:p w14:paraId="4E673BA9">
            <w:pPr>
              <w:spacing w:line="240" w:lineRule="auto"/>
              <w:ind w:firstLine="0" w:firstLineChars="0"/>
              <w:jc w:val="center"/>
              <w:rPr>
                <w:bCs/>
                <w:color w:val="auto"/>
                <w:sz w:val="21"/>
                <w:szCs w:val="21"/>
                <w:highlight w:val="none"/>
              </w:rPr>
            </w:pPr>
          </w:p>
        </w:tc>
        <w:tc>
          <w:tcPr>
            <w:tcW w:w="865" w:type="pct"/>
            <w:vAlign w:val="center"/>
          </w:tcPr>
          <w:p w14:paraId="6968A8AC">
            <w:pPr>
              <w:spacing w:line="240" w:lineRule="auto"/>
              <w:ind w:firstLine="0" w:firstLineChars="0"/>
              <w:jc w:val="center"/>
              <w:rPr>
                <w:bCs/>
                <w:color w:val="auto"/>
                <w:sz w:val="21"/>
                <w:szCs w:val="21"/>
                <w:highlight w:val="none"/>
              </w:rPr>
            </w:pPr>
            <w:r>
              <w:rPr>
                <w:bCs/>
                <w:color w:val="auto"/>
                <w:sz w:val="21"/>
                <w:szCs w:val="21"/>
                <w:highlight w:val="none"/>
              </w:rPr>
              <w:t>《挥发性有机物无组织排放控制标准》（GB37822-2019）附录A中厂区内VOCs无组织排放限值</w:t>
            </w:r>
          </w:p>
        </w:tc>
      </w:tr>
      <w:tr w14:paraId="52962B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854" w:hRule="atLeast"/>
          <w:jc w:val="center"/>
        </w:trPr>
        <w:tc>
          <w:tcPr>
            <w:tcW w:w="227" w:type="pct"/>
            <w:vMerge w:val="restart"/>
            <w:vAlign w:val="center"/>
          </w:tcPr>
          <w:p w14:paraId="1473FA0D">
            <w:pPr>
              <w:spacing w:line="240" w:lineRule="auto"/>
              <w:ind w:firstLine="0" w:firstLineChars="0"/>
              <w:jc w:val="center"/>
              <w:rPr>
                <w:bCs/>
                <w:color w:val="auto"/>
                <w:sz w:val="21"/>
                <w:szCs w:val="21"/>
                <w:highlight w:val="none"/>
              </w:rPr>
            </w:pPr>
            <w:r>
              <w:rPr>
                <w:bCs/>
                <w:color w:val="auto"/>
                <w:sz w:val="21"/>
                <w:szCs w:val="21"/>
                <w:highlight w:val="none"/>
              </w:rPr>
              <w:t>废水</w:t>
            </w:r>
          </w:p>
        </w:tc>
        <w:tc>
          <w:tcPr>
            <w:tcW w:w="434" w:type="pct"/>
            <w:vAlign w:val="center"/>
          </w:tcPr>
          <w:p w14:paraId="404C73B4">
            <w:pPr>
              <w:spacing w:line="240" w:lineRule="auto"/>
              <w:ind w:firstLine="0" w:firstLineChars="0"/>
              <w:jc w:val="center"/>
              <w:rPr>
                <w:bCs/>
                <w:color w:val="auto"/>
                <w:sz w:val="21"/>
                <w:szCs w:val="21"/>
                <w:highlight w:val="none"/>
              </w:rPr>
            </w:pPr>
            <w:r>
              <w:rPr>
                <w:bCs/>
                <w:color w:val="auto"/>
                <w:sz w:val="21"/>
                <w:szCs w:val="21"/>
                <w:highlight w:val="none"/>
              </w:rPr>
              <w:t>生活污水</w:t>
            </w:r>
          </w:p>
        </w:tc>
        <w:tc>
          <w:tcPr>
            <w:tcW w:w="699" w:type="pct"/>
            <w:vAlign w:val="center"/>
          </w:tcPr>
          <w:p w14:paraId="4FFF95F5">
            <w:pPr>
              <w:spacing w:line="240" w:lineRule="auto"/>
              <w:ind w:firstLine="0" w:firstLineChars="0"/>
              <w:jc w:val="center"/>
              <w:rPr>
                <w:bCs/>
                <w:color w:val="auto"/>
                <w:sz w:val="21"/>
                <w:szCs w:val="21"/>
                <w:highlight w:val="none"/>
              </w:rPr>
            </w:pPr>
            <w:r>
              <w:rPr>
                <w:bCs/>
                <w:color w:val="auto"/>
                <w:sz w:val="21"/>
                <w:szCs w:val="21"/>
                <w:highlight w:val="none"/>
              </w:rPr>
              <w:t>COD、BOD5、氨氮、SS</w:t>
            </w:r>
          </w:p>
        </w:tc>
        <w:tc>
          <w:tcPr>
            <w:tcW w:w="370" w:type="pct"/>
            <w:vAlign w:val="center"/>
          </w:tcPr>
          <w:p w14:paraId="1B28C27B">
            <w:pPr>
              <w:spacing w:line="240" w:lineRule="auto"/>
              <w:ind w:firstLine="0" w:firstLineChars="0"/>
              <w:jc w:val="center"/>
              <w:rPr>
                <w:color w:val="auto"/>
                <w:sz w:val="21"/>
                <w:szCs w:val="21"/>
                <w:highlight w:val="none"/>
              </w:rPr>
            </w:pPr>
            <w:r>
              <w:rPr>
                <w:color w:val="auto"/>
                <w:sz w:val="21"/>
                <w:szCs w:val="21"/>
                <w:highlight w:val="none"/>
              </w:rPr>
              <w:t>4781.25</w:t>
            </w:r>
          </w:p>
        </w:tc>
        <w:tc>
          <w:tcPr>
            <w:tcW w:w="385" w:type="pct"/>
            <w:vAlign w:val="center"/>
          </w:tcPr>
          <w:p w14:paraId="05B9A06F">
            <w:pPr>
              <w:spacing w:line="240" w:lineRule="auto"/>
              <w:ind w:firstLine="0" w:firstLineChars="0"/>
              <w:jc w:val="center"/>
              <w:rPr>
                <w:bCs/>
                <w:color w:val="auto"/>
                <w:sz w:val="21"/>
                <w:szCs w:val="21"/>
                <w:highlight w:val="none"/>
              </w:rPr>
            </w:pPr>
            <w:r>
              <w:rPr>
                <w:bCs/>
                <w:color w:val="auto"/>
                <w:sz w:val="21"/>
                <w:szCs w:val="21"/>
                <w:highlight w:val="none"/>
              </w:rPr>
              <w:t>0</w:t>
            </w:r>
          </w:p>
        </w:tc>
        <w:tc>
          <w:tcPr>
            <w:tcW w:w="2019" w:type="pct"/>
            <w:vAlign w:val="center"/>
          </w:tcPr>
          <w:p w14:paraId="3D4C7B32">
            <w:pPr>
              <w:spacing w:line="240" w:lineRule="auto"/>
              <w:ind w:firstLine="0" w:firstLineChars="0"/>
              <w:jc w:val="center"/>
              <w:rPr>
                <w:bCs/>
                <w:color w:val="auto"/>
                <w:sz w:val="21"/>
                <w:szCs w:val="21"/>
                <w:highlight w:val="none"/>
              </w:rPr>
            </w:pPr>
            <w:r>
              <w:rPr>
                <w:color w:val="auto"/>
                <w:sz w:val="21"/>
                <w:szCs w:val="21"/>
                <w:highlight w:val="none"/>
                <w:u w:val="single"/>
              </w:rPr>
              <w:t>经</w:t>
            </w:r>
            <w:r>
              <w:rPr>
                <w:rFonts w:hint="eastAsia"/>
                <w:color w:val="auto"/>
                <w:sz w:val="21"/>
                <w:szCs w:val="21"/>
                <w:highlight w:val="none"/>
                <w:u w:val="single"/>
              </w:rPr>
              <w:t>陆域</w:t>
            </w:r>
            <w:r>
              <w:rPr>
                <w:color w:val="auto"/>
                <w:sz w:val="21"/>
                <w:szCs w:val="21"/>
                <w:highlight w:val="none"/>
                <w:u w:val="single"/>
              </w:rPr>
              <w:t>生活污水处理一体化设备（处理规模300m</w:t>
            </w:r>
            <w:r>
              <w:rPr>
                <w:color w:val="auto"/>
                <w:sz w:val="21"/>
                <w:szCs w:val="21"/>
                <w:highlight w:val="none"/>
                <w:u w:val="single"/>
                <w:vertAlign w:val="superscript"/>
              </w:rPr>
              <w:t>3</w:t>
            </w:r>
            <w:r>
              <w:rPr>
                <w:color w:val="auto"/>
                <w:sz w:val="21"/>
                <w:szCs w:val="21"/>
                <w:highlight w:val="none"/>
                <w:u w:val="single"/>
              </w:rPr>
              <w:t>/d）处理</w:t>
            </w:r>
            <w:r>
              <w:rPr>
                <w:rFonts w:hint="eastAsia"/>
                <w:color w:val="auto"/>
                <w:sz w:val="21"/>
                <w:szCs w:val="21"/>
                <w:highlight w:val="none"/>
                <w:u w:val="single"/>
              </w:rPr>
              <w:t>后，进入中水回用池储存，大部分</w:t>
            </w:r>
            <w:r>
              <w:rPr>
                <w:color w:val="auto"/>
                <w:sz w:val="21"/>
                <w:szCs w:val="21"/>
                <w:highlight w:val="none"/>
                <w:u w:val="single"/>
              </w:rPr>
              <w:t>回用于厂区绿化及降尘，</w:t>
            </w:r>
            <w:r>
              <w:rPr>
                <w:rFonts w:hint="eastAsia"/>
                <w:color w:val="auto"/>
                <w:sz w:val="21"/>
                <w:szCs w:val="21"/>
                <w:highlight w:val="none"/>
                <w:u w:val="single"/>
              </w:rPr>
              <w:t>少部分</w:t>
            </w:r>
            <w:r>
              <w:rPr>
                <w:color w:val="auto"/>
                <w:sz w:val="21"/>
                <w:szCs w:val="21"/>
                <w:highlight w:val="none"/>
                <w:u w:val="single"/>
              </w:rPr>
              <w:t>不能回用的由槽罐车运至大榄坪污水处理厂处理</w:t>
            </w:r>
          </w:p>
        </w:tc>
        <w:tc>
          <w:tcPr>
            <w:tcW w:w="865" w:type="pct"/>
            <w:vAlign w:val="center"/>
          </w:tcPr>
          <w:p w14:paraId="3A1F01D5">
            <w:pPr>
              <w:spacing w:line="240" w:lineRule="auto"/>
              <w:ind w:firstLine="0" w:firstLineChars="0"/>
              <w:jc w:val="center"/>
              <w:rPr>
                <w:bCs/>
                <w:color w:val="auto"/>
                <w:sz w:val="21"/>
                <w:szCs w:val="21"/>
                <w:highlight w:val="none"/>
              </w:rPr>
            </w:pPr>
            <w:r>
              <w:rPr>
                <w:rFonts w:hint="eastAsia"/>
                <w:bCs/>
                <w:color w:val="auto"/>
                <w:sz w:val="21"/>
                <w:szCs w:val="21"/>
                <w:highlight w:val="none"/>
              </w:rPr>
              <w:t>/</w:t>
            </w:r>
          </w:p>
        </w:tc>
      </w:tr>
      <w:tr w14:paraId="17FA3B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7" w:type="pct"/>
            <w:vMerge w:val="continue"/>
            <w:vAlign w:val="center"/>
          </w:tcPr>
          <w:p w14:paraId="66213F34">
            <w:pPr>
              <w:spacing w:line="240" w:lineRule="auto"/>
              <w:ind w:firstLine="0" w:firstLineChars="0"/>
              <w:jc w:val="center"/>
              <w:rPr>
                <w:bCs/>
                <w:color w:val="auto"/>
                <w:sz w:val="21"/>
                <w:szCs w:val="21"/>
                <w:highlight w:val="none"/>
              </w:rPr>
            </w:pPr>
          </w:p>
        </w:tc>
        <w:tc>
          <w:tcPr>
            <w:tcW w:w="434" w:type="pct"/>
            <w:vAlign w:val="center"/>
          </w:tcPr>
          <w:p w14:paraId="248288A1">
            <w:pPr>
              <w:spacing w:line="240" w:lineRule="auto"/>
              <w:ind w:firstLine="0" w:firstLineChars="0"/>
              <w:jc w:val="center"/>
              <w:rPr>
                <w:bCs/>
                <w:color w:val="auto"/>
                <w:sz w:val="21"/>
                <w:szCs w:val="21"/>
                <w:highlight w:val="none"/>
              </w:rPr>
            </w:pPr>
            <w:r>
              <w:rPr>
                <w:bCs/>
                <w:color w:val="auto"/>
                <w:sz w:val="21"/>
                <w:szCs w:val="21"/>
                <w:highlight w:val="none"/>
              </w:rPr>
              <w:t>含油污水</w:t>
            </w:r>
          </w:p>
        </w:tc>
        <w:tc>
          <w:tcPr>
            <w:tcW w:w="699" w:type="pct"/>
            <w:vAlign w:val="center"/>
          </w:tcPr>
          <w:p w14:paraId="3EC0610E">
            <w:pPr>
              <w:spacing w:line="240" w:lineRule="auto"/>
              <w:ind w:firstLine="0" w:firstLineChars="0"/>
              <w:jc w:val="center"/>
              <w:rPr>
                <w:bCs/>
                <w:color w:val="auto"/>
                <w:sz w:val="21"/>
                <w:szCs w:val="21"/>
                <w:highlight w:val="none"/>
              </w:rPr>
            </w:pPr>
            <w:r>
              <w:rPr>
                <w:bCs/>
                <w:color w:val="auto"/>
                <w:sz w:val="21"/>
                <w:szCs w:val="21"/>
                <w:highlight w:val="none"/>
              </w:rPr>
              <w:t>COD、石油类</w:t>
            </w:r>
          </w:p>
        </w:tc>
        <w:tc>
          <w:tcPr>
            <w:tcW w:w="370" w:type="pct"/>
            <w:vAlign w:val="center"/>
          </w:tcPr>
          <w:p w14:paraId="75582462">
            <w:pPr>
              <w:spacing w:line="240" w:lineRule="auto"/>
              <w:ind w:firstLine="0" w:firstLineChars="0"/>
              <w:jc w:val="center"/>
              <w:rPr>
                <w:color w:val="auto"/>
                <w:sz w:val="21"/>
                <w:szCs w:val="21"/>
                <w:highlight w:val="none"/>
              </w:rPr>
            </w:pPr>
            <w:r>
              <w:rPr>
                <w:color w:val="auto"/>
                <w:sz w:val="21"/>
                <w:szCs w:val="21"/>
                <w:highlight w:val="none"/>
              </w:rPr>
              <w:t>8178.75</w:t>
            </w:r>
          </w:p>
        </w:tc>
        <w:tc>
          <w:tcPr>
            <w:tcW w:w="385" w:type="pct"/>
            <w:vAlign w:val="center"/>
          </w:tcPr>
          <w:p w14:paraId="5178BCAF">
            <w:pPr>
              <w:spacing w:line="240" w:lineRule="auto"/>
              <w:ind w:firstLine="0" w:firstLineChars="0"/>
              <w:jc w:val="center"/>
              <w:rPr>
                <w:bCs/>
                <w:color w:val="auto"/>
                <w:sz w:val="21"/>
                <w:szCs w:val="21"/>
                <w:highlight w:val="none"/>
              </w:rPr>
            </w:pPr>
            <w:r>
              <w:rPr>
                <w:bCs/>
                <w:color w:val="auto"/>
                <w:sz w:val="21"/>
                <w:szCs w:val="21"/>
                <w:highlight w:val="none"/>
              </w:rPr>
              <w:t>0</w:t>
            </w:r>
          </w:p>
        </w:tc>
        <w:tc>
          <w:tcPr>
            <w:tcW w:w="2019" w:type="pct"/>
            <w:vAlign w:val="center"/>
          </w:tcPr>
          <w:p w14:paraId="1FEB73CC">
            <w:pPr>
              <w:spacing w:line="240" w:lineRule="auto"/>
              <w:ind w:firstLine="0" w:firstLineChars="0"/>
              <w:jc w:val="center"/>
              <w:rPr>
                <w:bCs/>
                <w:color w:val="auto"/>
                <w:sz w:val="21"/>
                <w:szCs w:val="21"/>
                <w:highlight w:val="none"/>
              </w:rPr>
            </w:pPr>
            <w:r>
              <w:rPr>
                <w:rFonts w:hint="eastAsia"/>
                <w:color w:val="auto"/>
                <w:sz w:val="21"/>
                <w:szCs w:val="21"/>
                <w:highlight w:val="none"/>
                <w:u w:val="single"/>
              </w:rPr>
              <w:t>经浮船坞上配套的污水舱收集后，采用罐车运至</w:t>
            </w:r>
            <w:r>
              <w:rPr>
                <w:color w:val="auto"/>
                <w:sz w:val="21"/>
                <w:szCs w:val="21"/>
                <w:highlight w:val="none"/>
                <w:u w:val="single"/>
              </w:rPr>
              <w:t>厂区</w:t>
            </w:r>
            <w:r>
              <w:rPr>
                <w:rFonts w:hint="eastAsia"/>
                <w:color w:val="auto"/>
                <w:sz w:val="21"/>
                <w:szCs w:val="21"/>
                <w:highlight w:val="none"/>
                <w:u w:val="single"/>
              </w:rPr>
              <w:t>现有污</w:t>
            </w:r>
            <w:r>
              <w:rPr>
                <w:color w:val="auto"/>
                <w:sz w:val="21"/>
                <w:szCs w:val="21"/>
                <w:highlight w:val="none"/>
                <w:u w:val="single"/>
              </w:rPr>
              <w:t>水处理站的含油废水处理系统处理</w:t>
            </w:r>
            <w:r>
              <w:rPr>
                <w:rFonts w:hint="eastAsia"/>
                <w:color w:val="auto"/>
                <w:sz w:val="21"/>
                <w:szCs w:val="21"/>
                <w:highlight w:val="none"/>
                <w:u w:val="single"/>
              </w:rPr>
              <w:t>，</w:t>
            </w:r>
            <w:r>
              <w:rPr>
                <w:color w:val="auto"/>
                <w:sz w:val="21"/>
                <w:szCs w:val="21"/>
                <w:highlight w:val="none"/>
                <w:u w:val="single"/>
              </w:rPr>
              <w:t>达到《污水综合排放标准》（GB8978-1996）三级标准后，经厂区污水管道排入</w:t>
            </w:r>
            <w:r>
              <w:rPr>
                <w:rFonts w:hint="eastAsia"/>
                <w:color w:val="auto"/>
                <w:sz w:val="21"/>
                <w:szCs w:val="21"/>
                <w:highlight w:val="none"/>
                <w:u w:val="single"/>
              </w:rPr>
              <w:t>生活污水处理设备配套的中水回用池储存，大部分</w:t>
            </w:r>
            <w:r>
              <w:rPr>
                <w:color w:val="auto"/>
                <w:sz w:val="21"/>
                <w:szCs w:val="21"/>
                <w:highlight w:val="none"/>
                <w:u w:val="single"/>
              </w:rPr>
              <w:t>回用于厂区绿化及降尘，</w:t>
            </w:r>
            <w:r>
              <w:rPr>
                <w:rFonts w:hint="eastAsia"/>
                <w:color w:val="auto"/>
                <w:sz w:val="21"/>
                <w:szCs w:val="21"/>
                <w:highlight w:val="none"/>
                <w:u w:val="single"/>
              </w:rPr>
              <w:t>少部分</w:t>
            </w:r>
            <w:r>
              <w:rPr>
                <w:color w:val="auto"/>
                <w:sz w:val="21"/>
                <w:szCs w:val="21"/>
                <w:highlight w:val="none"/>
                <w:u w:val="single"/>
              </w:rPr>
              <w:t>不能回用的由槽罐车运至大榄坪污水处理厂处理</w:t>
            </w:r>
          </w:p>
        </w:tc>
        <w:tc>
          <w:tcPr>
            <w:tcW w:w="865" w:type="pct"/>
            <w:vAlign w:val="center"/>
          </w:tcPr>
          <w:p w14:paraId="26C61401">
            <w:pPr>
              <w:spacing w:line="240" w:lineRule="auto"/>
              <w:ind w:firstLine="0" w:firstLineChars="0"/>
              <w:jc w:val="center"/>
              <w:rPr>
                <w:bCs/>
                <w:color w:val="auto"/>
                <w:sz w:val="21"/>
                <w:szCs w:val="21"/>
                <w:highlight w:val="none"/>
              </w:rPr>
            </w:pPr>
            <w:r>
              <w:rPr>
                <w:color w:val="auto"/>
                <w:sz w:val="21"/>
                <w:szCs w:val="21"/>
                <w:highlight w:val="none"/>
              </w:rPr>
              <w:t>《污水综合排放标准》（GB8978-1996）三级标准</w:t>
            </w:r>
          </w:p>
        </w:tc>
      </w:tr>
      <w:tr w14:paraId="211BE5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7" w:type="pct"/>
            <w:vMerge w:val="continue"/>
            <w:vAlign w:val="center"/>
          </w:tcPr>
          <w:p w14:paraId="75C41FD2">
            <w:pPr>
              <w:spacing w:line="240" w:lineRule="auto"/>
              <w:ind w:firstLine="0" w:firstLineChars="0"/>
              <w:jc w:val="center"/>
              <w:rPr>
                <w:bCs/>
                <w:color w:val="auto"/>
                <w:sz w:val="21"/>
                <w:szCs w:val="21"/>
                <w:highlight w:val="none"/>
              </w:rPr>
            </w:pPr>
          </w:p>
        </w:tc>
        <w:tc>
          <w:tcPr>
            <w:tcW w:w="434" w:type="pct"/>
            <w:vAlign w:val="center"/>
          </w:tcPr>
          <w:p w14:paraId="0005AE9C">
            <w:pPr>
              <w:spacing w:line="240" w:lineRule="auto"/>
              <w:ind w:firstLine="0" w:firstLineChars="0"/>
              <w:jc w:val="center"/>
              <w:rPr>
                <w:bCs/>
                <w:color w:val="auto"/>
                <w:sz w:val="21"/>
                <w:szCs w:val="21"/>
                <w:highlight w:val="none"/>
              </w:rPr>
            </w:pPr>
            <w:r>
              <w:rPr>
                <w:bCs/>
                <w:color w:val="auto"/>
                <w:sz w:val="21"/>
                <w:szCs w:val="21"/>
                <w:highlight w:val="none"/>
              </w:rPr>
              <w:t>初期雨水</w:t>
            </w:r>
          </w:p>
        </w:tc>
        <w:tc>
          <w:tcPr>
            <w:tcW w:w="699" w:type="pct"/>
            <w:vAlign w:val="center"/>
          </w:tcPr>
          <w:p w14:paraId="750838C3">
            <w:pPr>
              <w:spacing w:line="240" w:lineRule="auto"/>
              <w:ind w:firstLine="0" w:firstLineChars="0"/>
              <w:jc w:val="center"/>
              <w:rPr>
                <w:bCs/>
                <w:color w:val="auto"/>
                <w:sz w:val="21"/>
                <w:szCs w:val="21"/>
                <w:highlight w:val="none"/>
              </w:rPr>
            </w:pPr>
            <w:r>
              <w:rPr>
                <w:bCs/>
                <w:color w:val="auto"/>
                <w:sz w:val="21"/>
                <w:szCs w:val="21"/>
                <w:highlight w:val="none"/>
              </w:rPr>
              <w:t>石油类、SS</w:t>
            </w:r>
          </w:p>
        </w:tc>
        <w:tc>
          <w:tcPr>
            <w:tcW w:w="370" w:type="pct"/>
            <w:vAlign w:val="center"/>
          </w:tcPr>
          <w:p w14:paraId="5776837B">
            <w:pPr>
              <w:spacing w:line="240" w:lineRule="auto"/>
              <w:ind w:firstLine="0" w:firstLineChars="0"/>
              <w:jc w:val="center"/>
              <w:rPr>
                <w:color w:val="auto"/>
                <w:sz w:val="21"/>
                <w:szCs w:val="21"/>
                <w:highlight w:val="none"/>
              </w:rPr>
            </w:pPr>
            <w:r>
              <w:rPr>
                <w:rFonts w:hint="eastAsia"/>
                <w:color w:val="auto"/>
                <w:sz w:val="21"/>
                <w:szCs w:val="21"/>
                <w:highlight w:val="none"/>
              </w:rPr>
              <w:t>100.15</w:t>
            </w:r>
            <w:r>
              <w:rPr>
                <w:color w:val="auto"/>
                <w:sz w:val="21"/>
                <w:szCs w:val="21"/>
                <w:highlight w:val="none"/>
              </w:rPr>
              <w:t>m</w:t>
            </w:r>
            <w:r>
              <w:rPr>
                <w:color w:val="auto"/>
                <w:sz w:val="21"/>
                <w:szCs w:val="21"/>
                <w:highlight w:val="none"/>
                <w:vertAlign w:val="superscript"/>
              </w:rPr>
              <w:t>3</w:t>
            </w:r>
            <w:r>
              <w:rPr>
                <w:color w:val="auto"/>
                <w:sz w:val="21"/>
                <w:szCs w:val="21"/>
                <w:highlight w:val="none"/>
              </w:rPr>
              <w:t>/次</w:t>
            </w:r>
          </w:p>
        </w:tc>
        <w:tc>
          <w:tcPr>
            <w:tcW w:w="385" w:type="pct"/>
            <w:vAlign w:val="center"/>
          </w:tcPr>
          <w:p w14:paraId="789EEA02">
            <w:pPr>
              <w:spacing w:line="240" w:lineRule="auto"/>
              <w:ind w:firstLine="0" w:firstLineChars="0"/>
              <w:jc w:val="center"/>
              <w:rPr>
                <w:bCs/>
                <w:color w:val="auto"/>
                <w:sz w:val="21"/>
                <w:szCs w:val="21"/>
                <w:highlight w:val="none"/>
              </w:rPr>
            </w:pPr>
            <w:r>
              <w:rPr>
                <w:bCs/>
                <w:color w:val="auto"/>
                <w:sz w:val="21"/>
                <w:szCs w:val="21"/>
                <w:highlight w:val="none"/>
              </w:rPr>
              <w:t>0</w:t>
            </w:r>
          </w:p>
        </w:tc>
        <w:tc>
          <w:tcPr>
            <w:tcW w:w="2019" w:type="pct"/>
            <w:vAlign w:val="center"/>
          </w:tcPr>
          <w:p w14:paraId="03845740">
            <w:pPr>
              <w:spacing w:line="240" w:lineRule="auto"/>
              <w:ind w:firstLine="0" w:firstLineChars="0"/>
              <w:jc w:val="center"/>
              <w:rPr>
                <w:bCs/>
                <w:color w:val="auto"/>
                <w:sz w:val="21"/>
                <w:szCs w:val="21"/>
                <w:highlight w:val="none"/>
              </w:rPr>
            </w:pPr>
            <w:r>
              <w:rPr>
                <w:color w:val="auto"/>
                <w:sz w:val="21"/>
                <w:szCs w:val="21"/>
                <w:highlight w:val="none"/>
                <w:u w:val="single"/>
              </w:rPr>
              <w:t>经</w:t>
            </w:r>
            <w:r>
              <w:rPr>
                <w:rFonts w:hint="eastAsia"/>
                <w:color w:val="auto"/>
                <w:sz w:val="21"/>
                <w:szCs w:val="21"/>
                <w:highlight w:val="none"/>
                <w:u w:val="single"/>
              </w:rPr>
              <w:t>浮船坞配套设置的初期雨水池收集后，采用罐车运至陆域</w:t>
            </w:r>
            <w:r>
              <w:rPr>
                <w:color w:val="auto"/>
                <w:sz w:val="21"/>
                <w:szCs w:val="21"/>
                <w:highlight w:val="none"/>
                <w:u w:val="single"/>
              </w:rPr>
              <w:t>生活污水处理一体化设备（处理规模300m</w:t>
            </w:r>
            <w:r>
              <w:rPr>
                <w:color w:val="auto"/>
                <w:sz w:val="21"/>
                <w:szCs w:val="21"/>
                <w:highlight w:val="none"/>
                <w:u w:val="single"/>
                <w:vertAlign w:val="superscript"/>
              </w:rPr>
              <w:t>3</w:t>
            </w:r>
            <w:r>
              <w:rPr>
                <w:color w:val="auto"/>
                <w:sz w:val="21"/>
                <w:szCs w:val="21"/>
                <w:highlight w:val="none"/>
                <w:u w:val="single"/>
              </w:rPr>
              <w:t>/d）处理</w:t>
            </w:r>
            <w:r>
              <w:rPr>
                <w:rFonts w:hint="eastAsia"/>
                <w:color w:val="auto"/>
                <w:sz w:val="21"/>
                <w:szCs w:val="21"/>
                <w:highlight w:val="none"/>
                <w:u w:val="single"/>
              </w:rPr>
              <w:t>后，进入中水回用池储存，大部分</w:t>
            </w:r>
            <w:r>
              <w:rPr>
                <w:color w:val="auto"/>
                <w:sz w:val="21"/>
                <w:szCs w:val="21"/>
                <w:highlight w:val="none"/>
                <w:u w:val="single"/>
              </w:rPr>
              <w:t>回用于厂区绿化及降尘，</w:t>
            </w:r>
            <w:r>
              <w:rPr>
                <w:rFonts w:hint="eastAsia"/>
                <w:color w:val="auto"/>
                <w:sz w:val="21"/>
                <w:szCs w:val="21"/>
                <w:highlight w:val="none"/>
                <w:u w:val="single"/>
              </w:rPr>
              <w:t>少部分</w:t>
            </w:r>
            <w:r>
              <w:rPr>
                <w:color w:val="auto"/>
                <w:sz w:val="21"/>
                <w:szCs w:val="21"/>
                <w:highlight w:val="none"/>
                <w:u w:val="single"/>
              </w:rPr>
              <w:t>不能回用的由槽罐车运至大榄坪污水处理厂处理</w:t>
            </w:r>
          </w:p>
        </w:tc>
        <w:tc>
          <w:tcPr>
            <w:tcW w:w="865" w:type="pct"/>
            <w:vAlign w:val="center"/>
          </w:tcPr>
          <w:p w14:paraId="0713E3EE">
            <w:pPr>
              <w:spacing w:line="240" w:lineRule="auto"/>
              <w:ind w:firstLine="0" w:firstLineChars="0"/>
              <w:jc w:val="center"/>
              <w:rPr>
                <w:bCs/>
                <w:color w:val="auto"/>
                <w:sz w:val="21"/>
                <w:szCs w:val="21"/>
                <w:highlight w:val="none"/>
              </w:rPr>
            </w:pPr>
            <w:r>
              <w:rPr>
                <w:rFonts w:hint="eastAsia"/>
                <w:bCs/>
                <w:color w:val="auto"/>
                <w:sz w:val="21"/>
                <w:szCs w:val="21"/>
                <w:highlight w:val="none"/>
              </w:rPr>
              <w:t>/</w:t>
            </w:r>
          </w:p>
        </w:tc>
      </w:tr>
      <w:tr w14:paraId="2B1EC5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7" w:type="pct"/>
            <w:vMerge w:val="restart"/>
            <w:vAlign w:val="center"/>
          </w:tcPr>
          <w:p w14:paraId="463A5089">
            <w:pPr>
              <w:spacing w:line="240" w:lineRule="auto"/>
              <w:ind w:firstLine="0" w:firstLineChars="0"/>
              <w:jc w:val="center"/>
              <w:rPr>
                <w:bCs/>
                <w:color w:val="auto"/>
                <w:sz w:val="21"/>
                <w:szCs w:val="21"/>
                <w:highlight w:val="none"/>
              </w:rPr>
            </w:pPr>
            <w:r>
              <w:rPr>
                <w:bCs/>
                <w:color w:val="auto"/>
                <w:sz w:val="21"/>
                <w:szCs w:val="21"/>
                <w:highlight w:val="none"/>
              </w:rPr>
              <w:t>固体废物</w:t>
            </w:r>
          </w:p>
        </w:tc>
        <w:tc>
          <w:tcPr>
            <w:tcW w:w="434" w:type="pct"/>
            <w:vMerge w:val="restart"/>
            <w:vAlign w:val="center"/>
          </w:tcPr>
          <w:p w14:paraId="4630835E">
            <w:pPr>
              <w:spacing w:line="240" w:lineRule="auto"/>
              <w:ind w:firstLine="0" w:firstLineChars="0"/>
              <w:jc w:val="center"/>
              <w:rPr>
                <w:bCs/>
                <w:color w:val="auto"/>
                <w:sz w:val="21"/>
                <w:szCs w:val="21"/>
                <w:highlight w:val="none"/>
              </w:rPr>
            </w:pPr>
            <w:r>
              <w:rPr>
                <w:bCs/>
                <w:color w:val="auto"/>
                <w:sz w:val="21"/>
                <w:szCs w:val="21"/>
                <w:highlight w:val="none"/>
              </w:rPr>
              <w:t>一般固体废物</w:t>
            </w:r>
          </w:p>
        </w:tc>
        <w:tc>
          <w:tcPr>
            <w:tcW w:w="699" w:type="pct"/>
            <w:vAlign w:val="center"/>
          </w:tcPr>
          <w:p w14:paraId="4E2C80B1">
            <w:pPr>
              <w:spacing w:line="240" w:lineRule="auto"/>
              <w:ind w:firstLine="0" w:firstLineChars="0"/>
              <w:jc w:val="center"/>
              <w:rPr>
                <w:color w:val="auto"/>
                <w:sz w:val="21"/>
                <w:szCs w:val="21"/>
                <w:highlight w:val="none"/>
              </w:rPr>
            </w:pPr>
            <w:r>
              <w:rPr>
                <w:color w:val="auto"/>
                <w:sz w:val="21"/>
                <w:szCs w:val="21"/>
                <w:highlight w:val="none"/>
              </w:rPr>
              <w:t>废焊料、焊渣</w:t>
            </w:r>
          </w:p>
        </w:tc>
        <w:tc>
          <w:tcPr>
            <w:tcW w:w="370" w:type="pct"/>
            <w:vAlign w:val="center"/>
          </w:tcPr>
          <w:p w14:paraId="1C51F473">
            <w:pPr>
              <w:spacing w:line="240" w:lineRule="auto"/>
              <w:ind w:firstLine="0" w:firstLineChars="0"/>
              <w:jc w:val="center"/>
              <w:rPr>
                <w:color w:val="auto"/>
                <w:sz w:val="21"/>
                <w:szCs w:val="21"/>
                <w:highlight w:val="none"/>
              </w:rPr>
            </w:pPr>
            <w:r>
              <w:rPr>
                <w:color w:val="auto"/>
                <w:sz w:val="21"/>
                <w:szCs w:val="21"/>
                <w:highlight w:val="none"/>
              </w:rPr>
              <w:t>3</w:t>
            </w:r>
          </w:p>
        </w:tc>
        <w:tc>
          <w:tcPr>
            <w:tcW w:w="385" w:type="pct"/>
            <w:vAlign w:val="center"/>
          </w:tcPr>
          <w:p w14:paraId="0F1B93B5">
            <w:pPr>
              <w:spacing w:line="240" w:lineRule="auto"/>
              <w:ind w:firstLine="0" w:firstLineChars="0"/>
              <w:jc w:val="center"/>
              <w:rPr>
                <w:color w:val="auto"/>
                <w:sz w:val="21"/>
                <w:szCs w:val="21"/>
                <w:highlight w:val="none"/>
              </w:rPr>
            </w:pPr>
            <w:r>
              <w:rPr>
                <w:bCs/>
                <w:color w:val="auto"/>
                <w:sz w:val="21"/>
                <w:szCs w:val="21"/>
                <w:highlight w:val="none"/>
              </w:rPr>
              <w:t>0</w:t>
            </w:r>
          </w:p>
        </w:tc>
        <w:tc>
          <w:tcPr>
            <w:tcW w:w="2019" w:type="pct"/>
            <w:vMerge w:val="restart"/>
            <w:vAlign w:val="center"/>
          </w:tcPr>
          <w:p w14:paraId="2FFE3583">
            <w:pPr>
              <w:spacing w:line="240" w:lineRule="auto"/>
              <w:ind w:firstLine="0" w:firstLineChars="0"/>
              <w:jc w:val="center"/>
              <w:rPr>
                <w:bCs/>
                <w:color w:val="auto"/>
                <w:sz w:val="21"/>
                <w:szCs w:val="21"/>
                <w:highlight w:val="none"/>
              </w:rPr>
            </w:pPr>
            <w:r>
              <w:rPr>
                <w:color w:val="auto"/>
                <w:sz w:val="21"/>
                <w:szCs w:val="21"/>
                <w:highlight w:val="none"/>
              </w:rPr>
              <w:t>收集到一般固废暂存间暂存，能回收的回收利用，不能回收利用的由中标公司（最近一次委托处理单位为钦州市鼎鑫再生资源回收利用有限公司）外运处理</w:t>
            </w:r>
          </w:p>
        </w:tc>
        <w:tc>
          <w:tcPr>
            <w:tcW w:w="865" w:type="pct"/>
            <w:vMerge w:val="restart"/>
            <w:vAlign w:val="center"/>
          </w:tcPr>
          <w:p w14:paraId="4657A341">
            <w:pPr>
              <w:spacing w:line="240" w:lineRule="auto"/>
              <w:ind w:firstLine="0" w:firstLineChars="0"/>
              <w:jc w:val="center"/>
              <w:rPr>
                <w:bCs/>
                <w:color w:val="auto"/>
                <w:sz w:val="21"/>
                <w:szCs w:val="21"/>
                <w:highlight w:val="none"/>
              </w:rPr>
            </w:pPr>
            <w:r>
              <w:rPr>
                <w:rFonts w:hint="eastAsia"/>
                <w:bCs/>
                <w:color w:val="auto"/>
                <w:sz w:val="21"/>
                <w:szCs w:val="21"/>
                <w:highlight w:val="none"/>
              </w:rPr>
              <w:t>/</w:t>
            </w:r>
          </w:p>
        </w:tc>
      </w:tr>
      <w:tr w14:paraId="779446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7" w:type="pct"/>
            <w:vMerge w:val="continue"/>
            <w:vAlign w:val="center"/>
          </w:tcPr>
          <w:p w14:paraId="567BB9FA">
            <w:pPr>
              <w:spacing w:line="240" w:lineRule="auto"/>
              <w:ind w:firstLine="0" w:firstLineChars="0"/>
              <w:jc w:val="center"/>
              <w:rPr>
                <w:bCs/>
                <w:color w:val="auto"/>
                <w:sz w:val="21"/>
                <w:szCs w:val="21"/>
                <w:highlight w:val="none"/>
              </w:rPr>
            </w:pPr>
          </w:p>
        </w:tc>
        <w:tc>
          <w:tcPr>
            <w:tcW w:w="434" w:type="pct"/>
            <w:vMerge w:val="continue"/>
            <w:vAlign w:val="center"/>
          </w:tcPr>
          <w:p w14:paraId="639A959E">
            <w:pPr>
              <w:spacing w:line="240" w:lineRule="auto"/>
              <w:ind w:firstLine="0" w:firstLineChars="0"/>
              <w:jc w:val="center"/>
              <w:rPr>
                <w:bCs/>
                <w:color w:val="auto"/>
                <w:sz w:val="21"/>
                <w:szCs w:val="21"/>
                <w:highlight w:val="none"/>
              </w:rPr>
            </w:pPr>
          </w:p>
        </w:tc>
        <w:tc>
          <w:tcPr>
            <w:tcW w:w="699" w:type="pct"/>
            <w:vAlign w:val="center"/>
          </w:tcPr>
          <w:p w14:paraId="3C6ABA85">
            <w:pPr>
              <w:spacing w:line="240" w:lineRule="auto"/>
              <w:ind w:firstLine="0" w:firstLineChars="0"/>
              <w:jc w:val="center"/>
              <w:rPr>
                <w:color w:val="auto"/>
                <w:sz w:val="21"/>
                <w:szCs w:val="21"/>
                <w:highlight w:val="none"/>
              </w:rPr>
            </w:pPr>
            <w:r>
              <w:rPr>
                <w:rFonts w:hint="eastAsia"/>
                <w:color w:val="auto"/>
                <w:sz w:val="21"/>
                <w:szCs w:val="21"/>
                <w:highlight w:val="none"/>
              </w:rPr>
              <w:t>切割废料</w:t>
            </w:r>
          </w:p>
        </w:tc>
        <w:tc>
          <w:tcPr>
            <w:tcW w:w="370" w:type="pct"/>
            <w:vAlign w:val="center"/>
          </w:tcPr>
          <w:p w14:paraId="65825E46">
            <w:pPr>
              <w:spacing w:line="240" w:lineRule="auto"/>
              <w:ind w:firstLine="0" w:firstLineChars="0"/>
              <w:jc w:val="center"/>
              <w:rPr>
                <w:color w:val="auto"/>
                <w:sz w:val="21"/>
                <w:szCs w:val="21"/>
                <w:highlight w:val="none"/>
              </w:rPr>
            </w:pPr>
            <w:r>
              <w:rPr>
                <w:rFonts w:hint="eastAsia"/>
                <w:color w:val="auto"/>
                <w:sz w:val="21"/>
                <w:szCs w:val="21"/>
                <w:highlight w:val="none"/>
              </w:rPr>
              <w:t>3</w:t>
            </w:r>
            <w:r>
              <w:rPr>
                <w:color w:val="auto"/>
                <w:sz w:val="21"/>
                <w:szCs w:val="21"/>
                <w:highlight w:val="none"/>
              </w:rPr>
              <w:t>0</w:t>
            </w:r>
          </w:p>
        </w:tc>
        <w:tc>
          <w:tcPr>
            <w:tcW w:w="385" w:type="pct"/>
            <w:vAlign w:val="center"/>
          </w:tcPr>
          <w:p w14:paraId="55679B17">
            <w:pPr>
              <w:spacing w:line="240" w:lineRule="auto"/>
              <w:ind w:firstLine="0" w:firstLineChars="0"/>
              <w:jc w:val="center"/>
              <w:rPr>
                <w:bCs/>
                <w:color w:val="auto"/>
                <w:sz w:val="21"/>
                <w:szCs w:val="21"/>
                <w:highlight w:val="none"/>
              </w:rPr>
            </w:pPr>
            <w:r>
              <w:rPr>
                <w:rFonts w:hint="eastAsia"/>
                <w:bCs/>
                <w:color w:val="auto"/>
                <w:sz w:val="21"/>
                <w:szCs w:val="21"/>
                <w:highlight w:val="none"/>
              </w:rPr>
              <w:t>0</w:t>
            </w:r>
          </w:p>
        </w:tc>
        <w:tc>
          <w:tcPr>
            <w:tcW w:w="2019" w:type="pct"/>
            <w:vMerge w:val="continue"/>
            <w:vAlign w:val="center"/>
          </w:tcPr>
          <w:p w14:paraId="02B59E45">
            <w:pPr>
              <w:spacing w:line="240" w:lineRule="auto"/>
              <w:ind w:firstLine="0" w:firstLineChars="0"/>
              <w:jc w:val="center"/>
              <w:rPr>
                <w:color w:val="auto"/>
                <w:sz w:val="21"/>
                <w:szCs w:val="21"/>
                <w:highlight w:val="none"/>
              </w:rPr>
            </w:pPr>
          </w:p>
        </w:tc>
        <w:tc>
          <w:tcPr>
            <w:tcW w:w="865" w:type="pct"/>
            <w:vMerge w:val="continue"/>
            <w:vAlign w:val="center"/>
          </w:tcPr>
          <w:p w14:paraId="0C857989">
            <w:pPr>
              <w:spacing w:line="240" w:lineRule="auto"/>
              <w:ind w:firstLine="0" w:firstLineChars="0"/>
              <w:jc w:val="center"/>
              <w:rPr>
                <w:bCs/>
                <w:color w:val="auto"/>
                <w:sz w:val="21"/>
                <w:szCs w:val="21"/>
                <w:highlight w:val="none"/>
              </w:rPr>
            </w:pPr>
          </w:p>
        </w:tc>
      </w:tr>
      <w:tr w14:paraId="18C5CB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7" w:type="pct"/>
            <w:vMerge w:val="continue"/>
            <w:vAlign w:val="center"/>
          </w:tcPr>
          <w:p w14:paraId="0E6742E3">
            <w:pPr>
              <w:spacing w:line="240" w:lineRule="auto"/>
              <w:ind w:firstLine="0" w:firstLineChars="0"/>
              <w:jc w:val="center"/>
              <w:rPr>
                <w:bCs/>
                <w:color w:val="auto"/>
                <w:sz w:val="21"/>
                <w:szCs w:val="21"/>
                <w:highlight w:val="none"/>
              </w:rPr>
            </w:pPr>
          </w:p>
        </w:tc>
        <w:tc>
          <w:tcPr>
            <w:tcW w:w="434" w:type="pct"/>
            <w:vMerge w:val="continue"/>
            <w:vAlign w:val="center"/>
          </w:tcPr>
          <w:p w14:paraId="2A7DBB15">
            <w:pPr>
              <w:spacing w:line="240" w:lineRule="auto"/>
              <w:ind w:firstLine="0" w:firstLineChars="0"/>
              <w:jc w:val="center"/>
              <w:rPr>
                <w:bCs/>
                <w:color w:val="auto"/>
                <w:sz w:val="21"/>
                <w:szCs w:val="21"/>
                <w:highlight w:val="none"/>
              </w:rPr>
            </w:pPr>
          </w:p>
        </w:tc>
        <w:tc>
          <w:tcPr>
            <w:tcW w:w="699" w:type="pct"/>
            <w:vAlign w:val="center"/>
          </w:tcPr>
          <w:p w14:paraId="347EEC72">
            <w:pPr>
              <w:spacing w:line="240" w:lineRule="auto"/>
              <w:ind w:firstLine="0" w:firstLineChars="0"/>
              <w:jc w:val="center"/>
              <w:rPr>
                <w:color w:val="auto"/>
                <w:sz w:val="21"/>
                <w:szCs w:val="21"/>
                <w:highlight w:val="none"/>
              </w:rPr>
            </w:pPr>
            <w:r>
              <w:rPr>
                <w:color w:val="auto"/>
                <w:sz w:val="21"/>
                <w:szCs w:val="21"/>
                <w:highlight w:val="none"/>
              </w:rPr>
              <w:t>废铜矿砂及铁锈</w:t>
            </w:r>
          </w:p>
        </w:tc>
        <w:tc>
          <w:tcPr>
            <w:tcW w:w="370" w:type="pct"/>
            <w:vAlign w:val="center"/>
          </w:tcPr>
          <w:p w14:paraId="0441A6C3">
            <w:pPr>
              <w:spacing w:line="240" w:lineRule="auto"/>
              <w:ind w:firstLine="0" w:firstLineChars="0"/>
              <w:jc w:val="center"/>
              <w:rPr>
                <w:color w:val="auto"/>
                <w:sz w:val="21"/>
                <w:szCs w:val="21"/>
                <w:highlight w:val="none"/>
              </w:rPr>
            </w:pPr>
            <w:r>
              <w:rPr>
                <w:color w:val="auto"/>
                <w:sz w:val="21"/>
                <w:szCs w:val="21"/>
                <w:highlight w:val="none"/>
              </w:rPr>
              <w:t>3596.4</w:t>
            </w:r>
          </w:p>
        </w:tc>
        <w:tc>
          <w:tcPr>
            <w:tcW w:w="385" w:type="pct"/>
            <w:vAlign w:val="center"/>
          </w:tcPr>
          <w:p w14:paraId="65A7360B">
            <w:pPr>
              <w:spacing w:line="240" w:lineRule="auto"/>
              <w:ind w:firstLine="0" w:firstLineChars="0"/>
              <w:jc w:val="center"/>
              <w:rPr>
                <w:color w:val="auto"/>
                <w:sz w:val="21"/>
                <w:szCs w:val="21"/>
                <w:highlight w:val="none"/>
              </w:rPr>
            </w:pPr>
            <w:r>
              <w:rPr>
                <w:bCs/>
                <w:color w:val="auto"/>
                <w:sz w:val="21"/>
                <w:szCs w:val="21"/>
                <w:highlight w:val="none"/>
              </w:rPr>
              <w:t>0</w:t>
            </w:r>
          </w:p>
        </w:tc>
        <w:tc>
          <w:tcPr>
            <w:tcW w:w="2019" w:type="pct"/>
            <w:vMerge w:val="continue"/>
            <w:vAlign w:val="center"/>
          </w:tcPr>
          <w:p w14:paraId="5AD12E78">
            <w:pPr>
              <w:spacing w:line="240" w:lineRule="auto"/>
              <w:ind w:firstLine="0" w:firstLineChars="0"/>
              <w:jc w:val="center"/>
              <w:rPr>
                <w:bCs/>
                <w:color w:val="auto"/>
                <w:sz w:val="21"/>
                <w:szCs w:val="21"/>
                <w:highlight w:val="none"/>
              </w:rPr>
            </w:pPr>
          </w:p>
        </w:tc>
        <w:tc>
          <w:tcPr>
            <w:tcW w:w="865" w:type="pct"/>
            <w:vMerge w:val="continue"/>
            <w:vAlign w:val="center"/>
          </w:tcPr>
          <w:p w14:paraId="25F08FB5">
            <w:pPr>
              <w:spacing w:line="240" w:lineRule="auto"/>
              <w:ind w:firstLine="0" w:firstLineChars="0"/>
              <w:jc w:val="center"/>
              <w:rPr>
                <w:bCs/>
                <w:color w:val="auto"/>
                <w:sz w:val="21"/>
                <w:szCs w:val="21"/>
                <w:highlight w:val="none"/>
              </w:rPr>
            </w:pPr>
          </w:p>
        </w:tc>
      </w:tr>
      <w:tr w14:paraId="13B81BE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7" w:type="pct"/>
            <w:vMerge w:val="continue"/>
            <w:vAlign w:val="center"/>
          </w:tcPr>
          <w:p w14:paraId="77218DCA">
            <w:pPr>
              <w:spacing w:line="240" w:lineRule="auto"/>
              <w:ind w:firstLine="0" w:firstLineChars="0"/>
              <w:jc w:val="center"/>
              <w:rPr>
                <w:bCs/>
                <w:color w:val="auto"/>
                <w:sz w:val="21"/>
                <w:szCs w:val="21"/>
                <w:highlight w:val="none"/>
              </w:rPr>
            </w:pPr>
          </w:p>
        </w:tc>
        <w:tc>
          <w:tcPr>
            <w:tcW w:w="434" w:type="pct"/>
            <w:vMerge w:val="continue"/>
            <w:vAlign w:val="center"/>
          </w:tcPr>
          <w:p w14:paraId="5D498853">
            <w:pPr>
              <w:spacing w:line="240" w:lineRule="auto"/>
              <w:ind w:firstLine="0" w:firstLineChars="0"/>
              <w:jc w:val="center"/>
              <w:rPr>
                <w:bCs/>
                <w:color w:val="auto"/>
                <w:sz w:val="21"/>
                <w:szCs w:val="21"/>
                <w:highlight w:val="none"/>
              </w:rPr>
            </w:pPr>
          </w:p>
        </w:tc>
        <w:tc>
          <w:tcPr>
            <w:tcW w:w="699" w:type="pct"/>
            <w:vAlign w:val="center"/>
          </w:tcPr>
          <w:p w14:paraId="68FFC16D">
            <w:pPr>
              <w:spacing w:line="240" w:lineRule="auto"/>
              <w:ind w:firstLine="0" w:firstLineChars="0"/>
              <w:jc w:val="center"/>
              <w:rPr>
                <w:color w:val="auto"/>
                <w:sz w:val="21"/>
                <w:szCs w:val="21"/>
                <w:highlight w:val="none"/>
              </w:rPr>
            </w:pPr>
            <w:r>
              <w:rPr>
                <w:color w:val="auto"/>
                <w:sz w:val="21"/>
                <w:szCs w:val="21"/>
                <w:highlight w:val="none"/>
              </w:rPr>
              <w:t>船坞沉降物</w:t>
            </w:r>
          </w:p>
        </w:tc>
        <w:tc>
          <w:tcPr>
            <w:tcW w:w="370" w:type="pct"/>
            <w:vAlign w:val="center"/>
          </w:tcPr>
          <w:p w14:paraId="36AC544E">
            <w:pPr>
              <w:spacing w:line="240" w:lineRule="auto"/>
              <w:ind w:firstLine="0" w:firstLineChars="0"/>
              <w:jc w:val="center"/>
              <w:rPr>
                <w:color w:val="auto"/>
                <w:sz w:val="21"/>
                <w:szCs w:val="21"/>
                <w:highlight w:val="none"/>
              </w:rPr>
            </w:pPr>
            <w:r>
              <w:rPr>
                <w:color w:val="auto"/>
                <w:sz w:val="21"/>
                <w:szCs w:val="21"/>
                <w:highlight w:val="none"/>
              </w:rPr>
              <w:t>59.88</w:t>
            </w:r>
          </w:p>
        </w:tc>
        <w:tc>
          <w:tcPr>
            <w:tcW w:w="385" w:type="pct"/>
            <w:vAlign w:val="center"/>
          </w:tcPr>
          <w:p w14:paraId="0C2B08C9">
            <w:pPr>
              <w:spacing w:line="240" w:lineRule="auto"/>
              <w:ind w:firstLine="0" w:firstLineChars="0"/>
              <w:jc w:val="center"/>
              <w:rPr>
                <w:color w:val="auto"/>
                <w:sz w:val="21"/>
                <w:szCs w:val="21"/>
                <w:highlight w:val="none"/>
              </w:rPr>
            </w:pPr>
            <w:r>
              <w:rPr>
                <w:bCs/>
                <w:color w:val="auto"/>
                <w:sz w:val="21"/>
                <w:szCs w:val="21"/>
                <w:highlight w:val="none"/>
              </w:rPr>
              <w:t>0</w:t>
            </w:r>
          </w:p>
        </w:tc>
        <w:tc>
          <w:tcPr>
            <w:tcW w:w="2019" w:type="pct"/>
            <w:vMerge w:val="continue"/>
            <w:vAlign w:val="center"/>
          </w:tcPr>
          <w:p w14:paraId="69FCAF54">
            <w:pPr>
              <w:spacing w:line="240" w:lineRule="auto"/>
              <w:ind w:firstLine="0" w:firstLineChars="0"/>
              <w:jc w:val="center"/>
              <w:rPr>
                <w:bCs/>
                <w:color w:val="auto"/>
                <w:sz w:val="21"/>
                <w:szCs w:val="21"/>
                <w:highlight w:val="none"/>
              </w:rPr>
            </w:pPr>
          </w:p>
        </w:tc>
        <w:tc>
          <w:tcPr>
            <w:tcW w:w="865" w:type="pct"/>
            <w:vMerge w:val="continue"/>
            <w:vAlign w:val="center"/>
          </w:tcPr>
          <w:p w14:paraId="1DDF1F15">
            <w:pPr>
              <w:spacing w:line="240" w:lineRule="auto"/>
              <w:ind w:firstLine="0" w:firstLineChars="0"/>
              <w:jc w:val="center"/>
              <w:rPr>
                <w:bCs/>
                <w:color w:val="auto"/>
                <w:sz w:val="21"/>
                <w:szCs w:val="21"/>
                <w:highlight w:val="none"/>
              </w:rPr>
            </w:pPr>
          </w:p>
        </w:tc>
      </w:tr>
      <w:tr w14:paraId="77C4AF9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7" w:type="pct"/>
            <w:vMerge w:val="continue"/>
            <w:vAlign w:val="center"/>
          </w:tcPr>
          <w:p w14:paraId="191269DF">
            <w:pPr>
              <w:spacing w:line="240" w:lineRule="auto"/>
              <w:ind w:firstLine="0" w:firstLineChars="0"/>
              <w:jc w:val="center"/>
              <w:rPr>
                <w:bCs/>
                <w:color w:val="auto"/>
                <w:sz w:val="21"/>
                <w:szCs w:val="21"/>
                <w:highlight w:val="none"/>
              </w:rPr>
            </w:pPr>
          </w:p>
        </w:tc>
        <w:tc>
          <w:tcPr>
            <w:tcW w:w="434" w:type="pct"/>
            <w:vMerge w:val="continue"/>
            <w:vAlign w:val="center"/>
          </w:tcPr>
          <w:p w14:paraId="72744F66">
            <w:pPr>
              <w:spacing w:line="240" w:lineRule="auto"/>
              <w:ind w:firstLine="0" w:firstLineChars="0"/>
              <w:jc w:val="center"/>
              <w:rPr>
                <w:bCs/>
                <w:color w:val="auto"/>
                <w:sz w:val="21"/>
                <w:szCs w:val="21"/>
                <w:highlight w:val="none"/>
              </w:rPr>
            </w:pPr>
          </w:p>
        </w:tc>
        <w:tc>
          <w:tcPr>
            <w:tcW w:w="699" w:type="pct"/>
            <w:vAlign w:val="center"/>
          </w:tcPr>
          <w:p w14:paraId="7316EF84">
            <w:pPr>
              <w:spacing w:line="240" w:lineRule="auto"/>
              <w:ind w:firstLine="0" w:firstLineChars="0"/>
              <w:jc w:val="center"/>
              <w:rPr>
                <w:color w:val="auto"/>
                <w:sz w:val="21"/>
                <w:szCs w:val="21"/>
                <w:highlight w:val="none"/>
              </w:rPr>
            </w:pPr>
            <w:r>
              <w:rPr>
                <w:color w:val="auto"/>
                <w:sz w:val="21"/>
                <w:szCs w:val="21"/>
                <w:highlight w:val="none"/>
              </w:rPr>
              <w:t>船舶附着海生生物</w:t>
            </w:r>
          </w:p>
        </w:tc>
        <w:tc>
          <w:tcPr>
            <w:tcW w:w="370" w:type="pct"/>
            <w:vAlign w:val="center"/>
          </w:tcPr>
          <w:p w14:paraId="51EF97B5">
            <w:pPr>
              <w:spacing w:line="240" w:lineRule="auto"/>
              <w:ind w:firstLine="0" w:firstLineChars="0"/>
              <w:jc w:val="center"/>
              <w:rPr>
                <w:color w:val="auto"/>
                <w:sz w:val="21"/>
                <w:szCs w:val="21"/>
                <w:highlight w:val="none"/>
              </w:rPr>
            </w:pPr>
            <w:r>
              <w:rPr>
                <w:color w:val="auto"/>
                <w:sz w:val="21"/>
                <w:szCs w:val="21"/>
                <w:highlight w:val="none"/>
              </w:rPr>
              <w:t>80</w:t>
            </w:r>
          </w:p>
        </w:tc>
        <w:tc>
          <w:tcPr>
            <w:tcW w:w="385" w:type="pct"/>
            <w:vAlign w:val="center"/>
          </w:tcPr>
          <w:p w14:paraId="6F9BE539">
            <w:pPr>
              <w:spacing w:line="240" w:lineRule="auto"/>
              <w:ind w:firstLine="0" w:firstLineChars="0"/>
              <w:jc w:val="center"/>
              <w:rPr>
                <w:color w:val="auto"/>
                <w:sz w:val="21"/>
                <w:szCs w:val="21"/>
                <w:highlight w:val="none"/>
              </w:rPr>
            </w:pPr>
            <w:r>
              <w:rPr>
                <w:bCs/>
                <w:color w:val="auto"/>
                <w:sz w:val="21"/>
                <w:szCs w:val="21"/>
                <w:highlight w:val="none"/>
              </w:rPr>
              <w:t>0</w:t>
            </w:r>
          </w:p>
        </w:tc>
        <w:tc>
          <w:tcPr>
            <w:tcW w:w="2019" w:type="pct"/>
            <w:vMerge w:val="restart"/>
            <w:vAlign w:val="center"/>
          </w:tcPr>
          <w:p w14:paraId="4AB5C02E">
            <w:pPr>
              <w:spacing w:line="240" w:lineRule="auto"/>
              <w:ind w:firstLine="0" w:firstLineChars="0"/>
              <w:jc w:val="center"/>
              <w:rPr>
                <w:bCs/>
                <w:color w:val="auto"/>
                <w:sz w:val="21"/>
                <w:szCs w:val="21"/>
                <w:highlight w:val="none"/>
              </w:rPr>
            </w:pPr>
            <w:r>
              <w:rPr>
                <w:color w:val="auto"/>
                <w:sz w:val="21"/>
                <w:szCs w:val="21"/>
                <w:highlight w:val="none"/>
              </w:rPr>
              <w:t>集中堆放，由环卫部门统一处理（部分为国外船舶生活垃圾，属特殊固废，经海事、港监部门消毒灭活处理检验后按一般固废处置要求处置）</w:t>
            </w:r>
          </w:p>
        </w:tc>
        <w:tc>
          <w:tcPr>
            <w:tcW w:w="865" w:type="pct"/>
            <w:vMerge w:val="continue"/>
            <w:vAlign w:val="center"/>
          </w:tcPr>
          <w:p w14:paraId="399A83F2">
            <w:pPr>
              <w:spacing w:line="240" w:lineRule="auto"/>
              <w:ind w:firstLine="0" w:firstLineChars="0"/>
              <w:jc w:val="center"/>
              <w:rPr>
                <w:bCs/>
                <w:color w:val="auto"/>
                <w:sz w:val="21"/>
                <w:szCs w:val="21"/>
                <w:highlight w:val="none"/>
              </w:rPr>
            </w:pPr>
          </w:p>
        </w:tc>
      </w:tr>
      <w:tr w14:paraId="589BA9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7" w:type="pct"/>
            <w:vMerge w:val="continue"/>
            <w:vAlign w:val="center"/>
          </w:tcPr>
          <w:p w14:paraId="4F90CAB5">
            <w:pPr>
              <w:spacing w:line="240" w:lineRule="auto"/>
              <w:ind w:firstLine="0" w:firstLineChars="0"/>
              <w:jc w:val="center"/>
              <w:rPr>
                <w:bCs/>
                <w:color w:val="auto"/>
                <w:sz w:val="21"/>
                <w:szCs w:val="21"/>
                <w:highlight w:val="none"/>
              </w:rPr>
            </w:pPr>
          </w:p>
        </w:tc>
        <w:tc>
          <w:tcPr>
            <w:tcW w:w="434" w:type="pct"/>
            <w:vMerge w:val="continue"/>
            <w:vAlign w:val="center"/>
          </w:tcPr>
          <w:p w14:paraId="00BD6B08">
            <w:pPr>
              <w:spacing w:line="240" w:lineRule="auto"/>
              <w:ind w:firstLine="0" w:firstLineChars="0"/>
              <w:jc w:val="center"/>
              <w:rPr>
                <w:bCs/>
                <w:color w:val="auto"/>
                <w:sz w:val="21"/>
                <w:szCs w:val="21"/>
                <w:highlight w:val="none"/>
              </w:rPr>
            </w:pPr>
          </w:p>
        </w:tc>
        <w:tc>
          <w:tcPr>
            <w:tcW w:w="699" w:type="pct"/>
            <w:vAlign w:val="center"/>
          </w:tcPr>
          <w:p w14:paraId="7DBFCD3F">
            <w:pPr>
              <w:spacing w:line="240" w:lineRule="auto"/>
              <w:ind w:firstLine="0" w:firstLineChars="0"/>
              <w:jc w:val="center"/>
              <w:rPr>
                <w:color w:val="auto"/>
                <w:sz w:val="21"/>
                <w:szCs w:val="21"/>
                <w:highlight w:val="none"/>
              </w:rPr>
            </w:pPr>
            <w:r>
              <w:rPr>
                <w:rFonts w:hint="eastAsia"/>
                <w:color w:val="auto"/>
                <w:sz w:val="21"/>
                <w:szCs w:val="21"/>
                <w:highlight w:val="none"/>
              </w:rPr>
              <w:t>初期雨水沉渣</w:t>
            </w:r>
          </w:p>
        </w:tc>
        <w:tc>
          <w:tcPr>
            <w:tcW w:w="370" w:type="pct"/>
            <w:vAlign w:val="center"/>
          </w:tcPr>
          <w:p w14:paraId="4231E4B2">
            <w:pPr>
              <w:spacing w:line="240" w:lineRule="auto"/>
              <w:ind w:firstLine="0" w:firstLineChars="0"/>
              <w:jc w:val="center"/>
              <w:rPr>
                <w:color w:val="auto"/>
                <w:sz w:val="21"/>
                <w:szCs w:val="21"/>
                <w:highlight w:val="none"/>
              </w:rPr>
            </w:pPr>
            <w:r>
              <w:rPr>
                <w:rFonts w:hint="eastAsia"/>
                <w:color w:val="auto"/>
                <w:sz w:val="21"/>
                <w:szCs w:val="21"/>
                <w:highlight w:val="none"/>
              </w:rPr>
              <w:t>2</w:t>
            </w:r>
            <w:r>
              <w:rPr>
                <w:color w:val="auto"/>
                <w:sz w:val="21"/>
                <w:szCs w:val="21"/>
                <w:highlight w:val="none"/>
              </w:rPr>
              <w:t>2.5kg/</w:t>
            </w:r>
            <w:r>
              <w:rPr>
                <w:rFonts w:hint="eastAsia"/>
                <w:color w:val="auto"/>
                <w:sz w:val="21"/>
                <w:szCs w:val="21"/>
                <w:highlight w:val="none"/>
              </w:rPr>
              <w:t>次</w:t>
            </w:r>
          </w:p>
        </w:tc>
        <w:tc>
          <w:tcPr>
            <w:tcW w:w="385" w:type="pct"/>
            <w:vAlign w:val="center"/>
          </w:tcPr>
          <w:p w14:paraId="0F1F5AF5">
            <w:pPr>
              <w:spacing w:line="240" w:lineRule="auto"/>
              <w:ind w:firstLine="0" w:firstLineChars="0"/>
              <w:jc w:val="center"/>
              <w:rPr>
                <w:bCs/>
                <w:color w:val="auto"/>
                <w:sz w:val="21"/>
                <w:szCs w:val="21"/>
                <w:highlight w:val="none"/>
              </w:rPr>
            </w:pPr>
            <w:r>
              <w:rPr>
                <w:rFonts w:hint="eastAsia"/>
                <w:bCs/>
                <w:color w:val="auto"/>
                <w:sz w:val="21"/>
                <w:szCs w:val="21"/>
                <w:highlight w:val="none"/>
              </w:rPr>
              <w:t>0</w:t>
            </w:r>
          </w:p>
        </w:tc>
        <w:tc>
          <w:tcPr>
            <w:tcW w:w="2019" w:type="pct"/>
            <w:vMerge w:val="continue"/>
            <w:vAlign w:val="center"/>
          </w:tcPr>
          <w:p w14:paraId="40F117C2">
            <w:pPr>
              <w:spacing w:line="240" w:lineRule="auto"/>
              <w:ind w:firstLine="0" w:firstLineChars="0"/>
              <w:jc w:val="center"/>
              <w:rPr>
                <w:color w:val="auto"/>
                <w:sz w:val="21"/>
                <w:szCs w:val="21"/>
                <w:highlight w:val="none"/>
              </w:rPr>
            </w:pPr>
          </w:p>
        </w:tc>
        <w:tc>
          <w:tcPr>
            <w:tcW w:w="865" w:type="pct"/>
            <w:vMerge w:val="continue"/>
            <w:vAlign w:val="center"/>
          </w:tcPr>
          <w:p w14:paraId="7C295480">
            <w:pPr>
              <w:spacing w:line="240" w:lineRule="auto"/>
              <w:ind w:firstLine="0" w:firstLineChars="0"/>
              <w:jc w:val="center"/>
              <w:rPr>
                <w:bCs/>
                <w:color w:val="auto"/>
                <w:sz w:val="21"/>
                <w:szCs w:val="21"/>
                <w:highlight w:val="none"/>
              </w:rPr>
            </w:pPr>
          </w:p>
        </w:tc>
      </w:tr>
      <w:tr w14:paraId="125B96A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7" w:type="pct"/>
            <w:vMerge w:val="continue"/>
            <w:vAlign w:val="center"/>
          </w:tcPr>
          <w:p w14:paraId="66BC2560">
            <w:pPr>
              <w:spacing w:line="240" w:lineRule="auto"/>
              <w:ind w:firstLine="0" w:firstLineChars="0"/>
              <w:jc w:val="center"/>
              <w:rPr>
                <w:bCs/>
                <w:color w:val="auto"/>
                <w:sz w:val="21"/>
                <w:szCs w:val="21"/>
                <w:highlight w:val="none"/>
              </w:rPr>
            </w:pPr>
          </w:p>
        </w:tc>
        <w:tc>
          <w:tcPr>
            <w:tcW w:w="434" w:type="pct"/>
            <w:vMerge w:val="continue"/>
            <w:vAlign w:val="center"/>
          </w:tcPr>
          <w:p w14:paraId="5AF2CB9C">
            <w:pPr>
              <w:spacing w:line="240" w:lineRule="auto"/>
              <w:ind w:firstLine="0" w:firstLineChars="0"/>
              <w:jc w:val="center"/>
              <w:rPr>
                <w:bCs/>
                <w:color w:val="auto"/>
                <w:sz w:val="21"/>
                <w:szCs w:val="21"/>
                <w:highlight w:val="none"/>
              </w:rPr>
            </w:pPr>
          </w:p>
        </w:tc>
        <w:tc>
          <w:tcPr>
            <w:tcW w:w="699" w:type="pct"/>
            <w:vAlign w:val="center"/>
          </w:tcPr>
          <w:p w14:paraId="2F7A038D">
            <w:pPr>
              <w:spacing w:line="240" w:lineRule="auto"/>
              <w:ind w:firstLine="0" w:firstLineChars="0"/>
              <w:jc w:val="center"/>
              <w:rPr>
                <w:color w:val="auto"/>
                <w:sz w:val="21"/>
                <w:szCs w:val="21"/>
                <w:highlight w:val="none"/>
              </w:rPr>
            </w:pPr>
            <w:r>
              <w:rPr>
                <w:color w:val="auto"/>
                <w:sz w:val="21"/>
                <w:szCs w:val="21"/>
                <w:highlight w:val="none"/>
              </w:rPr>
              <w:t>职工生活垃圾</w:t>
            </w:r>
          </w:p>
        </w:tc>
        <w:tc>
          <w:tcPr>
            <w:tcW w:w="370" w:type="pct"/>
            <w:vAlign w:val="center"/>
          </w:tcPr>
          <w:p w14:paraId="76E716EE">
            <w:pPr>
              <w:spacing w:line="240" w:lineRule="auto"/>
              <w:ind w:firstLine="0" w:firstLineChars="0"/>
              <w:jc w:val="center"/>
              <w:rPr>
                <w:color w:val="auto"/>
                <w:sz w:val="21"/>
                <w:szCs w:val="21"/>
                <w:highlight w:val="none"/>
              </w:rPr>
            </w:pPr>
            <w:r>
              <w:rPr>
                <w:color w:val="auto"/>
                <w:sz w:val="21"/>
                <w:szCs w:val="21"/>
                <w:highlight w:val="none"/>
              </w:rPr>
              <w:t>37.5</w:t>
            </w:r>
          </w:p>
        </w:tc>
        <w:tc>
          <w:tcPr>
            <w:tcW w:w="385" w:type="pct"/>
            <w:vAlign w:val="center"/>
          </w:tcPr>
          <w:p w14:paraId="1A679915">
            <w:pPr>
              <w:spacing w:line="240" w:lineRule="auto"/>
              <w:ind w:firstLine="0" w:firstLineChars="0"/>
              <w:jc w:val="center"/>
              <w:rPr>
                <w:color w:val="auto"/>
                <w:sz w:val="21"/>
                <w:szCs w:val="21"/>
                <w:highlight w:val="none"/>
              </w:rPr>
            </w:pPr>
            <w:r>
              <w:rPr>
                <w:bCs/>
                <w:color w:val="auto"/>
                <w:sz w:val="21"/>
                <w:szCs w:val="21"/>
                <w:highlight w:val="none"/>
              </w:rPr>
              <w:t>0</w:t>
            </w:r>
          </w:p>
        </w:tc>
        <w:tc>
          <w:tcPr>
            <w:tcW w:w="2019" w:type="pct"/>
            <w:vMerge w:val="continue"/>
            <w:vAlign w:val="center"/>
          </w:tcPr>
          <w:p w14:paraId="13686E68">
            <w:pPr>
              <w:spacing w:line="240" w:lineRule="auto"/>
              <w:ind w:firstLine="0" w:firstLineChars="0"/>
              <w:jc w:val="center"/>
              <w:rPr>
                <w:bCs/>
                <w:color w:val="auto"/>
                <w:sz w:val="21"/>
                <w:szCs w:val="21"/>
                <w:highlight w:val="none"/>
              </w:rPr>
            </w:pPr>
          </w:p>
        </w:tc>
        <w:tc>
          <w:tcPr>
            <w:tcW w:w="865" w:type="pct"/>
            <w:vMerge w:val="continue"/>
            <w:vAlign w:val="center"/>
          </w:tcPr>
          <w:p w14:paraId="286052F7">
            <w:pPr>
              <w:spacing w:line="240" w:lineRule="auto"/>
              <w:ind w:firstLine="0" w:firstLineChars="0"/>
              <w:jc w:val="center"/>
              <w:rPr>
                <w:bCs/>
                <w:color w:val="auto"/>
                <w:sz w:val="21"/>
                <w:szCs w:val="21"/>
                <w:highlight w:val="none"/>
              </w:rPr>
            </w:pPr>
          </w:p>
        </w:tc>
      </w:tr>
      <w:tr w14:paraId="4A1327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7" w:type="pct"/>
            <w:vMerge w:val="continue"/>
            <w:vAlign w:val="center"/>
          </w:tcPr>
          <w:p w14:paraId="5EAEBAF0">
            <w:pPr>
              <w:spacing w:line="240" w:lineRule="auto"/>
              <w:ind w:firstLine="0" w:firstLineChars="0"/>
              <w:jc w:val="center"/>
              <w:rPr>
                <w:bCs/>
                <w:color w:val="auto"/>
                <w:sz w:val="21"/>
                <w:szCs w:val="21"/>
                <w:highlight w:val="none"/>
              </w:rPr>
            </w:pPr>
          </w:p>
        </w:tc>
        <w:tc>
          <w:tcPr>
            <w:tcW w:w="434" w:type="pct"/>
            <w:vMerge w:val="continue"/>
            <w:vAlign w:val="center"/>
          </w:tcPr>
          <w:p w14:paraId="70466D37">
            <w:pPr>
              <w:spacing w:line="240" w:lineRule="auto"/>
              <w:ind w:firstLine="0" w:firstLineChars="0"/>
              <w:jc w:val="center"/>
              <w:rPr>
                <w:bCs/>
                <w:color w:val="auto"/>
                <w:sz w:val="21"/>
                <w:szCs w:val="21"/>
                <w:highlight w:val="none"/>
              </w:rPr>
            </w:pPr>
          </w:p>
        </w:tc>
        <w:tc>
          <w:tcPr>
            <w:tcW w:w="699" w:type="pct"/>
            <w:vAlign w:val="center"/>
          </w:tcPr>
          <w:p w14:paraId="58D8C3A0">
            <w:pPr>
              <w:spacing w:line="240" w:lineRule="auto"/>
              <w:ind w:firstLine="0" w:firstLineChars="0"/>
              <w:jc w:val="center"/>
              <w:rPr>
                <w:color w:val="auto"/>
                <w:sz w:val="21"/>
                <w:szCs w:val="21"/>
                <w:highlight w:val="none"/>
              </w:rPr>
            </w:pPr>
            <w:r>
              <w:rPr>
                <w:color w:val="auto"/>
                <w:sz w:val="21"/>
                <w:szCs w:val="21"/>
                <w:highlight w:val="none"/>
              </w:rPr>
              <w:t>船员生活垃圾</w:t>
            </w:r>
          </w:p>
        </w:tc>
        <w:tc>
          <w:tcPr>
            <w:tcW w:w="370" w:type="pct"/>
            <w:vAlign w:val="center"/>
          </w:tcPr>
          <w:p w14:paraId="0ED5B9A7">
            <w:pPr>
              <w:spacing w:line="240" w:lineRule="auto"/>
              <w:ind w:firstLine="0" w:firstLineChars="0"/>
              <w:jc w:val="center"/>
              <w:rPr>
                <w:color w:val="auto"/>
                <w:sz w:val="21"/>
                <w:szCs w:val="21"/>
                <w:highlight w:val="none"/>
              </w:rPr>
            </w:pPr>
            <w:r>
              <w:rPr>
                <w:color w:val="auto"/>
                <w:sz w:val="21"/>
                <w:szCs w:val="21"/>
                <w:highlight w:val="none"/>
              </w:rPr>
              <w:t>9</w:t>
            </w:r>
          </w:p>
        </w:tc>
        <w:tc>
          <w:tcPr>
            <w:tcW w:w="385" w:type="pct"/>
            <w:vAlign w:val="center"/>
          </w:tcPr>
          <w:p w14:paraId="383FFE0E">
            <w:pPr>
              <w:spacing w:line="240" w:lineRule="auto"/>
              <w:ind w:firstLine="0" w:firstLineChars="0"/>
              <w:jc w:val="center"/>
              <w:rPr>
                <w:color w:val="auto"/>
                <w:sz w:val="21"/>
                <w:szCs w:val="21"/>
                <w:highlight w:val="none"/>
              </w:rPr>
            </w:pPr>
            <w:r>
              <w:rPr>
                <w:bCs/>
                <w:color w:val="auto"/>
                <w:sz w:val="21"/>
                <w:szCs w:val="21"/>
                <w:highlight w:val="none"/>
              </w:rPr>
              <w:t>0</w:t>
            </w:r>
          </w:p>
        </w:tc>
        <w:tc>
          <w:tcPr>
            <w:tcW w:w="2019" w:type="pct"/>
            <w:vMerge w:val="continue"/>
            <w:vAlign w:val="center"/>
          </w:tcPr>
          <w:p w14:paraId="0A023662">
            <w:pPr>
              <w:spacing w:line="240" w:lineRule="auto"/>
              <w:ind w:firstLine="0" w:firstLineChars="0"/>
              <w:jc w:val="center"/>
              <w:rPr>
                <w:bCs/>
                <w:color w:val="auto"/>
                <w:sz w:val="21"/>
                <w:szCs w:val="21"/>
                <w:highlight w:val="none"/>
              </w:rPr>
            </w:pPr>
          </w:p>
        </w:tc>
        <w:tc>
          <w:tcPr>
            <w:tcW w:w="865" w:type="pct"/>
            <w:vMerge w:val="continue"/>
            <w:vAlign w:val="center"/>
          </w:tcPr>
          <w:p w14:paraId="11ECF22B">
            <w:pPr>
              <w:spacing w:line="240" w:lineRule="auto"/>
              <w:ind w:firstLine="0" w:firstLineChars="0"/>
              <w:jc w:val="center"/>
              <w:rPr>
                <w:bCs/>
                <w:color w:val="auto"/>
                <w:sz w:val="21"/>
                <w:szCs w:val="21"/>
                <w:highlight w:val="none"/>
              </w:rPr>
            </w:pPr>
          </w:p>
        </w:tc>
      </w:tr>
      <w:tr w14:paraId="167BC8D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7" w:type="pct"/>
            <w:vMerge w:val="continue"/>
            <w:vAlign w:val="center"/>
          </w:tcPr>
          <w:p w14:paraId="5BE5D955">
            <w:pPr>
              <w:spacing w:line="240" w:lineRule="auto"/>
              <w:ind w:firstLine="0" w:firstLineChars="0"/>
              <w:jc w:val="center"/>
              <w:rPr>
                <w:bCs/>
                <w:color w:val="auto"/>
                <w:sz w:val="21"/>
                <w:szCs w:val="21"/>
                <w:highlight w:val="none"/>
              </w:rPr>
            </w:pPr>
          </w:p>
        </w:tc>
        <w:tc>
          <w:tcPr>
            <w:tcW w:w="434" w:type="pct"/>
            <w:vMerge w:val="restart"/>
            <w:vAlign w:val="center"/>
          </w:tcPr>
          <w:p w14:paraId="1BCF88A5">
            <w:pPr>
              <w:spacing w:line="240" w:lineRule="auto"/>
              <w:ind w:firstLine="0" w:firstLineChars="0"/>
              <w:jc w:val="center"/>
              <w:rPr>
                <w:bCs/>
                <w:color w:val="auto"/>
                <w:sz w:val="21"/>
                <w:szCs w:val="21"/>
                <w:highlight w:val="none"/>
              </w:rPr>
            </w:pPr>
            <w:r>
              <w:rPr>
                <w:bCs/>
                <w:color w:val="auto"/>
                <w:sz w:val="21"/>
                <w:szCs w:val="21"/>
                <w:highlight w:val="none"/>
              </w:rPr>
              <w:t>危险废物</w:t>
            </w:r>
          </w:p>
        </w:tc>
        <w:tc>
          <w:tcPr>
            <w:tcW w:w="699" w:type="pct"/>
            <w:vAlign w:val="center"/>
          </w:tcPr>
          <w:p w14:paraId="03B9D19A">
            <w:pPr>
              <w:spacing w:line="240" w:lineRule="auto"/>
              <w:ind w:firstLine="0" w:firstLineChars="0"/>
              <w:jc w:val="center"/>
              <w:rPr>
                <w:color w:val="auto"/>
                <w:sz w:val="21"/>
                <w:szCs w:val="21"/>
                <w:highlight w:val="none"/>
              </w:rPr>
            </w:pPr>
            <w:r>
              <w:rPr>
                <w:color w:val="auto"/>
                <w:sz w:val="21"/>
                <w:szCs w:val="21"/>
                <w:highlight w:val="none"/>
              </w:rPr>
              <w:t>船舶废油</w:t>
            </w:r>
          </w:p>
        </w:tc>
        <w:tc>
          <w:tcPr>
            <w:tcW w:w="370" w:type="pct"/>
            <w:vAlign w:val="center"/>
          </w:tcPr>
          <w:p w14:paraId="0AAAA224">
            <w:pPr>
              <w:spacing w:line="240" w:lineRule="auto"/>
              <w:ind w:firstLine="0" w:firstLineChars="0"/>
              <w:jc w:val="center"/>
              <w:rPr>
                <w:color w:val="auto"/>
                <w:sz w:val="21"/>
                <w:szCs w:val="21"/>
                <w:highlight w:val="none"/>
              </w:rPr>
            </w:pPr>
            <w:r>
              <w:rPr>
                <w:color w:val="auto"/>
                <w:sz w:val="21"/>
                <w:szCs w:val="21"/>
                <w:highlight w:val="none"/>
              </w:rPr>
              <w:t>90</w:t>
            </w:r>
          </w:p>
        </w:tc>
        <w:tc>
          <w:tcPr>
            <w:tcW w:w="385" w:type="pct"/>
            <w:vAlign w:val="center"/>
          </w:tcPr>
          <w:p w14:paraId="4F1B0476">
            <w:pPr>
              <w:spacing w:line="240" w:lineRule="auto"/>
              <w:ind w:firstLine="0" w:firstLineChars="0"/>
              <w:jc w:val="center"/>
              <w:rPr>
                <w:bCs/>
                <w:color w:val="auto"/>
                <w:sz w:val="21"/>
                <w:szCs w:val="21"/>
                <w:highlight w:val="none"/>
              </w:rPr>
            </w:pPr>
            <w:r>
              <w:rPr>
                <w:bCs/>
                <w:color w:val="auto"/>
                <w:sz w:val="21"/>
                <w:szCs w:val="21"/>
                <w:highlight w:val="none"/>
              </w:rPr>
              <w:t>0</w:t>
            </w:r>
          </w:p>
        </w:tc>
        <w:tc>
          <w:tcPr>
            <w:tcW w:w="2019" w:type="pct"/>
            <w:vMerge w:val="restart"/>
            <w:vAlign w:val="center"/>
          </w:tcPr>
          <w:p w14:paraId="5A870459">
            <w:pPr>
              <w:spacing w:line="240" w:lineRule="auto"/>
              <w:ind w:firstLine="0" w:firstLineChars="0"/>
              <w:jc w:val="center"/>
              <w:rPr>
                <w:bCs/>
                <w:color w:val="auto"/>
                <w:sz w:val="21"/>
                <w:szCs w:val="21"/>
                <w:highlight w:val="none"/>
              </w:rPr>
            </w:pPr>
            <w:r>
              <w:rPr>
                <w:color w:val="auto"/>
                <w:sz w:val="21"/>
                <w:szCs w:val="21"/>
                <w:highlight w:val="none"/>
              </w:rPr>
              <w:t>在危废间分类暂存，定期由中标单位（</w:t>
            </w:r>
            <w:r>
              <w:rPr>
                <w:rFonts w:hint="eastAsia"/>
                <w:color w:val="auto"/>
                <w:sz w:val="21"/>
                <w:szCs w:val="21"/>
                <w:highlight w:val="none"/>
              </w:rPr>
              <w:t>最近一次委托处理单位为广西深投环保科技有限公司，目前正在签订新的委托合同</w:t>
            </w:r>
            <w:r>
              <w:rPr>
                <w:color w:val="auto"/>
                <w:sz w:val="21"/>
                <w:szCs w:val="21"/>
                <w:highlight w:val="none"/>
              </w:rPr>
              <w:t>）外运处理</w:t>
            </w:r>
          </w:p>
        </w:tc>
        <w:tc>
          <w:tcPr>
            <w:tcW w:w="865" w:type="pct"/>
            <w:vMerge w:val="restart"/>
            <w:vAlign w:val="center"/>
          </w:tcPr>
          <w:p w14:paraId="08BEB03D">
            <w:pPr>
              <w:spacing w:line="240" w:lineRule="auto"/>
              <w:ind w:firstLine="0" w:firstLineChars="0"/>
              <w:jc w:val="center"/>
              <w:rPr>
                <w:bCs/>
                <w:color w:val="auto"/>
                <w:sz w:val="21"/>
                <w:szCs w:val="21"/>
                <w:highlight w:val="none"/>
              </w:rPr>
            </w:pPr>
            <w:r>
              <w:rPr>
                <w:rFonts w:hint="eastAsia"/>
                <w:bCs/>
                <w:color w:val="auto"/>
                <w:sz w:val="21"/>
                <w:szCs w:val="21"/>
                <w:highlight w:val="none"/>
              </w:rPr>
              <w:t>/</w:t>
            </w:r>
          </w:p>
        </w:tc>
      </w:tr>
      <w:tr w14:paraId="2CCE36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7" w:type="pct"/>
            <w:vMerge w:val="continue"/>
            <w:vAlign w:val="center"/>
          </w:tcPr>
          <w:p w14:paraId="25D487D2">
            <w:pPr>
              <w:spacing w:line="240" w:lineRule="auto"/>
              <w:ind w:firstLine="0" w:firstLineChars="0"/>
              <w:jc w:val="center"/>
              <w:rPr>
                <w:bCs/>
                <w:color w:val="auto"/>
                <w:sz w:val="21"/>
                <w:szCs w:val="21"/>
                <w:highlight w:val="none"/>
              </w:rPr>
            </w:pPr>
          </w:p>
        </w:tc>
        <w:tc>
          <w:tcPr>
            <w:tcW w:w="434" w:type="pct"/>
            <w:vMerge w:val="continue"/>
            <w:vAlign w:val="center"/>
          </w:tcPr>
          <w:p w14:paraId="656B411A">
            <w:pPr>
              <w:spacing w:line="240" w:lineRule="auto"/>
              <w:ind w:firstLine="0" w:firstLineChars="0"/>
              <w:jc w:val="center"/>
              <w:rPr>
                <w:bCs/>
                <w:color w:val="auto"/>
                <w:sz w:val="21"/>
                <w:szCs w:val="21"/>
                <w:highlight w:val="none"/>
              </w:rPr>
            </w:pPr>
          </w:p>
        </w:tc>
        <w:tc>
          <w:tcPr>
            <w:tcW w:w="699" w:type="pct"/>
            <w:vAlign w:val="center"/>
          </w:tcPr>
          <w:p w14:paraId="5EAD7D07">
            <w:pPr>
              <w:spacing w:line="240" w:lineRule="auto"/>
              <w:ind w:firstLine="0" w:firstLineChars="0"/>
              <w:jc w:val="center"/>
              <w:rPr>
                <w:color w:val="auto"/>
                <w:sz w:val="21"/>
                <w:szCs w:val="21"/>
                <w:highlight w:val="none"/>
              </w:rPr>
            </w:pPr>
            <w:r>
              <w:rPr>
                <w:rFonts w:hint="eastAsia"/>
                <w:color w:val="auto"/>
                <w:sz w:val="21"/>
                <w:szCs w:val="21"/>
                <w:highlight w:val="none"/>
              </w:rPr>
              <w:t>漆渣</w:t>
            </w:r>
          </w:p>
        </w:tc>
        <w:tc>
          <w:tcPr>
            <w:tcW w:w="370" w:type="pct"/>
            <w:vAlign w:val="center"/>
          </w:tcPr>
          <w:p w14:paraId="40A255AD">
            <w:pPr>
              <w:spacing w:line="240" w:lineRule="auto"/>
              <w:ind w:firstLine="0" w:firstLineChars="0"/>
              <w:jc w:val="center"/>
              <w:rPr>
                <w:color w:val="auto"/>
                <w:sz w:val="21"/>
                <w:szCs w:val="21"/>
                <w:highlight w:val="none"/>
              </w:rPr>
            </w:pPr>
            <w:r>
              <w:rPr>
                <w:rFonts w:hint="eastAsia"/>
                <w:color w:val="auto"/>
                <w:sz w:val="21"/>
                <w:szCs w:val="21"/>
                <w:highlight w:val="none"/>
              </w:rPr>
              <w:t>20.60</w:t>
            </w:r>
          </w:p>
        </w:tc>
        <w:tc>
          <w:tcPr>
            <w:tcW w:w="385" w:type="pct"/>
            <w:vAlign w:val="center"/>
          </w:tcPr>
          <w:p w14:paraId="2EBDA969">
            <w:pPr>
              <w:spacing w:line="240" w:lineRule="auto"/>
              <w:ind w:firstLine="0" w:firstLineChars="0"/>
              <w:jc w:val="center"/>
              <w:rPr>
                <w:bCs/>
                <w:color w:val="auto"/>
                <w:sz w:val="21"/>
                <w:szCs w:val="21"/>
                <w:highlight w:val="none"/>
              </w:rPr>
            </w:pPr>
            <w:r>
              <w:rPr>
                <w:rFonts w:hint="eastAsia"/>
                <w:bCs/>
                <w:color w:val="auto"/>
                <w:sz w:val="21"/>
                <w:szCs w:val="21"/>
                <w:highlight w:val="none"/>
              </w:rPr>
              <w:t>0</w:t>
            </w:r>
          </w:p>
        </w:tc>
        <w:tc>
          <w:tcPr>
            <w:tcW w:w="2019" w:type="pct"/>
            <w:vMerge w:val="continue"/>
            <w:vAlign w:val="center"/>
          </w:tcPr>
          <w:p w14:paraId="3D18F9A3">
            <w:pPr>
              <w:spacing w:line="240" w:lineRule="auto"/>
              <w:ind w:firstLine="0" w:firstLineChars="0"/>
              <w:jc w:val="center"/>
              <w:rPr>
                <w:color w:val="auto"/>
                <w:sz w:val="21"/>
                <w:szCs w:val="21"/>
                <w:highlight w:val="none"/>
              </w:rPr>
            </w:pPr>
          </w:p>
        </w:tc>
        <w:tc>
          <w:tcPr>
            <w:tcW w:w="865" w:type="pct"/>
            <w:vMerge w:val="continue"/>
            <w:vAlign w:val="center"/>
          </w:tcPr>
          <w:p w14:paraId="022DA98D">
            <w:pPr>
              <w:spacing w:line="240" w:lineRule="auto"/>
              <w:ind w:firstLine="0" w:firstLineChars="0"/>
              <w:jc w:val="center"/>
              <w:rPr>
                <w:bCs/>
                <w:color w:val="auto"/>
                <w:sz w:val="21"/>
                <w:szCs w:val="21"/>
                <w:highlight w:val="none"/>
              </w:rPr>
            </w:pPr>
          </w:p>
        </w:tc>
      </w:tr>
      <w:tr w14:paraId="24059D9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7" w:type="pct"/>
            <w:vMerge w:val="continue"/>
            <w:vAlign w:val="center"/>
          </w:tcPr>
          <w:p w14:paraId="7E155EDF">
            <w:pPr>
              <w:spacing w:line="240" w:lineRule="auto"/>
              <w:ind w:firstLine="0" w:firstLineChars="0"/>
              <w:jc w:val="center"/>
              <w:rPr>
                <w:bCs/>
                <w:color w:val="auto"/>
                <w:sz w:val="21"/>
                <w:szCs w:val="21"/>
                <w:highlight w:val="none"/>
              </w:rPr>
            </w:pPr>
          </w:p>
        </w:tc>
        <w:tc>
          <w:tcPr>
            <w:tcW w:w="434" w:type="pct"/>
            <w:vMerge w:val="continue"/>
            <w:vAlign w:val="center"/>
          </w:tcPr>
          <w:p w14:paraId="14E58CCC">
            <w:pPr>
              <w:spacing w:line="240" w:lineRule="auto"/>
              <w:ind w:firstLine="0" w:firstLineChars="0"/>
              <w:jc w:val="center"/>
              <w:rPr>
                <w:bCs/>
                <w:color w:val="auto"/>
                <w:sz w:val="21"/>
                <w:szCs w:val="21"/>
                <w:highlight w:val="none"/>
              </w:rPr>
            </w:pPr>
          </w:p>
        </w:tc>
        <w:tc>
          <w:tcPr>
            <w:tcW w:w="699" w:type="pct"/>
            <w:vAlign w:val="center"/>
          </w:tcPr>
          <w:p w14:paraId="45572448">
            <w:pPr>
              <w:spacing w:line="240" w:lineRule="auto"/>
              <w:ind w:firstLine="0" w:firstLineChars="0"/>
              <w:jc w:val="center"/>
              <w:rPr>
                <w:color w:val="auto"/>
                <w:sz w:val="21"/>
                <w:szCs w:val="21"/>
                <w:highlight w:val="none"/>
              </w:rPr>
            </w:pPr>
            <w:r>
              <w:rPr>
                <w:rFonts w:hint="eastAsia"/>
                <w:color w:val="auto"/>
                <w:sz w:val="21"/>
                <w:szCs w:val="21"/>
                <w:highlight w:val="none"/>
              </w:rPr>
              <w:t>废油漆桶及稀释剂包装物</w:t>
            </w:r>
          </w:p>
        </w:tc>
        <w:tc>
          <w:tcPr>
            <w:tcW w:w="370" w:type="pct"/>
            <w:vAlign w:val="center"/>
          </w:tcPr>
          <w:p w14:paraId="3B17C482">
            <w:pPr>
              <w:spacing w:line="240" w:lineRule="auto"/>
              <w:ind w:firstLine="0" w:firstLineChars="0"/>
              <w:jc w:val="center"/>
              <w:rPr>
                <w:color w:val="auto"/>
                <w:sz w:val="21"/>
                <w:szCs w:val="21"/>
                <w:highlight w:val="none"/>
              </w:rPr>
            </w:pPr>
            <w:r>
              <w:rPr>
                <w:color w:val="auto"/>
                <w:sz w:val="21"/>
                <w:szCs w:val="21"/>
                <w:highlight w:val="none"/>
              </w:rPr>
              <w:t>15.11</w:t>
            </w:r>
          </w:p>
        </w:tc>
        <w:tc>
          <w:tcPr>
            <w:tcW w:w="385" w:type="pct"/>
            <w:vAlign w:val="center"/>
          </w:tcPr>
          <w:p w14:paraId="19DA8DB7">
            <w:pPr>
              <w:spacing w:line="240" w:lineRule="auto"/>
              <w:ind w:firstLine="0" w:firstLineChars="0"/>
              <w:jc w:val="center"/>
              <w:rPr>
                <w:bCs/>
                <w:color w:val="auto"/>
                <w:sz w:val="21"/>
                <w:szCs w:val="21"/>
                <w:highlight w:val="none"/>
              </w:rPr>
            </w:pPr>
            <w:r>
              <w:rPr>
                <w:bCs/>
                <w:color w:val="auto"/>
                <w:sz w:val="21"/>
                <w:szCs w:val="21"/>
                <w:highlight w:val="none"/>
              </w:rPr>
              <w:t>0</w:t>
            </w:r>
          </w:p>
        </w:tc>
        <w:tc>
          <w:tcPr>
            <w:tcW w:w="2019" w:type="pct"/>
            <w:vMerge w:val="continue"/>
            <w:vAlign w:val="center"/>
          </w:tcPr>
          <w:p w14:paraId="707B5AD4">
            <w:pPr>
              <w:spacing w:line="240" w:lineRule="auto"/>
              <w:ind w:firstLine="0" w:firstLineChars="0"/>
              <w:jc w:val="center"/>
              <w:rPr>
                <w:bCs/>
                <w:color w:val="auto"/>
                <w:sz w:val="21"/>
                <w:szCs w:val="21"/>
                <w:highlight w:val="none"/>
              </w:rPr>
            </w:pPr>
          </w:p>
        </w:tc>
        <w:tc>
          <w:tcPr>
            <w:tcW w:w="865" w:type="pct"/>
            <w:vMerge w:val="continue"/>
            <w:vAlign w:val="center"/>
          </w:tcPr>
          <w:p w14:paraId="47585D71">
            <w:pPr>
              <w:spacing w:line="240" w:lineRule="auto"/>
              <w:ind w:firstLine="0" w:firstLineChars="0"/>
              <w:jc w:val="center"/>
              <w:rPr>
                <w:bCs/>
                <w:color w:val="auto"/>
                <w:sz w:val="21"/>
                <w:szCs w:val="21"/>
                <w:highlight w:val="none"/>
              </w:rPr>
            </w:pPr>
          </w:p>
        </w:tc>
      </w:tr>
      <w:tr w14:paraId="7586CD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7" w:type="pct"/>
            <w:vMerge w:val="continue"/>
            <w:vAlign w:val="center"/>
          </w:tcPr>
          <w:p w14:paraId="067B1554">
            <w:pPr>
              <w:spacing w:line="240" w:lineRule="auto"/>
              <w:ind w:firstLine="0" w:firstLineChars="0"/>
              <w:jc w:val="center"/>
              <w:rPr>
                <w:bCs/>
                <w:color w:val="auto"/>
                <w:sz w:val="21"/>
                <w:szCs w:val="21"/>
                <w:highlight w:val="none"/>
              </w:rPr>
            </w:pPr>
          </w:p>
        </w:tc>
        <w:tc>
          <w:tcPr>
            <w:tcW w:w="434" w:type="pct"/>
            <w:vMerge w:val="continue"/>
            <w:vAlign w:val="center"/>
          </w:tcPr>
          <w:p w14:paraId="3AEDF3D5">
            <w:pPr>
              <w:spacing w:line="240" w:lineRule="auto"/>
              <w:ind w:firstLine="0" w:firstLineChars="0"/>
              <w:jc w:val="center"/>
              <w:rPr>
                <w:bCs/>
                <w:color w:val="auto"/>
                <w:sz w:val="21"/>
                <w:szCs w:val="21"/>
                <w:highlight w:val="none"/>
              </w:rPr>
            </w:pPr>
          </w:p>
        </w:tc>
        <w:tc>
          <w:tcPr>
            <w:tcW w:w="699" w:type="pct"/>
            <w:vAlign w:val="center"/>
          </w:tcPr>
          <w:p w14:paraId="55B014AF">
            <w:pPr>
              <w:spacing w:line="240" w:lineRule="auto"/>
              <w:ind w:firstLine="0" w:firstLineChars="0"/>
              <w:jc w:val="center"/>
              <w:rPr>
                <w:color w:val="auto"/>
                <w:sz w:val="21"/>
                <w:szCs w:val="21"/>
                <w:highlight w:val="none"/>
              </w:rPr>
            </w:pPr>
            <w:r>
              <w:rPr>
                <w:rFonts w:hint="eastAsia"/>
                <w:color w:val="auto"/>
                <w:sz w:val="21"/>
                <w:szCs w:val="21"/>
                <w:highlight w:val="none"/>
              </w:rPr>
              <w:t>废乳化液</w:t>
            </w:r>
          </w:p>
        </w:tc>
        <w:tc>
          <w:tcPr>
            <w:tcW w:w="370" w:type="pct"/>
            <w:vAlign w:val="center"/>
          </w:tcPr>
          <w:p w14:paraId="5F166366">
            <w:pPr>
              <w:spacing w:line="240" w:lineRule="auto"/>
              <w:ind w:firstLine="0" w:firstLineChars="0"/>
              <w:jc w:val="center"/>
              <w:rPr>
                <w:color w:val="auto"/>
                <w:sz w:val="21"/>
                <w:szCs w:val="21"/>
                <w:highlight w:val="none"/>
              </w:rPr>
            </w:pPr>
            <w:r>
              <w:rPr>
                <w:rFonts w:hint="eastAsia"/>
                <w:color w:val="auto"/>
                <w:sz w:val="21"/>
                <w:szCs w:val="21"/>
                <w:highlight w:val="none"/>
              </w:rPr>
              <w:t>0</w:t>
            </w:r>
            <w:r>
              <w:rPr>
                <w:color w:val="auto"/>
                <w:sz w:val="21"/>
                <w:szCs w:val="21"/>
                <w:highlight w:val="none"/>
              </w:rPr>
              <w:t>.5</w:t>
            </w:r>
          </w:p>
        </w:tc>
        <w:tc>
          <w:tcPr>
            <w:tcW w:w="385" w:type="pct"/>
            <w:vAlign w:val="center"/>
          </w:tcPr>
          <w:p w14:paraId="78F03A7C">
            <w:pPr>
              <w:spacing w:line="240" w:lineRule="auto"/>
              <w:ind w:firstLine="0" w:firstLineChars="0"/>
              <w:jc w:val="center"/>
              <w:rPr>
                <w:bCs/>
                <w:color w:val="auto"/>
                <w:sz w:val="21"/>
                <w:szCs w:val="21"/>
                <w:highlight w:val="none"/>
              </w:rPr>
            </w:pPr>
            <w:r>
              <w:rPr>
                <w:rFonts w:hint="eastAsia"/>
                <w:bCs/>
                <w:color w:val="auto"/>
                <w:sz w:val="21"/>
                <w:szCs w:val="21"/>
                <w:highlight w:val="none"/>
              </w:rPr>
              <w:t>0</w:t>
            </w:r>
          </w:p>
        </w:tc>
        <w:tc>
          <w:tcPr>
            <w:tcW w:w="2019" w:type="pct"/>
            <w:vMerge w:val="continue"/>
            <w:vAlign w:val="center"/>
          </w:tcPr>
          <w:p w14:paraId="33009F9C">
            <w:pPr>
              <w:spacing w:line="240" w:lineRule="auto"/>
              <w:ind w:firstLine="0" w:firstLineChars="0"/>
              <w:jc w:val="center"/>
              <w:rPr>
                <w:bCs/>
                <w:color w:val="auto"/>
                <w:sz w:val="21"/>
                <w:szCs w:val="21"/>
                <w:highlight w:val="none"/>
              </w:rPr>
            </w:pPr>
          </w:p>
        </w:tc>
        <w:tc>
          <w:tcPr>
            <w:tcW w:w="865" w:type="pct"/>
            <w:vMerge w:val="continue"/>
            <w:vAlign w:val="center"/>
          </w:tcPr>
          <w:p w14:paraId="39F7E130">
            <w:pPr>
              <w:spacing w:line="240" w:lineRule="auto"/>
              <w:ind w:firstLine="0" w:firstLineChars="0"/>
              <w:jc w:val="center"/>
              <w:rPr>
                <w:bCs/>
                <w:color w:val="auto"/>
                <w:sz w:val="21"/>
                <w:szCs w:val="21"/>
                <w:highlight w:val="none"/>
              </w:rPr>
            </w:pPr>
          </w:p>
        </w:tc>
      </w:tr>
      <w:tr w14:paraId="026668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7" w:type="pct"/>
            <w:vMerge w:val="continue"/>
            <w:vAlign w:val="center"/>
          </w:tcPr>
          <w:p w14:paraId="4F78F50F">
            <w:pPr>
              <w:spacing w:line="240" w:lineRule="auto"/>
              <w:ind w:firstLine="0" w:firstLineChars="0"/>
              <w:jc w:val="center"/>
              <w:rPr>
                <w:bCs/>
                <w:color w:val="auto"/>
                <w:sz w:val="21"/>
                <w:szCs w:val="21"/>
                <w:highlight w:val="none"/>
              </w:rPr>
            </w:pPr>
          </w:p>
        </w:tc>
        <w:tc>
          <w:tcPr>
            <w:tcW w:w="434" w:type="pct"/>
            <w:vMerge w:val="continue"/>
            <w:vAlign w:val="center"/>
          </w:tcPr>
          <w:p w14:paraId="6E5E1A96">
            <w:pPr>
              <w:spacing w:line="240" w:lineRule="auto"/>
              <w:ind w:firstLine="0" w:firstLineChars="0"/>
              <w:jc w:val="center"/>
              <w:rPr>
                <w:bCs/>
                <w:color w:val="auto"/>
                <w:sz w:val="21"/>
                <w:szCs w:val="21"/>
                <w:highlight w:val="none"/>
              </w:rPr>
            </w:pPr>
          </w:p>
        </w:tc>
        <w:tc>
          <w:tcPr>
            <w:tcW w:w="699" w:type="pct"/>
            <w:vAlign w:val="center"/>
          </w:tcPr>
          <w:p w14:paraId="2B2EDA0A">
            <w:pPr>
              <w:spacing w:line="240" w:lineRule="auto"/>
              <w:ind w:firstLine="0" w:firstLineChars="0"/>
              <w:jc w:val="center"/>
              <w:rPr>
                <w:color w:val="auto"/>
                <w:sz w:val="21"/>
                <w:szCs w:val="21"/>
                <w:highlight w:val="none"/>
              </w:rPr>
            </w:pPr>
            <w:r>
              <w:rPr>
                <w:color w:val="auto"/>
                <w:sz w:val="21"/>
                <w:szCs w:val="21"/>
                <w:highlight w:val="none"/>
              </w:rPr>
              <w:t>废油污泥</w:t>
            </w:r>
          </w:p>
        </w:tc>
        <w:tc>
          <w:tcPr>
            <w:tcW w:w="370" w:type="pct"/>
            <w:vAlign w:val="center"/>
          </w:tcPr>
          <w:p w14:paraId="3F6F7AB0">
            <w:pPr>
              <w:spacing w:line="240" w:lineRule="auto"/>
              <w:ind w:firstLine="0" w:firstLineChars="0"/>
              <w:jc w:val="center"/>
              <w:rPr>
                <w:color w:val="auto"/>
                <w:sz w:val="21"/>
                <w:szCs w:val="21"/>
                <w:highlight w:val="none"/>
              </w:rPr>
            </w:pPr>
            <w:r>
              <w:rPr>
                <w:color w:val="auto"/>
                <w:sz w:val="21"/>
                <w:szCs w:val="21"/>
                <w:highlight w:val="none"/>
              </w:rPr>
              <w:t>9.8</w:t>
            </w:r>
          </w:p>
        </w:tc>
        <w:tc>
          <w:tcPr>
            <w:tcW w:w="385" w:type="pct"/>
            <w:vAlign w:val="center"/>
          </w:tcPr>
          <w:p w14:paraId="32C28F99">
            <w:pPr>
              <w:spacing w:line="240" w:lineRule="auto"/>
              <w:ind w:firstLine="0" w:firstLineChars="0"/>
              <w:jc w:val="center"/>
              <w:rPr>
                <w:bCs/>
                <w:color w:val="auto"/>
                <w:sz w:val="21"/>
                <w:szCs w:val="21"/>
                <w:highlight w:val="none"/>
              </w:rPr>
            </w:pPr>
            <w:r>
              <w:rPr>
                <w:bCs/>
                <w:color w:val="auto"/>
                <w:sz w:val="21"/>
                <w:szCs w:val="21"/>
                <w:highlight w:val="none"/>
              </w:rPr>
              <w:t>0</w:t>
            </w:r>
          </w:p>
        </w:tc>
        <w:tc>
          <w:tcPr>
            <w:tcW w:w="2019" w:type="pct"/>
            <w:vMerge w:val="continue"/>
            <w:vAlign w:val="center"/>
          </w:tcPr>
          <w:p w14:paraId="6D0BBC5E">
            <w:pPr>
              <w:spacing w:line="240" w:lineRule="auto"/>
              <w:ind w:firstLine="0" w:firstLineChars="0"/>
              <w:jc w:val="center"/>
              <w:rPr>
                <w:bCs/>
                <w:color w:val="auto"/>
                <w:sz w:val="21"/>
                <w:szCs w:val="21"/>
                <w:highlight w:val="none"/>
              </w:rPr>
            </w:pPr>
          </w:p>
        </w:tc>
        <w:tc>
          <w:tcPr>
            <w:tcW w:w="865" w:type="pct"/>
            <w:vMerge w:val="continue"/>
            <w:vAlign w:val="center"/>
          </w:tcPr>
          <w:p w14:paraId="76464F8A">
            <w:pPr>
              <w:spacing w:line="240" w:lineRule="auto"/>
              <w:ind w:firstLine="0" w:firstLineChars="0"/>
              <w:jc w:val="center"/>
              <w:rPr>
                <w:bCs/>
                <w:color w:val="auto"/>
                <w:sz w:val="21"/>
                <w:szCs w:val="21"/>
                <w:highlight w:val="none"/>
              </w:rPr>
            </w:pPr>
          </w:p>
        </w:tc>
      </w:tr>
    </w:tbl>
    <w:p w14:paraId="2DD0650F">
      <w:pPr>
        <w:spacing w:line="500" w:lineRule="atLeast"/>
        <w:ind w:firstLine="482"/>
        <w:rPr>
          <w:b/>
          <w:bCs/>
          <w:color w:val="auto"/>
          <w:highlight w:val="none"/>
        </w:rPr>
      </w:pPr>
    </w:p>
    <w:p w14:paraId="2EC1B457">
      <w:pPr>
        <w:pStyle w:val="91"/>
        <w:ind w:left="0" w:leftChars="0" w:firstLine="0" w:firstLineChars="0"/>
        <w:rPr>
          <w:color w:val="auto"/>
          <w:highlight w:val="none"/>
        </w:rPr>
        <w:sectPr>
          <w:pgSz w:w="16838" w:h="11906" w:orient="landscape"/>
          <w:pgMar w:top="1418" w:right="1559" w:bottom="1418" w:left="1503" w:header="851" w:footer="964" w:gutter="0"/>
          <w:cols w:space="720" w:num="1"/>
          <w:docGrid w:linePitch="326" w:charSpace="0"/>
        </w:sectPr>
      </w:pPr>
    </w:p>
    <w:p w14:paraId="58302773">
      <w:pPr>
        <w:pStyle w:val="7"/>
        <w:numPr>
          <w:ilvl w:val="2"/>
          <w:numId w:val="9"/>
        </w:numPr>
        <w:rPr>
          <w:color w:val="auto"/>
          <w:sz w:val="28"/>
          <w:highlight w:val="none"/>
        </w:rPr>
      </w:pPr>
      <w:bookmarkStart w:id="296" w:name="_Toc514311097"/>
      <w:bookmarkStart w:id="297" w:name="_Toc503550504"/>
      <w:bookmarkStart w:id="298" w:name="_Toc505004514"/>
      <w:bookmarkStart w:id="299" w:name="_Toc33967140"/>
      <w:bookmarkStart w:id="300" w:name="_Toc33967244"/>
      <w:r>
        <w:rPr>
          <w:color w:val="auto"/>
          <w:sz w:val="28"/>
          <w:highlight w:val="none"/>
        </w:rPr>
        <w:t>污染物排放总量</w:t>
      </w:r>
      <w:bookmarkEnd w:id="296"/>
      <w:bookmarkEnd w:id="297"/>
      <w:bookmarkEnd w:id="298"/>
    </w:p>
    <w:p w14:paraId="4A66494F">
      <w:pPr>
        <w:widowControl/>
        <w:autoSpaceDE w:val="0"/>
        <w:autoSpaceDN w:val="0"/>
        <w:ind w:firstLine="480"/>
        <w:rPr>
          <w:color w:val="auto"/>
          <w:szCs w:val="32"/>
          <w:highlight w:val="none"/>
        </w:rPr>
      </w:pPr>
      <w:r>
        <w:rPr>
          <w:color w:val="auto"/>
          <w:szCs w:val="32"/>
          <w:highlight w:val="none"/>
        </w:rPr>
        <w:t>本工程无有组织排放废气；生活污水、含油废水及初期雨水均依托现有废水处理设施处理后进入大榄坪污水处理厂处理，不在本项目区域排放。</w:t>
      </w:r>
    </w:p>
    <w:p w14:paraId="51173011">
      <w:pPr>
        <w:widowControl/>
        <w:autoSpaceDE w:val="0"/>
        <w:autoSpaceDN w:val="0"/>
        <w:ind w:firstLine="480"/>
        <w:rPr>
          <w:color w:val="auto"/>
          <w:szCs w:val="32"/>
          <w:highlight w:val="none"/>
        </w:rPr>
      </w:pPr>
      <w:r>
        <w:rPr>
          <w:color w:val="auto"/>
          <w:szCs w:val="32"/>
          <w:highlight w:val="none"/>
        </w:rPr>
        <w:t>综上，项目不设废气、废水总量控制指标。</w:t>
      </w:r>
    </w:p>
    <w:p w14:paraId="019BEA40">
      <w:pPr>
        <w:pStyle w:val="7"/>
        <w:numPr>
          <w:ilvl w:val="2"/>
          <w:numId w:val="9"/>
        </w:numPr>
        <w:rPr>
          <w:color w:val="auto"/>
          <w:sz w:val="28"/>
          <w:highlight w:val="none"/>
        </w:rPr>
      </w:pPr>
      <w:r>
        <w:rPr>
          <w:color w:val="auto"/>
          <w:sz w:val="28"/>
          <w:highlight w:val="none"/>
        </w:rPr>
        <w:t>排污口规范化管理</w:t>
      </w:r>
    </w:p>
    <w:p w14:paraId="55764635">
      <w:pPr>
        <w:ind w:firstLine="480"/>
        <w:rPr>
          <w:color w:val="auto"/>
          <w:highlight w:val="none"/>
        </w:rPr>
      </w:pPr>
      <w:r>
        <w:rPr>
          <w:color w:val="auto"/>
          <w:highlight w:val="none"/>
        </w:rPr>
        <w:t>（1）废水排放口</w:t>
      </w:r>
    </w:p>
    <w:p w14:paraId="3570387F">
      <w:pPr>
        <w:ind w:firstLine="480"/>
        <w:rPr>
          <w:color w:val="auto"/>
          <w:highlight w:val="none"/>
        </w:rPr>
      </w:pPr>
      <w:r>
        <w:rPr>
          <w:color w:val="auto"/>
          <w:highlight w:val="none"/>
        </w:rPr>
        <w:t>本项目废水均依托现有工程废水处理设施处理。</w:t>
      </w:r>
    </w:p>
    <w:p w14:paraId="2D342BE4">
      <w:pPr>
        <w:ind w:firstLine="480"/>
        <w:rPr>
          <w:color w:val="auto"/>
          <w:highlight w:val="none"/>
        </w:rPr>
      </w:pPr>
      <w:r>
        <w:rPr>
          <w:color w:val="auto"/>
          <w:highlight w:val="none"/>
        </w:rPr>
        <w:t>（2）废气</w:t>
      </w:r>
    </w:p>
    <w:p w14:paraId="458495CE">
      <w:pPr>
        <w:ind w:firstLine="480"/>
        <w:rPr>
          <w:color w:val="auto"/>
          <w:highlight w:val="none"/>
        </w:rPr>
      </w:pPr>
      <w:r>
        <w:rPr>
          <w:color w:val="auto"/>
          <w:highlight w:val="none"/>
        </w:rPr>
        <w:t>本项目无有组织排放口。</w:t>
      </w:r>
    </w:p>
    <w:p w14:paraId="0A73E0B9">
      <w:pPr>
        <w:ind w:firstLine="480"/>
        <w:rPr>
          <w:color w:val="auto"/>
          <w:highlight w:val="none"/>
        </w:rPr>
      </w:pPr>
      <w:r>
        <w:rPr>
          <w:color w:val="auto"/>
          <w:highlight w:val="none"/>
        </w:rPr>
        <w:t>（3）固体废物</w:t>
      </w:r>
    </w:p>
    <w:p w14:paraId="1A80C75E">
      <w:pPr>
        <w:ind w:firstLine="480"/>
        <w:rPr>
          <w:color w:val="auto"/>
          <w:highlight w:val="none"/>
        </w:rPr>
      </w:pPr>
      <w:r>
        <w:rPr>
          <w:color w:val="auto"/>
          <w:highlight w:val="none"/>
        </w:rPr>
        <w:t>一般固体废物依托现有一般固体废物暂存间；危险废物依托现有危险废物暂存。</w:t>
      </w:r>
    </w:p>
    <w:p w14:paraId="596D106D">
      <w:pPr>
        <w:pStyle w:val="7"/>
        <w:numPr>
          <w:ilvl w:val="2"/>
          <w:numId w:val="9"/>
        </w:numPr>
        <w:rPr>
          <w:color w:val="auto"/>
          <w:sz w:val="28"/>
          <w:highlight w:val="none"/>
        </w:rPr>
      </w:pPr>
      <w:r>
        <w:rPr>
          <w:color w:val="auto"/>
          <w:sz w:val="28"/>
          <w:highlight w:val="none"/>
        </w:rPr>
        <w:t>排污许可申请与管理</w:t>
      </w:r>
    </w:p>
    <w:p w14:paraId="481C170A">
      <w:pPr>
        <w:widowControl/>
        <w:autoSpaceDE w:val="0"/>
        <w:autoSpaceDN w:val="0"/>
        <w:ind w:firstLine="480"/>
        <w:rPr>
          <w:color w:val="auto"/>
          <w:szCs w:val="32"/>
          <w:highlight w:val="none"/>
        </w:rPr>
      </w:pPr>
      <w:r>
        <w:rPr>
          <w:color w:val="auto"/>
          <w:szCs w:val="32"/>
          <w:highlight w:val="none"/>
        </w:rPr>
        <w:t>项目必须在发生实际排污行为之前根据《排污许可管理条例》、《排污许可证申请与核发技术规范铁路、船舶、航空航天和其他运输设备制造业》</w:t>
      </w:r>
      <w:r>
        <w:rPr>
          <w:rFonts w:hint="eastAsia"/>
          <w:color w:val="auto"/>
          <w:szCs w:val="32"/>
          <w:highlight w:val="none"/>
        </w:rPr>
        <w:t>（</w:t>
      </w:r>
      <w:r>
        <w:rPr>
          <w:color w:val="auto"/>
          <w:szCs w:val="32"/>
          <w:highlight w:val="none"/>
        </w:rPr>
        <w:t>HJ 1124-2020</w:t>
      </w:r>
      <w:r>
        <w:rPr>
          <w:rFonts w:hint="eastAsia"/>
          <w:color w:val="auto"/>
          <w:szCs w:val="32"/>
          <w:highlight w:val="none"/>
        </w:rPr>
        <w:t>）</w:t>
      </w:r>
      <w:r>
        <w:rPr>
          <w:color w:val="auto"/>
          <w:szCs w:val="32"/>
          <w:highlight w:val="none"/>
        </w:rPr>
        <w:t>申领排污许可证，环境影响评价文件及批复中与污染物排放相关的主要内容应当纳入排污许可证，其排污许可证执行情况应作为环境影响后评价的重要依据。</w:t>
      </w:r>
      <w:r>
        <w:rPr>
          <w:rFonts w:hint="eastAsia"/>
          <w:color w:val="auto"/>
          <w:szCs w:val="32"/>
          <w:highlight w:val="none"/>
        </w:rPr>
        <w:t>根据《固定污染源排污许可分类管理名录（2019年版）》，本项目纳入重点管理。</w:t>
      </w:r>
    </w:p>
    <w:p w14:paraId="78ACB49E">
      <w:pPr>
        <w:widowControl/>
        <w:autoSpaceDE w:val="0"/>
        <w:autoSpaceDN w:val="0"/>
        <w:ind w:firstLine="480"/>
        <w:rPr>
          <w:color w:val="auto"/>
          <w:szCs w:val="32"/>
          <w:highlight w:val="none"/>
        </w:rPr>
      </w:pPr>
      <w:r>
        <w:rPr>
          <w:color w:val="auto"/>
          <w:szCs w:val="32"/>
          <w:highlight w:val="none"/>
        </w:rPr>
        <w:t>建设单位在申请排污许可证前，应当将主要申请内容，包括排污单位基本信息、拟申请的许可事项、产排污环节、污染防治措施，通过国家排污许可证管理信息平台或者其他规定途径等便于公众知晓的方式向社会公开。建设单位对排污许可证申请材料的真实性、合法性、完整性负法律责任；承诺按照排污许</w:t>
      </w:r>
      <w:bookmarkStart w:id="349" w:name="_GoBack"/>
      <w:bookmarkEnd w:id="349"/>
      <w:r>
        <w:rPr>
          <w:color w:val="auto"/>
          <w:szCs w:val="32"/>
          <w:highlight w:val="none"/>
        </w:rPr>
        <w:t>可证的规定排污并严格执行；按照相关标准规范开展自行监测、台账记录；按时提交执行报告并及时公开相关信息。</w:t>
      </w:r>
    </w:p>
    <w:p w14:paraId="149A1760">
      <w:pPr>
        <w:pStyle w:val="7"/>
        <w:numPr>
          <w:ilvl w:val="2"/>
          <w:numId w:val="9"/>
        </w:numPr>
        <w:rPr>
          <w:color w:val="auto"/>
          <w:sz w:val="28"/>
          <w:highlight w:val="none"/>
        </w:rPr>
      </w:pPr>
      <w:r>
        <w:rPr>
          <w:color w:val="auto"/>
          <w:sz w:val="28"/>
          <w:highlight w:val="none"/>
        </w:rPr>
        <w:t xml:space="preserve"> 应向社会公开的信息内容</w:t>
      </w:r>
    </w:p>
    <w:p w14:paraId="767F68A8">
      <w:pPr>
        <w:widowControl/>
        <w:autoSpaceDE w:val="0"/>
        <w:autoSpaceDN w:val="0"/>
        <w:ind w:firstLine="480"/>
        <w:rPr>
          <w:color w:val="auto"/>
          <w:szCs w:val="32"/>
          <w:highlight w:val="none"/>
        </w:rPr>
      </w:pPr>
      <w:r>
        <w:rPr>
          <w:color w:val="auto"/>
          <w:szCs w:val="32"/>
          <w:highlight w:val="none"/>
        </w:rPr>
        <w:t>为进一步保障公众对环境保护的参与权、知情权和监督权，加强环境影响评价工作的公开、透明，加大环境影响评价公众参与公开力度，依据《</w:t>
      </w:r>
      <w:r>
        <w:rPr>
          <w:rFonts w:hint="eastAsia"/>
          <w:color w:val="auto"/>
          <w:szCs w:val="32"/>
          <w:highlight w:val="none"/>
          <w:lang w:eastAsia="zh-CN"/>
        </w:rPr>
        <w:t>中华人民共和国环境影响评价法</w:t>
      </w:r>
      <w:r>
        <w:rPr>
          <w:color w:val="auto"/>
          <w:szCs w:val="32"/>
          <w:highlight w:val="none"/>
        </w:rPr>
        <w:t>》、《</w:t>
      </w:r>
      <w:r>
        <w:rPr>
          <w:rFonts w:hint="eastAsia"/>
          <w:color w:val="auto"/>
          <w:szCs w:val="32"/>
          <w:highlight w:val="none"/>
          <w:lang w:eastAsia="zh-CN"/>
        </w:rPr>
        <w:t>中华人民共和国政府信息公开条例</w:t>
      </w:r>
      <w:r>
        <w:rPr>
          <w:color w:val="auto"/>
          <w:szCs w:val="32"/>
          <w:highlight w:val="none"/>
        </w:rPr>
        <w:t>》以及</w:t>
      </w:r>
      <w:r>
        <w:rPr>
          <w:rFonts w:hint="default" w:ascii="Times New Roman" w:hAnsi="Times New Roman" w:cs="Times New Roman"/>
          <w:color w:val="auto"/>
          <w:szCs w:val="32"/>
          <w:highlight w:val="none"/>
          <w:u w:val="none"/>
        </w:rPr>
        <w:t>《企业事业单位环境信息公开办法》，</w:t>
      </w:r>
      <w:r>
        <w:rPr>
          <w:color w:val="auto"/>
          <w:szCs w:val="32"/>
          <w:highlight w:val="none"/>
        </w:rPr>
        <w:t>环境保护行政主管部门及企业应主动向社会公开相关政府环境信息、企业环境信息。</w:t>
      </w:r>
    </w:p>
    <w:p w14:paraId="10DEEA5F">
      <w:pPr>
        <w:widowControl/>
        <w:autoSpaceDE w:val="0"/>
        <w:autoSpaceDN w:val="0"/>
        <w:ind w:firstLine="480"/>
        <w:rPr>
          <w:color w:val="auto"/>
          <w:szCs w:val="32"/>
          <w:highlight w:val="none"/>
        </w:rPr>
      </w:pPr>
      <w:r>
        <w:rPr>
          <w:color w:val="auto"/>
          <w:szCs w:val="32"/>
          <w:highlight w:val="none"/>
        </w:rPr>
        <w:t>（1）政府环境信息</w:t>
      </w:r>
    </w:p>
    <w:p w14:paraId="52D2035F">
      <w:pPr>
        <w:widowControl/>
        <w:autoSpaceDE w:val="0"/>
        <w:autoSpaceDN w:val="0"/>
        <w:ind w:firstLine="480"/>
        <w:rPr>
          <w:color w:val="auto"/>
          <w:szCs w:val="32"/>
          <w:highlight w:val="none"/>
        </w:rPr>
      </w:pPr>
      <w:r>
        <w:rPr>
          <w:color w:val="auto"/>
          <w:szCs w:val="32"/>
          <w:highlight w:val="none"/>
        </w:rPr>
        <w:t>①建设项目环境影响评价文件审批情况。</w:t>
      </w:r>
    </w:p>
    <w:p w14:paraId="5DD82A94">
      <w:pPr>
        <w:widowControl/>
        <w:autoSpaceDE w:val="0"/>
        <w:autoSpaceDN w:val="0"/>
        <w:ind w:firstLine="480"/>
        <w:rPr>
          <w:color w:val="auto"/>
          <w:szCs w:val="32"/>
          <w:highlight w:val="none"/>
        </w:rPr>
      </w:pPr>
      <w:r>
        <w:rPr>
          <w:color w:val="auto"/>
          <w:szCs w:val="32"/>
          <w:highlight w:val="none"/>
        </w:rPr>
        <w:t>②建设项目竣工环境保护验收情况。</w:t>
      </w:r>
    </w:p>
    <w:p w14:paraId="48E64C27">
      <w:pPr>
        <w:widowControl/>
        <w:autoSpaceDE w:val="0"/>
        <w:autoSpaceDN w:val="0"/>
        <w:ind w:firstLine="480"/>
        <w:rPr>
          <w:color w:val="auto"/>
          <w:szCs w:val="32"/>
          <w:highlight w:val="none"/>
        </w:rPr>
      </w:pPr>
      <w:r>
        <w:rPr>
          <w:color w:val="auto"/>
          <w:szCs w:val="32"/>
          <w:highlight w:val="none"/>
        </w:rPr>
        <w:t>（2）企业环境信息</w:t>
      </w:r>
    </w:p>
    <w:p w14:paraId="46044C95">
      <w:pPr>
        <w:widowControl/>
        <w:autoSpaceDE w:val="0"/>
        <w:autoSpaceDN w:val="0"/>
        <w:ind w:firstLine="480"/>
        <w:rPr>
          <w:color w:val="auto"/>
          <w:szCs w:val="32"/>
          <w:highlight w:val="none"/>
        </w:rPr>
      </w:pPr>
      <w:r>
        <w:rPr>
          <w:color w:val="auto"/>
          <w:szCs w:val="32"/>
          <w:highlight w:val="none"/>
        </w:rPr>
        <w:t>①企业环境保护方针、年度环境保护目标及成效。</w:t>
      </w:r>
    </w:p>
    <w:p w14:paraId="2DFAD6DB">
      <w:pPr>
        <w:widowControl/>
        <w:autoSpaceDE w:val="0"/>
        <w:autoSpaceDN w:val="0"/>
        <w:ind w:firstLine="480"/>
        <w:rPr>
          <w:color w:val="auto"/>
          <w:szCs w:val="32"/>
          <w:highlight w:val="none"/>
        </w:rPr>
      </w:pPr>
      <w:r>
        <w:rPr>
          <w:color w:val="auto"/>
          <w:szCs w:val="32"/>
          <w:highlight w:val="none"/>
        </w:rPr>
        <w:t>②企业年度资源消耗总量。</w:t>
      </w:r>
    </w:p>
    <w:p w14:paraId="0B116A86">
      <w:pPr>
        <w:widowControl/>
        <w:autoSpaceDE w:val="0"/>
        <w:autoSpaceDN w:val="0"/>
        <w:ind w:firstLine="480"/>
        <w:rPr>
          <w:color w:val="auto"/>
          <w:szCs w:val="32"/>
          <w:highlight w:val="none"/>
        </w:rPr>
      </w:pPr>
      <w:r>
        <w:rPr>
          <w:color w:val="auto"/>
          <w:szCs w:val="32"/>
          <w:highlight w:val="none"/>
        </w:rPr>
        <w:t>③企业环保投资和环境技术开发情况。</w:t>
      </w:r>
    </w:p>
    <w:p w14:paraId="36305DCA">
      <w:pPr>
        <w:widowControl/>
        <w:autoSpaceDE w:val="0"/>
        <w:autoSpaceDN w:val="0"/>
        <w:ind w:firstLine="480"/>
        <w:rPr>
          <w:color w:val="auto"/>
          <w:szCs w:val="32"/>
          <w:highlight w:val="none"/>
        </w:rPr>
      </w:pPr>
      <w:r>
        <w:rPr>
          <w:color w:val="auto"/>
          <w:szCs w:val="32"/>
          <w:highlight w:val="none"/>
        </w:rPr>
        <w:t>④企业排放污染物种类、数量、浓度和去向。</w:t>
      </w:r>
    </w:p>
    <w:p w14:paraId="788AD051">
      <w:pPr>
        <w:widowControl/>
        <w:autoSpaceDE w:val="0"/>
        <w:autoSpaceDN w:val="0"/>
        <w:ind w:firstLine="480"/>
        <w:rPr>
          <w:color w:val="auto"/>
          <w:szCs w:val="32"/>
          <w:highlight w:val="none"/>
        </w:rPr>
      </w:pPr>
      <w:r>
        <w:rPr>
          <w:color w:val="auto"/>
          <w:szCs w:val="32"/>
          <w:highlight w:val="none"/>
        </w:rPr>
        <w:t>⑤企业环保设施的建设和运行情况。</w:t>
      </w:r>
    </w:p>
    <w:p w14:paraId="0066ADA3">
      <w:pPr>
        <w:widowControl/>
        <w:autoSpaceDE w:val="0"/>
        <w:autoSpaceDN w:val="0"/>
        <w:ind w:firstLine="480"/>
        <w:rPr>
          <w:color w:val="auto"/>
          <w:szCs w:val="32"/>
          <w:highlight w:val="none"/>
        </w:rPr>
      </w:pPr>
      <w:r>
        <w:rPr>
          <w:color w:val="auto"/>
          <w:szCs w:val="32"/>
          <w:highlight w:val="none"/>
        </w:rPr>
        <w:t>⑥企业在生产过程中产生的废物的处理、处置情况，废弃产品的回收、综合利用情况。</w:t>
      </w:r>
    </w:p>
    <w:p w14:paraId="7E200394">
      <w:pPr>
        <w:widowControl/>
        <w:autoSpaceDE w:val="0"/>
        <w:autoSpaceDN w:val="0"/>
        <w:ind w:firstLine="480"/>
        <w:rPr>
          <w:color w:val="auto"/>
          <w:szCs w:val="32"/>
          <w:highlight w:val="none"/>
        </w:rPr>
      </w:pPr>
      <w:r>
        <w:rPr>
          <w:color w:val="auto"/>
          <w:szCs w:val="32"/>
          <w:highlight w:val="none"/>
        </w:rPr>
        <w:t>⑦与环保部门签订的改善环境行为的自愿协议。</w:t>
      </w:r>
    </w:p>
    <w:p w14:paraId="2D363BE8">
      <w:pPr>
        <w:widowControl/>
        <w:autoSpaceDE w:val="0"/>
        <w:autoSpaceDN w:val="0"/>
        <w:ind w:firstLine="480"/>
        <w:rPr>
          <w:color w:val="auto"/>
          <w:szCs w:val="32"/>
          <w:highlight w:val="none"/>
        </w:rPr>
      </w:pPr>
      <w:r>
        <w:rPr>
          <w:color w:val="auto"/>
          <w:szCs w:val="32"/>
          <w:highlight w:val="none"/>
        </w:rPr>
        <w:t>⑧企业履行社会责任的情况。</w:t>
      </w:r>
    </w:p>
    <w:p w14:paraId="14A4EDCE">
      <w:pPr>
        <w:widowControl/>
        <w:autoSpaceDE w:val="0"/>
        <w:autoSpaceDN w:val="0"/>
        <w:ind w:firstLine="480"/>
        <w:rPr>
          <w:color w:val="auto"/>
          <w:szCs w:val="32"/>
          <w:highlight w:val="none"/>
        </w:rPr>
      </w:pPr>
      <w:r>
        <w:rPr>
          <w:color w:val="auto"/>
          <w:szCs w:val="32"/>
          <w:highlight w:val="none"/>
        </w:rPr>
        <w:t>⑨企业自愿公开的其他环境信息。</w:t>
      </w:r>
    </w:p>
    <w:p w14:paraId="1643A5FF">
      <w:pPr>
        <w:pStyle w:val="6"/>
        <w:numPr>
          <w:ilvl w:val="1"/>
          <w:numId w:val="9"/>
        </w:numPr>
        <w:rPr>
          <w:color w:val="auto"/>
          <w:sz w:val="32"/>
          <w:szCs w:val="32"/>
          <w:highlight w:val="none"/>
        </w:rPr>
      </w:pPr>
      <w:bookmarkStart w:id="301" w:name="_Toc23471"/>
      <w:bookmarkStart w:id="302" w:name="_Toc2810"/>
      <w:r>
        <w:rPr>
          <w:color w:val="auto"/>
          <w:sz w:val="32"/>
          <w:szCs w:val="32"/>
          <w:highlight w:val="none"/>
        </w:rPr>
        <w:t>环境监测计划</w:t>
      </w:r>
      <w:bookmarkEnd w:id="299"/>
      <w:bookmarkEnd w:id="300"/>
      <w:bookmarkEnd w:id="301"/>
      <w:bookmarkEnd w:id="302"/>
    </w:p>
    <w:p w14:paraId="3C43D6EB">
      <w:pPr>
        <w:pStyle w:val="7"/>
        <w:numPr>
          <w:ilvl w:val="2"/>
          <w:numId w:val="9"/>
        </w:numPr>
        <w:rPr>
          <w:color w:val="auto"/>
          <w:sz w:val="28"/>
          <w:highlight w:val="none"/>
        </w:rPr>
      </w:pPr>
      <w:r>
        <w:rPr>
          <w:color w:val="auto"/>
          <w:sz w:val="28"/>
          <w:highlight w:val="none"/>
        </w:rPr>
        <w:t>环境监测目的</w:t>
      </w:r>
    </w:p>
    <w:p w14:paraId="1198C074">
      <w:pPr>
        <w:pStyle w:val="589"/>
        <w:ind w:firstLine="480"/>
        <w:rPr>
          <w:rFonts w:cs="Times New Roman"/>
          <w:color w:val="auto"/>
          <w:highlight w:val="none"/>
        </w:rPr>
      </w:pPr>
      <w:r>
        <w:rPr>
          <w:rFonts w:cs="Times New Roman"/>
          <w:color w:val="auto"/>
          <w:highlight w:val="none"/>
        </w:rPr>
        <w:t>环境监测（包括污染源监测）包括施工期和运营期，是企业环境保护的重要组成部分，也是企业的一项规范化制度。通过环境监测，进行数据整理分析，建立监测档案，可为污染源治理，掌握污染物排放变化规律提供依据，为上级环保部门进行区域环境规划及管理执法提供依据。同时，环境监测也是企业实现污染物总量控制，做到清洁生产的重要保证手段之一。</w:t>
      </w:r>
    </w:p>
    <w:p w14:paraId="2C1BD5C5">
      <w:pPr>
        <w:pStyle w:val="7"/>
        <w:numPr>
          <w:ilvl w:val="2"/>
          <w:numId w:val="9"/>
        </w:numPr>
        <w:rPr>
          <w:color w:val="auto"/>
          <w:sz w:val="28"/>
          <w:highlight w:val="none"/>
        </w:rPr>
      </w:pPr>
      <w:r>
        <w:rPr>
          <w:color w:val="auto"/>
          <w:sz w:val="28"/>
          <w:highlight w:val="none"/>
        </w:rPr>
        <w:t>环境监测计划</w:t>
      </w:r>
    </w:p>
    <w:p w14:paraId="42E49FD0">
      <w:pPr>
        <w:ind w:firstLine="480"/>
        <w:jc w:val="left"/>
        <w:rPr>
          <w:rFonts w:eastAsiaTheme="minorEastAsia"/>
          <w:color w:val="auto"/>
          <w:highlight w:val="none"/>
        </w:rPr>
      </w:pPr>
      <w:r>
        <w:rPr>
          <w:rFonts w:eastAsiaTheme="minorEastAsia"/>
          <w:color w:val="auto"/>
          <w:highlight w:val="none"/>
        </w:rPr>
        <w:t>本项目的环境监测计划详见下表。</w:t>
      </w:r>
    </w:p>
    <w:p w14:paraId="57D3BFB5">
      <w:pPr>
        <w:spacing w:line="240" w:lineRule="auto"/>
        <w:ind w:firstLine="0" w:firstLineChars="0"/>
        <w:jc w:val="center"/>
        <w:rPr>
          <w:b/>
          <w:color w:val="auto"/>
          <w:sz w:val="21"/>
          <w:szCs w:val="21"/>
          <w:highlight w:val="none"/>
        </w:rPr>
      </w:pPr>
      <w:r>
        <w:rPr>
          <w:b/>
          <w:color w:val="auto"/>
          <w:sz w:val="21"/>
          <w:szCs w:val="21"/>
          <w:highlight w:val="none"/>
        </w:rPr>
        <w:t>表7.3-1  施工期监测计划</w:t>
      </w:r>
    </w:p>
    <w:tbl>
      <w:tblPr>
        <w:tblStyle w:val="153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8"/>
        <w:gridCol w:w="1936"/>
        <w:gridCol w:w="3255"/>
        <w:gridCol w:w="2547"/>
      </w:tblGrid>
      <w:tr w14:paraId="308A39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3" w:type="pct"/>
            <w:tcBorders>
              <w:top w:val="single" w:color="auto" w:sz="12" w:space="0"/>
              <w:tl2br w:val="nil"/>
              <w:tr2bl w:val="nil"/>
            </w:tcBorders>
            <w:vAlign w:val="center"/>
          </w:tcPr>
          <w:p w14:paraId="716E7817">
            <w:pPr>
              <w:kinsoku w:val="0"/>
              <w:overflowPunct w:val="0"/>
              <w:topLinePunct w:val="0"/>
              <w:autoSpaceDE w:val="0"/>
              <w:autoSpaceDN w:val="0"/>
              <w:snapToGrid/>
              <w:spacing w:line="240" w:lineRule="auto"/>
              <w:ind w:firstLine="0" w:firstLineChars="0"/>
              <w:jc w:val="center"/>
              <w:rPr>
                <w:b/>
                <w:bCs/>
                <w:color w:val="auto"/>
                <w:sz w:val="21"/>
                <w:szCs w:val="21"/>
                <w:highlight w:val="none"/>
              </w:rPr>
            </w:pPr>
            <w:r>
              <w:rPr>
                <w:b/>
                <w:bCs/>
                <w:color w:val="auto"/>
                <w:spacing w:val="1"/>
                <w:sz w:val="21"/>
                <w:szCs w:val="21"/>
                <w:highlight w:val="none"/>
              </w:rPr>
              <w:t>环境影响</w:t>
            </w:r>
          </w:p>
        </w:tc>
        <w:tc>
          <w:tcPr>
            <w:tcW w:w="1042" w:type="pct"/>
            <w:tcBorders>
              <w:top w:val="single" w:color="auto" w:sz="12" w:space="0"/>
              <w:tl2br w:val="nil"/>
              <w:tr2bl w:val="nil"/>
            </w:tcBorders>
            <w:vAlign w:val="center"/>
          </w:tcPr>
          <w:p w14:paraId="3601F56E">
            <w:pPr>
              <w:kinsoku w:val="0"/>
              <w:overflowPunct w:val="0"/>
              <w:topLinePunct w:val="0"/>
              <w:autoSpaceDE w:val="0"/>
              <w:autoSpaceDN w:val="0"/>
              <w:snapToGrid/>
              <w:spacing w:line="240" w:lineRule="auto"/>
              <w:ind w:firstLine="0" w:firstLineChars="0"/>
              <w:jc w:val="center"/>
              <w:rPr>
                <w:b/>
                <w:bCs/>
                <w:color w:val="auto"/>
                <w:sz w:val="21"/>
                <w:szCs w:val="21"/>
                <w:highlight w:val="none"/>
              </w:rPr>
            </w:pPr>
            <w:r>
              <w:rPr>
                <w:b/>
                <w:bCs/>
                <w:color w:val="auto"/>
                <w:spacing w:val="1"/>
                <w:sz w:val="21"/>
                <w:szCs w:val="21"/>
                <w:highlight w:val="none"/>
              </w:rPr>
              <w:t>监测项目</w:t>
            </w:r>
          </w:p>
        </w:tc>
        <w:tc>
          <w:tcPr>
            <w:tcW w:w="1752" w:type="pct"/>
            <w:tcBorders>
              <w:top w:val="single" w:color="auto" w:sz="12" w:space="0"/>
              <w:tl2br w:val="nil"/>
              <w:tr2bl w:val="nil"/>
            </w:tcBorders>
            <w:vAlign w:val="center"/>
          </w:tcPr>
          <w:p w14:paraId="0431462B">
            <w:pPr>
              <w:kinsoku w:val="0"/>
              <w:overflowPunct w:val="0"/>
              <w:topLinePunct w:val="0"/>
              <w:autoSpaceDE w:val="0"/>
              <w:autoSpaceDN w:val="0"/>
              <w:snapToGrid/>
              <w:spacing w:line="240" w:lineRule="auto"/>
              <w:ind w:firstLine="0" w:firstLineChars="0"/>
              <w:jc w:val="center"/>
              <w:rPr>
                <w:b/>
                <w:bCs/>
                <w:color w:val="auto"/>
                <w:sz w:val="21"/>
                <w:szCs w:val="21"/>
                <w:highlight w:val="none"/>
              </w:rPr>
            </w:pPr>
            <w:r>
              <w:rPr>
                <w:b/>
                <w:bCs/>
                <w:color w:val="auto"/>
                <w:spacing w:val="1"/>
                <w:sz w:val="21"/>
                <w:szCs w:val="21"/>
                <w:highlight w:val="none"/>
              </w:rPr>
              <w:t>监测点位</w:t>
            </w:r>
          </w:p>
        </w:tc>
        <w:tc>
          <w:tcPr>
            <w:tcW w:w="1371" w:type="pct"/>
            <w:tcBorders>
              <w:top w:val="single" w:color="auto" w:sz="12" w:space="0"/>
              <w:tl2br w:val="nil"/>
              <w:tr2bl w:val="nil"/>
            </w:tcBorders>
            <w:vAlign w:val="center"/>
          </w:tcPr>
          <w:p w14:paraId="715DA4DA">
            <w:pPr>
              <w:kinsoku w:val="0"/>
              <w:overflowPunct w:val="0"/>
              <w:topLinePunct w:val="0"/>
              <w:autoSpaceDE w:val="0"/>
              <w:autoSpaceDN w:val="0"/>
              <w:snapToGrid/>
              <w:spacing w:line="240" w:lineRule="auto"/>
              <w:ind w:firstLine="0" w:firstLineChars="0"/>
              <w:jc w:val="center"/>
              <w:rPr>
                <w:b/>
                <w:bCs/>
                <w:color w:val="auto"/>
                <w:sz w:val="21"/>
                <w:szCs w:val="21"/>
                <w:highlight w:val="none"/>
              </w:rPr>
            </w:pPr>
            <w:r>
              <w:rPr>
                <w:b/>
                <w:bCs/>
                <w:color w:val="auto"/>
                <w:spacing w:val="1"/>
                <w:sz w:val="21"/>
                <w:szCs w:val="21"/>
                <w:highlight w:val="none"/>
              </w:rPr>
              <w:t>监测频次</w:t>
            </w:r>
          </w:p>
        </w:tc>
      </w:tr>
      <w:tr w14:paraId="164E71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3" w:type="pct"/>
            <w:tcBorders>
              <w:tl2br w:val="nil"/>
              <w:tr2bl w:val="nil"/>
            </w:tcBorders>
            <w:vAlign w:val="center"/>
          </w:tcPr>
          <w:p w14:paraId="41BD88AA">
            <w:pPr>
              <w:kinsoku w:val="0"/>
              <w:overflowPunct w:val="0"/>
              <w:topLinePunct w:val="0"/>
              <w:autoSpaceDE w:val="0"/>
              <w:autoSpaceDN w:val="0"/>
              <w:snapToGrid/>
              <w:spacing w:line="240" w:lineRule="auto"/>
              <w:ind w:firstLine="0" w:firstLineChars="0"/>
              <w:jc w:val="center"/>
              <w:rPr>
                <w:color w:val="auto"/>
                <w:spacing w:val="1"/>
                <w:sz w:val="21"/>
                <w:szCs w:val="21"/>
                <w:highlight w:val="none"/>
              </w:rPr>
            </w:pPr>
            <w:r>
              <w:rPr>
                <w:color w:val="auto"/>
                <w:spacing w:val="1"/>
                <w:sz w:val="21"/>
                <w:szCs w:val="21"/>
                <w:highlight w:val="none"/>
              </w:rPr>
              <w:t>海水水质</w:t>
            </w:r>
          </w:p>
        </w:tc>
        <w:tc>
          <w:tcPr>
            <w:tcW w:w="1042" w:type="pct"/>
            <w:tcBorders>
              <w:tl2br w:val="nil"/>
              <w:tr2bl w:val="nil"/>
            </w:tcBorders>
            <w:vAlign w:val="center"/>
          </w:tcPr>
          <w:p w14:paraId="1F30C304">
            <w:pPr>
              <w:kinsoku w:val="0"/>
              <w:overflowPunct w:val="0"/>
              <w:topLinePunct w:val="0"/>
              <w:autoSpaceDE w:val="0"/>
              <w:autoSpaceDN w:val="0"/>
              <w:snapToGrid/>
              <w:spacing w:line="240" w:lineRule="auto"/>
              <w:ind w:firstLine="0" w:firstLineChars="0"/>
              <w:jc w:val="center"/>
              <w:rPr>
                <w:color w:val="auto"/>
                <w:spacing w:val="1"/>
                <w:sz w:val="21"/>
                <w:szCs w:val="21"/>
                <w:highlight w:val="none"/>
              </w:rPr>
            </w:pPr>
            <w:r>
              <w:rPr>
                <w:color w:val="auto"/>
                <w:spacing w:val="1"/>
                <w:sz w:val="21"/>
                <w:szCs w:val="21"/>
                <w:highlight w:val="none"/>
              </w:rPr>
              <w:t>悬浮物、石油类</w:t>
            </w:r>
          </w:p>
        </w:tc>
        <w:tc>
          <w:tcPr>
            <w:tcW w:w="1752" w:type="pct"/>
            <w:tcBorders>
              <w:tl2br w:val="nil"/>
              <w:tr2bl w:val="nil"/>
            </w:tcBorders>
            <w:vAlign w:val="center"/>
          </w:tcPr>
          <w:p w14:paraId="2CB64174">
            <w:pPr>
              <w:kinsoku w:val="0"/>
              <w:overflowPunct w:val="0"/>
              <w:autoSpaceDE w:val="0"/>
              <w:autoSpaceDN w:val="0"/>
              <w:spacing w:line="240" w:lineRule="auto"/>
              <w:ind w:firstLine="0" w:firstLineChars="0"/>
              <w:jc w:val="center"/>
              <w:rPr>
                <w:color w:val="auto"/>
                <w:spacing w:val="1"/>
                <w:sz w:val="21"/>
                <w:szCs w:val="21"/>
                <w:highlight w:val="none"/>
              </w:rPr>
            </w:pPr>
            <w:r>
              <w:rPr>
                <w:color w:val="auto"/>
                <w:sz w:val="21"/>
                <w:szCs w:val="21"/>
                <w:highlight w:val="none"/>
              </w:rPr>
              <w:t>浮船坞锚块安装位置</w:t>
            </w:r>
          </w:p>
        </w:tc>
        <w:tc>
          <w:tcPr>
            <w:tcW w:w="1371" w:type="pct"/>
            <w:tcBorders>
              <w:tl2br w:val="nil"/>
              <w:tr2bl w:val="nil"/>
            </w:tcBorders>
            <w:vAlign w:val="center"/>
          </w:tcPr>
          <w:p w14:paraId="66F9C02D">
            <w:pPr>
              <w:kinsoku w:val="0"/>
              <w:overflowPunct w:val="0"/>
              <w:autoSpaceDE w:val="0"/>
              <w:autoSpaceDN w:val="0"/>
              <w:spacing w:line="240" w:lineRule="auto"/>
              <w:ind w:firstLine="0" w:firstLineChars="0"/>
              <w:jc w:val="center"/>
              <w:rPr>
                <w:rFonts w:hint="eastAsia" w:eastAsia="宋体"/>
                <w:color w:val="auto"/>
                <w:spacing w:val="1"/>
                <w:sz w:val="21"/>
                <w:szCs w:val="21"/>
                <w:highlight w:val="none"/>
                <w:lang w:eastAsia="zh-CN"/>
              </w:rPr>
            </w:pPr>
            <w:r>
              <w:rPr>
                <w:color w:val="auto"/>
                <w:sz w:val="21"/>
                <w:szCs w:val="21"/>
                <w:highlight w:val="none"/>
              </w:rPr>
              <w:t>施工过程监测1次</w:t>
            </w:r>
            <w:r>
              <w:rPr>
                <w:rFonts w:hint="eastAsia"/>
                <w:color w:val="auto"/>
                <w:sz w:val="21"/>
                <w:szCs w:val="21"/>
                <w:highlight w:val="none"/>
                <w:lang w:eastAsia="zh-CN"/>
              </w:rPr>
              <w:t>，施工结束后监测</w:t>
            </w:r>
            <w:r>
              <w:rPr>
                <w:color w:val="auto"/>
                <w:sz w:val="21"/>
                <w:szCs w:val="21"/>
                <w:highlight w:val="none"/>
              </w:rPr>
              <w:t>1次</w:t>
            </w:r>
          </w:p>
        </w:tc>
      </w:tr>
      <w:tr w14:paraId="5517B5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3" w:type="pct"/>
            <w:tcBorders>
              <w:tl2br w:val="nil"/>
              <w:tr2bl w:val="nil"/>
            </w:tcBorders>
            <w:vAlign w:val="center"/>
          </w:tcPr>
          <w:p w14:paraId="5A6B4F23">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环境空气</w:t>
            </w:r>
          </w:p>
        </w:tc>
        <w:tc>
          <w:tcPr>
            <w:tcW w:w="1042" w:type="pct"/>
            <w:tcBorders>
              <w:tl2br w:val="nil"/>
              <w:tr2bl w:val="nil"/>
            </w:tcBorders>
            <w:vAlign w:val="center"/>
          </w:tcPr>
          <w:p w14:paraId="61C7DD63">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TSP</w:t>
            </w:r>
          </w:p>
        </w:tc>
        <w:tc>
          <w:tcPr>
            <w:tcW w:w="1752" w:type="pct"/>
            <w:tcBorders>
              <w:tl2br w:val="nil"/>
              <w:tr2bl w:val="nil"/>
            </w:tcBorders>
            <w:vAlign w:val="center"/>
          </w:tcPr>
          <w:p w14:paraId="4B84F97A">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浮船坞组装场地</w:t>
            </w:r>
          </w:p>
        </w:tc>
        <w:tc>
          <w:tcPr>
            <w:tcW w:w="1371" w:type="pct"/>
            <w:tcBorders>
              <w:tl2br w:val="nil"/>
              <w:tr2bl w:val="nil"/>
            </w:tcBorders>
            <w:vAlign w:val="center"/>
          </w:tcPr>
          <w:p w14:paraId="4763A758">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施工中期监测1次</w:t>
            </w:r>
          </w:p>
        </w:tc>
      </w:tr>
      <w:tr w14:paraId="1D2D3C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3" w:type="pct"/>
            <w:tcBorders>
              <w:tl2br w:val="nil"/>
              <w:tr2bl w:val="nil"/>
            </w:tcBorders>
            <w:vAlign w:val="center"/>
          </w:tcPr>
          <w:p w14:paraId="099FD974">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噪声</w:t>
            </w:r>
          </w:p>
        </w:tc>
        <w:tc>
          <w:tcPr>
            <w:tcW w:w="1042" w:type="pct"/>
            <w:tcBorders>
              <w:tl2br w:val="nil"/>
              <w:tr2bl w:val="nil"/>
            </w:tcBorders>
            <w:vAlign w:val="center"/>
          </w:tcPr>
          <w:p w14:paraId="5465E333">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等效连续A声级</w:t>
            </w:r>
          </w:p>
        </w:tc>
        <w:tc>
          <w:tcPr>
            <w:tcW w:w="1752" w:type="pct"/>
            <w:tcBorders>
              <w:tl2br w:val="nil"/>
              <w:tr2bl w:val="nil"/>
            </w:tcBorders>
            <w:vAlign w:val="center"/>
          </w:tcPr>
          <w:p w14:paraId="63C9EDDF">
            <w:pPr>
              <w:kinsoku w:val="0"/>
              <w:overflowPunct w:val="0"/>
              <w:topLinePunct w:val="0"/>
              <w:autoSpaceDE w:val="0"/>
              <w:autoSpaceDN w:val="0"/>
              <w:snapToGrid/>
              <w:spacing w:line="240" w:lineRule="auto"/>
              <w:ind w:firstLine="0" w:firstLineChars="0"/>
              <w:jc w:val="center"/>
              <w:rPr>
                <w:color w:val="auto"/>
                <w:sz w:val="21"/>
                <w:szCs w:val="21"/>
                <w:highlight w:val="none"/>
              </w:rPr>
            </w:pPr>
            <w:r>
              <w:rPr>
                <w:rFonts w:hint="eastAsia"/>
                <w:color w:val="auto"/>
                <w:sz w:val="21"/>
                <w:szCs w:val="21"/>
                <w:highlight w:val="none"/>
                <w:lang w:eastAsia="zh-CN"/>
              </w:rPr>
              <w:t>厂界</w:t>
            </w:r>
            <w:r>
              <w:rPr>
                <w:color w:val="auto"/>
                <w:sz w:val="21"/>
                <w:szCs w:val="21"/>
                <w:highlight w:val="none"/>
              </w:rPr>
              <w:t>四周</w:t>
            </w:r>
          </w:p>
        </w:tc>
        <w:tc>
          <w:tcPr>
            <w:tcW w:w="1371" w:type="pct"/>
            <w:tcBorders>
              <w:tl2br w:val="nil"/>
              <w:tr2bl w:val="nil"/>
            </w:tcBorders>
            <w:vAlign w:val="center"/>
          </w:tcPr>
          <w:p w14:paraId="54B775C0">
            <w:pPr>
              <w:kinsoku w:val="0"/>
              <w:overflowPunct w:val="0"/>
              <w:topLinePunct w:val="0"/>
              <w:autoSpaceDE w:val="0"/>
              <w:autoSpaceDN w:val="0"/>
              <w:snapToGrid/>
              <w:spacing w:line="240" w:lineRule="auto"/>
              <w:ind w:firstLine="0" w:firstLineChars="0"/>
              <w:jc w:val="center"/>
              <w:rPr>
                <w:color w:val="auto"/>
                <w:sz w:val="21"/>
                <w:szCs w:val="21"/>
                <w:highlight w:val="none"/>
              </w:rPr>
            </w:pPr>
            <w:r>
              <w:rPr>
                <w:color w:val="auto"/>
                <w:sz w:val="21"/>
                <w:szCs w:val="21"/>
                <w:highlight w:val="none"/>
              </w:rPr>
              <w:t>施工中期监测1次</w:t>
            </w:r>
          </w:p>
        </w:tc>
      </w:tr>
    </w:tbl>
    <w:p w14:paraId="6B7B2228">
      <w:pPr>
        <w:spacing w:line="240" w:lineRule="auto"/>
        <w:ind w:firstLine="0" w:firstLineChars="0"/>
        <w:jc w:val="center"/>
        <w:rPr>
          <w:b/>
          <w:color w:val="auto"/>
          <w:sz w:val="21"/>
          <w:szCs w:val="21"/>
          <w:highlight w:val="none"/>
        </w:rPr>
      </w:pPr>
      <w:r>
        <w:rPr>
          <w:b/>
          <w:color w:val="auto"/>
          <w:sz w:val="21"/>
          <w:szCs w:val="21"/>
          <w:highlight w:val="none"/>
        </w:rPr>
        <w:t>表7.3-2  运营期监测计划</w:t>
      </w:r>
    </w:p>
    <w:tbl>
      <w:tblPr>
        <w:tblStyle w:val="153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7"/>
        <w:gridCol w:w="851"/>
        <w:gridCol w:w="2895"/>
        <w:gridCol w:w="2245"/>
        <w:gridCol w:w="2478"/>
      </w:tblGrid>
      <w:tr w14:paraId="76B314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40" w:type="pct"/>
            <w:tcBorders>
              <w:top w:val="single" w:color="auto" w:sz="12" w:space="0"/>
              <w:tl2br w:val="nil"/>
              <w:tr2bl w:val="nil"/>
            </w:tcBorders>
            <w:vAlign w:val="center"/>
          </w:tcPr>
          <w:p w14:paraId="3867C79B">
            <w:pPr>
              <w:kinsoku w:val="0"/>
              <w:overflowPunct w:val="0"/>
              <w:topLinePunct w:val="0"/>
              <w:autoSpaceDE w:val="0"/>
              <w:autoSpaceDN w:val="0"/>
              <w:snapToGrid/>
              <w:spacing w:line="240" w:lineRule="auto"/>
              <w:ind w:firstLine="0" w:firstLineChars="0"/>
              <w:jc w:val="center"/>
              <w:rPr>
                <w:rFonts w:hint="eastAsia"/>
                <w:color w:val="auto"/>
                <w:spacing w:val="1"/>
                <w:sz w:val="21"/>
                <w:szCs w:val="21"/>
                <w:highlight w:val="none"/>
                <w:u w:val="single"/>
              </w:rPr>
            </w:pPr>
            <w:r>
              <w:rPr>
                <w:rFonts w:hint="eastAsia"/>
                <w:color w:val="auto"/>
                <w:spacing w:val="1"/>
                <w:sz w:val="21"/>
                <w:szCs w:val="21"/>
                <w:highlight w:val="none"/>
                <w:u w:val="single"/>
              </w:rPr>
              <w:t>类别</w:t>
            </w:r>
          </w:p>
        </w:tc>
        <w:tc>
          <w:tcPr>
            <w:tcW w:w="458" w:type="pct"/>
            <w:tcBorders>
              <w:top w:val="single" w:color="auto" w:sz="12" w:space="0"/>
              <w:tl2br w:val="nil"/>
              <w:tr2bl w:val="nil"/>
            </w:tcBorders>
            <w:vAlign w:val="center"/>
          </w:tcPr>
          <w:p w14:paraId="350E8EB0">
            <w:pPr>
              <w:kinsoku w:val="0"/>
              <w:overflowPunct w:val="0"/>
              <w:topLinePunct w:val="0"/>
              <w:autoSpaceDE w:val="0"/>
              <w:autoSpaceDN w:val="0"/>
              <w:snapToGrid/>
              <w:spacing w:line="240" w:lineRule="auto"/>
              <w:ind w:firstLine="0" w:firstLineChars="0"/>
              <w:jc w:val="center"/>
              <w:rPr>
                <w:color w:val="auto"/>
                <w:highlight w:val="none"/>
                <w:u w:val="single"/>
              </w:rPr>
            </w:pPr>
            <w:r>
              <w:rPr>
                <w:rFonts w:hint="eastAsia"/>
                <w:color w:val="auto"/>
                <w:spacing w:val="1"/>
                <w:sz w:val="21"/>
                <w:szCs w:val="21"/>
                <w:highlight w:val="none"/>
                <w:u w:val="single"/>
              </w:rPr>
              <w:t>要素</w:t>
            </w:r>
          </w:p>
        </w:tc>
        <w:tc>
          <w:tcPr>
            <w:tcW w:w="1559" w:type="pct"/>
            <w:tcBorders>
              <w:top w:val="single" w:color="auto" w:sz="12" w:space="0"/>
              <w:tl2br w:val="nil"/>
              <w:tr2bl w:val="nil"/>
            </w:tcBorders>
            <w:vAlign w:val="center"/>
          </w:tcPr>
          <w:p w14:paraId="0A84C49E">
            <w:pPr>
              <w:kinsoku w:val="0"/>
              <w:overflowPunct w:val="0"/>
              <w:topLinePunct w:val="0"/>
              <w:autoSpaceDE w:val="0"/>
              <w:autoSpaceDN w:val="0"/>
              <w:snapToGrid/>
              <w:spacing w:line="240" w:lineRule="auto"/>
              <w:ind w:firstLine="0" w:firstLineChars="0"/>
              <w:jc w:val="center"/>
              <w:rPr>
                <w:color w:val="auto"/>
                <w:highlight w:val="none"/>
                <w:u w:val="single"/>
              </w:rPr>
            </w:pPr>
            <w:r>
              <w:rPr>
                <w:color w:val="auto"/>
                <w:spacing w:val="1"/>
                <w:sz w:val="21"/>
                <w:szCs w:val="21"/>
                <w:highlight w:val="none"/>
                <w:u w:val="single"/>
              </w:rPr>
              <w:t>监测项目</w:t>
            </w:r>
          </w:p>
        </w:tc>
        <w:tc>
          <w:tcPr>
            <w:tcW w:w="1209" w:type="pct"/>
            <w:tcBorders>
              <w:top w:val="single" w:color="auto" w:sz="12" w:space="0"/>
              <w:tl2br w:val="nil"/>
              <w:tr2bl w:val="nil"/>
            </w:tcBorders>
            <w:vAlign w:val="center"/>
          </w:tcPr>
          <w:p w14:paraId="22778A3D">
            <w:pPr>
              <w:kinsoku w:val="0"/>
              <w:overflowPunct w:val="0"/>
              <w:topLinePunct w:val="0"/>
              <w:autoSpaceDE w:val="0"/>
              <w:autoSpaceDN w:val="0"/>
              <w:snapToGrid/>
              <w:spacing w:line="240" w:lineRule="auto"/>
              <w:ind w:firstLine="0" w:firstLineChars="0"/>
              <w:jc w:val="center"/>
              <w:rPr>
                <w:color w:val="auto"/>
                <w:highlight w:val="none"/>
                <w:u w:val="single"/>
              </w:rPr>
            </w:pPr>
            <w:r>
              <w:rPr>
                <w:color w:val="auto"/>
                <w:spacing w:val="1"/>
                <w:sz w:val="21"/>
                <w:szCs w:val="21"/>
                <w:highlight w:val="none"/>
                <w:u w:val="single"/>
              </w:rPr>
              <w:t>监测点位</w:t>
            </w:r>
          </w:p>
        </w:tc>
        <w:tc>
          <w:tcPr>
            <w:tcW w:w="1334" w:type="pct"/>
            <w:tcBorders>
              <w:top w:val="single" w:color="auto" w:sz="12" w:space="0"/>
              <w:tl2br w:val="nil"/>
              <w:tr2bl w:val="nil"/>
            </w:tcBorders>
            <w:vAlign w:val="center"/>
          </w:tcPr>
          <w:p w14:paraId="5EFEF969">
            <w:pPr>
              <w:kinsoku w:val="0"/>
              <w:overflowPunct w:val="0"/>
              <w:topLinePunct w:val="0"/>
              <w:autoSpaceDE w:val="0"/>
              <w:autoSpaceDN w:val="0"/>
              <w:snapToGrid/>
              <w:spacing w:line="240" w:lineRule="auto"/>
              <w:ind w:firstLine="0" w:firstLineChars="0"/>
              <w:jc w:val="center"/>
              <w:rPr>
                <w:color w:val="auto"/>
                <w:highlight w:val="none"/>
                <w:u w:val="single"/>
              </w:rPr>
            </w:pPr>
            <w:r>
              <w:rPr>
                <w:color w:val="auto"/>
                <w:spacing w:val="1"/>
                <w:sz w:val="21"/>
                <w:szCs w:val="21"/>
                <w:highlight w:val="none"/>
                <w:u w:val="single"/>
              </w:rPr>
              <w:t>监测频次</w:t>
            </w:r>
          </w:p>
        </w:tc>
      </w:tr>
      <w:tr w14:paraId="45E2C9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0" w:type="pct"/>
            <w:vMerge w:val="restart"/>
            <w:tcBorders>
              <w:tl2br w:val="nil"/>
              <w:tr2bl w:val="nil"/>
            </w:tcBorders>
            <w:vAlign w:val="center"/>
          </w:tcPr>
          <w:p w14:paraId="31FC4CF2">
            <w:pPr>
              <w:kinsoku w:val="0"/>
              <w:overflowPunct w:val="0"/>
              <w:autoSpaceDE w:val="0"/>
              <w:autoSpaceDN w:val="0"/>
              <w:spacing w:line="240" w:lineRule="auto"/>
              <w:ind w:firstLine="0" w:firstLineChars="0"/>
              <w:jc w:val="center"/>
              <w:rPr>
                <w:rFonts w:hint="eastAsia"/>
                <w:color w:val="auto"/>
                <w:sz w:val="21"/>
                <w:szCs w:val="21"/>
                <w:highlight w:val="none"/>
                <w:u w:val="single"/>
              </w:rPr>
            </w:pPr>
            <w:r>
              <w:rPr>
                <w:rFonts w:hint="eastAsia"/>
                <w:color w:val="auto"/>
                <w:sz w:val="21"/>
                <w:szCs w:val="21"/>
                <w:highlight w:val="none"/>
                <w:u w:val="single"/>
              </w:rPr>
              <w:t>污染源</w:t>
            </w:r>
          </w:p>
        </w:tc>
        <w:tc>
          <w:tcPr>
            <w:tcW w:w="458" w:type="pct"/>
            <w:vMerge w:val="restart"/>
            <w:tcBorders>
              <w:tl2br w:val="nil"/>
              <w:tr2bl w:val="nil"/>
            </w:tcBorders>
            <w:vAlign w:val="center"/>
          </w:tcPr>
          <w:p w14:paraId="19460B21">
            <w:pPr>
              <w:kinsoku w:val="0"/>
              <w:overflowPunct w:val="0"/>
              <w:autoSpaceDE w:val="0"/>
              <w:autoSpaceDN w:val="0"/>
              <w:spacing w:line="240" w:lineRule="auto"/>
              <w:ind w:firstLine="0" w:firstLineChars="0"/>
              <w:jc w:val="center"/>
              <w:rPr>
                <w:color w:val="auto"/>
                <w:spacing w:val="1"/>
                <w:sz w:val="21"/>
                <w:szCs w:val="21"/>
                <w:highlight w:val="none"/>
                <w:u w:val="single"/>
              </w:rPr>
            </w:pPr>
            <w:r>
              <w:rPr>
                <w:color w:val="auto"/>
                <w:sz w:val="21"/>
                <w:szCs w:val="21"/>
                <w:highlight w:val="none"/>
                <w:u w:val="single"/>
              </w:rPr>
              <w:t>废气</w:t>
            </w:r>
          </w:p>
        </w:tc>
        <w:tc>
          <w:tcPr>
            <w:tcW w:w="1559" w:type="pct"/>
            <w:tcBorders>
              <w:tl2br w:val="nil"/>
              <w:tr2bl w:val="nil"/>
            </w:tcBorders>
            <w:vAlign w:val="center"/>
          </w:tcPr>
          <w:p w14:paraId="72BB14C3">
            <w:pPr>
              <w:kinsoku w:val="0"/>
              <w:overflowPunct w:val="0"/>
              <w:topLinePunct w:val="0"/>
              <w:autoSpaceDE w:val="0"/>
              <w:autoSpaceDN w:val="0"/>
              <w:snapToGrid/>
              <w:spacing w:line="240" w:lineRule="auto"/>
              <w:ind w:firstLine="0" w:firstLineChars="0"/>
              <w:jc w:val="center"/>
              <w:rPr>
                <w:color w:val="auto"/>
                <w:spacing w:val="1"/>
                <w:sz w:val="21"/>
                <w:szCs w:val="21"/>
                <w:highlight w:val="none"/>
                <w:u w:val="single"/>
              </w:rPr>
            </w:pPr>
            <w:r>
              <w:rPr>
                <w:color w:val="auto"/>
                <w:spacing w:val="1"/>
                <w:sz w:val="21"/>
                <w:szCs w:val="21"/>
                <w:highlight w:val="none"/>
                <w:u w:val="single"/>
              </w:rPr>
              <w:t>氮氧化物、硫酸雾、</w:t>
            </w:r>
          </w:p>
          <w:p w14:paraId="2F25A451">
            <w:pPr>
              <w:kinsoku w:val="0"/>
              <w:overflowPunct w:val="0"/>
              <w:topLinePunct w:val="0"/>
              <w:autoSpaceDE w:val="0"/>
              <w:autoSpaceDN w:val="0"/>
              <w:snapToGrid/>
              <w:spacing w:line="240" w:lineRule="auto"/>
              <w:ind w:firstLine="0" w:firstLineChars="0"/>
              <w:jc w:val="center"/>
              <w:rPr>
                <w:color w:val="auto"/>
                <w:spacing w:val="1"/>
                <w:sz w:val="21"/>
                <w:szCs w:val="21"/>
                <w:highlight w:val="none"/>
                <w:u w:val="single"/>
              </w:rPr>
            </w:pPr>
            <w:r>
              <w:rPr>
                <w:color w:val="auto"/>
                <w:spacing w:val="1"/>
                <w:sz w:val="21"/>
                <w:szCs w:val="21"/>
                <w:highlight w:val="none"/>
                <w:u w:val="single"/>
              </w:rPr>
              <w:t>氯化氢</w:t>
            </w:r>
          </w:p>
        </w:tc>
        <w:tc>
          <w:tcPr>
            <w:tcW w:w="1209" w:type="pct"/>
            <w:tcBorders>
              <w:tl2br w:val="nil"/>
              <w:tr2bl w:val="nil"/>
            </w:tcBorders>
            <w:vAlign w:val="center"/>
          </w:tcPr>
          <w:p w14:paraId="521D7B29">
            <w:pPr>
              <w:kinsoku w:val="0"/>
              <w:overflowPunct w:val="0"/>
              <w:topLinePunct w:val="0"/>
              <w:autoSpaceDE w:val="0"/>
              <w:autoSpaceDN w:val="0"/>
              <w:snapToGrid/>
              <w:spacing w:line="240" w:lineRule="auto"/>
              <w:ind w:firstLine="0" w:firstLineChars="0"/>
              <w:jc w:val="center"/>
              <w:rPr>
                <w:color w:val="auto"/>
                <w:spacing w:val="1"/>
                <w:sz w:val="21"/>
                <w:szCs w:val="21"/>
                <w:highlight w:val="none"/>
                <w:u w:val="single"/>
              </w:rPr>
            </w:pPr>
            <w:r>
              <w:rPr>
                <w:color w:val="auto"/>
                <w:spacing w:val="1"/>
                <w:sz w:val="21"/>
                <w:szCs w:val="21"/>
                <w:highlight w:val="none"/>
                <w:u w:val="single"/>
              </w:rPr>
              <w:t>化学处理车间酸雾净化塔排放口</w:t>
            </w:r>
            <w:r>
              <w:rPr>
                <w:rFonts w:hint="eastAsia"/>
                <w:color w:val="auto"/>
                <w:spacing w:val="1"/>
                <w:sz w:val="21"/>
                <w:szCs w:val="21"/>
                <w:highlight w:val="none"/>
                <w:u w:val="single"/>
              </w:rPr>
              <w:t>（</w:t>
            </w:r>
            <w:r>
              <w:rPr>
                <w:color w:val="auto"/>
                <w:spacing w:val="1"/>
                <w:sz w:val="21"/>
                <w:szCs w:val="21"/>
                <w:highlight w:val="none"/>
                <w:u w:val="single"/>
              </w:rPr>
              <w:t>DA003</w:t>
            </w:r>
            <w:r>
              <w:rPr>
                <w:rFonts w:hint="eastAsia"/>
                <w:color w:val="auto"/>
                <w:spacing w:val="1"/>
                <w:sz w:val="21"/>
                <w:szCs w:val="21"/>
                <w:highlight w:val="none"/>
                <w:u w:val="single"/>
              </w:rPr>
              <w:t>）</w:t>
            </w:r>
          </w:p>
        </w:tc>
        <w:tc>
          <w:tcPr>
            <w:tcW w:w="1334" w:type="pct"/>
            <w:vMerge w:val="restart"/>
            <w:tcBorders>
              <w:tl2br w:val="nil"/>
              <w:tr2bl w:val="nil"/>
            </w:tcBorders>
            <w:vAlign w:val="center"/>
          </w:tcPr>
          <w:p w14:paraId="500AB587">
            <w:pPr>
              <w:keepNext w:val="0"/>
              <w:keepLines w:val="0"/>
              <w:pageBreakBefore w:val="0"/>
              <w:widowControl w:val="0"/>
              <w:kinsoku/>
              <w:wordWrap w:val="0"/>
              <w:overflowPunct/>
              <w:topLinePunct/>
              <w:autoSpaceDE/>
              <w:autoSpaceDN w:val="0"/>
              <w:bidi w:val="0"/>
              <w:adjustRightInd w:val="0"/>
              <w:snapToGrid/>
              <w:spacing w:line="240" w:lineRule="auto"/>
              <w:ind w:firstLine="0" w:firstLineChars="0"/>
              <w:jc w:val="center"/>
              <w:textAlignment w:val="auto"/>
              <w:rPr>
                <w:color w:val="auto"/>
                <w:spacing w:val="1"/>
                <w:sz w:val="21"/>
                <w:szCs w:val="21"/>
                <w:highlight w:val="none"/>
                <w:u w:val="single"/>
              </w:rPr>
            </w:pPr>
            <w:r>
              <w:rPr>
                <w:color w:val="auto"/>
                <w:sz w:val="21"/>
                <w:szCs w:val="21"/>
                <w:highlight w:val="none"/>
                <w:u w:val="single"/>
              </w:rPr>
              <w:t>每半年监测</w:t>
            </w:r>
            <w:r>
              <w:rPr>
                <w:rFonts w:hint="eastAsia"/>
                <w:color w:val="auto"/>
                <w:sz w:val="21"/>
                <w:szCs w:val="21"/>
                <w:highlight w:val="none"/>
                <w:u w:val="single"/>
              </w:rPr>
              <w:t>1</w:t>
            </w:r>
            <w:r>
              <w:rPr>
                <w:color w:val="auto"/>
                <w:sz w:val="21"/>
                <w:szCs w:val="21"/>
                <w:highlight w:val="none"/>
                <w:u w:val="single"/>
              </w:rPr>
              <w:t>次，每次</w:t>
            </w:r>
            <w:r>
              <w:rPr>
                <w:rFonts w:hint="eastAsia"/>
                <w:color w:val="auto"/>
                <w:sz w:val="21"/>
                <w:szCs w:val="21"/>
                <w:highlight w:val="none"/>
                <w:u w:val="single"/>
              </w:rPr>
              <w:t>1</w:t>
            </w:r>
            <w:r>
              <w:rPr>
                <w:color w:val="auto"/>
                <w:sz w:val="21"/>
                <w:szCs w:val="21"/>
                <w:highlight w:val="none"/>
                <w:u w:val="single"/>
              </w:rPr>
              <w:t>天，一天3次。</w:t>
            </w:r>
          </w:p>
        </w:tc>
      </w:tr>
      <w:tr w14:paraId="4C6A29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0" w:type="pct"/>
            <w:vMerge w:val="continue"/>
            <w:tcBorders>
              <w:tl2br w:val="nil"/>
              <w:tr2bl w:val="nil"/>
            </w:tcBorders>
            <w:vAlign w:val="center"/>
          </w:tcPr>
          <w:p w14:paraId="79D42B96">
            <w:pPr>
              <w:kinsoku w:val="0"/>
              <w:overflowPunct w:val="0"/>
              <w:autoSpaceDE w:val="0"/>
              <w:autoSpaceDN w:val="0"/>
              <w:spacing w:line="240" w:lineRule="auto"/>
              <w:ind w:firstLine="0" w:firstLineChars="0"/>
              <w:jc w:val="center"/>
              <w:rPr>
                <w:color w:val="auto"/>
                <w:spacing w:val="1"/>
                <w:sz w:val="21"/>
                <w:szCs w:val="21"/>
                <w:highlight w:val="none"/>
                <w:u w:val="single"/>
              </w:rPr>
            </w:pPr>
          </w:p>
        </w:tc>
        <w:tc>
          <w:tcPr>
            <w:tcW w:w="458" w:type="pct"/>
            <w:vMerge w:val="continue"/>
            <w:tcBorders>
              <w:tl2br w:val="nil"/>
              <w:tr2bl w:val="nil"/>
            </w:tcBorders>
            <w:vAlign w:val="center"/>
          </w:tcPr>
          <w:p w14:paraId="3D20CFAB">
            <w:pPr>
              <w:kinsoku w:val="0"/>
              <w:overflowPunct w:val="0"/>
              <w:autoSpaceDE w:val="0"/>
              <w:autoSpaceDN w:val="0"/>
              <w:spacing w:line="240" w:lineRule="auto"/>
              <w:ind w:firstLine="0" w:firstLineChars="0"/>
              <w:jc w:val="center"/>
              <w:rPr>
                <w:color w:val="auto"/>
                <w:spacing w:val="1"/>
                <w:sz w:val="21"/>
                <w:szCs w:val="21"/>
                <w:highlight w:val="none"/>
                <w:u w:val="single"/>
              </w:rPr>
            </w:pPr>
          </w:p>
        </w:tc>
        <w:tc>
          <w:tcPr>
            <w:tcW w:w="1559" w:type="pct"/>
            <w:tcBorders>
              <w:tl2br w:val="nil"/>
              <w:tr2bl w:val="nil"/>
            </w:tcBorders>
            <w:vAlign w:val="center"/>
          </w:tcPr>
          <w:p w14:paraId="2ECBB1D5">
            <w:pPr>
              <w:kinsoku w:val="0"/>
              <w:overflowPunct w:val="0"/>
              <w:topLinePunct w:val="0"/>
              <w:autoSpaceDE w:val="0"/>
              <w:autoSpaceDN w:val="0"/>
              <w:snapToGrid/>
              <w:spacing w:line="240" w:lineRule="auto"/>
              <w:ind w:firstLine="0" w:firstLineChars="0"/>
              <w:jc w:val="center"/>
              <w:rPr>
                <w:color w:val="auto"/>
                <w:spacing w:val="1"/>
                <w:sz w:val="21"/>
                <w:szCs w:val="21"/>
                <w:highlight w:val="none"/>
                <w:u w:val="single"/>
              </w:rPr>
            </w:pPr>
            <w:r>
              <w:rPr>
                <w:color w:val="auto"/>
                <w:spacing w:val="1"/>
                <w:sz w:val="21"/>
                <w:szCs w:val="21"/>
                <w:highlight w:val="none"/>
                <w:u w:val="single"/>
              </w:rPr>
              <w:t>苯、甲苯、挥发性有机物、二甲苯</w:t>
            </w:r>
          </w:p>
        </w:tc>
        <w:tc>
          <w:tcPr>
            <w:tcW w:w="1209" w:type="pct"/>
            <w:tcBorders>
              <w:tl2br w:val="nil"/>
              <w:tr2bl w:val="nil"/>
            </w:tcBorders>
            <w:vAlign w:val="center"/>
          </w:tcPr>
          <w:p w14:paraId="577202A2">
            <w:pPr>
              <w:kinsoku w:val="0"/>
              <w:overflowPunct w:val="0"/>
              <w:topLinePunct w:val="0"/>
              <w:autoSpaceDE w:val="0"/>
              <w:autoSpaceDN w:val="0"/>
              <w:snapToGrid/>
              <w:spacing w:line="240" w:lineRule="auto"/>
              <w:ind w:firstLine="0" w:firstLineChars="0"/>
              <w:jc w:val="center"/>
              <w:rPr>
                <w:color w:val="auto"/>
                <w:spacing w:val="1"/>
                <w:sz w:val="21"/>
                <w:szCs w:val="21"/>
                <w:highlight w:val="none"/>
                <w:u w:val="single"/>
              </w:rPr>
            </w:pPr>
            <w:r>
              <w:rPr>
                <w:color w:val="auto"/>
                <w:spacing w:val="1"/>
                <w:sz w:val="21"/>
                <w:szCs w:val="21"/>
                <w:highlight w:val="none"/>
                <w:u w:val="single"/>
              </w:rPr>
              <w:t>浸漆间废气排放口</w:t>
            </w:r>
            <w:r>
              <w:rPr>
                <w:rFonts w:hint="eastAsia"/>
                <w:color w:val="auto"/>
                <w:spacing w:val="1"/>
                <w:sz w:val="21"/>
                <w:szCs w:val="21"/>
                <w:highlight w:val="none"/>
                <w:u w:val="single"/>
              </w:rPr>
              <w:t>（</w:t>
            </w:r>
            <w:r>
              <w:rPr>
                <w:color w:val="auto"/>
                <w:spacing w:val="1"/>
                <w:sz w:val="21"/>
                <w:szCs w:val="21"/>
                <w:highlight w:val="none"/>
                <w:u w:val="single"/>
              </w:rPr>
              <w:t>DA004</w:t>
            </w:r>
            <w:r>
              <w:rPr>
                <w:rFonts w:hint="eastAsia"/>
                <w:color w:val="auto"/>
                <w:spacing w:val="1"/>
                <w:sz w:val="21"/>
                <w:szCs w:val="21"/>
                <w:highlight w:val="none"/>
                <w:u w:val="single"/>
              </w:rPr>
              <w:t>）</w:t>
            </w:r>
          </w:p>
        </w:tc>
        <w:tc>
          <w:tcPr>
            <w:tcW w:w="1334" w:type="pct"/>
            <w:vMerge w:val="continue"/>
            <w:tcBorders>
              <w:tl2br w:val="nil"/>
              <w:tr2bl w:val="nil"/>
            </w:tcBorders>
            <w:vAlign w:val="center"/>
          </w:tcPr>
          <w:p w14:paraId="4BDBDAEA">
            <w:pPr>
              <w:keepNext w:val="0"/>
              <w:keepLines w:val="0"/>
              <w:pageBreakBefore w:val="0"/>
              <w:widowControl w:val="0"/>
              <w:kinsoku/>
              <w:wordWrap w:val="0"/>
              <w:overflowPunct/>
              <w:topLinePunct/>
              <w:autoSpaceDE/>
              <w:autoSpaceDN w:val="0"/>
              <w:bidi w:val="0"/>
              <w:adjustRightInd w:val="0"/>
              <w:snapToGrid/>
              <w:spacing w:line="240" w:lineRule="auto"/>
              <w:ind w:firstLine="0" w:firstLineChars="0"/>
              <w:jc w:val="center"/>
              <w:textAlignment w:val="auto"/>
              <w:rPr>
                <w:color w:val="auto"/>
                <w:spacing w:val="1"/>
                <w:sz w:val="21"/>
                <w:szCs w:val="21"/>
                <w:highlight w:val="none"/>
                <w:u w:val="single"/>
              </w:rPr>
            </w:pPr>
          </w:p>
        </w:tc>
      </w:tr>
      <w:tr w14:paraId="05A999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0" w:type="pct"/>
            <w:vMerge w:val="continue"/>
            <w:tcBorders>
              <w:tl2br w:val="nil"/>
              <w:tr2bl w:val="nil"/>
            </w:tcBorders>
            <w:vAlign w:val="center"/>
          </w:tcPr>
          <w:p w14:paraId="1C0B4CF2">
            <w:pPr>
              <w:kinsoku w:val="0"/>
              <w:overflowPunct w:val="0"/>
              <w:autoSpaceDE w:val="0"/>
              <w:autoSpaceDN w:val="0"/>
              <w:spacing w:line="240" w:lineRule="auto"/>
              <w:ind w:firstLine="0" w:firstLineChars="0"/>
              <w:jc w:val="center"/>
              <w:rPr>
                <w:color w:val="auto"/>
                <w:spacing w:val="1"/>
                <w:sz w:val="21"/>
                <w:szCs w:val="21"/>
                <w:highlight w:val="none"/>
                <w:u w:val="single"/>
              </w:rPr>
            </w:pPr>
          </w:p>
        </w:tc>
        <w:tc>
          <w:tcPr>
            <w:tcW w:w="458" w:type="pct"/>
            <w:vMerge w:val="continue"/>
            <w:tcBorders>
              <w:tl2br w:val="nil"/>
              <w:tr2bl w:val="nil"/>
            </w:tcBorders>
            <w:vAlign w:val="center"/>
          </w:tcPr>
          <w:p w14:paraId="6F06D4FB">
            <w:pPr>
              <w:kinsoku w:val="0"/>
              <w:overflowPunct w:val="0"/>
              <w:autoSpaceDE w:val="0"/>
              <w:autoSpaceDN w:val="0"/>
              <w:spacing w:line="240" w:lineRule="auto"/>
              <w:ind w:firstLine="0" w:firstLineChars="0"/>
              <w:jc w:val="center"/>
              <w:rPr>
                <w:color w:val="auto"/>
                <w:spacing w:val="1"/>
                <w:sz w:val="21"/>
                <w:szCs w:val="21"/>
                <w:highlight w:val="none"/>
                <w:u w:val="single"/>
              </w:rPr>
            </w:pPr>
          </w:p>
        </w:tc>
        <w:tc>
          <w:tcPr>
            <w:tcW w:w="1559" w:type="pct"/>
            <w:tcBorders>
              <w:tl2br w:val="nil"/>
              <w:tr2bl w:val="nil"/>
            </w:tcBorders>
            <w:vAlign w:val="center"/>
          </w:tcPr>
          <w:p w14:paraId="7425837D">
            <w:pPr>
              <w:kinsoku w:val="0"/>
              <w:overflowPunct w:val="0"/>
              <w:topLinePunct w:val="0"/>
              <w:autoSpaceDE w:val="0"/>
              <w:autoSpaceDN w:val="0"/>
              <w:snapToGrid/>
              <w:spacing w:line="240" w:lineRule="auto"/>
              <w:ind w:firstLine="0" w:firstLineChars="0"/>
              <w:jc w:val="center"/>
              <w:rPr>
                <w:color w:val="auto"/>
                <w:spacing w:val="1"/>
                <w:sz w:val="21"/>
                <w:szCs w:val="21"/>
                <w:highlight w:val="none"/>
                <w:u w:val="single"/>
              </w:rPr>
            </w:pPr>
            <w:r>
              <w:rPr>
                <w:color w:val="auto"/>
                <w:spacing w:val="1"/>
                <w:sz w:val="21"/>
                <w:szCs w:val="21"/>
                <w:highlight w:val="none"/>
                <w:u w:val="single"/>
              </w:rPr>
              <w:t>二甲苯、非甲烷总烃</w:t>
            </w:r>
          </w:p>
        </w:tc>
        <w:tc>
          <w:tcPr>
            <w:tcW w:w="1209" w:type="pct"/>
            <w:tcBorders>
              <w:tl2br w:val="nil"/>
              <w:tr2bl w:val="nil"/>
            </w:tcBorders>
            <w:vAlign w:val="center"/>
          </w:tcPr>
          <w:p w14:paraId="5E32383C">
            <w:pPr>
              <w:kinsoku w:val="0"/>
              <w:overflowPunct w:val="0"/>
              <w:topLinePunct w:val="0"/>
              <w:autoSpaceDE w:val="0"/>
              <w:autoSpaceDN w:val="0"/>
              <w:snapToGrid/>
              <w:spacing w:line="240" w:lineRule="auto"/>
              <w:ind w:firstLine="0" w:firstLineChars="0"/>
              <w:jc w:val="center"/>
              <w:rPr>
                <w:color w:val="auto"/>
                <w:spacing w:val="1"/>
                <w:sz w:val="21"/>
                <w:szCs w:val="21"/>
                <w:highlight w:val="none"/>
                <w:u w:val="single"/>
              </w:rPr>
            </w:pPr>
            <w:r>
              <w:rPr>
                <w:color w:val="auto"/>
                <w:spacing w:val="1"/>
                <w:sz w:val="21"/>
                <w:szCs w:val="21"/>
                <w:highlight w:val="none"/>
                <w:u w:val="single"/>
              </w:rPr>
              <w:t>化学品仓储废气排气筒</w:t>
            </w:r>
            <w:r>
              <w:rPr>
                <w:rFonts w:hint="eastAsia"/>
                <w:color w:val="auto"/>
                <w:spacing w:val="1"/>
                <w:sz w:val="21"/>
                <w:szCs w:val="21"/>
                <w:highlight w:val="none"/>
                <w:u w:val="single"/>
              </w:rPr>
              <w:t>（</w:t>
            </w:r>
            <w:r>
              <w:rPr>
                <w:color w:val="auto"/>
                <w:spacing w:val="1"/>
                <w:sz w:val="21"/>
                <w:szCs w:val="21"/>
                <w:highlight w:val="none"/>
                <w:u w:val="single"/>
              </w:rPr>
              <w:t>DA006</w:t>
            </w:r>
            <w:r>
              <w:rPr>
                <w:rFonts w:hint="eastAsia"/>
                <w:color w:val="auto"/>
                <w:spacing w:val="1"/>
                <w:sz w:val="21"/>
                <w:szCs w:val="21"/>
                <w:highlight w:val="none"/>
                <w:u w:val="single"/>
              </w:rPr>
              <w:t>）</w:t>
            </w:r>
          </w:p>
        </w:tc>
        <w:tc>
          <w:tcPr>
            <w:tcW w:w="1334" w:type="pct"/>
            <w:tcBorders>
              <w:tl2br w:val="nil"/>
              <w:tr2bl w:val="nil"/>
            </w:tcBorders>
            <w:vAlign w:val="center"/>
          </w:tcPr>
          <w:p w14:paraId="47A4504E">
            <w:pPr>
              <w:keepNext w:val="0"/>
              <w:keepLines w:val="0"/>
              <w:pageBreakBefore w:val="0"/>
              <w:widowControl w:val="0"/>
              <w:kinsoku/>
              <w:wordWrap w:val="0"/>
              <w:overflowPunct/>
              <w:topLinePunct/>
              <w:autoSpaceDE/>
              <w:autoSpaceDN w:val="0"/>
              <w:bidi w:val="0"/>
              <w:adjustRightInd w:val="0"/>
              <w:snapToGrid/>
              <w:spacing w:line="240" w:lineRule="auto"/>
              <w:ind w:firstLine="0" w:firstLineChars="0"/>
              <w:jc w:val="center"/>
              <w:textAlignment w:val="auto"/>
              <w:rPr>
                <w:color w:val="auto"/>
                <w:spacing w:val="1"/>
                <w:sz w:val="21"/>
                <w:szCs w:val="21"/>
                <w:highlight w:val="none"/>
                <w:u w:val="single"/>
              </w:rPr>
            </w:pPr>
            <w:r>
              <w:rPr>
                <w:color w:val="auto"/>
                <w:spacing w:val="1"/>
                <w:sz w:val="21"/>
                <w:szCs w:val="21"/>
                <w:highlight w:val="none"/>
                <w:u w:val="single"/>
              </w:rPr>
              <w:t>每年监测</w:t>
            </w:r>
            <w:r>
              <w:rPr>
                <w:rFonts w:hint="eastAsia"/>
                <w:color w:val="auto"/>
                <w:spacing w:val="1"/>
                <w:sz w:val="21"/>
                <w:szCs w:val="21"/>
                <w:highlight w:val="none"/>
                <w:u w:val="single"/>
              </w:rPr>
              <w:t>1</w:t>
            </w:r>
            <w:r>
              <w:rPr>
                <w:color w:val="auto"/>
                <w:spacing w:val="1"/>
                <w:sz w:val="21"/>
                <w:szCs w:val="21"/>
                <w:highlight w:val="none"/>
                <w:u w:val="single"/>
              </w:rPr>
              <w:t>次，每次</w:t>
            </w:r>
            <w:r>
              <w:rPr>
                <w:rFonts w:hint="eastAsia"/>
                <w:color w:val="auto"/>
                <w:spacing w:val="1"/>
                <w:sz w:val="21"/>
                <w:szCs w:val="21"/>
                <w:highlight w:val="none"/>
                <w:u w:val="single"/>
              </w:rPr>
              <w:t>1</w:t>
            </w:r>
            <w:r>
              <w:rPr>
                <w:color w:val="auto"/>
                <w:spacing w:val="1"/>
                <w:sz w:val="21"/>
                <w:szCs w:val="21"/>
                <w:highlight w:val="none"/>
                <w:u w:val="single"/>
              </w:rPr>
              <w:t>天，一天3次。</w:t>
            </w:r>
          </w:p>
        </w:tc>
      </w:tr>
      <w:tr w14:paraId="0D6595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0" w:type="pct"/>
            <w:vMerge w:val="continue"/>
            <w:tcBorders>
              <w:tl2br w:val="nil"/>
              <w:tr2bl w:val="nil"/>
            </w:tcBorders>
            <w:vAlign w:val="center"/>
          </w:tcPr>
          <w:p w14:paraId="5521E01B">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p>
        </w:tc>
        <w:tc>
          <w:tcPr>
            <w:tcW w:w="458" w:type="pct"/>
            <w:vMerge w:val="continue"/>
            <w:tcBorders>
              <w:tl2br w:val="nil"/>
              <w:tr2bl w:val="nil"/>
            </w:tcBorders>
            <w:vAlign w:val="center"/>
          </w:tcPr>
          <w:p w14:paraId="6C797C9D">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p>
        </w:tc>
        <w:tc>
          <w:tcPr>
            <w:tcW w:w="1559" w:type="pct"/>
            <w:tcBorders>
              <w:tl2br w:val="nil"/>
              <w:tr2bl w:val="nil"/>
            </w:tcBorders>
            <w:vAlign w:val="center"/>
          </w:tcPr>
          <w:p w14:paraId="52AA25F4">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颗粒物、挥发性有机物</w:t>
            </w:r>
          </w:p>
          <w:p w14:paraId="0BAE8A40">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臭气浓度、氨（氨气）、硫化氢</w:t>
            </w:r>
          </w:p>
        </w:tc>
        <w:tc>
          <w:tcPr>
            <w:tcW w:w="1209" w:type="pct"/>
            <w:tcBorders>
              <w:tl2br w:val="nil"/>
              <w:tr2bl w:val="nil"/>
            </w:tcBorders>
            <w:vAlign w:val="center"/>
          </w:tcPr>
          <w:p w14:paraId="41FA6C6D">
            <w:pPr>
              <w:kinsoku w:val="0"/>
              <w:overflowPunct w:val="0"/>
              <w:autoSpaceDE w:val="0"/>
              <w:autoSpaceDN w:val="0"/>
              <w:spacing w:line="240" w:lineRule="auto"/>
              <w:ind w:firstLine="0" w:firstLineChars="0"/>
              <w:jc w:val="center"/>
              <w:rPr>
                <w:color w:val="auto"/>
                <w:sz w:val="21"/>
                <w:szCs w:val="21"/>
                <w:highlight w:val="none"/>
                <w:u w:val="single"/>
              </w:rPr>
            </w:pPr>
            <w:r>
              <w:rPr>
                <w:color w:val="auto"/>
                <w:sz w:val="21"/>
                <w:szCs w:val="21"/>
                <w:highlight w:val="none"/>
                <w:u w:val="single"/>
              </w:rPr>
              <w:t>厂界</w:t>
            </w:r>
          </w:p>
        </w:tc>
        <w:tc>
          <w:tcPr>
            <w:tcW w:w="1334" w:type="pct"/>
            <w:tcBorders>
              <w:tl2br w:val="nil"/>
              <w:tr2bl w:val="nil"/>
            </w:tcBorders>
            <w:vAlign w:val="center"/>
          </w:tcPr>
          <w:p w14:paraId="3F1E6DC3">
            <w:pPr>
              <w:keepNext w:val="0"/>
              <w:keepLines w:val="0"/>
              <w:pageBreakBefore w:val="0"/>
              <w:widowControl w:val="0"/>
              <w:kinsoku/>
              <w:wordWrap w:val="0"/>
              <w:overflowPunct/>
              <w:topLinePunct/>
              <w:autoSpaceDE/>
              <w:autoSpaceDN w:val="0"/>
              <w:bidi w:val="0"/>
              <w:adjustRightInd w:val="0"/>
              <w:snapToGrid/>
              <w:spacing w:line="240" w:lineRule="auto"/>
              <w:ind w:firstLine="0" w:firstLineChars="0"/>
              <w:jc w:val="center"/>
              <w:textAlignment w:val="auto"/>
              <w:rPr>
                <w:color w:val="auto"/>
                <w:sz w:val="21"/>
                <w:szCs w:val="21"/>
                <w:highlight w:val="none"/>
                <w:u w:val="single"/>
              </w:rPr>
            </w:pPr>
            <w:r>
              <w:rPr>
                <w:color w:val="auto"/>
                <w:sz w:val="21"/>
                <w:szCs w:val="21"/>
                <w:highlight w:val="none"/>
                <w:u w:val="single"/>
              </w:rPr>
              <w:t>每半年监测</w:t>
            </w:r>
            <w:r>
              <w:rPr>
                <w:rFonts w:hint="eastAsia"/>
                <w:color w:val="auto"/>
                <w:sz w:val="21"/>
                <w:szCs w:val="21"/>
                <w:highlight w:val="none"/>
                <w:u w:val="single"/>
              </w:rPr>
              <w:t>1</w:t>
            </w:r>
            <w:r>
              <w:rPr>
                <w:color w:val="auto"/>
                <w:sz w:val="21"/>
                <w:szCs w:val="21"/>
                <w:highlight w:val="none"/>
                <w:u w:val="single"/>
              </w:rPr>
              <w:t>次，每次</w:t>
            </w:r>
            <w:r>
              <w:rPr>
                <w:rFonts w:hint="eastAsia"/>
                <w:color w:val="auto"/>
                <w:sz w:val="21"/>
                <w:szCs w:val="21"/>
                <w:highlight w:val="none"/>
                <w:u w:val="single"/>
              </w:rPr>
              <w:t>1</w:t>
            </w:r>
            <w:r>
              <w:rPr>
                <w:color w:val="auto"/>
                <w:sz w:val="21"/>
                <w:szCs w:val="21"/>
                <w:highlight w:val="none"/>
                <w:u w:val="single"/>
              </w:rPr>
              <w:t>天，一天3次。</w:t>
            </w:r>
          </w:p>
        </w:tc>
      </w:tr>
      <w:tr w14:paraId="651183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0" w:type="pct"/>
            <w:vMerge w:val="continue"/>
            <w:tcBorders>
              <w:tl2br w:val="nil"/>
              <w:tr2bl w:val="nil"/>
            </w:tcBorders>
            <w:vAlign w:val="center"/>
          </w:tcPr>
          <w:p w14:paraId="6C903F5A">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p>
        </w:tc>
        <w:tc>
          <w:tcPr>
            <w:tcW w:w="458" w:type="pct"/>
            <w:vMerge w:val="restart"/>
            <w:tcBorders>
              <w:tl2br w:val="nil"/>
              <w:tr2bl w:val="nil"/>
            </w:tcBorders>
            <w:vAlign w:val="center"/>
          </w:tcPr>
          <w:p w14:paraId="48F4DBFC">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废水</w:t>
            </w:r>
          </w:p>
        </w:tc>
        <w:tc>
          <w:tcPr>
            <w:tcW w:w="1559" w:type="pct"/>
            <w:tcBorders>
              <w:tl2br w:val="nil"/>
              <w:tr2bl w:val="nil"/>
            </w:tcBorders>
            <w:vAlign w:val="center"/>
          </w:tcPr>
          <w:p w14:paraId="74A83ED1">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氟化物、氨氮、磷酸盐、悬浮物、pH值、阴离子表面活性剂、石油类、五日生化需氧量、化学需氧量</w:t>
            </w:r>
          </w:p>
        </w:tc>
        <w:tc>
          <w:tcPr>
            <w:tcW w:w="1209" w:type="pct"/>
            <w:tcBorders>
              <w:tl2br w:val="nil"/>
              <w:tr2bl w:val="nil"/>
            </w:tcBorders>
            <w:vAlign w:val="center"/>
          </w:tcPr>
          <w:p w14:paraId="28DCDE99">
            <w:pPr>
              <w:kinsoku w:val="0"/>
              <w:overflowPunct w:val="0"/>
              <w:autoSpaceDE w:val="0"/>
              <w:autoSpaceDN w:val="0"/>
              <w:spacing w:line="240" w:lineRule="auto"/>
              <w:ind w:firstLine="0" w:firstLineChars="0"/>
              <w:jc w:val="center"/>
              <w:rPr>
                <w:color w:val="auto"/>
                <w:sz w:val="21"/>
                <w:szCs w:val="21"/>
                <w:highlight w:val="none"/>
                <w:u w:val="single"/>
              </w:rPr>
            </w:pPr>
            <w:r>
              <w:rPr>
                <w:color w:val="auto"/>
                <w:sz w:val="21"/>
                <w:szCs w:val="21"/>
                <w:highlight w:val="none"/>
                <w:u w:val="single"/>
              </w:rPr>
              <w:t>废水总排放口</w:t>
            </w:r>
          </w:p>
          <w:p w14:paraId="757EC3D2">
            <w:pPr>
              <w:kinsoku w:val="0"/>
              <w:overflowPunct w:val="0"/>
              <w:autoSpaceDE w:val="0"/>
              <w:autoSpaceDN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w:t>
            </w:r>
            <w:r>
              <w:rPr>
                <w:color w:val="auto"/>
                <w:sz w:val="21"/>
                <w:szCs w:val="21"/>
                <w:highlight w:val="none"/>
                <w:u w:val="single"/>
              </w:rPr>
              <w:t>DW001</w:t>
            </w:r>
            <w:r>
              <w:rPr>
                <w:rFonts w:hint="eastAsia"/>
                <w:color w:val="auto"/>
                <w:sz w:val="21"/>
                <w:szCs w:val="21"/>
                <w:highlight w:val="none"/>
                <w:u w:val="single"/>
              </w:rPr>
              <w:t>）</w:t>
            </w:r>
          </w:p>
        </w:tc>
        <w:tc>
          <w:tcPr>
            <w:tcW w:w="1334" w:type="pct"/>
            <w:tcBorders>
              <w:tl2br w:val="nil"/>
              <w:tr2bl w:val="nil"/>
            </w:tcBorders>
            <w:vAlign w:val="center"/>
          </w:tcPr>
          <w:p w14:paraId="1B2B3EB6">
            <w:pPr>
              <w:keepNext w:val="0"/>
              <w:keepLines w:val="0"/>
              <w:pageBreakBefore w:val="0"/>
              <w:widowControl w:val="0"/>
              <w:kinsoku/>
              <w:wordWrap w:val="0"/>
              <w:overflowPunct/>
              <w:topLinePunct/>
              <w:autoSpaceDE/>
              <w:autoSpaceDN w:val="0"/>
              <w:bidi w:val="0"/>
              <w:adjustRightInd w:val="0"/>
              <w:snapToGrid/>
              <w:spacing w:line="240" w:lineRule="auto"/>
              <w:ind w:firstLine="0" w:firstLineChars="0"/>
              <w:jc w:val="center"/>
              <w:textAlignment w:val="auto"/>
              <w:rPr>
                <w:color w:val="auto"/>
                <w:sz w:val="21"/>
                <w:szCs w:val="21"/>
                <w:highlight w:val="none"/>
                <w:u w:val="single"/>
              </w:rPr>
            </w:pPr>
            <w:r>
              <w:rPr>
                <w:color w:val="auto"/>
                <w:sz w:val="21"/>
                <w:szCs w:val="21"/>
                <w:highlight w:val="none"/>
                <w:u w:val="single"/>
              </w:rPr>
              <w:t>每季度监测</w:t>
            </w:r>
            <w:r>
              <w:rPr>
                <w:rFonts w:hint="eastAsia"/>
                <w:color w:val="auto"/>
                <w:sz w:val="21"/>
                <w:szCs w:val="21"/>
                <w:highlight w:val="none"/>
                <w:u w:val="single"/>
              </w:rPr>
              <w:t>1</w:t>
            </w:r>
            <w:r>
              <w:rPr>
                <w:color w:val="auto"/>
                <w:sz w:val="21"/>
                <w:szCs w:val="21"/>
                <w:highlight w:val="none"/>
                <w:u w:val="single"/>
              </w:rPr>
              <w:t>次，</w:t>
            </w:r>
            <w:bookmarkStart w:id="303" w:name="OLE_LINK14"/>
            <w:r>
              <w:rPr>
                <w:color w:val="auto"/>
                <w:sz w:val="21"/>
                <w:szCs w:val="21"/>
                <w:highlight w:val="none"/>
                <w:u w:val="single"/>
              </w:rPr>
              <w:t>每次</w:t>
            </w:r>
            <w:r>
              <w:rPr>
                <w:rFonts w:hint="eastAsia"/>
                <w:color w:val="auto"/>
                <w:sz w:val="21"/>
                <w:szCs w:val="21"/>
                <w:highlight w:val="none"/>
                <w:u w:val="single"/>
              </w:rPr>
              <w:t>1</w:t>
            </w:r>
            <w:r>
              <w:rPr>
                <w:color w:val="auto"/>
                <w:sz w:val="21"/>
                <w:szCs w:val="21"/>
                <w:highlight w:val="none"/>
                <w:u w:val="single"/>
              </w:rPr>
              <w:t>天，一天3次。</w:t>
            </w:r>
            <w:bookmarkEnd w:id="303"/>
          </w:p>
        </w:tc>
      </w:tr>
      <w:tr w14:paraId="7BFCE9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0" w:type="pct"/>
            <w:vMerge w:val="continue"/>
            <w:tcBorders>
              <w:tl2br w:val="nil"/>
              <w:tr2bl w:val="nil"/>
            </w:tcBorders>
            <w:vAlign w:val="center"/>
          </w:tcPr>
          <w:p w14:paraId="1EDE0D99">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p>
        </w:tc>
        <w:tc>
          <w:tcPr>
            <w:tcW w:w="458" w:type="pct"/>
            <w:vMerge w:val="continue"/>
            <w:tcBorders>
              <w:tl2br w:val="nil"/>
              <w:tr2bl w:val="nil"/>
            </w:tcBorders>
            <w:vAlign w:val="center"/>
          </w:tcPr>
          <w:p w14:paraId="6E002D37">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p>
        </w:tc>
        <w:tc>
          <w:tcPr>
            <w:tcW w:w="1559" w:type="pct"/>
            <w:tcBorders>
              <w:tl2br w:val="nil"/>
              <w:tr2bl w:val="nil"/>
            </w:tcBorders>
            <w:vAlign w:val="center"/>
          </w:tcPr>
          <w:p w14:paraId="17D37A7D">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color w:val="auto"/>
                <w:sz w:val="21"/>
                <w:szCs w:val="21"/>
                <w:highlight w:val="none"/>
                <w:u w:val="single"/>
              </w:rPr>
              <w:t>pH值、悬浮物</w:t>
            </w:r>
          </w:p>
        </w:tc>
        <w:tc>
          <w:tcPr>
            <w:tcW w:w="1209" w:type="pct"/>
            <w:tcBorders>
              <w:tl2br w:val="nil"/>
              <w:tr2bl w:val="nil"/>
            </w:tcBorders>
            <w:vAlign w:val="center"/>
          </w:tcPr>
          <w:p w14:paraId="270EC948">
            <w:pPr>
              <w:kinsoku w:val="0"/>
              <w:overflowPunct w:val="0"/>
              <w:autoSpaceDE w:val="0"/>
              <w:autoSpaceDN w:val="0"/>
              <w:spacing w:line="240" w:lineRule="auto"/>
              <w:ind w:firstLine="0" w:firstLineChars="0"/>
              <w:jc w:val="center"/>
              <w:rPr>
                <w:color w:val="auto"/>
                <w:sz w:val="21"/>
                <w:szCs w:val="21"/>
                <w:highlight w:val="none"/>
                <w:u w:val="single"/>
              </w:rPr>
            </w:pPr>
            <w:r>
              <w:rPr>
                <w:color w:val="auto"/>
                <w:sz w:val="21"/>
                <w:szCs w:val="21"/>
                <w:highlight w:val="none"/>
                <w:u w:val="single"/>
              </w:rPr>
              <w:t>雨水排放口</w:t>
            </w:r>
            <w:r>
              <w:rPr>
                <w:rFonts w:hint="eastAsia"/>
                <w:color w:val="auto"/>
                <w:sz w:val="21"/>
                <w:szCs w:val="21"/>
                <w:highlight w:val="none"/>
                <w:u w:val="single"/>
              </w:rPr>
              <w:t>（</w:t>
            </w:r>
            <w:r>
              <w:rPr>
                <w:color w:val="auto"/>
                <w:sz w:val="21"/>
                <w:szCs w:val="21"/>
                <w:highlight w:val="none"/>
                <w:u w:val="single"/>
              </w:rPr>
              <w:t>DW002</w:t>
            </w:r>
            <w:r>
              <w:rPr>
                <w:rFonts w:hint="eastAsia"/>
                <w:color w:val="auto"/>
                <w:sz w:val="21"/>
                <w:szCs w:val="21"/>
                <w:highlight w:val="none"/>
                <w:u w:val="single"/>
              </w:rPr>
              <w:t>）</w:t>
            </w:r>
          </w:p>
        </w:tc>
        <w:tc>
          <w:tcPr>
            <w:tcW w:w="1334" w:type="pct"/>
            <w:tcBorders>
              <w:tl2br w:val="nil"/>
              <w:tr2bl w:val="nil"/>
            </w:tcBorders>
            <w:vAlign w:val="center"/>
          </w:tcPr>
          <w:p w14:paraId="7D4C87A6">
            <w:pPr>
              <w:keepNext w:val="0"/>
              <w:keepLines w:val="0"/>
              <w:pageBreakBefore w:val="0"/>
              <w:widowControl w:val="0"/>
              <w:kinsoku/>
              <w:wordWrap w:val="0"/>
              <w:overflowPunct/>
              <w:topLinePunct/>
              <w:autoSpaceDE/>
              <w:autoSpaceDN w:val="0"/>
              <w:bidi w:val="0"/>
              <w:adjustRightInd w:val="0"/>
              <w:snapToGrid/>
              <w:spacing w:line="240" w:lineRule="auto"/>
              <w:ind w:firstLine="0" w:firstLineChars="0"/>
              <w:jc w:val="center"/>
              <w:textAlignment w:val="auto"/>
              <w:rPr>
                <w:color w:val="auto"/>
                <w:sz w:val="21"/>
                <w:szCs w:val="21"/>
                <w:highlight w:val="none"/>
                <w:u w:val="single"/>
              </w:rPr>
            </w:pPr>
            <w:r>
              <w:rPr>
                <w:color w:val="auto"/>
                <w:sz w:val="21"/>
                <w:szCs w:val="21"/>
                <w:highlight w:val="none"/>
                <w:u w:val="single"/>
              </w:rPr>
              <w:t>有雨水排放时监测</w:t>
            </w:r>
          </w:p>
        </w:tc>
      </w:tr>
      <w:tr w14:paraId="11E216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0" w:type="pct"/>
            <w:vMerge w:val="continue"/>
            <w:tcBorders>
              <w:tl2br w:val="nil"/>
              <w:tr2bl w:val="nil"/>
            </w:tcBorders>
            <w:vAlign w:val="center"/>
          </w:tcPr>
          <w:p w14:paraId="2141F2D4">
            <w:pPr>
              <w:kinsoku w:val="0"/>
              <w:overflowPunct w:val="0"/>
              <w:topLinePunct w:val="0"/>
              <w:autoSpaceDE w:val="0"/>
              <w:autoSpaceDN w:val="0"/>
              <w:snapToGrid/>
              <w:spacing w:line="240" w:lineRule="auto"/>
              <w:ind w:firstLine="0" w:firstLineChars="0"/>
              <w:jc w:val="center"/>
              <w:rPr>
                <w:rFonts w:hint="eastAsia"/>
                <w:color w:val="auto"/>
                <w:sz w:val="21"/>
                <w:szCs w:val="21"/>
                <w:highlight w:val="none"/>
                <w:u w:val="single"/>
              </w:rPr>
            </w:pPr>
          </w:p>
        </w:tc>
        <w:tc>
          <w:tcPr>
            <w:tcW w:w="458" w:type="pct"/>
            <w:tcBorders>
              <w:tl2br w:val="nil"/>
              <w:tr2bl w:val="nil"/>
            </w:tcBorders>
            <w:vAlign w:val="center"/>
          </w:tcPr>
          <w:p w14:paraId="561A2946">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噪声</w:t>
            </w:r>
          </w:p>
        </w:tc>
        <w:tc>
          <w:tcPr>
            <w:tcW w:w="1559" w:type="pct"/>
            <w:tcBorders>
              <w:tl2br w:val="nil"/>
              <w:tr2bl w:val="nil"/>
            </w:tcBorders>
            <w:vAlign w:val="center"/>
          </w:tcPr>
          <w:p w14:paraId="44AE3E5E">
            <w:pPr>
              <w:kinsoku w:val="0"/>
              <w:overflowPunct w:val="0"/>
              <w:topLinePunct w:val="0"/>
              <w:autoSpaceDE w:val="0"/>
              <w:autoSpaceDN w:val="0"/>
              <w:snapToGrid/>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等效声级</w:t>
            </w:r>
          </w:p>
        </w:tc>
        <w:tc>
          <w:tcPr>
            <w:tcW w:w="1209" w:type="pct"/>
            <w:tcBorders>
              <w:tl2br w:val="nil"/>
              <w:tr2bl w:val="nil"/>
            </w:tcBorders>
            <w:vAlign w:val="center"/>
          </w:tcPr>
          <w:p w14:paraId="6B9B711D">
            <w:pPr>
              <w:kinsoku w:val="0"/>
              <w:overflowPunct w:val="0"/>
              <w:autoSpaceDE w:val="0"/>
              <w:autoSpaceDN w:val="0"/>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厂界四周</w:t>
            </w:r>
          </w:p>
        </w:tc>
        <w:tc>
          <w:tcPr>
            <w:tcW w:w="1334" w:type="pct"/>
            <w:tcBorders>
              <w:tl2br w:val="nil"/>
              <w:tr2bl w:val="nil"/>
            </w:tcBorders>
            <w:vAlign w:val="center"/>
          </w:tcPr>
          <w:p w14:paraId="454F64FD">
            <w:pPr>
              <w:keepNext w:val="0"/>
              <w:keepLines w:val="0"/>
              <w:pageBreakBefore w:val="0"/>
              <w:widowControl w:val="0"/>
              <w:kinsoku/>
              <w:wordWrap w:val="0"/>
              <w:overflowPunct/>
              <w:topLinePunct/>
              <w:autoSpaceDE/>
              <w:autoSpaceDN w:val="0"/>
              <w:bidi w:val="0"/>
              <w:adjustRightInd w:val="0"/>
              <w:snapToGrid/>
              <w:spacing w:line="240" w:lineRule="auto"/>
              <w:ind w:firstLine="0" w:firstLineChars="0"/>
              <w:jc w:val="center"/>
              <w:textAlignment w:val="auto"/>
              <w:rPr>
                <w:color w:val="auto"/>
                <w:sz w:val="21"/>
                <w:szCs w:val="21"/>
                <w:highlight w:val="none"/>
                <w:u w:val="single"/>
              </w:rPr>
            </w:pPr>
            <w:r>
              <w:rPr>
                <w:color w:val="auto"/>
                <w:sz w:val="21"/>
                <w:szCs w:val="21"/>
                <w:highlight w:val="none"/>
                <w:u w:val="single"/>
              </w:rPr>
              <w:t>每季度监测</w:t>
            </w:r>
            <w:r>
              <w:rPr>
                <w:rFonts w:hint="eastAsia"/>
                <w:color w:val="auto"/>
                <w:sz w:val="21"/>
                <w:szCs w:val="21"/>
                <w:highlight w:val="none"/>
                <w:u w:val="single"/>
              </w:rPr>
              <w:t>1</w:t>
            </w:r>
            <w:r>
              <w:rPr>
                <w:color w:val="auto"/>
                <w:sz w:val="21"/>
                <w:szCs w:val="21"/>
                <w:highlight w:val="none"/>
                <w:u w:val="single"/>
              </w:rPr>
              <w:t>次</w:t>
            </w:r>
            <w:r>
              <w:rPr>
                <w:rFonts w:hint="eastAsia"/>
                <w:color w:val="auto"/>
                <w:sz w:val="21"/>
                <w:szCs w:val="21"/>
                <w:highlight w:val="none"/>
                <w:u w:val="single"/>
              </w:rPr>
              <w:t>，</w:t>
            </w:r>
            <w:r>
              <w:rPr>
                <w:color w:val="auto"/>
                <w:sz w:val="21"/>
                <w:szCs w:val="21"/>
                <w:highlight w:val="none"/>
                <w:u w:val="single"/>
              </w:rPr>
              <w:t>每次</w:t>
            </w:r>
            <w:r>
              <w:rPr>
                <w:rFonts w:hint="eastAsia"/>
                <w:color w:val="auto"/>
                <w:sz w:val="21"/>
                <w:szCs w:val="21"/>
                <w:highlight w:val="none"/>
                <w:u w:val="single"/>
              </w:rPr>
              <w:t>1</w:t>
            </w:r>
            <w:r>
              <w:rPr>
                <w:color w:val="auto"/>
                <w:sz w:val="21"/>
                <w:szCs w:val="21"/>
                <w:highlight w:val="none"/>
                <w:u w:val="single"/>
              </w:rPr>
              <w:t>天，</w:t>
            </w:r>
            <w:r>
              <w:rPr>
                <w:rFonts w:hint="eastAsia"/>
                <w:color w:val="auto"/>
                <w:sz w:val="21"/>
                <w:szCs w:val="21"/>
                <w:highlight w:val="none"/>
                <w:u w:val="single"/>
              </w:rPr>
              <w:t>昼夜各</w:t>
            </w:r>
            <w:r>
              <w:rPr>
                <w:color w:val="auto"/>
                <w:sz w:val="21"/>
                <w:szCs w:val="21"/>
                <w:highlight w:val="none"/>
                <w:u w:val="single"/>
              </w:rPr>
              <w:t>1次。</w:t>
            </w:r>
          </w:p>
        </w:tc>
      </w:tr>
      <w:tr w14:paraId="3A64E5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0" w:type="pct"/>
            <w:tcBorders>
              <w:tl2br w:val="nil"/>
              <w:tr2bl w:val="nil"/>
            </w:tcBorders>
            <w:vAlign w:val="center"/>
          </w:tcPr>
          <w:p w14:paraId="71232F70">
            <w:pPr>
              <w:kinsoku w:val="0"/>
              <w:overflowPunct w:val="0"/>
              <w:topLinePunct w:val="0"/>
              <w:autoSpaceDE w:val="0"/>
              <w:autoSpaceDN w:val="0"/>
              <w:snapToGrid/>
              <w:spacing w:line="240" w:lineRule="auto"/>
              <w:ind w:firstLine="0" w:firstLineChars="0"/>
              <w:jc w:val="center"/>
              <w:rPr>
                <w:rFonts w:hint="eastAsia"/>
                <w:color w:val="auto"/>
                <w:sz w:val="21"/>
                <w:szCs w:val="21"/>
                <w:highlight w:val="none"/>
                <w:u w:val="single"/>
              </w:rPr>
            </w:pPr>
            <w:r>
              <w:rPr>
                <w:rFonts w:hint="eastAsia"/>
                <w:color w:val="auto"/>
                <w:sz w:val="21"/>
                <w:szCs w:val="21"/>
                <w:highlight w:val="none"/>
                <w:u w:val="single"/>
              </w:rPr>
              <w:t>环境质量</w:t>
            </w:r>
          </w:p>
        </w:tc>
        <w:tc>
          <w:tcPr>
            <w:tcW w:w="458" w:type="pct"/>
            <w:tcBorders>
              <w:tl2br w:val="nil"/>
              <w:tr2bl w:val="nil"/>
            </w:tcBorders>
            <w:vAlign w:val="center"/>
          </w:tcPr>
          <w:p w14:paraId="20F0FF2D">
            <w:pPr>
              <w:kinsoku w:val="0"/>
              <w:overflowPunct w:val="0"/>
              <w:topLinePunct w:val="0"/>
              <w:autoSpaceDE w:val="0"/>
              <w:autoSpaceDN w:val="0"/>
              <w:snapToGrid/>
              <w:spacing w:line="240" w:lineRule="auto"/>
              <w:ind w:firstLine="0" w:firstLineChars="0"/>
              <w:jc w:val="center"/>
              <w:rPr>
                <w:rFonts w:hint="eastAsia"/>
                <w:color w:val="auto"/>
                <w:sz w:val="21"/>
                <w:szCs w:val="21"/>
                <w:highlight w:val="none"/>
                <w:u w:val="single"/>
              </w:rPr>
            </w:pPr>
            <w:r>
              <w:rPr>
                <w:rFonts w:hint="eastAsia"/>
                <w:color w:val="auto"/>
                <w:sz w:val="21"/>
                <w:szCs w:val="21"/>
                <w:highlight w:val="none"/>
                <w:u w:val="single"/>
              </w:rPr>
              <w:t>海水水质</w:t>
            </w:r>
          </w:p>
        </w:tc>
        <w:tc>
          <w:tcPr>
            <w:tcW w:w="1559" w:type="pct"/>
            <w:tcBorders>
              <w:tl2br w:val="nil"/>
              <w:tr2bl w:val="nil"/>
            </w:tcBorders>
            <w:vAlign w:val="center"/>
          </w:tcPr>
          <w:p w14:paraId="587A362A">
            <w:pPr>
              <w:kinsoku w:val="0"/>
              <w:overflowPunct w:val="0"/>
              <w:topLinePunct w:val="0"/>
              <w:autoSpaceDE w:val="0"/>
              <w:autoSpaceDN w:val="0"/>
              <w:snapToGrid/>
              <w:spacing w:line="240" w:lineRule="auto"/>
              <w:ind w:firstLine="0" w:firstLineChars="0"/>
              <w:jc w:val="center"/>
              <w:rPr>
                <w:rFonts w:hint="eastAsia"/>
                <w:color w:val="auto"/>
                <w:sz w:val="21"/>
                <w:szCs w:val="21"/>
                <w:highlight w:val="none"/>
                <w:u w:val="single"/>
              </w:rPr>
            </w:pPr>
            <w:r>
              <w:rPr>
                <w:rFonts w:hint="eastAsia"/>
                <w:color w:val="auto"/>
                <w:spacing w:val="1"/>
                <w:sz w:val="21"/>
                <w:szCs w:val="21"/>
                <w:highlight w:val="none"/>
              </w:rPr>
              <w:t>铜、铅、镉</w:t>
            </w:r>
            <w:r>
              <w:rPr>
                <w:rFonts w:hint="eastAsia"/>
                <w:color w:val="auto"/>
                <w:spacing w:val="1"/>
                <w:sz w:val="21"/>
                <w:szCs w:val="21"/>
                <w:highlight w:val="none"/>
                <w:lang w:eastAsia="zh-CN"/>
              </w:rPr>
              <w:t>、</w:t>
            </w:r>
            <w:r>
              <w:rPr>
                <w:color w:val="auto"/>
                <w:spacing w:val="1"/>
                <w:sz w:val="21"/>
                <w:szCs w:val="21"/>
                <w:highlight w:val="none"/>
              </w:rPr>
              <w:t>石油类、悬浮物</w:t>
            </w:r>
          </w:p>
        </w:tc>
        <w:tc>
          <w:tcPr>
            <w:tcW w:w="1209" w:type="pct"/>
            <w:tcBorders>
              <w:tl2br w:val="nil"/>
              <w:tr2bl w:val="nil"/>
            </w:tcBorders>
            <w:vAlign w:val="center"/>
          </w:tcPr>
          <w:p w14:paraId="637CDAC6">
            <w:pPr>
              <w:kinsoku w:val="0"/>
              <w:overflowPunct w:val="0"/>
              <w:autoSpaceDE w:val="0"/>
              <w:autoSpaceDN w:val="0"/>
              <w:spacing w:line="240" w:lineRule="auto"/>
              <w:ind w:firstLine="0" w:firstLineChars="0"/>
              <w:jc w:val="center"/>
              <w:rPr>
                <w:rFonts w:hint="eastAsia"/>
                <w:color w:val="auto"/>
                <w:sz w:val="21"/>
                <w:szCs w:val="21"/>
                <w:highlight w:val="none"/>
                <w:u w:val="single"/>
              </w:rPr>
            </w:pPr>
            <w:r>
              <w:rPr>
                <w:rFonts w:hint="eastAsia"/>
                <w:color w:val="auto"/>
                <w:sz w:val="21"/>
                <w:szCs w:val="21"/>
                <w:highlight w:val="none"/>
                <w:u w:val="single"/>
              </w:rPr>
              <w:t>浮船坞附近</w:t>
            </w:r>
          </w:p>
        </w:tc>
        <w:tc>
          <w:tcPr>
            <w:tcW w:w="1334" w:type="pct"/>
            <w:tcBorders>
              <w:tl2br w:val="nil"/>
              <w:tr2bl w:val="nil"/>
            </w:tcBorders>
            <w:vAlign w:val="center"/>
          </w:tcPr>
          <w:p w14:paraId="47E1BEE3">
            <w:pPr>
              <w:keepNext w:val="0"/>
              <w:keepLines w:val="0"/>
              <w:pageBreakBefore w:val="0"/>
              <w:widowControl w:val="0"/>
              <w:kinsoku/>
              <w:wordWrap w:val="0"/>
              <w:overflowPunct/>
              <w:topLinePunct/>
              <w:autoSpaceDE/>
              <w:autoSpaceDN w:val="0"/>
              <w:bidi w:val="0"/>
              <w:adjustRightInd w:val="0"/>
              <w:snapToGrid/>
              <w:spacing w:line="240" w:lineRule="auto"/>
              <w:ind w:firstLine="0" w:firstLineChars="0"/>
              <w:jc w:val="center"/>
              <w:textAlignment w:val="auto"/>
              <w:rPr>
                <w:color w:val="auto"/>
                <w:sz w:val="21"/>
                <w:szCs w:val="21"/>
                <w:highlight w:val="none"/>
                <w:u w:val="single"/>
              </w:rPr>
            </w:pPr>
            <w:r>
              <w:rPr>
                <w:color w:val="auto"/>
                <w:sz w:val="21"/>
                <w:szCs w:val="21"/>
                <w:highlight w:val="none"/>
                <w:u w:val="single"/>
              </w:rPr>
              <w:t>每季度监测</w:t>
            </w:r>
            <w:r>
              <w:rPr>
                <w:rFonts w:hint="eastAsia"/>
                <w:color w:val="auto"/>
                <w:sz w:val="21"/>
                <w:szCs w:val="21"/>
                <w:highlight w:val="none"/>
                <w:u w:val="single"/>
              </w:rPr>
              <w:t>1</w:t>
            </w:r>
            <w:r>
              <w:rPr>
                <w:color w:val="auto"/>
                <w:sz w:val="21"/>
                <w:szCs w:val="21"/>
                <w:highlight w:val="none"/>
                <w:u w:val="single"/>
              </w:rPr>
              <w:t>次，每次</w:t>
            </w:r>
            <w:r>
              <w:rPr>
                <w:rFonts w:hint="eastAsia"/>
                <w:color w:val="auto"/>
                <w:sz w:val="21"/>
                <w:szCs w:val="21"/>
                <w:highlight w:val="none"/>
                <w:u w:val="single"/>
              </w:rPr>
              <w:t>1</w:t>
            </w:r>
            <w:r>
              <w:rPr>
                <w:color w:val="auto"/>
                <w:sz w:val="21"/>
                <w:szCs w:val="21"/>
                <w:highlight w:val="none"/>
                <w:u w:val="single"/>
              </w:rPr>
              <w:t>天，一天3次。</w:t>
            </w:r>
          </w:p>
        </w:tc>
      </w:tr>
    </w:tbl>
    <w:p w14:paraId="59FB4EA2">
      <w:pPr>
        <w:pStyle w:val="91"/>
        <w:ind w:left="480"/>
        <w:rPr>
          <w:color w:val="auto"/>
          <w:highlight w:val="none"/>
        </w:rPr>
      </w:pPr>
    </w:p>
    <w:p w14:paraId="4729377B">
      <w:pPr>
        <w:pStyle w:val="6"/>
        <w:numPr>
          <w:ilvl w:val="1"/>
          <w:numId w:val="9"/>
        </w:numPr>
        <w:rPr>
          <w:color w:val="auto"/>
          <w:sz w:val="32"/>
          <w:szCs w:val="32"/>
          <w:highlight w:val="none"/>
        </w:rPr>
      </w:pPr>
      <w:bookmarkStart w:id="304" w:name="_Toc16348"/>
      <w:bookmarkStart w:id="305" w:name="_Toc21719"/>
      <w:bookmarkStart w:id="306" w:name="_Toc33967141"/>
      <w:bookmarkStart w:id="307" w:name="_Toc33967245"/>
      <w:r>
        <w:rPr>
          <w:color w:val="auto"/>
          <w:sz w:val="32"/>
          <w:szCs w:val="32"/>
          <w:highlight w:val="none"/>
        </w:rPr>
        <w:t>环保设施“三同时”验收</w:t>
      </w:r>
      <w:bookmarkEnd w:id="304"/>
      <w:bookmarkEnd w:id="305"/>
      <w:bookmarkEnd w:id="306"/>
      <w:bookmarkEnd w:id="307"/>
    </w:p>
    <w:p w14:paraId="1342495F">
      <w:pPr>
        <w:ind w:firstLine="480"/>
        <w:rPr>
          <w:color w:val="auto"/>
          <w:highlight w:val="none"/>
        </w:rPr>
      </w:pPr>
      <w:r>
        <w:rPr>
          <w:color w:val="auto"/>
          <w:highlight w:val="none"/>
        </w:rPr>
        <w:t>根据《建设项目环境保护管理条例》（国务院令第682号）和《建设项目竣工环境保护验收暂行办法》（国环规环评〔2017〕4号）的规定，认真落实国家</w:t>
      </w:r>
      <w:r>
        <w:rPr>
          <w:rFonts w:hint="eastAsia"/>
          <w:color w:val="auto"/>
          <w:highlight w:val="none"/>
          <w:lang w:eastAsia="zh-CN"/>
        </w:rPr>
        <w:t>环境部</w:t>
      </w:r>
      <w:r>
        <w:rPr>
          <w:color w:val="auto"/>
          <w:highlight w:val="none"/>
        </w:rPr>
        <w:t>关于建设项目环境保护设施竣工验收管理规定及竣工验收监测的要求；根据环境保护行政主管部门的计划安排，建设单位组织验收或委托第三方机构对项目开展环保“三同时”验收监测和实地调查工作。</w:t>
      </w:r>
    </w:p>
    <w:p w14:paraId="71057343">
      <w:pPr>
        <w:ind w:firstLine="480"/>
        <w:rPr>
          <w:color w:val="auto"/>
          <w:highlight w:val="none"/>
        </w:rPr>
      </w:pPr>
      <w:r>
        <w:rPr>
          <w:color w:val="auto"/>
          <w:highlight w:val="none"/>
        </w:rPr>
        <w:t>项目环保设施“三同时”实施步骤和内容见表7.4-1。</w:t>
      </w:r>
    </w:p>
    <w:p w14:paraId="7923C28E">
      <w:pPr>
        <w:ind w:firstLine="422"/>
        <w:jc w:val="center"/>
        <w:rPr>
          <w:b/>
          <w:bCs/>
          <w:color w:val="auto"/>
          <w:sz w:val="21"/>
          <w:szCs w:val="21"/>
          <w:highlight w:val="none"/>
        </w:rPr>
      </w:pPr>
    </w:p>
    <w:p w14:paraId="6BEBAD1B">
      <w:pPr>
        <w:ind w:firstLine="422"/>
        <w:jc w:val="center"/>
        <w:rPr>
          <w:b/>
          <w:bCs/>
          <w:color w:val="auto"/>
          <w:sz w:val="21"/>
          <w:szCs w:val="21"/>
          <w:highlight w:val="none"/>
        </w:rPr>
        <w:sectPr>
          <w:pgSz w:w="11906" w:h="16838"/>
          <w:pgMar w:top="1559" w:right="1418" w:bottom="1503" w:left="1418" w:header="851" w:footer="964" w:gutter="0"/>
          <w:cols w:space="720" w:num="1"/>
          <w:docGrid w:linePitch="326" w:charSpace="0"/>
        </w:sectPr>
      </w:pPr>
    </w:p>
    <w:p w14:paraId="4B5CD7D3">
      <w:pPr>
        <w:spacing w:line="240" w:lineRule="auto"/>
        <w:ind w:firstLine="0" w:firstLineChars="0"/>
        <w:jc w:val="center"/>
        <w:rPr>
          <w:b/>
          <w:color w:val="auto"/>
          <w:sz w:val="21"/>
          <w:szCs w:val="21"/>
          <w:highlight w:val="none"/>
        </w:rPr>
      </w:pPr>
      <w:r>
        <w:rPr>
          <w:b/>
          <w:color w:val="auto"/>
          <w:sz w:val="21"/>
          <w:szCs w:val="21"/>
          <w:highlight w:val="none"/>
        </w:rPr>
        <w:t>7.4-1  项目“三同时”验收一览表</w:t>
      </w:r>
      <w:bookmarkEnd w:id="270"/>
      <w:bookmarkStart w:id="308" w:name="_Toc475975394"/>
      <w:bookmarkStart w:id="309" w:name="_Toc33967246"/>
      <w:bookmarkStart w:id="310" w:name="_Toc33967142"/>
    </w:p>
    <w:tbl>
      <w:tblPr>
        <w:tblStyle w:val="153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72"/>
        <w:gridCol w:w="1072"/>
        <w:gridCol w:w="1534"/>
        <w:gridCol w:w="5269"/>
        <w:gridCol w:w="2065"/>
        <w:gridCol w:w="2980"/>
      </w:tblGrid>
      <w:tr w14:paraId="1008C1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383" w:type="pct"/>
            <w:tcBorders>
              <w:top w:val="single" w:color="auto" w:sz="12" w:space="0"/>
              <w:tl2br w:val="nil"/>
              <w:tr2bl w:val="nil"/>
            </w:tcBorders>
            <w:vAlign w:val="center"/>
          </w:tcPr>
          <w:p w14:paraId="43D08C99">
            <w:pPr>
              <w:kinsoku w:val="0"/>
              <w:overflowPunct w:val="0"/>
              <w:topLinePunct w:val="0"/>
              <w:autoSpaceDE w:val="0"/>
              <w:autoSpaceDN w:val="0"/>
              <w:spacing w:line="240" w:lineRule="auto"/>
              <w:ind w:firstLine="0" w:firstLineChars="0"/>
              <w:jc w:val="center"/>
              <w:rPr>
                <w:b/>
                <w:bCs/>
                <w:color w:val="auto"/>
                <w:sz w:val="21"/>
                <w:szCs w:val="21"/>
                <w:highlight w:val="none"/>
              </w:rPr>
            </w:pPr>
            <w:r>
              <w:rPr>
                <w:b/>
                <w:bCs/>
                <w:color w:val="auto"/>
                <w:spacing w:val="1"/>
                <w:sz w:val="21"/>
                <w:szCs w:val="21"/>
                <w:highlight w:val="none"/>
              </w:rPr>
              <w:t>环境因素</w:t>
            </w:r>
          </w:p>
        </w:tc>
        <w:tc>
          <w:tcPr>
            <w:tcW w:w="383" w:type="pct"/>
            <w:tcBorders>
              <w:top w:val="single" w:color="auto" w:sz="12" w:space="0"/>
              <w:tl2br w:val="nil"/>
              <w:tr2bl w:val="nil"/>
            </w:tcBorders>
            <w:vAlign w:val="center"/>
          </w:tcPr>
          <w:p w14:paraId="32AEA658">
            <w:pPr>
              <w:kinsoku w:val="0"/>
              <w:overflowPunct w:val="0"/>
              <w:topLinePunct w:val="0"/>
              <w:autoSpaceDE w:val="0"/>
              <w:autoSpaceDN w:val="0"/>
              <w:spacing w:line="240" w:lineRule="auto"/>
              <w:ind w:firstLine="0" w:firstLineChars="0"/>
              <w:jc w:val="center"/>
              <w:rPr>
                <w:b/>
                <w:bCs/>
                <w:color w:val="auto"/>
                <w:sz w:val="21"/>
                <w:szCs w:val="21"/>
                <w:highlight w:val="none"/>
              </w:rPr>
            </w:pPr>
            <w:r>
              <w:rPr>
                <w:b/>
                <w:bCs/>
                <w:color w:val="auto"/>
                <w:spacing w:val="1"/>
                <w:sz w:val="21"/>
                <w:szCs w:val="21"/>
                <w:highlight w:val="none"/>
              </w:rPr>
              <w:t>污染源</w:t>
            </w:r>
          </w:p>
        </w:tc>
        <w:tc>
          <w:tcPr>
            <w:tcW w:w="546" w:type="pct"/>
            <w:tcBorders>
              <w:top w:val="single" w:color="auto" w:sz="12" w:space="0"/>
              <w:tl2br w:val="nil"/>
              <w:tr2bl w:val="nil"/>
            </w:tcBorders>
            <w:vAlign w:val="center"/>
          </w:tcPr>
          <w:p w14:paraId="713052DC">
            <w:pPr>
              <w:kinsoku w:val="0"/>
              <w:overflowPunct w:val="0"/>
              <w:topLinePunct w:val="0"/>
              <w:autoSpaceDE w:val="0"/>
              <w:autoSpaceDN w:val="0"/>
              <w:spacing w:line="240" w:lineRule="auto"/>
              <w:ind w:firstLine="0" w:firstLineChars="0"/>
              <w:jc w:val="center"/>
              <w:rPr>
                <w:b/>
                <w:bCs/>
                <w:color w:val="auto"/>
                <w:sz w:val="21"/>
                <w:szCs w:val="21"/>
                <w:highlight w:val="none"/>
              </w:rPr>
            </w:pPr>
            <w:r>
              <w:rPr>
                <w:b/>
                <w:bCs/>
                <w:color w:val="auto"/>
                <w:spacing w:val="1"/>
                <w:sz w:val="21"/>
                <w:szCs w:val="21"/>
                <w:highlight w:val="none"/>
              </w:rPr>
              <w:t>污染物</w:t>
            </w:r>
          </w:p>
        </w:tc>
        <w:tc>
          <w:tcPr>
            <w:tcW w:w="1883" w:type="pct"/>
            <w:tcBorders>
              <w:top w:val="single" w:color="auto" w:sz="12" w:space="0"/>
              <w:tl2br w:val="nil"/>
              <w:tr2bl w:val="nil"/>
            </w:tcBorders>
            <w:vAlign w:val="center"/>
          </w:tcPr>
          <w:p w14:paraId="65E7BA68">
            <w:pPr>
              <w:kinsoku w:val="0"/>
              <w:overflowPunct w:val="0"/>
              <w:topLinePunct w:val="0"/>
              <w:autoSpaceDE w:val="0"/>
              <w:autoSpaceDN w:val="0"/>
              <w:spacing w:line="240" w:lineRule="auto"/>
              <w:ind w:firstLine="0" w:firstLineChars="0"/>
              <w:jc w:val="center"/>
              <w:rPr>
                <w:b/>
                <w:bCs/>
                <w:color w:val="auto"/>
                <w:sz w:val="21"/>
                <w:szCs w:val="21"/>
                <w:highlight w:val="none"/>
              </w:rPr>
            </w:pPr>
            <w:r>
              <w:rPr>
                <w:b/>
                <w:bCs/>
                <w:color w:val="auto"/>
                <w:spacing w:val="1"/>
                <w:sz w:val="21"/>
                <w:szCs w:val="21"/>
                <w:highlight w:val="none"/>
              </w:rPr>
              <w:t>治理措施</w:t>
            </w:r>
          </w:p>
        </w:tc>
        <w:tc>
          <w:tcPr>
            <w:tcW w:w="738" w:type="pct"/>
            <w:tcBorders>
              <w:top w:val="single" w:color="auto" w:sz="12" w:space="0"/>
              <w:tl2br w:val="nil"/>
              <w:tr2bl w:val="nil"/>
            </w:tcBorders>
            <w:vAlign w:val="center"/>
          </w:tcPr>
          <w:p w14:paraId="05E7049F">
            <w:pPr>
              <w:kinsoku w:val="0"/>
              <w:overflowPunct w:val="0"/>
              <w:topLinePunct w:val="0"/>
              <w:autoSpaceDE w:val="0"/>
              <w:autoSpaceDN w:val="0"/>
              <w:spacing w:line="240" w:lineRule="auto"/>
              <w:ind w:firstLine="0" w:firstLineChars="0"/>
              <w:jc w:val="center"/>
              <w:rPr>
                <w:b/>
                <w:bCs/>
                <w:color w:val="auto"/>
                <w:sz w:val="21"/>
                <w:szCs w:val="21"/>
                <w:highlight w:val="none"/>
              </w:rPr>
            </w:pPr>
            <w:r>
              <w:rPr>
                <w:b/>
                <w:bCs/>
                <w:color w:val="auto"/>
                <w:spacing w:val="1"/>
                <w:sz w:val="21"/>
                <w:szCs w:val="21"/>
                <w:highlight w:val="none"/>
              </w:rPr>
              <w:t>验收内容</w:t>
            </w:r>
          </w:p>
        </w:tc>
        <w:tc>
          <w:tcPr>
            <w:tcW w:w="1065" w:type="pct"/>
            <w:tcBorders>
              <w:top w:val="single" w:color="auto" w:sz="12" w:space="0"/>
              <w:tl2br w:val="nil"/>
              <w:tr2bl w:val="nil"/>
            </w:tcBorders>
            <w:vAlign w:val="center"/>
          </w:tcPr>
          <w:p w14:paraId="0AA8FD44">
            <w:pPr>
              <w:kinsoku w:val="0"/>
              <w:overflowPunct w:val="0"/>
              <w:topLinePunct w:val="0"/>
              <w:autoSpaceDE w:val="0"/>
              <w:autoSpaceDN w:val="0"/>
              <w:spacing w:line="240" w:lineRule="auto"/>
              <w:ind w:firstLine="0" w:firstLineChars="0"/>
              <w:jc w:val="center"/>
              <w:rPr>
                <w:b/>
                <w:bCs/>
                <w:color w:val="auto"/>
                <w:sz w:val="21"/>
                <w:szCs w:val="21"/>
                <w:highlight w:val="none"/>
              </w:rPr>
            </w:pPr>
            <w:r>
              <w:rPr>
                <w:b/>
                <w:bCs/>
                <w:color w:val="auto"/>
                <w:spacing w:val="1"/>
                <w:sz w:val="21"/>
                <w:szCs w:val="21"/>
                <w:highlight w:val="none"/>
              </w:rPr>
              <w:t>验收标准</w:t>
            </w:r>
          </w:p>
        </w:tc>
      </w:tr>
      <w:tr w14:paraId="4E5ACA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3" w:type="pct"/>
            <w:vMerge w:val="restart"/>
            <w:tcBorders>
              <w:tl2br w:val="nil"/>
              <w:tr2bl w:val="nil"/>
            </w:tcBorders>
            <w:vAlign w:val="center"/>
          </w:tcPr>
          <w:p w14:paraId="3AEE03D1">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废气</w:t>
            </w:r>
          </w:p>
        </w:tc>
        <w:tc>
          <w:tcPr>
            <w:tcW w:w="383" w:type="pct"/>
            <w:tcBorders>
              <w:tl2br w:val="nil"/>
              <w:tr2bl w:val="nil"/>
            </w:tcBorders>
            <w:vAlign w:val="center"/>
          </w:tcPr>
          <w:p w14:paraId="58154144">
            <w:pPr>
              <w:spacing w:line="240" w:lineRule="auto"/>
              <w:ind w:firstLine="0" w:firstLineChars="0"/>
              <w:jc w:val="center"/>
              <w:rPr>
                <w:bCs/>
                <w:color w:val="auto"/>
                <w:sz w:val="21"/>
                <w:szCs w:val="21"/>
                <w:highlight w:val="none"/>
              </w:rPr>
            </w:pPr>
            <w:r>
              <w:rPr>
                <w:bCs/>
                <w:color w:val="auto"/>
                <w:kern w:val="24"/>
                <w:sz w:val="21"/>
                <w:szCs w:val="21"/>
                <w:highlight w:val="none"/>
              </w:rPr>
              <w:t>除锈粉尘</w:t>
            </w:r>
          </w:p>
        </w:tc>
        <w:tc>
          <w:tcPr>
            <w:tcW w:w="546" w:type="pct"/>
            <w:tcBorders>
              <w:tl2br w:val="nil"/>
              <w:tr2bl w:val="nil"/>
            </w:tcBorders>
            <w:vAlign w:val="center"/>
          </w:tcPr>
          <w:p w14:paraId="4275AD76">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TSP</w:t>
            </w:r>
          </w:p>
        </w:tc>
        <w:tc>
          <w:tcPr>
            <w:tcW w:w="1883" w:type="pct"/>
            <w:vMerge w:val="restart"/>
            <w:tcBorders>
              <w:tl2br w:val="nil"/>
              <w:tr2bl w:val="nil"/>
            </w:tcBorders>
            <w:vAlign w:val="center"/>
          </w:tcPr>
          <w:p w14:paraId="378C66F4">
            <w:pPr>
              <w:spacing w:line="240" w:lineRule="auto"/>
              <w:ind w:firstLine="0" w:firstLineChars="0"/>
              <w:jc w:val="center"/>
              <w:rPr>
                <w:color w:val="auto"/>
                <w:sz w:val="21"/>
                <w:szCs w:val="21"/>
                <w:highlight w:val="none"/>
              </w:rPr>
            </w:pPr>
            <w:r>
              <w:rPr>
                <w:rFonts w:hint="eastAsia" w:ascii="宋体" w:hAnsi="宋体" w:cs="宋体"/>
                <w:color w:val="auto"/>
                <w:sz w:val="21"/>
                <w:szCs w:val="21"/>
                <w:highlight w:val="none"/>
              </w:rPr>
              <w:t>①</w:t>
            </w:r>
            <w:r>
              <w:rPr>
                <w:color w:val="auto"/>
                <w:sz w:val="21"/>
                <w:szCs w:val="21"/>
                <w:highlight w:val="none"/>
              </w:rPr>
              <w:t>焊接过程采用配有焊接烟尘净化装置的机器进行焊接</w:t>
            </w:r>
            <w:r>
              <w:rPr>
                <w:rFonts w:hint="eastAsia"/>
                <w:color w:val="auto"/>
                <w:sz w:val="21"/>
                <w:szCs w:val="21"/>
                <w:highlight w:val="none"/>
              </w:rPr>
              <w:t>；</w:t>
            </w:r>
          </w:p>
          <w:p w14:paraId="20566560">
            <w:pPr>
              <w:kinsoku w:val="0"/>
              <w:overflowPunct w:val="0"/>
              <w:topLinePunct w:val="0"/>
              <w:autoSpaceDE w:val="0"/>
              <w:autoSpaceDN w:val="0"/>
              <w:spacing w:line="240" w:lineRule="auto"/>
              <w:ind w:firstLine="0" w:firstLineChars="0"/>
              <w:jc w:val="center"/>
              <w:rPr>
                <w:color w:val="auto"/>
                <w:sz w:val="21"/>
                <w:szCs w:val="21"/>
                <w:highlight w:val="none"/>
              </w:rPr>
            </w:pPr>
            <w:r>
              <w:rPr>
                <w:rFonts w:hint="eastAsia" w:ascii="宋体" w:hAnsi="宋体" w:cs="宋体"/>
                <w:color w:val="auto"/>
                <w:sz w:val="21"/>
                <w:szCs w:val="21"/>
                <w:highlight w:val="none"/>
              </w:rPr>
              <w:t>②</w:t>
            </w:r>
            <w:r>
              <w:rPr>
                <w:color w:val="auto"/>
                <w:sz w:val="21"/>
                <w:szCs w:val="21"/>
                <w:highlight w:val="none"/>
              </w:rPr>
              <w:t>鼓风机通风无组织排放</w:t>
            </w:r>
          </w:p>
        </w:tc>
        <w:tc>
          <w:tcPr>
            <w:tcW w:w="738" w:type="pct"/>
            <w:tcBorders>
              <w:tl2br w:val="nil"/>
              <w:tr2bl w:val="nil"/>
            </w:tcBorders>
            <w:vAlign w:val="center"/>
          </w:tcPr>
          <w:p w14:paraId="2D7BD956">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厂界达标</w:t>
            </w:r>
          </w:p>
        </w:tc>
        <w:tc>
          <w:tcPr>
            <w:tcW w:w="1065" w:type="pct"/>
            <w:vMerge w:val="restart"/>
            <w:tcBorders>
              <w:tl2br w:val="nil"/>
              <w:tr2bl w:val="nil"/>
            </w:tcBorders>
            <w:vAlign w:val="center"/>
          </w:tcPr>
          <w:p w14:paraId="034D7A55">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《大气污染物综合排放标准》（GB16297-1996）新污染源大气污染物排放限值2中无组织排放浓度监控限值</w:t>
            </w:r>
          </w:p>
        </w:tc>
      </w:tr>
      <w:tr w14:paraId="70FC09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3" w:type="pct"/>
            <w:vMerge w:val="continue"/>
            <w:tcBorders>
              <w:tl2br w:val="nil"/>
              <w:tr2bl w:val="nil"/>
            </w:tcBorders>
            <w:vAlign w:val="center"/>
          </w:tcPr>
          <w:p w14:paraId="0C0FA107">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383" w:type="pct"/>
            <w:tcBorders>
              <w:tl2br w:val="nil"/>
              <w:tr2bl w:val="nil"/>
            </w:tcBorders>
            <w:vAlign w:val="center"/>
          </w:tcPr>
          <w:p w14:paraId="4EA144BC">
            <w:pPr>
              <w:spacing w:line="240" w:lineRule="auto"/>
              <w:ind w:firstLine="0" w:firstLineChars="0"/>
              <w:jc w:val="center"/>
              <w:rPr>
                <w:bCs/>
                <w:color w:val="auto"/>
                <w:kern w:val="24"/>
                <w:sz w:val="21"/>
                <w:szCs w:val="21"/>
                <w:highlight w:val="none"/>
              </w:rPr>
            </w:pPr>
            <w:r>
              <w:rPr>
                <w:bCs/>
                <w:color w:val="auto"/>
                <w:sz w:val="21"/>
                <w:szCs w:val="21"/>
                <w:highlight w:val="none"/>
              </w:rPr>
              <w:t>焊接烟尘</w:t>
            </w:r>
          </w:p>
        </w:tc>
        <w:tc>
          <w:tcPr>
            <w:tcW w:w="546" w:type="pct"/>
            <w:tcBorders>
              <w:tl2br w:val="nil"/>
              <w:tr2bl w:val="nil"/>
            </w:tcBorders>
            <w:vAlign w:val="center"/>
          </w:tcPr>
          <w:p w14:paraId="1BD6CD2C">
            <w:pPr>
              <w:spacing w:line="240" w:lineRule="auto"/>
              <w:ind w:firstLine="0" w:firstLineChars="0"/>
              <w:jc w:val="center"/>
              <w:rPr>
                <w:bCs/>
                <w:color w:val="auto"/>
                <w:sz w:val="21"/>
                <w:szCs w:val="21"/>
                <w:highlight w:val="none"/>
              </w:rPr>
            </w:pPr>
            <w:r>
              <w:rPr>
                <w:bCs/>
                <w:color w:val="auto"/>
                <w:sz w:val="21"/>
                <w:szCs w:val="21"/>
                <w:highlight w:val="none"/>
              </w:rPr>
              <w:t>TSP</w:t>
            </w:r>
          </w:p>
        </w:tc>
        <w:tc>
          <w:tcPr>
            <w:tcW w:w="1883" w:type="pct"/>
            <w:vMerge w:val="continue"/>
            <w:tcBorders>
              <w:tl2br w:val="nil"/>
              <w:tr2bl w:val="nil"/>
            </w:tcBorders>
            <w:vAlign w:val="center"/>
          </w:tcPr>
          <w:p w14:paraId="1A89C18A">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738" w:type="pct"/>
            <w:tcBorders>
              <w:tl2br w:val="nil"/>
              <w:tr2bl w:val="nil"/>
            </w:tcBorders>
            <w:vAlign w:val="center"/>
          </w:tcPr>
          <w:p w14:paraId="31D29995">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厂界达标</w:t>
            </w:r>
          </w:p>
        </w:tc>
        <w:tc>
          <w:tcPr>
            <w:tcW w:w="1065" w:type="pct"/>
            <w:vMerge w:val="continue"/>
            <w:tcBorders>
              <w:tl2br w:val="nil"/>
              <w:tr2bl w:val="nil"/>
            </w:tcBorders>
            <w:vAlign w:val="center"/>
          </w:tcPr>
          <w:p w14:paraId="775AC9C9">
            <w:pPr>
              <w:kinsoku w:val="0"/>
              <w:overflowPunct w:val="0"/>
              <w:topLinePunct w:val="0"/>
              <w:autoSpaceDE w:val="0"/>
              <w:autoSpaceDN w:val="0"/>
              <w:spacing w:line="240" w:lineRule="auto"/>
              <w:ind w:firstLine="0" w:firstLineChars="0"/>
              <w:jc w:val="center"/>
              <w:rPr>
                <w:color w:val="auto"/>
                <w:sz w:val="21"/>
                <w:szCs w:val="21"/>
                <w:highlight w:val="none"/>
              </w:rPr>
            </w:pPr>
          </w:p>
        </w:tc>
      </w:tr>
      <w:tr w14:paraId="3D9FBE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3" w:type="pct"/>
            <w:vMerge w:val="continue"/>
            <w:tcBorders>
              <w:tl2br w:val="nil"/>
              <w:tr2bl w:val="nil"/>
            </w:tcBorders>
            <w:vAlign w:val="center"/>
          </w:tcPr>
          <w:p w14:paraId="10185DB9">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383" w:type="pct"/>
            <w:tcBorders>
              <w:tl2br w:val="nil"/>
              <w:tr2bl w:val="nil"/>
            </w:tcBorders>
            <w:vAlign w:val="center"/>
          </w:tcPr>
          <w:p w14:paraId="11D02CD8">
            <w:pPr>
              <w:spacing w:line="240" w:lineRule="auto"/>
              <w:ind w:firstLine="0" w:firstLineChars="0"/>
              <w:jc w:val="center"/>
              <w:rPr>
                <w:bCs/>
                <w:color w:val="auto"/>
                <w:sz w:val="21"/>
                <w:szCs w:val="21"/>
                <w:highlight w:val="none"/>
              </w:rPr>
            </w:pPr>
            <w:r>
              <w:rPr>
                <w:bCs/>
                <w:color w:val="auto"/>
                <w:sz w:val="21"/>
                <w:szCs w:val="21"/>
                <w:highlight w:val="none"/>
              </w:rPr>
              <w:t>切割粉尘</w:t>
            </w:r>
          </w:p>
        </w:tc>
        <w:tc>
          <w:tcPr>
            <w:tcW w:w="546" w:type="pct"/>
            <w:tcBorders>
              <w:tl2br w:val="nil"/>
              <w:tr2bl w:val="nil"/>
            </w:tcBorders>
            <w:vAlign w:val="center"/>
          </w:tcPr>
          <w:p w14:paraId="7A551B81">
            <w:pPr>
              <w:spacing w:line="240" w:lineRule="auto"/>
              <w:ind w:firstLine="0" w:firstLineChars="0"/>
              <w:jc w:val="center"/>
              <w:rPr>
                <w:bCs/>
                <w:color w:val="auto"/>
                <w:sz w:val="21"/>
                <w:szCs w:val="21"/>
                <w:highlight w:val="none"/>
              </w:rPr>
            </w:pPr>
            <w:r>
              <w:rPr>
                <w:bCs/>
                <w:color w:val="auto"/>
                <w:sz w:val="21"/>
                <w:szCs w:val="21"/>
                <w:highlight w:val="none"/>
              </w:rPr>
              <w:t>TSP</w:t>
            </w:r>
          </w:p>
        </w:tc>
        <w:tc>
          <w:tcPr>
            <w:tcW w:w="1883" w:type="pct"/>
            <w:vMerge w:val="continue"/>
            <w:tcBorders>
              <w:tl2br w:val="nil"/>
              <w:tr2bl w:val="nil"/>
            </w:tcBorders>
            <w:vAlign w:val="center"/>
          </w:tcPr>
          <w:p w14:paraId="2E0D172E">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738" w:type="pct"/>
            <w:tcBorders>
              <w:tl2br w:val="nil"/>
              <w:tr2bl w:val="nil"/>
            </w:tcBorders>
            <w:vAlign w:val="center"/>
          </w:tcPr>
          <w:p w14:paraId="473F082B">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厂界达标</w:t>
            </w:r>
          </w:p>
        </w:tc>
        <w:tc>
          <w:tcPr>
            <w:tcW w:w="1065" w:type="pct"/>
            <w:vMerge w:val="continue"/>
            <w:tcBorders>
              <w:tl2br w:val="nil"/>
              <w:tr2bl w:val="nil"/>
            </w:tcBorders>
            <w:vAlign w:val="center"/>
          </w:tcPr>
          <w:p w14:paraId="582925E6">
            <w:pPr>
              <w:kinsoku w:val="0"/>
              <w:overflowPunct w:val="0"/>
              <w:topLinePunct w:val="0"/>
              <w:autoSpaceDE w:val="0"/>
              <w:autoSpaceDN w:val="0"/>
              <w:spacing w:line="240" w:lineRule="auto"/>
              <w:ind w:firstLine="0" w:firstLineChars="0"/>
              <w:jc w:val="center"/>
              <w:rPr>
                <w:color w:val="auto"/>
                <w:sz w:val="21"/>
                <w:szCs w:val="21"/>
                <w:highlight w:val="none"/>
              </w:rPr>
            </w:pPr>
          </w:p>
        </w:tc>
      </w:tr>
      <w:tr w14:paraId="17B738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3" w:type="pct"/>
            <w:vMerge w:val="continue"/>
            <w:tcBorders>
              <w:tl2br w:val="nil"/>
              <w:tr2bl w:val="nil"/>
            </w:tcBorders>
            <w:vAlign w:val="center"/>
          </w:tcPr>
          <w:p w14:paraId="346D3450">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383" w:type="pct"/>
            <w:vMerge w:val="restart"/>
            <w:tcBorders>
              <w:tl2br w:val="nil"/>
              <w:tr2bl w:val="nil"/>
            </w:tcBorders>
            <w:vAlign w:val="center"/>
          </w:tcPr>
          <w:p w14:paraId="5C7CB834">
            <w:pPr>
              <w:spacing w:line="240" w:lineRule="auto"/>
              <w:ind w:firstLine="0" w:firstLineChars="0"/>
              <w:jc w:val="center"/>
              <w:rPr>
                <w:color w:val="auto"/>
                <w:sz w:val="21"/>
                <w:szCs w:val="21"/>
                <w:highlight w:val="none"/>
              </w:rPr>
            </w:pPr>
            <w:r>
              <w:rPr>
                <w:bCs/>
                <w:color w:val="auto"/>
                <w:sz w:val="21"/>
                <w:szCs w:val="21"/>
                <w:highlight w:val="none"/>
              </w:rPr>
              <w:t>补漆废气</w:t>
            </w:r>
          </w:p>
        </w:tc>
        <w:tc>
          <w:tcPr>
            <w:tcW w:w="546" w:type="pct"/>
            <w:tcBorders>
              <w:tl2br w:val="nil"/>
              <w:tr2bl w:val="nil"/>
            </w:tcBorders>
            <w:vAlign w:val="center"/>
          </w:tcPr>
          <w:p w14:paraId="37B3863F">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漆雾</w:t>
            </w:r>
          </w:p>
        </w:tc>
        <w:tc>
          <w:tcPr>
            <w:tcW w:w="1883" w:type="pct"/>
            <w:vMerge w:val="restart"/>
            <w:tcBorders>
              <w:tl2br w:val="nil"/>
              <w:tr2bl w:val="nil"/>
            </w:tcBorders>
            <w:vAlign w:val="center"/>
          </w:tcPr>
          <w:p w14:paraId="7D31F32D">
            <w:pPr>
              <w:kinsoku w:val="0"/>
              <w:overflowPunct w:val="0"/>
              <w:topLinePunct w:val="0"/>
              <w:autoSpaceDE w:val="0"/>
              <w:autoSpaceDN w:val="0"/>
              <w:spacing w:line="240" w:lineRule="auto"/>
              <w:ind w:firstLine="0" w:firstLineChars="0"/>
              <w:jc w:val="center"/>
              <w:rPr>
                <w:color w:val="auto"/>
                <w:sz w:val="21"/>
                <w:szCs w:val="21"/>
                <w:highlight w:val="none"/>
              </w:rPr>
            </w:pPr>
            <w:r>
              <w:rPr>
                <w:bCs/>
                <w:color w:val="auto"/>
                <w:sz w:val="21"/>
                <w:szCs w:val="21"/>
                <w:highlight w:val="none"/>
              </w:rPr>
              <w:t>减少装置的跑、冒、滴、漏，加强船体的通风</w:t>
            </w:r>
          </w:p>
        </w:tc>
        <w:tc>
          <w:tcPr>
            <w:tcW w:w="738" w:type="pct"/>
            <w:tcBorders>
              <w:tl2br w:val="nil"/>
              <w:tr2bl w:val="nil"/>
            </w:tcBorders>
            <w:vAlign w:val="center"/>
          </w:tcPr>
          <w:p w14:paraId="004B12D1">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厂界达标</w:t>
            </w:r>
          </w:p>
        </w:tc>
        <w:tc>
          <w:tcPr>
            <w:tcW w:w="1065" w:type="pct"/>
            <w:vMerge w:val="continue"/>
            <w:tcBorders>
              <w:tl2br w:val="nil"/>
              <w:tr2bl w:val="nil"/>
            </w:tcBorders>
            <w:vAlign w:val="center"/>
          </w:tcPr>
          <w:p w14:paraId="5B1D8D01">
            <w:pPr>
              <w:kinsoku w:val="0"/>
              <w:overflowPunct w:val="0"/>
              <w:topLinePunct w:val="0"/>
              <w:autoSpaceDE w:val="0"/>
              <w:autoSpaceDN w:val="0"/>
              <w:spacing w:line="240" w:lineRule="auto"/>
              <w:ind w:firstLine="0" w:firstLineChars="0"/>
              <w:jc w:val="center"/>
              <w:rPr>
                <w:color w:val="auto"/>
                <w:sz w:val="21"/>
                <w:szCs w:val="21"/>
                <w:highlight w:val="none"/>
              </w:rPr>
            </w:pPr>
          </w:p>
        </w:tc>
      </w:tr>
      <w:tr w14:paraId="446620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3" w:type="pct"/>
            <w:vMerge w:val="continue"/>
            <w:tcBorders>
              <w:tl2br w:val="nil"/>
              <w:tr2bl w:val="nil"/>
            </w:tcBorders>
            <w:vAlign w:val="center"/>
          </w:tcPr>
          <w:p w14:paraId="6AF501A1">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383" w:type="pct"/>
            <w:vMerge w:val="continue"/>
            <w:tcBorders>
              <w:tl2br w:val="nil"/>
              <w:tr2bl w:val="nil"/>
            </w:tcBorders>
            <w:vAlign w:val="center"/>
          </w:tcPr>
          <w:p w14:paraId="544C614B">
            <w:pPr>
              <w:spacing w:line="240" w:lineRule="auto"/>
              <w:ind w:firstLine="0" w:firstLineChars="0"/>
              <w:jc w:val="center"/>
              <w:rPr>
                <w:bCs/>
                <w:color w:val="auto"/>
                <w:sz w:val="21"/>
                <w:szCs w:val="21"/>
                <w:highlight w:val="none"/>
              </w:rPr>
            </w:pPr>
          </w:p>
        </w:tc>
        <w:tc>
          <w:tcPr>
            <w:tcW w:w="546" w:type="pct"/>
            <w:tcBorders>
              <w:tl2br w:val="nil"/>
              <w:tr2bl w:val="nil"/>
            </w:tcBorders>
            <w:vAlign w:val="center"/>
          </w:tcPr>
          <w:p w14:paraId="113D51FE">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二甲苯</w:t>
            </w:r>
          </w:p>
        </w:tc>
        <w:tc>
          <w:tcPr>
            <w:tcW w:w="1883" w:type="pct"/>
            <w:vMerge w:val="continue"/>
            <w:tcBorders>
              <w:tl2br w:val="nil"/>
              <w:tr2bl w:val="nil"/>
            </w:tcBorders>
            <w:vAlign w:val="center"/>
          </w:tcPr>
          <w:p w14:paraId="787F2548">
            <w:pPr>
              <w:kinsoku w:val="0"/>
              <w:overflowPunct w:val="0"/>
              <w:topLinePunct w:val="0"/>
              <w:autoSpaceDE w:val="0"/>
              <w:autoSpaceDN w:val="0"/>
              <w:spacing w:line="240" w:lineRule="auto"/>
              <w:ind w:firstLine="0" w:firstLineChars="0"/>
              <w:jc w:val="center"/>
              <w:rPr>
                <w:bCs/>
                <w:color w:val="auto"/>
                <w:sz w:val="21"/>
                <w:szCs w:val="21"/>
                <w:highlight w:val="none"/>
              </w:rPr>
            </w:pPr>
          </w:p>
        </w:tc>
        <w:tc>
          <w:tcPr>
            <w:tcW w:w="738" w:type="pct"/>
            <w:tcBorders>
              <w:tl2br w:val="nil"/>
              <w:tr2bl w:val="nil"/>
            </w:tcBorders>
            <w:vAlign w:val="center"/>
          </w:tcPr>
          <w:p w14:paraId="40C63B35">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厂界达标</w:t>
            </w:r>
          </w:p>
        </w:tc>
        <w:tc>
          <w:tcPr>
            <w:tcW w:w="1065" w:type="pct"/>
            <w:vMerge w:val="continue"/>
            <w:tcBorders>
              <w:tl2br w:val="nil"/>
              <w:tr2bl w:val="nil"/>
            </w:tcBorders>
            <w:vAlign w:val="center"/>
          </w:tcPr>
          <w:p w14:paraId="0FDA4A6E">
            <w:pPr>
              <w:kinsoku w:val="0"/>
              <w:overflowPunct w:val="0"/>
              <w:topLinePunct w:val="0"/>
              <w:autoSpaceDE w:val="0"/>
              <w:autoSpaceDN w:val="0"/>
              <w:spacing w:line="240" w:lineRule="auto"/>
              <w:ind w:firstLine="0" w:firstLineChars="0"/>
              <w:jc w:val="center"/>
              <w:rPr>
                <w:color w:val="auto"/>
                <w:sz w:val="21"/>
                <w:szCs w:val="21"/>
                <w:highlight w:val="none"/>
              </w:rPr>
            </w:pPr>
          </w:p>
        </w:tc>
      </w:tr>
      <w:tr w14:paraId="640D8D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3" w:type="pct"/>
            <w:vMerge w:val="continue"/>
            <w:tcBorders>
              <w:tl2br w:val="nil"/>
              <w:tr2bl w:val="nil"/>
            </w:tcBorders>
            <w:vAlign w:val="center"/>
          </w:tcPr>
          <w:p w14:paraId="1CEE0DE2">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383" w:type="pct"/>
            <w:vMerge w:val="continue"/>
            <w:tcBorders>
              <w:tl2br w:val="nil"/>
              <w:tr2bl w:val="nil"/>
            </w:tcBorders>
            <w:vAlign w:val="center"/>
          </w:tcPr>
          <w:p w14:paraId="73976A45">
            <w:pPr>
              <w:spacing w:line="240" w:lineRule="auto"/>
              <w:ind w:firstLine="0" w:firstLineChars="0"/>
              <w:jc w:val="center"/>
              <w:rPr>
                <w:bCs/>
                <w:color w:val="auto"/>
                <w:sz w:val="21"/>
                <w:szCs w:val="21"/>
                <w:highlight w:val="none"/>
              </w:rPr>
            </w:pPr>
          </w:p>
        </w:tc>
        <w:tc>
          <w:tcPr>
            <w:tcW w:w="546" w:type="pct"/>
            <w:tcBorders>
              <w:tl2br w:val="nil"/>
              <w:tr2bl w:val="nil"/>
            </w:tcBorders>
            <w:vAlign w:val="center"/>
          </w:tcPr>
          <w:p w14:paraId="12D4CABC">
            <w:pPr>
              <w:kinsoku w:val="0"/>
              <w:overflowPunct w:val="0"/>
              <w:topLinePunct w:val="0"/>
              <w:autoSpaceDE w:val="0"/>
              <w:autoSpaceDN w:val="0"/>
              <w:spacing w:line="240" w:lineRule="auto"/>
              <w:ind w:firstLine="0" w:firstLineChars="0"/>
              <w:jc w:val="center"/>
              <w:rPr>
                <w:color w:val="auto"/>
                <w:sz w:val="21"/>
                <w:szCs w:val="21"/>
                <w:highlight w:val="none"/>
              </w:rPr>
            </w:pPr>
            <w:r>
              <w:rPr>
                <w:rFonts w:hint="eastAsia"/>
                <w:color w:val="auto"/>
                <w:sz w:val="21"/>
                <w:szCs w:val="21"/>
                <w:highlight w:val="none"/>
              </w:rPr>
              <w:t>T</w:t>
            </w:r>
            <w:r>
              <w:rPr>
                <w:color w:val="auto"/>
                <w:sz w:val="21"/>
                <w:szCs w:val="21"/>
                <w:highlight w:val="none"/>
              </w:rPr>
              <w:t>VOC</w:t>
            </w:r>
          </w:p>
        </w:tc>
        <w:tc>
          <w:tcPr>
            <w:tcW w:w="1883" w:type="pct"/>
            <w:vMerge w:val="continue"/>
            <w:tcBorders>
              <w:tl2br w:val="nil"/>
              <w:tr2bl w:val="nil"/>
            </w:tcBorders>
            <w:vAlign w:val="center"/>
          </w:tcPr>
          <w:p w14:paraId="087256E8">
            <w:pPr>
              <w:kinsoku w:val="0"/>
              <w:overflowPunct w:val="0"/>
              <w:topLinePunct w:val="0"/>
              <w:autoSpaceDE w:val="0"/>
              <w:autoSpaceDN w:val="0"/>
              <w:spacing w:line="240" w:lineRule="auto"/>
              <w:ind w:firstLine="0" w:firstLineChars="0"/>
              <w:jc w:val="center"/>
              <w:rPr>
                <w:bCs/>
                <w:color w:val="auto"/>
                <w:sz w:val="21"/>
                <w:szCs w:val="21"/>
                <w:highlight w:val="none"/>
              </w:rPr>
            </w:pPr>
          </w:p>
        </w:tc>
        <w:tc>
          <w:tcPr>
            <w:tcW w:w="738" w:type="pct"/>
            <w:tcBorders>
              <w:tl2br w:val="nil"/>
              <w:tr2bl w:val="nil"/>
            </w:tcBorders>
            <w:vAlign w:val="center"/>
          </w:tcPr>
          <w:p w14:paraId="257CB622">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厂界达标</w:t>
            </w:r>
          </w:p>
        </w:tc>
        <w:tc>
          <w:tcPr>
            <w:tcW w:w="1065" w:type="pct"/>
            <w:tcBorders>
              <w:tl2br w:val="nil"/>
              <w:tr2bl w:val="nil"/>
            </w:tcBorders>
            <w:vAlign w:val="center"/>
          </w:tcPr>
          <w:p w14:paraId="3C640481">
            <w:pPr>
              <w:kinsoku w:val="0"/>
              <w:overflowPunct w:val="0"/>
              <w:topLinePunct w:val="0"/>
              <w:autoSpaceDE w:val="0"/>
              <w:autoSpaceDN w:val="0"/>
              <w:spacing w:line="240" w:lineRule="auto"/>
              <w:ind w:firstLine="0" w:firstLineChars="0"/>
              <w:jc w:val="center"/>
              <w:rPr>
                <w:color w:val="auto"/>
                <w:sz w:val="21"/>
                <w:szCs w:val="21"/>
                <w:highlight w:val="none"/>
              </w:rPr>
            </w:pPr>
            <w:r>
              <w:rPr>
                <w:bCs/>
                <w:color w:val="auto"/>
                <w:sz w:val="21"/>
                <w:szCs w:val="21"/>
                <w:highlight w:val="none"/>
              </w:rPr>
              <w:t>《挥发性有机物无组织排放控制标准》（GB37822-2019）附录A中厂区内VOCs无组织排放限值</w:t>
            </w:r>
          </w:p>
        </w:tc>
      </w:tr>
      <w:tr w14:paraId="0E0F42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3" w:type="pct"/>
            <w:vMerge w:val="restart"/>
            <w:tcBorders>
              <w:tl2br w:val="nil"/>
              <w:tr2bl w:val="nil"/>
            </w:tcBorders>
            <w:vAlign w:val="center"/>
          </w:tcPr>
          <w:p w14:paraId="76FFE966">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废水</w:t>
            </w:r>
          </w:p>
        </w:tc>
        <w:tc>
          <w:tcPr>
            <w:tcW w:w="383" w:type="pct"/>
            <w:tcBorders>
              <w:tl2br w:val="nil"/>
              <w:tr2bl w:val="nil"/>
            </w:tcBorders>
            <w:vAlign w:val="center"/>
          </w:tcPr>
          <w:p w14:paraId="52A9F4ED">
            <w:pPr>
              <w:spacing w:line="240" w:lineRule="auto"/>
              <w:ind w:firstLine="0" w:firstLineChars="0"/>
              <w:jc w:val="center"/>
              <w:rPr>
                <w:bCs/>
                <w:color w:val="auto"/>
                <w:sz w:val="21"/>
                <w:szCs w:val="21"/>
                <w:highlight w:val="none"/>
              </w:rPr>
            </w:pPr>
            <w:r>
              <w:rPr>
                <w:bCs/>
                <w:color w:val="auto"/>
                <w:sz w:val="21"/>
                <w:szCs w:val="21"/>
                <w:highlight w:val="none"/>
              </w:rPr>
              <w:t>生活污水</w:t>
            </w:r>
          </w:p>
        </w:tc>
        <w:tc>
          <w:tcPr>
            <w:tcW w:w="546" w:type="pct"/>
            <w:tcBorders>
              <w:tl2br w:val="nil"/>
              <w:tr2bl w:val="nil"/>
            </w:tcBorders>
            <w:vAlign w:val="center"/>
          </w:tcPr>
          <w:p w14:paraId="5D260023">
            <w:pPr>
              <w:spacing w:line="240" w:lineRule="auto"/>
              <w:ind w:firstLine="0" w:firstLineChars="0"/>
              <w:jc w:val="center"/>
              <w:rPr>
                <w:color w:val="auto"/>
                <w:sz w:val="21"/>
                <w:szCs w:val="21"/>
                <w:highlight w:val="none"/>
              </w:rPr>
            </w:pPr>
            <w:r>
              <w:rPr>
                <w:bCs/>
                <w:color w:val="auto"/>
                <w:sz w:val="21"/>
                <w:szCs w:val="21"/>
                <w:highlight w:val="none"/>
              </w:rPr>
              <w:t>COD、BOD</w:t>
            </w:r>
            <w:r>
              <w:rPr>
                <w:bCs/>
                <w:color w:val="auto"/>
                <w:sz w:val="21"/>
                <w:szCs w:val="21"/>
                <w:highlight w:val="none"/>
                <w:vertAlign w:val="subscript"/>
              </w:rPr>
              <w:t>5</w:t>
            </w:r>
            <w:r>
              <w:rPr>
                <w:bCs/>
                <w:color w:val="auto"/>
                <w:sz w:val="21"/>
                <w:szCs w:val="21"/>
                <w:highlight w:val="none"/>
              </w:rPr>
              <w:t>、氨氮、SS</w:t>
            </w:r>
          </w:p>
        </w:tc>
        <w:tc>
          <w:tcPr>
            <w:tcW w:w="1883" w:type="pct"/>
            <w:tcBorders>
              <w:tl2br w:val="nil"/>
              <w:tr2bl w:val="nil"/>
            </w:tcBorders>
            <w:vAlign w:val="center"/>
          </w:tcPr>
          <w:p w14:paraId="15E028F7">
            <w:pPr>
              <w:spacing w:line="240" w:lineRule="auto"/>
              <w:ind w:firstLine="0" w:firstLineChars="0"/>
              <w:jc w:val="center"/>
              <w:rPr>
                <w:bCs/>
                <w:color w:val="auto"/>
                <w:sz w:val="21"/>
                <w:szCs w:val="21"/>
                <w:highlight w:val="none"/>
              </w:rPr>
            </w:pPr>
            <w:r>
              <w:rPr>
                <w:color w:val="auto"/>
                <w:sz w:val="21"/>
                <w:szCs w:val="21"/>
                <w:highlight w:val="none"/>
                <w:u w:val="single"/>
              </w:rPr>
              <w:t>经</w:t>
            </w:r>
            <w:r>
              <w:rPr>
                <w:rFonts w:hint="eastAsia"/>
                <w:color w:val="auto"/>
                <w:sz w:val="21"/>
                <w:szCs w:val="21"/>
                <w:highlight w:val="none"/>
                <w:u w:val="single"/>
              </w:rPr>
              <w:t>陆域</w:t>
            </w:r>
            <w:r>
              <w:rPr>
                <w:color w:val="auto"/>
                <w:sz w:val="21"/>
                <w:szCs w:val="21"/>
                <w:highlight w:val="none"/>
                <w:u w:val="single"/>
              </w:rPr>
              <w:t>生活污水处理一体化设备（处理规模300m</w:t>
            </w:r>
            <w:r>
              <w:rPr>
                <w:color w:val="auto"/>
                <w:sz w:val="21"/>
                <w:szCs w:val="21"/>
                <w:highlight w:val="none"/>
                <w:u w:val="single"/>
                <w:vertAlign w:val="superscript"/>
              </w:rPr>
              <w:t>3</w:t>
            </w:r>
            <w:r>
              <w:rPr>
                <w:color w:val="auto"/>
                <w:sz w:val="21"/>
                <w:szCs w:val="21"/>
                <w:highlight w:val="none"/>
                <w:u w:val="single"/>
              </w:rPr>
              <w:t>/d）处理</w:t>
            </w:r>
            <w:r>
              <w:rPr>
                <w:rFonts w:hint="eastAsia"/>
                <w:color w:val="auto"/>
                <w:sz w:val="21"/>
                <w:szCs w:val="21"/>
                <w:highlight w:val="none"/>
                <w:u w:val="single"/>
              </w:rPr>
              <w:t>后，进入中水回用池储存，大部分</w:t>
            </w:r>
            <w:r>
              <w:rPr>
                <w:color w:val="auto"/>
                <w:sz w:val="21"/>
                <w:szCs w:val="21"/>
                <w:highlight w:val="none"/>
                <w:u w:val="single"/>
              </w:rPr>
              <w:t>回用于厂区绿化及降尘，</w:t>
            </w:r>
            <w:r>
              <w:rPr>
                <w:rFonts w:hint="eastAsia"/>
                <w:color w:val="auto"/>
                <w:sz w:val="21"/>
                <w:szCs w:val="21"/>
                <w:highlight w:val="none"/>
                <w:u w:val="single"/>
              </w:rPr>
              <w:t>少部分</w:t>
            </w:r>
            <w:r>
              <w:rPr>
                <w:color w:val="auto"/>
                <w:sz w:val="21"/>
                <w:szCs w:val="21"/>
                <w:highlight w:val="none"/>
                <w:u w:val="single"/>
              </w:rPr>
              <w:t>不能回用的由槽罐车运至大榄坪污水处理厂处理</w:t>
            </w:r>
          </w:p>
        </w:tc>
        <w:tc>
          <w:tcPr>
            <w:tcW w:w="738" w:type="pct"/>
            <w:tcBorders>
              <w:tl2br w:val="nil"/>
              <w:tr2bl w:val="nil"/>
            </w:tcBorders>
            <w:vAlign w:val="center"/>
          </w:tcPr>
          <w:p w14:paraId="539054EF">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依托现有生活污水处理设备</w:t>
            </w:r>
          </w:p>
        </w:tc>
        <w:tc>
          <w:tcPr>
            <w:tcW w:w="1065" w:type="pct"/>
            <w:tcBorders>
              <w:tl2br w:val="nil"/>
              <w:tr2bl w:val="nil"/>
            </w:tcBorders>
            <w:vAlign w:val="center"/>
          </w:tcPr>
          <w:p w14:paraId="6317406B">
            <w:pPr>
              <w:spacing w:line="240" w:lineRule="auto"/>
              <w:ind w:firstLine="0" w:firstLineChars="0"/>
              <w:jc w:val="center"/>
              <w:rPr>
                <w:color w:val="auto"/>
                <w:sz w:val="21"/>
                <w:szCs w:val="21"/>
                <w:highlight w:val="none"/>
              </w:rPr>
            </w:pPr>
            <w:r>
              <w:rPr>
                <w:rFonts w:hint="eastAsia"/>
                <w:color w:val="auto"/>
                <w:sz w:val="21"/>
                <w:szCs w:val="21"/>
                <w:highlight w:val="none"/>
              </w:rPr>
              <w:t>/</w:t>
            </w:r>
          </w:p>
        </w:tc>
      </w:tr>
      <w:tr w14:paraId="32BA22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3" w:type="pct"/>
            <w:vMerge w:val="continue"/>
            <w:tcBorders>
              <w:tl2br w:val="nil"/>
              <w:tr2bl w:val="nil"/>
            </w:tcBorders>
            <w:vAlign w:val="center"/>
          </w:tcPr>
          <w:p w14:paraId="7A81BA6F">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383" w:type="pct"/>
            <w:tcBorders>
              <w:tl2br w:val="nil"/>
              <w:tr2bl w:val="nil"/>
            </w:tcBorders>
            <w:vAlign w:val="center"/>
          </w:tcPr>
          <w:p w14:paraId="5DDA34F9">
            <w:pPr>
              <w:spacing w:line="240" w:lineRule="auto"/>
              <w:ind w:firstLine="0" w:firstLineChars="0"/>
              <w:jc w:val="center"/>
              <w:rPr>
                <w:bCs/>
                <w:color w:val="auto"/>
                <w:sz w:val="21"/>
                <w:szCs w:val="21"/>
                <w:highlight w:val="none"/>
              </w:rPr>
            </w:pPr>
            <w:r>
              <w:rPr>
                <w:bCs/>
                <w:color w:val="auto"/>
                <w:sz w:val="21"/>
                <w:szCs w:val="21"/>
                <w:highlight w:val="none"/>
              </w:rPr>
              <w:t>含油污水</w:t>
            </w:r>
          </w:p>
        </w:tc>
        <w:tc>
          <w:tcPr>
            <w:tcW w:w="546" w:type="pct"/>
            <w:tcBorders>
              <w:tl2br w:val="nil"/>
              <w:tr2bl w:val="nil"/>
            </w:tcBorders>
            <w:vAlign w:val="center"/>
          </w:tcPr>
          <w:p w14:paraId="172F3004">
            <w:pPr>
              <w:spacing w:line="240" w:lineRule="auto"/>
              <w:ind w:firstLine="0" w:firstLineChars="0"/>
              <w:jc w:val="center"/>
              <w:rPr>
                <w:color w:val="auto"/>
                <w:sz w:val="21"/>
                <w:szCs w:val="21"/>
                <w:highlight w:val="none"/>
              </w:rPr>
            </w:pPr>
            <w:r>
              <w:rPr>
                <w:bCs/>
                <w:color w:val="auto"/>
                <w:sz w:val="21"/>
                <w:szCs w:val="21"/>
                <w:highlight w:val="none"/>
              </w:rPr>
              <w:t>COD、石油类</w:t>
            </w:r>
          </w:p>
        </w:tc>
        <w:tc>
          <w:tcPr>
            <w:tcW w:w="1883" w:type="pct"/>
            <w:tcBorders>
              <w:tl2br w:val="nil"/>
              <w:tr2bl w:val="nil"/>
            </w:tcBorders>
            <w:vAlign w:val="center"/>
          </w:tcPr>
          <w:p w14:paraId="0851D117">
            <w:pPr>
              <w:spacing w:line="240" w:lineRule="auto"/>
              <w:ind w:firstLine="0" w:firstLineChars="0"/>
              <w:jc w:val="center"/>
              <w:rPr>
                <w:bCs/>
                <w:color w:val="auto"/>
                <w:sz w:val="21"/>
                <w:szCs w:val="21"/>
                <w:highlight w:val="none"/>
              </w:rPr>
            </w:pPr>
            <w:r>
              <w:rPr>
                <w:rFonts w:hint="eastAsia"/>
                <w:color w:val="auto"/>
                <w:sz w:val="21"/>
                <w:szCs w:val="21"/>
                <w:highlight w:val="none"/>
                <w:u w:val="single"/>
              </w:rPr>
              <w:t>经浮船坞上配套的污水舱收集后，采用罐车运至</w:t>
            </w:r>
            <w:r>
              <w:rPr>
                <w:color w:val="auto"/>
                <w:sz w:val="21"/>
                <w:szCs w:val="21"/>
                <w:highlight w:val="none"/>
                <w:u w:val="single"/>
              </w:rPr>
              <w:t>厂区</w:t>
            </w:r>
            <w:r>
              <w:rPr>
                <w:rFonts w:hint="eastAsia"/>
                <w:color w:val="auto"/>
                <w:sz w:val="21"/>
                <w:szCs w:val="21"/>
                <w:highlight w:val="none"/>
                <w:u w:val="single"/>
              </w:rPr>
              <w:t>现有污</w:t>
            </w:r>
            <w:r>
              <w:rPr>
                <w:color w:val="auto"/>
                <w:sz w:val="21"/>
                <w:szCs w:val="21"/>
                <w:highlight w:val="none"/>
                <w:u w:val="single"/>
              </w:rPr>
              <w:t>水处理站的含油废水处理系统处理</w:t>
            </w:r>
            <w:r>
              <w:rPr>
                <w:rFonts w:hint="eastAsia"/>
                <w:color w:val="auto"/>
                <w:sz w:val="21"/>
                <w:szCs w:val="21"/>
                <w:highlight w:val="none"/>
                <w:u w:val="single"/>
              </w:rPr>
              <w:t>，</w:t>
            </w:r>
            <w:r>
              <w:rPr>
                <w:color w:val="auto"/>
                <w:sz w:val="21"/>
                <w:szCs w:val="21"/>
                <w:highlight w:val="none"/>
                <w:u w:val="single"/>
              </w:rPr>
              <w:t>达到《污水综合排放标准》（GB8978-1996）三级标准后，经厂区污水管道排入</w:t>
            </w:r>
            <w:r>
              <w:rPr>
                <w:rFonts w:hint="eastAsia"/>
                <w:color w:val="auto"/>
                <w:sz w:val="21"/>
                <w:szCs w:val="21"/>
                <w:highlight w:val="none"/>
                <w:u w:val="single"/>
              </w:rPr>
              <w:t>生活污水处理设备配套的中水回用池储存，大部分</w:t>
            </w:r>
            <w:r>
              <w:rPr>
                <w:color w:val="auto"/>
                <w:sz w:val="21"/>
                <w:szCs w:val="21"/>
                <w:highlight w:val="none"/>
                <w:u w:val="single"/>
              </w:rPr>
              <w:t>回用于厂区绿化及降尘，</w:t>
            </w:r>
            <w:r>
              <w:rPr>
                <w:rFonts w:hint="eastAsia"/>
                <w:color w:val="auto"/>
                <w:sz w:val="21"/>
                <w:szCs w:val="21"/>
                <w:highlight w:val="none"/>
                <w:u w:val="single"/>
              </w:rPr>
              <w:t>少部分</w:t>
            </w:r>
            <w:r>
              <w:rPr>
                <w:color w:val="auto"/>
                <w:sz w:val="21"/>
                <w:szCs w:val="21"/>
                <w:highlight w:val="none"/>
                <w:u w:val="single"/>
              </w:rPr>
              <w:t>不能回用的由槽罐车运至大榄坪污水处理厂处理</w:t>
            </w:r>
          </w:p>
        </w:tc>
        <w:tc>
          <w:tcPr>
            <w:tcW w:w="738" w:type="pct"/>
            <w:tcBorders>
              <w:tl2br w:val="nil"/>
              <w:tr2bl w:val="nil"/>
            </w:tcBorders>
            <w:vAlign w:val="center"/>
          </w:tcPr>
          <w:p w14:paraId="45CF0558">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依托现有废水处理站</w:t>
            </w:r>
          </w:p>
        </w:tc>
        <w:tc>
          <w:tcPr>
            <w:tcW w:w="1065" w:type="pct"/>
            <w:tcBorders>
              <w:tl2br w:val="nil"/>
              <w:tr2bl w:val="nil"/>
            </w:tcBorders>
            <w:vAlign w:val="center"/>
          </w:tcPr>
          <w:p w14:paraId="320CDE55">
            <w:pPr>
              <w:spacing w:line="240" w:lineRule="auto"/>
              <w:ind w:firstLine="0" w:firstLineChars="0"/>
              <w:jc w:val="center"/>
              <w:rPr>
                <w:color w:val="auto"/>
                <w:sz w:val="21"/>
                <w:szCs w:val="21"/>
                <w:highlight w:val="none"/>
              </w:rPr>
            </w:pPr>
            <w:r>
              <w:rPr>
                <w:color w:val="auto"/>
                <w:sz w:val="21"/>
                <w:szCs w:val="21"/>
                <w:highlight w:val="none"/>
              </w:rPr>
              <w:t>《污水综合排放标准》（GB8978-1996）三级标准</w:t>
            </w:r>
          </w:p>
        </w:tc>
      </w:tr>
      <w:tr w14:paraId="0D6B54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3" w:type="pct"/>
            <w:vMerge w:val="continue"/>
            <w:tcBorders>
              <w:tl2br w:val="nil"/>
              <w:tr2bl w:val="nil"/>
            </w:tcBorders>
            <w:vAlign w:val="center"/>
          </w:tcPr>
          <w:p w14:paraId="29D59D44">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383" w:type="pct"/>
            <w:tcBorders>
              <w:tl2br w:val="nil"/>
              <w:tr2bl w:val="nil"/>
            </w:tcBorders>
            <w:vAlign w:val="center"/>
          </w:tcPr>
          <w:p w14:paraId="02FEF32D">
            <w:pPr>
              <w:spacing w:line="240" w:lineRule="auto"/>
              <w:ind w:firstLine="0" w:firstLineChars="0"/>
              <w:jc w:val="center"/>
              <w:rPr>
                <w:bCs/>
                <w:color w:val="auto"/>
                <w:sz w:val="21"/>
                <w:szCs w:val="21"/>
                <w:highlight w:val="none"/>
              </w:rPr>
            </w:pPr>
            <w:r>
              <w:rPr>
                <w:bCs/>
                <w:color w:val="auto"/>
                <w:sz w:val="21"/>
                <w:szCs w:val="21"/>
                <w:highlight w:val="none"/>
              </w:rPr>
              <w:t>初期雨水</w:t>
            </w:r>
          </w:p>
        </w:tc>
        <w:tc>
          <w:tcPr>
            <w:tcW w:w="546" w:type="pct"/>
            <w:tcBorders>
              <w:tl2br w:val="nil"/>
              <w:tr2bl w:val="nil"/>
            </w:tcBorders>
            <w:vAlign w:val="center"/>
          </w:tcPr>
          <w:p w14:paraId="09C3C50A">
            <w:pPr>
              <w:spacing w:line="240" w:lineRule="auto"/>
              <w:ind w:firstLine="0" w:firstLineChars="0"/>
              <w:jc w:val="center"/>
              <w:rPr>
                <w:color w:val="auto"/>
                <w:sz w:val="21"/>
                <w:szCs w:val="21"/>
                <w:highlight w:val="none"/>
              </w:rPr>
            </w:pPr>
            <w:r>
              <w:rPr>
                <w:bCs/>
                <w:color w:val="auto"/>
                <w:sz w:val="21"/>
                <w:szCs w:val="21"/>
                <w:highlight w:val="none"/>
              </w:rPr>
              <w:t>石油类、SS</w:t>
            </w:r>
          </w:p>
        </w:tc>
        <w:tc>
          <w:tcPr>
            <w:tcW w:w="1883" w:type="pct"/>
            <w:tcBorders>
              <w:tl2br w:val="nil"/>
              <w:tr2bl w:val="nil"/>
            </w:tcBorders>
            <w:vAlign w:val="center"/>
          </w:tcPr>
          <w:p w14:paraId="366AD33F">
            <w:pPr>
              <w:spacing w:line="240" w:lineRule="auto"/>
              <w:ind w:firstLine="0" w:firstLineChars="0"/>
              <w:jc w:val="center"/>
              <w:rPr>
                <w:bCs/>
                <w:color w:val="auto"/>
                <w:sz w:val="21"/>
                <w:szCs w:val="21"/>
                <w:highlight w:val="none"/>
              </w:rPr>
            </w:pPr>
            <w:r>
              <w:rPr>
                <w:color w:val="auto"/>
                <w:sz w:val="21"/>
                <w:szCs w:val="21"/>
                <w:highlight w:val="none"/>
                <w:u w:val="single"/>
              </w:rPr>
              <w:t>经</w:t>
            </w:r>
            <w:r>
              <w:rPr>
                <w:rFonts w:hint="eastAsia"/>
                <w:color w:val="auto"/>
                <w:sz w:val="21"/>
                <w:szCs w:val="21"/>
                <w:highlight w:val="none"/>
                <w:u w:val="single"/>
              </w:rPr>
              <w:t>浮船坞配套设置的初期雨水池收集后，采用罐车运至陆域</w:t>
            </w:r>
            <w:r>
              <w:rPr>
                <w:color w:val="auto"/>
                <w:sz w:val="21"/>
                <w:szCs w:val="21"/>
                <w:highlight w:val="none"/>
                <w:u w:val="single"/>
              </w:rPr>
              <w:t>生活污水处理一体化设备（处理规模300m</w:t>
            </w:r>
            <w:r>
              <w:rPr>
                <w:color w:val="auto"/>
                <w:sz w:val="21"/>
                <w:szCs w:val="21"/>
                <w:highlight w:val="none"/>
                <w:u w:val="single"/>
                <w:vertAlign w:val="superscript"/>
              </w:rPr>
              <w:t>3</w:t>
            </w:r>
            <w:r>
              <w:rPr>
                <w:color w:val="auto"/>
                <w:sz w:val="21"/>
                <w:szCs w:val="21"/>
                <w:highlight w:val="none"/>
                <w:u w:val="single"/>
              </w:rPr>
              <w:t>/d）处理</w:t>
            </w:r>
            <w:r>
              <w:rPr>
                <w:rFonts w:hint="eastAsia"/>
                <w:color w:val="auto"/>
                <w:sz w:val="21"/>
                <w:szCs w:val="21"/>
                <w:highlight w:val="none"/>
                <w:u w:val="single"/>
              </w:rPr>
              <w:t>后，进入中水回用池储存，大部分</w:t>
            </w:r>
            <w:r>
              <w:rPr>
                <w:color w:val="auto"/>
                <w:sz w:val="21"/>
                <w:szCs w:val="21"/>
                <w:highlight w:val="none"/>
                <w:u w:val="single"/>
              </w:rPr>
              <w:t>回用于厂区绿化及降尘，</w:t>
            </w:r>
            <w:r>
              <w:rPr>
                <w:rFonts w:hint="eastAsia"/>
                <w:color w:val="auto"/>
                <w:sz w:val="21"/>
                <w:szCs w:val="21"/>
                <w:highlight w:val="none"/>
                <w:u w:val="single"/>
              </w:rPr>
              <w:t>少部分</w:t>
            </w:r>
            <w:r>
              <w:rPr>
                <w:color w:val="auto"/>
                <w:sz w:val="21"/>
                <w:szCs w:val="21"/>
                <w:highlight w:val="none"/>
                <w:u w:val="single"/>
              </w:rPr>
              <w:t>不能回用的由槽罐车运至大榄坪污水处理厂处理</w:t>
            </w:r>
          </w:p>
        </w:tc>
        <w:tc>
          <w:tcPr>
            <w:tcW w:w="738" w:type="pct"/>
            <w:tcBorders>
              <w:tl2br w:val="nil"/>
              <w:tr2bl w:val="nil"/>
            </w:tcBorders>
            <w:vAlign w:val="center"/>
          </w:tcPr>
          <w:p w14:paraId="3B36F4B7">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是否设置初期雨水收集池，依托现有生活污水处理设备</w:t>
            </w:r>
          </w:p>
        </w:tc>
        <w:tc>
          <w:tcPr>
            <w:tcW w:w="1065" w:type="pct"/>
            <w:tcBorders>
              <w:tl2br w:val="nil"/>
              <w:tr2bl w:val="nil"/>
            </w:tcBorders>
            <w:vAlign w:val="center"/>
          </w:tcPr>
          <w:p w14:paraId="4656DD0F">
            <w:pPr>
              <w:spacing w:line="240" w:lineRule="auto"/>
              <w:ind w:firstLine="0" w:firstLineChars="0"/>
              <w:jc w:val="center"/>
              <w:rPr>
                <w:color w:val="auto"/>
                <w:sz w:val="21"/>
                <w:szCs w:val="21"/>
                <w:highlight w:val="none"/>
              </w:rPr>
            </w:pPr>
            <w:r>
              <w:rPr>
                <w:rFonts w:hint="eastAsia"/>
                <w:color w:val="auto"/>
                <w:sz w:val="21"/>
                <w:szCs w:val="21"/>
                <w:highlight w:val="none"/>
              </w:rPr>
              <w:t>/</w:t>
            </w:r>
          </w:p>
        </w:tc>
      </w:tr>
      <w:tr w14:paraId="5AE4B2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3" w:type="pct"/>
            <w:vMerge w:val="restart"/>
            <w:tcBorders>
              <w:tl2br w:val="nil"/>
              <w:tr2bl w:val="nil"/>
            </w:tcBorders>
            <w:vAlign w:val="center"/>
          </w:tcPr>
          <w:p w14:paraId="698FDA9B">
            <w:pPr>
              <w:kinsoku w:val="0"/>
              <w:overflowPunct w:val="0"/>
              <w:topLinePunct w:val="0"/>
              <w:autoSpaceDE w:val="0"/>
              <w:autoSpaceDN w:val="0"/>
              <w:spacing w:line="240" w:lineRule="auto"/>
              <w:ind w:firstLine="0" w:firstLineChars="0"/>
              <w:jc w:val="center"/>
              <w:rPr>
                <w:color w:val="auto"/>
                <w:sz w:val="21"/>
                <w:szCs w:val="21"/>
                <w:highlight w:val="none"/>
              </w:rPr>
            </w:pPr>
          </w:p>
          <w:p w14:paraId="4EC26B50">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固体废物</w:t>
            </w:r>
          </w:p>
        </w:tc>
        <w:tc>
          <w:tcPr>
            <w:tcW w:w="383" w:type="pct"/>
            <w:vMerge w:val="restart"/>
            <w:tcBorders>
              <w:tl2br w:val="nil"/>
              <w:tr2bl w:val="nil"/>
            </w:tcBorders>
            <w:vAlign w:val="center"/>
          </w:tcPr>
          <w:p w14:paraId="139BB155">
            <w:pPr>
              <w:spacing w:line="240" w:lineRule="auto"/>
              <w:ind w:firstLine="0" w:firstLineChars="0"/>
              <w:jc w:val="center"/>
              <w:rPr>
                <w:bCs/>
                <w:color w:val="auto"/>
                <w:sz w:val="21"/>
                <w:szCs w:val="21"/>
                <w:highlight w:val="none"/>
              </w:rPr>
            </w:pPr>
            <w:r>
              <w:rPr>
                <w:bCs/>
                <w:color w:val="auto"/>
                <w:sz w:val="21"/>
                <w:szCs w:val="21"/>
                <w:highlight w:val="none"/>
              </w:rPr>
              <w:t>一般固体废物</w:t>
            </w:r>
          </w:p>
          <w:p w14:paraId="56EED87A">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546" w:type="pct"/>
            <w:tcBorders>
              <w:tl2br w:val="nil"/>
              <w:tr2bl w:val="nil"/>
            </w:tcBorders>
            <w:vAlign w:val="center"/>
          </w:tcPr>
          <w:p w14:paraId="23F3AEEB">
            <w:pPr>
              <w:spacing w:line="240" w:lineRule="auto"/>
              <w:ind w:firstLine="0" w:firstLineChars="0"/>
              <w:jc w:val="center"/>
              <w:rPr>
                <w:color w:val="auto"/>
                <w:sz w:val="21"/>
                <w:szCs w:val="21"/>
                <w:highlight w:val="none"/>
              </w:rPr>
            </w:pPr>
            <w:r>
              <w:rPr>
                <w:color w:val="auto"/>
                <w:sz w:val="21"/>
                <w:szCs w:val="21"/>
                <w:highlight w:val="none"/>
              </w:rPr>
              <w:t>废焊料、焊渣</w:t>
            </w:r>
          </w:p>
        </w:tc>
        <w:tc>
          <w:tcPr>
            <w:tcW w:w="1883" w:type="pct"/>
            <w:vMerge w:val="restart"/>
            <w:tcBorders>
              <w:tl2br w:val="nil"/>
              <w:tr2bl w:val="nil"/>
            </w:tcBorders>
            <w:vAlign w:val="center"/>
          </w:tcPr>
          <w:p w14:paraId="568A24BE">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收集到一般固废暂存间暂存，能回收的回收利用，不能回收利用的由中标公司（项目最近一次委托处理单位为钦州市鼎鑫再生资源回收利用有限公司）外运处理</w:t>
            </w:r>
          </w:p>
        </w:tc>
        <w:tc>
          <w:tcPr>
            <w:tcW w:w="738" w:type="pct"/>
            <w:vMerge w:val="restart"/>
            <w:tcBorders>
              <w:tl2br w:val="nil"/>
              <w:tr2bl w:val="nil"/>
            </w:tcBorders>
            <w:vAlign w:val="center"/>
          </w:tcPr>
          <w:p w14:paraId="0CB06FC8">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依托现有一般固体废物暂存间</w:t>
            </w:r>
          </w:p>
        </w:tc>
        <w:tc>
          <w:tcPr>
            <w:tcW w:w="1065" w:type="pct"/>
            <w:vMerge w:val="restart"/>
            <w:tcBorders>
              <w:tl2br w:val="nil"/>
              <w:tr2bl w:val="nil"/>
            </w:tcBorders>
            <w:vAlign w:val="center"/>
          </w:tcPr>
          <w:p w14:paraId="67BD0E91">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w:t>
            </w:r>
          </w:p>
        </w:tc>
      </w:tr>
      <w:tr w14:paraId="0EBEE0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3" w:type="pct"/>
            <w:vMerge w:val="continue"/>
            <w:tcBorders>
              <w:tl2br w:val="nil"/>
              <w:tr2bl w:val="nil"/>
            </w:tcBorders>
            <w:vAlign w:val="center"/>
          </w:tcPr>
          <w:p w14:paraId="129C2E0D">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383" w:type="pct"/>
            <w:vMerge w:val="continue"/>
            <w:tcBorders>
              <w:tl2br w:val="nil"/>
              <w:tr2bl w:val="nil"/>
            </w:tcBorders>
            <w:vAlign w:val="center"/>
          </w:tcPr>
          <w:p w14:paraId="0C9F510A">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546" w:type="pct"/>
            <w:tcBorders>
              <w:tl2br w:val="nil"/>
              <w:tr2bl w:val="nil"/>
            </w:tcBorders>
            <w:vAlign w:val="center"/>
          </w:tcPr>
          <w:p w14:paraId="56F49578">
            <w:pPr>
              <w:spacing w:line="240" w:lineRule="auto"/>
              <w:ind w:firstLine="0" w:firstLineChars="0"/>
              <w:jc w:val="center"/>
              <w:rPr>
                <w:color w:val="auto"/>
                <w:sz w:val="21"/>
                <w:szCs w:val="21"/>
                <w:highlight w:val="none"/>
              </w:rPr>
            </w:pPr>
            <w:r>
              <w:rPr>
                <w:color w:val="auto"/>
                <w:sz w:val="21"/>
                <w:szCs w:val="21"/>
                <w:highlight w:val="none"/>
              </w:rPr>
              <w:t>废铜矿砂及铁锈</w:t>
            </w:r>
          </w:p>
        </w:tc>
        <w:tc>
          <w:tcPr>
            <w:tcW w:w="1883" w:type="pct"/>
            <w:vMerge w:val="continue"/>
            <w:tcBorders>
              <w:tl2br w:val="nil"/>
              <w:tr2bl w:val="nil"/>
            </w:tcBorders>
            <w:vAlign w:val="center"/>
          </w:tcPr>
          <w:p w14:paraId="0016F636">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738" w:type="pct"/>
            <w:vMerge w:val="continue"/>
            <w:tcBorders>
              <w:tl2br w:val="nil"/>
              <w:tr2bl w:val="nil"/>
            </w:tcBorders>
            <w:vAlign w:val="center"/>
          </w:tcPr>
          <w:p w14:paraId="0BF03263">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1065" w:type="pct"/>
            <w:vMerge w:val="continue"/>
            <w:tcBorders>
              <w:tl2br w:val="nil"/>
              <w:tr2bl w:val="nil"/>
            </w:tcBorders>
            <w:vAlign w:val="center"/>
          </w:tcPr>
          <w:p w14:paraId="18C9BF5C">
            <w:pPr>
              <w:kinsoku w:val="0"/>
              <w:overflowPunct w:val="0"/>
              <w:topLinePunct w:val="0"/>
              <w:autoSpaceDE w:val="0"/>
              <w:autoSpaceDN w:val="0"/>
              <w:spacing w:line="240" w:lineRule="auto"/>
              <w:ind w:firstLine="0" w:firstLineChars="0"/>
              <w:jc w:val="center"/>
              <w:rPr>
                <w:color w:val="auto"/>
                <w:sz w:val="21"/>
                <w:szCs w:val="21"/>
                <w:highlight w:val="none"/>
              </w:rPr>
            </w:pPr>
          </w:p>
        </w:tc>
      </w:tr>
      <w:tr w14:paraId="758855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381" w:type="pct"/>
            <w:vMerge w:val="restart"/>
            <w:tcBorders>
              <w:tl2br w:val="nil"/>
              <w:tr2bl w:val="nil"/>
            </w:tcBorders>
            <w:vAlign w:val="center"/>
          </w:tcPr>
          <w:p w14:paraId="4BC382A4">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383" w:type="pct"/>
            <w:vMerge w:val="restart"/>
            <w:tcBorders>
              <w:tl2br w:val="nil"/>
              <w:tr2bl w:val="nil"/>
            </w:tcBorders>
            <w:vAlign w:val="center"/>
          </w:tcPr>
          <w:p w14:paraId="2677B79F">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548" w:type="pct"/>
            <w:tcBorders>
              <w:tl2br w:val="nil"/>
              <w:tr2bl w:val="nil"/>
            </w:tcBorders>
            <w:vAlign w:val="center"/>
          </w:tcPr>
          <w:p w14:paraId="59CC218E">
            <w:pPr>
              <w:spacing w:line="240" w:lineRule="auto"/>
              <w:ind w:firstLine="0" w:firstLineChars="0"/>
              <w:jc w:val="center"/>
              <w:rPr>
                <w:color w:val="auto"/>
                <w:sz w:val="21"/>
                <w:szCs w:val="21"/>
                <w:highlight w:val="none"/>
              </w:rPr>
            </w:pPr>
            <w:r>
              <w:rPr>
                <w:color w:val="auto"/>
                <w:sz w:val="21"/>
                <w:szCs w:val="21"/>
                <w:highlight w:val="none"/>
              </w:rPr>
              <w:t>船坞沉降物</w:t>
            </w:r>
          </w:p>
        </w:tc>
        <w:tc>
          <w:tcPr>
            <w:tcW w:w="1883" w:type="pct"/>
            <w:vMerge w:val="continue"/>
            <w:tcBorders>
              <w:tl2br w:val="nil"/>
              <w:tr2bl w:val="nil"/>
            </w:tcBorders>
            <w:vAlign w:val="center"/>
          </w:tcPr>
          <w:p w14:paraId="073039C7">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738" w:type="pct"/>
            <w:vMerge w:val="continue"/>
            <w:tcBorders>
              <w:tl2br w:val="nil"/>
              <w:tr2bl w:val="nil"/>
            </w:tcBorders>
            <w:vAlign w:val="center"/>
          </w:tcPr>
          <w:p w14:paraId="60253E10">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1065" w:type="pct"/>
            <w:vMerge w:val="continue"/>
            <w:tcBorders>
              <w:tl2br w:val="nil"/>
              <w:tr2bl w:val="nil"/>
            </w:tcBorders>
            <w:vAlign w:val="center"/>
          </w:tcPr>
          <w:p w14:paraId="0FCAE38D">
            <w:pPr>
              <w:kinsoku w:val="0"/>
              <w:overflowPunct w:val="0"/>
              <w:topLinePunct w:val="0"/>
              <w:autoSpaceDE w:val="0"/>
              <w:autoSpaceDN w:val="0"/>
              <w:spacing w:line="240" w:lineRule="auto"/>
              <w:ind w:firstLine="0" w:firstLineChars="0"/>
              <w:jc w:val="center"/>
              <w:rPr>
                <w:color w:val="auto"/>
                <w:sz w:val="21"/>
                <w:szCs w:val="21"/>
                <w:highlight w:val="none"/>
              </w:rPr>
            </w:pPr>
          </w:p>
        </w:tc>
      </w:tr>
      <w:tr w14:paraId="62CD83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tcBorders>
              <w:tl2br w:val="nil"/>
              <w:tr2bl w:val="nil"/>
            </w:tcBorders>
            <w:vAlign w:val="center"/>
          </w:tcPr>
          <w:p w14:paraId="0A4E1260">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383" w:type="pct"/>
            <w:vMerge w:val="continue"/>
            <w:tcBorders>
              <w:tl2br w:val="nil"/>
              <w:tr2bl w:val="nil"/>
            </w:tcBorders>
            <w:vAlign w:val="center"/>
          </w:tcPr>
          <w:p w14:paraId="702390C3">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548" w:type="pct"/>
            <w:tcBorders>
              <w:tl2br w:val="nil"/>
              <w:tr2bl w:val="nil"/>
            </w:tcBorders>
            <w:vAlign w:val="center"/>
          </w:tcPr>
          <w:p w14:paraId="1F758945">
            <w:pPr>
              <w:spacing w:line="240" w:lineRule="auto"/>
              <w:ind w:firstLine="0" w:firstLineChars="0"/>
              <w:jc w:val="center"/>
              <w:rPr>
                <w:color w:val="auto"/>
                <w:sz w:val="21"/>
                <w:szCs w:val="21"/>
                <w:highlight w:val="none"/>
              </w:rPr>
            </w:pPr>
            <w:r>
              <w:rPr>
                <w:rFonts w:hint="eastAsia"/>
                <w:color w:val="auto"/>
                <w:sz w:val="21"/>
                <w:szCs w:val="21"/>
                <w:highlight w:val="none"/>
              </w:rPr>
              <w:t>切割废料</w:t>
            </w:r>
          </w:p>
        </w:tc>
        <w:tc>
          <w:tcPr>
            <w:tcW w:w="1883" w:type="pct"/>
            <w:tcBorders>
              <w:tl2br w:val="nil"/>
              <w:tr2bl w:val="nil"/>
            </w:tcBorders>
            <w:vAlign w:val="center"/>
          </w:tcPr>
          <w:p w14:paraId="7B1FDC6D">
            <w:pPr>
              <w:kinsoku w:val="0"/>
              <w:overflowPunct w:val="0"/>
              <w:topLinePunct w:val="0"/>
              <w:autoSpaceDE w:val="0"/>
              <w:autoSpaceDN w:val="0"/>
              <w:spacing w:line="240" w:lineRule="auto"/>
              <w:ind w:firstLine="0" w:firstLineChars="0"/>
              <w:jc w:val="center"/>
              <w:rPr>
                <w:color w:val="auto"/>
                <w:sz w:val="21"/>
                <w:szCs w:val="21"/>
                <w:highlight w:val="none"/>
              </w:rPr>
            </w:pPr>
            <w:r>
              <w:rPr>
                <w:rFonts w:hint="eastAsia"/>
                <w:color w:val="auto"/>
                <w:sz w:val="21"/>
                <w:szCs w:val="21"/>
                <w:highlight w:val="none"/>
              </w:rPr>
              <w:t>回收综合利用</w:t>
            </w:r>
          </w:p>
        </w:tc>
        <w:tc>
          <w:tcPr>
            <w:tcW w:w="738" w:type="pct"/>
            <w:vMerge w:val="continue"/>
            <w:tcBorders>
              <w:tl2br w:val="nil"/>
              <w:tr2bl w:val="nil"/>
            </w:tcBorders>
            <w:vAlign w:val="center"/>
          </w:tcPr>
          <w:p w14:paraId="105842ED">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1065" w:type="pct"/>
            <w:vMerge w:val="continue"/>
            <w:tcBorders>
              <w:tl2br w:val="nil"/>
              <w:tr2bl w:val="nil"/>
            </w:tcBorders>
            <w:vAlign w:val="center"/>
          </w:tcPr>
          <w:p w14:paraId="250C455B">
            <w:pPr>
              <w:kinsoku w:val="0"/>
              <w:overflowPunct w:val="0"/>
              <w:topLinePunct w:val="0"/>
              <w:autoSpaceDE w:val="0"/>
              <w:autoSpaceDN w:val="0"/>
              <w:spacing w:line="240" w:lineRule="auto"/>
              <w:ind w:firstLine="0" w:firstLineChars="0"/>
              <w:jc w:val="center"/>
              <w:rPr>
                <w:color w:val="auto"/>
                <w:sz w:val="21"/>
                <w:szCs w:val="21"/>
                <w:highlight w:val="none"/>
              </w:rPr>
            </w:pPr>
          </w:p>
        </w:tc>
      </w:tr>
      <w:tr w14:paraId="260DE3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tcBorders>
              <w:tl2br w:val="nil"/>
              <w:tr2bl w:val="nil"/>
            </w:tcBorders>
            <w:vAlign w:val="center"/>
          </w:tcPr>
          <w:p w14:paraId="014B336E">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383" w:type="pct"/>
            <w:vMerge w:val="continue"/>
            <w:tcBorders>
              <w:tl2br w:val="nil"/>
              <w:tr2bl w:val="nil"/>
            </w:tcBorders>
            <w:vAlign w:val="center"/>
          </w:tcPr>
          <w:p w14:paraId="3D00C101">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548" w:type="pct"/>
            <w:tcBorders>
              <w:tl2br w:val="nil"/>
              <w:tr2bl w:val="nil"/>
            </w:tcBorders>
            <w:vAlign w:val="center"/>
          </w:tcPr>
          <w:p w14:paraId="60F90620">
            <w:pPr>
              <w:spacing w:line="240" w:lineRule="auto"/>
              <w:ind w:firstLine="0" w:firstLineChars="0"/>
              <w:jc w:val="center"/>
              <w:rPr>
                <w:color w:val="auto"/>
                <w:sz w:val="21"/>
                <w:szCs w:val="21"/>
                <w:highlight w:val="none"/>
              </w:rPr>
            </w:pPr>
            <w:r>
              <w:rPr>
                <w:color w:val="auto"/>
                <w:sz w:val="21"/>
                <w:szCs w:val="21"/>
                <w:highlight w:val="none"/>
              </w:rPr>
              <w:t>船舶附着海生生物</w:t>
            </w:r>
          </w:p>
        </w:tc>
        <w:tc>
          <w:tcPr>
            <w:tcW w:w="1883" w:type="pct"/>
            <w:vMerge w:val="restart"/>
            <w:tcBorders>
              <w:tl2br w:val="nil"/>
              <w:tr2bl w:val="nil"/>
            </w:tcBorders>
            <w:vAlign w:val="center"/>
          </w:tcPr>
          <w:p w14:paraId="4C6CD8DC">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集中堆放，由环卫部门统一处理（部分为国外船舶生活垃圾，属特殊固废，经海事、港监部门消毒灭活处理检验后按一般固废处置要求处置）</w:t>
            </w:r>
          </w:p>
        </w:tc>
        <w:tc>
          <w:tcPr>
            <w:tcW w:w="738" w:type="pct"/>
            <w:vMerge w:val="restart"/>
            <w:tcBorders>
              <w:tl2br w:val="nil"/>
              <w:tr2bl w:val="nil"/>
            </w:tcBorders>
            <w:vAlign w:val="center"/>
          </w:tcPr>
          <w:p w14:paraId="06C84498">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无二次污染</w:t>
            </w:r>
          </w:p>
        </w:tc>
        <w:tc>
          <w:tcPr>
            <w:tcW w:w="1065" w:type="pct"/>
            <w:vMerge w:val="restart"/>
            <w:tcBorders>
              <w:tl2br w:val="nil"/>
              <w:tr2bl w:val="nil"/>
            </w:tcBorders>
            <w:vAlign w:val="center"/>
          </w:tcPr>
          <w:p w14:paraId="4BFC386F">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w:t>
            </w:r>
          </w:p>
        </w:tc>
      </w:tr>
      <w:tr w14:paraId="355AB2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tcBorders>
              <w:tl2br w:val="nil"/>
              <w:tr2bl w:val="nil"/>
            </w:tcBorders>
            <w:vAlign w:val="center"/>
          </w:tcPr>
          <w:p w14:paraId="7DDE666A">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383" w:type="pct"/>
            <w:vMerge w:val="continue"/>
            <w:tcBorders>
              <w:tl2br w:val="nil"/>
              <w:tr2bl w:val="nil"/>
            </w:tcBorders>
            <w:vAlign w:val="center"/>
          </w:tcPr>
          <w:p w14:paraId="580BEF6F">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548" w:type="pct"/>
            <w:tcBorders>
              <w:tl2br w:val="nil"/>
              <w:tr2bl w:val="nil"/>
            </w:tcBorders>
            <w:vAlign w:val="center"/>
          </w:tcPr>
          <w:p w14:paraId="5CED6A23">
            <w:pPr>
              <w:spacing w:line="240" w:lineRule="auto"/>
              <w:ind w:firstLine="0" w:firstLineChars="0"/>
              <w:jc w:val="center"/>
              <w:rPr>
                <w:color w:val="auto"/>
                <w:sz w:val="21"/>
                <w:szCs w:val="21"/>
                <w:highlight w:val="none"/>
              </w:rPr>
            </w:pPr>
            <w:r>
              <w:rPr>
                <w:rFonts w:hint="eastAsia"/>
                <w:color w:val="auto"/>
                <w:sz w:val="21"/>
                <w:szCs w:val="21"/>
                <w:highlight w:val="none"/>
              </w:rPr>
              <w:t>初期雨水沉渣</w:t>
            </w:r>
          </w:p>
        </w:tc>
        <w:tc>
          <w:tcPr>
            <w:tcW w:w="1883" w:type="pct"/>
            <w:vMerge w:val="continue"/>
            <w:tcBorders>
              <w:tl2br w:val="nil"/>
              <w:tr2bl w:val="nil"/>
            </w:tcBorders>
            <w:vAlign w:val="center"/>
          </w:tcPr>
          <w:p w14:paraId="1B0DA160">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738" w:type="pct"/>
            <w:vMerge w:val="continue"/>
            <w:tcBorders>
              <w:tl2br w:val="nil"/>
              <w:tr2bl w:val="nil"/>
            </w:tcBorders>
            <w:vAlign w:val="center"/>
          </w:tcPr>
          <w:p w14:paraId="74F49F7C">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1065" w:type="pct"/>
            <w:vMerge w:val="continue"/>
            <w:tcBorders>
              <w:tl2br w:val="nil"/>
              <w:tr2bl w:val="nil"/>
            </w:tcBorders>
            <w:vAlign w:val="center"/>
          </w:tcPr>
          <w:p w14:paraId="6797606A">
            <w:pPr>
              <w:kinsoku w:val="0"/>
              <w:overflowPunct w:val="0"/>
              <w:topLinePunct w:val="0"/>
              <w:autoSpaceDE w:val="0"/>
              <w:autoSpaceDN w:val="0"/>
              <w:spacing w:line="240" w:lineRule="auto"/>
              <w:ind w:firstLine="0" w:firstLineChars="0"/>
              <w:jc w:val="center"/>
              <w:rPr>
                <w:color w:val="auto"/>
                <w:sz w:val="21"/>
                <w:szCs w:val="21"/>
                <w:highlight w:val="none"/>
              </w:rPr>
            </w:pPr>
          </w:p>
        </w:tc>
      </w:tr>
      <w:tr w14:paraId="1B20D3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tcBorders>
              <w:tl2br w:val="nil"/>
              <w:tr2bl w:val="nil"/>
            </w:tcBorders>
            <w:vAlign w:val="center"/>
          </w:tcPr>
          <w:p w14:paraId="738B2D34">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383" w:type="pct"/>
            <w:vMerge w:val="continue"/>
            <w:tcBorders>
              <w:tl2br w:val="nil"/>
              <w:tr2bl w:val="nil"/>
            </w:tcBorders>
            <w:vAlign w:val="center"/>
          </w:tcPr>
          <w:p w14:paraId="3D521AF4">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548" w:type="pct"/>
            <w:tcBorders>
              <w:tl2br w:val="nil"/>
              <w:tr2bl w:val="nil"/>
            </w:tcBorders>
            <w:vAlign w:val="center"/>
          </w:tcPr>
          <w:p w14:paraId="11E0CE3F">
            <w:pPr>
              <w:spacing w:line="240" w:lineRule="auto"/>
              <w:ind w:firstLine="0" w:firstLineChars="0"/>
              <w:jc w:val="center"/>
              <w:rPr>
                <w:color w:val="auto"/>
                <w:sz w:val="21"/>
                <w:szCs w:val="21"/>
                <w:highlight w:val="none"/>
              </w:rPr>
            </w:pPr>
            <w:r>
              <w:rPr>
                <w:color w:val="auto"/>
                <w:sz w:val="21"/>
                <w:szCs w:val="21"/>
                <w:highlight w:val="none"/>
              </w:rPr>
              <w:t>职工生活垃圾</w:t>
            </w:r>
          </w:p>
        </w:tc>
        <w:tc>
          <w:tcPr>
            <w:tcW w:w="1883" w:type="pct"/>
            <w:vMerge w:val="continue"/>
            <w:tcBorders>
              <w:tl2br w:val="nil"/>
              <w:tr2bl w:val="nil"/>
            </w:tcBorders>
            <w:vAlign w:val="center"/>
          </w:tcPr>
          <w:p w14:paraId="785504ED">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738" w:type="pct"/>
            <w:vMerge w:val="continue"/>
            <w:tcBorders>
              <w:tl2br w:val="nil"/>
              <w:tr2bl w:val="nil"/>
            </w:tcBorders>
            <w:vAlign w:val="center"/>
          </w:tcPr>
          <w:p w14:paraId="70AAE138">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1065" w:type="pct"/>
            <w:vMerge w:val="continue"/>
            <w:tcBorders>
              <w:tl2br w:val="nil"/>
              <w:tr2bl w:val="nil"/>
            </w:tcBorders>
            <w:vAlign w:val="center"/>
          </w:tcPr>
          <w:p w14:paraId="668F1B8D">
            <w:pPr>
              <w:kinsoku w:val="0"/>
              <w:overflowPunct w:val="0"/>
              <w:topLinePunct w:val="0"/>
              <w:autoSpaceDE w:val="0"/>
              <w:autoSpaceDN w:val="0"/>
              <w:spacing w:line="240" w:lineRule="auto"/>
              <w:ind w:firstLine="0" w:firstLineChars="0"/>
              <w:jc w:val="center"/>
              <w:rPr>
                <w:color w:val="auto"/>
                <w:sz w:val="21"/>
                <w:szCs w:val="21"/>
                <w:highlight w:val="none"/>
              </w:rPr>
            </w:pPr>
          </w:p>
        </w:tc>
      </w:tr>
      <w:tr w14:paraId="6C5744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tcBorders>
              <w:tl2br w:val="nil"/>
              <w:tr2bl w:val="nil"/>
            </w:tcBorders>
            <w:vAlign w:val="center"/>
          </w:tcPr>
          <w:p w14:paraId="5570086A">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383" w:type="pct"/>
            <w:vMerge w:val="continue"/>
            <w:tcBorders>
              <w:tl2br w:val="nil"/>
              <w:tr2bl w:val="nil"/>
            </w:tcBorders>
            <w:vAlign w:val="center"/>
          </w:tcPr>
          <w:p w14:paraId="45FF9D01">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548" w:type="pct"/>
            <w:tcBorders>
              <w:tl2br w:val="nil"/>
              <w:tr2bl w:val="nil"/>
            </w:tcBorders>
            <w:vAlign w:val="center"/>
          </w:tcPr>
          <w:p w14:paraId="7A3708AD">
            <w:pPr>
              <w:spacing w:line="240" w:lineRule="auto"/>
              <w:ind w:firstLine="0" w:firstLineChars="0"/>
              <w:jc w:val="center"/>
              <w:rPr>
                <w:color w:val="auto"/>
                <w:sz w:val="21"/>
                <w:szCs w:val="21"/>
                <w:highlight w:val="none"/>
              </w:rPr>
            </w:pPr>
            <w:r>
              <w:rPr>
                <w:color w:val="auto"/>
                <w:sz w:val="21"/>
                <w:szCs w:val="21"/>
                <w:highlight w:val="none"/>
              </w:rPr>
              <w:t>船员生活垃圾</w:t>
            </w:r>
          </w:p>
        </w:tc>
        <w:tc>
          <w:tcPr>
            <w:tcW w:w="1883" w:type="pct"/>
            <w:vMerge w:val="continue"/>
            <w:tcBorders>
              <w:tl2br w:val="nil"/>
              <w:tr2bl w:val="nil"/>
            </w:tcBorders>
            <w:vAlign w:val="center"/>
          </w:tcPr>
          <w:p w14:paraId="2C54C278">
            <w:pPr>
              <w:kinsoku w:val="0"/>
              <w:overflowPunct w:val="0"/>
              <w:topLinePunct w:val="0"/>
              <w:autoSpaceDE w:val="0"/>
              <w:autoSpaceDN w:val="0"/>
              <w:spacing w:line="240" w:lineRule="auto"/>
              <w:ind w:firstLine="0" w:firstLineChars="0"/>
              <w:jc w:val="center"/>
              <w:rPr>
                <w:bCs/>
                <w:color w:val="auto"/>
                <w:sz w:val="21"/>
                <w:szCs w:val="21"/>
                <w:highlight w:val="none"/>
              </w:rPr>
            </w:pPr>
          </w:p>
        </w:tc>
        <w:tc>
          <w:tcPr>
            <w:tcW w:w="738" w:type="pct"/>
            <w:vMerge w:val="continue"/>
            <w:tcBorders>
              <w:tl2br w:val="nil"/>
              <w:tr2bl w:val="nil"/>
            </w:tcBorders>
            <w:vAlign w:val="center"/>
          </w:tcPr>
          <w:p w14:paraId="4AB5458B">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1065" w:type="pct"/>
            <w:vMerge w:val="continue"/>
            <w:tcBorders>
              <w:tl2br w:val="nil"/>
              <w:tr2bl w:val="nil"/>
            </w:tcBorders>
            <w:vAlign w:val="center"/>
          </w:tcPr>
          <w:p w14:paraId="2739B812">
            <w:pPr>
              <w:kinsoku w:val="0"/>
              <w:overflowPunct w:val="0"/>
              <w:topLinePunct w:val="0"/>
              <w:autoSpaceDE w:val="0"/>
              <w:autoSpaceDN w:val="0"/>
              <w:spacing w:line="240" w:lineRule="auto"/>
              <w:ind w:firstLine="0" w:firstLineChars="0"/>
              <w:jc w:val="center"/>
              <w:rPr>
                <w:color w:val="auto"/>
                <w:sz w:val="21"/>
                <w:szCs w:val="21"/>
                <w:highlight w:val="none"/>
              </w:rPr>
            </w:pPr>
          </w:p>
        </w:tc>
      </w:tr>
      <w:tr w14:paraId="303B9A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tcBorders>
              <w:tl2br w:val="nil"/>
              <w:tr2bl w:val="nil"/>
            </w:tcBorders>
            <w:vAlign w:val="center"/>
          </w:tcPr>
          <w:p w14:paraId="6AEA2600">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383" w:type="pct"/>
            <w:vMerge w:val="restart"/>
            <w:tcBorders>
              <w:tl2br w:val="nil"/>
              <w:tr2bl w:val="nil"/>
            </w:tcBorders>
            <w:vAlign w:val="center"/>
          </w:tcPr>
          <w:p w14:paraId="33C0C49D">
            <w:pPr>
              <w:spacing w:line="240" w:lineRule="auto"/>
              <w:ind w:firstLine="0" w:firstLineChars="0"/>
              <w:jc w:val="center"/>
              <w:rPr>
                <w:bCs/>
                <w:color w:val="auto"/>
                <w:sz w:val="21"/>
                <w:szCs w:val="21"/>
                <w:highlight w:val="none"/>
              </w:rPr>
            </w:pPr>
            <w:r>
              <w:rPr>
                <w:bCs/>
                <w:color w:val="auto"/>
                <w:sz w:val="21"/>
                <w:szCs w:val="21"/>
                <w:highlight w:val="none"/>
              </w:rPr>
              <w:t>危险废物</w:t>
            </w:r>
          </w:p>
          <w:p w14:paraId="05438332">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548" w:type="pct"/>
            <w:tcBorders>
              <w:tl2br w:val="nil"/>
              <w:tr2bl w:val="nil"/>
            </w:tcBorders>
            <w:vAlign w:val="center"/>
          </w:tcPr>
          <w:p w14:paraId="0A0CC592">
            <w:pPr>
              <w:spacing w:line="240" w:lineRule="auto"/>
              <w:ind w:firstLine="0" w:firstLineChars="0"/>
              <w:jc w:val="center"/>
              <w:rPr>
                <w:color w:val="auto"/>
                <w:sz w:val="21"/>
                <w:szCs w:val="21"/>
                <w:highlight w:val="none"/>
              </w:rPr>
            </w:pPr>
            <w:r>
              <w:rPr>
                <w:color w:val="auto"/>
                <w:sz w:val="21"/>
                <w:szCs w:val="21"/>
                <w:highlight w:val="none"/>
              </w:rPr>
              <w:t>船舶废油</w:t>
            </w:r>
          </w:p>
        </w:tc>
        <w:tc>
          <w:tcPr>
            <w:tcW w:w="1883" w:type="pct"/>
            <w:vMerge w:val="restart"/>
            <w:tcBorders>
              <w:tl2br w:val="nil"/>
              <w:tr2bl w:val="nil"/>
            </w:tcBorders>
            <w:vAlign w:val="center"/>
          </w:tcPr>
          <w:p w14:paraId="2704328E">
            <w:pPr>
              <w:kinsoku w:val="0"/>
              <w:overflowPunct w:val="0"/>
              <w:topLinePunct w:val="0"/>
              <w:autoSpaceDE w:val="0"/>
              <w:autoSpaceDN w:val="0"/>
              <w:spacing w:line="240" w:lineRule="auto"/>
              <w:ind w:firstLine="0" w:firstLineChars="0"/>
              <w:jc w:val="center"/>
              <w:rPr>
                <w:bCs/>
                <w:color w:val="auto"/>
                <w:sz w:val="21"/>
                <w:szCs w:val="21"/>
                <w:highlight w:val="none"/>
              </w:rPr>
            </w:pPr>
            <w:r>
              <w:rPr>
                <w:color w:val="auto"/>
                <w:sz w:val="21"/>
                <w:szCs w:val="21"/>
                <w:highlight w:val="none"/>
              </w:rPr>
              <w:t>在危废间分类暂存，定期由中标单位（</w:t>
            </w:r>
            <w:r>
              <w:rPr>
                <w:rFonts w:hint="eastAsia"/>
                <w:color w:val="auto"/>
                <w:sz w:val="21"/>
                <w:szCs w:val="21"/>
                <w:highlight w:val="none"/>
              </w:rPr>
              <w:t>最近一次委托处理单位为广西深投环保科技有限公司，目前正在签订新的委托合同</w:t>
            </w:r>
            <w:r>
              <w:rPr>
                <w:color w:val="auto"/>
                <w:sz w:val="21"/>
                <w:szCs w:val="21"/>
                <w:highlight w:val="none"/>
              </w:rPr>
              <w:t>）外运处理</w:t>
            </w:r>
          </w:p>
        </w:tc>
        <w:tc>
          <w:tcPr>
            <w:tcW w:w="738" w:type="pct"/>
            <w:vMerge w:val="restart"/>
            <w:tcBorders>
              <w:tl2br w:val="nil"/>
              <w:tr2bl w:val="nil"/>
            </w:tcBorders>
            <w:vAlign w:val="center"/>
          </w:tcPr>
          <w:p w14:paraId="6714341F">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依托现有危险废物暂存间</w:t>
            </w:r>
          </w:p>
        </w:tc>
        <w:tc>
          <w:tcPr>
            <w:tcW w:w="1065" w:type="pct"/>
            <w:vMerge w:val="restart"/>
            <w:tcBorders>
              <w:tl2br w:val="nil"/>
              <w:tr2bl w:val="nil"/>
            </w:tcBorders>
            <w:vAlign w:val="center"/>
          </w:tcPr>
          <w:p w14:paraId="0D206E7E">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w:t>
            </w:r>
          </w:p>
        </w:tc>
      </w:tr>
      <w:tr w14:paraId="143979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tcBorders>
              <w:tl2br w:val="nil"/>
              <w:tr2bl w:val="nil"/>
            </w:tcBorders>
            <w:vAlign w:val="center"/>
          </w:tcPr>
          <w:p w14:paraId="79A16DAA">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383" w:type="pct"/>
            <w:vMerge w:val="continue"/>
            <w:tcBorders>
              <w:tl2br w:val="nil"/>
              <w:tr2bl w:val="nil"/>
            </w:tcBorders>
            <w:vAlign w:val="center"/>
          </w:tcPr>
          <w:p w14:paraId="40F919EE">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548" w:type="pct"/>
            <w:tcBorders>
              <w:tl2br w:val="nil"/>
              <w:tr2bl w:val="nil"/>
            </w:tcBorders>
            <w:vAlign w:val="center"/>
          </w:tcPr>
          <w:p w14:paraId="2F648D03">
            <w:pPr>
              <w:spacing w:line="240" w:lineRule="auto"/>
              <w:ind w:firstLine="0" w:firstLineChars="0"/>
              <w:jc w:val="center"/>
              <w:rPr>
                <w:color w:val="auto"/>
                <w:sz w:val="21"/>
                <w:szCs w:val="21"/>
                <w:highlight w:val="none"/>
              </w:rPr>
            </w:pPr>
            <w:r>
              <w:rPr>
                <w:rFonts w:hint="eastAsia"/>
                <w:color w:val="auto"/>
                <w:sz w:val="21"/>
                <w:szCs w:val="21"/>
                <w:highlight w:val="none"/>
              </w:rPr>
              <w:t>漆渣</w:t>
            </w:r>
          </w:p>
        </w:tc>
        <w:tc>
          <w:tcPr>
            <w:tcW w:w="1883" w:type="pct"/>
            <w:vMerge w:val="continue"/>
            <w:tcBorders>
              <w:tl2br w:val="nil"/>
              <w:tr2bl w:val="nil"/>
            </w:tcBorders>
            <w:vAlign w:val="center"/>
          </w:tcPr>
          <w:p w14:paraId="3F8285DB">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738" w:type="pct"/>
            <w:vMerge w:val="continue"/>
            <w:tcBorders>
              <w:tl2br w:val="nil"/>
              <w:tr2bl w:val="nil"/>
            </w:tcBorders>
            <w:vAlign w:val="center"/>
          </w:tcPr>
          <w:p w14:paraId="0D55ED44">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1065" w:type="pct"/>
            <w:vMerge w:val="continue"/>
            <w:tcBorders>
              <w:tl2br w:val="nil"/>
              <w:tr2bl w:val="nil"/>
            </w:tcBorders>
            <w:vAlign w:val="center"/>
          </w:tcPr>
          <w:p w14:paraId="347C00DA">
            <w:pPr>
              <w:kinsoku w:val="0"/>
              <w:overflowPunct w:val="0"/>
              <w:topLinePunct w:val="0"/>
              <w:autoSpaceDE w:val="0"/>
              <w:autoSpaceDN w:val="0"/>
              <w:spacing w:line="240" w:lineRule="auto"/>
              <w:ind w:firstLine="0" w:firstLineChars="0"/>
              <w:jc w:val="center"/>
              <w:rPr>
                <w:color w:val="auto"/>
                <w:sz w:val="21"/>
                <w:szCs w:val="21"/>
                <w:highlight w:val="none"/>
              </w:rPr>
            </w:pPr>
          </w:p>
        </w:tc>
      </w:tr>
      <w:tr w14:paraId="550AA1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tcBorders>
              <w:tl2br w:val="nil"/>
              <w:tr2bl w:val="nil"/>
            </w:tcBorders>
            <w:vAlign w:val="center"/>
          </w:tcPr>
          <w:p w14:paraId="7BE590A1">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383" w:type="pct"/>
            <w:vMerge w:val="continue"/>
            <w:tcBorders>
              <w:tl2br w:val="nil"/>
              <w:tr2bl w:val="nil"/>
            </w:tcBorders>
            <w:vAlign w:val="center"/>
          </w:tcPr>
          <w:p w14:paraId="30EA776F">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548" w:type="pct"/>
            <w:tcBorders>
              <w:tl2br w:val="nil"/>
              <w:tr2bl w:val="nil"/>
            </w:tcBorders>
            <w:vAlign w:val="center"/>
          </w:tcPr>
          <w:p w14:paraId="2DF4BC69">
            <w:pPr>
              <w:spacing w:line="240" w:lineRule="auto"/>
              <w:ind w:firstLine="0" w:firstLineChars="0"/>
              <w:jc w:val="center"/>
              <w:rPr>
                <w:color w:val="auto"/>
                <w:sz w:val="21"/>
                <w:szCs w:val="21"/>
                <w:highlight w:val="none"/>
              </w:rPr>
            </w:pPr>
            <w:r>
              <w:rPr>
                <w:rFonts w:hint="eastAsia"/>
                <w:color w:val="auto"/>
                <w:sz w:val="21"/>
                <w:szCs w:val="21"/>
                <w:highlight w:val="none"/>
                <w:u w:val="single"/>
              </w:rPr>
              <w:t>废油漆桶及稀释剂包装物</w:t>
            </w:r>
          </w:p>
        </w:tc>
        <w:tc>
          <w:tcPr>
            <w:tcW w:w="1883" w:type="pct"/>
            <w:vMerge w:val="continue"/>
            <w:tcBorders>
              <w:tl2br w:val="nil"/>
              <w:tr2bl w:val="nil"/>
            </w:tcBorders>
            <w:vAlign w:val="center"/>
          </w:tcPr>
          <w:p w14:paraId="20ECCEE1">
            <w:pPr>
              <w:kinsoku w:val="0"/>
              <w:overflowPunct w:val="0"/>
              <w:topLinePunct w:val="0"/>
              <w:autoSpaceDE w:val="0"/>
              <w:autoSpaceDN w:val="0"/>
              <w:spacing w:line="240" w:lineRule="auto"/>
              <w:ind w:firstLine="0" w:firstLineChars="0"/>
              <w:jc w:val="center"/>
              <w:rPr>
                <w:bCs/>
                <w:color w:val="auto"/>
                <w:sz w:val="21"/>
                <w:szCs w:val="21"/>
                <w:highlight w:val="none"/>
              </w:rPr>
            </w:pPr>
          </w:p>
        </w:tc>
        <w:tc>
          <w:tcPr>
            <w:tcW w:w="738" w:type="pct"/>
            <w:vMerge w:val="continue"/>
            <w:tcBorders>
              <w:tl2br w:val="nil"/>
              <w:tr2bl w:val="nil"/>
            </w:tcBorders>
            <w:vAlign w:val="center"/>
          </w:tcPr>
          <w:p w14:paraId="37C95333">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1065" w:type="pct"/>
            <w:vMerge w:val="continue"/>
            <w:tcBorders>
              <w:tl2br w:val="nil"/>
              <w:tr2bl w:val="nil"/>
            </w:tcBorders>
            <w:vAlign w:val="center"/>
          </w:tcPr>
          <w:p w14:paraId="41898D9D">
            <w:pPr>
              <w:kinsoku w:val="0"/>
              <w:overflowPunct w:val="0"/>
              <w:topLinePunct w:val="0"/>
              <w:autoSpaceDE w:val="0"/>
              <w:autoSpaceDN w:val="0"/>
              <w:spacing w:line="240" w:lineRule="auto"/>
              <w:ind w:firstLine="0" w:firstLineChars="0"/>
              <w:jc w:val="center"/>
              <w:rPr>
                <w:color w:val="auto"/>
                <w:sz w:val="21"/>
                <w:szCs w:val="21"/>
                <w:highlight w:val="none"/>
              </w:rPr>
            </w:pPr>
          </w:p>
        </w:tc>
      </w:tr>
      <w:tr w14:paraId="6C0EF0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tcBorders>
              <w:tl2br w:val="nil"/>
              <w:tr2bl w:val="nil"/>
            </w:tcBorders>
            <w:vAlign w:val="center"/>
          </w:tcPr>
          <w:p w14:paraId="13EEAA57">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383" w:type="pct"/>
            <w:vMerge w:val="continue"/>
            <w:tcBorders>
              <w:tl2br w:val="nil"/>
              <w:tr2bl w:val="nil"/>
            </w:tcBorders>
            <w:vAlign w:val="center"/>
          </w:tcPr>
          <w:p w14:paraId="46099629">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548" w:type="pct"/>
            <w:tcBorders>
              <w:tl2br w:val="nil"/>
              <w:tr2bl w:val="nil"/>
            </w:tcBorders>
            <w:vAlign w:val="center"/>
          </w:tcPr>
          <w:p w14:paraId="78D27277">
            <w:pPr>
              <w:spacing w:line="240" w:lineRule="auto"/>
              <w:ind w:firstLine="0" w:firstLineChars="0"/>
              <w:jc w:val="center"/>
              <w:rPr>
                <w:color w:val="auto"/>
                <w:sz w:val="21"/>
                <w:szCs w:val="21"/>
                <w:highlight w:val="none"/>
                <w:u w:val="single"/>
              </w:rPr>
            </w:pPr>
            <w:r>
              <w:rPr>
                <w:color w:val="auto"/>
                <w:sz w:val="21"/>
                <w:szCs w:val="21"/>
                <w:highlight w:val="none"/>
              </w:rPr>
              <w:t>废油污泥</w:t>
            </w:r>
          </w:p>
        </w:tc>
        <w:tc>
          <w:tcPr>
            <w:tcW w:w="1883" w:type="pct"/>
            <w:vMerge w:val="continue"/>
            <w:tcBorders>
              <w:tl2br w:val="nil"/>
              <w:tr2bl w:val="nil"/>
            </w:tcBorders>
            <w:vAlign w:val="center"/>
          </w:tcPr>
          <w:p w14:paraId="3C7E3BB0">
            <w:pPr>
              <w:kinsoku w:val="0"/>
              <w:overflowPunct w:val="0"/>
              <w:topLinePunct w:val="0"/>
              <w:autoSpaceDE w:val="0"/>
              <w:autoSpaceDN w:val="0"/>
              <w:spacing w:line="240" w:lineRule="auto"/>
              <w:ind w:firstLine="0" w:firstLineChars="0"/>
              <w:jc w:val="center"/>
              <w:rPr>
                <w:bCs/>
                <w:color w:val="auto"/>
                <w:sz w:val="21"/>
                <w:szCs w:val="21"/>
                <w:highlight w:val="none"/>
              </w:rPr>
            </w:pPr>
          </w:p>
        </w:tc>
        <w:tc>
          <w:tcPr>
            <w:tcW w:w="738" w:type="pct"/>
            <w:vMerge w:val="continue"/>
            <w:tcBorders>
              <w:tl2br w:val="nil"/>
              <w:tr2bl w:val="nil"/>
            </w:tcBorders>
            <w:vAlign w:val="center"/>
          </w:tcPr>
          <w:p w14:paraId="51C49D89">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1065" w:type="pct"/>
            <w:vMerge w:val="continue"/>
            <w:tcBorders>
              <w:tl2br w:val="nil"/>
              <w:tr2bl w:val="nil"/>
            </w:tcBorders>
            <w:vAlign w:val="center"/>
          </w:tcPr>
          <w:p w14:paraId="7EDC7F5C">
            <w:pPr>
              <w:kinsoku w:val="0"/>
              <w:overflowPunct w:val="0"/>
              <w:topLinePunct w:val="0"/>
              <w:autoSpaceDE w:val="0"/>
              <w:autoSpaceDN w:val="0"/>
              <w:spacing w:line="240" w:lineRule="auto"/>
              <w:ind w:firstLine="0" w:firstLineChars="0"/>
              <w:jc w:val="center"/>
              <w:rPr>
                <w:color w:val="auto"/>
                <w:sz w:val="21"/>
                <w:szCs w:val="21"/>
                <w:highlight w:val="none"/>
              </w:rPr>
            </w:pPr>
          </w:p>
        </w:tc>
      </w:tr>
      <w:tr w14:paraId="44D919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tcBorders>
              <w:tl2br w:val="nil"/>
              <w:tr2bl w:val="nil"/>
            </w:tcBorders>
            <w:vAlign w:val="center"/>
          </w:tcPr>
          <w:p w14:paraId="142E0126">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383" w:type="pct"/>
            <w:vMerge w:val="continue"/>
            <w:tcBorders>
              <w:tl2br w:val="nil"/>
              <w:tr2bl w:val="nil"/>
            </w:tcBorders>
            <w:vAlign w:val="center"/>
          </w:tcPr>
          <w:p w14:paraId="43EED8C2">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548" w:type="pct"/>
            <w:tcBorders>
              <w:tl2br w:val="nil"/>
              <w:tr2bl w:val="nil"/>
            </w:tcBorders>
            <w:vAlign w:val="center"/>
          </w:tcPr>
          <w:p w14:paraId="3CFE6F08">
            <w:pPr>
              <w:spacing w:line="240" w:lineRule="auto"/>
              <w:ind w:firstLine="0" w:firstLineChars="0"/>
              <w:jc w:val="center"/>
              <w:rPr>
                <w:color w:val="auto"/>
                <w:sz w:val="21"/>
                <w:szCs w:val="21"/>
                <w:highlight w:val="none"/>
              </w:rPr>
            </w:pPr>
            <w:r>
              <w:rPr>
                <w:rFonts w:hint="eastAsia"/>
                <w:color w:val="auto"/>
                <w:sz w:val="21"/>
                <w:szCs w:val="21"/>
                <w:highlight w:val="none"/>
              </w:rPr>
              <w:t>废乳化液</w:t>
            </w:r>
          </w:p>
        </w:tc>
        <w:tc>
          <w:tcPr>
            <w:tcW w:w="1883" w:type="pct"/>
            <w:vMerge w:val="continue"/>
            <w:tcBorders>
              <w:tl2br w:val="nil"/>
              <w:tr2bl w:val="nil"/>
            </w:tcBorders>
            <w:vAlign w:val="center"/>
          </w:tcPr>
          <w:p w14:paraId="07F6569C">
            <w:pPr>
              <w:kinsoku w:val="0"/>
              <w:overflowPunct w:val="0"/>
              <w:topLinePunct w:val="0"/>
              <w:autoSpaceDE w:val="0"/>
              <w:autoSpaceDN w:val="0"/>
              <w:spacing w:line="240" w:lineRule="auto"/>
              <w:ind w:firstLine="0" w:firstLineChars="0"/>
              <w:jc w:val="center"/>
              <w:rPr>
                <w:bCs/>
                <w:color w:val="auto"/>
                <w:sz w:val="21"/>
                <w:szCs w:val="21"/>
                <w:highlight w:val="none"/>
              </w:rPr>
            </w:pPr>
          </w:p>
        </w:tc>
        <w:tc>
          <w:tcPr>
            <w:tcW w:w="738" w:type="pct"/>
            <w:vMerge w:val="continue"/>
            <w:tcBorders>
              <w:tl2br w:val="nil"/>
              <w:tr2bl w:val="nil"/>
            </w:tcBorders>
            <w:vAlign w:val="center"/>
          </w:tcPr>
          <w:p w14:paraId="106543D7">
            <w:pPr>
              <w:kinsoku w:val="0"/>
              <w:overflowPunct w:val="0"/>
              <w:topLinePunct w:val="0"/>
              <w:autoSpaceDE w:val="0"/>
              <w:autoSpaceDN w:val="0"/>
              <w:spacing w:line="240" w:lineRule="auto"/>
              <w:ind w:firstLine="0" w:firstLineChars="0"/>
              <w:jc w:val="center"/>
              <w:rPr>
                <w:color w:val="auto"/>
                <w:sz w:val="21"/>
                <w:szCs w:val="21"/>
                <w:highlight w:val="none"/>
              </w:rPr>
            </w:pPr>
          </w:p>
        </w:tc>
        <w:tc>
          <w:tcPr>
            <w:tcW w:w="1065" w:type="pct"/>
            <w:vMerge w:val="continue"/>
            <w:tcBorders>
              <w:tl2br w:val="nil"/>
              <w:tr2bl w:val="nil"/>
            </w:tcBorders>
            <w:vAlign w:val="center"/>
          </w:tcPr>
          <w:p w14:paraId="17E8462E">
            <w:pPr>
              <w:kinsoku w:val="0"/>
              <w:overflowPunct w:val="0"/>
              <w:topLinePunct w:val="0"/>
              <w:autoSpaceDE w:val="0"/>
              <w:autoSpaceDN w:val="0"/>
              <w:spacing w:line="240" w:lineRule="auto"/>
              <w:ind w:firstLine="0" w:firstLineChars="0"/>
              <w:jc w:val="center"/>
              <w:rPr>
                <w:color w:val="auto"/>
                <w:sz w:val="21"/>
                <w:szCs w:val="21"/>
                <w:highlight w:val="none"/>
              </w:rPr>
            </w:pPr>
          </w:p>
        </w:tc>
      </w:tr>
      <w:tr w14:paraId="0E0F46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tcBorders>
              <w:tl2br w:val="nil"/>
              <w:tr2bl w:val="nil"/>
            </w:tcBorders>
            <w:vAlign w:val="center"/>
          </w:tcPr>
          <w:p w14:paraId="57B7AF9D">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噪声</w:t>
            </w:r>
          </w:p>
        </w:tc>
        <w:tc>
          <w:tcPr>
            <w:tcW w:w="383" w:type="pct"/>
            <w:tcBorders>
              <w:tl2br w:val="nil"/>
              <w:tr2bl w:val="nil"/>
            </w:tcBorders>
            <w:vAlign w:val="center"/>
          </w:tcPr>
          <w:p w14:paraId="3CD8FA3E">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设备噪声</w:t>
            </w:r>
          </w:p>
        </w:tc>
        <w:tc>
          <w:tcPr>
            <w:tcW w:w="548" w:type="pct"/>
            <w:tcBorders>
              <w:tl2br w:val="nil"/>
              <w:tr2bl w:val="nil"/>
            </w:tcBorders>
            <w:vAlign w:val="center"/>
          </w:tcPr>
          <w:p w14:paraId="6B04FF0D">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噪声</w:t>
            </w:r>
          </w:p>
        </w:tc>
        <w:tc>
          <w:tcPr>
            <w:tcW w:w="1883" w:type="pct"/>
            <w:tcBorders>
              <w:tl2br w:val="nil"/>
              <w:tr2bl w:val="nil"/>
            </w:tcBorders>
            <w:vAlign w:val="center"/>
          </w:tcPr>
          <w:p w14:paraId="39B99075">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使用先进的、噪声小的装卸机械和泵设备，并对噪声、振动较大的设备采取消声、</w:t>
            </w:r>
            <w:r>
              <w:rPr>
                <w:rFonts w:hint="eastAsia"/>
                <w:color w:val="auto"/>
                <w:sz w:val="21"/>
                <w:szCs w:val="21"/>
                <w:highlight w:val="none"/>
                <w:lang w:eastAsia="zh-CN"/>
              </w:rPr>
              <w:t>减振措施</w:t>
            </w:r>
          </w:p>
        </w:tc>
        <w:tc>
          <w:tcPr>
            <w:tcW w:w="738" w:type="pct"/>
            <w:tcBorders>
              <w:tl2br w:val="nil"/>
              <w:tr2bl w:val="nil"/>
            </w:tcBorders>
            <w:vAlign w:val="center"/>
          </w:tcPr>
          <w:p w14:paraId="1EE7A05D">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厂界达标</w:t>
            </w:r>
          </w:p>
        </w:tc>
        <w:tc>
          <w:tcPr>
            <w:tcW w:w="1065" w:type="pct"/>
            <w:tcBorders>
              <w:tl2br w:val="nil"/>
              <w:tr2bl w:val="nil"/>
            </w:tcBorders>
            <w:vAlign w:val="center"/>
          </w:tcPr>
          <w:p w14:paraId="36FFCAAE">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《工业企业厂界环境噪声排放标准》 (</w:t>
            </w:r>
            <w:r>
              <w:rPr>
                <w:color w:val="auto"/>
                <w:spacing w:val="-1"/>
                <w:sz w:val="21"/>
                <w:szCs w:val="21"/>
                <w:highlight w:val="none"/>
              </w:rPr>
              <w:t>G</w:t>
            </w:r>
            <w:r>
              <w:rPr>
                <w:color w:val="auto"/>
                <w:sz w:val="21"/>
                <w:szCs w:val="21"/>
                <w:highlight w:val="none"/>
              </w:rPr>
              <w:t>B1234</w:t>
            </w:r>
            <w:r>
              <w:rPr>
                <w:color w:val="auto"/>
                <w:spacing w:val="2"/>
                <w:sz w:val="21"/>
                <w:szCs w:val="21"/>
                <w:highlight w:val="none"/>
              </w:rPr>
              <w:t>8</w:t>
            </w:r>
            <w:r>
              <w:rPr>
                <w:color w:val="auto"/>
                <w:spacing w:val="-1"/>
                <w:sz w:val="21"/>
                <w:szCs w:val="21"/>
                <w:highlight w:val="none"/>
              </w:rPr>
              <w:t>-</w:t>
            </w:r>
            <w:r>
              <w:rPr>
                <w:color w:val="auto"/>
                <w:sz w:val="21"/>
                <w:szCs w:val="21"/>
                <w:highlight w:val="none"/>
              </w:rPr>
              <w:t>2</w:t>
            </w:r>
            <w:r>
              <w:rPr>
                <w:color w:val="auto"/>
                <w:spacing w:val="-2"/>
                <w:sz w:val="21"/>
                <w:szCs w:val="21"/>
                <w:highlight w:val="none"/>
              </w:rPr>
              <w:t>0</w:t>
            </w:r>
            <w:r>
              <w:rPr>
                <w:color w:val="auto"/>
                <w:sz w:val="21"/>
                <w:szCs w:val="21"/>
                <w:highlight w:val="none"/>
              </w:rPr>
              <w:t>0</w:t>
            </w:r>
            <w:r>
              <w:rPr>
                <w:color w:val="auto"/>
                <w:spacing w:val="1"/>
                <w:sz w:val="21"/>
                <w:szCs w:val="21"/>
                <w:highlight w:val="none"/>
              </w:rPr>
              <w:t>8</w:t>
            </w:r>
            <w:r>
              <w:rPr>
                <w:color w:val="auto"/>
                <w:sz w:val="21"/>
                <w:szCs w:val="21"/>
                <w:highlight w:val="none"/>
              </w:rPr>
              <w:t>)3类</w:t>
            </w:r>
          </w:p>
        </w:tc>
      </w:tr>
      <w:tr w14:paraId="55A1AD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12" w:type="pct"/>
            <w:gridSpan w:val="3"/>
            <w:tcBorders>
              <w:tl2br w:val="nil"/>
              <w:tr2bl w:val="nil"/>
            </w:tcBorders>
            <w:vAlign w:val="center"/>
          </w:tcPr>
          <w:p w14:paraId="7B0546A7">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环境风险</w:t>
            </w:r>
          </w:p>
        </w:tc>
        <w:tc>
          <w:tcPr>
            <w:tcW w:w="2621" w:type="pct"/>
            <w:gridSpan w:val="2"/>
            <w:tcBorders>
              <w:tl2br w:val="nil"/>
              <w:tr2bl w:val="nil"/>
            </w:tcBorders>
            <w:vAlign w:val="center"/>
          </w:tcPr>
          <w:p w14:paraId="147467FC">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健全管理机构、管理制度并配备专管人员，并定期进行教育和培训；加强生产现场管理、个人防护；按照报告要求配置相应风险防范、应急资源。</w:t>
            </w:r>
          </w:p>
        </w:tc>
        <w:tc>
          <w:tcPr>
            <w:tcW w:w="1065" w:type="pct"/>
            <w:tcBorders>
              <w:tl2br w:val="nil"/>
              <w:tr2bl w:val="nil"/>
            </w:tcBorders>
            <w:vAlign w:val="center"/>
          </w:tcPr>
          <w:p w14:paraId="50C5F700">
            <w:pPr>
              <w:kinsoku w:val="0"/>
              <w:overflowPunct w:val="0"/>
              <w:topLinePunct w:val="0"/>
              <w:autoSpaceDE w:val="0"/>
              <w:autoSpaceDN w:val="0"/>
              <w:spacing w:line="240" w:lineRule="auto"/>
              <w:ind w:firstLine="0" w:firstLineChars="0"/>
              <w:jc w:val="center"/>
              <w:rPr>
                <w:color w:val="auto"/>
                <w:sz w:val="21"/>
                <w:szCs w:val="21"/>
                <w:highlight w:val="none"/>
              </w:rPr>
            </w:pPr>
            <w:r>
              <w:rPr>
                <w:color w:val="auto"/>
                <w:sz w:val="21"/>
                <w:szCs w:val="21"/>
                <w:highlight w:val="none"/>
              </w:rPr>
              <w:t>环境风险可控</w:t>
            </w:r>
          </w:p>
        </w:tc>
      </w:tr>
    </w:tbl>
    <w:p w14:paraId="368F42F9">
      <w:pPr>
        <w:pStyle w:val="527"/>
        <w:numPr>
          <w:ilvl w:val="0"/>
          <w:numId w:val="0"/>
        </w:numPr>
        <w:spacing w:before="120" w:beforeLines="50" w:after="120" w:afterLines="50"/>
        <w:jc w:val="center"/>
        <w:outlineLvl w:val="0"/>
        <w:rPr>
          <w:color w:val="auto"/>
          <w:sz w:val="30"/>
          <w:highlight w:val="none"/>
        </w:rPr>
        <w:sectPr>
          <w:headerReference r:id="rId53" w:type="default"/>
          <w:footerReference r:id="rId54" w:type="default"/>
          <w:pgSz w:w="16838" w:h="11906" w:orient="landscape"/>
          <w:pgMar w:top="1418" w:right="1559" w:bottom="1418" w:left="1503" w:header="851" w:footer="964" w:gutter="0"/>
          <w:cols w:space="720" w:num="1"/>
          <w:docGrid w:linePitch="326" w:charSpace="0"/>
        </w:sectPr>
      </w:pPr>
    </w:p>
    <w:bookmarkEnd w:id="308"/>
    <w:bookmarkEnd w:id="309"/>
    <w:bookmarkEnd w:id="310"/>
    <w:p w14:paraId="31090E7E">
      <w:pPr>
        <w:pStyle w:val="5"/>
        <w:numPr>
          <w:ilvl w:val="0"/>
          <w:numId w:val="9"/>
        </w:numPr>
        <w:jc w:val="center"/>
        <w:rPr>
          <w:color w:val="auto"/>
          <w:sz w:val="36"/>
          <w:szCs w:val="36"/>
          <w:highlight w:val="none"/>
        </w:rPr>
      </w:pPr>
      <w:bookmarkStart w:id="311" w:name="_Toc11000"/>
      <w:bookmarkStart w:id="312" w:name="_Toc24857"/>
      <w:bookmarkStart w:id="313" w:name="_Hlk39234218"/>
      <w:r>
        <w:rPr>
          <w:color w:val="auto"/>
          <w:sz w:val="36"/>
          <w:szCs w:val="36"/>
          <w:highlight w:val="none"/>
        </w:rPr>
        <w:t>环境影响评价结论</w:t>
      </w:r>
      <w:bookmarkEnd w:id="311"/>
      <w:bookmarkEnd w:id="312"/>
    </w:p>
    <w:bookmarkEnd w:id="313"/>
    <w:p w14:paraId="437DCEEA">
      <w:pPr>
        <w:pStyle w:val="6"/>
        <w:numPr>
          <w:ilvl w:val="1"/>
          <w:numId w:val="9"/>
        </w:numPr>
        <w:rPr>
          <w:color w:val="auto"/>
          <w:sz w:val="32"/>
          <w:szCs w:val="32"/>
          <w:highlight w:val="none"/>
        </w:rPr>
      </w:pPr>
      <w:bookmarkStart w:id="314" w:name="_Toc31720"/>
      <w:bookmarkStart w:id="315" w:name="_Toc33967247"/>
      <w:bookmarkStart w:id="316" w:name="_Toc33967143"/>
      <w:bookmarkStart w:id="317" w:name="_Toc24951"/>
      <w:r>
        <w:rPr>
          <w:color w:val="auto"/>
          <w:sz w:val="32"/>
          <w:szCs w:val="32"/>
          <w:highlight w:val="none"/>
        </w:rPr>
        <w:t>工程概况</w:t>
      </w:r>
      <w:bookmarkEnd w:id="314"/>
      <w:bookmarkEnd w:id="315"/>
      <w:bookmarkEnd w:id="316"/>
      <w:bookmarkEnd w:id="317"/>
    </w:p>
    <w:p w14:paraId="4C77CA5D">
      <w:pPr>
        <w:ind w:firstLine="480"/>
        <w:rPr>
          <w:color w:val="auto"/>
          <w:highlight w:val="none"/>
          <w:u w:val="single"/>
        </w:rPr>
      </w:pPr>
      <w:r>
        <w:rPr>
          <w:color w:val="auto"/>
          <w:highlight w:val="none"/>
        </w:rPr>
        <w:t>北部湾区域大型船舶维修保障及改装能力建设项目位于广西壮族自治区钦州市钦州港三墩大道1号，</w:t>
      </w:r>
      <w:r>
        <w:rPr>
          <w:color w:val="auto"/>
          <w:highlight w:val="none"/>
          <w:u w:val="single"/>
        </w:rPr>
        <w:t>本项目</w:t>
      </w:r>
      <w:r>
        <w:rPr>
          <w:rFonts w:hint="eastAsia"/>
          <w:color w:val="auto"/>
          <w:highlight w:val="none"/>
          <w:u w:val="single"/>
        </w:rPr>
        <w:t>技改建设</w:t>
      </w:r>
      <w:r>
        <w:rPr>
          <w:color w:val="auto"/>
          <w:highlight w:val="none"/>
          <w:u w:val="single"/>
        </w:rPr>
        <w:t>1座10万吨级浮船坞用于置换“中船钦州修船资源整合项目”中的老旧10万吨级浮船坞，新浮船坞采用抛锚的方式布置在原新祥生号浮船坞位置，并利用原钢引桥和趸船与陆域连通，可维修或改造10万吨级及以下的船舶90艘；并在“中船广西海上风电装备产业基地南翼项目2#码头和5#码头工程”中的5#舾装码头内</w:t>
      </w:r>
      <w:r>
        <w:rPr>
          <w:rFonts w:hint="eastAsia"/>
          <w:color w:val="auto"/>
          <w:highlight w:val="none"/>
          <w:u w:val="single"/>
        </w:rPr>
        <w:t>扩建</w:t>
      </w:r>
      <w:r>
        <w:rPr>
          <w:color w:val="auto"/>
          <w:highlight w:val="none"/>
          <w:u w:val="single"/>
        </w:rPr>
        <w:t>1台6070门座式起重机，以满足5#码头修、造船舾装作业的需求。</w:t>
      </w:r>
    </w:p>
    <w:p w14:paraId="2A9B2615">
      <w:pPr>
        <w:ind w:firstLine="480"/>
        <w:rPr>
          <w:color w:val="auto"/>
          <w:highlight w:val="none"/>
        </w:rPr>
      </w:pPr>
      <w:r>
        <w:rPr>
          <w:color w:val="auto"/>
          <w:highlight w:val="none"/>
          <w:u w:val="single"/>
        </w:rPr>
        <w:t>本项目的建设内容主要是</w:t>
      </w:r>
      <w:r>
        <w:rPr>
          <w:rFonts w:hint="eastAsia"/>
          <w:color w:val="auto"/>
          <w:highlight w:val="none"/>
          <w:u w:val="single"/>
        </w:rPr>
        <w:t>技改建设</w:t>
      </w:r>
      <w:r>
        <w:rPr>
          <w:color w:val="auto"/>
          <w:highlight w:val="none"/>
          <w:u w:val="single"/>
        </w:rPr>
        <w:t>1座10万吨级浮船坞（用于置换老旧</w:t>
      </w:r>
      <w:r>
        <w:rPr>
          <w:rFonts w:hint="eastAsia"/>
          <w:color w:val="auto"/>
          <w:highlight w:val="none"/>
          <w:u w:val="single"/>
        </w:rPr>
        <w:t>的</w:t>
      </w:r>
      <w:r>
        <w:rPr>
          <w:color w:val="auto"/>
          <w:highlight w:val="none"/>
          <w:u w:val="single"/>
        </w:rPr>
        <w:t>10万吨级浮船坞）；在5#舾装码头</w:t>
      </w:r>
      <w:r>
        <w:rPr>
          <w:rFonts w:hint="eastAsia"/>
          <w:color w:val="auto"/>
          <w:highlight w:val="none"/>
          <w:u w:val="single"/>
        </w:rPr>
        <w:t>扩建</w:t>
      </w:r>
      <w:r>
        <w:rPr>
          <w:color w:val="auto"/>
          <w:highlight w:val="none"/>
          <w:u w:val="single"/>
        </w:rPr>
        <w:t>1台门座式起重机</w:t>
      </w:r>
      <w:r>
        <w:rPr>
          <w:rFonts w:hint="eastAsia"/>
          <w:color w:val="auto"/>
          <w:highlight w:val="none"/>
          <w:u w:val="single"/>
        </w:rPr>
        <w:t>（（该项目环评内容包含1台32t门吊机，码头建成后未建设该门吊机，本次建设的</w:t>
      </w:r>
      <w:r>
        <w:rPr>
          <w:color w:val="auto"/>
          <w:highlight w:val="none"/>
          <w:u w:val="single"/>
        </w:rPr>
        <w:t>1台6070门座式起重机</w:t>
      </w:r>
      <w:r>
        <w:rPr>
          <w:rFonts w:hint="eastAsia"/>
          <w:color w:val="auto"/>
          <w:highlight w:val="none"/>
          <w:u w:val="single"/>
        </w:rPr>
        <w:t>替代该环评中的1台32t门吊机）</w:t>
      </w:r>
      <w:r>
        <w:rPr>
          <w:color w:val="auto"/>
          <w:highlight w:val="none"/>
        </w:rPr>
        <w:t>。并建设浮船坞配套建造场地；配置焊割加工、起重运输、供配电等设备设施，硬化改造该配套场地约25621平方米，工艺设备约600台。</w:t>
      </w:r>
    </w:p>
    <w:p w14:paraId="1D10B45F">
      <w:pPr>
        <w:ind w:firstLine="480"/>
        <w:rPr>
          <w:color w:val="auto"/>
          <w:highlight w:val="none"/>
        </w:rPr>
      </w:pPr>
      <w:r>
        <w:rPr>
          <w:color w:val="auto"/>
          <w:highlight w:val="none"/>
        </w:rPr>
        <w:t>项目总投资为35000万元，其中环保投资为125万元，环保投资占投资的0.36%。</w:t>
      </w:r>
    </w:p>
    <w:p w14:paraId="24E45197">
      <w:pPr>
        <w:pStyle w:val="6"/>
        <w:numPr>
          <w:ilvl w:val="1"/>
          <w:numId w:val="9"/>
        </w:numPr>
        <w:rPr>
          <w:color w:val="auto"/>
          <w:sz w:val="32"/>
          <w:szCs w:val="32"/>
          <w:highlight w:val="none"/>
        </w:rPr>
      </w:pPr>
      <w:bookmarkStart w:id="318" w:name="_Toc2268"/>
      <w:bookmarkStart w:id="319" w:name="_Toc1730"/>
      <w:r>
        <w:rPr>
          <w:color w:val="auto"/>
          <w:sz w:val="32"/>
          <w:szCs w:val="32"/>
          <w:highlight w:val="none"/>
        </w:rPr>
        <w:t>环境质量现状评价结论</w:t>
      </w:r>
      <w:bookmarkEnd w:id="318"/>
      <w:bookmarkEnd w:id="319"/>
    </w:p>
    <w:p w14:paraId="661AE6B8">
      <w:pPr>
        <w:pStyle w:val="7"/>
        <w:numPr>
          <w:ilvl w:val="2"/>
          <w:numId w:val="9"/>
        </w:numPr>
        <w:rPr>
          <w:color w:val="auto"/>
          <w:sz w:val="28"/>
          <w:highlight w:val="none"/>
        </w:rPr>
      </w:pPr>
      <w:bookmarkStart w:id="320" w:name="_Toc34128316"/>
      <w:r>
        <w:rPr>
          <w:color w:val="auto"/>
          <w:sz w:val="28"/>
          <w:highlight w:val="none"/>
        </w:rPr>
        <w:t>大气环境质量现状评价结论</w:t>
      </w:r>
      <w:bookmarkEnd w:id="320"/>
    </w:p>
    <w:p w14:paraId="31120B05">
      <w:pPr>
        <w:ind w:firstLine="480"/>
        <w:rPr>
          <w:color w:val="auto"/>
          <w:highlight w:val="none"/>
        </w:rPr>
      </w:pPr>
      <w:r>
        <w:rPr>
          <w:color w:val="auto"/>
          <w:highlight w:val="none"/>
        </w:rPr>
        <w:t>根据《自治区生态环境厅关于通报2024年设区城市及各县（市、区）环境空气质量的函》（桂环函〔2025〕66号），2024年钦州市二氧化硫、二氧化氮、可吸入颗粒物（PM</w:t>
      </w:r>
      <w:r>
        <w:rPr>
          <w:color w:val="auto"/>
          <w:highlight w:val="none"/>
          <w:vertAlign w:val="subscript"/>
        </w:rPr>
        <w:t>10</w:t>
      </w:r>
      <w:r>
        <w:rPr>
          <w:color w:val="auto"/>
          <w:highlight w:val="none"/>
        </w:rPr>
        <w:t>）、细颗粒物（PM</w:t>
      </w:r>
      <w:r>
        <w:rPr>
          <w:color w:val="auto"/>
          <w:highlight w:val="none"/>
          <w:vertAlign w:val="subscript"/>
        </w:rPr>
        <w:t>2.5</w:t>
      </w:r>
      <w:r>
        <w:rPr>
          <w:color w:val="auto"/>
          <w:highlight w:val="none"/>
        </w:rPr>
        <w:t>）、一氧化碳、臭氧浓度年评价指标均符合《环境空气质量标准》（</w:t>
      </w:r>
      <w:r>
        <w:rPr>
          <w:rFonts w:hint="eastAsia"/>
          <w:color w:val="auto"/>
          <w:highlight w:val="none"/>
        </w:rPr>
        <w:t>GB3095-2026</w:t>
      </w:r>
      <w:r>
        <w:rPr>
          <w:color w:val="auto"/>
          <w:highlight w:val="none"/>
        </w:rPr>
        <w:t>）二级标准，项目所在区域属于达标区。</w:t>
      </w:r>
    </w:p>
    <w:p w14:paraId="1C3D810E">
      <w:pPr>
        <w:ind w:firstLine="480"/>
        <w:rPr>
          <w:color w:val="auto"/>
          <w:highlight w:val="none"/>
        </w:rPr>
      </w:pPr>
      <w:r>
        <w:rPr>
          <w:color w:val="auto"/>
          <w:highlight w:val="none"/>
        </w:rPr>
        <w:t>项目区域内的监测点监测因子TSP浓度可满足《环境空气质量标准》（</w:t>
      </w:r>
      <w:r>
        <w:rPr>
          <w:rFonts w:hint="eastAsia"/>
          <w:color w:val="auto"/>
          <w:highlight w:val="none"/>
        </w:rPr>
        <w:t>GB3095-2026</w:t>
      </w:r>
      <w:r>
        <w:rPr>
          <w:color w:val="auto"/>
          <w:highlight w:val="none"/>
        </w:rPr>
        <w:t>）中二级标准要求，苯、甲苯、二甲苯、TVOC浓度满足《环境影响评价技术导则  大气环境》（HJ2.2-2018）附录D中的浓度参考限值要求，非甲烷总烃浓度满足《大气污染物综合排放标准详解》中质量浓度限值要求。</w:t>
      </w:r>
    </w:p>
    <w:p w14:paraId="7E8CBF70">
      <w:pPr>
        <w:pStyle w:val="7"/>
        <w:numPr>
          <w:ilvl w:val="2"/>
          <w:numId w:val="9"/>
        </w:numPr>
        <w:rPr>
          <w:color w:val="auto"/>
          <w:sz w:val="28"/>
          <w:highlight w:val="none"/>
        </w:rPr>
      </w:pPr>
      <w:bookmarkStart w:id="321" w:name="_Toc34128317"/>
      <w:r>
        <w:rPr>
          <w:color w:val="auto"/>
          <w:sz w:val="28"/>
          <w:highlight w:val="none"/>
        </w:rPr>
        <w:t>海洋环境质量现状评价结论</w:t>
      </w:r>
    </w:p>
    <w:p w14:paraId="78992538">
      <w:pPr>
        <w:pStyle w:val="533"/>
        <w:numPr>
          <w:ilvl w:val="3"/>
          <w:numId w:val="9"/>
        </w:numPr>
        <w:rPr>
          <w:color w:val="auto"/>
          <w:szCs w:val="24"/>
          <w:highlight w:val="none"/>
        </w:rPr>
      </w:pPr>
      <w:r>
        <w:rPr>
          <w:color w:val="auto"/>
          <w:szCs w:val="24"/>
          <w:highlight w:val="none"/>
        </w:rPr>
        <w:t>海水水质现状</w:t>
      </w:r>
    </w:p>
    <w:p w14:paraId="2635C729">
      <w:pPr>
        <w:ind w:firstLine="480"/>
        <w:rPr>
          <w:color w:val="auto"/>
          <w:highlight w:val="none"/>
        </w:rPr>
      </w:pPr>
      <w:r>
        <w:rPr>
          <w:color w:val="auto"/>
          <w:highlight w:val="none"/>
        </w:rPr>
        <w:t>本次海水水质现状调查引用广西海洋所生态环境监测服务有限公司《钦州市茅尾海、钦州湾、大风江海域海洋环境现状调查》中相关站点监测数据，监测时间为2024年11月。根据监测结果可知，调查各站各项目均符合相应功能区海水水质标准要求，总体而言，调查海域海水水质较好。</w:t>
      </w:r>
    </w:p>
    <w:p w14:paraId="7826466F">
      <w:pPr>
        <w:pStyle w:val="533"/>
        <w:numPr>
          <w:ilvl w:val="3"/>
          <w:numId w:val="9"/>
        </w:numPr>
        <w:rPr>
          <w:color w:val="auto"/>
          <w:szCs w:val="24"/>
          <w:highlight w:val="none"/>
        </w:rPr>
      </w:pPr>
      <w:r>
        <w:rPr>
          <w:color w:val="auto"/>
          <w:szCs w:val="24"/>
          <w:highlight w:val="none"/>
        </w:rPr>
        <w:t>海洋生态现状</w:t>
      </w:r>
    </w:p>
    <w:p w14:paraId="6F6908A8">
      <w:pPr>
        <w:ind w:firstLine="480"/>
        <w:rPr>
          <w:color w:val="auto"/>
          <w:highlight w:val="none"/>
        </w:rPr>
      </w:pPr>
      <w:r>
        <w:rPr>
          <w:color w:val="auto"/>
          <w:highlight w:val="none"/>
        </w:rPr>
        <w:t>本次海洋生态现状调查引用广西海洋所生态环境监测服务有限公司《钦州市茅尾海、钦州湾、大风江海域海洋环境现状调查》中相关站点监测数据，监测时间为2024年11月。根据监测结果可知：</w:t>
      </w:r>
    </w:p>
    <w:p w14:paraId="2B7E0A72">
      <w:pPr>
        <w:ind w:firstLine="480"/>
        <w:rPr>
          <w:color w:val="auto"/>
          <w:highlight w:val="none"/>
        </w:rPr>
      </w:pPr>
      <w:r>
        <w:rPr>
          <w:color w:val="auto"/>
          <w:highlight w:val="none"/>
        </w:rPr>
        <w:t>（1）叶绿素a</w:t>
      </w:r>
    </w:p>
    <w:p w14:paraId="1D63832B">
      <w:pPr>
        <w:ind w:firstLine="480"/>
        <w:rPr>
          <w:color w:val="auto"/>
          <w:highlight w:val="none"/>
        </w:rPr>
      </w:pPr>
      <w:r>
        <w:rPr>
          <w:color w:val="auto"/>
          <w:highlight w:val="none"/>
        </w:rPr>
        <w:t>项目附近海域叶绿素a含量范围为2μg/L～3μg/L，初级生产力变化范围在133.2～199.8mg·C/(m²·d)之间。</w:t>
      </w:r>
    </w:p>
    <w:p w14:paraId="0DABD49A">
      <w:pPr>
        <w:ind w:firstLine="480"/>
        <w:rPr>
          <w:color w:val="auto"/>
          <w:highlight w:val="none"/>
        </w:rPr>
      </w:pPr>
      <w:r>
        <w:rPr>
          <w:color w:val="auto"/>
          <w:highlight w:val="none"/>
        </w:rPr>
        <w:t>（2）浮游植物</w:t>
      </w:r>
    </w:p>
    <w:p w14:paraId="1407D278">
      <w:pPr>
        <w:ind w:firstLine="480"/>
        <w:rPr>
          <w:color w:val="auto"/>
          <w:highlight w:val="none"/>
        </w:rPr>
      </w:pPr>
      <w:r>
        <w:rPr>
          <w:color w:val="auto"/>
          <w:highlight w:val="none"/>
        </w:rPr>
        <w:t>1#站点浮游植物细胞 丰度为5.65×10</w:t>
      </w:r>
      <w:r>
        <w:rPr>
          <w:color w:val="auto"/>
          <w:highlight w:val="none"/>
          <w:vertAlign w:val="superscript"/>
        </w:rPr>
        <w:t>7</w:t>
      </w:r>
      <w:r>
        <w:rPr>
          <w:color w:val="auto"/>
          <w:highlight w:val="none"/>
        </w:rPr>
        <w:t xml:space="preserve"> cells/m</w:t>
      </w:r>
      <w:r>
        <w:rPr>
          <w:color w:val="auto"/>
          <w:highlight w:val="none"/>
          <w:vertAlign w:val="superscript"/>
        </w:rPr>
        <w:t>3</w:t>
      </w:r>
      <w:r>
        <w:rPr>
          <w:color w:val="auto"/>
          <w:highlight w:val="none"/>
        </w:rPr>
        <w:t>，3#站点浮游植物细胞 丰度为5.35×10</w:t>
      </w:r>
      <w:r>
        <w:rPr>
          <w:color w:val="auto"/>
          <w:highlight w:val="none"/>
          <w:vertAlign w:val="superscript"/>
        </w:rPr>
        <w:t>7</w:t>
      </w:r>
      <w:r>
        <w:rPr>
          <w:color w:val="auto"/>
          <w:highlight w:val="none"/>
        </w:rPr>
        <w:t xml:space="preserve"> cells/m</w:t>
      </w:r>
      <w:r>
        <w:rPr>
          <w:color w:val="auto"/>
          <w:highlight w:val="none"/>
          <w:vertAlign w:val="superscript"/>
        </w:rPr>
        <w:t>3</w:t>
      </w:r>
      <w:r>
        <w:rPr>
          <w:color w:val="auto"/>
          <w:highlight w:val="none"/>
        </w:rPr>
        <w:t>，硅藻丰度最高。1#站点浮游植物种类多样性指数为3.48，均匀度为0.87，丰富度为0.95、优势度为0.19；3#站点浮游植物种类多样性指数为3.02，均匀度为0.87，丰富度为0.64、优势度为0.24。</w:t>
      </w:r>
    </w:p>
    <w:p w14:paraId="0B21F3C1">
      <w:pPr>
        <w:ind w:firstLine="480"/>
        <w:rPr>
          <w:color w:val="auto"/>
          <w:highlight w:val="none"/>
        </w:rPr>
      </w:pPr>
      <w:r>
        <w:rPr>
          <w:color w:val="auto"/>
          <w:highlight w:val="none"/>
        </w:rPr>
        <w:t>整体来说，项目附近海域浮游植物的种类多样性指数处于中等水平，丰富度、优势度皆较低。</w:t>
      </w:r>
    </w:p>
    <w:p w14:paraId="3090E265">
      <w:pPr>
        <w:ind w:firstLine="480"/>
        <w:rPr>
          <w:color w:val="auto"/>
          <w:highlight w:val="none"/>
        </w:rPr>
      </w:pPr>
      <w:r>
        <w:rPr>
          <w:color w:val="auto"/>
          <w:highlight w:val="none"/>
        </w:rPr>
        <w:t>（3）浮游动物</w:t>
      </w:r>
    </w:p>
    <w:p w14:paraId="414A07C5">
      <w:pPr>
        <w:ind w:firstLine="480"/>
        <w:rPr>
          <w:color w:val="auto"/>
          <w:highlight w:val="none"/>
        </w:rPr>
      </w:pPr>
      <w:r>
        <w:rPr>
          <w:color w:val="auto"/>
          <w:highlight w:val="none"/>
        </w:rPr>
        <w:t>1#站点浮游动物的密度介于10～54个/m</w:t>
      </w:r>
      <w:r>
        <w:rPr>
          <w:color w:val="auto"/>
          <w:highlight w:val="none"/>
          <w:vertAlign w:val="superscript"/>
        </w:rPr>
        <w:t>3</w:t>
      </w:r>
      <w:r>
        <w:rPr>
          <w:color w:val="auto"/>
          <w:highlight w:val="none"/>
        </w:rPr>
        <w:t>之间，平均为29个/m</w:t>
      </w:r>
      <w:r>
        <w:rPr>
          <w:color w:val="auto"/>
          <w:highlight w:val="none"/>
          <w:vertAlign w:val="superscript"/>
        </w:rPr>
        <w:t>3</w:t>
      </w:r>
      <w:r>
        <w:rPr>
          <w:color w:val="auto"/>
          <w:highlight w:val="none"/>
        </w:rPr>
        <w:t>，平均生物量为96mg/m</w:t>
      </w:r>
      <w:r>
        <w:rPr>
          <w:color w:val="auto"/>
          <w:highlight w:val="none"/>
          <w:vertAlign w:val="superscript"/>
        </w:rPr>
        <w:t>3</w:t>
      </w:r>
      <w:r>
        <w:rPr>
          <w:color w:val="auto"/>
          <w:highlight w:val="none"/>
        </w:rPr>
        <w:t>；3#站点浮游动物的密度介于12～78个/m</w:t>
      </w:r>
      <w:r>
        <w:rPr>
          <w:color w:val="auto"/>
          <w:highlight w:val="none"/>
          <w:vertAlign w:val="superscript"/>
        </w:rPr>
        <w:t>3</w:t>
      </w:r>
      <w:r>
        <w:rPr>
          <w:color w:val="auto"/>
          <w:highlight w:val="none"/>
        </w:rPr>
        <w:t>之间，平均为54个/m</w:t>
      </w:r>
      <w:r>
        <w:rPr>
          <w:color w:val="auto"/>
          <w:highlight w:val="none"/>
          <w:vertAlign w:val="superscript"/>
        </w:rPr>
        <w:t>3</w:t>
      </w:r>
      <w:r>
        <w:rPr>
          <w:color w:val="auto"/>
          <w:highlight w:val="none"/>
        </w:rPr>
        <w:t>，平均生物量为84mg/m</w:t>
      </w:r>
      <w:r>
        <w:rPr>
          <w:color w:val="auto"/>
          <w:highlight w:val="none"/>
          <w:vertAlign w:val="superscript"/>
        </w:rPr>
        <w:t>3</w:t>
      </w:r>
      <w:r>
        <w:rPr>
          <w:color w:val="auto"/>
          <w:highlight w:val="none"/>
        </w:rPr>
        <w:t>，浮游动物生物量较低。</w:t>
      </w:r>
    </w:p>
    <w:p w14:paraId="5018EA8E">
      <w:pPr>
        <w:ind w:firstLine="480"/>
        <w:rPr>
          <w:color w:val="auto"/>
          <w:highlight w:val="none"/>
        </w:rPr>
      </w:pPr>
      <w:r>
        <w:rPr>
          <w:color w:val="auto"/>
          <w:highlight w:val="none"/>
        </w:rPr>
        <w:t>1#站点浮游动物种类多样性指数为2.63，均匀度为0.94，丰富度为0.78、优势度为0.26；3#站点浮游动物种类多样性指数为2.43，均匀度为0.94，丰富度为0.60、优势度为0.24。</w:t>
      </w:r>
    </w:p>
    <w:p w14:paraId="66EB2931">
      <w:pPr>
        <w:ind w:firstLine="480"/>
        <w:rPr>
          <w:color w:val="auto"/>
          <w:highlight w:val="none"/>
        </w:rPr>
      </w:pPr>
      <w:r>
        <w:rPr>
          <w:color w:val="auto"/>
          <w:highlight w:val="none"/>
        </w:rPr>
        <w:t>整体来说，项目附近海域浮游动物的种类多样性指数处于中等水平，丰富度、优势度皆较低</w:t>
      </w:r>
    </w:p>
    <w:p w14:paraId="6698344F">
      <w:pPr>
        <w:ind w:firstLine="480"/>
        <w:rPr>
          <w:color w:val="auto"/>
          <w:highlight w:val="none"/>
        </w:rPr>
      </w:pPr>
      <w:r>
        <w:rPr>
          <w:color w:val="auto"/>
          <w:highlight w:val="none"/>
        </w:rPr>
        <w:t>（4）底栖动物</w:t>
      </w:r>
    </w:p>
    <w:p w14:paraId="781BB009">
      <w:pPr>
        <w:ind w:firstLine="480"/>
        <w:rPr>
          <w:color w:val="auto"/>
          <w:highlight w:val="none"/>
        </w:rPr>
      </w:pPr>
      <w:r>
        <w:rPr>
          <w:color w:val="auto"/>
          <w:highlight w:val="none"/>
        </w:rPr>
        <w:t>3#站点底栖动物密度分布范围为20ind/m</w:t>
      </w:r>
      <w:r>
        <w:rPr>
          <w:color w:val="auto"/>
          <w:highlight w:val="none"/>
          <w:vertAlign w:val="superscript"/>
        </w:rPr>
        <w:t>2</w:t>
      </w:r>
      <w:r>
        <w:rPr>
          <w:color w:val="auto"/>
          <w:highlight w:val="none"/>
        </w:rPr>
        <w:t>，生物量为0.24g/m</w:t>
      </w:r>
      <w:r>
        <w:rPr>
          <w:color w:val="auto"/>
          <w:highlight w:val="none"/>
          <w:vertAlign w:val="superscript"/>
        </w:rPr>
        <w:t>2</w:t>
      </w:r>
      <w:r>
        <w:rPr>
          <w:color w:val="auto"/>
          <w:highlight w:val="none"/>
        </w:rPr>
        <w:t>。</w:t>
      </w:r>
    </w:p>
    <w:p w14:paraId="1C0DDD2D">
      <w:pPr>
        <w:ind w:firstLine="480"/>
        <w:rPr>
          <w:color w:val="auto"/>
          <w:highlight w:val="none"/>
        </w:rPr>
      </w:pPr>
      <w:r>
        <w:rPr>
          <w:color w:val="auto"/>
          <w:highlight w:val="none"/>
        </w:rPr>
        <w:t>经过统计分析，3#站点底栖生物种类多样性指数为1.52，均匀度为0.96，丰富度为0.46、优势度为0.40，多样性指数、丰富度、优势度等普遍处于较低水平。</w:t>
      </w:r>
    </w:p>
    <w:p w14:paraId="5AEACC95">
      <w:pPr>
        <w:pStyle w:val="533"/>
        <w:numPr>
          <w:ilvl w:val="3"/>
          <w:numId w:val="9"/>
        </w:numPr>
        <w:rPr>
          <w:color w:val="auto"/>
          <w:szCs w:val="24"/>
          <w:highlight w:val="none"/>
        </w:rPr>
      </w:pPr>
      <w:r>
        <w:rPr>
          <w:color w:val="auto"/>
          <w:szCs w:val="24"/>
          <w:highlight w:val="none"/>
        </w:rPr>
        <w:t>生物体质量现状</w:t>
      </w:r>
    </w:p>
    <w:p w14:paraId="7CB743AC">
      <w:pPr>
        <w:ind w:firstLine="480"/>
        <w:rPr>
          <w:color w:val="auto"/>
          <w:highlight w:val="none"/>
        </w:rPr>
      </w:pPr>
      <w:r>
        <w:rPr>
          <w:color w:val="auto"/>
          <w:highlight w:val="none"/>
        </w:rPr>
        <w:t>项目附近海域的生物体中铜、铅、锌、铬、镉、总汞、石油烃标准指数均小于1，砷标准指数都大于1，超标率100%，最大超标倍数0.7倍。</w:t>
      </w:r>
      <w:r>
        <w:rPr>
          <w:color w:val="auto"/>
          <w:highlight w:val="none"/>
          <w:u w:val="single"/>
        </w:rPr>
        <w:t>海区生物质量除</w:t>
      </w:r>
      <w:r>
        <w:rPr>
          <w:rFonts w:hint="eastAsia"/>
          <w:color w:val="auto"/>
          <w:highlight w:val="none"/>
          <w:u w:val="single"/>
        </w:rPr>
        <w:t>砷</w:t>
      </w:r>
      <w:r>
        <w:rPr>
          <w:color w:val="auto"/>
          <w:highlight w:val="none"/>
          <w:u w:val="single"/>
        </w:rPr>
        <w:t>外，其他评价因子均能满足《环境影响评价技术导则海洋生态环境》（HJ 1409-2025）“附录C其他海洋生物质量参考值”</w:t>
      </w:r>
      <w:r>
        <w:rPr>
          <w:color w:val="auto"/>
          <w:highlight w:val="none"/>
        </w:rPr>
        <w:t>。</w:t>
      </w:r>
      <w:r>
        <w:rPr>
          <w:rFonts w:hint="eastAsia"/>
          <w:color w:val="auto"/>
          <w:highlight w:val="none"/>
        </w:rPr>
        <w:t>由于海洋生物（如牡蛎、蛤蜊、虾类）具有较强的砷富集能力，项目所在海域主要为工业用海，且北面有农业径流汇入，海水及沉积物中均含有砷元素，而海洋生物通过食物链富集砷，可导致其体内砷含量升高</w:t>
      </w:r>
      <w:r>
        <w:rPr>
          <w:color w:val="auto"/>
          <w:highlight w:val="none"/>
        </w:rPr>
        <w:t>。</w:t>
      </w:r>
    </w:p>
    <w:p w14:paraId="1DAC0BA2">
      <w:pPr>
        <w:pStyle w:val="7"/>
        <w:numPr>
          <w:ilvl w:val="2"/>
          <w:numId w:val="9"/>
        </w:numPr>
        <w:rPr>
          <w:color w:val="auto"/>
          <w:sz w:val="28"/>
          <w:highlight w:val="none"/>
        </w:rPr>
      </w:pPr>
      <w:r>
        <w:rPr>
          <w:color w:val="auto"/>
          <w:sz w:val="28"/>
          <w:highlight w:val="none"/>
        </w:rPr>
        <w:t>声环境质量现状评价结论</w:t>
      </w:r>
    </w:p>
    <w:p w14:paraId="6C46F9ED">
      <w:pPr>
        <w:ind w:firstLine="480"/>
        <w:rPr>
          <w:color w:val="auto"/>
          <w:highlight w:val="none"/>
        </w:rPr>
      </w:pPr>
      <w:r>
        <w:rPr>
          <w:color w:val="auto"/>
          <w:highlight w:val="none"/>
        </w:rPr>
        <w:t>本次环评对项目所在地进行了声环境现状监测，项目所在区域昼间、夜间噪声均达到《声环境质量标准》（GB3096-2008）3类标准限值要求。</w:t>
      </w:r>
    </w:p>
    <w:p w14:paraId="79EEDC26">
      <w:pPr>
        <w:ind w:firstLine="480"/>
        <w:rPr>
          <w:color w:val="auto"/>
          <w:highlight w:val="none"/>
        </w:rPr>
      </w:pPr>
      <w:r>
        <w:rPr>
          <w:color w:val="auto"/>
          <w:highlight w:val="none"/>
        </w:rPr>
        <w:t>项目厂界外200m处无居民点。</w:t>
      </w:r>
    </w:p>
    <w:p w14:paraId="5B80A31A">
      <w:pPr>
        <w:pStyle w:val="6"/>
        <w:numPr>
          <w:ilvl w:val="1"/>
          <w:numId w:val="9"/>
        </w:numPr>
        <w:rPr>
          <w:color w:val="auto"/>
          <w:sz w:val="32"/>
          <w:szCs w:val="32"/>
          <w:highlight w:val="none"/>
        </w:rPr>
      </w:pPr>
      <w:bookmarkStart w:id="322" w:name="_Toc4073"/>
      <w:bookmarkStart w:id="323" w:name="_Toc4446"/>
      <w:r>
        <w:rPr>
          <w:color w:val="auto"/>
          <w:sz w:val="32"/>
          <w:szCs w:val="32"/>
          <w:highlight w:val="none"/>
        </w:rPr>
        <w:t>污染物排放情况</w:t>
      </w:r>
      <w:bookmarkEnd w:id="322"/>
      <w:bookmarkEnd w:id="323"/>
    </w:p>
    <w:p w14:paraId="70FDFBAD">
      <w:pPr>
        <w:pStyle w:val="7"/>
        <w:numPr>
          <w:ilvl w:val="2"/>
          <w:numId w:val="9"/>
        </w:numPr>
        <w:rPr>
          <w:color w:val="auto"/>
          <w:sz w:val="28"/>
          <w:highlight w:val="none"/>
        </w:rPr>
      </w:pPr>
      <w:r>
        <w:rPr>
          <w:color w:val="auto"/>
          <w:sz w:val="28"/>
          <w:highlight w:val="none"/>
        </w:rPr>
        <w:t>施工期污染物排放情况</w:t>
      </w:r>
    </w:p>
    <w:p w14:paraId="5AAD16E1">
      <w:pPr>
        <w:pStyle w:val="533"/>
        <w:numPr>
          <w:ilvl w:val="3"/>
          <w:numId w:val="9"/>
        </w:numPr>
        <w:rPr>
          <w:color w:val="auto"/>
          <w:szCs w:val="24"/>
          <w:highlight w:val="none"/>
        </w:rPr>
      </w:pPr>
      <w:r>
        <w:rPr>
          <w:color w:val="auto"/>
          <w:szCs w:val="24"/>
          <w:highlight w:val="none"/>
        </w:rPr>
        <w:t>废气</w:t>
      </w:r>
    </w:p>
    <w:p w14:paraId="3D539978">
      <w:pPr>
        <w:ind w:firstLine="480"/>
        <w:rPr>
          <w:color w:val="auto"/>
          <w:highlight w:val="none"/>
        </w:rPr>
      </w:pPr>
      <w:r>
        <w:rPr>
          <w:color w:val="auto"/>
          <w:highlight w:val="none"/>
        </w:rPr>
        <w:t>（1）施工扬尘</w:t>
      </w:r>
    </w:p>
    <w:p w14:paraId="4B33615E">
      <w:pPr>
        <w:ind w:firstLine="480"/>
        <w:rPr>
          <w:color w:val="auto"/>
          <w:highlight w:val="none"/>
        </w:rPr>
      </w:pPr>
      <w:r>
        <w:rPr>
          <w:color w:val="auto"/>
          <w:highlight w:val="none"/>
        </w:rPr>
        <w:t>施工期浮船坞建造场地位置的场地平整、材料运输堆存等各种施工活动将给施工现场造成TSP污染影响，产生的扬尘量约为291.87t。</w:t>
      </w:r>
    </w:p>
    <w:p w14:paraId="0D2B25A6">
      <w:pPr>
        <w:pStyle w:val="1553"/>
        <w:adjustRightInd w:val="0"/>
        <w:snapToGrid w:val="0"/>
        <w:spacing w:line="360" w:lineRule="auto"/>
        <w:rPr>
          <w:rFonts w:ascii="Times New Roman" w:hAnsi="Times New Roman"/>
          <w:color w:val="auto"/>
          <w:sz w:val="24"/>
          <w:szCs w:val="24"/>
          <w:highlight w:val="none"/>
        </w:rPr>
      </w:pPr>
      <w:r>
        <w:rPr>
          <w:rFonts w:ascii="Times New Roman" w:hAnsi="Times New Roman"/>
          <w:color w:val="auto"/>
          <w:sz w:val="24"/>
          <w:szCs w:val="24"/>
          <w:highlight w:val="none"/>
        </w:rPr>
        <w:t>（2）焊接烟尘</w:t>
      </w:r>
    </w:p>
    <w:p w14:paraId="4B500441">
      <w:pPr>
        <w:pStyle w:val="1553"/>
        <w:adjustRightInd w:val="0"/>
        <w:snapToGrid w:val="0"/>
        <w:spacing w:line="360" w:lineRule="auto"/>
        <w:rPr>
          <w:rFonts w:ascii="Times New Roman" w:hAnsi="Times New Roman"/>
          <w:color w:val="auto"/>
          <w:sz w:val="24"/>
          <w:szCs w:val="24"/>
          <w:highlight w:val="none"/>
        </w:rPr>
      </w:pPr>
      <w:r>
        <w:rPr>
          <w:rFonts w:ascii="Times New Roman" w:hAnsi="Times New Roman"/>
          <w:color w:val="auto"/>
          <w:sz w:val="24"/>
          <w:szCs w:val="24"/>
          <w:highlight w:val="none"/>
        </w:rPr>
        <w:t>浮船坞分段组装过程会产生少量的焊接烟尘，焊接方式以点焊焊接方法为主，</w:t>
      </w:r>
      <w:r>
        <w:rPr>
          <w:rFonts w:hint="eastAsia" w:ascii="Times New Roman" w:hAnsi="Times New Roman"/>
          <w:color w:val="auto"/>
          <w:sz w:val="24"/>
          <w:szCs w:val="24"/>
          <w:highlight w:val="none"/>
          <w:lang w:eastAsia="zh-CN"/>
        </w:rPr>
        <w:t>其他</w:t>
      </w:r>
      <w:r>
        <w:rPr>
          <w:rFonts w:ascii="Times New Roman" w:hAnsi="Times New Roman"/>
          <w:color w:val="auto"/>
          <w:sz w:val="24"/>
          <w:szCs w:val="24"/>
          <w:highlight w:val="none"/>
        </w:rPr>
        <w:t>焊接为辅。焊烟产生量为8kg。项目采用配有焊接烟尘净化装置的机器进行焊接。可去除80%的焊接烟尘，因此浮船坞分段组装过程焊接烟尘无组织排放量为1.6kg。</w:t>
      </w:r>
    </w:p>
    <w:p w14:paraId="57C01F3B">
      <w:pPr>
        <w:pStyle w:val="1553"/>
        <w:adjustRightInd w:val="0"/>
        <w:snapToGrid w:val="0"/>
        <w:spacing w:line="360" w:lineRule="auto"/>
        <w:rPr>
          <w:rFonts w:ascii="Times New Roman" w:hAnsi="Times New Roman"/>
          <w:color w:val="auto"/>
          <w:sz w:val="24"/>
          <w:szCs w:val="24"/>
          <w:highlight w:val="none"/>
        </w:rPr>
      </w:pPr>
      <w:r>
        <w:rPr>
          <w:rFonts w:ascii="Times New Roman" w:hAnsi="Times New Roman"/>
          <w:color w:val="auto"/>
          <w:sz w:val="24"/>
          <w:szCs w:val="24"/>
          <w:highlight w:val="none"/>
        </w:rPr>
        <w:t>（3）运输扬尘</w:t>
      </w:r>
    </w:p>
    <w:p w14:paraId="007B10AD">
      <w:pPr>
        <w:pStyle w:val="1553"/>
        <w:adjustRightInd w:val="0"/>
        <w:snapToGrid w:val="0"/>
        <w:spacing w:line="360" w:lineRule="auto"/>
        <w:rPr>
          <w:rFonts w:ascii="Times New Roman" w:hAnsi="Times New Roman"/>
          <w:color w:val="auto"/>
          <w:sz w:val="24"/>
          <w:szCs w:val="24"/>
          <w:highlight w:val="none"/>
        </w:rPr>
      </w:pPr>
      <w:r>
        <w:rPr>
          <w:rFonts w:ascii="Times New Roman" w:hAnsi="Times New Roman"/>
          <w:color w:val="auto"/>
          <w:sz w:val="24"/>
          <w:szCs w:val="24"/>
          <w:highlight w:val="none"/>
        </w:rPr>
        <w:t>工程材料的装卸过程、运输车辆在施工场地行驶、运输车辆行驶过程中泥土洒落路面、运输车辆的车轮夹带泥土污染场地附近路面以及在有风的条件下由于场地地表裸露而产生扬尘。在距离200m范围外TSP方可达到大气环境质量二级标准。</w:t>
      </w:r>
    </w:p>
    <w:p w14:paraId="0C3B6217">
      <w:pPr>
        <w:pStyle w:val="1553"/>
        <w:adjustRightInd w:val="0"/>
        <w:snapToGrid w:val="0"/>
        <w:spacing w:line="360" w:lineRule="auto"/>
        <w:rPr>
          <w:rFonts w:ascii="Times New Roman" w:hAnsi="Times New Roman"/>
          <w:color w:val="auto"/>
          <w:sz w:val="24"/>
          <w:szCs w:val="24"/>
          <w:highlight w:val="none"/>
        </w:rPr>
      </w:pPr>
      <w:r>
        <w:rPr>
          <w:rFonts w:ascii="Times New Roman" w:hAnsi="Times New Roman"/>
          <w:color w:val="auto"/>
          <w:sz w:val="24"/>
          <w:szCs w:val="24"/>
          <w:highlight w:val="none"/>
        </w:rPr>
        <w:t>（4）施工作业机械（车辆）尾气</w:t>
      </w:r>
    </w:p>
    <w:p w14:paraId="5D2ECA65">
      <w:pPr>
        <w:pStyle w:val="589"/>
        <w:ind w:firstLine="480"/>
        <w:rPr>
          <w:rFonts w:cs="Times New Roman"/>
          <w:color w:val="auto"/>
          <w:highlight w:val="none"/>
        </w:rPr>
      </w:pPr>
      <w:r>
        <w:rPr>
          <w:rFonts w:cs="Times New Roman"/>
          <w:color w:val="auto"/>
          <w:highlight w:val="none"/>
        </w:rPr>
        <w:t>施工期间各种施工机械、运输车辆在燃油时会产生SO</w:t>
      </w:r>
      <w:r>
        <w:rPr>
          <w:rFonts w:cs="Times New Roman"/>
          <w:color w:val="auto"/>
          <w:highlight w:val="none"/>
          <w:vertAlign w:val="subscript"/>
        </w:rPr>
        <w:t>2</w:t>
      </w:r>
      <w:r>
        <w:rPr>
          <w:rFonts w:cs="Times New Roman"/>
          <w:color w:val="auto"/>
          <w:highlight w:val="none"/>
        </w:rPr>
        <w:t>、NO</w:t>
      </w:r>
      <w:r>
        <w:rPr>
          <w:rFonts w:cs="Times New Roman"/>
          <w:color w:val="auto"/>
          <w:highlight w:val="none"/>
          <w:vertAlign w:val="subscript"/>
        </w:rPr>
        <w:t>2</w:t>
      </w:r>
      <w:r>
        <w:rPr>
          <w:rFonts w:cs="Times New Roman"/>
          <w:color w:val="auto"/>
          <w:highlight w:val="none"/>
        </w:rPr>
        <w:t>、CO、烃类等大气污染物，但这些污染源较分散且为流动性，污染物排放量不大，表现为间歇性特征，影响是短期和局部的，施工结束影响也随之消失；这类废气对大气环境的影响比较小，同时施工单位必须使用污染物排放符合国家标准的运输车辆，加强车辆的保养，使车辆处于良好的工作状态，严禁使用报废车辆，以减少施工车辆尾气对周围环境的影响。</w:t>
      </w:r>
    </w:p>
    <w:p w14:paraId="67177951">
      <w:pPr>
        <w:pStyle w:val="533"/>
        <w:numPr>
          <w:ilvl w:val="3"/>
          <w:numId w:val="9"/>
        </w:numPr>
        <w:rPr>
          <w:color w:val="auto"/>
          <w:szCs w:val="24"/>
          <w:highlight w:val="none"/>
        </w:rPr>
      </w:pPr>
      <w:r>
        <w:rPr>
          <w:color w:val="auto"/>
          <w:szCs w:val="24"/>
          <w:highlight w:val="none"/>
        </w:rPr>
        <w:t>废水</w:t>
      </w:r>
    </w:p>
    <w:p w14:paraId="0A95FAE3">
      <w:pPr>
        <w:ind w:firstLine="480"/>
        <w:rPr>
          <w:color w:val="auto"/>
          <w:highlight w:val="none"/>
        </w:rPr>
      </w:pPr>
      <w:r>
        <w:rPr>
          <w:color w:val="auto"/>
          <w:highlight w:val="none"/>
        </w:rPr>
        <w:t>施工期对水环境的影响主要来自新增浮坞锚块投放造成水环境悬浮物增加。本工程安装拉锚过程的悬浮泥沙瞬时源强约为3.80kg/s，安装拉锚过程较短，为瞬时性，锚块投放时需逐个投放，不得同时投放，并尽量缩短施工工期，采取以上措施后对水环境影响不大。</w:t>
      </w:r>
    </w:p>
    <w:p w14:paraId="36C67D81">
      <w:pPr>
        <w:pStyle w:val="533"/>
        <w:numPr>
          <w:ilvl w:val="3"/>
          <w:numId w:val="9"/>
        </w:numPr>
        <w:rPr>
          <w:color w:val="auto"/>
          <w:szCs w:val="24"/>
          <w:highlight w:val="none"/>
        </w:rPr>
      </w:pPr>
      <w:r>
        <w:rPr>
          <w:color w:val="auto"/>
          <w:szCs w:val="24"/>
          <w:highlight w:val="none"/>
        </w:rPr>
        <w:t>噪声</w:t>
      </w:r>
    </w:p>
    <w:p w14:paraId="77C989B0">
      <w:pPr>
        <w:ind w:firstLine="480"/>
        <w:rPr>
          <w:color w:val="auto"/>
          <w:highlight w:val="none"/>
        </w:rPr>
      </w:pPr>
      <w:r>
        <w:rPr>
          <w:color w:val="auto"/>
          <w:highlight w:val="none"/>
        </w:rPr>
        <w:t>施工期的噪声主要来源于施工现场的各类机械设备、材料运输车辆等，源强在89～107dB（A）。通过采用低噪声设备、加强设备的日常维修保养、在高噪声设备附近加设可移动的简单围障或者安装</w:t>
      </w:r>
      <w:r>
        <w:rPr>
          <w:rFonts w:hint="eastAsia"/>
          <w:color w:val="auto"/>
          <w:highlight w:val="none"/>
          <w:lang w:eastAsia="zh-CN"/>
        </w:rPr>
        <w:t>消声器</w:t>
      </w:r>
      <w:r>
        <w:rPr>
          <w:color w:val="auto"/>
          <w:highlight w:val="none"/>
        </w:rPr>
        <w:t>、合理安排施工时间等措施，项目施工噪声对周边环境影响不大。</w:t>
      </w:r>
    </w:p>
    <w:p w14:paraId="09B41E40">
      <w:pPr>
        <w:pStyle w:val="533"/>
        <w:numPr>
          <w:ilvl w:val="3"/>
          <w:numId w:val="9"/>
        </w:numPr>
        <w:rPr>
          <w:color w:val="auto"/>
          <w:szCs w:val="24"/>
          <w:highlight w:val="none"/>
        </w:rPr>
      </w:pPr>
      <w:r>
        <w:rPr>
          <w:color w:val="auto"/>
          <w:szCs w:val="24"/>
          <w:highlight w:val="none"/>
        </w:rPr>
        <w:t>固体废物</w:t>
      </w:r>
    </w:p>
    <w:p w14:paraId="5DF933B9">
      <w:pPr>
        <w:ind w:firstLine="480"/>
        <w:rPr>
          <w:color w:val="auto"/>
          <w:highlight w:val="none"/>
        </w:rPr>
      </w:pPr>
      <w:r>
        <w:rPr>
          <w:color w:val="auto"/>
          <w:highlight w:val="none"/>
        </w:rPr>
        <w:t>项目施工期间可能少量产生的废焊条和焊渣、废铁屑、钢材切割废料等。集中堆放在现有工程一般固废暂存间暂存，能回收的回收利用，不能回收利用的由中标公司（项目最近一次委托处理单位为钦州市鼎鑫再生资源回收利用有限公司）外运处理。</w:t>
      </w:r>
    </w:p>
    <w:p w14:paraId="3C421C12">
      <w:pPr>
        <w:ind w:firstLine="480"/>
        <w:rPr>
          <w:color w:val="auto"/>
          <w:highlight w:val="none"/>
        </w:rPr>
      </w:pPr>
      <w:r>
        <w:rPr>
          <w:color w:val="auto"/>
          <w:highlight w:val="none"/>
        </w:rPr>
        <w:t>施工人员每天产生的生活垃圾量为15kg/d，生活垃圾交由环卫部门统一收集处理。</w:t>
      </w:r>
    </w:p>
    <w:p w14:paraId="4F3BAC8A">
      <w:pPr>
        <w:pStyle w:val="7"/>
        <w:numPr>
          <w:ilvl w:val="2"/>
          <w:numId w:val="9"/>
        </w:numPr>
        <w:rPr>
          <w:color w:val="auto"/>
          <w:sz w:val="28"/>
          <w:highlight w:val="none"/>
        </w:rPr>
      </w:pPr>
      <w:r>
        <w:rPr>
          <w:color w:val="auto"/>
          <w:sz w:val="28"/>
          <w:highlight w:val="none"/>
        </w:rPr>
        <w:t>运营期污染物排放情况</w:t>
      </w:r>
    </w:p>
    <w:p w14:paraId="3F570758">
      <w:pPr>
        <w:pStyle w:val="533"/>
        <w:numPr>
          <w:ilvl w:val="3"/>
          <w:numId w:val="9"/>
        </w:numPr>
        <w:rPr>
          <w:color w:val="auto"/>
          <w:szCs w:val="24"/>
          <w:highlight w:val="none"/>
        </w:rPr>
      </w:pPr>
      <w:r>
        <w:rPr>
          <w:color w:val="auto"/>
          <w:szCs w:val="24"/>
          <w:highlight w:val="none"/>
        </w:rPr>
        <w:t>废气</w:t>
      </w:r>
    </w:p>
    <w:p w14:paraId="08C19350">
      <w:pPr>
        <w:ind w:firstLine="480"/>
        <w:rPr>
          <w:bCs/>
          <w:color w:val="auto"/>
          <w:szCs w:val="20"/>
          <w:highlight w:val="none"/>
        </w:rPr>
      </w:pPr>
      <w:r>
        <w:rPr>
          <w:bCs/>
          <w:color w:val="auto"/>
          <w:szCs w:val="20"/>
          <w:highlight w:val="none"/>
        </w:rPr>
        <w:t>（1）喷漆有机废气</w:t>
      </w:r>
    </w:p>
    <w:p w14:paraId="053D1D76">
      <w:pPr>
        <w:ind w:firstLine="480"/>
        <w:rPr>
          <w:bCs/>
          <w:color w:val="auto"/>
          <w:szCs w:val="20"/>
          <w:highlight w:val="none"/>
        </w:rPr>
      </w:pPr>
      <w:r>
        <w:rPr>
          <w:bCs/>
          <w:color w:val="auto"/>
          <w:szCs w:val="20"/>
          <w:highlight w:val="none"/>
        </w:rPr>
        <w:t>修船过程中需要对船舶的钢板以及维修部位进行防腐防锈油漆作业，漆雾及有机废气正是油漆涂装时产生的，主要来自船坞中船体维修喷涂工序。</w:t>
      </w:r>
      <w:r>
        <w:rPr>
          <w:rFonts w:hint="eastAsia"/>
          <w:bCs/>
          <w:color w:val="auto"/>
          <w:szCs w:val="20"/>
          <w:highlight w:val="none"/>
        </w:rPr>
        <w:t>项目</w:t>
      </w:r>
      <w:r>
        <w:rPr>
          <w:bCs/>
          <w:color w:val="auto"/>
          <w:szCs w:val="20"/>
          <w:highlight w:val="none"/>
        </w:rPr>
        <w:t>浮船坞喷涂工序漆雾排放量为5.15t/a，挥发性有机物排放量为73.57t/a（其中</w:t>
      </w:r>
      <w:r>
        <w:rPr>
          <w:rFonts w:hint="eastAsia"/>
          <w:bCs/>
          <w:color w:val="auto"/>
          <w:szCs w:val="20"/>
          <w:highlight w:val="none"/>
        </w:rPr>
        <w:t>T</w:t>
      </w:r>
      <w:r>
        <w:rPr>
          <w:bCs/>
          <w:color w:val="auto"/>
          <w:szCs w:val="20"/>
          <w:highlight w:val="none"/>
        </w:rPr>
        <w:t>VOC排放量为58.86t/a、二甲苯排放量为14.71t/a）。漆雾、</w:t>
      </w:r>
      <w:r>
        <w:rPr>
          <w:rFonts w:hint="eastAsia"/>
          <w:bCs/>
          <w:color w:val="auto"/>
          <w:szCs w:val="20"/>
          <w:highlight w:val="none"/>
        </w:rPr>
        <w:t>T</w:t>
      </w:r>
      <w:r>
        <w:rPr>
          <w:bCs/>
          <w:color w:val="auto"/>
          <w:szCs w:val="20"/>
          <w:highlight w:val="none"/>
        </w:rPr>
        <w:t>VOC和二甲苯主要产生于浮船坞，通过</w:t>
      </w:r>
      <w:r>
        <w:rPr>
          <w:rFonts w:hint="eastAsia"/>
          <w:bCs/>
          <w:color w:val="auto"/>
          <w:szCs w:val="20"/>
          <w:highlight w:val="none"/>
        </w:rPr>
        <w:t>鼓风机</w:t>
      </w:r>
      <w:r>
        <w:rPr>
          <w:bCs/>
          <w:color w:val="auto"/>
          <w:szCs w:val="20"/>
          <w:highlight w:val="none"/>
        </w:rPr>
        <w:t>通风呈无组织形式排放露天排放。</w:t>
      </w:r>
    </w:p>
    <w:p w14:paraId="149FF097">
      <w:pPr>
        <w:ind w:firstLine="480"/>
        <w:rPr>
          <w:bCs/>
          <w:color w:val="auto"/>
          <w:szCs w:val="20"/>
          <w:highlight w:val="none"/>
        </w:rPr>
      </w:pPr>
      <w:r>
        <w:rPr>
          <w:bCs/>
          <w:color w:val="auto"/>
          <w:szCs w:val="20"/>
          <w:highlight w:val="none"/>
        </w:rPr>
        <w:t>（2）除锈过程产生粉尘</w:t>
      </w:r>
    </w:p>
    <w:p w14:paraId="56DD9796">
      <w:pPr>
        <w:ind w:firstLine="480"/>
        <w:rPr>
          <w:bCs/>
          <w:color w:val="auto"/>
          <w:szCs w:val="20"/>
          <w:highlight w:val="none"/>
        </w:rPr>
      </w:pPr>
      <w:r>
        <w:rPr>
          <w:bCs/>
          <w:color w:val="auto"/>
          <w:szCs w:val="20"/>
          <w:highlight w:val="none"/>
        </w:rPr>
        <w:t>船舶除锈过程会产生粉尘，主要来自对船体维修部位进行的传统喷砂除锈作业，主要污染因子为颗粒物。项目年产生除锈粉尘量为3.72t/a。通过船坞鼓风机通风无组织排放。</w:t>
      </w:r>
    </w:p>
    <w:p w14:paraId="0E0D4151">
      <w:pPr>
        <w:ind w:firstLine="480"/>
        <w:rPr>
          <w:bCs/>
          <w:color w:val="auto"/>
          <w:szCs w:val="20"/>
          <w:highlight w:val="none"/>
        </w:rPr>
      </w:pPr>
      <w:r>
        <w:rPr>
          <w:bCs/>
          <w:color w:val="auto"/>
          <w:szCs w:val="20"/>
          <w:highlight w:val="none"/>
        </w:rPr>
        <w:t>（3）焊接烟尘</w:t>
      </w:r>
    </w:p>
    <w:p w14:paraId="2D8F8284">
      <w:pPr>
        <w:ind w:firstLine="480"/>
        <w:rPr>
          <w:bCs/>
          <w:color w:val="auto"/>
          <w:szCs w:val="20"/>
          <w:highlight w:val="none"/>
        </w:rPr>
      </w:pPr>
      <w:r>
        <w:rPr>
          <w:bCs/>
          <w:color w:val="auto"/>
          <w:szCs w:val="20"/>
          <w:highlight w:val="none"/>
        </w:rPr>
        <w:t>坞修焊接过程中会产生焊接烟气，浮船坞内焊接在室外完成，属无组织排放，主要污染因子为烟尘、CO。本项目焊接烟尘的产生量为0.</w:t>
      </w:r>
      <w:r>
        <w:rPr>
          <w:rFonts w:hint="eastAsia"/>
          <w:bCs/>
          <w:color w:val="auto"/>
          <w:szCs w:val="20"/>
          <w:highlight w:val="none"/>
        </w:rPr>
        <w:t>36</w:t>
      </w:r>
      <w:r>
        <w:rPr>
          <w:bCs/>
          <w:color w:val="auto"/>
          <w:szCs w:val="20"/>
          <w:highlight w:val="none"/>
        </w:rPr>
        <w:t>t/a</w:t>
      </w:r>
      <w:r>
        <w:rPr>
          <w:rFonts w:hint="eastAsia"/>
          <w:bCs/>
          <w:color w:val="auto"/>
          <w:szCs w:val="20"/>
          <w:highlight w:val="none"/>
        </w:rPr>
        <w:t>，</w:t>
      </w:r>
      <w:r>
        <w:rPr>
          <w:bCs/>
          <w:color w:val="auto"/>
          <w:szCs w:val="20"/>
          <w:highlight w:val="none"/>
        </w:rPr>
        <w:t>焊接过程采用配有焊接烟尘净化装置的机器进行焊接</w:t>
      </w:r>
      <w:r>
        <w:rPr>
          <w:rFonts w:hint="eastAsia"/>
          <w:bCs/>
          <w:color w:val="auto"/>
          <w:szCs w:val="20"/>
          <w:highlight w:val="none"/>
        </w:rPr>
        <w:t>，焊接烟尘排放量为0.072t/a</w:t>
      </w:r>
      <w:r>
        <w:rPr>
          <w:bCs/>
          <w:color w:val="auto"/>
          <w:szCs w:val="20"/>
          <w:highlight w:val="none"/>
        </w:rPr>
        <w:t>。通过船坞鼓风机通风无组织排放。</w:t>
      </w:r>
    </w:p>
    <w:p w14:paraId="758EBD5E">
      <w:pPr>
        <w:ind w:firstLine="480"/>
        <w:rPr>
          <w:bCs/>
          <w:color w:val="auto"/>
          <w:szCs w:val="20"/>
          <w:highlight w:val="none"/>
        </w:rPr>
      </w:pPr>
      <w:r>
        <w:rPr>
          <w:bCs/>
          <w:color w:val="auto"/>
          <w:szCs w:val="20"/>
          <w:highlight w:val="none"/>
        </w:rPr>
        <w:t>（4）切割烟尘</w:t>
      </w:r>
    </w:p>
    <w:p w14:paraId="0003C0EE">
      <w:pPr>
        <w:ind w:firstLine="480"/>
        <w:rPr>
          <w:color w:val="auto"/>
          <w:szCs w:val="20"/>
          <w:highlight w:val="none"/>
        </w:rPr>
      </w:pPr>
      <w:r>
        <w:rPr>
          <w:bCs/>
          <w:color w:val="auto"/>
          <w:szCs w:val="20"/>
          <w:highlight w:val="none"/>
        </w:rPr>
        <w:t>修船割除旧部件过程会产生少量切割</w:t>
      </w:r>
      <w:r>
        <w:rPr>
          <w:color w:val="auto"/>
          <w:szCs w:val="20"/>
          <w:highlight w:val="none"/>
        </w:rPr>
        <w:t>粉尘，在作业船坞呈无组织排放，排放较小，排放量约为0.5t/a，通过船坞鼓风机通风无组织排放。</w:t>
      </w:r>
    </w:p>
    <w:p w14:paraId="2B0D0EA7">
      <w:pPr>
        <w:pStyle w:val="533"/>
        <w:numPr>
          <w:ilvl w:val="3"/>
          <w:numId w:val="9"/>
        </w:numPr>
        <w:rPr>
          <w:color w:val="auto"/>
          <w:szCs w:val="24"/>
          <w:highlight w:val="none"/>
        </w:rPr>
      </w:pPr>
      <w:r>
        <w:rPr>
          <w:color w:val="auto"/>
          <w:szCs w:val="24"/>
          <w:highlight w:val="none"/>
        </w:rPr>
        <w:t>废水</w:t>
      </w:r>
    </w:p>
    <w:p w14:paraId="2EF7EC3F">
      <w:pPr>
        <w:ind w:firstLine="480"/>
        <w:rPr>
          <w:color w:val="auto"/>
          <w:szCs w:val="20"/>
          <w:highlight w:val="none"/>
        </w:rPr>
      </w:pPr>
      <w:r>
        <w:rPr>
          <w:color w:val="auto"/>
          <w:szCs w:val="20"/>
          <w:highlight w:val="none"/>
        </w:rPr>
        <w:t>本项目废水主要是含油污水、生活污水及初期雨水。</w:t>
      </w:r>
    </w:p>
    <w:p w14:paraId="782EEA70">
      <w:pPr>
        <w:ind w:firstLine="480"/>
        <w:rPr>
          <w:color w:val="auto"/>
          <w:szCs w:val="20"/>
          <w:highlight w:val="none"/>
        </w:rPr>
      </w:pPr>
      <w:r>
        <w:rPr>
          <w:color w:val="auto"/>
          <w:szCs w:val="20"/>
          <w:highlight w:val="none"/>
        </w:rPr>
        <w:t>（1）生活污水</w:t>
      </w:r>
    </w:p>
    <w:p w14:paraId="3AE4C010">
      <w:pPr>
        <w:ind w:firstLine="480"/>
        <w:rPr>
          <w:color w:val="auto"/>
          <w:szCs w:val="20"/>
          <w:highlight w:val="none"/>
        </w:rPr>
      </w:pPr>
      <w:r>
        <w:rPr>
          <w:color w:val="auto"/>
          <w:szCs w:val="20"/>
          <w:highlight w:val="none"/>
        </w:rPr>
        <w:t>本项目作业人员依托中船钦州修船资源整合项目，不新增作业人员，生活污水产生量约为19.125m</w:t>
      </w:r>
      <w:r>
        <w:rPr>
          <w:color w:val="auto"/>
          <w:szCs w:val="20"/>
          <w:highlight w:val="none"/>
          <w:vertAlign w:val="superscript"/>
        </w:rPr>
        <w:t>3</w:t>
      </w:r>
      <w:r>
        <w:rPr>
          <w:color w:val="auto"/>
          <w:szCs w:val="20"/>
          <w:highlight w:val="none"/>
        </w:rPr>
        <w:t>/d（4781.25m</w:t>
      </w:r>
      <w:r>
        <w:rPr>
          <w:color w:val="auto"/>
          <w:szCs w:val="20"/>
          <w:highlight w:val="none"/>
          <w:vertAlign w:val="superscript"/>
        </w:rPr>
        <w:t>3</w:t>
      </w:r>
      <w:r>
        <w:rPr>
          <w:color w:val="auto"/>
          <w:szCs w:val="20"/>
          <w:highlight w:val="none"/>
        </w:rPr>
        <w:t>/a）。生活污水经生活污水处理一体化设备（处理规模300m</w:t>
      </w:r>
      <w:r>
        <w:rPr>
          <w:color w:val="auto"/>
          <w:szCs w:val="20"/>
          <w:highlight w:val="none"/>
          <w:vertAlign w:val="superscript"/>
        </w:rPr>
        <w:t>3</w:t>
      </w:r>
      <w:r>
        <w:rPr>
          <w:color w:val="auto"/>
          <w:szCs w:val="20"/>
          <w:highlight w:val="none"/>
        </w:rPr>
        <w:t>/d）处理</w:t>
      </w:r>
      <w:r>
        <w:rPr>
          <w:rFonts w:hint="eastAsia"/>
          <w:color w:val="auto"/>
          <w:szCs w:val="20"/>
          <w:highlight w:val="none"/>
        </w:rPr>
        <w:t>后，进入中水回用池储存，</w:t>
      </w:r>
      <w:r>
        <w:rPr>
          <w:color w:val="auto"/>
          <w:szCs w:val="20"/>
          <w:highlight w:val="none"/>
        </w:rPr>
        <w:t>大部分回用于厂区绿化及降尘，少部分不能回用的由槽罐车运至大榄坪污水处理厂处理。</w:t>
      </w:r>
    </w:p>
    <w:p w14:paraId="74A9014C">
      <w:pPr>
        <w:ind w:firstLine="480"/>
        <w:rPr>
          <w:color w:val="auto"/>
          <w:szCs w:val="20"/>
          <w:highlight w:val="none"/>
        </w:rPr>
      </w:pPr>
      <w:r>
        <w:rPr>
          <w:color w:val="auto"/>
          <w:szCs w:val="20"/>
          <w:highlight w:val="none"/>
        </w:rPr>
        <w:t>（2）含油污水</w:t>
      </w:r>
    </w:p>
    <w:p w14:paraId="12A3B87F">
      <w:pPr>
        <w:ind w:firstLine="480"/>
        <w:rPr>
          <w:color w:val="auto"/>
          <w:szCs w:val="20"/>
          <w:highlight w:val="none"/>
        </w:rPr>
      </w:pPr>
      <w:r>
        <w:rPr>
          <w:color w:val="auto"/>
          <w:szCs w:val="20"/>
          <w:highlight w:val="none"/>
        </w:rPr>
        <w:t>项目坞修产生的含油废水为8178.75m</w:t>
      </w:r>
      <w:r>
        <w:rPr>
          <w:color w:val="auto"/>
          <w:szCs w:val="20"/>
          <w:highlight w:val="none"/>
          <w:vertAlign w:val="superscript"/>
        </w:rPr>
        <w:t>3</w:t>
      </w:r>
      <w:r>
        <w:rPr>
          <w:color w:val="auto"/>
          <w:szCs w:val="20"/>
          <w:highlight w:val="none"/>
        </w:rPr>
        <w:t>/a，含油污水进入厂区污水处理站的含油废水处理系统处理达到《污水综合排放标准》（GB8978-1996）三级标准后，经厂区污水管道排入</w:t>
      </w:r>
      <w:r>
        <w:rPr>
          <w:rFonts w:hint="eastAsia"/>
          <w:color w:val="auto"/>
          <w:szCs w:val="20"/>
          <w:highlight w:val="none"/>
        </w:rPr>
        <w:t>生活污水处理设备配套的中水回用池储存，</w:t>
      </w:r>
      <w:r>
        <w:rPr>
          <w:color w:val="auto"/>
          <w:szCs w:val="20"/>
          <w:highlight w:val="none"/>
        </w:rPr>
        <w:t>大部分回用于厂区绿化及降尘，少部分不能回用的由槽罐车运至大榄坪污水处理厂处理</w:t>
      </w:r>
      <w:r>
        <w:rPr>
          <w:rFonts w:hint="eastAsia"/>
          <w:color w:val="auto"/>
          <w:highlight w:val="none"/>
        </w:rPr>
        <w:t>，</w:t>
      </w:r>
      <w:r>
        <w:rPr>
          <w:color w:val="auto"/>
          <w:szCs w:val="20"/>
          <w:highlight w:val="none"/>
        </w:rPr>
        <w:t>不在本区域排放。</w:t>
      </w:r>
    </w:p>
    <w:p w14:paraId="2DE9AB97">
      <w:pPr>
        <w:ind w:firstLine="480"/>
        <w:rPr>
          <w:color w:val="auto"/>
          <w:szCs w:val="20"/>
          <w:highlight w:val="none"/>
        </w:rPr>
      </w:pPr>
      <w:r>
        <w:rPr>
          <w:color w:val="auto"/>
          <w:szCs w:val="20"/>
          <w:highlight w:val="none"/>
        </w:rPr>
        <w:t>（3）初期雨水</w:t>
      </w:r>
    </w:p>
    <w:p w14:paraId="78689652">
      <w:pPr>
        <w:ind w:firstLine="480"/>
        <w:rPr>
          <w:color w:val="auto"/>
          <w:szCs w:val="20"/>
          <w:highlight w:val="none"/>
        </w:rPr>
      </w:pPr>
      <w:r>
        <w:rPr>
          <w:rFonts w:eastAsiaTheme="minorEastAsia"/>
          <w:color w:val="auto"/>
          <w:highlight w:val="none"/>
        </w:rPr>
        <w:t>项目浮船坞初期雨水产生量为</w:t>
      </w:r>
      <w:r>
        <w:rPr>
          <w:rFonts w:hint="eastAsia" w:eastAsiaTheme="minorEastAsia"/>
          <w:color w:val="auto"/>
          <w:highlight w:val="none"/>
        </w:rPr>
        <w:t>100.15</w:t>
      </w:r>
      <w:r>
        <w:rPr>
          <w:rFonts w:eastAsiaTheme="minorEastAsia"/>
          <w:color w:val="auto"/>
          <w:highlight w:val="none"/>
        </w:rPr>
        <w:t>m</w:t>
      </w:r>
      <w:r>
        <w:rPr>
          <w:rFonts w:eastAsiaTheme="minorEastAsia"/>
          <w:color w:val="auto"/>
          <w:highlight w:val="none"/>
          <w:vertAlign w:val="superscript"/>
        </w:rPr>
        <w:t>3</w:t>
      </w:r>
      <w:r>
        <w:rPr>
          <w:rFonts w:eastAsiaTheme="minorEastAsia"/>
          <w:color w:val="auto"/>
          <w:highlight w:val="none"/>
        </w:rPr>
        <w:t>/次，</w:t>
      </w:r>
      <w:r>
        <w:rPr>
          <w:rFonts w:hint="eastAsia" w:eastAsiaTheme="minorEastAsia"/>
          <w:color w:val="auto"/>
          <w:highlight w:val="none"/>
        </w:rPr>
        <w:t>浮船坞上配套建设</w:t>
      </w:r>
      <w:r>
        <w:rPr>
          <w:rFonts w:eastAsiaTheme="minorEastAsia"/>
          <w:color w:val="auto"/>
          <w:highlight w:val="none"/>
        </w:rPr>
        <w:t>1个初期雨水收集池，收集浮船坞初期雨水，容积为</w:t>
      </w:r>
      <w:r>
        <w:rPr>
          <w:rFonts w:hint="eastAsia" w:eastAsiaTheme="minorEastAsia"/>
          <w:color w:val="auto"/>
          <w:highlight w:val="none"/>
        </w:rPr>
        <w:t>113.85</w:t>
      </w:r>
      <w:r>
        <w:rPr>
          <w:rFonts w:eastAsiaTheme="minorEastAsia"/>
          <w:color w:val="auto"/>
          <w:highlight w:val="none"/>
        </w:rPr>
        <w:t>m</w:t>
      </w:r>
      <w:r>
        <w:rPr>
          <w:rFonts w:eastAsiaTheme="minorEastAsia"/>
          <w:color w:val="auto"/>
          <w:highlight w:val="none"/>
          <w:vertAlign w:val="superscript"/>
        </w:rPr>
        <w:t>3</w:t>
      </w:r>
      <w:r>
        <w:rPr>
          <w:rFonts w:eastAsiaTheme="minorEastAsia"/>
          <w:color w:val="auto"/>
          <w:highlight w:val="none"/>
        </w:rPr>
        <w:t>。</w:t>
      </w:r>
      <w:r>
        <w:rPr>
          <w:rFonts w:hint="eastAsia"/>
          <w:color w:val="auto"/>
          <w:szCs w:val="20"/>
          <w:highlight w:val="none"/>
        </w:rPr>
        <w:t>初期雨水经</w:t>
      </w:r>
      <w:r>
        <w:rPr>
          <w:rFonts w:eastAsiaTheme="minorEastAsia"/>
          <w:color w:val="auto"/>
          <w:highlight w:val="none"/>
        </w:rPr>
        <w:t>收集后</w:t>
      </w:r>
      <w:r>
        <w:rPr>
          <w:rFonts w:hint="eastAsia" w:eastAsiaTheme="minorEastAsia"/>
          <w:color w:val="auto"/>
          <w:highlight w:val="none"/>
        </w:rPr>
        <w:t>采用罐车转运</w:t>
      </w:r>
      <w:r>
        <w:rPr>
          <w:rFonts w:eastAsiaTheme="minorEastAsia"/>
          <w:color w:val="auto"/>
          <w:highlight w:val="none"/>
        </w:rPr>
        <w:t>进入</w:t>
      </w:r>
      <w:r>
        <w:rPr>
          <w:rFonts w:hint="eastAsia" w:eastAsiaTheme="minorEastAsia"/>
          <w:color w:val="auto"/>
          <w:highlight w:val="none"/>
        </w:rPr>
        <w:t>钦州基地陆域现有</w:t>
      </w:r>
      <w:r>
        <w:rPr>
          <w:color w:val="auto"/>
          <w:szCs w:val="20"/>
          <w:highlight w:val="none"/>
        </w:rPr>
        <w:t>生活污水处理一体化设备（处理规模300m</w:t>
      </w:r>
      <w:r>
        <w:rPr>
          <w:color w:val="auto"/>
          <w:szCs w:val="20"/>
          <w:highlight w:val="none"/>
          <w:vertAlign w:val="superscript"/>
        </w:rPr>
        <w:t>3</w:t>
      </w:r>
      <w:r>
        <w:rPr>
          <w:color w:val="auto"/>
          <w:szCs w:val="20"/>
          <w:highlight w:val="none"/>
        </w:rPr>
        <w:t>/d）处理</w:t>
      </w:r>
      <w:r>
        <w:rPr>
          <w:rFonts w:hint="eastAsia"/>
          <w:color w:val="auto"/>
          <w:szCs w:val="20"/>
          <w:highlight w:val="none"/>
        </w:rPr>
        <w:t>后，进入中水回用池储存，</w:t>
      </w:r>
      <w:r>
        <w:rPr>
          <w:color w:val="auto"/>
          <w:szCs w:val="20"/>
          <w:highlight w:val="none"/>
        </w:rPr>
        <w:t>大部分回用于厂区绿化及降尘，少部分不能回用的由槽罐车运至大榄坪污水处理厂处理</w:t>
      </w:r>
      <w:r>
        <w:rPr>
          <w:color w:val="auto"/>
          <w:highlight w:val="none"/>
        </w:rPr>
        <w:t>，不在本区域排放</w:t>
      </w:r>
      <w:r>
        <w:rPr>
          <w:color w:val="auto"/>
          <w:szCs w:val="20"/>
          <w:highlight w:val="none"/>
        </w:rPr>
        <w:t>。</w:t>
      </w:r>
    </w:p>
    <w:p w14:paraId="5F5BB927">
      <w:pPr>
        <w:pStyle w:val="533"/>
        <w:numPr>
          <w:ilvl w:val="3"/>
          <w:numId w:val="9"/>
        </w:numPr>
        <w:rPr>
          <w:color w:val="auto"/>
          <w:szCs w:val="24"/>
          <w:highlight w:val="none"/>
        </w:rPr>
      </w:pPr>
      <w:r>
        <w:rPr>
          <w:color w:val="auto"/>
          <w:szCs w:val="24"/>
          <w:highlight w:val="none"/>
        </w:rPr>
        <w:t>噪声</w:t>
      </w:r>
    </w:p>
    <w:p w14:paraId="5CDB06A0">
      <w:pPr>
        <w:ind w:firstLine="480"/>
        <w:rPr>
          <w:color w:val="auto"/>
          <w:szCs w:val="20"/>
          <w:highlight w:val="none"/>
        </w:rPr>
      </w:pPr>
      <w:r>
        <w:rPr>
          <w:color w:val="auto"/>
          <w:szCs w:val="20"/>
          <w:highlight w:val="none"/>
        </w:rPr>
        <w:t>本项目产生的噪声主要有除锈打磨噪声，钢板撞击、敲打噪声，场地搬运机械，码头起重机机械噪声，及空压机、水泵、风机等动力设备运行噪声等。项目通过选用低噪声设备、对生产动力设备设于室内或设置隔声房、对动力设备采取减振吸声措施、对重噪声设备采取有效的隔声降噪措施对噪声进行控制。</w:t>
      </w:r>
    </w:p>
    <w:p w14:paraId="599A12D2">
      <w:pPr>
        <w:pStyle w:val="533"/>
        <w:numPr>
          <w:ilvl w:val="3"/>
          <w:numId w:val="9"/>
        </w:numPr>
        <w:rPr>
          <w:color w:val="auto"/>
          <w:szCs w:val="24"/>
          <w:highlight w:val="none"/>
        </w:rPr>
      </w:pPr>
      <w:r>
        <w:rPr>
          <w:color w:val="auto"/>
          <w:szCs w:val="24"/>
          <w:highlight w:val="none"/>
        </w:rPr>
        <w:t>固体废物</w:t>
      </w:r>
    </w:p>
    <w:p w14:paraId="06D0F54F">
      <w:pPr>
        <w:ind w:firstLine="480"/>
        <w:rPr>
          <w:bCs/>
          <w:color w:val="auto"/>
          <w:szCs w:val="20"/>
          <w:highlight w:val="none"/>
        </w:rPr>
      </w:pPr>
      <w:r>
        <w:rPr>
          <w:bCs/>
          <w:color w:val="auto"/>
          <w:szCs w:val="20"/>
          <w:highlight w:val="none"/>
        </w:rPr>
        <w:t>项目产生固体废物的主要为一般固体废物、危险废物和生活垃圾。</w:t>
      </w:r>
    </w:p>
    <w:p w14:paraId="195F8436">
      <w:pPr>
        <w:ind w:firstLine="480"/>
        <w:rPr>
          <w:bCs/>
          <w:color w:val="auto"/>
          <w:szCs w:val="20"/>
          <w:highlight w:val="none"/>
        </w:rPr>
      </w:pPr>
      <w:r>
        <w:rPr>
          <w:color w:val="auto"/>
          <w:highlight w:val="none"/>
        </w:rPr>
        <w:t>一般工业固体废物包括废焊料、焊渣、</w:t>
      </w:r>
      <w:r>
        <w:rPr>
          <w:rFonts w:hint="eastAsia"/>
          <w:color w:val="auto"/>
          <w:highlight w:val="none"/>
        </w:rPr>
        <w:t>切割废料、</w:t>
      </w:r>
      <w:r>
        <w:rPr>
          <w:color w:val="auto"/>
          <w:highlight w:val="none"/>
        </w:rPr>
        <w:t>废铜矿砂、铁锈、船舶附着海生生物</w:t>
      </w:r>
      <w:r>
        <w:rPr>
          <w:rFonts w:hint="eastAsia"/>
          <w:color w:val="auto"/>
          <w:highlight w:val="none"/>
        </w:rPr>
        <w:t>、</w:t>
      </w:r>
      <w:r>
        <w:rPr>
          <w:rFonts w:hint="eastAsia"/>
          <w:bCs/>
          <w:color w:val="auto"/>
          <w:highlight w:val="none"/>
          <w:u w:val="single"/>
        </w:rPr>
        <w:t>初期雨水沉渣</w:t>
      </w:r>
      <w:r>
        <w:rPr>
          <w:bCs/>
          <w:color w:val="auto"/>
          <w:highlight w:val="none"/>
        </w:rPr>
        <w:t>等，</w:t>
      </w:r>
      <w:r>
        <w:rPr>
          <w:color w:val="auto"/>
          <w:highlight w:val="none"/>
        </w:rPr>
        <w:t>废焊料、焊渣、</w:t>
      </w:r>
      <w:r>
        <w:rPr>
          <w:rFonts w:hint="eastAsia"/>
          <w:bCs/>
          <w:color w:val="auto"/>
          <w:highlight w:val="none"/>
          <w:u w:val="single"/>
        </w:rPr>
        <w:t>切割废料、</w:t>
      </w:r>
      <w:r>
        <w:rPr>
          <w:color w:val="auto"/>
          <w:highlight w:val="none"/>
        </w:rPr>
        <w:t>废铜矿砂、铁锈等</w:t>
      </w:r>
      <w:r>
        <w:rPr>
          <w:rFonts w:hint="eastAsia"/>
          <w:color w:val="auto"/>
          <w:highlight w:val="none"/>
        </w:rPr>
        <w:t>收集</w:t>
      </w:r>
      <w:r>
        <w:rPr>
          <w:color w:val="auto"/>
          <w:highlight w:val="none"/>
        </w:rPr>
        <w:t>后暂存于一般固废暂存间，能回收的回收利用，不能回收利用的由中标公司（项目最近一次委托处理单位为钦州市鼎鑫再生资源回收利用有限公司）外运处理</w:t>
      </w:r>
      <w:r>
        <w:rPr>
          <w:bCs/>
          <w:color w:val="auto"/>
          <w:szCs w:val="20"/>
          <w:highlight w:val="none"/>
        </w:rPr>
        <w:t>；危险废物包括</w:t>
      </w:r>
      <w:r>
        <w:rPr>
          <w:color w:val="auto"/>
          <w:highlight w:val="none"/>
          <w:u w:val="single"/>
        </w:rPr>
        <w:t>船舶废油、</w:t>
      </w:r>
      <w:r>
        <w:rPr>
          <w:rFonts w:hint="eastAsia"/>
          <w:color w:val="auto"/>
          <w:highlight w:val="none"/>
          <w:u w:val="single"/>
        </w:rPr>
        <w:t>漆渣、</w:t>
      </w:r>
      <w:r>
        <w:rPr>
          <w:color w:val="auto"/>
          <w:highlight w:val="none"/>
          <w:u w:val="single"/>
        </w:rPr>
        <w:t>废油漆桶</w:t>
      </w:r>
      <w:r>
        <w:rPr>
          <w:rFonts w:hint="eastAsia"/>
          <w:color w:val="auto"/>
          <w:highlight w:val="none"/>
          <w:u w:val="single"/>
        </w:rPr>
        <w:t>及稀释剂包装物</w:t>
      </w:r>
      <w:r>
        <w:rPr>
          <w:color w:val="auto"/>
          <w:highlight w:val="none"/>
          <w:u w:val="single"/>
        </w:rPr>
        <w:t>、废油污泥</w:t>
      </w:r>
      <w:r>
        <w:rPr>
          <w:rFonts w:hint="eastAsia"/>
          <w:color w:val="auto"/>
          <w:highlight w:val="none"/>
          <w:u w:val="single"/>
        </w:rPr>
        <w:t>、废乳化液</w:t>
      </w:r>
      <w:r>
        <w:rPr>
          <w:bCs/>
          <w:color w:val="auto"/>
          <w:szCs w:val="20"/>
          <w:highlight w:val="none"/>
        </w:rPr>
        <w:t>等，在危废间分类暂存，定期由中标单位（</w:t>
      </w:r>
      <w:r>
        <w:rPr>
          <w:rFonts w:hint="eastAsia"/>
          <w:bCs/>
          <w:color w:val="auto"/>
          <w:szCs w:val="20"/>
          <w:highlight w:val="none"/>
        </w:rPr>
        <w:t>最近一次委托处理单位为广西深投环保科技有限公司，目前正在签订新的委托合同</w:t>
      </w:r>
      <w:r>
        <w:rPr>
          <w:bCs/>
          <w:color w:val="auto"/>
          <w:szCs w:val="20"/>
          <w:highlight w:val="none"/>
        </w:rPr>
        <w:t>）外运处理；职工生活垃圾收集后由市政环卫部门统一收集处理。</w:t>
      </w:r>
    </w:p>
    <w:p w14:paraId="005FBB0D">
      <w:pPr>
        <w:pStyle w:val="6"/>
        <w:numPr>
          <w:ilvl w:val="1"/>
          <w:numId w:val="9"/>
        </w:numPr>
        <w:rPr>
          <w:color w:val="auto"/>
          <w:sz w:val="32"/>
          <w:szCs w:val="32"/>
          <w:highlight w:val="none"/>
        </w:rPr>
      </w:pPr>
      <w:bookmarkStart w:id="324" w:name="_Toc25225004"/>
      <w:bookmarkStart w:id="325" w:name="_Toc32324"/>
      <w:bookmarkStart w:id="326" w:name="_Toc20292"/>
      <w:r>
        <w:rPr>
          <w:color w:val="auto"/>
          <w:sz w:val="32"/>
          <w:szCs w:val="32"/>
          <w:highlight w:val="none"/>
        </w:rPr>
        <w:t>主要环境影响</w:t>
      </w:r>
      <w:bookmarkEnd w:id="324"/>
      <w:bookmarkEnd w:id="325"/>
      <w:bookmarkEnd w:id="326"/>
    </w:p>
    <w:p w14:paraId="7397945F">
      <w:pPr>
        <w:pStyle w:val="7"/>
        <w:numPr>
          <w:ilvl w:val="2"/>
          <w:numId w:val="9"/>
        </w:numPr>
        <w:rPr>
          <w:color w:val="auto"/>
          <w:sz w:val="28"/>
          <w:highlight w:val="none"/>
        </w:rPr>
      </w:pPr>
      <w:r>
        <w:rPr>
          <w:color w:val="auto"/>
          <w:sz w:val="28"/>
          <w:highlight w:val="none"/>
        </w:rPr>
        <w:t>施工期建设项目环境影响分析</w:t>
      </w:r>
    </w:p>
    <w:p w14:paraId="1923F8A0">
      <w:pPr>
        <w:pStyle w:val="533"/>
        <w:numPr>
          <w:ilvl w:val="3"/>
          <w:numId w:val="9"/>
        </w:numPr>
        <w:rPr>
          <w:color w:val="auto"/>
          <w:szCs w:val="24"/>
          <w:highlight w:val="none"/>
        </w:rPr>
      </w:pPr>
      <w:r>
        <w:rPr>
          <w:color w:val="auto"/>
          <w:szCs w:val="24"/>
          <w:highlight w:val="none"/>
        </w:rPr>
        <w:t>施工废气</w:t>
      </w:r>
    </w:p>
    <w:p w14:paraId="1405DA95">
      <w:pPr>
        <w:ind w:firstLine="480"/>
        <w:rPr>
          <w:color w:val="auto"/>
          <w:highlight w:val="none"/>
        </w:rPr>
      </w:pPr>
      <w:r>
        <w:rPr>
          <w:color w:val="auto"/>
          <w:highlight w:val="none"/>
        </w:rPr>
        <w:t>项目浮船坞硬化场地施工期间，场地平整，建筑材料运输、装卸和堆放过程会产生扬尘，各种施工机械和运输车辆会产生尾气，焊接过程会产生烟尘，均会使施工区域局部范围的大气污染物如TSP、CO、NOx、THC等增加，但这种影响是暂时的，主要采取定时洒水降尘、对易产生扬尘的物料堆采用防尘网和防尘布覆盖、运输材料车辆加盖</w:t>
      </w:r>
      <w:r>
        <w:rPr>
          <w:rFonts w:hint="eastAsia"/>
          <w:color w:val="auto"/>
          <w:highlight w:val="none"/>
          <w:lang w:eastAsia="zh-CN"/>
        </w:rPr>
        <w:t>篷布</w:t>
      </w:r>
      <w:r>
        <w:rPr>
          <w:color w:val="auto"/>
          <w:highlight w:val="none"/>
        </w:rPr>
        <w:t>、施工车辆控制车速及浮船坞分段组装过程采用配有焊接烟尘净化装置的机器进行焊接等控制措施，降低施工废气对大气环境的影响。经采取以上措施后，对环境的影响不大。</w:t>
      </w:r>
    </w:p>
    <w:p w14:paraId="3F9F5268">
      <w:pPr>
        <w:pStyle w:val="533"/>
        <w:numPr>
          <w:ilvl w:val="3"/>
          <w:numId w:val="9"/>
        </w:numPr>
        <w:rPr>
          <w:color w:val="auto"/>
          <w:szCs w:val="24"/>
          <w:highlight w:val="none"/>
        </w:rPr>
      </w:pPr>
      <w:r>
        <w:rPr>
          <w:color w:val="auto"/>
          <w:szCs w:val="24"/>
          <w:highlight w:val="none"/>
        </w:rPr>
        <w:t>施工废水</w:t>
      </w:r>
    </w:p>
    <w:p w14:paraId="5E29362C">
      <w:pPr>
        <w:ind w:firstLine="480"/>
        <w:rPr>
          <w:color w:val="auto"/>
          <w:highlight w:val="none"/>
        </w:rPr>
      </w:pPr>
      <w:r>
        <w:rPr>
          <w:color w:val="auto"/>
          <w:highlight w:val="none"/>
        </w:rPr>
        <w:t>施工期对水环境的影响主要来自新增浮坞锚块投放，浮坞锚块投放时需逐个投放，不得同时投放，并尽量缩短施工工期，经采取以上措施，对水环境影响不大。</w:t>
      </w:r>
    </w:p>
    <w:p w14:paraId="6E102061">
      <w:pPr>
        <w:pStyle w:val="533"/>
        <w:numPr>
          <w:ilvl w:val="3"/>
          <w:numId w:val="9"/>
        </w:numPr>
        <w:rPr>
          <w:color w:val="auto"/>
          <w:szCs w:val="24"/>
          <w:highlight w:val="none"/>
        </w:rPr>
      </w:pPr>
      <w:r>
        <w:rPr>
          <w:color w:val="auto"/>
          <w:szCs w:val="24"/>
          <w:highlight w:val="none"/>
        </w:rPr>
        <w:t>施工噪声</w:t>
      </w:r>
    </w:p>
    <w:p w14:paraId="7BB726BD">
      <w:pPr>
        <w:ind w:firstLine="480"/>
        <w:rPr>
          <w:color w:val="auto"/>
          <w:highlight w:val="none"/>
        </w:rPr>
      </w:pPr>
      <w:r>
        <w:rPr>
          <w:color w:val="auto"/>
          <w:highlight w:val="none"/>
        </w:rPr>
        <w:t>施工期对声环境的影响因素主要是机械、车辆噪声，船坞改造的噪声主要有打磨噪声，钢板撞击、敲打噪声，场地搬运机械、升降机械噪声等，多为瞬时噪声。这些噪声具有无规则、不连续、高强度等特点，其影响会随着施工的结束而消失。</w:t>
      </w:r>
    </w:p>
    <w:p w14:paraId="3C562A74">
      <w:pPr>
        <w:ind w:firstLine="480"/>
        <w:rPr>
          <w:color w:val="auto"/>
          <w:highlight w:val="none"/>
        </w:rPr>
      </w:pPr>
      <w:r>
        <w:rPr>
          <w:color w:val="auto"/>
          <w:highlight w:val="none"/>
        </w:rPr>
        <w:t>项目采取选择低噪声设备、加强设备的运行维护、合理安排施工顺序和工艺、在高噪声设备附近加设可移动的简单围障或者安装</w:t>
      </w:r>
      <w:r>
        <w:rPr>
          <w:rFonts w:hint="eastAsia"/>
          <w:color w:val="auto"/>
          <w:highlight w:val="none"/>
          <w:lang w:eastAsia="zh-CN"/>
        </w:rPr>
        <w:t>消声器</w:t>
      </w:r>
      <w:r>
        <w:rPr>
          <w:color w:val="auto"/>
          <w:highlight w:val="none"/>
        </w:rPr>
        <w:t>、严格控制施工时间、对高噪声机械设备安装</w:t>
      </w:r>
      <w:r>
        <w:rPr>
          <w:rFonts w:hint="eastAsia"/>
          <w:color w:val="auto"/>
          <w:highlight w:val="none"/>
          <w:lang w:eastAsia="zh-CN"/>
        </w:rPr>
        <w:t>减振</w:t>
      </w:r>
      <w:r>
        <w:rPr>
          <w:color w:val="auto"/>
          <w:highlight w:val="none"/>
        </w:rPr>
        <w:t>垫、消声器等措施；采取以上措施一般可减小施工噪声15dB（A）以上。施工过程中采取以上措施，施工噪声对周边环境影响较小。</w:t>
      </w:r>
    </w:p>
    <w:p w14:paraId="50A77F7A">
      <w:pPr>
        <w:pStyle w:val="533"/>
        <w:numPr>
          <w:ilvl w:val="3"/>
          <w:numId w:val="9"/>
        </w:numPr>
        <w:rPr>
          <w:color w:val="auto"/>
          <w:szCs w:val="24"/>
          <w:highlight w:val="none"/>
        </w:rPr>
      </w:pPr>
      <w:r>
        <w:rPr>
          <w:color w:val="auto"/>
          <w:szCs w:val="24"/>
          <w:highlight w:val="none"/>
        </w:rPr>
        <w:t>固体废物</w:t>
      </w:r>
    </w:p>
    <w:p w14:paraId="44D25545">
      <w:pPr>
        <w:ind w:firstLine="480"/>
        <w:rPr>
          <w:color w:val="auto"/>
          <w:highlight w:val="none"/>
        </w:rPr>
      </w:pPr>
      <w:r>
        <w:rPr>
          <w:color w:val="auto"/>
          <w:highlight w:val="none"/>
        </w:rPr>
        <w:t>施工期产生的固体废物主要是建筑垃圾和施工人员生活垃圾。项目施工期间可能少量产生的废焊条和焊渣、废铁屑、钢材切割废料等。能回收利用的回收利用，不能回收利用的集中堆放在现有工程一般固体废物间，定期委托钦州市鼎鑫再生资源回收利用有限公司定期转运处置。施工人员生活垃圾交由环卫部门统一收集处理。</w:t>
      </w:r>
    </w:p>
    <w:p w14:paraId="541E0BC3">
      <w:pPr>
        <w:pStyle w:val="7"/>
        <w:numPr>
          <w:ilvl w:val="2"/>
          <w:numId w:val="9"/>
        </w:numPr>
        <w:rPr>
          <w:color w:val="auto"/>
          <w:sz w:val="28"/>
          <w:highlight w:val="none"/>
        </w:rPr>
      </w:pPr>
      <w:r>
        <w:rPr>
          <w:color w:val="auto"/>
          <w:sz w:val="28"/>
          <w:highlight w:val="none"/>
        </w:rPr>
        <w:t>运营期建设项目环境影响分析</w:t>
      </w:r>
    </w:p>
    <w:p w14:paraId="1FB60D8F">
      <w:pPr>
        <w:pStyle w:val="533"/>
        <w:numPr>
          <w:ilvl w:val="3"/>
          <w:numId w:val="9"/>
        </w:numPr>
        <w:rPr>
          <w:color w:val="auto"/>
          <w:szCs w:val="24"/>
          <w:highlight w:val="none"/>
        </w:rPr>
      </w:pPr>
      <w:r>
        <w:rPr>
          <w:color w:val="auto"/>
          <w:szCs w:val="24"/>
          <w:highlight w:val="none"/>
        </w:rPr>
        <w:t>大气环境影响分析</w:t>
      </w:r>
    </w:p>
    <w:p w14:paraId="2632F8FF">
      <w:pPr>
        <w:ind w:firstLine="480"/>
        <w:rPr>
          <w:color w:val="auto"/>
          <w:highlight w:val="none"/>
          <w:lang w:bidi="ar"/>
        </w:rPr>
      </w:pPr>
      <w:r>
        <w:rPr>
          <w:color w:val="auto"/>
          <w:highlight w:val="none"/>
          <w:lang w:bidi="ar"/>
        </w:rPr>
        <w:t>根据《环境影响评价技术导则大气环境》(HJ2.2-2018），利用AERSCREEN估算模型估算出本项目主要大气污染物的最大地面浓度占标率Pmax=89.61%</w:t>
      </w:r>
      <w:r>
        <w:rPr>
          <w:color w:val="auto"/>
          <w:highlight w:val="none"/>
        </w:rPr>
        <w:t>（坞修喷漆过程排放的二甲苯无组织废气）</w:t>
      </w:r>
      <w:r>
        <w:rPr>
          <w:color w:val="auto"/>
          <w:highlight w:val="none"/>
          <w:lang w:bidi="ar"/>
        </w:rPr>
        <w:t>，大气环境影响评价等级为一级，根据本项目污染源废气排放特点，本次评价选取二甲苯、</w:t>
      </w:r>
      <w:r>
        <w:rPr>
          <w:rFonts w:hint="eastAsia"/>
          <w:color w:val="auto"/>
          <w:highlight w:val="none"/>
          <w:lang w:bidi="ar"/>
        </w:rPr>
        <w:t>T</w:t>
      </w:r>
      <w:r>
        <w:rPr>
          <w:color w:val="auto"/>
          <w:highlight w:val="none"/>
          <w:lang w:bidi="ar"/>
        </w:rPr>
        <w:t>VOC、TSP作为预测因子，采用AERMOD模式进行大气环境影响预测，评价基准年为2024年，以2024年作为预测周期，预测时段取连续1年。预测结果如下：</w:t>
      </w:r>
    </w:p>
    <w:p w14:paraId="0C872482">
      <w:pPr>
        <w:ind w:firstLine="480"/>
        <w:rPr>
          <w:color w:val="auto"/>
          <w:highlight w:val="none"/>
          <w:lang w:bidi="ar"/>
        </w:rPr>
      </w:pPr>
      <w:r>
        <w:rPr>
          <w:color w:val="auto"/>
          <w:highlight w:val="none"/>
          <w:lang w:bidi="ar"/>
        </w:rPr>
        <w:t>①正常排放的情况下，项目新增污染源的二甲苯、</w:t>
      </w:r>
      <w:r>
        <w:rPr>
          <w:rFonts w:hint="eastAsia"/>
          <w:color w:val="auto"/>
          <w:highlight w:val="none"/>
          <w:lang w:bidi="ar"/>
        </w:rPr>
        <w:t>T</w:t>
      </w:r>
      <w:r>
        <w:rPr>
          <w:color w:val="auto"/>
          <w:highlight w:val="none"/>
          <w:lang w:bidi="ar"/>
        </w:rPr>
        <w:t>VOC、TSP的短期浓度贡献值的最大浓度占标率≤100%。项目新增污染源的TSP年均浓度贡献值的最大浓度占标率≤30%。</w:t>
      </w:r>
    </w:p>
    <w:p w14:paraId="379048D9">
      <w:pPr>
        <w:ind w:firstLine="480"/>
        <w:rPr>
          <w:color w:val="auto"/>
          <w:highlight w:val="none"/>
          <w:lang w:bidi="ar"/>
        </w:rPr>
      </w:pPr>
      <w:r>
        <w:rPr>
          <w:color w:val="auto"/>
          <w:highlight w:val="none"/>
          <w:lang w:bidi="ar"/>
        </w:rPr>
        <w:t>②本项目实施并叠加环境背景浓度后，网格区域内TSP最大日均浓度叠加值能满足《环境空气质量标准》(</w:t>
      </w:r>
      <w:r>
        <w:rPr>
          <w:rFonts w:hint="eastAsia"/>
          <w:color w:val="auto"/>
          <w:highlight w:val="none"/>
          <w:lang w:bidi="ar"/>
        </w:rPr>
        <w:t>GB3095-2026</w:t>
      </w:r>
      <w:r>
        <w:rPr>
          <w:color w:val="auto"/>
          <w:highlight w:val="none"/>
          <w:lang w:bidi="ar"/>
        </w:rPr>
        <w:t>)二级标准和附录A标准要求，二甲苯、</w:t>
      </w:r>
      <w:r>
        <w:rPr>
          <w:rFonts w:hint="eastAsia"/>
          <w:color w:val="auto"/>
          <w:highlight w:val="none"/>
          <w:lang w:bidi="ar"/>
        </w:rPr>
        <w:t>T</w:t>
      </w:r>
      <w:r>
        <w:rPr>
          <w:color w:val="auto"/>
          <w:highlight w:val="none"/>
          <w:lang w:bidi="ar"/>
        </w:rPr>
        <w:t>VOC最大小时浓度叠加值能满足《环境影响评价技术导则  大气环境》（HJ2.2-2018）附录D限值要求，评价区域内无超标点。</w:t>
      </w:r>
    </w:p>
    <w:p w14:paraId="35477A75">
      <w:pPr>
        <w:ind w:firstLine="480"/>
        <w:rPr>
          <w:color w:val="auto"/>
          <w:highlight w:val="none"/>
          <w:lang w:bidi="ar"/>
        </w:rPr>
      </w:pPr>
      <w:r>
        <w:rPr>
          <w:color w:val="auto"/>
          <w:highlight w:val="none"/>
          <w:lang w:bidi="ar"/>
        </w:rPr>
        <w:t>③项目采用进一步预测模型模拟评价基准年内，对本项目所有污染源</w:t>
      </w:r>
      <w:r>
        <w:rPr>
          <w:rFonts w:hint="eastAsia"/>
          <w:color w:val="auto"/>
          <w:highlight w:val="none"/>
          <w:lang w:bidi="ar"/>
        </w:rPr>
        <w:t>叠加全厂现有污染源</w:t>
      </w:r>
      <w:r>
        <w:rPr>
          <w:color w:val="auto"/>
          <w:highlight w:val="none"/>
          <w:lang w:bidi="ar"/>
        </w:rPr>
        <w:t>对厂界及厂界外主要污染物的短期贡献浓度分布，各污染物于厂界贡献值均满足无组织排放监控限值要求，各污染物于厂界外短时浓度贡献值均无超标点，故本项目无需设置大气环境防护距离。</w:t>
      </w:r>
    </w:p>
    <w:p w14:paraId="1231BB3D">
      <w:pPr>
        <w:ind w:firstLine="480"/>
        <w:rPr>
          <w:color w:val="auto"/>
          <w:highlight w:val="none"/>
        </w:rPr>
      </w:pPr>
      <w:r>
        <w:rPr>
          <w:color w:val="auto"/>
          <w:highlight w:val="none"/>
          <w:lang w:bidi="ar"/>
        </w:rPr>
        <w:t>综上，项目大气环境影响可以接受。项目废气在做好污染防治措施的情况下，对周围大气环境影响不大，环境影响可以接受。</w:t>
      </w:r>
    </w:p>
    <w:p w14:paraId="18E8D9BF">
      <w:pPr>
        <w:pStyle w:val="533"/>
        <w:numPr>
          <w:ilvl w:val="3"/>
          <w:numId w:val="9"/>
        </w:numPr>
        <w:rPr>
          <w:color w:val="auto"/>
          <w:szCs w:val="24"/>
          <w:highlight w:val="none"/>
        </w:rPr>
      </w:pPr>
      <w:r>
        <w:rPr>
          <w:color w:val="auto"/>
          <w:szCs w:val="24"/>
          <w:highlight w:val="none"/>
        </w:rPr>
        <w:t>地表水环境影响分析</w:t>
      </w:r>
    </w:p>
    <w:p w14:paraId="37F62BE9">
      <w:pPr>
        <w:tabs>
          <w:tab w:val="left" w:pos="588"/>
        </w:tabs>
        <w:ind w:firstLine="480"/>
        <w:rPr>
          <w:color w:val="auto"/>
          <w:highlight w:val="none"/>
        </w:rPr>
      </w:pPr>
      <w:r>
        <w:rPr>
          <w:color w:val="auto"/>
          <w:highlight w:val="none"/>
        </w:rPr>
        <w:t>本项目废水全部回用或外运处理，不会对外环境地表水体造成不利环境影响。</w:t>
      </w:r>
    </w:p>
    <w:p w14:paraId="79FF53F8">
      <w:pPr>
        <w:pStyle w:val="533"/>
        <w:numPr>
          <w:ilvl w:val="3"/>
          <w:numId w:val="9"/>
        </w:numPr>
        <w:rPr>
          <w:color w:val="auto"/>
          <w:szCs w:val="24"/>
          <w:highlight w:val="none"/>
        </w:rPr>
      </w:pPr>
      <w:r>
        <w:rPr>
          <w:color w:val="auto"/>
          <w:szCs w:val="24"/>
          <w:highlight w:val="none"/>
        </w:rPr>
        <w:t>声环境影响分析</w:t>
      </w:r>
    </w:p>
    <w:p w14:paraId="5345587D">
      <w:pPr>
        <w:ind w:firstLine="480"/>
        <w:rPr>
          <w:color w:val="auto"/>
          <w:highlight w:val="none"/>
        </w:rPr>
      </w:pPr>
      <w:r>
        <w:rPr>
          <w:color w:val="auto"/>
          <w:highlight w:val="none"/>
        </w:rPr>
        <w:t>项目建成投产后，厂界噪声均能满足《工业企业厂界环境噪声排放标准》（GB12348-2008）3类标准。项目正常生产噪声对周边声环境影响不大。</w:t>
      </w:r>
    </w:p>
    <w:p w14:paraId="266095F1">
      <w:pPr>
        <w:pStyle w:val="533"/>
        <w:numPr>
          <w:ilvl w:val="3"/>
          <w:numId w:val="9"/>
        </w:numPr>
        <w:rPr>
          <w:color w:val="auto"/>
          <w:szCs w:val="24"/>
          <w:highlight w:val="none"/>
        </w:rPr>
      </w:pPr>
      <w:r>
        <w:rPr>
          <w:color w:val="auto"/>
          <w:szCs w:val="24"/>
          <w:highlight w:val="none"/>
        </w:rPr>
        <w:t>固体废物影响分析</w:t>
      </w:r>
    </w:p>
    <w:p w14:paraId="626512EB">
      <w:pPr>
        <w:ind w:firstLine="480"/>
        <w:rPr>
          <w:bCs/>
          <w:color w:val="auto"/>
          <w:szCs w:val="20"/>
          <w:highlight w:val="none"/>
        </w:rPr>
      </w:pPr>
      <w:r>
        <w:rPr>
          <w:rFonts w:hint="eastAsia"/>
          <w:color w:val="auto"/>
          <w:highlight w:val="none"/>
        </w:rPr>
        <w:t>项目运营期产生的</w:t>
      </w:r>
      <w:r>
        <w:rPr>
          <w:color w:val="auto"/>
          <w:highlight w:val="none"/>
        </w:rPr>
        <w:t>一般工业固体废物包括废焊料、焊渣、</w:t>
      </w:r>
      <w:r>
        <w:rPr>
          <w:rFonts w:hint="eastAsia"/>
          <w:color w:val="auto"/>
          <w:highlight w:val="none"/>
        </w:rPr>
        <w:t>切割废料、</w:t>
      </w:r>
      <w:r>
        <w:rPr>
          <w:color w:val="auto"/>
          <w:highlight w:val="none"/>
        </w:rPr>
        <w:t>废铜矿砂、铁锈、船舶附着海生生物</w:t>
      </w:r>
      <w:r>
        <w:rPr>
          <w:rFonts w:hint="eastAsia"/>
          <w:color w:val="auto"/>
          <w:highlight w:val="none"/>
        </w:rPr>
        <w:t>、</w:t>
      </w:r>
      <w:r>
        <w:rPr>
          <w:rFonts w:hint="eastAsia"/>
          <w:bCs/>
          <w:color w:val="auto"/>
          <w:highlight w:val="none"/>
          <w:u w:val="single"/>
        </w:rPr>
        <w:t>初期雨水沉渣</w:t>
      </w:r>
      <w:r>
        <w:rPr>
          <w:bCs/>
          <w:color w:val="auto"/>
          <w:highlight w:val="none"/>
        </w:rPr>
        <w:t>等，</w:t>
      </w:r>
      <w:r>
        <w:rPr>
          <w:color w:val="auto"/>
          <w:highlight w:val="none"/>
        </w:rPr>
        <w:t>废焊料、焊渣、</w:t>
      </w:r>
      <w:r>
        <w:rPr>
          <w:rFonts w:hint="eastAsia"/>
          <w:bCs/>
          <w:color w:val="auto"/>
          <w:highlight w:val="none"/>
          <w:u w:val="single"/>
        </w:rPr>
        <w:t>切割废料、</w:t>
      </w:r>
      <w:r>
        <w:rPr>
          <w:color w:val="auto"/>
          <w:highlight w:val="none"/>
        </w:rPr>
        <w:t>废铜矿砂、铁锈等</w:t>
      </w:r>
      <w:r>
        <w:rPr>
          <w:rFonts w:hint="eastAsia"/>
          <w:color w:val="auto"/>
          <w:highlight w:val="none"/>
        </w:rPr>
        <w:t>，收集</w:t>
      </w:r>
      <w:r>
        <w:rPr>
          <w:color w:val="auto"/>
          <w:highlight w:val="none"/>
        </w:rPr>
        <w:t>后暂存于一般固废暂存间</w:t>
      </w:r>
      <w:r>
        <w:rPr>
          <w:bCs/>
          <w:color w:val="auto"/>
          <w:szCs w:val="20"/>
          <w:highlight w:val="none"/>
        </w:rPr>
        <w:t>，能回收的回收利用，不能回收利用的由中标公司（项目最近一次委托处理单位为钦州市鼎鑫再生资源回收利用有限公司）外运处理；</w:t>
      </w:r>
      <w:r>
        <w:rPr>
          <w:color w:val="auto"/>
          <w:highlight w:val="none"/>
          <w:u w:val="single"/>
        </w:rPr>
        <w:t>危险废物包括船舶废油、</w:t>
      </w:r>
      <w:r>
        <w:rPr>
          <w:rFonts w:hint="eastAsia"/>
          <w:color w:val="auto"/>
          <w:highlight w:val="none"/>
          <w:u w:val="single"/>
        </w:rPr>
        <w:t>漆渣、</w:t>
      </w:r>
      <w:r>
        <w:rPr>
          <w:color w:val="auto"/>
          <w:highlight w:val="none"/>
          <w:u w:val="single"/>
        </w:rPr>
        <w:t>废油漆桶</w:t>
      </w:r>
      <w:r>
        <w:rPr>
          <w:rFonts w:hint="eastAsia"/>
          <w:color w:val="auto"/>
          <w:highlight w:val="none"/>
          <w:u w:val="single"/>
        </w:rPr>
        <w:t>及稀释剂包装物</w:t>
      </w:r>
      <w:r>
        <w:rPr>
          <w:color w:val="auto"/>
          <w:highlight w:val="none"/>
          <w:u w:val="single"/>
        </w:rPr>
        <w:t>、废油污泥</w:t>
      </w:r>
      <w:r>
        <w:rPr>
          <w:rFonts w:hint="eastAsia"/>
          <w:color w:val="auto"/>
          <w:highlight w:val="none"/>
          <w:u w:val="single"/>
        </w:rPr>
        <w:t>、废乳化液</w:t>
      </w:r>
      <w:r>
        <w:rPr>
          <w:color w:val="auto"/>
          <w:highlight w:val="none"/>
          <w:u w:val="single"/>
        </w:rPr>
        <w:t>等</w:t>
      </w:r>
      <w:r>
        <w:rPr>
          <w:bCs/>
          <w:color w:val="auto"/>
          <w:szCs w:val="20"/>
          <w:highlight w:val="none"/>
        </w:rPr>
        <w:t>，在危废间分类暂存，定期由中标单位（</w:t>
      </w:r>
      <w:r>
        <w:rPr>
          <w:rFonts w:hint="eastAsia"/>
          <w:bCs/>
          <w:color w:val="auto"/>
          <w:szCs w:val="20"/>
          <w:highlight w:val="none"/>
        </w:rPr>
        <w:t>最近一次委托处理单位为广西深投环保科技有限公司，目前正在签订新的委托合同</w:t>
      </w:r>
      <w:r>
        <w:rPr>
          <w:bCs/>
          <w:color w:val="auto"/>
          <w:szCs w:val="20"/>
          <w:highlight w:val="none"/>
        </w:rPr>
        <w:t>）外运处理；职工生活垃圾收集后由市政环卫部门统一收集处理。</w:t>
      </w:r>
    </w:p>
    <w:p w14:paraId="5A93AF71">
      <w:pPr>
        <w:pStyle w:val="533"/>
        <w:numPr>
          <w:ilvl w:val="3"/>
          <w:numId w:val="9"/>
        </w:numPr>
        <w:rPr>
          <w:color w:val="auto"/>
          <w:szCs w:val="24"/>
          <w:highlight w:val="none"/>
        </w:rPr>
      </w:pPr>
      <w:r>
        <w:rPr>
          <w:color w:val="auto"/>
          <w:szCs w:val="24"/>
          <w:highlight w:val="none"/>
        </w:rPr>
        <w:t>生态环境影响分析</w:t>
      </w:r>
    </w:p>
    <w:p w14:paraId="6EBE555E">
      <w:pPr>
        <w:ind w:firstLine="480"/>
        <w:rPr>
          <w:color w:val="auto"/>
          <w:highlight w:val="none"/>
        </w:rPr>
      </w:pPr>
      <w:r>
        <w:rPr>
          <w:color w:val="auto"/>
          <w:highlight w:val="none"/>
        </w:rPr>
        <w:t>运营期对生态环境的影响主要表现为废水排放对生态的影响。本项目废水全部回用或外运处理，不会对外环境海洋生态环境造成不利环境影响。</w:t>
      </w:r>
    </w:p>
    <w:p w14:paraId="16DDF6C1">
      <w:pPr>
        <w:pStyle w:val="6"/>
        <w:numPr>
          <w:ilvl w:val="1"/>
          <w:numId w:val="9"/>
        </w:numPr>
        <w:rPr>
          <w:color w:val="auto"/>
          <w:sz w:val="32"/>
          <w:szCs w:val="32"/>
          <w:highlight w:val="none"/>
        </w:rPr>
      </w:pPr>
      <w:bookmarkStart w:id="327" w:name="_Toc25225005"/>
      <w:bookmarkStart w:id="328" w:name="_Toc14577"/>
      <w:bookmarkStart w:id="329" w:name="_Toc22010"/>
      <w:r>
        <w:rPr>
          <w:color w:val="auto"/>
          <w:sz w:val="32"/>
          <w:szCs w:val="32"/>
          <w:highlight w:val="none"/>
        </w:rPr>
        <w:t>环境保护措施</w:t>
      </w:r>
      <w:bookmarkEnd w:id="327"/>
      <w:bookmarkEnd w:id="328"/>
      <w:bookmarkEnd w:id="329"/>
    </w:p>
    <w:p w14:paraId="5C500A7A">
      <w:pPr>
        <w:pStyle w:val="7"/>
        <w:numPr>
          <w:ilvl w:val="2"/>
          <w:numId w:val="9"/>
        </w:numPr>
        <w:rPr>
          <w:color w:val="auto"/>
          <w:sz w:val="28"/>
          <w:highlight w:val="none"/>
          <w:lang w:val="zh-CN"/>
        </w:rPr>
      </w:pPr>
      <w:r>
        <w:rPr>
          <w:color w:val="auto"/>
          <w:sz w:val="28"/>
          <w:highlight w:val="none"/>
          <w:lang w:val="zh-CN"/>
        </w:rPr>
        <w:t>施工期环境保护措施</w:t>
      </w:r>
    </w:p>
    <w:p w14:paraId="05AEC54A">
      <w:pPr>
        <w:pStyle w:val="533"/>
        <w:numPr>
          <w:ilvl w:val="3"/>
          <w:numId w:val="9"/>
        </w:numPr>
        <w:rPr>
          <w:color w:val="auto"/>
          <w:szCs w:val="24"/>
          <w:highlight w:val="none"/>
          <w:lang w:val="zh-CN"/>
        </w:rPr>
      </w:pPr>
      <w:r>
        <w:rPr>
          <w:color w:val="auto"/>
          <w:szCs w:val="24"/>
          <w:highlight w:val="none"/>
          <w:lang w:val="zh-CN"/>
        </w:rPr>
        <w:t>大气污染防治措施</w:t>
      </w:r>
    </w:p>
    <w:p w14:paraId="1CD348A1">
      <w:pPr>
        <w:ind w:firstLine="480"/>
        <w:rPr>
          <w:color w:val="auto"/>
          <w:highlight w:val="none"/>
        </w:rPr>
      </w:pPr>
      <w:r>
        <w:rPr>
          <w:color w:val="auto"/>
          <w:highlight w:val="none"/>
        </w:rPr>
        <w:t>对施工场地及主要运输道路进行洒水以减少扬尘量</w:t>
      </w:r>
      <w:r>
        <w:rPr>
          <w:color w:val="auto"/>
          <w:highlight w:val="none"/>
          <w:lang w:val="zh-CN"/>
        </w:rPr>
        <w:t>；对易产生扬尘的物料堆、建材等，采用防尘网和防尘布覆盖；运输材料车辆要加盖</w:t>
      </w:r>
      <w:r>
        <w:rPr>
          <w:rFonts w:hint="eastAsia"/>
          <w:color w:val="auto"/>
          <w:highlight w:val="none"/>
          <w:lang w:val="zh-CN"/>
        </w:rPr>
        <w:t>篷布</w:t>
      </w:r>
      <w:r>
        <w:rPr>
          <w:color w:val="auto"/>
          <w:highlight w:val="none"/>
          <w:lang w:val="zh-CN"/>
        </w:rPr>
        <w:t>，减少运输途中洒落；工地设置车辆冲洗设施，运输车辆应当冲洗干净后才出场；浮船坞分段组装过程产生的焊接废气采用配有焊接烟尘净化装置的机器进行焊接，减少焊接烟尘的排放；</w:t>
      </w:r>
      <w:r>
        <w:rPr>
          <w:color w:val="auto"/>
          <w:highlight w:val="none"/>
        </w:rPr>
        <w:t>施工期其他机械废气采用污染物排放符合国家标准的施工机械、运输车辆，并加强施工机械、运输车辆的维护保养，减少机械作业及汽车运输尾气排放对大气环境的影响。</w:t>
      </w:r>
      <w:r>
        <w:rPr>
          <w:color w:val="auto"/>
          <w:highlight w:val="none"/>
          <w:lang w:val="zh-CN"/>
        </w:rPr>
        <w:t>只要加强管理、切实落实好以上措施，施工废气对环境的影响将会大大降低，随着施工期的结束对环境的影响也将消失。</w:t>
      </w:r>
    </w:p>
    <w:p w14:paraId="70960A6C">
      <w:pPr>
        <w:pStyle w:val="533"/>
        <w:numPr>
          <w:ilvl w:val="3"/>
          <w:numId w:val="9"/>
        </w:numPr>
        <w:rPr>
          <w:color w:val="auto"/>
          <w:szCs w:val="24"/>
          <w:highlight w:val="none"/>
          <w:lang w:val="zh-CN"/>
        </w:rPr>
      </w:pPr>
      <w:r>
        <w:rPr>
          <w:color w:val="auto"/>
          <w:szCs w:val="24"/>
          <w:highlight w:val="none"/>
          <w:lang w:val="zh-CN"/>
        </w:rPr>
        <w:t>水污染防治措施</w:t>
      </w:r>
    </w:p>
    <w:p w14:paraId="471ACB71">
      <w:pPr>
        <w:ind w:firstLine="480"/>
        <w:rPr>
          <w:color w:val="auto"/>
          <w:highlight w:val="none"/>
          <w:lang w:val="zh-CN"/>
        </w:rPr>
      </w:pPr>
      <w:r>
        <w:rPr>
          <w:color w:val="auto"/>
          <w:highlight w:val="none"/>
          <w:lang w:val="zh-CN"/>
        </w:rPr>
        <w:t>施工单位应严格执行《建设工程施工场地文明施工及环境管理暂行规定》，施工产生的废水不得随意排放；使用性能良好的汽车和施工机械、施工船舶，及时保养和维修，防止漏油；浮坞锚块投放时需逐个投放，不得同时投放，并尽量缩短施工工期；要做好施工船舶的日常维修检查工作，确保所有投入施工的船只设备均正常良好运行和密闭性，发生故障后应及时予以修复；台风期间必须停止所有海上施工作业。</w:t>
      </w:r>
    </w:p>
    <w:p w14:paraId="69FB91C7">
      <w:pPr>
        <w:pStyle w:val="533"/>
        <w:numPr>
          <w:ilvl w:val="3"/>
          <w:numId w:val="9"/>
        </w:numPr>
        <w:rPr>
          <w:color w:val="auto"/>
          <w:szCs w:val="24"/>
          <w:highlight w:val="none"/>
          <w:lang w:val="zh-CN"/>
        </w:rPr>
      </w:pPr>
      <w:r>
        <w:rPr>
          <w:color w:val="auto"/>
          <w:szCs w:val="24"/>
          <w:highlight w:val="none"/>
          <w:lang w:val="zh-CN"/>
        </w:rPr>
        <w:t>噪声污染防治措施</w:t>
      </w:r>
    </w:p>
    <w:p w14:paraId="7314766D">
      <w:pPr>
        <w:ind w:firstLine="480"/>
        <w:rPr>
          <w:color w:val="auto"/>
          <w:highlight w:val="none"/>
          <w:lang w:val="zh-CN"/>
        </w:rPr>
      </w:pPr>
      <w:r>
        <w:rPr>
          <w:color w:val="auto"/>
          <w:highlight w:val="none"/>
        </w:rPr>
        <w:t>采用低噪声设备，加强设备的日常维修保养；在高噪声设备附近加设可移动的简单围障或者安装</w:t>
      </w:r>
      <w:r>
        <w:rPr>
          <w:rFonts w:hint="eastAsia"/>
          <w:color w:val="auto"/>
          <w:highlight w:val="none"/>
          <w:lang w:eastAsia="zh-CN"/>
        </w:rPr>
        <w:t>消声器</w:t>
      </w:r>
      <w:r>
        <w:rPr>
          <w:color w:val="auto"/>
          <w:highlight w:val="none"/>
        </w:rPr>
        <w:t>；</w:t>
      </w:r>
      <w:r>
        <w:rPr>
          <w:color w:val="auto"/>
          <w:highlight w:val="none"/>
          <w:lang w:val="zh-CN"/>
        </w:rPr>
        <w:t>采取合理安排施工作业时间等措施降低项目噪声对周边环境的影响。</w:t>
      </w:r>
    </w:p>
    <w:p w14:paraId="73102C74">
      <w:pPr>
        <w:pStyle w:val="533"/>
        <w:numPr>
          <w:ilvl w:val="3"/>
          <w:numId w:val="9"/>
        </w:numPr>
        <w:rPr>
          <w:color w:val="auto"/>
          <w:szCs w:val="24"/>
          <w:highlight w:val="none"/>
          <w:lang w:val="zh-CN"/>
        </w:rPr>
      </w:pPr>
      <w:r>
        <w:rPr>
          <w:color w:val="auto"/>
          <w:szCs w:val="24"/>
          <w:highlight w:val="none"/>
          <w:lang w:val="zh-CN"/>
        </w:rPr>
        <w:t>固体废物污染防治措施</w:t>
      </w:r>
    </w:p>
    <w:p w14:paraId="4E865DE5">
      <w:pPr>
        <w:widowControl/>
        <w:ind w:firstLine="480"/>
        <w:rPr>
          <w:color w:val="auto"/>
          <w:highlight w:val="none"/>
        </w:rPr>
      </w:pPr>
      <w:r>
        <w:rPr>
          <w:color w:val="auto"/>
          <w:highlight w:val="none"/>
        </w:rPr>
        <w:t>项目施工期间可能少量产生的废焊条和焊渣、废铁屑、钢材切割废料等。集中堆放在现有工程一般固废暂存间暂存，能回收的回收利用，不能回收利用的由中标公司（项目最近一次委托处理单位为钦州市鼎鑫再生资源回收利用有限公司）外运处理。</w:t>
      </w:r>
    </w:p>
    <w:p w14:paraId="13CCE87F">
      <w:pPr>
        <w:widowControl/>
        <w:ind w:firstLine="480"/>
        <w:rPr>
          <w:color w:val="auto"/>
          <w:highlight w:val="none"/>
          <w:lang w:val="zh-CN"/>
        </w:rPr>
      </w:pPr>
      <w:r>
        <w:rPr>
          <w:color w:val="auto"/>
          <w:highlight w:val="none"/>
          <w:lang w:val="zh-CN"/>
        </w:rPr>
        <w:t>施工人员排放的生活垃圾由环卫部门收集处理。</w:t>
      </w:r>
    </w:p>
    <w:p w14:paraId="36FFFC7F">
      <w:pPr>
        <w:pStyle w:val="7"/>
        <w:numPr>
          <w:ilvl w:val="2"/>
          <w:numId w:val="9"/>
        </w:numPr>
        <w:rPr>
          <w:color w:val="auto"/>
          <w:sz w:val="28"/>
          <w:highlight w:val="none"/>
          <w:lang w:val="zh-CN"/>
        </w:rPr>
      </w:pPr>
      <w:r>
        <w:rPr>
          <w:color w:val="auto"/>
          <w:sz w:val="28"/>
          <w:highlight w:val="none"/>
        </w:rPr>
        <w:t>运营期</w:t>
      </w:r>
      <w:r>
        <w:rPr>
          <w:color w:val="auto"/>
          <w:sz w:val="28"/>
          <w:highlight w:val="none"/>
          <w:lang w:val="zh-CN"/>
        </w:rPr>
        <w:t>环境保护措施</w:t>
      </w:r>
    </w:p>
    <w:p w14:paraId="15865BFF">
      <w:pPr>
        <w:pStyle w:val="533"/>
        <w:numPr>
          <w:ilvl w:val="3"/>
          <w:numId w:val="9"/>
        </w:numPr>
        <w:rPr>
          <w:color w:val="auto"/>
          <w:szCs w:val="24"/>
          <w:highlight w:val="none"/>
        </w:rPr>
      </w:pPr>
      <w:r>
        <w:rPr>
          <w:color w:val="auto"/>
          <w:szCs w:val="24"/>
          <w:highlight w:val="none"/>
          <w:lang w:val="zh-CN"/>
        </w:rPr>
        <w:t>大气污染防治措施</w:t>
      </w:r>
    </w:p>
    <w:p w14:paraId="5E840087">
      <w:pPr>
        <w:pStyle w:val="38"/>
        <w:spacing w:after="0"/>
        <w:ind w:firstLine="480"/>
        <w:jc w:val="left"/>
        <w:rPr>
          <w:color w:val="auto"/>
          <w:highlight w:val="none"/>
        </w:rPr>
      </w:pPr>
      <w:r>
        <w:rPr>
          <w:color w:val="auto"/>
          <w:highlight w:val="none"/>
        </w:rPr>
        <w:t>浮船坞修船过程中排放的喷漆有机废气、焊接烟尘、除锈粉尘及切割粉尘等均为无组织排放，主要通过加强清洁生产水平，利用较清洁的喷涂工艺，使用苯系物含量较低的有机溶剂、水溶性和无溶剂型涂料；使用先进的环保喷涂设施和环保型打砂水喷砂设备；控制浮船坞的喷枪数量，避免同时进行大规模喷涂作业；补漆过程需减少装置的跑、冒、滴、漏；加强船体的通风等措施来降低项目废气对大气环境的影响。</w:t>
      </w:r>
    </w:p>
    <w:p w14:paraId="09153268">
      <w:pPr>
        <w:pStyle w:val="533"/>
        <w:numPr>
          <w:ilvl w:val="3"/>
          <w:numId w:val="9"/>
        </w:numPr>
        <w:rPr>
          <w:color w:val="auto"/>
          <w:szCs w:val="24"/>
          <w:highlight w:val="none"/>
        </w:rPr>
      </w:pPr>
      <w:bookmarkStart w:id="330" w:name="_Toc3387521"/>
      <w:bookmarkStart w:id="331" w:name="_Toc8839306"/>
      <w:bookmarkStart w:id="332" w:name="_Toc9278013"/>
      <w:r>
        <w:rPr>
          <w:color w:val="auto"/>
          <w:szCs w:val="24"/>
          <w:highlight w:val="none"/>
        </w:rPr>
        <w:t>地表水</w:t>
      </w:r>
      <w:r>
        <w:rPr>
          <w:rFonts w:hint="eastAsia"/>
          <w:color w:val="auto"/>
          <w:szCs w:val="24"/>
          <w:highlight w:val="none"/>
          <w:lang w:eastAsia="zh-CN"/>
        </w:rPr>
        <w:t>污染</w:t>
      </w:r>
      <w:r>
        <w:rPr>
          <w:color w:val="auto"/>
          <w:szCs w:val="24"/>
          <w:highlight w:val="none"/>
        </w:rPr>
        <w:t>防治措施</w:t>
      </w:r>
      <w:bookmarkEnd w:id="330"/>
      <w:bookmarkEnd w:id="331"/>
      <w:bookmarkEnd w:id="332"/>
    </w:p>
    <w:p w14:paraId="0D3B80D3">
      <w:pPr>
        <w:ind w:firstLine="480"/>
        <w:rPr>
          <w:color w:val="auto"/>
          <w:szCs w:val="20"/>
          <w:highlight w:val="none"/>
        </w:rPr>
      </w:pPr>
      <w:r>
        <w:rPr>
          <w:color w:val="auto"/>
          <w:szCs w:val="20"/>
          <w:highlight w:val="none"/>
        </w:rPr>
        <w:t>本项目作业人员依托中船钦州修船资源整合项目，不新增作业人员，生活污水经生活污水处理一体化设备处理</w:t>
      </w:r>
      <w:r>
        <w:rPr>
          <w:rFonts w:hint="eastAsia"/>
          <w:color w:val="auto"/>
          <w:szCs w:val="20"/>
          <w:highlight w:val="none"/>
        </w:rPr>
        <w:t>后，进入中水回用池储存，</w:t>
      </w:r>
      <w:r>
        <w:rPr>
          <w:color w:val="auto"/>
          <w:szCs w:val="20"/>
          <w:highlight w:val="none"/>
        </w:rPr>
        <w:t>大部分回用于厂区绿化及降尘，少部分不能回用的由槽罐车运至大榄坪污水处理厂处理。</w:t>
      </w:r>
    </w:p>
    <w:p w14:paraId="3EC9C53E">
      <w:pPr>
        <w:ind w:firstLine="480"/>
        <w:rPr>
          <w:color w:val="auto"/>
          <w:szCs w:val="20"/>
          <w:highlight w:val="none"/>
        </w:rPr>
      </w:pPr>
      <w:r>
        <w:rPr>
          <w:color w:val="auto"/>
          <w:szCs w:val="20"/>
          <w:highlight w:val="none"/>
        </w:rPr>
        <w:t>坞修产生的含油废水</w:t>
      </w:r>
      <w:r>
        <w:rPr>
          <w:rFonts w:hint="eastAsia"/>
          <w:color w:val="auto"/>
          <w:szCs w:val="20"/>
          <w:highlight w:val="none"/>
        </w:rPr>
        <w:t>经浮船坞配套的污水舱收集后采用罐车运至</w:t>
      </w:r>
      <w:r>
        <w:rPr>
          <w:color w:val="auto"/>
          <w:szCs w:val="20"/>
          <w:highlight w:val="none"/>
        </w:rPr>
        <w:t>厂区</w:t>
      </w:r>
      <w:r>
        <w:rPr>
          <w:rFonts w:hint="eastAsia"/>
          <w:color w:val="auto"/>
          <w:szCs w:val="20"/>
          <w:highlight w:val="none"/>
        </w:rPr>
        <w:t>现有</w:t>
      </w:r>
      <w:r>
        <w:rPr>
          <w:color w:val="auto"/>
          <w:szCs w:val="20"/>
          <w:highlight w:val="none"/>
        </w:rPr>
        <w:t>污水处理站的含油废水处理系统处理</w:t>
      </w:r>
      <w:r>
        <w:rPr>
          <w:rFonts w:hint="eastAsia"/>
          <w:color w:val="auto"/>
          <w:szCs w:val="20"/>
          <w:highlight w:val="none"/>
        </w:rPr>
        <w:t>，</w:t>
      </w:r>
      <w:r>
        <w:rPr>
          <w:color w:val="auto"/>
          <w:szCs w:val="20"/>
          <w:highlight w:val="none"/>
        </w:rPr>
        <w:t>达到《污水综合排放标准》（GB8978-1996）三级标准后，经厂区污水管道排入</w:t>
      </w:r>
      <w:r>
        <w:rPr>
          <w:rFonts w:hint="eastAsia"/>
          <w:color w:val="auto"/>
          <w:szCs w:val="20"/>
          <w:highlight w:val="none"/>
        </w:rPr>
        <w:t>生活污水处理设备配套的中水回用池储存，</w:t>
      </w:r>
      <w:r>
        <w:rPr>
          <w:color w:val="auto"/>
          <w:szCs w:val="20"/>
          <w:highlight w:val="none"/>
        </w:rPr>
        <w:t>大部分回用于厂区绿化及降尘，少部分不能回用的由槽罐车运至大榄坪污水处理厂处理</w:t>
      </w:r>
      <w:r>
        <w:rPr>
          <w:rFonts w:hint="eastAsia"/>
          <w:color w:val="auto"/>
          <w:highlight w:val="none"/>
        </w:rPr>
        <w:t>，</w:t>
      </w:r>
      <w:r>
        <w:rPr>
          <w:color w:val="auto"/>
          <w:szCs w:val="20"/>
          <w:highlight w:val="none"/>
        </w:rPr>
        <w:t>不在本区域排放。</w:t>
      </w:r>
    </w:p>
    <w:p w14:paraId="5DA0A3E7">
      <w:pPr>
        <w:ind w:firstLine="480"/>
        <w:rPr>
          <w:color w:val="auto"/>
          <w:szCs w:val="20"/>
          <w:highlight w:val="none"/>
        </w:rPr>
      </w:pPr>
      <w:r>
        <w:rPr>
          <w:rFonts w:hint="eastAsia" w:eastAsiaTheme="minorEastAsia"/>
          <w:color w:val="auto"/>
          <w:highlight w:val="none"/>
        </w:rPr>
        <w:t>浮船坞上配套初期雨水池</w:t>
      </w:r>
      <w:r>
        <w:rPr>
          <w:rFonts w:eastAsiaTheme="minorEastAsia"/>
          <w:color w:val="auto"/>
          <w:highlight w:val="none"/>
        </w:rPr>
        <w:t>收集浮船坞初期雨水，</w:t>
      </w:r>
      <w:r>
        <w:rPr>
          <w:rFonts w:hint="eastAsia"/>
          <w:color w:val="auto"/>
          <w:szCs w:val="20"/>
          <w:highlight w:val="none"/>
        </w:rPr>
        <w:t>初期雨水经</w:t>
      </w:r>
      <w:r>
        <w:rPr>
          <w:rFonts w:eastAsiaTheme="minorEastAsia"/>
          <w:color w:val="auto"/>
          <w:highlight w:val="none"/>
        </w:rPr>
        <w:t>收集后</w:t>
      </w:r>
      <w:r>
        <w:rPr>
          <w:rFonts w:hint="eastAsia" w:eastAsiaTheme="minorEastAsia"/>
          <w:color w:val="auto"/>
          <w:highlight w:val="none"/>
        </w:rPr>
        <w:t>采用罐车转运</w:t>
      </w:r>
      <w:r>
        <w:rPr>
          <w:rFonts w:eastAsiaTheme="minorEastAsia"/>
          <w:color w:val="auto"/>
          <w:highlight w:val="none"/>
        </w:rPr>
        <w:t>进入</w:t>
      </w:r>
      <w:r>
        <w:rPr>
          <w:rFonts w:hint="eastAsia" w:eastAsiaTheme="minorEastAsia"/>
          <w:color w:val="auto"/>
          <w:highlight w:val="none"/>
        </w:rPr>
        <w:t>钦州基地陆域现有</w:t>
      </w:r>
      <w:r>
        <w:rPr>
          <w:color w:val="auto"/>
          <w:szCs w:val="20"/>
          <w:highlight w:val="none"/>
        </w:rPr>
        <w:t>生活污水处理一体化设备（处理规模300m</w:t>
      </w:r>
      <w:r>
        <w:rPr>
          <w:color w:val="auto"/>
          <w:szCs w:val="20"/>
          <w:highlight w:val="none"/>
          <w:vertAlign w:val="superscript"/>
        </w:rPr>
        <w:t>3</w:t>
      </w:r>
      <w:r>
        <w:rPr>
          <w:color w:val="auto"/>
          <w:szCs w:val="20"/>
          <w:highlight w:val="none"/>
        </w:rPr>
        <w:t>/d）处理</w:t>
      </w:r>
      <w:r>
        <w:rPr>
          <w:rFonts w:hint="eastAsia"/>
          <w:color w:val="auto"/>
          <w:szCs w:val="20"/>
          <w:highlight w:val="none"/>
        </w:rPr>
        <w:t>后，进入中水回用池储存，</w:t>
      </w:r>
      <w:r>
        <w:rPr>
          <w:color w:val="auto"/>
          <w:szCs w:val="20"/>
          <w:highlight w:val="none"/>
        </w:rPr>
        <w:t>大部分回用于厂区绿化及降尘，少部分不能回用的由槽罐车运至大榄坪污水处理厂处理</w:t>
      </w:r>
      <w:r>
        <w:rPr>
          <w:color w:val="auto"/>
          <w:highlight w:val="none"/>
        </w:rPr>
        <w:t>，不在本区域排放</w:t>
      </w:r>
      <w:r>
        <w:rPr>
          <w:color w:val="auto"/>
          <w:szCs w:val="20"/>
          <w:highlight w:val="none"/>
        </w:rPr>
        <w:t>。</w:t>
      </w:r>
    </w:p>
    <w:p w14:paraId="76BCC096">
      <w:pPr>
        <w:pStyle w:val="533"/>
        <w:numPr>
          <w:ilvl w:val="3"/>
          <w:numId w:val="9"/>
        </w:numPr>
        <w:rPr>
          <w:color w:val="auto"/>
          <w:szCs w:val="24"/>
          <w:highlight w:val="none"/>
        </w:rPr>
      </w:pPr>
      <w:bookmarkStart w:id="333" w:name="_Toc8839307"/>
      <w:bookmarkStart w:id="334" w:name="_Toc9278014"/>
      <w:bookmarkStart w:id="335" w:name="_Toc3387522"/>
      <w:r>
        <w:rPr>
          <w:color w:val="auto"/>
          <w:szCs w:val="24"/>
          <w:highlight w:val="none"/>
        </w:rPr>
        <w:t>噪声控制措施</w:t>
      </w:r>
      <w:bookmarkEnd w:id="333"/>
      <w:bookmarkEnd w:id="334"/>
      <w:bookmarkEnd w:id="335"/>
    </w:p>
    <w:p w14:paraId="42353B5E">
      <w:pPr>
        <w:ind w:firstLine="480"/>
        <w:rPr>
          <w:color w:val="auto"/>
          <w:highlight w:val="none"/>
        </w:rPr>
      </w:pPr>
      <w:r>
        <w:rPr>
          <w:color w:val="auto"/>
          <w:highlight w:val="none"/>
        </w:rPr>
        <w:t>运营期采取选用低噪声设备，合理安排作业时间；加强对机械设备的维护保养和正确操作，在高噪声设备上安装消声和减振设施等措施，降低项目修船噪声对周边环境的影响，使厂界噪声值控制在《工业企业厂界环境噪声排放标准》（GB12348-2008）3类标准。</w:t>
      </w:r>
    </w:p>
    <w:p w14:paraId="0F336F2D">
      <w:pPr>
        <w:pStyle w:val="533"/>
        <w:numPr>
          <w:ilvl w:val="3"/>
          <w:numId w:val="9"/>
        </w:numPr>
        <w:rPr>
          <w:color w:val="auto"/>
          <w:szCs w:val="24"/>
          <w:highlight w:val="none"/>
        </w:rPr>
      </w:pPr>
      <w:bookmarkStart w:id="336" w:name="_Toc9278015"/>
      <w:bookmarkStart w:id="337" w:name="_Toc8839308"/>
      <w:bookmarkStart w:id="338" w:name="_Toc3387523"/>
      <w:r>
        <w:rPr>
          <w:color w:val="auto"/>
          <w:szCs w:val="24"/>
          <w:highlight w:val="none"/>
        </w:rPr>
        <w:t>固体废物处置措施</w:t>
      </w:r>
      <w:bookmarkEnd w:id="336"/>
      <w:bookmarkEnd w:id="337"/>
      <w:bookmarkEnd w:id="338"/>
    </w:p>
    <w:p w14:paraId="433CC5A6">
      <w:pPr>
        <w:ind w:firstLine="480"/>
        <w:rPr>
          <w:color w:val="auto"/>
          <w:highlight w:val="none"/>
        </w:rPr>
      </w:pPr>
      <w:r>
        <w:rPr>
          <w:color w:val="auto"/>
          <w:highlight w:val="none"/>
        </w:rPr>
        <w:t>项目运营期固体废物包括一般工业固体废物、危险废物和生活垃圾。</w:t>
      </w:r>
    </w:p>
    <w:p w14:paraId="0D7742E8">
      <w:pPr>
        <w:ind w:firstLine="480"/>
        <w:rPr>
          <w:color w:val="auto"/>
          <w:highlight w:val="none"/>
        </w:rPr>
      </w:pPr>
      <w:r>
        <w:rPr>
          <w:color w:val="auto"/>
          <w:highlight w:val="none"/>
        </w:rPr>
        <w:t>一般固体废物收集到一般固废暂存间暂存，能回收的回收利用，不能回收利用的由中标公司（项目最近一次委托处理单位为钦州市鼎鑫再生资源回收利用有限公司）外运处理；危险</w:t>
      </w:r>
      <w:r>
        <w:rPr>
          <w:rFonts w:hint="eastAsia"/>
          <w:color w:val="auto"/>
          <w:highlight w:val="none"/>
          <w:lang w:eastAsia="zh-CN"/>
        </w:rPr>
        <w:t>废物</w:t>
      </w:r>
      <w:r>
        <w:rPr>
          <w:color w:val="auto"/>
          <w:highlight w:val="none"/>
        </w:rPr>
        <w:t>在危废间分类暂存，定期由中标单位（</w:t>
      </w:r>
      <w:r>
        <w:rPr>
          <w:rFonts w:hint="eastAsia"/>
          <w:color w:val="auto"/>
          <w:highlight w:val="none"/>
        </w:rPr>
        <w:t>最近一次委托处理单位为广西深投环保科技有限公司，目前正在签订新的委托合同</w:t>
      </w:r>
      <w:r>
        <w:rPr>
          <w:color w:val="auto"/>
          <w:highlight w:val="none"/>
        </w:rPr>
        <w:t>）外运处理；职工生活垃圾收集后由市政环卫部门统一收集处理。</w:t>
      </w:r>
    </w:p>
    <w:p w14:paraId="334E6A57">
      <w:pPr>
        <w:pStyle w:val="7"/>
        <w:numPr>
          <w:ilvl w:val="2"/>
          <w:numId w:val="9"/>
        </w:numPr>
        <w:rPr>
          <w:color w:val="auto"/>
          <w:sz w:val="28"/>
          <w:highlight w:val="none"/>
        </w:rPr>
      </w:pPr>
      <w:r>
        <w:rPr>
          <w:color w:val="auto"/>
          <w:sz w:val="28"/>
          <w:highlight w:val="none"/>
        </w:rPr>
        <w:t>环境风险评价结论</w:t>
      </w:r>
    </w:p>
    <w:p w14:paraId="62525DF3">
      <w:pPr>
        <w:ind w:firstLine="480"/>
        <w:rPr>
          <w:color w:val="auto"/>
          <w:highlight w:val="none"/>
        </w:rPr>
      </w:pPr>
      <w:r>
        <w:rPr>
          <w:color w:val="auto"/>
          <w:highlight w:val="none"/>
        </w:rPr>
        <w:t>本项目运营后主要进行船舶维修改造，如维修作业不当或船舶油舱本身存在破损，则有可能发生燃料</w:t>
      </w:r>
      <w:r>
        <w:rPr>
          <w:rFonts w:hint="eastAsia"/>
          <w:color w:val="auto"/>
          <w:highlight w:val="none"/>
          <w:lang w:eastAsia="zh-CN"/>
        </w:rPr>
        <w:t>泄漏</w:t>
      </w:r>
      <w:r>
        <w:rPr>
          <w:color w:val="auto"/>
          <w:highlight w:val="none"/>
        </w:rPr>
        <w:t>。溢油发生后，油膜溢出坞坑，在海面上漂浮扩散，阻止海气交换，将对海洋水环境、生态环境和景观造成影响。还可能会造成火灾。项目通过加强前期检查，规范维修操作，事故发生概率较低，船舶位于坞坑内，发生</w:t>
      </w:r>
      <w:r>
        <w:rPr>
          <w:rFonts w:hint="eastAsia"/>
          <w:color w:val="auto"/>
          <w:highlight w:val="none"/>
          <w:lang w:eastAsia="zh-CN"/>
        </w:rPr>
        <w:t>泄漏</w:t>
      </w:r>
      <w:r>
        <w:rPr>
          <w:color w:val="auto"/>
          <w:highlight w:val="none"/>
        </w:rPr>
        <w:t>后，及时采取拦截措施，可将影响控制在局部范围，对周边环境影响较小，环境风险水平可接受 。</w:t>
      </w:r>
    </w:p>
    <w:p w14:paraId="0CEB2506">
      <w:pPr>
        <w:pStyle w:val="6"/>
        <w:numPr>
          <w:ilvl w:val="1"/>
          <w:numId w:val="9"/>
        </w:numPr>
        <w:rPr>
          <w:color w:val="auto"/>
          <w:sz w:val="32"/>
          <w:szCs w:val="32"/>
          <w:highlight w:val="none"/>
        </w:rPr>
      </w:pPr>
      <w:bookmarkStart w:id="339" w:name="_Toc13614"/>
      <w:bookmarkStart w:id="340" w:name="_Toc7196"/>
      <w:r>
        <w:rPr>
          <w:color w:val="auto"/>
          <w:sz w:val="32"/>
          <w:szCs w:val="32"/>
          <w:highlight w:val="none"/>
        </w:rPr>
        <w:t>产业政策、选址合理性分析</w:t>
      </w:r>
      <w:bookmarkEnd w:id="339"/>
      <w:bookmarkEnd w:id="340"/>
    </w:p>
    <w:p w14:paraId="33F80051">
      <w:pPr>
        <w:ind w:firstLine="480"/>
        <w:rPr>
          <w:color w:val="auto"/>
          <w:highlight w:val="none"/>
        </w:rPr>
      </w:pPr>
      <w:r>
        <w:rPr>
          <w:color w:val="auto"/>
          <w:highlight w:val="none"/>
        </w:rPr>
        <w:t>根据</w:t>
      </w:r>
      <w:r>
        <w:rPr>
          <w:rFonts w:hint="eastAsia"/>
          <w:color w:val="auto"/>
          <w:highlight w:val="none"/>
          <w:lang w:eastAsia="zh-CN"/>
        </w:rPr>
        <w:t>国家发展改革委</w:t>
      </w:r>
      <w:r>
        <w:rPr>
          <w:color w:val="auto"/>
          <w:highlight w:val="none"/>
        </w:rPr>
        <w:t>《产业结构调整指导目录（2024年本）》，本项目10万吨级浮船坞、门座式起重机等设施，属于鼓励类中“十七、船舶及海洋工程装备——特种船舶和特殊用途船舶中的港口作业船和起重船”，项目的建设符合国家产业政策。项目位于中船广西公司钦州基地内，选址符合《</w:t>
      </w:r>
      <w:r>
        <w:rPr>
          <w:rFonts w:hint="eastAsia"/>
          <w:color w:val="auto"/>
          <w:highlight w:val="none"/>
        </w:rPr>
        <w:t>北部湾港</w:t>
      </w:r>
      <w:r>
        <w:rPr>
          <w:color w:val="auto"/>
          <w:highlight w:val="none"/>
        </w:rPr>
        <w:t>总体规划（2035年）》要求。</w:t>
      </w:r>
    </w:p>
    <w:p w14:paraId="4C30F28D">
      <w:pPr>
        <w:pStyle w:val="6"/>
        <w:numPr>
          <w:ilvl w:val="1"/>
          <w:numId w:val="9"/>
        </w:numPr>
        <w:rPr>
          <w:color w:val="auto"/>
          <w:sz w:val="32"/>
          <w:szCs w:val="32"/>
          <w:highlight w:val="none"/>
        </w:rPr>
      </w:pPr>
      <w:bookmarkStart w:id="341" w:name="_Toc2995"/>
      <w:bookmarkStart w:id="342" w:name="_Toc11177"/>
      <w:r>
        <w:rPr>
          <w:color w:val="auto"/>
          <w:sz w:val="32"/>
          <w:szCs w:val="32"/>
          <w:highlight w:val="none"/>
        </w:rPr>
        <w:t>公众参与评价结论</w:t>
      </w:r>
      <w:bookmarkEnd w:id="341"/>
      <w:bookmarkEnd w:id="342"/>
    </w:p>
    <w:p w14:paraId="0CD5DDDF">
      <w:pPr>
        <w:ind w:firstLine="480"/>
        <w:rPr>
          <w:color w:val="auto"/>
          <w:highlight w:val="none"/>
        </w:rPr>
      </w:pPr>
      <w:r>
        <w:rPr>
          <w:color w:val="auto"/>
          <w:highlight w:val="none"/>
        </w:rPr>
        <w:t>根据《环境影响评价公众参与办法》（部令4号），项目公众参与针对受影响范围内的公众采用现场公示及报纸公示方</w:t>
      </w:r>
      <w:r>
        <w:rPr>
          <w:rFonts w:hint="eastAsia"/>
          <w:color w:val="auto"/>
          <w:highlight w:val="none"/>
          <w:lang w:eastAsia="zh-CN"/>
        </w:rPr>
        <w:t>式</w:t>
      </w:r>
      <w:r>
        <w:rPr>
          <w:color w:val="auto"/>
          <w:highlight w:val="none"/>
        </w:rPr>
        <w:t>进行调查，均无收到受访反馈。根据公众调查结果，无人反对该项目的建设。本次公众参与调查方法适当，符合《环境影响评价公众参与办法》（部令4号）规定，公众参与具体见“项目环境影响评价公众参与说明”。</w:t>
      </w:r>
    </w:p>
    <w:p w14:paraId="03AD74E7">
      <w:pPr>
        <w:pStyle w:val="6"/>
        <w:numPr>
          <w:ilvl w:val="1"/>
          <w:numId w:val="9"/>
        </w:numPr>
        <w:rPr>
          <w:color w:val="auto"/>
          <w:sz w:val="32"/>
          <w:szCs w:val="32"/>
          <w:highlight w:val="none"/>
        </w:rPr>
      </w:pPr>
      <w:bookmarkStart w:id="343" w:name="_Toc17559"/>
      <w:bookmarkStart w:id="344" w:name="_Toc31327"/>
      <w:r>
        <w:rPr>
          <w:color w:val="auto"/>
          <w:sz w:val="32"/>
          <w:szCs w:val="32"/>
          <w:highlight w:val="none"/>
        </w:rPr>
        <w:t>环境影响经济损益分析结论</w:t>
      </w:r>
      <w:bookmarkEnd w:id="343"/>
      <w:bookmarkEnd w:id="344"/>
    </w:p>
    <w:p w14:paraId="306A80EF">
      <w:pPr>
        <w:ind w:firstLine="480"/>
        <w:rPr>
          <w:color w:val="auto"/>
          <w:highlight w:val="none"/>
        </w:rPr>
      </w:pPr>
      <w:r>
        <w:rPr>
          <w:color w:val="auto"/>
          <w:highlight w:val="none"/>
        </w:rPr>
        <w:t>项目总投资为35000万元，其中环保投资为125万元，环保投资占投资的0.36%。资金由建设单位自筹。项目环保投资合理，环境治理效益明显，环保措施经济效益为正效益，项目经济效益大于环境损失，从环境经济学角度来看，项目建设是可行的。</w:t>
      </w:r>
    </w:p>
    <w:p w14:paraId="00E12174">
      <w:pPr>
        <w:pStyle w:val="6"/>
        <w:numPr>
          <w:ilvl w:val="1"/>
          <w:numId w:val="9"/>
        </w:numPr>
        <w:rPr>
          <w:color w:val="auto"/>
          <w:sz w:val="32"/>
          <w:szCs w:val="32"/>
          <w:highlight w:val="none"/>
        </w:rPr>
      </w:pPr>
      <w:bookmarkStart w:id="345" w:name="_Toc8758"/>
      <w:bookmarkStart w:id="346" w:name="_Toc18980"/>
      <w:r>
        <w:rPr>
          <w:color w:val="auto"/>
          <w:sz w:val="32"/>
          <w:szCs w:val="32"/>
          <w:highlight w:val="none"/>
        </w:rPr>
        <w:t>环境管理及监测计划</w:t>
      </w:r>
      <w:bookmarkEnd w:id="345"/>
      <w:bookmarkEnd w:id="346"/>
    </w:p>
    <w:p w14:paraId="57CCFD56">
      <w:pPr>
        <w:ind w:firstLine="480"/>
        <w:rPr>
          <w:color w:val="auto"/>
          <w:highlight w:val="none"/>
        </w:rPr>
      </w:pPr>
      <w:r>
        <w:rPr>
          <w:color w:val="auto"/>
          <w:highlight w:val="none"/>
        </w:rPr>
        <w:t>项目建成投产后，其环境管理工作纳入公司管理体系，并按照环境管理要求，搞好生产管理的同时，也做好环境管理工作，项目需设立环境管理机构，负责整个场区环境管理和日常环境监测工作，建立健全日常环境管理制度，负责对环保设施的操作维护保养及污染物排放情况进行监督调查，同时要做好记录。该项目建成后，为了更好的对项目运行期的环境影响及环境保护措施进行监督和检查，亦应制定相应的环境监测计划，定期按环境监测计划要求进行监测，向环保部门提交监测报告。</w:t>
      </w:r>
    </w:p>
    <w:p w14:paraId="6E1FADCC">
      <w:pPr>
        <w:pStyle w:val="6"/>
        <w:numPr>
          <w:ilvl w:val="1"/>
          <w:numId w:val="9"/>
        </w:numPr>
        <w:rPr>
          <w:color w:val="auto"/>
          <w:sz w:val="32"/>
          <w:szCs w:val="32"/>
          <w:highlight w:val="none"/>
        </w:rPr>
      </w:pPr>
      <w:bookmarkStart w:id="347" w:name="_Toc4933"/>
      <w:bookmarkStart w:id="348" w:name="_Toc12153"/>
      <w:r>
        <w:rPr>
          <w:color w:val="auto"/>
          <w:sz w:val="32"/>
          <w:szCs w:val="32"/>
          <w:highlight w:val="none"/>
        </w:rPr>
        <w:t>结论</w:t>
      </w:r>
      <w:bookmarkEnd w:id="347"/>
      <w:bookmarkEnd w:id="348"/>
    </w:p>
    <w:p w14:paraId="505B6372">
      <w:pPr>
        <w:ind w:firstLine="480"/>
        <w:rPr>
          <w:color w:val="auto"/>
          <w:highlight w:val="none"/>
        </w:rPr>
      </w:pPr>
      <w:r>
        <w:rPr>
          <w:color w:val="auto"/>
          <w:highlight w:val="none"/>
        </w:rPr>
        <w:t>项目位于广西壮族自治区钦州市钦州港三墩大道，符合国家产业政策及相关环保规划的要求。项目在严格遵守国家及地方相关法律、法规的要求，认真落实报告书中所提出的各项环境保护措施，并遵循“三同时”的前提下，本项目达标排放的各种污染物对周围环境影响较小，不改变区域环境功能属性，环境风险水平可接受。因此，从环境保护的角度分析，本工程的建设是可行的。</w:t>
      </w:r>
      <w:bookmarkEnd w:id="321"/>
    </w:p>
    <w:p w14:paraId="5D02DB76">
      <w:pPr>
        <w:ind w:firstLine="480"/>
        <w:rPr>
          <w:color w:val="auto"/>
          <w:highlight w:val="none"/>
        </w:rPr>
      </w:pPr>
    </w:p>
    <w:p w14:paraId="51AA2FE8">
      <w:pPr>
        <w:ind w:firstLine="480"/>
        <w:rPr>
          <w:color w:val="auto"/>
          <w:highlight w:val="none"/>
        </w:rPr>
      </w:pPr>
    </w:p>
    <w:p w14:paraId="08FCC2A8">
      <w:pPr>
        <w:ind w:firstLine="480"/>
        <w:rPr>
          <w:color w:val="auto"/>
          <w:highlight w:val="none"/>
        </w:rPr>
      </w:pPr>
    </w:p>
    <w:p w14:paraId="63C465AB">
      <w:pPr>
        <w:ind w:firstLine="480"/>
        <w:rPr>
          <w:color w:val="auto"/>
          <w:highlight w:val="none"/>
        </w:rPr>
      </w:pPr>
    </w:p>
    <w:sectPr>
      <w:headerReference r:id="rId55" w:type="default"/>
      <w:footerReference r:id="rId56" w:type="default"/>
      <w:pgSz w:w="11906" w:h="16838"/>
      <w:pgMar w:top="1559" w:right="1418" w:bottom="1503" w:left="1418" w:header="851" w:footer="964" w:gutter="0"/>
      <w:cols w:space="720"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Arial Unicode MS">
    <w:altName w:val="宋体"/>
    <w:panose1 w:val="020B0604020202020204"/>
    <w:charset w:val="86"/>
    <w:family w:val="roman"/>
    <w:pitch w:val="default"/>
    <w:sig w:usb0="00000000" w:usb1="00000000" w:usb2="0000003F" w:usb3="00000000" w:csb0="603F01FF" w:csb1="FFFF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monospace">
    <w:altName w:val="Times New Roman"/>
    <w:panose1 w:val="00000000000000000000"/>
    <w:charset w:val="00"/>
    <w:family w:val="auto"/>
    <w:pitch w:val="default"/>
    <w:sig w:usb0="00000000" w:usb1="00000000" w:usb2="00000000"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ˎ̥">
    <w:altName w:val="Times New Roman"/>
    <w:panose1 w:val="00000000000000000000"/>
    <w:charset w:val="00"/>
    <w:family w:val="roman"/>
    <w:pitch w:val="default"/>
    <w:sig w:usb0="00000000" w:usb1="00000000" w:usb2="00000000" w:usb3="00000000" w:csb0="00000000" w:csb1="00000000"/>
  </w:font>
  <w:font w:name="Tahoma">
    <w:panose1 w:val="020B0604030504040204"/>
    <w:charset w:val="00"/>
    <w:family w:val="swiss"/>
    <w:pitch w:val="default"/>
    <w:sig w:usb0="E1002EFF" w:usb1="C000605B" w:usb2="00000029" w:usb3="00000000" w:csb0="200101FF" w:csb1="20280000"/>
  </w:font>
  <w:font w:name="..">
    <w:altName w:val="黑体"/>
    <w:panose1 w:val="00000000000000000000"/>
    <w:charset w:val="86"/>
    <w:family w:val="auto"/>
    <w:pitch w:val="default"/>
    <w:sig w:usb0="00000000" w:usb1="00000000" w:usb2="00000010" w:usb3="00000000" w:csb0="00040000" w:csb1="00000000"/>
  </w:font>
  <w:font w:name="华文楷体">
    <w:altName w:val="宋体"/>
    <w:panose1 w:val="02010600040101010101"/>
    <w:charset w:val="86"/>
    <w:family w:val="auto"/>
    <w:pitch w:val="default"/>
    <w:sig w:usb0="00000000" w:usb1="00000000" w:usb2="00000000" w:usb3="00000000" w:csb0="0004009F" w:csb1="DFD70000"/>
  </w:font>
  <w:font w:name="MingLiU">
    <w:panose1 w:val="02020509000000000000"/>
    <w:charset w:val="88"/>
    <w:family w:val="modern"/>
    <w:pitch w:val="default"/>
    <w:sig w:usb0="A00002FF" w:usb1="28CFFCFA" w:usb2="00000016" w:usb3="00000000" w:csb0="00100001" w:csb1="00000000"/>
  </w:font>
  <w:font w:name="TimesNewRomanPSMT">
    <w:altName w:val="宋体"/>
    <w:panose1 w:val="00000000000000000000"/>
    <w:charset w:val="00"/>
    <w:family w:val="auto"/>
    <w:pitch w:val="default"/>
    <w:sig w:usb0="00000000" w:usb1="00000000" w:usb2="00000000" w:usb3="00000000" w:csb0="00040001" w:csb1="00000000"/>
  </w:font>
  <w:font w:name="华文细黑">
    <w:altName w:val="微软雅黑"/>
    <w:panose1 w:val="02010600040101010101"/>
    <w:charset w:val="86"/>
    <w:family w:val="auto"/>
    <w:pitch w:val="default"/>
    <w:sig w:usb0="00000000" w:usb1="00000000" w:usb2="00000000" w:usb3="00000000" w:csb0="0004009F" w:csb1="DFD70000"/>
  </w:font>
  <w:font w:name="Verdana">
    <w:panose1 w:val="020B0604030504040204"/>
    <w:charset w:val="00"/>
    <w:family w:val="swiss"/>
    <w:pitch w:val="default"/>
    <w:sig w:usb0="A10006FF" w:usb1="4000205B" w:usb2="00000010" w:usb3="00000000" w:csb0="2000019F" w:csb1="00000000"/>
  </w:font>
  <w:font w:name="Arial Narrow">
    <w:altName w:val="Arial"/>
    <w:panose1 w:val="020B0606020202030204"/>
    <w:charset w:val="00"/>
    <w:family w:val="swiss"/>
    <w:pitch w:val="default"/>
    <w:sig w:usb0="00000000" w:usb1="00000000" w:usb2="00000000" w:usb3="00000000" w:csb0="2000009F" w:csb1="DFD70000"/>
  </w:font>
  <w:font w:name="LucidaConsole">
    <w:altName w:val="Times New Roman"/>
    <w:panose1 w:val="00000000000000000000"/>
    <w:charset w:val="00"/>
    <w:family w:val="roman"/>
    <w:pitch w:val="default"/>
    <w:sig w:usb0="00000000" w:usb1="00000000" w:usb2="00000000" w:usb3="00000000" w:csb0="00040001" w:csb1="00000000"/>
  </w:font>
  <w:font w:name="Roman 10cpi">
    <w:altName w:val="MS Gothic"/>
    <w:panose1 w:val="00000000000000000000"/>
    <w:charset w:val="00"/>
    <w:family w:val="roman"/>
    <w:pitch w:val="default"/>
    <w:sig w:usb0="00000000" w:usb1="00000000" w:usb2="0000006E" w:usb3="81540000" w:csb0="00000001" w:csb1="8155A1AC"/>
  </w:font>
  <w:font w:name="MS Gothic">
    <w:panose1 w:val="020B0609070205080204"/>
    <w:charset w:val="80"/>
    <w:family w:val="auto"/>
    <w:pitch w:val="default"/>
    <w:sig w:usb0="E00002FF" w:usb1="6AC7FDFB" w:usb2="00000012" w:usb3="00000000" w:csb0="4002009F" w:csb1="DFD70000"/>
  </w:font>
  <w:font w:name="·...">
    <w:altName w:val="黑体"/>
    <w:panose1 w:val="00000000000000000000"/>
    <w:charset w:val="86"/>
    <w:family w:val="modern"/>
    <w:pitch w:val="default"/>
    <w:sig w:usb0="00000000" w:usb1="00000000" w:usb2="00000010" w:usb3="00000000" w:csb0="00040000" w:csb1="00000000"/>
  </w:font>
  <w:font w:name="Plotter">
    <w:altName w:val="Times New Roman"/>
    <w:panose1 w:val="00000000000000000000"/>
    <w:charset w:val="00"/>
    <w:family w:val="roman"/>
    <w:pitch w:val="default"/>
    <w:sig w:usb0="00000000" w:usb1="00000000" w:usb2="00000000" w:usb3="00000000" w:csb0="00000001" w:csb1="00000000"/>
  </w:font>
  <w:font w:name="华文中宋">
    <w:altName w:val="宋体"/>
    <w:panose1 w:val="02010600040101010101"/>
    <w:charset w:val="86"/>
    <w:family w:val="auto"/>
    <w:pitch w:val="default"/>
    <w:sig w:usb0="00000000" w:usb1="00000000" w:usb2="00000000" w:usb3="00000000" w:csb0="0004009F" w:csb1="DFD70000"/>
  </w:font>
  <w:font w:name="等线">
    <w:altName w:val="微软雅黑"/>
    <w:panose1 w:val="02010600030101010101"/>
    <w:charset w:val="86"/>
    <w:family w:val="auto"/>
    <w:pitch w:val="default"/>
    <w:sig w:usb0="00000000" w:usb1="00000000" w:usb2="00000016" w:usb3="00000000" w:csb0="0004000F" w:csb1="00000000"/>
  </w:font>
  <w:font w:name="新宋体">
    <w:panose1 w:val="02010609030101010101"/>
    <w:charset w:val="86"/>
    <w:family w:val="modern"/>
    <w:pitch w:val="default"/>
    <w:sig w:usb0="00000003" w:usb1="288F0000" w:usb2="00000006" w:usb3="00000000" w:csb0="00040001" w:csb1="00000000"/>
  </w:font>
  <w:font w:name="华文仿宋">
    <w:altName w:val="仿宋"/>
    <w:panose1 w:val="02010600040101010101"/>
    <w:charset w:val="86"/>
    <w:family w:val="auto"/>
    <w:pitch w:val="default"/>
    <w:sig w:usb0="00000000" w:usb1="00000000" w:usb2="00000000" w:usb3="00000000" w:csb0="0004009F" w:csb1="DFD70000"/>
  </w:font>
  <w:font w:name="MS Mincho">
    <w:panose1 w:val="02020609040205080304"/>
    <w:charset w:val="80"/>
    <w:family w:val="modern"/>
    <w:pitch w:val="default"/>
    <w:sig w:usb0="E00002FF" w:usb1="6AC7FDFB" w:usb2="00000012" w:usb3="00000000" w:csb0="4002009F" w:csb1="DFD70000"/>
  </w:font>
  <w:font w:name="Cambria Math">
    <w:panose1 w:val="02040503050406030204"/>
    <w:charset w:val="00"/>
    <w:family w:val="roman"/>
    <w:pitch w:val="default"/>
    <w:sig w:usb0="E00002FF" w:usb1="420024FF" w:usb2="00000000" w:usb3="00000000" w:csb0="2000019F" w:csb1="00000000"/>
  </w:font>
  <w:font w:name="F2">
    <w:altName w:val="Times New Roman"/>
    <w:panose1 w:val="00000000000000000000"/>
    <w:charset w:val="00"/>
    <w:family w:val="auto"/>
    <w:pitch w:val="default"/>
    <w:sig w:usb0="00000000" w:usb1="00000000" w:usb2="00000000" w:usb3="00000000" w:csb0="00000000" w:csb1="00000000"/>
  </w:font>
  <w:font w:name="微软雅黑">
    <w:panose1 w:val="020B0503020204020204"/>
    <w:charset w:val="86"/>
    <w:family w:val="swiss"/>
    <w:pitch w:val="default"/>
    <w:sig w:usb0="80000287" w:usb1="280F3C52" w:usb2="00000016" w:usb3="00000000" w:csb0="0004001F" w:csb1="00000000"/>
  </w:font>
  <w:font w:name="TimesNewRoman">
    <w:altName w:val="MS Mincho"/>
    <w:panose1 w:val="00000000000000000000"/>
    <w:charset w:val="80"/>
    <w:family w:val="auto"/>
    <w:pitch w:val="default"/>
    <w:sig w:usb0="00000000" w:usb1="00000000" w:usb2="00000010" w:usb3="00000000" w:csb0="00020000" w:csb1="00000000"/>
  </w:font>
  <w:font w:name="Gulim">
    <w:panose1 w:val="020B0600000101010101"/>
    <w:charset w:val="81"/>
    <w:family w:val="auto"/>
    <w:pitch w:val="default"/>
    <w:sig w:usb0="B00002AF" w:usb1="69D77CFB" w:usb2="00000030" w:usb3="00000000" w:csb0="4008009F" w:csb1="DFD70000"/>
  </w:font>
  <w:font w:name="MS PGothic">
    <w:panose1 w:val="020B0600070205080204"/>
    <w:charset w:val="80"/>
    <w:family w:val="auto"/>
    <w:pitch w:val="default"/>
    <w:sig w:usb0="E00002FF" w:usb1="6AC7FDFB" w:usb2="00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EC49EB">
    <w:pPr>
      <w:pStyle w:val="59"/>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BCBA45">
    <w:pPr>
      <w:pStyle w:val="59"/>
      <w:pBdr>
        <w:top w:val="thinThickSmallGap" w:color="auto" w:sz="12" w:space="1"/>
        <w:left w:val="none" w:color="auto" w:sz="0" w:space="4"/>
        <w:bottom w:val="none" w:color="auto" w:sz="0" w:space="1"/>
        <w:right w:val="none" w:color="auto" w:sz="0" w:space="4"/>
      </w:pBdr>
      <w:jc w:val="right"/>
      <w:rPr>
        <w:sz w:val="21"/>
        <w:szCs w:val="21"/>
      </w:rPr>
    </w:pPr>
    <w:r>
      <w:rPr>
        <w:sz w:val="21"/>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78BDF1">
                          <w:pPr>
                            <w:pStyle w:val="59"/>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208</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cMibgsAgAAV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FwyJuCwCAABVBAAADgAAAAAAAAABACAAAAAfAQAAZHJzL2Uyb0RvYy54bWxQSwUGAAAAAAYA&#10;BgBZAQAAvQUAAAAA&#10;">
              <v:fill on="f" focussize="0,0"/>
              <v:stroke on="f" weight="0.5pt"/>
              <v:imagedata o:title=""/>
              <o:lock v:ext="edit" aspectratio="f"/>
              <v:textbox inset="0mm,0mm,0mm,0mm" style="mso-fit-shape-to-text:t;">
                <w:txbxContent>
                  <w:p w14:paraId="1778BDF1">
                    <w:pPr>
                      <w:pStyle w:val="59"/>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208</w:t>
                    </w:r>
                    <w:r>
                      <w:rPr>
                        <w:sz w:val="21"/>
                        <w:szCs w:val="21"/>
                      </w:rPr>
                      <w:fldChar w:fldCharType="end"/>
                    </w:r>
                  </w:p>
                </w:txbxContent>
              </v:textbox>
            </v:shape>
          </w:pict>
        </mc:Fallback>
      </mc:AlternateContent>
    </w:r>
    <w:r>
      <w:rPr>
        <w:rFonts w:hint="eastAsia"/>
        <w:sz w:val="21"/>
        <w:szCs w:val="21"/>
      </w:rPr>
      <w:t>广西南宁师源环保科技有限公司</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5E1A5E">
    <w:pPr>
      <w:pStyle w:val="59"/>
      <w:pBdr>
        <w:top w:val="thinThickSmallGap" w:color="auto" w:sz="12" w:space="1"/>
        <w:left w:val="none" w:color="auto" w:sz="0" w:space="4"/>
        <w:bottom w:val="none" w:color="auto" w:sz="0" w:space="1"/>
        <w:right w:val="none" w:color="auto" w:sz="0" w:space="4"/>
      </w:pBdr>
      <w:jc w:val="right"/>
      <w:rPr>
        <w:sz w:val="21"/>
        <w:szCs w:val="21"/>
      </w:rPr>
    </w:pPr>
    <w:r>
      <w:rPr>
        <w:sz w:val="21"/>
        <w:szCs w:val="21"/>
      </w:rPr>
      <mc:AlternateContent>
        <mc:Choice Requires="wps">
          <w:drawing>
            <wp:anchor distT="0" distB="0" distL="114300" distR="114300" simplePos="0" relativeHeight="251668480" behindDoc="0" locked="0" layoutInCell="1" allowOverlap="1">
              <wp:simplePos x="0" y="0"/>
              <wp:positionH relativeFrom="margin">
                <wp:posOffset>2760980</wp:posOffset>
              </wp:positionH>
              <wp:positionV relativeFrom="paragraph">
                <wp:posOffset>-8890</wp:posOffset>
              </wp:positionV>
              <wp:extent cx="217805" cy="191770"/>
              <wp:effectExtent l="0" t="0" r="0" b="0"/>
              <wp:wrapNone/>
              <wp:docPr id="3" name="文本框 3"/>
              <wp:cNvGraphicFramePr/>
              <a:graphic xmlns:a="http://schemas.openxmlformats.org/drawingml/2006/main">
                <a:graphicData uri="http://schemas.microsoft.com/office/word/2010/wordprocessingShape">
                  <wps:wsp>
                    <wps:cNvSpPr txBox="1"/>
                    <wps:spPr>
                      <a:xfrm>
                        <a:off x="0" y="0"/>
                        <a:ext cx="217805" cy="191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F3FB65">
                          <w:pPr>
                            <w:pStyle w:val="59"/>
                            <w:jc w:val="center"/>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24</w:t>
                          </w:r>
                          <w:r>
                            <w:rPr>
                              <w:sz w:val="21"/>
                              <w:szCs w:val="21"/>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17.4pt;margin-top:-0.7pt;height:15.1pt;width:17.15pt;mso-position-horizontal-relative:margin;z-index:251668480;mso-width-relative:page;mso-height-relative:page;" filled="f" stroked="f" coordsize="21600,21600" o:gfxdata="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KqiqQ/ZAAAACQEAAA8AAAAAAAAAAQAgAAAAIgAAAGRycy9kb3ducmV2Lnht&#10;bFBLAQIUABQAAAAIAIdO4kDIRuhbMQIAAFUEAAAOAAAAAAAAAAEAIAAAACgBAABkcnMvZTJvRG9j&#10;LnhtbFBLBQYAAAAABgAGAFkBAADLBQAAAAA=&#10;">
              <v:fill on="f" focussize="0,0"/>
              <v:stroke on="f" weight="0.5pt"/>
              <v:imagedata o:title=""/>
              <o:lock v:ext="edit" aspectratio="f"/>
              <v:textbox inset="0mm,0mm,0mm,0mm">
                <w:txbxContent>
                  <w:p w14:paraId="50F3FB65">
                    <w:pPr>
                      <w:pStyle w:val="59"/>
                      <w:jc w:val="center"/>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24</w:t>
                    </w:r>
                    <w:r>
                      <w:rPr>
                        <w:sz w:val="21"/>
                        <w:szCs w:val="21"/>
                      </w:rPr>
                      <w:fldChar w:fldCharType="end"/>
                    </w:r>
                  </w:p>
                </w:txbxContent>
              </v:textbox>
            </v:shape>
          </w:pict>
        </mc:Fallback>
      </mc:AlternateContent>
    </w:r>
    <w:r>
      <w:rPr>
        <w:rFonts w:hint="eastAsia"/>
        <w:sz w:val="21"/>
        <w:szCs w:val="21"/>
      </w:rPr>
      <w:t>广西南宁师源环保科技有限公司</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83C33B">
    <w:pPr>
      <w:pStyle w:val="5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B11D99">
    <w:pPr>
      <w:pStyle w:val="59"/>
      <w:pBdr>
        <w:top w:val="thinThickSmallGap" w:color="auto" w:sz="12" w:space="1"/>
        <w:left w:val="none" w:color="auto" w:sz="0" w:space="4"/>
        <w:bottom w:val="none" w:color="auto" w:sz="0" w:space="1"/>
        <w:right w:val="none" w:color="auto" w:sz="0" w:space="4"/>
      </w:pBdr>
      <w:jc w:val="right"/>
      <w:rPr>
        <w:sz w:val="21"/>
        <w:szCs w:val="21"/>
      </w:rPr>
    </w:pPr>
    <w:r>
      <w:rPr>
        <w:sz w:val="21"/>
        <w:szCs w:val="21"/>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3E5EA6">
                          <w:pPr>
                            <w:pStyle w:val="59"/>
                            <w:rPr>
                              <w:sz w:val="21"/>
                              <w:szCs w:val="21"/>
                            </w:rPr>
                          </w:pPr>
                          <w:r>
                            <w:rPr>
                              <w:sz w:val="21"/>
                              <w:szCs w:val="21"/>
                            </w:rPr>
                            <w:t xml:space="preserve">第 </w:t>
                          </w: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r>
                            <w:rPr>
                              <w:sz w:val="21"/>
                              <w:szCs w:val="21"/>
                            </w:rP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043E5EA6">
                    <w:pPr>
                      <w:pStyle w:val="59"/>
                      <w:rPr>
                        <w:sz w:val="21"/>
                        <w:szCs w:val="21"/>
                      </w:rPr>
                    </w:pPr>
                    <w:r>
                      <w:rPr>
                        <w:sz w:val="21"/>
                        <w:szCs w:val="21"/>
                      </w:rPr>
                      <w:t xml:space="preserve">第 </w:t>
                    </w: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r>
                      <w:rPr>
                        <w:sz w:val="21"/>
                        <w:szCs w:val="21"/>
                      </w:rPr>
                      <w:t xml:space="preserve"> 页</w:t>
                    </w:r>
                  </w:p>
                </w:txbxContent>
              </v:textbox>
            </v:shape>
          </w:pict>
        </mc:Fallback>
      </mc:AlternateContent>
    </w:r>
    <w:r>
      <w:rPr>
        <w:rFonts w:hint="eastAsia"/>
        <w:sz w:val="21"/>
        <w:szCs w:val="21"/>
      </w:rPr>
      <w:t>广西南宁师源环保科技有限公司</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7E966E">
    <w:pPr>
      <w:pStyle w:val="59"/>
      <w:pBdr>
        <w:top w:val="thinThickSmallGap" w:color="auto" w:sz="12" w:space="1"/>
        <w:left w:val="none" w:color="auto" w:sz="0" w:space="4"/>
        <w:bottom w:val="none" w:color="auto" w:sz="0" w:space="1"/>
        <w:right w:val="none" w:color="auto" w:sz="0" w:space="4"/>
      </w:pBdr>
      <w:jc w:val="right"/>
      <w:rPr>
        <w:sz w:val="21"/>
        <w:szCs w:val="21"/>
      </w:rPr>
    </w:pPr>
    <w:r>
      <w:rPr>
        <w:sz w:val="21"/>
        <w:szCs w:val="21"/>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3D0598">
                          <w:pPr>
                            <w:pStyle w:val="59"/>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24</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NLTQM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0tNAywCAABXBAAADgAAAAAAAAABACAAAAAfAQAAZHJzL2Uyb0RvYy54bWxQSwUGAAAAAAYA&#10;BgBZAQAAvQUAAAAA&#10;">
              <v:fill on="f" focussize="0,0"/>
              <v:stroke on="f" weight="0.5pt"/>
              <v:imagedata o:title=""/>
              <o:lock v:ext="edit" aspectratio="f"/>
              <v:textbox inset="0mm,0mm,0mm,0mm" style="mso-fit-shape-to-text:t;">
                <w:txbxContent>
                  <w:p w14:paraId="103D0598">
                    <w:pPr>
                      <w:pStyle w:val="59"/>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24</w:t>
                    </w:r>
                    <w:r>
                      <w:rPr>
                        <w:sz w:val="21"/>
                        <w:szCs w:val="21"/>
                      </w:rPr>
                      <w:fldChar w:fldCharType="end"/>
                    </w:r>
                  </w:p>
                </w:txbxContent>
              </v:textbox>
            </v:shape>
          </w:pict>
        </mc:Fallback>
      </mc:AlternateContent>
    </w:r>
    <w:r>
      <w:rPr>
        <w:rFonts w:hint="eastAsia"/>
        <w:sz w:val="21"/>
        <w:szCs w:val="21"/>
      </w:rPr>
      <w:t>广西南宁师源环保科技有限公司</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2217B0">
    <w:pPr>
      <w:pStyle w:val="59"/>
      <w:pBdr>
        <w:top w:val="thinThickSmallGap" w:color="auto" w:sz="12" w:space="1"/>
        <w:left w:val="none" w:color="auto" w:sz="0" w:space="4"/>
        <w:bottom w:val="none" w:color="auto" w:sz="0" w:space="1"/>
        <w:right w:val="none" w:color="auto" w:sz="0" w:space="4"/>
      </w:pBdr>
      <w:jc w:val="right"/>
      <w:rPr>
        <w:sz w:val="21"/>
        <w:szCs w:val="21"/>
      </w:rPr>
    </w:pPr>
    <w:r>
      <w:rPr>
        <w:sz w:val="21"/>
        <w:szCs w:val="21"/>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4474DB">
                          <w:pPr>
                            <w:pStyle w:val="59"/>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24</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PQ64Mt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6ZUKKZQsVPP76f&#10;fj6cfn0jOINArfUzxN1bRIbunenQNsO5x2Hk3VVOxS8YEfgh7/Eir+gC4fHSdDKd5nBx+IYN8LPH&#10;69b58F4YRaJRUIf6JVnZYeNDHzqExGzarBspUw2lJm1Br16/z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NPQ64MtAgAAVwQAAA4AAAAAAAAAAQAgAAAAHwEAAGRycy9lMm9Eb2MueG1sUEsFBgAAAAAG&#10;AAYAWQEAAL4FAAAAAA==&#10;">
              <v:fill on="f" focussize="0,0"/>
              <v:stroke on="f" weight="0.5pt"/>
              <v:imagedata o:title=""/>
              <o:lock v:ext="edit" aspectratio="f"/>
              <v:textbox inset="0mm,0mm,0mm,0mm" style="mso-fit-shape-to-text:t;">
                <w:txbxContent>
                  <w:p w14:paraId="464474DB">
                    <w:pPr>
                      <w:pStyle w:val="59"/>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24</w:t>
                    </w:r>
                    <w:r>
                      <w:rPr>
                        <w:sz w:val="21"/>
                        <w:szCs w:val="21"/>
                      </w:rPr>
                      <w:fldChar w:fldCharType="end"/>
                    </w:r>
                  </w:p>
                </w:txbxContent>
              </v:textbox>
            </v:shape>
          </w:pict>
        </mc:Fallback>
      </mc:AlternateContent>
    </w:r>
    <w:r>
      <w:rPr>
        <w:rFonts w:hint="eastAsia"/>
        <w:sz w:val="21"/>
        <w:szCs w:val="21"/>
      </w:rPr>
      <w:t>广西南宁师源环保科技有限公司</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B446E8">
    <w:pPr>
      <w:pStyle w:val="59"/>
      <w:pBdr>
        <w:top w:val="thinThickSmallGap" w:color="auto" w:sz="12" w:space="1"/>
        <w:left w:val="none" w:color="auto" w:sz="0" w:space="4"/>
        <w:bottom w:val="none" w:color="auto" w:sz="0" w:space="1"/>
        <w:right w:val="none" w:color="auto" w:sz="0" w:space="4"/>
      </w:pBdr>
      <w:jc w:val="right"/>
      <w:rPr>
        <w:sz w:val="21"/>
        <w:szCs w:val="21"/>
      </w:rPr>
    </w:pPr>
    <w:r>
      <w:rPr>
        <w:sz w:val="21"/>
        <w:szCs w:val="21"/>
      </w:rPr>
      <mc:AlternateContent>
        <mc:Choice Requires="wps">
          <w:drawing>
            <wp:anchor distT="0" distB="0" distL="114300" distR="114300" simplePos="0" relativeHeight="251666432" behindDoc="0" locked="0" layoutInCell="1" allowOverlap="1">
              <wp:simplePos x="0" y="0"/>
              <wp:positionH relativeFrom="margin">
                <wp:posOffset>3996690</wp:posOffset>
              </wp:positionH>
              <wp:positionV relativeFrom="paragraph">
                <wp:posOffset>39370</wp:posOffset>
              </wp:positionV>
              <wp:extent cx="198755" cy="18288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98783" cy="1828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91D58C">
                          <w:pPr>
                            <w:pStyle w:val="59"/>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24</w:t>
                          </w:r>
                          <w:r>
                            <w:rPr>
                              <w:sz w:val="21"/>
                              <w:szCs w:val="21"/>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14.7pt;margin-top:3.1pt;height:14.4pt;width:15.65pt;mso-position-horizontal-relative:margin;z-index:251666432;mso-width-relative:page;mso-height-relative:page;" filled="f" stroked="f" coordsize="21600,21600" o:gfxdata="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3fn0Q1wAAAAgBAAAPAAAAAAAAAAEAIAAAACIAAABkcnMvZG93bnJldi54bWxQ&#10;SwECFAAUAAAACACHTuJAT/1flTECAABXBAAADgAAAAAAAAABACAAAAAmAQAAZHJzL2Uyb0RvYy54&#10;bWxQSwUGAAAAAAYABgBZAQAAyQUAAAAA&#10;">
              <v:fill on="f" focussize="0,0"/>
              <v:stroke on="f" weight="0.5pt"/>
              <v:imagedata o:title=""/>
              <o:lock v:ext="edit" aspectratio="f"/>
              <v:textbox inset="0mm,0mm,0mm,0mm">
                <w:txbxContent>
                  <w:p w14:paraId="0591D58C">
                    <w:pPr>
                      <w:pStyle w:val="59"/>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24</w:t>
                    </w:r>
                    <w:r>
                      <w:rPr>
                        <w:sz w:val="21"/>
                        <w:szCs w:val="21"/>
                      </w:rPr>
                      <w:fldChar w:fldCharType="end"/>
                    </w:r>
                  </w:p>
                </w:txbxContent>
              </v:textbox>
            </v:shape>
          </w:pict>
        </mc:Fallback>
      </mc:AlternateContent>
    </w:r>
    <w:r>
      <w:rPr>
        <w:rFonts w:hint="eastAsia"/>
        <w:sz w:val="21"/>
        <w:szCs w:val="21"/>
      </w:rPr>
      <w:t>广西南宁师源环保科技有限公司</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A72540">
    <w:pPr>
      <w:pStyle w:val="59"/>
      <w:pBdr>
        <w:top w:val="thinThickSmallGap" w:color="auto" w:sz="12" w:space="1"/>
        <w:left w:val="none" w:color="auto" w:sz="0" w:space="4"/>
        <w:bottom w:val="none" w:color="auto" w:sz="0" w:space="1"/>
        <w:right w:val="none" w:color="auto" w:sz="0" w:space="4"/>
      </w:pBdr>
      <w:jc w:val="right"/>
      <w:rPr>
        <w:sz w:val="21"/>
        <w:szCs w:val="21"/>
      </w:rPr>
    </w:pPr>
    <w:r>
      <w:rPr>
        <w:sz w:val="21"/>
        <w:szCs w:val="21"/>
      </w:rPr>
      <mc:AlternateContent>
        <mc:Choice Requires="wps">
          <w:drawing>
            <wp:anchor distT="0" distB="0" distL="114300" distR="114300" simplePos="0" relativeHeight="251667456" behindDoc="0" locked="0" layoutInCell="1" allowOverlap="1">
              <wp:simplePos x="0" y="0"/>
              <wp:positionH relativeFrom="margin">
                <wp:posOffset>2844165</wp:posOffset>
              </wp:positionH>
              <wp:positionV relativeFrom="paragraph">
                <wp:posOffset>-15875</wp:posOffset>
              </wp:positionV>
              <wp:extent cx="198755" cy="18288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198783" cy="1828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588E82">
                          <w:pPr>
                            <w:pStyle w:val="59"/>
                            <w:jc w:val="center"/>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24</w:t>
                          </w:r>
                          <w:r>
                            <w:rPr>
                              <w:sz w:val="21"/>
                              <w:szCs w:val="21"/>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23.95pt;margin-top:-1.25pt;height:14.4pt;width:15.65pt;mso-position-horizontal-relative:margin;z-index:251667456;mso-width-relative:page;mso-height-relative:page;" filled="f" stroked="f" coordsize="21600,21600" o:gfxdata="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vO/KEtcAAAAJAQAADwAAAAAAAAABACAAAAAiAAAAZHJzL2Rvd25yZXYueG1s&#10;UEsBAhQAFAAAAAgAh07iQDle2wIyAgAAVwQAAA4AAAAAAAAAAQAgAAAAJgEAAGRycy9lMm9Eb2Mu&#10;eG1sUEsFBgAAAAAGAAYAWQEAAMoFAAAAAA==&#10;">
              <v:fill on="f" focussize="0,0"/>
              <v:stroke on="f" weight="0.5pt"/>
              <v:imagedata o:title=""/>
              <o:lock v:ext="edit" aspectratio="f"/>
              <v:textbox inset="0mm,0mm,0mm,0mm">
                <w:txbxContent>
                  <w:p w14:paraId="6A588E82">
                    <w:pPr>
                      <w:pStyle w:val="59"/>
                      <w:jc w:val="center"/>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24</w:t>
                    </w:r>
                    <w:r>
                      <w:rPr>
                        <w:sz w:val="21"/>
                        <w:szCs w:val="21"/>
                      </w:rPr>
                      <w:fldChar w:fldCharType="end"/>
                    </w:r>
                  </w:p>
                </w:txbxContent>
              </v:textbox>
            </v:shape>
          </w:pict>
        </mc:Fallback>
      </mc:AlternateContent>
    </w:r>
    <w:r>
      <w:rPr>
        <w:rFonts w:hint="eastAsia"/>
        <w:sz w:val="21"/>
        <w:szCs w:val="21"/>
      </w:rPr>
      <w:t>广西南宁师源环保科技有限公司</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7F09A8">
    <w:pPr>
      <w:ind w:firstLine="48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D37E75">
    <w:pPr>
      <w:ind w:firstLine="48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6250A6">
    <w:pPr>
      <w:pStyle w:val="61"/>
      <w:pBdr>
        <w:bottom w:val="none" w:color="auto" w:sz="0" w:space="1"/>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FB2D09">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概述</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B473F7">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目录</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2DE7A2">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 xml:space="preserve">   </w:t>
    </w:r>
    <w:r>
      <w:rPr>
        <w:sz w:val="21"/>
        <w:szCs w:val="21"/>
      </w:rPr>
      <w:t xml:space="preserve">    </w:t>
    </w:r>
    <w:r>
      <w:rPr>
        <w:rFonts w:hint="eastAsia"/>
        <w:sz w:val="21"/>
        <w:szCs w:val="21"/>
      </w:rPr>
      <w:t>1、总则</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537AC2">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 xml:space="preserve">  2、建设项目工程分析</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26A48B">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 xml:space="preserve">  2、建设项目工程分析</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DADC61">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 xml:space="preserve">  2、建设项目工程分析</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E5EDC5">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 xml:space="preserve">  2、建设项目工程分析</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57B3C3">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 xml:space="preserve">  2、建设项目工程分析</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86A5CD">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 xml:space="preserve">   </w:t>
    </w:r>
    <w:r>
      <w:rPr>
        <w:sz w:val="21"/>
        <w:szCs w:val="21"/>
      </w:rPr>
      <w:t xml:space="preserve"> </w:t>
    </w:r>
    <w:r>
      <w:rPr>
        <w:rFonts w:hint="eastAsia"/>
        <w:sz w:val="21"/>
        <w:szCs w:val="21"/>
      </w:rPr>
      <w:t xml:space="preserve">  2、建设项目工程分析</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A6A4D9">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 xml:space="preserve">  2、建设项目工程分析</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26CF4C">
    <w:pPr>
      <w:pStyle w:val="61"/>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1C6937">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 xml:space="preserve">  2、建设项目工程分析</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CBBBBA">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 xml:space="preserve">  2、建设项目工程分析</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AE007F">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 xml:space="preserve">  2、建设项目工程分析</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8F2ABD">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2建设项目工程分析</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99BB16">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2建设项目工程分析</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B27C66">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2建设项目工程分析</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15530F">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2建设项目工程分析</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3212E8">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2建设项目工程分析</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615901">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2建设项目工程分析</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9E7856">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2建设项目工程分析</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9D6336">
    <w:pPr>
      <w:pStyle w:val="61"/>
      <w:pBdr>
        <w:bottom w:val="none" w:color="auto" w:sz="0" w:space="0"/>
      </w:pBd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098B83">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3环境现状调查与评价</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56FC75">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 xml:space="preserve">    3环境现状调查与评价</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5CAB64">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3环境现状调查与评价</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808DEB">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4、环境影响预测与评价</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5D45A8">
    <w:pPr>
      <w:ind w:firstLine="480"/>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8F5EC5">
    <w:pPr>
      <w:ind w:firstLine="480"/>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0B0F89">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4、环境影响预测与评价</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8E3269">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4、环境影响预测与评价</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727F00">
    <w:pPr>
      <w:pStyle w:val="61"/>
      <w:pBdr>
        <w:bottom w:val="thinThickSmallGap" w:color="auto" w:sz="12" w:space="1"/>
      </w:pBdr>
      <w:tabs>
        <w:tab w:val="center" w:pos="4153"/>
        <w:tab w:val="right" w:pos="8306"/>
      </w:tabs>
    </w:pPr>
    <w:r>
      <w:rPr>
        <w:rFonts w:hint="eastAsia"/>
      </w:rPr>
      <w:t>北部湾区域大型船舶维修保障及改装能力建设项目环境影响报告书              5、环境保护措施及其可行性论证</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F5D2EF">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        7、环境管理与监测计划</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09A366">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概述</w: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F413C3">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                                                   7、环境管理与监测计划</w: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051B65">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          8、环境影响评价结论</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43C130">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概述</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F3C887">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概述</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992978">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概述</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DD5AE4">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概述</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A074D7">
    <w:pPr>
      <w:pStyle w:val="61"/>
      <w:pBdr>
        <w:bottom w:val="thinThickSmallGap" w:color="auto" w:sz="12" w:space="1"/>
      </w:pBdr>
      <w:tabs>
        <w:tab w:val="center" w:pos="4153"/>
        <w:tab w:val="right" w:pos="8306"/>
      </w:tabs>
      <w:rPr>
        <w:sz w:val="21"/>
        <w:szCs w:val="21"/>
      </w:rPr>
    </w:pPr>
    <w:r>
      <w:rPr>
        <w:rFonts w:hint="eastAsia"/>
        <w:sz w:val="21"/>
        <w:szCs w:val="21"/>
      </w:rPr>
      <w:t>北部湾区域大型船舶维修保障及改装能力建设项目环境影响报告书</w:t>
    </w:r>
    <w:r>
      <w:rPr>
        <w:sz w:val="21"/>
        <w:szCs w:val="21"/>
      </w:rPr>
      <w:t xml:space="preserve">     </w:t>
    </w:r>
    <w:r>
      <w:rPr>
        <w:rFonts w:hint="eastAsia"/>
        <w:sz w:val="21"/>
        <w:szCs w:val="21"/>
      </w:rPr>
      <w:t xml:space="preserve">                                                            </w:t>
    </w:r>
    <w:r>
      <w:rPr>
        <w:sz w:val="21"/>
        <w:szCs w:val="21"/>
      </w:rPr>
      <w:t xml:space="preserve">     </w:t>
    </w:r>
    <w:r>
      <w:rPr>
        <w:rFonts w:hint="eastAsia"/>
        <w:sz w:val="21"/>
        <w:szCs w:val="21"/>
      </w:rPr>
      <w:t>概述</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C439CE8"/>
    <w:multiLevelType w:val="singleLevel"/>
    <w:tmpl w:val="9C439CE8"/>
    <w:lvl w:ilvl="0" w:tentative="0">
      <w:start w:val="1"/>
      <w:numFmt w:val="decimal"/>
      <w:suff w:val="nothing"/>
      <w:lvlText w:val="%1、"/>
      <w:lvlJc w:val="left"/>
    </w:lvl>
  </w:abstractNum>
  <w:abstractNum w:abstractNumId="1">
    <w:nsid w:val="AA9307AA"/>
    <w:multiLevelType w:val="singleLevel"/>
    <w:tmpl w:val="AA9307AA"/>
    <w:lvl w:ilvl="0" w:tentative="0">
      <w:start w:val="1"/>
      <w:numFmt w:val="decimal"/>
      <w:suff w:val="nothing"/>
      <w:lvlText w:val="%1、"/>
      <w:lvlJc w:val="left"/>
    </w:lvl>
  </w:abstractNum>
  <w:abstractNum w:abstractNumId="2">
    <w:nsid w:val="AF6A49A1"/>
    <w:multiLevelType w:val="singleLevel"/>
    <w:tmpl w:val="AF6A49A1"/>
    <w:lvl w:ilvl="0" w:tentative="0">
      <w:start w:val="2"/>
      <w:numFmt w:val="decimal"/>
      <w:suff w:val="nothing"/>
      <w:lvlText w:val="%1、"/>
      <w:lvlJc w:val="left"/>
    </w:lvl>
  </w:abstractNum>
  <w:abstractNum w:abstractNumId="3">
    <w:nsid w:val="D23D82F9"/>
    <w:multiLevelType w:val="singleLevel"/>
    <w:tmpl w:val="D23D82F9"/>
    <w:lvl w:ilvl="0" w:tentative="0">
      <w:start w:val="1"/>
      <w:numFmt w:val="decimal"/>
      <w:suff w:val="nothing"/>
      <w:lvlText w:val="%1、"/>
      <w:lvlJc w:val="left"/>
    </w:lvl>
  </w:abstractNum>
  <w:abstractNum w:abstractNumId="4">
    <w:nsid w:val="D3A67A5B"/>
    <w:multiLevelType w:val="singleLevel"/>
    <w:tmpl w:val="D3A67A5B"/>
    <w:lvl w:ilvl="0" w:tentative="0">
      <w:start w:val="1"/>
      <w:numFmt w:val="decimal"/>
      <w:suff w:val="nothing"/>
      <w:lvlText w:val="（%1）"/>
      <w:lvlJc w:val="left"/>
      <w:pPr>
        <w:ind w:left="0" w:firstLine="420"/>
      </w:pPr>
      <w:rPr>
        <w:rFonts w:hint="default"/>
      </w:rPr>
    </w:lvl>
  </w:abstractNum>
  <w:abstractNum w:abstractNumId="5">
    <w:nsid w:val="F4499E10"/>
    <w:multiLevelType w:val="singleLevel"/>
    <w:tmpl w:val="F4499E10"/>
    <w:lvl w:ilvl="0" w:tentative="0">
      <w:start w:val="1"/>
      <w:numFmt w:val="decimal"/>
      <w:suff w:val="space"/>
      <w:lvlText w:val="%1."/>
      <w:lvlJc w:val="left"/>
    </w:lvl>
  </w:abstractNum>
  <w:abstractNum w:abstractNumId="6">
    <w:nsid w:val="09FD716B"/>
    <w:multiLevelType w:val="multilevel"/>
    <w:tmpl w:val="09FD716B"/>
    <w:lvl w:ilvl="0" w:tentative="0">
      <w:start w:val="1"/>
      <w:numFmt w:val="decimal"/>
      <w:pStyle w:val="224"/>
      <w:suff w:val="space"/>
      <w:lvlText w:val="%1"/>
      <w:lvlJc w:val="left"/>
      <w:pPr>
        <w:ind w:left="1995" w:firstLine="0"/>
      </w:pPr>
      <w:rPr>
        <w:rFonts w:hint="eastAsia" w:ascii="Times New Roman" w:hAnsi="Times New Roman" w:cs="Times New Roman"/>
        <w:b w:val="0"/>
        <w:bCs w:val="0"/>
        <w:i w:val="0"/>
        <w:iCs w:val="0"/>
        <w:caps w:val="0"/>
        <w:smallCaps w:val="0"/>
        <w:strike w:val="0"/>
        <w:dstrike w:val="0"/>
        <w:vanish w:val="0"/>
        <w:color w:val="000000"/>
        <w:spacing w:val="0"/>
        <w:position w:val="0"/>
        <w:u w:val="none"/>
        <w:vertAlign w:val="baseline"/>
      </w:rPr>
    </w:lvl>
    <w:lvl w:ilvl="1" w:tentative="0">
      <w:start w:val="1"/>
      <w:numFmt w:val="decimal"/>
      <w:pStyle w:val="844"/>
      <w:suff w:val="space"/>
      <w:lvlText w:val="%1.%2"/>
      <w:lvlJc w:val="left"/>
      <w:pPr>
        <w:ind w:left="0" w:firstLine="0"/>
      </w:pPr>
      <w:rPr>
        <w:rFonts w:hint="default" w:ascii="Times New Roman" w:hAnsi="Times New Roman" w:eastAsia="宋体"/>
        <w:b w:val="0"/>
        <w:bCs w:val="0"/>
        <w:i w:val="0"/>
        <w:iCs w:val="0"/>
        <w:caps w:val="0"/>
        <w:smallCaps w:val="0"/>
        <w:strike w:val="0"/>
        <w:dstrike w:val="0"/>
        <w:snapToGrid w:val="0"/>
        <w:vanish w:val="0"/>
        <w:color w:val="000000"/>
        <w:spacing w:val="0"/>
        <w:w w:val="0"/>
        <w:kern w:val="0"/>
        <w:position w:val="0"/>
        <w:sz w:val="32"/>
        <w:szCs w:val="0"/>
        <w:u w:val="none"/>
        <w:vertAlign w:val="baseline"/>
      </w:rPr>
    </w:lvl>
    <w:lvl w:ilvl="2" w:tentative="0">
      <w:start w:val="1"/>
      <w:numFmt w:val="decimal"/>
      <w:pStyle w:val="217"/>
      <w:suff w:val="space"/>
      <w:lvlText w:val="%1.%2.%3"/>
      <w:lvlJc w:val="left"/>
      <w:pPr>
        <w:ind w:left="0" w:firstLine="0"/>
      </w:pPr>
      <w:rPr>
        <w:rFonts w:hint="default" w:ascii="Times New Roman" w:hAnsi="Times New Roman" w:eastAsia="宋体"/>
        <w:b w:val="0"/>
        <w:i w:val="0"/>
        <w:sz w:val="28"/>
        <w:szCs w:val="28"/>
      </w:rPr>
    </w:lvl>
    <w:lvl w:ilvl="3" w:tentative="0">
      <w:start w:val="1"/>
      <w:numFmt w:val="decimal"/>
      <w:suff w:val="space"/>
      <w:lvlText w:val="%1.%2.%3.%4"/>
      <w:lvlJc w:val="left"/>
      <w:pPr>
        <w:ind w:left="0" w:firstLine="0"/>
      </w:pPr>
      <w:rPr>
        <w:rFonts w:hint="default" w:ascii="Times New Roman" w:hAnsi="Times New Roman" w:eastAsia="宋体"/>
        <w:b w:val="0"/>
        <w:i w:val="0"/>
        <w:sz w:val="24"/>
        <w:szCs w:val="24"/>
      </w:rPr>
    </w:lvl>
    <w:lvl w:ilvl="4" w:tentative="0">
      <w:start w:val="1"/>
      <w:numFmt w:val="decimal"/>
      <w:suff w:val="nothing"/>
      <w:lvlText w:val="（%5）"/>
      <w:lvlJc w:val="left"/>
      <w:pPr>
        <w:ind w:left="-292" w:firstLine="397"/>
      </w:pPr>
      <w:rPr>
        <w:rFonts w:hint="default" w:ascii="Times New Roman" w:hAnsi="Times New Roman" w:eastAsia="宋体"/>
        <w:b w:val="0"/>
        <w:i w:val="0"/>
        <w:sz w:val="28"/>
      </w:rPr>
    </w:lvl>
    <w:lvl w:ilvl="5" w:tentative="0">
      <w:start w:val="1"/>
      <w:numFmt w:val="decimal"/>
      <w:suff w:val="nothing"/>
      <w:lvlText w:val="%6）"/>
      <w:lvlJc w:val="left"/>
      <w:pPr>
        <w:ind w:left="-346" w:firstLine="556"/>
      </w:pPr>
      <w:rPr>
        <w:rFonts w:hint="default" w:ascii="Times New Roman" w:hAnsi="Times New Roman" w:eastAsia="宋体"/>
        <w:b w:val="0"/>
        <w:i w:val="0"/>
        <w:sz w:val="28"/>
      </w:rPr>
    </w:lvl>
    <w:lvl w:ilvl="6" w:tentative="0">
      <w:start w:val="1"/>
      <w:numFmt w:val="decimal"/>
      <w:lvlText w:val="%1.%2.%3.%4.%5.%6.%7"/>
      <w:lvlJc w:val="left"/>
      <w:pPr>
        <w:tabs>
          <w:tab w:val="left" w:pos="4711"/>
        </w:tabs>
        <w:ind w:left="3827" w:hanging="1276"/>
      </w:pPr>
      <w:rPr>
        <w:rFonts w:hint="eastAsia"/>
      </w:rPr>
    </w:lvl>
    <w:lvl w:ilvl="7" w:tentative="0">
      <w:start w:val="1"/>
      <w:numFmt w:val="decimal"/>
      <w:lvlText w:val="%1.%2.%3.%4.%5.%6.%7.%8"/>
      <w:lvlJc w:val="left"/>
      <w:pPr>
        <w:tabs>
          <w:tab w:val="left" w:pos="4776"/>
        </w:tabs>
        <w:ind w:left="4394" w:hanging="1418"/>
      </w:pPr>
      <w:rPr>
        <w:rFonts w:hint="eastAsia"/>
      </w:rPr>
    </w:lvl>
    <w:lvl w:ilvl="8" w:tentative="0">
      <w:start w:val="1"/>
      <w:numFmt w:val="decimal"/>
      <w:lvlText w:val="%1.%2.%3.%4.%5.%6.%7.%8.%9"/>
      <w:lvlJc w:val="left"/>
      <w:pPr>
        <w:tabs>
          <w:tab w:val="left" w:pos="5562"/>
        </w:tabs>
        <w:ind w:left="5102" w:hanging="1700"/>
      </w:pPr>
      <w:rPr>
        <w:rFonts w:hint="eastAsia"/>
      </w:rPr>
    </w:lvl>
  </w:abstractNum>
  <w:abstractNum w:abstractNumId="7">
    <w:nsid w:val="20B9FDC3"/>
    <w:multiLevelType w:val="singleLevel"/>
    <w:tmpl w:val="20B9FDC3"/>
    <w:lvl w:ilvl="0" w:tentative="0">
      <w:start w:val="1"/>
      <w:numFmt w:val="decimal"/>
      <w:suff w:val="nothing"/>
      <w:lvlText w:val="（%1）"/>
      <w:lvlJc w:val="left"/>
      <w:pPr>
        <w:ind w:left="0" w:firstLine="420"/>
      </w:pPr>
      <w:rPr>
        <w:rFonts w:hint="default"/>
      </w:rPr>
    </w:lvl>
  </w:abstractNum>
  <w:abstractNum w:abstractNumId="8">
    <w:nsid w:val="2139915E"/>
    <w:multiLevelType w:val="singleLevel"/>
    <w:tmpl w:val="2139915E"/>
    <w:lvl w:ilvl="0" w:tentative="0">
      <w:start w:val="1"/>
      <w:numFmt w:val="decimal"/>
      <w:suff w:val="nothing"/>
      <w:lvlText w:val="（%1）"/>
      <w:lvlJc w:val="left"/>
      <w:pPr>
        <w:ind w:left="148" w:firstLine="420"/>
      </w:pPr>
      <w:rPr>
        <w:rFonts w:hint="default"/>
      </w:rPr>
    </w:lvl>
  </w:abstractNum>
  <w:abstractNum w:abstractNumId="9">
    <w:nsid w:val="2E8F04D4"/>
    <w:multiLevelType w:val="singleLevel"/>
    <w:tmpl w:val="2E8F04D4"/>
    <w:lvl w:ilvl="0" w:tentative="0">
      <w:start w:val="1"/>
      <w:numFmt w:val="decimal"/>
      <w:suff w:val="nothing"/>
      <w:lvlText w:val="%1、"/>
      <w:lvlJc w:val="left"/>
    </w:lvl>
  </w:abstractNum>
  <w:abstractNum w:abstractNumId="10">
    <w:nsid w:val="39274A2B"/>
    <w:multiLevelType w:val="multilevel"/>
    <w:tmpl w:val="39274A2B"/>
    <w:lvl w:ilvl="0" w:tentative="0">
      <w:start w:val="1"/>
      <w:numFmt w:val="decimal"/>
      <w:suff w:val="space"/>
      <w:lvlText w:val="%1"/>
      <w:lvlJc w:val="left"/>
      <w:pPr>
        <w:ind w:left="432" w:hanging="432"/>
      </w:pPr>
      <w:rPr>
        <w:rFonts w:hint="eastAsia" w:cs="Times New Roman"/>
        <w:lang w:val="en-US"/>
      </w:rPr>
    </w:lvl>
    <w:lvl w:ilvl="1" w:tentative="0">
      <w:start w:val="1"/>
      <w:numFmt w:val="decimal"/>
      <w:pStyle w:val="527"/>
      <w:suff w:val="space"/>
      <w:lvlText w:val="%1.%2"/>
      <w:lvlJc w:val="left"/>
      <w:pPr>
        <w:ind w:left="576" w:hanging="576"/>
      </w:pPr>
      <w:rPr>
        <w:rFonts w:hint="default" w:ascii="Times New Roman" w:hAnsi="Times New Roman" w:cs="Times New Roman"/>
      </w:rPr>
    </w:lvl>
    <w:lvl w:ilvl="2" w:tentative="0">
      <w:start w:val="1"/>
      <w:numFmt w:val="decimal"/>
      <w:suff w:val="space"/>
      <w:lvlText w:val="%1.%2.%3"/>
      <w:lvlJc w:val="left"/>
      <w:pPr>
        <w:ind w:left="1004" w:hanging="720"/>
      </w:pPr>
      <w:rPr>
        <w:rFonts w:hint="eastAsia" w:ascii="Times New Roman" w:hAnsi="Times New Roman" w:cs="Times New Roman"/>
        <w:b/>
        <w:bCs w:val="0"/>
        <w:i w:val="0"/>
        <w:iCs w:val="0"/>
        <w:caps w:val="0"/>
        <w:smallCaps w:val="0"/>
        <w:strike w:val="0"/>
        <w:dstrike w:val="0"/>
        <w:vanish w:val="0"/>
        <w:color w:val="000000"/>
        <w:spacing w:val="0"/>
        <w:kern w:val="0"/>
        <w:position w:val="0"/>
        <w:u w:val="none"/>
        <w:vertAlign w:val="baseline"/>
      </w:rPr>
    </w:lvl>
    <w:lvl w:ilvl="3" w:tentative="0">
      <w:start w:val="1"/>
      <w:numFmt w:val="decimal"/>
      <w:suff w:val="space"/>
      <w:lvlText w:val="%1.%2.%3.%4"/>
      <w:lvlJc w:val="left"/>
      <w:pPr>
        <w:ind w:left="864" w:hanging="864"/>
      </w:pPr>
      <w:rPr>
        <w:rFonts w:hint="eastAsia" w:ascii="Times New Roman" w:hAnsi="Times New Roman" w:cs="Times New Roman"/>
        <w:b w:val="0"/>
        <w:bCs w:val="0"/>
        <w:i w:val="0"/>
        <w:iCs w:val="0"/>
        <w:caps w:val="0"/>
        <w:smallCaps w:val="0"/>
        <w:strike w:val="0"/>
        <w:dstrike w:val="0"/>
        <w:vanish w:val="0"/>
        <w:color w:val="000000"/>
        <w:spacing w:val="0"/>
        <w:kern w:val="0"/>
        <w:position w:val="0"/>
        <w:u w:val="none"/>
        <w:vertAlign w:val="baseline"/>
      </w:rPr>
    </w:lvl>
    <w:lvl w:ilvl="4" w:tentative="0">
      <w:start w:val="1"/>
      <w:numFmt w:val="decimal"/>
      <w:lvlText w:val="（%5）"/>
      <w:lvlJc w:val="left"/>
      <w:pPr>
        <w:ind w:left="945" w:hanging="945"/>
      </w:pPr>
      <w:rPr>
        <w:rFonts w:hint="default"/>
      </w:rPr>
    </w:lvl>
    <w:lvl w:ilvl="5" w:tentative="0">
      <w:start w:val="1"/>
      <w:numFmt w:val="decimal"/>
      <w:lvlText w:val="%1.%2.%3.%4.%5.%6"/>
      <w:lvlJc w:val="left"/>
      <w:pPr>
        <w:tabs>
          <w:tab w:val="left" w:pos="1152"/>
        </w:tabs>
        <w:ind w:left="1152" w:hanging="1152"/>
      </w:pPr>
      <w:rPr>
        <w:rFonts w:hint="eastAsia" w:cs="Times New Roman"/>
      </w:rPr>
    </w:lvl>
    <w:lvl w:ilvl="6" w:tentative="0">
      <w:start w:val="1"/>
      <w:numFmt w:val="decimal"/>
      <w:lvlText w:val="%1.%2.%3.%4.%5.%6.%7"/>
      <w:lvlJc w:val="left"/>
      <w:pPr>
        <w:tabs>
          <w:tab w:val="left" w:pos="1296"/>
        </w:tabs>
        <w:ind w:left="1296" w:hanging="1296"/>
      </w:pPr>
      <w:rPr>
        <w:rFonts w:hint="eastAsia" w:cs="Times New Roman"/>
      </w:rPr>
    </w:lvl>
    <w:lvl w:ilvl="7" w:tentative="0">
      <w:start w:val="1"/>
      <w:numFmt w:val="decimal"/>
      <w:lvlText w:val="%1.%2.%3.%4.%5.%6.%7.%8"/>
      <w:lvlJc w:val="left"/>
      <w:pPr>
        <w:tabs>
          <w:tab w:val="left" w:pos="1440"/>
        </w:tabs>
        <w:ind w:left="1440" w:hanging="1440"/>
      </w:pPr>
      <w:rPr>
        <w:rFonts w:hint="eastAsia" w:cs="Times New Roman"/>
      </w:rPr>
    </w:lvl>
    <w:lvl w:ilvl="8" w:tentative="0">
      <w:start w:val="1"/>
      <w:numFmt w:val="decimal"/>
      <w:lvlText w:val="%1.%2.%3.%4.%5.%6.%7.%8.%9"/>
      <w:lvlJc w:val="left"/>
      <w:pPr>
        <w:tabs>
          <w:tab w:val="left" w:pos="1584"/>
        </w:tabs>
        <w:ind w:left="1584" w:hanging="1584"/>
      </w:pPr>
      <w:rPr>
        <w:rFonts w:hint="eastAsia" w:cs="Times New Roman"/>
      </w:rPr>
    </w:lvl>
  </w:abstractNum>
  <w:abstractNum w:abstractNumId="11">
    <w:nsid w:val="40717BB6"/>
    <w:multiLevelType w:val="multilevel"/>
    <w:tmpl w:val="40717BB6"/>
    <w:lvl w:ilvl="0" w:tentative="0">
      <w:start w:val="1"/>
      <w:numFmt w:val="decimal"/>
      <w:pStyle w:val="254"/>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2">
    <w:nsid w:val="436404D9"/>
    <w:multiLevelType w:val="multilevel"/>
    <w:tmpl w:val="436404D9"/>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3">
    <w:nsid w:val="482E13DA"/>
    <w:multiLevelType w:val="singleLevel"/>
    <w:tmpl w:val="482E13DA"/>
    <w:lvl w:ilvl="0" w:tentative="0">
      <w:start w:val="1"/>
      <w:numFmt w:val="decimal"/>
      <w:suff w:val="nothing"/>
      <w:lvlText w:val="%1、"/>
      <w:lvlJc w:val="left"/>
    </w:lvl>
  </w:abstractNum>
  <w:abstractNum w:abstractNumId="14">
    <w:nsid w:val="4B73EBB2"/>
    <w:multiLevelType w:val="singleLevel"/>
    <w:tmpl w:val="4B73EBB2"/>
    <w:lvl w:ilvl="0" w:tentative="0">
      <w:start w:val="1"/>
      <w:numFmt w:val="decimal"/>
      <w:suff w:val="nothing"/>
      <w:lvlText w:val="（%1）"/>
      <w:lvlJc w:val="left"/>
    </w:lvl>
  </w:abstractNum>
  <w:abstractNum w:abstractNumId="15">
    <w:nsid w:val="4D795752"/>
    <w:multiLevelType w:val="singleLevel"/>
    <w:tmpl w:val="4D795752"/>
    <w:lvl w:ilvl="0" w:tentative="0">
      <w:start w:val="1"/>
      <w:numFmt w:val="decimal"/>
      <w:suff w:val="nothing"/>
      <w:lvlText w:val="（%1）"/>
      <w:lvlJc w:val="left"/>
      <w:pPr>
        <w:ind w:left="6" w:firstLine="420"/>
      </w:pPr>
      <w:rPr>
        <w:rFonts w:hint="default"/>
      </w:rPr>
    </w:lvl>
  </w:abstractNum>
  <w:abstractNum w:abstractNumId="16">
    <w:nsid w:val="5D5DBBF1"/>
    <w:multiLevelType w:val="singleLevel"/>
    <w:tmpl w:val="5D5DBBF1"/>
    <w:lvl w:ilvl="0" w:tentative="0">
      <w:start w:val="1"/>
      <w:numFmt w:val="decimal"/>
      <w:suff w:val="nothing"/>
      <w:lvlText w:val="（%1）"/>
      <w:lvlJc w:val="left"/>
      <w:pPr>
        <w:ind w:left="0" w:firstLine="420"/>
      </w:pPr>
      <w:rPr>
        <w:rFonts w:hint="default"/>
      </w:rPr>
    </w:lvl>
  </w:abstractNum>
  <w:abstractNum w:abstractNumId="17">
    <w:nsid w:val="6CB51E3A"/>
    <w:multiLevelType w:val="multilevel"/>
    <w:tmpl w:val="6CB51E3A"/>
    <w:lvl w:ilvl="0" w:tentative="0">
      <w:start w:val="1"/>
      <w:numFmt w:val="decimal"/>
      <w:pStyle w:val="192"/>
      <w:lvlText w:val="表 8-%1"/>
      <w:lvlJc w:val="left"/>
      <w:pPr>
        <w:ind w:left="900" w:hanging="420"/>
      </w:pPr>
      <w:rPr>
        <w:rFonts w:hint="eastAsia" w:ascii="Times New Roman" w:hAnsi="Times New Roman" w:cs="Times New Roman"/>
        <w:bCs w:val="0"/>
        <w:i w:val="0"/>
        <w:iCs w:val="0"/>
        <w:caps w:val="0"/>
        <w:smallCaps w:val="0"/>
        <w:strike w:val="0"/>
        <w:dstrike w:val="0"/>
        <w:snapToGrid w:val="0"/>
        <w:vanish w:val="0"/>
        <w:color w:val="000000"/>
        <w:spacing w:val="0"/>
        <w:kern w:val="0"/>
        <w:position w:val="0"/>
        <w:u w:val="none"/>
        <w:vertAlign w:val="baseline"/>
      </w:rPr>
    </w:lvl>
    <w:lvl w:ilvl="1" w:tentative="0">
      <w:start w:val="1"/>
      <w:numFmt w:val="lowerLetter"/>
      <w:pStyle w:val="796"/>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8">
    <w:nsid w:val="742C0DE0"/>
    <w:multiLevelType w:val="multilevel"/>
    <w:tmpl w:val="742C0DE0"/>
    <w:lvl w:ilvl="0" w:tentative="0">
      <w:start w:val="1"/>
      <w:numFmt w:val="decimal"/>
      <w:pStyle w:val="1530"/>
      <w:suff w:val="space"/>
      <w:lvlText w:val="%1."/>
      <w:lvlJc w:val="center"/>
      <w:pPr>
        <w:ind w:left="1419" w:firstLine="0"/>
      </w:pPr>
      <w:rPr>
        <w:rFonts w:hint="default" w:ascii="Times New Roman" w:hAnsi="Times New Roman" w:eastAsia="黑体"/>
        <w:b/>
        <w:i w:val="0"/>
        <w:sz w:val="36"/>
      </w:rPr>
    </w:lvl>
    <w:lvl w:ilvl="1" w:tentative="0">
      <w:start w:val="1"/>
      <w:numFmt w:val="decimal"/>
      <w:pStyle w:val="1529"/>
      <w:suff w:val="space"/>
      <w:lvlText w:val="%1.%2"/>
      <w:lvlJc w:val="left"/>
      <w:pPr>
        <w:ind w:left="0" w:firstLine="0"/>
      </w:pPr>
      <w:rPr>
        <w:rFonts w:hint="default" w:ascii="Times New Roman" w:hAnsi="Times New Roman" w:eastAsia="宋体" w:cs="Times New Roman"/>
        <w:b/>
        <w:bCs w:val="0"/>
        <w:i w:val="0"/>
        <w:iCs w:val="0"/>
        <w:caps w:val="0"/>
        <w:smallCaps w:val="0"/>
        <w:strike w:val="0"/>
        <w:dstrike w:val="0"/>
        <w:snapToGrid w:val="0"/>
        <w:vanish w:val="0"/>
        <w:color w:val="000000"/>
        <w:spacing w:val="0"/>
        <w:kern w:val="0"/>
        <w:position w:val="0"/>
        <w:sz w:val="30"/>
        <w:u w:val="none"/>
        <w:vertAlign w:val="baseline"/>
        <w14:shadow w14:blurRad="0" w14:dist="0" w14:dir="0" w14:sx="0" w14:sy="0" w14:kx="0" w14:ky="0" w14:algn="none">
          <w14:srgbClr w14:val="000000"/>
        </w14:shadow>
      </w:rPr>
    </w:lvl>
    <w:lvl w:ilvl="2" w:tentative="0">
      <w:start w:val="1"/>
      <w:numFmt w:val="decimal"/>
      <w:pStyle w:val="1526"/>
      <w:isLgl/>
      <w:suff w:val="space"/>
      <w:lvlText w:val="%1.%2.%3"/>
      <w:lvlJc w:val="left"/>
      <w:pPr>
        <w:ind w:left="568" w:hanging="568"/>
      </w:pPr>
      <w:rPr>
        <w:rFonts w:hint="default" w:ascii="Times New Roman" w:hAnsi="Times New Roman" w:eastAsia="宋体" w:cs="Times New Roman"/>
        <w:b/>
        <w:bCs w:val="0"/>
        <w:i w:val="0"/>
        <w:iCs w:val="0"/>
        <w:caps w:val="0"/>
        <w:smallCaps w:val="0"/>
        <w:strike w:val="0"/>
        <w:dstrike w:val="0"/>
        <w:snapToGrid w:val="0"/>
        <w:vanish w:val="0"/>
        <w:color w:val="000000"/>
        <w:spacing w:val="0"/>
        <w:kern w:val="0"/>
        <w:position w:val="0"/>
        <w:sz w:val="24"/>
        <w:u w:val="none"/>
        <w:vertAlign w:val="baseline"/>
        <w14:shadow w14:blurRad="0" w14:dist="0" w14:dir="0" w14:sx="0" w14:sy="0" w14:kx="0" w14:ky="0" w14:algn="none">
          <w14:srgbClr w14:val="000000"/>
        </w14:shadow>
      </w:rPr>
    </w:lvl>
    <w:lvl w:ilvl="3" w:tentative="0">
      <w:start w:val="1"/>
      <w:numFmt w:val="decimal"/>
      <w:pStyle w:val="1527"/>
      <w:suff w:val="space"/>
      <w:lvlText w:val="%1.%2.%3.%4"/>
      <w:lvlJc w:val="left"/>
      <w:pPr>
        <w:ind w:left="0" w:firstLine="0"/>
      </w:pPr>
      <w:rPr>
        <w:rFonts w:hint="default" w:ascii="Times New Roman" w:hAnsi="Times New Roman" w:eastAsia="黑体"/>
        <w:b/>
        <w:i w:val="0"/>
        <w:sz w:val="24"/>
      </w:rPr>
    </w:lvl>
    <w:lvl w:ilvl="4" w:tentative="0">
      <w:start w:val="1"/>
      <w:numFmt w:val="decimal"/>
      <w:lvlRestart w:val="2"/>
      <w:isLgl/>
      <w:suff w:val="space"/>
      <w:lvlText w:val="表%1.%2-%5"/>
      <w:lvlJc w:val="center"/>
      <w:pPr>
        <w:ind w:left="3260" w:firstLine="0"/>
      </w:pPr>
      <w:rPr>
        <w:rFonts w:hint="default" w:ascii="Times New Roman" w:hAnsi="Times New Roman" w:eastAsia="宋体" w:cs="Times New Roman"/>
        <w:b/>
        <w:bCs w:val="0"/>
        <w:i w:val="0"/>
        <w:iCs w:val="0"/>
        <w:caps w:val="0"/>
        <w:smallCaps w:val="0"/>
        <w:strike w:val="0"/>
        <w:dstrike w:val="0"/>
        <w:snapToGrid w:val="0"/>
        <w:vanish w:val="0"/>
        <w:color w:val="000000"/>
        <w:spacing w:val="0"/>
        <w:kern w:val="0"/>
        <w:position w:val="0"/>
        <w:u w:val="none"/>
        <w:vertAlign w:val="baseline"/>
        <w14:shadow w14:blurRad="0" w14:dist="0" w14:dir="0" w14:sx="0" w14:sy="0" w14:kx="0" w14:ky="0" w14:algn="none">
          <w14:srgbClr w14:val="000000"/>
        </w14:shadow>
      </w:rPr>
    </w:lvl>
    <w:lvl w:ilvl="5" w:tentative="0">
      <w:start w:val="1"/>
      <w:numFmt w:val="lowerRoman"/>
      <w:lvlText w:val="%6."/>
      <w:lvlJc w:val="right"/>
      <w:pPr>
        <w:tabs>
          <w:tab w:val="left" w:pos="0"/>
        </w:tabs>
        <w:ind w:left="0" w:firstLine="0"/>
      </w:pPr>
      <w:rPr>
        <w:rFonts w:hint="eastAsia"/>
      </w:rPr>
    </w:lvl>
    <w:lvl w:ilvl="6" w:tentative="0">
      <w:start w:val="1"/>
      <w:numFmt w:val="decimal"/>
      <w:lvlText w:val="%7."/>
      <w:lvlJc w:val="left"/>
      <w:pPr>
        <w:tabs>
          <w:tab w:val="left" w:pos="0"/>
        </w:tabs>
        <w:ind w:left="0" w:firstLine="0"/>
      </w:pPr>
      <w:rPr>
        <w:rFonts w:hint="eastAsia"/>
      </w:rPr>
    </w:lvl>
    <w:lvl w:ilvl="7" w:tentative="0">
      <w:start w:val="1"/>
      <w:numFmt w:val="lowerLetter"/>
      <w:lvlText w:val="%8)"/>
      <w:lvlJc w:val="left"/>
      <w:pPr>
        <w:tabs>
          <w:tab w:val="left" w:pos="0"/>
        </w:tabs>
        <w:ind w:left="0" w:firstLine="0"/>
      </w:pPr>
      <w:rPr>
        <w:rFonts w:hint="eastAsia"/>
      </w:rPr>
    </w:lvl>
    <w:lvl w:ilvl="8" w:tentative="0">
      <w:start w:val="1"/>
      <w:numFmt w:val="lowerRoman"/>
      <w:lvlText w:val="%9."/>
      <w:lvlJc w:val="right"/>
      <w:pPr>
        <w:tabs>
          <w:tab w:val="left" w:pos="0"/>
        </w:tabs>
        <w:ind w:left="0" w:firstLine="0"/>
      </w:pPr>
      <w:rPr>
        <w:rFonts w:hint="eastAsia"/>
      </w:rPr>
    </w:lvl>
  </w:abstractNum>
  <w:abstractNum w:abstractNumId="19">
    <w:nsid w:val="78FCEA7A"/>
    <w:multiLevelType w:val="singleLevel"/>
    <w:tmpl w:val="78FCEA7A"/>
    <w:lvl w:ilvl="0" w:tentative="0">
      <w:start w:val="1"/>
      <w:numFmt w:val="decimal"/>
      <w:lvlText w:val="%1."/>
      <w:lvlJc w:val="left"/>
      <w:pPr>
        <w:tabs>
          <w:tab w:val="left" w:pos="312"/>
        </w:tabs>
      </w:pPr>
    </w:lvl>
  </w:abstractNum>
  <w:abstractNum w:abstractNumId="20">
    <w:nsid w:val="7C5B0F61"/>
    <w:multiLevelType w:val="multilevel"/>
    <w:tmpl w:val="7C5B0F61"/>
    <w:lvl w:ilvl="0" w:tentative="0">
      <w:start w:val="1"/>
      <w:numFmt w:val="decimal"/>
      <w:pStyle w:val="776"/>
      <w:suff w:val="space"/>
      <w:lvlText w:val="%1"/>
      <w:lvlJc w:val="left"/>
      <w:pPr>
        <w:ind w:left="432" w:hanging="432"/>
      </w:pPr>
      <w:rPr>
        <w:rFonts w:hint="default" w:ascii="Times New Roman" w:hAnsi="Times New Roman" w:cs="Times New Roman"/>
      </w:rPr>
    </w:lvl>
    <w:lvl w:ilvl="1" w:tentative="0">
      <w:start w:val="1"/>
      <w:numFmt w:val="decimal"/>
      <w:suff w:val="space"/>
      <w:lvlText w:val="%1.%2"/>
      <w:lvlJc w:val="left"/>
      <w:pPr>
        <w:ind w:left="576" w:hanging="576"/>
      </w:pPr>
      <w:rPr>
        <w:rFonts w:hint="default" w:ascii="Times New Roman" w:hAnsi="Times New Roman" w:cs="Times New Roman"/>
      </w:rPr>
    </w:lvl>
    <w:lvl w:ilvl="2" w:tentative="0">
      <w:start w:val="1"/>
      <w:numFmt w:val="decimal"/>
      <w:suff w:val="space"/>
      <w:lvlText w:val="%1.%2.%3"/>
      <w:lvlJc w:val="left"/>
      <w:pPr>
        <w:ind w:left="720" w:hanging="720"/>
      </w:pPr>
      <w:rPr>
        <w:rFonts w:hint="default" w:ascii="Times New Roman" w:hAnsi="Times New Roman" w:eastAsia="宋体" w:cs="Times New Roman"/>
      </w:rPr>
    </w:lvl>
    <w:lvl w:ilvl="3" w:tentative="0">
      <w:start w:val="1"/>
      <w:numFmt w:val="decimal"/>
      <w:pStyle w:val="1447"/>
      <w:lvlText w:val="%1.%2.%3.%4"/>
      <w:lvlJc w:val="left"/>
      <w:pPr>
        <w:ind w:left="864" w:hanging="864"/>
      </w:pPr>
      <w:rPr>
        <w:rFonts w:hint="default" w:ascii="Times New Roman" w:hAnsi="Times New Roman" w:cs="Times New Roman"/>
      </w:rPr>
    </w:lvl>
    <w:lvl w:ilvl="4" w:tentative="0">
      <w:start w:val="1"/>
      <w:numFmt w:val="decimal"/>
      <w:pStyle w:val="11"/>
      <w:lvlText w:val="%1.%2.%3.%4.%5"/>
      <w:lvlJc w:val="left"/>
      <w:pPr>
        <w:ind w:left="0" w:hanging="1008"/>
      </w:pPr>
      <w:rPr>
        <w:rFonts w:hint="eastAsia" w:cs="Times New Roman"/>
      </w:rPr>
    </w:lvl>
    <w:lvl w:ilvl="5" w:tentative="0">
      <w:start w:val="1"/>
      <w:numFmt w:val="decimal"/>
      <w:pStyle w:val="12"/>
      <w:lvlText w:val="%1.%2.%3.%4.%5.%6"/>
      <w:lvlJc w:val="left"/>
      <w:pPr>
        <w:ind w:left="1152" w:hanging="1152"/>
      </w:pPr>
      <w:rPr>
        <w:rFonts w:hint="eastAsia" w:cs="Times New Roman"/>
      </w:rPr>
    </w:lvl>
    <w:lvl w:ilvl="6" w:tentative="0">
      <w:start w:val="1"/>
      <w:numFmt w:val="decimal"/>
      <w:pStyle w:val="13"/>
      <w:lvlText w:val="%1.%2.%3.%4.%5.%6.%7"/>
      <w:lvlJc w:val="left"/>
      <w:pPr>
        <w:ind w:left="1296" w:hanging="1296"/>
      </w:pPr>
      <w:rPr>
        <w:rFonts w:hint="eastAsia" w:cs="Times New Roman"/>
      </w:rPr>
    </w:lvl>
    <w:lvl w:ilvl="7" w:tentative="0">
      <w:start w:val="1"/>
      <w:numFmt w:val="decimal"/>
      <w:pStyle w:val="14"/>
      <w:lvlText w:val="%1.%2.%3.%4.%5.%6.%7.%8"/>
      <w:lvlJc w:val="left"/>
      <w:pPr>
        <w:ind w:left="1440" w:hanging="1440"/>
      </w:pPr>
      <w:rPr>
        <w:rFonts w:hint="eastAsia" w:cs="Times New Roman"/>
      </w:rPr>
    </w:lvl>
    <w:lvl w:ilvl="8" w:tentative="0">
      <w:start w:val="1"/>
      <w:numFmt w:val="decimal"/>
      <w:pStyle w:val="15"/>
      <w:lvlText w:val="%1.%2.%3.%4.%5.%6.%7.%8.%9"/>
      <w:lvlJc w:val="left"/>
      <w:pPr>
        <w:ind w:left="1584" w:hanging="1584"/>
      </w:pPr>
      <w:rPr>
        <w:rFonts w:hint="eastAsia" w:cs="Times New Roman"/>
      </w:rPr>
    </w:lvl>
  </w:abstractNum>
  <w:num w:numId="1">
    <w:abstractNumId w:val="20"/>
  </w:num>
  <w:num w:numId="2">
    <w:abstractNumId w:val="17"/>
  </w:num>
  <w:num w:numId="3">
    <w:abstractNumId w:val="6"/>
  </w:num>
  <w:num w:numId="4">
    <w:abstractNumId w:val="11"/>
  </w:num>
  <w:num w:numId="5">
    <w:abstractNumId w:val="10"/>
  </w:num>
  <w:num w:numId="6">
    <w:abstractNumId w:val="18"/>
    <w:lvlOverride w:ilvl="4">
      <w:lvl w:ilvl="4" w:tentative="1">
        <w:start w:val="1"/>
        <w:numFmt w:val="decimal"/>
        <w:lvlRestart w:val="2"/>
        <w:isLgl/>
        <w:suff w:val="space"/>
        <w:lvlText w:val="表%1.%2-%5"/>
        <w:lvlJc w:val="center"/>
        <w:pPr>
          <w:ind w:left="3542" w:firstLine="0"/>
        </w:pPr>
        <w:rPr>
          <w:rFonts w:hint="default" w:ascii="Times New Roman" w:hAnsi="Times New Roman" w:eastAsia="宋体" w:cs="Times New Roman"/>
          <w:b/>
          <w:bCs w:val="0"/>
          <w:i w:val="0"/>
          <w:iCs w:val="0"/>
          <w:caps w:val="0"/>
          <w:smallCaps w:val="0"/>
          <w:strike w:val="0"/>
          <w:dstrike w:val="0"/>
          <w:outline w:val="0"/>
          <w:shadow w:val="0"/>
          <w:emboss w:val="0"/>
          <w:imprint w:val="0"/>
          <w:snapToGrid w:val="0"/>
          <w:vanish w:val="0"/>
          <w:spacing w:val="0"/>
          <w:kern w:val="0"/>
          <w:position w:val="0"/>
          <w:u w:val="none"/>
          <w:vertAlign w:val="baseline"/>
          <w:lang w:val="en-US"/>
        </w:rPr>
      </w:lvl>
    </w:lvlOverride>
  </w:num>
  <w:num w:numId="7">
    <w:abstractNumId w:val="2"/>
  </w:num>
  <w:num w:numId="8">
    <w:abstractNumId w:val="14"/>
  </w:num>
  <w:num w:numId="9">
    <w:abstractNumId w:val="12"/>
  </w:num>
  <w:num w:numId="10">
    <w:abstractNumId w:val="15"/>
  </w:num>
  <w:num w:numId="11">
    <w:abstractNumId w:val="8"/>
  </w:num>
  <w:num w:numId="12">
    <w:abstractNumId w:val="16"/>
  </w:num>
  <w:num w:numId="13">
    <w:abstractNumId w:val="4"/>
  </w:num>
  <w:num w:numId="14">
    <w:abstractNumId w:val="7"/>
  </w:num>
  <w:num w:numId="15">
    <w:abstractNumId w:val="1"/>
  </w:num>
  <w:num w:numId="16">
    <w:abstractNumId w:val="3"/>
  </w:num>
  <w:num w:numId="17">
    <w:abstractNumId w:val="9"/>
  </w:num>
  <w:num w:numId="18">
    <w:abstractNumId w:val="0"/>
  </w:num>
  <w:num w:numId="19">
    <w:abstractNumId w:val="13"/>
  </w:num>
  <w:num w:numId="20">
    <w:abstractNumId w:val="19"/>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bordersDoNotSurroundHeader w:val="0"/>
  <w:bordersDoNotSurroundFooter w:val="0"/>
  <w:hideSpellingErrors/>
  <w:hideGrammaticalErrors/>
  <w:documentProtection w:enforcement="0"/>
  <w:defaultTabStop w:val="0"/>
  <w:drawingGridHorizontalSpacing w:val="240"/>
  <w:drawingGridVerticalSpacing w:val="168"/>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4F73"/>
    <w:rsid w:val="000001F3"/>
    <w:rsid w:val="0000020A"/>
    <w:rsid w:val="0000050D"/>
    <w:rsid w:val="000005D5"/>
    <w:rsid w:val="00000850"/>
    <w:rsid w:val="0000088E"/>
    <w:rsid w:val="0000089E"/>
    <w:rsid w:val="00000AD3"/>
    <w:rsid w:val="00000D9B"/>
    <w:rsid w:val="000011B9"/>
    <w:rsid w:val="00001332"/>
    <w:rsid w:val="0000143F"/>
    <w:rsid w:val="00001497"/>
    <w:rsid w:val="000016B1"/>
    <w:rsid w:val="0000190C"/>
    <w:rsid w:val="00001AFE"/>
    <w:rsid w:val="00001C3D"/>
    <w:rsid w:val="00001F8B"/>
    <w:rsid w:val="00001FA8"/>
    <w:rsid w:val="00002229"/>
    <w:rsid w:val="000022EE"/>
    <w:rsid w:val="00002313"/>
    <w:rsid w:val="000026F5"/>
    <w:rsid w:val="000028BC"/>
    <w:rsid w:val="000028F4"/>
    <w:rsid w:val="00002A13"/>
    <w:rsid w:val="00002AF3"/>
    <w:rsid w:val="00002EA0"/>
    <w:rsid w:val="0000305A"/>
    <w:rsid w:val="000030BC"/>
    <w:rsid w:val="0000310F"/>
    <w:rsid w:val="00003235"/>
    <w:rsid w:val="00003394"/>
    <w:rsid w:val="000033A0"/>
    <w:rsid w:val="000033A9"/>
    <w:rsid w:val="00003734"/>
    <w:rsid w:val="000037F6"/>
    <w:rsid w:val="00003AAA"/>
    <w:rsid w:val="00003C0E"/>
    <w:rsid w:val="00003D29"/>
    <w:rsid w:val="00003D4B"/>
    <w:rsid w:val="00003E78"/>
    <w:rsid w:val="0000404F"/>
    <w:rsid w:val="00004507"/>
    <w:rsid w:val="00004CA1"/>
    <w:rsid w:val="00004DDC"/>
    <w:rsid w:val="00004FF0"/>
    <w:rsid w:val="00005044"/>
    <w:rsid w:val="00005171"/>
    <w:rsid w:val="000056BE"/>
    <w:rsid w:val="000057C8"/>
    <w:rsid w:val="00005ADA"/>
    <w:rsid w:val="00005B59"/>
    <w:rsid w:val="00005B62"/>
    <w:rsid w:val="00005B6B"/>
    <w:rsid w:val="00005CFD"/>
    <w:rsid w:val="00005F9E"/>
    <w:rsid w:val="00006385"/>
    <w:rsid w:val="000065BF"/>
    <w:rsid w:val="000065F1"/>
    <w:rsid w:val="000066CD"/>
    <w:rsid w:val="000067D8"/>
    <w:rsid w:val="00006E64"/>
    <w:rsid w:val="00006EC6"/>
    <w:rsid w:val="00006FB0"/>
    <w:rsid w:val="000078AE"/>
    <w:rsid w:val="000078D8"/>
    <w:rsid w:val="00007BA4"/>
    <w:rsid w:val="00007D4C"/>
    <w:rsid w:val="000100C7"/>
    <w:rsid w:val="000101C0"/>
    <w:rsid w:val="000102E3"/>
    <w:rsid w:val="0001049A"/>
    <w:rsid w:val="00010567"/>
    <w:rsid w:val="000105E7"/>
    <w:rsid w:val="0001070B"/>
    <w:rsid w:val="00010931"/>
    <w:rsid w:val="00010974"/>
    <w:rsid w:val="000109D7"/>
    <w:rsid w:val="00010BBB"/>
    <w:rsid w:val="00010CA8"/>
    <w:rsid w:val="00010CBF"/>
    <w:rsid w:val="00010EAF"/>
    <w:rsid w:val="00011195"/>
    <w:rsid w:val="000111E5"/>
    <w:rsid w:val="00011276"/>
    <w:rsid w:val="00011407"/>
    <w:rsid w:val="00011460"/>
    <w:rsid w:val="000115AC"/>
    <w:rsid w:val="000118E6"/>
    <w:rsid w:val="00011A9F"/>
    <w:rsid w:val="00011B1C"/>
    <w:rsid w:val="00011C52"/>
    <w:rsid w:val="00011D2C"/>
    <w:rsid w:val="00011F7C"/>
    <w:rsid w:val="00011FEA"/>
    <w:rsid w:val="0001212F"/>
    <w:rsid w:val="000126F8"/>
    <w:rsid w:val="0001271E"/>
    <w:rsid w:val="000127A5"/>
    <w:rsid w:val="00012931"/>
    <w:rsid w:val="00012C71"/>
    <w:rsid w:val="00012D53"/>
    <w:rsid w:val="00012FA0"/>
    <w:rsid w:val="000130DE"/>
    <w:rsid w:val="000131D2"/>
    <w:rsid w:val="00013728"/>
    <w:rsid w:val="000138AD"/>
    <w:rsid w:val="00013900"/>
    <w:rsid w:val="00013A25"/>
    <w:rsid w:val="00013B76"/>
    <w:rsid w:val="00013CB2"/>
    <w:rsid w:val="00013F89"/>
    <w:rsid w:val="00014136"/>
    <w:rsid w:val="0001455F"/>
    <w:rsid w:val="0001461F"/>
    <w:rsid w:val="00014B59"/>
    <w:rsid w:val="000150B4"/>
    <w:rsid w:val="00015187"/>
    <w:rsid w:val="00015664"/>
    <w:rsid w:val="0001577C"/>
    <w:rsid w:val="00015892"/>
    <w:rsid w:val="000158DD"/>
    <w:rsid w:val="000159AA"/>
    <w:rsid w:val="00015A1C"/>
    <w:rsid w:val="00015C0A"/>
    <w:rsid w:val="00015DAD"/>
    <w:rsid w:val="00015F77"/>
    <w:rsid w:val="00015FB2"/>
    <w:rsid w:val="00016333"/>
    <w:rsid w:val="0001660E"/>
    <w:rsid w:val="0001689A"/>
    <w:rsid w:val="00016943"/>
    <w:rsid w:val="000169A7"/>
    <w:rsid w:val="00016ABA"/>
    <w:rsid w:val="00016B54"/>
    <w:rsid w:val="00016C32"/>
    <w:rsid w:val="00016F79"/>
    <w:rsid w:val="00017081"/>
    <w:rsid w:val="00017314"/>
    <w:rsid w:val="000173BB"/>
    <w:rsid w:val="000174CD"/>
    <w:rsid w:val="000174FA"/>
    <w:rsid w:val="000176DF"/>
    <w:rsid w:val="0001773D"/>
    <w:rsid w:val="00017791"/>
    <w:rsid w:val="000178EB"/>
    <w:rsid w:val="00017B48"/>
    <w:rsid w:val="00017B69"/>
    <w:rsid w:val="00017BFF"/>
    <w:rsid w:val="00017CC2"/>
    <w:rsid w:val="00017E8C"/>
    <w:rsid w:val="00017F9E"/>
    <w:rsid w:val="00020051"/>
    <w:rsid w:val="00020176"/>
    <w:rsid w:val="00020A33"/>
    <w:rsid w:val="00020EC0"/>
    <w:rsid w:val="000211FB"/>
    <w:rsid w:val="00021326"/>
    <w:rsid w:val="00021A13"/>
    <w:rsid w:val="00021B27"/>
    <w:rsid w:val="00022135"/>
    <w:rsid w:val="0002218D"/>
    <w:rsid w:val="000223CB"/>
    <w:rsid w:val="000224B3"/>
    <w:rsid w:val="0002295B"/>
    <w:rsid w:val="000229FF"/>
    <w:rsid w:val="00022A03"/>
    <w:rsid w:val="00022A2C"/>
    <w:rsid w:val="00022D2F"/>
    <w:rsid w:val="00022D59"/>
    <w:rsid w:val="00022E26"/>
    <w:rsid w:val="0002313B"/>
    <w:rsid w:val="0002323A"/>
    <w:rsid w:val="0002398C"/>
    <w:rsid w:val="00023B83"/>
    <w:rsid w:val="00023CFD"/>
    <w:rsid w:val="00023DAA"/>
    <w:rsid w:val="00023EEE"/>
    <w:rsid w:val="00023FA7"/>
    <w:rsid w:val="00023FCB"/>
    <w:rsid w:val="000242EA"/>
    <w:rsid w:val="0002433D"/>
    <w:rsid w:val="000244BC"/>
    <w:rsid w:val="00024531"/>
    <w:rsid w:val="000246F9"/>
    <w:rsid w:val="000249CB"/>
    <w:rsid w:val="00024A03"/>
    <w:rsid w:val="00024FA5"/>
    <w:rsid w:val="0002521D"/>
    <w:rsid w:val="00025309"/>
    <w:rsid w:val="0002547D"/>
    <w:rsid w:val="0002547E"/>
    <w:rsid w:val="00025490"/>
    <w:rsid w:val="00025739"/>
    <w:rsid w:val="000259F6"/>
    <w:rsid w:val="00025A9C"/>
    <w:rsid w:val="00025BDE"/>
    <w:rsid w:val="00025C5C"/>
    <w:rsid w:val="00025CDF"/>
    <w:rsid w:val="00025EB2"/>
    <w:rsid w:val="00025EB4"/>
    <w:rsid w:val="00025EC5"/>
    <w:rsid w:val="00026067"/>
    <w:rsid w:val="0002631A"/>
    <w:rsid w:val="00026428"/>
    <w:rsid w:val="000265AD"/>
    <w:rsid w:val="000268B8"/>
    <w:rsid w:val="000269A9"/>
    <w:rsid w:val="00026F80"/>
    <w:rsid w:val="00027149"/>
    <w:rsid w:val="000278CF"/>
    <w:rsid w:val="00027C6E"/>
    <w:rsid w:val="00027C94"/>
    <w:rsid w:val="00027C9D"/>
    <w:rsid w:val="00027CA6"/>
    <w:rsid w:val="000301E5"/>
    <w:rsid w:val="000304BF"/>
    <w:rsid w:val="00030544"/>
    <w:rsid w:val="0003058C"/>
    <w:rsid w:val="00030951"/>
    <w:rsid w:val="000309DC"/>
    <w:rsid w:val="00030A4F"/>
    <w:rsid w:val="00030BA2"/>
    <w:rsid w:val="00030C38"/>
    <w:rsid w:val="00030CFB"/>
    <w:rsid w:val="00030F90"/>
    <w:rsid w:val="00030FC7"/>
    <w:rsid w:val="00030FFD"/>
    <w:rsid w:val="00031030"/>
    <w:rsid w:val="00031111"/>
    <w:rsid w:val="00031217"/>
    <w:rsid w:val="000314DC"/>
    <w:rsid w:val="00031680"/>
    <w:rsid w:val="000318E3"/>
    <w:rsid w:val="0003194A"/>
    <w:rsid w:val="00031A5E"/>
    <w:rsid w:val="00031C56"/>
    <w:rsid w:val="00031C99"/>
    <w:rsid w:val="00031E50"/>
    <w:rsid w:val="00031FC0"/>
    <w:rsid w:val="0003249B"/>
    <w:rsid w:val="00032AE3"/>
    <w:rsid w:val="00032FE2"/>
    <w:rsid w:val="00033B0C"/>
    <w:rsid w:val="0003409B"/>
    <w:rsid w:val="000341DF"/>
    <w:rsid w:val="0003420E"/>
    <w:rsid w:val="0003448A"/>
    <w:rsid w:val="00034523"/>
    <w:rsid w:val="00034531"/>
    <w:rsid w:val="00034752"/>
    <w:rsid w:val="00034A6A"/>
    <w:rsid w:val="00034C21"/>
    <w:rsid w:val="00034FB5"/>
    <w:rsid w:val="0003505C"/>
    <w:rsid w:val="000353EF"/>
    <w:rsid w:val="0003558E"/>
    <w:rsid w:val="0003564E"/>
    <w:rsid w:val="000356C7"/>
    <w:rsid w:val="000359C3"/>
    <w:rsid w:val="00035AA2"/>
    <w:rsid w:val="00035BCE"/>
    <w:rsid w:val="00035F74"/>
    <w:rsid w:val="00036321"/>
    <w:rsid w:val="000366A2"/>
    <w:rsid w:val="00036C46"/>
    <w:rsid w:val="00036EBA"/>
    <w:rsid w:val="00036EED"/>
    <w:rsid w:val="00036F2C"/>
    <w:rsid w:val="00037028"/>
    <w:rsid w:val="00037105"/>
    <w:rsid w:val="00037206"/>
    <w:rsid w:val="00037224"/>
    <w:rsid w:val="00037272"/>
    <w:rsid w:val="000377EB"/>
    <w:rsid w:val="0003780F"/>
    <w:rsid w:val="00037D96"/>
    <w:rsid w:val="0004013C"/>
    <w:rsid w:val="00040189"/>
    <w:rsid w:val="000404D0"/>
    <w:rsid w:val="000404D1"/>
    <w:rsid w:val="00040833"/>
    <w:rsid w:val="0004096E"/>
    <w:rsid w:val="00040A18"/>
    <w:rsid w:val="00040B05"/>
    <w:rsid w:val="000413EE"/>
    <w:rsid w:val="00041585"/>
    <w:rsid w:val="000416F9"/>
    <w:rsid w:val="00041A48"/>
    <w:rsid w:val="0004217E"/>
    <w:rsid w:val="000423D8"/>
    <w:rsid w:val="00042627"/>
    <w:rsid w:val="0004278B"/>
    <w:rsid w:val="000429FC"/>
    <w:rsid w:val="00042AA3"/>
    <w:rsid w:val="00042AAF"/>
    <w:rsid w:val="00043177"/>
    <w:rsid w:val="000431BB"/>
    <w:rsid w:val="000434EF"/>
    <w:rsid w:val="000434F0"/>
    <w:rsid w:val="00043522"/>
    <w:rsid w:val="00043895"/>
    <w:rsid w:val="00043CEE"/>
    <w:rsid w:val="000441A6"/>
    <w:rsid w:val="00044231"/>
    <w:rsid w:val="0004498D"/>
    <w:rsid w:val="000449CA"/>
    <w:rsid w:val="00044AA9"/>
    <w:rsid w:val="00044B0E"/>
    <w:rsid w:val="00044B46"/>
    <w:rsid w:val="00044BD5"/>
    <w:rsid w:val="00044FB0"/>
    <w:rsid w:val="00045A94"/>
    <w:rsid w:val="00045B68"/>
    <w:rsid w:val="00045E11"/>
    <w:rsid w:val="00045FFA"/>
    <w:rsid w:val="00046099"/>
    <w:rsid w:val="000460F8"/>
    <w:rsid w:val="00046166"/>
    <w:rsid w:val="000464BF"/>
    <w:rsid w:val="000464E0"/>
    <w:rsid w:val="000468EE"/>
    <w:rsid w:val="00046980"/>
    <w:rsid w:val="00046A88"/>
    <w:rsid w:val="00046AE3"/>
    <w:rsid w:val="00046C1F"/>
    <w:rsid w:val="00047713"/>
    <w:rsid w:val="00047776"/>
    <w:rsid w:val="000478F5"/>
    <w:rsid w:val="00047921"/>
    <w:rsid w:val="00047B47"/>
    <w:rsid w:val="00047B89"/>
    <w:rsid w:val="00047EEF"/>
    <w:rsid w:val="00047F34"/>
    <w:rsid w:val="00050770"/>
    <w:rsid w:val="00050D82"/>
    <w:rsid w:val="000512CD"/>
    <w:rsid w:val="000517D8"/>
    <w:rsid w:val="0005192F"/>
    <w:rsid w:val="00051AEC"/>
    <w:rsid w:val="00051D0B"/>
    <w:rsid w:val="00052235"/>
    <w:rsid w:val="00052383"/>
    <w:rsid w:val="000526D2"/>
    <w:rsid w:val="00052706"/>
    <w:rsid w:val="00052790"/>
    <w:rsid w:val="0005287F"/>
    <w:rsid w:val="000528F8"/>
    <w:rsid w:val="00052B1B"/>
    <w:rsid w:val="00052C81"/>
    <w:rsid w:val="00052D54"/>
    <w:rsid w:val="00052EE8"/>
    <w:rsid w:val="0005314D"/>
    <w:rsid w:val="0005334F"/>
    <w:rsid w:val="00053395"/>
    <w:rsid w:val="00053425"/>
    <w:rsid w:val="00053888"/>
    <w:rsid w:val="0005399B"/>
    <w:rsid w:val="00053B2F"/>
    <w:rsid w:val="00053BF9"/>
    <w:rsid w:val="00053EEC"/>
    <w:rsid w:val="0005419E"/>
    <w:rsid w:val="000542BB"/>
    <w:rsid w:val="00054490"/>
    <w:rsid w:val="0005485F"/>
    <w:rsid w:val="0005496D"/>
    <w:rsid w:val="00054CBE"/>
    <w:rsid w:val="00054E62"/>
    <w:rsid w:val="000550BF"/>
    <w:rsid w:val="000551BF"/>
    <w:rsid w:val="00055254"/>
    <w:rsid w:val="000552A4"/>
    <w:rsid w:val="00055599"/>
    <w:rsid w:val="0005568E"/>
    <w:rsid w:val="00055AA5"/>
    <w:rsid w:val="00055ECC"/>
    <w:rsid w:val="00055F05"/>
    <w:rsid w:val="00055FBA"/>
    <w:rsid w:val="00056164"/>
    <w:rsid w:val="000563D7"/>
    <w:rsid w:val="0005661D"/>
    <w:rsid w:val="00056BAF"/>
    <w:rsid w:val="00056BDA"/>
    <w:rsid w:val="00056C81"/>
    <w:rsid w:val="00056CF3"/>
    <w:rsid w:val="00056F20"/>
    <w:rsid w:val="00057306"/>
    <w:rsid w:val="00057869"/>
    <w:rsid w:val="00057A9D"/>
    <w:rsid w:val="00057EAD"/>
    <w:rsid w:val="00057FE3"/>
    <w:rsid w:val="00057FF3"/>
    <w:rsid w:val="00060065"/>
    <w:rsid w:val="0006027F"/>
    <w:rsid w:val="00060620"/>
    <w:rsid w:val="00060711"/>
    <w:rsid w:val="000608F9"/>
    <w:rsid w:val="00060F37"/>
    <w:rsid w:val="00061363"/>
    <w:rsid w:val="0006147E"/>
    <w:rsid w:val="0006156D"/>
    <w:rsid w:val="000615BD"/>
    <w:rsid w:val="000616E0"/>
    <w:rsid w:val="00061829"/>
    <w:rsid w:val="0006188E"/>
    <w:rsid w:val="00061B3F"/>
    <w:rsid w:val="00061EBB"/>
    <w:rsid w:val="00061EEB"/>
    <w:rsid w:val="00062021"/>
    <w:rsid w:val="00062292"/>
    <w:rsid w:val="00062886"/>
    <w:rsid w:val="00062D93"/>
    <w:rsid w:val="00062E44"/>
    <w:rsid w:val="00063110"/>
    <w:rsid w:val="00063122"/>
    <w:rsid w:val="000634C6"/>
    <w:rsid w:val="00063794"/>
    <w:rsid w:val="00063CA4"/>
    <w:rsid w:val="00063E05"/>
    <w:rsid w:val="00063E32"/>
    <w:rsid w:val="00063E7D"/>
    <w:rsid w:val="00064144"/>
    <w:rsid w:val="00064412"/>
    <w:rsid w:val="00064EEC"/>
    <w:rsid w:val="0006503F"/>
    <w:rsid w:val="0006512C"/>
    <w:rsid w:val="0006522B"/>
    <w:rsid w:val="0006539F"/>
    <w:rsid w:val="000656AB"/>
    <w:rsid w:val="00065777"/>
    <w:rsid w:val="00065AEC"/>
    <w:rsid w:val="00065F50"/>
    <w:rsid w:val="00066006"/>
    <w:rsid w:val="000662FD"/>
    <w:rsid w:val="0006688E"/>
    <w:rsid w:val="0006698F"/>
    <w:rsid w:val="000670A7"/>
    <w:rsid w:val="00067269"/>
    <w:rsid w:val="000672F1"/>
    <w:rsid w:val="0006734C"/>
    <w:rsid w:val="00067405"/>
    <w:rsid w:val="00067503"/>
    <w:rsid w:val="00067511"/>
    <w:rsid w:val="00067528"/>
    <w:rsid w:val="0006756D"/>
    <w:rsid w:val="00067833"/>
    <w:rsid w:val="00067856"/>
    <w:rsid w:val="00067A64"/>
    <w:rsid w:val="000700A5"/>
    <w:rsid w:val="0007027F"/>
    <w:rsid w:val="0007046E"/>
    <w:rsid w:val="000704B3"/>
    <w:rsid w:val="00070546"/>
    <w:rsid w:val="00070730"/>
    <w:rsid w:val="00070838"/>
    <w:rsid w:val="00070D97"/>
    <w:rsid w:val="000711A2"/>
    <w:rsid w:val="000711E2"/>
    <w:rsid w:val="000713D4"/>
    <w:rsid w:val="0007166D"/>
    <w:rsid w:val="000716E9"/>
    <w:rsid w:val="00071810"/>
    <w:rsid w:val="00071AC1"/>
    <w:rsid w:val="00071BBF"/>
    <w:rsid w:val="00071D82"/>
    <w:rsid w:val="00071D8B"/>
    <w:rsid w:val="00072418"/>
    <w:rsid w:val="0007246E"/>
    <w:rsid w:val="00072510"/>
    <w:rsid w:val="00072870"/>
    <w:rsid w:val="000729F6"/>
    <w:rsid w:val="00072A5C"/>
    <w:rsid w:val="00072D74"/>
    <w:rsid w:val="00072E16"/>
    <w:rsid w:val="00072E1D"/>
    <w:rsid w:val="00073286"/>
    <w:rsid w:val="000733EF"/>
    <w:rsid w:val="0007348E"/>
    <w:rsid w:val="000735AE"/>
    <w:rsid w:val="000735C5"/>
    <w:rsid w:val="0007386C"/>
    <w:rsid w:val="00073D5C"/>
    <w:rsid w:val="00074051"/>
    <w:rsid w:val="000744B1"/>
    <w:rsid w:val="0007460B"/>
    <w:rsid w:val="000749DE"/>
    <w:rsid w:val="000749E5"/>
    <w:rsid w:val="00074C0F"/>
    <w:rsid w:val="00074C95"/>
    <w:rsid w:val="00074CF3"/>
    <w:rsid w:val="00074DBF"/>
    <w:rsid w:val="0007522E"/>
    <w:rsid w:val="00075611"/>
    <w:rsid w:val="0007569F"/>
    <w:rsid w:val="000756FC"/>
    <w:rsid w:val="0007585A"/>
    <w:rsid w:val="00075B7C"/>
    <w:rsid w:val="00075CF1"/>
    <w:rsid w:val="00075D03"/>
    <w:rsid w:val="00075F7B"/>
    <w:rsid w:val="000764A5"/>
    <w:rsid w:val="000766B9"/>
    <w:rsid w:val="0007671C"/>
    <w:rsid w:val="00076745"/>
    <w:rsid w:val="0007675C"/>
    <w:rsid w:val="0007678E"/>
    <w:rsid w:val="00076835"/>
    <w:rsid w:val="00076BDD"/>
    <w:rsid w:val="00076C11"/>
    <w:rsid w:val="0007743D"/>
    <w:rsid w:val="00077445"/>
    <w:rsid w:val="000775B9"/>
    <w:rsid w:val="00077AE9"/>
    <w:rsid w:val="00077C38"/>
    <w:rsid w:val="00077EB5"/>
    <w:rsid w:val="00080444"/>
    <w:rsid w:val="00080864"/>
    <w:rsid w:val="00080AB0"/>
    <w:rsid w:val="000814F0"/>
    <w:rsid w:val="00081757"/>
    <w:rsid w:val="000817CB"/>
    <w:rsid w:val="00081A2C"/>
    <w:rsid w:val="00081C65"/>
    <w:rsid w:val="00081D85"/>
    <w:rsid w:val="00081FBB"/>
    <w:rsid w:val="000824EA"/>
    <w:rsid w:val="000824FA"/>
    <w:rsid w:val="0008251B"/>
    <w:rsid w:val="00082530"/>
    <w:rsid w:val="000829BC"/>
    <w:rsid w:val="00082ACF"/>
    <w:rsid w:val="00082CB6"/>
    <w:rsid w:val="00082E7B"/>
    <w:rsid w:val="00082F8E"/>
    <w:rsid w:val="000833C8"/>
    <w:rsid w:val="00083436"/>
    <w:rsid w:val="0008387F"/>
    <w:rsid w:val="00083BC8"/>
    <w:rsid w:val="00083DA6"/>
    <w:rsid w:val="00084287"/>
    <w:rsid w:val="0008435E"/>
    <w:rsid w:val="00084C32"/>
    <w:rsid w:val="00084C75"/>
    <w:rsid w:val="00084CB8"/>
    <w:rsid w:val="00084DD7"/>
    <w:rsid w:val="00084F0F"/>
    <w:rsid w:val="0008529A"/>
    <w:rsid w:val="00085474"/>
    <w:rsid w:val="0008548E"/>
    <w:rsid w:val="000858DA"/>
    <w:rsid w:val="000859C0"/>
    <w:rsid w:val="00085C2C"/>
    <w:rsid w:val="00085D28"/>
    <w:rsid w:val="00085E2F"/>
    <w:rsid w:val="00085EA4"/>
    <w:rsid w:val="00085EB8"/>
    <w:rsid w:val="00085EC5"/>
    <w:rsid w:val="00085FC5"/>
    <w:rsid w:val="0008626C"/>
    <w:rsid w:val="00086628"/>
    <w:rsid w:val="00086846"/>
    <w:rsid w:val="00086A72"/>
    <w:rsid w:val="00086AC8"/>
    <w:rsid w:val="00086B1A"/>
    <w:rsid w:val="00086B2C"/>
    <w:rsid w:val="00086BAC"/>
    <w:rsid w:val="00086F8C"/>
    <w:rsid w:val="00087359"/>
    <w:rsid w:val="00087421"/>
    <w:rsid w:val="0008773C"/>
    <w:rsid w:val="000877C4"/>
    <w:rsid w:val="00087C34"/>
    <w:rsid w:val="00087CEC"/>
    <w:rsid w:val="00090482"/>
    <w:rsid w:val="000904AB"/>
    <w:rsid w:val="00090575"/>
    <w:rsid w:val="0009085F"/>
    <w:rsid w:val="00090A31"/>
    <w:rsid w:val="00090A5A"/>
    <w:rsid w:val="00090CE9"/>
    <w:rsid w:val="00090FD3"/>
    <w:rsid w:val="0009144E"/>
    <w:rsid w:val="000914CD"/>
    <w:rsid w:val="0009180B"/>
    <w:rsid w:val="00091941"/>
    <w:rsid w:val="00091D29"/>
    <w:rsid w:val="00091DF9"/>
    <w:rsid w:val="00091E11"/>
    <w:rsid w:val="00091E2E"/>
    <w:rsid w:val="00091E7C"/>
    <w:rsid w:val="00092001"/>
    <w:rsid w:val="00092649"/>
    <w:rsid w:val="000928BD"/>
    <w:rsid w:val="00092F44"/>
    <w:rsid w:val="00092FE3"/>
    <w:rsid w:val="00093426"/>
    <w:rsid w:val="0009346F"/>
    <w:rsid w:val="000935C9"/>
    <w:rsid w:val="00093630"/>
    <w:rsid w:val="000937BB"/>
    <w:rsid w:val="0009382A"/>
    <w:rsid w:val="000938A2"/>
    <w:rsid w:val="00093A79"/>
    <w:rsid w:val="00093C40"/>
    <w:rsid w:val="00093CB9"/>
    <w:rsid w:val="00093D41"/>
    <w:rsid w:val="00093D54"/>
    <w:rsid w:val="00093E7E"/>
    <w:rsid w:val="00094018"/>
    <w:rsid w:val="000946DD"/>
    <w:rsid w:val="00094873"/>
    <w:rsid w:val="000949E4"/>
    <w:rsid w:val="00094AC5"/>
    <w:rsid w:val="00094D9F"/>
    <w:rsid w:val="00095115"/>
    <w:rsid w:val="000951A8"/>
    <w:rsid w:val="00095207"/>
    <w:rsid w:val="0009525B"/>
    <w:rsid w:val="0009549A"/>
    <w:rsid w:val="000957C2"/>
    <w:rsid w:val="00095883"/>
    <w:rsid w:val="00095BFF"/>
    <w:rsid w:val="00095E40"/>
    <w:rsid w:val="0009604B"/>
    <w:rsid w:val="000961C3"/>
    <w:rsid w:val="000961E4"/>
    <w:rsid w:val="00096554"/>
    <w:rsid w:val="00096665"/>
    <w:rsid w:val="000966C4"/>
    <w:rsid w:val="00096764"/>
    <w:rsid w:val="00096802"/>
    <w:rsid w:val="00096877"/>
    <w:rsid w:val="00096901"/>
    <w:rsid w:val="00096957"/>
    <w:rsid w:val="00096C89"/>
    <w:rsid w:val="00096CE9"/>
    <w:rsid w:val="0009727C"/>
    <w:rsid w:val="00097316"/>
    <w:rsid w:val="00097558"/>
    <w:rsid w:val="000976C2"/>
    <w:rsid w:val="00097A61"/>
    <w:rsid w:val="00097AD7"/>
    <w:rsid w:val="00097C66"/>
    <w:rsid w:val="000A01C9"/>
    <w:rsid w:val="000A03E4"/>
    <w:rsid w:val="000A0478"/>
    <w:rsid w:val="000A0528"/>
    <w:rsid w:val="000A0549"/>
    <w:rsid w:val="000A08E9"/>
    <w:rsid w:val="000A09BA"/>
    <w:rsid w:val="000A0BEC"/>
    <w:rsid w:val="000A0E3E"/>
    <w:rsid w:val="000A0F1F"/>
    <w:rsid w:val="000A1210"/>
    <w:rsid w:val="000A13BD"/>
    <w:rsid w:val="000A14BF"/>
    <w:rsid w:val="000A1602"/>
    <w:rsid w:val="000A171F"/>
    <w:rsid w:val="000A1999"/>
    <w:rsid w:val="000A1C25"/>
    <w:rsid w:val="000A1FD7"/>
    <w:rsid w:val="000A24D5"/>
    <w:rsid w:val="000A26B5"/>
    <w:rsid w:val="000A2B58"/>
    <w:rsid w:val="000A2ED6"/>
    <w:rsid w:val="000A3157"/>
    <w:rsid w:val="000A329F"/>
    <w:rsid w:val="000A336D"/>
    <w:rsid w:val="000A3582"/>
    <w:rsid w:val="000A36F3"/>
    <w:rsid w:val="000A3788"/>
    <w:rsid w:val="000A37BE"/>
    <w:rsid w:val="000A3847"/>
    <w:rsid w:val="000A3872"/>
    <w:rsid w:val="000A3B61"/>
    <w:rsid w:val="000A3D80"/>
    <w:rsid w:val="000A3DE7"/>
    <w:rsid w:val="000A3E04"/>
    <w:rsid w:val="000A3FA9"/>
    <w:rsid w:val="000A4138"/>
    <w:rsid w:val="000A41B4"/>
    <w:rsid w:val="000A4208"/>
    <w:rsid w:val="000A4224"/>
    <w:rsid w:val="000A4858"/>
    <w:rsid w:val="000A49C6"/>
    <w:rsid w:val="000A4CAD"/>
    <w:rsid w:val="000A4CAE"/>
    <w:rsid w:val="000A4D5E"/>
    <w:rsid w:val="000A4DCB"/>
    <w:rsid w:val="000A500B"/>
    <w:rsid w:val="000A51C5"/>
    <w:rsid w:val="000A5267"/>
    <w:rsid w:val="000A5542"/>
    <w:rsid w:val="000A5846"/>
    <w:rsid w:val="000A5E23"/>
    <w:rsid w:val="000A63F9"/>
    <w:rsid w:val="000A648A"/>
    <w:rsid w:val="000A64A0"/>
    <w:rsid w:val="000A68B5"/>
    <w:rsid w:val="000A6BFE"/>
    <w:rsid w:val="000A6DEE"/>
    <w:rsid w:val="000A7164"/>
    <w:rsid w:val="000A7210"/>
    <w:rsid w:val="000A7266"/>
    <w:rsid w:val="000A7286"/>
    <w:rsid w:val="000A764D"/>
    <w:rsid w:val="000A7B2C"/>
    <w:rsid w:val="000A7B7F"/>
    <w:rsid w:val="000A7BA1"/>
    <w:rsid w:val="000A7E4F"/>
    <w:rsid w:val="000B0256"/>
    <w:rsid w:val="000B0348"/>
    <w:rsid w:val="000B0AC1"/>
    <w:rsid w:val="000B0AE1"/>
    <w:rsid w:val="000B0B64"/>
    <w:rsid w:val="000B0EDD"/>
    <w:rsid w:val="000B1012"/>
    <w:rsid w:val="000B138D"/>
    <w:rsid w:val="000B1395"/>
    <w:rsid w:val="000B1D7F"/>
    <w:rsid w:val="000B1D9C"/>
    <w:rsid w:val="000B1F16"/>
    <w:rsid w:val="000B1F70"/>
    <w:rsid w:val="000B22EC"/>
    <w:rsid w:val="000B24B0"/>
    <w:rsid w:val="000B24BF"/>
    <w:rsid w:val="000B2A3B"/>
    <w:rsid w:val="000B2CFD"/>
    <w:rsid w:val="000B2F0B"/>
    <w:rsid w:val="000B336F"/>
    <w:rsid w:val="000B33B3"/>
    <w:rsid w:val="000B368F"/>
    <w:rsid w:val="000B3694"/>
    <w:rsid w:val="000B36D9"/>
    <w:rsid w:val="000B395D"/>
    <w:rsid w:val="000B39D7"/>
    <w:rsid w:val="000B39EA"/>
    <w:rsid w:val="000B3A4D"/>
    <w:rsid w:val="000B3BCC"/>
    <w:rsid w:val="000B3C5D"/>
    <w:rsid w:val="000B3C80"/>
    <w:rsid w:val="000B4347"/>
    <w:rsid w:val="000B4472"/>
    <w:rsid w:val="000B45A0"/>
    <w:rsid w:val="000B47A4"/>
    <w:rsid w:val="000B4AB6"/>
    <w:rsid w:val="000B4B4A"/>
    <w:rsid w:val="000B4FE6"/>
    <w:rsid w:val="000B50E6"/>
    <w:rsid w:val="000B5395"/>
    <w:rsid w:val="000B5569"/>
    <w:rsid w:val="000B56DB"/>
    <w:rsid w:val="000B5795"/>
    <w:rsid w:val="000B5AAF"/>
    <w:rsid w:val="000B5B5B"/>
    <w:rsid w:val="000B608B"/>
    <w:rsid w:val="000B6320"/>
    <w:rsid w:val="000B6515"/>
    <w:rsid w:val="000B6727"/>
    <w:rsid w:val="000B68E6"/>
    <w:rsid w:val="000B6D2C"/>
    <w:rsid w:val="000B6EA0"/>
    <w:rsid w:val="000B6F15"/>
    <w:rsid w:val="000B7058"/>
    <w:rsid w:val="000B728B"/>
    <w:rsid w:val="000B72AE"/>
    <w:rsid w:val="000B7734"/>
    <w:rsid w:val="000B7A35"/>
    <w:rsid w:val="000B7A73"/>
    <w:rsid w:val="000B7AA5"/>
    <w:rsid w:val="000B7AC3"/>
    <w:rsid w:val="000B7C66"/>
    <w:rsid w:val="000B7CD6"/>
    <w:rsid w:val="000B7EC0"/>
    <w:rsid w:val="000B7EC3"/>
    <w:rsid w:val="000C0093"/>
    <w:rsid w:val="000C013F"/>
    <w:rsid w:val="000C0146"/>
    <w:rsid w:val="000C0305"/>
    <w:rsid w:val="000C058C"/>
    <w:rsid w:val="000C0935"/>
    <w:rsid w:val="000C0CB6"/>
    <w:rsid w:val="000C0DCD"/>
    <w:rsid w:val="000C0F95"/>
    <w:rsid w:val="000C1201"/>
    <w:rsid w:val="000C1224"/>
    <w:rsid w:val="000C124E"/>
    <w:rsid w:val="000C1440"/>
    <w:rsid w:val="000C14D4"/>
    <w:rsid w:val="000C188E"/>
    <w:rsid w:val="000C18A7"/>
    <w:rsid w:val="000C1BCC"/>
    <w:rsid w:val="000C2084"/>
    <w:rsid w:val="000C2542"/>
    <w:rsid w:val="000C27A1"/>
    <w:rsid w:val="000C2F17"/>
    <w:rsid w:val="000C2F5D"/>
    <w:rsid w:val="000C301F"/>
    <w:rsid w:val="000C3087"/>
    <w:rsid w:val="000C30C1"/>
    <w:rsid w:val="000C3249"/>
    <w:rsid w:val="000C32C7"/>
    <w:rsid w:val="000C32F6"/>
    <w:rsid w:val="000C35E1"/>
    <w:rsid w:val="000C368D"/>
    <w:rsid w:val="000C3806"/>
    <w:rsid w:val="000C38AD"/>
    <w:rsid w:val="000C3A89"/>
    <w:rsid w:val="000C3E8E"/>
    <w:rsid w:val="000C3E93"/>
    <w:rsid w:val="000C40FB"/>
    <w:rsid w:val="000C4194"/>
    <w:rsid w:val="000C439D"/>
    <w:rsid w:val="000C441E"/>
    <w:rsid w:val="000C4466"/>
    <w:rsid w:val="000C46AF"/>
    <w:rsid w:val="000C4AE9"/>
    <w:rsid w:val="000C4C7B"/>
    <w:rsid w:val="000C4CE0"/>
    <w:rsid w:val="000C4D07"/>
    <w:rsid w:val="000C51A5"/>
    <w:rsid w:val="000C532A"/>
    <w:rsid w:val="000C538E"/>
    <w:rsid w:val="000C547D"/>
    <w:rsid w:val="000C5493"/>
    <w:rsid w:val="000C5546"/>
    <w:rsid w:val="000C574A"/>
    <w:rsid w:val="000C5C72"/>
    <w:rsid w:val="000C6037"/>
    <w:rsid w:val="000C6391"/>
    <w:rsid w:val="000C6967"/>
    <w:rsid w:val="000C6AEB"/>
    <w:rsid w:val="000C72B9"/>
    <w:rsid w:val="000C72C1"/>
    <w:rsid w:val="000C770F"/>
    <w:rsid w:val="000C7951"/>
    <w:rsid w:val="000C7A39"/>
    <w:rsid w:val="000C7ADA"/>
    <w:rsid w:val="000C7F84"/>
    <w:rsid w:val="000D0188"/>
    <w:rsid w:val="000D026B"/>
    <w:rsid w:val="000D0633"/>
    <w:rsid w:val="000D07DF"/>
    <w:rsid w:val="000D082C"/>
    <w:rsid w:val="000D08DD"/>
    <w:rsid w:val="000D094B"/>
    <w:rsid w:val="000D0AF5"/>
    <w:rsid w:val="000D0DEC"/>
    <w:rsid w:val="000D0EFE"/>
    <w:rsid w:val="000D0F4B"/>
    <w:rsid w:val="000D1038"/>
    <w:rsid w:val="000D13CA"/>
    <w:rsid w:val="000D14C6"/>
    <w:rsid w:val="000D16E0"/>
    <w:rsid w:val="000D17FB"/>
    <w:rsid w:val="000D1851"/>
    <w:rsid w:val="000D198E"/>
    <w:rsid w:val="000D1D72"/>
    <w:rsid w:val="000D1F69"/>
    <w:rsid w:val="000D208C"/>
    <w:rsid w:val="000D21D0"/>
    <w:rsid w:val="000D23B1"/>
    <w:rsid w:val="000D2447"/>
    <w:rsid w:val="000D25ED"/>
    <w:rsid w:val="000D2678"/>
    <w:rsid w:val="000D2840"/>
    <w:rsid w:val="000D2A2E"/>
    <w:rsid w:val="000D2BB1"/>
    <w:rsid w:val="000D2BC5"/>
    <w:rsid w:val="000D2D18"/>
    <w:rsid w:val="000D2D62"/>
    <w:rsid w:val="000D3022"/>
    <w:rsid w:val="000D31B0"/>
    <w:rsid w:val="000D3224"/>
    <w:rsid w:val="000D3256"/>
    <w:rsid w:val="000D329A"/>
    <w:rsid w:val="000D34D9"/>
    <w:rsid w:val="000D36F9"/>
    <w:rsid w:val="000D37B6"/>
    <w:rsid w:val="000D3C0D"/>
    <w:rsid w:val="000D3C60"/>
    <w:rsid w:val="000D3C7A"/>
    <w:rsid w:val="000D4031"/>
    <w:rsid w:val="000D4149"/>
    <w:rsid w:val="000D424F"/>
    <w:rsid w:val="000D4352"/>
    <w:rsid w:val="000D43DA"/>
    <w:rsid w:val="000D45A1"/>
    <w:rsid w:val="000D4719"/>
    <w:rsid w:val="000D473B"/>
    <w:rsid w:val="000D479C"/>
    <w:rsid w:val="000D483A"/>
    <w:rsid w:val="000D4BDE"/>
    <w:rsid w:val="000D4CDC"/>
    <w:rsid w:val="000D4DC0"/>
    <w:rsid w:val="000D51C1"/>
    <w:rsid w:val="000D5468"/>
    <w:rsid w:val="000D55DF"/>
    <w:rsid w:val="000D5BD6"/>
    <w:rsid w:val="000D5C71"/>
    <w:rsid w:val="000D5C9D"/>
    <w:rsid w:val="000D61F3"/>
    <w:rsid w:val="000D6390"/>
    <w:rsid w:val="000D6612"/>
    <w:rsid w:val="000D6641"/>
    <w:rsid w:val="000D69FD"/>
    <w:rsid w:val="000D6A1E"/>
    <w:rsid w:val="000D7143"/>
    <w:rsid w:val="000D715F"/>
    <w:rsid w:val="000D76FC"/>
    <w:rsid w:val="000D7A55"/>
    <w:rsid w:val="000D7AC5"/>
    <w:rsid w:val="000D7D59"/>
    <w:rsid w:val="000D7D79"/>
    <w:rsid w:val="000D7EDA"/>
    <w:rsid w:val="000E017D"/>
    <w:rsid w:val="000E03D8"/>
    <w:rsid w:val="000E0488"/>
    <w:rsid w:val="000E0494"/>
    <w:rsid w:val="000E116E"/>
    <w:rsid w:val="000E1527"/>
    <w:rsid w:val="000E1C03"/>
    <w:rsid w:val="000E266E"/>
    <w:rsid w:val="000E267F"/>
    <w:rsid w:val="000E26B8"/>
    <w:rsid w:val="000E279B"/>
    <w:rsid w:val="000E29E6"/>
    <w:rsid w:val="000E2AF9"/>
    <w:rsid w:val="000E2B03"/>
    <w:rsid w:val="000E2BC3"/>
    <w:rsid w:val="000E2EFA"/>
    <w:rsid w:val="000E2F7A"/>
    <w:rsid w:val="000E32C8"/>
    <w:rsid w:val="000E3484"/>
    <w:rsid w:val="000E3713"/>
    <w:rsid w:val="000E3794"/>
    <w:rsid w:val="000E3949"/>
    <w:rsid w:val="000E39BC"/>
    <w:rsid w:val="000E39DF"/>
    <w:rsid w:val="000E3A73"/>
    <w:rsid w:val="000E3BB0"/>
    <w:rsid w:val="000E3BD1"/>
    <w:rsid w:val="000E3DBA"/>
    <w:rsid w:val="000E3E9E"/>
    <w:rsid w:val="000E3FB7"/>
    <w:rsid w:val="000E446D"/>
    <w:rsid w:val="000E4495"/>
    <w:rsid w:val="000E483E"/>
    <w:rsid w:val="000E4891"/>
    <w:rsid w:val="000E4A07"/>
    <w:rsid w:val="000E4A28"/>
    <w:rsid w:val="000E4AAD"/>
    <w:rsid w:val="000E4BF2"/>
    <w:rsid w:val="000E4C25"/>
    <w:rsid w:val="000E4CC2"/>
    <w:rsid w:val="000E4E4C"/>
    <w:rsid w:val="000E4F92"/>
    <w:rsid w:val="000E50EB"/>
    <w:rsid w:val="000E5289"/>
    <w:rsid w:val="000E54CF"/>
    <w:rsid w:val="000E54FB"/>
    <w:rsid w:val="000E564F"/>
    <w:rsid w:val="000E5971"/>
    <w:rsid w:val="000E5BEB"/>
    <w:rsid w:val="000E5C13"/>
    <w:rsid w:val="000E5CDB"/>
    <w:rsid w:val="000E5DA2"/>
    <w:rsid w:val="000E6688"/>
    <w:rsid w:val="000E689C"/>
    <w:rsid w:val="000E68F2"/>
    <w:rsid w:val="000E6A36"/>
    <w:rsid w:val="000E6B78"/>
    <w:rsid w:val="000E6CAD"/>
    <w:rsid w:val="000E6D75"/>
    <w:rsid w:val="000E6E10"/>
    <w:rsid w:val="000E6E14"/>
    <w:rsid w:val="000E6F61"/>
    <w:rsid w:val="000E705E"/>
    <w:rsid w:val="000E7484"/>
    <w:rsid w:val="000E76B0"/>
    <w:rsid w:val="000E7890"/>
    <w:rsid w:val="000E7A32"/>
    <w:rsid w:val="000E7BBE"/>
    <w:rsid w:val="000E7D23"/>
    <w:rsid w:val="000E7E54"/>
    <w:rsid w:val="000E7F5F"/>
    <w:rsid w:val="000F018C"/>
    <w:rsid w:val="000F0255"/>
    <w:rsid w:val="000F0623"/>
    <w:rsid w:val="000F0A0F"/>
    <w:rsid w:val="000F0AE7"/>
    <w:rsid w:val="000F0E14"/>
    <w:rsid w:val="000F1200"/>
    <w:rsid w:val="000F17E8"/>
    <w:rsid w:val="000F189D"/>
    <w:rsid w:val="000F1968"/>
    <w:rsid w:val="000F1ACF"/>
    <w:rsid w:val="000F1D1D"/>
    <w:rsid w:val="000F1D79"/>
    <w:rsid w:val="000F1FE7"/>
    <w:rsid w:val="000F222C"/>
    <w:rsid w:val="000F2379"/>
    <w:rsid w:val="000F2784"/>
    <w:rsid w:val="000F27AA"/>
    <w:rsid w:val="000F2AA6"/>
    <w:rsid w:val="000F2B45"/>
    <w:rsid w:val="000F2B4F"/>
    <w:rsid w:val="000F320A"/>
    <w:rsid w:val="000F328C"/>
    <w:rsid w:val="000F35BD"/>
    <w:rsid w:val="000F36D8"/>
    <w:rsid w:val="000F370A"/>
    <w:rsid w:val="000F3850"/>
    <w:rsid w:val="000F3FB8"/>
    <w:rsid w:val="000F4121"/>
    <w:rsid w:val="000F4456"/>
    <w:rsid w:val="000F4772"/>
    <w:rsid w:val="000F48BF"/>
    <w:rsid w:val="000F49ED"/>
    <w:rsid w:val="000F4CD2"/>
    <w:rsid w:val="000F4CD8"/>
    <w:rsid w:val="000F4EF7"/>
    <w:rsid w:val="000F4F5B"/>
    <w:rsid w:val="000F50D7"/>
    <w:rsid w:val="000F53FA"/>
    <w:rsid w:val="000F5445"/>
    <w:rsid w:val="000F564D"/>
    <w:rsid w:val="000F56E5"/>
    <w:rsid w:val="000F5A9D"/>
    <w:rsid w:val="000F5AEA"/>
    <w:rsid w:val="000F5C2B"/>
    <w:rsid w:val="000F5CF7"/>
    <w:rsid w:val="000F5D08"/>
    <w:rsid w:val="000F62DE"/>
    <w:rsid w:val="000F63A7"/>
    <w:rsid w:val="000F6624"/>
    <w:rsid w:val="000F6886"/>
    <w:rsid w:val="000F68D7"/>
    <w:rsid w:val="000F6A7F"/>
    <w:rsid w:val="000F7177"/>
    <w:rsid w:val="000F7257"/>
    <w:rsid w:val="000F739C"/>
    <w:rsid w:val="000F754E"/>
    <w:rsid w:val="000F7590"/>
    <w:rsid w:val="000F7850"/>
    <w:rsid w:val="000F7905"/>
    <w:rsid w:val="001001CD"/>
    <w:rsid w:val="0010065E"/>
    <w:rsid w:val="0010080C"/>
    <w:rsid w:val="001009E2"/>
    <w:rsid w:val="00100AB7"/>
    <w:rsid w:val="00100C5D"/>
    <w:rsid w:val="00100C9B"/>
    <w:rsid w:val="001010B1"/>
    <w:rsid w:val="00101298"/>
    <w:rsid w:val="0010135C"/>
    <w:rsid w:val="001013B8"/>
    <w:rsid w:val="001016F1"/>
    <w:rsid w:val="00101A03"/>
    <w:rsid w:val="00101B74"/>
    <w:rsid w:val="00101F00"/>
    <w:rsid w:val="00102048"/>
    <w:rsid w:val="00102128"/>
    <w:rsid w:val="0010220A"/>
    <w:rsid w:val="00102498"/>
    <w:rsid w:val="00102553"/>
    <w:rsid w:val="001029E4"/>
    <w:rsid w:val="00102C01"/>
    <w:rsid w:val="00102C3C"/>
    <w:rsid w:val="00103814"/>
    <w:rsid w:val="0010396F"/>
    <w:rsid w:val="00103B1D"/>
    <w:rsid w:val="00103BBE"/>
    <w:rsid w:val="00103C81"/>
    <w:rsid w:val="00103E1E"/>
    <w:rsid w:val="00104036"/>
    <w:rsid w:val="00104359"/>
    <w:rsid w:val="00104424"/>
    <w:rsid w:val="0010473B"/>
    <w:rsid w:val="00104939"/>
    <w:rsid w:val="00104B6C"/>
    <w:rsid w:val="0010535C"/>
    <w:rsid w:val="0010544A"/>
    <w:rsid w:val="00105519"/>
    <w:rsid w:val="00105EB2"/>
    <w:rsid w:val="00105F5E"/>
    <w:rsid w:val="00106101"/>
    <w:rsid w:val="0010611A"/>
    <w:rsid w:val="00106179"/>
    <w:rsid w:val="00106373"/>
    <w:rsid w:val="00106425"/>
    <w:rsid w:val="0010668F"/>
    <w:rsid w:val="001067E9"/>
    <w:rsid w:val="00107313"/>
    <w:rsid w:val="001077B6"/>
    <w:rsid w:val="00107887"/>
    <w:rsid w:val="00107984"/>
    <w:rsid w:val="00107B5F"/>
    <w:rsid w:val="00107D49"/>
    <w:rsid w:val="00107D60"/>
    <w:rsid w:val="00107DD1"/>
    <w:rsid w:val="00107F5E"/>
    <w:rsid w:val="0011009E"/>
    <w:rsid w:val="00110116"/>
    <w:rsid w:val="00110220"/>
    <w:rsid w:val="00110364"/>
    <w:rsid w:val="001106CD"/>
    <w:rsid w:val="0011082C"/>
    <w:rsid w:val="00110974"/>
    <w:rsid w:val="0011097D"/>
    <w:rsid w:val="00110C4E"/>
    <w:rsid w:val="00110E89"/>
    <w:rsid w:val="0011175F"/>
    <w:rsid w:val="001117FF"/>
    <w:rsid w:val="00111E38"/>
    <w:rsid w:val="00112399"/>
    <w:rsid w:val="001123B1"/>
    <w:rsid w:val="0011257D"/>
    <w:rsid w:val="00112724"/>
    <w:rsid w:val="001129D0"/>
    <w:rsid w:val="00112A9C"/>
    <w:rsid w:val="00112AAB"/>
    <w:rsid w:val="00112D00"/>
    <w:rsid w:val="00112FCC"/>
    <w:rsid w:val="00113543"/>
    <w:rsid w:val="0011395B"/>
    <w:rsid w:val="00113AEA"/>
    <w:rsid w:val="00113BCB"/>
    <w:rsid w:val="00113DF1"/>
    <w:rsid w:val="001141EA"/>
    <w:rsid w:val="00114649"/>
    <w:rsid w:val="0011492E"/>
    <w:rsid w:val="00114934"/>
    <w:rsid w:val="0011496B"/>
    <w:rsid w:val="001149A9"/>
    <w:rsid w:val="00114BCE"/>
    <w:rsid w:val="00114D84"/>
    <w:rsid w:val="0011502F"/>
    <w:rsid w:val="001157EC"/>
    <w:rsid w:val="00115869"/>
    <w:rsid w:val="001158F7"/>
    <w:rsid w:val="001158FD"/>
    <w:rsid w:val="001159F7"/>
    <w:rsid w:val="00115C58"/>
    <w:rsid w:val="00115DF7"/>
    <w:rsid w:val="00115F42"/>
    <w:rsid w:val="0011637A"/>
    <w:rsid w:val="0011667A"/>
    <w:rsid w:val="00116C73"/>
    <w:rsid w:val="00116E1C"/>
    <w:rsid w:val="00116E99"/>
    <w:rsid w:val="00116F04"/>
    <w:rsid w:val="00117063"/>
    <w:rsid w:val="001170BB"/>
    <w:rsid w:val="00117153"/>
    <w:rsid w:val="001172AF"/>
    <w:rsid w:val="0011734B"/>
    <w:rsid w:val="001173C8"/>
    <w:rsid w:val="001174AC"/>
    <w:rsid w:val="00117F28"/>
    <w:rsid w:val="001200B1"/>
    <w:rsid w:val="0012035B"/>
    <w:rsid w:val="0012036F"/>
    <w:rsid w:val="001204F4"/>
    <w:rsid w:val="001208F7"/>
    <w:rsid w:val="001209E7"/>
    <w:rsid w:val="00120F2D"/>
    <w:rsid w:val="0012144A"/>
    <w:rsid w:val="0012156E"/>
    <w:rsid w:val="00121685"/>
    <w:rsid w:val="0012175F"/>
    <w:rsid w:val="001217A9"/>
    <w:rsid w:val="00121C22"/>
    <w:rsid w:val="00121D11"/>
    <w:rsid w:val="00121F93"/>
    <w:rsid w:val="00122101"/>
    <w:rsid w:val="00122224"/>
    <w:rsid w:val="001223B9"/>
    <w:rsid w:val="00122433"/>
    <w:rsid w:val="001227EA"/>
    <w:rsid w:val="001229D2"/>
    <w:rsid w:val="00122A43"/>
    <w:rsid w:val="00122AD1"/>
    <w:rsid w:val="00122C4E"/>
    <w:rsid w:val="0012300C"/>
    <w:rsid w:val="001231C2"/>
    <w:rsid w:val="00123339"/>
    <w:rsid w:val="0012369E"/>
    <w:rsid w:val="00123743"/>
    <w:rsid w:val="0012393B"/>
    <w:rsid w:val="00123A4B"/>
    <w:rsid w:val="00123A8C"/>
    <w:rsid w:val="00123AD6"/>
    <w:rsid w:val="00123CBE"/>
    <w:rsid w:val="001240AB"/>
    <w:rsid w:val="001241AD"/>
    <w:rsid w:val="001245FF"/>
    <w:rsid w:val="00124C98"/>
    <w:rsid w:val="00124E7C"/>
    <w:rsid w:val="00124F58"/>
    <w:rsid w:val="00125109"/>
    <w:rsid w:val="00125142"/>
    <w:rsid w:val="00125290"/>
    <w:rsid w:val="001253A6"/>
    <w:rsid w:val="00125434"/>
    <w:rsid w:val="00125615"/>
    <w:rsid w:val="001256B3"/>
    <w:rsid w:val="001258C0"/>
    <w:rsid w:val="00125B74"/>
    <w:rsid w:val="00125C90"/>
    <w:rsid w:val="00125CFB"/>
    <w:rsid w:val="0012660A"/>
    <w:rsid w:val="00126747"/>
    <w:rsid w:val="001267E8"/>
    <w:rsid w:val="0012680A"/>
    <w:rsid w:val="00126B76"/>
    <w:rsid w:val="00126D9C"/>
    <w:rsid w:val="00126FF9"/>
    <w:rsid w:val="00127366"/>
    <w:rsid w:val="00127535"/>
    <w:rsid w:val="00127870"/>
    <w:rsid w:val="0012793E"/>
    <w:rsid w:val="00127BF3"/>
    <w:rsid w:val="00127CB9"/>
    <w:rsid w:val="00127CC7"/>
    <w:rsid w:val="00127D03"/>
    <w:rsid w:val="001301DC"/>
    <w:rsid w:val="001301E8"/>
    <w:rsid w:val="00130346"/>
    <w:rsid w:val="001305ED"/>
    <w:rsid w:val="00130A42"/>
    <w:rsid w:val="00130BD0"/>
    <w:rsid w:val="00130E69"/>
    <w:rsid w:val="0013133D"/>
    <w:rsid w:val="00131502"/>
    <w:rsid w:val="00131974"/>
    <w:rsid w:val="00131DDB"/>
    <w:rsid w:val="00131E40"/>
    <w:rsid w:val="00132040"/>
    <w:rsid w:val="00132109"/>
    <w:rsid w:val="001323B5"/>
    <w:rsid w:val="00132A2A"/>
    <w:rsid w:val="00132C1A"/>
    <w:rsid w:val="00132C39"/>
    <w:rsid w:val="00132C61"/>
    <w:rsid w:val="00132E74"/>
    <w:rsid w:val="001332BC"/>
    <w:rsid w:val="00133390"/>
    <w:rsid w:val="00133574"/>
    <w:rsid w:val="0013407D"/>
    <w:rsid w:val="0013427D"/>
    <w:rsid w:val="001347FF"/>
    <w:rsid w:val="001349A8"/>
    <w:rsid w:val="00134A8B"/>
    <w:rsid w:val="00134B5A"/>
    <w:rsid w:val="00134BEC"/>
    <w:rsid w:val="00135584"/>
    <w:rsid w:val="0013585D"/>
    <w:rsid w:val="00135B7D"/>
    <w:rsid w:val="00136230"/>
    <w:rsid w:val="00136376"/>
    <w:rsid w:val="0013654C"/>
    <w:rsid w:val="0013668B"/>
    <w:rsid w:val="001366AC"/>
    <w:rsid w:val="001366D2"/>
    <w:rsid w:val="0013676F"/>
    <w:rsid w:val="00136D69"/>
    <w:rsid w:val="00136DB5"/>
    <w:rsid w:val="00137092"/>
    <w:rsid w:val="001371AC"/>
    <w:rsid w:val="0013737C"/>
    <w:rsid w:val="001375A3"/>
    <w:rsid w:val="001375E6"/>
    <w:rsid w:val="00137922"/>
    <w:rsid w:val="001379DD"/>
    <w:rsid w:val="00137BC8"/>
    <w:rsid w:val="00137C70"/>
    <w:rsid w:val="0014007D"/>
    <w:rsid w:val="001402E8"/>
    <w:rsid w:val="001405A2"/>
    <w:rsid w:val="001407F6"/>
    <w:rsid w:val="00140804"/>
    <w:rsid w:val="00140B18"/>
    <w:rsid w:val="00140BB7"/>
    <w:rsid w:val="00140C3C"/>
    <w:rsid w:val="00140CB4"/>
    <w:rsid w:val="0014107A"/>
    <w:rsid w:val="001410E4"/>
    <w:rsid w:val="001412A4"/>
    <w:rsid w:val="001414E5"/>
    <w:rsid w:val="001418AD"/>
    <w:rsid w:val="00142542"/>
    <w:rsid w:val="00142721"/>
    <w:rsid w:val="001428C5"/>
    <w:rsid w:val="00142D0E"/>
    <w:rsid w:val="00142D73"/>
    <w:rsid w:val="00143018"/>
    <w:rsid w:val="001430D9"/>
    <w:rsid w:val="00143302"/>
    <w:rsid w:val="00143394"/>
    <w:rsid w:val="001433A6"/>
    <w:rsid w:val="001439E8"/>
    <w:rsid w:val="00143B00"/>
    <w:rsid w:val="00143C30"/>
    <w:rsid w:val="00143D4D"/>
    <w:rsid w:val="00144444"/>
    <w:rsid w:val="00144539"/>
    <w:rsid w:val="001445AD"/>
    <w:rsid w:val="001446C2"/>
    <w:rsid w:val="001446FC"/>
    <w:rsid w:val="00144A0D"/>
    <w:rsid w:val="00144A4D"/>
    <w:rsid w:val="00144B04"/>
    <w:rsid w:val="00144C78"/>
    <w:rsid w:val="00144E3E"/>
    <w:rsid w:val="00144F19"/>
    <w:rsid w:val="0014559C"/>
    <w:rsid w:val="00145782"/>
    <w:rsid w:val="00145805"/>
    <w:rsid w:val="00145D3B"/>
    <w:rsid w:val="001462C9"/>
    <w:rsid w:val="001463C4"/>
    <w:rsid w:val="001463EB"/>
    <w:rsid w:val="001464BD"/>
    <w:rsid w:val="00146591"/>
    <w:rsid w:val="00146753"/>
    <w:rsid w:val="00146820"/>
    <w:rsid w:val="0014685A"/>
    <w:rsid w:val="001469A4"/>
    <w:rsid w:val="00146D31"/>
    <w:rsid w:val="00147429"/>
    <w:rsid w:val="00147835"/>
    <w:rsid w:val="00147DCB"/>
    <w:rsid w:val="00147EE8"/>
    <w:rsid w:val="00147F95"/>
    <w:rsid w:val="001502C5"/>
    <w:rsid w:val="001506E6"/>
    <w:rsid w:val="0015071C"/>
    <w:rsid w:val="00150DD8"/>
    <w:rsid w:val="00151209"/>
    <w:rsid w:val="001512A5"/>
    <w:rsid w:val="00151666"/>
    <w:rsid w:val="001517C2"/>
    <w:rsid w:val="0015181B"/>
    <w:rsid w:val="00151A61"/>
    <w:rsid w:val="00151D0D"/>
    <w:rsid w:val="00151E10"/>
    <w:rsid w:val="00151EDE"/>
    <w:rsid w:val="00151F6A"/>
    <w:rsid w:val="00152005"/>
    <w:rsid w:val="00152006"/>
    <w:rsid w:val="0015243A"/>
    <w:rsid w:val="00152617"/>
    <w:rsid w:val="00152704"/>
    <w:rsid w:val="001529A9"/>
    <w:rsid w:val="001529BD"/>
    <w:rsid w:val="001529F8"/>
    <w:rsid w:val="00152AB3"/>
    <w:rsid w:val="001530BA"/>
    <w:rsid w:val="0015329E"/>
    <w:rsid w:val="001535B1"/>
    <w:rsid w:val="001535C3"/>
    <w:rsid w:val="001538C9"/>
    <w:rsid w:val="0015392A"/>
    <w:rsid w:val="00153AA0"/>
    <w:rsid w:val="00153C1B"/>
    <w:rsid w:val="00153EDF"/>
    <w:rsid w:val="00154045"/>
    <w:rsid w:val="001542F1"/>
    <w:rsid w:val="00154403"/>
    <w:rsid w:val="0015443E"/>
    <w:rsid w:val="00154AAD"/>
    <w:rsid w:val="00154ADF"/>
    <w:rsid w:val="00154D82"/>
    <w:rsid w:val="00154FDC"/>
    <w:rsid w:val="00155111"/>
    <w:rsid w:val="0015517B"/>
    <w:rsid w:val="00155267"/>
    <w:rsid w:val="00155514"/>
    <w:rsid w:val="001555AB"/>
    <w:rsid w:val="001556AE"/>
    <w:rsid w:val="00155820"/>
    <w:rsid w:val="00155894"/>
    <w:rsid w:val="00155953"/>
    <w:rsid w:val="00155BF2"/>
    <w:rsid w:val="00155C57"/>
    <w:rsid w:val="00155D9B"/>
    <w:rsid w:val="00155DFD"/>
    <w:rsid w:val="00155F04"/>
    <w:rsid w:val="001563A6"/>
    <w:rsid w:val="00156B3A"/>
    <w:rsid w:val="00156DAF"/>
    <w:rsid w:val="00157170"/>
    <w:rsid w:val="00157408"/>
    <w:rsid w:val="001575AA"/>
    <w:rsid w:val="00157937"/>
    <w:rsid w:val="00157B93"/>
    <w:rsid w:val="00157C47"/>
    <w:rsid w:val="00160791"/>
    <w:rsid w:val="001607EF"/>
    <w:rsid w:val="00160847"/>
    <w:rsid w:val="00160E08"/>
    <w:rsid w:val="00160EA8"/>
    <w:rsid w:val="00160ECB"/>
    <w:rsid w:val="00161320"/>
    <w:rsid w:val="00161692"/>
    <w:rsid w:val="00161865"/>
    <w:rsid w:val="00161BF2"/>
    <w:rsid w:val="00161D42"/>
    <w:rsid w:val="00161D98"/>
    <w:rsid w:val="00162031"/>
    <w:rsid w:val="001621F7"/>
    <w:rsid w:val="00162575"/>
    <w:rsid w:val="00162A41"/>
    <w:rsid w:val="00162C55"/>
    <w:rsid w:val="001630D9"/>
    <w:rsid w:val="00163442"/>
    <w:rsid w:val="0016352C"/>
    <w:rsid w:val="00163577"/>
    <w:rsid w:val="001635BB"/>
    <w:rsid w:val="001636B3"/>
    <w:rsid w:val="001638BC"/>
    <w:rsid w:val="00163A8B"/>
    <w:rsid w:val="00163AFE"/>
    <w:rsid w:val="00163C76"/>
    <w:rsid w:val="00163DA5"/>
    <w:rsid w:val="00163E86"/>
    <w:rsid w:val="0016457F"/>
    <w:rsid w:val="001645DE"/>
    <w:rsid w:val="0016465B"/>
    <w:rsid w:val="00164809"/>
    <w:rsid w:val="001648D0"/>
    <w:rsid w:val="00164967"/>
    <w:rsid w:val="0016499C"/>
    <w:rsid w:val="00164CBF"/>
    <w:rsid w:val="00164E3A"/>
    <w:rsid w:val="00165271"/>
    <w:rsid w:val="001653EF"/>
    <w:rsid w:val="001657EF"/>
    <w:rsid w:val="00165B73"/>
    <w:rsid w:val="00165E82"/>
    <w:rsid w:val="00166384"/>
    <w:rsid w:val="001664E6"/>
    <w:rsid w:val="00166616"/>
    <w:rsid w:val="00166797"/>
    <w:rsid w:val="001669B0"/>
    <w:rsid w:val="00166AD6"/>
    <w:rsid w:val="00166BF0"/>
    <w:rsid w:val="00166DAC"/>
    <w:rsid w:val="00166E1B"/>
    <w:rsid w:val="00166EE7"/>
    <w:rsid w:val="00167161"/>
    <w:rsid w:val="001671B2"/>
    <w:rsid w:val="0016733B"/>
    <w:rsid w:val="001673D2"/>
    <w:rsid w:val="0016788B"/>
    <w:rsid w:val="001679FC"/>
    <w:rsid w:val="00167B0E"/>
    <w:rsid w:val="00167B31"/>
    <w:rsid w:val="00167DC5"/>
    <w:rsid w:val="00167ED7"/>
    <w:rsid w:val="001700CB"/>
    <w:rsid w:val="001700D6"/>
    <w:rsid w:val="0017010B"/>
    <w:rsid w:val="00170143"/>
    <w:rsid w:val="00170238"/>
    <w:rsid w:val="00170467"/>
    <w:rsid w:val="001704EE"/>
    <w:rsid w:val="00170595"/>
    <w:rsid w:val="001705F3"/>
    <w:rsid w:val="00170C54"/>
    <w:rsid w:val="00170CB6"/>
    <w:rsid w:val="00170FA3"/>
    <w:rsid w:val="00170FDA"/>
    <w:rsid w:val="001710E8"/>
    <w:rsid w:val="0017158C"/>
    <w:rsid w:val="001716DA"/>
    <w:rsid w:val="00171A07"/>
    <w:rsid w:val="00171AB2"/>
    <w:rsid w:val="00171AC3"/>
    <w:rsid w:val="00171B3D"/>
    <w:rsid w:val="00171BD0"/>
    <w:rsid w:val="00171DAB"/>
    <w:rsid w:val="00171E91"/>
    <w:rsid w:val="0017235B"/>
    <w:rsid w:val="00172476"/>
    <w:rsid w:val="0017249E"/>
    <w:rsid w:val="00172674"/>
    <w:rsid w:val="00172886"/>
    <w:rsid w:val="001728F9"/>
    <w:rsid w:val="00172B01"/>
    <w:rsid w:val="00172BAB"/>
    <w:rsid w:val="0017317A"/>
    <w:rsid w:val="00173379"/>
    <w:rsid w:val="001734C7"/>
    <w:rsid w:val="00173834"/>
    <w:rsid w:val="00173A84"/>
    <w:rsid w:val="00173A94"/>
    <w:rsid w:val="00173B59"/>
    <w:rsid w:val="00173B99"/>
    <w:rsid w:val="00173BBA"/>
    <w:rsid w:val="00173BBE"/>
    <w:rsid w:val="00173D02"/>
    <w:rsid w:val="00174160"/>
    <w:rsid w:val="0017455A"/>
    <w:rsid w:val="00174748"/>
    <w:rsid w:val="00174785"/>
    <w:rsid w:val="001748CE"/>
    <w:rsid w:val="001749CB"/>
    <w:rsid w:val="00174A4B"/>
    <w:rsid w:val="00174AE4"/>
    <w:rsid w:val="00174D52"/>
    <w:rsid w:val="00174E99"/>
    <w:rsid w:val="001751F0"/>
    <w:rsid w:val="00175266"/>
    <w:rsid w:val="00175554"/>
    <w:rsid w:val="00175A1F"/>
    <w:rsid w:val="00176281"/>
    <w:rsid w:val="00176432"/>
    <w:rsid w:val="0017653D"/>
    <w:rsid w:val="00176686"/>
    <w:rsid w:val="00176772"/>
    <w:rsid w:val="00176DB7"/>
    <w:rsid w:val="00177031"/>
    <w:rsid w:val="0017747A"/>
    <w:rsid w:val="001774DA"/>
    <w:rsid w:val="0017768D"/>
    <w:rsid w:val="0017770F"/>
    <w:rsid w:val="0017777D"/>
    <w:rsid w:val="00177D18"/>
    <w:rsid w:val="00177D4D"/>
    <w:rsid w:val="00177D96"/>
    <w:rsid w:val="00177EAC"/>
    <w:rsid w:val="00177FC9"/>
    <w:rsid w:val="0018010B"/>
    <w:rsid w:val="00180327"/>
    <w:rsid w:val="00180493"/>
    <w:rsid w:val="001809F8"/>
    <w:rsid w:val="00180A87"/>
    <w:rsid w:val="00180ED7"/>
    <w:rsid w:val="00180F8C"/>
    <w:rsid w:val="00181150"/>
    <w:rsid w:val="001811CF"/>
    <w:rsid w:val="00181418"/>
    <w:rsid w:val="00181565"/>
    <w:rsid w:val="0018168F"/>
    <w:rsid w:val="001817BE"/>
    <w:rsid w:val="001817C4"/>
    <w:rsid w:val="0018180D"/>
    <w:rsid w:val="00181830"/>
    <w:rsid w:val="00181B4D"/>
    <w:rsid w:val="00181BC6"/>
    <w:rsid w:val="00181E9F"/>
    <w:rsid w:val="00181F65"/>
    <w:rsid w:val="001827AF"/>
    <w:rsid w:val="00182C5F"/>
    <w:rsid w:val="00182EB2"/>
    <w:rsid w:val="00182EF0"/>
    <w:rsid w:val="001833DB"/>
    <w:rsid w:val="001836A5"/>
    <w:rsid w:val="00183C49"/>
    <w:rsid w:val="0018405E"/>
    <w:rsid w:val="001841DE"/>
    <w:rsid w:val="001841F2"/>
    <w:rsid w:val="001841F3"/>
    <w:rsid w:val="001842BF"/>
    <w:rsid w:val="001842D1"/>
    <w:rsid w:val="00184566"/>
    <w:rsid w:val="001848BC"/>
    <w:rsid w:val="00184DD6"/>
    <w:rsid w:val="00185099"/>
    <w:rsid w:val="001850ED"/>
    <w:rsid w:val="001852F9"/>
    <w:rsid w:val="001854E4"/>
    <w:rsid w:val="001857C2"/>
    <w:rsid w:val="0018582D"/>
    <w:rsid w:val="00185ACB"/>
    <w:rsid w:val="00185B0A"/>
    <w:rsid w:val="00185D38"/>
    <w:rsid w:val="00185E69"/>
    <w:rsid w:val="00185F82"/>
    <w:rsid w:val="001860D6"/>
    <w:rsid w:val="00186130"/>
    <w:rsid w:val="0018616A"/>
    <w:rsid w:val="00186247"/>
    <w:rsid w:val="001863D8"/>
    <w:rsid w:val="00186496"/>
    <w:rsid w:val="001866BB"/>
    <w:rsid w:val="001866EC"/>
    <w:rsid w:val="00186942"/>
    <w:rsid w:val="00186AD6"/>
    <w:rsid w:val="00186D44"/>
    <w:rsid w:val="00186E1F"/>
    <w:rsid w:val="00186E7B"/>
    <w:rsid w:val="00186FFA"/>
    <w:rsid w:val="0018721E"/>
    <w:rsid w:val="00187250"/>
    <w:rsid w:val="00187304"/>
    <w:rsid w:val="00187658"/>
    <w:rsid w:val="0018799C"/>
    <w:rsid w:val="00187D3F"/>
    <w:rsid w:val="00187EAA"/>
    <w:rsid w:val="0019021E"/>
    <w:rsid w:val="00190253"/>
    <w:rsid w:val="0019027A"/>
    <w:rsid w:val="00190306"/>
    <w:rsid w:val="0019034C"/>
    <w:rsid w:val="001904DA"/>
    <w:rsid w:val="0019062B"/>
    <w:rsid w:val="001906C1"/>
    <w:rsid w:val="00190701"/>
    <w:rsid w:val="00190779"/>
    <w:rsid w:val="001909E4"/>
    <w:rsid w:val="001917D1"/>
    <w:rsid w:val="001919A4"/>
    <w:rsid w:val="001919AE"/>
    <w:rsid w:val="00191E09"/>
    <w:rsid w:val="00191E86"/>
    <w:rsid w:val="001921B4"/>
    <w:rsid w:val="0019224E"/>
    <w:rsid w:val="00192692"/>
    <w:rsid w:val="001926F8"/>
    <w:rsid w:val="001927CB"/>
    <w:rsid w:val="00192A92"/>
    <w:rsid w:val="00192CAD"/>
    <w:rsid w:val="00192D15"/>
    <w:rsid w:val="00192E77"/>
    <w:rsid w:val="00192EC8"/>
    <w:rsid w:val="00192F81"/>
    <w:rsid w:val="00193118"/>
    <w:rsid w:val="001935D7"/>
    <w:rsid w:val="0019396F"/>
    <w:rsid w:val="00193994"/>
    <w:rsid w:val="00193A08"/>
    <w:rsid w:val="0019400E"/>
    <w:rsid w:val="001943DF"/>
    <w:rsid w:val="00194442"/>
    <w:rsid w:val="001944D7"/>
    <w:rsid w:val="00194611"/>
    <w:rsid w:val="00194664"/>
    <w:rsid w:val="001948D3"/>
    <w:rsid w:val="00194E76"/>
    <w:rsid w:val="001950FD"/>
    <w:rsid w:val="0019513A"/>
    <w:rsid w:val="001952C0"/>
    <w:rsid w:val="001956C1"/>
    <w:rsid w:val="00195FAE"/>
    <w:rsid w:val="001962D1"/>
    <w:rsid w:val="00196573"/>
    <w:rsid w:val="001965B4"/>
    <w:rsid w:val="00196951"/>
    <w:rsid w:val="00196ABC"/>
    <w:rsid w:val="0019702F"/>
    <w:rsid w:val="001970EF"/>
    <w:rsid w:val="001977C9"/>
    <w:rsid w:val="00197C8E"/>
    <w:rsid w:val="00197EDE"/>
    <w:rsid w:val="00197F25"/>
    <w:rsid w:val="001A0092"/>
    <w:rsid w:val="001A0251"/>
    <w:rsid w:val="001A02B3"/>
    <w:rsid w:val="001A02FF"/>
    <w:rsid w:val="001A03BB"/>
    <w:rsid w:val="001A0A86"/>
    <w:rsid w:val="001A0C79"/>
    <w:rsid w:val="001A0C81"/>
    <w:rsid w:val="001A0F7F"/>
    <w:rsid w:val="001A1027"/>
    <w:rsid w:val="001A1206"/>
    <w:rsid w:val="001A13E7"/>
    <w:rsid w:val="001A1559"/>
    <w:rsid w:val="001A17D3"/>
    <w:rsid w:val="001A1E3A"/>
    <w:rsid w:val="001A2044"/>
    <w:rsid w:val="001A22D8"/>
    <w:rsid w:val="001A2FFC"/>
    <w:rsid w:val="001A35AF"/>
    <w:rsid w:val="001A361F"/>
    <w:rsid w:val="001A3703"/>
    <w:rsid w:val="001A3859"/>
    <w:rsid w:val="001A3BAA"/>
    <w:rsid w:val="001A3E69"/>
    <w:rsid w:val="001A3E6F"/>
    <w:rsid w:val="001A3EFF"/>
    <w:rsid w:val="001A43BD"/>
    <w:rsid w:val="001A4471"/>
    <w:rsid w:val="001A45D4"/>
    <w:rsid w:val="001A4619"/>
    <w:rsid w:val="001A47EA"/>
    <w:rsid w:val="001A4991"/>
    <w:rsid w:val="001A4CF9"/>
    <w:rsid w:val="001A4EE2"/>
    <w:rsid w:val="001A50B7"/>
    <w:rsid w:val="001A5628"/>
    <w:rsid w:val="001A58CF"/>
    <w:rsid w:val="001A58F4"/>
    <w:rsid w:val="001A59AE"/>
    <w:rsid w:val="001A5EDB"/>
    <w:rsid w:val="001A5F09"/>
    <w:rsid w:val="001A5F0E"/>
    <w:rsid w:val="001A6135"/>
    <w:rsid w:val="001A61E2"/>
    <w:rsid w:val="001A6641"/>
    <w:rsid w:val="001A6903"/>
    <w:rsid w:val="001A6A66"/>
    <w:rsid w:val="001A6C45"/>
    <w:rsid w:val="001A6C4D"/>
    <w:rsid w:val="001A6D6B"/>
    <w:rsid w:val="001A6DD9"/>
    <w:rsid w:val="001A6F44"/>
    <w:rsid w:val="001A6F5E"/>
    <w:rsid w:val="001A6F69"/>
    <w:rsid w:val="001A6F9F"/>
    <w:rsid w:val="001A70F1"/>
    <w:rsid w:val="001A7242"/>
    <w:rsid w:val="001A7333"/>
    <w:rsid w:val="001A779E"/>
    <w:rsid w:val="001A78A9"/>
    <w:rsid w:val="001A7AB9"/>
    <w:rsid w:val="001A7CF7"/>
    <w:rsid w:val="001A7D45"/>
    <w:rsid w:val="001A7FA9"/>
    <w:rsid w:val="001B0111"/>
    <w:rsid w:val="001B0254"/>
    <w:rsid w:val="001B053E"/>
    <w:rsid w:val="001B094B"/>
    <w:rsid w:val="001B0958"/>
    <w:rsid w:val="001B0FE6"/>
    <w:rsid w:val="001B1174"/>
    <w:rsid w:val="001B1468"/>
    <w:rsid w:val="001B16CA"/>
    <w:rsid w:val="001B16F7"/>
    <w:rsid w:val="001B174D"/>
    <w:rsid w:val="001B18B9"/>
    <w:rsid w:val="001B18E9"/>
    <w:rsid w:val="001B1C0A"/>
    <w:rsid w:val="001B1CE3"/>
    <w:rsid w:val="001B1CEE"/>
    <w:rsid w:val="001B22B3"/>
    <w:rsid w:val="001B254D"/>
    <w:rsid w:val="001B25B8"/>
    <w:rsid w:val="001B25EB"/>
    <w:rsid w:val="001B2A5D"/>
    <w:rsid w:val="001B2E28"/>
    <w:rsid w:val="001B2EC5"/>
    <w:rsid w:val="001B330C"/>
    <w:rsid w:val="001B3413"/>
    <w:rsid w:val="001B34F0"/>
    <w:rsid w:val="001B36AA"/>
    <w:rsid w:val="001B3A15"/>
    <w:rsid w:val="001B3B0F"/>
    <w:rsid w:val="001B3B65"/>
    <w:rsid w:val="001B3CB0"/>
    <w:rsid w:val="001B3D57"/>
    <w:rsid w:val="001B4185"/>
    <w:rsid w:val="001B4518"/>
    <w:rsid w:val="001B4582"/>
    <w:rsid w:val="001B47ED"/>
    <w:rsid w:val="001B48C7"/>
    <w:rsid w:val="001B498D"/>
    <w:rsid w:val="001B4C2C"/>
    <w:rsid w:val="001B4F58"/>
    <w:rsid w:val="001B4FCA"/>
    <w:rsid w:val="001B586E"/>
    <w:rsid w:val="001B5A20"/>
    <w:rsid w:val="001B5C04"/>
    <w:rsid w:val="001B5EDB"/>
    <w:rsid w:val="001B62D6"/>
    <w:rsid w:val="001B64C4"/>
    <w:rsid w:val="001B6522"/>
    <w:rsid w:val="001B652B"/>
    <w:rsid w:val="001B6661"/>
    <w:rsid w:val="001B67C0"/>
    <w:rsid w:val="001B68D7"/>
    <w:rsid w:val="001B6958"/>
    <w:rsid w:val="001B6B99"/>
    <w:rsid w:val="001B6D9E"/>
    <w:rsid w:val="001B7030"/>
    <w:rsid w:val="001B7039"/>
    <w:rsid w:val="001B705D"/>
    <w:rsid w:val="001B70F2"/>
    <w:rsid w:val="001B72A0"/>
    <w:rsid w:val="001B7345"/>
    <w:rsid w:val="001B74F1"/>
    <w:rsid w:val="001B7538"/>
    <w:rsid w:val="001B7BD0"/>
    <w:rsid w:val="001B7D2F"/>
    <w:rsid w:val="001C0035"/>
    <w:rsid w:val="001C038D"/>
    <w:rsid w:val="001C082C"/>
    <w:rsid w:val="001C0BC1"/>
    <w:rsid w:val="001C0C0A"/>
    <w:rsid w:val="001C0D3A"/>
    <w:rsid w:val="001C0F06"/>
    <w:rsid w:val="001C0FD2"/>
    <w:rsid w:val="001C1653"/>
    <w:rsid w:val="001C1FD2"/>
    <w:rsid w:val="001C2088"/>
    <w:rsid w:val="001C2116"/>
    <w:rsid w:val="001C223E"/>
    <w:rsid w:val="001C28DF"/>
    <w:rsid w:val="001C29DD"/>
    <w:rsid w:val="001C2CE7"/>
    <w:rsid w:val="001C2D87"/>
    <w:rsid w:val="001C327E"/>
    <w:rsid w:val="001C32A4"/>
    <w:rsid w:val="001C32B5"/>
    <w:rsid w:val="001C3592"/>
    <w:rsid w:val="001C366E"/>
    <w:rsid w:val="001C3686"/>
    <w:rsid w:val="001C3873"/>
    <w:rsid w:val="001C3A15"/>
    <w:rsid w:val="001C3C26"/>
    <w:rsid w:val="001C3CB7"/>
    <w:rsid w:val="001C3D1E"/>
    <w:rsid w:val="001C3F2F"/>
    <w:rsid w:val="001C402A"/>
    <w:rsid w:val="001C406A"/>
    <w:rsid w:val="001C43DF"/>
    <w:rsid w:val="001C45C4"/>
    <w:rsid w:val="001C4851"/>
    <w:rsid w:val="001C4C35"/>
    <w:rsid w:val="001C4CAB"/>
    <w:rsid w:val="001C4CAD"/>
    <w:rsid w:val="001C4D8A"/>
    <w:rsid w:val="001C4DE3"/>
    <w:rsid w:val="001C5180"/>
    <w:rsid w:val="001C5186"/>
    <w:rsid w:val="001C51A7"/>
    <w:rsid w:val="001C5456"/>
    <w:rsid w:val="001C54C7"/>
    <w:rsid w:val="001C58E8"/>
    <w:rsid w:val="001C592B"/>
    <w:rsid w:val="001C5CB8"/>
    <w:rsid w:val="001C5D7D"/>
    <w:rsid w:val="001C5D86"/>
    <w:rsid w:val="001C6077"/>
    <w:rsid w:val="001C6401"/>
    <w:rsid w:val="001C654F"/>
    <w:rsid w:val="001C6648"/>
    <w:rsid w:val="001C6728"/>
    <w:rsid w:val="001C690F"/>
    <w:rsid w:val="001C6A79"/>
    <w:rsid w:val="001C6B62"/>
    <w:rsid w:val="001C6C77"/>
    <w:rsid w:val="001C7806"/>
    <w:rsid w:val="001C7848"/>
    <w:rsid w:val="001C7882"/>
    <w:rsid w:val="001C79C7"/>
    <w:rsid w:val="001C7CC1"/>
    <w:rsid w:val="001C7FA2"/>
    <w:rsid w:val="001D00B5"/>
    <w:rsid w:val="001D022F"/>
    <w:rsid w:val="001D0369"/>
    <w:rsid w:val="001D036B"/>
    <w:rsid w:val="001D040A"/>
    <w:rsid w:val="001D057C"/>
    <w:rsid w:val="001D07F5"/>
    <w:rsid w:val="001D085E"/>
    <w:rsid w:val="001D0CF9"/>
    <w:rsid w:val="001D0DAE"/>
    <w:rsid w:val="001D125C"/>
    <w:rsid w:val="001D1777"/>
    <w:rsid w:val="001D18FB"/>
    <w:rsid w:val="001D193C"/>
    <w:rsid w:val="001D1C04"/>
    <w:rsid w:val="001D1E34"/>
    <w:rsid w:val="001D20EA"/>
    <w:rsid w:val="001D2236"/>
    <w:rsid w:val="001D2268"/>
    <w:rsid w:val="001D2276"/>
    <w:rsid w:val="001D22E9"/>
    <w:rsid w:val="001D2472"/>
    <w:rsid w:val="001D249E"/>
    <w:rsid w:val="001D26AB"/>
    <w:rsid w:val="001D273F"/>
    <w:rsid w:val="001D2784"/>
    <w:rsid w:val="001D29EC"/>
    <w:rsid w:val="001D2BF3"/>
    <w:rsid w:val="001D2C45"/>
    <w:rsid w:val="001D2C7F"/>
    <w:rsid w:val="001D31F0"/>
    <w:rsid w:val="001D32C9"/>
    <w:rsid w:val="001D3335"/>
    <w:rsid w:val="001D3405"/>
    <w:rsid w:val="001D3428"/>
    <w:rsid w:val="001D34FF"/>
    <w:rsid w:val="001D3A05"/>
    <w:rsid w:val="001D3BC0"/>
    <w:rsid w:val="001D3BE5"/>
    <w:rsid w:val="001D3D7C"/>
    <w:rsid w:val="001D3F26"/>
    <w:rsid w:val="001D4027"/>
    <w:rsid w:val="001D42AD"/>
    <w:rsid w:val="001D4545"/>
    <w:rsid w:val="001D4773"/>
    <w:rsid w:val="001D4844"/>
    <w:rsid w:val="001D4A4F"/>
    <w:rsid w:val="001D4C1C"/>
    <w:rsid w:val="001D4C7C"/>
    <w:rsid w:val="001D4EF9"/>
    <w:rsid w:val="001D50BE"/>
    <w:rsid w:val="001D5296"/>
    <w:rsid w:val="001D5496"/>
    <w:rsid w:val="001D5CE6"/>
    <w:rsid w:val="001D5EB8"/>
    <w:rsid w:val="001D5F31"/>
    <w:rsid w:val="001D6499"/>
    <w:rsid w:val="001D6533"/>
    <w:rsid w:val="001D65DA"/>
    <w:rsid w:val="001D6D92"/>
    <w:rsid w:val="001D6E00"/>
    <w:rsid w:val="001D6F9F"/>
    <w:rsid w:val="001D76FB"/>
    <w:rsid w:val="001E0314"/>
    <w:rsid w:val="001E04A8"/>
    <w:rsid w:val="001E0634"/>
    <w:rsid w:val="001E0772"/>
    <w:rsid w:val="001E0796"/>
    <w:rsid w:val="001E0A2C"/>
    <w:rsid w:val="001E0A66"/>
    <w:rsid w:val="001E0E3D"/>
    <w:rsid w:val="001E0E94"/>
    <w:rsid w:val="001E0F48"/>
    <w:rsid w:val="001E10D8"/>
    <w:rsid w:val="001E13B3"/>
    <w:rsid w:val="001E1446"/>
    <w:rsid w:val="001E151F"/>
    <w:rsid w:val="001E19B1"/>
    <w:rsid w:val="001E19E7"/>
    <w:rsid w:val="001E1E9F"/>
    <w:rsid w:val="001E1EE5"/>
    <w:rsid w:val="001E1F35"/>
    <w:rsid w:val="001E1F7E"/>
    <w:rsid w:val="001E1F8D"/>
    <w:rsid w:val="001E2115"/>
    <w:rsid w:val="001E28A8"/>
    <w:rsid w:val="001E28C0"/>
    <w:rsid w:val="001E2BC8"/>
    <w:rsid w:val="001E2C6A"/>
    <w:rsid w:val="001E2CD6"/>
    <w:rsid w:val="001E3097"/>
    <w:rsid w:val="001E30D2"/>
    <w:rsid w:val="001E33E8"/>
    <w:rsid w:val="001E34A1"/>
    <w:rsid w:val="001E3814"/>
    <w:rsid w:val="001E3A75"/>
    <w:rsid w:val="001E3A87"/>
    <w:rsid w:val="001E3BE0"/>
    <w:rsid w:val="001E3D79"/>
    <w:rsid w:val="001E3FAF"/>
    <w:rsid w:val="001E4094"/>
    <w:rsid w:val="001E40DD"/>
    <w:rsid w:val="001E419A"/>
    <w:rsid w:val="001E465B"/>
    <w:rsid w:val="001E47F1"/>
    <w:rsid w:val="001E4832"/>
    <w:rsid w:val="001E49F6"/>
    <w:rsid w:val="001E4ABC"/>
    <w:rsid w:val="001E4AD7"/>
    <w:rsid w:val="001E4B03"/>
    <w:rsid w:val="001E4EA1"/>
    <w:rsid w:val="001E4EF2"/>
    <w:rsid w:val="001E4F5C"/>
    <w:rsid w:val="001E50D3"/>
    <w:rsid w:val="001E5251"/>
    <w:rsid w:val="001E5690"/>
    <w:rsid w:val="001E57CD"/>
    <w:rsid w:val="001E57F8"/>
    <w:rsid w:val="001E582A"/>
    <w:rsid w:val="001E5D8D"/>
    <w:rsid w:val="001E607D"/>
    <w:rsid w:val="001E633B"/>
    <w:rsid w:val="001E69B3"/>
    <w:rsid w:val="001E6E01"/>
    <w:rsid w:val="001E6F32"/>
    <w:rsid w:val="001E7444"/>
    <w:rsid w:val="001E7462"/>
    <w:rsid w:val="001E74A0"/>
    <w:rsid w:val="001E79EE"/>
    <w:rsid w:val="001E7B03"/>
    <w:rsid w:val="001E7E42"/>
    <w:rsid w:val="001E7E62"/>
    <w:rsid w:val="001F028F"/>
    <w:rsid w:val="001F0368"/>
    <w:rsid w:val="001F03C8"/>
    <w:rsid w:val="001F06F5"/>
    <w:rsid w:val="001F070F"/>
    <w:rsid w:val="001F08A0"/>
    <w:rsid w:val="001F08A3"/>
    <w:rsid w:val="001F0D90"/>
    <w:rsid w:val="001F0E4E"/>
    <w:rsid w:val="001F0F7B"/>
    <w:rsid w:val="001F0FE8"/>
    <w:rsid w:val="001F1152"/>
    <w:rsid w:val="001F11DA"/>
    <w:rsid w:val="001F15C5"/>
    <w:rsid w:val="001F1694"/>
    <w:rsid w:val="001F17B1"/>
    <w:rsid w:val="001F198A"/>
    <w:rsid w:val="001F1AE7"/>
    <w:rsid w:val="001F1BBC"/>
    <w:rsid w:val="001F1EFB"/>
    <w:rsid w:val="001F1F97"/>
    <w:rsid w:val="001F2138"/>
    <w:rsid w:val="001F26BD"/>
    <w:rsid w:val="001F284F"/>
    <w:rsid w:val="001F2A77"/>
    <w:rsid w:val="001F2BE6"/>
    <w:rsid w:val="001F2E7A"/>
    <w:rsid w:val="001F2E81"/>
    <w:rsid w:val="001F2F66"/>
    <w:rsid w:val="001F3098"/>
    <w:rsid w:val="001F32C1"/>
    <w:rsid w:val="001F352E"/>
    <w:rsid w:val="001F3631"/>
    <w:rsid w:val="001F370E"/>
    <w:rsid w:val="001F3715"/>
    <w:rsid w:val="001F3D76"/>
    <w:rsid w:val="001F3D7E"/>
    <w:rsid w:val="001F4324"/>
    <w:rsid w:val="001F4380"/>
    <w:rsid w:val="001F4387"/>
    <w:rsid w:val="001F4A10"/>
    <w:rsid w:val="001F4D1A"/>
    <w:rsid w:val="001F4D45"/>
    <w:rsid w:val="001F4D64"/>
    <w:rsid w:val="001F4DD5"/>
    <w:rsid w:val="001F4E2C"/>
    <w:rsid w:val="001F500F"/>
    <w:rsid w:val="001F527E"/>
    <w:rsid w:val="001F58DE"/>
    <w:rsid w:val="001F59C7"/>
    <w:rsid w:val="001F5D84"/>
    <w:rsid w:val="001F5E35"/>
    <w:rsid w:val="001F5EA2"/>
    <w:rsid w:val="001F5FDE"/>
    <w:rsid w:val="001F6099"/>
    <w:rsid w:val="001F6233"/>
    <w:rsid w:val="001F6355"/>
    <w:rsid w:val="001F64CB"/>
    <w:rsid w:val="001F6803"/>
    <w:rsid w:val="001F6942"/>
    <w:rsid w:val="001F6EBF"/>
    <w:rsid w:val="001F6F75"/>
    <w:rsid w:val="001F7310"/>
    <w:rsid w:val="001F75CF"/>
    <w:rsid w:val="001F76E2"/>
    <w:rsid w:val="001F7928"/>
    <w:rsid w:val="001F79B2"/>
    <w:rsid w:val="001F79B4"/>
    <w:rsid w:val="001F7B6F"/>
    <w:rsid w:val="001F7CB2"/>
    <w:rsid w:val="001F7D34"/>
    <w:rsid w:val="001F7F10"/>
    <w:rsid w:val="001F7F7E"/>
    <w:rsid w:val="0020021A"/>
    <w:rsid w:val="0020067B"/>
    <w:rsid w:val="002006A2"/>
    <w:rsid w:val="002006C7"/>
    <w:rsid w:val="00200807"/>
    <w:rsid w:val="002008D3"/>
    <w:rsid w:val="0020099D"/>
    <w:rsid w:val="00200AAD"/>
    <w:rsid w:val="00200BE1"/>
    <w:rsid w:val="00200D91"/>
    <w:rsid w:val="00201059"/>
    <w:rsid w:val="0020192B"/>
    <w:rsid w:val="00201FDA"/>
    <w:rsid w:val="002020A7"/>
    <w:rsid w:val="00202107"/>
    <w:rsid w:val="002021B5"/>
    <w:rsid w:val="00202293"/>
    <w:rsid w:val="00202624"/>
    <w:rsid w:val="00202683"/>
    <w:rsid w:val="0020280B"/>
    <w:rsid w:val="00202C50"/>
    <w:rsid w:val="00203139"/>
    <w:rsid w:val="002031DF"/>
    <w:rsid w:val="00203329"/>
    <w:rsid w:val="0020351F"/>
    <w:rsid w:val="00203521"/>
    <w:rsid w:val="00203992"/>
    <w:rsid w:val="00203BDE"/>
    <w:rsid w:val="00203BE9"/>
    <w:rsid w:val="00203D4E"/>
    <w:rsid w:val="00203E90"/>
    <w:rsid w:val="002044FC"/>
    <w:rsid w:val="0020466A"/>
    <w:rsid w:val="00204696"/>
    <w:rsid w:val="002046EC"/>
    <w:rsid w:val="00204807"/>
    <w:rsid w:val="00204FDD"/>
    <w:rsid w:val="00205187"/>
    <w:rsid w:val="00205368"/>
    <w:rsid w:val="00205415"/>
    <w:rsid w:val="00205455"/>
    <w:rsid w:val="002054DB"/>
    <w:rsid w:val="00205A41"/>
    <w:rsid w:val="00205C57"/>
    <w:rsid w:val="00205CE1"/>
    <w:rsid w:val="00205D60"/>
    <w:rsid w:val="00206265"/>
    <w:rsid w:val="002065FD"/>
    <w:rsid w:val="00206745"/>
    <w:rsid w:val="00206829"/>
    <w:rsid w:val="002069C6"/>
    <w:rsid w:val="00206BF6"/>
    <w:rsid w:val="00206C38"/>
    <w:rsid w:val="00207751"/>
    <w:rsid w:val="0020779D"/>
    <w:rsid w:val="0020798A"/>
    <w:rsid w:val="00207AC4"/>
    <w:rsid w:val="0021006D"/>
    <w:rsid w:val="002104D2"/>
    <w:rsid w:val="002104E3"/>
    <w:rsid w:val="00210812"/>
    <w:rsid w:val="0021086B"/>
    <w:rsid w:val="002108AE"/>
    <w:rsid w:val="00210E77"/>
    <w:rsid w:val="002110CE"/>
    <w:rsid w:val="00211843"/>
    <w:rsid w:val="00211953"/>
    <w:rsid w:val="002119EB"/>
    <w:rsid w:val="00211EF6"/>
    <w:rsid w:val="00212254"/>
    <w:rsid w:val="002126EA"/>
    <w:rsid w:val="00212716"/>
    <w:rsid w:val="0021275E"/>
    <w:rsid w:val="002127F6"/>
    <w:rsid w:val="00212868"/>
    <w:rsid w:val="00212898"/>
    <w:rsid w:val="00212A86"/>
    <w:rsid w:val="00212B01"/>
    <w:rsid w:val="00212E23"/>
    <w:rsid w:val="00212EDC"/>
    <w:rsid w:val="00212F89"/>
    <w:rsid w:val="00212F9D"/>
    <w:rsid w:val="0021332B"/>
    <w:rsid w:val="0021334C"/>
    <w:rsid w:val="00213397"/>
    <w:rsid w:val="002134FE"/>
    <w:rsid w:val="002143CC"/>
    <w:rsid w:val="00214789"/>
    <w:rsid w:val="00214880"/>
    <w:rsid w:val="00214DE9"/>
    <w:rsid w:val="00215419"/>
    <w:rsid w:val="002158A0"/>
    <w:rsid w:val="002158F0"/>
    <w:rsid w:val="002159E1"/>
    <w:rsid w:val="00215A5C"/>
    <w:rsid w:val="00215C94"/>
    <w:rsid w:val="0021608E"/>
    <w:rsid w:val="002161AB"/>
    <w:rsid w:val="002165C5"/>
    <w:rsid w:val="00216BB7"/>
    <w:rsid w:val="00216C72"/>
    <w:rsid w:val="00216CA0"/>
    <w:rsid w:val="00216D21"/>
    <w:rsid w:val="00216D7A"/>
    <w:rsid w:val="00216E70"/>
    <w:rsid w:val="00217305"/>
    <w:rsid w:val="002174B1"/>
    <w:rsid w:val="00217622"/>
    <w:rsid w:val="0021789A"/>
    <w:rsid w:val="0021789B"/>
    <w:rsid w:val="00217C5D"/>
    <w:rsid w:val="00217C95"/>
    <w:rsid w:val="00217DF0"/>
    <w:rsid w:val="00220007"/>
    <w:rsid w:val="002204A1"/>
    <w:rsid w:val="00220870"/>
    <w:rsid w:val="00220CB0"/>
    <w:rsid w:val="00220CE0"/>
    <w:rsid w:val="00220CF2"/>
    <w:rsid w:val="00220E32"/>
    <w:rsid w:val="00220F40"/>
    <w:rsid w:val="00220FBB"/>
    <w:rsid w:val="0022108B"/>
    <w:rsid w:val="002210B9"/>
    <w:rsid w:val="002212B6"/>
    <w:rsid w:val="002214D2"/>
    <w:rsid w:val="00221C91"/>
    <w:rsid w:val="00221CD0"/>
    <w:rsid w:val="00222056"/>
    <w:rsid w:val="00222169"/>
    <w:rsid w:val="00222367"/>
    <w:rsid w:val="002223DC"/>
    <w:rsid w:val="00222598"/>
    <w:rsid w:val="0022259F"/>
    <w:rsid w:val="002226E4"/>
    <w:rsid w:val="00222744"/>
    <w:rsid w:val="002229AB"/>
    <w:rsid w:val="00222CA8"/>
    <w:rsid w:val="00222D21"/>
    <w:rsid w:val="00222DC7"/>
    <w:rsid w:val="00222EF2"/>
    <w:rsid w:val="00222F85"/>
    <w:rsid w:val="00222F86"/>
    <w:rsid w:val="00222FC6"/>
    <w:rsid w:val="00223265"/>
    <w:rsid w:val="00223325"/>
    <w:rsid w:val="00223923"/>
    <w:rsid w:val="00223A47"/>
    <w:rsid w:val="00223ACD"/>
    <w:rsid w:val="00223D66"/>
    <w:rsid w:val="00223DAF"/>
    <w:rsid w:val="00223E00"/>
    <w:rsid w:val="00223FB5"/>
    <w:rsid w:val="00223FE2"/>
    <w:rsid w:val="00224702"/>
    <w:rsid w:val="002247D5"/>
    <w:rsid w:val="002247E7"/>
    <w:rsid w:val="00224828"/>
    <w:rsid w:val="00224908"/>
    <w:rsid w:val="0022491A"/>
    <w:rsid w:val="0022496A"/>
    <w:rsid w:val="00224EC1"/>
    <w:rsid w:val="0022516F"/>
    <w:rsid w:val="00225333"/>
    <w:rsid w:val="00225864"/>
    <w:rsid w:val="00225E49"/>
    <w:rsid w:val="00225E89"/>
    <w:rsid w:val="00226181"/>
    <w:rsid w:val="0022621A"/>
    <w:rsid w:val="002263AC"/>
    <w:rsid w:val="00226446"/>
    <w:rsid w:val="0022662F"/>
    <w:rsid w:val="00226639"/>
    <w:rsid w:val="0022699A"/>
    <w:rsid w:val="00226C31"/>
    <w:rsid w:val="00226D53"/>
    <w:rsid w:val="00226E71"/>
    <w:rsid w:val="00226EEB"/>
    <w:rsid w:val="00227136"/>
    <w:rsid w:val="00227441"/>
    <w:rsid w:val="00227442"/>
    <w:rsid w:val="002274D3"/>
    <w:rsid w:val="0022795A"/>
    <w:rsid w:val="00227A30"/>
    <w:rsid w:val="00227C94"/>
    <w:rsid w:val="00227F2D"/>
    <w:rsid w:val="002303F4"/>
    <w:rsid w:val="002304D4"/>
    <w:rsid w:val="002306AD"/>
    <w:rsid w:val="00230763"/>
    <w:rsid w:val="002307D2"/>
    <w:rsid w:val="00230978"/>
    <w:rsid w:val="00230B1B"/>
    <w:rsid w:val="00231064"/>
    <w:rsid w:val="00231165"/>
    <w:rsid w:val="00231516"/>
    <w:rsid w:val="002317F6"/>
    <w:rsid w:val="00231810"/>
    <w:rsid w:val="00231866"/>
    <w:rsid w:val="00231A0E"/>
    <w:rsid w:val="00231A86"/>
    <w:rsid w:val="00231C70"/>
    <w:rsid w:val="00231CAB"/>
    <w:rsid w:val="00231CAF"/>
    <w:rsid w:val="00231CDF"/>
    <w:rsid w:val="002321DE"/>
    <w:rsid w:val="002325BA"/>
    <w:rsid w:val="002326FE"/>
    <w:rsid w:val="00232AC5"/>
    <w:rsid w:val="00232AC6"/>
    <w:rsid w:val="00232BA7"/>
    <w:rsid w:val="00232C1E"/>
    <w:rsid w:val="00232FC9"/>
    <w:rsid w:val="0023314F"/>
    <w:rsid w:val="00233632"/>
    <w:rsid w:val="00233663"/>
    <w:rsid w:val="0023374A"/>
    <w:rsid w:val="002337E6"/>
    <w:rsid w:val="002337F6"/>
    <w:rsid w:val="00233D3B"/>
    <w:rsid w:val="00233DB0"/>
    <w:rsid w:val="00233E18"/>
    <w:rsid w:val="00233F2D"/>
    <w:rsid w:val="0023499F"/>
    <w:rsid w:val="002349CC"/>
    <w:rsid w:val="00235192"/>
    <w:rsid w:val="00235420"/>
    <w:rsid w:val="002355C4"/>
    <w:rsid w:val="00235D66"/>
    <w:rsid w:val="00235E41"/>
    <w:rsid w:val="00236145"/>
    <w:rsid w:val="00236199"/>
    <w:rsid w:val="0023622C"/>
    <w:rsid w:val="002367CD"/>
    <w:rsid w:val="002369BD"/>
    <w:rsid w:val="00236BA4"/>
    <w:rsid w:val="00236E59"/>
    <w:rsid w:val="00236F8D"/>
    <w:rsid w:val="00237092"/>
    <w:rsid w:val="0023720E"/>
    <w:rsid w:val="0023789A"/>
    <w:rsid w:val="00237A87"/>
    <w:rsid w:val="00237E81"/>
    <w:rsid w:val="00237FAA"/>
    <w:rsid w:val="0024011B"/>
    <w:rsid w:val="002403BB"/>
    <w:rsid w:val="00240555"/>
    <w:rsid w:val="0024063E"/>
    <w:rsid w:val="00240A15"/>
    <w:rsid w:val="00240B60"/>
    <w:rsid w:val="0024176A"/>
    <w:rsid w:val="0024180E"/>
    <w:rsid w:val="00241839"/>
    <w:rsid w:val="00241A6B"/>
    <w:rsid w:val="00241BD9"/>
    <w:rsid w:val="00241D07"/>
    <w:rsid w:val="00242042"/>
    <w:rsid w:val="00242136"/>
    <w:rsid w:val="00242184"/>
    <w:rsid w:val="00242247"/>
    <w:rsid w:val="002423C2"/>
    <w:rsid w:val="00242453"/>
    <w:rsid w:val="0024249B"/>
    <w:rsid w:val="00242997"/>
    <w:rsid w:val="00242AA5"/>
    <w:rsid w:val="00242CA7"/>
    <w:rsid w:val="00242EF1"/>
    <w:rsid w:val="002436D9"/>
    <w:rsid w:val="0024380C"/>
    <w:rsid w:val="00243A53"/>
    <w:rsid w:val="00243B91"/>
    <w:rsid w:val="00243F52"/>
    <w:rsid w:val="00243FD4"/>
    <w:rsid w:val="0024451A"/>
    <w:rsid w:val="002446E9"/>
    <w:rsid w:val="0024494B"/>
    <w:rsid w:val="0024494C"/>
    <w:rsid w:val="00244A44"/>
    <w:rsid w:val="00244BFF"/>
    <w:rsid w:val="00244D65"/>
    <w:rsid w:val="0024524F"/>
    <w:rsid w:val="00245456"/>
    <w:rsid w:val="00245A8B"/>
    <w:rsid w:val="00245DEC"/>
    <w:rsid w:val="002460DD"/>
    <w:rsid w:val="002462C1"/>
    <w:rsid w:val="002462C3"/>
    <w:rsid w:val="0024648A"/>
    <w:rsid w:val="002469DD"/>
    <w:rsid w:val="0024758D"/>
    <w:rsid w:val="00247666"/>
    <w:rsid w:val="0025040A"/>
    <w:rsid w:val="00250417"/>
    <w:rsid w:val="002505E5"/>
    <w:rsid w:val="00250662"/>
    <w:rsid w:val="002506D5"/>
    <w:rsid w:val="00250957"/>
    <w:rsid w:val="00250DA8"/>
    <w:rsid w:val="0025101F"/>
    <w:rsid w:val="002510BA"/>
    <w:rsid w:val="002510E0"/>
    <w:rsid w:val="002513ED"/>
    <w:rsid w:val="00251626"/>
    <w:rsid w:val="002516E7"/>
    <w:rsid w:val="00251C7D"/>
    <w:rsid w:val="00251F2E"/>
    <w:rsid w:val="00251F82"/>
    <w:rsid w:val="002520B6"/>
    <w:rsid w:val="00252129"/>
    <w:rsid w:val="0025240C"/>
    <w:rsid w:val="00252443"/>
    <w:rsid w:val="00252466"/>
    <w:rsid w:val="0025283B"/>
    <w:rsid w:val="00252879"/>
    <w:rsid w:val="00252C33"/>
    <w:rsid w:val="00253056"/>
    <w:rsid w:val="00253125"/>
    <w:rsid w:val="002532E1"/>
    <w:rsid w:val="002533B1"/>
    <w:rsid w:val="002536EB"/>
    <w:rsid w:val="0025375C"/>
    <w:rsid w:val="00253846"/>
    <w:rsid w:val="00253FAC"/>
    <w:rsid w:val="00254008"/>
    <w:rsid w:val="002543E9"/>
    <w:rsid w:val="002543ED"/>
    <w:rsid w:val="00254624"/>
    <w:rsid w:val="00254668"/>
    <w:rsid w:val="00254DEB"/>
    <w:rsid w:val="00254EBC"/>
    <w:rsid w:val="0025521A"/>
    <w:rsid w:val="00255638"/>
    <w:rsid w:val="00255786"/>
    <w:rsid w:val="00255B5C"/>
    <w:rsid w:val="00255BC2"/>
    <w:rsid w:val="00255C7E"/>
    <w:rsid w:val="00255DBB"/>
    <w:rsid w:val="00255F4C"/>
    <w:rsid w:val="00256027"/>
    <w:rsid w:val="00256079"/>
    <w:rsid w:val="00256383"/>
    <w:rsid w:val="00256539"/>
    <w:rsid w:val="002565A4"/>
    <w:rsid w:val="002566EC"/>
    <w:rsid w:val="00256708"/>
    <w:rsid w:val="00256852"/>
    <w:rsid w:val="00256EC1"/>
    <w:rsid w:val="00256F19"/>
    <w:rsid w:val="00256FDA"/>
    <w:rsid w:val="002570F7"/>
    <w:rsid w:val="0025768C"/>
    <w:rsid w:val="0025781D"/>
    <w:rsid w:val="00257849"/>
    <w:rsid w:val="002579BE"/>
    <w:rsid w:val="00257D1E"/>
    <w:rsid w:val="00257D5A"/>
    <w:rsid w:val="00257D9E"/>
    <w:rsid w:val="00257F63"/>
    <w:rsid w:val="00260072"/>
    <w:rsid w:val="002600FD"/>
    <w:rsid w:val="00260174"/>
    <w:rsid w:val="0026029D"/>
    <w:rsid w:val="00260610"/>
    <w:rsid w:val="00260B78"/>
    <w:rsid w:val="00260C42"/>
    <w:rsid w:val="00260D75"/>
    <w:rsid w:val="00260FB0"/>
    <w:rsid w:val="002613AF"/>
    <w:rsid w:val="002618C4"/>
    <w:rsid w:val="0026228A"/>
    <w:rsid w:val="0026232E"/>
    <w:rsid w:val="00262547"/>
    <w:rsid w:val="00262928"/>
    <w:rsid w:val="00262A2C"/>
    <w:rsid w:val="00262C8E"/>
    <w:rsid w:val="00262D35"/>
    <w:rsid w:val="00263023"/>
    <w:rsid w:val="00263039"/>
    <w:rsid w:val="00263410"/>
    <w:rsid w:val="0026346C"/>
    <w:rsid w:val="002636E2"/>
    <w:rsid w:val="002637EE"/>
    <w:rsid w:val="002638D7"/>
    <w:rsid w:val="0026398B"/>
    <w:rsid w:val="00264257"/>
    <w:rsid w:val="00264260"/>
    <w:rsid w:val="002643F5"/>
    <w:rsid w:val="0026457B"/>
    <w:rsid w:val="002645D1"/>
    <w:rsid w:val="002647AF"/>
    <w:rsid w:val="00264868"/>
    <w:rsid w:val="002648BC"/>
    <w:rsid w:val="00264964"/>
    <w:rsid w:val="00264C8E"/>
    <w:rsid w:val="00264DCD"/>
    <w:rsid w:val="00264F73"/>
    <w:rsid w:val="00265163"/>
    <w:rsid w:val="002652D7"/>
    <w:rsid w:val="00265309"/>
    <w:rsid w:val="00265E36"/>
    <w:rsid w:val="00265E85"/>
    <w:rsid w:val="002662A2"/>
    <w:rsid w:val="002663DE"/>
    <w:rsid w:val="002664D9"/>
    <w:rsid w:val="0026663C"/>
    <w:rsid w:val="002666D0"/>
    <w:rsid w:val="00266EAC"/>
    <w:rsid w:val="00266EAD"/>
    <w:rsid w:val="002670CC"/>
    <w:rsid w:val="00267391"/>
    <w:rsid w:val="002673ED"/>
    <w:rsid w:val="00267F2E"/>
    <w:rsid w:val="00267F7D"/>
    <w:rsid w:val="00270042"/>
    <w:rsid w:val="002700BE"/>
    <w:rsid w:val="002700CE"/>
    <w:rsid w:val="00270433"/>
    <w:rsid w:val="00270614"/>
    <w:rsid w:val="00270777"/>
    <w:rsid w:val="0027077A"/>
    <w:rsid w:val="00270866"/>
    <w:rsid w:val="00270A48"/>
    <w:rsid w:val="00270B78"/>
    <w:rsid w:val="00270C70"/>
    <w:rsid w:val="00270DDC"/>
    <w:rsid w:val="00270E23"/>
    <w:rsid w:val="00270F29"/>
    <w:rsid w:val="00270F65"/>
    <w:rsid w:val="00271107"/>
    <w:rsid w:val="00271472"/>
    <w:rsid w:val="0027152E"/>
    <w:rsid w:val="00271662"/>
    <w:rsid w:val="00271893"/>
    <w:rsid w:val="002719DE"/>
    <w:rsid w:val="00271C2C"/>
    <w:rsid w:val="00271D48"/>
    <w:rsid w:val="00272002"/>
    <w:rsid w:val="00272545"/>
    <w:rsid w:val="0027258E"/>
    <w:rsid w:val="00272898"/>
    <w:rsid w:val="00272E18"/>
    <w:rsid w:val="00272E6E"/>
    <w:rsid w:val="00272ED8"/>
    <w:rsid w:val="00272F0A"/>
    <w:rsid w:val="00273250"/>
    <w:rsid w:val="002736CF"/>
    <w:rsid w:val="002736EC"/>
    <w:rsid w:val="00273734"/>
    <w:rsid w:val="00273828"/>
    <w:rsid w:val="00273955"/>
    <w:rsid w:val="00273E01"/>
    <w:rsid w:val="00273EA7"/>
    <w:rsid w:val="00274238"/>
    <w:rsid w:val="00274B35"/>
    <w:rsid w:val="00274F5C"/>
    <w:rsid w:val="0027500C"/>
    <w:rsid w:val="002751E2"/>
    <w:rsid w:val="002752A8"/>
    <w:rsid w:val="002752AB"/>
    <w:rsid w:val="002755A8"/>
    <w:rsid w:val="00275867"/>
    <w:rsid w:val="00275948"/>
    <w:rsid w:val="00275975"/>
    <w:rsid w:val="00275BFF"/>
    <w:rsid w:val="002761BA"/>
    <w:rsid w:val="002764A9"/>
    <w:rsid w:val="002767E8"/>
    <w:rsid w:val="0027680A"/>
    <w:rsid w:val="0027688A"/>
    <w:rsid w:val="0027698D"/>
    <w:rsid w:val="002769EB"/>
    <w:rsid w:val="00276B73"/>
    <w:rsid w:val="00276C53"/>
    <w:rsid w:val="00276CBD"/>
    <w:rsid w:val="00276D6F"/>
    <w:rsid w:val="00276EC8"/>
    <w:rsid w:val="0027719F"/>
    <w:rsid w:val="00277226"/>
    <w:rsid w:val="00277816"/>
    <w:rsid w:val="00277A52"/>
    <w:rsid w:val="00277A55"/>
    <w:rsid w:val="00277B63"/>
    <w:rsid w:val="00277C96"/>
    <w:rsid w:val="00280031"/>
    <w:rsid w:val="002800CF"/>
    <w:rsid w:val="0028017A"/>
    <w:rsid w:val="00280389"/>
    <w:rsid w:val="00280411"/>
    <w:rsid w:val="0028042C"/>
    <w:rsid w:val="00280484"/>
    <w:rsid w:val="00281124"/>
    <w:rsid w:val="00281351"/>
    <w:rsid w:val="0028149B"/>
    <w:rsid w:val="002814D1"/>
    <w:rsid w:val="00281906"/>
    <w:rsid w:val="00281940"/>
    <w:rsid w:val="00281A55"/>
    <w:rsid w:val="00281B4E"/>
    <w:rsid w:val="00281F36"/>
    <w:rsid w:val="00281FFF"/>
    <w:rsid w:val="0028206A"/>
    <w:rsid w:val="002821B7"/>
    <w:rsid w:val="002822C1"/>
    <w:rsid w:val="00282488"/>
    <w:rsid w:val="002824B5"/>
    <w:rsid w:val="00282601"/>
    <w:rsid w:val="00282747"/>
    <w:rsid w:val="00282965"/>
    <w:rsid w:val="00282BA6"/>
    <w:rsid w:val="00282FD9"/>
    <w:rsid w:val="00283186"/>
    <w:rsid w:val="0028320A"/>
    <w:rsid w:val="00283245"/>
    <w:rsid w:val="00283287"/>
    <w:rsid w:val="0028328E"/>
    <w:rsid w:val="0028396A"/>
    <w:rsid w:val="00283C90"/>
    <w:rsid w:val="00284098"/>
    <w:rsid w:val="00284169"/>
    <w:rsid w:val="00284467"/>
    <w:rsid w:val="002844C7"/>
    <w:rsid w:val="00284687"/>
    <w:rsid w:val="00284C07"/>
    <w:rsid w:val="00284CB5"/>
    <w:rsid w:val="00284D8C"/>
    <w:rsid w:val="00285099"/>
    <w:rsid w:val="002853C6"/>
    <w:rsid w:val="002853E1"/>
    <w:rsid w:val="0028557A"/>
    <w:rsid w:val="00285608"/>
    <w:rsid w:val="00285796"/>
    <w:rsid w:val="00285845"/>
    <w:rsid w:val="002859EA"/>
    <w:rsid w:val="00285D88"/>
    <w:rsid w:val="00285E5B"/>
    <w:rsid w:val="002861FF"/>
    <w:rsid w:val="002862A1"/>
    <w:rsid w:val="002862FC"/>
    <w:rsid w:val="00286808"/>
    <w:rsid w:val="00286915"/>
    <w:rsid w:val="00286988"/>
    <w:rsid w:val="00286BC6"/>
    <w:rsid w:val="00286C11"/>
    <w:rsid w:val="00286FAA"/>
    <w:rsid w:val="002870A5"/>
    <w:rsid w:val="00287276"/>
    <w:rsid w:val="00287598"/>
    <w:rsid w:val="00287668"/>
    <w:rsid w:val="0028784A"/>
    <w:rsid w:val="002878D2"/>
    <w:rsid w:val="002879B4"/>
    <w:rsid w:val="00287B00"/>
    <w:rsid w:val="00290092"/>
    <w:rsid w:val="0029067B"/>
    <w:rsid w:val="00291233"/>
    <w:rsid w:val="00291441"/>
    <w:rsid w:val="00291471"/>
    <w:rsid w:val="00291611"/>
    <w:rsid w:val="002917B4"/>
    <w:rsid w:val="00291893"/>
    <w:rsid w:val="00291A9B"/>
    <w:rsid w:val="00291DF5"/>
    <w:rsid w:val="00291F91"/>
    <w:rsid w:val="002925D2"/>
    <w:rsid w:val="0029267C"/>
    <w:rsid w:val="00292798"/>
    <w:rsid w:val="002929C7"/>
    <w:rsid w:val="00292A64"/>
    <w:rsid w:val="00292BA6"/>
    <w:rsid w:val="00293283"/>
    <w:rsid w:val="00293DF8"/>
    <w:rsid w:val="00293E77"/>
    <w:rsid w:val="0029413F"/>
    <w:rsid w:val="00294441"/>
    <w:rsid w:val="00294827"/>
    <w:rsid w:val="00294947"/>
    <w:rsid w:val="00294B13"/>
    <w:rsid w:val="00294D7C"/>
    <w:rsid w:val="00294DDA"/>
    <w:rsid w:val="00294FF9"/>
    <w:rsid w:val="0029530E"/>
    <w:rsid w:val="0029535B"/>
    <w:rsid w:val="00295613"/>
    <w:rsid w:val="002958B2"/>
    <w:rsid w:val="002959C3"/>
    <w:rsid w:val="00295BEC"/>
    <w:rsid w:val="002960F6"/>
    <w:rsid w:val="002961C6"/>
    <w:rsid w:val="00296237"/>
    <w:rsid w:val="00296474"/>
    <w:rsid w:val="002965C0"/>
    <w:rsid w:val="0029671E"/>
    <w:rsid w:val="002968A1"/>
    <w:rsid w:val="002969CC"/>
    <w:rsid w:val="00296D4E"/>
    <w:rsid w:val="00296D79"/>
    <w:rsid w:val="00296F9C"/>
    <w:rsid w:val="00297017"/>
    <w:rsid w:val="00297318"/>
    <w:rsid w:val="00297451"/>
    <w:rsid w:val="002974DB"/>
    <w:rsid w:val="002976AD"/>
    <w:rsid w:val="002976CA"/>
    <w:rsid w:val="002977EE"/>
    <w:rsid w:val="0029783C"/>
    <w:rsid w:val="002978BB"/>
    <w:rsid w:val="00297F18"/>
    <w:rsid w:val="00297FC2"/>
    <w:rsid w:val="002A03B9"/>
    <w:rsid w:val="002A03CD"/>
    <w:rsid w:val="002A088A"/>
    <w:rsid w:val="002A08BF"/>
    <w:rsid w:val="002A0A6F"/>
    <w:rsid w:val="002A0AC0"/>
    <w:rsid w:val="002A0C67"/>
    <w:rsid w:val="002A0D3F"/>
    <w:rsid w:val="002A1015"/>
    <w:rsid w:val="002A1407"/>
    <w:rsid w:val="002A1950"/>
    <w:rsid w:val="002A1A84"/>
    <w:rsid w:val="002A1C75"/>
    <w:rsid w:val="002A25FB"/>
    <w:rsid w:val="002A28D1"/>
    <w:rsid w:val="002A297B"/>
    <w:rsid w:val="002A2DF2"/>
    <w:rsid w:val="002A2EC7"/>
    <w:rsid w:val="002A3008"/>
    <w:rsid w:val="002A302F"/>
    <w:rsid w:val="002A30EC"/>
    <w:rsid w:val="002A36B0"/>
    <w:rsid w:val="002A39B6"/>
    <w:rsid w:val="002A3F84"/>
    <w:rsid w:val="002A4646"/>
    <w:rsid w:val="002A4B35"/>
    <w:rsid w:val="002A4D0B"/>
    <w:rsid w:val="002A4EB8"/>
    <w:rsid w:val="002A4F97"/>
    <w:rsid w:val="002A5027"/>
    <w:rsid w:val="002A5302"/>
    <w:rsid w:val="002A530A"/>
    <w:rsid w:val="002A55D4"/>
    <w:rsid w:val="002A5780"/>
    <w:rsid w:val="002A5876"/>
    <w:rsid w:val="002A5DFB"/>
    <w:rsid w:val="002A5E83"/>
    <w:rsid w:val="002A5F68"/>
    <w:rsid w:val="002A5FB8"/>
    <w:rsid w:val="002A612A"/>
    <w:rsid w:val="002A64AE"/>
    <w:rsid w:val="002A6817"/>
    <w:rsid w:val="002A6AB7"/>
    <w:rsid w:val="002A6B01"/>
    <w:rsid w:val="002A6C0E"/>
    <w:rsid w:val="002A6C20"/>
    <w:rsid w:val="002A6F03"/>
    <w:rsid w:val="002A709C"/>
    <w:rsid w:val="002A70F2"/>
    <w:rsid w:val="002A7113"/>
    <w:rsid w:val="002A72D2"/>
    <w:rsid w:val="002A7393"/>
    <w:rsid w:val="002A755D"/>
    <w:rsid w:val="002A75B6"/>
    <w:rsid w:val="002A75D9"/>
    <w:rsid w:val="002A7603"/>
    <w:rsid w:val="002A7C87"/>
    <w:rsid w:val="002A7F31"/>
    <w:rsid w:val="002B02A1"/>
    <w:rsid w:val="002B032B"/>
    <w:rsid w:val="002B04B0"/>
    <w:rsid w:val="002B073E"/>
    <w:rsid w:val="002B07B0"/>
    <w:rsid w:val="002B07F1"/>
    <w:rsid w:val="002B0AEB"/>
    <w:rsid w:val="002B0B28"/>
    <w:rsid w:val="002B0E03"/>
    <w:rsid w:val="002B0FE2"/>
    <w:rsid w:val="002B13C5"/>
    <w:rsid w:val="002B1413"/>
    <w:rsid w:val="002B1442"/>
    <w:rsid w:val="002B1562"/>
    <w:rsid w:val="002B158A"/>
    <w:rsid w:val="002B1698"/>
    <w:rsid w:val="002B1719"/>
    <w:rsid w:val="002B182C"/>
    <w:rsid w:val="002B1A15"/>
    <w:rsid w:val="002B1BA8"/>
    <w:rsid w:val="002B1D06"/>
    <w:rsid w:val="002B204A"/>
    <w:rsid w:val="002B2745"/>
    <w:rsid w:val="002B2998"/>
    <w:rsid w:val="002B2B57"/>
    <w:rsid w:val="002B2F72"/>
    <w:rsid w:val="002B2FDE"/>
    <w:rsid w:val="002B3055"/>
    <w:rsid w:val="002B3104"/>
    <w:rsid w:val="002B330B"/>
    <w:rsid w:val="002B336B"/>
    <w:rsid w:val="002B338F"/>
    <w:rsid w:val="002B3552"/>
    <w:rsid w:val="002B3619"/>
    <w:rsid w:val="002B36C9"/>
    <w:rsid w:val="002B370A"/>
    <w:rsid w:val="002B3E68"/>
    <w:rsid w:val="002B3F73"/>
    <w:rsid w:val="002B3FF2"/>
    <w:rsid w:val="002B4217"/>
    <w:rsid w:val="002B43D5"/>
    <w:rsid w:val="002B441C"/>
    <w:rsid w:val="002B4553"/>
    <w:rsid w:val="002B47CE"/>
    <w:rsid w:val="002B512A"/>
    <w:rsid w:val="002B514F"/>
    <w:rsid w:val="002B55AE"/>
    <w:rsid w:val="002B55BB"/>
    <w:rsid w:val="002B57BD"/>
    <w:rsid w:val="002B5D64"/>
    <w:rsid w:val="002B5F09"/>
    <w:rsid w:val="002B5F30"/>
    <w:rsid w:val="002B6115"/>
    <w:rsid w:val="002B6168"/>
    <w:rsid w:val="002B621E"/>
    <w:rsid w:val="002B65BE"/>
    <w:rsid w:val="002B6876"/>
    <w:rsid w:val="002B6D6E"/>
    <w:rsid w:val="002B71E7"/>
    <w:rsid w:val="002B7249"/>
    <w:rsid w:val="002B73B0"/>
    <w:rsid w:val="002B74F4"/>
    <w:rsid w:val="002B77DA"/>
    <w:rsid w:val="002B7B28"/>
    <w:rsid w:val="002B7BA9"/>
    <w:rsid w:val="002C033E"/>
    <w:rsid w:val="002C04D9"/>
    <w:rsid w:val="002C05AD"/>
    <w:rsid w:val="002C0722"/>
    <w:rsid w:val="002C07FB"/>
    <w:rsid w:val="002C0D41"/>
    <w:rsid w:val="002C0DFC"/>
    <w:rsid w:val="002C0FDC"/>
    <w:rsid w:val="002C1819"/>
    <w:rsid w:val="002C1AB2"/>
    <w:rsid w:val="002C1BCF"/>
    <w:rsid w:val="002C1C34"/>
    <w:rsid w:val="002C1CAF"/>
    <w:rsid w:val="002C21F3"/>
    <w:rsid w:val="002C29BD"/>
    <w:rsid w:val="002C2AEB"/>
    <w:rsid w:val="002C2BA5"/>
    <w:rsid w:val="002C2C15"/>
    <w:rsid w:val="002C2C3D"/>
    <w:rsid w:val="002C2C56"/>
    <w:rsid w:val="002C2D52"/>
    <w:rsid w:val="002C2EC3"/>
    <w:rsid w:val="002C3162"/>
    <w:rsid w:val="002C3410"/>
    <w:rsid w:val="002C35BB"/>
    <w:rsid w:val="002C3700"/>
    <w:rsid w:val="002C396C"/>
    <w:rsid w:val="002C39B7"/>
    <w:rsid w:val="002C3C5B"/>
    <w:rsid w:val="002C3DBD"/>
    <w:rsid w:val="002C3E6A"/>
    <w:rsid w:val="002C4004"/>
    <w:rsid w:val="002C40D5"/>
    <w:rsid w:val="002C4234"/>
    <w:rsid w:val="002C428C"/>
    <w:rsid w:val="002C42C4"/>
    <w:rsid w:val="002C42F0"/>
    <w:rsid w:val="002C4730"/>
    <w:rsid w:val="002C49AA"/>
    <w:rsid w:val="002C4A46"/>
    <w:rsid w:val="002C4A8D"/>
    <w:rsid w:val="002C4C06"/>
    <w:rsid w:val="002C4FBB"/>
    <w:rsid w:val="002C5332"/>
    <w:rsid w:val="002C53A7"/>
    <w:rsid w:val="002C54EA"/>
    <w:rsid w:val="002C5780"/>
    <w:rsid w:val="002C5C05"/>
    <w:rsid w:val="002C5C40"/>
    <w:rsid w:val="002C5C8B"/>
    <w:rsid w:val="002C5D80"/>
    <w:rsid w:val="002C629E"/>
    <w:rsid w:val="002C64D3"/>
    <w:rsid w:val="002C697E"/>
    <w:rsid w:val="002C6A0C"/>
    <w:rsid w:val="002C6B6F"/>
    <w:rsid w:val="002C6C02"/>
    <w:rsid w:val="002C707E"/>
    <w:rsid w:val="002C7326"/>
    <w:rsid w:val="002C74ED"/>
    <w:rsid w:val="002C7650"/>
    <w:rsid w:val="002C76D6"/>
    <w:rsid w:val="002C78A7"/>
    <w:rsid w:val="002C7BB5"/>
    <w:rsid w:val="002C7C7A"/>
    <w:rsid w:val="002C7CD7"/>
    <w:rsid w:val="002C7DAC"/>
    <w:rsid w:val="002C7FCC"/>
    <w:rsid w:val="002D0255"/>
    <w:rsid w:val="002D029E"/>
    <w:rsid w:val="002D03F9"/>
    <w:rsid w:val="002D077F"/>
    <w:rsid w:val="002D09B5"/>
    <w:rsid w:val="002D0AEA"/>
    <w:rsid w:val="002D0AF2"/>
    <w:rsid w:val="002D0BD5"/>
    <w:rsid w:val="002D103C"/>
    <w:rsid w:val="002D11BA"/>
    <w:rsid w:val="002D17F5"/>
    <w:rsid w:val="002D180C"/>
    <w:rsid w:val="002D1857"/>
    <w:rsid w:val="002D18B6"/>
    <w:rsid w:val="002D18D5"/>
    <w:rsid w:val="002D1913"/>
    <w:rsid w:val="002D1A28"/>
    <w:rsid w:val="002D1C13"/>
    <w:rsid w:val="002D1F64"/>
    <w:rsid w:val="002D225D"/>
    <w:rsid w:val="002D23FD"/>
    <w:rsid w:val="002D2479"/>
    <w:rsid w:val="002D293F"/>
    <w:rsid w:val="002D2981"/>
    <w:rsid w:val="002D2BFF"/>
    <w:rsid w:val="002D2C41"/>
    <w:rsid w:val="002D314C"/>
    <w:rsid w:val="002D33C4"/>
    <w:rsid w:val="002D373C"/>
    <w:rsid w:val="002D3968"/>
    <w:rsid w:val="002D3BC4"/>
    <w:rsid w:val="002D3C98"/>
    <w:rsid w:val="002D3E76"/>
    <w:rsid w:val="002D46A5"/>
    <w:rsid w:val="002D4B3A"/>
    <w:rsid w:val="002D4B97"/>
    <w:rsid w:val="002D4CBC"/>
    <w:rsid w:val="002D4FD2"/>
    <w:rsid w:val="002D4FF1"/>
    <w:rsid w:val="002D53D0"/>
    <w:rsid w:val="002D54AE"/>
    <w:rsid w:val="002D5E58"/>
    <w:rsid w:val="002D64FD"/>
    <w:rsid w:val="002D6690"/>
    <w:rsid w:val="002D66B0"/>
    <w:rsid w:val="002D6942"/>
    <w:rsid w:val="002D6AD1"/>
    <w:rsid w:val="002D6F5A"/>
    <w:rsid w:val="002D7154"/>
    <w:rsid w:val="002D7563"/>
    <w:rsid w:val="002D769D"/>
    <w:rsid w:val="002D7A80"/>
    <w:rsid w:val="002D7CBB"/>
    <w:rsid w:val="002D7DBE"/>
    <w:rsid w:val="002D7F42"/>
    <w:rsid w:val="002D7F59"/>
    <w:rsid w:val="002E003C"/>
    <w:rsid w:val="002E00C4"/>
    <w:rsid w:val="002E03DC"/>
    <w:rsid w:val="002E0537"/>
    <w:rsid w:val="002E0574"/>
    <w:rsid w:val="002E05DD"/>
    <w:rsid w:val="002E0757"/>
    <w:rsid w:val="002E08B8"/>
    <w:rsid w:val="002E09E5"/>
    <w:rsid w:val="002E09F6"/>
    <w:rsid w:val="002E0C68"/>
    <w:rsid w:val="002E0FC1"/>
    <w:rsid w:val="002E111C"/>
    <w:rsid w:val="002E1555"/>
    <w:rsid w:val="002E155C"/>
    <w:rsid w:val="002E16F5"/>
    <w:rsid w:val="002E1765"/>
    <w:rsid w:val="002E1DC2"/>
    <w:rsid w:val="002E1DDB"/>
    <w:rsid w:val="002E205C"/>
    <w:rsid w:val="002E2089"/>
    <w:rsid w:val="002E2ABC"/>
    <w:rsid w:val="002E2B09"/>
    <w:rsid w:val="002E2BB2"/>
    <w:rsid w:val="002E2E03"/>
    <w:rsid w:val="002E322B"/>
    <w:rsid w:val="002E32D6"/>
    <w:rsid w:val="002E3784"/>
    <w:rsid w:val="002E37C1"/>
    <w:rsid w:val="002E39A7"/>
    <w:rsid w:val="002E3B46"/>
    <w:rsid w:val="002E4041"/>
    <w:rsid w:val="002E4047"/>
    <w:rsid w:val="002E43D6"/>
    <w:rsid w:val="002E44F8"/>
    <w:rsid w:val="002E4640"/>
    <w:rsid w:val="002E4696"/>
    <w:rsid w:val="002E47CF"/>
    <w:rsid w:val="002E47D4"/>
    <w:rsid w:val="002E4992"/>
    <w:rsid w:val="002E4CF7"/>
    <w:rsid w:val="002E4DAF"/>
    <w:rsid w:val="002E5471"/>
    <w:rsid w:val="002E547A"/>
    <w:rsid w:val="002E55DB"/>
    <w:rsid w:val="002E58F5"/>
    <w:rsid w:val="002E5C22"/>
    <w:rsid w:val="002E5DB6"/>
    <w:rsid w:val="002E5DE6"/>
    <w:rsid w:val="002E5E4E"/>
    <w:rsid w:val="002E5E71"/>
    <w:rsid w:val="002E5EA9"/>
    <w:rsid w:val="002E5F24"/>
    <w:rsid w:val="002E5F66"/>
    <w:rsid w:val="002E5F77"/>
    <w:rsid w:val="002E61CB"/>
    <w:rsid w:val="002E61F8"/>
    <w:rsid w:val="002E6705"/>
    <w:rsid w:val="002E67FB"/>
    <w:rsid w:val="002E6BC3"/>
    <w:rsid w:val="002E6E73"/>
    <w:rsid w:val="002E6F8E"/>
    <w:rsid w:val="002E6FC9"/>
    <w:rsid w:val="002E7339"/>
    <w:rsid w:val="002E7593"/>
    <w:rsid w:val="002E760D"/>
    <w:rsid w:val="002E7758"/>
    <w:rsid w:val="002E7AC7"/>
    <w:rsid w:val="002E7BF9"/>
    <w:rsid w:val="002E7C47"/>
    <w:rsid w:val="002E7E14"/>
    <w:rsid w:val="002F032F"/>
    <w:rsid w:val="002F0357"/>
    <w:rsid w:val="002F03D2"/>
    <w:rsid w:val="002F0BF6"/>
    <w:rsid w:val="002F0C9A"/>
    <w:rsid w:val="002F12D1"/>
    <w:rsid w:val="002F1320"/>
    <w:rsid w:val="002F13DF"/>
    <w:rsid w:val="002F1685"/>
    <w:rsid w:val="002F16C7"/>
    <w:rsid w:val="002F180D"/>
    <w:rsid w:val="002F1859"/>
    <w:rsid w:val="002F1A96"/>
    <w:rsid w:val="002F1F09"/>
    <w:rsid w:val="002F24AA"/>
    <w:rsid w:val="002F2699"/>
    <w:rsid w:val="002F2AE2"/>
    <w:rsid w:val="002F3384"/>
    <w:rsid w:val="002F3B9E"/>
    <w:rsid w:val="002F3E43"/>
    <w:rsid w:val="002F42EF"/>
    <w:rsid w:val="002F438A"/>
    <w:rsid w:val="002F4426"/>
    <w:rsid w:val="002F48D3"/>
    <w:rsid w:val="002F496F"/>
    <w:rsid w:val="002F4C1A"/>
    <w:rsid w:val="002F4DF8"/>
    <w:rsid w:val="002F4FD6"/>
    <w:rsid w:val="002F5019"/>
    <w:rsid w:val="002F538D"/>
    <w:rsid w:val="002F56BC"/>
    <w:rsid w:val="002F57E1"/>
    <w:rsid w:val="002F59EF"/>
    <w:rsid w:val="002F5CFC"/>
    <w:rsid w:val="002F5EDF"/>
    <w:rsid w:val="002F637A"/>
    <w:rsid w:val="002F644F"/>
    <w:rsid w:val="002F64B9"/>
    <w:rsid w:val="002F64F7"/>
    <w:rsid w:val="002F71BB"/>
    <w:rsid w:val="002F7284"/>
    <w:rsid w:val="002F7463"/>
    <w:rsid w:val="002F7B3F"/>
    <w:rsid w:val="002F7EE7"/>
    <w:rsid w:val="002F7EFC"/>
    <w:rsid w:val="002F7F18"/>
    <w:rsid w:val="0030006A"/>
    <w:rsid w:val="003000F3"/>
    <w:rsid w:val="003004B4"/>
    <w:rsid w:val="00300586"/>
    <w:rsid w:val="00300731"/>
    <w:rsid w:val="00300954"/>
    <w:rsid w:val="00300C2C"/>
    <w:rsid w:val="00300CA4"/>
    <w:rsid w:val="00300CB9"/>
    <w:rsid w:val="00300E60"/>
    <w:rsid w:val="003010DB"/>
    <w:rsid w:val="0030117F"/>
    <w:rsid w:val="003011D2"/>
    <w:rsid w:val="0030124E"/>
    <w:rsid w:val="003013D3"/>
    <w:rsid w:val="00301441"/>
    <w:rsid w:val="003016B7"/>
    <w:rsid w:val="003017AF"/>
    <w:rsid w:val="00301A22"/>
    <w:rsid w:val="00301A55"/>
    <w:rsid w:val="00301D81"/>
    <w:rsid w:val="00302041"/>
    <w:rsid w:val="003021D1"/>
    <w:rsid w:val="00302263"/>
    <w:rsid w:val="00302653"/>
    <w:rsid w:val="003026A7"/>
    <w:rsid w:val="00302744"/>
    <w:rsid w:val="003027AC"/>
    <w:rsid w:val="00302DEE"/>
    <w:rsid w:val="00302E6B"/>
    <w:rsid w:val="00302F4E"/>
    <w:rsid w:val="00303514"/>
    <w:rsid w:val="00303518"/>
    <w:rsid w:val="00303542"/>
    <w:rsid w:val="003038E8"/>
    <w:rsid w:val="003039AB"/>
    <w:rsid w:val="00303D56"/>
    <w:rsid w:val="00303D8F"/>
    <w:rsid w:val="00303E1B"/>
    <w:rsid w:val="00304053"/>
    <w:rsid w:val="00304071"/>
    <w:rsid w:val="003044C0"/>
    <w:rsid w:val="00304547"/>
    <w:rsid w:val="0030460E"/>
    <w:rsid w:val="00304674"/>
    <w:rsid w:val="003046E9"/>
    <w:rsid w:val="00304EED"/>
    <w:rsid w:val="003052F6"/>
    <w:rsid w:val="00305858"/>
    <w:rsid w:val="003059B5"/>
    <w:rsid w:val="00305C2D"/>
    <w:rsid w:val="00305C76"/>
    <w:rsid w:val="00305DFA"/>
    <w:rsid w:val="00305E58"/>
    <w:rsid w:val="00305EAB"/>
    <w:rsid w:val="00305F60"/>
    <w:rsid w:val="00305F77"/>
    <w:rsid w:val="00305F9D"/>
    <w:rsid w:val="0030616E"/>
    <w:rsid w:val="003062EA"/>
    <w:rsid w:val="003066AD"/>
    <w:rsid w:val="003070DC"/>
    <w:rsid w:val="00307104"/>
    <w:rsid w:val="00307166"/>
    <w:rsid w:val="00307187"/>
    <w:rsid w:val="003078F7"/>
    <w:rsid w:val="00307C73"/>
    <w:rsid w:val="00307F3D"/>
    <w:rsid w:val="00310119"/>
    <w:rsid w:val="003101E3"/>
    <w:rsid w:val="003103CF"/>
    <w:rsid w:val="003109EC"/>
    <w:rsid w:val="00310B60"/>
    <w:rsid w:val="00310CFD"/>
    <w:rsid w:val="00310D35"/>
    <w:rsid w:val="0031109C"/>
    <w:rsid w:val="003113C3"/>
    <w:rsid w:val="003114EF"/>
    <w:rsid w:val="00311922"/>
    <w:rsid w:val="00312542"/>
    <w:rsid w:val="00312548"/>
    <w:rsid w:val="00312688"/>
    <w:rsid w:val="003128CA"/>
    <w:rsid w:val="00312A4F"/>
    <w:rsid w:val="00312B2A"/>
    <w:rsid w:val="00312C39"/>
    <w:rsid w:val="00312D08"/>
    <w:rsid w:val="00312D29"/>
    <w:rsid w:val="00312D73"/>
    <w:rsid w:val="00312EC2"/>
    <w:rsid w:val="00313022"/>
    <w:rsid w:val="0031302E"/>
    <w:rsid w:val="003130D6"/>
    <w:rsid w:val="00313307"/>
    <w:rsid w:val="00313340"/>
    <w:rsid w:val="003134EE"/>
    <w:rsid w:val="00313743"/>
    <w:rsid w:val="00313C7D"/>
    <w:rsid w:val="00313DCF"/>
    <w:rsid w:val="00314288"/>
    <w:rsid w:val="00314318"/>
    <w:rsid w:val="0031436E"/>
    <w:rsid w:val="00314382"/>
    <w:rsid w:val="0031450A"/>
    <w:rsid w:val="003145F0"/>
    <w:rsid w:val="0031468C"/>
    <w:rsid w:val="003148E0"/>
    <w:rsid w:val="00314A06"/>
    <w:rsid w:val="0031568F"/>
    <w:rsid w:val="0031581A"/>
    <w:rsid w:val="0031585D"/>
    <w:rsid w:val="0031594B"/>
    <w:rsid w:val="00315B45"/>
    <w:rsid w:val="003164BF"/>
    <w:rsid w:val="003164C3"/>
    <w:rsid w:val="0031660F"/>
    <w:rsid w:val="00316615"/>
    <w:rsid w:val="00316641"/>
    <w:rsid w:val="0031685E"/>
    <w:rsid w:val="00316B47"/>
    <w:rsid w:val="00316BE5"/>
    <w:rsid w:val="00316CFC"/>
    <w:rsid w:val="00316E37"/>
    <w:rsid w:val="0031705B"/>
    <w:rsid w:val="00317213"/>
    <w:rsid w:val="003173A7"/>
    <w:rsid w:val="003176AF"/>
    <w:rsid w:val="003176C5"/>
    <w:rsid w:val="00317789"/>
    <w:rsid w:val="003177C5"/>
    <w:rsid w:val="003177EF"/>
    <w:rsid w:val="00317AC7"/>
    <w:rsid w:val="00317BF5"/>
    <w:rsid w:val="003200D9"/>
    <w:rsid w:val="003202F7"/>
    <w:rsid w:val="0032051D"/>
    <w:rsid w:val="00320C16"/>
    <w:rsid w:val="00320C70"/>
    <w:rsid w:val="00320CD3"/>
    <w:rsid w:val="00320D4A"/>
    <w:rsid w:val="00320DE4"/>
    <w:rsid w:val="00320EAA"/>
    <w:rsid w:val="00320EC2"/>
    <w:rsid w:val="00321009"/>
    <w:rsid w:val="00321377"/>
    <w:rsid w:val="003213DA"/>
    <w:rsid w:val="00321534"/>
    <w:rsid w:val="0032188F"/>
    <w:rsid w:val="00321A45"/>
    <w:rsid w:val="00321B45"/>
    <w:rsid w:val="00321C17"/>
    <w:rsid w:val="00321D9F"/>
    <w:rsid w:val="00322373"/>
    <w:rsid w:val="003225E1"/>
    <w:rsid w:val="00322B00"/>
    <w:rsid w:val="00322C75"/>
    <w:rsid w:val="00322CD9"/>
    <w:rsid w:val="0032306F"/>
    <w:rsid w:val="0032344C"/>
    <w:rsid w:val="00323688"/>
    <w:rsid w:val="00323BB9"/>
    <w:rsid w:val="00323F76"/>
    <w:rsid w:val="003240C5"/>
    <w:rsid w:val="00324874"/>
    <w:rsid w:val="00324B37"/>
    <w:rsid w:val="00324DCD"/>
    <w:rsid w:val="003251F0"/>
    <w:rsid w:val="0032557E"/>
    <w:rsid w:val="00325ABA"/>
    <w:rsid w:val="00325CDC"/>
    <w:rsid w:val="00325DBB"/>
    <w:rsid w:val="00326150"/>
    <w:rsid w:val="00326295"/>
    <w:rsid w:val="003264A2"/>
    <w:rsid w:val="00326737"/>
    <w:rsid w:val="0032674B"/>
    <w:rsid w:val="00326832"/>
    <w:rsid w:val="00326908"/>
    <w:rsid w:val="00326BAE"/>
    <w:rsid w:val="00326EFE"/>
    <w:rsid w:val="0032701D"/>
    <w:rsid w:val="0032711A"/>
    <w:rsid w:val="00327994"/>
    <w:rsid w:val="00327A80"/>
    <w:rsid w:val="00327F91"/>
    <w:rsid w:val="00330069"/>
    <w:rsid w:val="003300B6"/>
    <w:rsid w:val="00330109"/>
    <w:rsid w:val="00330BFE"/>
    <w:rsid w:val="00330CC6"/>
    <w:rsid w:val="00330DE0"/>
    <w:rsid w:val="00330F9C"/>
    <w:rsid w:val="00331297"/>
    <w:rsid w:val="0033138F"/>
    <w:rsid w:val="00331390"/>
    <w:rsid w:val="0033152B"/>
    <w:rsid w:val="0033158E"/>
    <w:rsid w:val="0033178C"/>
    <w:rsid w:val="0033183C"/>
    <w:rsid w:val="0033196B"/>
    <w:rsid w:val="00331983"/>
    <w:rsid w:val="003320C8"/>
    <w:rsid w:val="00332344"/>
    <w:rsid w:val="003327F6"/>
    <w:rsid w:val="00332804"/>
    <w:rsid w:val="0033281A"/>
    <w:rsid w:val="0033282D"/>
    <w:rsid w:val="003328C6"/>
    <w:rsid w:val="00332957"/>
    <w:rsid w:val="00332970"/>
    <w:rsid w:val="00332A4E"/>
    <w:rsid w:val="00332B7F"/>
    <w:rsid w:val="00332CFB"/>
    <w:rsid w:val="00332CFE"/>
    <w:rsid w:val="00332E92"/>
    <w:rsid w:val="00332F26"/>
    <w:rsid w:val="00332FC0"/>
    <w:rsid w:val="0033328B"/>
    <w:rsid w:val="00333522"/>
    <w:rsid w:val="0033356F"/>
    <w:rsid w:val="00333ADD"/>
    <w:rsid w:val="00333E10"/>
    <w:rsid w:val="0033400F"/>
    <w:rsid w:val="00334034"/>
    <w:rsid w:val="0033448F"/>
    <w:rsid w:val="003346F6"/>
    <w:rsid w:val="00334738"/>
    <w:rsid w:val="003347D7"/>
    <w:rsid w:val="00334838"/>
    <w:rsid w:val="003349FE"/>
    <w:rsid w:val="00334B2E"/>
    <w:rsid w:val="00335BF3"/>
    <w:rsid w:val="00335CE7"/>
    <w:rsid w:val="00335E3C"/>
    <w:rsid w:val="00336033"/>
    <w:rsid w:val="0033604B"/>
    <w:rsid w:val="00336134"/>
    <w:rsid w:val="00336270"/>
    <w:rsid w:val="003363DD"/>
    <w:rsid w:val="003363F2"/>
    <w:rsid w:val="00336570"/>
    <w:rsid w:val="00336980"/>
    <w:rsid w:val="00336A59"/>
    <w:rsid w:val="00336AB4"/>
    <w:rsid w:val="00336AD8"/>
    <w:rsid w:val="00336BE6"/>
    <w:rsid w:val="00336F1D"/>
    <w:rsid w:val="0033708A"/>
    <w:rsid w:val="0033743C"/>
    <w:rsid w:val="0033796F"/>
    <w:rsid w:val="00337BE8"/>
    <w:rsid w:val="00337BFF"/>
    <w:rsid w:val="00337C5A"/>
    <w:rsid w:val="00337DF0"/>
    <w:rsid w:val="003400A1"/>
    <w:rsid w:val="003405B2"/>
    <w:rsid w:val="0034060C"/>
    <w:rsid w:val="00340783"/>
    <w:rsid w:val="0034079D"/>
    <w:rsid w:val="003407E8"/>
    <w:rsid w:val="00340897"/>
    <w:rsid w:val="00340F0A"/>
    <w:rsid w:val="00340F13"/>
    <w:rsid w:val="00340FB2"/>
    <w:rsid w:val="003412FE"/>
    <w:rsid w:val="0034172A"/>
    <w:rsid w:val="00341A31"/>
    <w:rsid w:val="00341C42"/>
    <w:rsid w:val="00341D3D"/>
    <w:rsid w:val="00341DCC"/>
    <w:rsid w:val="00342551"/>
    <w:rsid w:val="0034286E"/>
    <w:rsid w:val="003428BB"/>
    <w:rsid w:val="00342991"/>
    <w:rsid w:val="00342998"/>
    <w:rsid w:val="00342A11"/>
    <w:rsid w:val="00342CE0"/>
    <w:rsid w:val="00342DF3"/>
    <w:rsid w:val="00342DFA"/>
    <w:rsid w:val="0034302B"/>
    <w:rsid w:val="003430C5"/>
    <w:rsid w:val="00343160"/>
    <w:rsid w:val="003431F6"/>
    <w:rsid w:val="003434C2"/>
    <w:rsid w:val="003436B4"/>
    <w:rsid w:val="003436EC"/>
    <w:rsid w:val="00343F8D"/>
    <w:rsid w:val="003440C9"/>
    <w:rsid w:val="00344103"/>
    <w:rsid w:val="0034427B"/>
    <w:rsid w:val="003444E7"/>
    <w:rsid w:val="003446EA"/>
    <w:rsid w:val="00344A2C"/>
    <w:rsid w:val="00344A54"/>
    <w:rsid w:val="00344C00"/>
    <w:rsid w:val="00344C36"/>
    <w:rsid w:val="00344CC7"/>
    <w:rsid w:val="00344D91"/>
    <w:rsid w:val="00344F7E"/>
    <w:rsid w:val="00345366"/>
    <w:rsid w:val="00345630"/>
    <w:rsid w:val="00345E3B"/>
    <w:rsid w:val="0034627B"/>
    <w:rsid w:val="00346469"/>
    <w:rsid w:val="003464B5"/>
    <w:rsid w:val="00346545"/>
    <w:rsid w:val="0034655C"/>
    <w:rsid w:val="0034659D"/>
    <w:rsid w:val="00346740"/>
    <w:rsid w:val="00346746"/>
    <w:rsid w:val="0034699D"/>
    <w:rsid w:val="00346AAF"/>
    <w:rsid w:val="00346CC5"/>
    <w:rsid w:val="00346DC9"/>
    <w:rsid w:val="0034718E"/>
    <w:rsid w:val="003473BF"/>
    <w:rsid w:val="0034742B"/>
    <w:rsid w:val="00347477"/>
    <w:rsid w:val="003474A3"/>
    <w:rsid w:val="003476F5"/>
    <w:rsid w:val="00347702"/>
    <w:rsid w:val="003477F5"/>
    <w:rsid w:val="003477FA"/>
    <w:rsid w:val="00347A0D"/>
    <w:rsid w:val="00347A55"/>
    <w:rsid w:val="00347A5D"/>
    <w:rsid w:val="00347DD8"/>
    <w:rsid w:val="00347E08"/>
    <w:rsid w:val="0035001C"/>
    <w:rsid w:val="00350079"/>
    <w:rsid w:val="00350496"/>
    <w:rsid w:val="0035065E"/>
    <w:rsid w:val="003508F7"/>
    <w:rsid w:val="00350F53"/>
    <w:rsid w:val="003512AC"/>
    <w:rsid w:val="003513A8"/>
    <w:rsid w:val="00351CAB"/>
    <w:rsid w:val="00351D69"/>
    <w:rsid w:val="003521B9"/>
    <w:rsid w:val="003521C2"/>
    <w:rsid w:val="0035234C"/>
    <w:rsid w:val="00352978"/>
    <w:rsid w:val="003529A5"/>
    <w:rsid w:val="00352B3A"/>
    <w:rsid w:val="00352B3E"/>
    <w:rsid w:val="00352CE2"/>
    <w:rsid w:val="00352EBF"/>
    <w:rsid w:val="00352FEE"/>
    <w:rsid w:val="0035306B"/>
    <w:rsid w:val="003532ED"/>
    <w:rsid w:val="00353402"/>
    <w:rsid w:val="0035342C"/>
    <w:rsid w:val="00353B0A"/>
    <w:rsid w:val="00353C21"/>
    <w:rsid w:val="00353D54"/>
    <w:rsid w:val="0035405B"/>
    <w:rsid w:val="003540D6"/>
    <w:rsid w:val="00354518"/>
    <w:rsid w:val="00354799"/>
    <w:rsid w:val="0035485B"/>
    <w:rsid w:val="00354919"/>
    <w:rsid w:val="0035495C"/>
    <w:rsid w:val="00354CF7"/>
    <w:rsid w:val="00354F20"/>
    <w:rsid w:val="00354FE9"/>
    <w:rsid w:val="0035575F"/>
    <w:rsid w:val="003559CD"/>
    <w:rsid w:val="00355C24"/>
    <w:rsid w:val="00355CAA"/>
    <w:rsid w:val="0035615F"/>
    <w:rsid w:val="00356194"/>
    <w:rsid w:val="00356448"/>
    <w:rsid w:val="00356612"/>
    <w:rsid w:val="0035670D"/>
    <w:rsid w:val="003567A0"/>
    <w:rsid w:val="003569A1"/>
    <w:rsid w:val="00356BE3"/>
    <w:rsid w:val="0035708D"/>
    <w:rsid w:val="003570D2"/>
    <w:rsid w:val="0035723D"/>
    <w:rsid w:val="003572D9"/>
    <w:rsid w:val="0035751B"/>
    <w:rsid w:val="003576FD"/>
    <w:rsid w:val="00357781"/>
    <w:rsid w:val="0035779E"/>
    <w:rsid w:val="00357BAC"/>
    <w:rsid w:val="00357EE2"/>
    <w:rsid w:val="00357F31"/>
    <w:rsid w:val="00360304"/>
    <w:rsid w:val="0036037E"/>
    <w:rsid w:val="0036042A"/>
    <w:rsid w:val="003604D1"/>
    <w:rsid w:val="003605D8"/>
    <w:rsid w:val="003605FB"/>
    <w:rsid w:val="0036075B"/>
    <w:rsid w:val="0036079A"/>
    <w:rsid w:val="003607DA"/>
    <w:rsid w:val="00360840"/>
    <w:rsid w:val="00360882"/>
    <w:rsid w:val="0036097F"/>
    <w:rsid w:val="00360C6E"/>
    <w:rsid w:val="00360E01"/>
    <w:rsid w:val="00360F5F"/>
    <w:rsid w:val="00360F91"/>
    <w:rsid w:val="003612F0"/>
    <w:rsid w:val="003613E5"/>
    <w:rsid w:val="00361455"/>
    <w:rsid w:val="003615A5"/>
    <w:rsid w:val="003616BD"/>
    <w:rsid w:val="00361D8B"/>
    <w:rsid w:val="0036224E"/>
    <w:rsid w:val="003622A2"/>
    <w:rsid w:val="00362336"/>
    <w:rsid w:val="00362383"/>
    <w:rsid w:val="0036247B"/>
    <w:rsid w:val="0036250F"/>
    <w:rsid w:val="003625B5"/>
    <w:rsid w:val="003628A6"/>
    <w:rsid w:val="003628C3"/>
    <w:rsid w:val="00362B87"/>
    <w:rsid w:val="00362C7A"/>
    <w:rsid w:val="00362EAF"/>
    <w:rsid w:val="00362ED4"/>
    <w:rsid w:val="0036309B"/>
    <w:rsid w:val="00363524"/>
    <w:rsid w:val="00363815"/>
    <w:rsid w:val="00363B19"/>
    <w:rsid w:val="00363B7B"/>
    <w:rsid w:val="00363C44"/>
    <w:rsid w:val="00363CA6"/>
    <w:rsid w:val="00363EAE"/>
    <w:rsid w:val="00364177"/>
    <w:rsid w:val="00364226"/>
    <w:rsid w:val="003642BD"/>
    <w:rsid w:val="00364572"/>
    <w:rsid w:val="0036477B"/>
    <w:rsid w:val="00364786"/>
    <w:rsid w:val="0036484C"/>
    <w:rsid w:val="00364A76"/>
    <w:rsid w:val="00364C2F"/>
    <w:rsid w:val="00364F78"/>
    <w:rsid w:val="00365147"/>
    <w:rsid w:val="003653ED"/>
    <w:rsid w:val="003655AF"/>
    <w:rsid w:val="003655B7"/>
    <w:rsid w:val="003657C6"/>
    <w:rsid w:val="003658A2"/>
    <w:rsid w:val="00365A6E"/>
    <w:rsid w:val="00365B58"/>
    <w:rsid w:val="00365BBA"/>
    <w:rsid w:val="00365C68"/>
    <w:rsid w:val="00365C91"/>
    <w:rsid w:val="00365D04"/>
    <w:rsid w:val="00366AB1"/>
    <w:rsid w:val="00366AD0"/>
    <w:rsid w:val="00366AF6"/>
    <w:rsid w:val="00366BED"/>
    <w:rsid w:val="00366E9B"/>
    <w:rsid w:val="00367078"/>
    <w:rsid w:val="003670B7"/>
    <w:rsid w:val="003676D7"/>
    <w:rsid w:val="00367770"/>
    <w:rsid w:val="00367821"/>
    <w:rsid w:val="0036787C"/>
    <w:rsid w:val="0036797F"/>
    <w:rsid w:val="00367A6D"/>
    <w:rsid w:val="003703F1"/>
    <w:rsid w:val="00370797"/>
    <w:rsid w:val="003707E2"/>
    <w:rsid w:val="00370D2B"/>
    <w:rsid w:val="00370DBE"/>
    <w:rsid w:val="00371045"/>
    <w:rsid w:val="0037117E"/>
    <w:rsid w:val="003711AC"/>
    <w:rsid w:val="0037148F"/>
    <w:rsid w:val="003715E2"/>
    <w:rsid w:val="003716E0"/>
    <w:rsid w:val="0037187D"/>
    <w:rsid w:val="003718C1"/>
    <w:rsid w:val="00371ED5"/>
    <w:rsid w:val="00372211"/>
    <w:rsid w:val="00372214"/>
    <w:rsid w:val="00372429"/>
    <w:rsid w:val="0037246F"/>
    <w:rsid w:val="00372D34"/>
    <w:rsid w:val="00372F2F"/>
    <w:rsid w:val="00372FC7"/>
    <w:rsid w:val="0037321E"/>
    <w:rsid w:val="00373555"/>
    <w:rsid w:val="00373581"/>
    <w:rsid w:val="00373636"/>
    <w:rsid w:val="003737A6"/>
    <w:rsid w:val="003737EF"/>
    <w:rsid w:val="00373BFA"/>
    <w:rsid w:val="00373C19"/>
    <w:rsid w:val="00374191"/>
    <w:rsid w:val="003742D1"/>
    <w:rsid w:val="00374317"/>
    <w:rsid w:val="00374423"/>
    <w:rsid w:val="00374753"/>
    <w:rsid w:val="0037483D"/>
    <w:rsid w:val="00374899"/>
    <w:rsid w:val="0037489B"/>
    <w:rsid w:val="003748A9"/>
    <w:rsid w:val="00374A4D"/>
    <w:rsid w:val="00375046"/>
    <w:rsid w:val="00375274"/>
    <w:rsid w:val="0037531D"/>
    <w:rsid w:val="00375548"/>
    <w:rsid w:val="0037597E"/>
    <w:rsid w:val="00375B98"/>
    <w:rsid w:val="00375C9D"/>
    <w:rsid w:val="00375D35"/>
    <w:rsid w:val="00375DB1"/>
    <w:rsid w:val="00375DE8"/>
    <w:rsid w:val="00375E70"/>
    <w:rsid w:val="003760FB"/>
    <w:rsid w:val="00376113"/>
    <w:rsid w:val="0037655A"/>
    <w:rsid w:val="0037677C"/>
    <w:rsid w:val="0037693A"/>
    <w:rsid w:val="00376DDE"/>
    <w:rsid w:val="00376EA8"/>
    <w:rsid w:val="00376FFE"/>
    <w:rsid w:val="003770EF"/>
    <w:rsid w:val="003771DD"/>
    <w:rsid w:val="003771FF"/>
    <w:rsid w:val="003773B8"/>
    <w:rsid w:val="0037753B"/>
    <w:rsid w:val="00380011"/>
    <w:rsid w:val="003800C1"/>
    <w:rsid w:val="003801B2"/>
    <w:rsid w:val="0038028F"/>
    <w:rsid w:val="003804EB"/>
    <w:rsid w:val="00380518"/>
    <w:rsid w:val="00380809"/>
    <w:rsid w:val="00380BC9"/>
    <w:rsid w:val="00380E37"/>
    <w:rsid w:val="00381304"/>
    <w:rsid w:val="00381370"/>
    <w:rsid w:val="00381A0D"/>
    <w:rsid w:val="00381BE9"/>
    <w:rsid w:val="00381CAB"/>
    <w:rsid w:val="00381CE1"/>
    <w:rsid w:val="00381FD8"/>
    <w:rsid w:val="00381FE6"/>
    <w:rsid w:val="003820BA"/>
    <w:rsid w:val="00382222"/>
    <w:rsid w:val="00382281"/>
    <w:rsid w:val="003822E3"/>
    <w:rsid w:val="003823A6"/>
    <w:rsid w:val="00382A97"/>
    <w:rsid w:val="00382B48"/>
    <w:rsid w:val="00382D6C"/>
    <w:rsid w:val="00382F13"/>
    <w:rsid w:val="00383459"/>
    <w:rsid w:val="0038388D"/>
    <w:rsid w:val="0038391C"/>
    <w:rsid w:val="0038397F"/>
    <w:rsid w:val="003839EE"/>
    <w:rsid w:val="00383D5F"/>
    <w:rsid w:val="00383F3D"/>
    <w:rsid w:val="003841C6"/>
    <w:rsid w:val="003841E6"/>
    <w:rsid w:val="00384308"/>
    <w:rsid w:val="00384505"/>
    <w:rsid w:val="003846B9"/>
    <w:rsid w:val="00384822"/>
    <w:rsid w:val="00384897"/>
    <w:rsid w:val="003849FE"/>
    <w:rsid w:val="00384A98"/>
    <w:rsid w:val="00384CFF"/>
    <w:rsid w:val="00384D29"/>
    <w:rsid w:val="0038503E"/>
    <w:rsid w:val="00385514"/>
    <w:rsid w:val="003856DC"/>
    <w:rsid w:val="003856F1"/>
    <w:rsid w:val="00385721"/>
    <w:rsid w:val="00385984"/>
    <w:rsid w:val="00385A37"/>
    <w:rsid w:val="00385AFE"/>
    <w:rsid w:val="00385D49"/>
    <w:rsid w:val="00385F00"/>
    <w:rsid w:val="00386181"/>
    <w:rsid w:val="0038686E"/>
    <w:rsid w:val="00386A41"/>
    <w:rsid w:val="00386AFF"/>
    <w:rsid w:val="00386BBB"/>
    <w:rsid w:val="00386DCD"/>
    <w:rsid w:val="00386FD3"/>
    <w:rsid w:val="00387BFB"/>
    <w:rsid w:val="00390661"/>
    <w:rsid w:val="0039072F"/>
    <w:rsid w:val="003907A3"/>
    <w:rsid w:val="003907F7"/>
    <w:rsid w:val="00390867"/>
    <w:rsid w:val="00390879"/>
    <w:rsid w:val="00390B7D"/>
    <w:rsid w:val="00390C20"/>
    <w:rsid w:val="00390DD9"/>
    <w:rsid w:val="00390F1E"/>
    <w:rsid w:val="003913BA"/>
    <w:rsid w:val="003916F4"/>
    <w:rsid w:val="00391706"/>
    <w:rsid w:val="003919FB"/>
    <w:rsid w:val="00391A18"/>
    <w:rsid w:val="00391B4F"/>
    <w:rsid w:val="00391BBE"/>
    <w:rsid w:val="00391E91"/>
    <w:rsid w:val="00391FD8"/>
    <w:rsid w:val="00392055"/>
    <w:rsid w:val="003924FC"/>
    <w:rsid w:val="003925C9"/>
    <w:rsid w:val="0039260C"/>
    <w:rsid w:val="003926B7"/>
    <w:rsid w:val="00392731"/>
    <w:rsid w:val="0039284E"/>
    <w:rsid w:val="00393048"/>
    <w:rsid w:val="0039336D"/>
    <w:rsid w:val="00393503"/>
    <w:rsid w:val="00393561"/>
    <w:rsid w:val="00393570"/>
    <w:rsid w:val="00393810"/>
    <w:rsid w:val="003938D3"/>
    <w:rsid w:val="00393C09"/>
    <w:rsid w:val="00393D19"/>
    <w:rsid w:val="00393F1A"/>
    <w:rsid w:val="00393FF2"/>
    <w:rsid w:val="00394036"/>
    <w:rsid w:val="00394400"/>
    <w:rsid w:val="00394570"/>
    <w:rsid w:val="003948A5"/>
    <w:rsid w:val="00394E37"/>
    <w:rsid w:val="00394EB6"/>
    <w:rsid w:val="00394F16"/>
    <w:rsid w:val="003955A6"/>
    <w:rsid w:val="003955D0"/>
    <w:rsid w:val="00395A21"/>
    <w:rsid w:val="00395D4E"/>
    <w:rsid w:val="00395F2D"/>
    <w:rsid w:val="0039601F"/>
    <w:rsid w:val="00396435"/>
    <w:rsid w:val="003966A7"/>
    <w:rsid w:val="003966CA"/>
    <w:rsid w:val="00396706"/>
    <w:rsid w:val="003967BB"/>
    <w:rsid w:val="00396928"/>
    <w:rsid w:val="00396B8E"/>
    <w:rsid w:val="00396BA0"/>
    <w:rsid w:val="00396C06"/>
    <w:rsid w:val="00396D3C"/>
    <w:rsid w:val="00396D7B"/>
    <w:rsid w:val="00396E13"/>
    <w:rsid w:val="00396E24"/>
    <w:rsid w:val="00396E97"/>
    <w:rsid w:val="00396F7A"/>
    <w:rsid w:val="003971DE"/>
    <w:rsid w:val="00397E6F"/>
    <w:rsid w:val="003A00DF"/>
    <w:rsid w:val="003A0251"/>
    <w:rsid w:val="003A0379"/>
    <w:rsid w:val="003A045F"/>
    <w:rsid w:val="003A06EE"/>
    <w:rsid w:val="003A09BF"/>
    <w:rsid w:val="003A0C1D"/>
    <w:rsid w:val="003A0EAF"/>
    <w:rsid w:val="003A1003"/>
    <w:rsid w:val="003A146A"/>
    <w:rsid w:val="003A1662"/>
    <w:rsid w:val="003A1946"/>
    <w:rsid w:val="003A1CDA"/>
    <w:rsid w:val="003A1E10"/>
    <w:rsid w:val="003A1F83"/>
    <w:rsid w:val="003A23BE"/>
    <w:rsid w:val="003A266D"/>
    <w:rsid w:val="003A2865"/>
    <w:rsid w:val="003A2954"/>
    <w:rsid w:val="003A2A45"/>
    <w:rsid w:val="003A2B6C"/>
    <w:rsid w:val="003A2BE4"/>
    <w:rsid w:val="003A2D68"/>
    <w:rsid w:val="003A2E6E"/>
    <w:rsid w:val="003A2F8B"/>
    <w:rsid w:val="003A2FAD"/>
    <w:rsid w:val="003A34B4"/>
    <w:rsid w:val="003A3559"/>
    <w:rsid w:val="003A357A"/>
    <w:rsid w:val="003A3797"/>
    <w:rsid w:val="003A3E90"/>
    <w:rsid w:val="003A3EEF"/>
    <w:rsid w:val="003A4480"/>
    <w:rsid w:val="003A4566"/>
    <w:rsid w:val="003A45B4"/>
    <w:rsid w:val="003A46DE"/>
    <w:rsid w:val="003A497E"/>
    <w:rsid w:val="003A4A67"/>
    <w:rsid w:val="003A4AB5"/>
    <w:rsid w:val="003A4D8B"/>
    <w:rsid w:val="003A4F57"/>
    <w:rsid w:val="003A514B"/>
    <w:rsid w:val="003A5339"/>
    <w:rsid w:val="003A56D1"/>
    <w:rsid w:val="003A578F"/>
    <w:rsid w:val="003A58A1"/>
    <w:rsid w:val="003A5BDC"/>
    <w:rsid w:val="003A5D89"/>
    <w:rsid w:val="003A6212"/>
    <w:rsid w:val="003A6430"/>
    <w:rsid w:val="003A6632"/>
    <w:rsid w:val="003A6873"/>
    <w:rsid w:val="003A6AB8"/>
    <w:rsid w:val="003A6CCC"/>
    <w:rsid w:val="003A725B"/>
    <w:rsid w:val="003A7635"/>
    <w:rsid w:val="003A77F8"/>
    <w:rsid w:val="003A799B"/>
    <w:rsid w:val="003A7CEF"/>
    <w:rsid w:val="003A7DC9"/>
    <w:rsid w:val="003A7E17"/>
    <w:rsid w:val="003A7E7D"/>
    <w:rsid w:val="003A7F19"/>
    <w:rsid w:val="003B0071"/>
    <w:rsid w:val="003B0101"/>
    <w:rsid w:val="003B0384"/>
    <w:rsid w:val="003B048B"/>
    <w:rsid w:val="003B062B"/>
    <w:rsid w:val="003B066E"/>
    <w:rsid w:val="003B0863"/>
    <w:rsid w:val="003B0BCC"/>
    <w:rsid w:val="003B0E44"/>
    <w:rsid w:val="003B100E"/>
    <w:rsid w:val="003B1211"/>
    <w:rsid w:val="003B13A6"/>
    <w:rsid w:val="003B1733"/>
    <w:rsid w:val="003B17EF"/>
    <w:rsid w:val="003B18B5"/>
    <w:rsid w:val="003B198F"/>
    <w:rsid w:val="003B1DC5"/>
    <w:rsid w:val="003B1F97"/>
    <w:rsid w:val="003B22B3"/>
    <w:rsid w:val="003B23DF"/>
    <w:rsid w:val="003B23F5"/>
    <w:rsid w:val="003B2548"/>
    <w:rsid w:val="003B256C"/>
    <w:rsid w:val="003B2617"/>
    <w:rsid w:val="003B27ED"/>
    <w:rsid w:val="003B27F1"/>
    <w:rsid w:val="003B2840"/>
    <w:rsid w:val="003B2996"/>
    <w:rsid w:val="003B2B21"/>
    <w:rsid w:val="003B2C18"/>
    <w:rsid w:val="003B2E11"/>
    <w:rsid w:val="003B348A"/>
    <w:rsid w:val="003B368E"/>
    <w:rsid w:val="003B384A"/>
    <w:rsid w:val="003B38B7"/>
    <w:rsid w:val="003B38EB"/>
    <w:rsid w:val="003B3921"/>
    <w:rsid w:val="003B3B00"/>
    <w:rsid w:val="003B3C9F"/>
    <w:rsid w:val="003B3CD6"/>
    <w:rsid w:val="003B3FF9"/>
    <w:rsid w:val="003B417D"/>
    <w:rsid w:val="003B420A"/>
    <w:rsid w:val="003B43D9"/>
    <w:rsid w:val="003B479D"/>
    <w:rsid w:val="003B493A"/>
    <w:rsid w:val="003B4A07"/>
    <w:rsid w:val="003B4C66"/>
    <w:rsid w:val="003B4E0D"/>
    <w:rsid w:val="003B4EB5"/>
    <w:rsid w:val="003B4F86"/>
    <w:rsid w:val="003B56C7"/>
    <w:rsid w:val="003B57E7"/>
    <w:rsid w:val="003B58D1"/>
    <w:rsid w:val="003B59EC"/>
    <w:rsid w:val="003B5A99"/>
    <w:rsid w:val="003B5B74"/>
    <w:rsid w:val="003B5DEC"/>
    <w:rsid w:val="003B5E7E"/>
    <w:rsid w:val="003B5FA7"/>
    <w:rsid w:val="003B6148"/>
    <w:rsid w:val="003B6191"/>
    <w:rsid w:val="003B61E9"/>
    <w:rsid w:val="003B6285"/>
    <w:rsid w:val="003B633C"/>
    <w:rsid w:val="003B6649"/>
    <w:rsid w:val="003B66AB"/>
    <w:rsid w:val="003B671E"/>
    <w:rsid w:val="003B6B42"/>
    <w:rsid w:val="003B70B9"/>
    <w:rsid w:val="003B7214"/>
    <w:rsid w:val="003B7266"/>
    <w:rsid w:val="003B73DD"/>
    <w:rsid w:val="003B755E"/>
    <w:rsid w:val="003B79A7"/>
    <w:rsid w:val="003B79DA"/>
    <w:rsid w:val="003B7A23"/>
    <w:rsid w:val="003B7B5F"/>
    <w:rsid w:val="003B7BEE"/>
    <w:rsid w:val="003B7FD6"/>
    <w:rsid w:val="003C04B0"/>
    <w:rsid w:val="003C04FF"/>
    <w:rsid w:val="003C0632"/>
    <w:rsid w:val="003C0689"/>
    <w:rsid w:val="003C07AE"/>
    <w:rsid w:val="003C089F"/>
    <w:rsid w:val="003C09D6"/>
    <w:rsid w:val="003C0AB9"/>
    <w:rsid w:val="003C0BE2"/>
    <w:rsid w:val="003C1254"/>
    <w:rsid w:val="003C12C2"/>
    <w:rsid w:val="003C130F"/>
    <w:rsid w:val="003C1580"/>
    <w:rsid w:val="003C15D9"/>
    <w:rsid w:val="003C160E"/>
    <w:rsid w:val="003C16FC"/>
    <w:rsid w:val="003C18BB"/>
    <w:rsid w:val="003C19D8"/>
    <w:rsid w:val="003C1CF6"/>
    <w:rsid w:val="003C1F51"/>
    <w:rsid w:val="003C20D1"/>
    <w:rsid w:val="003C22EC"/>
    <w:rsid w:val="003C24EB"/>
    <w:rsid w:val="003C2985"/>
    <w:rsid w:val="003C2999"/>
    <w:rsid w:val="003C2AD0"/>
    <w:rsid w:val="003C2AD4"/>
    <w:rsid w:val="003C2F2A"/>
    <w:rsid w:val="003C302B"/>
    <w:rsid w:val="003C3290"/>
    <w:rsid w:val="003C350C"/>
    <w:rsid w:val="003C37DB"/>
    <w:rsid w:val="003C3D52"/>
    <w:rsid w:val="003C3EB9"/>
    <w:rsid w:val="003C40A9"/>
    <w:rsid w:val="003C4363"/>
    <w:rsid w:val="003C449D"/>
    <w:rsid w:val="003C45A9"/>
    <w:rsid w:val="003C45D1"/>
    <w:rsid w:val="003C473E"/>
    <w:rsid w:val="003C4D82"/>
    <w:rsid w:val="003C4EF1"/>
    <w:rsid w:val="003C5543"/>
    <w:rsid w:val="003C55F3"/>
    <w:rsid w:val="003C586F"/>
    <w:rsid w:val="003C594E"/>
    <w:rsid w:val="003C5F4B"/>
    <w:rsid w:val="003C613D"/>
    <w:rsid w:val="003C61F0"/>
    <w:rsid w:val="003C6746"/>
    <w:rsid w:val="003C68CB"/>
    <w:rsid w:val="003C6F60"/>
    <w:rsid w:val="003C711C"/>
    <w:rsid w:val="003C7740"/>
    <w:rsid w:val="003C78B9"/>
    <w:rsid w:val="003C7C78"/>
    <w:rsid w:val="003C7FA9"/>
    <w:rsid w:val="003D001D"/>
    <w:rsid w:val="003D0028"/>
    <w:rsid w:val="003D052E"/>
    <w:rsid w:val="003D0602"/>
    <w:rsid w:val="003D09AB"/>
    <w:rsid w:val="003D0EF6"/>
    <w:rsid w:val="003D1009"/>
    <w:rsid w:val="003D1399"/>
    <w:rsid w:val="003D13FA"/>
    <w:rsid w:val="003D1426"/>
    <w:rsid w:val="003D1470"/>
    <w:rsid w:val="003D1634"/>
    <w:rsid w:val="003D163E"/>
    <w:rsid w:val="003D191D"/>
    <w:rsid w:val="003D1927"/>
    <w:rsid w:val="003D1A53"/>
    <w:rsid w:val="003D1B6F"/>
    <w:rsid w:val="003D1B7C"/>
    <w:rsid w:val="003D272F"/>
    <w:rsid w:val="003D2738"/>
    <w:rsid w:val="003D301E"/>
    <w:rsid w:val="003D32CD"/>
    <w:rsid w:val="003D34E9"/>
    <w:rsid w:val="003D3545"/>
    <w:rsid w:val="003D360B"/>
    <w:rsid w:val="003D3697"/>
    <w:rsid w:val="003D370C"/>
    <w:rsid w:val="003D37D5"/>
    <w:rsid w:val="003D3AEC"/>
    <w:rsid w:val="003D3E04"/>
    <w:rsid w:val="003D4391"/>
    <w:rsid w:val="003D4460"/>
    <w:rsid w:val="003D450B"/>
    <w:rsid w:val="003D4544"/>
    <w:rsid w:val="003D489E"/>
    <w:rsid w:val="003D4D60"/>
    <w:rsid w:val="003D4F13"/>
    <w:rsid w:val="003D5054"/>
    <w:rsid w:val="003D53D6"/>
    <w:rsid w:val="003D55CF"/>
    <w:rsid w:val="003D576E"/>
    <w:rsid w:val="003D578C"/>
    <w:rsid w:val="003D5943"/>
    <w:rsid w:val="003D5A3D"/>
    <w:rsid w:val="003D5C26"/>
    <w:rsid w:val="003D5CD1"/>
    <w:rsid w:val="003D5D99"/>
    <w:rsid w:val="003D5E8D"/>
    <w:rsid w:val="003D5EE0"/>
    <w:rsid w:val="003D63F8"/>
    <w:rsid w:val="003D6422"/>
    <w:rsid w:val="003D645F"/>
    <w:rsid w:val="003D67A6"/>
    <w:rsid w:val="003D6AFF"/>
    <w:rsid w:val="003D6CB7"/>
    <w:rsid w:val="003D6DE1"/>
    <w:rsid w:val="003D6F6C"/>
    <w:rsid w:val="003D730C"/>
    <w:rsid w:val="003D731C"/>
    <w:rsid w:val="003D7638"/>
    <w:rsid w:val="003D7ADD"/>
    <w:rsid w:val="003E0024"/>
    <w:rsid w:val="003E04A0"/>
    <w:rsid w:val="003E08BF"/>
    <w:rsid w:val="003E0A24"/>
    <w:rsid w:val="003E0CB6"/>
    <w:rsid w:val="003E156A"/>
    <w:rsid w:val="003E1602"/>
    <w:rsid w:val="003E172E"/>
    <w:rsid w:val="003E1A2E"/>
    <w:rsid w:val="003E1A34"/>
    <w:rsid w:val="003E1C32"/>
    <w:rsid w:val="003E1D2B"/>
    <w:rsid w:val="003E1D60"/>
    <w:rsid w:val="003E1E6A"/>
    <w:rsid w:val="003E1F37"/>
    <w:rsid w:val="003E1FDF"/>
    <w:rsid w:val="003E209A"/>
    <w:rsid w:val="003E2229"/>
    <w:rsid w:val="003E222F"/>
    <w:rsid w:val="003E2330"/>
    <w:rsid w:val="003E255B"/>
    <w:rsid w:val="003E2AD3"/>
    <w:rsid w:val="003E2AE8"/>
    <w:rsid w:val="003E2C41"/>
    <w:rsid w:val="003E2D32"/>
    <w:rsid w:val="003E327B"/>
    <w:rsid w:val="003E3557"/>
    <w:rsid w:val="003E3611"/>
    <w:rsid w:val="003E3705"/>
    <w:rsid w:val="003E3F47"/>
    <w:rsid w:val="003E4140"/>
    <w:rsid w:val="003E4162"/>
    <w:rsid w:val="003E42E7"/>
    <w:rsid w:val="003E47F2"/>
    <w:rsid w:val="003E4926"/>
    <w:rsid w:val="003E4AB2"/>
    <w:rsid w:val="003E4CE6"/>
    <w:rsid w:val="003E4E30"/>
    <w:rsid w:val="003E4F84"/>
    <w:rsid w:val="003E4FB0"/>
    <w:rsid w:val="003E51DF"/>
    <w:rsid w:val="003E575B"/>
    <w:rsid w:val="003E5859"/>
    <w:rsid w:val="003E58BE"/>
    <w:rsid w:val="003E59B7"/>
    <w:rsid w:val="003E5AF5"/>
    <w:rsid w:val="003E608F"/>
    <w:rsid w:val="003E60DD"/>
    <w:rsid w:val="003E6315"/>
    <w:rsid w:val="003E68F3"/>
    <w:rsid w:val="003E6A5E"/>
    <w:rsid w:val="003E6B0C"/>
    <w:rsid w:val="003E6BDC"/>
    <w:rsid w:val="003E6F9D"/>
    <w:rsid w:val="003E73CD"/>
    <w:rsid w:val="003E75E7"/>
    <w:rsid w:val="003E7B2C"/>
    <w:rsid w:val="003E7FB0"/>
    <w:rsid w:val="003E7FBE"/>
    <w:rsid w:val="003F0539"/>
    <w:rsid w:val="003F08E9"/>
    <w:rsid w:val="003F099B"/>
    <w:rsid w:val="003F0BC2"/>
    <w:rsid w:val="003F0D00"/>
    <w:rsid w:val="003F0D04"/>
    <w:rsid w:val="003F0D8A"/>
    <w:rsid w:val="003F0E84"/>
    <w:rsid w:val="003F0F76"/>
    <w:rsid w:val="003F1251"/>
    <w:rsid w:val="003F12DE"/>
    <w:rsid w:val="003F13FB"/>
    <w:rsid w:val="003F18EA"/>
    <w:rsid w:val="003F1A99"/>
    <w:rsid w:val="003F1B79"/>
    <w:rsid w:val="003F1DD0"/>
    <w:rsid w:val="003F20FA"/>
    <w:rsid w:val="003F26E4"/>
    <w:rsid w:val="003F271C"/>
    <w:rsid w:val="003F274C"/>
    <w:rsid w:val="003F28D1"/>
    <w:rsid w:val="003F2AA8"/>
    <w:rsid w:val="003F2AD4"/>
    <w:rsid w:val="003F2C40"/>
    <w:rsid w:val="003F2F86"/>
    <w:rsid w:val="003F3069"/>
    <w:rsid w:val="003F31AB"/>
    <w:rsid w:val="003F326A"/>
    <w:rsid w:val="003F3536"/>
    <w:rsid w:val="003F374B"/>
    <w:rsid w:val="003F38C4"/>
    <w:rsid w:val="003F3E56"/>
    <w:rsid w:val="003F3EB8"/>
    <w:rsid w:val="003F416A"/>
    <w:rsid w:val="003F465F"/>
    <w:rsid w:val="003F46A8"/>
    <w:rsid w:val="003F4CC9"/>
    <w:rsid w:val="003F4E9B"/>
    <w:rsid w:val="003F50B5"/>
    <w:rsid w:val="003F511C"/>
    <w:rsid w:val="003F55BB"/>
    <w:rsid w:val="003F5625"/>
    <w:rsid w:val="003F564F"/>
    <w:rsid w:val="003F58B3"/>
    <w:rsid w:val="003F5BA4"/>
    <w:rsid w:val="003F5C19"/>
    <w:rsid w:val="003F5C74"/>
    <w:rsid w:val="003F5C7D"/>
    <w:rsid w:val="003F5CDE"/>
    <w:rsid w:val="003F5D04"/>
    <w:rsid w:val="003F5D35"/>
    <w:rsid w:val="003F5D59"/>
    <w:rsid w:val="003F5E91"/>
    <w:rsid w:val="003F63EE"/>
    <w:rsid w:val="003F6AF3"/>
    <w:rsid w:val="003F6B68"/>
    <w:rsid w:val="003F6E38"/>
    <w:rsid w:val="003F738F"/>
    <w:rsid w:val="003F73F3"/>
    <w:rsid w:val="003F77C3"/>
    <w:rsid w:val="003F7891"/>
    <w:rsid w:val="003F792F"/>
    <w:rsid w:val="003F7EF2"/>
    <w:rsid w:val="004004AE"/>
    <w:rsid w:val="00400534"/>
    <w:rsid w:val="00400697"/>
    <w:rsid w:val="004007CC"/>
    <w:rsid w:val="004008C8"/>
    <w:rsid w:val="004009A2"/>
    <w:rsid w:val="00400F72"/>
    <w:rsid w:val="00400FC1"/>
    <w:rsid w:val="00401052"/>
    <w:rsid w:val="0040112F"/>
    <w:rsid w:val="0040122C"/>
    <w:rsid w:val="0040161B"/>
    <w:rsid w:val="004017D2"/>
    <w:rsid w:val="00401E02"/>
    <w:rsid w:val="00402266"/>
    <w:rsid w:val="004023AF"/>
    <w:rsid w:val="0040259D"/>
    <w:rsid w:val="0040262D"/>
    <w:rsid w:val="00402818"/>
    <w:rsid w:val="00402D20"/>
    <w:rsid w:val="00402F35"/>
    <w:rsid w:val="00403193"/>
    <w:rsid w:val="004032D1"/>
    <w:rsid w:val="004035B9"/>
    <w:rsid w:val="00403896"/>
    <w:rsid w:val="00403A2B"/>
    <w:rsid w:val="00403B10"/>
    <w:rsid w:val="00403D3F"/>
    <w:rsid w:val="00404383"/>
    <w:rsid w:val="00404466"/>
    <w:rsid w:val="00404548"/>
    <w:rsid w:val="0040460F"/>
    <w:rsid w:val="0040479A"/>
    <w:rsid w:val="00404B9D"/>
    <w:rsid w:val="00404C8F"/>
    <w:rsid w:val="00404DF1"/>
    <w:rsid w:val="00404F6B"/>
    <w:rsid w:val="00405112"/>
    <w:rsid w:val="00405690"/>
    <w:rsid w:val="004057A3"/>
    <w:rsid w:val="00405B85"/>
    <w:rsid w:val="00405C87"/>
    <w:rsid w:val="00405C9E"/>
    <w:rsid w:val="004061C5"/>
    <w:rsid w:val="004061E1"/>
    <w:rsid w:val="004063B4"/>
    <w:rsid w:val="004063E5"/>
    <w:rsid w:val="0040684E"/>
    <w:rsid w:val="00406874"/>
    <w:rsid w:val="004068C8"/>
    <w:rsid w:val="00406D8E"/>
    <w:rsid w:val="00407230"/>
    <w:rsid w:val="0040741E"/>
    <w:rsid w:val="004078A4"/>
    <w:rsid w:val="00407A1F"/>
    <w:rsid w:val="00407AD4"/>
    <w:rsid w:val="00407BFD"/>
    <w:rsid w:val="00407E16"/>
    <w:rsid w:val="00410064"/>
    <w:rsid w:val="00410125"/>
    <w:rsid w:val="004105D0"/>
    <w:rsid w:val="0041086B"/>
    <w:rsid w:val="004109D0"/>
    <w:rsid w:val="00410E4E"/>
    <w:rsid w:val="00411139"/>
    <w:rsid w:val="004114F9"/>
    <w:rsid w:val="004117B2"/>
    <w:rsid w:val="00411835"/>
    <w:rsid w:val="00411B6E"/>
    <w:rsid w:val="00412030"/>
    <w:rsid w:val="004121EA"/>
    <w:rsid w:val="004123E9"/>
    <w:rsid w:val="0041268F"/>
    <w:rsid w:val="0041282A"/>
    <w:rsid w:val="00412837"/>
    <w:rsid w:val="00412B9D"/>
    <w:rsid w:val="00412E2F"/>
    <w:rsid w:val="00413037"/>
    <w:rsid w:val="004131FF"/>
    <w:rsid w:val="004132B2"/>
    <w:rsid w:val="00413DB9"/>
    <w:rsid w:val="00413DC6"/>
    <w:rsid w:val="00413E9C"/>
    <w:rsid w:val="00413F10"/>
    <w:rsid w:val="004143F9"/>
    <w:rsid w:val="004144E5"/>
    <w:rsid w:val="00414744"/>
    <w:rsid w:val="00414746"/>
    <w:rsid w:val="00414BA7"/>
    <w:rsid w:val="00414E9D"/>
    <w:rsid w:val="00414F0A"/>
    <w:rsid w:val="004153EC"/>
    <w:rsid w:val="0041559E"/>
    <w:rsid w:val="004156B6"/>
    <w:rsid w:val="00415889"/>
    <w:rsid w:val="00415A91"/>
    <w:rsid w:val="00415AAD"/>
    <w:rsid w:val="00415DD1"/>
    <w:rsid w:val="00416387"/>
    <w:rsid w:val="004164BF"/>
    <w:rsid w:val="004169F5"/>
    <w:rsid w:val="00416BF4"/>
    <w:rsid w:val="00417282"/>
    <w:rsid w:val="00417965"/>
    <w:rsid w:val="00417BD9"/>
    <w:rsid w:val="00417D65"/>
    <w:rsid w:val="004205DB"/>
    <w:rsid w:val="00420AC6"/>
    <w:rsid w:val="00420BD7"/>
    <w:rsid w:val="00420CE2"/>
    <w:rsid w:val="00420FD0"/>
    <w:rsid w:val="0042177C"/>
    <w:rsid w:val="00421892"/>
    <w:rsid w:val="00421A9D"/>
    <w:rsid w:val="004223DB"/>
    <w:rsid w:val="00422466"/>
    <w:rsid w:val="00422A79"/>
    <w:rsid w:val="00422AA6"/>
    <w:rsid w:val="00422DD8"/>
    <w:rsid w:val="004230FE"/>
    <w:rsid w:val="00423209"/>
    <w:rsid w:val="00423569"/>
    <w:rsid w:val="004237F9"/>
    <w:rsid w:val="004238D2"/>
    <w:rsid w:val="004239AF"/>
    <w:rsid w:val="00423DF0"/>
    <w:rsid w:val="0042432D"/>
    <w:rsid w:val="004244D9"/>
    <w:rsid w:val="004245A1"/>
    <w:rsid w:val="004247E7"/>
    <w:rsid w:val="00424A57"/>
    <w:rsid w:val="00425089"/>
    <w:rsid w:val="004250F0"/>
    <w:rsid w:val="004256A2"/>
    <w:rsid w:val="00425A25"/>
    <w:rsid w:val="00425AEC"/>
    <w:rsid w:val="00425B95"/>
    <w:rsid w:val="00426346"/>
    <w:rsid w:val="00426547"/>
    <w:rsid w:val="004266B0"/>
    <w:rsid w:val="00426855"/>
    <w:rsid w:val="004268C1"/>
    <w:rsid w:val="00426C31"/>
    <w:rsid w:val="00427369"/>
    <w:rsid w:val="0042747B"/>
    <w:rsid w:val="00427947"/>
    <w:rsid w:val="00427D6A"/>
    <w:rsid w:val="00427E4E"/>
    <w:rsid w:val="00427EF8"/>
    <w:rsid w:val="0043037E"/>
    <w:rsid w:val="00430826"/>
    <w:rsid w:val="00430ABB"/>
    <w:rsid w:val="00430B76"/>
    <w:rsid w:val="00430EB3"/>
    <w:rsid w:val="004310E8"/>
    <w:rsid w:val="004310FD"/>
    <w:rsid w:val="0043124D"/>
    <w:rsid w:val="004317C9"/>
    <w:rsid w:val="00431C27"/>
    <w:rsid w:val="00431F2D"/>
    <w:rsid w:val="0043261E"/>
    <w:rsid w:val="0043280C"/>
    <w:rsid w:val="00432F6E"/>
    <w:rsid w:val="0043318C"/>
    <w:rsid w:val="0043319D"/>
    <w:rsid w:val="0043337F"/>
    <w:rsid w:val="0043339C"/>
    <w:rsid w:val="004335A6"/>
    <w:rsid w:val="004337EE"/>
    <w:rsid w:val="0043385B"/>
    <w:rsid w:val="00433AB7"/>
    <w:rsid w:val="00433B96"/>
    <w:rsid w:val="00433C6A"/>
    <w:rsid w:val="00434330"/>
    <w:rsid w:val="00434396"/>
    <w:rsid w:val="00434478"/>
    <w:rsid w:val="004344C6"/>
    <w:rsid w:val="004349D6"/>
    <w:rsid w:val="00434AFE"/>
    <w:rsid w:val="00434B60"/>
    <w:rsid w:val="00434BBD"/>
    <w:rsid w:val="00434C5F"/>
    <w:rsid w:val="0043567C"/>
    <w:rsid w:val="00435888"/>
    <w:rsid w:val="004358A6"/>
    <w:rsid w:val="00435D75"/>
    <w:rsid w:val="00435F74"/>
    <w:rsid w:val="00435FF0"/>
    <w:rsid w:val="00436214"/>
    <w:rsid w:val="00436541"/>
    <w:rsid w:val="00436780"/>
    <w:rsid w:val="00436CA8"/>
    <w:rsid w:val="00436D8E"/>
    <w:rsid w:val="00436EC3"/>
    <w:rsid w:val="00436F13"/>
    <w:rsid w:val="00437189"/>
    <w:rsid w:val="004371D9"/>
    <w:rsid w:val="004373D4"/>
    <w:rsid w:val="00437739"/>
    <w:rsid w:val="0043778E"/>
    <w:rsid w:val="00437798"/>
    <w:rsid w:val="004378DB"/>
    <w:rsid w:val="00437BA5"/>
    <w:rsid w:val="00440871"/>
    <w:rsid w:val="00440ADE"/>
    <w:rsid w:val="00440AEA"/>
    <w:rsid w:val="00440E85"/>
    <w:rsid w:val="0044121D"/>
    <w:rsid w:val="00441271"/>
    <w:rsid w:val="00441587"/>
    <w:rsid w:val="00441588"/>
    <w:rsid w:val="00441CCB"/>
    <w:rsid w:val="00441CF7"/>
    <w:rsid w:val="00441D0A"/>
    <w:rsid w:val="0044206D"/>
    <w:rsid w:val="00442120"/>
    <w:rsid w:val="00442357"/>
    <w:rsid w:val="00442360"/>
    <w:rsid w:val="00442955"/>
    <w:rsid w:val="00442BBD"/>
    <w:rsid w:val="00442D2F"/>
    <w:rsid w:val="00442D9C"/>
    <w:rsid w:val="00442DA9"/>
    <w:rsid w:val="00442E55"/>
    <w:rsid w:val="00443025"/>
    <w:rsid w:val="00443172"/>
    <w:rsid w:val="00443505"/>
    <w:rsid w:val="00443894"/>
    <w:rsid w:val="00443B5F"/>
    <w:rsid w:val="00443D81"/>
    <w:rsid w:val="00443DB4"/>
    <w:rsid w:val="00443F09"/>
    <w:rsid w:val="00444099"/>
    <w:rsid w:val="0044424C"/>
    <w:rsid w:val="00444259"/>
    <w:rsid w:val="00444299"/>
    <w:rsid w:val="00444482"/>
    <w:rsid w:val="00444930"/>
    <w:rsid w:val="004449E1"/>
    <w:rsid w:val="00444E72"/>
    <w:rsid w:val="00444E94"/>
    <w:rsid w:val="00444EB3"/>
    <w:rsid w:val="00444FF2"/>
    <w:rsid w:val="004451CE"/>
    <w:rsid w:val="004456F9"/>
    <w:rsid w:val="004458AE"/>
    <w:rsid w:val="00445AA7"/>
    <w:rsid w:val="00445C77"/>
    <w:rsid w:val="00445EC4"/>
    <w:rsid w:val="0044629A"/>
    <w:rsid w:val="00446386"/>
    <w:rsid w:val="004465CA"/>
    <w:rsid w:val="00446825"/>
    <w:rsid w:val="00446883"/>
    <w:rsid w:val="00446C7C"/>
    <w:rsid w:val="00446CB2"/>
    <w:rsid w:val="004470EA"/>
    <w:rsid w:val="004470F0"/>
    <w:rsid w:val="00447273"/>
    <w:rsid w:val="00447369"/>
    <w:rsid w:val="004475A3"/>
    <w:rsid w:val="004476B7"/>
    <w:rsid w:val="00447815"/>
    <w:rsid w:val="00447F91"/>
    <w:rsid w:val="0045001B"/>
    <w:rsid w:val="004501D7"/>
    <w:rsid w:val="00450224"/>
    <w:rsid w:val="0045027C"/>
    <w:rsid w:val="004502BE"/>
    <w:rsid w:val="004503F7"/>
    <w:rsid w:val="004507B5"/>
    <w:rsid w:val="00450BD1"/>
    <w:rsid w:val="00450C7F"/>
    <w:rsid w:val="0045110C"/>
    <w:rsid w:val="00451180"/>
    <w:rsid w:val="0045136C"/>
    <w:rsid w:val="0045141A"/>
    <w:rsid w:val="00451623"/>
    <w:rsid w:val="0045170D"/>
    <w:rsid w:val="00451CF3"/>
    <w:rsid w:val="00451E87"/>
    <w:rsid w:val="00451F32"/>
    <w:rsid w:val="00451FD4"/>
    <w:rsid w:val="004525CC"/>
    <w:rsid w:val="004525F4"/>
    <w:rsid w:val="00452910"/>
    <w:rsid w:val="00452B31"/>
    <w:rsid w:val="00452B90"/>
    <w:rsid w:val="00452C9B"/>
    <w:rsid w:val="00452F5D"/>
    <w:rsid w:val="00452F9C"/>
    <w:rsid w:val="00452FB8"/>
    <w:rsid w:val="00453078"/>
    <w:rsid w:val="0045308F"/>
    <w:rsid w:val="004531AD"/>
    <w:rsid w:val="0045322E"/>
    <w:rsid w:val="00453252"/>
    <w:rsid w:val="004533A1"/>
    <w:rsid w:val="004533F9"/>
    <w:rsid w:val="004535CE"/>
    <w:rsid w:val="004538D0"/>
    <w:rsid w:val="00453D45"/>
    <w:rsid w:val="00454014"/>
    <w:rsid w:val="004540CD"/>
    <w:rsid w:val="004540FC"/>
    <w:rsid w:val="00454130"/>
    <w:rsid w:val="0045437E"/>
    <w:rsid w:val="004545F6"/>
    <w:rsid w:val="004546E6"/>
    <w:rsid w:val="00454B9C"/>
    <w:rsid w:val="00454E4D"/>
    <w:rsid w:val="00454EBF"/>
    <w:rsid w:val="00454F6C"/>
    <w:rsid w:val="004551E1"/>
    <w:rsid w:val="00455246"/>
    <w:rsid w:val="0045553B"/>
    <w:rsid w:val="0045554D"/>
    <w:rsid w:val="00455556"/>
    <w:rsid w:val="0045574C"/>
    <w:rsid w:val="004557C5"/>
    <w:rsid w:val="00455BA8"/>
    <w:rsid w:val="00455C65"/>
    <w:rsid w:val="00455FB2"/>
    <w:rsid w:val="004562E9"/>
    <w:rsid w:val="00456390"/>
    <w:rsid w:val="004564F9"/>
    <w:rsid w:val="0045652A"/>
    <w:rsid w:val="004566DB"/>
    <w:rsid w:val="004568D0"/>
    <w:rsid w:val="00456DDA"/>
    <w:rsid w:val="00456E94"/>
    <w:rsid w:val="0045716D"/>
    <w:rsid w:val="00457781"/>
    <w:rsid w:val="004578A1"/>
    <w:rsid w:val="004578CF"/>
    <w:rsid w:val="00457A2E"/>
    <w:rsid w:val="00457AC7"/>
    <w:rsid w:val="00457C64"/>
    <w:rsid w:val="0046000B"/>
    <w:rsid w:val="00460091"/>
    <w:rsid w:val="0046023C"/>
    <w:rsid w:val="004604A7"/>
    <w:rsid w:val="004604E8"/>
    <w:rsid w:val="004605B8"/>
    <w:rsid w:val="004605F1"/>
    <w:rsid w:val="004606FB"/>
    <w:rsid w:val="00460A45"/>
    <w:rsid w:val="00461088"/>
    <w:rsid w:val="00461160"/>
    <w:rsid w:val="00461274"/>
    <w:rsid w:val="004613FB"/>
    <w:rsid w:val="0046155D"/>
    <w:rsid w:val="00461585"/>
    <w:rsid w:val="0046183D"/>
    <w:rsid w:val="00461905"/>
    <w:rsid w:val="00461A4C"/>
    <w:rsid w:val="00461B0F"/>
    <w:rsid w:val="00461D53"/>
    <w:rsid w:val="00461E5A"/>
    <w:rsid w:val="0046244B"/>
    <w:rsid w:val="004628D1"/>
    <w:rsid w:val="004629A0"/>
    <w:rsid w:val="00462A3E"/>
    <w:rsid w:val="00462F4C"/>
    <w:rsid w:val="0046309E"/>
    <w:rsid w:val="0046331A"/>
    <w:rsid w:val="00463797"/>
    <w:rsid w:val="00463987"/>
    <w:rsid w:val="00463A49"/>
    <w:rsid w:val="004644E6"/>
    <w:rsid w:val="0046456E"/>
    <w:rsid w:val="0046465B"/>
    <w:rsid w:val="0046488A"/>
    <w:rsid w:val="0046489E"/>
    <w:rsid w:val="00464932"/>
    <w:rsid w:val="004649CB"/>
    <w:rsid w:val="004649D9"/>
    <w:rsid w:val="00464C1C"/>
    <w:rsid w:val="00464D34"/>
    <w:rsid w:val="0046514A"/>
    <w:rsid w:val="004652F3"/>
    <w:rsid w:val="0046544D"/>
    <w:rsid w:val="004654B0"/>
    <w:rsid w:val="004658B1"/>
    <w:rsid w:val="004662C0"/>
    <w:rsid w:val="00466346"/>
    <w:rsid w:val="004665C9"/>
    <w:rsid w:val="004668ED"/>
    <w:rsid w:val="00466A9A"/>
    <w:rsid w:val="00467681"/>
    <w:rsid w:val="00467C1D"/>
    <w:rsid w:val="00467CBE"/>
    <w:rsid w:val="00467FFC"/>
    <w:rsid w:val="00470016"/>
    <w:rsid w:val="00470239"/>
    <w:rsid w:val="0047030B"/>
    <w:rsid w:val="00470488"/>
    <w:rsid w:val="004706B0"/>
    <w:rsid w:val="00470782"/>
    <w:rsid w:val="0047083B"/>
    <w:rsid w:val="00470B67"/>
    <w:rsid w:val="00470B92"/>
    <w:rsid w:val="00470B9A"/>
    <w:rsid w:val="00470DA1"/>
    <w:rsid w:val="00471082"/>
    <w:rsid w:val="00471783"/>
    <w:rsid w:val="00471971"/>
    <w:rsid w:val="00471A4E"/>
    <w:rsid w:val="00471B9F"/>
    <w:rsid w:val="00471CDE"/>
    <w:rsid w:val="00471F56"/>
    <w:rsid w:val="00471F6A"/>
    <w:rsid w:val="004721BF"/>
    <w:rsid w:val="0047263A"/>
    <w:rsid w:val="004727CE"/>
    <w:rsid w:val="004728A3"/>
    <w:rsid w:val="004728C7"/>
    <w:rsid w:val="004728D9"/>
    <w:rsid w:val="004729A7"/>
    <w:rsid w:val="00472ACE"/>
    <w:rsid w:val="00472DD3"/>
    <w:rsid w:val="004738C8"/>
    <w:rsid w:val="004738DB"/>
    <w:rsid w:val="00473988"/>
    <w:rsid w:val="00473994"/>
    <w:rsid w:val="00473D11"/>
    <w:rsid w:val="00473F95"/>
    <w:rsid w:val="0047400D"/>
    <w:rsid w:val="004742A4"/>
    <w:rsid w:val="00474319"/>
    <w:rsid w:val="0047466B"/>
    <w:rsid w:val="00474987"/>
    <w:rsid w:val="00474AB4"/>
    <w:rsid w:val="00474CB5"/>
    <w:rsid w:val="00474F3F"/>
    <w:rsid w:val="00475070"/>
    <w:rsid w:val="00475471"/>
    <w:rsid w:val="00475603"/>
    <w:rsid w:val="0047566D"/>
    <w:rsid w:val="0047583D"/>
    <w:rsid w:val="004759B8"/>
    <w:rsid w:val="004759DC"/>
    <w:rsid w:val="00475AC1"/>
    <w:rsid w:val="00475B25"/>
    <w:rsid w:val="00475D00"/>
    <w:rsid w:val="00475E78"/>
    <w:rsid w:val="00475F6F"/>
    <w:rsid w:val="004760E4"/>
    <w:rsid w:val="004762A5"/>
    <w:rsid w:val="00476B71"/>
    <w:rsid w:val="00476B73"/>
    <w:rsid w:val="00476BD7"/>
    <w:rsid w:val="00476C3A"/>
    <w:rsid w:val="00476DD6"/>
    <w:rsid w:val="00476F2D"/>
    <w:rsid w:val="004770F6"/>
    <w:rsid w:val="004774CD"/>
    <w:rsid w:val="004775C9"/>
    <w:rsid w:val="004776C8"/>
    <w:rsid w:val="00477854"/>
    <w:rsid w:val="00477A4C"/>
    <w:rsid w:val="00477AB3"/>
    <w:rsid w:val="004800F4"/>
    <w:rsid w:val="004802FF"/>
    <w:rsid w:val="004804E3"/>
    <w:rsid w:val="00480736"/>
    <w:rsid w:val="004808E2"/>
    <w:rsid w:val="00480BE6"/>
    <w:rsid w:val="00480E3A"/>
    <w:rsid w:val="00480F2B"/>
    <w:rsid w:val="0048110D"/>
    <w:rsid w:val="00481410"/>
    <w:rsid w:val="0048151E"/>
    <w:rsid w:val="004816BB"/>
    <w:rsid w:val="00481912"/>
    <w:rsid w:val="00481B2B"/>
    <w:rsid w:val="00481BCD"/>
    <w:rsid w:val="004820BA"/>
    <w:rsid w:val="00482276"/>
    <w:rsid w:val="00482285"/>
    <w:rsid w:val="004823E3"/>
    <w:rsid w:val="0048257A"/>
    <w:rsid w:val="004826F4"/>
    <w:rsid w:val="00482802"/>
    <w:rsid w:val="00482D18"/>
    <w:rsid w:val="00482F8F"/>
    <w:rsid w:val="004830E6"/>
    <w:rsid w:val="00483214"/>
    <w:rsid w:val="004833EF"/>
    <w:rsid w:val="00483528"/>
    <w:rsid w:val="0048398D"/>
    <w:rsid w:val="004841B9"/>
    <w:rsid w:val="004848FC"/>
    <w:rsid w:val="00484E55"/>
    <w:rsid w:val="00484F1D"/>
    <w:rsid w:val="00485026"/>
    <w:rsid w:val="0048525F"/>
    <w:rsid w:val="004853A4"/>
    <w:rsid w:val="0048549B"/>
    <w:rsid w:val="004854D6"/>
    <w:rsid w:val="0048555E"/>
    <w:rsid w:val="00485652"/>
    <w:rsid w:val="00485B41"/>
    <w:rsid w:val="00485BE8"/>
    <w:rsid w:val="00485CF8"/>
    <w:rsid w:val="00485F12"/>
    <w:rsid w:val="00485F85"/>
    <w:rsid w:val="00485FF5"/>
    <w:rsid w:val="0048645F"/>
    <w:rsid w:val="0048653D"/>
    <w:rsid w:val="00486562"/>
    <w:rsid w:val="00486766"/>
    <w:rsid w:val="004867AA"/>
    <w:rsid w:val="0048681B"/>
    <w:rsid w:val="00486C31"/>
    <w:rsid w:val="00486D94"/>
    <w:rsid w:val="00486FAF"/>
    <w:rsid w:val="00487220"/>
    <w:rsid w:val="0048722E"/>
    <w:rsid w:val="004874D2"/>
    <w:rsid w:val="00487536"/>
    <w:rsid w:val="004877A4"/>
    <w:rsid w:val="004877F8"/>
    <w:rsid w:val="004879B5"/>
    <w:rsid w:val="00487AE2"/>
    <w:rsid w:val="00487D99"/>
    <w:rsid w:val="00487DA5"/>
    <w:rsid w:val="00487DAC"/>
    <w:rsid w:val="00487E69"/>
    <w:rsid w:val="004903E6"/>
    <w:rsid w:val="0049049D"/>
    <w:rsid w:val="004909AA"/>
    <w:rsid w:val="004909CA"/>
    <w:rsid w:val="00490BBB"/>
    <w:rsid w:val="00490C48"/>
    <w:rsid w:val="004913E6"/>
    <w:rsid w:val="004915FE"/>
    <w:rsid w:val="0049160E"/>
    <w:rsid w:val="004916B1"/>
    <w:rsid w:val="00491978"/>
    <w:rsid w:val="00491A36"/>
    <w:rsid w:val="00491CB7"/>
    <w:rsid w:val="004921D9"/>
    <w:rsid w:val="00492592"/>
    <w:rsid w:val="00492599"/>
    <w:rsid w:val="004927C4"/>
    <w:rsid w:val="00492E8A"/>
    <w:rsid w:val="00493136"/>
    <w:rsid w:val="00493817"/>
    <w:rsid w:val="0049395E"/>
    <w:rsid w:val="00493999"/>
    <w:rsid w:val="00493ECA"/>
    <w:rsid w:val="004942A8"/>
    <w:rsid w:val="004942CC"/>
    <w:rsid w:val="0049447B"/>
    <w:rsid w:val="004944BB"/>
    <w:rsid w:val="00494986"/>
    <w:rsid w:val="00494A18"/>
    <w:rsid w:val="00494B02"/>
    <w:rsid w:val="00494B23"/>
    <w:rsid w:val="00494F41"/>
    <w:rsid w:val="004952E8"/>
    <w:rsid w:val="00495783"/>
    <w:rsid w:val="00495B5F"/>
    <w:rsid w:val="00496027"/>
    <w:rsid w:val="0049623B"/>
    <w:rsid w:val="00496328"/>
    <w:rsid w:val="00496684"/>
    <w:rsid w:val="00496775"/>
    <w:rsid w:val="004967CC"/>
    <w:rsid w:val="004968CC"/>
    <w:rsid w:val="00496A6D"/>
    <w:rsid w:val="00496CB5"/>
    <w:rsid w:val="00496FB9"/>
    <w:rsid w:val="0049722D"/>
    <w:rsid w:val="004972A9"/>
    <w:rsid w:val="004975A9"/>
    <w:rsid w:val="004977A5"/>
    <w:rsid w:val="00497AFF"/>
    <w:rsid w:val="00497B0C"/>
    <w:rsid w:val="00497E18"/>
    <w:rsid w:val="00497E8C"/>
    <w:rsid w:val="00497EA1"/>
    <w:rsid w:val="004A0073"/>
    <w:rsid w:val="004A0103"/>
    <w:rsid w:val="004A0125"/>
    <w:rsid w:val="004A0242"/>
    <w:rsid w:val="004A030B"/>
    <w:rsid w:val="004A03BA"/>
    <w:rsid w:val="004A044C"/>
    <w:rsid w:val="004A0748"/>
    <w:rsid w:val="004A083A"/>
    <w:rsid w:val="004A0842"/>
    <w:rsid w:val="004A0854"/>
    <w:rsid w:val="004A0A30"/>
    <w:rsid w:val="004A0D87"/>
    <w:rsid w:val="004A0F72"/>
    <w:rsid w:val="004A12AD"/>
    <w:rsid w:val="004A14F3"/>
    <w:rsid w:val="004A1841"/>
    <w:rsid w:val="004A1843"/>
    <w:rsid w:val="004A1CA4"/>
    <w:rsid w:val="004A1FC4"/>
    <w:rsid w:val="004A1FD6"/>
    <w:rsid w:val="004A2149"/>
    <w:rsid w:val="004A22D7"/>
    <w:rsid w:val="004A23F8"/>
    <w:rsid w:val="004A272B"/>
    <w:rsid w:val="004A2742"/>
    <w:rsid w:val="004A27DE"/>
    <w:rsid w:val="004A2952"/>
    <w:rsid w:val="004A2A83"/>
    <w:rsid w:val="004A2DF7"/>
    <w:rsid w:val="004A2ED3"/>
    <w:rsid w:val="004A30F4"/>
    <w:rsid w:val="004A3265"/>
    <w:rsid w:val="004A3337"/>
    <w:rsid w:val="004A3587"/>
    <w:rsid w:val="004A35DA"/>
    <w:rsid w:val="004A36B5"/>
    <w:rsid w:val="004A3908"/>
    <w:rsid w:val="004A3E5E"/>
    <w:rsid w:val="004A3EEE"/>
    <w:rsid w:val="004A3FB3"/>
    <w:rsid w:val="004A42A2"/>
    <w:rsid w:val="004A452D"/>
    <w:rsid w:val="004A48FF"/>
    <w:rsid w:val="004A495F"/>
    <w:rsid w:val="004A49D4"/>
    <w:rsid w:val="004A51C4"/>
    <w:rsid w:val="004A5659"/>
    <w:rsid w:val="004A565A"/>
    <w:rsid w:val="004A578B"/>
    <w:rsid w:val="004A57EF"/>
    <w:rsid w:val="004A5942"/>
    <w:rsid w:val="004A598E"/>
    <w:rsid w:val="004A5B06"/>
    <w:rsid w:val="004A5BDF"/>
    <w:rsid w:val="004A5E21"/>
    <w:rsid w:val="004A60C6"/>
    <w:rsid w:val="004A6270"/>
    <w:rsid w:val="004A644A"/>
    <w:rsid w:val="004A66B6"/>
    <w:rsid w:val="004A66D9"/>
    <w:rsid w:val="004A6825"/>
    <w:rsid w:val="004A68AD"/>
    <w:rsid w:val="004A6983"/>
    <w:rsid w:val="004A6AD3"/>
    <w:rsid w:val="004A6FDC"/>
    <w:rsid w:val="004A72A2"/>
    <w:rsid w:val="004A7428"/>
    <w:rsid w:val="004A744C"/>
    <w:rsid w:val="004A7A2B"/>
    <w:rsid w:val="004A7D8E"/>
    <w:rsid w:val="004A7E3D"/>
    <w:rsid w:val="004A7E6A"/>
    <w:rsid w:val="004A7FD7"/>
    <w:rsid w:val="004B00AE"/>
    <w:rsid w:val="004B058C"/>
    <w:rsid w:val="004B0DC4"/>
    <w:rsid w:val="004B1038"/>
    <w:rsid w:val="004B1449"/>
    <w:rsid w:val="004B15C1"/>
    <w:rsid w:val="004B1691"/>
    <w:rsid w:val="004B17C9"/>
    <w:rsid w:val="004B1897"/>
    <w:rsid w:val="004B18DB"/>
    <w:rsid w:val="004B1F7A"/>
    <w:rsid w:val="004B20E0"/>
    <w:rsid w:val="004B2250"/>
    <w:rsid w:val="004B2314"/>
    <w:rsid w:val="004B255C"/>
    <w:rsid w:val="004B27E7"/>
    <w:rsid w:val="004B289A"/>
    <w:rsid w:val="004B2BFA"/>
    <w:rsid w:val="004B2C4B"/>
    <w:rsid w:val="004B2C85"/>
    <w:rsid w:val="004B2E73"/>
    <w:rsid w:val="004B315D"/>
    <w:rsid w:val="004B3280"/>
    <w:rsid w:val="004B330F"/>
    <w:rsid w:val="004B332B"/>
    <w:rsid w:val="004B354D"/>
    <w:rsid w:val="004B36DA"/>
    <w:rsid w:val="004B3890"/>
    <w:rsid w:val="004B3A8C"/>
    <w:rsid w:val="004B3BDF"/>
    <w:rsid w:val="004B3C0B"/>
    <w:rsid w:val="004B3EAD"/>
    <w:rsid w:val="004B3FDC"/>
    <w:rsid w:val="004B4231"/>
    <w:rsid w:val="004B4855"/>
    <w:rsid w:val="004B4BDB"/>
    <w:rsid w:val="004B4F67"/>
    <w:rsid w:val="004B4FAC"/>
    <w:rsid w:val="004B5014"/>
    <w:rsid w:val="004B5021"/>
    <w:rsid w:val="004B52D5"/>
    <w:rsid w:val="004B53DB"/>
    <w:rsid w:val="004B5414"/>
    <w:rsid w:val="004B546D"/>
    <w:rsid w:val="004B5705"/>
    <w:rsid w:val="004B5B95"/>
    <w:rsid w:val="004B5D2A"/>
    <w:rsid w:val="004B5DF8"/>
    <w:rsid w:val="004B5EBD"/>
    <w:rsid w:val="004B61DC"/>
    <w:rsid w:val="004B62BA"/>
    <w:rsid w:val="004B63A9"/>
    <w:rsid w:val="004B63F1"/>
    <w:rsid w:val="004B6479"/>
    <w:rsid w:val="004B677F"/>
    <w:rsid w:val="004B688C"/>
    <w:rsid w:val="004B69D8"/>
    <w:rsid w:val="004B6C17"/>
    <w:rsid w:val="004B71EA"/>
    <w:rsid w:val="004B7240"/>
    <w:rsid w:val="004B7303"/>
    <w:rsid w:val="004B7346"/>
    <w:rsid w:val="004B7377"/>
    <w:rsid w:val="004B738A"/>
    <w:rsid w:val="004B75E4"/>
    <w:rsid w:val="004B7ABE"/>
    <w:rsid w:val="004C00F0"/>
    <w:rsid w:val="004C037A"/>
    <w:rsid w:val="004C04FE"/>
    <w:rsid w:val="004C0546"/>
    <w:rsid w:val="004C07AF"/>
    <w:rsid w:val="004C0C05"/>
    <w:rsid w:val="004C0D68"/>
    <w:rsid w:val="004C1241"/>
    <w:rsid w:val="004C12E7"/>
    <w:rsid w:val="004C1361"/>
    <w:rsid w:val="004C17DC"/>
    <w:rsid w:val="004C17FA"/>
    <w:rsid w:val="004C1872"/>
    <w:rsid w:val="004C1899"/>
    <w:rsid w:val="004C1B17"/>
    <w:rsid w:val="004C1DAE"/>
    <w:rsid w:val="004C1F82"/>
    <w:rsid w:val="004C1FAA"/>
    <w:rsid w:val="004C20B5"/>
    <w:rsid w:val="004C2389"/>
    <w:rsid w:val="004C238F"/>
    <w:rsid w:val="004C23A2"/>
    <w:rsid w:val="004C27E5"/>
    <w:rsid w:val="004C2965"/>
    <w:rsid w:val="004C2A02"/>
    <w:rsid w:val="004C2B38"/>
    <w:rsid w:val="004C2BE3"/>
    <w:rsid w:val="004C30F4"/>
    <w:rsid w:val="004C3185"/>
    <w:rsid w:val="004C32AB"/>
    <w:rsid w:val="004C34F7"/>
    <w:rsid w:val="004C3841"/>
    <w:rsid w:val="004C38D3"/>
    <w:rsid w:val="004C3C5E"/>
    <w:rsid w:val="004C3CDC"/>
    <w:rsid w:val="004C3DAA"/>
    <w:rsid w:val="004C3EBE"/>
    <w:rsid w:val="004C4370"/>
    <w:rsid w:val="004C4612"/>
    <w:rsid w:val="004C467D"/>
    <w:rsid w:val="004C47BF"/>
    <w:rsid w:val="004C48F5"/>
    <w:rsid w:val="004C4963"/>
    <w:rsid w:val="004C49C7"/>
    <w:rsid w:val="004C4B51"/>
    <w:rsid w:val="004C4C92"/>
    <w:rsid w:val="004C4FA8"/>
    <w:rsid w:val="004C5218"/>
    <w:rsid w:val="004C5466"/>
    <w:rsid w:val="004C54FD"/>
    <w:rsid w:val="004C569F"/>
    <w:rsid w:val="004C571A"/>
    <w:rsid w:val="004C5787"/>
    <w:rsid w:val="004C59F5"/>
    <w:rsid w:val="004C5F3D"/>
    <w:rsid w:val="004C6163"/>
    <w:rsid w:val="004C62E1"/>
    <w:rsid w:val="004C63F0"/>
    <w:rsid w:val="004C64D2"/>
    <w:rsid w:val="004C6629"/>
    <w:rsid w:val="004C6766"/>
    <w:rsid w:val="004C695E"/>
    <w:rsid w:val="004C69BF"/>
    <w:rsid w:val="004C6F08"/>
    <w:rsid w:val="004C6F81"/>
    <w:rsid w:val="004C70FD"/>
    <w:rsid w:val="004C7599"/>
    <w:rsid w:val="004C7918"/>
    <w:rsid w:val="004C797B"/>
    <w:rsid w:val="004C7CCC"/>
    <w:rsid w:val="004C7E14"/>
    <w:rsid w:val="004D00D7"/>
    <w:rsid w:val="004D06F3"/>
    <w:rsid w:val="004D0980"/>
    <w:rsid w:val="004D0C79"/>
    <w:rsid w:val="004D11A0"/>
    <w:rsid w:val="004D1228"/>
    <w:rsid w:val="004D17B0"/>
    <w:rsid w:val="004D2261"/>
    <w:rsid w:val="004D228E"/>
    <w:rsid w:val="004D2506"/>
    <w:rsid w:val="004D27E9"/>
    <w:rsid w:val="004D2A83"/>
    <w:rsid w:val="004D2CB9"/>
    <w:rsid w:val="004D3708"/>
    <w:rsid w:val="004D382B"/>
    <w:rsid w:val="004D39DA"/>
    <w:rsid w:val="004D4109"/>
    <w:rsid w:val="004D4283"/>
    <w:rsid w:val="004D44A4"/>
    <w:rsid w:val="004D48BE"/>
    <w:rsid w:val="004D4CD0"/>
    <w:rsid w:val="004D4CEC"/>
    <w:rsid w:val="004D4D39"/>
    <w:rsid w:val="004D4F1D"/>
    <w:rsid w:val="004D52F9"/>
    <w:rsid w:val="004D5327"/>
    <w:rsid w:val="004D5674"/>
    <w:rsid w:val="004D56F8"/>
    <w:rsid w:val="004D57AE"/>
    <w:rsid w:val="004D57DF"/>
    <w:rsid w:val="004D5FF3"/>
    <w:rsid w:val="004D66F9"/>
    <w:rsid w:val="004D67F1"/>
    <w:rsid w:val="004D6A21"/>
    <w:rsid w:val="004D6B1F"/>
    <w:rsid w:val="004D6DD5"/>
    <w:rsid w:val="004D6E82"/>
    <w:rsid w:val="004D75AA"/>
    <w:rsid w:val="004D771B"/>
    <w:rsid w:val="004D7828"/>
    <w:rsid w:val="004D7B46"/>
    <w:rsid w:val="004D7BDE"/>
    <w:rsid w:val="004D7D72"/>
    <w:rsid w:val="004D7F0C"/>
    <w:rsid w:val="004D7F66"/>
    <w:rsid w:val="004E09B4"/>
    <w:rsid w:val="004E0B5C"/>
    <w:rsid w:val="004E0BAA"/>
    <w:rsid w:val="004E0CDD"/>
    <w:rsid w:val="004E0DE0"/>
    <w:rsid w:val="004E0F33"/>
    <w:rsid w:val="004E0F73"/>
    <w:rsid w:val="004E0FB6"/>
    <w:rsid w:val="004E11CC"/>
    <w:rsid w:val="004E1585"/>
    <w:rsid w:val="004E18A4"/>
    <w:rsid w:val="004E19E3"/>
    <w:rsid w:val="004E1D93"/>
    <w:rsid w:val="004E23EE"/>
    <w:rsid w:val="004E2741"/>
    <w:rsid w:val="004E2CFE"/>
    <w:rsid w:val="004E2D48"/>
    <w:rsid w:val="004E2FCE"/>
    <w:rsid w:val="004E306A"/>
    <w:rsid w:val="004E30E7"/>
    <w:rsid w:val="004E3418"/>
    <w:rsid w:val="004E3577"/>
    <w:rsid w:val="004E35F5"/>
    <w:rsid w:val="004E3BD8"/>
    <w:rsid w:val="004E3DB3"/>
    <w:rsid w:val="004E422B"/>
    <w:rsid w:val="004E4698"/>
    <w:rsid w:val="004E46A7"/>
    <w:rsid w:val="004E4BE5"/>
    <w:rsid w:val="004E5028"/>
    <w:rsid w:val="004E51D9"/>
    <w:rsid w:val="004E5473"/>
    <w:rsid w:val="004E5BD7"/>
    <w:rsid w:val="004E5C5A"/>
    <w:rsid w:val="004E5C7F"/>
    <w:rsid w:val="004E5EFA"/>
    <w:rsid w:val="004E5F37"/>
    <w:rsid w:val="004E6037"/>
    <w:rsid w:val="004E6151"/>
    <w:rsid w:val="004E6988"/>
    <w:rsid w:val="004E6ADF"/>
    <w:rsid w:val="004E6D40"/>
    <w:rsid w:val="004E6DFE"/>
    <w:rsid w:val="004F07A2"/>
    <w:rsid w:val="004F0AD0"/>
    <w:rsid w:val="004F0B0F"/>
    <w:rsid w:val="004F0EE3"/>
    <w:rsid w:val="004F0FD2"/>
    <w:rsid w:val="004F1222"/>
    <w:rsid w:val="004F12E9"/>
    <w:rsid w:val="004F14AE"/>
    <w:rsid w:val="004F1529"/>
    <w:rsid w:val="004F154A"/>
    <w:rsid w:val="004F1598"/>
    <w:rsid w:val="004F16B8"/>
    <w:rsid w:val="004F18BC"/>
    <w:rsid w:val="004F1A49"/>
    <w:rsid w:val="004F1D48"/>
    <w:rsid w:val="004F1DDA"/>
    <w:rsid w:val="004F1EEF"/>
    <w:rsid w:val="004F1FD4"/>
    <w:rsid w:val="004F247B"/>
    <w:rsid w:val="004F24BB"/>
    <w:rsid w:val="004F2525"/>
    <w:rsid w:val="004F273F"/>
    <w:rsid w:val="004F2C1F"/>
    <w:rsid w:val="004F2E3F"/>
    <w:rsid w:val="004F335D"/>
    <w:rsid w:val="004F337E"/>
    <w:rsid w:val="004F36B4"/>
    <w:rsid w:val="004F3817"/>
    <w:rsid w:val="004F3A5C"/>
    <w:rsid w:val="004F3C7E"/>
    <w:rsid w:val="004F3E6B"/>
    <w:rsid w:val="004F3F61"/>
    <w:rsid w:val="004F408E"/>
    <w:rsid w:val="004F40A0"/>
    <w:rsid w:val="004F4441"/>
    <w:rsid w:val="004F4A8F"/>
    <w:rsid w:val="004F4C55"/>
    <w:rsid w:val="004F4ECB"/>
    <w:rsid w:val="004F4F8E"/>
    <w:rsid w:val="004F50EC"/>
    <w:rsid w:val="004F50F7"/>
    <w:rsid w:val="004F5135"/>
    <w:rsid w:val="004F53E5"/>
    <w:rsid w:val="004F557F"/>
    <w:rsid w:val="004F5971"/>
    <w:rsid w:val="004F5DC4"/>
    <w:rsid w:val="004F62A9"/>
    <w:rsid w:val="004F6345"/>
    <w:rsid w:val="004F64DF"/>
    <w:rsid w:val="004F6574"/>
    <w:rsid w:val="004F65D5"/>
    <w:rsid w:val="004F665A"/>
    <w:rsid w:val="004F69D9"/>
    <w:rsid w:val="004F6AD9"/>
    <w:rsid w:val="004F6BF2"/>
    <w:rsid w:val="004F6DF8"/>
    <w:rsid w:val="004F700F"/>
    <w:rsid w:val="004F738C"/>
    <w:rsid w:val="004F74DA"/>
    <w:rsid w:val="004F7593"/>
    <w:rsid w:val="004F761C"/>
    <w:rsid w:val="004F76DE"/>
    <w:rsid w:val="004F76E5"/>
    <w:rsid w:val="004F7848"/>
    <w:rsid w:val="004F7969"/>
    <w:rsid w:val="004F7ACC"/>
    <w:rsid w:val="004F7C9A"/>
    <w:rsid w:val="0050071D"/>
    <w:rsid w:val="00500759"/>
    <w:rsid w:val="0050085D"/>
    <w:rsid w:val="00500FD9"/>
    <w:rsid w:val="005010A7"/>
    <w:rsid w:val="005011CB"/>
    <w:rsid w:val="00501248"/>
    <w:rsid w:val="005012DF"/>
    <w:rsid w:val="0050132A"/>
    <w:rsid w:val="0050170C"/>
    <w:rsid w:val="005018DC"/>
    <w:rsid w:val="00502101"/>
    <w:rsid w:val="005022C0"/>
    <w:rsid w:val="00502463"/>
    <w:rsid w:val="0050247D"/>
    <w:rsid w:val="005025CA"/>
    <w:rsid w:val="005028E3"/>
    <w:rsid w:val="0050296C"/>
    <w:rsid w:val="00502EBF"/>
    <w:rsid w:val="00502ED7"/>
    <w:rsid w:val="00503097"/>
    <w:rsid w:val="0050385E"/>
    <w:rsid w:val="00503B80"/>
    <w:rsid w:val="00503CC8"/>
    <w:rsid w:val="00503D62"/>
    <w:rsid w:val="00503E45"/>
    <w:rsid w:val="00503ECE"/>
    <w:rsid w:val="00503FAF"/>
    <w:rsid w:val="005041B7"/>
    <w:rsid w:val="005043C6"/>
    <w:rsid w:val="00504B27"/>
    <w:rsid w:val="00504EFF"/>
    <w:rsid w:val="00504FC3"/>
    <w:rsid w:val="005050B6"/>
    <w:rsid w:val="00505220"/>
    <w:rsid w:val="00505388"/>
    <w:rsid w:val="0050567B"/>
    <w:rsid w:val="00505A55"/>
    <w:rsid w:val="00505B3E"/>
    <w:rsid w:val="00505C74"/>
    <w:rsid w:val="00505CD4"/>
    <w:rsid w:val="00505DA2"/>
    <w:rsid w:val="00506153"/>
    <w:rsid w:val="00506617"/>
    <w:rsid w:val="005068ED"/>
    <w:rsid w:val="00506B28"/>
    <w:rsid w:val="00506CAB"/>
    <w:rsid w:val="00506FFF"/>
    <w:rsid w:val="00507083"/>
    <w:rsid w:val="005070C7"/>
    <w:rsid w:val="005073A8"/>
    <w:rsid w:val="0050743D"/>
    <w:rsid w:val="00507520"/>
    <w:rsid w:val="0050792C"/>
    <w:rsid w:val="00507D0A"/>
    <w:rsid w:val="00507D3F"/>
    <w:rsid w:val="005100B8"/>
    <w:rsid w:val="005104BC"/>
    <w:rsid w:val="005105BB"/>
    <w:rsid w:val="005105E0"/>
    <w:rsid w:val="0051092B"/>
    <w:rsid w:val="005109BB"/>
    <w:rsid w:val="00510AD9"/>
    <w:rsid w:val="00510FD0"/>
    <w:rsid w:val="0051125A"/>
    <w:rsid w:val="00511355"/>
    <w:rsid w:val="005113A6"/>
    <w:rsid w:val="0051157D"/>
    <w:rsid w:val="005115A9"/>
    <w:rsid w:val="00511630"/>
    <w:rsid w:val="00511706"/>
    <w:rsid w:val="005119AC"/>
    <w:rsid w:val="00511AA3"/>
    <w:rsid w:val="00511EDF"/>
    <w:rsid w:val="00511F0B"/>
    <w:rsid w:val="00511F6E"/>
    <w:rsid w:val="005120C8"/>
    <w:rsid w:val="00512333"/>
    <w:rsid w:val="0051249D"/>
    <w:rsid w:val="005125D2"/>
    <w:rsid w:val="00512662"/>
    <w:rsid w:val="00512743"/>
    <w:rsid w:val="005127B6"/>
    <w:rsid w:val="00512BFC"/>
    <w:rsid w:val="00512DA6"/>
    <w:rsid w:val="005133C1"/>
    <w:rsid w:val="005133F5"/>
    <w:rsid w:val="0051351F"/>
    <w:rsid w:val="0051389C"/>
    <w:rsid w:val="0051394C"/>
    <w:rsid w:val="00513B82"/>
    <w:rsid w:val="00513D60"/>
    <w:rsid w:val="00513F5C"/>
    <w:rsid w:val="00514084"/>
    <w:rsid w:val="00514341"/>
    <w:rsid w:val="005143DB"/>
    <w:rsid w:val="00514460"/>
    <w:rsid w:val="00514807"/>
    <w:rsid w:val="00514979"/>
    <w:rsid w:val="00514AFF"/>
    <w:rsid w:val="00514D7F"/>
    <w:rsid w:val="00514DFA"/>
    <w:rsid w:val="00514FE9"/>
    <w:rsid w:val="005150D2"/>
    <w:rsid w:val="0051521B"/>
    <w:rsid w:val="00515663"/>
    <w:rsid w:val="00515A49"/>
    <w:rsid w:val="00515D14"/>
    <w:rsid w:val="00516210"/>
    <w:rsid w:val="0051638D"/>
    <w:rsid w:val="005166F7"/>
    <w:rsid w:val="00516B5F"/>
    <w:rsid w:val="00516BA5"/>
    <w:rsid w:val="00516F8B"/>
    <w:rsid w:val="005170A1"/>
    <w:rsid w:val="0051720D"/>
    <w:rsid w:val="00517235"/>
    <w:rsid w:val="0051751A"/>
    <w:rsid w:val="00517905"/>
    <w:rsid w:val="00517979"/>
    <w:rsid w:val="00517A70"/>
    <w:rsid w:val="00517CAD"/>
    <w:rsid w:val="00517E64"/>
    <w:rsid w:val="00517EA4"/>
    <w:rsid w:val="00517F59"/>
    <w:rsid w:val="00520169"/>
    <w:rsid w:val="00520303"/>
    <w:rsid w:val="005204DF"/>
    <w:rsid w:val="00521080"/>
    <w:rsid w:val="005210D9"/>
    <w:rsid w:val="005211B0"/>
    <w:rsid w:val="00521493"/>
    <w:rsid w:val="0052165B"/>
    <w:rsid w:val="00521AB9"/>
    <w:rsid w:val="00521E14"/>
    <w:rsid w:val="00522088"/>
    <w:rsid w:val="0052217B"/>
    <w:rsid w:val="00522780"/>
    <w:rsid w:val="00522C14"/>
    <w:rsid w:val="00522C1D"/>
    <w:rsid w:val="00522C6C"/>
    <w:rsid w:val="00522FBB"/>
    <w:rsid w:val="00523124"/>
    <w:rsid w:val="00523134"/>
    <w:rsid w:val="00523235"/>
    <w:rsid w:val="0052374A"/>
    <w:rsid w:val="00523882"/>
    <w:rsid w:val="0052388E"/>
    <w:rsid w:val="005239F8"/>
    <w:rsid w:val="00523BBA"/>
    <w:rsid w:val="00523C5F"/>
    <w:rsid w:val="00523EDE"/>
    <w:rsid w:val="0052420A"/>
    <w:rsid w:val="00524294"/>
    <w:rsid w:val="00524742"/>
    <w:rsid w:val="0052488E"/>
    <w:rsid w:val="005248D9"/>
    <w:rsid w:val="00524CF2"/>
    <w:rsid w:val="00524CFB"/>
    <w:rsid w:val="00524E75"/>
    <w:rsid w:val="0052512B"/>
    <w:rsid w:val="0052521E"/>
    <w:rsid w:val="0052525E"/>
    <w:rsid w:val="005253D4"/>
    <w:rsid w:val="00525495"/>
    <w:rsid w:val="005254B2"/>
    <w:rsid w:val="005255E9"/>
    <w:rsid w:val="005256FA"/>
    <w:rsid w:val="00525830"/>
    <w:rsid w:val="005258E7"/>
    <w:rsid w:val="00525905"/>
    <w:rsid w:val="0052599C"/>
    <w:rsid w:val="0052599E"/>
    <w:rsid w:val="00525BE5"/>
    <w:rsid w:val="00525F10"/>
    <w:rsid w:val="00525F3D"/>
    <w:rsid w:val="005263DA"/>
    <w:rsid w:val="005264CC"/>
    <w:rsid w:val="005265AD"/>
    <w:rsid w:val="00526F9C"/>
    <w:rsid w:val="00526FC3"/>
    <w:rsid w:val="005270C8"/>
    <w:rsid w:val="00527135"/>
    <w:rsid w:val="005275B7"/>
    <w:rsid w:val="00527690"/>
    <w:rsid w:val="00527812"/>
    <w:rsid w:val="00527899"/>
    <w:rsid w:val="00527B5E"/>
    <w:rsid w:val="00527BC4"/>
    <w:rsid w:val="00527C2B"/>
    <w:rsid w:val="00527DB6"/>
    <w:rsid w:val="00527E1C"/>
    <w:rsid w:val="0053004C"/>
    <w:rsid w:val="00530156"/>
    <w:rsid w:val="005301A1"/>
    <w:rsid w:val="00530491"/>
    <w:rsid w:val="00530738"/>
    <w:rsid w:val="00530903"/>
    <w:rsid w:val="00530907"/>
    <w:rsid w:val="00530B7C"/>
    <w:rsid w:val="00531340"/>
    <w:rsid w:val="00531849"/>
    <w:rsid w:val="00531AFE"/>
    <w:rsid w:val="00531B32"/>
    <w:rsid w:val="00531F98"/>
    <w:rsid w:val="00531FB7"/>
    <w:rsid w:val="00532244"/>
    <w:rsid w:val="0053243F"/>
    <w:rsid w:val="00532954"/>
    <w:rsid w:val="00532B9B"/>
    <w:rsid w:val="00532EDA"/>
    <w:rsid w:val="00532EEE"/>
    <w:rsid w:val="00532F44"/>
    <w:rsid w:val="005337BE"/>
    <w:rsid w:val="005339FA"/>
    <w:rsid w:val="00533A71"/>
    <w:rsid w:val="00533BAD"/>
    <w:rsid w:val="00533F6F"/>
    <w:rsid w:val="00534117"/>
    <w:rsid w:val="00534299"/>
    <w:rsid w:val="0053430C"/>
    <w:rsid w:val="005343E3"/>
    <w:rsid w:val="005347CA"/>
    <w:rsid w:val="00534980"/>
    <w:rsid w:val="00534AFF"/>
    <w:rsid w:val="00534BA4"/>
    <w:rsid w:val="00534D22"/>
    <w:rsid w:val="00534FC6"/>
    <w:rsid w:val="005351A4"/>
    <w:rsid w:val="00535359"/>
    <w:rsid w:val="00535576"/>
    <w:rsid w:val="0053587E"/>
    <w:rsid w:val="00535989"/>
    <w:rsid w:val="00535AFD"/>
    <w:rsid w:val="00535DBD"/>
    <w:rsid w:val="00536408"/>
    <w:rsid w:val="00536516"/>
    <w:rsid w:val="00536760"/>
    <w:rsid w:val="005368AA"/>
    <w:rsid w:val="00536C00"/>
    <w:rsid w:val="00536DB5"/>
    <w:rsid w:val="00536FE6"/>
    <w:rsid w:val="0053726D"/>
    <w:rsid w:val="005372CF"/>
    <w:rsid w:val="00537805"/>
    <w:rsid w:val="00537A64"/>
    <w:rsid w:val="00537B02"/>
    <w:rsid w:val="00537DCE"/>
    <w:rsid w:val="00537E2A"/>
    <w:rsid w:val="00537E3B"/>
    <w:rsid w:val="00537ED4"/>
    <w:rsid w:val="00537F5A"/>
    <w:rsid w:val="00540005"/>
    <w:rsid w:val="00540042"/>
    <w:rsid w:val="005400E1"/>
    <w:rsid w:val="005401C4"/>
    <w:rsid w:val="0054029B"/>
    <w:rsid w:val="00540710"/>
    <w:rsid w:val="005407BC"/>
    <w:rsid w:val="00540D9A"/>
    <w:rsid w:val="00540E44"/>
    <w:rsid w:val="00540FEC"/>
    <w:rsid w:val="0054102F"/>
    <w:rsid w:val="0054121F"/>
    <w:rsid w:val="005412AE"/>
    <w:rsid w:val="00541397"/>
    <w:rsid w:val="0054143E"/>
    <w:rsid w:val="005417F2"/>
    <w:rsid w:val="00541913"/>
    <w:rsid w:val="00541933"/>
    <w:rsid w:val="00541AD9"/>
    <w:rsid w:val="00541B50"/>
    <w:rsid w:val="00541C5C"/>
    <w:rsid w:val="00541CA1"/>
    <w:rsid w:val="00541DA7"/>
    <w:rsid w:val="00541E4A"/>
    <w:rsid w:val="00541EE7"/>
    <w:rsid w:val="00542109"/>
    <w:rsid w:val="00542191"/>
    <w:rsid w:val="005422C2"/>
    <w:rsid w:val="0054251E"/>
    <w:rsid w:val="00542593"/>
    <w:rsid w:val="00542615"/>
    <w:rsid w:val="00542A12"/>
    <w:rsid w:val="00542B81"/>
    <w:rsid w:val="00542FCF"/>
    <w:rsid w:val="005430A8"/>
    <w:rsid w:val="005430BC"/>
    <w:rsid w:val="0054328D"/>
    <w:rsid w:val="00543335"/>
    <w:rsid w:val="00543673"/>
    <w:rsid w:val="00543890"/>
    <w:rsid w:val="00543A08"/>
    <w:rsid w:val="00543A94"/>
    <w:rsid w:val="00543E09"/>
    <w:rsid w:val="00543EEA"/>
    <w:rsid w:val="0054410A"/>
    <w:rsid w:val="00544219"/>
    <w:rsid w:val="0054424F"/>
    <w:rsid w:val="005444B8"/>
    <w:rsid w:val="005444C8"/>
    <w:rsid w:val="00544B0A"/>
    <w:rsid w:val="00544E9D"/>
    <w:rsid w:val="00545063"/>
    <w:rsid w:val="005451F4"/>
    <w:rsid w:val="00545221"/>
    <w:rsid w:val="00545CB7"/>
    <w:rsid w:val="00545EDD"/>
    <w:rsid w:val="005462A5"/>
    <w:rsid w:val="00546343"/>
    <w:rsid w:val="00546683"/>
    <w:rsid w:val="005469A1"/>
    <w:rsid w:val="00546D11"/>
    <w:rsid w:val="00547455"/>
    <w:rsid w:val="0054761F"/>
    <w:rsid w:val="00547677"/>
    <w:rsid w:val="00547687"/>
    <w:rsid w:val="005479F3"/>
    <w:rsid w:val="00547B99"/>
    <w:rsid w:val="00547C35"/>
    <w:rsid w:val="00547CF9"/>
    <w:rsid w:val="00547D42"/>
    <w:rsid w:val="00547D86"/>
    <w:rsid w:val="005502AE"/>
    <w:rsid w:val="00550642"/>
    <w:rsid w:val="00550812"/>
    <w:rsid w:val="0055083F"/>
    <w:rsid w:val="00550BA5"/>
    <w:rsid w:val="00550CA0"/>
    <w:rsid w:val="00550F0E"/>
    <w:rsid w:val="00551483"/>
    <w:rsid w:val="005520E2"/>
    <w:rsid w:val="00552125"/>
    <w:rsid w:val="00552A7A"/>
    <w:rsid w:val="00552AF3"/>
    <w:rsid w:val="00552BA9"/>
    <w:rsid w:val="00552E82"/>
    <w:rsid w:val="00552FCE"/>
    <w:rsid w:val="0055311D"/>
    <w:rsid w:val="0055313F"/>
    <w:rsid w:val="005532CA"/>
    <w:rsid w:val="00553B7E"/>
    <w:rsid w:val="005540C7"/>
    <w:rsid w:val="00554211"/>
    <w:rsid w:val="0055431E"/>
    <w:rsid w:val="00554615"/>
    <w:rsid w:val="00554B19"/>
    <w:rsid w:val="00554BC9"/>
    <w:rsid w:val="00554D65"/>
    <w:rsid w:val="00554FF4"/>
    <w:rsid w:val="0055501C"/>
    <w:rsid w:val="00555499"/>
    <w:rsid w:val="005554A0"/>
    <w:rsid w:val="005554E4"/>
    <w:rsid w:val="0055589B"/>
    <w:rsid w:val="0055595F"/>
    <w:rsid w:val="00555A65"/>
    <w:rsid w:val="00555B8A"/>
    <w:rsid w:val="00555CDF"/>
    <w:rsid w:val="0055601C"/>
    <w:rsid w:val="005560FF"/>
    <w:rsid w:val="005561C2"/>
    <w:rsid w:val="00556320"/>
    <w:rsid w:val="005565A6"/>
    <w:rsid w:val="005565BA"/>
    <w:rsid w:val="00556656"/>
    <w:rsid w:val="0055668D"/>
    <w:rsid w:val="00556727"/>
    <w:rsid w:val="00556A0E"/>
    <w:rsid w:val="00556D7B"/>
    <w:rsid w:val="00556EAC"/>
    <w:rsid w:val="00556F0C"/>
    <w:rsid w:val="005572D5"/>
    <w:rsid w:val="00557470"/>
    <w:rsid w:val="005574E1"/>
    <w:rsid w:val="005576C5"/>
    <w:rsid w:val="00557798"/>
    <w:rsid w:val="005577BD"/>
    <w:rsid w:val="005578A5"/>
    <w:rsid w:val="005579B5"/>
    <w:rsid w:val="005579D8"/>
    <w:rsid w:val="00557AAC"/>
    <w:rsid w:val="00557D58"/>
    <w:rsid w:val="00557E23"/>
    <w:rsid w:val="0056014C"/>
    <w:rsid w:val="00560379"/>
    <w:rsid w:val="00560468"/>
    <w:rsid w:val="00560625"/>
    <w:rsid w:val="005606D6"/>
    <w:rsid w:val="005607EC"/>
    <w:rsid w:val="005608B1"/>
    <w:rsid w:val="00560B67"/>
    <w:rsid w:val="00561110"/>
    <w:rsid w:val="005615F3"/>
    <w:rsid w:val="005617DF"/>
    <w:rsid w:val="00561884"/>
    <w:rsid w:val="00561996"/>
    <w:rsid w:val="00561C33"/>
    <w:rsid w:val="00561C8F"/>
    <w:rsid w:val="005623D4"/>
    <w:rsid w:val="005625F6"/>
    <w:rsid w:val="005630C5"/>
    <w:rsid w:val="00563142"/>
    <w:rsid w:val="00563213"/>
    <w:rsid w:val="005636CD"/>
    <w:rsid w:val="00563898"/>
    <w:rsid w:val="00563F29"/>
    <w:rsid w:val="00564361"/>
    <w:rsid w:val="00564774"/>
    <w:rsid w:val="005648BE"/>
    <w:rsid w:val="00564981"/>
    <w:rsid w:val="00564E2F"/>
    <w:rsid w:val="00565148"/>
    <w:rsid w:val="0056516B"/>
    <w:rsid w:val="0056536A"/>
    <w:rsid w:val="00565632"/>
    <w:rsid w:val="005658E3"/>
    <w:rsid w:val="005659B5"/>
    <w:rsid w:val="00565C22"/>
    <w:rsid w:val="00565DE0"/>
    <w:rsid w:val="00565EA7"/>
    <w:rsid w:val="005660C4"/>
    <w:rsid w:val="00566260"/>
    <w:rsid w:val="005662CC"/>
    <w:rsid w:val="0056630B"/>
    <w:rsid w:val="00566473"/>
    <w:rsid w:val="0056653E"/>
    <w:rsid w:val="005666C7"/>
    <w:rsid w:val="005667AC"/>
    <w:rsid w:val="00566D07"/>
    <w:rsid w:val="00566D99"/>
    <w:rsid w:val="00566DA7"/>
    <w:rsid w:val="00566DB4"/>
    <w:rsid w:val="00566ED1"/>
    <w:rsid w:val="00566EFB"/>
    <w:rsid w:val="00566FA6"/>
    <w:rsid w:val="0056704E"/>
    <w:rsid w:val="005671A7"/>
    <w:rsid w:val="005677F8"/>
    <w:rsid w:val="00567A0F"/>
    <w:rsid w:val="00567B25"/>
    <w:rsid w:val="00567C5F"/>
    <w:rsid w:val="00567E8F"/>
    <w:rsid w:val="005701D9"/>
    <w:rsid w:val="005705A3"/>
    <w:rsid w:val="0057070E"/>
    <w:rsid w:val="0057093D"/>
    <w:rsid w:val="00570C81"/>
    <w:rsid w:val="00570E68"/>
    <w:rsid w:val="005716D8"/>
    <w:rsid w:val="0057178F"/>
    <w:rsid w:val="00571BF2"/>
    <w:rsid w:val="00571C25"/>
    <w:rsid w:val="00571CCD"/>
    <w:rsid w:val="00571D19"/>
    <w:rsid w:val="00571E57"/>
    <w:rsid w:val="00571F2D"/>
    <w:rsid w:val="005720E6"/>
    <w:rsid w:val="00572145"/>
    <w:rsid w:val="00572273"/>
    <w:rsid w:val="00572511"/>
    <w:rsid w:val="005727A0"/>
    <w:rsid w:val="005728B0"/>
    <w:rsid w:val="0057298E"/>
    <w:rsid w:val="00572C2F"/>
    <w:rsid w:val="00572D48"/>
    <w:rsid w:val="00572F76"/>
    <w:rsid w:val="00572FF5"/>
    <w:rsid w:val="00573264"/>
    <w:rsid w:val="005732CF"/>
    <w:rsid w:val="0057362C"/>
    <w:rsid w:val="0057388A"/>
    <w:rsid w:val="005739EC"/>
    <w:rsid w:val="00573AA9"/>
    <w:rsid w:val="00573BF5"/>
    <w:rsid w:val="00573CCF"/>
    <w:rsid w:val="00573E6D"/>
    <w:rsid w:val="00573EA6"/>
    <w:rsid w:val="00574032"/>
    <w:rsid w:val="0057441A"/>
    <w:rsid w:val="0057474B"/>
    <w:rsid w:val="005747DA"/>
    <w:rsid w:val="0057489F"/>
    <w:rsid w:val="00574984"/>
    <w:rsid w:val="00574E1B"/>
    <w:rsid w:val="00574E20"/>
    <w:rsid w:val="00574F79"/>
    <w:rsid w:val="00575345"/>
    <w:rsid w:val="0057537A"/>
    <w:rsid w:val="005754FC"/>
    <w:rsid w:val="005755EF"/>
    <w:rsid w:val="00575858"/>
    <w:rsid w:val="0057589C"/>
    <w:rsid w:val="005759E1"/>
    <w:rsid w:val="00575C9D"/>
    <w:rsid w:val="005761F9"/>
    <w:rsid w:val="005762C3"/>
    <w:rsid w:val="00576309"/>
    <w:rsid w:val="00576428"/>
    <w:rsid w:val="005767AB"/>
    <w:rsid w:val="00576901"/>
    <w:rsid w:val="00576B6A"/>
    <w:rsid w:val="00576EAC"/>
    <w:rsid w:val="005771E4"/>
    <w:rsid w:val="00577880"/>
    <w:rsid w:val="0057790B"/>
    <w:rsid w:val="00577A0C"/>
    <w:rsid w:val="00577A95"/>
    <w:rsid w:val="00577EB8"/>
    <w:rsid w:val="005800A2"/>
    <w:rsid w:val="005804A9"/>
    <w:rsid w:val="005804AD"/>
    <w:rsid w:val="00580924"/>
    <w:rsid w:val="00580B53"/>
    <w:rsid w:val="00580DA9"/>
    <w:rsid w:val="00580EA3"/>
    <w:rsid w:val="0058145F"/>
    <w:rsid w:val="00581813"/>
    <w:rsid w:val="00581968"/>
    <w:rsid w:val="00581AE3"/>
    <w:rsid w:val="00581BC8"/>
    <w:rsid w:val="00581C35"/>
    <w:rsid w:val="00582455"/>
    <w:rsid w:val="00582603"/>
    <w:rsid w:val="00582A2C"/>
    <w:rsid w:val="00582A33"/>
    <w:rsid w:val="00582E2F"/>
    <w:rsid w:val="00582F18"/>
    <w:rsid w:val="0058307B"/>
    <w:rsid w:val="00583922"/>
    <w:rsid w:val="00583A06"/>
    <w:rsid w:val="00583B97"/>
    <w:rsid w:val="0058410C"/>
    <w:rsid w:val="00584564"/>
    <w:rsid w:val="0058456E"/>
    <w:rsid w:val="00584741"/>
    <w:rsid w:val="0058477E"/>
    <w:rsid w:val="005847E7"/>
    <w:rsid w:val="00584834"/>
    <w:rsid w:val="00584F46"/>
    <w:rsid w:val="00585003"/>
    <w:rsid w:val="005850DB"/>
    <w:rsid w:val="00585158"/>
    <w:rsid w:val="00585839"/>
    <w:rsid w:val="005858BF"/>
    <w:rsid w:val="00585B1A"/>
    <w:rsid w:val="005862AE"/>
    <w:rsid w:val="00586533"/>
    <w:rsid w:val="005866F4"/>
    <w:rsid w:val="0058685A"/>
    <w:rsid w:val="00586B7A"/>
    <w:rsid w:val="00586BDD"/>
    <w:rsid w:val="005870D6"/>
    <w:rsid w:val="0058716A"/>
    <w:rsid w:val="005873EB"/>
    <w:rsid w:val="00587840"/>
    <w:rsid w:val="00587A6F"/>
    <w:rsid w:val="00587B61"/>
    <w:rsid w:val="00587C56"/>
    <w:rsid w:val="00587C99"/>
    <w:rsid w:val="00587E53"/>
    <w:rsid w:val="00587F41"/>
    <w:rsid w:val="005900F4"/>
    <w:rsid w:val="00590A29"/>
    <w:rsid w:val="00590AB3"/>
    <w:rsid w:val="00590B6C"/>
    <w:rsid w:val="00590C11"/>
    <w:rsid w:val="00590D6E"/>
    <w:rsid w:val="00591012"/>
    <w:rsid w:val="005914C5"/>
    <w:rsid w:val="00591543"/>
    <w:rsid w:val="00591587"/>
    <w:rsid w:val="005915E3"/>
    <w:rsid w:val="00591654"/>
    <w:rsid w:val="00591926"/>
    <w:rsid w:val="005919F2"/>
    <w:rsid w:val="00591B35"/>
    <w:rsid w:val="00591C43"/>
    <w:rsid w:val="005922A6"/>
    <w:rsid w:val="005927A3"/>
    <w:rsid w:val="00592C29"/>
    <w:rsid w:val="00592C5D"/>
    <w:rsid w:val="00592CA2"/>
    <w:rsid w:val="00592CCB"/>
    <w:rsid w:val="005931BF"/>
    <w:rsid w:val="00593341"/>
    <w:rsid w:val="005933CC"/>
    <w:rsid w:val="00593A27"/>
    <w:rsid w:val="00593ABE"/>
    <w:rsid w:val="00593B20"/>
    <w:rsid w:val="00593E92"/>
    <w:rsid w:val="00593F26"/>
    <w:rsid w:val="00594100"/>
    <w:rsid w:val="005942FC"/>
    <w:rsid w:val="0059432C"/>
    <w:rsid w:val="005944FC"/>
    <w:rsid w:val="005945EE"/>
    <w:rsid w:val="00594BEA"/>
    <w:rsid w:val="00594D8D"/>
    <w:rsid w:val="0059543B"/>
    <w:rsid w:val="0059544C"/>
    <w:rsid w:val="005954AE"/>
    <w:rsid w:val="00595914"/>
    <w:rsid w:val="00595969"/>
    <w:rsid w:val="005959FA"/>
    <w:rsid w:val="00595BC5"/>
    <w:rsid w:val="00595E39"/>
    <w:rsid w:val="00596283"/>
    <w:rsid w:val="0059628D"/>
    <w:rsid w:val="005962C0"/>
    <w:rsid w:val="0059630B"/>
    <w:rsid w:val="00596449"/>
    <w:rsid w:val="00596967"/>
    <w:rsid w:val="005969C4"/>
    <w:rsid w:val="00596A58"/>
    <w:rsid w:val="00596CFF"/>
    <w:rsid w:val="005971B0"/>
    <w:rsid w:val="00597224"/>
    <w:rsid w:val="00597594"/>
    <w:rsid w:val="005977AA"/>
    <w:rsid w:val="00597A24"/>
    <w:rsid w:val="00597C74"/>
    <w:rsid w:val="00597E93"/>
    <w:rsid w:val="00597F9E"/>
    <w:rsid w:val="005A025E"/>
    <w:rsid w:val="005A0BF8"/>
    <w:rsid w:val="005A0CB4"/>
    <w:rsid w:val="005A0F5C"/>
    <w:rsid w:val="005A0FF3"/>
    <w:rsid w:val="005A105C"/>
    <w:rsid w:val="005A142C"/>
    <w:rsid w:val="005A156F"/>
    <w:rsid w:val="005A18E7"/>
    <w:rsid w:val="005A1BED"/>
    <w:rsid w:val="005A1E32"/>
    <w:rsid w:val="005A1EFB"/>
    <w:rsid w:val="005A2206"/>
    <w:rsid w:val="005A2775"/>
    <w:rsid w:val="005A28E4"/>
    <w:rsid w:val="005A29B1"/>
    <w:rsid w:val="005A2CD7"/>
    <w:rsid w:val="005A2DCF"/>
    <w:rsid w:val="005A2F3D"/>
    <w:rsid w:val="005A2FAF"/>
    <w:rsid w:val="005A2FDE"/>
    <w:rsid w:val="005A3314"/>
    <w:rsid w:val="005A3882"/>
    <w:rsid w:val="005A3A4E"/>
    <w:rsid w:val="005A3ACE"/>
    <w:rsid w:val="005A3B4B"/>
    <w:rsid w:val="005A3C56"/>
    <w:rsid w:val="005A3D32"/>
    <w:rsid w:val="005A3F72"/>
    <w:rsid w:val="005A3F74"/>
    <w:rsid w:val="005A3F81"/>
    <w:rsid w:val="005A47D9"/>
    <w:rsid w:val="005A4CDD"/>
    <w:rsid w:val="005A4F08"/>
    <w:rsid w:val="005A5095"/>
    <w:rsid w:val="005A514C"/>
    <w:rsid w:val="005A5157"/>
    <w:rsid w:val="005A5401"/>
    <w:rsid w:val="005A55F3"/>
    <w:rsid w:val="005A57DC"/>
    <w:rsid w:val="005A5B62"/>
    <w:rsid w:val="005A5C23"/>
    <w:rsid w:val="005A5CB0"/>
    <w:rsid w:val="005A61D4"/>
    <w:rsid w:val="005A65D0"/>
    <w:rsid w:val="005A66AC"/>
    <w:rsid w:val="005A681C"/>
    <w:rsid w:val="005A69B7"/>
    <w:rsid w:val="005A69F0"/>
    <w:rsid w:val="005A6E2B"/>
    <w:rsid w:val="005A6FF9"/>
    <w:rsid w:val="005A740C"/>
    <w:rsid w:val="005A75B9"/>
    <w:rsid w:val="005A77D6"/>
    <w:rsid w:val="005A77DA"/>
    <w:rsid w:val="005A7863"/>
    <w:rsid w:val="005A7909"/>
    <w:rsid w:val="005A79C9"/>
    <w:rsid w:val="005A7ACC"/>
    <w:rsid w:val="005A7C47"/>
    <w:rsid w:val="005A7E8E"/>
    <w:rsid w:val="005A7FC4"/>
    <w:rsid w:val="005B008B"/>
    <w:rsid w:val="005B0831"/>
    <w:rsid w:val="005B0868"/>
    <w:rsid w:val="005B098A"/>
    <w:rsid w:val="005B0A6D"/>
    <w:rsid w:val="005B0B69"/>
    <w:rsid w:val="005B1116"/>
    <w:rsid w:val="005B164A"/>
    <w:rsid w:val="005B1983"/>
    <w:rsid w:val="005B1A49"/>
    <w:rsid w:val="005B1C6D"/>
    <w:rsid w:val="005B1E64"/>
    <w:rsid w:val="005B215B"/>
    <w:rsid w:val="005B234B"/>
    <w:rsid w:val="005B23AD"/>
    <w:rsid w:val="005B23D0"/>
    <w:rsid w:val="005B2485"/>
    <w:rsid w:val="005B2644"/>
    <w:rsid w:val="005B277D"/>
    <w:rsid w:val="005B292F"/>
    <w:rsid w:val="005B2AF3"/>
    <w:rsid w:val="005B2D6C"/>
    <w:rsid w:val="005B2D8E"/>
    <w:rsid w:val="005B3287"/>
    <w:rsid w:val="005B3466"/>
    <w:rsid w:val="005B3B4E"/>
    <w:rsid w:val="005B3EB4"/>
    <w:rsid w:val="005B3EBA"/>
    <w:rsid w:val="005B3F12"/>
    <w:rsid w:val="005B407E"/>
    <w:rsid w:val="005B40CF"/>
    <w:rsid w:val="005B41B2"/>
    <w:rsid w:val="005B44BE"/>
    <w:rsid w:val="005B47F6"/>
    <w:rsid w:val="005B4909"/>
    <w:rsid w:val="005B4C7C"/>
    <w:rsid w:val="005B4FC4"/>
    <w:rsid w:val="005B5002"/>
    <w:rsid w:val="005B50F0"/>
    <w:rsid w:val="005B510B"/>
    <w:rsid w:val="005B5281"/>
    <w:rsid w:val="005B53BD"/>
    <w:rsid w:val="005B53CD"/>
    <w:rsid w:val="005B5888"/>
    <w:rsid w:val="005B5C93"/>
    <w:rsid w:val="005B5F0E"/>
    <w:rsid w:val="005B5FE6"/>
    <w:rsid w:val="005B5FEA"/>
    <w:rsid w:val="005B606F"/>
    <w:rsid w:val="005B62A1"/>
    <w:rsid w:val="005B62BC"/>
    <w:rsid w:val="005B6514"/>
    <w:rsid w:val="005B65A5"/>
    <w:rsid w:val="005B6CCB"/>
    <w:rsid w:val="005B733F"/>
    <w:rsid w:val="005B785A"/>
    <w:rsid w:val="005B7A09"/>
    <w:rsid w:val="005B7AC1"/>
    <w:rsid w:val="005B7B0F"/>
    <w:rsid w:val="005B7C3F"/>
    <w:rsid w:val="005C0053"/>
    <w:rsid w:val="005C0111"/>
    <w:rsid w:val="005C01C3"/>
    <w:rsid w:val="005C09A4"/>
    <w:rsid w:val="005C09F7"/>
    <w:rsid w:val="005C0B29"/>
    <w:rsid w:val="005C0E61"/>
    <w:rsid w:val="005C1D60"/>
    <w:rsid w:val="005C1E02"/>
    <w:rsid w:val="005C1EE2"/>
    <w:rsid w:val="005C23B5"/>
    <w:rsid w:val="005C261E"/>
    <w:rsid w:val="005C2AAE"/>
    <w:rsid w:val="005C2B66"/>
    <w:rsid w:val="005C2B7D"/>
    <w:rsid w:val="005C2CB8"/>
    <w:rsid w:val="005C3683"/>
    <w:rsid w:val="005C36D3"/>
    <w:rsid w:val="005C3CE0"/>
    <w:rsid w:val="005C48A5"/>
    <w:rsid w:val="005C49B0"/>
    <w:rsid w:val="005C4CA6"/>
    <w:rsid w:val="005C549E"/>
    <w:rsid w:val="005C5D23"/>
    <w:rsid w:val="005C5D45"/>
    <w:rsid w:val="005C5D46"/>
    <w:rsid w:val="005C5F17"/>
    <w:rsid w:val="005C5FB3"/>
    <w:rsid w:val="005C6434"/>
    <w:rsid w:val="005C64D9"/>
    <w:rsid w:val="005C6571"/>
    <w:rsid w:val="005C6698"/>
    <w:rsid w:val="005C66D0"/>
    <w:rsid w:val="005C6ADA"/>
    <w:rsid w:val="005C6C4E"/>
    <w:rsid w:val="005C6D11"/>
    <w:rsid w:val="005C6D9D"/>
    <w:rsid w:val="005C7142"/>
    <w:rsid w:val="005C76E4"/>
    <w:rsid w:val="005C7BE5"/>
    <w:rsid w:val="005C7C7B"/>
    <w:rsid w:val="005C7E7B"/>
    <w:rsid w:val="005D0203"/>
    <w:rsid w:val="005D0427"/>
    <w:rsid w:val="005D081C"/>
    <w:rsid w:val="005D0AAD"/>
    <w:rsid w:val="005D0D4E"/>
    <w:rsid w:val="005D0F1F"/>
    <w:rsid w:val="005D0F56"/>
    <w:rsid w:val="005D172F"/>
    <w:rsid w:val="005D1733"/>
    <w:rsid w:val="005D17A0"/>
    <w:rsid w:val="005D185B"/>
    <w:rsid w:val="005D20F3"/>
    <w:rsid w:val="005D22DD"/>
    <w:rsid w:val="005D2464"/>
    <w:rsid w:val="005D25EC"/>
    <w:rsid w:val="005D27C1"/>
    <w:rsid w:val="005D2A64"/>
    <w:rsid w:val="005D350C"/>
    <w:rsid w:val="005D35B0"/>
    <w:rsid w:val="005D3982"/>
    <w:rsid w:val="005D3FA6"/>
    <w:rsid w:val="005D3FD8"/>
    <w:rsid w:val="005D4241"/>
    <w:rsid w:val="005D42DA"/>
    <w:rsid w:val="005D4305"/>
    <w:rsid w:val="005D442C"/>
    <w:rsid w:val="005D4481"/>
    <w:rsid w:val="005D4768"/>
    <w:rsid w:val="005D48CC"/>
    <w:rsid w:val="005D4D19"/>
    <w:rsid w:val="005D4E10"/>
    <w:rsid w:val="005D4E9C"/>
    <w:rsid w:val="005D50CB"/>
    <w:rsid w:val="005D51A4"/>
    <w:rsid w:val="005D5346"/>
    <w:rsid w:val="005D55B7"/>
    <w:rsid w:val="005D5626"/>
    <w:rsid w:val="005D566F"/>
    <w:rsid w:val="005D5890"/>
    <w:rsid w:val="005D5950"/>
    <w:rsid w:val="005D59A1"/>
    <w:rsid w:val="005D5EA7"/>
    <w:rsid w:val="005D5F3C"/>
    <w:rsid w:val="005D65B3"/>
    <w:rsid w:val="005D6610"/>
    <w:rsid w:val="005D689E"/>
    <w:rsid w:val="005D6AB4"/>
    <w:rsid w:val="005D6BBA"/>
    <w:rsid w:val="005D6FB5"/>
    <w:rsid w:val="005D7045"/>
    <w:rsid w:val="005D719F"/>
    <w:rsid w:val="005D723C"/>
    <w:rsid w:val="005D758F"/>
    <w:rsid w:val="005D7667"/>
    <w:rsid w:val="005D7727"/>
    <w:rsid w:val="005D785F"/>
    <w:rsid w:val="005D787E"/>
    <w:rsid w:val="005E0468"/>
    <w:rsid w:val="005E05BE"/>
    <w:rsid w:val="005E07E0"/>
    <w:rsid w:val="005E0A39"/>
    <w:rsid w:val="005E0A4D"/>
    <w:rsid w:val="005E0CAA"/>
    <w:rsid w:val="005E0E2E"/>
    <w:rsid w:val="005E1039"/>
    <w:rsid w:val="005E1313"/>
    <w:rsid w:val="005E176C"/>
    <w:rsid w:val="005E18CB"/>
    <w:rsid w:val="005E18F0"/>
    <w:rsid w:val="005E18F4"/>
    <w:rsid w:val="005E1B07"/>
    <w:rsid w:val="005E2236"/>
    <w:rsid w:val="005E23D5"/>
    <w:rsid w:val="005E2406"/>
    <w:rsid w:val="005E2555"/>
    <w:rsid w:val="005E257F"/>
    <w:rsid w:val="005E2859"/>
    <w:rsid w:val="005E2B64"/>
    <w:rsid w:val="005E2CC9"/>
    <w:rsid w:val="005E2E61"/>
    <w:rsid w:val="005E2F14"/>
    <w:rsid w:val="005E3036"/>
    <w:rsid w:val="005E304E"/>
    <w:rsid w:val="005E3186"/>
    <w:rsid w:val="005E329B"/>
    <w:rsid w:val="005E3373"/>
    <w:rsid w:val="005E33E3"/>
    <w:rsid w:val="005E34BC"/>
    <w:rsid w:val="005E3C3B"/>
    <w:rsid w:val="005E3C58"/>
    <w:rsid w:val="005E3C83"/>
    <w:rsid w:val="005E3F5D"/>
    <w:rsid w:val="005E4285"/>
    <w:rsid w:val="005E4519"/>
    <w:rsid w:val="005E48F0"/>
    <w:rsid w:val="005E49FC"/>
    <w:rsid w:val="005E4B5C"/>
    <w:rsid w:val="005E4CBD"/>
    <w:rsid w:val="005E4D5B"/>
    <w:rsid w:val="005E4E17"/>
    <w:rsid w:val="005E4E7B"/>
    <w:rsid w:val="005E4F12"/>
    <w:rsid w:val="005E509E"/>
    <w:rsid w:val="005E53EA"/>
    <w:rsid w:val="005E5545"/>
    <w:rsid w:val="005E565B"/>
    <w:rsid w:val="005E58BF"/>
    <w:rsid w:val="005E5ADC"/>
    <w:rsid w:val="005E5D78"/>
    <w:rsid w:val="005E5DFD"/>
    <w:rsid w:val="005E61C7"/>
    <w:rsid w:val="005E6304"/>
    <w:rsid w:val="005E64E1"/>
    <w:rsid w:val="005E661A"/>
    <w:rsid w:val="005E67AC"/>
    <w:rsid w:val="005E6AF6"/>
    <w:rsid w:val="005E7554"/>
    <w:rsid w:val="005E759E"/>
    <w:rsid w:val="005E7691"/>
    <w:rsid w:val="005E76C2"/>
    <w:rsid w:val="005E784E"/>
    <w:rsid w:val="005E79D6"/>
    <w:rsid w:val="005E7E1F"/>
    <w:rsid w:val="005E7F4D"/>
    <w:rsid w:val="005E7F97"/>
    <w:rsid w:val="005F0239"/>
    <w:rsid w:val="005F0260"/>
    <w:rsid w:val="005F0418"/>
    <w:rsid w:val="005F0676"/>
    <w:rsid w:val="005F0680"/>
    <w:rsid w:val="005F0684"/>
    <w:rsid w:val="005F082B"/>
    <w:rsid w:val="005F084A"/>
    <w:rsid w:val="005F08CA"/>
    <w:rsid w:val="005F0C53"/>
    <w:rsid w:val="005F0DC7"/>
    <w:rsid w:val="005F0DE0"/>
    <w:rsid w:val="005F0EA7"/>
    <w:rsid w:val="005F106A"/>
    <w:rsid w:val="005F13A9"/>
    <w:rsid w:val="005F1605"/>
    <w:rsid w:val="005F1610"/>
    <w:rsid w:val="005F1A3B"/>
    <w:rsid w:val="005F1A88"/>
    <w:rsid w:val="005F1AC0"/>
    <w:rsid w:val="005F1B3C"/>
    <w:rsid w:val="005F1D47"/>
    <w:rsid w:val="005F1E6D"/>
    <w:rsid w:val="005F1F81"/>
    <w:rsid w:val="005F20EF"/>
    <w:rsid w:val="005F20FE"/>
    <w:rsid w:val="005F2126"/>
    <w:rsid w:val="005F2785"/>
    <w:rsid w:val="005F3022"/>
    <w:rsid w:val="005F3496"/>
    <w:rsid w:val="005F34DE"/>
    <w:rsid w:val="005F356D"/>
    <w:rsid w:val="005F368C"/>
    <w:rsid w:val="005F37FC"/>
    <w:rsid w:val="005F3873"/>
    <w:rsid w:val="005F38F4"/>
    <w:rsid w:val="005F3A7C"/>
    <w:rsid w:val="005F3B46"/>
    <w:rsid w:val="005F40D2"/>
    <w:rsid w:val="005F418F"/>
    <w:rsid w:val="005F4448"/>
    <w:rsid w:val="005F447F"/>
    <w:rsid w:val="005F48E7"/>
    <w:rsid w:val="005F49E6"/>
    <w:rsid w:val="005F4A78"/>
    <w:rsid w:val="005F4AE3"/>
    <w:rsid w:val="005F4DF9"/>
    <w:rsid w:val="005F4F8C"/>
    <w:rsid w:val="005F5010"/>
    <w:rsid w:val="005F562E"/>
    <w:rsid w:val="005F572A"/>
    <w:rsid w:val="005F57E1"/>
    <w:rsid w:val="005F5CA5"/>
    <w:rsid w:val="005F6436"/>
    <w:rsid w:val="005F669C"/>
    <w:rsid w:val="005F6C7D"/>
    <w:rsid w:val="005F6D65"/>
    <w:rsid w:val="005F71AE"/>
    <w:rsid w:val="005F7351"/>
    <w:rsid w:val="005F78DC"/>
    <w:rsid w:val="005F7B6D"/>
    <w:rsid w:val="005F7F63"/>
    <w:rsid w:val="0060027F"/>
    <w:rsid w:val="006003B6"/>
    <w:rsid w:val="006005AB"/>
    <w:rsid w:val="00600AEF"/>
    <w:rsid w:val="00600B9B"/>
    <w:rsid w:val="00600C38"/>
    <w:rsid w:val="00600E50"/>
    <w:rsid w:val="00600FD9"/>
    <w:rsid w:val="00600FDA"/>
    <w:rsid w:val="00601202"/>
    <w:rsid w:val="0060134E"/>
    <w:rsid w:val="006015C4"/>
    <w:rsid w:val="0060174C"/>
    <w:rsid w:val="006017D8"/>
    <w:rsid w:val="0060188E"/>
    <w:rsid w:val="00601AB2"/>
    <w:rsid w:val="00601B81"/>
    <w:rsid w:val="00601D3B"/>
    <w:rsid w:val="00601DEA"/>
    <w:rsid w:val="00601F22"/>
    <w:rsid w:val="0060227F"/>
    <w:rsid w:val="00602440"/>
    <w:rsid w:val="006025D9"/>
    <w:rsid w:val="006027BF"/>
    <w:rsid w:val="0060291B"/>
    <w:rsid w:val="0060296A"/>
    <w:rsid w:val="00602EB8"/>
    <w:rsid w:val="006032D6"/>
    <w:rsid w:val="00603A24"/>
    <w:rsid w:val="00603C2D"/>
    <w:rsid w:val="006044D3"/>
    <w:rsid w:val="006045C3"/>
    <w:rsid w:val="0060477A"/>
    <w:rsid w:val="0060491D"/>
    <w:rsid w:val="00604929"/>
    <w:rsid w:val="006049C4"/>
    <w:rsid w:val="00604E2F"/>
    <w:rsid w:val="00604E97"/>
    <w:rsid w:val="00604F5C"/>
    <w:rsid w:val="00604FB1"/>
    <w:rsid w:val="00605289"/>
    <w:rsid w:val="0060546D"/>
    <w:rsid w:val="00605555"/>
    <w:rsid w:val="006055AC"/>
    <w:rsid w:val="00605A97"/>
    <w:rsid w:val="00605E4E"/>
    <w:rsid w:val="006060C2"/>
    <w:rsid w:val="006061E3"/>
    <w:rsid w:val="0060683B"/>
    <w:rsid w:val="00606E6C"/>
    <w:rsid w:val="0060708E"/>
    <w:rsid w:val="0060726D"/>
    <w:rsid w:val="006075C0"/>
    <w:rsid w:val="00607680"/>
    <w:rsid w:val="00607D2D"/>
    <w:rsid w:val="00607E4F"/>
    <w:rsid w:val="006102F5"/>
    <w:rsid w:val="0061050E"/>
    <w:rsid w:val="0061061E"/>
    <w:rsid w:val="00610624"/>
    <w:rsid w:val="00610943"/>
    <w:rsid w:val="00610AE9"/>
    <w:rsid w:val="00610C6D"/>
    <w:rsid w:val="00610DA1"/>
    <w:rsid w:val="00610DA2"/>
    <w:rsid w:val="00610E6C"/>
    <w:rsid w:val="00610EB2"/>
    <w:rsid w:val="0061101D"/>
    <w:rsid w:val="00611053"/>
    <w:rsid w:val="0061124C"/>
    <w:rsid w:val="006112C9"/>
    <w:rsid w:val="00611813"/>
    <w:rsid w:val="00611AA6"/>
    <w:rsid w:val="00611B35"/>
    <w:rsid w:val="00611BC6"/>
    <w:rsid w:val="00611E1E"/>
    <w:rsid w:val="0061204F"/>
    <w:rsid w:val="00612226"/>
    <w:rsid w:val="00612584"/>
    <w:rsid w:val="006126C6"/>
    <w:rsid w:val="00612844"/>
    <w:rsid w:val="0061286F"/>
    <w:rsid w:val="00612A20"/>
    <w:rsid w:val="00612AEE"/>
    <w:rsid w:val="00612E48"/>
    <w:rsid w:val="00612EAE"/>
    <w:rsid w:val="00612EF1"/>
    <w:rsid w:val="006130D2"/>
    <w:rsid w:val="00613323"/>
    <w:rsid w:val="00613401"/>
    <w:rsid w:val="00613642"/>
    <w:rsid w:val="00613B57"/>
    <w:rsid w:val="0061402E"/>
    <w:rsid w:val="00614032"/>
    <w:rsid w:val="00614053"/>
    <w:rsid w:val="006141C8"/>
    <w:rsid w:val="006144F1"/>
    <w:rsid w:val="006146DF"/>
    <w:rsid w:val="00614721"/>
    <w:rsid w:val="006147B1"/>
    <w:rsid w:val="00614816"/>
    <w:rsid w:val="006149A3"/>
    <w:rsid w:val="00614A1E"/>
    <w:rsid w:val="00614C71"/>
    <w:rsid w:val="00614EFF"/>
    <w:rsid w:val="00614F85"/>
    <w:rsid w:val="00615834"/>
    <w:rsid w:val="00615D10"/>
    <w:rsid w:val="00615DE3"/>
    <w:rsid w:val="00615E56"/>
    <w:rsid w:val="006160C2"/>
    <w:rsid w:val="00616211"/>
    <w:rsid w:val="00616B9B"/>
    <w:rsid w:val="00616C52"/>
    <w:rsid w:val="00616CFD"/>
    <w:rsid w:val="006173AC"/>
    <w:rsid w:val="00617729"/>
    <w:rsid w:val="0061788F"/>
    <w:rsid w:val="00617904"/>
    <w:rsid w:val="00617D57"/>
    <w:rsid w:val="00617EC1"/>
    <w:rsid w:val="006203B5"/>
    <w:rsid w:val="0062073F"/>
    <w:rsid w:val="006207CA"/>
    <w:rsid w:val="0062092E"/>
    <w:rsid w:val="00620BE0"/>
    <w:rsid w:val="00620D54"/>
    <w:rsid w:val="00621148"/>
    <w:rsid w:val="00621630"/>
    <w:rsid w:val="00621641"/>
    <w:rsid w:val="006216B9"/>
    <w:rsid w:val="006217B7"/>
    <w:rsid w:val="00621E26"/>
    <w:rsid w:val="00621F32"/>
    <w:rsid w:val="00621FA2"/>
    <w:rsid w:val="00621FFE"/>
    <w:rsid w:val="006221A2"/>
    <w:rsid w:val="006225A0"/>
    <w:rsid w:val="00622A75"/>
    <w:rsid w:val="00622B62"/>
    <w:rsid w:val="00622B6B"/>
    <w:rsid w:val="00622CDC"/>
    <w:rsid w:val="00623114"/>
    <w:rsid w:val="0062364E"/>
    <w:rsid w:val="006236B7"/>
    <w:rsid w:val="0062378C"/>
    <w:rsid w:val="00623D19"/>
    <w:rsid w:val="00623E9B"/>
    <w:rsid w:val="006240F5"/>
    <w:rsid w:val="00624D81"/>
    <w:rsid w:val="00624DBC"/>
    <w:rsid w:val="00625024"/>
    <w:rsid w:val="00625237"/>
    <w:rsid w:val="006255F5"/>
    <w:rsid w:val="006258E3"/>
    <w:rsid w:val="00625CCE"/>
    <w:rsid w:val="00625E0D"/>
    <w:rsid w:val="00625FA4"/>
    <w:rsid w:val="00626140"/>
    <w:rsid w:val="00626372"/>
    <w:rsid w:val="006263EC"/>
    <w:rsid w:val="00626523"/>
    <w:rsid w:val="0062656A"/>
    <w:rsid w:val="00626893"/>
    <w:rsid w:val="006269D3"/>
    <w:rsid w:val="00626A28"/>
    <w:rsid w:val="00627289"/>
    <w:rsid w:val="00627396"/>
    <w:rsid w:val="00627A36"/>
    <w:rsid w:val="00627AD9"/>
    <w:rsid w:val="00627B25"/>
    <w:rsid w:val="00627C14"/>
    <w:rsid w:val="00627D79"/>
    <w:rsid w:val="00627EAD"/>
    <w:rsid w:val="006300F4"/>
    <w:rsid w:val="0063011F"/>
    <w:rsid w:val="006302CF"/>
    <w:rsid w:val="006305E3"/>
    <w:rsid w:val="006306A2"/>
    <w:rsid w:val="006307AF"/>
    <w:rsid w:val="00630ABA"/>
    <w:rsid w:val="00630E08"/>
    <w:rsid w:val="0063133A"/>
    <w:rsid w:val="006314CB"/>
    <w:rsid w:val="00631B22"/>
    <w:rsid w:val="00631DAE"/>
    <w:rsid w:val="00631EBD"/>
    <w:rsid w:val="00632074"/>
    <w:rsid w:val="006320C5"/>
    <w:rsid w:val="006320F1"/>
    <w:rsid w:val="0063220C"/>
    <w:rsid w:val="0063253D"/>
    <w:rsid w:val="00632654"/>
    <w:rsid w:val="006326C9"/>
    <w:rsid w:val="00632BB5"/>
    <w:rsid w:val="00632CA0"/>
    <w:rsid w:val="00632CF9"/>
    <w:rsid w:val="00632D73"/>
    <w:rsid w:val="00632D80"/>
    <w:rsid w:val="0063313C"/>
    <w:rsid w:val="006332E9"/>
    <w:rsid w:val="006333BA"/>
    <w:rsid w:val="006333BC"/>
    <w:rsid w:val="0063380C"/>
    <w:rsid w:val="00633C89"/>
    <w:rsid w:val="00633D41"/>
    <w:rsid w:val="00633FBC"/>
    <w:rsid w:val="00633FBD"/>
    <w:rsid w:val="0063404F"/>
    <w:rsid w:val="006340D5"/>
    <w:rsid w:val="00634197"/>
    <w:rsid w:val="00634315"/>
    <w:rsid w:val="006344E2"/>
    <w:rsid w:val="00634719"/>
    <w:rsid w:val="00634A78"/>
    <w:rsid w:val="00634DC0"/>
    <w:rsid w:val="00634F53"/>
    <w:rsid w:val="00635231"/>
    <w:rsid w:val="00635294"/>
    <w:rsid w:val="006354EC"/>
    <w:rsid w:val="00635573"/>
    <w:rsid w:val="00635B6E"/>
    <w:rsid w:val="00635C58"/>
    <w:rsid w:val="00635CA4"/>
    <w:rsid w:val="00635E52"/>
    <w:rsid w:val="00636010"/>
    <w:rsid w:val="0063602A"/>
    <w:rsid w:val="006363EF"/>
    <w:rsid w:val="00636579"/>
    <w:rsid w:val="006367C0"/>
    <w:rsid w:val="006369B7"/>
    <w:rsid w:val="00636AF0"/>
    <w:rsid w:val="00636CA1"/>
    <w:rsid w:val="00636CD4"/>
    <w:rsid w:val="00636EB1"/>
    <w:rsid w:val="00636EB9"/>
    <w:rsid w:val="00636F5E"/>
    <w:rsid w:val="0063709D"/>
    <w:rsid w:val="00637112"/>
    <w:rsid w:val="00637210"/>
    <w:rsid w:val="00637251"/>
    <w:rsid w:val="00637365"/>
    <w:rsid w:val="0063739E"/>
    <w:rsid w:val="00637411"/>
    <w:rsid w:val="00637C09"/>
    <w:rsid w:val="00637E5E"/>
    <w:rsid w:val="00637F0C"/>
    <w:rsid w:val="00637F12"/>
    <w:rsid w:val="00640187"/>
    <w:rsid w:val="0064022B"/>
    <w:rsid w:val="00640620"/>
    <w:rsid w:val="00640A25"/>
    <w:rsid w:val="00640AA2"/>
    <w:rsid w:val="00640CE8"/>
    <w:rsid w:val="00640D63"/>
    <w:rsid w:val="00640DAD"/>
    <w:rsid w:val="00640F10"/>
    <w:rsid w:val="0064138B"/>
    <w:rsid w:val="006414D2"/>
    <w:rsid w:val="00641551"/>
    <w:rsid w:val="006415C1"/>
    <w:rsid w:val="00641B68"/>
    <w:rsid w:val="00641BFE"/>
    <w:rsid w:val="00641C91"/>
    <w:rsid w:val="00641DE9"/>
    <w:rsid w:val="00641F65"/>
    <w:rsid w:val="006420DC"/>
    <w:rsid w:val="006424E1"/>
    <w:rsid w:val="0064259A"/>
    <w:rsid w:val="006427EE"/>
    <w:rsid w:val="00642A09"/>
    <w:rsid w:val="00642CA0"/>
    <w:rsid w:val="00642CE8"/>
    <w:rsid w:val="00642E3D"/>
    <w:rsid w:val="00642F57"/>
    <w:rsid w:val="00643773"/>
    <w:rsid w:val="006439D9"/>
    <w:rsid w:val="00643E95"/>
    <w:rsid w:val="00644333"/>
    <w:rsid w:val="00644427"/>
    <w:rsid w:val="006446E5"/>
    <w:rsid w:val="00644809"/>
    <w:rsid w:val="006448D8"/>
    <w:rsid w:val="00644977"/>
    <w:rsid w:val="00644987"/>
    <w:rsid w:val="00644988"/>
    <w:rsid w:val="00644A00"/>
    <w:rsid w:val="00644B3A"/>
    <w:rsid w:val="00644CD6"/>
    <w:rsid w:val="00644E2E"/>
    <w:rsid w:val="00644F5A"/>
    <w:rsid w:val="006452C0"/>
    <w:rsid w:val="006452E5"/>
    <w:rsid w:val="006453BA"/>
    <w:rsid w:val="00645425"/>
    <w:rsid w:val="00645712"/>
    <w:rsid w:val="00645951"/>
    <w:rsid w:val="00645FCA"/>
    <w:rsid w:val="0064631F"/>
    <w:rsid w:val="0064635E"/>
    <w:rsid w:val="006463DE"/>
    <w:rsid w:val="0064684A"/>
    <w:rsid w:val="00646962"/>
    <w:rsid w:val="00646F3B"/>
    <w:rsid w:val="00646F4B"/>
    <w:rsid w:val="0064721B"/>
    <w:rsid w:val="0064740E"/>
    <w:rsid w:val="0064741C"/>
    <w:rsid w:val="00647780"/>
    <w:rsid w:val="00647C79"/>
    <w:rsid w:val="00647CF1"/>
    <w:rsid w:val="00647DE1"/>
    <w:rsid w:val="00650064"/>
    <w:rsid w:val="0065019D"/>
    <w:rsid w:val="006504F2"/>
    <w:rsid w:val="00650556"/>
    <w:rsid w:val="006505B1"/>
    <w:rsid w:val="0065060E"/>
    <w:rsid w:val="00650691"/>
    <w:rsid w:val="00650BF7"/>
    <w:rsid w:val="00650C0E"/>
    <w:rsid w:val="00650EFE"/>
    <w:rsid w:val="0065106E"/>
    <w:rsid w:val="006510ED"/>
    <w:rsid w:val="006513EE"/>
    <w:rsid w:val="00651597"/>
    <w:rsid w:val="00651598"/>
    <w:rsid w:val="006516FE"/>
    <w:rsid w:val="00651786"/>
    <w:rsid w:val="0065182A"/>
    <w:rsid w:val="006519D2"/>
    <w:rsid w:val="00651F0A"/>
    <w:rsid w:val="006520BA"/>
    <w:rsid w:val="006520CF"/>
    <w:rsid w:val="006520FB"/>
    <w:rsid w:val="006522E2"/>
    <w:rsid w:val="006523A7"/>
    <w:rsid w:val="00652519"/>
    <w:rsid w:val="0065251B"/>
    <w:rsid w:val="0065283E"/>
    <w:rsid w:val="006528A2"/>
    <w:rsid w:val="00652A14"/>
    <w:rsid w:val="00652AC6"/>
    <w:rsid w:val="00652B6B"/>
    <w:rsid w:val="00652D85"/>
    <w:rsid w:val="00652E1C"/>
    <w:rsid w:val="006530E9"/>
    <w:rsid w:val="00653618"/>
    <w:rsid w:val="006536F1"/>
    <w:rsid w:val="00653BA3"/>
    <w:rsid w:val="00653E86"/>
    <w:rsid w:val="0065433C"/>
    <w:rsid w:val="00654724"/>
    <w:rsid w:val="006547C9"/>
    <w:rsid w:val="00654970"/>
    <w:rsid w:val="00654BE5"/>
    <w:rsid w:val="00654C90"/>
    <w:rsid w:val="00654E43"/>
    <w:rsid w:val="00654F01"/>
    <w:rsid w:val="00655120"/>
    <w:rsid w:val="006552D8"/>
    <w:rsid w:val="00655360"/>
    <w:rsid w:val="0065555F"/>
    <w:rsid w:val="00655896"/>
    <w:rsid w:val="00655905"/>
    <w:rsid w:val="00655B48"/>
    <w:rsid w:val="00655D02"/>
    <w:rsid w:val="00655F76"/>
    <w:rsid w:val="00655F84"/>
    <w:rsid w:val="006563CE"/>
    <w:rsid w:val="0065666C"/>
    <w:rsid w:val="0065694B"/>
    <w:rsid w:val="00656963"/>
    <w:rsid w:val="00656992"/>
    <w:rsid w:val="00656C38"/>
    <w:rsid w:val="00656EF2"/>
    <w:rsid w:val="00657226"/>
    <w:rsid w:val="00657534"/>
    <w:rsid w:val="006576A4"/>
    <w:rsid w:val="00657919"/>
    <w:rsid w:val="00657C13"/>
    <w:rsid w:val="00657E0A"/>
    <w:rsid w:val="006600DE"/>
    <w:rsid w:val="0066032F"/>
    <w:rsid w:val="0066060A"/>
    <w:rsid w:val="00660AFC"/>
    <w:rsid w:val="00660C62"/>
    <w:rsid w:val="00660CFC"/>
    <w:rsid w:val="00660FA2"/>
    <w:rsid w:val="0066146A"/>
    <w:rsid w:val="00661760"/>
    <w:rsid w:val="006619A7"/>
    <w:rsid w:val="00661E0A"/>
    <w:rsid w:val="00661E7B"/>
    <w:rsid w:val="006621A7"/>
    <w:rsid w:val="006623D8"/>
    <w:rsid w:val="006625CA"/>
    <w:rsid w:val="006626BC"/>
    <w:rsid w:val="00662C78"/>
    <w:rsid w:val="0066313F"/>
    <w:rsid w:val="00663288"/>
    <w:rsid w:val="006632D8"/>
    <w:rsid w:val="00663314"/>
    <w:rsid w:val="006636E3"/>
    <w:rsid w:val="00663722"/>
    <w:rsid w:val="0066382C"/>
    <w:rsid w:val="006638C1"/>
    <w:rsid w:val="006638F5"/>
    <w:rsid w:val="00663DBD"/>
    <w:rsid w:val="00663EB4"/>
    <w:rsid w:val="0066405F"/>
    <w:rsid w:val="00664672"/>
    <w:rsid w:val="0066484C"/>
    <w:rsid w:val="00664940"/>
    <w:rsid w:val="0066494C"/>
    <w:rsid w:val="00664B50"/>
    <w:rsid w:val="00664F32"/>
    <w:rsid w:val="006652FF"/>
    <w:rsid w:val="006663D6"/>
    <w:rsid w:val="00666486"/>
    <w:rsid w:val="006668EB"/>
    <w:rsid w:val="00666AAA"/>
    <w:rsid w:val="00666BAC"/>
    <w:rsid w:val="00666D90"/>
    <w:rsid w:val="00666DA0"/>
    <w:rsid w:val="00666DA2"/>
    <w:rsid w:val="00666DE1"/>
    <w:rsid w:val="006670DB"/>
    <w:rsid w:val="006671EB"/>
    <w:rsid w:val="00667249"/>
    <w:rsid w:val="006672B8"/>
    <w:rsid w:val="00667696"/>
    <w:rsid w:val="00667830"/>
    <w:rsid w:val="00667CBE"/>
    <w:rsid w:val="00667E70"/>
    <w:rsid w:val="00670011"/>
    <w:rsid w:val="00670163"/>
    <w:rsid w:val="006701FA"/>
    <w:rsid w:val="006702AA"/>
    <w:rsid w:val="0067088A"/>
    <w:rsid w:val="00670E9C"/>
    <w:rsid w:val="00670ED8"/>
    <w:rsid w:val="00670FF7"/>
    <w:rsid w:val="0067103B"/>
    <w:rsid w:val="006710D3"/>
    <w:rsid w:val="00671381"/>
    <w:rsid w:val="0067157C"/>
    <w:rsid w:val="00671593"/>
    <w:rsid w:val="00671668"/>
    <w:rsid w:val="00671880"/>
    <w:rsid w:val="00671FCF"/>
    <w:rsid w:val="00671FF2"/>
    <w:rsid w:val="00672267"/>
    <w:rsid w:val="00672604"/>
    <w:rsid w:val="0067283C"/>
    <w:rsid w:val="00672943"/>
    <w:rsid w:val="00672DA8"/>
    <w:rsid w:val="006731FF"/>
    <w:rsid w:val="006734AE"/>
    <w:rsid w:val="006737BE"/>
    <w:rsid w:val="00673C5E"/>
    <w:rsid w:val="00673F3C"/>
    <w:rsid w:val="00674047"/>
    <w:rsid w:val="006740D8"/>
    <w:rsid w:val="00674455"/>
    <w:rsid w:val="00674563"/>
    <w:rsid w:val="006745D7"/>
    <w:rsid w:val="0067463A"/>
    <w:rsid w:val="00674927"/>
    <w:rsid w:val="00674CE1"/>
    <w:rsid w:val="00674D25"/>
    <w:rsid w:val="00674EB6"/>
    <w:rsid w:val="0067503F"/>
    <w:rsid w:val="00675256"/>
    <w:rsid w:val="006757D4"/>
    <w:rsid w:val="0067583F"/>
    <w:rsid w:val="00675F5D"/>
    <w:rsid w:val="00675F85"/>
    <w:rsid w:val="00675FAF"/>
    <w:rsid w:val="00676170"/>
    <w:rsid w:val="006761A9"/>
    <w:rsid w:val="006763DB"/>
    <w:rsid w:val="00676461"/>
    <w:rsid w:val="0067673B"/>
    <w:rsid w:val="00676A63"/>
    <w:rsid w:val="00676D13"/>
    <w:rsid w:val="006772F0"/>
    <w:rsid w:val="0067778B"/>
    <w:rsid w:val="00677E16"/>
    <w:rsid w:val="00677E61"/>
    <w:rsid w:val="00677F76"/>
    <w:rsid w:val="00680089"/>
    <w:rsid w:val="0068084B"/>
    <w:rsid w:val="00680918"/>
    <w:rsid w:val="00680E4C"/>
    <w:rsid w:val="00681387"/>
    <w:rsid w:val="00681573"/>
    <w:rsid w:val="0068167F"/>
    <w:rsid w:val="00681A6D"/>
    <w:rsid w:val="00681B6F"/>
    <w:rsid w:val="00681D96"/>
    <w:rsid w:val="00681F31"/>
    <w:rsid w:val="00681F43"/>
    <w:rsid w:val="00681FEE"/>
    <w:rsid w:val="006820CD"/>
    <w:rsid w:val="00682496"/>
    <w:rsid w:val="006824FA"/>
    <w:rsid w:val="00682638"/>
    <w:rsid w:val="006828E3"/>
    <w:rsid w:val="00682A43"/>
    <w:rsid w:val="00682A68"/>
    <w:rsid w:val="00683506"/>
    <w:rsid w:val="00683779"/>
    <w:rsid w:val="00683885"/>
    <w:rsid w:val="00683947"/>
    <w:rsid w:val="00683998"/>
    <w:rsid w:val="00683DFD"/>
    <w:rsid w:val="006842C8"/>
    <w:rsid w:val="006842EC"/>
    <w:rsid w:val="00684A5E"/>
    <w:rsid w:val="0068504F"/>
    <w:rsid w:val="006850DC"/>
    <w:rsid w:val="0068510E"/>
    <w:rsid w:val="006852D2"/>
    <w:rsid w:val="00685639"/>
    <w:rsid w:val="006856BB"/>
    <w:rsid w:val="006857C8"/>
    <w:rsid w:val="00685A7A"/>
    <w:rsid w:val="00685AA2"/>
    <w:rsid w:val="00685AD7"/>
    <w:rsid w:val="00685BD7"/>
    <w:rsid w:val="00685DAA"/>
    <w:rsid w:val="00686080"/>
    <w:rsid w:val="006860B6"/>
    <w:rsid w:val="006863E1"/>
    <w:rsid w:val="0068653D"/>
    <w:rsid w:val="006865EC"/>
    <w:rsid w:val="006867D7"/>
    <w:rsid w:val="00686A69"/>
    <w:rsid w:val="00686C9E"/>
    <w:rsid w:val="00686CB7"/>
    <w:rsid w:val="00686D85"/>
    <w:rsid w:val="00686EA5"/>
    <w:rsid w:val="0068701C"/>
    <w:rsid w:val="00687081"/>
    <w:rsid w:val="00687292"/>
    <w:rsid w:val="006873EC"/>
    <w:rsid w:val="006877C0"/>
    <w:rsid w:val="006878A9"/>
    <w:rsid w:val="00687BA5"/>
    <w:rsid w:val="00687EC4"/>
    <w:rsid w:val="00690199"/>
    <w:rsid w:val="006901AC"/>
    <w:rsid w:val="00690411"/>
    <w:rsid w:val="006907BD"/>
    <w:rsid w:val="00690DB6"/>
    <w:rsid w:val="006911CD"/>
    <w:rsid w:val="00691314"/>
    <w:rsid w:val="00691B02"/>
    <w:rsid w:val="00691D04"/>
    <w:rsid w:val="00691FC5"/>
    <w:rsid w:val="00692158"/>
    <w:rsid w:val="006923E4"/>
    <w:rsid w:val="00692429"/>
    <w:rsid w:val="006927C8"/>
    <w:rsid w:val="00692B59"/>
    <w:rsid w:val="00692F84"/>
    <w:rsid w:val="006930EF"/>
    <w:rsid w:val="006931BF"/>
    <w:rsid w:val="00693322"/>
    <w:rsid w:val="00693544"/>
    <w:rsid w:val="006936E0"/>
    <w:rsid w:val="00693819"/>
    <w:rsid w:val="00693FB6"/>
    <w:rsid w:val="00694128"/>
    <w:rsid w:val="00694300"/>
    <w:rsid w:val="006944AF"/>
    <w:rsid w:val="0069456D"/>
    <w:rsid w:val="006946B0"/>
    <w:rsid w:val="006948CA"/>
    <w:rsid w:val="00694A39"/>
    <w:rsid w:val="00694CDF"/>
    <w:rsid w:val="00694DDE"/>
    <w:rsid w:val="00694F04"/>
    <w:rsid w:val="00694F14"/>
    <w:rsid w:val="00694F5C"/>
    <w:rsid w:val="0069564C"/>
    <w:rsid w:val="0069565F"/>
    <w:rsid w:val="006956AD"/>
    <w:rsid w:val="00695822"/>
    <w:rsid w:val="00695842"/>
    <w:rsid w:val="00695A20"/>
    <w:rsid w:val="00695A77"/>
    <w:rsid w:val="00695A9B"/>
    <w:rsid w:val="00695B72"/>
    <w:rsid w:val="00695DC8"/>
    <w:rsid w:val="00695E68"/>
    <w:rsid w:val="00695FB2"/>
    <w:rsid w:val="006960DA"/>
    <w:rsid w:val="0069610B"/>
    <w:rsid w:val="0069613C"/>
    <w:rsid w:val="00696213"/>
    <w:rsid w:val="0069634E"/>
    <w:rsid w:val="00696427"/>
    <w:rsid w:val="00696438"/>
    <w:rsid w:val="006977E9"/>
    <w:rsid w:val="00697961"/>
    <w:rsid w:val="00697A8D"/>
    <w:rsid w:val="006A0018"/>
    <w:rsid w:val="006A0051"/>
    <w:rsid w:val="006A01A7"/>
    <w:rsid w:val="006A04BE"/>
    <w:rsid w:val="006A05CE"/>
    <w:rsid w:val="006A08A8"/>
    <w:rsid w:val="006A0D33"/>
    <w:rsid w:val="006A0D90"/>
    <w:rsid w:val="006A0F79"/>
    <w:rsid w:val="006A1296"/>
    <w:rsid w:val="006A150D"/>
    <w:rsid w:val="006A1BEF"/>
    <w:rsid w:val="006A1C0F"/>
    <w:rsid w:val="006A1C81"/>
    <w:rsid w:val="006A203D"/>
    <w:rsid w:val="006A230E"/>
    <w:rsid w:val="006A24CA"/>
    <w:rsid w:val="006A254A"/>
    <w:rsid w:val="006A2B59"/>
    <w:rsid w:val="006A2E28"/>
    <w:rsid w:val="006A2FE3"/>
    <w:rsid w:val="006A342B"/>
    <w:rsid w:val="006A3544"/>
    <w:rsid w:val="006A35AA"/>
    <w:rsid w:val="006A363E"/>
    <w:rsid w:val="006A3900"/>
    <w:rsid w:val="006A3A12"/>
    <w:rsid w:val="006A438D"/>
    <w:rsid w:val="006A4423"/>
    <w:rsid w:val="006A469F"/>
    <w:rsid w:val="006A47C6"/>
    <w:rsid w:val="006A48E7"/>
    <w:rsid w:val="006A48F2"/>
    <w:rsid w:val="006A49E5"/>
    <w:rsid w:val="006A4A9A"/>
    <w:rsid w:val="006A4B18"/>
    <w:rsid w:val="006A4DB5"/>
    <w:rsid w:val="006A4E59"/>
    <w:rsid w:val="006A4EE5"/>
    <w:rsid w:val="006A4F72"/>
    <w:rsid w:val="006A5064"/>
    <w:rsid w:val="006A5137"/>
    <w:rsid w:val="006A525F"/>
    <w:rsid w:val="006A53AF"/>
    <w:rsid w:val="006A55F2"/>
    <w:rsid w:val="006A58F9"/>
    <w:rsid w:val="006A599C"/>
    <w:rsid w:val="006A5A55"/>
    <w:rsid w:val="006A5DDC"/>
    <w:rsid w:val="006A5EBF"/>
    <w:rsid w:val="006A6134"/>
    <w:rsid w:val="006A62B0"/>
    <w:rsid w:val="006A64AB"/>
    <w:rsid w:val="006A6610"/>
    <w:rsid w:val="006A67B0"/>
    <w:rsid w:val="006A6898"/>
    <w:rsid w:val="006A68F0"/>
    <w:rsid w:val="006A6A4A"/>
    <w:rsid w:val="006A6D17"/>
    <w:rsid w:val="006A6E71"/>
    <w:rsid w:val="006A715E"/>
    <w:rsid w:val="006A73D8"/>
    <w:rsid w:val="006A7890"/>
    <w:rsid w:val="006A78CB"/>
    <w:rsid w:val="006A7943"/>
    <w:rsid w:val="006A79B9"/>
    <w:rsid w:val="006A7A48"/>
    <w:rsid w:val="006A7ECC"/>
    <w:rsid w:val="006A7F3B"/>
    <w:rsid w:val="006A7FB7"/>
    <w:rsid w:val="006B0153"/>
    <w:rsid w:val="006B050E"/>
    <w:rsid w:val="006B05EE"/>
    <w:rsid w:val="006B06C3"/>
    <w:rsid w:val="006B0880"/>
    <w:rsid w:val="006B088F"/>
    <w:rsid w:val="006B0B0D"/>
    <w:rsid w:val="006B0BDF"/>
    <w:rsid w:val="006B0D1D"/>
    <w:rsid w:val="006B10D8"/>
    <w:rsid w:val="006B118C"/>
    <w:rsid w:val="006B1198"/>
    <w:rsid w:val="006B11D0"/>
    <w:rsid w:val="006B16BE"/>
    <w:rsid w:val="006B18D3"/>
    <w:rsid w:val="006B1D0E"/>
    <w:rsid w:val="006B26F7"/>
    <w:rsid w:val="006B2A7B"/>
    <w:rsid w:val="006B2A91"/>
    <w:rsid w:val="006B307B"/>
    <w:rsid w:val="006B3106"/>
    <w:rsid w:val="006B33E3"/>
    <w:rsid w:val="006B3928"/>
    <w:rsid w:val="006B3B05"/>
    <w:rsid w:val="006B3E43"/>
    <w:rsid w:val="006B3F3D"/>
    <w:rsid w:val="006B4291"/>
    <w:rsid w:val="006B43CE"/>
    <w:rsid w:val="006B443D"/>
    <w:rsid w:val="006B468A"/>
    <w:rsid w:val="006B46FD"/>
    <w:rsid w:val="006B4710"/>
    <w:rsid w:val="006B4763"/>
    <w:rsid w:val="006B490F"/>
    <w:rsid w:val="006B4FAB"/>
    <w:rsid w:val="006B511B"/>
    <w:rsid w:val="006B51C6"/>
    <w:rsid w:val="006B5324"/>
    <w:rsid w:val="006B56E4"/>
    <w:rsid w:val="006B584B"/>
    <w:rsid w:val="006B5B1D"/>
    <w:rsid w:val="006B5B5F"/>
    <w:rsid w:val="006B5C03"/>
    <w:rsid w:val="006B5CA2"/>
    <w:rsid w:val="006B5FC6"/>
    <w:rsid w:val="006B60F2"/>
    <w:rsid w:val="006B6389"/>
    <w:rsid w:val="006B660C"/>
    <w:rsid w:val="006B68E3"/>
    <w:rsid w:val="006B6A85"/>
    <w:rsid w:val="006B6AEF"/>
    <w:rsid w:val="006B6D15"/>
    <w:rsid w:val="006B6E3C"/>
    <w:rsid w:val="006B7064"/>
    <w:rsid w:val="006B7191"/>
    <w:rsid w:val="006B728E"/>
    <w:rsid w:val="006B7400"/>
    <w:rsid w:val="006B760D"/>
    <w:rsid w:val="006B7688"/>
    <w:rsid w:val="006B76F6"/>
    <w:rsid w:val="006B795B"/>
    <w:rsid w:val="006B7BCD"/>
    <w:rsid w:val="006B7FBA"/>
    <w:rsid w:val="006C01F5"/>
    <w:rsid w:val="006C048C"/>
    <w:rsid w:val="006C04B8"/>
    <w:rsid w:val="006C0AD7"/>
    <w:rsid w:val="006C0C45"/>
    <w:rsid w:val="006C0E35"/>
    <w:rsid w:val="006C1085"/>
    <w:rsid w:val="006C13BF"/>
    <w:rsid w:val="006C1524"/>
    <w:rsid w:val="006C1672"/>
    <w:rsid w:val="006C16F4"/>
    <w:rsid w:val="006C1A90"/>
    <w:rsid w:val="006C1BF6"/>
    <w:rsid w:val="006C1CF7"/>
    <w:rsid w:val="006C1D70"/>
    <w:rsid w:val="006C1DE5"/>
    <w:rsid w:val="006C209E"/>
    <w:rsid w:val="006C22DB"/>
    <w:rsid w:val="006C23B2"/>
    <w:rsid w:val="006C26FA"/>
    <w:rsid w:val="006C27F8"/>
    <w:rsid w:val="006C282E"/>
    <w:rsid w:val="006C2A96"/>
    <w:rsid w:val="006C2BC9"/>
    <w:rsid w:val="006C2FA7"/>
    <w:rsid w:val="006C3133"/>
    <w:rsid w:val="006C3205"/>
    <w:rsid w:val="006C360C"/>
    <w:rsid w:val="006C399C"/>
    <w:rsid w:val="006C3C17"/>
    <w:rsid w:val="006C400D"/>
    <w:rsid w:val="006C430E"/>
    <w:rsid w:val="006C4370"/>
    <w:rsid w:val="006C43C1"/>
    <w:rsid w:val="006C44AD"/>
    <w:rsid w:val="006C46F9"/>
    <w:rsid w:val="006C4837"/>
    <w:rsid w:val="006C4844"/>
    <w:rsid w:val="006C4A84"/>
    <w:rsid w:val="006C4A9D"/>
    <w:rsid w:val="006C4B20"/>
    <w:rsid w:val="006C4BA5"/>
    <w:rsid w:val="006C4C14"/>
    <w:rsid w:val="006C4C4C"/>
    <w:rsid w:val="006C4EBE"/>
    <w:rsid w:val="006C532D"/>
    <w:rsid w:val="006C5681"/>
    <w:rsid w:val="006C587F"/>
    <w:rsid w:val="006C5907"/>
    <w:rsid w:val="006C5EE4"/>
    <w:rsid w:val="006C5F51"/>
    <w:rsid w:val="006C5F7D"/>
    <w:rsid w:val="006C602D"/>
    <w:rsid w:val="006C62F7"/>
    <w:rsid w:val="006C63B0"/>
    <w:rsid w:val="006C656B"/>
    <w:rsid w:val="006C6664"/>
    <w:rsid w:val="006C6845"/>
    <w:rsid w:val="006C69C5"/>
    <w:rsid w:val="006C6B50"/>
    <w:rsid w:val="006C6B8F"/>
    <w:rsid w:val="006C6C50"/>
    <w:rsid w:val="006C6ED6"/>
    <w:rsid w:val="006C6FF4"/>
    <w:rsid w:val="006C7922"/>
    <w:rsid w:val="006C7D7A"/>
    <w:rsid w:val="006C7ECB"/>
    <w:rsid w:val="006C7FC7"/>
    <w:rsid w:val="006D02ED"/>
    <w:rsid w:val="006D03DD"/>
    <w:rsid w:val="006D049E"/>
    <w:rsid w:val="006D05CA"/>
    <w:rsid w:val="006D05D4"/>
    <w:rsid w:val="006D07DC"/>
    <w:rsid w:val="006D0C4A"/>
    <w:rsid w:val="006D1436"/>
    <w:rsid w:val="006D1A6A"/>
    <w:rsid w:val="006D1B89"/>
    <w:rsid w:val="006D1D5A"/>
    <w:rsid w:val="006D1E56"/>
    <w:rsid w:val="006D2029"/>
    <w:rsid w:val="006D247F"/>
    <w:rsid w:val="006D25A4"/>
    <w:rsid w:val="006D265F"/>
    <w:rsid w:val="006D2953"/>
    <w:rsid w:val="006D2E21"/>
    <w:rsid w:val="006D2FC0"/>
    <w:rsid w:val="006D30C8"/>
    <w:rsid w:val="006D30FD"/>
    <w:rsid w:val="006D31EC"/>
    <w:rsid w:val="006D36B8"/>
    <w:rsid w:val="006D375D"/>
    <w:rsid w:val="006D3A63"/>
    <w:rsid w:val="006D3D43"/>
    <w:rsid w:val="006D3E68"/>
    <w:rsid w:val="006D4368"/>
    <w:rsid w:val="006D46B3"/>
    <w:rsid w:val="006D4780"/>
    <w:rsid w:val="006D48E6"/>
    <w:rsid w:val="006D4A5F"/>
    <w:rsid w:val="006D4F7F"/>
    <w:rsid w:val="006D547B"/>
    <w:rsid w:val="006D55DE"/>
    <w:rsid w:val="006D5A27"/>
    <w:rsid w:val="006D5AC7"/>
    <w:rsid w:val="006D5BBC"/>
    <w:rsid w:val="006D5D17"/>
    <w:rsid w:val="006D6002"/>
    <w:rsid w:val="006D6033"/>
    <w:rsid w:val="006D644E"/>
    <w:rsid w:val="006D648C"/>
    <w:rsid w:val="006D6744"/>
    <w:rsid w:val="006D679F"/>
    <w:rsid w:val="006D68C5"/>
    <w:rsid w:val="006D69AA"/>
    <w:rsid w:val="006D6C0C"/>
    <w:rsid w:val="006D7076"/>
    <w:rsid w:val="006D7294"/>
    <w:rsid w:val="006D72CF"/>
    <w:rsid w:val="006D739B"/>
    <w:rsid w:val="006D7619"/>
    <w:rsid w:val="006D77E4"/>
    <w:rsid w:val="006D77E9"/>
    <w:rsid w:val="006D7BD1"/>
    <w:rsid w:val="006D7D74"/>
    <w:rsid w:val="006D7D87"/>
    <w:rsid w:val="006E0100"/>
    <w:rsid w:val="006E03F3"/>
    <w:rsid w:val="006E04DB"/>
    <w:rsid w:val="006E05FD"/>
    <w:rsid w:val="006E07AE"/>
    <w:rsid w:val="006E08D1"/>
    <w:rsid w:val="006E093F"/>
    <w:rsid w:val="006E0B2C"/>
    <w:rsid w:val="006E0B8B"/>
    <w:rsid w:val="006E0B8E"/>
    <w:rsid w:val="006E1507"/>
    <w:rsid w:val="006E1541"/>
    <w:rsid w:val="006E1804"/>
    <w:rsid w:val="006E1886"/>
    <w:rsid w:val="006E18D2"/>
    <w:rsid w:val="006E18E5"/>
    <w:rsid w:val="006E19BC"/>
    <w:rsid w:val="006E1D30"/>
    <w:rsid w:val="006E1FEB"/>
    <w:rsid w:val="006E20D8"/>
    <w:rsid w:val="006E2285"/>
    <w:rsid w:val="006E2331"/>
    <w:rsid w:val="006E2422"/>
    <w:rsid w:val="006E2462"/>
    <w:rsid w:val="006E2882"/>
    <w:rsid w:val="006E2A03"/>
    <w:rsid w:val="006E2B71"/>
    <w:rsid w:val="006E2BB9"/>
    <w:rsid w:val="006E2C05"/>
    <w:rsid w:val="006E2C3C"/>
    <w:rsid w:val="006E2CFE"/>
    <w:rsid w:val="006E316E"/>
    <w:rsid w:val="006E3177"/>
    <w:rsid w:val="006E31D5"/>
    <w:rsid w:val="006E3254"/>
    <w:rsid w:val="006E38BC"/>
    <w:rsid w:val="006E3C27"/>
    <w:rsid w:val="006E3C8A"/>
    <w:rsid w:val="006E3DD4"/>
    <w:rsid w:val="006E3ECA"/>
    <w:rsid w:val="006E454A"/>
    <w:rsid w:val="006E47BE"/>
    <w:rsid w:val="006E4980"/>
    <w:rsid w:val="006E4B94"/>
    <w:rsid w:val="006E4DD6"/>
    <w:rsid w:val="006E523B"/>
    <w:rsid w:val="006E56AD"/>
    <w:rsid w:val="006E5804"/>
    <w:rsid w:val="006E5D54"/>
    <w:rsid w:val="006E5FA1"/>
    <w:rsid w:val="006E61F0"/>
    <w:rsid w:val="006E6349"/>
    <w:rsid w:val="006E63B4"/>
    <w:rsid w:val="006E660F"/>
    <w:rsid w:val="006E6933"/>
    <w:rsid w:val="006E6988"/>
    <w:rsid w:val="006E69FE"/>
    <w:rsid w:val="006E6ECB"/>
    <w:rsid w:val="006E6F19"/>
    <w:rsid w:val="006E71AB"/>
    <w:rsid w:val="006E71B2"/>
    <w:rsid w:val="006E7C48"/>
    <w:rsid w:val="006E7CE8"/>
    <w:rsid w:val="006E7D0E"/>
    <w:rsid w:val="006E7D97"/>
    <w:rsid w:val="006E7DE0"/>
    <w:rsid w:val="006E7FDB"/>
    <w:rsid w:val="006F00B2"/>
    <w:rsid w:val="006F04A8"/>
    <w:rsid w:val="006F0967"/>
    <w:rsid w:val="006F1001"/>
    <w:rsid w:val="006F1311"/>
    <w:rsid w:val="006F1355"/>
    <w:rsid w:val="006F18EF"/>
    <w:rsid w:val="006F1A09"/>
    <w:rsid w:val="006F1B32"/>
    <w:rsid w:val="006F1E42"/>
    <w:rsid w:val="006F232D"/>
    <w:rsid w:val="006F24D6"/>
    <w:rsid w:val="006F258E"/>
    <w:rsid w:val="006F281C"/>
    <w:rsid w:val="006F28A6"/>
    <w:rsid w:val="006F29D0"/>
    <w:rsid w:val="006F2B6A"/>
    <w:rsid w:val="006F2CBB"/>
    <w:rsid w:val="006F2EAC"/>
    <w:rsid w:val="006F3132"/>
    <w:rsid w:val="006F32DF"/>
    <w:rsid w:val="006F3899"/>
    <w:rsid w:val="006F3BCE"/>
    <w:rsid w:val="006F3D22"/>
    <w:rsid w:val="006F4080"/>
    <w:rsid w:val="006F4485"/>
    <w:rsid w:val="006F46B0"/>
    <w:rsid w:val="006F47D8"/>
    <w:rsid w:val="006F486F"/>
    <w:rsid w:val="006F48C3"/>
    <w:rsid w:val="006F492A"/>
    <w:rsid w:val="006F4A7D"/>
    <w:rsid w:val="006F4BA5"/>
    <w:rsid w:val="006F4BE6"/>
    <w:rsid w:val="006F4C61"/>
    <w:rsid w:val="006F4F7E"/>
    <w:rsid w:val="006F4FE9"/>
    <w:rsid w:val="006F51A9"/>
    <w:rsid w:val="006F523E"/>
    <w:rsid w:val="006F5445"/>
    <w:rsid w:val="006F5481"/>
    <w:rsid w:val="006F5741"/>
    <w:rsid w:val="006F5873"/>
    <w:rsid w:val="006F588F"/>
    <w:rsid w:val="006F58A0"/>
    <w:rsid w:val="006F5BF4"/>
    <w:rsid w:val="006F5F9A"/>
    <w:rsid w:val="006F6303"/>
    <w:rsid w:val="006F6486"/>
    <w:rsid w:val="006F680A"/>
    <w:rsid w:val="006F6F69"/>
    <w:rsid w:val="006F721B"/>
    <w:rsid w:val="006F7325"/>
    <w:rsid w:val="006F77CE"/>
    <w:rsid w:val="006F782F"/>
    <w:rsid w:val="006F78A6"/>
    <w:rsid w:val="006F7A06"/>
    <w:rsid w:val="006F7B68"/>
    <w:rsid w:val="006F7D55"/>
    <w:rsid w:val="006F7F1B"/>
    <w:rsid w:val="00700346"/>
    <w:rsid w:val="0070043F"/>
    <w:rsid w:val="007004C1"/>
    <w:rsid w:val="00700B14"/>
    <w:rsid w:val="00700B9D"/>
    <w:rsid w:val="00700C93"/>
    <w:rsid w:val="00700CAD"/>
    <w:rsid w:val="00700DDD"/>
    <w:rsid w:val="00700E1E"/>
    <w:rsid w:val="00700F1A"/>
    <w:rsid w:val="00701483"/>
    <w:rsid w:val="00701AB3"/>
    <w:rsid w:val="00701B17"/>
    <w:rsid w:val="00701C01"/>
    <w:rsid w:val="007023D4"/>
    <w:rsid w:val="007023FC"/>
    <w:rsid w:val="00702AE3"/>
    <w:rsid w:val="00702B6D"/>
    <w:rsid w:val="00702EA3"/>
    <w:rsid w:val="007032BC"/>
    <w:rsid w:val="00703491"/>
    <w:rsid w:val="0070364D"/>
    <w:rsid w:val="0070379C"/>
    <w:rsid w:val="00703890"/>
    <w:rsid w:val="00703906"/>
    <w:rsid w:val="00703B57"/>
    <w:rsid w:val="00703C53"/>
    <w:rsid w:val="00704271"/>
    <w:rsid w:val="007042B2"/>
    <w:rsid w:val="007045C3"/>
    <w:rsid w:val="00704ACC"/>
    <w:rsid w:val="00704C88"/>
    <w:rsid w:val="00704DC2"/>
    <w:rsid w:val="00704E25"/>
    <w:rsid w:val="00704EDC"/>
    <w:rsid w:val="007052B9"/>
    <w:rsid w:val="00705666"/>
    <w:rsid w:val="00705A15"/>
    <w:rsid w:val="00705ABE"/>
    <w:rsid w:val="00705B36"/>
    <w:rsid w:val="00705BEE"/>
    <w:rsid w:val="00705C2F"/>
    <w:rsid w:val="00705D9A"/>
    <w:rsid w:val="00705F3F"/>
    <w:rsid w:val="007061F8"/>
    <w:rsid w:val="007063FC"/>
    <w:rsid w:val="00706502"/>
    <w:rsid w:val="00706582"/>
    <w:rsid w:val="00706645"/>
    <w:rsid w:val="00706648"/>
    <w:rsid w:val="0070682E"/>
    <w:rsid w:val="00706AC3"/>
    <w:rsid w:val="00706BD1"/>
    <w:rsid w:val="00706CDB"/>
    <w:rsid w:val="0070720A"/>
    <w:rsid w:val="00707378"/>
    <w:rsid w:val="007073F4"/>
    <w:rsid w:val="007078F0"/>
    <w:rsid w:val="00707AD5"/>
    <w:rsid w:val="00710104"/>
    <w:rsid w:val="007101E7"/>
    <w:rsid w:val="00710239"/>
    <w:rsid w:val="007102AB"/>
    <w:rsid w:val="0071060F"/>
    <w:rsid w:val="00710A88"/>
    <w:rsid w:val="00710AC3"/>
    <w:rsid w:val="00710CAC"/>
    <w:rsid w:val="00710DDB"/>
    <w:rsid w:val="00710E51"/>
    <w:rsid w:val="00711691"/>
    <w:rsid w:val="007116B4"/>
    <w:rsid w:val="007117EA"/>
    <w:rsid w:val="00711AA1"/>
    <w:rsid w:val="00711B10"/>
    <w:rsid w:val="00711B9F"/>
    <w:rsid w:val="00711BE8"/>
    <w:rsid w:val="00711E5A"/>
    <w:rsid w:val="00711FEF"/>
    <w:rsid w:val="007124E2"/>
    <w:rsid w:val="007126C0"/>
    <w:rsid w:val="007126C6"/>
    <w:rsid w:val="007127F1"/>
    <w:rsid w:val="00712A7D"/>
    <w:rsid w:val="00712C65"/>
    <w:rsid w:val="00712E13"/>
    <w:rsid w:val="00712F0C"/>
    <w:rsid w:val="0071306D"/>
    <w:rsid w:val="00713466"/>
    <w:rsid w:val="007136D0"/>
    <w:rsid w:val="007138CD"/>
    <w:rsid w:val="00713A95"/>
    <w:rsid w:val="00713B0A"/>
    <w:rsid w:val="007142C3"/>
    <w:rsid w:val="00714397"/>
    <w:rsid w:val="007144C8"/>
    <w:rsid w:val="00714761"/>
    <w:rsid w:val="007147C1"/>
    <w:rsid w:val="00714950"/>
    <w:rsid w:val="00714C88"/>
    <w:rsid w:val="00714CC7"/>
    <w:rsid w:val="00714DF0"/>
    <w:rsid w:val="007151D2"/>
    <w:rsid w:val="007153A5"/>
    <w:rsid w:val="0071560C"/>
    <w:rsid w:val="00715634"/>
    <w:rsid w:val="0071567C"/>
    <w:rsid w:val="007156DE"/>
    <w:rsid w:val="007158EA"/>
    <w:rsid w:val="00715A6E"/>
    <w:rsid w:val="00716620"/>
    <w:rsid w:val="00716803"/>
    <w:rsid w:val="00716AD8"/>
    <w:rsid w:val="00716E93"/>
    <w:rsid w:val="00716EB4"/>
    <w:rsid w:val="007171B5"/>
    <w:rsid w:val="007171EA"/>
    <w:rsid w:val="00717232"/>
    <w:rsid w:val="007172FC"/>
    <w:rsid w:val="007173B4"/>
    <w:rsid w:val="00717601"/>
    <w:rsid w:val="00717793"/>
    <w:rsid w:val="00717AC5"/>
    <w:rsid w:val="00717D34"/>
    <w:rsid w:val="00717E48"/>
    <w:rsid w:val="00720BE7"/>
    <w:rsid w:val="00720D92"/>
    <w:rsid w:val="007214C1"/>
    <w:rsid w:val="007215A9"/>
    <w:rsid w:val="00721D98"/>
    <w:rsid w:val="0072222E"/>
    <w:rsid w:val="0072224E"/>
    <w:rsid w:val="0072234B"/>
    <w:rsid w:val="007223BA"/>
    <w:rsid w:val="00722400"/>
    <w:rsid w:val="0072246A"/>
    <w:rsid w:val="007224D5"/>
    <w:rsid w:val="00722620"/>
    <w:rsid w:val="0072272A"/>
    <w:rsid w:val="00722B56"/>
    <w:rsid w:val="00722C86"/>
    <w:rsid w:val="007233C2"/>
    <w:rsid w:val="00723586"/>
    <w:rsid w:val="007235B5"/>
    <w:rsid w:val="00723605"/>
    <w:rsid w:val="0072369A"/>
    <w:rsid w:val="007236AC"/>
    <w:rsid w:val="007236E4"/>
    <w:rsid w:val="00723CA2"/>
    <w:rsid w:val="00723DB9"/>
    <w:rsid w:val="00723E9D"/>
    <w:rsid w:val="00723ED0"/>
    <w:rsid w:val="007247BC"/>
    <w:rsid w:val="00724967"/>
    <w:rsid w:val="00724D99"/>
    <w:rsid w:val="00724DD5"/>
    <w:rsid w:val="00724E9C"/>
    <w:rsid w:val="007250DC"/>
    <w:rsid w:val="0072541F"/>
    <w:rsid w:val="007256C6"/>
    <w:rsid w:val="007256D9"/>
    <w:rsid w:val="00725C78"/>
    <w:rsid w:val="00725F37"/>
    <w:rsid w:val="0072612B"/>
    <w:rsid w:val="007264F3"/>
    <w:rsid w:val="00726588"/>
    <w:rsid w:val="00726815"/>
    <w:rsid w:val="0072683B"/>
    <w:rsid w:val="0072710F"/>
    <w:rsid w:val="0072727E"/>
    <w:rsid w:val="0072768B"/>
    <w:rsid w:val="00727775"/>
    <w:rsid w:val="007278FD"/>
    <w:rsid w:val="00727B87"/>
    <w:rsid w:val="00727EBE"/>
    <w:rsid w:val="00727F28"/>
    <w:rsid w:val="00727FA9"/>
    <w:rsid w:val="007309EC"/>
    <w:rsid w:val="00730C7E"/>
    <w:rsid w:val="00730CAB"/>
    <w:rsid w:val="00730F29"/>
    <w:rsid w:val="00731096"/>
    <w:rsid w:val="0073192A"/>
    <w:rsid w:val="007319D8"/>
    <w:rsid w:val="00731C0B"/>
    <w:rsid w:val="00731CE4"/>
    <w:rsid w:val="00731FF3"/>
    <w:rsid w:val="0073226F"/>
    <w:rsid w:val="00732292"/>
    <w:rsid w:val="00732410"/>
    <w:rsid w:val="007324AF"/>
    <w:rsid w:val="007326B8"/>
    <w:rsid w:val="00732A38"/>
    <w:rsid w:val="00733071"/>
    <w:rsid w:val="007333A2"/>
    <w:rsid w:val="00733C7B"/>
    <w:rsid w:val="00734147"/>
    <w:rsid w:val="00734354"/>
    <w:rsid w:val="0073473B"/>
    <w:rsid w:val="007349F0"/>
    <w:rsid w:val="007349F5"/>
    <w:rsid w:val="00734A3B"/>
    <w:rsid w:val="00734B01"/>
    <w:rsid w:val="00734B11"/>
    <w:rsid w:val="00734BF6"/>
    <w:rsid w:val="00734C29"/>
    <w:rsid w:val="00734E96"/>
    <w:rsid w:val="0073515E"/>
    <w:rsid w:val="007356F2"/>
    <w:rsid w:val="00735CE0"/>
    <w:rsid w:val="00735F54"/>
    <w:rsid w:val="007364F6"/>
    <w:rsid w:val="00736722"/>
    <w:rsid w:val="00736725"/>
    <w:rsid w:val="00736973"/>
    <w:rsid w:val="00736A8D"/>
    <w:rsid w:val="007371F2"/>
    <w:rsid w:val="00737330"/>
    <w:rsid w:val="0073745D"/>
    <w:rsid w:val="0073751F"/>
    <w:rsid w:val="00737A8A"/>
    <w:rsid w:val="00737C38"/>
    <w:rsid w:val="00740115"/>
    <w:rsid w:val="00740510"/>
    <w:rsid w:val="00740F18"/>
    <w:rsid w:val="00741270"/>
    <w:rsid w:val="0074153B"/>
    <w:rsid w:val="00741564"/>
    <w:rsid w:val="00741878"/>
    <w:rsid w:val="0074188D"/>
    <w:rsid w:val="00741A20"/>
    <w:rsid w:val="00741DF6"/>
    <w:rsid w:val="00741FD6"/>
    <w:rsid w:val="0074249D"/>
    <w:rsid w:val="007424F2"/>
    <w:rsid w:val="007429FD"/>
    <w:rsid w:val="00742D88"/>
    <w:rsid w:val="007434DE"/>
    <w:rsid w:val="0074355E"/>
    <w:rsid w:val="007437AE"/>
    <w:rsid w:val="00743825"/>
    <w:rsid w:val="007438DA"/>
    <w:rsid w:val="00743953"/>
    <w:rsid w:val="00743B2C"/>
    <w:rsid w:val="00743BA6"/>
    <w:rsid w:val="007442B2"/>
    <w:rsid w:val="007443AD"/>
    <w:rsid w:val="00744570"/>
    <w:rsid w:val="0074462D"/>
    <w:rsid w:val="007446AE"/>
    <w:rsid w:val="00744889"/>
    <w:rsid w:val="0074495D"/>
    <w:rsid w:val="00744AEF"/>
    <w:rsid w:val="00744E03"/>
    <w:rsid w:val="00744EC9"/>
    <w:rsid w:val="00744EF6"/>
    <w:rsid w:val="00744FD8"/>
    <w:rsid w:val="0074509A"/>
    <w:rsid w:val="007452C4"/>
    <w:rsid w:val="0074551C"/>
    <w:rsid w:val="007457BF"/>
    <w:rsid w:val="00745CD1"/>
    <w:rsid w:val="00745DA2"/>
    <w:rsid w:val="00745F2B"/>
    <w:rsid w:val="00746259"/>
    <w:rsid w:val="0074632B"/>
    <w:rsid w:val="00746BBD"/>
    <w:rsid w:val="00746C3D"/>
    <w:rsid w:val="00746C44"/>
    <w:rsid w:val="00746FF9"/>
    <w:rsid w:val="00747175"/>
    <w:rsid w:val="00747729"/>
    <w:rsid w:val="00747E54"/>
    <w:rsid w:val="007500D1"/>
    <w:rsid w:val="0075043B"/>
    <w:rsid w:val="00750584"/>
    <w:rsid w:val="007505DC"/>
    <w:rsid w:val="00750673"/>
    <w:rsid w:val="007507FC"/>
    <w:rsid w:val="007509FE"/>
    <w:rsid w:val="00750A13"/>
    <w:rsid w:val="00750A1E"/>
    <w:rsid w:val="00750F80"/>
    <w:rsid w:val="00750F8B"/>
    <w:rsid w:val="0075115A"/>
    <w:rsid w:val="007511E5"/>
    <w:rsid w:val="0075137F"/>
    <w:rsid w:val="00751837"/>
    <w:rsid w:val="00751919"/>
    <w:rsid w:val="00751A47"/>
    <w:rsid w:val="00751B50"/>
    <w:rsid w:val="00751B82"/>
    <w:rsid w:val="00751C8E"/>
    <w:rsid w:val="00751F70"/>
    <w:rsid w:val="00752130"/>
    <w:rsid w:val="007521F9"/>
    <w:rsid w:val="00752278"/>
    <w:rsid w:val="007527EC"/>
    <w:rsid w:val="00752902"/>
    <w:rsid w:val="00752FA8"/>
    <w:rsid w:val="00753047"/>
    <w:rsid w:val="00753465"/>
    <w:rsid w:val="0075347E"/>
    <w:rsid w:val="00753615"/>
    <w:rsid w:val="00753B5B"/>
    <w:rsid w:val="00753B5C"/>
    <w:rsid w:val="00753BD9"/>
    <w:rsid w:val="00753C8A"/>
    <w:rsid w:val="007545ED"/>
    <w:rsid w:val="0075494A"/>
    <w:rsid w:val="00754952"/>
    <w:rsid w:val="00754F81"/>
    <w:rsid w:val="00755324"/>
    <w:rsid w:val="00755332"/>
    <w:rsid w:val="00755348"/>
    <w:rsid w:val="00755445"/>
    <w:rsid w:val="007558C5"/>
    <w:rsid w:val="00755923"/>
    <w:rsid w:val="00755984"/>
    <w:rsid w:val="00755ADC"/>
    <w:rsid w:val="00755E5C"/>
    <w:rsid w:val="00755FC6"/>
    <w:rsid w:val="0075611D"/>
    <w:rsid w:val="0075625A"/>
    <w:rsid w:val="007562A3"/>
    <w:rsid w:val="00756A24"/>
    <w:rsid w:val="00756A72"/>
    <w:rsid w:val="00756B72"/>
    <w:rsid w:val="00756BB4"/>
    <w:rsid w:val="00756D10"/>
    <w:rsid w:val="00757262"/>
    <w:rsid w:val="00757462"/>
    <w:rsid w:val="007575AE"/>
    <w:rsid w:val="00757B22"/>
    <w:rsid w:val="00757BD4"/>
    <w:rsid w:val="00757C16"/>
    <w:rsid w:val="00757D2A"/>
    <w:rsid w:val="00757D58"/>
    <w:rsid w:val="00757E6D"/>
    <w:rsid w:val="00757EA0"/>
    <w:rsid w:val="00757EBC"/>
    <w:rsid w:val="00760200"/>
    <w:rsid w:val="007607D0"/>
    <w:rsid w:val="00760A67"/>
    <w:rsid w:val="00760C98"/>
    <w:rsid w:val="00760E83"/>
    <w:rsid w:val="007611F9"/>
    <w:rsid w:val="00761377"/>
    <w:rsid w:val="00761527"/>
    <w:rsid w:val="0076197B"/>
    <w:rsid w:val="00761A0B"/>
    <w:rsid w:val="00761F84"/>
    <w:rsid w:val="00762002"/>
    <w:rsid w:val="007620A9"/>
    <w:rsid w:val="0076227B"/>
    <w:rsid w:val="00762445"/>
    <w:rsid w:val="00762787"/>
    <w:rsid w:val="007629AB"/>
    <w:rsid w:val="007629C6"/>
    <w:rsid w:val="007629DB"/>
    <w:rsid w:val="00762A98"/>
    <w:rsid w:val="00762AE8"/>
    <w:rsid w:val="00762C70"/>
    <w:rsid w:val="0076324E"/>
    <w:rsid w:val="007633C9"/>
    <w:rsid w:val="00763856"/>
    <w:rsid w:val="0076399F"/>
    <w:rsid w:val="00763E00"/>
    <w:rsid w:val="00764135"/>
    <w:rsid w:val="00764564"/>
    <w:rsid w:val="00764779"/>
    <w:rsid w:val="007647EF"/>
    <w:rsid w:val="00764AD1"/>
    <w:rsid w:val="00764B5B"/>
    <w:rsid w:val="00764E19"/>
    <w:rsid w:val="007651AC"/>
    <w:rsid w:val="007652A4"/>
    <w:rsid w:val="007652C7"/>
    <w:rsid w:val="0076530A"/>
    <w:rsid w:val="007654A4"/>
    <w:rsid w:val="00765CD9"/>
    <w:rsid w:val="00765F72"/>
    <w:rsid w:val="00765FE2"/>
    <w:rsid w:val="0076614F"/>
    <w:rsid w:val="007661FE"/>
    <w:rsid w:val="007662F6"/>
    <w:rsid w:val="007668B6"/>
    <w:rsid w:val="0076695A"/>
    <w:rsid w:val="007669A2"/>
    <w:rsid w:val="00767000"/>
    <w:rsid w:val="0076758F"/>
    <w:rsid w:val="0076797D"/>
    <w:rsid w:val="007679FE"/>
    <w:rsid w:val="00767A68"/>
    <w:rsid w:val="00767DE9"/>
    <w:rsid w:val="00767FC8"/>
    <w:rsid w:val="00770030"/>
    <w:rsid w:val="00770323"/>
    <w:rsid w:val="007706A2"/>
    <w:rsid w:val="00770702"/>
    <w:rsid w:val="007707BB"/>
    <w:rsid w:val="007707E7"/>
    <w:rsid w:val="0077081D"/>
    <w:rsid w:val="00770894"/>
    <w:rsid w:val="007708FD"/>
    <w:rsid w:val="0077095A"/>
    <w:rsid w:val="00770B28"/>
    <w:rsid w:val="00770CF1"/>
    <w:rsid w:val="00770D1A"/>
    <w:rsid w:val="00770D7F"/>
    <w:rsid w:val="0077106F"/>
    <w:rsid w:val="007711B1"/>
    <w:rsid w:val="00771316"/>
    <w:rsid w:val="007713BB"/>
    <w:rsid w:val="007719B2"/>
    <w:rsid w:val="00771B5D"/>
    <w:rsid w:val="00771ED3"/>
    <w:rsid w:val="00771FAC"/>
    <w:rsid w:val="00771FCB"/>
    <w:rsid w:val="0077212F"/>
    <w:rsid w:val="00772277"/>
    <w:rsid w:val="007722AD"/>
    <w:rsid w:val="0077235D"/>
    <w:rsid w:val="0077267E"/>
    <w:rsid w:val="0077291E"/>
    <w:rsid w:val="00772A4A"/>
    <w:rsid w:val="00772C23"/>
    <w:rsid w:val="00772D33"/>
    <w:rsid w:val="00772E67"/>
    <w:rsid w:val="0077366F"/>
    <w:rsid w:val="007739D8"/>
    <w:rsid w:val="00773D78"/>
    <w:rsid w:val="00773E3A"/>
    <w:rsid w:val="0077406D"/>
    <w:rsid w:val="007740A8"/>
    <w:rsid w:val="00774294"/>
    <w:rsid w:val="007742D5"/>
    <w:rsid w:val="007746CD"/>
    <w:rsid w:val="00774700"/>
    <w:rsid w:val="007748C6"/>
    <w:rsid w:val="00774993"/>
    <w:rsid w:val="007749A9"/>
    <w:rsid w:val="00774A54"/>
    <w:rsid w:val="00774C2B"/>
    <w:rsid w:val="00774C8E"/>
    <w:rsid w:val="00774E1E"/>
    <w:rsid w:val="0077570D"/>
    <w:rsid w:val="00775A31"/>
    <w:rsid w:val="00775AB6"/>
    <w:rsid w:val="00775AD5"/>
    <w:rsid w:val="00775AED"/>
    <w:rsid w:val="00775AEF"/>
    <w:rsid w:val="00775C05"/>
    <w:rsid w:val="00775C7F"/>
    <w:rsid w:val="00775E51"/>
    <w:rsid w:val="00775EF5"/>
    <w:rsid w:val="007761CD"/>
    <w:rsid w:val="00776F45"/>
    <w:rsid w:val="00777286"/>
    <w:rsid w:val="007772C6"/>
    <w:rsid w:val="0077731A"/>
    <w:rsid w:val="007773B5"/>
    <w:rsid w:val="007773C1"/>
    <w:rsid w:val="0077792B"/>
    <w:rsid w:val="007779B5"/>
    <w:rsid w:val="00777BAC"/>
    <w:rsid w:val="00777CB4"/>
    <w:rsid w:val="00777D06"/>
    <w:rsid w:val="00777EC4"/>
    <w:rsid w:val="00780037"/>
    <w:rsid w:val="007801E9"/>
    <w:rsid w:val="007804A9"/>
    <w:rsid w:val="007808C3"/>
    <w:rsid w:val="007808FA"/>
    <w:rsid w:val="00780B60"/>
    <w:rsid w:val="00780B77"/>
    <w:rsid w:val="00780D38"/>
    <w:rsid w:val="00780DEA"/>
    <w:rsid w:val="007812A6"/>
    <w:rsid w:val="007812B0"/>
    <w:rsid w:val="007812F7"/>
    <w:rsid w:val="00781421"/>
    <w:rsid w:val="0078157F"/>
    <w:rsid w:val="007815B6"/>
    <w:rsid w:val="0078163E"/>
    <w:rsid w:val="0078182A"/>
    <w:rsid w:val="00781902"/>
    <w:rsid w:val="007819FB"/>
    <w:rsid w:val="00781A62"/>
    <w:rsid w:val="00781BA3"/>
    <w:rsid w:val="00781D5E"/>
    <w:rsid w:val="00782350"/>
    <w:rsid w:val="007829A4"/>
    <w:rsid w:val="00782F2A"/>
    <w:rsid w:val="0078314F"/>
    <w:rsid w:val="00783274"/>
    <w:rsid w:val="007832EF"/>
    <w:rsid w:val="007833B5"/>
    <w:rsid w:val="007833BE"/>
    <w:rsid w:val="0078351B"/>
    <w:rsid w:val="0078357D"/>
    <w:rsid w:val="007835F7"/>
    <w:rsid w:val="0078372C"/>
    <w:rsid w:val="007837E6"/>
    <w:rsid w:val="007839AE"/>
    <w:rsid w:val="00783A89"/>
    <w:rsid w:val="00783B70"/>
    <w:rsid w:val="00783E05"/>
    <w:rsid w:val="00783F74"/>
    <w:rsid w:val="00784570"/>
    <w:rsid w:val="0078475C"/>
    <w:rsid w:val="00784D60"/>
    <w:rsid w:val="00784E9A"/>
    <w:rsid w:val="00785077"/>
    <w:rsid w:val="00785171"/>
    <w:rsid w:val="007854BD"/>
    <w:rsid w:val="00785961"/>
    <w:rsid w:val="00785D7D"/>
    <w:rsid w:val="00785F92"/>
    <w:rsid w:val="00786932"/>
    <w:rsid w:val="00786D94"/>
    <w:rsid w:val="0078716C"/>
    <w:rsid w:val="007879DF"/>
    <w:rsid w:val="00787ABC"/>
    <w:rsid w:val="00787DEF"/>
    <w:rsid w:val="00790005"/>
    <w:rsid w:val="007901B3"/>
    <w:rsid w:val="0079056B"/>
    <w:rsid w:val="00790BE0"/>
    <w:rsid w:val="00791287"/>
    <w:rsid w:val="007913ED"/>
    <w:rsid w:val="007914FC"/>
    <w:rsid w:val="00791636"/>
    <w:rsid w:val="00791AC6"/>
    <w:rsid w:val="00791E7E"/>
    <w:rsid w:val="00791FE9"/>
    <w:rsid w:val="0079235A"/>
    <w:rsid w:val="0079252F"/>
    <w:rsid w:val="0079268B"/>
    <w:rsid w:val="007926EF"/>
    <w:rsid w:val="00793090"/>
    <w:rsid w:val="0079320D"/>
    <w:rsid w:val="0079387E"/>
    <w:rsid w:val="007939ED"/>
    <w:rsid w:val="00793B1B"/>
    <w:rsid w:val="00793DB8"/>
    <w:rsid w:val="00793DBE"/>
    <w:rsid w:val="00793E10"/>
    <w:rsid w:val="00793E36"/>
    <w:rsid w:val="00793E71"/>
    <w:rsid w:val="00793E92"/>
    <w:rsid w:val="00794002"/>
    <w:rsid w:val="00794060"/>
    <w:rsid w:val="0079413E"/>
    <w:rsid w:val="007942D1"/>
    <w:rsid w:val="0079434A"/>
    <w:rsid w:val="00794448"/>
    <w:rsid w:val="00794728"/>
    <w:rsid w:val="00794CD5"/>
    <w:rsid w:val="00795263"/>
    <w:rsid w:val="0079569E"/>
    <w:rsid w:val="007957B9"/>
    <w:rsid w:val="0079581E"/>
    <w:rsid w:val="00795C5C"/>
    <w:rsid w:val="00795F2E"/>
    <w:rsid w:val="007961B1"/>
    <w:rsid w:val="00796208"/>
    <w:rsid w:val="0079638C"/>
    <w:rsid w:val="007964A4"/>
    <w:rsid w:val="007965CC"/>
    <w:rsid w:val="00796B5C"/>
    <w:rsid w:val="00796C9B"/>
    <w:rsid w:val="00796E07"/>
    <w:rsid w:val="00796F76"/>
    <w:rsid w:val="007970DB"/>
    <w:rsid w:val="0079715C"/>
    <w:rsid w:val="00797296"/>
    <w:rsid w:val="007972A2"/>
    <w:rsid w:val="0079740F"/>
    <w:rsid w:val="00797B81"/>
    <w:rsid w:val="007A0336"/>
    <w:rsid w:val="007A0A30"/>
    <w:rsid w:val="007A0A75"/>
    <w:rsid w:val="007A0AB0"/>
    <w:rsid w:val="007A0AC2"/>
    <w:rsid w:val="007A1098"/>
    <w:rsid w:val="007A1288"/>
    <w:rsid w:val="007A18AD"/>
    <w:rsid w:val="007A1B8C"/>
    <w:rsid w:val="007A1D33"/>
    <w:rsid w:val="007A1D97"/>
    <w:rsid w:val="007A1E4E"/>
    <w:rsid w:val="007A20AD"/>
    <w:rsid w:val="007A2257"/>
    <w:rsid w:val="007A2370"/>
    <w:rsid w:val="007A2507"/>
    <w:rsid w:val="007A255A"/>
    <w:rsid w:val="007A2743"/>
    <w:rsid w:val="007A2BF8"/>
    <w:rsid w:val="007A2F7B"/>
    <w:rsid w:val="007A3089"/>
    <w:rsid w:val="007A3141"/>
    <w:rsid w:val="007A366E"/>
    <w:rsid w:val="007A3E82"/>
    <w:rsid w:val="007A3FAC"/>
    <w:rsid w:val="007A404B"/>
    <w:rsid w:val="007A43EA"/>
    <w:rsid w:val="007A464F"/>
    <w:rsid w:val="007A4A85"/>
    <w:rsid w:val="007A51A5"/>
    <w:rsid w:val="007A5363"/>
    <w:rsid w:val="007A565C"/>
    <w:rsid w:val="007A56DE"/>
    <w:rsid w:val="007A591B"/>
    <w:rsid w:val="007A5B8B"/>
    <w:rsid w:val="007A5FCD"/>
    <w:rsid w:val="007A5FCE"/>
    <w:rsid w:val="007A6065"/>
    <w:rsid w:val="007A6ACB"/>
    <w:rsid w:val="007A6FB8"/>
    <w:rsid w:val="007A7130"/>
    <w:rsid w:val="007A7348"/>
    <w:rsid w:val="007A7443"/>
    <w:rsid w:val="007A745B"/>
    <w:rsid w:val="007A7869"/>
    <w:rsid w:val="007A7991"/>
    <w:rsid w:val="007A7D4B"/>
    <w:rsid w:val="007A7DC4"/>
    <w:rsid w:val="007A7DCA"/>
    <w:rsid w:val="007A7E8C"/>
    <w:rsid w:val="007A7FA9"/>
    <w:rsid w:val="007B0511"/>
    <w:rsid w:val="007B0765"/>
    <w:rsid w:val="007B08EB"/>
    <w:rsid w:val="007B0B13"/>
    <w:rsid w:val="007B0E87"/>
    <w:rsid w:val="007B0EA2"/>
    <w:rsid w:val="007B0F39"/>
    <w:rsid w:val="007B112D"/>
    <w:rsid w:val="007B1231"/>
    <w:rsid w:val="007B128D"/>
    <w:rsid w:val="007B156D"/>
    <w:rsid w:val="007B161B"/>
    <w:rsid w:val="007B1908"/>
    <w:rsid w:val="007B1911"/>
    <w:rsid w:val="007B195A"/>
    <w:rsid w:val="007B1A91"/>
    <w:rsid w:val="007B1AE8"/>
    <w:rsid w:val="007B1B90"/>
    <w:rsid w:val="007B1CA2"/>
    <w:rsid w:val="007B1CE2"/>
    <w:rsid w:val="007B1D59"/>
    <w:rsid w:val="007B1EF3"/>
    <w:rsid w:val="007B2176"/>
    <w:rsid w:val="007B242C"/>
    <w:rsid w:val="007B24B3"/>
    <w:rsid w:val="007B24BC"/>
    <w:rsid w:val="007B2617"/>
    <w:rsid w:val="007B2849"/>
    <w:rsid w:val="007B2963"/>
    <w:rsid w:val="007B2A1F"/>
    <w:rsid w:val="007B2B4B"/>
    <w:rsid w:val="007B2C33"/>
    <w:rsid w:val="007B2C3C"/>
    <w:rsid w:val="007B2CB7"/>
    <w:rsid w:val="007B2F26"/>
    <w:rsid w:val="007B305A"/>
    <w:rsid w:val="007B3216"/>
    <w:rsid w:val="007B3255"/>
    <w:rsid w:val="007B32BA"/>
    <w:rsid w:val="007B32E5"/>
    <w:rsid w:val="007B3379"/>
    <w:rsid w:val="007B34CA"/>
    <w:rsid w:val="007B3D9A"/>
    <w:rsid w:val="007B3E47"/>
    <w:rsid w:val="007B3F62"/>
    <w:rsid w:val="007B3F9D"/>
    <w:rsid w:val="007B41D3"/>
    <w:rsid w:val="007B4272"/>
    <w:rsid w:val="007B42BD"/>
    <w:rsid w:val="007B4422"/>
    <w:rsid w:val="007B4871"/>
    <w:rsid w:val="007B4B0B"/>
    <w:rsid w:val="007B4B85"/>
    <w:rsid w:val="007B4E12"/>
    <w:rsid w:val="007B5178"/>
    <w:rsid w:val="007B530D"/>
    <w:rsid w:val="007B545B"/>
    <w:rsid w:val="007B57B6"/>
    <w:rsid w:val="007B59B9"/>
    <w:rsid w:val="007B5C8C"/>
    <w:rsid w:val="007B5D23"/>
    <w:rsid w:val="007B5E24"/>
    <w:rsid w:val="007B5E46"/>
    <w:rsid w:val="007B64E5"/>
    <w:rsid w:val="007B65E1"/>
    <w:rsid w:val="007B68E5"/>
    <w:rsid w:val="007B6C0E"/>
    <w:rsid w:val="007B6D3A"/>
    <w:rsid w:val="007B711A"/>
    <w:rsid w:val="007B71AC"/>
    <w:rsid w:val="007B7468"/>
    <w:rsid w:val="007B7836"/>
    <w:rsid w:val="007B7DDA"/>
    <w:rsid w:val="007B7E87"/>
    <w:rsid w:val="007C02D3"/>
    <w:rsid w:val="007C0395"/>
    <w:rsid w:val="007C0399"/>
    <w:rsid w:val="007C0BA8"/>
    <w:rsid w:val="007C0C7F"/>
    <w:rsid w:val="007C1135"/>
    <w:rsid w:val="007C1161"/>
    <w:rsid w:val="007C15EE"/>
    <w:rsid w:val="007C163B"/>
    <w:rsid w:val="007C19ED"/>
    <w:rsid w:val="007C1DF6"/>
    <w:rsid w:val="007C21C2"/>
    <w:rsid w:val="007C251A"/>
    <w:rsid w:val="007C2852"/>
    <w:rsid w:val="007C28C4"/>
    <w:rsid w:val="007C29C2"/>
    <w:rsid w:val="007C2A3C"/>
    <w:rsid w:val="007C318F"/>
    <w:rsid w:val="007C35EB"/>
    <w:rsid w:val="007C38CA"/>
    <w:rsid w:val="007C3A35"/>
    <w:rsid w:val="007C3BC6"/>
    <w:rsid w:val="007C3C10"/>
    <w:rsid w:val="007C406A"/>
    <w:rsid w:val="007C4158"/>
    <w:rsid w:val="007C41B6"/>
    <w:rsid w:val="007C4218"/>
    <w:rsid w:val="007C4488"/>
    <w:rsid w:val="007C4608"/>
    <w:rsid w:val="007C4731"/>
    <w:rsid w:val="007C4887"/>
    <w:rsid w:val="007C4A2D"/>
    <w:rsid w:val="007C4DA8"/>
    <w:rsid w:val="007C534B"/>
    <w:rsid w:val="007C55BD"/>
    <w:rsid w:val="007C5870"/>
    <w:rsid w:val="007C5A74"/>
    <w:rsid w:val="007C639F"/>
    <w:rsid w:val="007C63C0"/>
    <w:rsid w:val="007C6831"/>
    <w:rsid w:val="007C70FD"/>
    <w:rsid w:val="007C718E"/>
    <w:rsid w:val="007C7233"/>
    <w:rsid w:val="007C725F"/>
    <w:rsid w:val="007C751D"/>
    <w:rsid w:val="007C7574"/>
    <w:rsid w:val="007C76A3"/>
    <w:rsid w:val="007C76A6"/>
    <w:rsid w:val="007C781C"/>
    <w:rsid w:val="007C784B"/>
    <w:rsid w:val="007C784D"/>
    <w:rsid w:val="007C78A2"/>
    <w:rsid w:val="007C79D7"/>
    <w:rsid w:val="007C7AED"/>
    <w:rsid w:val="007C7C68"/>
    <w:rsid w:val="007C7CAB"/>
    <w:rsid w:val="007C7EE0"/>
    <w:rsid w:val="007C7FC7"/>
    <w:rsid w:val="007C7FF9"/>
    <w:rsid w:val="007D015F"/>
    <w:rsid w:val="007D02F4"/>
    <w:rsid w:val="007D03AC"/>
    <w:rsid w:val="007D0635"/>
    <w:rsid w:val="007D0C39"/>
    <w:rsid w:val="007D0CB8"/>
    <w:rsid w:val="007D0E2A"/>
    <w:rsid w:val="007D0F2A"/>
    <w:rsid w:val="007D11B8"/>
    <w:rsid w:val="007D1733"/>
    <w:rsid w:val="007D1744"/>
    <w:rsid w:val="007D1B3A"/>
    <w:rsid w:val="007D1B42"/>
    <w:rsid w:val="007D1C3B"/>
    <w:rsid w:val="007D1E5B"/>
    <w:rsid w:val="007D234C"/>
    <w:rsid w:val="007D2536"/>
    <w:rsid w:val="007D2573"/>
    <w:rsid w:val="007D2674"/>
    <w:rsid w:val="007D26B6"/>
    <w:rsid w:val="007D2779"/>
    <w:rsid w:val="007D2825"/>
    <w:rsid w:val="007D2BB0"/>
    <w:rsid w:val="007D2C7C"/>
    <w:rsid w:val="007D2DAB"/>
    <w:rsid w:val="007D32D6"/>
    <w:rsid w:val="007D3420"/>
    <w:rsid w:val="007D35A4"/>
    <w:rsid w:val="007D35C6"/>
    <w:rsid w:val="007D36D3"/>
    <w:rsid w:val="007D3726"/>
    <w:rsid w:val="007D38DF"/>
    <w:rsid w:val="007D3C3E"/>
    <w:rsid w:val="007D3C9A"/>
    <w:rsid w:val="007D3CF1"/>
    <w:rsid w:val="007D3DA2"/>
    <w:rsid w:val="007D3F32"/>
    <w:rsid w:val="007D40C4"/>
    <w:rsid w:val="007D40EF"/>
    <w:rsid w:val="007D4140"/>
    <w:rsid w:val="007D41B1"/>
    <w:rsid w:val="007D4366"/>
    <w:rsid w:val="007D49B2"/>
    <w:rsid w:val="007D4E5A"/>
    <w:rsid w:val="007D4E82"/>
    <w:rsid w:val="007D53A2"/>
    <w:rsid w:val="007D5492"/>
    <w:rsid w:val="007D5AFF"/>
    <w:rsid w:val="007D5D5E"/>
    <w:rsid w:val="007D5EAB"/>
    <w:rsid w:val="007D5F8C"/>
    <w:rsid w:val="007D5FFF"/>
    <w:rsid w:val="007D6457"/>
    <w:rsid w:val="007D6660"/>
    <w:rsid w:val="007D68FB"/>
    <w:rsid w:val="007D6AAE"/>
    <w:rsid w:val="007D6B23"/>
    <w:rsid w:val="007D6FB1"/>
    <w:rsid w:val="007D70CE"/>
    <w:rsid w:val="007D714F"/>
    <w:rsid w:val="007D72CC"/>
    <w:rsid w:val="007D754E"/>
    <w:rsid w:val="007D75BB"/>
    <w:rsid w:val="007D77CF"/>
    <w:rsid w:val="007D77D0"/>
    <w:rsid w:val="007D7B61"/>
    <w:rsid w:val="007D7EE4"/>
    <w:rsid w:val="007D7F12"/>
    <w:rsid w:val="007D7FC3"/>
    <w:rsid w:val="007E004A"/>
    <w:rsid w:val="007E00B7"/>
    <w:rsid w:val="007E014C"/>
    <w:rsid w:val="007E0823"/>
    <w:rsid w:val="007E09BE"/>
    <w:rsid w:val="007E1092"/>
    <w:rsid w:val="007E13D3"/>
    <w:rsid w:val="007E169B"/>
    <w:rsid w:val="007E1740"/>
    <w:rsid w:val="007E20CA"/>
    <w:rsid w:val="007E235C"/>
    <w:rsid w:val="007E246F"/>
    <w:rsid w:val="007E2D98"/>
    <w:rsid w:val="007E3234"/>
    <w:rsid w:val="007E332B"/>
    <w:rsid w:val="007E33B7"/>
    <w:rsid w:val="007E3757"/>
    <w:rsid w:val="007E387C"/>
    <w:rsid w:val="007E3A3B"/>
    <w:rsid w:val="007E3EB3"/>
    <w:rsid w:val="007E4078"/>
    <w:rsid w:val="007E4492"/>
    <w:rsid w:val="007E453C"/>
    <w:rsid w:val="007E4610"/>
    <w:rsid w:val="007E486D"/>
    <w:rsid w:val="007E48DE"/>
    <w:rsid w:val="007E4AA2"/>
    <w:rsid w:val="007E4B7C"/>
    <w:rsid w:val="007E52FB"/>
    <w:rsid w:val="007E56E4"/>
    <w:rsid w:val="007E5986"/>
    <w:rsid w:val="007E5C02"/>
    <w:rsid w:val="007E5EA2"/>
    <w:rsid w:val="007E60E8"/>
    <w:rsid w:val="007E644F"/>
    <w:rsid w:val="007E65F5"/>
    <w:rsid w:val="007E6A48"/>
    <w:rsid w:val="007E71BF"/>
    <w:rsid w:val="007E74C0"/>
    <w:rsid w:val="007E7989"/>
    <w:rsid w:val="007E7A1D"/>
    <w:rsid w:val="007E7A6E"/>
    <w:rsid w:val="007E7C5F"/>
    <w:rsid w:val="007E7EDC"/>
    <w:rsid w:val="007E7F56"/>
    <w:rsid w:val="007F001F"/>
    <w:rsid w:val="007F0786"/>
    <w:rsid w:val="007F0794"/>
    <w:rsid w:val="007F07E2"/>
    <w:rsid w:val="007F09AB"/>
    <w:rsid w:val="007F0AE3"/>
    <w:rsid w:val="007F0C23"/>
    <w:rsid w:val="007F0C54"/>
    <w:rsid w:val="007F0DEB"/>
    <w:rsid w:val="007F0EB1"/>
    <w:rsid w:val="007F143D"/>
    <w:rsid w:val="007F1790"/>
    <w:rsid w:val="007F17D9"/>
    <w:rsid w:val="007F19D3"/>
    <w:rsid w:val="007F1C94"/>
    <w:rsid w:val="007F1FB2"/>
    <w:rsid w:val="007F21F3"/>
    <w:rsid w:val="007F23E5"/>
    <w:rsid w:val="007F2435"/>
    <w:rsid w:val="007F245C"/>
    <w:rsid w:val="007F2687"/>
    <w:rsid w:val="007F2719"/>
    <w:rsid w:val="007F2C27"/>
    <w:rsid w:val="007F2DAC"/>
    <w:rsid w:val="007F2E6A"/>
    <w:rsid w:val="007F2FB3"/>
    <w:rsid w:val="007F3192"/>
    <w:rsid w:val="007F32AA"/>
    <w:rsid w:val="007F353D"/>
    <w:rsid w:val="007F39A4"/>
    <w:rsid w:val="007F43FA"/>
    <w:rsid w:val="007F49AC"/>
    <w:rsid w:val="007F4A30"/>
    <w:rsid w:val="007F4C35"/>
    <w:rsid w:val="007F4C7D"/>
    <w:rsid w:val="007F4D7B"/>
    <w:rsid w:val="007F51D5"/>
    <w:rsid w:val="007F52DD"/>
    <w:rsid w:val="007F53D1"/>
    <w:rsid w:val="007F53DC"/>
    <w:rsid w:val="007F54A5"/>
    <w:rsid w:val="007F59A9"/>
    <w:rsid w:val="007F5CE5"/>
    <w:rsid w:val="007F5F57"/>
    <w:rsid w:val="007F5F8B"/>
    <w:rsid w:val="007F6132"/>
    <w:rsid w:val="007F63BE"/>
    <w:rsid w:val="007F6B81"/>
    <w:rsid w:val="007F6BD0"/>
    <w:rsid w:val="007F6BEA"/>
    <w:rsid w:val="007F6F6D"/>
    <w:rsid w:val="007F771F"/>
    <w:rsid w:val="007F7A85"/>
    <w:rsid w:val="007F7B5B"/>
    <w:rsid w:val="007F7D24"/>
    <w:rsid w:val="007F7EE7"/>
    <w:rsid w:val="008000A6"/>
    <w:rsid w:val="0080015B"/>
    <w:rsid w:val="008001A6"/>
    <w:rsid w:val="0080085F"/>
    <w:rsid w:val="00800C5C"/>
    <w:rsid w:val="00800D4C"/>
    <w:rsid w:val="00800F1D"/>
    <w:rsid w:val="00800F2B"/>
    <w:rsid w:val="00800FBC"/>
    <w:rsid w:val="00801698"/>
    <w:rsid w:val="00801803"/>
    <w:rsid w:val="0080196B"/>
    <w:rsid w:val="008019D9"/>
    <w:rsid w:val="00801A5C"/>
    <w:rsid w:val="00801AA7"/>
    <w:rsid w:val="00801BBD"/>
    <w:rsid w:val="00801D60"/>
    <w:rsid w:val="0080269A"/>
    <w:rsid w:val="008028A4"/>
    <w:rsid w:val="00802AA6"/>
    <w:rsid w:val="00802BB7"/>
    <w:rsid w:val="00802E02"/>
    <w:rsid w:val="00802EF5"/>
    <w:rsid w:val="00802F36"/>
    <w:rsid w:val="00802F7E"/>
    <w:rsid w:val="00802FAD"/>
    <w:rsid w:val="008030C9"/>
    <w:rsid w:val="008032AD"/>
    <w:rsid w:val="00803C87"/>
    <w:rsid w:val="00803D84"/>
    <w:rsid w:val="00803DFD"/>
    <w:rsid w:val="00803E95"/>
    <w:rsid w:val="0080407C"/>
    <w:rsid w:val="008040C5"/>
    <w:rsid w:val="0080412C"/>
    <w:rsid w:val="0080447C"/>
    <w:rsid w:val="00804495"/>
    <w:rsid w:val="00804BFF"/>
    <w:rsid w:val="00804C02"/>
    <w:rsid w:val="00805228"/>
    <w:rsid w:val="0080535C"/>
    <w:rsid w:val="00805571"/>
    <w:rsid w:val="0080585B"/>
    <w:rsid w:val="00805A8B"/>
    <w:rsid w:val="00805AD6"/>
    <w:rsid w:val="00806005"/>
    <w:rsid w:val="00806190"/>
    <w:rsid w:val="00806394"/>
    <w:rsid w:val="0080639B"/>
    <w:rsid w:val="00806648"/>
    <w:rsid w:val="008067E0"/>
    <w:rsid w:val="00806958"/>
    <w:rsid w:val="0080699C"/>
    <w:rsid w:val="00806C17"/>
    <w:rsid w:val="00806C59"/>
    <w:rsid w:val="00806F48"/>
    <w:rsid w:val="008072CB"/>
    <w:rsid w:val="0080757C"/>
    <w:rsid w:val="00807707"/>
    <w:rsid w:val="00807A10"/>
    <w:rsid w:val="00807C9A"/>
    <w:rsid w:val="00807CC5"/>
    <w:rsid w:val="00807D0E"/>
    <w:rsid w:val="00807D5C"/>
    <w:rsid w:val="00807D5F"/>
    <w:rsid w:val="008104B4"/>
    <w:rsid w:val="008109DF"/>
    <w:rsid w:val="00810BE7"/>
    <w:rsid w:val="00810D8A"/>
    <w:rsid w:val="00810DAC"/>
    <w:rsid w:val="00810E41"/>
    <w:rsid w:val="00810E74"/>
    <w:rsid w:val="00811102"/>
    <w:rsid w:val="0081127F"/>
    <w:rsid w:val="00811755"/>
    <w:rsid w:val="00811D10"/>
    <w:rsid w:val="00812176"/>
    <w:rsid w:val="0081221B"/>
    <w:rsid w:val="008125DD"/>
    <w:rsid w:val="008127D6"/>
    <w:rsid w:val="008129B8"/>
    <w:rsid w:val="00812BA2"/>
    <w:rsid w:val="00812C7C"/>
    <w:rsid w:val="00812C94"/>
    <w:rsid w:val="00812CAF"/>
    <w:rsid w:val="00812E6C"/>
    <w:rsid w:val="008132AB"/>
    <w:rsid w:val="00813889"/>
    <w:rsid w:val="008138B5"/>
    <w:rsid w:val="00813B40"/>
    <w:rsid w:val="00813C34"/>
    <w:rsid w:val="00813D45"/>
    <w:rsid w:val="00813DF3"/>
    <w:rsid w:val="00813F39"/>
    <w:rsid w:val="0081412D"/>
    <w:rsid w:val="008142B2"/>
    <w:rsid w:val="00814413"/>
    <w:rsid w:val="00814731"/>
    <w:rsid w:val="0081489A"/>
    <w:rsid w:val="00814989"/>
    <w:rsid w:val="00814C06"/>
    <w:rsid w:val="00814CE2"/>
    <w:rsid w:val="00814DF7"/>
    <w:rsid w:val="008150B0"/>
    <w:rsid w:val="0081557E"/>
    <w:rsid w:val="00815775"/>
    <w:rsid w:val="0081586D"/>
    <w:rsid w:val="00815A39"/>
    <w:rsid w:val="00815C70"/>
    <w:rsid w:val="00815D2C"/>
    <w:rsid w:val="00815DBF"/>
    <w:rsid w:val="00815F3F"/>
    <w:rsid w:val="00816272"/>
    <w:rsid w:val="0081631E"/>
    <w:rsid w:val="00816649"/>
    <w:rsid w:val="00816A53"/>
    <w:rsid w:val="00816A5A"/>
    <w:rsid w:val="00816A96"/>
    <w:rsid w:val="00816D1C"/>
    <w:rsid w:val="00816ED5"/>
    <w:rsid w:val="00816F7A"/>
    <w:rsid w:val="0081782A"/>
    <w:rsid w:val="00817A7C"/>
    <w:rsid w:val="00817ACE"/>
    <w:rsid w:val="00817C44"/>
    <w:rsid w:val="00817C58"/>
    <w:rsid w:val="008200D3"/>
    <w:rsid w:val="008200F2"/>
    <w:rsid w:val="00820108"/>
    <w:rsid w:val="00820113"/>
    <w:rsid w:val="008204D2"/>
    <w:rsid w:val="008205A6"/>
    <w:rsid w:val="00820912"/>
    <w:rsid w:val="00820C6D"/>
    <w:rsid w:val="00820C93"/>
    <w:rsid w:val="00820EA3"/>
    <w:rsid w:val="008210AB"/>
    <w:rsid w:val="00821312"/>
    <w:rsid w:val="0082131A"/>
    <w:rsid w:val="00821954"/>
    <w:rsid w:val="00821CC6"/>
    <w:rsid w:val="00821DFA"/>
    <w:rsid w:val="00821F85"/>
    <w:rsid w:val="00822236"/>
    <w:rsid w:val="00822B38"/>
    <w:rsid w:val="00822C48"/>
    <w:rsid w:val="00822E2A"/>
    <w:rsid w:val="00822F9C"/>
    <w:rsid w:val="00822FA7"/>
    <w:rsid w:val="008232D3"/>
    <w:rsid w:val="00823371"/>
    <w:rsid w:val="00823539"/>
    <w:rsid w:val="008235F8"/>
    <w:rsid w:val="00823779"/>
    <w:rsid w:val="0082380D"/>
    <w:rsid w:val="008238D2"/>
    <w:rsid w:val="00823ACC"/>
    <w:rsid w:val="00824080"/>
    <w:rsid w:val="00824182"/>
    <w:rsid w:val="00824599"/>
    <w:rsid w:val="0082468F"/>
    <w:rsid w:val="00824871"/>
    <w:rsid w:val="00824E7B"/>
    <w:rsid w:val="0082535C"/>
    <w:rsid w:val="008255EA"/>
    <w:rsid w:val="008259A4"/>
    <w:rsid w:val="00825BB2"/>
    <w:rsid w:val="00825E84"/>
    <w:rsid w:val="00825FBA"/>
    <w:rsid w:val="0082602B"/>
    <w:rsid w:val="008261C9"/>
    <w:rsid w:val="0082620B"/>
    <w:rsid w:val="008262C7"/>
    <w:rsid w:val="008263AF"/>
    <w:rsid w:val="00826473"/>
    <w:rsid w:val="00826591"/>
    <w:rsid w:val="008267C5"/>
    <w:rsid w:val="00826B6B"/>
    <w:rsid w:val="00826CB8"/>
    <w:rsid w:val="00826E05"/>
    <w:rsid w:val="00826F9D"/>
    <w:rsid w:val="00827007"/>
    <w:rsid w:val="008270CD"/>
    <w:rsid w:val="0082725D"/>
    <w:rsid w:val="008274E1"/>
    <w:rsid w:val="00827933"/>
    <w:rsid w:val="008279C9"/>
    <w:rsid w:val="00827C5E"/>
    <w:rsid w:val="00827F79"/>
    <w:rsid w:val="0083035F"/>
    <w:rsid w:val="008304BC"/>
    <w:rsid w:val="00830601"/>
    <w:rsid w:val="008308CB"/>
    <w:rsid w:val="00830B10"/>
    <w:rsid w:val="00830C11"/>
    <w:rsid w:val="00830F68"/>
    <w:rsid w:val="00830FBA"/>
    <w:rsid w:val="008310F9"/>
    <w:rsid w:val="00831146"/>
    <w:rsid w:val="008313E5"/>
    <w:rsid w:val="00831629"/>
    <w:rsid w:val="008318DF"/>
    <w:rsid w:val="00831904"/>
    <w:rsid w:val="00831B44"/>
    <w:rsid w:val="00831E4F"/>
    <w:rsid w:val="00832105"/>
    <w:rsid w:val="008321D7"/>
    <w:rsid w:val="0083235E"/>
    <w:rsid w:val="00832396"/>
    <w:rsid w:val="00832774"/>
    <w:rsid w:val="00832F51"/>
    <w:rsid w:val="00832FDF"/>
    <w:rsid w:val="008333B0"/>
    <w:rsid w:val="008334CE"/>
    <w:rsid w:val="00833602"/>
    <w:rsid w:val="008336FF"/>
    <w:rsid w:val="00833711"/>
    <w:rsid w:val="008338C0"/>
    <w:rsid w:val="008338EC"/>
    <w:rsid w:val="008338F9"/>
    <w:rsid w:val="00833A3A"/>
    <w:rsid w:val="00833C00"/>
    <w:rsid w:val="00833C4A"/>
    <w:rsid w:val="00833E09"/>
    <w:rsid w:val="00833FDB"/>
    <w:rsid w:val="008340C9"/>
    <w:rsid w:val="008342CB"/>
    <w:rsid w:val="008343D8"/>
    <w:rsid w:val="00834427"/>
    <w:rsid w:val="00834468"/>
    <w:rsid w:val="00834524"/>
    <w:rsid w:val="00834545"/>
    <w:rsid w:val="00834873"/>
    <w:rsid w:val="00834AD6"/>
    <w:rsid w:val="00834BE1"/>
    <w:rsid w:val="00834C68"/>
    <w:rsid w:val="00834D6C"/>
    <w:rsid w:val="00834D9E"/>
    <w:rsid w:val="00834E26"/>
    <w:rsid w:val="00834E6A"/>
    <w:rsid w:val="00834F37"/>
    <w:rsid w:val="00835966"/>
    <w:rsid w:val="00835C75"/>
    <w:rsid w:val="00835D19"/>
    <w:rsid w:val="00835D49"/>
    <w:rsid w:val="00836065"/>
    <w:rsid w:val="0083623D"/>
    <w:rsid w:val="008363C7"/>
    <w:rsid w:val="00836622"/>
    <w:rsid w:val="00836B2F"/>
    <w:rsid w:val="00836E69"/>
    <w:rsid w:val="008374B9"/>
    <w:rsid w:val="00837EC1"/>
    <w:rsid w:val="00840182"/>
    <w:rsid w:val="008401A8"/>
    <w:rsid w:val="00840239"/>
    <w:rsid w:val="00840867"/>
    <w:rsid w:val="00840CDA"/>
    <w:rsid w:val="00840D07"/>
    <w:rsid w:val="00840D33"/>
    <w:rsid w:val="00841132"/>
    <w:rsid w:val="00841C97"/>
    <w:rsid w:val="00841DFB"/>
    <w:rsid w:val="008421B8"/>
    <w:rsid w:val="008425B1"/>
    <w:rsid w:val="00842E38"/>
    <w:rsid w:val="00842F77"/>
    <w:rsid w:val="00843289"/>
    <w:rsid w:val="0084330C"/>
    <w:rsid w:val="008435FC"/>
    <w:rsid w:val="00843722"/>
    <w:rsid w:val="008439F6"/>
    <w:rsid w:val="00843A32"/>
    <w:rsid w:val="00843B73"/>
    <w:rsid w:val="00843CD9"/>
    <w:rsid w:val="00843CF3"/>
    <w:rsid w:val="008440EC"/>
    <w:rsid w:val="00844114"/>
    <w:rsid w:val="0084458C"/>
    <w:rsid w:val="00844757"/>
    <w:rsid w:val="0084492A"/>
    <w:rsid w:val="00844AF0"/>
    <w:rsid w:val="00844B5F"/>
    <w:rsid w:val="00844B95"/>
    <w:rsid w:val="00844C94"/>
    <w:rsid w:val="00844DFE"/>
    <w:rsid w:val="008456CD"/>
    <w:rsid w:val="00845705"/>
    <w:rsid w:val="00845857"/>
    <w:rsid w:val="00845F42"/>
    <w:rsid w:val="00846115"/>
    <w:rsid w:val="00846211"/>
    <w:rsid w:val="00846299"/>
    <w:rsid w:val="008463B8"/>
    <w:rsid w:val="00846BB1"/>
    <w:rsid w:val="00846C2F"/>
    <w:rsid w:val="00846CD7"/>
    <w:rsid w:val="00846F06"/>
    <w:rsid w:val="00846FAE"/>
    <w:rsid w:val="008471B3"/>
    <w:rsid w:val="008474E3"/>
    <w:rsid w:val="00847535"/>
    <w:rsid w:val="008475C0"/>
    <w:rsid w:val="00847757"/>
    <w:rsid w:val="00850113"/>
    <w:rsid w:val="0085019F"/>
    <w:rsid w:val="008502BA"/>
    <w:rsid w:val="00850B19"/>
    <w:rsid w:val="00850D96"/>
    <w:rsid w:val="00851038"/>
    <w:rsid w:val="00851440"/>
    <w:rsid w:val="00851621"/>
    <w:rsid w:val="00851676"/>
    <w:rsid w:val="008517B6"/>
    <w:rsid w:val="00851C13"/>
    <w:rsid w:val="00851E94"/>
    <w:rsid w:val="00851FC6"/>
    <w:rsid w:val="008521FB"/>
    <w:rsid w:val="00852346"/>
    <w:rsid w:val="00852426"/>
    <w:rsid w:val="0085248F"/>
    <w:rsid w:val="008524AB"/>
    <w:rsid w:val="008524FD"/>
    <w:rsid w:val="008527B3"/>
    <w:rsid w:val="00852A80"/>
    <w:rsid w:val="00852AC9"/>
    <w:rsid w:val="00852BB4"/>
    <w:rsid w:val="00852C0C"/>
    <w:rsid w:val="00852FC4"/>
    <w:rsid w:val="008531C3"/>
    <w:rsid w:val="008534BA"/>
    <w:rsid w:val="008535A8"/>
    <w:rsid w:val="0085372C"/>
    <w:rsid w:val="00853A67"/>
    <w:rsid w:val="00853B15"/>
    <w:rsid w:val="00853BC3"/>
    <w:rsid w:val="008540E5"/>
    <w:rsid w:val="0085418C"/>
    <w:rsid w:val="008541E6"/>
    <w:rsid w:val="008546BF"/>
    <w:rsid w:val="008548AE"/>
    <w:rsid w:val="008548B5"/>
    <w:rsid w:val="008549E1"/>
    <w:rsid w:val="00854AC6"/>
    <w:rsid w:val="00855250"/>
    <w:rsid w:val="008552DD"/>
    <w:rsid w:val="008553DE"/>
    <w:rsid w:val="00855427"/>
    <w:rsid w:val="008556C4"/>
    <w:rsid w:val="00855A05"/>
    <w:rsid w:val="00855A80"/>
    <w:rsid w:val="00855E66"/>
    <w:rsid w:val="00855F66"/>
    <w:rsid w:val="008560EE"/>
    <w:rsid w:val="008562EC"/>
    <w:rsid w:val="008565C8"/>
    <w:rsid w:val="00856814"/>
    <w:rsid w:val="008568D3"/>
    <w:rsid w:val="00856954"/>
    <w:rsid w:val="00856C01"/>
    <w:rsid w:val="00856CE9"/>
    <w:rsid w:val="0085724A"/>
    <w:rsid w:val="0085726A"/>
    <w:rsid w:val="008572BA"/>
    <w:rsid w:val="00857347"/>
    <w:rsid w:val="008574E3"/>
    <w:rsid w:val="00857BC8"/>
    <w:rsid w:val="00857BFC"/>
    <w:rsid w:val="00860499"/>
    <w:rsid w:val="008607D0"/>
    <w:rsid w:val="008608A3"/>
    <w:rsid w:val="00860A49"/>
    <w:rsid w:val="00860E03"/>
    <w:rsid w:val="00860F0F"/>
    <w:rsid w:val="00860F75"/>
    <w:rsid w:val="00861196"/>
    <w:rsid w:val="0086120C"/>
    <w:rsid w:val="00861378"/>
    <w:rsid w:val="00861768"/>
    <w:rsid w:val="00861E4B"/>
    <w:rsid w:val="00861FC2"/>
    <w:rsid w:val="00862180"/>
    <w:rsid w:val="0086219D"/>
    <w:rsid w:val="008622C3"/>
    <w:rsid w:val="00862578"/>
    <w:rsid w:val="008626B0"/>
    <w:rsid w:val="0086294C"/>
    <w:rsid w:val="00862958"/>
    <w:rsid w:val="00862EA9"/>
    <w:rsid w:val="00862F40"/>
    <w:rsid w:val="00863156"/>
    <w:rsid w:val="008633DE"/>
    <w:rsid w:val="00863526"/>
    <w:rsid w:val="00863627"/>
    <w:rsid w:val="008639B2"/>
    <w:rsid w:val="00863AB7"/>
    <w:rsid w:val="00863ED0"/>
    <w:rsid w:val="00864185"/>
    <w:rsid w:val="00864187"/>
    <w:rsid w:val="0086430E"/>
    <w:rsid w:val="008643E6"/>
    <w:rsid w:val="00864409"/>
    <w:rsid w:val="00864547"/>
    <w:rsid w:val="0086484E"/>
    <w:rsid w:val="008648F6"/>
    <w:rsid w:val="00864A35"/>
    <w:rsid w:val="00864A4C"/>
    <w:rsid w:val="00864A8F"/>
    <w:rsid w:val="00864C6C"/>
    <w:rsid w:val="008658F8"/>
    <w:rsid w:val="00865A96"/>
    <w:rsid w:val="00865C33"/>
    <w:rsid w:val="0086663F"/>
    <w:rsid w:val="00866843"/>
    <w:rsid w:val="00866BB7"/>
    <w:rsid w:val="00866BF7"/>
    <w:rsid w:val="00866CC1"/>
    <w:rsid w:val="00866CE6"/>
    <w:rsid w:val="00866D3C"/>
    <w:rsid w:val="0086760D"/>
    <w:rsid w:val="00867735"/>
    <w:rsid w:val="008678E0"/>
    <w:rsid w:val="00867EF9"/>
    <w:rsid w:val="00870008"/>
    <w:rsid w:val="008700DC"/>
    <w:rsid w:val="00870136"/>
    <w:rsid w:val="0087013B"/>
    <w:rsid w:val="0087017F"/>
    <w:rsid w:val="0087034D"/>
    <w:rsid w:val="00870379"/>
    <w:rsid w:val="008705E1"/>
    <w:rsid w:val="008706DC"/>
    <w:rsid w:val="00870878"/>
    <w:rsid w:val="00870D46"/>
    <w:rsid w:val="00870DA1"/>
    <w:rsid w:val="008710DB"/>
    <w:rsid w:val="008713E2"/>
    <w:rsid w:val="00871991"/>
    <w:rsid w:val="00871A0A"/>
    <w:rsid w:val="00872245"/>
    <w:rsid w:val="008724AB"/>
    <w:rsid w:val="008726C0"/>
    <w:rsid w:val="0087286E"/>
    <w:rsid w:val="00872890"/>
    <w:rsid w:val="00872922"/>
    <w:rsid w:val="008729A5"/>
    <w:rsid w:val="00872F18"/>
    <w:rsid w:val="00873251"/>
    <w:rsid w:val="0087326E"/>
    <w:rsid w:val="008736B0"/>
    <w:rsid w:val="008736E3"/>
    <w:rsid w:val="00873A38"/>
    <w:rsid w:val="00873F34"/>
    <w:rsid w:val="0087401C"/>
    <w:rsid w:val="008740D1"/>
    <w:rsid w:val="0087416C"/>
    <w:rsid w:val="00874573"/>
    <w:rsid w:val="008747D6"/>
    <w:rsid w:val="00874A72"/>
    <w:rsid w:val="00874BFA"/>
    <w:rsid w:val="00874E88"/>
    <w:rsid w:val="00875335"/>
    <w:rsid w:val="00875800"/>
    <w:rsid w:val="00875B63"/>
    <w:rsid w:val="00875C18"/>
    <w:rsid w:val="00875CB6"/>
    <w:rsid w:val="00875D51"/>
    <w:rsid w:val="00875DB1"/>
    <w:rsid w:val="00875F7D"/>
    <w:rsid w:val="008760C5"/>
    <w:rsid w:val="0087616E"/>
    <w:rsid w:val="008762A4"/>
    <w:rsid w:val="00876886"/>
    <w:rsid w:val="0087698B"/>
    <w:rsid w:val="00877077"/>
    <w:rsid w:val="008770E7"/>
    <w:rsid w:val="008773A5"/>
    <w:rsid w:val="0087759F"/>
    <w:rsid w:val="00877622"/>
    <w:rsid w:val="00877783"/>
    <w:rsid w:val="008777BD"/>
    <w:rsid w:val="008778E4"/>
    <w:rsid w:val="0087798D"/>
    <w:rsid w:val="008779D2"/>
    <w:rsid w:val="00877C1B"/>
    <w:rsid w:val="00877CAF"/>
    <w:rsid w:val="00877EC2"/>
    <w:rsid w:val="00880031"/>
    <w:rsid w:val="00880245"/>
    <w:rsid w:val="008804AF"/>
    <w:rsid w:val="0088057C"/>
    <w:rsid w:val="0088067F"/>
    <w:rsid w:val="0088076D"/>
    <w:rsid w:val="008808D4"/>
    <w:rsid w:val="00880B11"/>
    <w:rsid w:val="00880C9C"/>
    <w:rsid w:val="00881046"/>
    <w:rsid w:val="00881051"/>
    <w:rsid w:val="00881232"/>
    <w:rsid w:val="00881395"/>
    <w:rsid w:val="00881710"/>
    <w:rsid w:val="00881AF3"/>
    <w:rsid w:val="00881C33"/>
    <w:rsid w:val="00882318"/>
    <w:rsid w:val="008825DC"/>
    <w:rsid w:val="008829C3"/>
    <w:rsid w:val="00882C9A"/>
    <w:rsid w:val="00882E3A"/>
    <w:rsid w:val="008832CC"/>
    <w:rsid w:val="0088371A"/>
    <w:rsid w:val="0088380A"/>
    <w:rsid w:val="00883948"/>
    <w:rsid w:val="00883AE5"/>
    <w:rsid w:val="00883AF2"/>
    <w:rsid w:val="00883D14"/>
    <w:rsid w:val="00884250"/>
    <w:rsid w:val="00884457"/>
    <w:rsid w:val="00884D25"/>
    <w:rsid w:val="00885374"/>
    <w:rsid w:val="00885425"/>
    <w:rsid w:val="0088552C"/>
    <w:rsid w:val="00885901"/>
    <w:rsid w:val="00885A9A"/>
    <w:rsid w:val="00885B87"/>
    <w:rsid w:val="008861BB"/>
    <w:rsid w:val="00886321"/>
    <w:rsid w:val="00886353"/>
    <w:rsid w:val="00886467"/>
    <w:rsid w:val="008864DD"/>
    <w:rsid w:val="008867F4"/>
    <w:rsid w:val="00886F10"/>
    <w:rsid w:val="0088729A"/>
    <w:rsid w:val="00887440"/>
    <w:rsid w:val="0088760B"/>
    <w:rsid w:val="00887914"/>
    <w:rsid w:val="0088794E"/>
    <w:rsid w:val="0088795B"/>
    <w:rsid w:val="00887C09"/>
    <w:rsid w:val="00887DF2"/>
    <w:rsid w:val="008900AF"/>
    <w:rsid w:val="008900B9"/>
    <w:rsid w:val="008902EA"/>
    <w:rsid w:val="00890314"/>
    <w:rsid w:val="0089070A"/>
    <w:rsid w:val="00890847"/>
    <w:rsid w:val="00890C5A"/>
    <w:rsid w:val="00890CB7"/>
    <w:rsid w:val="00890FDA"/>
    <w:rsid w:val="008911C6"/>
    <w:rsid w:val="008913A4"/>
    <w:rsid w:val="0089149F"/>
    <w:rsid w:val="008915C5"/>
    <w:rsid w:val="00891718"/>
    <w:rsid w:val="00891785"/>
    <w:rsid w:val="00891789"/>
    <w:rsid w:val="00891831"/>
    <w:rsid w:val="00891ABC"/>
    <w:rsid w:val="00891FBD"/>
    <w:rsid w:val="00892637"/>
    <w:rsid w:val="008926A9"/>
    <w:rsid w:val="0089290A"/>
    <w:rsid w:val="00892B53"/>
    <w:rsid w:val="00893312"/>
    <w:rsid w:val="0089339F"/>
    <w:rsid w:val="0089353D"/>
    <w:rsid w:val="00893B1A"/>
    <w:rsid w:val="0089434A"/>
    <w:rsid w:val="00894552"/>
    <w:rsid w:val="0089494C"/>
    <w:rsid w:val="008949E4"/>
    <w:rsid w:val="00894A28"/>
    <w:rsid w:val="00894C04"/>
    <w:rsid w:val="00894CB7"/>
    <w:rsid w:val="00894DB0"/>
    <w:rsid w:val="00894EB7"/>
    <w:rsid w:val="008953EF"/>
    <w:rsid w:val="00895492"/>
    <w:rsid w:val="008955DC"/>
    <w:rsid w:val="0089576A"/>
    <w:rsid w:val="00895CFE"/>
    <w:rsid w:val="0089628E"/>
    <w:rsid w:val="00896290"/>
    <w:rsid w:val="00896532"/>
    <w:rsid w:val="0089653F"/>
    <w:rsid w:val="008966C8"/>
    <w:rsid w:val="008967A2"/>
    <w:rsid w:val="008967E2"/>
    <w:rsid w:val="00896929"/>
    <w:rsid w:val="00896B00"/>
    <w:rsid w:val="00896C1D"/>
    <w:rsid w:val="00896EA6"/>
    <w:rsid w:val="00896F50"/>
    <w:rsid w:val="00896F52"/>
    <w:rsid w:val="0089729C"/>
    <w:rsid w:val="00897442"/>
    <w:rsid w:val="008975B4"/>
    <w:rsid w:val="0089776B"/>
    <w:rsid w:val="00897C88"/>
    <w:rsid w:val="008A00A2"/>
    <w:rsid w:val="008A00E2"/>
    <w:rsid w:val="008A00E5"/>
    <w:rsid w:val="008A052A"/>
    <w:rsid w:val="008A0592"/>
    <w:rsid w:val="008A079F"/>
    <w:rsid w:val="008A07B5"/>
    <w:rsid w:val="008A07F3"/>
    <w:rsid w:val="008A08FC"/>
    <w:rsid w:val="008A09EF"/>
    <w:rsid w:val="008A0B3D"/>
    <w:rsid w:val="008A0BF2"/>
    <w:rsid w:val="008A0C41"/>
    <w:rsid w:val="008A0C97"/>
    <w:rsid w:val="008A0D4B"/>
    <w:rsid w:val="008A0D84"/>
    <w:rsid w:val="008A0E79"/>
    <w:rsid w:val="008A0F2E"/>
    <w:rsid w:val="008A0F62"/>
    <w:rsid w:val="008A1063"/>
    <w:rsid w:val="008A120E"/>
    <w:rsid w:val="008A1320"/>
    <w:rsid w:val="008A1637"/>
    <w:rsid w:val="008A180D"/>
    <w:rsid w:val="008A1D4F"/>
    <w:rsid w:val="008A20C3"/>
    <w:rsid w:val="008A21E5"/>
    <w:rsid w:val="008A22BD"/>
    <w:rsid w:val="008A2324"/>
    <w:rsid w:val="008A2327"/>
    <w:rsid w:val="008A2452"/>
    <w:rsid w:val="008A2B59"/>
    <w:rsid w:val="008A2B92"/>
    <w:rsid w:val="008A2E22"/>
    <w:rsid w:val="008A2E37"/>
    <w:rsid w:val="008A35F2"/>
    <w:rsid w:val="008A3626"/>
    <w:rsid w:val="008A373C"/>
    <w:rsid w:val="008A378C"/>
    <w:rsid w:val="008A3870"/>
    <w:rsid w:val="008A3C4E"/>
    <w:rsid w:val="008A3DF3"/>
    <w:rsid w:val="008A4028"/>
    <w:rsid w:val="008A42B4"/>
    <w:rsid w:val="008A42DE"/>
    <w:rsid w:val="008A444A"/>
    <w:rsid w:val="008A453B"/>
    <w:rsid w:val="008A46C1"/>
    <w:rsid w:val="008A4A70"/>
    <w:rsid w:val="008A4B8A"/>
    <w:rsid w:val="008A4DB2"/>
    <w:rsid w:val="008A4E3C"/>
    <w:rsid w:val="008A4EAD"/>
    <w:rsid w:val="008A5065"/>
    <w:rsid w:val="008A5136"/>
    <w:rsid w:val="008A524F"/>
    <w:rsid w:val="008A5345"/>
    <w:rsid w:val="008A57B9"/>
    <w:rsid w:val="008A5D21"/>
    <w:rsid w:val="008A5E39"/>
    <w:rsid w:val="008A62E8"/>
    <w:rsid w:val="008A647B"/>
    <w:rsid w:val="008A650E"/>
    <w:rsid w:val="008A6640"/>
    <w:rsid w:val="008A6997"/>
    <w:rsid w:val="008A6BBE"/>
    <w:rsid w:val="008A6C02"/>
    <w:rsid w:val="008A6C6B"/>
    <w:rsid w:val="008A6DF5"/>
    <w:rsid w:val="008A7004"/>
    <w:rsid w:val="008A70D1"/>
    <w:rsid w:val="008A726D"/>
    <w:rsid w:val="008A741C"/>
    <w:rsid w:val="008A7D9A"/>
    <w:rsid w:val="008B0080"/>
    <w:rsid w:val="008B0284"/>
    <w:rsid w:val="008B05A5"/>
    <w:rsid w:val="008B09D7"/>
    <w:rsid w:val="008B0A07"/>
    <w:rsid w:val="008B0AB3"/>
    <w:rsid w:val="008B0AC0"/>
    <w:rsid w:val="008B0D60"/>
    <w:rsid w:val="008B0E13"/>
    <w:rsid w:val="008B17AF"/>
    <w:rsid w:val="008B18C9"/>
    <w:rsid w:val="008B1BE5"/>
    <w:rsid w:val="008B1CD1"/>
    <w:rsid w:val="008B210C"/>
    <w:rsid w:val="008B21F9"/>
    <w:rsid w:val="008B22C0"/>
    <w:rsid w:val="008B253B"/>
    <w:rsid w:val="008B25AB"/>
    <w:rsid w:val="008B2B35"/>
    <w:rsid w:val="008B2CBD"/>
    <w:rsid w:val="008B2DDF"/>
    <w:rsid w:val="008B3233"/>
    <w:rsid w:val="008B3904"/>
    <w:rsid w:val="008B39E7"/>
    <w:rsid w:val="008B3AF5"/>
    <w:rsid w:val="008B3BAD"/>
    <w:rsid w:val="008B3BE3"/>
    <w:rsid w:val="008B3D9D"/>
    <w:rsid w:val="008B40DC"/>
    <w:rsid w:val="008B4339"/>
    <w:rsid w:val="008B4379"/>
    <w:rsid w:val="008B44B1"/>
    <w:rsid w:val="008B45DD"/>
    <w:rsid w:val="008B45FF"/>
    <w:rsid w:val="008B4639"/>
    <w:rsid w:val="008B46C3"/>
    <w:rsid w:val="008B490E"/>
    <w:rsid w:val="008B4C35"/>
    <w:rsid w:val="008B52B2"/>
    <w:rsid w:val="008B53CC"/>
    <w:rsid w:val="008B5844"/>
    <w:rsid w:val="008B5A3E"/>
    <w:rsid w:val="008B5D7A"/>
    <w:rsid w:val="008B64A8"/>
    <w:rsid w:val="008B66E1"/>
    <w:rsid w:val="008B6757"/>
    <w:rsid w:val="008B6A60"/>
    <w:rsid w:val="008B6AF2"/>
    <w:rsid w:val="008B6C3B"/>
    <w:rsid w:val="008B6C4A"/>
    <w:rsid w:val="008B6EA7"/>
    <w:rsid w:val="008B70DA"/>
    <w:rsid w:val="008B7228"/>
    <w:rsid w:val="008B72B0"/>
    <w:rsid w:val="008B740E"/>
    <w:rsid w:val="008B78C1"/>
    <w:rsid w:val="008B7C3D"/>
    <w:rsid w:val="008B7D7A"/>
    <w:rsid w:val="008C001B"/>
    <w:rsid w:val="008C028B"/>
    <w:rsid w:val="008C04AB"/>
    <w:rsid w:val="008C07E3"/>
    <w:rsid w:val="008C098E"/>
    <w:rsid w:val="008C0F0B"/>
    <w:rsid w:val="008C10D8"/>
    <w:rsid w:val="008C138F"/>
    <w:rsid w:val="008C169C"/>
    <w:rsid w:val="008C1B01"/>
    <w:rsid w:val="008C1EB0"/>
    <w:rsid w:val="008C21F5"/>
    <w:rsid w:val="008C243F"/>
    <w:rsid w:val="008C24B6"/>
    <w:rsid w:val="008C2827"/>
    <w:rsid w:val="008C28BC"/>
    <w:rsid w:val="008C2C85"/>
    <w:rsid w:val="008C2E81"/>
    <w:rsid w:val="008C2EEB"/>
    <w:rsid w:val="008C315D"/>
    <w:rsid w:val="008C3764"/>
    <w:rsid w:val="008C3BBE"/>
    <w:rsid w:val="008C3C5A"/>
    <w:rsid w:val="008C3CAC"/>
    <w:rsid w:val="008C3DAD"/>
    <w:rsid w:val="008C3DDD"/>
    <w:rsid w:val="008C3DF2"/>
    <w:rsid w:val="008C4157"/>
    <w:rsid w:val="008C438B"/>
    <w:rsid w:val="008C4424"/>
    <w:rsid w:val="008C45BA"/>
    <w:rsid w:val="008C47F2"/>
    <w:rsid w:val="008C4DC0"/>
    <w:rsid w:val="008C4DCC"/>
    <w:rsid w:val="008C4FAA"/>
    <w:rsid w:val="008C5013"/>
    <w:rsid w:val="008C5037"/>
    <w:rsid w:val="008C5269"/>
    <w:rsid w:val="008C539A"/>
    <w:rsid w:val="008C541D"/>
    <w:rsid w:val="008C5482"/>
    <w:rsid w:val="008C54B6"/>
    <w:rsid w:val="008C5706"/>
    <w:rsid w:val="008C5723"/>
    <w:rsid w:val="008C5B6C"/>
    <w:rsid w:val="008C5BC0"/>
    <w:rsid w:val="008C5F15"/>
    <w:rsid w:val="008C5F21"/>
    <w:rsid w:val="008C60EF"/>
    <w:rsid w:val="008C6247"/>
    <w:rsid w:val="008C62B3"/>
    <w:rsid w:val="008C6449"/>
    <w:rsid w:val="008C677D"/>
    <w:rsid w:val="008C6AA1"/>
    <w:rsid w:val="008C6B7B"/>
    <w:rsid w:val="008C6E8B"/>
    <w:rsid w:val="008C6F0E"/>
    <w:rsid w:val="008C706E"/>
    <w:rsid w:val="008C7501"/>
    <w:rsid w:val="008C7552"/>
    <w:rsid w:val="008C7662"/>
    <w:rsid w:val="008C7693"/>
    <w:rsid w:val="008C798C"/>
    <w:rsid w:val="008C7A56"/>
    <w:rsid w:val="008C7A5D"/>
    <w:rsid w:val="008C7AA2"/>
    <w:rsid w:val="008C7ABA"/>
    <w:rsid w:val="008C7AF6"/>
    <w:rsid w:val="008C7C0C"/>
    <w:rsid w:val="008D01B4"/>
    <w:rsid w:val="008D02E3"/>
    <w:rsid w:val="008D042D"/>
    <w:rsid w:val="008D07A9"/>
    <w:rsid w:val="008D0ABC"/>
    <w:rsid w:val="008D0E90"/>
    <w:rsid w:val="008D0EC9"/>
    <w:rsid w:val="008D0FF6"/>
    <w:rsid w:val="008D10F3"/>
    <w:rsid w:val="008D1285"/>
    <w:rsid w:val="008D14A3"/>
    <w:rsid w:val="008D14D7"/>
    <w:rsid w:val="008D15C8"/>
    <w:rsid w:val="008D161F"/>
    <w:rsid w:val="008D1A9E"/>
    <w:rsid w:val="008D1F0F"/>
    <w:rsid w:val="008D21C1"/>
    <w:rsid w:val="008D2291"/>
    <w:rsid w:val="008D246E"/>
    <w:rsid w:val="008D287E"/>
    <w:rsid w:val="008D2F6C"/>
    <w:rsid w:val="008D30BF"/>
    <w:rsid w:val="008D30CC"/>
    <w:rsid w:val="008D348A"/>
    <w:rsid w:val="008D34C4"/>
    <w:rsid w:val="008D3E0E"/>
    <w:rsid w:val="008D3FBC"/>
    <w:rsid w:val="008D42D0"/>
    <w:rsid w:val="008D4579"/>
    <w:rsid w:val="008D45AA"/>
    <w:rsid w:val="008D4761"/>
    <w:rsid w:val="008D49D9"/>
    <w:rsid w:val="008D4B89"/>
    <w:rsid w:val="008D4BAB"/>
    <w:rsid w:val="008D4D08"/>
    <w:rsid w:val="008D4E23"/>
    <w:rsid w:val="008D4EC5"/>
    <w:rsid w:val="008D501F"/>
    <w:rsid w:val="008D54AA"/>
    <w:rsid w:val="008D592C"/>
    <w:rsid w:val="008D5BBE"/>
    <w:rsid w:val="008D5CCD"/>
    <w:rsid w:val="008D5D4D"/>
    <w:rsid w:val="008D5E3A"/>
    <w:rsid w:val="008D5EC7"/>
    <w:rsid w:val="008D67D1"/>
    <w:rsid w:val="008D6AB3"/>
    <w:rsid w:val="008D6AD5"/>
    <w:rsid w:val="008D6C69"/>
    <w:rsid w:val="008D6D59"/>
    <w:rsid w:val="008D6EB7"/>
    <w:rsid w:val="008D6EE0"/>
    <w:rsid w:val="008D7422"/>
    <w:rsid w:val="008D75C2"/>
    <w:rsid w:val="008D761C"/>
    <w:rsid w:val="008D76BD"/>
    <w:rsid w:val="008D7A9D"/>
    <w:rsid w:val="008D7FA4"/>
    <w:rsid w:val="008D7FF6"/>
    <w:rsid w:val="008E034D"/>
    <w:rsid w:val="008E037A"/>
    <w:rsid w:val="008E04A3"/>
    <w:rsid w:val="008E057F"/>
    <w:rsid w:val="008E0640"/>
    <w:rsid w:val="008E084A"/>
    <w:rsid w:val="008E0A27"/>
    <w:rsid w:val="008E12E7"/>
    <w:rsid w:val="008E1305"/>
    <w:rsid w:val="008E18B1"/>
    <w:rsid w:val="008E1A02"/>
    <w:rsid w:val="008E1AA4"/>
    <w:rsid w:val="008E1C26"/>
    <w:rsid w:val="008E1C3E"/>
    <w:rsid w:val="008E1DE3"/>
    <w:rsid w:val="008E1F4C"/>
    <w:rsid w:val="008E21BD"/>
    <w:rsid w:val="008E22E4"/>
    <w:rsid w:val="008E26BC"/>
    <w:rsid w:val="008E2797"/>
    <w:rsid w:val="008E2799"/>
    <w:rsid w:val="008E31DC"/>
    <w:rsid w:val="008E3315"/>
    <w:rsid w:val="008E38D7"/>
    <w:rsid w:val="008E3951"/>
    <w:rsid w:val="008E3961"/>
    <w:rsid w:val="008E39FF"/>
    <w:rsid w:val="008E3B86"/>
    <w:rsid w:val="008E3CE3"/>
    <w:rsid w:val="008E3E2D"/>
    <w:rsid w:val="008E3E8B"/>
    <w:rsid w:val="008E4213"/>
    <w:rsid w:val="008E4426"/>
    <w:rsid w:val="008E4957"/>
    <w:rsid w:val="008E4D34"/>
    <w:rsid w:val="008E4D41"/>
    <w:rsid w:val="008E4D8A"/>
    <w:rsid w:val="008E51B3"/>
    <w:rsid w:val="008E51BC"/>
    <w:rsid w:val="008E53E6"/>
    <w:rsid w:val="008E586E"/>
    <w:rsid w:val="008E59D7"/>
    <w:rsid w:val="008E5C8C"/>
    <w:rsid w:val="008E5EAF"/>
    <w:rsid w:val="008E6099"/>
    <w:rsid w:val="008E60DB"/>
    <w:rsid w:val="008E61A4"/>
    <w:rsid w:val="008E6203"/>
    <w:rsid w:val="008E633E"/>
    <w:rsid w:val="008E655E"/>
    <w:rsid w:val="008E6715"/>
    <w:rsid w:val="008E6846"/>
    <w:rsid w:val="008E6918"/>
    <w:rsid w:val="008E6EA6"/>
    <w:rsid w:val="008E71BE"/>
    <w:rsid w:val="008E7349"/>
    <w:rsid w:val="008E73CF"/>
    <w:rsid w:val="008E7526"/>
    <w:rsid w:val="008E7639"/>
    <w:rsid w:val="008E7703"/>
    <w:rsid w:val="008E7A46"/>
    <w:rsid w:val="008E7A49"/>
    <w:rsid w:val="008E7BA3"/>
    <w:rsid w:val="008F0170"/>
    <w:rsid w:val="008F0297"/>
    <w:rsid w:val="008F02DC"/>
    <w:rsid w:val="008F0666"/>
    <w:rsid w:val="008F093C"/>
    <w:rsid w:val="008F0AAA"/>
    <w:rsid w:val="008F0AC8"/>
    <w:rsid w:val="008F0ADF"/>
    <w:rsid w:val="008F0D84"/>
    <w:rsid w:val="008F0EF6"/>
    <w:rsid w:val="008F11A9"/>
    <w:rsid w:val="008F122C"/>
    <w:rsid w:val="008F1335"/>
    <w:rsid w:val="008F1364"/>
    <w:rsid w:val="008F146B"/>
    <w:rsid w:val="008F1548"/>
    <w:rsid w:val="008F1588"/>
    <w:rsid w:val="008F16FA"/>
    <w:rsid w:val="008F1717"/>
    <w:rsid w:val="008F1E53"/>
    <w:rsid w:val="008F1E58"/>
    <w:rsid w:val="008F2090"/>
    <w:rsid w:val="008F20E9"/>
    <w:rsid w:val="008F273B"/>
    <w:rsid w:val="008F2AE4"/>
    <w:rsid w:val="008F2B08"/>
    <w:rsid w:val="008F2B8F"/>
    <w:rsid w:val="008F2BE4"/>
    <w:rsid w:val="008F2FB8"/>
    <w:rsid w:val="008F2FD4"/>
    <w:rsid w:val="008F318F"/>
    <w:rsid w:val="008F3395"/>
    <w:rsid w:val="008F3571"/>
    <w:rsid w:val="008F358E"/>
    <w:rsid w:val="008F366B"/>
    <w:rsid w:val="008F385E"/>
    <w:rsid w:val="008F3993"/>
    <w:rsid w:val="008F3B46"/>
    <w:rsid w:val="008F3BBF"/>
    <w:rsid w:val="008F3C19"/>
    <w:rsid w:val="008F3D40"/>
    <w:rsid w:val="008F3F60"/>
    <w:rsid w:val="008F4280"/>
    <w:rsid w:val="008F42CB"/>
    <w:rsid w:val="008F4603"/>
    <w:rsid w:val="008F46A9"/>
    <w:rsid w:val="008F53AC"/>
    <w:rsid w:val="008F562A"/>
    <w:rsid w:val="008F567F"/>
    <w:rsid w:val="008F571B"/>
    <w:rsid w:val="008F585C"/>
    <w:rsid w:val="008F5BB6"/>
    <w:rsid w:val="008F5C04"/>
    <w:rsid w:val="008F5D93"/>
    <w:rsid w:val="008F6247"/>
    <w:rsid w:val="008F63D7"/>
    <w:rsid w:val="008F63E5"/>
    <w:rsid w:val="008F6424"/>
    <w:rsid w:val="008F6517"/>
    <w:rsid w:val="008F6519"/>
    <w:rsid w:val="008F67CA"/>
    <w:rsid w:val="008F6B06"/>
    <w:rsid w:val="008F783E"/>
    <w:rsid w:val="008F7B89"/>
    <w:rsid w:val="008F7DD0"/>
    <w:rsid w:val="00900093"/>
    <w:rsid w:val="009000D9"/>
    <w:rsid w:val="00900234"/>
    <w:rsid w:val="009004A4"/>
    <w:rsid w:val="0090050E"/>
    <w:rsid w:val="0090056B"/>
    <w:rsid w:val="0090057E"/>
    <w:rsid w:val="009006C6"/>
    <w:rsid w:val="009012A7"/>
    <w:rsid w:val="009012F9"/>
    <w:rsid w:val="00901541"/>
    <w:rsid w:val="00901694"/>
    <w:rsid w:val="009016A7"/>
    <w:rsid w:val="00901A14"/>
    <w:rsid w:val="00901F7D"/>
    <w:rsid w:val="00902221"/>
    <w:rsid w:val="0090222B"/>
    <w:rsid w:val="009023A0"/>
    <w:rsid w:val="0090293C"/>
    <w:rsid w:val="00902A49"/>
    <w:rsid w:val="00902A9B"/>
    <w:rsid w:val="00902B94"/>
    <w:rsid w:val="00902C2F"/>
    <w:rsid w:val="009030D4"/>
    <w:rsid w:val="0090341C"/>
    <w:rsid w:val="00903678"/>
    <w:rsid w:val="00903766"/>
    <w:rsid w:val="00903829"/>
    <w:rsid w:val="00903910"/>
    <w:rsid w:val="00903D0D"/>
    <w:rsid w:val="00903F55"/>
    <w:rsid w:val="00904206"/>
    <w:rsid w:val="00904716"/>
    <w:rsid w:val="009047D2"/>
    <w:rsid w:val="009048AB"/>
    <w:rsid w:val="009048D7"/>
    <w:rsid w:val="009049E8"/>
    <w:rsid w:val="00904C5E"/>
    <w:rsid w:val="00904D2B"/>
    <w:rsid w:val="00904D65"/>
    <w:rsid w:val="00904D7B"/>
    <w:rsid w:val="00904F39"/>
    <w:rsid w:val="00905168"/>
    <w:rsid w:val="009053CB"/>
    <w:rsid w:val="00905450"/>
    <w:rsid w:val="00905AC4"/>
    <w:rsid w:val="009062BB"/>
    <w:rsid w:val="0090649A"/>
    <w:rsid w:val="00906504"/>
    <w:rsid w:val="009067F9"/>
    <w:rsid w:val="009068B0"/>
    <w:rsid w:val="009069EE"/>
    <w:rsid w:val="00906C20"/>
    <w:rsid w:val="00907088"/>
    <w:rsid w:val="009079B4"/>
    <w:rsid w:val="00907A7C"/>
    <w:rsid w:val="00907C16"/>
    <w:rsid w:val="00907ED8"/>
    <w:rsid w:val="00907F7E"/>
    <w:rsid w:val="00907FC8"/>
    <w:rsid w:val="009100B4"/>
    <w:rsid w:val="009101CA"/>
    <w:rsid w:val="00910946"/>
    <w:rsid w:val="00910DBE"/>
    <w:rsid w:val="00910F7B"/>
    <w:rsid w:val="00910F82"/>
    <w:rsid w:val="009111D2"/>
    <w:rsid w:val="0091128C"/>
    <w:rsid w:val="00911743"/>
    <w:rsid w:val="009117EA"/>
    <w:rsid w:val="009120BB"/>
    <w:rsid w:val="009120C5"/>
    <w:rsid w:val="0091237E"/>
    <w:rsid w:val="0091282E"/>
    <w:rsid w:val="00912854"/>
    <w:rsid w:val="00912C13"/>
    <w:rsid w:val="00912C51"/>
    <w:rsid w:val="00912C9B"/>
    <w:rsid w:val="00913045"/>
    <w:rsid w:val="00913069"/>
    <w:rsid w:val="009130E1"/>
    <w:rsid w:val="00913309"/>
    <w:rsid w:val="0091348A"/>
    <w:rsid w:val="009135BB"/>
    <w:rsid w:val="00913A87"/>
    <w:rsid w:val="00913E20"/>
    <w:rsid w:val="00913ED6"/>
    <w:rsid w:val="00913FA5"/>
    <w:rsid w:val="0091402F"/>
    <w:rsid w:val="009140FE"/>
    <w:rsid w:val="00914282"/>
    <w:rsid w:val="009142CF"/>
    <w:rsid w:val="0091482C"/>
    <w:rsid w:val="00914982"/>
    <w:rsid w:val="00914A1A"/>
    <w:rsid w:val="00914D21"/>
    <w:rsid w:val="00914E64"/>
    <w:rsid w:val="00915485"/>
    <w:rsid w:val="009156D4"/>
    <w:rsid w:val="0091583A"/>
    <w:rsid w:val="00915A6B"/>
    <w:rsid w:val="00915DC7"/>
    <w:rsid w:val="00915E88"/>
    <w:rsid w:val="00915F2F"/>
    <w:rsid w:val="009160BA"/>
    <w:rsid w:val="00916222"/>
    <w:rsid w:val="0091656D"/>
    <w:rsid w:val="009168B0"/>
    <w:rsid w:val="009168F6"/>
    <w:rsid w:val="00916C89"/>
    <w:rsid w:val="00916D1F"/>
    <w:rsid w:val="00917280"/>
    <w:rsid w:val="00917529"/>
    <w:rsid w:val="009176B8"/>
    <w:rsid w:val="009176EE"/>
    <w:rsid w:val="009177B0"/>
    <w:rsid w:val="00917B15"/>
    <w:rsid w:val="00917B5D"/>
    <w:rsid w:val="00917C78"/>
    <w:rsid w:val="00917F76"/>
    <w:rsid w:val="009200AD"/>
    <w:rsid w:val="009201C3"/>
    <w:rsid w:val="00920714"/>
    <w:rsid w:val="00920761"/>
    <w:rsid w:val="0092091A"/>
    <w:rsid w:val="00920C75"/>
    <w:rsid w:val="00920C9D"/>
    <w:rsid w:val="00920D0E"/>
    <w:rsid w:val="00920DDD"/>
    <w:rsid w:val="00921481"/>
    <w:rsid w:val="00921502"/>
    <w:rsid w:val="00921525"/>
    <w:rsid w:val="009215A6"/>
    <w:rsid w:val="009216B9"/>
    <w:rsid w:val="0092183C"/>
    <w:rsid w:val="0092188B"/>
    <w:rsid w:val="009218E4"/>
    <w:rsid w:val="00921A3F"/>
    <w:rsid w:val="00921DB4"/>
    <w:rsid w:val="00921F35"/>
    <w:rsid w:val="009223A2"/>
    <w:rsid w:val="0092262F"/>
    <w:rsid w:val="0092275E"/>
    <w:rsid w:val="0092281D"/>
    <w:rsid w:val="00922D27"/>
    <w:rsid w:val="00922EB2"/>
    <w:rsid w:val="00922F14"/>
    <w:rsid w:val="009231A7"/>
    <w:rsid w:val="009231C8"/>
    <w:rsid w:val="009233CA"/>
    <w:rsid w:val="00923627"/>
    <w:rsid w:val="00923641"/>
    <w:rsid w:val="009236E0"/>
    <w:rsid w:val="0092378A"/>
    <w:rsid w:val="00923A30"/>
    <w:rsid w:val="009240C3"/>
    <w:rsid w:val="00924390"/>
    <w:rsid w:val="009243DD"/>
    <w:rsid w:val="009244A7"/>
    <w:rsid w:val="009245BA"/>
    <w:rsid w:val="00924AF8"/>
    <w:rsid w:val="00924EE6"/>
    <w:rsid w:val="009254BA"/>
    <w:rsid w:val="0092578B"/>
    <w:rsid w:val="0092592D"/>
    <w:rsid w:val="00925A13"/>
    <w:rsid w:val="00926168"/>
    <w:rsid w:val="009262CF"/>
    <w:rsid w:val="009267EA"/>
    <w:rsid w:val="00926879"/>
    <w:rsid w:val="009268BC"/>
    <w:rsid w:val="00926B54"/>
    <w:rsid w:val="00926C0C"/>
    <w:rsid w:val="00927046"/>
    <w:rsid w:val="009270E8"/>
    <w:rsid w:val="0092722A"/>
    <w:rsid w:val="009272D0"/>
    <w:rsid w:val="0092743E"/>
    <w:rsid w:val="009301CD"/>
    <w:rsid w:val="009303CD"/>
    <w:rsid w:val="00930A35"/>
    <w:rsid w:val="00930DBA"/>
    <w:rsid w:val="00931035"/>
    <w:rsid w:val="009310EA"/>
    <w:rsid w:val="0093129A"/>
    <w:rsid w:val="00931509"/>
    <w:rsid w:val="00931520"/>
    <w:rsid w:val="009315E4"/>
    <w:rsid w:val="009316E3"/>
    <w:rsid w:val="0093173D"/>
    <w:rsid w:val="009317CB"/>
    <w:rsid w:val="0093184D"/>
    <w:rsid w:val="00931CAA"/>
    <w:rsid w:val="00931D3A"/>
    <w:rsid w:val="00931E10"/>
    <w:rsid w:val="0093200C"/>
    <w:rsid w:val="00932483"/>
    <w:rsid w:val="009328AC"/>
    <w:rsid w:val="00932E0D"/>
    <w:rsid w:val="00932EE9"/>
    <w:rsid w:val="00933165"/>
    <w:rsid w:val="009334E0"/>
    <w:rsid w:val="009334E9"/>
    <w:rsid w:val="009335FB"/>
    <w:rsid w:val="0093376A"/>
    <w:rsid w:val="00933822"/>
    <w:rsid w:val="00933A16"/>
    <w:rsid w:val="00933A4F"/>
    <w:rsid w:val="00933D05"/>
    <w:rsid w:val="00934102"/>
    <w:rsid w:val="0093419F"/>
    <w:rsid w:val="009341BE"/>
    <w:rsid w:val="009342E3"/>
    <w:rsid w:val="009344CB"/>
    <w:rsid w:val="009345B8"/>
    <w:rsid w:val="00934652"/>
    <w:rsid w:val="00934912"/>
    <w:rsid w:val="00934D2A"/>
    <w:rsid w:val="00934ECD"/>
    <w:rsid w:val="00934EEA"/>
    <w:rsid w:val="00934F2C"/>
    <w:rsid w:val="0093508C"/>
    <w:rsid w:val="009352CF"/>
    <w:rsid w:val="00935471"/>
    <w:rsid w:val="0093547E"/>
    <w:rsid w:val="009359F0"/>
    <w:rsid w:val="00935AA4"/>
    <w:rsid w:val="00935D24"/>
    <w:rsid w:val="00935F00"/>
    <w:rsid w:val="00935F0E"/>
    <w:rsid w:val="009362C5"/>
    <w:rsid w:val="009363AA"/>
    <w:rsid w:val="009366A6"/>
    <w:rsid w:val="009366C3"/>
    <w:rsid w:val="00936738"/>
    <w:rsid w:val="009367A7"/>
    <w:rsid w:val="00936A21"/>
    <w:rsid w:val="00936D13"/>
    <w:rsid w:val="0093707E"/>
    <w:rsid w:val="009370F6"/>
    <w:rsid w:val="009372C6"/>
    <w:rsid w:val="009376E3"/>
    <w:rsid w:val="00937A67"/>
    <w:rsid w:val="00937DBC"/>
    <w:rsid w:val="009405B5"/>
    <w:rsid w:val="00940A18"/>
    <w:rsid w:val="00940A76"/>
    <w:rsid w:val="00940AF5"/>
    <w:rsid w:val="00940F08"/>
    <w:rsid w:val="00940F9D"/>
    <w:rsid w:val="00941121"/>
    <w:rsid w:val="00941146"/>
    <w:rsid w:val="00941670"/>
    <w:rsid w:val="009417F1"/>
    <w:rsid w:val="00941830"/>
    <w:rsid w:val="0094196C"/>
    <w:rsid w:val="00941B81"/>
    <w:rsid w:val="00941C53"/>
    <w:rsid w:val="00941C7E"/>
    <w:rsid w:val="00942199"/>
    <w:rsid w:val="009423A6"/>
    <w:rsid w:val="00942738"/>
    <w:rsid w:val="009427BB"/>
    <w:rsid w:val="00942974"/>
    <w:rsid w:val="009429C7"/>
    <w:rsid w:val="00942D3F"/>
    <w:rsid w:val="0094306D"/>
    <w:rsid w:val="00943143"/>
    <w:rsid w:val="0094328A"/>
    <w:rsid w:val="009432A2"/>
    <w:rsid w:val="00943602"/>
    <w:rsid w:val="00943696"/>
    <w:rsid w:val="00943B33"/>
    <w:rsid w:val="00943C8F"/>
    <w:rsid w:val="00943F6C"/>
    <w:rsid w:val="00943F81"/>
    <w:rsid w:val="00944111"/>
    <w:rsid w:val="00944413"/>
    <w:rsid w:val="0094449C"/>
    <w:rsid w:val="0094464D"/>
    <w:rsid w:val="0094468B"/>
    <w:rsid w:val="00944904"/>
    <w:rsid w:val="00944E6C"/>
    <w:rsid w:val="00944F64"/>
    <w:rsid w:val="00945024"/>
    <w:rsid w:val="009450D3"/>
    <w:rsid w:val="00945377"/>
    <w:rsid w:val="0094557A"/>
    <w:rsid w:val="00945592"/>
    <w:rsid w:val="009456FD"/>
    <w:rsid w:val="00945D51"/>
    <w:rsid w:val="00945F05"/>
    <w:rsid w:val="0094616C"/>
    <w:rsid w:val="009462EE"/>
    <w:rsid w:val="0094644D"/>
    <w:rsid w:val="00946997"/>
    <w:rsid w:val="00946BBC"/>
    <w:rsid w:val="00946E6F"/>
    <w:rsid w:val="00946FDE"/>
    <w:rsid w:val="00947220"/>
    <w:rsid w:val="009473F7"/>
    <w:rsid w:val="009476C7"/>
    <w:rsid w:val="0094798A"/>
    <w:rsid w:val="00947994"/>
    <w:rsid w:val="00947A7B"/>
    <w:rsid w:val="00947C93"/>
    <w:rsid w:val="00947E7C"/>
    <w:rsid w:val="00947FE2"/>
    <w:rsid w:val="00947FF9"/>
    <w:rsid w:val="009500F8"/>
    <w:rsid w:val="00950513"/>
    <w:rsid w:val="009506AC"/>
    <w:rsid w:val="009508EB"/>
    <w:rsid w:val="00950D9F"/>
    <w:rsid w:val="00951216"/>
    <w:rsid w:val="009512B7"/>
    <w:rsid w:val="0095178F"/>
    <w:rsid w:val="00951B60"/>
    <w:rsid w:val="00951BD7"/>
    <w:rsid w:val="00951DE9"/>
    <w:rsid w:val="00951FE9"/>
    <w:rsid w:val="00952173"/>
    <w:rsid w:val="00952261"/>
    <w:rsid w:val="00952697"/>
    <w:rsid w:val="00952A4D"/>
    <w:rsid w:val="0095322D"/>
    <w:rsid w:val="009532DD"/>
    <w:rsid w:val="00953393"/>
    <w:rsid w:val="009534AA"/>
    <w:rsid w:val="009534CB"/>
    <w:rsid w:val="009539DC"/>
    <w:rsid w:val="00953AD0"/>
    <w:rsid w:val="00953C83"/>
    <w:rsid w:val="00953CA8"/>
    <w:rsid w:val="00953CD6"/>
    <w:rsid w:val="00953DE0"/>
    <w:rsid w:val="00953E62"/>
    <w:rsid w:val="00954060"/>
    <w:rsid w:val="0095434F"/>
    <w:rsid w:val="00954517"/>
    <w:rsid w:val="00954696"/>
    <w:rsid w:val="00955046"/>
    <w:rsid w:val="009551E7"/>
    <w:rsid w:val="00955331"/>
    <w:rsid w:val="009553B2"/>
    <w:rsid w:val="0095544B"/>
    <w:rsid w:val="009554EF"/>
    <w:rsid w:val="009555E6"/>
    <w:rsid w:val="00955A21"/>
    <w:rsid w:val="00955D56"/>
    <w:rsid w:val="009562AE"/>
    <w:rsid w:val="009568D3"/>
    <w:rsid w:val="00956B41"/>
    <w:rsid w:val="00956CD7"/>
    <w:rsid w:val="00956DA8"/>
    <w:rsid w:val="00956F9A"/>
    <w:rsid w:val="00957004"/>
    <w:rsid w:val="009573C2"/>
    <w:rsid w:val="00957C34"/>
    <w:rsid w:val="00957C3B"/>
    <w:rsid w:val="00957EFE"/>
    <w:rsid w:val="009600B9"/>
    <w:rsid w:val="009604E7"/>
    <w:rsid w:val="009608C9"/>
    <w:rsid w:val="00960AA9"/>
    <w:rsid w:val="00960C25"/>
    <w:rsid w:val="0096107D"/>
    <w:rsid w:val="0096147A"/>
    <w:rsid w:val="00961611"/>
    <w:rsid w:val="009619C8"/>
    <w:rsid w:val="00961AE7"/>
    <w:rsid w:val="00961D8F"/>
    <w:rsid w:val="009620AE"/>
    <w:rsid w:val="0096232D"/>
    <w:rsid w:val="00962558"/>
    <w:rsid w:val="009628F2"/>
    <w:rsid w:val="00962A78"/>
    <w:rsid w:val="00962D7E"/>
    <w:rsid w:val="00962EC8"/>
    <w:rsid w:val="00963001"/>
    <w:rsid w:val="0096305A"/>
    <w:rsid w:val="0096344C"/>
    <w:rsid w:val="009634BD"/>
    <w:rsid w:val="009635B8"/>
    <w:rsid w:val="009635C7"/>
    <w:rsid w:val="00963621"/>
    <w:rsid w:val="0096366D"/>
    <w:rsid w:val="00964024"/>
    <w:rsid w:val="0096415A"/>
    <w:rsid w:val="009648EB"/>
    <w:rsid w:val="00964DAE"/>
    <w:rsid w:val="009654A8"/>
    <w:rsid w:val="009654D1"/>
    <w:rsid w:val="009656DD"/>
    <w:rsid w:val="009657D9"/>
    <w:rsid w:val="00965AE6"/>
    <w:rsid w:val="00965B6A"/>
    <w:rsid w:val="00965E05"/>
    <w:rsid w:val="00965EA3"/>
    <w:rsid w:val="00965FB2"/>
    <w:rsid w:val="0096607D"/>
    <w:rsid w:val="00966283"/>
    <w:rsid w:val="00966F53"/>
    <w:rsid w:val="009671E9"/>
    <w:rsid w:val="009672DA"/>
    <w:rsid w:val="009674D8"/>
    <w:rsid w:val="009675A4"/>
    <w:rsid w:val="0096791E"/>
    <w:rsid w:val="0096794C"/>
    <w:rsid w:val="009679D8"/>
    <w:rsid w:val="00967A80"/>
    <w:rsid w:val="00967BE2"/>
    <w:rsid w:val="00967D24"/>
    <w:rsid w:val="00967D2C"/>
    <w:rsid w:val="00967E9E"/>
    <w:rsid w:val="009700AA"/>
    <w:rsid w:val="009700CF"/>
    <w:rsid w:val="00970173"/>
    <w:rsid w:val="0097058A"/>
    <w:rsid w:val="00970687"/>
    <w:rsid w:val="009707E5"/>
    <w:rsid w:val="00970E86"/>
    <w:rsid w:val="00971007"/>
    <w:rsid w:val="0097176E"/>
    <w:rsid w:val="00971B2E"/>
    <w:rsid w:val="00971CEF"/>
    <w:rsid w:val="00971F42"/>
    <w:rsid w:val="0097227D"/>
    <w:rsid w:val="00972322"/>
    <w:rsid w:val="00972632"/>
    <w:rsid w:val="00972811"/>
    <w:rsid w:val="00972878"/>
    <w:rsid w:val="009728A4"/>
    <w:rsid w:val="00972A61"/>
    <w:rsid w:val="00973203"/>
    <w:rsid w:val="00973395"/>
    <w:rsid w:val="009733D6"/>
    <w:rsid w:val="009737EC"/>
    <w:rsid w:val="00973E3A"/>
    <w:rsid w:val="009740E0"/>
    <w:rsid w:val="009742A4"/>
    <w:rsid w:val="00974329"/>
    <w:rsid w:val="00974688"/>
    <w:rsid w:val="00974B0F"/>
    <w:rsid w:val="00974B82"/>
    <w:rsid w:val="00974CEB"/>
    <w:rsid w:val="00974E2C"/>
    <w:rsid w:val="009750F1"/>
    <w:rsid w:val="0097514E"/>
    <w:rsid w:val="009751C5"/>
    <w:rsid w:val="009751E8"/>
    <w:rsid w:val="00975361"/>
    <w:rsid w:val="00975454"/>
    <w:rsid w:val="00975567"/>
    <w:rsid w:val="009757F2"/>
    <w:rsid w:val="00975843"/>
    <w:rsid w:val="009758F3"/>
    <w:rsid w:val="00975A7D"/>
    <w:rsid w:val="00975B88"/>
    <w:rsid w:val="00975D70"/>
    <w:rsid w:val="00975F5F"/>
    <w:rsid w:val="00976679"/>
    <w:rsid w:val="009767DD"/>
    <w:rsid w:val="009768FD"/>
    <w:rsid w:val="00976CCB"/>
    <w:rsid w:val="00976E1E"/>
    <w:rsid w:val="00977096"/>
    <w:rsid w:val="009770F6"/>
    <w:rsid w:val="00977118"/>
    <w:rsid w:val="0097741C"/>
    <w:rsid w:val="00977673"/>
    <w:rsid w:val="0097773B"/>
    <w:rsid w:val="009779EB"/>
    <w:rsid w:val="00977EC2"/>
    <w:rsid w:val="00980199"/>
    <w:rsid w:val="0098034E"/>
    <w:rsid w:val="009806D1"/>
    <w:rsid w:val="00980BF6"/>
    <w:rsid w:val="009810BD"/>
    <w:rsid w:val="00981167"/>
    <w:rsid w:val="00981183"/>
    <w:rsid w:val="009813FF"/>
    <w:rsid w:val="009817AD"/>
    <w:rsid w:val="00981931"/>
    <w:rsid w:val="00981980"/>
    <w:rsid w:val="00981C40"/>
    <w:rsid w:val="00981EF8"/>
    <w:rsid w:val="00981F5A"/>
    <w:rsid w:val="009820E1"/>
    <w:rsid w:val="00982585"/>
    <w:rsid w:val="0098269E"/>
    <w:rsid w:val="0098278A"/>
    <w:rsid w:val="009827F7"/>
    <w:rsid w:val="009829C6"/>
    <w:rsid w:val="00982C22"/>
    <w:rsid w:val="00982E10"/>
    <w:rsid w:val="00982EA7"/>
    <w:rsid w:val="00982EE4"/>
    <w:rsid w:val="0098333C"/>
    <w:rsid w:val="0098351E"/>
    <w:rsid w:val="0098369A"/>
    <w:rsid w:val="0098382D"/>
    <w:rsid w:val="00983BD8"/>
    <w:rsid w:val="00983FE6"/>
    <w:rsid w:val="00984140"/>
    <w:rsid w:val="00984287"/>
    <w:rsid w:val="00984466"/>
    <w:rsid w:val="009846F5"/>
    <w:rsid w:val="009847D9"/>
    <w:rsid w:val="00984C8A"/>
    <w:rsid w:val="00984C95"/>
    <w:rsid w:val="00984D02"/>
    <w:rsid w:val="00984E56"/>
    <w:rsid w:val="00984E5F"/>
    <w:rsid w:val="00985592"/>
    <w:rsid w:val="00985766"/>
    <w:rsid w:val="00985958"/>
    <w:rsid w:val="00985DCC"/>
    <w:rsid w:val="00985F6A"/>
    <w:rsid w:val="009860E9"/>
    <w:rsid w:val="0098651C"/>
    <w:rsid w:val="009867E2"/>
    <w:rsid w:val="00986843"/>
    <w:rsid w:val="00986846"/>
    <w:rsid w:val="00986CBD"/>
    <w:rsid w:val="00986CFE"/>
    <w:rsid w:val="00986DB3"/>
    <w:rsid w:val="00986FDC"/>
    <w:rsid w:val="00987478"/>
    <w:rsid w:val="0098751F"/>
    <w:rsid w:val="00987A26"/>
    <w:rsid w:val="00987D70"/>
    <w:rsid w:val="00987E71"/>
    <w:rsid w:val="00987F58"/>
    <w:rsid w:val="0099016D"/>
    <w:rsid w:val="0099020A"/>
    <w:rsid w:val="009902BF"/>
    <w:rsid w:val="00990631"/>
    <w:rsid w:val="0099065B"/>
    <w:rsid w:val="009906A1"/>
    <w:rsid w:val="009907A7"/>
    <w:rsid w:val="00990813"/>
    <w:rsid w:val="009909D6"/>
    <w:rsid w:val="009909FB"/>
    <w:rsid w:val="00990A73"/>
    <w:rsid w:val="00990BFF"/>
    <w:rsid w:val="00990C00"/>
    <w:rsid w:val="00990F68"/>
    <w:rsid w:val="0099122E"/>
    <w:rsid w:val="0099133C"/>
    <w:rsid w:val="00991427"/>
    <w:rsid w:val="00991508"/>
    <w:rsid w:val="009915A9"/>
    <w:rsid w:val="00991666"/>
    <w:rsid w:val="00991927"/>
    <w:rsid w:val="00991985"/>
    <w:rsid w:val="00991A21"/>
    <w:rsid w:val="00991DC4"/>
    <w:rsid w:val="00991E3E"/>
    <w:rsid w:val="00991ECA"/>
    <w:rsid w:val="00991F2A"/>
    <w:rsid w:val="009921B0"/>
    <w:rsid w:val="0099226E"/>
    <w:rsid w:val="00992563"/>
    <w:rsid w:val="009925F1"/>
    <w:rsid w:val="009926DB"/>
    <w:rsid w:val="00992D50"/>
    <w:rsid w:val="00992EF0"/>
    <w:rsid w:val="009934D5"/>
    <w:rsid w:val="00993AA2"/>
    <w:rsid w:val="00993BAF"/>
    <w:rsid w:val="00993BB4"/>
    <w:rsid w:val="00993BD4"/>
    <w:rsid w:val="00993BD6"/>
    <w:rsid w:val="00993C3D"/>
    <w:rsid w:val="00994003"/>
    <w:rsid w:val="00994144"/>
    <w:rsid w:val="0099490C"/>
    <w:rsid w:val="00995179"/>
    <w:rsid w:val="00995251"/>
    <w:rsid w:val="0099533E"/>
    <w:rsid w:val="00995D31"/>
    <w:rsid w:val="00995DAE"/>
    <w:rsid w:val="00995F7E"/>
    <w:rsid w:val="009960BB"/>
    <w:rsid w:val="009961EB"/>
    <w:rsid w:val="009962AF"/>
    <w:rsid w:val="00996340"/>
    <w:rsid w:val="0099681B"/>
    <w:rsid w:val="009968E8"/>
    <w:rsid w:val="00996A62"/>
    <w:rsid w:val="00996BB3"/>
    <w:rsid w:val="00996DF4"/>
    <w:rsid w:val="009976DF"/>
    <w:rsid w:val="00997858"/>
    <w:rsid w:val="00997DBC"/>
    <w:rsid w:val="009A08AF"/>
    <w:rsid w:val="009A0941"/>
    <w:rsid w:val="009A09AC"/>
    <w:rsid w:val="009A0A82"/>
    <w:rsid w:val="009A0EA7"/>
    <w:rsid w:val="009A0ECB"/>
    <w:rsid w:val="009A0F00"/>
    <w:rsid w:val="009A12B0"/>
    <w:rsid w:val="009A1331"/>
    <w:rsid w:val="009A13BA"/>
    <w:rsid w:val="009A13C1"/>
    <w:rsid w:val="009A1753"/>
    <w:rsid w:val="009A186A"/>
    <w:rsid w:val="009A1901"/>
    <w:rsid w:val="009A1978"/>
    <w:rsid w:val="009A2069"/>
    <w:rsid w:val="009A211B"/>
    <w:rsid w:val="009A2133"/>
    <w:rsid w:val="009A2323"/>
    <w:rsid w:val="009A239E"/>
    <w:rsid w:val="009A24EE"/>
    <w:rsid w:val="009A2809"/>
    <w:rsid w:val="009A28F6"/>
    <w:rsid w:val="009A295E"/>
    <w:rsid w:val="009A29A0"/>
    <w:rsid w:val="009A2ABB"/>
    <w:rsid w:val="009A2F39"/>
    <w:rsid w:val="009A2F8D"/>
    <w:rsid w:val="009A30DB"/>
    <w:rsid w:val="009A31F8"/>
    <w:rsid w:val="009A3235"/>
    <w:rsid w:val="009A32C2"/>
    <w:rsid w:val="009A3A84"/>
    <w:rsid w:val="009A3B14"/>
    <w:rsid w:val="009A419A"/>
    <w:rsid w:val="009A4590"/>
    <w:rsid w:val="009A467A"/>
    <w:rsid w:val="009A4895"/>
    <w:rsid w:val="009A48E3"/>
    <w:rsid w:val="009A4B9A"/>
    <w:rsid w:val="009A4EFB"/>
    <w:rsid w:val="009A5148"/>
    <w:rsid w:val="009A517E"/>
    <w:rsid w:val="009A5298"/>
    <w:rsid w:val="009A59B3"/>
    <w:rsid w:val="009A5AE0"/>
    <w:rsid w:val="009A5C32"/>
    <w:rsid w:val="009A5D94"/>
    <w:rsid w:val="009A5F87"/>
    <w:rsid w:val="009A5F9A"/>
    <w:rsid w:val="009A6238"/>
    <w:rsid w:val="009A63F7"/>
    <w:rsid w:val="009A6A28"/>
    <w:rsid w:val="009A6CFA"/>
    <w:rsid w:val="009A6DAB"/>
    <w:rsid w:val="009A6E1A"/>
    <w:rsid w:val="009A70C6"/>
    <w:rsid w:val="009A74CF"/>
    <w:rsid w:val="009A752D"/>
    <w:rsid w:val="009A75F1"/>
    <w:rsid w:val="009A7B07"/>
    <w:rsid w:val="009A7B41"/>
    <w:rsid w:val="009A7BE5"/>
    <w:rsid w:val="009A7CE5"/>
    <w:rsid w:val="009A7EE7"/>
    <w:rsid w:val="009A7F07"/>
    <w:rsid w:val="009B029F"/>
    <w:rsid w:val="009B0343"/>
    <w:rsid w:val="009B0532"/>
    <w:rsid w:val="009B07D2"/>
    <w:rsid w:val="009B0852"/>
    <w:rsid w:val="009B0A03"/>
    <w:rsid w:val="009B0FAF"/>
    <w:rsid w:val="009B10D6"/>
    <w:rsid w:val="009B1191"/>
    <w:rsid w:val="009B122A"/>
    <w:rsid w:val="009B138A"/>
    <w:rsid w:val="009B16B9"/>
    <w:rsid w:val="009B1869"/>
    <w:rsid w:val="009B1F3F"/>
    <w:rsid w:val="009B1F7C"/>
    <w:rsid w:val="009B1F8B"/>
    <w:rsid w:val="009B204E"/>
    <w:rsid w:val="009B2098"/>
    <w:rsid w:val="009B252C"/>
    <w:rsid w:val="009B28E9"/>
    <w:rsid w:val="009B29C6"/>
    <w:rsid w:val="009B2F0A"/>
    <w:rsid w:val="009B31C3"/>
    <w:rsid w:val="009B36BE"/>
    <w:rsid w:val="009B37DC"/>
    <w:rsid w:val="009B3A59"/>
    <w:rsid w:val="009B3E49"/>
    <w:rsid w:val="009B4095"/>
    <w:rsid w:val="009B4111"/>
    <w:rsid w:val="009B42C9"/>
    <w:rsid w:val="009B455B"/>
    <w:rsid w:val="009B4908"/>
    <w:rsid w:val="009B4AB8"/>
    <w:rsid w:val="009B4AC4"/>
    <w:rsid w:val="009B4B27"/>
    <w:rsid w:val="009B4B4A"/>
    <w:rsid w:val="009B4BC3"/>
    <w:rsid w:val="009B4C92"/>
    <w:rsid w:val="009B4D41"/>
    <w:rsid w:val="009B4F80"/>
    <w:rsid w:val="009B545A"/>
    <w:rsid w:val="009B56E4"/>
    <w:rsid w:val="009B5833"/>
    <w:rsid w:val="009B58D6"/>
    <w:rsid w:val="009B595F"/>
    <w:rsid w:val="009B5A2D"/>
    <w:rsid w:val="009B5A55"/>
    <w:rsid w:val="009B5D4C"/>
    <w:rsid w:val="009B5E8B"/>
    <w:rsid w:val="009B60FE"/>
    <w:rsid w:val="009B620A"/>
    <w:rsid w:val="009B6355"/>
    <w:rsid w:val="009B6812"/>
    <w:rsid w:val="009B690C"/>
    <w:rsid w:val="009B6BAB"/>
    <w:rsid w:val="009B6D3C"/>
    <w:rsid w:val="009B6DA2"/>
    <w:rsid w:val="009B6E70"/>
    <w:rsid w:val="009B716E"/>
    <w:rsid w:val="009B7332"/>
    <w:rsid w:val="009B7519"/>
    <w:rsid w:val="009B7761"/>
    <w:rsid w:val="009B776C"/>
    <w:rsid w:val="009B78E7"/>
    <w:rsid w:val="009B78F2"/>
    <w:rsid w:val="009B790F"/>
    <w:rsid w:val="009B7B96"/>
    <w:rsid w:val="009B7D2D"/>
    <w:rsid w:val="009C08CB"/>
    <w:rsid w:val="009C0A34"/>
    <w:rsid w:val="009C0A3F"/>
    <w:rsid w:val="009C0B13"/>
    <w:rsid w:val="009C1011"/>
    <w:rsid w:val="009C1157"/>
    <w:rsid w:val="009C130C"/>
    <w:rsid w:val="009C133F"/>
    <w:rsid w:val="009C15BE"/>
    <w:rsid w:val="009C1A17"/>
    <w:rsid w:val="009C1ADF"/>
    <w:rsid w:val="009C1B09"/>
    <w:rsid w:val="009C1D28"/>
    <w:rsid w:val="009C21A0"/>
    <w:rsid w:val="009C2285"/>
    <w:rsid w:val="009C22E4"/>
    <w:rsid w:val="009C29B6"/>
    <w:rsid w:val="009C2D49"/>
    <w:rsid w:val="009C2E4E"/>
    <w:rsid w:val="009C30AA"/>
    <w:rsid w:val="009C312D"/>
    <w:rsid w:val="009C3702"/>
    <w:rsid w:val="009C3EA5"/>
    <w:rsid w:val="009C404B"/>
    <w:rsid w:val="009C4114"/>
    <w:rsid w:val="009C42F7"/>
    <w:rsid w:val="009C44C6"/>
    <w:rsid w:val="009C4598"/>
    <w:rsid w:val="009C45F2"/>
    <w:rsid w:val="009C47B2"/>
    <w:rsid w:val="009C4912"/>
    <w:rsid w:val="009C4AC7"/>
    <w:rsid w:val="009C4B21"/>
    <w:rsid w:val="009C4B9D"/>
    <w:rsid w:val="009C4DDE"/>
    <w:rsid w:val="009C4EAF"/>
    <w:rsid w:val="009C4EC1"/>
    <w:rsid w:val="009C5341"/>
    <w:rsid w:val="009C5512"/>
    <w:rsid w:val="009C5675"/>
    <w:rsid w:val="009C5C19"/>
    <w:rsid w:val="009C5D8B"/>
    <w:rsid w:val="009C604B"/>
    <w:rsid w:val="009C61E3"/>
    <w:rsid w:val="009C63A3"/>
    <w:rsid w:val="009C66B3"/>
    <w:rsid w:val="009C66CE"/>
    <w:rsid w:val="009C6B5D"/>
    <w:rsid w:val="009C6B9B"/>
    <w:rsid w:val="009C7263"/>
    <w:rsid w:val="009C735E"/>
    <w:rsid w:val="009C765A"/>
    <w:rsid w:val="009C78BD"/>
    <w:rsid w:val="009C7A2D"/>
    <w:rsid w:val="009C7C3C"/>
    <w:rsid w:val="009C7C42"/>
    <w:rsid w:val="009D0285"/>
    <w:rsid w:val="009D02E3"/>
    <w:rsid w:val="009D03BC"/>
    <w:rsid w:val="009D03C9"/>
    <w:rsid w:val="009D04D8"/>
    <w:rsid w:val="009D0748"/>
    <w:rsid w:val="009D0E48"/>
    <w:rsid w:val="009D0F2D"/>
    <w:rsid w:val="009D1578"/>
    <w:rsid w:val="009D159C"/>
    <w:rsid w:val="009D1775"/>
    <w:rsid w:val="009D1A39"/>
    <w:rsid w:val="009D2303"/>
    <w:rsid w:val="009D2672"/>
    <w:rsid w:val="009D2D8D"/>
    <w:rsid w:val="009D2FD3"/>
    <w:rsid w:val="009D316E"/>
    <w:rsid w:val="009D321A"/>
    <w:rsid w:val="009D3228"/>
    <w:rsid w:val="009D32B9"/>
    <w:rsid w:val="009D3800"/>
    <w:rsid w:val="009D3B88"/>
    <w:rsid w:val="009D3DF9"/>
    <w:rsid w:val="009D439D"/>
    <w:rsid w:val="009D45EA"/>
    <w:rsid w:val="009D49A9"/>
    <w:rsid w:val="009D4A1A"/>
    <w:rsid w:val="009D4BD2"/>
    <w:rsid w:val="009D4CA8"/>
    <w:rsid w:val="009D4D5B"/>
    <w:rsid w:val="009D4E6D"/>
    <w:rsid w:val="009D4EFD"/>
    <w:rsid w:val="009D4F04"/>
    <w:rsid w:val="009D5537"/>
    <w:rsid w:val="009D560C"/>
    <w:rsid w:val="009D5D4D"/>
    <w:rsid w:val="009D601A"/>
    <w:rsid w:val="009D60F9"/>
    <w:rsid w:val="009D625E"/>
    <w:rsid w:val="009D6738"/>
    <w:rsid w:val="009D6AFD"/>
    <w:rsid w:val="009D6B6C"/>
    <w:rsid w:val="009D6FAC"/>
    <w:rsid w:val="009D72E8"/>
    <w:rsid w:val="009D7441"/>
    <w:rsid w:val="009D74F2"/>
    <w:rsid w:val="009D7623"/>
    <w:rsid w:val="009D7927"/>
    <w:rsid w:val="009D7A7C"/>
    <w:rsid w:val="009D7AEF"/>
    <w:rsid w:val="009D7E2F"/>
    <w:rsid w:val="009E002B"/>
    <w:rsid w:val="009E00E0"/>
    <w:rsid w:val="009E0686"/>
    <w:rsid w:val="009E08DA"/>
    <w:rsid w:val="009E0CED"/>
    <w:rsid w:val="009E0E8B"/>
    <w:rsid w:val="009E1315"/>
    <w:rsid w:val="009E173C"/>
    <w:rsid w:val="009E1892"/>
    <w:rsid w:val="009E1ADA"/>
    <w:rsid w:val="009E1B30"/>
    <w:rsid w:val="009E1EA4"/>
    <w:rsid w:val="009E20A3"/>
    <w:rsid w:val="009E23BC"/>
    <w:rsid w:val="009E258A"/>
    <w:rsid w:val="009E2907"/>
    <w:rsid w:val="009E2BCA"/>
    <w:rsid w:val="009E2C71"/>
    <w:rsid w:val="009E2E04"/>
    <w:rsid w:val="009E33D6"/>
    <w:rsid w:val="009E340B"/>
    <w:rsid w:val="009E349D"/>
    <w:rsid w:val="009E3605"/>
    <w:rsid w:val="009E37D9"/>
    <w:rsid w:val="009E3899"/>
    <w:rsid w:val="009E3A8A"/>
    <w:rsid w:val="009E3AEA"/>
    <w:rsid w:val="009E428C"/>
    <w:rsid w:val="009E437F"/>
    <w:rsid w:val="009E46E2"/>
    <w:rsid w:val="009E4CD5"/>
    <w:rsid w:val="009E5019"/>
    <w:rsid w:val="009E523A"/>
    <w:rsid w:val="009E5258"/>
    <w:rsid w:val="009E52BA"/>
    <w:rsid w:val="009E54A5"/>
    <w:rsid w:val="009E5607"/>
    <w:rsid w:val="009E56D8"/>
    <w:rsid w:val="009E56EE"/>
    <w:rsid w:val="009E5812"/>
    <w:rsid w:val="009E5A76"/>
    <w:rsid w:val="009E5C8D"/>
    <w:rsid w:val="009E5CA0"/>
    <w:rsid w:val="009E5DD9"/>
    <w:rsid w:val="009E5F17"/>
    <w:rsid w:val="009E6299"/>
    <w:rsid w:val="009E642F"/>
    <w:rsid w:val="009E687B"/>
    <w:rsid w:val="009E6CA5"/>
    <w:rsid w:val="009E6EA0"/>
    <w:rsid w:val="009E70EE"/>
    <w:rsid w:val="009E75A9"/>
    <w:rsid w:val="009E7CED"/>
    <w:rsid w:val="009E7FC3"/>
    <w:rsid w:val="009F0175"/>
    <w:rsid w:val="009F0485"/>
    <w:rsid w:val="009F0CB7"/>
    <w:rsid w:val="009F0D48"/>
    <w:rsid w:val="009F0DBD"/>
    <w:rsid w:val="009F105D"/>
    <w:rsid w:val="009F1136"/>
    <w:rsid w:val="009F13D1"/>
    <w:rsid w:val="009F1598"/>
    <w:rsid w:val="009F161E"/>
    <w:rsid w:val="009F19CE"/>
    <w:rsid w:val="009F1AAD"/>
    <w:rsid w:val="009F1DDE"/>
    <w:rsid w:val="009F2CCA"/>
    <w:rsid w:val="009F2ED3"/>
    <w:rsid w:val="009F3087"/>
    <w:rsid w:val="009F390F"/>
    <w:rsid w:val="009F3B4E"/>
    <w:rsid w:val="009F407E"/>
    <w:rsid w:val="009F421F"/>
    <w:rsid w:val="009F4309"/>
    <w:rsid w:val="009F4474"/>
    <w:rsid w:val="009F448B"/>
    <w:rsid w:val="009F467A"/>
    <w:rsid w:val="009F4D8A"/>
    <w:rsid w:val="009F4DCC"/>
    <w:rsid w:val="009F5064"/>
    <w:rsid w:val="009F5317"/>
    <w:rsid w:val="009F53D5"/>
    <w:rsid w:val="009F54B1"/>
    <w:rsid w:val="009F559A"/>
    <w:rsid w:val="009F570D"/>
    <w:rsid w:val="009F5917"/>
    <w:rsid w:val="009F5922"/>
    <w:rsid w:val="009F5A79"/>
    <w:rsid w:val="009F5AEA"/>
    <w:rsid w:val="009F5B3B"/>
    <w:rsid w:val="009F5B3D"/>
    <w:rsid w:val="009F5DF4"/>
    <w:rsid w:val="009F5DFC"/>
    <w:rsid w:val="009F5F54"/>
    <w:rsid w:val="009F6509"/>
    <w:rsid w:val="009F6B1D"/>
    <w:rsid w:val="009F6C6F"/>
    <w:rsid w:val="009F6C74"/>
    <w:rsid w:val="009F6D87"/>
    <w:rsid w:val="009F7044"/>
    <w:rsid w:val="009F7469"/>
    <w:rsid w:val="009F7481"/>
    <w:rsid w:val="009F7659"/>
    <w:rsid w:val="009F770E"/>
    <w:rsid w:val="009F7BD0"/>
    <w:rsid w:val="009F7CE1"/>
    <w:rsid w:val="00A00049"/>
    <w:rsid w:val="00A0033E"/>
    <w:rsid w:val="00A006BC"/>
    <w:rsid w:val="00A008EA"/>
    <w:rsid w:val="00A009C8"/>
    <w:rsid w:val="00A01059"/>
    <w:rsid w:val="00A010EE"/>
    <w:rsid w:val="00A0153B"/>
    <w:rsid w:val="00A016CE"/>
    <w:rsid w:val="00A01938"/>
    <w:rsid w:val="00A019CA"/>
    <w:rsid w:val="00A01CDB"/>
    <w:rsid w:val="00A02243"/>
    <w:rsid w:val="00A024B2"/>
    <w:rsid w:val="00A027E6"/>
    <w:rsid w:val="00A02B8C"/>
    <w:rsid w:val="00A02BA1"/>
    <w:rsid w:val="00A02D99"/>
    <w:rsid w:val="00A03263"/>
    <w:rsid w:val="00A03315"/>
    <w:rsid w:val="00A03453"/>
    <w:rsid w:val="00A03672"/>
    <w:rsid w:val="00A039D2"/>
    <w:rsid w:val="00A039EF"/>
    <w:rsid w:val="00A03ADF"/>
    <w:rsid w:val="00A03E9B"/>
    <w:rsid w:val="00A03F27"/>
    <w:rsid w:val="00A040DD"/>
    <w:rsid w:val="00A04412"/>
    <w:rsid w:val="00A04413"/>
    <w:rsid w:val="00A046B4"/>
    <w:rsid w:val="00A04E5D"/>
    <w:rsid w:val="00A04F6F"/>
    <w:rsid w:val="00A04FF6"/>
    <w:rsid w:val="00A052DE"/>
    <w:rsid w:val="00A05359"/>
    <w:rsid w:val="00A05388"/>
    <w:rsid w:val="00A05AF3"/>
    <w:rsid w:val="00A05BE8"/>
    <w:rsid w:val="00A05E04"/>
    <w:rsid w:val="00A05FC7"/>
    <w:rsid w:val="00A05FE0"/>
    <w:rsid w:val="00A0657B"/>
    <w:rsid w:val="00A06618"/>
    <w:rsid w:val="00A06751"/>
    <w:rsid w:val="00A06850"/>
    <w:rsid w:val="00A069B5"/>
    <w:rsid w:val="00A06D20"/>
    <w:rsid w:val="00A071F3"/>
    <w:rsid w:val="00A07200"/>
    <w:rsid w:val="00A07247"/>
    <w:rsid w:val="00A100B4"/>
    <w:rsid w:val="00A101CE"/>
    <w:rsid w:val="00A10310"/>
    <w:rsid w:val="00A103A6"/>
    <w:rsid w:val="00A106A2"/>
    <w:rsid w:val="00A10813"/>
    <w:rsid w:val="00A10ABD"/>
    <w:rsid w:val="00A10DAE"/>
    <w:rsid w:val="00A10E10"/>
    <w:rsid w:val="00A112A2"/>
    <w:rsid w:val="00A11698"/>
    <w:rsid w:val="00A116DB"/>
    <w:rsid w:val="00A11890"/>
    <w:rsid w:val="00A119FB"/>
    <w:rsid w:val="00A11AFA"/>
    <w:rsid w:val="00A11B7D"/>
    <w:rsid w:val="00A11CC1"/>
    <w:rsid w:val="00A11E6F"/>
    <w:rsid w:val="00A11F45"/>
    <w:rsid w:val="00A11FC3"/>
    <w:rsid w:val="00A122A2"/>
    <w:rsid w:val="00A122F1"/>
    <w:rsid w:val="00A12AB4"/>
    <w:rsid w:val="00A12B99"/>
    <w:rsid w:val="00A12BFA"/>
    <w:rsid w:val="00A12C46"/>
    <w:rsid w:val="00A12C5B"/>
    <w:rsid w:val="00A130DE"/>
    <w:rsid w:val="00A13179"/>
    <w:rsid w:val="00A1319D"/>
    <w:rsid w:val="00A1324A"/>
    <w:rsid w:val="00A133D7"/>
    <w:rsid w:val="00A13506"/>
    <w:rsid w:val="00A13566"/>
    <w:rsid w:val="00A137BC"/>
    <w:rsid w:val="00A13E7A"/>
    <w:rsid w:val="00A14624"/>
    <w:rsid w:val="00A1465E"/>
    <w:rsid w:val="00A14751"/>
    <w:rsid w:val="00A14808"/>
    <w:rsid w:val="00A14F07"/>
    <w:rsid w:val="00A150F1"/>
    <w:rsid w:val="00A151C0"/>
    <w:rsid w:val="00A151DA"/>
    <w:rsid w:val="00A1573F"/>
    <w:rsid w:val="00A15B18"/>
    <w:rsid w:val="00A15B2E"/>
    <w:rsid w:val="00A15B3A"/>
    <w:rsid w:val="00A15D61"/>
    <w:rsid w:val="00A15DDF"/>
    <w:rsid w:val="00A160E4"/>
    <w:rsid w:val="00A168C3"/>
    <w:rsid w:val="00A16BFE"/>
    <w:rsid w:val="00A16E6F"/>
    <w:rsid w:val="00A16FE4"/>
    <w:rsid w:val="00A174DB"/>
    <w:rsid w:val="00A175AA"/>
    <w:rsid w:val="00A17EB8"/>
    <w:rsid w:val="00A20140"/>
    <w:rsid w:val="00A20543"/>
    <w:rsid w:val="00A207A2"/>
    <w:rsid w:val="00A2089B"/>
    <w:rsid w:val="00A20B59"/>
    <w:rsid w:val="00A20BA7"/>
    <w:rsid w:val="00A20D2C"/>
    <w:rsid w:val="00A21028"/>
    <w:rsid w:val="00A21668"/>
    <w:rsid w:val="00A216FA"/>
    <w:rsid w:val="00A21A6B"/>
    <w:rsid w:val="00A21B1A"/>
    <w:rsid w:val="00A21DB2"/>
    <w:rsid w:val="00A22134"/>
    <w:rsid w:val="00A229E1"/>
    <w:rsid w:val="00A22EF1"/>
    <w:rsid w:val="00A22FFF"/>
    <w:rsid w:val="00A23123"/>
    <w:rsid w:val="00A2359D"/>
    <w:rsid w:val="00A23670"/>
    <w:rsid w:val="00A23B9D"/>
    <w:rsid w:val="00A23C58"/>
    <w:rsid w:val="00A23EB1"/>
    <w:rsid w:val="00A23F79"/>
    <w:rsid w:val="00A240E2"/>
    <w:rsid w:val="00A242EA"/>
    <w:rsid w:val="00A242FE"/>
    <w:rsid w:val="00A2437A"/>
    <w:rsid w:val="00A249D6"/>
    <w:rsid w:val="00A24A3C"/>
    <w:rsid w:val="00A24A42"/>
    <w:rsid w:val="00A24D3B"/>
    <w:rsid w:val="00A24E74"/>
    <w:rsid w:val="00A24EE7"/>
    <w:rsid w:val="00A25090"/>
    <w:rsid w:val="00A250AF"/>
    <w:rsid w:val="00A252E7"/>
    <w:rsid w:val="00A255F8"/>
    <w:rsid w:val="00A25966"/>
    <w:rsid w:val="00A25B33"/>
    <w:rsid w:val="00A25BC3"/>
    <w:rsid w:val="00A25CE5"/>
    <w:rsid w:val="00A25EA9"/>
    <w:rsid w:val="00A25EC6"/>
    <w:rsid w:val="00A25FDB"/>
    <w:rsid w:val="00A2678B"/>
    <w:rsid w:val="00A26B5B"/>
    <w:rsid w:val="00A26CE0"/>
    <w:rsid w:val="00A26D11"/>
    <w:rsid w:val="00A26F51"/>
    <w:rsid w:val="00A27448"/>
    <w:rsid w:val="00A27486"/>
    <w:rsid w:val="00A275C9"/>
    <w:rsid w:val="00A27936"/>
    <w:rsid w:val="00A27C38"/>
    <w:rsid w:val="00A27F0B"/>
    <w:rsid w:val="00A30150"/>
    <w:rsid w:val="00A3020E"/>
    <w:rsid w:val="00A30262"/>
    <w:rsid w:val="00A302E8"/>
    <w:rsid w:val="00A30306"/>
    <w:rsid w:val="00A30429"/>
    <w:rsid w:val="00A3055F"/>
    <w:rsid w:val="00A305A3"/>
    <w:rsid w:val="00A3071E"/>
    <w:rsid w:val="00A3096E"/>
    <w:rsid w:val="00A309BF"/>
    <w:rsid w:val="00A30AB0"/>
    <w:rsid w:val="00A30BF3"/>
    <w:rsid w:val="00A30D45"/>
    <w:rsid w:val="00A30DFF"/>
    <w:rsid w:val="00A30E08"/>
    <w:rsid w:val="00A31053"/>
    <w:rsid w:val="00A31915"/>
    <w:rsid w:val="00A31B81"/>
    <w:rsid w:val="00A31BEF"/>
    <w:rsid w:val="00A320C4"/>
    <w:rsid w:val="00A32346"/>
    <w:rsid w:val="00A327E8"/>
    <w:rsid w:val="00A32A7B"/>
    <w:rsid w:val="00A3307A"/>
    <w:rsid w:val="00A33154"/>
    <w:rsid w:val="00A33457"/>
    <w:rsid w:val="00A334AF"/>
    <w:rsid w:val="00A34309"/>
    <w:rsid w:val="00A34473"/>
    <w:rsid w:val="00A344E9"/>
    <w:rsid w:val="00A34599"/>
    <w:rsid w:val="00A34660"/>
    <w:rsid w:val="00A34849"/>
    <w:rsid w:val="00A3505A"/>
    <w:rsid w:val="00A3554A"/>
    <w:rsid w:val="00A3572D"/>
    <w:rsid w:val="00A35851"/>
    <w:rsid w:val="00A35967"/>
    <w:rsid w:val="00A35D4C"/>
    <w:rsid w:val="00A35D65"/>
    <w:rsid w:val="00A35F4E"/>
    <w:rsid w:val="00A36014"/>
    <w:rsid w:val="00A36181"/>
    <w:rsid w:val="00A36220"/>
    <w:rsid w:val="00A36631"/>
    <w:rsid w:val="00A369D3"/>
    <w:rsid w:val="00A36D15"/>
    <w:rsid w:val="00A375C4"/>
    <w:rsid w:val="00A37612"/>
    <w:rsid w:val="00A37EAE"/>
    <w:rsid w:val="00A409A6"/>
    <w:rsid w:val="00A40A17"/>
    <w:rsid w:val="00A40C0B"/>
    <w:rsid w:val="00A40C91"/>
    <w:rsid w:val="00A40FFE"/>
    <w:rsid w:val="00A411E7"/>
    <w:rsid w:val="00A4156E"/>
    <w:rsid w:val="00A4157E"/>
    <w:rsid w:val="00A41593"/>
    <w:rsid w:val="00A4176B"/>
    <w:rsid w:val="00A417A2"/>
    <w:rsid w:val="00A41867"/>
    <w:rsid w:val="00A41877"/>
    <w:rsid w:val="00A41C33"/>
    <w:rsid w:val="00A42072"/>
    <w:rsid w:val="00A42112"/>
    <w:rsid w:val="00A42238"/>
    <w:rsid w:val="00A424CC"/>
    <w:rsid w:val="00A42807"/>
    <w:rsid w:val="00A429D2"/>
    <w:rsid w:val="00A42C2A"/>
    <w:rsid w:val="00A42E6E"/>
    <w:rsid w:val="00A42E76"/>
    <w:rsid w:val="00A42F23"/>
    <w:rsid w:val="00A431F1"/>
    <w:rsid w:val="00A437D0"/>
    <w:rsid w:val="00A43AE4"/>
    <w:rsid w:val="00A43FF4"/>
    <w:rsid w:val="00A4403B"/>
    <w:rsid w:val="00A440A2"/>
    <w:rsid w:val="00A442F5"/>
    <w:rsid w:val="00A44CF9"/>
    <w:rsid w:val="00A44FDD"/>
    <w:rsid w:val="00A45616"/>
    <w:rsid w:val="00A4564F"/>
    <w:rsid w:val="00A456AF"/>
    <w:rsid w:val="00A458AE"/>
    <w:rsid w:val="00A4597D"/>
    <w:rsid w:val="00A45D51"/>
    <w:rsid w:val="00A45EEF"/>
    <w:rsid w:val="00A45F07"/>
    <w:rsid w:val="00A45FD4"/>
    <w:rsid w:val="00A45FD5"/>
    <w:rsid w:val="00A460F8"/>
    <w:rsid w:val="00A4639E"/>
    <w:rsid w:val="00A468D9"/>
    <w:rsid w:val="00A46AD9"/>
    <w:rsid w:val="00A46BCC"/>
    <w:rsid w:val="00A46C57"/>
    <w:rsid w:val="00A46CBF"/>
    <w:rsid w:val="00A46D33"/>
    <w:rsid w:val="00A46E95"/>
    <w:rsid w:val="00A47021"/>
    <w:rsid w:val="00A474B2"/>
    <w:rsid w:val="00A478EC"/>
    <w:rsid w:val="00A47A7E"/>
    <w:rsid w:val="00A47DC3"/>
    <w:rsid w:val="00A501E0"/>
    <w:rsid w:val="00A5062E"/>
    <w:rsid w:val="00A5088E"/>
    <w:rsid w:val="00A50899"/>
    <w:rsid w:val="00A50EC3"/>
    <w:rsid w:val="00A50FD2"/>
    <w:rsid w:val="00A51038"/>
    <w:rsid w:val="00A510E7"/>
    <w:rsid w:val="00A511DA"/>
    <w:rsid w:val="00A513D5"/>
    <w:rsid w:val="00A51D65"/>
    <w:rsid w:val="00A51F21"/>
    <w:rsid w:val="00A51F22"/>
    <w:rsid w:val="00A521A7"/>
    <w:rsid w:val="00A524A9"/>
    <w:rsid w:val="00A52628"/>
    <w:rsid w:val="00A528AA"/>
    <w:rsid w:val="00A528F9"/>
    <w:rsid w:val="00A52B78"/>
    <w:rsid w:val="00A52C40"/>
    <w:rsid w:val="00A52C46"/>
    <w:rsid w:val="00A52F08"/>
    <w:rsid w:val="00A531B8"/>
    <w:rsid w:val="00A5332A"/>
    <w:rsid w:val="00A53455"/>
    <w:rsid w:val="00A5365B"/>
    <w:rsid w:val="00A5369B"/>
    <w:rsid w:val="00A53C00"/>
    <w:rsid w:val="00A54052"/>
    <w:rsid w:val="00A540D5"/>
    <w:rsid w:val="00A54128"/>
    <w:rsid w:val="00A5459A"/>
    <w:rsid w:val="00A546D3"/>
    <w:rsid w:val="00A54779"/>
    <w:rsid w:val="00A5488F"/>
    <w:rsid w:val="00A54B16"/>
    <w:rsid w:val="00A54C80"/>
    <w:rsid w:val="00A54E88"/>
    <w:rsid w:val="00A54F10"/>
    <w:rsid w:val="00A5533C"/>
    <w:rsid w:val="00A55404"/>
    <w:rsid w:val="00A55435"/>
    <w:rsid w:val="00A554D6"/>
    <w:rsid w:val="00A55573"/>
    <w:rsid w:val="00A556A1"/>
    <w:rsid w:val="00A55820"/>
    <w:rsid w:val="00A55A04"/>
    <w:rsid w:val="00A55AF4"/>
    <w:rsid w:val="00A55D76"/>
    <w:rsid w:val="00A55EF9"/>
    <w:rsid w:val="00A56606"/>
    <w:rsid w:val="00A5672C"/>
    <w:rsid w:val="00A56918"/>
    <w:rsid w:val="00A5697D"/>
    <w:rsid w:val="00A56BE3"/>
    <w:rsid w:val="00A57031"/>
    <w:rsid w:val="00A57456"/>
    <w:rsid w:val="00A57874"/>
    <w:rsid w:val="00A5791E"/>
    <w:rsid w:val="00A57987"/>
    <w:rsid w:val="00A57EE7"/>
    <w:rsid w:val="00A60125"/>
    <w:rsid w:val="00A6017D"/>
    <w:rsid w:val="00A6030B"/>
    <w:rsid w:val="00A603C8"/>
    <w:rsid w:val="00A60576"/>
    <w:rsid w:val="00A60ABD"/>
    <w:rsid w:val="00A60AF3"/>
    <w:rsid w:val="00A60FE8"/>
    <w:rsid w:val="00A61187"/>
    <w:rsid w:val="00A61226"/>
    <w:rsid w:val="00A61267"/>
    <w:rsid w:val="00A617C6"/>
    <w:rsid w:val="00A61DC7"/>
    <w:rsid w:val="00A61FB5"/>
    <w:rsid w:val="00A6214E"/>
    <w:rsid w:val="00A621F9"/>
    <w:rsid w:val="00A6238D"/>
    <w:rsid w:val="00A623AD"/>
    <w:rsid w:val="00A623C9"/>
    <w:rsid w:val="00A62720"/>
    <w:rsid w:val="00A62EC4"/>
    <w:rsid w:val="00A62F5A"/>
    <w:rsid w:val="00A63358"/>
    <w:rsid w:val="00A63399"/>
    <w:rsid w:val="00A63584"/>
    <w:rsid w:val="00A63C94"/>
    <w:rsid w:val="00A63E33"/>
    <w:rsid w:val="00A63F93"/>
    <w:rsid w:val="00A63FF6"/>
    <w:rsid w:val="00A64116"/>
    <w:rsid w:val="00A64157"/>
    <w:rsid w:val="00A641B5"/>
    <w:rsid w:val="00A64664"/>
    <w:rsid w:val="00A64917"/>
    <w:rsid w:val="00A64925"/>
    <w:rsid w:val="00A649F7"/>
    <w:rsid w:val="00A64A4C"/>
    <w:rsid w:val="00A64B00"/>
    <w:rsid w:val="00A64BB7"/>
    <w:rsid w:val="00A64EE1"/>
    <w:rsid w:val="00A657C8"/>
    <w:rsid w:val="00A65A23"/>
    <w:rsid w:val="00A65E5A"/>
    <w:rsid w:val="00A65FF0"/>
    <w:rsid w:val="00A660ED"/>
    <w:rsid w:val="00A664AF"/>
    <w:rsid w:val="00A6650A"/>
    <w:rsid w:val="00A66B7C"/>
    <w:rsid w:val="00A66C82"/>
    <w:rsid w:val="00A66FEA"/>
    <w:rsid w:val="00A6712B"/>
    <w:rsid w:val="00A6715F"/>
    <w:rsid w:val="00A67A0C"/>
    <w:rsid w:val="00A67AA6"/>
    <w:rsid w:val="00A67C8E"/>
    <w:rsid w:val="00A70399"/>
    <w:rsid w:val="00A703E0"/>
    <w:rsid w:val="00A704B5"/>
    <w:rsid w:val="00A70531"/>
    <w:rsid w:val="00A70652"/>
    <w:rsid w:val="00A70777"/>
    <w:rsid w:val="00A707F0"/>
    <w:rsid w:val="00A70CBB"/>
    <w:rsid w:val="00A70CD8"/>
    <w:rsid w:val="00A70FF5"/>
    <w:rsid w:val="00A71411"/>
    <w:rsid w:val="00A71422"/>
    <w:rsid w:val="00A714EA"/>
    <w:rsid w:val="00A71979"/>
    <w:rsid w:val="00A71C04"/>
    <w:rsid w:val="00A71CB9"/>
    <w:rsid w:val="00A721CE"/>
    <w:rsid w:val="00A7225F"/>
    <w:rsid w:val="00A72361"/>
    <w:rsid w:val="00A7253E"/>
    <w:rsid w:val="00A72592"/>
    <w:rsid w:val="00A7266D"/>
    <w:rsid w:val="00A72718"/>
    <w:rsid w:val="00A72DF5"/>
    <w:rsid w:val="00A73102"/>
    <w:rsid w:val="00A7316E"/>
    <w:rsid w:val="00A733F9"/>
    <w:rsid w:val="00A7366D"/>
    <w:rsid w:val="00A737B0"/>
    <w:rsid w:val="00A73953"/>
    <w:rsid w:val="00A73C7C"/>
    <w:rsid w:val="00A73F8A"/>
    <w:rsid w:val="00A73FC1"/>
    <w:rsid w:val="00A744C1"/>
    <w:rsid w:val="00A7467F"/>
    <w:rsid w:val="00A746C4"/>
    <w:rsid w:val="00A746D4"/>
    <w:rsid w:val="00A748F2"/>
    <w:rsid w:val="00A750B9"/>
    <w:rsid w:val="00A750E8"/>
    <w:rsid w:val="00A7546F"/>
    <w:rsid w:val="00A75AA0"/>
    <w:rsid w:val="00A75AF9"/>
    <w:rsid w:val="00A75D30"/>
    <w:rsid w:val="00A75E8E"/>
    <w:rsid w:val="00A75EF2"/>
    <w:rsid w:val="00A76184"/>
    <w:rsid w:val="00A76234"/>
    <w:rsid w:val="00A762FB"/>
    <w:rsid w:val="00A76304"/>
    <w:rsid w:val="00A76331"/>
    <w:rsid w:val="00A769DF"/>
    <w:rsid w:val="00A76F76"/>
    <w:rsid w:val="00A7742E"/>
    <w:rsid w:val="00A77545"/>
    <w:rsid w:val="00A77740"/>
    <w:rsid w:val="00A77819"/>
    <w:rsid w:val="00A77890"/>
    <w:rsid w:val="00A77E94"/>
    <w:rsid w:val="00A77EFC"/>
    <w:rsid w:val="00A800FF"/>
    <w:rsid w:val="00A801EC"/>
    <w:rsid w:val="00A802C2"/>
    <w:rsid w:val="00A8030F"/>
    <w:rsid w:val="00A803AC"/>
    <w:rsid w:val="00A8054E"/>
    <w:rsid w:val="00A80743"/>
    <w:rsid w:val="00A80B5C"/>
    <w:rsid w:val="00A80EFA"/>
    <w:rsid w:val="00A80FB6"/>
    <w:rsid w:val="00A81318"/>
    <w:rsid w:val="00A81399"/>
    <w:rsid w:val="00A813F5"/>
    <w:rsid w:val="00A816B9"/>
    <w:rsid w:val="00A81935"/>
    <w:rsid w:val="00A81A6D"/>
    <w:rsid w:val="00A81C9C"/>
    <w:rsid w:val="00A81DA1"/>
    <w:rsid w:val="00A81DF9"/>
    <w:rsid w:val="00A81EF8"/>
    <w:rsid w:val="00A82028"/>
    <w:rsid w:val="00A820AC"/>
    <w:rsid w:val="00A8245B"/>
    <w:rsid w:val="00A8257B"/>
    <w:rsid w:val="00A8258E"/>
    <w:rsid w:val="00A826F5"/>
    <w:rsid w:val="00A829D5"/>
    <w:rsid w:val="00A82A19"/>
    <w:rsid w:val="00A82A2C"/>
    <w:rsid w:val="00A83229"/>
    <w:rsid w:val="00A8336F"/>
    <w:rsid w:val="00A835E8"/>
    <w:rsid w:val="00A83982"/>
    <w:rsid w:val="00A83B8E"/>
    <w:rsid w:val="00A84049"/>
    <w:rsid w:val="00A8432C"/>
    <w:rsid w:val="00A84377"/>
    <w:rsid w:val="00A847DC"/>
    <w:rsid w:val="00A847EE"/>
    <w:rsid w:val="00A84A25"/>
    <w:rsid w:val="00A84D08"/>
    <w:rsid w:val="00A84E2D"/>
    <w:rsid w:val="00A84E2E"/>
    <w:rsid w:val="00A84E93"/>
    <w:rsid w:val="00A852A7"/>
    <w:rsid w:val="00A85C5C"/>
    <w:rsid w:val="00A85CEB"/>
    <w:rsid w:val="00A85FDB"/>
    <w:rsid w:val="00A860D5"/>
    <w:rsid w:val="00A86531"/>
    <w:rsid w:val="00A866CC"/>
    <w:rsid w:val="00A868A6"/>
    <w:rsid w:val="00A86C72"/>
    <w:rsid w:val="00A86E90"/>
    <w:rsid w:val="00A86EA3"/>
    <w:rsid w:val="00A86F34"/>
    <w:rsid w:val="00A874F4"/>
    <w:rsid w:val="00A875B1"/>
    <w:rsid w:val="00A875D8"/>
    <w:rsid w:val="00A8790F"/>
    <w:rsid w:val="00A879D5"/>
    <w:rsid w:val="00A87A99"/>
    <w:rsid w:val="00A87B4A"/>
    <w:rsid w:val="00A87E6A"/>
    <w:rsid w:val="00A9003B"/>
    <w:rsid w:val="00A9076E"/>
    <w:rsid w:val="00A90DDA"/>
    <w:rsid w:val="00A90E66"/>
    <w:rsid w:val="00A91084"/>
    <w:rsid w:val="00A9127F"/>
    <w:rsid w:val="00A912BF"/>
    <w:rsid w:val="00A916F0"/>
    <w:rsid w:val="00A91818"/>
    <w:rsid w:val="00A918BA"/>
    <w:rsid w:val="00A918CE"/>
    <w:rsid w:val="00A918E8"/>
    <w:rsid w:val="00A919A7"/>
    <w:rsid w:val="00A91D04"/>
    <w:rsid w:val="00A91E62"/>
    <w:rsid w:val="00A91F8B"/>
    <w:rsid w:val="00A92238"/>
    <w:rsid w:val="00A92AB2"/>
    <w:rsid w:val="00A92B4A"/>
    <w:rsid w:val="00A92CCA"/>
    <w:rsid w:val="00A93014"/>
    <w:rsid w:val="00A932A5"/>
    <w:rsid w:val="00A932CE"/>
    <w:rsid w:val="00A932FD"/>
    <w:rsid w:val="00A93347"/>
    <w:rsid w:val="00A939F4"/>
    <w:rsid w:val="00A93B63"/>
    <w:rsid w:val="00A93FED"/>
    <w:rsid w:val="00A94120"/>
    <w:rsid w:val="00A941ED"/>
    <w:rsid w:val="00A945F6"/>
    <w:rsid w:val="00A94795"/>
    <w:rsid w:val="00A94ACD"/>
    <w:rsid w:val="00A94CBD"/>
    <w:rsid w:val="00A94CF6"/>
    <w:rsid w:val="00A95428"/>
    <w:rsid w:val="00A9590F"/>
    <w:rsid w:val="00A959F8"/>
    <w:rsid w:val="00A95AF2"/>
    <w:rsid w:val="00A95BD3"/>
    <w:rsid w:val="00A95FF1"/>
    <w:rsid w:val="00A9606A"/>
    <w:rsid w:val="00A962EE"/>
    <w:rsid w:val="00A9679D"/>
    <w:rsid w:val="00A96D3F"/>
    <w:rsid w:val="00A96FF1"/>
    <w:rsid w:val="00A970FC"/>
    <w:rsid w:val="00A972ED"/>
    <w:rsid w:val="00A9748C"/>
    <w:rsid w:val="00A976EA"/>
    <w:rsid w:val="00A9786A"/>
    <w:rsid w:val="00A97AFB"/>
    <w:rsid w:val="00A97B84"/>
    <w:rsid w:val="00A97C77"/>
    <w:rsid w:val="00A97D55"/>
    <w:rsid w:val="00AA019C"/>
    <w:rsid w:val="00AA01D4"/>
    <w:rsid w:val="00AA021D"/>
    <w:rsid w:val="00AA0404"/>
    <w:rsid w:val="00AA072F"/>
    <w:rsid w:val="00AA091A"/>
    <w:rsid w:val="00AA0B00"/>
    <w:rsid w:val="00AA0C84"/>
    <w:rsid w:val="00AA0D64"/>
    <w:rsid w:val="00AA10AA"/>
    <w:rsid w:val="00AA148C"/>
    <w:rsid w:val="00AA162D"/>
    <w:rsid w:val="00AA16E7"/>
    <w:rsid w:val="00AA16F7"/>
    <w:rsid w:val="00AA1769"/>
    <w:rsid w:val="00AA17C6"/>
    <w:rsid w:val="00AA1B2A"/>
    <w:rsid w:val="00AA1C48"/>
    <w:rsid w:val="00AA1C85"/>
    <w:rsid w:val="00AA1D59"/>
    <w:rsid w:val="00AA1E20"/>
    <w:rsid w:val="00AA20FB"/>
    <w:rsid w:val="00AA2360"/>
    <w:rsid w:val="00AA262C"/>
    <w:rsid w:val="00AA27F8"/>
    <w:rsid w:val="00AA296B"/>
    <w:rsid w:val="00AA2FFF"/>
    <w:rsid w:val="00AA3036"/>
    <w:rsid w:val="00AA315D"/>
    <w:rsid w:val="00AA3166"/>
    <w:rsid w:val="00AA382B"/>
    <w:rsid w:val="00AA3AB2"/>
    <w:rsid w:val="00AA3DE6"/>
    <w:rsid w:val="00AA4189"/>
    <w:rsid w:val="00AA4198"/>
    <w:rsid w:val="00AA43D6"/>
    <w:rsid w:val="00AA449C"/>
    <w:rsid w:val="00AA489A"/>
    <w:rsid w:val="00AA4A2C"/>
    <w:rsid w:val="00AA51F0"/>
    <w:rsid w:val="00AA52F0"/>
    <w:rsid w:val="00AA5483"/>
    <w:rsid w:val="00AA54A8"/>
    <w:rsid w:val="00AA55E6"/>
    <w:rsid w:val="00AA568D"/>
    <w:rsid w:val="00AA573E"/>
    <w:rsid w:val="00AA5A89"/>
    <w:rsid w:val="00AA5AA3"/>
    <w:rsid w:val="00AA5AA9"/>
    <w:rsid w:val="00AA5B75"/>
    <w:rsid w:val="00AA5C3D"/>
    <w:rsid w:val="00AA5D86"/>
    <w:rsid w:val="00AA5DBB"/>
    <w:rsid w:val="00AA5E74"/>
    <w:rsid w:val="00AA5F3F"/>
    <w:rsid w:val="00AA6243"/>
    <w:rsid w:val="00AA625F"/>
    <w:rsid w:val="00AA62A3"/>
    <w:rsid w:val="00AA641C"/>
    <w:rsid w:val="00AA676F"/>
    <w:rsid w:val="00AA6870"/>
    <w:rsid w:val="00AA689A"/>
    <w:rsid w:val="00AA6A95"/>
    <w:rsid w:val="00AA6DF3"/>
    <w:rsid w:val="00AA74EC"/>
    <w:rsid w:val="00AA752E"/>
    <w:rsid w:val="00AA76CF"/>
    <w:rsid w:val="00AA7747"/>
    <w:rsid w:val="00AA780E"/>
    <w:rsid w:val="00AA794B"/>
    <w:rsid w:val="00AA7959"/>
    <w:rsid w:val="00AA7A8A"/>
    <w:rsid w:val="00AB01ED"/>
    <w:rsid w:val="00AB0545"/>
    <w:rsid w:val="00AB0563"/>
    <w:rsid w:val="00AB056A"/>
    <w:rsid w:val="00AB05AD"/>
    <w:rsid w:val="00AB0860"/>
    <w:rsid w:val="00AB0A91"/>
    <w:rsid w:val="00AB0DC2"/>
    <w:rsid w:val="00AB0DF3"/>
    <w:rsid w:val="00AB0DF5"/>
    <w:rsid w:val="00AB0F37"/>
    <w:rsid w:val="00AB110E"/>
    <w:rsid w:val="00AB121E"/>
    <w:rsid w:val="00AB138D"/>
    <w:rsid w:val="00AB146C"/>
    <w:rsid w:val="00AB14B3"/>
    <w:rsid w:val="00AB16D5"/>
    <w:rsid w:val="00AB1741"/>
    <w:rsid w:val="00AB18CD"/>
    <w:rsid w:val="00AB18F3"/>
    <w:rsid w:val="00AB193B"/>
    <w:rsid w:val="00AB1B29"/>
    <w:rsid w:val="00AB2067"/>
    <w:rsid w:val="00AB2081"/>
    <w:rsid w:val="00AB21D6"/>
    <w:rsid w:val="00AB22BC"/>
    <w:rsid w:val="00AB27A3"/>
    <w:rsid w:val="00AB2B4A"/>
    <w:rsid w:val="00AB2EAA"/>
    <w:rsid w:val="00AB2FBF"/>
    <w:rsid w:val="00AB319A"/>
    <w:rsid w:val="00AB32EE"/>
    <w:rsid w:val="00AB32EF"/>
    <w:rsid w:val="00AB3385"/>
    <w:rsid w:val="00AB33A1"/>
    <w:rsid w:val="00AB35D4"/>
    <w:rsid w:val="00AB3703"/>
    <w:rsid w:val="00AB3D75"/>
    <w:rsid w:val="00AB4064"/>
    <w:rsid w:val="00AB4107"/>
    <w:rsid w:val="00AB4201"/>
    <w:rsid w:val="00AB4C24"/>
    <w:rsid w:val="00AB4E98"/>
    <w:rsid w:val="00AB4EA9"/>
    <w:rsid w:val="00AB4F03"/>
    <w:rsid w:val="00AB5240"/>
    <w:rsid w:val="00AB5521"/>
    <w:rsid w:val="00AB55F9"/>
    <w:rsid w:val="00AB5784"/>
    <w:rsid w:val="00AB5971"/>
    <w:rsid w:val="00AB5AD1"/>
    <w:rsid w:val="00AB5D17"/>
    <w:rsid w:val="00AB5D69"/>
    <w:rsid w:val="00AB5DC6"/>
    <w:rsid w:val="00AB64D7"/>
    <w:rsid w:val="00AB65CA"/>
    <w:rsid w:val="00AB6770"/>
    <w:rsid w:val="00AB6876"/>
    <w:rsid w:val="00AB68DD"/>
    <w:rsid w:val="00AB68E8"/>
    <w:rsid w:val="00AB6CEF"/>
    <w:rsid w:val="00AB7087"/>
    <w:rsid w:val="00AB70BA"/>
    <w:rsid w:val="00AB72A5"/>
    <w:rsid w:val="00AB7858"/>
    <w:rsid w:val="00AB7884"/>
    <w:rsid w:val="00AB7D4A"/>
    <w:rsid w:val="00AB7EF0"/>
    <w:rsid w:val="00AB7EF1"/>
    <w:rsid w:val="00AC0081"/>
    <w:rsid w:val="00AC018D"/>
    <w:rsid w:val="00AC0367"/>
    <w:rsid w:val="00AC04C0"/>
    <w:rsid w:val="00AC07A1"/>
    <w:rsid w:val="00AC08E2"/>
    <w:rsid w:val="00AC0D39"/>
    <w:rsid w:val="00AC0DDB"/>
    <w:rsid w:val="00AC0DF1"/>
    <w:rsid w:val="00AC1161"/>
    <w:rsid w:val="00AC11F8"/>
    <w:rsid w:val="00AC1210"/>
    <w:rsid w:val="00AC153D"/>
    <w:rsid w:val="00AC1936"/>
    <w:rsid w:val="00AC1C4D"/>
    <w:rsid w:val="00AC23CB"/>
    <w:rsid w:val="00AC23DF"/>
    <w:rsid w:val="00AC2753"/>
    <w:rsid w:val="00AC2824"/>
    <w:rsid w:val="00AC2AE2"/>
    <w:rsid w:val="00AC2C5F"/>
    <w:rsid w:val="00AC2C92"/>
    <w:rsid w:val="00AC2EB5"/>
    <w:rsid w:val="00AC2ECC"/>
    <w:rsid w:val="00AC2F5D"/>
    <w:rsid w:val="00AC319D"/>
    <w:rsid w:val="00AC3794"/>
    <w:rsid w:val="00AC3CCD"/>
    <w:rsid w:val="00AC3D00"/>
    <w:rsid w:val="00AC3EC9"/>
    <w:rsid w:val="00AC431C"/>
    <w:rsid w:val="00AC45A4"/>
    <w:rsid w:val="00AC4886"/>
    <w:rsid w:val="00AC49A0"/>
    <w:rsid w:val="00AC4E7F"/>
    <w:rsid w:val="00AC4F42"/>
    <w:rsid w:val="00AC4F5A"/>
    <w:rsid w:val="00AC4F64"/>
    <w:rsid w:val="00AC4FD8"/>
    <w:rsid w:val="00AC5214"/>
    <w:rsid w:val="00AC5512"/>
    <w:rsid w:val="00AC5654"/>
    <w:rsid w:val="00AC5A58"/>
    <w:rsid w:val="00AC5A5C"/>
    <w:rsid w:val="00AC5AC0"/>
    <w:rsid w:val="00AC5B60"/>
    <w:rsid w:val="00AC5F78"/>
    <w:rsid w:val="00AC6347"/>
    <w:rsid w:val="00AC6881"/>
    <w:rsid w:val="00AC6BF1"/>
    <w:rsid w:val="00AC7009"/>
    <w:rsid w:val="00AC7096"/>
    <w:rsid w:val="00AC712D"/>
    <w:rsid w:val="00AC74AE"/>
    <w:rsid w:val="00AC74C1"/>
    <w:rsid w:val="00AC7699"/>
    <w:rsid w:val="00AC76B6"/>
    <w:rsid w:val="00AC773D"/>
    <w:rsid w:val="00AC78A9"/>
    <w:rsid w:val="00AC7A43"/>
    <w:rsid w:val="00AC7AAA"/>
    <w:rsid w:val="00AC7E08"/>
    <w:rsid w:val="00AD01C8"/>
    <w:rsid w:val="00AD0389"/>
    <w:rsid w:val="00AD0455"/>
    <w:rsid w:val="00AD0620"/>
    <w:rsid w:val="00AD0A7A"/>
    <w:rsid w:val="00AD0CC9"/>
    <w:rsid w:val="00AD0D3E"/>
    <w:rsid w:val="00AD0DE1"/>
    <w:rsid w:val="00AD0ECE"/>
    <w:rsid w:val="00AD1092"/>
    <w:rsid w:val="00AD1E36"/>
    <w:rsid w:val="00AD1F4C"/>
    <w:rsid w:val="00AD1FA4"/>
    <w:rsid w:val="00AD23C0"/>
    <w:rsid w:val="00AD2456"/>
    <w:rsid w:val="00AD2586"/>
    <w:rsid w:val="00AD2EB5"/>
    <w:rsid w:val="00AD2F46"/>
    <w:rsid w:val="00AD303F"/>
    <w:rsid w:val="00AD390B"/>
    <w:rsid w:val="00AD3995"/>
    <w:rsid w:val="00AD3B1D"/>
    <w:rsid w:val="00AD3B85"/>
    <w:rsid w:val="00AD3F0B"/>
    <w:rsid w:val="00AD42D7"/>
    <w:rsid w:val="00AD4366"/>
    <w:rsid w:val="00AD44ED"/>
    <w:rsid w:val="00AD4610"/>
    <w:rsid w:val="00AD4983"/>
    <w:rsid w:val="00AD4C92"/>
    <w:rsid w:val="00AD4E16"/>
    <w:rsid w:val="00AD4ED6"/>
    <w:rsid w:val="00AD4F9A"/>
    <w:rsid w:val="00AD5103"/>
    <w:rsid w:val="00AD5303"/>
    <w:rsid w:val="00AD5802"/>
    <w:rsid w:val="00AD59C1"/>
    <w:rsid w:val="00AD5A56"/>
    <w:rsid w:val="00AD64E4"/>
    <w:rsid w:val="00AD675B"/>
    <w:rsid w:val="00AD683A"/>
    <w:rsid w:val="00AD6AD6"/>
    <w:rsid w:val="00AD6B4C"/>
    <w:rsid w:val="00AD7043"/>
    <w:rsid w:val="00AD7135"/>
    <w:rsid w:val="00AD7256"/>
    <w:rsid w:val="00AD7273"/>
    <w:rsid w:val="00AD733A"/>
    <w:rsid w:val="00AD734E"/>
    <w:rsid w:val="00AD73D2"/>
    <w:rsid w:val="00AD76C2"/>
    <w:rsid w:val="00AD78E5"/>
    <w:rsid w:val="00AD79D8"/>
    <w:rsid w:val="00AD79E0"/>
    <w:rsid w:val="00AD7C0C"/>
    <w:rsid w:val="00AD7C3D"/>
    <w:rsid w:val="00AE03C7"/>
    <w:rsid w:val="00AE0741"/>
    <w:rsid w:val="00AE09B0"/>
    <w:rsid w:val="00AE0AE0"/>
    <w:rsid w:val="00AE0DFC"/>
    <w:rsid w:val="00AE0E0C"/>
    <w:rsid w:val="00AE16F0"/>
    <w:rsid w:val="00AE1CD0"/>
    <w:rsid w:val="00AE1F77"/>
    <w:rsid w:val="00AE1FBF"/>
    <w:rsid w:val="00AE208E"/>
    <w:rsid w:val="00AE2140"/>
    <w:rsid w:val="00AE2218"/>
    <w:rsid w:val="00AE248C"/>
    <w:rsid w:val="00AE2545"/>
    <w:rsid w:val="00AE2639"/>
    <w:rsid w:val="00AE273A"/>
    <w:rsid w:val="00AE2791"/>
    <w:rsid w:val="00AE29AC"/>
    <w:rsid w:val="00AE2E5F"/>
    <w:rsid w:val="00AE2F5D"/>
    <w:rsid w:val="00AE2F5F"/>
    <w:rsid w:val="00AE3008"/>
    <w:rsid w:val="00AE30C4"/>
    <w:rsid w:val="00AE3516"/>
    <w:rsid w:val="00AE35C2"/>
    <w:rsid w:val="00AE3682"/>
    <w:rsid w:val="00AE3A97"/>
    <w:rsid w:val="00AE3B6A"/>
    <w:rsid w:val="00AE3EDC"/>
    <w:rsid w:val="00AE3FBC"/>
    <w:rsid w:val="00AE40BA"/>
    <w:rsid w:val="00AE4145"/>
    <w:rsid w:val="00AE41E2"/>
    <w:rsid w:val="00AE44C9"/>
    <w:rsid w:val="00AE454F"/>
    <w:rsid w:val="00AE472E"/>
    <w:rsid w:val="00AE4824"/>
    <w:rsid w:val="00AE4B49"/>
    <w:rsid w:val="00AE4B92"/>
    <w:rsid w:val="00AE4BA7"/>
    <w:rsid w:val="00AE5335"/>
    <w:rsid w:val="00AE5E4D"/>
    <w:rsid w:val="00AE5F30"/>
    <w:rsid w:val="00AE5F6F"/>
    <w:rsid w:val="00AE6202"/>
    <w:rsid w:val="00AE621A"/>
    <w:rsid w:val="00AE6363"/>
    <w:rsid w:val="00AE6437"/>
    <w:rsid w:val="00AE64D6"/>
    <w:rsid w:val="00AE6973"/>
    <w:rsid w:val="00AE6C3C"/>
    <w:rsid w:val="00AE6D02"/>
    <w:rsid w:val="00AE6E78"/>
    <w:rsid w:val="00AE6EE1"/>
    <w:rsid w:val="00AE6FA2"/>
    <w:rsid w:val="00AE7177"/>
    <w:rsid w:val="00AE72E7"/>
    <w:rsid w:val="00AE7590"/>
    <w:rsid w:val="00AE784D"/>
    <w:rsid w:val="00AE7F4E"/>
    <w:rsid w:val="00AE7FB7"/>
    <w:rsid w:val="00AF0303"/>
    <w:rsid w:val="00AF0701"/>
    <w:rsid w:val="00AF09A1"/>
    <w:rsid w:val="00AF0B8A"/>
    <w:rsid w:val="00AF0EAC"/>
    <w:rsid w:val="00AF127E"/>
    <w:rsid w:val="00AF1769"/>
    <w:rsid w:val="00AF19B5"/>
    <w:rsid w:val="00AF19FA"/>
    <w:rsid w:val="00AF1A31"/>
    <w:rsid w:val="00AF1D0B"/>
    <w:rsid w:val="00AF1E5C"/>
    <w:rsid w:val="00AF1FFA"/>
    <w:rsid w:val="00AF22DD"/>
    <w:rsid w:val="00AF23E6"/>
    <w:rsid w:val="00AF27FF"/>
    <w:rsid w:val="00AF292C"/>
    <w:rsid w:val="00AF29D1"/>
    <w:rsid w:val="00AF2B0B"/>
    <w:rsid w:val="00AF2DA8"/>
    <w:rsid w:val="00AF36D3"/>
    <w:rsid w:val="00AF3963"/>
    <w:rsid w:val="00AF3A24"/>
    <w:rsid w:val="00AF3C80"/>
    <w:rsid w:val="00AF3C88"/>
    <w:rsid w:val="00AF3CD7"/>
    <w:rsid w:val="00AF3D39"/>
    <w:rsid w:val="00AF40CE"/>
    <w:rsid w:val="00AF4200"/>
    <w:rsid w:val="00AF4430"/>
    <w:rsid w:val="00AF4531"/>
    <w:rsid w:val="00AF46B1"/>
    <w:rsid w:val="00AF499E"/>
    <w:rsid w:val="00AF4A40"/>
    <w:rsid w:val="00AF4A6D"/>
    <w:rsid w:val="00AF4AAE"/>
    <w:rsid w:val="00AF4ACB"/>
    <w:rsid w:val="00AF4AE3"/>
    <w:rsid w:val="00AF4D0C"/>
    <w:rsid w:val="00AF4EB5"/>
    <w:rsid w:val="00AF4FED"/>
    <w:rsid w:val="00AF52E3"/>
    <w:rsid w:val="00AF549B"/>
    <w:rsid w:val="00AF5948"/>
    <w:rsid w:val="00AF5C12"/>
    <w:rsid w:val="00AF5E3F"/>
    <w:rsid w:val="00AF60B0"/>
    <w:rsid w:val="00AF6490"/>
    <w:rsid w:val="00AF64E2"/>
    <w:rsid w:val="00AF6CB1"/>
    <w:rsid w:val="00AF6DC4"/>
    <w:rsid w:val="00AF7125"/>
    <w:rsid w:val="00AF721A"/>
    <w:rsid w:val="00AF7335"/>
    <w:rsid w:val="00AF74B0"/>
    <w:rsid w:val="00AF7792"/>
    <w:rsid w:val="00AF79C8"/>
    <w:rsid w:val="00AF7A00"/>
    <w:rsid w:val="00AF7B09"/>
    <w:rsid w:val="00AF7C0C"/>
    <w:rsid w:val="00AF7DE3"/>
    <w:rsid w:val="00B00324"/>
    <w:rsid w:val="00B00633"/>
    <w:rsid w:val="00B00819"/>
    <w:rsid w:val="00B0087A"/>
    <w:rsid w:val="00B00C57"/>
    <w:rsid w:val="00B00DA9"/>
    <w:rsid w:val="00B00EF5"/>
    <w:rsid w:val="00B01032"/>
    <w:rsid w:val="00B01121"/>
    <w:rsid w:val="00B015C9"/>
    <w:rsid w:val="00B016DC"/>
    <w:rsid w:val="00B01FCC"/>
    <w:rsid w:val="00B0212C"/>
    <w:rsid w:val="00B02224"/>
    <w:rsid w:val="00B02353"/>
    <w:rsid w:val="00B023AF"/>
    <w:rsid w:val="00B02754"/>
    <w:rsid w:val="00B02AE8"/>
    <w:rsid w:val="00B02AEE"/>
    <w:rsid w:val="00B02B57"/>
    <w:rsid w:val="00B02BE1"/>
    <w:rsid w:val="00B02EB1"/>
    <w:rsid w:val="00B02F8E"/>
    <w:rsid w:val="00B03337"/>
    <w:rsid w:val="00B03C2B"/>
    <w:rsid w:val="00B03E25"/>
    <w:rsid w:val="00B0407C"/>
    <w:rsid w:val="00B0472D"/>
    <w:rsid w:val="00B0489F"/>
    <w:rsid w:val="00B04FFC"/>
    <w:rsid w:val="00B05321"/>
    <w:rsid w:val="00B05430"/>
    <w:rsid w:val="00B0562F"/>
    <w:rsid w:val="00B05C13"/>
    <w:rsid w:val="00B05D9A"/>
    <w:rsid w:val="00B0605F"/>
    <w:rsid w:val="00B0609E"/>
    <w:rsid w:val="00B060E8"/>
    <w:rsid w:val="00B063EE"/>
    <w:rsid w:val="00B0675A"/>
    <w:rsid w:val="00B067F4"/>
    <w:rsid w:val="00B0692F"/>
    <w:rsid w:val="00B0697E"/>
    <w:rsid w:val="00B06A39"/>
    <w:rsid w:val="00B06A5A"/>
    <w:rsid w:val="00B06B0E"/>
    <w:rsid w:val="00B06F76"/>
    <w:rsid w:val="00B072C7"/>
    <w:rsid w:val="00B073E7"/>
    <w:rsid w:val="00B078B4"/>
    <w:rsid w:val="00B07C11"/>
    <w:rsid w:val="00B07CD6"/>
    <w:rsid w:val="00B10299"/>
    <w:rsid w:val="00B102EA"/>
    <w:rsid w:val="00B10457"/>
    <w:rsid w:val="00B1089D"/>
    <w:rsid w:val="00B10983"/>
    <w:rsid w:val="00B10E85"/>
    <w:rsid w:val="00B10F49"/>
    <w:rsid w:val="00B1139B"/>
    <w:rsid w:val="00B1150B"/>
    <w:rsid w:val="00B116DB"/>
    <w:rsid w:val="00B11714"/>
    <w:rsid w:val="00B11769"/>
    <w:rsid w:val="00B11894"/>
    <w:rsid w:val="00B11924"/>
    <w:rsid w:val="00B11AB6"/>
    <w:rsid w:val="00B11F39"/>
    <w:rsid w:val="00B12164"/>
    <w:rsid w:val="00B121CC"/>
    <w:rsid w:val="00B12560"/>
    <w:rsid w:val="00B12686"/>
    <w:rsid w:val="00B12C14"/>
    <w:rsid w:val="00B12EDE"/>
    <w:rsid w:val="00B1320C"/>
    <w:rsid w:val="00B13364"/>
    <w:rsid w:val="00B135C6"/>
    <w:rsid w:val="00B139A7"/>
    <w:rsid w:val="00B13F58"/>
    <w:rsid w:val="00B14059"/>
    <w:rsid w:val="00B140FC"/>
    <w:rsid w:val="00B14667"/>
    <w:rsid w:val="00B14706"/>
    <w:rsid w:val="00B147FA"/>
    <w:rsid w:val="00B148AC"/>
    <w:rsid w:val="00B149C6"/>
    <w:rsid w:val="00B14DAE"/>
    <w:rsid w:val="00B150C2"/>
    <w:rsid w:val="00B15224"/>
    <w:rsid w:val="00B15274"/>
    <w:rsid w:val="00B15587"/>
    <w:rsid w:val="00B158A9"/>
    <w:rsid w:val="00B15C8C"/>
    <w:rsid w:val="00B15E5A"/>
    <w:rsid w:val="00B15E81"/>
    <w:rsid w:val="00B1609A"/>
    <w:rsid w:val="00B16235"/>
    <w:rsid w:val="00B16315"/>
    <w:rsid w:val="00B167A8"/>
    <w:rsid w:val="00B16881"/>
    <w:rsid w:val="00B169B6"/>
    <w:rsid w:val="00B16A3F"/>
    <w:rsid w:val="00B172E7"/>
    <w:rsid w:val="00B17443"/>
    <w:rsid w:val="00B174B1"/>
    <w:rsid w:val="00B175A1"/>
    <w:rsid w:val="00B17D89"/>
    <w:rsid w:val="00B206B9"/>
    <w:rsid w:val="00B20BEF"/>
    <w:rsid w:val="00B2129F"/>
    <w:rsid w:val="00B215E0"/>
    <w:rsid w:val="00B21771"/>
    <w:rsid w:val="00B2180A"/>
    <w:rsid w:val="00B21B4C"/>
    <w:rsid w:val="00B21C49"/>
    <w:rsid w:val="00B2241C"/>
    <w:rsid w:val="00B2258D"/>
    <w:rsid w:val="00B22806"/>
    <w:rsid w:val="00B228AB"/>
    <w:rsid w:val="00B22919"/>
    <w:rsid w:val="00B22B07"/>
    <w:rsid w:val="00B22E01"/>
    <w:rsid w:val="00B23017"/>
    <w:rsid w:val="00B237C2"/>
    <w:rsid w:val="00B23AA7"/>
    <w:rsid w:val="00B2401A"/>
    <w:rsid w:val="00B24023"/>
    <w:rsid w:val="00B2402D"/>
    <w:rsid w:val="00B240A2"/>
    <w:rsid w:val="00B24216"/>
    <w:rsid w:val="00B242E0"/>
    <w:rsid w:val="00B2438E"/>
    <w:rsid w:val="00B24694"/>
    <w:rsid w:val="00B2489F"/>
    <w:rsid w:val="00B24946"/>
    <w:rsid w:val="00B24BDD"/>
    <w:rsid w:val="00B2539E"/>
    <w:rsid w:val="00B254A5"/>
    <w:rsid w:val="00B255B7"/>
    <w:rsid w:val="00B25994"/>
    <w:rsid w:val="00B25A42"/>
    <w:rsid w:val="00B25B59"/>
    <w:rsid w:val="00B25BB2"/>
    <w:rsid w:val="00B25C0B"/>
    <w:rsid w:val="00B25E49"/>
    <w:rsid w:val="00B26220"/>
    <w:rsid w:val="00B26389"/>
    <w:rsid w:val="00B26556"/>
    <w:rsid w:val="00B26633"/>
    <w:rsid w:val="00B26745"/>
    <w:rsid w:val="00B268A6"/>
    <w:rsid w:val="00B26C5C"/>
    <w:rsid w:val="00B2713E"/>
    <w:rsid w:val="00B27417"/>
    <w:rsid w:val="00B27578"/>
    <w:rsid w:val="00B2787A"/>
    <w:rsid w:val="00B27941"/>
    <w:rsid w:val="00B27EB1"/>
    <w:rsid w:val="00B27EEF"/>
    <w:rsid w:val="00B30055"/>
    <w:rsid w:val="00B30252"/>
    <w:rsid w:val="00B30351"/>
    <w:rsid w:val="00B305C5"/>
    <w:rsid w:val="00B30715"/>
    <w:rsid w:val="00B30A99"/>
    <w:rsid w:val="00B31176"/>
    <w:rsid w:val="00B313AD"/>
    <w:rsid w:val="00B315D6"/>
    <w:rsid w:val="00B316E3"/>
    <w:rsid w:val="00B31723"/>
    <w:rsid w:val="00B319C6"/>
    <w:rsid w:val="00B31A1E"/>
    <w:rsid w:val="00B31B90"/>
    <w:rsid w:val="00B31CAF"/>
    <w:rsid w:val="00B31F8E"/>
    <w:rsid w:val="00B3208A"/>
    <w:rsid w:val="00B322A7"/>
    <w:rsid w:val="00B3233A"/>
    <w:rsid w:val="00B327DD"/>
    <w:rsid w:val="00B32E68"/>
    <w:rsid w:val="00B3301D"/>
    <w:rsid w:val="00B3361D"/>
    <w:rsid w:val="00B33622"/>
    <w:rsid w:val="00B3386D"/>
    <w:rsid w:val="00B33A0A"/>
    <w:rsid w:val="00B33ABD"/>
    <w:rsid w:val="00B33F9E"/>
    <w:rsid w:val="00B33FB7"/>
    <w:rsid w:val="00B342AE"/>
    <w:rsid w:val="00B34615"/>
    <w:rsid w:val="00B34905"/>
    <w:rsid w:val="00B34B64"/>
    <w:rsid w:val="00B34B71"/>
    <w:rsid w:val="00B35067"/>
    <w:rsid w:val="00B3506E"/>
    <w:rsid w:val="00B351F7"/>
    <w:rsid w:val="00B35233"/>
    <w:rsid w:val="00B35241"/>
    <w:rsid w:val="00B35266"/>
    <w:rsid w:val="00B3530C"/>
    <w:rsid w:val="00B35394"/>
    <w:rsid w:val="00B356A9"/>
    <w:rsid w:val="00B35C56"/>
    <w:rsid w:val="00B35CFC"/>
    <w:rsid w:val="00B35D5C"/>
    <w:rsid w:val="00B35DC4"/>
    <w:rsid w:val="00B35EF7"/>
    <w:rsid w:val="00B36209"/>
    <w:rsid w:val="00B36235"/>
    <w:rsid w:val="00B362F7"/>
    <w:rsid w:val="00B363C0"/>
    <w:rsid w:val="00B3653E"/>
    <w:rsid w:val="00B36659"/>
    <w:rsid w:val="00B367E4"/>
    <w:rsid w:val="00B369D7"/>
    <w:rsid w:val="00B36B24"/>
    <w:rsid w:val="00B37029"/>
    <w:rsid w:val="00B37477"/>
    <w:rsid w:val="00B375B8"/>
    <w:rsid w:val="00B376AC"/>
    <w:rsid w:val="00B37937"/>
    <w:rsid w:val="00B37BEE"/>
    <w:rsid w:val="00B4026A"/>
    <w:rsid w:val="00B40398"/>
    <w:rsid w:val="00B406F8"/>
    <w:rsid w:val="00B4085C"/>
    <w:rsid w:val="00B4091D"/>
    <w:rsid w:val="00B40994"/>
    <w:rsid w:val="00B40A28"/>
    <w:rsid w:val="00B40BDB"/>
    <w:rsid w:val="00B40E5F"/>
    <w:rsid w:val="00B4140B"/>
    <w:rsid w:val="00B4141D"/>
    <w:rsid w:val="00B414CA"/>
    <w:rsid w:val="00B415F0"/>
    <w:rsid w:val="00B4173F"/>
    <w:rsid w:val="00B417A8"/>
    <w:rsid w:val="00B417C5"/>
    <w:rsid w:val="00B41A92"/>
    <w:rsid w:val="00B41BB8"/>
    <w:rsid w:val="00B41E5E"/>
    <w:rsid w:val="00B41EAE"/>
    <w:rsid w:val="00B41F29"/>
    <w:rsid w:val="00B41FF5"/>
    <w:rsid w:val="00B42237"/>
    <w:rsid w:val="00B42281"/>
    <w:rsid w:val="00B42B22"/>
    <w:rsid w:val="00B42E5A"/>
    <w:rsid w:val="00B42FC6"/>
    <w:rsid w:val="00B43426"/>
    <w:rsid w:val="00B435A3"/>
    <w:rsid w:val="00B435CE"/>
    <w:rsid w:val="00B4380F"/>
    <w:rsid w:val="00B43A99"/>
    <w:rsid w:val="00B43DBE"/>
    <w:rsid w:val="00B44180"/>
    <w:rsid w:val="00B442A5"/>
    <w:rsid w:val="00B444F8"/>
    <w:rsid w:val="00B44506"/>
    <w:rsid w:val="00B44799"/>
    <w:rsid w:val="00B44D14"/>
    <w:rsid w:val="00B44E72"/>
    <w:rsid w:val="00B44F80"/>
    <w:rsid w:val="00B44FFE"/>
    <w:rsid w:val="00B45023"/>
    <w:rsid w:val="00B451AC"/>
    <w:rsid w:val="00B4528C"/>
    <w:rsid w:val="00B452CE"/>
    <w:rsid w:val="00B455F3"/>
    <w:rsid w:val="00B45670"/>
    <w:rsid w:val="00B45B6D"/>
    <w:rsid w:val="00B46149"/>
    <w:rsid w:val="00B46439"/>
    <w:rsid w:val="00B464A3"/>
    <w:rsid w:val="00B464A9"/>
    <w:rsid w:val="00B46653"/>
    <w:rsid w:val="00B466F3"/>
    <w:rsid w:val="00B46723"/>
    <w:rsid w:val="00B46B85"/>
    <w:rsid w:val="00B46C99"/>
    <w:rsid w:val="00B46F1E"/>
    <w:rsid w:val="00B4742D"/>
    <w:rsid w:val="00B475DA"/>
    <w:rsid w:val="00B47662"/>
    <w:rsid w:val="00B47875"/>
    <w:rsid w:val="00B47A26"/>
    <w:rsid w:val="00B47A73"/>
    <w:rsid w:val="00B47B63"/>
    <w:rsid w:val="00B47BE9"/>
    <w:rsid w:val="00B47DE6"/>
    <w:rsid w:val="00B47E6C"/>
    <w:rsid w:val="00B50041"/>
    <w:rsid w:val="00B501B2"/>
    <w:rsid w:val="00B502F8"/>
    <w:rsid w:val="00B50328"/>
    <w:rsid w:val="00B50432"/>
    <w:rsid w:val="00B50478"/>
    <w:rsid w:val="00B50503"/>
    <w:rsid w:val="00B50A46"/>
    <w:rsid w:val="00B50B07"/>
    <w:rsid w:val="00B50B10"/>
    <w:rsid w:val="00B50B12"/>
    <w:rsid w:val="00B50CFF"/>
    <w:rsid w:val="00B50E1A"/>
    <w:rsid w:val="00B50E28"/>
    <w:rsid w:val="00B50F08"/>
    <w:rsid w:val="00B5100A"/>
    <w:rsid w:val="00B511A1"/>
    <w:rsid w:val="00B51917"/>
    <w:rsid w:val="00B51A8A"/>
    <w:rsid w:val="00B51CD9"/>
    <w:rsid w:val="00B51D61"/>
    <w:rsid w:val="00B51DC1"/>
    <w:rsid w:val="00B52031"/>
    <w:rsid w:val="00B5271C"/>
    <w:rsid w:val="00B52820"/>
    <w:rsid w:val="00B52C18"/>
    <w:rsid w:val="00B531BF"/>
    <w:rsid w:val="00B532AD"/>
    <w:rsid w:val="00B53459"/>
    <w:rsid w:val="00B53586"/>
    <w:rsid w:val="00B53D92"/>
    <w:rsid w:val="00B544FE"/>
    <w:rsid w:val="00B54596"/>
    <w:rsid w:val="00B545F9"/>
    <w:rsid w:val="00B54682"/>
    <w:rsid w:val="00B54C7E"/>
    <w:rsid w:val="00B54D81"/>
    <w:rsid w:val="00B54DFA"/>
    <w:rsid w:val="00B554B7"/>
    <w:rsid w:val="00B55D08"/>
    <w:rsid w:val="00B55D1C"/>
    <w:rsid w:val="00B55E53"/>
    <w:rsid w:val="00B55F30"/>
    <w:rsid w:val="00B564A9"/>
    <w:rsid w:val="00B564E4"/>
    <w:rsid w:val="00B567D0"/>
    <w:rsid w:val="00B5692A"/>
    <w:rsid w:val="00B56D33"/>
    <w:rsid w:val="00B56E77"/>
    <w:rsid w:val="00B56FB6"/>
    <w:rsid w:val="00B570A0"/>
    <w:rsid w:val="00B573B3"/>
    <w:rsid w:val="00B5754D"/>
    <w:rsid w:val="00B5759E"/>
    <w:rsid w:val="00B57D08"/>
    <w:rsid w:val="00B57FAF"/>
    <w:rsid w:val="00B6027C"/>
    <w:rsid w:val="00B6039F"/>
    <w:rsid w:val="00B60564"/>
    <w:rsid w:val="00B60816"/>
    <w:rsid w:val="00B60A77"/>
    <w:rsid w:val="00B60DD2"/>
    <w:rsid w:val="00B6109B"/>
    <w:rsid w:val="00B61325"/>
    <w:rsid w:val="00B61A7D"/>
    <w:rsid w:val="00B61BC4"/>
    <w:rsid w:val="00B61D1A"/>
    <w:rsid w:val="00B61DB2"/>
    <w:rsid w:val="00B61F64"/>
    <w:rsid w:val="00B62065"/>
    <w:rsid w:val="00B62326"/>
    <w:rsid w:val="00B62854"/>
    <w:rsid w:val="00B62C6C"/>
    <w:rsid w:val="00B62C84"/>
    <w:rsid w:val="00B64413"/>
    <w:rsid w:val="00B64577"/>
    <w:rsid w:val="00B649AB"/>
    <w:rsid w:val="00B64B9F"/>
    <w:rsid w:val="00B64BC1"/>
    <w:rsid w:val="00B64BEC"/>
    <w:rsid w:val="00B64BFC"/>
    <w:rsid w:val="00B65728"/>
    <w:rsid w:val="00B65D23"/>
    <w:rsid w:val="00B66172"/>
    <w:rsid w:val="00B6622E"/>
    <w:rsid w:val="00B66289"/>
    <w:rsid w:val="00B662E3"/>
    <w:rsid w:val="00B6665F"/>
    <w:rsid w:val="00B667E9"/>
    <w:rsid w:val="00B673F2"/>
    <w:rsid w:val="00B6770D"/>
    <w:rsid w:val="00B67797"/>
    <w:rsid w:val="00B677CF"/>
    <w:rsid w:val="00B67857"/>
    <w:rsid w:val="00B678EB"/>
    <w:rsid w:val="00B702B4"/>
    <w:rsid w:val="00B7037D"/>
    <w:rsid w:val="00B703F3"/>
    <w:rsid w:val="00B70413"/>
    <w:rsid w:val="00B70549"/>
    <w:rsid w:val="00B707FC"/>
    <w:rsid w:val="00B70CFE"/>
    <w:rsid w:val="00B70DEC"/>
    <w:rsid w:val="00B70F3C"/>
    <w:rsid w:val="00B7118B"/>
    <w:rsid w:val="00B7152F"/>
    <w:rsid w:val="00B71874"/>
    <w:rsid w:val="00B7193C"/>
    <w:rsid w:val="00B71C2E"/>
    <w:rsid w:val="00B71CE6"/>
    <w:rsid w:val="00B71D47"/>
    <w:rsid w:val="00B71FBF"/>
    <w:rsid w:val="00B71FCD"/>
    <w:rsid w:val="00B71FF1"/>
    <w:rsid w:val="00B721D8"/>
    <w:rsid w:val="00B723D3"/>
    <w:rsid w:val="00B72887"/>
    <w:rsid w:val="00B72B8F"/>
    <w:rsid w:val="00B72E2C"/>
    <w:rsid w:val="00B730DF"/>
    <w:rsid w:val="00B733A6"/>
    <w:rsid w:val="00B734F1"/>
    <w:rsid w:val="00B73645"/>
    <w:rsid w:val="00B7385A"/>
    <w:rsid w:val="00B73B72"/>
    <w:rsid w:val="00B73D66"/>
    <w:rsid w:val="00B73E0E"/>
    <w:rsid w:val="00B73FEB"/>
    <w:rsid w:val="00B73FEE"/>
    <w:rsid w:val="00B74209"/>
    <w:rsid w:val="00B74495"/>
    <w:rsid w:val="00B744A9"/>
    <w:rsid w:val="00B74C2F"/>
    <w:rsid w:val="00B74CCF"/>
    <w:rsid w:val="00B751C7"/>
    <w:rsid w:val="00B75316"/>
    <w:rsid w:val="00B7534F"/>
    <w:rsid w:val="00B753F9"/>
    <w:rsid w:val="00B75485"/>
    <w:rsid w:val="00B75789"/>
    <w:rsid w:val="00B757F8"/>
    <w:rsid w:val="00B75A3C"/>
    <w:rsid w:val="00B75E72"/>
    <w:rsid w:val="00B760B9"/>
    <w:rsid w:val="00B76443"/>
    <w:rsid w:val="00B76C99"/>
    <w:rsid w:val="00B76D33"/>
    <w:rsid w:val="00B77255"/>
    <w:rsid w:val="00B773A0"/>
    <w:rsid w:val="00B77420"/>
    <w:rsid w:val="00B77AB8"/>
    <w:rsid w:val="00B77AF9"/>
    <w:rsid w:val="00B77B14"/>
    <w:rsid w:val="00B77B26"/>
    <w:rsid w:val="00B77C18"/>
    <w:rsid w:val="00B77C84"/>
    <w:rsid w:val="00B77CE5"/>
    <w:rsid w:val="00B77F40"/>
    <w:rsid w:val="00B80103"/>
    <w:rsid w:val="00B802D1"/>
    <w:rsid w:val="00B80424"/>
    <w:rsid w:val="00B80471"/>
    <w:rsid w:val="00B80544"/>
    <w:rsid w:val="00B805C9"/>
    <w:rsid w:val="00B80609"/>
    <w:rsid w:val="00B8073E"/>
    <w:rsid w:val="00B807C0"/>
    <w:rsid w:val="00B80A86"/>
    <w:rsid w:val="00B80ED6"/>
    <w:rsid w:val="00B80EF8"/>
    <w:rsid w:val="00B80F42"/>
    <w:rsid w:val="00B81272"/>
    <w:rsid w:val="00B81B87"/>
    <w:rsid w:val="00B81CFE"/>
    <w:rsid w:val="00B81EB2"/>
    <w:rsid w:val="00B81F22"/>
    <w:rsid w:val="00B82000"/>
    <w:rsid w:val="00B8200D"/>
    <w:rsid w:val="00B8202A"/>
    <w:rsid w:val="00B8210D"/>
    <w:rsid w:val="00B821E5"/>
    <w:rsid w:val="00B8235A"/>
    <w:rsid w:val="00B82536"/>
    <w:rsid w:val="00B8263E"/>
    <w:rsid w:val="00B8278B"/>
    <w:rsid w:val="00B827BD"/>
    <w:rsid w:val="00B82826"/>
    <w:rsid w:val="00B82B55"/>
    <w:rsid w:val="00B82C59"/>
    <w:rsid w:val="00B835DA"/>
    <w:rsid w:val="00B838E4"/>
    <w:rsid w:val="00B83C7E"/>
    <w:rsid w:val="00B83D62"/>
    <w:rsid w:val="00B840D9"/>
    <w:rsid w:val="00B84609"/>
    <w:rsid w:val="00B84CBA"/>
    <w:rsid w:val="00B84CFD"/>
    <w:rsid w:val="00B84D91"/>
    <w:rsid w:val="00B84FA3"/>
    <w:rsid w:val="00B85085"/>
    <w:rsid w:val="00B85527"/>
    <w:rsid w:val="00B8559A"/>
    <w:rsid w:val="00B859EB"/>
    <w:rsid w:val="00B86004"/>
    <w:rsid w:val="00B86058"/>
    <w:rsid w:val="00B86338"/>
    <w:rsid w:val="00B866B9"/>
    <w:rsid w:val="00B868FE"/>
    <w:rsid w:val="00B86F2A"/>
    <w:rsid w:val="00B86F37"/>
    <w:rsid w:val="00B87100"/>
    <w:rsid w:val="00B871E9"/>
    <w:rsid w:val="00B872DC"/>
    <w:rsid w:val="00B87523"/>
    <w:rsid w:val="00B87707"/>
    <w:rsid w:val="00B9041E"/>
    <w:rsid w:val="00B904D6"/>
    <w:rsid w:val="00B90A1E"/>
    <w:rsid w:val="00B90AAD"/>
    <w:rsid w:val="00B90B4C"/>
    <w:rsid w:val="00B90E6E"/>
    <w:rsid w:val="00B91076"/>
    <w:rsid w:val="00B910EA"/>
    <w:rsid w:val="00B9138F"/>
    <w:rsid w:val="00B91516"/>
    <w:rsid w:val="00B91685"/>
    <w:rsid w:val="00B918F6"/>
    <w:rsid w:val="00B91B26"/>
    <w:rsid w:val="00B91B42"/>
    <w:rsid w:val="00B92073"/>
    <w:rsid w:val="00B92347"/>
    <w:rsid w:val="00B9263F"/>
    <w:rsid w:val="00B92766"/>
    <w:rsid w:val="00B92865"/>
    <w:rsid w:val="00B92948"/>
    <w:rsid w:val="00B92FFA"/>
    <w:rsid w:val="00B930EA"/>
    <w:rsid w:val="00B93204"/>
    <w:rsid w:val="00B93256"/>
    <w:rsid w:val="00B935EA"/>
    <w:rsid w:val="00B936C4"/>
    <w:rsid w:val="00B93A05"/>
    <w:rsid w:val="00B93F50"/>
    <w:rsid w:val="00B940AD"/>
    <w:rsid w:val="00B941EA"/>
    <w:rsid w:val="00B94357"/>
    <w:rsid w:val="00B943E5"/>
    <w:rsid w:val="00B9442C"/>
    <w:rsid w:val="00B9453B"/>
    <w:rsid w:val="00B946E8"/>
    <w:rsid w:val="00B947FF"/>
    <w:rsid w:val="00B948A6"/>
    <w:rsid w:val="00B94914"/>
    <w:rsid w:val="00B94AD5"/>
    <w:rsid w:val="00B94BA0"/>
    <w:rsid w:val="00B94CF4"/>
    <w:rsid w:val="00B950D4"/>
    <w:rsid w:val="00B950D5"/>
    <w:rsid w:val="00B95648"/>
    <w:rsid w:val="00B95B00"/>
    <w:rsid w:val="00B95BE8"/>
    <w:rsid w:val="00B95CEB"/>
    <w:rsid w:val="00B96192"/>
    <w:rsid w:val="00B96325"/>
    <w:rsid w:val="00B9689B"/>
    <w:rsid w:val="00B96906"/>
    <w:rsid w:val="00B96AEC"/>
    <w:rsid w:val="00B97010"/>
    <w:rsid w:val="00B9763B"/>
    <w:rsid w:val="00B978A5"/>
    <w:rsid w:val="00B978FF"/>
    <w:rsid w:val="00B97CCC"/>
    <w:rsid w:val="00B97E94"/>
    <w:rsid w:val="00BA0431"/>
    <w:rsid w:val="00BA0750"/>
    <w:rsid w:val="00BA0CF0"/>
    <w:rsid w:val="00BA0D97"/>
    <w:rsid w:val="00BA0EAE"/>
    <w:rsid w:val="00BA101D"/>
    <w:rsid w:val="00BA10BF"/>
    <w:rsid w:val="00BA1ACD"/>
    <w:rsid w:val="00BA1DFD"/>
    <w:rsid w:val="00BA1E3B"/>
    <w:rsid w:val="00BA1E97"/>
    <w:rsid w:val="00BA1EA3"/>
    <w:rsid w:val="00BA1F7A"/>
    <w:rsid w:val="00BA1FA1"/>
    <w:rsid w:val="00BA211D"/>
    <w:rsid w:val="00BA2348"/>
    <w:rsid w:val="00BA268F"/>
    <w:rsid w:val="00BA26D2"/>
    <w:rsid w:val="00BA285C"/>
    <w:rsid w:val="00BA2A72"/>
    <w:rsid w:val="00BA2E82"/>
    <w:rsid w:val="00BA2E9B"/>
    <w:rsid w:val="00BA2F52"/>
    <w:rsid w:val="00BA33E1"/>
    <w:rsid w:val="00BA35C6"/>
    <w:rsid w:val="00BA3735"/>
    <w:rsid w:val="00BA381B"/>
    <w:rsid w:val="00BA3823"/>
    <w:rsid w:val="00BA3825"/>
    <w:rsid w:val="00BA3897"/>
    <w:rsid w:val="00BA38B1"/>
    <w:rsid w:val="00BA38C9"/>
    <w:rsid w:val="00BA3916"/>
    <w:rsid w:val="00BA3B5C"/>
    <w:rsid w:val="00BA3D12"/>
    <w:rsid w:val="00BA3E51"/>
    <w:rsid w:val="00BA3ED5"/>
    <w:rsid w:val="00BA3F12"/>
    <w:rsid w:val="00BA4411"/>
    <w:rsid w:val="00BA44DE"/>
    <w:rsid w:val="00BA452A"/>
    <w:rsid w:val="00BA4676"/>
    <w:rsid w:val="00BA46AE"/>
    <w:rsid w:val="00BA46C0"/>
    <w:rsid w:val="00BA4866"/>
    <w:rsid w:val="00BA4A02"/>
    <w:rsid w:val="00BA4DAF"/>
    <w:rsid w:val="00BA4E82"/>
    <w:rsid w:val="00BA50C2"/>
    <w:rsid w:val="00BA50E1"/>
    <w:rsid w:val="00BA5118"/>
    <w:rsid w:val="00BA51E4"/>
    <w:rsid w:val="00BA5321"/>
    <w:rsid w:val="00BA56F1"/>
    <w:rsid w:val="00BA5705"/>
    <w:rsid w:val="00BA592F"/>
    <w:rsid w:val="00BA5975"/>
    <w:rsid w:val="00BA5EE9"/>
    <w:rsid w:val="00BA631C"/>
    <w:rsid w:val="00BA6390"/>
    <w:rsid w:val="00BA640C"/>
    <w:rsid w:val="00BA6515"/>
    <w:rsid w:val="00BA65D9"/>
    <w:rsid w:val="00BA666A"/>
    <w:rsid w:val="00BA6E39"/>
    <w:rsid w:val="00BA6E41"/>
    <w:rsid w:val="00BA6EAA"/>
    <w:rsid w:val="00BA6F16"/>
    <w:rsid w:val="00BA6F3B"/>
    <w:rsid w:val="00BA70C4"/>
    <w:rsid w:val="00BA71A8"/>
    <w:rsid w:val="00BA73C1"/>
    <w:rsid w:val="00BA7636"/>
    <w:rsid w:val="00BA7737"/>
    <w:rsid w:val="00BA7948"/>
    <w:rsid w:val="00BA7F2E"/>
    <w:rsid w:val="00BB040E"/>
    <w:rsid w:val="00BB0520"/>
    <w:rsid w:val="00BB06F9"/>
    <w:rsid w:val="00BB072A"/>
    <w:rsid w:val="00BB0B7C"/>
    <w:rsid w:val="00BB0C7E"/>
    <w:rsid w:val="00BB0F5E"/>
    <w:rsid w:val="00BB0FBB"/>
    <w:rsid w:val="00BB1145"/>
    <w:rsid w:val="00BB13E0"/>
    <w:rsid w:val="00BB14B0"/>
    <w:rsid w:val="00BB18C9"/>
    <w:rsid w:val="00BB1A36"/>
    <w:rsid w:val="00BB1B4B"/>
    <w:rsid w:val="00BB1C2C"/>
    <w:rsid w:val="00BB1D27"/>
    <w:rsid w:val="00BB23EF"/>
    <w:rsid w:val="00BB25D4"/>
    <w:rsid w:val="00BB2908"/>
    <w:rsid w:val="00BB2B05"/>
    <w:rsid w:val="00BB2E56"/>
    <w:rsid w:val="00BB2EB3"/>
    <w:rsid w:val="00BB2EC3"/>
    <w:rsid w:val="00BB313B"/>
    <w:rsid w:val="00BB3317"/>
    <w:rsid w:val="00BB339C"/>
    <w:rsid w:val="00BB34CD"/>
    <w:rsid w:val="00BB3845"/>
    <w:rsid w:val="00BB3950"/>
    <w:rsid w:val="00BB3AD2"/>
    <w:rsid w:val="00BB3DC7"/>
    <w:rsid w:val="00BB40B4"/>
    <w:rsid w:val="00BB41EB"/>
    <w:rsid w:val="00BB41EE"/>
    <w:rsid w:val="00BB42B4"/>
    <w:rsid w:val="00BB45C4"/>
    <w:rsid w:val="00BB4690"/>
    <w:rsid w:val="00BB495E"/>
    <w:rsid w:val="00BB49C4"/>
    <w:rsid w:val="00BB4A29"/>
    <w:rsid w:val="00BB4BF5"/>
    <w:rsid w:val="00BB4DAD"/>
    <w:rsid w:val="00BB4F8E"/>
    <w:rsid w:val="00BB4FDE"/>
    <w:rsid w:val="00BB5076"/>
    <w:rsid w:val="00BB5314"/>
    <w:rsid w:val="00BB55D7"/>
    <w:rsid w:val="00BB5604"/>
    <w:rsid w:val="00BB56AC"/>
    <w:rsid w:val="00BB59B5"/>
    <w:rsid w:val="00BB5ED7"/>
    <w:rsid w:val="00BB6237"/>
    <w:rsid w:val="00BB632E"/>
    <w:rsid w:val="00BB6471"/>
    <w:rsid w:val="00BB69E1"/>
    <w:rsid w:val="00BB6EB8"/>
    <w:rsid w:val="00BB7418"/>
    <w:rsid w:val="00BB75DD"/>
    <w:rsid w:val="00BB761B"/>
    <w:rsid w:val="00BB77F8"/>
    <w:rsid w:val="00BB783A"/>
    <w:rsid w:val="00BB78A6"/>
    <w:rsid w:val="00BB78FB"/>
    <w:rsid w:val="00BB7A1F"/>
    <w:rsid w:val="00BB7D39"/>
    <w:rsid w:val="00BB7DC3"/>
    <w:rsid w:val="00BB7E8B"/>
    <w:rsid w:val="00BB7EF9"/>
    <w:rsid w:val="00BB7FB9"/>
    <w:rsid w:val="00BC026D"/>
    <w:rsid w:val="00BC0430"/>
    <w:rsid w:val="00BC0439"/>
    <w:rsid w:val="00BC0445"/>
    <w:rsid w:val="00BC04C0"/>
    <w:rsid w:val="00BC05D5"/>
    <w:rsid w:val="00BC05D9"/>
    <w:rsid w:val="00BC080E"/>
    <w:rsid w:val="00BC0B5F"/>
    <w:rsid w:val="00BC0CF0"/>
    <w:rsid w:val="00BC0D03"/>
    <w:rsid w:val="00BC0DE0"/>
    <w:rsid w:val="00BC0E38"/>
    <w:rsid w:val="00BC0F66"/>
    <w:rsid w:val="00BC1300"/>
    <w:rsid w:val="00BC1353"/>
    <w:rsid w:val="00BC13DD"/>
    <w:rsid w:val="00BC1497"/>
    <w:rsid w:val="00BC14C9"/>
    <w:rsid w:val="00BC1690"/>
    <w:rsid w:val="00BC16B3"/>
    <w:rsid w:val="00BC1923"/>
    <w:rsid w:val="00BC1A41"/>
    <w:rsid w:val="00BC1A4F"/>
    <w:rsid w:val="00BC1BDA"/>
    <w:rsid w:val="00BC1C19"/>
    <w:rsid w:val="00BC1C2E"/>
    <w:rsid w:val="00BC1CF0"/>
    <w:rsid w:val="00BC2135"/>
    <w:rsid w:val="00BC23CB"/>
    <w:rsid w:val="00BC27E3"/>
    <w:rsid w:val="00BC2D10"/>
    <w:rsid w:val="00BC2D2B"/>
    <w:rsid w:val="00BC2F82"/>
    <w:rsid w:val="00BC325C"/>
    <w:rsid w:val="00BC349A"/>
    <w:rsid w:val="00BC35CA"/>
    <w:rsid w:val="00BC36CE"/>
    <w:rsid w:val="00BC3874"/>
    <w:rsid w:val="00BC3B35"/>
    <w:rsid w:val="00BC3FBA"/>
    <w:rsid w:val="00BC49B6"/>
    <w:rsid w:val="00BC49CC"/>
    <w:rsid w:val="00BC4BA3"/>
    <w:rsid w:val="00BC4E4C"/>
    <w:rsid w:val="00BC529A"/>
    <w:rsid w:val="00BC53E1"/>
    <w:rsid w:val="00BC5591"/>
    <w:rsid w:val="00BC5E36"/>
    <w:rsid w:val="00BC6448"/>
    <w:rsid w:val="00BC69F6"/>
    <w:rsid w:val="00BC6DA0"/>
    <w:rsid w:val="00BC6DA8"/>
    <w:rsid w:val="00BC6E65"/>
    <w:rsid w:val="00BC7070"/>
    <w:rsid w:val="00BC70CA"/>
    <w:rsid w:val="00BC72A8"/>
    <w:rsid w:val="00BC74F4"/>
    <w:rsid w:val="00BC7E77"/>
    <w:rsid w:val="00BD0308"/>
    <w:rsid w:val="00BD0357"/>
    <w:rsid w:val="00BD07A1"/>
    <w:rsid w:val="00BD0803"/>
    <w:rsid w:val="00BD0C1D"/>
    <w:rsid w:val="00BD1104"/>
    <w:rsid w:val="00BD1247"/>
    <w:rsid w:val="00BD12CA"/>
    <w:rsid w:val="00BD1496"/>
    <w:rsid w:val="00BD1504"/>
    <w:rsid w:val="00BD1619"/>
    <w:rsid w:val="00BD17B0"/>
    <w:rsid w:val="00BD1A37"/>
    <w:rsid w:val="00BD1A53"/>
    <w:rsid w:val="00BD1B03"/>
    <w:rsid w:val="00BD1BA1"/>
    <w:rsid w:val="00BD1CB8"/>
    <w:rsid w:val="00BD1E08"/>
    <w:rsid w:val="00BD2292"/>
    <w:rsid w:val="00BD24CC"/>
    <w:rsid w:val="00BD2559"/>
    <w:rsid w:val="00BD267C"/>
    <w:rsid w:val="00BD2819"/>
    <w:rsid w:val="00BD2A7C"/>
    <w:rsid w:val="00BD2BAC"/>
    <w:rsid w:val="00BD2C48"/>
    <w:rsid w:val="00BD2DE1"/>
    <w:rsid w:val="00BD31E6"/>
    <w:rsid w:val="00BD326C"/>
    <w:rsid w:val="00BD3311"/>
    <w:rsid w:val="00BD3330"/>
    <w:rsid w:val="00BD3681"/>
    <w:rsid w:val="00BD387A"/>
    <w:rsid w:val="00BD3A7B"/>
    <w:rsid w:val="00BD3DAD"/>
    <w:rsid w:val="00BD3FB0"/>
    <w:rsid w:val="00BD438C"/>
    <w:rsid w:val="00BD48B2"/>
    <w:rsid w:val="00BD4E89"/>
    <w:rsid w:val="00BD5039"/>
    <w:rsid w:val="00BD519E"/>
    <w:rsid w:val="00BD51BA"/>
    <w:rsid w:val="00BD53AD"/>
    <w:rsid w:val="00BD59EF"/>
    <w:rsid w:val="00BD5AA6"/>
    <w:rsid w:val="00BD5B1C"/>
    <w:rsid w:val="00BD5DA8"/>
    <w:rsid w:val="00BD6201"/>
    <w:rsid w:val="00BD6237"/>
    <w:rsid w:val="00BD6588"/>
    <w:rsid w:val="00BD65DE"/>
    <w:rsid w:val="00BD682A"/>
    <w:rsid w:val="00BD6862"/>
    <w:rsid w:val="00BD6AAD"/>
    <w:rsid w:val="00BD6C73"/>
    <w:rsid w:val="00BD6C98"/>
    <w:rsid w:val="00BD6CC9"/>
    <w:rsid w:val="00BD6F69"/>
    <w:rsid w:val="00BD6F73"/>
    <w:rsid w:val="00BD70AE"/>
    <w:rsid w:val="00BD78C2"/>
    <w:rsid w:val="00BD7B26"/>
    <w:rsid w:val="00BD7C7D"/>
    <w:rsid w:val="00BE039C"/>
    <w:rsid w:val="00BE06A9"/>
    <w:rsid w:val="00BE072A"/>
    <w:rsid w:val="00BE0777"/>
    <w:rsid w:val="00BE0A2B"/>
    <w:rsid w:val="00BE0A35"/>
    <w:rsid w:val="00BE0EE8"/>
    <w:rsid w:val="00BE1021"/>
    <w:rsid w:val="00BE124F"/>
    <w:rsid w:val="00BE1356"/>
    <w:rsid w:val="00BE1869"/>
    <w:rsid w:val="00BE1C6C"/>
    <w:rsid w:val="00BE1F0B"/>
    <w:rsid w:val="00BE2230"/>
    <w:rsid w:val="00BE24A6"/>
    <w:rsid w:val="00BE2826"/>
    <w:rsid w:val="00BE29E2"/>
    <w:rsid w:val="00BE2ACE"/>
    <w:rsid w:val="00BE2B62"/>
    <w:rsid w:val="00BE32C1"/>
    <w:rsid w:val="00BE32F2"/>
    <w:rsid w:val="00BE3431"/>
    <w:rsid w:val="00BE34CE"/>
    <w:rsid w:val="00BE3627"/>
    <w:rsid w:val="00BE3A83"/>
    <w:rsid w:val="00BE48EF"/>
    <w:rsid w:val="00BE4ADA"/>
    <w:rsid w:val="00BE4CFF"/>
    <w:rsid w:val="00BE4DA3"/>
    <w:rsid w:val="00BE4E49"/>
    <w:rsid w:val="00BE5263"/>
    <w:rsid w:val="00BE532C"/>
    <w:rsid w:val="00BE540C"/>
    <w:rsid w:val="00BE584D"/>
    <w:rsid w:val="00BE5C1F"/>
    <w:rsid w:val="00BE5D99"/>
    <w:rsid w:val="00BE65CF"/>
    <w:rsid w:val="00BE6734"/>
    <w:rsid w:val="00BE6A0B"/>
    <w:rsid w:val="00BE6A10"/>
    <w:rsid w:val="00BE6A83"/>
    <w:rsid w:val="00BE6C7A"/>
    <w:rsid w:val="00BE6F53"/>
    <w:rsid w:val="00BE6FF4"/>
    <w:rsid w:val="00BE7050"/>
    <w:rsid w:val="00BE75D6"/>
    <w:rsid w:val="00BE7653"/>
    <w:rsid w:val="00BE7DA8"/>
    <w:rsid w:val="00BE7DEA"/>
    <w:rsid w:val="00BF00A0"/>
    <w:rsid w:val="00BF019D"/>
    <w:rsid w:val="00BF04CA"/>
    <w:rsid w:val="00BF07A7"/>
    <w:rsid w:val="00BF08AA"/>
    <w:rsid w:val="00BF09C7"/>
    <w:rsid w:val="00BF0AB3"/>
    <w:rsid w:val="00BF0B06"/>
    <w:rsid w:val="00BF10A9"/>
    <w:rsid w:val="00BF123B"/>
    <w:rsid w:val="00BF147D"/>
    <w:rsid w:val="00BF160E"/>
    <w:rsid w:val="00BF184C"/>
    <w:rsid w:val="00BF1A4F"/>
    <w:rsid w:val="00BF1B3C"/>
    <w:rsid w:val="00BF1BD0"/>
    <w:rsid w:val="00BF1D18"/>
    <w:rsid w:val="00BF2093"/>
    <w:rsid w:val="00BF209C"/>
    <w:rsid w:val="00BF2827"/>
    <w:rsid w:val="00BF298F"/>
    <w:rsid w:val="00BF2BA6"/>
    <w:rsid w:val="00BF2D5C"/>
    <w:rsid w:val="00BF374B"/>
    <w:rsid w:val="00BF37AC"/>
    <w:rsid w:val="00BF37EF"/>
    <w:rsid w:val="00BF3861"/>
    <w:rsid w:val="00BF38A8"/>
    <w:rsid w:val="00BF3C39"/>
    <w:rsid w:val="00BF3C90"/>
    <w:rsid w:val="00BF3D1B"/>
    <w:rsid w:val="00BF40F0"/>
    <w:rsid w:val="00BF426A"/>
    <w:rsid w:val="00BF431A"/>
    <w:rsid w:val="00BF44E6"/>
    <w:rsid w:val="00BF47E6"/>
    <w:rsid w:val="00BF4EEA"/>
    <w:rsid w:val="00BF4FB6"/>
    <w:rsid w:val="00BF5057"/>
    <w:rsid w:val="00BF51B6"/>
    <w:rsid w:val="00BF52F7"/>
    <w:rsid w:val="00BF543D"/>
    <w:rsid w:val="00BF5AB8"/>
    <w:rsid w:val="00BF5C77"/>
    <w:rsid w:val="00BF5F84"/>
    <w:rsid w:val="00BF603F"/>
    <w:rsid w:val="00BF618B"/>
    <w:rsid w:val="00BF61A2"/>
    <w:rsid w:val="00BF6278"/>
    <w:rsid w:val="00BF6737"/>
    <w:rsid w:val="00BF677E"/>
    <w:rsid w:val="00BF6AE7"/>
    <w:rsid w:val="00BF715C"/>
    <w:rsid w:val="00BF7542"/>
    <w:rsid w:val="00BF773A"/>
    <w:rsid w:val="00BF79CF"/>
    <w:rsid w:val="00C004A5"/>
    <w:rsid w:val="00C00623"/>
    <w:rsid w:val="00C007A2"/>
    <w:rsid w:val="00C007EE"/>
    <w:rsid w:val="00C00B82"/>
    <w:rsid w:val="00C00F04"/>
    <w:rsid w:val="00C013EC"/>
    <w:rsid w:val="00C01682"/>
    <w:rsid w:val="00C018CB"/>
    <w:rsid w:val="00C01D0A"/>
    <w:rsid w:val="00C01E2B"/>
    <w:rsid w:val="00C01F80"/>
    <w:rsid w:val="00C0210D"/>
    <w:rsid w:val="00C02158"/>
    <w:rsid w:val="00C02270"/>
    <w:rsid w:val="00C02891"/>
    <w:rsid w:val="00C02A76"/>
    <w:rsid w:val="00C02BEF"/>
    <w:rsid w:val="00C02EEA"/>
    <w:rsid w:val="00C030B2"/>
    <w:rsid w:val="00C03530"/>
    <w:rsid w:val="00C03565"/>
    <w:rsid w:val="00C03896"/>
    <w:rsid w:val="00C03B24"/>
    <w:rsid w:val="00C03F8C"/>
    <w:rsid w:val="00C041C0"/>
    <w:rsid w:val="00C04460"/>
    <w:rsid w:val="00C04487"/>
    <w:rsid w:val="00C04684"/>
    <w:rsid w:val="00C0481F"/>
    <w:rsid w:val="00C048B0"/>
    <w:rsid w:val="00C04B4B"/>
    <w:rsid w:val="00C0509B"/>
    <w:rsid w:val="00C05173"/>
    <w:rsid w:val="00C056C2"/>
    <w:rsid w:val="00C058B1"/>
    <w:rsid w:val="00C05F9D"/>
    <w:rsid w:val="00C060CE"/>
    <w:rsid w:val="00C0637F"/>
    <w:rsid w:val="00C063DC"/>
    <w:rsid w:val="00C064E5"/>
    <w:rsid w:val="00C06A1D"/>
    <w:rsid w:val="00C06D78"/>
    <w:rsid w:val="00C07023"/>
    <w:rsid w:val="00C071E5"/>
    <w:rsid w:val="00C07485"/>
    <w:rsid w:val="00C0764D"/>
    <w:rsid w:val="00C078A3"/>
    <w:rsid w:val="00C0796E"/>
    <w:rsid w:val="00C079A4"/>
    <w:rsid w:val="00C079AE"/>
    <w:rsid w:val="00C07C8D"/>
    <w:rsid w:val="00C10120"/>
    <w:rsid w:val="00C10346"/>
    <w:rsid w:val="00C10398"/>
    <w:rsid w:val="00C105E8"/>
    <w:rsid w:val="00C1069A"/>
    <w:rsid w:val="00C108BC"/>
    <w:rsid w:val="00C10CDA"/>
    <w:rsid w:val="00C10D10"/>
    <w:rsid w:val="00C113DC"/>
    <w:rsid w:val="00C11CF4"/>
    <w:rsid w:val="00C11D0B"/>
    <w:rsid w:val="00C11E9C"/>
    <w:rsid w:val="00C12287"/>
    <w:rsid w:val="00C12681"/>
    <w:rsid w:val="00C128E8"/>
    <w:rsid w:val="00C12BDC"/>
    <w:rsid w:val="00C12BF9"/>
    <w:rsid w:val="00C12C42"/>
    <w:rsid w:val="00C12E8A"/>
    <w:rsid w:val="00C1302B"/>
    <w:rsid w:val="00C1316B"/>
    <w:rsid w:val="00C13226"/>
    <w:rsid w:val="00C132FA"/>
    <w:rsid w:val="00C13471"/>
    <w:rsid w:val="00C13A3C"/>
    <w:rsid w:val="00C13EC3"/>
    <w:rsid w:val="00C13EE3"/>
    <w:rsid w:val="00C143B9"/>
    <w:rsid w:val="00C1447B"/>
    <w:rsid w:val="00C1462E"/>
    <w:rsid w:val="00C149A0"/>
    <w:rsid w:val="00C14BAD"/>
    <w:rsid w:val="00C14CAD"/>
    <w:rsid w:val="00C14DB4"/>
    <w:rsid w:val="00C154A2"/>
    <w:rsid w:val="00C155B0"/>
    <w:rsid w:val="00C15635"/>
    <w:rsid w:val="00C157F1"/>
    <w:rsid w:val="00C159F9"/>
    <w:rsid w:val="00C15C2E"/>
    <w:rsid w:val="00C161DC"/>
    <w:rsid w:val="00C16295"/>
    <w:rsid w:val="00C16801"/>
    <w:rsid w:val="00C16857"/>
    <w:rsid w:val="00C169C4"/>
    <w:rsid w:val="00C16C08"/>
    <w:rsid w:val="00C16EFC"/>
    <w:rsid w:val="00C16F21"/>
    <w:rsid w:val="00C173BC"/>
    <w:rsid w:val="00C173F9"/>
    <w:rsid w:val="00C175C2"/>
    <w:rsid w:val="00C175FF"/>
    <w:rsid w:val="00C17ABE"/>
    <w:rsid w:val="00C17B40"/>
    <w:rsid w:val="00C17C73"/>
    <w:rsid w:val="00C17F4A"/>
    <w:rsid w:val="00C17FED"/>
    <w:rsid w:val="00C200BE"/>
    <w:rsid w:val="00C20288"/>
    <w:rsid w:val="00C20954"/>
    <w:rsid w:val="00C20CF0"/>
    <w:rsid w:val="00C20DA7"/>
    <w:rsid w:val="00C20EE6"/>
    <w:rsid w:val="00C212F7"/>
    <w:rsid w:val="00C2176D"/>
    <w:rsid w:val="00C219B4"/>
    <w:rsid w:val="00C219B8"/>
    <w:rsid w:val="00C21A61"/>
    <w:rsid w:val="00C21C8D"/>
    <w:rsid w:val="00C22130"/>
    <w:rsid w:val="00C22AED"/>
    <w:rsid w:val="00C22C1B"/>
    <w:rsid w:val="00C22C8B"/>
    <w:rsid w:val="00C22F42"/>
    <w:rsid w:val="00C22F78"/>
    <w:rsid w:val="00C2314D"/>
    <w:rsid w:val="00C23517"/>
    <w:rsid w:val="00C235AC"/>
    <w:rsid w:val="00C236A7"/>
    <w:rsid w:val="00C23931"/>
    <w:rsid w:val="00C23B70"/>
    <w:rsid w:val="00C23C32"/>
    <w:rsid w:val="00C23EBC"/>
    <w:rsid w:val="00C24149"/>
    <w:rsid w:val="00C24413"/>
    <w:rsid w:val="00C245D2"/>
    <w:rsid w:val="00C248B2"/>
    <w:rsid w:val="00C24A41"/>
    <w:rsid w:val="00C24AC1"/>
    <w:rsid w:val="00C24B3B"/>
    <w:rsid w:val="00C252EA"/>
    <w:rsid w:val="00C25522"/>
    <w:rsid w:val="00C256AA"/>
    <w:rsid w:val="00C25A08"/>
    <w:rsid w:val="00C262BC"/>
    <w:rsid w:val="00C26316"/>
    <w:rsid w:val="00C26470"/>
    <w:rsid w:val="00C267EC"/>
    <w:rsid w:val="00C26C9E"/>
    <w:rsid w:val="00C26DE1"/>
    <w:rsid w:val="00C26EE8"/>
    <w:rsid w:val="00C27266"/>
    <w:rsid w:val="00C27477"/>
    <w:rsid w:val="00C27565"/>
    <w:rsid w:val="00C275C0"/>
    <w:rsid w:val="00C278B0"/>
    <w:rsid w:val="00C27B8E"/>
    <w:rsid w:val="00C27D03"/>
    <w:rsid w:val="00C27E99"/>
    <w:rsid w:val="00C305C2"/>
    <w:rsid w:val="00C305C5"/>
    <w:rsid w:val="00C30D49"/>
    <w:rsid w:val="00C30EEB"/>
    <w:rsid w:val="00C31017"/>
    <w:rsid w:val="00C31021"/>
    <w:rsid w:val="00C3117F"/>
    <w:rsid w:val="00C31507"/>
    <w:rsid w:val="00C31720"/>
    <w:rsid w:val="00C31733"/>
    <w:rsid w:val="00C318E3"/>
    <w:rsid w:val="00C31CE1"/>
    <w:rsid w:val="00C31E00"/>
    <w:rsid w:val="00C320C9"/>
    <w:rsid w:val="00C321C2"/>
    <w:rsid w:val="00C323B7"/>
    <w:rsid w:val="00C324DB"/>
    <w:rsid w:val="00C3268E"/>
    <w:rsid w:val="00C327E7"/>
    <w:rsid w:val="00C3282F"/>
    <w:rsid w:val="00C329D2"/>
    <w:rsid w:val="00C329EF"/>
    <w:rsid w:val="00C32B4C"/>
    <w:rsid w:val="00C32C5F"/>
    <w:rsid w:val="00C32CC0"/>
    <w:rsid w:val="00C32D4F"/>
    <w:rsid w:val="00C3305A"/>
    <w:rsid w:val="00C3319C"/>
    <w:rsid w:val="00C33308"/>
    <w:rsid w:val="00C336EC"/>
    <w:rsid w:val="00C336EE"/>
    <w:rsid w:val="00C339E2"/>
    <w:rsid w:val="00C33A4B"/>
    <w:rsid w:val="00C33BF5"/>
    <w:rsid w:val="00C33D93"/>
    <w:rsid w:val="00C33D9A"/>
    <w:rsid w:val="00C33DE6"/>
    <w:rsid w:val="00C33E2B"/>
    <w:rsid w:val="00C341A7"/>
    <w:rsid w:val="00C341BD"/>
    <w:rsid w:val="00C342B9"/>
    <w:rsid w:val="00C34492"/>
    <w:rsid w:val="00C3459B"/>
    <w:rsid w:val="00C348DE"/>
    <w:rsid w:val="00C348FE"/>
    <w:rsid w:val="00C34A25"/>
    <w:rsid w:val="00C34FDA"/>
    <w:rsid w:val="00C35420"/>
    <w:rsid w:val="00C35627"/>
    <w:rsid w:val="00C35A8D"/>
    <w:rsid w:val="00C35DBE"/>
    <w:rsid w:val="00C35DE2"/>
    <w:rsid w:val="00C35E44"/>
    <w:rsid w:val="00C35E7D"/>
    <w:rsid w:val="00C35F14"/>
    <w:rsid w:val="00C36086"/>
    <w:rsid w:val="00C362AC"/>
    <w:rsid w:val="00C362D0"/>
    <w:rsid w:val="00C366BB"/>
    <w:rsid w:val="00C366F2"/>
    <w:rsid w:val="00C3677E"/>
    <w:rsid w:val="00C369B9"/>
    <w:rsid w:val="00C36E24"/>
    <w:rsid w:val="00C36E74"/>
    <w:rsid w:val="00C3708C"/>
    <w:rsid w:val="00C37254"/>
    <w:rsid w:val="00C3726D"/>
    <w:rsid w:val="00C3729B"/>
    <w:rsid w:val="00C3765C"/>
    <w:rsid w:val="00C37E3C"/>
    <w:rsid w:val="00C37F87"/>
    <w:rsid w:val="00C40008"/>
    <w:rsid w:val="00C40155"/>
    <w:rsid w:val="00C402DE"/>
    <w:rsid w:val="00C403CF"/>
    <w:rsid w:val="00C4045B"/>
    <w:rsid w:val="00C40725"/>
    <w:rsid w:val="00C407F4"/>
    <w:rsid w:val="00C40A4B"/>
    <w:rsid w:val="00C40AAB"/>
    <w:rsid w:val="00C40B36"/>
    <w:rsid w:val="00C40BAF"/>
    <w:rsid w:val="00C40D49"/>
    <w:rsid w:val="00C40DB6"/>
    <w:rsid w:val="00C40E9E"/>
    <w:rsid w:val="00C40F04"/>
    <w:rsid w:val="00C40F2B"/>
    <w:rsid w:val="00C412E3"/>
    <w:rsid w:val="00C413AB"/>
    <w:rsid w:val="00C414D6"/>
    <w:rsid w:val="00C41667"/>
    <w:rsid w:val="00C41927"/>
    <w:rsid w:val="00C41AA9"/>
    <w:rsid w:val="00C41B20"/>
    <w:rsid w:val="00C41C04"/>
    <w:rsid w:val="00C41E41"/>
    <w:rsid w:val="00C41EC0"/>
    <w:rsid w:val="00C41EF7"/>
    <w:rsid w:val="00C41FC6"/>
    <w:rsid w:val="00C42164"/>
    <w:rsid w:val="00C4221B"/>
    <w:rsid w:val="00C4284E"/>
    <w:rsid w:val="00C42892"/>
    <w:rsid w:val="00C428AF"/>
    <w:rsid w:val="00C429F1"/>
    <w:rsid w:val="00C42C27"/>
    <w:rsid w:val="00C42EA1"/>
    <w:rsid w:val="00C43115"/>
    <w:rsid w:val="00C43140"/>
    <w:rsid w:val="00C4338D"/>
    <w:rsid w:val="00C433BC"/>
    <w:rsid w:val="00C43880"/>
    <w:rsid w:val="00C43D7F"/>
    <w:rsid w:val="00C43EAE"/>
    <w:rsid w:val="00C43EFC"/>
    <w:rsid w:val="00C43F00"/>
    <w:rsid w:val="00C4422F"/>
    <w:rsid w:val="00C442E4"/>
    <w:rsid w:val="00C445B7"/>
    <w:rsid w:val="00C44D3C"/>
    <w:rsid w:val="00C44FD5"/>
    <w:rsid w:val="00C4527F"/>
    <w:rsid w:val="00C452FB"/>
    <w:rsid w:val="00C45477"/>
    <w:rsid w:val="00C45702"/>
    <w:rsid w:val="00C457F5"/>
    <w:rsid w:val="00C458EE"/>
    <w:rsid w:val="00C45C56"/>
    <w:rsid w:val="00C45CA9"/>
    <w:rsid w:val="00C45D4E"/>
    <w:rsid w:val="00C45DC3"/>
    <w:rsid w:val="00C4637B"/>
    <w:rsid w:val="00C46490"/>
    <w:rsid w:val="00C4649E"/>
    <w:rsid w:val="00C4655A"/>
    <w:rsid w:val="00C465C0"/>
    <w:rsid w:val="00C46603"/>
    <w:rsid w:val="00C467D0"/>
    <w:rsid w:val="00C468B5"/>
    <w:rsid w:val="00C46C57"/>
    <w:rsid w:val="00C46C7F"/>
    <w:rsid w:val="00C46CFF"/>
    <w:rsid w:val="00C46D35"/>
    <w:rsid w:val="00C46E80"/>
    <w:rsid w:val="00C46EC0"/>
    <w:rsid w:val="00C46F34"/>
    <w:rsid w:val="00C47081"/>
    <w:rsid w:val="00C470A0"/>
    <w:rsid w:val="00C47147"/>
    <w:rsid w:val="00C4751A"/>
    <w:rsid w:val="00C47613"/>
    <w:rsid w:val="00C47668"/>
    <w:rsid w:val="00C476B4"/>
    <w:rsid w:val="00C4787C"/>
    <w:rsid w:val="00C479E3"/>
    <w:rsid w:val="00C47F5C"/>
    <w:rsid w:val="00C47FA9"/>
    <w:rsid w:val="00C500BF"/>
    <w:rsid w:val="00C50317"/>
    <w:rsid w:val="00C5048D"/>
    <w:rsid w:val="00C506A3"/>
    <w:rsid w:val="00C5127B"/>
    <w:rsid w:val="00C5174D"/>
    <w:rsid w:val="00C51924"/>
    <w:rsid w:val="00C5192F"/>
    <w:rsid w:val="00C51A1F"/>
    <w:rsid w:val="00C51AB4"/>
    <w:rsid w:val="00C51B75"/>
    <w:rsid w:val="00C51F06"/>
    <w:rsid w:val="00C5205A"/>
    <w:rsid w:val="00C5221C"/>
    <w:rsid w:val="00C52315"/>
    <w:rsid w:val="00C5252C"/>
    <w:rsid w:val="00C529B6"/>
    <w:rsid w:val="00C52A36"/>
    <w:rsid w:val="00C52CBE"/>
    <w:rsid w:val="00C52D20"/>
    <w:rsid w:val="00C52D8F"/>
    <w:rsid w:val="00C52DE7"/>
    <w:rsid w:val="00C5320D"/>
    <w:rsid w:val="00C53304"/>
    <w:rsid w:val="00C536E3"/>
    <w:rsid w:val="00C53700"/>
    <w:rsid w:val="00C53A2B"/>
    <w:rsid w:val="00C53A71"/>
    <w:rsid w:val="00C53D68"/>
    <w:rsid w:val="00C53E4C"/>
    <w:rsid w:val="00C53E5D"/>
    <w:rsid w:val="00C53F59"/>
    <w:rsid w:val="00C53F99"/>
    <w:rsid w:val="00C54108"/>
    <w:rsid w:val="00C54171"/>
    <w:rsid w:val="00C54526"/>
    <w:rsid w:val="00C546B2"/>
    <w:rsid w:val="00C54B8D"/>
    <w:rsid w:val="00C54CBE"/>
    <w:rsid w:val="00C54D24"/>
    <w:rsid w:val="00C54D73"/>
    <w:rsid w:val="00C54D9E"/>
    <w:rsid w:val="00C54E65"/>
    <w:rsid w:val="00C54F0A"/>
    <w:rsid w:val="00C54FA8"/>
    <w:rsid w:val="00C55146"/>
    <w:rsid w:val="00C551BD"/>
    <w:rsid w:val="00C552A6"/>
    <w:rsid w:val="00C554BB"/>
    <w:rsid w:val="00C55725"/>
    <w:rsid w:val="00C557C3"/>
    <w:rsid w:val="00C55E09"/>
    <w:rsid w:val="00C55F42"/>
    <w:rsid w:val="00C562E6"/>
    <w:rsid w:val="00C5637D"/>
    <w:rsid w:val="00C563C2"/>
    <w:rsid w:val="00C563DB"/>
    <w:rsid w:val="00C564B5"/>
    <w:rsid w:val="00C56616"/>
    <w:rsid w:val="00C567DA"/>
    <w:rsid w:val="00C569D2"/>
    <w:rsid w:val="00C56AA7"/>
    <w:rsid w:val="00C56B76"/>
    <w:rsid w:val="00C56BF4"/>
    <w:rsid w:val="00C56EBF"/>
    <w:rsid w:val="00C56EEB"/>
    <w:rsid w:val="00C5725A"/>
    <w:rsid w:val="00C5741F"/>
    <w:rsid w:val="00C57506"/>
    <w:rsid w:val="00C57A35"/>
    <w:rsid w:val="00C57A92"/>
    <w:rsid w:val="00C57B64"/>
    <w:rsid w:val="00C601CA"/>
    <w:rsid w:val="00C60250"/>
    <w:rsid w:val="00C603E2"/>
    <w:rsid w:val="00C608BA"/>
    <w:rsid w:val="00C60CCF"/>
    <w:rsid w:val="00C60D61"/>
    <w:rsid w:val="00C60DB1"/>
    <w:rsid w:val="00C60F5F"/>
    <w:rsid w:val="00C61091"/>
    <w:rsid w:val="00C61363"/>
    <w:rsid w:val="00C61537"/>
    <w:rsid w:val="00C61555"/>
    <w:rsid w:val="00C61725"/>
    <w:rsid w:val="00C61862"/>
    <w:rsid w:val="00C619AE"/>
    <w:rsid w:val="00C619C3"/>
    <w:rsid w:val="00C619E7"/>
    <w:rsid w:val="00C62070"/>
    <w:rsid w:val="00C62168"/>
    <w:rsid w:val="00C62207"/>
    <w:rsid w:val="00C624F8"/>
    <w:rsid w:val="00C62656"/>
    <w:rsid w:val="00C628A8"/>
    <w:rsid w:val="00C628BB"/>
    <w:rsid w:val="00C62C33"/>
    <w:rsid w:val="00C62C4E"/>
    <w:rsid w:val="00C62C71"/>
    <w:rsid w:val="00C62E15"/>
    <w:rsid w:val="00C62E42"/>
    <w:rsid w:val="00C63609"/>
    <w:rsid w:val="00C63C10"/>
    <w:rsid w:val="00C63C99"/>
    <w:rsid w:val="00C63D46"/>
    <w:rsid w:val="00C63FDA"/>
    <w:rsid w:val="00C6401E"/>
    <w:rsid w:val="00C64261"/>
    <w:rsid w:val="00C64307"/>
    <w:rsid w:val="00C64308"/>
    <w:rsid w:val="00C64326"/>
    <w:rsid w:val="00C6449F"/>
    <w:rsid w:val="00C64890"/>
    <w:rsid w:val="00C64A6C"/>
    <w:rsid w:val="00C64AA2"/>
    <w:rsid w:val="00C64AC6"/>
    <w:rsid w:val="00C64E15"/>
    <w:rsid w:val="00C64E22"/>
    <w:rsid w:val="00C64F37"/>
    <w:rsid w:val="00C65255"/>
    <w:rsid w:val="00C65270"/>
    <w:rsid w:val="00C65466"/>
    <w:rsid w:val="00C65664"/>
    <w:rsid w:val="00C6591A"/>
    <w:rsid w:val="00C659DC"/>
    <w:rsid w:val="00C65AE3"/>
    <w:rsid w:val="00C65AF0"/>
    <w:rsid w:val="00C65D15"/>
    <w:rsid w:val="00C65D57"/>
    <w:rsid w:val="00C65E18"/>
    <w:rsid w:val="00C65E80"/>
    <w:rsid w:val="00C65EF6"/>
    <w:rsid w:val="00C6638D"/>
    <w:rsid w:val="00C6643D"/>
    <w:rsid w:val="00C667AB"/>
    <w:rsid w:val="00C66D65"/>
    <w:rsid w:val="00C672DC"/>
    <w:rsid w:val="00C673FA"/>
    <w:rsid w:val="00C6774C"/>
    <w:rsid w:val="00C6796E"/>
    <w:rsid w:val="00C67FF9"/>
    <w:rsid w:val="00C701DC"/>
    <w:rsid w:val="00C70244"/>
    <w:rsid w:val="00C70361"/>
    <w:rsid w:val="00C70C6C"/>
    <w:rsid w:val="00C70C7E"/>
    <w:rsid w:val="00C70E78"/>
    <w:rsid w:val="00C71021"/>
    <w:rsid w:val="00C7106F"/>
    <w:rsid w:val="00C710F5"/>
    <w:rsid w:val="00C71416"/>
    <w:rsid w:val="00C71698"/>
    <w:rsid w:val="00C71764"/>
    <w:rsid w:val="00C7189E"/>
    <w:rsid w:val="00C71983"/>
    <w:rsid w:val="00C719CF"/>
    <w:rsid w:val="00C71ACF"/>
    <w:rsid w:val="00C71DBD"/>
    <w:rsid w:val="00C722A2"/>
    <w:rsid w:val="00C72499"/>
    <w:rsid w:val="00C729A2"/>
    <w:rsid w:val="00C72A64"/>
    <w:rsid w:val="00C72B65"/>
    <w:rsid w:val="00C72F2E"/>
    <w:rsid w:val="00C72F85"/>
    <w:rsid w:val="00C730AF"/>
    <w:rsid w:val="00C73176"/>
    <w:rsid w:val="00C7321F"/>
    <w:rsid w:val="00C73222"/>
    <w:rsid w:val="00C73236"/>
    <w:rsid w:val="00C73450"/>
    <w:rsid w:val="00C73456"/>
    <w:rsid w:val="00C73911"/>
    <w:rsid w:val="00C73AD8"/>
    <w:rsid w:val="00C73AE6"/>
    <w:rsid w:val="00C73B27"/>
    <w:rsid w:val="00C73C31"/>
    <w:rsid w:val="00C73E1A"/>
    <w:rsid w:val="00C74257"/>
    <w:rsid w:val="00C743EA"/>
    <w:rsid w:val="00C74CBA"/>
    <w:rsid w:val="00C74FF6"/>
    <w:rsid w:val="00C75194"/>
    <w:rsid w:val="00C75615"/>
    <w:rsid w:val="00C75CF6"/>
    <w:rsid w:val="00C75E75"/>
    <w:rsid w:val="00C75ECF"/>
    <w:rsid w:val="00C7604A"/>
    <w:rsid w:val="00C76097"/>
    <w:rsid w:val="00C763CB"/>
    <w:rsid w:val="00C766B9"/>
    <w:rsid w:val="00C766E5"/>
    <w:rsid w:val="00C767A4"/>
    <w:rsid w:val="00C767A5"/>
    <w:rsid w:val="00C767CA"/>
    <w:rsid w:val="00C7685F"/>
    <w:rsid w:val="00C76CC4"/>
    <w:rsid w:val="00C76D1C"/>
    <w:rsid w:val="00C76F5F"/>
    <w:rsid w:val="00C77001"/>
    <w:rsid w:val="00C77073"/>
    <w:rsid w:val="00C773B8"/>
    <w:rsid w:val="00C776DE"/>
    <w:rsid w:val="00C77B0D"/>
    <w:rsid w:val="00C77B19"/>
    <w:rsid w:val="00C77EA3"/>
    <w:rsid w:val="00C801BB"/>
    <w:rsid w:val="00C80286"/>
    <w:rsid w:val="00C80512"/>
    <w:rsid w:val="00C805F3"/>
    <w:rsid w:val="00C80771"/>
    <w:rsid w:val="00C809D1"/>
    <w:rsid w:val="00C80A8C"/>
    <w:rsid w:val="00C81407"/>
    <w:rsid w:val="00C81534"/>
    <w:rsid w:val="00C8161A"/>
    <w:rsid w:val="00C8168D"/>
    <w:rsid w:val="00C8175E"/>
    <w:rsid w:val="00C81B33"/>
    <w:rsid w:val="00C81F61"/>
    <w:rsid w:val="00C82009"/>
    <w:rsid w:val="00C821BE"/>
    <w:rsid w:val="00C821ED"/>
    <w:rsid w:val="00C8230D"/>
    <w:rsid w:val="00C823BB"/>
    <w:rsid w:val="00C82619"/>
    <w:rsid w:val="00C82779"/>
    <w:rsid w:val="00C82898"/>
    <w:rsid w:val="00C828E5"/>
    <w:rsid w:val="00C82CAC"/>
    <w:rsid w:val="00C82D12"/>
    <w:rsid w:val="00C82EC9"/>
    <w:rsid w:val="00C82FEC"/>
    <w:rsid w:val="00C832B8"/>
    <w:rsid w:val="00C83301"/>
    <w:rsid w:val="00C83365"/>
    <w:rsid w:val="00C833BB"/>
    <w:rsid w:val="00C83583"/>
    <w:rsid w:val="00C83622"/>
    <w:rsid w:val="00C839F3"/>
    <w:rsid w:val="00C83B5C"/>
    <w:rsid w:val="00C83FD6"/>
    <w:rsid w:val="00C84214"/>
    <w:rsid w:val="00C844CE"/>
    <w:rsid w:val="00C84A36"/>
    <w:rsid w:val="00C84C6E"/>
    <w:rsid w:val="00C84C89"/>
    <w:rsid w:val="00C84D2C"/>
    <w:rsid w:val="00C85081"/>
    <w:rsid w:val="00C85462"/>
    <w:rsid w:val="00C857D7"/>
    <w:rsid w:val="00C85E37"/>
    <w:rsid w:val="00C8661F"/>
    <w:rsid w:val="00C8698E"/>
    <w:rsid w:val="00C86A9D"/>
    <w:rsid w:val="00C86B15"/>
    <w:rsid w:val="00C86ED5"/>
    <w:rsid w:val="00C86F29"/>
    <w:rsid w:val="00C86F89"/>
    <w:rsid w:val="00C870F6"/>
    <w:rsid w:val="00C8771D"/>
    <w:rsid w:val="00C87881"/>
    <w:rsid w:val="00C8790B"/>
    <w:rsid w:val="00C87AE2"/>
    <w:rsid w:val="00C87CC1"/>
    <w:rsid w:val="00C87EB0"/>
    <w:rsid w:val="00C903E5"/>
    <w:rsid w:val="00C904CB"/>
    <w:rsid w:val="00C9061A"/>
    <w:rsid w:val="00C908DF"/>
    <w:rsid w:val="00C90A29"/>
    <w:rsid w:val="00C90AB6"/>
    <w:rsid w:val="00C90B3F"/>
    <w:rsid w:val="00C90C04"/>
    <w:rsid w:val="00C90C1D"/>
    <w:rsid w:val="00C90D24"/>
    <w:rsid w:val="00C90E31"/>
    <w:rsid w:val="00C90E78"/>
    <w:rsid w:val="00C90EB8"/>
    <w:rsid w:val="00C9118E"/>
    <w:rsid w:val="00C91192"/>
    <w:rsid w:val="00C91412"/>
    <w:rsid w:val="00C9156A"/>
    <w:rsid w:val="00C917A7"/>
    <w:rsid w:val="00C91A98"/>
    <w:rsid w:val="00C91B4C"/>
    <w:rsid w:val="00C91C23"/>
    <w:rsid w:val="00C9254C"/>
    <w:rsid w:val="00C92836"/>
    <w:rsid w:val="00C9287B"/>
    <w:rsid w:val="00C928C3"/>
    <w:rsid w:val="00C92DCE"/>
    <w:rsid w:val="00C92E09"/>
    <w:rsid w:val="00C9315C"/>
    <w:rsid w:val="00C93568"/>
    <w:rsid w:val="00C935A1"/>
    <w:rsid w:val="00C9362C"/>
    <w:rsid w:val="00C93837"/>
    <w:rsid w:val="00C93F9E"/>
    <w:rsid w:val="00C945BF"/>
    <w:rsid w:val="00C9463F"/>
    <w:rsid w:val="00C946E1"/>
    <w:rsid w:val="00C949C1"/>
    <w:rsid w:val="00C95110"/>
    <w:rsid w:val="00C9522F"/>
    <w:rsid w:val="00C95277"/>
    <w:rsid w:val="00C95347"/>
    <w:rsid w:val="00C95590"/>
    <w:rsid w:val="00C95F5E"/>
    <w:rsid w:val="00C95FDF"/>
    <w:rsid w:val="00C96250"/>
    <w:rsid w:val="00C9648C"/>
    <w:rsid w:val="00C968E6"/>
    <w:rsid w:val="00C969D7"/>
    <w:rsid w:val="00C96B06"/>
    <w:rsid w:val="00C96B45"/>
    <w:rsid w:val="00C96BE4"/>
    <w:rsid w:val="00C96C17"/>
    <w:rsid w:val="00C96C21"/>
    <w:rsid w:val="00C96DBC"/>
    <w:rsid w:val="00C96F0D"/>
    <w:rsid w:val="00C97618"/>
    <w:rsid w:val="00C97ACF"/>
    <w:rsid w:val="00C97D5C"/>
    <w:rsid w:val="00C97E56"/>
    <w:rsid w:val="00C97FC0"/>
    <w:rsid w:val="00CA0425"/>
    <w:rsid w:val="00CA04D1"/>
    <w:rsid w:val="00CA0E97"/>
    <w:rsid w:val="00CA0F87"/>
    <w:rsid w:val="00CA1056"/>
    <w:rsid w:val="00CA1445"/>
    <w:rsid w:val="00CA1745"/>
    <w:rsid w:val="00CA1896"/>
    <w:rsid w:val="00CA1A8A"/>
    <w:rsid w:val="00CA1BC9"/>
    <w:rsid w:val="00CA1CFE"/>
    <w:rsid w:val="00CA2717"/>
    <w:rsid w:val="00CA2730"/>
    <w:rsid w:val="00CA28CC"/>
    <w:rsid w:val="00CA29FD"/>
    <w:rsid w:val="00CA30C4"/>
    <w:rsid w:val="00CA35B7"/>
    <w:rsid w:val="00CA3824"/>
    <w:rsid w:val="00CA3CB7"/>
    <w:rsid w:val="00CA3D89"/>
    <w:rsid w:val="00CA3F62"/>
    <w:rsid w:val="00CA44B9"/>
    <w:rsid w:val="00CA4500"/>
    <w:rsid w:val="00CA4557"/>
    <w:rsid w:val="00CA4647"/>
    <w:rsid w:val="00CA482D"/>
    <w:rsid w:val="00CA4A0E"/>
    <w:rsid w:val="00CA4BB2"/>
    <w:rsid w:val="00CA5087"/>
    <w:rsid w:val="00CA50B7"/>
    <w:rsid w:val="00CA5204"/>
    <w:rsid w:val="00CA56ED"/>
    <w:rsid w:val="00CA58CA"/>
    <w:rsid w:val="00CA5B5E"/>
    <w:rsid w:val="00CA5BF2"/>
    <w:rsid w:val="00CA5C06"/>
    <w:rsid w:val="00CA5E68"/>
    <w:rsid w:val="00CA5FFD"/>
    <w:rsid w:val="00CA600E"/>
    <w:rsid w:val="00CA6816"/>
    <w:rsid w:val="00CA689F"/>
    <w:rsid w:val="00CA69C3"/>
    <w:rsid w:val="00CA6B9C"/>
    <w:rsid w:val="00CA6C26"/>
    <w:rsid w:val="00CA6DC6"/>
    <w:rsid w:val="00CA6FB6"/>
    <w:rsid w:val="00CA71A5"/>
    <w:rsid w:val="00CA7255"/>
    <w:rsid w:val="00CA7815"/>
    <w:rsid w:val="00CA7827"/>
    <w:rsid w:val="00CA783E"/>
    <w:rsid w:val="00CA7C95"/>
    <w:rsid w:val="00CA7F5D"/>
    <w:rsid w:val="00CB047A"/>
    <w:rsid w:val="00CB0789"/>
    <w:rsid w:val="00CB0927"/>
    <w:rsid w:val="00CB0C0E"/>
    <w:rsid w:val="00CB0CFD"/>
    <w:rsid w:val="00CB0EE2"/>
    <w:rsid w:val="00CB0EFB"/>
    <w:rsid w:val="00CB0FEF"/>
    <w:rsid w:val="00CB11CD"/>
    <w:rsid w:val="00CB12D3"/>
    <w:rsid w:val="00CB12EE"/>
    <w:rsid w:val="00CB1322"/>
    <w:rsid w:val="00CB13F6"/>
    <w:rsid w:val="00CB1673"/>
    <w:rsid w:val="00CB16F4"/>
    <w:rsid w:val="00CB1726"/>
    <w:rsid w:val="00CB1B40"/>
    <w:rsid w:val="00CB1C82"/>
    <w:rsid w:val="00CB20CF"/>
    <w:rsid w:val="00CB22AA"/>
    <w:rsid w:val="00CB2499"/>
    <w:rsid w:val="00CB258A"/>
    <w:rsid w:val="00CB2634"/>
    <w:rsid w:val="00CB2947"/>
    <w:rsid w:val="00CB2D17"/>
    <w:rsid w:val="00CB2DBA"/>
    <w:rsid w:val="00CB2FD8"/>
    <w:rsid w:val="00CB32ED"/>
    <w:rsid w:val="00CB3881"/>
    <w:rsid w:val="00CB3B76"/>
    <w:rsid w:val="00CB3BD7"/>
    <w:rsid w:val="00CB3F6C"/>
    <w:rsid w:val="00CB3F95"/>
    <w:rsid w:val="00CB4A69"/>
    <w:rsid w:val="00CB4FC1"/>
    <w:rsid w:val="00CB5494"/>
    <w:rsid w:val="00CB54FB"/>
    <w:rsid w:val="00CB5562"/>
    <w:rsid w:val="00CB5577"/>
    <w:rsid w:val="00CB5781"/>
    <w:rsid w:val="00CB5795"/>
    <w:rsid w:val="00CB5843"/>
    <w:rsid w:val="00CB5AF9"/>
    <w:rsid w:val="00CB5DF0"/>
    <w:rsid w:val="00CB5EEC"/>
    <w:rsid w:val="00CB5F8D"/>
    <w:rsid w:val="00CB622F"/>
    <w:rsid w:val="00CB630C"/>
    <w:rsid w:val="00CB6476"/>
    <w:rsid w:val="00CB6895"/>
    <w:rsid w:val="00CB6910"/>
    <w:rsid w:val="00CB6952"/>
    <w:rsid w:val="00CB69A9"/>
    <w:rsid w:val="00CB6A70"/>
    <w:rsid w:val="00CB6FDD"/>
    <w:rsid w:val="00CB7130"/>
    <w:rsid w:val="00CB733E"/>
    <w:rsid w:val="00CB739A"/>
    <w:rsid w:val="00CB748C"/>
    <w:rsid w:val="00CB759B"/>
    <w:rsid w:val="00CB784E"/>
    <w:rsid w:val="00CB7C10"/>
    <w:rsid w:val="00CB7CB6"/>
    <w:rsid w:val="00CC024E"/>
    <w:rsid w:val="00CC02F5"/>
    <w:rsid w:val="00CC0ED4"/>
    <w:rsid w:val="00CC0F29"/>
    <w:rsid w:val="00CC10E4"/>
    <w:rsid w:val="00CC1285"/>
    <w:rsid w:val="00CC1341"/>
    <w:rsid w:val="00CC13AE"/>
    <w:rsid w:val="00CC1410"/>
    <w:rsid w:val="00CC151B"/>
    <w:rsid w:val="00CC1848"/>
    <w:rsid w:val="00CC19AA"/>
    <w:rsid w:val="00CC19BA"/>
    <w:rsid w:val="00CC1AB2"/>
    <w:rsid w:val="00CC1AEC"/>
    <w:rsid w:val="00CC1B7B"/>
    <w:rsid w:val="00CC1B92"/>
    <w:rsid w:val="00CC1BAD"/>
    <w:rsid w:val="00CC1C90"/>
    <w:rsid w:val="00CC1E8C"/>
    <w:rsid w:val="00CC20FA"/>
    <w:rsid w:val="00CC2666"/>
    <w:rsid w:val="00CC2BB9"/>
    <w:rsid w:val="00CC3130"/>
    <w:rsid w:val="00CC3242"/>
    <w:rsid w:val="00CC3378"/>
    <w:rsid w:val="00CC345B"/>
    <w:rsid w:val="00CC34C2"/>
    <w:rsid w:val="00CC3502"/>
    <w:rsid w:val="00CC3615"/>
    <w:rsid w:val="00CC3857"/>
    <w:rsid w:val="00CC3949"/>
    <w:rsid w:val="00CC3A68"/>
    <w:rsid w:val="00CC3B5C"/>
    <w:rsid w:val="00CC3C3E"/>
    <w:rsid w:val="00CC3E12"/>
    <w:rsid w:val="00CC40F0"/>
    <w:rsid w:val="00CC4195"/>
    <w:rsid w:val="00CC42EE"/>
    <w:rsid w:val="00CC436C"/>
    <w:rsid w:val="00CC4779"/>
    <w:rsid w:val="00CC4827"/>
    <w:rsid w:val="00CC497A"/>
    <w:rsid w:val="00CC4981"/>
    <w:rsid w:val="00CC4AEC"/>
    <w:rsid w:val="00CC4B4C"/>
    <w:rsid w:val="00CC4BB6"/>
    <w:rsid w:val="00CC4FC5"/>
    <w:rsid w:val="00CC5054"/>
    <w:rsid w:val="00CC522C"/>
    <w:rsid w:val="00CC53CE"/>
    <w:rsid w:val="00CC53F2"/>
    <w:rsid w:val="00CC5639"/>
    <w:rsid w:val="00CC5659"/>
    <w:rsid w:val="00CC5695"/>
    <w:rsid w:val="00CC588B"/>
    <w:rsid w:val="00CC5E35"/>
    <w:rsid w:val="00CC6026"/>
    <w:rsid w:val="00CC60B3"/>
    <w:rsid w:val="00CC6104"/>
    <w:rsid w:val="00CC6337"/>
    <w:rsid w:val="00CC6639"/>
    <w:rsid w:val="00CC6C01"/>
    <w:rsid w:val="00CC6C78"/>
    <w:rsid w:val="00CC6D5C"/>
    <w:rsid w:val="00CC6FA2"/>
    <w:rsid w:val="00CC700C"/>
    <w:rsid w:val="00CC736C"/>
    <w:rsid w:val="00CC74DB"/>
    <w:rsid w:val="00CC74DC"/>
    <w:rsid w:val="00CC7570"/>
    <w:rsid w:val="00CC75E2"/>
    <w:rsid w:val="00CC7763"/>
    <w:rsid w:val="00CC7D4A"/>
    <w:rsid w:val="00CC7D84"/>
    <w:rsid w:val="00CD0091"/>
    <w:rsid w:val="00CD0177"/>
    <w:rsid w:val="00CD0258"/>
    <w:rsid w:val="00CD0327"/>
    <w:rsid w:val="00CD0629"/>
    <w:rsid w:val="00CD06EA"/>
    <w:rsid w:val="00CD095A"/>
    <w:rsid w:val="00CD0C21"/>
    <w:rsid w:val="00CD0C48"/>
    <w:rsid w:val="00CD0C94"/>
    <w:rsid w:val="00CD0D9F"/>
    <w:rsid w:val="00CD10D5"/>
    <w:rsid w:val="00CD1402"/>
    <w:rsid w:val="00CD1537"/>
    <w:rsid w:val="00CD165A"/>
    <w:rsid w:val="00CD16BA"/>
    <w:rsid w:val="00CD16E5"/>
    <w:rsid w:val="00CD1828"/>
    <w:rsid w:val="00CD1AAB"/>
    <w:rsid w:val="00CD1C86"/>
    <w:rsid w:val="00CD1E07"/>
    <w:rsid w:val="00CD24CE"/>
    <w:rsid w:val="00CD2549"/>
    <w:rsid w:val="00CD2558"/>
    <w:rsid w:val="00CD2588"/>
    <w:rsid w:val="00CD2788"/>
    <w:rsid w:val="00CD2BF8"/>
    <w:rsid w:val="00CD2C52"/>
    <w:rsid w:val="00CD2E91"/>
    <w:rsid w:val="00CD331A"/>
    <w:rsid w:val="00CD354A"/>
    <w:rsid w:val="00CD35A7"/>
    <w:rsid w:val="00CD361E"/>
    <w:rsid w:val="00CD36EC"/>
    <w:rsid w:val="00CD3890"/>
    <w:rsid w:val="00CD3BE5"/>
    <w:rsid w:val="00CD3D78"/>
    <w:rsid w:val="00CD3F0B"/>
    <w:rsid w:val="00CD43B4"/>
    <w:rsid w:val="00CD44DC"/>
    <w:rsid w:val="00CD473B"/>
    <w:rsid w:val="00CD48E5"/>
    <w:rsid w:val="00CD4A9C"/>
    <w:rsid w:val="00CD4B12"/>
    <w:rsid w:val="00CD4B73"/>
    <w:rsid w:val="00CD4BF2"/>
    <w:rsid w:val="00CD4C5F"/>
    <w:rsid w:val="00CD4EDA"/>
    <w:rsid w:val="00CD4EDD"/>
    <w:rsid w:val="00CD4F3F"/>
    <w:rsid w:val="00CD5783"/>
    <w:rsid w:val="00CD581E"/>
    <w:rsid w:val="00CD58DB"/>
    <w:rsid w:val="00CD5976"/>
    <w:rsid w:val="00CD59C5"/>
    <w:rsid w:val="00CD59EB"/>
    <w:rsid w:val="00CD5A98"/>
    <w:rsid w:val="00CD5BDC"/>
    <w:rsid w:val="00CD5DC8"/>
    <w:rsid w:val="00CD5F22"/>
    <w:rsid w:val="00CD60BF"/>
    <w:rsid w:val="00CD611B"/>
    <w:rsid w:val="00CD64E3"/>
    <w:rsid w:val="00CD69EC"/>
    <w:rsid w:val="00CD6A75"/>
    <w:rsid w:val="00CD6AD5"/>
    <w:rsid w:val="00CD6B47"/>
    <w:rsid w:val="00CD6DE2"/>
    <w:rsid w:val="00CD7527"/>
    <w:rsid w:val="00CD7595"/>
    <w:rsid w:val="00CD7830"/>
    <w:rsid w:val="00CD7916"/>
    <w:rsid w:val="00CD7E0A"/>
    <w:rsid w:val="00CD7E4D"/>
    <w:rsid w:val="00CE0015"/>
    <w:rsid w:val="00CE0549"/>
    <w:rsid w:val="00CE05C9"/>
    <w:rsid w:val="00CE0DA2"/>
    <w:rsid w:val="00CE0FD4"/>
    <w:rsid w:val="00CE112C"/>
    <w:rsid w:val="00CE120C"/>
    <w:rsid w:val="00CE1226"/>
    <w:rsid w:val="00CE130E"/>
    <w:rsid w:val="00CE1367"/>
    <w:rsid w:val="00CE1414"/>
    <w:rsid w:val="00CE142A"/>
    <w:rsid w:val="00CE144D"/>
    <w:rsid w:val="00CE14BE"/>
    <w:rsid w:val="00CE1B0E"/>
    <w:rsid w:val="00CE1BEC"/>
    <w:rsid w:val="00CE1CC1"/>
    <w:rsid w:val="00CE1CE3"/>
    <w:rsid w:val="00CE1D4C"/>
    <w:rsid w:val="00CE1D58"/>
    <w:rsid w:val="00CE1E80"/>
    <w:rsid w:val="00CE1EC2"/>
    <w:rsid w:val="00CE1F96"/>
    <w:rsid w:val="00CE236F"/>
    <w:rsid w:val="00CE253B"/>
    <w:rsid w:val="00CE2581"/>
    <w:rsid w:val="00CE25FC"/>
    <w:rsid w:val="00CE27EF"/>
    <w:rsid w:val="00CE2AFE"/>
    <w:rsid w:val="00CE326A"/>
    <w:rsid w:val="00CE35F8"/>
    <w:rsid w:val="00CE387E"/>
    <w:rsid w:val="00CE3967"/>
    <w:rsid w:val="00CE39D1"/>
    <w:rsid w:val="00CE3AD0"/>
    <w:rsid w:val="00CE423F"/>
    <w:rsid w:val="00CE4265"/>
    <w:rsid w:val="00CE42E4"/>
    <w:rsid w:val="00CE4602"/>
    <w:rsid w:val="00CE48AF"/>
    <w:rsid w:val="00CE4C1E"/>
    <w:rsid w:val="00CE4CFD"/>
    <w:rsid w:val="00CE4EE0"/>
    <w:rsid w:val="00CE521F"/>
    <w:rsid w:val="00CE5234"/>
    <w:rsid w:val="00CE540A"/>
    <w:rsid w:val="00CE5A81"/>
    <w:rsid w:val="00CE5B94"/>
    <w:rsid w:val="00CE5D37"/>
    <w:rsid w:val="00CE5D76"/>
    <w:rsid w:val="00CE6542"/>
    <w:rsid w:val="00CE65BC"/>
    <w:rsid w:val="00CE65DA"/>
    <w:rsid w:val="00CE66E9"/>
    <w:rsid w:val="00CE6846"/>
    <w:rsid w:val="00CE6865"/>
    <w:rsid w:val="00CE6AE2"/>
    <w:rsid w:val="00CE6DA7"/>
    <w:rsid w:val="00CE6ECD"/>
    <w:rsid w:val="00CE70E2"/>
    <w:rsid w:val="00CE7110"/>
    <w:rsid w:val="00CE71A0"/>
    <w:rsid w:val="00CE71B1"/>
    <w:rsid w:val="00CE76A1"/>
    <w:rsid w:val="00CE789D"/>
    <w:rsid w:val="00CE7C32"/>
    <w:rsid w:val="00CE7C52"/>
    <w:rsid w:val="00CF001D"/>
    <w:rsid w:val="00CF0452"/>
    <w:rsid w:val="00CF0493"/>
    <w:rsid w:val="00CF053D"/>
    <w:rsid w:val="00CF0874"/>
    <w:rsid w:val="00CF0898"/>
    <w:rsid w:val="00CF092A"/>
    <w:rsid w:val="00CF0A71"/>
    <w:rsid w:val="00CF0CCA"/>
    <w:rsid w:val="00CF0DEB"/>
    <w:rsid w:val="00CF0EFA"/>
    <w:rsid w:val="00CF0F69"/>
    <w:rsid w:val="00CF10C6"/>
    <w:rsid w:val="00CF110A"/>
    <w:rsid w:val="00CF110F"/>
    <w:rsid w:val="00CF129D"/>
    <w:rsid w:val="00CF12D0"/>
    <w:rsid w:val="00CF1847"/>
    <w:rsid w:val="00CF1B00"/>
    <w:rsid w:val="00CF1DB9"/>
    <w:rsid w:val="00CF2020"/>
    <w:rsid w:val="00CF20B4"/>
    <w:rsid w:val="00CF211B"/>
    <w:rsid w:val="00CF2176"/>
    <w:rsid w:val="00CF2353"/>
    <w:rsid w:val="00CF248C"/>
    <w:rsid w:val="00CF260A"/>
    <w:rsid w:val="00CF2B5F"/>
    <w:rsid w:val="00CF2BDC"/>
    <w:rsid w:val="00CF2F44"/>
    <w:rsid w:val="00CF2FD2"/>
    <w:rsid w:val="00CF3043"/>
    <w:rsid w:val="00CF3A20"/>
    <w:rsid w:val="00CF3B8F"/>
    <w:rsid w:val="00CF3C0B"/>
    <w:rsid w:val="00CF3CA6"/>
    <w:rsid w:val="00CF3D98"/>
    <w:rsid w:val="00CF402E"/>
    <w:rsid w:val="00CF40D0"/>
    <w:rsid w:val="00CF41B6"/>
    <w:rsid w:val="00CF4248"/>
    <w:rsid w:val="00CF4542"/>
    <w:rsid w:val="00CF4679"/>
    <w:rsid w:val="00CF47E4"/>
    <w:rsid w:val="00CF4841"/>
    <w:rsid w:val="00CF48BF"/>
    <w:rsid w:val="00CF4B16"/>
    <w:rsid w:val="00CF4C00"/>
    <w:rsid w:val="00CF4D1F"/>
    <w:rsid w:val="00CF521B"/>
    <w:rsid w:val="00CF52BD"/>
    <w:rsid w:val="00CF5566"/>
    <w:rsid w:val="00CF5733"/>
    <w:rsid w:val="00CF57FF"/>
    <w:rsid w:val="00CF61BA"/>
    <w:rsid w:val="00CF64C7"/>
    <w:rsid w:val="00CF65C3"/>
    <w:rsid w:val="00CF65F3"/>
    <w:rsid w:val="00CF67A7"/>
    <w:rsid w:val="00CF6BA4"/>
    <w:rsid w:val="00CF6FAB"/>
    <w:rsid w:val="00CF7420"/>
    <w:rsid w:val="00CF748B"/>
    <w:rsid w:val="00CF76EA"/>
    <w:rsid w:val="00CF776B"/>
    <w:rsid w:val="00CF799E"/>
    <w:rsid w:val="00CF7A63"/>
    <w:rsid w:val="00CF7CC5"/>
    <w:rsid w:val="00CF7D68"/>
    <w:rsid w:val="00CF7DEE"/>
    <w:rsid w:val="00CF7E63"/>
    <w:rsid w:val="00D00371"/>
    <w:rsid w:val="00D0068A"/>
    <w:rsid w:val="00D00753"/>
    <w:rsid w:val="00D007F1"/>
    <w:rsid w:val="00D00875"/>
    <w:rsid w:val="00D008F8"/>
    <w:rsid w:val="00D00980"/>
    <w:rsid w:val="00D00DD1"/>
    <w:rsid w:val="00D010F7"/>
    <w:rsid w:val="00D0151D"/>
    <w:rsid w:val="00D016FB"/>
    <w:rsid w:val="00D01B47"/>
    <w:rsid w:val="00D01D4B"/>
    <w:rsid w:val="00D02019"/>
    <w:rsid w:val="00D02035"/>
    <w:rsid w:val="00D02461"/>
    <w:rsid w:val="00D02620"/>
    <w:rsid w:val="00D02676"/>
    <w:rsid w:val="00D02686"/>
    <w:rsid w:val="00D02710"/>
    <w:rsid w:val="00D02861"/>
    <w:rsid w:val="00D02900"/>
    <w:rsid w:val="00D02F82"/>
    <w:rsid w:val="00D03082"/>
    <w:rsid w:val="00D031B6"/>
    <w:rsid w:val="00D0320F"/>
    <w:rsid w:val="00D03A81"/>
    <w:rsid w:val="00D03EDE"/>
    <w:rsid w:val="00D03F22"/>
    <w:rsid w:val="00D03F39"/>
    <w:rsid w:val="00D03F7E"/>
    <w:rsid w:val="00D04224"/>
    <w:rsid w:val="00D0485C"/>
    <w:rsid w:val="00D0488F"/>
    <w:rsid w:val="00D048ED"/>
    <w:rsid w:val="00D04A04"/>
    <w:rsid w:val="00D04C41"/>
    <w:rsid w:val="00D04CEA"/>
    <w:rsid w:val="00D04F4C"/>
    <w:rsid w:val="00D05408"/>
    <w:rsid w:val="00D054D7"/>
    <w:rsid w:val="00D05652"/>
    <w:rsid w:val="00D05BB6"/>
    <w:rsid w:val="00D05E29"/>
    <w:rsid w:val="00D05FF6"/>
    <w:rsid w:val="00D0600D"/>
    <w:rsid w:val="00D061EB"/>
    <w:rsid w:val="00D0624B"/>
    <w:rsid w:val="00D06425"/>
    <w:rsid w:val="00D06526"/>
    <w:rsid w:val="00D067D4"/>
    <w:rsid w:val="00D06A82"/>
    <w:rsid w:val="00D06EE1"/>
    <w:rsid w:val="00D06F57"/>
    <w:rsid w:val="00D06F7D"/>
    <w:rsid w:val="00D07319"/>
    <w:rsid w:val="00D07333"/>
    <w:rsid w:val="00D0746A"/>
    <w:rsid w:val="00D076B7"/>
    <w:rsid w:val="00D07CAC"/>
    <w:rsid w:val="00D1005D"/>
    <w:rsid w:val="00D107A8"/>
    <w:rsid w:val="00D10858"/>
    <w:rsid w:val="00D10B7F"/>
    <w:rsid w:val="00D10FAA"/>
    <w:rsid w:val="00D10FBD"/>
    <w:rsid w:val="00D113F9"/>
    <w:rsid w:val="00D113FF"/>
    <w:rsid w:val="00D11457"/>
    <w:rsid w:val="00D119BB"/>
    <w:rsid w:val="00D119F2"/>
    <w:rsid w:val="00D11A19"/>
    <w:rsid w:val="00D11DCE"/>
    <w:rsid w:val="00D11DF2"/>
    <w:rsid w:val="00D121E6"/>
    <w:rsid w:val="00D12540"/>
    <w:rsid w:val="00D1273B"/>
    <w:rsid w:val="00D12A25"/>
    <w:rsid w:val="00D12EA2"/>
    <w:rsid w:val="00D130BB"/>
    <w:rsid w:val="00D1360D"/>
    <w:rsid w:val="00D137E1"/>
    <w:rsid w:val="00D13825"/>
    <w:rsid w:val="00D13A97"/>
    <w:rsid w:val="00D13B38"/>
    <w:rsid w:val="00D13BC8"/>
    <w:rsid w:val="00D14048"/>
    <w:rsid w:val="00D14052"/>
    <w:rsid w:val="00D1410E"/>
    <w:rsid w:val="00D14123"/>
    <w:rsid w:val="00D1432C"/>
    <w:rsid w:val="00D14BFA"/>
    <w:rsid w:val="00D15198"/>
    <w:rsid w:val="00D1524D"/>
    <w:rsid w:val="00D15431"/>
    <w:rsid w:val="00D155F4"/>
    <w:rsid w:val="00D1566D"/>
    <w:rsid w:val="00D157A9"/>
    <w:rsid w:val="00D15979"/>
    <w:rsid w:val="00D15CC5"/>
    <w:rsid w:val="00D15D02"/>
    <w:rsid w:val="00D15EC1"/>
    <w:rsid w:val="00D15F33"/>
    <w:rsid w:val="00D1632D"/>
    <w:rsid w:val="00D167FA"/>
    <w:rsid w:val="00D16993"/>
    <w:rsid w:val="00D16BFC"/>
    <w:rsid w:val="00D16C71"/>
    <w:rsid w:val="00D16CBD"/>
    <w:rsid w:val="00D16F66"/>
    <w:rsid w:val="00D1704D"/>
    <w:rsid w:val="00D172C1"/>
    <w:rsid w:val="00D17670"/>
    <w:rsid w:val="00D17858"/>
    <w:rsid w:val="00D178F6"/>
    <w:rsid w:val="00D17AA6"/>
    <w:rsid w:val="00D2002E"/>
    <w:rsid w:val="00D2022A"/>
    <w:rsid w:val="00D204B4"/>
    <w:rsid w:val="00D208C3"/>
    <w:rsid w:val="00D2092F"/>
    <w:rsid w:val="00D209C4"/>
    <w:rsid w:val="00D20B0C"/>
    <w:rsid w:val="00D20B47"/>
    <w:rsid w:val="00D21129"/>
    <w:rsid w:val="00D211E4"/>
    <w:rsid w:val="00D21A6C"/>
    <w:rsid w:val="00D21AC3"/>
    <w:rsid w:val="00D21D4F"/>
    <w:rsid w:val="00D227B9"/>
    <w:rsid w:val="00D22B10"/>
    <w:rsid w:val="00D22ECF"/>
    <w:rsid w:val="00D231B1"/>
    <w:rsid w:val="00D2329D"/>
    <w:rsid w:val="00D2357B"/>
    <w:rsid w:val="00D235F4"/>
    <w:rsid w:val="00D23628"/>
    <w:rsid w:val="00D23C95"/>
    <w:rsid w:val="00D23CDA"/>
    <w:rsid w:val="00D23DC8"/>
    <w:rsid w:val="00D23FB2"/>
    <w:rsid w:val="00D24060"/>
    <w:rsid w:val="00D2408E"/>
    <w:rsid w:val="00D245C0"/>
    <w:rsid w:val="00D24714"/>
    <w:rsid w:val="00D24A1A"/>
    <w:rsid w:val="00D24BC8"/>
    <w:rsid w:val="00D24EAD"/>
    <w:rsid w:val="00D250B0"/>
    <w:rsid w:val="00D25614"/>
    <w:rsid w:val="00D25778"/>
    <w:rsid w:val="00D26290"/>
    <w:rsid w:val="00D26299"/>
    <w:rsid w:val="00D2634B"/>
    <w:rsid w:val="00D264C1"/>
    <w:rsid w:val="00D264FA"/>
    <w:rsid w:val="00D26554"/>
    <w:rsid w:val="00D26925"/>
    <w:rsid w:val="00D2697A"/>
    <w:rsid w:val="00D26B57"/>
    <w:rsid w:val="00D26C97"/>
    <w:rsid w:val="00D26D84"/>
    <w:rsid w:val="00D272DF"/>
    <w:rsid w:val="00D27304"/>
    <w:rsid w:val="00D27546"/>
    <w:rsid w:val="00D27679"/>
    <w:rsid w:val="00D276D9"/>
    <w:rsid w:val="00D27750"/>
    <w:rsid w:val="00D27F91"/>
    <w:rsid w:val="00D3002F"/>
    <w:rsid w:val="00D30643"/>
    <w:rsid w:val="00D3087A"/>
    <w:rsid w:val="00D308BA"/>
    <w:rsid w:val="00D309D1"/>
    <w:rsid w:val="00D30C6C"/>
    <w:rsid w:val="00D30CC3"/>
    <w:rsid w:val="00D30D61"/>
    <w:rsid w:val="00D30DB6"/>
    <w:rsid w:val="00D315DD"/>
    <w:rsid w:val="00D31E0D"/>
    <w:rsid w:val="00D31E2F"/>
    <w:rsid w:val="00D324BB"/>
    <w:rsid w:val="00D3250B"/>
    <w:rsid w:val="00D32948"/>
    <w:rsid w:val="00D32997"/>
    <w:rsid w:val="00D32F9E"/>
    <w:rsid w:val="00D330C2"/>
    <w:rsid w:val="00D332A8"/>
    <w:rsid w:val="00D3332A"/>
    <w:rsid w:val="00D33B51"/>
    <w:rsid w:val="00D33C46"/>
    <w:rsid w:val="00D33D9F"/>
    <w:rsid w:val="00D33FD4"/>
    <w:rsid w:val="00D340FC"/>
    <w:rsid w:val="00D34307"/>
    <w:rsid w:val="00D34537"/>
    <w:rsid w:val="00D34789"/>
    <w:rsid w:val="00D34811"/>
    <w:rsid w:val="00D348D6"/>
    <w:rsid w:val="00D3499C"/>
    <w:rsid w:val="00D34A5C"/>
    <w:rsid w:val="00D34B91"/>
    <w:rsid w:val="00D34BF0"/>
    <w:rsid w:val="00D34C72"/>
    <w:rsid w:val="00D34DCD"/>
    <w:rsid w:val="00D34EB0"/>
    <w:rsid w:val="00D350D9"/>
    <w:rsid w:val="00D35240"/>
    <w:rsid w:val="00D35253"/>
    <w:rsid w:val="00D353E1"/>
    <w:rsid w:val="00D35554"/>
    <w:rsid w:val="00D35596"/>
    <w:rsid w:val="00D35E82"/>
    <w:rsid w:val="00D361DC"/>
    <w:rsid w:val="00D36245"/>
    <w:rsid w:val="00D3659C"/>
    <w:rsid w:val="00D368E4"/>
    <w:rsid w:val="00D36A4A"/>
    <w:rsid w:val="00D36B9C"/>
    <w:rsid w:val="00D36BE6"/>
    <w:rsid w:val="00D36BEE"/>
    <w:rsid w:val="00D37033"/>
    <w:rsid w:val="00D3750D"/>
    <w:rsid w:val="00D3767E"/>
    <w:rsid w:val="00D3777C"/>
    <w:rsid w:val="00D37A16"/>
    <w:rsid w:val="00D37A91"/>
    <w:rsid w:val="00D400E9"/>
    <w:rsid w:val="00D405E7"/>
    <w:rsid w:val="00D40924"/>
    <w:rsid w:val="00D4109C"/>
    <w:rsid w:val="00D41422"/>
    <w:rsid w:val="00D414C8"/>
    <w:rsid w:val="00D416A5"/>
    <w:rsid w:val="00D41A00"/>
    <w:rsid w:val="00D41E40"/>
    <w:rsid w:val="00D420CC"/>
    <w:rsid w:val="00D4232D"/>
    <w:rsid w:val="00D423B9"/>
    <w:rsid w:val="00D42440"/>
    <w:rsid w:val="00D424B2"/>
    <w:rsid w:val="00D42870"/>
    <w:rsid w:val="00D42878"/>
    <w:rsid w:val="00D42962"/>
    <w:rsid w:val="00D42A5C"/>
    <w:rsid w:val="00D42CAE"/>
    <w:rsid w:val="00D42CFE"/>
    <w:rsid w:val="00D42F40"/>
    <w:rsid w:val="00D431F1"/>
    <w:rsid w:val="00D433BA"/>
    <w:rsid w:val="00D4340D"/>
    <w:rsid w:val="00D43442"/>
    <w:rsid w:val="00D43A1F"/>
    <w:rsid w:val="00D43D7D"/>
    <w:rsid w:val="00D43DB2"/>
    <w:rsid w:val="00D44339"/>
    <w:rsid w:val="00D443BB"/>
    <w:rsid w:val="00D44486"/>
    <w:rsid w:val="00D444EB"/>
    <w:rsid w:val="00D44546"/>
    <w:rsid w:val="00D44986"/>
    <w:rsid w:val="00D44BE7"/>
    <w:rsid w:val="00D44CE4"/>
    <w:rsid w:val="00D44D89"/>
    <w:rsid w:val="00D44F3B"/>
    <w:rsid w:val="00D456B0"/>
    <w:rsid w:val="00D4570A"/>
    <w:rsid w:val="00D4598F"/>
    <w:rsid w:val="00D459A7"/>
    <w:rsid w:val="00D45ECB"/>
    <w:rsid w:val="00D46382"/>
    <w:rsid w:val="00D4646F"/>
    <w:rsid w:val="00D46699"/>
    <w:rsid w:val="00D4690D"/>
    <w:rsid w:val="00D46F8D"/>
    <w:rsid w:val="00D471C6"/>
    <w:rsid w:val="00D472B5"/>
    <w:rsid w:val="00D4733B"/>
    <w:rsid w:val="00D47384"/>
    <w:rsid w:val="00D473A4"/>
    <w:rsid w:val="00D4757A"/>
    <w:rsid w:val="00D4799C"/>
    <w:rsid w:val="00D47A34"/>
    <w:rsid w:val="00D5059F"/>
    <w:rsid w:val="00D50681"/>
    <w:rsid w:val="00D506B9"/>
    <w:rsid w:val="00D508AA"/>
    <w:rsid w:val="00D50B9B"/>
    <w:rsid w:val="00D50BCA"/>
    <w:rsid w:val="00D50CEF"/>
    <w:rsid w:val="00D51086"/>
    <w:rsid w:val="00D5130B"/>
    <w:rsid w:val="00D514B7"/>
    <w:rsid w:val="00D5160A"/>
    <w:rsid w:val="00D51A7F"/>
    <w:rsid w:val="00D51FD4"/>
    <w:rsid w:val="00D51FDE"/>
    <w:rsid w:val="00D52080"/>
    <w:rsid w:val="00D524B0"/>
    <w:rsid w:val="00D52757"/>
    <w:rsid w:val="00D527CB"/>
    <w:rsid w:val="00D5293D"/>
    <w:rsid w:val="00D5299F"/>
    <w:rsid w:val="00D52EB0"/>
    <w:rsid w:val="00D530F6"/>
    <w:rsid w:val="00D53303"/>
    <w:rsid w:val="00D53830"/>
    <w:rsid w:val="00D53B60"/>
    <w:rsid w:val="00D53C4E"/>
    <w:rsid w:val="00D53D3C"/>
    <w:rsid w:val="00D53FC9"/>
    <w:rsid w:val="00D54281"/>
    <w:rsid w:val="00D542DA"/>
    <w:rsid w:val="00D544EB"/>
    <w:rsid w:val="00D54964"/>
    <w:rsid w:val="00D54B4F"/>
    <w:rsid w:val="00D54BDF"/>
    <w:rsid w:val="00D54D00"/>
    <w:rsid w:val="00D55197"/>
    <w:rsid w:val="00D55752"/>
    <w:rsid w:val="00D557F1"/>
    <w:rsid w:val="00D558AF"/>
    <w:rsid w:val="00D55D78"/>
    <w:rsid w:val="00D561C0"/>
    <w:rsid w:val="00D56226"/>
    <w:rsid w:val="00D56824"/>
    <w:rsid w:val="00D56892"/>
    <w:rsid w:val="00D569B2"/>
    <w:rsid w:val="00D56A4E"/>
    <w:rsid w:val="00D56B20"/>
    <w:rsid w:val="00D56B25"/>
    <w:rsid w:val="00D56D0F"/>
    <w:rsid w:val="00D575B1"/>
    <w:rsid w:val="00D575C4"/>
    <w:rsid w:val="00D5764A"/>
    <w:rsid w:val="00D577D7"/>
    <w:rsid w:val="00D57B33"/>
    <w:rsid w:val="00D57D5E"/>
    <w:rsid w:val="00D57DF2"/>
    <w:rsid w:val="00D57E93"/>
    <w:rsid w:val="00D6001D"/>
    <w:rsid w:val="00D6020A"/>
    <w:rsid w:val="00D602AF"/>
    <w:rsid w:val="00D60587"/>
    <w:rsid w:val="00D60640"/>
    <w:rsid w:val="00D6079E"/>
    <w:rsid w:val="00D6088F"/>
    <w:rsid w:val="00D60C08"/>
    <w:rsid w:val="00D60C87"/>
    <w:rsid w:val="00D60D45"/>
    <w:rsid w:val="00D60E92"/>
    <w:rsid w:val="00D610CC"/>
    <w:rsid w:val="00D611C5"/>
    <w:rsid w:val="00D611D1"/>
    <w:rsid w:val="00D6124A"/>
    <w:rsid w:val="00D612AD"/>
    <w:rsid w:val="00D61471"/>
    <w:rsid w:val="00D61665"/>
    <w:rsid w:val="00D61812"/>
    <w:rsid w:val="00D619A3"/>
    <w:rsid w:val="00D61A0B"/>
    <w:rsid w:val="00D61AEC"/>
    <w:rsid w:val="00D61CB0"/>
    <w:rsid w:val="00D61D48"/>
    <w:rsid w:val="00D61F54"/>
    <w:rsid w:val="00D62099"/>
    <w:rsid w:val="00D6219E"/>
    <w:rsid w:val="00D621E8"/>
    <w:rsid w:val="00D62293"/>
    <w:rsid w:val="00D62842"/>
    <w:rsid w:val="00D62A67"/>
    <w:rsid w:val="00D632E3"/>
    <w:rsid w:val="00D63557"/>
    <w:rsid w:val="00D63642"/>
    <w:rsid w:val="00D63753"/>
    <w:rsid w:val="00D6381E"/>
    <w:rsid w:val="00D63886"/>
    <w:rsid w:val="00D63CCD"/>
    <w:rsid w:val="00D63D95"/>
    <w:rsid w:val="00D63F54"/>
    <w:rsid w:val="00D64027"/>
    <w:rsid w:val="00D640ED"/>
    <w:rsid w:val="00D64456"/>
    <w:rsid w:val="00D64A3F"/>
    <w:rsid w:val="00D64D08"/>
    <w:rsid w:val="00D64DC5"/>
    <w:rsid w:val="00D64E7D"/>
    <w:rsid w:val="00D64F81"/>
    <w:rsid w:val="00D661E7"/>
    <w:rsid w:val="00D66B62"/>
    <w:rsid w:val="00D66BD3"/>
    <w:rsid w:val="00D67318"/>
    <w:rsid w:val="00D67470"/>
    <w:rsid w:val="00D674EA"/>
    <w:rsid w:val="00D677EC"/>
    <w:rsid w:val="00D67896"/>
    <w:rsid w:val="00D679C7"/>
    <w:rsid w:val="00D67A35"/>
    <w:rsid w:val="00D67D6C"/>
    <w:rsid w:val="00D67D9A"/>
    <w:rsid w:val="00D67F42"/>
    <w:rsid w:val="00D700CD"/>
    <w:rsid w:val="00D7013C"/>
    <w:rsid w:val="00D701C3"/>
    <w:rsid w:val="00D702B1"/>
    <w:rsid w:val="00D7064E"/>
    <w:rsid w:val="00D708CA"/>
    <w:rsid w:val="00D708F7"/>
    <w:rsid w:val="00D709C4"/>
    <w:rsid w:val="00D70E28"/>
    <w:rsid w:val="00D71322"/>
    <w:rsid w:val="00D715A2"/>
    <w:rsid w:val="00D71AAF"/>
    <w:rsid w:val="00D71AE7"/>
    <w:rsid w:val="00D71B21"/>
    <w:rsid w:val="00D71B33"/>
    <w:rsid w:val="00D71B72"/>
    <w:rsid w:val="00D71EEA"/>
    <w:rsid w:val="00D721CA"/>
    <w:rsid w:val="00D72703"/>
    <w:rsid w:val="00D72752"/>
    <w:rsid w:val="00D72902"/>
    <w:rsid w:val="00D7301C"/>
    <w:rsid w:val="00D7348A"/>
    <w:rsid w:val="00D737D3"/>
    <w:rsid w:val="00D738C9"/>
    <w:rsid w:val="00D739E3"/>
    <w:rsid w:val="00D73A78"/>
    <w:rsid w:val="00D73A8E"/>
    <w:rsid w:val="00D73B72"/>
    <w:rsid w:val="00D73CC9"/>
    <w:rsid w:val="00D741A2"/>
    <w:rsid w:val="00D7453A"/>
    <w:rsid w:val="00D74657"/>
    <w:rsid w:val="00D747B1"/>
    <w:rsid w:val="00D74B9E"/>
    <w:rsid w:val="00D74BA9"/>
    <w:rsid w:val="00D74C75"/>
    <w:rsid w:val="00D74DB5"/>
    <w:rsid w:val="00D74E71"/>
    <w:rsid w:val="00D75288"/>
    <w:rsid w:val="00D754F9"/>
    <w:rsid w:val="00D7558B"/>
    <w:rsid w:val="00D75597"/>
    <w:rsid w:val="00D756F0"/>
    <w:rsid w:val="00D758CA"/>
    <w:rsid w:val="00D75F9B"/>
    <w:rsid w:val="00D761F7"/>
    <w:rsid w:val="00D764DE"/>
    <w:rsid w:val="00D766C0"/>
    <w:rsid w:val="00D7679D"/>
    <w:rsid w:val="00D7685A"/>
    <w:rsid w:val="00D76904"/>
    <w:rsid w:val="00D76AB3"/>
    <w:rsid w:val="00D76ADF"/>
    <w:rsid w:val="00D77154"/>
    <w:rsid w:val="00D771AB"/>
    <w:rsid w:val="00D77654"/>
    <w:rsid w:val="00D77D5D"/>
    <w:rsid w:val="00D77E15"/>
    <w:rsid w:val="00D8024D"/>
    <w:rsid w:val="00D8047A"/>
    <w:rsid w:val="00D8074C"/>
    <w:rsid w:val="00D8086F"/>
    <w:rsid w:val="00D80DC0"/>
    <w:rsid w:val="00D810E5"/>
    <w:rsid w:val="00D81130"/>
    <w:rsid w:val="00D811A5"/>
    <w:rsid w:val="00D81C83"/>
    <w:rsid w:val="00D81D4E"/>
    <w:rsid w:val="00D8213C"/>
    <w:rsid w:val="00D82177"/>
    <w:rsid w:val="00D8245C"/>
    <w:rsid w:val="00D8274D"/>
    <w:rsid w:val="00D82845"/>
    <w:rsid w:val="00D82876"/>
    <w:rsid w:val="00D8293A"/>
    <w:rsid w:val="00D829FE"/>
    <w:rsid w:val="00D82AC1"/>
    <w:rsid w:val="00D82BA6"/>
    <w:rsid w:val="00D82ED4"/>
    <w:rsid w:val="00D83067"/>
    <w:rsid w:val="00D8373D"/>
    <w:rsid w:val="00D839B8"/>
    <w:rsid w:val="00D839E6"/>
    <w:rsid w:val="00D83BE5"/>
    <w:rsid w:val="00D83E84"/>
    <w:rsid w:val="00D84103"/>
    <w:rsid w:val="00D8449C"/>
    <w:rsid w:val="00D844D1"/>
    <w:rsid w:val="00D84593"/>
    <w:rsid w:val="00D847E8"/>
    <w:rsid w:val="00D848A9"/>
    <w:rsid w:val="00D848EC"/>
    <w:rsid w:val="00D84946"/>
    <w:rsid w:val="00D84A75"/>
    <w:rsid w:val="00D84BF2"/>
    <w:rsid w:val="00D84FBE"/>
    <w:rsid w:val="00D85414"/>
    <w:rsid w:val="00D854E8"/>
    <w:rsid w:val="00D85FAC"/>
    <w:rsid w:val="00D8612E"/>
    <w:rsid w:val="00D86626"/>
    <w:rsid w:val="00D86D0C"/>
    <w:rsid w:val="00D86E3F"/>
    <w:rsid w:val="00D86F5D"/>
    <w:rsid w:val="00D87182"/>
    <w:rsid w:val="00D87367"/>
    <w:rsid w:val="00D8767F"/>
    <w:rsid w:val="00D8774B"/>
    <w:rsid w:val="00D878FF"/>
    <w:rsid w:val="00D87BA7"/>
    <w:rsid w:val="00D9023F"/>
    <w:rsid w:val="00D90570"/>
    <w:rsid w:val="00D906BF"/>
    <w:rsid w:val="00D909F9"/>
    <w:rsid w:val="00D90DA5"/>
    <w:rsid w:val="00D90DF2"/>
    <w:rsid w:val="00D90E2C"/>
    <w:rsid w:val="00D90E98"/>
    <w:rsid w:val="00D90F80"/>
    <w:rsid w:val="00D9121A"/>
    <w:rsid w:val="00D912BA"/>
    <w:rsid w:val="00D912CA"/>
    <w:rsid w:val="00D9161B"/>
    <w:rsid w:val="00D91697"/>
    <w:rsid w:val="00D9185E"/>
    <w:rsid w:val="00D9194F"/>
    <w:rsid w:val="00D919CA"/>
    <w:rsid w:val="00D91D54"/>
    <w:rsid w:val="00D91E24"/>
    <w:rsid w:val="00D91F2F"/>
    <w:rsid w:val="00D924FC"/>
    <w:rsid w:val="00D926E0"/>
    <w:rsid w:val="00D92AA5"/>
    <w:rsid w:val="00D9306B"/>
    <w:rsid w:val="00D93234"/>
    <w:rsid w:val="00D9344C"/>
    <w:rsid w:val="00D9347E"/>
    <w:rsid w:val="00D93563"/>
    <w:rsid w:val="00D9379A"/>
    <w:rsid w:val="00D93B4A"/>
    <w:rsid w:val="00D93BAB"/>
    <w:rsid w:val="00D93C9A"/>
    <w:rsid w:val="00D93D09"/>
    <w:rsid w:val="00D93D1B"/>
    <w:rsid w:val="00D943CC"/>
    <w:rsid w:val="00D945AE"/>
    <w:rsid w:val="00D945D6"/>
    <w:rsid w:val="00D9510E"/>
    <w:rsid w:val="00D9518C"/>
    <w:rsid w:val="00D951AE"/>
    <w:rsid w:val="00D95238"/>
    <w:rsid w:val="00D95C4F"/>
    <w:rsid w:val="00D95CE2"/>
    <w:rsid w:val="00D95D31"/>
    <w:rsid w:val="00D95E12"/>
    <w:rsid w:val="00D96140"/>
    <w:rsid w:val="00D96228"/>
    <w:rsid w:val="00D96594"/>
    <w:rsid w:val="00D96739"/>
    <w:rsid w:val="00D96762"/>
    <w:rsid w:val="00D96842"/>
    <w:rsid w:val="00D96862"/>
    <w:rsid w:val="00D96A3F"/>
    <w:rsid w:val="00D96CD0"/>
    <w:rsid w:val="00D96FF3"/>
    <w:rsid w:val="00D9706D"/>
    <w:rsid w:val="00D971B5"/>
    <w:rsid w:val="00D972B4"/>
    <w:rsid w:val="00D9753A"/>
    <w:rsid w:val="00D97A0B"/>
    <w:rsid w:val="00D97B14"/>
    <w:rsid w:val="00DA01B4"/>
    <w:rsid w:val="00DA01C1"/>
    <w:rsid w:val="00DA01D8"/>
    <w:rsid w:val="00DA05FC"/>
    <w:rsid w:val="00DA07BB"/>
    <w:rsid w:val="00DA0C5A"/>
    <w:rsid w:val="00DA1131"/>
    <w:rsid w:val="00DA134F"/>
    <w:rsid w:val="00DA1373"/>
    <w:rsid w:val="00DA1694"/>
    <w:rsid w:val="00DA1799"/>
    <w:rsid w:val="00DA1A66"/>
    <w:rsid w:val="00DA1DE7"/>
    <w:rsid w:val="00DA1E21"/>
    <w:rsid w:val="00DA1EC3"/>
    <w:rsid w:val="00DA2043"/>
    <w:rsid w:val="00DA20A8"/>
    <w:rsid w:val="00DA20D1"/>
    <w:rsid w:val="00DA20D4"/>
    <w:rsid w:val="00DA2144"/>
    <w:rsid w:val="00DA2678"/>
    <w:rsid w:val="00DA2A41"/>
    <w:rsid w:val="00DA2DDA"/>
    <w:rsid w:val="00DA2DE3"/>
    <w:rsid w:val="00DA2FB1"/>
    <w:rsid w:val="00DA33E5"/>
    <w:rsid w:val="00DA389D"/>
    <w:rsid w:val="00DA3AFC"/>
    <w:rsid w:val="00DA3BDA"/>
    <w:rsid w:val="00DA407A"/>
    <w:rsid w:val="00DA4272"/>
    <w:rsid w:val="00DA4404"/>
    <w:rsid w:val="00DA47AB"/>
    <w:rsid w:val="00DA4F1A"/>
    <w:rsid w:val="00DA4F6D"/>
    <w:rsid w:val="00DA50D3"/>
    <w:rsid w:val="00DA5129"/>
    <w:rsid w:val="00DA5458"/>
    <w:rsid w:val="00DA558C"/>
    <w:rsid w:val="00DA55A8"/>
    <w:rsid w:val="00DA59E4"/>
    <w:rsid w:val="00DA5CB5"/>
    <w:rsid w:val="00DA5F8C"/>
    <w:rsid w:val="00DA61AD"/>
    <w:rsid w:val="00DA640E"/>
    <w:rsid w:val="00DA6419"/>
    <w:rsid w:val="00DA6603"/>
    <w:rsid w:val="00DA6746"/>
    <w:rsid w:val="00DA6927"/>
    <w:rsid w:val="00DA6939"/>
    <w:rsid w:val="00DA6B8C"/>
    <w:rsid w:val="00DA6CF3"/>
    <w:rsid w:val="00DA6D72"/>
    <w:rsid w:val="00DA6D75"/>
    <w:rsid w:val="00DA725B"/>
    <w:rsid w:val="00DA7362"/>
    <w:rsid w:val="00DA75EB"/>
    <w:rsid w:val="00DA76D9"/>
    <w:rsid w:val="00DA78DF"/>
    <w:rsid w:val="00DA7AB0"/>
    <w:rsid w:val="00DA7D78"/>
    <w:rsid w:val="00DA7EDF"/>
    <w:rsid w:val="00DA7F9A"/>
    <w:rsid w:val="00DB0052"/>
    <w:rsid w:val="00DB01D2"/>
    <w:rsid w:val="00DB0202"/>
    <w:rsid w:val="00DB0F40"/>
    <w:rsid w:val="00DB101B"/>
    <w:rsid w:val="00DB1115"/>
    <w:rsid w:val="00DB12D0"/>
    <w:rsid w:val="00DB12D8"/>
    <w:rsid w:val="00DB1343"/>
    <w:rsid w:val="00DB1381"/>
    <w:rsid w:val="00DB1739"/>
    <w:rsid w:val="00DB1A4E"/>
    <w:rsid w:val="00DB1A92"/>
    <w:rsid w:val="00DB1D55"/>
    <w:rsid w:val="00DB1D6E"/>
    <w:rsid w:val="00DB1FC5"/>
    <w:rsid w:val="00DB2097"/>
    <w:rsid w:val="00DB2263"/>
    <w:rsid w:val="00DB26FD"/>
    <w:rsid w:val="00DB2B96"/>
    <w:rsid w:val="00DB2C68"/>
    <w:rsid w:val="00DB2E38"/>
    <w:rsid w:val="00DB2F87"/>
    <w:rsid w:val="00DB344D"/>
    <w:rsid w:val="00DB3461"/>
    <w:rsid w:val="00DB3E7C"/>
    <w:rsid w:val="00DB402C"/>
    <w:rsid w:val="00DB42D8"/>
    <w:rsid w:val="00DB43CC"/>
    <w:rsid w:val="00DB442A"/>
    <w:rsid w:val="00DB452F"/>
    <w:rsid w:val="00DB470E"/>
    <w:rsid w:val="00DB4E67"/>
    <w:rsid w:val="00DB521A"/>
    <w:rsid w:val="00DB5510"/>
    <w:rsid w:val="00DB5890"/>
    <w:rsid w:val="00DB58B9"/>
    <w:rsid w:val="00DB5A49"/>
    <w:rsid w:val="00DB5C32"/>
    <w:rsid w:val="00DB5E83"/>
    <w:rsid w:val="00DB5F4C"/>
    <w:rsid w:val="00DB6526"/>
    <w:rsid w:val="00DB65BB"/>
    <w:rsid w:val="00DB6670"/>
    <w:rsid w:val="00DB67D1"/>
    <w:rsid w:val="00DB6EE1"/>
    <w:rsid w:val="00DB7048"/>
    <w:rsid w:val="00DB74E8"/>
    <w:rsid w:val="00DB77F0"/>
    <w:rsid w:val="00DB7B63"/>
    <w:rsid w:val="00DB7FC9"/>
    <w:rsid w:val="00DC00FE"/>
    <w:rsid w:val="00DC09E4"/>
    <w:rsid w:val="00DC0C8E"/>
    <w:rsid w:val="00DC0CCC"/>
    <w:rsid w:val="00DC0E92"/>
    <w:rsid w:val="00DC0F65"/>
    <w:rsid w:val="00DC0FD2"/>
    <w:rsid w:val="00DC0FFD"/>
    <w:rsid w:val="00DC130E"/>
    <w:rsid w:val="00DC1A8E"/>
    <w:rsid w:val="00DC1DCA"/>
    <w:rsid w:val="00DC1E32"/>
    <w:rsid w:val="00DC1F21"/>
    <w:rsid w:val="00DC225F"/>
    <w:rsid w:val="00DC23A6"/>
    <w:rsid w:val="00DC24FE"/>
    <w:rsid w:val="00DC2834"/>
    <w:rsid w:val="00DC2AC9"/>
    <w:rsid w:val="00DC2D01"/>
    <w:rsid w:val="00DC300B"/>
    <w:rsid w:val="00DC366E"/>
    <w:rsid w:val="00DC38DA"/>
    <w:rsid w:val="00DC3AD5"/>
    <w:rsid w:val="00DC3C35"/>
    <w:rsid w:val="00DC3DC8"/>
    <w:rsid w:val="00DC3FDA"/>
    <w:rsid w:val="00DC4228"/>
    <w:rsid w:val="00DC43A1"/>
    <w:rsid w:val="00DC43A4"/>
    <w:rsid w:val="00DC4457"/>
    <w:rsid w:val="00DC455F"/>
    <w:rsid w:val="00DC470B"/>
    <w:rsid w:val="00DC49DA"/>
    <w:rsid w:val="00DC4C01"/>
    <w:rsid w:val="00DC4D4C"/>
    <w:rsid w:val="00DC4D8B"/>
    <w:rsid w:val="00DC4EE5"/>
    <w:rsid w:val="00DC5149"/>
    <w:rsid w:val="00DC5172"/>
    <w:rsid w:val="00DC51EB"/>
    <w:rsid w:val="00DC5403"/>
    <w:rsid w:val="00DC560A"/>
    <w:rsid w:val="00DC584E"/>
    <w:rsid w:val="00DC5A8F"/>
    <w:rsid w:val="00DC5F71"/>
    <w:rsid w:val="00DC60D2"/>
    <w:rsid w:val="00DC683D"/>
    <w:rsid w:val="00DC6BFB"/>
    <w:rsid w:val="00DC6D13"/>
    <w:rsid w:val="00DC6D23"/>
    <w:rsid w:val="00DC6E01"/>
    <w:rsid w:val="00DC6E98"/>
    <w:rsid w:val="00DC7085"/>
    <w:rsid w:val="00DC71C9"/>
    <w:rsid w:val="00DC73D9"/>
    <w:rsid w:val="00DC74DE"/>
    <w:rsid w:val="00DC7A43"/>
    <w:rsid w:val="00DC7E3C"/>
    <w:rsid w:val="00DD0093"/>
    <w:rsid w:val="00DD028B"/>
    <w:rsid w:val="00DD0493"/>
    <w:rsid w:val="00DD05A8"/>
    <w:rsid w:val="00DD0633"/>
    <w:rsid w:val="00DD078D"/>
    <w:rsid w:val="00DD09C0"/>
    <w:rsid w:val="00DD0ADD"/>
    <w:rsid w:val="00DD0B47"/>
    <w:rsid w:val="00DD0C7C"/>
    <w:rsid w:val="00DD0C9D"/>
    <w:rsid w:val="00DD107A"/>
    <w:rsid w:val="00DD133C"/>
    <w:rsid w:val="00DD1695"/>
    <w:rsid w:val="00DD1699"/>
    <w:rsid w:val="00DD1908"/>
    <w:rsid w:val="00DD1D1D"/>
    <w:rsid w:val="00DD2218"/>
    <w:rsid w:val="00DD2224"/>
    <w:rsid w:val="00DD244F"/>
    <w:rsid w:val="00DD2482"/>
    <w:rsid w:val="00DD2504"/>
    <w:rsid w:val="00DD2997"/>
    <w:rsid w:val="00DD2D59"/>
    <w:rsid w:val="00DD2D5C"/>
    <w:rsid w:val="00DD2ECE"/>
    <w:rsid w:val="00DD30ED"/>
    <w:rsid w:val="00DD32BE"/>
    <w:rsid w:val="00DD33F8"/>
    <w:rsid w:val="00DD37BE"/>
    <w:rsid w:val="00DD43A9"/>
    <w:rsid w:val="00DD4611"/>
    <w:rsid w:val="00DD46AD"/>
    <w:rsid w:val="00DD4784"/>
    <w:rsid w:val="00DD4B00"/>
    <w:rsid w:val="00DD4C05"/>
    <w:rsid w:val="00DD4D66"/>
    <w:rsid w:val="00DD4D75"/>
    <w:rsid w:val="00DD5179"/>
    <w:rsid w:val="00DD52CF"/>
    <w:rsid w:val="00DD567B"/>
    <w:rsid w:val="00DD5E6B"/>
    <w:rsid w:val="00DD634D"/>
    <w:rsid w:val="00DD641F"/>
    <w:rsid w:val="00DD67F9"/>
    <w:rsid w:val="00DD689A"/>
    <w:rsid w:val="00DD68C5"/>
    <w:rsid w:val="00DD6965"/>
    <w:rsid w:val="00DD6B14"/>
    <w:rsid w:val="00DD6CB2"/>
    <w:rsid w:val="00DD70C8"/>
    <w:rsid w:val="00DD72C1"/>
    <w:rsid w:val="00DD7371"/>
    <w:rsid w:val="00DD74F5"/>
    <w:rsid w:val="00DD76F4"/>
    <w:rsid w:val="00DD771C"/>
    <w:rsid w:val="00DD7781"/>
    <w:rsid w:val="00DD791D"/>
    <w:rsid w:val="00DD7B71"/>
    <w:rsid w:val="00DD7C15"/>
    <w:rsid w:val="00DD7DED"/>
    <w:rsid w:val="00DD7FC2"/>
    <w:rsid w:val="00DE00FB"/>
    <w:rsid w:val="00DE0250"/>
    <w:rsid w:val="00DE031A"/>
    <w:rsid w:val="00DE0530"/>
    <w:rsid w:val="00DE0590"/>
    <w:rsid w:val="00DE0637"/>
    <w:rsid w:val="00DE06D1"/>
    <w:rsid w:val="00DE076C"/>
    <w:rsid w:val="00DE097E"/>
    <w:rsid w:val="00DE09FC"/>
    <w:rsid w:val="00DE0C23"/>
    <w:rsid w:val="00DE10E1"/>
    <w:rsid w:val="00DE1255"/>
    <w:rsid w:val="00DE1388"/>
    <w:rsid w:val="00DE199C"/>
    <w:rsid w:val="00DE1E3A"/>
    <w:rsid w:val="00DE20DF"/>
    <w:rsid w:val="00DE2117"/>
    <w:rsid w:val="00DE21EC"/>
    <w:rsid w:val="00DE23EF"/>
    <w:rsid w:val="00DE24AD"/>
    <w:rsid w:val="00DE24E9"/>
    <w:rsid w:val="00DE29BC"/>
    <w:rsid w:val="00DE2B02"/>
    <w:rsid w:val="00DE2E00"/>
    <w:rsid w:val="00DE30B0"/>
    <w:rsid w:val="00DE35B3"/>
    <w:rsid w:val="00DE37BB"/>
    <w:rsid w:val="00DE3AD6"/>
    <w:rsid w:val="00DE3BC3"/>
    <w:rsid w:val="00DE3D46"/>
    <w:rsid w:val="00DE4219"/>
    <w:rsid w:val="00DE422C"/>
    <w:rsid w:val="00DE4490"/>
    <w:rsid w:val="00DE4AEB"/>
    <w:rsid w:val="00DE4AF9"/>
    <w:rsid w:val="00DE4D27"/>
    <w:rsid w:val="00DE4D79"/>
    <w:rsid w:val="00DE517F"/>
    <w:rsid w:val="00DE5354"/>
    <w:rsid w:val="00DE549A"/>
    <w:rsid w:val="00DE562B"/>
    <w:rsid w:val="00DE574C"/>
    <w:rsid w:val="00DE5877"/>
    <w:rsid w:val="00DE5983"/>
    <w:rsid w:val="00DE5A4C"/>
    <w:rsid w:val="00DE5AF0"/>
    <w:rsid w:val="00DE5BB6"/>
    <w:rsid w:val="00DE5D55"/>
    <w:rsid w:val="00DE5ED9"/>
    <w:rsid w:val="00DE6061"/>
    <w:rsid w:val="00DE60F9"/>
    <w:rsid w:val="00DE63C5"/>
    <w:rsid w:val="00DE6447"/>
    <w:rsid w:val="00DE645C"/>
    <w:rsid w:val="00DE66A8"/>
    <w:rsid w:val="00DE6949"/>
    <w:rsid w:val="00DE6CAE"/>
    <w:rsid w:val="00DE6F09"/>
    <w:rsid w:val="00DE7002"/>
    <w:rsid w:val="00DE7074"/>
    <w:rsid w:val="00DE71B3"/>
    <w:rsid w:val="00DE71CA"/>
    <w:rsid w:val="00DE734A"/>
    <w:rsid w:val="00DE73EA"/>
    <w:rsid w:val="00DE7408"/>
    <w:rsid w:val="00DE75BD"/>
    <w:rsid w:val="00DE75BF"/>
    <w:rsid w:val="00DE7698"/>
    <w:rsid w:val="00DE7719"/>
    <w:rsid w:val="00DE7DDB"/>
    <w:rsid w:val="00DE7DE6"/>
    <w:rsid w:val="00DF0139"/>
    <w:rsid w:val="00DF03B6"/>
    <w:rsid w:val="00DF0498"/>
    <w:rsid w:val="00DF0859"/>
    <w:rsid w:val="00DF085F"/>
    <w:rsid w:val="00DF0887"/>
    <w:rsid w:val="00DF0971"/>
    <w:rsid w:val="00DF0A2F"/>
    <w:rsid w:val="00DF0B90"/>
    <w:rsid w:val="00DF0E0F"/>
    <w:rsid w:val="00DF1224"/>
    <w:rsid w:val="00DF2080"/>
    <w:rsid w:val="00DF22CD"/>
    <w:rsid w:val="00DF235D"/>
    <w:rsid w:val="00DF23DA"/>
    <w:rsid w:val="00DF2443"/>
    <w:rsid w:val="00DF26AA"/>
    <w:rsid w:val="00DF289A"/>
    <w:rsid w:val="00DF29E7"/>
    <w:rsid w:val="00DF2AFF"/>
    <w:rsid w:val="00DF2C4D"/>
    <w:rsid w:val="00DF2DB6"/>
    <w:rsid w:val="00DF3466"/>
    <w:rsid w:val="00DF35D3"/>
    <w:rsid w:val="00DF38B7"/>
    <w:rsid w:val="00DF3C90"/>
    <w:rsid w:val="00DF3D49"/>
    <w:rsid w:val="00DF40B9"/>
    <w:rsid w:val="00DF41CE"/>
    <w:rsid w:val="00DF41DD"/>
    <w:rsid w:val="00DF4902"/>
    <w:rsid w:val="00DF4A0A"/>
    <w:rsid w:val="00DF4B16"/>
    <w:rsid w:val="00DF4BFB"/>
    <w:rsid w:val="00DF5404"/>
    <w:rsid w:val="00DF55C7"/>
    <w:rsid w:val="00DF55DA"/>
    <w:rsid w:val="00DF58A5"/>
    <w:rsid w:val="00DF59C3"/>
    <w:rsid w:val="00DF5C38"/>
    <w:rsid w:val="00DF5D78"/>
    <w:rsid w:val="00DF5E5B"/>
    <w:rsid w:val="00DF60B9"/>
    <w:rsid w:val="00DF6272"/>
    <w:rsid w:val="00DF6447"/>
    <w:rsid w:val="00DF6603"/>
    <w:rsid w:val="00DF6667"/>
    <w:rsid w:val="00DF6794"/>
    <w:rsid w:val="00DF6818"/>
    <w:rsid w:val="00DF6AE2"/>
    <w:rsid w:val="00DF6BB3"/>
    <w:rsid w:val="00DF6EEA"/>
    <w:rsid w:val="00DF719E"/>
    <w:rsid w:val="00DF7400"/>
    <w:rsid w:val="00DF7408"/>
    <w:rsid w:val="00DF749F"/>
    <w:rsid w:val="00DF7502"/>
    <w:rsid w:val="00DF7642"/>
    <w:rsid w:val="00DF786C"/>
    <w:rsid w:val="00DF7919"/>
    <w:rsid w:val="00DF7925"/>
    <w:rsid w:val="00DF7A49"/>
    <w:rsid w:val="00DF7A63"/>
    <w:rsid w:val="00DF7B2A"/>
    <w:rsid w:val="00DF7B2E"/>
    <w:rsid w:val="00DF7E08"/>
    <w:rsid w:val="00DF7E55"/>
    <w:rsid w:val="00E00016"/>
    <w:rsid w:val="00E00151"/>
    <w:rsid w:val="00E00753"/>
    <w:rsid w:val="00E009E3"/>
    <w:rsid w:val="00E00EBD"/>
    <w:rsid w:val="00E00FF6"/>
    <w:rsid w:val="00E0145F"/>
    <w:rsid w:val="00E01467"/>
    <w:rsid w:val="00E0188B"/>
    <w:rsid w:val="00E01AA2"/>
    <w:rsid w:val="00E01DF9"/>
    <w:rsid w:val="00E01E3C"/>
    <w:rsid w:val="00E01E4B"/>
    <w:rsid w:val="00E02213"/>
    <w:rsid w:val="00E025F2"/>
    <w:rsid w:val="00E02BD5"/>
    <w:rsid w:val="00E02D2C"/>
    <w:rsid w:val="00E02E18"/>
    <w:rsid w:val="00E02FDC"/>
    <w:rsid w:val="00E030F1"/>
    <w:rsid w:val="00E03167"/>
    <w:rsid w:val="00E032FA"/>
    <w:rsid w:val="00E03B19"/>
    <w:rsid w:val="00E03B74"/>
    <w:rsid w:val="00E03C90"/>
    <w:rsid w:val="00E04098"/>
    <w:rsid w:val="00E0443E"/>
    <w:rsid w:val="00E0464B"/>
    <w:rsid w:val="00E0470A"/>
    <w:rsid w:val="00E04762"/>
    <w:rsid w:val="00E047CA"/>
    <w:rsid w:val="00E04DAF"/>
    <w:rsid w:val="00E052F5"/>
    <w:rsid w:val="00E0530C"/>
    <w:rsid w:val="00E0543C"/>
    <w:rsid w:val="00E056C1"/>
    <w:rsid w:val="00E05BE7"/>
    <w:rsid w:val="00E05D06"/>
    <w:rsid w:val="00E05EA2"/>
    <w:rsid w:val="00E06356"/>
    <w:rsid w:val="00E0638E"/>
    <w:rsid w:val="00E063D3"/>
    <w:rsid w:val="00E064A4"/>
    <w:rsid w:val="00E066BB"/>
    <w:rsid w:val="00E0677D"/>
    <w:rsid w:val="00E067D3"/>
    <w:rsid w:val="00E0686E"/>
    <w:rsid w:val="00E06927"/>
    <w:rsid w:val="00E06AB0"/>
    <w:rsid w:val="00E06D41"/>
    <w:rsid w:val="00E0729C"/>
    <w:rsid w:val="00E0778D"/>
    <w:rsid w:val="00E078D5"/>
    <w:rsid w:val="00E07D1D"/>
    <w:rsid w:val="00E07EA9"/>
    <w:rsid w:val="00E07F61"/>
    <w:rsid w:val="00E1050E"/>
    <w:rsid w:val="00E108AD"/>
    <w:rsid w:val="00E10E12"/>
    <w:rsid w:val="00E10E1F"/>
    <w:rsid w:val="00E10E64"/>
    <w:rsid w:val="00E10E85"/>
    <w:rsid w:val="00E110F0"/>
    <w:rsid w:val="00E1111E"/>
    <w:rsid w:val="00E1144B"/>
    <w:rsid w:val="00E1145A"/>
    <w:rsid w:val="00E11581"/>
    <w:rsid w:val="00E1181E"/>
    <w:rsid w:val="00E11A58"/>
    <w:rsid w:val="00E11A7E"/>
    <w:rsid w:val="00E11B9B"/>
    <w:rsid w:val="00E11C7A"/>
    <w:rsid w:val="00E12028"/>
    <w:rsid w:val="00E12035"/>
    <w:rsid w:val="00E1245C"/>
    <w:rsid w:val="00E12786"/>
    <w:rsid w:val="00E1281E"/>
    <w:rsid w:val="00E12A62"/>
    <w:rsid w:val="00E12D6F"/>
    <w:rsid w:val="00E131B3"/>
    <w:rsid w:val="00E131F9"/>
    <w:rsid w:val="00E135A5"/>
    <w:rsid w:val="00E13622"/>
    <w:rsid w:val="00E13A72"/>
    <w:rsid w:val="00E13A8F"/>
    <w:rsid w:val="00E13FCA"/>
    <w:rsid w:val="00E14152"/>
    <w:rsid w:val="00E145AA"/>
    <w:rsid w:val="00E145B9"/>
    <w:rsid w:val="00E148F7"/>
    <w:rsid w:val="00E1498C"/>
    <w:rsid w:val="00E14B12"/>
    <w:rsid w:val="00E14C72"/>
    <w:rsid w:val="00E14E9B"/>
    <w:rsid w:val="00E153F0"/>
    <w:rsid w:val="00E15659"/>
    <w:rsid w:val="00E15F82"/>
    <w:rsid w:val="00E15FBD"/>
    <w:rsid w:val="00E1609F"/>
    <w:rsid w:val="00E163CA"/>
    <w:rsid w:val="00E163D0"/>
    <w:rsid w:val="00E16F1D"/>
    <w:rsid w:val="00E16F23"/>
    <w:rsid w:val="00E171B6"/>
    <w:rsid w:val="00E17447"/>
    <w:rsid w:val="00E175E7"/>
    <w:rsid w:val="00E176C8"/>
    <w:rsid w:val="00E17B53"/>
    <w:rsid w:val="00E17C8A"/>
    <w:rsid w:val="00E17D02"/>
    <w:rsid w:val="00E17D03"/>
    <w:rsid w:val="00E17DDD"/>
    <w:rsid w:val="00E17F62"/>
    <w:rsid w:val="00E17FBA"/>
    <w:rsid w:val="00E20314"/>
    <w:rsid w:val="00E2037D"/>
    <w:rsid w:val="00E204D2"/>
    <w:rsid w:val="00E20903"/>
    <w:rsid w:val="00E20B0F"/>
    <w:rsid w:val="00E20D67"/>
    <w:rsid w:val="00E20F87"/>
    <w:rsid w:val="00E2108C"/>
    <w:rsid w:val="00E21352"/>
    <w:rsid w:val="00E2136A"/>
    <w:rsid w:val="00E21420"/>
    <w:rsid w:val="00E21875"/>
    <w:rsid w:val="00E21ACC"/>
    <w:rsid w:val="00E21D0A"/>
    <w:rsid w:val="00E21DE1"/>
    <w:rsid w:val="00E2236E"/>
    <w:rsid w:val="00E223D7"/>
    <w:rsid w:val="00E225AE"/>
    <w:rsid w:val="00E22781"/>
    <w:rsid w:val="00E228BA"/>
    <w:rsid w:val="00E22964"/>
    <w:rsid w:val="00E22CA9"/>
    <w:rsid w:val="00E22DE0"/>
    <w:rsid w:val="00E22FE9"/>
    <w:rsid w:val="00E23050"/>
    <w:rsid w:val="00E231A3"/>
    <w:rsid w:val="00E231D1"/>
    <w:rsid w:val="00E232B6"/>
    <w:rsid w:val="00E23773"/>
    <w:rsid w:val="00E238CE"/>
    <w:rsid w:val="00E23E52"/>
    <w:rsid w:val="00E23F3C"/>
    <w:rsid w:val="00E2433F"/>
    <w:rsid w:val="00E24B17"/>
    <w:rsid w:val="00E24B1B"/>
    <w:rsid w:val="00E24C64"/>
    <w:rsid w:val="00E24C8F"/>
    <w:rsid w:val="00E24F0F"/>
    <w:rsid w:val="00E25451"/>
    <w:rsid w:val="00E25919"/>
    <w:rsid w:val="00E25946"/>
    <w:rsid w:val="00E2594C"/>
    <w:rsid w:val="00E259CF"/>
    <w:rsid w:val="00E25B45"/>
    <w:rsid w:val="00E25DFB"/>
    <w:rsid w:val="00E25ECC"/>
    <w:rsid w:val="00E2603E"/>
    <w:rsid w:val="00E26056"/>
    <w:rsid w:val="00E261E6"/>
    <w:rsid w:val="00E26463"/>
    <w:rsid w:val="00E2646E"/>
    <w:rsid w:val="00E26A0D"/>
    <w:rsid w:val="00E26A78"/>
    <w:rsid w:val="00E26A9C"/>
    <w:rsid w:val="00E26B4C"/>
    <w:rsid w:val="00E26B98"/>
    <w:rsid w:val="00E26BE1"/>
    <w:rsid w:val="00E27132"/>
    <w:rsid w:val="00E2714D"/>
    <w:rsid w:val="00E272F8"/>
    <w:rsid w:val="00E2750E"/>
    <w:rsid w:val="00E27535"/>
    <w:rsid w:val="00E2761A"/>
    <w:rsid w:val="00E2780C"/>
    <w:rsid w:val="00E27887"/>
    <w:rsid w:val="00E27908"/>
    <w:rsid w:val="00E2794D"/>
    <w:rsid w:val="00E27C10"/>
    <w:rsid w:val="00E27ED3"/>
    <w:rsid w:val="00E300A2"/>
    <w:rsid w:val="00E30201"/>
    <w:rsid w:val="00E30236"/>
    <w:rsid w:val="00E3033D"/>
    <w:rsid w:val="00E3097C"/>
    <w:rsid w:val="00E30D3F"/>
    <w:rsid w:val="00E30E01"/>
    <w:rsid w:val="00E30E09"/>
    <w:rsid w:val="00E310C5"/>
    <w:rsid w:val="00E3168B"/>
    <w:rsid w:val="00E316BF"/>
    <w:rsid w:val="00E31797"/>
    <w:rsid w:val="00E31865"/>
    <w:rsid w:val="00E31D2F"/>
    <w:rsid w:val="00E32065"/>
    <w:rsid w:val="00E3209E"/>
    <w:rsid w:val="00E32371"/>
    <w:rsid w:val="00E3241B"/>
    <w:rsid w:val="00E32746"/>
    <w:rsid w:val="00E329DC"/>
    <w:rsid w:val="00E32AEF"/>
    <w:rsid w:val="00E3302E"/>
    <w:rsid w:val="00E330C9"/>
    <w:rsid w:val="00E3349A"/>
    <w:rsid w:val="00E335B8"/>
    <w:rsid w:val="00E3379E"/>
    <w:rsid w:val="00E33AC3"/>
    <w:rsid w:val="00E34415"/>
    <w:rsid w:val="00E34459"/>
    <w:rsid w:val="00E34D34"/>
    <w:rsid w:val="00E34DA3"/>
    <w:rsid w:val="00E34E70"/>
    <w:rsid w:val="00E34F1E"/>
    <w:rsid w:val="00E351AE"/>
    <w:rsid w:val="00E35C5F"/>
    <w:rsid w:val="00E35FB1"/>
    <w:rsid w:val="00E35FF4"/>
    <w:rsid w:val="00E36490"/>
    <w:rsid w:val="00E36914"/>
    <w:rsid w:val="00E36E72"/>
    <w:rsid w:val="00E36FE6"/>
    <w:rsid w:val="00E370D3"/>
    <w:rsid w:val="00E372C1"/>
    <w:rsid w:val="00E3751A"/>
    <w:rsid w:val="00E37602"/>
    <w:rsid w:val="00E3762C"/>
    <w:rsid w:val="00E37746"/>
    <w:rsid w:val="00E379C6"/>
    <w:rsid w:val="00E37A14"/>
    <w:rsid w:val="00E37D0B"/>
    <w:rsid w:val="00E37DFA"/>
    <w:rsid w:val="00E37F01"/>
    <w:rsid w:val="00E400DD"/>
    <w:rsid w:val="00E406FB"/>
    <w:rsid w:val="00E40875"/>
    <w:rsid w:val="00E408F8"/>
    <w:rsid w:val="00E40F3A"/>
    <w:rsid w:val="00E41013"/>
    <w:rsid w:val="00E41092"/>
    <w:rsid w:val="00E4191F"/>
    <w:rsid w:val="00E419E6"/>
    <w:rsid w:val="00E41AD7"/>
    <w:rsid w:val="00E41BD6"/>
    <w:rsid w:val="00E41DE9"/>
    <w:rsid w:val="00E41F26"/>
    <w:rsid w:val="00E41FD4"/>
    <w:rsid w:val="00E4228F"/>
    <w:rsid w:val="00E42414"/>
    <w:rsid w:val="00E424C3"/>
    <w:rsid w:val="00E4250B"/>
    <w:rsid w:val="00E42586"/>
    <w:rsid w:val="00E427C0"/>
    <w:rsid w:val="00E4284C"/>
    <w:rsid w:val="00E42A33"/>
    <w:rsid w:val="00E42AA7"/>
    <w:rsid w:val="00E42E5B"/>
    <w:rsid w:val="00E430E0"/>
    <w:rsid w:val="00E431D7"/>
    <w:rsid w:val="00E43584"/>
    <w:rsid w:val="00E435B2"/>
    <w:rsid w:val="00E43A37"/>
    <w:rsid w:val="00E43B07"/>
    <w:rsid w:val="00E43E00"/>
    <w:rsid w:val="00E43EA8"/>
    <w:rsid w:val="00E43F49"/>
    <w:rsid w:val="00E440C4"/>
    <w:rsid w:val="00E443CF"/>
    <w:rsid w:val="00E44789"/>
    <w:rsid w:val="00E44794"/>
    <w:rsid w:val="00E447C4"/>
    <w:rsid w:val="00E44856"/>
    <w:rsid w:val="00E449F4"/>
    <w:rsid w:val="00E44A00"/>
    <w:rsid w:val="00E44A91"/>
    <w:rsid w:val="00E44AF1"/>
    <w:rsid w:val="00E44C9C"/>
    <w:rsid w:val="00E4541A"/>
    <w:rsid w:val="00E454D9"/>
    <w:rsid w:val="00E457B8"/>
    <w:rsid w:val="00E458CE"/>
    <w:rsid w:val="00E46129"/>
    <w:rsid w:val="00E4675A"/>
    <w:rsid w:val="00E46765"/>
    <w:rsid w:val="00E4679B"/>
    <w:rsid w:val="00E46827"/>
    <w:rsid w:val="00E474D3"/>
    <w:rsid w:val="00E47703"/>
    <w:rsid w:val="00E477DE"/>
    <w:rsid w:val="00E50274"/>
    <w:rsid w:val="00E502BD"/>
    <w:rsid w:val="00E503BD"/>
    <w:rsid w:val="00E504E3"/>
    <w:rsid w:val="00E50576"/>
    <w:rsid w:val="00E505C8"/>
    <w:rsid w:val="00E506CF"/>
    <w:rsid w:val="00E50713"/>
    <w:rsid w:val="00E50845"/>
    <w:rsid w:val="00E50A70"/>
    <w:rsid w:val="00E50ABD"/>
    <w:rsid w:val="00E50B68"/>
    <w:rsid w:val="00E50C55"/>
    <w:rsid w:val="00E50E1D"/>
    <w:rsid w:val="00E50E5D"/>
    <w:rsid w:val="00E51176"/>
    <w:rsid w:val="00E5117C"/>
    <w:rsid w:val="00E51571"/>
    <w:rsid w:val="00E515C3"/>
    <w:rsid w:val="00E518AA"/>
    <w:rsid w:val="00E51A9E"/>
    <w:rsid w:val="00E51B35"/>
    <w:rsid w:val="00E51B73"/>
    <w:rsid w:val="00E52175"/>
    <w:rsid w:val="00E52304"/>
    <w:rsid w:val="00E5259A"/>
    <w:rsid w:val="00E52684"/>
    <w:rsid w:val="00E52843"/>
    <w:rsid w:val="00E5286D"/>
    <w:rsid w:val="00E52A7E"/>
    <w:rsid w:val="00E52AC2"/>
    <w:rsid w:val="00E52C0A"/>
    <w:rsid w:val="00E52D0E"/>
    <w:rsid w:val="00E5331A"/>
    <w:rsid w:val="00E539A3"/>
    <w:rsid w:val="00E53A6C"/>
    <w:rsid w:val="00E541EC"/>
    <w:rsid w:val="00E54342"/>
    <w:rsid w:val="00E5436D"/>
    <w:rsid w:val="00E54797"/>
    <w:rsid w:val="00E5498C"/>
    <w:rsid w:val="00E549CB"/>
    <w:rsid w:val="00E549DD"/>
    <w:rsid w:val="00E54A51"/>
    <w:rsid w:val="00E5530B"/>
    <w:rsid w:val="00E55360"/>
    <w:rsid w:val="00E5547E"/>
    <w:rsid w:val="00E557E9"/>
    <w:rsid w:val="00E55D7A"/>
    <w:rsid w:val="00E55F36"/>
    <w:rsid w:val="00E5613B"/>
    <w:rsid w:val="00E56232"/>
    <w:rsid w:val="00E5640A"/>
    <w:rsid w:val="00E56610"/>
    <w:rsid w:val="00E56AFD"/>
    <w:rsid w:val="00E56C2C"/>
    <w:rsid w:val="00E56CC4"/>
    <w:rsid w:val="00E56D56"/>
    <w:rsid w:val="00E56F36"/>
    <w:rsid w:val="00E571C8"/>
    <w:rsid w:val="00E573D4"/>
    <w:rsid w:val="00E57451"/>
    <w:rsid w:val="00E576D9"/>
    <w:rsid w:val="00E57705"/>
    <w:rsid w:val="00E57CC8"/>
    <w:rsid w:val="00E57D00"/>
    <w:rsid w:val="00E57EAA"/>
    <w:rsid w:val="00E57F3B"/>
    <w:rsid w:val="00E57F8F"/>
    <w:rsid w:val="00E60920"/>
    <w:rsid w:val="00E60C3B"/>
    <w:rsid w:val="00E60E00"/>
    <w:rsid w:val="00E60FAD"/>
    <w:rsid w:val="00E61038"/>
    <w:rsid w:val="00E610A8"/>
    <w:rsid w:val="00E61125"/>
    <w:rsid w:val="00E613FC"/>
    <w:rsid w:val="00E61644"/>
    <w:rsid w:val="00E6167B"/>
    <w:rsid w:val="00E61793"/>
    <w:rsid w:val="00E61B58"/>
    <w:rsid w:val="00E61B98"/>
    <w:rsid w:val="00E6292F"/>
    <w:rsid w:val="00E62D2E"/>
    <w:rsid w:val="00E6300D"/>
    <w:rsid w:val="00E630A4"/>
    <w:rsid w:val="00E63115"/>
    <w:rsid w:val="00E6330B"/>
    <w:rsid w:val="00E6334B"/>
    <w:rsid w:val="00E63A7E"/>
    <w:rsid w:val="00E63D0E"/>
    <w:rsid w:val="00E63D94"/>
    <w:rsid w:val="00E63E8B"/>
    <w:rsid w:val="00E64046"/>
    <w:rsid w:val="00E6409B"/>
    <w:rsid w:val="00E640DE"/>
    <w:rsid w:val="00E641CA"/>
    <w:rsid w:val="00E6424F"/>
    <w:rsid w:val="00E6443E"/>
    <w:rsid w:val="00E6468A"/>
    <w:rsid w:val="00E64AF9"/>
    <w:rsid w:val="00E64B86"/>
    <w:rsid w:val="00E65A9F"/>
    <w:rsid w:val="00E662CB"/>
    <w:rsid w:val="00E6655B"/>
    <w:rsid w:val="00E666FF"/>
    <w:rsid w:val="00E66881"/>
    <w:rsid w:val="00E66C31"/>
    <w:rsid w:val="00E66C88"/>
    <w:rsid w:val="00E66D81"/>
    <w:rsid w:val="00E66FA3"/>
    <w:rsid w:val="00E6737D"/>
    <w:rsid w:val="00E67380"/>
    <w:rsid w:val="00E674EA"/>
    <w:rsid w:val="00E679DC"/>
    <w:rsid w:val="00E67C1F"/>
    <w:rsid w:val="00E67D49"/>
    <w:rsid w:val="00E67F0B"/>
    <w:rsid w:val="00E7005F"/>
    <w:rsid w:val="00E7019A"/>
    <w:rsid w:val="00E702E3"/>
    <w:rsid w:val="00E703CB"/>
    <w:rsid w:val="00E7064E"/>
    <w:rsid w:val="00E70683"/>
    <w:rsid w:val="00E70A40"/>
    <w:rsid w:val="00E70C02"/>
    <w:rsid w:val="00E70D39"/>
    <w:rsid w:val="00E7109C"/>
    <w:rsid w:val="00E71170"/>
    <w:rsid w:val="00E7154D"/>
    <w:rsid w:val="00E71690"/>
    <w:rsid w:val="00E718AB"/>
    <w:rsid w:val="00E71A3D"/>
    <w:rsid w:val="00E71A59"/>
    <w:rsid w:val="00E71B82"/>
    <w:rsid w:val="00E71E54"/>
    <w:rsid w:val="00E71E64"/>
    <w:rsid w:val="00E72105"/>
    <w:rsid w:val="00E7226E"/>
    <w:rsid w:val="00E7249B"/>
    <w:rsid w:val="00E72605"/>
    <w:rsid w:val="00E726A4"/>
    <w:rsid w:val="00E72756"/>
    <w:rsid w:val="00E7289C"/>
    <w:rsid w:val="00E72D67"/>
    <w:rsid w:val="00E7306F"/>
    <w:rsid w:val="00E731BA"/>
    <w:rsid w:val="00E73397"/>
    <w:rsid w:val="00E736CD"/>
    <w:rsid w:val="00E738A6"/>
    <w:rsid w:val="00E73B1B"/>
    <w:rsid w:val="00E73D02"/>
    <w:rsid w:val="00E74224"/>
    <w:rsid w:val="00E74420"/>
    <w:rsid w:val="00E74526"/>
    <w:rsid w:val="00E7475B"/>
    <w:rsid w:val="00E747A9"/>
    <w:rsid w:val="00E74A1A"/>
    <w:rsid w:val="00E74C63"/>
    <w:rsid w:val="00E74DA9"/>
    <w:rsid w:val="00E74DC1"/>
    <w:rsid w:val="00E751DA"/>
    <w:rsid w:val="00E753C2"/>
    <w:rsid w:val="00E75640"/>
    <w:rsid w:val="00E75919"/>
    <w:rsid w:val="00E75ADD"/>
    <w:rsid w:val="00E75F45"/>
    <w:rsid w:val="00E7603F"/>
    <w:rsid w:val="00E7605B"/>
    <w:rsid w:val="00E76064"/>
    <w:rsid w:val="00E76197"/>
    <w:rsid w:val="00E76634"/>
    <w:rsid w:val="00E76C1C"/>
    <w:rsid w:val="00E7715C"/>
    <w:rsid w:val="00E7741A"/>
    <w:rsid w:val="00E7779E"/>
    <w:rsid w:val="00E778AD"/>
    <w:rsid w:val="00E77987"/>
    <w:rsid w:val="00E77A15"/>
    <w:rsid w:val="00E77ABA"/>
    <w:rsid w:val="00E80363"/>
    <w:rsid w:val="00E80612"/>
    <w:rsid w:val="00E80C25"/>
    <w:rsid w:val="00E80D8B"/>
    <w:rsid w:val="00E80DA9"/>
    <w:rsid w:val="00E80DFB"/>
    <w:rsid w:val="00E80E34"/>
    <w:rsid w:val="00E80E49"/>
    <w:rsid w:val="00E80EC6"/>
    <w:rsid w:val="00E81082"/>
    <w:rsid w:val="00E81199"/>
    <w:rsid w:val="00E813C7"/>
    <w:rsid w:val="00E813E0"/>
    <w:rsid w:val="00E81B8F"/>
    <w:rsid w:val="00E81C26"/>
    <w:rsid w:val="00E81E0F"/>
    <w:rsid w:val="00E826CD"/>
    <w:rsid w:val="00E82A58"/>
    <w:rsid w:val="00E82ADB"/>
    <w:rsid w:val="00E82C74"/>
    <w:rsid w:val="00E82E0C"/>
    <w:rsid w:val="00E831F0"/>
    <w:rsid w:val="00E83453"/>
    <w:rsid w:val="00E836C4"/>
    <w:rsid w:val="00E838A0"/>
    <w:rsid w:val="00E83997"/>
    <w:rsid w:val="00E83C8F"/>
    <w:rsid w:val="00E83DEB"/>
    <w:rsid w:val="00E83E71"/>
    <w:rsid w:val="00E83E81"/>
    <w:rsid w:val="00E83E82"/>
    <w:rsid w:val="00E84077"/>
    <w:rsid w:val="00E840B5"/>
    <w:rsid w:val="00E846B1"/>
    <w:rsid w:val="00E84CB3"/>
    <w:rsid w:val="00E84E07"/>
    <w:rsid w:val="00E84EEC"/>
    <w:rsid w:val="00E84F88"/>
    <w:rsid w:val="00E851DE"/>
    <w:rsid w:val="00E8539C"/>
    <w:rsid w:val="00E8561D"/>
    <w:rsid w:val="00E85886"/>
    <w:rsid w:val="00E858C3"/>
    <w:rsid w:val="00E85E8C"/>
    <w:rsid w:val="00E85F9E"/>
    <w:rsid w:val="00E8605D"/>
    <w:rsid w:val="00E860EE"/>
    <w:rsid w:val="00E8622C"/>
    <w:rsid w:val="00E86254"/>
    <w:rsid w:val="00E86798"/>
    <w:rsid w:val="00E86E62"/>
    <w:rsid w:val="00E86F24"/>
    <w:rsid w:val="00E87038"/>
    <w:rsid w:val="00E872DC"/>
    <w:rsid w:val="00E872F3"/>
    <w:rsid w:val="00E87796"/>
    <w:rsid w:val="00E879AA"/>
    <w:rsid w:val="00E87C4F"/>
    <w:rsid w:val="00E87E8A"/>
    <w:rsid w:val="00E87F71"/>
    <w:rsid w:val="00E87F78"/>
    <w:rsid w:val="00E90028"/>
    <w:rsid w:val="00E90471"/>
    <w:rsid w:val="00E9066F"/>
    <w:rsid w:val="00E908B3"/>
    <w:rsid w:val="00E9097C"/>
    <w:rsid w:val="00E90A53"/>
    <w:rsid w:val="00E90F45"/>
    <w:rsid w:val="00E915A4"/>
    <w:rsid w:val="00E91B3A"/>
    <w:rsid w:val="00E91F89"/>
    <w:rsid w:val="00E921C7"/>
    <w:rsid w:val="00E92291"/>
    <w:rsid w:val="00E92439"/>
    <w:rsid w:val="00E92A32"/>
    <w:rsid w:val="00E92A69"/>
    <w:rsid w:val="00E92A7F"/>
    <w:rsid w:val="00E92AFA"/>
    <w:rsid w:val="00E92C0B"/>
    <w:rsid w:val="00E92C78"/>
    <w:rsid w:val="00E92DB8"/>
    <w:rsid w:val="00E930C6"/>
    <w:rsid w:val="00E932EE"/>
    <w:rsid w:val="00E93673"/>
    <w:rsid w:val="00E93C4B"/>
    <w:rsid w:val="00E94035"/>
    <w:rsid w:val="00E94200"/>
    <w:rsid w:val="00E94F77"/>
    <w:rsid w:val="00E95246"/>
    <w:rsid w:val="00E95256"/>
    <w:rsid w:val="00E95646"/>
    <w:rsid w:val="00E9593D"/>
    <w:rsid w:val="00E95B99"/>
    <w:rsid w:val="00E95C1D"/>
    <w:rsid w:val="00E95D62"/>
    <w:rsid w:val="00E95EB5"/>
    <w:rsid w:val="00E95FA1"/>
    <w:rsid w:val="00E96403"/>
    <w:rsid w:val="00E96791"/>
    <w:rsid w:val="00E968EB"/>
    <w:rsid w:val="00E96BBA"/>
    <w:rsid w:val="00E96CC7"/>
    <w:rsid w:val="00E96EB9"/>
    <w:rsid w:val="00E96F37"/>
    <w:rsid w:val="00E97290"/>
    <w:rsid w:val="00E972A9"/>
    <w:rsid w:val="00E97469"/>
    <w:rsid w:val="00E97541"/>
    <w:rsid w:val="00E9759A"/>
    <w:rsid w:val="00E97982"/>
    <w:rsid w:val="00E97A9A"/>
    <w:rsid w:val="00EA0496"/>
    <w:rsid w:val="00EA06D1"/>
    <w:rsid w:val="00EA080E"/>
    <w:rsid w:val="00EA0AC1"/>
    <w:rsid w:val="00EA0BEE"/>
    <w:rsid w:val="00EA0C9A"/>
    <w:rsid w:val="00EA1985"/>
    <w:rsid w:val="00EA1A7F"/>
    <w:rsid w:val="00EA1B09"/>
    <w:rsid w:val="00EA1E13"/>
    <w:rsid w:val="00EA2316"/>
    <w:rsid w:val="00EA23C0"/>
    <w:rsid w:val="00EA256B"/>
    <w:rsid w:val="00EA25F0"/>
    <w:rsid w:val="00EA2720"/>
    <w:rsid w:val="00EA2CD2"/>
    <w:rsid w:val="00EA2FB1"/>
    <w:rsid w:val="00EA3332"/>
    <w:rsid w:val="00EA34E4"/>
    <w:rsid w:val="00EA352B"/>
    <w:rsid w:val="00EA3567"/>
    <w:rsid w:val="00EA35F7"/>
    <w:rsid w:val="00EA3814"/>
    <w:rsid w:val="00EA3AD7"/>
    <w:rsid w:val="00EA3B82"/>
    <w:rsid w:val="00EA3FF2"/>
    <w:rsid w:val="00EA40FE"/>
    <w:rsid w:val="00EA436C"/>
    <w:rsid w:val="00EA4447"/>
    <w:rsid w:val="00EA45D1"/>
    <w:rsid w:val="00EA486F"/>
    <w:rsid w:val="00EA4C9E"/>
    <w:rsid w:val="00EA4D32"/>
    <w:rsid w:val="00EA4DFA"/>
    <w:rsid w:val="00EA539C"/>
    <w:rsid w:val="00EA53A9"/>
    <w:rsid w:val="00EA53BB"/>
    <w:rsid w:val="00EA55A4"/>
    <w:rsid w:val="00EA55B2"/>
    <w:rsid w:val="00EA58C3"/>
    <w:rsid w:val="00EA5A81"/>
    <w:rsid w:val="00EA60D2"/>
    <w:rsid w:val="00EA6463"/>
    <w:rsid w:val="00EA678E"/>
    <w:rsid w:val="00EA6836"/>
    <w:rsid w:val="00EA6ABB"/>
    <w:rsid w:val="00EA6ADD"/>
    <w:rsid w:val="00EA6BFC"/>
    <w:rsid w:val="00EA6C00"/>
    <w:rsid w:val="00EA6E9F"/>
    <w:rsid w:val="00EA70BD"/>
    <w:rsid w:val="00EA7774"/>
    <w:rsid w:val="00EA7811"/>
    <w:rsid w:val="00EA799C"/>
    <w:rsid w:val="00EA7AD6"/>
    <w:rsid w:val="00EA7C4B"/>
    <w:rsid w:val="00EA7DAD"/>
    <w:rsid w:val="00EB007C"/>
    <w:rsid w:val="00EB008E"/>
    <w:rsid w:val="00EB0153"/>
    <w:rsid w:val="00EB02CF"/>
    <w:rsid w:val="00EB0573"/>
    <w:rsid w:val="00EB0804"/>
    <w:rsid w:val="00EB0B99"/>
    <w:rsid w:val="00EB0BB3"/>
    <w:rsid w:val="00EB10A6"/>
    <w:rsid w:val="00EB1368"/>
    <w:rsid w:val="00EB1374"/>
    <w:rsid w:val="00EB16E0"/>
    <w:rsid w:val="00EB1749"/>
    <w:rsid w:val="00EB1B49"/>
    <w:rsid w:val="00EB1D30"/>
    <w:rsid w:val="00EB1F41"/>
    <w:rsid w:val="00EB21CA"/>
    <w:rsid w:val="00EB2218"/>
    <w:rsid w:val="00EB290A"/>
    <w:rsid w:val="00EB2BC0"/>
    <w:rsid w:val="00EB2CFA"/>
    <w:rsid w:val="00EB2DDC"/>
    <w:rsid w:val="00EB2F9E"/>
    <w:rsid w:val="00EB2FAC"/>
    <w:rsid w:val="00EB310C"/>
    <w:rsid w:val="00EB3171"/>
    <w:rsid w:val="00EB3459"/>
    <w:rsid w:val="00EB35CC"/>
    <w:rsid w:val="00EB364A"/>
    <w:rsid w:val="00EB39CE"/>
    <w:rsid w:val="00EB3BAD"/>
    <w:rsid w:val="00EB3C31"/>
    <w:rsid w:val="00EB422F"/>
    <w:rsid w:val="00EB425A"/>
    <w:rsid w:val="00EB4401"/>
    <w:rsid w:val="00EB44AE"/>
    <w:rsid w:val="00EB47AA"/>
    <w:rsid w:val="00EB482F"/>
    <w:rsid w:val="00EB4864"/>
    <w:rsid w:val="00EB4BDE"/>
    <w:rsid w:val="00EB4D01"/>
    <w:rsid w:val="00EB52A7"/>
    <w:rsid w:val="00EB5303"/>
    <w:rsid w:val="00EB5524"/>
    <w:rsid w:val="00EB5574"/>
    <w:rsid w:val="00EB56C8"/>
    <w:rsid w:val="00EB590B"/>
    <w:rsid w:val="00EB59E7"/>
    <w:rsid w:val="00EB5C6C"/>
    <w:rsid w:val="00EB5F1F"/>
    <w:rsid w:val="00EB5F5D"/>
    <w:rsid w:val="00EB6516"/>
    <w:rsid w:val="00EB67E7"/>
    <w:rsid w:val="00EB6A59"/>
    <w:rsid w:val="00EB6AD8"/>
    <w:rsid w:val="00EB6B18"/>
    <w:rsid w:val="00EB6B85"/>
    <w:rsid w:val="00EB6D3F"/>
    <w:rsid w:val="00EB6DD6"/>
    <w:rsid w:val="00EB70CC"/>
    <w:rsid w:val="00EB739C"/>
    <w:rsid w:val="00EB744F"/>
    <w:rsid w:val="00EB7ACC"/>
    <w:rsid w:val="00EB7C9C"/>
    <w:rsid w:val="00EB7CC5"/>
    <w:rsid w:val="00EB7F9B"/>
    <w:rsid w:val="00EC02E5"/>
    <w:rsid w:val="00EC0683"/>
    <w:rsid w:val="00EC09F9"/>
    <w:rsid w:val="00EC0B6D"/>
    <w:rsid w:val="00EC0FE1"/>
    <w:rsid w:val="00EC1112"/>
    <w:rsid w:val="00EC1166"/>
    <w:rsid w:val="00EC1682"/>
    <w:rsid w:val="00EC1756"/>
    <w:rsid w:val="00EC194D"/>
    <w:rsid w:val="00EC1CCE"/>
    <w:rsid w:val="00EC1CE7"/>
    <w:rsid w:val="00EC1E7A"/>
    <w:rsid w:val="00EC1EA8"/>
    <w:rsid w:val="00EC23CE"/>
    <w:rsid w:val="00EC24A0"/>
    <w:rsid w:val="00EC28DD"/>
    <w:rsid w:val="00EC29D1"/>
    <w:rsid w:val="00EC2A55"/>
    <w:rsid w:val="00EC2E09"/>
    <w:rsid w:val="00EC2E4F"/>
    <w:rsid w:val="00EC329E"/>
    <w:rsid w:val="00EC3552"/>
    <w:rsid w:val="00EC3918"/>
    <w:rsid w:val="00EC3960"/>
    <w:rsid w:val="00EC3AC7"/>
    <w:rsid w:val="00EC3BEA"/>
    <w:rsid w:val="00EC3C05"/>
    <w:rsid w:val="00EC4740"/>
    <w:rsid w:val="00EC47A9"/>
    <w:rsid w:val="00EC4812"/>
    <w:rsid w:val="00EC4A3C"/>
    <w:rsid w:val="00EC4B9F"/>
    <w:rsid w:val="00EC4C0E"/>
    <w:rsid w:val="00EC4CC5"/>
    <w:rsid w:val="00EC4F8F"/>
    <w:rsid w:val="00EC5072"/>
    <w:rsid w:val="00EC5157"/>
    <w:rsid w:val="00EC517C"/>
    <w:rsid w:val="00EC5482"/>
    <w:rsid w:val="00EC5859"/>
    <w:rsid w:val="00EC592E"/>
    <w:rsid w:val="00EC5A23"/>
    <w:rsid w:val="00EC5D69"/>
    <w:rsid w:val="00EC6132"/>
    <w:rsid w:val="00EC61C8"/>
    <w:rsid w:val="00EC62E5"/>
    <w:rsid w:val="00EC6385"/>
    <w:rsid w:val="00EC65BA"/>
    <w:rsid w:val="00EC70E7"/>
    <w:rsid w:val="00EC750F"/>
    <w:rsid w:val="00EC7692"/>
    <w:rsid w:val="00EC7967"/>
    <w:rsid w:val="00EC7982"/>
    <w:rsid w:val="00EC7B1E"/>
    <w:rsid w:val="00EC7BEB"/>
    <w:rsid w:val="00EC7CA4"/>
    <w:rsid w:val="00ED0149"/>
    <w:rsid w:val="00ED0323"/>
    <w:rsid w:val="00ED04E1"/>
    <w:rsid w:val="00ED0662"/>
    <w:rsid w:val="00ED0884"/>
    <w:rsid w:val="00ED0988"/>
    <w:rsid w:val="00ED09B7"/>
    <w:rsid w:val="00ED0B60"/>
    <w:rsid w:val="00ED0DD2"/>
    <w:rsid w:val="00ED0F2D"/>
    <w:rsid w:val="00ED12BB"/>
    <w:rsid w:val="00ED12C9"/>
    <w:rsid w:val="00ED13C9"/>
    <w:rsid w:val="00ED1446"/>
    <w:rsid w:val="00ED147D"/>
    <w:rsid w:val="00ED14CF"/>
    <w:rsid w:val="00ED1AC7"/>
    <w:rsid w:val="00ED1BA6"/>
    <w:rsid w:val="00ED1E12"/>
    <w:rsid w:val="00ED1F01"/>
    <w:rsid w:val="00ED20A0"/>
    <w:rsid w:val="00ED218B"/>
    <w:rsid w:val="00ED2CB4"/>
    <w:rsid w:val="00ED2D99"/>
    <w:rsid w:val="00ED2DD6"/>
    <w:rsid w:val="00ED300E"/>
    <w:rsid w:val="00ED34EC"/>
    <w:rsid w:val="00ED3674"/>
    <w:rsid w:val="00ED372D"/>
    <w:rsid w:val="00ED37B6"/>
    <w:rsid w:val="00ED3831"/>
    <w:rsid w:val="00ED39EA"/>
    <w:rsid w:val="00ED3B90"/>
    <w:rsid w:val="00ED3BD2"/>
    <w:rsid w:val="00ED3C08"/>
    <w:rsid w:val="00ED3C34"/>
    <w:rsid w:val="00ED3D44"/>
    <w:rsid w:val="00ED3D4D"/>
    <w:rsid w:val="00ED3EF6"/>
    <w:rsid w:val="00ED3F2C"/>
    <w:rsid w:val="00ED429B"/>
    <w:rsid w:val="00ED466F"/>
    <w:rsid w:val="00ED472D"/>
    <w:rsid w:val="00ED475D"/>
    <w:rsid w:val="00ED4AA1"/>
    <w:rsid w:val="00ED4C2D"/>
    <w:rsid w:val="00ED4DCF"/>
    <w:rsid w:val="00ED50A1"/>
    <w:rsid w:val="00ED50DB"/>
    <w:rsid w:val="00ED55AB"/>
    <w:rsid w:val="00ED563F"/>
    <w:rsid w:val="00ED5707"/>
    <w:rsid w:val="00ED5AAF"/>
    <w:rsid w:val="00ED5CC7"/>
    <w:rsid w:val="00ED6180"/>
    <w:rsid w:val="00ED668B"/>
    <w:rsid w:val="00ED6A84"/>
    <w:rsid w:val="00ED6BC0"/>
    <w:rsid w:val="00ED6C76"/>
    <w:rsid w:val="00ED6CA5"/>
    <w:rsid w:val="00ED6CB3"/>
    <w:rsid w:val="00ED6FFD"/>
    <w:rsid w:val="00ED701E"/>
    <w:rsid w:val="00ED7286"/>
    <w:rsid w:val="00ED72AD"/>
    <w:rsid w:val="00ED73A8"/>
    <w:rsid w:val="00ED75DE"/>
    <w:rsid w:val="00ED763C"/>
    <w:rsid w:val="00ED7B74"/>
    <w:rsid w:val="00EE02A9"/>
    <w:rsid w:val="00EE05ED"/>
    <w:rsid w:val="00EE063C"/>
    <w:rsid w:val="00EE067A"/>
    <w:rsid w:val="00EE07F2"/>
    <w:rsid w:val="00EE08CE"/>
    <w:rsid w:val="00EE09F3"/>
    <w:rsid w:val="00EE0A15"/>
    <w:rsid w:val="00EE0E3D"/>
    <w:rsid w:val="00EE0F53"/>
    <w:rsid w:val="00EE0FC3"/>
    <w:rsid w:val="00EE11CA"/>
    <w:rsid w:val="00EE12C0"/>
    <w:rsid w:val="00EE137C"/>
    <w:rsid w:val="00EE14E1"/>
    <w:rsid w:val="00EE1699"/>
    <w:rsid w:val="00EE19B6"/>
    <w:rsid w:val="00EE1DC1"/>
    <w:rsid w:val="00EE247F"/>
    <w:rsid w:val="00EE253F"/>
    <w:rsid w:val="00EE27A0"/>
    <w:rsid w:val="00EE2945"/>
    <w:rsid w:val="00EE2F33"/>
    <w:rsid w:val="00EE2F9D"/>
    <w:rsid w:val="00EE3100"/>
    <w:rsid w:val="00EE3250"/>
    <w:rsid w:val="00EE326D"/>
    <w:rsid w:val="00EE3408"/>
    <w:rsid w:val="00EE35A9"/>
    <w:rsid w:val="00EE36BC"/>
    <w:rsid w:val="00EE3923"/>
    <w:rsid w:val="00EE3AF4"/>
    <w:rsid w:val="00EE3BF5"/>
    <w:rsid w:val="00EE3CAF"/>
    <w:rsid w:val="00EE3E7F"/>
    <w:rsid w:val="00EE4033"/>
    <w:rsid w:val="00EE4087"/>
    <w:rsid w:val="00EE47DD"/>
    <w:rsid w:val="00EE47E7"/>
    <w:rsid w:val="00EE48F7"/>
    <w:rsid w:val="00EE4B67"/>
    <w:rsid w:val="00EE4C43"/>
    <w:rsid w:val="00EE4EA6"/>
    <w:rsid w:val="00EE51A0"/>
    <w:rsid w:val="00EE5257"/>
    <w:rsid w:val="00EE5334"/>
    <w:rsid w:val="00EE544F"/>
    <w:rsid w:val="00EE5572"/>
    <w:rsid w:val="00EE5855"/>
    <w:rsid w:val="00EE5ECF"/>
    <w:rsid w:val="00EE627E"/>
    <w:rsid w:val="00EE65C5"/>
    <w:rsid w:val="00EE6637"/>
    <w:rsid w:val="00EE6653"/>
    <w:rsid w:val="00EE68D9"/>
    <w:rsid w:val="00EE696E"/>
    <w:rsid w:val="00EE6988"/>
    <w:rsid w:val="00EE6B40"/>
    <w:rsid w:val="00EE6C88"/>
    <w:rsid w:val="00EE6D9B"/>
    <w:rsid w:val="00EE6DB9"/>
    <w:rsid w:val="00EE6FBF"/>
    <w:rsid w:val="00EE740F"/>
    <w:rsid w:val="00EE761F"/>
    <w:rsid w:val="00EE78D2"/>
    <w:rsid w:val="00EE7B41"/>
    <w:rsid w:val="00EE7BAB"/>
    <w:rsid w:val="00EF00B4"/>
    <w:rsid w:val="00EF01AC"/>
    <w:rsid w:val="00EF01D4"/>
    <w:rsid w:val="00EF0228"/>
    <w:rsid w:val="00EF0478"/>
    <w:rsid w:val="00EF06D7"/>
    <w:rsid w:val="00EF06E6"/>
    <w:rsid w:val="00EF0738"/>
    <w:rsid w:val="00EF0C08"/>
    <w:rsid w:val="00EF0CFE"/>
    <w:rsid w:val="00EF0D71"/>
    <w:rsid w:val="00EF117B"/>
    <w:rsid w:val="00EF122F"/>
    <w:rsid w:val="00EF132F"/>
    <w:rsid w:val="00EF137F"/>
    <w:rsid w:val="00EF13BE"/>
    <w:rsid w:val="00EF148E"/>
    <w:rsid w:val="00EF1568"/>
    <w:rsid w:val="00EF15FE"/>
    <w:rsid w:val="00EF1759"/>
    <w:rsid w:val="00EF1769"/>
    <w:rsid w:val="00EF1A39"/>
    <w:rsid w:val="00EF1C19"/>
    <w:rsid w:val="00EF1E8F"/>
    <w:rsid w:val="00EF1F68"/>
    <w:rsid w:val="00EF2098"/>
    <w:rsid w:val="00EF2127"/>
    <w:rsid w:val="00EF2179"/>
    <w:rsid w:val="00EF2364"/>
    <w:rsid w:val="00EF272E"/>
    <w:rsid w:val="00EF27C4"/>
    <w:rsid w:val="00EF27EC"/>
    <w:rsid w:val="00EF2824"/>
    <w:rsid w:val="00EF2905"/>
    <w:rsid w:val="00EF2DB0"/>
    <w:rsid w:val="00EF2F56"/>
    <w:rsid w:val="00EF31A3"/>
    <w:rsid w:val="00EF3249"/>
    <w:rsid w:val="00EF3297"/>
    <w:rsid w:val="00EF333E"/>
    <w:rsid w:val="00EF3399"/>
    <w:rsid w:val="00EF35E6"/>
    <w:rsid w:val="00EF3766"/>
    <w:rsid w:val="00EF37F3"/>
    <w:rsid w:val="00EF393D"/>
    <w:rsid w:val="00EF3C21"/>
    <w:rsid w:val="00EF3D63"/>
    <w:rsid w:val="00EF3DCA"/>
    <w:rsid w:val="00EF3E03"/>
    <w:rsid w:val="00EF3F09"/>
    <w:rsid w:val="00EF4075"/>
    <w:rsid w:val="00EF426E"/>
    <w:rsid w:val="00EF4390"/>
    <w:rsid w:val="00EF44C1"/>
    <w:rsid w:val="00EF4758"/>
    <w:rsid w:val="00EF49F6"/>
    <w:rsid w:val="00EF4A27"/>
    <w:rsid w:val="00EF4BBC"/>
    <w:rsid w:val="00EF4C7D"/>
    <w:rsid w:val="00EF4FF0"/>
    <w:rsid w:val="00EF501A"/>
    <w:rsid w:val="00EF5365"/>
    <w:rsid w:val="00EF5372"/>
    <w:rsid w:val="00EF5401"/>
    <w:rsid w:val="00EF540D"/>
    <w:rsid w:val="00EF54BC"/>
    <w:rsid w:val="00EF552B"/>
    <w:rsid w:val="00EF55F7"/>
    <w:rsid w:val="00EF5638"/>
    <w:rsid w:val="00EF58BE"/>
    <w:rsid w:val="00EF5B46"/>
    <w:rsid w:val="00EF5DB1"/>
    <w:rsid w:val="00EF618B"/>
    <w:rsid w:val="00EF61E8"/>
    <w:rsid w:val="00EF644B"/>
    <w:rsid w:val="00EF6BEE"/>
    <w:rsid w:val="00EF6FD4"/>
    <w:rsid w:val="00EF70BF"/>
    <w:rsid w:val="00EF70D9"/>
    <w:rsid w:val="00EF786B"/>
    <w:rsid w:val="00EF78EC"/>
    <w:rsid w:val="00EF7FF6"/>
    <w:rsid w:val="00F0039E"/>
    <w:rsid w:val="00F00AB8"/>
    <w:rsid w:val="00F00B04"/>
    <w:rsid w:val="00F00D3B"/>
    <w:rsid w:val="00F00F6E"/>
    <w:rsid w:val="00F0187C"/>
    <w:rsid w:val="00F0195D"/>
    <w:rsid w:val="00F0199C"/>
    <w:rsid w:val="00F01CF1"/>
    <w:rsid w:val="00F01F05"/>
    <w:rsid w:val="00F02128"/>
    <w:rsid w:val="00F022DB"/>
    <w:rsid w:val="00F0231F"/>
    <w:rsid w:val="00F02659"/>
    <w:rsid w:val="00F02747"/>
    <w:rsid w:val="00F027F8"/>
    <w:rsid w:val="00F032C7"/>
    <w:rsid w:val="00F0357E"/>
    <w:rsid w:val="00F035DA"/>
    <w:rsid w:val="00F036D1"/>
    <w:rsid w:val="00F03910"/>
    <w:rsid w:val="00F03921"/>
    <w:rsid w:val="00F03E79"/>
    <w:rsid w:val="00F03F13"/>
    <w:rsid w:val="00F03F78"/>
    <w:rsid w:val="00F040CD"/>
    <w:rsid w:val="00F040D3"/>
    <w:rsid w:val="00F040D4"/>
    <w:rsid w:val="00F0412E"/>
    <w:rsid w:val="00F0423B"/>
    <w:rsid w:val="00F04590"/>
    <w:rsid w:val="00F0466B"/>
    <w:rsid w:val="00F04677"/>
    <w:rsid w:val="00F047AF"/>
    <w:rsid w:val="00F047BC"/>
    <w:rsid w:val="00F04C5C"/>
    <w:rsid w:val="00F04E2C"/>
    <w:rsid w:val="00F05021"/>
    <w:rsid w:val="00F05890"/>
    <w:rsid w:val="00F0592F"/>
    <w:rsid w:val="00F0599E"/>
    <w:rsid w:val="00F05BAA"/>
    <w:rsid w:val="00F05D33"/>
    <w:rsid w:val="00F065BA"/>
    <w:rsid w:val="00F06A2F"/>
    <w:rsid w:val="00F06A82"/>
    <w:rsid w:val="00F06D30"/>
    <w:rsid w:val="00F070F4"/>
    <w:rsid w:val="00F07390"/>
    <w:rsid w:val="00F07408"/>
    <w:rsid w:val="00F0749E"/>
    <w:rsid w:val="00F07510"/>
    <w:rsid w:val="00F0762B"/>
    <w:rsid w:val="00F07677"/>
    <w:rsid w:val="00F0787E"/>
    <w:rsid w:val="00F0788E"/>
    <w:rsid w:val="00F078CB"/>
    <w:rsid w:val="00F07B34"/>
    <w:rsid w:val="00F07C31"/>
    <w:rsid w:val="00F07CF2"/>
    <w:rsid w:val="00F07F38"/>
    <w:rsid w:val="00F100F6"/>
    <w:rsid w:val="00F10240"/>
    <w:rsid w:val="00F1029D"/>
    <w:rsid w:val="00F104AF"/>
    <w:rsid w:val="00F104D3"/>
    <w:rsid w:val="00F10607"/>
    <w:rsid w:val="00F10626"/>
    <w:rsid w:val="00F10775"/>
    <w:rsid w:val="00F10C2F"/>
    <w:rsid w:val="00F10C3B"/>
    <w:rsid w:val="00F10DFF"/>
    <w:rsid w:val="00F10E0D"/>
    <w:rsid w:val="00F110C9"/>
    <w:rsid w:val="00F11342"/>
    <w:rsid w:val="00F11A56"/>
    <w:rsid w:val="00F1245A"/>
    <w:rsid w:val="00F128C5"/>
    <w:rsid w:val="00F12A36"/>
    <w:rsid w:val="00F12E9A"/>
    <w:rsid w:val="00F1345E"/>
    <w:rsid w:val="00F13518"/>
    <w:rsid w:val="00F13746"/>
    <w:rsid w:val="00F1384A"/>
    <w:rsid w:val="00F13B44"/>
    <w:rsid w:val="00F13EDC"/>
    <w:rsid w:val="00F1424E"/>
    <w:rsid w:val="00F14363"/>
    <w:rsid w:val="00F14489"/>
    <w:rsid w:val="00F14840"/>
    <w:rsid w:val="00F14D61"/>
    <w:rsid w:val="00F14F86"/>
    <w:rsid w:val="00F15258"/>
    <w:rsid w:val="00F152A6"/>
    <w:rsid w:val="00F1531C"/>
    <w:rsid w:val="00F1581A"/>
    <w:rsid w:val="00F15858"/>
    <w:rsid w:val="00F15A51"/>
    <w:rsid w:val="00F15ABD"/>
    <w:rsid w:val="00F15C07"/>
    <w:rsid w:val="00F15E60"/>
    <w:rsid w:val="00F15F97"/>
    <w:rsid w:val="00F16001"/>
    <w:rsid w:val="00F16574"/>
    <w:rsid w:val="00F168E3"/>
    <w:rsid w:val="00F16D13"/>
    <w:rsid w:val="00F16EFC"/>
    <w:rsid w:val="00F1707D"/>
    <w:rsid w:val="00F173F9"/>
    <w:rsid w:val="00F1740F"/>
    <w:rsid w:val="00F17652"/>
    <w:rsid w:val="00F17D1F"/>
    <w:rsid w:val="00F20559"/>
    <w:rsid w:val="00F20577"/>
    <w:rsid w:val="00F205F4"/>
    <w:rsid w:val="00F20662"/>
    <w:rsid w:val="00F20E53"/>
    <w:rsid w:val="00F21367"/>
    <w:rsid w:val="00F21372"/>
    <w:rsid w:val="00F218CD"/>
    <w:rsid w:val="00F21AF8"/>
    <w:rsid w:val="00F21B62"/>
    <w:rsid w:val="00F21CD6"/>
    <w:rsid w:val="00F21E36"/>
    <w:rsid w:val="00F22309"/>
    <w:rsid w:val="00F22496"/>
    <w:rsid w:val="00F22921"/>
    <w:rsid w:val="00F22A78"/>
    <w:rsid w:val="00F22B36"/>
    <w:rsid w:val="00F22CE5"/>
    <w:rsid w:val="00F22F13"/>
    <w:rsid w:val="00F230A7"/>
    <w:rsid w:val="00F235B9"/>
    <w:rsid w:val="00F23759"/>
    <w:rsid w:val="00F2394C"/>
    <w:rsid w:val="00F2396F"/>
    <w:rsid w:val="00F239E9"/>
    <w:rsid w:val="00F23AB5"/>
    <w:rsid w:val="00F23AFC"/>
    <w:rsid w:val="00F23B4A"/>
    <w:rsid w:val="00F23B9F"/>
    <w:rsid w:val="00F242D9"/>
    <w:rsid w:val="00F2477A"/>
    <w:rsid w:val="00F24A7E"/>
    <w:rsid w:val="00F24BCB"/>
    <w:rsid w:val="00F24E16"/>
    <w:rsid w:val="00F24F70"/>
    <w:rsid w:val="00F25091"/>
    <w:rsid w:val="00F253B6"/>
    <w:rsid w:val="00F25406"/>
    <w:rsid w:val="00F2555B"/>
    <w:rsid w:val="00F25A59"/>
    <w:rsid w:val="00F25C96"/>
    <w:rsid w:val="00F26229"/>
    <w:rsid w:val="00F2642E"/>
    <w:rsid w:val="00F266A2"/>
    <w:rsid w:val="00F26A86"/>
    <w:rsid w:val="00F2732D"/>
    <w:rsid w:val="00F275C8"/>
    <w:rsid w:val="00F27787"/>
    <w:rsid w:val="00F278D4"/>
    <w:rsid w:val="00F278DF"/>
    <w:rsid w:val="00F279CD"/>
    <w:rsid w:val="00F27BC3"/>
    <w:rsid w:val="00F30069"/>
    <w:rsid w:val="00F302F9"/>
    <w:rsid w:val="00F3035F"/>
    <w:rsid w:val="00F30557"/>
    <w:rsid w:val="00F306B2"/>
    <w:rsid w:val="00F31318"/>
    <w:rsid w:val="00F313D1"/>
    <w:rsid w:val="00F31886"/>
    <w:rsid w:val="00F318FB"/>
    <w:rsid w:val="00F31A4E"/>
    <w:rsid w:val="00F31B1C"/>
    <w:rsid w:val="00F31B66"/>
    <w:rsid w:val="00F31D0A"/>
    <w:rsid w:val="00F31D61"/>
    <w:rsid w:val="00F31F1B"/>
    <w:rsid w:val="00F322E9"/>
    <w:rsid w:val="00F32324"/>
    <w:rsid w:val="00F3237B"/>
    <w:rsid w:val="00F325D5"/>
    <w:rsid w:val="00F329D4"/>
    <w:rsid w:val="00F32B2F"/>
    <w:rsid w:val="00F32C15"/>
    <w:rsid w:val="00F32F04"/>
    <w:rsid w:val="00F32F88"/>
    <w:rsid w:val="00F33276"/>
    <w:rsid w:val="00F33458"/>
    <w:rsid w:val="00F33578"/>
    <w:rsid w:val="00F33738"/>
    <w:rsid w:val="00F337FC"/>
    <w:rsid w:val="00F33979"/>
    <w:rsid w:val="00F33D47"/>
    <w:rsid w:val="00F3432C"/>
    <w:rsid w:val="00F34526"/>
    <w:rsid w:val="00F34662"/>
    <w:rsid w:val="00F34852"/>
    <w:rsid w:val="00F34855"/>
    <w:rsid w:val="00F34926"/>
    <w:rsid w:val="00F34EBB"/>
    <w:rsid w:val="00F35396"/>
    <w:rsid w:val="00F355AC"/>
    <w:rsid w:val="00F3572D"/>
    <w:rsid w:val="00F357B3"/>
    <w:rsid w:val="00F35808"/>
    <w:rsid w:val="00F3593D"/>
    <w:rsid w:val="00F359DA"/>
    <w:rsid w:val="00F35C94"/>
    <w:rsid w:val="00F35D18"/>
    <w:rsid w:val="00F36082"/>
    <w:rsid w:val="00F3665E"/>
    <w:rsid w:val="00F36AC0"/>
    <w:rsid w:val="00F36CBE"/>
    <w:rsid w:val="00F36F47"/>
    <w:rsid w:val="00F3704D"/>
    <w:rsid w:val="00F372E3"/>
    <w:rsid w:val="00F373D0"/>
    <w:rsid w:val="00F37595"/>
    <w:rsid w:val="00F375AE"/>
    <w:rsid w:val="00F37777"/>
    <w:rsid w:val="00F3794A"/>
    <w:rsid w:val="00F37C15"/>
    <w:rsid w:val="00F37C22"/>
    <w:rsid w:val="00F37DC7"/>
    <w:rsid w:val="00F404B0"/>
    <w:rsid w:val="00F4056E"/>
    <w:rsid w:val="00F40756"/>
    <w:rsid w:val="00F40BAB"/>
    <w:rsid w:val="00F40E02"/>
    <w:rsid w:val="00F40E9D"/>
    <w:rsid w:val="00F40EBA"/>
    <w:rsid w:val="00F412CB"/>
    <w:rsid w:val="00F4134B"/>
    <w:rsid w:val="00F41840"/>
    <w:rsid w:val="00F41ADF"/>
    <w:rsid w:val="00F41B2F"/>
    <w:rsid w:val="00F41C21"/>
    <w:rsid w:val="00F41D08"/>
    <w:rsid w:val="00F41E4B"/>
    <w:rsid w:val="00F41F66"/>
    <w:rsid w:val="00F4216A"/>
    <w:rsid w:val="00F4224E"/>
    <w:rsid w:val="00F422F7"/>
    <w:rsid w:val="00F4237A"/>
    <w:rsid w:val="00F423CF"/>
    <w:rsid w:val="00F42431"/>
    <w:rsid w:val="00F424DA"/>
    <w:rsid w:val="00F42D14"/>
    <w:rsid w:val="00F42E6D"/>
    <w:rsid w:val="00F430A6"/>
    <w:rsid w:val="00F433E1"/>
    <w:rsid w:val="00F4354C"/>
    <w:rsid w:val="00F43782"/>
    <w:rsid w:val="00F439CB"/>
    <w:rsid w:val="00F43A2C"/>
    <w:rsid w:val="00F4410C"/>
    <w:rsid w:val="00F442F7"/>
    <w:rsid w:val="00F445AB"/>
    <w:rsid w:val="00F448E2"/>
    <w:rsid w:val="00F44C43"/>
    <w:rsid w:val="00F44DCF"/>
    <w:rsid w:val="00F450ED"/>
    <w:rsid w:val="00F452FC"/>
    <w:rsid w:val="00F45364"/>
    <w:rsid w:val="00F454A4"/>
    <w:rsid w:val="00F45581"/>
    <w:rsid w:val="00F45DD6"/>
    <w:rsid w:val="00F46079"/>
    <w:rsid w:val="00F465FC"/>
    <w:rsid w:val="00F467EC"/>
    <w:rsid w:val="00F46AF3"/>
    <w:rsid w:val="00F46D2B"/>
    <w:rsid w:val="00F46EB2"/>
    <w:rsid w:val="00F470FC"/>
    <w:rsid w:val="00F47177"/>
    <w:rsid w:val="00F471A0"/>
    <w:rsid w:val="00F471F5"/>
    <w:rsid w:val="00F47477"/>
    <w:rsid w:val="00F4754D"/>
    <w:rsid w:val="00F477E9"/>
    <w:rsid w:val="00F47C0E"/>
    <w:rsid w:val="00F50822"/>
    <w:rsid w:val="00F508E2"/>
    <w:rsid w:val="00F50A2D"/>
    <w:rsid w:val="00F50B48"/>
    <w:rsid w:val="00F50C2C"/>
    <w:rsid w:val="00F50C5B"/>
    <w:rsid w:val="00F50CE4"/>
    <w:rsid w:val="00F50F00"/>
    <w:rsid w:val="00F51004"/>
    <w:rsid w:val="00F51372"/>
    <w:rsid w:val="00F5143E"/>
    <w:rsid w:val="00F5152A"/>
    <w:rsid w:val="00F51773"/>
    <w:rsid w:val="00F517A3"/>
    <w:rsid w:val="00F5191F"/>
    <w:rsid w:val="00F520DD"/>
    <w:rsid w:val="00F52122"/>
    <w:rsid w:val="00F52427"/>
    <w:rsid w:val="00F5244A"/>
    <w:rsid w:val="00F524D7"/>
    <w:rsid w:val="00F52754"/>
    <w:rsid w:val="00F529DE"/>
    <w:rsid w:val="00F52E00"/>
    <w:rsid w:val="00F53325"/>
    <w:rsid w:val="00F53407"/>
    <w:rsid w:val="00F53798"/>
    <w:rsid w:val="00F53A5B"/>
    <w:rsid w:val="00F53C74"/>
    <w:rsid w:val="00F53DAD"/>
    <w:rsid w:val="00F53FC9"/>
    <w:rsid w:val="00F541AF"/>
    <w:rsid w:val="00F542A6"/>
    <w:rsid w:val="00F543D1"/>
    <w:rsid w:val="00F5448F"/>
    <w:rsid w:val="00F547DA"/>
    <w:rsid w:val="00F5491A"/>
    <w:rsid w:val="00F54D2D"/>
    <w:rsid w:val="00F54DC1"/>
    <w:rsid w:val="00F553B4"/>
    <w:rsid w:val="00F553C5"/>
    <w:rsid w:val="00F5589B"/>
    <w:rsid w:val="00F5591C"/>
    <w:rsid w:val="00F55A8F"/>
    <w:rsid w:val="00F55D4D"/>
    <w:rsid w:val="00F55D6A"/>
    <w:rsid w:val="00F56360"/>
    <w:rsid w:val="00F5639C"/>
    <w:rsid w:val="00F5644E"/>
    <w:rsid w:val="00F56751"/>
    <w:rsid w:val="00F56B82"/>
    <w:rsid w:val="00F56C86"/>
    <w:rsid w:val="00F56CF3"/>
    <w:rsid w:val="00F56D1A"/>
    <w:rsid w:val="00F56E4E"/>
    <w:rsid w:val="00F56EA3"/>
    <w:rsid w:val="00F56EE7"/>
    <w:rsid w:val="00F572EE"/>
    <w:rsid w:val="00F572FC"/>
    <w:rsid w:val="00F57AB4"/>
    <w:rsid w:val="00F57CE4"/>
    <w:rsid w:val="00F57DB6"/>
    <w:rsid w:val="00F57E0A"/>
    <w:rsid w:val="00F57E80"/>
    <w:rsid w:val="00F57EFB"/>
    <w:rsid w:val="00F57F01"/>
    <w:rsid w:val="00F60139"/>
    <w:rsid w:val="00F60355"/>
    <w:rsid w:val="00F603DA"/>
    <w:rsid w:val="00F605C6"/>
    <w:rsid w:val="00F60E01"/>
    <w:rsid w:val="00F61771"/>
    <w:rsid w:val="00F618C3"/>
    <w:rsid w:val="00F618D6"/>
    <w:rsid w:val="00F619C8"/>
    <w:rsid w:val="00F61A8F"/>
    <w:rsid w:val="00F61F3A"/>
    <w:rsid w:val="00F61F51"/>
    <w:rsid w:val="00F62492"/>
    <w:rsid w:val="00F6257E"/>
    <w:rsid w:val="00F6273F"/>
    <w:rsid w:val="00F62783"/>
    <w:rsid w:val="00F629D4"/>
    <w:rsid w:val="00F62C95"/>
    <w:rsid w:val="00F62D5C"/>
    <w:rsid w:val="00F63080"/>
    <w:rsid w:val="00F6313A"/>
    <w:rsid w:val="00F631A9"/>
    <w:rsid w:val="00F63479"/>
    <w:rsid w:val="00F638AD"/>
    <w:rsid w:val="00F63A43"/>
    <w:rsid w:val="00F63D92"/>
    <w:rsid w:val="00F64030"/>
    <w:rsid w:val="00F64042"/>
    <w:rsid w:val="00F64415"/>
    <w:rsid w:val="00F64854"/>
    <w:rsid w:val="00F64CCF"/>
    <w:rsid w:val="00F64CDD"/>
    <w:rsid w:val="00F64D8D"/>
    <w:rsid w:val="00F64E8B"/>
    <w:rsid w:val="00F64EE8"/>
    <w:rsid w:val="00F64F72"/>
    <w:rsid w:val="00F6504C"/>
    <w:rsid w:val="00F65093"/>
    <w:rsid w:val="00F652AC"/>
    <w:rsid w:val="00F653DD"/>
    <w:rsid w:val="00F654B2"/>
    <w:rsid w:val="00F65882"/>
    <w:rsid w:val="00F65986"/>
    <w:rsid w:val="00F65E3E"/>
    <w:rsid w:val="00F65ECA"/>
    <w:rsid w:val="00F660D9"/>
    <w:rsid w:val="00F66279"/>
    <w:rsid w:val="00F664B3"/>
    <w:rsid w:val="00F667B9"/>
    <w:rsid w:val="00F668C1"/>
    <w:rsid w:val="00F66A40"/>
    <w:rsid w:val="00F66D79"/>
    <w:rsid w:val="00F6706E"/>
    <w:rsid w:val="00F6763C"/>
    <w:rsid w:val="00F67927"/>
    <w:rsid w:val="00F67D72"/>
    <w:rsid w:val="00F67F30"/>
    <w:rsid w:val="00F67F43"/>
    <w:rsid w:val="00F70088"/>
    <w:rsid w:val="00F70216"/>
    <w:rsid w:val="00F704F9"/>
    <w:rsid w:val="00F70704"/>
    <w:rsid w:val="00F708D6"/>
    <w:rsid w:val="00F70948"/>
    <w:rsid w:val="00F70AA6"/>
    <w:rsid w:val="00F70C65"/>
    <w:rsid w:val="00F70CC5"/>
    <w:rsid w:val="00F70D53"/>
    <w:rsid w:val="00F71233"/>
    <w:rsid w:val="00F71375"/>
    <w:rsid w:val="00F71521"/>
    <w:rsid w:val="00F716F0"/>
    <w:rsid w:val="00F71899"/>
    <w:rsid w:val="00F718C2"/>
    <w:rsid w:val="00F71F0D"/>
    <w:rsid w:val="00F720A2"/>
    <w:rsid w:val="00F72178"/>
    <w:rsid w:val="00F72286"/>
    <w:rsid w:val="00F723CC"/>
    <w:rsid w:val="00F72D7D"/>
    <w:rsid w:val="00F72E7E"/>
    <w:rsid w:val="00F730C6"/>
    <w:rsid w:val="00F73515"/>
    <w:rsid w:val="00F7358F"/>
    <w:rsid w:val="00F73740"/>
    <w:rsid w:val="00F7376A"/>
    <w:rsid w:val="00F737F5"/>
    <w:rsid w:val="00F73818"/>
    <w:rsid w:val="00F73869"/>
    <w:rsid w:val="00F738A4"/>
    <w:rsid w:val="00F73C47"/>
    <w:rsid w:val="00F74263"/>
    <w:rsid w:val="00F74513"/>
    <w:rsid w:val="00F7454B"/>
    <w:rsid w:val="00F747A5"/>
    <w:rsid w:val="00F747C0"/>
    <w:rsid w:val="00F748FD"/>
    <w:rsid w:val="00F74B65"/>
    <w:rsid w:val="00F75078"/>
    <w:rsid w:val="00F7515E"/>
    <w:rsid w:val="00F7541F"/>
    <w:rsid w:val="00F7551A"/>
    <w:rsid w:val="00F755B5"/>
    <w:rsid w:val="00F75A90"/>
    <w:rsid w:val="00F75E5D"/>
    <w:rsid w:val="00F75F25"/>
    <w:rsid w:val="00F760AF"/>
    <w:rsid w:val="00F764C4"/>
    <w:rsid w:val="00F76842"/>
    <w:rsid w:val="00F768C7"/>
    <w:rsid w:val="00F768FB"/>
    <w:rsid w:val="00F76A15"/>
    <w:rsid w:val="00F76DDE"/>
    <w:rsid w:val="00F76DF6"/>
    <w:rsid w:val="00F775B3"/>
    <w:rsid w:val="00F77753"/>
    <w:rsid w:val="00F777A6"/>
    <w:rsid w:val="00F77872"/>
    <w:rsid w:val="00F778A4"/>
    <w:rsid w:val="00F77AB8"/>
    <w:rsid w:val="00F77B02"/>
    <w:rsid w:val="00F77BDE"/>
    <w:rsid w:val="00F77CCB"/>
    <w:rsid w:val="00F77CFA"/>
    <w:rsid w:val="00F77F22"/>
    <w:rsid w:val="00F80194"/>
    <w:rsid w:val="00F802F8"/>
    <w:rsid w:val="00F803FD"/>
    <w:rsid w:val="00F80A1F"/>
    <w:rsid w:val="00F80B96"/>
    <w:rsid w:val="00F8107F"/>
    <w:rsid w:val="00F8147A"/>
    <w:rsid w:val="00F814DB"/>
    <w:rsid w:val="00F816AD"/>
    <w:rsid w:val="00F8172B"/>
    <w:rsid w:val="00F81936"/>
    <w:rsid w:val="00F819C6"/>
    <w:rsid w:val="00F819F8"/>
    <w:rsid w:val="00F81E90"/>
    <w:rsid w:val="00F81EDE"/>
    <w:rsid w:val="00F8203F"/>
    <w:rsid w:val="00F8237D"/>
    <w:rsid w:val="00F82692"/>
    <w:rsid w:val="00F826F4"/>
    <w:rsid w:val="00F8271C"/>
    <w:rsid w:val="00F82774"/>
    <w:rsid w:val="00F82927"/>
    <w:rsid w:val="00F82ADF"/>
    <w:rsid w:val="00F82C6C"/>
    <w:rsid w:val="00F82D96"/>
    <w:rsid w:val="00F82E11"/>
    <w:rsid w:val="00F83011"/>
    <w:rsid w:val="00F83098"/>
    <w:rsid w:val="00F83310"/>
    <w:rsid w:val="00F8371C"/>
    <w:rsid w:val="00F837F2"/>
    <w:rsid w:val="00F83832"/>
    <w:rsid w:val="00F83A44"/>
    <w:rsid w:val="00F83B4C"/>
    <w:rsid w:val="00F83B72"/>
    <w:rsid w:val="00F83BAD"/>
    <w:rsid w:val="00F83C3A"/>
    <w:rsid w:val="00F83FC2"/>
    <w:rsid w:val="00F8409F"/>
    <w:rsid w:val="00F840E3"/>
    <w:rsid w:val="00F84563"/>
    <w:rsid w:val="00F84592"/>
    <w:rsid w:val="00F846BA"/>
    <w:rsid w:val="00F848A7"/>
    <w:rsid w:val="00F84BC7"/>
    <w:rsid w:val="00F84BE6"/>
    <w:rsid w:val="00F84D61"/>
    <w:rsid w:val="00F84F9A"/>
    <w:rsid w:val="00F852D5"/>
    <w:rsid w:val="00F854E9"/>
    <w:rsid w:val="00F85A1B"/>
    <w:rsid w:val="00F85CEE"/>
    <w:rsid w:val="00F85D9F"/>
    <w:rsid w:val="00F85E29"/>
    <w:rsid w:val="00F8602B"/>
    <w:rsid w:val="00F86106"/>
    <w:rsid w:val="00F864A0"/>
    <w:rsid w:val="00F8653D"/>
    <w:rsid w:val="00F86904"/>
    <w:rsid w:val="00F86951"/>
    <w:rsid w:val="00F8698C"/>
    <w:rsid w:val="00F86A32"/>
    <w:rsid w:val="00F86A4E"/>
    <w:rsid w:val="00F86A83"/>
    <w:rsid w:val="00F86D25"/>
    <w:rsid w:val="00F86FD3"/>
    <w:rsid w:val="00F870B6"/>
    <w:rsid w:val="00F873F2"/>
    <w:rsid w:val="00F874CB"/>
    <w:rsid w:val="00F87837"/>
    <w:rsid w:val="00F87B37"/>
    <w:rsid w:val="00F87D75"/>
    <w:rsid w:val="00F87EA4"/>
    <w:rsid w:val="00F9029A"/>
    <w:rsid w:val="00F902BF"/>
    <w:rsid w:val="00F903C0"/>
    <w:rsid w:val="00F9053C"/>
    <w:rsid w:val="00F90799"/>
    <w:rsid w:val="00F90950"/>
    <w:rsid w:val="00F90B0C"/>
    <w:rsid w:val="00F90B5A"/>
    <w:rsid w:val="00F90D73"/>
    <w:rsid w:val="00F90D99"/>
    <w:rsid w:val="00F90DA2"/>
    <w:rsid w:val="00F90F25"/>
    <w:rsid w:val="00F90FD3"/>
    <w:rsid w:val="00F90FE4"/>
    <w:rsid w:val="00F9121C"/>
    <w:rsid w:val="00F912C6"/>
    <w:rsid w:val="00F913F7"/>
    <w:rsid w:val="00F915AE"/>
    <w:rsid w:val="00F917C8"/>
    <w:rsid w:val="00F9198A"/>
    <w:rsid w:val="00F91BD5"/>
    <w:rsid w:val="00F91C3F"/>
    <w:rsid w:val="00F91CAD"/>
    <w:rsid w:val="00F91E47"/>
    <w:rsid w:val="00F91FC5"/>
    <w:rsid w:val="00F92000"/>
    <w:rsid w:val="00F921B2"/>
    <w:rsid w:val="00F92413"/>
    <w:rsid w:val="00F9262B"/>
    <w:rsid w:val="00F92642"/>
    <w:rsid w:val="00F926F7"/>
    <w:rsid w:val="00F92974"/>
    <w:rsid w:val="00F92A02"/>
    <w:rsid w:val="00F92A1C"/>
    <w:rsid w:val="00F92C29"/>
    <w:rsid w:val="00F92EC5"/>
    <w:rsid w:val="00F92F35"/>
    <w:rsid w:val="00F93204"/>
    <w:rsid w:val="00F93583"/>
    <w:rsid w:val="00F93630"/>
    <w:rsid w:val="00F939B8"/>
    <w:rsid w:val="00F93C66"/>
    <w:rsid w:val="00F93E58"/>
    <w:rsid w:val="00F94373"/>
    <w:rsid w:val="00F943A2"/>
    <w:rsid w:val="00F9460A"/>
    <w:rsid w:val="00F947F1"/>
    <w:rsid w:val="00F94804"/>
    <w:rsid w:val="00F94C04"/>
    <w:rsid w:val="00F94C5F"/>
    <w:rsid w:val="00F94C84"/>
    <w:rsid w:val="00F94D45"/>
    <w:rsid w:val="00F94E0B"/>
    <w:rsid w:val="00F94F6E"/>
    <w:rsid w:val="00F94FF7"/>
    <w:rsid w:val="00F950FC"/>
    <w:rsid w:val="00F956DC"/>
    <w:rsid w:val="00F95BE7"/>
    <w:rsid w:val="00F95C39"/>
    <w:rsid w:val="00F96079"/>
    <w:rsid w:val="00F961AC"/>
    <w:rsid w:val="00F961F5"/>
    <w:rsid w:val="00F9625F"/>
    <w:rsid w:val="00F96488"/>
    <w:rsid w:val="00F9648D"/>
    <w:rsid w:val="00F965B2"/>
    <w:rsid w:val="00F96855"/>
    <w:rsid w:val="00F96A9E"/>
    <w:rsid w:val="00F96DAA"/>
    <w:rsid w:val="00F96E38"/>
    <w:rsid w:val="00F96E9B"/>
    <w:rsid w:val="00F977F7"/>
    <w:rsid w:val="00F97822"/>
    <w:rsid w:val="00F97A75"/>
    <w:rsid w:val="00F97CC2"/>
    <w:rsid w:val="00FA0058"/>
    <w:rsid w:val="00FA02EE"/>
    <w:rsid w:val="00FA0628"/>
    <w:rsid w:val="00FA071C"/>
    <w:rsid w:val="00FA072C"/>
    <w:rsid w:val="00FA093C"/>
    <w:rsid w:val="00FA0B4E"/>
    <w:rsid w:val="00FA0BFD"/>
    <w:rsid w:val="00FA0C30"/>
    <w:rsid w:val="00FA0C3F"/>
    <w:rsid w:val="00FA0D39"/>
    <w:rsid w:val="00FA119D"/>
    <w:rsid w:val="00FA1346"/>
    <w:rsid w:val="00FA1653"/>
    <w:rsid w:val="00FA1701"/>
    <w:rsid w:val="00FA1863"/>
    <w:rsid w:val="00FA1870"/>
    <w:rsid w:val="00FA1970"/>
    <w:rsid w:val="00FA1981"/>
    <w:rsid w:val="00FA1BA1"/>
    <w:rsid w:val="00FA1BE4"/>
    <w:rsid w:val="00FA1CE2"/>
    <w:rsid w:val="00FA2097"/>
    <w:rsid w:val="00FA24C2"/>
    <w:rsid w:val="00FA26C9"/>
    <w:rsid w:val="00FA28EC"/>
    <w:rsid w:val="00FA2D2E"/>
    <w:rsid w:val="00FA2DB6"/>
    <w:rsid w:val="00FA372E"/>
    <w:rsid w:val="00FA3BBC"/>
    <w:rsid w:val="00FA3CB6"/>
    <w:rsid w:val="00FA3F13"/>
    <w:rsid w:val="00FA3FB9"/>
    <w:rsid w:val="00FA4012"/>
    <w:rsid w:val="00FA4235"/>
    <w:rsid w:val="00FA4261"/>
    <w:rsid w:val="00FA4366"/>
    <w:rsid w:val="00FA43AC"/>
    <w:rsid w:val="00FA470C"/>
    <w:rsid w:val="00FA4777"/>
    <w:rsid w:val="00FA4981"/>
    <w:rsid w:val="00FA4AA7"/>
    <w:rsid w:val="00FA4AD7"/>
    <w:rsid w:val="00FA4B85"/>
    <w:rsid w:val="00FA4C40"/>
    <w:rsid w:val="00FA4E38"/>
    <w:rsid w:val="00FA5302"/>
    <w:rsid w:val="00FA5414"/>
    <w:rsid w:val="00FA55A1"/>
    <w:rsid w:val="00FA5715"/>
    <w:rsid w:val="00FA588B"/>
    <w:rsid w:val="00FA5948"/>
    <w:rsid w:val="00FA5A94"/>
    <w:rsid w:val="00FA5AD2"/>
    <w:rsid w:val="00FA5BFE"/>
    <w:rsid w:val="00FA5C4A"/>
    <w:rsid w:val="00FA5D45"/>
    <w:rsid w:val="00FA5D96"/>
    <w:rsid w:val="00FA650D"/>
    <w:rsid w:val="00FA65C3"/>
    <w:rsid w:val="00FA6A3A"/>
    <w:rsid w:val="00FA6B86"/>
    <w:rsid w:val="00FA6C0B"/>
    <w:rsid w:val="00FA6E80"/>
    <w:rsid w:val="00FA7109"/>
    <w:rsid w:val="00FA71AE"/>
    <w:rsid w:val="00FA71F1"/>
    <w:rsid w:val="00FA7534"/>
    <w:rsid w:val="00FA753D"/>
    <w:rsid w:val="00FA764B"/>
    <w:rsid w:val="00FA78E4"/>
    <w:rsid w:val="00FA7BE4"/>
    <w:rsid w:val="00FA7D6F"/>
    <w:rsid w:val="00FB00A2"/>
    <w:rsid w:val="00FB01B3"/>
    <w:rsid w:val="00FB03CF"/>
    <w:rsid w:val="00FB065A"/>
    <w:rsid w:val="00FB0840"/>
    <w:rsid w:val="00FB0C8C"/>
    <w:rsid w:val="00FB0DD1"/>
    <w:rsid w:val="00FB0E10"/>
    <w:rsid w:val="00FB1191"/>
    <w:rsid w:val="00FB1248"/>
    <w:rsid w:val="00FB1538"/>
    <w:rsid w:val="00FB15E3"/>
    <w:rsid w:val="00FB178F"/>
    <w:rsid w:val="00FB1B8F"/>
    <w:rsid w:val="00FB1E38"/>
    <w:rsid w:val="00FB1EE4"/>
    <w:rsid w:val="00FB22CE"/>
    <w:rsid w:val="00FB2329"/>
    <w:rsid w:val="00FB2914"/>
    <w:rsid w:val="00FB2923"/>
    <w:rsid w:val="00FB294A"/>
    <w:rsid w:val="00FB2DC8"/>
    <w:rsid w:val="00FB330D"/>
    <w:rsid w:val="00FB3574"/>
    <w:rsid w:val="00FB3585"/>
    <w:rsid w:val="00FB3672"/>
    <w:rsid w:val="00FB3684"/>
    <w:rsid w:val="00FB3A0D"/>
    <w:rsid w:val="00FB3B14"/>
    <w:rsid w:val="00FB3B5E"/>
    <w:rsid w:val="00FB3C70"/>
    <w:rsid w:val="00FB3DF7"/>
    <w:rsid w:val="00FB444F"/>
    <w:rsid w:val="00FB4708"/>
    <w:rsid w:val="00FB494A"/>
    <w:rsid w:val="00FB4AC5"/>
    <w:rsid w:val="00FB5881"/>
    <w:rsid w:val="00FB5908"/>
    <w:rsid w:val="00FB5C1A"/>
    <w:rsid w:val="00FB5F10"/>
    <w:rsid w:val="00FB61FF"/>
    <w:rsid w:val="00FB627B"/>
    <w:rsid w:val="00FB693B"/>
    <w:rsid w:val="00FB6954"/>
    <w:rsid w:val="00FB6EF2"/>
    <w:rsid w:val="00FB7297"/>
    <w:rsid w:val="00FB752E"/>
    <w:rsid w:val="00FB7819"/>
    <w:rsid w:val="00FB794B"/>
    <w:rsid w:val="00FB7C5A"/>
    <w:rsid w:val="00FB7C81"/>
    <w:rsid w:val="00FB7E61"/>
    <w:rsid w:val="00FB7FEC"/>
    <w:rsid w:val="00FC018C"/>
    <w:rsid w:val="00FC031F"/>
    <w:rsid w:val="00FC0524"/>
    <w:rsid w:val="00FC0B53"/>
    <w:rsid w:val="00FC0BC8"/>
    <w:rsid w:val="00FC0D89"/>
    <w:rsid w:val="00FC0E01"/>
    <w:rsid w:val="00FC0F55"/>
    <w:rsid w:val="00FC1152"/>
    <w:rsid w:val="00FC14A1"/>
    <w:rsid w:val="00FC15AB"/>
    <w:rsid w:val="00FC1892"/>
    <w:rsid w:val="00FC18EC"/>
    <w:rsid w:val="00FC1999"/>
    <w:rsid w:val="00FC19D9"/>
    <w:rsid w:val="00FC1ECD"/>
    <w:rsid w:val="00FC1EFB"/>
    <w:rsid w:val="00FC1F96"/>
    <w:rsid w:val="00FC223E"/>
    <w:rsid w:val="00FC2F27"/>
    <w:rsid w:val="00FC30CB"/>
    <w:rsid w:val="00FC319A"/>
    <w:rsid w:val="00FC3849"/>
    <w:rsid w:val="00FC38C0"/>
    <w:rsid w:val="00FC3A69"/>
    <w:rsid w:val="00FC3B0A"/>
    <w:rsid w:val="00FC3BB7"/>
    <w:rsid w:val="00FC3D25"/>
    <w:rsid w:val="00FC3E80"/>
    <w:rsid w:val="00FC3F07"/>
    <w:rsid w:val="00FC41AB"/>
    <w:rsid w:val="00FC4735"/>
    <w:rsid w:val="00FC497A"/>
    <w:rsid w:val="00FC4A27"/>
    <w:rsid w:val="00FC4FA0"/>
    <w:rsid w:val="00FC505C"/>
    <w:rsid w:val="00FC507E"/>
    <w:rsid w:val="00FC55EA"/>
    <w:rsid w:val="00FC5607"/>
    <w:rsid w:val="00FC5755"/>
    <w:rsid w:val="00FC5BAA"/>
    <w:rsid w:val="00FC5DCE"/>
    <w:rsid w:val="00FC5DE4"/>
    <w:rsid w:val="00FC617A"/>
    <w:rsid w:val="00FC630B"/>
    <w:rsid w:val="00FC6573"/>
    <w:rsid w:val="00FC659A"/>
    <w:rsid w:val="00FC6A67"/>
    <w:rsid w:val="00FC6DE0"/>
    <w:rsid w:val="00FC6F35"/>
    <w:rsid w:val="00FC720A"/>
    <w:rsid w:val="00FC7394"/>
    <w:rsid w:val="00FC744E"/>
    <w:rsid w:val="00FC757C"/>
    <w:rsid w:val="00FC765D"/>
    <w:rsid w:val="00FC77BA"/>
    <w:rsid w:val="00FC7981"/>
    <w:rsid w:val="00FC7B12"/>
    <w:rsid w:val="00FC7CCF"/>
    <w:rsid w:val="00FC7F53"/>
    <w:rsid w:val="00FD0309"/>
    <w:rsid w:val="00FD03C2"/>
    <w:rsid w:val="00FD04AF"/>
    <w:rsid w:val="00FD053A"/>
    <w:rsid w:val="00FD07A2"/>
    <w:rsid w:val="00FD0B2D"/>
    <w:rsid w:val="00FD0B8E"/>
    <w:rsid w:val="00FD1176"/>
    <w:rsid w:val="00FD138C"/>
    <w:rsid w:val="00FD13BE"/>
    <w:rsid w:val="00FD1DDE"/>
    <w:rsid w:val="00FD1F5F"/>
    <w:rsid w:val="00FD2006"/>
    <w:rsid w:val="00FD239F"/>
    <w:rsid w:val="00FD23BB"/>
    <w:rsid w:val="00FD24F7"/>
    <w:rsid w:val="00FD2549"/>
    <w:rsid w:val="00FD28C8"/>
    <w:rsid w:val="00FD2B57"/>
    <w:rsid w:val="00FD2D57"/>
    <w:rsid w:val="00FD30B8"/>
    <w:rsid w:val="00FD3853"/>
    <w:rsid w:val="00FD3863"/>
    <w:rsid w:val="00FD3993"/>
    <w:rsid w:val="00FD3C22"/>
    <w:rsid w:val="00FD3D98"/>
    <w:rsid w:val="00FD3F41"/>
    <w:rsid w:val="00FD40A0"/>
    <w:rsid w:val="00FD41FE"/>
    <w:rsid w:val="00FD4327"/>
    <w:rsid w:val="00FD43AB"/>
    <w:rsid w:val="00FD44E3"/>
    <w:rsid w:val="00FD4587"/>
    <w:rsid w:val="00FD480C"/>
    <w:rsid w:val="00FD4A00"/>
    <w:rsid w:val="00FD4D32"/>
    <w:rsid w:val="00FD5334"/>
    <w:rsid w:val="00FD578B"/>
    <w:rsid w:val="00FD5934"/>
    <w:rsid w:val="00FD5D3A"/>
    <w:rsid w:val="00FD64DC"/>
    <w:rsid w:val="00FD668E"/>
    <w:rsid w:val="00FD66F9"/>
    <w:rsid w:val="00FD67F5"/>
    <w:rsid w:val="00FD6808"/>
    <w:rsid w:val="00FD684C"/>
    <w:rsid w:val="00FD6DC3"/>
    <w:rsid w:val="00FD6F7B"/>
    <w:rsid w:val="00FD6FB2"/>
    <w:rsid w:val="00FD71CD"/>
    <w:rsid w:val="00FD72C9"/>
    <w:rsid w:val="00FD76FB"/>
    <w:rsid w:val="00FD78DE"/>
    <w:rsid w:val="00FD7BAE"/>
    <w:rsid w:val="00FD7CD6"/>
    <w:rsid w:val="00FD7DB5"/>
    <w:rsid w:val="00FE012A"/>
    <w:rsid w:val="00FE02DB"/>
    <w:rsid w:val="00FE036B"/>
    <w:rsid w:val="00FE03B3"/>
    <w:rsid w:val="00FE0623"/>
    <w:rsid w:val="00FE06B6"/>
    <w:rsid w:val="00FE072B"/>
    <w:rsid w:val="00FE0C85"/>
    <w:rsid w:val="00FE0DE2"/>
    <w:rsid w:val="00FE0FF2"/>
    <w:rsid w:val="00FE103D"/>
    <w:rsid w:val="00FE1BFD"/>
    <w:rsid w:val="00FE1DCE"/>
    <w:rsid w:val="00FE21E7"/>
    <w:rsid w:val="00FE25DC"/>
    <w:rsid w:val="00FE28B5"/>
    <w:rsid w:val="00FE29E6"/>
    <w:rsid w:val="00FE2C34"/>
    <w:rsid w:val="00FE2D40"/>
    <w:rsid w:val="00FE2E3D"/>
    <w:rsid w:val="00FE2F8E"/>
    <w:rsid w:val="00FE3052"/>
    <w:rsid w:val="00FE307B"/>
    <w:rsid w:val="00FE30A8"/>
    <w:rsid w:val="00FE3465"/>
    <w:rsid w:val="00FE354B"/>
    <w:rsid w:val="00FE377D"/>
    <w:rsid w:val="00FE3788"/>
    <w:rsid w:val="00FE3799"/>
    <w:rsid w:val="00FE3844"/>
    <w:rsid w:val="00FE3AF1"/>
    <w:rsid w:val="00FE3C31"/>
    <w:rsid w:val="00FE42C1"/>
    <w:rsid w:val="00FE462B"/>
    <w:rsid w:val="00FE466B"/>
    <w:rsid w:val="00FE4C68"/>
    <w:rsid w:val="00FE4C7B"/>
    <w:rsid w:val="00FE4CBA"/>
    <w:rsid w:val="00FE4DF9"/>
    <w:rsid w:val="00FE4EDE"/>
    <w:rsid w:val="00FE4FCF"/>
    <w:rsid w:val="00FE5165"/>
    <w:rsid w:val="00FE516D"/>
    <w:rsid w:val="00FE51F9"/>
    <w:rsid w:val="00FE5297"/>
    <w:rsid w:val="00FE54EC"/>
    <w:rsid w:val="00FE5633"/>
    <w:rsid w:val="00FE5B35"/>
    <w:rsid w:val="00FE5E73"/>
    <w:rsid w:val="00FE5FE8"/>
    <w:rsid w:val="00FE60C5"/>
    <w:rsid w:val="00FE64ED"/>
    <w:rsid w:val="00FE6559"/>
    <w:rsid w:val="00FE6724"/>
    <w:rsid w:val="00FE6AB1"/>
    <w:rsid w:val="00FE6B0A"/>
    <w:rsid w:val="00FE6C26"/>
    <w:rsid w:val="00FE6D3D"/>
    <w:rsid w:val="00FE6DF1"/>
    <w:rsid w:val="00FE6EA6"/>
    <w:rsid w:val="00FE6EEE"/>
    <w:rsid w:val="00FE6EFE"/>
    <w:rsid w:val="00FE6F11"/>
    <w:rsid w:val="00FE70B4"/>
    <w:rsid w:val="00FE7218"/>
    <w:rsid w:val="00FE7374"/>
    <w:rsid w:val="00FE75A8"/>
    <w:rsid w:val="00FE7A33"/>
    <w:rsid w:val="00FE7A85"/>
    <w:rsid w:val="00FF0305"/>
    <w:rsid w:val="00FF0577"/>
    <w:rsid w:val="00FF0585"/>
    <w:rsid w:val="00FF059B"/>
    <w:rsid w:val="00FF06D0"/>
    <w:rsid w:val="00FF0952"/>
    <w:rsid w:val="00FF0E2A"/>
    <w:rsid w:val="00FF0F44"/>
    <w:rsid w:val="00FF0F95"/>
    <w:rsid w:val="00FF107E"/>
    <w:rsid w:val="00FF110F"/>
    <w:rsid w:val="00FF12F5"/>
    <w:rsid w:val="00FF1403"/>
    <w:rsid w:val="00FF1769"/>
    <w:rsid w:val="00FF21AC"/>
    <w:rsid w:val="00FF21F0"/>
    <w:rsid w:val="00FF2519"/>
    <w:rsid w:val="00FF268E"/>
    <w:rsid w:val="00FF26D1"/>
    <w:rsid w:val="00FF28C5"/>
    <w:rsid w:val="00FF2ADD"/>
    <w:rsid w:val="00FF2BA2"/>
    <w:rsid w:val="00FF30D6"/>
    <w:rsid w:val="00FF340C"/>
    <w:rsid w:val="00FF345A"/>
    <w:rsid w:val="00FF363F"/>
    <w:rsid w:val="00FF3843"/>
    <w:rsid w:val="00FF39CC"/>
    <w:rsid w:val="00FF3A78"/>
    <w:rsid w:val="00FF3B7A"/>
    <w:rsid w:val="00FF423C"/>
    <w:rsid w:val="00FF4252"/>
    <w:rsid w:val="00FF434B"/>
    <w:rsid w:val="00FF446C"/>
    <w:rsid w:val="00FF44C4"/>
    <w:rsid w:val="00FF4896"/>
    <w:rsid w:val="00FF48DE"/>
    <w:rsid w:val="00FF4DBB"/>
    <w:rsid w:val="00FF51D9"/>
    <w:rsid w:val="00FF54A3"/>
    <w:rsid w:val="00FF586B"/>
    <w:rsid w:val="00FF58FF"/>
    <w:rsid w:val="00FF594C"/>
    <w:rsid w:val="00FF6285"/>
    <w:rsid w:val="00FF6325"/>
    <w:rsid w:val="00FF6336"/>
    <w:rsid w:val="00FF69BD"/>
    <w:rsid w:val="00FF6A0B"/>
    <w:rsid w:val="00FF6BA8"/>
    <w:rsid w:val="00FF6F0E"/>
    <w:rsid w:val="00FF6F7F"/>
    <w:rsid w:val="00FF6FE8"/>
    <w:rsid w:val="00FF70CE"/>
    <w:rsid w:val="00FF72A5"/>
    <w:rsid w:val="00FF748D"/>
    <w:rsid w:val="00FF7649"/>
    <w:rsid w:val="00FF76B3"/>
    <w:rsid w:val="00FF7778"/>
    <w:rsid w:val="00FF77D8"/>
    <w:rsid w:val="00FF77FC"/>
    <w:rsid w:val="00FF78F1"/>
    <w:rsid w:val="00FF792E"/>
    <w:rsid w:val="00FF79EE"/>
    <w:rsid w:val="00FF7A27"/>
    <w:rsid w:val="00FF7D6B"/>
    <w:rsid w:val="00FF7ED3"/>
    <w:rsid w:val="00FF7F09"/>
    <w:rsid w:val="00FF7F0F"/>
    <w:rsid w:val="01016635"/>
    <w:rsid w:val="01176E44"/>
    <w:rsid w:val="01225FFA"/>
    <w:rsid w:val="01A85C4B"/>
    <w:rsid w:val="01B32307"/>
    <w:rsid w:val="01BD2F4E"/>
    <w:rsid w:val="01C9398A"/>
    <w:rsid w:val="01E1349D"/>
    <w:rsid w:val="02050629"/>
    <w:rsid w:val="020B5EF8"/>
    <w:rsid w:val="021E1E29"/>
    <w:rsid w:val="0237760C"/>
    <w:rsid w:val="024F56A6"/>
    <w:rsid w:val="026E25C9"/>
    <w:rsid w:val="028A58DF"/>
    <w:rsid w:val="028C55C8"/>
    <w:rsid w:val="02E66D29"/>
    <w:rsid w:val="02FB5CD4"/>
    <w:rsid w:val="03076A2B"/>
    <w:rsid w:val="030A4E71"/>
    <w:rsid w:val="03194A88"/>
    <w:rsid w:val="032B531A"/>
    <w:rsid w:val="033449A0"/>
    <w:rsid w:val="03610C9B"/>
    <w:rsid w:val="039B51EE"/>
    <w:rsid w:val="03B02D0E"/>
    <w:rsid w:val="03BE49E5"/>
    <w:rsid w:val="0440076B"/>
    <w:rsid w:val="04A825B4"/>
    <w:rsid w:val="04CD3418"/>
    <w:rsid w:val="04D54019"/>
    <w:rsid w:val="04DB4DE6"/>
    <w:rsid w:val="04E41760"/>
    <w:rsid w:val="04E41C95"/>
    <w:rsid w:val="04EC4739"/>
    <w:rsid w:val="04F3036E"/>
    <w:rsid w:val="05091D2A"/>
    <w:rsid w:val="051B581D"/>
    <w:rsid w:val="053E5C9B"/>
    <w:rsid w:val="054736DA"/>
    <w:rsid w:val="056130EE"/>
    <w:rsid w:val="058864E7"/>
    <w:rsid w:val="05B5436C"/>
    <w:rsid w:val="05DD0A53"/>
    <w:rsid w:val="06365802"/>
    <w:rsid w:val="064E7891"/>
    <w:rsid w:val="06657F54"/>
    <w:rsid w:val="06A003F0"/>
    <w:rsid w:val="06B36055"/>
    <w:rsid w:val="06CE38CA"/>
    <w:rsid w:val="06E2459E"/>
    <w:rsid w:val="071F6CCF"/>
    <w:rsid w:val="073D4B72"/>
    <w:rsid w:val="073D4ED5"/>
    <w:rsid w:val="07444C32"/>
    <w:rsid w:val="07466BC1"/>
    <w:rsid w:val="07467C9B"/>
    <w:rsid w:val="07480E14"/>
    <w:rsid w:val="0753610D"/>
    <w:rsid w:val="07885AF6"/>
    <w:rsid w:val="07A00BC1"/>
    <w:rsid w:val="07A52E88"/>
    <w:rsid w:val="07AF0AA9"/>
    <w:rsid w:val="07F80AF8"/>
    <w:rsid w:val="080C6E59"/>
    <w:rsid w:val="08206706"/>
    <w:rsid w:val="082C64A9"/>
    <w:rsid w:val="082E48DF"/>
    <w:rsid w:val="088B60B5"/>
    <w:rsid w:val="08CA791C"/>
    <w:rsid w:val="08DC54E2"/>
    <w:rsid w:val="08DF21B6"/>
    <w:rsid w:val="08EF1E45"/>
    <w:rsid w:val="093530BA"/>
    <w:rsid w:val="0947168A"/>
    <w:rsid w:val="096C3DFE"/>
    <w:rsid w:val="09894F01"/>
    <w:rsid w:val="0A18581B"/>
    <w:rsid w:val="0A395875"/>
    <w:rsid w:val="0A606358"/>
    <w:rsid w:val="0A6D3794"/>
    <w:rsid w:val="0A711398"/>
    <w:rsid w:val="0AB76830"/>
    <w:rsid w:val="0ABA660C"/>
    <w:rsid w:val="0ABB04C1"/>
    <w:rsid w:val="0B0F011E"/>
    <w:rsid w:val="0B1A5634"/>
    <w:rsid w:val="0B2D1AD3"/>
    <w:rsid w:val="0B4C23F2"/>
    <w:rsid w:val="0BAE5C53"/>
    <w:rsid w:val="0BD41B26"/>
    <w:rsid w:val="0C0856C2"/>
    <w:rsid w:val="0C414F39"/>
    <w:rsid w:val="0C692C63"/>
    <w:rsid w:val="0C6A33D2"/>
    <w:rsid w:val="0C6A6EEE"/>
    <w:rsid w:val="0C6D13A9"/>
    <w:rsid w:val="0C837083"/>
    <w:rsid w:val="0CAF461E"/>
    <w:rsid w:val="0CF541A3"/>
    <w:rsid w:val="0CF5716D"/>
    <w:rsid w:val="0D0468EA"/>
    <w:rsid w:val="0D0B487C"/>
    <w:rsid w:val="0D2F53E9"/>
    <w:rsid w:val="0D3E7DB1"/>
    <w:rsid w:val="0D524EB0"/>
    <w:rsid w:val="0D591BBA"/>
    <w:rsid w:val="0DAE3E39"/>
    <w:rsid w:val="0DC46B2F"/>
    <w:rsid w:val="0DD215B8"/>
    <w:rsid w:val="0DF42A5E"/>
    <w:rsid w:val="0EAD3059"/>
    <w:rsid w:val="0EF921CD"/>
    <w:rsid w:val="0F041B6A"/>
    <w:rsid w:val="0F434CBF"/>
    <w:rsid w:val="0F5117D6"/>
    <w:rsid w:val="0F77237F"/>
    <w:rsid w:val="0F980BFF"/>
    <w:rsid w:val="0FA4254E"/>
    <w:rsid w:val="0FB337FB"/>
    <w:rsid w:val="0FB55062"/>
    <w:rsid w:val="0FCE74F6"/>
    <w:rsid w:val="0FDA0B8C"/>
    <w:rsid w:val="10006F25"/>
    <w:rsid w:val="100B07DF"/>
    <w:rsid w:val="101B20AD"/>
    <w:rsid w:val="1023600B"/>
    <w:rsid w:val="1038235C"/>
    <w:rsid w:val="103F6597"/>
    <w:rsid w:val="10895580"/>
    <w:rsid w:val="10DE581C"/>
    <w:rsid w:val="10E418DB"/>
    <w:rsid w:val="10F212A2"/>
    <w:rsid w:val="10FA0E27"/>
    <w:rsid w:val="11015A0D"/>
    <w:rsid w:val="1108393C"/>
    <w:rsid w:val="111302A6"/>
    <w:rsid w:val="11406A01"/>
    <w:rsid w:val="11426FC0"/>
    <w:rsid w:val="11540AB8"/>
    <w:rsid w:val="115E7985"/>
    <w:rsid w:val="118251CE"/>
    <w:rsid w:val="1187621B"/>
    <w:rsid w:val="11E412B3"/>
    <w:rsid w:val="11E82905"/>
    <w:rsid w:val="1223305B"/>
    <w:rsid w:val="123B7C9E"/>
    <w:rsid w:val="124A3B95"/>
    <w:rsid w:val="127C0A89"/>
    <w:rsid w:val="12A02492"/>
    <w:rsid w:val="12DA6F6A"/>
    <w:rsid w:val="12E46AE9"/>
    <w:rsid w:val="12F8555C"/>
    <w:rsid w:val="13027D8D"/>
    <w:rsid w:val="131A052E"/>
    <w:rsid w:val="1377710C"/>
    <w:rsid w:val="13B34241"/>
    <w:rsid w:val="13FB2D71"/>
    <w:rsid w:val="14223C58"/>
    <w:rsid w:val="1448054D"/>
    <w:rsid w:val="14781D86"/>
    <w:rsid w:val="147F65DD"/>
    <w:rsid w:val="14A373BC"/>
    <w:rsid w:val="14AD5208"/>
    <w:rsid w:val="14C5073E"/>
    <w:rsid w:val="14D868BD"/>
    <w:rsid w:val="14DB41CA"/>
    <w:rsid w:val="152A5FA1"/>
    <w:rsid w:val="155239C3"/>
    <w:rsid w:val="157223BA"/>
    <w:rsid w:val="15AE3C9D"/>
    <w:rsid w:val="15B95A9A"/>
    <w:rsid w:val="15C608FB"/>
    <w:rsid w:val="163D303E"/>
    <w:rsid w:val="16451B8C"/>
    <w:rsid w:val="16721235"/>
    <w:rsid w:val="16955AD1"/>
    <w:rsid w:val="169C2EEF"/>
    <w:rsid w:val="16AB773A"/>
    <w:rsid w:val="16C112FC"/>
    <w:rsid w:val="172C7CDA"/>
    <w:rsid w:val="17922376"/>
    <w:rsid w:val="17A22619"/>
    <w:rsid w:val="17A67335"/>
    <w:rsid w:val="17AA2B02"/>
    <w:rsid w:val="17B02123"/>
    <w:rsid w:val="17B61EF8"/>
    <w:rsid w:val="17CF7DC6"/>
    <w:rsid w:val="17D60478"/>
    <w:rsid w:val="17E35C2A"/>
    <w:rsid w:val="17F41198"/>
    <w:rsid w:val="18000244"/>
    <w:rsid w:val="180A1803"/>
    <w:rsid w:val="180C1FD8"/>
    <w:rsid w:val="181427AD"/>
    <w:rsid w:val="18374C76"/>
    <w:rsid w:val="18433D72"/>
    <w:rsid w:val="184615AB"/>
    <w:rsid w:val="184D3710"/>
    <w:rsid w:val="18650431"/>
    <w:rsid w:val="189E5A11"/>
    <w:rsid w:val="18C219EC"/>
    <w:rsid w:val="18DE570C"/>
    <w:rsid w:val="19222100"/>
    <w:rsid w:val="192E093E"/>
    <w:rsid w:val="19314B5E"/>
    <w:rsid w:val="1940683B"/>
    <w:rsid w:val="197B0B89"/>
    <w:rsid w:val="19881C28"/>
    <w:rsid w:val="19B342D4"/>
    <w:rsid w:val="19C25BA0"/>
    <w:rsid w:val="19D10EE8"/>
    <w:rsid w:val="1A55102A"/>
    <w:rsid w:val="1A570025"/>
    <w:rsid w:val="1A6C729C"/>
    <w:rsid w:val="1A841CE1"/>
    <w:rsid w:val="1AA00F20"/>
    <w:rsid w:val="1AA37660"/>
    <w:rsid w:val="1ACB7992"/>
    <w:rsid w:val="1AD263C7"/>
    <w:rsid w:val="1AFA6D43"/>
    <w:rsid w:val="1B064ACB"/>
    <w:rsid w:val="1B082701"/>
    <w:rsid w:val="1B1852F5"/>
    <w:rsid w:val="1B7B37C5"/>
    <w:rsid w:val="1B7F107D"/>
    <w:rsid w:val="1BDB3DE5"/>
    <w:rsid w:val="1BF34688"/>
    <w:rsid w:val="1BF72066"/>
    <w:rsid w:val="1C024000"/>
    <w:rsid w:val="1C1113C4"/>
    <w:rsid w:val="1C1D4FD0"/>
    <w:rsid w:val="1C313C3A"/>
    <w:rsid w:val="1C4174D8"/>
    <w:rsid w:val="1C432588"/>
    <w:rsid w:val="1C5B750B"/>
    <w:rsid w:val="1C5F64B9"/>
    <w:rsid w:val="1C716A81"/>
    <w:rsid w:val="1C881FEB"/>
    <w:rsid w:val="1C914C55"/>
    <w:rsid w:val="1CA065FE"/>
    <w:rsid w:val="1CB10D13"/>
    <w:rsid w:val="1CD814A1"/>
    <w:rsid w:val="1D263ED2"/>
    <w:rsid w:val="1D2E0A37"/>
    <w:rsid w:val="1D3743C9"/>
    <w:rsid w:val="1D437B1F"/>
    <w:rsid w:val="1D63387F"/>
    <w:rsid w:val="1D895DAA"/>
    <w:rsid w:val="1D95696C"/>
    <w:rsid w:val="1DA71184"/>
    <w:rsid w:val="1DEB1A05"/>
    <w:rsid w:val="1E680B90"/>
    <w:rsid w:val="1E7639EF"/>
    <w:rsid w:val="1E7A21E3"/>
    <w:rsid w:val="1E7F47ED"/>
    <w:rsid w:val="1E914566"/>
    <w:rsid w:val="1EE06048"/>
    <w:rsid w:val="1F1B1504"/>
    <w:rsid w:val="1F2A13F2"/>
    <w:rsid w:val="1F2B34C3"/>
    <w:rsid w:val="1F7D5542"/>
    <w:rsid w:val="1F923587"/>
    <w:rsid w:val="1FA126A4"/>
    <w:rsid w:val="1FA20E34"/>
    <w:rsid w:val="1FDA4622"/>
    <w:rsid w:val="1FDC696A"/>
    <w:rsid w:val="20043A51"/>
    <w:rsid w:val="20157D31"/>
    <w:rsid w:val="20442352"/>
    <w:rsid w:val="21327C51"/>
    <w:rsid w:val="214B715F"/>
    <w:rsid w:val="215610A0"/>
    <w:rsid w:val="218C6028"/>
    <w:rsid w:val="21991CE1"/>
    <w:rsid w:val="21A573DC"/>
    <w:rsid w:val="21B46129"/>
    <w:rsid w:val="21C876E3"/>
    <w:rsid w:val="21CC10F9"/>
    <w:rsid w:val="22035911"/>
    <w:rsid w:val="226011D9"/>
    <w:rsid w:val="2280616A"/>
    <w:rsid w:val="22A94F7B"/>
    <w:rsid w:val="22AC2C8B"/>
    <w:rsid w:val="22E56C84"/>
    <w:rsid w:val="23135EDA"/>
    <w:rsid w:val="2350120F"/>
    <w:rsid w:val="2355334A"/>
    <w:rsid w:val="23783DEF"/>
    <w:rsid w:val="238C56A8"/>
    <w:rsid w:val="23B847E5"/>
    <w:rsid w:val="23CB1FB4"/>
    <w:rsid w:val="23FD6C85"/>
    <w:rsid w:val="243C0768"/>
    <w:rsid w:val="24572A2D"/>
    <w:rsid w:val="246104DD"/>
    <w:rsid w:val="247E03F1"/>
    <w:rsid w:val="24985B66"/>
    <w:rsid w:val="24AE6AB7"/>
    <w:rsid w:val="24C50897"/>
    <w:rsid w:val="24C650F2"/>
    <w:rsid w:val="24C86F5D"/>
    <w:rsid w:val="24CB1280"/>
    <w:rsid w:val="24CC6FEB"/>
    <w:rsid w:val="24FB2A51"/>
    <w:rsid w:val="25167DF0"/>
    <w:rsid w:val="251F1FAD"/>
    <w:rsid w:val="25284C99"/>
    <w:rsid w:val="25384842"/>
    <w:rsid w:val="254D4F23"/>
    <w:rsid w:val="25985DB5"/>
    <w:rsid w:val="259A660D"/>
    <w:rsid w:val="25DD321A"/>
    <w:rsid w:val="25E42F71"/>
    <w:rsid w:val="25F62679"/>
    <w:rsid w:val="25FC6410"/>
    <w:rsid w:val="26065FFA"/>
    <w:rsid w:val="26373995"/>
    <w:rsid w:val="2661459C"/>
    <w:rsid w:val="266C4379"/>
    <w:rsid w:val="26700603"/>
    <w:rsid w:val="26802724"/>
    <w:rsid w:val="268F2FAE"/>
    <w:rsid w:val="26BE698C"/>
    <w:rsid w:val="26D84E9B"/>
    <w:rsid w:val="26FA4D10"/>
    <w:rsid w:val="27076A4C"/>
    <w:rsid w:val="271908EF"/>
    <w:rsid w:val="273705AA"/>
    <w:rsid w:val="27974E23"/>
    <w:rsid w:val="27D27185"/>
    <w:rsid w:val="27E15B02"/>
    <w:rsid w:val="27FA3A4D"/>
    <w:rsid w:val="282F0C47"/>
    <w:rsid w:val="28327E91"/>
    <w:rsid w:val="283A30C1"/>
    <w:rsid w:val="28505BF9"/>
    <w:rsid w:val="28B304ED"/>
    <w:rsid w:val="28B44345"/>
    <w:rsid w:val="28CE2C2B"/>
    <w:rsid w:val="28CE41DC"/>
    <w:rsid w:val="28E852E0"/>
    <w:rsid w:val="29120FE5"/>
    <w:rsid w:val="29277175"/>
    <w:rsid w:val="293C66C7"/>
    <w:rsid w:val="29896DAB"/>
    <w:rsid w:val="29DC74D8"/>
    <w:rsid w:val="29E9144B"/>
    <w:rsid w:val="29F030AD"/>
    <w:rsid w:val="2AB743A7"/>
    <w:rsid w:val="2AD5195F"/>
    <w:rsid w:val="2AF01045"/>
    <w:rsid w:val="2B5E795A"/>
    <w:rsid w:val="2B7B5859"/>
    <w:rsid w:val="2B927E09"/>
    <w:rsid w:val="2BAC2FEC"/>
    <w:rsid w:val="2BAC6609"/>
    <w:rsid w:val="2BCD282D"/>
    <w:rsid w:val="2C13271A"/>
    <w:rsid w:val="2C5A6F31"/>
    <w:rsid w:val="2C5D6C2D"/>
    <w:rsid w:val="2C7263BD"/>
    <w:rsid w:val="2C742307"/>
    <w:rsid w:val="2C763EAF"/>
    <w:rsid w:val="2C8C7EC9"/>
    <w:rsid w:val="2CAB6FE9"/>
    <w:rsid w:val="2CC728D1"/>
    <w:rsid w:val="2CDB76DB"/>
    <w:rsid w:val="2CF576EC"/>
    <w:rsid w:val="2D3824F4"/>
    <w:rsid w:val="2D3D78B7"/>
    <w:rsid w:val="2D8B4088"/>
    <w:rsid w:val="2DC4734F"/>
    <w:rsid w:val="2DC62E66"/>
    <w:rsid w:val="2DED28CA"/>
    <w:rsid w:val="2DF65A79"/>
    <w:rsid w:val="2DF86171"/>
    <w:rsid w:val="2E0B1996"/>
    <w:rsid w:val="2E18270A"/>
    <w:rsid w:val="2E524B77"/>
    <w:rsid w:val="2E563837"/>
    <w:rsid w:val="2E9B7513"/>
    <w:rsid w:val="2EE72A2B"/>
    <w:rsid w:val="2EF0455E"/>
    <w:rsid w:val="2F240C1F"/>
    <w:rsid w:val="2F464F2B"/>
    <w:rsid w:val="2F5D0860"/>
    <w:rsid w:val="2F774556"/>
    <w:rsid w:val="2F7D7E6B"/>
    <w:rsid w:val="2F85121C"/>
    <w:rsid w:val="2F8C78AD"/>
    <w:rsid w:val="2FCE131A"/>
    <w:rsid w:val="2FEB7E51"/>
    <w:rsid w:val="3003701B"/>
    <w:rsid w:val="30181BE4"/>
    <w:rsid w:val="301B12EC"/>
    <w:rsid w:val="302303FB"/>
    <w:rsid w:val="302D55CF"/>
    <w:rsid w:val="305F1540"/>
    <w:rsid w:val="30D610DC"/>
    <w:rsid w:val="310838A9"/>
    <w:rsid w:val="310D3357"/>
    <w:rsid w:val="311309B9"/>
    <w:rsid w:val="31900001"/>
    <w:rsid w:val="31DB7144"/>
    <w:rsid w:val="31DE7EE0"/>
    <w:rsid w:val="3208340E"/>
    <w:rsid w:val="324D0A2C"/>
    <w:rsid w:val="32512E60"/>
    <w:rsid w:val="32B0212F"/>
    <w:rsid w:val="32B821ED"/>
    <w:rsid w:val="32F45459"/>
    <w:rsid w:val="333C7248"/>
    <w:rsid w:val="335439BE"/>
    <w:rsid w:val="33CA4C25"/>
    <w:rsid w:val="33DE61F8"/>
    <w:rsid w:val="33F70B9D"/>
    <w:rsid w:val="340E3252"/>
    <w:rsid w:val="34220CF7"/>
    <w:rsid w:val="34591BEB"/>
    <w:rsid w:val="346A7BEA"/>
    <w:rsid w:val="34732B99"/>
    <w:rsid w:val="34BD2002"/>
    <w:rsid w:val="34FD5E30"/>
    <w:rsid w:val="3505469B"/>
    <w:rsid w:val="353E0F14"/>
    <w:rsid w:val="354B2C5D"/>
    <w:rsid w:val="35510E66"/>
    <w:rsid w:val="358742FA"/>
    <w:rsid w:val="358860BC"/>
    <w:rsid w:val="3589146F"/>
    <w:rsid w:val="35926BFB"/>
    <w:rsid w:val="35B96834"/>
    <w:rsid w:val="35BE3776"/>
    <w:rsid w:val="35CA5EAC"/>
    <w:rsid w:val="35CE4107"/>
    <w:rsid w:val="35D31E3C"/>
    <w:rsid w:val="35E117A0"/>
    <w:rsid w:val="369F38E3"/>
    <w:rsid w:val="36A16CC0"/>
    <w:rsid w:val="36B90B13"/>
    <w:rsid w:val="36CB0DCB"/>
    <w:rsid w:val="36E6227C"/>
    <w:rsid w:val="36EC5279"/>
    <w:rsid w:val="370827DF"/>
    <w:rsid w:val="370B60BB"/>
    <w:rsid w:val="371525E0"/>
    <w:rsid w:val="37241945"/>
    <w:rsid w:val="37310AE4"/>
    <w:rsid w:val="3774630C"/>
    <w:rsid w:val="377A0E17"/>
    <w:rsid w:val="37B43BC8"/>
    <w:rsid w:val="37C82822"/>
    <w:rsid w:val="37F074E1"/>
    <w:rsid w:val="38575F68"/>
    <w:rsid w:val="38AC7189"/>
    <w:rsid w:val="38B406B0"/>
    <w:rsid w:val="38D12BBF"/>
    <w:rsid w:val="38E6690C"/>
    <w:rsid w:val="38EB6B06"/>
    <w:rsid w:val="39040B90"/>
    <w:rsid w:val="39052736"/>
    <w:rsid w:val="3935692D"/>
    <w:rsid w:val="39361D62"/>
    <w:rsid w:val="393A6EF4"/>
    <w:rsid w:val="39443B34"/>
    <w:rsid w:val="396F5DA8"/>
    <w:rsid w:val="39850FBA"/>
    <w:rsid w:val="39937415"/>
    <w:rsid w:val="39966BB4"/>
    <w:rsid w:val="39D957B3"/>
    <w:rsid w:val="39F13C9B"/>
    <w:rsid w:val="3A09695F"/>
    <w:rsid w:val="3A474CDB"/>
    <w:rsid w:val="3A4A78DD"/>
    <w:rsid w:val="3A4C2B65"/>
    <w:rsid w:val="3A763E4C"/>
    <w:rsid w:val="3AA77427"/>
    <w:rsid w:val="3B0338F9"/>
    <w:rsid w:val="3B097BBF"/>
    <w:rsid w:val="3B1200DF"/>
    <w:rsid w:val="3B3246E4"/>
    <w:rsid w:val="3B3F7D3D"/>
    <w:rsid w:val="3B5E7CEB"/>
    <w:rsid w:val="3B817D00"/>
    <w:rsid w:val="3B8413EB"/>
    <w:rsid w:val="3BD856C0"/>
    <w:rsid w:val="3BE71631"/>
    <w:rsid w:val="3C04222D"/>
    <w:rsid w:val="3C0B4BDA"/>
    <w:rsid w:val="3C425EDD"/>
    <w:rsid w:val="3C4F6215"/>
    <w:rsid w:val="3C6B634D"/>
    <w:rsid w:val="3CAA7CB8"/>
    <w:rsid w:val="3CB614FF"/>
    <w:rsid w:val="3CE969AD"/>
    <w:rsid w:val="3D0310CD"/>
    <w:rsid w:val="3D3670B1"/>
    <w:rsid w:val="3D3D2642"/>
    <w:rsid w:val="3D4D6E52"/>
    <w:rsid w:val="3D6F0F76"/>
    <w:rsid w:val="3E145229"/>
    <w:rsid w:val="3E187CA1"/>
    <w:rsid w:val="3E1F7139"/>
    <w:rsid w:val="3E201F96"/>
    <w:rsid w:val="3E2E482C"/>
    <w:rsid w:val="3E3A32BB"/>
    <w:rsid w:val="3E7A2248"/>
    <w:rsid w:val="3EEB286E"/>
    <w:rsid w:val="3F451B56"/>
    <w:rsid w:val="3F4B6D33"/>
    <w:rsid w:val="3F5E6CDF"/>
    <w:rsid w:val="3F771161"/>
    <w:rsid w:val="400266FA"/>
    <w:rsid w:val="402058B2"/>
    <w:rsid w:val="4053177F"/>
    <w:rsid w:val="40A55DC2"/>
    <w:rsid w:val="40DA5A99"/>
    <w:rsid w:val="4128085F"/>
    <w:rsid w:val="41346FA0"/>
    <w:rsid w:val="41834735"/>
    <w:rsid w:val="41994063"/>
    <w:rsid w:val="419D29F3"/>
    <w:rsid w:val="422E7CD2"/>
    <w:rsid w:val="4240395D"/>
    <w:rsid w:val="42761454"/>
    <w:rsid w:val="428A490D"/>
    <w:rsid w:val="42955BCC"/>
    <w:rsid w:val="42AD5E72"/>
    <w:rsid w:val="42B956D1"/>
    <w:rsid w:val="42DC4014"/>
    <w:rsid w:val="430640A1"/>
    <w:rsid w:val="432540D1"/>
    <w:rsid w:val="432723DC"/>
    <w:rsid w:val="43695E19"/>
    <w:rsid w:val="436B0E61"/>
    <w:rsid w:val="436F0978"/>
    <w:rsid w:val="437617B7"/>
    <w:rsid w:val="43CD6748"/>
    <w:rsid w:val="44B950F1"/>
    <w:rsid w:val="44EF5F92"/>
    <w:rsid w:val="450117F6"/>
    <w:rsid w:val="456B40FC"/>
    <w:rsid w:val="45790222"/>
    <w:rsid w:val="45835887"/>
    <w:rsid w:val="45F16919"/>
    <w:rsid w:val="464468B4"/>
    <w:rsid w:val="465079E4"/>
    <w:rsid w:val="46675464"/>
    <w:rsid w:val="46D426E6"/>
    <w:rsid w:val="47074E0C"/>
    <w:rsid w:val="470F2750"/>
    <w:rsid w:val="472A55FC"/>
    <w:rsid w:val="47397F8A"/>
    <w:rsid w:val="478A52AA"/>
    <w:rsid w:val="47B916AF"/>
    <w:rsid w:val="47C65D4C"/>
    <w:rsid w:val="47F46871"/>
    <w:rsid w:val="480A286D"/>
    <w:rsid w:val="48210360"/>
    <w:rsid w:val="4849498B"/>
    <w:rsid w:val="484F7CE9"/>
    <w:rsid w:val="48691C56"/>
    <w:rsid w:val="488210FB"/>
    <w:rsid w:val="48B44119"/>
    <w:rsid w:val="48B8000C"/>
    <w:rsid w:val="490E17F7"/>
    <w:rsid w:val="4914432B"/>
    <w:rsid w:val="492D06B5"/>
    <w:rsid w:val="493E16AE"/>
    <w:rsid w:val="493F054D"/>
    <w:rsid w:val="496E70D1"/>
    <w:rsid w:val="497D1CCF"/>
    <w:rsid w:val="49922282"/>
    <w:rsid w:val="49BE74CD"/>
    <w:rsid w:val="49E72EB5"/>
    <w:rsid w:val="49F4792A"/>
    <w:rsid w:val="4A002907"/>
    <w:rsid w:val="4A002911"/>
    <w:rsid w:val="4A2F0D66"/>
    <w:rsid w:val="4A495A3D"/>
    <w:rsid w:val="4A9417AA"/>
    <w:rsid w:val="4AB9195A"/>
    <w:rsid w:val="4AE06BA3"/>
    <w:rsid w:val="4AF7508F"/>
    <w:rsid w:val="4AF94077"/>
    <w:rsid w:val="4B1621E4"/>
    <w:rsid w:val="4B23772E"/>
    <w:rsid w:val="4B275F44"/>
    <w:rsid w:val="4B2B7A6B"/>
    <w:rsid w:val="4B3B616C"/>
    <w:rsid w:val="4B400B6C"/>
    <w:rsid w:val="4B69740D"/>
    <w:rsid w:val="4B6A6D47"/>
    <w:rsid w:val="4BB81724"/>
    <w:rsid w:val="4BF473F0"/>
    <w:rsid w:val="4BFA4E63"/>
    <w:rsid w:val="4C1F1857"/>
    <w:rsid w:val="4C2604AC"/>
    <w:rsid w:val="4C3A6048"/>
    <w:rsid w:val="4C461567"/>
    <w:rsid w:val="4C693CC3"/>
    <w:rsid w:val="4C875046"/>
    <w:rsid w:val="4CAE0F2F"/>
    <w:rsid w:val="4CCB60CB"/>
    <w:rsid w:val="4CD50EB6"/>
    <w:rsid w:val="4CD5374C"/>
    <w:rsid w:val="4CF22C13"/>
    <w:rsid w:val="4D222B55"/>
    <w:rsid w:val="4D3449A8"/>
    <w:rsid w:val="4D443AC2"/>
    <w:rsid w:val="4D725C04"/>
    <w:rsid w:val="4D746050"/>
    <w:rsid w:val="4D941A17"/>
    <w:rsid w:val="4DAA597B"/>
    <w:rsid w:val="4DEC34E7"/>
    <w:rsid w:val="4DFA1EE5"/>
    <w:rsid w:val="4E4150D0"/>
    <w:rsid w:val="4E5444E6"/>
    <w:rsid w:val="4E89456F"/>
    <w:rsid w:val="4E98185F"/>
    <w:rsid w:val="4E9D052C"/>
    <w:rsid w:val="4F24010C"/>
    <w:rsid w:val="4F2D38C1"/>
    <w:rsid w:val="4F4F0E36"/>
    <w:rsid w:val="4F926680"/>
    <w:rsid w:val="4F9F7860"/>
    <w:rsid w:val="4FA452C8"/>
    <w:rsid w:val="4FB96C94"/>
    <w:rsid w:val="4FFE2930"/>
    <w:rsid w:val="50097AFA"/>
    <w:rsid w:val="50162C00"/>
    <w:rsid w:val="50167591"/>
    <w:rsid w:val="50441110"/>
    <w:rsid w:val="50812CF2"/>
    <w:rsid w:val="50942FA8"/>
    <w:rsid w:val="513D3BB1"/>
    <w:rsid w:val="51856488"/>
    <w:rsid w:val="523E559F"/>
    <w:rsid w:val="524D6BF4"/>
    <w:rsid w:val="52616AD7"/>
    <w:rsid w:val="52A77F2E"/>
    <w:rsid w:val="52A86AE2"/>
    <w:rsid w:val="52AD3D39"/>
    <w:rsid w:val="52E437A9"/>
    <w:rsid w:val="52EF54AD"/>
    <w:rsid w:val="531721EB"/>
    <w:rsid w:val="53484C54"/>
    <w:rsid w:val="53531BA1"/>
    <w:rsid w:val="53681A77"/>
    <w:rsid w:val="53914D59"/>
    <w:rsid w:val="53966F25"/>
    <w:rsid w:val="53B359DA"/>
    <w:rsid w:val="53EC641B"/>
    <w:rsid w:val="540A13C5"/>
    <w:rsid w:val="543626D3"/>
    <w:rsid w:val="544131E5"/>
    <w:rsid w:val="545B4D81"/>
    <w:rsid w:val="548C3F46"/>
    <w:rsid w:val="54C2075C"/>
    <w:rsid w:val="54D558D7"/>
    <w:rsid w:val="54D87240"/>
    <w:rsid w:val="54EF14B6"/>
    <w:rsid w:val="54F54A96"/>
    <w:rsid w:val="551E5389"/>
    <w:rsid w:val="55315DCB"/>
    <w:rsid w:val="555667E5"/>
    <w:rsid w:val="555F57E1"/>
    <w:rsid w:val="5566054A"/>
    <w:rsid w:val="55A35FCA"/>
    <w:rsid w:val="55CF670D"/>
    <w:rsid w:val="55E41086"/>
    <w:rsid w:val="55F377DE"/>
    <w:rsid w:val="5658260C"/>
    <w:rsid w:val="565C1B23"/>
    <w:rsid w:val="565D5980"/>
    <w:rsid w:val="567C27FD"/>
    <w:rsid w:val="56BD2C80"/>
    <w:rsid w:val="56F91CCC"/>
    <w:rsid w:val="572F5F3A"/>
    <w:rsid w:val="57315CF6"/>
    <w:rsid w:val="575C3169"/>
    <w:rsid w:val="575F315A"/>
    <w:rsid w:val="57760CAC"/>
    <w:rsid w:val="57790A85"/>
    <w:rsid w:val="579569DA"/>
    <w:rsid w:val="57C34679"/>
    <w:rsid w:val="57DD3D17"/>
    <w:rsid w:val="5831242D"/>
    <w:rsid w:val="58531E08"/>
    <w:rsid w:val="586C6D66"/>
    <w:rsid w:val="58744491"/>
    <w:rsid w:val="588D724D"/>
    <w:rsid w:val="58BE14CC"/>
    <w:rsid w:val="58CB2ECB"/>
    <w:rsid w:val="58EE1B0B"/>
    <w:rsid w:val="591A26EE"/>
    <w:rsid w:val="59274812"/>
    <w:rsid w:val="592B0326"/>
    <w:rsid w:val="59466282"/>
    <w:rsid w:val="59520A35"/>
    <w:rsid w:val="596371E0"/>
    <w:rsid w:val="597A10E2"/>
    <w:rsid w:val="59A06542"/>
    <w:rsid w:val="59DA0DAB"/>
    <w:rsid w:val="59E875DF"/>
    <w:rsid w:val="59FA2DFD"/>
    <w:rsid w:val="5A656802"/>
    <w:rsid w:val="5AA923DD"/>
    <w:rsid w:val="5AB839BA"/>
    <w:rsid w:val="5AE32B15"/>
    <w:rsid w:val="5B2520D6"/>
    <w:rsid w:val="5B25290D"/>
    <w:rsid w:val="5B390B02"/>
    <w:rsid w:val="5B3A03E9"/>
    <w:rsid w:val="5B714E02"/>
    <w:rsid w:val="5B7F76FF"/>
    <w:rsid w:val="5BA028F6"/>
    <w:rsid w:val="5BA35C5A"/>
    <w:rsid w:val="5BB50A5F"/>
    <w:rsid w:val="5BB850D6"/>
    <w:rsid w:val="5BEB3E29"/>
    <w:rsid w:val="5BF621D0"/>
    <w:rsid w:val="5C250D54"/>
    <w:rsid w:val="5C413DEC"/>
    <w:rsid w:val="5C6E7A81"/>
    <w:rsid w:val="5C9A63CD"/>
    <w:rsid w:val="5CBD408B"/>
    <w:rsid w:val="5D1902A4"/>
    <w:rsid w:val="5D1F788A"/>
    <w:rsid w:val="5D24300B"/>
    <w:rsid w:val="5D442BF9"/>
    <w:rsid w:val="5D5B08A5"/>
    <w:rsid w:val="5D880B98"/>
    <w:rsid w:val="5DAD3498"/>
    <w:rsid w:val="5DCC58AB"/>
    <w:rsid w:val="5DE206A3"/>
    <w:rsid w:val="5E0B02D5"/>
    <w:rsid w:val="5E0E47A8"/>
    <w:rsid w:val="5E112FCB"/>
    <w:rsid w:val="5E204C4A"/>
    <w:rsid w:val="5E3D2F8F"/>
    <w:rsid w:val="5E8400AC"/>
    <w:rsid w:val="5E9D22A8"/>
    <w:rsid w:val="5EAA61F7"/>
    <w:rsid w:val="5EB30E85"/>
    <w:rsid w:val="5EC65ADB"/>
    <w:rsid w:val="5ECD703F"/>
    <w:rsid w:val="5F1B3EDA"/>
    <w:rsid w:val="5F4C25B7"/>
    <w:rsid w:val="5F5A186A"/>
    <w:rsid w:val="5F737490"/>
    <w:rsid w:val="5F803FD3"/>
    <w:rsid w:val="5F9F125F"/>
    <w:rsid w:val="5FA61842"/>
    <w:rsid w:val="5FC37717"/>
    <w:rsid w:val="603F1613"/>
    <w:rsid w:val="60430988"/>
    <w:rsid w:val="605D0CDB"/>
    <w:rsid w:val="606B0EEB"/>
    <w:rsid w:val="608A539A"/>
    <w:rsid w:val="60A303AC"/>
    <w:rsid w:val="612B200B"/>
    <w:rsid w:val="614E0B05"/>
    <w:rsid w:val="615B2439"/>
    <w:rsid w:val="6179498E"/>
    <w:rsid w:val="617E51AE"/>
    <w:rsid w:val="618379ED"/>
    <w:rsid w:val="61880DBF"/>
    <w:rsid w:val="61A62E45"/>
    <w:rsid w:val="61B51276"/>
    <w:rsid w:val="61EA621C"/>
    <w:rsid w:val="621471D0"/>
    <w:rsid w:val="622508AD"/>
    <w:rsid w:val="622C5851"/>
    <w:rsid w:val="623F6509"/>
    <w:rsid w:val="62692761"/>
    <w:rsid w:val="62A553EC"/>
    <w:rsid w:val="62BF3B7A"/>
    <w:rsid w:val="62C970FF"/>
    <w:rsid w:val="63742B30"/>
    <w:rsid w:val="63EA26D7"/>
    <w:rsid w:val="64661DF2"/>
    <w:rsid w:val="64B25956"/>
    <w:rsid w:val="64F801BB"/>
    <w:rsid w:val="64F942AD"/>
    <w:rsid w:val="650A50C9"/>
    <w:rsid w:val="65480B1C"/>
    <w:rsid w:val="65480FC4"/>
    <w:rsid w:val="655C7E17"/>
    <w:rsid w:val="656E0CA7"/>
    <w:rsid w:val="65727029"/>
    <w:rsid w:val="658E52F0"/>
    <w:rsid w:val="660614A2"/>
    <w:rsid w:val="66207BAD"/>
    <w:rsid w:val="6625451C"/>
    <w:rsid w:val="664E5E91"/>
    <w:rsid w:val="66500B63"/>
    <w:rsid w:val="669B6532"/>
    <w:rsid w:val="66CD384F"/>
    <w:rsid w:val="66E96EAF"/>
    <w:rsid w:val="67026CB4"/>
    <w:rsid w:val="6717593F"/>
    <w:rsid w:val="671C3851"/>
    <w:rsid w:val="676A05C5"/>
    <w:rsid w:val="67733FDA"/>
    <w:rsid w:val="67CB3F3D"/>
    <w:rsid w:val="67CB641E"/>
    <w:rsid w:val="67D15FC0"/>
    <w:rsid w:val="680D6ADF"/>
    <w:rsid w:val="68197EDE"/>
    <w:rsid w:val="68897E24"/>
    <w:rsid w:val="68ED1836"/>
    <w:rsid w:val="692D0B3E"/>
    <w:rsid w:val="693E27AA"/>
    <w:rsid w:val="69524929"/>
    <w:rsid w:val="69AF06DB"/>
    <w:rsid w:val="69C0129B"/>
    <w:rsid w:val="69DE5C16"/>
    <w:rsid w:val="69F6379C"/>
    <w:rsid w:val="6A0F5A27"/>
    <w:rsid w:val="6A344083"/>
    <w:rsid w:val="6A4335D0"/>
    <w:rsid w:val="6A552A47"/>
    <w:rsid w:val="6A63192B"/>
    <w:rsid w:val="6ABD787A"/>
    <w:rsid w:val="6ADC7EF1"/>
    <w:rsid w:val="6AF26B6F"/>
    <w:rsid w:val="6AF70169"/>
    <w:rsid w:val="6B0E4588"/>
    <w:rsid w:val="6B564D4C"/>
    <w:rsid w:val="6B641C44"/>
    <w:rsid w:val="6B97508B"/>
    <w:rsid w:val="6B9B19CF"/>
    <w:rsid w:val="6BBB7C60"/>
    <w:rsid w:val="6BD16387"/>
    <w:rsid w:val="6C1218EE"/>
    <w:rsid w:val="6C21006E"/>
    <w:rsid w:val="6C315AD0"/>
    <w:rsid w:val="6C504ACA"/>
    <w:rsid w:val="6CB03574"/>
    <w:rsid w:val="6CCC2D2E"/>
    <w:rsid w:val="6CD53B8B"/>
    <w:rsid w:val="6CDF2F38"/>
    <w:rsid w:val="6CEC6563"/>
    <w:rsid w:val="6CF504F2"/>
    <w:rsid w:val="6D2E4855"/>
    <w:rsid w:val="6DB6028B"/>
    <w:rsid w:val="6DB715F8"/>
    <w:rsid w:val="6DC033FF"/>
    <w:rsid w:val="6DF83FE2"/>
    <w:rsid w:val="6DFF5232"/>
    <w:rsid w:val="6E012ABA"/>
    <w:rsid w:val="6E08433B"/>
    <w:rsid w:val="6E3F1F74"/>
    <w:rsid w:val="6E407F50"/>
    <w:rsid w:val="6E674AC0"/>
    <w:rsid w:val="6EF7053C"/>
    <w:rsid w:val="6F526B34"/>
    <w:rsid w:val="6F6D36CF"/>
    <w:rsid w:val="6FA950CD"/>
    <w:rsid w:val="6FAA0AAD"/>
    <w:rsid w:val="6FC367C0"/>
    <w:rsid w:val="6FE67D4C"/>
    <w:rsid w:val="700E5B5C"/>
    <w:rsid w:val="7019238A"/>
    <w:rsid w:val="70350961"/>
    <w:rsid w:val="70456D13"/>
    <w:rsid w:val="70720B19"/>
    <w:rsid w:val="708F6F5C"/>
    <w:rsid w:val="709B3BA8"/>
    <w:rsid w:val="70AC131C"/>
    <w:rsid w:val="70B85752"/>
    <w:rsid w:val="70E90BE2"/>
    <w:rsid w:val="70EB614C"/>
    <w:rsid w:val="70FC591D"/>
    <w:rsid w:val="711F072D"/>
    <w:rsid w:val="711F079B"/>
    <w:rsid w:val="712777AC"/>
    <w:rsid w:val="715C7426"/>
    <w:rsid w:val="718167E9"/>
    <w:rsid w:val="719F0AEA"/>
    <w:rsid w:val="71B400B5"/>
    <w:rsid w:val="71BE64BF"/>
    <w:rsid w:val="71D546B5"/>
    <w:rsid w:val="71DE0591"/>
    <w:rsid w:val="71E45C5F"/>
    <w:rsid w:val="71E5116B"/>
    <w:rsid w:val="71E72A9F"/>
    <w:rsid w:val="72066E32"/>
    <w:rsid w:val="720A19C6"/>
    <w:rsid w:val="723D36C6"/>
    <w:rsid w:val="726C5828"/>
    <w:rsid w:val="726F6553"/>
    <w:rsid w:val="72710196"/>
    <w:rsid w:val="727315B1"/>
    <w:rsid w:val="729E562C"/>
    <w:rsid w:val="72A94EB3"/>
    <w:rsid w:val="72AB5997"/>
    <w:rsid w:val="72D9183C"/>
    <w:rsid w:val="72F30C5A"/>
    <w:rsid w:val="72FE5D65"/>
    <w:rsid w:val="73315377"/>
    <w:rsid w:val="733952DD"/>
    <w:rsid w:val="734044FC"/>
    <w:rsid w:val="7366387B"/>
    <w:rsid w:val="73722B4F"/>
    <w:rsid w:val="73801DF7"/>
    <w:rsid w:val="73D57D53"/>
    <w:rsid w:val="73F87CC9"/>
    <w:rsid w:val="73FB7282"/>
    <w:rsid w:val="73FE04CC"/>
    <w:rsid w:val="74300AB1"/>
    <w:rsid w:val="74434134"/>
    <w:rsid w:val="74A33F7A"/>
    <w:rsid w:val="74CA4501"/>
    <w:rsid w:val="74DD59DC"/>
    <w:rsid w:val="74F00078"/>
    <w:rsid w:val="75087DEF"/>
    <w:rsid w:val="75146941"/>
    <w:rsid w:val="75165276"/>
    <w:rsid w:val="7565160B"/>
    <w:rsid w:val="75766904"/>
    <w:rsid w:val="75876CD8"/>
    <w:rsid w:val="759A7268"/>
    <w:rsid w:val="75C13F70"/>
    <w:rsid w:val="76057E7D"/>
    <w:rsid w:val="760876A1"/>
    <w:rsid w:val="76134BD2"/>
    <w:rsid w:val="7681506C"/>
    <w:rsid w:val="76BB6111"/>
    <w:rsid w:val="76BC6E6D"/>
    <w:rsid w:val="76DF5D55"/>
    <w:rsid w:val="76EA3AFE"/>
    <w:rsid w:val="7713580C"/>
    <w:rsid w:val="77355B32"/>
    <w:rsid w:val="77707D33"/>
    <w:rsid w:val="77915322"/>
    <w:rsid w:val="77B25801"/>
    <w:rsid w:val="77CA3DD3"/>
    <w:rsid w:val="77D2600D"/>
    <w:rsid w:val="78171E00"/>
    <w:rsid w:val="78214E4F"/>
    <w:rsid w:val="78851F51"/>
    <w:rsid w:val="789F2739"/>
    <w:rsid w:val="78A01E92"/>
    <w:rsid w:val="78AD7539"/>
    <w:rsid w:val="78C327B9"/>
    <w:rsid w:val="78CA710C"/>
    <w:rsid w:val="793E29C9"/>
    <w:rsid w:val="79707726"/>
    <w:rsid w:val="79725AA3"/>
    <w:rsid w:val="798674FD"/>
    <w:rsid w:val="79A63224"/>
    <w:rsid w:val="79B55750"/>
    <w:rsid w:val="79D96104"/>
    <w:rsid w:val="79DB3F9C"/>
    <w:rsid w:val="79E424CD"/>
    <w:rsid w:val="79EC6579"/>
    <w:rsid w:val="79F269E4"/>
    <w:rsid w:val="7A050E39"/>
    <w:rsid w:val="7A0D178C"/>
    <w:rsid w:val="7A313C4B"/>
    <w:rsid w:val="7A6E2E14"/>
    <w:rsid w:val="7A755DDC"/>
    <w:rsid w:val="7A797639"/>
    <w:rsid w:val="7A7A545A"/>
    <w:rsid w:val="7AAC02EA"/>
    <w:rsid w:val="7AB4703E"/>
    <w:rsid w:val="7AC561E0"/>
    <w:rsid w:val="7AFC2940"/>
    <w:rsid w:val="7AFD46F8"/>
    <w:rsid w:val="7B0E75E2"/>
    <w:rsid w:val="7B2E480E"/>
    <w:rsid w:val="7B315839"/>
    <w:rsid w:val="7B3937EE"/>
    <w:rsid w:val="7B4B7BBA"/>
    <w:rsid w:val="7B557DBE"/>
    <w:rsid w:val="7B59131F"/>
    <w:rsid w:val="7BA40F56"/>
    <w:rsid w:val="7BB84551"/>
    <w:rsid w:val="7BBB083C"/>
    <w:rsid w:val="7BDC3C6A"/>
    <w:rsid w:val="7BFF4CAD"/>
    <w:rsid w:val="7C2C308D"/>
    <w:rsid w:val="7C433BA1"/>
    <w:rsid w:val="7C912006"/>
    <w:rsid w:val="7C98260D"/>
    <w:rsid w:val="7CA17B33"/>
    <w:rsid w:val="7CC104FF"/>
    <w:rsid w:val="7CD1352B"/>
    <w:rsid w:val="7CDC5893"/>
    <w:rsid w:val="7D1B00CD"/>
    <w:rsid w:val="7D376C31"/>
    <w:rsid w:val="7D4F4FDD"/>
    <w:rsid w:val="7D743CFF"/>
    <w:rsid w:val="7D7A35B3"/>
    <w:rsid w:val="7D8B5795"/>
    <w:rsid w:val="7D8F5E4E"/>
    <w:rsid w:val="7DA9741C"/>
    <w:rsid w:val="7DC651DD"/>
    <w:rsid w:val="7DD13BEA"/>
    <w:rsid w:val="7DF56C1C"/>
    <w:rsid w:val="7E4231F2"/>
    <w:rsid w:val="7E694A0C"/>
    <w:rsid w:val="7E99617A"/>
    <w:rsid w:val="7EF93D47"/>
    <w:rsid w:val="7F0C2BA5"/>
    <w:rsid w:val="7F12412E"/>
    <w:rsid w:val="7F450DA2"/>
    <w:rsid w:val="7F897EF5"/>
    <w:rsid w:val="7F9847C0"/>
    <w:rsid w:val="7FA33313"/>
    <w:rsid w:val="7FC113A7"/>
    <w:rsid w:val="7FE64EA3"/>
    <w:rsid w:val="7FEE2972"/>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iPriority="0" w:semiHidden="0" w:name="index 1"/>
    <w:lsdException w:qFormat="1" w:uiPriority="0" w:semiHidden="0" w:name="index 2"/>
    <w:lsdException w:qFormat="1" w:uiPriority="0" w:semiHidden="0" w:name="index 3"/>
    <w:lsdException w:qFormat="1" w:uiPriority="0" w:semiHidden="0" w:name="index 4"/>
    <w:lsdException w:qFormat="1" w:uiPriority="0" w:semiHidden="0" w:name="index 5"/>
    <w:lsdException w:qFormat="1" w:uiPriority="0" w:semiHidden="0" w:name="index 6"/>
    <w:lsdException w:qFormat="1" w:uiPriority="0" w:semiHidden="0" w:name="index 7"/>
    <w:lsdException w:qFormat="1" w:uiPriority="0" w:semiHidden="0" w:name="index 8"/>
    <w:lsdException w:qFormat="1"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99" w:semiHidden="0" w:name="Normal Indent" w:locked="1"/>
    <w:lsdException w:qFormat="1"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qFormat="1" w:uiPriority="0" w:semiHidden="0" w:name="index heading"/>
    <w:lsdException w:qFormat="1" w:unhideWhenUsed="0" w:uiPriority="0" w:semiHidden="0" w:name="caption"/>
    <w:lsdException w:qFormat="1" w:unhideWhenUsed="0" w:uiPriority="0" w:semiHidden="0" w:name="table of figures"/>
    <w:lsdException w:qFormat="1" w:unhideWhenUsed="0" w:uiPriority="0" w:semiHidden="0" w:name="envelope address"/>
    <w:lsdException w:qFormat="1" w:unhideWhenUsed="0" w:uiPriority="0" w:semiHidden="0" w:name="envelope return"/>
    <w:lsdException w:qFormat="1" w:unhideWhenUsed="0" w:uiPriority="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iPriority="0" w:semiHidden="0" w:name="endnote text"/>
    <w:lsdException w:qFormat="1" w:unhideWhenUsed="0" w:uiPriority="0" w:semiHidden="0" w:name="table of authorities"/>
    <w:lsdException w:qFormat="1" w:unhideWhenUsed="0" w:uiPriority="0" w:semiHidden="0" w:name="macro"/>
    <w:lsdException w:qFormat="1" w:unhideWhenUsed="0" w:uiPriority="0" w:semiHidden="0" w:name="toa heading"/>
    <w:lsdException w:qFormat="1"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99" w:semiHidden="0" w:name="Title" w:locked="1"/>
    <w:lsdException w:qFormat="1" w:unhideWhenUsed="0" w:uiPriority="0" w:semiHidden="0" w:name="Closing"/>
    <w:lsdException w:qFormat="1"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sdException w:qFormat="1"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0" w:semiHidden="0" w:name="Subtitle" w:locked="1"/>
    <w:lsdException w:qFormat="1" w:unhideWhenUsed="0" w:uiPriority="0" w:semiHidden="0" w:name="Salutation"/>
    <w:lsdException w:qFormat="1" w:unhideWhenUsed="0" w:uiPriority="0" w:semiHidden="0" w:name="Date" w:locked="1"/>
    <w:lsdException w:qFormat="1" w:unhideWhenUsed="0" w:uiPriority="0" w:semiHidden="0" w:name="Body Text First Indent"/>
    <w:lsdException w:qFormat="1" w:uiPriority="0" w:semiHidden="0" w:name="Body Text First Indent 2"/>
    <w:lsdException w:qFormat="1" w:unhideWhenUsed="0" w:uiPriority="0" w:semiHidden="0" w:name="Note Heading"/>
    <w:lsdException w:qFormat="1" w:uiPriority="0" w:semiHidden="0" w:name="Body Text 2" w:locked="1"/>
    <w:lsdException w:qFormat="1" w:uiPriority="0" w:semiHidden="0" w:name="Body Text 3" w:locked="1"/>
    <w:lsdException w:qFormat="1" w:uiPriority="0" w:semiHidden="0" w:name="Body Text Indent 2" w:locked="1"/>
    <w:lsdException w:qFormat="1" w:unhideWhenUsed="0" w:uiPriority="0" w:semiHidden="0" w:name="Body Text Indent 3"/>
    <w:lsdException w:qFormat="1"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ocked="1"/>
    <w:lsdException w:qFormat="1" w:unhideWhenUsed="0" w:uiPriority="0" w:semiHidden="0" w:name="Emphasis" w:locked="1"/>
    <w:lsdException w:qFormat="1" w:unhideWhenUsed="0" w:uiPriority="0" w:semiHidden="0" w:name="Document Map"/>
    <w:lsdException w:qFormat="1" w:unhideWhenUsed="0" w:uiPriority="0" w:semiHidden="0" w:name="Plain Text" w:locked="1"/>
    <w:lsdException w:qFormat="1" w:unhideWhenUsed="0" w:uiPriority="0" w:semiHidden="0" w:name="E-mail Signature" w:locked="1"/>
    <w:lsdException w:qFormat="1" w:unhideWhenUsed="0" w:uiPriority="99" w:semiHidden="0" w:name="Normal (Web)"/>
    <w:lsdException w:uiPriority="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nhideWhenUsed="0" w:uiPriority="0" w:semiHidden="0" w:name="annotation subject"/>
    <w:lsdException w:qFormat="1" w:uiPriority="0"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qFormat="1" w:unhideWhenUsed="0" w:uiPriority="0" w:semiHidden="0"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iPriority="99" w:semiHidden="0" w:name="Table Elegant"/>
    <w:lsdException w:qFormat="1" w:unhideWhenUsed="0" w:uiPriority="0" w:semiHidden="0"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semiHidden="0" w:name="Balloon Text"/>
    <w:lsdException w:qFormat="1" w:uiPriority="0" w:semiHidden="0" w:name="Table Grid"/>
    <w:lsdException w:uiPriority="99" w:name="Table Theme"/>
    <w:lsdException w:qFormat="1" w:uiPriority="99" w:semiHidden="0"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qFormat="1" w:unhideWhenUsed="0" w:uiPriority="0" w:semiHidden="0" w:name="Quote"/>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topLinePunct/>
      <w:adjustRightInd w:val="0"/>
      <w:snapToGrid w:val="0"/>
      <w:spacing w:line="360" w:lineRule="auto"/>
      <w:ind w:firstLine="200" w:firstLineChars="200"/>
      <w:jc w:val="both"/>
    </w:pPr>
    <w:rPr>
      <w:rFonts w:ascii="Times New Roman" w:hAnsi="Times New Roman" w:eastAsia="宋体" w:cs="Times New Roman"/>
      <w:sz w:val="24"/>
      <w:szCs w:val="24"/>
      <w:lang w:val="en-US" w:eastAsia="zh-CN" w:bidi="ar-SA"/>
    </w:rPr>
  </w:style>
  <w:style w:type="paragraph" w:styleId="5">
    <w:name w:val="heading 1"/>
    <w:basedOn w:val="1"/>
    <w:next w:val="1"/>
    <w:link w:val="116"/>
    <w:qFormat/>
    <w:uiPriority w:val="9"/>
    <w:pPr>
      <w:keepNext/>
      <w:keepLines/>
      <w:pageBreakBefore/>
      <w:tabs>
        <w:tab w:val="left" w:pos="432"/>
      </w:tabs>
      <w:ind w:firstLine="0" w:firstLineChars="0"/>
      <w:jc w:val="left"/>
      <w:outlineLvl w:val="0"/>
    </w:pPr>
    <w:rPr>
      <w:b/>
      <w:bCs/>
      <w:sz w:val="32"/>
      <w:szCs w:val="32"/>
    </w:rPr>
  </w:style>
  <w:style w:type="paragraph" w:styleId="6">
    <w:name w:val="heading 2"/>
    <w:basedOn w:val="1"/>
    <w:next w:val="1"/>
    <w:link w:val="117"/>
    <w:qFormat/>
    <w:uiPriority w:val="9"/>
    <w:pPr>
      <w:keepNext/>
      <w:keepLines/>
      <w:ind w:firstLine="0" w:firstLineChars="0"/>
      <w:jc w:val="left"/>
      <w:outlineLvl w:val="1"/>
    </w:pPr>
    <w:rPr>
      <w:b/>
      <w:bCs/>
      <w:sz w:val="28"/>
      <w:szCs w:val="30"/>
    </w:rPr>
  </w:style>
  <w:style w:type="paragraph" w:styleId="7">
    <w:name w:val="heading 3"/>
    <w:basedOn w:val="1"/>
    <w:next w:val="1"/>
    <w:link w:val="118"/>
    <w:qFormat/>
    <w:uiPriority w:val="0"/>
    <w:pPr>
      <w:keepNext/>
      <w:kinsoku w:val="0"/>
      <w:overflowPunct w:val="0"/>
      <w:autoSpaceDE w:val="0"/>
      <w:autoSpaceDN w:val="0"/>
      <w:ind w:firstLine="0" w:firstLineChars="0"/>
      <w:jc w:val="left"/>
      <w:outlineLvl w:val="2"/>
    </w:pPr>
    <w:rPr>
      <w:b/>
      <w:bCs/>
      <w:szCs w:val="28"/>
    </w:rPr>
  </w:style>
  <w:style w:type="paragraph" w:styleId="8">
    <w:name w:val="heading 4"/>
    <w:basedOn w:val="7"/>
    <w:next w:val="9"/>
    <w:link w:val="119"/>
    <w:qFormat/>
    <w:uiPriority w:val="0"/>
    <w:pPr>
      <w:keepLines/>
      <w:widowControl/>
      <w:outlineLvl w:val="3"/>
    </w:pPr>
  </w:style>
  <w:style w:type="paragraph" w:styleId="11">
    <w:name w:val="heading 5"/>
    <w:basedOn w:val="1"/>
    <w:next w:val="1"/>
    <w:link w:val="120"/>
    <w:qFormat/>
    <w:uiPriority w:val="0"/>
    <w:pPr>
      <w:keepNext/>
      <w:keepLines/>
      <w:numPr>
        <w:ilvl w:val="4"/>
        <w:numId w:val="1"/>
      </w:numPr>
      <w:spacing w:before="280" w:after="290" w:line="376" w:lineRule="auto"/>
      <w:ind w:firstLine="0" w:firstLineChars="0"/>
      <w:outlineLvl w:val="4"/>
    </w:pPr>
    <w:rPr>
      <w:b/>
      <w:bCs/>
      <w:sz w:val="28"/>
      <w:szCs w:val="28"/>
    </w:rPr>
  </w:style>
  <w:style w:type="paragraph" w:styleId="12">
    <w:name w:val="heading 6"/>
    <w:basedOn w:val="1"/>
    <w:next w:val="1"/>
    <w:link w:val="121"/>
    <w:qFormat/>
    <w:uiPriority w:val="0"/>
    <w:pPr>
      <w:keepNext/>
      <w:keepLines/>
      <w:numPr>
        <w:ilvl w:val="5"/>
        <w:numId w:val="1"/>
      </w:numPr>
      <w:spacing w:before="240" w:after="64" w:line="320" w:lineRule="auto"/>
      <w:ind w:firstLine="0" w:firstLineChars="0"/>
      <w:outlineLvl w:val="5"/>
    </w:pPr>
    <w:rPr>
      <w:rFonts w:ascii="Cambria" w:hAnsi="Cambria"/>
      <w:b/>
      <w:bCs/>
    </w:rPr>
  </w:style>
  <w:style w:type="paragraph" w:styleId="13">
    <w:name w:val="heading 7"/>
    <w:basedOn w:val="1"/>
    <w:next w:val="1"/>
    <w:link w:val="122"/>
    <w:qFormat/>
    <w:uiPriority w:val="0"/>
    <w:pPr>
      <w:keepNext/>
      <w:keepLines/>
      <w:numPr>
        <w:ilvl w:val="6"/>
        <w:numId w:val="1"/>
      </w:numPr>
      <w:spacing w:before="240" w:after="64" w:line="320" w:lineRule="auto"/>
      <w:ind w:firstLine="0" w:firstLineChars="0"/>
      <w:outlineLvl w:val="6"/>
    </w:pPr>
    <w:rPr>
      <w:b/>
      <w:bCs/>
    </w:rPr>
  </w:style>
  <w:style w:type="paragraph" w:styleId="14">
    <w:name w:val="heading 8"/>
    <w:basedOn w:val="1"/>
    <w:next w:val="1"/>
    <w:link w:val="123"/>
    <w:qFormat/>
    <w:uiPriority w:val="0"/>
    <w:pPr>
      <w:keepNext/>
      <w:keepLines/>
      <w:numPr>
        <w:ilvl w:val="7"/>
        <w:numId w:val="1"/>
      </w:numPr>
      <w:spacing w:before="240" w:after="64" w:line="320" w:lineRule="auto"/>
      <w:ind w:firstLine="0" w:firstLineChars="0"/>
      <w:outlineLvl w:val="7"/>
    </w:pPr>
    <w:rPr>
      <w:rFonts w:ascii="Cambria" w:hAnsi="Cambria"/>
    </w:rPr>
  </w:style>
  <w:style w:type="paragraph" w:styleId="15">
    <w:name w:val="heading 9"/>
    <w:basedOn w:val="1"/>
    <w:next w:val="1"/>
    <w:link w:val="124"/>
    <w:qFormat/>
    <w:uiPriority w:val="0"/>
    <w:pPr>
      <w:keepNext/>
      <w:keepLines/>
      <w:numPr>
        <w:ilvl w:val="8"/>
        <w:numId w:val="1"/>
      </w:numPr>
      <w:spacing w:before="240" w:after="64" w:line="320" w:lineRule="auto"/>
      <w:ind w:firstLine="0" w:firstLineChars="0"/>
      <w:outlineLvl w:val="8"/>
    </w:pPr>
    <w:rPr>
      <w:rFonts w:ascii="Cambria" w:hAnsi="Cambria"/>
      <w:sz w:val="21"/>
    </w:rPr>
  </w:style>
  <w:style w:type="character" w:default="1" w:styleId="98">
    <w:name w:val="Default Paragraph Font"/>
    <w:semiHidden/>
    <w:unhideWhenUsed/>
    <w:qFormat/>
    <w:uiPriority w:val="1"/>
  </w:style>
  <w:style w:type="table" w:default="1" w:styleId="92">
    <w:name w:val="Normal Table"/>
    <w:semiHidden/>
    <w:unhideWhenUsed/>
    <w:qFormat/>
    <w:uiPriority w:val="99"/>
    <w:tblPr>
      <w:tblCellMar>
        <w:top w:w="0" w:type="dxa"/>
        <w:left w:w="108" w:type="dxa"/>
        <w:bottom w:w="0" w:type="dxa"/>
        <w:right w:w="108" w:type="dxa"/>
      </w:tblCellMar>
    </w:tblPr>
  </w:style>
  <w:style w:type="paragraph" w:customStyle="1" w:styleId="2">
    <w:name w:val="Default"/>
    <w:next w:val="3"/>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
    <w:name w:val="正文文字 6"/>
    <w:next w:val="1"/>
    <w:qFormat/>
    <w:uiPriority w:val="0"/>
    <w:pPr>
      <w:widowControl w:val="0"/>
      <w:ind w:left="240"/>
      <w:jc w:val="both"/>
    </w:pPr>
    <w:rPr>
      <w:rFonts w:ascii="宋体" w:hAnsi="Calibri" w:eastAsia="宋体" w:cs="Times New Roman"/>
      <w:b/>
      <w:bCs/>
      <w:kern w:val="2"/>
      <w:sz w:val="32"/>
      <w:szCs w:val="32"/>
      <w:lang w:val="en-US" w:eastAsia="zh-CN" w:bidi="ar-SA"/>
    </w:rPr>
  </w:style>
  <w:style w:type="paragraph" w:styleId="4">
    <w:name w:val="macro"/>
    <w:link w:val="977"/>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Courier New"/>
      <w:kern w:val="2"/>
      <w:sz w:val="24"/>
      <w:szCs w:val="24"/>
      <w:lang w:val="en-US" w:eastAsia="zh-CN" w:bidi="ar-SA"/>
    </w:rPr>
  </w:style>
  <w:style w:type="paragraph" w:styleId="9">
    <w:name w:val="Normal Indent"/>
    <w:basedOn w:val="1"/>
    <w:next w:val="10"/>
    <w:link w:val="130"/>
    <w:qFormat/>
    <w:locked/>
    <w:uiPriority w:val="99"/>
    <w:pPr>
      <w:topLinePunct w:val="0"/>
      <w:adjustRightInd/>
      <w:snapToGrid/>
      <w:ind w:firstLine="420"/>
      <w:jc w:val="left"/>
    </w:pPr>
    <w:rPr>
      <w:kern w:val="2"/>
    </w:rPr>
  </w:style>
  <w:style w:type="paragraph" w:customStyle="1" w:styleId="10">
    <w:name w:val="样式 正文文本 + 首行缩进:  2 字符"/>
    <w:basedOn w:val="1"/>
    <w:qFormat/>
    <w:uiPriority w:val="0"/>
    <w:pPr>
      <w:topLinePunct w:val="0"/>
      <w:adjustRightInd/>
      <w:ind w:firstLine="198" w:firstLineChars="74"/>
    </w:pPr>
    <w:rPr>
      <w:rFonts w:ascii="宋体" w:hAnsi="宋体"/>
      <w:bCs/>
      <w:spacing w:val="14"/>
      <w:szCs w:val="28"/>
    </w:rPr>
  </w:style>
  <w:style w:type="paragraph" w:styleId="16">
    <w:name w:val="List 3"/>
    <w:basedOn w:val="1"/>
    <w:qFormat/>
    <w:uiPriority w:val="0"/>
    <w:pPr>
      <w:topLinePunct w:val="0"/>
      <w:adjustRightInd/>
      <w:snapToGrid/>
      <w:spacing w:line="240" w:lineRule="auto"/>
      <w:ind w:left="100" w:leftChars="400" w:hanging="200" w:hangingChars="200"/>
    </w:pPr>
    <w:rPr>
      <w:rFonts w:ascii="Calibri" w:hAnsi="Calibri"/>
      <w:kern w:val="2"/>
      <w:sz w:val="21"/>
    </w:rPr>
  </w:style>
  <w:style w:type="paragraph" w:styleId="17">
    <w:name w:val="toc 7"/>
    <w:basedOn w:val="1"/>
    <w:next w:val="1"/>
    <w:qFormat/>
    <w:uiPriority w:val="39"/>
    <w:pPr>
      <w:spacing w:line="240" w:lineRule="auto"/>
      <w:ind w:left="2520" w:leftChars="1200" w:firstLine="0" w:firstLineChars="0"/>
    </w:pPr>
    <w:rPr>
      <w:rFonts w:ascii="Calibri" w:hAnsi="Calibri"/>
      <w:sz w:val="21"/>
    </w:rPr>
  </w:style>
  <w:style w:type="paragraph" w:styleId="18">
    <w:name w:val="List Number 2"/>
    <w:basedOn w:val="1"/>
    <w:qFormat/>
    <w:uiPriority w:val="0"/>
    <w:pPr>
      <w:tabs>
        <w:tab w:val="left" w:pos="780"/>
      </w:tabs>
      <w:topLinePunct w:val="0"/>
      <w:adjustRightInd/>
      <w:snapToGrid/>
      <w:spacing w:line="240" w:lineRule="auto"/>
      <w:ind w:left="780" w:hanging="360" w:firstLineChars="0"/>
    </w:pPr>
    <w:rPr>
      <w:rFonts w:ascii="Calibri" w:hAnsi="Calibri"/>
      <w:kern w:val="2"/>
      <w:sz w:val="21"/>
    </w:rPr>
  </w:style>
  <w:style w:type="paragraph" w:styleId="19">
    <w:name w:val="table of authorities"/>
    <w:basedOn w:val="1"/>
    <w:next w:val="1"/>
    <w:qFormat/>
    <w:uiPriority w:val="0"/>
    <w:pPr>
      <w:topLinePunct w:val="0"/>
      <w:adjustRightInd/>
      <w:snapToGrid/>
      <w:spacing w:line="240" w:lineRule="auto"/>
      <w:ind w:left="420" w:leftChars="200" w:firstLine="0" w:firstLineChars="0"/>
    </w:pPr>
    <w:rPr>
      <w:rFonts w:ascii="Calibri" w:hAnsi="Calibri"/>
      <w:kern w:val="2"/>
      <w:sz w:val="21"/>
    </w:rPr>
  </w:style>
  <w:style w:type="paragraph" w:styleId="20">
    <w:name w:val="Note Heading"/>
    <w:basedOn w:val="1"/>
    <w:next w:val="1"/>
    <w:link w:val="617"/>
    <w:qFormat/>
    <w:uiPriority w:val="0"/>
    <w:pPr>
      <w:topLinePunct w:val="0"/>
      <w:adjustRightInd/>
      <w:snapToGrid/>
      <w:spacing w:line="240" w:lineRule="auto"/>
      <w:ind w:firstLine="0" w:firstLineChars="0"/>
      <w:jc w:val="center"/>
    </w:pPr>
    <w:rPr>
      <w:rFonts w:ascii="宋体" w:cs="Calibri"/>
      <w:kern w:val="2"/>
      <w:sz w:val="28"/>
      <w:szCs w:val="20"/>
    </w:rPr>
  </w:style>
  <w:style w:type="paragraph" w:styleId="21">
    <w:name w:val="List Bullet 4"/>
    <w:basedOn w:val="1"/>
    <w:qFormat/>
    <w:uiPriority w:val="0"/>
    <w:pPr>
      <w:tabs>
        <w:tab w:val="left" w:pos="1620"/>
      </w:tabs>
      <w:topLinePunct w:val="0"/>
      <w:adjustRightInd/>
      <w:snapToGrid/>
      <w:spacing w:line="240" w:lineRule="auto"/>
      <w:ind w:left="1620" w:hanging="360" w:firstLineChars="0"/>
    </w:pPr>
    <w:rPr>
      <w:rFonts w:ascii="Calibri" w:hAnsi="Calibri"/>
      <w:kern w:val="2"/>
      <w:sz w:val="21"/>
    </w:rPr>
  </w:style>
  <w:style w:type="paragraph" w:styleId="22">
    <w:name w:val="index 8"/>
    <w:basedOn w:val="1"/>
    <w:next w:val="1"/>
    <w:unhideWhenUsed/>
    <w:qFormat/>
    <w:uiPriority w:val="0"/>
    <w:pPr>
      <w:topLinePunct w:val="0"/>
      <w:adjustRightInd/>
      <w:snapToGrid/>
      <w:spacing w:line="240" w:lineRule="auto"/>
      <w:ind w:left="1400" w:leftChars="1400" w:firstLine="0" w:firstLineChars="0"/>
    </w:pPr>
    <w:rPr>
      <w:kern w:val="2"/>
      <w:sz w:val="21"/>
      <w:szCs w:val="20"/>
    </w:rPr>
  </w:style>
  <w:style w:type="paragraph" w:styleId="23">
    <w:name w:val="E-mail Signature"/>
    <w:basedOn w:val="1"/>
    <w:link w:val="752"/>
    <w:qFormat/>
    <w:locked/>
    <w:uiPriority w:val="0"/>
    <w:pPr>
      <w:topLinePunct w:val="0"/>
      <w:adjustRightInd/>
      <w:snapToGrid/>
      <w:ind w:firstLine="420" w:firstLineChars="0"/>
      <w:jc w:val="left"/>
    </w:pPr>
    <w:rPr>
      <w:rFonts w:cs="Calibri"/>
      <w:kern w:val="2"/>
    </w:rPr>
  </w:style>
  <w:style w:type="paragraph" w:styleId="24">
    <w:name w:val="List Number"/>
    <w:basedOn w:val="1"/>
    <w:qFormat/>
    <w:uiPriority w:val="0"/>
    <w:pPr>
      <w:tabs>
        <w:tab w:val="left" w:pos="480"/>
      </w:tabs>
      <w:ind w:left="480" w:firstLine="0" w:firstLineChars="0"/>
    </w:pPr>
  </w:style>
  <w:style w:type="paragraph" w:styleId="25">
    <w:name w:val="caption"/>
    <w:basedOn w:val="1"/>
    <w:next w:val="26"/>
    <w:link w:val="131"/>
    <w:qFormat/>
    <w:uiPriority w:val="0"/>
    <w:pPr>
      <w:keepNext/>
      <w:widowControl/>
      <w:ind w:firstLine="0" w:firstLineChars="0"/>
      <w:jc w:val="center"/>
    </w:pPr>
    <w:rPr>
      <w:rFonts w:ascii="Arial Unicode MS" w:hAnsi="Arial Unicode MS" w:eastAsia="黑体"/>
      <w:b/>
      <w:sz w:val="21"/>
      <w:szCs w:val="21"/>
    </w:rPr>
  </w:style>
  <w:style w:type="paragraph" w:customStyle="1" w:styleId="26">
    <w:name w:val="默认段落"/>
    <w:basedOn w:val="1"/>
    <w:link w:val="127"/>
    <w:qFormat/>
    <w:uiPriority w:val="0"/>
    <w:rPr>
      <w:rFonts w:ascii="Calibri" w:hAnsi="Calibri"/>
    </w:rPr>
  </w:style>
  <w:style w:type="paragraph" w:styleId="27">
    <w:name w:val="index 5"/>
    <w:basedOn w:val="1"/>
    <w:next w:val="1"/>
    <w:unhideWhenUsed/>
    <w:qFormat/>
    <w:uiPriority w:val="0"/>
    <w:pPr>
      <w:topLinePunct w:val="0"/>
      <w:adjustRightInd/>
      <w:snapToGrid/>
      <w:spacing w:line="240" w:lineRule="auto"/>
      <w:ind w:left="800" w:leftChars="800" w:firstLine="0" w:firstLineChars="0"/>
    </w:pPr>
    <w:rPr>
      <w:kern w:val="2"/>
      <w:sz w:val="21"/>
      <w:szCs w:val="20"/>
    </w:rPr>
  </w:style>
  <w:style w:type="paragraph" w:styleId="28">
    <w:name w:val="List Bullet"/>
    <w:basedOn w:val="1"/>
    <w:qFormat/>
    <w:uiPriority w:val="0"/>
    <w:pPr>
      <w:tabs>
        <w:tab w:val="left" w:pos="360"/>
      </w:tabs>
      <w:topLinePunct w:val="0"/>
      <w:adjustRightInd/>
      <w:snapToGrid/>
      <w:spacing w:line="240" w:lineRule="auto"/>
      <w:ind w:left="360" w:hanging="360" w:firstLineChars="0"/>
    </w:pPr>
    <w:rPr>
      <w:rFonts w:ascii="Calibri" w:hAnsi="Calibri"/>
      <w:kern w:val="2"/>
      <w:sz w:val="21"/>
    </w:rPr>
  </w:style>
  <w:style w:type="paragraph" w:styleId="29">
    <w:name w:val="envelope address"/>
    <w:basedOn w:val="1"/>
    <w:qFormat/>
    <w:uiPriority w:val="0"/>
    <w:pPr>
      <w:topLinePunct w:val="0"/>
      <w:adjustRightInd/>
      <w:spacing w:line="240" w:lineRule="auto"/>
      <w:ind w:left="100" w:leftChars="1400" w:firstLine="0" w:firstLineChars="0"/>
    </w:pPr>
    <w:rPr>
      <w:rFonts w:ascii="Cambria" w:hAnsi="Cambria"/>
      <w:kern w:val="2"/>
    </w:rPr>
  </w:style>
  <w:style w:type="paragraph" w:styleId="30">
    <w:name w:val="Document Map"/>
    <w:basedOn w:val="1"/>
    <w:link w:val="132"/>
    <w:qFormat/>
    <w:uiPriority w:val="0"/>
    <w:rPr>
      <w:rFonts w:ascii="宋体"/>
      <w:sz w:val="18"/>
      <w:szCs w:val="18"/>
    </w:rPr>
  </w:style>
  <w:style w:type="paragraph" w:styleId="31">
    <w:name w:val="toa heading"/>
    <w:basedOn w:val="1"/>
    <w:next w:val="1"/>
    <w:qFormat/>
    <w:uiPriority w:val="0"/>
    <w:pPr>
      <w:topLinePunct w:val="0"/>
      <w:adjustRightInd/>
      <w:snapToGrid/>
      <w:spacing w:before="120" w:line="240" w:lineRule="auto"/>
      <w:ind w:firstLine="0" w:firstLineChars="0"/>
    </w:pPr>
    <w:rPr>
      <w:rFonts w:ascii="Cambria" w:hAnsi="Cambria"/>
      <w:kern w:val="2"/>
    </w:rPr>
  </w:style>
  <w:style w:type="paragraph" w:styleId="32">
    <w:name w:val="annotation text"/>
    <w:basedOn w:val="1"/>
    <w:link w:val="125"/>
    <w:qFormat/>
    <w:uiPriority w:val="0"/>
    <w:pPr>
      <w:spacing w:line="480" w:lineRule="auto"/>
      <w:jc w:val="left"/>
    </w:pPr>
    <w:rPr>
      <w:rFonts w:ascii="Calibri" w:hAnsi="Calibri" w:eastAsia="仿宋_GB2312"/>
    </w:rPr>
  </w:style>
  <w:style w:type="paragraph" w:styleId="33">
    <w:name w:val="index 6"/>
    <w:basedOn w:val="1"/>
    <w:next w:val="1"/>
    <w:unhideWhenUsed/>
    <w:qFormat/>
    <w:uiPriority w:val="0"/>
    <w:pPr>
      <w:topLinePunct w:val="0"/>
      <w:adjustRightInd/>
      <w:snapToGrid/>
      <w:spacing w:line="240" w:lineRule="auto"/>
      <w:ind w:left="1000" w:leftChars="1000" w:firstLine="0" w:firstLineChars="0"/>
    </w:pPr>
    <w:rPr>
      <w:kern w:val="2"/>
      <w:sz w:val="21"/>
      <w:szCs w:val="20"/>
    </w:rPr>
  </w:style>
  <w:style w:type="paragraph" w:styleId="34">
    <w:name w:val="Salutation"/>
    <w:basedOn w:val="1"/>
    <w:next w:val="1"/>
    <w:link w:val="763"/>
    <w:qFormat/>
    <w:uiPriority w:val="0"/>
    <w:pPr>
      <w:topLinePunct w:val="0"/>
      <w:adjustRightInd/>
      <w:snapToGrid/>
      <w:spacing w:line="240" w:lineRule="auto"/>
      <w:ind w:firstLine="0" w:firstLineChars="0"/>
    </w:pPr>
    <w:rPr>
      <w:kern w:val="2"/>
      <w:sz w:val="21"/>
    </w:rPr>
  </w:style>
  <w:style w:type="paragraph" w:styleId="35">
    <w:name w:val="Body Text 3"/>
    <w:basedOn w:val="1"/>
    <w:link w:val="133"/>
    <w:unhideWhenUsed/>
    <w:qFormat/>
    <w:locked/>
    <w:uiPriority w:val="0"/>
    <w:pPr>
      <w:topLinePunct w:val="0"/>
      <w:adjustRightInd/>
      <w:snapToGrid/>
      <w:spacing w:after="120" w:line="240" w:lineRule="auto"/>
      <w:ind w:firstLine="0" w:firstLineChars="0"/>
    </w:pPr>
    <w:rPr>
      <w:kern w:val="2"/>
      <w:sz w:val="16"/>
      <w:szCs w:val="16"/>
    </w:rPr>
  </w:style>
  <w:style w:type="paragraph" w:styleId="36">
    <w:name w:val="Closing"/>
    <w:basedOn w:val="1"/>
    <w:link w:val="900"/>
    <w:qFormat/>
    <w:uiPriority w:val="0"/>
    <w:pPr>
      <w:topLinePunct w:val="0"/>
      <w:adjustRightInd/>
      <w:snapToGrid/>
      <w:spacing w:line="240" w:lineRule="auto"/>
      <w:ind w:left="100" w:leftChars="2100" w:firstLine="0" w:firstLineChars="0"/>
    </w:pPr>
    <w:rPr>
      <w:kern w:val="2"/>
      <w:sz w:val="21"/>
    </w:rPr>
  </w:style>
  <w:style w:type="paragraph" w:styleId="37">
    <w:name w:val="List Bullet 3"/>
    <w:basedOn w:val="1"/>
    <w:qFormat/>
    <w:uiPriority w:val="0"/>
    <w:pPr>
      <w:tabs>
        <w:tab w:val="left" w:pos="1200"/>
      </w:tabs>
      <w:topLinePunct w:val="0"/>
      <w:adjustRightInd/>
      <w:snapToGrid/>
      <w:spacing w:line="240" w:lineRule="auto"/>
      <w:ind w:left="1200" w:hanging="360" w:firstLineChars="0"/>
    </w:pPr>
    <w:rPr>
      <w:rFonts w:ascii="Calibri" w:hAnsi="Calibri"/>
      <w:kern w:val="2"/>
      <w:sz w:val="21"/>
    </w:rPr>
  </w:style>
  <w:style w:type="paragraph" w:styleId="38">
    <w:name w:val="Body Text"/>
    <w:basedOn w:val="1"/>
    <w:link w:val="128"/>
    <w:qFormat/>
    <w:uiPriority w:val="0"/>
    <w:pPr>
      <w:spacing w:after="120"/>
    </w:pPr>
  </w:style>
  <w:style w:type="paragraph" w:styleId="39">
    <w:name w:val="Body Text Indent"/>
    <w:basedOn w:val="1"/>
    <w:next w:val="1"/>
    <w:link w:val="134"/>
    <w:qFormat/>
    <w:uiPriority w:val="0"/>
    <w:pPr>
      <w:spacing w:after="120"/>
      <w:ind w:left="420" w:leftChars="200"/>
    </w:pPr>
  </w:style>
  <w:style w:type="paragraph" w:styleId="40">
    <w:name w:val="List Number 3"/>
    <w:basedOn w:val="1"/>
    <w:qFormat/>
    <w:uiPriority w:val="0"/>
    <w:pPr>
      <w:tabs>
        <w:tab w:val="left" w:pos="1200"/>
      </w:tabs>
      <w:topLinePunct w:val="0"/>
      <w:adjustRightInd/>
      <w:snapToGrid/>
      <w:spacing w:line="240" w:lineRule="auto"/>
      <w:ind w:left="1200" w:hanging="360" w:firstLineChars="0"/>
    </w:pPr>
    <w:rPr>
      <w:rFonts w:ascii="Calibri" w:hAnsi="Calibri"/>
      <w:kern w:val="2"/>
      <w:sz w:val="21"/>
    </w:rPr>
  </w:style>
  <w:style w:type="paragraph" w:styleId="41">
    <w:name w:val="List 2"/>
    <w:basedOn w:val="1"/>
    <w:qFormat/>
    <w:uiPriority w:val="0"/>
    <w:pPr>
      <w:ind w:left="100" w:leftChars="200" w:hanging="200" w:hangingChars="200"/>
      <w:contextualSpacing/>
    </w:pPr>
  </w:style>
  <w:style w:type="paragraph" w:styleId="42">
    <w:name w:val="List Continue"/>
    <w:basedOn w:val="1"/>
    <w:qFormat/>
    <w:uiPriority w:val="0"/>
    <w:pPr>
      <w:topLinePunct w:val="0"/>
      <w:adjustRightInd/>
      <w:snapToGrid/>
      <w:spacing w:after="120" w:line="240" w:lineRule="auto"/>
      <w:ind w:left="420" w:leftChars="200" w:firstLine="0" w:firstLineChars="0"/>
    </w:pPr>
    <w:rPr>
      <w:rFonts w:ascii="Calibri" w:hAnsi="Calibri"/>
      <w:kern w:val="2"/>
      <w:sz w:val="21"/>
    </w:rPr>
  </w:style>
  <w:style w:type="paragraph" w:styleId="43">
    <w:name w:val="Block Text"/>
    <w:basedOn w:val="1"/>
    <w:unhideWhenUsed/>
    <w:qFormat/>
    <w:uiPriority w:val="0"/>
    <w:pPr>
      <w:topLinePunct w:val="0"/>
      <w:adjustRightInd/>
      <w:snapToGrid/>
      <w:spacing w:line="240" w:lineRule="auto"/>
      <w:ind w:left="525" w:leftChars="250" w:right="685" w:rightChars="326" w:firstLine="560" w:firstLineChars="0"/>
    </w:pPr>
    <w:rPr>
      <w:kern w:val="2"/>
      <w:sz w:val="28"/>
    </w:rPr>
  </w:style>
  <w:style w:type="paragraph" w:styleId="44">
    <w:name w:val="List Bullet 2"/>
    <w:basedOn w:val="1"/>
    <w:qFormat/>
    <w:uiPriority w:val="0"/>
    <w:pPr>
      <w:tabs>
        <w:tab w:val="left" w:pos="780"/>
      </w:tabs>
      <w:topLinePunct w:val="0"/>
      <w:adjustRightInd/>
      <w:snapToGrid/>
      <w:spacing w:line="240" w:lineRule="auto"/>
      <w:ind w:left="780" w:hanging="360" w:firstLineChars="0"/>
    </w:pPr>
    <w:rPr>
      <w:rFonts w:ascii="Calibri" w:hAnsi="Calibri"/>
      <w:kern w:val="2"/>
      <w:sz w:val="21"/>
    </w:rPr>
  </w:style>
  <w:style w:type="paragraph" w:styleId="45">
    <w:name w:val="HTML Address"/>
    <w:basedOn w:val="1"/>
    <w:link w:val="1053"/>
    <w:qFormat/>
    <w:uiPriority w:val="0"/>
    <w:pPr>
      <w:topLinePunct w:val="0"/>
      <w:adjustRightInd/>
      <w:snapToGrid/>
      <w:spacing w:line="240" w:lineRule="auto"/>
      <w:ind w:firstLine="0" w:firstLineChars="0"/>
    </w:pPr>
    <w:rPr>
      <w:i/>
      <w:iCs/>
      <w:kern w:val="2"/>
      <w:sz w:val="21"/>
    </w:rPr>
  </w:style>
  <w:style w:type="paragraph" w:styleId="46">
    <w:name w:val="index 4"/>
    <w:basedOn w:val="1"/>
    <w:next w:val="1"/>
    <w:unhideWhenUsed/>
    <w:qFormat/>
    <w:uiPriority w:val="0"/>
    <w:pPr>
      <w:topLinePunct w:val="0"/>
      <w:adjustRightInd/>
      <w:snapToGrid/>
      <w:spacing w:line="240" w:lineRule="auto"/>
      <w:ind w:left="600" w:leftChars="600" w:firstLine="0" w:firstLineChars="0"/>
    </w:pPr>
    <w:rPr>
      <w:kern w:val="2"/>
      <w:sz w:val="21"/>
      <w:szCs w:val="20"/>
    </w:rPr>
  </w:style>
  <w:style w:type="paragraph" w:styleId="47">
    <w:name w:val="toc 5"/>
    <w:basedOn w:val="1"/>
    <w:next w:val="1"/>
    <w:qFormat/>
    <w:uiPriority w:val="39"/>
    <w:pPr>
      <w:spacing w:line="240" w:lineRule="auto"/>
      <w:ind w:left="1680" w:leftChars="800" w:firstLine="0" w:firstLineChars="0"/>
    </w:pPr>
    <w:rPr>
      <w:rFonts w:ascii="Calibri" w:hAnsi="Calibri"/>
      <w:sz w:val="21"/>
    </w:rPr>
  </w:style>
  <w:style w:type="paragraph" w:styleId="48">
    <w:name w:val="toc 3"/>
    <w:basedOn w:val="1"/>
    <w:next w:val="1"/>
    <w:qFormat/>
    <w:uiPriority w:val="39"/>
    <w:pPr>
      <w:tabs>
        <w:tab w:val="left" w:pos="1080"/>
        <w:tab w:val="right" w:leader="dot" w:pos="8280"/>
      </w:tabs>
      <w:spacing w:line="240" w:lineRule="auto"/>
      <w:ind w:left="480" w:leftChars="200" w:firstLine="0" w:firstLineChars="0"/>
      <w:jc w:val="left"/>
    </w:pPr>
    <w:rPr>
      <w:iCs/>
      <w:sz w:val="21"/>
    </w:rPr>
  </w:style>
  <w:style w:type="paragraph" w:styleId="49">
    <w:name w:val="Plain Text"/>
    <w:basedOn w:val="1"/>
    <w:link w:val="135"/>
    <w:qFormat/>
    <w:locked/>
    <w:uiPriority w:val="0"/>
    <w:pPr>
      <w:spacing w:line="240" w:lineRule="auto"/>
      <w:ind w:firstLine="0" w:firstLineChars="0"/>
    </w:pPr>
    <w:rPr>
      <w:rFonts w:ascii="宋体" w:hAnsi="Courier New"/>
      <w:kern w:val="2"/>
      <w:sz w:val="21"/>
      <w:szCs w:val="21"/>
    </w:rPr>
  </w:style>
  <w:style w:type="paragraph" w:styleId="50">
    <w:name w:val="List Bullet 5"/>
    <w:basedOn w:val="1"/>
    <w:qFormat/>
    <w:uiPriority w:val="0"/>
    <w:pPr>
      <w:tabs>
        <w:tab w:val="left" w:pos="2040"/>
      </w:tabs>
      <w:topLinePunct w:val="0"/>
      <w:adjustRightInd/>
      <w:snapToGrid/>
      <w:spacing w:line="240" w:lineRule="auto"/>
      <w:ind w:left="2040" w:hanging="360" w:firstLineChars="0"/>
    </w:pPr>
    <w:rPr>
      <w:rFonts w:ascii="Calibri" w:hAnsi="Calibri"/>
      <w:kern w:val="2"/>
      <w:sz w:val="21"/>
    </w:rPr>
  </w:style>
  <w:style w:type="paragraph" w:styleId="51">
    <w:name w:val="List Number 4"/>
    <w:basedOn w:val="1"/>
    <w:qFormat/>
    <w:uiPriority w:val="0"/>
    <w:pPr>
      <w:tabs>
        <w:tab w:val="left" w:pos="1620"/>
      </w:tabs>
      <w:topLinePunct w:val="0"/>
      <w:adjustRightInd/>
      <w:snapToGrid/>
      <w:spacing w:line="240" w:lineRule="auto"/>
      <w:ind w:left="1620" w:hanging="360" w:firstLineChars="0"/>
    </w:pPr>
    <w:rPr>
      <w:rFonts w:ascii="Calibri" w:hAnsi="Calibri"/>
      <w:kern w:val="2"/>
      <w:sz w:val="21"/>
    </w:rPr>
  </w:style>
  <w:style w:type="paragraph" w:styleId="52">
    <w:name w:val="toc 8"/>
    <w:basedOn w:val="1"/>
    <w:next w:val="1"/>
    <w:qFormat/>
    <w:uiPriority w:val="39"/>
    <w:pPr>
      <w:spacing w:line="240" w:lineRule="auto"/>
      <w:ind w:left="2940" w:leftChars="1400" w:firstLine="0" w:firstLineChars="0"/>
    </w:pPr>
    <w:rPr>
      <w:rFonts w:ascii="Calibri" w:hAnsi="Calibri"/>
      <w:sz w:val="21"/>
    </w:rPr>
  </w:style>
  <w:style w:type="paragraph" w:styleId="53">
    <w:name w:val="index 3"/>
    <w:basedOn w:val="1"/>
    <w:next w:val="1"/>
    <w:unhideWhenUsed/>
    <w:qFormat/>
    <w:uiPriority w:val="0"/>
    <w:pPr>
      <w:topLinePunct w:val="0"/>
      <w:adjustRightInd/>
      <w:snapToGrid/>
      <w:spacing w:line="240" w:lineRule="auto"/>
      <w:ind w:left="400" w:leftChars="400" w:firstLine="0" w:firstLineChars="0"/>
    </w:pPr>
    <w:rPr>
      <w:kern w:val="2"/>
      <w:sz w:val="21"/>
      <w:szCs w:val="20"/>
    </w:rPr>
  </w:style>
  <w:style w:type="paragraph" w:styleId="54">
    <w:name w:val="Date"/>
    <w:basedOn w:val="1"/>
    <w:next w:val="1"/>
    <w:link w:val="136"/>
    <w:qFormat/>
    <w:locked/>
    <w:uiPriority w:val="0"/>
    <w:pPr>
      <w:ind w:left="100" w:leftChars="2500"/>
    </w:pPr>
  </w:style>
  <w:style w:type="paragraph" w:styleId="55">
    <w:name w:val="Body Text Indent 2"/>
    <w:basedOn w:val="1"/>
    <w:next w:val="1"/>
    <w:link w:val="137"/>
    <w:unhideWhenUsed/>
    <w:qFormat/>
    <w:locked/>
    <w:uiPriority w:val="0"/>
    <w:pPr>
      <w:topLinePunct w:val="0"/>
      <w:adjustRightInd/>
      <w:snapToGrid/>
      <w:ind w:firstLine="560"/>
    </w:pPr>
    <w:rPr>
      <w:kern w:val="2"/>
      <w:sz w:val="28"/>
    </w:rPr>
  </w:style>
  <w:style w:type="paragraph" w:styleId="56">
    <w:name w:val="endnote text"/>
    <w:basedOn w:val="1"/>
    <w:link w:val="733"/>
    <w:unhideWhenUsed/>
    <w:qFormat/>
    <w:uiPriority w:val="0"/>
    <w:pPr>
      <w:topLinePunct w:val="0"/>
      <w:adjustRightInd/>
      <w:spacing w:line="240" w:lineRule="auto"/>
      <w:ind w:firstLine="0" w:firstLineChars="0"/>
      <w:jc w:val="left"/>
    </w:pPr>
    <w:rPr>
      <w:rFonts w:ascii="Calibri" w:hAnsi="Calibri" w:cs="Calibri"/>
      <w:kern w:val="2"/>
      <w:sz w:val="21"/>
    </w:rPr>
  </w:style>
  <w:style w:type="paragraph" w:styleId="57">
    <w:name w:val="List Continue 5"/>
    <w:basedOn w:val="1"/>
    <w:qFormat/>
    <w:uiPriority w:val="0"/>
    <w:pPr>
      <w:topLinePunct w:val="0"/>
      <w:adjustRightInd/>
      <w:snapToGrid/>
      <w:spacing w:after="120" w:line="240" w:lineRule="auto"/>
      <w:ind w:left="2100" w:leftChars="1000" w:firstLine="0" w:firstLineChars="0"/>
    </w:pPr>
    <w:rPr>
      <w:rFonts w:ascii="Calibri" w:hAnsi="Calibri"/>
      <w:kern w:val="2"/>
      <w:sz w:val="21"/>
    </w:rPr>
  </w:style>
  <w:style w:type="paragraph" w:styleId="58">
    <w:name w:val="Balloon Text"/>
    <w:basedOn w:val="1"/>
    <w:link w:val="138"/>
    <w:qFormat/>
    <w:uiPriority w:val="99"/>
    <w:rPr>
      <w:sz w:val="18"/>
      <w:szCs w:val="18"/>
    </w:rPr>
  </w:style>
  <w:style w:type="paragraph" w:styleId="59">
    <w:name w:val="footer"/>
    <w:basedOn w:val="1"/>
    <w:link w:val="139"/>
    <w:qFormat/>
    <w:uiPriority w:val="99"/>
    <w:pPr>
      <w:tabs>
        <w:tab w:val="center" w:pos="4153"/>
        <w:tab w:val="right" w:pos="8306"/>
      </w:tabs>
      <w:spacing w:line="240" w:lineRule="auto"/>
      <w:ind w:firstLine="0" w:firstLineChars="0"/>
      <w:jc w:val="left"/>
    </w:pPr>
    <w:rPr>
      <w:sz w:val="18"/>
      <w:szCs w:val="18"/>
    </w:rPr>
  </w:style>
  <w:style w:type="paragraph" w:styleId="60">
    <w:name w:val="envelope return"/>
    <w:basedOn w:val="1"/>
    <w:qFormat/>
    <w:uiPriority w:val="0"/>
    <w:pPr>
      <w:topLinePunct w:val="0"/>
      <w:adjustRightInd/>
      <w:spacing w:line="240" w:lineRule="auto"/>
      <w:ind w:firstLine="0" w:firstLineChars="0"/>
    </w:pPr>
    <w:rPr>
      <w:rFonts w:ascii="Cambria" w:hAnsi="Cambria"/>
      <w:kern w:val="2"/>
      <w:sz w:val="21"/>
    </w:rPr>
  </w:style>
  <w:style w:type="paragraph" w:styleId="61">
    <w:name w:val="header"/>
    <w:basedOn w:val="1"/>
    <w:link w:val="140"/>
    <w:qFormat/>
    <w:uiPriority w:val="99"/>
    <w:pPr>
      <w:widowControl/>
      <w:pBdr>
        <w:bottom w:val="single" w:color="auto" w:sz="6" w:space="1"/>
      </w:pBdr>
      <w:spacing w:line="240" w:lineRule="auto"/>
      <w:ind w:firstLine="0" w:firstLineChars="0"/>
      <w:jc w:val="center"/>
      <w:textAlignment w:val="center"/>
    </w:pPr>
    <w:rPr>
      <w:sz w:val="18"/>
      <w:szCs w:val="18"/>
    </w:rPr>
  </w:style>
  <w:style w:type="paragraph" w:styleId="62">
    <w:name w:val="Signature"/>
    <w:basedOn w:val="1"/>
    <w:link w:val="141"/>
    <w:unhideWhenUsed/>
    <w:qFormat/>
    <w:uiPriority w:val="0"/>
    <w:pPr>
      <w:topLinePunct w:val="0"/>
      <w:adjustRightInd/>
      <w:snapToGrid/>
      <w:spacing w:line="240" w:lineRule="auto"/>
      <w:ind w:left="100" w:leftChars="2100" w:firstLine="0" w:firstLineChars="0"/>
    </w:pPr>
    <w:rPr>
      <w:kern w:val="2"/>
      <w:sz w:val="21"/>
    </w:rPr>
  </w:style>
  <w:style w:type="paragraph" w:styleId="63">
    <w:name w:val="toc 1"/>
    <w:basedOn w:val="1"/>
    <w:next w:val="1"/>
    <w:qFormat/>
    <w:uiPriority w:val="39"/>
    <w:pPr>
      <w:ind w:firstLine="0" w:firstLineChars="0"/>
    </w:pPr>
    <w:rPr>
      <w:b/>
      <w:bCs/>
      <w:caps/>
    </w:rPr>
  </w:style>
  <w:style w:type="paragraph" w:styleId="64">
    <w:name w:val="List Continue 4"/>
    <w:basedOn w:val="1"/>
    <w:qFormat/>
    <w:uiPriority w:val="0"/>
    <w:pPr>
      <w:topLinePunct w:val="0"/>
      <w:adjustRightInd/>
      <w:snapToGrid/>
      <w:spacing w:after="120" w:line="240" w:lineRule="auto"/>
      <w:ind w:left="1680" w:leftChars="800" w:firstLine="0" w:firstLineChars="0"/>
    </w:pPr>
    <w:rPr>
      <w:rFonts w:ascii="Calibri" w:hAnsi="Calibri"/>
      <w:kern w:val="2"/>
      <w:sz w:val="21"/>
    </w:rPr>
  </w:style>
  <w:style w:type="paragraph" w:styleId="65">
    <w:name w:val="toc 4"/>
    <w:basedOn w:val="1"/>
    <w:next w:val="1"/>
    <w:qFormat/>
    <w:uiPriority w:val="39"/>
    <w:pPr>
      <w:spacing w:line="240" w:lineRule="auto"/>
      <w:ind w:left="1260" w:leftChars="600" w:firstLine="0" w:firstLineChars="0"/>
    </w:pPr>
    <w:rPr>
      <w:rFonts w:ascii="Calibri" w:hAnsi="Calibri"/>
      <w:sz w:val="21"/>
    </w:rPr>
  </w:style>
  <w:style w:type="paragraph" w:styleId="66">
    <w:name w:val="index heading"/>
    <w:basedOn w:val="1"/>
    <w:next w:val="67"/>
    <w:unhideWhenUsed/>
    <w:qFormat/>
    <w:uiPriority w:val="0"/>
    <w:pPr>
      <w:topLinePunct w:val="0"/>
      <w:adjustRightInd/>
      <w:snapToGrid/>
      <w:spacing w:line="240" w:lineRule="auto"/>
      <w:ind w:firstLine="0" w:firstLineChars="0"/>
    </w:pPr>
    <w:rPr>
      <w:kern w:val="2"/>
      <w:sz w:val="21"/>
      <w:szCs w:val="20"/>
    </w:rPr>
  </w:style>
  <w:style w:type="paragraph" w:styleId="67">
    <w:name w:val="index 1"/>
    <w:basedOn w:val="1"/>
    <w:next w:val="1"/>
    <w:unhideWhenUsed/>
    <w:qFormat/>
    <w:uiPriority w:val="0"/>
    <w:pPr>
      <w:topLinePunct w:val="0"/>
      <w:adjustRightInd/>
      <w:snapToGrid/>
      <w:ind w:firstLine="0" w:firstLineChars="0"/>
    </w:pPr>
    <w:rPr>
      <w:kern w:val="2"/>
      <w:sz w:val="21"/>
      <w:szCs w:val="20"/>
    </w:rPr>
  </w:style>
  <w:style w:type="paragraph" w:styleId="68">
    <w:name w:val="Subtitle"/>
    <w:basedOn w:val="1"/>
    <w:next w:val="1"/>
    <w:link w:val="142"/>
    <w:qFormat/>
    <w:locked/>
    <w:uiPriority w:val="0"/>
    <w:pPr>
      <w:spacing w:before="240" w:after="60" w:line="312" w:lineRule="auto"/>
      <w:jc w:val="center"/>
      <w:outlineLvl w:val="1"/>
    </w:pPr>
    <w:rPr>
      <w:rFonts w:ascii="Cambria" w:hAnsi="Cambria"/>
      <w:b/>
      <w:bCs/>
      <w:kern w:val="28"/>
      <w:sz w:val="32"/>
      <w:szCs w:val="32"/>
    </w:rPr>
  </w:style>
  <w:style w:type="paragraph" w:styleId="69">
    <w:name w:val="List Number 5"/>
    <w:basedOn w:val="1"/>
    <w:qFormat/>
    <w:uiPriority w:val="0"/>
    <w:pPr>
      <w:tabs>
        <w:tab w:val="left" w:pos="2040"/>
      </w:tabs>
      <w:topLinePunct w:val="0"/>
      <w:adjustRightInd/>
      <w:snapToGrid/>
      <w:spacing w:line="240" w:lineRule="auto"/>
      <w:ind w:left="2040" w:hanging="360" w:firstLineChars="0"/>
    </w:pPr>
    <w:rPr>
      <w:rFonts w:ascii="Calibri" w:hAnsi="Calibri"/>
      <w:kern w:val="2"/>
      <w:sz w:val="21"/>
    </w:rPr>
  </w:style>
  <w:style w:type="paragraph" w:styleId="70">
    <w:name w:val="List"/>
    <w:basedOn w:val="1"/>
    <w:unhideWhenUsed/>
    <w:qFormat/>
    <w:uiPriority w:val="0"/>
    <w:pPr>
      <w:topLinePunct w:val="0"/>
      <w:adjustRightInd/>
      <w:snapToGrid/>
      <w:spacing w:line="240" w:lineRule="auto"/>
      <w:ind w:firstLine="0" w:firstLineChars="0"/>
      <w:jc w:val="center"/>
    </w:pPr>
    <w:rPr>
      <w:kern w:val="2"/>
    </w:rPr>
  </w:style>
  <w:style w:type="paragraph" w:styleId="71">
    <w:name w:val="footnote text"/>
    <w:basedOn w:val="1"/>
    <w:link w:val="143"/>
    <w:unhideWhenUsed/>
    <w:qFormat/>
    <w:uiPriority w:val="0"/>
    <w:pPr>
      <w:topLinePunct w:val="0"/>
      <w:adjustRightInd/>
      <w:spacing w:line="240" w:lineRule="auto"/>
      <w:ind w:firstLine="0" w:firstLineChars="0"/>
      <w:jc w:val="left"/>
    </w:pPr>
    <w:rPr>
      <w:kern w:val="2"/>
      <w:sz w:val="18"/>
      <w:szCs w:val="18"/>
    </w:rPr>
  </w:style>
  <w:style w:type="paragraph" w:styleId="72">
    <w:name w:val="toc 6"/>
    <w:basedOn w:val="1"/>
    <w:next w:val="1"/>
    <w:qFormat/>
    <w:uiPriority w:val="39"/>
    <w:pPr>
      <w:spacing w:line="240" w:lineRule="auto"/>
      <w:ind w:left="2100" w:leftChars="1000" w:firstLine="0" w:firstLineChars="0"/>
    </w:pPr>
    <w:rPr>
      <w:rFonts w:ascii="Calibri" w:hAnsi="Calibri"/>
      <w:sz w:val="21"/>
    </w:rPr>
  </w:style>
  <w:style w:type="paragraph" w:styleId="73">
    <w:name w:val="List 5"/>
    <w:basedOn w:val="1"/>
    <w:qFormat/>
    <w:uiPriority w:val="0"/>
    <w:pPr>
      <w:topLinePunct w:val="0"/>
      <w:adjustRightInd/>
      <w:snapToGrid/>
      <w:spacing w:line="240" w:lineRule="auto"/>
      <w:ind w:left="100" w:leftChars="800" w:hanging="200" w:hangingChars="200"/>
    </w:pPr>
    <w:rPr>
      <w:rFonts w:ascii="Calibri" w:hAnsi="Calibri"/>
      <w:kern w:val="2"/>
      <w:sz w:val="21"/>
    </w:rPr>
  </w:style>
  <w:style w:type="paragraph" w:styleId="74">
    <w:name w:val="Body Text Indent 3"/>
    <w:basedOn w:val="1"/>
    <w:link w:val="144"/>
    <w:qFormat/>
    <w:uiPriority w:val="0"/>
    <w:pPr>
      <w:spacing w:after="120"/>
      <w:ind w:left="420" w:leftChars="200"/>
    </w:pPr>
    <w:rPr>
      <w:sz w:val="16"/>
      <w:szCs w:val="16"/>
    </w:rPr>
  </w:style>
  <w:style w:type="paragraph" w:styleId="75">
    <w:name w:val="index 7"/>
    <w:basedOn w:val="1"/>
    <w:next w:val="1"/>
    <w:unhideWhenUsed/>
    <w:qFormat/>
    <w:uiPriority w:val="0"/>
    <w:pPr>
      <w:topLinePunct w:val="0"/>
      <w:adjustRightInd/>
      <w:snapToGrid/>
      <w:spacing w:line="240" w:lineRule="auto"/>
      <w:ind w:left="1200" w:leftChars="1200" w:firstLine="0" w:firstLineChars="0"/>
    </w:pPr>
    <w:rPr>
      <w:kern w:val="2"/>
      <w:sz w:val="21"/>
      <w:szCs w:val="20"/>
    </w:rPr>
  </w:style>
  <w:style w:type="paragraph" w:styleId="76">
    <w:name w:val="index 9"/>
    <w:basedOn w:val="1"/>
    <w:next w:val="1"/>
    <w:unhideWhenUsed/>
    <w:qFormat/>
    <w:uiPriority w:val="0"/>
    <w:pPr>
      <w:topLinePunct w:val="0"/>
      <w:adjustRightInd/>
      <w:snapToGrid/>
      <w:spacing w:line="240" w:lineRule="auto"/>
      <w:ind w:left="1600" w:leftChars="1600" w:firstLine="0" w:firstLineChars="0"/>
    </w:pPr>
    <w:rPr>
      <w:kern w:val="2"/>
      <w:sz w:val="21"/>
      <w:szCs w:val="20"/>
    </w:rPr>
  </w:style>
  <w:style w:type="paragraph" w:styleId="77">
    <w:name w:val="table of figures"/>
    <w:basedOn w:val="1"/>
    <w:next w:val="1"/>
    <w:qFormat/>
    <w:uiPriority w:val="0"/>
    <w:pPr>
      <w:widowControl/>
      <w:jc w:val="left"/>
    </w:pPr>
  </w:style>
  <w:style w:type="paragraph" w:styleId="78">
    <w:name w:val="toc 2"/>
    <w:basedOn w:val="1"/>
    <w:next w:val="1"/>
    <w:qFormat/>
    <w:uiPriority w:val="39"/>
  </w:style>
  <w:style w:type="paragraph" w:styleId="79">
    <w:name w:val="toc 9"/>
    <w:basedOn w:val="1"/>
    <w:next w:val="1"/>
    <w:qFormat/>
    <w:uiPriority w:val="39"/>
    <w:pPr>
      <w:spacing w:line="240" w:lineRule="auto"/>
      <w:ind w:left="3360" w:leftChars="1600" w:firstLine="0" w:firstLineChars="0"/>
    </w:pPr>
    <w:rPr>
      <w:rFonts w:ascii="Calibri" w:hAnsi="Calibri"/>
      <w:sz w:val="21"/>
    </w:rPr>
  </w:style>
  <w:style w:type="paragraph" w:styleId="80">
    <w:name w:val="Body Text 2"/>
    <w:basedOn w:val="1"/>
    <w:link w:val="145"/>
    <w:unhideWhenUsed/>
    <w:qFormat/>
    <w:locked/>
    <w:uiPriority w:val="0"/>
    <w:pPr>
      <w:topLinePunct w:val="0"/>
      <w:adjustRightInd/>
      <w:snapToGrid/>
      <w:spacing w:line="240" w:lineRule="auto"/>
      <w:ind w:firstLine="0" w:firstLineChars="0"/>
    </w:pPr>
    <w:rPr>
      <w:color w:val="FF0000"/>
      <w:kern w:val="2"/>
      <w:sz w:val="18"/>
    </w:rPr>
  </w:style>
  <w:style w:type="paragraph" w:styleId="81">
    <w:name w:val="List 4"/>
    <w:basedOn w:val="1"/>
    <w:qFormat/>
    <w:uiPriority w:val="0"/>
    <w:pPr>
      <w:topLinePunct w:val="0"/>
      <w:adjustRightInd/>
      <w:snapToGrid/>
      <w:spacing w:line="240" w:lineRule="auto"/>
      <w:ind w:left="100" w:leftChars="600" w:hanging="200" w:hangingChars="200"/>
    </w:pPr>
    <w:rPr>
      <w:rFonts w:ascii="Calibri" w:hAnsi="Calibri"/>
      <w:kern w:val="2"/>
      <w:sz w:val="21"/>
    </w:rPr>
  </w:style>
  <w:style w:type="paragraph" w:styleId="82">
    <w:name w:val="List Continue 2"/>
    <w:basedOn w:val="1"/>
    <w:unhideWhenUsed/>
    <w:qFormat/>
    <w:uiPriority w:val="0"/>
    <w:pPr>
      <w:topLinePunct w:val="0"/>
      <w:adjustRightInd/>
      <w:snapToGrid/>
      <w:spacing w:after="120" w:line="240" w:lineRule="auto"/>
      <w:ind w:left="840" w:leftChars="400" w:firstLine="0" w:firstLineChars="0"/>
    </w:pPr>
    <w:rPr>
      <w:kern w:val="2"/>
      <w:sz w:val="21"/>
      <w:szCs w:val="20"/>
    </w:rPr>
  </w:style>
  <w:style w:type="paragraph" w:styleId="83">
    <w:name w:val="Message Header"/>
    <w:basedOn w:val="1"/>
    <w:link w:val="936"/>
    <w:qFormat/>
    <w:uiPriority w:val="0"/>
    <w:pPr>
      <w:pBdr>
        <w:top w:val="single" w:color="auto" w:sz="6" w:space="1"/>
        <w:left w:val="single" w:color="auto" w:sz="6" w:space="1"/>
        <w:bottom w:val="single" w:color="auto" w:sz="6" w:space="1"/>
        <w:right w:val="single" w:color="auto" w:sz="6" w:space="1"/>
      </w:pBdr>
      <w:shd w:val="pct20" w:color="auto" w:fill="auto"/>
      <w:topLinePunct w:val="0"/>
      <w:adjustRightInd/>
      <w:snapToGrid/>
      <w:spacing w:line="240" w:lineRule="auto"/>
      <w:ind w:left="1080" w:leftChars="500" w:hanging="1080" w:hangingChars="500"/>
    </w:pPr>
    <w:rPr>
      <w:rFonts w:ascii="Cambria" w:hAnsi="Cambria"/>
      <w:kern w:val="2"/>
      <w:shd w:val="pct20" w:color="auto" w:fill="auto"/>
    </w:rPr>
  </w:style>
  <w:style w:type="paragraph" w:styleId="84">
    <w:name w:val="HTML Preformatted"/>
    <w:basedOn w:val="1"/>
    <w:link w:val="146"/>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opLinePunct w:val="0"/>
      <w:adjustRightInd/>
      <w:snapToGrid/>
      <w:spacing w:line="240" w:lineRule="auto"/>
      <w:ind w:firstLine="0" w:firstLineChars="0"/>
      <w:jc w:val="left"/>
    </w:pPr>
    <w:rPr>
      <w:rFonts w:ascii="宋体" w:hAnsi="宋体" w:cs="宋体"/>
    </w:rPr>
  </w:style>
  <w:style w:type="paragraph" w:styleId="85">
    <w:name w:val="Normal (Web)"/>
    <w:basedOn w:val="1"/>
    <w:qFormat/>
    <w:uiPriority w:val="99"/>
    <w:pPr>
      <w:widowControl/>
      <w:spacing w:before="100" w:beforeAutospacing="1" w:after="100" w:afterAutospacing="1" w:line="240" w:lineRule="auto"/>
      <w:ind w:firstLine="0" w:firstLineChars="0"/>
      <w:jc w:val="left"/>
    </w:pPr>
    <w:rPr>
      <w:rFonts w:ascii="宋体" w:hAnsi="宋体" w:cs="宋体"/>
    </w:rPr>
  </w:style>
  <w:style w:type="paragraph" w:styleId="86">
    <w:name w:val="List Continue 3"/>
    <w:basedOn w:val="1"/>
    <w:qFormat/>
    <w:uiPriority w:val="0"/>
    <w:pPr>
      <w:topLinePunct w:val="0"/>
      <w:adjustRightInd/>
      <w:snapToGrid/>
      <w:spacing w:after="120" w:line="240" w:lineRule="auto"/>
      <w:ind w:left="1260" w:leftChars="600" w:firstLine="0" w:firstLineChars="0"/>
    </w:pPr>
    <w:rPr>
      <w:rFonts w:ascii="Calibri" w:hAnsi="Calibri"/>
      <w:kern w:val="2"/>
      <w:sz w:val="21"/>
    </w:rPr>
  </w:style>
  <w:style w:type="paragraph" w:styleId="87">
    <w:name w:val="index 2"/>
    <w:basedOn w:val="1"/>
    <w:next w:val="1"/>
    <w:unhideWhenUsed/>
    <w:qFormat/>
    <w:uiPriority w:val="0"/>
    <w:pPr>
      <w:topLinePunct w:val="0"/>
      <w:adjustRightInd/>
      <w:snapToGrid/>
      <w:spacing w:line="240" w:lineRule="auto"/>
      <w:ind w:left="200" w:leftChars="200" w:firstLine="0" w:firstLineChars="0"/>
    </w:pPr>
    <w:rPr>
      <w:kern w:val="2"/>
      <w:sz w:val="21"/>
      <w:szCs w:val="20"/>
    </w:rPr>
  </w:style>
  <w:style w:type="paragraph" w:styleId="88">
    <w:name w:val="Title"/>
    <w:basedOn w:val="1"/>
    <w:link w:val="147"/>
    <w:qFormat/>
    <w:locked/>
    <w:uiPriority w:val="99"/>
    <w:pPr>
      <w:tabs>
        <w:tab w:val="left" w:pos="567"/>
      </w:tabs>
      <w:topLinePunct w:val="0"/>
      <w:adjustRightInd/>
      <w:snapToGrid/>
      <w:spacing w:before="120" w:after="120" w:line="240" w:lineRule="auto"/>
      <w:ind w:firstLine="0" w:firstLineChars="0"/>
      <w:jc w:val="center"/>
      <w:outlineLvl w:val="0"/>
    </w:pPr>
    <w:rPr>
      <w:b/>
      <w:kern w:val="2"/>
      <w:sz w:val="30"/>
      <w:szCs w:val="20"/>
    </w:rPr>
  </w:style>
  <w:style w:type="paragraph" w:styleId="89">
    <w:name w:val="annotation subject"/>
    <w:basedOn w:val="1"/>
    <w:next w:val="32"/>
    <w:link w:val="126"/>
    <w:qFormat/>
    <w:uiPriority w:val="0"/>
    <w:rPr>
      <w:b/>
      <w:bCs/>
      <w:szCs w:val="21"/>
    </w:rPr>
  </w:style>
  <w:style w:type="paragraph" w:styleId="90">
    <w:name w:val="Body Text First Indent"/>
    <w:basedOn w:val="38"/>
    <w:next w:val="38"/>
    <w:link w:val="129"/>
    <w:qFormat/>
    <w:uiPriority w:val="0"/>
    <w:pPr>
      <w:ind w:firstLine="420" w:firstLineChars="100"/>
    </w:pPr>
  </w:style>
  <w:style w:type="paragraph" w:styleId="91">
    <w:name w:val="Body Text First Indent 2"/>
    <w:basedOn w:val="39"/>
    <w:next w:val="90"/>
    <w:link w:val="725"/>
    <w:unhideWhenUsed/>
    <w:qFormat/>
    <w:uiPriority w:val="0"/>
    <w:pPr>
      <w:topLinePunct w:val="0"/>
      <w:adjustRightInd/>
      <w:snapToGrid/>
      <w:spacing w:line="240" w:lineRule="auto"/>
      <w:ind w:firstLine="420"/>
    </w:pPr>
    <w:rPr>
      <w:rFonts w:ascii="Calibri" w:hAnsi="Calibri" w:cs="Calibri"/>
      <w:kern w:val="2"/>
      <w:sz w:val="21"/>
    </w:rPr>
  </w:style>
  <w:style w:type="table" w:styleId="93">
    <w:name w:val="Table Grid"/>
    <w:basedOn w:val="92"/>
    <w:unhideWhenUsed/>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4">
    <w:name w:val="Table Elegant"/>
    <w:basedOn w:val="92"/>
    <w:unhideWhenUsed/>
    <w:qFormat/>
    <w:uiPriority w:val="99"/>
    <w:pPr>
      <w:widowControl w:val="0"/>
      <w:jc w:val="both"/>
    </w:pPr>
    <w:rPr>
      <w:rFonts w:cs="Calibri"/>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95">
    <w:name w:val="Table Simple 1"/>
    <w:basedOn w:val="92"/>
    <w:semiHidden/>
    <w:unhideWhenUsed/>
    <w:qFormat/>
    <w:uiPriority w:val="0"/>
    <w:pPr>
      <w:widowControl w:val="0"/>
      <w:jc w:val="both"/>
    </w:pPr>
    <w:tblPr>
      <w:tblBorders>
        <w:top w:val="single" w:color="008000" w:sz="12" w:space="0"/>
        <w:bottom w:val="single" w:color="008000" w:sz="12" w:space="0"/>
      </w:tblBorders>
    </w:tblPr>
    <w:tblStylePr w:type="firstRow">
      <w:tblPr/>
      <w:tcPr>
        <w:tcBorders>
          <w:bottom w:val="single" w:color="008000" w:sz="6" w:space="0"/>
          <w:tl2br w:val="nil"/>
          <w:tr2bl w:val="nil"/>
        </w:tcBorders>
      </w:tcPr>
    </w:tblStylePr>
    <w:tblStylePr w:type="lastRow">
      <w:tblPr/>
      <w:tcPr>
        <w:tcBorders>
          <w:top w:val="single" w:color="008000" w:sz="6" w:space="0"/>
          <w:tl2br w:val="nil"/>
          <w:tr2bl w:val="nil"/>
        </w:tcBorders>
      </w:tcPr>
    </w:tblStylePr>
  </w:style>
  <w:style w:type="table" w:styleId="96">
    <w:name w:val="Table Grid 2"/>
    <w:basedOn w:val="92"/>
    <w:qFormat/>
    <w:uiPriority w:val="0"/>
    <w:pPr>
      <w:widowControl w:val="0"/>
      <w:adjustRightInd w:val="0"/>
      <w:snapToGrid w:val="0"/>
      <w:spacing w:line="240" w:lineRule="atLeast"/>
      <w:jc w:val="both"/>
    </w:pPr>
    <w:tblPr>
      <w:tblBorders>
        <w:insideH w:val="single" w:color="000000" w:sz="6" w:space="0"/>
        <w:insideV w:val="single" w:color="000000" w:sz="6" w:space="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styleId="97">
    <w:name w:val="Table Professional"/>
    <w:basedOn w:val="92"/>
    <w:qFormat/>
    <w:uiPriority w:val="0"/>
    <w:pPr>
      <w:ind w:left="480"/>
      <w:jc w:val="center"/>
    </w:pPr>
    <w:rPr>
      <w:rFonts w:cs="Calibr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shd w:val="solid" w:color="000000" w:fill="FFFFFF"/>
      </w:tcPr>
    </w:tblStylePr>
  </w:style>
  <w:style w:type="character" w:styleId="99">
    <w:name w:val="Strong"/>
    <w:qFormat/>
    <w:locked/>
    <w:uiPriority w:val="0"/>
    <w:rPr>
      <w:b/>
    </w:rPr>
  </w:style>
  <w:style w:type="character" w:styleId="100">
    <w:name w:val="endnote reference"/>
    <w:qFormat/>
    <w:uiPriority w:val="0"/>
    <w:rPr>
      <w:vertAlign w:val="superscript"/>
    </w:rPr>
  </w:style>
  <w:style w:type="character" w:styleId="101">
    <w:name w:val="page number"/>
    <w:qFormat/>
    <w:uiPriority w:val="0"/>
    <w:rPr>
      <w:rFonts w:ascii="Times New Roman" w:hAnsi="Times New Roman" w:eastAsia="宋体"/>
      <w:sz w:val="18"/>
    </w:rPr>
  </w:style>
  <w:style w:type="character" w:styleId="102">
    <w:name w:val="FollowedHyperlink"/>
    <w:qFormat/>
    <w:uiPriority w:val="0"/>
    <w:rPr>
      <w:rFonts w:cs="Times New Roman"/>
      <w:color w:val="800080"/>
      <w:u w:val="single"/>
    </w:rPr>
  </w:style>
  <w:style w:type="character" w:styleId="103">
    <w:name w:val="Emphasis"/>
    <w:qFormat/>
    <w:locked/>
    <w:uiPriority w:val="0"/>
    <w:rPr>
      <w:i/>
      <w:iCs/>
    </w:rPr>
  </w:style>
  <w:style w:type="character" w:styleId="104">
    <w:name w:val="line number"/>
    <w:qFormat/>
    <w:uiPriority w:val="0"/>
  </w:style>
  <w:style w:type="character" w:styleId="105">
    <w:name w:val="HTML Definition"/>
    <w:qFormat/>
    <w:uiPriority w:val="0"/>
  </w:style>
  <w:style w:type="character" w:styleId="106">
    <w:name w:val="HTML Typewriter"/>
    <w:qFormat/>
    <w:uiPriority w:val="0"/>
    <w:rPr>
      <w:rFonts w:ascii="黑体" w:hAnsi="Courier New" w:eastAsia="黑体" w:cs="Courier New"/>
      <w:spacing w:val="312"/>
      <w:sz w:val="18"/>
      <w:szCs w:val="18"/>
    </w:rPr>
  </w:style>
  <w:style w:type="character" w:styleId="107">
    <w:name w:val="HTML Variable"/>
    <w:qFormat/>
    <w:uiPriority w:val="0"/>
  </w:style>
  <w:style w:type="character" w:styleId="108">
    <w:name w:val="Hyperlink"/>
    <w:qFormat/>
    <w:uiPriority w:val="99"/>
    <w:rPr>
      <w:rFonts w:cs="Times New Roman"/>
      <w:color w:val="0000FF"/>
      <w:u w:val="single"/>
    </w:rPr>
  </w:style>
  <w:style w:type="character" w:styleId="109">
    <w:name w:val="HTML Code"/>
    <w:qFormat/>
    <w:uiPriority w:val="0"/>
    <w:rPr>
      <w:rFonts w:hint="default" w:ascii="monospace" w:hAnsi="monospace" w:eastAsia="monospace" w:cs="monospace"/>
      <w:sz w:val="21"/>
      <w:szCs w:val="21"/>
    </w:rPr>
  </w:style>
  <w:style w:type="character" w:styleId="110">
    <w:name w:val="annotation reference"/>
    <w:basedOn w:val="98"/>
    <w:qFormat/>
    <w:uiPriority w:val="0"/>
    <w:rPr>
      <w:rFonts w:cs="Times New Roman"/>
      <w:sz w:val="21"/>
      <w:szCs w:val="21"/>
    </w:rPr>
  </w:style>
  <w:style w:type="character" w:styleId="111">
    <w:name w:val="HTML Cite"/>
    <w:qFormat/>
    <w:uiPriority w:val="0"/>
  </w:style>
  <w:style w:type="character" w:styleId="112">
    <w:name w:val="footnote reference"/>
    <w:semiHidden/>
    <w:qFormat/>
    <w:uiPriority w:val="0"/>
    <w:rPr>
      <w:rFonts w:cs="Times New Roman"/>
      <w:vertAlign w:val="superscript"/>
    </w:rPr>
  </w:style>
  <w:style w:type="character" w:styleId="113">
    <w:name w:val="HTML Keyboard"/>
    <w:qFormat/>
    <w:uiPriority w:val="0"/>
    <w:rPr>
      <w:rFonts w:hint="default" w:ascii="monospace" w:hAnsi="monospace" w:eastAsia="monospace" w:cs="monospace"/>
      <w:sz w:val="21"/>
      <w:szCs w:val="21"/>
    </w:rPr>
  </w:style>
  <w:style w:type="character" w:styleId="114">
    <w:name w:val="HTML Sample"/>
    <w:qFormat/>
    <w:uiPriority w:val="0"/>
    <w:rPr>
      <w:rFonts w:ascii="monospace" w:hAnsi="monospace" w:eastAsia="monospace" w:cs="monospace"/>
      <w:sz w:val="21"/>
      <w:szCs w:val="21"/>
    </w:rPr>
  </w:style>
  <w:style w:type="paragraph" w:customStyle="1" w:styleId="115">
    <w:name w:val="样式 正文文本缩进 + 行距: 1.5 倍行距"/>
    <w:basedOn w:val="1"/>
    <w:qFormat/>
    <w:uiPriority w:val="0"/>
    <w:pPr>
      <w:spacing w:after="120"/>
      <w:ind w:left="90" w:leftChars="32" w:firstLine="560"/>
    </w:pPr>
    <w:rPr>
      <w:rFonts w:cs="宋体"/>
    </w:rPr>
  </w:style>
  <w:style w:type="character" w:customStyle="1" w:styleId="116">
    <w:name w:val="标题 1 字符"/>
    <w:link w:val="5"/>
    <w:qFormat/>
    <w:uiPriority w:val="9"/>
    <w:rPr>
      <w:rFonts w:ascii="Times New Roman" w:hAnsi="Times New Roman" w:cs="Times New Roman"/>
      <w:b/>
      <w:bCs/>
      <w:sz w:val="32"/>
      <w:szCs w:val="32"/>
    </w:rPr>
  </w:style>
  <w:style w:type="character" w:customStyle="1" w:styleId="117">
    <w:name w:val="标题 2 字符"/>
    <w:link w:val="6"/>
    <w:qFormat/>
    <w:uiPriority w:val="9"/>
    <w:rPr>
      <w:rFonts w:ascii="Times New Roman" w:hAnsi="Times New Roman" w:cs="Times New Roman"/>
      <w:b/>
      <w:bCs/>
      <w:sz w:val="28"/>
      <w:szCs w:val="30"/>
    </w:rPr>
  </w:style>
  <w:style w:type="character" w:customStyle="1" w:styleId="118">
    <w:name w:val="标题 3 字符"/>
    <w:link w:val="7"/>
    <w:qFormat/>
    <w:uiPriority w:val="0"/>
    <w:rPr>
      <w:rFonts w:ascii="Times New Roman" w:hAnsi="Times New Roman" w:cs="Times New Roman"/>
      <w:b/>
      <w:bCs/>
      <w:sz w:val="24"/>
      <w:szCs w:val="28"/>
    </w:rPr>
  </w:style>
  <w:style w:type="character" w:customStyle="1" w:styleId="119">
    <w:name w:val="标题 4 字符"/>
    <w:link w:val="8"/>
    <w:qFormat/>
    <w:uiPriority w:val="0"/>
    <w:rPr>
      <w:rFonts w:ascii="Times New Roman" w:hAnsi="Times New Roman" w:cs="Times New Roman"/>
      <w:b/>
      <w:bCs/>
      <w:sz w:val="24"/>
      <w:szCs w:val="24"/>
    </w:rPr>
  </w:style>
  <w:style w:type="character" w:customStyle="1" w:styleId="120">
    <w:name w:val="标题 5 字符"/>
    <w:link w:val="11"/>
    <w:qFormat/>
    <w:uiPriority w:val="0"/>
    <w:rPr>
      <w:b/>
      <w:bCs/>
      <w:sz w:val="28"/>
      <w:szCs w:val="28"/>
    </w:rPr>
  </w:style>
  <w:style w:type="character" w:customStyle="1" w:styleId="121">
    <w:name w:val="标题 6 字符"/>
    <w:link w:val="12"/>
    <w:qFormat/>
    <w:uiPriority w:val="0"/>
    <w:rPr>
      <w:rFonts w:ascii="Cambria" w:hAnsi="Cambria"/>
      <w:b/>
      <w:bCs/>
      <w:sz w:val="24"/>
      <w:szCs w:val="24"/>
    </w:rPr>
  </w:style>
  <w:style w:type="character" w:customStyle="1" w:styleId="122">
    <w:name w:val="标题 7 字符"/>
    <w:link w:val="13"/>
    <w:qFormat/>
    <w:uiPriority w:val="0"/>
    <w:rPr>
      <w:b/>
      <w:bCs/>
      <w:sz w:val="24"/>
      <w:szCs w:val="24"/>
    </w:rPr>
  </w:style>
  <w:style w:type="character" w:customStyle="1" w:styleId="123">
    <w:name w:val="标题 8 字符"/>
    <w:link w:val="14"/>
    <w:qFormat/>
    <w:uiPriority w:val="0"/>
    <w:rPr>
      <w:rFonts w:ascii="Cambria" w:hAnsi="Cambria"/>
      <w:sz w:val="24"/>
      <w:szCs w:val="24"/>
    </w:rPr>
  </w:style>
  <w:style w:type="character" w:customStyle="1" w:styleId="124">
    <w:name w:val="标题 9 字符"/>
    <w:link w:val="15"/>
    <w:qFormat/>
    <w:uiPriority w:val="0"/>
    <w:rPr>
      <w:rFonts w:ascii="Cambria" w:hAnsi="Cambria"/>
      <w:sz w:val="21"/>
      <w:szCs w:val="24"/>
    </w:rPr>
  </w:style>
  <w:style w:type="character" w:customStyle="1" w:styleId="125">
    <w:name w:val="批注文字 字符"/>
    <w:link w:val="32"/>
    <w:qFormat/>
    <w:locked/>
    <w:uiPriority w:val="0"/>
    <w:rPr>
      <w:rFonts w:eastAsia="仿宋_GB2312" w:cs="Times New Roman"/>
      <w:sz w:val="24"/>
      <w:szCs w:val="24"/>
      <w:lang w:val="en-US" w:eastAsia="zh-CN" w:bidi="ar-SA"/>
    </w:rPr>
  </w:style>
  <w:style w:type="character" w:customStyle="1" w:styleId="126">
    <w:name w:val="批注主题 字符"/>
    <w:basedOn w:val="125"/>
    <w:link w:val="89"/>
    <w:qFormat/>
    <w:uiPriority w:val="0"/>
    <w:rPr>
      <w:rFonts w:ascii="Times New Roman" w:hAnsi="Times New Roman" w:eastAsia="仿宋_GB2312" w:cs="Times New Roman"/>
      <w:b/>
      <w:bCs/>
      <w:sz w:val="24"/>
      <w:szCs w:val="21"/>
      <w:lang w:val="en-US" w:eastAsia="zh-CN" w:bidi="ar-SA"/>
    </w:rPr>
  </w:style>
  <w:style w:type="character" w:customStyle="1" w:styleId="127">
    <w:name w:val="默认段落 Char"/>
    <w:link w:val="26"/>
    <w:qFormat/>
    <w:locked/>
    <w:uiPriority w:val="0"/>
    <w:rPr>
      <w:rFonts w:eastAsia="宋体" w:cs="Times New Roman"/>
      <w:sz w:val="24"/>
      <w:szCs w:val="24"/>
      <w:lang w:val="en-US" w:eastAsia="zh-CN" w:bidi="ar-SA"/>
    </w:rPr>
  </w:style>
  <w:style w:type="character" w:customStyle="1" w:styleId="128">
    <w:name w:val="正文文本 字符"/>
    <w:link w:val="38"/>
    <w:qFormat/>
    <w:uiPriority w:val="0"/>
    <w:rPr>
      <w:rFonts w:ascii="Times New Roman" w:hAnsi="Times New Roman"/>
      <w:sz w:val="24"/>
      <w:szCs w:val="24"/>
    </w:rPr>
  </w:style>
  <w:style w:type="character" w:customStyle="1" w:styleId="129">
    <w:name w:val="正文文本首行缩进 字符"/>
    <w:link w:val="90"/>
    <w:qFormat/>
    <w:uiPriority w:val="0"/>
    <w:rPr>
      <w:rFonts w:ascii="Times New Roman" w:hAnsi="Times New Roman"/>
      <w:sz w:val="24"/>
      <w:szCs w:val="24"/>
    </w:rPr>
  </w:style>
  <w:style w:type="character" w:customStyle="1" w:styleId="130">
    <w:name w:val="正文缩进 字符"/>
    <w:link w:val="9"/>
    <w:qFormat/>
    <w:uiPriority w:val="99"/>
    <w:rPr>
      <w:rFonts w:ascii="Times New Roman" w:hAnsi="Times New Roman" w:cs="Times New Roman"/>
      <w:kern w:val="2"/>
      <w:sz w:val="24"/>
      <w:szCs w:val="24"/>
    </w:rPr>
  </w:style>
  <w:style w:type="character" w:customStyle="1" w:styleId="131">
    <w:name w:val="题注 字符"/>
    <w:link w:val="25"/>
    <w:qFormat/>
    <w:locked/>
    <w:uiPriority w:val="0"/>
    <w:rPr>
      <w:rFonts w:ascii="Arial Unicode MS" w:hAnsi="Arial Unicode MS" w:eastAsia="黑体" w:cs="Times New Roman"/>
      <w:b/>
      <w:sz w:val="21"/>
      <w:szCs w:val="21"/>
      <w:lang w:val="en-US" w:eastAsia="zh-CN" w:bidi="ar-SA"/>
    </w:rPr>
  </w:style>
  <w:style w:type="character" w:customStyle="1" w:styleId="132">
    <w:name w:val="文档结构图 字符"/>
    <w:link w:val="30"/>
    <w:qFormat/>
    <w:uiPriority w:val="0"/>
    <w:rPr>
      <w:rFonts w:ascii="宋体" w:hAnsi="Times New Roman" w:cs="Times New Roman"/>
      <w:sz w:val="18"/>
      <w:szCs w:val="18"/>
    </w:rPr>
  </w:style>
  <w:style w:type="character" w:customStyle="1" w:styleId="133">
    <w:name w:val="正文文本 3 字符"/>
    <w:link w:val="35"/>
    <w:qFormat/>
    <w:uiPriority w:val="0"/>
    <w:rPr>
      <w:rFonts w:ascii="Times New Roman" w:hAnsi="Times New Roman" w:cs="Times New Roman"/>
      <w:kern w:val="2"/>
      <w:sz w:val="16"/>
      <w:szCs w:val="16"/>
    </w:rPr>
  </w:style>
  <w:style w:type="character" w:customStyle="1" w:styleId="134">
    <w:name w:val="正文文本缩进 字符"/>
    <w:link w:val="39"/>
    <w:qFormat/>
    <w:uiPriority w:val="0"/>
    <w:rPr>
      <w:rFonts w:ascii="Times New Roman" w:hAnsi="Times New Roman" w:cs="Times New Roman"/>
      <w:sz w:val="24"/>
      <w:szCs w:val="24"/>
    </w:rPr>
  </w:style>
  <w:style w:type="character" w:customStyle="1" w:styleId="135">
    <w:name w:val="纯文本 字符"/>
    <w:link w:val="49"/>
    <w:qFormat/>
    <w:uiPriority w:val="0"/>
    <w:rPr>
      <w:rFonts w:ascii="宋体" w:hAnsi="Courier New" w:cs="Courier New"/>
      <w:kern w:val="2"/>
      <w:sz w:val="21"/>
      <w:szCs w:val="21"/>
    </w:rPr>
  </w:style>
  <w:style w:type="character" w:customStyle="1" w:styleId="136">
    <w:name w:val="日期 字符"/>
    <w:link w:val="54"/>
    <w:qFormat/>
    <w:uiPriority w:val="0"/>
    <w:rPr>
      <w:rFonts w:ascii="Times New Roman" w:hAnsi="Times New Roman" w:cs="Times New Roman"/>
      <w:sz w:val="24"/>
      <w:szCs w:val="24"/>
    </w:rPr>
  </w:style>
  <w:style w:type="character" w:customStyle="1" w:styleId="137">
    <w:name w:val="正文文本缩进 2 字符"/>
    <w:link w:val="55"/>
    <w:qFormat/>
    <w:locked/>
    <w:uiPriority w:val="0"/>
    <w:rPr>
      <w:rFonts w:ascii="Times New Roman" w:hAnsi="Times New Roman" w:cs="Times New Roman"/>
      <w:kern w:val="2"/>
      <w:sz w:val="28"/>
      <w:szCs w:val="24"/>
    </w:rPr>
  </w:style>
  <w:style w:type="character" w:customStyle="1" w:styleId="138">
    <w:name w:val="批注框文本 字符"/>
    <w:link w:val="58"/>
    <w:qFormat/>
    <w:uiPriority w:val="99"/>
    <w:rPr>
      <w:rFonts w:ascii="Times New Roman" w:hAnsi="Times New Roman" w:cs="Times New Roman"/>
      <w:sz w:val="18"/>
      <w:szCs w:val="18"/>
    </w:rPr>
  </w:style>
  <w:style w:type="character" w:customStyle="1" w:styleId="139">
    <w:name w:val="页脚 字符"/>
    <w:link w:val="59"/>
    <w:qFormat/>
    <w:uiPriority w:val="99"/>
    <w:rPr>
      <w:rFonts w:ascii="Times New Roman" w:hAnsi="Times New Roman" w:cs="Times New Roman"/>
      <w:sz w:val="18"/>
      <w:szCs w:val="18"/>
    </w:rPr>
  </w:style>
  <w:style w:type="character" w:customStyle="1" w:styleId="140">
    <w:name w:val="页眉 字符"/>
    <w:link w:val="61"/>
    <w:qFormat/>
    <w:uiPriority w:val="99"/>
    <w:rPr>
      <w:rFonts w:ascii="Times New Roman" w:hAnsi="Times New Roman" w:cs="Times New Roman"/>
      <w:sz w:val="18"/>
      <w:szCs w:val="18"/>
    </w:rPr>
  </w:style>
  <w:style w:type="character" w:customStyle="1" w:styleId="141">
    <w:name w:val="签名 字符"/>
    <w:link w:val="62"/>
    <w:qFormat/>
    <w:uiPriority w:val="0"/>
    <w:rPr>
      <w:rFonts w:ascii="Times New Roman" w:hAnsi="Times New Roman" w:cs="Times New Roman"/>
      <w:kern w:val="2"/>
      <w:sz w:val="21"/>
      <w:szCs w:val="24"/>
    </w:rPr>
  </w:style>
  <w:style w:type="character" w:customStyle="1" w:styleId="142">
    <w:name w:val="副标题 字符"/>
    <w:link w:val="68"/>
    <w:qFormat/>
    <w:uiPriority w:val="0"/>
    <w:rPr>
      <w:rFonts w:ascii="Cambria" w:hAnsi="Cambria" w:cs="Times New Roman"/>
      <w:b/>
      <w:bCs/>
      <w:kern w:val="28"/>
      <w:sz w:val="32"/>
      <w:szCs w:val="32"/>
    </w:rPr>
  </w:style>
  <w:style w:type="character" w:customStyle="1" w:styleId="143">
    <w:name w:val="脚注文本 字符"/>
    <w:link w:val="71"/>
    <w:qFormat/>
    <w:uiPriority w:val="0"/>
    <w:rPr>
      <w:rFonts w:ascii="Times New Roman" w:hAnsi="Times New Roman" w:cs="Times New Roman"/>
      <w:kern w:val="2"/>
      <w:sz w:val="18"/>
      <w:szCs w:val="18"/>
    </w:rPr>
  </w:style>
  <w:style w:type="character" w:customStyle="1" w:styleId="144">
    <w:name w:val="正文文本缩进 3 字符"/>
    <w:link w:val="74"/>
    <w:qFormat/>
    <w:uiPriority w:val="0"/>
    <w:rPr>
      <w:rFonts w:ascii="Times New Roman" w:hAnsi="Times New Roman" w:cs="Times New Roman"/>
      <w:sz w:val="16"/>
      <w:szCs w:val="16"/>
    </w:rPr>
  </w:style>
  <w:style w:type="character" w:customStyle="1" w:styleId="145">
    <w:name w:val="正文文本 2 字符"/>
    <w:link w:val="80"/>
    <w:qFormat/>
    <w:uiPriority w:val="0"/>
    <w:rPr>
      <w:rFonts w:ascii="Times New Roman" w:hAnsi="Times New Roman" w:cs="Times New Roman"/>
      <w:color w:val="FF0000"/>
      <w:kern w:val="2"/>
      <w:sz w:val="18"/>
      <w:szCs w:val="24"/>
    </w:rPr>
  </w:style>
  <w:style w:type="character" w:customStyle="1" w:styleId="146">
    <w:name w:val="HTML 预设格式 字符"/>
    <w:link w:val="84"/>
    <w:qFormat/>
    <w:uiPriority w:val="99"/>
    <w:rPr>
      <w:rFonts w:ascii="宋体" w:hAnsi="宋体" w:cs="宋体"/>
      <w:sz w:val="24"/>
      <w:szCs w:val="24"/>
    </w:rPr>
  </w:style>
  <w:style w:type="character" w:customStyle="1" w:styleId="147">
    <w:name w:val="标题 字符"/>
    <w:link w:val="88"/>
    <w:qFormat/>
    <w:uiPriority w:val="0"/>
    <w:rPr>
      <w:rFonts w:ascii="Times New Roman" w:hAnsi="Times New Roman" w:cs="Times New Roman"/>
      <w:b/>
      <w:kern w:val="2"/>
      <w:sz w:val="30"/>
    </w:rPr>
  </w:style>
  <w:style w:type="character" w:customStyle="1" w:styleId="148">
    <w:name w:val="占位符文本1"/>
    <w:semiHidden/>
    <w:qFormat/>
    <w:uiPriority w:val="0"/>
    <w:rPr>
      <w:rFonts w:cs="Times New Roman"/>
      <w:color w:val="808080"/>
    </w:rPr>
  </w:style>
  <w:style w:type="character" w:customStyle="1" w:styleId="149">
    <w:name w:val="03 Char"/>
    <w:link w:val="150"/>
    <w:qFormat/>
    <w:uiPriority w:val="0"/>
    <w:rPr>
      <w:rFonts w:ascii="Times New Roman" w:hAnsi="Times New Roman"/>
      <w:b/>
      <w:bCs/>
      <w:snapToGrid w:val="0"/>
      <w:kern w:val="28"/>
      <w:sz w:val="28"/>
      <w:szCs w:val="44"/>
    </w:rPr>
  </w:style>
  <w:style w:type="paragraph" w:customStyle="1" w:styleId="150">
    <w:name w:val="03"/>
    <w:basedOn w:val="151"/>
    <w:link w:val="149"/>
    <w:qFormat/>
    <w:uiPriority w:val="0"/>
    <w:pPr>
      <w:spacing w:line="360" w:lineRule="auto"/>
      <w:ind w:left="0" w:hanging="431"/>
      <w:outlineLvl w:val="2"/>
    </w:pPr>
    <w:rPr>
      <w:sz w:val="28"/>
    </w:rPr>
  </w:style>
  <w:style w:type="paragraph" w:customStyle="1" w:styleId="151">
    <w:name w:val="02"/>
    <w:basedOn w:val="1"/>
    <w:link w:val="152"/>
    <w:qFormat/>
    <w:uiPriority w:val="0"/>
    <w:pPr>
      <w:widowControl/>
      <w:spacing w:before="240" w:after="60" w:line="432" w:lineRule="auto"/>
      <w:ind w:left="1" w:hanging="432" w:firstLineChars="0"/>
      <w:outlineLvl w:val="1"/>
    </w:pPr>
    <w:rPr>
      <w:b/>
      <w:bCs/>
      <w:snapToGrid w:val="0"/>
      <w:kern w:val="28"/>
      <w:sz w:val="32"/>
      <w:szCs w:val="44"/>
    </w:rPr>
  </w:style>
  <w:style w:type="character" w:customStyle="1" w:styleId="152">
    <w:name w:val="02 Char"/>
    <w:link w:val="151"/>
    <w:qFormat/>
    <w:uiPriority w:val="0"/>
    <w:rPr>
      <w:rFonts w:ascii="Times New Roman" w:hAnsi="Times New Roman"/>
      <w:b/>
      <w:bCs/>
      <w:snapToGrid w:val="0"/>
      <w:kern w:val="28"/>
      <w:sz w:val="32"/>
      <w:szCs w:val="44"/>
    </w:rPr>
  </w:style>
  <w:style w:type="character" w:customStyle="1" w:styleId="153">
    <w:name w:val="正文（文字） Char"/>
    <w:link w:val="154"/>
    <w:qFormat/>
    <w:uiPriority w:val="0"/>
    <w:rPr>
      <w:rFonts w:ascii="Times New Roman" w:hAnsi="Times New Roman" w:cs="Times New Roman"/>
      <w:sz w:val="24"/>
      <w:szCs w:val="24"/>
    </w:rPr>
  </w:style>
  <w:style w:type="paragraph" w:customStyle="1" w:styleId="154">
    <w:name w:val="正文（文字）"/>
    <w:basedOn w:val="1"/>
    <w:link w:val="153"/>
    <w:qFormat/>
    <w:uiPriority w:val="0"/>
    <w:pPr>
      <w:widowControl/>
      <w:topLinePunct w:val="0"/>
      <w:ind w:firstLine="480"/>
    </w:pPr>
  </w:style>
  <w:style w:type="character" w:customStyle="1" w:styleId="155">
    <w:name w:val="列出段落 Char"/>
    <w:link w:val="156"/>
    <w:qFormat/>
    <w:uiPriority w:val="0"/>
    <w:rPr>
      <w:rFonts w:ascii="Times New Roman" w:hAnsi="Times New Roman" w:cs="Times New Roman"/>
      <w:sz w:val="24"/>
      <w:szCs w:val="24"/>
    </w:rPr>
  </w:style>
  <w:style w:type="paragraph" w:customStyle="1" w:styleId="156">
    <w:name w:val="列出段落4"/>
    <w:basedOn w:val="1"/>
    <w:link w:val="155"/>
    <w:qFormat/>
    <w:uiPriority w:val="0"/>
    <w:pPr>
      <w:ind w:firstLine="420"/>
    </w:pPr>
  </w:style>
  <w:style w:type="character" w:customStyle="1" w:styleId="157">
    <w:name w:val="apple-converted-space"/>
    <w:qFormat/>
    <w:uiPriority w:val="0"/>
  </w:style>
  <w:style w:type="character" w:customStyle="1" w:styleId="158">
    <w:name w:val="font11"/>
    <w:qFormat/>
    <w:uiPriority w:val="0"/>
    <w:rPr>
      <w:rFonts w:hint="default" w:ascii="Times New Roman" w:hAnsi="Times New Roman" w:cs="Times New Roman"/>
      <w:color w:val="000000"/>
      <w:sz w:val="20"/>
      <w:szCs w:val="20"/>
      <w:u w:val="none"/>
      <w:vertAlign w:val="superscript"/>
    </w:rPr>
  </w:style>
  <w:style w:type="character" w:customStyle="1" w:styleId="159">
    <w:name w:val="font51"/>
    <w:qFormat/>
    <w:uiPriority w:val="0"/>
    <w:rPr>
      <w:rFonts w:hint="default" w:ascii="Times New Roman" w:hAnsi="Times New Roman" w:cs="Times New Roman"/>
      <w:b/>
      <w:bCs/>
      <w:color w:val="000000"/>
      <w:sz w:val="20"/>
      <w:szCs w:val="20"/>
      <w:u w:val="none"/>
    </w:rPr>
  </w:style>
  <w:style w:type="character" w:customStyle="1" w:styleId="160">
    <w:name w:val="表（方 案） Char"/>
    <w:link w:val="161"/>
    <w:qFormat/>
    <w:uiPriority w:val="0"/>
    <w:rPr>
      <w:rFonts w:ascii="Times New Roman" w:hAnsi="Times New Roman" w:cs="Times New Roman"/>
      <w:b/>
      <w:snapToGrid w:val="0"/>
      <w:color w:val="000000"/>
      <w:sz w:val="24"/>
      <w:szCs w:val="24"/>
    </w:rPr>
  </w:style>
  <w:style w:type="paragraph" w:customStyle="1" w:styleId="161">
    <w:name w:val="表（方 案）"/>
    <w:basedOn w:val="162"/>
    <w:link w:val="160"/>
    <w:qFormat/>
    <w:uiPriority w:val="0"/>
    <w:pPr>
      <w:topLinePunct w:val="0"/>
      <w:spacing w:line="408" w:lineRule="auto"/>
      <w:ind w:left="1320" w:hanging="420"/>
    </w:pPr>
    <w:rPr>
      <w:snapToGrid w:val="0"/>
      <w:color w:val="000000"/>
      <w:szCs w:val="24"/>
    </w:rPr>
  </w:style>
  <w:style w:type="paragraph" w:customStyle="1" w:styleId="162">
    <w:name w:val="表（方案）"/>
    <w:basedOn w:val="1"/>
    <w:link w:val="163"/>
    <w:qFormat/>
    <w:uiPriority w:val="0"/>
    <w:pPr>
      <w:widowControl/>
      <w:ind w:firstLine="0" w:firstLineChars="0"/>
      <w:jc w:val="center"/>
    </w:pPr>
    <w:rPr>
      <w:b/>
      <w:szCs w:val="20"/>
    </w:rPr>
  </w:style>
  <w:style w:type="character" w:customStyle="1" w:styleId="163">
    <w:name w:val="表（方案） Char"/>
    <w:link w:val="162"/>
    <w:qFormat/>
    <w:locked/>
    <w:uiPriority w:val="0"/>
    <w:rPr>
      <w:rFonts w:ascii="Times New Roman" w:hAnsi="Times New Roman"/>
      <w:b/>
      <w:sz w:val="24"/>
    </w:rPr>
  </w:style>
  <w:style w:type="character" w:customStyle="1" w:styleId="164">
    <w:name w:val="四级标题 Char"/>
    <w:basedOn w:val="119"/>
    <w:link w:val="165"/>
    <w:qFormat/>
    <w:uiPriority w:val="0"/>
    <w:rPr>
      <w:rFonts w:ascii="Times New Roman" w:hAnsi="Times New Roman" w:cs="Times New Roman"/>
      <w:sz w:val="24"/>
      <w:szCs w:val="24"/>
    </w:rPr>
  </w:style>
  <w:style w:type="paragraph" w:customStyle="1" w:styleId="165">
    <w:name w:val="四级标题"/>
    <w:basedOn w:val="8"/>
    <w:link w:val="164"/>
    <w:qFormat/>
    <w:uiPriority w:val="0"/>
  </w:style>
  <w:style w:type="character" w:customStyle="1" w:styleId="166">
    <w:name w:val="一级标题syk Char"/>
    <w:link w:val="167"/>
    <w:qFormat/>
    <w:uiPriority w:val="0"/>
    <w:rPr>
      <w:rFonts w:ascii="Times New Roman" w:hAnsi="Times New Roman" w:cs="Times New Roman"/>
      <w:b/>
      <w:bCs/>
      <w:sz w:val="32"/>
      <w:szCs w:val="32"/>
    </w:rPr>
  </w:style>
  <w:style w:type="paragraph" w:customStyle="1" w:styleId="167">
    <w:name w:val="一级标题syk"/>
    <w:basedOn w:val="5"/>
    <w:link w:val="166"/>
    <w:qFormat/>
    <w:uiPriority w:val="0"/>
    <w:pPr>
      <w:tabs>
        <w:tab w:val="clear" w:pos="432"/>
      </w:tabs>
      <w:jc w:val="center"/>
    </w:pPr>
  </w:style>
  <w:style w:type="character" w:customStyle="1" w:styleId="168">
    <w:name w:val="表题 Char"/>
    <w:link w:val="169"/>
    <w:qFormat/>
    <w:locked/>
    <w:uiPriority w:val="0"/>
    <w:rPr>
      <w:rFonts w:eastAsia="宋体" w:cs="Times New Roman"/>
      <w:b/>
      <w:bCs/>
      <w:kern w:val="2"/>
      <w:sz w:val="21"/>
      <w:szCs w:val="21"/>
      <w:lang w:val="en-US" w:eastAsia="zh-CN" w:bidi="ar-SA"/>
    </w:rPr>
  </w:style>
  <w:style w:type="paragraph" w:customStyle="1" w:styleId="169">
    <w:name w:val="表题"/>
    <w:basedOn w:val="1"/>
    <w:next w:val="1"/>
    <w:link w:val="168"/>
    <w:qFormat/>
    <w:uiPriority w:val="0"/>
    <w:pPr>
      <w:ind w:firstLine="0" w:firstLineChars="0"/>
      <w:jc w:val="center"/>
    </w:pPr>
    <w:rPr>
      <w:rFonts w:ascii="Calibri" w:hAnsi="Calibri"/>
      <w:b/>
      <w:bCs/>
      <w:kern w:val="2"/>
      <w:sz w:val="21"/>
      <w:szCs w:val="21"/>
    </w:rPr>
  </w:style>
  <w:style w:type="character" w:customStyle="1" w:styleId="170">
    <w:name w:val="二级标题 Char"/>
    <w:basedOn w:val="117"/>
    <w:link w:val="171"/>
    <w:qFormat/>
    <w:uiPriority w:val="0"/>
    <w:rPr>
      <w:rFonts w:ascii="Times New Roman" w:hAnsi="Times New Roman" w:cs="Times New Roman"/>
      <w:sz w:val="28"/>
      <w:szCs w:val="30"/>
    </w:rPr>
  </w:style>
  <w:style w:type="paragraph" w:customStyle="1" w:styleId="171">
    <w:name w:val="二级标题"/>
    <w:basedOn w:val="6"/>
    <w:link w:val="170"/>
    <w:qFormat/>
    <w:uiPriority w:val="0"/>
  </w:style>
  <w:style w:type="character" w:customStyle="1" w:styleId="172">
    <w:name w:val="表格正文 Char"/>
    <w:link w:val="173"/>
    <w:qFormat/>
    <w:locked/>
    <w:uiPriority w:val="0"/>
    <w:rPr>
      <w:rFonts w:ascii="Times New Roman" w:hAnsi="Times New Roman" w:eastAsia="仿宋_GB2312"/>
      <w:color w:val="000000"/>
      <w:kern w:val="2"/>
      <w:sz w:val="21"/>
      <w:szCs w:val="21"/>
      <w:lang w:val="en-US" w:eastAsia="zh-CN" w:bidi="ar-SA"/>
    </w:rPr>
  </w:style>
  <w:style w:type="paragraph" w:customStyle="1" w:styleId="173">
    <w:name w:val="表格正文"/>
    <w:link w:val="172"/>
    <w:qFormat/>
    <w:uiPriority w:val="0"/>
    <w:pPr>
      <w:keepNext/>
      <w:spacing w:line="360" w:lineRule="auto"/>
      <w:jc w:val="both"/>
    </w:pPr>
    <w:rPr>
      <w:rFonts w:ascii="Times New Roman" w:hAnsi="Times New Roman" w:eastAsia="仿宋_GB2312" w:cs="Calibri"/>
      <w:color w:val="000000"/>
      <w:kern w:val="2"/>
      <w:sz w:val="21"/>
      <w:szCs w:val="21"/>
      <w:lang w:val="en-US" w:eastAsia="zh-CN" w:bidi="ar-SA"/>
    </w:rPr>
  </w:style>
  <w:style w:type="character" w:customStyle="1" w:styleId="174">
    <w:name w:val="11111 Char Char"/>
    <w:link w:val="175"/>
    <w:qFormat/>
    <w:uiPriority w:val="0"/>
    <w:rPr>
      <w:rFonts w:ascii="宋体" w:hAnsi="宋体" w:cs="Times New Roman"/>
      <w:kern w:val="2"/>
      <w:sz w:val="24"/>
      <w:szCs w:val="24"/>
    </w:rPr>
  </w:style>
  <w:style w:type="paragraph" w:customStyle="1" w:styleId="175">
    <w:name w:val="11111"/>
    <w:basedOn w:val="176"/>
    <w:link w:val="174"/>
    <w:qFormat/>
    <w:uiPriority w:val="0"/>
    <w:pPr>
      <w:widowControl w:val="0"/>
      <w:pBdr>
        <w:left w:val="none" w:color="auto" w:sz="0" w:space="0"/>
        <w:bottom w:val="none" w:color="auto" w:sz="0" w:space="0"/>
        <w:right w:val="none" w:color="auto" w:sz="0" w:space="0"/>
      </w:pBdr>
      <w:spacing w:before="0" w:beforeAutospacing="0" w:after="0" w:afterAutospacing="0" w:line="500" w:lineRule="exact"/>
      <w:ind w:firstLine="200" w:firstLineChars="200"/>
      <w:jc w:val="both"/>
    </w:pPr>
    <w:rPr>
      <w:rFonts w:cs="Times New Roman"/>
      <w:b w:val="0"/>
      <w:bCs w:val="0"/>
      <w:kern w:val="2"/>
      <w:sz w:val="24"/>
      <w:szCs w:val="24"/>
    </w:rPr>
  </w:style>
  <w:style w:type="paragraph" w:customStyle="1" w:styleId="176">
    <w:name w:val="xl93"/>
    <w:basedOn w:val="1"/>
    <w:qFormat/>
    <w:uiPriority w:val="0"/>
    <w:pPr>
      <w:widowControl/>
      <w:pBdr>
        <w:left w:val="single" w:color="auto" w:sz="4" w:space="0"/>
        <w:bottom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rFonts w:ascii="宋体" w:hAnsi="宋体" w:cs="宋体"/>
      <w:b/>
      <w:bCs/>
      <w:sz w:val="20"/>
      <w:szCs w:val="20"/>
    </w:rPr>
  </w:style>
  <w:style w:type="character" w:customStyle="1" w:styleId="177">
    <w:name w:val="表文字 Char"/>
    <w:link w:val="178"/>
    <w:qFormat/>
    <w:locked/>
    <w:uiPriority w:val="0"/>
    <w:rPr>
      <w:rFonts w:ascii="Times New Roman" w:hAnsi="Times New Roman"/>
      <w:b/>
      <w:kern w:val="2"/>
      <w:sz w:val="24"/>
    </w:rPr>
  </w:style>
  <w:style w:type="paragraph" w:customStyle="1" w:styleId="178">
    <w:name w:val="表文字"/>
    <w:basedOn w:val="1"/>
    <w:link w:val="177"/>
    <w:qFormat/>
    <w:uiPriority w:val="0"/>
    <w:pPr>
      <w:spacing w:beforeLines="20" w:afterLines="20"/>
      <w:ind w:firstLine="0" w:firstLineChars="0"/>
      <w:jc w:val="center"/>
    </w:pPr>
    <w:rPr>
      <w:b/>
      <w:kern w:val="2"/>
      <w:szCs w:val="20"/>
    </w:rPr>
  </w:style>
  <w:style w:type="character" w:customStyle="1" w:styleId="179">
    <w:name w:val="表格标题 Char"/>
    <w:link w:val="180"/>
    <w:qFormat/>
    <w:locked/>
    <w:uiPriority w:val="0"/>
    <w:rPr>
      <w:rFonts w:ascii="Arial" w:hAnsi="Arial" w:eastAsia="楷体_GB2312"/>
      <w:b/>
      <w:sz w:val="21"/>
    </w:rPr>
  </w:style>
  <w:style w:type="paragraph" w:customStyle="1" w:styleId="180">
    <w:name w:val="表格标题"/>
    <w:basedOn w:val="181"/>
    <w:next w:val="181"/>
    <w:link w:val="179"/>
    <w:qFormat/>
    <w:uiPriority w:val="0"/>
    <w:pPr>
      <w:widowControl/>
      <w:jc w:val="center"/>
    </w:pPr>
    <w:rPr>
      <w:rFonts w:ascii="Arial" w:hAnsi="Arial" w:eastAsia="楷体_GB2312"/>
      <w:b/>
      <w:sz w:val="21"/>
      <w:szCs w:val="20"/>
    </w:rPr>
  </w:style>
  <w:style w:type="paragraph" w:customStyle="1" w:styleId="181">
    <w:name w:val="表格内容"/>
    <w:basedOn w:val="9"/>
    <w:next w:val="9"/>
    <w:link w:val="879"/>
    <w:qFormat/>
    <w:uiPriority w:val="0"/>
    <w:pPr>
      <w:spacing w:line="240" w:lineRule="atLeast"/>
      <w:ind w:firstLine="0" w:firstLineChars="0"/>
    </w:pPr>
  </w:style>
  <w:style w:type="character" w:customStyle="1" w:styleId="182">
    <w:name w:val="好正文 Char"/>
    <w:link w:val="183"/>
    <w:qFormat/>
    <w:locked/>
    <w:uiPriority w:val="0"/>
    <w:rPr>
      <w:rFonts w:ascii="Times New Roman" w:hAnsi="宋体"/>
      <w:kern w:val="44"/>
      <w:sz w:val="24"/>
    </w:rPr>
  </w:style>
  <w:style w:type="paragraph" w:customStyle="1" w:styleId="183">
    <w:name w:val="好正文"/>
    <w:basedOn w:val="1"/>
    <w:link w:val="182"/>
    <w:qFormat/>
    <w:uiPriority w:val="0"/>
    <w:pPr>
      <w:spacing w:beforeLines="50"/>
      <w:ind w:firstLine="480"/>
    </w:pPr>
    <w:rPr>
      <w:rFonts w:hAnsi="宋体"/>
      <w:kern w:val="44"/>
      <w:szCs w:val="20"/>
    </w:rPr>
  </w:style>
  <w:style w:type="character" w:customStyle="1" w:styleId="184">
    <w:name w:val="三级标题 Char"/>
    <w:link w:val="185"/>
    <w:qFormat/>
    <w:uiPriority w:val="0"/>
    <w:rPr>
      <w:rFonts w:ascii="Times New Roman" w:hAnsi="Times New Roman" w:cs="Times New Roman"/>
      <w:b/>
      <w:bCs/>
      <w:sz w:val="28"/>
      <w:szCs w:val="28"/>
    </w:rPr>
  </w:style>
  <w:style w:type="paragraph" w:customStyle="1" w:styleId="185">
    <w:name w:val="三级标题"/>
    <w:basedOn w:val="7"/>
    <w:link w:val="184"/>
    <w:qFormat/>
    <w:uiPriority w:val="0"/>
    <w:rPr>
      <w:sz w:val="28"/>
    </w:rPr>
  </w:style>
  <w:style w:type="character" w:customStyle="1" w:styleId="186">
    <w:name w:val="三级标题0 Char"/>
    <w:basedOn w:val="118"/>
    <w:link w:val="187"/>
    <w:qFormat/>
    <w:uiPriority w:val="0"/>
    <w:rPr>
      <w:rFonts w:ascii="Times New Roman" w:hAnsi="Times New Roman" w:cs="Times New Roman"/>
      <w:sz w:val="24"/>
      <w:szCs w:val="28"/>
    </w:rPr>
  </w:style>
  <w:style w:type="paragraph" w:customStyle="1" w:styleId="187">
    <w:name w:val="三级标题0"/>
    <w:basedOn w:val="7"/>
    <w:link w:val="186"/>
    <w:qFormat/>
    <w:uiPriority w:val="0"/>
  </w:style>
  <w:style w:type="character" w:customStyle="1" w:styleId="188">
    <w:name w:val="hd正文 Char"/>
    <w:link w:val="189"/>
    <w:qFormat/>
    <w:locked/>
    <w:uiPriority w:val="0"/>
    <w:rPr>
      <w:rFonts w:ascii="Times New Roman" w:hAnsi="Times New Roman" w:cs="Times New Roman"/>
      <w:kern w:val="2"/>
      <w:sz w:val="24"/>
      <w:szCs w:val="24"/>
    </w:rPr>
  </w:style>
  <w:style w:type="paragraph" w:customStyle="1" w:styleId="189">
    <w:name w:val="hd正文"/>
    <w:basedOn w:val="1"/>
    <w:link w:val="188"/>
    <w:qFormat/>
    <w:uiPriority w:val="0"/>
    <w:pPr>
      <w:textAlignment w:val="center"/>
    </w:pPr>
    <w:rPr>
      <w:kern w:val="2"/>
    </w:rPr>
  </w:style>
  <w:style w:type="character" w:customStyle="1" w:styleId="190">
    <w:name w:val="description"/>
    <w:qFormat/>
    <w:uiPriority w:val="0"/>
  </w:style>
  <w:style w:type="character" w:customStyle="1" w:styleId="191">
    <w:name w:val="第八章 Char"/>
    <w:link w:val="192"/>
    <w:qFormat/>
    <w:uiPriority w:val="0"/>
    <w:rPr>
      <w:b/>
      <w:snapToGrid w:val="0"/>
      <w:sz w:val="24"/>
      <w:szCs w:val="24"/>
    </w:rPr>
  </w:style>
  <w:style w:type="paragraph" w:customStyle="1" w:styleId="192">
    <w:name w:val="第八章"/>
    <w:basedOn w:val="1"/>
    <w:link w:val="191"/>
    <w:qFormat/>
    <w:uiPriority w:val="0"/>
    <w:pPr>
      <w:widowControl/>
      <w:numPr>
        <w:ilvl w:val="0"/>
        <w:numId w:val="2"/>
      </w:numPr>
      <w:topLinePunct w:val="0"/>
      <w:ind w:firstLine="0" w:firstLineChars="0"/>
      <w:jc w:val="center"/>
    </w:pPr>
    <w:rPr>
      <w:b/>
      <w:snapToGrid w:val="0"/>
    </w:rPr>
  </w:style>
  <w:style w:type="character" w:customStyle="1" w:styleId="193">
    <w:name w:val="一级标题 Char"/>
    <w:link w:val="194"/>
    <w:qFormat/>
    <w:uiPriority w:val="0"/>
    <w:rPr>
      <w:rFonts w:ascii="Times New Roman" w:hAnsi="Times New Roman" w:cs="Times New Roman"/>
      <w:b/>
      <w:bCs/>
      <w:sz w:val="32"/>
      <w:szCs w:val="32"/>
    </w:rPr>
  </w:style>
  <w:style w:type="paragraph" w:customStyle="1" w:styleId="194">
    <w:name w:val="一级标题"/>
    <w:basedOn w:val="5"/>
    <w:link w:val="193"/>
    <w:qFormat/>
    <w:uiPriority w:val="0"/>
  </w:style>
  <w:style w:type="character" w:customStyle="1" w:styleId="195">
    <w:name w:val="font41"/>
    <w:qFormat/>
    <w:uiPriority w:val="0"/>
    <w:rPr>
      <w:rFonts w:hint="eastAsia" w:ascii="宋体" w:hAnsi="宋体" w:eastAsia="宋体"/>
      <w:b/>
      <w:bCs/>
      <w:color w:val="000000"/>
      <w:sz w:val="20"/>
      <w:szCs w:val="20"/>
      <w:u w:val="none"/>
    </w:rPr>
  </w:style>
  <w:style w:type="character" w:customStyle="1" w:styleId="196">
    <w:name w:val="样式1 Char"/>
    <w:link w:val="197"/>
    <w:qFormat/>
    <w:uiPriority w:val="0"/>
    <w:rPr>
      <w:rFonts w:ascii="Times New Roman" w:hAnsi="Times New Roman" w:cs="Times New Roman"/>
      <w:kern w:val="2"/>
      <w:sz w:val="24"/>
      <w:szCs w:val="24"/>
    </w:rPr>
  </w:style>
  <w:style w:type="paragraph" w:customStyle="1" w:styleId="197">
    <w:name w:val="样式1"/>
    <w:basedOn w:val="1"/>
    <w:link w:val="196"/>
    <w:qFormat/>
    <w:uiPriority w:val="0"/>
    <w:pPr>
      <w:tabs>
        <w:tab w:val="left" w:pos="690"/>
      </w:tabs>
      <w:topLinePunct w:val="0"/>
      <w:adjustRightInd/>
      <w:snapToGrid/>
      <w:spacing w:line="240" w:lineRule="auto"/>
      <w:ind w:firstLine="480"/>
    </w:pPr>
    <w:rPr>
      <w:kern w:val="2"/>
    </w:rPr>
  </w:style>
  <w:style w:type="paragraph" w:customStyle="1" w:styleId="198">
    <w:name w:val="font9"/>
    <w:basedOn w:val="1"/>
    <w:qFormat/>
    <w:uiPriority w:val="0"/>
    <w:pPr>
      <w:widowControl/>
      <w:spacing w:before="100" w:beforeAutospacing="1" w:after="100" w:afterAutospacing="1" w:line="240" w:lineRule="auto"/>
      <w:ind w:firstLine="0" w:firstLineChars="0"/>
      <w:jc w:val="left"/>
    </w:pPr>
    <w:rPr>
      <w:rFonts w:ascii="宋体" w:hAnsi="宋体" w:cs="宋体"/>
      <w:color w:val="000000"/>
      <w:sz w:val="20"/>
      <w:szCs w:val="20"/>
    </w:rPr>
  </w:style>
  <w:style w:type="paragraph" w:customStyle="1" w:styleId="199">
    <w:name w:val="正文1"/>
    <w:basedOn w:val="1"/>
    <w:next w:val="9"/>
    <w:link w:val="1033"/>
    <w:qFormat/>
    <w:uiPriority w:val="0"/>
    <w:pPr>
      <w:topLinePunct w:val="0"/>
      <w:adjustRightInd/>
      <w:snapToGrid/>
      <w:spacing w:line="240" w:lineRule="auto"/>
      <w:ind w:firstLine="0" w:firstLineChars="0"/>
      <w:jc w:val="center"/>
    </w:pPr>
    <w:rPr>
      <w:kern w:val="2"/>
      <w:sz w:val="21"/>
      <w:szCs w:val="20"/>
    </w:rPr>
  </w:style>
  <w:style w:type="paragraph" w:customStyle="1" w:styleId="200">
    <w:name w:val="列出段落6"/>
    <w:basedOn w:val="1"/>
    <w:qFormat/>
    <w:uiPriority w:val="99"/>
    <w:pPr>
      <w:topLinePunct w:val="0"/>
      <w:ind w:firstLine="420"/>
      <w:textAlignment w:val="center"/>
    </w:pPr>
    <w:rPr>
      <w:kern w:val="2"/>
      <w:sz w:val="28"/>
    </w:rPr>
  </w:style>
  <w:style w:type="paragraph" w:customStyle="1" w:styleId="201">
    <w:name w:val="正文缩进2"/>
    <w:basedOn w:val="1"/>
    <w:qFormat/>
    <w:uiPriority w:val="0"/>
    <w:pPr>
      <w:ind w:firstLine="420"/>
    </w:pPr>
    <w:rPr>
      <w:sz w:val="28"/>
      <w:szCs w:val="20"/>
    </w:rPr>
  </w:style>
  <w:style w:type="paragraph" w:customStyle="1" w:styleId="202">
    <w:name w:val="font5"/>
    <w:basedOn w:val="1"/>
    <w:qFormat/>
    <w:uiPriority w:val="0"/>
    <w:pPr>
      <w:widowControl/>
      <w:spacing w:before="100" w:beforeAutospacing="1" w:after="100" w:afterAutospacing="1" w:line="240" w:lineRule="auto"/>
      <w:ind w:firstLine="0" w:firstLineChars="0"/>
      <w:jc w:val="left"/>
    </w:pPr>
    <w:rPr>
      <w:rFonts w:ascii="宋体" w:hAnsi="宋体" w:cs="宋体"/>
      <w:sz w:val="18"/>
      <w:szCs w:val="18"/>
    </w:rPr>
  </w:style>
  <w:style w:type="paragraph" w:customStyle="1" w:styleId="203">
    <w:name w:val="font6"/>
    <w:basedOn w:val="1"/>
    <w:qFormat/>
    <w:uiPriority w:val="0"/>
    <w:pPr>
      <w:widowControl/>
      <w:spacing w:before="100" w:beforeAutospacing="1" w:after="100" w:afterAutospacing="1" w:line="240" w:lineRule="auto"/>
      <w:ind w:firstLine="0" w:firstLineChars="0"/>
      <w:jc w:val="left"/>
    </w:pPr>
    <w:rPr>
      <w:color w:val="000000"/>
      <w:sz w:val="20"/>
      <w:szCs w:val="20"/>
    </w:rPr>
  </w:style>
  <w:style w:type="paragraph" w:customStyle="1" w:styleId="204">
    <w:name w:val="font8"/>
    <w:basedOn w:val="1"/>
    <w:qFormat/>
    <w:uiPriority w:val="0"/>
    <w:pPr>
      <w:widowControl/>
      <w:spacing w:before="100" w:beforeAutospacing="1" w:after="100" w:afterAutospacing="1" w:line="240" w:lineRule="auto"/>
      <w:ind w:firstLine="0" w:firstLineChars="0"/>
      <w:jc w:val="left"/>
    </w:pPr>
    <w:rPr>
      <w:rFonts w:ascii="宋体" w:hAnsi="宋体" w:cs="宋体"/>
      <w:color w:val="000000"/>
      <w:sz w:val="20"/>
      <w:szCs w:val="20"/>
    </w:rPr>
  </w:style>
  <w:style w:type="paragraph" w:customStyle="1" w:styleId="205">
    <w:name w:val="xl96"/>
    <w:basedOn w:val="1"/>
    <w:qFormat/>
    <w:uiPriority w:val="0"/>
    <w:pPr>
      <w:widowControl/>
      <w:pBdr>
        <w:left w:val="single" w:color="auto" w:sz="4" w:space="0"/>
        <w:bottom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b/>
      <w:bCs/>
      <w:sz w:val="20"/>
      <w:szCs w:val="20"/>
    </w:rPr>
  </w:style>
  <w:style w:type="paragraph" w:customStyle="1" w:styleId="206">
    <w:name w:val="xl101"/>
    <w:basedOn w:val="1"/>
    <w:qFormat/>
    <w:uiPriority w:val="0"/>
    <w:pPr>
      <w:widowControl/>
      <w:pBdr>
        <w:top w:val="single" w:color="auto" w:sz="4" w:space="0"/>
        <w:left w:val="single" w:color="auto" w:sz="4" w:space="0"/>
      </w:pBdr>
      <w:topLinePunct w:val="0"/>
      <w:adjustRightInd/>
      <w:snapToGrid/>
      <w:spacing w:before="100" w:beforeAutospacing="1" w:after="100" w:afterAutospacing="1" w:line="240" w:lineRule="auto"/>
      <w:ind w:firstLine="0" w:firstLineChars="0"/>
      <w:jc w:val="center"/>
    </w:pPr>
    <w:rPr>
      <w:rFonts w:ascii="宋体" w:hAnsi="宋体" w:cs="宋体"/>
      <w:b/>
      <w:bCs/>
      <w:sz w:val="20"/>
      <w:szCs w:val="20"/>
    </w:rPr>
  </w:style>
  <w:style w:type="paragraph" w:customStyle="1" w:styleId="207">
    <w:name w:val="列出段落2"/>
    <w:basedOn w:val="1"/>
    <w:qFormat/>
    <w:uiPriority w:val="0"/>
    <w:pPr>
      <w:ind w:firstLine="420"/>
    </w:pPr>
  </w:style>
  <w:style w:type="paragraph" w:customStyle="1" w:styleId="208">
    <w:name w:val="xl65"/>
    <w:basedOn w:val="1"/>
    <w:qFormat/>
    <w:uiPriority w:val="0"/>
    <w:pPr>
      <w:widowControl/>
      <w:spacing w:before="100" w:beforeAutospacing="1" w:after="100" w:afterAutospacing="1" w:line="240" w:lineRule="auto"/>
      <w:ind w:firstLine="0" w:firstLineChars="0"/>
      <w:jc w:val="center"/>
    </w:pPr>
    <w:rPr>
      <w:sz w:val="20"/>
      <w:szCs w:val="20"/>
    </w:rPr>
  </w:style>
  <w:style w:type="paragraph" w:customStyle="1" w:styleId="209">
    <w:name w:val="xl95"/>
    <w:basedOn w:val="1"/>
    <w:qFormat/>
    <w:uiPriority w:val="0"/>
    <w:pPr>
      <w:widowControl/>
      <w:pBdr>
        <w:left w:val="single" w:color="auto" w:sz="4" w:space="0"/>
        <w:bottom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b/>
      <w:bCs/>
      <w:sz w:val="20"/>
      <w:szCs w:val="20"/>
    </w:rPr>
  </w:style>
  <w:style w:type="paragraph" w:customStyle="1" w:styleId="210">
    <w:name w:val="font7"/>
    <w:basedOn w:val="1"/>
    <w:qFormat/>
    <w:uiPriority w:val="0"/>
    <w:pPr>
      <w:widowControl/>
      <w:spacing w:before="100" w:beforeAutospacing="1" w:after="100" w:afterAutospacing="1" w:line="240" w:lineRule="auto"/>
      <w:ind w:firstLine="0" w:firstLineChars="0"/>
      <w:jc w:val="left"/>
    </w:pPr>
    <w:rPr>
      <w:color w:val="000000"/>
      <w:sz w:val="20"/>
      <w:szCs w:val="20"/>
    </w:rPr>
  </w:style>
  <w:style w:type="paragraph" w:customStyle="1" w:styleId="211">
    <w:name w:val="xl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sz w:val="20"/>
      <w:szCs w:val="20"/>
    </w:rPr>
  </w:style>
  <w:style w:type="paragraph" w:customStyle="1" w:styleId="212">
    <w:name w:val="font10"/>
    <w:basedOn w:val="1"/>
    <w:qFormat/>
    <w:uiPriority w:val="0"/>
    <w:pPr>
      <w:widowControl/>
      <w:spacing w:before="100" w:beforeAutospacing="1" w:after="100" w:afterAutospacing="1" w:line="240" w:lineRule="auto"/>
      <w:ind w:firstLine="0" w:firstLineChars="0"/>
      <w:jc w:val="left"/>
    </w:pPr>
    <w:rPr>
      <w:rFonts w:ascii="宋体" w:hAnsi="宋体" w:cs="宋体"/>
      <w:b/>
      <w:bCs/>
      <w:color w:val="000000"/>
      <w:sz w:val="20"/>
      <w:szCs w:val="20"/>
    </w:rPr>
  </w:style>
  <w:style w:type="paragraph" w:customStyle="1" w:styleId="213">
    <w:name w:val="xl94"/>
    <w:basedOn w:val="1"/>
    <w:qFormat/>
    <w:uiPriority w:val="0"/>
    <w:pPr>
      <w:widowControl/>
      <w:pBdr>
        <w:left w:val="single" w:color="auto" w:sz="4" w:space="0"/>
        <w:bottom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b/>
      <w:bCs/>
      <w:sz w:val="20"/>
      <w:szCs w:val="20"/>
    </w:rPr>
  </w:style>
  <w:style w:type="paragraph" w:customStyle="1" w:styleId="214">
    <w:name w:val="样式 正文 +"/>
    <w:basedOn w:val="1"/>
    <w:qFormat/>
    <w:uiPriority w:val="0"/>
    <w:pPr>
      <w:ind w:firstLine="540" w:firstLineChars="225"/>
    </w:pPr>
    <w:rPr>
      <w:rFonts w:ascii="ˎ̥" w:hAnsi="ˎ̥" w:cs="宋体"/>
      <w:szCs w:val="20"/>
    </w:rPr>
  </w:style>
  <w:style w:type="paragraph" w:customStyle="1" w:styleId="215">
    <w:name w:val="xl91"/>
    <w:basedOn w:val="1"/>
    <w:qFormat/>
    <w:uiPriority w:val="0"/>
    <w:pPr>
      <w:widowControl/>
      <w:pBdr>
        <w:top w:val="single" w:color="auto" w:sz="4" w:space="0"/>
        <w:left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b/>
      <w:bCs/>
      <w:sz w:val="20"/>
      <w:szCs w:val="20"/>
    </w:rPr>
  </w:style>
  <w:style w:type="paragraph" w:customStyle="1" w:styleId="216">
    <w:name w:val="Char Char Char Char Char Char Char"/>
    <w:basedOn w:val="1"/>
    <w:qFormat/>
    <w:uiPriority w:val="0"/>
    <w:pPr>
      <w:spacing w:line="240" w:lineRule="auto"/>
      <w:ind w:firstLine="0" w:firstLineChars="0"/>
      <w:jc w:val="center"/>
    </w:pPr>
    <w:rPr>
      <w:rFonts w:ascii="仿宋_GB2312" w:eastAsia="仿宋_GB2312"/>
      <w:b/>
      <w:kern w:val="2"/>
      <w:sz w:val="32"/>
      <w:szCs w:val="32"/>
    </w:rPr>
  </w:style>
  <w:style w:type="paragraph" w:customStyle="1" w:styleId="217">
    <w:name w:val="标题3 章节内标题"/>
    <w:basedOn w:val="1"/>
    <w:qFormat/>
    <w:uiPriority w:val="0"/>
    <w:pPr>
      <w:keepNext/>
      <w:keepLines/>
      <w:numPr>
        <w:ilvl w:val="2"/>
        <w:numId w:val="3"/>
      </w:numPr>
      <w:topLinePunct w:val="0"/>
      <w:adjustRightInd/>
      <w:ind w:firstLineChars="0"/>
      <w:outlineLvl w:val="2"/>
    </w:pPr>
    <w:rPr>
      <w:rFonts w:eastAsia="黑体"/>
      <w:bCs/>
      <w:kern w:val="2"/>
      <w:sz w:val="28"/>
      <w:szCs w:val="20"/>
    </w:rPr>
  </w:style>
  <w:style w:type="paragraph" w:customStyle="1" w:styleId="218">
    <w:name w:val="xl89"/>
    <w:basedOn w:val="1"/>
    <w:qFormat/>
    <w:uiPriority w:val="0"/>
    <w:pPr>
      <w:widowControl/>
      <w:pBdr>
        <w:top w:val="single" w:color="auto" w:sz="4" w:space="0"/>
        <w:left w:val="single" w:color="auto" w:sz="4" w:space="0"/>
        <w:bottom w:val="single" w:color="auto" w:sz="4" w:space="0"/>
      </w:pBdr>
      <w:topLinePunct w:val="0"/>
      <w:adjustRightInd/>
      <w:snapToGrid/>
      <w:spacing w:before="100" w:beforeAutospacing="1" w:after="100" w:afterAutospacing="1" w:line="240" w:lineRule="auto"/>
      <w:ind w:firstLine="0" w:firstLineChars="0"/>
      <w:jc w:val="center"/>
    </w:pPr>
    <w:rPr>
      <w:rFonts w:ascii="宋体" w:hAnsi="宋体" w:cs="宋体"/>
      <w:b/>
      <w:bCs/>
      <w:sz w:val="20"/>
      <w:szCs w:val="20"/>
    </w:rPr>
  </w:style>
  <w:style w:type="paragraph" w:customStyle="1" w:styleId="219">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bottom"/>
    </w:pPr>
    <w:rPr>
      <w:color w:val="000000"/>
      <w:sz w:val="20"/>
      <w:szCs w:val="20"/>
    </w:rPr>
  </w:style>
  <w:style w:type="paragraph" w:customStyle="1" w:styleId="220">
    <w:name w:val="表格五号修"/>
    <w:basedOn w:val="1"/>
    <w:qFormat/>
    <w:uiPriority w:val="0"/>
    <w:pPr>
      <w:topLinePunct w:val="0"/>
      <w:adjustRightInd/>
      <w:snapToGrid/>
      <w:spacing w:line="360" w:lineRule="exact"/>
      <w:ind w:firstLine="0" w:firstLineChars="0"/>
    </w:pPr>
    <w:rPr>
      <w:color w:val="000000"/>
      <w:kern w:val="2"/>
      <w:sz w:val="21"/>
    </w:rPr>
  </w:style>
  <w:style w:type="paragraph" w:customStyle="1" w:styleId="221">
    <w:name w:val="表内容"/>
    <w:basedOn w:val="1"/>
    <w:link w:val="1062"/>
    <w:qFormat/>
    <w:uiPriority w:val="0"/>
    <w:pPr>
      <w:topLinePunct w:val="0"/>
      <w:snapToGrid/>
      <w:spacing w:line="320" w:lineRule="exact"/>
      <w:ind w:firstLine="0" w:firstLineChars="0"/>
      <w:jc w:val="center"/>
    </w:pPr>
  </w:style>
  <w:style w:type="paragraph" w:customStyle="1" w:styleId="222">
    <w:name w:val="xl78"/>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pPr>
    <w:rPr>
      <w:sz w:val="20"/>
      <w:szCs w:val="20"/>
    </w:rPr>
  </w:style>
  <w:style w:type="paragraph" w:customStyle="1" w:styleId="223">
    <w:name w:val="辅助"/>
    <w:qFormat/>
    <w:uiPriority w:val="0"/>
    <w:pPr>
      <w:spacing w:line="360" w:lineRule="auto"/>
      <w:jc w:val="center"/>
      <w:textAlignment w:val="center"/>
    </w:pPr>
    <w:rPr>
      <w:rFonts w:ascii="Times New Roman" w:hAnsi="Times New Roman" w:eastAsia="仿宋_GB2312" w:cs="Calibri"/>
      <w:vanish/>
      <w:color w:val="FF00FF"/>
      <w:sz w:val="21"/>
      <w:szCs w:val="24"/>
      <w:lang w:val="en-US" w:eastAsia="zh-CN" w:bidi="ar-SA"/>
    </w:rPr>
  </w:style>
  <w:style w:type="paragraph" w:customStyle="1" w:styleId="224">
    <w:name w:val="标题4 章节内标题"/>
    <w:basedOn w:val="8"/>
    <w:next w:val="11"/>
    <w:qFormat/>
    <w:uiPriority w:val="0"/>
    <w:pPr>
      <w:keepNext w:val="0"/>
      <w:keepLines w:val="0"/>
      <w:widowControl w:val="0"/>
      <w:numPr>
        <w:ilvl w:val="0"/>
        <w:numId w:val="3"/>
      </w:numPr>
      <w:topLinePunct w:val="0"/>
      <w:adjustRightInd/>
    </w:pPr>
    <w:rPr>
      <w:rFonts w:eastAsia="黑体"/>
      <w:kern w:val="2"/>
    </w:rPr>
  </w:style>
  <w:style w:type="paragraph" w:customStyle="1" w:styleId="225">
    <w:name w:val="公式样式"/>
    <w:basedOn w:val="1"/>
    <w:qFormat/>
    <w:uiPriority w:val="0"/>
    <w:pPr>
      <w:ind w:firstLine="0" w:firstLineChars="0"/>
      <w:jc w:val="center"/>
    </w:pPr>
    <w:rPr>
      <w:rFonts w:cs="宋体"/>
      <w:szCs w:val="20"/>
    </w:rPr>
  </w:style>
  <w:style w:type="paragraph" w:customStyle="1" w:styleId="226">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sz w:val="20"/>
      <w:szCs w:val="20"/>
    </w:rPr>
  </w:style>
  <w:style w:type="paragraph" w:customStyle="1" w:styleId="227">
    <w:name w:val="公式注释"/>
    <w:basedOn w:val="225"/>
    <w:qFormat/>
    <w:uiPriority w:val="0"/>
    <w:pPr>
      <w:ind w:firstLine="1680" w:firstLineChars="700"/>
      <w:jc w:val="left"/>
    </w:pPr>
  </w:style>
  <w:style w:type="paragraph" w:customStyle="1" w:styleId="228">
    <w:name w:val="样式 标题 2 + 段前: 1 行 段后: 0.5 行"/>
    <w:basedOn w:val="6"/>
    <w:qFormat/>
    <w:uiPriority w:val="0"/>
    <w:pPr>
      <w:keepNext w:val="0"/>
      <w:keepLines w:val="0"/>
      <w:topLinePunct w:val="0"/>
      <w:adjustRightInd/>
      <w:snapToGrid/>
      <w:spacing w:line="300" w:lineRule="exact"/>
      <w:jc w:val="center"/>
      <w:outlineLvl w:val="9"/>
    </w:pPr>
    <w:rPr>
      <w:rFonts w:ascii="宋体" w:hAnsi="宋体"/>
      <w:b w:val="0"/>
      <w:bCs w:val="0"/>
      <w:kern w:val="2"/>
      <w:sz w:val="24"/>
      <w:szCs w:val="24"/>
    </w:rPr>
  </w:style>
  <w:style w:type="paragraph" w:customStyle="1" w:styleId="229">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bottom"/>
    </w:pPr>
    <w:rPr>
      <w:sz w:val="20"/>
      <w:szCs w:val="20"/>
    </w:rPr>
  </w:style>
  <w:style w:type="paragraph" w:customStyle="1" w:styleId="230">
    <w:name w:val="xl7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sz w:val="20"/>
      <w:szCs w:val="20"/>
    </w:rPr>
  </w:style>
  <w:style w:type="paragraph" w:customStyle="1" w:styleId="231">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cs="宋体"/>
      <w:sz w:val="20"/>
      <w:szCs w:val="20"/>
    </w:rPr>
  </w:style>
  <w:style w:type="paragraph" w:customStyle="1" w:styleId="232">
    <w:name w:val="xl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b/>
      <w:bCs/>
      <w:sz w:val="20"/>
      <w:szCs w:val="20"/>
    </w:rPr>
  </w:style>
  <w:style w:type="paragraph" w:customStyle="1" w:styleId="233">
    <w:name w:val="表内文字"/>
    <w:basedOn w:val="1"/>
    <w:qFormat/>
    <w:uiPriority w:val="0"/>
    <w:pPr>
      <w:spacing w:line="240" w:lineRule="atLeast"/>
      <w:ind w:firstLine="0" w:firstLineChars="0"/>
      <w:jc w:val="center"/>
      <w:textAlignment w:val="center"/>
    </w:pPr>
    <w:rPr>
      <w:kern w:val="2"/>
      <w:sz w:val="21"/>
      <w:szCs w:val="21"/>
    </w:rPr>
  </w:style>
  <w:style w:type="paragraph" w:customStyle="1" w:styleId="234">
    <w:name w:val="xl6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sz w:val="20"/>
      <w:szCs w:val="20"/>
    </w:rPr>
  </w:style>
  <w:style w:type="paragraph" w:customStyle="1" w:styleId="235">
    <w:name w:val="Char Char Char Char"/>
    <w:basedOn w:val="1"/>
    <w:qFormat/>
    <w:uiPriority w:val="0"/>
    <w:pPr>
      <w:spacing w:line="240" w:lineRule="auto"/>
      <w:ind w:firstLine="0" w:firstLineChars="0"/>
    </w:pPr>
    <w:rPr>
      <w:color w:val="FF0000"/>
      <w:sz w:val="21"/>
      <w:szCs w:val="21"/>
    </w:rPr>
  </w:style>
  <w:style w:type="paragraph" w:customStyle="1" w:styleId="236">
    <w:name w:val="Char"/>
    <w:basedOn w:val="1"/>
    <w:qFormat/>
    <w:uiPriority w:val="0"/>
    <w:pPr>
      <w:topLinePunct w:val="0"/>
      <w:adjustRightInd/>
      <w:snapToGrid/>
      <w:spacing w:line="480" w:lineRule="exact"/>
    </w:pPr>
    <w:rPr>
      <w:kern w:val="2"/>
    </w:rPr>
  </w:style>
  <w:style w:type="paragraph" w:customStyle="1" w:styleId="237">
    <w:name w:val="表5号字"/>
    <w:qFormat/>
    <w:uiPriority w:val="0"/>
    <w:pPr>
      <w:keepNext/>
      <w:widowControl w:val="0"/>
      <w:adjustRightInd w:val="0"/>
      <w:spacing w:before="120" w:line="60" w:lineRule="atLeast"/>
      <w:jc w:val="center"/>
    </w:pPr>
    <w:rPr>
      <w:rFonts w:ascii="Times New Roman" w:hAnsi="Times New Roman" w:eastAsia="宋体" w:cs="Calibri"/>
      <w:sz w:val="21"/>
      <w:lang w:val="en-US" w:eastAsia="zh-CN" w:bidi="ar-SA"/>
    </w:rPr>
  </w:style>
  <w:style w:type="paragraph" w:customStyle="1" w:styleId="238">
    <w:name w:val="xl100"/>
    <w:basedOn w:val="1"/>
    <w:qFormat/>
    <w:uiPriority w:val="0"/>
    <w:pPr>
      <w:widowControl/>
      <w:pBdr>
        <w:top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b/>
      <w:bCs/>
      <w:sz w:val="20"/>
      <w:szCs w:val="20"/>
    </w:rPr>
  </w:style>
  <w:style w:type="paragraph" w:customStyle="1" w:styleId="239">
    <w:name w:val="xl85"/>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center"/>
    </w:pPr>
    <w:rPr>
      <w:b/>
      <w:bCs/>
      <w:sz w:val="20"/>
      <w:szCs w:val="20"/>
    </w:rPr>
  </w:style>
  <w:style w:type="paragraph" w:customStyle="1" w:styleId="240">
    <w:name w:val="xl97"/>
    <w:basedOn w:val="1"/>
    <w:qFormat/>
    <w:uiPriority w:val="0"/>
    <w:pPr>
      <w:widowControl/>
      <w:pBdr>
        <w:top w:val="single" w:color="auto" w:sz="4" w:space="0"/>
        <w:left w:val="single" w:color="auto" w:sz="4" w:space="0"/>
        <w:bottom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rFonts w:ascii="宋体" w:hAnsi="宋体" w:cs="宋体"/>
      <w:color w:val="000000"/>
      <w:sz w:val="20"/>
      <w:szCs w:val="20"/>
    </w:rPr>
  </w:style>
  <w:style w:type="paragraph" w:customStyle="1" w:styleId="241">
    <w:name w:val="列出段落1"/>
    <w:basedOn w:val="1"/>
    <w:qFormat/>
    <w:uiPriority w:val="34"/>
    <w:pPr>
      <w:ind w:firstLine="420"/>
    </w:pPr>
  </w:style>
  <w:style w:type="paragraph" w:customStyle="1" w:styleId="242">
    <w:name w:val="xl92"/>
    <w:basedOn w:val="1"/>
    <w:qFormat/>
    <w:uiPriority w:val="0"/>
    <w:pPr>
      <w:widowControl/>
      <w:pBdr>
        <w:top w:val="single" w:color="auto" w:sz="4" w:space="0"/>
        <w:left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b/>
      <w:bCs/>
      <w:sz w:val="20"/>
      <w:szCs w:val="20"/>
    </w:rPr>
  </w:style>
  <w:style w:type="paragraph" w:customStyle="1" w:styleId="243">
    <w:name w:val="04"/>
    <w:basedOn w:val="150"/>
    <w:qFormat/>
    <w:uiPriority w:val="0"/>
    <w:pPr>
      <w:topLinePunct w:val="0"/>
      <w:snapToGrid/>
      <w:spacing w:before="120" w:after="120" w:line="440" w:lineRule="exact"/>
      <w:ind w:firstLine="0"/>
      <w:outlineLvl w:val="3"/>
    </w:pPr>
    <w:rPr>
      <w:b w:val="0"/>
      <w:sz w:val="24"/>
      <w:szCs w:val="28"/>
    </w:rPr>
  </w:style>
  <w:style w:type="paragraph" w:customStyle="1" w:styleId="244">
    <w:name w:val="正文_宜巴"/>
    <w:basedOn w:val="1"/>
    <w:semiHidden/>
    <w:qFormat/>
    <w:uiPriority w:val="0"/>
    <w:rPr>
      <w:rFonts w:cs="宋体"/>
      <w:kern w:val="2"/>
      <w:szCs w:val="20"/>
    </w:rPr>
  </w:style>
  <w:style w:type="paragraph" w:customStyle="1" w:styleId="245">
    <w:name w:val="xl88"/>
    <w:basedOn w:val="1"/>
    <w:qFormat/>
    <w:uiPriority w:val="0"/>
    <w:pPr>
      <w:widowControl/>
      <w:pBdr>
        <w:top w:val="single" w:color="auto" w:sz="4" w:space="0"/>
        <w:bottom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b/>
      <w:bCs/>
      <w:sz w:val="20"/>
      <w:szCs w:val="20"/>
    </w:rPr>
  </w:style>
  <w:style w:type="paragraph" w:customStyle="1" w:styleId="246">
    <w:name w:val="列出段落21"/>
    <w:basedOn w:val="1"/>
    <w:qFormat/>
    <w:uiPriority w:val="0"/>
    <w:pPr>
      <w:ind w:firstLine="420"/>
    </w:pPr>
  </w:style>
  <w:style w:type="paragraph" w:customStyle="1" w:styleId="247">
    <w:name w:val="xl64"/>
    <w:basedOn w:val="1"/>
    <w:qFormat/>
    <w:uiPriority w:val="0"/>
    <w:pPr>
      <w:widowControl/>
      <w:topLinePunct w:val="0"/>
      <w:adjustRightInd/>
      <w:snapToGrid/>
      <w:spacing w:before="100" w:beforeAutospacing="1" w:after="100" w:afterAutospacing="1" w:line="240" w:lineRule="auto"/>
      <w:ind w:firstLine="0" w:firstLineChars="0"/>
      <w:jc w:val="left"/>
    </w:pPr>
    <w:rPr>
      <w:sz w:val="20"/>
      <w:szCs w:val="20"/>
    </w:rPr>
  </w:style>
  <w:style w:type="paragraph" w:customStyle="1" w:styleId="248">
    <w:name w:val="列出段落5"/>
    <w:basedOn w:val="1"/>
    <w:unhideWhenUsed/>
    <w:qFormat/>
    <w:uiPriority w:val="99"/>
    <w:pPr>
      <w:ind w:firstLine="420"/>
    </w:pPr>
  </w:style>
  <w:style w:type="paragraph" w:customStyle="1" w:styleId="249">
    <w:name w:val="xl66"/>
    <w:basedOn w:val="1"/>
    <w:qFormat/>
    <w:uiPriority w:val="0"/>
    <w:pPr>
      <w:widowControl/>
      <w:spacing w:before="100" w:beforeAutospacing="1" w:after="100" w:afterAutospacing="1" w:line="240" w:lineRule="auto"/>
      <w:ind w:firstLine="0" w:firstLineChars="0"/>
      <w:jc w:val="center"/>
    </w:pPr>
    <w:rPr>
      <w:sz w:val="20"/>
      <w:szCs w:val="20"/>
    </w:rPr>
  </w:style>
  <w:style w:type="paragraph" w:customStyle="1" w:styleId="250">
    <w:name w:val="xl87"/>
    <w:basedOn w:val="1"/>
    <w:qFormat/>
    <w:uiPriority w:val="0"/>
    <w:pPr>
      <w:widowControl/>
      <w:pBdr>
        <w:top w:val="single" w:color="auto" w:sz="4" w:space="0"/>
        <w:left w:val="single" w:color="auto" w:sz="4" w:space="0"/>
        <w:bottom w:val="single" w:color="auto" w:sz="4" w:space="0"/>
      </w:pBdr>
      <w:topLinePunct w:val="0"/>
      <w:adjustRightInd/>
      <w:snapToGrid/>
      <w:spacing w:before="100" w:beforeAutospacing="1" w:after="100" w:afterAutospacing="1" w:line="240" w:lineRule="auto"/>
      <w:ind w:firstLine="0" w:firstLineChars="0"/>
      <w:jc w:val="center"/>
    </w:pPr>
    <w:rPr>
      <w:b/>
      <w:bCs/>
      <w:sz w:val="20"/>
      <w:szCs w:val="20"/>
    </w:rPr>
  </w:style>
  <w:style w:type="paragraph" w:customStyle="1" w:styleId="251">
    <w:name w:val="xl69"/>
    <w:basedOn w:val="1"/>
    <w:qFormat/>
    <w:uiPriority w:val="0"/>
    <w:pPr>
      <w:widowControl/>
      <w:spacing w:before="100" w:beforeAutospacing="1" w:after="100" w:afterAutospacing="1" w:line="240" w:lineRule="auto"/>
      <w:ind w:firstLine="0" w:firstLineChars="0"/>
      <w:jc w:val="center"/>
    </w:pPr>
    <w:rPr>
      <w:b/>
      <w:bCs/>
      <w:sz w:val="20"/>
      <w:szCs w:val="20"/>
    </w:rPr>
  </w:style>
  <w:style w:type="paragraph" w:customStyle="1" w:styleId="252">
    <w:name w:val="font1"/>
    <w:basedOn w:val="1"/>
    <w:qFormat/>
    <w:uiPriority w:val="0"/>
    <w:pPr>
      <w:widowControl/>
      <w:topLinePunct w:val="0"/>
      <w:adjustRightInd/>
      <w:snapToGrid/>
      <w:spacing w:before="100" w:beforeAutospacing="1" w:after="100" w:afterAutospacing="1" w:line="240" w:lineRule="auto"/>
      <w:ind w:firstLine="0" w:firstLineChars="0"/>
      <w:jc w:val="left"/>
    </w:pPr>
    <w:rPr>
      <w:rFonts w:ascii="宋体" w:hAnsi="宋体" w:cs="宋体"/>
      <w:color w:val="000000"/>
      <w:sz w:val="22"/>
      <w:szCs w:val="22"/>
    </w:rPr>
  </w:style>
  <w:style w:type="paragraph" w:customStyle="1" w:styleId="253">
    <w:name w:val="xl7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b/>
      <w:bCs/>
      <w:sz w:val="20"/>
      <w:szCs w:val="20"/>
    </w:rPr>
  </w:style>
  <w:style w:type="paragraph" w:customStyle="1" w:styleId="254">
    <w:name w:val="标题4h"/>
    <w:next w:val="1"/>
    <w:qFormat/>
    <w:uiPriority w:val="0"/>
    <w:pPr>
      <w:numPr>
        <w:ilvl w:val="0"/>
        <w:numId w:val="4"/>
      </w:numPr>
      <w:snapToGrid w:val="0"/>
      <w:spacing w:line="360" w:lineRule="auto"/>
      <w:ind w:left="902"/>
      <w:jc w:val="both"/>
    </w:pPr>
    <w:rPr>
      <w:rFonts w:ascii="Times New Roman" w:hAnsi="Times New Roman" w:eastAsia="宋体" w:cs="Times New Roman"/>
      <w:color w:val="000000"/>
      <w:sz w:val="24"/>
      <w:szCs w:val="24"/>
      <w:lang w:val="en-US" w:eastAsia="zh-CN" w:bidi="ar-SA"/>
    </w:rPr>
  </w:style>
  <w:style w:type="paragraph" w:customStyle="1" w:styleId="255">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sz w:val="20"/>
      <w:szCs w:val="20"/>
    </w:rPr>
  </w:style>
  <w:style w:type="paragraph" w:customStyle="1" w:styleId="256">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sz w:val="20"/>
      <w:szCs w:val="20"/>
    </w:rPr>
  </w:style>
  <w:style w:type="paragraph" w:customStyle="1" w:styleId="257">
    <w:name w:val="xl7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sz w:val="20"/>
      <w:szCs w:val="20"/>
    </w:rPr>
  </w:style>
  <w:style w:type="paragraph" w:customStyle="1" w:styleId="258">
    <w:name w:val="xl99"/>
    <w:basedOn w:val="1"/>
    <w:qFormat/>
    <w:uiPriority w:val="0"/>
    <w:pPr>
      <w:widowControl/>
      <w:pBdr>
        <w:top w:val="single" w:color="auto" w:sz="4" w:space="0"/>
        <w:left w:val="single" w:color="auto" w:sz="4" w:space="0"/>
      </w:pBdr>
      <w:topLinePunct w:val="0"/>
      <w:adjustRightInd/>
      <w:snapToGrid/>
      <w:spacing w:before="100" w:beforeAutospacing="1" w:after="100" w:afterAutospacing="1" w:line="240" w:lineRule="auto"/>
      <w:ind w:firstLine="0" w:firstLineChars="0"/>
      <w:jc w:val="center"/>
    </w:pPr>
    <w:rPr>
      <w:rFonts w:ascii="宋体" w:hAnsi="宋体" w:cs="宋体"/>
      <w:b/>
      <w:bCs/>
      <w:sz w:val="20"/>
      <w:szCs w:val="20"/>
    </w:rPr>
  </w:style>
  <w:style w:type="paragraph" w:customStyle="1" w:styleId="259">
    <w:name w:val="xl80"/>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center"/>
    </w:pPr>
    <w:rPr>
      <w:b/>
      <w:bCs/>
      <w:sz w:val="20"/>
      <w:szCs w:val="20"/>
    </w:rPr>
  </w:style>
  <w:style w:type="paragraph" w:customStyle="1" w:styleId="260">
    <w:name w:val="xl81"/>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pPr>
    <w:rPr>
      <w:b/>
      <w:bCs/>
      <w:sz w:val="20"/>
      <w:szCs w:val="20"/>
    </w:rPr>
  </w:style>
  <w:style w:type="paragraph" w:customStyle="1" w:styleId="261">
    <w:name w:val="列出段落3"/>
    <w:basedOn w:val="1"/>
    <w:qFormat/>
    <w:uiPriority w:val="0"/>
    <w:pPr>
      <w:ind w:firstLine="420"/>
    </w:pPr>
  </w:style>
  <w:style w:type="paragraph" w:customStyle="1" w:styleId="262">
    <w:name w:val="xl8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cs="宋体"/>
      <w:sz w:val="20"/>
      <w:szCs w:val="20"/>
    </w:rPr>
  </w:style>
  <w:style w:type="paragraph" w:customStyle="1" w:styleId="263">
    <w:name w:val="xl90"/>
    <w:basedOn w:val="1"/>
    <w:qFormat/>
    <w:uiPriority w:val="0"/>
    <w:pPr>
      <w:widowControl/>
      <w:pBdr>
        <w:top w:val="single" w:color="auto" w:sz="4" w:space="0"/>
        <w:left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b/>
      <w:bCs/>
      <w:sz w:val="20"/>
      <w:szCs w:val="20"/>
    </w:rPr>
  </w:style>
  <w:style w:type="paragraph" w:customStyle="1" w:styleId="264">
    <w:name w:val="xl84"/>
    <w:basedOn w:val="1"/>
    <w:qFormat/>
    <w:uiPriority w:val="0"/>
    <w:pPr>
      <w:widowControl/>
      <w:spacing w:before="100" w:beforeAutospacing="1" w:after="100" w:afterAutospacing="1" w:line="240" w:lineRule="auto"/>
      <w:ind w:firstLine="0" w:firstLineChars="0"/>
      <w:jc w:val="center"/>
    </w:pPr>
    <w:rPr>
      <w:sz w:val="20"/>
      <w:szCs w:val="20"/>
    </w:rPr>
  </w:style>
  <w:style w:type="paragraph" w:customStyle="1" w:styleId="265">
    <w:name w:val="xl86"/>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pPr>
    <w:rPr>
      <w:b/>
      <w:bCs/>
      <w:sz w:val="20"/>
      <w:szCs w:val="20"/>
    </w:rPr>
  </w:style>
  <w:style w:type="paragraph" w:customStyle="1" w:styleId="266">
    <w:name w:val="xl63"/>
    <w:basedOn w:val="1"/>
    <w:qFormat/>
    <w:uiPriority w:val="0"/>
    <w:pPr>
      <w:widowControl/>
      <w:topLinePunct w:val="0"/>
      <w:adjustRightInd/>
      <w:snapToGrid/>
      <w:spacing w:before="100" w:beforeAutospacing="1" w:after="100" w:afterAutospacing="1" w:line="240" w:lineRule="auto"/>
      <w:ind w:firstLine="0" w:firstLineChars="0"/>
      <w:jc w:val="left"/>
    </w:pPr>
    <w:rPr>
      <w:b/>
      <w:bCs/>
      <w:sz w:val="20"/>
      <w:szCs w:val="20"/>
    </w:rPr>
  </w:style>
  <w:style w:type="paragraph" w:customStyle="1" w:styleId="267">
    <w:name w:val="xl102"/>
    <w:basedOn w:val="1"/>
    <w:qFormat/>
    <w:uiPriority w:val="0"/>
    <w:pPr>
      <w:widowControl/>
      <w:pBdr>
        <w:top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b/>
      <w:bCs/>
      <w:sz w:val="20"/>
      <w:szCs w:val="20"/>
    </w:rPr>
  </w:style>
  <w:style w:type="paragraph" w:customStyle="1" w:styleId="268">
    <w:name w:val="xl24"/>
    <w:basedOn w:val="1"/>
    <w:qFormat/>
    <w:uiPriority w:val="0"/>
    <w:pPr>
      <w:widowControl/>
      <w:pBdr>
        <w:bottom w:val="single" w:color="auto" w:sz="4" w:space="0"/>
        <w:right w:val="single" w:color="auto" w:sz="4" w:space="0"/>
      </w:pBdr>
      <w:topLinePunct w:val="0"/>
      <w:spacing w:before="100" w:beforeAutospacing="1" w:after="100" w:afterAutospacing="1" w:line="240" w:lineRule="auto"/>
      <w:ind w:firstLine="0" w:firstLineChars="0"/>
      <w:jc w:val="center"/>
      <w:textAlignment w:val="top"/>
    </w:pPr>
    <w:rPr>
      <w:sz w:val="21"/>
      <w:szCs w:val="21"/>
    </w:rPr>
  </w:style>
  <w:style w:type="paragraph" w:customStyle="1" w:styleId="269">
    <w:name w:val="xl98"/>
    <w:basedOn w:val="1"/>
    <w:qFormat/>
    <w:uiPriority w:val="0"/>
    <w:pPr>
      <w:widowControl/>
      <w:pBdr>
        <w:top w:val="single" w:color="auto" w:sz="4" w:space="0"/>
        <w:left w:val="single" w:color="auto" w:sz="4" w:space="0"/>
        <w:bottom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color w:val="000000"/>
      <w:sz w:val="18"/>
      <w:szCs w:val="18"/>
    </w:rPr>
  </w:style>
  <w:style w:type="paragraph" w:customStyle="1" w:styleId="270">
    <w:name w:val="Char2"/>
    <w:basedOn w:val="1"/>
    <w:qFormat/>
    <w:uiPriority w:val="0"/>
    <w:pPr>
      <w:topLinePunct w:val="0"/>
      <w:adjustRightInd/>
      <w:snapToGrid/>
      <w:spacing w:line="480" w:lineRule="exact"/>
    </w:pPr>
    <w:rPr>
      <w:kern w:val="2"/>
    </w:rPr>
  </w:style>
  <w:style w:type="paragraph" w:styleId="271">
    <w:name w:val="List Paragraph"/>
    <w:basedOn w:val="1"/>
    <w:qFormat/>
    <w:uiPriority w:val="0"/>
    <w:pPr>
      <w:adjustRightInd/>
      <w:snapToGrid/>
      <w:ind w:firstLine="420"/>
    </w:pPr>
  </w:style>
  <w:style w:type="paragraph" w:customStyle="1" w:styleId="272">
    <w:name w:val="Char Char Char"/>
    <w:basedOn w:val="1"/>
    <w:qFormat/>
    <w:uiPriority w:val="0"/>
    <w:pPr>
      <w:topLinePunct w:val="0"/>
      <w:adjustRightInd/>
      <w:snapToGrid/>
      <w:spacing w:line="240" w:lineRule="auto"/>
      <w:ind w:firstLine="0" w:firstLineChars="0"/>
    </w:pPr>
    <w:rPr>
      <w:kern w:val="2"/>
      <w:sz w:val="21"/>
      <w:szCs w:val="21"/>
    </w:rPr>
  </w:style>
  <w:style w:type="paragraph" w:customStyle="1" w:styleId="273">
    <w:name w:val="Char Char2 Char Char Char Char"/>
    <w:basedOn w:val="1"/>
    <w:qFormat/>
    <w:uiPriority w:val="0"/>
    <w:pPr>
      <w:topLinePunct w:val="0"/>
      <w:adjustRightInd/>
      <w:snapToGrid/>
      <w:spacing w:line="240" w:lineRule="auto"/>
      <w:ind w:firstLine="0" w:firstLineChars="0"/>
    </w:pPr>
    <w:rPr>
      <w:kern w:val="2"/>
      <w:sz w:val="21"/>
    </w:rPr>
  </w:style>
  <w:style w:type="paragraph" w:customStyle="1" w:styleId="274">
    <w:name w:val="表格文字"/>
    <w:basedOn w:val="1"/>
    <w:link w:val="275"/>
    <w:qFormat/>
    <w:uiPriority w:val="0"/>
    <w:pPr>
      <w:topLinePunct w:val="0"/>
      <w:adjustRightInd/>
      <w:snapToGrid/>
      <w:spacing w:line="240" w:lineRule="exact"/>
      <w:ind w:firstLine="0" w:firstLineChars="0"/>
      <w:jc w:val="center"/>
    </w:pPr>
    <w:rPr>
      <w:rFonts w:ascii="宋体" w:hAnsi="宋体"/>
      <w:kern w:val="2"/>
      <w:sz w:val="21"/>
    </w:rPr>
  </w:style>
  <w:style w:type="character" w:customStyle="1" w:styleId="275">
    <w:name w:val="表格文字 Char"/>
    <w:link w:val="274"/>
    <w:qFormat/>
    <w:uiPriority w:val="0"/>
    <w:rPr>
      <w:rFonts w:ascii="宋体" w:hAnsi="宋体" w:cs="Times New Roman"/>
      <w:kern w:val="2"/>
      <w:sz w:val="21"/>
      <w:szCs w:val="24"/>
    </w:rPr>
  </w:style>
  <w:style w:type="character" w:customStyle="1" w:styleId="276">
    <w:name w:val="纯文本 Char3"/>
    <w:qFormat/>
    <w:uiPriority w:val="0"/>
    <w:rPr>
      <w:rFonts w:ascii="宋体" w:hAnsi="Courier New" w:eastAsia="宋体" w:cs="Courier New"/>
      <w:szCs w:val="21"/>
    </w:rPr>
  </w:style>
  <w:style w:type="paragraph" w:customStyle="1" w:styleId="277">
    <w:name w:val="样式 标题 2 + (西文) Times New Roman (中文) 宋体 段前: 6 磅 段后: 6 磅 行距: 1..."/>
    <w:basedOn w:val="6"/>
    <w:qFormat/>
    <w:uiPriority w:val="0"/>
    <w:pPr>
      <w:topLinePunct w:val="0"/>
      <w:spacing w:line="500" w:lineRule="exact"/>
      <w:jc w:val="both"/>
    </w:pPr>
    <w:rPr>
      <w:snapToGrid w:val="0"/>
      <w:szCs w:val="28"/>
    </w:rPr>
  </w:style>
  <w:style w:type="paragraph" w:customStyle="1" w:styleId="278">
    <w:name w:val="样式 标题 2 + (西文) Times New Roman (中文) 宋体 小三 段前: 6 磅 段后: 6 磅 行..."/>
    <w:basedOn w:val="7"/>
    <w:link w:val="279"/>
    <w:qFormat/>
    <w:uiPriority w:val="0"/>
    <w:pPr>
      <w:keepLines/>
      <w:kinsoku/>
      <w:overflowPunct/>
      <w:topLinePunct w:val="0"/>
      <w:autoSpaceDE/>
      <w:autoSpaceDN/>
      <w:spacing w:line="500" w:lineRule="exact"/>
      <w:outlineLvl w:val="9"/>
    </w:pPr>
    <w:rPr>
      <w:bCs w:val="0"/>
      <w:sz w:val="28"/>
    </w:rPr>
  </w:style>
  <w:style w:type="character" w:customStyle="1" w:styleId="279">
    <w:name w:val="样式 标题 2 + (西文) Times New Roman (中文) 宋体 小三 段前: 6 磅 段后: 6 磅 行... Char"/>
    <w:link w:val="278"/>
    <w:qFormat/>
    <w:uiPriority w:val="0"/>
    <w:rPr>
      <w:rFonts w:ascii="Times New Roman" w:hAnsi="Times New Roman" w:cs="Times New Roman"/>
      <w:b/>
      <w:sz w:val="28"/>
      <w:szCs w:val="28"/>
    </w:rPr>
  </w:style>
  <w:style w:type="table" w:customStyle="1" w:styleId="280">
    <w:name w:val="网格型1"/>
    <w:basedOn w:val="92"/>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81">
    <w:name w:val="slb"/>
    <w:basedOn w:val="1"/>
    <w:qFormat/>
    <w:uiPriority w:val="0"/>
    <w:pPr>
      <w:topLinePunct w:val="0"/>
      <w:adjustRightInd/>
      <w:snapToGrid/>
      <w:spacing w:line="0" w:lineRule="atLeast"/>
      <w:ind w:firstLine="0" w:firstLineChars="0"/>
      <w:jc w:val="center"/>
    </w:pPr>
    <w:rPr>
      <w:rFonts w:ascii="宋体" w:hAnsi="宋体"/>
      <w:sz w:val="15"/>
      <w:szCs w:val="20"/>
    </w:rPr>
  </w:style>
  <w:style w:type="paragraph" w:customStyle="1" w:styleId="282">
    <w:name w:val="szw1"/>
    <w:basedOn w:val="1"/>
    <w:qFormat/>
    <w:uiPriority w:val="0"/>
    <w:pPr>
      <w:topLinePunct w:val="0"/>
      <w:snapToGrid/>
      <w:spacing w:line="240" w:lineRule="auto"/>
      <w:ind w:firstLine="420" w:firstLineChars="0"/>
    </w:pPr>
    <w:rPr>
      <w:rFonts w:ascii="宋体" w:hAnsi="宋体"/>
      <w:kern w:val="2"/>
      <w:sz w:val="21"/>
      <w:szCs w:val="20"/>
    </w:rPr>
  </w:style>
  <w:style w:type="paragraph" w:customStyle="1" w:styleId="283">
    <w:name w:val="sb4"/>
    <w:basedOn w:val="1"/>
    <w:qFormat/>
    <w:uiPriority w:val="0"/>
    <w:pPr>
      <w:widowControl/>
      <w:topLinePunct w:val="0"/>
      <w:adjustRightInd/>
      <w:snapToGrid/>
      <w:spacing w:line="240" w:lineRule="auto"/>
      <w:ind w:firstLine="422"/>
      <w:jc w:val="left"/>
    </w:pPr>
    <w:rPr>
      <w:rFonts w:ascii="宋体" w:hAnsi="宋体"/>
      <w:b/>
      <w:sz w:val="21"/>
      <w:szCs w:val="20"/>
    </w:rPr>
  </w:style>
  <w:style w:type="paragraph" w:customStyle="1" w:styleId="284">
    <w:name w:val="TOC 标题1"/>
    <w:basedOn w:val="5"/>
    <w:next w:val="1"/>
    <w:qFormat/>
    <w:uiPriority w:val="39"/>
    <w:pPr>
      <w:pageBreakBefore w:val="0"/>
      <w:widowControl/>
      <w:tabs>
        <w:tab w:val="clear" w:pos="432"/>
      </w:tabs>
      <w:topLinePunct w:val="0"/>
      <w:adjustRightInd/>
      <w:snapToGrid/>
      <w:spacing w:before="480" w:line="276" w:lineRule="auto"/>
      <w:outlineLvl w:val="9"/>
    </w:pPr>
    <w:rPr>
      <w:rFonts w:ascii="Cambria" w:hAnsi="Cambria"/>
      <w:color w:val="365F91"/>
      <w:sz w:val="28"/>
      <w:szCs w:val="28"/>
    </w:rPr>
  </w:style>
  <w:style w:type="paragraph" w:customStyle="1" w:styleId="285">
    <w:name w:val="中文报告书样式"/>
    <w:basedOn w:val="1"/>
    <w:link w:val="286"/>
    <w:qFormat/>
    <w:uiPriority w:val="0"/>
    <w:pPr>
      <w:topLinePunct w:val="0"/>
      <w:snapToGrid/>
      <w:spacing w:line="480" w:lineRule="atLeast"/>
      <w:ind w:firstLine="482" w:firstLineChars="0"/>
      <w:textAlignment w:val="baseline"/>
    </w:pPr>
    <w:rPr>
      <w:kern w:val="24"/>
      <w:szCs w:val="20"/>
    </w:rPr>
  </w:style>
  <w:style w:type="character" w:customStyle="1" w:styleId="286">
    <w:name w:val="中文报告书样式 Char"/>
    <w:link w:val="285"/>
    <w:qFormat/>
    <w:uiPriority w:val="0"/>
    <w:rPr>
      <w:rFonts w:ascii="Times New Roman" w:hAnsi="Times New Roman" w:cs="Times New Roman"/>
      <w:kern w:val="24"/>
      <w:sz w:val="24"/>
    </w:rPr>
  </w:style>
  <w:style w:type="paragraph" w:customStyle="1" w:styleId="287">
    <w:name w:val="环评正文"/>
    <w:basedOn w:val="1"/>
    <w:link w:val="288"/>
    <w:qFormat/>
    <w:uiPriority w:val="0"/>
    <w:pPr>
      <w:topLinePunct w:val="0"/>
      <w:adjustRightInd/>
      <w:snapToGrid/>
    </w:pPr>
  </w:style>
  <w:style w:type="character" w:customStyle="1" w:styleId="288">
    <w:name w:val="环评正文 Char"/>
    <w:link w:val="287"/>
    <w:qFormat/>
    <w:uiPriority w:val="0"/>
    <w:rPr>
      <w:rFonts w:ascii="Times New Roman" w:hAnsi="Times New Roman" w:cs="Times New Roman"/>
      <w:sz w:val="24"/>
      <w:szCs w:val="24"/>
    </w:rPr>
  </w:style>
  <w:style w:type="paragraph" w:customStyle="1" w:styleId="289">
    <w:name w:val="07报告正文1.5行距"/>
    <w:basedOn w:val="1"/>
    <w:link w:val="290"/>
    <w:qFormat/>
    <w:uiPriority w:val="0"/>
    <w:pPr>
      <w:topLinePunct w:val="0"/>
      <w:adjustRightInd/>
      <w:snapToGrid/>
    </w:pPr>
    <w:rPr>
      <w:kern w:val="2"/>
    </w:rPr>
  </w:style>
  <w:style w:type="character" w:customStyle="1" w:styleId="290">
    <w:name w:val="07报告正文1.5行距 Char"/>
    <w:link w:val="289"/>
    <w:qFormat/>
    <w:uiPriority w:val="0"/>
    <w:rPr>
      <w:rFonts w:ascii="Times New Roman" w:hAnsi="Times New Roman" w:cs="Times New Roman"/>
      <w:kern w:val="2"/>
      <w:sz w:val="24"/>
      <w:szCs w:val="24"/>
    </w:rPr>
  </w:style>
  <w:style w:type="paragraph" w:customStyle="1" w:styleId="291">
    <w:name w:val="MTDisplayEquation"/>
    <w:basedOn w:val="1"/>
    <w:next w:val="1"/>
    <w:link w:val="292"/>
    <w:qFormat/>
    <w:uiPriority w:val="0"/>
    <w:pPr>
      <w:tabs>
        <w:tab w:val="center" w:pos="4160"/>
        <w:tab w:val="right" w:pos="8300"/>
      </w:tabs>
      <w:topLinePunct w:val="0"/>
      <w:adjustRightInd/>
      <w:snapToGrid/>
      <w:ind w:firstLine="480"/>
    </w:pPr>
    <w:rPr>
      <w:color w:val="000000"/>
      <w:kern w:val="2"/>
      <w:szCs w:val="22"/>
    </w:rPr>
  </w:style>
  <w:style w:type="character" w:customStyle="1" w:styleId="292">
    <w:name w:val="MTDisplayEquation Char"/>
    <w:link w:val="291"/>
    <w:qFormat/>
    <w:uiPriority w:val="0"/>
    <w:rPr>
      <w:rFonts w:ascii="Times New Roman" w:hAnsi="Times New Roman" w:cs="Times New Roman"/>
      <w:color w:val="000000"/>
      <w:kern w:val="2"/>
      <w:sz w:val="24"/>
      <w:szCs w:val="22"/>
    </w:rPr>
  </w:style>
  <w:style w:type="paragraph" w:customStyle="1" w:styleId="293">
    <w:name w:val="报告书表格"/>
    <w:basedOn w:val="1"/>
    <w:link w:val="294"/>
    <w:qFormat/>
    <w:uiPriority w:val="0"/>
    <w:pPr>
      <w:topLinePunct w:val="0"/>
      <w:snapToGrid/>
      <w:spacing w:before="60" w:after="60" w:line="240" w:lineRule="atLeast"/>
      <w:ind w:firstLine="0" w:firstLineChars="0"/>
      <w:jc w:val="center"/>
      <w:textAlignment w:val="baseline"/>
    </w:pPr>
    <w:rPr>
      <w:sz w:val="21"/>
      <w:szCs w:val="20"/>
    </w:rPr>
  </w:style>
  <w:style w:type="character" w:customStyle="1" w:styleId="294">
    <w:name w:val="报告书表格 Char"/>
    <w:link w:val="293"/>
    <w:qFormat/>
    <w:uiPriority w:val="0"/>
    <w:rPr>
      <w:rFonts w:ascii="Times New Roman" w:hAnsi="Times New Roman" w:cs="Times New Roman"/>
      <w:sz w:val="21"/>
    </w:rPr>
  </w:style>
  <w:style w:type="character" w:customStyle="1" w:styleId="295">
    <w:name w:val="style601"/>
    <w:qFormat/>
    <w:uiPriority w:val="0"/>
    <w:rPr>
      <w:color w:val="FFFFFF"/>
    </w:rPr>
  </w:style>
  <w:style w:type="character" w:customStyle="1" w:styleId="296">
    <w:name w:val="style721"/>
    <w:qFormat/>
    <w:uiPriority w:val="0"/>
    <w:rPr>
      <w:sz w:val="18"/>
      <w:szCs w:val="18"/>
    </w:rPr>
  </w:style>
  <w:style w:type="paragraph" w:customStyle="1" w:styleId="297">
    <w:name w:val="Char Char1 Char Char Char Char Char Char Char Char Char Char Char Char Char Char Char Char Char Char Char Char1 Char"/>
    <w:basedOn w:val="1"/>
    <w:qFormat/>
    <w:uiPriority w:val="0"/>
    <w:pPr>
      <w:topLinePunct w:val="0"/>
      <w:adjustRightInd/>
      <w:snapToGrid/>
    </w:pPr>
    <w:rPr>
      <w:rFonts w:ascii="宋体" w:hAnsi="宋体" w:cs="宋体"/>
      <w:kern w:val="2"/>
    </w:rPr>
  </w:style>
  <w:style w:type="character" w:customStyle="1" w:styleId="298">
    <w:name w:val="07报告正文1.5行距 Char Char"/>
    <w:qFormat/>
    <w:uiPriority w:val="0"/>
    <w:rPr>
      <w:rFonts w:ascii="Times New Roman" w:hAnsi="Times New Roman"/>
      <w:kern w:val="2"/>
      <w:sz w:val="24"/>
      <w:szCs w:val="24"/>
    </w:rPr>
  </w:style>
  <w:style w:type="paragraph" w:customStyle="1" w:styleId="299">
    <w:name w:val="首行缩进"/>
    <w:basedOn w:val="1"/>
    <w:qFormat/>
    <w:uiPriority w:val="0"/>
    <w:pPr>
      <w:topLinePunct w:val="0"/>
      <w:adjustRightInd/>
      <w:snapToGrid/>
      <w:ind w:firstLine="480"/>
    </w:pPr>
    <w:rPr>
      <w:kern w:val="2"/>
    </w:rPr>
  </w:style>
  <w:style w:type="paragraph" w:customStyle="1" w:styleId="300">
    <w:name w:val="报告正文"/>
    <w:basedOn w:val="1"/>
    <w:next w:val="1"/>
    <w:link w:val="301"/>
    <w:qFormat/>
    <w:uiPriority w:val="0"/>
    <w:pPr>
      <w:topLinePunct w:val="0"/>
      <w:ind w:firstLine="480"/>
      <w:jc w:val="left"/>
    </w:pPr>
    <w:rPr>
      <w:rFonts w:ascii="宋体" w:hAnsi="宋体"/>
      <w:snapToGrid w:val="0"/>
    </w:rPr>
  </w:style>
  <w:style w:type="character" w:customStyle="1" w:styleId="301">
    <w:name w:val="报告正文 Char"/>
    <w:link w:val="300"/>
    <w:qFormat/>
    <w:uiPriority w:val="0"/>
    <w:rPr>
      <w:rFonts w:ascii="宋体" w:hAnsi="宋体" w:cs="Times New Roman"/>
      <w:snapToGrid w:val="0"/>
      <w:sz w:val="24"/>
      <w:szCs w:val="24"/>
    </w:rPr>
  </w:style>
  <w:style w:type="paragraph" w:customStyle="1" w:styleId="302">
    <w:name w:val="报告书正文"/>
    <w:basedOn w:val="90"/>
    <w:link w:val="303"/>
    <w:qFormat/>
    <w:uiPriority w:val="0"/>
    <w:pPr>
      <w:topLinePunct w:val="0"/>
      <w:adjustRightInd/>
      <w:snapToGrid/>
      <w:spacing w:after="0"/>
      <w:ind w:firstLine="200" w:firstLineChars="200"/>
    </w:pPr>
    <w:rPr>
      <w:kern w:val="2"/>
    </w:rPr>
  </w:style>
  <w:style w:type="character" w:customStyle="1" w:styleId="303">
    <w:name w:val="报告书正文 Char"/>
    <w:link w:val="302"/>
    <w:qFormat/>
    <w:uiPriority w:val="0"/>
    <w:rPr>
      <w:rFonts w:ascii="Times New Roman" w:hAnsi="Times New Roman" w:cs="Times New Roman"/>
      <w:kern w:val="2"/>
      <w:sz w:val="24"/>
      <w:szCs w:val="24"/>
    </w:rPr>
  </w:style>
  <w:style w:type="paragraph" w:customStyle="1" w:styleId="304">
    <w:name w:val="表格"/>
    <w:basedOn w:val="1"/>
    <w:link w:val="305"/>
    <w:qFormat/>
    <w:uiPriority w:val="0"/>
    <w:pPr>
      <w:topLinePunct w:val="0"/>
      <w:adjustRightInd/>
      <w:snapToGrid/>
      <w:spacing w:line="360" w:lineRule="exact"/>
      <w:ind w:firstLine="0" w:firstLineChars="0"/>
    </w:pPr>
  </w:style>
  <w:style w:type="character" w:customStyle="1" w:styleId="305">
    <w:name w:val="表格 Char"/>
    <w:link w:val="304"/>
    <w:qFormat/>
    <w:uiPriority w:val="0"/>
    <w:rPr>
      <w:rFonts w:ascii="Times New Roman" w:hAnsi="Times New Roman" w:cs="Times New Roman"/>
      <w:sz w:val="24"/>
      <w:szCs w:val="24"/>
    </w:rPr>
  </w:style>
  <w:style w:type="character" w:customStyle="1" w:styleId="306">
    <w:name w:val="表格 Char Char"/>
    <w:qFormat/>
    <w:uiPriority w:val="0"/>
    <w:rPr>
      <w:rFonts w:ascii="Times New Roman" w:hAnsi="宋体" w:eastAsia="宋体" w:cs="Times New Roman"/>
      <w:kern w:val="0"/>
      <w:szCs w:val="21"/>
    </w:rPr>
  </w:style>
  <w:style w:type="character" w:customStyle="1" w:styleId="307">
    <w:name w:val="我的表格 Char Char"/>
    <w:link w:val="308"/>
    <w:qFormat/>
    <w:uiPriority w:val="0"/>
    <w:rPr>
      <w:rFonts w:ascii="Times New Roman" w:hAnsi="Times New Roman" w:cs="Times New Roman"/>
      <w:szCs w:val="21"/>
    </w:rPr>
  </w:style>
  <w:style w:type="paragraph" w:customStyle="1" w:styleId="308">
    <w:name w:val="我的表格"/>
    <w:basedOn w:val="1"/>
    <w:link w:val="307"/>
    <w:qFormat/>
    <w:uiPriority w:val="0"/>
    <w:pPr>
      <w:topLinePunct w:val="0"/>
      <w:autoSpaceDE w:val="0"/>
      <w:autoSpaceDN w:val="0"/>
      <w:snapToGrid/>
      <w:spacing w:line="240" w:lineRule="auto"/>
      <w:ind w:firstLine="0" w:firstLineChars="0"/>
      <w:jc w:val="center"/>
    </w:pPr>
    <w:rPr>
      <w:sz w:val="20"/>
      <w:szCs w:val="21"/>
    </w:rPr>
  </w:style>
  <w:style w:type="character" w:customStyle="1" w:styleId="309">
    <w:name w:val="表头 Char Char"/>
    <w:link w:val="310"/>
    <w:qFormat/>
    <w:uiPriority w:val="0"/>
    <w:rPr>
      <w:rFonts w:ascii="Times New Roman" w:hAnsi="Times New Roman" w:eastAsia="黑体" w:cs="Arial"/>
      <w:b/>
      <w:sz w:val="24"/>
    </w:rPr>
  </w:style>
  <w:style w:type="paragraph" w:customStyle="1" w:styleId="310">
    <w:name w:val="表头"/>
    <w:basedOn w:val="25"/>
    <w:link w:val="309"/>
    <w:qFormat/>
    <w:uiPriority w:val="0"/>
    <w:pPr>
      <w:keepNext w:val="0"/>
      <w:widowControl w:val="0"/>
      <w:topLinePunct w:val="0"/>
      <w:spacing w:beforeLines="30" w:afterLines="30"/>
    </w:pPr>
    <w:rPr>
      <w:rFonts w:ascii="Times New Roman" w:hAnsi="Times New Roman" w:cs="Arial"/>
      <w:sz w:val="24"/>
      <w:szCs w:val="20"/>
    </w:rPr>
  </w:style>
  <w:style w:type="character" w:customStyle="1" w:styleId="311">
    <w:name w:val="标题 4 Char1"/>
    <w:qFormat/>
    <w:locked/>
    <w:uiPriority w:val="0"/>
    <w:rPr>
      <w:rFonts w:ascii="Arial" w:hAnsi="Arial" w:eastAsia="黑体" w:cs="Times New Roman"/>
      <w:b/>
      <w:bCs/>
      <w:sz w:val="28"/>
      <w:szCs w:val="28"/>
    </w:rPr>
  </w:style>
  <w:style w:type="character" w:customStyle="1" w:styleId="312">
    <w:name w:val="标题 1 Char1"/>
    <w:qFormat/>
    <w:uiPriority w:val="0"/>
    <w:rPr>
      <w:b/>
      <w:bCs/>
      <w:kern w:val="44"/>
      <w:sz w:val="44"/>
      <w:szCs w:val="44"/>
    </w:rPr>
  </w:style>
  <w:style w:type="character" w:customStyle="1" w:styleId="313">
    <w:name w:val="标题 3 Char1"/>
    <w:qFormat/>
    <w:uiPriority w:val="0"/>
    <w:rPr>
      <w:rFonts w:hint="eastAsia" w:ascii="宋体" w:hAnsi="宋体" w:eastAsia="宋体"/>
      <w:b/>
      <w:bCs/>
      <w:kern w:val="2"/>
      <w:sz w:val="32"/>
      <w:szCs w:val="32"/>
      <w:lang w:val="en-US" w:eastAsia="zh-CN" w:bidi="ar-SA"/>
    </w:rPr>
  </w:style>
  <w:style w:type="character" w:customStyle="1" w:styleId="314">
    <w:name w:val="标题 5 Char1"/>
    <w:qFormat/>
    <w:uiPriority w:val="0"/>
    <w:rPr>
      <w:b/>
      <w:bCs/>
      <w:kern w:val="2"/>
      <w:sz w:val="28"/>
      <w:szCs w:val="28"/>
    </w:rPr>
  </w:style>
  <w:style w:type="character" w:customStyle="1" w:styleId="315">
    <w:name w:val="页眉 Char1"/>
    <w:qFormat/>
    <w:uiPriority w:val="0"/>
    <w:rPr>
      <w:sz w:val="18"/>
      <w:szCs w:val="18"/>
    </w:rPr>
  </w:style>
  <w:style w:type="character" w:customStyle="1" w:styleId="316">
    <w:name w:val="页脚 Char1"/>
    <w:qFormat/>
    <w:uiPriority w:val="0"/>
    <w:rPr>
      <w:sz w:val="18"/>
      <w:szCs w:val="18"/>
    </w:rPr>
  </w:style>
  <w:style w:type="character" w:customStyle="1" w:styleId="317">
    <w:name w:val="正文文本缩进 Char1"/>
    <w:qFormat/>
    <w:uiPriority w:val="0"/>
  </w:style>
  <w:style w:type="character" w:customStyle="1" w:styleId="318">
    <w:name w:val="正文文本缩进 2 Char"/>
    <w:qFormat/>
    <w:uiPriority w:val="0"/>
    <w:rPr>
      <w:rFonts w:ascii="Times New Roman" w:hAnsi="Times New Roman" w:cs="Times New Roman"/>
      <w:sz w:val="24"/>
      <w:szCs w:val="24"/>
    </w:rPr>
  </w:style>
  <w:style w:type="paragraph" w:customStyle="1" w:styleId="319">
    <w:name w:val="默认段落字体 Para Char"/>
    <w:basedOn w:val="1"/>
    <w:next w:val="1"/>
    <w:qFormat/>
    <w:uiPriority w:val="0"/>
    <w:pPr>
      <w:topLinePunct w:val="0"/>
      <w:adjustRightInd/>
      <w:snapToGrid/>
    </w:pPr>
    <w:rPr>
      <w:rFonts w:ascii="宋体" w:hAnsi="宋体" w:cs="宋体"/>
      <w:kern w:val="2"/>
    </w:rPr>
  </w:style>
  <w:style w:type="character" w:customStyle="1" w:styleId="320">
    <w:name w:val="采用 Char"/>
    <w:link w:val="321"/>
    <w:qFormat/>
    <w:locked/>
    <w:uiPriority w:val="0"/>
    <w:rPr>
      <w:color w:val="000000"/>
      <w:sz w:val="24"/>
      <w:szCs w:val="24"/>
    </w:rPr>
  </w:style>
  <w:style w:type="paragraph" w:customStyle="1" w:styleId="321">
    <w:name w:val="采用"/>
    <w:basedOn w:val="1"/>
    <w:link w:val="320"/>
    <w:qFormat/>
    <w:uiPriority w:val="0"/>
    <w:pPr>
      <w:topLinePunct w:val="0"/>
      <w:autoSpaceDE w:val="0"/>
      <w:autoSpaceDN w:val="0"/>
      <w:spacing w:line="440" w:lineRule="exact"/>
      <w:ind w:firstLine="0" w:firstLineChars="0"/>
    </w:pPr>
    <w:rPr>
      <w:rFonts w:ascii="Calibri" w:hAnsi="Calibri" w:cs="Calibri"/>
      <w:color w:val="000000"/>
    </w:rPr>
  </w:style>
  <w:style w:type="paragraph" w:customStyle="1" w:styleId="322">
    <w:name w:val="表文字小四"/>
    <w:basedOn w:val="1"/>
    <w:qFormat/>
    <w:uiPriority w:val="0"/>
    <w:pPr>
      <w:widowControl/>
      <w:topLinePunct w:val="0"/>
      <w:autoSpaceDE w:val="0"/>
      <w:autoSpaceDN w:val="0"/>
      <w:spacing w:line="360" w:lineRule="exact"/>
      <w:ind w:firstLine="0" w:firstLineChars="0"/>
      <w:jc w:val="left"/>
    </w:pPr>
    <w:rPr>
      <w:rFonts w:cs="宋体"/>
      <w:kern w:val="2"/>
      <w:sz w:val="21"/>
      <w:szCs w:val="20"/>
    </w:rPr>
  </w:style>
  <w:style w:type="character" w:customStyle="1" w:styleId="323">
    <w:name w:val="正文最终 Char"/>
    <w:link w:val="324"/>
    <w:qFormat/>
    <w:locked/>
    <w:uiPriority w:val="0"/>
    <w:rPr>
      <w:sz w:val="24"/>
    </w:rPr>
  </w:style>
  <w:style w:type="paragraph" w:customStyle="1" w:styleId="324">
    <w:name w:val="正文最终"/>
    <w:basedOn w:val="1"/>
    <w:link w:val="323"/>
    <w:qFormat/>
    <w:uiPriority w:val="0"/>
    <w:pPr>
      <w:widowControl/>
      <w:topLinePunct w:val="0"/>
      <w:adjustRightInd/>
      <w:snapToGrid/>
    </w:pPr>
    <w:rPr>
      <w:rFonts w:ascii="Calibri" w:hAnsi="Calibri" w:cs="Calibri"/>
      <w:szCs w:val="20"/>
    </w:rPr>
  </w:style>
  <w:style w:type="character" w:customStyle="1" w:styleId="325">
    <w:name w:val="表头 Char"/>
    <w:qFormat/>
    <w:locked/>
    <w:uiPriority w:val="0"/>
    <w:rPr>
      <w:rFonts w:ascii="宋体" w:hAnsi="宋体" w:eastAsia="黑体"/>
      <w:sz w:val="28"/>
    </w:rPr>
  </w:style>
  <w:style w:type="paragraph" w:customStyle="1" w:styleId="326">
    <w:name w:val="表文字最终"/>
    <w:basedOn w:val="1"/>
    <w:qFormat/>
    <w:uiPriority w:val="0"/>
    <w:pPr>
      <w:widowControl/>
      <w:topLinePunct w:val="0"/>
      <w:autoSpaceDE w:val="0"/>
      <w:autoSpaceDN w:val="0"/>
      <w:spacing w:line="240" w:lineRule="exact"/>
      <w:ind w:firstLine="0" w:firstLineChars="0"/>
      <w:jc w:val="left"/>
    </w:pPr>
    <w:rPr>
      <w:rFonts w:cs="宋体"/>
      <w:kern w:val="2"/>
      <w:sz w:val="21"/>
      <w:szCs w:val="20"/>
    </w:rPr>
  </w:style>
  <w:style w:type="paragraph" w:customStyle="1" w:styleId="327">
    <w:name w:val="表"/>
    <w:basedOn w:val="1"/>
    <w:next w:val="1"/>
    <w:qFormat/>
    <w:uiPriority w:val="0"/>
    <w:pPr>
      <w:topLinePunct w:val="0"/>
      <w:adjustRightInd/>
      <w:snapToGrid/>
      <w:ind w:firstLine="0" w:firstLineChars="0"/>
    </w:pPr>
    <w:rPr>
      <w:kern w:val="2"/>
      <w:sz w:val="21"/>
      <w:szCs w:val="21"/>
    </w:rPr>
  </w:style>
  <w:style w:type="character" w:customStyle="1" w:styleId="328">
    <w:name w:val="正文不加粗 Char"/>
    <w:link w:val="329"/>
    <w:qFormat/>
    <w:locked/>
    <w:uiPriority w:val="0"/>
    <w:rPr>
      <w:rFonts w:ascii="仿宋_GB2312" w:hAnsi="仿宋" w:eastAsia="仿宋_GB2312"/>
      <w:sz w:val="28"/>
      <w:szCs w:val="28"/>
    </w:rPr>
  </w:style>
  <w:style w:type="paragraph" w:customStyle="1" w:styleId="329">
    <w:name w:val="正文不加粗"/>
    <w:basedOn w:val="1"/>
    <w:link w:val="328"/>
    <w:qFormat/>
    <w:uiPriority w:val="0"/>
    <w:pPr>
      <w:topLinePunct w:val="0"/>
      <w:adjustRightInd/>
      <w:snapToGrid/>
      <w:spacing w:line="240" w:lineRule="auto"/>
    </w:pPr>
    <w:rPr>
      <w:rFonts w:ascii="仿宋_GB2312" w:hAnsi="仿宋" w:eastAsia="仿宋_GB2312" w:cs="Calibri"/>
      <w:sz w:val="28"/>
      <w:szCs w:val="28"/>
    </w:rPr>
  </w:style>
  <w:style w:type="character" w:customStyle="1" w:styleId="330">
    <w:name w:val="！表head Char"/>
    <w:link w:val="331"/>
    <w:qFormat/>
    <w:locked/>
    <w:uiPriority w:val="0"/>
    <w:rPr>
      <w:rFonts w:ascii="黑体" w:hAnsi="宋体" w:eastAsia="黑体" w:cs="宋体"/>
      <w:color w:val="000000"/>
      <w:sz w:val="24"/>
    </w:rPr>
  </w:style>
  <w:style w:type="paragraph" w:customStyle="1" w:styleId="331">
    <w:name w:val="！表head"/>
    <w:basedOn w:val="1"/>
    <w:link w:val="330"/>
    <w:qFormat/>
    <w:uiPriority w:val="0"/>
    <w:pPr>
      <w:topLinePunct w:val="0"/>
      <w:adjustRightInd/>
      <w:snapToGrid/>
      <w:spacing w:line="240" w:lineRule="auto"/>
      <w:ind w:left="-100" w:leftChars="-50" w:firstLine="0" w:firstLineChars="0"/>
    </w:pPr>
    <w:rPr>
      <w:rFonts w:ascii="黑体" w:hAnsi="宋体" w:eastAsia="黑体" w:cs="宋体"/>
      <w:color w:val="000000"/>
      <w:szCs w:val="20"/>
    </w:rPr>
  </w:style>
  <w:style w:type="character" w:customStyle="1" w:styleId="332">
    <w:name w:val="正文标准 Char"/>
    <w:link w:val="333"/>
    <w:qFormat/>
    <w:locked/>
    <w:uiPriority w:val="0"/>
    <w:rPr>
      <w:sz w:val="24"/>
      <w:szCs w:val="24"/>
    </w:rPr>
  </w:style>
  <w:style w:type="paragraph" w:customStyle="1" w:styleId="333">
    <w:name w:val="正文标准"/>
    <w:basedOn w:val="1"/>
    <w:link w:val="332"/>
    <w:qFormat/>
    <w:uiPriority w:val="0"/>
    <w:pPr>
      <w:widowControl/>
      <w:tabs>
        <w:tab w:val="left" w:pos="868"/>
      </w:tabs>
      <w:jc w:val="left"/>
    </w:pPr>
    <w:rPr>
      <w:rFonts w:ascii="Calibri" w:hAnsi="Calibri" w:cs="Calibri"/>
    </w:rPr>
  </w:style>
  <w:style w:type="paragraph" w:customStyle="1" w:styleId="334">
    <w:name w:val="A表格"/>
    <w:basedOn w:val="331"/>
    <w:qFormat/>
    <w:uiPriority w:val="0"/>
    <w:pPr>
      <w:spacing w:line="360" w:lineRule="auto"/>
      <w:ind w:left="0" w:leftChars="0"/>
      <w:jc w:val="left"/>
    </w:pPr>
    <w:rPr>
      <w:sz w:val="28"/>
    </w:rPr>
  </w:style>
  <w:style w:type="character" w:customStyle="1" w:styleId="335">
    <w:name w:val="样式 标题 3标题 3 Char Char段标题 3 Char1 Char Char Char Char Char Cha... Char"/>
    <w:link w:val="336"/>
    <w:qFormat/>
    <w:locked/>
    <w:uiPriority w:val="0"/>
    <w:rPr>
      <w:rFonts w:ascii="黑体" w:hAnsi="黑体" w:eastAsia="黑体"/>
      <w:color w:val="000000"/>
      <w:sz w:val="28"/>
      <w:szCs w:val="32"/>
    </w:rPr>
  </w:style>
  <w:style w:type="paragraph" w:customStyle="1" w:styleId="336">
    <w:name w:val="样式 标题 3标题 3 Char Char段标题 3 Char1 Char Char Char Char Char Cha..."/>
    <w:basedOn w:val="7"/>
    <w:link w:val="335"/>
    <w:qFormat/>
    <w:uiPriority w:val="0"/>
    <w:pPr>
      <w:keepLines/>
      <w:kinsoku/>
      <w:overflowPunct/>
      <w:topLinePunct w:val="0"/>
      <w:autoSpaceDE/>
      <w:autoSpaceDN/>
      <w:adjustRightInd/>
      <w:snapToGrid/>
    </w:pPr>
    <w:rPr>
      <w:rFonts w:ascii="黑体" w:hAnsi="黑体" w:eastAsia="黑体" w:cs="Calibri"/>
      <w:b w:val="0"/>
      <w:bCs w:val="0"/>
      <w:color w:val="000000"/>
      <w:sz w:val="28"/>
      <w:szCs w:val="32"/>
    </w:rPr>
  </w:style>
  <w:style w:type="paragraph" w:customStyle="1" w:styleId="337">
    <w:name w:val="标题3采用"/>
    <w:basedOn w:val="7"/>
    <w:qFormat/>
    <w:uiPriority w:val="0"/>
    <w:pPr>
      <w:keepLines/>
      <w:kinsoku/>
      <w:overflowPunct/>
      <w:topLinePunct w:val="0"/>
      <w:autoSpaceDE/>
      <w:autoSpaceDN/>
      <w:adjustRightInd/>
      <w:snapToGrid/>
    </w:pPr>
    <w:rPr>
      <w:rFonts w:eastAsia="黑体"/>
      <w:b w:val="0"/>
      <w:kern w:val="2"/>
      <w:sz w:val="28"/>
    </w:rPr>
  </w:style>
  <w:style w:type="paragraph" w:customStyle="1" w:styleId="338">
    <w:name w:val="正文采用"/>
    <w:basedOn w:val="1"/>
    <w:qFormat/>
    <w:uiPriority w:val="0"/>
    <w:pPr>
      <w:widowControl/>
      <w:topLinePunct w:val="0"/>
      <w:adjustRightInd/>
      <w:snapToGrid/>
      <w:jc w:val="left"/>
    </w:pPr>
    <w:rPr>
      <w:szCs w:val="20"/>
    </w:rPr>
  </w:style>
  <w:style w:type="paragraph" w:customStyle="1" w:styleId="339">
    <w:name w:val="标题二采用"/>
    <w:basedOn w:val="6"/>
    <w:qFormat/>
    <w:uiPriority w:val="0"/>
    <w:pPr>
      <w:topLinePunct w:val="0"/>
      <w:adjustRightInd/>
      <w:snapToGrid/>
    </w:pPr>
    <w:rPr>
      <w:rFonts w:eastAsia="黑体" w:cs="宋体"/>
      <w:b w:val="0"/>
      <w:bCs w:val="0"/>
      <w:kern w:val="2"/>
      <w:sz w:val="30"/>
    </w:rPr>
  </w:style>
  <w:style w:type="paragraph" w:customStyle="1" w:styleId="340">
    <w:name w:val="引用文(小四+黑体)"/>
    <w:basedOn w:val="1"/>
    <w:qFormat/>
    <w:uiPriority w:val="0"/>
    <w:pPr>
      <w:topLinePunct w:val="0"/>
      <w:ind w:firstLine="480"/>
      <w:jc w:val="left"/>
    </w:pPr>
    <w:rPr>
      <w:rFonts w:eastAsia="黑体"/>
      <w:kern w:val="2"/>
      <w:szCs w:val="21"/>
    </w:rPr>
  </w:style>
  <w:style w:type="paragraph" w:customStyle="1" w:styleId="341">
    <w:name w:val="表(五号)"/>
    <w:basedOn w:val="1"/>
    <w:qFormat/>
    <w:uiPriority w:val="0"/>
    <w:pPr>
      <w:topLinePunct w:val="0"/>
      <w:spacing w:line="240" w:lineRule="auto"/>
      <w:ind w:firstLine="0" w:firstLineChars="0"/>
      <w:jc w:val="center"/>
    </w:pPr>
    <w:rPr>
      <w:kern w:val="2"/>
      <w:sz w:val="21"/>
      <w:szCs w:val="21"/>
    </w:rPr>
  </w:style>
  <w:style w:type="paragraph" w:customStyle="1" w:styleId="342">
    <w:name w:val="样式 标题 4标题 4 Char + 行距: 单倍行距"/>
    <w:basedOn w:val="8"/>
    <w:qFormat/>
    <w:uiPriority w:val="0"/>
    <w:pPr>
      <w:widowControl w:val="0"/>
      <w:topLinePunct w:val="0"/>
      <w:adjustRightInd/>
      <w:snapToGrid/>
    </w:pPr>
    <w:rPr>
      <w:rFonts w:eastAsia="黑体" w:cs="宋体"/>
      <w:kern w:val="2"/>
      <w:sz w:val="28"/>
    </w:rPr>
  </w:style>
  <w:style w:type="paragraph" w:customStyle="1" w:styleId="343">
    <w:name w:val="A3"/>
    <w:basedOn w:val="7"/>
    <w:qFormat/>
    <w:uiPriority w:val="0"/>
    <w:pPr>
      <w:keepLines/>
      <w:kinsoku/>
      <w:overflowPunct/>
      <w:topLinePunct w:val="0"/>
      <w:autoSpaceDE/>
      <w:autoSpaceDN/>
      <w:adjustRightInd/>
      <w:snapToGrid/>
      <w:jc w:val="both"/>
    </w:pPr>
    <w:rPr>
      <w:rFonts w:eastAsia="黑体" w:cs="宋体"/>
      <w:b w:val="0"/>
      <w:bCs w:val="0"/>
      <w:kern w:val="2"/>
      <w:sz w:val="28"/>
      <w:szCs w:val="20"/>
    </w:rPr>
  </w:style>
  <w:style w:type="paragraph" w:customStyle="1" w:styleId="344">
    <w:name w:val="Char Char1 Char Char Char Char"/>
    <w:basedOn w:val="1"/>
    <w:qFormat/>
    <w:uiPriority w:val="0"/>
    <w:pPr>
      <w:topLinePunct w:val="0"/>
      <w:adjustRightInd/>
      <w:snapToGrid/>
      <w:spacing w:line="240" w:lineRule="auto"/>
      <w:ind w:firstLine="0" w:firstLineChars="0"/>
    </w:pPr>
    <w:rPr>
      <w:kern w:val="2"/>
      <w:sz w:val="21"/>
      <w:szCs w:val="20"/>
    </w:rPr>
  </w:style>
  <w:style w:type="character" w:customStyle="1" w:styleId="345">
    <w:name w:val="表内字 Char"/>
    <w:link w:val="346"/>
    <w:qFormat/>
    <w:locked/>
    <w:uiPriority w:val="0"/>
    <w:rPr>
      <w:color w:val="000000"/>
      <w:szCs w:val="21"/>
    </w:rPr>
  </w:style>
  <w:style w:type="paragraph" w:customStyle="1" w:styleId="346">
    <w:name w:val="表内字"/>
    <w:basedOn w:val="1"/>
    <w:link w:val="345"/>
    <w:qFormat/>
    <w:uiPriority w:val="0"/>
    <w:pPr>
      <w:widowControl/>
      <w:topLinePunct w:val="0"/>
      <w:autoSpaceDE w:val="0"/>
      <w:autoSpaceDN w:val="0"/>
      <w:snapToGrid/>
      <w:spacing w:line="240" w:lineRule="auto"/>
      <w:ind w:firstLine="0" w:firstLineChars="0"/>
    </w:pPr>
    <w:rPr>
      <w:rFonts w:ascii="Calibri" w:hAnsi="Calibri" w:cs="Calibri"/>
      <w:color w:val="000000"/>
      <w:sz w:val="20"/>
      <w:szCs w:val="21"/>
    </w:rPr>
  </w:style>
  <w:style w:type="paragraph" w:customStyle="1" w:styleId="347">
    <w:name w:val="xl38"/>
    <w:basedOn w:val="1"/>
    <w:qFormat/>
    <w:uiPriority w:val="0"/>
    <w:pPr>
      <w:widowControl/>
      <w:pBdr>
        <w:left w:val="single" w:color="auto" w:sz="8" w:space="0"/>
        <w:bottom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sz w:val="20"/>
      <w:szCs w:val="20"/>
    </w:rPr>
  </w:style>
  <w:style w:type="character" w:customStyle="1" w:styleId="348">
    <w:name w:val="报告书正文 Char Char Char Char"/>
    <w:link w:val="349"/>
    <w:qFormat/>
    <w:locked/>
    <w:uiPriority w:val="0"/>
    <w:rPr>
      <w:rFonts w:ascii="宋体" w:hAnsi="宋体"/>
      <w:sz w:val="24"/>
    </w:rPr>
  </w:style>
  <w:style w:type="paragraph" w:customStyle="1" w:styleId="349">
    <w:name w:val="报告书正文 Char Char Char"/>
    <w:basedOn w:val="1"/>
    <w:link w:val="348"/>
    <w:qFormat/>
    <w:uiPriority w:val="0"/>
    <w:pPr>
      <w:topLinePunct w:val="0"/>
      <w:adjustRightInd/>
      <w:snapToGrid/>
      <w:spacing w:line="300" w:lineRule="auto"/>
      <w:ind w:firstLine="480"/>
    </w:pPr>
    <w:rPr>
      <w:rFonts w:ascii="宋体" w:hAnsi="宋体" w:cs="Calibri"/>
      <w:szCs w:val="20"/>
    </w:rPr>
  </w:style>
  <w:style w:type="paragraph" w:customStyle="1" w:styleId="350">
    <w:name w:val="表格（小4）"/>
    <w:basedOn w:val="1"/>
    <w:qFormat/>
    <w:uiPriority w:val="0"/>
    <w:pPr>
      <w:topLinePunct w:val="0"/>
      <w:adjustRightInd/>
      <w:snapToGrid/>
      <w:ind w:firstLine="0" w:firstLineChars="0"/>
      <w:jc w:val="center"/>
    </w:pPr>
    <w:rPr>
      <w:rFonts w:ascii="宋体" w:hAnsi="宋体"/>
      <w:kern w:val="2"/>
      <w:szCs w:val="20"/>
    </w:rPr>
  </w:style>
  <w:style w:type="paragraph" w:customStyle="1" w:styleId="351">
    <w:name w:val="Q"/>
    <w:basedOn w:val="1"/>
    <w:qFormat/>
    <w:uiPriority w:val="0"/>
    <w:pPr>
      <w:topLinePunct w:val="0"/>
      <w:adjustRightInd/>
      <w:snapToGrid/>
      <w:spacing w:line="440" w:lineRule="exact"/>
    </w:pPr>
    <w:rPr>
      <w:b/>
      <w:bCs/>
      <w:spacing w:val="10"/>
      <w:kern w:val="2"/>
    </w:rPr>
  </w:style>
  <w:style w:type="paragraph" w:customStyle="1" w:styleId="352">
    <w:name w:val="PP 行"/>
    <w:basedOn w:val="62"/>
    <w:qFormat/>
    <w:uiPriority w:val="0"/>
    <w:rPr>
      <w:rFonts w:ascii="宋体"/>
      <w:sz w:val="32"/>
      <w:szCs w:val="32"/>
    </w:rPr>
  </w:style>
  <w:style w:type="paragraph" w:customStyle="1" w:styleId="353">
    <w:name w:val="默认段落字体 Para Char Char Char Char"/>
    <w:basedOn w:val="1"/>
    <w:qFormat/>
    <w:uiPriority w:val="0"/>
    <w:pPr>
      <w:topLinePunct w:val="0"/>
      <w:adjustRightInd/>
      <w:snapToGrid/>
      <w:spacing w:line="240" w:lineRule="auto"/>
      <w:ind w:firstLine="0" w:firstLineChars="0"/>
    </w:pPr>
    <w:rPr>
      <w:kern w:val="2"/>
      <w:sz w:val="21"/>
    </w:rPr>
  </w:style>
  <w:style w:type="character" w:customStyle="1" w:styleId="354">
    <w:name w:val="表标题 Char"/>
    <w:link w:val="355"/>
    <w:qFormat/>
    <w:locked/>
    <w:uiPriority w:val="99"/>
    <w:rPr>
      <w:color w:val="000000"/>
      <w:sz w:val="28"/>
      <w:szCs w:val="24"/>
    </w:rPr>
  </w:style>
  <w:style w:type="paragraph" w:customStyle="1" w:styleId="355">
    <w:name w:val="表标题"/>
    <w:basedOn w:val="1"/>
    <w:link w:val="354"/>
    <w:qFormat/>
    <w:uiPriority w:val="0"/>
    <w:pPr>
      <w:topLinePunct w:val="0"/>
      <w:jc w:val="center"/>
    </w:pPr>
    <w:rPr>
      <w:rFonts w:ascii="Calibri" w:hAnsi="Calibri" w:cs="Calibri"/>
      <w:color w:val="000000"/>
      <w:sz w:val="28"/>
    </w:rPr>
  </w:style>
  <w:style w:type="paragraph" w:customStyle="1" w:styleId="356">
    <w:name w:val="A1"/>
    <w:basedOn w:val="5"/>
    <w:qFormat/>
    <w:uiPriority w:val="0"/>
    <w:pPr>
      <w:pageBreakBefore w:val="0"/>
      <w:tabs>
        <w:tab w:val="clear" w:pos="432"/>
      </w:tabs>
      <w:topLinePunct w:val="0"/>
      <w:adjustRightInd/>
      <w:snapToGrid/>
    </w:pPr>
    <w:rPr>
      <w:rFonts w:eastAsia="黑体" w:cs="宋体"/>
      <w:b w:val="0"/>
      <w:bCs w:val="0"/>
      <w:color w:val="FF0000"/>
      <w:kern w:val="44"/>
      <w:sz w:val="30"/>
      <w:szCs w:val="20"/>
    </w:rPr>
  </w:style>
  <w:style w:type="paragraph" w:customStyle="1" w:styleId="357">
    <w:name w:val="A2"/>
    <w:basedOn w:val="6"/>
    <w:qFormat/>
    <w:uiPriority w:val="0"/>
    <w:pPr>
      <w:topLinePunct w:val="0"/>
      <w:adjustRightInd/>
      <w:snapToGrid/>
      <w:jc w:val="both"/>
    </w:pPr>
    <w:rPr>
      <w:rFonts w:eastAsia="黑体" w:cs="宋体"/>
      <w:b w:val="0"/>
      <w:bCs w:val="0"/>
      <w:kern w:val="2"/>
      <w:szCs w:val="28"/>
    </w:rPr>
  </w:style>
  <w:style w:type="paragraph" w:customStyle="1" w:styleId="358">
    <w:name w:val="A4"/>
    <w:basedOn w:val="8"/>
    <w:qFormat/>
    <w:uiPriority w:val="0"/>
    <w:pPr>
      <w:widowControl w:val="0"/>
      <w:topLinePunct w:val="0"/>
      <w:adjustRightInd/>
      <w:snapToGrid/>
    </w:pPr>
    <w:rPr>
      <w:rFonts w:eastAsia="黑体" w:cs="宋体"/>
      <w:kern w:val="2"/>
      <w:sz w:val="28"/>
    </w:rPr>
  </w:style>
  <w:style w:type="paragraph" w:customStyle="1" w:styleId="359">
    <w:name w:val="表中字"/>
    <w:basedOn w:val="1"/>
    <w:qFormat/>
    <w:uiPriority w:val="0"/>
    <w:pPr>
      <w:topLinePunct w:val="0"/>
      <w:snapToGrid/>
      <w:spacing w:line="240" w:lineRule="auto"/>
      <w:ind w:firstLine="0" w:firstLineChars="0"/>
    </w:pPr>
    <w:rPr>
      <w:rFonts w:ascii="宋体" w:hAnsi="宋体"/>
      <w:szCs w:val="20"/>
    </w:rPr>
  </w:style>
  <w:style w:type="paragraph" w:customStyle="1" w:styleId="360">
    <w:name w:val="正文sun"/>
    <w:basedOn w:val="38"/>
    <w:qFormat/>
    <w:uiPriority w:val="0"/>
    <w:pPr>
      <w:topLinePunct w:val="0"/>
      <w:adjustRightInd/>
      <w:snapToGrid/>
      <w:spacing w:after="0"/>
    </w:pPr>
    <w:rPr>
      <w:kern w:val="2"/>
    </w:rPr>
  </w:style>
  <w:style w:type="paragraph" w:customStyle="1" w:styleId="361">
    <w:name w:val="首行缩进:2 字符"/>
    <w:basedOn w:val="1"/>
    <w:qFormat/>
    <w:uiPriority w:val="0"/>
    <w:pPr>
      <w:topLinePunct w:val="0"/>
      <w:adjustRightInd/>
      <w:snapToGrid/>
      <w:ind w:firstLine="560"/>
    </w:pPr>
    <w:rPr>
      <w:kern w:val="2"/>
      <w:sz w:val="28"/>
      <w:szCs w:val="20"/>
    </w:rPr>
  </w:style>
  <w:style w:type="paragraph" w:customStyle="1" w:styleId="362">
    <w:name w:val="样式 首行缩进:  2 字符1"/>
    <w:basedOn w:val="1"/>
    <w:link w:val="687"/>
    <w:qFormat/>
    <w:uiPriority w:val="0"/>
    <w:pPr>
      <w:topLinePunct w:val="0"/>
      <w:adjustRightInd/>
      <w:snapToGrid/>
      <w:ind w:firstLine="480"/>
    </w:pPr>
    <w:rPr>
      <w:kern w:val="2"/>
      <w:szCs w:val="20"/>
    </w:rPr>
  </w:style>
  <w:style w:type="paragraph" w:customStyle="1" w:styleId="363">
    <w:name w:val="表(5号)"/>
    <w:basedOn w:val="1"/>
    <w:qFormat/>
    <w:uiPriority w:val="0"/>
    <w:pPr>
      <w:topLinePunct w:val="0"/>
      <w:adjustRightInd/>
      <w:snapToGrid/>
      <w:ind w:firstLine="0" w:firstLineChars="0"/>
      <w:jc w:val="center"/>
    </w:pPr>
    <w:rPr>
      <w:rFonts w:ascii="宋体" w:hAnsi="宋体"/>
      <w:kern w:val="2"/>
      <w:sz w:val="21"/>
      <w:szCs w:val="20"/>
    </w:rPr>
  </w:style>
  <w:style w:type="paragraph" w:customStyle="1" w:styleId="364">
    <w:name w:val="xl48"/>
    <w:basedOn w:val="1"/>
    <w:semiHidden/>
    <w:qFormat/>
    <w:uiPriority w:val="0"/>
    <w:pPr>
      <w:widowControl/>
      <w:topLinePunct w:val="0"/>
      <w:snapToGrid/>
      <w:spacing w:before="100" w:after="100" w:line="240" w:lineRule="auto"/>
      <w:ind w:firstLine="0" w:firstLineChars="0"/>
    </w:pPr>
    <w:rPr>
      <w:b/>
    </w:rPr>
  </w:style>
  <w:style w:type="paragraph" w:customStyle="1" w:styleId="365">
    <w:name w:val="T正文"/>
    <w:qFormat/>
    <w:uiPriority w:val="0"/>
    <w:pPr>
      <w:widowControl w:val="0"/>
      <w:adjustRightInd w:val="0"/>
      <w:snapToGrid w:val="0"/>
      <w:spacing w:line="360" w:lineRule="auto"/>
      <w:ind w:firstLine="200" w:firstLineChars="200"/>
      <w:jc w:val="both"/>
    </w:pPr>
    <w:rPr>
      <w:rFonts w:ascii="Times New Roman" w:hAnsi="Times New Roman" w:eastAsia="仿宋_GB2312" w:cs="Times New Roman"/>
      <w:sz w:val="28"/>
      <w:lang w:val="en-US" w:eastAsia="zh-CN" w:bidi="ar-SA"/>
    </w:rPr>
  </w:style>
  <w:style w:type="paragraph" w:customStyle="1" w:styleId="366">
    <w:name w:val="xl22"/>
    <w:basedOn w:val="1"/>
    <w:qFormat/>
    <w:uiPriority w:val="0"/>
    <w:pPr>
      <w:widowControl/>
      <w:pBdr>
        <w:bottom w:val="single" w:color="auto" w:sz="4" w:space="0"/>
        <w:right w:val="single" w:color="auto" w:sz="4" w:space="0"/>
      </w:pBdr>
      <w:topLinePunct w:val="0"/>
      <w:adjustRightInd/>
      <w:snapToGrid/>
      <w:spacing w:before="100" w:after="100" w:line="240" w:lineRule="auto"/>
      <w:ind w:firstLine="0" w:firstLineChars="0"/>
      <w:jc w:val="center"/>
    </w:pPr>
    <w:rPr>
      <w:sz w:val="21"/>
      <w:szCs w:val="20"/>
    </w:rPr>
  </w:style>
  <w:style w:type="paragraph" w:customStyle="1" w:styleId="367">
    <w:name w:val="正文首行缩进 2 + Times New Roman"/>
    <w:basedOn w:val="1"/>
    <w:qFormat/>
    <w:uiPriority w:val="0"/>
    <w:pPr>
      <w:tabs>
        <w:tab w:val="left" w:pos="0"/>
        <w:tab w:val="left" w:pos="870"/>
        <w:tab w:val="left" w:pos="3090"/>
        <w:tab w:val="left" w:pos="3150"/>
      </w:tabs>
      <w:topLinePunct w:val="0"/>
      <w:autoSpaceDE w:val="0"/>
      <w:autoSpaceDN w:val="0"/>
      <w:adjustRightInd/>
      <w:ind w:firstLine="480"/>
    </w:pPr>
    <w:rPr>
      <w:rFonts w:ascii="宋体" w:hAnsi="宋体"/>
      <w:color w:val="000000"/>
      <w:lang w:val="zh-CN"/>
    </w:rPr>
  </w:style>
  <w:style w:type="paragraph" w:customStyle="1" w:styleId="368">
    <w:name w:val="正文111111"/>
    <w:basedOn w:val="1"/>
    <w:qFormat/>
    <w:uiPriority w:val="0"/>
    <w:pPr>
      <w:topLinePunct w:val="0"/>
      <w:adjustRightInd/>
      <w:snapToGrid/>
    </w:pPr>
    <w:rPr>
      <w:bCs/>
      <w:kern w:val="2"/>
    </w:rPr>
  </w:style>
  <w:style w:type="character" w:customStyle="1" w:styleId="369">
    <w:name w:val="样式 行距: 固定值 20 磅 Char Char"/>
    <w:link w:val="370"/>
    <w:qFormat/>
    <w:locked/>
    <w:uiPriority w:val="0"/>
    <w:rPr>
      <w:rFonts w:ascii="楷体_GB2312" w:eastAsia="楷体_GB2312"/>
      <w:sz w:val="24"/>
      <w:szCs w:val="24"/>
    </w:rPr>
  </w:style>
  <w:style w:type="paragraph" w:customStyle="1" w:styleId="370">
    <w:name w:val="样式 行距: 固定值 20 磅 Char"/>
    <w:basedOn w:val="1"/>
    <w:link w:val="369"/>
    <w:qFormat/>
    <w:uiPriority w:val="0"/>
    <w:pPr>
      <w:topLinePunct w:val="0"/>
      <w:adjustRightInd/>
      <w:snapToGrid/>
      <w:spacing w:line="240" w:lineRule="auto"/>
    </w:pPr>
    <w:rPr>
      <w:rFonts w:ascii="楷体_GB2312" w:hAnsi="Calibri" w:eastAsia="楷体_GB2312" w:cs="Calibri"/>
    </w:rPr>
  </w:style>
  <w:style w:type="paragraph" w:customStyle="1" w:styleId="371">
    <w:name w:val="xl26"/>
    <w:basedOn w:val="1"/>
    <w:qFormat/>
    <w:uiPriority w:val="0"/>
    <w:pPr>
      <w:widowControl/>
      <w:topLinePunct w:val="0"/>
      <w:adjustRightInd/>
      <w:snapToGrid/>
      <w:spacing w:before="100" w:beforeAutospacing="1" w:after="100" w:afterAutospacing="1" w:line="240" w:lineRule="auto"/>
      <w:ind w:firstLine="0" w:firstLineChars="0"/>
      <w:jc w:val="center"/>
    </w:pPr>
    <w:rPr>
      <w:rFonts w:ascii="宋体" w:hAnsi="宋体"/>
    </w:rPr>
  </w:style>
  <w:style w:type="paragraph" w:customStyle="1" w:styleId="372">
    <w:name w:val="表6"/>
    <w:basedOn w:val="1"/>
    <w:qFormat/>
    <w:uiPriority w:val="0"/>
    <w:pPr>
      <w:widowControl/>
      <w:tabs>
        <w:tab w:val="left" w:pos="504"/>
      </w:tabs>
      <w:topLinePunct w:val="0"/>
      <w:adjustRightInd/>
      <w:snapToGrid/>
      <w:spacing w:line="240" w:lineRule="auto"/>
      <w:ind w:left="504" w:firstLine="400" w:firstLineChars="0"/>
      <w:jc w:val="center"/>
    </w:pPr>
    <w:rPr>
      <w:rFonts w:ascii="宋体" w:hAnsi="宋体" w:eastAsia="楷体_GB2312"/>
    </w:rPr>
  </w:style>
  <w:style w:type="paragraph" w:customStyle="1" w:styleId="373">
    <w:name w:val="Char1"/>
    <w:basedOn w:val="1"/>
    <w:qFormat/>
    <w:uiPriority w:val="0"/>
    <w:pPr>
      <w:topLinePunct w:val="0"/>
      <w:adjustRightInd/>
      <w:snapToGrid/>
    </w:pPr>
    <w:rPr>
      <w:rFonts w:ascii="宋体" w:hAnsi="宋体" w:cs="宋体"/>
      <w:kern w:val="2"/>
    </w:rPr>
  </w:style>
  <w:style w:type="paragraph" w:customStyle="1" w:styleId="374">
    <w:name w:val="长文件正文"/>
    <w:basedOn w:val="1"/>
    <w:qFormat/>
    <w:uiPriority w:val="0"/>
    <w:pPr>
      <w:topLinePunct w:val="0"/>
      <w:adjustRightInd/>
      <w:snapToGrid/>
      <w:spacing w:line="400" w:lineRule="exact"/>
    </w:pPr>
    <w:rPr>
      <w:rFonts w:ascii="宋体"/>
      <w:b/>
      <w:bCs/>
      <w:color w:val="000000"/>
      <w:spacing w:val="10"/>
      <w:kern w:val="2"/>
      <w:szCs w:val="20"/>
    </w:rPr>
  </w:style>
  <w:style w:type="character" w:customStyle="1" w:styleId="375">
    <w:name w:val="自定义正文 Char Char Char Char Char"/>
    <w:link w:val="376"/>
    <w:qFormat/>
    <w:locked/>
    <w:uiPriority w:val="0"/>
    <w:rPr>
      <w:position w:val="-28"/>
      <w:sz w:val="28"/>
    </w:rPr>
  </w:style>
  <w:style w:type="paragraph" w:customStyle="1" w:styleId="376">
    <w:name w:val="自定义正文 Char Char Char Char"/>
    <w:link w:val="375"/>
    <w:qFormat/>
    <w:uiPriority w:val="0"/>
    <w:pPr>
      <w:widowControl w:val="0"/>
      <w:topLinePunct/>
      <w:adjustRightInd w:val="0"/>
      <w:snapToGrid w:val="0"/>
      <w:spacing w:line="360" w:lineRule="auto"/>
      <w:ind w:firstLine="510"/>
      <w:jc w:val="both"/>
    </w:pPr>
    <w:rPr>
      <w:rFonts w:ascii="Calibri" w:hAnsi="Calibri" w:eastAsia="宋体" w:cs="Calibri"/>
      <w:position w:val="-28"/>
      <w:sz w:val="28"/>
      <w:lang w:val="en-US" w:eastAsia="zh-CN" w:bidi="ar-SA"/>
    </w:rPr>
  </w:style>
  <w:style w:type="character" w:customStyle="1" w:styleId="377">
    <w:name w:val="样式 标题 3标题 3 CharH3B Head + 宋体 小三 Char Char Char Char Char"/>
    <w:link w:val="378"/>
    <w:qFormat/>
    <w:locked/>
    <w:uiPriority w:val="0"/>
    <w:rPr>
      <w:rFonts w:ascii="宋体" w:hAnsi="宋体" w:eastAsia="黑体"/>
      <w:sz w:val="30"/>
    </w:rPr>
  </w:style>
  <w:style w:type="paragraph" w:customStyle="1" w:styleId="378">
    <w:name w:val="样式 标题 3标题 3 CharH3B Head + 宋体 小三 Char Char Char Char"/>
    <w:basedOn w:val="7"/>
    <w:link w:val="377"/>
    <w:qFormat/>
    <w:uiPriority w:val="0"/>
    <w:pPr>
      <w:keepLines/>
      <w:tabs>
        <w:tab w:val="left" w:pos="709"/>
        <w:tab w:val="left" w:pos="1412"/>
      </w:tabs>
      <w:kinsoku/>
      <w:overflowPunct/>
      <w:topLinePunct w:val="0"/>
      <w:autoSpaceDE/>
      <w:autoSpaceDN/>
      <w:spacing w:before="240" w:after="240"/>
      <w:ind w:left="709" w:hanging="709"/>
      <w:jc w:val="both"/>
    </w:pPr>
    <w:rPr>
      <w:rFonts w:ascii="宋体" w:hAnsi="宋体" w:eastAsia="黑体" w:cs="Calibri"/>
      <w:b w:val="0"/>
      <w:bCs w:val="0"/>
      <w:sz w:val="30"/>
      <w:szCs w:val="20"/>
    </w:rPr>
  </w:style>
  <w:style w:type="character" w:customStyle="1" w:styleId="379">
    <w:name w:val="样式 标题 4 + 宋体 Char Char Char Char"/>
    <w:link w:val="380"/>
    <w:qFormat/>
    <w:locked/>
    <w:uiPriority w:val="0"/>
    <w:rPr>
      <w:rFonts w:ascii="宋体" w:hAnsi="宋体"/>
      <w:sz w:val="24"/>
    </w:rPr>
  </w:style>
  <w:style w:type="paragraph" w:customStyle="1" w:styleId="380">
    <w:name w:val="样式 标题 4 + 宋体 Char Char Char"/>
    <w:basedOn w:val="8"/>
    <w:link w:val="379"/>
    <w:qFormat/>
    <w:uiPriority w:val="0"/>
    <w:pPr>
      <w:widowControl w:val="0"/>
      <w:topLinePunct w:val="0"/>
      <w:spacing w:line="300" w:lineRule="auto"/>
    </w:pPr>
    <w:rPr>
      <w:rFonts w:ascii="宋体" w:hAnsi="宋体" w:cs="Calibri"/>
      <w:szCs w:val="20"/>
    </w:rPr>
  </w:style>
  <w:style w:type="character" w:customStyle="1" w:styleId="381">
    <w:name w:val="报告书正文 Char Char"/>
    <w:qFormat/>
    <w:locked/>
    <w:uiPriority w:val="0"/>
    <w:rPr>
      <w:rFonts w:ascii="宋体" w:hAnsi="宋体" w:eastAsia="宋体"/>
      <w:sz w:val="24"/>
    </w:rPr>
  </w:style>
  <w:style w:type="paragraph" w:customStyle="1" w:styleId="382">
    <w:name w:val="1"/>
    <w:basedOn w:val="1"/>
    <w:next w:val="43"/>
    <w:qFormat/>
    <w:uiPriority w:val="0"/>
    <w:pPr>
      <w:topLinePunct w:val="0"/>
      <w:adjustRightInd/>
      <w:snapToGrid/>
      <w:spacing w:before="20" w:line="400" w:lineRule="exact"/>
      <w:ind w:firstLine="0" w:firstLineChars="0"/>
      <w:jc w:val="center"/>
    </w:pPr>
    <w:rPr>
      <w:b/>
      <w:kern w:val="2"/>
      <w:sz w:val="21"/>
      <w:szCs w:val="20"/>
    </w:rPr>
  </w:style>
  <w:style w:type="paragraph" w:customStyle="1" w:styleId="383">
    <w:name w:val="表格2"/>
    <w:basedOn w:val="1"/>
    <w:qFormat/>
    <w:uiPriority w:val="0"/>
    <w:pPr>
      <w:widowControl/>
      <w:topLinePunct w:val="0"/>
      <w:adjustRightInd/>
      <w:snapToGrid/>
      <w:spacing w:line="240" w:lineRule="auto"/>
      <w:ind w:firstLine="0" w:firstLineChars="0"/>
      <w:jc w:val="center"/>
    </w:pPr>
    <w:rPr>
      <w:rFonts w:ascii="宋体" w:hAnsi="宋体"/>
      <w:color w:val="000000"/>
      <w:szCs w:val="20"/>
    </w:rPr>
  </w:style>
  <w:style w:type="paragraph" w:customStyle="1" w:styleId="384">
    <w:name w:val="Char Char Char Char Char Char1 Char"/>
    <w:basedOn w:val="1"/>
    <w:qFormat/>
    <w:uiPriority w:val="0"/>
    <w:pPr>
      <w:topLinePunct w:val="0"/>
      <w:adjustRightInd/>
      <w:snapToGrid/>
    </w:pPr>
    <w:rPr>
      <w:rFonts w:ascii="宋体" w:hAnsi="宋体"/>
      <w:kern w:val="2"/>
      <w:szCs w:val="20"/>
    </w:rPr>
  </w:style>
  <w:style w:type="paragraph" w:customStyle="1" w:styleId="385">
    <w:name w:val="Char Char Char Char Char Char"/>
    <w:basedOn w:val="1"/>
    <w:qFormat/>
    <w:uiPriority w:val="99"/>
    <w:pPr>
      <w:topLinePunct w:val="0"/>
      <w:adjustRightInd/>
      <w:snapToGrid/>
    </w:pPr>
    <w:rPr>
      <w:rFonts w:ascii="宋体" w:hAnsi="宋体"/>
      <w:kern w:val="2"/>
      <w:szCs w:val="20"/>
    </w:rPr>
  </w:style>
  <w:style w:type="paragraph" w:customStyle="1" w:styleId="386">
    <w:name w:val="表格（小）"/>
    <w:basedOn w:val="1"/>
    <w:qFormat/>
    <w:uiPriority w:val="0"/>
    <w:pPr>
      <w:topLinePunct w:val="0"/>
      <w:spacing w:line="240" w:lineRule="auto"/>
      <w:ind w:firstLine="0" w:firstLineChars="0"/>
    </w:pPr>
    <w:rPr>
      <w:sz w:val="21"/>
      <w:szCs w:val="20"/>
    </w:rPr>
  </w:style>
  <w:style w:type="paragraph" w:customStyle="1" w:styleId="387">
    <w:name w:val="标准正文"/>
    <w:basedOn w:val="1"/>
    <w:link w:val="1028"/>
    <w:qFormat/>
    <w:uiPriority w:val="0"/>
    <w:pPr>
      <w:topLinePunct w:val="0"/>
      <w:snapToGrid/>
      <w:ind w:firstLine="420"/>
    </w:pPr>
    <w:rPr>
      <w:rFonts w:ascii="宋体" w:hAnsi="宋体"/>
      <w:color w:val="000000"/>
      <w:sz w:val="21"/>
      <w:szCs w:val="20"/>
    </w:rPr>
  </w:style>
  <w:style w:type="paragraph" w:customStyle="1" w:styleId="388">
    <w:name w:val="xl33"/>
    <w:basedOn w:val="1"/>
    <w:qFormat/>
    <w:uiPriority w:val="0"/>
    <w:pPr>
      <w:widowControl/>
      <w:pBdr>
        <w:left w:val="single" w:color="auto" w:sz="4" w:space="0"/>
        <w:bottom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rFonts w:ascii="宋体" w:hAnsi="宋体"/>
      <w:szCs w:val="20"/>
    </w:rPr>
  </w:style>
  <w:style w:type="paragraph" w:customStyle="1" w:styleId="389">
    <w:name w:val="正文缩进3"/>
    <w:basedOn w:val="1"/>
    <w:qFormat/>
    <w:uiPriority w:val="0"/>
    <w:pPr>
      <w:topLinePunct w:val="0"/>
      <w:autoSpaceDE w:val="0"/>
      <w:autoSpaceDN w:val="0"/>
    </w:pPr>
    <w:rPr>
      <w:color w:val="000000"/>
      <w:kern w:val="2"/>
      <w:sz w:val="28"/>
      <w:szCs w:val="20"/>
    </w:rPr>
  </w:style>
  <w:style w:type="paragraph" w:customStyle="1" w:styleId="390">
    <w:name w:val="表ma"/>
    <w:basedOn w:val="1"/>
    <w:qFormat/>
    <w:uiPriority w:val="0"/>
    <w:pPr>
      <w:widowControl/>
      <w:topLinePunct w:val="0"/>
      <w:adjustRightInd/>
      <w:snapToGrid/>
      <w:spacing w:line="240" w:lineRule="auto"/>
      <w:ind w:firstLine="0" w:firstLineChars="0"/>
    </w:pPr>
    <w:rPr>
      <w:szCs w:val="20"/>
    </w:rPr>
  </w:style>
  <w:style w:type="paragraph" w:customStyle="1" w:styleId="391">
    <w:name w:val="talbe123"/>
    <w:basedOn w:val="1"/>
    <w:qFormat/>
    <w:uiPriority w:val="0"/>
    <w:pPr>
      <w:widowControl/>
      <w:topLinePunct w:val="0"/>
      <w:adjustRightInd/>
      <w:snapToGrid/>
      <w:spacing w:line="240" w:lineRule="auto"/>
      <w:ind w:firstLine="0" w:firstLineChars="0"/>
      <w:jc w:val="center"/>
    </w:pPr>
    <w:rPr>
      <w:rFonts w:ascii="宋体" w:hAnsi="宋体"/>
      <w:color w:val="000000"/>
      <w:sz w:val="21"/>
      <w:szCs w:val="20"/>
    </w:rPr>
  </w:style>
  <w:style w:type="paragraph" w:customStyle="1" w:styleId="392">
    <w:name w:val="Char1 Char Char Char"/>
    <w:basedOn w:val="1"/>
    <w:qFormat/>
    <w:uiPriority w:val="0"/>
    <w:pPr>
      <w:topLinePunct w:val="0"/>
      <w:spacing w:line="400" w:lineRule="exact"/>
      <w:ind w:firstLine="0" w:firstLineChars="0"/>
    </w:pPr>
    <w:rPr>
      <w:kern w:val="2"/>
      <w:sz w:val="21"/>
      <w:szCs w:val="20"/>
    </w:rPr>
  </w:style>
  <w:style w:type="paragraph" w:customStyle="1" w:styleId="393">
    <w:name w:val="Char Char Char Char Char Char Char Char Char Char Char Char Char Char Char1 Char Char Char Char Char Char Char Char Char Char Char Char Char"/>
    <w:basedOn w:val="1"/>
    <w:qFormat/>
    <w:uiPriority w:val="0"/>
    <w:pPr>
      <w:topLinePunct w:val="0"/>
      <w:autoSpaceDE w:val="0"/>
      <w:autoSpaceDN w:val="0"/>
      <w:spacing w:before="50" w:after="50"/>
      <w:ind w:firstLine="560"/>
    </w:pPr>
    <w:rPr>
      <w:color w:val="000000"/>
      <w:kern w:val="2"/>
    </w:rPr>
  </w:style>
  <w:style w:type="paragraph" w:customStyle="1" w:styleId="394">
    <w:name w:val="4"/>
    <w:basedOn w:val="1"/>
    <w:qFormat/>
    <w:uiPriority w:val="0"/>
    <w:pPr>
      <w:topLinePunct w:val="0"/>
      <w:adjustRightInd/>
      <w:snapToGrid/>
      <w:spacing w:line="240" w:lineRule="auto"/>
      <w:ind w:firstLine="0" w:firstLineChars="0"/>
    </w:pPr>
    <w:rPr>
      <w:kern w:val="2"/>
      <w:sz w:val="21"/>
      <w:szCs w:val="20"/>
    </w:rPr>
  </w:style>
  <w:style w:type="paragraph" w:customStyle="1" w:styleId="395">
    <w:name w:val="样式 行距: 固定值 20 磅"/>
    <w:basedOn w:val="1"/>
    <w:qFormat/>
    <w:uiPriority w:val="0"/>
    <w:pPr>
      <w:topLinePunct w:val="0"/>
      <w:adjustRightInd/>
      <w:snapToGrid/>
      <w:spacing w:line="240" w:lineRule="auto"/>
    </w:pPr>
    <w:rPr>
      <w:rFonts w:eastAsia="楷体_GB2312"/>
      <w:kern w:val="2"/>
    </w:rPr>
  </w:style>
  <w:style w:type="paragraph" w:customStyle="1" w:styleId="396">
    <w:name w:val="样式6"/>
    <w:basedOn w:val="1"/>
    <w:qFormat/>
    <w:uiPriority w:val="0"/>
    <w:pPr>
      <w:topLinePunct w:val="0"/>
      <w:adjustRightInd/>
      <w:snapToGrid/>
      <w:spacing w:line="520" w:lineRule="exact"/>
    </w:pPr>
    <w:rPr>
      <w:rFonts w:ascii="宋体"/>
      <w:b/>
      <w:spacing w:val="10"/>
      <w:kern w:val="2"/>
      <w:sz w:val="28"/>
      <w:szCs w:val="20"/>
    </w:rPr>
  </w:style>
  <w:style w:type="paragraph" w:customStyle="1" w:styleId="397">
    <w:name w:val="样式 首行缩进:  2 字符 行距: 1.5 倍行距"/>
    <w:basedOn w:val="1"/>
    <w:qFormat/>
    <w:uiPriority w:val="0"/>
    <w:pPr>
      <w:topLinePunct w:val="0"/>
      <w:adjustRightInd/>
      <w:snapToGrid/>
      <w:ind w:firstLine="420"/>
    </w:pPr>
    <w:rPr>
      <w:rFonts w:cs="宋体"/>
      <w:kern w:val="2"/>
      <w:szCs w:val="20"/>
    </w:rPr>
  </w:style>
  <w:style w:type="paragraph" w:customStyle="1" w:styleId="398">
    <w:name w:val="Char4 Char Char Char"/>
    <w:basedOn w:val="1"/>
    <w:semiHidden/>
    <w:qFormat/>
    <w:uiPriority w:val="0"/>
    <w:pPr>
      <w:topLinePunct w:val="0"/>
    </w:pPr>
    <w:rPr>
      <w:rFonts w:ascii="宋体" w:hAnsi="宋体" w:cs="宋体"/>
      <w:kern w:val="2"/>
      <w:szCs w:val="26"/>
    </w:rPr>
  </w:style>
  <w:style w:type="paragraph" w:customStyle="1" w:styleId="399">
    <w:name w:val="00"/>
    <w:basedOn w:val="1"/>
    <w:qFormat/>
    <w:uiPriority w:val="0"/>
    <w:pPr>
      <w:topLinePunct w:val="0"/>
      <w:adjustRightInd/>
      <w:snapToGrid/>
      <w:jc w:val="left"/>
    </w:pPr>
    <w:rPr>
      <w:rFonts w:ascii="宋体" w:hAnsi="宋体" w:cs="宋体"/>
      <w:color w:val="000000"/>
    </w:rPr>
  </w:style>
  <w:style w:type="character" w:customStyle="1" w:styleId="400">
    <w:name w:val="正文加粗 Char"/>
    <w:link w:val="401"/>
    <w:qFormat/>
    <w:locked/>
    <w:uiPriority w:val="0"/>
    <w:rPr>
      <w:rFonts w:ascii="仿宋_GB2312" w:hAnsi="宋体" w:eastAsia="仿宋_GB2312"/>
      <w:b/>
      <w:bCs/>
      <w:sz w:val="28"/>
      <w:szCs w:val="28"/>
    </w:rPr>
  </w:style>
  <w:style w:type="paragraph" w:customStyle="1" w:styleId="401">
    <w:name w:val="正文加粗"/>
    <w:basedOn w:val="1"/>
    <w:link w:val="400"/>
    <w:qFormat/>
    <w:uiPriority w:val="0"/>
    <w:pPr>
      <w:topLinePunct w:val="0"/>
      <w:adjustRightInd/>
      <w:snapToGrid/>
      <w:spacing w:line="240" w:lineRule="auto"/>
    </w:pPr>
    <w:rPr>
      <w:rFonts w:ascii="仿宋_GB2312" w:hAnsi="宋体" w:eastAsia="仿宋_GB2312" w:cs="Calibri"/>
      <w:b/>
      <w:bCs/>
      <w:sz w:val="28"/>
      <w:szCs w:val="28"/>
    </w:rPr>
  </w:style>
  <w:style w:type="paragraph" w:customStyle="1" w:styleId="402">
    <w:name w:val="xl51"/>
    <w:basedOn w:val="1"/>
    <w:qFormat/>
    <w:uiPriority w:val="0"/>
    <w:pPr>
      <w:widowControl/>
      <w:pBdr>
        <w:left w:val="single" w:color="auto" w:sz="6" w:space="0"/>
        <w:right w:val="single" w:color="auto" w:sz="6" w:space="0"/>
      </w:pBdr>
      <w:topLinePunct w:val="0"/>
      <w:snapToGrid/>
      <w:spacing w:before="100" w:after="100" w:line="240" w:lineRule="auto"/>
      <w:ind w:firstLine="0" w:firstLineChars="0"/>
      <w:jc w:val="center"/>
    </w:pPr>
    <w:rPr>
      <w:rFonts w:ascii="宋体" w:hAnsi="宋体"/>
    </w:rPr>
  </w:style>
  <w:style w:type="paragraph" w:customStyle="1" w:styleId="403">
    <w:name w:val="正文文本 21"/>
    <w:basedOn w:val="1"/>
    <w:qFormat/>
    <w:uiPriority w:val="0"/>
    <w:pPr>
      <w:topLinePunct w:val="0"/>
      <w:snapToGrid/>
      <w:spacing w:line="240" w:lineRule="auto"/>
      <w:ind w:firstLine="480" w:firstLineChars="0"/>
    </w:pPr>
    <w:rPr>
      <w:kern w:val="2"/>
    </w:rPr>
  </w:style>
  <w:style w:type="paragraph" w:customStyle="1" w:styleId="404">
    <w:name w:val="xl27"/>
    <w:basedOn w:val="1"/>
    <w:qFormat/>
    <w:uiPriority w:val="0"/>
    <w:pPr>
      <w:widowControl/>
      <w:pBdr>
        <w:top w:val="single" w:color="auto" w:sz="4" w:space="0"/>
        <w:bottom w:val="single" w:color="auto" w:sz="4" w:space="0"/>
      </w:pBdr>
      <w:topLinePunct w:val="0"/>
      <w:adjustRightInd/>
      <w:snapToGrid/>
      <w:spacing w:before="100" w:beforeAutospacing="1" w:after="100" w:afterAutospacing="1" w:line="240" w:lineRule="auto"/>
      <w:ind w:firstLine="0" w:firstLineChars="0"/>
      <w:jc w:val="center"/>
    </w:pPr>
    <w:rPr>
      <w:rFonts w:ascii="Arial Unicode MS" w:hAnsi="Arial Unicode MS"/>
      <w:sz w:val="18"/>
      <w:szCs w:val="18"/>
    </w:rPr>
  </w:style>
  <w:style w:type="paragraph" w:customStyle="1" w:styleId="405">
    <w:name w:val="xl28"/>
    <w:basedOn w:val="1"/>
    <w:qFormat/>
    <w:uiPriority w:val="0"/>
    <w:pPr>
      <w:widowControl/>
      <w:pBdr>
        <w:top w:val="single" w:color="auto" w:sz="4" w:space="0"/>
        <w:bottom w:val="single" w:color="auto" w:sz="4" w:space="0"/>
        <w:right w:val="single" w:color="000000" w:sz="4" w:space="0"/>
      </w:pBdr>
      <w:topLinePunct w:val="0"/>
      <w:adjustRightInd/>
      <w:snapToGrid/>
      <w:spacing w:before="100" w:beforeAutospacing="1" w:after="100" w:afterAutospacing="1" w:line="240" w:lineRule="auto"/>
      <w:ind w:firstLine="0" w:firstLineChars="0"/>
      <w:jc w:val="center"/>
    </w:pPr>
    <w:rPr>
      <w:rFonts w:ascii="Arial Unicode MS" w:hAnsi="Arial Unicode MS"/>
      <w:sz w:val="18"/>
      <w:szCs w:val="18"/>
    </w:rPr>
  </w:style>
  <w:style w:type="paragraph" w:customStyle="1" w:styleId="406">
    <w:name w:val="xl29"/>
    <w:basedOn w:val="1"/>
    <w:qFormat/>
    <w:uiPriority w:val="0"/>
    <w:pPr>
      <w:widowControl/>
      <w:pBdr>
        <w:left w:val="single" w:color="auto" w:sz="4" w:space="0"/>
      </w:pBdr>
      <w:topLinePunct w:val="0"/>
      <w:adjustRightInd/>
      <w:snapToGrid/>
      <w:spacing w:before="100" w:beforeAutospacing="1" w:after="100" w:afterAutospacing="1" w:line="240" w:lineRule="auto"/>
      <w:ind w:firstLine="0" w:firstLineChars="0"/>
      <w:jc w:val="center"/>
    </w:pPr>
    <w:rPr>
      <w:rFonts w:ascii="Arial Unicode MS" w:hAnsi="Arial Unicode MS"/>
      <w:sz w:val="18"/>
      <w:szCs w:val="18"/>
    </w:rPr>
  </w:style>
  <w:style w:type="paragraph" w:customStyle="1" w:styleId="407">
    <w:name w:val="xl30"/>
    <w:basedOn w:val="1"/>
    <w:qFormat/>
    <w:uiPriority w:val="0"/>
    <w:pPr>
      <w:widowControl/>
      <w:topLinePunct w:val="0"/>
      <w:adjustRightInd/>
      <w:snapToGrid/>
      <w:spacing w:before="100" w:beforeAutospacing="1" w:after="100" w:afterAutospacing="1" w:line="240" w:lineRule="auto"/>
      <w:ind w:firstLine="0" w:firstLineChars="0"/>
      <w:jc w:val="center"/>
    </w:pPr>
    <w:rPr>
      <w:rFonts w:ascii="Arial Unicode MS" w:hAnsi="Arial Unicode MS"/>
      <w:sz w:val="18"/>
      <w:szCs w:val="18"/>
    </w:rPr>
  </w:style>
  <w:style w:type="paragraph" w:customStyle="1" w:styleId="408">
    <w:name w:val="xl31"/>
    <w:basedOn w:val="1"/>
    <w:qFormat/>
    <w:uiPriority w:val="0"/>
    <w:pPr>
      <w:widowControl/>
      <w:pBdr>
        <w:top w:val="single" w:color="auto" w:sz="4" w:space="0"/>
        <w:left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rFonts w:ascii="Arial Unicode MS" w:hAnsi="Arial Unicode MS"/>
      <w:sz w:val="18"/>
      <w:szCs w:val="18"/>
    </w:rPr>
  </w:style>
  <w:style w:type="paragraph" w:customStyle="1" w:styleId="409">
    <w:name w:val="xl32"/>
    <w:basedOn w:val="1"/>
    <w:qFormat/>
    <w:uiPriority w:val="0"/>
    <w:pPr>
      <w:widowControl/>
      <w:pBdr>
        <w:top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rFonts w:ascii="Arial Unicode MS" w:hAnsi="Arial Unicode MS"/>
      <w:sz w:val="18"/>
      <w:szCs w:val="18"/>
    </w:rPr>
  </w:style>
  <w:style w:type="paragraph" w:customStyle="1" w:styleId="410">
    <w:name w:val="xl34"/>
    <w:basedOn w:val="1"/>
    <w:qFormat/>
    <w:uiPriority w:val="0"/>
    <w:pPr>
      <w:widowControl/>
      <w:pBdr>
        <w:left w:val="single" w:color="auto" w:sz="4" w:space="0"/>
        <w:bottom w:val="single" w:color="000000" w:sz="4" w:space="0"/>
      </w:pBdr>
      <w:topLinePunct w:val="0"/>
      <w:adjustRightInd/>
      <w:snapToGrid/>
      <w:spacing w:before="100" w:beforeAutospacing="1" w:after="100" w:afterAutospacing="1" w:line="240" w:lineRule="auto"/>
      <w:ind w:firstLine="0" w:firstLineChars="0"/>
      <w:jc w:val="center"/>
    </w:pPr>
    <w:rPr>
      <w:rFonts w:ascii="Arial Unicode MS" w:hAnsi="Arial Unicode MS"/>
      <w:sz w:val="18"/>
      <w:szCs w:val="18"/>
    </w:rPr>
  </w:style>
  <w:style w:type="paragraph" w:customStyle="1" w:styleId="411">
    <w:name w:val="xl35"/>
    <w:basedOn w:val="1"/>
    <w:qFormat/>
    <w:uiPriority w:val="0"/>
    <w:pPr>
      <w:widowControl/>
      <w:pBdr>
        <w:bottom w:val="single" w:color="000000" w:sz="4" w:space="0"/>
      </w:pBdr>
      <w:topLinePunct w:val="0"/>
      <w:adjustRightInd/>
      <w:snapToGrid/>
      <w:spacing w:before="100" w:beforeAutospacing="1" w:after="100" w:afterAutospacing="1" w:line="240" w:lineRule="auto"/>
      <w:ind w:firstLine="0" w:firstLineChars="0"/>
      <w:jc w:val="center"/>
    </w:pPr>
    <w:rPr>
      <w:rFonts w:ascii="Arial Unicode MS" w:hAnsi="Arial Unicode MS"/>
      <w:sz w:val="18"/>
      <w:szCs w:val="18"/>
    </w:rPr>
  </w:style>
  <w:style w:type="paragraph" w:customStyle="1" w:styleId="412">
    <w:name w:val="xl36"/>
    <w:basedOn w:val="1"/>
    <w:qFormat/>
    <w:uiPriority w:val="0"/>
    <w:pPr>
      <w:widowControl/>
      <w:pBdr>
        <w:left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rFonts w:ascii="Arial Unicode MS" w:hAnsi="Arial Unicode MS"/>
      <w:sz w:val="18"/>
      <w:szCs w:val="18"/>
    </w:rPr>
  </w:style>
  <w:style w:type="paragraph" w:customStyle="1" w:styleId="413">
    <w:name w:val="xl37"/>
    <w:basedOn w:val="1"/>
    <w:qFormat/>
    <w:uiPriority w:val="0"/>
    <w:pPr>
      <w:widowControl/>
      <w:pBdr>
        <w:left w:val="single" w:color="auto" w:sz="4" w:space="0"/>
        <w:bottom w:val="single" w:color="auto" w:sz="4" w:space="0"/>
      </w:pBdr>
      <w:topLinePunct w:val="0"/>
      <w:adjustRightInd/>
      <w:snapToGrid/>
      <w:spacing w:before="100" w:beforeAutospacing="1" w:after="100" w:afterAutospacing="1" w:line="240" w:lineRule="auto"/>
      <w:ind w:firstLine="0" w:firstLineChars="0"/>
      <w:jc w:val="center"/>
    </w:pPr>
    <w:rPr>
      <w:rFonts w:ascii="Arial Unicode MS" w:hAnsi="Arial Unicode MS"/>
      <w:sz w:val="18"/>
      <w:szCs w:val="18"/>
    </w:rPr>
  </w:style>
  <w:style w:type="paragraph" w:customStyle="1" w:styleId="414">
    <w:name w:val="xl39"/>
    <w:basedOn w:val="1"/>
    <w:qFormat/>
    <w:uiPriority w:val="0"/>
    <w:pPr>
      <w:widowControl/>
      <w:pBdr>
        <w:bottom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rFonts w:ascii="Arial Unicode MS" w:hAnsi="Arial Unicode MS"/>
      <w:sz w:val="18"/>
      <w:szCs w:val="18"/>
    </w:rPr>
  </w:style>
  <w:style w:type="paragraph" w:customStyle="1" w:styleId="415">
    <w:name w:val="xl40"/>
    <w:basedOn w:val="1"/>
    <w:qFormat/>
    <w:uiPriority w:val="0"/>
    <w:pPr>
      <w:widowControl/>
      <w:pBdr>
        <w:left w:val="single" w:color="auto" w:sz="4" w:space="0"/>
        <w:bottom w:val="single" w:color="auto" w:sz="4" w:space="0"/>
      </w:pBdr>
      <w:topLinePunct w:val="0"/>
      <w:adjustRightInd/>
      <w:snapToGrid/>
      <w:spacing w:before="100" w:beforeAutospacing="1" w:after="100" w:afterAutospacing="1" w:line="240" w:lineRule="auto"/>
      <w:ind w:firstLine="0" w:firstLineChars="0"/>
      <w:jc w:val="center"/>
    </w:pPr>
    <w:rPr>
      <w:sz w:val="18"/>
      <w:szCs w:val="18"/>
    </w:rPr>
  </w:style>
  <w:style w:type="paragraph" w:customStyle="1" w:styleId="416">
    <w:name w:val="xl41"/>
    <w:basedOn w:val="1"/>
    <w:qFormat/>
    <w:uiPriority w:val="0"/>
    <w:pPr>
      <w:widowControl/>
      <w:pBdr>
        <w:bottom w:val="single" w:color="auto" w:sz="4" w:space="0"/>
      </w:pBdr>
      <w:topLinePunct w:val="0"/>
      <w:adjustRightInd/>
      <w:snapToGrid/>
      <w:spacing w:before="100" w:beforeAutospacing="1" w:after="100" w:afterAutospacing="1" w:line="240" w:lineRule="auto"/>
      <w:ind w:firstLine="0" w:firstLineChars="0"/>
      <w:jc w:val="center"/>
    </w:pPr>
    <w:rPr>
      <w:sz w:val="18"/>
      <w:szCs w:val="18"/>
    </w:rPr>
  </w:style>
  <w:style w:type="paragraph" w:customStyle="1" w:styleId="417">
    <w:name w:val="xl42"/>
    <w:basedOn w:val="1"/>
    <w:qFormat/>
    <w:uiPriority w:val="0"/>
    <w:pPr>
      <w:widowControl/>
      <w:pBdr>
        <w:bottom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sz w:val="18"/>
      <w:szCs w:val="18"/>
    </w:rPr>
  </w:style>
  <w:style w:type="paragraph" w:customStyle="1" w:styleId="418">
    <w:name w:val="xl43"/>
    <w:basedOn w:val="1"/>
    <w:qFormat/>
    <w:uiPriority w:val="0"/>
    <w:pPr>
      <w:widowControl/>
      <w:pBdr>
        <w:left w:val="single" w:color="auto" w:sz="4" w:space="0"/>
        <w:bottom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rFonts w:ascii="Arial Unicode MS" w:hAnsi="Arial Unicode MS"/>
      <w:sz w:val="18"/>
      <w:szCs w:val="18"/>
    </w:rPr>
  </w:style>
  <w:style w:type="paragraph" w:customStyle="1" w:styleId="419">
    <w:name w:val="xl44"/>
    <w:basedOn w:val="1"/>
    <w:qFormat/>
    <w:uiPriority w:val="0"/>
    <w:pPr>
      <w:widowControl/>
      <w:pBdr>
        <w:bottom w:val="single" w:color="auto" w:sz="4" w:space="0"/>
      </w:pBdr>
      <w:topLinePunct w:val="0"/>
      <w:adjustRightInd/>
      <w:snapToGrid/>
      <w:spacing w:before="100" w:beforeAutospacing="1" w:after="100" w:afterAutospacing="1" w:line="240" w:lineRule="auto"/>
      <w:ind w:firstLine="0" w:firstLineChars="0"/>
      <w:jc w:val="center"/>
    </w:pPr>
    <w:rPr>
      <w:rFonts w:ascii="Arial Unicode MS" w:hAnsi="Arial Unicode MS"/>
      <w:sz w:val="18"/>
      <w:szCs w:val="18"/>
    </w:rPr>
  </w:style>
  <w:style w:type="paragraph" w:customStyle="1" w:styleId="420">
    <w:name w:val="xl45"/>
    <w:basedOn w:val="1"/>
    <w:qFormat/>
    <w:uiPriority w:val="0"/>
    <w:pPr>
      <w:widowControl/>
      <w:pBdr>
        <w:left w:val="single" w:color="auto" w:sz="4" w:space="0"/>
        <w:bottom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rFonts w:ascii="Arial Unicode MS" w:hAnsi="Arial Unicode MS"/>
      <w:sz w:val="18"/>
      <w:szCs w:val="18"/>
    </w:rPr>
  </w:style>
  <w:style w:type="paragraph" w:customStyle="1" w:styleId="421">
    <w:name w:val="xl46"/>
    <w:basedOn w:val="1"/>
    <w:qFormat/>
    <w:uiPriority w:val="0"/>
    <w:pPr>
      <w:widowControl/>
      <w:pBdr>
        <w:bottom w:val="single" w:color="auto" w:sz="4" w:space="0"/>
        <w:right w:val="single" w:color="auto" w:sz="4" w:space="0"/>
      </w:pBdr>
      <w:topLinePunct w:val="0"/>
      <w:adjustRightInd/>
      <w:snapToGrid/>
      <w:spacing w:before="100" w:beforeAutospacing="1" w:after="100" w:afterAutospacing="1" w:line="240" w:lineRule="auto"/>
      <w:ind w:firstLine="0" w:firstLineChars="0"/>
      <w:jc w:val="left"/>
    </w:pPr>
    <w:rPr>
      <w:rFonts w:ascii="Arial Unicode MS" w:hAnsi="Arial Unicode MS"/>
      <w:sz w:val="18"/>
      <w:szCs w:val="18"/>
    </w:rPr>
  </w:style>
  <w:style w:type="paragraph" w:customStyle="1" w:styleId="422">
    <w:name w:val="xl47"/>
    <w:basedOn w:val="1"/>
    <w:qFormat/>
    <w:uiPriority w:val="0"/>
    <w:pPr>
      <w:widowControl/>
      <w:pBdr>
        <w:left w:val="single" w:color="auto" w:sz="4" w:space="0"/>
        <w:right w:val="single" w:color="auto" w:sz="4" w:space="0"/>
      </w:pBdr>
      <w:topLinePunct w:val="0"/>
      <w:adjustRightInd/>
      <w:snapToGrid/>
      <w:spacing w:before="100" w:beforeAutospacing="1" w:after="100" w:afterAutospacing="1" w:line="240" w:lineRule="auto"/>
      <w:ind w:firstLine="0" w:firstLineChars="0"/>
      <w:jc w:val="left"/>
    </w:pPr>
    <w:rPr>
      <w:rFonts w:ascii="Arial Unicode MS" w:hAnsi="Arial Unicode MS"/>
      <w:sz w:val="18"/>
      <w:szCs w:val="18"/>
    </w:rPr>
  </w:style>
  <w:style w:type="paragraph" w:customStyle="1" w:styleId="423">
    <w:name w:val="xl49"/>
    <w:basedOn w:val="1"/>
    <w:qFormat/>
    <w:uiPriority w:val="0"/>
    <w:pPr>
      <w:widowControl/>
      <w:pBdr>
        <w:top w:val="single" w:color="auto" w:sz="4" w:space="0"/>
        <w:left w:val="single" w:color="auto" w:sz="4" w:space="0"/>
        <w:bottom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rFonts w:ascii="Arial Unicode MS" w:hAnsi="Arial Unicode MS"/>
      <w:sz w:val="18"/>
      <w:szCs w:val="18"/>
    </w:rPr>
  </w:style>
  <w:style w:type="paragraph" w:customStyle="1" w:styleId="424">
    <w:name w:val="xl50"/>
    <w:basedOn w:val="1"/>
    <w:qFormat/>
    <w:uiPriority w:val="0"/>
    <w:pPr>
      <w:widowControl/>
      <w:pBdr>
        <w:top w:val="single" w:color="auto" w:sz="4" w:space="0"/>
        <w:left w:val="single" w:color="auto" w:sz="4" w:space="0"/>
        <w:bottom w:val="single" w:color="auto" w:sz="4" w:space="0"/>
        <w:right w:val="single" w:color="auto" w:sz="4" w:space="0"/>
      </w:pBdr>
      <w:topLinePunct w:val="0"/>
      <w:adjustRightInd/>
      <w:snapToGrid/>
      <w:spacing w:before="100" w:beforeAutospacing="1" w:after="100" w:afterAutospacing="1" w:line="240" w:lineRule="auto"/>
      <w:ind w:firstLine="0" w:firstLineChars="0"/>
      <w:jc w:val="left"/>
    </w:pPr>
    <w:rPr>
      <w:rFonts w:ascii="Arial Unicode MS" w:hAnsi="Arial Unicode MS"/>
      <w:sz w:val="18"/>
      <w:szCs w:val="18"/>
    </w:rPr>
  </w:style>
  <w:style w:type="paragraph" w:customStyle="1" w:styleId="425">
    <w:name w:val="xl52"/>
    <w:basedOn w:val="1"/>
    <w:qFormat/>
    <w:uiPriority w:val="0"/>
    <w:pPr>
      <w:widowControl/>
      <w:pBdr>
        <w:top w:val="single" w:color="auto" w:sz="4" w:space="0"/>
        <w:left w:val="single" w:color="auto" w:sz="4" w:space="0"/>
        <w:bottom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rFonts w:ascii="Arial Unicode MS" w:hAnsi="Arial Unicode MS"/>
      <w:sz w:val="18"/>
      <w:szCs w:val="18"/>
    </w:rPr>
  </w:style>
  <w:style w:type="paragraph" w:customStyle="1" w:styleId="426">
    <w:name w:val="xl53"/>
    <w:basedOn w:val="1"/>
    <w:qFormat/>
    <w:uiPriority w:val="0"/>
    <w:pPr>
      <w:widowControl/>
      <w:pBdr>
        <w:top w:val="single" w:color="000000" w:sz="4" w:space="0"/>
        <w:left w:val="single" w:color="auto" w:sz="4" w:space="0"/>
        <w:right w:val="single" w:color="auto" w:sz="4" w:space="0"/>
      </w:pBdr>
      <w:topLinePunct w:val="0"/>
      <w:adjustRightInd/>
      <w:snapToGrid/>
      <w:spacing w:before="100" w:beforeAutospacing="1" w:after="100" w:afterAutospacing="1" w:line="240" w:lineRule="auto"/>
      <w:ind w:firstLine="0" w:firstLineChars="0"/>
      <w:jc w:val="left"/>
    </w:pPr>
    <w:rPr>
      <w:rFonts w:ascii="Arial Unicode MS" w:hAnsi="Arial Unicode MS"/>
      <w:sz w:val="18"/>
      <w:szCs w:val="18"/>
    </w:rPr>
  </w:style>
  <w:style w:type="paragraph" w:customStyle="1" w:styleId="427">
    <w:name w:val="xl54"/>
    <w:basedOn w:val="1"/>
    <w:qFormat/>
    <w:uiPriority w:val="0"/>
    <w:pPr>
      <w:widowControl/>
      <w:pBdr>
        <w:left w:val="single" w:color="auto" w:sz="4" w:space="0"/>
        <w:bottom w:val="single" w:color="auto" w:sz="4" w:space="0"/>
        <w:right w:val="single" w:color="auto" w:sz="4" w:space="0"/>
      </w:pBdr>
      <w:topLinePunct w:val="0"/>
      <w:adjustRightInd/>
      <w:snapToGrid/>
      <w:spacing w:before="100" w:beforeAutospacing="1" w:after="100" w:afterAutospacing="1" w:line="240" w:lineRule="auto"/>
      <w:ind w:firstLine="0" w:firstLineChars="0"/>
      <w:jc w:val="left"/>
    </w:pPr>
    <w:rPr>
      <w:rFonts w:ascii="Arial Unicode MS" w:hAnsi="Arial Unicode MS"/>
      <w:sz w:val="18"/>
      <w:szCs w:val="18"/>
    </w:rPr>
  </w:style>
  <w:style w:type="paragraph" w:customStyle="1" w:styleId="428">
    <w:name w:val="font0"/>
    <w:basedOn w:val="1"/>
    <w:qFormat/>
    <w:uiPriority w:val="0"/>
    <w:pPr>
      <w:widowControl/>
      <w:topLinePunct w:val="0"/>
      <w:adjustRightInd/>
      <w:snapToGrid/>
      <w:spacing w:before="100" w:beforeAutospacing="1" w:after="100" w:afterAutospacing="1" w:line="240" w:lineRule="auto"/>
      <w:ind w:firstLine="0" w:firstLineChars="0"/>
      <w:jc w:val="left"/>
    </w:pPr>
    <w:rPr>
      <w:rFonts w:ascii="宋体" w:hAnsi="宋体"/>
    </w:rPr>
  </w:style>
  <w:style w:type="paragraph" w:customStyle="1" w:styleId="429">
    <w:name w:val="font12"/>
    <w:basedOn w:val="1"/>
    <w:qFormat/>
    <w:uiPriority w:val="0"/>
    <w:pPr>
      <w:widowControl/>
      <w:topLinePunct w:val="0"/>
      <w:adjustRightInd/>
      <w:snapToGrid/>
      <w:spacing w:before="100" w:beforeAutospacing="1" w:after="100" w:afterAutospacing="1" w:line="240" w:lineRule="auto"/>
      <w:ind w:firstLine="0" w:firstLineChars="0"/>
      <w:jc w:val="left"/>
    </w:pPr>
    <w:rPr>
      <w:sz w:val="32"/>
      <w:szCs w:val="32"/>
    </w:rPr>
  </w:style>
  <w:style w:type="character" w:customStyle="1" w:styleId="430">
    <w:name w:val="样式 仿宋_GB2312 四号 Char"/>
    <w:link w:val="431"/>
    <w:qFormat/>
    <w:locked/>
    <w:uiPriority w:val="0"/>
    <w:rPr>
      <w:rFonts w:ascii="仿宋_GB2312" w:hAnsi="宋体" w:eastAsia="仿宋_GB2312" w:cs="宋体"/>
      <w:color w:val="0000FF"/>
      <w:sz w:val="28"/>
    </w:rPr>
  </w:style>
  <w:style w:type="paragraph" w:customStyle="1" w:styleId="431">
    <w:name w:val="样式 仿宋_GB2312 四号"/>
    <w:basedOn w:val="1"/>
    <w:link w:val="430"/>
    <w:qFormat/>
    <w:uiPriority w:val="0"/>
    <w:pPr>
      <w:topLinePunct w:val="0"/>
      <w:adjustRightInd/>
      <w:snapToGrid/>
      <w:spacing w:line="240" w:lineRule="auto"/>
      <w:ind w:firstLine="560"/>
    </w:pPr>
    <w:rPr>
      <w:rFonts w:ascii="仿宋_GB2312" w:hAnsi="宋体" w:eastAsia="仿宋_GB2312" w:cs="宋体"/>
      <w:color w:val="0000FF"/>
      <w:sz w:val="28"/>
      <w:szCs w:val="20"/>
    </w:rPr>
  </w:style>
  <w:style w:type="paragraph" w:customStyle="1" w:styleId="432">
    <w:name w:val="样式 仿宋_GB2312 四号 首行缩进:  0.98 厘米"/>
    <w:basedOn w:val="1"/>
    <w:qFormat/>
    <w:uiPriority w:val="0"/>
    <w:pPr>
      <w:topLinePunct w:val="0"/>
      <w:adjustRightInd/>
      <w:snapToGrid/>
      <w:spacing w:line="240" w:lineRule="auto"/>
      <w:ind w:firstLine="560"/>
    </w:pPr>
    <w:rPr>
      <w:rFonts w:ascii="仿宋_GB2312" w:hAnsi="宋体" w:eastAsia="仿宋_GB2312" w:cs="宋体"/>
      <w:kern w:val="2"/>
      <w:sz w:val="28"/>
      <w:szCs w:val="20"/>
    </w:rPr>
  </w:style>
  <w:style w:type="character" w:customStyle="1" w:styleId="433">
    <w:name w:val="样式 正文文本缩进 3 + 仿宋_GB2312 Char"/>
    <w:link w:val="434"/>
    <w:semiHidden/>
    <w:qFormat/>
    <w:locked/>
    <w:uiPriority w:val="0"/>
    <w:rPr>
      <w:sz w:val="16"/>
      <w:szCs w:val="16"/>
    </w:rPr>
  </w:style>
  <w:style w:type="paragraph" w:customStyle="1" w:styleId="434">
    <w:name w:val="样式 正文文本缩进 3 + 仿宋_GB2312"/>
    <w:basedOn w:val="74"/>
    <w:link w:val="433"/>
    <w:semiHidden/>
    <w:qFormat/>
    <w:uiPriority w:val="0"/>
    <w:pPr>
      <w:topLinePunct w:val="0"/>
      <w:adjustRightInd/>
      <w:snapToGrid/>
      <w:spacing w:line="240" w:lineRule="auto"/>
      <w:ind w:firstLine="0" w:firstLineChars="0"/>
    </w:pPr>
    <w:rPr>
      <w:rFonts w:ascii="Calibri" w:hAnsi="Calibri" w:cs="Calibri"/>
    </w:rPr>
  </w:style>
  <w:style w:type="paragraph" w:customStyle="1" w:styleId="435">
    <w:name w:val="样式 仿宋_GB2312 四号 首行缩进:  1.04 厘米"/>
    <w:basedOn w:val="1"/>
    <w:qFormat/>
    <w:uiPriority w:val="0"/>
    <w:pPr>
      <w:topLinePunct w:val="0"/>
      <w:adjustRightInd/>
      <w:snapToGrid/>
      <w:spacing w:line="240" w:lineRule="auto"/>
      <w:ind w:firstLine="584"/>
    </w:pPr>
    <w:rPr>
      <w:rFonts w:ascii="仿宋_GB2312" w:hAnsi="宋体" w:eastAsia="仿宋_GB2312" w:cs="宋体"/>
      <w:spacing w:val="6"/>
      <w:kern w:val="2"/>
      <w:sz w:val="28"/>
      <w:szCs w:val="20"/>
    </w:rPr>
  </w:style>
  <w:style w:type="paragraph" w:customStyle="1" w:styleId="436">
    <w:name w:val="二"/>
    <w:basedOn w:val="49"/>
    <w:qFormat/>
    <w:uiPriority w:val="0"/>
    <w:pPr>
      <w:topLinePunct w:val="0"/>
      <w:adjustRightInd/>
      <w:snapToGrid/>
      <w:spacing w:beforeLines="50" w:afterLines="50" w:line="440" w:lineRule="exact"/>
      <w:jc w:val="center"/>
    </w:pPr>
    <w:rPr>
      <w:rFonts w:cs="Courier New"/>
      <w:b/>
      <w:bCs/>
      <w:sz w:val="30"/>
    </w:rPr>
  </w:style>
  <w:style w:type="character" w:customStyle="1" w:styleId="437">
    <w:name w:val="ddzw1 Char"/>
    <w:link w:val="438"/>
    <w:semiHidden/>
    <w:qFormat/>
    <w:locked/>
    <w:uiPriority w:val="0"/>
    <w:rPr>
      <w:sz w:val="24"/>
      <w:szCs w:val="24"/>
    </w:rPr>
  </w:style>
  <w:style w:type="paragraph" w:customStyle="1" w:styleId="438">
    <w:name w:val="ddzw1"/>
    <w:basedOn w:val="1"/>
    <w:link w:val="437"/>
    <w:semiHidden/>
    <w:qFormat/>
    <w:uiPriority w:val="0"/>
    <w:pPr>
      <w:topLinePunct w:val="0"/>
      <w:adjustRightInd/>
      <w:snapToGrid/>
      <w:jc w:val="left"/>
    </w:pPr>
    <w:rPr>
      <w:rFonts w:ascii="Calibri" w:hAnsi="Calibri" w:cs="Calibri"/>
    </w:rPr>
  </w:style>
  <w:style w:type="paragraph" w:customStyle="1" w:styleId="439">
    <w:name w:val="xl55"/>
    <w:basedOn w:val="1"/>
    <w:qFormat/>
    <w:uiPriority w:val="0"/>
    <w:pPr>
      <w:widowControl/>
      <w:pBdr>
        <w:bottom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rFonts w:ascii="Arial Unicode MS" w:hAnsi="Arial Unicode MS" w:eastAsia="Arial Unicode MS" w:cs="Arial Unicode MS"/>
      <w:sz w:val="16"/>
      <w:szCs w:val="16"/>
    </w:rPr>
  </w:style>
  <w:style w:type="paragraph" w:customStyle="1" w:styleId="440">
    <w:name w:val="xl56"/>
    <w:basedOn w:val="1"/>
    <w:qFormat/>
    <w:uiPriority w:val="0"/>
    <w:pPr>
      <w:widowControl/>
      <w:pBdr>
        <w:bottom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rFonts w:ascii="Arial Unicode MS" w:hAnsi="Arial Unicode MS" w:eastAsia="Arial Unicode MS" w:cs="Arial Unicode MS"/>
      <w:sz w:val="16"/>
      <w:szCs w:val="16"/>
    </w:rPr>
  </w:style>
  <w:style w:type="paragraph" w:customStyle="1" w:styleId="441">
    <w:name w:val="xl57"/>
    <w:basedOn w:val="1"/>
    <w:qFormat/>
    <w:uiPriority w:val="0"/>
    <w:pPr>
      <w:widowControl/>
      <w:pBdr>
        <w:bottom w:val="single" w:color="auto" w:sz="4" w:space="0"/>
        <w:right w:val="single" w:color="auto" w:sz="4" w:space="0"/>
      </w:pBdr>
      <w:topLinePunct w:val="0"/>
      <w:adjustRightInd/>
      <w:snapToGrid/>
      <w:spacing w:before="100" w:beforeAutospacing="1" w:after="100" w:afterAutospacing="1" w:line="240" w:lineRule="auto"/>
      <w:ind w:firstLine="0" w:firstLineChars="0"/>
      <w:jc w:val="center"/>
    </w:pPr>
    <w:rPr>
      <w:rFonts w:ascii="Arial Unicode MS" w:hAnsi="Arial Unicode MS" w:eastAsia="Arial Unicode MS" w:cs="Arial Unicode MS"/>
      <w:sz w:val="16"/>
      <w:szCs w:val="16"/>
    </w:rPr>
  </w:style>
  <w:style w:type="paragraph" w:customStyle="1" w:styleId="442">
    <w:name w:val="font13"/>
    <w:basedOn w:val="1"/>
    <w:qFormat/>
    <w:uiPriority w:val="0"/>
    <w:pPr>
      <w:widowControl/>
      <w:topLinePunct w:val="0"/>
      <w:adjustRightInd/>
      <w:snapToGrid/>
      <w:spacing w:before="100" w:beforeAutospacing="1" w:after="100" w:afterAutospacing="1" w:line="240" w:lineRule="auto"/>
      <w:ind w:firstLine="0" w:firstLineChars="0"/>
      <w:jc w:val="left"/>
    </w:pPr>
    <w:rPr>
      <w:rFonts w:eastAsia="Arial Unicode MS"/>
      <w:sz w:val="16"/>
      <w:szCs w:val="16"/>
    </w:rPr>
  </w:style>
  <w:style w:type="paragraph" w:customStyle="1" w:styleId="443">
    <w:name w:val="表号"/>
    <w:qFormat/>
    <w:uiPriority w:val="0"/>
    <w:pPr>
      <w:adjustRightInd w:val="0"/>
      <w:snapToGrid w:val="0"/>
      <w:spacing w:line="240" w:lineRule="atLeast"/>
      <w:jc w:val="both"/>
      <w:outlineLvl w:val="4"/>
    </w:pPr>
    <w:rPr>
      <w:rFonts w:ascii="Times New Roman" w:hAnsi="Times New Roman" w:eastAsia="宋体" w:cs="Times New Roman"/>
      <w:sz w:val="21"/>
      <w:szCs w:val="24"/>
      <w:lang w:val="en-US" w:eastAsia="zh-CN" w:bidi="ar-SA"/>
    </w:rPr>
  </w:style>
  <w:style w:type="paragraph" w:customStyle="1" w:styleId="444">
    <w:name w:val="不加粗1.5倍"/>
    <w:basedOn w:val="329"/>
    <w:qFormat/>
    <w:uiPriority w:val="0"/>
    <w:pPr>
      <w:spacing w:line="360" w:lineRule="auto"/>
    </w:pPr>
    <w:rPr>
      <w:rFonts w:cs="Times New Roman"/>
    </w:rPr>
  </w:style>
  <w:style w:type="paragraph" w:customStyle="1" w:styleId="445">
    <w:name w:val="正文1.5倍"/>
    <w:basedOn w:val="329"/>
    <w:qFormat/>
    <w:uiPriority w:val="0"/>
    <w:pPr>
      <w:spacing w:beforeLines="50" w:line="360" w:lineRule="auto"/>
    </w:pPr>
    <w:rPr>
      <w:rFonts w:cs="Times New Roman"/>
    </w:rPr>
  </w:style>
  <w:style w:type="paragraph" w:customStyle="1" w:styleId="446">
    <w:name w:val="表格1"/>
    <w:link w:val="732"/>
    <w:qFormat/>
    <w:uiPriority w:val="0"/>
    <w:pPr>
      <w:widowControl w:val="0"/>
      <w:adjustRightInd w:val="0"/>
      <w:spacing w:before="120" w:line="200" w:lineRule="atLeast"/>
    </w:pPr>
    <w:rPr>
      <w:rFonts w:ascii="宋体" w:hAnsi="Times New Roman" w:eastAsia="宋体" w:cs="Times New Roman"/>
      <w:color w:val="FF00FF"/>
      <w:kern w:val="21"/>
      <w:sz w:val="21"/>
      <w:lang w:val="en-US" w:eastAsia="zh-CN" w:bidi="ar-SA"/>
    </w:rPr>
  </w:style>
  <w:style w:type="paragraph" w:customStyle="1" w:styleId="447">
    <w:name w:val="Char Char Char2 Char Char Char Char"/>
    <w:basedOn w:val="1"/>
    <w:qFormat/>
    <w:uiPriority w:val="0"/>
    <w:pPr>
      <w:tabs>
        <w:tab w:val="left" w:pos="360"/>
      </w:tabs>
      <w:topLinePunct w:val="0"/>
      <w:adjustRightInd/>
      <w:snapToGrid/>
      <w:ind w:firstLine="420" w:firstLineChars="0"/>
    </w:pPr>
    <w:rPr>
      <w:rFonts w:ascii="仿宋_GB2312" w:hAnsi="仿宋_GB2312" w:eastAsia="仿宋_GB2312"/>
      <w:kern w:val="2"/>
      <w:sz w:val="28"/>
      <w:szCs w:val="20"/>
    </w:rPr>
  </w:style>
  <w:style w:type="paragraph" w:customStyle="1" w:styleId="448">
    <w:name w:val="样式 样式 样式 首行缩进:  2 字符 + 首行缩进:  2 字符 + 首行缩进:  1.49 字符"/>
    <w:basedOn w:val="1"/>
    <w:qFormat/>
    <w:uiPriority w:val="0"/>
    <w:pPr>
      <w:topLinePunct w:val="0"/>
      <w:adjustRightInd/>
      <w:snapToGrid/>
      <w:spacing w:line="440" w:lineRule="exact"/>
      <w:ind w:firstLine="480"/>
      <w:jc w:val="left"/>
    </w:pPr>
    <w:rPr>
      <w:rFonts w:ascii="宋体" w:hAnsi="宋体"/>
      <w:kern w:val="2"/>
      <w:szCs w:val="17"/>
    </w:rPr>
  </w:style>
  <w:style w:type="paragraph" w:customStyle="1" w:styleId="449">
    <w:name w:val="样式 样式 首行缩进:  2 字符 + 首行缩进:  2 字符"/>
    <w:basedOn w:val="1"/>
    <w:qFormat/>
    <w:uiPriority w:val="0"/>
    <w:pPr>
      <w:topLinePunct w:val="0"/>
      <w:adjustRightInd/>
      <w:snapToGrid/>
      <w:ind w:firstLine="480"/>
    </w:pPr>
    <w:rPr>
      <w:kern w:val="2"/>
    </w:rPr>
  </w:style>
  <w:style w:type="paragraph" w:customStyle="1" w:styleId="450">
    <w:name w:val="表注"/>
    <w:basedOn w:val="1"/>
    <w:qFormat/>
    <w:uiPriority w:val="0"/>
    <w:pPr>
      <w:widowControl/>
      <w:topLinePunct w:val="0"/>
      <w:snapToGrid/>
      <w:ind w:left="240" w:leftChars="100" w:right="240" w:rightChars="100" w:firstLine="0" w:firstLineChars="0"/>
      <w:jc w:val="left"/>
    </w:pPr>
    <w:rPr>
      <w:rFonts w:ascii="宋体"/>
      <w:sz w:val="21"/>
      <w:szCs w:val="21"/>
    </w:rPr>
  </w:style>
  <w:style w:type="paragraph" w:customStyle="1" w:styleId="451">
    <w:name w:val="表格4号"/>
    <w:basedOn w:val="1"/>
    <w:qFormat/>
    <w:uiPriority w:val="0"/>
    <w:pPr>
      <w:widowControl/>
      <w:tabs>
        <w:tab w:val="left" w:pos="652"/>
        <w:tab w:val="left" w:pos="4431"/>
        <w:tab w:val="left" w:pos="7390"/>
      </w:tabs>
      <w:topLinePunct w:val="0"/>
      <w:adjustRightInd/>
      <w:spacing w:line="240" w:lineRule="auto"/>
      <w:ind w:left="640" w:leftChars="100" w:right="240" w:rightChars="100" w:hanging="400" w:hangingChars="200"/>
    </w:pPr>
    <w:rPr>
      <w:rFonts w:ascii="宋体"/>
      <w:bCs/>
      <w:color w:val="000000"/>
      <w:sz w:val="20"/>
      <w:szCs w:val="20"/>
    </w:rPr>
  </w:style>
  <w:style w:type="character" w:customStyle="1" w:styleId="452">
    <w:name w:val="zgj正文 Char"/>
    <w:link w:val="453"/>
    <w:qFormat/>
    <w:locked/>
    <w:uiPriority w:val="0"/>
    <w:rPr>
      <w:kern w:val="28"/>
      <w:sz w:val="24"/>
      <w:szCs w:val="24"/>
    </w:rPr>
  </w:style>
  <w:style w:type="paragraph" w:customStyle="1" w:styleId="453">
    <w:name w:val="zgj正文"/>
    <w:basedOn w:val="1"/>
    <w:link w:val="452"/>
    <w:qFormat/>
    <w:uiPriority w:val="0"/>
    <w:pPr>
      <w:topLinePunct w:val="0"/>
      <w:adjustRightInd/>
      <w:snapToGrid/>
      <w:spacing w:line="400" w:lineRule="exact"/>
      <w:ind w:firstLine="480"/>
    </w:pPr>
    <w:rPr>
      <w:rFonts w:ascii="Calibri" w:hAnsi="Calibri" w:cs="Calibri"/>
      <w:kern w:val="28"/>
    </w:rPr>
  </w:style>
  <w:style w:type="character" w:customStyle="1" w:styleId="454">
    <w:name w:val="凤段落 Char"/>
    <w:link w:val="455"/>
    <w:qFormat/>
    <w:locked/>
    <w:uiPriority w:val="0"/>
  </w:style>
  <w:style w:type="paragraph" w:customStyle="1" w:styleId="455">
    <w:name w:val="凤段落"/>
    <w:basedOn w:val="1"/>
    <w:link w:val="454"/>
    <w:qFormat/>
    <w:uiPriority w:val="0"/>
    <w:pPr>
      <w:topLinePunct w:val="0"/>
      <w:adjustRightInd/>
      <w:snapToGrid/>
      <w:spacing w:line="400" w:lineRule="exact"/>
      <w:ind w:firstLine="480"/>
    </w:pPr>
    <w:rPr>
      <w:rFonts w:ascii="Calibri" w:hAnsi="Calibri" w:cs="Calibri"/>
      <w:sz w:val="20"/>
      <w:szCs w:val="20"/>
    </w:rPr>
  </w:style>
  <w:style w:type="paragraph" w:customStyle="1" w:styleId="456">
    <w:name w:val="样式 小四 行距: 固定值 20 磅"/>
    <w:basedOn w:val="1"/>
    <w:qFormat/>
    <w:uiPriority w:val="0"/>
    <w:pPr>
      <w:topLinePunct w:val="0"/>
      <w:adjustRightInd/>
      <w:snapToGrid/>
      <w:spacing w:line="400" w:lineRule="exact"/>
      <w:ind w:firstLine="480"/>
    </w:pPr>
    <w:rPr>
      <w:rFonts w:cs="宋体"/>
      <w:kern w:val="2"/>
    </w:rPr>
  </w:style>
  <w:style w:type="character" w:customStyle="1" w:styleId="457">
    <w:name w:val="凤表名 Char"/>
    <w:link w:val="458"/>
    <w:qFormat/>
    <w:locked/>
    <w:uiPriority w:val="0"/>
    <w:rPr>
      <w:rFonts w:ascii="黑体" w:hAnsi="黑体" w:eastAsia="黑体"/>
      <w:sz w:val="24"/>
      <w:szCs w:val="24"/>
    </w:rPr>
  </w:style>
  <w:style w:type="paragraph" w:customStyle="1" w:styleId="458">
    <w:name w:val="凤表名"/>
    <w:basedOn w:val="1"/>
    <w:link w:val="457"/>
    <w:qFormat/>
    <w:uiPriority w:val="0"/>
    <w:pPr>
      <w:topLinePunct w:val="0"/>
      <w:adjustRightInd/>
      <w:snapToGrid/>
      <w:ind w:firstLine="0" w:firstLineChars="0"/>
    </w:pPr>
    <w:rPr>
      <w:rFonts w:ascii="黑体" w:hAnsi="黑体" w:eastAsia="黑体" w:cs="Calibri"/>
    </w:rPr>
  </w:style>
  <w:style w:type="character" w:customStyle="1" w:styleId="459">
    <w:name w:val="keycss1"/>
    <w:qFormat/>
    <w:uiPriority w:val="0"/>
    <w:rPr>
      <w:color w:val="0000FF"/>
      <w:u w:val="none"/>
    </w:rPr>
  </w:style>
  <w:style w:type="character" w:customStyle="1" w:styleId="460">
    <w:name w:val="t_tag"/>
    <w:qFormat/>
    <w:uiPriority w:val="0"/>
  </w:style>
  <w:style w:type="character" w:customStyle="1" w:styleId="461">
    <w:name w:val="Char Char1"/>
    <w:qFormat/>
    <w:uiPriority w:val="0"/>
    <w:rPr>
      <w:rFonts w:hint="eastAsia" w:ascii="宋体" w:hAnsi="宋体" w:eastAsia="宋体"/>
      <w:b/>
      <w:kern w:val="2"/>
      <w:sz w:val="30"/>
      <w:lang w:val="en-US" w:eastAsia="zh-CN"/>
    </w:rPr>
  </w:style>
  <w:style w:type="character" w:customStyle="1" w:styleId="462">
    <w:name w:val="postbody"/>
    <w:qFormat/>
    <w:uiPriority w:val="0"/>
  </w:style>
  <w:style w:type="character" w:customStyle="1" w:styleId="463">
    <w:name w:val="普通文字 Char Char Char Char Char Char Char Char Char Char Char Char Char Char Char Char Char Char Char"/>
    <w:qFormat/>
    <w:uiPriority w:val="0"/>
    <w:rPr>
      <w:rFonts w:hint="eastAsia" w:ascii="宋体" w:hAnsi="Courier New" w:eastAsia="宋体"/>
      <w:kern w:val="2"/>
      <w:sz w:val="21"/>
      <w:lang w:val="en-US" w:eastAsia="zh-CN" w:bidi="ar-SA"/>
    </w:rPr>
  </w:style>
  <w:style w:type="character" w:customStyle="1" w:styleId="464">
    <w:name w:val="ourfont2"/>
    <w:qFormat/>
    <w:uiPriority w:val="0"/>
  </w:style>
  <w:style w:type="character" w:customStyle="1" w:styleId="465">
    <w:name w:val="正文（首行缩进两字） Char Char Char1"/>
    <w:qFormat/>
    <w:uiPriority w:val="0"/>
    <w:rPr>
      <w:rFonts w:hint="eastAsia" w:ascii="宋体" w:hAnsi="宋体" w:eastAsia="宋体"/>
      <w:sz w:val="24"/>
      <w:lang w:val="en-US" w:eastAsia="zh-CN" w:bidi="ar-SA"/>
    </w:rPr>
  </w:style>
  <w:style w:type="character" w:customStyle="1" w:styleId="466">
    <w:name w:val="1.1.1.1 Char Char"/>
    <w:qFormat/>
    <w:uiPriority w:val="0"/>
    <w:rPr>
      <w:rFonts w:hint="default" w:ascii="Cambria" w:hAnsi="Cambria" w:eastAsia="宋体" w:cs="Times New Roman"/>
      <w:b/>
      <w:bCs/>
      <w:kern w:val="2"/>
      <w:sz w:val="28"/>
      <w:szCs w:val="28"/>
    </w:rPr>
  </w:style>
  <w:style w:type="character" w:customStyle="1" w:styleId="467">
    <w:name w:val="1.1.1 Char"/>
    <w:qFormat/>
    <w:uiPriority w:val="0"/>
    <w:rPr>
      <w:rFonts w:hint="eastAsia" w:ascii="黑体" w:hAnsi="Times New Roman" w:eastAsia="黑体"/>
      <w:b/>
      <w:spacing w:val="6"/>
      <w:kern w:val="2"/>
      <w:sz w:val="28"/>
      <w:lang w:val="en-US" w:eastAsia="zh-CN" w:bidi="ar-SA"/>
    </w:rPr>
  </w:style>
  <w:style w:type="character" w:customStyle="1" w:styleId="468">
    <w:name w:val="1.1 Char Char"/>
    <w:qFormat/>
    <w:uiPriority w:val="0"/>
    <w:rPr>
      <w:rFonts w:hint="eastAsia" w:ascii="黑体" w:hAnsi="Times New Roman" w:eastAsia="黑体"/>
      <w:b/>
      <w:bCs/>
      <w:spacing w:val="6"/>
      <w:kern w:val="2"/>
      <w:sz w:val="30"/>
      <w:szCs w:val="28"/>
      <w:lang w:val="en-US" w:eastAsia="zh-CN" w:bidi="ar-SA"/>
    </w:rPr>
  </w:style>
  <w:style w:type="character" w:customStyle="1" w:styleId="469">
    <w:name w:val="1 Char Char"/>
    <w:qFormat/>
    <w:uiPriority w:val="0"/>
    <w:rPr>
      <w:rFonts w:hint="eastAsia" w:ascii="黑体" w:hAnsi="Times New Roman" w:eastAsia="黑体"/>
      <w:b/>
      <w:bCs/>
      <w:kern w:val="2"/>
      <w:sz w:val="32"/>
      <w:szCs w:val="28"/>
      <w:lang w:val="en-US" w:eastAsia="zh-CN" w:bidi="ar-SA"/>
    </w:rPr>
  </w:style>
  <w:style w:type="character" w:customStyle="1" w:styleId="470">
    <w:name w:val="表题 Char Char"/>
    <w:qFormat/>
    <w:uiPriority w:val="0"/>
    <w:rPr>
      <w:rFonts w:hint="eastAsia" w:ascii="黑体" w:hAnsi="Times New Roman" w:eastAsia="黑体"/>
      <w:color w:val="000000"/>
      <w:kern w:val="2"/>
      <w:sz w:val="24"/>
      <w:szCs w:val="24"/>
    </w:rPr>
  </w:style>
  <w:style w:type="character" w:customStyle="1" w:styleId="471">
    <w:name w:val="Char Char14"/>
    <w:qFormat/>
    <w:uiPriority w:val="0"/>
    <w:rPr>
      <w:kern w:val="2"/>
      <w:sz w:val="18"/>
      <w:szCs w:val="18"/>
    </w:rPr>
  </w:style>
  <w:style w:type="character" w:customStyle="1" w:styleId="472">
    <w:name w:val="Char Char12"/>
    <w:qFormat/>
    <w:uiPriority w:val="0"/>
    <w:rPr>
      <w:rFonts w:hint="eastAsia" w:ascii="宋体" w:hAnsi="宋体" w:eastAsia="宋体"/>
      <w:b/>
      <w:bCs/>
      <w:sz w:val="32"/>
      <w:szCs w:val="32"/>
      <w:lang w:val="en-US" w:eastAsia="zh-CN" w:bidi="ar-SA"/>
    </w:rPr>
  </w:style>
  <w:style w:type="paragraph" w:customStyle="1" w:styleId="473">
    <w:name w:val="文字"/>
    <w:basedOn w:val="1"/>
    <w:qFormat/>
    <w:uiPriority w:val="0"/>
    <w:pPr>
      <w:topLinePunct w:val="0"/>
      <w:adjustRightInd/>
      <w:snapToGrid/>
      <w:ind w:firstLine="0" w:firstLineChars="0"/>
    </w:pPr>
    <w:rPr>
      <w:rFonts w:ascii="宋体"/>
      <w:kern w:val="2"/>
      <w:szCs w:val="20"/>
    </w:rPr>
  </w:style>
  <w:style w:type="character" w:customStyle="1" w:styleId="474">
    <w:name w:val="无间隔 字符"/>
    <w:link w:val="475"/>
    <w:qFormat/>
    <w:locked/>
    <w:uiPriority w:val="0"/>
    <w:rPr>
      <w:sz w:val="22"/>
    </w:rPr>
  </w:style>
  <w:style w:type="paragraph" w:styleId="475">
    <w:name w:val="No Spacing"/>
    <w:link w:val="474"/>
    <w:qFormat/>
    <w:uiPriority w:val="0"/>
    <w:rPr>
      <w:rFonts w:ascii="Calibri" w:hAnsi="Calibri" w:eastAsia="宋体" w:cs="Calibri"/>
      <w:sz w:val="22"/>
      <w:lang w:val="en-US" w:eastAsia="zh-CN" w:bidi="ar-SA"/>
    </w:rPr>
  </w:style>
  <w:style w:type="paragraph" w:customStyle="1" w:styleId="476">
    <w:name w:val="正文文本 22"/>
    <w:basedOn w:val="1"/>
    <w:qFormat/>
    <w:uiPriority w:val="0"/>
    <w:pPr>
      <w:topLinePunct w:val="0"/>
      <w:snapToGrid/>
      <w:spacing w:line="240" w:lineRule="auto"/>
      <w:ind w:firstLine="480" w:firstLineChars="0"/>
    </w:pPr>
    <w:rPr>
      <w:kern w:val="2"/>
    </w:rPr>
  </w:style>
  <w:style w:type="paragraph" w:customStyle="1" w:styleId="477">
    <w:name w:val="样式 表名 + 首行缩进:  1 字符4"/>
    <w:basedOn w:val="1"/>
    <w:qFormat/>
    <w:uiPriority w:val="0"/>
    <w:pPr>
      <w:widowControl/>
      <w:topLinePunct w:val="0"/>
      <w:adjustRightInd/>
      <w:snapToGrid/>
      <w:spacing w:after="60" w:line="560" w:lineRule="exact"/>
      <w:ind w:firstLine="240" w:firstLineChars="100"/>
      <w:jc w:val="left"/>
    </w:pPr>
    <w:rPr>
      <w:rFonts w:ascii="黑体" w:hAnsi="宋体" w:eastAsia="黑体" w:cs="宋体"/>
      <w:szCs w:val="20"/>
      <w:lang w:eastAsia="en-US" w:bidi="en-US"/>
    </w:rPr>
  </w:style>
  <w:style w:type="paragraph" w:customStyle="1" w:styleId="478">
    <w:name w:val="_Style 6"/>
    <w:basedOn w:val="30"/>
    <w:qFormat/>
    <w:uiPriority w:val="0"/>
    <w:pPr>
      <w:shd w:val="clear" w:color="auto" w:fill="000080"/>
      <w:topLinePunct w:val="0"/>
      <w:snapToGrid/>
      <w:spacing w:line="436" w:lineRule="exact"/>
      <w:ind w:left="357" w:firstLine="0" w:firstLineChars="0"/>
      <w:jc w:val="left"/>
      <w:outlineLvl w:val="3"/>
    </w:pPr>
    <w:rPr>
      <w:rFonts w:ascii="Times New Roman"/>
      <w:kern w:val="2"/>
      <w:sz w:val="21"/>
      <w:szCs w:val="20"/>
    </w:rPr>
  </w:style>
  <w:style w:type="paragraph" w:customStyle="1" w:styleId="479">
    <w:name w:val="表文居中"/>
    <w:basedOn w:val="1"/>
    <w:qFormat/>
    <w:uiPriority w:val="0"/>
    <w:pPr>
      <w:topLinePunct w:val="0"/>
      <w:autoSpaceDE w:val="0"/>
      <w:autoSpaceDN w:val="0"/>
      <w:snapToGrid/>
      <w:spacing w:line="320" w:lineRule="exact"/>
      <w:ind w:firstLine="0" w:firstLineChars="0"/>
      <w:jc w:val="center"/>
    </w:pPr>
    <w:rPr>
      <w:color w:val="FF0000"/>
      <w:sz w:val="18"/>
      <w:szCs w:val="20"/>
    </w:rPr>
  </w:style>
  <w:style w:type="paragraph" w:customStyle="1" w:styleId="480">
    <w:name w:val="样式 正文首行缩进 + 首行缩进:  1 字符"/>
    <w:basedOn w:val="90"/>
    <w:qFormat/>
    <w:uiPriority w:val="0"/>
    <w:pPr>
      <w:topLinePunct w:val="0"/>
      <w:adjustRightInd/>
      <w:snapToGrid/>
      <w:spacing w:after="0"/>
      <w:ind w:firstLine="480" w:firstLineChars="200"/>
    </w:pPr>
    <w:rPr>
      <w:kern w:val="2"/>
    </w:rPr>
  </w:style>
  <w:style w:type="character" w:customStyle="1" w:styleId="481">
    <w:name w:val="-大纲报告书表格内文字 Char"/>
    <w:link w:val="482"/>
    <w:qFormat/>
    <w:locked/>
    <w:uiPriority w:val="0"/>
    <w:rPr>
      <w:sz w:val="18"/>
      <w:szCs w:val="18"/>
    </w:rPr>
  </w:style>
  <w:style w:type="paragraph" w:customStyle="1" w:styleId="482">
    <w:name w:val="-大纲报告书表格内文字"/>
    <w:basedOn w:val="1"/>
    <w:link w:val="481"/>
    <w:qFormat/>
    <w:uiPriority w:val="0"/>
    <w:pPr>
      <w:topLinePunct w:val="0"/>
      <w:adjustRightInd/>
      <w:spacing w:line="240" w:lineRule="auto"/>
      <w:ind w:firstLine="0" w:firstLineChars="0"/>
      <w:jc w:val="center"/>
    </w:pPr>
    <w:rPr>
      <w:rFonts w:ascii="Calibri" w:hAnsi="Calibri" w:cs="Calibri"/>
      <w:sz w:val="18"/>
      <w:szCs w:val="18"/>
    </w:rPr>
  </w:style>
  <w:style w:type="character" w:customStyle="1" w:styleId="483">
    <w:name w:val="-大纲报告书表格标题 Char Char"/>
    <w:link w:val="484"/>
    <w:qFormat/>
    <w:locked/>
    <w:uiPriority w:val="0"/>
    <w:rPr>
      <w:b/>
      <w:sz w:val="28"/>
      <w:szCs w:val="28"/>
    </w:rPr>
  </w:style>
  <w:style w:type="paragraph" w:customStyle="1" w:styleId="484">
    <w:name w:val="-大纲报告书表格标题"/>
    <w:basedOn w:val="1"/>
    <w:link w:val="483"/>
    <w:qFormat/>
    <w:uiPriority w:val="0"/>
    <w:pPr>
      <w:topLinePunct w:val="0"/>
      <w:adjustRightInd/>
      <w:snapToGrid/>
      <w:spacing w:line="240" w:lineRule="auto"/>
      <w:ind w:firstLine="0" w:firstLineChars="0"/>
      <w:jc w:val="center"/>
      <w:outlineLvl w:val="8"/>
    </w:pPr>
    <w:rPr>
      <w:rFonts w:ascii="Calibri" w:hAnsi="Calibri" w:cs="Calibri"/>
      <w:b/>
      <w:sz w:val="28"/>
      <w:szCs w:val="28"/>
    </w:rPr>
  </w:style>
  <w:style w:type="character" w:customStyle="1" w:styleId="485">
    <w:name w:val="-报告书正文 Char"/>
    <w:link w:val="486"/>
    <w:qFormat/>
    <w:locked/>
    <w:uiPriority w:val="0"/>
    <w:rPr>
      <w:sz w:val="24"/>
      <w:szCs w:val="24"/>
    </w:rPr>
  </w:style>
  <w:style w:type="paragraph" w:customStyle="1" w:styleId="486">
    <w:name w:val="-报告书正文"/>
    <w:basedOn w:val="1"/>
    <w:link w:val="485"/>
    <w:qFormat/>
    <w:uiPriority w:val="0"/>
    <w:pPr>
      <w:topLinePunct w:val="0"/>
      <w:adjustRightInd/>
      <w:snapToGrid/>
    </w:pPr>
    <w:rPr>
      <w:rFonts w:ascii="Calibri" w:hAnsi="Calibri" w:cs="Calibri"/>
    </w:rPr>
  </w:style>
  <w:style w:type="paragraph" w:customStyle="1" w:styleId="487">
    <w:name w:val="表格内容格式"/>
    <w:basedOn w:val="1"/>
    <w:qFormat/>
    <w:uiPriority w:val="0"/>
    <w:pPr>
      <w:framePr w:hSpace="180" w:wrap="around" w:vAnchor="text" w:hAnchor="margin" w:xAlign="center" w:y="167"/>
      <w:widowControl/>
      <w:topLinePunct w:val="0"/>
      <w:adjustRightInd/>
      <w:snapToGrid/>
      <w:spacing w:line="240" w:lineRule="auto"/>
      <w:ind w:firstLine="0" w:firstLineChars="0"/>
      <w:jc w:val="left"/>
    </w:pPr>
    <w:rPr>
      <w:kern w:val="2"/>
    </w:rPr>
  </w:style>
  <w:style w:type="character" w:customStyle="1" w:styleId="488">
    <w:name w:val="-大纲报告书表格后文字 Char Char"/>
    <w:link w:val="489"/>
    <w:qFormat/>
    <w:locked/>
    <w:uiPriority w:val="0"/>
    <w:rPr>
      <w:b/>
      <w:sz w:val="18"/>
      <w:szCs w:val="24"/>
    </w:rPr>
  </w:style>
  <w:style w:type="paragraph" w:customStyle="1" w:styleId="489">
    <w:name w:val="-大纲报告书表格后文字"/>
    <w:basedOn w:val="1"/>
    <w:link w:val="488"/>
    <w:qFormat/>
    <w:uiPriority w:val="0"/>
    <w:pPr>
      <w:topLinePunct w:val="0"/>
      <w:adjustRightInd/>
      <w:snapToGrid/>
      <w:spacing w:line="240" w:lineRule="auto"/>
      <w:ind w:firstLine="0" w:firstLineChars="0"/>
      <w:jc w:val="left"/>
    </w:pPr>
    <w:rPr>
      <w:rFonts w:ascii="Calibri" w:hAnsi="Calibri" w:cs="Calibri"/>
      <w:b/>
      <w:sz w:val="18"/>
    </w:rPr>
  </w:style>
  <w:style w:type="paragraph" w:customStyle="1" w:styleId="490">
    <w:name w:val="样式 首行缩进:  2 字符"/>
    <w:basedOn w:val="1"/>
    <w:qFormat/>
    <w:uiPriority w:val="0"/>
    <w:pPr>
      <w:topLinePunct w:val="0"/>
      <w:adjustRightInd/>
      <w:snapToGrid/>
      <w:spacing w:line="480" w:lineRule="exact"/>
      <w:ind w:firstLine="480"/>
    </w:pPr>
    <w:rPr>
      <w:rFonts w:cs="宋体"/>
      <w:kern w:val="2"/>
      <w:szCs w:val="20"/>
    </w:rPr>
  </w:style>
  <w:style w:type="paragraph" w:customStyle="1" w:styleId="491">
    <w:name w:val="reader-word-layer"/>
    <w:basedOn w:val="1"/>
    <w:qFormat/>
    <w:uiPriority w:val="0"/>
    <w:pPr>
      <w:widowControl/>
      <w:topLinePunct w:val="0"/>
      <w:adjustRightInd/>
      <w:snapToGrid/>
      <w:spacing w:before="100" w:beforeAutospacing="1" w:after="100" w:afterAutospacing="1" w:line="240" w:lineRule="auto"/>
      <w:ind w:firstLine="0" w:firstLineChars="0"/>
      <w:jc w:val="left"/>
    </w:pPr>
    <w:rPr>
      <w:rFonts w:ascii="宋体" w:hAnsi="宋体" w:cs="宋体"/>
    </w:rPr>
  </w:style>
  <w:style w:type="paragraph" w:customStyle="1" w:styleId="492">
    <w:name w:val="xl314"/>
    <w:basedOn w:val="1"/>
    <w:qFormat/>
    <w:uiPriority w:val="0"/>
    <w:pPr>
      <w:widowControl/>
      <w:topLinePunct w:val="0"/>
      <w:adjustRightInd/>
      <w:snapToGrid/>
      <w:spacing w:before="100" w:beforeAutospacing="1" w:after="100" w:afterAutospacing="1" w:line="240" w:lineRule="auto"/>
      <w:ind w:firstLine="0" w:firstLineChars="0"/>
      <w:jc w:val="left"/>
    </w:pPr>
    <w:rPr>
      <w:rFonts w:ascii="宋体" w:hAnsi="宋体" w:cs="宋体"/>
    </w:rPr>
  </w:style>
  <w:style w:type="paragraph" w:customStyle="1" w:styleId="493">
    <w:name w:val="xl315"/>
    <w:basedOn w:val="1"/>
    <w:qFormat/>
    <w:uiPriority w:val="0"/>
    <w:pPr>
      <w:widowControl/>
      <w:topLinePunct w:val="0"/>
      <w:adjustRightInd/>
      <w:snapToGrid/>
      <w:spacing w:before="100" w:beforeAutospacing="1" w:after="100" w:afterAutospacing="1" w:line="240" w:lineRule="auto"/>
      <w:ind w:firstLine="0" w:firstLineChars="0"/>
      <w:jc w:val="left"/>
    </w:pPr>
    <w:rPr>
      <w:rFonts w:ascii="宋体" w:hAnsi="宋体" w:cs="宋体"/>
    </w:rPr>
  </w:style>
  <w:style w:type="paragraph" w:customStyle="1" w:styleId="494">
    <w:name w:val="xl316"/>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opLinePunct w:val="0"/>
      <w:adjustRightInd/>
      <w:snapToGrid/>
      <w:spacing w:before="100" w:beforeAutospacing="1" w:after="100" w:afterAutospacing="1" w:line="240" w:lineRule="auto"/>
      <w:ind w:firstLine="0" w:firstLineChars="0"/>
      <w:jc w:val="center"/>
    </w:pPr>
    <w:rPr>
      <w:rFonts w:ascii="宋体" w:hAnsi="宋体" w:cs="宋体"/>
      <w:sz w:val="20"/>
      <w:szCs w:val="20"/>
    </w:rPr>
  </w:style>
  <w:style w:type="paragraph" w:customStyle="1" w:styleId="495">
    <w:name w:val="xl317"/>
    <w:basedOn w:val="1"/>
    <w:qFormat/>
    <w:uiPriority w:val="0"/>
    <w:pPr>
      <w:widowControl/>
      <w:topLinePunct w:val="0"/>
      <w:adjustRightInd/>
      <w:snapToGrid/>
      <w:spacing w:before="100" w:beforeAutospacing="1" w:after="100" w:afterAutospacing="1" w:line="240" w:lineRule="auto"/>
      <w:ind w:firstLine="0" w:firstLineChars="0"/>
      <w:jc w:val="center"/>
    </w:pPr>
    <w:rPr>
      <w:rFonts w:ascii="宋体" w:hAnsi="宋体" w:cs="宋体"/>
    </w:rPr>
  </w:style>
  <w:style w:type="paragraph" w:customStyle="1" w:styleId="496">
    <w:name w:val="xl318"/>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opLinePunct w:val="0"/>
      <w:adjustRightInd/>
      <w:snapToGrid/>
      <w:spacing w:before="100" w:beforeAutospacing="1" w:after="100" w:afterAutospacing="1" w:line="240" w:lineRule="auto"/>
      <w:ind w:firstLine="0" w:firstLineChars="0"/>
      <w:jc w:val="center"/>
    </w:pPr>
    <w:rPr>
      <w:sz w:val="20"/>
      <w:szCs w:val="20"/>
    </w:rPr>
  </w:style>
  <w:style w:type="paragraph" w:customStyle="1" w:styleId="497">
    <w:name w:val="xl319"/>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opLinePunct w:val="0"/>
      <w:adjustRightInd/>
      <w:snapToGrid/>
      <w:spacing w:before="100" w:beforeAutospacing="1" w:after="100" w:afterAutospacing="1" w:line="240" w:lineRule="auto"/>
      <w:ind w:firstLine="0" w:firstLineChars="0"/>
      <w:jc w:val="center"/>
    </w:pPr>
    <w:rPr>
      <w:sz w:val="20"/>
      <w:szCs w:val="20"/>
    </w:rPr>
  </w:style>
  <w:style w:type="paragraph" w:customStyle="1" w:styleId="498">
    <w:name w:val="xl320"/>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opLinePunct w:val="0"/>
      <w:adjustRightInd/>
      <w:snapToGrid/>
      <w:spacing w:before="100" w:beforeAutospacing="1" w:after="100" w:afterAutospacing="1" w:line="240" w:lineRule="auto"/>
      <w:ind w:firstLine="0" w:firstLineChars="0"/>
      <w:jc w:val="center"/>
    </w:pPr>
    <w:rPr>
      <w:sz w:val="20"/>
      <w:szCs w:val="20"/>
    </w:rPr>
  </w:style>
  <w:style w:type="paragraph" w:customStyle="1" w:styleId="499">
    <w:name w:val="xl321"/>
    <w:basedOn w:val="1"/>
    <w:qFormat/>
    <w:uiPriority w:val="0"/>
    <w:pPr>
      <w:widowControl/>
      <w:topLinePunct w:val="0"/>
      <w:adjustRightInd/>
      <w:snapToGrid/>
      <w:spacing w:before="100" w:beforeAutospacing="1" w:after="100" w:afterAutospacing="1" w:line="240" w:lineRule="auto"/>
      <w:ind w:firstLine="0" w:firstLineChars="0"/>
      <w:jc w:val="center"/>
    </w:pPr>
    <w:rPr>
      <w:rFonts w:ascii="宋体" w:hAnsi="宋体" w:cs="宋体"/>
    </w:rPr>
  </w:style>
  <w:style w:type="paragraph" w:customStyle="1" w:styleId="500">
    <w:name w:val="xl322"/>
    <w:basedOn w:val="1"/>
    <w:qFormat/>
    <w:uiPriority w:val="0"/>
    <w:pPr>
      <w:widowControl/>
      <w:topLinePunct w:val="0"/>
      <w:adjustRightInd/>
      <w:snapToGrid/>
      <w:spacing w:before="100" w:beforeAutospacing="1" w:after="100" w:afterAutospacing="1" w:line="240" w:lineRule="auto"/>
      <w:ind w:firstLine="0" w:firstLineChars="0"/>
      <w:jc w:val="left"/>
    </w:pPr>
    <w:rPr>
      <w:rFonts w:ascii="宋体" w:hAnsi="宋体" w:cs="宋体"/>
    </w:rPr>
  </w:style>
  <w:style w:type="paragraph" w:customStyle="1" w:styleId="501">
    <w:name w:val="xl323"/>
    <w:basedOn w:val="1"/>
    <w:qFormat/>
    <w:uiPriority w:val="0"/>
    <w:pPr>
      <w:widowControl/>
      <w:shd w:val="clear" w:color="auto" w:fill="00FFFF"/>
      <w:topLinePunct w:val="0"/>
      <w:adjustRightInd/>
      <w:snapToGrid/>
      <w:spacing w:before="100" w:beforeAutospacing="1" w:after="100" w:afterAutospacing="1" w:line="240" w:lineRule="auto"/>
      <w:ind w:firstLine="0" w:firstLineChars="0"/>
      <w:jc w:val="left"/>
    </w:pPr>
    <w:rPr>
      <w:rFonts w:ascii="宋体" w:hAnsi="宋体" w:cs="宋体"/>
    </w:rPr>
  </w:style>
  <w:style w:type="paragraph" w:customStyle="1" w:styleId="502">
    <w:name w:val="xl324"/>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opLinePunct w:val="0"/>
      <w:adjustRightInd/>
      <w:snapToGrid/>
      <w:spacing w:before="100" w:beforeAutospacing="1" w:after="100" w:afterAutospacing="1" w:line="240" w:lineRule="auto"/>
      <w:ind w:firstLine="0" w:firstLineChars="0"/>
      <w:jc w:val="center"/>
    </w:pPr>
    <w:rPr>
      <w:rFonts w:ascii="黑体" w:hAnsi="黑体" w:eastAsia="黑体" w:cs="宋体"/>
      <w:sz w:val="20"/>
      <w:szCs w:val="20"/>
    </w:rPr>
  </w:style>
  <w:style w:type="paragraph" w:customStyle="1" w:styleId="503">
    <w:name w:val="xl325"/>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opLinePunct w:val="0"/>
      <w:adjustRightInd/>
      <w:snapToGrid/>
      <w:spacing w:before="100" w:beforeAutospacing="1" w:after="100" w:afterAutospacing="1" w:line="240" w:lineRule="auto"/>
      <w:ind w:firstLine="0" w:firstLineChars="0"/>
      <w:jc w:val="left"/>
    </w:pPr>
    <w:rPr>
      <w:rFonts w:ascii="宋体" w:hAnsi="宋体" w:cs="宋体"/>
      <w:sz w:val="20"/>
      <w:szCs w:val="20"/>
    </w:rPr>
  </w:style>
  <w:style w:type="paragraph" w:customStyle="1" w:styleId="504">
    <w:name w:val="xl326"/>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opLinePunct w:val="0"/>
      <w:adjustRightInd/>
      <w:snapToGrid/>
      <w:spacing w:before="100" w:beforeAutospacing="1" w:after="100" w:afterAutospacing="1" w:line="240" w:lineRule="auto"/>
      <w:ind w:firstLine="0" w:firstLineChars="0"/>
      <w:jc w:val="center"/>
    </w:pPr>
    <w:rPr>
      <w:rFonts w:ascii="宋体" w:hAnsi="宋体" w:cs="宋体"/>
      <w:sz w:val="20"/>
      <w:szCs w:val="20"/>
    </w:rPr>
  </w:style>
  <w:style w:type="paragraph" w:customStyle="1" w:styleId="505">
    <w:name w:val="xl327"/>
    <w:basedOn w:val="1"/>
    <w:qFormat/>
    <w:uiPriority w:val="0"/>
    <w:pPr>
      <w:widowControl/>
      <w:pBdr>
        <w:top w:val="single" w:color="auto" w:sz="4" w:space="0"/>
        <w:bottom w:val="single" w:color="auto" w:sz="4" w:space="0"/>
        <w:right w:val="single" w:color="auto" w:sz="4" w:space="0"/>
      </w:pBdr>
      <w:shd w:val="clear" w:color="auto" w:fill="FFFFFF"/>
      <w:topLinePunct w:val="0"/>
      <w:adjustRightInd/>
      <w:snapToGrid/>
      <w:spacing w:before="100" w:beforeAutospacing="1" w:after="100" w:afterAutospacing="1" w:line="240" w:lineRule="auto"/>
      <w:ind w:firstLine="0" w:firstLineChars="0"/>
      <w:jc w:val="center"/>
    </w:pPr>
    <w:rPr>
      <w:sz w:val="20"/>
      <w:szCs w:val="20"/>
    </w:rPr>
  </w:style>
  <w:style w:type="paragraph" w:customStyle="1" w:styleId="506">
    <w:name w:val="xl328"/>
    <w:basedOn w:val="1"/>
    <w:qFormat/>
    <w:uiPriority w:val="0"/>
    <w:pPr>
      <w:widowControl/>
      <w:pBdr>
        <w:top w:val="single" w:color="auto" w:sz="4" w:space="0"/>
        <w:left w:val="single" w:color="auto" w:sz="4" w:space="0"/>
        <w:right w:val="single" w:color="auto" w:sz="4" w:space="0"/>
      </w:pBdr>
      <w:shd w:val="clear" w:color="auto" w:fill="FFFFFF"/>
      <w:topLinePunct w:val="0"/>
      <w:adjustRightInd/>
      <w:snapToGrid/>
      <w:spacing w:before="100" w:beforeAutospacing="1" w:after="100" w:afterAutospacing="1" w:line="240" w:lineRule="auto"/>
      <w:ind w:firstLine="0" w:firstLineChars="0"/>
      <w:jc w:val="center"/>
    </w:pPr>
    <w:rPr>
      <w:rFonts w:ascii="黑体" w:hAnsi="黑体" w:eastAsia="黑体" w:cs="宋体"/>
      <w:sz w:val="20"/>
      <w:szCs w:val="20"/>
    </w:rPr>
  </w:style>
  <w:style w:type="paragraph" w:customStyle="1" w:styleId="507">
    <w:name w:val="xl329"/>
    <w:basedOn w:val="1"/>
    <w:qFormat/>
    <w:uiPriority w:val="0"/>
    <w:pPr>
      <w:widowControl/>
      <w:pBdr>
        <w:left w:val="single" w:color="auto" w:sz="4" w:space="0"/>
        <w:bottom w:val="single" w:color="auto" w:sz="4" w:space="0"/>
        <w:right w:val="single" w:color="auto" w:sz="4" w:space="0"/>
      </w:pBdr>
      <w:shd w:val="clear" w:color="auto" w:fill="FFFFFF"/>
      <w:topLinePunct w:val="0"/>
      <w:adjustRightInd/>
      <w:snapToGrid/>
      <w:spacing w:before="100" w:beforeAutospacing="1" w:after="100" w:afterAutospacing="1" w:line="240" w:lineRule="auto"/>
      <w:ind w:firstLine="0" w:firstLineChars="0"/>
      <w:jc w:val="center"/>
    </w:pPr>
    <w:rPr>
      <w:rFonts w:ascii="黑体" w:hAnsi="黑体" w:eastAsia="黑体" w:cs="宋体"/>
      <w:sz w:val="20"/>
      <w:szCs w:val="20"/>
    </w:rPr>
  </w:style>
  <w:style w:type="paragraph" w:customStyle="1" w:styleId="508">
    <w:name w:val="xl330"/>
    <w:basedOn w:val="1"/>
    <w:qFormat/>
    <w:uiPriority w:val="0"/>
    <w:pPr>
      <w:widowControl/>
      <w:pBdr>
        <w:left w:val="single" w:color="auto" w:sz="4" w:space="0"/>
        <w:right w:val="single" w:color="auto" w:sz="4" w:space="0"/>
      </w:pBdr>
      <w:shd w:val="clear" w:color="auto" w:fill="FFFFFF"/>
      <w:topLinePunct w:val="0"/>
      <w:adjustRightInd/>
      <w:snapToGrid/>
      <w:spacing w:before="100" w:beforeAutospacing="1" w:after="100" w:afterAutospacing="1" w:line="240" w:lineRule="auto"/>
      <w:ind w:firstLine="0" w:firstLineChars="0"/>
      <w:jc w:val="center"/>
    </w:pPr>
    <w:rPr>
      <w:rFonts w:ascii="黑体" w:hAnsi="黑体" w:eastAsia="黑体" w:cs="宋体"/>
      <w:sz w:val="20"/>
      <w:szCs w:val="20"/>
    </w:rPr>
  </w:style>
  <w:style w:type="paragraph" w:customStyle="1" w:styleId="509">
    <w:name w:val="xl331"/>
    <w:basedOn w:val="1"/>
    <w:qFormat/>
    <w:uiPriority w:val="0"/>
    <w:pPr>
      <w:widowControl/>
      <w:pBdr>
        <w:top w:val="single" w:color="auto" w:sz="4" w:space="0"/>
        <w:left w:val="single" w:color="auto" w:sz="4" w:space="0"/>
        <w:right w:val="single" w:color="auto" w:sz="4" w:space="0"/>
      </w:pBdr>
      <w:shd w:val="clear" w:color="auto" w:fill="FFFFFF"/>
      <w:topLinePunct w:val="0"/>
      <w:adjustRightInd/>
      <w:snapToGrid/>
      <w:spacing w:before="100" w:beforeAutospacing="1" w:after="100" w:afterAutospacing="1" w:line="240" w:lineRule="auto"/>
      <w:ind w:firstLine="0" w:firstLineChars="0"/>
      <w:jc w:val="center"/>
    </w:pPr>
    <w:rPr>
      <w:rFonts w:ascii="黑体" w:hAnsi="黑体" w:eastAsia="黑体" w:cs="宋体"/>
      <w:sz w:val="20"/>
      <w:szCs w:val="20"/>
    </w:rPr>
  </w:style>
  <w:style w:type="paragraph" w:customStyle="1" w:styleId="510">
    <w:name w:val="xl332"/>
    <w:basedOn w:val="1"/>
    <w:qFormat/>
    <w:uiPriority w:val="0"/>
    <w:pPr>
      <w:widowControl/>
      <w:pBdr>
        <w:left w:val="single" w:color="auto" w:sz="4" w:space="0"/>
        <w:bottom w:val="single" w:color="auto" w:sz="4" w:space="0"/>
        <w:right w:val="single" w:color="auto" w:sz="4" w:space="0"/>
      </w:pBdr>
      <w:shd w:val="clear" w:color="auto" w:fill="FFFFFF"/>
      <w:topLinePunct w:val="0"/>
      <w:adjustRightInd/>
      <w:snapToGrid/>
      <w:spacing w:before="100" w:beforeAutospacing="1" w:after="100" w:afterAutospacing="1" w:line="240" w:lineRule="auto"/>
      <w:ind w:firstLine="0" w:firstLineChars="0"/>
      <w:jc w:val="center"/>
    </w:pPr>
    <w:rPr>
      <w:rFonts w:ascii="黑体" w:hAnsi="黑体" w:eastAsia="黑体" w:cs="宋体"/>
      <w:sz w:val="20"/>
      <w:szCs w:val="20"/>
    </w:rPr>
  </w:style>
  <w:style w:type="paragraph" w:customStyle="1" w:styleId="511">
    <w:name w:val="xl333"/>
    <w:basedOn w:val="1"/>
    <w:qFormat/>
    <w:uiPriority w:val="0"/>
    <w:pPr>
      <w:widowControl/>
      <w:pBdr>
        <w:top w:val="single" w:color="auto" w:sz="4" w:space="0"/>
        <w:left w:val="single" w:color="auto" w:sz="4" w:space="0"/>
        <w:bottom w:val="single" w:color="auto" w:sz="4" w:space="0"/>
      </w:pBdr>
      <w:shd w:val="clear" w:color="auto" w:fill="FFFFFF"/>
      <w:topLinePunct w:val="0"/>
      <w:adjustRightInd/>
      <w:snapToGrid/>
      <w:spacing w:before="100" w:beforeAutospacing="1" w:after="100" w:afterAutospacing="1" w:line="240" w:lineRule="auto"/>
      <w:ind w:firstLine="0" w:firstLineChars="0"/>
      <w:jc w:val="center"/>
    </w:pPr>
    <w:rPr>
      <w:rFonts w:ascii="宋体" w:hAnsi="宋体" w:cs="宋体"/>
      <w:sz w:val="20"/>
      <w:szCs w:val="20"/>
    </w:rPr>
  </w:style>
  <w:style w:type="paragraph" w:customStyle="1" w:styleId="512">
    <w:name w:val="样式 样式2 + 首行缩进:  2 字符"/>
    <w:basedOn w:val="1"/>
    <w:qFormat/>
    <w:uiPriority w:val="0"/>
    <w:pPr>
      <w:widowControl/>
      <w:topLinePunct w:val="0"/>
      <w:spacing w:line="400" w:lineRule="exact"/>
      <w:ind w:firstLine="0" w:firstLineChars="0"/>
      <w:jc w:val="center"/>
    </w:pPr>
    <w:rPr>
      <w:rFonts w:ascii="Calibri" w:hAnsi="Calibri"/>
      <w:szCs w:val="20"/>
      <w:lang w:eastAsia="en-US" w:bidi="en-US"/>
    </w:rPr>
  </w:style>
  <w:style w:type="paragraph" w:customStyle="1" w:styleId="513">
    <w:name w:val="Char Char Char Char Char Char Char Char Char Char Char Char Char Char Char Char Char Char1 Char Char Char Char"/>
    <w:basedOn w:val="1"/>
    <w:qFormat/>
    <w:uiPriority w:val="0"/>
    <w:pPr>
      <w:topLinePunct w:val="0"/>
      <w:adjustRightInd/>
      <w:snapToGrid/>
      <w:spacing w:line="240" w:lineRule="auto"/>
      <w:ind w:firstLine="0" w:firstLineChars="0"/>
    </w:pPr>
    <w:rPr>
      <w:kern w:val="2"/>
      <w:sz w:val="21"/>
    </w:rPr>
  </w:style>
  <w:style w:type="paragraph" w:customStyle="1" w:styleId="514">
    <w:name w:val="样式 正文（首行缩进两字） + 首行缩进:  2 字符 行距: 固定值 23 磅"/>
    <w:basedOn w:val="9"/>
    <w:qFormat/>
    <w:uiPriority w:val="0"/>
    <w:pPr>
      <w:spacing w:line="460" w:lineRule="exact"/>
      <w:ind w:firstLine="480"/>
      <w:jc w:val="both"/>
    </w:pPr>
    <w:rPr>
      <w:rFonts w:hint="eastAsia" w:hAnsi="宋体"/>
      <w:szCs w:val="20"/>
    </w:rPr>
  </w:style>
  <w:style w:type="character" w:customStyle="1" w:styleId="515">
    <w:name w:val="样式 插图下标 + 黑体 非加粗 Char"/>
    <w:link w:val="516"/>
    <w:qFormat/>
    <w:locked/>
    <w:uiPriority w:val="0"/>
    <w:rPr>
      <w:rFonts w:ascii="黑体" w:hAnsi="黑体" w:eastAsia="黑体"/>
      <w:sz w:val="24"/>
      <w:szCs w:val="24"/>
    </w:rPr>
  </w:style>
  <w:style w:type="paragraph" w:customStyle="1" w:styleId="516">
    <w:name w:val="样式 插图下标 + 黑体 非加粗"/>
    <w:basedOn w:val="1"/>
    <w:link w:val="515"/>
    <w:qFormat/>
    <w:uiPriority w:val="0"/>
    <w:pPr>
      <w:topLinePunct w:val="0"/>
      <w:adjustRightInd/>
      <w:spacing w:before="60" w:after="200" w:line="240" w:lineRule="auto"/>
      <w:ind w:firstLine="0" w:firstLineChars="0"/>
      <w:jc w:val="center"/>
    </w:pPr>
    <w:rPr>
      <w:rFonts w:ascii="黑体" w:hAnsi="黑体" w:eastAsia="黑体" w:cs="Calibri"/>
    </w:rPr>
  </w:style>
  <w:style w:type="paragraph" w:customStyle="1" w:styleId="517">
    <w:name w:val="zgj标题3"/>
    <w:basedOn w:val="7"/>
    <w:qFormat/>
    <w:uiPriority w:val="0"/>
    <w:pPr>
      <w:keepLines/>
      <w:kinsoku/>
      <w:overflowPunct/>
      <w:topLinePunct w:val="0"/>
      <w:autoSpaceDE/>
      <w:autoSpaceDN/>
      <w:snapToGrid/>
      <w:spacing w:beforeLines="50" w:afterLines="50"/>
    </w:pPr>
    <w:rPr>
      <w:rFonts w:eastAsia="黑体" w:cs="宋体"/>
      <w:b w:val="0"/>
      <w:bCs w:val="0"/>
      <w:kern w:val="2"/>
      <w:szCs w:val="20"/>
    </w:rPr>
  </w:style>
  <w:style w:type="paragraph" w:customStyle="1" w:styleId="518">
    <w:name w:val="样式 标题 4"/>
    <w:basedOn w:val="7"/>
    <w:qFormat/>
    <w:uiPriority w:val="0"/>
    <w:pPr>
      <w:keepLines/>
      <w:kinsoku/>
      <w:overflowPunct/>
      <w:topLinePunct w:val="0"/>
      <w:autoSpaceDE/>
      <w:autoSpaceDN/>
      <w:adjustRightInd/>
      <w:snapToGrid/>
      <w:spacing w:beforeLines="20" w:afterLines="20" w:line="400" w:lineRule="exact"/>
      <w:jc w:val="both"/>
      <w:outlineLvl w:val="3"/>
    </w:pPr>
    <w:rPr>
      <w:rFonts w:ascii="Arial" w:hAnsi="Arial" w:cs="Arial"/>
      <w:b w:val="0"/>
      <w:kern w:val="2"/>
      <w:szCs w:val="24"/>
    </w:rPr>
  </w:style>
  <w:style w:type="paragraph" w:customStyle="1" w:styleId="519">
    <w:name w:val="List Paragraph1"/>
    <w:basedOn w:val="1"/>
    <w:qFormat/>
    <w:uiPriority w:val="99"/>
    <w:pPr>
      <w:topLinePunct w:val="0"/>
      <w:adjustRightInd/>
      <w:snapToGrid/>
      <w:spacing w:line="240" w:lineRule="auto"/>
      <w:ind w:firstLine="420"/>
    </w:pPr>
    <w:rPr>
      <w:rFonts w:ascii="Calibri" w:hAnsi="Calibri" w:cs="Calibri"/>
      <w:kern w:val="2"/>
      <w:sz w:val="21"/>
      <w:szCs w:val="21"/>
    </w:rPr>
  </w:style>
  <w:style w:type="character" w:customStyle="1" w:styleId="520">
    <w:name w:val="zt1"/>
    <w:qFormat/>
    <w:uiPriority w:val="0"/>
  </w:style>
  <w:style w:type="character" w:customStyle="1" w:styleId="521">
    <w:name w:val="repeat-item"/>
    <w:qFormat/>
    <w:uiPriority w:val="0"/>
    <w:rPr>
      <w:sz w:val="26"/>
      <w:szCs w:val="26"/>
    </w:rPr>
  </w:style>
  <w:style w:type="paragraph" w:customStyle="1" w:styleId="522">
    <w:name w:val="正文2"/>
    <w:basedOn w:val="1"/>
    <w:qFormat/>
    <w:uiPriority w:val="0"/>
    <w:pPr>
      <w:topLinePunct w:val="0"/>
      <w:adjustRightInd/>
      <w:snapToGrid/>
      <w:ind w:firstLine="480"/>
    </w:pPr>
    <w:rPr>
      <w:rFonts w:ascii="宋体" w:hAnsi="宋体"/>
      <w:kern w:val="2"/>
    </w:rPr>
  </w:style>
  <w:style w:type="paragraph" w:customStyle="1" w:styleId="523">
    <w:name w:val="05表格"/>
    <w:basedOn w:val="1"/>
    <w:link w:val="524"/>
    <w:qFormat/>
    <w:uiPriority w:val="0"/>
    <w:pPr>
      <w:widowControl/>
      <w:topLinePunct w:val="0"/>
      <w:adjustRightInd/>
      <w:snapToGrid/>
      <w:spacing w:line="360" w:lineRule="exact"/>
      <w:ind w:left="-10" w:leftChars="-10" w:right="-10" w:rightChars="-10" w:firstLine="0" w:firstLineChars="0"/>
      <w:contextualSpacing/>
      <w:jc w:val="center"/>
      <w:textAlignment w:val="center"/>
    </w:pPr>
    <w:rPr>
      <w:bCs/>
      <w:color w:val="000000"/>
      <w:kern w:val="2"/>
      <w:sz w:val="21"/>
      <w:szCs w:val="21"/>
    </w:rPr>
  </w:style>
  <w:style w:type="character" w:customStyle="1" w:styleId="524">
    <w:name w:val="05表格 Char"/>
    <w:link w:val="523"/>
    <w:qFormat/>
    <w:uiPriority w:val="0"/>
    <w:rPr>
      <w:rFonts w:ascii="Times New Roman" w:hAnsi="Times New Roman" w:cs="Times New Roman"/>
      <w:bCs/>
      <w:color w:val="000000"/>
      <w:kern w:val="2"/>
      <w:sz w:val="21"/>
      <w:szCs w:val="21"/>
    </w:rPr>
  </w:style>
  <w:style w:type="paragraph" w:customStyle="1" w:styleId="525">
    <w:name w:val="样式 标题 3 +"/>
    <w:basedOn w:val="7"/>
    <w:semiHidden/>
    <w:qFormat/>
    <w:uiPriority w:val="0"/>
    <w:pPr>
      <w:keepLines/>
      <w:kinsoku/>
      <w:overflowPunct/>
      <w:topLinePunct w:val="0"/>
      <w:autoSpaceDE/>
      <w:autoSpaceDN/>
      <w:adjustRightInd/>
      <w:snapToGrid/>
      <w:spacing w:beforeLines="50"/>
      <w:ind w:left="1467" w:right="105" w:rightChars="50" w:hanging="825"/>
    </w:pPr>
    <w:rPr>
      <w:rFonts w:ascii="仿宋_GB2312" w:eastAsia="仿宋_GB2312"/>
      <w:b w:val="0"/>
      <w:bCs w:val="0"/>
      <w:sz w:val="28"/>
      <w:szCs w:val="32"/>
    </w:rPr>
  </w:style>
  <w:style w:type="character" w:customStyle="1" w:styleId="526">
    <w:name w:val="我的表格 Char"/>
    <w:qFormat/>
    <w:uiPriority w:val="0"/>
  </w:style>
  <w:style w:type="paragraph" w:customStyle="1" w:styleId="527">
    <w:name w:val="02级标题"/>
    <w:basedOn w:val="6"/>
    <w:link w:val="528"/>
    <w:qFormat/>
    <w:uiPriority w:val="0"/>
    <w:pPr>
      <w:numPr>
        <w:ilvl w:val="1"/>
        <w:numId w:val="5"/>
      </w:numPr>
    </w:pPr>
  </w:style>
  <w:style w:type="character" w:customStyle="1" w:styleId="528">
    <w:name w:val="02级标题 Char"/>
    <w:basedOn w:val="117"/>
    <w:link w:val="527"/>
    <w:qFormat/>
    <w:uiPriority w:val="0"/>
    <w:rPr>
      <w:rFonts w:ascii="Times New Roman" w:hAnsi="Times New Roman" w:cs="Times New Roman"/>
      <w:sz w:val="28"/>
      <w:szCs w:val="30"/>
    </w:rPr>
  </w:style>
  <w:style w:type="paragraph" w:customStyle="1" w:styleId="529">
    <w:name w:val="01级标题"/>
    <w:basedOn w:val="167"/>
    <w:link w:val="530"/>
    <w:qFormat/>
    <w:uiPriority w:val="0"/>
    <w:pPr>
      <w:jc w:val="left"/>
    </w:pPr>
    <w:rPr>
      <w:sz w:val="30"/>
      <w:szCs w:val="30"/>
    </w:rPr>
  </w:style>
  <w:style w:type="character" w:customStyle="1" w:styleId="530">
    <w:name w:val="01级标题 Char"/>
    <w:basedOn w:val="166"/>
    <w:link w:val="529"/>
    <w:qFormat/>
    <w:uiPriority w:val="0"/>
    <w:rPr>
      <w:rFonts w:ascii="Times New Roman" w:hAnsi="Times New Roman" w:cs="Times New Roman"/>
      <w:sz w:val="30"/>
      <w:szCs w:val="30"/>
    </w:rPr>
  </w:style>
  <w:style w:type="paragraph" w:customStyle="1" w:styleId="531">
    <w:name w:val="03级标题"/>
    <w:basedOn w:val="7"/>
    <w:link w:val="532"/>
    <w:qFormat/>
    <w:uiPriority w:val="0"/>
    <w:pPr>
      <w:ind w:left="1004" w:hanging="720"/>
    </w:pPr>
  </w:style>
  <w:style w:type="character" w:customStyle="1" w:styleId="532">
    <w:name w:val="03级标题 Char"/>
    <w:basedOn w:val="118"/>
    <w:link w:val="531"/>
    <w:qFormat/>
    <w:uiPriority w:val="0"/>
    <w:rPr>
      <w:rFonts w:ascii="Times New Roman" w:hAnsi="Times New Roman" w:cs="Times New Roman"/>
      <w:sz w:val="24"/>
      <w:szCs w:val="28"/>
    </w:rPr>
  </w:style>
  <w:style w:type="paragraph" w:customStyle="1" w:styleId="533">
    <w:name w:val="04级标题"/>
    <w:basedOn w:val="8"/>
    <w:link w:val="534"/>
    <w:qFormat/>
    <w:uiPriority w:val="0"/>
    <w:pPr>
      <w:ind w:left="864" w:hanging="864"/>
    </w:pPr>
  </w:style>
  <w:style w:type="character" w:customStyle="1" w:styleId="534">
    <w:name w:val="04级标题 Char"/>
    <w:basedOn w:val="119"/>
    <w:link w:val="533"/>
    <w:qFormat/>
    <w:uiPriority w:val="0"/>
    <w:rPr>
      <w:rFonts w:ascii="Times New Roman" w:hAnsi="Times New Roman" w:cs="Times New Roman"/>
      <w:sz w:val="24"/>
      <w:szCs w:val="24"/>
    </w:rPr>
  </w:style>
  <w:style w:type="character" w:customStyle="1" w:styleId="535">
    <w:name w:val="样式 宋体"/>
    <w:qFormat/>
    <w:uiPriority w:val="0"/>
    <w:rPr>
      <w:rFonts w:ascii="宋体" w:hAnsi="宋体" w:eastAsia="宋体"/>
      <w:sz w:val="24"/>
    </w:rPr>
  </w:style>
  <w:style w:type="paragraph" w:customStyle="1" w:styleId="536">
    <w:name w:val="06表头"/>
    <w:link w:val="537"/>
    <w:qFormat/>
    <w:uiPriority w:val="0"/>
    <w:pPr>
      <w:adjustRightInd w:val="0"/>
      <w:snapToGrid w:val="0"/>
      <w:spacing w:line="400" w:lineRule="exact"/>
      <w:jc w:val="center"/>
    </w:pPr>
    <w:rPr>
      <w:rFonts w:ascii="Times New Roman" w:hAnsi="Times New Roman" w:eastAsia="黑体" w:cs="Times New Roman"/>
      <w:kern w:val="2"/>
      <w:sz w:val="24"/>
      <w:szCs w:val="24"/>
      <w:lang w:val="en-US" w:eastAsia="zh-CN" w:bidi="ar-SA"/>
    </w:rPr>
  </w:style>
  <w:style w:type="character" w:customStyle="1" w:styleId="537">
    <w:name w:val="06表头 Char"/>
    <w:link w:val="536"/>
    <w:qFormat/>
    <w:uiPriority w:val="0"/>
    <w:rPr>
      <w:rFonts w:ascii="Times New Roman" w:hAnsi="Times New Roman" w:eastAsia="黑体" w:cs="Times New Roman"/>
      <w:kern w:val="2"/>
      <w:sz w:val="24"/>
      <w:szCs w:val="24"/>
    </w:rPr>
  </w:style>
  <w:style w:type="paragraph" w:customStyle="1" w:styleId="538">
    <w:name w:val="图名"/>
    <w:basedOn w:val="1"/>
    <w:next w:val="1"/>
    <w:qFormat/>
    <w:uiPriority w:val="0"/>
    <w:pPr>
      <w:tabs>
        <w:tab w:val="left" w:pos="360"/>
        <w:tab w:val="left" w:pos="3780"/>
        <w:tab w:val="left" w:pos="4680"/>
      </w:tabs>
      <w:topLinePunct w:val="0"/>
      <w:adjustRightInd/>
      <w:snapToGrid/>
      <w:ind w:firstLine="0" w:firstLineChars="0"/>
      <w:jc w:val="center"/>
    </w:pPr>
    <w:rPr>
      <w:b/>
      <w:kern w:val="2"/>
    </w:rPr>
  </w:style>
  <w:style w:type="paragraph" w:customStyle="1" w:styleId="539">
    <w:name w:val="正文 New New New New New New New New New"/>
    <w:qFormat/>
    <w:uiPriority w:val="0"/>
    <w:pPr>
      <w:widowControl w:val="0"/>
      <w:spacing w:line="360" w:lineRule="auto"/>
      <w:ind w:firstLine="600" w:firstLineChars="200"/>
      <w:jc w:val="both"/>
    </w:pPr>
    <w:rPr>
      <w:rFonts w:ascii="Calibri" w:hAnsi="Calibri" w:eastAsia="宋体" w:cs="Times New Roman"/>
      <w:kern w:val="2"/>
      <w:sz w:val="24"/>
      <w:szCs w:val="24"/>
      <w:lang w:val="en-US" w:eastAsia="zh-CN" w:bidi="ar-SA"/>
    </w:rPr>
  </w:style>
  <w:style w:type="paragraph" w:customStyle="1" w:styleId="540">
    <w:name w:val="a-文本缩2 New"/>
    <w:qFormat/>
    <w:uiPriority w:val="0"/>
    <w:pPr>
      <w:adjustRightInd w:val="0"/>
      <w:snapToGrid w:val="0"/>
      <w:spacing w:line="360" w:lineRule="auto"/>
      <w:ind w:firstLine="200" w:firstLineChars="200"/>
      <w:jc w:val="both"/>
    </w:pPr>
    <w:rPr>
      <w:rFonts w:ascii="Calibri" w:hAnsi="Calibri" w:eastAsia="宋体" w:cs="Times New Roman"/>
      <w:color w:val="000000"/>
      <w:kern w:val="2"/>
      <w:sz w:val="24"/>
      <w:szCs w:val="21"/>
      <w:lang w:val="en-US" w:eastAsia="zh-CN" w:bidi="ar-SA"/>
    </w:rPr>
  </w:style>
  <w:style w:type="paragraph" w:customStyle="1" w:styleId="541">
    <w:name w:val="a-文本缩2 New New New New"/>
    <w:qFormat/>
    <w:uiPriority w:val="0"/>
    <w:pPr>
      <w:adjustRightInd w:val="0"/>
      <w:snapToGrid w:val="0"/>
      <w:spacing w:line="360" w:lineRule="auto"/>
      <w:ind w:firstLine="200" w:firstLineChars="200"/>
      <w:jc w:val="both"/>
    </w:pPr>
    <w:rPr>
      <w:rFonts w:ascii="Calibri" w:hAnsi="Calibri" w:eastAsia="宋体" w:cs="Times New Roman"/>
      <w:color w:val="000000"/>
      <w:kern w:val="2"/>
      <w:sz w:val="24"/>
      <w:szCs w:val="21"/>
      <w:lang w:val="en-US" w:eastAsia="zh-CN" w:bidi="ar-SA"/>
    </w:rPr>
  </w:style>
  <w:style w:type="character" w:styleId="542">
    <w:name w:val="Placeholder Text"/>
    <w:basedOn w:val="98"/>
    <w:unhideWhenUsed/>
    <w:qFormat/>
    <w:uiPriority w:val="99"/>
    <w:rPr>
      <w:color w:val="808080"/>
    </w:rPr>
  </w:style>
  <w:style w:type="paragraph" w:customStyle="1" w:styleId="543">
    <w:name w:val="修订1"/>
    <w:hidden/>
    <w:unhideWhenUsed/>
    <w:qFormat/>
    <w:uiPriority w:val="99"/>
    <w:rPr>
      <w:rFonts w:ascii="Times New Roman" w:hAnsi="Times New Roman" w:eastAsia="宋体" w:cs="Times New Roman"/>
      <w:sz w:val="24"/>
      <w:szCs w:val="24"/>
      <w:lang w:val="en-US" w:eastAsia="zh-CN" w:bidi="ar-SA"/>
    </w:rPr>
  </w:style>
  <w:style w:type="paragraph" w:customStyle="1" w:styleId="544">
    <w:name w:val="文章正文"/>
    <w:next w:val="1"/>
    <w:link w:val="545"/>
    <w:qFormat/>
    <w:uiPriority w:val="0"/>
    <w:pPr>
      <w:spacing w:line="360" w:lineRule="auto"/>
      <w:ind w:firstLine="482"/>
    </w:pPr>
    <w:rPr>
      <w:rFonts w:ascii="Times New Roman" w:hAnsi="Times New Roman" w:eastAsia="宋体" w:cs="Times New Roman"/>
      <w:kern w:val="2"/>
      <w:sz w:val="24"/>
      <w:szCs w:val="24"/>
      <w:lang w:val="en-US" w:eastAsia="zh-CN" w:bidi="ar-SA"/>
    </w:rPr>
  </w:style>
  <w:style w:type="character" w:customStyle="1" w:styleId="545">
    <w:name w:val="文章正文 Char"/>
    <w:basedOn w:val="98"/>
    <w:link w:val="544"/>
    <w:qFormat/>
    <w:uiPriority w:val="0"/>
    <w:rPr>
      <w:rFonts w:ascii="Times New Roman" w:hAnsi="Times New Roman" w:cs="Times New Roman"/>
      <w:kern w:val="2"/>
      <w:sz w:val="24"/>
      <w:szCs w:val="24"/>
    </w:rPr>
  </w:style>
  <w:style w:type="character" w:customStyle="1" w:styleId="546">
    <w:name w:val="正文内容 Char"/>
    <w:link w:val="547"/>
    <w:qFormat/>
    <w:uiPriority w:val="0"/>
    <w:rPr>
      <w:sz w:val="24"/>
    </w:rPr>
  </w:style>
  <w:style w:type="paragraph" w:customStyle="1" w:styleId="547">
    <w:name w:val="正文内容"/>
    <w:basedOn w:val="1"/>
    <w:link w:val="546"/>
    <w:qFormat/>
    <w:uiPriority w:val="0"/>
    <w:pPr>
      <w:topLinePunct w:val="0"/>
      <w:adjustRightInd/>
      <w:snapToGrid/>
    </w:pPr>
    <w:rPr>
      <w:rFonts w:ascii="Calibri" w:hAnsi="Calibri" w:cs="Calibri"/>
      <w:szCs w:val="20"/>
    </w:rPr>
  </w:style>
  <w:style w:type="paragraph" w:customStyle="1" w:styleId="548">
    <w:name w:val="正文(首行缩进)"/>
    <w:basedOn w:val="1"/>
    <w:link w:val="697"/>
    <w:qFormat/>
    <w:uiPriority w:val="0"/>
    <w:pPr>
      <w:topLinePunct w:val="0"/>
      <w:adjustRightInd/>
      <w:snapToGrid/>
      <w:ind w:firstLine="510" w:firstLineChars="0"/>
    </w:pPr>
    <w:rPr>
      <w:rFonts w:ascii="宋体" w:hAnsi="宋体"/>
    </w:rPr>
  </w:style>
  <w:style w:type="paragraph" w:customStyle="1" w:styleId="549">
    <w:name w:val="正文对对"/>
    <w:basedOn w:val="1"/>
    <w:qFormat/>
    <w:uiPriority w:val="0"/>
    <w:pPr>
      <w:topLinePunct w:val="0"/>
      <w:adjustRightInd/>
      <w:snapToGrid/>
      <w:ind w:firstLine="480"/>
    </w:pPr>
    <w:rPr>
      <w:kern w:val="2"/>
    </w:rPr>
  </w:style>
  <w:style w:type="table" w:customStyle="1" w:styleId="550">
    <w:name w:val="图表格1"/>
    <w:basedOn w:val="92"/>
    <w:unhideWhenUsed/>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51">
    <w:name w:val="图表格2"/>
    <w:basedOn w:val="92"/>
    <w:unhideWhenUsed/>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552">
    <w:name w:val="标题 2 Char1"/>
    <w:basedOn w:val="98"/>
    <w:qFormat/>
    <w:uiPriority w:val="0"/>
    <w:rPr>
      <w:rFonts w:asciiTheme="majorHAnsi" w:hAnsiTheme="majorHAnsi" w:eastAsiaTheme="majorEastAsia" w:cstheme="majorBidi"/>
      <w:b/>
      <w:bCs/>
      <w:sz w:val="32"/>
      <w:szCs w:val="32"/>
    </w:rPr>
  </w:style>
  <w:style w:type="character" w:customStyle="1" w:styleId="553">
    <w:name w:val="正文文本 Char1"/>
    <w:basedOn w:val="98"/>
    <w:qFormat/>
    <w:uiPriority w:val="0"/>
    <w:rPr>
      <w:rFonts w:ascii="Times New Roman" w:hAnsi="Times New Roman" w:cs="Times New Roman"/>
      <w:sz w:val="24"/>
      <w:szCs w:val="24"/>
    </w:rPr>
  </w:style>
  <w:style w:type="character" w:customStyle="1" w:styleId="554">
    <w:name w:val="文档结构图 Char1"/>
    <w:basedOn w:val="98"/>
    <w:qFormat/>
    <w:uiPriority w:val="0"/>
    <w:rPr>
      <w:rFonts w:hint="eastAsia" w:ascii="宋体" w:hAnsi="Times New Roman" w:eastAsia="宋体" w:cs="Times New Roman"/>
      <w:sz w:val="18"/>
      <w:szCs w:val="18"/>
    </w:rPr>
  </w:style>
  <w:style w:type="character" w:customStyle="1" w:styleId="555">
    <w:name w:val="日期 Char1"/>
    <w:basedOn w:val="98"/>
    <w:qFormat/>
    <w:uiPriority w:val="0"/>
    <w:rPr>
      <w:rFonts w:hint="default" w:ascii="Times New Roman" w:hAnsi="Times New Roman" w:cs="Times New Roman"/>
      <w:sz w:val="24"/>
      <w:szCs w:val="24"/>
    </w:rPr>
  </w:style>
  <w:style w:type="character" w:customStyle="1" w:styleId="556">
    <w:name w:val="批注文字 Char1"/>
    <w:basedOn w:val="98"/>
    <w:qFormat/>
    <w:uiPriority w:val="0"/>
    <w:rPr>
      <w:rFonts w:hint="default" w:ascii="Times New Roman" w:hAnsi="Times New Roman" w:cs="Times New Roman"/>
      <w:sz w:val="24"/>
      <w:szCs w:val="24"/>
    </w:rPr>
  </w:style>
  <w:style w:type="character" w:customStyle="1" w:styleId="557">
    <w:name w:val="正文首行缩进 Char1"/>
    <w:basedOn w:val="553"/>
    <w:qFormat/>
    <w:uiPriority w:val="0"/>
    <w:rPr>
      <w:rFonts w:hint="default" w:ascii="Times New Roman" w:hAnsi="Times New Roman" w:cs="Times New Roman"/>
      <w:sz w:val="24"/>
      <w:szCs w:val="24"/>
    </w:rPr>
  </w:style>
  <w:style w:type="character" w:customStyle="1" w:styleId="558">
    <w:name w:val="副标题 Char1"/>
    <w:basedOn w:val="98"/>
    <w:qFormat/>
    <w:uiPriority w:val="0"/>
    <w:rPr>
      <w:rFonts w:hint="default" w:asciiTheme="majorHAnsi" w:hAnsiTheme="majorHAnsi" w:cstheme="majorBidi"/>
      <w:b/>
      <w:bCs/>
      <w:kern w:val="28"/>
      <w:sz w:val="32"/>
      <w:szCs w:val="32"/>
    </w:rPr>
  </w:style>
  <w:style w:type="character" w:customStyle="1" w:styleId="559">
    <w:name w:val="正文文本缩进 3 Char1"/>
    <w:basedOn w:val="98"/>
    <w:qFormat/>
    <w:uiPriority w:val="0"/>
    <w:rPr>
      <w:rFonts w:hint="default" w:ascii="Times New Roman" w:hAnsi="Times New Roman" w:cs="Times New Roman"/>
      <w:sz w:val="16"/>
      <w:szCs w:val="16"/>
    </w:rPr>
  </w:style>
  <w:style w:type="character" w:customStyle="1" w:styleId="560">
    <w:name w:val="标题 Char1"/>
    <w:basedOn w:val="98"/>
    <w:qFormat/>
    <w:uiPriority w:val="0"/>
    <w:rPr>
      <w:rFonts w:hint="default" w:asciiTheme="majorHAnsi" w:hAnsiTheme="majorHAnsi" w:cstheme="majorBidi"/>
      <w:b/>
      <w:bCs/>
      <w:sz w:val="32"/>
      <w:szCs w:val="32"/>
    </w:rPr>
  </w:style>
  <w:style w:type="paragraph" w:customStyle="1" w:styleId="561">
    <w:name w:val="Char Char Char Char Char1 Char Char Char Char Char Char Char"/>
    <w:basedOn w:val="30"/>
    <w:qFormat/>
    <w:uiPriority w:val="0"/>
    <w:pPr>
      <w:widowControl/>
      <w:shd w:val="clear" w:color="auto" w:fill="000080"/>
      <w:tabs>
        <w:tab w:val="left" w:pos="1276"/>
      </w:tabs>
      <w:topLinePunct w:val="0"/>
      <w:adjustRightInd/>
      <w:snapToGrid/>
      <w:spacing w:line="436" w:lineRule="exact"/>
      <w:ind w:left="357" w:firstLine="567" w:firstLineChars="0"/>
      <w:jc w:val="center"/>
      <w:outlineLvl w:val="3"/>
    </w:pPr>
    <w:rPr>
      <w:rFonts w:ascii="Tahoma" w:hAnsi="Tahoma" w:eastAsia="黑体"/>
      <w:kern w:val="2"/>
      <w:sz w:val="28"/>
      <w:szCs w:val="28"/>
    </w:rPr>
  </w:style>
  <w:style w:type="paragraph" w:customStyle="1" w:styleId="562">
    <w:name w:val="Char Char Char Char Char1 Char Char Char Char Char Char Char2"/>
    <w:basedOn w:val="30"/>
    <w:qFormat/>
    <w:uiPriority w:val="0"/>
    <w:pPr>
      <w:widowControl/>
      <w:shd w:val="clear" w:color="auto" w:fill="000080"/>
      <w:tabs>
        <w:tab w:val="left" w:pos="1276"/>
      </w:tabs>
      <w:topLinePunct w:val="0"/>
      <w:adjustRightInd/>
      <w:snapToGrid/>
      <w:spacing w:line="436" w:lineRule="exact"/>
      <w:ind w:left="357" w:firstLine="567" w:firstLineChars="0"/>
      <w:jc w:val="center"/>
      <w:outlineLvl w:val="3"/>
    </w:pPr>
    <w:rPr>
      <w:rFonts w:ascii="Tahoma" w:hAnsi="Tahoma" w:eastAsia="黑体"/>
      <w:kern w:val="2"/>
      <w:sz w:val="28"/>
      <w:szCs w:val="28"/>
    </w:rPr>
  </w:style>
  <w:style w:type="paragraph" w:customStyle="1" w:styleId="563">
    <w:name w:val="表格内正文"/>
    <w:basedOn w:val="1"/>
    <w:qFormat/>
    <w:uiPriority w:val="0"/>
    <w:pPr>
      <w:topLinePunct w:val="0"/>
      <w:adjustRightInd/>
      <w:snapToGrid/>
      <w:spacing w:line="360" w:lineRule="exact"/>
      <w:ind w:firstLine="0" w:firstLineChars="0"/>
      <w:jc w:val="center"/>
    </w:pPr>
    <w:rPr>
      <w:kern w:val="2"/>
      <w:sz w:val="21"/>
    </w:rPr>
  </w:style>
  <w:style w:type="paragraph" w:customStyle="1" w:styleId="564">
    <w:name w:val="Char Char Char Char Char1 Char Char Char Char Char Char Char1"/>
    <w:basedOn w:val="30"/>
    <w:qFormat/>
    <w:uiPriority w:val="0"/>
    <w:pPr>
      <w:widowControl/>
      <w:shd w:val="clear" w:color="auto" w:fill="000080"/>
      <w:tabs>
        <w:tab w:val="left" w:pos="1276"/>
      </w:tabs>
      <w:topLinePunct w:val="0"/>
      <w:adjustRightInd/>
      <w:snapToGrid/>
      <w:spacing w:line="436" w:lineRule="exact"/>
      <w:ind w:left="357" w:firstLine="567" w:firstLineChars="0"/>
      <w:jc w:val="center"/>
      <w:outlineLvl w:val="3"/>
    </w:pPr>
    <w:rPr>
      <w:rFonts w:ascii="Tahoma" w:hAnsi="Tahoma" w:eastAsia="黑体"/>
      <w:kern w:val="2"/>
      <w:sz w:val="28"/>
      <w:szCs w:val="28"/>
    </w:rPr>
  </w:style>
  <w:style w:type="paragraph" w:customStyle="1" w:styleId="565">
    <w:name w:val="TOC 标题11"/>
    <w:basedOn w:val="5"/>
    <w:next w:val="1"/>
    <w:qFormat/>
    <w:uiPriority w:val="39"/>
    <w:pPr>
      <w:pageBreakBefore w:val="0"/>
      <w:widowControl/>
      <w:tabs>
        <w:tab w:val="clear" w:pos="432"/>
      </w:tabs>
      <w:topLinePunct w:val="0"/>
      <w:adjustRightInd/>
      <w:snapToGrid/>
      <w:spacing w:before="480" w:line="276" w:lineRule="auto"/>
      <w:outlineLvl w:val="9"/>
    </w:pPr>
    <w:rPr>
      <w:rFonts w:ascii="Cambria" w:hAnsi="Cambria"/>
      <w:color w:val="365F91"/>
      <w:sz w:val="28"/>
      <w:szCs w:val="28"/>
    </w:rPr>
  </w:style>
  <w:style w:type="paragraph" w:customStyle="1" w:styleId="566">
    <w:name w:val="修订11"/>
    <w:hidden/>
    <w:unhideWhenUsed/>
    <w:qFormat/>
    <w:uiPriority w:val="99"/>
    <w:rPr>
      <w:rFonts w:ascii="Times New Roman" w:hAnsi="Times New Roman" w:eastAsia="宋体" w:cs="Times New Roman"/>
      <w:sz w:val="24"/>
      <w:szCs w:val="24"/>
      <w:lang w:val="en-US" w:eastAsia="zh-CN" w:bidi="ar-SA"/>
    </w:rPr>
  </w:style>
  <w:style w:type="paragraph" w:customStyle="1" w:styleId="567">
    <w:name w:val="TT正文"/>
    <w:basedOn w:val="1"/>
    <w:qFormat/>
    <w:uiPriority w:val="0"/>
    <w:rPr>
      <w:color w:val="000000"/>
      <w:sz w:val="20"/>
      <w:szCs w:val="20"/>
    </w:rPr>
  </w:style>
  <w:style w:type="paragraph" w:customStyle="1" w:styleId="568">
    <w:name w:val="TT表格文字"/>
    <w:basedOn w:val="1"/>
    <w:qFormat/>
    <w:uiPriority w:val="0"/>
    <w:pPr>
      <w:spacing w:line="240" w:lineRule="auto"/>
      <w:jc w:val="center"/>
    </w:pPr>
    <w:rPr>
      <w:rFonts w:cs="宋体"/>
      <w:sz w:val="21"/>
      <w:szCs w:val="20"/>
    </w:rPr>
  </w:style>
  <w:style w:type="paragraph" w:customStyle="1" w:styleId="569">
    <w:name w:val="TT表格文字01"/>
    <w:basedOn w:val="1"/>
    <w:qFormat/>
    <w:uiPriority w:val="0"/>
    <w:pPr>
      <w:widowControl/>
      <w:wordWrap w:val="0"/>
      <w:overflowPunct w:val="0"/>
      <w:spacing w:line="240" w:lineRule="auto"/>
      <w:jc w:val="center"/>
    </w:pPr>
    <w:rPr>
      <w:snapToGrid w:val="0"/>
      <w:color w:val="000000"/>
      <w:sz w:val="21"/>
      <w:szCs w:val="20"/>
    </w:rPr>
  </w:style>
  <w:style w:type="paragraph" w:customStyle="1" w:styleId="570">
    <w:name w:val="TT表格标题"/>
    <w:basedOn w:val="1"/>
    <w:qFormat/>
    <w:uiPriority w:val="0"/>
    <w:pPr>
      <w:tabs>
        <w:tab w:val="left" w:pos="480"/>
      </w:tabs>
      <w:spacing w:line="240" w:lineRule="auto"/>
      <w:jc w:val="center"/>
    </w:pPr>
    <w:rPr>
      <w:rFonts w:cs="宋体"/>
      <w:b/>
      <w:bCs/>
      <w:szCs w:val="20"/>
    </w:rPr>
  </w:style>
  <w:style w:type="paragraph" w:customStyle="1" w:styleId="571">
    <w:name w:val="表格文字01"/>
    <w:basedOn w:val="1"/>
    <w:qFormat/>
    <w:uiPriority w:val="0"/>
    <w:pPr>
      <w:wordWrap w:val="0"/>
      <w:overflowPunct w:val="0"/>
      <w:spacing w:line="240" w:lineRule="auto"/>
      <w:jc w:val="center"/>
    </w:pPr>
    <w:rPr>
      <w:snapToGrid w:val="0"/>
      <w:color w:val="000000"/>
      <w:sz w:val="21"/>
      <w:szCs w:val="20"/>
    </w:rPr>
  </w:style>
  <w:style w:type="paragraph" w:customStyle="1" w:styleId="572">
    <w:name w:val=".."/>
    <w:basedOn w:val="1"/>
    <w:next w:val="1"/>
    <w:qFormat/>
    <w:uiPriority w:val="0"/>
    <w:pPr>
      <w:autoSpaceDE w:val="0"/>
      <w:autoSpaceDN w:val="0"/>
      <w:jc w:val="left"/>
    </w:pPr>
    <w:rPr>
      <w:rFonts w:ascii=".." w:eastAsia=".."/>
    </w:rPr>
  </w:style>
  <w:style w:type="paragraph" w:customStyle="1" w:styleId="573">
    <w:name w:val="TT标题"/>
    <w:basedOn w:val="1"/>
    <w:qFormat/>
    <w:uiPriority w:val="0"/>
    <w:pPr>
      <w:spacing w:line="240" w:lineRule="auto"/>
      <w:jc w:val="center"/>
    </w:pPr>
    <w:rPr>
      <w:rFonts w:cs="宋体"/>
      <w:b/>
      <w:szCs w:val="20"/>
    </w:rPr>
  </w:style>
  <w:style w:type="paragraph" w:customStyle="1" w:styleId="574">
    <w:name w:val="表内文字（环评sky）"/>
    <w:basedOn w:val="1"/>
    <w:qFormat/>
    <w:uiPriority w:val="0"/>
    <w:pPr>
      <w:tabs>
        <w:tab w:val="left" w:pos="480"/>
      </w:tabs>
      <w:spacing w:line="360" w:lineRule="exact"/>
      <w:ind w:firstLine="0" w:firstLineChars="0"/>
      <w:jc w:val="center"/>
    </w:pPr>
    <w:rPr>
      <w:sz w:val="21"/>
      <w:szCs w:val="21"/>
    </w:rPr>
  </w:style>
  <w:style w:type="paragraph" w:customStyle="1" w:styleId="575">
    <w:name w:val="表格名称"/>
    <w:basedOn w:val="1"/>
    <w:qFormat/>
    <w:uiPriority w:val="0"/>
    <w:pPr>
      <w:spacing w:line="240" w:lineRule="auto"/>
      <w:ind w:firstLine="0" w:firstLineChars="0"/>
      <w:jc w:val="center"/>
    </w:pPr>
    <w:rPr>
      <w:b/>
    </w:rPr>
  </w:style>
  <w:style w:type="paragraph" w:customStyle="1" w:styleId="576">
    <w:name w:val="3级"/>
    <w:basedOn w:val="577"/>
    <w:qFormat/>
    <w:uiPriority w:val="0"/>
    <w:pPr>
      <w:keepLines/>
      <w:tabs>
        <w:tab w:val="left" w:pos="3570"/>
      </w:tabs>
      <w:topLinePunct w:val="0"/>
      <w:adjustRightInd/>
      <w:snapToGrid/>
      <w:spacing w:line="240" w:lineRule="auto"/>
      <w:ind w:firstLine="200" w:firstLineChars="200"/>
    </w:pPr>
    <w:rPr>
      <w:kern w:val="2"/>
      <w:sz w:val="28"/>
    </w:rPr>
  </w:style>
  <w:style w:type="paragraph" w:customStyle="1" w:styleId="577">
    <w:name w:val="样式 标题 3 + 非加粗"/>
    <w:basedOn w:val="7"/>
    <w:qFormat/>
    <w:uiPriority w:val="0"/>
    <w:pPr>
      <w:tabs>
        <w:tab w:val="left" w:pos="3570"/>
      </w:tabs>
    </w:pPr>
    <w:rPr>
      <w:bCs w:val="0"/>
      <w:lang w:val="zh-CN"/>
    </w:rPr>
  </w:style>
  <w:style w:type="paragraph" w:customStyle="1" w:styleId="578">
    <w:name w:val="Char Char Char Char1 Char Char Char Char Char Char Char Char Char2"/>
    <w:basedOn w:val="1"/>
    <w:qFormat/>
    <w:uiPriority w:val="0"/>
    <w:pPr>
      <w:topLinePunct w:val="0"/>
      <w:adjustRightInd/>
      <w:snapToGrid/>
      <w:spacing w:line="240" w:lineRule="auto"/>
      <w:ind w:firstLine="0" w:firstLineChars="0"/>
    </w:pPr>
    <w:rPr>
      <w:rFonts w:eastAsia="黑体" w:cs="宋体"/>
      <w:b/>
      <w:bCs/>
      <w:color w:val="000000"/>
      <w:kern w:val="2"/>
      <w:sz w:val="32"/>
      <w:szCs w:val="32"/>
    </w:rPr>
  </w:style>
  <w:style w:type="character" w:customStyle="1" w:styleId="579">
    <w:name w:val="正文缩进 Char2"/>
    <w:qFormat/>
    <w:uiPriority w:val="0"/>
    <w:rPr>
      <w:rFonts w:eastAsia="宋体" w:cs="宋体"/>
      <w:b/>
      <w:bCs/>
      <w:color w:val="000000"/>
      <w:kern w:val="2"/>
      <w:sz w:val="24"/>
      <w:szCs w:val="24"/>
      <w:lang w:val="en-US" w:eastAsia="zh-CN" w:bidi="ar-SA"/>
    </w:rPr>
  </w:style>
  <w:style w:type="paragraph" w:customStyle="1" w:styleId="580">
    <w:name w:val="样式 标题 2"/>
    <w:basedOn w:val="6"/>
    <w:qFormat/>
    <w:uiPriority w:val="0"/>
    <w:pPr>
      <w:topLinePunct w:val="0"/>
      <w:adjustRightInd/>
      <w:snapToGrid/>
    </w:pPr>
    <w:rPr>
      <w:rFonts w:eastAsia="黑体" w:cs="宋体"/>
      <w:color w:val="000000"/>
      <w:kern w:val="2"/>
    </w:rPr>
  </w:style>
  <w:style w:type="paragraph" w:customStyle="1" w:styleId="581">
    <w:name w:val="4级标题"/>
    <w:basedOn w:val="1"/>
    <w:link w:val="1014"/>
    <w:qFormat/>
    <w:uiPriority w:val="0"/>
    <w:pPr>
      <w:outlineLvl w:val="3"/>
    </w:pPr>
    <w:rPr>
      <w:b/>
    </w:rPr>
  </w:style>
  <w:style w:type="paragraph" w:customStyle="1" w:styleId="582">
    <w:name w:val="正"/>
    <w:basedOn w:val="1"/>
    <w:qFormat/>
    <w:uiPriority w:val="0"/>
    <w:pPr>
      <w:widowControl/>
      <w:jc w:val="left"/>
    </w:pPr>
    <w:rPr>
      <w:rFonts w:eastAsia="黑体" w:cs="宋体"/>
      <w:bCs/>
      <w:color w:val="000000"/>
      <w:szCs w:val="32"/>
    </w:rPr>
  </w:style>
  <w:style w:type="table" w:customStyle="1" w:styleId="583">
    <w:name w:val="11"/>
    <w:basedOn w:val="93"/>
    <w:qFormat/>
    <w:uiPriority w:val="0"/>
    <w:pPr>
      <w:jc w:val="center"/>
    </w:pPr>
    <w:rPr>
      <w:sz w:val="21"/>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Pr>
    <w:tcPr>
      <w:vAlign w:val="center"/>
    </w:tcPr>
  </w:style>
  <w:style w:type="paragraph" w:customStyle="1" w:styleId="584">
    <w:name w:val="Table Paragraph"/>
    <w:basedOn w:val="1"/>
    <w:qFormat/>
    <w:uiPriority w:val="1"/>
    <w:rPr>
      <w:rFonts w:ascii="宋体" w:hAnsi="宋体" w:cs="宋体"/>
      <w:lang w:val="zh-CN" w:bidi="zh-CN"/>
    </w:rPr>
  </w:style>
  <w:style w:type="paragraph" w:customStyle="1" w:styleId="585">
    <w:name w:val="1正文正文 宋体 小四 1.5倍行距"/>
    <w:basedOn w:val="55"/>
    <w:qFormat/>
    <w:uiPriority w:val="0"/>
    <w:pPr>
      <w:adjustRightInd w:val="0"/>
      <w:snapToGrid w:val="0"/>
      <w:spacing w:line="480" w:lineRule="exact"/>
      <w:ind w:firstLine="200"/>
    </w:pPr>
    <w:rPr>
      <w:color w:val="000000"/>
    </w:rPr>
  </w:style>
  <w:style w:type="character" w:customStyle="1" w:styleId="586">
    <w:name w:val="font21"/>
    <w:basedOn w:val="98"/>
    <w:qFormat/>
    <w:uiPriority w:val="0"/>
    <w:rPr>
      <w:rFonts w:hint="default" w:ascii="Times New Roman" w:hAnsi="Times New Roman" w:cs="Times New Roman"/>
      <w:color w:val="000000"/>
      <w:sz w:val="18"/>
      <w:szCs w:val="18"/>
      <w:u w:val="none"/>
    </w:rPr>
  </w:style>
  <w:style w:type="paragraph" w:customStyle="1" w:styleId="587">
    <w:name w:val="表标头jophy"/>
    <w:qFormat/>
    <w:uiPriority w:val="0"/>
    <w:pPr>
      <w:adjustRightInd w:val="0"/>
      <w:snapToGrid w:val="0"/>
      <w:jc w:val="center"/>
    </w:pPr>
    <w:rPr>
      <w:rFonts w:ascii="Times New Roman" w:hAnsi="Times New Roman" w:eastAsia="宋体" w:cs="Times New Roman"/>
      <w:b/>
      <w:bCs/>
      <w:kern w:val="2"/>
      <w:sz w:val="24"/>
      <w:szCs w:val="28"/>
      <w:lang w:val="en-US" w:eastAsia="zh-CN" w:bidi="ar-SA"/>
    </w:rPr>
  </w:style>
  <w:style w:type="paragraph" w:customStyle="1" w:styleId="588">
    <w:name w:val="表头罗"/>
    <w:basedOn w:val="1"/>
    <w:qFormat/>
    <w:uiPriority w:val="0"/>
    <w:pPr>
      <w:widowControl/>
      <w:topLinePunct w:val="0"/>
      <w:adjustRightInd/>
      <w:snapToGrid/>
      <w:spacing w:line="240" w:lineRule="auto"/>
      <w:ind w:firstLine="0" w:firstLineChars="0"/>
      <w:jc w:val="center"/>
    </w:pPr>
    <w:rPr>
      <w:b/>
      <w:bCs/>
      <w:kern w:val="2"/>
      <w:sz w:val="21"/>
      <w:szCs w:val="21"/>
    </w:rPr>
  </w:style>
  <w:style w:type="paragraph" w:customStyle="1" w:styleId="589">
    <w:name w:val="正文罗"/>
    <w:basedOn w:val="1"/>
    <w:qFormat/>
    <w:uiPriority w:val="0"/>
    <w:pPr>
      <w:topLinePunct w:val="0"/>
      <w:adjustRightInd/>
      <w:snapToGrid/>
    </w:pPr>
    <w:rPr>
      <w:rFonts w:cs="宋体"/>
      <w:color w:val="000000"/>
      <w:kern w:val="2"/>
    </w:rPr>
  </w:style>
  <w:style w:type="paragraph" w:customStyle="1" w:styleId="590">
    <w:name w:val="正文 New New New New New New New New New New New New New New New New New New New New New New New New New New New New New New New New New New New New New New New New New New New New New New New New New New New New New New New New New New New New New New Ne"/>
    <w:basedOn w:val="1"/>
    <w:qFormat/>
    <w:uiPriority w:val="0"/>
    <w:pPr>
      <w:topLinePunct w:val="0"/>
      <w:adjustRightInd/>
      <w:snapToGrid/>
      <w:spacing w:line="240" w:lineRule="auto"/>
      <w:ind w:firstLine="0" w:firstLineChars="0"/>
    </w:pPr>
    <w:rPr>
      <w:kern w:val="2"/>
      <w:sz w:val="21"/>
      <w:szCs w:val="21"/>
    </w:rPr>
  </w:style>
  <w:style w:type="paragraph" w:customStyle="1" w:styleId="591">
    <w:name w:val="样式 标题2罗 + 段前: 0.1 行"/>
    <w:basedOn w:val="1"/>
    <w:qFormat/>
    <w:uiPriority w:val="0"/>
    <w:pPr>
      <w:keepNext/>
      <w:keepLines/>
      <w:topLinePunct w:val="0"/>
      <w:adjustRightInd/>
      <w:snapToGrid/>
      <w:spacing w:beforeLines="50"/>
      <w:ind w:firstLine="0" w:firstLineChars="0"/>
      <w:outlineLvl w:val="1"/>
    </w:pPr>
    <w:rPr>
      <w:rFonts w:eastAsia="黑体" w:cs="宋体"/>
      <w:b/>
      <w:bCs/>
      <w:color w:val="000000"/>
      <w:kern w:val="2"/>
      <w:sz w:val="28"/>
      <w:szCs w:val="28"/>
    </w:rPr>
  </w:style>
  <w:style w:type="paragraph" w:customStyle="1" w:styleId="592">
    <w:name w:val="正文3"/>
    <w:qFormat/>
    <w:uiPriority w:val="0"/>
    <w:pPr>
      <w:jc w:val="both"/>
    </w:pPr>
    <w:rPr>
      <w:rFonts w:ascii="Times New Roman" w:hAnsi="Times New Roman" w:eastAsia="宋体" w:cs="Times New Roman"/>
      <w:kern w:val="2"/>
      <w:sz w:val="21"/>
      <w:szCs w:val="21"/>
      <w:lang w:val="en-US" w:eastAsia="zh-CN" w:bidi="ar-SA"/>
    </w:rPr>
  </w:style>
  <w:style w:type="paragraph" w:customStyle="1" w:styleId="593">
    <w:name w:val="标题2 罗"/>
    <w:basedOn w:val="591"/>
    <w:qFormat/>
    <w:uiPriority w:val="0"/>
  </w:style>
  <w:style w:type="paragraph" w:customStyle="1" w:styleId="594">
    <w:name w:val="样式 正文罗 + (符号) 宋体 首行缩进:  2 字符"/>
    <w:basedOn w:val="589"/>
    <w:qFormat/>
    <w:uiPriority w:val="0"/>
    <w:pPr>
      <w:ind w:firstLine="480"/>
    </w:pPr>
  </w:style>
  <w:style w:type="paragraph" w:customStyle="1" w:styleId="595">
    <w:name w:val="标题4  罗"/>
    <w:basedOn w:val="596"/>
    <w:qFormat/>
    <w:uiPriority w:val="0"/>
    <w:pPr>
      <w:spacing w:before="0" w:after="0" w:line="360" w:lineRule="auto"/>
    </w:pPr>
    <w:rPr>
      <w:rFonts w:ascii="Times New Roman" w:hAnsi="Times New Roman" w:cs="宋体"/>
      <w:b w:val="0"/>
      <w:bCs w:val="0"/>
      <w:sz w:val="24"/>
      <w:szCs w:val="24"/>
    </w:rPr>
  </w:style>
  <w:style w:type="paragraph" w:customStyle="1" w:styleId="596">
    <w:name w:val="标题 4 New New"/>
    <w:basedOn w:val="590"/>
    <w:next w:val="590"/>
    <w:qFormat/>
    <w:uiPriority w:val="0"/>
    <w:pPr>
      <w:keepNext/>
      <w:keepLines/>
      <w:spacing w:before="280" w:after="290" w:line="374" w:lineRule="auto"/>
      <w:outlineLvl w:val="3"/>
    </w:pPr>
    <w:rPr>
      <w:rFonts w:ascii="Arial" w:hAnsi="Arial" w:eastAsia="黑体" w:cs="Arial"/>
      <w:b/>
      <w:bCs/>
      <w:sz w:val="28"/>
      <w:szCs w:val="28"/>
    </w:rPr>
  </w:style>
  <w:style w:type="paragraph" w:customStyle="1" w:styleId="597">
    <w:name w:val="1-表格字体"/>
    <w:basedOn w:val="1"/>
    <w:link w:val="718"/>
    <w:qFormat/>
    <w:uiPriority w:val="0"/>
    <w:pPr>
      <w:topLinePunct w:val="0"/>
      <w:adjustRightInd/>
      <w:snapToGrid/>
      <w:spacing w:line="240" w:lineRule="auto"/>
      <w:ind w:firstLine="0" w:firstLineChars="0"/>
      <w:jc w:val="center"/>
    </w:pPr>
    <w:rPr>
      <w:rFonts w:ascii="宋体" w:hAnsi="宋体" w:cs="宋体"/>
      <w:kern w:val="2"/>
      <w:sz w:val="18"/>
      <w:szCs w:val="18"/>
    </w:rPr>
  </w:style>
  <w:style w:type="paragraph" w:customStyle="1" w:styleId="598">
    <w:name w:val="p0"/>
    <w:basedOn w:val="1"/>
    <w:qFormat/>
    <w:uiPriority w:val="0"/>
    <w:pPr>
      <w:widowControl/>
      <w:topLinePunct w:val="0"/>
      <w:adjustRightInd/>
      <w:snapToGrid/>
      <w:spacing w:line="240" w:lineRule="auto"/>
      <w:ind w:firstLine="0" w:firstLineChars="0"/>
      <w:jc w:val="left"/>
    </w:pPr>
    <w:rPr>
      <w:sz w:val="20"/>
      <w:szCs w:val="20"/>
    </w:rPr>
  </w:style>
  <w:style w:type="paragraph" w:customStyle="1" w:styleId="599">
    <w:name w:val="标题1罗"/>
    <w:basedOn w:val="5"/>
    <w:qFormat/>
    <w:uiPriority w:val="0"/>
    <w:pPr>
      <w:pageBreakBefore w:val="0"/>
      <w:tabs>
        <w:tab w:val="clear" w:pos="432"/>
      </w:tabs>
      <w:topLinePunct w:val="0"/>
      <w:adjustRightInd/>
      <w:snapToGrid/>
      <w:jc w:val="both"/>
    </w:pPr>
    <w:rPr>
      <w:rFonts w:eastAsia="黑体" w:cs="宋体"/>
      <w:kern w:val="44"/>
      <w:sz w:val="30"/>
      <w:szCs w:val="30"/>
    </w:rPr>
  </w:style>
  <w:style w:type="paragraph" w:customStyle="1" w:styleId="600">
    <w:name w:val="文章正文文字 Char"/>
    <w:basedOn w:val="1"/>
    <w:semiHidden/>
    <w:qFormat/>
    <w:uiPriority w:val="0"/>
    <w:pPr>
      <w:topLinePunct w:val="0"/>
      <w:adjustRightInd/>
      <w:snapToGrid/>
      <w:spacing w:line="520" w:lineRule="exact"/>
      <w:ind w:firstLine="0" w:firstLineChars="0"/>
      <w:jc w:val="left"/>
    </w:pPr>
    <w:rPr>
      <w:kern w:val="2"/>
    </w:rPr>
  </w:style>
  <w:style w:type="paragraph" w:customStyle="1" w:styleId="601">
    <w:name w:val="dxj正文"/>
    <w:basedOn w:val="1"/>
    <w:link w:val="711"/>
    <w:qFormat/>
    <w:uiPriority w:val="0"/>
    <w:pPr>
      <w:topLinePunct w:val="0"/>
      <w:adjustRightInd/>
      <w:snapToGrid/>
    </w:pPr>
    <w:rPr>
      <w:rFonts w:ascii="Arial" w:hAnsi="Arial" w:cs="Arial"/>
      <w:kern w:val="2"/>
    </w:rPr>
  </w:style>
  <w:style w:type="paragraph" w:customStyle="1" w:styleId="602">
    <w:name w:val="码头表"/>
    <w:basedOn w:val="1"/>
    <w:qFormat/>
    <w:uiPriority w:val="0"/>
    <w:pPr>
      <w:topLinePunct w:val="0"/>
      <w:spacing w:before="40" w:after="100" w:afterAutospacing="1" w:line="360" w:lineRule="atLeast"/>
      <w:ind w:firstLine="0" w:firstLineChars="0"/>
      <w:jc w:val="center"/>
    </w:pPr>
    <w:rPr>
      <w:rFonts w:ascii="华文楷体" w:hAnsi="华文楷体" w:cs="宋体"/>
      <w:kern w:val="2"/>
    </w:rPr>
  </w:style>
  <w:style w:type="paragraph" w:customStyle="1" w:styleId="603">
    <w:name w:val="标题 4 New"/>
    <w:basedOn w:val="1"/>
    <w:next w:val="1"/>
    <w:qFormat/>
    <w:uiPriority w:val="0"/>
    <w:pPr>
      <w:keepNext/>
      <w:keepLines/>
      <w:topLinePunct w:val="0"/>
      <w:adjustRightInd/>
      <w:snapToGrid/>
      <w:spacing w:before="280" w:after="290" w:line="374" w:lineRule="auto"/>
      <w:ind w:firstLine="0" w:firstLineChars="0"/>
      <w:outlineLvl w:val="3"/>
    </w:pPr>
    <w:rPr>
      <w:rFonts w:ascii="Arial" w:hAnsi="Arial" w:eastAsia="黑体" w:cs="Arial"/>
      <w:b/>
      <w:bCs/>
      <w:kern w:val="2"/>
      <w:sz w:val="28"/>
      <w:szCs w:val="28"/>
    </w:rPr>
  </w:style>
  <w:style w:type="paragraph" w:customStyle="1" w:styleId="604">
    <w:name w:val="正文4"/>
    <w:qFormat/>
    <w:uiPriority w:val="0"/>
    <w:pPr>
      <w:jc w:val="both"/>
    </w:pPr>
    <w:rPr>
      <w:rFonts w:ascii="Calibri" w:hAnsi="Calibri" w:eastAsia="宋体" w:cs="Calibri"/>
      <w:kern w:val="2"/>
      <w:sz w:val="21"/>
      <w:szCs w:val="21"/>
      <w:lang w:val="en-US" w:eastAsia="zh-CN" w:bidi="ar-SA"/>
    </w:rPr>
  </w:style>
  <w:style w:type="character" w:customStyle="1" w:styleId="605">
    <w:name w:val="15"/>
    <w:basedOn w:val="98"/>
    <w:qFormat/>
    <w:uiPriority w:val="0"/>
    <w:rPr>
      <w:rFonts w:hint="default" w:ascii="Calibri" w:hAnsi="Calibri" w:cs="Calibri"/>
      <w:b/>
      <w:bCs/>
    </w:rPr>
  </w:style>
  <w:style w:type="paragraph" w:customStyle="1" w:styleId="606">
    <w:name w:val="样式4"/>
    <w:basedOn w:val="1"/>
    <w:link w:val="607"/>
    <w:qFormat/>
    <w:uiPriority w:val="0"/>
    <w:pPr>
      <w:topLinePunct w:val="0"/>
      <w:adjustRightInd/>
      <w:snapToGrid/>
      <w:spacing w:line="300" w:lineRule="auto"/>
      <w:ind w:firstLine="0" w:firstLineChars="0"/>
    </w:pPr>
    <w:rPr>
      <w:rFonts w:ascii="楷体_GB2312" w:hAnsi="宋体" w:eastAsia="楷体_GB2312" w:cs="宋体"/>
      <w:b/>
      <w:bCs/>
      <w:kern w:val="2"/>
    </w:rPr>
  </w:style>
  <w:style w:type="character" w:customStyle="1" w:styleId="607">
    <w:name w:val="样式4 Char Char"/>
    <w:basedOn w:val="98"/>
    <w:link w:val="606"/>
    <w:qFormat/>
    <w:uiPriority w:val="0"/>
    <w:rPr>
      <w:rFonts w:ascii="楷体_GB2312" w:hAnsi="宋体" w:eastAsia="楷体_GB2312" w:cs="宋体"/>
      <w:b/>
      <w:bCs/>
      <w:kern w:val="2"/>
      <w:sz w:val="24"/>
      <w:szCs w:val="24"/>
    </w:rPr>
  </w:style>
  <w:style w:type="paragraph" w:customStyle="1" w:styleId="608">
    <w:name w:val="正文 New New New New New New New New New New"/>
    <w:qFormat/>
    <w:uiPriority w:val="0"/>
    <w:pPr>
      <w:widowControl w:val="0"/>
      <w:jc w:val="both"/>
    </w:pPr>
    <w:rPr>
      <w:rFonts w:ascii="Times New Roman" w:hAnsi="Times New Roman" w:eastAsia="宋体" w:cs="Times New Roman"/>
      <w:kern w:val="2"/>
      <w:sz w:val="24"/>
      <w:szCs w:val="24"/>
      <w:lang w:val="en-US" w:eastAsia="zh-CN" w:bidi="ar-SA"/>
    </w:rPr>
  </w:style>
  <w:style w:type="paragraph" w:customStyle="1" w:styleId="609">
    <w:name w:val="p18"/>
    <w:basedOn w:val="1"/>
    <w:qFormat/>
    <w:uiPriority w:val="0"/>
    <w:pPr>
      <w:widowControl/>
      <w:topLinePunct w:val="0"/>
      <w:adjustRightInd/>
      <w:snapToGrid/>
      <w:ind w:firstLine="416" w:firstLineChars="0"/>
    </w:pPr>
    <w:rPr>
      <w:rFonts w:ascii="宋体" w:hAnsi="宋体" w:cs="宋体"/>
    </w:rPr>
  </w:style>
  <w:style w:type="paragraph" w:customStyle="1" w:styleId="610">
    <w:name w:val="表头YHY"/>
    <w:basedOn w:val="11"/>
    <w:qFormat/>
    <w:uiPriority w:val="0"/>
    <w:pPr>
      <w:keepNext w:val="0"/>
      <w:keepLines w:val="0"/>
      <w:numPr>
        <w:ilvl w:val="0"/>
        <w:numId w:val="0"/>
      </w:numPr>
      <w:topLinePunct w:val="0"/>
      <w:adjustRightInd/>
      <w:snapToGrid/>
      <w:spacing w:before="0" w:after="0" w:line="240" w:lineRule="auto"/>
      <w:jc w:val="center"/>
    </w:pPr>
    <w:rPr>
      <w:rFonts w:ascii="黑体" w:hAnsi="Calibri" w:eastAsia="黑体"/>
      <w:b w:val="0"/>
      <w:bCs w:val="0"/>
      <w:kern w:val="2"/>
      <w:sz w:val="21"/>
      <w:szCs w:val="24"/>
    </w:rPr>
  </w:style>
  <w:style w:type="character" w:customStyle="1" w:styleId="611">
    <w:name w:val="样式7 Char1"/>
    <w:link w:val="612"/>
    <w:qFormat/>
    <w:uiPriority w:val="0"/>
    <w:rPr>
      <w:rFonts w:cs="宋体"/>
      <w:sz w:val="24"/>
      <w:szCs w:val="24"/>
    </w:rPr>
  </w:style>
  <w:style w:type="paragraph" w:customStyle="1" w:styleId="612">
    <w:name w:val="样式7"/>
    <w:basedOn w:val="1"/>
    <w:link w:val="611"/>
    <w:qFormat/>
    <w:uiPriority w:val="0"/>
    <w:pPr>
      <w:widowControl/>
      <w:topLinePunct w:val="0"/>
      <w:adjustRightInd/>
      <w:snapToGrid/>
      <w:spacing w:line="420" w:lineRule="auto"/>
      <w:ind w:firstLine="480"/>
    </w:pPr>
    <w:rPr>
      <w:rFonts w:ascii="Calibri" w:hAnsi="Calibri" w:cs="宋体"/>
    </w:rPr>
  </w:style>
  <w:style w:type="character" w:customStyle="1" w:styleId="613">
    <w:name w:val="L标题4L Char Char"/>
    <w:qFormat/>
    <w:uiPriority w:val="0"/>
    <w:rPr>
      <w:rFonts w:ascii="Times New Roman" w:hAnsi="Times New Roman" w:eastAsia="宋体" w:cs="Times New Roman"/>
      <w:b/>
      <w:kern w:val="0"/>
      <w:sz w:val="24"/>
      <w:szCs w:val="24"/>
    </w:rPr>
  </w:style>
  <w:style w:type="character" w:customStyle="1" w:styleId="614">
    <w:name w:val="样式 标题 3 + Char"/>
    <w:qFormat/>
    <w:uiPriority w:val="0"/>
    <w:rPr>
      <w:rFonts w:eastAsia="宋体"/>
      <w:b/>
      <w:bCs/>
      <w:kern w:val="2"/>
      <w:sz w:val="24"/>
      <w:szCs w:val="32"/>
      <w:lang w:val="en-US" w:eastAsia="zh-CN" w:bidi="ar-SA"/>
    </w:rPr>
  </w:style>
  <w:style w:type="character" w:customStyle="1" w:styleId="615">
    <w:name w:val="gl"/>
    <w:qFormat/>
    <w:uiPriority w:val="0"/>
  </w:style>
  <w:style w:type="character" w:customStyle="1" w:styleId="616">
    <w:name w:val="Char Char"/>
    <w:qFormat/>
    <w:uiPriority w:val="0"/>
    <w:rPr>
      <w:rFonts w:ascii="宋体" w:hAnsi="Courier New" w:eastAsia="宋体"/>
      <w:kern w:val="2"/>
      <w:lang w:val="en-US" w:eastAsia="zh-CN" w:bidi="ar-SA"/>
    </w:rPr>
  </w:style>
  <w:style w:type="character" w:customStyle="1" w:styleId="617">
    <w:name w:val="注释标题 字符"/>
    <w:link w:val="20"/>
    <w:qFormat/>
    <w:uiPriority w:val="0"/>
    <w:rPr>
      <w:rFonts w:ascii="宋体" w:hAnsi="Times New Roman"/>
      <w:kern w:val="2"/>
      <w:sz w:val="28"/>
    </w:rPr>
  </w:style>
  <w:style w:type="character" w:customStyle="1" w:styleId="618">
    <w:name w:val="我的正文 Char"/>
    <w:link w:val="619"/>
    <w:qFormat/>
    <w:uiPriority w:val="0"/>
    <w:rPr>
      <w:rFonts w:eastAsia="宋体"/>
      <w:kern w:val="2"/>
      <w:sz w:val="28"/>
      <w:lang w:val="en-US" w:eastAsia="zh-CN" w:bidi="ar-SA"/>
    </w:rPr>
  </w:style>
  <w:style w:type="paragraph" w:customStyle="1" w:styleId="619">
    <w:name w:val="我的正文"/>
    <w:basedOn w:val="1"/>
    <w:link w:val="618"/>
    <w:qFormat/>
    <w:uiPriority w:val="0"/>
    <w:pPr>
      <w:topLinePunct w:val="0"/>
      <w:adjustRightInd/>
      <w:snapToGrid/>
      <w:spacing w:line="460" w:lineRule="exact"/>
      <w:ind w:firstLine="482" w:firstLineChars="0"/>
    </w:pPr>
    <w:rPr>
      <w:kern w:val="2"/>
      <w:sz w:val="28"/>
      <w:szCs w:val="20"/>
    </w:rPr>
  </w:style>
  <w:style w:type="character" w:customStyle="1" w:styleId="620">
    <w:name w:val="样式 样式 标题 1 + 首行缩进:  2 字符2 + 段前: 1 行 段后: 1 行 Char Char"/>
    <w:qFormat/>
    <w:uiPriority w:val="0"/>
    <w:rPr>
      <w:rFonts w:ascii="Times New Roman" w:hAnsi="Times New Roman" w:cs="宋体"/>
      <w:b/>
      <w:bCs/>
      <w:kern w:val="44"/>
      <w:sz w:val="30"/>
    </w:rPr>
  </w:style>
  <w:style w:type="character" w:customStyle="1" w:styleId="621">
    <w:name w:val="样式 表头 + 段前: 0.5 行 Char Char"/>
    <w:qFormat/>
    <w:uiPriority w:val="0"/>
    <w:rPr>
      <w:rFonts w:ascii="Times New Roman" w:hAnsi="Times New Roman" w:eastAsia="黑体" w:cs="宋体"/>
      <w:bCs/>
      <w:kern w:val="2"/>
      <w:sz w:val="24"/>
    </w:rPr>
  </w:style>
  <w:style w:type="character" w:customStyle="1" w:styleId="622">
    <w:name w:val="环科院正文 Char Char"/>
    <w:link w:val="623"/>
    <w:qFormat/>
    <w:uiPriority w:val="0"/>
    <w:rPr>
      <w:rFonts w:hAnsi="宋体"/>
      <w:bCs/>
      <w:sz w:val="24"/>
      <w:szCs w:val="24"/>
      <w:u w:color="000000"/>
      <w:lang w:val="zh-CN"/>
    </w:rPr>
  </w:style>
  <w:style w:type="paragraph" w:customStyle="1" w:styleId="623">
    <w:name w:val="环科院正文"/>
    <w:basedOn w:val="1"/>
    <w:link w:val="622"/>
    <w:qFormat/>
    <w:uiPriority w:val="0"/>
    <w:pPr>
      <w:tabs>
        <w:tab w:val="left" w:pos="5760"/>
      </w:tabs>
      <w:topLinePunct w:val="0"/>
      <w:adjustRightInd/>
      <w:snapToGrid/>
      <w:spacing w:line="500" w:lineRule="exact"/>
      <w:ind w:firstLine="480"/>
    </w:pPr>
    <w:rPr>
      <w:rFonts w:ascii="Calibri" w:hAnsi="宋体" w:cs="Calibri"/>
      <w:bCs/>
      <w:u w:color="000000"/>
      <w:lang w:val="zh-CN"/>
    </w:rPr>
  </w:style>
  <w:style w:type="character" w:customStyle="1" w:styleId="624">
    <w:name w:val="unnamed11"/>
    <w:qFormat/>
    <w:uiPriority w:val="0"/>
    <w:rPr>
      <w:sz w:val="20"/>
      <w:szCs w:val="20"/>
    </w:rPr>
  </w:style>
  <w:style w:type="character" w:customStyle="1" w:styleId="625">
    <w:name w:val="mainfont21"/>
    <w:qFormat/>
    <w:uiPriority w:val="0"/>
    <w:rPr>
      <w:color w:val="666666"/>
      <w:sz w:val="18"/>
      <w:szCs w:val="18"/>
      <w:u w:val="none"/>
    </w:rPr>
  </w:style>
  <w:style w:type="character" w:customStyle="1" w:styleId="626">
    <w:name w:val="平南 Char Char"/>
    <w:qFormat/>
    <w:uiPriority w:val="0"/>
    <w:rPr>
      <w:rFonts w:ascii="Times New Roman" w:hAnsi="Times New Roman"/>
      <w:color w:val="000000"/>
      <w:kern w:val="2"/>
      <w:sz w:val="24"/>
    </w:rPr>
  </w:style>
  <w:style w:type="character" w:customStyle="1" w:styleId="627">
    <w:name w:val="Lux 表格标题 Char"/>
    <w:link w:val="628"/>
    <w:qFormat/>
    <w:uiPriority w:val="0"/>
    <w:rPr>
      <w:rFonts w:ascii="Times New Roman" w:hAnsi="Times New Roman"/>
      <w:b/>
      <w:sz w:val="24"/>
      <w:szCs w:val="21"/>
    </w:rPr>
  </w:style>
  <w:style w:type="paragraph" w:customStyle="1" w:styleId="628">
    <w:name w:val="Lux 表格标题"/>
    <w:basedOn w:val="1"/>
    <w:link w:val="627"/>
    <w:qFormat/>
    <w:uiPriority w:val="0"/>
    <w:pPr>
      <w:topLinePunct w:val="0"/>
      <w:adjustRightInd/>
      <w:snapToGrid/>
      <w:spacing w:line="240" w:lineRule="auto"/>
      <w:ind w:firstLine="0" w:firstLineChars="0"/>
      <w:jc w:val="center"/>
    </w:pPr>
    <w:rPr>
      <w:rFonts w:cs="Calibri"/>
      <w:b/>
      <w:szCs w:val="21"/>
    </w:rPr>
  </w:style>
  <w:style w:type="character" w:customStyle="1" w:styleId="629">
    <w:name w:val="正文文本 (11) + 间距 -2 pt"/>
    <w:qFormat/>
    <w:uiPriority w:val="0"/>
    <w:rPr>
      <w:rFonts w:ascii="MingLiU" w:hAnsi="MingLiU" w:eastAsia="MingLiU" w:cs="MingLiU"/>
      <w:color w:val="000000"/>
      <w:spacing w:val="-40"/>
      <w:w w:val="100"/>
      <w:position w:val="0"/>
      <w:sz w:val="22"/>
      <w:szCs w:val="22"/>
      <w:u w:val="none"/>
      <w:shd w:val="clear" w:color="auto" w:fill="FFFFFF"/>
      <w:lang w:val="zh-CN" w:eastAsia="zh-CN" w:bidi="zh-CN"/>
    </w:rPr>
  </w:style>
  <w:style w:type="character" w:customStyle="1" w:styleId="630">
    <w:name w:val="text1"/>
    <w:qFormat/>
    <w:uiPriority w:val="0"/>
    <w:rPr>
      <w:rFonts w:hint="default" w:ascii="ˎ̥" w:hAnsi="ˎ̥"/>
      <w:color w:val="000000"/>
      <w:sz w:val="20"/>
      <w:szCs w:val="20"/>
      <w:u w:val="none"/>
    </w:rPr>
  </w:style>
  <w:style w:type="character" w:customStyle="1" w:styleId="631">
    <w:name w:val="lux 表格 标题 Char Char"/>
    <w:link w:val="632"/>
    <w:qFormat/>
    <w:uiPriority w:val="0"/>
    <w:rPr>
      <w:rFonts w:eastAsia="黑体"/>
      <w:bCs/>
      <w:kern w:val="2"/>
      <w:sz w:val="24"/>
      <w:szCs w:val="21"/>
    </w:rPr>
  </w:style>
  <w:style w:type="paragraph" w:customStyle="1" w:styleId="632">
    <w:name w:val="lux 表格 标题"/>
    <w:next w:val="1"/>
    <w:link w:val="631"/>
    <w:qFormat/>
    <w:uiPriority w:val="0"/>
    <w:pPr>
      <w:spacing w:beforeLines="50" w:afterLines="50" w:line="360" w:lineRule="auto"/>
      <w:ind w:firstLine="482"/>
      <w:jc w:val="center"/>
    </w:pPr>
    <w:rPr>
      <w:rFonts w:ascii="Calibri" w:hAnsi="Calibri" w:eastAsia="黑体" w:cs="Calibri"/>
      <w:bCs/>
      <w:kern w:val="2"/>
      <w:sz w:val="24"/>
      <w:szCs w:val="21"/>
      <w:lang w:val="en-US" w:eastAsia="zh-CN" w:bidi="ar-SA"/>
    </w:rPr>
  </w:style>
  <w:style w:type="character" w:customStyle="1" w:styleId="633">
    <w:name w:val="样式 样式 样式 首行缩进:  2 字符 + 居中 + 行距: 固定值 17 磅 Char"/>
    <w:link w:val="634"/>
    <w:qFormat/>
    <w:uiPriority w:val="0"/>
    <w:rPr>
      <w:rFonts w:cs="宋体"/>
      <w:color w:val="000000"/>
      <w:kern w:val="2"/>
      <w:sz w:val="21"/>
    </w:rPr>
  </w:style>
  <w:style w:type="paragraph" w:customStyle="1" w:styleId="634">
    <w:name w:val="样式 样式 样式 首行缩进:  2 字符 + 居中 + 行距: 固定值 17 磅"/>
    <w:basedOn w:val="1"/>
    <w:link w:val="633"/>
    <w:qFormat/>
    <w:uiPriority w:val="0"/>
    <w:pPr>
      <w:topLinePunct w:val="0"/>
      <w:spacing w:line="340" w:lineRule="exact"/>
      <w:ind w:firstLine="0" w:firstLineChars="0"/>
      <w:jc w:val="center"/>
    </w:pPr>
    <w:rPr>
      <w:rFonts w:ascii="Calibri" w:hAnsi="Calibri" w:cs="宋体"/>
      <w:color w:val="000000"/>
      <w:kern w:val="2"/>
      <w:sz w:val="21"/>
      <w:szCs w:val="20"/>
    </w:rPr>
  </w:style>
  <w:style w:type="character" w:customStyle="1" w:styleId="635">
    <w:name w:val="t_blue_01"/>
    <w:qFormat/>
    <w:uiPriority w:val="0"/>
  </w:style>
  <w:style w:type="character" w:customStyle="1" w:styleId="636">
    <w:name w:val="fontstyle01"/>
    <w:qFormat/>
    <w:uiPriority w:val="0"/>
    <w:rPr>
      <w:rFonts w:hint="eastAsia" w:ascii="宋体" w:hAnsi="宋体" w:eastAsia="宋体"/>
      <w:color w:val="000000"/>
      <w:sz w:val="24"/>
      <w:szCs w:val="24"/>
    </w:rPr>
  </w:style>
  <w:style w:type="character" w:customStyle="1" w:styleId="637">
    <w:name w:val="样式3 Char"/>
    <w:link w:val="638"/>
    <w:qFormat/>
    <w:uiPriority w:val="0"/>
    <w:rPr>
      <w:rFonts w:ascii="Times New Roman" w:hAnsi="Times New Roman" w:eastAsia="黑体"/>
      <w:b/>
      <w:bCs/>
      <w:kern w:val="44"/>
      <w:sz w:val="32"/>
      <w:szCs w:val="44"/>
    </w:rPr>
  </w:style>
  <w:style w:type="paragraph" w:customStyle="1" w:styleId="638">
    <w:name w:val="样式3"/>
    <w:basedOn w:val="5"/>
    <w:link w:val="637"/>
    <w:qFormat/>
    <w:uiPriority w:val="0"/>
    <w:pPr>
      <w:pageBreakBefore w:val="0"/>
      <w:tabs>
        <w:tab w:val="clear" w:pos="432"/>
      </w:tabs>
      <w:topLinePunct w:val="0"/>
      <w:adjustRightInd/>
      <w:snapToGrid/>
      <w:spacing w:line="240" w:lineRule="auto"/>
      <w:jc w:val="center"/>
    </w:pPr>
    <w:rPr>
      <w:rFonts w:eastAsia="黑体" w:cs="Calibri"/>
      <w:kern w:val="44"/>
      <w:szCs w:val="44"/>
    </w:rPr>
  </w:style>
  <w:style w:type="character" w:customStyle="1" w:styleId="639">
    <w:name w:val="标题 2 Char Char"/>
    <w:qFormat/>
    <w:uiPriority w:val="0"/>
    <w:rPr>
      <w:rFonts w:ascii="Cambria" w:hAnsi="Cambria" w:eastAsia="宋体" w:cs="Times New Roman"/>
      <w:b/>
      <w:bCs/>
      <w:sz w:val="32"/>
      <w:szCs w:val="32"/>
    </w:rPr>
  </w:style>
  <w:style w:type="character" w:customStyle="1" w:styleId="640">
    <w:name w:val="样式 样式 正文首行缩进 + 首行缩进:  1 字符 + 四号 黑色 Char"/>
    <w:link w:val="641"/>
    <w:qFormat/>
    <w:uiPriority w:val="0"/>
    <w:rPr>
      <w:rFonts w:cs="宋体"/>
      <w:color w:val="000000"/>
      <w:sz w:val="24"/>
    </w:rPr>
  </w:style>
  <w:style w:type="paragraph" w:customStyle="1" w:styleId="641">
    <w:name w:val="样式 样式 正文首行缩进 + 首行缩进:  1 字符 + 四号 黑色"/>
    <w:basedOn w:val="1"/>
    <w:link w:val="640"/>
    <w:qFormat/>
    <w:uiPriority w:val="0"/>
    <w:pPr>
      <w:topLinePunct w:val="0"/>
      <w:textAlignment w:val="baseline"/>
    </w:pPr>
    <w:rPr>
      <w:rFonts w:ascii="Calibri" w:hAnsi="Calibri" w:cs="宋体"/>
      <w:color w:val="000000"/>
      <w:szCs w:val="20"/>
    </w:rPr>
  </w:style>
  <w:style w:type="character" w:customStyle="1" w:styleId="642">
    <w:name w:val="正文文本 (11)_"/>
    <w:link w:val="643"/>
    <w:qFormat/>
    <w:uiPriority w:val="0"/>
    <w:rPr>
      <w:rFonts w:ascii="MingLiU" w:hAnsi="MingLiU" w:eastAsia="MingLiU" w:cs="MingLiU"/>
      <w:spacing w:val="20"/>
      <w:sz w:val="22"/>
      <w:szCs w:val="22"/>
      <w:shd w:val="clear" w:color="auto" w:fill="FFFFFF"/>
    </w:rPr>
  </w:style>
  <w:style w:type="paragraph" w:customStyle="1" w:styleId="643">
    <w:name w:val="正文文本 (11)"/>
    <w:basedOn w:val="1"/>
    <w:link w:val="642"/>
    <w:qFormat/>
    <w:uiPriority w:val="0"/>
    <w:pPr>
      <w:shd w:val="clear" w:color="auto" w:fill="FFFFFF"/>
      <w:topLinePunct w:val="0"/>
      <w:adjustRightInd/>
      <w:snapToGrid/>
      <w:spacing w:before="240" w:line="0" w:lineRule="atLeast"/>
      <w:ind w:firstLine="0" w:firstLineChars="0"/>
      <w:jc w:val="right"/>
    </w:pPr>
    <w:rPr>
      <w:rFonts w:ascii="MingLiU" w:hAnsi="MingLiU" w:eastAsia="MingLiU" w:cs="MingLiU"/>
      <w:spacing w:val="20"/>
      <w:sz w:val="22"/>
      <w:szCs w:val="22"/>
    </w:rPr>
  </w:style>
  <w:style w:type="character" w:customStyle="1" w:styleId="644">
    <w:name w:val="标题 2 Char2"/>
    <w:qFormat/>
    <w:uiPriority w:val="0"/>
    <w:rPr>
      <w:rFonts w:ascii="Arial" w:hAnsi="Arial" w:eastAsia="黑体"/>
      <w:b/>
      <w:bCs/>
      <w:kern w:val="2"/>
      <w:sz w:val="32"/>
      <w:szCs w:val="32"/>
      <w:lang w:val="en-US" w:eastAsia="zh-CN" w:bidi="ar-SA"/>
    </w:rPr>
  </w:style>
  <w:style w:type="character" w:customStyle="1" w:styleId="645">
    <w:name w:val="apple-style-span"/>
    <w:qFormat/>
    <w:uiPriority w:val="0"/>
  </w:style>
  <w:style w:type="character" w:customStyle="1" w:styleId="646">
    <w:name w:val="articlecontent1"/>
    <w:qFormat/>
    <w:uiPriority w:val="0"/>
    <w:rPr>
      <w:sz w:val="21"/>
      <w:szCs w:val="21"/>
    </w:rPr>
  </w:style>
  <w:style w:type="character" w:customStyle="1" w:styleId="647">
    <w:name w:val="表格内文字 Char Char"/>
    <w:qFormat/>
    <w:uiPriority w:val="0"/>
    <w:rPr>
      <w:rFonts w:ascii="Times New Roman" w:hAnsi="Times New Roman"/>
      <w:kern w:val="2"/>
      <w:sz w:val="21"/>
      <w:szCs w:val="24"/>
      <w:lang w:val="en-US" w:eastAsia="zh-CN"/>
    </w:rPr>
  </w:style>
  <w:style w:type="character" w:customStyle="1" w:styleId="648">
    <w:name w:val="样式 小四 行距: 1.5 倍行距 Char"/>
    <w:link w:val="649"/>
    <w:qFormat/>
    <w:uiPriority w:val="0"/>
    <w:rPr>
      <w:kern w:val="24"/>
      <w:sz w:val="24"/>
      <w:szCs w:val="24"/>
    </w:rPr>
  </w:style>
  <w:style w:type="paragraph" w:customStyle="1" w:styleId="649">
    <w:name w:val="样式 小四 行距: 1.5 倍行距"/>
    <w:basedOn w:val="1"/>
    <w:link w:val="648"/>
    <w:qFormat/>
    <w:uiPriority w:val="0"/>
    <w:pPr>
      <w:topLinePunct w:val="0"/>
      <w:adjustRightInd/>
      <w:snapToGrid/>
      <w:ind w:firstLine="480"/>
    </w:pPr>
    <w:rPr>
      <w:rFonts w:ascii="Calibri" w:hAnsi="Calibri" w:cs="Calibri"/>
      <w:kern w:val="24"/>
    </w:rPr>
  </w:style>
  <w:style w:type="character" w:customStyle="1" w:styleId="650">
    <w:name w:val="正文文本 2 Char1"/>
    <w:qFormat/>
    <w:uiPriority w:val="0"/>
    <w:rPr>
      <w:rFonts w:ascii="Times New Roman" w:hAnsi="Times New Roman"/>
      <w:kern w:val="2"/>
      <w:sz w:val="21"/>
      <w:szCs w:val="24"/>
    </w:rPr>
  </w:style>
  <w:style w:type="character" w:customStyle="1" w:styleId="651">
    <w:name w:val="正文文本 3 Char1"/>
    <w:qFormat/>
    <w:uiPriority w:val="0"/>
    <w:rPr>
      <w:rFonts w:ascii="Times New Roman" w:hAnsi="Times New Roman"/>
      <w:kern w:val="2"/>
      <w:sz w:val="16"/>
      <w:szCs w:val="16"/>
    </w:rPr>
  </w:style>
  <w:style w:type="character" w:customStyle="1" w:styleId="652">
    <w:name w:val="表格字体 Char"/>
    <w:link w:val="653"/>
    <w:semiHidden/>
    <w:qFormat/>
    <w:uiPriority w:val="0"/>
    <w:rPr>
      <w:kern w:val="2"/>
      <w:sz w:val="21"/>
      <w:szCs w:val="21"/>
    </w:rPr>
  </w:style>
  <w:style w:type="paragraph" w:customStyle="1" w:styleId="653">
    <w:name w:val="表格字体"/>
    <w:basedOn w:val="1"/>
    <w:link w:val="652"/>
    <w:qFormat/>
    <w:uiPriority w:val="0"/>
    <w:pPr>
      <w:topLinePunct w:val="0"/>
      <w:snapToGrid/>
      <w:spacing w:beforeLines="20" w:afterLines="20" w:line="240" w:lineRule="auto"/>
      <w:ind w:firstLine="0" w:firstLineChars="0"/>
      <w:jc w:val="center"/>
      <w:textAlignment w:val="center"/>
    </w:pPr>
    <w:rPr>
      <w:rFonts w:ascii="Calibri" w:hAnsi="Calibri" w:cs="Calibri"/>
      <w:kern w:val="2"/>
      <w:sz w:val="21"/>
      <w:szCs w:val="21"/>
    </w:rPr>
  </w:style>
  <w:style w:type="character" w:customStyle="1" w:styleId="654">
    <w:name w:val="--正文文字-- Char Char Char"/>
    <w:qFormat/>
    <w:uiPriority w:val="0"/>
    <w:rPr>
      <w:rFonts w:ascii="宋体" w:hAnsi="宋体"/>
      <w:kern w:val="2"/>
      <w:sz w:val="24"/>
      <w:szCs w:val="24"/>
    </w:rPr>
  </w:style>
  <w:style w:type="character" w:customStyle="1" w:styleId="655">
    <w:name w:val="文章正文样式 Char Char Char Char Char"/>
    <w:link w:val="656"/>
    <w:qFormat/>
    <w:uiPriority w:val="0"/>
    <w:rPr>
      <w:rFonts w:ascii="宋体" w:hAnsi="宋体" w:cs="宋体"/>
      <w:kern w:val="2"/>
      <w:sz w:val="24"/>
    </w:rPr>
  </w:style>
  <w:style w:type="paragraph" w:customStyle="1" w:styleId="656">
    <w:name w:val="文章正文样式 Char Char"/>
    <w:basedOn w:val="1"/>
    <w:link w:val="655"/>
    <w:qFormat/>
    <w:uiPriority w:val="0"/>
    <w:pPr>
      <w:topLinePunct w:val="0"/>
      <w:adjustRightInd/>
      <w:snapToGrid/>
      <w:spacing w:line="520" w:lineRule="exact"/>
      <w:ind w:firstLine="480"/>
      <w:jc w:val="left"/>
    </w:pPr>
    <w:rPr>
      <w:rFonts w:ascii="宋体" w:hAnsi="宋体" w:cs="宋体"/>
      <w:kern w:val="2"/>
      <w:szCs w:val="20"/>
    </w:rPr>
  </w:style>
  <w:style w:type="character" w:customStyle="1" w:styleId="657">
    <w:name w:val="样式 标题 3 + 首行缩进:  2 字符 Char"/>
    <w:link w:val="658"/>
    <w:qFormat/>
    <w:uiPriority w:val="0"/>
    <w:rPr>
      <w:rFonts w:cs="宋体"/>
      <w:b/>
      <w:kern w:val="2"/>
      <w:sz w:val="24"/>
      <w:szCs w:val="28"/>
    </w:rPr>
  </w:style>
  <w:style w:type="paragraph" w:customStyle="1" w:styleId="658">
    <w:name w:val="样式 标题 3 + 首行缩进:  2 字符"/>
    <w:basedOn w:val="7"/>
    <w:link w:val="657"/>
    <w:qFormat/>
    <w:uiPriority w:val="0"/>
    <w:pPr>
      <w:keepNext w:val="0"/>
      <w:kinsoku/>
      <w:overflowPunct/>
      <w:topLinePunct w:val="0"/>
      <w:autoSpaceDE/>
      <w:autoSpaceDN/>
      <w:jc w:val="both"/>
    </w:pPr>
    <w:rPr>
      <w:rFonts w:ascii="Calibri" w:hAnsi="Calibri" w:cs="宋体"/>
      <w:bCs w:val="0"/>
      <w:kern w:val="2"/>
    </w:rPr>
  </w:style>
  <w:style w:type="character" w:customStyle="1" w:styleId="659">
    <w:name w:val="样式 样式 首行缩进:  2 字符 + 居中 Char"/>
    <w:link w:val="660"/>
    <w:qFormat/>
    <w:uiPriority w:val="0"/>
    <w:rPr>
      <w:rFonts w:cs="宋体"/>
      <w:kern w:val="2"/>
      <w:sz w:val="21"/>
    </w:rPr>
  </w:style>
  <w:style w:type="paragraph" w:customStyle="1" w:styleId="660">
    <w:name w:val="样式 样式 首行缩进:  2 字符 + 居中"/>
    <w:basedOn w:val="1"/>
    <w:link w:val="659"/>
    <w:qFormat/>
    <w:uiPriority w:val="0"/>
    <w:pPr>
      <w:topLinePunct w:val="0"/>
      <w:ind w:firstLine="480"/>
      <w:jc w:val="center"/>
    </w:pPr>
    <w:rPr>
      <w:rFonts w:ascii="Calibri" w:hAnsi="Calibri" w:cs="宋体"/>
      <w:kern w:val="2"/>
      <w:sz w:val="21"/>
      <w:szCs w:val="20"/>
    </w:rPr>
  </w:style>
  <w:style w:type="character" w:customStyle="1" w:styleId="661">
    <w:name w:val="列表(L) Char"/>
    <w:link w:val="662"/>
    <w:qFormat/>
    <w:uiPriority w:val="0"/>
    <w:rPr>
      <w:rFonts w:eastAsia="仿宋_GB2312" w:cs="宋体"/>
      <w:kern w:val="2"/>
      <w:sz w:val="21"/>
    </w:rPr>
  </w:style>
  <w:style w:type="paragraph" w:customStyle="1" w:styleId="662">
    <w:name w:val="列表(L)"/>
    <w:basedOn w:val="70"/>
    <w:link w:val="661"/>
    <w:qFormat/>
    <w:uiPriority w:val="0"/>
    <w:pPr>
      <w:snapToGrid w:val="0"/>
      <w:jc w:val="both"/>
    </w:pPr>
    <w:rPr>
      <w:rFonts w:ascii="Calibri" w:hAnsi="Calibri" w:eastAsia="仿宋_GB2312" w:cs="宋体"/>
      <w:sz w:val="21"/>
      <w:szCs w:val="20"/>
    </w:rPr>
  </w:style>
  <w:style w:type="character" w:customStyle="1" w:styleId="663">
    <w:name w:val="报告 Char1"/>
    <w:link w:val="664"/>
    <w:qFormat/>
    <w:uiPriority w:val="0"/>
    <w:rPr>
      <w:sz w:val="21"/>
      <w:szCs w:val="24"/>
    </w:rPr>
  </w:style>
  <w:style w:type="paragraph" w:customStyle="1" w:styleId="664">
    <w:name w:val="报告"/>
    <w:basedOn w:val="1"/>
    <w:link w:val="663"/>
    <w:qFormat/>
    <w:uiPriority w:val="0"/>
    <w:pPr>
      <w:topLinePunct w:val="0"/>
      <w:snapToGrid/>
      <w:spacing w:line="240" w:lineRule="auto"/>
      <w:ind w:firstLine="505" w:firstLineChars="0"/>
      <w:textAlignment w:val="baseline"/>
    </w:pPr>
    <w:rPr>
      <w:rFonts w:ascii="Calibri" w:hAnsi="Calibri" w:cs="Calibri"/>
      <w:sz w:val="21"/>
    </w:rPr>
  </w:style>
  <w:style w:type="character" w:customStyle="1" w:styleId="665">
    <w:name w:val="px14"/>
    <w:qFormat/>
    <w:uiPriority w:val="0"/>
  </w:style>
  <w:style w:type="character" w:customStyle="1" w:styleId="666">
    <w:name w:val="正文文本 (2) + 8.5 pt"/>
    <w:qFormat/>
    <w:uiPriority w:val="0"/>
    <w:rPr>
      <w:rFonts w:ascii="MingLiU" w:hAnsi="MingLiU" w:eastAsia="MingLiU" w:cs="MingLiU"/>
      <w:color w:val="000000"/>
      <w:spacing w:val="10"/>
      <w:w w:val="100"/>
      <w:position w:val="0"/>
      <w:sz w:val="17"/>
      <w:szCs w:val="17"/>
      <w:u w:val="none"/>
      <w:shd w:val="clear" w:color="auto" w:fill="FFFFFF"/>
      <w:lang w:val="zh-CN" w:eastAsia="zh-CN" w:bidi="zh-CN"/>
    </w:rPr>
  </w:style>
  <w:style w:type="character" w:customStyle="1" w:styleId="667">
    <w:name w:val="纯文本 Char1"/>
    <w:qFormat/>
    <w:uiPriority w:val="0"/>
    <w:rPr>
      <w:rFonts w:ascii="宋体" w:hAnsi="Courier New" w:eastAsia="宋体"/>
      <w:sz w:val="28"/>
    </w:rPr>
  </w:style>
  <w:style w:type="character" w:customStyle="1" w:styleId="668">
    <w:name w:val="样式 小四 Char"/>
    <w:qFormat/>
    <w:uiPriority w:val="0"/>
    <w:rPr>
      <w:rFonts w:ascii="宋体" w:hAnsi="宋体" w:eastAsia="宋体"/>
      <w:kern w:val="2"/>
      <w:sz w:val="24"/>
      <w:szCs w:val="24"/>
      <w:lang w:val="en-US" w:eastAsia="zh-CN" w:bidi="ar-SA"/>
    </w:rPr>
  </w:style>
  <w:style w:type="character" w:customStyle="1" w:styleId="669">
    <w:name w:val="Lux 表格标题 Char Char"/>
    <w:qFormat/>
    <w:uiPriority w:val="0"/>
    <w:rPr>
      <w:rFonts w:ascii="宋体" w:hAnsi="宋体" w:eastAsia="宋体" w:cs="Times New Roman"/>
      <w:kern w:val="0"/>
      <w:sz w:val="22"/>
      <w:szCs w:val="20"/>
    </w:rPr>
  </w:style>
  <w:style w:type="character" w:customStyle="1" w:styleId="670">
    <w:name w:val="样式 小四 Char Char"/>
    <w:link w:val="671"/>
    <w:qFormat/>
    <w:uiPriority w:val="0"/>
    <w:rPr>
      <w:rFonts w:ascii="宋体" w:hAnsi="宋体"/>
      <w:kern w:val="2"/>
      <w:sz w:val="24"/>
      <w:szCs w:val="24"/>
    </w:rPr>
  </w:style>
  <w:style w:type="paragraph" w:customStyle="1" w:styleId="671">
    <w:name w:val="样式 小四"/>
    <w:basedOn w:val="1"/>
    <w:link w:val="670"/>
    <w:qFormat/>
    <w:uiPriority w:val="0"/>
    <w:pPr>
      <w:topLinePunct w:val="0"/>
      <w:adjustRightInd/>
      <w:snapToGrid/>
      <w:ind w:firstLine="480"/>
    </w:pPr>
    <w:rPr>
      <w:rFonts w:ascii="宋体" w:hAnsi="宋体" w:cs="Calibri"/>
      <w:kern w:val="2"/>
    </w:rPr>
  </w:style>
  <w:style w:type="character" w:customStyle="1" w:styleId="672">
    <w:name w:val="L标题4L Char"/>
    <w:link w:val="673"/>
    <w:qFormat/>
    <w:uiPriority w:val="0"/>
    <w:rPr>
      <w:b/>
      <w:sz w:val="24"/>
      <w:szCs w:val="24"/>
    </w:rPr>
  </w:style>
  <w:style w:type="paragraph" w:customStyle="1" w:styleId="673">
    <w:name w:val="L标题4L"/>
    <w:basedOn w:val="1"/>
    <w:next w:val="1"/>
    <w:link w:val="672"/>
    <w:qFormat/>
    <w:uiPriority w:val="0"/>
    <w:pPr>
      <w:keepNext/>
      <w:keepLines/>
      <w:topLinePunct w:val="0"/>
      <w:adjustRightInd/>
      <w:snapToGrid/>
      <w:spacing w:before="120" w:after="120" w:line="500" w:lineRule="exact"/>
      <w:ind w:firstLine="0" w:firstLineChars="0"/>
      <w:outlineLvl w:val="3"/>
    </w:pPr>
    <w:rPr>
      <w:rFonts w:ascii="Calibri" w:hAnsi="Calibri" w:cs="Calibri"/>
      <w:b/>
    </w:rPr>
  </w:style>
  <w:style w:type="character" w:customStyle="1" w:styleId="674">
    <w:name w:val="样式 样式 样式 样式 首行缩进:  2 字符 + 居中 + (中文) 黑体 五号 首行缩进:  2 字符 + 首行缩进:  2... Char Char"/>
    <w:qFormat/>
    <w:uiPriority w:val="0"/>
    <w:rPr>
      <w:rFonts w:ascii="Times New Roman" w:hAnsi="Times New Roman" w:eastAsia="黑体" w:cs="宋体"/>
      <w:kern w:val="2"/>
      <w:sz w:val="24"/>
    </w:rPr>
  </w:style>
  <w:style w:type="character" w:customStyle="1" w:styleId="675">
    <w:name w:val="表格字体 Char Char"/>
    <w:qFormat/>
    <w:uiPriority w:val="0"/>
    <w:rPr>
      <w:rFonts w:ascii="Times New Roman" w:hAnsi="Times New Roman" w:eastAsia="宋体" w:cs="Times New Roman"/>
      <w:szCs w:val="21"/>
    </w:rPr>
  </w:style>
  <w:style w:type="character" w:customStyle="1" w:styleId="676">
    <w:name w:val="fontstyle41"/>
    <w:qFormat/>
    <w:uiPriority w:val="0"/>
    <w:rPr>
      <w:rFonts w:hint="default" w:ascii="TimesNewRomanPSMT" w:hAnsi="TimesNewRomanPSMT"/>
      <w:color w:val="000000"/>
      <w:sz w:val="24"/>
      <w:szCs w:val="24"/>
    </w:rPr>
  </w:style>
  <w:style w:type="character" w:customStyle="1" w:styleId="677">
    <w:name w:val="样式 标题 3 + 首行缩进:  2 字符 Char Char"/>
    <w:qFormat/>
    <w:uiPriority w:val="0"/>
    <w:rPr>
      <w:rFonts w:ascii="Times New Roman" w:hAnsi="Times New Roman" w:cs="宋体"/>
      <w:b/>
      <w:kern w:val="2"/>
      <w:sz w:val="24"/>
      <w:szCs w:val="28"/>
    </w:rPr>
  </w:style>
  <w:style w:type="character" w:customStyle="1" w:styleId="678">
    <w:name w:val="font141"/>
    <w:qFormat/>
    <w:uiPriority w:val="0"/>
    <w:rPr>
      <w:sz w:val="23"/>
      <w:szCs w:val="23"/>
    </w:rPr>
  </w:style>
  <w:style w:type="character" w:customStyle="1" w:styleId="679">
    <w:name w:val="首行缩进两字 Char"/>
    <w:qFormat/>
    <w:uiPriority w:val="0"/>
    <w:rPr>
      <w:rFonts w:eastAsia="宋体"/>
      <w:kern w:val="2"/>
      <w:sz w:val="24"/>
      <w:lang w:val="en-US" w:eastAsia="zh-CN" w:bidi="ar-SA"/>
    </w:rPr>
  </w:style>
  <w:style w:type="character" w:customStyle="1" w:styleId="680">
    <w:name w:val="表头样式"/>
    <w:qFormat/>
    <w:uiPriority w:val="0"/>
    <w:rPr>
      <w:rFonts w:ascii="黑体" w:eastAsia="黑体"/>
      <w:b/>
      <w:bCs/>
      <w:sz w:val="24"/>
      <w:szCs w:val="24"/>
    </w:rPr>
  </w:style>
  <w:style w:type="character" w:customStyle="1" w:styleId="681">
    <w:name w:val="lj-font24"/>
    <w:qFormat/>
    <w:uiPriority w:val="0"/>
    <w:rPr>
      <w:rFonts w:ascii="Tahoma" w:hAnsi="Tahoma" w:eastAsia="黑体"/>
      <w:kern w:val="2"/>
      <w:sz w:val="28"/>
      <w:szCs w:val="28"/>
      <w:lang w:val="en-US" w:eastAsia="zh-CN" w:bidi="ar-SA"/>
    </w:rPr>
  </w:style>
  <w:style w:type="character" w:customStyle="1" w:styleId="682">
    <w:name w:val="title1"/>
    <w:qFormat/>
    <w:uiPriority w:val="0"/>
    <w:rPr>
      <w:rFonts w:ascii="Tahoma" w:hAnsi="Tahoma" w:eastAsia="黑体"/>
      <w:b/>
      <w:bCs/>
      <w:kern w:val="2"/>
      <w:sz w:val="21"/>
      <w:szCs w:val="21"/>
      <w:lang w:val="en-US" w:eastAsia="zh-CN" w:bidi="ar-SA"/>
    </w:rPr>
  </w:style>
  <w:style w:type="character" w:customStyle="1" w:styleId="683">
    <w:name w:val="样式 标题 1 + 宋体 黑色 Char"/>
    <w:link w:val="684"/>
    <w:qFormat/>
    <w:uiPriority w:val="0"/>
    <w:rPr>
      <w:rFonts w:ascii="宋体" w:hAnsi="宋体"/>
      <w:b/>
      <w:bCs/>
      <w:color w:val="000000"/>
      <w:kern w:val="44"/>
      <w:sz w:val="36"/>
      <w:szCs w:val="44"/>
    </w:rPr>
  </w:style>
  <w:style w:type="paragraph" w:customStyle="1" w:styleId="684">
    <w:name w:val="样式 标题 1 + 宋体 黑色"/>
    <w:basedOn w:val="5"/>
    <w:link w:val="683"/>
    <w:qFormat/>
    <w:uiPriority w:val="0"/>
    <w:pPr>
      <w:pageBreakBefore w:val="0"/>
      <w:tabs>
        <w:tab w:val="clear" w:pos="432"/>
      </w:tabs>
      <w:topLinePunct w:val="0"/>
      <w:adjustRightInd/>
      <w:snapToGrid/>
      <w:jc w:val="center"/>
    </w:pPr>
    <w:rPr>
      <w:rFonts w:ascii="宋体" w:hAnsi="宋体" w:cs="Calibri"/>
      <w:color w:val="000000"/>
      <w:kern w:val="44"/>
      <w:sz w:val="36"/>
      <w:szCs w:val="44"/>
    </w:rPr>
  </w:style>
  <w:style w:type="character" w:customStyle="1" w:styleId="685">
    <w:name w:val="小标题 Char Char"/>
    <w:qFormat/>
    <w:uiPriority w:val="0"/>
    <w:rPr>
      <w:rFonts w:ascii="Times New Roman" w:hAnsi="Times New Roman"/>
      <w:b/>
      <w:kern w:val="11"/>
      <w:sz w:val="24"/>
    </w:rPr>
  </w:style>
  <w:style w:type="character" w:customStyle="1" w:styleId="686">
    <w:name w:val="fontstyle31"/>
    <w:qFormat/>
    <w:uiPriority w:val="0"/>
    <w:rPr>
      <w:rFonts w:hint="eastAsia" w:ascii="宋体" w:hAnsi="宋体" w:eastAsia="宋体"/>
      <w:color w:val="000000"/>
      <w:sz w:val="24"/>
      <w:szCs w:val="24"/>
    </w:rPr>
  </w:style>
  <w:style w:type="character" w:customStyle="1" w:styleId="687">
    <w:name w:val="样式 首行缩进:  2 字符1 Char Char"/>
    <w:link w:val="362"/>
    <w:qFormat/>
    <w:uiPriority w:val="0"/>
    <w:rPr>
      <w:rFonts w:ascii="Times New Roman" w:hAnsi="Times New Roman" w:cs="Times New Roman"/>
      <w:kern w:val="2"/>
      <w:sz w:val="24"/>
    </w:rPr>
  </w:style>
  <w:style w:type="character" w:customStyle="1" w:styleId="688">
    <w:name w:val="正文文本 (5)_"/>
    <w:link w:val="689"/>
    <w:qFormat/>
    <w:uiPriority w:val="0"/>
    <w:rPr>
      <w:rFonts w:ascii="MingLiU" w:hAnsi="MingLiU" w:eastAsia="MingLiU" w:cs="MingLiU"/>
      <w:shd w:val="clear" w:color="auto" w:fill="FFFFFF"/>
    </w:rPr>
  </w:style>
  <w:style w:type="paragraph" w:customStyle="1" w:styleId="689">
    <w:name w:val="正文文本 (5)"/>
    <w:basedOn w:val="1"/>
    <w:link w:val="688"/>
    <w:qFormat/>
    <w:uiPriority w:val="0"/>
    <w:pPr>
      <w:shd w:val="clear" w:color="auto" w:fill="FFFFFF"/>
      <w:topLinePunct w:val="0"/>
      <w:adjustRightInd/>
      <w:snapToGrid/>
      <w:spacing w:line="623" w:lineRule="exact"/>
      <w:ind w:firstLine="580" w:firstLineChars="0"/>
      <w:jc w:val="distribute"/>
    </w:pPr>
    <w:rPr>
      <w:rFonts w:ascii="MingLiU" w:hAnsi="MingLiU" w:eastAsia="MingLiU" w:cs="MingLiU"/>
      <w:sz w:val="20"/>
      <w:szCs w:val="20"/>
    </w:rPr>
  </w:style>
  <w:style w:type="character" w:customStyle="1" w:styleId="690">
    <w:name w:val="样式 样式 标题 1 + 首行缩进:  2 字符2 + 段前: 1 行 段后: 1 行 Char"/>
    <w:link w:val="691"/>
    <w:qFormat/>
    <w:uiPriority w:val="0"/>
    <w:rPr>
      <w:rFonts w:cs="宋体"/>
      <w:b/>
      <w:bCs/>
      <w:kern w:val="44"/>
      <w:sz w:val="30"/>
    </w:rPr>
  </w:style>
  <w:style w:type="paragraph" w:customStyle="1" w:styleId="691">
    <w:name w:val="样式 样式 标题 1 + 首行缩进:  2 字符2 + 段前: 1 行 段后: 1 行"/>
    <w:basedOn w:val="1"/>
    <w:link w:val="690"/>
    <w:qFormat/>
    <w:uiPriority w:val="0"/>
    <w:pPr>
      <w:topLinePunct w:val="0"/>
      <w:spacing w:beforeLines="100" w:afterLines="100"/>
      <w:ind w:firstLine="0" w:firstLineChars="0"/>
      <w:jc w:val="center"/>
      <w:outlineLvl w:val="0"/>
    </w:pPr>
    <w:rPr>
      <w:rFonts w:ascii="Calibri" w:hAnsi="Calibri" w:cs="宋体"/>
      <w:b/>
      <w:bCs/>
      <w:kern w:val="44"/>
      <w:sz w:val="30"/>
      <w:szCs w:val="20"/>
    </w:rPr>
  </w:style>
  <w:style w:type="character" w:customStyle="1" w:styleId="692">
    <w:name w:val="1-正文 Char"/>
    <w:link w:val="693"/>
    <w:qFormat/>
    <w:uiPriority w:val="0"/>
    <w:rPr>
      <w:rFonts w:ascii="宋体" w:hAnsi="Times New Roman"/>
      <w:kern w:val="2"/>
      <w:sz w:val="24"/>
    </w:rPr>
  </w:style>
  <w:style w:type="paragraph" w:customStyle="1" w:styleId="693">
    <w:name w:val="1-正文"/>
    <w:basedOn w:val="1"/>
    <w:link w:val="692"/>
    <w:qFormat/>
    <w:uiPriority w:val="0"/>
    <w:pPr>
      <w:topLinePunct w:val="0"/>
      <w:adjustRightInd/>
      <w:snapToGrid/>
      <w:ind w:firstLine="480"/>
    </w:pPr>
    <w:rPr>
      <w:rFonts w:ascii="宋体" w:cs="Calibri"/>
      <w:kern w:val="2"/>
      <w:szCs w:val="20"/>
    </w:rPr>
  </w:style>
  <w:style w:type="character" w:customStyle="1" w:styleId="694">
    <w:name w:val="表格名称1 Char Char"/>
    <w:qFormat/>
    <w:uiPriority w:val="0"/>
    <w:rPr>
      <w:rFonts w:ascii="Times New Roman" w:hAnsi="Times New Roman"/>
      <w:b/>
      <w:kern w:val="2"/>
      <w:sz w:val="24"/>
      <w:szCs w:val="24"/>
    </w:rPr>
  </w:style>
  <w:style w:type="character" w:customStyle="1" w:styleId="695">
    <w:name w:val="文章正文样式 Char Char Char Char"/>
    <w:link w:val="696"/>
    <w:qFormat/>
    <w:uiPriority w:val="0"/>
    <w:rPr>
      <w:rFonts w:ascii="宋体" w:hAnsi="宋体" w:cs="宋体"/>
      <w:kern w:val="2"/>
      <w:sz w:val="24"/>
    </w:rPr>
  </w:style>
  <w:style w:type="paragraph" w:customStyle="1" w:styleId="696">
    <w:name w:val="文章正文样式"/>
    <w:basedOn w:val="1"/>
    <w:link w:val="695"/>
    <w:qFormat/>
    <w:uiPriority w:val="0"/>
    <w:pPr>
      <w:topLinePunct w:val="0"/>
      <w:adjustRightInd/>
      <w:snapToGrid/>
      <w:spacing w:line="520" w:lineRule="exact"/>
      <w:ind w:firstLine="480"/>
      <w:jc w:val="left"/>
    </w:pPr>
    <w:rPr>
      <w:rFonts w:ascii="宋体" w:hAnsi="宋体" w:cs="宋体"/>
      <w:kern w:val="2"/>
      <w:szCs w:val="20"/>
    </w:rPr>
  </w:style>
  <w:style w:type="character" w:customStyle="1" w:styleId="697">
    <w:name w:val="正文(首行缩进) Char Char"/>
    <w:link w:val="548"/>
    <w:qFormat/>
    <w:uiPriority w:val="0"/>
    <w:rPr>
      <w:rFonts w:ascii="宋体" w:hAnsi="宋体" w:cs="Times New Roman"/>
      <w:sz w:val="24"/>
      <w:szCs w:val="24"/>
    </w:rPr>
  </w:style>
  <w:style w:type="character" w:customStyle="1" w:styleId="698">
    <w:name w:val="postbody1"/>
    <w:qFormat/>
    <w:uiPriority w:val="0"/>
    <w:rPr>
      <w:sz w:val="21"/>
      <w:szCs w:val="21"/>
    </w:rPr>
  </w:style>
  <w:style w:type="character" w:customStyle="1" w:styleId="699">
    <w:name w:val="Lx 表格标题 Char"/>
    <w:link w:val="700"/>
    <w:qFormat/>
    <w:uiPriority w:val="0"/>
    <w:rPr>
      <w:rFonts w:ascii="Times New Roman" w:hAnsi="Times New Roman"/>
      <w:b/>
      <w:sz w:val="24"/>
      <w:szCs w:val="21"/>
    </w:rPr>
  </w:style>
  <w:style w:type="paragraph" w:customStyle="1" w:styleId="700">
    <w:name w:val="Lx 表格标题"/>
    <w:basedOn w:val="1"/>
    <w:link w:val="699"/>
    <w:qFormat/>
    <w:uiPriority w:val="0"/>
    <w:pPr>
      <w:topLinePunct w:val="0"/>
      <w:adjustRightInd/>
      <w:snapToGrid/>
      <w:spacing w:line="240" w:lineRule="auto"/>
      <w:ind w:firstLine="0" w:firstLineChars="0"/>
      <w:jc w:val="center"/>
    </w:pPr>
    <w:rPr>
      <w:rFonts w:cs="Calibri"/>
      <w:b/>
      <w:szCs w:val="21"/>
    </w:rPr>
  </w:style>
  <w:style w:type="character" w:customStyle="1" w:styleId="701">
    <w:name w:val="fontstyle21"/>
    <w:qFormat/>
    <w:uiPriority w:val="0"/>
    <w:rPr>
      <w:rFonts w:hint="default" w:ascii="TimesNewRomanPSMT" w:hAnsi="TimesNewRomanPSMT"/>
      <w:color w:val="000000"/>
      <w:sz w:val="24"/>
      <w:szCs w:val="24"/>
    </w:rPr>
  </w:style>
  <w:style w:type="character" w:customStyle="1" w:styleId="702">
    <w:name w:val="fontstyle11"/>
    <w:qFormat/>
    <w:uiPriority w:val="0"/>
    <w:rPr>
      <w:rFonts w:hint="default" w:ascii="TimesNewRomanPSMT" w:hAnsi="TimesNewRomanPSMT"/>
      <w:color w:val="000000"/>
      <w:sz w:val="24"/>
      <w:szCs w:val="24"/>
    </w:rPr>
  </w:style>
  <w:style w:type="character" w:customStyle="1" w:styleId="703">
    <w:name w:val="表格文字 Char Char Char"/>
    <w:link w:val="704"/>
    <w:qFormat/>
    <w:uiPriority w:val="0"/>
    <w:rPr>
      <w:rFonts w:ascii="Times New Roman" w:hAnsi="Times New Roman"/>
      <w:kern w:val="2"/>
      <w:sz w:val="21"/>
    </w:rPr>
  </w:style>
  <w:style w:type="paragraph" w:customStyle="1" w:styleId="704">
    <w:name w:val="表格文字 Char Char"/>
    <w:basedOn w:val="1"/>
    <w:link w:val="703"/>
    <w:qFormat/>
    <w:uiPriority w:val="0"/>
    <w:pPr>
      <w:topLinePunct w:val="0"/>
      <w:adjustRightInd/>
      <w:snapToGrid/>
      <w:spacing w:line="360" w:lineRule="exact"/>
      <w:ind w:firstLine="0" w:firstLineChars="0"/>
      <w:jc w:val="center"/>
    </w:pPr>
    <w:rPr>
      <w:rFonts w:cs="Calibri"/>
      <w:kern w:val="2"/>
      <w:sz w:val="21"/>
      <w:szCs w:val="20"/>
    </w:rPr>
  </w:style>
  <w:style w:type="character" w:customStyle="1" w:styleId="705">
    <w:name w:val="样式 标题 2标题 12第一项节标题 1.1标题21.1H2h2第一层条二级标题标题 lxb2二级标题 C... Char"/>
    <w:link w:val="706"/>
    <w:qFormat/>
    <w:uiPriority w:val="0"/>
    <w:rPr>
      <w:b/>
      <w:bCs/>
      <w:snapToGrid w:val="0"/>
      <w:color w:val="FF0000"/>
      <w:sz w:val="30"/>
      <w:szCs w:val="30"/>
    </w:rPr>
  </w:style>
  <w:style w:type="paragraph" w:customStyle="1" w:styleId="706">
    <w:name w:val="样式 标题 2标题 12第一项节标题 1.1标题21.1H2h2第一层条二级标题标题 lxb2二级标题 C..."/>
    <w:basedOn w:val="6"/>
    <w:link w:val="705"/>
    <w:qFormat/>
    <w:uiPriority w:val="0"/>
    <w:pPr>
      <w:topLinePunct w:val="0"/>
      <w:adjustRightInd/>
      <w:snapToGrid/>
      <w:spacing w:before="50" w:after="50"/>
      <w:textAlignment w:val="baseline"/>
    </w:pPr>
    <w:rPr>
      <w:rFonts w:ascii="Calibri" w:hAnsi="Calibri" w:cs="Calibri"/>
      <w:snapToGrid w:val="0"/>
      <w:color w:val="FF0000"/>
      <w:sz w:val="30"/>
    </w:rPr>
  </w:style>
  <w:style w:type="character" w:customStyle="1" w:styleId="707">
    <w:name w:val="表格名称1 Char"/>
    <w:link w:val="708"/>
    <w:qFormat/>
    <w:uiPriority w:val="0"/>
    <w:rPr>
      <w:b/>
      <w:color w:val="000000"/>
      <w:kern w:val="2"/>
      <w:sz w:val="21"/>
      <w:szCs w:val="21"/>
    </w:rPr>
  </w:style>
  <w:style w:type="paragraph" w:customStyle="1" w:styleId="708">
    <w:name w:val="表格名称1"/>
    <w:basedOn w:val="1"/>
    <w:link w:val="707"/>
    <w:qFormat/>
    <w:uiPriority w:val="0"/>
    <w:pPr>
      <w:topLinePunct w:val="0"/>
      <w:adjustRightInd/>
      <w:snapToGrid/>
      <w:spacing w:line="240" w:lineRule="auto"/>
      <w:ind w:firstLine="0" w:firstLineChars="0"/>
      <w:jc w:val="center"/>
    </w:pPr>
    <w:rPr>
      <w:rFonts w:ascii="Calibri" w:hAnsi="Calibri" w:cs="Calibri"/>
      <w:b/>
      <w:color w:val="000000"/>
      <w:kern w:val="2"/>
      <w:sz w:val="21"/>
      <w:szCs w:val="21"/>
    </w:rPr>
  </w:style>
  <w:style w:type="character" w:customStyle="1" w:styleId="709">
    <w:name w:val="君邦正文 Char2"/>
    <w:link w:val="710"/>
    <w:qFormat/>
    <w:uiPriority w:val="0"/>
    <w:rPr>
      <w:bCs/>
      <w:snapToGrid w:val="0"/>
      <w:sz w:val="24"/>
    </w:rPr>
  </w:style>
  <w:style w:type="paragraph" w:customStyle="1" w:styleId="710">
    <w:name w:val="君邦正文"/>
    <w:link w:val="709"/>
    <w:qFormat/>
    <w:uiPriority w:val="0"/>
    <w:pPr>
      <w:spacing w:after="60" w:line="360" w:lineRule="auto"/>
      <w:ind w:firstLine="480" w:firstLineChars="200"/>
      <w:jc w:val="both"/>
    </w:pPr>
    <w:rPr>
      <w:rFonts w:ascii="Calibri" w:hAnsi="Calibri" w:eastAsia="宋体" w:cs="Calibri"/>
      <w:bCs/>
      <w:snapToGrid w:val="0"/>
      <w:sz w:val="24"/>
      <w:lang w:val="en-US" w:eastAsia="zh-CN" w:bidi="ar-SA"/>
    </w:rPr>
  </w:style>
  <w:style w:type="character" w:customStyle="1" w:styleId="711">
    <w:name w:val="dxj正文 Char"/>
    <w:link w:val="601"/>
    <w:qFormat/>
    <w:uiPriority w:val="0"/>
    <w:rPr>
      <w:rFonts w:ascii="Arial" w:hAnsi="Arial" w:cs="Arial"/>
      <w:kern w:val="2"/>
      <w:sz w:val="24"/>
      <w:szCs w:val="24"/>
    </w:rPr>
  </w:style>
  <w:style w:type="character" w:customStyle="1" w:styleId="712">
    <w:name w:val="样式 样式 样式 首行缩进:  2 字符 + 居中 + 两端对齐 首行缩进:  2 字符 行距: 固定值 12 磅 Char"/>
    <w:link w:val="713"/>
    <w:qFormat/>
    <w:uiPriority w:val="0"/>
    <w:rPr>
      <w:rFonts w:cs="宋体"/>
      <w:kern w:val="2"/>
      <w:sz w:val="21"/>
    </w:rPr>
  </w:style>
  <w:style w:type="paragraph" w:customStyle="1" w:styleId="713">
    <w:name w:val="样式 样式 样式 首行缩进:  2 字符 + 居中 + 两端对齐 首行缩进:  2 字符 行距: 固定值 12 磅"/>
    <w:basedOn w:val="1"/>
    <w:link w:val="712"/>
    <w:qFormat/>
    <w:uiPriority w:val="0"/>
    <w:pPr>
      <w:topLinePunct w:val="0"/>
      <w:spacing w:line="240" w:lineRule="exact"/>
      <w:ind w:firstLine="0" w:firstLineChars="0"/>
    </w:pPr>
    <w:rPr>
      <w:rFonts w:ascii="Calibri" w:hAnsi="Calibri" w:cs="宋体"/>
      <w:kern w:val="2"/>
      <w:sz w:val="21"/>
      <w:szCs w:val="20"/>
    </w:rPr>
  </w:style>
  <w:style w:type="character" w:customStyle="1" w:styleId="714">
    <w:name w:val="表文字 Char1"/>
    <w:qFormat/>
    <w:uiPriority w:val="0"/>
    <w:rPr>
      <w:sz w:val="24"/>
    </w:rPr>
  </w:style>
  <w:style w:type="character" w:customStyle="1" w:styleId="715">
    <w:name w:val="1-图表名 Char"/>
    <w:link w:val="716"/>
    <w:qFormat/>
    <w:uiPriority w:val="0"/>
    <w:rPr>
      <w:rFonts w:ascii="黑体" w:hAnsi="Times New Roman" w:eastAsia="黑体"/>
      <w:b/>
      <w:bCs/>
      <w:kern w:val="2"/>
      <w:sz w:val="21"/>
    </w:rPr>
  </w:style>
  <w:style w:type="paragraph" w:customStyle="1" w:styleId="716">
    <w:name w:val="1-图表名"/>
    <w:basedOn w:val="1"/>
    <w:link w:val="715"/>
    <w:qFormat/>
    <w:uiPriority w:val="0"/>
    <w:pPr>
      <w:topLinePunct w:val="0"/>
      <w:adjustRightInd/>
      <w:snapToGrid/>
      <w:spacing w:line="240" w:lineRule="auto"/>
      <w:ind w:firstLine="0" w:firstLineChars="0"/>
      <w:jc w:val="center"/>
    </w:pPr>
    <w:rPr>
      <w:rFonts w:ascii="黑体" w:eastAsia="黑体" w:cs="Calibri"/>
      <w:b/>
      <w:bCs/>
      <w:kern w:val="2"/>
      <w:sz w:val="21"/>
      <w:szCs w:val="20"/>
    </w:rPr>
  </w:style>
  <w:style w:type="character" w:customStyle="1" w:styleId="717">
    <w:name w:val="Char Char2"/>
    <w:qFormat/>
    <w:uiPriority w:val="0"/>
    <w:rPr>
      <w:rFonts w:ascii="宋体" w:hAnsi="宋体" w:eastAsia="宋体" w:cs="宋体"/>
      <w:kern w:val="2"/>
      <w:sz w:val="24"/>
      <w:szCs w:val="24"/>
      <w:lang w:val="en-US" w:eastAsia="zh-CN" w:bidi="ar-SA"/>
    </w:rPr>
  </w:style>
  <w:style w:type="character" w:customStyle="1" w:styleId="718">
    <w:name w:val="1-表格字体 Char"/>
    <w:link w:val="597"/>
    <w:qFormat/>
    <w:uiPriority w:val="0"/>
    <w:rPr>
      <w:rFonts w:ascii="宋体" w:hAnsi="宋体" w:cs="宋体"/>
      <w:kern w:val="2"/>
      <w:sz w:val="18"/>
      <w:szCs w:val="18"/>
    </w:rPr>
  </w:style>
  <w:style w:type="character" w:customStyle="1" w:styleId="719">
    <w:name w:val="样式 样式 样式 首行缩进:  2 字符 + 居中 + 行距: 固定值 17 磅 Char Char"/>
    <w:qFormat/>
    <w:uiPriority w:val="0"/>
    <w:rPr>
      <w:rFonts w:ascii="Times New Roman" w:hAnsi="Times New Roman" w:cs="宋体"/>
      <w:color w:val="000000"/>
      <w:kern w:val="2"/>
      <w:sz w:val="21"/>
    </w:rPr>
  </w:style>
  <w:style w:type="character" w:customStyle="1" w:styleId="720">
    <w:name w:val="样式 红色"/>
    <w:qFormat/>
    <w:uiPriority w:val="0"/>
    <w:rPr>
      <w:color w:val="FF0000"/>
      <w:spacing w:val="8"/>
      <w:w w:val="100"/>
      <w:position w:val="0"/>
    </w:rPr>
  </w:style>
  <w:style w:type="character" w:customStyle="1" w:styleId="721">
    <w:name w:val="小标题 Char"/>
    <w:link w:val="722"/>
    <w:qFormat/>
    <w:uiPriority w:val="0"/>
    <w:rPr>
      <w:b/>
      <w:kern w:val="11"/>
      <w:sz w:val="24"/>
    </w:rPr>
  </w:style>
  <w:style w:type="paragraph" w:customStyle="1" w:styleId="722">
    <w:name w:val="小标题"/>
    <w:basedOn w:val="1"/>
    <w:link w:val="721"/>
    <w:qFormat/>
    <w:uiPriority w:val="0"/>
    <w:pPr>
      <w:topLinePunct w:val="0"/>
      <w:adjustRightInd/>
      <w:snapToGrid/>
      <w:spacing w:before="100" w:beforeAutospacing="1" w:line="500" w:lineRule="exact"/>
      <w:ind w:firstLine="0" w:firstLineChars="0"/>
    </w:pPr>
    <w:rPr>
      <w:rFonts w:ascii="Calibri" w:hAnsi="Calibri" w:cs="Calibri"/>
      <w:b/>
      <w:kern w:val="11"/>
      <w:szCs w:val="20"/>
    </w:rPr>
  </w:style>
  <w:style w:type="character" w:customStyle="1" w:styleId="723">
    <w:name w:val="宗兴正文 Char"/>
    <w:link w:val="724"/>
    <w:qFormat/>
    <w:uiPriority w:val="0"/>
    <w:rPr>
      <w:snapToGrid w:val="0"/>
      <w:kern w:val="2"/>
      <w:sz w:val="24"/>
      <w:szCs w:val="24"/>
    </w:rPr>
  </w:style>
  <w:style w:type="paragraph" w:customStyle="1" w:styleId="724">
    <w:name w:val="宗兴正文"/>
    <w:basedOn w:val="1"/>
    <w:link w:val="723"/>
    <w:qFormat/>
    <w:uiPriority w:val="0"/>
    <w:pPr>
      <w:topLinePunct w:val="0"/>
      <w:adjustRightInd/>
      <w:snapToGrid/>
      <w:spacing w:before="93" w:after="93"/>
      <w:ind w:firstLine="480"/>
    </w:pPr>
    <w:rPr>
      <w:rFonts w:ascii="Calibri" w:hAnsi="Calibri" w:cs="Calibri"/>
      <w:snapToGrid w:val="0"/>
      <w:kern w:val="2"/>
    </w:rPr>
  </w:style>
  <w:style w:type="character" w:customStyle="1" w:styleId="725">
    <w:name w:val="正文文本首行缩进 2 字符"/>
    <w:link w:val="91"/>
    <w:qFormat/>
    <w:uiPriority w:val="0"/>
    <w:rPr>
      <w:kern w:val="2"/>
      <w:sz w:val="21"/>
      <w:szCs w:val="24"/>
    </w:rPr>
  </w:style>
  <w:style w:type="character" w:customStyle="1" w:styleId="726">
    <w:name w:val="样式 样式 样式 样式 首行缩进:  2 字符 + 居中 + (中文) 黑体 五号 首行缩进:  2 字符 + 首行缩进:  2... Char"/>
    <w:link w:val="727"/>
    <w:qFormat/>
    <w:uiPriority w:val="0"/>
    <w:rPr>
      <w:rFonts w:eastAsia="黑体" w:cs="宋体"/>
      <w:kern w:val="2"/>
      <w:sz w:val="24"/>
    </w:rPr>
  </w:style>
  <w:style w:type="paragraph" w:customStyle="1" w:styleId="727">
    <w:name w:val="样式 样式 样式 样式 首行缩进:  2 字符 + 居中 + (中文) 黑体 五号 首行缩进:  2 字符 + 首行缩进:  2..."/>
    <w:basedOn w:val="1"/>
    <w:link w:val="726"/>
    <w:qFormat/>
    <w:uiPriority w:val="0"/>
    <w:pPr>
      <w:topLinePunct w:val="0"/>
      <w:spacing w:beforeLines="50"/>
      <w:ind w:firstLine="0" w:firstLineChars="0"/>
      <w:jc w:val="center"/>
    </w:pPr>
    <w:rPr>
      <w:rFonts w:ascii="Calibri" w:hAnsi="Calibri" w:eastAsia="黑体" w:cs="宋体"/>
      <w:kern w:val="2"/>
      <w:szCs w:val="20"/>
    </w:rPr>
  </w:style>
  <w:style w:type="character" w:customStyle="1" w:styleId="728">
    <w:name w:val="样式 样式 样式 首行缩进:  2 字符 + 居中 + 两端对齐 首行缩进:  2 字符 行距: 固定值 12 磅 Char Char"/>
    <w:qFormat/>
    <w:uiPriority w:val="0"/>
    <w:rPr>
      <w:rFonts w:ascii="Times New Roman" w:hAnsi="Times New Roman" w:cs="宋体"/>
      <w:kern w:val="2"/>
      <w:sz w:val="21"/>
    </w:rPr>
  </w:style>
  <w:style w:type="character" w:customStyle="1" w:styleId="729">
    <w:name w:val="正文文本 (11) + 间距 0 pt"/>
    <w:qFormat/>
    <w:uiPriority w:val="0"/>
    <w:rPr>
      <w:rFonts w:ascii="MingLiU" w:hAnsi="MingLiU" w:eastAsia="MingLiU" w:cs="MingLiU"/>
      <w:color w:val="000000"/>
      <w:spacing w:val="0"/>
      <w:w w:val="100"/>
      <w:position w:val="0"/>
      <w:sz w:val="22"/>
      <w:szCs w:val="22"/>
      <w:shd w:val="clear" w:color="auto" w:fill="FFFFFF"/>
      <w:lang w:val="zh-CN" w:eastAsia="zh-CN" w:bidi="zh-CN"/>
    </w:rPr>
  </w:style>
  <w:style w:type="character" w:customStyle="1" w:styleId="730">
    <w:name w:val="标题 4 Char Char"/>
    <w:qFormat/>
    <w:uiPriority w:val="0"/>
    <w:rPr>
      <w:rFonts w:ascii="Cambria" w:hAnsi="Cambria" w:eastAsia="宋体" w:cs="Times New Roman"/>
      <w:b/>
      <w:bCs/>
      <w:sz w:val="28"/>
      <w:szCs w:val="28"/>
    </w:rPr>
  </w:style>
  <w:style w:type="character" w:customStyle="1" w:styleId="731">
    <w:name w:val="正文文本 (2) + 12 pt"/>
    <w:qFormat/>
    <w:uiPriority w:val="0"/>
    <w:rPr>
      <w:rFonts w:ascii="MingLiU" w:hAnsi="MingLiU" w:eastAsia="MingLiU" w:cs="MingLiU"/>
      <w:color w:val="000000"/>
      <w:spacing w:val="0"/>
      <w:w w:val="100"/>
      <w:position w:val="0"/>
      <w:sz w:val="24"/>
      <w:szCs w:val="24"/>
      <w:u w:val="none"/>
      <w:shd w:val="clear" w:color="auto" w:fill="FFFFFF"/>
      <w:lang w:val="zh-CN" w:eastAsia="zh-CN" w:bidi="zh-CN"/>
    </w:rPr>
  </w:style>
  <w:style w:type="character" w:customStyle="1" w:styleId="732">
    <w:name w:val="表格1 Char1"/>
    <w:link w:val="446"/>
    <w:qFormat/>
    <w:uiPriority w:val="0"/>
    <w:rPr>
      <w:rFonts w:ascii="宋体" w:hAnsi="Times New Roman" w:cs="Times New Roman"/>
      <w:color w:val="FF00FF"/>
      <w:kern w:val="21"/>
      <w:sz w:val="21"/>
    </w:rPr>
  </w:style>
  <w:style w:type="character" w:customStyle="1" w:styleId="733">
    <w:name w:val="尾注文本 字符"/>
    <w:link w:val="56"/>
    <w:qFormat/>
    <w:uiPriority w:val="0"/>
    <w:rPr>
      <w:kern w:val="2"/>
      <w:sz w:val="21"/>
      <w:szCs w:val="24"/>
    </w:rPr>
  </w:style>
  <w:style w:type="character" w:customStyle="1" w:styleId="734">
    <w:name w:val="样式1 Char Char"/>
    <w:qFormat/>
    <w:uiPriority w:val="0"/>
    <w:rPr>
      <w:rFonts w:ascii="Times New Roman" w:hAnsi="Times New Roman" w:eastAsia="黑体" w:cs="宋体"/>
      <w:b/>
      <w:bCs/>
      <w:caps/>
      <w:kern w:val="2"/>
      <w:sz w:val="18"/>
    </w:rPr>
  </w:style>
  <w:style w:type="character" w:customStyle="1" w:styleId="735">
    <w:name w:val="宗兴正文 Char Char"/>
    <w:qFormat/>
    <w:uiPriority w:val="0"/>
    <w:rPr>
      <w:rFonts w:ascii="Times New Roman" w:hAnsi="Times New Roman"/>
      <w:snapToGrid/>
      <w:kern w:val="2"/>
      <w:sz w:val="24"/>
      <w:szCs w:val="24"/>
    </w:rPr>
  </w:style>
  <w:style w:type="character" w:customStyle="1" w:styleId="736">
    <w:name w:val="明显强调1"/>
    <w:qFormat/>
    <w:uiPriority w:val="0"/>
    <w:rPr>
      <w:b/>
      <w:bCs/>
      <w:i/>
      <w:iCs/>
      <w:color w:val="4F81BD"/>
    </w:rPr>
  </w:style>
  <w:style w:type="character" w:customStyle="1" w:styleId="737">
    <w:name w:val="正文文本 (10)_"/>
    <w:link w:val="738"/>
    <w:qFormat/>
    <w:uiPriority w:val="0"/>
    <w:rPr>
      <w:rFonts w:ascii="MingLiU" w:hAnsi="MingLiU" w:eastAsia="MingLiU" w:cs="MingLiU"/>
      <w:sz w:val="24"/>
      <w:szCs w:val="24"/>
      <w:shd w:val="clear" w:color="auto" w:fill="FFFFFF"/>
    </w:rPr>
  </w:style>
  <w:style w:type="paragraph" w:customStyle="1" w:styleId="738">
    <w:name w:val="正文文本 (10)"/>
    <w:basedOn w:val="1"/>
    <w:link w:val="737"/>
    <w:qFormat/>
    <w:uiPriority w:val="0"/>
    <w:pPr>
      <w:shd w:val="clear" w:color="auto" w:fill="FFFFFF"/>
      <w:topLinePunct w:val="0"/>
      <w:adjustRightInd/>
      <w:snapToGrid/>
      <w:spacing w:before="300" w:after="540" w:line="0" w:lineRule="atLeast"/>
      <w:ind w:firstLine="0" w:firstLineChars="0"/>
      <w:jc w:val="left"/>
    </w:pPr>
    <w:rPr>
      <w:rFonts w:ascii="MingLiU" w:hAnsi="MingLiU" w:eastAsia="MingLiU" w:cs="MingLiU"/>
    </w:rPr>
  </w:style>
  <w:style w:type="character" w:customStyle="1" w:styleId="739">
    <w:name w:val="正文文本 (2)_"/>
    <w:link w:val="740"/>
    <w:qFormat/>
    <w:uiPriority w:val="0"/>
    <w:rPr>
      <w:rFonts w:ascii="MingLiU" w:hAnsi="MingLiU" w:eastAsia="MingLiU" w:cs="MingLiU"/>
      <w:spacing w:val="10"/>
      <w:sz w:val="22"/>
      <w:szCs w:val="22"/>
      <w:shd w:val="clear" w:color="auto" w:fill="FFFFFF"/>
    </w:rPr>
  </w:style>
  <w:style w:type="paragraph" w:customStyle="1" w:styleId="740">
    <w:name w:val="正文文本 (2)"/>
    <w:basedOn w:val="1"/>
    <w:link w:val="739"/>
    <w:qFormat/>
    <w:uiPriority w:val="0"/>
    <w:pPr>
      <w:shd w:val="clear" w:color="auto" w:fill="FFFFFF"/>
      <w:topLinePunct w:val="0"/>
      <w:adjustRightInd/>
      <w:snapToGrid/>
      <w:spacing w:after="120" w:line="468" w:lineRule="exact"/>
      <w:ind w:firstLine="0" w:firstLineChars="0"/>
      <w:jc w:val="distribute"/>
    </w:pPr>
    <w:rPr>
      <w:rFonts w:ascii="MingLiU" w:hAnsi="MingLiU" w:eastAsia="MingLiU" w:cs="MingLiU"/>
      <w:spacing w:val="10"/>
      <w:sz w:val="22"/>
      <w:szCs w:val="22"/>
    </w:rPr>
  </w:style>
  <w:style w:type="character" w:customStyle="1" w:styleId="741">
    <w:name w:val="表格内文字 Char"/>
    <w:link w:val="742"/>
    <w:qFormat/>
    <w:uiPriority w:val="0"/>
    <w:rPr>
      <w:kern w:val="2"/>
      <w:sz w:val="21"/>
      <w:szCs w:val="24"/>
    </w:rPr>
  </w:style>
  <w:style w:type="paragraph" w:customStyle="1" w:styleId="742">
    <w:name w:val="表格内文字"/>
    <w:basedOn w:val="1"/>
    <w:link w:val="741"/>
    <w:qFormat/>
    <w:uiPriority w:val="0"/>
    <w:pPr>
      <w:topLinePunct w:val="0"/>
      <w:adjustRightInd/>
      <w:snapToGrid/>
      <w:spacing w:line="240" w:lineRule="auto"/>
      <w:ind w:firstLine="0" w:firstLineChars="0"/>
      <w:jc w:val="center"/>
    </w:pPr>
    <w:rPr>
      <w:rFonts w:ascii="Calibri" w:hAnsi="Calibri" w:cs="Calibri"/>
      <w:kern w:val="2"/>
      <w:sz w:val="21"/>
    </w:rPr>
  </w:style>
  <w:style w:type="character" w:customStyle="1" w:styleId="743">
    <w:name w:val="列表(L) Char Char"/>
    <w:qFormat/>
    <w:uiPriority w:val="0"/>
    <w:rPr>
      <w:rFonts w:ascii="Times New Roman" w:hAnsi="Times New Roman" w:eastAsia="仿宋_GB2312" w:cs="宋体"/>
      <w:kern w:val="2"/>
      <w:sz w:val="21"/>
    </w:rPr>
  </w:style>
  <w:style w:type="character" w:customStyle="1" w:styleId="744">
    <w:name w:val="样式 表头 + 段前: 0.5 行 Char"/>
    <w:link w:val="745"/>
    <w:qFormat/>
    <w:uiPriority w:val="0"/>
    <w:rPr>
      <w:rFonts w:eastAsia="黑体" w:cs="宋体"/>
      <w:bCs/>
      <w:kern w:val="2"/>
      <w:sz w:val="24"/>
    </w:rPr>
  </w:style>
  <w:style w:type="paragraph" w:customStyle="1" w:styleId="745">
    <w:name w:val="样式 表头 + 段前: 0.5 行"/>
    <w:basedOn w:val="1"/>
    <w:link w:val="744"/>
    <w:qFormat/>
    <w:uiPriority w:val="0"/>
    <w:pPr>
      <w:topLinePunct w:val="0"/>
      <w:adjustRightInd/>
      <w:snapToGrid/>
      <w:spacing w:beforeLines="50"/>
      <w:ind w:firstLine="0" w:firstLineChars="0"/>
      <w:jc w:val="center"/>
    </w:pPr>
    <w:rPr>
      <w:rFonts w:ascii="Calibri" w:hAnsi="Calibri" w:eastAsia="黑体" w:cs="宋体"/>
      <w:bCs/>
      <w:kern w:val="2"/>
      <w:szCs w:val="20"/>
    </w:rPr>
  </w:style>
  <w:style w:type="character" w:customStyle="1" w:styleId="746">
    <w:name w:val="样式 样式 首行缩进:  2 字符 + 居中 Char Char"/>
    <w:qFormat/>
    <w:uiPriority w:val="0"/>
    <w:rPr>
      <w:rFonts w:ascii="Times New Roman" w:hAnsi="Times New Roman" w:cs="宋体"/>
      <w:kern w:val="2"/>
      <w:sz w:val="21"/>
    </w:rPr>
  </w:style>
  <w:style w:type="character" w:customStyle="1" w:styleId="747">
    <w:name w:val="平南 Char"/>
    <w:link w:val="748"/>
    <w:qFormat/>
    <w:uiPriority w:val="0"/>
    <w:rPr>
      <w:color w:val="000000"/>
      <w:kern w:val="2"/>
      <w:sz w:val="24"/>
    </w:rPr>
  </w:style>
  <w:style w:type="paragraph" w:customStyle="1" w:styleId="748">
    <w:name w:val="平南"/>
    <w:basedOn w:val="1"/>
    <w:link w:val="747"/>
    <w:qFormat/>
    <w:uiPriority w:val="0"/>
    <w:pPr>
      <w:tabs>
        <w:tab w:val="left" w:pos="3225"/>
      </w:tabs>
      <w:topLinePunct w:val="0"/>
      <w:adjustRightInd/>
      <w:snapToGrid/>
      <w:spacing w:line="520" w:lineRule="exact"/>
      <w:ind w:firstLine="480"/>
    </w:pPr>
    <w:rPr>
      <w:rFonts w:ascii="Calibri" w:hAnsi="Calibri" w:cs="Calibri"/>
      <w:color w:val="000000"/>
      <w:kern w:val="2"/>
      <w:szCs w:val="20"/>
    </w:rPr>
  </w:style>
  <w:style w:type="character" w:customStyle="1" w:styleId="749">
    <w:name w:val="正文首行缩进 2 Char1"/>
    <w:basedOn w:val="317"/>
    <w:qFormat/>
    <w:uiPriority w:val="0"/>
    <w:rPr>
      <w:rFonts w:ascii="Times New Roman" w:hAnsi="Times New Roman"/>
      <w:kern w:val="2"/>
      <w:sz w:val="21"/>
      <w:szCs w:val="24"/>
    </w:rPr>
  </w:style>
  <w:style w:type="character" w:customStyle="1" w:styleId="750">
    <w:name w:val="HTML 预设格式 Char1"/>
    <w:qFormat/>
    <w:uiPriority w:val="0"/>
    <w:rPr>
      <w:rFonts w:ascii="Courier New" w:hAnsi="Courier New" w:cs="Courier New"/>
      <w:kern w:val="2"/>
    </w:rPr>
  </w:style>
  <w:style w:type="character" w:customStyle="1" w:styleId="751">
    <w:name w:val="尾注文本 Char1"/>
    <w:semiHidden/>
    <w:qFormat/>
    <w:uiPriority w:val="99"/>
    <w:rPr>
      <w:rFonts w:ascii="Times New Roman" w:hAnsi="Times New Roman"/>
      <w:kern w:val="2"/>
      <w:sz w:val="21"/>
      <w:szCs w:val="24"/>
    </w:rPr>
  </w:style>
  <w:style w:type="character" w:customStyle="1" w:styleId="752">
    <w:name w:val="电子邮件签名 字符"/>
    <w:link w:val="23"/>
    <w:qFormat/>
    <w:uiPriority w:val="0"/>
    <w:rPr>
      <w:rFonts w:ascii="Times New Roman" w:hAnsi="Times New Roman"/>
      <w:kern w:val="2"/>
      <w:sz w:val="24"/>
      <w:szCs w:val="24"/>
    </w:rPr>
  </w:style>
  <w:style w:type="character" w:customStyle="1" w:styleId="753">
    <w:name w:val="样式4 Char"/>
    <w:qFormat/>
    <w:uiPriority w:val="0"/>
    <w:rPr>
      <w:rFonts w:ascii="Times New Roman" w:hAnsi="Times New Roman"/>
      <w:kern w:val="2"/>
      <w:sz w:val="21"/>
      <w:szCs w:val="21"/>
    </w:rPr>
  </w:style>
  <w:style w:type="character" w:customStyle="1" w:styleId="754">
    <w:name w:val="标题1"/>
    <w:basedOn w:val="98"/>
    <w:qFormat/>
    <w:uiPriority w:val="0"/>
  </w:style>
  <w:style w:type="character" w:customStyle="1" w:styleId="755">
    <w:name w:val="标题 3 Char Char"/>
    <w:qFormat/>
    <w:uiPriority w:val="0"/>
    <w:rPr>
      <w:rFonts w:hint="eastAsia" w:ascii="黑体" w:hAnsi="Tahoma" w:eastAsia="黑体"/>
      <w:b/>
      <w:bCs/>
      <w:kern w:val="2"/>
      <w:sz w:val="28"/>
      <w:szCs w:val="28"/>
      <w:lang w:val="en-US" w:eastAsia="zh-CN" w:bidi="ar-SA"/>
    </w:rPr>
  </w:style>
  <w:style w:type="character" w:customStyle="1" w:styleId="756">
    <w:name w:val="样式 标题 2 + Times New Roman Char"/>
    <w:link w:val="757"/>
    <w:qFormat/>
    <w:uiPriority w:val="0"/>
    <w:rPr>
      <w:rFonts w:ascii="Times New Roman" w:hAnsi="Times New Roman"/>
      <w:b/>
      <w:bCs/>
      <w:kern w:val="2"/>
      <w:sz w:val="32"/>
      <w:szCs w:val="32"/>
    </w:rPr>
  </w:style>
  <w:style w:type="paragraph" w:customStyle="1" w:styleId="757">
    <w:name w:val="样式 标题 2 + Times New Roman"/>
    <w:basedOn w:val="6"/>
    <w:link w:val="756"/>
    <w:qFormat/>
    <w:uiPriority w:val="0"/>
    <w:pPr>
      <w:topLinePunct w:val="0"/>
      <w:adjustRightInd/>
      <w:snapToGrid/>
      <w:spacing w:line="416" w:lineRule="auto"/>
      <w:jc w:val="both"/>
    </w:pPr>
    <w:rPr>
      <w:rFonts w:cs="Calibri"/>
      <w:kern w:val="2"/>
      <w:sz w:val="32"/>
      <w:szCs w:val="32"/>
    </w:rPr>
  </w:style>
  <w:style w:type="character" w:customStyle="1" w:styleId="758">
    <w:name w:val="纯文本 Char Char Char Char2"/>
    <w:qFormat/>
    <w:uiPriority w:val="0"/>
    <w:rPr>
      <w:rFonts w:ascii="宋体" w:hAnsi="Courier New" w:eastAsia="宋体" w:cs="Courier New"/>
      <w:kern w:val="2"/>
      <w:sz w:val="21"/>
      <w:szCs w:val="21"/>
      <w:lang w:val="en-US" w:eastAsia="zh-CN" w:bidi="ar-SA"/>
    </w:rPr>
  </w:style>
  <w:style w:type="paragraph" w:customStyle="1" w:styleId="759">
    <w:name w:val="haydonli"/>
    <w:basedOn w:val="1"/>
    <w:qFormat/>
    <w:uiPriority w:val="0"/>
    <w:pPr>
      <w:topLinePunct w:val="0"/>
      <w:adjustRightInd/>
    </w:pPr>
    <w:rPr>
      <w:snapToGrid w:val="0"/>
    </w:rPr>
  </w:style>
  <w:style w:type="paragraph" w:customStyle="1" w:styleId="760">
    <w:name w:val="Char Char Char Char Char1 Char Char Char1 Char"/>
    <w:basedOn w:val="1"/>
    <w:qFormat/>
    <w:uiPriority w:val="0"/>
    <w:pPr>
      <w:topLinePunct w:val="0"/>
      <w:adjustRightInd/>
      <w:snapToGrid/>
      <w:spacing w:line="240" w:lineRule="auto"/>
      <w:ind w:firstLine="0" w:firstLineChars="0"/>
    </w:pPr>
    <w:rPr>
      <w:kern w:val="2"/>
      <w:sz w:val="21"/>
      <w:szCs w:val="20"/>
    </w:rPr>
  </w:style>
  <w:style w:type="paragraph" w:customStyle="1" w:styleId="761">
    <w:name w:val="Char Char Char Char Char Char1 Char Char Char1 Char Char Char Char Char Char Char"/>
    <w:basedOn w:val="1"/>
    <w:qFormat/>
    <w:uiPriority w:val="0"/>
    <w:pPr>
      <w:topLinePunct w:val="0"/>
      <w:adjustRightInd/>
      <w:snapToGrid/>
    </w:pPr>
    <w:rPr>
      <w:rFonts w:ascii="宋体" w:hAnsi="宋体" w:cs="宋体"/>
      <w:kern w:val="2"/>
    </w:rPr>
  </w:style>
  <w:style w:type="character" w:customStyle="1" w:styleId="762">
    <w:name w:val="电子邮件签名 Char1"/>
    <w:basedOn w:val="98"/>
    <w:semiHidden/>
    <w:qFormat/>
    <w:uiPriority w:val="0"/>
    <w:rPr>
      <w:rFonts w:ascii="Times New Roman" w:hAnsi="Times New Roman" w:cs="Times New Roman"/>
      <w:sz w:val="24"/>
      <w:szCs w:val="24"/>
    </w:rPr>
  </w:style>
  <w:style w:type="character" w:customStyle="1" w:styleId="763">
    <w:name w:val="称呼 字符"/>
    <w:basedOn w:val="98"/>
    <w:link w:val="34"/>
    <w:qFormat/>
    <w:uiPriority w:val="0"/>
    <w:rPr>
      <w:rFonts w:ascii="Times New Roman" w:hAnsi="Times New Roman" w:cs="Times New Roman"/>
      <w:kern w:val="2"/>
      <w:sz w:val="21"/>
      <w:szCs w:val="24"/>
    </w:rPr>
  </w:style>
  <w:style w:type="paragraph" w:customStyle="1" w:styleId="764">
    <w:name w:val="公式"/>
    <w:basedOn w:val="39"/>
    <w:qFormat/>
    <w:uiPriority w:val="0"/>
    <w:pPr>
      <w:topLinePunct w:val="0"/>
      <w:adjustRightInd/>
      <w:snapToGrid/>
      <w:spacing w:after="0" w:line="240" w:lineRule="atLeast"/>
      <w:ind w:left="0" w:leftChars="0" w:firstLine="0" w:firstLineChars="0"/>
      <w:jc w:val="center"/>
      <w:textAlignment w:val="baseline"/>
    </w:pPr>
    <w:rPr>
      <w:i/>
      <w:sz w:val="28"/>
      <w:szCs w:val="20"/>
    </w:rPr>
  </w:style>
  <w:style w:type="character" w:customStyle="1" w:styleId="765">
    <w:name w:val="注释标题 Char1"/>
    <w:basedOn w:val="98"/>
    <w:semiHidden/>
    <w:qFormat/>
    <w:uiPriority w:val="0"/>
    <w:rPr>
      <w:rFonts w:ascii="Times New Roman" w:hAnsi="Times New Roman" w:cs="Times New Roman"/>
      <w:sz w:val="24"/>
      <w:szCs w:val="24"/>
    </w:rPr>
  </w:style>
  <w:style w:type="character" w:customStyle="1" w:styleId="766">
    <w:name w:val="尾注文本 Char2"/>
    <w:basedOn w:val="98"/>
    <w:semiHidden/>
    <w:qFormat/>
    <w:uiPriority w:val="0"/>
    <w:rPr>
      <w:rFonts w:ascii="Times New Roman" w:hAnsi="Times New Roman" w:cs="Times New Roman"/>
      <w:sz w:val="24"/>
      <w:szCs w:val="24"/>
    </w:rPr>
  </w:style>
  <w:style w:type="paragraph" w:customStyle="1" w:styleId="767">
    <w:name w:val="Char Char Char1 Char Char Char Char Char Char Char Char Char Char Char Char1 Char Char Char Char Char Char Char Char Char Char"/>
    <w:basedOn w:val="1"/>
    <w:qFormat/>
    <w:uiPriority w:val="0"/>
    <w:pPr>
      <w:topLinePunct w:val="0"/>
      <w:adjustRightInd/>
      <w:snapToGrid/>
    </w:pPr>
    <w:rPr>
      <w:rFonts w:ascii="宋体" w:hAnsi="宋体" w:eastAsia="黑体" w:cs="宋体"/>
      <w:kern w:val="2"/>
      <w:sz w:val="28"/>
    </w:rPr>
  </w:style>
  <w:style w:type="paragraph" w:customStyle="1" w:styleId="768">
    <w:name w:val="Char Char Char Char1 Char Char Char"/>
    <w:basedOn w:val="1"/>
    <w:qFormat/>
    <w:uiPriority w:val="0"/>
    <w:pPr>
      <w:topLinePunct w:val="0"/>
      <w:adjustRightInd/>
      <w:snapToGrid/>
      <w:spacing w:line="240" w:lineRule="auto"/>
    </w:pPr>
    <w:rPr>
      <w:rFonts w:ascii="宋体" w:hAnsi="宋体"/>
      <w:kern w:val="2"/>
    </w:rPr>
  </w:style>
  <w:style w:type="character" w:customStyle="1" w:styleId="769">
    <w:name w:val="正文首行缩进 2 Char2"/>
    <w:basedOn w:val="134"/>
    <w:qFormat/>
    <w:uiPriority w:val="99"/>
    <w:rPr>
      <w:rFonts w:ascii="Times New Roman" w:hAnsi="Times New Roman" w:cs="Times New Roman"/>
      <w:sz w:val="24"/>
      <w:szCs w:val="24"/>
    </w:rPr>
  </w:style>
  <w:style w:type="paragraph" w:customStyle="1" w:styleId="770">
    <w:name w:val="Char Char Char Char Char Char Char Char Char Char Char Char Char Char Char Char Char Char1 Char Char Char Char Char Char Char Char Char Char Char Char Char"/>
    <w:basedOn w:val="1"/>
    <w:qFormat/>
    <w:uiPriority w:val="0"/>
    <w:pPr>
      <w:topLinePunct w:val="0"/>
      <w:adjustRightInd/>
      <w:snapToGrid/>
    </w:pPr>
    <w:rPr>
      <w:rFonts w:ascii="宋体" w:hAnsi="宋体" w:cs="宋体"/>
      <w:kern w:val="2"/>
    </w:rPr>
  </w:style>
  <w:style w:type="paragraph" w:customStyle="1" w:styleId="771">
    <w:name w:val="5文章(治)"/>
    <w:basedOn w:val="1"/>
    <w:qFormat/>
    <w:uiPriority w:val="0"/>
    <w:pPr>
      <w:topLinePunct w:val="0"/>
      <w:adjustRightInd/>
      <w:snapToGrid/>
      <w:spacing w:line="520" w:lineRule="exact"/>
      <w:ind w:firstLine="480"/>
    </w:pPr>
    <w:rPr>
      <w:rFonts w:ascii="宋体" w:hAnsi="宋体"/>
      <w:snapToGrid w:val="0"/>
      <w:kern w:val="2"/>
    </w:rPr>
  </w:style>
  <w:style w:type="paragraph" w:customStyle="1" w:styleId="772">
    <w:name w:val="Char Char Char Char Char Char Char Char Char Char Char Char Char Char Char Char Char Char Char Char Char Char"/>
    <w:basedOn w:val="1"/>
    <w:next w:val="1"/>
    <w:qFormat/>
    <w:uiPriority w:val="0"/>
    <w:pPr>
      <w:topLinePunct w:val="0"/>
      <w:adjustRightInd/>
      <w:snapToGrid/>
    </w:pPr>
    <w:rPr>
      <w:rFonts w:ascii="宋体" w:hAnsi="宋体" w:cs="宋体"/>
      <w:kern w:val="2"/>
    </w:rPr>
  </w:style>
  <w:style w:type="paragraph" w:customStyle="1" w:styleId="773">
    <w:name w:val="xl25"/>
    <w:basedOn w:val="1"/>
    <w:qFormat/>
    <w:uiPriority w:val="0"/>
    <w:pPr>
      <w:widowControl/>
      <w:topLinePunct w:val="0"/>
      <w:adjustRightInd/>
      <w:snapToGrid/>
      <w:spacing w:before="100" w:beforeAutospacing="1" w:after="100" w:afterAutospacing="1" w:line="240" w:lineRule="auto"/>
      <w:ind w:firstLine="0" w:firstLineChars="0"/>
      <w:jc w:val="center"/>
    </w:pPr>
    <w:rPr>
      <w:rFonts w:hint="eastAsia" w:ascii="仿宋_GB2312" w:hAnsi="宋体" w:eastAsia="仿宋_GB2312"/>
      <w:color w:val="000000"/>
      <w:sz w:val="21"/>
      <w:szCs w:val="21"/>
    </w:rPr>
  </w:style>
  <w:style w:type="paragraph" w:customStyle="1" w:styleId="774">
    <w:name w:val="Char Char Char Char Char Char1 Char Char Char1 Char Char Char Char Char Char Char1"/>
    <w:basedOn w:val="1"/>
    <w:qFormat/>
    <w:uiPriority w:val="0"/>
    <w:pPr>
      <w:topLinePunct w:val="0"/>
      <w:adjustRightInd/>
      <w:snapToGrid/>
    </w:pPr>
    <w:rPr>
      <w:rFonts w:ascii="宋体" w:hAnsi="宋体" w:cs="宋体"/>
      <w:kern w:val="2"/>
    </w:rPr>
  </w:style>
  <w:style w:type="paragraph" w:customStyle="1" w:styleId="775">
    <w:name w:val="样式 样式 正文 lux + 首行缩进:  2 字符 + 首行缩进:  2 字符 段前: 0.5 行 段后: 0.5 行"/>
    <w:basedOn w:val="1"/>
    <w:qFormat/>
    <w:uiPriority w:val="0"/>
    <w:pPr>
      <w:topLinePunct w:val="0"/>
      <w:spacing w:line="500" w:lineRule="exact"/>
    </w:pPr>
    <w:rPr>
      <w:rFonts w:cs="宋体"/>
      <w:kern w:val="2"/>
      <w:szCs w:val="20"/>
    </w:rPr>
  </w:style>
  <w:style w:type="paragraph" w:customStyle="1" w:styleId="776">
    <w:name w:val="样式 样式 样式1 + 首行缩进:  2 字符 右侧:  0.85 字符 + 右侧:  0.85 字符"/>
    <w:basedOn w:val="777"/>
    <w:qFormat/>
    <w:uiPriority w:val="0"/>
    <w:pPr>
      <w:numPr>
        <w:ilvl w:val="0"/>
        <w:numId w:val="1"/>
      </w:numPr>
      <w:tabs>
        <w:tab w:val="left" w:pos="105"/>
      </w:tabs>
      <w:ind w:right="176"/>
      <w:jc w:val="both"/>
    </w:pPr>
  </w:style>
  <w:style w:type="paragraph" w:customStyle="1" w:styleId="777">
    <w:name w:val="样式 样式1 + 首行缩进:  2 字符 右侧:  0.85 字符"/>
    <w:basedOn w:val="1"/>
    <w:next w:val="1"/>
    <w:qFormat/>
    <w:uiPriority w:val="0"/>
    <w:pPr>
      <w:tabs>
        <w:tab w:val="left" w:pos="105"/>
      </w:tabs>
      <w:topLinePunct w:val="0"/>
      <w:adjustRightInd/>
      <w:snapToGrid/>
      <w:ind w:right="85" w:firstLine="0" w:firstLineChars="0"/>
      <w:jc w:val="left"/>
    </w:pPr>
    <w:rPr>
      <w:rFonts w:cs="宋体"/>
      <w:kern w:val="2"/>
      <w:szCs w:val="20"/>
    </w:rPr>
  </w:style>
  <w:style w:type="paragraph" w:customStyle="1" w:styleId="778">
    <w:name w:val="Char Char Char Char Char Char Char Char Char1 Char Char Char Char Char Char Char Char Char Char"/>
    <w:basedOn w:val="1"/>
    <w:qFormat/>
    <w:uiPriority w:val="0"/>
    <w:pPr>
      <w:topLinePunct w:val="0"/>
      <w:adjustRightInd/>
      <w:snapToGrid/>
      <w:spacing w:line="240" w:lineRule="auto"/>
      <w:ind w:firstLine="0" w:firstLineChars="0"/>
    </w:pPr>
    <w:rPr>
      <w:rFonts w:ascii="宋体" w:hAnsi="宋体" w:cs="Courier New"/>
      <w:kern w:val="2"/>
      <w:sz w:val="32"/>
      <w:szCs w:val="32"/>
    </w:rPr>
  </w:style>
  <w:style w:type="paragraph" w:customStyle="1" w:styleId="779">
    <w:name w:val="Char Char Char Char Char Char Char1"/>
    <w:basedOn w:val="1"/>
    <w:qFormat/>
    <w:uiPriority w:val="0"/>
    <w:pPr>
      <w:topLinePunct w:val="0"/>
      <w:adjustRightInd/>
      <w:snapToGrid/>
      <w:spacing w:line="240" w:lineRule="auto"/>
      <w:ind w:firstLine="0" w:firstLineChars="0"/>
    </w:pPr>
    <w:rPr>
      <w:rFonts w:eastAsia="仿宋_GB2312"/>
      <w:kern w:val="2"/>
      <w:sz w:val="28"/>
      <w:szCs w:val="20"/>
    </w:rPr>
  </w:style>
  <w:style w:type="paragraph" w:customStyle="1" w:styleId="780">
    <w:name w:val="样式2"/>
    <w:basedOn w:val="1"/>
    <w:qFormat/>
    <w:uiPriority w:val="0"/>
    <w:pPr>
      <w:topLinePunct w:val="0"/>
      <w:adjustRightInd/>
      <w:snapToGrid/>
      <w:spacing w:line="240" w:lineRule="auto"/>
      <w:ind w:firstLine="0" w:firstLineChars="0"/>
      <w:jc w:val="center"/>
    </w:pPr>
    <w:rPr>
      <w:kern w:val="2"/>
    </w:rPr>
  </w:style>
  <w:style w:type="paragraph" w:customStyle="1" w:styleId="781">
    <w:name w:val="真宗兴正文"/>
    <w:basedOn w:val="1"/>
    <w:qFormat/>
    <w:uiPriority w:val="0"/>
    <w:pPr>
      <w:overflowPunct w:val="0"/>
      <w:topLinePunct w:val="0"/>
      <w:autoSpaceDE w:val="0"/>
      <w:autoSpaceDN w:val="0"/>
      <w:spacing w:beforeLines="30" w:afterLines="30"/>
      <w:ind w:firstLine="480"/>
      <w:textAlignment w:val="baseline"/>
    </w:pPr>
    <w:rPr>
      <w:kern w:val="2"/>
      <w:szCs w:val="20"/>
    </w:rPr>
  </w:style>
  <w:style w:type="paragraph" w:customStyle="1" w:styleId="782">
    <w:name w:val="font14"/>
    <w:basedOn w:val="1"/>
    <w:qFormat/>
    <w:uiPriority w:val="0"/>
    <w:pPr>
      <w:widowControl/>
      <w:topLinePunct w:val="0"/>
      <w:adjustRightInd/>
      <w:snapToGrid/>
      <w:spacing w:before="100" w:beforeAutospacing="1" w:after="100" w:afterAutospacing="1" w:line="402" w:lineRule="atLeast"/>
      <w:ind w:firstLine="0" w:firstLineChars="0"/>
      <w:jc w:val="left"/>
    </w:pPr>
    <w:rPr>
      <w:rFonts w:ascii="宋体" w:hAnsi="宋体" w:cs="宋体"/>
      <w:sz w:val="23"/>
      <w:szCs w:val="23"/>
    </w:rPr>
  </w:style>
  <w:style w:type="paragraph" w:customStyle="1" w:styleId="783">
    <w:name w:val="zw1"/>
    <w:basedOn w:val="1"/>
    <w:qFormat/>
    <w:uiPriority w:val="0"/>
    <w:pPr>
      <w:topLinePunct w:val="0"/>
      <w:adjustRightInd/>
      <w:snapToGrid/>
      <w:spacing w:line="240" w:lineRule="auto"/>
      <w:ind w:firstLine="480" w:firstLineChars="0"/>
    </w:pPr>
    <w:rPr>
      <w:rFonts w:ascii="宋体" w:hAnsi="宋体"/>
      <w:kern w:val="2"/>
      <w:sz w:val="21"/>
      <w:szCs w:val="28"/>
    </w:rPr>
  </w:style>
  <w:style w:type="paragraph" w:customStyle="1" w:styleId="784">
    <w:name w:val="Char Char9"/>
    <w:basedOn w:val="1"/>
    <w:qFormat/>
    <w:uiPriority w:val="0"/>
    <w:pPr>
      <w:topLinePunct w:val="0"/>
      <w:adjustRightInd/>
      <w:snapToGrid/>
      <w:ind w:firstLine="560"/>
    </w:pPr>
    <w:rPr>
      <w:rFonts w:ascii="仿宋_GB2312" w:hAnsi="宋体" w:eastAsia="仿宋_GB2312" w:cs="宋体"/>
      <w:kern w:val="2"/>
      <w:sz w:val="28"/>
      <w:szCs w:val="28"/>
    </w:rPr>
  </w:style>
  <w:style w:type="paragraph" w:customStyle="1" w:styleId="785">
    <w:name w:val="样式 行距: 1.5 倍行距"/>
    <w:basedOn w:val="1"/>
    <w:qFormat/>
    <w:uiPriority w:val="0"/>
    <w:pPr>
      <w:topLinePunct w:val="0"/>
      <w:adjustRightInd/>
      <w:snapToGrid/>
      <w:spacing w:line="240" w:lineRule="auto"/>
      <w:ind w:firstLine="560" w:firstLineChars="0"/>
    </w:pPr>
    <w:rPr>
      <w:rFonts w:eastAsia="Times New Roman" w:cs="宋体"/>
      <w:kern w:val="2"/>
      <w:sz w:val="28"/>
      <w:szCs w:val="20"/>
    </w:rPr>
  </w:style>
  <w:style w:type="paragraph" w:customStyle="1" w:styleId="786">
    <w:name w:val="样式 样式 样式 样式 标题 2 + 首行缩进:  2 字符 + 段前: 0.5 行 段后: 0.5 行 + 段前: 0.5 行..."/>
    <w:basedOn w:val="1"/>
    <w:qFormat/>
    <w:uiPriority w:val="0"/>
    <w:pPr>
      <w:topLinePunct w:val="0"/>
      <w:spacing w:beforeLines="50" w:afterLines="50"/>
      <w:ind w:firstLine="0" w:firstLineChars="0"/>
      <w:outlineLvl w:val="1"/>
    </w:pPr>
    <w:rPr>
      <w:rFonts w:cs="宋体"/>
      <w:b/>
      <w:bCs/>
      <w:kern w:val="2"/>
      <w:sz w:val="28"/>
      <w:szCs w:val="20"/>
    </w:rPr>
  </w:style>
  <w:style w:type="paragraph" w:customStyle="1" w:styleId="787">
    <w:name w:val="样式 样式 标题 3Level 3 HeadH3Heading 3 - oldh3sect1.2.3Head33l3... + ..."/>
    <w:basedOn w:val="1"/>
    <w:qFormat/>
    <w:uiPriority w:val="0"/>
    <w:pPr>
      <w:keepNext/>
      <w:keepLines/>
      <w:tabs>
        <w:tab w:val="left" w:pos="360"/>
        <w:tab w:val="left" w:pos="709"/>
      </w:tabs>
      <w:topLinePunct w:val="0"/>
      <w:adjustRightInd/>
      <w:snapToGrid/>
      <w:spacing w:beforeLines="50" w:afterLines="50"/>
      <w:ind w:firstLine="0" w:firstLineChars="0"/>
      <w:outlineLvl w:val="2"/>
    </w:pPr>
    <w:rPr>
      <w:rFonts w:hAnsi="宋体"/>
      <w:b/>
      <w:kern w:val="2"/>
      <w:szCs w:val="21"/>
      <w:lang w:val="zh-CN"/>
    </w:rPr>
  </w:style>
  <w:style w:type="paragraph" w:customStyle="1" w:styleId="788">
    <w:name w:val="Char Char Char Char Char Char Char Char Char1 Char"/>
    <w:basedOn w:val="1"/>
    <w:qFormat/>
    <w:uiPriority w:val="0"/>
    <w:pPr>
      <w:topLinePunct w:val="0"/>
      <w:adjustRightInd/>
      <w:snapToGrid/>
      <w:ind w:firstLine="0" w:firstLineChars="0"/>
      <w:jc w:val="left"/>
    </w:pPr>
    <w:rPr>
      <w:rFonts w:ascii="宋体" w:hAnsi="宋体" w:cs="Courier New"/>
      <w:kern w:val="2"/>
      <w:sz w:val="21"/>
      <w:szCs w:val="32"/>
    </w:rPr>
  </w:style>
  <w:style w:type="paragraph" w:customStyle="1" w:styleId="789">
    <w:name w:val="Lux- 标题 4"/>
    <w:basedOn w:val="8"/>
    <w:qFormat/>
    <w:uiPriority w:val="0"/>
    <w:pPr>
      <w:widowControl w:val="0"/>
      <w:tabs>
        <w:tab w:val="left" w:pos="1050"/>
      </w:tabs>
      <w:topLinePunct w:val="0"/>
      <w:adjustRightInd/>
      <w:snapToGrid/>
      <w:spacing w:before="240" w:after="240" w:line="400" w:lineRule="exact"/>
    </w:pPr>
    <w:rPr>
      <w:kern w:val="2"/>
    </w:rPr>
  </w:style>
  <w:style w:type="paragraph" w:customStyle="1" w:styleId="790">
    <w:name w:val="无间隔1"/>
    <w:qFormat/>
    <w:uiPriority w:val="1"/>
    <w:pPr>
      <w:widowControl w:val="0"/>
      <w:spacing w:line="360" w:lineRule="auto"/>
      <w:ind w:firstLine="200" w:firstLineChars="200"/>
      <w:jc w:val="both"/>
      <w:outlineLvl w:val="3"/>
    </w:pPr>
    <w:rPr>
      <w:rFonts w:ascii="Times New Roman" w:hAnsi="Times New Roman" w:eastAsia="宋体" w:cs="Times New Roman"/>
      <w:b/>
      <w:kern w:val="2"/>
      <w:sz w:val="28"/>
      <w:szCs w:val="22"/>
      <w:lang w:val="en-US" w:eastAsia="zh-CN" w:bidi="ar-SA"/>
    </w:rPr>
  </w:style>
  <w:style w:type="paragraph" w:customStyle="1" w:styleId="791">
    <w:name w:val="1.1.1.1"/>
    <w:basedOn w:val="1"/>
    <w:qFormat/>
    <w:uiPriority w:val="0"/>
    <w:pPr>
      <w:topLinePunct w:val="0"/>
      <w:adjustRightInd/>
      <w:snapToGrid/>
      <w:spacing w:before="60" w:after="60" w:line="240" w:lineRule="auto"/>
      <w:ind w:firstLine="0" w:firstLineChars="0"/>
      <w:jc w:val="left"/>
    </w:pPr>
    <w:rPr>
      <w:b/>
      <w:bCs/>
      <w:kern w:val="2"/>
      <w:sz w:val="28"/>
    </w:rPr>
  </w:style>
  <w:style w:type="paragraph" w:customStyle="1" w:styleId="792">
    <w:name w:val="标题 31"/>
    <w:basedOn w:val="1"/>
    <w:qFormat/>
    <w:uiPriority w:val="1"/>
    <w:pPr>
      <w:topLinePunct w:val="0"/>
      <w:autoSpaceDE w:val="0"/>
      <w:autoSpaceDN w:val="0"/>
      <w:adjustRightInd/>
      <w:snapToGrid/>
      <w:spacing w:before="57" w:line="240" w:lineRule="auto"/>
      <w:ind w:left="880" w:hanging="638" w:firstLineChars="0"/>
      <w:jc w:val="left"/>
      <w:outlineLvl w:val="3"/>
    </w:pPr>
    <w:rPr>
      <w:rFonts w:ascii="黑体" w:hAnsi="黑体" w:eastAsia="黑体" w:cs="黑体"/>
      <w:sz w:val="28"/>
      <w:szCs w:val="28"/>
      <w:lang w:val="zh-CN" w:bidi="zh-CN"/>
    </w:rPr>
  </w:style>
  <w:style w:type="paragraph" w:customStyle="1" w:styleId="793">
    <w:name w:val="样式1正文"/>
    <w:basedOn w:val="1"/>
    <w:qFormat/>
    <w:uiPriority w:val="0"/>
    <w:pPr>
      <w:topLinePunct w:val="0"/>
      <w:adjustRightInd/>
      <w:snapToGrid/>
      <w:ind w:firstLine="0" w:firstLineChars="0"/>
    </w:pPr>
    <w:rPr>
      <w:kern w:val="2"/>
      <w:szCs w:val="20"/>
    </w:rPr>
  </w:style>
  <w:style w:type="paragraph" w:customStyle="1" w:styleId="794">
    <w:name w:val="质表正文1"/>
    <w:basedOn w:val="1"/>
    <w:qFormat/>
    <w:uiPriority w:val="0"/>
    <w:pPr>
      <w:topLinePunct w:val="0"/>
      <w:ind w:firstLine="0" w:firstLineChars="0"/>
      <w:jc w:val="center"/>
    </w:pPr>
    <w:rPr>
      <w:rFonts w:ascii="宋体" w:hAnsi="宋体"/>
      <w:kern w:val="2"/>
      <w:sz w:val="21"/>
    </w:rPr>
  </w:style>
  <w:style w:type="paragraph" w:customStyle="1" w:styleId="795">
    <w:name w:val="lux"/>
    <w:basedOn w:val="1"/>
    <w:next w:val="1"/>
    <w:qFormat/>
    <w:uiPriority w:val="0"/>
    <w:pPr>
      <w:topLinePunct w:val="0"/>
      <w:adjustRightInd/>
      <w:snapToGrid/>
      <w:spacing w:before="100" w:beforeAutospacing="1" w:after="100" w:afterAutospacing="1"/>
    </w:pPr>
    <w:rPr>
      <w:kern w:val="2"/>
    </w:rPr>
  </w:style>
  <w:style w:type="paragraph" w:customStyle="1" w:styleId="796">
    <w:name w:val="样式 标题 2 + 三号1"/>
    <w:basedOn w:val="6"/>
    <w:qFormat/>
    <w:uiPriority w:val="0"/>
    <w:pPr>
      <w:keepLines w:val="0"/>
      <w:numPr>
        <w:ilvl w:val="1"/>
        <w:numId w:val="2"/>
      </w:numPr>
      <w:tabs>
        <w:tab w:val="left" w:pos="576"/>
        <w:tab w:val="left" w:pos="840"/>
        <w:tab w:val="left" w:pos="1620"/>
      </w:tabs>
      <w:topLinePunct w:val="0"/>
      <w:adjustRightInd/>
      <w:snapToGrid/>
      <w:spacing w:line="480" w:lineRule="auto"/>
    </w:pPr>
    <w:rPr>
      <w:rFonts w:ascii="宋体" w:hAnsi="宋体"/>
      <w:bCs w:val="0"/>
      <w:spacing w:val="4"/>
      <w:kern w:val="2"/>
      <w:sz w:val="32"/>
      <w:szCs w:val="32"/>
    </w:rPr>
  </w:style>
  <w:style w:type="paragraph" w:customStyle="1" w:styleId="797">
    <w:name w:val="Char Char Char Char11"/>
    <w:basedOn w:val="1"/>
    <w:qFormat/>
    <w:uiPriority w:val="0"/>
    <w:pPr>
      <w:topLinePunct w:val="0"/>
      <w:adjustRightInd/>
      <w:snapToGrid/>
      <w:spacing w:line="240" w:lineRule="auto"/>
      <w:ind w:firstLine="0" w:firstLineChars="0"/>
    </w:pPr>
    <w:rPr>
      <w:kern w:val="2"/>
      <w:sz w:val="21"/>
      <w:szCs w:val="21"/>
    </w:rPr>
  </w:style>
  <w:style w:type="paragraph" w:customStyle="1" w:styleId="798">
    <w:name w:val="样式 正文缩进正文（首行缩进两字） + 段后: 0.1 行"/>
    <w:basedOn w:val="1"/>
    <w:qFormat/>
    <w:uiPriority w:val="0"/>
    <w:pPr>
      <w:widowControl/>
      <w:topLinePunct w:val="0"/>
      <w:adjustRightInd/>
      <w:snapToGrid/>
      <w:spacing w:line="400" w:lineRule="exact"/>
      <w:ind w:firstLine="480"/>
    </w:pPr>
    <w:rPr>
      <w:bCs/>
      <w:color w:val="000000"/>
      <w:szCs w:val="20"/>
      <w:lang w:val="zh-CN"/>
    </w:rPr>
  </w:style>
  <w:style w:type="paragraph" w:customStyle="1" w:styleId="799">
    <w:name w:val="p21"/>
    <w:basedOn w:val="1"/>
    <w:qFormat/>
    <w:uiPriority w:val="0"/>
    <w:pPr>
      <w:widowControl/>
      <w:topLinePunct w:val="0"/>
      <w:adjustRightInd/>
      <w:snapToGrid/>
      <w:spacing w:before="156" w:after="156"/>
      <w:ind w:firstLine="420" w:firstLineChars="0"/>
    </w:pPr>
    <w:rPr>
      <w:color w:val="000000"/>
      <w:szCs w:val="21"/>
    </w:rPr>
  </w:style>
  <w:style w:type="paragraph" w:customStyle="1" w:styleId="800">
    <w:name w:val="列出段落7"/>
    <w:basedOn w:val="1"/>
    <w:qFormat/>
    <w:uiPriority w:val="34"/>
    <w:pPr>
      <w:topLinePunct w:val="0"/>
      <w:adjustRightInd/>
      <w:snapToGrid/>
      <w:spacing w:line="240" w:lineRule="auto"/>
      <w:ind w:firstLine="420"/>
    </w:pPr>
    <w:rPr>
      <w:kern w:val="2"/>
      <w:sz w:val="21"/>
    </w:rPr>
  </w:style>
  <w:style w:type="paragraph" w:customStyle="1" w:styleId="801">
    <w:name w:val="p16"/>
    <w:basedOn w:val="1"/>
    <w:qFormat/>
    <w:uiPriority w:val="0"/>
    <w:pPr>
      <w:widowControl/>
      <w:topLinePunct w:val="0"/>
      <w:adjustRightInd/>
      <w:snapToGrid/>
      <w:spacing w:line="240" w:lineRule="auto"/>
      <w:ind w:firstLine="0" w:firstLineChars="0"/>
    </w:pPr>
    <w:rPr>
      <w:sz w:val="21"/>
      <w:szCs w:val="21"/>
    </w:rPr>
  </w:style>
  <w:style w:type="paragraph" w:customStyle="1" w:styleId="802">
    <w:name w:val="正文样式"/>
    <w:basedOn w:val="1"/>
    <w:qFormat/>
    <w:uiPriority w:val="0"/>
    <w:pPr>
      <w:topLinePunct w:val="0"/>
      <w:adjustRightInd/>
      <w:spacing w:line="500" w:lineRule="exact"/>
      <w:ind w:left="79" w:firstLine="560"/>
      <w:jc w:val="left"/>
    </w:pPr>
    <w:rPr>
      <w:rFonts w:ascii="宋体" w:hAnsi="宋体"/>
      <w:kern w:val="2"/>
      <w:sz w:val="28"/>
      <w:szCs w:val="28"/>
    </w:rPr>
  </w:style>
  <w:style w:type="paragraph" w:customStyle="1" w:styleId="803">
    <w:name w:val="p20"/>
    <w:basedOn w:val="1"/>
    <w:qFormat/>
    <w:uiPriority w:val="0"/>
    <w:pPr>
      <w:widowControl/>
      <w:topLinePunct w:val="0"/>
      <w:adjustRightInd/>
      <w:snapToGrid/>
      <w:spacing w:after="156" w:line="400" w:lineRule="atLeast"/>
      <w:ind w:firstLine="420" w:firstLineChars="0"/>
    </w:pPr>
  </w:style>
  <w:style w:type="paragraph" w:customStyle="1" w:styleId="804">
    <w:name w:val="bullet"/>
    <w:basedOn w:val="1"/>
    <w:qFormat/>
    <w:uiPriority w:val="0"/>
    <w:pPr>
      <w:widowControl/>
      <w:tabs>
        <w:tab w:val="left" w:pos="340"/>
        <w:tab w:val="left" w:pos="2716"/>
      </w:tabs>
      <w:topLinePunct w:val="0"/>
      <w:adjustRightInd/>
      <w:snapToGrid/>
      <w:spacing w:after="120" w:line="288" w:lineRule="auto"/>
      <w:ind w:left="2716" w:hanging="360" w:firstLineChars="0"/>
      <w:jc w:val="distribute"/>
    </w:pPr>
    <w:rPr>
      <w:rFonts w:ascii="Arial" w:hAnsi="Arial"/>
      <w:snapToGrid w:val="0"/>
      <w:sz w:val="20"/>
      <w:szCs w:val="20"/>
      <w:lang w:val="en-GB" w:eastAsia="en-US"/>
    </w:rPr>
  </w:style>
  <w:style w:type="paragraph" w:customStyle="1" w:styleId="805">
    <w:name w:val="表格 32"/>
    <w:basedOn w:val="1"/>
    <w:qFormat/>
    <w:uiPriority w:val="0"/>
    <w:pPr>
      <w:topLinePunct w:val="0"/>
      <w:autoSpaceDE w:val="0"/>
      <w:autoSpaceDN w:val="0"/>
      <w:snapToGrid/>
      <w:spacing w:line="240" w:lineRule="auto"/>
      <w:ind w:firstLine="0" w:firstLineChars="0"/>
      <w:jc w:val="center"/>
      <w:textAlignment w:val="baseline"/>
    </w:pPr>
    <w:rPr>
      <w:rFonts w:eastAsia="仿宋_GB2312"/>
      <w:szCs w:val="20"/>
    </w:rPr>
  </w:style>
  <w:style w:type="paragraph" w:customStyle="1" w:styleId="806">
    <w:name w:val="1表格"/>
    <w:basedOn w:val="1"/>
    <w:qFormat/>
    <w:uiPriority w:val="0"/>
    <w:pPr>
      <w:topLinePunct w:val="0"/>
      <w:adjustRightInd/>
      <w:snapToGrid/>
      <w:spacing w:beforeLines="100" w:line="460" w:lineRule="exact"/>
      <w:ind w:firstLine="0" w:firstLineChars="0"/>
      <w:jc w:val="center"/>
    </w:pPr>
    <w:rPr>
      <w:rFonts w:eastAsia="华文细黑"/>
      <w:b/>
      <w:kern w:val="2"/>
      <w:sz w:val="21"/>
      <w:szCs w:val="20"/>
    </w:rPr>
  </w:style>
  <w:style w:type="paragraph" w:customStyle="1" w:styleId="807">
    <w:name w:val="p22"/>
    <w:basedOn w:val="1"/>
    <w:qFormat/>
    <w:uiPriority w:val="0"/>
    <w:pPr>
      <w:widowControl/>
      <w:topLinePunct w:val="0"/>
      <w:adjustRightInd/>
      <w:snapToGrid/>
      <w:spacing w:line="240" w:lineRule="auto"/>
      <w:ind w:firstLine="0" w:firstLineChars="0"/>
    </w:pPr>
    <w:rPr>
      <w:rFonts w:ascii="宋体" w:hAnsi="宋体" w:cs="宋体"/>
      <w:sz w:val="21"/>
      <w:szCs w:val="21"/>
    </w:rPr>
  </w:style>
  <w:style w:type="paragraph" w:customStyle="1" w:styleId="808">
    <w:name w:val="Char3"/>
    <w:basedOn w:val="1"/>
    <w:qFormat/>
    <w:uiPriority w:val="0"/>
    <w:pPr>
      <w:topLinePunct w:val="0"/>
      <w:adjustRightInd/>
      <w:snapToGrid/>
    </w:pPr>
    <w:rPr>
      <w:rFonts w:ascii="宋体" w:hAnsi="宋体" w:cs="宋体"/>
      <w:kern w:val="2"/>
    </w:rPr>
  </w:style>
  <w:style w:type="paragraph" w:customStyle="1" w:styleId="809">
    <w:name w:val="样式 样式 标题4 + 右侧:  0.85 字符 + 右侧:  0.85 字符1"/>
    <w:basedOn w:val="1"/>
    <w:qFormat/>
    <w:uiPriority w:val="0"/>
    <w:pPr>
      <w:topLinePunct w:val="0"/>
      <w:adjustRightInd/>
      <w:snapToGrid/>
      <w:spacing w:line="377" w:lineRule="auto"/>
      <w:ind w:right="85" w:rightChars="85" w:firstLine="0" w:firstLineChars="0"/>
      <w:jc w:val="left"/>
      <w:outlineLvl w:val="3"/>
    </w:pPr>
    <w:rPr>
      <w:rFonts w:cs="宋体"/>
      <w:szCs w:val="20"/>
    </w:rPr>
  </w:style>
  <w:style w:type="paragraph" w:customStyle="1" w:styleId="810">
    <w:name w:val="样式16"/>
    <w:basedOn w:val="1"/>
    <w:qFormat/>
    <w:uiPriority w:val="0"/>
    <w:pPr>
      <w:topLinePunct w:val="0"/>
      <w:adjustRightInd/>
      <w:snapToGrid/>
      <w:spacing w:beforeLines="50" w:afterLines="50" w:line="240" w:lineRule="auto"/>
      <w:ind w:firstLine="0" w:firstLineChars="0"/>
    </w:pPr>
    <w:rPr>
      <w:b/>
      <w:sz w:val="21"/>
      <w:szCs w:val="21"/>
    </w:rPr>
  </w:style>
  <w:style w:type="paragraph" w:customStyle="1" w:styleId="811">
    <w:name w:val="正文22磅"/>
    <w:basedOn w:val="1"/>
    <w:qFormat/>
    <w:uiPriority w:val="0"/>
    <w:pPr>
      <w:topLinePunct w:val="0"/>
      <w:adjustRightInd/>
      <w:snapToGrid/>
      <w:spacing w:line="420" w:lineRule="exact"/>
      <w:ind w:firstLine="480"/>
    </w:pPr>
    <w:rPr>
      <w:kern w:val="2"/>
    </w:rPr>
  </w:style>
  <w:style w:type="paragraph" w:customStyle="1" w:styleId="812">
    <w:name w:val="博士论文正文 Char"/>
    <w:basedOn w:val="1"/>
    <w:qFormat/>
    <w:uiPriority w:val="0"/>
    <w:pPr>
      <w:widowControl/>
      <w:topLinePunct w:val="0"/>
      <w:adjustRightInd/>
      <w:spacing w:line="240" w:lineRule="auto"/>
      <w:ind w:firstLine="0" w:firstLineChars="0"/>
      <w:jc w:val="left"/>
    </w:pPr>
    <w:rPr>
      <w:rFonts w:ascii="宋体" w:hAnsi="宋体"/>
      <w:sz w:val="21"/>
    </w:rPr>
  </w:style>
  <w:style w:type="paragraph" w:customStyle="1" w:styleId="813">
    <w:name w:val="Char Char Char Char Char Char Char Char Char1 Char1"/>
    <w:basedOn w:val="1"/>
    <w:qFormat/>
    <w:uiPriority w:val="0"/>
    <w:pPr>
      <w:topLinePunct w:val="0"/>
      <w:adjustRightInd/>
      <w:snapToGrid/>
      <w:spacing w:line="240" w:lineRule="auto"/>
      <w:ind w:firstLine="0" w:firstLineChars="0"/>
    </w:pPr>
    <w:rPr>
      <w:rFonts w:ascii="宋体" w:hAnsi="宋体" w:cs="Courier New"/>
      <w:kern w:val="2"/>
      <w:sz w:val="32"/>
      <w:szCs w:val="32"/>
    </w:rPr>
  </w:style>
  <w:style w:type="paragraph" w:customStyle="1" w:styleId="814">
    <w:name w:val="TOC 标题2"/>
    <w:basedOn w:val="5"/>
    <w:next w:val="1"/>
    <w:unhideWhenUsed/>
    <w:qFormat/>
    <w:uiPriority w:val="39"/>
    <w:pPr>
      <w:pageBreakBefore w:val="0"/>
      <w:widowControl/>
      <w:tabs>
        <w:tab w:val="clear" w:pos="432"/>
      </w:tabs>
      <w:topLinePunct w:val="0"/>
      <w:adjustRightInd/>
      <w:snapToGrid/>
      <w:spacing w:before="480" w:line="276" w:lineRule="auto"/>
      <w:outlineLvl w:val="9"/>
    </w:pPr>
    <w:rPr>
      <w:rFonts w:ascii="Cambria" w:hAnsi="Cambria"/>
      <w:color w:val="366091"/>
      <w:sz w:val="28"/>
      <w:szCs w:val="28"/>
    </w:rPr>
  </w:style>
  <w:style w:type="paragraph" w:customStyle="1" w:styleId="815">
    <w:name w:val="Char Char11"/>
    <w:basedOn w:val="1"/>
    <w:qFormat/>
    <w:uiPriority w:val="0"/>
    <w:pPr>
      <w:topLinePunct w:val="0"/>
      <w:adjustRightInd/>
      <w:snapToGrid/>
    </w:pPr>
    <w:rPr>
      <w:rFonts w:ascii="宋体" w:hAnsi="宋体"/>
      <w:snapToGrid w:val="0"/>
      <w:szCs w:val="20"/>
    </w:rPr>
  </w:style>
  <w:style w:type="paragraph" w:customStyle="1" w:styleId="816">
    <w:name w:val="p19"/>
    <w:basedOn w:val="1"/>
    <w:qFormat/>
    <w:uiPriority w:val="0"/>
    <w:pPr>
      <w:widowControl/>
      <w:topLinePunct w:val="0"/>
      <w:adjustRightInd/>
      <w:snapToGrid/>
      <w:spacing w:line="520" w:lineRule="atLeast"/>
      <w:ind w:firstLine="420" w:firstLineChars="0"/>
      <w:jc w:val="left"/>
    </w:pPr>
    <w:rPr>
      <w:rFonts w:ascii="宋体" w:hAnsi="宋体" w:cs="宋体"/>
    </w:rPr>
  </w:style>
  <w:style w:type="paragraph" w:customStyle="1" w:styleId="817">
    <w:name w:val="p15"/>
    <w:basedOn w:val="1"/>
    <w:qFormat/>
    <w:uiPriority w:val="0"/>
    <w:pPr>
      <w:widowControl/>
      <w:topLinePunct w:val="0"/>
      <w:adjustRightInd/>
      <w:ind w:firstLine="0" w:firstLineChars="0"/>
    </w:pPr>
  </w:style>
  <w:style w:type="paragraph" w:customStyle="1" w:styleId="818">
    <w:name w:val="正文 lux"/>
    <w:basedOn w:val="1"/>
    <w:qFormat/>
    <w:uiPriority w:val="0"/>
    <w:pPr>
      <w:topLinePunct w:val="0"/>
      <w:spacing w:line="500" w:lineRule="exact"/>
    </w:pPr>
    <w:rPr>
      <w:kern w:val="2"/>
      <w:szCs w:val="28"/>
    </w:rPr>
  </w:style>
  <w:style w:type="paragraph" w:customStyle="1" w:styleId="819">
    <w:name w:val="p28"/>
    <w:basedOn w:val="1"/>
    <w:qFormat/>
    <w:uiPriority w:val="0"/>
    <w:pPr>
      <w:widowControl/>
      <w:topLinePunct w:val="0"/>
      <w:adjustRightInd/>
      <w:snapToGrid/>
      <w:spacing w:line="240" w:lineRule="auto"/>
      <w:ind w:firstLine="0" w:firstLineChars="0"/>
    </w:pPr>
    <w:rPr>
      <w:sz w:val="21"/>
      <w:szCs w:val="21"/>
    </w:rPr>
  </w:style>
  <w:style w:type="paragraph" w:customStyle="1" w:styleId="820">
    <w:name w:val="样式 标题 3条标题1.1.1h3H3level_3PIM 3Level 3 HeadHeading 3 - ol...9"/>
    <w:basedOn w:val="7"/>
    <w:qFormat/>
    <w:uiPriority w:val="0"/>
    <w:pPr>
      <w:keepLines/>
      <w:kinsoku/>
      <w:overflowPunct/>
      <w:topLinePunct w:val="0"/>
      <w:autoSpaceDE/>
      <w:autoSpaceDN/>
      <w:spacing w:beforeLines="50" w:afterLines="50"/>
      <w:textAlignment w:val="baseline"/>
    </w:pPr>
    <w:rPr>
      <w:rFonts w:hAnsi="宋体" w:cs="宋体"/>
      <w:snapToGrid w:val="0"/>
      <w:szCs w:val="20"/>
    </w:rPr>
  </w:style>
  <w:style w:type="paragraph" w:customStyle="1" w:styleId="821">
    <w:name w:val="样式 五号 加粗 居中"/>
    <w:basedOn w:val="1"/>
    <w:qFormat/>
    <w:uiPriority w:val="0"/>
    <w:pPr>
      <w:topLinePunct w:val="0"/>
      <w:adjustRightInd/>
      <w:snapToGrid/>
      <w:spacing w:line="240" w:lineRule="auto"/>
      <w:ind w:firstLine="0" w:firstLineChars="0"/>
      <w:jc w:val="center"/>
    </w:pPr>
    <w:rPr>
      <w:rFonts w:cs="宋体"/>
      <w:b/>
      <w:bCs/>
      <w:kern w:val="2"/>
      <w:sz w:val="21"/>
      <w:szCs w:val="20"/>
    </w:rPr>
  </w:style>
  <w:style w:type="paragraph" w:customStyle="1" w:styleId="822">
    <w:name w:val="五号表格"/>
    <w:basedOn w:val="1"/>
    <w:qFormat/>
    <w:uiPriority w:val="0"/>
    <w:pPr>
      <w:topLinePunct w:val="0"/>
      <w:adjustRightInd/>
      <w:snapToGrid/>
      <w:spacing w:line="240" w:lineRule="auto"/>
      <w:ind w:firstLine="0" w:firstLineChars="0"/>
      <w:jc w:val="center"/>
    </w:pPr>
    <w:rPr>
      <w:sz w:val="21"/>
      <w:szCs w:val="20"/>
    </w:rPr>
  </w:style>
  <w:style w:type="paragraph" w:customStyle="1" w:styleId="823">
    <w:name w:val="123"/>
    <w:basedOn w:val="1"/>
    <w:qFormat/>
    <w:uiPriority w:val="0"/>
    <w:pPr>
      <w:topLinePunct w:val="0"/>
      <w:adjustRightInd/>
      <w:snapToGrid/>
      <w:spacing w:beforeLines="50" w:afterLines="50"/>
    </w:pPr>
    <w:rPr>
      <w:rFonts w:ascii="宋体" w:hAnsi="宋体" w:cs="宋体"/>
      <w:kern w:val="2"/>
    </w:rPr>
  </w:style>
  <w:style w:type="paragraph" w:customStyle="1" w:styleId="824">
    <w:name w:val="123456"/>
    <w:basedOn w:val="1"/>
    <w:link w:val="1279"/>
    <w:qFormat/>
    <w:uiPriority w:val="0"/>
    <w:pPr>
      <w:topLinePunct w:val="0"/>
      <w:adjustRightInd/>
      <w:snapToGrid/>
      <w:spacing w:before="120" w:after="120"/>
    </w:pPr>
    <w:rPr>
      <w:kern w:val="2"/>
    </w:rPr>
  </w:style>
  <w:style w:type="paragraph" w:customStyle="1" w:styleId="825">
    <w:name w:val="T表格"/>
    <w:qFormat/>
    <w:uiPriority w:val="0"/>
    <w:pPr>
      <w:adjustRightInd w:val="0"/>
      <w:snapToGrid w:val="0"/>
      <w:spacing w:line="360" w:lineRule="auto"/>
      <w:jc w:val="center"/>
    </w:pPr>
    <w:rPr>
      <w:rFonts w:ascii="Times New Roman" w:hAnsi="Times New Roman" w:eastAsia="宋体" w:cs="Times New Roman"/>
      <w:color w:val="000000"/>
      <w:sz w:val="21"/>
      <w:lang w:val="en-US" w:eastAsia="zh-CN" w:bidi="ar-SA"/>
    </w:rPr>
  </w:style>
  <w:style w:type="paragraph" w:customStyle="1" w:styleId="826">
    <w:name w:val="p17"/>
    <w:basedOn w:val="1"/>
    <w:qFormat/>
    <w:uiPriority w:val="0"/>
    <w:pPr>
      <w:widowControl/>
      <w:topLinePunct w:val="0"/>
      <w:adjustRightInd/>
      <w:spacing w:line="300" w:lineRule="auto"/>
      <w:ind w:firstLine="482" w:firstLineChars="0"/>
    </w:pPr>
  </w:style>
  <w:style w:type="paragraph" w:customStyle="1" w:styleId="827">
    <w:name w:val="TOC 标题3"/>
    <w:basedOn w:val="5"/>
    <w:next w:val="1"/>
    <w:qFormat/>
    <w:uiPriority w:val="39"/>
    <w:pPr>
      <w:pageBreakBefore w:val="0"/>
      <w:widowControl/>
      <w:tabs>
        <w:tab w:val="clear" w:pos="432"/>
      </w:tabs>
      <w:topLinePunct w:val="0"/>
      <w:adjustRightInd/>
      <w:snapToGrid/>
      <w:spacing w:before="480" w:line="276" w:lineRule="auto"/>
      <w:outlineLvl w:val="9"/>
    </w:pPr>
    <w:rPr>
      <w:rFonts w:ascii="Cambria" w:hAnsi="Cambria"/>
      <w:color w:val="365F91"/>
      <w:sz w:val="28"/>
      <w:szCs w:val="28"/>
    </w:rPr>
  </w:style>
  <w:style w:type="paragraph" w:customStyle="1" w:styleId="828">
    <w:name w:val="样式 首行缩进"/>
    <w:basedOn w:val="1"/>
    <w:qFormat/>
    <w:uiPriority w:val="0"/>
    <w:pPr>
      <w:topLinePunct w:val="0"/>
      <w:adjustRightInd/>
      <w:snapToGrid/>
      <w:spacing w:before="60" w:after="60"/>
      <w:ind w:firstLine="480"/>
    </w:pPr>
    <w:rPr>
      <w:rFonts w:cs="宋体"/>
      <w:kern w:val="2"/>
      <w:szCs w:val="20"/>
    </w:rPr>
  </w:style>
  <w:style w:type="paragraph" w:customStyle="1" w:styleId="829">
    <w:name w:val="表文"/>
    <w:qFormat/>
    <w:uiPriority w:val="0"/>
    <w:pPr>
      <w:spacing w:line="400" w:lineRule="exact"/>
      <w:jc w:val="center"/>
    </w:pPr>
    <w:rPr>
      <w:rFonts w:ascii="Times New Roman" w:hAnsi="Times New Roman" w:eastAsia="宋体" w:cs="Times New Roman"/>
      <w:sz w:val="21"/>
      <w:lang w:val="en-US" w:eastAsia="zh-CN" w:bidi="ar-SA"/>
    </w:rPr>
  </w:style>
  <w:style w:type="paragraph" w:customStyle="1" w:styleId="830">
    <w:name w:val="Char Char Char Char Char1 Char Char Char Char Char Char Char3"/>
    <w:basedOn w:val="30"/>
    <w:qFormat/>
    <w:uiPriority w:val="0"/>
    <w:pPr>
      <w:widowControl/>
      <w:shd w:val="clear" w:color="auto" w:fill="000080"/>
      <w:tabs>
        <w:tab w:val="left" w:pos="1276"/>
      </w:tabs>
      <w:topLinePunct w:val="0"/>
      <w:adjustRightInd/>
      <w:snapToGrid/>
      <w:spacing w:line="436" w:lineRule="exact"/>
      <w:ind w:left="357" w:firstLine="567" w:firstLineChars="0"/>
      <w:jc w:val="center"/>
      <w:outlineLvl w:val="3"/>
    </w:pPr>
    <w:rPr>
      <w:rFonts w:ascii="Tahoma" w:hAnsi="Tahoma" w:eastAsia="黑体"/>
      <w:kern w:val="2"/>
      <w:sz w:val="28"/>
      <w:szCs w:val="28"/>
    </w:rPr>
  </w:style>
  <w:style w:type="paragraph" w:customStyle="1" w:styleId="831">
    <w:name w:val="样式 标题 2 + 段前: 0.5 行 段后: 0.5 行"/>
    <w:basedOn w:val="6"/>
    <w:next w:val="59"/>
    <w:qFormat/>
    <w:uiPriority w:val="0"/>
    <w:pPr>
      <w:topLinePunct w:val="0"/>
      <w:adjustRightInd/>
      <w:snapToGrid/>
      <w:spacing w:beforeLines="50" w:afterLines="50"/>
      <w:jc w:val="both"/>
    </w:pPr>
    <w:rPr>
      <w:rFonts w:eastAsia="黑体" w:cs="宋体"/>
      <w:kern w:val="2"/>
      <w:sz w:val="30"/>
      <w:szCs w:val="20"/>
    </w:rPr>
  </w:style>
  <w:style w:type="paragraph" w:customStyle="1" w:styleId="832">
    <w:name w:val="Char Char1 Char Char Char Char Char Char Char"/>
    <w:basedOn w:val="1"/>
    <w:qFormat/>
    <w:uiPriority w:val="0"/>
    <w:pPr>
      <w:topLinePunct w:val="0"/>
      <w:adjustRightInd/>
      <w:snapToGrid/>
      <w:spacing w:line="240" w:lineRule="auto"/>
      <w:ind w:firstLine="0" w:firstLineChars="0"/>
    </w:pPr>
    <w:rPr>
      <w:kern w:val="2"/>
      <w:sz w:val="21"/>
    </w:rPr>
  </w:style>
  <w:style w:type="paragraph" w:customStyle="1" w:styleId="833">
    <w:name w:val="样式 样式 左 + 右侧:  0.85 字符"/>
    <w:basedOn w:val="1"/>
    <w:qFormat/>
    <w:uiPriority w:val="0"/>
    <w:pPr>
      <w:topLinePunct w:val="0"/>
      <w:adjustRightInd/>
      <w:snapToGrid/>
      <w:ind w:right="178"/>
      <w:jc w:val="left"/>
    </w:pPr>
    <w:rPr>
      <w:rFonts w:cs="宋体"/>
      <w:kern w:val="2"/>
      <w:szCs w:val="20"/>
    </w:rPr>
  </w:style>
  <w:style w:type="paragraph" w:customStyle="1" w:styleId="834">
    <w:name w:val="Char Char Char Char Char Char Char Char Char Char Char Char Char Char Char Char Char Char Char Char Char Char Char Char Char Char Char Char Char Char Char Char Char Char Char Char Char Char Char Char Char Char Char Char Char Char"/>
    <w:basedOn w:val="1"/>
    <w:next w:val="1"/>
    <w:qFormat/>
    <w:uiPriority w:val="0"/>
    <w:pPr>
      <w:pBdr>
        <w:right w:val="single" w:color="auto" w:sz="12" w:space="4"/>
      </w:pBdr>
      <w:topLinePunct w:val="0"/>
      <w:adjustRightInd/>
      <w:snapToGrid/>
    </w:pPr>
    <w:rPr>
      <w:kern w:val="2"/>
      <w:sz w:val="21"/>
    </w:rPr>
  </w:style>
  <w:style w:type="paragraph" w:customStyle="1" w:styleId="835">
    <w:name w:val="正文文字标准"/>
    <w:basedOn w:val="90"/>
    <w:qFormat/>
    <w:uiPriority w:val="0"/>
    <w:pPr>
      <w:topLinePunct w:val="0"/>
      <w:adjustRightInd/>
      <w:snapToGrid/>
      <w:spacing w:after="0" w:line="480" w:lineRule="exact"/>
      <w:ind w:firstLine="200" w:firstLineChars="200"/>
    </w:pPr>
    <w:rPr>
      <w:kern w:val="2"/>
      <w:sz w:val="28"/>
    </w:rPr>
  </w:style>
  <w:style w:type="paragraph" w:customStyle="1" w:styleId="836">
    <w:name w:val="xyb自建正文"/>
    <w:basedOn w:val="1"/>
    <w:qFormat/>
    <w:uiPriority w:val="0"/>
    <w:pPr>
      <w:topLinePunct w:val="0"/>
      <w:adjustRightInd/>
      <w:snapToGrid/>
      <w:spacing w:beforeLines="50"/>
      <w:ind w:firstLine="480"/>
      <w:textAlignment w:val="baseline"/>
    </w:pPr>
  </w:style>
  <w:style w:type="paragraph" w:customStyle="1" w:styleId="837">
    <w:name w:val="3标题(治)"/>
    <w:basedOn w:val="7"/>
    <w:qFormat/>
    <w:uiPriority w:val="0"/>
    <w:pPr>
      <w:keepLines/>
      <w:kinsoku/>
      <w:overflowPunct/>
      <w:topLinePunct w:val="0"/>
      <w:autoSpaceDE/>
      <w:autoSpaceDN/>
      <w:adjustRightInd/>
      <w:snapToGrid/>
      <w:ind w:left="1134" w:hanging="1134"/>
      <w:jc w:val="both"/>
      <w:textAlignment w:val="baseline"/>
    </w:pPr>
    <w:rPr>
      <w:rFonts w:ascii="宋体" w:hAnsi="宋体"/>
      <w:color w:val="000000"/>
      <w:kern w:val="2"/>
      <w:sz w:val="28"/>
    </w:rPr>
  </w:style>
  <w:style w:type="paragraph" w:customStyle="1" w:styleId="838">
    <w:name w:val="标题 21"/>
    <w:basedOn w:val="1"/>
    <w:qFormat/>
    <w:uiPriority w:val="1"/>
    <w:pPr>
      <w:topLinePunct w:val="0"/>
      <w:autoSpaceDE w:val="0"/>
      <w:autoSpaceDN w:val="0"/>
      <w:adjustRightInd/>
      <w:snapToGrid/>
      <w:spacing w:line="240" w:lineRule="auto"/>
      <w:ind w:left="700" w:hanging="458" w:firstLineChars="0"/>
      <w:jc w:val="left"/>
      <w:outlineLvl w:val="2"/>
    </w:pPr>
    <w:rPr>
      <w:rFonts w:ascii="黑体" w:hAnsi="黑体" w:eastAsia="黑体" w:cs="黑体"/>
      <w:sz w:val="30"/>
      <w:szCs w:val="30"/>
      <w:lang w:val="zh-CN" w:bidi="zh-CN"/>
    </w:rPr>
  </w:style>
  <w:style w:type="paragraph" w:customStyle="1" w:styleId="839">
    <w:name w:val="7表格(治)"/>
    <w:qFormat/>
    <w:uiPriority w:val="0"/>
    <w:pPr>
      <w:jc w:val="center"/>
    </w:pPr>
    <w:rPr>
      <w:rFonts w:ascii="宋体" w:hAnsi="宋体" w:eastAsia="宋体" w:cs="Times New Roman"/>
      <w:color w:val="000000"/>
      <w:sz w:val="21"/>
      <w:szCs w:val="21"/>
      <w:lang w:val="en-US" w:eastAsia="zh-CN" w:bidi="ar-SA"/>
    </w:rPr>
  </w:style>
  <w:style w:type="paragraph" w:customStyle="1" w:styleId="840">
    <w:name w:val="样式 正文首行缩进 2 + 首行缩进:  2 字符 段前: 4.65 磅 段后: 4.65 磅"/>
    <w:basedOn w:val="91"/>
    <w:qFormat/>
    <w:uiPriority w:val="0"/>
    <w:pPr>
      <w:spacing w:before="93" w:after="93" w:line="500" w:lineRule="exact"/>
      <w:ind w:left="0" w:leftChars="0" w:firstLine="480"/>
    </w:pPr>
    <w:rPr>
      <w:rFonts w:cs="宋体"/>
      <w:sz w:val="24"/>
      <w:szCs w:val="20"/>
    </w:rPr>
  </w:style>
  <w:style w:type="paragraph" w:customStyle="1" w:styleId="841">
    <w:name w:val="样式 小标题 + 段前: 0.5 行 段后: 0.5 行"/>
    <w:basedOn w:val="722"/>
    <w:qFormat/>
    <w:uiPriority w:val="0"/>
    <w:pPr>
      <w:spacing w:beforeLines="100" w:beforeAutospacing="0" w:afterLines="50" w:line="360" w:lineRule="auto"/>
      <w:ind w:firstLine="200" w:firstLineChars="200"/>
    </w:pPr>
    <w:rPr>
      <w:rFonts w:cs="宋体"/>
      <w:bCs/>
      <w:kern w:val="2"/>
      <w:u w:val="single"/>
    </w:rPr>
  </w:style>
  <w:style w:type="paragraph" w:customStyle="1" w:styleId="842">
    <w:name w:val="表内"/>
    <w:basedOn w:val="1"/>
    <w:qFormat/>
    <w:uiPriority w:val="0"/>
    <w:pPr>
      <w:topLinePunct w:val="0"/>
      <w:adjustRightInd/>
      <w:snapToGrid/>
      <w:spacing w:line="340" w:lineRule="exact"/>
      <w:ind w:firstLine="0" w:firstLineChars="0"/>
      <w:jc w:val="center"/>
    </w:pPr>
    <w:rPr>
      <w:kern w:val="2"/>
      <w:sz w:val="21"/>
    </w:rPr>
  </w:style>
  <w:style w:type="paragraph" w:customStyle="1" w:styleId="843">
    <w:name w:val="正文标准样式"/>
    <w:basedOn w:val="1"/>
    <w:link w:val="1352"/>
    <w:qFormat/>
    <w:uiPriority w:val="0"/>
    <w:pPr>
      <w:topLinePunct w:val="0"/>
      <w:snapToGrid/>
      <w:spacing w:line="300" w:lineRule="auto"/>
      <w:ind w:firstLine="482" w:firstLineChars="0"/>
    </w:pPr>
    <w:rPr>
      <w:szCs w:val="20"/>
    </w:rPr>
  </w:style>
  <w:style w:type="paragraph" w:customStyle="1" w:styleId="844">
    <w:name w:val="lux正文"/>
    <w:basedOn w:val="271"/>
    <w:qFormat/>
    <w:uiPriority w:val="0"/>
    <w:pPr>
      <w:numPr>
        <w:ilvl w:val="1"/>
        <w:numId w:val="3"/>
      </w:numPr>
      <w:topLinePunct w:val="0"/>
      <w:spacing w:beforeLines="50" w:afterLines="50"/>
      <w:ind w:firstLineChars="0"/>
    </w:pPr>
    <w:rPr>
      <w:kern w:val="2"/>
      <w:szCs w:val="20"/>
    </w:rPr>
  </w:style>
  <w:style w:type="paragraph" w:customStyle="1" w:styleId="845">
    <w:name w:val="修订2"/>
    <w:qFormat/>
    <w:uiPriority w:val="0"/>
    <w:rPr>
      <w:rFonts w:ascii="Times New Roman" w:hAnsi="Times New Roman" w:eastAsia="宋体" w:cs="Times New Roman"/>
      <w:kern w:val="2"/>
      <w:sz w:val="21"/>
      <w:szCs w:val="24"/>
      <w:lang w:val="en-US" w:eastAsia="zh-CN" w:bidi="ar-SA"/>
    </w:rPr>
  </w:style>
  <w:style w:type="paragraph" w:customStyle="1" w:styleId="846">
    <w:name w:val="样式 居中"/>
    <w:basedOn w:val="1"/>
    <w:qFormat/>
    <w:uiPriority w:val="0"/>
    <w:pPr>
      <w:topLinePunct w:val="0"/>
      <w:adjustRightInd/>
      <w:snapToGrid/>
      <w:spacing w:line="240" w:lineRule="auto"/>
      <w:ind w:firstLine="0" w:firstLineChars="0"/>
      <w:jc w:val="center"/>
    </w:pPr>
    <w:rPr>
      <w:rFonts w:cs="宋体"/>
      <w:kern w:val="2"/>
      <w:sz w:val="21"/>
      <w:szCs w:val="21"/>
    </w:rPr>
  </w:style>
  <w:style w:type="paragraph" w:customStyle="1" w:styleId="847">
    <w:name w:val="自动1"/>
    <w:basedOn w:val="1"/>
    <w:qFormat/>
    <w:uiPriority w:val="0"/>
    <w:pPr>
      <w:keepNext/>
      <w:keepLines/>
      <w:tabs>
        <w:tab w:val="left" w:pos="495"/>
      </w:tabs>
      <w:topLinePunct w:val="0"/>
      <w:adjustRightInd/>
      <w:snapToGrid/>
      <w:spacing w:beforeLines="50" w:afterLines="50"/>
      <w:ind w:left="495" w:hanging="495" w:firstLineChars="0"/>
      <w:outlineLvl w:val="0"/>
    </w:pPr>
    <w:rPr>
      <w:rFonts w:ascii="黑体" w:hAnsi="Arial Unicode MS" w:eastAsia="黑体" w:cs="Arial Unicode MS"/>
      <w:b/>
      <w:bCs/>
      <w:color w:val="000000"/>
      <w:kern w:val="44"/>
      <w:sz w:val="30"/>
      <w:szCs w:val="30"/>
    </w:rPr>
  </w:style>
  <w:style w:type="paragraph" w:customStyle="1" w:styleId="848">
    <w:name w:val="样式 报告书正文 + 首行缩进:  2 字符1"/>
    <w:basedOn w:val="1"/>
    <w:next w:val="1"/>
    <w:qFormat/>
    <w:uiPriority w:val="0"/>
    <w:pPr>
      <w:topLinePunct w:val="0"/>
      <w:adjustRightInd/>
      <w:snapToGrid/>
      <w:ind w:firstLine="480"/>
    </w:pPr>
    <w:rPr>
      <w:rFonts w:cs="宋体"/>
      <w:kern w:val="2"/>
      <w:szCs w:val="20"/>
    </w:rPr>
  </w:style>
  <w:style w:type="paragraph" w:customStyle="1" w:styleId="849">
    <w:name w:val="默认段落字体 Para Char Char Char Char Char Char Char Char Char Char"/>
    <w:basedOn w:val="7"/>
    <w:qFormat/>
    <w:uiPriority w:val="0"/>
    <w:pPr>
      <w:keepLines/>
      <w:tabs>
        <w:tab w:val="left" w:pos="360"/>
        <w:tab w:val="left" w:pos="900"/>
      </w:tabs>
      <w:kinsoku/>
      <w:overflowPunct/>
      <w:topLinePunct w:val="0"/>
      <w:autoSpaceDE/>
      <w:autoSpaceDN/>
      <w:adjustRightInd/>
      <w:spacing w:before="120" w:after="120"/>
      <w:ind w:left="542" w:leftChars="-12" w:firstLine="200" w:firstLineChars="200"/>
    </w:pPr>
    <w:rPr>
      <w:rFonts w:eastAsia="黑体"/>
      <w:b w:val="0"/>
      <w:bCs w:val="0"/>
      <w:snapToGrid w:val="0"/>
      <w:kern w:val="2"/>
      <w:szCs w:val="24"/>
    </w:rPr>
  </w:style>
  <w:style w:type="paragraph" w:customStyle="1" w:styleId="850">
    <w:name w:val="Char1 Char Char Char Char Char Char"/>
    <w:basedOn w:val="1"/>
    <w:qFormat/>
    <w:uiPriority w:val="0"/>
    <w:pPr>
      <w:topLinePunct w:val="0"/>
      <w:adjustRightInd/>
      <w:snapToGrid/>
      <w:spacing w:beforeLines="50" w:afterLines="50"/>
    </w:pPr>
    <w:rPr>
      <w:rFonts w:ascii="宋体" w:hAnsi="宋体" w:cs="宋体"/>
      <w:kern w:val="2"/>
    </w:rPr>
  </w:style>
  <w:style w:type="paragraph" w:customStyle="1" w:styleId="851">
    <w:name w:val="1.1"/>
    <w:basedOn w:val="6"/>
    <w:qFormat/>
    <w:uiPriority w:val="0"/>
    <w:pPr>
      <w:topLinePunct w:val="0"/>
      <w:adjustRightInd/>
      <w:snapToGrid/>
      <w:spacing w:before="120" w:after="120"/>
    </w:pPr>
    <w:rPr>
      <w:rFonts w:eastAsia="黑体"/>
      <w:kern w:val="2"/>
      <w:sz w:val="32"/>
      <w:szCs w:val="32"/>
    </w:rPr>
  </w:style>
  <w:style w:type="paragraph" w:customStyle="1" w:styleId="852">
    <w:name w:val="Lux 正文"/>
    <w:basedOn w:val="1"/>
    <w:qFormat/>
    <w:uiPriority w:val="0"/>
    <w:pPr>
      <w:topLinePunct w:val="0"/>
      <w:adjustRightInd/>
      <w:snapToGrid/>
      <w:spacing w:before="80" w:after="80" w:line="500" w:lineRule="exact"/>
    </w:pPr>
    <w:rPr>
      <w:szCs w:val="20"/>
    </w:rPr>
  </w:style>
  <w:style w:type="paragraph" w:customStyle="1" w:styleId="853">
    <w:name w:val="样式 四号 黑色 行距: 1.5 倍行距 首行缩进:  2 字符"/>
    <w:basedOn w:val="1"/>
    <w:qFormat/>
    <w:uiPriority w:val="0"/>
    <w:pPr>
      <w:topLinePunct w:val="0"/>
      <w:adjustRightInd/>
      <w:snapToGrid/>
      <w:ind w:firstLine="560"/>
    </w:pPr>
    <w:rPr>
      <w:rFonts w:eastAsia="仿宋_GB2312" w:cs="宋体"/>
      <w:color w:val="000000"/>
      <w:kern w:val="2"/>
      <w:sz w:val="28"/>
      <w:szCs w:val="20"/>
    </w:rPr>
  </w:style>
  <w:style w:type="paragraph" w:customStyle="1" w:styleId="854">
    <w:name w:val="图表头"/>
    <w:basedOn w:val="1"/>
    <w:qFormat/>
    <w:uiPriority w:val="0"/>
    <w:pPr>
      <w:topLinePunct w:val="0"/>
      <w:snapToGrid/>
      <w:ind w:firstLine="0" w:firstLineChars="0"/>
      <w:jc w:val="center"/>
      <w:textAlignment w:val="baseline"/>
    </w:pPr>
    <w:rPr>
      <w:rFonts w:ascii="黑体" w:eastAsia="黑体"/>
      <w:spacing w:val="5"/>
      <w:sz w:val="21"/>
      <w:szCs w:val="20"/>
    </w:rPr>
  </w:style>
  <w:style w:type="paragraph" w:customStyle="1" w:styleId="855">
    <w:name w:val="缩进"/>
    <w:basedOn w:val="1"/>
    <w:qFormat/>
    <w:uiPriority w:val="0"/>
    <w:pPr>
      <w:topLinePunct w:val="0"/>
      <w:autoSpaceDE w:val="0"/>
      <w:autoSpaceDN w:val="0"/>
      <w:snapToGrid/>
      <w:spacing w:line="400" w:lineRule="atLeast"/>
      <w:ind w:firstLine="425" w:firstLineChars="0"/>
      <w:textAlignment w:val="baseline"/>
    </w:pPr>
    <w:rPr>
      <w:szCs w:val="20"/>
    </w:rPr>
  </w:style>
  <w:style w:type="paragraph" w:customStyle="1" w:styleId="856">
    <w:name w:val="Char Char Char1"/>
    <w:basedOn w:val="1"/>
    <w:qFormat/>
    <w:uiPriority w:val="0"/>
    <w:pPr>
      <w:topLinePunct w:val="0"/>
      <w:adjustRightInd/>
      <w:snapToGrid/>
      <w:spacing w:line="240" w:lineRule="auto"/>
      <w:ind w:firstLine="0" w:firstLineChars="0"/>
    </w:pPr>
    <w:rPr>
      <w:kern w:val="2"/>
    </w:rPr>
  </w:style>
  <w:style w:type="paragraph" w:customStyle="1" w:styleId="857">
    <w:name w:val="样式 标题 1 + 小一"/>
    <w:basedOn w:val="5"/>
    <w:qFormat/>
    <w:uiPriority w:val="0"/>
    <w:pPr>
      <w:keepLines w:val="0"/>
      <w:pageBreakBefore w:val="0"/>
      <w:tabs>
        <w:tab w:val="left" w:pos="495"/>
        <w:tab w:val="left" w:pos="1560"/>
      </w:tabs>
      <w:topLinePunct w:val="0"/>
      <w:adjustRightInd/>
      <w:snapToGrid/>
      <w:spacing w:line="480" w:lineRule="auto"/>
      <w:ind w:left="900" w:hanging="420"/>
      <w:jc w:val="center"/>
    </w:pPr>
    <w:rPr>
      <w:bCs w:val="0"/>
      <w:kern w:val="2"/>
      <w:sz w:val="48"/>
      <w:szCs w:val="24"/>
    </w:rPr>
  </w:style>
  <w:style w:type="paragraph" w:customStyle="1" w:styleId="858">
    <w:name w:val="Char Char Char Char Char Char Char Char Char"/>
    <w:basedOn w:val="1"/>
    <w:qFormat/>
    <w:uiPriority w:val="0"/>
    <w:pPr>
      <w:widowControl/>
      <w:topLinePunct w:val="0"/>
      <w:adjustRightInd/>
      <w:snapToGrid/>
      <w:spacing w:after="160" w:line="240" w:lineRule="exact"/>
      <w:ind w:firstLine="0" w:firstLineChars="0"/>
      <w:jc w:val="left"/>
    </w:pPr>
    <w:rPr>
      <w:rFonts w:ascii="Verdana" w:hAnsi="Verdana" w:eastAsia="仿宋_GB2312"/>
      <w:sz w:val="21"/>
      <w:szCs w:val="20"/>
      <w:lang w:eastAsia="en-US"/>
    </w:rPr>
  </w:style>
  <w:style w:type="paragraph" w:customStyle="1" w:styleId="859">
    <w:name w:val="lux小标题"/>
    <w:basedOn w:val="1"/>
    <w:qFormat/>
    <w:uiPriority w:val="0"/>
    <w:pPr>
      <w:topLinePunct w:val="0"/>
      <w:adjustRightInd/>
      <w:snapToGrid/>
      <w:spacing w:before="40" w:after="40"/>
      <w:ind w:firstLine="0" w:firstLineChars="0"/>
      <w:jc w:val="left"/>
    </w:pPr>
    <w:rPr>
      <w:rFonts w:ascii="宋体" w:hAnsi="宋体" w:cs="宋体"/>
      <w:b/>
      <w:bCs/>
      <w:kern w:val="2"/>
      <w:szCs w:val="20"/>
    </w:rPr>
  </w:style>
  <w:style w:type="paragraph" w:customStyle="1" w:styleId="860">
    <w:name w:val="样式 报告 + 首行缩进:  2 字符 段前: 3 磅 段后: 3 磅"/>
    <w:basedOn w:val="1"/>
    <w:qFormat/>
    <w:uiPriority w:val="0"/>
    <w:pPr>
      <w:overflowPunct w:val="0"/>
      <w:topLinePunct w:val="0"/>
      <w:autoSpaceDE w:val="0"/>
      <w:autoSpaceDN w:val="0"/>
      <w:snapToGrid/>
      <w:spacing w:before="60" w:after="60" w:line="400" w:lineRule="atLeast"/>
      <w:ind w:firstLine="480"/>
      <w:jc w:val="left"/>
      <w:textAlignment w:val="baseline"/>
    </w:pPr>
    <w:rPr>
      <w:rFonts w:cs="宋体"/>
    </w:rPr>
  </w:style>
  <w:style w:type="paragraph" w:customStyle="1" w:styleId="861">
    <w:name w:val="CM23"/>
    <w:basedOn w:val="2"/>
    <w:next w:val="2"/>
    <w:qFormat/>
    <w:uiPriority w:val="99"/>
    <w:rPr>
      <w:rFonts w:hAnsi="Calibri" w:cs="Times New Roman"/>
      <w:color w:val="auto"/>
    </w:rPr>
  </w:style>
  <w:style w:type="paragraph" w:customStyle="1" w:styleId="862">
    <w:name w:val="CM9"/>
    <w:basedOn w:val="2"/>
    <w:next w:val="2"/>
    <w:qFormat/>
    <w:uiPriority w:val="99"/>
    <w:pPr>
      <w:spacing w:line="483" w:lineRule="atLeast"/>
    </w:pPr>
    <w:rPr>
      <w:rFonts w:hAnsi="Calibri" w:cs="Times New Roman"/>
      <w:color w:val="auto"/>
    </w:rPr>
  </w:style>
  <w:style w:type="paragraph" w:customStyle="1" w:styleId="863">
    <w:name w:val="CM6"/>
    <w:basedOn w:val="2"/>
    <w:next w:val="2"/>
    <w:qFormat/>
    <w:uiPriority w:val="99"/>
    <w:pPr>
      <w:spacing w:line="466" w:lineRule="atLeast"/>
    </w:pPr>
    <w:rPr>
      <w:rFonts w:hAnsi="Calibri" w:cs="Times New Roman"/>
      <w:color w:val="auto"/>
    </w:rPr>
  </w:style>
  <w:style w:type="paragraph" w:customStyle="1" w:styleId="864">
    <w:name w:val="CM2"/>
    <w:basedOn w:val="2"/>
    <w:next w:val="2"/>
    <w:qFormat/>
    <w:uiPriority w:val="99"/>
    <w:pPr>
      <w:spacing w:line="468" w:lineRule="atLeast"/>
    </w:pPr>
    <w:rPr>
      <w:rFonts w:hAnsi="Calibri" w:cs="Times New Roman"/>
      <w:color w:val="auto"/>
    </w:rPr>
  </w:style>
  <w:style w:type="paragraph" w:customStyle="1" w:styleId="865">
    <w:name w:val="CM26"/>
    <w:basedOn w:val="1"/>
    <w:next w:val="1"/>
    <w:qFormat/>
    <w:uiPriority w:val="99"/>
    <w:pPr>
      <w:topLinePunct w:val="0"/>
      <w:autoSpaceDE w:val="0"/>
      <w:autoSpaceDN w:val="0"/>
      <w:snapToGrid/>
      <w:spacing w:line="240" w:lineRule="auto"/>
      <w:ind w:firstLine="0" w:firstLineChars="0"/>
      <w:jc w:val="left"/>
    </w:pPr>
    <w:rPr>
      <w:rFonts w:ascii="宋体" w:hAnsi="Calibri"/>
    </w:rPr>
  </w:style>
  <w:style w:type="paragraph" w:customStyle="1" w:styleId="866">
    <w:name w:val="CM7"/>
    <w:basedOn w:val="2"/>
    <w:next w:val="2"/>
    <w:qFormat/>
    <w:uiPriority w:val="99"/>
    <w:pPr>
      <w:spacing w:line="468" w:lineRule="atLeast"/>
    </w:pPr>
    <w:rPr>
      <w:rFonts w:hAnsi="Calibri" w:cs="Times New Roman"/>
      <w:color w:val="auto"/>
    </w:rPr>
  </w:style>
  <w:style w:type="paragraph" w:customStyle="1" w:styleId="867">
    <w:name w:val="CM13"/>
    <w:basedOn w:val="2"/>
    <w:next w:val="2"/>
    <w:qFormat/>
    <w:uiPriority w:val="99"/>
    <w:pPr>
      <w:spacing w:line="463" w:lineRule="atLeast"/>
    </w:pPr>
    <w:rPr>
      <w:rFonts w:hAnsi="Calibri" w:cs="Times New Roman"/>
      <w:color w:val="auto"/>
    </w:rPr>
  </w:style>
  <w:style w:type="paragraph" w:customStyle="1" w:styleId="868">
    <w:name w:val="CM15"/>
    <w:basedOn w:val="2"/>
    <w:next w:val="2"/>
    <w:qFormat/>
    <w:uiPriority w:val="99"/>
    <w:pPr>
      <w:spacing w:line="468" w:lineRule="atLeast"/>
    </w:pPr>
    <w:rPr>
      <w:rFonts w:hAnsi="Calibri" w:cs="Times New Roman"/>
      <w:color w:val="auto"/>
    </w:rPr>
  </w:style>
  <w:style w:type="paragraph" w:customStyle="1" w:styleId="869">
    <w:name w:val="CM16"/>
    <w:basedOn w:val="2"/>
    <w:next w:val="2"/>
    <w:qFormat/>
    <w:uiPriority w:val="99"/>
    <w:rPr>
      <w:rFonts w:ascii="Times New Roman" w:cs="Times New Roman"/>
      <w:color w:val="auto"/>
    </w:rPr>
  </w:style>
  <w:style w:type="paragraph" w:customStyle="1" w:styleId="870">
    <w:name w:val="2"/>
    <w:basedOn w:val="1"/>
    <w:next w:val="49"/>
    <w:qFormat/>
    <w:uiPriority w:val="0"/>
    <w:pPr>
      <w:topLinePunct w:val="0"/>
      <w:adjustRightInd/>
      <w:snapToGrid/>
      <w:spacing w:line="240" w:lineRule="auto"/>
      <w:ind w:firstLine="0" w:firstLineChars="0"/>
    </w:pPr>
    <w:rPr>
      <w:rFonts w:hint="eastAsia" w:ascii="宋体" w:hAnsi="Courier New"/>
      <w:kern w:val="2"/>
      <w:sz w:val="21"/>
    </w:rPr>
  </w:style>
  <w:style w:type="paragraph" w:customStyle="1" w:styleId="871">
    <w:name w:val="标题3"/>
    <w:basedOn w:val="1"/>
    <w:next w:val="1"/>
    <w:qFormat/>
    <w:uiPriority w:val="0"/>
    <w:pPr>
      <w:keepNext/>
      <w:keepLines/>
      <w:topLinePunct w:val="0"/>
      <w:spacing w:after="50" w:line="416" w:lineRule="atLeast"/>
      <w:ind w:firstLine="0" w:firstLineChars="0"/>
      <w:outlineLvl w:val="2"/>
    </w:pPr>
    <w:rPr>
      <w:rFonts w:eastAsia="黑体"/>
      <w:szCs w:val="20"/>
    </w:rPr>
  </w:style>
  <w:style w:type="paragraph" w:customStyle="1" w:styleId="872">
    <w:name w:val="封面标准号1"/>
    <w:qFormat/>
    <w:uiPriority w:val="0"/>
    <w:pPr>
      <w:widowControl w:val="0"/>
      <w:kinsoku w:val="0"/>
      <w:overflowPunct w:val="0"/>
      <w:autoSpaceDE w:val="0"/>
      <w:autoSpaceDN w:val="0"/>
      <w:spacing w:before="308"/>
      <w:jc w:val="right"/>
      <w:textAlignment w:val="center"/>
    </w:pPr>
    <w:rPr>
      <w:rFonts w:ascii="Times New Roman" w:hAnsi="Times New Roman" w:eastAsia="宋体" w:cs="Times New Roman"/>
      <w:sz w:val="28"/>
      <w:lang w:val="en-US" w:eastAsia="zh-CN" w:bidi="ar-SA"/>
    </w:rPr>
  </w:style>
  <w:style w:type="paragraph" w:customStyle="1" w:styleId="873">
    <w:name w:val="1.1.1"/>
    <w:basedOn w:val="7"/>
    <w:qFormat/>
    <w:uiPriority w:val="0"/>
    <w:pPr>
      <w:keepLines/>
      <w:kinsoku/>
      <w:overflowPunct/>
      <w:topLinePunct w:val="0"/>
      <w:autoSpaceDE/>
      <w:autoSpaceDN/>
      <w:adjustRightInd/>
      <w:snapToGrid/>
      <w:spacing w:before="80" w:after="80" w:line="240" w:lineRule="auto"/>
    </w:pPr>
    <w:rPr>
      <w:color w:val="000000"/>
      <w:kern w:val="2"/>
      <w:sz w:val="30"/>
      <w:szCs w:val="24"/>
    </w:rPr>
  </w:style>
  <w:style w:type="paragraph" w:customStyle="1" w:styleId="874">
    <w:name w:val="Char Char Char Char1"/>
    <w:basedOn w:val="1"/>
    <w:qFormat/>
    <w:uiPriority w:val="0"/>
    <w:pPr>
      <w:topLinePunct w:val="0"/>
      <w:adjustRightInd/>
      <w:snapToGrid/>
      <w:spacing w:line="240" w:lineRule="auto"/>
    </w:pPr>
    <w:rPr>
      <w:rFonts w:ascii="宋体" w:hAnsi="宋体" w:cs="宋体"/>
      <w:kern w:val="2"/>
    </w:rPr>
  </w:style>
  <w:style w:type="table" w:customStyle="1" w:styleId="875">
    <w:name w:val="Table Normal"/>
    <w:unhideWhenUsed/>
    <w:qFormat/>
    <w:uiPriority w:val="2"/>
    <w:pPr>
      <w:widowControl w:val="0"/>
      <w:autoSpaceDE w:val="0"/>
      <w:autoSpaceDN w:val="0"/>
    </w:pPr>
    <w:rPr>
      <w:sz w:val="22"/>
      <w:szCs w:val="22"/>
      <w:lang w:eastAsia="en-US"/>
    </w:rPr>
    <w:tblPr>
      <w:tblCellMar>
        <w:top w:w="0" w:type="dxa"/>
        <w:left w:w="0" w:type="dxa"/>
        <w:bottom w:w="0" w:type="dxa"/>
        <w:right w:w="0" w:type="dxa"/>
      </w:tblCellMar>
    </w:tblPr>
  </w:style>
  <w:style w:type="paragraph" w:customStyle="1" w:styleId="876">
    <w:name w:val="正文文"/>
    <w:basedOn w:val="1"/>
    <w:link w:val="877"/>
    <w:qFormat/>
    <w:uiPriority w:val="0"/>
    <w:pPr>
      <w:topLinePunct w:val="0"/>
      <w:adjustRightInd/>
      <w:snapToGrid/>
      <w:spacing w:line="240" w:lineRule="auto"/>
    </w:pPr>
  </w:style>
  <w:style w:type="character" w:customStyle="1" w:styleId="877">
    <w:name w:val="正文文 Char"/>
    <w:link w:val="876"/>
    <w:qFormat/>
    <w:uiPriority w:val="0"/>
    <w:rPr>
      <w:rFonts w:ascii="Times New Roman" w:hAnsi="Times New Roman" w:cs="Times New Roman"/>
      <w:sz w:val="24"/>
      <w:szCs w:val="24"/>
    </w:rPr>
  </w:style>
  <w:style w:type="paragraph" w:customStyle="1" w:styleId="878">
    <w:name w:val="+正文"/>
    <w:basedOn w:val="1"/>
    <w:qFormat/>
    <w:uiPriority w:val="0"/>
    <w:pPr>
      <w:topLinePunct w:val="0"/>
      <w:adjustRightInd/>
      <w:snapToGrid/>
    </w:pPr>
    <w:rPr>
      <w:rFonts w:cstheme="minorBidi"/>
      <w:kern w:val="2"/>
      <w:sz w:val="21"/>
      <w:szCs w:val="28"/>
    </w:rPr>
  </w:style>
  <w:style w:type="character" w:customStyle="1" w:styleId="879">
    <w:name w:val="表格内容 Char"/>
    <w:link w:val="181"/>
    <w:qFormat/>
    <w:uiPriority w:val="0"/>
    <w:rPr>
      <w:rFonts w:ascii="Times New Roman" w:hAnsi="Times New Roman" w:cs="Times New Roman"/>
      <w:kern w:val="2"/>
      <w:sz w:val="24"/>
      <w:szCs w:val="24"/>
    </w:rPr>
  </w:style>
  <w:style w:type="paragraph" w:customStyle="1" w:styleId="880">
    <w:name w:val="Char Char Char Char Char Char Char Char Char Char"/>
    <w:basedOn w:val="1"/>
    <w:qFormat/>
    <w:uiPriority w:val="0"/>
    <w:pPr>
      <w:topLinePunct w:val="0"/>
      <w:adjustRightInd/>
      <w:snapToGrid/>
      <w:spacing w:line="240" w:lineRule="auto"/>
      <w:ind w:firstLine="0" w:firstLineChars="0"/>
    </w:pPr>
    <w:rPr>
      <w:kern w:val="2"/>
      <w:sz w:val="21"/>
    </w:rPr>
  </w:style>
  <w:style w:type="table" w:customStyle="1" w:styleId="881">
    <w:name w:val="网格型2"/>
    <w:basedOn w:val="9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882">
    <w:name w:val="标题 4 Char"/>
    <w:basedOn w:val="98"/>
    <w:qFormat/>
    <w:uiPriority w:val="0"/>
    <w:rPr>
      <w:rFonts w:hint="default" w:ascii="Times New Roman" w:hAnsi="Times New Roman" w:cs="Times New Roman"/>
      <w:b/>
      <w:sz w:val="24"/>
      <w:szCs w:val="24"/>
    </w:rPr>
  </w:style>
  <w:style w:type="character" w:customStyle="1" w:styleId="883">
    <w:name w:val="页眉 Char2"/>
    <w:basedOn w:val="98"/>
    <w:qFormat/>
    <w:uiPriority w:val="0"/>
    <w:rPr>
      <w:rFonts w:hint="default" w:ascii="Calibri" w:hAnsi="Calibri" w:cs="Calibri"/>
    </w:rPr>
  </w:style>
  <w:style w:type="paragraph" w:customStyle="1" w:styleId="884">
    <w:name w:val="表号、图号"/>
    <w:basedOn w:val="1"/>
    <w:next w:val="1"/>
    <w:link w:val="885"/>
    <w:qFormat/>
    <w:uiPriority w:val="0"/>
    <w:pPr>
      <w:topLinePunct w:val="0"/>
      <w:adjustRightInd/>
      <w:snapToGrid/>
      <w:spacing w:line="240" w:lineRule="auto"/>
      <w:ind w:firstLine="0" w:firstLineChars="0"/>
      <w:jc w:val="center"/>
    </w:pPr>
    <w:rPr>
      <w:b/>
      <w:kern w:val="2"/>
    </w:rPr>
  </w:style>
  <w:style w:type="character" w:customStyle="1" w:styleId="885">
    <w:name w:val="表号、图号 Char"/>
    <w:link w:val="884"/>
    <w:qFormat/>
    <w:uiPriority w:val="0"/>
    <w:rPr>
      <w:rFonts w:ascii="Times New Roman" w:hAnsi="Times New Roman" w:cs="Times New Roman"/>
      <w:b/>
      <w:kern w:val="2"/>
      <w:sz w:val="24"/>
      <w:szCs w:val="24"/>
    </w:rPr>
  </w:style>
  <w:style w:type="paragraph" w:customStyle="1" w:styleId="886">
    <w:name w:val="Char Char Char Char Char Char Char Char Char Char7"/>
    <w:basedOn w:val="1"/>
    <w:qFormat/>
    <w:uiPriority w:val="0"/>
    <w:pPr>
      <w:topLinePunct w:val="0"/>
      <w:adjustRightInd/>
      <w:snapToGrid/>
      <w:spacing w:line="240" w:lineRule="auto"/>
      <w:ind w:firstLine="0" w:firstLineChars="0"/>
    </w:pPr>
    <w:rPr>
      <w:kern w:val="2"/>
      <w:sz w:val="21"/>
    </w:rPr>
  </w:style>
  <w:style w:type="paragraph" w:customStyle="1" w:styleId="887">
    <w:name w:val="Char Char Char Char Char Char Char Char Char Char6"/>
    <w:basedOn w:val="1"/>
    <w:qFormat/>
    <w:uiPriority w:val="0"/>
    <w:pPr>
      <w:topLinePunct w:val="0"/>
      <w:adjustRightInd/>
      <w:snapToGrid/>
      <w:spacing w:line="240" w:lineRule="auto"/>
      <w:ind w:firstLine="0" w:firstLineChars="0"/>
    </w:pPr>
    <w:rPr>
      <w:kern w:val="2"/>
      <w:sz w:val="21"/>
    </w:rPr>
  </w:style>
  <w:style w:type="paragraph" w:customStyle="1" w:styleId="888">
    <w:name w:val="修订3"/>
    <w:hidden/>
    <w:unhideWhenUsed/>
    <w:qFormat/>
    <w:uiPriority w:val="99"/>
    <w:rPr>
      <w:rFonts w:ascii="Times New Roman" w:hAnsi="Times New Roman" w:eastAsia="宋体" w:cs="Times New Roman"/>
      <w:sz w:val="24"/>
      <w:szCs w:val="24"/>
      <w:lang w:val="en-US" w:eastAsia="zh-CN" w:bidi="ar-SA"/>
    </w:rPr>
  </w:style>
  <w:style w:type="paragraph" w:customStyle="1" w:styleId="889">
    <w:name w:val="Char Char Char Char Char Char Char Char Char Char5"/>
    <w:basedOn w:val="1"/>
    <w:qFormat/>
    <w:uiPriority w:val="0"/>
    <w:pPr>
      <w:topLinePunct w:val="0"/>
      <w:adjustRightInd/>
      <w:snapToGrid/>
      <w:spacing w:line="240" w:lineRule="auto"/>
      <w:ind w:firstLine="0" w:firstLineChars="0"/>
    </w:pPr>
    <w:rPr>
      <w:rFonts w:ascii="Calibri" w:hAnsi="Calibri"/>
      <w:kern w:val="2"/>
      <w:sz w:val="21"/>
    </w:rPr>
  </w:style>
  <w:style w:type="paragraph" w:customStyle="1" w:styleId="890">
    <w:name w:val="Char Char Char Char Char Char Char Char Char Char4"/>
    <w:basedOn w:val="1"/>
    <w:qFormat/>
    <w:uiPriority w:val="0"/>
    <w:pPr>
      <w:topLinePunct w:val="0"/>
      <w:adjustRightInd/>
      <w:snapToGrid/>
      <w:spacing w:line="240" w:lineRule="auto"/>
      <w:ind w:firstLine="0" w:firstLineChars="0"/>
    </w:pPr>
    <w:rPr>
      <w:rFonts w:ascii="Calibri" w:hAnsi="Calibri"/>
      <w:kern w:val="2"/>
      <w:sz w:val="21"/>
    </w:rPr>
  </w:style>
  <w:style w:type="paragraph" w:customStyle="1" w:styleId="891">
    <w:name w:val="Char Char Char Char Char Char Char Char Char Char3"/>
    <w:basedOn w:val="1"/>
    <w:qFormat/>
    <w:uiPriority w:val="0"/>
    <w:pPr>
      <w:topLinePunct w:val="0"/>
      <w:adjustRightInd/>
      <w:snapToGrid/>
      <w:spacing w:line="240" w:lineRule="auto"/>
      <w:ind w:firstLine="0" w:firstLineChars="0"/>
    </w:pPr>
    <w:rPr>
      <w:rFonts w:ascii="Calibri" w:hAnsi="Calibri"/>
      <w:kern w:val="2"/>
      <w:sz w:val="21"/>
    </w:rPr>
  </w:style>
  <w:style w:type="paragraph" w:customStyle="1" w:styleId="892">
    <w:name w:val="Char Char Char Char Char Char Char Char Char Char2"/>
    <w:basedOn w:val="1"/>
    <w:qFormat/>
    <w:uiPriority w:val="0"/>
    <w:pPr>
      <w:topLinePunct w:val="0"/>
      <w:adjustRightInd/>
      <w:snapToGrid/>
      <w:spacing w:line="240" w:lineRule="auto"/>
      <w:ind w:firstLine="0" w:firstLineChars="0"/>
    </w:pPr>
    <w:rPr>
      <w:rFonts w:ascii="Calibri" w:hAnsi="Calibri"/>
      <w:kern w:val="2"/>
      <w:sz w:val="21"/>
    </w:rPr>
  </w:style>
  <w:style w:type="paragraph" w:customStyle="1" w:styleId="893">
    <w:name w:val="普通(网站)1"/>
    <w:basedOn w:val="1"/>
    <w:qFormat/>
    <w:uiPriority w:val="0"/>
    <w:pPr>
      <w:widowControl/>
      <w:topLinePunct w:val="0"/>
      <w:adjustRightInd/>
      <w:snapToGrid/>
      <w:spacing w:before="100" w:beforeAutospacing="1" w:after="100" w:afterAutospacing="1" w:line="240" w:lineRule="auto"/>
      <w:ind w:firstLine="0" w:firstLineChars="0"/>
      <w:jc w:val="left"/>
    </w:pPr>
    <w:rPr>
      <w:rFonts w:hint="eastAsia" w:ascii="宋体" w:hAnsi="宋体"/>
      <w:kern w:val="2"/>
      <w:szCs w:val="20"/>
    </w:rPr>
  </w:style>
  <w:style w:type="character" w:customStyle="1" w:styleId="894">
    <w:name w:val="无间隔 Char"/>
    <w:qFormat/>
    <w:uiPriority w:val="0"/>
    <w:rPr>
      <w:rFonts w:ascii="Times New Roman" w:hAnsi="Times New Roman"/>
      <w:kern w:val="2"/>
      <w:sz w:val="21"/>
      <w:szCs w:val="22"/>
    </w:rPr>
  </w:style>
  <w:style w:type="paragraph" w:customStyle="1" w:styleId="895">
    <w:name w:val="自定义正文"/>
    <w:basedOn w:val="1"/>
    <w:qFormat/>
    <w:uiPriority w:val="0"/>
    <w:pPr>
      <w:topLinePunct w:val="0"/>
      <w:snapToGrid/>
      <w:ind w:firstLine="560" w:firstLineChars="0"/>
    </w:pPr>
    <w:rPr>
      <w:sz w:val="28"/>
      <w:szCs w:val="20"/>
    </w:rPr>
  </w:style>
  <w:style w:type="paragraph" w:customStyle="1" w:styleId="896">
    <w:name w:val="表格文字2"/>
    <w:basedOn w:val="1"/>
    <w:qFormat/>
    <w:uiPriority w:val="0"/>
    <w:pPr>
      <w:tabs>
        <w:tab w:val="left" w:pos="277"/>
        <w:tab w:val="left" w:pos="600"/>
        <w:tab w:val="left" w:pos="780"/>
        <w:tab w:val="left" w:pos="2517"/>
      </w:tabs>
      <w:topLinePunct w:val="0"/>
      <w:snapToGrid/>
      <w:spacing w:line="240" w:lineRule="auto"/>
      <w:ind w:firstLine="0" w:firstLineChars="0"/>
      <w:jc w:val="center"/>
      <w:textAlignment w:val="baseline"/>
    </w:pPr>
    <w:rPr>
      <w:sz w:val="21"/>
      <w:szCs w:val="21"/>
    </w:rPr>
  </w:style>
  <w:style w:type="character" w:customStyle="1" w:styleId="897">
    <w:name w:val="页眉 Char Char"/>
    <w:semiHidden/>
    <w:qFormat/>
    <w:uiPriority w:val="0"/>
    <w:rPr>
      <w:rFonts w:eastAsia="宋体"/>
      <w:kern w:val="2"/>
      <w:sz w:val="18"/>
      <w:szCs w:val="18"/>
      <w:lang w:val="en-US" w:eastAsia="zh-CN" w:bidi="ar-SA"/>
    </w:rPr>
  </w:style>
  <w:style w:type="character" w:customStyle="1" w:styleId="898">
    <w:name w:val="cmt"/>
    <w:basedOn w:val="98"/>
    <w:qFormat/>
    <w:uiPriority w:val="0"/>
  </w:style>
  <w:style w:type="character" w:customStyle="1" w:styleId="899">
    <w:name w:val="di1"/>
    <w:qFormat/>
    <w:uiPriority w:val="0"/>
    <w:rPr>
      <w:sz w:val="18"/>
      <w:szCs w:val="18"/>
    </w:rPr>
  </w:style>
  <w:style w:type="character" w:customStyle="1" w:styleId="900">
    <w:name w:val="结束语 字符"/>
    <w:link w:val="36"/>
    <w:qFormat/>
    <w:uiPriority w:val="0"/>
    <w:rPr>
      <w:kern w:val="2"/>
      <w:sz w:val="21"/>
      <w:szCs w:val="24"/>
    </w:rPr>
  </w:style>
  <w:style w:type="character" w:customStyle="1" w:styleId="901">
    <w:name w:val="1.1标题 2 Char Char Char Char1"/>
    <w:qFormat/>
    <w:uiPriority w:val="0"/>
    <w:rPr>
      <w:rFonts w:ascii="Arial" w:hAnsi="Arial" w:eastAsia="黑体"/>
      <w:b/>
      <w:bCs/>
      <w:kern w:val="2"/>
      <w:sz w:val="32"/>
      <w:szCs w:val="32"/>
      <w:lang w:val="en-US" w:eastAsia="zh-CN" w:bidi="ar-SA"/>
    </w:rPr>
  </w:style>
  <w:style w:type="character" w:customStyle="1" w:styleId="902">
    <w:name w:val="Char Char Char Char2"/>
    <w:qFormat/>
    <w:uiPriority w:val="0"/>
    <w:rPr>
      <w:rFonts w:eastAsia="宋体"/>
      <w:b/>
      <w:bCs/>
      <w:kern w:val="44"/>
      <w:sz w:val="44"/>
      <w:szCs w:val="44"/>
      <w:lang w:val="en-US" w:eastAsia="zh-CN" w:bidi="ar-SA"/>
    </w:rPr>
  </w:style>
  <w:style w:type="character" w:customStyle="1" w:styleId="903">
    <w:name w:val="样式 行距: 最小值 12 磅 Char Char Char Char Char Char Char Char"/>
    <w:link w:val="904"/>
    <w:qFormat/>
    <w:uiPriority w:val="0"/>
    <w:rPr>
      <w:rFonts w:ascii="Calibri" w:hAnsi="Calibri" w:cs="宋体"/>
      <w:kern w:val="2"/>
      <w:sz w:val="21"/>
      <w:szCs w:val="24"/>
    </w:rPr>
  </w:style>
  <w:style w:type="paragraph" w:customStyle="1" w:styleId="904">
    <w:name w:val="样式 行距: 最小值 12 磅 Char Char Char Char"/>
    <w:basedOn w:val="1"/>
    <w:link w:val="903"/>
    <w:qFormat/>
    <w:uiPriority w:val="0"/>
    <w:pPr>
      <w:topLinePunct w:val="0"/>
      <w:adjustRightInd/>
      <w:snapToGrid/>
      <w:spacing w:line="240" w:lineRule="atLeast"/>
      <w:ind w:firstLine="525" w:firstLineChars="250"/>
    </w:pPr>
    <w:rPr>
      <w:rFonts w:ascii="Calibri" w:hAnsi="Calibri" w:cs="宋体"/>
      <w:kern w:val="2"/>
      <w:sz w:val="21"/>
    </w:rPr>
  </w:style>
  <w:style w:type="character" w:customStyle="1" w:styleId="905">
    <w:name w:val="样式 宋体 小四 + 首行缩进:  2 字符 Char Char Char Char Char Char Char Char Char"/>
    <w:link w:val="906"/>
    <w:qFormat/>
    <w:uiPriority w:val="0"/>
    <w:rPr>
      <w:rFonts w:ascii="宋体" w:hAnsi="宋体" w:cs="宋体"/>
      <w:kern w:val="2"/>
      <w:sz w:val="24"/>
      <w:szCs w:val="24"/>
    </w:rPr>
  </w:style>
  <w:style w:type="paragraph" w:customStyle="1" w:styleId="906">
    <w:name w:val="样式 宋体 小四 + 首行缩进:  2 字符 Char Char Char Char Char Char Char"/>
    <w:basedOn w:val="1"/>
    <w:link w:val="905"/>
    <w:qFormat/>
    <w:uiPriority w:val="0"/>
    <w:pPr>
      <w:topLinePunct w:val="0"/>
      <w:adjustRightInd/>
      <w:snapToGrid/>
      <w:spacing w:line="420" w:lineRule="exact"/>
      <w:ind w:firstLine="480"/>
    </w:pPr>
    <w:rPr>
      <w:rFonts w:ascii="宋体" w:hAnsi="宋体" w:cs="宋体"/>
      <w:kern w:val="2"/>
    </w:rPr>
  </w:style>
  <w:style w:type="character" w:customStyle="1" w:styleId="907">
    <w:name w:val="font151"/>
    <w:qFormat/>
    <w:uiPriority w:val="0"/>
    <w:rPr>
      <w:rFonts w:hint="default" w:ascii="Times New Roman" w:hAnsi="Times New Roman" w:cs="Times New Roman"/>
      <w:color w:val="000000"/>
      <w:sz w:val="18"/>
      <w:szCs w:val="18"/>
      <w:u w:val="none"/>
    </w:rPr>
  </w:style>
  <w:style w:type="character" w:customStyle="1" w:styleId="908">
    <w:name w:val="表格内容5号 Char"/>
    <w:link w:val="909"/>
    <w:semiHidden/>
    <w:qFormat/>
    <w:uiPriority w:val="0"/>
    <w:rPr>
      <w:rFonts w:eastAsia="仿宋_GB2312"/>
      <w:bCs/>
      <w:szCs w:val="24"/>
    </w:rPr>
  </w:style>
  <w:style w:type="paragraph" w:customStyle="1" w:styleId="909">
    <w:name w:val="表格内容5号"/>
    <w:basedOn w:val="1"/>
    <w:link w:val="908"/>
    <w:semiHidden/>
    <w:qFormat/>
    <w:uiPriority w:val="0"/>
    <w:pPr>
      <w:topLinePunct w:val="0"/>
      <w:adjustRightInd/>
      <w:spacing w:line="240" w:lineRule="auto"/>
      <w:ind w:firstLine="0" w:firstLineChars="0"/>
      <w:jc w:val="center"/>
    </w:pPr>
    <w:rPr>
      <w:rFonts w:eastAsia="仿宋_GB2312"/>
      <w:bCs/>
      <w:sz w:val="20"/>
    </w:rPr>
  </w:style>
  <w:style w:type="character" w:customStyle="1" w:styleId="910">
    <w:name w:val="1.1标题 2 Char Char Char Char"/>
    <w:qFormat/>
    <w:uiPriority w:val="0"/>
    <w:rPr>
      <w:rFonts w:ascii="Arial" w:hAnsi="Arial" w:eastAsia="黑体"/>
      <w:b/>
      <w:bCs/>
      <w:kern w:val="2"/>
      <w:sz w:val="32"/>
      <w:szCs w:val="32"/>
      <w:lang w:val="en-US" w:eastAsia="zh-CN" w:bidi="ar-SA"/>
    </w:rPr>
  </w:style>
  <w:style w:type="character" w:customStyle="1" w:styleId="911">
    <w:name w:val="正文（首行式样2） Char Char"/>
    <w:link w:val="912"/>
    <w:qFormat/>
    <w:uiPriority w:val="0"/>
    <w:rPr>
      <w:rFonts w:ascii="宋体" w:hAnsi="宋体"/>
      <w:bCs/>
      <w:kern w:val="2"/>
      <w:sz w:val="24"/>
    </w:rPr>
  </w:style>
  <w:style w:type="paragraph" w:customStyle="1" w:styleId="912">
    <w:name w:val="正文（首行式样2）"/>
    <w:basedOn w:val="9"/>
    <w:link w:val="911"/>
    <w:qFormat/>
    <w:uiPriority w:val="0"/>
    <w:pPr>
      <w:adjustRightInd w:val="0"/>
      <w:snapToGrid w:val="0"/>
      <w:ind w:firstLine="480"/>
      <w:jc w:val="both"/>
    </w:pPr>
    <w:rPr>
      <w:rFonts w:ascii="宋体" w:hAnsi="宋体"/>
      <w:bCs/>
      <w:szCs w:val="20"/>
    </w:rPr>
  </w:style>
  <w:style w:type="character" w:customStyle="1" w:styleId="913">
    <w:name w:val="li 2 Char"/>
    <w:link w:val="914"/>
    <w:qFormat/>
    <w:uiPriority w:val="0"/>
    <w:rPr>
      <w:rFonts w:eastAsia="黑体"/>
      <w:b/>
      <w:bCs/>
      <w:kern w:val="44"/>
      <w:sz w:val="30"/>
      <w:szCs w:val="30"/>
    </w:rPr>
  </w:style>
  <w:style w:type="paragraph" w:customStyle="1" w:styleId="914">
    <w:name w:val="li 2"/>
    <w:basedOn w:val="5"/>
    <w:next w:val="5"/>
    <w:link w:val="913"/>
    <w:qFormat/>
    <w:uiPriority w:val="0"/>
    <w:pPr>
      <w:pageBreakBefore w:val="0"/>
      <w:tabs>
        <w:tab w:val="clear" w:pos="432"/>
      </w:tabs>
      <w:topLinePunct w:val="0"/>
      <w:adjustRightInd/>
      <w:snapToGrid/>
      <w:spacing w:before="60" w:after="60" w:line="240" w:lineRule="auto"/>
      <w:jc w:val="both"/>
      <w:outlineLvl w:val="1"/>
    </w:pPr>
    <w:rPr>
      <w:rFonts w:eastAsia="黑体"/>
      <w:kern w:val="44"/>
      <w:sz w:val="30"/>
      <w:szCs w:val="30"/>
    </w:rPr>
  </w:style>
  <w:style w:type="character" w:customStyle="1" w:styleId="915">
    <w:name w:val="表1.1-1 Char Char Char Char Char Char"/>
    <w:link w:val="916"/>
    <w:qFormat/>
    <w:uiPriority w:val="0"/>
    <w:rPr>
      <w:bCs/>
      <w:szCs w:val="21"/>
    </w:rPr>
  </w:style>
  <w:style w:type="paragraph" w:customStyle="1" w:styleId="916">
    <w:name w:val="表1.1-1 Char Char Char Char Char"/>
    <w:basedOn w:val="917"/>
    <w:link w:val="915"/>
    <w:qFormat/>
    <w:uiPriority w:val="0"/>
    <w:pPr>
      <w:tabs>
        <w:tab w:val="left" w:pos="4660"/>
      </w:tabs>
      <w:adjustRightInd w:val="0"/>
      <w:snapToGrid w:val="0"/>
      <w:spacing w:line="240" w:lineRule="auto"/>
      <w:ind w:firstLine="0" w:firstLineChars="0"/>
    </w:pPr>
    <w:rPr>
      <w:b w:val="0"/>
      <w:bCs/>
      <w:color w:val="auto"/>
      <w:sz w:val="20"/>
      <w:szCs w:val="21"/>
    </w:rPr>
  </w:style>
  <w:style w:type="paragraph" w:customStyle="1" w:styleId="917">
    <w:name w:val="正文1 Char Char Char"/>
    <w:basedOn w:val="1"/>
    <w:link w:val="921"/>
    <w:qFormat/>
    <w:uiPriority w:val="0"/>
    <w:pPr>
      <w:widowControl/>
      <w:tabs>
        <w:tab w:val="left" w:pos="4660"/>
      </w:tabs>
      <w:topLinePunct w:val="0"/>
      <w:adjustRightInd/>
      <w:snapToGrid/>
      <w:spacing w:line="440" w:lineRule="exact"/>
      <w:ind w:firstLine="482"/>
    </w:pPr>
    <w:rPr>
      <w:b/>
      <w:color w:val="000000"/>
    </w:rPr>
  </w:style>
  <w:style w:type="character" w:customStyle="1" w:styleId="918">
    <w:name w:val="纯文本1"/>
    <w:qFormat/>
    <w:uiPriority w:val="0"/>
    <w:rPr>
      <w:rFonts w:ascii="宋体" w:hAnsi="Courier New" w:eastAsia="宋体" w:cs="Courier New"/>
      <w:kern w:val="2"/>
      <w:sz w:val="21"/>
      <w:szCs w:val="21"/>
      <w:lang w:val="en-US" w:eastAsia="zh-CN" w:bidi="ar-SA"/>
    </w:rPr>
  </w:style>
  <w:style w:type="character" w:customStyle="1" w:styleId="919">
    <w:name w:val="标题3+ Char Char Char Char Char Char Char"/>
    <w:link w:val="920"/>
    <w:qFormat/>
    <w:uiPriority w:val="0"/>
    <w:rPr>
      <w:rFonts w:eastAsia="黑体"/>
      <w:b/>
      <w:bCs/>
      <w:sz w:val="24"/>
      <w:szCs w:val="32"/>
    </w:rPr>
  </w:style>
  <w:style w:type="paragraph" w:customStyle="1" w:styleId="920">
    <w:name w:val="标题3+"/>
    <w:basedOn w:val="7"/>
    <w:link w:val="919"/>
    <w:qFormat/>
    <w:uiPriority w:val="0"/>
    <w:pPr>
      <w:keepLines/>
      <w:widowControl/>
      <w:kinsoku/>
      <w:overflowPunct/>
      <w:topLinePunct w:val="0"/>
      <w:autoSpaceDE/>
      <w:autoSpaceDN/>
      <w:adjustRightInd/>
      <w:snapToGrid/>
      <w:spacing w:line="440" w:lineRule="exact"/>
      <w:ind w:firstLine="200" w:firstLineChars="200"/>
    </w:pPr>
    <w:rPr>
      <w:rFonts w:eastAsia="黑体"/>
      <w:szCs w:val="32"/>
    </w:rPr>
  </w:style>
  <w:style w:type="character" w:customStyle="1" w:styleId="921">
    <w:name w:val="正文1 Char Char Char Char"/>
    <w:link w:val="917"/>
    <w:qFormat/>
    <w:uiPriority w:val="0"/>
    <w:rPr>
      <w:b/>
      <w:color w:val="000000"/>
      <w:sz w:val="24"/>
      <w:szCs w:val="24"/>
    </w:rPr>
  </w:style>
  <w:style w:type="character" w:customStyle="1" w:styleId="922">
    <w:name w:val="answerref"/>
    <w:qFormat/>
    <w:uiPriority w:val="0"/>
    <w:rPr>
      <w:shd w:val="clear" w:color="auto" w:fill="FED6D2"/>
    </w:rPr>
  </w:style>
  <w:style w:type="character" w:customStyle="1" w:styleId="923">
    <w:name w:val="1.1标题 2 Char"/>
    <w:qFormat/>
    <w:uiPriority w:val="0"/>
    <w:rPr>
      <w:rFonts w:ascii="Arial" w:hAnsi="Arial" w:eastAsia="黑体"/>
      <w:b/>
      <w:bCs/>
      <w:kern w:val="2"/>
      <w:sz w:val="32"/>
      <w:szCs w:val="32"/>
    </w:rPr>
  </w:style>
  <w:style w:type="character" w:customStyle="1" w:styleId="924">
    <w:name w:val="正文内容 Char Char"/>
    <w:qFormat/>
    <w:uiPriority w:val="0"/>
    <w:rPr>
      <w:sz w:val="24"/>
      <w:szCs w:val="24"/>
      <w:lang w:val="en-US" w:eastAsia="zh-CN" w:bidi="ar-SA"/>
    </w:rPr>
  </w:style>
  <w:style w:type="character" w:customStyle="1" w:styleId="925">
    <w:name w:val="批注框文本 Char2"/>
    <w:qFormat/>
    <w:uiPriority w:val="0"/>
    <w:rPr>
      <w:rFonts w:ascii="Times New Roman" w:hAnsi="Times New Roman" w:eastAsia="宋体" w:cs="Times New Roman"/>
      <w:sz w:val="18"/>
      <w:szCs w:val="18"/>
    </w:rPr>
  </w:style>
  <w:style w:type="character" w:customStyle="1" w:styleId="926">
    <w:name w:val="样式 题注 + (西文) Times New Roman (中文) 宋体 小四 加粗 黑色 Char Char Char"/>
    <w:qFormat/>
    <w:uiPriority w:val="0"/>
    <w:rPr>
      <w:rFonts w:eastAsia="宋体" w:cs="Arial"/>
      <w:b/>
      <w:bCs/>
      <w:color w:val="000000"/>
      <w:sz w:val="24"/>
      <w:szCs w:val="24"/>
      <w:lang w:val="en-US" w:eastAsia="zh-CN" w:bidi="ar-SA"/>
    </w:rPr>
  </w:style>
  <w:style w:type="character" w:customStyle="1" w:styleId="927">
    <w:name w:val="引用 字符"/>
    <w:link w:val="928"/>
    <w:qFormat/>
    <w:uiPriority w:val="0"/>
    <w:rPr>
      <w:i/>
      <w:iCs/>
      <w:color w:val="000000"/>
      <w:kern w:val="2"/>
      <w:sz w:val="21"/>
      <w:szCs w:val="24"/>
    </w:rPr>
  </w:style>
  <w:style w:type="paragraph" w:styleId="928">
    <w:name w:val="Quote"/>
    <w:basedOn w:val="1"/>
    <w:next w:val="1"/>
    <w:link w:val="927"/>
    <w:qFormat/>
    <w:uiPriority w:val="0"/>
    <w:pPr>
      <w:topLinePunct w:val="0"/>
      <w:adjustRightInd/>
      <w:snapToGrid/>
      <w:spacing w:line="240" w:lineRule="auto"/>
      <w:ind w:firstLine="0" w:firstLineChars="0"/>
    </w:pPr>
    <w:rPr>
      <w:i/>
      <w:iCs/>
      <w:color w:val="000000"/>
      <w:kern w:val="2"/>
      <w:sz w:val="21"/>
    </w:rPr>
  </w:style>
  <w:style w:type="character" w:customStyle="1" w:styleId="929">
    <w:name w:val="表内容 Char Char Char Char Char"/>
    <w:link w:val="930"/>
    <w:qFormat/>
    <w:uiPriority w:val="0"/>
    <w:rPr>
      <w:rFonts w:ascii="Arial Narrow" w:hAnsi="Arial Narrow"/>
      <w:szCs w:val="21"/>
    </w:rPr>
  </w:style>
  <w:style w:type="paragraph" w:customStyle="1" w:styleId="930">
    <w:name w:val="表内容 Char Char Char Char"/>
    <w:basedOn w:val="931"/>
    <w:link w:val="929"/>
    <w:qFormat/>
    <w:uiPriority w:val="0"/>
    <w:pPr>
      <w:tabs>
        <w:tab w:val="left" w:pos="4660"/>
      </w:tabs>
      <w:adjustRightInd w:val="0"/>
      <w:snapToGrid w:val="0"/>
      <w:spacing w:line="240" w:lineRule="atLeast"/>
      <w:ind w:firstLine="0" w:firstLineChars="0"/>
      <w:jc w:val="center"/>
    </w:pPr>
    <w:rPr>
      <w:rFonts w:cs="Times New Roman"/>
      <w:kern w:val="0"/>
      <w:sz w:val="20"/>
      <w:szCs w:val="21"/>
    </w:rPr>
  </w:style>
  <w:style w:type="paragraph" w:customStyle="1" w:styleId="931">
    <w:name w:val="正文 Char Char"/>
    <w:basedOn w:val="1"/>
    <w:qFormat/>
    <w:uiPriority w:val="0"/>
    <w:pPr>
      <w:widowControl/>
      <w:tabs>
        <w:tab w:val="left" w:pos="4660"/>
      </w:tabs>
      <w:topLinePunct w:val="0"/>
      <w:adjustRightInd/>
      <w:snapToGrid/>
      <w:spacing w:line="240" w:lineRule="auto"/>
      <w:ind w:firstLine="480"/>
    </w:pPr>
    <w:rPr>
      <w:rFonts w:ascii="Arial Narrow" w:hAnsi="Arial Narrow" w:cs="宋体"/>
      <w:kern w:val="2"/>
    </w:rPr>
  </w:style>
  <w:style w:type="character" w:customStyle="1" w:styleId="932">
    <w:name w:val="c1                    a"/>
    <w:qFormat/>
    <w:uiPriority w:val="0"/>
  </w:style>
  <w:style w:type="character" w:customStyle="1" w:styleId="933">
    <w:name w:val="font191"/>
    <w:qFormat/>
    <w:uiPriority w:val="0"/>
    <w:rPr>
      <w:rFonts w:hint="default" w:ascii="Times New Roman" w:hAnsi="Times New Roman" w:cs="Times New Roman"/>
      <w:color w:val="000000"/>
      <w:sz w:val="18"/>
      <w:szCs w:val="18"/>
      <w:u w:val="none"/>
    </w:rPr>
  </w:style>
  <w:style w:type="character" w:customStyle="1" w:styleId="934">
    <w:name w:val="Char Char3"/>
    <w:qFormat/>
    <w:uiPriority w:val="0"/>
    <w:rPr>
      <w:rFonts w:eastAsia="宋体"/>
      <w:color w:val="000000"/>
      <w:sz w:val="18"/>
      <w:szCs w:val="18"/>
      <w:u w:val="none" w:color="000000"/>
      <w:lang w:val="en-US" w:eastAsia="zh-CN" w:bidi="ar-SA"/>
    </w:rPr>
  </w:style>
  <w:style w:type="character" w:customStyle="1" w:styleId="935">
    <w:name w:val="f241"/>
    <w:qFormat/>
    <w:uiPriority w:val="0"/>
    <w:rPr>
      <w:sz w:val="36"/>
      <w:szCs w:val="36"/>
    </w:rPr>
  </w:style>
  <w:style w:type="character" w:customStyle="1" w:styleId="936">
    <w:name w:val="信息标题 字符"/>
    <w:link w:val="83"/>
    <w:qFormat/>
    <w:uiPriority w:val="0"/>
    <w:rPr>
      <w:rFonts w:ascii="Cambria" w:hAnsi="Cambria"/>
      <w:kern w:val="2"/>
      <w:sz w:val="24"/>
      <w:szCs w:val="24"/>
      <w:shd w:val="pct20" w:color="auto" w:fill="auto"/>
    </w:rPr>
  </w:style>
  <w:style w:type="character" w:customStyle="1" w:styleId="937">
    <w:name w:val="1.1.1标题 Char Char"/>
    <w:link w:val="938"/>
    <w:qFormat/>
    <w:uiPriority w:val="0"/>
    <w:rPr>
      <w:bCs/>
      <w:sz w:val="32"/>
    </w:rPr>
  </w:style>
  <w:style w:type="paragraph" w:customStyle="1" w:styleId="938">
    <w:name w:val="1.1.1标题"/>
    <w:basedOn w:val="7"/>
    <w:link w:val="937"/>
    <w:qFormat/>
    <w:uiPriority w:val="0"/>
    <w:pPr>
      <w:keepLines/>
      <w:kinsoku/>
      <w:overflowPunct/>
      <w:topLinePunct w:val="0"/>
      <w:autoSpaceDE/>
      <w:autoSpaceDN/>
      <w:adjustRightInd/>
      <w:snapToGrid/>
      <w:spacing w:before="240" w:after="260" w:line="360" w:lineRule="exact"/>
      <w:jc w:val="both"/>
    </w:pPr>
    <w:rPr>
      <w:b w:val="0"/>
      <w:sz w:val="32"/>
      <w:szCs w:val="20"/>
    </w:rPr>
  </w:style>
  <w:style w:type="character" w:customStyle="1" w:styleId="939">
    <w:name w:val="说明正文 Char"/>
    <w:link w:val="940"/>
    <w:qFormat/>
    <w:uiPriority w:val="0"/>
    <w:rPr>
      <w:rFonts w:ascii="宋体"/>
      <w:szCs w:val="24"/>
    </w:rPr>
  </w:style>
  <w:style w:type="paragraph" w:customStyle="1" w:styleId="940">
    <w:name w:val="说明正文"/>
    <w:basedOn w:val="1"/>
    <w:link w:val="939"/>
    <w:qFormat/>
    <w:uiPriority w:val="0"/>
    <w:pPr>
      <w:topLinePunct w:val="0"/>
      <w:ind w:firstLine="510" w:firstLineChars="0"/>
      <w:jc w:val="left"/>
    </w:pPr>
    <w:rPr>
      <w:rFonts w:ascii="宋体"/>
      <w:sz w:val="20"/>
    </w:rPr>
  </w:style>
  <w:style w:type="character" w:customStyle="1" w:styleId="941">
    <w:name w:val="正文文本 2 Char2"/>
    <w:qFormat/>
    <w:uiPriority w:val="0"/>
    <w:rPr>
      <w:rFonts w:ascii="Times New Roman" w:hAnsi="Times New Roman" w:eastAsia="宋体" w:cs="Times New Roman"/>
      <w:szCs w:val="24"/>
    </w:rPr>
  </w:style>
  <w:style w:type="character" w:customStyle="1" w:styleId="942">
    <w:name w:val="font81"/>
    <w:qFormat/>
    <w:uiPriority w:val="0"/>
    <w:rPr>
      <w:rFonts w:hint="default" w:ascii="Times New Roman" w:hAnsi="Times New Roman" w:cs="Times New Roman"/>
      <w:b/>
      <w:color w:val="000000"/>
      <w:sz w:val="18"/>
      <w:szCs w:val="18"/>
      <w:u w:val="none"/>
      <w:vertAlign w:val="superscript"/>
    </w:rPr>
  </w:style>
  <w:style w:type="character" w:customStyle="1" w:styleId="943">
    <w:name w:val="标题3+ Char Char Char Char Char"/>
    <w:qFormat/>
    <w:uiPriority w:val="0"/>
    <w:rPr>
      <w:rFonts w:ascii="Times New Roman" w:hAnsi="Times New Roman" w:eastAsia="黑体" w:cs="Times New Roman"/>
      <w:b/>
      <w:bCs/>
      <w:sz w:val="24"/>
      <w:szCs w:val="32"/>
    </w:rPr>
  </w:style>
  <w:style w:type="character" w:customStyle="1" w:styleId="944">
    <w:name w:val="标题3+ Char Char Char Char Char Char"/>
    <w:qFormat/>
    <w:uiPriority w:val="0"/>
    <w:rPr>
      <w:rFonts w:eastAsia="黑体"/>
      <w:bCs/>
      <w:sz w:val="24"/>
      <w:szCs w:val="32"/>
    </w:rPr>
  </w:style>
  <w:style w:type="character" w:customStyle="1" w:styleId="945">
    <w:name w:val="明显引用 字符"/>
    <w:link w:val="946"/>
    <w:qFormat/>
    <w:uiPriority w:val="0"/>
    <w:rPr>
      <w:b/>
      <w:bCs/>
      <w:i/>
      <w:iCs/>
      <w:color w:val="4F81BD"/>
      <w:kern w:val="2"/>
      <w:sz w:val="21"/>
      <w:szCs w:val="24"/>
    </w:rPr>
  </w:style>
  <w:style w:type="paragraph" w:styleId="946">
    <w:name w:val="Intense Quote"/>
    <w:basedOn w:val="1"/>
    <w:next w:val="1"/>
    <w:link w:val="945"/>
    <w:qFormat/>
    <w:uiPriority w:val="0"/>
    <w:pPr>
      <w:pBdr>
        <w:bottom w:val="single" w:color="4F81BD" w:sz="4" w:space="4"/>
      </w:pBdr>
      <w:topLinePunct w:val="0"/>
      <w:adjustRightInd/>
      <w:snapToGrid/>
      <w:spacing w:before="200" w:after="280" w:line="240" w:lineRule="auto"/>
      <w:ind w:left="936" w:right="936" w:firstLine="0" w:firstLineChars="0"/>
    </w:pPr>
    <w:rPr>
      <w:b/>
      <w:bCs/>
      <w:i/>
      <w:iCs/>
      <w:color w:val="4F81BD"/>
      <w:kern w:val="2"/>
      <w:sz w:val="21"/>
    </w:rPr>
  </w:style>
  <w:style w:type="character" w:customStyle="1" w:styleId="947">
    <w:name w:val="标题 1 Char Char"/>
    <w:qFormat/>
    <w:uiPriority w:val="0"/>
    <w:rPr>
      <w:rFonts w:eastAsia="宋体"/>
      <w:b/>
      <w:bCs/>
      <w:kern w:val="44"/>
      <w:sz w:val="44"/>
      <w:szCs w:val="44"/>
      <w:lang w:val="en-US" w:eastAsia="zh-CN" w:bidi="ar-SA"/>
    </w:rPr>
  </w:style>
  <w:style w:type="character" w:customStyle="1" w:styleId="948">
    <w:name w:val="标题3+ Char Char Char Char"/>
    <w:link w:val="949"/>
    <w:qFormat/>
    <w:uiPriority w:val="0"/>
    <w:rPr>
      <w:rFonts w:eastAsia="黑体"/>
      <w:bCs/>
      <w:sz w:val="24"/>
      <w:szCs w:val="32"/>
    </w:rPr>
  </w:style>
  <w:style w:type="paragraph" w:customStyle="1" w:styleId="949">
    <w:name w:val="标题3+ Char Char"/>
    <w:basedOn w:val="7"/>
    <w:link w:val="948"/>
    <w:qFormat/>
    <w:uiPriority w:val="0"/>
    <w:pPr>
      <w:keepLines/>
      <w:kinsoku/>
      <w:overflowPunct/>
      <w:topLinePunct w:val="0"/>
      <w:autoSpaceDE/>
      <w:autoSpaceDN/>
      <w:adjustRightInd/>
      <w:snapToGrid/>
      <w:spacing w:line="440" w:lineRule="exact"/>
      <w:ind w:firstLine="200" w:firstLineChars="200"/>
      <w:jc w:val="both"/>
    </w:pPr>
    <w:rPr>
      <w:rFonts w:eastAsia="黑体"/>
      <w:b w:val="0"/>
      <w:szCs w:val="32"/>
    </w:rPr>
  </w:style>
  <w:style w:type="character" w:customStyle="1" w:styleId="950">
    <w:name w:val="内容 Char Char"/>
    <w:link w:val="951"/>
    <w:qFormat/>
    <w:uiPriority w:val="0"/>
    <w:rPr>
      <w:rFonts w:cs="宋体"/>
      <w:kern w:val="2"/>
      <w:sz w:val="24"/>
    </w:rPr>
  </w:style>
  <w:style w:type="paragraph" w:customStyle="1" w:styleId="951">
    <w:name w:val="内容"/>
    <w:basedOn w:val="1"/>
    <w:link w:val="950"/>
    <w:qFormat/>
    <w:uiPriority w:val="0"/>
    <w:pPr>
      <w:topLinePunct w:val="0"/>
      <w:adjustRightInd/>
      <w:snapToGrid/>
      <w:ind w:firstLine="480"/>
    </w:pPr>
    <w:rPr>
      <w:rFonts w:cs="宋体"/>
      <w:kern w:val="2"/>
      <w:szCs w:val="20"/>
    </w:rPr>
  </w:style>
  <w:style w:type="character" w:customStyle="1" w:styleId="952">
    <w:name w:val="lemmatitleh11"/>
    <w:qFormat/>
    <w:uiPriority w:val="0"/>
  </w:style>
  <w:style w:type="character" w:customStyle="1" w:styleId="953">
    <w:name w:val="页码1"/>
    <w:qFormat/>
    <w:uiPriority w:val="0"/>
    <w:rPr>
      <w:rFonts w:ascii="仿宋_GB2312" w:hAnsi="宋体" w:eastAsia="仿宋_GB2312" w:cs="Courier New"/>
      <w:sz w:val="32"/>
      <w:szCs w:val="32"/>
    </w:rPr>
  </w:style>
  <w:style w:type="character" w:customStyle="1" w:styleId="954">
    <w:name w:val="标题3 Char Char Char Char Char"/>
    <w:link w:val="955"/>
    <w:semiHidden/>
    <w:qFormat/>
    <w:uiPriority w:val="0"/>
    <w:rPr>
      <w:rFonts w:ascii="宋体" w:hAnsi="Courier New"/>
      <w:sz w:val="24"/>
      <w:szCs w:val="24"/>
    </w:rPr>
  </w:style>
  <w:style w:type="paragraph" w:customStyle="1" w:styleId="955">
    <w:name w:val="标题3 Char Char Char Char"/>
    <w:basedOn w:val="1"/>
    <w:link w:val="954"/>
    <w:semiHidden/>
    <w:qFormat/>
    <w:uiPriority w:val="0"/>
    <w:pPr>
      <w:widowControl/>
      <w:topLinePunct w:val="0"/>
      <w:snapToGrid/>
      <w:ind w:firstLine="0" w:firstLineChars="0"/>
      <w:textAlignment w:val="baseline"/>
    </w:pPr>
    <w:rPr>
      <w:rFonts w:ascii="宋体" w:hAnsi="Courier New"/>
    </w:rPr>
  </w:style>
  <w:style w:type="character" w:customStyle="1" w:styleId="956">
    <w:name w:val="正文1 Char1 Char Char"/>
    <w:link w:val="957"/>
    <w:qFormat/>
    <w:uiPriority w:val="0"/>
    <w:rPr>
      <w:rFonts w:ascii="Arial Narrow" w:hAnsi="Arial Narrow"/>
      <w:sz w:val="24"/>
      <w:szCs w:val="24"/>
    </w:rPr>
  </w:style>
  <w:style w:type="paragraph" w:customStyle="1" w:styleId="957">
    <w:name w:val="正文1 Char1 Char"/>
    <w:basedOn w:val="1"/>
    <w:link w:val="956"/>
    <w:qFormat/>
    <w:uiPriority w:val="0"/>
    <w:pPr>
      <w:widowControl/>
      <w:tabs>
        <w:tab w:val="left" w:pos="4660"/>
      </w:tabs>
      <w:topLinePunct w:val="0"/>
      <w:adjustRightInd/>
      <w:snapToGrid/>
      <w:spacing w:line="240" w:lineRule="auto"/>
      <w:ind w:firstLine="480"/>
      <w:jc w:val="left"/>
    </w:pPr>
    <w:rPr>
      <w:rFonts w:ascii="Arial Narrow" w:hAnsi="Arial Narrow"/>
    </w:rPr>
  </w:style>
  <w:style w:type="character" w:customStyle="1" w:styleId="958">
    <w:name w:val="1正文段落 Char Char Char Char"/>
    <w:qFormat/>
    <w:uiPriority w:val="0"/>
    <w:rPr>
      <w:snapToGrid/>
      <w:kern w:val="2"/>
      <w:sz w:val="24"/>
      <w:szCs w:val="24"/>
    </w:rPr>
  </w:style>
  <w:style w:type="character" w:customStyle="1" w:styleId="959">
    <w:name w:val="font31"/>
    <w:qFormat/>
    <w:uiPriority w:val="0"/>
    <w:rPr>
      <w:rFonts w:hint="default" w:ascii="Times New Roman" w:hAnsi="Times New Roman" w:cs="Times New Roman"/>
      <w:color w:val="000000"/>
      <w:sz w:val="21"/>
      <w:szCs w:val="21"/>
      <w:u w:val="none"/>
    </w:rPr>
  </w:style>
  <w:style w:type="character" w:customStyle="1" w:styleId="960">
    <w:name w:val="fontstyle51"/>
    <w:qFormat/>
    <w:uiPriority w:val="0"/>
    <w:rPr>
      <w:rFonts w:hint="default" w:ascii="LucidaConsole" w:hAnsi="LucidaConsole"/>
      <w:color w:val="000000"/>
      <w:sz w:val="18"/>
      <w:szCs w:val="18"/>
    </w:rPr>
  </w:style>
  <w:style w:type="character" w:customStyle="1" w:styleId="961">
    <w:name w:val="font01"/>
    <w:qFormat/>
    <w:uiPriority w:val="0"/>
    <w:rPr>
      <w:rFonts w:hint="eastAsia" w:ascii="宋体" w:hAnsi="宋体" w:eastAsia="宋体" w:cs="宋体"/>
      <w:color w:val="000000"/>
      <w:sz w:val="24"/>
      <w:szCs w:val="24"/>
      <w:u w:val="none"/>
    </w:rPr>
  </w:style>
  <w:style w:type="character" w:customStyle="1" w:styleId="962">
    <w:name w:val="Char Char7"/>
    <w:qFormat/>
    <w:uiPriority w:val="0"/>
    <w:rPr>
      <w:rFonts w:ascii="Arial" w:hAnsi="Arial" w:eastAsia="黑体" w:cs="Times New Roman"/>
      <w:b/>
      <w:bCs/>
      <w:sz w:val="28"/>
      <w:szCs w:val="28"/>
    </w:rPr>
  </w:style>
  <w:style w:type="character" w:customStyle="1" w:styleId="963">
    <w:name w:val="level61"/>
    <w:qFormat/>
    <w:uiPriority w:val="0"/>
    <w:rPr>
      <w:rFonts w:hint="default" w:ascii="ˎ̥" w:hAnsi="ˎ̥"/>
      <w:color w:val="256E16"/>
      <w:spacing w:val="120"/>
      <w:shd w:val="clear" w:color="auto" w:fill="FED6D2"/>
    </w:rPr>
  </w:style>
  <w:style w:type="character" w:customStyle="1" w:styleId="964">
    <w:name w:val="正文文本 Char2"/>
    <w:qFormat/>
    <w:uiPriority w:val="0"/>
    <w:rPr>
      <w:rFonts w:ascii="Times New Roman" w:hAnsi="Times New Roman" w:eastAsia="宋体" w:cs="Times New Roman"/>
      <w:szCs w:val="24"/>
    </w:rPr>
  </w:style>
  <w:style w:type="character" w:customStyle="1" w:styleId="965">
    <w:name w:val="批注框文本 Char1"/>
    <w:qFormat/>
    <w:uiPriority w:val="0"/>
    <w:rPr>
      <w:rFonts w:ascii="Times New Roman" w:hAnsi="Times New Roman" w:eastAsia="宋体" w:cs="Times New Roman"/>
      <w:sz w:val="18"/>
      <w:szCs w:val="18"/>
    </w:rPr>
  </w:style>
  <w:style w:type="character" w:customStyle="1" w:styleId="966">
    <w:name w:val="2级标题 Char"/>
    <w:link w:val="967"/>
    <w:qFormat/>
    <w:uiPriority w:val="0"/>
    <w:rPr>
      <w:rFonts w:ascii="Arial" w:hAnsi="Arial" w:eastAsia="黑体"/>
      <w:sz w:val="28"/>
      <w:szCs w:val="24"/>
    </w:rPr>
  </w:style>
  <w:style w:type="paragraph" w:customStyle="1" w:styleId="967">
    <w:name w:val="2级标题"/>
    <w:basedOn w:val="1"/>
    <w:next w:val="1"/>
    <w:link w:val="966"/>
    <w:qFormat/>
    <w:uiPriority w:val="0"/>
    <w:pPr>
      <w:topLinePunct w:val="0"/>
      <w:adjustRightInd/>
      <w:snapToGrid/>
      <w:spacing w:before="240" w:after="120" w:line="240" w:lineRule="auto"/>
      <w:jc w:val="left"/>
      <w:outlineLvl w:val="1"/>
    </w:pPr>
    <w:rPr>
      <w:rFonts w:ascii="Arial" w:hAnsi="Arial" w:eastAsia="黑体"/>
      <w:sz w:val="28"/>
    </w:rPr>
  </w:style>
  <w:style w:type="character" w:customStyle="1" w:styleId="968">
    <w:name w:val="表内容 Char Char"/>
    <w:qFormat/>
    <w:uiPriority w:val="0"/>
  </w:style>
  <w:style w:type="character" w:customStyle="1" w:styleId="969">
    <w:name w:val="三级标题 Char Char"/>
    <w:qFormat/>
    <w:uiPriority w:val="0"/>
    <w:rPr>
      <w:rFonts w:cs="宋体"/>
      <w:b/>
      <w:bCs/>
      <w:kern w:val="2"/>
      <w:sz w:val="24"/>
    </w:rPr>
  </w:style>
  <w:style w:type="character" w:customStyle="1" w:styleId="970">
    <w:name w:val="font181"/>
    <w:qFormat/>
    <w:uiPriority w:val="0"/>
    <w:rPr>
      <w:rFonts w:hint="default" w:ascii="Times New Roman" w:hAnsi="Times New Roman" w:cs="Times New Roman"/>
      <w:b/>
      <w:color w:val="000000"/>
      <w:sz w:val="22"/>
      <w:szCs w:val="22"/>
      <w:u w:val="none"/>
    </w:rPr>
  </w:style>
  <w:style w:type="character" w:customStyle="1" w:styleId="971">
    <w:name w:val="Char Char6"/>
    <w:qFormat/>
    <w:uiPriority w:val="0"/>
    <w:rPr>
      <w:sz w:val="18"/>
      <w:szCs w:val="18"/>
    </w:rPr>
  </w:style>
  <w:style w:type="character" w:customStyle="1" w:styleId="972">
    <w:name w:val="标题 1 Char Char Char Char"/>
    <w:qFormat/>
    <w:uiPriority w:val="0"/>
    <w:rPr>
      <w:rFonts w:ascii="宋体" w:hAnsi="宋体" w:eastAsia="宋体"/>
      <w:b/>
      <w:bCs/>
      <w:kern w:val="44"/>
      <w:sz w:val="44"/>
      <w:szCs w:val="44"/>
      <w:lang w:val="en-US" w:eastAsia="zh-CN" w:bidi="ar-SA"/>
    </w:rPr>
  </w:style>
  <w:style w:type="character" w:customStyle="1" w:styleId="973">
    <w:name w:val="样式 行距: 最小值 12 磅 Char Char Char Char Char1"/>
    <w:link w:val="974"/>
    <w:qFormat/>
    <w:uiPriority w:val="0"/>
    <w:rPr>
      <w:rFonts w:ascii="Calibri" w:hAnsi="Calibri" w:cs="宋体"/>
      <w:kern w:val="2"/>
      <w:sz w:val="21"/>
      <w:szCs w:val="24"/>
    </w:rPr>
  </w:style>
  <w:style w:type="paragraph" w:customStyle="1" w:styleId="974">
    <w:name w:val="样式 行距: 最小值 12 磅 Char Char Char Char1"/>
    <w:basedOn w:val="1"/>
    <w:link w:val="973"/>
    <w:qFormat/>
    <w:uiPriority w:val="0"/>
    <w:pPr>
      <w:topLinePunct w:val="0"/>
      <w:adjustRightInd/>
      <w:snapToGrid/>
      <w:spacing w:line="240" w:lineRule="atLeast"/>
      <w:ind w:firstLine="525" w:firstLineChars="250"/>
    </w:pPr>
    <w:rPr>
      <w:rFonts w:ascii="Calibri" w:hAnsi="Calibri" w:cs="宋体"/>
      <w:kern w:val="2"/>
      <w:sz w:val="21"/>
    </w:rPr>
  </w:style>
  <w:style w:type="character" w:customStyle="1" w:styleId="975">
    <w:name w:val="注 Char"/>
    <w:qFormat/>
    <w:uiPriority w:val="0"/>
    <w:rPr>
      <w:rFonts w:eastAsia="宋体"/>
      <w:b/>
      <w:bCs/>
      <w:color w:val="000000"/>
      <w:sz w:val="21"/>
      <w:szCs w:val="28"/>
      <w:lang w:val="en-US" w:eastAsia="zh-CN" w:bidi="ar-SA"/>
    </w:rPr>
  </w:style>
  <w:style w:type="character" w:customStyle="1" w:styleId="976">
    <w:name w:val="font61"/>
    <w:qFormat/>
    <w:uiPriority w:val="0"/>
    <w:rPr>
      <w:rFonts w:hint="default" w:ascii="Times New Roman" w:hAnsi="Times New Roman" w:cs="Times New Roman"/>
      <w:b/>
      <w:color w:val="000000"/>
      <w:sz w:val="18"/>
      <w:szCs w:val="18"/>
      <w:u w:val="none"/>
    </w:rPr>
  </w:style>
  <w:style w:type="character" w:customStyle="1" w:styleId="977">
    <w:name w:val="宏文本 字符"/>
    <w:link w:val="4"/>
    <w:qFormat/>
    <w:uiPriority w:val="0"/>
    <w:rPr>
      <w:rFonts w:ascii="Courier New" w:hAnsi="Courier New" w:cs="Courier New"/>
      <w:kern w:val="2"/>
      <w:sz w:val="24"/>
      <w:szCs w:val="24"/>
    </w:rPr>
  </w:style>
  <w:style w:type="character" w:customStyle="1" w:styleId="978">
    <w:name w:val="金山正文 Char"/>
    <w:link w:val="979"/>
    <w:qFormat/>
    <w:uiPriority w:val="0"/>
    <w:rPr>
      <w:rFonts w:ascii="宋体"/>
      <w:kern w:val="2"/>
      <w:sz w:val="24"/>
      <w:szCs w:val="24"/>
    </w:rPr>
  </w:style>
  <w:style w:type="paragraph" w:customStyle="1" w:styleId="979">
    <w:name w:val="金山正文"/>
    <w:basedOn w:val="1"/>
    <w:link w:val="978"/>
    <w:qFormat/>
    <w:uiPriority w:val="0"/>
    <w:pPr>
      <w:topLinePunct w:val="0"/>
      <w:adjustRightInd/>
      <w:snapToGrid/>
      <w:spacing w:line="520" w:lineRule="exact"/>
      <w:jc w:val="left"/>
    </w:pPr>
    <w:rPr>
      <w:rFonts w:ascii="宋体"/>
      <w:kern w:val="2"/>
    </w:rPr>
  </w:style>
  <w:style w:type="character" w:customStyle="1" w:styleId="980">
    <w:name w:val="样式 宋体 小四 + 首行缩进:  2 字符 Char Char Char Char Char Char"/>
    <w:qFormat/>
    <w:uiPriority w:val="0"/>
    <w:rPr>
      <w:rFonts w:ascii="宋体" w:hAnsi="宋体" w:cs="宋体"/>
      <w:kern w:val="2"/>
      <w:sz w:val="24"/>
    </w:rPr>
  </w:style>
  <w:style w:type="character" w:customStyle="1" w:styleId="981">
    <w:name w:val="纯文本 Char1 Char Char"/>
    <w:qFormat/>
    <w:uiPriority w:val="0"/>
    <w:rPr>
      <w:rFonts w:ascii="宋体" w:hAnsi="Courier New" w:eastAsia="仿宋_GB2312" w:cs="Courier New"/>
      <w:kern w:val="2"/>
      <w:sz w:val="28"/>
      <w:szCs w:val="21"/>
      <w:lang w:val="en-US" w:eastAsia="zh-CN" w:bidi="ar-SA"/>
    </w:rPr>
  </w:style>
  <w:style w:type="character" w:customStyle="1" w:styleId="982">
    <w:name w:val="新正文 Char Char"/>
    <w:link w:val="983"/>
    <w:qFormat/>
    <w:uiPriority w:val="0"/>
    <w:rPr>
      <w:rFonts w:ascii="仿宋_GB2312" w:eastAsia="仿宋_GB2312"/>
      <w:bCs/>
      <w:sz w:val="28"/>
    </w:rPr>
  </w:style>
  <w:style w:type="paragraph" w:customStyle="1" w:styleId="983">
    <w:name w:val="新正文"/>
    <w:basedOn w:val="1"/>
    <w:link w:val="982"/>
    <w:qFormat/>
    <w:uiPriority w:val="0"/>
    <w:pPr>
      <w:topLinePunct w:val="0"/>
      <w:adjustRightInd/>
      <w:snapToGrid/>
      <w:spacing w:line="480" w:lineRule="exact"/>
      <w:ind w:firstLine="482" w:firstLineChars="0"/>
    </w:pPr>
    <w:rPr>
      <w:rFonts w:ascii="仿宋_GB2312" w:eastAsia="仿宋_GB2312"/>
      <w:bCs/>
      <w:sz w:val="28"/>
      <w:szCs w:val="20"/>
    </w:rPr>
  </w:style>
  <w:style w:type="character" w:customStyle="1" w:styleId="984">
    <w:name w:val="正文文本 3 Char2"/>
    <w:qFormat/>
    <w:uiPriority w:val="99"/>
    <w:rPr>
      <w:rFonts w:ascii="Times New Roman" w:hAnsi="Times New Roman" w:eastAsia="宋体" w:cs="Times New Roman"/>
      <w:sz w:val="16"/>
      <w:szCs w:val="16"/>
    </w:rPr>
  </w:style>
  <w:style w:type="character" w:customStyle="1" w:styleId="985">
    <w:name w:val="朔电正文 Char Char"/>
    <w:link w:val="986"/>
    <w:qFormat/>
    <w:uiPriority w:val="0"/>
    <w:rPr>
      <w:color w:val="000000"/>
      <w:kern w:val="32"/>
      <w:sz w:val="24"/>
      <w:szCs w:val="24"/>
    </w:rPr>
  </w:style>
  <w:style w:type="paragraph" w:customStyle="1" w:styleId="986">
    <w:name w:val="朔电正文"/>
    <w:basedOn w:val="1"/>
    <w:link w:val="985"/>
    <w:qFormat/>
    <w:uiPriority w:val="0"/>
    <w:pPr>
      <w:topLinePunct w:val="0"/>
      <w:spacing w:beforeLines="25" w:line="440" w:lineRule="exact"/>
    </w:pPr>
    <w:rPr>
      <w:color w:val="000000"/>
      <w:kern w:val="32"/>
    </w:rPr>
  </w:style>
  <w:style w:type="character" w:customStyle="1" w:styleId="987">
    <w:name w:val="首行缩进正文 Char Char"/>
    <w:link w:val="988"/>
    <w:qFormat/>
    <w:uiPriority w:val="0"/>
    <w:rPr>
      <w:rFonts w:ascii="宋体" w:hAnsi="宋体"/>
      <w:kern w:val="2"/>
      <w:sz w:val="28"/>
      <w:szCs w:val="28"/>
    </w:rPr>
  </w:style>
  <w:style w:type="paragraph" w:customStyle="1" w:styleId="988">
    <w:name w:val="首行缩进正文"/>
    <w:basedOn w:val="1"/>
    <w:link w:val="987"/>
    <w:qFormat/>
    <w:uiPriority w:val="0"/>
    <w:pPr>
      <w:topLinePunct w:val="0"/>
      <w:adjustRightInd/>
      <w:snapToGrid/>
      <w:spacing w:line="240" w:lineRule="auto"/>
    </w:pPr>
    <w:rPr>
      <w:rFonts w:ascii="宋体" w:hAnsi="宋体"/>
      <w:kern w:val="2"/>
      <w:sz w:val="28"/>
      <w:szCs w:val="28"/>
    </w:rPr>
  </w:style>
  <w:style w:type="character" w:customStyle="1" w:styleId="989">
    <w:name w:val="威顿报告正文B Char"/>
    <w:link w:val="990"/>
    <w:qFormat/>
    <w:uiPriority w:val="0"/>
    <w:rPr>
      <w:b/>
      <w:color w:val="000000"/>
      <w:kern w:val="32"/>
      <w:sz w:val="24"/>
      <w:szCs w:val="24"/>
    </w:rPr>
  </w:style>
  <w:style w:type="paragraph" w:customStyle="1" w:styleId="990">
    <w:name w:val="威顿报告正文B"/>
    <w:basedOn w:val="991"/>
    <w:link w:val="989"/>
    <w:qFormat/>
    <w:uiPriority w:val="0"/>
    <w:pPr>
      <w:widowControl w:val="0"/>
      <w:ind w:firstLine="480"/>
      <w:jc w:val="both"/>
    </w:pPr>
    <w:rPr>
      <w:b/>
      <w:kern w:val="32"/>
      <w:szCs w:val="24"/>
      <w:lang w:eastAsia="zh-CN" w:bidi="ar-SA"/>
    </w:rPr>
  </w:style>
  <w:style w:type="paragraph" w:customStyle="1" w:styleId="991">
    <w:name w:val="威顿报告正文"/>
    <w:basedOn w:val="1"/>
    <w:link w:val="1064"/>
    <w:qFormat/>
    <w:uiPriority w:val="0"/>
    <w:pPr>
      <w:widowControl/>
      <w:topLinePunct w:val="0"/>
      <w:spacing w:beforeLines="25" w:line="440" w:lineRule="exact"/>
      <w:jc w:val="left"/>
    </w:pPr>
    <w:rPr>
      <w:color w:val="000000"/>
      <w:szCs w:val="22"/>
      <w:lang w:eastAsia="en-US" w:bidi="en-US"/>
    </w:rPr>
  </w:style>
  <w:style w:type="character" w:customStyle="1" w:styleId="992">
    <w:name w:val="表头 Char Char Char1"/>
    <w:qFormat/>
    <w:uiPriority w:val="0"/>
    <w:rPr>
      <w:rFonts w:ascii="Arial Narrow" w:hAnsi="Arial Narrow" w:eastAsia="宋体" w:cs="宋体"/>
      <w:b/>
      <w:kern w:val="2"/>
      <w:sz w:val="24"/>
      <w:szCs w:val="24"/>
      <w:lang w:val="en-US" w:eastAsia="zh-CN" w:bidi="ar-SA"/>
    </w:rPr>
  </w:style>
  <w:style w:type="character" w:customStyle="1" w:styleId="993">
    <w:name w:val="font131"/>
    <w:qFormat/>
    <w:uiPriority w:val="0"/>
    <w:rPr>
      <w:rFonts w:hint="eastAsia" w:ascii="宋体" w:hAnsi="宋体" w:eastAsia="宋体" w:cs="宋体"/>
      <w:color w:val="000000"/>
      <w:sz w:val="18"/>
      <w:szCs w:val="18"/>
      <w:u w:val="none"/>
    </w:rPr>
  </w:style>
  <w:style w:type="character" w:customStyle="1" w:styleId="994">
    <w:name w:val="Char Char Char Char21"/>
    <w:qFormat/>
    <w:uiPriority w:val="0"/>
    <w:rPr>
      <w:rFonts w:eastAsia="宋体"/>
      <w:b/>
      <w:bCs/>
      <w:kern w:val="44"/>
      <w:sz w:val="44"/>
      <w:szCs w:val="44"/>
      <w:lang w:val="en-US" w:eastAsia="zh-CN" w:bidi="ar-SA"/>
    </w:rPr>
  </w:style>
  <w:style w:type="character" w:customStyle="1" w:styleId="995">
    <w:name w:val="Char Char4"/>
    <w:qFormat/>
    <w:uiPriority w:val="0"/>
    <w:rPr>
      <w:rFonts w:eastAsia="宋体"/>
      <w:color w:val="000000"/>
      <w:sz w:val="18"/>
      <w:szCs w:val="18"/>
      <w:u w:val="none" w:color="000000"/>
      <w:lang w:val="en-US" w:eastAsia="zh-CN" w:bidi="ar-SA"/>
    </w:rPr>
  </w:style>
  <w:style w:type="character" w:customStyle="1" w:styleId="996">
    <w:name w:val="1正文段落 Char Char"/>
    <w:link w:val="997"/>
    <w:qFormat/>
    <w:uiPriority w:val="0"/>
    <w:rPr>
      <w:snapToGrid w:val="0"/>
      <w:sz w:val="24"/>
      <w:szCs w:val="24"/>
    </w:rPr>
  </w:style>
  <w:style w:type="paragraph" w:customStyle="1" w:styleId="997">
    <w:name w:val="1正文段落"/>
    <w:basedOn w:val="1"/>
    <w:link w:val="996"/>
    <w:qFormat/>
    <w:uiPriority w:val="0"/>
    <w:pPr>
      <w:widowControl/>
      <w:topLinePunct w:val="0"/>
      <w:adjustRightInd/>
      <w:snapToGrid/>
      <w:ind w:firstLine="480"/>
      <w:jc w:val="left"/>
    </w:pPr>
    <w:rPr>
      <w:snapToGrid w:val="0"/>
    </w:rPr>
  </w:style>
  <w:style w:type="character" w:customStyle="1" w:styleId="998">
    <w:name w:val="3级标题 Char"/>
    <w:link w:val="999"/>
    <w:qFormat/>
    <w:uiPriority w:val="0"/>
    <w:rPr>
      <w:rFonts w:ascii="Arial" w:hAnsi="Arial" w:eastAsia="黑体"/>
      <w:sz w:val="28"/>
      <w:szCs w:val="24"/>
    </w:rPr>
  </w:style>
  <w:style w:type="paragraph" w:customStyle="1" w:styleId="999">
    <w:name w:val="3级标题"/>
    <w:basedOn w:val="1"/>
    <w:next w:val="1"/>
    <w:link w:val="998"/>
    <w:qFormat/>
    <w:uiPriority w:val="0"/>
    <w:pPr>
      <w:topLinePunct w:val="0"/>
      <w:adjustRightInd/>
      <w:snapToGrid/>
      <w:spacing w:before="120" w:after="120" w:line="240" w:lineRule="auto"/>
      <w:jc w:val="left"/>
      <w:outlineLvl w:val="2"/>
    </w:pPr>
    <w:rPr>
      <w:rFonts w:ascii="Arial" w:hAnsi="Arial" w:eastAsia="黑体"/>
      <w:sz w:val="28"/>
    </w:rPr>
  </w:style>
  <w:style w:type="character" w:customStyle="1" w:styleId="1000">
    <w:name w:val="表头 Char Char Char Char Char"/>
    <w:qFormat/>
    <w:uiPriority w:val="0"/>
    <w:rPr>
      <w:b/>
      <w:kern w:val="24"/>
      <w:sz w:val="24"/>
    </w:rPr>
  </w:style>
  <w:style w:type="character" w:customStyle="1" w:styleId="1001">
    <w:name w:val="样式 宋体 小四 + 首行缩进:  2 字符 Char Char Char"/>
    <w:link w:val="1002"/>
    <w:qFormat/>
    <w:uiPriority w:val="0"/>
    <w:rPr>
      <w:rFonts w:ascii="宋体" w:hAnsi="宋体" w:cs="宋体"/>
      <w:kern w:val="2"/>
      <w:sz w:val="24"/>
    </w:rPr>
  </w:style>
  <w:style w:type="paragraph" w:customStyle="1" w:styleId="1002">
    <w:name w:val="样式 宋体 小四 + 首行缩进:  2 字符"/>
    <w:basedOn w:val="1"/>
    <w:link w:val="1001"/>
    <w:qFormat/>
    <w:uiPriority w:val="0"/>
    <w:pPr>
      <w:topLinePunct w:val="0"/>
      <w:adjustRightInd/>
      <w:snapToGrid/>
      <w:spacing w:line="420" w:lineRule="exact"/>
      <w:ind w:firstLine="480"/>
    </w:pPr>
    <w:rPr>
      <w:rFonts w:ascii="宋体" w:hAnsi="宋体" w:cs="宋体"/>
      <w:kern w:val="2"/>
      <w:szCs w:val="20"/>
    </w:rPr>
  </w:style>
  <w:style w:type="character" w:customStyle="1" w:styleId="1003">
    <w:name w:val="answer_time"/>
    <w:qFormat/>
    <w:uiPriority w:val="0"/>
    <w:rPr>
      <w:color w:val="666666"/>
      <w:shd w:val="clear" w:color="auto" w:fill="FED6D2"/>
    </w:rPr>
  </w:style>
  <w:style w:type="character" w:customStyle="1" w:styleId="1004">
    <w:name w:val="正文修改 Char Char"/>
    <w:link w:val="1005"/>
    <w:qFormat/>
    <w:uiPriority w:val="0"/>
    <w:rPr>
      <w:rFonts w:ascii="宋体"/>
      <w:kern w:val="2"/>
      <w:sz w:val="24"/>
      <w:szCs w:val="24"/>
    </w:rPr>
  </w:style>
  <w:style w:type="paragraph" w:customStyle="1" w:styleId="1005">
    <w:name w:val="正文修改"/>
    <w:basedOn w:val="1"/>
    <w:link w:val="1004"/>
    <w:qFormat/>
    <w:uiPriority w:val="0"/>
    <w:pPr>
      <w:topLinePunct w:val="0"/>
      <w:adjustRightInd/>
      <w:snapToGrid/>
      <w:ind w:firstLine="480"/>
    </w:pPr>
    <w:rPr>
      <w:rFonts w:ascii="宋体"/>
      <w:kern w:val="2"/>
    </w:rPr>
  </w:style>
  <w:style w:type="character" w:customStyle="1" w:styleId="1006">
    <w:name w:val="HTML 预设格式 Char2"/>
    <w:qFormat/>
    <w:uiPriority w:val="0"/>
    <w:rPr>
      <w:rFonts w:ascii="Courier New" w:hAnsi="Courier New" w:eastAsia="宋体" w:cs="Courier New"/>
      <w:sz w:val="20"/>
      <w:szCs w:val="20"/>
    </w:rPr>
  </w:style>
  <w:style w:type="character" w:customStyle="1" w:styleId="1007">
    <w:name w:val="fonts1"/>
    <w:qFormat/>
    <w:uiPriority w:val="0"/>
    <w:rPr>
      <w:rFonts w:hint="eastAsia" w:ascii="宋体" w:hAnsi="宋体" w:eastAsia="宋体"/>
      <w:sz w:val="18"/>
      <w:szCs w:val="18"/>
    </w:rPr>
  </w:style>
  <w:style w:type="character" w:customStyle="1" w:styleId="1008">
    <w:name w:val="样式 行距: 最小值 12 磅 Char Char Char Char Char Char"/>
    <w:qFormat/>
    <w:uiPriority w:val="0"/>
    <w:rPr>
      <w:rFonts w:cs="宋体"/>
      <w:kern w:val="2"/>
      <w:sz w:val="21"/>
    </w:rPr>
  </w:style>
  <w:style w:type="character" w:customStyle="1" w:styleId="1009">
    <w:name w:val="批注文字 Char2"/>
    <w:qFormat/>
    <w:uiPriority w:val="0"/>
    <w:rPr>
      <w:rFonts w:ascii="Times New Roman" w:hAnsi="Times New Roman" w:eastAsia="宋体" w:cs="Times New Roman"/>
      <w:szCs w:val="24"/>
    </w:rPr>
  </w:style>
  <w:style w:type="character" w:customStyle="1" w:styleId="1010">
    <w:name w:val="font112"/>
    <w:qFormat/>
    <w:uiPriority w:val="0"/>
    <w:rPr>
      <w:rFonts w:hint="default" w:ascii="Times New Roman" w:hAnsi="Times New Roman" w:cs="Times New Roman"/>
      <w:b/>
      <w:color w:val="000000"/>
      <w:sz w:val="18"/>
      <w:szCs w:val="18"/>
      <w:u w:val="none"/>
    </w:rPr>
  </w:style>
  <w:style w:type="character" w:customStyle="1" w:styleId="1011">
    <w:name w:val="zw"/>
    <w:qFormat/>
    <w:uiPriority w:val="0"/>
  </w:style>
  <w:style w:type="character" w:customStyle="1" w:styleId="1012">
    <w:name w:val="font91"/>
    <w:qFormat/>
    <w:uiPriority w:val="0"/>
    <w:rPr>
      <w:rFonts w:hint="eastAsia" w:ascii="宋体" w:hAnsi="宋体" w:eastAsia="宋体" w:cs="宋体"/>
      <w:color w:val="000000"/>
      <w:sz w:val="22"/>
      <w:szCs w:val="22"/>
      <w:u w:val="none"/>
    </w:rPr>
  </w:style>
  <w:style w:type="character" w:customStyle="1" w:styleId="1013">
    <w:name w:val="3 Char Char"/>
    <w:qFormat/>
    <w:uiPriority w:val="0"/>
    <w:rPr>
      <w:rFonts w:ascii="宋体" w:hAnsi="宋体" w:eastAsia="宋体"/>
      <w:bCs/>
      <w:color w:val="0000FF"/>
      <w:sz w:val="24"/>
      <w:szCs w:val="28"/>
      <w:lang w:val="en-US" w:eastAsia="zh-CN" w:bidi="ar-SA"/>
    </w:rPr>
  </w:style>
  <w:style w:type="character" w:customStyle="1" w:styleId="1014">
    <w:name w:val="4级标题 Char"/>
    <w:link w:val="581"/>
    <w:qFormat/>
    <w:uiPriority w:val="0"/>
    <w:rPr>
      <w:b/>
      <w:sz w:val="24"/>
      <w:szCs w:val="24"/>
    </w:rPr>
  </w:style>
  <w:style w:type="character" w:customStyle="1" w:styleId="1015">
    <w:name w:val="font101"/>
    <w:qFormat/>
    <w:uiPriority w:val="0"/>
    <w:rPr>
      <w:rFonts w:hint="default" w:ascii="Times New Roman" w:hAnsi="Times New Roman" w:cs="Times New Roman"/>
      <w:b/>
      <w:color w:val="000000"/>
      <w:sz w:val="16"/>
      <w:szCs w:val="16"/>
      <w:u w:val="none"/>
    </w:rPr>
  </w:style>
  <w:style w:type="character" w:customStyle="1" w:styleId="1016">
    <w:name w:val="表头 Char Char Char Char1"/>
    <w:qFormat/>
    <w:uiPriority w:val="0"/>
    <w:rPr>
      <w:rFonts w:ascii="Arial Narrow" w:hAnsi="Arial Narrow" w:eastAsia="宋体" w:cs="宋体"/>
      <w:b/>
      <w:kern w:val="2"/>
      <w:sz w:val="24"/>
      <w:szCs w:val="24"/>
      <w:lang w:val="en-US" w:eastAsia="zh-CN" w:bidi="ar-SA"/>
    </w:rPr>
  </w:style>
  <w:style w:type="character" w:customStyle="1" w:styleId="1017">
    <w:name w:val="样式 行距: 最小值 12 磅 Char Char"/>
    <w:qFormat/>
    <w:uiPriority w:val="0"/>
    <w:rPr>
      <w:rFonts w:ascii="Times New Roman" w:hAnsi="Times New Roman" w:eastAsia="宋体" w:cs="宋体"/>
      <w:szCs w:val="20"/>
    </w:rPr>
  </w:style>
  <w:style w:type="character" w:customStyle="1" w:styleId="1018">
    <w:name w:val="正文文本缩进 Char2"/>
    <w:qFormat/>
    <w:uiPriority w:val="0"/>
    <w:rPr>
      <w:rFonts w:ascii="Times New Roman" w:hAnsi="Times New Roman" w:eastAsia="宋体" w:cs="Times New Roman"/>
      <w:szCs w:val="24"/>
    </w:rPr>
  </w:style>
  <w:style w:type="character" w:customStyle="1" w:styleId="1019">
    <w:name w:val="样式 行距: 最小值 12 磅 Char Char Char"/>
    <w:link w:val="1020"/>
    <w:qFormat/>
    <w:uiPriority w:val="0"/>
    <w:rPr>
      <w:rFonts w:cs="宋体"/>
      <w:kern w:val="2"/>
      <w:sz w:val="21"/>
      <w:szCs w:val="24"/>
    </w:rPr>
  </w:style>
  <w:style w:type="paragraph" w:customStyle="1" w:styleId="1020">
    <w:name w:val="样式 行距: 最小值 12 磅"/>
    <w:basedOn w:val="1"/>
    <w:link w:val="1019"/>
    <w:qFormat/>
    <w:uiPriority w:val="0"/>
    <w:pPr>
      <w:topLinePunct w:val="0"/>
      <w:adjustRightInd/>
      <w:snapToGrid/>
      <w:spacing w:line="240" w:lineRule="atLeast"/>
      <w:ind w:firstLine="525" w:firstLineChars="250"/>
    </w:pPr>
    <w:rPr>
      <w:rFonts w:cs="宋体"/>
      <w:kern w:val="2"/>
      <w:sz w:val="21"/>
    </w:rPr>
  </w:style>
  <w:style w:type="character" w:customStyle="1" w:styleId="1021">
    <w:name w:val="样式 宋体 小四 + 首行缩进:  2 字符 Char Char Char Char1 Char Char"/>
    <w:qFormat/>
    <w:uiPriority w:val="0"/>
    <w:rPr>
      <w:rFonts w:ascii="宋体" w:hAnsi="宋体" w:cs="宋体"/>
      <w:sz w:val="24"/>
    </w:rPr>
  </w:style>
  <w:style w:type="character" w:customStyle="1" w:styleId="1022">
    <w:name w:val="font71"/>
    <w:qFormat/>
    <w:uiPriority w:val="0"/>
    <w:rPr>
      <w:rFonts w:hint="eastAsia" w:ascii="宋体" w:hAnsi="宋体" w:eastAsia="宋体" w:cs="宋体"/>
      <w:b/>
      <w:color w:val="000000"/>
      <w:sz w:val="18"/>
      <w:szCs w:val="18"/>
      <w:u w:val="none"/>
    </w:rPr>
  </w:style>
  <w:style w:type="character" w:customStyle="1" w:styleId="1023">
    <w:name w:val="正文首行缩进 Char2"/>
    <w:qFormat/>
    <w:uiPriority w:val="0"/>
  </w:style>
  <w:style w:type="character" w:customStyle="1" w:styleId="1024">
    <w:name w:val="正文文本缩进 2 Char1"/>
    <w:qFormat/>
    <w:uiPriority w:val="0"/>
    <w:rPr>
      <w:rFonts w:ascii="Times New Roman" w:hAnsi="Times New Roman" w:eastAsia="宋体" w:cs="Times New Roman"/>
      <w:szCs w:val="24"/>
    </w:rPr>
  </w:style>
  <w:style w:type="character" w:customStyle="1" w:styleId="1025">
    <w:name w:val="样式 行距: 最小值 12 磅 Char Char Char Char Char Char Char"/>
    <w:qFormat/>
    <w:uiPriority w:val="0"/>
    <w:rPr>
      <w:rFonts w:ascii="Calibri" w:hAnsi="Calibri" w:cs="宋体"/>
      <w:szCs w:val="24"/>
    </w:rPr>
  </w:style>
  <w:style w:type="character" w:customStyle="1" w:styleId="1026">
    <w:name w:val="三级标题 Char Char Char Char"/>
    <w:qFormat/>
    <w:uiPriority w:val="0"/>
    <w:rPr>
      <w:rFonts w:cs="宋体"/>
      <w:b/>
      <w:bCs/>
      <w:kern w:val="2"/>
      <w:sz w:val="24"/>
    </w:rPr>
  </w:style>
  <w:style w:type="character" w:customStyle="1" w:styleId="1027">
    <w:name w:val="Char Char Char2"/>
    <w:qFormat/>
    <w:uiPriority w:val="0"/>
    <w:rPr>
      <w:rFonts w:eastAsia="宋体"/>
      <w:kern w:val="2"/>
      <w:sz w:val="18"/>
      <w:lang w:val="en-US" w:eastAsia="zh-CN" w:bidi="ar-SA"/>
    </w:rPr>
  </w:style>
  <w:style w:type="character" w:customStyle="1" w:styleId="1028">
    <w:name w:val="标准正文 Char"/>
    <w:link w:val="387"/>
    <w:qFormat/>
    <w:uiPriority w:val="0"/>
    <w:rPr>
      <w:rFonts w:ascii="宋体" w:hAnsi="宋体"/>
      <w:color w:val="000000"/>
      <w:sz w:val="21"/>
    </w:rPr>
  </w:style>
  <w:style w:type="character" w:customStyle="1" w:styleId="1029">
    <w:name w:val="正文缩进 字符1"/>
    <w:qFormat/>
    <w:uiPriority w:val="0"/>
    <w:rPr>
      <w:kern w:val="2"/>
      <w:sz w:val="21"/>
      <w:szCs w:val="24"/>
    </w:rPr>
  </w:style>
  <w:style w:type="character" w:customStyle="1" w:styleId="1030">
    <w:name w:val="段落编号 Char"/>
    <w:qFormat/>
    <w:uiPriority w:val="0"/>
    <w:rPr>
      <w:rFonts w:ascii="宋体" w:hAnsi="Roman 10cpi" w:eastAsia="宋体"/>
      <w:spacing w:val="6"/>
      <w:kern w:val="2"/>
      <w:sz w:val="28"/>
      <w:szCs w:val="24"/>
      <w:lang w:val="en-US" w:eastAsia="zh-CN" w:bidi="ar-SA"/>
    </w:rPr>
  </w:style>
  <w:style w:type="character" w:customStyle="1" w:styleId="1031">
    <w:name w:val="font161"/>
    <w:qFormat/>
    <w:uiPriority w:val="0"/>
    <w:rPr>
      <w:rFonts w:hint="eastAsia" w:ascii="宋体" w:hAnsi="宋体" w:eastAsia="宋体" w:cs="宋体"/>
      <w:color w:val="000000"/>
      <w:sz w:val="18"/>
      <w:szCs w:val="18"/>
      <w:u w:val="none"/>
    </w:rPr>
  </w:style>
  <w:style w:type="character" w:customStyle="1" w:styleId="1032">
    <w:name w:val="current5"/>
    <w:qFormat/>
    <w:uiPriority w:val="0"/>
    <w:rPr>
      <w:b/>
      <w:color w:val="FFFFFF"/>
      <w:bdr w:val="single" w:color="B2283D" w:sz="6" w:space="0"/>
      <w:shd w:val="clear" w:color="auto" w:fill="B2283D"/>
    </w:rPr>
  </w:style>
  <w:style w:type="character" w:customStyle="1" w:styleId="1033">
    <w:name w:val="正文1 Char Char"/>
    <w:link w:val="199"/>
    <w:qFormat/>
    <w:uiPriority w:val="0"/>
    <w:rPr>
      <w:kern w:val="2"/>
      <w:sz w:val="21"/>
    </w:rPr>
  </w:style>
  <w:style w:type="character" w:customStyle="1" w:styleId="1034">
    <w:name w:val="正文 Char Char Char Char Char Char"/>
    <w:link w:val="1035"/>
    <w:qFormat/>
    <w:uiPriority w:val="0"/>
    <w:rPr>
      <w:rFonts w:ascii="Arial Narrow" w:hAnsi="Arial Narrow"/>
      <w:sz w:val="24"/>
      <w:szCs w:val="24"/>
    </w:rPr>
  </w:style>
  <w:style w:type="paragraph" w:customStyle="1" w:styleId="1035">
    <w:name w:val="正文 Char Char Char Char Char"/>
    <w:basedOn w:val="1"/>
    <w:link w:val="1034"/>
    <w:qFormat/>
    <w:uiPriority w:val="0"/>
    <w:pPr>
      <w:widowControl/>
      <w:tabs>
        <w:tab w:val="left" w:pos="4660"/>
      </w:tabs>
      <w:topLinePunct w:val="0"/>
      <w:adjustRightInd/>
      <w:snapToGrid/>
      <w:spacing w:line="240" w:lineRule="auto"/>
      <w:ind w:firstLine="480"/>
    </w:pPr>
    <w:rPr>
      <w:rFonts w:ascii="Arial Narrow" w:hAnsi="Arial Narrow"/>
    </w:rPr>
  </w:style>
  <w:style w:type="character" w:customStyle="1" w:styleId="1036">
    <w:name w:val="表号、图号 Char Char"/>
    <w:qFormat/>
    <w:uiPriority w:val="0"/>
    <w:rPr>
      <w:rFonts w:ascii="黑体" w:hAnsi="黑体" w:eastAsia="黑体"/>
      <w:kern w:val="2"/>
      <w:sz w:val="21"/>
      <w:szCs w:val="24"/>
    </w:rPr>
  </w:style>
  <w:style w:type="character" w:customStyle="1" w:styleId="1037">
    <w:name w:val="样式 宋体 小四 + 首行缩进:  2 字符 Char Char Char Char Char Char Char Char Char Char"/>
    <w:link w:val="1038"/>
    <w:qFormat/>
    <w:uiPriority w:val="0"/>
    <w:rPr>
      <w:rFonts w:ascii="宋体" w:hAnsi="宋体" w:cs="宋体"/>
      <w:kern w:val="2"/>
      <w:sz w:val="24"/>
      <w:szCs w:val="22"/>
    </w:rPr>
  </w:style>
  <w:style w:type="paragraph" w:customStyle="1" w:styleId="1038">
    <w:name w:val="样式 宋体 小四 + 首行缩进:  2 字符 Char Char Char Char"/>
    <w:basedOn w:val="1"/>
    <w:link w:val="1037"/>
    <w:qFormat/>
    <w:uiPriority w:val="0"/>
    <w:pPr>
      <w:topLinePunct w:val="0"/>
      <w:adjustRightInd/>
      <w:snapToGrid/>
      <w:spacing w:line="420" w:lineRule="exact"/>
      <w:ind w:firstLine="480"/>
    </w:pPr>
    <w:rPr>
      <w:rFonts w:ascii="宋体" w:hAnsi="宋体" w:cs="宋体"/>
      <w:kern w:val="2"/>
      <w:szCs w:val="22"/>
    </w:rPr>
  </w:style>
  <w:style w:type="character" w:customStyle="1" w:styleId="1039">
    <w:name w:val="txtr"/>
    <w:basedOn w:val="98"/>
    <w:qFormat/>
    <w:uiPriority w:val="0"/>
  </w:style>
  <w:style w:type="character" w:customStyle="1" w:styleId="1040">
    <w:name w:val="普通文字 Char Char Char1"/>
    <w:qFormat/>
    <w:uiPriority w:val="0"/>
    <w:rPr>
      <w:rFonts w:ascii="仿宋_GB2312" w:eastAsia="仿宋_GB2312"/>
      <w:kern w:val="2"/>
      <w:sz w:val="28"/>
      <w:lang w:val="en-US" w:eastAsia="zh-CN" w:bidi="ar-SA"/>
    </w:rPr>
  </w:style>
  <w:style w:type="character" w:customStyle="1" w:styleId="1041">
    <w:name w:val="样式 题注 + (西文) Times New Roman (中文) 宋体 小四 加粗 黑色 Char Char Char Char"/>
    <w:qFormat/>
    <w:uiPriority w:val="0"/>
    <w:rPr>
      <w:rFonts w:eastAsia="宋体" w:cs="Arial"/>
      <w:b/>
      <w:bCs/>
      <w:color w:val="000000"/>
      <w:sz w:val="24"/>
      <w:szCs w:val="24"/>
      <w:lang w:val="en-US" w:eastAsia="zh-CN" w:bidi="ar-SA"/>
    </w:rPr>
  </w:style>
  <w:style w:type="character" w:customStyle="1" w:styleId="1042">
    <w:name w:val="表头 Char Char Char Char2"/>
    <w:qFormat/>
    <w:uiPriority w:val="0"/>
    <w:rPr>
      <w:rFonts w:ascii="Arial Narrow" w:hAnsi="Arial Narrow" w:eastAsia="宋体" w:cs="宋体"/>
      <w:b/>
      <w:kern w:val="2"/>
      <w:sz w:val="24"/>
      <w:szCs w:val="24"/>
      <w:lang w:val="en-US" w:eastAsia="zh-CN" w:bidi="ar-SA"/>
    </w:rPr>
  </w:style>
  <w:style w:type="character" w:customStyle="1" w:styleId="1043">
    <w:name w:val="批注主题 Char1"/>
    <w:qFormat/>
    <w:uiPriority w:val="0"/>
    <w:rPr>
      <w:rFonts w:ascii="Times New Roman" w:hAnsi="Times New Roman" w:eastAsia="宋体" w:cs="Times New Roman"/>
      <w:b/>
      <w:bCs/>
      <w:szCs w:val="24"/>
    </w:rPr>
  </w:style>
  <w:style w:type="character" w:customStyle="1" w:styleId="1044">
    <w:name w:val="fontborder"/>
    <w:qFormat/>
    <w:uiPriority w:val="0"/>
    <w:rPr>
      <w:bdr w:val="single" w:color="000000" w:sz="6" w:space="0"/>
    </w:rPr>
  </w:style>
  <w:style w:type="character" w:customStyle="1" w:styleId="1045">
    <w:name w:val="表头 Char Char Char Char"/>
    <w:qFormat/>
    <w:uiPriority w:val="0"/>
    <w:rPr>
      <w:rFonts w:ascii="Times New Roman" w:hAnsi="Times New Roman" w:eastAsia="宋体" w:cs="Times New Roman"/>
      <w:b/>
      <w:sz w:val="24"/>
      <w:szCs w:val="24"/>
    </w:rPr>
  </w:style>
  <w:style w:type="character" w:customStyle="1" w:styleId="1046">
    <w:name w:val="样式 标题 1 + Arial Narrow Char Char Char"/>
    <w:link w:val="1047"/>
    <w:semiHidden/>
    <w:qFormat/>
    <w:uiPriority w:val="0"/>
    <w:rPr>
      <w:rFonts w:ascii="宋体" w:hAnsi="宋体"/>
      <w:b/>
      <w:caps/>
      <w:kern w:val="2"/>
      <w:sz w:val="44"/>
      <w:szCs w:val="24"/>
    </w:rPr>
  </w:style>
  <w:style w:type="paragraph" w:customStyle="1" w:styleId="1047">
    <w:name w:val="样式 标题 1 + Arial Narrow Char Char"/>
    <w:basedOn w:val="5"/>
    <w:link w:val="1046"/>
    <w:semiHidden/>
    <w:qFormat/>
    <w:uiPriority w:val="0"/>
    <w:pPr>
      <w:pageBreakBefore w:val="0"/>
      <w:widowControl/>
      <w:tabs>
        <w:tab w:val="clear" w:pos="432"/>
      </w:tabs>
      <w:topLinePunct w:val="0"/>
      <w:adjustRightInd/>
      <w:snapToGrid/>
      <w:spacing w:before="340" w:after="330" w:line="240" w:lineRule="auto"/>
      <w:jc w:val="both"/>
    </w:pPr>
    <w:rPr>
      <w:rFonts w:ascii="宋体" w:hAnsi="宋体"/>
      <w:bCs w:val="0"/>
      <w:caps/>
      <w:kern w:val="2"/>
      <w:sz w:val="44"/>
      <w:szCs w:val="24"/>
    </w:rPr>
  </w:style>
  <w:style w:type="character" w:customStyle="1" w:styleId="1048">
    <w:name w:val="ttilte1"/>
    <w:qFormat/>
    <w:uiPriority w:val="0"/>
    <w:rPr>
      <w:rFonts w:hint="default"/>
      <w:b/>
      <w:bCs/>
      <w:color w:val="0000CC"/>
      <w:sz w:val="24"/>
      <w:szCs w:val="24"/>
    </w:rPr>
  </w:style>
  <w:style w:type="character" w:customStyle="1" w:styleId="1049">
    <w:name w:val="fontstrikethrough"/>
    <w:qFormat/>
    <w:uiPriority w:val="0"/>
    <w:rPr>
      <w:strike/>
    </w:rPr>
  </w:style>
  <w:style w:type="character" w:customStyle="1" w:styleId="1050">
    <w:name w:val="样式 宋体 小四 + 首行缩进:  2 字符 Char Char Char Char1 Char Char Char"/>
    <w:link w:val="1051"/>
    <w:qFormat/>
    <w:uiPriority w:val="0"/>
    <w:rPr>
      <w:rFonts w:ascii="宋体" w:hAnsi="宋体" w:cs="宋体"/>
      <w:kern w:val="2"/>
      <w:sz w:val="24"/>
      <w:szCs w:val="22"/>
    </w:rPr>
  </w:style>
  <w:style w:type="paragraph" w:customStyle="1" w:styleId="1051">
    <w:name w:val="样式 宋体 小四 + 首行缩进:  2 字符 Char Char Char Char1"/>
    <w:basedOn w:val="1"/>
    <w:link w:val="1050"/>
    <w:qFormat/>
    <w:uiPriority w:val="0"/>
    <w:pPr>
      <w:topLinePunct w:val="0"/>
      <w:adjustRightInd/>
      <w:snapToGrid/>
      <w:spacing w:line="420" w:lineRule="exact"/>
      <w:ind w:firstLine="480"/>
    </w:pPr>
    <w:rPr>
      <w:rFonts w:ascii="宋体" w:hAnsi="宋体" w:cs="宋体"/>
      <w:kern w:val="2"/>
      <w:szCs w:val="22"/>
    </w:rPr>
  </w:style>
  <w:style w:type="character" w:customStyle="1" w:styleId="1052">
    <w:name w:val="样式7 Char"/>
    <w:qFormat/>
    <w:uiPriority w:val="0"/>
    <w:rPr>
      <w:rFonts w:cs="Calibri"/>
      <w:bCs/>
      <w:sz w:val="24"/>
      <w:szCs w:val="24"/>
    </w:rPr>
  </w:style>
  <w:style w:type="character" w:customStyle="1" w:styleId="1053">
    <w:name w:val="HTML 地址 字符"/>
    <w:link w:val="45"/>
    <w:qFormat/>
    <w:uiPriority w:val="0"/>
    <w:rPr>
      <w:i/>
      <w:iCs/>
      <w:kern w:val="2"/>
      <w:sz w:val="21"/>
      <w:szCs w:val="24"/>
    </w:rPr>
  </w:style>
  <w:style w:type="character" w:customStyle="1" w:styleId="1054">
    <w:name w:val="标题 Char2"/>
    <w:qFormat/>
    <w:uiPriority w:val="10"/>
    <w:rPr>
      <w:rFonts w:ascii="Cambria" w:hAnsi="Cambria" w:eastAsia="宋体" w:cs="Times New Roman"/>
      <w:b/>
      <w:bCs/>
      <w:sz w:val="32"/>
      <w:szCs w:val="32"/>
    </w:rPr>
  </w:style>
  <w:style w:type="character" w:customStyle="1" w:styleId="1055">
    <w:name w:val="5-正文 Char"/>
    <w:link w:val="1056"/>
    <w:qFormat/>
    <w:uiPriority w:val="0"/>
    <w:rPr>
      <w:kern w:val="2"/>
      <w:sz w:val="24"/>
    </w:rPr>
  </w:style>
  <w:style w:type="paragraph" w:customStyle="1" w:styleId="1056">
    <w:name w:val="5-正文"/>
    <w:basedOn w:val="1"/>
    <w:link w:val="1055"/>
    <w:qFormat/>
    <w:uiPriority w:val="0"/>
    <w:pPr>
      <w:topLinePunct w:val="0"/>
      <w:adjustRightInd/>
      <w:ind w:firstLine="480"/>
    </w:pPr>
    <w:rPr>
      <w:kern w:val="2"/>
      <w:szCs w:val="20"/>
    </w:rPr>
  </w:style>
  <w:style w:type="character" w:customStyle="1" w:styleId="1057">
    <w:name w:val="普通文字 Char2"/>
    <w:qFormat/>
    <w:uiPriority w:val="0"/>
    <w:rPr>
      <w:rFonts w:ascii="宋体" w:hAnsi="Courier New" w:eastAsia="宋体" w:cs="Courier New"/>
      <w:kern w:val="2"/>
      <w:sz w:val="21"/>
      <w:szCs w:val="21"/>
      <w:lang w:val="en-US" w:eastAsia="zh-CN" w:bidi="ar-SA"/>
    </w:rPr>
  </w:style>
  <w:style w:type="character" w:customStyle="1" w:styleId="1058">
    <w:name w:val="表头 Char2"/>
    <w:qFormat/>
    <w:uiPriority w:val="0"/>
    <w:rPr>
      <w:rFonts w:ascii="黑体" w:eastAsia="黑体"/>
      <w:kern w:val="2"/>
      <w:sz w:val="21"/>
      <w:szCs w:val="21"/>
      <w:lang w:val="en-US" w:eastAsia="zh-CN" w:bidi="ar-SA"/>
    </w:rPr>
  </w:style>
  <w:style w:type="character" w:customStyle="1" w:styleId="1059">
    <w:name w:val="H1 Char"/>
    <w:qFormat/>
    <w:uiPriority w:val="0"/>
    <w:rPr>
      <w:rFonts w:eastAsia="宋体"/>
      <w:b/>
      <w:bCs/>
      <w:kern w:val="44"/>
      <w:sz w:val="44"/>
      <w:szCs w:val="44"/>
      <w:lang w:val="en-US" w:eastAsia="zh-CN" w:bidi="ar-SA"/>
    </w:rPr>
  </w:style>
  <w:style w:type="character" w:customStyle="1" w:styleId="1060">
    <w:name w:val="表头 Char Char Char Char Char Char"/>
    <w:link w:val="1061"/>
    <w:qFormat/>
    <w:uiPriority w:val="0"/>
    <w:rPr>
      <w:b/>
      <w:kern w:val="24"/>
      <w:sz w:val="24"/>
    </w:rPr>
  </w:style>
  <w:style w:type="paragraph" w:customStyle="1" w:styleId="1061">
    <w:name w:val="表头 Char Char Char"/>
    <w:basedOn w:val="1"/>
    <w:next w:val="1"/>
    <w:link w:val="1060"/>
    <w:qFormat/>
    <w:uiPriority w:val="0"/>
    <w:pPr>
      <w:topLinePunct w:val="0"/>
      <w:adjustRightInd/>
      <w:spacing w:before="120" w:after="120" w:line="240" w:lineRule="auto"/>
      <w:ind w:firstLine="0" w:firstLineChars="0"/>
      <w:jc w:val="center"/>
    </w:pPr>
    <w:rPr>
      <w:b/>
      <w:kern w:val="24"/>
      <w:szCs w:val="20"/>
    </w:rPr>
  </w:style>
  <w:style w:type="character" w:customStyle="1" w:styleId="1062">
    <w:name w:val="表内容 Char Char Char"/>
    <w:link w:val="221"/>
    <w:qFormat/>
    <w:uiPriority w:val="0"/>
    <w:rPr>
      <w:sz w:val="24"/>
      <w:szCs w:val="24"/>
    </w:rPr>
  </w:style>
  <w:style w:type="character" w:customStyle="1" w:styleId="1063">
    <w:name w:val="表文字 Char Char"/>
    <w:qFormat/>
    <w:uiPriority w:val="0"/>
    <w:rPr>
      <w:kern w:val="2"/>
      <w:sz w:val="21"/>
      <w:szCs w:val="24"/>
    </w:rPr>
  </w:style>
  <w:style w:type="character" w:customStyle="1" w:styleId="1064">
    <w:name w:val="威顿报告正文 Char"/>
    <w:link w:val="991"/>
    <w:qFormat/>
    <w:uiPriority w:val="0"/>
    <w:rPr>
      <w:color w:val="000000"/>
      <w:sz w:val="24"/>
      <w:szCs w:val="22"/>
      <w:lang w:eastAsia="en-US" w:bidi="en-US"/>
    </w:rPr>
  </w:style>
  <w:style w:type="character" w:customStyle="1" w:styleId="1065">
    <w:name w:val="信息标题 字符1"/>
    <w:basedOn w:val="98"/>
    <w:semiHidden/>
    <w:qFormat/>
    <w:uiPriority w:val="0"/>
    <w:rPr>
      <w:rFonts w:asciiTheme="majorHAnsi" w:hAnsiTheme="majorHAnsi" w:eastAsiaTheme="majorEastAsia" w:cstheme="majorBidi"/>
      <w:sz w:val="24"/>
      <w:szCs w:val="24"/>
      <w:shd w:val="pct20" w:color="auto" w:fill="auto"/>
    </w:rPr>
  </w:style>
  <w:style w:type="character" w:customStyle="1" w:styleId="1066">
    <w:name w:val="宏文本 字符1"/>
    <w:basedOn w:val="98"/>
    <w:semiHidden/>
    <w:qFormat/>
    <w:uiPriority w:val="0"/>
    <w:rPr>
      <w:rFonts w:ascii="Courier New" w:hAnsi="Courier New" w:cs="Courier New"/>
      <w:sz w:val="24"/>
      <w:szCs w:val="24"/>
    </w:rPr>
  </w:style>
  <w:style w:type="character" w:customStyle="1" w:styleId="1067">
    <w:name w:val="HTML 地址 字符1"/>
    <w:basedOn w:val="98"/>
    <w:semiHidden/>
    <w:qFormat/>
    <w:uiPriority w:val="0"/>
    <w:rPr>
      <w:i/>
      <w:iCs/>
      <w:sz w:val="24"/>
      <w:szCs w:val="24"/>
    </w:rPr>
  </w:style>
  <w:style w:type="character" w:customStyle="1" w:styleId="1068">
    <w:name w:val="结束语 字符1"/>
    <w:basedOn w:val="98"/>
    <w:semiHidden/>
    <w:qFormat/>
    <w:uiPriority w:val="0"/>
    <w:rPr>
      <w:sz w:val="24"/>
      <w:szCs w:val="24"/>
    </w:rPr>
  </w:style>
  <w:style w:type="paragraph" w:customStyle="1" w:styleId="1069">
    <w:name w:val="8"/>
    <w:basedOn w:val="1"/>
    <w:qFormat/>
    <w:uiPriority w:val="0"/>
    <w:pPr>
      <w:topLinePunct w:val="0"/>
      <w:adjustRightInd/>
      <w:snapToGrid/>
      <w:spacing w:line="440" w:lineRule="exact"/>
      <w:ind w:firstLine="476" w:firstLineChars="0"/>
    </w:pPr>
    <w:rPr>
      <w:rFonts w:ascii="Calibri" w:hAnsi="Calibri"/>
      <w:kern w:val="2"/>
    </w:rPr>
  </w:style>
  <w:style w:type="paragraph" w:customStyle="1" w:styleId="1070">
    <w:name w:val="流程图2"/>
    <w:basedOn w:val="1"/>
    <w:qFormat/>
    <w:uiPriority w:val="0"/>
    <w:pPr>
      <w:topLinePunct w:val="0"/>
      <w:adjustRightInd/>
      <w:snapToGrid/>
      <w:spacing w:before="40" w:line="280" w:lineRule="exact"/>
      <w:ind w:firstLine="0" w:firstLineChars="0"/>
      <w:jc w:val="center"/>
    </w:pPr>
    <w:rPr>
      <w:rFonts w:ascii="Calibri" w:hAnsi="Calibri"/>
      <w:kern w:val="2"/>
      <w:sz w:val="21"/>
      <w:szCs w:val="20"/>
    </w:rPr>
  </w:style>
  <w:style w:type="paragraph" w:customStyle="1" w:styleId="1071">
    <w:name w:val="Char Char Char Char4"/>
    <w:basedOn w:val="1"/>
    <w:qFormat/>
    <w:uiPriority w:val="0"/>
    <w:pPr>
      <w:topLinePunct w:val="0"/>
      <w:adjustRightInd/>
      <w:ind w:firstLine="529"/>
    </w:pPr>
    <w:rPr>
      <w:rFonts w:ascii="宋体" w:hAnsi="宋体"/>
      <w:b/>
      <w:kern w:val="2"/>
      <w:sz w:val="21"/>
    </w:rPr>
  </w:style>
  <w:style w:type="paragraph" w:customStyle="1" w:styleId="1072">
    <w:name w:val="Char Char Char1 Char Char"/>
    <w:basedOn w:val="1"/>
    <w:next w:val="1"/>
    <w:qFormat/>
    <w:uiPriority w:val="0"/>
    <w:pPr>
      <w:topLinePunct w:val="0"/>
      <w:adjustRightInd/>
      <w:snapToGrid/>
    </w:pPr>
    <w:rPr>
      <w:rFonts w:ascii="宋体" w:hAnsi="宋体" w:cs="宋体"/>
      <w:kern w:val="2"/>
    </w:rPr>
  </w:style>
  <w:style w:type="paragraph" w:customStyle="1" w:styleId="1073">
    <w:name w:val="我的标题2"/>
    <w:basedOn w:val="6"/>
    <w:qFormat/>
    <w:uiPriority w:val="0"/>
    <w:pPr>
      <w:topLinePunct w:val="0"/>
      <w:adjustRightInd/>
      <w:snapToGrid/>
      <w:spacing w:before="60" w:after="60" w:line="460" w:lineRule="exact"/>
      <w:jc w:val="both"/>
    </w:pPr>
    <w:rPr>
      <w:rFonts w:eastAsia="黑体"/>
      <w:b w:val="0"/>
      <w:kern w:val="2"/>
      <w:sz w:val="30"/>
      <w:szCs w:val="32"/>
    </w:rPr>
  </w:style>
  <w:style w:type="paragraph" w:customStyle="1" w:styleId="1074">
    <w:name w:val="Char Char Char1 Char Char Char Char Char Char Char Char Char Char Char Char Char"/>
    <w:basedOn w:val="1"/>
    <w:next w:val="1"/>
    <w:qFormat/>
    <w:uiPriority w:val="0"/>
    <w:pPr>
      <w:topLinePunct w:val="0"/>
      <w:adjustRightInd/>
      <w:snapToGrid/>
    </w:pPr>
    <w:rPr>
      <w:rFonts w:ascii="宋体" w:hAnsi="宋体" w:cs="宋体"/>
      <w:kern w:val="2"/>
    </w:rPr>
  </w:style>
  <w:style w:type="paragraph" w:customStyle="1" w:styleId="1075">
    <w:name w:val="Char Char Char1 Char Char Char2 Char2"/>
    <w:basedOn w:val="1"/>
    <w:next w:val="1"/>
    <w:qFormat/>
    <w:uiPriority w:val="0"/>
    <w:pPr>
      <w:topLinePunct w:val="0"/>
      <w:adjustRightInd/>
      <w:snapToGrid/>
    </w:pPr>
    <w:rPr>
      <w:rFonts w:ascii="宋体" w:hAnsi="宋体" w:cs="宋体"/>
      <w:kern w:val="2"/>
    </w:rPr>
  </w:style>
  <w:style w:type="paragraph" w:customStyle="1" w:styleId="1076">
    <w:name w:val="样式 表文字 + 左侧:  -0.5 字符 右侧:  -0.5 字符"/>
    <w:basedOn w:val="1"/>
    <w:qFormat/>
    <w:uiPriority w:val="0"/>
    <w:pPr>
      <w:topLinePunct w:val="0"/>
      <w:spacing w:line="240" w:lineRule="auto"/>
      <w:ind w:left="-120" w:leftChars="-50" w:right="-120" w:rightChars="-50" w:firstLine="0" w:firstLineChars="0"/>
      <w:jc w:val="center"/>
    </w:pPr>
    <w:rPr>
      <w:rFonts w:ascii="宋体" w:hAnsi="宋体" w:cs="宋体"/>
      <w:sz w:val="21"/>
      <w:szCs w:val="20"/>
    </w:rPr>
  </w:style>
  <w:style w:type="paragraph" w:customStyle="1" w:styleId="1077">
    <w:name w:val="Char Char Char1 Char Char Char Char Char Char Char Char Char Char Char Char Char Char Char1 Char Char Char Char Char Char Char Char Char Char1"/>
    <w:basedOn w:val="1"/>
    <w:next w:val="1"/>
    <w:qFormat/>
    <w:uiPriority w:val="0"/>
    <w:pPr>
      <w:topLinePunct w:val="0"/>
      <w:adjustRightInd/>
      <w:snapToGrid/>
    </w:pPr>
    <w:rPr>
      <w:rFonts w:ascii="宋体" w:hAnsi="宋体" w:cs="宋体"/>
      <w:kern w:val="2"/>
    </w:rPr>
  </w:style>
  <w:style w:type="paragraph" w:customStyle="1" w:styleId="1078">
    <w:name w:val="样式 我的标题2 + 首行缩进:  0.99 厘米"/>
    <w:basedOn w:val="1073"/>
    <w:next w:val="1073"/>
    <w:qFormat/>
    <w:uiPriority w:val="0"/>
    <w:pPr>
      <w:keepNext w:val="0"/>
      <w:adjustRightInd w:val="0"/>
      <w:snapToGrid w:val="0"/>
    </w:pPr>
    <w:rPr>
      <w:rFonts w:ascii="宋体" w:hAnsi="宋体" w:eastAsia="宋体" w:cs="宋体"/>
      <w:bCs w:val="0"/>
      <w:kern w:val="10"/>
      <w:szCs w:val="20"/>
    </w:rPr>
  </w:style>
  <w:style w:type="paragraph" w:customStyle="1" w:styleId="1079">
    <w:name w:val="表格(新)"/>
    <w:basedOn w:val="1"/>
    <w:qFormat/>
    <w:uiPriority w:val="0"/>
    <w:pPr>
      <w:topLinePunct w:val="0"/>
      <w:adjustRightInd/>
      <w:snapToGrid/>
      <w:spacing w:line="240" w:lineRule="auto"/>
      <w:ind w:firstLine="0" w:firstLineChars="0"/>
      <w:jc w:val="center"/>
    </w:pPr>
    <w:rPr>
      <w:rFonts w:ascii="Calibri" w:hAnsi="Calibri"/>
      <w:kern w:val="24"/>
      <w:sz w:val="21"/>
      <w:szCs w:val="21"/>
    </w:rPr>
  </w:style>
  <w:style w:type="paragraph" w:customStyle="1" w:styleId="1080">
    <w:name w:val="表文字0818"/>
    <w:basedOn w:val="1"/>
    <w:qFormat/>
    <w:uiPriority w:val="0"/>
    <w:pPr>
      <w:topLinePunct w:val="0"/>
      <w:spacing w:line="240" w:lineRule="auto"/>
      <w:ind w:left="-50" w:leftChars="-50" w:right="-50" w:rightChars="-50" w:firstLine="0" w:firstLineChars="0"/>
      <w:jc w:val="center"/>
    </w:pPr>
    <w:rPr>
      <w:rFonts w:ascii="宋体" w:hAnsi="Calibri"/>
      <w:kern w:val="2"/>
      <w:sz w:val="21"/>
      <w:szCs w:val="20"/>
    </w:rPr>
  </w:style>
  <w:style w:type="paragraph" w:customStyle="1" w:styleId="1081">
    <w:name w:val="新利正文"/>
    <w:basedOn w:val="1"/>
    <w:qFormat/>
    <w:uiPriority w:val="0"/>
    <w:pPr>
      <w:topLinePunct w:val="0"/>
      <w:spacing w:beforeLines="25" w:line="440" w:lineRule="exact"/>
    </w:pPr>
    <w:rPr>
      <w:rFonts w:ascii="Calibri" w:hAnsi="Calibri"/>
      <w:color w:val="000000"/>
      <w:kern w:val="2"/>
    </w:rPr>
  </w:style>
  <w:style w:type="paragraph" w:customStyle="1" w:styleId="1082">
    <w:name w:val="纯文本123"/>
    <w:basedOn w:val="49"/>
    <w:qFormat/>
    <w:uiPriority w:val="0"/>
    <w:pPr>
      <w:tabs>
        <w:tab w:val="left" w:pos="620"/>
      </w:tabs>
      <w:topLinePunct w:val="0"/>
      <w:adjustRightInd/>
      <w:snapToGrid/>
      <w:ind w:firstLine="557" w:firstLineChars="200"/>
    </w:pPr>
    <w:rPr>
      <w:rFonts w:ascii="仿宋_GB2312" w:hAnsi="宋体" w:eastAsia="仿宋_GB2312"/>
      <w:color w:val="000000"/>
      <w:sz w:val="28"/>
      <w:szCs w:val="28"/>
    </w:rPr>
  </w:style>
  <w:style w:type="paragraph" w:customStyle="1" w:styleId="1083">
    <w:name w:val="正文li"/>
    <w:basedOn w:val="199"/>
    <w:qFormat/>
    <w:uiPriority w:val="0"/>
    <w:pPr>
      <w:spacing w:line="460" w:lineRule="exact"/>
      <w:ind w:firstLine="200" w:firstLineChars="200"/>
      <w:jc w:val="both"/>
    </w:pPr>
    <w:rPr>
      <w:rFonts w:ascii="Calibri" w:hAnsi="Calibri" w:cs="宋体"/>
      <w:b/>
      <w:sz w:val="24"/>
      <w:szCs w:val="28"/>
    </w:rPr>
  </w:style>
  <w:style w:type="character" w:customStyle="1" w:styleId="1084">
    <w:name w:val="明显引用 字符1"/>
    <w:basedOn w:val="98"/>
    <w:semiHidden/>
    <w:qFormat/>
    <w:uiPriority w:val="99"/>
    <w:rPr>
      <w:i/>
      <w:iCs/>
      <w:color w:val="4F81BD" w:themeColor="accent1"/>
      <w:sz w:val="24"/>
      <w:szCs w:val="24"/>
      <w14:textFill>
        <w14:solidFill>
          <w14:schemeClr w14:val="accent1"/>
        </w14:solidFill>
      </w14:textFill>
    </w:rPr>
  </w:style>
  <w:style w:type="paragraph" w:customStyle="1" w:styleId="1085">
    <w:name w:val="表中正文居中"/>
    <w:qFormat/>
    <w:uiPriority w:val="0"/>
    <w:pPr>
      <w:spacing w:before="120" w:after="120" w:line="240" w:lineRule="atLeast"/>
      <w:jc w:val="center"/>
    </w:pPr>
    <w:rPr>
      <w:rFonts w:ascii="宋体" w:hAnsi="Calibri" w:eastAsia="宋体" w:cs="Times New Roman"/>
      <w:kern w:val="2"/>
      <w:sz w:val="21"/>
      <w:lang w:val="en-US" w:eastAsia="zh-CN" w:bidi="ar-SA"/>
    </w:rPr>
  </w:style>
  <w:style w:type="paragraph" w:customStyle="1" w:styleId="1086">
    <w:name w:val="Char Char Char11"/>
    <w:basedOn w:val="1"/>
    <w:next w:val="1"/>
    <w:qFormat/>
    <w:uiPriority w:val="0"/>
    <w:pPr>
      <w:topLinePunct w:val="0"/>
      <w:adjustRightInd/>
      <w:snapToGrid/>
    </w:pPr>
    <w:rPr>
      <w:rFonts w:ascii="宋体" w:hAnsi="宋体" w:cs="宋体"/>
      <w:kern w:val="2"/>
    </w:rPr>
  </w:style>
  <w:style w:type="paragraph" w:customStyle="1" w:styleId="1087">
    <w:name w:val="段"/>
    <w:qFormat/>
    <w:uiPriority w:val="0"/>
    <w:pPr>
      <w:autoSpaceDE w:val="0"/>
      <w:autoSpaceDN w:val="0"/>
      <w:ind w:firstLine="200" w:firstLineChars="200"/>
      <w:jc w:val="both"/>
    </w:pPr>
    <w:rPr>
      <w:rFonts w:ascii="宋体" w:hAnsi="Calibri" w:eastAsia="宋体" w:cs="Times New Roman"/>
      <w:sz w:val="21"/>
      <w:lang w:val="en-US" w:eastAsia="zh-CN" w:bidi="ar-SA"/>
    </w:rPr>
  </w:style>
  <w:style w:type="paragraph" w:customStyle="1" w:styleId="1088">
    <w:name w:val="宏福3A"/>
    <w:basedOn w:val="1"/>
    <w:qFormat/>
    <w:uiPriority w:val="0"/>
    <w:pPr>
      <w:keepNext/>
      <w:keepLines/>
      <w:topLinePunct w:val="0"/>
      <w:adjustRightInd/>
      <w:spacing w:before="240" w:line="240" w:lineRule="auto"/>
      <w:ind w:firstLine="0" w:firstLineChars="0"/>
      <w:outlineLvl w:val="2"/>
    </w:pPr>
    <w:rPr>
      <w:rFonts w:ascii="Calibri" w:hAnsi="Calibri"/>
      <w:b/>
      <w:kern w:val="2"/>
      <w:sz w:val="28"/>
      <w:szCs w:val="20"/>
    </w:rPr>
  </w:style>
  <w:style w:type="paragraph" w:customStyle="1" w:styleId="1089">
    <w:name w:val="表1.1-1 Char"/>
    <w:basedOn w:val="931"/>
    <w:qFormat/>
    <w:uiPriority w:val="0"/>
    <w:pPr>
      <w:adjustRightInd w:val="0"/>
      <w:snapToGrid w:val="0"/>
      <w:ind w:firstLine="0" w:firstLineChars="0"/>
    </w:pPr>
    <w:rPr>
      <w:bCs/>
    </w:rPr>
  </w:style>
  <w:style w:type="paragraph" w:customStyle="1" w:styleId="1090">
    <w:name w:val="普通(Web)1"/>
    <w:basedOn w:val="1"/>
    <w:qFormat/>
    <w:uiPriority w:val="0"/>
    <w:pPr>
      <w:widowControl/>
      <w:topLinePunct w:val="0"/>
      <w:adjustRightInd/>
      <w:snapToGrid/>
      <w:spacing w:before="100" w:beforeAutospacing="1" w:after="100" w:afterAutospacing="1" w:line="240" w:lineRule="auto"/>
      <w:ind w:firstLine="0" w:firstLineChars="0"/>
      <w:jc w:val="left"/>
    </w:pPr>
    <w:rPr>
      <w:rFonts w:ascii="宋体" w:hAnsi="宋体" w:cs="宋体"/>
    </w:rPr>
  </w:style>
  <w:style w:type="paragraph" w:customStyle="1" w:styleId="1091">
    <w:name w:val="表格文字 16磅"/>
    <w:basedOn w:val="49"/>
    <w:next w:val="1"/>
    <w:qFormat/>
    <w:uiPriority w:val="0"/>
    <w:pPr>
      <w:topLinePunct w:val="0"/>
      <w:spacing w:line="320" w:lineRule="exact"/>
      <w:textAlignment w:val="baseline"/>
    </w:pPr>
    <w:rPr>
      <w:rFonts w:ascii="Times New Roman" w:hAnsi="Times New Roman" w:cs="宋体"/>
      <w:color w:val="000000"/>
      <w:kern w:val="21"/>
    </w:rPr>
  </w:style>
  <w:style w:type="paragraph" w:customStyle="1" w:styleId="1092">
    <w:name w:val="报告表格"/>
    <w:basedOn w:val="1"/>
    <w:qFormat/>
    <w:uiPriority w:val="0"/>
    <w:pPr>
      <w:topLinePunct w:val="0"/>
      <w:autoSpaceDE w:val="0"/>
      <w:autoSpaceDN w:val="0"/>
      <w:snapToGrid/>
      <w:spacing w:before="40" w:after="40" w:line="240" w:lineRule="auto"/>
      <w:ind w:firstLine="0" w:firstLineChars="0"/>
      <w:jc w:val="center"/>
      <w:textAlignment w:val="bottom"/>
    </w:pPr>
    <w:rPr>
      <w:rFonts w:ascii="Calibri" w:hAnsi="Calibri"/>
      <w:sz w:val="21"/>
      <w:szCs w:val="20"/>
    </w:rPr>
  </w:style>
  <w:style w:type="paragraph" w:customStyle="1" w:styleId="1093">
    <w:name w:val="样式 我的标题2 + 首行缩进:  0.99 厘米1"/>
    <w:basedOn w:val="1073"/>
    <w:qFormat/>
    <w:uiPriority w:val="0"/>
    <w:pPr>
      <w:keepNext w:val="0"/>
      <w:adjustRightInd w:val="0"/>
      <w:snapToGrid w:val="0"/>
    </w:pPr>
    <w:rPr>
      <w:rFonts w:ascii="宋体" w:hAnsi="宋体" w:eastAsia="宋体" w:cs="宋体"/>
      <w:bCs w:val="0"/>
      <w:kern w:val="10"/>
      <w:szCs w:val="20"/>
    </w:rPr>
  </w:style>
  <w:style w:type="paragraph" w:customStyle="1" w:styleId="1094">
    <w:name w:val="首行缩进（小四）"/>
    <w:basedOn w:val="1"/>
    <w:qFormat/>
    <w:uiPriority w:val="0"/>
    <w:pPr>
      <w:widowControl/>
      <w:topLinePunct w:val="0"/>
      <w:adjustRightInd/>
      <w:snapToGrid/>
      <w:spacing w:line="520" w:lineRule="exact"/>
      <w:ind w:firstLine="567" w:firstLineChars="0"/>
      <w:jc w:val="left"/>
    </w:pPr>
    <w:rPr>
      <w:rFonts w:ascii="Calibri" w:hAnsi="Calibri"/>
      <w:color w:val="000000"/>
      <w:sz w:val="28"/>
      <w:szCs w:val="28"/>
    </w:rPr>
  </w:style>
  <w:style w:type="paragraph" w:customStyle="1" w:styleId="1095">
    <w:name w:val="表体"/>
    <w:basedOn w:val="310"/>
    <w:qFormat/>
    <w:uiPriority w:val="0"/>
    <w:pPr>
      <w:widowControl/>
      <w:overflowPunct w:val="0"/>
      <w:snapToGrid/>
      <w:spacing w:beforeLines="0" w:afterLines="0" w:line="300" w:lineRule="atLeast"/>
      <w:textAlignment w:val="baseline"/>
    </w:pPr>
    <w:rPr>
      <w:rFonts w:ascii="Calibri" w:hAnsi="Calibri" w:eastAsia="宋体" w:cs="Times New Roman"/>
      <w:b w:val="0"/>
      <w:color w:val="000000"/>
      <w:kern w:val="24"/>
      <w:sz w:val="18"/>
    </w:rPr>
  </w:style>
  <w:style w:type="paragraph" w:customStyle="1" w:styleId="1096">
    <w:name w:val="标准书眉_奇数页"/>
    <w:next w:val="1"/>
    <w:qFormat/>
    <w:uiPriority w:val="0"/>
    <w:pPr>
      <w:tabs>
        <w:tab w:val="center" w:pos="4154"/>
        <w:tab w:val="right" w:pos="8306"/>
      </w:tabs>
      <w:spacing w:after="120"/>
      <w:jc w:val="right"/>
    </w:pPr>
    <w:rPr>
      <w:rFonts w:ascii="Calibri" w:hAnsi="Calibri" w:eastAsia="宋体" w:cs="Times New Roman"/>
      <w:sz w:val="21"/>
      <w:lang w:val="en-US" w:eastAsia="zh-CN" w:bidi="ar-SA"/>
    </w:rPr>
  </w:style>
  <w:style w:type="paragraph" w:customStyle="1" w:styleId="1097">
    <w:name w:val="样式 表内容1 + 首行缩进:  2 字符"/>
    <w:basedOn w:val="1098"/>
    <w:semiHidden/>
    <w:qFormat/>
    <w:uiPriority w:val="0"/>
    <w:pPr>
      <w:tabs>
        <w:tab w:val="left" w:pos="4660"/>
      </w:tabs>
      <w:ind w:firstLineChars="0"/>
    </w:pPr>
    <w:rPr>
      <w:szCs w:val="20"/>
    </w:rPr>
  </w:style>
  <w:style w:type="paragraph" w:customStyle="1" w:styleId="1098">
    <w:name w:val="表内容1"/>
    <w:basedOn w:val="917"/>
    <w:qFormat/>
    <w:uiPriority w:val="0"/>
    <w:pPr>
      <w:adjustRightInd w:val="0"/>
      <w:snapToGrid w:val="0"/>
      <w:spacing w:line="240" w:lineRule="auto"/>
      <w:ind w:firstLine="0" w:firstLineChars="225"/>
      <w:jc w:val="center"/>
    </w:pPr>
    <w:rPr>
      <w:b w:val="0"/>
      <w:color w:val="auto"/>
      <w:kern w:val="2"/>
      <w:sz w:val="21"/>
      <w:szCs w:val="21"/>
      <w:u w:val="single"/>
    </w:rPr>
  </w:style>
  <w:style w:type="paragraph" w:customStyle="1" w:styleId="1099">
    <w:name w:val="fonts"/>
    <w:basedOn w:val="1"/>
    <w:qFormat/>
    <w:uiPriority w:val="0"/>
    <w:pPr>
      <w:widowControl/>
      <w:topLinePunct w:val="0"/>
      <w:adjustRightInd/>
      <w:snapToGrid/>
      <w:spacing w:before="100" w:beforeAutospacing="1" w:after="100" w:afterAutospacing="1"/>
      <w:ind w:firstLine="0" w:firstLineChars="0"/>
      <w:jc w:val="left"/>
    </w:pPr>
    <w:rPr>
      <w:rFonts w:ascii="宋体" w:hAnsi="宋体" w:cs="宋体"/>
      <w:color w:val="000000"/>
      <w:sz w:val="18"/>
      <w:szCs w:val="18"/>
    </w:rPr>
  </w:style>
  <w:style w:type="paragraph" w:customStyle="1" w:styleId="1100">
    <w:name w:val="段落"/>
    <w:basedOn w:val="1"/>
    <w:link w:val="1280"/>
    <w:qFormat/>
    <w:uiPriority w:val="0"/>
    <w:pPr>
      <w:topLinePunct w:val="0"/>
      <w:adjustRightInd/>
      <w:snapToGrid/>
      <w:spacing w:line="420" w:lineRule="exact"/>
      <w:ind w:firstLine="480"/>
    </w:pPr>
    <w:rPr>
      <w:rFonts w:ascii="Calibri" w:hAnsi="Calibri" w:cs="宋体"/>
      <w:kern w:val="2"/>
      <w:szCs w:val="20"/>
    </w:rPr>
  </w:style>
  <w:style w:type="paragraph" w:customStyle="1" w:styleId="1101">
    <w:name w:val="正文小四首缩1.3行距"/>
    <w:basedOn w:val="1"/>
    <w:qFormat/>
    <w:uiPriority w:val="0"/>
    <w:pPr>
      <w:topLinePunct w:val="0"/>
      <w:adjustRightInd/>
      <w:snapToGrid/>
      <w:spacing w:line="312" w:lineRule="auto"/>
      <w:ind w:firstLine="420"/>
    </w:pPr>
    <w:rPr>
      <w:rFonts w:ascii="Calibri" w:hAnsi="Calibri"/>
      <w:kern w:val="2"/>
    </w:rPr>
  </w:style>
  <w:style w:type="paragraph" w:customStyle="1" w:styleId="1102">
    <w:name w:val="表注2"/>
    <w:basedOn w:val="1"/>
    <w:qFormat/>
    <w:uiPriority w:val="0"/>
    <w:pPr>
      <w:topLinePunct w:val="0"/>
      <w:spacing w:before="60" w:line="240" w:lineRule="exact"/>
      <w:ind w:left="113" w:firstLine="0" w:firstLineChars="0"/>
    </w:pPr>
    <w:rPr>
      <w:rFonts w:ascii="Calibri" w:hAnsi="Calibri"/>
      <w:kern w:val="2"/>
      <w:sz w:val="21"/>
      <w:szCs w:val="20"/>
    </w:rPr>
  </w:style>
  <w:style w:type="paragraph" w:customStyle="1" w:styleId="1103">
    <w:name w:val="xl61"/>
    <w:basedOn w:val="1"/>
    <w:semiHidden/>
    <w:qFormat/>
    <w:uiPriority w:val="0"/>
    <w:pPr>
      <w:widowControl/>
      <w:pBdr>
        <w:top w:val="single" w:color="auto" w:sz="4" w:space="0"/>
        <w:left w:val="single" w:color="auto" w:sz="4" w:space="0"/>
        <w:right w:val="single" w:color="auto" w:sz="4" w:space="0"/>
      </w:pBdr>
      <w:topLinePunct w:val="0"/>
      <w:adjustRightInd/>
      <w:snapToGrid/>
      <w:spacing w:before="100" w:beforeAutospacing="1" w:after="100" w:afterAutospacing="1" w:line="240" w:lineRule="auto"/>
      <w:ind w:firstLine="0" w:firstLineChars="0"/>
      <w:jc w:val="center"/>
      <w:textAlignment w:val="center"/>
    </w:pPr>
    <w:rPr>
      <w:rFonts w:ascii="Calibri" w:hAnsi="Calibri"/>
      <w:sz w:val="22"/>
      <w:szCs w:val="22"/>
    </w:rPr>
  </w:style>
  <w:style w:type="paragraph" w:customStyle="1" w:styleId="1104">
    <w:name w:val="Normal+2"/>
    <w:basedOn w:val="2"/>
    <w:next w:val="2"/>
    <w:qFormat/>
    <w:uiPriority w:val="99"/>
    <w:pPr>
      <w:adjustRightInd/>
    </w:pPr>
    <w:rPr>
      <w:rFonts w:ascii="仿宋_GB2312" w:hAnsi="仿宋_GB2312" w:eastAsia="仿宋_GB2312" w:cs="Times New Roman"/>
      <w:szCs w:val="20"/>
    </w:rPr>
  </w:style>
  <w:style w:type="paragraph" w:customStyle="1" w:styleId="1105">
    <w:name w:val="二级条标题"/>
    <w:basedOn w:val="1106"/>
    <w:next w:val="1"/>
    <w:qFormat/>
    <w:uiPriority w:val="0"/>
    <w:pPr>
      <w:tabs>
        <w:tab w:val="left" w:pos="360"/>
        <w:tab w:val="left" w:pos="903"/>
      </w:tabs>
      <w:outlineLvl w:val="3"/>
    </w:pPr>
  </w:style>
  <w:style w:type="paragraph" w:customStyle="1" w:styleId="1106">
    <w:name w:val="一级条标题"/>
    <w:basedOn w:val="1107"/>
    <w:next w:val="1"/>
    <w:qFormat/>
    <w:uiPriority w:val="0"/>
    <w:pPr>
      <w:tabs>
        <w:tab w:val="left" w:pos="360"/>
        <w:tab w:val="left" w:pos="903"/>
      </w:tabs>
      <w:spacing w:before="0" w:after="0"/>
      <w:ind w:left="0" w:firstLine="0"/>
      <w:outlineLvl w:val="2"/>
    </w:pPr>
  </w:style>
  <w:style w:type="paragraph" w:customStyle="1" w:styleId="1107">
    <w:name w:val="章标题"/>
    <w:next w:val="1"/>
    <w:qFormat/>
    <w:uiPriority w:val="0"/>
    <w:pPr>
      <w:tabs>
        <w:tab w:val="left" w:pos="903"/>
      </w:tabs>
      <w:spacing w:before="50" w:after="50"/>
      <w:ind w:left="903" w:hanging="315"/>
      <w:jc w:val="both"/>
      <w:outlineLvl w:val="1"/>
    </w:pPr>
    <w:rPr>
      <w:rFonts w:ascii="黑体" w:hAnsi="Calibri" w:eastAsia="黑体" w:cs="Times New Roman"/>
      <w:sz w:val="21"/>
      <w:lang w:val="en-US" w:eastAsia="zh-CN" w:bidi="ar-SA"/>
    </w:rPr>
  </w:style>
  <w:style w:type="paragraph" w:customStyle="1" w:styleId="1108">
    <w:name w:val="Char Char Char1 Char Char Char2 Char"/>
    <w:basedOn w:val="1"/>
    <w:next w:val="1"/>
    <w:qFormat/>
    <w:uiPriority w:val="0"/>
    <w:pPr>
      <w:topLinePunct w:val="0"/>
      <w:adjustRightInd/>
      <w:snapToGrid/>
    </w:pPr>
    <w:rPr>
      <w:rFonts w:ascii="宋体" w:hAnsi="宋体" w:cs="宋体"/>
      <w:kern w:val="2"/>
    </w:rPr>
  </w:style>
  <w:style w:type="paragraph" w:customStyle="1" w:styleId="1109">
    <w:name w:val="样式 表1.1-1 + 首行缩进:  0.74 厘米"/>
    <w:basedOn w:val="1110"/>
    <w:semiHidden/>
    <w:qFormat/>
    <w:uiPriority w:val="0"/>
    <w:pPr>
      <w:tabs>
        <w:tab w:val="left" w:pos="4660"/>
      </w:tabs>
    </w:pPr>
    <w:rPr>
      <w:bCs w:val="0"/>
      <w:szCs w:val="20"/>
    </w:rPr>
  </w:style>
  <w:style w:type="paragraph" w:customStyle="1" w:styleId="1110">
    <w:name w:val="表1.1-1 Char Char Char Char"/>
    <w:basedOn w:val="917"/>
    <w:qFormat/>
    <w:uiPriority w:val="0"/>
    <w:pPr>
      <w:adjustRightInd w:val="0"/>
      <w:snapToGrid w:val="0"/>
      <w:spacing w:line="240" w:lineRule="auto"/>
      <w:ind w:firstLine="0" w:firstLineChars="0"/>
      <w:jc w:val="center"/>
    </w:pPr>
    <w:rPr>
      <w:rFonts w:ascii="宋体" w:hAnsi="宋体"/>
      <w:bCs/>
      <w:color w:val="auto"/>
    </w:rPr>
  </w:style>
  <w:style w:type="paragraph" w:customStyle="1" w:styleId="1111">
    <w:name w:val="Char Char Char1 Char Char Char Char Char Char Char Char Char Char Char Char Char1"/>
    <w:basedOn w:val="1"/>
    <w:next w:val="1"/>
    <w:qFormat/>
    <w:uiPriority w:val="0"/>
    <w:pPr>
      <w:topLinePunct w:val="0"/>
      <w:adjustRightInd/>
      <w:snapToGrid/>
    </w:pPr>
    <w:rPr>
      <w:rFonts w:ascii="宋体" w:hAnsi="宋体" w:cs="宋体"/>
      <w:kern w:val="2"/>
    </w:rPr>
  </w:style>
  <w:style w:type="paragraph" w:customStyle="1" w:styleId="1112">
    <w:name w:val="新利文字"/>
    <w:basedOn w:val="55"/>
    <w:qFormat/>
    <w:uiPriority w:val="0"/>
    <w:pPr>
      <w:spacing w:beforeLines="25" w:line="440" w:lineRule="exact"/>
      <w:ind w:firstLine="480"/>
    </w:pPr>
    <w:rPr>
      <w:rFonts w:ascii="Calibri" w:hAnsi="Calibri"/>
      <w:sz w:val="24"/>
    </w:rPr>
  </w:style>
  <w:style w:type="paragraph" w:customStyle="1" w:styleId="1113">
    <w:name w:val="Char Char Char1 Char Char Char Char Char Char Char Char Char Char Char Char2"/>
    <w:basedOn w:val="1"/>
    <w:next w:val="1"/>
    <w:qFormat/>
    <w:uiPriority w:val="0"/>
    <w:pPr>
      <w:topLinePunct w:val="0"/>
      <w:adjustRightInd/>
      <w:snapToGrid/>
    </w:pPr>
    <w:rPr>
      <w:rFonts w:ascii="宋体" w:hAnsi="宋体" w:cs="宋体"/>
      <w:kern w:val="2"/>
    </w:rPr>
  </w:style>
  <w:style w:type="paragraph" w:customStyle="1" w:styleId="1114">
    <w:name w:val="左权正文"/>
    <w:basedOn w:val="1"/>
    <w:qFormat/>
    <w:uiPriority w:val="0"/>
    <w:pPr>
      <w:topLinePunct w:val="0"/>
      <w:spacing w:beforeLines="25" w:line="440" w:lineRule="exact"/>
      <w:ind w:firstLine="480"/>
    </w:pPr>
    <w:rPr>
      <w:rFonts w:ascii="Calibri" w:hAnsi="Calibri"/>
      <w:color w:val="000000"/>
      <w:kern w:val="32"/>
    </w:rPr>
  </w:style>
  <w:style w:type="paragraph" w:customStyle="1" w:styleId="1115">
    <w:name w:val="样式 (中文) 黑体 左 行距: 固定值 24 磅"/>
    <w:basedOn w:val="1"/>
    <w:qFormat/>
    <w:uiPriority w:val="0"/>
    <w:pPr>
      <w:topLinePunct w:val="0"/>
      <w:adjustRightInd/>
      <w:snapToGrid/>
      <w:spacing w:line="480" w:lineRule="exact"/>
      <w:ind w:firstLine="0" w:firstLineChars="0"/>
      <w:jc w:val="left"/>
      <w:outlineLvl w:val="2"/>
    </w:pPr>
    <w:rPr>
      <w:rFonts w:ascii="黑体" w:hAnsi="Calibri" w:eastAsia="黑体" w:cs="宋体"/>
      <w:kern w:val="2"/>
      <w:szCs w:val="20"/>
    </w:rPr>
  </w:style>
  <w:style w:type="paragraph" w:customStyle="1" w:styleId="1116">
    <w:name w:val="Char Char Char1 Char Char Char Char1"/>
    <w:basedOn w:val="1"/>
    <w:next w:val="1"/>
    <w:qFormat/>
    <w:uiPriority w:val="0"/>
    <w:pPr>
      <w:topLinePunct w:val="0"/>
      <w:adjustRightInd/>
      <w:snapToGrid/>
    </w:pPr>
    <w:rPr>
      <w:rFonts w:ascii="宋体" w:hAnsi="宋体" w:cs="宋体"/>
      <w:kern w:val="2"/>
    </w:rPr>
  </w:style>
  <w:style w:type="paragraph" w:customStyle="1" w:styleId="1117">
    <w:name w:val="热电厂正文"/>
    <w:basedOn w:val="1"/>
    <w:qFormat/>
    <w:uiPriority w:val="0"/>
    <w:pPr>
      <w:topLinePunct w:val="0"/>
      <w:adjustRightInd/>
      <w:snapToGrid/>
      <w:spacing w:line="440" w:lineRule="exact"/>
      <w:ind w:firstLine="480"/>
    </w:pPr>
    <w:rPr>
      <w:rFonts w:ascii="Calibri" w:hAnsi="Calibri"/>
      <w:kern w:val="2"/>
    </w:rPr>
  </w:style>
  <w:style w:type="paragraph" w:customStyle="1" w:styleId="1118">
    <w:name w:val="表格新唐"/>
    <w:basedOn w:val="1"/>
    <w:qFormat/>
    <w:uiPriority w:val="0"/>
    <w:pPr>
      <w:topLinePunct w:val="0"/>
      <w:adjustRightInd/>
      <w:snapToGrid/>
      <w:spacing w:line="320" w:lineRule="exact"/>
      <w:ind w:firstLine="0" w:firstLineChars="0"/>
      <w:jc w:val="center"/>
    </w:pPr>
    <w:rPr>
      <w:rFonts w:ascii="Calibri" w:hAnsi="Calibri"/>
      <w:color w:val="0000FF"/>
      <w:kern w:val="2"/>
      <w:sz w:val="21"/>
      <w:szCs w:val="21"/>
    </w:rPr>
  </w:style>
  <w:style w:type="paragraph" w:customStyle="1" w:styleId="1119">
    <w:name w:val="标题1+"/>
    <w:basedOn w:val="5"/>
    <w:qFormat/>
    <w:uiPriority w:val="0"/>
    <w:pPr>
      <w:pageBreakBefore w:val="0"/>
      <w:tabs>
        <w:tab w:val="clear" w:pos="432"/>
      </w:tabs>
      <w:topLinePunct w:val="0"/>
      <w:adjustRightInd/>
      <w:snapToGrid/>
      <w:spacing w:before="340" w:after="330" w:line="576" w:lineRule="auto"/>
      <w:jc w:val="both"/>
    </w:pPr>
    <w:rPr>
      <w:rFonts w:ascii="Calibri" w:hAnsi="Calibri" w:eastAsia="黑体"/>
      <w:b w:val="0"/>
      <w:kern w:val="44"/>
      <w:sz w:val="36"/>
      <w:szCs w:val="44"/>
    </w:rPr>
  </w:style>
  <w:style w:type="paragraph" w:customStyle="1" w:styleId="1120">
    <w:name w:val="列表2"/>
    <w:basedOn w:val="70"/>
    <w:qFormat/>
    <w:uiPriority w:val="0"/>
    <w:pPr>
      <w:autoSpaceDE w:val="0"/>
      <w:autoSpaceDN w:val="0"/>
      <w:spacing w:beforeLines="50" w:line="440" w:lineRule="exact"/>
      <w:ind w:firstLine="482" w:firstLineChars="200"/>
      <w:jc w:val="both"/>
    </w:pPr>
    <w:rPr>
      <w:rFonts w:ascii="Calibri" w:hAnsi="Calibri"/>
      <w:b/>
      <w:bCs/>
      <w:kern w:val="0"/>
      <w:szCs w:val="20"/>
    </w:rPr>
  </w:style>
  <w:style w:type="paragraph" w:customStyle="1" w:styleId="1121">
    <w:name w:val="编号文字"/>
    <w:basedOn w:val="1"/>
    <w:qFormat/>
    <w:uiPriority w:val="0"/>
    <w:pPr>
      <w:topLinePunct w:val="0"/>
      <w:adjustRightInd/>
      <w:spacing w:line="440" w:lineRule="exact"/>
      <w:ind w:firstLine="0" w:firstLineChars="0"/>
    </w:pPr>
    <w:rPr>
      <w:rFonts w:ascii="Calibri" w:hAnsi="Calibri"/>
      <w:szCs w:val="20"/>
    </w:rPr>
  </w:style>
  <w:style w:type="paragraph" w:customStyle="1" w:styleId="1122">
    <w:name w:val="TOC 标题4"/>
    <w:basedOn w:val="5"/>
    <w:next w:val="1"/>
    <w:qFormat/>
    <w:uiPriority w:val="39"/>
    <w:pPr>
      <w:pageBreakBefore w:val="0"/>
      <w:tabs>
        <w:tab w:val="clear" w:pos="432"/>
      </w:tabs>
      <w:topLinePunct w:val="0"/>
      <w:adjustRightInd/>
      <w:snapToGrid/>
      <w:spacing w:before="340" w:after="330" w:line="576" w:lineRule="auto"/>
      <w:jc w:val="both"/>
      <w:outlineLvl w:val="9"/>
    </w:pPr>
    <w:rPr>
      <w:rFonts w:ascii="Calibri" w:hAnsi="Calibri"/>
      <w:kern w:val="44"/>
      <w:sz w:val="44"/>
      <w:szCs w:val="44"/>
    </w:rPr>
  </w:style>
  <w:style w:type="paragraph" w:customStyle="1" w:styleId="1123">
    <w:name w:val="样式 目录 3 + 左侧:  4 字符"/>
    <w:basedOn w:val="48"/>
    <w:semiHidden/>
    <w:qFormat/>
    <w:uiPriority w:val="0"/>
    <w:pPr>
      <w:tabs>
        <w:tab w:val="clear" w:pos="1080"/>
        <w:tab w:val="clear" w:pos="8280"/>
      </w:tabs>
      <w:topLinePunct w:val="0"/>
      <w:adjustRightInd/>
      <w:snapToGrid/>
      <w:ind w:left="420" w:leftChars="0" w:firstLine="200"/>
    </w:pPr>
    <w:rPr>
      <w:rFonts w:ascii="Calibri" w:hAnsi="Calibri" w:eastAsia="黑体" w:cs="宋体"/>
      <w:i/>
      <w:spacing w:val="10"/>
      <w:kern w:val="2"/>
      <w:sz w:val="20"/>
      <w:szCs w:val="20"/>
    </w:rPr>
  </w:style>
  <w:style w:type="paragraph" w:customStyle="1" w:styleId="1124">
    <w:name w:val="样式 非加宽量 / 紧缩量  行距: 固定值 24 磅"/>
    <w:basedOn w:val="1"/>
    <w:qFormat/>
    <w:uiPriority w:val="0"/>
    <w:pPr>
      <w:topLinePunct w:val="0"/>
      <w:adjustRightInd/>
      <w:snapToGrid/>
      <w:spacing w:line="480" w:lineRule="exact"/>
      <w:ind w:firstLine="480"/>
    </w:pPr>
    <w:rPr>
      <w:rFonts w:ascii="宋体" w:hAnsi="Calibri" w:cs="宋体"/>
      <w:kern w:val="2"/>
      <w:szCs w:val="20"/>
    </w:rPr>
  </w:style>
  <w:style w:type="paragraph" w:customStyle="1" w:styleId="1125">
    <w:name w:val="6"/>
    <w:basedOn w:val="1"/>
    <w:next w:val="49"/>
    <w:qFormat/>
    <w:uiPriority w:val="0"/>
    <w:pPr>
      <w:topLinePunct w:val="0"/>
      <w:adjustRightInd/>
      <w:snapToGrid/>
      <w:spacing w:line="240" w:lineRule="auto"/>
      <w:ind w:firstLine="0" w:firstLineChars="0"/>
    </w:pPr>
    <w:rPr>
      <w:rFonts w:ascii="宋体" w:hAnsi="Courier New" w:cs="Courier New"/>
      <w:kern w:val="2"/>
      <w:sz w:val="21"/>
      <w:szCs w:val="21"/>
    </w:rPr>
  </w:style>
  <w:style w:type="paragraph" w:customStyle="1" w:styleId="1126">
    <w:name w:val="正文1 Char1"/>
    <w:basedOn w:val="1"/>
    <w:qFormat/>
    <w:uiPriority w:val="0"/>
    <w:pPr>
      <w:widowControl/>
      <w:tabs>
        <w:tab w:val="left" w:pos="4660"/>
      </w:tabs>
      <w:topLinePunct w:val="0"/>
      <w:adjustRightInd/>
      <w:snapToGrid/>
      <w:spacing w:line="240" w:lineRule="auto"/>
      <w:ind w:firstLine="480"/>
      <w:jc w:val="left"/>
    </w:pPr>
    <w:rPr>
      <w:rFonts w:ascii="Arial Narrow" w:hAnsi="Arial Narrow" w:cs="宋体"/>
      <w:kern w:val="2"/>
    </w:rPr>
  </w:style>
  <w:style w:type="paragraph" w:customStyle="1" w:styleId="1127">
    <w:name w:val="样式 正文文本缩进 2 + 首行缩进:  2 字符"/>
    <w:basedOn w:val="55"/>
    <w:qFormat/>
    <w:uiPriority w:val="0"/>
    <w:pPr>
      <w:adjustRightInd w:val="0"/>
      <w:snapToGrid w:val="0"/>
      <w:spacing w:line="300" w:lineRule="auto"/>
      <w:ind w:firstLine="555" w:firstLineChars="0"/>
    </w:pPr>
    <w:rPr>
      <w:rFonts w:ascii="仿宋_GB2312" w:hAnsi="宋体" w:eastAsia="仿宋_GB2312"/>
      <w:b/>
      <w:bCs/>
      <w:szCs w:val="28"/>
      <w:lang w:val="zh-CN"/>
    </w:rPr>
  </w:style>
  <w:style w:type="paragraph" w:customStyle="1" w:styleId="1128">
    <w:name w:val="样式 题注 + (西文) Times New Roman (中文) 宋体 小四 加粗 黑色 Char"/>
    <w:basedOn w:val="25"/>
    <w:qFormat/>
    <w:uiPriority w:val="0"/>
    <w:pPr>
      <w:keepNext w:val="0"/>
      <w:widowControl w:val="0"/>
      <w:topLinePunct w:val="0"/>
      <w:snapToGrid/>
      <w:spacing w:before="152" w:beforeLines="100"/>
      <w:textAlignment w:val="baseline"/>
    </w:pPr>
    <w:rPr>
      <w:rFonts w:ascii="Times New Roman" w:hAnsi="Times New Roman" w:eastAsia="宋体" w:cs="Arial"/>
      <w:bCs/>
      <w:color w:val="000000"/>
      <w:sz w:val="24"/>
      <w:szCs w:val="24"/>
    </w:rPr>
  </w:style>
  <w:style w:type="paragraph" w:customStyle="1" w:styleId="1129">
    <w:name w:val="表内容小5"/>
    <w:basedOn w:val="221"/>
    <w:qFormat/>
    <w:uiPriority w:val="0"/>
    <w:pPr>
      <w:widowControl/>
      <w:tabs>
        <w:tab w:val="left" w:pos="4660"/>
      </w:tabs>
      <w:snapToGrid w:val="0"/>
      <w:spacing w:line="240" w:lineRule="atLeast"/>
      <w:ind w:left="-105" w:leftChars="-56" w:right="-107" w:rightChars="-51" w:hanging="13" w:hangingChars="6"/>
    </w:pPr>
    <w:rPr>
      <w:b/>
      <w:bCs/>
      <w:sz w:val="18"/>
      <w:szCs w:val="18"/>
    </w:rPr>
  </w:style>
  <w:style w:type="paragraph" w:customStyle="1" w:styleId="1130">
    <w:name w:val="二级标题 Char Char Char Char Char"/>
    <w:basedOn w:val="1"/>
    <w:next w:val="1"/>
    <w:qFormat/>
    <w:uiPriority w:val="0"/>
    <w:pPr>
      <w:topLinePunct w:val="0"/>
      <w:adjustRightInd/>
      <w:snapToGrid/>
      <w:spacing w:beforeLines="100" w:afterLines="100" w:line="240" w:lineRule="auto"/>
    </w:pPr>
    <w:rPr>
      <w:rFonts w:ascii="宋体" w:hAnsi="宋体" w:cs="宋体"/>
      <w:kern w:val="2"/>
    </w:rPr>
  </w:style>
  <w:style w:type="paragraph" w:customStyle="1" w:styleId="1131">
    <w:name w:val="表格文字 单倍"/>
    <w:basedOn w:val="1"/>
    <w:qFormat/>
    <w:uiPriority w:val="0"/>
    <w:pPr>
      <w:topLinePunct w:val="0"/>
      <w:spacing w:line="240" w:lineRule="auto"/>
      <w:ind w:firstLine="0" w:firstLineChars="0"/>
      <w:textAlignment w:val="baseline"/>
    </w:pPr>
    <w:rPr>
      <w:rFonts w:ascii="Calibri" w:hAnsi="Calibri" w:cs="宋体"/>
      <w:color w:val="000000"/>
      <w:sz w:val="21"/>
      <w:szCs w:val="21"/>
    </w:rPr>
  </w:style>
  <w:style w:type="paragraph" w:customStyle="1" w:styleId="1132">
    <w:name w:val="Char5"/>
    <w:basedOn w:val="1"/>
    <w:next w:val="1"/>
    <w:qFormat/>
    <w:uiPriority w:val="0"/>
    <w:pPr>
      <w:widowControl/>
      <w:topLinePunct w:val="0"/>
      <w:adjustRightInd/>
      <w:snapToGrid/>
      <w:jc w:val="left"/>
    </w:pPr>
    <w:rPr>
      <w:rFonts w:ascii="宋体" w:hAnsi="宋体" w:cs="宋体"/>
      <w:szCs w:val="20"/>
    </w:rPr>
  </w:style>
  <w:style w:type="paragraph" w:customStyle="1" w:styleId="1133">
    <w:name w:val="正文表格"/>
    <w:basedOn w:val="1"/>
    <w:qFormat/>
    <w:uiPriority w:val="0"/>
    <w:pPr>
      <w:keepNext/>
      <w:keepLines/>
      <w:topLinePunct w:val="0"/>
      <w:adjustRightInd/>
      <w:snapToGrid/>
      <w:spacing w:before="80" w:line="240" w:lineRule="auto"/>
      <w:ind w:firstLine="0" w:firstLineChars="0"/>
      <w:jc w:val="center"/>
      <w:textAlignment w:val="bottom"/>
    </w:pPr>
    <w:rPr>
      <w:rFonts w:ascii="Calibri" w:hAnsi="Calibri"/>
      <w:kern w:val="2"/>
      <w:sz w:val="21"/>
    </w:rPr>
  </w:style>
  <w:style w:type="paragraph" w:customStyle="1" w:styleId="1134">
    <w:name w:val="样式 列表 2 + 华文仿宋 居中"/>
    <w:basedOn w:val="41"/>
    <w:qFormat/>
    <w:uiPriority w:val="0"/>
    <w:pPr>
      <w:topLinePunct w:val="0"/>
      <w:adjustRightInd/>
      <w:snapToGrid/>
      <w:spacing w:line="240" w:lineRule="auto"/>
      <w:ind w:left="0" w:leftChars="0" w:firstLine="0" w:firstLineChars="0"/>
      <w:contextualSpacing w:val="0"/>
      <w:jc w:val="center"/>
    </w:pPr>
    <w:rPr>
      <w:rFonts w:ascii="Calibri" w:hAnsi="宋体"/>
      <w:kern w:val="2"/>
      <w:sz w:val="21"/>
      <w:szCs w:val="21"/>
    </w:rPr>
  </w:style>
  <w:style w:type="paragraph" w:customStyle="1" w:styleId="1135">
    <w:name w:val="Char6"/>
    <w:basedOn w:val="1"/>
    <w:qFormat/>
    <w:uiPriority w:val="0"/>
    <w:pPr>
      <w:topLinePunct w:val="0"/>
      <w:adjustRightInd/>
      <w:snapToGrid/>
      <w:spacing w:line="240" w:lineRule="auto"/>
      <w:ind w:firstLine="0" w:firstLineChars="0"/>
    </w:pPr>
    <w:rPr>
      <w:rFonts w:ascii="Calibri" w:hAnsi="Calibri"/>
      <w:kern w:val="2"/>
      <w:sz w:val="21"/>
      <w:szCs w:val="20"/>
    </w:rPr>
  </w:style>
  <w:style w:type="paragraph" w:customStyle="1" w:styleId="1136">
    <w:name w:val="我的标题3"/>
    <w:basedOn w:val="7"/>
    <w:qFormat/>
    <w:uiPriority w:val="0"/>
    <w:pPr>
      <w:keepNext w:val="0"/>
      <w:kinsoku/>
      <w:overflowPunct/>
      <w:topLinePunct w:val="0"/>
      <w:autoSpaceDE/>
      <w:autoSpaceDN/>
      <w:spacing w:before="60" w:after="60" w:line="460" w:lineRule="exact"/>
      <w:jc w:val="both"/>
    </w:pPr>
    <w:rPr>
      <w:rFonts w:ascii="宋体" w:hAnsi="宋体" w:eastAsia="黑体"/>
      <w:b w:val="0"/>
      <w:kern w:val="10"/>
      <w:sz w:val="28"/>
      <w:szCs w:val="20"/>
    </w:rPr>
  </w:style>
  <w:style w:type="paragraph" w:customStyle="1" w:styleId="1137">
    <w:name w:val="样式 黑体 小四 加粗 左侧:  0.85 厘米 行距: 固定值 28 磅"/>
    <w:basedOn w:val="1"/>
    <w:qFormat/>
    <w:uiPriority w:val="0"/>
    <w:pPr>
      <w:topLinePunct w:val="0"/>
      <w:adjustRightInd/>
      <w:snapToGrid/>
      <w:spacing w:line="560" w:lineRule="exact"/>
      <w:ind w:left="480" w:firstLine="0" w:firstLineChars="0"/>
    </w:pPr>
    <w:rPr>
      <w:rFonts w:ascii="黑体" w:hAnsi="Calibri" w:eastAsia="黑体" w:cs="宋体"/>
      <w:b/>
      <w:bCs/>
      <w:kern w:val="2"/>
      <w:szCs w:val="20"/>
    </w:rPr>
  </w:style>
  <w:style w:type="paragraph" w:customStyle="1" w:styleId="1138">
    <w:name w:val="四级条标题"/>
    <w:basedOn w:val="1139"/>
    <w:next w:val="1"/>
    <w:qFormat/>
    <w:uiPriority w:val="0"/>
    <w:pPr>
      <w:tabs>
        <w:tab w:val="left" w:pos="360"/>
        <w:tab w:val="left" w:pos="903"/>
        <w:tab w:val="left" w:pos="960"/>
      </w:tabs>
      <w:outlineLvl w:val="5"/>
    </w:pPr>
  </w:style>
  <w:style w:type="paragraph" w:customStyle="1" w:styleId="1139">
    <w:name w:val="三级条标题"/>
    <w:basedOn w:val="1105"/>
    <w:next w:val="1"/>
    <w:qFormat/>
    <w:uiPriority w:val="0"/>
    <w:pPr>
      <w:tabs>
        <w:tab w:val="left" w:pos="960"/>
        <w:tab w:val="clear" w:pos="360"/>
      </w:tabs>
      <w:ind w:left="960" w:hanging="960"/>
      <w:outlineLvl w:val="4"/>
    </w:pPr>
  </w:style>
  <w:style w:type="paragraph" w:customStyle="1" w:styleId="1140">
    <w:name w:val="Char Char Char1 Char Char Char2 Char Char Char Char Char Char Char Char Char Char1"/>
    <w:basedOn w:val="1"/>
    <w:next w:val="1"/>
    <w:qFormat/>
    <w:uiPriority w:val="0"/>
    <w:pPr>
      <w:topLinePunct w:val="0"/>
      <w:adjustRightInd/>
      <w:snapToGrid/>
    </w:pPr>
    <w:rPr>
      <w:rFonts w:ascii="宋体" w:hAnsi="宋体" w:cs="宋体"/>
      <w:kern w:val="2"/>
    </w:rPr>
  </w:style>
  <w:style w:type="paragraph" w:customStyle="1" w:styleId="1141">
    <w:name w:val="Char Char Char Char Char Char Char Char Char Char Char"/>
    <w:basedOn w:val="1"/>
    <w:next w:val="1"/>
    <w:qFormat/>
    <w:uiPriority w:val="0"/>
    <w:pPr>
      <w:topLinePunct w:val="0"/>
      <w:adjustRightInd/>
      <w:snapToGrid/>
    </w:pPr>
    <w:rPr>
      <w:rFonts w:ascii="宋体" w:hAnsi="宋体" w:cs="宋体"/>
      <w:kern w:val="2"/>
    </w:rPr>
  </w:style>
  <w:style w:type="paragraph" w:customStyle="1" w:styleId="1142">
    <w:name w:val="正文 1"/>
    <w:basedOn w:val="1"/>
    <w:qFormat/>
    <w:uiPriority w:val="0"/>
    <w:pPr>
      <w:topLinePunct w:val="0"/>
      <w:adjustRightInd/>
      <w:snapToGrid/>
      <w:spacing w:line="480" w:lineRule="exact"/>
      <w:ind w:firstLine="567" w:firstLineChars="0"/>
    </w:pPr>
    <w:rPr>
      <w:rFonts w:ascii="Calibri" w:hAnsi="Calibri"/>
      <w:kern w:val="2"/>
      <w:sz w:val="28"/>
      <w:szCs w:val="20"/>
    </w:rPr>
  </w:style>
  <w:style w:type="paragraph" w:customStyle="1" w:styleId="1143">
    <w:name w:val="封面标准文稿编辑信息"/>
    <w:qFormat/>
    <w:uiPriority w:val="0"/>
    <w:pPr>
      <w:spacing w:before="180" w:line="180" w:lineRule="exact"/>
      <w:jc w:val="center"/>
    </w:pPr>
    <w:rPr>
      <w:rFonts w:ascii="宋体" w:hAnsi="Calibri" w:eastAsia="宋体" w:cs="Times New Roman"/>
      <w:sz w:val="21"/>
      <w:lang w:val="en-US" w:eastAsia="zh-CN" w:bidi="ar-SA"/>
    </w:rPr>
  </w:style>
  <w:style w:type="paragraph" w:customStyle="1" w:styleId="1144">
    <w:name w:val="Char Char Char1 Char Char Char Char Char Char Char Char Char Char Char Char Char Char Char Char Char Char Char Char Char Char2"/>
    <w:basedOn w:val="1"/>
    <w:next w:val="1"/>
    <w:qFormat/>
    <w:uiPriority w:val="0"/>
    <w:pPr>
      <w:topLinePunct w:val="0"/>
      <w:adjustRightInd/>
      <w:snapToGrid/>
    </w:pPr>
    <w:rPr>
      <w:rFonts w:ascii="宋体" w:hAnsi="宋体" w:cs="宋体"/>
      <w:kern w:val="2"/>
    </w:rPr>
  </w:style>
  <w:style w:type="paragraph" w:customStyle="1" w:styleId="1145">
    <w:name w:val="xl60"/>
    <w:basedOn w:val="1"/>
    <w:semiHidden/>
    <w:qFormat/>
    <w:uiPriority w:val="0"/>
    <w:pPr>
      <w:widowControl/>
      <w:pBdr>
        <w:left w:val="single" w:color="auto" w:sz="4" w:space="0"/>
        <w:bottom w:val="single" w:color="auto" w:sz="4" w:space="0"/>
        <w:right w:val="single" w:color="auto" w:sz="4" w:space="0"/>
      </w:pBdr>
      <w:topLinePunct w:val="0"/>
      <w:adjustRightInd/>
      <w:snapToGrid/>
      <w:spacing w:before="100" w:beforeAutospacing="1" w:after="100" w:afterAutospacing="1" w:line="240" w:lineRule="auto"/>
      <w:ind w:firstLine="0" w:firstLineChars="0"/>
      <w:jc w:val="center"/>
      <w:textAlignment w:val="center"/>
    </w:pPr>
    <w:rPr>
      <w:rFonts w:ascii="宋体" w:hAnsi="宋体"/>
      <w:sz w:val="22"/>
      <w:szCs w:val="22"/>
    </w:rPr>
  </w:style>
  <w:style w:type="paragraph" w:customStyle="1" w:styleId="1146">
    <w:name w:val="宏福4"/>
    <w:basedOn w:val="1147"/>
    <w:qFormat/>
    <w:uiPriority w:val="0"/>
    <w:pPr>
      <w:spacing w:before="0"/>
    </w:pPr>
  </w:style>
  <w:style w:type="paragraph" w:customStyle="1" w:styleId="1147">
    <w:name w:val="宏福正文-2"/>
    <w:basedOn w:val="90"/>
    <w:qFormat/>
    <w:uiPriority w:val="0"/>
    <w:pPr>
      <w:topLinePunct w:val="0"/>
      <w:adjustRightInd/>
      <w:spacing w:before="240" w:after="0" w:line="400" w:lineRule="atLeast"/>
      <w:ind w:firstLine="567" w:firstLineChars="0"/>
    </w:pPr>
    <w:rPr>
      <w:rFonts w:ascii="Calibri" w:hAnsi="Calibri"/>
      <w:kern w:val="2"/>
      <w:sz w:val="28"/>
      <w:szCs w:val="20"/>
    </w:rPr>
  </w:style>
  <w:style w:type="paragraph" w:customStyle="1" w:styleId="1148">
    <w:name w:val="Char Char Char1 Char Char Char Char Char Char Char Char Char Char Char Char Char Char Char1 Char Char Char Char"/>
    <w:basedOn w:val="1"/>
    <w:next w:val="1"/>
    <w:qFormat/>
    <w:uiPriority w:val="0"/>
    <w:pPr>
      <w:topLinePunct w:val="0"/>
      <w:adjustRightInd/>
      <w:snapToGrid/>
    </w:pPr>
    <w:rPr>
      <w:rFonts w:ascii="宋体" w:hAnsi="宋体" w:cs="宋体"/>
      <w:kern w:val="2"/>
    </w:rPr>
  </w:style>
  <w:style w:type="paragraph" w:customStyle="1" w:styleId="1149">
    <w:name w:val="xl59"/>
    <w:basedOn w:val="1"/>
    <w:semiHidden/>
    <w:qFormat/>
    <w:uiPriority w:val="0"/>
    <w:pPr>
      <w:widowControl/>
      <w:pBdr>
        <w:top w:val="single" w:color="auto" w:sz="4" w:space="0"/>
        <w:left w:val="single" w:color="auto" w:sz="4" w:space="0"/>
        <w:right w:val="single" w:color="auto" w:sz="4" w:space="0"/>
      </w:pBdr>
      <w:topLinePunct w:val="0"/>
      <w:adjustRightInd/>
      <w:snapToGrid/>
      <w:spacing w:before="100" w:beforeAutospacing="1" w:after="100" w:afterAutospacing="1" w:line="240" w:lineRule="auto"/>
      <w:ind w:firstLine="0" w:firstLineChars="0"/>
      <w:jc w:val="center"/>
      <w:textAlignment w:val="center"/>
    </w:pPr>
    <w:rPr>
      <w:rFonts w:ascii="宋体" w:hAnsi="宋体"/>
      <w:sz w:val="22"/>
      <w:szCs w:val="22"/>
    </w:rPr>
  </w:style>
  <w:style w:type="paragraph" w:customStyle="1" w:styleId="1150">
    <w:name w:val="2.1.1"/>
    <w:basedOn w:val="1"/>
    <w:qFormat/>
    <w:uiPriority w:val="0"/>
    <w:pPr>
      <w:topLinePunct w:val="0"/>
      <w:adjustRightInd/>
      <w:snapToGrid/>
      <w:spacing w:line="240" w:lineRule="auto"/>
      <w:ind w:firstLine="0" w:firstLineChars="0"/>
    </w:pPr>
    <w:rPr>
      <w:rFonts w:ascii="Calibri" w:hAnsi="Calibri"/>
      <w:kern w:val="2"/>
      <w:szCs w:val="20"/>
    </w:rPr>
  </w:style>
  <w:style w:type="paragraph" w:customStyle="1" w:styleId="1151">
    <w:name w:val="正文小四"/>
    <w:basedOn w:val="1"/>
    <w:qFormat/>
    <w:uiPriority w:val="0"/>
    <w:pPr>
      <w:topLinePunct w:val="0"/>
      <w:adjustRightInd/>
      <w:snapToGrid/>
      <w:spacing w:line="500" w:lineRule="exact"/>
    </w:pPr>
    <w:rPr>
      <w:rFonts w:ascii="Calibri" w:hAnsi="Calibri"/>
      <w:kern w:val="2"/>
    </w:rPr>
  </w:style>
  <w:style w:type="paragraph" w:customStyle="1" w:styleId="1152">
    <w:name w:val="Char Char Char Char Char Char Char Char Char Char Char Char Char2"/>
    <w:basedOn w:val="1"/>
    <w:qFormat/>
    <w:uiPriority w:val="0"/>
    <w:pPr>
      <w:topLinePunct w:val="0"/>
      <w:adjustRightInd/>
      <w:snapToGrid/>
      <w:ind w:firstLine="0" w:firstLineChars="0"/>
    </w:pPr>
    <w:rPr>
      <w:rFonts w:hint="eastAsia" w:ascii="Calibri" w:hAnsi="Calibri" w:eastAsia="Times New Roman"/>
      <w:kern w:val="2"/>
      <w:sz w:val="21"/>
      <w:szCs w:val="20"/>
    </w:rPr>
  </w:style>
  <w:style w:type="paragraph" w:customStyle="1" w:styleId="1153">
    <w:name w:val="444"/>
    <w:basedOn w:val="9"/>
    <w:qFormat/>
    <w:uiPriority w:val="0"/>
    <w:pPr>
      <w:spacing w:line="460" w:lineRule="exact"/>
      <w:ind w:firstLine="480"/>
      <w:jc w:val="both"/>
    </w:pPr>
    <w:rPr>
      <w:rFonts w:ascii="Calibri" w:hAnsi="宋体"/>
    </w:rPr>
  </w:style>
  <w:style w:type="paragraph" w:customStyle="1" w:styleId="1154">
    <w:name w:val="Char Char Char1 Char Char Char Char Char Char Char Char Char Char Char Char Char Char Char Char1"/>
    <w:basedOn w:val="1"/>
    <w:next w:val="1"/>
    <w:qFormat/>
    <w:uiPriority w:val="0"/>
    <w:pPr>
      <w:topLinePunct w:val="0"/>
      <w:adjustRightInd/>
      <w:snapToGrid/>
    </w:pPr>
    <w:rPr>
      <w:rFonts w:ascii="宋体" w:hAnsi="宋体" w:cs="宋体"/>
      <w:kern w:val="2"/>
    </w:rPr>
  </w:style>
  <w:style w:type="paragraph" w:customStyle="1" w:styleId="1155">
    <w:name w:val="样式 表内容1 + 首行缩进:  2 字符3"/>
    <w:basedOn w:val="1098"/>
    <w:semiHidden/>
    <w:qFormat/>
    <w:uiPriority w:val="0"/>
    <w:pPr>
      <w:ind w:firstLineChars="0"/>
    </w:pPr>
    <w:rPr>
      <w:szCs w:val="20"/>
    </w:rPr>
  </w:style>
  <w:style w:type="paragraph" w:customStyle="1" w:styleId="1156">
    <w:name w:val="样式 目录 2 + 左侧:  0.37 字符"/>
    <w:basedOn w:val="78"/>
    <w:semiHidden/>
    <w:qFormat/>
    <w:uiPriority w:val="0"/>
    <w:pPr>
      <w:tabs>
        <w:tab w:val="right" w:leader="dot" w:pos="9061"/>
      </w:tabs>
      <w:topLinePunct w:val="0"/>
      <w:adjustRightInd/>
      <w:snapToGrid/>
      <w:spacing w:line="500" w:lineRule="exact"/>
      <w:ind w:left="78" w:leftChars="37" w:firstLine="902"/>
    </w:pPr>
    <w:rPr>
      <w:rFonts w:ascii="宋体" w:hAnsi="宋体" w:eastAsia="黑体" w:cs="宋体"/>
      <w:b/>
      <w:bCs/>
      <w:smallCaps/>
      <w:spacing w:val="10"/>
      <w:szCs w:val="20"/>
    </w:rPr>
  </w:style>
  <w:style w:type="paragraph" w:customStyle="1" w:styleId="1157">
    <w:name w:val="样式 正文(首行缩进) + 首行缩进:  2 字符"/>
    <w:basedOn w:val="548"/>
    <w:qFormat/>
    <w:uiPriority w:val="0"/>
    <w:pPr>
      <w:ind w:firstLine="480" w:firstLineChars="200"/>
    </w:pPr>
    <w:rPr>
      <w:rFonts w:ascii="Calibri" w:hAnsi="Calibri" w:cs="宋体"/>
      <w:snapToGrid w:val="0"/>
      <w:color w:val="000000"/>
      <w:szCs w:val="20"/>
    </w:rPr>
  </w:style>
  <w:style w:type="paragraph" w:customStyle="1" w:styleId="1158">
    <w:name w:val="表头文字"/>
    <w:next w:val="1"/>
    <w:qFormat/>
    <w:uiPriority w:val="0"/>
    <w:pPr>
      <w:spacing w:beforeLines="50"/>
      <w:jc w:val="center"/>
    </w:pPr>
    <w:rPr>
      <w:rFonts w:ascii="黑体" w:hAnsi="Calibri" w:eastAsia="黑体" w:cs="Times New Roman"/>
      <w:kern w:val="2"/>
      <w:sz w:val="21"/>
      <w:szCs w:val="22"/>
      <w:lang w:val="en-US" w:eastAsia="zh-CN" w:bidi="ar-SA"/>
    </w:rPr>
  </w:style>
  <w:style w:type="paragraph" w:customStyle="1" w:styleId="1159">
    <w:name w:val="样式 标题 2 + 段前: 5 磅 段后: 3 磅 行距: 单倍行距1"/>
    <w:basedOn w:val="6"/>
    <w:qFormat/>
    <w:uiPriority w:val="0"/>
    <w:pPr>
      <w:topLinePunct w:val="0"/>
      <w:adjustRightInd/>
      <w:snapToGrid/>
      <w:spacing w:before="120" w:after="120" w:line="240" w:lineRule="auto"/>
      <w:jc w:val="both"/>
    </w:pPr>
    <w:rPr>
      <w:rFonts w:ascii="Arial" w:hAnsi="Arial" w:cs="宋体"/>
      <w:kern w:val="2"/>
      <w:sz w:val="32"/>
      <w:szCs w:val="32"/>
    </w:rPr>
  </w:style>
  <w:style w:type="paragraph" w:customStyle="1" w:styleId="1160">
    <w:name w:val="Char Char Char Char Char Char Char Char Char Char Char Char"/>
    <w:basedOn w:val="1"/>
    <w:qFormat/>
    <w:uiPriority w:val="0"/>
    <w:pPr>
      <w:topLinePunct w:val="0"/>
      <w:adjustRightInd/>
      <w:snapToGrid/>
      <w:spacing w:line="560" w:lineRule="exact"/>
    </w:pPr>
    <w:rPr>
      <w:rFonts w:ascii="宋体" w:hAnsi="宋体" w:cs="宋体"/>
      <w:kern w:val="2"/>
      <w:sz w:val="28"/>
      <w:szCs w:val="28"/>
    </w:rPr>
  </w:style>
  <w:style w:type="paragraph" w:customStyle="1" w:styleId="1161">
    <w:name w:val="Char1 Char Char Char1"/>
    <w:basedOn w:val="1"/>
    <w:qFormat/>
    <w:uiPriority w:val="0"/>
    <w:pPr>
      <w:topLinePunct w:val="0"/>
      <w:adjustRightInd/>
      <w:ind w:firstLine="529"/>
    </w:pPr>
    <w:rPr>
      <w:rFonts w:hint="eastAsia" w:ascii="Calibri" w:hAnsi="Calibri" w:eastAsia="Times New Roman"/>
      <w:kern w:val="2"/>
      <w:sz w:val="21"/>
      <w:szCs w:val="20"/>
    </w:rPr>
  </w:style>
  <w:style w:type="paragraph" w:customStyle="1" w:styleId="1162">
    <w:name w:val="小节标题"/>
    <w:basedOn w:val="1"/>
    <w:next w:val="1"/>
    <w:qFormat/>
    <w:uiPriority w:val="0"/>
    <w:pPr>
      <w:widowControl/>
      <w:topLinePunct w:val="0"/>
      <w:adjustRightInd/>
      <w:snapToGrid/>
      <w:spacing w:before="175" w:after="102" w:line="351" w:lineRule="atLeast"/>
      <w:ind w:firstLine="0" w:firstLineChars="0"/>
      <w:textAlignment w:val="baseline"/>
    </w:pPr>
    <w:rPr>
      <w:rFonts w:ascii="Calibri" w:hAnsi="Calibri" w:eastAsia="黑体"/>
      <w:color w:val="000000"/>
      <w:sz w:val="21"/>
      <w:szCs w:val="20"/>
      <w:u w:color="000000"/>
    </w:rPr>
  </w:style>
  <w:style w:type="paragraph" w:customStyle="1" w:styleId="1163">
    <w:name w:val="表格5号"/>
    <w:basedOn w:val="181"/>
    <w:qFormat/>
    <w:uiPriority w:val="0"/>
    <w:pPr>
      <w:snapToGrid w:val="0"/>
      <w:jc w:val="center"/>
    </w:pPr>
    <w:rPr>
      <w:rFonts w:eastAsia="仿宋_GB2312" w:cs="Calibri"/>
      <w:bCs/>
      <w:kern w:val="0"/>
      <w:sz w:val="21"/>
    </w:rPr>
  </w:style>
  <w:style w:type="paragraph" w:customStyle="1" w:styleId="1164">
    <w:name w:val="表格文字1"/>
    <w:basedOn w:val="1"/>
    <w:qFormat/>
    <w:uiPriority w:val="0"/>
    <w:pPr>
      <w:topLinePunct w:val="0"/>
      <w:adjustRightInd/>
      <w:snapToGrid/>
      <w:spacing w:line="360" w:lineRule="exact"/>
      <w:ind w:firstLine="0" w:firstLineChars="0"/>
      <w:jc w:val="center"/>
    </w:pPr>
    <w:rPr>
      <w:rFonts w:ascii="Calibri" w:hAnsi="Calibri"/>
      <w:b/>
      <w:kern w:val="2"/>
      <w:sz w:val="21"/>
      <w:szCs w:val="21"/>
    </w:rPr>
  </w:style>
  <w:style w:type="paragraph" w:customStyle="1" w:styleId="1165">
    <w:name w:val="表格式"/>
    <w:basedOn w:val="70"/>
    <w:qFormat/>
    <w:uiPriority w:val="0"/>
    <w:rPr>
      <w:rFonts w:ascii="宋体" w:hAnsi="Calibri"/>
      <w:sz w:val="21"/>
      <w:szCs w:val="20"/>
    </w:rPr>
  </w:style>
  <w:style w:type="paragraph" w:customStyle="1" w:styleId="1166">
    <w:name w:val="常用文字"/>
    <w:basedOn w:val="1"/>
    <w:qFormat/>
    <w:uiPriority w:val="0"/>
    <w:pPr>
      <w:topLinePunct w:val="0"/>
      <w:adjustRightInd/>
      <w:snapToGrid/>
      <w:spacing w:beforeLines="25" w:line="480" w:lineRule="exact"/>
      <w:ind w:firstLine="554"/>
    </w:pPr>
    <w:rPr>
      <w:rFonts w:ascii="Calibri" w:hAnsi="Calibri"/>
      <w:kern w:val="2"/>
      <w:sz w:val="28"/>
      <w:szCs w:val="20"/>
    </w:rPr>
  </w:style>
  <w:style w:type="paragraph" w:customStyle="1" w:styleId="1167">
    <w:name w:val="样式 宋体 小四 + 首行缩进:  2 字符 Char Char"/>
    <w:basedOn w:val="1"/>
    <w:qFormat/>
    <w:uiPriority w:val="0"/>
    <w:pPr>
      <w:topLinePunct w:val="0"/>
      <w:adjustRightInd/>
      <w:snapToGrid/>
      <w:spacing w:line="420" w:lineRule="exact"/>
      <w:ind w:firstLine="480"/>
    </w:pPr>
    <w:rPr>
      <w:rFonts w:ascii="宋体" w:hAnsi="宋体" w:cs="宋体"/>
      <w:kern w:val="2"/>
      <w:szCs w:val="20"/>
    </w:rPr>
  </w:style>
  <w:style w:type="paragraph" w:customStyle="1" w:styleId="1168">
    <w:name w:val="阳光文字"/>
    <w:basedOn w:val="1"/>
    <w:qFormat/>
    <w:uiPriority w:val="0"/>
    <w:pPr>
      <w:topLinePunct w:val="0"/>
      <w:adjustRightInd/>
      <w:snapToGrid/>
      <w:spacing w:beforeLines="25" w:line="440" w:lineRule="exact"/>
    </w:pPr>
    <w:rPr>
      <w:rFonts w:ascii="Calibri" w:hAnsi="Calibri"/>
      <w:kern w:val="2"/>
    </w:rPr>
  </w:style>
  <w:style w:type="paragraph" w:customStyle="1" w:styleId="1169">
    <w:name w:val="Char Char Char Char Char Char Char Char Char Char Char Char Char Char Char Char Char Char Char Char"/>
    <w:basedOn w:val="1"/>
    <w:qFormat/>
    <w:uiPriority w:val="0"/>
    <w:pPr>
      <w:topLinePunct w:val="0"/>
      <w:adjustRightInd/>
      <w:snapToGrid/>
      <w:spacing w:line="240" w:lineRule="auto"/>
      <w:ind w:firstLine="0" w:firstLineChars="0"/>
    </w:pPr>
    <w:rPr>
      <w:rFonts w:ascii="Calibri" w:hAnsi="Calibri"/>
      <w:kern w:val="2"/>
      <w:sz w:val="21"/>
    </w:rPr>
  </w:style>
  <w:style w:type="paragraph" w:customStyle="1" w:styleId="1170">
    <w:name w:val="正文999"/>
    <w:basedOn w:val="1"/>
    <w:qFormat/>
    <w:uiPriority w:val="0"/>
    <w:pPr>
      <w:widowControl/>
      <w:topLinePunct w:val="0"/>
      <w:adjustRightInd/>
      <w:snapToGrid/>
      <w:ind w:firstLine="480"/>
      <w:jc w:val="left"/>
    </w:pPr>
    <w:rPr>
      <w:rFonts w:ascii="宋体" w:hAnsi="宋体"/>
      <w:szCs w:val="20"/>
    </w:rPr>
  </w:style>
  <w:style w:type="paragraph" w:customStyle="1" w:styleId="1171">
    <w:name w:val="普通文字"/>
    <w:basedOn w:val="1"/>
    <w:qFormat/>
    <w:uiPriority w:val="0"/>
    <w:pPr>
      <w:topLinePunct w:val="0"/>
      <w:adjustRightInd/>
      <w:snapToGrid/>
      <w:spacing w:line="240" w:lineRule="auto"/>
      <w:ind w:firstLine="0" w:firstLineChars="0"/>
    </w:pPr>
    <w:rPr>
      <w:rFonts w:ascii="宋体" w:hAnsi="Courier New"/>
      <w:kern w:val="2"/>
    </w:rPr>
  </w:style>
  <w:style w:type="paragraph" w:customStyle="1" w:styleId="1172">
    <w:name w:val="Char Char Char Char Char Char Char Char Char Char Char Char Char Char Char Char Char Char Char Char Char Char2"/>
    <w:basedOn w:val="1"/>
    <w:qFormat/>
    <w:uiPriority w:val="0"/>
    <w:pPr>
      <w:widowControl/>
      <w:topLinePunct w:val="0"/>
      <w:adjustRightInd/>
      <w:snapToGrid/>
      <w:spacing w:after="160" w:line="240" w:lineRule="exact"/>
      <w:ind w:firstLine="0" w:firstLineChars="0"/>
      <w:jc w:val="left"/>
    </w:pPr>
    <w:rPr>
      <w:rFonts w:ascii="Calibri" w:hAnsi="Calibri"/>
      <w:kern w:val="2"/>
      <w:sz w:val="21"/>
      <w:szCs w:val="20"/>
    </w:rPr>
  </w:style>
  <w:style w:type="paragraph" w:customStyle="1" w:styleId="1173">
    <w:name w:val="第一节 标题 2 + (西文) Times New Roman (中文) 宋..."/>
    <w:basedOn w:val="6"/>
    <w:qFormat/>
    <w:uiPriority w:val="0"/>
    <w:pPr>
      <w:topLinePunct w:val="0"/>
      <w:adjustRightInd/>
      <w:snapToGrid/>
      <w:spacing w:before="260" w:after="260" w:line="420" w:lineRule="exact"/>
      <w:jc w:val="both"/>
    </w:pPr>
    <w:rPr>
      <w:rFonts w:cs="宋体"/>
      <w:kern w:val="2"/>
      <w:sz w:val="30"/>
      <w:szCs w:val="20"/>
    </w:rPr>
  </w:style>
  <w:style w:type="paragraph" w:customStyle="1" w:styleId="1174">
    <w:name w:val="样式 样式 黑体 小四 加粗 左侧:  0.85 厘米 行距: 固定值 28 磅 + 宋体 行距: 固定值 25 磅"/>
    <w:basedOn w:val="1"/>
    <w:qFormat/>
    <w:uiPriority w:val="0"/>
    <w:pPr>
      <w:topLinePunct w:val="0"/>
      <w:adjustRightInd/>
      <w:snapToGrid/>
      <w:spacing w:line="500" w:lineRule="exact"/>
      <w:ind w:left="480" w:firstLine="0" w:firstLineChars="0"/>
    </w:pPr>
    <w:rPr>
      <w:rFonts w:ascii="宋体" w:hAnsi="宋体" w:cs="宋体"/>
      <w:b/>
      <w:bCs/>
      <w:kern w:val="2"/>
      <w:szCs w:val="20"/>
    </w:rPr>
  </w:style>
  <w:style w:type="paragraph" w:customStyle="1" w:styleId="1175">
    <w:name w:val="Char Char Char1 Char Char Char Char Char Char Char Char Char Char Char Char Char Char Char Char Char Char Char Char Char Char"/>
    <w:basedOn w:val="1"/>
    <w:next w:val="1"/>
    <w:qFormat/>
    <w:uiPriority w:val="0"/>
    <w:pPr>
      <w:topLinePunct w:val="0"/>
      <w:adjustRightInd/>
      <w:snapToGrid/>
    </w:pPr>
    <w:rPr>
      <w:rFonts w:ascii="宋体" w:hAnsi="宋体" w:cs="宋体"/>
      <w:kern w:val="2"/>
    </w:rPr>
  </w:style>
  <w:style w:type="paragraph" w:customStyle="1" w:styleId="1176">
    <w:name w:val="zxz5"/>
    <w:next w:val="1"/>
    <w:qFormat/>
    <w:uiPriority w:val="0"/>
    <w:pPr>
      <w:tabs>
        <w:tab w:val="left" w:pos="0"/>
      </w:tabs>
      <w:jc w:val="center"/>
    </w:pPr>
    <w:rPr>
      <w:rFonts w:ascii="宋体" w:hAnsi="宋体" w:eastAsia="Times New Roman" w:cs="宋体"/>
      <w:bCs/>
      <w:kern w:val="2"/>
      <w:sz w:val="18"/>
      <w:szCs w:val="18"/>
      <w:lang w:val="en-US" w:eastAsia="zh-CN" w:bidi="ar-SA"/>
    </w:rPr>
  </w:style>
  <w:style w:type="paragraph" w:customStyle="1" w:styleId="1177">
    <w:name w:val="简单回函地址"/>
    <w:basedOn w:val="1"/>
    <w:qFormat/>
    <w:uiPriority w:val="0"/>
    <w:pPr>
      <w:topLinePunct w:val="0"/>
      <w:adjustRightInd/>
      <w:snapToGrid/>
      <w:spacing w:line="240" w:lineRule="auto"/>
      <w:ind w:firstLine="0" w:firstLineChars="0"/>
    </w:pPr>
    <w:rPr>
      <w:rFonts w:ascii="Calibri" w:hAnsi="Calibri"/>
      <w:kern w:val="2"/>
      <w:sz w:val="21"/>
    </w:rPr>
  </w:style>
  <w:style w:type="paragraph" w:customStyle="1" w:styleId="1178">
    <w:name w:val="Char Char Char1 Char Char Char Char Char Char Char Char Char Char Char Char21"/>
    <w:basedOn w:val="1"/>
    <w:next w:val="1"/>
    <w:qFormat/>
    <w:uiPriority w:val="0"/>
    <w:pPr>
      <w:topLinePunct w:val="0"/>
      <w:adjustRightInd/>
      <w:snapToGrid/>
    </w:pPr>
    <w:rPr>
      <w:rFonts w:ascii="宋体" w:hAnsi="宋体" w:cs="宋体"/>
      <w:kern w:val="2"/>
    </w:rPr>
  </w:style>
  <w:style w:type="paragraph" w:customStyle="1" w:styleId="1179">
    <w:name w:val="Char Char Char1 Char Char Char2 Char Char Char Char Char Char Char Char Char Char"/>
    <w:basedOn w:val="1"/>
    <w:next w:val="1"/>
    <w:qFormat/>
    <w:uiPriority w:val="0"/>
    <w:pPr>
      <w:topLinePunct w:val="0"/>
      <w:adjustRightInd/>
      <w:snapToGrid/>
    </w:pPr>
    <w:rPr>
      <w:rFonts w:ascii="宋体" w:hAnsi="宋体" w:cs="宋体"/>
      <w:kern w:val="2"/>
    </w:rPr>
  </w:style>
  <w:style w:type="paragraph" w:customStyle="1" w:styleId="1180">
    <w:name w:val="_Style 293"/>
    <w:next w:val="1"/>
    <w:qFormat/>
    <w:uiPriority w:val="0"/>
    <w:pPr>
      <w:widowControl w:val="0"/>
      <w:jc w:val="both"/>
    </w:pPr>
    <w:rPr>
      <w:rFonts w:ascii="Calibri" w:hAnsi="Calibri" w:eastAsia="宋体" w:cs="Times New Roman"/>
      <w:kern w:val="2"/>
      <w:sz w:val="21"/>
      <w:szCs w:val="24"/>
      <w:lang w:val="en-US" w:eastAsia="zh-CN" w:bidi="ar-SA"/>
    </w:rPr>
  </w:style>
  <w:style w:type="paragraph" w:customStyle="1" w:styleId="1181">
    <w:name w:val="2 Char Char Char Char"/>
    <w:basedOn w:val="1"/>
    <w:qFormat/>
    <w:uiPriority w:val="0"/>
    <w:pPr>
      <w:topLinePunct w:val="0"/>
      <w:adjustRightInd/>
      <w:ind w:firstLine="529"/>
    </w:pPr>
    <w:rPr>
      <w:rFonts w:ascii="宋体" w:hAnsi="宋体"/>
      <w:b/>
      <w:kern w:val="2"/>
      <w:sz w:val="21"/>
    </w:rPr>
  </w:style>
  <w:style w:type="paragraph" w:customStyle="1" w:styleId="1182">
    <w:name w:val="Char Char Char Char Char Char Char Char Char Char Char Char Char1"/>
    <w:basedOn w:val="1"/>
    <w:qFormat/>
    <w:uiPriority w:val="0"/>
    <w:pPr>
      <w:topLinePunct w:val="0"/>
      <w:adjustRightInd/>
      <w:snapToGrid/>
      <w:ind w:firstLine="0" w:firstLineChars="0"/>
    </w:pPr>
    <w:rPr>
      <w:rFonts w:hint="eastAsia" w:ascii="Calibri" w:hAnsi="Calibri" w:eastAsia="Times New Roman"/>
      <w:kern w:val="2"/>
      <w:sz w:val="21"/>
      <w:szCs w:val="20"/>
    </w:rPr>
  </w:style>
  <w:style w:type="paragraph" w:customStyle="1" w:styleId="1183">
    <w:name w:val="li正文"/>
    <w:basedOn w:val="1"/>
    <w:qFormat/>
    <w:uiPriority w:val="0"/>
    <w:pPr>
      <w:topLinePunct w:val="0"/>
      <w:spacing w:line="460" w:lineRule="exact"/>
    </w:pPr>
    <w:rPr>
      <w:rFonts w:ascii="Calibri" w:hAnsi="Calibri"/>
      <w:b/>
      <w:kern w:val="2"/>
      <w:szCs w:val="20"/>
    </w:rPr>
  </w:style>
  <w:style w:type="paragraph" w:customStyle="1" w:styleId="1184">
    <w:name w:val="正文1 Char"/>
    <w:basedOn w:val="1"/>
    <w:qFormat/>
    <w:uiPriority w:val="0"/>
    <w:pPr>
      <w:widowControl/>
      <w:tabs>
        <w:tab w:val="left" w:pos="4660"/>
      </w:tabs>
      <w:topLinePunct w:val="0"/>
      <w:adjustRightInd/>
      <w:snapToGrid/>
      <w:spacing w:line="440" w:lineRule="exact"/>
      <w:ind w:firstLine="482"/>
    </w:pPr>
    <w:rPr>
      <w:rFonts w:ascii="Calibri" w:hAnsi="Calibri"/>
      <w:b/>
      <w:kern w:val="2"/>
    </w:rPr>
  </w:style>
  <w:style w:type="paragraph" w:customStyle="1" w:styleId="1185">
    <w:name w:val="样式 标题 3 + 四号 段前: 0 磅 段后: 0 磅 行距: 固定值 28 磅"/>
    <w:basedOn w:val="7"/>
    <w:qFormat/>
    <w:uiPriority w:val="0"/>
    <w:pPr>
      <w:keepLines/>
      <w:kinsoku/>
      <w:overflowPunct/>
      <w:topLinePunct w:val="0"/>
      <w:autoSpaceDE/>
      <w:autoSpaceDN/>
      <w:adjustRightInd/>
      <w:snapToGrid/>
      <w:spacing w:line="500" w:lineRule="exact"/>
      <w:jc w:val="both"/>
    </w:pPr>
    <w:rPr>
      <w:rFonts w:ascii="Calibri" w:hAnsi="Calibri" w:cs="宋体"/>
      <w:kern w:val="2"/>
      <w:sz w:val="28"/>
    </w:rPr>
  </w:style>
  <w:style w:type="paragraph" w:customStyle="1" w:styleId="1186">
    <w:name w:val="Char Char Char1 Char Char Char Char Char Char Char Char Char Char Char Char Char Char Char Char Char Char Char"/>
    <w:basedOn w:val="1"/>
    <w:next w:val="1"/>
    <w:qFormat/>
    <w:uiPriority w:val="0"/>
    <w:pPr>
      <w:topLinePunct w:val="0"/>
      <w:adjustRightInd/>
      <w:snapToGrid/>
    </w:pPr>
    <w:rPr>
      <w:rFonts w:ascii="宋体" w:hAnsi="宋体" w:cs="宋体"/>
      <w:kern w:val="2"/>
    </w:rPr>
  </w:style>
  <w:style w:type="paragraph" w:customStyle="1" w:styleId="1187">
    <w:name w:val="标题1.1"/>
    <w:basedOn w:val="1"/>
    <w:next w:val="1"/>
    <w:qFormat/>
    <w:uiPriority w:val="0"/>
    <w:pPr>
      <w:topLinePunct w:val="0"/>
      <w:adjustRightInd/>
      <w:snapToGrid/>
      <w:spacing w:beforeLines="50" w:afterLines="50"/>
    </w:pPr>
    <w:rPr>
      <w:rFonts w:ascii="宋体" w:hAnsi="宋体" w:cs="宋体"/>
      <w:b/>
      <w:kern w:val="2"/>
    </w:rPr>
  </w:style>
  <w:style w:type="paragraph" w:customStyle="1" w:styleId="1188">
    <w:name w:val="书 正文"/>
    <w:basedOn w:val="1"/>
    <w:qFormat/>
    <w:uiPriority w:val="0"/>
    <w:pPr>
      <w:topLinePunct w:val="0"/>
      <w:adjustRightInd/>
      <w:snapToGrid/>
      <w:spacing w:line="240" w:lineRule="auto"/>
    </w:pPr>
    <w:rPr>
      <w:rFonts w:ascii="宋体" w:hAnsi="宋体" w:cs="·..."/>
      <w:color w:val="000000"/>
    </w:rPr>
  </w:style>
  <w:style w:type="paragraph" w:customStyle="1" w:styleId="1189">
    <w:name w:val="Char Char Char1 Char Char Char Char"/>
    <w:basedOn w:val="1"/>
    <w:next w:val="1"/>
    <w:qFormat/>
    <w:uiPriority w:val="0"/>
    <w:pPr>
      <w:widowControl/>
      <w:topLinePunct w:val="0"/>
      <w:adjustRightInd/>
      <w:snapToGrid/>
      <w:jc w:val="left"/>
    </w:pPr>
    <w:rPr>
      <w:rFonts w:ascii="宋体" w:hAnsi="宋体" w:cs="宋体"/>
      <w:szCs w:val="20"/>
    </w:rPr>
  </w:style>
  <w:style w:type="paragraph" w:customStyle="1" w:styleId="1190">
    <w:name w:val="Char4"/>
    <w:basedOn w:val="1"/>
    <w:qFormat/>
    <w:uiPriority w:val="0"/>
    <w:pPr>
      <w:topLinePunct w:val="0"/>
      <w:adjustRightInd/>
      <w:snapToGrid/>
    </w:pPr>
    <w:rPr>
      <w:rFonts w:ascii="Calibri" w:hAnsi="Calibri"/>
      <w:kern w:val="2"/>
      <w:sz w:val="21"/>
    </w:rPr>
  </w:style>
  <w:style w:type="paragraph" w:customStyle="1" w:styleId="1191">
    <w:name w:val="报告表正文"/>
    <w:basedOn w:val="1"/>
    <w:qFormat/>
    <w:uiPriority w:val="0"/>
    <w:pPr>
      <w:topLinePunct w:val="0"/>
      <w:snapToGrid/>
      <w:spacing w:line="312" w:lineRule="auto"/>
      <w:ind w:left="113" w:right="113" w:firstLine="482" w:firstLineChars="0"/>
      <w:jc w:val="left"/>
      <w:textAlignment w:val="baseline"/>
    </w:pPr>
    <w:rPr>
      <w:rFonts w:ascii="Calibri" w:hAnsi="Calibri"/>
      <w:szCs w:val="20"/>
    </w:rPr>
  </w:style>
  <w:style w:type="paragraph" w:customStyle="1" w:styleId="1192">
    <w:name w:val="_Style 13"/>
    <w:basedOn w:val="1"/>
    <w:next w:val="1"/>
    <w:qFormat/>
    <w:uiPriority w:val="0"/>
    <w:pPr>
      <w:topLinePunct w:val="0"/>
      <w:adjustRightInd/>
      <w:snapToGrid/>
    </w:pPr>
    <w:rPr>
      <w:rFonts w:ascii="Calibri" w:hAnsi="Calibri"/>
      <w:kern w:val="2"/>
      <w:sz w:val="21"/>
    </w:rPr>
  </w:style>
  <w:style w:type="paragraph" w:customStyle="1" w:styleId="1193">
    <w:name w:val="xl62"/>
    <w:basedOn w:val="1"/>
    <w:semiHidden/>
    <w:qFormat/>
    <w:uiPriority w:val="0"/>
    <w:pPr>
      <w:widowControl/>
      <w:pBdr>
        <w:left w:val="single" w:color="auto" w:sz="4" w:space="0"/>
        <w:bottom w:val="single" w:color="auto" w:sz="4" w:space="0"/>
        <w:right w:val="single" w:color="auto" w:sz="4" w:space="0"/>
      </w:pBdr>
      <w:topLinePunct w:val="0"/>
      <w:adjustRightInd/>
      <w:snapToGrid/>
      <w:spacing w:before="100" w:beforeAutospacing="1" w:after="100" w:afterAutospacing="1" w:line="240" w:lineRule="auto"/>
      <w:ind w:firstLine="0" w:firstLineChars="0"/>
      <w:jc w:val="center"/>
      <w:textAlignment w:val="center"/>
    </w:pPr>
    <w:rPr>
      <w:rFonts w:ascii="Calibri" w:hAnsi="Calibri"/>
      <w:sz w:val="22"/>
      <w:szCs w:val="22"/>
    </w:rPr>
  </w:style>
  <w:style w:type="character" w:customStyle="1" w:styleId="1194">
    <w:name w:val="引用 字符1"/>
    <w:basedOn w:val="98"/>
    <w:semiHidden/>
    <w:qFormat/>
    <w:uiPriority w:val="99"/>
    <w:rPr>
      <w:i/>
      <w:iCs/>
      <w:color w:val="404040" w:themeColor="text1" w:themeTint="BF"/>
      <w:sz w:val="24"/>
      <w:szCs w:val="24"/>
      <w14:textFill>
        <w14:solidFill>
          <w14:schemeClr w14:val="tx1">
            <w14:lumMod w14:val="75000"/>
            <w14:lumOff w14:val="25000"/>
          </w14:schemeClr>
        </w14:solidFill>
      </w14:textFill>
    </w:rPr>
  </w:style>
  <w:style w:type="paragraph" w:customStyle="1" w:styleId="1195">
    <w:name w:val="五级条标题"/>
    <w:basedOn w:val="1138"/>
    <w:next w:val="1"/>
    <w:qFormat/>
    <w:uiPriority w:val="0"/>
    <w:pPr>
      <w:tabs>
        <w:tab w:val="clear" w:pos="360"/>
      </w:tabs>
      <w:outlineLvl w:val="6"/>
    </w:pPr>
  </w:style>
  <w:style w:type="paragraph" w:customStyle="1" w:styleId="1196">
    <w:name w:val="第一章 标题 1 + (中文) 黑体 小二 居中 行距: 多倍行距 1.25 字行"/>
    <w:basedOn w:val="5"/>
    <w:qFormat/>
    <w:uiPriority w:val="0"/>
    <w:pPr>
      <w:pageBreakBefore w:val="0"/>
      <w:tabs>
        <w:tab w:val="clear" w:pos="432"/>
      </w:tabs>
      <w:topLinePunct w:val="0"/>
      <w:adjustRightInd/>
      <w:snapToGrid/>
      <w:spacing w:before="340" w:after="330" w:line="300" w:lineRule="auto"/>
      <w:jc w:val="center"/>
    </w:pPr>
    <w:rPr>
      <w:rFonts w:ascii="Calibri" w:hAnsi="Calibri" w:eastAsia="黑体" w:cs="宋体"/>
      <w:kern w:val="44"/>
      <w:sz w:val="36"/>
      <w:szCs w:val="20"/>
    </w:rPr>
  </w:style>
  <w:style w:type="paragraph" w:customStyle="1" w:styleId="1197">
    <w:name w:val="Char Char Char Char Char Char Char Char Char Char Char Char Char Char Char Char Char Char Char Char Char Char1"/>
    <w:basedOn w:val="1"/>
    <w:qFormat/>
    <w:uiPriority w:val="0"/>
    <w:pPr>
      <w:widowControl/>
      <w:topLinePunct w:val="0"/>
      <w:adjustRightInd/>
      <w:snapToGrid/>
      <w:spacing w:after="160" w:line="240" w:lineRule="exact"/>
      <w:ind w:firstLine="0" w:firstLineChars="0"/>
      <w:jc w:val="left"/>
    </w:pPr>
    <w:rPr>
      <w:rFonts w:ascii="Calibri" w:hAnsi="Calibri"/>
      <w:kern w:val="2"/>
      <w:sz w:val="21"/>
      <w:szCs w:val="20"/>
    </w:rPr>
  </w:style>
  <w:style w:type="paragraph" w:customStyle="1" w:styleId="1198">
    <w:name w:val="表中文字"/>
    <w:basedOn w:val="1"/>
    <w:qFormat/>
    <w:uiPriority w:val="0"/>
    <w:pPr>
      <w:topLinePunct w:val="0"/>
      <w:spacing w:line="360" w:lineRule="exact"/>
      <w:ind w:firstLine="0" w:firstLineChars="0"/>
      <w:jc w:val="center"/>
    </w:pPr>
    <w:rPr>
      <w:rFonts w:ascii="Calibri" w:hAnsi="Plotter"/>
      <w:color w:val="000000"/>
      <w:kern w:val="2"/>
      <w:sz w:val="21"/>
      <w:szCs w:val="21"/>
    </w:rPr>
  </w:style>
  <w:style w:type="paragraph" w:customStyle="1" w:styleId="1199">
    <w:name w:val="In Table"/>
    <w:basedOn w:val="1"/>
    <w:qFormat/>
    <w:uiPriority w:val="0"/>
    <w:pPr>
      <w:tabs>
        <w:tab w:val="left" w:pos="2200"/>
        <w:tab w:val="left" w:pos="3960"/>
        <w:tab w:val="left" w:pos="5280"/>
      </w:tabs>
      <w:topLinePunct w:val="0"/>
      <w:adjustRightInd/>
      <w:snapToGrid/>
      <w:spacing w:before="96" w:after="96" w:line="0" w:lineRule="atLeast"/>
      <w:ind w:firstLine="0" w:firstLineChars="0"/>
      <w:jc w:val="center"/>
    </w:pPr>
    <w:rPr>
      <w:rFonts w:ascii="Tahoma" w:hAnsi="Tahoma" w:eastAsia="华文中宋"/>
      <w:kern w:val="2"/>
      <w:sz w:val="21"/>
      <w:szCs w:val="20"/>
    </w:rPr>
  </w:style>
  <w:style w:type="paragraph" w:customStyle="1" w:styleId="1200">
    <w:name w:val="我的样式（正文）"/>
    <w:basedOn w:val="1"/>
    <w:qFormat/>
    <w:uiPriority w:val="0"/>
    <w:pPr>
      <w:topLinePunct w:val="0"/>
      <w:adjustRightInd/>
      <w:snapToGrid/>
      <w:spacing w:line="440" w:lineRule="exact"/>
      <w:ind w:firstLine="0" w:firstLineChars="0"/>
    </w:pPr>
    <w:rPr>
      <w:rFonts w:ascii="宋体" w:hAnsi="Calibri"/>
      <w:kern w:val="2"/>
      <w:sz w:val="28"/>
    </w:rPr>
  </w:style>
  <w:style w:type="paragraph" w:customStyle="1" w:styleId="1201">
    <w:name w:val="标题 11"/>
    <w:basedOn w:val="1"/>
    <w:next w:val="1"/>
    <w:qFormat/>
    <w:uiPriority w:val="0"/>
    <w:pPr>
      <w:keepNext/>
      <w:keepLines/>
      <w:topLinePunct w:val="0"/>
      <w:adjustRightInd/>
      <w:snapToGrid/>
      <w:spacing w:before="340" w:after="330" w:line="578" w:lineRule="auto"/>
      <w:ind w:firstLine="0" w:firstLineChars="0"/>
      <w:outlineLvl w:val="0"/>
    </w:pPr>
    <w:rPr>
      <w:rFonts w:ascii="Calibri" w:hAnsi="Calibri"/>
      <w:b/>
      <w:bCs/>
      <w:kern w:val="44"/>
      <w:sz w:val="44"/>
      <w:szCs w:val="44"/>
    </w:rPr>
  </w:style>
  <w:style w:type="paragraph" w:customStyle="1" w:styleId="1202">
    <w:name w:val="标题2+"/>
    <w:basedOn w:val="6"/>
    <w:qFormat/>
    <w:uiPriority w:val="0"/>
    <w:pPr>
      <w:topLinePunct w:val="0"/>
      <w:adjustRightInd/>
      <w:snapToGrid/>
      <w:spacing w:before="260" w:after="260" w:line="413" w:lineRule="auto"/>
      <w:jc w:val="both"/>
    </w:pPr>
    <w:rPr>
      <w:rFonts w:ascii="Arial" w:hAnsi="Arial" w:eastAsia="黑体"/>
      <w:b w:val="0"/>
      <w:kern w:val="2"/>
      <w:sz w:val="30"/>
      <w:szCs w:val="32"/>
    </w:rPr>
  </w:style>
  <w:style w:type="paragraph" w:customStyle="1" w:styleId="1203">
    <w:name w:val="环正文"/>
    <w:basedOn w:val="1"/>
    <w:qFormat/>
    <w:uiPriority w:val="0"/>
    <w:pPr>
      <w:widowControl/>
      <w:suppressAutoHyphens/>
      <w:topLinePunct w:val="0"/>
      <w:snapToGrid/>
      <w:ind w:firstLine="0" w:firstLineChars="0"/>
      <w:textAlignment w:val="baseline"/>
    </w:pPr>
    <w:rPr>
      <w:rFonts w:ascii="宋体" w:hAnsi="宋体"/>
      <w:sz w:val="28"/>
      <w:szCs w:val="28"/>
    </w:rPr>
  </w:style>
  <w:style w:type="paragraph" w:customStyle="1" w:styleId="1204">
    <w:name w:val="Char Char Char1 Char Char Char Char Char Char Char Char Char Char Char Char Char Char Char Char Char Char Char Char Char Char1"/>
    <w:basedOn w:val="1"/>
    <w:next w:val="1"/>
    <w:qFormat/>
    <w:uiPriority w:val="0"/>
    <w:pPr>
      <w:topLinePunct w:val="0"/>
      <w:adjustRightInd/>
      <w:snapToGrid/>
    </w:pPr>
    <w:rPr>
      <w:rFonts w:ascii="宋体" w:hAnsi="宋体" w:cs="宋体"/>
      <w:kern w:val="2"/>
    </w:rPr>
  </w:style>
  <w:style w:type="paragraph" w:customStyle="1" w:styleId="1205">
    <w:name w:val="样式 小四 加粗 行距: 固定值 25 磅"/>
    <w:basedOn w:val="1"/>
    <w:qFormat/>
    <w:uiPriority w:val="0"/>
    <w:pPr>
      <w:topLinePunct w:val="0"/>
      <w:adjustRightInd/>
      <w:snapToGrid/>
      <w:spacing w:line="500" w:lineRule="exact"/>
      <w:ind w:firstLine="0" w:firstLineChars="0"/>
    </w:pPr>
    <w:rPr>
      <w:rFonts w:ascii="Calibri" w:hAnsi="Calibri"/>
      <w:bCs/>
      <w:kern w:val="2"/>
      <w:szCs w:val="20"/>
    </w:rPr>
  </w:style>
  <w:style w:type="paragraph" w:customStyle="1" w:styleId="1206">
    <w:name w:val="Char11"/>
    <w:basedOn w:val="1"/>
    <w:qFormat/>
    <w:uiPriority w:val="0"/>
    <w:pPr>
      <w:topLinePunct w:val="0"/>
      <w:adjustRightInd/>
      <w:snapToGrid/>
      <w:spacing w:line="240" w:lineRule="auto"/>
      <w:ind w:left="-48" w:firstLine="0" w:firstLineChars="0"/>
    </w:pPr>
    <w:rPr>
      <w:rFonts w:ascii="Calibri" w:hAnsi="Calibri"/>
      <w:kern w:val="2"/>
      <w:sz w:val="21"/>
    </w:rPr>
  </w:style>
  <w:style w:type="paragraph" w:customStyle="1" w:styleId="1207">
    <w:name w:val="_Style 31"/>
    <w:basedOn w:val="1"/>
    <w:next w:val="9"/>
    <w:qFormat/>
    <w:uiPriority w:val="0"/>
    <w:pPr>
      <w:topLinePunct w:val="0"/>
      <w:adjustRightInd/>
      <w:snapToGrid/>
      <w:spacing w:line="240" w:lineRule="auto"/>
      <w:ind w:firstLine="420" w:firstLineChars="0"/>
    </w:pPr>
    <w:rPr>
      <w:rFonts w:ascii="Calibri" w:hAnsi="Calibri"/>
      <w:kern w:val="2"/>
      <w:sz w:val="28"/>
      <w:szCs w:val="20"/>
    </w:rPr>
  </w:style>
  <w:style w:type="paragraph" w:customStyle="1" w:styleId="1208">
    <w:name w:val="333"/>
    <w:basedOn w:val="7"/>
    <w:qFormat/>
    <w:uiPriority w:val="0"/>
    <w:pPr>
      <w:keepNext w:val="0"/>
      <w:kinsoku/>
      <w:overflowPunct/>
      <w:topLinePunct w:val="0"/>
      <w:autoSpaceDE/>
      <w:autoSpaceDN/>
      <w:adjustRightInd/>
      <w:snapToGrid/>
      <w:spacing w:line="240" w:lineRule="exact"/>
      <w:jc w:val="center"/>
      <w:outlineLvl w:val="9"/>
    </w:pPr>
    <w:rPr>
      <w:rFonts w:ascii="Calibri" w:hAnsi="Calibri"/>
      <w:b w:val="0"/>
      <w:bCs w:val="0"/>
      <w:spacing w:val="-10"/>
      <w:kern w:val="2"/>
      <w:sz w:val="21"/>
      <w:szCs w:val="24"/>
    </w:rPr>
  </w:style>
  <w:style w:type="paragraph" w:customStyle="1" w:styleId="1209">
    <w:name w:val="表格文字（小）"/>
    <w:basedOn w:val="1"/>
    <w:qFormat/>
    <w:uiPriority w:val="0"/>
    <w:pPr>
      <w:topLinePunct w:val="0"/>
      <w:spacing w:line="360" w:lineRule="exact"/>
      <w:ind w:firstLine="0" w:firstLineChars="0"/>
      <w:jc w:val="center"/>
    </w:pPr>
    <w:rPr>
      <w:rFonts w:ascii="Calibri" w:hAnsi="Calibri"/>
      <w:bCs/>
      <w:kern w:val="2"/>
      <w:szCs w:val="20"/>
    </w:rPr>
  </w:style>
  <w:style w:type="paragraph" w:customStyle="1" w:styleId="1210">
    <w:name w:val="li表格"/>
    <w:basedOn w:val="274"/>
    <w:next w:val="274"/>
    <w:qFormat/>
    <w:uiPriority w:val="0"/>
    <w:pPr>
      <w:adjustRightInd w:val="0"/>
      <w:snapToGrid w:val="0"/>
      <w:spacing w:line="360" w:lineRule="atLeast"/>
      <w:ind w:right="-44" w:rightChars="-44"/>
    </w:pPr>
    <w:rPr>
      <w:rFonts w:ascii="Calibri"/>
      <w:b/>
      <w:bCs/>
      <w:color w:val="0000FF"/>
      <w:spacing w:val="4"/>
      <w:kern w:val="21"/>
      <w:position w:val="-30"/>
      <w:sz w:val="24"/>
      <w:szCs w:val="21"/>
    </w:rPr>
  </w:style>
  <w:style w:type="paragraph" w:customStyle="1" w:styleId="1211">
    <w:name w:val="Section Char Char Char"/>
    <w:basedOn w:val="1"/>
    <w:next w:val="1"/>
    <w:qFormat/>
    <w:uiPriority w:val="0"/>
    <w:pPr>
      <w:topLinePunct w:val="0"/>
      <w:adjustRightInd/>
      <w:snapToGrid/>
    </w:pPr>
    <w:rPr>
      <w:rFonts w:ascii="宋体" w:hAnsi="宋体" w:cs="宋体"/>
      <w:kern w:val="2"/>
    </w:rPr>
  </w:style>
  <w:style w:type="paragraph" w:customStyle="1" w:styleId="1212">
    <w:name w:val="3"/>
    <w:basedOn w:val="1"/>
    <w:next w:val="39"/>
    <w:qFormat/>
    <w:uiPriority w:val="0"/>
    <w:pPr>
      <w:topLinePunct w:val="0"/>
      <w:adjustRightInd/>
      <w:spacing w:line="420" w:lineRule="exact"/>
      <w:ind w:firstLine="468" w:firstLineChars="195"/>
    </w:pPr>
    <w:rPr>
      <w:rFonts w:ascii="宋体" w:hAnsi="宋体"/>
      <w:kern w:val="2"/>
      <w:szCs w:val="26"/>
    </w:rPr>
  </w:style>
  <w:style w:type="paragraph" w:customStyle="1" w:styleId="1213">
    <w:name w:val="南郊正文"/>
    <w:basedOn w:val="1"/>
    <w:next w:val="1"/>
    <w:qFormat/>
    <w:uiPriority w:val="0"/>
    <w:pPr>
      <w:topLinePunct w:val="0"/>
      <w:adjustRightInd/>
      <w:snapToGrid/>
      <w:spacing w:line="240" w:lineRule="auto"/>
      <w:ind w:firstLine="0" w:firstLineChars="0"/>
    </w:pPr>
    <w:rPr>
      <w:rFonts w:ascii="Calibri" w:hAnsi="Calibri"/>
      <w:kern w:val="2"/>
    </w:rPr>
  </w:style>
  <w:style w:type="paragraph" w:customStyle="1" w:styleId="1214">
    <w:name w:val="Char Char Char Char Char Char Char Char Char Char1"/>
    <w:basedOn w:val="1"/>
    <w:qFormat/>
    <w:uiPriority w:val="0"/>
    <w:pPr>
      <w:topLinePunct w:val="0"/>
      <w:adjustRightInd/>
      <w:ind w:firstLine="529"/>
    </w:pPr>
    <w:rPr>
      <w:rFonts w:ascii="宋体" w:hAnsi="宋体"/>
      <w:b/>
      <w:kern w:val="2"/>
      <w:sz w:val="21"/>
    </w:rPr>
  </w:style>
  <w:style w:type="paragraph" w:customStyle="1" w:styleId="1215">
    <w:name w:val="裴正文"/>
    <w:qFormat/>
    <w:uiPriority w:val="0"/>
    <w:pPr>
      <w:adjustRightInd w:val="0"/>
      <w:snapToGrid w:val="0"/>
      <w:spacing w:line="500" w:lineRule="exact"/>
      <w:ind w:firstLine="200" w:firstLineChars="200"/>
    </w:pPr>
    <w:rPr>
      <w:rFonts w:ascii="Calibri" w:hAnsi="Calibri" w:eastAsia="宋体" w:cs="Times New Roman"/>
      <w:bCs/>
      <w:snapToGrid w:val="0"/>
      <w:sz w:val="24"/>
      <w:lang w:val="en-US" w:eastAsia="zh-CN" w:bidi="ar-SA"/>
    </w:rPr>
  </w:style>
  <w:style w:type="paragraph" w:customStyle="1" w:styleId="1216">
    <w:name w:val="Char12"/>
    <w:basedOn w:val="1"/>
    <w:qFormat/>
    <w:uiPriority w:val="0"/>
    <w:pPr>
      <w:topLinePunct w:val="0"/>
      <w:adjustRightInd/>
      <w:snapToGrid/>
      <w:spacing w:line="240" w:lineRule="auto"/>
      <w:ind w:left="-48" w:firstLine="0" w:firstLineChars="0"/>
    </w:pPr>
    <w:rPr>
      <w:rFonts w:ascii="Calibri" w:hAnsi="Calibri"/>
      <w:kern w:val="2"/>
      <w:sz w:val="21"/>
    </w:rPr>
  </w:style>
  <w:style w:type="paragraph" w:customStyle="1" w:styleId="1217">
    <w:name w:val="Char Char13"/>
    <w:basedOn w:val="1"/>
    <w:qFormat/>
    <w:uiPriority w:val="0"/>
    <w:pPr>
      <w:topLinePunct w:val="0"/>
      <w:adjustRightInd/>
      <w:snapToGrid/>
      <w:spacing w:line="560" w:lineRule="exact"/>
    </w:pPr>
    <w:rPr>
      <w:rFonts w:ascii="宋体" w:hAnsi="宋体" w:cs="宋体"/>
      <w:kern w:val="2"/>
      <w:sz w:val="28"/>
      <w:szCs w:val="28"/>
    </w:rPr>
  </w:style>
  <w:style w:type="paragraph" w:customStyle="1" w:styleId="1218">
    <w:name w:val="标题 12"/>
    <w:basedOn w:val="1"/>
    <w:next w:val="1"/>
    <w:qFormat/>
    <w:uiPriority w:val="0"/>
    <w:pPr>
      <w:keepNext/>
      <w:keepLines/>
      <w:topLinePunct w:val="0"/>
      <w:adjustRightInd/>
      <w:snapToGrid/>
      <w:spacing w:before="340" w:after="330" w:line="578" w:lineRule="auto"/>
      <w:ind w:firstLine="0" w:firstLineChars="0"/>
      <w:outlineLvl w:val="0"/>
    </w:pPr>
    <w:rPr>
      <w:rFonts w:ascii="Calibri" w:hAnsi="Calibri"/>
      <w:b/>
      <w:bCs/>
      <w:kern w:val="44"/>
      <w:sz w:val="44"/>
      <w:szCs w:val="44"/>
    </w:rPr>
  </w:style>
  <w:style w:type="paragraph" w:customStyle="1" w:styleId="1219">
    <w:name w:val="环评表格"/>
    <w:basedOn w:val="1"/>
    <w:qFormat/>
    <w:uiPriority w:val="0"/>
    <w:pPr>
      <w:topLinePunct w:val="0"/>
      <w:adjustRightInd/>
      <w:snapToGrid/>
      <w:spacing w:line="360" w:lineRule="exact"/>
      <w:ind w:firstLine="0" w:firstLineChars="0"/>
      <w:jc w:val="center"/>
    </w:pPr>
    <w:rPr>
      <w:rFonts w:ascii="仿宋_GB2312" w:hAnsi="Calibri" w:eastAsia="仿宋_GB2312"/>
      <w:kern w:val="2"/>
    </w:rPr>
  </w:style>
  <w:style w:type="paragraph" w:customStyle="1" w:styleId="1220">
    <w:name w:val="表格样式1"/>
    <w:basedOn w:val="1"/>
    <w:qFormat/>
    <w:uiPriority w:val="0"/>
    <w:pPr>
      <w:topLinePunct w:val="0"/>
      <w:snapToGrid/>
      <w:spacing w:line="20" w:lineRule="atLeast"/>
      <w:ind w:firstLine="0" w:firstLineChars="0"/>
      <w:jc w:val="center"/>
      <w:textAlignment w:val="baseline"/>
    </w:pPr>
    <w:rPr>
      <w:rFonts w:ascii="宋体" w:hAnsi="Calibri"/>
      <w:sz w:val="21"/>
      <w:szCs w:val="20"/>
    </w:rPr>
  </w:style>
  <w:style w:type="paragraph" w:customStyle="1" w:styleId="1221">
    <w:name w:val="Char Char Char1 Char Char Char Char Char Char Char Char Char Char"/>
    <w:basedOn w:val="1"/>
    <w:next w:val="1"/>
    <w:qFormat/>
    <w:uiPriority w:val="0"/>
    <w:pPr>
      <w:widowControl/>
      <w:topLinePunct w:val="0"/>
      <w:adjustRightInd/>
      <w:snapToGrid/>
      <w:jc w:val="left"/>
    </w:pPr>
    <w:rPr>
      <w:rFonts w:ascii="宋体" w:hAnsi="宋体" w:cs="宋体"/>
      <w:szCs w:val="20"/>
    </w:rPr>
  </w:style>
  <w:style w:type="paragraph" w:customStyle="1" w:styleId="1222">
    <w:name w:val="正文样式1"/>
    <w:basedOn w:val="1"/>
    <w:qFormat/>
    <w:uiPriority w:val="0"/>
    <w:pPr>
      <w:topLinePunct w:val="0"/>
      <w:snapToGrid/>
      <w:spacing w:line="480" w:lineRule="atLeast"/>
      <w:ind w:firstLine="567" w:firstLineChars="0"/>
      <w:jc w:val="left"/>
      <w:textAlignment w:val="baseline"/>
    </w:pPr>
    <w:rPr>
      <w:rFonts w:ascii="Calibri" w:hAnsi="Calibri"/>
      <w:sz w:val="28"/>
      <w:szCs w:val="20"/>
    </w:rPr>
  </w:style>
  <w:style w:type="paragraph" w:customStyle="1" w:styleId="1223">
    <w:name w:val="样式 标题 4 + 段前: 5 磅 段后: 3 磅 行距: 固定值 26 磅"/>
    <w:basedOn w:val="8"/>
    <w:qFormat/>
    <w:uiPriority w:val="0"/>
    <w:pPr>
      <w:widowControl w:val="0"/>
      <w:topLinePunct w:val="0"/>
      <w:adjustRightInd/>
      <w:snapToGrid/>
      <w:spacing w:line="500" w:lineRule="exact"/>
    </w:pPr>
    <w:rPr>
      <w:rFonts w:ascii="宋体" w:hAnsi="宋体"/>
      <w:kern w:val="2"/>
      <w:sz w:val="28"/>
    </w:rPr>
  </w:style>
  <w:style w:type="paragraph" w:customStyle="1" w:styleId="1224">
    <w:name w:val="环评文本"/>
    <w:basedOn w:val="1"/>
    <w:qFormat/>
    <w:uiPriority w:val="0"/>
    <w:pPr>
      <w:tabs>
        <w:tab w:val="left" w:pos="4320"/>
        <w:tab w:val="left" w:pos="4500"/>
        <w:tab w:val="left" w:pos="7380"/>
      </w:tabs>
      <w:topLinePunct w:val="0"/>
      <w:adjustRightInd/>
      <w:snapToGrid/>
      <w:ind w:firstLine="480"/>
    </w:pPr>
    <w:rPr>
      <w:rFonts w:ascii="Calibri" w:hAnsi="Calibri"/>
      <w:kern w:val="2"/>
    </w:rPr>
  </w:style>
  <w:style w:type="paragraph" w:customStyle="1" w:styleId="1225">
    <w:name w:val="标1"/>
    <w:basedOn w:val="1"/>
    <w:next w:val="1"/>
    <w:qFormat/>
    <w:uiPriority w:val="0"/>
    <w:pPr>
      <w:topLinePunct w:val="0"/>
      <w:adjustRightInd/>
      <w:snapToGrid/>
      <w:spacing w:line="576" w:lineRule="auto"/>
      <w:ind w:firstLine="600"/>
    </w:pPr>
    <w:rPr>
      <w:rFonts w:ascii="Calibri" w:hAnsi="Calibri"/>
      <w:kern w:val="2"/>
      <w:sz w:val="21"/>
    </w:rPr>
  </w:style>
  <w:style w:type="paragraph" w:customStyle="1" w:styleId="1226">
    <w:name w:val="样式8"/>
    <w:basedOn w:val="1"/>
    <w:qFormat/>
    <w:uiPriority w:val="0"/>
    <w:pPr>
      <w:topLinePunct w:val="0"/>
      <w:adjustRightInd/>
      <w:snapToGrid/>
      <w:spacing w:line="240" w:lineRule="auto"/>
      <w:ind w:firstLine="499" w:firstLineChars="0"/>
    </w:pPr>
    <w:rPr>
      <w:rFonts w:ascii="宋体" w:hAnsi="Calibri"/>
      <w:color w:val="000000"/>
      <w:kern w:val="2"/>
      <w:sz w:val="28"/>
      <w:szCs w:val="20"/>
    </w:rPr>
  </w:style>
  <w:style w:type="paragraph" w:customStyle="1" w:styleId="1227">
    <w:name w:val="样式 标题 1 + 非加粗"/>
    <w:basedOn w:val="5"/>
    <w:qFormat/>
    <w:uiPriority w:val="0"/>
    <w:pPr>
      <w:pageBreakBefore w:val="0"/>
      <w:tabs>
        <w:tab w:val="clear" w:pos="432"/>
      </w:tabs>
      <w:topLinePunct w:val="0"/>
      <w:adjustRightInd/>
      <w:snapToGrid/>
      <w:spacing w:before="120" w:after="120" w:line="460" w:lineRule="exact"/>
      <w:jc w:val="both"/>
    </w:pPr>
    <w:rPr>
      <w:rFonts w:ascii="Calibri" w:hAnsi="Calibri" w:eastAsia="黑体"/>
      <w:b w:val="0"/>
      <w:bCs w:val="0"/>
      <w:kern w:val="10"/>
      <w:szCs w:val="44"/>
    </w:rPr>
  </w:style>
  <w:style w:type="paragraph" w:customStyle="1" w:styleId="1228">
    <w:name w:val="Char Char Char1 Char Char Char Char Char Char Char Char Char Char Char Char Char Char Char1 Char Char Char Char Char Char Char Char Char Char"/>
    <w:basedOn w:val="1"/>
    <w:next w:val="1"/>
    <w:qFormat/>
    <w:uiPriority w:val="0"/>
    <w:pPr>
      <w:topLinePunct w:val="0"/>
      <w:adjustRightInd/>
      <w:snapToGrid/>
    </w:pPr>
    <w:rPr>
      <w:rFonts w:ascii="宋体" w:hAnsi="宋体" w:cs="宋体"/>
      <w:kern w:val="2"/>
    </w:rPr>
  </w:style>
  <w:style w:type="paragraph" w:customStyle="1" w:styleId="1229">
    <w:name w:val="Char Char5"/>
    <w:basedOn w:val="1"/>
    <w:qFormat/>
    <w:uiPriority w:val="0"/>
    <w:pPr>
      <w:topLinePunct w:val="0"/>
      <w:adjustRightInd/>
      <w:snapToGrid/>
    </w:pPr>
    <w:rPr>
      <w:rFonts w:ascii="Calibri" w:hAnsi="Calibri"/>
      <w:kern w:val="2"/>
      <w:sz w:val="21"/>
    </w:rPr>
  </w:style>
  <w:style w:type="paragraph" w:customStyle="1" w:styleId="1230">
    <w:name w:val="xl23"/>
    <w:basedOn w:val="1"/>
    <w:qFormat/>
    <w:uiPriority w:val="0"/>
    <w:pPr>
      <w:widowControl/>
      <w:pBdr>
        <w:top w:val="single" w:color="auto" w:sz="4" w:space="0"/>
        <w:bottom w:val="single" w:color="auto" w:sz="4" w:space="0"/>
        <w:right w:val="single" w:color="auto" w:sz="4" w:space="0"/>
      </w:pBdr>
      <w:topLinePunct w:val="0"/>
      <w:adjustRightInd/>
      <w:snapToGrid/>
      <w:spacing w:before="100" w:beforeAutospacing="1" w:after="100" w:afterAutospacing="1" w:line="240" w:lineRule="auto"/>
      <w:ind w:firstLine="0" w:firstLineChars="0"/>
      <w:jc w:val="right"/>
    </w:pPr>
    <w:rPr>
      <w:rFonts w:ascii="Calibri" w:hAnsi="Calibri" w:eastAsia="Arial Unicode MS"/>
    </w:rPr>
  </w:style>
  <w:style w:type="paragraph" w:customStyle="1" w:styleId="1231">
    <w:name w:val="目录标题"/>
    <w:basedOn w:val="1"/>
    <w:qFormat/>
    <w:uiPriority w:val="0"/>
    <w:pPr>
      <w:widowControl/>
      <w:topLinePunct w:val="0"/>
      <w:adjustRightInd/>
      <w:snapToGrid/>
      <w:spacing w:line="240" w:lineRule="auto"/>
      <w:ind w:firstLine="0" w:firstLineChars="0"/>
      <w:jc w:val="center"/>
    </w:pPr>
    <w:rPr>
      <w:rFonts w:ascii="Arial Narrow" w:hAnsi="Arial Narrow"/>
      <w:b/>
      <w:kern w:val="2"/>
      <w:sz w:val="32"/>
      <w:szCs w:val="32"/>
    </w:rPr>
  </w:style>
  <w:style w:type="paragraph" w:customStyle="1" w:styleId="1232">
    <w:name w:val="样式 表内容1 + 首行缩进:  2 字符2"/>
    <w:basedOn w:val="1098"/>
    <w:semiHidden/>
    <w:qFormat/>
    <w:uiPriority w:val="0"/>
    <w:pPr>
      <w:ind w:firstLineChars="0"/>
    </w:pPr>
    <w:rPr>
      <w:szCs w:val="20"/>
    </w:rPr>
  </w:style>
  <w:style w:type="paragraph" w:customStyle="1" w:styleId="1233">
    <w:name w:val="书目1"/>
    <w:basedOn w:val="1"/>
    <w:next w:val="1"/>
    <w:qFormat/>
    <w:uiPriority w:val="0"/>
    <w:pPr>
      <w:topLinePunct w:val="0"/>
      <w:adjustRightInd/>
      <w:snapToGrid/>
      <w:spacing w:line="240" w:lineRule="auto"/>
      <w:ind w:firstLine="0" w:firstLineChars="0"/>
    </w:pPr>
    <w:rPr>
      <w:rFonts w:ascii="Calibri" w:hAnsi="Calibri"/>
      <w:kern w:val="2"/>
      <w:sz w:val="21"/>
    </w:rPr>
  </w:style>
  <w:style w:type="paragraph" w:customStyle="1" w:styleId="1234">
    <w:name w:val="样式 标题 1 + 左侧:  2 字符 首行缩进:  0.85 厘米"/>
    <w:basedOn w:val="5"/>
    <w:qFormat/>
    <w:uiPriority w:val="0"/>
    <w:pPr>
      <w:keepLines w:val="0"/>
      <w:pageBreakBefore w:val="0"/>
      <w:tabs>
        <w:tab w:val="clear" w:pos="432"/>
      </w:tabs>
      <w:topLinePunct w:val="0"/>
      <w:adjustRightInd/>
      <w:snapToGrid/>
      <w:spacing w:line="240" w:lineRule="auto"/>
      <w:ind w:firstLine="482"/>
    </w:pPr>
    <w:rPr>
      <w:rFonts w:ascii="Calibri" w:hAnsi="Calibri" w:cs="宋体"/>
      <w:kern w:val="2"/>
      <w:sz w:val="30"/>
      <w:szCs w:val="20"/>
    </w:rPr>
  </w:style>
  <w:style w:type="paragraph" w:customStyle="1" w:styleId="1235">
    <w:name w:val="Char Char Char Char Char Char Char Char Char Char Char Char Char Char Char Char Char Char Char Char Char Char3"/>
    <w:basedOn w:val="1"/>
    <w:qFormat/>
    <w:uiPriority w:val="0"/>
    <w:pPr>
      <w:widowControl/>
      <w:topLinePunct w:val="0"/>
      <w:adjustRightInd/>
      <w:snapToGrid/>
      <w:spacing w:after="160" w:line="240" w:lineRule="exact"/>
      <w:ind w:firstLine="0" w:firstLineChars="0"/>
      <w:jc w:val="left"/>
    </w:pPr>
    <w:rPr>
      <w:rFonts w:ascii="Calibri" w:hAnsi="Calibri"/>
      <w:kern w:val="2"/>
      <w:sz w:val="21"/>
      <w:szCs w:val="20"/>
    </w:rPr>
  </w:style>
  <w:style w:type="paragraph" w:customStyle="1" w:styleId="1236">
    <w:name w:val="前言、引言标题"/>
    <w:next w:val="1"/>
    <w:qFormat/>
    <w:uiPriority w:val="0"/>
    <w:pPr>
      <w:shd w:val="clear" w:color="FFFFFF" w:fill="FFFFFF"/>
      <w:tabs>
        <w:tab w:val="left" w:pos="903"/>
      </w:tabs>
      <w:spacing w:before="640" w:after="560"/>
      <w:ind w:left="903" w:hanging="315"/>
      <w:jc w:val="center"/>
      <w:outlineLvl w:val="0"/>
    </w:pPr>
    <w:rPr>
      <w:rFonts w:ascii="黑体" w:hAnsi="Calibri" w:eastAsia="黑体" w:cs="Times New Roman"/>
      <w:sz w:val="32"/>
      <w:lang w:val="en-US" w:eastAsia="zh-CN" w:bidi="ar-SA"/>
    </w:rPr>
  </w:style>
  <w:style w:type="paragraph" w:customStyle="1" w:styleId="1237">
    <w:name w:val="Char Char1 Char Char Char Char Char Char"/>
    <w:basedOn w:val="1"/>
    <w:qFormat/>
    <w:uiPriority w:val="0"/>
    <w:pPr>
      <w:topLinePunct w:val="0"/>
      <w:adjustRightInd/>
      <w:ind w:firstLine="529"/>
    </w:pPr>
    <w:rPr>
      <w:rFonts w:ascii="宋体" w:hAnsi="宋体"/>
      <w:b/>
      <w:kern w:val="2"/>
      <w:sz w:val="21"/>
    </w:rPr>
  </w:style>
  <w:style w:type="paragraph" w:customStyle="1" w:styleId="1238">
    <w:name w:val="Char Char Char1 Char Char Char Char2"/>
    <w:basedOn w:val="1"/>
    <w:next w:val="1"/>
    <w:qFormat/>
    <w:uiPriority w:val="0"/>
    <w:pPr>
      <w:topLinePunct w:val="0"/>
      <w:adjustRightInd/>
      <w:snapToGrid/>
    </w:pPr>
    <w:rPr>
      <w:rFonts w:ascii="宋体" w:hAnsi="宋体" w:cs="宋体"/>
      <w:kern w:val="2"/>
    </w:rPr>
  </w:style>
  <w:style w:type="paragraph" w:customStyle="1" w:styleId="1239">
    <w:name w:val="标题4+"/>
    <w:basedOn w:val="7"/>
    <w:qFormat/>
    <w:uiPriority w:val="0"/>
    <w:pPr>
      <w:keepLines/>
      <w:kinsoku/>
      <w:overflowPunct/>
      <w:topLinePunct w:val="0"/>
      <w:autoSpaceDE/>
      <w:autoSpaceDN/>
      <w:adjustRightInd/>
      <w:snapToGrid/>
      <w:spacing w:line="440" w:lineRule="exact"/>
      <w:ind w:firstLine="200" w:firstLineChars="200"/>
      <w:jc w:val="both"/>
      <w:outlineLvl w:val="3"/>
    </w:pPr>
    <w:rPr>
      <w:rFonts w:ascii="Calibri" w:hAnsi="Calibri"/>
      <w:b w:val="0"/>
      <w:kern w:val="2"/>
      <w:szCs w:val="32"/>
    </w:rPr>
  </w:style>
  <w:style w:type="paragraph" w:customStyle="1" w:styleId="1240">
    <w:name w:val="1文章"/>
    <w:basedOn w:val="1"/>
    <w:qFormat/>
    <w:uiPriority w:val="0"/>
    <w:pPr>
      <w:topLinePunct w:val="0"/>
      <w:adjustRightInd/>
      <w:ind w:firstLine="573" w:firstLineChars="0"/>
      <w:outlineLvl w:val="4"/>
    </w:pPr>
    <w:rPr>
      <w:rFonts w:ascii="Calibri" w:hAnsi="Calibri" w:eastAsia="仿宋_GB2312"/>
      <w:kern w:val="2"/>
      <w:sz w:val="28"/>
      <w:szCs w:val="20"/>
    </w:rPr>
  </w:style>
  <w:style w:type="paragraph" w:customStyle="1" w:styleId="1241">
    <w:name w:val="表1.1-1"/>
    <w:basedOn w:val="917"/>
    <w:qFormat/>
    <w:uiPriority w:val="0"/>
    <w:pPr>
      <w:adjustRightInd w:val="0"/>
      <w:snapToGrid w:val="0"/>
      <w:spacing w:line="240" w:lineRule="auto"/>
      <w:ind w:left="1" w:leftChars="-52" w:right="-130" w:rightChars="-62" w:hanging="110" w:hangingChars="52"/>
      <w:jc w:val="center"/>
    </w:pPr>
    <w:rPr>
      <w:bCs/>
      <w:color w:val="auto"/>
      <w:kern w:val="2"/>
    </w:rPr>
  </w:style>
  <w:style w:type="paragraph" w:customStyle="1" w:styleId="1242">
    <w:name w:val="5"/>
    <w:basedOn w:val="1"/>
    <w:next w:val="9"/>
    <w:qFormat/>
    <w:uiPriority w:val="0"/>
    <w:pPr>
      <w:topLinePunct w:val="0"/>
      <w:adjustRightInd/>
      <w:snapToGrid/>
      <w:spacing w:line="240" w:lineRule="auto"/>
      <w:ind w:firstLine="420" w:firstLineChars="0"/>
    </w:pPr>
    <w:rPr>
      <w:rFonts w:ascii="Calibri" w:hAnsi="Calibri"/>
      <w:kern w:val="2"/>
      <w:sz w:val="28"/>
      <w:szCs w:val="20"/>
    </w:rPr>
  </w:style>
  <w:style w:type="paragraph" w:customStyle="1" w:styleId="1243">
    <w:name w:val="表1.1-1 Char Char Char"/>
    <w:basedOn w:val="931"/>
    <w:qFormat/>
    <w:uiPriority w:val="0"/>
    <w:pPr>
      <w:adjustRightInd w:val="0"/>
      <w:snapToGrid w:val="0"/>
      <w:ind w:firstLine="0" w:firstLineChars="0"/>
    </w:pPr>
    <w:rPr>
      <w:bCs/>
    </w:rPr>
  </w:style>
  <w:style w:type="paragraph" w:customStyle="1" w:styleId="1244">
    <w:name w:val="正文文本缩进1"/>
    <w:basedOn w:val="1"/>
    <w:qFormat/>
    <w:uiPriority w:val="0"/>
    <w:pPr>
      <w:topLinePunct w:val="0"/>
      <w:adjustRightInd/>
      <w:snapToGrid/>
      <w:spacing w:after="120" w:line="240" w:lineRule="auto"/>
      <w:ind w:left="420" w:leftChars="200" w:firstLine="0" w:firstLineChars="0"/>
    </w:pPr>
    <w:rPr>
      <w:rFonts w:ascii="Calibri" w:hAnsi="Calibri"/>
      <w:kern w:val="2"/>
      <w:sz w:val="21"/>
    </w:rPr>
  </w:style>
  <w:style w:type="paragraph" w:customStyle="1" w:styleId="1245">
    <w:name w:val="_Style 4"/>
    <w:basedOn w:val="1"/>
    <w:next w:val="74"/>
    <w:qFormat/>
    <w:uiPriority w:val="0"/>
    <w:pPr>
      <w:topLinePunct w:val="0"/>
      <w:adjustRightInd/>
      <w:snapToGrid/>
      <w:spacing w:after="120" w:line="240" w:lineRule="auto"/>
      <w:ind w:left="420" w:leftChars="200" w:firstLine="0" w:firstLineChars="0"/>
    </w:pPr>
    <w:rPr>
      <w:rFonts w:ascii="Calibri" w:hAnsi="Calibri"/>
      <w:kern w:val="2"/>
      <w:sz w:val="16"/>
      <w:szCs w:val="16"/>
    </w:rPr>
  </w:style>
  <w:style w:type="paragraph" w:customStyle="1" w:styleId="1246">
    <w:name w:val="0正文"/>
    <w:qFormat/>
    <w:uiPriority w:val="0"/>
    <w:pPr>
      <w:spacing w:line="300" w:lineRule="auto"/>
      <w:ind w:firstLine="480" w:firstLineChars="200"/>
      <w:jc w:val="both"/>
    </w:pPr>
    <w:rPr>
      <w:rFonts w:ascii="Calibri" w:hAnsi="Calibri" w:eastAsia="宋体" w:cs="宋体"/>
      <w:sz w:val="21"/>
      <w:szCs w:val="22"/>
      <w:lang w:val="en-US" w:eastAsia="zh-CN" w:bidi="ar-SA"/>
    </w:rPr>
  </w:style>
  <w:style w:type="paragraph" w:customStyle="1" w:styleId="1247">
    <w:name w:val="正文格式42"/>
    <w:basedOn w:val="1"/>
    <w:qFormat/>
    <w:uiPriority w:val="0"/>
    <w:pPr>
      <w:topLinePunct w:val="0"/>
      <w:adjustRightInd/>
      <w:snapToGrid/>
      <w:ind w:firstLine="482" w:firstLineChars="0"/>
    </w:pPr>
    <w:rPr>
      <w:rFonts w:ascii="宋体" w:hAnsi="宋体"/>
      <w:kern w:val="2"/>
    </w:rPr>
  </w:style>
  <w:style w:type="paragraph" w:customStyle="1" w:styleId="1248">
    <w:name w:val="_Style 134"/>
    <w:next w:val="1"/>
    <w:qFormat/>
    <w:uiPriority w:val="0"/>
    <w:pPr>
      <w:widowControl w:val="0"/>
      <w:jc w:val="both"/>
    </w:pPr>
    <w:rPr>
      <w:rFonts w:ascii="Calibri" w:hAnsi="Calibri" w:eastAsia="宋体" w:cs="Times New Roman"/>
      <w:kern w:val="2"/>
      <w:sz w:val="21"/>
      <w:szCs w:val="24"/>
      <w:lang w:val="en-US" w:eastAsia="zh-CN" w:bidi="ar-SA"/>
    </w:rPr>
  </w:style>
  <w:style w:type="paragraph" w:customStyle="1" w:styleId="1249">
    <w:name w:val="li 3"/>
    <w:basedOn w:val="5"/>
    <w:next w:val="5"/>
    <w:qFormat/>
    <w:uiPriority w:val="0"/>
    <w:pPr>
      <w:pageBreakBefore w:val="0"/>
      <w:tabs>
        <w:tab w:val="clear" w:pos="432"/>
      </w:tabs>
      <w:topLinePunct w:val="0"/>
      <w:adjustRightInd/>
      <w:snapToGrid/>
      <w:spacing w:line="440" w:lineRule="exact"/>
      <w:jc w:val="both"/>
      <w:outlineLvl w:val="2"/>
    </w:pPr>
    <w:rPr>
      <w:rFonts w:ascii="Calibri" w:hAnsi="Calibri" w:eastAsia="黑体"/>
      <w:kern w:val="10"/>
      <w:sz w:val="24"/>
      <w:szCs w:val="24"/>
    </w:rPr>
  </w:style>
  <w:style w:type="paragraph" w:customStyle="1" w:styleId="1250">
    <w:name w:val="xl58"/>
    <w:basedOn w:val="1"/>
    <w:semiHidden/>
    <w:qFormat/>
    <w:uiPriority w:val="0"/>
    <w:pPr>
      <w:widowControl/>
      <w:pBdr>
        <w:left w:val="single" w:color="auto" w:sz="4" w:space="0"/>
        <w:bottom w:val="single" w:color="auto" w:sz="4" w:space="0"/>
        <w:right w:val="single" w:color="auto" w:sz="4" w:space="0"/>
      </w:pBdr>
      <w:topLinePunct w:val="0"/>
      <w:adjustRightInd/>
      <w:snapToGrid/>
      <w:spacing w:before="100" w:beforeAutospacing="1" w:after="100" w:afterAutospacing="1" w:line="240" w:lineRule="auto"/>
      <w:ind w:firstLine="0" w:firstLineChars="0"/>
      <w:jc w:val="center"/>
      <w:textAlignment w:val="center"/>
    </w:pPr>
    <w:rPr>
      <w:rFonts w:ascii="宋体" w:hAnsi="宋体"/>
      <w:sz w:val="22"/>
      <w:szCs w:val="22"/>
    </w:rPr>
  </w:style>
  <w:style w:type="paragraph" w:customStyle="1" w:styleId="1251">
    <w:name w:val="Char Char Char1 Char Char Char2 Char1"/>
    <w:basedOn w:val="1"/>
    <w:next w:val="1"/>
    <w:qFormat/>
    <w:uiPriority w:val="0"/>
    <w:pPr>
      <w:topLinePunct w:val="0"/>
      <w:adjustRightInd/>
      <w:snapToGrid/>
    </w:pPr>
    <w:rPr>
      <w:rFonts w:ascii="宋体" w:hAnsi="宋体" w:cs="宋体"/>
      <w:kern w:val="2"/>
    </w:rPr>
  </w:style>
  <w:style w:type="paragraph" w:customStyle="1" w:styleId="1252">
    <w:name w:val="Char Char Char Char Char2 Char"/>
    <w:basedOn w:val="1"/>
    <w:qFormat/>
    <w:uiPriority w:val="0"/>
    <w:pPr>
      <w:topLinePunct w:val="0"/>
    </w:pPr>
    <w:rPr>
      <w:rFonts w:ascii="宋体" w:hAnsi="宋体" w:cs="宋体"/>
      <w:kern w:val="2"/>
      <w:szCs w:val="26"/>
    </w:rPr>
  </w:style>
  <w:style w:type="paragraph" w:customStyle="1" w:styleId="1253">
    <w:name w:val="_Style 38"/>
    <w:basedOn w:val="1"/>
    <w:next w:val="1"/>
    <w:qFormat/>
    <w:uiPriority w:val="0"/>
    <w:pPr>
      <w:topLinePunct w:val="0"/>
      <w:adjustRightInd/>
      <w:snapToGrid/>
    </w:pPr>
    <w:rPr>
      <w:rFonts w:ascii="Calibri" w:hAnsi="Calibri"/>
      <w:kern w:val="2"/>
      <w:sz w:val="21"/>
    </w:rPr>
  </w:style>
  <w:style w:type="paragraph" w:customStyle="1" w:styleId="1254">
    <w:name w:val="正文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1255">
    <w:name w:val="我的标题4"/>
    <w:basedOn w:val="8"/>
    <w:qFormat/>
    <w:uiPriority w:val="0"/>
    <w:pPr>
      <w:widowControl w:val="0"/>
      <w:topLinePunct w:val="0"/>
      <w:adjustRightInd/>
      <w:snapToGrid/>
      <w:spacing w:line="460" w:lineRule="exact"/>
    </w:pPr>
    <w:rPr>
      <w:rFonts w:eastAsia="黑体"/>
      <w:kern w:val="2"/>
    </w:rPr>
  </w:style>
  <w:style w:type="paragraph" w:customStyle="1" w:styleId="1256">
    <w:name w:val="Char Char Char1 Char"/>
    <w:basedOn w:val="1"/>
    <w:next w:val="1"/>
    <w:qFormat/>
    <w:uiPriority w:val="0"/>
    <w:pPr>
      <w:topLinePunct w:val="0"/>
      <w:adjustRightInd/>
      <w:snapToGrid/>
    </w:pPr>
    <w:rPr>
      <w:rFonts w:ascii="宋体" w:hAnsi="宋体" w:cs="宋体"/>
      <w:kern w:val="2"/>
    </w:rPr>
  </w:style>
  <w:style w:type="paragraph" w:customStyle="1" w:styleId="1257">
    <w:name w:val="Char Char Char1 Char Char Char Char Char Char Char Char Char Char Char Char Char Char Char Char"/>
    <w:basedOn w:val="1"/>
    <w:next w:val="1"/>
    <w:qFormat/>
    <w:uiPriority w:val="0"/>
    <w:pPr>
      <w:topLinePunct w:val="0"/>
      <w:adjustRightInd/>
      <w:snapToGrid/>
    </w:pPr>
    <w:rPr>
      <w:rFonts w:ascii="宋体" w:hAnsi="宋体" w:cs="宋体"/>
      <w:kern w:val="2"/>
    </w:rPr>
  </w:style>
  <w:style w:type="paragraph" w:customStyle="1" w:styleId="1258">
    <w:name w:val="A常用文字"/>
    <w:basedOn w:val="1"/>
    <w:qFormat/>
    <w:uiPriority w:val="0"/>
    <w:pPr>
      <w:topLinePunct w:val="0"/>
      <w:spacing w:line="440" w:lineRule="exact"/>
      <w:ind w:firstLine="567" w:firstLineChars="0"/>
    </w:pPr>
    <w:rPr>
      <w:rFonts w:ascii="Calibri" w:hAnsi="Calibri"/>
      <w:kern w:val="2"/>
      <w:szCs w:val="20"/>
    </w:rPr>
  </w:style>
  <w:style w:type="paragraph" w:customStyle="1" w:styleId="1259">
    <w:name w:val="正文论文"/>
    <w:basedOn w:val="1"/>
    <w:qFormat/>
    <w:uiPriority w:val="0"/>
    <w:pPr>
      <w:widowControl/>
      <w:topLinePunct w:val="0"/>
    </w:pPr>
    <w:rPr>
      <w:rFonts w:ascii="Calibri" w:hAnsi="Calibri"/>
      <w:kern w:val="2"/>
      <w:szCs w:val="28"/>
    </w:rPr>
  </w:style>
  <w:style w:type="paragraph" w:customStyle="1" w:styleId="1260">
    <w:name w:val="山焦报告正文"/>
    <w:basedOn w:val="1"/>
    <w:qFormat/>
    <w:uiPriority w:val="0"/>
    <w:pPr>
      <w:topLinePunct w:val="0"/>
      <w:spacing w:beforeLines="25" w:line="440" w:lineRule="exact"/>
    </w:pPr>
    <w:rPr>
      <w:rFonts w:ascii="Calibri" w:hAnsi="Calibri"/>
      <w:color w:val="000000"/>
      <w:kern w:val="2"/>
    </w:rPr>
  </w:style>
  <w:style w:type="paragraph" w:customStyle="1" w:styleId="1261">
    <w:name w:val="样式 表内容1 + 首行缩进:  2 字符1"/>
    <w:basedOn w:val="1098"/>
    <w:semiHidden/>
    <w:qFormat/>
    <w:uiPriority w:val="0"/>
    <w:pPr>
      <w:ind w:firstLineChars="0"/>
    </w:pPr>
    <w:rPr>
      <w:szCs w:val="20"/>
    </w:rPr>
  </w:style>
  <w:style w:type="paragraph" w:customStyle="1" w:styleId="1262">
    <w:name w:val="Char Char Char Char Char Char Char Char Char Char Char Char Char"/>
    <w:basedOn w:val="1"/>
    <w:qFormat/>
    <w:uiPriority w:val="0"/>
    <w:pPr>
      <w:topLinePunct w:val="0"/>
      <w:adjustRightInd/>
      <w:snapToGrid/>
      <w:spacing w:line="240" w:lineRule="auto"/>
      <w:ind w:firstLine="0" w:firstLineChars="0"/>
    </w:pPr>
    <w:rPr>
      <w:rFonts w:ascii="Tahoma" w:hAnsi="Tahoma"/>
      <w:kern w:val="2"/>
      <w:szCs w:val="20"/>
    </w:rPr>
  </w:style>
  <w:style w:type="paragraph" w:customStyle="1" w:styleId="1263">
    <w:name w:val="我的标题1"/>
    <w:basedOn w:val="5"/>
    <w:qFormat/>
    <w:uiPriority w:val="0"/>
    <w:pPr>
      <w:pageBreakBefore w:val="0"/>
      <w:tabs>
        <w:tab w:val="clear" w:pos="432"/>
      </w:tabs>
      <w:topLinePunct w:val="0"/>
      <w:adjustRightInd/>
      <w:snapToGrid/>
      <w:spacing w:before="120" w:after="120" w:line="460" w:lineRule="exact"/>
      <w:jc w:val="both"/>
    </w:pPr>
    <w:rPr>
      <w:rFonts w:ascii="Calibri" w:hAnsi="Calibri" w:eastAsia="黑体"/>
      <w:b w:val="0"/>
      <w:bCs w:val="0"/>
      <w:kern w:val="10"/>
      <w:szCs w:val="44"/>
    </w:rPr>
  </w:style>
  <w:style w:type="paragraph" w:customStyle="1" w:styleId="1264">
    <w:name w:val="表格侧编号"/>
    <w:next w:val="1"/>
    <w:qFormat/>
    <w:uiPriority w:val="0"/>
    <w:pPr>
      <w:widowControl w:val="0"/>
      <w:adjustRightInd w:val="0"/>
      <w:spacing w:before="120"/>
      <w:jc w:val="center"/>
      <w:textAlignment w:val="baseline"/>
    </w:pPr>
    <w:rPr>
      <w:rFonts w:ascii="宋体" w:hAnsi="Calibri" w:eastAsia="宋体" w:cs="Times New Roman"/>
      <w:sz w:val="24"/>
      <w:lang w:val="en-US" w:eastAsia="zh-CN" w:bidi="ar-SA"/>
    </w:rPr>
  </w:style>
  <w:style w:type="paragraph" w:customStyle="1" w:styleId="1265">
    <w:name w:val="7"/>
    <w:basedOn w:val="1"/>
    <w:next w:val="84"/>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opLinePunct w:val="0"/>
      <w:adjustRightInd/>
      <w:snapToGrid/>
      <w:spacing w:line="240" w:lineRule="auto"/>
      <w:ind w:firstLine="0" w:firstLineChars="0"/>
      <w:jc w:val="left"/>
    </w:pPr>
    <w:rPr>
      <w:rFonts w:ascii="宋体" w:hAnsi="宋体"/>
    </w:rPr>
  </w:style>
  <w:style w:type="paragraph" w:customStyle="1" w:styleId="1266">
    <w:name w:val="样式 标题 4 + (中文) 黑体 四号 非加粗 段前: 3 磅 段后: 3 磅 行距: 多倍行距 1.73 字行 + T..."/>
    <w:basedOn w:val="8"/>
    <w:qFormat/>
    <w:uiPriority w:val="0"/>
    <w:pPr>
      <w:widowControl w:val="0"/>
      <w:topLinePunct w:val="0"/>
      <w:adjustRightInd/>
      <w:snapToGrid/>
      <w:spacing w:line="460" w:lineRule="exact"/>
    </w:pPr>
    <w:rPr>
      <w:kern w:val="2"/>
    </w:rPr>
  </w:style>
  <w:style w:type="paragraph" w:customStyle="1" w:styleId="1267">
    <w:name w:val="c标题2"/>
    <w:basedOn w:val="6"/>
    <w:qFormat/>
    <w:uiPriority w:val="0"/>
    <w:pPr>
      <w:keepNext w:val="0"/>
      <w:keepLines w:val="0"/>
      <w:topLinePunct w:val="0"/>
      <w:adjustRightInd/>
      <w:snapToGrid/>
      <w:spacing w:line="480" w:lineRule="exact"/>
      <w:jc w:val="center"/>
      <w:outlineLvl w:val="9"/>
    </w:pPr>
    <w:rPr>
      <w:rFonts w:cs="Arial"/>
      <w:b w:val="0"/>
      <w:color w:val="000000"/>
      <w:kern w:val="44"/>
      <w:szCs w:val="28"/>
    </w:rPr>
  </w:style>
  <w:style w:type="paragraph" w:customStyle="1" w:styleId="1268">
    <w:name w:val="Char Char Char Char3"/>
    <w:basedOn w:val="1"/>
    <w:qFormat/>
    <w:uiPriority w:val="0"/>
    <w:pPr>
      <w:topLinePunct w:val="0"/>
      <w:adjustRightInd/>
      <w:snapToGrid/>
      <w:spacing w:line="240" w:lineRule="auto"/>
      <w:ind w:firstLine="0" w:firstLineChars="0"/>
    </w:pPr>
    <w:rPr>
      <w:rFonts w:ascii="宋体" w:hAnsi="宋体" w:cs="Courier New"/>
      <w:kern w:val="2"/>
      <w:sz w:val="32"/>
      <w:szCs w:val="32"/>
    </w:rPr>
  </w:style>
  <w:style w:type="paragraph" w:customStyle="1" w:styleId="1269">
    <w:name w:val="样式 宋体 小四 行距: 固定值 25 磅1"/>
    <w:basedOn w:val="1"/>
    <w:qFormat/>
    <w:uiPriority w:val="0"/>
    <w:pPr>
      <w:topLinePunct w:val="0"/>
      <w:adjustRightInd/>
      <w:snapToGrid/>
      <w:spacing w:line="540" w:lineRule="atLeast"/>
    </w:pPr>
    <w:rPr>
      <w:rFonts w:ascii="宋体" w:hAnsi="宋体" w:cs="宋体"/>
      <w:kern w:val="2"/>
      <w:szCs w:val="20"/>
    </w:rPr>
  </w:style>
  <w:style w:type="paragraph" w:customStyle="1" w:styleId="1270">
    <w:name w:val="日期1"/>
    <w:basedOn w:val="1"/>
    <w:next w:val="1"/>
    <w:qFormat/>
    <w:uiPriority w:val="0"/>
    <w:pPr>
      <w:topLinePunct w:val="0"/>
      <w:adjustRightInd/>
      <w:snapToGrid/>
      <w:spacing w:line="360" w:lineRule="atLeast"/>
      <w:ind w:firstLine="0" w:firstLineChars="0"/>
    </w:pPr>
    <w:rPr>
      <w:rFonts w:ascii="宋体" w:hAnsi="Calibri"/>
      <w:kern w:val="2"/>
      <w:sz w:val="21"/>
    </w:rPr>
  </w:style>
  <w:style w:type="character" w:customStyle="1" w:styleId="1271">
    <w:name w:val="样式13 Char"/>
    <w:link w:val="1272"/>
    <w:qFormat/>
    <w:uiPriority w:val="0"/>
    <w:rPr>
      <w:rFonts w:eastAsia="黑体"/>
      <w:sz w:val="21"/>
      <w:szCs w:val="32"/>
    </w:rPr>
  </w:style>
  <w:style w:type="paragraph" w:customStyle="1" w:styleId="1272">
    <w:name w:val="样式13"/>
    <w:basedOn w:val="1"/>
    <w:link w:val="1271"/>
    <w:qFormat/>
    <w:uiPriority w:val="0"/>
    <w:pPr>
      <w:keepNext/>
      <w:keepLines/>
      <w:tabs>
        <w:tab w:val="left" w:pos="360"/>
        <w:tab w:val="left" w:pos="540"/>
        <w:tab w:val="left" w:pos="1260"/>
      </w:tabs>
      <w:topLinePunct w:val="0"/>
      <w:adjustRightInd/>
      <w:snapToGrid/>
      <w:spacing w:before="156" w:beforeLines="50" w:after="156" w:afterLines="50" w:line="240" w:lineRule="auto"/>
      <w:ind w:firstLine="0" w:firstLineChars="0"/>
      <w:outlineLvl w:val="2"/>
    </w:pPr>
    <w:rPr>
      <w:rFonts w:eastAsia="黑体"/>
      <w:sz w:val="21"/>
      <w:szCs w:val="32"/>
    </w:rPr>
  </w:style>
  <w:style w:type="paragraph" w:customStyle="1" w:styleId="1273">
    <w:name w:val="正文！"/>
    <w:basedOn w:val="1"/>
    <w:qFormat/>
    <w:uiPriority w:val="0"/>
    <w:pPr>
      <w:topLinePunct w:val="0"/>
      <w:spacing w:line="312" w:lineRule="auto"/>
    </w:pPr>
    <w:rPr>
      <w:kern w:val="2"/>
      <w:szCs w:val="22"/>
    </w:rPr>
  </w:style>
  <w:style w:type="paragraph" w:customStyle="1" w:styleId="1274">
    <w:name w:val="图表标题"/>
    <w:basedOn w:val="1"/>
    <w:qFormat/>
    <w:uiPriority w:val="0"/>
    <w:pPr>
      <w:topLinePunct w:val="0"/>
      <w:adjustRightInd/>
      <w:snapToGrid/>
      <w:spacing w:before="60" w:after="60" w:line="380" w:lineRule="exact"/>
      <w:ind w:firstLine="0" w:firstLineChars="0"/>
      <w:jc w:val="center"/>
    </w:pPr>
    <w:rPr>
      <w:rFonts w:eastAsia="楷体_GB2312"/>
      <w:b/>
      <w:kern w:val="2"/>
      <w:sz w:val="28"/>
      <w:szCs w:val="20"/>
    </w:rPr>
  </w:style>
  <w:style w:type="character" w:customStyle="1" w:styleId="1275">
    <w:name w:val="页眉 Char"/>
    <w:qFormat/>
    <w:uiPriority w:val="99"/>
    <w:rPr>
      <w:rFonts w:ascii="Times New Roman" w:hAnsi="Times New Roman" w:eastAsia="宋体" w:cs="Times New Roman"/>
      <w:kern w:val="2"/>
      <w:sz w:val="18"/>
      <w:szCs w:val="18"/>
    </w:rPr>
  </w:style>
  <w:style w:type="paragraph" w:customStyle="1" w:styleId="1276">
    <w:name w:val="正文01"/>
    <w:basedOn w:val="1"/>
    <w:qFormat/>
    <w:uiPriority w:val="0"/>
    <w:pPr>
      <w:topLinePunct w:val="0"/>
      <w:adjustRightInd/>
      <w:snapToGrid/>
      <w:spacing w:line="460" w:lineRule="exact"/>
    </w:pPr>
    <w:rPr>
      <w:rFonts w:ascii="宋体"/>
      <w:szCs w:val="22"/>
    </w:rPr>
  </w:style>
  <w:style w:type="paragraph" w:customStyle="1" w:styleId="1277">
    <w:name w:val="报告正文缩进"/>
    <w:basedOn w:val="1"/>
    <w:qFormat/>
    <w:uiPriority w:val="0"/>
    <w:pPr>
      <w:topLinePunct w:val="0"/>
      <w:spacing w:line="480" w:lineRule="exact"/>
      <w:ind w:firstLine="480"/>
    </w:pPr>
    <w:rPr>
      <w:rFonts w:cs="宋体"/>
      <w:kern w:val="2"/>
      <w:szCs w:val="20"/>
    </w:rPr>
  </w:style>
  <w:style w:type="paragraph" w:customStyle="1" w:styleId="1278">
    <w:name w:val="正文（用）"/>
    <w:basedOn w:val="1"/>
    <w:qFormat/>
    <w:uiPriority w:val="0"/>
    <w:pPr>
      <w:topLinePunct w:val="0"/>
      <w:adjustRightInd/>
      <w:snapToGrid/>
      <w:ind w:firstLine="480"/>
      <w:jc w:val="left"/>
    </w:pPr>
    <w:rPr>
      <w:rFonts w:ascii="宋体" w:hAnsi="宋体" w:cs="宋体"/>
      <w:kern w:val="2"/>
      <w:szCs w:val="20"/>
    </w:rPr>
  </w:style>
  <w:style w:type="character" w:customStyle="1" w:styleId="1279">
    <w:name w:val="123456 Char"/>
    <w:link w:val="824"/>
    <w:qFormat/>
    <w:uiPriority w:val="0"/>
    <w:rPr>
      <w:kern w:val="2"/>
      <w:sz w:val="24"/>
      <w:szCs w:val="24"/>
    </w:rPr>
  </w:style>
  <w:style w:type="character" w:customStyle="1" w:styleId="1280">
    <w:name w:val="段落 Char1"/>
    <w:link w:val="1100"/>
    <w:qFormat/>
    <w:uiPriority w:val="0"/>
    <w:rPr>
      <w:rFonts w:ascii="Calibri" w:hAnsi="Calibri" w:cs="宋体"/>
      <w:kern w:val="2"/>
      <w:sz w:val="24"/>
    </w:rPr>
  </w:style>
  <w:style w:type="character" w:customStyle="1" w:styleId="1281">
    <w:name w:val="不明显强调1"/>
    <w:qFormat/>
    <w:uiPriority w:val="19"/>
    <w:rPr>
      <w:rFonts w:eastAsia="仿宋_GB2312"/>
      <w:iCs/>
      <w:color w:val="auto"/>
      <w:sz w:val="28"/>
    </w:rPr>
  </w:style>
  <w:style w:type="paragraph" w:customStyle="1" w:styleId="1282">
    <w:name w:val="样式 表格 32 + 首行缩进:  2 字符"/>
    <w:basedOn w:val="1"/>
    <w:qFormat/>
    <w:uiPriority w:val="0"/>
    <w:pPr>
      <w:topLinePunct w:val="0"/>
      <w:autoSpaceDE w:val="0"/>
      <w:autoSpaceDN w:val="0"/>
      <w:snapToGrid/>
      <w:spacing w:line="0" w:lineRule="atLeast"/>
      <w:ind w:firstLine="0" w:firstLineChars="0"/>
      <w:jc w:val="center"/>
      <w:textAlignment w:val="baseline"/>
    </w:pPr>
    <w:rPr>
      <w:rFonts w:ascii="Calibri" w:hAnsi="Calibri"/>
      <w:sz w:val="21"/>
      <w:szCs w:val="21"/>
    </w:rPr>
  </w:style>
  <w:style w:type="character" w:customStyle="1" w:styleId="1283">
    <w:name w:val="m1"/>
    <w:qFormat/>
    <w:uiPriority w:val="0"/>
    <w:rPr>
      <w:color w:val="666666"/>
    </w:rPr>
  </w:style>
  <w:style w:type="character" w:customStyle="1" w:styleId="1284">
    <w:name w:val="zz正文 Char"/>
    <w:link w:val="1285"/>
    <w:qFormat/>
    <w:uiPriority w:val="0"/>
    <w:rPr>
      <w:kern w:val="2"/>
      <w:sz w:val="24"/>
      <w:szCs w:val="24"/>
    </w:rPr>
  </w:style>
  <w:style w:type="paragraph" w:customStyle="1" w:styleId="1285">
    <w:name w:val="zz正文"/>
    <w:basedOn w:val="1"/>
    <w:link w:val="1284"/>
    <w:qFormat/>
    <w:uiPriority w:val="0"/>
    <w:pPr>
      <w:topLinePunct w:val="0"/>
      <w:adjustRightInd/>
      <w:snapToGrid/>
    </w:pPr>
    <w:rPr>
      <w:kern w:val="2"/>
    </w:rPr>
  </w:style>
  <w:style w:type="character" w:customStyle="1" w:styleId="1286">
    <w:name w:val="Char Char21"/>
    <w:qFormat/>
    <w:uiPriority w:val="0"/>
    <w:rPr>
      <w:rFonts w:hint="eastAsia" w:ascii="宋体" w:hAnsi="Courier New" w:eastAsia="宋体"/>
      <w:kern w:val="2"/>
      <w:sz w:val="24"/>
      <w:lang w:val="en-US" w:eastAsia="zh-CN" w:bidi="ar-SA"/>
    </w:rPr>
  </w:style>
  <w:style w:type="character" w:customStyle="1" w:styleId="1287">
    <w:name w:val="right_channel_time"/>
    <w:qFormat/>
    <w:uiPriority w:val="0"/>
  </w:style>
  <w:style w:type="character" w:customStyle="1" w:styleId="1288">
    <w:name w:val="样式26 Char"/>
    <w:qFormat/>
    <w:uiPriority w:val="0"/>
    <w:rPr>
      <w:rFonts w:eastAsia="黑体"/>
      <w:kern w:val="44"/>
      <w:sz w:val="30"/>
      <w:szCs w:val="44"/>
      <w:lang w:val="en-US" w:eastAsia="zh-CN" w:bidi="ar-SA"/>
    </w:rPr>
  </w:style>
  <w:style w:type="character" w:customStyle="1" w:styleId="1289">
    <w:name w:val="正文首行缩进 2 Char"/>
    <w:qFormat/>
    <w:uiPriority w:val="0"/>
    <w:rPr>
      <w:kern w:val="2"/>
      <w:sz w:val="21"/>
      <w:szCs w:val="24"/>
    </w:rPr>
  </w:style>
  <w:style w:type="character" w:customStyle="1" w:styleId="1290">
    <w:name w:val="样式 标题 3 + 小四 Char"/>
    <w:link w:val="1291"/>
    <w:qFormat/>
    <w:uiPriority w:val="0"/>
    <w:rPr>
      <w:bCs/>
      <w:kern w:val="2"/>
      <w:sz w:val="24"/>
      <w:szCs w:val="24"/>
    </w:rPr>
  </w:style>
  <w:style w:type="paragraph" w:customStyle="1" w:styleId="1291">
    <w:name w:val="样式 标题 3 + 小四"/>
    <w:basedOn w:val="7"/>
    <w:link w:val="1290"/>
    <w:qFormat/>
    <w:uiPriority w:val="0"/>
    <w:pPr>
      <w:keepLines/>
      <w:kinsoku/>
      <w:overflowPunct/>
      <w:topLinePunct w:val="0"/>
      <w:autoSpaceDE/>
      <w:autoSpaceDN/>
      <w:spacing w:before="260" w:beforeLines="100" w:after="260" w:afterLines="50"/>
      <w:jc w:val="both"/>
    </w:pPr>
    <w:rPr>
      <w:b w:val="0"/>
      <w:kern w:val="2"/>
      <w:szCs w:val="24"/>
    </w:rPr>
  </w:style>
  <w:style w:type="character" w:customStyle="1" w:styleId="1292">
    <w:name w:val="标题 2YHY Char"/>
    <w:link w:val="1293"/>
    <w:qFormat/>
    <w:uiPriority w:val="0"/>
    <w:rPr>
      <w:rFonts w:eastAsia="黑体" w:cs="Arial Unicode MS"/>
      <w:b/>
      <w:bCs/>
      <w:color w:val="000000"/>
      <w:sz w:val="28"/>
      <w:szCs w:val="28"/>
    </w:rPr>
  </w:style>
  <w:style w:type="paragraph" w:customStyle="1" w:styleId="1293">
    <w:name w:val="标题 2YHY"/>
    <w:basedOn w:val="6"/>
    <w:link w:val="1292"/>
    <w:qFormat/>
    <w:uiPriority w:val="0"/>
    <w:pPr>
      <w:keepNext w:val="0"/>
      <w:keepLines w:val="0"/>
      <w:widowControl/>
      <w:topLinePunct w:val="0"/>
      <w:adjustRightInd/>
      <w:snapToGrid/>
      <w:spacing w:before="100" w:beforeLines="50" w:after="100" w:afterLines="50"/>
      <w:jc w:val="both"/>
    </w:pPr>
    <w:rPr>
      <w:rFonts w:eastAsia="黑体" w:cs="Arial Unicode MS"/>
      <w:color w:val="000000"/>
      <w:szCs w:val="28"/>
    </w:rPr>
  </w:style>
  <w:style w:type="character" w:customStyle="1" w:styleId="1294">
    <w:name w:val="正文文字缩进 3 Char Char"/>
    <w:qFormat/>
    <w:uiPriority w:val="0"/>
    <w:rPr>
      <w:rFonts w:eastAsia="宋体"/>
      <w:kern w:val="2"/>
      <w:sz w:val="16"/>
      <w:szCs w:val="16"/>
      <w:lang w:val="en-US" w:eastAsia="zh-CN" w:bidi="ar-SA"/>
    </w:rPr>
  </w:style>
  <w:style w:type="character" w:customStyle="1" w:styleId="1295">
    <w:name w:val="正文(首行缩进) Char"/>
    <w:qFormat/>
    <w:uiPriority w:val="0"/>
    <w:rPr>
      <w:rFonts w:ascii="宋体" w:hAnsi="宋体"/>
      <w:snapToGrid w:val="0"/>
      <w:sz w:val="24"/>
      <w:szCs w:val="24"/>
    </w:rPr>
  </w:style>
  <w:style w:type="character" w:customStyle="1" w:styleId="1296">
    <w:name w:val="a标题 1 Char Char"/>
    <w:qFormat/>
    <w:uiPriority w:val="0"/>
    <w:rPr>
      <w:rFonts w:eastAsia="宋体"/>
      <w:b/>
      <w:bCs/>
      <w:kern w:val="44"/>
      <w:sz w:val="44"/>
      <w:szCs w:val="44"/>
      <w:lang w:val="en-US" w:eastAsia="zh-CN" w:bidi="ar-SA"/>
    </w:rPr>
  </w:style>
  <w:style w:type="character" w:customStyle="1" w:styleId="1297">
    <w:name w:val="页脚 Char"/>
    <w:qFormat/>
    <w:uiPriority w:val="99"/>
    <w:rPr>
      <w:kern w:val="2"/>
      <w:sz w:val="18"/>
      <w:szCs w:val="18"/>
    </w:rPr>
  </w:style>
  <w:style w:type="character" w:customStyle="1" w:styleId="1298">
    <w:name w:val="正文文本缩进 Char"/>
    <w:qFormat/>
    <w:uiPriority w:val="0"/>
    <w:rPr>
      <w:kern w:val="2"/>
      <w:sz w:val="21"/>
      <w:szCs w:val="24"/>
    </w:rPr>
  </w:style>
  <w:style w:type="character" w:customStyle="1" w:styleId="1299">
    <w:name w:val="标题 3YHY Char"/>
    <w:link w:val="1300"/>
    <w:qFormat/>
    <w:uiPriority w:val="0"/>
    <w:rPr>
      <w:rFonts w:cs="Arial Unicode MS"/>
      <w:b/>
      <w:bCs/>
      <w:color w:val="000000"/>
      <w:sz w:val="24"/>
      <w:szCs w:val="24"/>
    </w:rPr>
  </w:style>
  <w:style w:type="paragraph" w:customStyle="1" w:styleId="1300">
    <w:name w:val="标题 3YHY"/>
    <w:basedOn w:val="7"/>
    <w:next w:val="1301"/>
    <w:link w:val="1299"/>
    <w:qFormat/>
    <w:uiPriority w:val="0"/>
    <w:pPr>
      <w:keepNext w:val="0"/>
      <w:widowControl/>
      <w:kinsoku/>
      <w:overflowPunct/>
      <w:topLinePunct w:val="0"/>
      <w:autoSpaceDE/>
      <w:autoSpaceDN/>
      <w:adjustRightInd/>
      <w:snapToGrid/>
      <w:spacing w:before="260" w:beforeLines="50" w:after="260" w:afterLines="50"/>
    </w:pPr>
    <w:rPr>
      <w:rFonts w:cs="Arial Unicode MS"/>
      <w:color w:val="000000"/>
      <w:szCs w:val="24"/>
    </w:rPr>
  </w:style>
  <w:style w:type="paragraph" w:customStyle="1" w:styleId="1301">
    <w:name w:val="正文YHY"/>
    <w:basedOn w:val="1"/>
    <w:link w:val="1358"/>
    <w:qFormat/>
    <w:uiPriority w:val="0"/>
    <w:pPr>
      <w:topLinePunct w:val="0"/>
      <w:adjustRightInd/>
      <w:snapToGrid/>
      <w:spacing w:beforeLines="50" w:afterLines="50"/>
    </w:pPr>
    <w:rPr>
      <w:kern w:val="2"/>
    </w:rPr>
  </w:style>
  <w:style w:type="character" w:customStyle="1" w:styleId="1302">
    <w:name w:val="文章正文 Char1"/>
    <w:qFormat/>
    <w:uiPriority w:val="0"/>
    <w:rPr>
      <w:rFonts w:ascii="宋体" w:hAnsi="宋体"/>
      <w:kern w:val="2"/>
      <w:sz w:val="24"/>
    </w:rPr>
  </w:style>
  <w:style w:type="character" w:customStyle="1" w:styleId="1303">
    <w:name w:val="aa正文 Char"/>
    <w:link w:val="1304"/>
    <w:qFormat/>
    <w:uiPriority w:val="0"/>
    <w:rPr>
      <w:kern w:val="2"/>
      <w:sz w:val="24"/>
      <w:szCs w:val="24"/>
    </w:rPr>
  </w:style>
  <w:style w:type="paragraph" w:customStyle="1" w:styleId="1304">
    <w:name w:val="aa正文"/>
    <w:basedOn w:val="1"/>
    <w:link w:val="1303"/>
    <w:qFormat/>
    <w:uiPriority w:val="0"/>
    <w:pPr>
      <w:topLinePunct w:val="0"/>
      <w:adjustRightInd/>
      <w:snapToGrid/>
    </w:pPr>
    <w:rPr>
      <w:kern w:val="2"/>
    </w:rPr>
  </w:style>
  <w:style w:type="character" w:customStyle="1" w:styleId="1305">
    <w:name w:val="报告标题3 Char"/>
    <w:link w:val="1306"/>
    <w:qFormat/>
    <w:uiPriority w:val="0"/>
    <w:rPr>
      <w:rFonts w:ascii="Arial" w:hAnsi="Arial"/>
      <w:b/>
      <w:color w:val="000000"/>
      <w:kern w:val="2"/>
      <w:sz w:val="24"/>
      <w:szCs w:val="32"/>
    </w:rPr>
  </w:style>
  <w:style w:type="paragraph" w:customStyle="1" w:styleId="1306">
    <w:name w:val="报告标题3"/>
    <w:basedOn w:val="7"/>
    <w:link w:val="1305"/>
    <w:qFormat/>
    <w:uiPriority w:val="0"/>
    <w:pPr>
      <w:keepLines/>
      <w:tabs>
        <w:tab w:val="left" w:pos="0"/>
      </w:tabs>
      <w:kinsoku/>
      <w:overflowPunct/>
      <w:topLinePunct w:val="0"/>
      <w:autoSpaceDE/>
      <w:autoSpaceDN/>
      <w:adjustRightInd/>
      <w:snapToGrid/>
    </w:pPr>
    <w:rPr>
      <w:rFonts w:ascii="Arial" w:hAnsi="Arial"/>
      <w:bCs w:val="0"/>
      <w:color w:val="000000"/>
      <w:kern w:val="2"/>
      <w:szCs w:val="32"/>
    </w:rPr>
  </w:style>
  <w:style w:type="character" w:customStyle="1" w:styleId="1307">
    <w:name w:val="s"/>
    <w:qFormat/>
    <w:uiPriority w:val="0"/>
  </w:style>
  <w:style w:type="character" w:customStyle="1" w:styleId="1308">
    <w:name w:val="自动A Char"/>
    <w:link w:val="1309"/>
    <w:qFormat/>
    <w:uiPriority w:val="0"/>
    <w:rPr>
      <w:color w:val="000000"/>
      <w:sz w:val="24"/>
    </w:rPr>
  </w:style>
  <w:style w:type="paragraph" w:customStyle="1" w:styleId="1309">
    <w:name w:val="自动A"/>
    <w:basedOn w:val="1"/>
    <w:link w:val="1308"/>
    <w:qFormat/>
    <w:uiPriority w:val="0"/>
    <w:pPr>
      <w:topLinePunct w:val="0"/>
      <w:adjustRightInd/>
      <w:snapToGrid/>
      <w:spacing w:beforeLines="50" w:afterLines="50"/>
      <w:ind w:firstLine="480"/>
    </w:pPr>
    <w:rPr>
      <w:color w:val="000000"/>
      <w:szCs w:val="20"/>
    </w:rPr>
  </w:style>
  <w:style w:type="character" w:customStyle="1" w:styleId="1310">
    <w:name w:val="样式35 Char"/>
    <w:qFormat/>
    <w:uiPriority w:val="0"/>
    <w:rPr>
      <w:rFonts w:ascii="宋体" w:hAnsi="宋体" w:eastAsia="宋体"/>
      <w:bCs/>
      <w:color w:val="000000"/>
      <w:kern w:val="2"/>
      <w:sz w:val="24"/>
      <w:szCs w:val="24"/>
      <w:lang w:val="en-US" w:eastAsia="zh-CN" w:bidi="ar-SA"/>
    </w:rPr>
  </w:style>
  <w:style w:type="character" w:customStyle="1" w:styleId="1311">
    <w:name w:val="标题 13 Char"/>
    <w:qFormat/>
    <w:uiPriority w:val="0"/>
    <w:rPr>
      <w:rFonts w:eastAsia="宋体"/>
      <w:b/>
      <w:bCs/>
      <w:kern w:val="2"/>
      <w:sz w:val="32"/>
      <w:szCs w:val="32"/>
      <w:lang w:val="en-US" w:eastAsia="zh-CN" w:bidi="ar-SA"/>
    </w:rPr>
  </w:style>
  <w:style w:type="character" w:customStyle="1" w:styleId="1312">
    <w:name w:val="标题31"/>
    <w:qFormat/>
    <w:uiPriority w:val="0"/>
  </w:style>
  <w:style w:type="character" w:customStyle="1" w:styleId="1313">
    <w:name w:val="批注文字 Char"/>
    <w:qFormat/>
    <w:uiPriority w:val="0"/>
    <w:rPr>
      <w:sz w:val="24"/>
    </w:rPr>
  </w:style>
  <w:style w:type="character" w:customStyle="1" w:styleId="1314">
    <w:name w:val="正文正文正文 1.5 倍行距 Char"/>
    <w:link w:val="1315"/>
    <w:qFormat/>
    <w:uiPriority w:val="0"/>
    <w:rPr>
      <w:rFonts w:ascii="宋体" w:hAnsi="宋体" w:cs="宋体"/>
      <w:sz w:val="24"/>
    </w:rPr>
  </w:style>
  <w:style w:type="paragraph" w:customStyle="1" w:styleId="1315">
    <w:name w:val="正文正文正文 1.5 倍行距"/>
    <w:basedOn w:val="1"/>
    <w:link w:val="1314"/>
    <w:qFormat/>
    <w:uiPriority w:val="0"/>
    <w:pPr>
      <w:topLinePunct w:val="0"/>
      <w:adjustRightInd/>
      <w:snapToGrid/>
      <w:ind w:firstLine="480"/>
    </w:pPr>
    <w:rPr>
      <w:rFonts w:ascii="宋体" w:hAnsi="宋体" w:cs="宋体"/>
      <w:szCs w:val="20"/>
    </w:rPr>
  </w:style>
  <w:style w:type="character" w:customStyle="1" w:styleId="1316">
    <w:name w:val="正文四号 Char"/>
    <w:link w:val="1317"/>
    <w:qFormat/>
    <w:uiPriority w:val="0"/>
    <w:rPr>
      <w:rFonts w:cs="宋体"/>
      <w:kern w:val="2"/>
      <w:sz w:val="28"/>
    </w:rPr>
  </w:style>
  <w:style w:type="paragraph" w:customStyle="1" w:styleId="1317">
    <w:name w:val="正文四号"/>
    <w:basedOn w:val="1"/>
    <w:link w:val="1316"/>
    <w:qFormat/>
    <w:uiPriority w:val="0"/>
    <w:pPr>
      <w:topLinePunct w:val="0"/>
      <w:adjustRightInd/>
      <w:snapToGrid/>
    </w:pPr>
    <w:rPr>
      <w:rFonts w:cs="宋体"/>
      <w:kern w:val="2"/>
      <w:sz w:val="28"/>
      <w:szCs w:val="20"/>
    </w:rPr>
  </w:style>
  <w:style w:type="character" w:customStyle="1" w:styleId="1318">
    <w:name w:val="正文文本 Char"/>
    <w:qFormat/>
    <w:uiPriority w:val="0"/>
    <w:rPr>
      <w:kern w:val="2"/>
      <w:sz w:val="21"/>
      <w:szCs w:val="24"/>
    </w:rPr>
  </w:style>
  <w:style w:type="character" w:customStyle="1" w:styleId="1319">
    <w:name w:val="老吴表段前后 Char"/>
    <w:link w:val="1320"/>
    <w:qFormat/>
    <w:uiPriority w:val="0"/>
    <w:rPr>
      <w:kern w:val="2"/>
      <w:sz w:val="24"/>
    </w:rPr>
  </w:style>
  <w:style w:type="paragraph" w:customStyle="1" w:styleId="1320">
    <w:name w:val="老吴表段前后"/>
    <w:basedOn w:val="1"/>
    <w:link w:val="1319"/>
    <w:qFormat/>
    <w:uiPriority w:val="0"/>
    <w:pPr>
      <w:topLinePunct w:val="0"/>
      <w:adjustRightInd/>
      <w:snapToGrid/>
      <w:spacing w:before="20" w:after="20" w:line="420" w:lineRule="auto"/>
    </w:pPr>
    <w:rPr>
      <w:kern w:val="2"/>
      <w:szCs w:val="20"/>
    </w:rPr>
  </w:style>
  <w:style w:type="character" w:customStyle="1" w:styleId="1321">
    <w:name w:val="info"/>
    <w:qFormat/>
    <w:uiPriority w:val="0"/>
  </w:style>
  <w:style w:type="character" w:customStyle="1" w:styleId="1322">
    <w:name w:val="批注框文本 Char"/>
    <w:qFormat/>
    <w:uiPriority w:val="0"/>
    <w:rPr>
      <w:kern w:val="2"/>
      <w:sz w:val="18"/>
      <w:szCs w:val="18"/>
    </w:rPr>
  </w:style>
  <w:style w:type="character" w:customStyle="1" w:styleId="1323">
    <w:name w:val="样式 标题 3a标题 3标题 13标题 3 Char1 Char Char Char标题 31ReHead 3 WS...1 Char"/>
    <w:link w:val="1324"/>
    <w:qFormat/>
    <w:uiPriority w:val="0"/>
    <w:rPr>
      <w:rFonts w:ascii="宋体" w:hAnsi="宋体"/>
      <w:bCs/>
      <w:kern w:val="2"/>
      <w:sz w:val="24"/>
      <w:szCs w:val="32"/>
    </w:rPr>
  </w:style>
  <w:style w:type="paragraph" w:customStyle="1" w:styleId="1324">
    <w:name w:val="样式 标题 3a标题 3标题 13标题 3 Char1 Char Char Char标题 31ReHead 3 WS...1"/>
    <w:basedOn w:val="7"/>
    <w:link w:val="1323"/>
    <w:qFormat/>
    <w:uiPriority w:val="0"/>
    <w:pPr>
      <w:keepLines/>
      <w:tabs>
        <w:tab w:val="left" w:pos="720"/>
      </w:tabs>
      <w:kinsoku/>
      <w:overflowPunct/>
      <w:topLinePunct w:val="0"/>
      <w:autoSpaceDE/>
      <w:autoSpaceDN/>
      <w:adjustRightInd/>
      <w:snapToGrid/>
      <w:spacing w:before="260" w:beforeLines="50" w:after="260" w:afterLines="50"/>
      <w:ind w:left="720" w:hanging="720"/>
    </w:pPr>
    <w:rPr>
      <w:rFonts w:ascii="宋体" w:hAnsi="宋体"/>
      <w:b w:val="0"/>
      <w:kern w:val="2"/>
      <w:szCs w:val="32"/>
    </w:rPr>
  </w:style>
  <w:style w:type="character" w:customStyle="1" w:styleId="1325">
    <w:name w:val="表头1 Char"/>
    <w:link w:val="1326"/>
    <w:qFormat/>
    <w:uiPriority w:val="0"/>
    <w:rPr>
      <w:rFonts w:eastAsia="黑体"/>
      <w:sz w:val="21"/>
      <w:szCs w:val="28"/>
      <w:lang w:val="en-US" w:eastAsia="zh-CN"/>
    </w:rPr>
  </w:style>
  <w:style w:type="paragraph" w:customStyle="1" w:styleId="1326">
    <w:name w:val="表头1"/>
    <w:basedOn w:val="1"/>
    <w:next w:val="1"/>
    <w:link w:val="1325"/>
    <w:qFormat/>
    <w:uiPriority w:val="0"/>
    <w:pPr>
      <w:tabs>
        <w:tab w:val="left" w:pos="605"/>
      </w:tabs>
      <w:topLinePunct w:val="0"/>
      <w:ind w:firstLine="0" w:firstLineChars="0"/>
      <w:jc w:val="center"/>
    </w:pPr>
    <w:rPr>
      <w:rFonts w:eastAsia="黑体"/>
      <w:sz w:val="21"/>
      <w:szCs w:val="28"/>
    </w:rPr>
  </w:style>
  <w:style w:type="character" w:customStyle="1" w:styleId="1327">
    <w:name w:val="正文首行缩进 Char"/>
    <w:qFormat/>
    <w:uiPriority w:val="0"/>
    <w:rPr>
      <w:kern w:val="2"/>
      <w:sz w:val="21"/>
      <w:szCs w:val="24"/>
    </w:rPr>
  </w:style>
  <w:style w:type="character" w:customStyle="1" w:styleId="1328">
    <w:name w:val="正文文本 3 Char"/>
    <w:qFormat/>
    <w:uiPriority w:val="0"/>
    <w:rPr>
      <w:kern w:val="2"/>
      <w:sz w:val="21"/>
    </w:rPr>
  </w:style>
  <w:style w:type="character" w:customStyle="1" w:styleId="1329">
    <w:name w:val="标题 6 Char"/>
    <w:qFormat/>
    <w:uiPriority w:val="0"/>
    <w:rPr>
      <w:rFonts w:eastAsia="仿宋_GB2312"/>
      <w:kern w:val="2"/>
      <w:sz w:val="24"/>
    </w:rPr>
  </w:style>
  <w:style w:type="character" w:customStyle="1" w:styleId="1330">
    <w:name w:val="样式9 Char"/>
    <w:link w:val="1331"/>
    <w:qFormat/>
    <w:uiPriority w:val="0"/>
    <w:rPr>
      <w:rFonts w:eastAsia="黑体"/>
      <w:color w:val="000000"/>
      <w:kern w:val="44"/>
      <w:sz w:val="30"/>
      <w:szCs w:val="44"/>
    </w:rPr>
  </w:style>
  <w:style w:type="paragraph" w:customStyle="1" w:styleId="1331">
    <w:name w:val="样式9"/>
    <w:basedOn w:val="1332"/>
    <w:link w:val="1330"/>
    <w:qFormat/>
    <w:uiPriority w:val="0"/>
    <w:pPr>
      <w:tabs>
        <w:tab w:val="left" w:pos="322"/>
        <w:tab w:val="left" w:pos="425"/>
      </w:tabs>
      <w:spacing w:beforeLines="50" w:afterLines="50" w:line="360" w:lineRule="auto"/>
      <w:ind w:left="0" w:firstLine="0"/>
    </w:pPr>
    <w:rPr>
      <w:rFonts w:ascii="Times New Roman" w:hAnsi="Times New Roman"/>
      <w:color w:val="000000"/>
    </w:rPr>
  </w:style>
  <w:style w:type="paragraph" w:customStyle="1" w:styleId="1332">
    <w:name w:val="样式 标题 1 + 黑体 小三 非加粗"/>
    <w:basedOn w:val="5"/>
    <w:qFormat/>
    <w:uiPriority w:val="0"/>
    <w:pPr>
      <w:pageBreakBefore w:val="0"/>
      <w:tabs>
        <w:tab w:val="left" w:pos="425"/>
        <w:tab w:val="clear" w:pos="432"/>
      </w:tabs>
      <w:topLinePunct w:val="0"/>
      <w:adjustRightInd/>
      <w:snapToGrid/>
      <w:spacing w:before="340" w:after="330" w:line="578" w:lineRule="auto"/>
      <w:ind w:left="425" w:hanging="425"/>
      <w:jc w:val="both"/>
    </w:pPr>
    <w:rPr>
      <w:rFonts w:ascii="黑体" w:hAnsi="黑体" w:eastAsia="黑体"/>
      <w:b w:val="0"/>
      <w:bCs w:val="0"/>
      <w:kern w:val="44"/>
      <w:sz w:val="30"/>
      <w:szCs w:val="44"/>
    </w:rPr>
  </w:style>
  <w:style w:type="character" w:customStyle="1" w:styleId="1333">
    <w:name w:val="样式17 Char"/>
    <w:link w:val="1334"/>
    <w:qFormat/>
    <w:uiPriority w:val="0"/>
    <w:rPr>
      <w:rFonts w:ascii="黑体" w:hAnsi="Arial Unicode MS" w:eastAsia="黑体"/>
      <w:b/>
      <w:color w:val="000000"/>
      <w:kern w:val="44"/>
      <w:sz w:val="30"/>
    </w:rPr>
  </w:style>
  <w:style w:type="paragraph" w:customStyle="1" w:styleId="1334">
    <w:name w:val="样式17"/>
    <w:basedOn w:val="1"/>
    <w:link w:val="1333"/>
    <w:qFormat/>
    <w:uiPriority w:val="0"/>
    <w:pPr>
      <w:keepNext/>
      <w:keepLines/>
      <w:tabs>
        <w:tab w:val="left" w:pos="425"/>
      </w:tabs>
      <w:topLinePunct w:val="0"/>
      <w:adjustRightInd/>
      <w:snapToGrid/>
      <w:spacing w:before="120" w:after="120"/>
      <w:ind w:left="425" w:hanging="425" w:firstLineChars="0"/>
      <w:outlineLvl w:val="0"/>
    </w:pPr>
    <w:rPr>
      <w:rFonts w:ascii="黑体" w:hAnsi="Arial Unicode MS" w:eastAsia="黑体"/>
      <w:b/>
      <w:color w:val="000000"/>
      <w:kern w:val="44"/>
      <w:sz w:val="30"/>
      <w:szCs w:val="20"/>
    </w:rPr>
  </w:style>
  <w:style w:type="character" w:customStyle="1" w:styleId="1335">
    <w:name w:val="样式30 Char"/>
    <w:qFormat/>
    <w:uiPriority w:val="0"/>
    <w:rPr>
      <w:rFonts w:ascii="宋体" w:hAnsi="宋体" w:eastAsia="宋体"/>
      <w:bCs/>
      <w:color w:val="000000"/>
      <w:kern w:val="2"/>
      <w:sz w:val="24"/>
      <w:szCs w:val="24"/>
      <w:lang w:val="en-US" w:eastAsia="zh-CN" w:bidi="ar-SA"/>
    </w:rPr>
  </w:style>
  <w:style w:type="character" w:customStyle="1" w:styleId="1336">
    <w:name w:val="标题 2 Char"/>
    <w:semiHidden/>
    <w:qFormat/>
    <w:uiPriority w:val="9"/>
    <w:rPr>
      <w:rFonts w:ascii="Cambria" w:hAnsi="Cambria" w:eastAsia="宋体" w:cs="Times New Roman"/>
      <w:b/>
      <w:bCs/>
      <w:kern w:val="2"/>
      <w:sz w:val="32"/>
      <w:szCs w:val="32"/>
    </w:rPr>
  </w:style>
  <w:style w:type="character" w:customStyle="1" w:styleId="1337">
    <w:name w:val="标题 7 Char1"/>
    <w:semiHidden/>
    <w:qFormat/>
    <w:uiPriority w:val="0"/>
    <w:rPr>
      <w:b/>
      <w:bCs/>
      <w:kern w:val="2"/>
      <w:sz w:val="24"/>
      <w:szCs w:val="24"/>
    </w:rPr>
  </w:style>
  <w:style w:type="character" w:customStyle="1" w:styleId="1338">
    <w:name w:val="段落1 Char1"/>
    <w:link w:val="1339"/>
    <w:qFormat/>
    <w:uiPriority w:val="0"/>
    <w:rPr>
      <w:bCs/>
      <w:spacing w:val="6"/>
      <w:kern w:val="2"/>
      <w:sz w:val="24"/>
      <w:szCs w:val="24"/>
    </w:rPr>
  </w:style>
  <w:style w:type="paragraph" w:customStyle="1" w:styleId="1339">
    <w:name w:val="段落1"/>
    <w:basedOn w:val="1"/>
    <w:link w:val="1338"/>
    <w:qFormat/>
    <w:uiPriority w:val="0"/>
    <w:pPr>
      <w:topLinePunct w:val="0"/>
      <w:snapToGrid/>
      <w:spacing w:before="120" w:after="120"/>
      <w:ind w:firstLine="504"/>
      <w:textAlignment w:val="baseline"/>
    </w:pPr>
    <w:rPr>
      <w:bCs/>
      <w:spacing w:val="6"/>
      <w:kern w:val="2"/>
    </w:rPr>
  </w:style>
  <w:style w:type="character" w:customStyle="1" w:styleId="1340">
    <w:name w:val="标题 3 Char"/>
    <w:qFormat/>
    <w:uiPriority w:val="0"/>
    <w:rPr>
      <w:b/>
      <w:bCs/>
      <w:kern w:val="2"/>
      <w:sz w:val="32"/>
      <w:szCs w:val="32"/>
    </w:rPr>
  </w:style>
  <w:style w:type="character" w:customStyle="1" w:styleId="1341">
    <w:name w:val="aaa Char"/>
    <w:link w:val="1342"/>
    <w:qFormat/>
    <w:uiPriority w:val="0"/>
    <w:rPr>
      <w:color w:val="000000"/>
      <w:sz w:val="24"/>
    </w:rPr>
  </w:style>
  <w:style w:type="paragraph" w:customStyle="1" w:styleId="1342">
    <w:name w:val="aaa"/>
    <w:basedOn w:val="1"/>
    <w:link w:val="1341"/>
    <w:qFormat/>
    <w:uiPriority w:val="0"/>
    <w:pPr>
      <w:topLinePunct w:val="0"/>
      <w:adjustRightInd/>
      <w:spacing w:beforeLines="50" w:afterLines="50"/>
      <w:ind w:firstLine="480"/>
    </w:pPr>
    <w:rPr>
      <w:color w:val="000000"/>
      <w:szCs w:val="20"/>
    </w:rPr>
  </w:style>
  <w:style w:type="character" w:customStyle="1" w:styleId="1343">
    <w:name w:val="标题 9 Char1"/>
    <w:semiHidden/>
    <w:qFormat/>
    <w:uiPriority w:val="0"/>
    <w:rPr>
      <w:rFonts w:ascii="Cambria" w:hAnsi="Cambria" w:eastAsia="宋体" w:cs="Times New Roman"/>
      <w:kern w:val="2"/>
      <w:sz w:val="21"/>
      <w:szCs w:val="21"/>
    </w:rPr>
  </w:style>
  <w:style w:type="character" w:customStyle="1" w:styleId="1344">
    <w:name w:val="样式24 Char"/>
    <w:link w:val="1345"/>
    <w:qFormat/>
    <w:uiPriority w:val="0"/>
    <w:rPr>
      <w:color w:val="000000"/>
      <w:sz w:val="24"/>
    </w:rPr>
  </w:style>
  <w:style w:type="paragraph" w:customStyle="1" w:styleId="1345">
    <w:name w:val="样式24"/>
    <w:basedOn w:val="1"/>
    <w:link w:val="1344"/>
    <w:qFormat/>
    <w:uiPriority w:val="0"/>
    <w:pPr>
      <w:topLinePunct w:val="0"/>
      <w:adjustRightInd/>
      <w:spacing w:beforeLines="50" w:afterLines="50"/>
      <w:ind w:firstLine="480"/>
    </w:pPr>
    <w:rPr>
      <w:color w:val="000000"/>
      <w:szCs w:val="20"/>
    </w:rPr>
  </w:style>
  <w:style w:type="character" w:customStyle="1" w:styleId="1346">
    <w:name w:val="样式11111 Char"/>
    <w:link w:val="1347"/>
    <w:qFormat/>
    <w:uiPriority w:val="0"/>
    <w:rPr>
      <w:color w:val="000000"/>
      <w:kern w:val="2"/>
      <w:sz w:val="24"/>
      <w:szCs w:val="24"/>
    </w:rPr>
  </w:style>
  <w:style w:type="paragraph" w:customStyle="1" w:styleId="1347">
    <w:name w:val="样式11111"/>
    <w:basedOn w:val="1"/>
    <w:link w:val="1346"/>
    <w:qFormat/>
    <w:uiPriority w:val="0"/>
    <w:pPr>
      <w:topLinePunct w:val="0"/>
      <w:adjustRightInd/>
      <w:snapToGrid/>
      <w:spacing w:beforeLines="50" w:afterLines="50"/>
      <w:ind w:firstLine="480"/>
    </w:pPr>
    <w:rPr>
      <w:color w:val="000000"/>
      <w:kern w:val="2"/>
    </w:rPr>
  </w:style>
  <w:style w:type="character" w:customStyle="1" w:styleId="1348">
    <w:name w:val="样式 标题 2标题 21标题 121标题 2 Char1 Char节H2节标题 1.1节标题 1.1 Char...2 Char"/>
    <w:link w:val="1349"/>
    <w:qFormat/>
    <w:uiPriority w:val="0"/>
    <w:rPr>
      <w:rFonts w:eastAsia="黑体"/>
      <w:color w:val="000000"/>
      <w:sz w:val="28"/>
    </w:rPr>
  </w:style>
  <w:style w:type="paragraph" w:customStyle="1" w:styleId="1349">
    <w:name w:val="样式 标题 2标题 21标题 121标题 2 Char1 Char节H2节标题 1.1节标题 1.1 Char...2"/>
    <w:basedOn w:val="6"/>
    <w:link w:val="1348"/>
    <w:qFormat/>
    <w:uiPriority w:val="0"/>
    <w:pPr>
      <w:keepNext w:val="0"/>
      <w:keepLines w:val="0"/>
      <w:widowControl/>
      <w:tabs>
        <w:tab w:val="left" w:pos="567"/>
      </w:tabs>
      <w:topLinePunct w:val="0"/>
      <w:snapToGrid/>
      <w:spacing w:before="100" w:after="100"/>
      <w:ind w:left="567" w:hanging="567"/>
      <w:textAlignment w:val="baseline"/>
    </w:pPr>
    <w:rPr>
      <w:rFonts w:eastAsia="黑体"/>
      <w:b w:val="0"/>
      <w:bCs w:val="0"/>
      <w:color w:val="000000"/>
      <w:szCs w:val="20"/>
    </w:rPr>
  </w:style>
  <w:style w:type="character" w:customStyle="1" w:styleId="1350">
    <w:name w:val="样式 生物质发电正文 + Times New Roman 加粗 首行缩进:  2 字符 Char"/>
    <w:link w:val="1351"/>
    <w:qFormat/>
    <w:uiPriority w:val="0"/>
    <w:rPr>
      <w:rFonts w:cs="宋体"/>
      <w:bCs/>
      <w:sz w:val="24"/>
    </w:rPr>
  </w:style>
  <w:style w:type="paragraph" w:customStyle="1" w:styleId="1351">
    <w:name w:val="样式 生物质发电正文 + Times New Roman 加粗 首行缩进:  2 字符"/>
    <w:basedOn w:val="1"/>
    <w:link w:val="1350"/>
    <w:qFormat/>
    <w:uiPriority w:val="0"/>
    <w:pPr>
      <w:widowControl/>
      <w:suppressAutoHyphens/>
      <w:topLinePunct w:val="0"/>
      <w:spacing w:line="324" w:lineRule="auto"/>
      <w:ind w:firstLine="482"/>
      <w:textAlignment w:val="baseline"/>
    </w:pPr>
    <w:rPr>
      <w:rFonts w:cs="宋体"/>
      <w:bCs/>
      <w:szCs w:val="20"/>
    </w:rPr>
  </w:style>
  <w:style w:type="character" w:customStyle="1" w:styleId="1352">
    <w:name w:val="正文标准样式 Char"/>
    <w:link w:val="843"/>
    <w:qFormat/>
    <w:uiPriority w:val="0"/>
    <w:rPr>
      <w:sz w:val="24"/>
    </w:rPr>
  </w:style>
  <w:style w:type="character" w:customStyle="1" w:styleId="1353">
    <w:name w:val="标题 9 Char"/>
    <w:qFormat/>
    <w:uiPriority w:val="0"/>
    <w:rPr>
      <w:sz w:val="28"/>
    </w:rPr>
  </w:style>
  <w:style w:type="character" w:customStyle="1" w:styleId="1354">
    <w:name w:val="正文文本缩进 3 Char"/>
    <w:qFormat/>
    <w:uiPriority w:val="0"/>
    <w:rPr>
      <w:kern w:val="2"/>
      <w:sz w:val="16"/>
      <w:szCs w:val="16"/>
    </w:rPr>
  </w:style>
  <w:style w:type="character" w:customStyle="1" w:styleId="1355">
    <w:name w:val="正文缩进 Char"/>
    <w:qFormat/>
    <w:uiPriority w:val="0"/>
    <w:rPr>
      <w:sz w:val="28"/>
    </w:rPr>
  </w:style>
  <w:style w:type="character" w:customStyle="1" w:styleId="1356">
    <w:name w:val="m2"/>
    <w:qFormat/>
    <w:uiPriority w:val="0"/>
    <w:rPr>
      <w:color w:val="666666"/>
    </w:rPr>
  </w:style>
  <w:style w:type="character" w:customStyle="1" w:styleId="1357">
    <w:name w:val="标题 11 Char"/>
    <w:qFormat/>
    <w:uiPriority w:val="0"/>
    <w:rPr>
      <w:rFonts w:eastAsia="宋体"/>
      <w:b/>
      <w:bCs/>
      <w:kern w:val="44"/>
      <w:sz w:val="44"/>
      <w:szCs w:val="44"/>
      <w:lang w:val="en-US" w:eastAsia="zh-CN" w:bidi="ar-SA"/>
    </w:rPr>
  </w:style>
  <w:style w:type="character" w:customStyle="1" w:styleId="1358">
    <w:name w:val="正文YHY Char"/>
    <w:link w:val="1301"/>
    <w:qFormat/>
    <w:uiPriority w:val="0"/>
    <w:rPr>
      <w:kern w:val="2"/>
      <w:sz w:val="24"/>
      <w:szCs w:val="24"/>
    </w:rPr>
  </w:style>
  <w:style w:type="character" w:customStyle="1" w:styleId="1359">
    <w:name w:val="样式20 Char"/>
    <w:link w:val="1360"/>
    <w:qFormat/>
    <w:uiPriority w:val="0"/>
    <w:rPr>
      <w:rFonts w:ascii="宋体" w:hAnsi="宋体"/>
      <w:color w:val="000000"/>
      <w:kern w:val="2"/>
      <w:sz w:val="24"/>
      <w:szCs w:val="24"/>
    </w:rPr>
  </w:style>
  <w:style w:type="paragraph" w:customStyle="1" w:styleId="1360">
    <w:name w:val="样式20"/>
    <w:basedOn w:val="1"/>
    <w:link w:val="1359"/>
    <w:qFormat/>
    <w:uiPriority w:val="0"/>
    <w:pPr>
      <w:topLinePunct w:val="0"/>
      <w:adjustRightInd/>
      <w:snapToGrid/>
      <w:spacing w:before="120" w:after="120"/>
      <w:ind w:firstLine="480"/>
    </w:pPr>
    <w:rPr>
      <w:rFonts w:ascii="宋体" w:hAnsi="宋体"/>
      <w:color w:val="000000"/>
      <w:kern w:val="2"/>
    </w:rPr>
  </w:style>
  <w:style w:type="character" w:customStyle="1" w:styleId="1361">
    <w:name w:val="big"/>
    <w:qFormat/>
    <w:uiPriority w:val="0"/>
  </w:style>
  <w:style w:type="character" w:customStyle="1" w:styleId="1362">
    <w:name w:val="bodyfont"/>
    <w:qFormat/>
    <w:uiPriority w:val="0"/>
  </w:style>
  <w:style w:type="character" w:customStyle="1" w:styleId="1363">
    <w:name w:val="我的正文 Char1"/>
    <w:qFormat/>
    <w:uiPriority w:val="0"/>
    <w:rPr>
      <w:rFonts w:eastAsia="宋体"/>
      <w:snapToGrid/>
      <w:sz w:val="28"/>
      <w:szCs w:val="24"/>
      <w:lang w:val="en-US" w:eastAsia="zh-CN" w:bidi="ar-SA"/>
    </w:rPr>
  </w:style>
  <w:style w:type="character" w:customStyle="1" w:styleId="1364">
    <w:name w:val="样式22 Char"/>
    <w:qFormat/>
    <w:uiPriority w:val="0"/>
    <w:rPr>
      <w:rFonts w:eastAsia="宋体"/>
      <w:kern w:val="2"/>
      <w:sz w:val="24"/>
      <w:szCs w:val="24"/>
      <w:lang w:val="en-US" w:eastAsia="zh-CN" w:bidi="ar-SA"/>
    </w:rPr>
  </w:style>
  <w:style w:type="character" w:customStyle="1" w:styleId="1365">
    <w:name w:val="样式 标题 2标题 21标题 121标题 2 Char1 Char节H2节标题 1.1节标题 1.1 Char... Char"/>
    <w:link w:val="1366"/>
    <w:qFormat/>
    <w:uiPriority w:val="0"/>
    <w:rPr>
      <w:rFonts w:ascii="黑体" w:eastAsia="黑体" w:cs="宋体"/>
      <w:b/>
      <w:bCs/>
      <w:color w:val="000000"/>
      <w:sz w:val="28"/>
    </w:rPr>
  </w:style>
  <w:style w:type="paragraph" w:customStyle="1" w:styleId="1366">
    <w:name w:val="样式 标题 2标题 21标题 121标题 2 Char1 Char节H2节标题 1.1节标题 1.1 Char..."/>
    <w:basedOn w:val="6"/>
    <w:link w:val="1365"/>
    <w:qFormat/>
    <w:uiPriority w:val="0"/>
    <w:pPr>
      <w:keepNext w:val="0"/>
      <w:keepLines w:val="0"/>
      <w:widowControl/>
      <w:topLinePunct w:val="0"/>
      <w:snapToGrid/>
      <w:spacing w:before="120" w:after="120"/>
      <w:textAlignment w:val="baseline"/>
    </w:pPr>
    <w:rPr>
      <w:rFonts w:ascii="黑体" w:eastAsia="黑体" w:cs="宋体"/>
      <w:color w:val="000000"/>
      <w:szCs w:val="20"/>
    </w:rPr>
  </w:style>
  <w:style w:type="character" w:customStyle="1" w:styleId="1367">
    <w:name w:val="标题 1 Char"/>
    <w:qFormat/>
    <w:uiPriority w:val="0"/>
    <w:rPr>
      <w:b/>
      <w:bCs/>
      <w:kern w:val="44"/>
      <w:sz w:val="44"/>
      <w:szCs w:val="44"/>
    </w:rPr>
  </w:style>
  <w:style w:type="character" w:customStyle="1" w:styleId="1368">
    <w:name w:val="样式23 Char"/>
    <w:link w:val="1369"/>
    <w:qFormat/>
    <w:uiPriority w:val="0"/>
    <w:rPr>
      <w:rFonts w:ascii="黑体" w:cs="宋体"/>
      <w:b/>
      <w:bCs/>
      <w:color w:val="000000"/>
      <w:kern w:val="2"/>
      <w:sz w:val="21"/>
      <w:lang w:val="zh-CN"/>
    </w:rPr>
  </w:style>
  <w:style w:type="paragraph" w:customStyle="1" w:styleId="1369">
    <w:name w:val="样式23"/>
    <w:basedOn w:val="1"/>
    <w:link w:val="1368"/>
    <w:qFormat/>
    <w:uiPriority w:val="0"/>
    <w:pPr>
      <w:topLinePunct w:val="0"/>
      <w:autoSpaceDE w:val="0"/>
      <w:autoSpaceDN w:val="0"/>
      <w:snapToGrid/>
      <w:spacing w:beforeLines="50" w:afterLines="50"/>
      <w:ind w:firstLine="422"/>
    </w:pPr>
    <w:rPr>
      <w:rFonts w:ascii="黑体" w:cs="宋体"/>
      <w:b/>
      <w:bCs/>
      <w:color w:val="000000"/>
      <w:kern w:val="2"/>
      <w:sz w:val="21"/>
      <w:szCs w:val="20"/>
      <w:lang w:val="zh-CN"/>
    </w:rPr>
  </w:style>
  <w:style w:type="character" w:customStyle="1" w:styleId="1370">
    <w:name w:val="样式5 Char"/>
    <w:qFormat/>
    <w:uiPriority w:val="0"/>
    <w:rPr>
      <w:rFonts w:eastAsia="宋体"/>
      <w:kern w:val="2"/>
      <w:sz w:val="24"/>
      <w:szCs w:val="28"/>
      <w:lang w:val="en-US" w:eastAsia="zh-CN" w:bidi="ar-SA"/>
    </w:rPr>
  </w:style>
  <w:style w:type="character" w:customStyle="1" w:styleId="1371">
    <w:name w:val="正文文本缩进 2 Char Char"/>
    <w:qFormat/>
    <w:uiPriority w:val="0"/>
    <w:rPr>
      <w:rFonts w:ascii="宋体"/>
      <w:snapToGrid w:val="0"/>
      <w:sz w:val="21"/>
      <w:szCs w:val="21"/>
    </w:rPr>
  </w:style>
  <w:style w:type="character" w:customStyle="1" w:styleId="1372">
    <w:name w:val="样式11 Char"/>
    <w:qFormat/>
    <w:uiPriority w:val="0"/>
    <w:rPr>
      <w:rFonts w:eastAsia="宋体"/>
      <w:kern w:val="2"/>
      <w:sz w:val="24"/>
      <w:szCs w:val="28"/>
      <w:lang w:val="en-US" w:eastAsia="zh-CN" w:bidi="ar-SA"/>
    </w:rPr>
  </w:style>
  <w:style w:type="character" w:customStyle="1" w:styleId="1373">
    <w:name w:val="txt181"/>
    <w:qFormat/>
    <w:uiPriority w:val="0"/>
    <w:rPr>
      <w:rFonts w:hint="eastAsia" w:ascii="宋体" w:hAnsi="宋体" w:eastAsia="宋体"/>
      <w:b/>
      <w:bCs/>
      <w:sz w:val="31"/>
      <w:szCs w:val="31"/>
      <w:u w:val="none"/>
    </w:rPr>
  </w:style>
  <w:style w:type="character" w:customStyle="1" w:styleId="1374">
    <w:name w:val="标题 6 Char1"/>
    <w:semiHidden/>
    <w:qFormat/>
    <w:uiPriority w:val="0"/>
    <w:rPr>
      <w:rFonts w:ascii="Cambria" w:hAnsi="Cambria" w:eastAsia="宋体" w:cs="Times New Roman"/>
      <w:b/>
      <w:bCs/>
      <w:kern w:val="2"/>
      <w:sz w:val="24"/>
      <w:szCs w:val="24"/>
    </w:rPr>
  </w:style>
  <w:style w:type="character" w:customStyle="1" w:styleId="1375">
    <w:name w:val="index"/>
    <w:qFormat/>
    <w:uiPriority w:val="0"/>
  </w:style>
  <w:style w:type="character" w:customStyle="1" w:styleId="1376">
    <w:name w:val="正文文本 2 Char"/>
    <w:qFormat/>
    <w:uiPriority w:val="0"/>
    <w:rPr>
      <w:spacing w:val="-10"/>
      <w:kern w:val="2"/>
      <w:sz w:val="21"/>
      <w:szCs w:val="24"/>
    </w:rPr>
  </w:style>
  <w:style w:type="character" w:customStyle="1" w:styleId="1377">
    <w:name w:val="a标题 3 Char Char"/>
    <w:qFormat/>
    <w:uiPriority w:val="0"/>
    <w:rPr>
      <w:rFonts w:eastAsia="宋体"/>
      <w:bCs/>
      <w:kern w:val="2"/>
      <w:sz w:val="24"/>
      <w:szCs w:val="32"/>
      <w:lang w:val="en-US" w:eastAsia="zh-CN" w:bidi="ar-SA"/>
    </w:rPr>
  </w:style>
  <w:style w:type="character" w:customStyle="1" w:styleId="1378">
    <w:name w:val="p11"/>
    <w:qFormat/>
    <w:uiPriority w:val="0"/>
    <w:rPr>
      <w:rFonts w:hint="eastAsia" w:ascii="宋体" w:hAnsi="宋体" w:eastAsia="宋体"/>
      <w:sz w:val="18"/>
      <w:szCs w:val="18"/>
    </w:rPr>
  </w:style>
  <w:style w:type="character" w:customStyle="1" w:styleId="1379">
    <w:name w:val="样式6 Char"/>
    <w:qFormat/>
    <w:uiPriority w:val="0"/>
  </w:style>
  <w:style w:type="character" w:customStyle="1" w:styleId="1380">
    <w:name w:val="文档结构图 Char"/>
    <w:qFormat/>
    <w:uiPriority w:val="0"/>
    <w:rPr>
      <w:kern w:val="2"/>
      <w:sz w:val="21"/>
      <w:szCs w:val="24"/>
      <w:shd w:val="clear" w:color="auto" w:fill="000080"/>
    </w:rPr>
  </w:style>
  <w:style w:type="character" w:customStyle="1" w:styleId="1381">
    <w:name w:val="样式25 Char"/>
    <w:link w:val="1382"/>
    <w:qFormat/>
    <w:uiPriority w:val="0"/>
    <w:rPr>
      <w:rFonts w:ascii="宋体" w:hAnsi="宋体" w:cs="Arial Unicode MS"/>
      <w:b/>
      <w:color w:val="000000"/>
      <w:kern w:val="2"/>
      <w:sz w:val="24"/>
      <w:szCs w:val="24"/>
    </w:rPr>
  </w:style>
  <w:style w:type="paragraph" w:customStyle="1" w:styleId="1382">
    <w:name w:val="样式25"/>
    <w:basedOn w:val="1383"/>
    <w:link w:val="1381"/>
    <w:qFormat/>
    <w:uiPriority w:val="0"/>
    <w:pPr>
      <w:tabs>
        <w:tab w:val="left" w:pos="360"/>
      </w:tabs>
      <w:ind w:left="360" w:hanging="360"/>
    </w:pPr>
  </w:style>
  <w:style w:type="paragraph" w:customStyle="1" w:styleId="1383">
    <w:name w:val="样式33"/>
    <w:basedOn w:val="1"/>
    <w:qFormat/>
    <w:uiPriority w:val="0"/>
    <w:pPr>
      <w:keepNext/>
      <w:keepLines/>
      <w:topLinePunct w:val="0"/>
      <w:adjustRightInd/>
      <w:snapToGrid/>
      <w:spacing w:before="50" w:after="50"/>
      <w:ind w:firstLine="0" w:firstLineChars="0"/>
      <w:outlineLvl w:val="2"/>
    </w:pPr>
    <w:rPr>
      <w:rFonts w:ascii="宋体" w:hAnsi="宋体" w:cs="Arial Unicode MS"/>
      <w:b/>
      <w:color w:val="000000"/>
      <w:kern w:val="2"/>
    </w:rPr>
  </w:style>
  <w:style w:type="character" w:customStyle="1" w:styleId="1384">
    <w:name w:val="p1"/>
    <w:qFormat/>
    <w:uiPriority w:val="0"/>
  </w:style>
  <w:style w:type="character" w:customStyle="1" w:styleId="1385">
    <w:name w:val="标题 7 Char"/>
    <w:qFormat/>
    <w:uiPriority w:val="0"/>
    <w:rPr>
      <w:sz w:val="28"/>
    </w:rPr>
  </w:style>
  <w:style w:type="character" w:customStyle="1" w:styleId="1386">
    <w:name w:val="标题 5 Char"/>
    <w:qFormat/>
    <w:uiPriority w:val="0"/>
    <w:rPr>
      <w:rFonts w:eastAsia="仿宋_GB2312"/>
      <w:kern w:val="2"/>
      <w:sz w:val="24"/>
    </w:rPr>
  </w:style>
  <w:style w:type="character" w:customStyle="1" w:styleId="1387">
    <w:name w:val="right_channel_title"/>
    <w:qFormat/>
    <w:uiPriority w:val="0"/>
  </w:style>
  <w:style w:type="character" w:customStyle="1" w:styleId="1388">
    <w:name w:val="日期 Char"/>
    <w:qFormat/>
    <w:uiPriority w:val="0"/>
    <w:rPr>
      <w:rFonts w:ascii="宋体"/>
      <w:kern w:val="2"/>
      <w:sz w:val="24"/>
    </w:rPr>
  </w:style>
  <w:style w:type="character" w:customStyle="1" w:styleId="1389">
    <w:name w:val="样式2 Char"/>
    <w:qFormat/>
    <w:uiPriority w:val="0"/>
    <w:rPr>
      <w:rFonts w:eastAsia="宋体"/>
      <w:b/>
      <w:sz w:val="24"/>
      <w:lang w:val="en-US" w:eastAsia="zh-CN" w:bidi="ar-SA"/>
    </w:rPr>
  </w:style>
  <w:style w:type="character" w:customStyle="1" w:styleId="1390">
    <w:name w:val="标题 8 Char"/>
    <w:qFormat/>
    <w:uiPriority w:val="0"/>
    <w:rPr>
      <w:sz w:val="28"/>
    </w:rPr>
  </w:style>
  <w:style w:type="character" w:customStyle="1" w:styleId="1391">
    <w:name w:val="style61"/>
    <w:qFormat/>
    <w:uiPriority w:val="0"/>
    <w:rPr>
      <w:color w:val="000000"/>
    </w:rPr>
  </w:style>
  <w:style w:type="character" w:customStyle="1" w:styleId="1392">
    <w:name w:val="表内式样 Char"/>
    <w:qFormat/>
    <w:uiPriority w:val="0"/>
    <w:rPr>
      <w:rFonts w:eastAsia="宋体"/>
      <w:kern w:val="2"/>
      <w:sz w:val="21"/>
      <w:szCs w:val="24"/>
      <w:lang w:val="en-US" w:eastAsia="zh-CN" w:bidi="ar-SA"/>
    </w:rPr>
  </w:style>
  <w:style w:type="character" w:customStyle="1" w:styleId="1393">
    <w:name w:val="正文 + 首行缩进:  2 字符 Char"/>
    <w:link w:val="1394"/>
    <w:qFormat/>
    <w:uiPriority w:val="0"/>
    <w:rPr>
      <w:rFonts w:cs="宋体"/>
      <w:kern w:val="2"/>
      <w:sz w:val="24"/>
    </w:rPr>
  </w:style>
  <w:style w:type="paragraph" w:customStyle="1" w:styleId="1394">
    <w:name w:val="正文 + 首行缩进:  2 字符"/>
    <w:basedOn w:val="1"/>
    <w:link w:val="1393"/>
    <w:qFormat/>
    <w:uiPriority w:val="0"/>
    <w:pPr>
      <w:topLinePunct w:val="0"/>
      <w:adjustRightInd/>
      <w:snapToGrid/>
      <w:ind w:firstLine="480"/>
    </w:pPr>
    <w:rPr>
      <w:rFonts w:cs="宋体"/>
      <w:kern w:val="2"/>
      <w:szCs w:val="20"/>
    </w:rPr>
  </w:style>
  <w:style w:type="paragraph" w:customStyle="1" w:styleId="1395">
    <w:name w:val="四级无标题条"/>
    <w:basedOn w:val="1"/>
    <w:qFormat/>
    <w:uiPriority w:val="0"/>
    <w:pPr>
      <w:tabs>
        <w:tab w:val="left" w:pos="3000"/>
      </w:tabs>
      <w:topLinePunct w:val="0"/>
      <w:adjustRightInd/>
      <w:snapToGrid/>
      <w:ind w:left="3000" w:hanging="420" w:firstLineChars="0"/>
    </w:pPr>
    <w:rPr>
      <w:kern w:val="2"/>
    </w:rPr>
  </w:style>
  <w:style w:type="paragraph" w:customStyle="1" w:styleId="1396">
    <w:name w:val="样式 正文文本缩进 3 + 小四 段前: 6 磅 段后: 6 磅 行距: 1.5 倍行距"/>
    <w:basedOn w:val="74"/>
    <w:qFormat/>
    <w:uiPriority w:val="0"/>
    <w:pPr>
      <w:topLinePunct w:val="0"/>
      <w:spacing w:before="120"/>
      <w:ind w:left="0" w:leftChars="0" w:firstLine="480"/>
    </w:pPr>
    <w:rPr>
      <w:rFonts w:cs="宋体"/>
      <w:kern w:val="2"/>
      <w:sz w:val="24"/>
      <w:szCs w:val="20"/>
    </w:rPr>
  </w:style>
  <w:style w:type="paragraph" w:customStyle="1" w:styleId="1397">
    <w:name w:val="样式 标题 1标题 11一、 + Times New Roman 行距: 固定值 23 磅"/>
    <w:basedOn w:val="5"/>
    <w:qFormat/>
    <w:uiPriority w:val="0"/>
    <w:pPr>
      <w:pageBreakBefore w:val="0"/>
      <w:tabs>
        <w:tab w:val="clear" w:pos="432"/>
      </w:tabs>
      <w:topLinePunct w:val="0"/>
      <w:adjustRightInd/>
      <w:snapToGrid/>
      <w:spacing w:line="460" w:lineRule="exact"/>
      <w:jc w:val="both"/>
    </w:pPr>
    <w:rPr>
      <w:rFonts w:ascii="黑体" w:eastAsia="黑体" w:cs="宋体"/>
      <w:b w:val="0"/>
      <w:kern w:val="44"/>
    </w:rPr>
  </w:style>
  <w:style w:type="paragraph" w:customStyle="1" w:styleId="1398">
    <w:name w:val="样式 标题 4标题 14 + 自动设置"/>
    <w:basedOn w:val="8"/>
    <w:qFormat/>
    <w:uiPriority w:val="0"/>
    <w:pPr>
      <w:keepLines w:val="0"/>
      <w:widowControl w:val="0"/>
      <w:topLinePunct w:val="0"/>
    </w:pPr>
    <w:rPr>
      <w:rFonts w:eastAsia="黑体"/>
      <w:kern w:val="2"/>
      <w:u w:val="single"/>
    </w:rPr>
  </w:style>
  <w:style w:type="paragraph" w:customStyle="1" w:styleId="1399">
    <w:name w:val="样式 自动表头 + (西文) 黑体 五号 加粗 行距: 单倍行距"/>
    <w:basedOn w:val="1400"/>
    <w:qFormat/>
    <w:uiPriority w:val="0"/>
    <w:pPr>
      <w:spacing w:line="240" w:lineRule="auto"/>
      <w:ind w:firstLine="422" w:firstLineChars="200"/>
    </w:pPr>
    <w:rPr>
      <w:rFonts w:ascii="黑体" w:hAnsi="Times New Roman"/>
      <w:b w:val="0"/>
      <w:bCs/>
      <w:szCs w:val="20"/>
    </w:rPr>
  </w:style>
  <w:style w:type="paragraph" w:customStyle="1" w:styleId="1400">
    <w:name w:val="自动表头"/>
    <w:basedOn w:val="310"/>
    <w:qFormat/>
    <w:uiPriority w:val="0"/>
    <w:pPr>
      <w:autoSpaceDE w:val="0"/>
      <w:autoSpaceDN w:val="0"/>
      <w:snapToGrid/>
      <w:spacing w:beforeLines="50" w:afterLines="50"/>
      <w:jc w:val="both"/>
    </w:pPr>
    <w:rPr>
      <w:rFonts w:ascii="宋体" w:hAnsi="宋体" w:eastAsia="宋体" w:cs="Times New Roman"/>
      <w:color w:val="000000"/>
      <w:kern w:val="2"/>
      <w:sz w:val="21"/>
      <w:szCs w:val="24"/>
      <w:u w:color="000000"/>
    </w:rPr>
  </w:style>
  <w:style w:type="paragraph" w:customStyle="1" w:styleId="1401">
    <w:name w:val="样式 标题 3标题 13标题 3 Char1 Char Char Char标题 31ReHead 3 WSAh3B..."/>
    <w:basedOn w:val="7"/>
    <w:qFormat/>
    <w:uiPriority w:val="0"/>
    <w:pPr>
      <w:keepLines/>
      <w:kinsoku/>
      <w:overflowPunct/>
      <w:topLinePunct w:val="0"/>
      <w:autoSpaceDE/>
      <w:autoSpaceDN/>
      <w:spacing w:before="260" w:beforeLines="50" w:after="260" w:afterLines="50"/>
    </w:pPr>
    <w:rPr>
      <w:kern w:val="2"/>
      <w:szCs w:val="24"/>
      <w:lang w:val="zh-CN"/>
    </w:rPr>
  </w:style>
  <w:style w:type="paragraph" w:customStyle="1" w:styleId="1402">
    <w:name w:val="表格标题（居中）"/>
    <w:basedOn w:val="49"/>
    <w:qFormat/>
    <w:uiPriority w:val="0"/>
    <w:pPr>
      <w:tabs>
        <w:tab w:val="left" w:pos="1260"/>
      </w:tabs>
      <w:topLinePunct w:val="0"/>
      <w:spacing w:before="100" w:beforeLines="50" w:after="100" w:afterLines="50" w:line="360" w:lineRule="auto"/>
      <w:jc w:val="center"/>
    </w:pPr>
    <w:rPr>
      <w:rFonts w:ascii="Times New Roman" w:hAnsi="Times New Roman" w:eastAsia="黑体"/>
      <w:color w:val="000000"/>
      <w:sz w:val="24"/>
      <w:szCs w:val="20"/>
    </w:rPr>
  </w:style>
  <w:style w:type="paragraph" w:customStyle="1" w:styleId="1403">
    <w:name w:val="引言"/>
    <w:basedOn w:val="1"/>
    <w:next w:val="1"/>
    <w:qFormat/>
    <w:uiPriority w:val="0"/>
    <w:pPr>
      <w:topLinePunct w:val="0"/>
      <w:autoSpaceDE w:val="0"/>
      <w:autoSpaceDN w:val="0"/>
      <w:snapToGrid/>
      <w:ind w:firstLine="0" w:firstLineChars="0"/>
      <w:jc w:val="center"/>
    </w:pPr>
    <w:rPr>
      <w:bCs/>
      <w:color w:val="000000"/>
      <w:kern w:val="2"/>
      <w:szCs w:val="20"/>
    </w:rPr>
  </w:style>
  <w:style w:type="paragraph" w:customStyle="1" w:styleId="1404">
    <w:name w:val="+列表1"/>
    <w:basedOn w:val="1"/>
    <w:qFormat/>
    <w:uiPriority w:val="0"/>
    <w:pPr>
      <w:topLinePunct w:val="0"/>
      <w:adjustRightInd/>
      <w:snapToGrid/>
      <w:ind w:firstLine="0" w:firstLineChars="0"/>
      <w:jc w:val="center"/>
    </w:pPr>
    <w:rPr>
      <w:b/>
      <w:kern w:val="2"/>
      <w:szCs w:val="30"/>
    </w:rPr>
  </w:style>
  <w:style w:type="paragraph" w:customStyle="1" w:styleId="1405">
    <w:name w:val="样式  + 首行缩进:  0.75 厘米"/>
    <w:basedOn w:val="1"/>
    <w:qFormat/>
    <w:uiPriority w:val="0"/>
    <w:pPr>
      <w:topLinePunct w:val="0"/>
      <w:adjustRightInd/>
      <w:snapToGrid/>
      <w:ind w:firstLine="425" w:firstLineChars="0"/>
      <w:jc w:val="left"/>
    </w:pPr>
    <w:rPr>
      <w:bCs/>
      <w:kern w:val="2"/>
    </w:rPr>
  </w:style>
  <w:style w:type="paragraph" w:customStyle="1" w:styleId="1406">
    <w:name w:val="样式30"/>
    <w:basedOn w:val="1407"/>
    <w:qFormat/>
    <w:uiPriority w:val="0"/>
    <w:pPr>
      <w:tabs>
        <w:tab w:val="left" w:pos="360"/>
        <w:tab w:val="left" w:pos="945"/>
        <w:tab w:val="left" w:pos="1131"/>
      </w:tabs>
      <w:spacing w:before="156" w:after="156"/>
      <w:ind w:left="864" w:hanging="864"/>
      <w:outlineLvl w:val="3"/>
    </w:pPr>
    <w:rPr>
      <w:rFonts w:ascii="宋体" w:hAnsi="宋体" w:eastAsia="宋体"/>
      <w:bCs/>
      <w:color w:val="000000"/>
      <w:kern w:val="2"/>
      <w:sz w:val="24"/>
      <w:szCs w:val="24"/>
    </w:rPr>
  </w:style>
  <w:style w:type="paragraph" w:customStyle="1" w:styleId="1407">
    <w:name w:val="样式26"/>
    <w:basedOn w:val="1"/>
    <w:qFormat/>
    <w:uiPriority w:val="0"/>
    <w:pPr>
      <w:keepNext/>
      <w:keepLines/>
      <w:topLinePunct w:val="0"/>
      <w:adjustRightInd/>
      <w:snapToGrid/>
      <w:spacing w:beforeLines="50" w:afterLines="50"/>
      <w:ind w:firstLine="0" w:firstLineChars="0"/>
      <w:outlineLvl w:val="0"/>
    </w:pPr>
    <w:rPr>
      <w:rFonts w:eastAsia="黑体"/>
      <w:kern w:val="44"/>
      <w:sz w:val="30"/>
      <w:szCs w:val="44"/>
    </w:rPr>
  </w:style>
  <w:style w:type="paragraph" w:customStyle="1" w:styleId="1408">
    <w:name w:val="样式 标题 4标题 14 + 加粗 无下划线 自动设置 段前: 3 磅 段后: 10 磅4"/>
    <w:basedOn w:val="8"/>
    <w:qFormat/>
    <w:uiPriority w:val="0"/>
    <w:pPr>
      <w:keepLines w:val="0"/>
      <w:widowControl w:val="0"/>
      <w:tabs>
        <w:tab w:val="left" w:pos="2160"/>
      </w:tabs>
      <w:topLinePunct w:val="0"/>
      <w:spacing w:before="60" w:after="200"/>
      <w:ind w:left="2160" w:hanging="420"/>
    </w:pPr>
    <w:rPr>
      <w:kern w:val="2"/>
      <w:szCs w:val="20"/>
    </w:rPr>
  </w:style>
  <w:style w:type="paragraph" w:customStyle="1" w:styleId="1409">
    <w:name w:val="报告表格表头"/>
    <w:basedOn w:val="43"/>
    <w:qFormat/>
    <w:uiPriority w:val="0"/>
    <w:pPr>
      <w:tabs>
        <w:tab w:val="left" w:pos="0"/>
      </w:tabs>
      <w:spacing w:line="360" w:lineRule="auto"/>
      <w:ind w:left="0" w:leftChars="0" w:right="0" w:rightChars="0" w:firstLine="400" w:firstLineChars="400"/>
    </w:pPr>
    <w:rPr>
      <w:b/>
      <w:bCs/>
      <w:color w:val="000000"/>
      <w:sz w:val="24"/>
    </w:rPr>
  </w:style>
  <w:style w:type="paragraph" w:customStyle="1" w:styleId="1410">
    <w:name w:val="样式 样式 自动表头 + (西文) 黑体 五号 加粗 行距: 单倍行距 + 加粗"/>
    <w:basedOn w:val="1399"/>
    <w:qFormat/>
    <w:uiPriority w:val="0"/>
    <w:rPr>
      <w:b/>
    </w:rPr>
  </w:style>
  <w:style w:type="paragraph" w:customStyle="1" w:styleId="1411">
    <w:name w:val="标准"/>
    <w:basedOn w:val="1"/>
    <w:qFormat/>
    <w:uiPriority w:val="0"/>
    <w:pPr>
      <w:topLinePunct w:val="0"/>
      <w:snapToGrid/>
      <w:spacing w:line="480" w:lineRule="exact"/>
      <w:ind w:firstLine="0" w:firstLineChars="0"/>
      <w:textAlignment w:val="baseline"/>
    </w:pPr>
    <w:rPr>
      <w:sz w:val="28"/>
      <w:szCs w:val="20"/>
      <w:lang w:val="en-GB"/>
    </w:rPr>
  </w:style>
  <w:style w:type="paragraph" w:customStyle="1" w:styleId="1412">
    <w:name w:val="gyy正文文字"/>
    <w:basedOn w:val="1"/>
    <w:qFormat/>
    <w:uiPriority w:val="0"/>
    <w:pPr>
      <w:topLinePunct w:val="0"/>
      <w:adjustRightInd/>
      <w:snapToGrid/>
      <w:ind w:firstLine="471" w:firstLineChars="0"/>
    </w:pPr>
    <w:rPr>
      <w:rFonts w:ascii="Calibri" w:hAnsi="Calibri" w:cs="宋体"/>
      <w:color w:val="000000"/>
      <w:spacing w:val="14"/>
      <w:kern w:val="2"/>
      <w:szCs w:val="22"/>
    </w:rPr>
  </w:style>
  <w:style w:type="paragraph" w:customStyle="1" w:styleId="1413">
    <w:name w:val="样式10"/>
    <w:basedOn w:val="1414"/>
    <w:qFormat/>
    <w:uiPriority w:val="0"/>
    <w:pPr>
      <w:tabs>
        <w:tab w:val="left" w:pos="567"/>
        <w:tab w:val="left" w:pos="720"/>
        <w:tab w:val="left" w:pos="1418"/>
        <w:tab w:val="left" w:pos="1571"/>
      </w:tabs>
      <w:ind w:left="1418" w:hanging="567"/>
    </w:pPr>
  </w:style>
  <w:style w:type="paragraph" w:customStyle="1" w:styleId="1414">
    <w:name w:val="样式11"/>
    <w:basedOn w:val="1"/>
    <w:qFormat/>
    <w:uiPriority w:val="0"/>
    <w:pPr>
      <w:keepNext/>
      <w:keepLines/>
      <w:tabs>
        <w:tab w:val="left" w:pos="567"/>
        <w:tab w:val="left" w:pos="720"/>
      </w:tabs>
      <w:topLinePunct w:val="0"/>
      <w:adjustRightInd/>
      <w:snapToGrid/>
      <w:spacing w:before="50" w:after="50"/>
      <w:ind w:left="720" w:hanging="720" w:firstLineChars="0"/>
      <w:outlineLvl w:val="2"/>
    </w:pPr>
    <w:rPr>
      <w:rFonts w:ascii="宋体" w:hAnsi="宋体" w:cs="Arial Unicode MS"/>
      <w:b/>
      <w:color w:val="000000"/>
      <w:kern w:val="2"/>
    </w:rPr>
  </w:style>
  <w:style w:type="paragraph" w:customStyle="1" w:styleId="1415">
    <w:name w:val="样式39"/>
    <w:basedOn w:val="1"/>
    <w:qFormat/>
    <w:uiPriority w:val="0"/>
    <w:pPr>
      <w:topLinePunct w:val="0"/>
      <w:adjustRightInd/>
      <w:snapToGrid/>
      <w:spacing w:line="240" w:lineRule="exact"/>
      <w:ind w:firstLine="0" w:firstLineChars="0"/>
    </w:pPr>
    <w:rPr>
      <w:bCs/>
      <w:kern w:val="2"/>
    </w:rPr>
  </w:style>
  <w:style w:type="paragraph" w:customStyle="1" w:styleId="1416">
    <w:name w:val="hao01-T"/>
    <w:next w:val="1"/>
    <w:qFormat/>
    <w:uiPriority w:val="0"/>
    <w:pPr>
      <w:jc w:val="center"/>
    </w:pPr>
    <w:rPr>
      <w:rFonts w:ascii="Times New Roman" w:hAnsi="Times New Roman" w:eastAsia="宋体" w:cs="Times New Roman"/>
      <w:kern w:val="2"/>
      <w:sz w:val="24"/>
      <w:lang w:val="en-US" w:eastAsia="zh-CN" w:bidi="ar-SA"/>
    </w:rPr>
  </w:style>
  <w:style w:type="paragraph" w:customStyle="1" w:styleId="1417">
    <w:name w:val="表——索引"/>
    <w:basedOn w:val="1"/>
    <w:qFormat/>
    <w:uiPriority w:val="0"/>
    <w:pPr>
      <w:widowControl/>
      <w:topLinePunct w:val="0"/>
      <w:adjustRightInd/>
      <w:snapToGrid/>
      <w:ind w:firstLine="0" w:firstLineChars="0"/>
      <w:jc w:val="center"/>
    </w:pPr>
    <w:rPr>
      <w:rFonts w:ascii="宋体" w:hAnsi="宋体"/>
      <w:color w:val="000000"/>
      <w:kern w:val="2"/>
    </w:rPr>
  </w:style>
  <w:style w:type="paragraph" w:customStyle="1" w:styleId="1418">
    <w:name w:val="acee正文"/>
    <w:basedOn w:val="1"/>
    <w:qFormat/>
    <w:uiPriority w:val="0"/>
    <w:pPr>
      <w:topLinePunct w:val="0"/>
      <w:adjustRightInd/>
      <w:snapToGrid/>
      <w:spacing w:line="480" w:lineRule="exact"/>
      <w:ind w:firstLine="480"/>
    </w:pPr>
    <w:rPr>
      <w:rFonts w:ascii="宋体" w:hAnsi="宋体"/>
      <w:kern w:val="40"/>
    </w:rPr>
  </w:style>
  <w:style w:type="paragraph" w:customStyle="1" w:styleId="1419">
    <w:name w:val="19"/>
    <w:basedOn w:val="1"/>
    <w:qFormat/>
    <w:uiPriority w:val="0"/>
    <w:pPr>
      <w:widowControl/>
      <w:topLinePunct w:val="0"/>
      <w:adjustRightInd/>
      <w:spacing w:before="100" w:beforeAutospacing="1" w:after="100" w:afterAutospacing="1" w:line="300" w:lineRule="auto"/>
      <w:ind w:firstLine="482" w:firstLineChars="0"/>
    </w:pPr>
  </w:style>
  <w:style w:type="paragraph" w:customStyle="1" w:styleId="1420">
    <w:name w:val="文本框文字1"/>
    <w:qFormat/>
    <w:uiPriority w:val="0"/>
    <w:pPr>
      <w:jc w:val="center"/>
    </w:pPr>
    <w:rPr>
      <w:rFonts w:ascii="Times New Roman" w:hAnsi="Times New Roman" w:eastAsia="宋体" w:cs="Times New Roman"/>
      <w:sz w:val="24"/>
      <w:lang w:val="en-US" w:eastAsia="zh-CN" w:bidi="ar-SA"/>
    </w:rPr>
  </w:style>
  <w:style w:type="paragraph" w:customStyle="1" w:styleId="1421">
    <w:name w:val="YHY"/>
    <w:basedOn w:val="1"/>
    <w:qFormat/>
    <w:uiPriority w:val="0"/>
    <w:pPr>
      <w:topLinePunct w:val="0"/>
      <w:adjustRightInd/>
      <w:snapToGrid/>
      <w:spacing w:beforeLines="50" w:afterLines="50"/>
    </w:pPr>
    <w:rPr>
      <w:rFonts w:cs="宋体"/>
      <w:kern w:val="2"/>
    </w:rPr>
  </w:style>
  <w:style w:type="paragraph" w:customStyle="1" w:styleId="1422">
    <w:name w:val="样式 标题 3a标题 3标题 13标题 3 Char1 Char Char Char标题 31ReHead 3 WS...2"/>
    <w:basedOn w:val="7"/>
    <w:qFormat/>
    <w:uiPriority w:val="0"/>
    <w:pPr>
      <w:keepLines/>
      <w:tabs>
        <w:tab w:val="left" w:pos="825"/>
      </w:tabs>
      <w:kinsoku/>
      <w:overflowPunct/>
      <w:topLinePunct w:val="0"/>
      <w:autoSpaceDE/>
      <w:autoSpaceDN/>
      <w:adjustRightInd/>
      <w:snapToGrid/>
      <w:spacing w:before="260" w:beforeLines="50" w:after="260" w:afterLines="50"/>
      <w:ind w:left="825" w:hanging="720"/>
      <w:jc w:val="both"/>
    </w:pPr>
    <w:rPr>
      <w:rFonts w:ascii="黑体" w:hAnsi="黑体"/>
      <w:bCs w:val="0"/>
      <w:kern w:val="2"/>
      <w:szCs w:val="32"/>
    </w:rPr>
  </w:style>
  <w:style w:type="paragraph" w:customStyle="1" w:styleId="1423">
    <w:name w:val="报告标题4"/>
    <w:basedOn w:val="1"/>
    <w:qFormat/>
    <w:uiPriority w:val="0"/>
    <w:pPr>
      <w:keepNext/>
      <w:keepLines/>
      <w:tabs>
        <w:tab w:val="left" w:pos="0"/>
        <w:tab w:val="left" w:pos="864"/>
      </w:tabs>
      <w:topLinePunct w:val="0"/>
      <w:adjustRightInd/>
      <w:snapToGrid/>
      <w:spacing w:beforeLines="50"/>
      <w:ind w:left="864" w:hanging="864" w:firstLineChars="0"/>
      <w:jc w:val="left"/>
      <w:outlineLvl w:val="3"/>
    </w:pPr>
    <w:rPr>
      <w:rFonts w:ascii="Arial" w:hAnsi="Arial"/>
      <w:b/>
      <w:color w:val="000000"/>
      <w:kern w:val="2"/>
      <w:szCs w:val="32"/>
    </w:rPr>
  </w:style>
  <w:style w:type="paragraph" w:customStyle="1" w:styleId="1424">
    <w:name w:val="样式1111"/>
    <w:basedOn w:val="1"/>
    <w:qFormat/>
    <w:uiPriority w:val="0"/>
    <w:pPr>
      <w:topLinePunct w:val="0"/>
      <w:adjustRightInd/>
      <w:snapToGrid/>
      <w:spacing w:beforeLines="50" w:afterLines="50"/>
      <w:ind w:firstLine="480"/>
    </w:pPr>
    <w:rPr>
      <w:rFonts w:eastAsia="Times New Roman"/>
      <w:kern w:val="2"/>
    </w:rPr>
  </w:style>
  <w:style w:type="paragraph" w:customStyle="1" w:styleId="1425">
    <w:name w:val="正文(首行缩进2字)"/>
    <w:basedOn w:val="1"/>
    <w:next w:val="1"/>
    <w:qFormat/>
    <w:uiPriority w:val="0"/>
    <w:pPr>
      <w:topLinePunct w:val="0"/>
      <w:snapToGrid/>
      <w:spacing w:line="520" w:lineRule="exact"/>
      <w:ind w:firstLine="0" w:firstLineChars="0"/>
      <w:jc w:val="left"/>
      <w:textAlignment w:val="baseline"/>
    </w:pPr>
    <w:rPr>
      <w:rFonts w:ascii="宋体" w:hAnsi="宋体"/>
      <w:color w:val="000000"/>
    </w:rPr>
  </w:style>
  <w:style w:type="paragraph" w:customStyle="1" w:styleId="1426">
    <w:name w:val="二级无标题条"/>
    <w:basedOn w:val="1"/>
    <w:qFormat/>
    <w:uiPriority w:val="0"/>
    <w:pPr>
      <w:tabs>
        <w:tab w:val="left" w:pos="2160"/>
      </w:tabs>
      <w:topLinePunct w:val="0"/>
      <w:adjustRightInd/>
      <w:snapToGrid/>
      <w:ind w:left="2160" w:hanging="420" w:firstLineChars="0"/>
    </w:pPr>
    <w:rPr>
      <w:kern w:val="2"/>
    </w:rPr>
  </w:style>
  <w:style w:type="paragraph" w:customStyle="1" w:styleId="1427">
    <w:name w:val="样2"/>
    <w:basedOn w:val="1"/>
    <w:next w:val="1"/>
    <w:qFormat/>
    <w:uiPriority w:val="0"/>
    <w:pPr>
      <w:topLinePunct w:val="0"/>
      <w:snapToGrid/>
      <w:ind w:firstLine="0" w:firstLineChars="0"/>
      <w:jc w:val="center"/>
      <w:textAlignment w:val="baseline"/>
    </w:pPr>
    <w:rPr>
      <w:szCs w:val="20"/>
    </w:rPr>
  </w:style>
  <w:style w:type="paragraph" w:customStyle="1" w:styleId="1428">
    <w:name w:val="表图标"/>
    <w:basedOn w:val="9"/>
    <w:next w:val="9"/>
    <w:qFormat/>
    <w:uiPriority w:val="0"/>
    <w:pPr>
      <w:adjustRightInd w:val="0"/>
      <w:snapToGrid w:val="0"/>
      <w:spacing w:afterLines="50" w:line="400" w:lineRule="exact"/>
      <w:ind w:firstLine="560"/>
      <w:jc w:val="center"/>
    </w:pPr>
    <w:rPr>
      <w:rFonts w:ascii="宋体" w:hAnsi="宋体"/>
      <w:b/>
      <w:sz w:val="28"/>
    </w:rPr>
  </w:style>
  <w:style w:type="paragraph" w:customStyle="1" w:styleId="1429">
    <w:name w:val="样式27"/>
    <w:basedOn w:val="780"/>
    <w:qFormat/>
    <w:uiPriority w:val="0"/>
    <w:pPr>
      <w:keepNext/>
      <w:keepLines/>
      <w:tabs>
        <w:tab w:val="left" w:pos="360"/>
        <w:tab w:val="left" w:pos="540"/>
        <w:tab w:val="left" w:pos="600"/>
      </w:tabs>
      <w:spacing w:beforeLines="50" w:afterLines="50" w:line="360" w:lineRule="auto"/>
      <w:ind w:hanging="360"/>
      <w:jc w:val="both"/>
      <w:outlineLvl w:val="1"/>
    </w:pPr>
    <w:rPr>
      <w:rFonts w:ascii="宋体" w:hAnsi="宋体"/>
      <w:b/>
      <w:sz w:val="28"/>
      <w:szCs w:val="28"/>
    </w:rPr>
  </w:style>
  <w:style w:type="paragraph" w:customStyle="1" w:styleId="1430">
    <w:name w:val="Char21"/>
    <w:basedOn w:val="1"/>
    <w:qFormat/>
    <w:uiPriority w:val="0"/>
    <w:pPr>
      <w:topLinePunct w:val="0"/>
      <w:adjustRightInd/>
      <w:snapToGrid/>
      <w:ind w:firstLine="0" w:firstLineChars="0"/>
    </w:pPr>
    <w:rPr>
      <w:kern w:val="2"/>
    </w:rPr>
  </w:style>
  <w:style w:type="paragraph" w:customStyle="1" w:styleId="1431">
    <w:name w:val="样式 宋体 小四 行距: 1.5 倍行距"/>
    <w:basedOn w:val="1"/>
    <w:qFormat/>
    <w:uiPriority w:val="0"/>
    <w:pPr>
      <w:topLinePunct w:val="0"/>
      <w:adjustRightInd/>
      <w:snapToGrid/>
      <w:spacing w:line="500" w:lineRule="exact"/>
      <w:ind w:firstLine="0" w:firstLineChars="0"/>
    </w:pPr>
    <w:rPr>
      <w:rFonts w:ascii="宋体"/>
      <w:kern w:val="2"/>
      <w:szCs w:val="20"/>
    </w:rPr>
  </w:style>
  <w:style w:type="paragraph" w:customStyle="1" w:styleId="1432">
    <w:name w:val="_Style 1"/>
    <w:basedOn w:val="1"/>
    <w:qFormat/>
    <w:uiPriority w:val="0"/>
    <w:pPr>
      <w:topLinePunct w:val="0"/>
      <w:adjustRightInd/>
      <w:snapToGrid/>
      <w:ind w:firstLine="0" w:firstLineChars="0"/>
    </w:pPr>
    <w:rPr>
      <w:kern w:val="2"/>
    </w:rPr>
  </w:style>
  <w:style w:type="paragraph" w:customStyle="1" w:styleId="1433">
    <w:name w:val="样式36"/>
    <w:basedOn w:val="1434"/>
    <w:qFormat/>
    <w:uiPriority w:val="0"/>
    <w:pPr>
      <w:tabs>
        <w:tab w:val="left" w:pos="567"/>
      </w:tabs>
      <w:ind w:left="284" w:hanging="284"/>
    </w:pPr>
  </w:style>
  <w:style w:type="paragraph" w:customStyle="1" w:styleId="1434">
    <w:name w:val="样式32"/>
    <w:basedOn w:val="1345"/>
    <w:qFormat/>
    <w:uiPriority w:val="0"/>
    <w:pPr>
      <w:keepNext/>
      <w:keepLines/>
      <w:snapToGrid/>
      <w:spacing w:beforeLines="0" w:afterLines="0"/>
      <w:ind w:firstLine="0" w:firstLineChars="0"/>
      <w:outlineLvl w:val="1"/>
    </w:pPr>
    <w:rPr>
      <w:rFonts w:ascii="黑体" w:hAnsi="Arial" w:eastAsia="黑体"/>
      <w:b/>
      <w:bCs/>
      <w:kern w:val="2"/>
      <w:sz w:val="28"/>
      <w:szCs w:val="28"/>
    </w:rPr>
  </w:style>
  <w:style w:type="paragraph" w:customStyle="1" w:styleId="1435">
    <w:name w:val="报告表格内文"/>
    <w:basedOn w:val="43"/>
    <w:qFormat/>
    <w:uiPriority w:val="0"/>
    <w:pPr>
      <w:tabs>
        <w:tab w:val="left" w:pos="0"/>
      </w:tabs>
      <w:adjustRightInd w:val="0"/>
      <w:spacing w:line="400" w:lineRule="exact"/>
      <w:ind w:left="0" w:leftChars="0" w:right="0" w:rightChars="0" w:firstLine="0"/>
      <w:jc w:val="center"/>
    </w:pPr>
    <w:rPr>
      <w:bCs/>
      <w:color w:val="000000"/>
      <w:sz w:val="24"/>
    </w:rPr>
  </w:style>
  <w:style w:type="paragraph" w:customStyle="1" w:styleId="1436">
    <w:name w:val="样式 段落1 + 自动设置"/>
    <w:basedOn w:val="1339"/>
    <w:qFormat/>
    <w:uiPriority w:val="0"/>
    <w:pPr>
      <w:ind w:firstLine="840" w:firstLineChars="400"/>
    </w:pPr>
    <w:rPr>
      <w:rFonts w:ascii="黑体" w:hAnsi="宋体"/>
      <w:bCs w:val="0"/>
      <w:spacing w:val="0"/>
      <w:szCs w:val="21"/>
    </w:rPr>
  </w:style>
  <w:style w:type="paragraph" w:customStyle="1" w:styleId="1437">
    <w:name w:val="小节3"/>
    <w:basedOn w:val="1438"/>
    <w:qFormat/>
    <w:uiPriority w:val="0"/>
    <w:pPr>
      <w:outlineLvl w:val="2"/>
    </w:pPr>
    <w:rPr>
      <w:b/>
    </w:rPr>
  </w:style>
  <w:style w:type="paragraph" w:customStyle="1" w:styleId="1438">
    <w:name w:val="段落4"/>
    <w:basedOn w:val="1"/>
    <w:qFormat/>
    <w:uiPriority w:val="0"/>
    <w:pPr>
      <w:topLinePunct w:val="0"/>
      <w:autoSpaceDE w:val="0"/>
      <w:autoSpaceDN w:val="0"/>
      <w:snapToGrid/>
      <w:ind w:right="23" w:firstLine="0" w:firstLineChars="0"/>
      <w:jc w:val="left"/>
      <w:outlineLvl w:val="3"/>
    </w:pPr>
    <w:rPr>
      <w:rFonts w:ascii="宋体" w:cs="宋体"/>
      <w:color w:val="000000"/>
      <w:spacing w:val="1"/>
      <w:sz w:val="29"/>
      <w:szCs w:val="27"/>
    </w:rPr>
  </w:style>
  <w:style w:type="paragraph" w:customStyle="1" w:styleId="1439">
    <w:name w:val="样式 标题 2标题 21标题 121节H2SeHead wsa2标题 1.1 + 黑体 四号 非加粗"/>
    <w:basedOn w:val="6"/>
    <w:qFormat/>
    <w:uiPriority w:val="0"/>
    <w:pPr>
      <w:tabs>
        <w:tab w:val="left" w:pos="425"/>
        <w:tab w:val="left" w:pos="612"/>
        <w:tab w:val="left" w:pos="1476"/>
      </w:tabs>
      <w:topLinePunct w:val="0"/>
      <w:adjustRightInd/>
      <w:snapToGrid/>
      <w:spacing w:before="260" w:after="260" w:line="413" w:lineRule="auto"/>
      <w:ind w:left="612" w:hanging="432"/>
      <w:jc w:val="both"/>
    </w:pPr>
    <w:rPr>
      <w:rFonts w:ascii="黑体" w:hAnsi="黑体" w:eastAsia="黑体"/>
      <w:b w:val="0"/>
      <w:bCs w:val="0"/>
      <w:kern w:val="2"/>
      <w:szCs w:val="20"/>
    </w:rPr>
  </w:style>
  <w:style w:type="paragraph" w:customStyle="1" w:styleId="1440">
    <w:name w:val="样式22"/>
    <w:basedOn w:val="1"/>
    <w:qFormat/>
    <w:uiPriority w:val="0"/>
    <w:pPr>
      <w:topLinePunct w:val="0"/>
      <w:spacing w:line="300" w:lineRule="exact"/>
      <w:ind w:firstLine="0" w:firstLineChars="0"/>
      <w:jc w:val="center"/>
    </w:pPr>
    <w:rPr>
      <w:color w:val="000000"/>
      <w:kern w:val="2"/>
      <w:szCs w:val="20"/>
    </w:rPr>
  </w:style>
  <w:style w:type="paragraph" w:customStyle="1" w:styleId="1441">
    <w:name w:val="样式 标题 2标题 21标题 121 + Times New Roman 小三 非加粗 黑色 段前: 8 磅 段..."/>
    <w:basedOn w:val="6"/>
    <w:qFormat/>
    <w:uiPriority w:val="0"/>
    <w:pPr>
      <w:tabs>
        <w:tab w:val="left" w:pos="360"/>
        <w:tab w:val="left" w:pos="1400"/>
      </w:tabs>
      <w:topLinePunct w:val="0"/>
      <w:adjustRightInd/>
      <w:snapToGrid/>
      <w:spacing w:before="160" w:after="160"/>
      <w:jc w:val="both"/>
    </w:pPr>
    <w:rPr>
      <w:rFonts w:eastAsia="黑体"/>
      <w:b w:val="0"/>
      <w:bCs w:val="0"/>
      <w:color w:val="000000"/>
      <w:kern w:val="2"/>
      <w:sz w:val="30"/>
      <w:szCs w:val="20"/>
    </w:rPr>
  </w:style>
  <w:style w:type="paragraph" w:customStyle="1" w:styleId="1442">
    <w:name w:val="正文-叶"/>
    <w:basedOn w:val="1"/>
    <w:qFormat/>
    <w:uiPriority w:val="0"/>
    <w:pPr>
      <w:adjustRightInd/>
      <w:snapToGrid/>
      <w:spacing w:line="312" w:lineRule="auto"/>
      <w:ind w:firstLine="465" w:firstLineChars="0"/>
    </w:pPr>
    <w:rPr>
      <w:kern w:val="2"/>
      <w:szCs w:val="20"/>
    </w:rPr>
  </w:style>
  <w:style w:type="paragraph" w:customStyle="1" w:styleId="1443">
    <w:name w:val="三级无标题条"/>
    <w:basedOn w:val="1"/>
    <w:qFormat/>
    <w:uiPriority w:val="0"/>
    <w:pPr>
      <w:tabs>
        <w:tab w:val="left" w:pos="1680"/>
        <w:tab w:val="left" w:pos="2580"/>
      </w:tabs>
      <w:topLinePunct w:val="0"/>
      <w:adjustRightInd/>
      <w:snapToGrid/>
      <w:ind w:left="2580" w:hanging="420" w:firstLineChars="0"/>
    </w:pPr>
    <w:rPr>
      <w:kern w:val="2"/>
    </w:rPr>
  </w:style>
  <w:style w:type="paragraph" w:customStyle="1" w:styleId="1444">
    <w:name w:val="样式 样式31 + 段前: 0.5 行 段后: 0.5 行"/>
    <w:basedOn w:val="1445"/>
    <w:qFormat/>
    <w:uiPriority w:val="0"/>
    <w:pPr>
      <w:tabs>
        <w:tab w:val="left" w:pos="425"/>
      </w:tabs>
      <w:spacing w:before="156" w:after="156"/>
    </w:pPr>
    <w:rPr>
      <w:rFonts w:cs="宋体"/>
      <w:szCs w:val="20"/>
    </w:rPr>
  </w:style>
  <w:style w:type="paragraph" w:customStyle="1" w:styleId="1445">
    <w:name w:val="样式31"/>
    <w:basedOn w:val="1429"/>
    <w:qFormat/>
    <w:uiPriority w:val="0"/>
    <w:pPr>
      <w:tabs>
        <w:tab w:val="left" w:pos="425"/>
        <w:tab w:val="clear" w:pos="360"/>
        <w:tab w:val="clear" w:pos="540"/>
        <w:tab w:val="clear" w:pos="600"/>
      </w:tabs>
      <w:ind w:left="425" w:hanging="425"/>
      <w:outlineLvl w:val="0"/>
    </w:pPr>
    <w:rPr>
      <w:rFonts w:ascii="黑体" w:hAnsi="Arial Unicode MS" w:cs="Arial Unicode MS"/>
      <w:b w:val="0"/>
      <w:bCs/>
      <w:color w:val="000000"/>
      <w:kern w:val="44"/>
      <w:sz w:val="30"/>
      <w:szCs w:val="30"/>
    </w:rPr>
  </w:style>
  <w:style w:type="paragraph" w:customStyle="1" w:styleId="1446">
    <w:name w:val="48"/>
    <w:basedOn w:val="1"/>
    <w:qFormat/>
    <w:uiPriority w:val="0"/>
    <w:pPr>
      <w:widowControl/>
      <w:topLinePunct w:val="0"/>
      <w:adjustRightInd/>
      <w:spacing w:before="120" w:after="120"/>
      <w:ind w:firstLine="0" w:firstLineChars="0"/>
    </w:pPr>
    <w:rPr>
      <w:rFonts w:hint="eastAsia" w:ascii="黑体" w:hAnsi="宋体" w:eastAsia="黑体"/>
      <w:b/>
      <w:bCs/>
      <w:color w:val="000000"/>
      <w:szCs w:val="21"/>
    </w:rPr>
  </w:style>
  <w:style w:type="paragraph" w:customStyle="1" w:styleId="1447">
    <w:name w:val="样式 标题 4标题 14 + 加粗 无下划线 自动设置 段前: 3 磅 段后: 10 磅2"/>
    <w:basedOn w:val="8"/>
    <w:qFormat/>
    <w:uiPriority w:val="0"/>
    <w:pPr>
      <w:keepLines w:val="0"/>
      <w:widowControl w:val="0"/>
      <w:numPr>
        <w:ilvl w:val="3"/>
        <w:numId w:val="1"/>
      </w:numPr>
      <w:tabs>
        <w:tab w:val="left" w:pos="425"/>
      </w:tabs>
      <w:topLinePunct w:val="0"/>
      <w:spacing w:before="60" w:after="200"/>
    </w:pPr>
    <w:rPr>
      <w:kern w:val="2"/>
      <w:szCs w:val="20"/>
    </w:rPr>
  </w:style>
  <w:style w:type="paragraph" w:customStyle="1" w:styleId="1448">
    <w:name w:val="样式 标题 4标题 14 + 加粗 无下划线 自动设置 段前: 3 磅 段后: 10 磅1"/>
    <w:basedOn w:val="8"/>
    <w:qFormat/>
    <w:uiPriority w:val="0"/>
    <w:pPr>
      <w:keepLines w:val="0"/>
      <w:widowControl w:val="0"/>
      <w:tabs>
        <w:tab w:val="left" w:pos="1080"/>
      </w:tabs>
      <w:topLinePunct w:val="0"/>
      <w:spacing w:before="60" w:after="200"/>
      <w:ind w:left="851" w:hanging="851"/>
    </w:pPr>
    <w:rPr>
      <w:kern w:val="2"/>
      <w:szCs w:val="20"/>
    </w:rPr>
  </w:style>
  <w:style w:type="paragraph" w:customStyle="1" w:styleId="1449">
    <w:name w:val="表样式1"/>
    <w:basedOn w:val="1"/>
    <w:qFormat/>
    <w:uiPriority w:val="0"/>
    <w:pPr>
      <w:topLinePunct w:val="0"/>
      <w:adjustRightInd/>
      <w:snapToGrid/>
      <w:spacing w:line="380" w:lineRule="exact"/>
      <w:ind w:right="-275" w:rightChars="-131" w:firstLine="0" w:firstLineChars="0"/>
      <w:jc w:val="center"/>
    </w:pPr>
    <w:rPr>
      <w:rFonts w:ascii="宋体" w:hAnsi="宋体"/>
      <w:kern w:val="2"/>
      <w:szCs w:val="21"/>
    </w:rPr>
  </w:style>
  <w:style w:type="paragraph" w:customStyle="1" w:styleId="1450">
    <w:name w:val="样式28"/>
    <w:basedOn w:val="1"/>
    <w:qFormat/>
    <w:uiPriority w:val="0"/>
    <w:pPr>
      <w:keepNext/>
      <w:keepLines/>
      <w:tabs>
        <w:tab w:val="left" w:pos="0"/>
        <w:tab w:val="left" w:pos="284"/>
        <w:tab w:val="left" w:pos="720"/>
      </w:tabs>
      <w:topLinePunct w:val="0"/>
      <w:adjustRightInd/>
      <w:snapToGrid/>
      <w:spacing w:beforeLines="50" w:afterLines="50"/>
      <w:ind w:left="113" w:hanging="113" w:firstLineChars="0"/>
      <w:outlineLvl w:val="3"/>
    </w:pPr>
    <w:rPr>
      <w:kern w:val="2"/>
      <w:szCs w:val="28"/>
    </w:rPr>
  </w:style>
  <w:style w:type="paragraph" w:customStyle="1" w:styleId="1451">
    <w:name w:val="表格，内容"/>
    <w:basedOn w:val="1"/>
    <w:qFormat/>
    <w:uiPriority w:val="0"/>
    <w:pPr>
      <w:topLinePunct w:val="0"/>
      <w:adjustRightInd/>
      <w:snapToGrid/>
      <w:ind w:firstLine="0" w:firstLineChars="0"/>
      <w:jc w:val="center"/>
    </w:pPr>
    <w:rPr>
      <w:spacing w:val="10"/>
      <w:kern w:val="44"/>
    </w:rPr>
  </w:style>
  <w:style w:type="paragraph" w:customStyle="1" w:styleId="1452">
    <w:name w:val="样式12"/>
    <w:basedOn w:val="1"/>
    <w:qFormat/>
    <w:uiPriority w:val="0"/>
    <w:pPr>
      <w:keepNext/>
      <w:keepLines/>
      <w:tabs>
        <w:tab w:val="left" w:pos="864"/>
        <w:tab w:val="left" w:pos="1131"/>
      </w:tabs>
      <w:topLinePunct w:val="0"/>
      <w:adjustRightInd/>
      <w:snapToGrid/>
      <w:spacing w:beforeLines="50" w:afterLines="50"/>
      <w:ind w:left="864" w:hanging="864" w:firstLineChars="0"/>
      <w:outlineLvl w:val="3"/>
    </w:pPr>
    <w:rPr>
      <w:rFonts w:ascii="宋体" w:hAnsi="宋体"/>
      <w:bCs/>
      <w:color w:val="000000"/>
      <w:kern w:val="2"/>
    </w:rPr>
  </w:style>
  <w:style w:type="paragraph" w:customStyle="1" w:styleId="1453">
    <w:name w:val="hao01-TH"/>
    <w:next w:val="1"/>
    <w:qFormat/>
    <w:uiPriority w:val="0"/>
    <w:pPr>
      <w:widowControl w:val="0"/>
      <w:spacing w:line="360" w:lineRule="auto"/>
      <w:jc w:val="center"/>
    </w:pPr>
    <w:rPr>
      <w:rFonts w:ascii="宋体" w:hAnsi="宋体" w:eastAsia="宋体" w:cs="Times New Roman"/>
      <w:bCs/>
      <w:color w:val="000000"/>
      <w:kern w:val="2"/>
      <w:sz w:val="28"/>
      <w:szCs w:val="24"/>
      <w:lang w:val="en-US" w:eastAsia="zh-CN" w:bidi="ar-SA"/>
    </w:rPr>
  </w:style>
  <w:style w:type="paragraph" w:customStyle="1" w:styleId="1454">
    <w:name w:val="样式 标题 2标题 21标题 121 + Times New Roman 小三 非加粗 黑色 段前: 8 磅 段...2"/>
    <w:basedOn w:val="6"/>
    <w:qFormat/>
    <w:uiPriority w:val="0"/>
    <w:pPr>
      <w:tabs>
        <w:tab w:val="left" w:pos="1322"/>
      </w:tabs>
      <w:topLinePunct w:val="0"/>
      <w:adjustRightInd/>
      <w:snapToGrid/>
      <w:spacing w:before="160" w:after="160"/>
      <w:ind w:left="1322" w:hanging="420"/>
      <w:jc w:val="both"/>
    </w:pPr>
    <w:rPr>
      <w:rFonts w:eastAsia="黑体"/>
      <w:b w:val="0"/>
      <w:bCs w:val="0"/>
      <w:color w:val="000000"/>
      <w:kern w:val="2"/>
      <w:sz w:val="30"/>
      <w:szCs w:val="20"/>
    </w:rPr>
  </w:style>
  <w:style w:type="paragraph" w:customStyle="1" w:styleId="1455">
    <w:name w:val="表文YHY"/>
    <w:qFormat/>
    <w:uiPriority w:val="0"/>
    <w:pPr>
      <w:jc w:val="center"/>
    </w:pPr>
    <w:rPr>
      <w:rFonts w:ascii="Times New Roman" w:hAnsi="Times New Roman" w:eastAsia="宋体" w:cs="Times New Roman"/>
      <w:sz w:val="21"/>
      <w:szCs w:val="21"/>
      <w:lang w:val="en-US" w:eastAsia="zh-CN" w:bidi="ar-SA"/>
    </w:rPr>
  </w:style>
  <w:style w:type="paragraph" w:customStyle="1" w:styleId="1456">
    <w:name w:val="Char Char12 Char Char Char Char"/>
    <w:basedOn w:val="1"/>
    <w:qFormat/>
    <w:uiPriority w:val="0"/>
    <w:pPr>
      <w:topLinePunct w:val="0"/>
      <w:adjustRightInd/>
      <w:snapToGrid/>
      <w:ind w:firstLine="0" w:firstLineChars="0"/>
    </w:pPr>
    <w:rPr>
      <w:kern w:val="2"/>
      <w:sz w:val="32"/>
      <w:szCs w:val="32"/>
    </w:rPr>
  </w:style>
  <w:style w:type="paragraph" w:customStyle="1" w:styleId="1457">
    <w:name w:val="样式14"/>
    <w:basedOn w:val="638"/>
    <w:qFormat/>
    <w:uiPriority w:val="0"/>
    <w:pPr>
      <w:tabs>
        <w:tab w:val="left" w:pos="360"/>
        <w:tab w:val="left" w:pos="540"/>
        <w:tab w:val="left" w:pos="720"/>
      </w:tabs>
      <w:spacing w:beforeLines="50" w:afterLines="50" w:line="360" w:lineRule="auto"/>
      <w:ind w:left="360" w:hanging="360"/>
      <w:jc w:val="both"/>
      <w:outlineLvl w:val="2"/>
    </w:pPr>
    <w:rPr>
      <w:rFonts w:eastAsia="宋体" w:cs="Times New Roman"/>
      <w:bCs w:val="0"/>
      <w:kern w:val="0"/>
      <w:sz w:val="24"/>
      <w:szCs w:val="32"/>
    </w:rPr>
  </w:style>
  <w:style w:type="paragraph" w:customStyle="1" w:styleId="1458">
    <w:name w:val="表格体"/>
    <w:basedOn w:val="1"/>
    <w:qFormat/>
    <w:uiPriority w:val="0"/>
    <w:pPr>
      <w:topLinePunct w:val="0"/>
      <w:ind w:firstLine="0" w:firstLineChars="0"/>
      <w:jc w:val="center"/>
    </w:pPr>
    <w:rPr>
      <w:bCs/>
      <w:kern w:val="2"/>
    </w:rPr>
  </w:style>
  <w:style w:type="paragraph" w:customStyle="1" w:styleId="1459">
    <w:name w:val="a表格"/>
    <w:basedOn w:val="1"/>
    <w:qFormat/>
    <w:uiPriority w:val="0"/>
    <w:pPr>
      <w:topLinePunct w:val="0"/>
      <w:spacing w:beforeLines="50" w:afterLines="50"/>
      <w:ind w:firstLine="0" w:firstLineChars="0"/>
    </w:pPr>
    <w:rPr>
      <w:kern w:val="2"/>
    </w:rPr>
  </w:style>
  <w:style w:type="paragraph" w:customStyle="1" w:styleId="1460">
    <w:name w:val="1 Char Char Char Char Char Char Char Char"/>
    <w:basedOn w:val="1"/>
    <w:qFormat/>
    <w:uiPriority w:val="0"/>
    <w:pPr>
      <w:topLinePunct w:val="0"/>
      <w:adjustRightInd/>
      <w:snapToGrid/>
      <w:ind w:firstLine="0" w:firstLineChars="0"/>
    </w:pPr>
    <w:rPr>
      <w:kern w:val="2"/>
    </w:rPr>
  </w:style>
  <w:style w:type="paragraph" w:customStyle="1" w:styleId="1461">
    <w:name w:val="样式 样式 宋体 小四 黑色 行距: 固定值 24 磅 + 首行缩进:  2 字符"/>
    <w:basedOn w:val="1"/>
    <w:qFormat/>
    <w:uiPriority w:val="0"/>
    <w:pPr>
      <w:topLinePunct w:val="0"/>
      <w:ind w:firstLine="480"/>
    </w:pPr>
    <w:rPr>
      <w:bCs/>
      <w:color w:val="000000"/>
      <w:kern w:val="2"/>
    </w:rPr>
  </w:style>
  <w:style w:type="paragraph" w:customStyle="1" w:styleId="1462">
    <w:name w:val="样式 标题 4 + 宋体 小四 非加粗"/>
    <w:basedOn w:val="8"/>
    <w:qFormat/>
    <w:uiPriority w:val="0"/>
    <w:pPr>
      <w:widowControl w:val="0"/>
      <w:tabs>
        <w:tab w:val="left" w:pos="284"/>
        <w:tab w:val="left" w:pos="1984"/>
      </w:tabs>
      <w:topLinePunct w:val="0"/>
      <w:adjustRightInd/>
      <w:snapToGrid/>
      <w:spacing w:before="280" w:after="290" w:line="376" w:lineRule="auto"/>
      <w:ind w:left="113" w:hanging="113"/>
    </w:pPr>
    <w:rPr>
      <w:rFonts w:ascii="宋体" w:hAnsi="宋体"/>
      <w:kern w:val="2"/>
    </w:rPr>
  </w:style>
  <w:style w:type="paragraph" w:customStyle="1" w:styleId="1463">
    <w:name w:val="正文（韶关规划）"/>
    <w:basedOn w:val="91"/>
    <w:qFormat/>
    <w:uiPriority w:val="0"/>
    <w:pPr>
      <w:tabs>
        <w:tab w:val="left" w:pos="7996"/>
      </w:tabs>
      <w:autoSpaceDE w:val="0"/>
      <w:autoSpaceDN w:val="0"/>
      <w:adjustRightInd w:val="0"/>
      <w:snapToGrid w:val="0"/>
      <w:spacing w:beforeLines="50" w:line="360" w:lineRule="auto"/>
      <w:ind w:left="0" w:leftChars="0" w:firstLine="480"/>
    </w:pPr>
    <w:rPr>
      <w:rFonts w:ascii="Times New Roman" w:hAnsi="Times New Roman" w:cs="Times New Roman"/>
      <w:color w:val="000000"/>
      <w:sz w:val="24"/>
    </w:rPr>
  </w:style>
  <w:style w:type="paragraph" w:customStyle="1" w:styleId="1464">
    <w:name w:val="样式 标题 2标题 21标题 121标题 2 Char1 CharH2SeHead wsa2标题 1.1 + 行..."/>
    <w:basedOn w:val="6"/>
    <w:qFormat/>
    <w:uiPriority w:val="0"/>
    <w:pPr>
      <w:keepNext w:val="0"/>
      <w:keepLines w:val="0"/>
      <w:widowControl/>
      <w:topLinePunct w:val="0"/>
      <w:snapToGrid/>
      <w:spacing w:before="100" w:after="100" w:line="460" w:lineRule="exact"/>
      <w:textAlignment w:val="baseline"/>
    </w:pPr>
    <w:rPr>
      <w:rFonts w:ascii="黑体" w:eastAsia="黑体"/>
      <w:b w:val="0"/>
      <w:color w:val="000000"/>
      <w:sz w:val="30"/>
    </w:rPr>
  </w:style>
  <w:style w:type="paragraph" w:customStyle="1" w:styleId="1465">
    <w:name w:val="1 Char2"/>
    <w:basedOn w:val="1"/>
    <w:qFormat/>
    <w:uiPriority w:val="0"/>
    <w:pPr>
      <w:topLinePunct w:val="0"/>
      <w:adjustRightInd/>
      <w:snapToGrid/>
      <w:spacing w:beforeLines="50" w:afterLines="50"/>
      <w:jc w:val="center"/>
    </w:pPr>
    <w:rPr>
      <w:rFonts w:ascii="宋体" w:hAnsi="宋体" w:eastAsia="黑体" w:cs="宋体"/>
      <w:kern w:val="2"/>
    </w:rPr>
  </w:style>
  <w:style w:type="paragraph" w:customStyle="1" w:styleId="1466">
    <w:name w:val="样式 正文缩进 + 首行缩进:  2 字符"/>
    <w:basedOn w:val="9"/>
    <w:qFormat/>
    <w:uiPriority w:val="0"/>
    <w:pPr>
      <w:ind w:firstLine="480"/>
      <w:jc w:val="both"/>
    </w:pPr>
    <w:rPr>
      <w:rFonts w:ascii="宋体" w:hAnsi="宋体"/>
      <w:kern w:val="0"/>
      <w:szCs w:val="20"/>
    </w:rPr>
  </w:style>
  <w:style w:type="paragraph" w:customStyle="1" w:styleId="1467">
    <w:name w:val="样式19"/>
    <w:basedOn w:val="1"/>
    <w:qFormat/>
    <w:uiPriority w:val="0"/>
    <w:pPr>
      <w:keepNext/>
      <w:keepLines/>
      <w:tabs>
        <w:tab w:val="left" w:pos="360"/>
        <w:tab w:val="left" w:pos="720"/>
      </w:tabs>
      <w:topLinePunct w:val="0"/>
      <w:adjustRightInd/>
      <w:snapToGrid/>
      <w:spacing w:before="50" w:after="50"/>
      <w:ind w:left="720" w:hanging="720" w:hangingChars="200"/>
      <w:outlineLvl w:val="2"/>
    </w:pPr>
    <w:rPr>
      <w:rFonts w:ascii="宋体" w:hAnsi="宋体" w:cs="Arial Unicode MS"/>
      <w:b/>
      <w:color w:val="000000"/>
      <w:kern w:val="2"/>
    </w:rPr>
  </w:style>
  <w:style w:type="paragraph" w:customStyle="1" w:styleId="1468">
    <w:name w:val="报告标题1"/>
    <w:basedOn w:val="5"/>
    <w:qFormat/>
    <w:uiPriority w:val="0"/>
    <w:pPr>
      <w:keepLines w:val="0"/>
      <w:pageBreakBefore w:val="0"/>
      <w:tabs>
        <w:tab w:val="left" w:pos="0"/>
        <w:tab w:val="left" w:pos="425"/>
        <w:tab w:val="clear" w:pos="432"/>
      </w:tabs>
      <w:topLinePunct w:val="0"/>
      <w:adjustRightInd/>
      <w:snapToGrid/>
      <w:ind w:left="425" w:hanging="425"/>
    </w:pPr>
    <w:rPr>
      <w:rFonts w:ascii="Arial" w:hAnsi="Arial"/>
      <w:color w:val="000000"/>
      <w:kern w:val="2"/>
      <w:sz w:val="30"/>
      <w:szCs w:val="24"/>
    </w:rPr>
  </w:style>
  <w:style w:type="paragraph" w:customStyle="1" w:styleId="1469">
    <w:name w:val="Char Char Char Char Char Char Char2"/>
    <w:basedOn w:val="1"/>
    <w:qFormat/>
    <w:uiPriority w:val="0"/>
    <w:pPr>
      <w:topLinePunct w:val="0"/>
      <w:adjustRightInd/>
      <w:snapToGrid/>
    </w:pPr>
    <w:rPr>
      <w:rFonts w:ascii="宋体" w:hAnsi="宋体" w:cs="宋体"/>
      <w:kern w:val="2"/>
    </w:rPr>
  </w:style>
  <w:style w:type="paragraph" w:customStyle="1" w:styleId="1470">
    <w:name w:val="样式5"/>
    <w:basedOn w:val="8"/>
    <w:qFormat/>
    <w:uiPriority w:val="0"/>
    <w:pPr>
      <w:tabs>
        <w:tab w:val="left" w:pos="352"/>
      </w:tabs>
      <w:topLinePunct w:val="0"/>
      <w:snapToGrid/>
      <w:spacing w:beforeLines="50" w:afterLines="50" w:line="460" w:lineRule="exact"/>
      <w:textAlignment w:val="bottom"/>
    </w:pPr>
    <w:rPr>
      <w:szCs w:val="20"/>
    </w:rPr>
  </w:style>
  <w:style w:type="paragraph" w:customStyle="1" w:styleId="1471">
    <w:name w:val="样式37"/>
    <w:basedOn w:val="1369"/>
    <w:qFormat/>
    <w:uiPriority w:val="0"/>
    <w:pPr>
      <w:spacing w:before="156" w:after="156"/>
    </w:pPr>
    <w:rPr>
      <w:lang w:val="en-US"/>
    </w:rPr>
  </w:style>
  <w:style w:type="paragraph" w:customStyle="1" w:styleId="1472">
    <w:name w:val="文档"/>
    <w:basedOn w:val="1"/>
    <w:qFormat/>
    <w:uiPriority w:val="0"/>
    <w:pPr>
      <w:topLinePunct w:val="0"/>
      <w:adjustRightInd/>
      <w:snapToGrid/>
      <w:ind w:firstLine="0" w:firstLineChars="0"/>
    </w:pPr>
    <w:rPr>
      <w:rFonts w:ascii="Arial" w:hAnsi="Arial" w:eastAsia="黑体"/>
      <w:kern w:val="2"/>
      <w:szCs w:val="20"/>
    </w:rPr>
  </w:style>
  <w:style w:type="paragraph" w:customStyle="1" w:styleId="1473">
    <w:name w:val="图片"/>
    <w:basedOn w:val="1"/>
    <w:qFormat/>
    <w:uiPriority w:val="0"/>
    <w:pPr>
      <w:topLinePunct w:val="0"/>
      <w:adjustRightInd/>
      <w:snapToGrid/>
      <w:spacing w:line="440" w:lineRule="exact"/>
      <w:ind w:firstLine="0" w:firstLineChars="0"/>
    </w:pPr>
    <w:rPr>
      <w:kern w:val="2"/>
    </w:rPr>
  </w:style>
  <w:style w:type="paragraph" w:customStyle="1" w:styleId="1474">
    <w:name w:val="样式 样式 标题 2标题 21标题 121标题 2 Char1 Char节H2节标题 1.1节标题 1.1 Char... + ..."/>
    <w:basedOn w:val="1"/>
    <w:qFormat/>
    <w:uiPriority w:val="0"/>
    <w:pPr>
      <w:widowControl/>
      <w:topLinePunct w:val="0"/>
      <w:snapToGrid/>
      <w:spacing w:before="156" w:after="156" w:line="460" w:lineRule="exact"/>
      <w:ind w:firstLine="0" w:firstLineChars="0"/>
      <w:jc w:val="left"/>
      <w:textAlignment w:val="baseline"/>
      <w:outlineLvl w:val="1"/>
    </w:pPr>
    <w:rPr>
      <w:rFonts w:eastAsia="黑体" w:cs="宋体"/>
      <w:b/>
      <w:bCs/>
      <w:color w:val="000000"/>
      <w:sz w:val="28"/>
      <w:szCs w:val="20"/>
    </w:rPr>
  </w:style>
  <w:style w:type="paragraph" w:customStyle="1" w:styleId="1475">
    <w:name w:val="样式21"/>
    <w:basedOn w:val="396"/>
    <w:qFormat/>
    <w:uiPriority w:val="0"/>
    <w:pPr>
      <w:keepNext/>
      <w:keepLines/>
      <w:tabs>
        <w:tab w:val="left" w:pos="600"/>
      </w:tabs>
      <w:spacing w:before="50" w:after="50" w:line="360" w:lineRule="auto"/>
      <w:ind w:left="576" w:hanging="576" w:firstLineChars="0"/>
      <w:outlineLvl w:val="1"/>
    </w:pPr>
    <w:rPr>
      <w:rFonts w:ascii="黑体" w:hAnsi="Arial" w:eastAsia="黑体"/>
      <w:bCs/>
      <w:color w:val="000000"/>
      <w:spacing w:val="0"/>
      <w:kern w:val="0"/>
      <w:szCs w:val="28"/>
    </w:rPr>
  </w:style>
  <w:style w:type="paragraph" w:customStyle="1" w:styleId="1476">
    <w:name w:val="Char Char12 Char Char Char Char1 Char Char Char Char Char Char"/>
    <w:basedOn w:val="1"/>
    <w:qFormat/>
    <w:uiPriority w:val="0"/>
    <w:pPr>
      <w:topLinePunct w:val="0"/>
      <w:adjustRightInd/>
      <w:snapToGrid/>
      <w:ind w:firstLine="0" w:firstLineChars="0"/>
    </w:pPr>
    <w:rPr>
      <w:kern w:val="2"/>
    </w:rPr>
  </w:style>
  <w:style w:type="paragraph" w:customStyle="1" w:styleId="1477">
    <w:name w:val="样式 样式 样式 标题 3标题 13标题 3 Char1 Char Char Char标题 31ReHead 3 WSAh3B...."/>
    <w:basedOn w:val="1"/>
    <w:qFormat/>
    <w:uiPriority w:val="0"/>
    <w:pPr>
      <w:keepNext/>
      <w:keepLines/>
      <w:topLinePunct w:val="0"/>
      <w:adjustRightInd/>
      <w:snapToGrid/>
      <w:spacing w:beforeLines="50" w:afterLines="50" w:line="460" w:lineRule="exact"/>
      <w:ind w:firstLine="0" w:firstLineChars="0"/>
      <w:outlineLvl w:val="2"/>
    </w:pPr>
    <w:rPr>
      <w:rFonts w:cs="宋体"/>
      <w:b/>
      <w:bCs/>
      <w:color w:val="000000"/>
      <w:kern w:val="2"/>
      <w:szCs w:val="20"/>
    </w:rPr>
  </w:style>
  <w:style w:type="paragraph" w:customStyle="1" w:styleId="1478">
    <w:name w:val="样式 标题 3 + 宋体 四号 段前: 0 磅 段后: 0 磅 行距: 单倍行距"/>
    <w:basedOn w:val="7"/>
    <w:qFormat/>
    <w:uiPriority w:val="0"/>
    <w:pPr>
      <w:keepLines/>
      <w:kinsoku/>
      <w:overflowPunct/>
      <w:topLinePunct w:val="0"/>
      <w:autoSpaceDE/>
      <w:autoSpaceDN/>
      <w:adjustRightInd/>
      <w:snapToGrid/>
      <w:spacing w:line="240" w:lineRule="auto"/>
      <w:jc w:val="both"/>
    </w:pPr>
    <w:rPr>
      <w:kern w:val="2"/>
      <w:sz w:val="28"/>
    </w:rPr>
  </w:style>
  <w:style w:type="paragraph" w:customStyle="1" w:styleId="1479">
    <w:name w:val="报告1"/>
    <w:basedOn w:val="664"/>
    <w:qFormat/>
    <w:uiPriority w:val="0"/>
    <w:pPr>
      <w:spacing w:line="360" w:lineRule="auto"/>
      <w:jc w:val="left"/>
    </w:pPr>
    <w:rPr>
      <w:rFonts w:ascii="Times New Roman" w:hAnsi="Times New Roman" w:cs="Times New Roman"/>
      <w:sz w:val="24"/>
      <w:szCs w:val="20"/>
    </w:rPr>
  </w:style>
  <w:style w:type="paragraph" w:customStyle="1" w:styleId="1480">
    <w:name w:val="表内式样"/>
    <w:qFormat/>
    <w:uiPriority w:val="0"/>
    <w:pPr>
      <w:widowControl w:val="0"/>
      <w:adjustRightInd w:val="0"/>
      <w:snapToGrid w:val="0"/>
      <w:spacing w:line="260" w:lineRule="atLeast"/>
      <w:jc w:val="center"/>
    </w:pPr>
    <w:rPr>
      <w:rFonts w:ascii="Times New Roman" w:hAnsi="Times New Roman" w:eastAsia="宋体" w:cs="Times New Roman"/>
      <w:snapToGrid w:val="0"/>
      <w:color w:val="000000"/>
      <w:sz w:val="24"/>
      <w:szCs w:val="24"/>
      <w:lang w:val="en-US" w:eastAsia="zh-CN" w:bidi="ar-SA"/>
    </w:rPr>
  </w:style>
  <w:style w:type="paragraph" w:customStyle="1" w:styleId="1481">
    <w:name w:val="1 Char"/>
    <w:basedOn w:val="1"/>
    <w:qFormat/>
    <w:uiPriority w:val="0"/>
    <w:pPr>
      <w:topLinePunct w:val="0"/>
      <w:adjustRightInd/>
      <w:snapToGrid/>
      <w:spacing w:beforeLines="50" w:afterLines="50"/>
      <w:jc w:val="center"/>
    </w:pPr>
    <w:rPr>
      <w:rFonts w:ascii="宋体" w:hAnsi="宋体" w:eastAsia="黑体" w:cs="宋体"/>
      <w:kern w:val="2"/>
    </w:rPr>
  </w:style>
  <w:style w:type="paragraph" w:customStyle="1" w:styleId="1482">
    <w:name w:val="报告标题2"/>
    <w:basedOn w:val="6"/>
    <w:qFormat/>
    <w:uiPriority w:val="0"/>
    <w:pPr>
      <w:tabs>
        <w:tab w:val="left" w:pos="0"/>
      </w:tabs>
      <w:topLinePunct w:val="0"/>
      <w:adjustRightInd/>
      <w:snapToGrid/>
      <w:spacing w:before="100" w:beforeLines="50"/>
    </w:pPr>
    <w:rPr>
      <w:rFonts w:ascii="Arial" w:hAnsi="Arial"/>
      <w:bCs w:val="0"/>
      <w:color w:val="000000"/>
      <w:kern w:val="2"/>
      <w:szCs w:val="32"/>
    </w:rPr>
  </w:style>
  <w:style w:type="paragraph" w:customStyle="1" w:styleId="1483">
    <w:name w:val="样式 标题 3 + 宋体 小四 非加粗"/>
    <w:basedOn w:val="7"/>
    <w:qFormat/>
    <w:uiPriority w:val="0"/>
    <w:pPr>
      <w:keepLines/>
      <w:tabs>
        <w:tab w:val="left" w:pos="0"/>
      </w:tabs>
      <w:kinsoku/>
      <w:overflowPunct/>
      <w:topLinePunct w:val="0"/>
      <w:autoSpaceDE/>
      <w:autoSpaceDN/>
      <w:adjustRightInd/>
      <w:snapToGrid/>
      <w:spacing w:before="260" w:after="260" w:line="416" w:lineRule="auto"/>
      <w:jc w:val="both"/>
    </w:pPr>
    <w:rPr>
      <w:rFonts w:ascii="宋体" w:hAnsi="宋体"/>
      <w:b w:val="0"/>
      <w:bCs w:val="0"/>
      <w:kern w:val="2"/>
      <w:szCs w:val="32"/>
    </w:rPr>
  </w:style>
  <w:style w:type="paragraph" w:customStyle="1" w:styleId="1484">
    <w:name w:val="大标题"/>
    <w:basedOn w:val="49"/>
    <w:qFormat/>
    <w:uiPriority w:val="0"/>
    <w:pPr>
      <w:topLinePunct w:val="0"/>
      <w:adjustRightInd/>
      <w:snapToGrid/>
      <w:spacing w:line="360" w:lineRule="auto"/>
    </w:pPr>
    <w:rPr>
      <w:rFonts w:ascii="Times New Roman" w:hAnsi="Times New Roman" w:eastAsia="黑体"/>
      <w:b/>
      <w:sz w:val="24"/>
      <w:szCs w:val="20"/>
    </w:rPr>
  </w:style>
  <w:style w:type="paragraph" w:customStyle="1" w:styleId="1485">
    <w:name w:val="样式34"/>
    <w:basedOn w:val="396"/>
    <w:qFormat/>
    <w:uiPriority w:val="0"/>
    <w:pPr>
      <w:snapToGrid w:val="0"/>
      <w:spacing w:before="50" w:beforeLines="50" w:after="50" w:afterLines="50" w:line="360" w:lineRule="auto"/>
      <w:ind w:firstLine="480"/>
    </w:pPr>
    <w:rPr>
      <w:rFonts w:ascii="Times New Roman"/>
      <w:b w:val="0"/>
      <w:color w:val="000000"/>
      <w:spacing w:val="0"/>
      <w:kern w:val="0"/>
      <w:sz w:val="24"/>
    </w:rPr>
  </w:style>
  <w:style w:type="paragraph" w:customStyle="1" w:styleId="1486">
    <w:name w:val="样式29"/>
    <w:basedOn w:val="1383"/>
    <w:qFormat/>
    <w:uiPriority w:val="0"/>
    <w:pPr>
      <w:tabs>
        <w:tab w:val="left" w:pos="0"/>
        <w:tab w:val="left" w:pos="735"/>
      </w:tabs>
    </w:pPr>
  </w:style>
  <w:style w:type="paragraph" w:customStyle="1" w:styleId="1487">
    <w:name w:val="样式38"/>
    <w:basedOn w:val="1"/>
    <w:qFormat/>
    <w:uiPriority w:val="0"/>
    <w:pPr>
      <w:topLinePunct w:val="0"/>
      <w:adjustRightInd/>
      <w:snapToGrid/>
      <w:spacing w:line="300" w:lineRule="exact"/>
      <w:ind w:firstLine="0" w:firstLineChars="0"/>
      <w:jc w:val="center"/>
    </w:pPr>
    <w:rPr>
      <w:kern w:val="2"/>
      <w:szCs w:val="21"/>
    </w:rPr>
  </w:style>
  <w:style w:type="paragraph" w:customStyle="1" w:styleId="1488">
    <w:name w:val="自动2"/>
    <w:basedOn w:val="1"/>
    <w:qFormat/>
    <w:uiPriority w:val="0"/>
    <w:pPr>
      <w:keepNext/>
      <w:keepLines/>
      <w:tabs>
        <w:tab w:val="left" w:pos="600"/>
      </w:tabs>
      <w:topLinePunct w:val="0"/>
      <w:adjustRightInd/>
      <w:snapToGrid/>
      <w:spacing w:before="50" w:after="50"/>
      <w:ind w:left="600" w:hanging="360" w:firstLineChars="0"/>
      <w:outlineLvl w:val="1"/>
    </w:pPr>
    <w:rPr>
      <w:rFonts w:ascii="黑体" w:hAnsi="Arial" w:eastAsia="黑体"/>
      <w:b/>
      <w:bCs/>
      <w:kern w:val="2"/>
      <w:sz w:val="28"/>
      <w:szCs w:val="28"/>
    </w:rPr>
  </w:style>
  <w:style w:type="paragraph" w:customStyle="1" w:styleId="1489">
    <w:name w:val="报告书"/>
    <w:basedOn w:val="1"/>
    <w:qFormat/>
    <w:uiPriority w:val="0"/>
    <w:pPr>
      <w:topLinePunct w:val="0"/>
      <w:autoSpaceDE w:val="0"/>
      <w:autoSpaceDN w:val="0"/>
      <w:snapToGrid/>
      <w:ind w:firstLine="505" w:firstLineChars="0"/>
      <w:jc w:val="left"/>
      <w:textAlignment w:val="bottom"/>
    </w:pPr>
    <w:rPr>
      <w:szCs w:val="20"/>
    </w:rPr>
  </w:style>
  <w:style w:type="paragraph" w:customStyle="1" w:styleId="1490">
    <w:name w:val="Char Char12 Char Char Char Char1 Char Char"/>
    <w:basedOn w:val="1"/>
    <w:qFormat/>
    <w:uiPriority w:val="0"/>
    <w:pPr>
      <w:topLinePunct w:val="0"/>
      <w:adjustRightInd/>
      <w:snapToGrid/>
      <w:ind w:firstLine="0" w:firstLineChars="0"/>
    </w:pPr>
    <w:rPr>
      <w:kern w:val="2"/>
    </w:rPr>
  </w:style>
  <w:style w:type="paragraph" w:customStyle="1" w:styleId="1491">
    <w:name w:val="5 Char"/>
    <w:basedOn w:val="1"/>
    <w:qFormat/>
    <w:uiPriority w:val="0"/>
    <w:pPr>
      <w:topLinePunct w:val="0"/>
      <w:adjustRightInd/>
      <w:snapToGrid/>
      <w:ind w:firstLine="0" w:firstLineChars="0"/>
    </w:pPr>
    <w:rPr>
      <w:kern w:val="2"/>
    </w:rPr>
  </w:style>
  <w:style w:type="paragraph" w:customStyle="1" w:styleId="1492">
    <w:name w:val="样式 样式 标题 4标题 14 + 自动设置 + 无下划线"/>
    <w:basedOn w:val="1398"/>
    <w:qFormat/>
    <w:uiPriority w:val="0"/>
    <w:pPr>
      <w:ind w:firstLine="567"/>
    </w:pPr>
    <w:rPr>
      <w:u w:val="none"/>
    </w:rPr>
  </w:style>
  <w:style w:type="paragraph" w:customStyle="1" w:styleId="1493">
    <w:name w:val="正文文字缩进1"/>
    <w:basedOn w:val="39"/>
    <w:qFormat/>
    <w:uiPriority w:val="0"/>
    <w:pPr>
      <w:topLinePunct w:val="0"/>
      <w:adjustRightInd/>
      <w:snapToGrid/>
      <w:spacing w:after="0" w:line="480" w:lineRule="auto"/>
      <w:ind w:left="359" w:leftChars="171" w:firstLine="551"/>
    </w:pPr>
    <w:rPr>
      <w:rFonts w:ascii="黑体" w:eastAsia="黑体"/>
      <w:b/>
      <w:kern w:val="2"/>
      <w:szCs w:val="20"/>
    </w:rPr>
  </w:style>
  <w:style w:type="paragraph" w:customStyle="1" w:styleId="1494">
    <w:name w:val="18"/>
    <w:basedOn w:val="1"/>
    <w:qFormat/>
    <w:uiPriority w:val="0"/>
    <w:pPr>
      <w:widowControl/>
      <w:topLinePunct w:val="0"/>
      <w:adjustRightInd/>
      <w:snapToGrid/>
      <w:spacing w:before="100" w:beforeAutospacing="1" w:after="100" w:afterAutospacing="1" w:line="440" w:lineRule="atLeast"/>
      <w:ind w:firstLine="0" w:firstLineChars="0"/>
    </w:pPr>
    <w:rPr>
      <w:rFonts w:hint="eastAsia" w:ascii="宋体" w:hAnsi="宋体"/>
    </w:rPr>
  </w:style>
  <w:style w:type="paragraph" w:customStyle="1" w:styleId="1495">
    <w:name w:val="自动4"/>
    <w:basedOn w:val="1"/>
    <w:qFormat/>
    <w:uiPriority w:val="0"/>
    <w:pPr>
      <w:keepNext/>
      <w:keepLines/>
      <w:tabs>
        <w:tab w:val="left" w:pos="600"/>
        <w:tab w:val="left" w:pos="1131"/>
      </w:tabs>
      <w:topLinePunct w:val="0"/>
      <w:adjustRightInd/>
      <w:snapToGrid/>
      <w:spacing w:beforeLines="50" w:afterLines="50"/>
      <w:ind w:left="600" w:hanging="360" w:firstLineChars="0"/>
      <w:outlineLvl w:val="3"/>
    </w:pPr>
    <w:rPr>
      <w:rFonts w:ascii="宋体" w:hAnsi="宋体"/>
      <w:bCs/>
      <w:kern w:val="2"/>
    </w:rPr>
  </w:style>
  <w:style w:type="paragraph" w:customStyle="1" w:styleId="1496">
    <w:name w:val="标题2+黑体+四"/>
    <w:basedOn w:val="6"/>
    <w:qFormat/>
    <w:uiPriority w:val="0"/>
    <w:pPr>
      <w:keepNext w:val="0"/>
      <w:keepLines w:val="0"/>
      <w:widowControl/>
      <w:topLinePunct w:val="0"/>
      <w:snapToGrid/>
      <w:spacing w:before="100" w:after="100"/>
      <w:textAlignment w:val="baseline"/>
    </w:pPr>
    <w:rPr>
      <w:rFonts w:ascii="黑体" w:eastAsia="黑体"/>
      <w:b w:val="0"/>
      <w:bCs w:val="0"/>
      <w:szCs w:val="28"/>
    </w:rPr>
  </w:style>
  <w:style w:type="paragraph" w:customStyle="1" w:styleId="1497">
    <w:name w:val="16"/>
    <w:basedOn w:val="1"/>
    <w:qFormat/>
    <w:uiPriority w:val="0"/>
    <w:pPr>
      <w:widowControl/>
      <w:topLinePunct w:val="0"/>
      <w:adjustRightInd/>
      <w:snapToGrid/>
      <w:spacing w:before="100" w:beforeAutospacing="1" w:after="100" w:afterAutospacing="1" w:line="480" w:lineRule="atLeast"/>
      <w:ind w:firstLine="0" w:firstLineChars="0"/>
    </w:pPr>
    <w:rPr>
      <w:rFonts w:hint="eastAsia" w:ascii="宋体" w:hAnsi="宋体"/>
      <w:sz w:val="28"/>
      <w:szCs w:val="28"/>
    </w:rPr>
  </w:style>
  <w:style w:type="paragraph" w:customStyle="1" w:styleId="1498">
    <w:name w:val="自动3"/>
    <w:basedOn w:val="1"/>
    <w:qFormat/>
    <w:uiPriority w:val="0"/>
    <w:pPr>
      <w:keepNext/>
      <w:keepLines/>
      <w:tabs>
        <w:tab w:val="left" w:pos="600"/>
        <w:tab w:val="left" w:pos="1740"/>
      </w:tabs>
      <w:topLinePunct w:val="0"/>
      <w:adjustRightInd/>
      <w:snapToGrid/>
      <w:spacing w:before="50" w:after="50"/>
      <w:ind w:left="1740" w:hanging="420" w:firstLineChars="0"/>
      <w:outlineLvl w:val="2"/>
    </w:pPr>
    <w:rPr>
      <w:rFonts w:ascii="宋体" w:hAnsi="宋体"/>
      <w:b/>
      <w:kern w:val="2"/>
    </w:rPr>
  </w:style>
  <w:style w:type="paragraph" w:customStyle="1" w:styleId="1499">
    <w:name w:val="hao01-0"/>
    <w:qFormat/>
    <w:uiPriority w:val="0"/>
    <w:pPr>
      <w:ind w:firstLine="200" w:firstLineChars="200"/>
    </w:pPr>
    <w:rPr>
      <w:rFonts w:ascii="Times New Roman" w:hAnsi="Times New Roman" w:eastAsia="宋体" w:cs="Times New Roman"/>
      <w:kern w:val="2"/>
      <w:sz w:val="24"/>
      <w:szCs w:val="24"/>
      <w:lang w:val="en-US" w:eastAsia="zh-CN" w:bidi="ar-SA"/>
    </w:rPr>
  </w:style>
  <w:style w:type="paragraph" w:customStyle="1" w:styleId="1500">
    <w:name w:val="表头文字1"/>
    <w:basedOn w:val="1"/>
    <w:qFormat/>
    <w:uiPriority w:val="0"/>
    <w:pPr>
      <w:topLinePunct w:val="0"/>
      <w:adjustRightInd/>
      <w:snapToGrid/>
      <w:spacing w:before="50" w:after="50" w:line="240" w:lineRule="exact"/>
      <w:ind w:firstLine="0" w:firstLineChars="0"/>
      <w:jc w:val="center"/>
    </w:pPr>
    <w:rPr>
      <w:rFonts w:ascii="宋体" w:hAnsi="宋体"/>
      <w:bCs/>
      <w:color w:val="000000"/>
      <w:kern w:val="2"/>
      <w:szCs w:val="21"/>
    </w:rPr>
  </w:style>
  <w:style w:type="paragraph" w:customStyle="1" w:styleId="1501">
    <w:name w:val="样式 首行缩进:  0.80 厘米 段前: 7.8 磅"/>
    <w:basedOn w:val="1"/>
    <w:qFormat/>
    <w:uiPriority w:val="0"/>
    <w:pPr>
      <w:topLinePunct w:val="0"/>
      <w:spacing w:before="156" w:line="312" w:lineRule="auto"/>
      <w:ind w:firstLine="480" w:firstLineChars="0"/>
    </w:pPr>
    <w:rPr>
      <w:kern w:val="2"/>
      <w:szCs w:val="20"/>
    </w:rPr>
  </w:style>
  <w:style w:type="paragraph" w:customStyle="1" w:styleId="1502">
    <w:name w:val="样式 标题 2标题 21标题 121标题 2 Char1 Char节H2节标题 1.1节标题 1.1 Char...1"/>
    <w:basedOn w:val="6"/>
    <w:qFormat/>
    <w:uiPriority w:val="0"/>
    <w:pPr>
      <w:keepNext w:val="0"/>
      <w:keepLines w:val="0"/>
      <w:widowControl/>
      <w:topLinePunct w:val="0"/>
      <w:snapToGrid/>
      <w:spacing w:before="260" w:after="260"/>
      <w:textAlignment w:val="baseline"/>
    </w:pPr>
    <w:rPr>
      <w:rFonts w:ascii="黑体" w:hAnsi="黑体" w:eastAsia="黑体" w:cs="宋体"/>
      <w:color w:val="000000"/>
      <w:szCs w:val="20"/>
    </w:rPr>
  </w:style>
  <w:style w:type="paragraph" w:customStyle="1" w:styleId="1503">
    <w:name w:val="正文（首行缩进）"/>
    <w:basedOn w:val="1"/>
    <w:qFormat/>
    <w:uiPriority w:val="0"/>
    <w:pPr>
      <w:topLinePunct w:val="0"/>
      <w:jc w:val="left"/>
    </w:pPr>
    <w:rPr>
      <w:color w:val="000000"/>
      <w:kern w:val="2"/>
      <w:szCs w:val="20"/>
    </w:rPr>
  </w:style>
  <w:style w:type="paragraph" w:customStyle="1" w:styleId="1504">
    <w:name w:val="a封面－项目名称"/>
    <w:basedOn w:val="1"/>
    <w:next w:val="1"/>
    <w:qFormat/>
    <w:uiPriority w:val="0"/>
    <w:pPr>
      <w:topLinePunct w:val="0"/>
      <w:adjustRightInd/>
      <w:snapToGrid/>
      <w:spacing w:beforeLines="50" w:afterLines="50"/>
      <w:ind w:firstLine="0" w:firstLineChars="0"/>
      <w:jc w:val="center"/>
    </w:pPr>
    <w:rPr>
      <w:rFonts w:eastAsia="黑体"/>
      <w:b/>
      <w:kern w:val="2"/>
      <w:sz w:val="48"/>
    </w:rPr>
  </w:style>
  <w:style w:type="paragraph" w:customStyle="1" w:styleId="1505">
    <w:name w:val="默认段落字体 Para Char Char Char Char Char Char Char Char Char1 Char Char Char Char Char Char Char"/>
    <w:basedOn w:val="1"/>
    <w:qFormat/>
    <w:uiPriority w:val="0"/>
    <w:pPr>
      <w:topLinePunct w:val="0"/>
      <w:adjustRightInd/>
      <w:snapToGrid/>
      <w:ind w:firstLine="0" w:firstLineChars="0"/>
    </w:pPr>
    <w:rPr>
      <w:b/>
      <w:bCs/>
      <w:kern w:val="2"/>
      <w:sz w:val="36"/>
      <w:szCs w:val="32"/>
    </w:rPr>
  </w:style>
  <w:style w:type="paragraph" w:customStyle="1" w:styleId="1506">
    <w:name w:val="样式15"/>
    <w:basedOn w:val="1"/>
    <w:qFormat/>
    <w:uiPriority w:val="0"/>
    <w:pPr>
      <w:topLinePunct w:val="0"/>
      <w:adjustRightInd/>
      <w:snapToGrid/>
      <w:ind w:firstLine="480"/>
    </w:pPr>
    <w:rPr>
      <w:kern w:val="2"/>
    </w:rPr>
  </w:style>
  <w:style w:type="paragraph" w:customStyle="1" w:styleId="1507">
    <w:name w:val="样式 标题 2标题 21标题 121 + Times New Roman 小三 非加粗 黑色 段前: 8 磅 段...1"/>
    <w:basedOn w:val="6"/>
    <w:qFormat/>
    <w:uiPriority w:val="0"/>
    <w:pPr>
      <w:tabs>
        <w:tab w:val="left" w:pos="567"/>
      </w:tabs>
      <w:topLinePunct w:val="0"/>
      <w:adjustRightInd/>
      <w:snapToGrid/>
      <w:spacing w:before="160" w:after="160"/>
      <w:ind w:left="1115" w:hanging="284"/>
      <w:jc w:val="both"/>
    </w:pPr>
    <w:rPr>
      <w:rFonts w:eastAsia="黑体"/>
      <w:b w:val="0"/>
      <w:bCs w:val="0"/>
      <w:color w:val="000000"/>
      <w:kern w:val="2"/>
      <w:sz w:val="30"/>
      <w:szCs w:val="20"/>
    </w:rPr>
  </w:style>
  <w:style w:type="paragraph" w:customStyle="1" w:styleId="1508">
    <w:name w:val="样式35"/>
    <w:basedOn w:val="1407"/>
    <w:qFormat/>
    <w:uiPriority w:val="0"/>
    <w:pPr>
      <w:tabs>
        <w:tab w:val="left" w:pos="284"/>
        <w:tab w:val="left" w:pos="1131"/>
      </w:tabs>
      <w:spacing w:before="156" w:after="156"/>
      <w:ind w:left="113" w:hanging="113"/>
      <w:outlineLvl w:val="3"/>
    </w:pPr>
    <w:rPr>
      <w:rFonts w:ascii="宋体" w:hAnsi="宋体" w:eastAsia="宋体"/>
      <w:bCs/>
      <w:color w:val="000000"/>
      <w:kern w:val="2"/>
      <w:sz w:val="24"/>
      <w:szCs w:val="24"/>
    </w:rPr>
  </w:style>
  <w:style w:type="paragraph" w:customStyle="1" w:styleId="1509">
    <w:name w:val="一级无标题条"/>
    <w:basedOn w:val="1"/>
    <w:qFormat/>
    <w:uiPriority w:val="0"/>
    <w:pPr>
      <w:tabs>
        <w:tab w:val="left" w:pos="1740"/>
      </w:tabs>
      <w:topLinePunct w:val="0"/>
      <w:adjustRightInd/>
      <w:snapToGrid/>
      <w:ind w:left="1740" w:hanging="420" w:firstLineChars="0"/>
    </w:pPr>
    <w:rPr>
      <w:kern w:val="2"/>
    </w:rPr>
  </w:style>
  <w:style w:type="paragraph" w:customStyle="1" w:styleId="1510">
    <w:name w:val="Char Char Char Char Char Char Char Char Char Char Char Char Char Char Char Char"/>
    <w:basedOn w:val="1"/>
    <w:qFormat/>
    <w:uiPriority w:val="0"/>
    <w:pPr>
      <w:topLinePunct w:val="0"/>
      <w:adjustRightInd/>
      <w:snapToGrid/>
    </w:pPr>
    <w:rPr>
      <w:rFonts w:ascii="宋体" w:hAnsi="宋体" w:cs="宋体"/>
      <w:kern w:val="2"/>
    </w:rPr>
  </w:style>
  <w:style w:type="paragraph" w:customStyle="1" w:styleId="1511">
    <w:name w:val="样式18"/>
    <w:basedOn w:val="1331"/>
    <w:qFormat/>
    <w:uiPriority w:val="0"/>
    <w:pPr>
      <w:tabs>
        <w:tab w:val="left" w:pos="360"/>
        <w:tab w:val="clear" w:pos="322"/>
      </w:tabs>
      <w:ind w:left="360" w:hanging="360"/>
    </w:pPr>
  </w:style>
  <w:style w:type="paragraph" w:customStyle="1" w:styleId="1512">
    <w:name w:val="小表"/>
    <w:basedOn w:val="1"/>
    <w:qFormat/>
    <w:uiPriority w:val="0"/>
    <w:pPr>
      <w:widowControl/>
      <w:overflowPunct w:val="0"/>
      <w:topLinePunct w:val="0"/>
      <w:autoSpaceDE w:val="0"/>
      <w:autoSpaceDN w:val="0"/>
      <w:snapToGrid/>
      <w:ind w:firstLine="0" w:firstLineChars="0"/>
      <w:jc w:val="center"/>
      <w:textAlignment w:val="bottom"/>
    </w:pPr>
    <w:rPr>
      <w:rFonts w:ascii="宋体"/>
      <w:sz w:val="28"/>
      <w:szCs w:val="20"/>
    </w:rPr>
  </w:style>
  <w:style w:type="paragraph" w:customStyle="1" w:styleId="1513">
    <w:name w:val="Char Char Char Char Char Char Char Char Char Char Char Char Char Char Char Char Char Char Char Char Char Char Char Char Char Char Char Char Char Char Char Char Char Char Char Char Char Char Char Char Char Char Char Char Char Char1"/>
    <w:basedOn w:val="1"/>
    <w:next w:val="1"/>
    <w:qFormat/>
    <w:uiPriority w:val="0"/>
    <w:pPr>
      <w:pBdr>
        <w:right w:val="single" w:color="auto" w:sz="12" w:space="4"/>
      </w:pBdr>
      <w:topLinePunct w:val="0"/>
      <w:adjustRightInd/>
      <w:snapToGrid/>
    </w:pPr>
    <w:rPr>
      <w:rFonts w:ascii="宋体" w:hAnsi="宋体" w:cs="宋体"/>
      <w:kern w:val="2"/>
    </w:rPr>
  </w:style>
  <w:style w:type="paragraph" w:customStyle="1" w:styleId="1514">
    <w:name w:val="WPS Plain"/>
    <w:qFormat/>
    <w:uiPriority w:val="0"/>
    <w:rPr>
      <w:rFonts w:ascii="Times New Roman" w:hAnsi="Times New Roman" w:eastAsia="宋体" w:cs="Times New Roman"/>
      <w:lang w:val="en-US" w:eastAsia="zh-CN" w:bidi="ar-SA"/>
    </w:rPr>
  </w:style>
  <w:style w:type="paragraph" w:customStyle="1" w:styleId="1515">
    <w:name w:val="标题11"/>
    <w:basedOn w:val="6"/>
    <w:qFormat/>
    <w:uiPriority w:val="0"/>
    <w:pPr>
      <w:keepNext w:val="0"/>
      <w:keepLines w:val="0"/>
      <w:widowControl/>
      <w:topLinePunct w:val="0"/>
      <w:adjustRightInd/>
      <w:snapToGrid/>
      <w:spacing w:line="500" w:lineRule="exact"/>
      <w:jc w:val="both"/>
    </w:pPr>
    <w:rPr>
      <w:rFonts w:ascii="宋体" w:hAnsi="宋体"/>
      <w:sz w:val="32"/>
      <w:szCs w:val="32"/>
    </w:rPr>
  </w:style>
  <w:style w:type="paragraph" w:customStyle="1" w:styleId="1516">
    <w:name w:val="a表头"/>
    <w:basedOn w:val="1"/>
    <w:next w:val="1459"/>
    <w:qFormat/>
    <w:uiPriority w:val="0"/>
    <w:pPr>
      <w:topLinePunct w:val="0"/>
      <w:adjustRightInd/>
      <w:snapToGrid/>
      <w:spacing w:beforeLines="50" w:afterLines="50"/>
      <w:ind w:firstLine="0" w:firstLineChars="0"/>
      <w:jc w:val="center"/>
    </w:pPr>
    <w:rPr>
      <w:rFonts w:eastAsia="黑体"/>
      <w:b/>
      <w:kern w:val="2"/>
    </w:rPr>
  </w:style>
  <w:style w:type="paragraph" w:customStyle="1" w:styleId="1517">
    <w:name w:val="五级无标题条"/>
    <w:basedOn w:val="1"/>
    <w:qFormat/>
    <w:uiPriority w:val="0"/>
    <w:pPr>
      <w:tabs>
        <w:tab w:val="left" w:pos="3420"/>
      </w:tabs>
      <w:topLinePunct w:val="0"/>
      <w:adjustRightInd/>
      <w:snapToGrid/>
      <w:ind w:left="3420" w:hanging="420" w:firstLineChars="0"/>
    </w:pPr>
    <w:rPr>
      <w:kern w:val="2"/>
    </w:rPr>
  </w:style>
  <w:style w:type="paragraph" w:customStyle="1" w:styleId="1518">
    <w:name w:val="0"/>
    <w:basedOn w:val="1"/>
    <w:qFormat/>
    <w:uiPriority w:val="0"/>
    <w:pPr>
      <w:widowControl/>
      <w:topLinePunct w:val="0"/>
      <w:adjustRightInd/>
      <w:ind w:firstLine="0" w:firstLineChars="0"/>
    </w:pPr>
    <w:rPr>
      <w:sz w:val="20"/>
      <w:szCs w:val="20"/>
    </w:rPr>
  </w:style>
  <w:style w:type="paragraph" w:customStyle="1" w:styleId="1519">
    <w:name w:val="样式 (符号) 宋体 首行缩进:  0.93 厘米 段前: 6 磅 段后: 6 磅 行距: 固定值 18 磅1"/>
    <w:basedOn w:val="1"/>
    <w:qFormat/>
    <w:uiPriority w:val="0"/>
    <w:pPr>
      <w:topLinePunct w:val="0"/>
      <w:adjustRightInd/>
      <w:snapToGrid/>
      <w:spacing w:before="160" w:after="160" w:line="320" w:lineRule="exact"/>
      <w:ind w:firstLine="527" w:firstLineChars="0"/>
    </w:pPr>
    <w:rPr>
      <w:rFonts w:hAnsi="宋体"/>
      <w:kern w:val="2"/>
      <w:szCs w:val="20"/>
    </w:rPr>
  </w:style>
  <w:style w:type="paragraph" w:customStyle="1" w:styleId="1520">
    <w:name w:val="table"/>
    <w:basedOn w:val="1"/>
    <w:qFormat/>
    <w:uiPriority w:val="0"/>
    <w:pPr>
      <w:topLinePunct w:val="0"/>
      <w:snapToGrid/>
      <w:ind w:right="28" w:firstLine="0" w:firstLineChars="0"/>
      <w:textAlignment w:val="baseline"/>
    </w:pPr>
    <w:rPr>
      <w:rFonts w:ascii="宋体"/>
      <w:color w:val="000000"/>
      <w:szCs w:val="20"/>
    </w:rPr>
  </w:style>
  <w:style w:type="paragraph" w:customStyle="1" w:styleId="1521">
    <w:name w:val="Char Char Char Char12"/>
    <w:basedOn w:val="1"/>
    <w:qFormat/>
    <w:uiPriority w:val="0"/>
    <w:pPr>
      <w:topLinePunct w:val="0"/>
      <w:adjustRightInd/>
      <w:snapToGrid/>
      <w:spacing w:before="120" w:after="120"/>
      <w:ind w:firstLine="420" w:firstLineChars="0"/>
    </w:pPr>
    <w:rPr>
      <w:kern w:val="2"/>
    </w:rPr>
  </w:style>
  <w:style w:type="paragraph" w:customStyle="1" w:styleId="1522">
    <w:name w:val="_Style 3"/>
    <w:basedOn w:val="1"/>
    <w:next w:val="1"/>
    <w:semiHidden/>
    <w:qFormat/>
    <w:uiPriority w:val="0"/>
    <w:pPr>
      <w:topLinePunct w:val="0"/>
      <w:adjustRightInd/>
      <w:snapToGrid/>
    </w:pPr>
    <w:rPr>
      <w:rFonts w:ascii="宋体" w:hAnsi="宋体" w:cs="宋体"/>
      <w:kern w:val="2"/>
    </w:rPr>
  </w:style>
  <w:style w:type="paragraph" w:customStyle="1" w:styleId="1523">
    <w:name w:val="魏秀珍   正文"/>
    <w:basedOn w:val="9"/>
    <w:qFormat/>
    <w:uiPriority w:val="0"/>
    <w:pPr>
      <w:adjustRightInd w:val="0"/>
      <w:snapToGrid w:val="0"/>
      <w:spacing w:line="240" w:lineRule="auto"/>
      <w:ind w:firstLine="422" w:firstLineChars="0"/>
      <w:jc w:val="center"/>
    </w:pPr>
    <w:rPr>
      <w:rFonts w:ascii="Calibri" w:hAnsi="Calibri"/>
      <w:b/>
      <w:bCs/>
      <w:color w:val="0000FF"/>
      <w:kern w:val="0"/>
    </w:rPr>
  </w:style>
  <w:style w:type="paragraph" w:customStyle="1" w:styleId="1524">
    <w:name w:val="【民】表格"/>
    <w:basedOn w:val="1"/>
    <w:qFormat/>
    <w:uiPriority w:val="0"/>
    <w:pPr>
      <w:topLinePunct w:val="0"/>
      <w:adjustRightInd/>
      <w:snapToGrid/>
      <w:spacing w:line="360" w:lineRule="exact"/>
      <w:ind w:firstLine="0" w:firstLineChars="0"/>
      <w:jc w:val="center"/>
    </w:pPr>
    <w:rPr>
      <w:kern w:val="2"/>
      <w:sz w:val="21"/>
      <w:szCs w:val="21"/>
    </w:rPr>
  </w:style>
  <w:style w:type="character" w:customStyle="1" w:styleId="1525">
    <w:name w:val="标题三 Char"/>
    <w:link w:val="1526"/>
    <w:qFormat/>
    <w:uiPriority w:val="99"/>
    <w:rPr>
      <w:rFonts w:eastAsia="黑体"/>
      <w:sz w:val="24"/>
      <w:lang w:val="zh-CN"/>
    </w:rPr>
  </w:style>
  <w:style w:type="paragraph" w:customStyle="1" w:styleId="1526">
    <w:name w:val="标题三"/>
    <w:next w:val="1"/>
    <w:link w:val="1525"/>
    <w:qFormat/>
    <w:uiPriority w:val="99"/>
    <w:pPr>
      <w:numPr>
        <w:ilvl w:val="2"/>
        <w:numId w:val="6"/>
      </w:numPr>
      <w:adjustRightInd w:val="0"/>
      <w:snapToGrid w:val="0"/>
      <w:spacing w:before="50" w:beforeLines="50" w:after="50" w:afterLines="50" w:line="360" w:lineRule="auto"/>
      <w:outlineLvl w:val="2"/>
    </w:pPr>
    <w:rPr>
      <w:rFonts w:ascii="Times New Roman" w:hAnsi="Times New Roman" w:eastAsia="黑体" w:cs="Times New Roman"/>
      <w:sz w:val="24"/>
      <w:lang w:val="zh-CN" w:eastAsia="zh-CN" w:bidi="ar-SA"/>
    </w:rPr>
  </w:style>
  <w:style w:type="paragraph" w:customStyle="1" w:styleId="1527">
    <w:name w:val="标题四"/>
    <w:next w:val="1"/>
    <w:qFormat/>
    <w:uiPriority w:val="99"/>
    <w:pPr>
      <w:numPr>
        <w:ilvl w:val="3"/>
        <w:numId w:val="6"/>
      </w:numPr>
      <w:adjustRightInd w:val="0"/>
      <w:snapToGrid w:val="0"/>
      <w:spacing w:before="50" w:beforeLines="50" w:after="50" w:afterLines="50" w:line="360" w:lineRule="auto"/>
      <w:outlineLvl w:val="3"/>
    </w:pPr>
    <w:rPr>
      <w:rFonts w:ascii="等线" w:hAnsi="等线" w:eastAsia="黑体" w:cs="Times New Roman"/>
      <w:sz w:val="24"/>
      <w:szCs w:val="24"/>
      <w:lang w:val="en-US" w:eastAsia="zh-CN" w:bidi="ar-SA"/>
    </w:rPr>
  </w:style>
  <w:style w:type="paragraph" w:customStyle="1" w:styleId="1528">
    <w:name w:val="表标题5"/>
    <w:basedOn w:val="1"/>
    <w:qFormat/>
    <w:uiPriority w:val="0"/>
    <w:pPr>
      <w:topLinePunct w:val="0"/>
      <w:snapToGrid/>
      <w:spacing w:before="50" w:beforeLines="50"/>
      <w:ind w:left="3542" w:firstLine="0"/>
      <w:jc w:val="center"/>
      <w:textAlignment w:val="baseline"/>
    </w:pPr>
    <w:rPr>
      <w:rFonts w:ascii="等线" w:hAnsi="等线" w:eastAsia="等线"/>
      <w:b/>
      <w:snapToGrid w:val="0"/>
      <w:szCs w:val="20"/>
      <w:lang w:val="zh-CN"/>
    </w:rPr>
  </w:style>
  <w:style w:type="paragraph" w:customStyle="1" w:styleId="1529">
    <w:name w:val="标题二"/>
    <w:next w:val="1"/>
    <w:qFormat/>
    <w:uiPriority w:val="0"/>
    <w:pPr>
      <w:numPr>
        <w:ilvl w:val="1"/>
        <w:numId w:val="6"/>
      </w:numPr>
      <w:tabs>
        <w:tab w:val="left" w:pos="315"/>
      </w:tabs>
      <w:spacing w:before="50" w:beforeLines="50" w:after="50" w:afterLines="50" w:line="360" w:lineRule="auto"/>
      <w:outlineLvl w:val="1"/>
    </w:pPr>
    <w:rPr>
      <w:rFonts w:ascii="等线" w:hAnsi="等线" w:eastAsia="黑体" w:cs="Times New Roman"/>
      <w:sz w:val="28"/>
      <w:lang w:val="en-US" w:eastAsia="zh-CN" w:bidi="ar-SA"/>
    </w:rPr>
  </w:style>
  <w:style w:type="paragraph" w:customStyle="1" w:styleId="1530">
    <w:name w:val="标题一"/>
    <w:next w:val="1"/>
    <w:qFormat/>
    <w:uiPriority w:val="0"/>
    <w:pPr>
      <w:numPr>
        <w:ilvl w:val="0"/>
        <w:numId w:val="6"/>
      </w:numPr>
      <w:spacing w:before="50" w:beforeLines="50" w:after="50" w:afterLines="50" w:line="360" w:lineRule="auto"/>
      <w:jc w:val="center"/>
      <w:outlineLvl w:val="0"/>
    </w:pPr>
    <w:rPr>
      <w:rFonts w:ascii="等线" w:hAnsi="等线" w:eastAsia="黑体" w:cs="Times New Roman"/>
      <w:sz w:val="36"/>
      <w:lang w:val="en-US" w:eastAsia="zh-CN" w:bidi="ar-SA"/>
    </w:rPr>
  </w:style>
  <w:style w:type="paragraph" w:customStyle="1" w:styleId="1531">
    <w:name w:val="样式 四号 首行缩进:  2 字符"/>
    <w:basedOn w:val="1"/>
    <w:qFormat/>
    <w:uiPriority w:val="0"/>
    <w:pPr>
      <w:topLinePunct w:val="0"/>
      <w:adjustRightInd/>
      <w:snapToGrid/>
      <w:spacing w:line="480" w:lineRule="atLeast"/>
    </w:pPr>
    <w:rPr>
      <w:kern w:val="2"/>
    </w:rPr>
  </w:style>
  <w:style w:type="paragraph" w:customStyle="1" w:styleId="1532">
    <w:name w:val="Char Char Char Char Char Char Char Char Char2 Char Char Char Char"/>
    <w:basedOn w:val="1"/>
    <w:qFormat/>
    <w:uiPriority w:val="0"/>
    <w:pPr>
      <w:topLinePunct w:val="0"/>
      <w:adjustRightInd/>
      <w:snapToGrid/>
      <w:spacing w:line="240" w:lineRule="auto"/>
      <w:ind w:firstLine="0" w:firstLineChars="0"/>
    </w:pPr>
    <w:rPr>
      <w:rFonts w:ascii="Tahoma" w:hAnsi="Tahoma"/>
      <w:kern w:val="2"/>
    </w:rPr>
  </w:style>
  <w:style w:type="paragraph" w:customStyle="1" w:styleId="1533">
    <w:name w:val="首行缩进:  2 字符"/>
    <w:basedOn w:val="1"/>
    <w:next w:val="1"/>
    <w:qFormat/>
    <w:uiPriority w:val="0"/>
    <w:pPr>
      <w:topLinePunct w:val="0"/>
      <w:autoSpaceDE w:val="0"/>
      <w:autoSpaceDN w:val="0"/>
      <w:snapToGrid/>
      <w:spacing w:before="60" w:after="60" w:line="240" w:lineRule="auto"/>
      <w:ind w:firstLine="0" w:firstLineChars="0"/>
      <w:jc w:val="left"/>
    </w:pPr>
    <w:rPr>
      <w:rFonts w:ascii="宋体"/>
    </w:rPr>
  </w:style>
  <w:style w:type="character" w:customStyle="1" w:styleId="1534">
    <w:name w:val="题注 Char2"/>
    <w:qFormat/>
    <w:uiPriority w:val="0"/>
    <w:rPr>
      <w:rFonts w:ascii="Arial" w:hAnsi="Arial" w:eastAsia="黑体" w:cs="Arial"/>
      <w:kern w:val="2"/>
    </w:rPr>
  </w:style>
  <w:style w:type="table" w:customStyle="1" w:styleId="1535">
    <w:name w:val="三线表"/>
    <w:basedOn w:val="92"/>
    <w:qFormat/>
    <w:uiPriority w:val="99"/>
    <w:tblPr>
      <w:tblBorders>
        <w:insideH w:val="single" w:color="auto" w:sz="4" w:space="0"/>
        <w:insideV w:val="single" w:color="auto" w:sz="4" w:space="0"/>
      </w:tblBorders>
    </w:tblPr>
    <w:tblStylePr w:type="firstRow">
      <w:tcPr>
        <w:tcBorders>
          <w:top w:val="single" w:color="auto" w:sz="12" w:space="0"/>
        </w:tcBorders>
      </w:tcPr>
    </w:tblStylePr>
    <w:tblStylePr w:type="lastRow">
      <w:tcPr>
        <w:tcBorders>
          <w:bottom w:val="single" w:color="auto" w:sz="12" w:space="0"/>
        </w:tcBorders>
      </w:tcPr>
    </w:tblStylePr>
  </w:style>
  <w:style w:type="paragraph" w:customStyle="1" w:styleId="1536">
    <w:name w:val="图格式"/>
    <w:basedOn w:val="1"/>
    <w:next w:val="1"/>
    <w:qFormat/>
    <w:uiPriority w:val="0"/>
    <w:pPr>
      <w:widowControl/>
      <w:spacing w:line="312" w:lineRule="auto"/>
      <w:ind w:firstLine="0" w:firstLineChars="0"/>
      <w:jc w:val="center"/>
    </w:pPr>
    <w:rPr>
      <w:rFonts w:ascii="宋体" w:hAnsi="宋体" w:cs="宋体"/>
      <w:b/>
      <w:bCs/>
      <w:lang w:eastAsia="en-US" w:bidi="en-US"/>
    </w:rPr>
  </w:style>
  <w:style w:type="paragraph" w:customStyle="1" w:styleId="1537">
    <w:name w:val="正文001"/>
    <w:basedOn w:val="1"/>
    <w:qFormat/>
    <w:uiPriority w:val="0"/>
    <w:pPr>
      <w:adjustRightInd/>
      <w:snapToGrid/>
      <w:spacing w:before="60" w:line="420" w:lineRule="exact"/>
      <w:ind w:firstLine="482"/>
    </w:pPr>
    <w:rPr>
      <w:kern w:val="2"/>
      <w:szCs w:val="20"/>
    </w:rPr>
  </w:style>
  <w:style w:type="table" w:customStyle="1" w:styleId="1538">
    <w:name w:val="网格型3"/>
    <w:basedOn w:val="9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539">
    <w:name w:val="a报告正文"/>
    <w:basedOn w:val="1"/>
    <w:qFormat/>
    <w:uiPriority w:val="0"/>
    <w:pPr>
      <w:jc w:val="left"/>
      <w:textAlignment w:val="baseline"/>
    </w:pPr>
    <w:rPr>
      <w:snapToGrid w:val="0"/>
    </w:rPr>
  </w:style>
  <w:style w:type="paragraph" w:customStyle="1" w:styleId="1540">
    <w:name w:val="a表格内"/>
    <w:basedOn w:val="1"/>
    <w:qFormat/>
    <w:uiPriority w:val="0"/>
    <w:pPr>
      <w:spacing w:line="240" w:lineRule="exact"/>
      <w:jc w:val="center"/>
    </w:pPr>
    <w:rPr>
      <w:rFonts w:eastAsia="黑体"/>
      <w:b/>
    </w:rPr>
  </w:style>
  <w:style w:type="paragraph" w:customStyle="1" w:styleId="1541">
    <w:name w:val="a3"/>
    <w:basedOn w:val="1"/>
    <w:qFormat/>
    <w:uiPriority w:val="0"/>
    <w:pPr>
      <w:spacing w:before="50" w:beforeLines="50"/>
      <w:jc w:val="left"/>
      <w:outlineLvl w:val="2"/>
    </w:pPr>
    <w:rPr>
      <w:b/>
      <w:sz w:val="28"/>
      <w:szCs w:val="28"/>
    </w:rPr>
  </w:style>
  <w:style w:type="paragraph" w:customStyle="1" w:styleId="1542">
    <w:name w:val="a4New级"/>
    <w:basedOn w:val="1"/>
    <w:qFormat/>
    <w:uiPriority w:val="0"/>
    <w:pPr>
      <w:jc w:val="left"/>
      <w:outlineLvl w:val="3"/>
    </w:pPr>
    <w:rPr>
      <w:b/>
      <w:szCs w:val="28"/>
    </w:rPr>
  </w:style>
  <w:style w:type="paragraph" w:customStyle="1" w:styleId="1543">
    <w:name w:val="a2级"/>
    <w:basedOn w:val="1"/>
    <w:qFormat/>
    <w:uiPriority w:val="0"/>
    <w:pPr>
      <w:textAlignment w:val="baseline"/>
      <w:outlineLvl w:val="1"/>
    </w:pPr>
    <w:rPr>
      <w:b/>
      <w:bCs/>
      <w:snapToGrid w:val="0"/>
      <w:color w:val="000000"/>
      <w:kern w:val="15"/>
      <w:sz w:val="30"/>
      <w:szCs w:val="30"/>
    </w:rPr>
  </w:style>
  <w:style w:type="paragraph" w:customStyle="1" w:styleId="1544">
    <w:name w:val="表格首行"/>
    <w:basedOn w:val="1545"/>
    <w:qFormat/>
    <w:uiPriority w:val="0"/>
    <w:pPr>
      <w:spacing w:line="240" w:lineRule="auto"/>
      <w:jc w:val="center"/>
    </w:pPr>
    <w:rPr>
      <w:rFonts w:ascii="Times New Roman" w:hAnsi="Times New Roman" w:eastAsia="宋体"/>
      <w:b/>
      <w:sz w:val="21"/>
    </w:rPr>
  </w:style>
  <w:style w:type="paragraph" w:customStyle="1" w:styleId="1545">
    <w:name w:val="样式 样式 样式 首行缩进:  2 字符 + 首行缩进:  2 字符 + 首行缩进:  2 字符"/>
    <w:basedOn w:val="1"/>
    <w:qFormat/>
    <w:uiPriority w:val="0"/>
    <w:rPr>
      <w:rFonts w:ascii="Arial" w:hAnsi="Arial" w:eastAsia="新宋体" w:cs="宋体"/>
      <w:szCs w:val="20"/>
    </w:rPr>
  </w:style>
  <w:style w:type="paragraph" w:customStyle="1" w:styleId="1546">
    <w:name w:val="列表1"/>
    <w:basedOn w:val="1"/>
    <w:qFormat/>
    <w:uiPriority w:val="0"/>
    <w:pPr>
      <w:snapToGrid/>
    </w:pPr>
    <w:rPr>
      <w:rFonts w:ascii="宋体"/>
      <w:szCs w:val="22"/>
    </w:rPr>
  </w:style>
  <w:style w:type="paragraph" w:customStyle="1" w:styleId="1547">
    <w:name w:val="表格内标题"/>
    <w:basedOn w:val="1"/>
    <w:qFormat/>
    <w:uiPriority w:val="0"/>
    <w:pPr>
      <w:spacing w:line="240" w:lineRule="auto"/>
      <w:ind w:firstLine="0" w:firstLineChars="0"/>
      <w:jc w:val="center"/>
    </w:pPr>
    <w:rPr>
      <w:b/>
      <w:sz w:val="21"/>
    </w:rPr>
  </w:style>
  <w:style w:type="paragraph" w:customStyle="1" w:styleId="1548">
    <w:name w:val="图、表标题"/>
    <w:basedOn w:val="1"/>
    <w:qFormat/>
    <w:uiPriority w:val="0"/>
    <w:pPr>
      <w:widowControl/>
      <w:spacing w:before="120"/>
      <w:jc w:val="center"/>
    </w:pPr>
    <w:rPr>
      <w:rFonts w:eastAsia="仿宋_GB2312"/>
      <w:b/>
      <w:szCs w:val="20"/>
    </w:rPr>
  </w:style>
  <w:style w:type="table" w:customStyle="1" w:styleId="1549">
    <w:name w:val="lyc form"/>
    <w:basedOn w:val="92"/>
    <w:qFormat/>
    <w:uiPriority w:val="0"/>
    <w:pPr>
      <w:jc w:val="center"/>
      <w:textAlignment w:val="center"/>
    </w:pPr>
    <w:rPr>
      <w:bCs/>
      <w:iCs/>
      <w:snapToGrid w:val="0"/>
      <w:sz w:val="24"/>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table" w:customStyle="1" w:styleId="1550">
    <w:name w:val="网格型12"/>
    <w:basedOn w:val="9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51">
    <w:name w:val="网格型7"/>
    <w:basedOn w:val="92"/>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1552">
    <w:name w:val="网格型6"/>
    <w:basedOn w:val="92"/>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553">
    <w:name w:val="文章正文样式 Char Char1"/>
    <w:basedOn w:val="1"/>
    <w:qFormat/>
    <w:uiPriority w:val="0"/>
    <w:pPr>
      <w:adjustRightInd/>
      <w:snapToGrid/>
      <w:spacing w:line="520" w:lineRule="exact"/>
      <w:ind w:firstLine="480"/>
    </w:pPr>
    <w:rPr>
      <w:rFonts w:ascii="宋体" w:hAnsi="宋体"/>
      <w:kern w:val="2"/>
      <w:sz w:val="21"/>
      <w:szCs w:val="20"/>
    </w:rPr>
  </w:style>
  <w:style w:type="paragraph" w:customStyle="1" w:styleId="1554">
    <w:name w:val="正文nlw"/>
    <w:basedOn w:val="1"/>
    <w:qFormat/>
    <w:uiPriority w:val="99"/>
    <w:pPr>
      <w:ind w:firstLine="437"/>
      <w:textAlignment w:val="baseline"/>
    </w:pPr>
    <w:rPr>
      <w:bCs/>
      <w:color w:val="FF0000"/>
    </w:rPr>
  </w:style>
  <w:style w:type="paragraph" w:customStyle="1" w:styleId="1555">
    <w:name w:val="！正文"/>
    <w:basedOn w:val="1"/>
    <w:qFormat/>
    <w:uiPriority w:val="0"/>
    <w:rPr>
      <w:sz w:val="20"/>
      <w:szCs w:val="20"/>
    </w:rPr>
  </w:style>
  <w:style w:type="paragraph" w:customStyle="1" w:styleId="1556">
    <w:name w:val="样式65"/>
    <w:basedOn w:val="1"/>
    <w:qFormat/>
    <w:uiPriority w:val="99"/>
    <w:pPr>
      <w:widowControl/>
      <w:spacing w:beforeLines="50" w:afterLines="50"/>
      <w:ind w:firstLine="480" w:firstLineChars="0"/>
    </w:pPr>
    <w:rPr>
      <w:rFonts w:ascii="Calibri" w:hAnsi="Calibri"/>
    </w:rPr>
  </w:style>
  <w:style w:type="table" w:customStyle="1" w:styleId="1557">
    <w:name w:val="办公室表格样式"/>
    <w:basedOn w:val="92"/>
    <w:qFormat/>
    <w:uiPriority w:val="0"/>
    <w:pPr>
      <w:adjustRightInd w:val="0"/>
      <w:snapToGrid w:val="0"/>
      <w:jc w:val="center"/>
    </w:pPr>
    <w:tblPr>
      <w:tblBorders>
        <w:top w:val="single" w:color="auto" w:sz="12" w:space="0"/>
        <w:bottom w:val="single" w:color="auto" w:sz="12" w:space="0"/>
        <w:insideH w:val="single" w:color="auto" w:sz="6" w:space="0"/>
        <w:insideV w:val="single" w:color="auto" w:sz="6" w:space="0"/>
      </w:tblBorders>
    </w:tblPr>
    <w:trPr>
      <w:cantSplit/>
    </w:trPr>
    <w:tcPr>
      <w:tcBorders>
        <w:top w:val="single" w:color="auto" w:sz="12" w:space="0"/>
        <w:left w:val="nil"/>
        <w:bottom w:val="single" w:color="auto" w:sz="12" w:space="0"/>
        <w:right w:val="nil"/>
      </w:tcBorders>
      <w:vAlign w:val="center"/>
    </w:tcPr>
  </w:style>
  <w:style w:type="paragraph" w:customStyle="1" w:styleId="1558">
    <w:name w:val="表格文字112"/>
    <w:basedOn w:val="1"/>
    <w:qFormat/>
    <w:uiPriority w:val="0"/>
    <w:pPr>
      <w:wordWrap w:val="0"/>
      <w:topLinePunct w:val="0"/>
      <w:autoSpaceDE w:val="0"/>
      <w:autoSpaceDN w:val="0"/>
      <w:snapToGrid/>
      <w:spacing w:line="240" w:lineRule="auto"/>
      <w:ind w:firstLine="0" w:firstLineChars="0"/>
      <w:jc w:val="center"/>
    </w:pPr>
    <w:rPr>
      <w:sz w:val="21"/>
    </w:rPr>
  </w:style>
  <w:style w:type="character" w:customStyle="1" w:styleId="1559">
    <w:name w:val="正文（二）"/>
    <w:qFormat/>
    <w:uiPriority w:val="0"/>
    <w:rPr>
      <w:rFonts w:ascii="Times New Roman" w:hAnsi="Times New Roman" w:eastAsia="宋体" w:cs="Times New Roman"/>
      <w:kern w:val="0"/>
      <w:sz w:val="28"/>
    </w:rPr>
  </w:style>
  <w:style w:type="character" w:customStyle="1" w:styleId="1560">
    <w:name w:val="font121"/>
    <w:basedOn w:val="98"/>
    <w:qFormat/>
    <w:uiPriority w:val="0"/>
    <w:rPr>
      <w:rFonts w:ascii="宋体" w:hAnsi="宋体" w:eastAsia="宋体" w:cs="宋体"/>
      <w:color w:val="000000"/>
      <w:sz w:val="18"/>
      <w:szCs w:val="18"/>
      <w:u w:val="none"/>
    </w:rPr>
  </w:style>
  <w:style w:type="paragraph" w:customStyle="1" w:styleId="1561">
    <w:name w:val="Table Text"/>
    <w:basedOn w:val="1"/>
    <w:semiHidden/>
    <w:qFormat/>
    <w:uiPriority w:val="0"/>
    <w:rPr>
      <w:rFonts w:ascii="宋体" w:hAnsi="宋体" w:cs="宋体"/>
      <w:sz w:val="21"/>
      <w:szCs w:val="21"/>
      <w:lang w:eastAsia="en-US"/>
    </w:rPr>
  </w:style>
  <w:style w:type="paragraph" w:customStyle="1" w:styleId="1562">
    <w:name w:val="报告书正文-宇宏"/>
    <w:basedOn w:val="1"/>
    <w:autoRedefine/>
    <w:qFormat/>
    <w:uiPriority w:val="0"/>
    <w:pPr>
      <w:spacing w:line="480" w:lineRule="exact"/>
    </w:pPr>
  </w:style>
  <w:style w:type="paragraph" w:customStyle="1" w:styleId="1563">
    <w:name w:val="正文_47"/>
    <w:qFormat/>
    <w:uiPriority w:val="0"/>
    <w:pPr>
      <w:widowControl w:val="0"/>
      <w:jc w:val="both"/>
    </w:pPr>
    <w:rPr>
      <w:rFonts w:ascii="Calibri" w:hAnsi="Calibri" w:eastAsia="宋体" w:cs="Times New Roman"/>
      <w:kern w:val="2"/>
      <w:sz w:val="21"/>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38.png"/><Relationship Id="rId98" Type="http://schemas.openxmlformats.org/officeDocument/2006/relationships/image" Target="media/image37.png"/><Relationship Id="rId97" Type="http://schemas.openxmlformats.org/officeDocument/2006/relationships/image" Target="media/image36.png"/><Relationship Id="rId96" Type="http://schemas.openxmlformats.org/officeDocument/2006/relationships/image" Target="media/image35.png"/><Relationship Id="rId95" Type="http://schemas.openxmlformats.org/officeDocument/2006/relationships/image" Target="media/image34.png"/><Relationship Id="rId94" Type="http://schemas.openxmlformats.org/officeDocument/2006/relationships/image" Target="media/image33.emf"/><Relationship Id="rId93" Type="http://schemas.openxmlformats.org/officeDocument/2006/relationships/oleObject" Target="embeddings/oleObject4.bin"/><Relationship Id="rId92" Type="http://schemas.openxmlformats.org/officeDocument/2006/relationships/image" Target="media/image32.emf"/><Relationship Id="rId91" Type="http://schemas.openxmlformats.org/officeDocument/2006/relationships/oleObject" Target="embeddings/oleObject3.bin"/><Relationship Id="rId90" Type="http://schemas.openxmlformats.org/officeDocument/2006/relationships/image" Target="media/image31.png"/><Relationship Id="rId9" Type="http://schemas.openxmlformats.org/officeDocument/2006/relationships/footer" Target="footer2.xml"/><Relationship Id="rId89" Type="http://schemas.openxmlformats.org/officeDocument/2006/relationships/image" Target="media/image30.png"/><Relationship Id="rId88" Type="http://schemas.openxmlformats.org/officeDocument/2006/relationships/image" Target="media/image29.wmf"/><Relationship Id="rId87" Type="http://schemas.openxmlformats.org/officeDocument/2006/relationships/oleObject" Target="embeddings/oleObject2.bin"/><Relationship Id="rId86" Type="http://schemas.openxmlformats.org/officeDocument/2006/relationships/image" Target="media/image28.jpeg"/><Relationship Id="rId85" Type="http://schemas.openxmlformats.org/officeDocument/2006/relationships/image" Target="media/image27.png"/><Relationship Id="rId84" Type="http://schemas.openxmlformats.org/officeDocument/2006/relationships/image" Target="media/image26.png"/><Relationship Id="rId83" Type="http://schemas.openxmlformats.org/officeDocument/2006/relationships/image" Target="media/image25.png"/><Relationship Id="rId82" Type="http://schemas.openxmlformats.org/officeDocument/2006/relationships/image" Target="media/image24.png"/><Relationship Id="rId81" Type="http://schemas.openxmlformats.org/officeDocument/2006/relationships/image" Target="media/image23.png"/><Relationship Id="rId80" Type="http://schemas.openxmlformats.org/officeDocument/2006/relationships/image" Target="media/image22.png"/><Relationship Id="rId8" Type="http://schemas.openxmlformats.org/officeDocument/2006/relationships/footer" Target="footer1.xml"/><Relationship Id="rId79" Type="http://schemas.openxmlformats.org/officeDocument/2006/relationships/image" Target="media/image21.jpeg"/><Relationship Id="rId78" Type="http://schemas.openxmlformats.org/officeDocument/2006/relationships/image" Target="media/image20.jpeg"/><Relationship Id="rId77" Type="http://schemas.openxmlformats.org/officeDocument/2006/relationships/image" Target="media/image19.jpeg"/><Relationship Id="rId76" Type="http://schemas.openxmlformats.org/officeDocument/2006/relationships/image" Target="media/image18.png"/><Relationship Id="rId75" Type="http://schemas.openxmlformats.org/officeDocument/2006/relationships/image" Target="media/image17.png"/><Relationship Id="rId74" Type="http://schemas.openxmlformats.org/officeDocument/2006/relationships/image" Target="media/image16.png"/><Relationship Id="rId73" Type="http://schemas.openxmlformats.org/officeDocument/2006/relationships/image" Target="media/image15.png"/><Relationship Id="rId72" Type="http://schemas.openxmlformats.org/officeDocument/2006/relationships/image" Target="media/image14.png"/><Relationship Id="rId71" Type="http://schemas.openxmlformats.org/officeDocument/2006/relationships/image" Target="media/image13.png"/><Relationship Id="rId70" Type="http://schemas.openxmlformats.org/officeDocument/2006/relationships/image" Target="media/image12.jpeg"/><Relationship Id="rId7" Type="http://schemas.openxmlformats.org/officeDocument/2006/relationships/header" Target="header3.xml"/><Relationship Id="rId69" Type="http://schemas.openxmlformats.org/officeDocument/2006/relationships/image" Target="media/image11.png"/><Relationship Id="rId68" Type="http://schemas.openxmlformats.org/officeDocument/2006/relationships/image" Target="media/image10.wmf"/><Relationship Id="rId67" Type="http://schemas.openxmlformats.org/officeDocument/2006/relationships/oleObject" Target="embeddings/oleObject1.bin"/><Relationship Id="rId66" Type="http://schemas.openxmlformats.org/officeDocument/2006/relationships/image" Target="media/image9.png"/><Relationship Id="rId65" Type="http://schemas.openxmlformats.org/officeDocument/2006/relationships/image" Target="media/image8.jpeg"/><Relationship Id="rId64" Type="http://schemas.openxmlformats.org/officeDocument/2006/relationships/image" Target="media/image7.jpeg"/><Relationship Id="rId63" Type="http://schemas.openxmlformats.org/officeDocument/2006/relationships/image" Target="media/image6.jpeg"/><Relationship Id="rId62" Type="http://schemas.openxmlformats.org/officeDocument/2006/relationships/image" Target="media/image5.jpeg"/><Relationship Id="rId61" Type="http://schemas.openxmlformats.org/officeDocument/2006/relationships/image" Target="media/image4.jpeg"/><Relationship Id="rId60" Type="http://schemas.openxmlformats.org/officeDocument/2006/relationships/image" Target="media/image3.jpeg"/><Relationship Id="rId6" Type="http://schemas.openxmlformats.org/officeDocument/2006/relationships/header" Target="header2.xml"/><Relationship Id="rId59" Type="http://schemas.openxmlformats.org/officeDocument/2006/relationships/image" Target="media/image2.jpeg"/><Relationship Id="rId58" Type="http://schemas.openxmlformats.org/officeDocument/2006/relationships/image" Target="media/image1.jpeg"/><Relationship Id="rId57" Type="http://schemas.openxmlformats.org/officeDocument/2006/relationships/theme" Target="theme/theme1.xml"/><Relationship Id="rId56" Type="http://schemas.openxmlformats.org/officeDocument/2006/relationships/footer" Target="footer11.xml"/><Relationship Id="rId55" Type="http://schemas.openxmlformats.org/officeDocument/2006/relationships/header" Target="header41.xml"/><Relationship Id="rId54" Type="http://schemas.openxmlformats.org/officeDocument/2006/relationships/footer" Target="footer10.xml"/><Relationship Id="rId53" Type="http://schemas.openxmlformats.org/officeDocument/2006/relationships/header" Target="header40.xml"/><Relationship Id="rId52" Type="http://schemas.openxmlformats.org/officeDocument/2006/relationships/header" Target="header39.xml"/><Relationship Id="rId51" Type="http://schemas.openxmlformats.org/officeDocument/2006/relationships/header" Target="header38.xml"/><Relationship Id="rId50" Type="http://schemas.openxmlformats.org/officeDocument/2006/relationships/header" Target="header37.xml"/><Relationship Id="rId5" Type="http://schemas.openxmlformats.org/officeDocument/2006/relationships/header" Target="header1.xml"/><Relationship Id="rId49" Type="http://schemas.openxmlformats.org/officeDocument/2006/relationships/header" Target="header36.xml"/><Relationship Id="rId48" Type="http://schemas.openxmlformats.org/officeDocument/2006/relationships/footer" Target="footer9.xml"/><Relationship Id="rId47" Type="http://schemas.openxmlformats.org/officeDocument/2006/relationships/footer" Target="footer8.xml"/><Relationship Id="rId46" Type="http://schemas.openxmlformats.org/officeDocument/2006/relationships/header" Target="header35.xml"/><Relationship Id="rId45" Type="http://schemas.openxmlformats.org/officeDocument/2006/relationships/header" Target="header34.xml"/><Relationship Id="rId44" Type="http://schemas.openxmlformats.org/officeDocument/2006/relationships/header" Target="header33.xml"/><Relationship Id="rId43" Type="http://schemas.openxmlformats.org/officeDocument/2006/relationships/footer" Target="footer7.xml"/><Relationship Id="rId42" Type="http://schemas.openxmlformats.org/officeDocument/2006/relationships/header" Target="header32.xml"/><Relationship Id="rId41" Type="http://schemas.openxmlformats.org/officeDocument/2006/relationships/footer" Target="footer6.xml"/><Relationship Id="rId40" Type="http://schemas.openxmlformats.org/officeDocument/2006/relationships/header" Target="header31.xml"/><Relationship Id="rId4" Type="http://schemas.openxmlformats.org/officeDocument/2006/relationships/endnotes" Target="endnotes.xml"/><Relationship Id="rId39" Type="http://schemas.openxmlformats.org/officeDocument/2006/relationships/header" Target="header30.xml"/><Relationship Id="rId38" Type="http://schemas.openxmlformats.org/officeDocument/2006/relationships/header" Target="header29.xml"/><Relationship Id="rId37" Type="http://schemas.openxmlformats.org/officeDocument/2006/relationships/header" Target="header28.xml"/><Relationship Id="rId36" Type="http://schemas.openxmlformats.org/officeDocument/2006/relationships/header" Target="header27.xml"/><Relationship Id="rId35" Type="http://schemas.openxmlformats.org/officeDocument/2006/relationships/header" Target="header26.xml"/><Relationship Id="rId34" Type="http://schemas.openxmlformats.org/officeDocument/2006/relationships/header" Target="header25.xml"/><Relationship Id="rId33" Type="http://schemas.openxmlformats.org/officeDocument/2006/relationships/header" Target="header24.xml"/><Relationship Id="rId32" Type="http://schemas.openxmlformats.org/officeDocument/2006/relationships/header" Target="header23.xml"/><Relationship Id="rId31" Type="http://schemas.openxmlformats.org/officeDocument/2006/relationships/header" Target="header22.xml"/><Relationship Id="rId30" Type="http://schemas.openxmlformats.org/officeDocument/2006/relationships/header" Target="header21.xml"/><Relationship Id="rId3" Type="http://schemas.openxmlformats.org/officeDocument/2006/relationships/footnotes" Target="footnotes.xml"/><Relationship Id="rId29" Type="http://schemas.openxmlformats.org/officeDocument/2006/relationships/header" Target="header20.xml"/><Relationship Id="rId28" Type="http://schemas.openxmlformats.org/officeDocument/2006/relationships/header" Target="header19.xml"/><Relationship Id="rId27" Type="http://schemas.openxmlformats.org/officeDocument/2006/relationships/header" Target="header18.xml"/><Relationship Id="rId26" Type="http://schemas.openxmlformats.org/officeDocument/2006/relationships/header" Target="header17.xml"/><Relationship Id="rId25" Type="http://schemas.openxmlformats.org/officeDocument/2006/relationships/header" Target="header16.xml"/><Relationship Id="rId24" Type="http://schemas.openxmlformats.org/officeDocument/2006/relationships/header" Target="header15.xml"/><Relationship Id="rId23" Type="http://schemas.openxmlformats.org/officeDocument/2006/relationships/header" Target="header14.xml"/><Relationship Id="rId22" Type="http://schemas.openxmlformats.org/officeDocument/2006/relationships/header" Target="header13.xml"/><Relationship Id="rId21" Type="http://schemas.openxmlformats.org/officeDocument/2006/relationships/footer" Target="footer5.xml"/><Relationship Id="rId20" Type="http://schemas.openxmlformats.org/officeDocument/2006/relationships/header" Target="header12.xml"/><Relationship Id="rId2" Type="http://schemas.openxmlformats.org/officeDocument/2006/relationships/settings" Target="settings.xml"/><Relationship Id="rId19" Type="http://schemas.openxmlformats.org/officeDocument/2006/relationships/footer" Target="footer4.xml"/><Relationship Id="rId18" Type="http://schemas.openxmlformats.org/officeDocument/2006/relationships/header" Target="header11.xml"/><Relationship Id="rId17" Type="http://schemas.openxmlformats.org/officeDocument/2006/relationships/header" Target="header10.xml"/><Relationship Id="rId16" Type="http://schemas.openxmlformats.org/officeDocument/2006/relationships/header" Target="header9.xml"/><Relationship Id="rId15" Type="http://schemas.openxmlformats.org/officeDocument/2006/relationships/header" Target="header8.xml"/><Relationship Id="rId14" Type="http://schemas.openxmlformats.org/officeDocument/2006/relationships/header" Target="header7.xml"/><Relationship Id="rId135" Type="http://schemas.openxmlformats.org/officeDocument/2006/relationships/fontTable" Target="fontTable.xml"/><Relationship Id="rId134" Type="http://schemas.openxmlformats.org/officeDocument/2006/relationships/customXml" Target="../customXml/item3.xml"/><Relationship Id="rId133" Type="http://schemas.openxmlformats.org/officeDocument/2006/relationships/customXml" Target="../customXml/item2.xml"/><Relationship Id="rId132" Type="http://schemas.openxmlformats.org/officeDocument/2006/relationships/numbering" Target="numbering.xml"/><Relationship Id="rId131" Type="http://schemas.openxmlformats.org/officeDocument/2006/relationships/customXml" Target="../customXml/item1.xml"/><Relationship Id="rId130" Type="http://schemas.openxmlformats.org/officeDocument/2006/relationships/image" Target="media/image68.emf"/><Relationship Id="rId13" Type="http://schemas.openxmlformats.org/officeDocument/2006/relationships/header" Target="header6.xml"/><Relationship Id="rId129" Type="http://schemas.openxmlformats.org/officeDocument/2006/relationships/oleObject" Target="embeddings/oleObject5.bin"/><Relationship Id="rId128" Type="http://schemas.openxmlformats.org/officeDocument/2006/relationships/image" Target="media/image67.png"/><Relationship Id="rId127" Type="http://schemas.openxmlformats.org/officeDocument/2006/relationships/image" Target="media/image66.png"/><Relationship Id="rId126" Type="http://schemas.openxmlformats.org/officeDocument/2006/relationships/image" Target="media/image65.png"/><Relationship Id="rId125" Type="http://schemas.openxmlformats.org/officeDocument/2006/relationships/image" Target="media/image64.png"/><Relationship Id="rId124" Type="http://schemas.openxmlformats.org/officeDocument/2006/relationships/image" Target="media/image63.png"/><Relationship Id="rId123" Type="http://schemas.openxmlformats.org/officeDocument/2006/relationships/image" Target="media/image62.png"/><Relationship Id="rId122" Type="http://schemas.openxmlformats.org/officeDocument/2006/relationships/image" Target="media/image61.png"/><Relationship Id="rId121" Type="http://schemas.openxmlformats.org/officeDocument/2006/relationships/image" Target="media/image60.emf"/><Relationship Id="rId120" Type="http://schemas.openxmlformats.org/officeDocument/2006/relationships/image" Target="media/image59.emf"/><Relationship Id="rId12" Type="http://schemas.openxmlformats.org/officeDocument/2006/relationships/header" Target="header5.xml"/><Relationship Id="rId119" Type="http://schemas.openxmlformats.org/officeDocument/2006/relationships/image" Target="media/image58.emf"/><Relationship Id="rId118" Type="http://schemas.openxmlformats.org/officeDocument/2006/relationships/image" Target="media/image57.jpeg"/><Relationship Id="rId117" Type="http://schemas.openxmlformats.org/officeDocument/2006/relationships/image" Target="media/image56.png"/><Relationship Id="rId116" Type="http://schemas.openxmlformats.org/officeDocument/2006/relationships/image" Target="media/image55.png"/><Relationship Id="rId115" Type="http://schemas.openxmlformats.org/officeDocument/2006/relationships/image" Target="media/image54.png"/><Relationship Id="rId114" Type="http://schemas.openxmlformats.org/officeDocument/2006/relationships/image" Target="media/image53.png"/><Relationship Id="rId113" Type="http://schemas.openxmlformats.org/officeDocument/2006/relationships/image" Target="media/image52.png"/><Relationship Id="rId112" Type="http://schemas.openxmlformats.org/officeDocument/2006/relationships/image" Target="media/image51.png"/><Relationship Id="rId111" Type="http://schemas.openxmlformats.org/officeDocument/2006/relationships/image" Target="media/image50.png"/><Relationship Id="rId110" Type="http://schemas.openxmlformats.org/officeDocument/2006/relationships/image" Target="media/image49.png"/><Relationship Id="rId11" Type="http://schemas.openxmlformats.org/officeDocument/2006/relationships/footer" Target="footer3.xml"/><Relationship Id="rId109" Type="http://schemas.openxmlformats.org/officeDocument/2006/relationships/image" Target="media/image48.jpeg"/><Relationship Id="rId108" Type="http://schemas.openxmlformats.org/officeDocument/2006/relationships/image" Target="media/image47.jpeg"/><Relationship Id="rId107" Type="http://schemas.openxmlformats.org/officeDocument/2006/relationships/image" Target="media/image46.png"/><Relationship Id="rId106" Type="http://schemas.openxmlformats.org/officeDocument/2006/relationships/image" Target="media/image45.png"/><Relationship Id="rId105" Type="http://schemas.openxmlformats.org/officeDocument/2006/relationships/image" Target="media/image44.png"/><Relationship Id="rId104" Type="http://schemas.openxmlformats.org/officeDocument/2006/relationships/image" Target="media/image43.png"/><Relationship Id="rId103" Type="http://schemas.openxmlformats.org/officeDocument/2006/relationships/image" Target="media/image42.png"/><Relationship Id="rId102" Type="http://schemas.openxmlformats.org/officeDocument/2006/relationships/image" Target="media/image41.png"/><Relationship Id="rId101" Type="http://schemas.openxmlformats.org/officeDocument/2006/relationships/image" Target="media/image40.png"/><Relationship Id="rId100" Type="http://schemas.openxmlformats.org/officeDocument/2006/relationships/image" Target="media/image39.jpeg"/><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ontractReview xmlns="http://schemas.wps.cn/vas-ai-hub/contract-review">
  <reviewItems>
    <reviewItem>
      <errorID>3686aa3d-0965-46d9-9640-fcad24288dcc</errorID>
      <errorWord>~</errorWord>
      <group>L1_Format</group>
      <groupName>格式问题</groupName>
      <ability>L2_HalfPunc</ability>
      <abilityName>全半角检查</abilityName>
      <candidateList>
        <item>～</item>
      </candidateList>
      <explain>文本全半角错误。</explain>
      <paraID>470DB7A7</paraID>
      <start>170</start>
      <end>171</end>
      <status>unmodified</status>
      <modifiedWord/>
      <trackRevisions>false</trackRevisions>
    </reviewItem>
    <reviewItem>
      <errorID>e0a02f6a-7e61-426d-8014-7247bdcd8749</errorID>
      <errorWord>优化</errorWord>
      <group>L1_AI</group>
      <groupName>深度校对</groupName>
      <ability>L2_AI_Grammar</ability>
      <abilityName>语法纠错</abilityName>
      <candidateList>
        <item>按照优化</item>
      </candidateList>
      <explain/>
      <paraID> CDC7B0E</paraID>
      <start>176</start>
      <end>178</end>
      <status>unmodified</status>
      <modifiedWord/>
      <trackRevisions>false</trackRevisions>
    </reviewItem>
    <reviewItem>
      <errorID>d723a894-8e24-4574-b3ab-c8d9f41de754</errorID>
      <errorWord>向</errorWord>
      <group>L1_AI</group>
      <groupName>深度校对</groupName>
      <ability>L2_AI_Word</ability>
      <abilityName>字词纠错</abilityName>
      <candidateList>
        <item>接受</item>
      </candidateList>
      <explain/>
      <paraID>450128A4</paraID>
      <start>86</start>
      <end>87</end>
      <status>unmodified</status>
      <modifiedWord/>
      <trackRevisions>false</trackRevisions>
    </reviewItem>
    <reviewItem>
      <errorID>59ef8ba7-463a-4dc7-b534-4a6c3a5c3774</errorID>
      <errorWord>程</errorWord>
      <group>L1_Word</group>
      <groupName>字词问题</groupName>
      <ability>L2_Typo</ability>
      <abilityName>字词错误</abilityName>
      <candidateList>
        <item>程中</item>
      </candidateList>
      <explain/>
      <paraID>450128A4</paraID>
      <start>346</start>
      <end>347</end>
      <status>unmodified</status>
      <modifiedWord/>
      <trackRevisions>false</trackRevisions>
    </reviewItem>
    <reviewItem>
      <errorID>43375913-9a53-434a-bbde-6f98707d65a7</errorID>
      <errorWord>钦州</errorWord>
      <group>L1_AI</group>
      <groupName>深度校对</groupName>
      <ability>L2_AI_Punc</ability>
      <abilityName>标点纠错</abilityName>
      <candidateList>
        <item>，钦州</item>
      </candidateList>
      <explain/>
      <paraID>6825920E</paraID>
      <start>9</start>
      <end>11</end>
      <status>unmodified</status>
      <modifiedWord/>
      <trackRevisions>false</trackRevisions>
    </reviewItem>
    <reviewItem>
      <errorID>03a44a27-f6b0-43de-a6b2-ace6fc5d8630</errorID>
      <errorWord>置换</errorWord>
      <group>L1_AI</group>
      <groupName>深度校对</groupName>
      <ability>L2_AI_Punc</ability>
      <abilityName>标点纠错</abilityName>
      <candidateList>
        <item>，置换</item>
      </candidateList>
      <explain/>
      <paraID>6825920E</paraID>
      <start>62</start>
      <end>64</end>
      <status>unmodified</status>
      <modifiedWord/>
      <trackRevisions>false</trackRevisions>
    </reviewItem>
    <reviewItem>
      <errorID>d9e5851d-e143-464b-9b67-f8c3d5a65676</errorID>
      <errorWord>；</errorWord>
      <group>L1_AI</group>
      <groupName>深度校对</groupName>
      <ability>L2_AI_Punc</ability>
      <abilityName>标点纠错</abilityName>
      <candidateList>
        <item>。</item>
      </candidateList>
      <explain/>
      <paraID>6825920E</paraID>
      <start>212</start>
      <end>213</end>
      <status>unmodified</status>
      <modifiedWord/>
      <trackRevisions>false</trackRevisions>
    </reviewItem>
    <reviewItem>
      <errorID>6f7460d2-9245-4b81-9743-4c98c01c2dd1</errorID>
      <errorWord>使得</errorWord>
      <group>L1_AI</group>
      <groupName>深度校对</groupName>
      <ability>L2_AI_Word</ability>
      <abilityName>字词纠错</abilityName>
      <candidateList>
        <item>使</item>
      </candidateList>
      <explain/>
      <paraID>6825920E</paraID>
      <start>264</start>
      <end>266</end>
      <status>unmodified</status>
      <modifiedWord/>
      <trackRevisions>false</trackRevisions>
    </reviewItem>
    <reviewItem>
      <errorID>42bef0d8-809e-4dad-b0d2-af20ef5ab2f1</errorID>
      <errorWord>艘/年</errorWord>
      <group>L1_AI</group>
      <groupName>深度校对</groupName>
      <ability>L2_AI_Grammar</ability>
      <abilityName>语法纠错</abilityName>
      <candidateList>
        <item>艘</item>
      </candidateList>
      <explain/>
      <paraID>6825920E</paraID>
      <start>291</start>
      <end>294</end>
      <status>unmodified</status>
      <modifiedWord/>
      <trackRevisions>false</trackRevisions>
    </reviewItem>
    <reviewItem>
      <errorID>6ecb5d25-9059-4885-a178-3f8216f6b3d8</errorID>
      <errorWord>技改</errorWord>
      <group>L1_AI</group>
      <groupName>深度校对</groupName>
      <ability>L2_AI_Punc</ability>
      <abilityName>标点纠错</abilityName>
      <candidateList>
        <item>：技改</item>
      </candidateList>
      <explain/>
      <paraID> 4610B64</paraID>
      <start>11</start>
      <end>13</end>
      <status>unmodified</status>
      <modifiedWord/>
      <trackRevisions>false</trackRevisions>
    </reviewItem>
    <reviewItem>
      <errorID>fe63b1b1-d0cc-48e8-ba56-d50f7266026d</errorID>
      <errorWord>；并</errorWord>
      <group>L1_AI</group>
      <groupName>深度校对</groupName>
      <ability>L2_AI_Word</ability>
      <abilityName>字词纠错</abilityName>
      <candidateList>
        <item>；</item>
      </candidateList>
      <explain/>
      <paraID> 4610B64</paraID>
      <start>79</start>
      <end>81</end>
      <status>unmodified</status>
      <modifiedWord/>
      <trackRevisions>false</trackRevisions>
    </reviewItem>
    <reviewItem>
      <errorID>d89e3e2d-152f-45d4-b433-692086af25d0</errorID>
      <errorWord>工艺设备</errorWord>
      <group>L1_AI</group>
      <groupName>深度校对</groupName>
      <ability>L2_AI_Grammar</ability>
      <abilityName>语法纠错</abilityName>
      <candidateList>
        <item>配备工艺设备</item>
      </candidateList>
      <explain/>
      <paraID> 4610B64</paraID>
      <start>133</start>
      <end>137</end>
      <status>unmodified</status>
      <modifiedWord/>
      <trackRevisions>false</trackRevisions>
    </reviewItem>
    <reviewItem>
      <errorID>6dde35af-e21d-46b8-8e50-16fc47ca2b14</errorID>
      <errorWord>）等</errorWord>
      <group>L1_AI</group>
      <groupName>深度校对</groupName>
      <ability>L2_AI_Word</ability>
      <abilityName>字词纠错</abilityName>
      <candidateList>
        <item>）</item>
      </candidateList>
      <explain/>
      <paraID> 4610B64</paraID>
      <start>193</start>
      <end>195</end>
      <status>unmodified</status>
      <modifiedWord/>
      <trackRevisions>false</trackRevisions>
    </reviewItem>
    <reviewItem>
      <errorID>2431b24a-a031-492f-b03b-b0747c1f6617</errorID>
      <errorWord>及</errorWord>
      <group>L1_AI</group>
      <groupName>深度校对</groupName>
      <ability>L2_AI_Word</ability>
      <abilityName>字词纠错</abilityName>
      <candidateList>
        <item>以及</item>
      </candidateList>
      <explain/>
      <paraID>418ACB5D</paraID>
      <start>18</start>
      <end>19</end>
      <status>unmodified</status>
      <modifiedWord/>
      <trackRevisions>false</trackRevisions>
    </reviewItem>
    <reviewItem>
      <errorID>8a2894fe-5337-40b4-aee7-aff79022472f</errorID>
      <errorWord>实施了</errorWord>
      <group>L1_AI</group>
      <groupName>深度校对</groupName>
      <ability>L2_AI_Word</ability>
      <abilityName>字词纠错</abilityName>
      <candidateList>
        <item>进行</item>
      </candidateList>
      <explain/>
      <paraID> 4A88568</paraID>
      <start>25</start>
      <end>28</end>
      <status>unmodified</status>
      <modifiedWord/>
      <trackRevisions>false</trackRevisions>
    </reviewItem>
    <reviewItem>
      <errorID>6588f987-a2d0-42d5-a15b-e7d241c32a42</errorID>
      <errorWord>调查收集</errorWord>
      <group>L1_AI</group>
      <groupName>深度校对</groupName>
      <ability>L2_AI_Grammar</ability>
      <abilityName>语法纠错</abilityName>
      <candidateList>
        <item>调查</item>
      </candidateList>
      <explain/>
      <paraID> 4A88568</paraID>
      <start>35</start>
      <end>39</end>
      <status>unmodified</status>
      <modifiedWord/>
      <trackRevisions>false</trackRevisions>
    </reviewItem>
    <reviewItem>
      <errorID>95f407f7-9841-4b71-9268-ecbf5a778c23</errorID>
      <errorWord>进行了</errorWord>
      <group>L1_AI</group>
      <groupName>深度校对</groupName>
      <ability>L2_AI_Word</ability>
      <abilityName>字词纠错</abilityName>
      <candidateList>
        <item>开展</item>
      </candidateList>
      <explain/>
      <paraID> 4A88568</paraID>
      <start>59</start>
      <end>62</end>
      <status>unmodified</status>
      <modifiedWord/>
      <trackRevisions>false</trackRevisions>
    </reviewItem>
    <reviewItem>
      <errorID>4b632814-3a8c-4ea8-99b3-d8f65cf48199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74922933</paraID>
      <start>0</start>
      <end>2</end>
      <status>unmodified</status>
      <modifiedWord/>
      <trackRevisions>false</trackRevisions>
    </reviewItem>
    <reviewItem>
      <errorID>3b261378-abe9-44ac-8a23-2cdf8c7d28aa</errorID>
      <errorWord>国家发改委</errorWord>
      <group>L1_Knowledge</group>
      <groupName>知识性问题</groupName>
      <ability>L2_Knowledge</ability>
      <abilityName>其他知识</abilityName>
      <candidateList>
        <item>国家发展改革委</item>
      </candidateList>
      <explain/>
      <paraID>26436E02</paraID>
      <start>2</start>
      <end>9</end>
      <status>modified</status>
      <modifiedWord>国家发展改革委</modifiedWord>
      <trackRevisions>false</trackRevisions>
    </reviewItem>
    <reviewItem>
      <errorID>2451ddf7-6fbd-48a1-af1c-87ee47b0231d</errorID>
      <errorWord>E108</errorWord>
      <group>L1_AI</group>
      <groupName>深度校对</groupName>
      <ability>L2_AI_Word</ability>
      <abilityName>字词纠错</abilityName>
      <candidateList>
        <item>由E108</item>
      </candidateList>
      <explain/>
      <paraID>4C34831F</paraID>
      <start>179</start>
      <end>183</end>
      <status>unmodified</status>
      <modifiedWord/>
      <trackRevisions>false</trackRevisions>
    </reviewItem>
    <reviewItem>
      <errorID>5700c239-2cbb-4a7c-8dc0-381c7652fb53</errorID>
      <errorWord>》</errorWord>
      <group>L1_Word</group>
      <groupName>字词问题</groupName>
      <ability>L2_Typo</ability>
      <abilityName>字词错误</abilityName>
      <candidateList>
        <item>》对</item>
      </candidateList>
      <explain/>
      <paraID>1597070B</paraID>
      <start>158</start>
      <end>159</end>
      <status>unmodified</status>
      <modifiedWord/>
      <trackRevisions>false</trackRevisions>
    </reviewItem>
    <reviewItem>
      <errorID>37d41964-885f-452d-b3b0-a898c937e3d4</errorID>
      <errorWord>海域</errorWord>
      <group>L1_AI</group>
      <groupName>深度校对</groupName>
      <ability>L2_AI_Word</ability>
      <abilityName>字词纠错</abilityName>
      <candidateList>
        <item>中海域</item>
      </candidateList>
      <explain/>
      <paraID>1597070B</paraID>
      <start>159</start>
      <end>161</end>
      <status>unmodified</status>
      <modifiedWord/>
      <trackRevisions>false</trackRevisions>
    </reviewItem>
    <reviewItem>
      <errorID>bc2bad54-b4d5-4671-8dba-cf15ecde23d5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33B03A57</paraID>
      <start>36</start>
      <end>37</end>
      <status>unmodified</status>
      <modifiedWord/>
      <trackRevisions>false</trackRevisions>
    </reviewItem>
    <reviewItem>
      <errorID>f25b680e-03a8-4441-bff0-dd8500f34e26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5FB7FE3</paraID>
      <start>187</start>
      <end>188</end>
      <status>unmodified</status>
      <modifiedWord/>
      <trackRevisions>false</trackRevisions>
    </reviewItem>
    <reviewItem>
      <errorID>6212244e-741a-4a35-8435-8f3b124f136b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1C65D6F9</paraID>
      <start>22</start>
      <end>23</end>
      <status>unmodified</status>
      <modifiedWord/>
      <trackRevisions>false</trackRevisions>
    </reviewItem>
    <reviewItem>
      <errorID>58ada0d0-f98d-4946-95fc-c310350478c8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9F4C815</paraID>
      <start>20</start>
      <end>21</end>
      <status>unmodified</status>
      <modifiedWord/>
      <trackRevisions>false</trackRevisions>
    </reviewItem>
    <reviewItem>
      <errorID>725df8f1-2ae3-4825-8f38-e0a64b9ccd6c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7C623AB4</paraID>
      <start>279</start>
      <end>280</end>
      <status>unmodified</status>
      <modifiedWord/>
      <trackRevisions>false</trackRevisions>
    </reviewItem>
    <reviewItem>
      <errorID>96b6d06e-6401-43d6-8bdd-8c3d217cf7b3</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59B36D6F</paraID>
      <start>31</start>
      <end>34</end>
      <status>unmodified</status>
      <modifiedWord/>
      <trackRevisions>false</trackRevisions>
    </reviewItem>
    <reviewItem>
      <errorID>a7b46c2d-21e6-4abe-9c49-870bb0d3f9a7</errorID>
      <errorWord>~</errorWord>
      <group>L1_Format</group>
      <groupName>格式问题</groupName>
      <ability>L2_HalfPunc</ability>
      <abilityName>全半角检查</abilityName>
      <candidateList>
        <item>～</item>
      </candidateList>
      <explain>文本全半角错误。</explain>
      <paraID>59B36D6F</paraID>
      <start>72</start>
      <end>73</end>
      <status>unmodified</status>
      <modifiedWord/>
      <trackRevisions>false</trackRevisions>
    </reviewItem>
    <reviewItem>
      <errorID>87f09d1f-591e-4061-9c5b-69f0c05a7f3b</errorID>
      <errorWord>拆船</errorWord>
      <group>L1_Word</group>
      <groupName>字词问题</groupName>
      <ability>L2_Typo</ability>
      <abilityName>字词错误</abilityName>
      <candidateList>
        <item>拆除</item>
      </candidateList>
      <explain/>
      <paraID>2041F83A</paraID>
      <start>12</start>
      <end>14</end>
      <status>unmodified</status>
      <modifiedWord/>
      <trackRevisions>false</trackRevisions>
    </reviewItem>
    <reviewItem>
      <errorID>a480c6df-4231-4585-a8d3-2fe19a528b30</errorID>
      <errorWord>程</errorWord>
      <group>L1_Word</group>
      <groupName>字词问题</groupName>
      <ability>L2_Typo</ability>
      <abilityName>字词错误</abilityName>
      <candidateList>
        <item>程中</item>
      </candidateList>
      <explain/>
      <paraID>6E1F6BF7</paraID>
      <start>11</start>
      <end>12</end>
      <status>unmodified</status>
      <modifiedWord/>
      <trackRevisions>false</trackRevisions>
    </reviewItem>
    <reviewItem>
      <errorID>385549d9-c124-43c1-9d1f-e07caa939551</errorID>
      <errorWord>胶粘剂</errorWord>
      <group>L1_Word</group>
      <groupName>字词问题</groupName>
      <ability>L2_Typo</ability>
      <abilityName>字词错误</abilityName>
      <candidateList>
        <item>胶黏剂</item>
      </candidateList>
      <explain/>
      <paraID>47BADA8E</paraID>
      <start>98</start>
      <end>101</end>
      <status>unmodified</status>
      <modifiedWord/>
      <trackRevisions>false</trackRevisions>
    </reviewItem>
    <reviewItem>
      <errorID>14479840-e943-46e0-9d14-f129af414133</errorID>
      <errorWord>胶粘剂</errorWord>
      <group>L1_Word</group>
      <groupName>字词问题</groupName>
      <ability>L2_Typo</ability>
      <abilityName>字词错误</abilityName>
      <candidateList>
        <item>胶黏剂</item>
      </candidateList>
      <explain/>
      <paraID>47BADA8E</paraID>
      <start>134</start>
      <end>137</end>
      <status>unmodified</status>
      <modifiedWord/>
      <trackRevisions>false</trackRevisions>
    </reviewItem>
    <reviewItem>
      <errorID>87b2d298-919c-4c4d-8ecb-dac0ae52c42f</errorID>
      <errorWord>胶粘剂</errorWord>
      <group>L1_Word</group>
      <groupName>字词问题</groupName>
      <ability>L2_Typo</ability>
      <abilityName>字词错误</abilityName>
      <candidateList>
        <item>胶黏剂</item>
      </candidateList>
      <explain/>
      <paraID>665F5F69</paraID>
      <start>35</start>
      <end>38</end>
      <status>unmodified</status>
      <modifiedWord/>
      <trackRevisions>false</trackRevisions>
    </reviewItem>
    <reviewItem>
      <errorID>c6913614-db24-4e03-96ba-c69aa2e7a039</errorID>
      <errorWord>程</errorWord>
      <group>L1_Word</group>
      <groupName>字词问题</groupName>
      <ability>L2_Typo</ability>
      <abilityName>字词错误</abilityName>
      <candidateList>
        <item>程中</item>
      </candidateList>
      <explain/>
      <paraID>42D026CE</paraID>
      <start>169</start>
      <end>170</end>
      <status>unmodified</status>
      <modifiedWord/>
      <trackRevisions>false</trackRevisions>
    </reviewItem>
    <reviewItem>
      <errorID>5777131d-a964-437b-932d-afa15b3c9100</errorID>
      <errorWord>项目的</errorWord>
      <group>L1_Word</group>
      <groupName>字词问题</groupName>
      <ability>L2_Typo</ability>
      <abilityName>字词错误</abilityName>
      <candidateList>
        <item>项目</item>
      </candidateList>
      <explain>〈名〉事物分成的门类：服务～｜体育～｜建设～。</explain>
      <paraID> 41C5767</paraID>
      <start>1</start>
      <end>4</end>
      <status>unmodified</status>
      <modifiedWord/>
      <trackRevisions>false</trackRevisions>
    </reviewItem>
    <reviewItem>
      <errorID>49dd5f28-bcba-4962-960a-0493a01e2aac</errorID>
      <errorWord>(</errorWord>
      <group>L1_Format</group>
      <groupName>格式问题</groupName>
      <ability>L2_HalfPunc</ability>
      <abilityName>全半角检查</abilityName>
      <candidateList>
        <item>（</item>
      </candidateList>
      <explain>文本全半角错误。</explain>
      <paraID>45EE9157</paraID>
      <start>66</start>
      <end>67</end>
      <status>unmodified</status>
      <modifiedWord/>
      <trackRevisions>false</trackRevisions>
    </reviewItem>
    <reviewItem>
      <errorID>02c99e70-0d5e-4a3e-bfde-eb96f37390ad</errorID>
      <errorWord>)</errorWord>
      <group>L1_Format</group>
      <groupName>格式问题</groupName>
      <ability>L2_HalfPunc</ability>
      <abilityName>全半角检查</abilityName>
      <candidateList>
        <item>）</item>
      </candidateList>
      <explain>文本全半角错误。</explain>
      <paraID>45EE9157</paraID>
      <start>68</start>
      <end>69</end>
      <status>unmodified</status>
      <modifiedWord/>
      <trackRevisions>false</trackRevisions>
    </reviewItem>
    <reviewItem>
      <errorID>c85a804f-f579-4a01-91c0-1c1853f4aa91</errorID>
      <errorWord>(</errorWord>
      <group>L1_Format</group>
      <groupName>格式问题</groupName>
      <ability>L2_HalfPunc</ability>
      <abilityName>全半角检查</abilityName>
      <candidateList>
        <item>（</item>
      </candidateList>
      <explain>文本全半角错误。</explain>
      <paraID>2287E4D7</paraID>
      <start>34</start>
      <end>35</end>
      <status>unmodified</status>
      <modifiedWord/>
      <trackRevisions>false</trackRevisions>
    </reviewItem>
    <reviewItem>
      <errorID>8e66431c-a650-44a2-b4bf-ef12f474ed96</errorID>
      <errorWord>)</errorWord>
      <group>L1_Format</group>
      <groupName>格式问题</groupName>
      <ability>L2_HalfPunc</ability>
      <abilityName>全半角检查</abilityName>
      <candidateList>
        <item>）</item>
      </candidateList>
      <explain>文本全半角错误。</explain>
      <paraID>2287E4D7</paraID>
      <start>37</start>
      <end>38</end>
      <status>unmodified</status>
      <modifiedWord/>
      <trackRevisions>false</trackRevisions>
    </reviewItem>
    <reviewItem>
      <errorID>3ece583c-7456-4593-a373-3830174ff0ce</errorID>
      <errorWord>(</errorWord>
      <group>L1_Format</group>
      <groupName>格式问题</groupName>
      <ability>L2_HalfPunc</ability>
      <abilityName>全半角检查</abilityName>
      <candidateList>
        <item>（</item>
      </candidateList>
      <explain>文本全半角错误。</explain>
      <paraID>2287E4D7</paraID>
      <start>39</start>
      <end>40</end>
      <status>unmodified</status>
      <modifiedWord/>
      <trackRevisions>false</trackRevisions>
    </reviewItem>
    <reviewItem>
      <errorID>a77ba4b0-bc9e-447a-8031-89a075a8eddd</errorID>
      <errorWord>)</errorWord>
      <group>L1_Format</group>
      <groupName>格式问题</groupName>
      <ability>L2_HalfPunc</ability>
      <abilityName>全半角检查</abilityName>
      <candidateList>
        <item>）</item>
      </candidateList>
      <explain>文本全半角错误。</explain>
      <paraID>2287E4D7</paraID>
      <start>50</start>
      <end>51</end>
      <status>unmodified</status>
      <modifiedWord/>
      <trackRevisions>false</trackRevisions>
    </reviewItem>
    <reviewItem>
      <errorID>549e21cc-8599-4380-bc6d-934cc602109d</errorID>
      <errorWord>程</errorWord>
      <group>L1_Word</group>
      <groupName>字词问题</groupName>
      <ability>L2_Typo</ability>
      <abilityName>字词错误</abilityName>
      <candidateList>
        <item>程中</item>
      </candidateList>
      <explain/>
      <paraID>46219820</paraID>
      <start>15</start>
      <end>16</end>
      <status>unmodified</status>
      <modifiedWord/>
      <trackRevisions>false</trackRevisions>
    </reviewItem>
    <reviewItem>
      <errorID>1df9e605-61f4-4b01-b918-abac325f1520</errorID>
      <errorWord>,</errorWord>
      <group>L1_Format</group>
      <groupName>格式问题</groupName>
      <ability>L2_HalfPunc</ability>
      <abilityName>全半角检查</abilityName>
      <candidateList>
        <item>，</item>
      </candidateList>
      <explain>文本全半角错误。</explain>
      <paraID> 975D5CB</paraID>
      <start>76</start>
      <end>77</end>
      <status>unmodified</status>
      <modifiedWord/>
      <trackRevisions>false</trackRevisions>
    </reviewItem>
    <reviewItem>
      <errorID>8d9dfd0e-18c1-45bf-b6e4-8f09072480ef</errorID>
      <errorWord>,</errorWord>
      <group>L1_Format</group>
      <groupName>格式问题</groupName>
      <ability>L2_HalfPunc</ability>
      <abilityName>全半角检查</abilityName>
      <candidateList>
        <item>，</item>
      </candidateList>
      <explain>文本全半角错误。</explain>
      <paraID>6B155CBE</paraID>
      <start>104</start>
      <end>105</end>
      <status>unmodified</status>
      <modifiedWord/>
      <trackRevisions>false</trackRevisions>
    </reviewItem>
    <reviewItem>
      <errorID>e9487a6b-120f-4124-8907-92db40b0ce06</errorID>
      <errorWord>》</errorWord>
      <group>L1_Word</group>
      <groupName>字词问题</groupName>
      <ability>L2_Typo</ability>
      <abilityName>字词错误</abilityName>
      <candidateList>
        <item>》等</item>
      </candidateList>
      <explain/>
      <paraID>719F6A49</paraID>
      <start>108</start>
      <end>109</end>
      <status>unmodified</status>
      <modifiedWord/>
      <trackRevisions>false</trackRevisions>
    </reviewItem>
    <reviewItem>
      <errorID>aff0c7e4-bbb3-46d1-89f0-fcd766a169a4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64FCB8BF</paraID>
      <start>0</start>
      <end>2</end>
      <status>unmodified</status>
      <modifiedWord/>
      <trackRevisions>false</trackRevisions>
    </reviewItem>
    <reviewItem>
      <errorID>f9b27a74-5e78-4e53-bdad-8562e04a110a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34C4ED4F</paraID>
      <start>0</start>
      <end>2</end>
      <status>unmodified</status>
      <modifiedWord/>
      <trackRevisions>false</trackRevisions>
    </reviewItem>
    <reviewItem>
      <errorID>a71f5f17-2284-4edb-af44-aa5c129f4a1c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67F3931</paraID>
      <start>0</start>
      <end>2</end>
      <status>unmodified</status>
      <modifiedWord/>
      <trackRevisions>false</trackRevisions>
    </reviewItem>
    <reviewItem>
      <errorID>2e2a9e5f-b38f-44c0-adbc-c92f1fb63b45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3DAF1D1E</paraID>
      <start>0</start>
      <end>2</end>
      <status>unmodified</status>
      <modifiedWord/>
      <trackRevisions>false</trackRevisions>
    </reviewItem>
    <reviewItem>
      <errorID>34985156-901b-4095-8817-efa92516eba0</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27C7652F</paraID>
      <start>0</start>
      <end>2</end>
      <status>unmodified</status>
      <modifiedWord/>
      <trackRevisions>false</trackRevisions>
    </reviewItem>
    <reviewItem>
      <errorID>e414cdca-0038-4e3e-a192-cc2f32483f68</errorID>
      <errorWord>防治陆源污染物污染损害海洋环境管理条例</errorWord>
      <group>L1_Knowledge</group>
      <groupName>知识性问题</groupName>
      <ability>L2_Knowledge</ability>
      <abilityName>其他知识</abilityName>
      <candidateList>
        <item>中华人民共和国防治陆源污染物污染损害海洋环境管理条例</item>
      </candidateList>
      <explain>当前法律法规名称使用简称，请注意是否应当使用全称。</explain>
      <paraID>27C7652F</paraID>
      <start>101</start>
      <end>127</end>
      <status>modified</status>
      <modifiedWord>中华人民共和国防治陆源污染物污染损害海洋环境管理条例</modifiedWord>
      <trackRevisions>false</trackRevisions>
    </reviewItem>
    <reviewItem>
      <errorID>c6a184e1-4a4b-43b9-b754-f5a7f60e2e37</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4B26D13B</paraID>
      <start>0</start>
      <end>2</end>
      <status>unmodified</status>
      <modifiedWord/>
      <trackRevisions>false</trackRevisions>
    </reviewItem>
    <reviewItem>
      <errorID>84808eed-bb55-46c1-a12a-bc3ce96ad0f4</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1BA6AEAE</paraID>
      <start>0</start>
      <end>2</end>
      <status>unmodified</status>
      <modifiedWord/>
      <trackRevisions>false</trackRevisions>
    </reviewItem>
    <reviewItem>
      <errorID>d1f5fb5c-fe5b-45f6-80e9-6a9fea9d0f53</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2C0237B</paraID>
      <start>0</start>
      <end>2</end>
      <status>unmodified</status>
      <modifiedWord/>
      <trackRevisions>false</trackRevisions>
    </reviewItem>
    <reviewItem>
      <errorID>f422a12b-561b-423f-a97d-7562379dc2cb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3E507EE1</paraID>
      <start>0</start>
      <end>2</end>
      <status>unmodified</status>
      <modifiedWord/>
      <trackRevisions>false</trackRevisions>
    </reviewItem>
    <reviewItem>
      <errorID>5dc4746e-11c9-4193-adbb-2f9ae94dcedb</errorID>
      <errorWord>重大</errorWord>
      <group>L1_Word</group>
      <groupName>字词问题</groupName>
      <ability>L2_Typo</ability>
      <abilityName>字词错误</abilityName>
      <candidateList>
        <item>重点</item>
      </candidateList>
      <explain/>
      <paraID>3E507EE1</paraID>
      <start>11</start>
      <end>13</end>
      <status>unmodified</status>
      <modifiedWord/>
      <trackRevisions>false</trackRevisions>
    </reviewItem>
    <reviewItem>
      <errorID>48898705-ad0b-44c9-acdc-d0c6286d2d58</errorID>
      <errorWord>施行</errorWord>
      <group>L1_Word</group>
      <groupName>字词问题</groupName>
      <ability>L2_Typo</ability>
      <abilityName>字词错误</abilityName>
      <candidateList>
        <item>实行</item>
      </candidateList>
      <explain>存在发音相同字词的误用。</explain>
      <paraID>3E507EE1</paraID>
      <start>88</start>
      <end>90</end>
      <status>unmodified</status>
      <modifiedWord/>
      <trackRevisions>false</trackRevisions>
    </reviewItem>
    <reviewItem>
      <errorID>9c0ae359-586b-4d28-b477-e60ca8453c5a</errorID>
      <errorWord>沙</errorWord>
      <group>L1_Word</group>
      <groupName>字词问题</groupName>
      <ability>L2_Typo</ability>
      <abilityName>字词错误</abilityName>
      <candidateList>
        <item>砂</item>
      </candidateList>
      <explain>存在发音相同字词的误用。</explain>
      <paraID>3E507EE1</paraID>
      <start>180</start>
      <end>181</end>
      <status>unmodified</status>
      <modifiedWord/>
      <trackRevisions>false</trackRevisions>
    </reviewItem>
    <reviewItem>
      <errorID>ac9ecc00-ad9e-4ad7-8b24-a63a1f4b5166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77C43135</paraID>
      <start>0</start>
      <end>2</end>
      <status>unmodified</status>
      <modifiedWord/>
      <trackRevisions>false</trackRevisions>
    </reviewItem>
    <reviewItem>
      <errorID>63b684f1-e220-4189-838c-d279ac94834c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60ED3961</paraID>
      <start>0</start>
      <end>2</end>
      <status>unmodified</status>
      <modifiedWord/>
      <trackRevisions>false</trackRevisions>
    </reviewItem>
    <reviewItem>
      <errorID>22e559af-8da1-4616-bb6e-4945b33dbfcd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4A6F8357</paraID>
      <start>0</start>
      <end>2</end>
      <status>unmodified</status>
      <modifiedWord/>
      <trackRevisions>false</trackRevisions>
    </reviewItem>
    <reviewItem>
      <errorID>014b9eda-f1df-4044-8d85-3a83a6c07b6d</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6EB6E847</paraID>
      <start>0</start>
      <end>2</end>
      <status>unmodified</status>
      <modifiedWord/>
      <trackRevisions>false</trackRevisions>
    </reviewItem>
    <reviewItem>
      <errorID>83d0c0ed-14b6-4a56-9d82-93cdc07ddd10</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8415E71</paraID>
      <start>0</start>
      <end>2</end>
      <status>unmodified</status>
      <modifiedWord/>
      <trackRevisions>false</trackRevisions>
    </reviewItem>
    <reviewItem>
      <errorID>14e44a21-73bf-4c12-b9a6-269f83526654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2751D48A</paraID>
      <start>0</start>
      <end>2</end>
      <status>unmodified</status>
      <modifiedWord/>
      <trackRevisions>false</trackRevisions>
    </reviewItem>
    <reviewItem>
      <errorID>c3beb36a-df2b-4f2c-b73a-e22d8fcd932a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69DE2251</paraID>
      <start>0</start>
      <end>2</end>
      <status>unmodified</status>
      <modifiedWord/>
      <trackRevisions>false</trackRevisions>
    </reviewItem>
    <reviewItem>
      <errorID>1f10d8b7-be2a-438e-99a0-10b8b6e6ff23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7FBE61C5</paraID>
      <start>0</start>
      <end>2</end>
      <status>unmodified</status>
      <modifiedWord/>
      <trackRevisions>false</trackRevisions>
    </reviewItem>
    <reviewItem>
      <errorID>6da798e6-9d93-41bd-979f-c2b1e0120348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1BA37136</paraID>
      <start>0</start>
      <end>2</end>
      <status>unmodified</status>
      <modifiedWord/>
      <trackRevisions>false</trackRevisions>
    </reviewItem>
    <reviewItem>
      <errorID>8222a89b-3770-4cc1-9d8b-18bedb958c5f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53118831</paraID>
      <start>0</start>
      <end>2</end>
      <status>unmodified</status>
      <modifiedWord/>
      <trackRevisions>false</trackRevisions>
    </reviewItem>
    <reviewItem>
      <errorID>e2f7b9c5-e518-4b97-b3a4-367c938cef44</errorID>
      <errorWord>(</errorWord>
      <group>L1_Format</group>
      <groupName>格式问题</groupName>
      <ability>L2_HalfPunc</ability>
      <abilityName>全半角检查</abilityName>
      <candidateList>
        <item>（</item>
      </candidateList>
      <explain>文本全半角错误。</explain>
      <paraID>7E49751E</paraID>
      <start>47</start>
      <end>48</end>
      <status>unmodified</status>
      <modifiedWord/>
      <trackRevisions>false</trackRevisions>
    </reviewItem>
    <reviewItem>
      <errorID>9ba27ada-016e-469d-8173-28d5a99ff8f7</errorID>
      <errorWord>)</errorWord>
      <group>L1_Format</group>
      <groupName>格式问题</groupName>
      <ability>L2_HalfPunc</ability>
      <abilityName>全半角检查</abilityName>
      <candidateList>
        <item>）</item>
      </candidateList>
      <explain>文本全半角错误。</explain>
      <paraID>7E49751E</paraID>
      <start>57</start>
      <end>58</end>
      <status>unmodified</status>
      <modifiedWord/>
      <trackRevisions>false</trackRevisions>
    </reviewItem>
    <reviewItem>
      <errorID>d369e161-12d1-4196-90bd-a57ce9e39ed9</errorID>
      <errorWord>(</errorWord>
      <group>L1_Format</group>
      <groupName>格式问题</groupName>
      <ability>L2_HalfPunc</ability>
      <abilityName>全半角检查</abilityName>
      <candidateList>
        <item>（</item>
      </candidateList>
      <explain>文本全半角错误。</explain>
      <paraID>7E49751E</paraID>
      <start>62</start>
      <end>63</end>
      <status>unmodified</status>
      <modifiedWord/>
      <trackRevisions>false</trackRevisions>
    </reviewItem>
    <reviewItem>
      <errorID>4f93a409-1112-4afa-8759-abd0585584a7</errorID>
      <errorWord>)</errorWord>
      <group>L1_Format</group>
      <groupName>格式问题</groupName>
      <ability>L2_HalfPunc</ability>
      <abilityName>全半角检查</abilityName>
      <candidateList>
        <item>）</item>
      </candidateList>
      <explain>文本全半角错误。</explain>
      <paraID>7E49751E</paraID>
      <start>75</start>
      <end>76</end>
      <status>unmodified</status>
      <modifiedWord/>
      <trackRevisions>false</trackRevisions>
    </reviewItem>
    <reviewItem>
      <errorID>a13c7dde-0092-4dd6-975e-453940dc2ceb</errorID>
      <errorWord>(</errorWord>
      <group>L1_Format</group>
      <groupName>格式问题</groupName>
      <ability>L2_HalfPunc</ability>
      <abilityName>全半角检查</abilityName>
      <candidateList>
        <item>（</item>
      </candidateList>
      <explain>文本全半角错误。</explain>
      <paraID> 26F0769</paraID>
      <start>26</start>
      <end>27</end>
      <status>unmodified</status>
      <modifiedWord/>
      <trackRevisions>false</trackRevisions>
    </reviewItem>
    <reviewItem>
      <errorID>239ed5cb-3586-400f-a80f-f24a0f6df1ad</errorID>
      <errorWord>)</errorWord>
      <group>L1_Format</group>
      <groupName>格式问题</groupName>
      <ability>L2_HalfPunc</ability>
      <abilityName>全半角检查</abilityName>
      <candidateList>
        <item>）</item>
      </candidateList>
      <explain>文本全半角错误。</explain>
      <paraID> 26F0769</paraID>
      <start>31</start>
      <end>32</end>
      <status>unmodified</status>
      <modifiedWord/>
      <trackRevisions>false</trackRevisions>
    </reviewItem>
    <reviewItem>
      <errorID>28cb60f6-7312-4c3b-840c-bc2da73a2a27</errorID>
      <errorWord>，</errorWord>
      <group>L1_Word</group>
      <groupName>字词问题</groupName>
      <ability>L2_Typo</ability>
      <abilityName>字词错误</abilityName>
      <candidateList>
        <item>，在</item>
      </candidateList>
      <explain/>
      <paraID>2C9E1A34</paraID>
      <start>21</start>
      <end>22</end>
      <status>unmodified</status>
      <modifiedWord/>
      <trackRevisions>false</trackRevisions>
    </reviewItem>
    <reviewItem>
      <errorID>5ecbde01-13ee-43e8-aad1-639117e49305</errorID>
      <errorWord>用地土壤</errorWord>
      <group>L1_Knowledge</group>
      <groupName>知识性问题</groupName>
      <ability>L2_Term</ability>
      <abilityName>专业术语</abilityName>
      <candidateList>
        <item>迹地土壤</item>
      </candidateList>
      <explain/>
      <paraID>12825070</paraID>
      <start>113</start>
      <end>117</end>
      <status>unmodified</status>
      <modifiedWord/>
      <trackRevisions>false</trackRevisions>
    </reviewItem>
    <reviewItem>
      <errorID>cde6d9ad-4402-49e8-8502-4beb2005eeea</errorID>
      <errorWord>(</errorWord>
      <group>L1_Format</group>
      <groupName>格式问题</groupName>
      <ability>L2_HalfPunc</ability>
      <abilityName>全半角检查</abilityName>
      <candidateList>
        <item>（</item>
      </candidateList>
      <explain>文本全半角错误。</explain>
      <paraID>48974936</paraID>
      <start>44</start>
      <end>45</end>
      <status>unmodified</status>
      <modifiedWord/>
      <trackRevisions>false</trackRevisions>
    </reviewItem>
    <reviewItem>
      <errorID>8e50c0d5-8df2-4ab5-8f7e-7694b6540798</errorID>
      <errorWord>)</errorWord>
      <group>L1_Format</group>
      <groupName>格式问题</groupName>
      <ability>L2_HalfPunc</ability>
      <abilityName>全半角检查</abilityName>
      <candidateList>
        <item>）</item>
      </candidateList>
      <explain>文本全半角错误。</explain>
      <paraID>48974936</paraID>
      <start>48</start>
      <end>49</end>
      <status>unmodified</status>
      <modifiedWord/>
      <trackRevisions>false</trackRevisions>
    </reviewItem>
    <reviewItem>
      <errorID>9fba64bf-cd18-49f3-80af-6cd7f74a1c76</errorID>
      <errorWord>矿石</errorWord>
      <group>L1_Word</group>
      <groupName>字词问题</groupName>
      <ability>L2_Typo</ability>
      <abilityName>字词错误</abilityName>
      <candidateList>
        <item>矿山</item>
      </candidateList>
      <explain/>
      <paraID>658BD97D</paraID>
      <start>17</start>
      <end>19</end>
      <status>unmodified</status>
      <modifiedWord/>
      <trackRevisions>false</trackRevisions>
    </reviewItem>
    <reviewItem>
      <errorID>c6195af5-c679-4d36-b322-2d7199c49b23</errorID>
      <errorWord>区域的联防联控</errorWord>
      <group>L1_Political</group>
      <groupName>政治性问题</groupName>
      <ability>L2_Keyword</ability>
      <abilityName>固定表述</abilityName>
      <candidateList>
        <item>区域联防联控</item>
      </candidateList>
      <explain>词汇“区域联防联控”在特定场景下为固定表述形式，请确认此处的“区域的联防联控”是否存在不当。</explain>
      <paraID>2CCBF408</paraID>
      <start>40</start>
      <end>47</end>
      <status>unmodified</status>
      <modifiedWord/>
      <trackRevisions>false</trackRevisions>
    </reviewItem>
    <reviewItem>
      <errorID>31a811ab-20b6-454c-b0c1-17a24b92c17e</errorID>
      <errorWord>(</errorWord>
      <group>L1_Format</group>
      <groupName>格式问题</groupName>
      <ability>L2_HalfPunc</ability>
      <abilityName>全半角检查</abilityName>
      <candidateList>
        <item>（</item>
      </candidateList>
      <explain>文本全半角错误。</explain>
      <paraID>68180CD6</paraID>
      <start>46</start>
      <end>47</end>
      <status>unmodified</status>
      <modifiedWord/>
      <trackRevisions>false</trackRevisions>
    </reviewItem>
    <reviewItem>
      <errorID>bec1bb56-e249-409d-9568-fce7738221fe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68180CD6</paraID>
      <start>51</start>
      <end>52</end>
      <status>unmodified</status>
      <modifiedWord/>
      <trackRevisions>false</trackRevisions>
    </reviewItem>
    <reviewItem>
      <errorID>39d8a4aa-d119-4be8-b596-9e53b6db0926</errorID>
      <errorWord>)</errorWord>
      <group>L1_Format</group>
      <groupName>格式问题</groupName>
      <ability>L2_HalfPunc</ability>
      <abilityName>全半角检查</abilityName>
      <candidateList>
        <item>）</item>
      </candidateList>
      <explain>文本全半角错误。</explain>
      <paraID>68180CD6</paraID>
      <start>57</start>
      <end>58</end>
      <status>unmodified</status>
      <modifiedWord/>
      <trackRevisions>false</trackRevisions>
    </reviewItem>
    <reviewItem>
      <errorID>6b962047-ff25-4cc5-8d3a-a8db028456d9</errorID>
      <errorWord>(</errorWord>
      <group>L1_Format</group>
      <groupName>格式问题</groupName>
      <ability>L2_HalfPunc</ability>
      <abilityName>全半角检查</abilityName>
      <candidateList>
        <item>（</item>
      </candidateList>
      <explain>文本全半角错误。</explain>
      <paraID>3AED81BF</paraID>
      <start>39</start>
      <end>40</end>
      <status>unmodified</status>
      <modifiedWord/>
      <trackRevisions>false</trackRevisions>
    </reviewItem>
    <reviewItem>
      <errorID>c6251b31-3bd3-4279-908b-f9a6712c9d71</errorID>
      <errorWord>)</errorWord>
      <group>L1_Format</group>
      <groupName>格式问题</groupName>
      <ability>L2_HalfPunc</ability>
      <abilityName>全半角检查</abilityName>
      <candidateList>
        <item>）</item>
      </candidateList>
      <explain>文本全半角错误。</explain>
      <paraID>3AED81BF</paraID>
      <start>43</start>
      <end>44</end>
      <status>unmodified</status>
      <modifiedWord/>
      <trackRevisions>false</trackRevisions>
    </reviewItem>
    <reviewItem>
      <errorID>73524741-4cd5-4e73-8a3c-4f4e2fd11dbc</errorID>
      <errorWord>上线</errorWord>
      <group>L1_Word</group>
      <groupName>字词问题</groupName>
      <ability>L2_Typo</ability>
      <abilityName>字词错误</abilityName>
      <candidateList>
        <item>上限</item>
      </candidateList>
      <explain/>
      <paraID>44974E5C</paraID>
      <start>40</start>
      <end>42</end>
      <status>unmodified</status>
      <modifiedWord/>
      <trackRevisions>false</trackRevisions>
    </reviewItem>
    <reviewItem>
      <errorID>850ee974-b5ac-44b5-acda-f2a515b68642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513DCB8</paraID>
      <start>0</start>
      <end>2</end>
      <status>unmodified</status>
      <modifiedWord/>
      <trackRevisions>false</trackRevisions>
    </reviewItem>
    <reviewItem>
      <errorID>0e8a7478-d472-4721-ab20-cc0528468654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4BA2CFA1</paraID>
      <start>0</start>
      <end>2</end>
      <status>unmodified</status>
      <modifiedWord/>
      <trackRevisions>false</trackRevisions>
    </reviewItem>
    <reviewItem>
      <errorID>f56059ad-2a7c-466c-9a2c-4a5c78aa81df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1F0EEB16</paraID>
      <start>0</start>
      <end>2</end>
      <status>unmodified</status>
      <modifiedWord/>
      <trackRevisions>false</trackRevisions>
    </reviewItem>
    <reviewItem>
      <errorID>cc7c8748-12ff-42db-93b1-452b2f4c3853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7DD560BA</paraID>
      <start>0</start>
      <end>2</end>
      <status>unmodified</status>
      <modifiedWord/>
      <trackRevisions>false</trackRevisions>
    </reviewItem>
    <reviewItem>
      <errorID>2cbf8f34-e315-496c-9cc5-ff6f113ca7e6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1ADA7B7C</paraID>
      <start>0</start>
      <end>2</end>
      <status>unmodified</status>
      <modifiedWord/>
      <trackRevisions>false</trackRevisions>
    </reviewItem>
    <reviewItem>
      <errorID>fe565a5b-3435-4bfe-965b-3ee03217a265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557EB9E3</paraID>
      <start>0</start>
      <end>2</end>
      <status>unmodified</status>
      <modifiedWord/>
      <trackRevisions>false</trackRevisions>
    </reviewItem>
    <reviewItem>
      <errorID>839d8e49-cc65-4e83-a56b-b6d22b68887d</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10E7D745</paraID>
      <start>0</start>
      <end>2</end>
      <status>unmodified</status>
      <modifiedWord/>
      <trackRevisions>false</trackRevisions>
    </reviewItem>
    <reviewItem>
      <errorID>858876ea-66c4-4658-942e-a7987584ea4c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1DC25A3</paraID>
      <start>0</start>
      <end>2</end>
      <status>unmodified</status>
      <modifiedWord/>
      <trackRevisions>false</trackRevisions>
    </reviewItem>
    <reviewItem>
      <errorID>94ffb09c-7c90-4922-ac88-2db041792247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6211FA12</paraID>
      <start>0</start>
      <end>2</end>
      <status>unmodified</status>
      <modifiedWord/>
      <trackRevisions>false</trackRevisions>
    </reviewItem>
    <reviewItem>
      <errorID>f91565cc-59dc-4645-931b-ee46e1d79efe</errorID>
      <errorWord>程</errorWord>
      <group>L1_Word</group>
      <groupName>字词问题</groupName>
      <ability>L2_Typo</ability>
      <abilityName>字词错误</abilityName>
      <candidateList>
        <item>程中</item>
      </candidateList>
      <explain/>
      <paraID>14BBC97D</paraID>
      <start>6</start>
      <end>7</end>
      <status>unmodified</status>
      <modifiedWord/>
      <trackRevisions>false</trackRevisions>
    </reviewItem>
    <reviewItem>
      <errorID>fe4261dd-c36d-433b-86b3-5a08d9e2dcbe</errorID>
      <errorWord>法律、法规</errorWord>
      <group>L1_Word</group>
      <groupName>字词问题</groupName>
      <ability>L2_Typo</ability>
      <abilityName>字词错误</abilityName>
      <candidateList>
        <item>法律法规</item>
      </candidateList>
      <explain/>
      <paraID>646732EA</paraID>
      <start>53</start>
      <end>58</end>
      <status>unmodified</status>
      <modifiedWord/>
      <trackRevisions>false</trackRevisions>
    </reviewItem>
    <reviewItem>
      <errorID>093d4bcf-7098-4256-9c33-1fadc625a4b3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3AF9666</paraID>
      <start>38</start>
      <end>39</end>
      <status>unmodified</status>
      <modifiedWord/>
      <trackRevisions>false</trackRevisions>
    </reviewItem>
    <reviewItem>
      <errorID>74a4c520-3ca0-43d4-81d1-53b7b725c01e</errorID>
      <errorWord>地方法规</errorWord>
      <group>L1_Political</group>
      <groupName>政治性问题</groupName>
      <ability>L2_Unpolitical</ability>
      <abilityName>政治敏感错误</abilityName>
      <candidateList>
        <item>地方性法规</item>
      </candidateList>
      <explain/>
      <paraID>5DD69A2F</paraID>
      <start>0</start>
      <end>4</end>
      <status>unmodified</status>
      <modifiedWord/>
      <trackRevisions>false</trackRevisions>
    </reviewItem>
    <reviewItem>
      <errorID>cd424de3-e72d-4a18-acdc-489f1491257b</errorID>
      <errorWord>广西壮族自治区野生植物保护办法</errorWord>
      <group>L1_Knowledge</group>
      <groupName>知识性问题</groupName>
      <ability>L2_Knowledge</ability>
      <abilityName>其他知识</abilityName>
      <candidateList/>
      <explain>当前法律法规未收录或尚未生效，注意核查是否正确。</explain>
      <paraID>354487A9</paraID>
      <start>1</start>
      <end>16</end>
      <status>unmodified</status>
      <modifiedWord/>
      <trackRevisions>false</trackRevisions>
    </reviewItem>
    <reviewItem>
      <errorID>4aedd63e-1ad3-4ea0-9f66-fe65bf517a04</errorID>
      <errorWord>&lt;</errorWord>
      <group>L1_Format</group>
      <groupName>格式问题</groupName>
      <ability>L2_HalfPunc</ability>
      <abilityName>全半角检查</abilityName>
      <candidateList>
        <item>〈</item>
      </candidateList>
      <explain>文本全半角错误。</explain>
      <paraID>4F067228</paraID>
      <start>21</start>
      <end>22</end>
      <status>unmodified</status>
      <modifiedWord/>
      <trackRevisions>false</trackRevisions>
    </reviewItem>
    <reviewItem>
      <errorID>468a4a71-1853-49c5-98c1-5cbecb1784f4</errorID>
      <errorWord>&gt;</errorWord>
      <group>L1_Format</group>
      <groupName>格式问题</groupName>
      <ability>L2_HalfPunc</ability>
      <abilityName>全半角检查</abilityName>
      <candidateList>
        <item>〉</item>
      </candidateList>
      <explain>文本全半角错误。</explain>
      <paraID>4F067228</paraID>
      <start>38</start>
      <end>39</end>
      <status>unmodified</status>
      <modifiedWord/>
      <trackRevisions>false</trackRevisions>
    </reviewItem>
    <reviewItem>
      <errorID>91c008c3-3c60-479a-9b49-8fbaec547641</errorID>
      <errorWord>&lt;</errorWord>
      <group>L1_Format</group>
      <groupName>格式问题</groupName>
      <ability>L2_HalfPunc</ability>
      <abilityName>全半角检查</abilityName>
      <candidateList>
        <item>〈</item>
      </candidateList>
      <explain>文本全半角错误。</explain>
      <paraID>4F067228</paraID>
      <start>40</start>
      <end>41</end>
      <status>unmodified</status>
      <modifiedWord/>
      <trackRevisions>false</trackRevisions>
    </reviewItem>
    <reviewItem>
      <errorID>148b0d7c-02bb-4a19-abc4-b402eb8022a4</errorID>
      <errorWord>&gt;的通知》</errorWord>
      <group>L1_Punc</group>
      <groupName>标点问题</groupName>
      <ability>L2_Punc</ability>
      <abilityName>标点符号检查</abilityName>
      <candidateList>
        <item>〉的通知》</item>
      </candidateList>
      <explain/>
      <paraID>4F067228</paraID>
      <start>59</start>
      <end>64</end>
      <status>unmodified</status>
      <modifiedWord/>
      <trackRevisions>false</trackRevisions>
    </reviewItem>
    <reviewItem>
      <errorID>bdd61d5e-0ac5-42cd-9007-648c6b21cdb3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45564A76</paraID>
      <start>27</start>
      <end>28</end>
      <status>unmodified</status>
      <modifiedWord/>
      <trackRevisions>false</trackRevisions>
    </reviewItem>
    <reviewItem>
      <errorID>949acfb0-dba0-4de3-9cff-0bfd8def548f</errorID>
      <errorWord>广西壮族自治区海洋环境保护规划</errorWord>
      <group>L1_Knowledge</group>
      <groupName>知识性问题</groupName>
      <ability>L2_Knowledge</ability>
      <abilityName>其他知识</abilityName>
      <candidateList>
        <item>广西壮族自治区海洋环境保护条例</item>
      </candidateList>
      <explain>当前法律法规未收录或尚未生效，注意核查是否正确。</explain>
      <paraID>3EDD7BBB</paraID>
      <start>1</start>
      <end>16</end>
      <status>unmodified</status>
      <modifiedWord/>
      <trackRevisions>false</trackRevisions>
    </reviewItem>
    <reviewItem>
      <errorID>3f8fd06e-efec-4a32-aa5c-a084a84149a0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11C730C5</paraID>
      <start>19</start>
      <end>20</end>
      <status>unmodified</status>
      <modifiedWord/>
      <trackRevisions>false</trackRevisions>
    </reviewItem>
    <reviewItem>
      <errorID>0c958a8d-a2da-42c1-8565-368e96f0ce1c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6D082EC1</paraID>
      <start>32</start>
      <end>33</end>
      <status>unmodified</status>
      <modifiedWord/>
      <trackRevisions>false</trackRevisions>
    </reviewItem>
    <reviewItem>
      <errorID>c806d39e-632a-40cf-8a4d-bf406989622f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6DF68624</paraID>
      <start>24</start>
      <end>25</end>
      <status>unmodified</status>
      <modifiedWord/>
      <trackRevisions>false</trackRevisions>
    </reviewItem>
    <reviewItem>
      <errorID>e12645b2-3a8c-456a-b044-f622cad73290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2584FFCD</paraID>
      <start>18</start>
      <end>19</end>
      <status>unmodified</status>
      <modifiedWord/>
      <trackRevisions>false</trackRevisions>
    </reviewItem>
    <reviewItem>
      <errorID>a75792e8-2f96-4dde-a175-2640157a14d1</errorID>
      <errorWord>（</errorWord>
      <group>L1_Punc</group>
      <groupName>标点问题</groupName>
      <ability>L2_Punc</ability>
      <abilityName>标点符号检查</abilityName>
      <candidateList/>
      <explain>同一形式括号套用。</explain>
      <paraID>6B553B81</paraID>
      <start>8</start>
      <end>9</end>
      <status>unmodified</status>
      <modifiedWord/>
      <trackRevisions>false</trackRevisions>
    </reviewItem>
    <reviewItem>
      <errorID>223d2938-5e43-4aa1-af10-290713d8162f</errorID>
      <errorWord>）</errorWord>
      <group>L1_Punc</group>
      <groupName>标点问题</groupName>
      <ability>L2_Punc</ability>
      <abilityName>标点符号检查</abilityName>
      <candidateList/>
      <explain>同一形式括号套用。</explain>
      <paraID>6B553B81</paraID>
      <start>10</start>
      <end>11</end>
      <status>unmodified</status>
      <modifiedWord/>
      <trackRevisions>false</trackRevisions>
    </reviewItem>
    <reviewItem>
      <errorID>88102efd-dbca-44e4-84cb-04ba9ebb1596</errorID>
      <errorWord>（</errorWord>
      <group>L1_Punc</group>
      <groupName>标点问题</groupName>
      <ability>L2_Punc</ability>
      <abilityName>标点符号检查</abilityName>
      <candidateList/>
      <explain>同一形式括号套用。</explain>
      <paraID>3FD8C3EB</paraID>
      <start>8</start>
      <end>9</end>
      <status>unmodified</status>
      <modifiedWord/>
      <trackRevisions>false</trackRevisions>
    </reviewItem>
    <reviewItem>
      <errorID>5ae7ee15-820b-4328-80f9-0cface555193</errorID>
      <errorWord>）</errorWord>
      <group>L1_Punc</group>
      <groupName>标点问题</groupName>
      <ability>L2_Punc</ability>
      <abilityName>标点符号检查</abilityName>
      <candidateList/>
      <explain>同一形式括号套用。</explain>
      <paraID>3FD8C3EB</paraID>
      <start>10</start>
      <end>11</end>
      <status>unmodified</status>
      <modifiedWord/>
      <trackRevisions>false</trackRevisions>
    </reviewItem>
    <reviewItem>
      <errorID>8555bfe5-d5d3-46cc-b1cb-c22d49d8fe8d</errorID>
      <errorWord>~</errorWord>
      <group>L1_Format</group>
      <groupName>格式问题</groupName>
      <ability>L2_HalfPunc</ability>
      <abilityName>全半角检查</abilityName>
      <candidateList>
        <item>～</item>
      </candidateList>
      <explain>文本全半角错误。</explain>
      <paraID>7761A939</paraID>
      <start>262</start>
      <end>263</end>
      <status>unmodified</status>
      <modifiedWord/>
      <trackRevisions>false</trackRevisions>
    </reviewItem>
    <reviewItem>
      <errorID>76103d0a-38b4-4429-9222-f1d89d0b1d10</errorID>
      <errorWord>～</errorWord>
      <group>L1_Format</group>
      <groupName>格式问题</groupName>
      <ability>L2_HalfPunc</ability>
      <abilityName>全半角检查</abilityName>
      <candidateList>
        <item>~</item>
      </candidateList>
      <explain>文本全半角错误。</explain>
      <paraID>18F918D7</paraID>
      <start>3</start>
      <end>4</end>
      <status>unmodified</status>
      <modifiedWord/>
      <trackRevisions>false</trackRevisions>
    </reviewItem>
    <reviewItem>
      <errorID>933a4adb-e3eb-4de0-8562-3b8a6df5e5dc</errorID>
      <errorWord>～</errorWord>
      <group>L1_Format</group>
      <groupName>格式问题</groupName>
      <ability>L2_HalfPunc</ability>
      <abilityName>全半角检查</abilityName>
      <candidateList>
        <item>~</item>
      </candidateList>
      <explain>文本全半角错误。</explain>
      <paraID>5D761A45</paraID>
      <start>3</start>
      <end>4</end>
      <status>unmodified</status>
      <modifiedWord/>
      <trackRevisions>false</trackRevisions>
    </reviewItem>
    <reviewItem>
      <errorID>f48b3c5c-0f77-4f28-a613-f0e4891a3abc</errorID>
      <errorWord>（</errorWord>
      <group>L1_Format</group>
      <groupName>格式问题</groupName>
      <ability>L2_HalfPunc</ability>
      <abilityName>全半角检查</abilityName>
      <candidateList>
        <item>(</item>
      </candidateList>
      <explain>文本全半角错误。</explain>
      <paraID> 650D769</paraID>
      <start>3</start>
      <end>4</end>
      <status>unmodified</status>
      <modifiedWord/>
      <trackRevisions>false</trackRevisions>
    </reviewItem>
    <reviewItem>
      <errorID>76c8c9e3-15df-4a91-8b0e-f0ca4791efa2</errorID>
      <errorWord>）</errorWord>
      <group>L1_Format</group>
      <groupName>格式问题</groupName>
      <ability>L2_HalfPunc</ability>
      <abilityName>全半角检查</abilityName>
      <candidateList>
        <item>)</item>
      </candidateList>
      <explain>文本全半角错误。</explain>
      <paraID> 650D769</paraID>
      <start>10</start>
      <end>11</end>
      <status>unmodified</status>
      <modifiedWord/>
      <trackRevisions>false</trackRevisions>
    </reviewItem>
    <reviewItem>
      <errorID>868b0111-50d8-471f-a8e8-2ecc7438b62a</errorID>
      <errorWord>硫份</errorWord>
      <group>L1_Word</group>
      <groupName>字词问题</groupName>
      <ability>L2_Typo</ability>
      <abilityName>字词错误</abilityName>
      <candidateList>
        <item>硫分</item>
      </candidateList>
      <explain/>
      <paraID> A49A5F9</paraID>
      <start>3</start>
      <end>5</end>
      <status>unmodified</status>
      <modifiedWord/>
      <trackRevisions>false</trackRevisions>
    </reviewItem>
    <reviewItem>
      <errorID>cbaaca92-ece2-4a76-9de4-ea2c11f0c8a7</errorID>
      <errorWord>程</errorWord>
      <group>L1_Word</group>
      <groupName>字词问题</groupName>
      <ability>L2_Typo</ability>
      <abilityName>字词错误</abilityName>
      <candidateList>
        <item>程中</item>
      </candidateList>
      <explain/>
      <paraID>55B6E65E</paraID>
      <start>39</start>
      <end>40</end>
      <status>unmodified</status>
      <modifiedWord/>
      <trackRevisions>false</trackRevisions>
    </reviewItem>
    <reviewItem>
      <errorID>9bc0e198-23b8-4639-a2bd-3418123f5076</errorID>
      <errorWord>程</errorWord>
      <group>L1_Word</group>
      <groupName>字词问题</groupName>
      <ability>L2_Typo</ability>
      <abilityName>字词错误</abilityName>
      <candidateList>
        <item>程中</item>
      </candidateList>
      <explain/>
      <paraID>64B09224</paraID>
      <start>75</start>
      <end>76</end>
      <status>unmodified</status>
      <modifiedWord/>
      <trackRevisions>false</trackRevisions>
    </reviewItem>
    <reviewItem>
      <errorID>7502e623-a77e-433b-b276-d10360435f5f</errorID>
      <errorWord>（</errorWord>
      <group>L1_Format</group>
      <groupName>格式问题</groupName>
      <ability>L2_HalfPunc</ability>
      <abilityName>全半角检查</abilityName>
      <candidateList>
        <item>(</item>
      </candidateList>
      <explain>文本全半角错误。</explain>
      <paraID>103D1099</paraID>
      <start>4</start>
      <end>5</end>
      <status>unmodified</status>
      <modifiedWord/>
      <trackRevisions>false</trackRevisions>
    </reviewItem>
    <reviewItem>
      <errorID>7366bf96-1479-47d5-9581-5b60f37ae461</errorID>
      <errorWord>）</errorWord>
      <group>L1_Format</group>
      <groupName>格式问题</groupName>
      <ability>L2_HalfPunc</ability>
      <abilityName>全半角检查</abilityName>
      <candidateList>
        <item>)</item>
      </candidateList>
      <explain>文本全半角错误。</explain>
      <paraID>103D1099</paraID>
      <start>6</start>
      <end>7</end>
      <status>unmodified</status>
      <modifiedWord/>
      <trackRevisions>false</trackRevisions>
    </reviewItem>
    <reviewItem>
      <errorID>242eba79-1873-4092-a815-8705ca5ff762</errorID>
      <errorWord>（</errorWord>
      <group>L1_Format</group>
      <groupName>格式问题</groupName>
      <ability>L2_HalfPunc</ability>
      <abilityName>全半角检查</abilityName>
      <candidateList>
        <item>(</item>
      </candidateList>
      <explain>文本全半角错误。</explain>
      <paraID>11B265AC</paraID>
      <start>4</start>
      <end>5</end>
      <status>unmodified</status>
      <modifiedWord/>
      <trackRevisions>false</trackRevisions>
    </reviewItem>
    <reviewItem>
      <errorID>92d4b83f-ef78-470a-a925-c481d441b427</errorID>
      <errorWord>）</errorWord>
      <group>L1_Format</group>
      <groupName>格式问题</groupName>
      <ability>L2_HalfPunc</ability>
      <abilityName>全半角检查</abilityName>
      <candidateList>
        <item>)</item>
      </candidateList>
      <explain>文本全半角错误。</explain>
      <paraID>11B265AC</paraID>
      <start>6</start>
      <end>7</end>
      <status>unmodified</status>
      <modifiedWord/>
      <trackRevisions>false</trackRevisions>
    </reviewItem>
    <reviewItem>
      <errorID>4bd0296c-4165-4a91-bcd2-963581ec1896</errorID>
      <errorWord>（</errorWord>
      <group>L1_Format</group>
      <groupName>格式问题</groupName>
      <ability>L2_HalfPunc</ability>
      <abilityName>全半角检查</abilityName>
      <candidateList>
        <item>(</item>
      </candidateList>
      <explain>文本全半角错误。</explain>
      <paraID>7E5EEF14</paraID>
      <start>4</start>
      <end>5</end>
      <status>unmodified</status>
      <modifiedWord/>
      <trackRevisions>false</trackRevisions>
    </reviewItem>
    <reviewItem>
      <errorID>0ac548ef-e89e-42c4-aca3-445308f66333</errorID>
      <errorWord>）</errorWord>
      <group>L1_Format</group>
      <groupName>格式问题</groupName>
      <ability>L2_HalfPunc</ability>
      <abilityName>全半角检查</abilityName>
      <candidateList>
        <item>)</item>
      </candidateList>
      <explain>文本全半角错误。</explain>
      <paraID>7E5EEF14</paraID>
      <start>6</start>
      <end>7</end>
      <status>unmodified</status>
      <modifiedWord/>
      <trackRevisions>false</trackRevisions>
    </reviewItem>
    <reviewItem>
      <errorID>0d37065f-aca1-42e9-8095-6469ccb1e94f</errorID>
      <errorWord>（</errorWord>
      <group>L1_Format</group>
      <groupName>格式问题</groupName>
      <ability>L2_HalfPunc</ability>
      <abilityName>全半角检查</abilityName>
      <candidateList>
        <item>(</item>
      </candidateList>
      <explain>文本全半角错误。</explain>
      <paraID>1B06BDB7</paraID>
      <start>4</start>
      <end>5</end>
      <status>unmodified</status>
      <modifiedWord/>
      <trackRevisions>false</trackRevisions>
    </reviewItem>
    <reviewItem>
      <errorID>ec94272e-d783-43fc-b408-0ebb604bbfc3</errorID>
      <errorWord>）</errorWord>
      <group>L1_Format</group>
      <groupName>格式问题</groupName>
      <ability>L2_HalfPunc</ability>
      <abilityName>全半角检查</abilityName>
      <candidateList>
        <item>)</item>
      </candidateList>
      <explain>文本全半角错误。</explain>
      <paraID>1B06BDB7</paraID>
      <start>6</start>
      <end>7</end>
      <status>unmodified</status>
      <modifiedWord/>
      <trackRevisions>false</trackRevisions>
    </reviewItem>
    <reviewItem>
      <errorID>e7c49c20-7e4e-4909-9caa-b0b84a0263d9</errorID>
      <errorWord>；</errorWord>
      <group>L1_Format</group>
      <groupName>格式问题</groupName>
      <ability>L2_HalfPunc</ability>
      <abilityName>全半角检查</abilityName>
      <candidateList>
        <item>;</item>
      </candidateList>
      <explain>文本全半角错误。</explain>
      <paraID> 8C70579</paraID>
      <start>6</start>
      <end>7</end>
      <status>unmodified</status>
      <modifiedWord/>
      <trackRevisions>false</trackRevisions>
    </reviewItem>
    <reviewItem>
      <errorID>ea0a7289-7a8e-4eb3-9a49-bccad20b2e11</errorID>
      <errorWord>；</errorWord>
      <group>L1_Format</group>
      <groupName>格式问题</groupName>
      <ability>L2_HalfPunc</ability>
      <abilityName>全半角检查</abilityName>
      <candidateList>
        <item>;</item>
      </candidateList>
      <explain>文本全半角错误。</explain>
      <paraID>6C9AE15B</paraID>
      <start>6</start>
      <end>7</end>
      <status>unmodified</status>
      <modifiedWord/>
      <trackRevisions>false</trackRevisions>
    </reviewItem>
    <reviewItem>
      <errorID>592725e3-ddaa-4985-81d6-3e2cee6491f5</errorID>
      <errorWord>；</errorWord>
      <group>L1_Format</group>
      <groupName>格式问题</groupName>
      <ability>L2_HalfPunc</ability>
      <abilityName>全半角检查</abilityName>
      <candidateList>
        <item>;</item>
      </candidateList>
      <explain>文本全半角错误。</explain>
      <paraID>608818F1</paraID>
      <start>6</start>
      <end>7</end>
      <status>unmodified</status>
      <modifiedWord/>
      <trackRevisions>false</trackRevisions>
    </reviewItem>
    <reviewItem>
      <errorID>858ecd80-a53d-4e9e-849e-9f971abcc233</errorID>
      <errorWord>＞</errorWord>
      <group>L1_Format</group>
      <groupName>格式问题</groupName>
      <ability>L2_HalfPunc</ability>
      <abilityName>全半角检查</abilityName>
      <candidateList>
        <item>&gt;</item>
      </candidateList>
      <explain>文本全半角错误。</explain>
      <paraID>752A19CF</paraID>
      <start>2</start>
      <end>3</end>
      <status>unmodified</status>
      <modifiedWord/>
      <trackRevisions>false</trackRevisions>
    </reviewItem>
    <reviewItem>
      <errorID>b1191ea5-3670-4379-a915-296294090978</errorID>
      <errorWord>＞</errorWord>
      <group>L1_Format</group>
      <groupName>格式问题</groupName>
      <ability>L2_HalfPunc</ability>
      <abilityName>全半角检查</abilityName>
      <candidateList>
        <item>&gt;</item>
      </candidateList>
      <explain>文本全半角错误。</explain>
      <paraID>752A19CF</paraID>
      <start>4</start>
      <end>5</end>
      <status>unmodified</status>
      <modifiedWord/>
      <trackRevisions>false</trackRevisions>
    </reviewItem>
    <reviewItem>
      <errorID>a581c1c1-1245-4067-b61e-562b59bcce30</errorID>
      <errorWord>；</errorWord>
      <group>L1_Format</group>
      <groupName>格式问题</groupName>
      <ability>L2_HalfPunc</ability>
      <abilityName>全半角检查</abilityName>
      <candidateList>
        <item>;</item>
      </candidateList>
      <explain>文本全半角错误。</explain>
      <paraID>3AF922FF</paraID>
      <start>11</start>
      <end>12</end>
      <status>unmodified</status>
      <modifiedWord/>
      <trackRevisions>false</trackRevisions>
    </reviewItem>
    <reviewItem>
      <errorID>1cbd4c47-adcb-4c37-891d-c92feb964bf4</errorID>
      <errorWord>；</errorWord>
      <group>L1_Format</group>
      <groupName>格式问题</groupName>
      <ability>L2_HalfPunc</ability>
      <abilityName>全半角检查</abilityName>
      <candidateList>
        <item>;</item>
      </candidateList>
      <explain>文本全半角错误。</explain>
      <paraID>2D253D4C</paraID>
      <start>11</start>
      <end>12</end>
      <status>unmodified</status>
      <modifiedWord/>
      <trackRevisions>false</trackRevisions>
    </reviewItem>
    <reviewItem>
      <errorID>803f5285-d4a8-449b-8e9b-56ce2e980f58</errorID>
      <errorWord>；</errorWord>
      <group>L1_Format</group>
      <groupName>格式问题</groupName>
      <ability>L2_HalfPunc</ability>
      <abilityName>全半角检查</abilityName>
      <candidateList>
        <item>;</item>
      </candidateList>
      <explain>文本全半角错误。</explain>
      <paraID> 85A246E</paraID>
      <start>7</start>
      <end>8</end>
      <status>unmodified</status>
      <modifiedWord/>
      <trackRevisions>false</trackRevisions>
    </reviewItem>
    <reviewItem>
      <errorID>94425cca-ef34-43fe-a605-5d4d2e7667ee</errorID>
      <errorWord>；</errorWord>
      <group>L1_Format</group>
      <groupName>格式问题</groupName>
      <ability>L2_HalfPunc</ability>
      <abilityName>全半角检查</abilityName>
      <candidateList>
        <item>;</item>
      </candidateList>
      <explain>文本全半角错误。</explain>
      <paraID>7857642B</paraID>
      <start>7</start>
      <end>8</end>
      <status>unmodified</status>
      <modifiedWord/>
      <trackRevisions>false</trackRevisions>
    </reviewItem>
    <reviewItem>
      <errorID>fbf6a908-4122-4913-93e9-d97763cb91a5</errorID>
      <errorWord>；</errorWord>
      <group>L1_Format</group>
      <groupName>格式问题</groupName>
      <ability>L2_HalfPunc</ability>
      <abilityName>全半角检查</abilityName>
      <candidateList>
        <item>;</item>
      </candidateList>
      <explain>文本全半角错误。</explain>
      <paraID>14656F2A</paraID>
      <start>7</start>
      <end>8</end>
      <status>unmodified</status>
      <modifiedWord/>
      <trackRevisions>false</trackRevisions>
    </reviewItem>
    <reviewItem>
      <errorID>10baf326-05b7-46f2-a4c5-88413d9bbbee</errorID>
      <errorWord>作业</errorWord>
      <group>L1_Word</group>
      <groupName>字词问题</groupName>
      <ability>L2_Typo</ability>
      <abilityName>字词错误</abilityName>
      <candidateList>
        <item>作为</item>
      </candidateList>
      <explain>❶〈动〉当做：～罢论｜～无效｜我把游泳～锻炼身体的方法。❷〈介〉就人的某种身份或事物的某种性质来说：～一个学生，首先得把学习搞好｜～一部词典，必须有明确的编写宗旨。</explain>
      <paraID>4A4DE494</paraID>
      <start>45</start>
      <end>47</end>
      <status>unmodified</status>
      <modifiedWord/>
      <trackRevisions>false</trackRevisions>
    </reviewItem>
    <reviewItem>
      <errorID>91740a1f-95d1-4b6a-892f-feb6710cb985</errorID>
      <errorWord>人工鱼礁</errorWord>
      <group>L1_Knowledge</group>
      <groupName>知识性问题</groupName>
      <ability>L2_Term</ability>
      <abilityName>专业术语</abilityName>
      <candidateList>
        <item>人工渔礁</item>
      </candidateList>
      <explain/>
      <paraID>541D6881</paraID>
      <start>0</start>
      <end>4</end>
      <status>unmodified</status>
      <modifiedWord/>
      <trackRevisions>false</trackRevisions>
    </reviewItem>
    <reviewItem>
      <errorID>cf5b0e7c-0664-45e6-b897-41cfd21582fe</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332E2E8E</paraID>
      <start>0</start>
      <end>2</end>
      <status>unmodified</status>
      <modifiedWord/>
      <trackRevisions>false</trackRevisions>
    </reviewItem>
    <reviewItem>
      <errorID>586e107e-1dd6-4718-b52e-aa5d9d93da3d</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DBCD4CE</paraID>
      <start>0</start>
      <end>2</end>
      <status>unmodified</status>
      <modifiedWord/>
      <trackRevisions>false</trackRevisions>
    </reviewItem>
    <reviewItem>
      <errorID>c6ebaf86-8f57-4f23-8591-3eb841466749</errorID>
      <errorWord>c：</errorWord>
      <group>L1_Format</group>
      <groupName>格式问题</groupName>
      <ability>L2_Ordinal</ability>
      <abilityName>序号格式</abilityName>
      <candidateList>
        <item>c.</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203CA6CC</paraID>
      <start>0</start>
      <end>2</end>
      <status>unmodified</status>
      <modifiedWord/>
      <trackRevisions>false</trackRevisions>
    </reviewItem>
    <reviewItem>
      <errorID>a4e4e456-c516-4e2f-9fb6-500d0d24b014</errorID>
      <errorWord>d：</errorWord>
      <group>L1_Format</group>
      <groupName>格式问题</groupName>
      <ability>L2_Ordinal</ability>
      <abilityName>序号格式</abilityName>
      <candidateList>
        <item>d.</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51D7B048</paraID>
      <start>0</start>
      <end>2</end>
      <status>unmodified</status>
      <modifiedWord/>
      <trackRevisions>false</trackRevisions>
    </reviewItem>
    <reviewItem>
      <errorID>932f20b6-cd9f-47aa-a013-2ea9b4383928</errorID>
      <errorWord>e：</errorWord>
      <group>L1_Format</group>
      <groupName>格式问题</groupName>
      <ability>L2_Ordinal</ability>
      <abilityName>序号格式</abilityName>
      <candidateList>
        <item>e.</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5A92A1A2</paraID>
      <start>0</start>
      <end>2</end>
      <status>unmodified</status>
      <modifiedWord/>
      <trackRevisions>false</trackRevisions>
    </reviewItem>
    <reviewItem>
      <errorID>3963a6e3-8475-435f-bfea-709fc153ac9f</errorID>
      <errorWord>环境声功能</errorWord>
      <group>L1_Word</group>
      <groupName>字词问题</groupName>
      <ability>L2_Typo</ability>
      <abilityName>字词错误</abilityName>
      <candidateList>
        <item>声环境功能</item>
      </candidateList>
      <explain/>
      <paraID>3DDF92BC</paraID>
      <start>6</start>
      <end>11</end>
      <status>unmodified</status>
      <modifiedWord/>
      <trackRevisions>false</trackRevisions>
    </reviewItem>
    <reviewItem>
      <errorID>4356ea26-d6d8-43d0-b54c-082f02083b5f</errorID>
      <errorWord>)</errorWord>
      <group>L1_Format</group>
      <groupName>格式问题</groupName>
      <ability>L2_HalfPunc</ability>
      <abilityName>全半角检查</abilityName>
      <candidateList>
        <item>）</item>
      </candidateList>
      <explain>文本全半角错误。</explain>
      <paraID>3DDF92BC</paraID>
      <start>101</start>
      <end>102</end>
      <status>unmodified</status>
      <modifiedWord/>
      <trackRevisions>false</trackRevisions>
    </reviewItem>
    <reviewItem>
      <errorID>dddd1942-7794-4152-b84f-daafd67dd18d</errorID>
      <errorWord>II</errorWord>
      <group>L1_Knowledge</group>
      <groupName>知识性问题</groupName>
      <ability>L2_Knowledge</ability>
      <abilityName>其他知识</abilityName>
      <candidateList>
        <item>Ⅱ</item>
      </candidateList>
      <explain/>
      <paraID>304F3C7A</paraID>
      <start>144</start>
      <end>146</end>
      <status>unmodified</status>
      <modifiedWord/>
      <trackRevisions>false</trackRevisions>
    </reviewItem>
    <reviewItem>
      <errorID>e07b73c5-1dca-46f3-bf74-7fda7326d1b9</errorID>
      <errorWord>II</errorWord>
      <group>L1_Knowledge</group>
      <groupName>知识性问题</groupName>
      <ability>L2_Knowledge</ability>
      <abilityName>其他知识</abilityName>
      <candidateList>
        <item>Ⅱ</item>
      </candidateList>
      <explain/>
      <paraID>7F59AECA</paraID>
      <start>0</start>
      <end>2</end>
      <status>unmodified</status>
      <modifiedWord/>
      <trackRevisions>false</trackRevisions>
    </reviewItem>
    <reviewItem>
      <errorID>268f40c6-c7f3-48d3-a80b-476916219317</errorID>
      <errorWord>、以及</errorWord>
      <group>L1_Punc</group>
      <groupName>标点问题</groupName>
      <ability>L2_Punc</ability>
      <abilityName>标点符号检查</abilityName>
      <candidateList>
        <item>，以及</item>
      </candidateList>
      <explain>连接词前后不宜使用顿号，建议使用逗号。</explain>
      <paraID>47FBF269</paraID>
      <start>43</start>
      <end>46</end>
      <status>unmodified</status>
      <modifiedWord/>
      <trackRevisions>false</trackRevisions>
    </reviewItem>
    <reviewItem>
      <errorID>d7a2fc9e-86bc-4a81-9086-d6a3b24ef851</errorID>
      <errorWord>）</errorWord>
      <group>L1_Word</group>
      <groupName>字词问题</groupName>
      <ability>L2_Typo</ability>
      <abilityName>字词错误</abilityName>
      <candidateList>
        <item>）危</item>
      </candidateList>
      <explain/>
      <paraID>67FCA0BB</paraID>
      <start>2</start>
      <end>3</end>
      <status>unmodified</status>
      <modifiedWord/>
      <trackRevisions>false</trackRevisions>
    </reviewItem>
    <reviewItem>
      <errorID>09093f46-c4db-41b8-a83b-b13458615957</errorID>
      <errorWord>无需设置</errorWord>
      <group>L1_Word</group>
      <groupName>字词问题</groupName>
      <ability>L2_Alias</ability>
      <abilityName>也作/曾用词</abilityName>
      <candidateList>
        <item>无须设置</item>
      </candidateList>
      <explain>词汇[无需设置]为不规范表述或旧称，其规范书面表述为[无须设置]。</explain>
      <paraID>741AFB37</paraID>
      <start>46</start>
      <end>50</end>
      <status>unmodified</status>
      <modifiedWord/>
      <trackRevisions>false</trackRevisions>
    </reviewItem>
    <reviewItem>
      <errorID>0b6e6d59-c1b8-4b9f-9cf2-631b9f79aa49</errorID>
      <errorWord>法律、法规</errorWord>
      <group>L1_Word</group>
      <groupName>字词问题</groupName>
      <ability>L2_Typo</ability>
      <abilityName>字词错误</abilityName>
      <candidateList>
        <item>法律法规</item>
      </candidateList>
      <explain/>
      <paraID> F57A059</paraID>
      <start>10</start>
      <end>15</end>
      <status>unmodified</status>
      <modifiedWord/>
      <trackRevisions>false</trackRevisions>
    </reviewItem>
    <reviewItem>
      <errorID>b642b5d7-a00d-42a2-93b3-c97daa95911a</errorID>
      <errorWord>国家生态环境部</errorWord>
      <group>L1_Political</group>
      <groupName>政治性问题</groupName>
      <ability>L2_Unpolitical</ability>
      <abilityName>政治敏感错误</abilityName>
      <candidateList>
        <item>生态环境部</item>
      </candidateList>
      <explain/>
      <paraID> F57A059</paraID>
      <start>20</start>
      <end>25</end>
      <status>modified</status>
      <modifiedWord>生态环境部</modifiedWord>
      <trackRevisions>false</trackRevisions>
    </reviewItem>
    <reviewItem>
      <errorID>3651691b-9e78-46fd-b292-eceeae967a24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111727DC</paraID>
      <start>98</start>
      <end>99</end>
      <status>unmodified</status>
      <modifiedWord/>
      <trackRevisions>false</trackRevisions>
    </reviewItem>
    <reviewItem>
      <errorID>0f654270-1db8-4a05-80cd-d7d61b456940</errorID>
      <errorWord>~</errorWord>
      <group>L1_Format</group>
      <groupName>格式问题</groupName>
      <ability>L2_HalfPunc</ability>
      <abilityName>全半角检查</abilityName>
      <candidateList>
        <item>～</item>
      </candidateList>
      <explain>文本全半角错误。</explain>
      <paraID>441D441E</paraID>
      <start>170</start>
      <end>171</end>
      <status>unmodified</status>
      <modifiedWord/>
      <trackRevisions>false</trackRevisions>
    </reviewItem>
    <reviewItem>
      <errorID>99f2912d-10f8-446b-aa49-2519df9a1c4e</errorID>
      <errorWord>风</errorWord>
      <group>L1_Word</group>
      <groupName>字词问题</groupName>
      <ability>L2_Typo</ability>
      <abilityName>字词错误</abilityName>
      <candidateList>
        <item>风电</item>
      </candidateList>
      <explain/>
      <paraID>46DADEB2</paraID>
      <start>249</start>
      <end>250</end>
      <status>unmodified</status>
      <modifiedWord/>
      <trackRevisions>false</trackRevisions>
    </reviewItem>
    <reviewItem>
      <errorID>dd8feef6-239c-4322-b9af-efaa6c512308</errorID>
      <errorWord>前</errorWord>
      <group>L1_Word</group>
      <groupName>字词问题</groupName>
      <ability>L2_Typo</ability>
      <abilityName>字词错误</abilityName>
      <candidateList>
        <item>前尚</item>
      </candidateList>
      <explain/>
      <paraID>75D8BABB</paraID>
      <start>123</start>
      <end>124</end>
      <status>unmodified</status>
      <modifiedWord/>
      <trackRevisions>false</trackRevisions>
    </reviewItem>
    <reviewItem>
      <errorID>e8d2e634-573b-44ac-baca-e331562909d3</errorID>
      <errorWord>(2015)13号</errorWord>
      <group>L1_Knowledge</group>
      <groupName>知识性问题</groupName>
      <ability>L2_Knowledge</ability>
      <abilityName>其他知识</abilityName>
      <candidateList>
        <item>〔2015〕13号</item>
      </candidateList>
      <explain>发文字号格式错误。</explain>
      <paraID>5DA150BD</paraID>
      <start>5</start>
      <end>14</end>
      <status>unmodified</status>
      <modifiedWord/>
      <trackRevisions>false</trackRevisions>
    </reviewItem>
    <reviewItem>
      <errorID>a026a074-ec56-475f-97ee-d3b8885ecfde</errorID>
      <errorWord>段</errorWord>
      <group>L1_Word</group>
      <groupName>字词问题</groupName>
      <ability>L2_Typo</ability>
      <abilityName>字词错误</abilityName>
      <candidateList>
        <item>吨</item>
      </candidateList>
      <explain/>
      <paraID>4D2B0BAC</paraID>
      <start>111</start>
      <end>112</end>
      <status>unmodified</status>
      <modifiedWord/>
      <trackRevisions>false</trackRevisions>
    </reviewItem>
    <reviewItem>
      <errorID>e5b8ad6d-3132-4200-b003-cbc1b8b8933b</errorID>
      <errorWord>（</errorWord>
      <group>L1_Format</group>
      <groupName>格式问题</groupName>
      <ability>L2_HalfPunc</ability>
      <abilityName>全半角检查</abilityName>
      <candidateList>
        <item>(</item>
      </candidateList>
      <explain>文本全半角错误。</explain>
      <paraID> 4EE0326</paraID>
      <start>0</start>
      <end>1</end>
      <status>unmodified</status>
      <modifiedWord/>
      <trackRevisions>false</trackRevisions>
    </reviewItem>
    <reviewItem>
      <errorID>52458632-ef80-407a-b336-8914996ca6f2</errorID>
      <errorWord>）</errorWord>
      <group>L1_Format</group>
      <groupName>格式问题</groupName>
      <ability>L2_HalfPunc</ability>
      <abilityName>全半角检查</abilityName>
      <candidateList>
        <item>)</item>
      </candidateList>
      <explain>文本全半角错误。</explain>
      <paraID> 4EE0326</paraID>
      <start>4</start>
      <end>5</end>
      <status>unmodified</status>
      <modifiedWord/>
      <trackRevisions>false</trackRevisions>
    </reviewItem>
    <reviewItem>
      <errorID>07e5d763-00d7-4324-aa98-6e7cc93f2329</errorID>
      <errorWord>（</errorWord>
      <group>L1_Format</group>
      <groupName>格式问题</groupName>
      <ability>L2_HalfPunc</ability>
      <abilityName>全半角检查</abilityName>
      <candidateList>
        <item>(</item>
      </candidateList>
      <explain>文本全半角错误。</explain>
      <paraID>1E201E81</paraID>
      <start>0</start>
      <end>1</end>
      <status>unmodified</status>
      <modifiedWord/>
      <trackRevisions>false</trackRevisions>
    </reviewItem>
    <reviewItem>
      <errorID>6cb0281c-072e-45ed-a708-1cbfecab9903</errorID>
      <errorWord>）</errorWord>
      <group>L1_Format</group>
      <groupName>格式问题</groupName>
      <ability>L2_HalfPunc</ability>
      <abilityName>全半角检查</abilityName>
      <candidateList>
        <item>)</item>
      </candidateList>
      <explain>文本全半角错误。</explain>
      <paraID>1E201E81</paraID>
      <start>4</start>
      <end>5</end>
      <status>unmodified</status>
      <modifiedWord/>
      <trackRevisions>false</trackRevisions>
    </reviewItem>
    <reviewItem>
      <errorID>13981aa9-3625-4da4-ba46-0b47634bd4c8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2EF985AD</paraID>
      <start>122</start>
      <end>125</end>
      <status>unmodified</status>
      <modifiedWord/>
      <trackRevisions>false</trackRevisions>
    </reviewItem>
    <reviewItem>
      <errorID>4b6f1b7f-3f5c-4a7c-b7ee-c4e9a68bfa4f</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2EF985AD</paraID>
      <start>198</start>
      <end>201</end>
      <status>unmodified</status>
      <modifiedWord/>
      <trackRevisions>false</trackRevisions>
    </reviewItem>
    <reviewItem>
      <errorID>59e1ce8f-e290-49e5-83ae-786d960b1dc3</errorID>
      <errorWord>粘稠</errorWord>
      <group>L1_Word</group>
      <groupName>字词问题</groupName>
      <ability>L2_Typo</ability>
      <abilityName>字词错误</abilityName>
      <candidateList>
        <item>黏稠</item>
      </candidateList>
      <explain>存在发音相同字词的误用。</explain>
      <paraID>710079BC</paraID>
      <start>140</start>
      <end>142</end>
      <status>unmodified</status>
      <modifiedWord/>
      <trackRevisions>false</trackRevisions>
    </reviewItem>
    <reviewItem>
      <errorID>2898edce-c030-44ff-9e39-0c0efb0c85db</errorID>
      <errorWord>成份</errorWord>
      <group>L1_Word</group>
      <groupName>字词问题</groupName>
      <ability>L2_Typo</ability>
      <abilityName>字词错误</abilityName>
      <candidateList>
        <item>成分</item>
      </candidateList>
      <explain>（成份）chénɡ•fèn〈名〉❶指构成事物的各种不同的物质或因素：化学～｜营养～｜减轻了心里不安的～。❷指个人早先的主要经历或职业：工人～｜他的个人～是学生。</explain>
      <paraID>3A4B1835</paraID>
      <start>26</start>
      <end>28</end>
      <status>unmodified</status>
      <modifiedWord/>
      <trackRevisions>false</trackRevisions>
    </reviewItem>
    <reviewItem>
      <errorID>13c4055c-71ff-44dc-9132-777865ed9368</errorID>
      <errorWord>25~34%</errorWord>
      <group>L1_Knowledge</group>
      <groupName>知识性问题</groupName>
      <ability>L2_Knowledge</ability>
      <abilityName>其他知识</abilityName>
      <candidateList>
        <item>25%～34%</item>
      </candidateList>
      <explain>1. “25~34%”中的单位“%”仅出现在后一个数字上，容易引起歧义；根据《现代汉语标点符号数字用法规范手册》，数字表示范围两边需要使用统一的格式。2. 根据标点国标 4.13 中的规则，数字、时间或地域连接符应使用（视觉上更长的）“—”或“～”。</explain>
      <paraID>2FEBB9BB</paraID>
      <start>4</start>
      <end>10</end>
      <status>unmodified</status>
      <modifiedWord/>
      <trackRevisions>false</trackRevisions>
    </reviewItem>
    <reviewItem>
      <errorID>59c9cf96-c28e-447a-8a2f-b1a5093e1c91</errorID>
      <errorWord>10~25%</errorWord>
      <group>L1_Knowledge</group>
      <groupName>知识性问题</groupName>
      <ability>L2_Knowledge</ability>
      <abilityName>其他知识</abilityName>
      <candidateList>
        <item>10%～25%</item>
      </candidateList>
      <explain>1. “10~25%”中的单位“%”仅出现在后一个数字上，容易引起歧义；根据《现代汉语标点符号数字用法规范手册》，数字表示范围两边需要使用统一的格式。2. 根据标点国标 4.13 中的规则，数字、时间或地域连接符应使用（视觉上更长的）“—”或“～”。</explain>
      <paraID>2FEBB9BB</paraID>
      <start>13</start>
      <end>19</end>
      <status>unmodified</status>
      <modifiedWord/>
      <trackRevisions>false</trackRevisions>
    </reviewItem>
    <reviewItem>
      <errorID>b29e815a-8d74-47ba-b83d-509dbd9e7c31</errorID>
      <errorWord>10~25%</errorWord>
      <group>L1_Knowledge</group>
      <groupName>知识性问题</groupName>
      <ability>L2_Knowledge</ability>
      <abilityName>其他知识</abilityName>
      <candidateList>
        <item>10%～25%</item>
      </candidateList>
      <explain>1. “10~25%”中的单位“%”仅出现在后一个数字上，容易引起歧义；根据《现代汉语标点符号数字用法规范手册》，数字表示范围两边需要使用统一的格式。2. 根据标点国标 4.13 中的规则，数字、时间或地域连接符应使用（视觉上更长的）“—”或“～”。</explain>
      <paraID>2FEBB9BB</paraID>
      <start>23</start>
      <end>29</end>
      <status>unmodified</status>
      <modifiedWord/>
      <trackRevisions>false</trackRevisions>
    </reviewItem>
    <reviewItem>
      <errorID>3e28dd8d-22dc-4f4d-a2b3-84d39f6db538</errorID>
      <errorWord>5~10%</errorWord>
      <group>L1_Knowledge</group>
      <groupName>知识性问题</groupName>
      <ability>L2_Knowledge</ability>
      <abilityName>其他知识</abilityName>
      <candidateList>
        <item>5%～10%</item>
      </candidateList>
      <explain>1. “5~10%”中的单位“%”仅出现在后一个数字上，容易引起歧义；根据《现代汉语标点符号数字用法规范手册》，数字表示范围两边需要使用统一的格式。2. 根据标点国标 4.13 中的规则，数字、时间或地域连接符应使用（视觉上更长的）“—”或“～”。</explain>
      <paraID>2FEBB9BB</paraID>
      <start>33</start>
      <end>38</end>
      <status>unmodified</status>
      <modifiedWord/>
      <trackRevisions>false</trackRevisions>
    </reviewItem>
    <reviewItem>
      <errorID>dd0d1959-d2fa-4c18-8b46-8c22a7e36955</errorID>
      <errorWord>2.5~10%</errorWord>
      <group>L1_Knowledge</group>
      <groupName>知识性问题</groupName>
      <ability>L2_Knowledge</ability>
      <abilityName>其他知识</abilityName>
      <candidateList>
        <item>2.5%～10%</item>
      </candidateList>
      <explain>1. “2.5~10%”中的单位“%”仅出现在后一个数字上，容易引起歧义；根据《现代汉语标点符号数字用法规范手册》，数字表示范围两边需要使用统一的格式。2. 根据标点国标 4.13 中的规则，数字、时间或地域连接符应使用（视觉上更长的）“—”或“～”。</explain>
      <paraID>2FEBB9BB</paraID>
      <start>42</start>
      <end>49</end>
      <status>unmodified</status>
      <modifiedWord/>
      <trackRevisions>false</trackRevisions>
    </reviewItem>
    <reviewItem>
      <errorID>e8917508-5779-4dae-8a44-e510781a8aaa</errorID>
      <errorWord>10~25%</errorWord>
      <group>L1_Knowledge</group>
      <groupName>知识性问题</groupName>
      <ability>L2_Knowledge</ability>
      <abilityName>其他知识</abilityName>
      <candidateList>
        <item>10%～25%</item>
      </candidateList>
      <explain>1. “10~25%”中的单位“%”仅出现在后一个数字上，容易引起歧义；根据《现代汉语标点符号数字用法规范手册》，数字表示范围两边需要使用统一的格式。2. 根据标点国标 4.13 中的规则，数字、时间或地域连接符应使用（视觉上更长的）“—”或“～”。</explain>
      <paraID>5D6B3562</paraID>
      <start>10</start>
      <end>16</end>
      <status>unmodified</status>
      <modifiedWord/>
      <trackRevisions>false</trackRevisions>
    </reviewItem>
    <reviewItem>
      <errorID>8f2e54a6-ee19-4ad8-ab33-3de69932ecef</errorID>
      <errorWord>10~25%</errorWord>
      <group>L1_Knowledge</group>
      <groupName>知识性问题</groupName>
      <ability>L2_Knowledge</ability>
      <abilityName>其他知识</abilityName>
      <candidateList>
        <item>10%～25%</item>
      </candidateList>
      <explain>1. “10~25%”中的单位“%”仅出现在后一个数字上，容易引起歧义；根据《现代汉语标点符号数字用法规范手册》，数字表示范围两边需要使用统一的格式。2. 根据标点国标 4.13 中的规则，数字、时间或地域连接符应使用（视觉上更长的）“—”或“～”。</explain>
      <paraID>5D6B3562</paraID>
      <start>20</start>
      <end>26</end>
      <status>unmodified</status>
      <modifiedWord/>
      <trackRevisions>false</trackRevisions>
    </reviewItem>
    <reviewItem>
      <errorID>a4851d64-a63b-4f2e-a6fb-54ce110c7a0e</errorID>
      <errorWord>10~25%</errorWord>
      <group>L1_Knowledge</group>
      <groupName>知识性问题</groupName>
      <ability>L2_Knowledge</ability>
      <abilityName>其他知识</abilityName>
      <candidateList>
        <item>10%～25%</item>
      </candidateList>
      <explain>1. “10~25%”中的单位“%”仅出现在后一个数字上，容易引起歧义；根据《现代汉语标点符号数字用法规范手册》，数字表示范围两边需要使用统一的格式。2. 根据标点国标 4.13 中的规则，数字、时间或地域连接符应使用（视觉上更长的）“—”或“～”。</explain>
      <paraID>5D6B3562</paraID>
      <start>29</start>
      <end>35</end>
      <status>unmodified</status>
      <modifiedWord/>
      <trackRevisions>false</trackRevisions>
    </reviewItem>
    <reviewItem>
      <errorID>9170db83-f810-4bd0-a81c-5242a046d040</errorID>
      <errorWord>1~3%</errorWord>
      <group>L1_Knowledge</group>
      <groupName>知识性问题</groupName>
      <ability>L2_Knowledge</ability>
      <abilityName>其他知识</abilityName>
      <candidateList>
        <item>1%～3%</item>
      </candidateList>
      <explain>1. “1~3%”中的单位“%”仅出现在后一个数字上，容易引起歧义；根据《现代汉语标点符号数字用法规范手册》，数字表示范围两边需要使用统一的格式。2. 根据标点国标 4.13 中的规则，数字、时间或地域连接符应使用（视觉上更长的）“—”或“～”。</explain>
      <paraID>5D6B3562</paraID>
      <start>39</start>
      <end>43</end>
      <status>unmodified</status>
      <modifiedWord/>
      <trackRevisions>false</trackRevisions>
    </reviewItem>
    <reviewItem>
      <errorID>c00c873e-a32d-448e-a19e-485ccb018114</errorID>
      <errorWord>0~1%</errorWord>
      <group>L1_Knowledge</group>
      <groupName>知识性问题</groupName>
      <ability>L2_Knowledge</ability>
      <abilityName>其他知识</abilityName>
      <candidateList>
        <item>0～1%</item>
      </candidateList>
      <explain>1. “0~1%”中的单位“%”仅出现在后一个数字上，容易引起歧义；根据《现代汉语标点符号数字用法规范手册》，数字表示范围两边需要使用统一的格式。2. 根据标点国标 4.13 中的规则，数字、时间或地域连接符应使用（视觉上更长的）“—”或“～”。</explain>
      <paraID>5D6B3562</paraID>
      <start>47</start>
      <end>51</end>
      <status>unmodified</status>
      <modifiedWord/>
      <trackRevisions>false</trackRevisions>
    </reviewItem>
    <reviewItem>
      <errorID>aae0d44c-0420-4224-bf68-b76828933088</errorID>
      <errorWord>0~0.3%</errorWord>
      <group>L1_Knowledge</group>
      <groupName>知识性问题</groupName>
      <ability>L2_Knowledge</ability>
      <abilityName>其他知识</abilityName>
      <candidateList>
        <item>0～0.3%</item>
      </candidateList>
      <explain>1. “0~0.3%”中的单位“%”仅出现在后一个数字上，容易引起歧义；根据《现代汉语标点符号数字用法规范手册》，数字表示范围两边需要使用统一的格式。2. 根据标点国标 4.13 中的规则，数字、时间或地域连接符应使用（视觉上更长的）“—”或“～”。</explain>
      <paraID>5D6B3562</paraID>
      <start>54</start>
      <end>60</end>
      <status>unmodified</status>
      <modifiedWord/>
      <trackRevisions>false</trackRevisions>
    </reviewItem>
    <reviewItem>
      <errorID>22fd71ea-4f49-4cc4-809a-2a232fc4871b</errorID>
      <errorWord>45~50%</errorWord>
      <group>L1_Knowledge</group>
      <groupName>知识性问题</groupName>
      <ability>L2_Knowledge</ability>
      <abilityName>其他知识</abilityName>
      <candidateList>
        <item>45%～50%</item>
      </candidateList>
      <explain>1. “45~50%”中的单位“%”仅出现在后一个数字上，容易引起歧义；根据《现代汉语标点符号数字用法规范手册》，数字表示范围两边需要使用统一的格式。2. 根据标点国标 4.13 中的规则，数字、时间或地域连接符应使用（视觉上更长的）“—”或“～”。</explain>
      <paraID>414FF021</paraID>
      <start>4</start>
      <end>10</end>
      <status>unmodified</status>
      <modifiedWord/>
      <trackRevisions>false</trackRevisions>
    </reviewItem>
    <reviewItem>
      <errorID>3c3a9e6b-b2fe-447a-b640-75e5ff7cd29e</errorID>
      <errorWord>5~10%</errorWord>
      <group>L1_Knowledge</group>
      <groupName>知识性问题</groupName>
      <ability>L2_Knowledge</ability>
      <abilityName>其他知识</abilityName>
      <candidateList>
        <item>5%～10%</item>
      </candidateList>
      <explain>1. “5~10%”中的单位“%”仅出现在后一个数字上，容易引起歧义；根据《现代汉语标点符号数字用法规范手册》，数字表示范围两边需要使用统一的格式。2. 根据标点国标 4.13 中的规则，数字、时间或地域连接符应使用（视觉上更长的）“—”或“～”。</explain>
      <paraID>414FF021</paraID>
      <start>15</start>
      <end>20</end>
      <status>unmodified</status>
      <modifiedWord/>
      <trackRevisions>false</trackRevisions>
    </reviewItem>
    <reviewItem>
      <errorID>124a74cd-d64d-46c4-bd1e-14ddaee5db3c</errorID>
      <errorWord>1~3%</errorWord>
      <group>L1_Knowledge</group>
      <groupName>知识性问题</groupName>
      <ability>L2_Knowledge</ability>
      <abilityName>其他知识</abilityName>
      <candidateList>
        <item>1%～3%</item>
      </candidateList>
      <explain>1. “1~3%”中的单位“%”仅出现在后一个数字上，容易引起歧义；根据《现代汉语标点符号数字用法规范手册》，数字表示范围两边需要使用统一的格式。2. 根据标点国标 4.13 中的规则，数字、时间或地域连接符应使用（视觉上更长的）“—”或“～”。</explain>
      <paraID>414FF021</paraID>
      <start>23</start>
      <end>27</end>
      <status>unmodified</status>
      <modifiedWord/>
      <trackRevisions>false</trackRevisions>
    </reviewItem>
    <reviewItem>
      <errorID>90e047fc-c20c-4367-be34-18e0e39356c1</errorID>
      <errorWord>0.2~0.5%</errorWord>
      <group>L1_Knowledge</group>
      <groupName>知识性问题</groupName>
      <ability>L2_Knowledge</ability>
      <abilityName>其他知识</abilityName>
      <candidateList>
        <item>0.2%～0.5%</item>
      </candidateList>
      <explain>1. “0.2~0.5%”中的单位“%”仅出现在后一个数字上，容易引起歧义；根据《现代汉语标点符号数字用法规范手册》，数字表示范围两边需要使用统一的格式。2. 根据标点国标 4.13 中的规则，数字、时间或地域连接符应使用（视觉上更长的）“—”或“～”。</explain>
      <paraID>414FF021</paraID>
      <start>36</start>
      <end>44</end>
      <status>unmodified</status>
      <modifiedWord/>
      <trackRevisions>false</trackRevisions>
    </reviewItem>
    <reviewItem>
      <errorID>d9f6353b-6f5f-4f9a-a7fc-5cf8b35c8993</errorID>
      <errorWord>0.5~1%</errorWord>
      <group>L1_Knowledge</group>
      <groupName>知识性问题</groupName>
      <ability>L2_Knowledge</ability>
      <abilityName>其他知识</abilityName>
      <candidateList>
        <item>0.5%～1%</item>
      </candidateList>
      <explain>1. “0.5~1%”中的单位“%”仅出现在后一个数字上，容易引起歧义；根据《现代汉语标点符号数字用法规范手册》，数字表示范围两边需要使用统一的格式。2. 根据标点国标 4.13 中的规则，数字、时间或地域连接符应使用（视觉上更长的）“—”或“～”。</explain>
      <paraID>414FF021</paraID>
      <start>62</start>
      <end>68</end>
      <status>unmodified</status>
      <modifiedWord/>
      <trackRevisions>false</trackRevisions>
    </reviewItem>
    <reviewItem>
      <errorID>237e0440-2686-47d2-9990-48c5d5819a57</errorID>
      <errorWord>10~20%</errorWord>
      <group>L1_Knowledge</group>
      <groupName>知识性问题</groupName>
      <ability>L2_Knowledge</ability>
      <abilityName>其他知识</abilityName>
      <candidateList>
        <item>10%～20%</item>
      </candidateList>
      <explain>1. “10~20%”中的单位“%”仅出现在后一个数字上，容易引起歧义；根据《现代汉语标点符号数字用法规范手册》，数字表示范围两边需要使用统一的格式。2. 根据标点国标 4.13 中的规则，数字、时间或地域连接符应使用（视觉上更长的）“—”或“～”。</explain>
      <paraID>2E8C6E61</paraID>
      <start>4</start>
      <end>10</end>
      <status>unmodified</status>
      <modifiedWord/>
      <trackRevisions>false</trackRevisions>
    </reviewItem>
    <reviewItem>
      <errorID>eb072217-3653-4085-8748-cec23abd1d3b</errorID>
      <errorWord>10-17%</errorWord>
      <group>L1_Knowledge</group>
      <groupName>知识性问题</groupName>
      <ability>L2_Knowledge</ability>
      <abilityName>其他知识</abilityName>
      <candidateList>
        <item>10%—17%</item>
      </candidateList>
      <explain>1. “10-17%”中的单位“%”仅出现在后一个数字上，容易引起歧义；根据《现代汉语标点符号数字用法规范手册》，数字表示范围两边需要使用统一的格式。2. 根据标点国标 4.13 中的规则，数字、时间或地域连接符应使用（视觉上更长的）“—”或“～”。</explain>
      <paraID>2E8C6E61</paraID>
      <start>14</start>
      <end>20</end>
      <status>unmodified</status>
      <modifiedWord/>
      <trackRevisions>false</trackRevisions>
    </reviewItem>
    <reviewItem>
      <errorID>55219657-3013-4060-9c46-eaaec47a0941</errorID>
      <errorWord>1~3.8%</errorWord>
      <group>L1_Knowledge</group>
      <groupName>知识性问题</groupName>
      <ability>L2_Knowledge</ability>
      <abilityName>其他知识</abilityName>
      <candidateList>
        <item>1%～3.8%</item>
      </candidateList>
      <explain>1. “1~3.8%”中的单位“%”仅出现在后一个数字上，容易引起歧义；根据《现代汉语标点符号数字用法规范手册》，数字表示范围两边需要使用统一的格式。2. 根据标点国标 4.13 中的规则，数字、时间或地域连接符应使用（视觉上更长的）“—”或“～”。</explain>
      <paraID>2E8C6E61</paraID>
      <start>23</start>
      <end>29</end>
      <status>unmodified</status>
      <modifiedWord/>
      <trackRevisions>false</trackRevisions>
    </reviewItem>
    <reviewItem>
      <errorID>a95e48eb-b31b-4798-a208-54d98eb3a6b8</errorID>
      <errorWord>1~3%</errorWord>
      <group>L1_Knowledge</group>
      <groupName>知识性问题</groupName>
      <ability>L2_Knowledge</ability>
      <abilityName>其他知识</abilityName>
      <candidateList>
        <item>1%～3%</item>
      </candidateList>
      <explain>1. “1~3%”中的单位“%”仅出现在后一个数字上，容易引起歧义；根据《现代汉语标点符号数字用法规范手册》，数字表示范围两边需要使用统一的格式。2. 根据标点国标 4.13 中的规则，数字、时间或地域连接符应使用（视觉上更长的）“—”或“～”。</explain>
      <paraID>5C734931</paraID>
      <start>7</start>
      <end>11</end>
      <status>unmodified</status>
      <modifiedWord/>
      <trackRevisions>false</trackRevisions>
    </reviewItem>
    <reviewItem>
      <errorID>1ceaf031-b183-4268-acf4-1238b3349190</errorID>
      <errorWord>0~0.3%</errorWord>
      <group>L1_Knowledge</group>
      <groupName>知识性问题</groupName>
      <ability>L2_Knowledge</ability>
      <abilityName>其他知识</abilityName>
      <candidateList>
        <item>0～0.3%</item>
      </candidateList>
      <explain>1. “0~0.3%”中的单位“%”仅出现在后一个数字上，容易引起歧义；根据《现代汉语标点符号数字用法规范手册》，数字表示范围两边需要使用统一的格式。2. 根据标点国标 4.13 中的规则，数字、时间或地域连接符应使用（视觉上更长的）“—”或“～”。</explain>
      <paraID>5C734931</paraID>
      <start>38</start>
      <end>44</end>
      <status>unmodified</status>
      <modifiedWord/>
      <trackRevisions>false</trackRevisions>
    </reviewItem>
    <reviewItem>
      <errorID>1f750459-cbc3-40b7-ab32-cb6fe751b732</errorID>
      <errorWord>0~0.3%</errorWord>
      <group>L1_Knowledge</group>
      <groupName>知识性问题</groupName>
      <ability>L2_Knowledge</ability>
      <abilityName>其他知识</abilityName>
      <candidateList>
        <item>0～0.3%</item>
      </candidateList>
      <explain>1. “0~0.3%”中的单位“%”仅出现在后一个数字上，容易引起歧义；根据《现代汉语标点符号数字用法规范手册》，数字表示范围两边需要使用统一的格式。2. 根据标点国标 4.13 中的规则，数字、时间或地域连接符应使用（视觉上更长的）“—”或“～”。</explain>
      <paraID>5C734931</paraID>
      <start>51</start>
      <end>57</end>
      <status>unmodified</status>
      <modifiedWord/>
      <trackRevisions>false</trackRevisions>
    </reviewItem>
    <reviewItem>
      <errorID>dbb998fb-1372-4597-98f5-77140548f917</errorID>
      <errorWord>0~0.3%</errorWord>
      <group>L1_Knowledge</group>
      <groupName>知识性问题</groupName>
      <ability>L2_Knowledge</ability>
      <abilityName>其他知识</abilityName>
      <candidateList>
        <item>0～0.3%</item>
      </candidateList>
      <explain>1. “0~0.3%”中的单位“%”仅出现在后一个数字上，容易引起歧义；根据《现代汉语标点符号数字用法规范手册》，数字表示范围两边需要使用统一的格式。2. 根据标点国标 4.13 中的规则，数字、时间或地域连接符应使用（视觉上更长的）“—”或“～”。</explain>
      <paraID>5C734931</paraID>
      <start>64</start>
      <end>70</end>
      <status>unmodified</status>
      <modifiedWord/>
      <trackRevisions>false</trackRevisions>
    </reviewItem>
    <reviewItem>
      <errorID>2b48fba2-068c-4065-9c9e-f9db43a3213f</errorID>
      <errorWord>0~0.3%</errorWord>
      <group>L1_Knowledge</group>
      <groupName>知识性问题</groupName>
      <ability>L2_Knowledge</ability>
      <abilityName>其他知识</abilityName>
      <candidateList>
        <item>0～0.3%</item>
      </candidateList>
      <explain>1. “0~0.3%”中的单位“%”仅出现在后一个数字上，容易引起歧义；根据《现代汉语标点符号数字用法规范手册》，数字表示范围两边需要使用统一的格式。2. 根据标点国标 4.13 中的规则，数字、时间或地域连接符应使用（视觉上更长的）“—”或“～”。</explain>
      <paraID>5C734931</paraID>
      <start>73</start>
      <end>79</end>
      <status>unmodified</status>
      <modifiedWord/>
      <trackRevisions>false</trackRevisions>
    </reviewItem>
    <reviewItem>
      <errorID>1da5b08a-c779-4a7d-9384-7db7a8235e2e</errorID>
      <errorWord>10~25%</errorWord>
      <group>L1_Knowledge</group>
      <groupName>知识性问题</groupName>
      <ability>L2_Knowledge</ability>
      <abilityName>其他知识</abilityName>
      <candidateList>
        <item>10%～25%</item>
      </candidateList>
      <explain>1. “10~25%”中的单位“%”仅出现在后一个数字上，容易引起歧义；根据《现代汉语标点符号数字用法规范手册》，数字表示范围两边需要使用统一的格式。2. 根据标点国标 4.13 中的规则，数字、时间或地域连接符应使用（视觉上更长的）“—”或“～”。</explain>
      <paraID>624F2E01</paraID>
      <start>3</start>
      <end>9</end>
      <status>unmodified</status>
      <modifiedWord/>
      <trackRevisions>false</trackRevisions>
    </reviewItem>
    <reviewItem>
      <errorID>f1a06e67-54f7-4eb3-bda7-6fafe71a51eb</errorID>
      <errorWord>5~10%</errorWord>
      <group>L1_Knowledge</group>
      <groupName>知识性问题</groupName>
      <ability>L2_Knowledge</ability>
      <abilityName>其他知识</abilityName>
      <candidateList>
        <item>5%～10%</item>
      </candidateList>
      <explain>1. “5~10%”中的单位“%”仅出现在后一个数字上，容易引起歧义；根据《现代汉语标点符号数字用法规范手册》，数字表示范围两边需要使用统一的格式。2. 根据标点国标 4.13 中的规则，数字、时间或地域连接符应使用（视觉上更长的）“—”或“～”。</explain>
      <paraID>624F2E01</paraID>
      <start>25</start>
      <end>30</end>
      <status>unmodified</status>
      <modifiedWord/>
      <trackRevisions>false</trackRevisions>
    </reviewItem>
    <reviewItem>
      <errorID>d14a3221-bf8e-43c3-affd-5eec66e05713</errorID>
      <errorWord>3~5%</errorWord>
      <group>L1_Knowledge</group>
      <groupName>知识性问题</groupName>
      <ability>L2_Knowledge</ability>
      <abilityName>其他知识</abilityName>
      <candidateList>
        <item>3%～5%</item>
      </candidateList>
      <explain>1. “3~5%”中的单位“%”仅出现在后一个数字上，容易引起歧义；根据《现代汉语标点符号数字用法规范手册》，数字表示范围两边需要使用统一的格式。2. 根据标点国标 4.13 中的规则，数字、时间或地域连接符应使用（视觉上更长的）“—”或“～”。</explain>
      <paraID>624F2E01</paraID>
      <start>33</start>
      <end>37</end>
      <status>unmodified</status>
      <modifiedWord/>
      <trackRevisions>false</trackRevisions>
    </reviewItem>
    <reviewItem>
      <errorID>3bcfd15c-969f-4f36-a411-de22235561bc</errorID>
      <errorWord>-</errorWord>
      <group>L1_Format</group>
      <groupName>格式问题</groupName>
      <ability>L2_HalfPunc</ability>
      <abilityName>全半角检查</abilityName>
      <candidateList>
        <item>－</item>
      </candidateList>
      <explain>文本全半角错误。</explain>
      <paraID>624F2E01</paraID>
      <start>39</start>
      <end>40</end>
      <status>unmodified</status>
      <modifiedWord/>
      <trackRevisions>false</trackRevisions>
    </reviewItem>
    <reviewItem>
      <errorID>10ded915-3a57-4bcc-bdf1-5ff22866470f</errorID>
      <errorWord>3~5%</errorWord>
      <group>L1_Knowledge</group>
      <groupName>知识性问题</groupName>
      <ability>L2_Knowledge</ability>
      <abilityName>其他知识</abilityName>
      <candidateList>
        <item>3%～5%</item>
      </candidateList>
      <explain>1. “3~5%”中的单位“%”仅出现在后一个数字上，容易引起歧义；根据《现代汉语标点符号数字用法规范手册》，数字表示范围两边需要使用统一的格式。2. 根据标点国标 4.13 中的规则，数字、时间或地域连接符应使用（视觉上更长的）“—”或“～”。</explain>
      <paraID>624F2E01</paraID>
      <start>42</start>
      <end>46</end>
      <status>unmodified</status>
      <modifiedWord/>
      <trackRevisions>false</trackRevisions>
    </reviewItem>
    <reviewItem>
      <errorID>d6f5c1bb-0884-40ab-941b-0ec26317a227</errorID>
      <errorWord>0~0.3%</errorWord>
      <group>L1_Knowledge</group>
      <groupName>知识性问题</groupName>
      <ability>L2_Knowledge</ability>
      <abilityName>其他知识</abilityName>
      <candidateList>
        <item>0～0.3%</item>
      </candidateList>
      <explain>1. “0~0.3%”中的单位“%”仅出现在后一个数字上，容易引起歧义；根据《现代汉语标点符号数字用法规范手册》，数字表示范围两边需要使用统一的格式。2. 根据标点国标 4.13 中的规则，数字、时间或地域连接符应使用（视觉上更长的）“—”或“～”。</explain>
      <paraID>624F2E01</paraID>
      <start>49</start>
      <end>55</end>
      <status>unmodified</status>
      <modifiedWord/>
      <trackRevisions>false</trackRevisions>
    </reviewItem>
    <reviewItem>
      <errorID>868f5ca5-fb01-4637-9b50-45e771102e0f</errorID>
      <errorWord>10~15%</errorWord>
      <group>L1_Knowledge</group>
      <groupName>知识性问题</groupName>
      <ability>L2_Knowledge</ability>
      <abilityName>其他知识</abilityName>
      <candidateList>
        <item>10%～15%</item>
      </candidateList>
      <explain>1. “10~15%”中的单位“%”仅出现在后一个数字上，容易引起歧义；根据《现代汉语标点符号数字用法规范手册》，数字表示范围两边需要使用统一的格式。2. 根据标点国标 4.13 中的规则，数字、时间或地域连接符应使用（视觉上更长的）“—”或“～”。</explain>
      <paraID>35ABDA74</paraID>
      <start>9</start>
      <end>15</end>
      <status>unmodified</status>
      <modifiedWord/>
      <trackRevisions>false</trackRevisions>
    </reviewItem>
    <reviewItem>
      <errorID>15a271ae-c616-4bf8-b200-de2bbe5c8a46</errorID>
      <errorWord>5~12%</errorWord>
      <group>L1_Knowledge</group>
      <groupName>知识性问题</groupName>
      <ability>L2_Knowledge</ability>
      <abilityName>其他知识</abilityName>
      <candidateList>
        <item>5%～12%</item>
      </candidateList>
      <explain>1. “5~12%”中的单位“%”仅出现在后一个数字上，容易引起歧义；根据《现代汉语标点符号数字用法规范手册》，数字表示范围两边需要使用统一的格式。2. 根据标点国标 4.13 中的规则，数字、时间或地域连接符应使用（视觉上更长的）“—”或“～”。</explain>
      <paraID>35ABDA74</paraID>
      <start>18</start>
      <end>23</end>
      <status>unmodified</status>
      <modifiedWord/>
      <trackRevisions>false</trackRevisions>
    </reviewItem>
    <reviewItem>
      <errorID>4cf1c590-c96d-4dc9-9228-5e7e04195461</errorID>
      <errorWord>1~5%</errorWord>
      <group>L1_Knowledge</group>
      <groupName>知识性问题</groupName>
      <ability>L2_Knowledge</ability>
      <abilityName>其他知识</abilityName>
      <candidateList>
        <item>1%～5%</item>
      </candidateList>
      <explain>1. “1~5%”中的单位“%”仅出现在后一个数字上，容易引起歧义；根据《现代汉语标点符号数字用法规范手册》，数字表示范围两边需要使用统一的格式。2. 根据标点国标 4.13 中的规则，数字、时间或地域连接符应使用（视觉上更长的）“—”或“～”。</explain>
      <paraID>35ABDA74</paraID>
      <start>26</start>
      <end>30</end>
      <status>unmodified</status>
      <modifiedWord/>
      <trackRevisions>false</trackRevisions>
    </reviewItem>
    <reviewItem>
      <errorID>046fb16c-f39a-41b2-a4a4-1aed27815436</errorID>
      <errorWord>20~30%</errorWord>
      <group>L1_Knowledge</group>
      <groupName>知识性问题</groupName>
      <ability>L2_Knowledge</ability>
      <abilityName>其他知识</abilityName>
      <candidateList>
        <item>20%～30%</item>
      </candidateList>
      <explain>1. “20~30%”中的单位“%”仅出现在后一个数字上，容易引起歧义；根据《现代汉语标点符号数字用法规范手册》，数字表示范围两边需要使用统一的格式。2. 根据标点国标 4.13 中的规则，数字、时间或地域连接符应使用（视觉上更长的）“—”或“～”。</explain>
      <paraID>35ABDA74</paraID>
      <start>35</start>
      <end>41</end>
      <status>unmodified</status>
      <modifiedWord/>
      <trackRevisions>false</trackRevisions>
    </reviewItem>
    <reviewItem>
      <errorID>fd4e0eda-f449-4729-b38e-77cce5bea40f</errorID>
      <errorWord>2~8%</errorWord>
      <group>L1_Knowledge</group>
      <groupName>知识性问题</groupName>
      <ability>L2_Knowledge</ability>
      <abilityName>其他知识</abilityName>
      <candidateList>
        <item>2%～8%</item>
      </candidateList>
      <explain>1. “2~8%”中的单位“%”仅出现在后一个数字上，容易引起歧义；根据《现代汉语标点符号数字用法规范手册》，数字表示范围两边需要使用统一的格式。2. 根据标点国标 4.13 中的规则，数字、时间或地域连接符应使用（视觉上更长的）“—”或“～”。</explain>
      <paraID>35ABDA74</paraID>
      <start>45</start>
      <end>49</end>
      <status>unmodified</status>
      <modifiedWord/>
      <trackRevisions>false</trackRevisions>
    </reviewItem>
    <reviewItem>
      <errorID>534364d6-b2d7-4f86-9159-ab8e70ce674b</errorID>
      <errorWord>5~15%</errorWord>
      <group>L1_Knowledge</group>
      <groupName>知识性问题</groupName>
      <ability>L2_Knowledge</ability>
      <abilityName>其他知识</abilityName>
      <candidateList>
        <item>5%～15%</item>
      </candidateList>
      <explain>1. “5~15%”中的单位“%”仅出现在后一个数字上，容易引起歧义；根据《现代汉语标点符号数字用法规范手册》，数字表示范围两边需要使用统一的格式。2. 根据标点国标 4.13 中的规则，数字、时间或地域连接符应使用（视觉上更长的）“—”或“～”。</explain>
      <paraID>342B5EA8</paraID>
      <start>9</start>
      <end>14</end>
      <status>unmodified</status>
      <modifiedWord/>
      <trackRevisions>false</trackRevisions>
    </reviewItem>
    <reviewItem>
      <errorID>509f31bb-05c5-4b2f-b2e1-3aeec781ea41</errorID>
      <errorWord>2~20%</errorWord>
      <group>L1_Knowledge</group>
      <groupName>知识性问题</groupName>
      <ability>L2_Knowledge</ability>
      <abilityName>其他知识</abilityName>
      <candidateList>
        <item>2%～20%</item>
      </candidateList>
      <explain>1. “2~20%”中的单位“%”仅出现在后一个数字上，容易引起歧义；根据《现代汉语标点符号数字用法规范手册》，数字表示范围两边需要使用统一的格式。2. 根据标点国标 4.13 中的规则，数字、时间或地域连接符应使用（视觉上更长的）“—”或“～”。</explain>
      <paraID>342B5EA8</paraID>
      <start>18</start>
      <end>23</end>
      <status>unmodified</status>
      <modifiedWord/>
      <trackRevisions>false</trackRevisions>
    </reviewItem>
    <reviewItem>
      <errorID>7c87c4c9-9e77-46a9-bf44-f95028d96d19</errorID>
      <errorWord>30~45%</errorWord>
      <group>L1_Knowledge</group>
      <groupName>知识性问题</groupName>
      <ability>L2_Knowledge</ability>
      <abilityName>其他知识</abilityName>
      <candidateList>
        <item>30%～45%</item>
      </candidateList>
      <explain>1. “30~45%”中的单位“%”仅出现在后一个数字上，容易引起歧义；根据《现代汉语标点符号数字用法规范手册》，数字表示范围两边需要使用统一的格式。2. 根据标点国标 4.13 中的规则，数字、时间或地域连接符应使用（视觉上更长的）“—”或“～”。</explain>
      <paraID>342B5EA8</paraID>
      <start>29</start>
      <end>35</end>
      <status>unmodified</status>
      <modifiedWord/>
      <trackRevisions>false</trackRevisions>
    </reviewItem>
    <reviewItem>
      <errorID>d6ecf449-dbf0-459b-b1d3-4c4229f08370</errorID>
      <errorWord>5~15%</errorWord>
      <group>L1_Knowledge</group>
      <groupName>知识性问题</groupName>
      <ability>L2_Knowledge</ability>
      <abilityName>其他知识</abilityName>
      <candidateList>
        <item>5%～15%</item>
      </candidateList>
      <explain>1. “5~15%”中的单位“%”仅出现在后一个数字上，容易引起歧义；根据《现代汉语标点符号数字用法规范手册》，数字表示范围两边需要使用统一的格式。2. 根据标点国标 4.13 中的规则，数字、时间或地域连接符应使用（视觉上更长的）“—”或“～”。</explain>
      <paraID>342B5EA8</paraID>
      <start>40</start>
      <end>45</end>
      <status>unmodified</status>
      <modifiedWord/>
      <trackRevisions>false</trackRevisions>
    </reviewItem>
    <reviewItem>
      <errorID>05aee8ac-d42c-4f97-86b9-9d886d6d64e3</errorID>
      <errorWord>1~25%</errorWord>
      <group>L1_Knowledge</group>
      <groupName>知识性问题</groupName>
      <ability>L2_Knowledge</ability>
      <abilityName>其他知识</abilityName>
      <candidateList>
        <item>1%～25%</item>
      </candidateList>
      <explain>1. “1~25%”中的单位“%”仅出现在后一个数字上，容易引起歧义；根据《现代汉语标点符号数字用法规范手册》，数字表示范围两边需要使用统一的格式。2. 根据标点国标 4.13 中的规则，数字、时间或地域连接符应使用（视觉上更长的）“—”或“～”。</explain>
      <paraID>342B5EA8</paraID>
      <start>49</start>
      <end>54</end>
      <status>unmodified</status>
      <modifiedWord/>
      <trackRevisions>false</trackRevisions>
    </reviewItem>
    <reviewItem>
      <errorID>f3f799f2-a496-40ea-a68b-03d66c212375</errorID>
      <errorWord>15~35%</errorWord>
      <group>L1_Knowledge</group>
      <groupName>知识性问题</groupName>
      <ability>L2_Knowledge</ability>
      <abilityName>其他知识</abilityName>
      <candidateList>
        <item>15%～35%</item>
      </candidateList>
      <explain>1. “15~35%”中的单位“%”仅出现在后一个数字上，容易引起歧义；根据《现代汉语标点符号数字用法规范手册》，数字表示范围两边需要使用统一的格式。2. 根据标点国标 4.13 中的规则，数字、时间或地域连接符应使用（视觉上更长的）“—”或“～”。</explain>
      <paraID>342B5EA8</paraID>
      <start>58</start>
      <end>64</end>
      <status>unmodified</status>
      <modifiedWord/>
      <trackRevisions>false</trackRevisions>
    </reviewItem>
    <reviewItem>
      <errorID>37c94bd5-8f2e-4199-b700-a7628ca78a56</errorID>
      <errorWord>50~75%</errorWord>
      <group>L1_Knowledge</group>
      <groupName>知识性问题</groupName>
      <ability>L2_Knowledge</ability>
      <abilityName>其他知识</abilityName>
      <candidateList>
        <item>50%～75%</item>
      </candidateList>
      <explain>1. “50~75%”中的单位“%”仅出现在后一个数字上，容易引起歧义；根据《现代汉语标点符号数字用法规范手册》，数字表示范围两边需要使用统一的格式。2. 根据标点国标 4.13 中的规则，数字、时间或地域连接符应使用（视觉上更长的）“—”或“～”。</explain>
      <paraID>56DC516C</paraID>
      <start>3</start>
      <end>9</end>
      <status>unmodified</status>
      <modifiedWord/>
      <trackRevisions>false</trackRevisions>
    </reviewItem>
    <reviewItem>
      <errorID>3a9ae5a6-196f-489c-83a7-46b1dc66886f</errorID>
      <errorWord>-</errorWord>
      <group>L1_Format</group>
      <groupName>格式问题</groupName>
      <ability>L2_HalfPunc</ability>
      <abilityName>全半角检查</abilityName>
      <candidateList>
        <item>－</item>
      </candidateList>
      <explain>文本全半角错误。</explain>
      <paraID>56DC516C</paraID>
      <start>11</start>
      <end>12</end>
      <status>unmodified</status>
      <modifiedWord/>
      <trackRevisions>false</trackRevisions>
    </reviewItem>
    <reviewItem>
      <errorID>8381b54b-0ba0-4f9b-b618-83a5b4daa773</errorID>
      <errorWord>20~25%</errorWord>
      <group>L1_Knowledge</group>
      <groupName>知识性问题</groupName>
      <ability>L2_Knowledge</ability>
      <abilityName>其他知识</abilityName>
      <candidateList>
        <item>20%～25%</item>
      </candidateList>
      <explain>1. “20~25%”中的单位“%”仅出现在后一个数字上，容易引起歧义；根据《现代汉语标点符号数字用法规范手册》，数字表示范围两边需要使用统一的格式。2. 根据标点国标 4.13 中的规则，数字、时间或地域连接符应使用（视觉上更长的）“—”或“～”。</explain>
      <paraID>56DC516C</paraID>
      <start>14</start>
      <end>20</end>
      <status>unmodified</status>
      <modifiedWord/>
      <trackRevisions>false</trackRevisions>
    </reviewItem>
    <reviewItem>
      <errorID>2ed504d2-c1e7-465c-b554-bc93ab395d12</errorID>
      <errorWord>10~25%</errorWord>
      <group>L1_Knowledge</group>
      <groupName>知识性问题</groupName>
      <ability>L2_Knowledge</ability>
      <abilityName>其他知识</abilityName>
      <candidateList>
        <item>10%～25%</item>
      </candidateList>
      <explain>1. “10~25%”中的单位“%”仅出现在后一个数字上，容易引起歧义；根据《现代汉语标点符号数字用法规范手册》，数字表示范围两边需要使用统一的格式。2. 根据标点国标 4.13 中的规则，数字、时间或地域连接符应使用（视觉上更长的）“—”或“～”。</explain>
      <paraID>56DC516C</paraID>
      <start>23</start>
      <end>29</end>
      <status>unmodified</status>
      <modifiedWord/>
      <trackRevisions>false</trackRevisions>
    </reviewItem>
    <reviewItem>
      <errorID>da2bc284-2fd7-40e6-920e-b309bfba80b3</errorID>
      <errorWord>3~5%</errorWord>
      <group>L1_Knowledge</group>
      <groupName>知识性问题</groupName>
      <ability>L2_Knowledge</ability>
      <abilityName>其他知识</abilityName>
      <candidateList>
        <item>3%～5%</item>
      </candidateList>
      <explain>1. “3~5%”中的单位“%”仅出现在后一个数字上，容易引起歧义；根据《现代汉语标点符号数字用法规范手册》，数字表示范围两边需要使用统一的格式。2. 根据标点国标 4.13 中的规则，数字、时间或地域连接符应使用（视觉上更长的）“—”或“～”。</explain>
      <paraID>56DC516C</paraID>
      <start>34</start>
      <end>38</end>
      <status>unmodified</status>
      <modifiedWord/>
      <trackRevisions>false</trackRevisions>
    </reviewItem>
    <reviewItem>
      <errorID>b910b837-8655-4ee7-9543-a4cb3f2f6bbc</errorID>
      <errorWord>0~1%</errorWord>
      <group>L1_Knowledge</group>
      <groupName>知识性问题</groupName>
      <ability>L2_Knowledge</ability>
      <abilityName>其他知识</abilityName>
      <candidateList>
        <item>0～1%</item>
      </candidateList>
      <explain>1. “0~1%”中的单位“%”仅出现在后一个数字上，容易引起歧义；根据《现代汉语标点符号数字用法规范手册》，数字表示范围两边需要使用统一的格式。2. 根据标点国标 4.13 中的规则，数字、时间或地域连接符应使用（视觉上更长的）“—”或“～”。</explain>
      <paraID>56DC516C</paraID>
      <start>41</start>
      <end>45</end>
      <status>unmodified</status>
      <modifiedWord/>
      <trackRevisions>false</trackRevisions>
    </reviewItem>
    <reviewItem>
      <errorID>879a7f16-8bdb-4fb6-b080-6911812fb483</errorID>
      <errorWord>-</errorWord>
      <group>L1_Format</group>
      <groupName>格式问题</groupName>
      <ability>L2_HalfPunc</ability>
      <abilityName>全半角检查</abilityName>
      <candidateList>
        <item>－</item>
      </candidateList>
      <explain>文本全半角错误。</explain>
      <paraID>56DC516C</paraID>
      <start>51</start>
      <end>52</end>
      <status>unmodified</status>
      <modifiedWord/>
      <trackRevisions>false</trackRevisions>
    </reviewItem>
    <reviewItem>
      <errorID>e2ccb2cb-799b-42b3-99f0-f3527f8b79f8</errorID>
      <errorWord>3~5%</errorWord>
      <group>L1_Knowledge</group>
      <groupName>知识性问题</groupName>
      <ability>L2_Knowledge</ability>
      <abilityName>其他知识</abilityName>
      <candidateList>
        <item>3%～5%</item>
      </candidateList>
      <explain>1. “3~5%”中的单位“%”仅出现在后一个数字上，容易引起歧义；根据《现代汉语标点符号数字用法规范手册》，数字表示范围两边需要使用统一的格式。2. 根据标点国标 4.13 中的规则，数字、时间或地域连接符应使用（视觉上更长的）“—”或“～”。</explain>
      <paraID>56DC516C</paraID>
      <start>55</start>
      <end>59</end>
      <status>unmodified</status>
      <modifiedWord/>
      <trackRevisions>false</trackRevisions>
    </reviewItem>
    <reviewItem>
      <errorID>22f8b545-606e-48fa-a0d8-cb33fe3dabfe</errorID>
      <errorWord>1~2.9%</errorWord>
      <group>L1_Knowledge</group>
      <groupName>知识性问题</groupName>
      <ability>L2_Knowledge</ability>
      <abilityName>其他知识</abilityName>
      <candidateList>
        <item>1%～2.9%</item>
      </candidateList>
      <explain>1. “1~2.9%”中的单位“%”仅出现在后一个数字上，容易引起歧义；根据《现代汉语标点符号数字用法规范手册》，数字表示范围两边需要使用统一的格式。2. 根据标点国标 4.13 中的规则，数字、时间或地域连接符应使用（视觉上更长的）“—”或“～”。</explain>
      <paraID>56DC516C</paraID>
      <start>69</start>
      <end>75</end>
      <status>unmodified</status>
      <modifiedWord/>
      <trackRevisions>false</trackRevisions>
    </reviewItem>
    <reviewItem>
      <errorID>16036bfe-b518-46e8-a39f-b51d05060f0e</errorID>
      <errorWord>0~5%</errorWord>
      <group>L1_Knowledge</group>
      <groupName>知识性问题</groupName>
      <ability>L2_Knowledge</ability>
      <abilityName>其他知识</abilityName>
      <candidateList>
        <item>0～5%</item>
      </candidateList>
      <explain>1. “0~5%”中的单位“%”仅出现在后一个数字上，容易引起歧义；根据《现代汉语标点符号数字用法规范手册》，数字表示范围两边需要使用统一的格式。2. 根据标点国标 4.13 中的规则，数字、时间或地域连接符应使用（视觉上更长的）“—”或“～”。</explain>
      <paraID>711F0418</paraID>
      <start>6</start>
      <end>10</end>
      <status>unmodified</status>
      <modifiedWord/>
      <trackRevisions>false</trackRevisions>
    </reviewItem>
    <reviewItem>
      <errorID>f6d7a233-86e9-4d1e-9216-ddc1a6b1eb17</errorID>
      <errorWord>0~10%</errorWord>
      <group>L1_Knowledge</group>
      <groupName>知识性问题</groupName>
      <ability>L2_Knowledge</ability>
      <abilityName>其他知识</abilityName>
      <candidateList>
        <item>0～10%</item>
      </candidateList>
      <explain>1. “0~10%”中的单位“%”仅出现在后一个数字上，容易引起歧义；根据《现代汉语标点符号数字用法规范手册》，数字表示范围两边需要使用统一的格式。2. 根据标点国标 4.13 中的规则，数字、时间或地域连接符应使用（视觉上更长的）“—”或“～”。</explain>
      <paraID>711F0418</paraID>
      <start>13</start>
      <end>18</end>
      <status>unmodified</status>
      <modifiedWord/>
      <trackRevisions>false</trackRevisions>
    </reviewItem>
    <reviewItem>
      <errorID>0c1f838d-7a59-47df-bdfa-771f7321a705</errorID>
      <errorWord>20~50%</errorWord>
      <group>L1_Knowledge</group>
      <groupName>知识性问题</groupName>
      <ability>L2_Knowledge</ability>
      <abilityName>其他知识</abilityName>
      <candidateList>
        <item>20%～50%</item>
      </candidateList>
      <explain>1. “20~50%”中的单位“%”仅出现在后一个数字上，容易引起歧义；根据《现代汉语标点符号数字用法规范手册》，数字表示范围两边需要使用统一的格式。2. 根据标点国标 4.13 中的规则，数字、时间或地域连接符应使用（视觉上更长的）“—”或“～”。</explain>
      <paraID>711F0418</paraID>
      <start>22</start>
      <end>28</end>
      <status>unmodified</status>
      <modifiedWord/>
      <trackRevisions>false</trackRevisions>
    </reviewItem>
    <reviewItem>
      <errorID>f05fed3d-176b-48ce-a439-95057969dd20</errorID>
      <errorWord>15~40%</errorWord>
      <group>L1_Knowledge</group>
      <groupName>知识性问题</groupName>
      <ability>L2_Knowledge</ability>
      <abilityName>其他知识</abilityName>
      <candidateList>
        <item>15%～40%</item>
      </candidateList>
      <explain>1. “15~40%”中的单位“%”仅出现在后一个数字上，容易引起歧义；根据《现代汉语标点符号数字用法规范手册》，数字表示范围两边需要使用统一的格式。2. 根据标点国标 4.13 中的规则，数字、时间或地域连接符应使用（视觉上更长的）“—”或“～”。</explain>
      <paraID>711F0418</paraID>
      <start>33</start>
      <end>39</end>
      <status>unmodified</status>
      <modifiedWord/>
      <trackRevisions>false</trackRevisions>
    </reviewItem>
    <reviewItem>
      <errorID>678d18c9-e2e3-420b-ae69-ae64b3fcf152</errorID>
      <errorWord>0~15%</errorWord>
      <group>L1_Knowledge</group>
      <groupName>知识性问题</groupName>
      <ability>L2_Knowledge</ability>
      <abilityName>其他知识</abilityName>
      <candidateList>
        <item>0～15%</item>
      </candidateList>
      <explain>1. “0~15%”中的单位“%”仅出现在后一个数字上，容易引起歧义；根据《现代汉语标点符号数字用法规范手册》，数字表示范围两边需要使用统一的格式。2. 根据标点国标 4.13 中的规则，数字、时间或地域连接符应使用（视觉上更长的）“—”或“～”。</explain>
      <paraID>711F0418</paraID>
      <start>44</start>
      <end>49</end>
      <status>unmodified</status>
      <modifiedWord/>
      <trackRevisions>false</trackRevisions>
    </reviewItem>
    <reviewItem>
      <errorID>d6fd5bbc-3ecb-4d96-8600-475853b4229c</errorID>
      <errorWord>0~40%</errorWord>
      <group>L1_Knowledge</group>
      <groupName>知识性问题</groupName>
      <ability>L2_Knowledge</ability>
      <abilityName>其他知识</abilityName>
      <candidateList>
        <item>0～40%</item>
      </candidateList>
      <explain>1. “0~40%”中的单位“%”仅出现在后一个数字上，容易引起歧义；根据《现代汉语标点符号数字用法规范手册》，数字表示范围两边需要使用统一的格式。2. 根据标点国标 4.13 中的规则，数字、时间或地域连接符应使用（视觉上更长的）“—”或“～”。</explain>
      <paraID>711F0418</paraID>
      <start>58</start>
      <end>63</end>
      <status>unmodified</status>
      <modifiedWord/>
      <trackRevisions>false</trackRevisions>
    </reviewItem>
    <reviewItem>
      <errorID>ed4dc5df-5529-4544-b70f-83223aecf11a</errorID>
      <errorWord>到</errorWord>
      <group>L1_Word</group>
      <groupName>字词问题</groupName>
      <ability>L2_Typo</ability>
      <abilityName>字词错误</abilityName>
      <candidateList>
        <item>到了</item>
      </candidateList>
      <explain/>
      <paraID>706D91F8</paraID>
      <start>44</start>
      <end>45</end>
      <status>unmodified</status>
      <modifiedWord/>
      <trackRevisions>false</trackRevisions>
    </reviewItem>
    <reviewItem>
      <errorID>0f1ce70d-28e9-47d5-ac78-c7c38afe0608</errorID>
      <errorWord>程</errorWord>
      <group>L1_Word</group>
      <groupName>字词问题</groupName>
      <ability>L2_Typo</ability>
      <abilityName>字词错误</abilityName>
      <candidateList>
        <item>程中</item>
      </candidateList>
      <explain/>
      <paraID>63443A52</paraID>
      <start>41</start>
      <end>42</end>
      <status>unmodified</status>
      <modifiedWord/>
      <trackRevisions>false</trackRevisions>
    </reviewItem>
    <reviewItem>
      <errorID>42487a24-fa2b-44af-9c28-c0eee460668a</errorID>
      <errorWord>选择的</errorWord>
      <group>L1_Word</group>
      <groupName>字词问题</groupName>
      <ability>L2_Typo</ability>
      <abilityName>字词错误</abilityName>
      <candidateList>
        <item>选择地</item>
      </candidateList>
      <explain/>
      <paraID>4B7E4BE2</paraID>
      <start>97</start>
      <end>100</end>
      <status>unmodified</status>
      <modifiedWord/>
      <trackRevisions>false</trackRevisions>
    </reviewItem>
    <reviewItem>
      <errorID>260c9903-6d4d-4920-a478-2f0301c4ad59</errorID>
      <errorWord>溢散</errorWord>
      <group>L1_Word</group>
      <groupName>字词问题</groupName>
      <ability>L2_Typo</ability>
      <abilityName>字词错误</abilityName>
      <candidateList>
        <item>逸散</item>
      </candidateList>
      <explain>存在发音相同字词的误用。</explain>
      <paraID>2C86E0C7</paraID>
      <start>63</start>
      <end>65</end>
      <status>unmodified</status>
      <modifiedWord/>
      <trackRevisions>false</trackRevisions>
    </reviewItem>
    <reviewItem>
      <errorID>2a195e67-3e3d-4613-8deb-2cebad32cd42</errorID>
      <errorWord>IV</errorWord>
      <group>L1_Knowledge</group>
      <groupName>知识性问题</groupName>
      <ability>L2_Knowledge</ability>
      <abilityName>其他知识</abilityName>
      <candidateList>
        <item>Ⅳ</item>
      </candidateList>
      <explain/>
      <paraID>5C811199</paraID>
      <start>31</start>
      <end>33</end>
      <status>unmodified</status>
      <modifiedWord/>
      <trackRevisions>false</trackRevisions>
    </reviewItem>
    <reviewItem>
      <errorID>edabb175-4fac-407a-bf08-2b107b7763e8</errorID>
      <errorWord>来自于</errorWord>
      <group>L1_Grammar</group>
      <groupName>语法问题</groupName>
      <ability>L2_Grammar</ability>
      <abilityName>语法错误</abilityName>
      <candidateList>
        <item>来自</item>
      </candidateList>
      <explain/>
      <paraID>13C17221</paraID>
      <start>4</start>
      <end>7</end>
      <status>unmodified</status>
      <modifiedWord/>
      <trackRevisions>false</trackRevisions>
    </reviewItem>
    <reviewItem>
      <errorID>99191b02-3e3d-4725-ae58-c2e6e544e227</errorID>
      <errorWord>期</errorWord>
      <group>L1_Word</group>
      <groupName>字词问题</groupName>
      <ability>L2_Typo</ability>
      <abilityName>字词错误</abilityName>
      <candidateList>
        <item>期间</item>
      </candidateList>
      <explain>〈名〉某个时期里面：农忙～｜春节～｜抗战～。</explain>
      <paraID>721839C9</paraID>
      <start>24</start>
      <end>25</end>
      <status>unmodified</status>
      <modifiedWord/>
      <trackRevisions>false</trackRevisions>
    </reviewItem>
    <reviewItem>
      <errorID>3209468d-6545-4819-a71e-b6fa5a3a72eb</errorID>
      <errorWord>(</errorWord>
      <group>L1_Format</group>
      <groupName>格式问题</groupName>
      <ability>L2_HalfPunc</ability>
      <abilityName>全半角检查</abilityName>
      <candidateList>
        <item>（</item>
      </candidateList>
      <explain>文本全半角错误。</explain>
      <paraID>68E55EC4</paraID>
      <start>79</start>
      <end>80</end>
      <status>unmodified</status>
      <modifiedWord/>
      <trackRevisions>false</trackRevisions>
    </reviewItem>
    <reviewItem>
      <errorID>1ec594e1-1c02-459e-94d0-8d0d28670d52</errorID>
      <errorWord>)</errorWord>
      <group>L1_Format</group>
      <groupName>格式问题</groupName>
      <ability>L2_HalfPunc</ability>
      <abilityName>全半角检查</abilityName>
      <candidateList>
        <item>）</item>
      </candidateList>
      <explain>文本全半角错误。</explain>
      <paraID>68E55EC4</paraID>
      <start>92</start>
      <end>93</end>
      <status>unmodified</status>
      <modifiedWord/>
      <trackRevisions>false</trackRevisions>
    </reviewItem>
    <reviewItem>
      <errorID>4736b81c-7a1d-4ae8-8d5b-dbd9a49a2267</errorID>
      <errorWord>程</errorWord>
      <group>L1_Word</group>
      <groupName>字词问题</groupName>
      <ability>L2_Typo</ability>
      <abilityName>字词错误</abilityName>
      <candidateList>
        <item>程中</item>
      </candidateList>
      <explain/>
      <paraID>1543590C</paraID>
      <start>12</start>
      <end>13</end>
      <status>unmodified</status>
      <modifiedWord/>
      <trackRevisions>false</trackRevisions>
    </reviewItem>
    <reviewItem>
      <errorID>c467031a-04b4-4e65-a922-63c0083b42f1</errorID>
      <errorWord>其它作业</errorWord>
      <group>L1_Word</group>
      <groupName>字词问题</groupName>
      <ability>L2_Alias</ability>
      <abilityName>也作/曾用词</abilityName>
      <candidateList>
        <item>其他作业</item>
      </candidateList>
      <explain>词汇[其它作业]为不规范表述或旧称，其规范书面表述为[其他作业]。</explain>
      <paraID>2BDCF0A8</paraID>
      <start>99</start>
      <end>103</end>
      <status>modified</status>
      <modifiedWord>其他作业</modifiedWord>
      <trackRevisions>false</trackRevisions>
    </reviewItem>
    <reviewItem>
      <errorID>3cafa7ac-8428-4f57-b1ed-51fbbe17032a</errorID>
      <errorWord>沙</errorWord>
      <group>L1_Word</group>
      <groupName>字词问题</groupName>
      <ability>L2_Typo</ability>
      <abilityName>字词错误</abilityName>
      <candidateList>
        <item>砂</item>
      </candidateList>
      <explain>存在发音相同字词的误用。</explain>
      <paraID>2BDCF0A8</paraID>
      <start>154</start>
      <end>155</end>
      <status>unmodified</status>
      <modifiedWord/>
      <trackRevisions>false</trackRevisions>
    </reviewItem>
    <reviewItem>
      <errorID>437f7792-c58b-4d63-8e1c-156d0bc32077</errorID>
      <errorWord>(</errorWord>
      <group>L1_Format</group>
      <groupName>格式问题</groupName>
      <ability>L2_HalfPunc</ability>
      <abilityName>全半角检查</abilityName>
      <candidateList>
        <item>（</item>
      </candidateList>
      <explain>文本全半角错误。</explain>
      <paraID>614A3EC2</paraID>
      <start>41</start>
      <end>42</end>
      <status>unmodified</status>
      <modifiedWord/>
      <trackRevisions>false</trackRevisions>
    </reviewItem>
    <reviewItem>
      <errorID>0ce4be8c-2fd2-4222-9ce1-a202df9b7d64</errorID>
      <errorWord>)</errorWord>
      <group>L1_Format</group>
      <groupName>格式问题</groupName>
      <ability>L2_HalfPunc</ability>
      <abilityName>全半角检查</abilityName>
      <candidateList>
        <item>）</item>
      </candidateList>
      <explain>文本全半角错误。</explain>
      <paraID>614A3EC2</paraID>
      <start>51</start>
      <end>52</end>
      <status>unmodified</status>
      <modifiedWord/>
      <trackRevisions>false</trackRevisions>
    </reviewItem>
    <reviewItem>
      <errorID>0e31788a-279e-4649-a809-7b34191d14f7</errorID>
      <errorWord>(</errorWord>
      <group>L1_Format</group>
      <groupName>格式问题</groupName>
      <ability>L2_HalfPunc</ability>
      <abilityName>全半角检查</abilityName>
      <candidateList>
        <item>（</item>
      </candidateList>
      <explain>文本全半角错误。</explain>
      <paraID>3CDBD999</paraID>
      <start>57</start>
      <end>58</end>
      <status>unmodified</status>
      <modifiedWord/>
      <trackRevisions>false</trackRevisions>
    </reviewItem>
    <reviewItem>
      <errorID>c9369078-bd4a-40a3-a071-3c84207f354c</errorID>
      <errorWord>)</errorWord>
      <group>L1_Format</group>
      <groupName>格式问题</groupName>
      <ability>L2_HalfPunc</ability>
      <abilityName>全半角检查</abilityName>
      <candidateList>
        <item>）</item>
      </candidateList>
      <explain>文本全半角错误。</explain>
      <paraID>3CDBD999</paraID>
      <start>69</start>
      <end>70</end>
      <status>unmodified</status>
      <modifiedWord/>
      <trackRevisions>false</trackRevisions>
    </reviewItem>
    <reviewItem>
      <errorID>82499875-0e25-49ca-aaba-636b47e86ae6</errorID>
      <errorWord>须</errorWord>
      <group>L1_Word</group>
      <groupName>字词问题</groupName>
      <ability>L2_Typo</ability>
      <abilityName>字词错误</abilityName>
      <candidateList>
        <item>需</item>
      </candidateList>
      <explain>存在发音相同字词的误用。</explain>
      <paraID> 1504DC1</paraID>
      <start>10</start>
      <end>11</end>
      <status>unmodified</status>
      <modifiedWord/>
      <trackRevisions>false</trackRevisions>
    </reviewItem>
    <reviewItem>
      <errorID>02ecf03d-f6a4-43f1-bef1-caa861e8b794</errorID>
      <errorWord>(</errorWord>
      <group>L1_Format</group>
      <groupName>格式问题</groupName>
      <ability>L2_HalfPunc</ability>
      <abilityName>全半角检查</abilityName>
      <candidateList>
        <item>（</item>
      </candidateList>
      <explain>文本全半角错误。</explain>
      <paraID> 1504DC1</paraID>
      <start>83</start>
      <end>84</end>
      <status>unmodified</status>
      <modifiedWord/>
      <trackRevisions>false</trackRevisions>
    </reviewItem>
    <reviewItem>
      <errorID>da533971-8643-4e7b-a3b6-cbbaf6b08999</errorID>
      <errorWord>)</errorWord>
      <group>L1_Format</group>
      <groupName>格式问题</groupName>
      <ability>L2_HalfPunc</ability>
      <abilityName>全半角检查</abilityName>
      <candidateList>
        <item>）</item>
      </candidateList>
      <explain>文本全半角错误。</explain>
      <paraID> 1504DC1</paraID>
      <start>96</start>
      <end>97</end>
      <status>unmodified</status>
      <modifiedWord/>
      <trackRevisions>false</trackRevisions>
    </reviewItem>
    <reviewItem>
      <errorID>025dc1f6-e321-4b97-a062-89975253be41</errorID>
      <errorWord>设</errorWord>
      <group>L1_Word</group>
      <groupName>字词问题</groupName>
      <ability>L2_Typo</ability>
      <abilityName>字词错误</abilityName>
      <candidateList>
        <item>设置</item>
      </candidateList>
      <explain>〈动〉❶设立：这座剧院是为儿童～的。❷安放；安装：～障碍。</explain>
      <paraID>3EEC300C</paraID>
      <start>22</start>
      <end>23</end>
      <status>unmodified</status>
      <modifiedWord/>
      <trackRevisions>false</trackRevisions>
    </reviewItem>
    <reviewItem>
      <errorID>2e736a04-3656-42e3-a15d-ea195a2e28b6</errorID>
      <errorWord>(</errorWord>
      <group>L1_Format</group>
      <groupName>格式问题</groupName>
      <ability>L2_HalfPunc</ability>
      <abilityName>全半角检查</abilityName>
      <candidateList>
        <item>（</item>
      </candidateList>
      <explain>文本全半角错误。</explain>
      <paraID>3EEC300C</paraID>
      <start>175</start>
      <end>176</end>
      <status>unmodified</status>
      <modifiedWord/>
      <trackRevisions>false</trackRevisions>
    </reviewItem>
    <reviewItem>
      <errorID>37501eb2-08b7-49a3-9156-2d402a49a66d</errorID>
      <errorWord>)</errorWord>
      <group>L1_Format</group>
      <groupName>格式问题</groupName>
      <ability>L2_HalfPunc</ability>
      <abilityName>全半角检查</abilityName>
      <candidateList>
        <item>）</item>
      </candidateList>
      <explain>文本全半角错误。</explain>
      <paraID>3EEC300C</paraID>
      <start>188</start>
      <end>189</end>
      <status>unmodified</status>
      <modifiedWord/>
      <trackRevisions>false</trackRevisions>
    </reviewItem>
    <reviewItem>
      <errorID>c31e2550-c71a-48ab-9279-c471915e271d</errorID>
      <errorWord>(</errorWord>
      <group>L1_Format</group>
      <groupName>格式问题</groupName>
      <ability>L2_HalfPunc</ability>
      <abilityName>全半角检查</abilityName>
      <candidateList>
        <item>（</item>
      </candidateList>
      <explain>文本全半角错误。</explain>
      <paraID>25F043EF</paraID>
      <start>47</start>
      <end>48</end>
      <status>unmodified</status>
      <modifiedWord/>
      <trackRevisions>false</trackRevisions>
    </reviewItem>
    <reviewItem>
      <errorID>f8df2b5e-6958-4d72-b183-fb7fae8e0add</errorID>
      <errorWord>)</errorWord>
      <group>L1_Format</group>
      <groupName>格式问题</groupName>
      <ability>L2_HalfPunc</ability>
      <abilityName>全半角检查</abilityName>
      <candidateList>
        <item>）</item>
      </candidateList>
      <explain>文本全半角错误。</explain>
      <paraID>25F043EF</paraID>
      <start>56</start>
      <end>57</end>
      <status>unmodified</status>
      <modifiedWord/>
      <trackRevisions>false</trackRevisions>
    </reviewItem>
    <reviewItem>
      <errorID>939c3ca9-06bc-4540-a67c-8f0d71b3e6fb</errorID>
      <errorWord>(</errorWord>
      <group>L1_Format</group>
      <groupName>格式问题</groupName>
      <ability>L2_HalfPunc</ability>
      <abilityName>全半角检查</abilityName>
      <candidateList>
        <item>（</item>
      </candidateList>
      <explain>文本全半角错误。</explain>
      <paraID>25F043EF</paraID>
      <start>128</start>
      <end>129</end>
      <status>unmodified</status>
      <modifiedWord/>
      <trackRevisions>false</trackRevisions>
    </reviewItem>
    <reviewItem>
      <errorID>ceb07690-93d6-4c3f-96e7-21ed7fffd2ee</errorID>
      <errorWord>)</errorWord>
      <group>L1_Format</group>
      <groupName>格式问题</groupName>
      <ability>L2_HalfPunc</ability>
      <abilityName>全半角检查</abilityName>
      <candidateList>
        <item>）</item>
      </candidateList>
      <explain>文本全半角错误。</explain>
      <paraID>25F043EF</paraID>
      <start>159</start>
      <end>160</end>
      <status>unmodified</status>
      <modifiedWord/>
      <trackRevisions>false</trackRevisions>
    </reviewItem>
    <reviewItem>
      <errorID>d20d131b-7323-40d1-98c7-dc85cb16cbc5</errorID>
      <errorWord>设</errorWord>
      <group>L1_Word</group>
      <groupName>字词问题</groupName>
      <ability>L2_Typo</ability>
      <abilityName>字词错误</abilityName>
      <candidateList>
        <item>设置</item>
      </candidateList>
      <explain>〈动〉❶设立：这座剧院是为儿童～的。❷安放；安装：～障碍。</explain>
      <paraID>59C4AF9D</paraID>
      <start>5</start>
      <end>6</end>
      <status>unmodified</status>
      <modifiedWord/>
      <trackRevisions>false</trackRevisions>
    </reviewItem>
    <reviewItem>
      <errorID>35afb938-a2d9-4100-a4fb-985559e68f5a</errorID>
      <errorWord>(</errorWord>
      <group>L1_Format</group>
      <groupName>格式问题</groupName>
      <ability>L2_HalfPunc</ability>
      <abilityName>全半角检查</abilityName>
      <candidateList>
        <item>（</item>
      </candidateList>
      <explain>文本全半角错误。</explain>
      <paraID>6992087A</paraID>
      <start>23</start>
      <end>24</end>
      <status>unmodified</status>
      <modifiedWord/>
      <trackRevisions>false</trackRevisions>
    </reviewItem>
    <reviewItem>
      <errorID>271e91d7-aefb-4b01-a2cd-757c572a7ab3</errorID>
      <errorWord>)</errorWord>
      <group>L1_Format</group>
      <groupName>格式问题</groupName>
      <ability>L2_HalfPunc</ability>
      <abilityName>全半角检查</abilityName>
      <candidateList>
        <item>）</item>
      </candidateList>
      <explain>文本全半角错误。</explain>
      <paraID>6992087A</paraID>
      <start>30</start>
      <end>31</end>
      <status>unmodified</status>
      <modifiedWord/>
      <trackRevisions>false</trackRevisions>
    </reviewItem>
    <reviewItem>
      <errorID>342ac690-c890-4aa0-ab48-d6cbb9a7ff84</errorID>
      <errorWord>(</errorWord>
      <group>L1_Format</group>
      <groupName>格式问题</groupName>
      <ability>L2_HalfPunc</ability>
      <abilityName>全半角检查</abilityName>
      <candidateList>
        <item>（</item>
      </candidateList>
      <explain>文本全半角错误。</explain>
      <paraID>60DFD869</paraID>
      <start>21</start>
      <end>22</end>
      <status>unmodified</status>
      <modifiedWord/>
      <trackRevisions>false</trackRevisions>
    </reviewItem>
    <reviewItem>
      <errorID>35652e72-7cb5-4866-9334-dcdfcdbb8fe4</errorID>
      <errorWord>)</errorWord>
      <group>L1_Format</group>
      <groupName>格式问题</groupName>
      <ability>L2_HalfPunc</ability>
      <abilityName>全半角检查</abilityName>
      <candidateList>
        <item>）</item>
      </candidateList>
      <explain>文本全半角错误。</explain>
      <paraID>60DFD869</paraID>
      <start>27</start>
      <end>28</end>
      <status>unmodified</status>
      <modifiedWord/>
      <trackRevisions>false</trackRevisions>
    </reviewItem>
    <reviewItem>
      <errorID>021a5c96-3364-48e9-bcb0-5d20a81593e2</errorID>
      <errorWord>(</errorWord>
      <group>L1_Format</group>
      <groupName>格式问题</groupName>
      <ability>L2_HalfPunc</ability>
      <abilityName>全半角检查</abilityName>
      <candidateList>
        <item>（</item>
      </candidateList>
      <explain>文本全半角错误。</explain>
      <paraID>125FB435</paraID>
      <start>4</start>
      <end>5</end>
      <status>unmodified</status>
      <modifiedWord/>
      <trackRevisions>false</trackRevisions>
    </reviewItem>
    <reviewItem>
      <errorID>0ffa7d86-23bf-4987-a951-74c99bfa523f</errorID>
      <errorWord>)</errorWord>
      <group>L1_Format</group>
      <groupName>格式问题</groupName>
      <ability>L2_HalfPunc</ability>
      <abilityName>全半角检查</abilityName>
      <candidateList>
        <item>）</item>
      </candidateList>
      <explain>文本全半角错误。</explain>
      <paraID>125FB435</paraID>
      <start>8</start>
      <end>9</end>
      <status>unmodified</status>
      <modifiedWord/>
      <trackRevisions>false</trackRevisions>
    </reviewItem>
    <reviewItem>
      <errorID>d2e86150-8bce-42ed-aebd-6f3b207b03f5</errorID>
      <errorWord>(</errorWord>
      <group>L1_Format</group>
      <groupName>格式问题</groupName>
      <ability>L2_HalfPunc</ability>
      <abilityName>全半角检查</abilityName>
      <candidateList>
        <item>（</item>
      </candidateList>
      <explain>文本全半角错误。</explain>
      <paraID>7E4376FB</paraID>
      <start>15</start>
      <end>16</end>
      <status>unmodified</status>
      <modifiedWord/>
      <trackRevisions>false</trackRevisions>
    </reviewItem>
    <reviewItem>
      <errorID>999c61f7-f678-4c7f-93bf-6e0d4e45aa67</errorID>
      <errorWord>)</errorWord>
      <group>L1_Format</group>
      <groupName>格式问题</groupName>
      <ability>L2_HalfPunc</ability>
      <abilityName>全半角检查</abilityName>
      <candidateList>
        <item>）</item>
      </candidateList>
      <explain>文本全半角错误。</explain>
      <paraID>7E4376FB</paraID>
      <start>21</start>
      <end>22</end>
      <status>unmodified</status>
      <modifiedWord/>
      <trackRevisions>false</trackRevisions>
    </reviewItem>
    <reviewItem>
      <errorID>aae3aa91-233f-45d3-ac9c-55e8f344116d</errorID>
      <errorWord>(</errorWord>
      <group>L1_Format</group>
      <groupName>格式问题</groupName>
      <ability>L2_HalfPunc</ability>
      <abilityName>全半角检查</abilityName>
      <candidateList>
        <item>（</item>
      </candidateList>
      <explain>文本全半角错误。</explain>
      <paraID>79AB6ABC</paraID>
      <start>4</start>
      <end>5</end>
      <status>unmodified</status>
      <modifiedWord/>
      <trackRevisions>false</trackRevisions>
    </reviewItem>
    <reviewItem>
      <errorID>aadf02d7-614e-433b-af6b-a6a017586686</errorID>
      <errorWord>)</errorWord>
      <group>L1_Format</group>
      <groupName>格式问题</groupName>
      <ability>L2_HalfPunc</ability>
      <abilityName>全半角检查</abilityName>
      <candidateList>
        <item>）</item>
      </candidateList>
      <explain>文本全半角错误。</explain>
      <paraID>79AB6ABC</paraID>
      <start>8</start>
      <end>9</end>
      <status>unmodified</status>
      <modifiedWord/>
      <trackRevisions>false</trackRevisions>
    </reviewItem>
    <reviewItem>
      <errorID>9796bc8b-02f6-46e4-a05e-d14da07422ff</errorID>
      <errorWord>（</errorWord>
      <group>L1_Format</group>
      <groupName>格式问题</groupName>
      <ability>L2_HalfPunc</ability>
      <abilityName>全半角检查</abilityName>
      <candidateList>
        <item>(</item>
      </candidateList>
      <explain>文本全半角错误。</explain>
      <paraID>3DE40761</paraID>
      <start>3</start>
      <end>4</end>
      <status>unmodified</status>
      <modifiedWord/>
      <trackRevisions>false</trackRevisions>
    </reviewItem>
    <reviewItem>
      <errorID>7e2ee3d2-3baf-48ee-886c-116370faca7c</errorID>
      <errorWord>）</errorWord>
      <group>L1_Format</group>
      <groupName>格式问题</groupName>
      <ability>L2_HalfPunc</ability>
      <abilityName>全半角检查</abilityName>
      <candidateList>
        <item>)</item>
      </candidateList>
      <explain>文本全半角错误。</explain>
      <paraID>3DE40761</paraID>
      <start>9</start>
      <end>10</end>
      <status>unmodified</status>
      <modifiedWord/>
      <trackRevisions>false</trackRevisions>
    </reviewItem>
    <reviewItem>
      <errorID>1cf9f78a-4199-4b92-a366-1b73ae3efb42</errorID>
      <errorWord>（</errorWord>
      <group>L1_Format</group>
      <groupName>格式问题</groupName>
      <ability>L2_HalfPunc</ability>
      <abilityName>全半角检查</abilityName>
      <candidateList>
        <item>(</item>
      </candidateList>
      <explain>文本全半角错误。</explain>
      <paraID>3686418D</paraID>
      <start>3</start>
      <end>4</end>
      <status>unmodified</status>
      <modifiedWord/>
      <trackRevisions>false</trackRevisions>
    </reviewItem>
    <reviewItem>
      <errorID>c0d992f2-0cac-4dd8-a1bc-c39605c8edd3</errorID>
      <errorWord>）</errorWord>
      <group>L1_Format</group>
      <groupName>格式问题</groupName>
      <ability>L2_HalfPunc</ability>
      <abilityName>全半角检查</abilityName>
      <candidateList>
        <item>)</item>
      </candidateList>
      <explain>文本全半角错误。</explain>
      <paraID>3686418D</paraID>
      <start>9</start>
      <end>10</end>
      <status>unmodified</status>
      <modifiedWord/>
      <trackRevisions>false</trackRevisions>
    </reviewItem>
    <reviewItem>
      <errorID>b92a11ca-9d7b-4de0-9105-6d9b9b56b766</errorID>
      <errorWord>(</errorWord>
      <group>L1_Format</group>
      <groupName>格式问题</groupName>
      <ability>L2_HalfPunc</ability>
      <abilityName>全半角检查</abilityName>
      <candidateList>
        <item>（</item>
      </candidateList>
      <explain>文本全半角错误。</explain>
      <paraID>7D1CD189</paraID>
      <start>20</start>
      <end>21</end>
      <status>unmodified</status>
      <modifiedWord/>
      <trackRevisions>false</trackRevisions>
    </reviewItem>
    <reviewItem>
      <errorID>174df251-a2b1-483e-8be2-29655aecd8da</errorID>
      <errorWord>)</errorWord>
      <group>L1_Format</group>
      <groupName>格式问题</groupName>
      <ability>L2_HalfPunc</ability>
      <abilityName>全半角检查</abilityName>
      <candidateList>
        <item>）</item>
      </candidateList>
      <explain>文本全半角错误。</explain>
      <paraID>7D1CD189</paraID>
      <start>26</start>
      <end>27</end>
      <status>unmodified</status>
      <modifiedWord/>
      <trackRevisions>false</trackRevisions>
    </reviewItem>
    <reviewItem>
      <errorID>0fe333d6-7b18-419c-8bf2-b350df835593</errorID>
      <errorWord>(</errorWord>
      <group>L1_Format</group>
      <groupName>格式问题</groupName>
      <ability>L2_HalfPunc</ability>
      <abilityName>全半角检查</abilityName>
      <candidateList>
        <item>（</item>
      </candidateList>
      <explain>文本全半角错误。</explain>
      <paraID> 3F64E6A</paraID>
      <start>4</start>
      <end>5</end>
      <status>unmodified</status>
      <modifiedWord/>
      <trackRevisions>false</trackRevisions>
    </reviewItem>
    <reviewItem>
      <errorID>ef86db69-9ed6-44ac-a94d-b2fbbae6077e</errorID>
      <errorWord>)</errorWord>
      <group>L1_Format</group>
      <groupName>格式问题</groupName>
      <ability>L2_HalfPunc</ability>
      <abilityName>全半角检查</abilityName>
      <candidateList>
        <item>）</item>
      </candidateList>
      <explain>文本全半角错误。</explain>
      <paraID> 3F64E6A</paraID>
      <start>8</start>
      <end>9</end>
      <status>unmodified</status>
      <modifiedWord/>
      <trackRevisions>false</trackRevisions>
    </reviewItem>
    <reviewItem>
      <errorID>f182a1cf-ab81-42db-8b5c-720bae7ee651</errorID>
      <errorWord>＜</errorWord>
      <group>L1_Format</group>
      <groupName>格式问题</groupName>
      <ability>L2_HalfPunc</ability>
      <abilityName>全半角检查</abilityName>
      <candidateList>
        <item>&lt;</item>
      </candidateList>
      <explain>文本全半角错误。</explain>
      <paraID>714A390E</paraID>
      <start>0</start>
      <end>1</end>
      <status>unmodified</status>
      <modifiedWord/>
      <trackRevisions>false</trackRevisions>
    </reviewItem>
    <reviewItem>
      <errorID>3f0dfea1-206d-4759-adb2-16045f901dbf</errorID>
      <errorWord>＜</errorWord>
      <group>L1_Format</group>
      <groupName>格式问题</groupName>
      <ability>L2_HalfPunc</ability>
      <abilityName>全半角检查</abilityName>
      <candidateList>
        <item>&lt;</item>
      </candidateList>
      <explain>文本全半角错误。</explain>
      <paraID>60E4D597</paraID>
      <start>0</start>
      <end>1</end>
      <status>unmodified</status>
      <modifiedWord/>
      <trackRevisions>false</trackRevisions>
    </reviewItem>
    <reviewItem>
      <errorID>7f1a34df-b407-45c0-8e5d-9c75f3890379</errorID>
      <errorWord>(</errorWord>
      <group>L1_Format</group>
      <groupName>格式问题</groupName>
      <ability>L2_HalfPunc</ability>
      <abilityName>全半角检查</abilityName>
      <candidateList>
        <item>（</item>
      </candidateList>
      <explain>文本全半角错误。</explain>
      <paraID>7BAFDCD7</paraID>
      <start>3</start>
      <end>4</end>
      <status>unmodified</status>
      <modifiedWord/>
      <trackRevisions>false</trackRevisions>
    </reviewItem>
    <reviewItem>
      <errorID>944a55f3-7294-4a57-a669-eaed67089556</errorID>
      <errorWord>)</errorWord>
      <group>L1_Format</group>
      <groupName>格式问题</groupName>
      <ability>L2_HalfPunc</ability>
      <abilityName>全半角检查</abilityName>
      <candidateList>
        <item>）</item>
      </candidateList>
      <explain>文本全半角错误。</explain>
      <paraID>7BAFDCD7</paraID>
      <start>7</start>
      <end>8</end>
      <status>unmodified</status>
      <modifiedWord/>
      <trackRevisions>false</trackRevisions>
    </reviewItem>
    <reviewItem>
      <errorID>a2565249-010b-4db3-8fcf-44ec8bd9da6c</errorID>
      <errorWord>(</errorWord>
      <group>L1_Format</group>
      <groupName>格式问题</groupName>
      <ability>L2_HalfPunc</ability>
      <abilityName>全半角检查</abilityName>
      <candidateList>
        <item>（</item>
      </candidateList>
      <explain>文本全半角错误。</explain>
      <paraID>52917AD9</paraID>
      <start>3</start>
      <end>4</end>
      <status>unmodified</status>
      <modifiedWord/>
      <trackRevisions>false</trackRevisions>
    </reviewItem>
    <reviewItem>
      <errorID>f2d3b090-3991-482e-bd1b-a53c08899f37</errorID>
      <errorWord>)</errorWord>
      <group>L1_Format</group>
      <groupName>格式问题</groupName>
      <ability>L2_HalfPunc</ability>
      <abilityName>全半角检查</abilityName>
      <candidateList>
        <item>）</item>
      </candidateList>
      <explain>文本全半角错误。</explain>
      <paraID>52917AD9</paraID>
      <start>8</start>
      <end>9</end>
      <status>unmodified</status>
      <modifiedWord/>
      <trackRevisions>false</trackRevisions>
    </reviewItem>
    <reviewItem>
      <errorID>b71ea581-46d1-4644-bb25-0897576cc40c</errorID>
      <errorWord>拖板</errorWord>
      <group>L1_Word</group>
      <groupName>字词问题</groupName>
      <ability>L2_Typo</ability>
      <abilityName>字词错误</abilityName>
      <candidateList>
        <item>托板</item>
      </candidateList>
      <explain/>
      <paraID>6D2DCB97</paraID>
      <start>152</start>
      <end>154</end>
      <status>unmodified</status>
      <modifiedWord/>
      <trackRevisions>false</trackRevisions>
    </reviewItem>
    <reviewItem>
      <errorID>6891bc18-b1fd-437c-ac8e-15b865ffde72</errorID>
      <errorWord>排水体质</errorWord>
      <group>L1_Knowledge</group>
      <groupName>知识性问题</groupName>
      <ability>L2_Term</ability>
      <abilityName>专业术语</abilityName>
      <candidateList>
        <item>排水体制</item>
      </candidateList>
      <explain/>
      <paraID>7147AEEA</paraID>
      <start>2</start>
      <end>6</end>
      <status>modified</status>
      <modifiedWord>排水体制</modifiedWord>
      <trackRevisions>false</trackRevisions>
    </reviewItem>
    <reviewItem>
      <errorID>8bae203b-f7ea-4434-b91e-f24d3560b2b2</errorID>
      <errorWord>(</errorWord>
      <group>L1_Format</group>
      <groupName>格式问题</groupName>
      <ability>L2_HalfPunc</ability>
      <abilityName>全半角检查</abilityName>
      <candidateList>
        <item>（</item>
      </candidateList>
      <explain>文本全半角错误。</explain>
      <paraID> 4D7F1E0</paraID>
      <start>2</start>
      <end>3</end>
      <status>unmodified</status>
      <modifiedWord/>
      <trackRevisions>false</trackRevisions>
    </reviewItem>
    <reviewItem>
      <errorID>31a45036-1250-49c1-9d6a-cbde2278430d</errorID>
      <errorWord>)</errorWord>
      <group>L1_Format</group>
      <groupName>格式问题</groupName>
      <ability>L2_HalfPunc</ability>
      <abilityName>全半角检查</abilityName>
      <candidateList>
        <item>）</item>
      </candidateList>
      <explain>文本全半角错误。</explain>
      <paraID> 4D7F1E0</paraID>
      <start>4</start>
      <end>5</end>
      <status>unmodified</status>
      <modifiedWord/>
      <trackRevisions>false</trackRevisions>
    </reviewItem>
    <reviewItem>
      <errorID>3cbef05e-2c62-4101-8884-36610e1f1eff</errorID>
      <errorWord>(</errorWord>
      <group>L1_Format</group>
      <groupName>格式问题</groupName>
      <ability>L2_HalfPunc</ability>
      <abilityName>全半角检查</abilityName>
      <candidateList>
        <item>（</item>
      </candidateList>
      <explain>文本全半角错误。</explain>
      <paraID>6B66CC4E</paraID>
      <start>2</start>
      <end>3</end>
      <status>unmodified</status>
      <modifiedWord/>
      <trackRevisions>false</trackRevisions>
    </reviewItem>
    <reviewItem>
      <errorID>74b47ede-bb36-4467-9501-43a3e5f7d53e</errorID>
      <errorWord>)</errorWord>
      <group>L1_Format</group>
      <groupName>格式问题</groupName>
      <ability>L2_HalfPunc</ability>
      <abilityName>全半角检查</abilityName>
      <candidateList>
        <item>）</item>
      </candidateList>
      <explain>文本全半角错误。</explain>
      <paraID>6B66CC4E</paraID>
      <start>4</start>
      <end>5</end>
      <status>unmodified</status>
      <modifiedWord/>
      <trackRevisions>false</trackRevisions>
    </reviewItem>
    <reviewItem>
      <errorID>ca5888f8-7847-425c-a09d-62a5109f148a</errorID>
      <errorWord>(</errorWord>
      <group>L1_Format</group>
      <groupName>格式问题</groupName>
      <ability>L2_HalfPunc</ability>
      <abilityName>全半角检查</abilityName>
      <candidateList>
        <item>（</item>
      </candidateList>
      <explain>文本全半角错误。</explain>
      <paraID>61B8B36F</paraID>
      <start>2</start>
      <end>3</end>
      <status>unmodified</status>
      <modifiedWord/>
      <trackRevisions>false</trackRevisions>
    </reviewItem>
    <reviewItem>
      <errorID>67e5e243-83e2-4c6a-8cb2-5ee1efbf275c</errorID>
      <errorWord>)</errorWord>
      <group>L1_Format</group>
      <groupName>格式问题</groupName>
      <ability>L2_HalfPunc</ability>
      <abilityName>全半角检查</abilityName>
      <candidateList>
        <item>）</item>
      </candidateList>
      <explain>文本全半角错误。</explain>
      <paraID>61B8B36F</paraID>
      <start>4</start>
      <end>5</end>
      <status>unmodified</status>
      <modifiedWord/>
      <trackRevisions>false</trackRevisions>
    </reviewItem>
    <reviewItem>
      <errorID>3fa3dc5a-1ee1-4f57-b4e7-75a8f4e8396a</errorID>
      <errorWord>(</errorWord>
      <group>L1_Format</group>
      <groupName>格式问题</groupName>
      <ability>L2_HalfPunc</ability>
      <abilityName>全半角检查</abilityName>
      <candidateList>
        <item>（</item>
      </candidateList>
      <explain>文本全半角错误。</explain>
      <paraID> 5C8A722</paraID>
      <start>4</start>
      <end>5</end>
      <status>unmodified</status>
      <modifiedWord/>
      <trackRevisions>false</trackRevisions>
    </reviewItem>
    <reviewItem>
      <errorID>0cf147b1-5da2-40e5-b17c-0235bff1c3ff</errorID>
      <errorWord>)</errorWord>
      <group>L1_Format</group>
      <groupName>格式问题</groupName>
      <ability>L2_HalfPunc</ability>
      <abilityName>全半角检查</abilityName>
      <candidateList>
        <item>）</item>
      </candidateList>
      <explain>文本全半角错误。</explain>
      <paraID> 5C8A722</paraID>
      <start>6</start>
      <end>7</end>
      <status>unmodified</status>
      <modifiedWord/>
      <trackRevisions>false</trackRevisions>
    </reviewItem>
    <reviewItem>
      <errorID>51c02a2e-5a80-43f1-8336-e25a77e415ce</errorID>
      <errorWord>（</errorWord>
      <group>L1_Format</group>
      <groupName>格式问题</groupName>
      <ability>L2_HalfPunc</ability>
      <abilityName>全半角检查</abilityName>
      <candidateList>
        <item>(</item>
      </candidateList>
      <explain>文本全半角错误。</explain>
      <paraID>49412557</paraID>
      <start>0</start>
      <end>1</end>
      <status>unmodified</status>
      <modifiedWord/>
      <trackRevisions>false</trackRevisions>
    </reviewItem>
    <reviewItem>
      <errorID>1bb686b8-50e3-4d8b-945f-3accb21c0984</errorID>
      <errorWord>）</errorWord>
      <group>L1_Format</group>
      <groupName>格式问题</groupName>
      <ability>L2_HalfPunc</ability>
      <abilityName>全半角检查</abilityName>
      <candidateList>
        <item>)</item>
      </candidateList>
      <explain>文本全半角错误。</explain>
      <paraID>49412557</paraID>
      <start>6</start>
      <end>7</end>
      <status>unmodified</status>
      <modifiedWord/>
      <trackRevisions>false</trackRevisions>
    </reviewItem>
    <reviewItem>
      <errorID>3af80910-61a4-4603-b7b5-a415340434bf</errorID>
      <errorWord>其它</errorWord>
      <group>L1_Word</group>
      <groupName>字词问题</groupName>
      <ability>L2_Alias</ability>
      <abilityName>也作/曾用词</abilityName>
      <candidateList>
        <item>其他</item>
      </candidateList>
      <explain>词汇[其它]为不规范表述或旧称，其规范书面表述为[其他]。</explain>
      <paraID>4A6691C1</paraID>
      <start>16</start>
      <end>18</end>
      <status>modified</status>
      <modifiedWord>其他</modifiedWord>
      <trackRevisions>false</trackRevisions>
    </reviewItem>
    <reviewItem>
      <errorID>572846ad-bdfa-4f01-8ecc-a273acdd09dc</errorID>
      <errorWord>须</errorWord>
      <group>L1_Word</group>
      <groupName>字词问题</groupName>
      <ability>L2_Typo</ability>
      <abilityName>字词错误</abilityName>
      <candidateList>
        <item>需</item>
      </candidateList>
      <explain>存在发音相同字词的误用。</explain>
      <paraID>7A12CBDF</paraID>
      <start>155</start>
      <end>156</end>
      <status>unmodified</status>
      <modifiedWord/>
      <trackRevisions>false</trackRevisions>
    </reviewItem>
    <reviewItem>
      <errorID>756b0c9f-2cf1-4405-b95e-184686afdb2e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AFBC299</paraID>
      <start>0</start>
      <end>2</end>
      <status>unmodified</status>
      <modifiedWord/>
      <trackRevisions>false</trackRevisions>
    </reviewItem>
    <reviewItem>
      <errorID>c3f46d85-8884-41d7-a989-315bd3335eab</errorID>
      <errorWord>期</errorWord>
      <group>L1_Word</group>
      <groupName>字词问题</groupName>
      <ability>L2_Typo</ability>
      <abilityName>字词错误</abilityName>
      <candidateList>
        <item>期间</item>
      </candidateList>
      <explain>〈名〉某个时期里面：农忙～｜春节～｜抗战～。</explain>
      <paraID> AFBC299</paraID>
      <start>4</start>
      <end>5</end>
      <status>unmodified</status>
      <modifiedWord/>
      <trackRevisions>false</trackRevisions>
    </reviewItem>
    <reviewItem>
      <errorID>3bf91dd4-d415-48de-96fc-d54b098ed261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77651D61</paraID>
      <start>0</start>
      <end>2</end>
      <status>unmodified</status>
      <modifiedWord/>
      <trackRevisions>false</trackRevisions>
    </reviewItem>
    <reviewItem>
      <errorID>ce98a6f9-5565-48b0-acd7-43ec8c786612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7D24FC1C</paraID>
      <start>0</start>
      <end>2</end>
      <status>unmodified</status>
      <modifiedWord/>
      <trackRevisions>false</trackRevisions>
    </reviewItem>
    <reviewItem>
      <errorID>80d511e2-1d36-4009-99ee-f74a814b7172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EE8B157</paraID>
      <start>0</start>
      <end>2</end>
      <status>unmodified</status>
      <modifiedWord/>
      <trackRevisions>false</trackRevisions>
    </reviewItem>
    <reviewItem>
      <errorID>12337b47-b60c-46a5-9a10-4c6ff2d57762</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FE81121</paraID>
      <start>0</start>
      <end>2</end>
      <status>unmodified</status>
      <modifiedWord/>
      <trackRevisions>false</trackRevisions>
    </reviewItem>
    <reviewItem>
      <errorID>15e3466e-96eb-4a61-a923-684af2c88222</errorID>
      <errorWord>(</errorWord>
      <group>L1_Format</group>
      <groupName>格式问题</groupName>
      <ability>L2_HalfPunc</ability>
      <abilityName>全半角检查</abilityName>
      <candidateList>
        <item>（</item>
      </candidateList>
      <explain>文本全半角错误。</explain>
      <paraID>4D0F8B5B</paraID>
      <start>57</start>
      <end>58</end>
      <status>unmodified</status>
      <modifiedWord/>
      <trackRevisions>false</trackRevisions>
    </reviewItem>
    <reviewItem>
      <errorID>270c83de-513f-46aa-90da-ed1ebd5c427f</errorID>
      <errorWord>)</errorWord>
      <group>L1_Format</group>
      <groupName>格式问题</groupName>
      <ability>L2_HalfPunc</ability>
      <abilityName>全半角检查</abilityName>
      <candidateList>
        <item>）</item>
      </candidateList>
      <explain>文本全半角错误。</explain>
      <paraID>4D0F8B5B</paraID>
      <start>72</start>
      <end>73</end>
      <status>unmodified</status>
      <modifiedWord/>
      <trackRevisions>false</trackRevisions>
    </reviewItem>
    <reviewItem>
      <errorID>8e81c555-9547-4e07-9f88-b50c59086aa1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7A3D28F3</paraID>
      <start>0</start>
      <end>2</end>
      <status>unmodified</status>
      <modifiedWord/>
      <trackRevisions>false</trackRevisions>
    </reviewItem>
    <reviewItem>
      <errorID>cee61d8e-ab46-4a74-b1e9-7f5c597bbc2d</errorID>
      <errorWord>减震措施</errorWord>
      <group>L1_Knowledge</group>
      <groupName>知识性问题</groupName>
      <ability>L2_Term</ability>
      <abilityName>专业术语</abilityName>
      <candidateList>
        <item>减振措施</item>
      </candidateList>
      <explain/>
      <paraID>1BBF0A71</paraID>
      <start>36</start>
      <end>40</end>
      <status>unmodified</status>
      <modifiedWord/>
      <trackRevisions>false</trackRevisions>
    </reviewItem>
    <reviewItem>
      <errorID>6949a375-3592-4fcc-a91e-7be2da6b092e</errorID>
      <errorWord>减震措施</errorWord>
      <group>L1_Knowledge</group>
      <groupName>知识性问题</groupName>
      <ability>L2_Term</ability>
      <abilityName>专业术语</abilityName>
      <candidateList>
        <item>减振措施</item>
      </candidateList>
      <explain/>
      <paraID>25EFAE18</paraID>
      <start>36</start>
      <end>40</end>
      <status>unmodified</status>
      <modifiedWord/>
      <trackRevisions>false</trackRevisions>
    </reviewItem>
    <reviewItem>
      <errorID>ec420e97-ad39-4651-9fdc-ce26744df872</errorID>
      <errorWord>(</errorWord>
      <group>L1_Format</group>
      <groupName>格式问题</groupName>
      <ability>L2_HalfPunc</ability>
      <abilityName>全半角检查</abilityName>
      <candidateList>
        <item>（</item>
      </candidateList>
      <explain>文本全半角错误。</explain>
      <paraID>60595F9D</paraID>
      <start>25</start>
      <end>26</end>
      <status>unmodified</status>
      <modifiedWord/>
      <trackRevisions>false</trackRevisions>
    </reviewItem>
    <reviewItem>
      <errorID>45ac4e49-8cb0-4eb3-b94e-1f5c22664865</errorID>
      <errorWord>)</errorWord>
      <group>L1_Format</group>
      <groupName>格式问题</groupName>
      <ability>L2_HalfPunc</ability>
      <abilityName>全半角检查</abilityName>
      <candidateList>
        <item>）</item>
      </candidateList>
      <explain>文本全半角错误。</explain>
      <paraID>60595F9D</paraID>
      <start>28</start>
      <end>29</end>
      <status>unmodified</status>
      <modifiedWord/>
      <trackRevisions>false</trackRevisions>
    </reviewItem>
    <reviewItem>
      <errorID>666d234d-15b9-4e8c-a681-1b52f85077b3</errorID>
      <errorWord>(</errorWord>
      <group>L1_Format</group>
      <groupName>格式问题</groupName>
      <ability>L2_HalfPunc</ability>
      <abilityName>全半角检查</abilityName>
      <candidateList>
        <item>（</item>
      </candidateList>
      <explain>文本全半角错误。</explain>
      <paraID>60595F9D</paraID>
      <start>110</start>
      <end>111</end>
      <status>unmodified</status>
      <modifiedWord/>
      <trackRevisions>false</trackRevisions>
    </reviewItem>
    <reviewItem>
      <errorID>3acfc3e6-098f-426c-ae57-861968d7dde7</errorID>
      <errorWord>)</errorWord>
      <group>L1_Format</group>
      <groupName>格式问题</groupName>
      <ability>L2_HalfPunc</ability>
      <abilityName>全半角检查</abilityName>
      <candidateList>
        <item>）</item>
      </candidateList>
      <explain>文本全半角错误。</explain>
      <paraID>60595F9D</paraID>
      <start>123</start>
      <end>124</end>
      <status>unmodified</status>
      <modifiedWord/>
      <trackRevisions>false</trackRevisions>
    </reviewItem>
    <reviewItem>
      <errorID>d55c0b84-d891-4b35-ba2f-71a079cdaeee</errorID>
      <errorWord>(</errorWord>
      <group>L1_Format</group>
      <groupName>格式问题</groupName>
      <ability>L2_HalfPunc</ability>
      <abilityName>全半角检查</abilityName>
      <candidateList>
        <item>（</item>
      </candidateList>
      <explain>文本全半角错误。</explain>
      <paraID>60595F9D</paraID>
      <start>176</start>
      <end>177</end>
      <status>unmodified</status>
      <modifiedWord/>
      <trackRevisions>false</trackRevisions>
    </reviewItem>
    <reviewItem>
      <errorID>a3817406-e9c2-4f97-9525-8f8ee79af17f</errorID>
      <errorWord>)</errorWord>
      <group>L1_Format</group>
      <groupName>格式问题</groupName>
      <ability>L2_HalfPunc</ability>
      <abilityName>全半角检查</abilityName>
      <candidateList>
        <item>）</item>
      </candidateList>
      <explain>文本全半角错误。</explain>
      <paraID>60595F9D</paraID>
      <start>180</start>
      <end>181</end>
      <status>unmodified</status>
      <modifiedWord/>
      <trackRevisions>false</trackRevisions>
    </reviewItem>
    <reviewItem>
      <errorID>f8f02843-a4e6-4a26-b002-d58392f1ae79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64CAC24E</paraID>
      <start>0</start>
      <end>2</end>
      <status>unmodified</status>
      <modifiedWord/>
      <trackRevisions>false</trackRevisions>
    </reviewItem>
    <reviewItem>
      <errorID>ad20f664-2bd8-4b0e-b79a-9216d5a267de</errorID>
      <errorWord>(</errorWord>
      <group>L1_Format</group>
      <groupName>格式问题</groupName>
      <ability>L2_HalfPunc</ability>
      <abilityName>全半角检查</abilityName>
      <candidateList>
        <item>（</item>
      </candidateList>
      <explain>文本全半角错误。</explain>
      <paraID>64CAC24E</paraID>
      <start>27</start>
      <end>28</end>
      <status>unmodified</status>
      <modifiedWord/>
      <trackRevisions>false</trackRevisions>
    </reviewItem>
    <reviewItem>
      <errorID>c688faf4-f2e4-4f3b-82c7-9d9383a4f2d7</errorID>
      <errorWord>)</errorWord>
      <group>L1_Format</group>
      <groupName>格式问题</groupName>
      <ability>L2_HalfPunc</ability>
      <abilityName>全半角检查</abilityName>
      <candidateList>
        <item>）</item>
      </candidateList>
      <explain>文本全半角错误。</explain>
      <paraID>64CAC24E</paraID>
      <start>30</start>
      <end>31</end>
      <status>unmodified</status>
      <modifiedWord/>
      <trackRevisions>false</trackRevisions>
    </reviewItem>
    <reviewItem>
      <errorID>d293d840-1ff0-43cd-a420-81c9ab2e031f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518D1EA0</paraID>
      <start>0</start>
      <end>2</end>
      <status>unmodified</status>
      <modifiedWord/>
      <trackRevisions>false</trackRevisions>
    </reviewItem>
    <reviewItem>
      <errorID>e57c0ec2-424f-45f2-9ebc-012662489674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2DDCB65E</paraID>
      <start>0</start>
      <end>2</end>
      <status>unmodified</status>
      <modifiedWord/>
      <trackRevisions>false</trackRevisions>
    </reviewItem>
    <reviewItem>
      <errorID>c1912507-e9ce-4594-b201-5f485ec194e0</errorID>
      <errorWord>(</errorWord>
      <group>L1_Format</group>
      <groupName>格式问题</groupName>
      <ability>L2_HalfPunc</ability>
      <abilityName>全半角检查</abilityName>
      <candidateList>
        <item>（</item>
      </candidateList>
      <explain>文本全半角错误。</explain>
      <paraID>2DDCB65E</paraID>
      <start>24</start>
      <end>25</end>
      <status>unmodified</status>
      <modifiedWord/>
      <trackRevisions>false</trackRevisions>
    </reviewItem>
    <reviewItem>
      <errorID>d71b7acc-4644-4153-9db2-6b0a45ea948c</errorID>
      <errorWord>)</errorWord>
      <group>L1_Format</group>
      <groupName>格式问题</groupName>
      <ability>L2_HalfPunc</ability>
      <abilityName>全半角检查</abilityName>
      <candidateList>
        <item>）</item>
      </candidateList>
      <explain>文本全半角错误。</explain>
      <paraID>2DDCB65E</paraID>
      <start>27</start>
      <end>28</end>
      <status>unmodified</status>
      <modifiedWord/>
      <trackRevisions>false</trackRevisions>
    </reviewItem>
    <reviewItem>
      <errorID>df2f4e55-1b65-4a2a-8848-270f014b7163</errorID>
      <errorWord>（</errorWord>
      <group>L1_Format</group>
      <groupName>格式问题</groupName>
      <ability>L2_HalfPunc</ability>
      <abilityName>全半角检查</abilityName>
      <candidateList>
        <item>(</item>
      </candidateList>
      <explain>文本全半角错误。</explain>
      <paraID>14793879</paraID>
      <start>0</start>
      <end>1</end>
      <status>unmodified</status>
      <modifiedWord/>
      <trackRevisions>false</trackRevisions>
    </reviewItem>
    <reviewItem>
      <errorID>0d582460-b7fe-491d-ac83-672e29d11561</errorID>
      <errorWord>）</errorWord>
      <group>L1_Format</group>
      <groupName>格式问题</groupName>
      <ability>L2_HalfPunc</ability>
      <abilityName>全半角检查</abilityName>
      <candidateList>
        <item>)</item>
      </candidateList>
      <explain>文本全半角错误。</explain>
      <paraID>14793879</paraID>
      <start>4</start>
      <end>5</end>
      <status>unmodified</status>
      <modifiedWord/>
      <trackRevisions>false</trackRevisions>
    </reviewItem>
    <reviewItem>
      <errorID>6ae65a59-636e-4c3c-b259-48e6cca1caf9</errorID>
      <errorWord>（</errorWord>
      <group>L1_Format</group>
      <groupName>格式问题</groupName>
      <ability>L2_HalfPunc</ability>
      <abilityName>全半角检查</abilityName>
      <candidateList>
        <item>(</item>
      </candidateList>
      <explain>文本全半角错误。</explain>
      <paraID>47E04618</paraID>
      <start>0</start>
      <end>1</end>
      <status>unmodified</status>
      <modifiedWord/>
      <trackRevisions>false</trackRevisions>
    </reviewItem>
    <reviewItem>
      <errorID>1b178b20-69f2-4ed1-9b2d-bd1d4c2248ed</errorID>
      <errorWord>）</errorWord>
      <group>L1_Format</group>
      <groupName>格式问题</groupName>
      <ability>L2_HalfPunc</ability>
      <abilityName>全半角检查</abilityName>
      <candidateList>
        <item>)</item>
      </candidateList>
      <explain>文本全半角错误。</explain>
      <paraID>47E04618</paraID>
      <start>4</start>
      <end>5</end>
      <status>unmodified</status>
      <modifiedWord/>
      <trackRevisions>false</trackRevisions>
    </reviewItem>
    <reviewItem>
      <errorID>1ec9b2a8-f88e-4c6c-9fb5-e149063bf895</errorID>
      <errorWord>（</errorWord>
      <group>L1_Format</group>
      <groupName>格式问题</groupName>
      <ability>L2_HalfPunc</ability>
      <abilityName>全半角检查</abilityName>
      <candidateList>
        <item>(</item>
      </candidateList>
      <explain>文本全半角错误。</explain>
      <paraID> 37A8CFF</paraID>
      <start>0</start>
      <end>1</end>
      <status>unmodified</status>
      <modifiedWord/>
      <trackRevisions>false</trackRevisions>
    </reviewItem>
    <reviewItem>
      <errorID>10135cd3-6614-42ed-adc1-901ea6458597</errorID>
      <errorWord>）</errorWord>
      <group>L1_Format</group>
      <groupName>格式问题</groupName>
      <ability>L2_HalfPunc</ability>
      <abilityName>全半角检查</abilityName>
      <candidateList>
        <item>)</item>
      </candidateList>
      <explain>文本全半角错误。</explain>
      <paraID> 37A8CFF</paraID>
      <start>4</start>
      <end>5</end>
      <status>unmodified</status>
      <modifiedWord/>
      <trackRevisions>false</trackRevisions>
    </reviewItem>
    <reviewItem>
      <errorID>0dd9f272-6145-4e4b-864a-39875e6374a4</errorID>
      <errorWord>（</errorWord>
      <group>L1_Format</group>
      <groupName>格式问题</groupName>
      <ability>L2_HalfPunc</ability>
      <abilityName>全半角检查</abilityName>
      <candidateList>
        <item>(</item>
      </candidateList>
      <explain>文本全半角错误。</explain>
      <paraID>1D5A448A</paraID>
      <start>0</start>
      <end>1</end>
      <status>unmodified</status>
      <modifiedWord/>
      <trackRevisions>false</trackRevisions>
    </reviewItem>
    <reviewItem>
      <errorID>6aac1f63-7985-48e5-bb9a-e8d4a74f301b</errorID>
      <errorWord>）</errorWord>
      <group>L1_Format</group>
      <groupName>格式问题</groupName>
      <ability>L2_HalfPunc</ability>
      <abilityName>全半角检查</abilityName>
      <candidateList>
        <item>)</item>
      </candidateList>
      <explain>文本全半角错误。</explain>
      <paraID>1D5A448A</paraID>
      <start>4</start>
      <end>5</end>
      <status>unmodified</status>
      <modifiedWord/>
      <trackRevisions>false</trackRevisions>
    </reviewItem>
    <reviewItem>
      <errorID>a8b3a133-2fa0-47fb-b304-a833e03539c4</errorID>
      <errorWord>（</errorWord>
      <group>L1_Format</group>
      <groupName>格式问题</groupName>
      <ability>L2_HalfPunc</ability>
      <abilityName>全半角检查</abilityName>
      <candidateList>
        <item>(</item>
      </candidateList>
      <explain>文本全半角错误。</explain>
      <paraID>7BB366E6</paraID>
      <start>3</start>
      <end>4</end>
      <status>unmodified</status>
      <modifiedWord/>
      <trackRevisions>false</trackRevisions>
    </reviewItem>
    <reviewItem>
      <errorID>adfeaad6-48b1-4960-82b5-5e399d956da5</errorID>
      <errorWord>）</errorWord>
      <group>L1_Format</group>
      <groupName>格式问题</groupName>
      <ability>L2_HalfPunc</ability>
      <abilityName>全半角检查</abilityName>
      <candidateList>
        <item>)</item>
      </candidateList>
      <explain>文本全半角错误。</explain>
      <paraID>7BB366E6</paraID>
      <start>9</start>
      <end>10</end>
      <status>unmodified</status>
      <modifiedWord/>
      <trackRevisions>false</trackRevisions>
    </reviewItem>
    <reviewItem>
      <errorID>c094bea0-375e-4438-a735-6ebac8a0aa81</errorID>
      <errorWord>（</errorWord>
      <group>L1_Format</group>
      <groupName>格式问题</groupName>
      <ability>L2_HalfPunc</ability>
      <abilityName>全半角检查</abilityName>
      <candidateList>
        <item>(</item>
      </candidateList>
      <explain>文本全半角错误。</explain>
      <paraID>588BC6E3</paraID>
      <start>0</start>
      <end>1</end>
      <status>unmodified</status>
      <modifiedWord/>
      <trackRevisions>false</trackRevisions>
    </reviewItem>
    <reviewItem>
      <errorID>8633afe1-f4b5-46d9-8b32-b727734545f2</errorID>
      <errorWord>）</errorWord>
      <group>L1_Format</group>
      <groupName>格式问题</groupName>
      <ability>L2_HalfPunc</ability>
      <abilityName>全半角检查</abilityName>
      <candidateList>
        <item>)</item>
      </candidateList>
      <explain>文本全半角错误。</explain>
      <paraID>588BC6E3</paraID>
      <start>4</start>
      <end>5</end>
      <status>unmodified</status>
      <modifiedWord/>
      <trackRevisions>false</trackRevisions>
    </reviewItem>
    <reviewItem>
      <errorID>98f64fb5-29b6-4c6a-ba72-291803299a14</errorID>
      <errorWord>（</errorWord>
      <group>L1_Format</group>
      <groupName>格式问题</groupName>
      <ability>L2_HalfPunc</ability>
      <abilityName>全半角检查</abilityName>
      <candidateList>
        <item>(</item>
      </candidateList>
      <explain>文本全半角错误。</explain>
      <paraID> 143CC77</paraID>
      <start>0</start>
      <end>1</end>
      <status>unmodified</status>
      <modifiedWord/>
      <trackRevisions>false</trackRevisions>
    </reviewItem>
    <reviewItem>
      <errorID>45c1bb5f-dcd9-47ac-b4bd-cda253b08d25</errorID>
      <errorWord>）</errorWord>
      <group>L1_Format</group>
      <groupName>格式问题</groupName>
      <ability>L2_HalfPunc</ability>
      <abilityName>全半角检查</abilityName>
      <candidateList>
        <item>)</item>
      </candidateList>
      <explain>文本全半角错误。</explain>
      <paraID> 143CC77</paraID>
      <start>4</start>
      <end>5</end>
      <status>unmodified</status>
      <modifiedWord/>
      <trackRevisions>false</trackRevisions>
    </reviewItem>
    <reviewItem>
      <errorID>78162464-5afd-47e0-9aa6-ca39ed1f18be</errorID>
      <errorWord>来自于</errorWord>
      <group>L1_Grammar</group>
      <groupName>语法问题</groupName>
      <ability>L2_Grammar</ability>
      <abilityName>语法错误</abilityName>
      <candidateList>
        <item>来自</item>
      </candidateList>
      <explain/>
      <paraID>26417518</paraID>
      <start>4</start>
      <end>7</end>
      <status>unmodified</status>
      <modifiedWord/>
      <trackRevisions>false</trackRevisions>
    </reviewItem>
    <reviewItem>
      <errorID>6a379405-5438-47c3-96da-ae304e25e994</errorID>
      <errorWord>程</errorWord>
      <group>L1_Word</group>
      <groupName>字词问题</groupName>
      <ability>L2_Typo</ability>
      <abilityName>字词错误</abilityName>
      <candidateList>
        <item>程中</item>
      </candidateList>
      <explain/>
      <paraID>4C2849DA</paraID>
      <start>41</start>
      <end>42</end>
      <status>unmodified</status>
      <modifiedWord/>
      <trackRevisions>false</trackRevisions>
    </reviewItem>
    <reviewItem>
      <errorID>e0399bbf-e429-4b99-8edd-bc8520575371</errorID>
      <errorWord>10~15万</errorWord>
      <group>L1_Knowledge</group>
      <groupName>知识性问题</groupName>
      <ability>L2_Knowledge</ability>
      <abilityName>其他知识</abilityName>
      <candidateList>
        <item>10万～15万</item>
      </candidateList>
      <explain>1. “10~15万”中的单位“万”仅出现在后一个数字上，容易引起歧义；根据《现代汉语标点符号数字用法规范手册》，数字表示范围两边需要使用统一的格式。2. 根据标点国标 4.13 中的规则，数字、时间或地域连接符应使用（视觉上更长的）“—”或“～”。</explain>
      <paraID>5BCC2F00</paraID>
      <start>36</start>
      <end>42</end>
      <status>unmodified</status>
      <modifiedWord/>
      <trackRevisions>false</trackRevisions>
    </reviewItem>
    <reviewItem>
      <errorID>b7029682-428d-4e9d-ab5b-31984ce5c221</errorID>
      <errorWord>~</errorWord>
      <group>L1_Format</group>
      <groupName>格式问题</groupName>
      <ability>L2_HalfPunc</ability>
      <abilityName>全半角检查</abilityName>
      <candidateList>
        <item>～</item>
      </candidateList>
      <explain>文本全半角错误。</explain>
      <paraID>509034C0</paraID>
      <start>148</start>
      <end>149</end>
      <status>unmodified</status>
      <modifiedWord/>
      <trackRevisions>false</trackRevisions>
    </reviewItem>
    <reviewItem>
      <errorID>f8e8abd7-0703-4a25-8f68-23be4be9f1d0</errorID>
      <errorWord>排水体质</errorWord>
      <group>L1_Knowledge</group>
      <groupName>知识性问题</groupName>
      <ability>L2_Term</ability>
      <abilityName>专业术语</abilityName>
      <candidateList>
        <item>排水体制</item>
      </candidateList>
      <explain/>
      <paraID>1848E05F</paraID>
      <start>2</start>
      <end>6</end>
      <status>modified</status>
      <modifiedWord>排水体制</modifiedWord>
      <trackRevisions>false</trackRevisions>
    </reviewItem>
    <reviewItem>
      <errorID>f7e98d15-2407-40b8-995c-d1eb6a4d57a4</errorID>
      <errorWord>船舶的</errorWord>
      <group>L1_Word</group>
      <groupName>字词问题</groupName>
      <ability>L2_Typo</ability>
      <abilityName>字词错误</abilityName>
      <candidateList>
        <item>船舶</item>
      </candidateList>
      <explain/>
      <paraID>1BCB05F8</paraID>
      <start>3</start>
      <end>6</end>
      <status>unmodified</status>
      <modifiedWord/>
      <trackRevisions>false</trackRevisions>
    </reviewItem>
    <reviewItem>
      <errorID>cacfecd2-bd23-455a-a6df-a936d8d25dd1</errorID>
      <errorWord>、以及</errorWord>
      <group>L1_Punc</group>
      <groupName>标点问题</groupName>
      <ability>L2_Punc</ability>
      <abilityName>标点符号检查</abilityName>
      <candidateList>
        <item>，以及</item>
      </candidateList>
      <explain>连接词前后不宜使用顿号，建议使用逗号。</explain>
      <paraID>5BC5FCA3</paraID>
      <start>21</start>
      <end>24</end>
      <status>unmodified</status>
      <modifiedWord/>
      <trackRevisions>false</trackRevisions>
    </reviewItem>
    <reviewItem>
      <errorID>9f9fb1fc-5c1e-4b62-9b87-323950f5597f</errorID>
      <errorWord>~</errorWord>
      <group>L1_Format</group>
      <groupName>格式问题</groupName>
      <ability>L2_HalfPunc</ability>
      <abilityName>全半角检查</abilityName>
      <candidateList>
        <item>～</item>
      </candidateList>
      <explain>文本全半角错误。</explain>
      <paraID>5D95E555</paraID>
      <start>39</start>
      <end>40</end>
      <status>unmodified</status>
      <modifiedWord/>
      <trackRevisions>false</trackRevisions>
    </reviewItem>
    <reviewItem>
      <errorID>e0e39f37-c955-426c-a211-27578a836c8e</errorID>
      <errorWord>：~</errorWord>
      <group>L1_Punc</group>
      <groupName>标点问题</groupName>
      <ability>L2_Punc</ability>
      <abilityName>标点符号检查</abilityName>
      <candidateList>
        <item>：</item>
      </candidateList>
      <explain/>
      <paraID>70089187</paraID>
      <start>6</start>
      <end>8</end>
      <status>unmodified</status>
      <modifiedWord/>
      <trackRevisions>false</trackRevisions>
    </reviewItem>
    <reviewItem>
      <errorID>6455e58e-b0af-49f6-93ff-4699db1fe306</errorID>
      <errorWord>其它</errorWord>
      <group>L1_Word</group>
      <groupName>字词问题</groupName>
      <ability>L2_Alias</ability>
      <abilityName>也作/曾用词</abilityName>
      <candidateList>
        <item>其他</item>
      </candidateList>
      <explain>词汇[其它]为不规范表述或旧称，其规范书面表述为[其他]。</explain>
      <paraID>5676C7B6</paraID>
      <start>91</start>
      <end>93</end>
      <status>modified</status>
      <modifiedWord>其他</modifiedWord>
      <trackRevisions>false</trackRevisions>
    </reviewItem>
    <reviewItem>
      <errorID>d82b679d-ffef-4909-9fb5-ba19476ddf40</errorID>
      <errorWord>(</errorWord>
      <group>L1_Format</group>
      <groupName>格式问题</groupName>
      <ability>L2_HalfPunc</ability>
      <abilityName>全半角检查</abilityName>
      <candidateList>
        <item>（</item>
      </candidateList>
      <explain>文本全半角错误。</explain>
      <paraID>7AC78C6E</paraID>
      <start>19</start>
      <end>20</end>
      <status>unmodified</status>
      <modifiedWord/>
      <trackRevisions>false</trackRevisions>
    </reviewItem>
    <reviewItem>
      <errorID>79ebcc66-af76-498d-bc29-792c93c6a463</errorID>
      <errorWord>)</errorWord>
      <group>L1_Format</group>
      <groupName>格式问题</groupName>
      <ability>L2_HalfPunc</ability>
      <abilityName>全半角检查</abilityName>
      <candidateList>
        <item>）</item>
      </candidateList>
      <explain>文本全半角错误。</explain>
      <paraID>7AC78C6E</paraID>
      <start>36</start>
      <end>37</end>
      <status>unmodified</status>
      <modifiedWord/>
      <trackRevisions>false</trackRevisions>
    </reviewItem>
    <reviewItem>
      <errorID>4e478f17-ad4b-461e-a28a-128d5424fdde</errorID>
      <errorWord>舷</errorWord>
      <group>L1_Word</group>
      <groupName>字词问题</groupName>
      <ability>L2_Typo</ability>
      <abilityName>字词错误</abilityName>
      <candidateList>
        <item>向</item>
      </candidateList>
      <explain>存在发音相近字词的误用。</explain>
      <paraID>34E6BA06</paraID>
      <start>68</start>
      <end>69</end>
      <status>unmodified</status>
      <modifiedWord/>
      <trackRevisions>false</trackRevisions>
    </reviewItem>
    <reviewItem>
      <errorID>76c65adb-a0c3-4d1c-a715-7986e78b8845</errorID>
      <errorWord>筒筒</errorWord>
      <group>L1_Word</group>
      <groupName>字词问题</groupName>
      <ability>L2_Typo</ability>
      <abilityName>字词错误</abilityName>
      <candidateList>
        <item>筒</item>
      </candidateList>
      <explain/>
      <paraID>5A1C572C</paraID>
      <start>40</start>
      <end>42</end>
      <status>unmodified</status>
      <modifiedWord/>
      <trackRevisions>false</trackRevisions>
    </reviewItem>
    <reviewItem>
      <errorID>b588c5ca-c830-4cf0-8b22-6c7f5d654846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70A02C3E</paraID>
      <start>6</start>
      <end>7</end>
      <status>unmodified</status>
      <modifiedWord/>
      <trackRevisions>false</trackRevisions>
    </reviewItem>
    <reviewItem>
      <errorID>15c98eee-90ed-4ecd-b19d-45347f17247e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70A02C3E</paraID>
      <start>14</start>
      <end>15</end>
      <status>unmodified</status>
      <modifiedWord/>
      <trackRevisions>false</trackRevisions>
    </reviewItem>
    <reviewItem>
      <errorID>bc1d9933-cdf2-4e46-91ca-03b49f01ef9c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1F11551</paraID>
      <start>44</start>
      <end>45</end>
      <status>unmodified</status>
      <modifiedWord/>
      <trackRevisions>false</trackRevisions>
    </reviewItem>
    <reviewItem>
      <errorID>90244c43-0bb9-458c-b084-0311e718a90e</errorID>
      <errorWord>，</errorWord>
      <group>L1_Format</group>
      <groupName>格式问题</groupName>
      <ability>L2_HalfPunc</ability>
      <abilityName>全半角检查</abilityName>
      <candidateList>
        <item>,</item>
      </candidateList>
      <explain>文本全半角错误。</explain>
      <paraID>72293946</paraID>
      <start>4</start>
      <end>5</end>
      <status>unmodified</status>
      <modifiedWord/>
      <trackRevisions>false</trackRevisions>
    </reviewItem>
    <reviewItem>
      <errorID>db0fc3bd-a7de-4f79-bcca-cb7521b55694</errorID>
      <errorWord>~</errorWord>
      <group>L1_Format</group>
      <groupName>格式问题</groupName>
      <ability>L2_HalfPunc</ability>
      <abilityName>全半角检查</abilityName>
      <candidateList>
        <item>～</item>
      </candidateList>
      <explain>文本全半角错误。</explain>
      <paraID>54A34EA8</paraID>
      <start>160</start>
      <end>161</end>
      <status>unmodified</status>
      <modifiedWord/>
      <trackRevisions>false</trackRevisions>
    </reviewItem>
    <reviewItem>
      <errorID>3b3ca12d-0ef6-428b-89e4-4e298589f7b4</errorID>
      <errorWord>排水体质</errorWord>
      <group>L1_Knowledge</group>
      <groupName>知识性问题</groupName>
      <ability>L2_Term</ability>
      <abilityName>专业术语</abilityName>
      <candidateList>
        <item>排水体制</item>
      </candidateList>
      <explain/>
      <paraID>42E7A2A7</paraID>
      <start>2</start>
      <end>6</end>
      <status>modified</status>
      <modifiedWord>排水体制</modifiedWord>
      <trackRevisions>false</trackRevisions>
    </reviewItem>
    <reviewItem>
      <errorID>c18240ab-af9a-4a4b-82a4-a766180d661e</errorID>
      <errorWord>用与</errorWord>
      <group>L1_Word</group>
      <groupName>字词问题</groupName>
      <ability>L2_Typo</ability>
      <abilityName>字词错误</abilityName>
      <candidateList>
        <item>用于</item>
      </candidateList>
      <explain/>
      <paraID> 1586ADB</paraID>
      <start>75</start>
      <end>77</end>
      <status>unmodified</status>
      <modifiedWord/>
      <trackRevisions>false</trackRevisions>
    </reviewItem>
    <reviewItem>
      <errorID>a216f057-93ff-46b2-8787-b7c1482bf037</errorID>
      <errorWord>工程职工</errorWord>
      <group>L1_Word</group>
      <groupName>字词问题</groupName>
      <ability>L2_Typo</ability>
      <abilityName>字词错误</abilityName>
      <candidateList>
        <item>工程施工</item>
      </candidateList>
      <explain/>
      <paraID> 1586ADB</paraID>
      <start>116</start>
      <end>120</end>
      <status>unmodified</status>
      <modifiedWord/>
      <trackRevisions>false</trackRevisions>
    </reviewItem>
    <reviewItem>
      <errorID>4cfede71-d32f-41ad-ba5f-07a4e35369ee</errorID>
      <errorWord>用与</errorWord>
      <group>L1_Word</group>
      <groupName>字词问题</groupName>
      <ability>L2_Typo</ability>
      <abilityName>字词错误</abilityName>
      <candidateList>
        <item>用于</item>
      </candidateList>
      <explain/>
      <paraID>33A0527D</paraID>
      <start>70</start>
      <end>72</end>
      <status>unmodified</status>
      <modifiedWord/>
      <trackRevisions>false</trackRevisions>
    </reviewItem>
    <reviewItem>
      <errorID>a5de3871-d47a-4b93-a1ff-f88331c79bc0</errorID>
      <errorWord>自已建</errorWord>
      <group>L1_Word</group>
      <groupName>字词问题</groupName>
      <ability>L2_Typo</ability>
      <abilityName>字词错误</abilityName>
      <candidateList>
        <item>自己建</item>
      </candidateList>
      <explain/>
      <paraID>3F084792</paraID>
      <start>75</start>
      <end>78</end>
      <status>unmodified</status>
      <modifiedWord/>
      <trackRevisions>false</trackRevisions>
    </reviewItem>
    <reviewItem>
      <errorID>18c9c2fc-e027-417e-8ced-49cb882b0488</errorID>
      <errorWord>～</errorWord>
      <group>L1_Format</group>
      <groupName>格式问题</groupName>
      <ability>L2_HalfPunc</ability>
      <abilityName>全半角检查</abilityName>
      <candidateList>
        <item>~</item>
      </candidateList>
      <explain>文本全半角错误。</explain>
      <paraID>6E2195FB</paraID>
      <start>5</start>
      <end>6</end>
      <status>unmodified</status>
      <modifiedWord/>
      <trackRevisions>false</trackRevisions>
    </reviewItem>
    <reviewItem>
      <errorID>798a2807-ccb7-4bf9-8f52-256144d86510</errorID>
      <errorWord>～</errorWord>
      <group>L1_Format</group>
      <groupName>格式问题</groupName>
      <ability>L2_HalfPunc</ability>
      <abilityName>全半角检查</abilityName>
      <candidateList>
        <item>~</item>
      </candidateList>
      <explain>文本全半角错误。</explain>
      <paraID>5D03AEB5</paraID>
      <start>4</start>
      <end>5</end>
      <status>unmodified</status>
      <modifiedWord/>
      <trackRevisions>false</trackRevisions>
    </reviewItem>
    <reviewItem>
      <errorID>bdbae330-c2fe-4a1d-935b-f2101ce349e9</errorID>
      <errorWord>其它</errorWord>
      <group>L1_Word</group>
      <groupName>字词问题</groupName>
      <ability>L2_Alias</ability>
      <abilityName>也作/曾用词</abilityName>
      <candidateList>
        <item>其他</item>
      </candidateList>
      <explain>词汇[其它]为不规范表述或旧称，其规范书面表述为[其他]。</explain>
      <paraID>5BD4C967</paraID>
      <start>0</start>
      <end>2</end>
      <status>modified</status>
      <modifiedWord>其他</modifiedWord>
      <trackRevisions>false</trackRevisions>
    </reviewItem>
    <reviewItem>
      <errorID>26cee8c3-ca5e-477a-a588-49ef2ca90e8c</errorID>
      <errorWord>，</errorWord>
      <group>L1_Format</group>
      <groupName>格式问题</groupName>
      <ability>L2_HalfPunc</ability>
      <abilityName>全半角检查</abilityName>
      <candidateList>
        <item>,</item>
      </candidateList>
      <explain>文本全半角错误。</explain>
      <paraID>4CE252A3</paraID>
      <start>8</start>
      <end>9</end>
      <status>unmodified</status>
      <modifiedWord/>
      <trackRevisions>false</trackRevisions>
    </reviewItem>
    <reviewItem>
      <errorID>10e836b1-61dd-42c2-bea7-53964220610d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61F7434D</paraID>
      <start>3</start>
      <end>4</end>
      <status>unmodified</status>
      <modifiedWord/>
      <trackRevisions>false</trackRevisions>
    </reviewItem>
    <reviewItem>
      <errorID>0fb12674-b049-43a3-a131-a78013fe55d8</errorID>
      <errorWord>其它</errorWord>
      <group>L1_Word</group>
      <groupName>字词问题</groupName>
      <ability>L2_Alias</ability>
      <abilityName>也作/曾用词</abilityName>
      <candidateList>
        <item>其他</item>
      </candidateList>
      <explain>词汇[其它]为不规范表述或旧称，其规范书面表述为[其他]。</explain>
      <paraID>71681F4F</paraID>
      <start>0</start>
      <end>2</end>
      <status>modified</status>
      <modifiedWord>其他</modifiedWord>
      <trackRevisions>false</trackRevisions>
    </reviewItem>
    <reviewItem>
      <errorID>7f99830f-2c65-43a0-a75f-b6a6fff50e5f</errorID>
      <errorWord>其它</errorWord>
      <group>L1_Word</group>
      <groupName>字词问题</groupName>
      <ability>L2_Alias</ability>
      <abilityName>也作/曾用词</abilityName>
      <candidateList>
        <item>其他</item>
      </candidateList>
      <explain>词汇[其它]为不规范表述或旧称，其规范书面表述为[其他]。</explain>
      <paraID>20671DD6</paraID>
      <start>0</start>
      <end>2</end>
      <status>modified</status>
      <modifiedWord>其他</modifiedWord>
      <trackRevisions>false</trackRevisions>
    </reviewItem>
    <reviewItem>
      <errorID>b3c245ec-1500-4b9d-9c0d-54ba6c023547</errorID>
      <errorWord>～</errorWord>
      <group>L1_Format</group>
      <groupName>格式问题</groupName>
      <ability>L2_HalfPunc</ability>
      <abilityName>全半角检查</abilityName>
      <candidateList>
        <item>~</item>
      </candidateList>
      <explain>文本全半角错误。</explain>
      <paraID>1B4C9F14</paraID>
      <start>3</start>
      <end>4</end>
      <status>unmodified</status>
      <modifiedWord/>
      <trackRevisions>false</trackRevisions>
    </reviewItem>
    <reviewItem>
      <errorID>7f9482ee-8cf8-4731-965f-bb839fdcb9e1</errorID>
      <errorWord>～</errorWord>
      <group>L1_Format</group>
      <groupName>格式问题</groupName>
      <ability>L2_HalfPunc</ability>
      <abilityName>全半角检查</abilityName>
      <candidateList>
        <item>~</item>
      </candidateList>
      <explain>文本全半角错误。</explain>
      <paraID>20FFC80A</paraID>
      <start>4</start>
      <end>5</end>
      <status>unmodified</status>
      <modifiedWord/>
      <trackRevisions>false</trackRevisions>
    </reviewItem>
    <reviewItem>
      <errorID>b6303630-2d1a-4679-ba9e-4195b5a5d326</errorID>
      <errorWord>其它</errorWord>
      <group>L1_Word</group>
      <groupName>字词问题</groupName>
      <ability>L2_Alias</ability>
      <abilityName>也作/曾用词</abilityName>
      <candidateList>
        <item>其他</item>
      </candidateList>
      <explain>词汇[其它]为不规范表述或旧称，其规范书面表述为[其他]。</explain>
      <paraID>6308E50C</paraID>
      <start>0</start>
      <end>2</end>
      <status>modified</status>
      <modifiedWord>其他</modifiedWord>
      <trackRevisions>false</trackRevisions>
    </reviewItem>
    <reviewItem>
      <errorID>adb29844-f9e9-430d-9491-4fee54cb403c</errorID>
      <errorWord>，</errorWord>
      <group>L1_Format</group>
      <groupName>格式问题</groupName>
      <ability>L2_HalfPunc</ability>
      <abilityName>全半角检查</abilityName>
      <candidateList>
        <item>, </item>
      </candidateList>
      <explain>文本全半角错误。</explain>
      <paraID>22D0AEC7</paraID>
      <start>5</start>
      <end>6</end>
      <status>unmodified</status>
      <modifiedWord/>
      <trackRevisions>false</trackRevisions>
    </reviewItem>
    <reviewItem>
      <errorID>3cf1a756-1878-4b30-983f-985961435da6</errorID>
      <errorWord>，</errorWord>
      <group>L1_Format</group>
      <groupName>格式问题</groupName>
      <ability>L2_HalfPunc</ability>
      <abilityName>全半角检查</abilityName>
      <candidateList>
        <item>, </item>
      </candidateList>
      <explain>文本全半角错误。</explain>
      <paraID>22D0AEC7</paraID>
      <start>12</start>
      <end>13</end>
      <status>unmodified</status>
      <modifiedWord/>
      <trackRevisions>false</trackRevisions>
    </reviewItem>
    <reviewItem>
      <errorID>d081c493-9fdd-4ac5-8e05-9050c280b940</errorID>
      <errorWord>，</errorWord>
      <group>L1_Format</group>
      <groupName>格式问题</groupName>
      <ability>L2_HalfPunc</ability>
      <abilityName>全半角检查</abilityName>
      <candidateList>
        <item>, </item>
      </candidateList>
      <explain>文本全半角错误。</explain>
      <paraID>22D0AEC7</paraID>
      <start>20</start>
      <end>21</end>
      <status>unmodified</status>
      <modifiedWord/>
      <trackRevisions>false</trackRevisions>
    </reviewItem>
    <reviewItem>
      <errorID>09be09ec-f507-433b-9372-dc2f5bf7d530</errorID>
      <errorWord>，</errorWord>
      <group>L1_Format</group>
      <groupName>格式问题</groupName>
      <ability>L2_HalfPunc</ability>
      <abilityName>全半角检查</abilityName>
      <candidateList>
        <item>, </item>
      </candidateList>
      <explain>文本全半角错误。</explain>
      <paraID>1AE1C15F</paraID>
      <start>9</start>
      <end>10</end>
      <status>unmodified</status>
      <modifiedWord/>
      <trackRevisions>false</trackRevisions>
    </reviewItem>
    <reviewItem>
      <errorID>bb20a6b4-5c2a-40dc-8ba2-66485b920d42</errorID>
      <errorWord>，</errorWord>
      <group>L1_Format</group>
      <groupName>格式问题</groupName>
      <ability>L2_HalfPunc</ability>
      <abilityName>全半角检查</abilityName>
      <candidateList>
        <item>, </item>
      </candidateList>
      <explain>文本全半角错误。</explain>
      <paraID>1AE1C15F</paraID>
      <start>17</start>
      <end>18</end>
      <status>unmodified</status>
      <modifiedWord/>
      <trackRevisions>false</trackRevisions>
    </reviewItem>
    <reviewItem>
      <errorID>5d86648e-e46e-4ea0-9072-01fb809aac80</errorID>
      <errorWord>，</errorWord>
      <group>L1_Format</group>
      <groupName>格式问题</groupName>
      <ability>L2_HalfPunc</ability>
      <abilityName>全半角检查</abilityName>
      <candidateList>
        <item>, </item>
      </candidateList>
      <explain>文本全半角错误。</explain>
      <paraID>1AE1C15F</paraID>
      <start>24</start>
      <end>25</end>
      <status>unmodified</status>
      <modifiedWord/>
      <trackRevisions>false</trackRevisions>
    </reviewItem>
    <reviewItem>
      <errorID>242a6011-bf79-47e6-b454-11b54a165d92</errorID>
      <errorWord>，</errorWord>
      <group>L1_Format</group>
      <groupName>格式问题</groupName>
      <ability>L2_HalfPunc</ability>
      <abilityName>全半角检查</abilityName>
      <candidateList>
        <item>, </item>
      </candidateList>
      <explain>文本全半角错误。</explain>
      <paraID>324DE9DF</paraID>
      <start>8</start>
      <end>9</end>
      <status>unmodified</status>
      <modifiedWord/>
      <trackRevisions>false</trackRevisions>
    </reviewItem>
    <reviewItem>
      <errorID>f63ee1ca-b8fc-4175-8bb4-dbb54a010516</errorID>
      <errorWord>，</errorWord>
      <group>L1_Format</group>
      <groupName>格式问题</groupName>
      <ability>L2_HalfPunc</ability>
      <abilityName>全半角检查</abilityName>
      <candidateList>
        <item>, </item>
      </candidateList>
      <explain>文本全半角错误。</explain>
      <paraID>324DE9DF</paraID>
      <start>14</start>
      <end>15</end>
      <status>unmodified</status>
      <modifiedWord/>
      <trackRevisions>false</trackRevisions>
    </reviewItem>
    <reviewItem>
      <errorID>74c44786-0af0-4fd5-a53d-a23d8dc63b95</errorID>
      <errorWord>，</errorWord>
      <group>L1_Format</group>
      <groupName>格式问题</groupName>
      <ability>L2_HalfPunc</ability>
      <abilityName>全半角检查</abilityName>
      <candidateList>
        <item>, </item>
      </candidateList>
      <explain>文本全半角错误。</explain>
      <paraID>324DE9DF</paraID>
      <start>21</start>
      <end>22</end>
      <status>unmodified</status>
      <modifiedWord/>
      <trackRevisions>false</trackRevisions>
    </reviewItem>
    <reviewItem>
      <errorID>d71b262d-b319-47e2-8da6-21e5abcbe365</errorID>
      <errorWord>，</errorWord>
      <group>L1_Format</group>
      <groupName>格式问题</groupName>
      <ability>L2_HalfPunc</ability>
      <abilityName>全半角检查</abilityName>
      <candidateList>
        <item>, </item>
      </candidateList>
      <explain>文本全半角错误。</explain>
      <paraID> 96E7A43</paraID>
      <start>6</start>
      <end>7</end>
      <status>unmodified</status>
      <modifiedWord/>
      <trackRevisions>false</trackRevisions>
    </reviewItem>
    <reviewItem>
      <errorID>69b21e63-c30b-4073-8fca-ccb2a038a644</errorID>
      <errorWord>，</errorWord>
      <group>L1_Format</group>
      <groupName>格式问题</groupName>
      <ability>L2_HalfPunc</ability>
      <abilityName>全半角检查</abilityName>
      <candidateList>
        <item>, </item>
      </candidateList>
      <explain>文本全半角错误。</explain>
      <paraID> 96E7A43</paraID>
      <start>12</start>
      <end>13</end>
      <status>unmodified</status>
      <modifiedWord/>
      <trackRevisions>false</trackRevisions>
    </reviewItem>
    <reviewItem>
      <errorID>e0dffbcc-6900-40b0-a9f4-1b9fe001dc31</errorID>
      <errorWord>，</errorWord>
      <group>L1_Format</group>
      <groupName>格式问题</groupName>
      <ability>L2_HalfPunc</ability>
      <abilityName>全半角检查</abilityName>
      <candidateList>
        <item>, </item>
      </candidateList>
      <explain>文本全半角错误。</explain>
      <paraID> 96E7A43</paraID>
      <start>19</start>
      <end>20</end>
      <status>unmodified</status>
      <modifiedWord/>
      <trackRevisions>false</trackRevisions>
    </reviewItem>
    <reviewItem>
      <errorID>6bd1576f-b3e5-4099-8ff4-8380b30bc32c</errorID>
      <errorWord>，</errorWord>
      <group>L1_Format</group>
      <groupName>格式问题</groupName>
      <ability>L2_HalfPunc</ability>
      <abilityName>全半角检查</abilityName>
      <candidateList>
        <item>, </item>
      </candidateList>
      <explain>文本全半角错误。</explain>
      <paraID>515FB5E6</paraID>
      <start>10</start>
      <end>11</end>
      <status>unmodified</status>
      <modifiedWord/>
      <trackRevisions>false</trackRevisions>
    </reviewItem>
    <reviewItem>
      <errorID>7111d558-e35b-49a8-83ac-0db890389dc4</errorID>
      <errorWord>，</errorWord>
      <group>L1_Format</group>
      <groupName>格式问题</groupName>
      <ability>L2_HalfPunc</ability>
      <abilityName>全半角检查</abilityName>
      <candidateList>
        <item>, </item>
      </candidateList>
      <explain>文本全半角错误。</explain>
      <paraID>515FB5E6</paraID>
      <start>18</start>
      <end>19</end>
      <status>unmodified</status>
      <modifiedWord/>
      <trackRevisions>false</trackRevisions>
    </reviewItem>
    <reviewItem>
      <errorID>77afd096-4ab4-4d09-ba73-4da76e3f80e3</errorID>
      <errorWord>，</errorWord>
      <group>L1_Format</group>
      <groupName>格式问题</groupName>
      <ability>L2_HalfPunc</ability>
      <abilityName>全半角检查</abilityName>
      <candidateList>
        <item>, </item>
      </candidateList>
      <explain>文本全半角错误。</explain>
      <paraID>515FB5E6</paraID>
      <start>25</start>
      <end>26</end>
      <status>unmodified</status>
      <modifiedWord/>
      <trackRevisions>false</trackRevisions>
    </reviewItem>
    <reviewItem>
      <errorID>5706c788-f1e2-4d6c-b2e8-e4a2ef51584e</errorID>
      <errorWord>，</errorWord>
      <group>L1_Format</group>
      <groupName>格式问题</groupName>
      <ability>L2_HalfPunc</ability>
      <abilityName>全半角检查</abilityName>
      <candidateList>
        <item>, </item>
      </candidateList>
      <explain>文本全半角错误。</explain>
      <paraID>7DFF2881</paraID>
      <start>6</start>
      <end>7</end>
      <status>unmodified</status>
      <modifiedWord/>
      <trackRevisions>false</trackRevisions>
    </reviewItem>
    <reviewItem>
      <errorID>f875a8f1-87a4-4468-9f5d-104afbba8856</errorID>
      <errorWord>，</errorWord>
      <group>L1_Format</group>
      <groupName>格式问题</groupName>
      <ability>L2_HalfPunc</ability>
      <abilityName>全半角检查</abilityName>
      <candidateList>
        <item>, </item>
      </candidateList>
      <explain>文本全半角错误。</explain>
      <paraID>7DFF2881</paraID>
      <start>14</start>
      <end>15</end>
      <status>unmodified</status>
      <modifiedWord/>
      <trackRevisions>false</trackRevisions>
    </reviewItem>
    <reviewItem>
      <errorID>b31b9641-a1d5-410e-9f13-de05d72d34e6</errorID>
      <errorWord>，</errorWord>
      <group>L1_Format</group>
      <groupName>格式问题</groupName>
      <ability>L2_HalfPunc</ability>
      <abilityName>全半角检查</abilityName>
      <candidateList>
        <item>, </item>
      </candidateList>
      <explain>文本全半角错误。</explain>
      <paraID>7DFF2881</paraID>
      <start>21</start>
      <end>22</end>
      <status>unmodified</status>
      <modifiedWord/>
      <trackRevisions>false</trackRevisions>
    </reviewItem>
    <reviewItem>
      <errorID>df76bc15-e04d-403c-9123-3506630ac1b6</errorID>
      <errorWord>，</errorWord>
      <group>L1_Format</group>
      <groupName>格式问题</groupName>
      <ability>L2_HalfPunc</ability>
      <abilityName>全半角检查</abilityName>
      <candidateList>
        <item>, </item>
      </candidateList>
      <explain>文本全半角错误。</explain>
      <paraID>5DE98251</paraID>
      <start>5</start>
      <end>6</end>
      <status>unmodified</status>
      <modifiedWord/>
      <trackRevisions>false</trackRevisions>
    </reviewItem>
    <reviewItem>
      <errorID>981a9046-db29-45e8-8c22-7716cd1633f0</errorID>
      <errorWord>，</errorWord>
      <group>L1_Format</group>
      <groupName>格式问题</groupName>
      <ability>L2_HalfPunc</ability>
      <abilityName>全半角检查</abilityName>
      <candidateList>
        <item>, </item>
      </candidateList>
      <explain>文本全半角错误。</explain>
      <paraID>5DE98251</paraID>
      <start>13</start>
      <end>14</end>
      <status>unmodified</status>
      <modifiedWord/>
      <trackRevisions>false</trackRevisions>
    </reviewItem>
    <reviewItem>
      <errorID>7d127265-95ea-4723-a6e9-40bc16f41a1e</errorID>
      <errorWord>，</errorWord>
      <group>L1_Format</group>
      <groupName>格式问题</groupName>
      <ability>L2_HalfPunc</ability>
      <abilityName>全半角检查</abilityName>
      <candidateList>
        <item>, </item>
      </candidateList>
      <explain>文本全半角错误。</explain>
      <paraID>5DE98251</paraID>
      <start>20</start>
      <end>21</end>
      <status>unmodified</status>
      <modifiedWord/>
      <trackRevisions>false</trackRevisions>
    </reviewItem>
    <reviewItem>
      <errorID>adf0e4de-82de-41bf-a205-2d967f28d2fc</errorID>
      <errorWord>，</errorWord>
      <group>L1_Format</group>
      <groupName>格式问题</groupName>
      <ability>L2_HalfPunc</ability>
      <abilityName>全半角检查</abilityName>
      <candidateList>
        <item>, </item>
      </candidateList>
      <explain>文本全半角错误。</explain>
      <paraID>5D77AEA3</paraID>
      <start>5</start>
      <end>6</end>
      <status>unmodified</status>
      <modifiedWord/>
      <trackRevisions>false</trackRevisions>
    </reviewItem>
    <reviewItem>
      <errorID>6e375a0a-efe7-4b8d-bef3-9ed02d0ae0d4</errorID>
      <errorWord>、</errorWord>
      <group>L1_Punc</group>
      <groupName>标点问题</groupName>
      <ability>L2_Punc</ability>
      <abilityName>标点符号检查</abilityName>
      <candidateList>
        <item>.</item>
      </candidateList>
      <explain/>
      <paraID>58EEFCD9</paraID>
      <start>1</start>
      <end>2</end>
      <status>unmodified</status>
      <modifiedWord/>
      <trackRevisions>false</trackRevisions>
    </reviewItem>
    <reviewItem>
      <errorID>8a280123-3bee-4127-a63b-518ba961c3e1</errorID>
      <errorWord>、</errorWord>
      <group>L1_Punc</group>
      <groupName>标点问题</groupName>
      <ability>L2_Punc</ability>
      <abilityName>标点符号检查</abilityName>
      <candidateList>
        <item>.</item>
      </candidateList>
      <explain/>
      <paraID>6366F708</paraID>
      <start>1</start>
      <end>2</end>
      <status>unmodified</status>
      <modifiedWord/>
      <trackRevisions>false</trackRevisions>
    </reviewItem>
    <reviewItem>
      <errorID>51008ccf-1837-4cc6-ae8c-d8934b495df1</errorID>
      <errorWord>、</errorWord>
      <group>L1_Punc</group>
      <groupName>标点问题</groupName>
      <ability>L2_Punc</ability>
      <abilityName>标点符号检查</abilityName>
      <candidateList>
        <item>.</item>
      </candidateList>
      <explain/>
      <paraID>  1FE4D2</paraID>
      <start>1</start>
      <end>2</end>
      <status>unmodified</status>
      <modifiedWord/>
      <trackRevisions>false</trackRevisions>
    </reviewItem>
    <reviewItem>
      <errorID>4c12fb7d-7ade-4b12-920b-3723c5157eeb</errorID>
      <errorWord>作</errorWord>
      <group>L1_Word</group>
      <groupName>字词问题</groupName>
      <ability>L2_Typo</ability>
      <abilityName>字词错误</abilityName>
      <candidateList>
        <item>做</item>
      </candidateList>
      <explain>存在发音相同字词的误用。</explain>
      <paraID>  1FE4D2</paraID>
      <start>40</start>
      <end>41</end>
      <status>unmodified</status>
      <modifiedWord/>
      <trackRevisions>false</trackRevisions>
    </reviewItem>
    <reviewItem>
      <errorID>7f783423-de97-4020-843e-71be6246daf4</errorID>
      <errorWord>、</errorWord>
      <group>L1_Punc</group>
      <groupName>标点问题</groupName>
      <ability>L2_Punc</ability>
      <abilityName>标点符号检查</abilityName>
      <candidateList>
        <item>.</item>
      </candidateList>
      <explain/>
      <paraID>629A09E1</paraID>
      <start>1</start>
      <end>2</end>
      <status>unmodified</status>
      <modifiedWord/>
      <trackRevisions>false</trackRevisions>
    </reviewItem>
    <reviewItem>
      <errorID>ac762216-2a00-41d2-99c3-37588fe7bfe1</errorID>
      <errorWord>、</errorWord>
      <group>L1_Punc</group>
      <groupName>标点问题</groupName>
      <ability>L2_Punc</ability>
      <abilityName>标点符号检查</abilityName>
      <candidateList>
        <item>.</item>
      </candidateList>
      <explain/>
      <paraID>4A79E26B</paraID>
      <start>1</start>
      <end>2</end>
      <status>unmodified</status>
      <modifiedWord/>
      <trackRevisions>false</trackRevisions>
    </reviewItem>
    <reviewItem>
      <errorID>ca2cf68f-9e7f-45b9-bf61-59badbfc136a</errorID>
      <errorWord>（</errorWord>
      <group>L1_Format</group>
      <groupName>格式问题</groupName>
      <ability>L2_HalfPunc</ability>
      <abilityName>全半角检查</abilityName>
      <candidateList>
        <item>(</item>
      </candidateList>
      <explain>文本全半角错误。</explain>
      <paraID>1A8AE7DF</paraID>
      <start>1</start>
      <end>2</end>
      <status>unmodified</status>
      <modifiedWord/>
      <trackRevisions>false</trackRevisions>
    </reviewItem>
    <reviewItem>
      <errorID>36db3512-9780-4c8c-a310-c183e10e6789</errorID>
      <errorWord>）</errorWord>
      <group>L1_Format</group>
      <groupName>格式问题</groupName>
      <ability>L2_HalfPunc</ability>
      <abilityName>全半角检查</abilityName>
      <candidateList>
        <item>)</item>
      </candidateList>
      <explain>文本全半角错误。</explain>
      <paraID>1A8AE7DF</paraID>
      <start>11</start>
      <end>12</end>
      <status>unmodified</status>
      <modifiedWord/>
      <trackRevisions>false</trackRevisions>
    </reviewItem>
    <reviewItem>
      <errorID>f4936c3e-9c2a-4709-bcf5-a65e183208e9</errorID>
      <errorWord>（</errorWord>
      <group>L1_Format</group>
      <groupName>格式问题</groupName>
      <ability>L2_HalfPunc</ability>
      <abilityName>全半角检查</abilityName>
      <candidateList>
        <item>(</item>
      </candidateList>
      <explain>文本全半角错误。</explain>
      <paraID>7656A2FE</paraID>
      <start>6</start>
      <end>7</end>
      <status>unmodified</status>
      <modifiedWord/>
      <trackRevisions>false</trackRevisions>
    </reviewItem>
    <reviewItem>
      <errorID>25478946-a44c-4118-9d62-8b27c3d6221d</errorID>
      <errorWord>）</errorWord>
      <group>L1_Format</group>
      <groupName>格式问题</groupName>
      <ability>L2_HalfPunc</ability>
      <abilityName>全半角检查</abilityName>
      <candidateList>
        <item>)</item>
      </candidateList>
      <explain>文本全半角错误。</explain>
      <paraID>7656A2FE</paraID>
      <start>16</start>
      <end>17</end>
      <status>unmodified</status>
      <modifiedWord/>
      <trackRevisions>false</trackRevisions>
    </reviewItem>
    <reviewItem>
      <errorID>72054b4b-1af8-4314-95a5-0d443c3bb6fe</errorID>
      <errorWord>排水体质</errorWord>
      <group>L1_Knowledge</group>
      <groupName>知识性问题</groupName>
      <ability>L2_Term</ability>
      <abilityName>专业术语</abilityName>
      <candidateList>
        <item>排水体制</item>
      </candidateList>
      <explain/>
      <paraID>319E858D</paraID>
      <start>20</start>
      <end>24</end>
      <status>modified</status>
      <modifiedWord>排水体制</modifiedWord>
      <trackRevisions>false</trackRevisions>
    </reviewItem>
    <reviewItem>
      <errorID>35bfd309-4607-4cc8-89ab-5086623e3fe7</errorID>
      <errorWord>程</errorWord>
      <group>L1_Word</group>
      <groupName>字词问题</groupName>
      <ability>L2_Typo</ability>
      <abilityName>字词错误</abilityName>
      <candidateList>
        <item>程中</item>
      </candidateList>
      <explain/>
      <paraID>719BA6E5</paraID>
      <start>178</start>
      <end>179</end>
      <status>unmodified</status>
      <modifiedWord/>
      <trackRevisions>false</trackRevisions>
    </reviewItem>
    <reviewItem>
      <errorID>591c11b6-4bf6-4990-b605-e2d8b15649ce</errorID>
      <errorWord>溢散</errorWord>
      <group>L1_Word</group>
      <groupName>字词问题</groupName>
      <ability>L2_Typo</ability>
      <abilityName>字词错误</abilityName>
      <candidateList>
        <item>逸散</item>
      </candidateList>
      <explain/>
      <paraID>7C490D38</paraID>
      <start>26</start>
      <end>28</end>
      <status>unmodified</status>
      <modifiedWord/>
      <trackRevisions>false</trackRevisions>
    </reviewItem>
    <reviewItem>
      <errorID>c5cbf06d-6ad8-43eb-b72e-4ac2e78a1ed0</errorID>
      <errorWord>放反</errorWord>
      <group>L1_Word</group>
      <groupName>字词问题</groupName>
      <ability>L2_Typo</ability>
      <abilityName>字词错误</abilityName>
      <candidateList>
        <item>防反</item>
      </candidateList>
      <explain/>
      <paraID>112E54FD</paraID>
      <start>70</start>
      <end>72</end>
      <status>unmodified</status>
      <modifiedWord/>
      <trackRevisions>false</trackRevisions>
    </reviewItem>
    <reviewItem>
      <errorID>327f9cf0-969b-4ca8-aa2a-5ca01ffb9f7a</errorID>
      <errorWord>作好</errorWord>
      <group>L1_Word</group>
      <groupName>字词问题</groupName>
      <ability>L2_Typo</ability>
      <abilityName>字词错误</abilityName>
      <candidateList>
        <item>做好</item>
      </candidateList>
      <explain>存在发音相同字词的误用。</explain>
      <paraID>397F1D1E</paraID>
      <start>48</start>
      <end>50</end>
      <status>unmodified</status>
      <modifiedWord/>
      <trackRevisions>false</trackRevisions>
    </reviewItem>
    <reviewItem>
      <errorID>8a354fea-07d6-457d-a3ef-afb8181679ee</errorID>
      <errorWord>结束</errorWord>
      <group>L1_Word</group>
      <groupName>字词问题</groupName>
      <ability>L2_Typo</ability>
      <abilityName>字词错误</abilityName>
      <candidateList>
        <item>结实</item>
      </candidateList>
      <explain>存在发音相近字词的误用。</explain>
      <paraID>207B46D7</paraID>
      <start>90</start>
      <end>92</end>
      <status>unmodified</status>
      <modifiedWord/>
      <trackRevisions>false</trackRevisions>
    </reviewItem>
    <reviewItem>
      <errorID>3829b07e-c6a8-4dbf-bd7e-594736a350ef</errorID>
      <errorWord>操作合</errorWord>
      <group>L1_Word</group>
      <groupName>字词问题</groupName>
      <ability>L2_Typo</ability>
      <abilityName>字词错误</abilityName>
      <candidateList>
        <item>操作台</item>
      </candidateList>
      <explain/>
      <paraID>692DF21B</paraID>
      <start>196</start>
      <end>199</end>
      <status>unmodified</status>
      <modifiedWord/>
      <trackRevisions>false</trackRevisions>
    </reviewItem>
    <reviewItem>
      <errorID>8c568654-f2bb-4431-aebb-fb8db02e5e34</errorID>
      <errorWord>~</errorWord>
      <group>L1_Format</group>
      <groupName>格式问题</groupName>
      <ability>L2_HalfPunc</ability>
      <abilityName>全半角检查</abilityName>
      <candidateList>
        <item>～</item>
      </candidateList>
      <explain>文本全半角错误。</explain>
      <paraID>4594E2EB</paraID>
      <start>160</start>
      <end>161</end>
      <status>unmodified</status>
      <modifiedWord/>
      <trackRevisions>false</trackRevisions>
    </reviewItem>
    <reviewItem>
      <errorID>ec18c663-ddf1-435e-9c76-29edec98c2ea</errorID>
      <errorWord>即修</errorWord>
      <group>L1_Word</group>
      <groupName>字词问题</groupName>
      <ability>L2_Typo</ability>
      <abilityName>字词错误</abilityName>
      <candidateList>
        <item>已修</item>
      </candidateList>
      <explain/>
      <paraID>5E4801AB</paraID>
      <start>96</start>
      <end>98</end>
      <status>unmodified</status>
      <modifiedWord/>
      <trackRevisions>false</trackRevisions>
    </reviewItem>
    <reviewItem>
      <errorID>0c6ebf59-3f21-4361-b724-97cdc993b2c8</errorID>
      <errorWord>到</errorWord>
      <group>L1_Word</group>
      <groupName>字词问题</groupName>
      <ability>L2_Typo</ability>
      <abilityName>字词错误</abilityName>
      <candidateList>
        <item>到了</item>
      </candidateList>
      <explain/>
      <paraID> B74D9A9</paraID>
      <start>44</start>
      <end>45</end>
      <status>unmodified</status>
      <modifiedWord/>
      <trackRevisions>false</trackRevisions>
    </reviewItem>
    <reviewItem>
      <errorID>d9db7981-b9b2-4f41-90c8-047a455b4707</errorID>
      <errorWord>粘稠</errorWord>
      <group>L1_Word</group>
      <groupName>字词问题</groupName>
      <ability>L2_Typo</ability>
      <abilityName>字词错误</abilityName>
      <candidateList>
        <item>黏稠</item>
      </candidateList>
      <explain>存在发音相同字词的误用。</explain>
      <paraID>48B5D616</paraID>
      <start>137</start>
      <end>139</end>
      <status>unmodified</status>
      <modifiedWord/>
      <trackRevisions>false</trackRevisions>
    </reviewItem>
    <reviewItem>
      <errorID>5921755b-04bd-472b-a83b-c5d7b15c791a</errorID>
      <errorWord>其它</errorWord>
      <group>L1_Word</group>
      <groupName>字词问题</groupName>
      <ability>L2_Alias</ability>
      <abilityName>也作/曾用词</abilityName>
      <candidateList>
        <item>其他</item>
      </candidateList>
      <explain>词汇[其它]为不规范表述或旧称，其规范书面表述为[其他]。</explain>
      <paraID>1C7B82D7</paraID>
      <start>34</start>
      <end>36</end>
      <status>modified</status>
      <modifiedWord>其他</modifiedWord>
      <trackRevisions>false</trackRevisions>
    </reviewItem>
    <reviewItem>
      <errorID>95b191e1-361b-4688-aea5-304b36394b2a</errorID>
      <errorWord>其它</errorWord>
      <group>L1_Word</group>
      <groupName>字词问题</groupName>
      <ability>L2_Alias</ability>
      <abilityName>也作/曾用词</abilityName>
      <candidateList>
        <item>其他</item>
      </candidateList>
      <explain>词汇[其它]为不规范表述或旧称，其规范书面表述为[其他]。</explain>
      <paraID>1C7B82D7</paraID>
      <start>94</start>
      <end>96</end>
      <status>modified</status>
      <modifiedWord>其他</modifiedWord>
      <trackRevisions>false</trackRevisions>
    </reviewItem>
    <reviewItem>
      <errorID>5d8a173c-cead-47b5-83ea-7179367130df</errorID>
      <errorWord>~</errorWord>
      <group>L1_Format</group>
      <groupName>格式问题</groupName>
      <ability>L2_HalfPunc</ability>
      <abilityName>全半角检查</abilityName>
      <candidateList>
        <item>～</item>
      </candidateList>
      <explain>文本全半角错误。</explain>
      <paraID>4957219C</paraID>
      <start>39</start>
      <end>40</end>
      <status>unmodified</status>
      <modifiedWord/>
      <trackRevisions>false</trackRevisions>
    </reviewItem>
    <reviewItem>
      <errorID>7ece83b4-0404-4e6a-80e5-9132b8e837fc</errorID>
      <errorWord>所</errorWord>
      <group>L1_Word</group>
      <groupName>字词问题</groupName>
      <ability>L2_Typo</ability>
      <abilityName>字词错误</abilityName>
      <candidateList>
        <item>所引</item>
      </candidateList>
      <explain/>
      <paraID>213FC4C4</paraID>
      <start>114</start>
      <end>115</end>
      <status>unmodified</status>
      <modifiedWord/>
      <trackRevisions>false</trackRevisions>
    </reviewItem>
    <reviewItem>
      <errorID>b474c014-2aa4-465a-a600-4f6ff28c0c9c</errorID>
      <errorWord>(</errorWord>
      <group>L1_Format</group>
      <groupName>格式问题</groupName>
      <ability>L2_HalfPunc</ability>
      <abilityName>全半角检查</abilityName>
      <candidateList>
        <item>（</item>
      </candidateList>
      <explain>文本全半角错误。</explain>
      <paraID>16B48154</paraID>
      <start>2</start>
      <end>3</end>
      <status>unmodified</status>
      <modifiedWord/>
      <trackRevisions>false</trackRevisions>
    </reviewItem>
    <reviewItem>
      <errorID>4caae2c5-2cd3-40c6-8dfe-633a97a05e00</errorID>
      <errorWord>)</errorWord>
      <group>L1_Format</group>
      <groupName>格式问题</groupName>
      <ability>L2_HalfPunc</ability>
      <abilityName>全半角检查</abilityName>
      <candidateList>
        <item>）</item>
      </candidateList>
      <explain>文本全半角错误。</explain>
      <paraID>16B48154</paraID>
      <start>7</start>
      <end>8</end>
      <status>unmodified</status>
      <modifiedWord/>
      <trackRevisions>false</trackRevisions>
    </reviewItem>
    <reviewItem>
      <errorID>1cc06d27-50a1-4bdb-bb92-17af79c6fd31</errorID>
      <errorWord>挤淤强度</errorWord>
      <group>L1_Knowledge</group>
      <groupName>知识性问题</groupName>
      <ability>L2_Term</ability>
      <abilityName>专业术语</abilityName>
      <candidateList>
        <item>回淤强度</item>
      </candidateList>
      <explain/>
      <paraID>79AFDCA4</paraID>
      <start>4</start>
      <end>8</end>
      <status>unmodified</status>
      <modifiedWord/>
      <trackRevisions>false</trackRevisions>
    </reviewItem>
    <reviewItem>
      <errorID>46408e51-2fad-4516-9370-586276245464</errorID>
      <errorWord>主要是</errorWord>
      <group>L1_Word</group>
      <groupName>字词问题</groupName>
      <ability>L2_Typo</ability>
      <abilityName>字词错误</abilityName>
      <candidateList>
        <item>主要</item>
      </candidateList>
      <explain>〈形〉属性词。有关事物中最重要的；起决定作用的：～原因｜～目的｜～人物。</explain>
      <paraID>137D5200</paraID>
      <start>76</start>
      <end>79</end>
      <status>unmodified</status>
      <modifiedWord/>
      <trackRevisions>false</trackRevisions>
    </reviewItem>
    <reviewItem>
      <errorID>3922aa8c-5adb-4629-8a95-d508506a206f</errorID>
      <errorWord>～</errorWord>
      <group>L1_Format</group>
      <groupName>格式问题</groupName>
      <ability>L2_HalfPunc</ability>
      <abilityName>全半角检查</abilityName>
      <candidateList>
        <item>~</item>
      </candidateList>
      <explain>文本全半角错误。</explain>
      <paraID>5F2B1E65</paraID>
      <start>2</start>
      <end>3</end>
      <status>unmodified</status>
      <modifiedWord/>
      <trackRevisions>false</trackRevisions>
    </reviewItem>
    <reviewItem>
      <errorID>a6c6da37-942b-481a-8f75-cbdae4d0362d</errorID>
      <errorWord>～</errorWord>
      <group>L1_Format</group>
      <groupName>格式问题</groupName>
      <ability>L2_HalfPunc</ability>
      <abilityName>全半角检查</abilityName>
      <candidateList>
        <item>~</item>
      </candidateList>
      <explain>文本全半角错误。</explain>
      <paraID>1439E8E7</paraID>
      <start>2</start>
      <end>3</end>
      <status>unmodified</status>
      <modifiedWord/>
      <trackRevisions>false</trackRevisions>
    </reviewItem>
    <reviewItem>
      <errorID>c4c1a081-d086-4b16-a07a-129e7c34a692</errorID>
      <errorWord>～</errorWord>
      <group>L1_Format</group>
      <groupName>格式问题</groupName>
      <ability>L2_HalfPunc</ability>
      <abilityName>全半角检查</abilityName>
      <candidateList>
        <item>~</item>
      </candidateList>
      <explain>文本全半角错误。</explain>
      <paraID> CA8A217</paraID>
      <start>2</start>
      <end>3</end>
      <status>unmodified</status>
      <modifiedWord/>
      <trackRevisions>false</trackRevisions>
    </reviewItem>
    <reviewItem>
      <errorID>dd43d778-339a-4a8d-b207-4c13eedd5756</errorID>
      <errorWord>～</errorWord>
      <group>L1_Format</group>
      <groupName>格式问题</groupName>
      <ability>L2_HalfPunc</ability>
      <abilityName>全半角检查</abilityName>
      <candidateList>
        <item>~</item>
      </candidateList>
      <explain>文本全半角错误。</explain>
      <paraID>3C5EFA5D</paraID>
      <start>2</start>
      <end>3</end>
      <status>unmodified</status>
      <modifiedWord/>
      <trackRevisions>false</trackRevisions>
    </reviewItem>
    <reviewItem>
      <errorID>7e6c80ba-0964-41c6-9cb0-1c4eb9945fd7</errorID>
      <errorWord>～</errorWord>
      <group>L1_Format</group>
      <groupName>格式问题</groupName>
      <ability>L2_HalfPunc</ability>
      <abilityName>全半角检查</abilityName>
      <candidateList>
        <item>~</item>
      </candidateList>
      <explain>文本全半角错误。</explain>
      <paraID>57CF04E5</paraID>
      <start>2</start>
      <end>3</end>
      <status>unmodified</status>
      <modifiedWord/>
      <trackRevisions>false</trackRevisions>
    </reviewItem>
    <reviewItem>
      <errorID>4a5fdee3-a65d-43ff-a30b-c9ef046fac4a</errorID>
      <errorWord>～</errorWord>
      <group>L1_Format</group>
      <groupName>格式问题</groupName>
      <ability>L2_HalfPunc</ability>
      <abilityName>全半角检查</abilityName>
      <candidateList>
        <item>~</item>
      </candidateList>
      <explain>文本全半角错误。</explain>
      <paraID>4201E5B2</paraID>
      <start>2</start>
      <end>3</end>
      <status>unmodified</status>
      <modifiedWord/>
      <trackRevisions>false</trackRevisions>
    </reviewItem>
    <reviewItem>
      <errorID>84d79efc-ceef-4067-b61c-57174b7f7ae4</errorID>
      <errorWord>～</errorWord>
      <group>L1_Format</group>
      <groupName>格式问题</groupName>
      <ability>L2_HalfPunc</ability>
      <abilityName>全半角检查</abilityName>
      <candidateList>
        <item>~</item>
      </candidateList>
      <explain>文本全半角错误。</explain>
      <paraID>449E6A47</paraID>
      <start>2</start>
      <end>3</end>
      <status>unmodified</status>
      <modifiedWord/>
      <trackRevisions>false</trackRevisions>
    </reviewItem>
    <reviewItem>
      <errorID>b2466116-1762-410e-b0ae-dc0df8a3b4c7</errorID>
      <errorWord>～</errorWord>
      <group>L1_Format</group>
      <groupName>格式问题</groupName>
      <ability>L2_HalfPunc</ability>
      <abilityName>全半角检查</abilityName>
      <candidateList>
        <item>~</item>
      </candidateList>
      <explain>文本全半角错误。</explain>
      <paraID> C5FF260</paraID>
      <start>2</start>
      <end>3</end>
      <status>unmodified</status>
      <modifiedWord/>
      <trackRevisions>false</trackRevisions>
    </reviewItem>
    <reviewItem>
      <errorID>cceb62f6-d0a3-4380-a18e-148ca7e30b86</errorID>
      <errorWord>～</errorWord>
      <group>L1_Format</group>
      <groupName>格式问题</groupName>
      <ability>L2_HalfPunc</ability>
      <abilityName>全半角检查</abilityName>
      <candidateList>
        <item>~</item>
      </candidateList>
      <explain>文本全半角错误。</explain>
      <paraID>57E1F26A</paraID>
      <start>2</start>
      <end>3</end>
      <status>unmodified</status>
      <modifiedWord/>
      <trackRevisions>false</trackRevisions>
    </reviewItem>
    <reviewItem>
      <errorID>374ce820-6608-4575-9bca-05f19b4f31d8</errorID>
      <errorWord>～</errorWord>
      <group>L1_Format</group>
      <groupName>格式问题</groupName>
      <ability>L2_HalfPunc</ability>
      <abilityName>全半角检查</abilityName>
      <candidateList>
        <item>~</item>
      </candidateList>
      <explain>文本全半角错误。</explain>
      <paraID>121DA66D</paraID>
      <start>2</start>
      <end>3</end>
      <status>unmodified</status>
      <modifiedWord/>
      <trackRevisions>false</trackRevisions>
    </reviewItem>
    <reviewItem>
      <errorID>e921f105-99a0-4c5b-97bc-67f87e730a28</errorID>
      <errorWord>；）</errorWord>
      <group>L1_Punc</group>
      <groupName>标点问题</groupName>
      <ability>L2_Punc</ability>
      <abilityName>标点符号检查</abilityName>
      <candidateList>
        <item>）</item>
      </candidateList>
      <explain/>
      <paraID>18B0F3F7</paraID>
      <start>181</start>
      <end>183</end>
      <status>unmodified</status>
      <modifiedWord/>
      <trackRevisions>false</trackRevisions>
    </reviewItem>
    <reviewItem>
      <errorID>15664cd0-d271-4b11-bd47-751fd58001c2</errorID>
      <errorWord>~</errorWord>
      <group>L1_Format</group>
      <groupName>格式问题</groupName>
      <ability>L2_HalfPunc</ability>
      <abilityName>全半角检查</abilityName>
      <candidateList>
        <item>～</item>
      </candidateList>
      <explain>文本全半角错误。</explain>
      <paraID>578C0E04</paraID>
      <start>12</start>
      <end>13</end>
      <status>unmodified</status>
      <modifiedWord/>
      <trackRevisions>false</trackRevisions>
    </reviewItem>
    <reviewItem>
      <errorID>805703bb-bf24-4394-8ad7-0a12fdd2641b</errorID>
      <errorWord>硬干</errorWord>
      <group>L1_Word</group>
      <groupName>字词问题</groupName>
      <ability>L2_Typo</ability>
      <abilityName>字词错误</abilityName>
      <candidateList>
        <item>烘干</item>
      </candidateList>
      <explain/>
      <paraID>578C0E04</paraID>
      <start>123</start>
      <end>125</end>
      <status>unmodified</status>
      <modifiedWord/>
      <trackRevisions>false</trackRevisions>
    </reviewItem>
    <reviewItem>
      <errorID>cdb164c0-8769-42b8-a12a-a9c2dcdda9cd</errorID>
      <errorWord>的的</errorWord>
      <group>L1_Word</group>
      <groupName>字词问题</groupName>
      <ability>L2_Typo</ability>
      <abilityName>字词错误</abilityName>
      <candidateList>
        <item>的</item>
      </candidateList>
      <explain>“的”常用于连接修饰语与名词性中心语，表示属性、所属或描述。</explain>
      <paraID>431C70F8</paraID>
      <start>83</start>
      <end>85</end>
      <status>unmodified</status>
      <modifiedWord/>
      <trackRevisions>false</trackRevisions>
    </reviewItem>
    <reviewItem>
      <errorID>ca8268a3-d773-40e7-ad35-3990402ab984</errorID>
      <errorWord>10%~20%</errorWord>
      <group>L1_Knowledge</group>
      <groupName>知识性问题</groupName>
      <ability>L2_Knowledge</ability>
      <abilityName>其他知识</abilityName>
      <candidateList>
        <item>10%～20%</item>
      </candidateList>
      <explain>1. “10%~20%”中的单位“%”仅出现在后一个数字上，容易引起歧义；根据《现代汉语标点符号数字用法规范手册》，数字表示范围两边需要使用统一的格式。2. 根据标点国标 4.13 中的规则，数字、时间或地域连接符应使用（视觉上更长的）“—”或“～”。</explain>
      <paraID>431C70F8</paraID>
      <start>304</start>
      <end>311</end>
      <status>unmodified</status>
      <modifiedWord/>
      <trackRevisions>false</trackRevisions>
    </reviewItem>
    <reviewItem>
      <errorID>400de2e5-1c2d-4b9f-bec1-74f278eaef91</errorID>
      <errorWord>5%~20%</errorWord>
      <group>L1_Knowledge</group>
      <groupName>知识性问题</groupName>
      <ability>L2_Knowledge</ability>
      <abilityName>其他知识</abilityName>
      <candidateList>
        <item>5%～20%</item>
      </candidateList>
      <explain>1. “5%~20%”中的单位“%”仅出现在后一个数字上，容易引起歧义；根据《现代汉语标点符号数字用法规范手册》，数字表示范围两边需要使用统一的格式。2. 根据标点国标 4.13 中的规则，数字、时间或地域连接符应使用（视觉上更长的）“—”或“～”。</explain>
      <paraID>431C70F8</paraID>
      <start>317</start>
      <end>323</end>
      <status>unmodified</status>
      <modifiedWord/>
      <trackRevisions>false</trackRevisions>
    </reviewItem>
    <reviewItem>
      <errorID>8a85634f-0878-4084-a850-c2e560247e76</errorID>
      <errorWord>成份</errorWord>
      <group>L1_Word</group>
      <groupName>字词问题</groupName>
      <ability>L2_Typo</ability>
      <abilityName>字词错误</abilityName>
      <candidateList>
        <item>成分</item>
      </candidateList>
      <explain>（成份）chénɡ•fèn〈名〉❶指构成事物的各种不同的物质或因素：化学～｜营养～｜减轻了心里不安的～。❷指个人早先的主要经历或职业：工人～｜他的个人～是学生。</explain>
      <paraID>431C70F8</paraID>
      <start>338</start>
      <end>340</end>
      <status>unmodified</status>
      <modifiedWord/>
      <trackRevisions>false</trackRevisions>
    </reviewItem>
    <reviewItem>
      <errorID>075e040c-7d1f-49e0-8b9b-b3d7a4d52af8</errorID>
      <errorWord>成份</errorWord>
      <group>L1_Word</group>
      <groupName>字词问题</groupName>
      <ability>L2_Typo</ability>
      <abilityName>字词错误</abilityName>
      <candidateList>
        <item>成分</item>
      </candidateList>
      <explain>（成份）chénɡ•fèn〈名〉❶指构成事物的各种不同的物质或因素：化学～｜营养～｜减轻了心里不安的～。❷指个人早先的主要经历或职业：工人～｜他的个人～是学生。</explain>
      <paraID>431C70F8</paraID>
      <start>392</start>
      <end>394</end>
      <status>unmodified</status>
      <modifiedWord/>
      <trackRevisions>false</trackRevisions>
    </reviewItem>
    <reviewItem>
      <errorID>52319906-560a-4df8-a03c-4a248cf1bfd6</errorID>
      <errorWord>作</errorWord>
      <group>L1_Word</group>
      <groupName>字词问题</groupName>
      <ability>L2_Typo</ability>
      <abilityName>字词错误</abilityName>
      <candidateList>
        <item>做</item>
      </candidateList>
      <explain>存在发音相同字词的误用。</explain>
      <paraID>431C70F8</paraID>
      <start>407</start>
      <end>408</end>
      <status>unmodified</status>
      <modifiedWord/>
      <trackRevisions>false</trackRevisions>
    </reviewItem>
    <reviewItem>
      <errorID>a09ba278-4206-4b50-8173-596e42c896f4</errorID>
      <errorWord>(</errorWord>
      <group>L1_Format</group>
      <groupName>格式问题</groupName>
      <ability>L2_HalfPunc</ability>
      <abilityName>全半角检查</abilityName>
      <candidateList>
        <item>（</item>
      </candidateList>
      <explain>文本全半角错误。</explain>
      <paraID> 43FDD2F</paraID>
      <start>23</start>
      <end>24</end>
      <status>unmodified</status>
      <modifiedWord/>
      <trackRevisions>false</trackRevisions>
    </reviewItem>
    <reviewItem>
      <errorID>3c9322c4-04c0-41ee-a688-8c7252a256f4</errorID>
      <errorWord>)</errorWord>
      <group>L1_Format</group>
      <groupName>格式问题</groupName>
      <ability>L2_HalfPunc</ability>
      <abilityName>全半角检查</abilityName>
      <candidateList>
        <item>）</item>
      </candidateList>
      <explain>文本全半角错误。</explain>
      <paraID> 43FDD2F</paraID>
      <start>38</start>
      <end>39</end>
      <status>unmodified</status>
      <modifiedWord/>
      <trackRevisions>false</trackRevisions>
    </reviewItem>
    <reviewItem>
      <errorID>15f33d0a-bc02-48b7-86a5-0e4385c57092</errorID>
      <errorWord>生物多样性的保护</errorWord>
      <group>L1_Political</group>
      <groupName>政治性问题</groupName>
      <ability>L2_Keyword</ability>
      <abilityName>固定表述</abilityName>
      <candidateList>
        <item>生物多样性保护</item>
      </candidateList>
      <explain>词汇“生物多样性保护”在特定场景下为固定表述形式，请确认此处的“生物多样性的保护”是否存在不当。</explain>
      <paraID>10816B32</paraID>
      <start>68</start>
      <end>76</end>
      <status>unmodified</status>
      <modifiedWord/>
      <trackRevisions>false</trackRevisions>
    </reviewItem>
    <reviewItem>
      <errorID>5c9325a0-8df5-4cff-a2d0-370972b89875</errorID>
      <errorWord>12%~24%</errorWord>
      <group>L1_Knowledge</group>
      <groupName>知识性问题</groupName>
      <ability>L2_Knowledge</ability>
      <abilityName>其他知识</abilityName>
      <candidateList>
        <item>12%～24%</item>
      </candidateList>
      <explain>1. “12%~24%”中的单位“%”仅出现在后一个数字上，容易引起歧义；根据《现代汉语标点符号数字用法规范手册》，数字表示范围两边需要使用统一的格式。2. 根据标点国标 4.13 中的规则，数字、时间或地域连接符应使用（视觉上更长的）“—”或“～”。</explain>
      <paraID>4FFA137D</paraID>
      <start>46</start>
      <end>53</end>
      <status>unmodified</status>
      <modifiedWord/>
      <trackRevisions>false</trackRevisions>
    </reviewItem>
    <reviewItem>
      <errorID>7d12cd45-aa09-48fc-ab87-047c5bc2067c</errorID>
      <errorWord>~</errorWord>
      <group>L1_Format</group>
      <groupName>格式问题</groupName>
      <ability>L2_HalfPunc</ability>
      <abilityName>全半角检查</abilityName>
      <candidateList>
        <item>～</item>
      </candidateList>
      <explain>文本全半角错误。</explain>
      <paraID>4FFA137D</paraID>
      <start>74</start>
      <end>75</end>
      <status>unmodified</status>
      <modifiedWord/>
      <trackRevisions>false</trackRevisions>
    </reviewItem>
    <reviewItem>
      <errorID>8a5ff176-d3b4-471c-b3c8-a3693b59527d</errorID>
      <errorWord>前</errorWord>
      <group>L1_Word</group>
      <groupName>字词问题</groupName>
      <ability>L2_Typo</ability>
      <abilityName>字词错误</abilityName>
      <candidateList>
        <item>前尚</item>
      </candidateList>
      <explain/>
      <paraID>4FFA137D</paraID>
      <start>214</start>
      <end>215</end>
      <status>unmodified</status>
      <modifiedWord/>
      <trackRevisions>false</trackRevisions>
    </reviewItem>
    <reviewItem>
      <errorID>711cd0fc-2a85-427f-ac06-23d4aacf83f0</errorID>
      <errorWord>~</errorWord>
      <group>L1_Format</group>
      <groupName>格式问题</groupName>
      <ability>L2_HalfPunc</ability>
      <abilityName>全半角检查</abilityName>
      <candidateList>
        <item>～</item>
      </candidateList>
      <explain>文本全半角错误。</explain>
      <paraID>3EBBBB47</paraID>
      <start>69</start>
      <end>70</end>
      <status>unmodified</status>
      <modifiedWord/>
      <trackRevisions>false</trackRevisions>
    </reviewItem>
    <reviewItem>
      <errorID>e141e50a-b2aa-4043-80b8-4f76ccc0a1e4</errorID>
      <errorWord>1%~3%</errorWord>
      <group>L1_Knowledge</group>
      <groupName>知识性问题</groupName>
      <ability>L2_Knowledge</ability>
      <abilityName>其他知识</abilityName>
      <candidateList>
        <item>1%～3%</item>
      </candidateList>
      <explain>1. “1%~3%”中的单位“%”仅出现在后一个数字上，容易引起歧义；根据《现代汉语标点符号数字用法规范手册》，数字表示范围两边需要使用统一的格式。2. 根据标点国标 4.13 中的规则，数字、时间或地域连接符应使用（视觉上更长的）“—”或“～”。</explain>
      <paraID>430C6E21</paraID>
      <start>25</start>
      <end>30</end>
      <status>unmodified</status>
      <modifiedWord/>
      <trackRevisions>false</trackRevisions>
    </reviewItem>
    <reviewItem>
      <errorID>be796020-30db-47d3-bdd6-58ac25cbe473</errorID>
      <errorWord>0.5%~1%</errorWord>
      <group>L1_Knowledge</group>
      <groupName>知识性问题</groupName>
      <ability>L2_Knowledge</ability>
      <abilityName>其他知识</abilityName>
      <candidateList>
        <item>0.5%～1%</item>
      </candidateList>
      <explain>1. “0.5%~1%”中的单位“%”仅出现在后一个数字上，容易引起歧义；根据《现代汉语标点符号数字用法规范手册》，数字表示范围两边需要使用统一的格式。2. 根据标点国标 4.13 中的规则，数字、时间或地域连接符应使用（视觉上更长的）“—”或“～”。</explain>
      <paraID>7B27B7E1</paraID>
      <start>48</start>
      <end>55</end>
      <status>unmodified</status>
      <modifiedWord/>
      <trackRevisions>false</trackRevisions>
    </reviewItem>
    <reviewItem>
      <errorID>8a119030-1790-46a3-bf86-1c203991341f</errorID>
      <errorWord>II</errorWord>
      <group>L1_Knowledge</group>
      <groupName>知识性问题</groupName>
      <ability>L2_Knowledge</ability>
      <abilityName>其他知识</abilityName>
      <candidateList>
        <item>Ⅱ</item>
      </candidateList>
      <explain/>
      <paraID>7B27B7E1</paraID>
      <start>121</start>
      <end>123</end>
      <status>unmodified</status>
      <modifiedWord/>
      <trackRevisions>false</trackRevisions>
    </reviewItem>
    <reviewItem>
      <errorID>b910fcdb-4c11-4979-86c5-00267d01179c</errorID>
      <errorWord>1%~3%</errorWord>
      <group>L1_Knowledge</group>
      <groupName>知识性问题</groupName>
      <ability>L2_Knowledge</ability>
      <abilityName>其他知识</abilityName>
      <candidateList>
        <item>1%～3%</item>
      </candidateList>
      <explain>1. “1%~3%”中的单位“%”仅出现在后一个数字上，容易引起歧义；根据《现代汉语标点符号数字用法规范手册》，数字表示范围两边需要使用统一的格式。2. 根据标点国标 4.13 中的规则，数字、时间或地域连接符应使用（视觉上更长的）“—”或“～”。</explain>
      <paraID>7B27B7E1</paraID>
      <start>149</start>
      <end>154</end>
      <status>unmodified</status>
      <modifiedWord/>
      <trackRevisions>false</trackRevisions>
    </reviewItem>
    <reviewItem>
      <errorID>8dfe4a1c-3490-410f-b8c6-b33177ba5c8f</errorID>
      <errorWord>程</errorWord>
      <group>L1_Word</group>
      <groupName>字词问题</groupName>
      <ability>L2_Typo</ability>
      <abilityName>字词错误</abilityName>
      <candidateList>
        <item>程中</item>
      </candidateList>
      <explain/>
      <paraID>3DC62ED2</paraID>
      <start>41</start>
      <end>42</end>
      <status>unmodified</status>
      <modifiedWord/>
      <trackRevisions>false</trackRevisions>
    </reviewItem>
    <reviewItem>
      <errorID>e3c10646-be05-4b1b-bb84-395ffee50281</errorID>
      <errorWord>来自于</errorWord>
      <group>L1_Grammar</group>
      <groupName>语法问题</groupName>
      <ability>L2_Grammar</ability>
      <abilityName>语法错误</abilityName>
      <candidateList>
        <item>来自</item>
      </candidateList>
      <explain/>
      <paraID>4FBA56E6</paraID>
      <start>6</start>
      <end>9</end>
      <status>unmodified</status>
      <modifiedWord/>
      <trackRevisions>false</trackRevisions>
    </reviewItem>
    <reviewItem>
      <errorID>cf009763-3a39-4731-86e4-447add89e857</errorID>
      <errorWord>计</errorWord>
      <group>L1_Word</group>
      <groupName>字词问题</groupName>
      <ability>L2_Typo</ability>
      <abilityName>字词错误</abilityName>
      <candidateList>
        <item>计算</item>
      </candidateList>
      <explain/>
      <paraID>1644B302</paraID>
      <start>131</start>
      <end>132</end>
      <status>unmodified</status>
      <modifiedWord/>
      <trackRevisions>false</trackRevisions>
    </reviewItem>
    <reviewItem>
      <errorID>a814f980-97fd-4473-a1d5-1385eaaec888</errorID>
      <errorWord>程</errorWord>
      <group>L1_Word</group>
      <groupName>字词问题</groupName>
      <ability>L2_Typo</ability>
      <abilityName>字词错误</abilityName>
      <candidateList>
        <item>程中</item>
      </candidateList>
      <explain/>
      <paraID>1DBFAC60</paraID>
      <start>8</start>
      <end>9</end>
      <status>unmodified</status>
      <modifiedWord/>
      <trackRevisions>false</trackRevisions>
    </reviewItem>
    <reviewItem>
      <errorID>c6874563-1280-4a5c-adef-80cc7b21e47f</errorID>
      <errorWord>砂尘</errorWord>
      <group>L1_Word</group>
      <groupName>字词问题</groupName>
      <ability>L2_Variant</ability>
      <abilityName>异形词</abilityName>
      <candidateList>
        <item>沙尘</item>
      </candidateList>
      <explain>词汇[砂尘]的规范词形写作[沙尘]。</explain>
      <paraID>1DBFAC60</paraID>
      <start>26</start>
      <end>28</end>
      <status>unmodified</status>
      <modifiedWord/>
      <trackRevisions>false</trackRevisions>
    </reviewItem>
    <reviewItem>
      <errorID>85e94a59-d33a-4f04-bb49-d58033ad5915</errorID>
      <errorWord>（</errorWord>
      <group>L1_Format</group>
      <groupName>格式问题</groupName>
      <ability>L2_HalfPunc</ability>
      <abilityName>全半角检查</abilityName>
      <candidateList>
        <item>(</item>
      </candidateList>
      <explain>文本全半角错误。</explain>
      <paraID>2F04E673</paraID>
      <start>6</start>
      <end>7</end>
      <status>unmodified</status>
      <modifiedWord/>
      <trackRevisions>false</trackRevisions>
    </reviewItem>
    <reviewItem>
      <errorID>e097f856-4ac2-4abb-9731-f28b056af323</errorID>
      <errorWord>）</errorWord>
      <group>L1_Format</group>
      <groupName>格式问题</groupName>
      <ability>L2_HalfPunc</ability>
      <abilityName>全半角检查</abilityName>
      <candidateList>
        <item>)</item>
      </candidateList>
      <explain>文本全半角错误。</explain>
      <paraID>2F04E673</paraID>
      <start>17</start>
      <end>18</end>
      <status>unmodified</status>
      <modifiedWord/>
      <trackRevisions>false</trackRevisions>
    </reviewItem>
    <reviewItem>
      <errorID>6ee80559-c5dc-4456-abd8-3838d644853e</errorID>
      <errorWord>（</errorWord>
      <group>L1_Format</group>
      <groupName>格式问题</groupName>
      <ability>L2_HalfPunc</ability>
      <abilityName>全半角检查</abilityName>
      <candidateList>
        <item>(</item>
      </candidateList>
      <explain>文本全半角错误。</explain>
      <paraID>2F04E673</paraID>
      <start>19</start>
      <end>20</end>
      <status>unmodified</status>
      <modifiedWord/>
      <trackRevisions>false</trackRevisions>
    </reviewItem>
    <reviewItem>
      <errorID>18db1d88-8c10-4ff5-8761-6221984b0c76</errorID>
      <errorWord>）</errorWord>
      <group>L1_Format</group>
      <groupName>格式问题</groupName>
      <ability>L2_HalfPunc</ability>
      <abilityName>全半角检查</abilityName>
      <candidateList>
        <item>)</item>
      </candidateList>
      <explain>文本全半角错误。</explain>
      <paraID>2F04E673</paraID>
      <start>25</start>
      <end>26</end>
      <status>unmodified</status>
      <modifiedWord/>
      <trackRevisions>false</trackRevisions>
    </reviewItem>
    <reviewItem>
      <errorID>f933df04-200d-482f-a638-73b26fdd92cf</errorID>
      <errorWord>（</errorWord>
      <group>L1_Format</group>
      <groupName>格式问题</groupName>
      <ability>L2_HalfPunc</ability>
      <abilityName>全半角检查</abilityName>
      <candidateList>
        <item>(</item>
      </candidateList>
      <explain>文本全半角错误。</explain>
      <paraID>2874929C</paraID>
      <start>0</start>
      <end>1</end>
      <status>unmodified</status>
      <modifiedWord/>
      <trackRevisions>false</trackRevisions>
    </reviewItem>
    <reviewItem>
      <errorID>a11d24cc-8981-403c-b789-2c4ec61cb756</errorID>
      <errorWord>）</errorWord>
      <group>L1_Format</group>
      <groupName>格式问题</groupName>
      <ability>L2_HalfPunc</ability>
      <abilityName>全半角检查</abilityName>
      <candidateList>
        <item>)</item>
      </candidateList>
      <explain>文本全半角错误。</explain>
      <paraID>2874929C</paraID>
      <start>5</start>
      <end>6</end>
      <status>unmodified</status>
      <modifiedWord/>
      <trackRevisions>false</trackRevisions>
    </reviewItem>
    <reviewItem>
      <errorID>74057ca2-ae10-494f-855e-7dde4bfa6578</errorID>
      <errorWord>，</errorWord>
      <group>L1_Word</group>
      <groupName>字词问题</groupName>
      <ability>L2_Typo</ability>
      <abilityName>字词错误</abilityName>
      <candidateList>
        <item>，以</item>
      </candidateList>
      <explain/>
      <paraID>449E4303</paraID>
      <start>44</start>
      <end>45</end>
      <status>unmodified</status>
      <modifiedWord/>
      <trackRevisions>false</trackRevisions>
    </reviewItem>
    <reviewItem>
      <errorID>503687e3-c90e-4078-ac0f-f9af2b42aca7</errorID>
      <errorWord>砂尘</errorWord>
      <group>L1_Word</group>
      <groupName>字词问题</groupName>
      <ability>L2_Variant</ability>
      <abilityName>异形词</abilityName>
      <candidateList>
        <item>沙尘</item>
      </candidateList>
      <explain>词汇[砂尘]的规范词形写作[沙尘]。</explain>
      <paraID>1D547DBA</paraID>
      <start>23</start>
      <end>25</end>
      <status>unmodified</status>
      <modifiedWord/>
      <trackRevisions>false</trackRevisions>
    </reviewItem>
    <reviewItem>
      <errorID>6f9cdcd6-be01-400f-807d-da7423e1439e</errorID>
      <errorWord>涉外洋</errorWord>
      <group>L1_Word</group>
      <groupName>字词问题</groupName>
      <ability>L2_Typo</ability>
      <abilityName>字词错误</abilityName>
      <candidateList>
        <item>涉外</item>
      </candidateList>
      <explain/>
      <paraID>15C37237</paraID>
      <start>51</start>
      <end>54</end>
      <status>unmodified</status>
      <modifiedWord/>
      <trackRevisions>false</trackRevisions>
    </reviewItem>
    <reviewItem>
      <errorID>c50fd4b1-b284-4080-a104-f142f8201bac</errorID>
      <errorWord>“</errorWord>
      <group>L1_Punc</group>
      <groupName>标点问题</groupName>
      <ability>L2_Punc</ability>
      <abilityName>标点符号检查</abilityName>
      <candidateList/>
      <explain>此处标点可能未正确匹配，请检查句子中是否存在标点冗余、缺失或使用错误的情况。</explain>
      <paraID>5B44BF06</paraID>
      <start>55</start>
      <end>56</end>
      <status>unmodified</status>
      <modifiedWord/>
      <trackRevisions>false</trackRevisions>
    </reviewItem>
    <reviewItem>
      <errorID>491202ea-1591-4344-9a04-62a15b5e18d1</errorID>
      <errorWord>中</errorWord>
      <group>L1_Word</group>
      <groupName>字词问题</groupName>
      <ability>L2_Typo</ability>
      <abilityName>字词错误</abilityName>
      <candidateList>
        <item>中通</item>
      </candidateList>
      <explain/>
      <paraID>662735DD</paraID>
      <start>154</start>
      <end>155</end>
      <status>unmodified</status>
      <modifiedWord/>
      <trackRevisions>false</trackRevisions>
    </reviewItem>
    <reviewItem>
      <errorID>ae9cabd5-2724-4693-a7e4-c0ef93ea5bc2</errorID>
      <errorWord>、以及</errorWord>
      <group>L1_Punc</group>
      <groupName>标点问题</groupName>
      <ability>L2_Punc</ability>
      <abilityName>标点符号检查</abilityName>
      <candidateList>
        <item>，以及</item>
      </candidateList>
      <explain>连接词前后不宜使用顿号，建议使用逗号。</explain>
      <paraID>662735DD</paraID>
      <start>168</start>
      <end>171</end>
      <status>unmodified</status>
      <modifiedWord/>
      <trackRevisions>false</trackRevisions>
    </reviewItem>
    <reviewItem>
      <errorID>7660c167-f7d4-492a-9b58-f30549e7f7ec</errorID>
      <errorWord>程</errorWord>
      <group>L1_Word</group>
      <groupName>字词问题</groupName>
      <ability>L2_Typo</ability>
      <abilityName>字词错误</abilityName>
      <candidateList>
        <item>程中</item>
      </candidateList>
      <explain/>
      <paraID>662735DD</paraID>
      <start>181</start>
      <end>182</end>
      <status>unmodified</status>
      <modifiedWord/>
      <trackRevisions>false</trackRevisions>
    </reviewItem>
    <reviewItem>
      <errorID>9634da77-acb4-40b5-8334-0dc1ffebd335</errorID>
      <errorWord>（</errorWord>
      <group>L1_Format</group>
      <groupName>格式问题</groupName>
      <ability>L2_HalfPunc</ability>
      <abilityName>全半角检查</abilityName>
      <candidateList>
        <item>(</item>
      </candidateList>
      <explain>文本全半角错误。</explain>
      <paraID>67A4E4A8</paraID>
      <start>0</start>
      <end>1</end>
      <status>unmodified</status>
      <modifiedWord/>
      <trackRevisions>false</trackRevisions>
    </reviewItem>
    <reviewItem>
      <errorID>1f4e7d25-7556-4f95-a2a7-7f975207999c</errorID>
      <errorWord>）</errorWord>
      <group>L1_Format</group>
      <groupName>格式问题</groupName>
      <ability>L2_HalfPunc</ability>
      <abilityName>全半角检查</abilityName>
      <candidateList>
        <item>)</item>
      </candidateList>
      <explain>文本全半角错误。</explain>
      <paraID>67A4E4A8</paraID>
      <start>4</start>
      <end>5</end>
      <status>unmodified</status>
      <modifiedWord/>
      <trackRevisions>false</trackRevisions>
    </reviewItem>
    <reviewItem>
      <errorID>7d337885-a548-45dd-b3eb-185258ef3933</errorID>
      <errorWord>（</errorWord>
      <group>L1_Format</group>
      <groupName>格式问题</groupName>
      <ability>L2_HalfPunc</ability>
      <abilityName>全半角检查</abilityName>
      <candidateList>
        <item>(</item>
      </candidateList>
      <explain>文本全半角错误。</explain>
      <paraID>58F1E90C</paraID>
      <start>0</start>
      <end>1</end>
      <status>unmodified</status>
      <modifiedWord/>
      <trackRevisions>false</trackRevisions>
    </reviewItem>
    <reviewItem>
      <errorID>e221f340-1a16-414a-a291-9518598b6de8</errorID>
      <errorWord>）</errorWord>
      <group>L1_Format</group>
      <groupName>格式问题</groupName>
      <ability>L2_HalfPunc</ability>
      <abilityName>全半角检查</abilityName>
      <candidateList>
        <item>)</item>
      </candidateList>
      <explain>文本全半角错误。</explain>
      <paraID>58F1E90C</paraID>
      <start>4</start>
      <end>5</end>
      <status>unmodified</status>
      <modifiedWord/>
      <trackRevisions>false</trackRevisions>
    </reviewItem>
    <reviewItem>
      <errorID>bd1dd1c9-496f-439e-9640-3cbdf2abfb1a</errorID>
      <errorWord>（</errorWord>
      <group>L1_Format</group>
      <groupName>格式问题</groupName>
      <ability>L2_HalfPunc</ability>
      <abilityName>全半角检查</abilityName>
      <candidateList>
        <item>(</item>
      </candidateList>
      <explain>文本全半角错误。</explain>
      <paraID>662FE4F5</paraID>
      <start>0</start>
      <end>1</end>
      <status>unmodified</status>
      <modifiedWord/>
      <trackRevisions>false</trackRevisions>
    </reviewItem>
    <reviewItem>
      <errorID>04849227-f58c-4943-9655-972d72e0ae76</errorID>
      <errorWord>）</errorWord>
      <group>L1_Format</group>
      <groupName>格式问题</groupName>
      <ability>L2_HalfPunc</ability>
      <abilityName>全半角检查</abilityName>
      <candidateList>
        <item>)</item>
      </candidateList>
      <explain>文本全半角错误。</explain>
      <paraID>662FE4F5</paraID>
      <start>4</start>
      <end>5</end>
      <status>unmodified</status>
      <modifiedWord/>
      <trackRevisions>false</trackRevisions>
    </reviewItem>
    <reviewItem>
      <errorID>161723dd-6bcc-48b7-a073-1679ccd61782</errorID>
      <errorWord>（</errorWord>
      <group>L1_Format</group>
      <groupName>格式问题</groupName>
      <ability>L2_HalfPunc</ability>
      <abilityName>全半角检查</abilityName>
      <candidateList>
        <item>(</item>
      </candidateList>
      <explain>文本全半角错误。</explain>
      <paraID> A694F69</paraID>
      <start>0</start>
      <end>1</end>
      <status>unmodified</status>
      <modifiedWord/>
      <trackRevisions>false</trackRevisions>
    </reviewItem>
    <reviewItem>
      <errorID>c58336e6-40cb-46fe-9d28-015983ae41b9</errorID>
      <errorWord>(</errorWord>
      <group>L1_Format</group>
      <groupName>格式问题</groupName>
      <ability>L2_HalfPunc</ability>
      <abilityName>全半角检查</abilityName>
      <candidateList>
        <item>（</item>
      </candidateList>
      <explain>文本全半角错误。</explain>
      <paraID> B7E06CC</paraID>
      <start>4</start>
      <end>5</end>
      <status>unmodified</status>
      <modifiedWord/>
      <trackRevisions>false</trackRevisions>
    </reviewItem>
    <reviewItem>
      <errorID>8f7a0c0f-7fc0-41b8-9794-54ecbbeef437</errorID>
      <errorWord>)</errorWord>
      <group>L1_Format</group>
      <groupName>格式问题</groupName>
      <ability>L2_HalfPunc</ability>
      <abilityName>全半角检查</abilityName>
      <candidateList>
        <item>）</item>
      </candidateList>
      <explain>文本全半角错误。</explain>
      <paraID> B7E06CC</paraID>
      <start>8</start>
      <end>9</end>
      <status>unmodified</status>
      <modifiedWord/>
      <trackRevisions>false</trackRevisions>
    </reviewItem>
    <reviewItem>
      <errorID>2207a54f-c235-45bd-bac0-3d4027c92d30</errorID>
      <errorWord>(</errorWord>
      <group>L1_Format</group>
      <groupName>格式问题</groupName>
      <ability>L2_HalfPunc</ability>
      <abilityName>全半角检查</abilityName>
      <candidateList>
        <item>（</item>
      </candidateList>
      <explain>文本全半角错误。</explain>
      <paraID>5FC77733</paraID>
      <start>4</start>
      <end>5</end>
      <status>unmodified</status>
      <modifiedWord/>
      <trackRevisions>false</trackRevisions>
    </reviewItem>
    <reviewItem>
      <errorID>6e71b87e-cbfc-4b25-a84e-b17af9a61dd8</errorID>
      <errorWord>)</errorWord>
      <group>L1_Format</group>
      <groupName>格式问题</groupName>
      <ability>L2_HalfPunc</ability>
      <abilityName>全半角检查</abilityName>
      <candidateList>
        <item>）</item>
      </candidateList>
      <explain>文本全半角错误。</explain>
      <paraID>5FC77733</paraID>
      <start>8</start>
      <end>9</end>
      <status>unmodified</status>
      <modifiedWord/>
      <trackRevisions>false</trackRevisions>
    </reviewItem>
    <reviewItem>
      <errorID>0a141e02-7753-4696-98fc-9760b6e25c2c</errorID>
      <errorWord>~</errorWord>
      <group>L1_Format</group>
      <groupName>格式问题</groupName>
      <ability>L2_HalfPunc</ability>
      <abilityName>全半角检查</abilityName>
      <candidateList>
        <item>～</item>
      </candidateList>
      <explain>文本全半角错误。</explain>
      <paraID>682AC9E4</paraID>
      <start>75</start>
      <end>76</end>
      <status>unmodified</status>
      <modifiedWord/>
      <trackRevisions>false</trackRevisions>
    </reviewItem>
    <reviewItem>
      <errorID>021ad48b-38ce-46a4-9d20-e4989d828d5a</errorID>
      <errorWord>南东</errorWord>
      <group>L1_Word</group>
      <groupName>字词问题</groupName>
      <ability>L2_Typo</ability>
      <abilityName>字词错误</abilityName>
      <candidateList>
        <item>东南</item>
      </candidateList>
      <explain/>
      <paraID>5135084D</paraID>
      <start>40</start>
      <end>42</end>
      <status>unmodified</status>
      <modifiedWord/>
      <trackRevisions>false</trackRevisions>
    </reviewItem>
    <reviewItem>
      <errorID>fb1a5d9b-535c-4a30-8d6f-9943b0394d3a</errorID>
      <errorWord>-</errorWord>
      <group>L1_Format</group>
      <groupName>格式问题</groupName>
      <ability>L2_HalfPunc</ability>
      <abilityName>全半角检查</abilityName>
      <candidateList>
        <item>－</item>
      </candidateList>
      <explain>文本全半角错误。</explain>
      <paraID>5135084D</paraID>
      <start>61</start>
      <end>62</end>
      <status>unmodified</status>
      <modifiedWord/>
      <trackRevisions>false</trackRevisions>
    </reviewItem>
    <reviewItem>
      <errorID>bbbc1e7e-6746-4b80-bc2a-ffe8bfde5c57</errorID>
      <errorWord>-</errorWord>
      <group>L1_Format</group>
      <groupName>格式问题</groupName>
      <ability>L2_HalfPunc</ability>
      <abilityName>全半角检查</abilityName>
      <candidateList>
        <item>－</item>
      </candidateList>
      <explain>文本全半角错误。</explain>
      <paraID>5135084D</paraID>
      <start>64</start>
      <end>65</end>
      <status>unmodified</status>
      <modifiedWord/>
      <trackRevisions>false</trackRevisions>
    </reviewItem>
    <reviewItem>
      <errorID>9eb4412e-1093-4216-b65b-40fe324081c0</errorID>
      <errorWord>-</errorWord>
      <group>L1_Format</group>
      <groupName>格式问题</groupName>
      <ability>L2_HalfPunc</ability>
      <abilityName>全半角检查</abilityName>
      <candidateList>
        <item>－</item>
      </candidateList>
      <explain>文本全半角错误。</explain>
      <paraID>5135084D</paraID>
      <start>84</start>
      <end>85</end>
      <status>unmodified</status>
      <modifiedWord/>
      <trackRevisions>false</trackRevisions>
    </reviewItem>
    <reviewItem>
      <errorID>7b507ada-1639-43e8-bdbc-c9742e7dbc93</errorID>
      <errorWord>-</errorWord>
      <group>L1_Format</group>
      <groupName>格式问题</groupName>
      <ability>L2_HalfPunc</ability>
      <abilityName>全半角检查</abilityName>
      <candidateList>
        <item>－</item>
      </candidateList>
      <explain>文本全半角错误。</explain>
      <paraID>7A8C5D1E</paraID>
      <start>269</start>
      <end>270</end>
      <status>unmodified</status>
      <modifiedWord/>
      <trackRevisions>false</trackRevisions>
    </reviewItem>
    <reviewItem>
      <errorID>be379e8f-b670-4920-afdd-1689d55dc3c2</errorID>
      <errorWord>(</errorWord>
      <group>L1_Format</group>
      <groupName>格式问题</groupName>
      <ability>L2_HalfPunc</ability>
      <abilityName>全半角检查</abilityName>
      <candidateList>
        <item>（</item>
      </candidateList>
      <explain>文本全半角错误。</explain>
      <paraID>7623FE0C</paraID>
      <start>226</start>
      <end>227</end>
      <status>unmodified</status>
      <modifiedWord/>
      <trackRevisions>false</trackRevisions>
    </reviewItem>
    <reviewItem>
      <errorID>99a334a9-5374-450f-83a4-3ea6258e355b</errorID>
      <errorWord>)</errorWord>
      <group>L1_Format</group>
      <groupName>格式问题</groupName>
      <ability>L2_HalfPunc</ability>
      <abilityName>全半角检查</abilityName>
      <candidateList>
        <item>）</item>
      </candidateList>
      <explain>文本全半角错误。</explain>
      <paraID>7623FE0C</paraID>
      <start>238</start>
      <end>239</end>
      <status>unmodified</status>
      <modifiedWord/>
      <trackRevisions>false</trackRevisions>
    </reviewItem>
    <reviewItem>
      <errorID>29b0af35-f2df-4728-9bd5-9e469cb04819</errorID>
      <errorWord>5～10％</errorWord>
      <group>L1_Knowledge</group>
      <groupName>知识性问题</groupName>
      <ability>L2_Knowledge</ability>
      <abilityName>其他知识</abilityName>
      <candidateList>
        <item>5％～10％</item>
      </candidateList>
      <explain>1. “5～10％”中的单位“％”仅出现在后一个数字上，容易引起歧义；根据《现代汉语标点符号数字用法规范手册》，数字表示范围两边需要使用统一的格式。2. 根据标点国标 4.13 中的规则，数字、时间或地域连接符应使用（视觉上更长的）“—”或“～”。</explain>
      <paraID>7623FE0C</paraID>
      <start>263</start>
      <end>268</end>
      <status>unmodified</status>
      <modifiedWord/>
      <trackRevisions>false</trackRevisions>
    </reviewItem>
    <reviewItem>
      <errorID>a8fd1867-6b89-461c-96a4-96409cced642</errorID>
      <errorWord>(</errorWord>
      <group>L1_Format</group>
      <groupName>格式问题</groupName>
      <ability>L2_HalfPunc</ability>
      <abilityName>全半角检查</abilityName>
      <candidateList>
        <item>（</item>
      </candidateList>
      <explain>文本全半角错误。</explain>
      <paraID>7623FE0C</paraID>
      <start>278</start>
      <end>279</end>
      <status>unmodified</status>
      <modifiedWord/>
      <trackRevisions>false</trackRevisions>
    </reviewItem>
    <reviewItem>
      <errorID>1a9a7bb0-23ea-42c1-b34b-a61491748e89</errorID>
      <errorWord>)</errorWord>
      <group>L1_Format</group>
      <groupName>格式问题</groupName>
      <ability>L2_HalfPunc</ability>
      <abilityName>全半角检查</abilityName>
      <candidateList>
        <item>）</item>
      </candidateList>
      <explain>文本全半角错误。</explain>
      <paraID>7623FE0C</paraID>
      <start>286</start>
      <end>287</end>
      <status>unmodified</status>
      <modifiedWord/>
      <trackRevisions>false</trackRevisions>
    </reviewItem>
    <reviewItem>
      <errorID>f5e9a75e-9f1f-487a-9832-9998c4effa73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1030F683</paraID>
      <start>17</start>
      <end>18</end>
      <status>unmodified</status>
      <modifiedWord/>
      <trackRevisions>false</trackRevisions>
    </reviewItem>
    <reviewItem>
      <errorID>5f312b01-ad46-4c5a-934e-9b2b1c1151ce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4DAB1EEB</paraID>
      <start>12</start>
      <end>13</end>
      <status>unmodified</status>
      <modifiedWord/>
      <trackRevisions>false</trackRevisions>
    </reviewItem>
    <reviewItem>
      <errorID>440cee19-e593-431c-9ac3-794d8fcac88e</errorID>
      <errorWord>)</errorWord>
      <group>L1_Format</group>
      <groupName>格式问题</groupName>
      <ability>L2_HalfPunc</ability>
      <abilityName>全半角检查</abilityName>
      <candidateList>
        <item>）</item>
      </candidateList>
      <explain>文本全半角错误。</explain>
      <paraID>496C0A9A</paraID>
      <start>5</start>
      <end>6</end>
      <status>unmodified</status>
      <modifiedWord/>
      <trackRevisions>false</trackRevisions>
    </reviewItem>
    <reviewItem>
      <errorID>de936213-4c13-4416-b79e-20c4f5d32365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19C59FA5</paraID>
      <start>16</start>
      <end>17</end>
      <status>unmodified</status>
      <modifiedWord/>
      <trackRevisions>false</trackRevisions>
    </reviewItem>
    <reviewItem>
      <errorID>0c3d6cd5-3059-4bb7-84e0-4114bd29cb30</errorID>
      <errorWord>~</errorWord>
      <group>L1_Format</group>
      <groupName>格式问题</groupName>
      <ability>L2_HalfPunc</ability>
      <abilityName>全半角检查</abilityName>
      <candidateList>
        <item>～</item>
      </candidateList>
      <explain>文本全半角错误。</explain>
      <paraID>19C59FA5</paraID>
      <start>206</start>
      <end>207</end>
      <status>unmodified</status>
      <modifiedWord/>
      <trackRevisions>false</trackRevisions>
    </reviewItem>
    <reviewItem>
      <errorID>783d4afe-3cd8-4c4d-a0cc-8c1ec69267e9</errorID>
      <errorWord>(</errorWord>
      <group>L1_Format</group>
      <groupName>格式问题</groupName>
      <ability>L2_HalfPunc</ability>
      <abilityName>全半角检查</abilityName>
      <candidateList>
        <item>（</item>
      </candidateList>
      <explain>文本全半角错误。</explain>
      <paraID>178EA307</paraID>
      <start>8</start>
      <end>9</end>
      <status>unmodified</status>
      <modifiedWord/>
      <trackRevisions>false</trackRevisions>
    </reviewItem>
    <reviewItem>
      <errorID>3cada5d1-7e25-48b8-ad07-5fd137528367</errorID>
      <errorWord>)</errorWord>
      <group>L1_Format</group>
      <groupName>格式问题</groupName>
      <ability>L2_HalfPunc</ability>
      <abilityName>全半角检查</abilityName>
      <candidateList>
        <item>）</item>
      </candidateList>
      <explain>文本全半角错误。</explain>
      <paraID>178EA307</paraID>
      <start>10</start>
      <end>11</end>
      <status>unmodified</status>
      <modifiedWord/>
      <trackRevisions>false</trackRevisions>
    </reviewItem>
    <reviewItem>
      <errorID>b349aae5-424b-4a0e-9289-2e3e2d6b241e</errorID>
      <errorWord>(</errorWord>
      <group>L1_Format</group>
      <groupName>格式问题</groupName>
      <ability>L2_HalfPunc</ability>
      <abilityName>全半角检查</abilityName>
      <candidateList>
        <item>（</item>
      </candidateList>
      <explain>文本全半角错误。</explain>
      <paraID>5D4007E5</paraID>
      <start>4</start>
      <end>5</end>
      <status>unmodified</status>
      <modifiedWord/>
      <trackRevisions>false</trackRevisions>
    </reviewItem>
    <reviewItem>
      <errorID>5d1827b3-6dff-45ae-9fb8-878ef140feed</errorID>
      <errorWord>)</errorWord>
      <group>L1_Format</group>
      <groupName>格式问题</groupName>
      <ability>L2_HalfPunc</ability>
      <abilityName>全半角检查</abilityName>
      <candidateList>
        <item>）</item>
      </candidateList>
      <explain>文本全半角错误。</explain>
      <paraID>5D4007E5</paraID>
      <start>6</start>
      <end>7</end>
      <status>unmodified</status>
      <modifiedWord/>
      <trackRevisions>false</trackRevisions>
    </reviewItem>
    <reviewItem>
      <errorID>db15fc05-cd62-4974-8d6b-34bea54b378a</errorID>
      <errorWord>(</errorWord>
      <group>L1_Format</group>
      <groupName>格式问题</groupName>
      <ability>L2_HalfPunc</ability>
      <abilityName>全半角检查</abilityName>
      <candidateList>
        <item>（</item>
      </candidateList>
      <explain>文本全半角错误。</explain>
      <paraID>7BF845EF</paraID>
      <start>4</start>
      <end>5</end>
      <status>unmodified</status>
      <modifiedWord/>
      <trackRevisions>false</trackRevisions>
    </reviewItem>
    <reviewItem>
      <errorID>d9eaeb39-1278-4638-a6c4-5066b294aaaf</errorID>
      <errorWord>)</errorWord>
      <group>L1_Format</group>
      <groupName>格式问题</groupName>
      <ability>L2_HalfPunc</ability>
      <abilityName>全半角检查</abilityName>
      <candidateList>
        <item>）</item>
      </candidateList>
      <explain>文本全半角错误。</explain>
      <paraID>7BF845EF</paraID>
      <start>6</start>
      <end>7</end>
      <status>unmodified</status>
      <modifiedWord/>
      <trackRevisions>false</trackRevisions>
    </reviewItem>
    <reviewItem>
      <errorID>cc432480-7c19-4c95-8226-6d9c3ff0a564</errorID>
      <errorWord>(</errorWord>
      <group>L1_Format</group>
      <groupName>格式问题</groupName>
      <ability>L2_HalfPunc</ability>
      <abilityName>全半角检查</abilityName>
      <candidateList>
        <item>（</item>
      </candidateList>
      <explain>文本全半角错误。</explain>
      <paraID>3BEEE318</paraID>
      <start>9</start>
      <end>10</end>
      <status>unmodified</status>
      <modifiedWord/>
      <trackRevisions>false</trackRevisions>
    </reviewItem>
    <reviewItem>
      <errorID>8c967253-0f2f-4db6-9e47-ddd1df805981</errorID>
      <errorWord>)</errorWord>
      <group>L1_Format</group>
      <groupName>格式问题</groupName>
      <ability>L2_HalfPunc</ability>
      <abilityName>全半角检查</abilityName>
      <candidateList>
        <item>）</item>
      </candidateList>
      <explain>文本全半角错误。</explain>
      <paraID>3BEEE318</paraID>
      <start>11</start>
      <end>12</end>
      <status>unmodified</status>
      <modifiedWord/>
      <trackRevisions>false</trackRevisions>
    </reviewItem>
    <reviewItem>
      <errorID>e6920cff-86d6-4c2c-8928-5d614b97d899</errorID>
      <errorWord>(</errorWord>
      <group>L1_Format</group>
      <groupName>格式问题</groupName>
      <ability>L2_HalfPunc</ability>
      <abilityName>全半角检查</abilityName>
      <candidateList>
        <item>（</item>
      </candidateList>
      <explain>文本全半角错误。</explain>
      <paraID>2A69F146</paraID>
      <start>1</start>
      <end>2</end>
      <status>unmodified</status>
      <modifiedWord/>
      <trackRevisions>false</trackRevisions>
    </reviewItem>
    <reviewItem>
      <errorID>735e81d8-4307-4968-9da9-5690a57a30f6</errorID>
      <errorWord>)</errorWord>
      <group>L1_Format</group>
      <groupName>格式问题</groupName>
      <ability>L2_HalfPunc</ability>
      <abilityName>全半角检查</abilityName>
      <candidateList>
        <item>）</item>
      </candidateList>
      <explain>文本全半角错误。</explain>
      <paraID>2A69F146</paraID>
      <start>3</start>
      <end>4</end>
      <status>unmodified</status>
      <modifiedWord/>
      <trackRevisions>false</trackRevisions>
    </reviewItem>
    <reviewItem>
      <errorID>c8b6f175-b87f-48ed-91aa-6199b05e4310</errorID>
      <errorWord>~</errorWord>
      <group>L1_Format</group>
      <groupName>格式问题</groupName>
      <ability>L2_HalfPunc</ability>
      <abilityName>全半角检查</abilityName>
      <candidateList>
        <item>～</item>
      </candidateList>
      <explain>文本全半角错误。</explain>
      <paraID>1FBD4C75</paraID>
      <start>145</start>
      <end>146</end>
      <status>unmodified</status>
      <modifiedWord/>
      <trackRevisions>false</trackRevisions>
    </reviewItem>
    <reviewItem>
      <errorID>59fa75e8-fed6-4f75-b490-aa7fcefab5af</errorID>
      <errorWord>~</errorWord>
      <group>L1_Format</group>
      <groupName>格式问题</groupName>
      <ability>L2_HalfPunc</ability>
      <abilityName>全半角检查</abilityName>
      <candidateList>
        <item>～</item>
      </candidateList>
      <explain>文本全半角错误。</explain>
      <paraID>1FBD4C75</paraID>
      <start>187</start>
      <end>188</end>
      <status>unmodified</status>
      <modifiedWord/>
      <trackRevisions>false</trackRevisions>
    </reviewItem>
    <reviewItem>
      <errorID>4f60bac2-5402-4c39-87fc-f59f98a46fe6</errorID>
      <errorWord>虽</errorWord>
      <group>L1_Word</group>
      <groupName>字词问题</groupName>
      <ability>L2_Typo</ability>
      <abilityName>字词错误</abilityName>
      <candidateList>
        <item>虽然</item>
      </candidateList>
      <explain/>
      <paraID>4BEE9AF8</paraID>
      <start>227</start>
      <end>228</end>
      <status>unmodified</status>
      <modifiedWord/>
      <trackRevisions>false</trackRevisions>
    </reviewItem>
    <reviewItem>
      <errorID>beeae68d-cdd3-4c9d-bbf3-4b200f3e80cf</errorID>
      <errorWord>来沙</errorWord>
      <group>L1_Word</group>
      <groupName>字词问题</groupName>
      <ability>L2_Typo</ability>
      <abilityName>字词错误</abilityName>
      <candidateList>
        <item>泥沙</item>
      </candidateList>
      <explain/>
      <paraID>1BBBF21D</paraID>
      <start>64</start>
      <end>66</end>
      <status>unmodified</status>
      <modifiedWord/>
      <trackRevisions>false</trackRevisions>
    </reviewItem>
    <reviewItem>
      <errorID>4fbec6c0-cc6d-4731-ab73-a71a5553b229</errorID>
      <errorWord>-</errorWord>
      <group>L1_Format</group>
      <groupName>格式问题</groupName>
      <ability>L2_HalfPunc</ability>
      <abilityName>全半角检查</abilityName>
      <candidateList>
        <item>－</item>
      </candidateList>
      <explain>文本全半角错误。</explain>
      <paraID>578E2B73</paraID>
      <start>137</start>
      <end>138</end>
      <status>unmodified</status>
      <modifiedWord/>
      <trackRevisions>false</trackRevisions>
    </reviewItem>
    <reviewItem>
      <errorID>de0595fe-0d6a-45f6-9d8a-5f3916751aa3</errorID>
      <errorWord>-</errorWord>
      <group>L1_Format</group>
      <groupName>格式问题</groupName>
      <ability>L2_HalfPunc</ability>
      <abilityName>全半角检查</abilityName>
      <candidateList>
        <item>－</item>
      </candidateList>
      <explain>文本全半角错误。</explain>
      <paraID>578E2B73</paraID>
      <start>413</start>
      <end>414</end>
      <status>unmodified</status>
      <modifiedWord/>
      <trackRevisions>false</trackRevisions>
    </reviewItem>
    <reviewItem>
      <errorID>9e37d338-3d7f-4301-971f-5326e841e660</errorID>
      <errorWord>-</errorWord>
      <group>L1_Format</group>
      <groupName>格式问题</groupName>
      <ability>L2_HalfPunc</ability>
      <abilityName>全半角检查</abilityName>
      <candidateList>
        <item>－</item>
      </candidateList>
      <explain>文本全半角错误。</explain>
      <paraID>578E2B73</paraID>
      <start>426</start>
      <end>427</end>
      <status>unmodified</status>
      <modifiedWord/>
      <trackRevisions>false</trackRevisions>
    </reviewItem>
    <reviewItem>
      <errorID>0815d8e9-a9d3-47fe-87dd-1aa31a93fc46</errorID>
      <errorWord>河</errorWord>
      <group>L1_Word</group>
      <groupName>字词问题</groupName>
      <ability>L2_Typo</ability>
      <abilityName>字词错误</abilityName>
      <candidateList>
        <item>和</item>
      </candidateList>
      <explain>存在发音相同字词的误用。</explain>
      <paraID>4A303397</paraID>
      <start>33</start>
      <end>34</end>
      <status>unmodified</status>
      <modifiedWord/>
      <trackRevisions>false</trackRevisions>
    </reviewItem>
    <reviewItem>
      <errorID>a08d4567-1bd1-4aa4-b054-0927de18cbc0</errorID>
      <errorWord>~</errorWord>
      <group>L1_Format</group>
      <groupName>格式问题</groupName>
      <ability>L2_HalfPunc</ability>
      <abilityName>全半角检查</abilityName>
      <candidateList>
        <item>～</item>
      </candidateList>
      <explain>文本全半角错误。</explain>
      <paraID>241E5C57</paraID>
      <start>53</start>
      <end>54</end>
      <status>unmodified</status>
      <modifiedWord/>
      <trackRevisions>false</trackRevisions>
    </reviewItem>
    <reviewItem>
      <errorID>f2aaab05-43b8-458c-b0ec-24cdbc8516f6</errorID>
      <errorWord>~</errorWord>
      <group>L1_Format</group>
      <groupName>格式问题</groupName>
      <ability>L2_HalfPunc</ability>
      <abilityName>全半角检查</abilityName>
      <candidateList>
        <item>～</item>
      </candidateList>
      <explain>文本全半角错误。</explain>
      <paraID>241E5C57</paraID>
      <start>98</start>
      <end>99</end>
      <status>unmodified</status>
      <modifiedWord/>
      <trackRevisions>false</trackRevisions>
    </reviewItem>
    <reviewItem>
      <errorID>e7ec55fa-b5f8-4d97-b15e-0d73a5969f66</errorID>
      <errorWord>~</errorWord>
      <group>L1_Format</group>
      <groupName>格式问题</groupName>
      <ability>L2_HalfPunc</ability>
      <abilityName>全半角检查</abilityName>
      <candidateList>
        <item>～</item>
      </candidateList>
      <explain>文本全半角错误。</explain>
      <paraID>6B8176BE</paraID>
      <start>86</start>
      <end>87</end>
      <status>unmodified</status>
      <modifiedWord/>
      <trackRevisions>false</trackRevisions>
    </reviewItem>
    <reviewItem>
      <errorID>519c4e26-274a-4477-820a-f94cc7367c42</errorID>
      <errorWord>~</errorWord>
      <group>L1_Format</group>
      <groupName>格式问题</groupName>
      <ability>L2_HalfPunc</ability>
      <abilityName>全半角检查</abilityName>
      <candidateList>
        <item>～</item>
      </candidateList>
      <explain>文本全半角错误。</explain>
      <paraID>60B53CA0</paraID>
      <start>43</start>
      <end>44</end>
      <status>unmodified</status>
      <modifiedWord/>
      <trackRevisions>false</trackRevisions>
    </reviewItem>
    <reviewItem>
      <errorID>42629ecb-86f0-4da3-90b7-518f219d3be5</errorID>
      <errorWord>~</errorWord>
      <group>L1_Format</group>
      <groupName>格式问题</groupName>
      <ability>L2_HalfPunc</ability>
      <abilityName>全半角检查</abilityName>
      <candidateList>
        <item>～</item>
      </candidateList>
      <explain>文本全半角错误。</explain>
      <paraID>60B53CA0</paraID>
      <start>113</start>
      <end>114</end>
      <status>unmodified</status>
      <modifiedWord/>
      <trackRevisions>false</trackRevisions>
    </reviewItem>
    <reviewItem>
      <errorID>dd40d918-278c-4fac-9de6-0ee3bf566ce6</errorID>
      <errorWord>~</errorWord>
      <group>L1_Format</group>
      <groupName>格式问题</groupName>
      <ability>L2_HalfPunc</ability>
      <abilityName>全半角检查</abilityName>
      <candidateList>
        <item>～</item>
      </candidateList>
      <explain>文本全半角错误。</explain>
      <paraID>71F7B04F</paraID>
      <start>35</start>
      <end>36</end>
      <status>unmodified</status>
      <modifiedWord/>
      <trackRevisions>false</trackRevisions>
    </reviewItem>
    <reviewItem>
      <errorID>92c68cec-263f-4110-b6d4-705c25eb8e34</errorID>
      <errorWord>~</errorWord>
      <group>L1_Format</group>
      <groupName>格式问题</groupName>
      <ability>L2_HalfPunc</ability>
      <abilityName>全半角检查</abilityName>
      <candidateList>
        <item>～</item>
      </candidateList>
      <explain>文本全半角错误。</explain>
      <paraID>71F7B04F</paraID>
      <start>77</start>
      <end>78</end>
      <status>unmodified</status>
      <modifiedWord/>
      <trackRevisions>false</trackRevisions>
    </reviewItem>
    <reviewItem>
      <errorID>4a19dde2-29e6-4983-8c55-d32d12d11fe2</errorID>
      <errorWord>0.05%~0.12%</errorWord>
      <group>L1_Knowledge</group>
      <groupName>知识性问题</groupName>
      <ability>L2_Knowledge</ability>
      <abilityName>其他知识</abilityName>
      <candidateList>
        <item>0.05%～0.12%</item>
      </candidateList>
      <explain>1. “0.05%~0.12%”中的单位“%”仅出现在后一个数字上，容易引起歧义；根据《现代汉语标点符号数字用法规范手册》，数字表示范围两边需要使用统一的格式。2. 根据标点国标 4.13 中的规则，数字、时间或地域连接符应使用（视觉上更长的）“—”或“～”。</explain>
      <paraID>71F7B04F</paraID>
      <start>124</start>
      <end>135</end>
      <status>unmodified</status>
      <modifiedWord/>
      <trackRevisions>false</trackRevisions>
    </reviewItem>
    <reviewItem>
      <errorID>bb390536-2637-4840-95a4-3d898a05cb6f</errorID>
      <errorWord>主要以水下拦门浅滩地貌和水下斜坡为主</errorWord>
      <group>L1_Grammar</group>
      <groupName>语法问题</groupName>
      <ability>L2_Grammar</ability>
      <abilityName>语法错误</abilityName>
      <candidateList>
        <item>以水下拦门浅滩地貌和水下斜坡为主</item>
      </candidateList>
      <explain/>
      <paraID>4633BAEA</paraID>
      <start>5</start>
      <end>23</end>
      <status>unmodified</status>
      <modifiedWord/>
      <trackRevisions>false</trackRevisions>
    </reviewItem>
    <reviewItem>
      <errorID>6c39bfc8-9a8e-4e90-bdfc-31a9c3f45dd8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4B8DDF8F</paraID>
      <start>136</start>
      <end>137</end>
      <status>unmodified</status>
      <modifiedWord/>
      <trackRevisions>false</trackRevisions>
    </reviewItem>
    <reviewItem>
      <errorID>a3cb1bec-98d0-426c-aedb-d4040cc7658d</errorID>
      <errorWord>虽</errorWord>
      <group>L1_Word</group>
      <groupName>字词问题</groupName>
      <ability>L2_Typo</ability>
      <abilityName>字词错误</abilityName>
      <candidateList>
        <item>虽然</item>
      </candidateList>
      <explain/>
      <paraID>1CC65774</paraID>
      <start>24</start>
      <end>25</end>
      <status>unmodified</status>
      <modifiedWord/>
      <trackRevisions>false</trackRevisions>
    </reviewItem>
    <reviewItem>
      <errorID>9d8265e2-923a-47cf-80bf-30803100c604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210B0F7E</paraID>
      <start>78</start>
      <end>79</end>
      <status>unmodified</status>
      <modifiedWord/>
      <trackRevisions>false</trackRevisions>
    </reviewItem>
    <reviewItem>
      <errorID>07f02fc5-c391-41ff-89c7-f7a6cedf4950</errorID>
      <errorWord>反映</errorWord>
      <group>L1_Word</group>
      <groupName>字词问题</groupName>
      <ability>L2_Typo</ability>
      <abilityName>字词错误</abilityName>
      <candidateList>
        <item>反应</item>
      </candidateList>
      <explain>❶〈动〉机体受到体内或体外的刺激而引起相应的活动：对方射门太突然，守门员没有～过来。❷〈名〉打针或服药所引起的呕吐、发热、头痛、腹痛等症状。❸〈动〉化学反应。❹〈动〉原子核受到外力作用而发生变化：热核～。❺〈名〉事情所引起的意见、态度或行动：他的演说引起了不同的～。</explain>
      <paraID>395808D2</paraID>
      <start>92</start>
      <end>94</end>
      <status>unmodified</status>
      <modifiedWord/>
      <trackRevisions>false</trackRevisions>
    </reviewItem>
    <reviewItem>
      <errorID>9625d7e4-1122-44b6-823a-71ea8d2c8994</errorID>
      <errorWord>5～10万</errorWord>
      <group>L1_Knowledge</group>
      <groupName>知识性问题</groupName>
      <ability>L2_Knowledge</ability>
      <abilityName>其他知识</abilityName>
      <candidateList>
        <item>5万～10万</item>
      </candidateList>
      <explain>1. “5～10万”中的单位“万”仅出现在后一个数字上，容易引起歧义；根据《现代汉语标点符号数字用法规范手册》，数字表示范围两边需要使用统一的格式。2. 根据标点国标 4.13 中的规则，数字、时间或地域连接符应使用（视觉上更长的）“—”或“～”。</explain>
      <paraID>7FEBDEA9</paraID>
      <start>75</start>
      <end>80</end>
      <status>unmodified</status>
      <modifiedWord/>
      <trackRevisions>false</trackRevisions>
    </reviewItem>
    <reviewItem>
      <errorID>929cb127-b292-4795-82e9-d1684dc495b7</errorID>
      <errorWord>须赤</errorWord>
      <group>L1_Word</group>
      <groupName>字词问题</groupName>
      <ability>L2_Typo</ability>
      <abilityName>字词错误</abilityName>
      <candidateList>
        <item>赤须</item>
      </candidateList>
      <explain/>
      <paraID>6049C685</paraID>
      <start>133</start>
      <end>135</end>
      <status>unmodified</status>
      <modifiedWord/>
      <trackRevisions>false</trackRevisions>
    </reviewItem>
    <reviewItem>
      <errorID>3b71a3fa-bfda-4244-88cf-8e82f4378d08</errorID>
      <errorWord>俯览</errorWord>
      <group>L1_Word</group>
      <groupName>字词问题</groupName>
      <ability>L2_Typo</ability>
      <abilityName>字词错误</abilityName>
      <candidateList>
        <item>俯瞰</item>
      </candidateList>
      <explain/>
      <paraID>4BB772DA</paraID>
      <start>105</start>
      <end>107</end>
      <status>unmodified</status>
      <modifiedWord/>
      <trackRevisions>false</trackRevisions>
    </reviewItem>
    <reviewItem>
      <errorID>a39c04fd-c90f-4f0c-b34e-d6b9a8550e7f</errorID>
      <errorWord>约200余</errorWord>
      <group>L1_Word</group>
      <groupName>字词问题</groupName>
      <ability>L2_Typo</ability>
      <abilityName>字词错误</abilityName>
      <candidateList>
        <item>200余</item>
      </candidateList>
      <explain/>
      <paraID>6745C716</paraID>
      <start>12</start>
      <end>17</end>
      <status>unmodified</status>
      <modifiedWord/>
      <trackRevisions>false</trackRevisions>
    </reviewItem>
    <reviewItem>
      <errorID>319e4fa9-b589-44ad-88b9-5bdd703754af</errorID>
      <errorWord>苦郎</errorWord>
      <group>L1_Word</group>
      <groupName>字词问题</groupName>
      <ability>L2_Typo</ability>
      <abilityName>字词错误</abilityName>
      <candidateList>
        <item>苦楝</item>
      </candidateList>
      <explain/>
      <paraID>4CC1BC55</paraID>
      <start>1</start>
      <end>3</end>
      <status>unmodified</status>
      <modifiedWord/>
      <trackRevisions>false</trackRevisions>
    </reviewItem>
    <reviewItem>
      <errorID>5c44b90d-298d-4ded-b457-bf2dafc0df00</errorID>
      <errorWord>苦郎树</errorWord>
      <group>L1_Word</group>
      <groupName>字词问题</groupName>
      <ability>L2_Typo</ability>
      <abilityName>字词错误</abilityName>
      <candidateList>
        <item>苦楝树</item>
      </candidateList>
      <explain/>
      <paraID>4CC1BC55</paraID>
      <start>43</start>
      <end>46</end>
      <status>unmodified</status>
      <modifiedWord/>
      <trackRevisions>false</trackRevisions>
    </reviewItem>
    <reviewItem>
      <errorID>8936af8f-dedb-46c6-95c2-4d67e183ff2f</errorID>
      <errorWord>（</errorWord>
      <group>L1_Format</group>
      <groupName>格式问题</groupName>
      <ability>L2_HalfPunc</ability>
      <abilityName>全半角检查</abilityName>
      <candidateList>
        <item>(</item>
      </candidateList>
      <explain>文本全半角错误。</explain>
      <paraID> 86CFA14</paraID>
      <start>0</start>
      <end>1</end>
      <status>unmodified</status>
      <modifiedWord/>
      <trackRevisions>false</trackRevisions>
    </reviewItem>
    <reviewItem>
      <errorID>87a690f6-70c5-4590-94f4-60240dcd906a</errorID>
      <errorWord>）</errorWord>
      <group>L1_Format</group>
      <groupName>格式问题</groupName>
      <ability>L2_HalfPunc</ability>
      <abilityName>全半角检查</abilityName>
      <candidateList>
        <item>)</item>
      </candidateList>
      <explain>文本全半角错误。</explain>
      <paraID> 86CFA14</paraID>
      <start>3</start>
      <end>4</end>
      <status>unmodified</status>
      <modifiedWord/>
      <trackRevisions>false</trackRevisions>
    </reviewItem>
    <reviewItem>
      <errorID>82da134d-e94e-4612-bbd2-52f70c53bc1d</errorID>
      <errorWord>'</errorWord>
      <group>L1_Format</group>
      <groupName>格式问题</groupName>
      <ability>L2_HalfPunc</ability>
      <abilityName>全半角检查</abilityName>
      <candidateList/>
      <explain>文本全半角错误。</explain>
      <paraID>4A60AD8F</paraID>
      <start>75</start>
      <end>76</end>
      <status>unmodified</status>
      <modifiedWord/>
      <trackRevisions>false</trackRevisions>
    </reviewItem>
    <reviewItem>
      <errorID>296493e9-772c-48df-a7d7-03d2a28fc3c4</errorID>
      <errorWord>'</errorWord>
      <group>L1_Format</group>
      <groupName>格式问题</groupName>
      <ability>L2_HalfPunc</ability>
      <abilityName>全半角检查</abilityName>
      <candidateList/>
      <explain>文本全半角错误。</explain>
      <paraID>4A60AD8F</paraID>
      <start>93</start>
      <end>94</end>
      <status>unmodified</status>
      <modifiedWord/>
      <trackRevisions>false</trackRevisions>
    </reviewItem>
    <reviewItem>
      <errorID>dd5abdf6-a848-4848-b0cb-fa013070e0ce</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4723CD44</paraID>
      <start>43</start>
      <end>46</end>
      <status>unmodified</status>
      <modifiedWord/>
      <trackRevisions>false</trackRevisions>
    </reviewItem>
    <reviewItem>
      <errorID>7f07dd81-3bfd-4c73-9c31-47dbe41b089e</errorID>
      <errorWord>(</errorWord>
      <group>L1_Format</group>
      <groupName>格式问题</groupName>
      <ability>L2_HalfPunc</ability>
      <abilityName>全半角检查</abilityName>
      <candidateList>
        <item>（</item>
      </candidateList>
      <explain>文本全半角错误。</explain>
      <paraID>4723CD44</paraID>
      <start>63</start>
      <end>64</end>
      <status>unmodified</status>
      <modifiedWord/>
      <trackRevisions>false</trackRevisions>
    </reviewItem>
    <reviewItem>
      <errorID>619b148f-53c4-4e97-961b-09e3009fd4c5</errorID>
      <errorWord>位路</errorWord>
      <group>L1_Word</group>
      <groupName>字词问题</groupName>
      <ability>L2_Typo</ability>
      <abilityName>字词错误</abilityName>
      <candidateList>
        <item>位置</item>
      </candidateList>
      <explain>〈名〉❶所在或所占的地方：大家都按指定的～坐了下来。❷地位：《狂人日记》在我国新文学中占有重要～。❸指职位：谋了个科员的～。</explain>
      <paraID>438675FB</paraID>
      <start>61</start>
      <end>63</end>
      <status>unmodified</status>
      <modifiedWord/>
      <trackRevisions>false</trackRevisions>
    </reviewItem>
    <reviewItem>
      <errorID>ac3d8c10-8e2a-4637-af7d-d23a19f59bfd</errorID>
      <errorWord>与</errorWord>
      <group>L1_Word</group>
      <groupName>字词问题</groupName>
      <ability>L2_Typo</ability>
      <abilityName>字词错误</abilityName>
      <candidateList>
        <item>于</item>
      </candidateList>
      <explain>存在发音相同字词的误用。</explain>
      <paraID>1868F494</paraID>
      <start>62</start>
      <end>63</end>
      <status>unmodified</status>
      <modifiedWord/>
      <trackRevisions>false</trackRevisions>
    </reviewItem>
    <reviewItem>
      <errorID>a0dddcbf-35e0-448e-8bf4-a5ff10f1e186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1868F494</paraID>
      <start>67</start>
      <end>68</end>
      <status>unmodified</status>
      <modifiedWord/>
      <trackRevisions>false</trackRevisions>
    </reviewItem>
    <reviewItem>
      <errorID>8890f5a4-7690-4f60-90b9-1dee97e7315f</errorID>
      <errorWord>-</errorWord>
      <group>L1_Format</group>
      <groupName>格式问题</groupName>
      <ability>L2_HalfPunc</ability>
      <abilityName>全半角检查</abilityName>
      <candidateList>
        <item>－</item>
      </candidateList>
      <explain>文本全半角错误。</explain>
      <paraID> D7B95CE</paraID>
      <start>3</start>
      <end>4</end>
      <status>unmodified</status>
      <modifiedWord/>
      <trackRevisions>false</trackRevisions>
    </reviewItem>
    <reviewItem>
      <errorID>3c92959b-1b82-4bb2-9f4b-05dfe8d66ac9</errorID>
      <errorWord>10%-50%</errorWord>
      <group>L1_Knowledge</group>
      <groupName>知识性问题</groupName>
      <ability>L2_Knowledge</ability>
      <abilityName>其他知识</abilityName>
      <candidateList>
        <item>10%—50%</item>
      </candidateList>
      <explain>1. “10%-50%”中的单位“%”仅出现在后一个数字上，容易引起歧义；根据《现代汉语标点符号数字用法规范手册》，数字表示范围两边需要使用统一的格式。2. 根据标点国标 4.13 中的规则，数字、时间或地域连接符应使用（视觉上更长的）“—”或“～”。</explain>
      <paraID> D7B95CE</paraID>
      <start>104</start>
      <end>111</end>
      <status>unmodified</status>
      <modifiedWord/>
      <trackRevisions>false</trackRevisions>
    </reviewItem>
    <reviewItem>
      <errorID>c702c2fe-2e15-4476-bf70-c2cb44d97ce5</errorID>
      <errorWord>其它</errorWord>
      <group>L1_Word</group>
      <groupName>字词问题</groupName>
      <ability>L2_Alias</ability>
      <abilityName>也作/曾用词</abilityName>
      <candidateList>
        <item>其他</item>
      </candidateList>
      <explain>词汇[其它]为不规范表述或旧称，其规范书面表述为[其他]。</explain>
      <paraID> D7B95CE</paraID>
      <start>165</start>
      <end>167</end>
      <status>modified</status>
      <modifiedWord>其他</modifiedWord>
      <trackRevisions>false</trackRevisions>
    </reviewItem>
    <reviewItem>
      <errorID>29cb14f0-5c8a-492b-a0d0-3ab2fbbcb883</errorID>
      <errorWord>-</errorWord>
      <group>L1_Format</group>
      <groupName>格式问题</groupName>
      <ability>L2_HalfPunc</ability>
      <abilityName>全半角检查</abilityName>
      <candidateList>
        <item>－</item>
      </candidateList>
      <explain>文本全半角错误。</explain>
      <paraID>592EB09D</paraID>
      <start>3</start>
      <end>4</end>
      <status>unmodified</status>
      <modifiedWord/>
      <trackRevisions>false</trackRevisions>
    </reviewItem>
    <reviewItem>
      <errorID>9f8779d1-12c5-435b-828f-060d3fdafa02</errorID>
      <errorWord>联系度</errorWord>
      <group>L1_Word</group>
      <groupName>字词问题</groupName>
      <ability>L2_Typo</ability>
      <abilityName>字词错误</abilityName>
      <candidateList>
        <item>联系</item>
      </candidateList>
      <explain>〈动〉彼此接上关系：保持～｜理论～实际｜密切～群众｜以后多写信，不要失掉～。</explain>
      <paraID>592EB09D</paraID>
      <start>89</start>
      <end>92</end>
      <status>unmodified</status>
      <modifiedWord/>
      <trackRevisions>false</trackRevisions>
    </reviewItem>
    <reviewItem>
      <errorID>c6b8133f-adaa-4b32-8b22-1eaf0f5f2097</errorID>
      <errorWord>成体</errorWord>
      <group>L1_Word</group>
      <groupName>字词问题</groupName>
      <ability>L2_Typo</ability>
      <abilityName>字词错误</abilityName>
      <candidateList>
        <item>成年</item>
      </candidateList>
      <explain/>
      <paraID>6F3A5A63</paraID>
      <start>46</start>
      <end>48</end>
      <status>unmodified</status>
      <modifiedWord/>
      <trackRevisions>false</trackRevisions>
    </reviewItem>
    <reviewItem>
      <errorID>a2bc6414-c58b-4ffc-8617-81665c03d479</errorID>
      <errorWord>-</errorWord>
      <group>L1_Format</group>
      <groupName>格式问题</groupName>
      <ability>L2_HalfPunc</ability>
      <abilityName>全半角检查</abilityName>
      <candidateList>
        <item>－</item>
      </candidateList>
      <explain>文本全半角错误。</explain>
      <paraID>2461F4F1</paraID>
      <start>10</start>
      <end>11</end>
      <status>unmodified</status>
      <modifiedWord/>
      <trackRevisions>false</trackRevisions>
    </reviewItem>
    <reviewItem>
      <errorID>98cc28fc-5dda-4ae8-9f1e-42ec95684487</errorID>
      <errorWord>-</errorWord>
      <group>L1_Format</group>
      <groupName>格式问题</groupName>
      <ability>L2_HalfPunc</ability>
      <abilityName>全半角检查</abilityName>
      <candidateList>
        <item>－</item>
      </candidateList>
      <explain>文本全半角错误。</explain>
      <paraID>7004D5B3</paraID>
      <start>10</start>
      <end>11</end>
      <status>unmodified</status>
      <modifiedWord/>
      <trackRevisions>false</trackRevisions>
    </reviewItem>
    <reviewItem>
      <errorID>39973880-9b6e-47ed-95d7-e36edd32f04a</errorID>
      <errorWord>其它</errorWord>
      <group>L1_Word</group>
      <groupName>字词问题</groupName>
      <ability>L2_Alias</ability>
      <abilityName>也作/曾用词</abilityName>
      <candidateList>
        <item>其他</item>
      </candidateList>
      <explain>词汇[其它]为不规范表述或旧称，其规范书面表述为[其他]。</explain>
      <paraID>7004D5B3</paraID>
      <start>65</start>
      <end>67</end>
      <status>modified</status>
      <modifiedWord>其他</modifiedWord>
      <trackRevisions>false</trackRevisions>
    </reviewItem>
    <reviewItem>
      <errorID>a1102ea7-b914-43a2-958d-c52d883b1758</errorID>
      <errorWord>-</errorWord>
      <group>L1_Format</group>
      <groupName>格式问题</groupName>
      <ability>L2_HalfPunc</ability>
      <abilityName>全半角检查</abilityName>
      <candidateList>
        <item>－</item>
      </candidateList>
      <explain>文本全半角错误。</explain>
      <paraID>4DDAFBFF</paraID>
      <start>9</start>
      <end>10</end>
      <status>unmodified</status>
      <modifiedWord/>
      <trackRevisions>false</trackRevisions>
    </reviewItem>
    <reviewItem>
      <errorID>ffa17a6f-ced7-4ef8-bb43-3e24e0c9fbc5</errorID>
      <errorWord>-</errorWord>
      <group>L1_Format</group>
      <groupName>格式问题</groupName>
      <ability>L2_HalfPunc</ability>
      <abilityName>全半角检查</abilityName>
      <candidateList>
        <item>－</item>
      </candidateList>
      <explain>文本全半角错误。</explain>
      <paraID> 975747F</paraID>
      <start>10</start>
      <end>11</end>
      <status>unmodified</status>
      <modifiedWord/>
      <trackRevisions>false</trackRevisions>
    </reviewItem>
    <reviewItem>
      <errorID>5d4a7472-b034-4f33-a379-30e02a907481</errorID>
      <errorWord>-</errorWord>
      <group>L1_Format</group>
      <groupName>格式问题</groupName>
      <ability>L2_HalfPunc</ability>
      <abilityName>全半角检查</abilityName>
      <candidateList>
        <item>－</item>
      </candidateList>
      <explain>文本全半角错误。</explain>
      <paraID>5B2C9D00</paraID>
      <start>10</start>
      <end>11</end>
      <status>unmodified</status>
      <modifiedWord/>
      <trackRevisions>false</trackRevisions>
    </reviewItem>
    <reviewItem>
      <errorID>ba6e400d-bfb8-489c-bd88-0d57d4376510</errorID>
      <errorWord>努力</errorWord>
      <group>L1_Word</group>
      <groupName>字词问题</groupName>
      <ability>L2_Typo</ability>
      <abilityName>字词错误</abilityName>
      <candidateList>
        <item>力</item>
      </candidateList>
      <explain/>
      <paraID>  5A1FA5</paraID>
      <start>56</start>
      <end>58</end>
      <status>unmodified</status>
      <modifiedWord/>
      <trackRevisions>false</trackRevisions>
    </reviewItem>
    <reviewItem>
      <errorID>dc83d584-04fb-4e32-a4cc-7dfd2a06569f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658BFB6B</paraID>
      <start>12</start>
      <end>13</end>
      <status>unmodified</status>
      <modifiedWord/>
      <trackRevisions>false</trackRevisions>
    </reviewItem>
    <reviewItem>
      <errorID>c893c4d8-d998-4892-8369-96af371ad3cb</errorID>
      <errorWord>5）、</errorWord>
      <group>L1_Punc</group>
      <groupName>标点问题</groupName>
      <ability>L2_Punc</ability>
      <abilityName>标点符号检查</abilityName>
      <candidateList>
        <item>5）</item>
      </candidateList>
      <explain>根据国标GB/T 15834-2011《标点符号用法》中的4.5.3.3节，带括号的汉字数字或阿拉伯数字表次序时，后面通常不加顿号。如“（一）指导思想”“（二）行动指南”。</explain>
      <paraID>5ABC8142</paraID>
      <start>96</start>
      <end>99</end>
      <status>unmodified</status>
      <modifiedWord/>
      <trackRevisions>false</trackRevisions>
    </reviewItem>
    <reviewItem>
      <errorID>ab6ede3a-d5ae-4c6c-a086-a5f21b2df7e3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1A6C29DA</paraID>
      <start>68</start>
      <end>69</end>
      <status>unmodified</status>
      <modifiedWord/>
      <trackRevisions>false</trackRevisions>
    </reviewItem>
    <reviewItem>
      <errorID>3fb90f61-da40-4603-af6e-5e428c3dc225</errorID>
      <errorWord>（</errorWord>
      <group>L1_Format</group>
      <groupName>格式问题</groupName>
      <ability>L2_HalfPunc</ability>
      <abilityName>全半角检查</abilityName>
      <candidateList>
        <item>(</item>
      </candidateList>
      <explain>文本全半角错误。</explain>
      <paraID> CD38DFF</paraID>
      <start>0</start>
      <end>1</end>
      <status>unmodified</status>
      <modifiedWord/>
      <trackRevisions>false</trackRevisions>
    </reviewItem>
    <reviewItem>
      <errorID>634c3dd4-b3ae-465e-87a9-b4f462806653</errorID>
      <errorWord>）</errorWord>
      <group>L1_Format</group>
      <groupName>格式问题</groupName>
      <ability>L2_HalfPunc</ability>
      <abilityName>全半角检查</abilityName>
      <candidateList>
        <item>)</item>
      </candidateList>
      <explain>文本全半角错误。</explain>
      <paraID> CD38DFF</paraID>
      <start>13</start>
      <end>14</end>
      <status>unmodified</status>
      <modifiedWord/>
      <trackRevisions>false</trackRevisions>
    </reviewItem>
    <reviewItem>
      <errorID>5d70b4e4-4576-4496-8df4-2da93b12d188</errorID>
      <errorWord>解吸</errorWord>
      <group>L1_Word</group>
      <groupName>字词问题</groupName>
      <ability>L2_Typo</ability>
      <abilityName>字词错误</abilityName>
      <candidateList>
        <item>解析</item>
      </candidateList>
      <explain/>
      <paraID>7B042F28</paraID>
      <start>23</start>
      <end>25</end>
      <status>unmodified</status>
      <modifiedWord/>
      <trackRevisions>false</trackRevisions>
    </reviewItem>
    <reviewItem>
      <errorID>d0b68a0a-9e87-4057-b7b1-d64dce2607dc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6A9211E2</paraID>
      <start>6</start>
      <end>7</end>
      <status>unmodified</status>
      <modifiedWord/>
      <trackRevisions>false</trackRevisions>
    </reviewItem>
    <reviewItem>
      <errorID>c8ec9b1d-1f17-4355-b8a9-b9099023ca2b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2E8B096C</paraID>
      <start>6</start>
      <end>7</end>
      <status>unmodified</status>
      <modifiedWord/>
      <trackRevisions>false</trackRevisions>
    </reviewItem>
    <reviewItem>
      <errorID>c427d435-d792-4bea-b9ae-a81bf1c7f11e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26F534F9</paraID>
      <start>6</start>
      <end>7</end>
      <status>unmodified</status>
      <modifiedWord/>
      <trackRevisions>false</trackRevisions>
    </reviewItem>
    <reviewItem>
      <errorID>931ccdb6-4c54-4803-8006-46a2188b880f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27FE0BE6</paraID>
      <start>6</start>
      <end>7</end>
      <status>unmodified</status>
      <modifiedWord/>
      <trackRevisions>false</trackRevisions>
    </reviewItem>
    <reviewItem>
      <errorID>dcab6640-0d5e-4edf-bb71-b0cba5afd2ac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581B4F6B</paraID>
      <start>6</start>
      <end>7</end>
      <status>unmodified</status>
      <modifiedWord/>
      <trackRevisions>false</trackRevisions>
    </reviewItem>
    <reviewItem>
      <errorID>970afb51-79a9-4e5f-9d97-91112c607a51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2AC2A60C</paraID>
      <start>6</start>
      <end>7</end>
      <status>unmodified</status>
      <modifiedWord/>
      <trackRevisions>false</trackRevisions>
    </reviewItem>
    <reviewItem>
      <errorID>3f83fa8e-4839-416f-9840-b9d65e96a6b1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868DC9A</paraID>
      <start>6</start>
      <end>7</end>
      <status>unmodified</status>
      <modifiedWord/>
      <trackRevisions>false</trackRevisions>
    </reviewItem>
    <reviewItem>
      <errorID>6b228d79-d075-4c72-a6ab-5ca535ed9c62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39E3A2F0</paraID>
      <start>6</start>
      <end>7</end>
      <status>unmodified</status>
      <modifiedWord/>
      <trackRevisions>false</trackRevisions>
    </reviewItem>
    <reviewItem>
      <errorID>91bc5b2d-92f7-4a2d-8ad5-a5de7fbee517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596A7C03</paraID>
      <start>6</start>
      <end>7</end>
      <status>unmodified</status>
      <modifiedWord/>
      <trackRevisions>false</trackRevisions>
    </reviewItem>
    <reviewItem>
      <errorID>f250f6e4-3d75-4ed8-b192-c679de94928a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19ACE79B</paraID>
      <start>6</start>
      <end>7</end>
      <status>unmodified</status>
      <modifiedWord/>
      <trackRevisions>false</trackRevisions>
    </reviewItem>
    <reviewItem>
      <errorID>54188746-67d1-4274-aa4b-9b3245e02b3d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3527B8D6</paraID>
      <start>6</start>
      <end>7</end>
      <status>unmodified</status>
      <modifiedWord/>
      <trackRevisions>false</trackRevisions>
    </reviewItem>
    <reviewItem>
      <errorID>9eb7dbd0-1144-4cff-8b16-8e77de476001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7BA58EB8</paraID>
      <start>0</start>
      <end>2</end>
      <status>unmodified</status>
      <modifiedWord/>
      <trackRevisions>false</trackRevisions>
    </reviewItem>
    <reviewItem>
      <errorID>cc8524ba-1def-44de-b57d-5e9f8daae31a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4F3184FF</paraID>
      <start>0</start>
      <end>2</end>
      <status>unmodified</status>
      <modifiedWord/>
      <trackRevisions>false</trackRevisions>
    </reviewItem>
    <reviewItem>
      <errorID>72f9852a-e863-43e0-9eff-7ab6e4b55ea0</errorID>
      <errorWord>三氟乙烷</errorWord>
      <group>L1_Knowledge</group>
      <groupName>知识性问题</groupName>
      <ability>L2_Term</ability>
      <abilityName>专业术语</abilityName>
      <candidateList>
        <item>氟烷</item>
      </candidateList>
      <explain>医学名词[三氟乙烷]为不规范表述或旧称，其规范书面表述为[氟烷]。</explain>
      <paraID>4F3184FF</paraID>
      <start>6</start>
      <end>10</end>
      <status>unmodified</status>
      <modifiedWord/>
      <trackRevisions>false</trackRevisions>
    </reviewItem>
    <reviewItem>
      <errorID>e41ec7f8-2711-4b10-b0c2-5a3db06967ff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2B398F1B</paraID>
      <start>0</start>
      <end>2</end>
      <status>unmodified</status>
      <modifiedWord/>
      <trackRevisions>false</trackRevisions>
    </reviewItem>
    <reviewItem>
      <errorID>142cec89-1286-4c3a-8c26-8f0e43b366e4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20F0833C</paraID>
      <start>0</start>
      <end>2</end>
      <status>unmodified</status>
      <modifiedWord/>
      <trackRevisions>false</trackRevisions>
    </reviewItem>
    <reviewItem>
      <errorID>5bf6e124-3ab2-456e-bb35-a1df10befe2b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E786382</paraID>
      <start>0</start>
      <end>2</end>
      <status>unmodified</status>
      <modifiedWord/>
      <trackRevisions>false</trackRevisions>
    </reviewItem>
    <reviewItem>
      <errorID>1ea07ef8-1f62-4702-aa3c-1d78cd13d6db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4B5298A</paraID>
      <start>0</start>
      <end>2</end>
      <status>unmodified</status>
      <modifiedWord/>
      <trackRevisions>false</trackRevisions>
    </reviewItem>
    <reviewItem>
      <errorID>1352bbd4-caff-41b6-bed2-7b35fefbbd01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1E417577</paraID>
      <start>0</start>
      <end>2</end>
      <status>unmodified</status>
      <modifiedWord/>
      <trackRevisions>false</trackRevisions>
    </reviewItem>
    <reviewItem>
      <errorID>8dc7f5f1-ad3e-4512-86cd-08c389010f5c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4A6CDABF</paraID>
      <start>0</start>
      <end>2</end>
      <status>unmodified</status>
      <modifiedWord/>
      <trackRevisions>false</trackRevisions>
    </reviewItem>
    <reviewItem>
      <errorID>d9a5d7a3-5dda-42ea-9f95-76cceea338ba</errorID>
      <errorWord>,</errorWord>
      <group>L1_Format</group>
      <groupName>格式问题</groupName>
      <ability>L2_HalfPunc</ability>
      <abilityName>全半角检查</abilityName>
      <candidateList>
        <item>，</item>
      </candidateList>
      <explain>文本全半角错误。</explain>
      <paraID>14BAE8AF</paraID>
      <start>1</start>
      <end>2</end>
      <status>unmodified</status>
      <modifiedWord/>
      <trackRevisions>false</trackRevisions>
    </reviewItem>
    <reviewItem>
      <errorID>6e481f31-a8b8-4611-992d-090c053c94cf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581C3565</paraID>
      <start>0</start>
      <end>2</end>
      <status>unmodified</status>
      <modifiedWord/>
      <trackRevisions>false</trackRevisions>
    </reviewItem>
    <reviewItem>
      <errorID>cab13355-a1e3-49f2-90ad-89beb2f0ce8d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4D6EDDC3</paraID>
      <start>0</start>
      <end>2</end>
      <status>unmodified</status>
      <modifiedWord/>
      <trackRevisions>false</trackRevisions>
    </reviewItem>
    <reviewItem>
      <errorID>ced1014d-fc13-4c3f-97f7-b306b8219e35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60FCB457</paraID>
      <start>0</start>
      <end>2</end>
      <status>unmodified</status>
      <modifiedWord/>
      <trackRevisions>false</trackRevisions>
    </reviewItem>
    <reviewItem>
      <errorID>0a561241-fb14-47a2-9f73-c6a9397ed7fd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196C44EF</paraID>
      <start>0</start>
      <end>2</end>
      <status>unmodified</status>
      <modifiedWord/>
      <trackRevisions>false</trackRevisions>
    </reviewItem>
    <reviewItem>
      <errorID>6a230c8f-b69f-4ff6-83ac-e5f444dc94eb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78688AD4</paraID>
      <start>0</start>
      <end>2</end>
      <status>unmodified</status>
      <modifiedWord/>
      <trackRevisions>false</trackRevisions>
    </reviewItem>
    <reviewItem>
      <errorID>94ee17ef-ac47-4ff1-b87d-fc22f74daab5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2D1C3569</paraID>
      <start>0</start>
      <end>2</end>
      <status>unmodified</status>
      <modifiedWord/>
      <trackRevisions>false</trackRevisions>
    </reviewItem>
    <reviewItem>
      <errorID>eafeb9fb-4e58-4054-984d-8f59da6d870b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386DAF72</paraID>
      <start>0</start>
      <end>2</end>
      <status>unmodified</status>
      <modifiedWord/>
      <trackRevisions>false</trackRevisions>
    </reviewItem>
    <reviewItem>
      <errorID>6fe940b6-e3b4-4f8e-b0bb-905874a3f0ae</errorID>
      <errorWord>(</errorWord>
      <group>L1_Format</group>
      <groupName>格式问题</groupName>
      <ability>L2_HalfPunc</ability>
      <abilityName>全半角检查</abilityName>
      <candidateList>
        <item>（</item>
      </candidateList>
      <explain>文本全半角错误。</explain>
      <paraID>3CE3EA9F</paraID>
      <start>2</start>
      <end>3</end>
      <status>unmodified</status>
      <modifiedWord/>
      <trackRevisions>false</trackRevisions>
    </reviewItem>
    <reviewItem>
      <errorID>eee25716-fb0d-43ef-b294-73152c79db0a</errorID>
      <errorWord>)</errorWord>
      <group>L1_Format</group>
      <groupName>格式问题</groupName>
      <ability>L2_HalfPunc</ability>
      <abilityName>全半角检查</abilityName>
      <candidateList>
        <item>）</item>
      </candidateList>
      <explain>文本全半角错误。</explain>
      <paraID>3CE3EA9F</paraID>
      <start>4</start>
      <end>5</end>
      <status>unmodified</status>
      <modifiedWord/>
      <trackRevisions>false</trackRevisions>
    </reviewItem>
    <reviewItem>
      <errorID>c40ee0fa-a3b2-4fdf-a370-d928d133fb04</errorID>
      <errorWord>(</errorWord>
      <group>L1_Format</group>
      <groupName>格式问题</groupName>
      <ability>L2_HalfPunc</ability>
      <abilityName>全半角检查</abilityName>
      <candidateList>
        <item>（</item>
      </candidateList>
      <explain>文本全半角错误。</explain>
      <paraID> EAC9874</paraID>
      <start>2</start>
      <end>3</end>
      <status>unmodified</status>
      <modifiedWord/>
      <trackRevisions>false</trackRevisions>
    </reviewItem>
    <reviewItem>
      <errorID>6e8be11a-76f2-421c-b4fb-c94e5722dd54</errorID>
      <errorWord>)</errorWord>
      <group>L1_Format</group>
      <groupName>格式问题</groupName>
      <ability>L2_HalfPunc</ability>
      <abilityName>全半角检查</abilityName>
      <candidateList>
        <item>）</item>
      </candidateList>
      <explain>文本全半角错误。</explain>
      <paraID> EAC9874</paraID>
      <start>4</start>
      <end>5</end>
      <status>unmodified</status>
      <modifiedWord/>
      <trackRevisions>false</trackRevisions>
    </reviewItem>
    <reviewItem>
      <errorID>2b176d2e-623e-481f-afeb-ff75d3bd3780</errorID>
      <errorWord>（</errorWord>
      <group>L1_Punc</group>
      <groupName>标点问题</groupName>
      <ability>L2_Punc</ability>
      <abilityName>标点符号检查</abilityName>
      <candidateList/>
      <explain>同一形式括号套用。</explain>
      <paraID>7A191010</paraID>
      <start>102</start>
      <end>103</end>
      <status>unmodified</status>
      <modifiedWord/>
      <trackRevisions>false</trackRevisions>
    </reviewItem>
    <reviewItem>
      <errorID>21b0fca7-a8d7-478b-94f4-4469504b424a</errorID>
      <errorWord>）</errorWord>
      <group>L1_Punc</group>
      <groupName>标点问题</groupName>
      <ability>L2_Punc</ability>
      <abilityName>标点符号检查</abilityName>
      <candidateList/>
      <explain>同一形式括号套用。</explain>
      <paraID>7A191010</paraID>
      <start>108</start>
      <end>109</end>
      <status>unmodified</status>
      <modifiedWord/>
      <trackRevisions>false</trackRevisions>
    </reviewItem>
    <reviewItem>
      <errorID>5abad0a5-3917-4747-bcdd-173c31df1124</errorID>
      <errorWord>如</errorWord>
      <group>L1_Word</group>
      <groupName>字词问题</groupName>
      <ability>L2_Typo</ability>
      <abilityName>字词错误</abilityName>
      <candidateList>
        <item>如下</item>
      </candidateList>
      <explain>〈动〉如同下面所叙述或列举的：列举～｜现将应注意的事情说明～。</explain>
      <paraID> 56CBE9E</paraID>
      <start>81</start>
      <end>82</end>
      <status>unmodified</status>
      <modifiedWord/>
      <trackRevisions>false</trackRevisions>
    </reviewItem>
    <reviewItem>
      <errorID>74260e05-1bcc-4e91-a940-b1c6a0c469d2</errorID>
      <errorWord>（</errorWord>
      <group>L1_Format</group>
      <groupName>格式问题</groupName>
      <ability>L2_HalfPunc</ability>
      <abilityName>全半角检查</abilityName>
      <candidateList>
        <item>(</item>
      </candidateList>
      <explain>文本全半角错误。</explain>
      <paraID>5402B814</paraID>
      <start>6</start>
      <end>7</end>
      <status>unmodified</status>
      <modifiedWord/>
      <trackRevisions>false</trackRevisions>
    </reviewItem>
    <reviewItem>
      <errorID>97e68d61-4e88-43dc-bb28-3aa7dd0e4c2f</errorID>
      <errorWord>）</errorWord>
      <group>L1_Format</group>
      <groupName>格式问题</groupName>
      <ability>L2_HalfPunc</ability>
      <abilityName>全半角检查</abilityName>
      <candidateList>
        <item>)</item>
      </candidateList>
      <explain>文本全半角错误。</explain>
      <paraID>5402B814</paraID>
      <start>12</start>
      <end>13</end>
      <status>unmodified</status>
      <modifiedWord/>
      <trackRevisions>false</trackRevisions>
    </reviewItem>
    <reviewItem>
      <errorID>ee0ef171-c63b-45f7-acfa-7638d41eed2d</errorID>
      <errorWord>（</errorWord>
      <group>L1_Format</group>
      <groupName>格式问题</groupName>
      <ability>L2_HalfPunc</ability>
      <abilityName>全半角检查</abilityName>
      <candidateList>
        <item>(</item>
      </candidateList>
      <explain>文本全半角错误。</explain>
      <paraID>372C343A</paraID>
      <start>5</start>
      <end>6</end>
      <status>unmodified</status>
      <modifiedWord/>
      <trackRevisions>false</trackRevisions>
    </reviewItem>
    <reviewItem>
      <errorID>d7824fd2-3fbb-4f01-827d-7e3ccbb01184</errorID>
      <errorWord>）</errorWord>
      <group>L1_Format</group>
      <groupName>格式问题</groupName>
      <ability>L2_HalfPunc</ability>
      <abilityName>全半角检查</abilityName>
      <candidateList>
        <item>)</item>
      </candidateList>
      <explain>文本全半角错误。</explain>
      <paraID>372C343A</paraID>
      <start>11</start>
      <end>12</end>
      <status>unmodified</status>
      <modifiedWord/>
      <trackRevisions>false</trackRevisions>
    </reviewItem>
    <reviewItem>
      <errorID>e81794e1-0c86-4333-b6be-19faa8294f26</errorID>
      <errorWord>（</errorWord>
      <group>L1_Format</group>
      <groupName>格式问题</groupName>
      <ability>L2_HalfPunc</ability>
      <abilityName>全半角检查</abilityName>
      <candidateList>
        <item>(</item>
      </candidateList>
      <explain>文本全半角错误。</explain>
      <paraID>22E6B971</paraID>
      <start>4</start>
      <end>5</end>
      <status>unmodified</status>
      <modifiedWord/>
      <trackRevisions>false</trackRevisions>
    </reviewItem>
    <reviewItem>
      <errorID>2973cfec-8079-4994-b389-ad5c5b9929b0</errorID>
      <errorWord>）</errorWord>
      <group>L1_Format</group>
      <groupName>格式问题</groupName>
      <ability>L2_HalfPunc</ability>
      <abilityName>全半角检查</abilityName>
      <candidateList>
        <item>)</item>
      </candidateList>
      <explain>文本全半角错误。</explain>
      <paraID>22E6B971</paraID>
      <start>10</start>
      <end>11</end>
      <status>unmodified</status>
      <modifiedWord/>
      <trackRevisions>false</trackRevisions>
    </reviewItem>
    <reviewItem>
      <errorID>0557ca6f-1f5b-4984-8762-976db4aa0752</errorID>
      <errorWord>（</errorWord>
      <group>L1_Format</group>
      <groupName>格式问题</groupName>
      <ability>L2_HalfPunc</ability>
      <abilityName>全半角检查</abilityName>
      <candidateList>
        <item>(</item>
      </candidateList>
      <explain>文本全半角错误。</explain>
      <paraID>200AC9B2</paraID>
      <start>6</start>
      <end>7</end>
      <status>unmodified</status>
      <modifiedWord/>
      <trackRevisions>false</trackRevisions>
    </reviewItem>
    <reviewItem>
      <errorID>760a82ac-a03b-44e1-9d68-16798543c59f</errorID>
      <errorWord>）</errorWord>
      <group>L1_Format</group>
      <groupName>格式问题</groupName>
      <ability>L2_HalfPunc</ability>
      <abilityName>全半角检查</abilityName>
      <candidateList>
        <item>)</item>
      </candidateList>
      <explain>文本全半角错误。</explain>
      <paraID>200AC9B2</paraID>
      <start>12</start>
      <end>13</end>
      <status>unmodified</status>
      <modifiedWord/>
      <trackRevisions>false</trackRevisions>
    </reviewItem>
    <reviewItem>
      <errorID>60a6b396-e07a-4141-8a1a-35e7374757a5</errorID>
      <errorWord>（</errorWord>
      <group>L1_Format</group>
      <groupName>格式问题</groupName>
      <ability>L2_HalfPunc</ability>
      <abilityName>全半角检查</abilityName>
      <candidateList>
        <item>(</item>
      </candidateList>
      <explain>文本全半角错误。</explain>
      <paraID>29706385</paraID>
      <start>8</start>
      <end>9</end>
      <status>unmodified</status>
      <modifiedWord/>
      <trackRevisions>false</trackRevisions>
    </reviewItem>
    <reviewItem>
      <errorID>5e2b43c6-3f63-44b4-80e6-2df1a79402c9</errorID>
      <errorWord>）</errorWord>
      <group>L1_Format</group>
      <groupName>格式问题</groupName>
      <ability>L2_HalfPunc</ability>
      <abilityName>全半角检查</abilityName>
      <candidateList>
        <item>)</item>
      </candidateList>
      <explain>文本全半角错误。</explain>
      <paraID>29706385</paraID>
      <start>14</start>
      <end>15</end>
      <status>unmodified</status>
      <modifiedWord/>
      <trackRevisions>false</trackRevisions>
    </reviewItem>
    <reviewItem>
      <errorID>ed77932e-7ec5-40d5-acfa-877ed994c819</errorID>
      <errorWord>、，</errorWord>
      <group>L1_Punc</group>
      <groupName>标点问题</groupName>
      <ability>L2_Punc</ability>
      <abilityName>标点符号检查</abilityName>
      <candidateList>
        <item>、</item>
      </candidateList>
      <explain/>
      <paraID>20925500</paraID>
      <start>98</start>
      <end>100</end>
      <status>unmodified</status>
      <modifiedWord/>
      <trackRevisions>false</trackRevisions>
    </reviewItem>
    <reviewItem>
      <errorID>d5eb7deb-9dbd-4b33-8f59-fe2eb68d4eed</errorID>
      <errorWord>，</errorWord>
      <group>L1_Format</group>
      <groupName>格式问题</groupName>
      <ability>L2_HalfPunc</ability>
      <abilityName>全半角检查</abilityName>
      <candidateList>
        <item>, </item>
      </candidateList>
      <explain>文本全半角错误。</explain>
      <paraID>33CB81CA</paraID>
      <start>7</start>
      <end>8</end>
      <status>unmodified</status>
      <modifiedWord/>
      <trackRevisions>false</trackRevisions>
    </reviewItem>
    <reviewItem>
      <errorID>54bbf389-2509-4e60-8fcf-b5835d3e95d8</errorID>
      <errorWord>，</errorWord>
      <group>L1_Format</group>
      <groupName>格式问题</groupName>
      <ability>L2_HalfPunc</ability>
      <abilityName>全半角检查</abilityName>
      <candidateList>
        <item>, </item>
      </candidateList>
      <explain>文本全半角错误。</explain>
      <paraID>33CB81CA</paraID>
      <start>12</start>
      <end>13</end>
      <status>unmodified</status>
      <modifiedWord/>
      <trackRevisions>false</trackRevisions>
    </reviewItem>
    <reviewItem>
      <errorID>be076e00-d574-46bf-8533-7e035a43b7b7</errorID>
      <errorWord>作</errorWord>
      <group>L1_Word</group>
      <groupName>字词问题</groupName>
      <ability>L2_Typo</ability>
      <abilityName>字词错误</abilityName>
      <candidateList>
        <item>做</item>
      </candidateList>
      <explain>存在发音相同字词的误用。</explain>
      <paraID>3ADC35A9</paraID>
      <start>48</start>
      <end>49</end>
      <status>unmodified</status>
      <modifiedWord/>
      <trackRevisions>false</trackRevisions>
    </reviewItem>
    <reviewItem>
      <errorID>51822b4e-bec5-4602-bd2e-5a0389790aac</errorID>
      <errorWord>（</errorWord>
      <group>L1_Punc</group>
      <groupName>标点问题</groupName>
      <ability>L2_Punc</ability>
      <abilityName>标点符号检查</abilityName>
      <candidateList>
        <item/>
      </candidateList>
      <explain>同一形式括号套用。</explain>
      <paraID>649040F4</paraID>
      <start>13</start>
      <end>14</end>
      <status>unmodified</status>
      <modifiedWord/>
      <trackRevisions>false</trackRevisions>
    </reviewItem>
    <reviewItem>
      <errorID>e57941f9-ccf7-423f-8a45-e032c11012e5</errorID>
      <errorWord>(</errorWord>
      <group>L1_Punc</group>
      <groupName>标点问题</groupName>
      <ability>L2_Punc</ability>
      <abilityName>标点符号检查</abilityName>
      <candidateList/>
      <explain>同一形式括号套用。</explain>
      <paraID>649040F4</paraID>
      <start>19</start>
      <end>20</end>
      <status>unmodified</status>
      <modifiedWord/>
      <trackRevisions>false</trackRevisions>
    </reviewItem>
    <reviewItem>
      <errorID>43221c16-e194-4cf8-8895-7162b62b6e60</errorID>
      <errorWord>)</errorWord>
      <group>L1_Punc</group>
      <groupName>标点问题</groupName>
      <ability>L2_Punc</ability>
      <abilityName>标点符号检查</abilityName>
      <candidateList/>
      <explain>同一形式括号套用。</explain>
      <paraID>649040F4</paraID>
      <start>24</start>
      <end>25</end>
      <status>unmodified</status>
      <modifiedWord/>
      <trackRevisions>false</trackRevisions>
    </reviewItem>
    <reviewItem>
      <errorID>d531f07e-01ff-43c0-9d5d-82c621c21e22</errorID>
      <errorWord>）</errorWord>
      <group>L1_Punc</group>
      <groupName>标点问题</groupName>
      <ability>L2_Punc</ability>
      <abilityName>标点符号检查</abilityName>
      <candidateList/>
      <explain>同一形式括号套用。</explain>
      <paraID>649040F4</paraID>
      <start>25</start>
      <end>26</end>
      <status>unmodified</status>
      <modifiedWord/>
      <trackRevisions>false</trackRevisions>
    </reviewItem>
    <reviewItem>
      <errorID>163d4fda-0131-4782-acfb-24b3d2bde856</errorID>
      <errorWord>-</errorWord>
      <group>L1_Format</group>
      <groupName>格式问题</groupName>
      <ability>L2_HalfPunc</ability>
      <abilityName>全半角检查</abilityName>
      <candidateList>
        <item>－</item>
      </candidateList>
      <explain>文本全半角错误。</explain>
      <paraID>4000E115</paraID>
      <start>4</start>
      <end>5</end>
      <status>unmodified</status>
      <modifiedWord/>
      <trackRevisions>false</trackRevisions>
    </reviewItem>
    <reviewItem>
      <errorID>4af7b86d-9aff-4fb3-afb1-21adff8a2591</errorID>
      <errorWord>-</errorWord>
      <group>L1_Format</group>
      <groupName>格式问题</groupName>
      <ability>L2_HalfPunc</ability>
      <abilityName>全半角检查</abilityName>
      <candidateList>
        <item>－</item>
      </candidateList>
      <explain>文本全半角错误。</explain>
      <paraID>3C49869B</paraID>
      <start>3</start>
      <end>4</end>
      <status>unmodified</status>
      <modifiedWord/>
      <trackRevisions>false</trackRevisions>
    </reviewItem>
    <reviewItem>
      <errorID>4d083079-4b96-456f-b6db-d7ac49b29f48</errorID>
      <errorWord>-</errorWord>
      <group>L1_Format</group>
      <groupName>格式问题</groupName>
      <ability>L2_HalfPunc</ability>
      <abilityName>全半角检查</abilityName>
      <candidateList>
        <item>－</item>
      </candidateList>
      <explain>文本全半角错误。</explain>
      <paraID>4149629E</paraID>
      <start>4</start>
      <end>5</end>
      <status>unmodified</status>
      <modifiedWord/>
      <trackRevisions>false</trackRevisions>
    </reviewItem>
    <reviewItem>
      <errorID>ffd45d12-7302-4f8d-a6ce-3e42f9ef2144</errorID>
      <errorWord>-</errorWord>
      <group>L1_Format</group>
      <groupName>格式问题</groupName>
      <ability>L2_HalfPunc</ability>
      <abilityName>全半角检查</abilityName>
      <candidateList>
        <item>－</item>
      </candidateList>
      <explain>文本全半角错误。</explain>
      <paraID>37592A14</paraID>
      <start>4</start>
      <end>5</end>
      <status>unmodified</status>
      <modifiedWord/>
      <trackRevisions>false</trackRevisions>
    </reviewItem>
    <reviewItem>
      <errorID>2ba012e6-5086-4db8-afab-f8544359cc0a</errorID>
      <errorWord>)</errorWord>
      <group>L1_Format</group>
      <groupName>格式问题</groupName>
      <ability>L2_HalfPunc</ability>
      <abilityName>全半角检查</abilityName>
      <candidateList>
        <item>）</item>
      </candidateList>
      <explain>文本全半角错误。</explain>
      <paraID>1242C326</paraID>
      <start>64</start>
      <end>65</end>
      <status>unmodified</status>
      <modifiedWord/>
      <trackRevisions>false</trackRevisions>
    </reviewItem>
    <reviewItem>
      <errorID>89c872cb-ff65-4eec-b2d1-6948d0d96add</errorID>
      <errorWord>(</errorWord>
      <group>L1_Format</group>
      <groupName>格式问题</groupName>
      <ability>L2_HalfPunc</ability>
      <abilityName>全半角检查</abilityName>
      <candidateList>
        <item>（</item>
      </candidateList>
      <explain>文本全半角错误。</explain>
      <paraID> 44C34AA</paraID>
      <start>3</start>
      <end>4</end>
      <status>unmodified</status>
      <modifiedWord/>
      <trackRevisions>false</trackRevisions>
    </reviewItem>
    <reviewItem>
      <errorID>c86f469f-619a-4ea6-85ee-5bf307af098e</errorID>
      <errorWord>)</errorWord>
      <group>L1_Format</group>
      <groupName>格式问题</groupName>
      <ability>L2_HalfPunc</ability>
      <abilityName>全半角检查</abilityName>
      <candidateList>
        <item>）</item>
      </candidateList>
      <explain>文本全半角错误。</explain>
      <paraID> 44C34AA</paraID>
      <start>5</start>
      <end>6</end>
      <status>unmodified</status>
      <modifiedWord/>
      <trackRevisions>false</trackRevisions>
    </reviewItem>
    <reviewItem>
      <errorID>11e917ca-eb9b-4815-99b5-32f79f40dffe</errorID>
      <errorWord>)</errorWord>
      <group>L1_Format</group>
      <groupName>格式问题</groupName>
      <ability>L2_HalfPunc</ability>
      <abilityName>全半角检查</abilityName>
      <candidateList>
        <item>）</item>
      </candidateList>
      <explain>文本全半角错误。</explain>
      <paraID>7A8CFF66</paraID>
      <start>8</start>
      <end>9</end>
      <status>unmodified</status>
      <modifiedWord/>
      <trackRevisions>false</trackRevisions>
    </reviewItem>
    <reviewItem>
      <errorID>9073afcb-047f-49e2-bf85-1401f99b7730</errorID>
      <errorWord>)</errorWord>
      <group>L1_Format</group>
      <groupName>格式问题</groupName>
      <ability>L2_HalfPunc</ability>
      <abilityName>全半角检查</abilityName>
      <candidateList>
        <item>）</item>
      </candidateList>
      <explain>文本全半角错误。</explain>
      <paraID> E2EDB40</paraID>
      <start>6</start>
      <end>7</end>
      <status>unmodified</status>
      <modifiedWord/>
      <trackRevisions>false</trackRevisions>
    </reviewItem>
    <reviewItem>
      <errorID>9c828d95-06f2-47e8-bc57-d289ed9dbc4c</errorID>
      <errorWord>，各</errorWord>
      <group>L1_Word</group>
      <groupName>字词问题</groupName>
      <ability>L2_Typo</ability>
      <abilityName>字词错误</abilityName>
      <candidateList>
        <item>，</item>
      </candidateList>
      <explain/>
      <paraID>261CE3AA</paraID>
      <start>47</start>
      <end>49</end>
      <status>unmodified</status>
      <modifiedWord/>
      <trackRevisions>false</trackRevisions>
    </reviewItem>
    <reviewItem>
      <errorID>77b72ce0-c395-4d6d-9c4f-99838ec5ecfc</errorID>
      <errorWord>(</errorWord>
      <group>L1_Format</group>
      <groupName>格式问题</groupName>
      <ability>L2_HalfPunc</ability>
      <abilityName>全半角检查</abilityName>
      <candidateList>
        <item>（</item>
      </candidateList>
      <explain>文本全半角错误。</explain>
      <paraID>29908AA3</paraID>
      <start>3</start>
      <end>4</end>
      <status>unmodified</status>
      <modifiedWord/>
      <trackRevisions>false</trackRevisions>
    </reviewItem>
    <reviewItem>
      <errorID>5188ed00-1c0f-4233-b733-567cd2d63493</errorID>
      <errorWord>)</errorWord>
      <group>L1_Format</group>
      <groupName>格式问题</groupName>
      <ability>L2_HalfPunc</ability>
      <abilityName>全半角检查</abilityName>
      <candidateList>
        <item>）</item>
      </candidateList>
      <explain>文本全半角错误。</explain>
      <paraID>29908AA3</paraID>
      <start>5</start>
      <end>6</end>
      <status>unmodified</status>
      <modifiedWord/>
      <trackRevisions>false</trackRevisions>
    </reviewItem>
    <reviewItem>
      <errorID>a6085a96-5a48-4af4-be73-2ffe83d16b45</errorID>
      <errorWord>)</errorWord>
      <group>L1_Format</group>
      <groupName>格式问题</groupName>
      <ability>L2_HalfPunc</ability>
      <abilityName>全半角检查</abilityName>
      <candidateList>
        <item>）</item>
      </candidateList>
      <explain>文本全半角错误。</explain>
      <paraID>2923642F</paraID>
      <start>8</start>
      <end>9</end>
      <status>unmodified</status>
      <modifiedWord/>
      <trackRevisions>false</trackRevisions>
    </reviewItem>
    <reviewItem>
      <errorID>a792d777-dfbc-42ca-bdff-7d492142994a</errorID>
      <errorWord>)</errorWord>
      <group>L1_Format</group>
      <groupName>格式问题</groupName>
      <ability>L2_HalfPunc</ability>
      <abilityName>全半角检查</abilityName>
      <candidateList>
        <item>）</item>
      </candidateList>
      <explain>文本全半角错误。</explain>
      <paraID>4DC7382A</paraID>
      <start>6</start>
      <end>7</end>
      <status>unmodified</status>
      <modifiedWord/>
      <trackRevisions>false</trackRevisions>
    </reviewItem>
    <reviewItem>
      <errorID>cbba230f-144e-441d-9395-b3ec1234a7f7</errorID>
      <errorWord>软体</errorWord>
      <group>L1_Word</group>
      <groupName>字词问题</groupName>
      <ability>L2_Typo</ability>
      <abilityName>字词错误</abilityName>
      <candidateList>
        <item>软件</item>
      </candidateList>
      <explain>存在字形相近字词的误用。</explain>
      <paraID>5A6D24D4</paraID>
      <start>0</start>
      <end>2</end>
      <status>unmodified</status>
      <modifiedWord/>
      <trackRevisions>false</trackRevisions>
    </reviewItem>
    <reviewItem>
      <errorID>08195dd1-f6b8-483b-97d1-b31034ed9ea7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3B3421AA</paraID>
      <start>16</start>
      <end>17</end>
      <status>unmodified</status>
      <modifiedWord/>
      <trackRevisions>false</trackRevisions>
    </reviewItem>
    <reviewItem>
      <errorID>cbd69883-adf7-4833-9ea3-705133005c95</errorID>
      <errorWord>：</errorWord>
      <group>L1_Format</group>
      <groupName>格式问题</groupName>
      <ability>L2_HalfPunc</ability>
      <abilityName>全半角检查</abilityName>
      <candidateList>
        <item>:</item>
      </candidateList>
      <explain>文本全半角错误。</explain>
      <paraID>3FD7ED50</paraID>
      <start>110</start>
      <end>111</end>
      <status>unmodified</status>
      <modifiedWord/>
      <trackRevisions>false</trackRevisions>
    </reviewItem>
    <reviewItem>
      <errorID>d7089aeb-9127-47cd-a059-cba42e0fa885</errorID>
      <errorWord>：</errorWord>
      <group>L1_Format</group>
      <groupName>格式问题</groupName>
      <ability>L2_HalfPunc</ability>
      <abilityName>全半角检查</abilityName>
      <candidateList>
        <item>:</item>
      </candidateList>
      <explain>文本全半角错误。</explain>
      <paraID>3FD7ED50</paraID>
      <start>116</start>
      <end>117</end>
      <status>unmodified</status>
      <modifiedWord/>
      <trackRevisions>false</trackRevisions>
    </reviewItem>
    <reviewItem>
      <errorID>35793504-da0a-4c50-a53a-c1b7e183242f</errorID>
      <errorWord>：</errorWord>
      <group>L1_Format</group>
      <groupName>格式问题</groupName>
      <ability>L2_HalfPunc</ability>
      <abilityName>全半角检查</abilityName>
      <candidateList>
        <item>:</item>
      </candidateList>
      <explain>文本全半角错误。</explain>
      <paraID>3FD7ED50</paraID>
      <start>126</start>
      <end>127</end>
      <status>unmodified</status>
      <modifiedWord/>
      <trackRevisions>false</trackRevisions>
    </reviewItem>
    <reviewItem>
      <errorID>87fa8f23-4b5c-4ea0-a699-7afe4a5bdb58</errorID>
      <errorWord>：</errorWord>
      <group>L1_Format</group>
      <groupName>格式问题</groupName>
      <ability>L2_HalfPunc</ability>
      <abilityName>全半角检查</abilityName>
      <candidateList>
        <item>:</item>
      </candidateList>
      <explain>文本全半角错误。</explain>
      <paraID>3FD7ED50</paraID>
      <start>133</start>
      <end>134</end>
      <status>unmodified</status>
      <modifiedWord/>
      <trackRevisions>false</trackRevisions>
    </reviewItem>
    <reviewItem>
      <errorID>d1210b17-fc58-49b8-8aae-3418d3916efd</errorID>
      <errorWord>作</errorWord>
      <group>L1_Word</group>
      <groupName>字词问题</groupName>
      <ability>L2_Typo</ability>
      <abilityName>字词错误</abilityName>
      <candidateList>
        <item>做</item>
      </candidateList>
      <explain>存在发音相同字词的误用。</explain>
      <paraID> 2A609A2</paraID>
      <start>5</start>
      <end>6</end>
      <status>unmodified</status>
      <modifiedWord/>
      <trackRevisions>false</trackRevisions>
    </reviewItem>
    <reviewItem>
      <errorID>7d3005b6-e5f9-4491-948e-96643e97ba47</errorID>
      <errorWord>其它</errorWord>
      <group>L1_Word</group>
      <groupName>字词问题</groupName>
      <ability>L2_Alias</ability>
      <abilityName>也作/曾用词</abilityName>
      <candidateList>
        <item>其他</item>
      </candidateList>
      <explain>词汇[其它]为不规范表述或旧称，其规范书面表述为[其他]。</explain>
      <paraID>27C9DBFB</paraID>
      <start>34</start>
      <end>36</end>
      <status>modified</status>
      <modifiedWord>其他</modifiedWord>
      <trackRevisions>false</trackRevisions>
    </reviewItem>
    <reviewItem>
      <errorID>633ed50a-4972-4e9f-a93e-652db4a7ba48</errorID>
      <errorWord>其它</errorWord>
      <group>L1_Word</group>
      <groupName>字词问题</groupName>
      <ability>L2_Alias</ability>
      <abilityName>也作/曾用词</abilityName>
      <candidateList>
        <item>其他</item>
      </candidateList>
      <explain>词汇[其它]为不规范表述或旧称，其规范书面表述为[其他]。</explain>
      <paraID>27C9DBFB</paraID>
      <start>94</start>
      <end>96</end>
      <status>modified</status>
      <modifiedWord>其他</modifiedWord>
      <trackRevisions>false</trackRevisions>
    </reviewItem>
    <reviewItem>
      <errorID>58c0b5f9-ca96-4acb-bbd4-e6983df09fe0</errorID>
      <errorWord>~</errorWord>
      <group>L1_Format</group>
      <groupName>格式问题</groupName>
      <ability>L2_HalfPunc</ability>
      <abilityName>全半角检查</abilityName>
      <candidateList>
        <item>～</item>
      </candidateList>
      <explain>文本全半角错误。</explain>
      <paraID> 608E775</paraID>
      <start>39</start>
      <end>40</end>
      <status>unmodified</status>
      <modifiedWord/>
      <trackRevisions>false</trackRevisions>
    </reviewItem>
    <reviewItem>
      <errorID>9afd18d7-82d4-49d6-919d-c7db4a87e2ac</errorID>
      <errorWord>（</errorWord>
      <group>L1_Format</group>
      <groupName>格式问题</groupName>
      <ability>L2_HalfPunc</ability>
      <abilityName>全半角检查</abilityName>
      <candidateList>
        <item>(</item>
      </candidateList>
      <explain>文本全半角错误。</explain>
      <paraID>50622DE8</paraID>
      <start>0</start>
      <end>1</end>
      <status>unmodified</status>
      <modifiedWord/>
      <trackRevisions>false</trackRevisions>
    </reviewItem>
    <reviewItem>
      <errorID>1a2ed0f6-2a04-4e47-96aa-f5b3aab0c5f2</errorID>
      <errorWord>）</errorWord>
      <group>L1_Format</group>
      <groupName>格式问题</groupName>
      <ability>L2_HalfPunc</ability>
      <abilityName>全半角检查</abilityName>
      <candidateList>
        <item>)</item>
      </candidateList>
      <explain>文本全半角错误。</explain>
      <paraID>50622DE8</paraID>
      <start>6</start>
      <end>7</end>
      <status>unmodified</status>
      <modifiedWord/>
      <trackRevisions>false</trackRevisions>
    </reviewItem>
    <reviewItem>
      <errorID>b061ba9d-95a6-43bb-93af-1d85566e9cd6</errorID>
      <errorWord>短暂</errorWord>
      <group>L1_Word</group>
      <groupName>字词问题</groupName>
      <ability>L2_Typo</ability>
      <abilityName>字词错误</abilityName>
      <candidateList>
        <item>短</item>
      </candidateList>
      <explain/>
      <paraID>2EE2E0F6</paraID>
      <start>36</start>
      <end>38</end>
      <status>unmodified</status>
      <modifiedWord/>
      <trackRevisions>false</trackRevisions>
    </reviewItem>
    <reviewItem>
      <errorID>b9cdba2e-ed76-43f1-af83-9cd90247538d</errorID>
      <errorWord>粘度大</errorWord>
      <group>L1_Word</group>
      <groupName>字词问题</groupName>
      <ability>L2_Alias</ability>
      <abilityName>也作/曾用词</abilityName>
      <candidateList>
        <item>黏度大</item>
      </candidateList>
      <explain>词汇[粘度大]为不规范表述或旧称，其规范书面表述为[黏度大]。</explain>
      <paraID>4DE2DD3B</paraID>
      <start>102</start>
      <end>105</end>
      <status>unmodified</status>
      <modifiedWord/>
      <trackRevisions>false</trackRevisions>
    </reviewItem>
    <reviewItem>
      <errorID>b9b080bf-6e68-48b4-b5ed-5fbb71fbb05f</errorID>
      <errorWord>其它</errorWord>
      <group>L1_Word</group>
      <groupName>字词问题</groupName>
      <ability>L2_Alias</ability>
      <abilityName>也作/曾用词</abilityName>
      <candidateList>
        <item>其他</item>
      </candidateList>
      <explain>词汇[其它]为不规范表述或旧称，其规范书面表述为[其他]。</explain>
      <paraID>4DE2DD3B</paraID>
      <start>174</start>
      <end>176</end>
      <status>modified</status>
      <modifiedWord>其他</modifiedWord>
      <trackRevisions>false</trackRevisions>
    </reviewItem>
    <reviewItem>
      <errorID>d15460c0-a7c1-4c37-bac6-6aa4a3cfd527</errorID>
      <errorWord>程</errorWord>
      <group>L1_Word</group>
      <groupName>字词问题</groupName>
      <ability>L2_Typo</ability>
      <abilityName>字词错误</abilityName>
      <candidateList>
        <item>程中</item>
      </candidateList>
      <explain/>
      <paraID>134DED77</paraID>
      <start>24</start>
      <end>25</end>
      <status>unmodified</status>
      <modifiedWord/>
      <trackRevisions>false</trackRevisions>
    </reviewItem>
    <reviewItem>
      <errorID>4bfe9b47-d7e1-4f7f-bc48-124c86f39462</errorID>
      <errorWord>r、</errorWord>
      <group>L1_Format</group>
      <groupName>格式问题</groupName>
      <ability>L2_Ordinal</ability>
      <abilityName>序号格式</abilityName>
      <candidateList>
        <item>r.</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6F94486E</paraID>
      <start>0</start>
      <end>2</end>
      <status>unmodified</status>
      <modifiedWord/>
      <trackRevisions>false</trackRevisions>
    </reviewItem>
    <reviewItem>
      <errorID>5aaee5ff-79ff-41c7-acc2-f441dab529fb</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538C5959</paraID>
      <start>114</start>
      <end>115</end>
      <status>unmodified</status>
      <modifiedWord/>
      <trackRevisions>false</trackRevisions>
    </reviewItem>
    <reviewItem>
      <errorID>8d787858-d731-4ac7-9130-3d258005faa4</errorID>
      <errorWord>的的</errorWord>
      <group>L1_Word</group>
      <groupName>字词问题</groupName>
      <ability>L2_Typo</ability>
      <abilityName>字词错误</abilityName>
      <candidateList>
        <item>的</item>
      </candidateList>
      <explain>“的”常用于连接修饰语与名词性中心语，表示属性、所属或描述。</explain>
      <paraID>5CC7CAF0</paraID>
      <start>10</start>
      <end>12</end>
      <status>unmodified</status>
      <modifiedWord/>
      <trackRevisions>false</trackRevisions>
    </reviewItem>
    <reviewItem>
      <errorID>185e59a4-72b8-4d28-b3db-ee4269eb89ed</errorID>
      <errorWord>~</errorWord>
      <group>L1_Format</group>
      <groupName>格式问题</groupName>
      <ability>L2_HalfPunc</ability>
      <abilityName>全半角检查</abilityName>
      <candidateList>
        <item>～</item>
      </candidateList>
      <explain>文本全半角错误。</explain>
      <paraID>7EA9D0D6</paraID>
      <start>168</start>
      <end>169</end>
      <status>unmodified</status>
      <modifiedWord/>
      <trackRevisions>false</trackRevisions>
    </reviewItem>
    <reviewItem>
      <errorID>9c7e885a-047e-4434-b7a5-1d3331e5f81a</errorID>
      <errorWord>是由于锚块抛放搅动底泥造成</errorWord>
      <group>L1_Grammar</group>
      <groupName>语法问题</groupName>
      <ability>L2_Grammar</ability>
      <abilityName>语法错误</abilityName>
      <candidateList>
        <item>是由于锚块抛放搅动底泥</item>
      </candidateList>
      <explain/>
      <paraID>2AA1CDC4</paraID>
      <start>12</start>
      <end>25</end>
      <status>unmodified</status>
      <modifiedWord/>
      <trackRevisions>false</trackRevisions>
    </reviewItem>
    <reviewItem>
      <errorID>b72c1308-5486-4172-899e-fdfb5db78945</errorID>
      <errorWord>粘附</errorWord>
      <group>L1_Word</group>
      <groupName>字词问题</groupName>
      <ability>L2_Alias</ability>
      <abilityName>也作/曾用词</abilityName>
      <candidateList>
        <item>黏附</item>
      </candidateList>
      <explain>词汇[粘附]为不规范表述或旧称，其规范书面表述为[黏附]。</explain>
      <paraID>7C821E68</paraID>
      <start>34</start>
      <end>36</end>
      <status>unmodified</status>
      <modifiedWord/>
      <trackRevisions>false</trackRevisions>
    </reviewItem>
    <reviewItem>
      <errorID>9680884d-648a-4563-aa3a-df7f967ca1fa</errorID>
      <errorWord>粘附</errorWord>
      <group>L1_Word</group>
      <groupName>字词问题</groupName>
      <ability>L2_Alias</ability>
      <abilityName>也作/曾用词</abilityName>
      <candidateList>
        <item>黏附</item>
      </candidateList>
      <explain>词汇[粘附]为不规范表述或旧称，其规范书面表述为[黏附]。</explain>
      <paraID>7C821E68</paraID>
      <start>55</start>
      <end>57</end>
      <status>unmodified</status>
      <modifiedWord/>
      <trackRevisions>false</trackRevisions>
    </reviewItem>
    <reviewItem>
      <errorID>67f3a9e0-1fa8-4ea2-90a2-a706c2c4f06f</errorID>
      <errorWord>其它作业</errorWord>
      <group>L1_Word</group>
      <groupName>字词问题</groupName>
      <ability>L2_Alias</ability>
      <abilityName>也作/曾用词</abilityName>
      <candidateList>
        <item>其他作业</item>
      </candidateList>
      <explain>词汇[其它作业]为不规范表述或旧称，其规范书面表述为[其他作业]。</explain>
      <paraID>10E5C5A8</paraID>
      <start>107</start>
      <end>111</end>
      <status>modified</status>
      <modifiedWord>其他作业</modifiedWord>
      <trackRevisions>false</trackRevisions>
    </reviewItem>
    <reviewItem>
      <errorID>3316466a-4688-4372-bc44-c0467e1e27ae</errorID>
      <errorWord>~</errorWord>
      <group>L1_Format</group>
      <groupName>格式问题</groupName>
      <ability>L2_HalfPunc</ability>
      <abilityName>全半角检查</abilityName>
      <candidateList>
        <item>～</item>
      </candidateList>
      <explain>文本全半角错误。</explain>
      <paraID>10E5C5A8</paraID>
      <start>144</start>
      <end>145</end>
      <status>unmodified</status>
      <modifiedWord/>
      <trackRevisions>false</trackRevisions>
    </reviewItem>
    <reviewItem>
      <errorID>a45c25c4-5148-42c4-89f2-da2568ed089c</errorID>
      <errorWord>人工鱼礁</errorWord>
      <group>L1_Knowledge</group>
      <groupName>知识性问题</groupName>
      <ability>L2_Term</ability>
      <abilityName>专业术语</abilityName>
      <candidateList>
        <item>人工渔礁</item>
      </candidateList>
      <explain/>
      <paraID>10E5C5A8</paraID>
      <start>162</start>
      <end>166</end>
      <status>unmodified</status>
      <modifiedWord/>
      <trackRevisions>false</trackRevisions>
    </reviewItem>
    <reviewItem>
      <errorID>ab092fe7-d44c-4e99-88f1-651e18c804f0</errorID>
      <errorWord>海拔高度</errorWord>
      <group>L1_Word</group>
      <groupName>字词问题</groupName>
      <ability>L2_Typo</ability>
      <abilityName>字词错误</abilityName>
      <candidateList>
        <item>海拔</item>
      </candidateList>
      <explain>〈名〉从平均海平面起算的高度。</explain>
      <paraID>14CF460D</paraID>
      <start>0</start>
      <end>4</end>
      <status>unmodified</status>
      <modifiedWord/>
      <trackRevisions>false</trackRevisions>
    </reviewItem>
    <reviewItem>
      <errorID>6539f688-9dab-44ab-886d-142f3cc6a17c</errorID>
      <errorWord>海拔高度</errorWord>
      <group>L1_Word</group>
      <groupName>字词问题</groupName>
      <ability>L2_Typo</ability>
      <abilityName>字词错误</abilityName>
      <candidateList>
        <item>海拔</item>
      </candidateList>
      <explain>〈名〉从平均海平面起算的高度。</explain>
      <paraID>16BC6EF9</paraID>
      <start>0</start>
      <end>4</end>
      <status>unmodified</status>
      <modifiedWord/>
      <trackRevisions>false</trackRevisions>
    </reviewItem>
    <reviewItem>
      <errorID>35828acd-16ec-4870-b1a1-42991ecb7912</errorID>
      <errorWord>（</errorWord>
      <group>L1_Format</group>
      <groupName>格式问题</groupName>
      <ability>L2_HalfPunc</ability>
      <abilityName>全半角检查</abilityName>
      <candidateList>
        <item>(</item>
      </candidateList>
      <explain>文本全半角错误。</explain>
      <paraID>1B31C46C</paraID>
      <start>0</start>
      <end>1</end>
      <status>unmodified</status>
      <modifiedWord/>
      <trackRevisions>false</trackRevisions>
    </reviewItem>
    <reviewItem>
      <errorID>df10cc3c-614a-49db-8062-1cbb4f4f6e96</errorID>
      <errorWord>）</errorWord>
      <group>L1_Format</group>
      <groupName>格式问题</groupName>
      <ability>L2_HalfPunc</ability>
      <abilityName>全半角检查</abilityName>
      <candidateList>
        <item>)</item>
      </candidateList>
      <explain>文本全半角错误。</explain>
      <paraID>1B31C46C</paraID>
      <start>6</start>
      <end>7</end>
      <status>unmodified</status>
      <modifiedWord/>
      <trackRevisions>false</trackRevisions>
    </reviewItem>
    <reviewItem>
      <errorID>6ff7146c-ad55-43d6-911e-e85ada42b5f2</errorID>
      <errorWord>(</errorWord>
      <group>L1_Format</group>
      <groupName>格式问题</groupName>
      <ability>L2_HalfPunc</ability>
      <abilityName>全半角检查</abilityName>
      <candidateList>
        <item>（</item>
      </candidateList>
      <explain>文本全半角错误。</explain>
      <paraID>1B4EB39B</paraID>
      <start>3</start>
      <end>4</end>
      <status>unmodified</status>
      <modifiedWord/>
      <trackRevisions>false</trackRevisions>
    </reviewItem>
    <reviewItem>
      <errorID>f29a6f6b-2a7d-45c0-b12f-470ba8070dc9</errorID>
      <errorWord>)</errorWord>
      <group>L1_Format</group>
      <groupName>格式问题</groupName>
      <ability>L2_HalfPunc</ability>
      <abilityName>全半角检查</abilityName>
      <candidateList>
        <item>）</item>
      </candidateList>
      <explain>文本全半角错误。</explain>
      <paraID>1B4EB39B</paraID>
      <start>9</start>
      <end>10</end>
      <status>unmodified</status>
      <modifiedWord/>
      <trackRevisions>false</trackRevisions>
    </reviewItem>
    <reviewItem>
      <errorID>eb7286b4-1e34-4c25-88f6-811efcf1bd3d</errorID>
      <errorWord>(</errorWord>
      <group>L1_Format</group>
      <groupName>格式问题</groupName>
      <ability>L2_HalfPunc</ability>
      <abilityName>全半角检查</abilityName>
      <candidateList>
        <item>（</item>
      </candidateList>
      <explain>文本全半角错误。</explain>
      <paraID>6770F0FF</paraID>
      <start>4</start>
      <end>5</end>
      <status>unmodified</status>
      <modifiedWord/>
      <trackRevisions>false</trackRevisions>
    </reviewItem>
    <reviewItem>
      <errorID>9a78f614-9868-4f6a-a4e9-60c58941e972</errorID>
      <errorWord>)</errorWord>
      <group>L1_Format</group>
      <groupName>格式问题</groupName>
      <ability>L2_HalfPunc</ability>
      <abilityName>全半角检查</abilityName>
      <candidateList>
        <item>）</item>
      </candidateList>
      <explain>文本全半角错误。</explain>
      <paraID>6770F0FF</paraID>
      <start>10</start>
      <end>11</end>
      <status>unmodified</status>
      <modifiedWord/>
      <trackRevisions>false</trackRevisions>
    </reviewItem>
    <reviewItem>
      <errorID>5c3ed662-6997-4cb4-8002-dd946ec70aff</errorID>
      <errorWord>(</errorWord>
      <group>L1_Format</group>
      <groupName>格式问题</groupName>
      <ability>L2_HalfPunc</ability>
      <abilityName>全半角检查</abilityName>
      <candidateList>
        <item>（</item>
      </candidateList>
      <explain>文本全半角错误。</explain>
      <paraID>72DA4D83</paraID>
      <start>5</start>
      <end>6</end>
      <status>unmodified</status>
      <modifiedWord/>
      <trackRevisions>false</trackRevisions>
    </reviewItem>
    <reviewItem>
      <errorID>45ea1364-8666-457c-aa10-0a467505b12e</errorID>
      <errorWord>)</errorWord>
      <group>L1_Format</group>
      <groupName>格式问题</groupName>
      <ability>L2_HalfPunc</ability>
      <abilityName>全半角检查</abilityName>
      <candidateList>
        <item>）</item>
      </candidateList>
      <explain>文本全半角错误。</explain>
      <paraID>72DA4D83</paraID>
      <start>11</start>
      <end>12</end>
      <status>unmodified</status>
      <modifiedWord/>
      <trackRevisions>false</trackRevisions>
    </reviewItem>
    <reviewItem>
      <errorID>acc0f5e7-5790-4ee1-abdc-48f28e397b10</errorID>
      <errorWord>(</errorWord>
      <group>L1_Format</group>
      <groupName>格式问题</groupName>
      <ability>L2_HalfPunc</ability>
      <abilityName>全半角检查</abilityName>
      <candidateList>
        <item>（</item>
      </candidateList>
      <explain>文本全半角错误。</explain>
      <paraID>3BDC837D</paraID>
      <start>4</start>
      <end>5</end>
      <status>unmodified</status>
      <modifiedWord/>
      <trackRevisions>false</trackRevisions>
    </reviewItem>
    <reviewItem>
      <errorID>d9bfb935-4f1d-42a0-9bca-49c14b6a2ae1</errorID>
      <errorWord>)</errorWord>
      <group>L1_Format</group>
      <groupName>格式问题</groupName>
      <ability>L2_HalfPunc</ability>
      <abilityName>全半角检查</abilityName>
      <candidateList>
        <item>）</item>
      </candidateList>
      <explain>文本全半角错误。</explain>
      <paraID>3BDC837D</paraID>
      <start>10</start>
      <end>11</end>
      <status>unmodified</status>
      <modifiedWord/>
      <trackRevisions>false</trackRevisions>
    </reviewItem>
    <reviewItem>
      <errorID>43372de4-22ca-4a22-8b21-24bdecf5b459</errorID>
      <errorWord>(</errorWord>
      <group>L1_Format</group>
      <groupName>格式问题</groupName>
      <ability>L2_HalfPunc</ability>
      <abilityName>全半角检查</abilityName>
      <candidateList>
        <item>（</item>
      </candidateList>
      <explain>文本全半角错误。</explain>
      <paraID>15AD37A4</paraID>
      <start>4</start>
      <end>5</end>
      <status>unmodified</status>
      <modifiedWord/>
      <trackRevisions>false</trackRevisions>
    </reviewItem>
    <reviewItem>
      <errorID>c66acb00-bcb0-4250-84c8-5b12001d4d9f</errorID>
      <errorWord>)</errorWord>
      <group>L1_Format</group>
      <groupName>格式问题</groupName>
      <ability>L2_HalfPunc</ability>
      <abilityName>全半角检查</abilityName>
      <candidateList>
        <item>）</item>
      </candidateList>
      <explain>文本全半角错误。</explain>
      <paraID>15AD37A4</paraID>
      <start>11</start>
      <end>12</end>
      <status>unmodified</status>
      <modifiedWord/>
      <trackRevisions>false</trackRevisions>
    </reviewItem>
    <reviewItem>
      <errorID>862835d8-0778-4e5d-ac89-7540b7e61dc9</errorID>
      <errorWord>(</errorWord>
      <group>L1_Format</group>
      <groupName>格式问题</groupName>
      <ability>L2_HalfPunc</ability>
      <abilityName>全半角检查</abilityName>
      <candidateList>
        <item>（</item>
      </candidateList>
      <explain>文本全半角错误。</explain>
      <paraID>7205ADDE</paraID>
      <start>3</start>
      <end>4</end>
      <status>unmodified</status>
      <modifiedWord/>
      <trackRevisions>false</trackRevisions>
    </reviewItem>
    <reviewItem>
      <errorID>bd9ad1d1-da14-4cf6-95be-4f5b62e2362a</errorID>
      <errorWord>)</errorWord>
      <group>L1_Format</group>
      <groupName>格式问题</groupName>
      <ability>L2_HalfPunc</ability>
      <abilityName>全半角检查</abilityName>
      <candidateList>
        <item>）</item>
      </candidateList>
      <explain>文本全半角错误。</explain>
      <paraID>7205ADDE</paraID>
      <start>9</start>
      <end>10</end>
      <status>unmodified</status>
      <modifiedWord/>
      <trackRevisions>false</trackRevisions>
    </reviewItem>
    <reviewItem>
      <errorID>f0de626d-22fa-4dec-a914-53952236affd</errorID>
      <errorWord>(</errorWord>
      <group>L1_Format</group>
      <groupName>格式问题</groupName>
      <ability>L2_HalfPunc</ability>
      <abilityName>全半角检查</abilityName>
      <candidateList>
        <item>（</item>
      </candidateList>
      <explain>文本全半角错误。</explain>
      <paraID>226D4F84</paraID>
      <start>4</start>
      <end>5</end>
      <status>unmodified</status>
      <modifiedWord/>
      <trackRevisions>false</trackRevisions>
    </reviewItem>
    <reviewItem>
      <errorID>d96099dc-10e8-416d-9cc6-cc6c0235f3be</errorID>
      <errorWord>)</errorWord>
      <group>L1_Format</group>
      <groupName>格式问题</groupName>
      <ability>L2_HalfPunc</ability>
      <abilityName>全半角检查</abilityName>
      <candidateList>
        <item>）</item>
      </candidateList>
      <explain>文本全半角错误。</explain>
      <paraID>226D4F84</paraID>
      <start>10</start>
      <end>11</end>
      <status>unmodified</status>
      <modifiedWord/>
      <trackRevisions>false</trackRevisions>
    </reviewItem>
    <reviewItem>
      <errorID>8c858f84-aa5c-4f91-98b9-3d30ac167dbd</errorID>
      <errorWord>(</errorWord>
      <group>L1_Format</group>
      <groupName>格式问题</groupName>
      <ability>L2_HalfPunc</ability>
      <abilityName>全半角检查</abilityName>
      <candidateList>
        <item>（</item>
      </candidateList>
      <explain>文本全半角错误。</explain>
      <paraID>56903300</paraID>
      <start>5</start>
      <end>6</end>
      <status>unmodified</status>
      <modifiedWord/>
      <trackRevisions>false</trackRevisions>
    </reviewItem>
    <reviewItem>
      <errorID>85efe364-1d4c-4733-a21c-e51f377938b1</errorID>
      <errorWord>)</errorWord>
      <group>L1_Format</group>
      <groupName>格式问题</groupName>
      <ability>L2_HalfPunc</ability>
      <abilityName>全半角检查</abilityName>
      <candidateList>
        <item>）</item>
      </candidateList>
      <explain>文本全半角错误。</explain>
      <paraID>56903300</paraID>
      <start>11</start>
      <end>12</end>
      <status>unmodified</status>
      <modifiedWord/>
      <trackRevisions>false</trackRevisions>
    </reviewItem>
    <reviewItem>
      <errorID>2a8dc14c-76c0-487b-94b7-89690fca2382</errorID>
      <errorWord>(</errorWord>
      <group>L1_Format</group>
      <groupName>格式问题</groupName>
      <ability>L2_HalfPunc</ability>
      <abilityName>全半角检查</abilityName>
      <candidateList>
        <item>（</item>
      </candidateList>
      <explain>文本全半角错误。</explain>
      <paraID>75015BBE</paraID>
      <start>4</start>
      <end>5</end>
      <status>unmodified</status>
      <modifiedWord/>
      <trackRevisions>false</trackRevisions>
    </reviewItem>
    <reviewItem>
      <errorID>4e846b58-907b-49c1-a5da-0305b6bf7d55</errorID>
      <errorWord>)</errorWord>
      <group>L1_Format</group>
      <groupName>格式问题</groupName>
      <ability>L2_HalfPunc</ability>
      <abilityName>全半角检查</abilityName>
      <candidateList>
        <item>）</item>
      </candidateList>
      <explain>文本全半角错误。</explain>
      <paraID>75015BBE</paraID>
      <start>10</start>
      <end>11</end>
      <status>unmodified</status>
      <modifiedWord/>
      <trackRevisions>false</trackRevisions>
    </reviewItem>
    <reviewItem>
      <errorID>139b95eb-2664-4222-b201-3164252ae4b9</errorID>
      <errorWord>(</errorWord>
      <group>L1_Format</group>
      <groupName>格式问题</groupName>
      <ability>L2_HalfPunc</ability>
      <abilityName>全半角检查</abilityName>
      <candidateList>
        <item>（</item>
      </candidateList>
      <explain>文本全半角错误。</explain>
      <paraID>50297292</paraID>
      <start>4</start>
      <end>5</end>
      <status>unmodified</status>
      <modifiedWord/>
      <trackRevisions>false</trackRevisions>
    </reviewItem>
    <reviewItem>
      <errorID>5228297f-7da9-4cf0-a2a8-ba873a46b96e</errorID>
      <errorWord>)</errorWord>
      <group>L1_Format</group>
      <groupName>格式问题</groupName>
      <ability>L2_HalfPunc</ability>
      <abilityName>全半角检查</abilityName>
      <candidateList>
        <item>）</item>
      </candidateList>
      <explain>文本全半角错误。</explain>
      <paraID>50297292</paraID>
      <start>11</start>
      <end>12</end>
      <status>unmodified</status>
      <modifiedWord/>
      <trackRevisions>false</trackRevisions>
    </reviewItem>
    <reviewItem>
      <errorID>69e11016-e1e4-4b9c-8355-96ac9f85b28c</errorID>
      <errorWord>(</errorWord>
      <group>L1_Format</group>
      <groupName>格式问题</groupName>
      <ability>L2_HalfPunc</ability>
      <abilityName>全半角检查</abilityName>
      <candidateList>
        <item>（</item>
      </candidateList>
      <explain>文本全半角错误。</explain>
      <paraID> 7C08A0E</paraID>
      <start>3</start>
      <end>4</end>
      <status>unmodified</status>
      <modifiedWord/>
      <trackRevisions>false</trackRevisions>
    </reviewItem>
    <reviewItem>
      <errorID>aa31ef4c-9eff-4e6c-a606-520c2b60903e</errorID>
      <errorWord>)</errorWord>
      <group>L1_Format</group>
      <groupName>格式问题</groupName>
      <ability>L2_HalfPunc</ability>
      <abilityName>全半角检查</abilityName>
      <candidateList>
        <item>）</item>
      </candidateList>
      <explain>文本全半角错误。</explain>
      <paraID> 7C08A0E</paraID>
      <start>9</start>
      <end>10</end>
      <status>unmodified</status>
      <modifiedWord/>
      <trackRevisions>false</trackRevisions>
    </reviewItem>
    <reviewItem>
      <errorID>cc328c4c-36f2-4cc7-91d2-ab93923619f0</errorID>
      <errorWord>(</errorWord>
      <group>L1_Format</group>
      <groupName>格式问题</groupName>
      <ability>L2_HalfPunc</ability>
      <abilityName>全半角检查</abilityName>
      <candidateList>
        <item>（</item>
      </candidateList>
      <explain>文本全半角错误。</explain>
      <paraID>53AADE0D</paraID>
      <start>4</start>
      <end>5</end>
      <status>unmodified</status>
      <modifiedWord/>
      <trackRevisions>false</trackRevisions>
    </reviewItem>
    <reviewItem>
      <errorID>3a32afc2-5fdc-4bcd-9774-59a5edad98a1</errorID>
      <errorWord>)</errorWord>
      <group>L1_Format</group>
      <groupName>格式问题</groupName>
      <ability>L2_HalfPunc</ability>
      <abilityName>全半角检查</abilityName>
      <candidateList>
        <item>）</item>
      </candidateList>
      <explain>文本全半角错误。</explain>
      <paraID>53AADE0D</paraID>
      <start>10</start>
      <end>11</end>
      <status>unmodified</status>
      <modifiedWord/>
      <trackRevisions>false</trackRevisions>
    </reviewItem>
    <reviewItem>
      <errorID>31981f86-588c-40db-9f4d-daa2dcacc817</errorID>
      <errorWord>(</errorWord>
      <group>L1_Format</group>
      <groupName>格式问题</groupName>
      <ability>L2_HalfPunc</ability>
      <abilityName>全半角检查</abilityName>
      <candidateList>
        <item>（</item>
      </candidateList>
      <explain>文本全半角错误。</explain>
      <paraID>5D158DAF</paraID>
      <start>5</start>
      <end>6</end>
      <status>unmodified</status>
      <modifiedWord/>
      <trackRevisions>false</trackRevisions>
    </reviewItem>
    <reviewItem>
      <errorID>bc55486e-2d8d-46f2-b537-bfb1ac647d5e</errorID>
      <errorWord>)</errorWord>
      <group>L1_Format</group>
      <groupName>格式问题</groupName>
      <ability>L2_HalfPunc</ability>
      <abilityName>全半角检查</abilityName>
      <candidateList>
        <item>）</item>
      </candidateList>
      <explain>文本全半角错误。</explain>
      <paraID>5D158DAF</paraID>
      <start>11</start>
      <end>12</end>
      <status>unmodified</status>
      <modifiedWord/>
      <trackRevisions>false</trackRevisions>
    </reviewItem>
    <reviewItem>
      <errorID>10aab889-9472-4469-bc8f-783f062c4efa</errorID>
      <errorWord>(</errorWord>
      <group>L1_Format</group>
      <groupName>格式问题</groupName>
      <ability>L2_HalfPunc</ability>
      <abilityName>全半角检查</abilityName>
      <candidateList>
        <item>（</item>
      </candidateList>
      <explain>文本全半角错误。</explain>
      <paraID>1EE96CA2</paraID>
      <start>4</start>
      <end>5</end>
      <status>unmodified</status>
      <modifiedWord/>
      <trackRevisions>false</trackRevisions>
    </reviewItem>
    <reviewItem>
      <errorID>84ef6b73-fe3f-4797-9b45-63a262b0b43a</errorID>
      <errorWord>)</errorWord>
      <group>L1_Format</group>
      <groupName>格式问题</groupName>
      <ability>L2_HalfPunc</ability>
      <abilityName>全半角检查</abilityName>
      <candidateList>
        <item>）</item>
      </candidateList>
      <explain>文本全半角错误。</explain>
      <paraID>1EE96CA2</paraID>
      <start>10</start>
      <end>11</end>
      <status>unmodified</status>
      <modifiedWord/>
      <trackRevisions>false</trackRevisions>
    </reviewItem>
    <reviewItem>
      <errorID>5ccbe65a-e744-4a61-b559-edbc738dba5b</errorID>
      <errorWord>(</errorWord>
      <group>L1_Format</group>
      <groupName>格式问题</groupName>
      <ability>L2_HalfPunc</ability>
      <abilityName>全半角检查</abilityName>
      <candidateList>
        <item>（</item>
      </candidateList>
      <explain>文本全半角错误。</explain>
      <paraID>7BF95891</paraID>
      <start>4</start>
      <end>5</end>
      <status>unmodified</status>
      <modifiedWord/>
      <trackRevisions>false</trackRevisions>
    </reviewItem>
    <reviewItem>
      <errorID>b3ea4e14-974f-47b3-8e32-5d8acb09fd57</errorID>
      <errorWord>)</errorWord>
      <group>L1_Format</group>
      <groupName>格式问题</groupName>
      <ability>L2_HalfPunc</ability>
      <abilityName>全半角检查</abilityName>
      <candidateList>
        <item>）</item>
      </candidateList>
      <explain>文本全半角错误。</explain>
      <paraID>7BF95891</paraID>
      <start>11</start>
      <end>12</end>
      <status>unmodified</status>
      <modifiedWord/>
      <trackRevisions>false</trackRevisions>
    </reviewItem>
    <reviewItem>
      <errorID>d468a954-4df4-4e57-989e-41c0ce2cb366</errorID>
      <errorWord>自</errorWord>
      <group>L1_Word</group>
      <groupName>字词问题</groupName>
      <ability>L2_Typo</ability>
      <abilityName>字词错误</abilityName>
      <candidateList>
        <item>在</item>
      </candidateList>
      <explain>存在发音相近字词的误用。</explain>
      <paraID>70244ED7</paraID>
      <start>85</start>
      <end>86</end>
      <status>unmodified</status>
      <modifiedWord/>
      <trackRevisions>false</trackRevisions>
    </reviewItem>
    <reviewItem>
      <errorID>6113979c-366b-4ab7-944f-58c0740dc8ce</errorID>
      <errorWord>前</errorWord>
      <group>L1_Word</group>
      <groupName>字词问题</groupName>
      <ability>L2_Typo</ability>
      <abilityName>字词错误</abilityName>
      <candidateList>
        <item>前尚</item>
      </candidateList>
      <explain/>
      <paraID>3461108E</paraID>
      <start>147</start>
      <end>148</end>
      <status>unmodified</status>
      <modifiedWord/>
      <trackRevisions>false</trackRevisions>
    </reviewItem>
    <reviewItem>
      <errorID>9579f2a3-3612-4868-90bb-3d1982fc8683</errorID>
      <errorWord>程</errorWord>
      <group>L1_Word</group>
      <groupName>字词问题</groupName>
      <ability>L2_Typo</ability>
      <abilityName>字词错误</abilityName>
      <candidateList>
        <item>程中</item>
      </candidateList>
      <explain/>
      <paraID>7E68D5B1</paraID>
      <start>135</start>
      <end>136</end>
      <status>unmodified</status>
      <modifiedWord/>
      <trackRevisions>false</trackRevisions>
    </reviewItem>
    <reviewItem>
      <errorID>76a59096-08b1-4d9a-8799-5c9a4b97a417</errorID>
      <errorWord>来自于</errorWord>
      <group>L1_Grammar</group>
      <groupName>语法问题</groupName>
      <ability>L2_Grammar</ability>
      <abilityName>语法错误</abilityName>
      <candidateList>
        <item>来自</item>
      </candidateList>
      <explain/>
      <paraID>5E33FCEF</paraID>
      <start>6</start>
      <end>9</end>
      <status>unmodified</status>
      <modifiedWord/>
      <trackRevisions>false</trackRevisions>
    </reviewItem>
    <reviewItem>
      <errorID>902bd40d-c876-43c1-be69-387ba384a7e8</errorID>
      <errorWord>，</errorWord>
      <group>L1_Word</group>
      <groupName>字词问题</groupName>
      <ability>L2_Typo</ability>
      <abilityName>字词错误</abilityName>
      <candidateList>
        <item>，以</item>
      </candidateList>
      <explain/>
      <paraID>61736EA8</paraID>
      <start>51</start>
      <end>52</end>
      <status>unmodified</status>
      <modifiedWord/>
      <trackRevisions>false</trackRevisions>
    </reviewItem>
    <reviewItem>
      <errorID>cd7b4d97-6dd5-4110-a0b0-46c9b89624f3</errorID>
      <errorWord>)</errorWord>
      <group>L1_Format</group>
      <groupName>格式问题</groupName>
      <ability>L2_HalfPunc</ability>
      <abilityName>全半角检查</abilityName>
      <candidateList>
        <item>）</item>
      </candidateList>
      <explain>文本全半角错误。</explain>
      <paraID>61736EA8</paraID>
      <start>161</start>
      <end>162</end>
      <status>unmodified</status>
      <modifiedWord/>
      <trackRevisions>false</trackRevisions>
    </reviewItem>
    <reviewItem>
      <errorID>645939b2-778f-4653-9ee1-a31686aed931</errorID>
      <errorWord>)</errorWord>
      <group>L1_Format</group>
      <groupName>格式问题</groupName>
      <ability>L2_HalfPunc</ability>
      <abilityName>全半角检查</abilityName>
      <candidateList>
        <item>）</item>
      </candidateList>
      <explain>文本全半角错误。</explain>
      <paraID>61736EA8</paraID>
      <start>188</start>
      <end>189</end>
      <status>unmodified</status>
      <modifiedWord/>
      <trackRevisions>false</trackRevisions>
    </reviewItem>
    <reviewItem>
      <errorID>8bc3c794-c274-4aad-90e7-44f373b18934</errorID>
      <errorWord>)</errorWord>
      <group>L1_Format</group>
      <groupName>格式问题</groupName>
      <ability>L2_HalfPunc</ability>
      <abilityName>全半角检查</abilityName>
      <candidateList>
        <item>）</item>
      </candidateList>
      <explain>文本全半角错误。</explain>
      <paraID>7478FB77</paraID>
      <start>21</start>
      <end>22</end>
      <status>unmodified</status>
      <modifiedWord/>
      <trackRevisions>false</trackRevisions>
    </reviewItem>
    <reviewItem>
      <errorID>4db9aa45-e7b8-4fa3-9018-a082b6dc1a97</errorID>
      <errorWord>)</errorWord>
      <group>L1_Format</group>
      <groupName>格式问题</groupName>
      <ability>L2_HalfPunc</ability>
      <abilityName>全半角检查</abilityName>
      <candidateList>
        <item>）</item>
      </candidateList>
      <explain>文本全半角错误。</explain>
      <paraID>6053FAB1</paraID>
      <start>24</start>
      <end>25</end>
      <status>unmodified</status>
      <modifiedWord/>
      <trackRevisions>false</trackRevisions>
    </reviewItem>
    <reviewItem>
      <errorID>88c83090-9dc9-47cf-8cd1-a1026ca9e26d</errorID>
      <errorWord>)</errorWord>
      <group>L1_Format</group>
      <groupName>格式问题</groupName>
      <ability>L2_HalfPunc</ability>
      <abilityName>全半角检查</abilityName>
      <candidateList>
        <item>）</item>
      </candidateList>
      <explain>文本全半角错误。</explain>
      <paraID>7B6475C1</paraID>
      <start>18</start>
      <end>19</end>
      <status>unmodified</status>
      <modifiedWord/>
      <trackRevisions>false</trackRevisions>
    </reviewItem>
    <reviewItem>
      <errorID>3544fc9f-0f10-491c-8dbb-0fb6df4db363</errorID>
      <errorWord>)</errorWord>
      <group>L1_Format</group>
      <groupName>格式问题</groupName>
      <ability>L2_HalfPunc</ability>
      <abilityName>全半角检查</abilityName>
      <candidateList>
        <item>）</item>
      </candidateList>
      <explain>文本全半角错误。</explain>
      <paraID>58065902</paraID>
      <start>28</start>
      <end>29</end>
      <status>unmodified</status>
      <modifiedWord/>
      <trackRevisions>false</trackRevisions>
    </reviewItem>
    <reviewItem>
      <errorID>fa9402dd-3bfb-4a0e-b450-4ee940acd759</errorID>
      <errorWord>)</errorWord>
      <group>L1_Format</group>
      <groupName>格式问题</groupName>
      <ability>L2_HalfPunc</ability>
      <abilityName>全半角检查</abilityName>
      <candidateList>
        <item>）</item>
      </candidateList>
      <explain>文本全半角错误。</explain>
      <paraID> 6919126</paraID>
      <start>19</start>
      <end>20</end>
      <status>unmodified</status>
      <modifiedWord/>
      <trackRevisions>false</trackRevisions>
    </reviewItem>
    <reviewItem>
      <errorID>b52609d7-b5a1-4697-8d1a-8cd33dc2deb5</errorID>
      <errorWord>交通部</errorWord>
      <group>L1_Knowledge</group>
      <groupName>知识性问题</groupName>
      <ability>L2_Knowledge</ability>
      <abilityName>其他知识</abilityName>
      <candidateList>
        <item>交通运输部</item>
      </candidateList>
      <explain/>
      <paraID> F7E2F8C</paraID>
      <start>27</start>
      <end>30</end>
      <status>unmodified</status>
      <modifiedWord/>
      <trackRevisions>false</trackRevisions>
    </reviewItem>
    <reviewItem>
      <errorID>05e1df9e-b518-4801-8a05-cdaaa2cb8130</errorID>
      <errorWord>〕年</errorWord>
      <group>L1_Word</group>
      <groupName>字词问题</groupName>
      <ability>L2_Typo</ability>
      <abilityName>字词错误</abilityName>
      <candidateList>
        <item>〕</item>
      </candidateList>
      <explain/>
      <paraID> F7E2F8C</paraID>
      <start>36</start>
      <end>38</end>
      <status>unmodified</status>
      <modifiedWord/>
      <trackRevisions>false</trackRevisions>
    </reviewItem>
    <reviewItem>
      <errorID>dffbe3e6-2e72-4e3e-a9f5-1344c1dc5d04</errorID>
      <errorWord>属</errorWord>
      <group>L1_Word</group>
      <groupName>字词问题</groupName>
      <ability>L2_Typo</ability>
      <abilityName>字词错误</abilityName>
      <candidateList>
        <item>属于</item>
      </candidateList>
      <explain/>
      <paraID>5EEF7BD0</paraID>
      <start>56</start>
      <end>57</end>
      <status>unmodified</status>
      <modifiedWord/>
      <trackRevisions>false</trackRevisions>
    </reviewItem>
    <reviewItem>
      <errorID>bf24fb82-fbed-439a-b0ab-823ca73b0654</errorID>
      <errorWord>其它蛋白质</errorWord>
      <group>L1_Word</group>
      <groupName>字词问题</groupName>
      <ability>L2_Alias</ability>
      <abilityName>也作/曾用词</abilityName>
      <candidateList>
        <item>其他蛋白质</item>
      </candidateList>
      <explain>词汇[其它蛋白质]为不规范表述或旧称，其规范书面表述为[其他蛋白质]。</explain>
      <paraID>793EB13A</paraID>
      <start>53</start>
      <end>58</end>
      <status>modified</status>
      <modifiedWord>其他蛋白质</modifiedWord>
      <trackRevisions>false</trackRevisions>
    </reviewItem>
    <reviewItem>
      <errorID>d517d107-8ef3-48f5-a385-1cd37cfc8030</errorID>
      <errorWord>来自于</errorWord>
      <group>L1_Grammar</group>
      <groupName>语法问题</groupName>
      <ability>L2_Grammar</ability>
      <abilityName>语法错误</abilityName>
      <candidateList>
        <item>来自</item>
      </candidateList>
      <explain/>
      <paraID>316FD46C</paraID>
      <start>9</start>
      <end>12</end>
      <status>unmodified</status>
      <modifiedWord/>
      <trackRevisions>false</trackRevisions>
    </reviewItem>
    <reviewItem>
      <errorID>6dd9bd7b-d8ab-452a-a1d1-f582624414d3</errorID>
      <errorWord>、以及</errorWord>
      <group>L1_Punc</group>
      <groupName>标点问题</groupName>
      <ability>L2_Punc</ability>
      <abilityName>标点符号检查</abilityName>
      <candidateList>
        <item>，以及</item>
      </candidateList>
      <explain>连接词前后不宜使用顿号，建议使用逗号。</explain>
      <paraID>283EBBD1</paraID>
      <start>43</start>
      <end>46</end>
      <status>unmodified</status>
      <modifiedWord/>
      <trackRevisions>false</trackRevisions>
    </reviewItem>
    <reviewItem>
      <errorID>9b03f807-ea9a-4833-aa9f-a7ffbfd71ce1</errorID>
      <errorWord>97～98%</errorWord>
      <group>L1_Knowledge</group>
      <groupName>知识性问题</groupName>
      <ability>L2_Knowledge</ability>
      <abilityName>其他知识</abilityName>
      <candidateList>
        <item>97%～98%</item>
      </candidateList>
      <explain>1. “97～98%”中的单位“%”仅出现在后一个数字上，容易引起歧义；根据《现代汉语标点符号数字用法规范手册》，数字表示范围两边需要使用统一的格式。2. 根据标点国标 4.13 中的规则，数字、时间或地域连接符应使用（视觉上更长的）“—”或“～”。</explain>
      <paraID>13D1A5B8</paraID>
      <start>66</start>
      <end>72</end>
      <status>unmodified</status>
      <modifiedWord/>
      <trackRevisions>false</trackRevisions>
    </reviewItem>
    <reviewItem>
      <errorID>255ae979-8b44-4f41-8d6c-2751141316f7</errorID>
      <errorWord>～</errorWord>
      <group>L1_Format</group>
      <groupName>格式问题</groupName>
      <ability>L2_HalfPunc</ability>
      <abilityName>全半角检查</abilityName>
      <candidateList>
        <item>~</item>
      </candidateList>
      <explain>文本全半角错误。</explain>
      <paraID>4342D50F</paraID>
      <start>4</start>
      <end>5</end>
      <status>unmodified</status>
      <modifiedWord/>
      <trackRevisions>false</trackRevisions>
    </reviewItem>
    <reviewItem>
      <errorID>a4275b7c-110b-428f-a3eb-d3297b7fbdff</errorID>
      <errorWord>粘稠</errorWord>
      <group>L1_Word</group>
      <groupName>字词问题</groupName>
      <ability>L2_Typo</ability>
      <abilityName>字词错误</abilityName>
      <candidateList>
        <item>黏稠</item>
      </candidateList>
      <explain>存在发音相同字词的误用。</explain>
      <paraID>749CE50A</paraID>
      <start>2</start>
      <end>4</end>
      <status>unmodified</status>
      <modifiedWord/>
      <trackRevisions>false</trackRevisions>
    </reviewItem>
    <reviewItem>
      <errorID>8efa5244-77ed-477c-b437-22b68f0821f4</errorID>
      <errorWord>&gt;</errorWord>
      <group>L1_Punc</group>
      <groupName>标点问题</groupName>
      <ability>L2_Punc</ability>
      <abilityName>标点符号检查</abilityName>
      <candidateList/>
      <explain/>
      <paraID>53A04987</paraID>
      <start>0</start>
      <end>1</end>
      <status>unmodified</status>
      <modifiedWord/>
      <trackRevisions>false</trackRevisions>
    </reviewItem>
    <reviewItem>
      <errorID>3769e65c-2476-4160-9d52-47d8711d57a2</errorID>
      <errorWord>粘度</errorWord>
      <group>L1_Word</group>
      <groupName>字词问题</groupName>
      <ability>L2_Alias</ability>
      <abilityName>也作/曾用词</abilityName>
      <candidateList>
        <item>黏度</item>
      </candidateList>
      <explain>词汇[粘度]为不规范表述或旧称，其规范书面表述为[黏度]。</explain>
      <paraID>4331221F</paraID>
      <start>0</start>
      <end>2</end>
      <status>unmodified</status>
      <modifiedWord/>
      <trackRevisions>false</trackRevisions>
    </reviewItem>
    <reviewItem>
      <errorID>ef8d053c-2e0a-46df-a7b5-d8bbdf339761</errorID>
      <errorWord>1～5%</errorWord>
      <group>L1_Knowledge</group>
      <groupName>知识性问题</groupName>
      <ability>L2_Knowledge</ability>
      <abilityName>其他知识</abilityName>
      <candidateList>
        <item>1%～5%</item>
      </candidateList>
      <explain>1. “1～5%”中的单位“%”仅出现在后一个数字上，容易引起歧义；根据《现代汉语标点符号数字用法规范手册》，数字表示范围两边需要使用统一的格式。2. 根据标点国标 4.13 中的规则，数字、时间或地域连接符应使用（视觉上更长的）“—”或“～”。</explain>
      <paraID>7D128C61</paraID>
      <start>0</start>
      <end>4</end>
      <status>unmodified</status>
      <modifiedWord/>
      <trackRevisions>false</trackRevisions>
    </reviewItem>
    <reviewItem>
      <errorID>5a69d2dd-49d6-4b96-8393-a9f63c3d3755</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 2F3900E</paraID>
      <start>76</start>
      <end>79</end>
      <status>unmodified</status>
      <modifiedWord/>
      <trackRevisions>false</trackRevisions>
    </reviewItem>
    <reviewItem>
      <errorID>9fb0d98d-19df-41a6-8b07-df9c36ee8650</errorID>
      <errorWord>其它</errorWord>
      <group>L1_Word</group>
      <groupName>字词问题</groupName>
      <ability>L2_Alias</ability>
      <abilityName>也作/曾用词</abilityName>
      <candidateList>
        <item>其他</item>
      </candidateList>
      <explain>词汇[其它]为不规范表述或旧称，其规范书面表述为[其他]。</explain>
      <paraID>1DA924EC</paraID>
      <start>112</start>
      <end>114</end>
      <status>modified</status>
      <modifiedWord>其他</modifiedWord>
      <trackRevisions>false</trackRevisions>
    </reviewItem>
    <reviewItem>
      <errorID>12e811b9-ec53-42e7-99b1-ef5d6cc1d0b9</errorID>
      <errorWord>其它</errorWord>
      <group>L1_Word</group>
      <groupName>字词问题</groupName>
      <ability>L2_Alias</ability>
      <abilityName>也作/曾用词</abilityName>
      <candidateList>
        <item>其他</item>
      </candidateList>
      <explain>词汇[其它]为不规范表述或旧称，其规范书面表述为[其他]。</explain>
      <paraID>1365866A</paraID>
      <start>0</start>
      <end>2</end>
      <status>modified</status>
      <modifiedWord>其他</modifiedWord>
      <trackRevisions>false</trackRevisions>
    </reviewItem>
    <reviewItem>
      <errorID>46331b98-6634-4f97-bbfe-28142d292cd5</errorID>
      <errorWord>水气</errorWord>
      <group>L1_Word</group>
      <groupName>字词问题</groupName>
      <ability>L2_Typo</ability>
      <abilityName>字词错误</abilityName>
      <candidateList>
        <item>水汽</item>
      </candidateList>
      <explain>存在发音相同字词的误用。</explain>
      <paraID>485A8AB7</paraID>
      <start>44</start>
      <end>46</end>
      <status>unmodified</status>
      <modifiedWord/>
      <trackRevisions>false</trackRevisions>
    </reviewItem>
    <reviewItem>
      <errorID>48527e75-2b82-436a-9326-29dc1d72a924</errorID>
      <errorWord>减小</errorWord>
      <group>L1_Word</group>
      <groupName>字词问题</groupName>
      <ability>L2_Typo</ability>
      <abilityName>字词错误</abilityName>
      <candidateList>
        <item>减少</item>
      </candidateList>
      <explain>〈动〉减去一部分：～人员｜～麻烦｜工作中的缺点～了。</explain>
      <paraID>6F1A839C</paraID>
      <start>92</start>
      <end>94</end>
      <status>unmodified</status>
      <modifiedWord/>
      <trackRevisions>false</trackRevisions>
    </reviewItem>
    <reviewItem>
      <errorID>702ac026-b0e4-46c9-a507-f803f3b0b76f</errorID>
      <errorWord>粘附</errorWord>
      <group>L1_Word</group>
      <groupName>字词问题</groupName>
      <ability>L2_Alias</ability>
      <abilityName>也作/曾用词</abilityName>
      <candidateList>
        <item>黏附</item>
      </candidateList>
      <explain>词汇[粘附]为不规范表述或旧称，其规范书面表述为[黏附]。</explain>
      <paraID>6F1A839C</paraID>
      <start>130</start>
      <end>132</end>
      <status>unmodified</status>
      <modifiedWord/>
      <trackRevisions>false</trackRevisions>
    </reviewItem>
    <reviewItem>
      <errorID>badaa6f2-e57c-4887-92bf-e8b532aeebb5</errorID>
      <errorWord>佛罗时达</errorWord>
      <group>L1_Word</group>
      <groupName>字词问题</groupName>
      <ability>L2_Typo</ability>
      <abilityName>字词错误</abilityName>
      <candidateList>
        <item>佛罗里达</item>
      </candidateList>
      <explain/>
      <paraID>5E80D05B</paraID>
      <start>118</start>
      <end>122</end>
      <status>unmodified</status>
      <modifiedWord/>
      <trackRevisions>false</trackRevisions>
    </reviewItem>
    <reviewItem>
      <errorID>ff81986f-d2a8-4c22-bb15-41d7043b9365</errorID>
      <errorWord>(</errorWord>
      <group>L1_Format</group>
      <groupName>格式问题</groupName>
      <ability>L2_HalfPunc</ability>
      <abilityName>全半角检查</abilityName>
      <candidateList>
        <item>（</item>
      </candidateList>
      <explain>文本全半角错误。</explain>
      <paraID>5E80D05B</paraID>
      <start>355</start>
      <end>356</end>
      <status>unmodified</status>
      <modifiedWord/>
      <trackRevisions>false</trackRevisions>
    </reviewItem>
    <reviewItem>
      <errorID>eee530ea-98d1-4910-ad42-d65e60b19887</errorID>
      <errorWord>)</errorWord>
      <group>L1_Format</group>
      <groupName>格式问题</groupName>
      <ability>L2_HalfPunc</ability>
      <abilityName>全半角检查</abilityName>
      <candidateList>
        <item>）</item>
      </candidateList>
      <explain>文本全半角错误。</explain>
      <paraID>5E80D05B</paraID>
      <start>360</start>
      <end>361</end>
      <status>unmodified</status>
      <modifiedWord/>
      <trackRevisions>false</trackRevisions>
    </reviewItem>
    <reviewItem>
      <errorID>7291d365-ede2-446f-a71a-746672080935</errorID>
      <errorWord>)</errorWord>
      <group>L1_Format</group>
      <groupName>格式问题</groupName>
      <ability>L2_HalfPunc</ability>
      <abilityName>全半角检查</abilityName>
      <candidateList>
        <item>）</item>
      </candidateList>
      <explain>文本全半角错误。</explain>
      <paraID>5E80D05B</paraID>
      <start>422</start>
      <end>423</end>
      <status>unmodified</status>
      <modifiedWord/>
      <trackRevisions>false</trackRevisions>
    </reviewItem>
    <reviewItem>
      <errorID>d1912ea1-6763-48b7-bf11-db8d44bb5a51</errorID>
      <errorWord>如若</errorWord>
      <group>L1_Word</group>
      <groupName>字词问题</groupName>
      <ability>L2_Typo</ability>
      <abilityName>字词错误</abilityName>
      <candidateList>
        <item>若</item>
      </candidateList>
      <explain/>
      <paraID>4D7500BC</paraID>
      <start>105</start>
      <end>107</end>
      <status>unmodified</status>
      <modifiedWord/>
      <trackRevisions>false</trackRevisions>
    </reviewItem>
    <reviewItem>
      <errorID>4ac57c0b-749c-4301-ba60-b83f62252183</errorID>
      <errorWord>程度的</errorWord>
      <group>L1_Word</group>
      <groupName>字词问题</groupName>
      <ability>L2_Typo</ability>
      <abilityName>字词错误</abilityName>
      <candidateList>
        <item>程度</item>
      </candidateList>
      <explain>〈名〉❶文化、教育、知识、能力等方面的水平：文化～｜自动化～。❷事物变化达到的状况：天气虽冷，还没有到上冻的～｜他的肝病已恶化到十分严重的～。</explain>
      <paraID>1CA9FB46</paraID>
      <start>60</start>
      <end>63</end>
      <status>unmodified</status>
      <modifiedWord/>
      <trackRevisions>false</trackRevisions>
    </reviewItem>
    <reviewItem>
      <errorID>7a5f0e14-7521-4a14-95c1-f22e6d5e17e3</errorID>
      <errorWord>采取得</errorWord>
      <group>L1_Word</group>
      <groupName>字词问题</groupName>
      <ability>L2_Typo</ability>
      <abilityName>字词错误</abilityName>
      <candidateList>
        <item>采取</item>
      </candidateList>
      <explain>〈动〉❶选择施行（某种方针、政策、措施、手段、形式、态度等）：～守势｜～紧急措施。❷取：～指纹。</explain>
      <paraID>40197124</paraID>
      <start>120</start>
      <end>123</end>
      <status>unmodified</status>
      <modifiedWord/>
      <trackRevisions>false</trackRevisions>
    </reviewItem>
    <reviewItem>
      <errorID>98202441-2304-4ebd-8ef7-cf28263b1fa6</errorID>
      <errorWord>发生几率</errorWord>
      <group>L1_Word</group>
      <groupName>字词问题</groupName>
      <ability>L2_Typo</ability>
      <abilityName>字词错误</abilityName>
      <candidateList>
        <item>发生概率</item>
      </candidateList>
      <explain/>
      <paraID>1C503CE6</paraID>
      <start>61</start>
      <end>65</end>
      <status>unmodified</status>
      <modifiedWord/>
      <trackRevisions>false</trackRevisions>
    </reviewItem>
    <reviewItem>
      <errorID>14c94278-d7da-4418-8ee8-650de9d24e01</errorID>
      <errorWord>、等</errorWord>
      <group>L1_Punc</group>
      <groupName>标点问题</groupName>
      <ability>L2_Punc</ability>
      <abilityName>标点符号检查</abilityName>
      <candidateList>
        <item>等</item>
      </candidateList>
      <explain>“及”“和”“等”连词前不宜使用顿号，建议删除（或使用逗号）。</explain>
      <paraID>4D3CF887</paraID>
      <start>41</start>
      <end>43</end>
      <status>unmodified</status>
      <modifiedWord/>
      <trackRevisions>false</trackRevisions>
    </reviewItem>
    <reviewItem>
      <errorID>b0c8e5b3-3407-411d-acd0-fa9b0776a8dc</errorID>
      <errorWord>意外</errorWord>
      <group>L1_Word</group>
      <groupName>字词问题</groupName>
      <ability>L2_Typo</ability>
      <abilityName>字词错误</abilityName>
      <candidateList>
        <item>外</item>
      </candidateList>
      <explain/>
      <paraID>4D3CF887</paraID>
      <start>89</start>
      <end>91</end>
      <status>unmodified</status>
      <modifiedWord/>
      <trackRevisions>false</trackRevisions>
    </reviewItem>
    <reviewItem>
      <errorID>8c1683bc-a1e8-4ce4-9e9c-13abe2dd46d4</errorID>
      <errorWord>有关的</errorWord>
      <group>L1_Word</group>
      <groupName>字词问题</groupName>
      <ability>L2_Typo</ability>
      <abilityName>字词错误</abilityName>
      <candidateList>
        <item>有关</item>
      </candidateList>
      <explain>〈动〉❶有关系：～方面｜～部门｜这些问题都跟哲学～。❷涉及到：他研究了历代～水利问题的著作。</explain>
      <paraID>37173CFE</paraID>
      <start>4</start>
      <end>7</end>
      <status>unmodified</status>
      <modifiedWord/>
      <trackRevisions>false</trackRevisions>
    </reviewItem>
    <reviewItem>
      <errorID>a1b0cb1f-3a0e-4215-9d32-df919f76c3e7</errorID>
      <errorWord>法律、法规</errorWord>
      <group>L1_Word</group>
      <groupName>字词问题</groupName>
      <ability>L2_Typo</ability>
      <abilityName>字词错误</abilityName>
      <candidateList>
        <item>法律法规</item>
      </candidateList>
      <explain/>
      <paraID>1444AB1E</paraID>
      <start>21</start>
      <end>26</end>
      <status>unmodified</status>
      <modifiedWord/>
      <trackRevisions>false</trackRevisions>
    </reviewItem>
    <reviewItem>
      <errorID>869b269c-39c0-43b2-ad8b-fa3ff69d57f8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1444AB1E</paraID>
      <start>41</start>
      <end>44</end>
      <status>unmodified</status>
      <modifiedWord/>
      <trackRevisions>false</trackRevisions>
    </reviewItem>
    <reviewItem>
      <errorID>99debc9c-13b1-4f03-a51b-0e9e09e26528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1444AB1E</paraID>
      <start>52</start>
      <end>55</end>
      <status>unmodified</status>
      <modifiedWord/>
      <trackRevisions>false</trackRevisions>
    </reviewItem>
    <reviewItem>
      <errorID>7973d59c-8ac2-4738-9ba9-b5b40a1b25df</errorID>
      <errorWord>，就</errorWord>
      <group>L1_Word</group>
      <groupName>字词问题</groupName>
      <ability>L2_Typo</ability>
      <abilityName>字词错误</abilityName>
      <candidateList>
        <item>，</item>
      </candidateList>
      <explain/>
      <paraID>32DAD46A</paraID>
      <start>28</start>
      <end>30</end>
      <status>unmodified</status>
      <modifiedWord/>
      <trackRevisions>false</trackRevisions>
    </reviewItem>
    <reviewItem>
      <errorID>de6fcc1f-deae-4045-b916-7ab71ad1c685</errorID>
      <errorWord>此</errorWord>
      <group>L1_Word</group>
      <groupName>字词问题</groupName>
      <ability>L2_Typo</ability>
      <abilityName>字词错误</abilityName>
      <candidateList>
        <item>此必</item>
      </candidateList>
      <explain/>
      <paraID>272480B1</paraID>
      <start>37</start>
      <end>38</end>
      <status>unmodified</status>
      <modifiedWord/>
      <trackRevisions>false</trackRevisions>
    </reviewItem>
    <reviewItem>
      <errorID>633bb209-152e-4897-acc8-58363a9d1d60</errorID>
      <errorWord>依</errorWord>
      <group>L1_Word</group>
      <groupName>字词问题</groupName>
      <ability>L2_Typo</ability>
      <abilityName>字词错误</abilityName>
      <candidateList>
        <item>依据</item>
      </candidateList>
      <explain/>
      <paraID>222D65AB</paraID>
      <start>39</start>
      <end>40</end>
      <status>unmodified</status>
      <modifiedWord/>
      <trackRevisions>false</trackRevisions>
    </reviewItem>
    <reviewItem>
      <errorID>b4aab2b0-d67a-4549-9706-788a5708b06b</errorID>
      <errorWord>作好</errorWord>
      <group>L1_Word</group>
      <groupName>字词问题</groupName>
      <ability>L2_Typo</ability>
      <abilityName>字词错误</abilityName>
      <candidateList>
        <item>做好</item>
      </candidateList>
      <explain>存在发音相同字词的误用。</explain>
      <paraID>222D65AB</paraID>
      <start>84</start>
      <end>86</end>
      <status>unmodified</status>
      <modifiedWord/>
      <trackRevisions>false</trackRevisions>
    </reviewItem>
    <reviewItem>
      <errorID>c79403d2-f020-457d-bb02-60542ebdb811</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283D79D4</paraID>
      <start>35</start>
      <end>36</end>
      <status>unmodified</status>
      <modifiedWord/>
      <trackRevisions>false</trackRevisions>
    </reviewItem>
    <reviewItem>
      <errorID>5325dde1-877d-4dbd-a447-651c3d921651</errorID>
      <errorWord>程</errorWord>
      <group>L1_Word</group>
      <groupName>字词问题</groupName>
      <ability>L2_Typo</ability>
      <abilityName>字词错误</abilityName>
      <candidateList>
        <item>程中</item>
      </candidateList>
      <explain/>
      <paraID>33ADF3DA</paraID>
      <start>65</start>
      <end>66</end>
      <status>unmodified</status>
      <modifiedWord/>
      <trackRevisions>false</trackRevisions>
    </reviewItem>
    <reviewItem>
      <errorID>1d0b53a5-80e5-4ca8-be30-39265f524fb9</errorID>
      <errorWord>程</errorWord>
      <group>L1_Word</group>
      <groupName>字词问题</groupName>
      <ability>L2_Typo</ability>
      <abilityName>字词错误</abilityName>
      <candidateList>
        <item>程中</item>
      </candidateList>
      <explain/>
      <paraID>705EC775</paraID>
      <start>6</start>
      <end>7</end>
      <status>unmodified</status>
      <modifiedWord/>
      <trackRevisions>false</trackRevisions>
    </reviewItem>
    <reviewItem>
      <errorID>38f0c1ee-82fe-40dc-8cdc-28a2116d7603</errorID>
      <errorWord>到</errorWord>
      <group>L1_Word</group>
      <groupName>字词问题</groupName>
      <ability>L2_Typo</ability>
      <abilityName>字词错误</abilityName>
      <candidateList>
        <item>到有</item>
      </candidateList>
      <explain/>
      <paraID>78D8CC59</paraID>
      <start>22</start>
      <end>23</end>
      <status>unmodified</status>
      <modifiedWord/>
      <trackRevisions>false</trackRevisions>
    </reviewItem>
    <reviewItem>
      <errorID>26341cd3-8abf-4e59-b570-452d1d851918</errorID>
      <errorWord>程</errorWord>
      <group>L1_Word</group>
      <groupName>字词问题</groupName>
      <ability>L2_Typo</ability>
      <abilityName>字词错误</abilityName>
      <candidateList>
        <item>程中</item>
      </candidateList>
      <explain/>
      <paraID> 2A693CC</paraID>
      <start>39</start>
      <end>40</end>
      <status>unmodified</status>
      <modifiedWord/>
      <trackRevisions>false</trackRevisions>
    </reviewItem>
    <reviewItem>
      <errorID>883bd51b-838a-44af-aace-8065fb6d7f14</errorID>
      <errorWord>来自于</errorWord>
      <group>L1_Grammar</group>
      <groupName>语法问题</groupName>
      <ability>L2_Grammar</ability>
      <abilityName>语法错误</abilityName>
      <candidateList>
        <item>来自</item>
      </candidateList>
      <explain/>
      <paraID>689C4446</paraID>
      <start>12</start>
      <end>15</end>
      <status>unmodified</status>
      <modifiedWord/>
      <trackRevisions>false</trackRevisions>
    </reviewItem>
    <reviewItem>
      <errorID>c3597546-cdce-48f5-b81c-53b61e60a70b</errorID>
      <errorWord>杂质和水份</errorWord>
      <group>L1_Word</group>
      <groupName>字词问题</groupName>
      <ability>L2_Variant</ability>
      <abilityName>异形词</abilityName>
      <candidateList>
        <item>杂质和水分</item>
      </candidateList>
      <explain>词汇[杂质和水份]的规范词形写作[杂质和水分]。</explain>
      <paraID>4DF41456</paraID>
      <start>172</start>
      <end>177</end>
      <status>unmodified</status>
      <modifiedWord/>
      <trackRevisions>false</trackRevisions>
    </reviewItem>
    <reviewItem>
      <errorID>6cb26614-5ad1-4b13-987e-3afdd929d554</errorID>
      <errorWord>的的</errorWord>
      <group>L1_Word</group>
      <groupName>字词问题</groupName>
      <ability>L2_Typo</ability>
      <abilityName>字词错误</abilityName>
      <candidateList>
        <item>的</item>
      </candidateList>
      <explain>“的”常用于连接修饰语与名词性中心语，表示属性、所属或描述。</explain>
      <paraID>1A4010AE</paraID>
      <start>7</start>
      <end>9</end>
      <status>unmodified</status>
      <modifiedWord/>
      <trackRevisions>false</trackRevisions>
    </reviewItem>
    <reviewItem>
      <errorID>83bb0861-fb67-4bc1-aa92-e903108203bc</errorID>
      <errorWord>~</errorWord>
      <group>L1_Format</group>
      <groupName>格式问题</groupName>
      <ability>L2_HalfPunc</ability>
      <abilityName>全半角检查</abilityName>
      <candidateList>
        <item>～</item>
      </candidateList>
      <explain>文本全半角错误。</explain>
      <paraID>649372E4</paraID>
      <start>15</start>
      <end>16</end>
      <status>unmodified</status>
      <modifiedWord/>
      <trackRevisions>false</trackRevisions>
    </reviewItem>
    <reviewItem>
      <errorID>665274f8-8674-49ca-ba2f-4ede0b492821</errorID>
      <errorWord>，</errorWord>
      <group>L1_Word</group>
      <groupName>字词问题</groupName>
      <ability>L2_Typo</ability>
      <abilityName>字词错误</abilityName>
      <candidateList>
        <item>，以</item>
      </candidateList>
      <explain/>
      <paraID>65A220E6</paraID>
      <start>58</start>
      <end>59</end>
      <status>unmodified</status>
      <modifiedWord/>
      <trackRevisions>false</trackRevisions>
    </reviewItem>
    <reviewItem>
      <errorID>06339803-d1bc-4217-ab8d-c76ba3c2cdcd</errorID>
      <errorWord>停岸</errorWord>
      <group>L1_Word</group>
      <groupName>字词问题</groupName>
      <ability>L2_Typo</ability>
      <abilityName>字词错误</abilityName>
      <candidateList>
        <item>靠岸</item>
      </candidateList>
      <explain/>
      <paraID>17D4F704</paraID>
      <start>9</start>
      <end>11</end>
      <status>unmodified</status>
      <modifiedWord/>
      <trackRevisions>false</trackRevisions>
    </reviewItem>
    <reviewItem>
      <errorID>420e87a9-e440-47c0-b8de-93689037a068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3C61357E</paraID>
      <start>36</start>
      <end>39</end>
      <status>unmodified</status>
      <modifiedWord/>
      <trackRevisions>false</trackRevisions>
    </reviewItem>
    <reviewItem>
      <errorID>abe9cc79-5aab-4ca4-a4f4-72ce74d9ba45</errorID>
      <errorWord>等的</errorWord>
      <group>L1_Word</group>
      <groupName>字词问题</groupName>
      <ability>L2_Typo</ability>
      <abilityName>字词错误</abilityName>
      <candidateList>
        <item>等</item>
      </candidateList>
      <explain>〈助〉❶〈书〉用在人称代词或指人的名词后面，表示复数：我～｜彼～。❷表示列举未尽（可以叠用）：北京、天津～地｜纸张文具～～。❸列举后煞尾：长江、黄河、黑龙江、珠江～四大河流。</explain>
      <paraID>3C61357E</paraID>
      <start>52</start>
      <end>54</end>
      <status>unmodified</status>
      <modifiedWord/>
      <trackRevisions>false</trackRevisions>
    </reviewItem>
    <reviewItem>
      <errorID>dcb998c6-f728-4598-8ed8-21fbfc78f6f5</errorID>
      <errorWord>属</errorWord>
      <group>L1_Word</group>
      <groupName>字词问题</groupName>
      <ability>L2_Typo</ability>
      <abilityName>字词错误</abilityName>
      <candidateList>
        <item>属于</item>
      </candidateList>
      <explain/>
      <paraID>29EAF285</paraID>
      <start>56</start>
      <end>57</end>
      <status>unmodified</status>
      <modifiedWord/>
      <trackRevisions>false</trackRevisions>
    </reviewItem>
    <reviewItem>
      <errorID>09207db8-036d-4900-8443-d553289eb497</errorID>
      <errorWord>来自于</errorWord>
      <group>L1_Grammar</group>
      <groupName>语法问题</groupName>
      <ability>L2_Grammar</ability>
      <abilityName>语法错误</abilityName>
      <candidateList>
        <item>来自</item>
      </candidateList>
      <explain/>
      <paraID>7B5C2173</paraID>
      <start>36</start>
      <end>39</end>
      <status>unmodified</status>
      <modifiedWord/>
      <trackRevisions>false</trackRevisions>
    </reviewItem>
    <reviewItem>
      <errorID>d3e9503e-1289-4d6d-bd50-c50a0bc1a2b1</errorID>
      <errorWord>发生几率</errorWord>
      <group>L1_Word</group>
      <groupName>字词问题</groupName>
      <ability>L2_Typo</ability>
      <abilityName>字词错误</abilityName>
      <candidateList>
        <item>发生概率</item>
      </candidateList>
      <explain/>
      <paraID>556D5F69</paraID>
      <start>61</start>
      <end>65</end>
      <status>unmodified</status>
      <modifiedWord/>
      <trackRevisions>false</trackRevisions>
    </reviewItem>
    <reviewItem>
      <errorID>c956f532-c80b-44be-aecb-565e1a00ac67</errorID>
      <errorWord>、等</errorWord>
      <group>L1_Punc</group>
      <groupName>标点问题</groupName>
      <ability>L2_Punc</ability>
      <abilityName>标点符号检查</abilityName>
      <candidateList>
        <item>等</item>
      </candidateList>
      <explain>“及”“和”“等”连词前不宜使用顿号，建议删除（或使用逗号）。</explain>
      <paraID>5FF2116A</paraID>
      <start>41</start>
      <end>43</end>
      <status>unmodified</status>
      <modifiedWord/>
      <trackRevisions>false</trackRevisions>
    </reviewItem>
    <reviewItem>
      <errorID>86a94a1b-3783-41ce-9d19-433edc1fcee2</errorID>
      <errorWord>意外</errorWord>
      <group>L1_Word</group>
      <groupName>字词问题</groupName>
      <ability>L2_Typo</ability>
      <abilityName>字词错误</abilityName>
      <candidateList>
        <item>外</item>
      </candidateList>
      <explain/>
      <paraID>5FF2116A</paraID>
      <start>89</start>
      <end>91</end>
      <status>unmodified</status>
      <modifiedWord/>
      <trackRevisions>false</trackRevisions>
    </reviewItem>
    <reviewItem>
      <errorID>be85f46f-156f-45ae-99e5-dd21c02999b6</errorID>
      <errorWord>法律、法规</errorWord>
      <group>L1_Word</group>
      <groupName>字词问题</groupName>
      <ability>L2_Typo</ability>
      <abilityName>字词错误</abilityName>
      <candidateList>
        <item>法律法规</item>
      </candidateList>
      <explain/>
      <paraID>75986FC6</paraID>
      <start>21</start>
      <end>26</end>
      <status>unmodified</status>
      <modifiedWord/>
      <trackRevisions>false</trackRevisions>
    </reviewItem>
    <reviewItem>
      <errorID>d730b53a-58e8-428d-867b-b3f57bad50ef</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75986FC6</paraID>
      <start>41</start>
      <end>44</end>
      <status>unmodified</status>
      <modifiedWord/>
      <trackRevisions>false</trackRevisions>
    </reviewItem>
    <reviewItem>
      <errorID>13b1ec1c-2d0a-4765-a753-e0f13a5ca765</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75986FC6</paraID>
      <start>52</start>
      <end>55</end>
      <status>unmodified</status>
      <modifiedWord/>
      <trackRevisions>false</trackRevisions>
    </reviewItem>
    <reviewItem>
      <errorID>1af13778-e0d5-4b1f-bd5a-7e0d26078925</errorID>
      <errorWord>，就</errorWord>
      <group>L1_Word</group>
      <groupName>字词问题</groupName>
      <ability>L2_Typo</ability>
      <abilityName>字词错误</abilityName>
      <candidateList>
        <item>，</item>
      </candidateList>
      <explain/>
      <paraID>7404F40A</paraID>
      <start>28</start>
      <end>30</end>
      <status>unmodified</status>
      <modifiedWord/>
      <trackRevisions>false</trackRevisions>
    </reviewItem>
    <reviewItem>
      <errorID>022fafaf-e923-4ae2-88d4-9e6ff08b74f5</errorID>
      <errorWord>见</errorWord>
      <group>L1_Word</group>
      <groupName>字词问题</groupName>
      <ability>L2_Typo</ability>
      <abilityName>字词错误</abilityName>
      <candidateList>
        <item>见下</item>
      </candidateList>
      <explain/>
      <paraID>61C8A0B2</paraID>
      <start>50</start>
      <end>51</end>
      <status>unmodified</status>
      <modifiedWord/>
      <trackRevisions>false</trackRevisions>
    </reviewItem>
    <reviewItem>
      <errorID>4dde499d-524b-47fe-a300-70b914859169</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5508D94D</paraID>
      <start>91</start>
      <end>92</end>
      <status>unmodified</status>
      <modifiedWord/>
      <trackRevisions>false</trackRevisions>
    </reviewItem>
    <reviewItem>
      <errorID>80e66bb5-fd54-4e18-9f76-aff93fe853a5</errorID>
      <errorWord>较</errorWord>
      <group>L1_Word</group>
      <groupName>字词问题</groupName>
      <ability>L2_Typo</ability>
      <abilityName>字词错误</abilityName>
      <candidateList>
        <item>较为</item>
      </candidateList>
      <explain/>
      <paraID> 5A16F2B</paraID>
      <start>22</start>
      <end>23</end>
      <status>unmodified</status>
      <modifiedWord/>
      <trackRevisions>false</trackRevisions>
    </reviewItem>
    <reviewItem>
      <errorID>da76c25d-83e5-47f3-bd18-1960abee09fa</errorID>
      <errorWord>力</errorWord>
      <group>L1_Word</group>
      <groupName>字词问题</groupName>
      <ability>L2_Typo</ability>
      <abilityName>字词错误</abilityName>
      <candidateList>
        <item>力地</item>
      </candidateList>
      <explain/>
      <paraID>3591F91B</paraID>
      <start>51</start>
      <end>52</end>
      <status>unmodified</status>
      <modifiedWord/>
      <trackRevisions>false</trackRevisions>
    </reviewItem>
    <reviewItem>
      <errorID>23812929-eac3-4f0f-8bae-f67a16fbcd41</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2BB701B0</paraID>
      <start>66</start>
      <end>67</end>
      <status>unmodified</status>
      <modifiedWord/>
      <trackRevisions>false</trackRevisions>
    </reviewItem>
    <reviewItem>
      <errorID>e52df598-45ee-4510-a0b2-7ef1c5a80970</errorID>
      <errorWord>减小</errorWord>
      <group>L1_Word</group>
      <groupName>字词问题</groupName>
      <ability>L2_Typo</ability>
      <abilityName>字词错误</abilityName>
      <candidateList>
        <item>减少</item>
      </candidateList>
      <explain>存在字形相近字词的误用。</explain>
      <paraID>737359D5</paraID>
      <start>90</start>
      <end>92</end>
      <status>unmodified</status>
      <modifiedWord/>
      <trackRevisions>false</trackRevisions>
    </reviewItem>
    <reviewItem>
      <errorID>030765d7-7059-4e68-95fc-7c787f30a343</errorID>
      <errorWord>虽</errorWord>
      <group>L1_Word</group>
      <groupName>字词问题</groupName>
      <ability>L2_Typo</ability>
      <abilityName>字词错误</abilityName>
      <candidateList>
        <item>虽然</item>
      </candidateList>
      <explain/>
      <paraID>2B4A295B</paraID>
      <start>27</start>
      <end>28</end>
      <status>unmodified</status>
      <modifiedWord/>
      <trackRevisions>false</trackRevisions>
    </reviewItem>
    <reviewItem>
      <errorID>43aef45d-f604-4db6-a24e-eb8ec40a49ac</errorID>
      <errorWord>建设</errorWord>
      <group>L1_Word</group>
      <groupName>字词问题</groupName>
      <ability>L2_Typo</ability>
      <abilityName>字词错误</abilityName>
      <candidateList>
        <item>减少</item>
      </candidateList>
      <explain>〈动〉减去一部分：～人员｜～麻烦｜工作中的缺点～了。</explain>
      <paraID>5A68C659</paraID>
      <start>26</start>
      <end>28</end>
      <status>unmodified</status>
      <modifiedWord/>
      <trackRevisions>false</trackRevisions>
    </reviewItem>
    <reviewItem>
      <errorID>15497b47-584c-44c6-8e36-1b75c2c8409e</errorID>
      <errorWord>程</errorWord>
      <group>L1_Word</group>
      <groupName>字词问题</groupName>
      <ability>L2_Typo</ability>
      <abilityName>字词错误</abilityName>
      <candidateList>
        <item>程中</item>
      </candidateList>
      <explain/>
      <paraID>756DBD8B</paraID>
      <start>5</start>
      <end>6</end>
      <status>unmodified</status>
      <modifiedWord/>
      <trackRevisions>false</trackRevisions>
    </reviewItem>
    <reviewItem>
      <errorID>924271c2-c9f1-4761-8644-d1102769163b</errorID>
      <errorWord>期期</errorWord>
      <group>L1_Word</group>
      <groupName>字词问题</groupName>
      <ability>L2_Typo</ability>
      <abilityName>字词错误</abilityName>
      <candidateList>
        <item>期</item>
      </candidateList>
      <explain/>
      <paraID>24EC96F5</paraID>
      <start>10</start>
      <end>12</end>
      <status>unmodified</status>
      <modifiedWord/>
      <trackRevisions>false</trackRevisions>
    </reviewItem>
    <reviewItem>
      <errorID>dc63b121-5e6c-4680-874d-9257179574d6</errorID>
      <errorWord>主要的</errorWord>
      <group>L1_Word</group>
      <groupName>字词问题</groupName>
      <ability>L2_Typo</ability>
      <abilityName>字词错误</abilityName>
      <candidateList>
        <item>主要</item>
      </candidateList>
      <explain>〈形〉属性词。有关事物中最重要的；起决定作用的：～原因｜～目的｜～人物。</explain>
      <paraID>4D5C5A55</paraID>
      <start>11</start>
      <end>14</end>
      <status>unmodified</status>
      <modifiedWord/>
      <trackRevisions>false</trackRevisions>
    </reviewItem>
    <reviewItem>
      <errorID>350f55ab-d4ab-43aa-bd87-0814a7470fe7</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481C170A</paraID>
      <start>26</start>
      <end>29</end>
      <status>unmodified</status>
      <modifiedWord/>
      <trackRevisions>false</trackRevisions>
    </reviewItem>
    <reviewItem>
      <errorID>3c02d80f-2cb7-476c-9228-b9f7ccccd74c</errorID>
      <errorWord>环境影响评价法</errorWord>
      <group>L1_Knowledge</group>
      <groupName>知识性问题</groupName>
      <ability>L2_Knowledge</ability>
      <abilityName>其他知识</abilityName>
      <candidateList>
        <item>中华人民共和国环境影响评价法</item>
      </candidateList>
      <explain>当前法律法规名称使用简称，请注意是否应当使用全称。</explain>
      <paraID>767F68A8</paraID>
      <start>63</start>
      <end>77</end>
      <status>modified</status>
      <modifiedWord>中华人民共和国环境影响评价法</modifiedWord>
      <trackRevisions>false</trackRevisions>
    </reviewItem>
    <reviewItem>
      <errorID>b4c29c01-63b9-4485-86ce-e5b928b91083</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767F68A8</paraID>
      <start>77</start>
      <end>80</end>
      <status>unmodified</status>
      <modifiedWord/>
      <trackRevisions>false</trackRevisions>
    </reviewItem>
    <reviewItem>
      <errorID>28e8a35c-b2fb-437f-9220-114413dc5eb9</errorID>
      <errorWord>（</errorWord>
      <group>L1_Format</group>
      <groupName>格式问题</groupName>
      <ability>L2_HalfPunc</ability>
      <abilityName>全半角检查</abilityName>
      <candidateList>
        <item>(</item>
      </candidateList>
      <explain>文本全半角错误。</explain>
      <paraID>757EC3D2</paraID>
      <start>0</start>
      <end>1</end>
      <status>unmodified</status>
      <modifiedWord/>
      <trackRevisions>false</trackRevisions>
    </reviewItem>
    <reviewItem>
      <errorID>fd14a478-7100-4d7f-9eba-988a27738652</errorID>
      <errorWord>）</errorWord>
      <group>L1_Format</group>
      <groupName>格式问题</groupName>
      <ability>L2_HalfPunc</ability>
      <abilityName>全半角检查</abilityName>
      <candidateList>
        <item>)</item>
      </candidateList>
      <explain>文本全半角错误。</explain>
      <paraID>757EC3D2</paraID>
      <start>6</start>
      <end>7</end>
      <status>unmodified</status>
      <modifiedWord/>
      <trackRevisions>false</trackRevisions>
    </reviewItem>
    <reviewItem>
      <errorID>e6ff0b75-8168-44d0-8c4f-d721940a7712</errorID>
      <errorWord>（</errorWord>
      <group>L1_Punc</group>
      <groupName>标点问题</groupName>
      <ability>L2_Punc</ability>
      <abilityName>标点符号检查</abilityName>
      <candidateList/>
      <explain>此处标点可能未正确匹配，请检查句子中是否存在标点冗余、缺失或使用错误的情况。</explain>
      <paraID>2A9B2615</paraID>
      <start>60</start>
      <end>61</end>
      <status>unmodified</status>
      <modifiedWord/>
      <trackRevisions>false</trackRevisions>
    </reviewItem>
    <reviewItem>
      <errorID>fc04682d-8e67-4a82-aced-dda69a7b0023</errorID>
      <errorWord>5）、</errorWord>
      <group>L1_Punc</group>
      <groupName>标点问题</groupName>
      <ability>L2_Punc</ability>
      <abilityName>标点符号检查</abilityName>
      <candidateList>
        <item>5）</item>
      </candidateList>
      <explain>根据国标GB/T 15834-2011《标点符号用法》中的4.5.3.3节，带括号的汉字数字或阿拉伯数字表次序时，后面通常不加顿号。如“（一）指导思想”“（二）行动指南”。</explain>
      <paraID>31120B05</paraID>
      <start>96</start>
      <end>99</end>
      <status>unmodified</status>
      <modifiedWord/>
      <trackRevisions>false</trackRevisions>
    </reviewItem>
    <reviewItem>
      <errorID>56a58763-8d50-4cdb-9dd7-73128aa8e554</errorID>
      <errorWord>)</errorWord>
      <group>L1_Format</group>
      <groupName>格式问题</groupName>
      <ability>L2_HalfPunc</ability>
      <abilityName>全半角检查</abilityName>
      <candidateList>
        <item>）</item>
      </candidateList>
      <explain>文本全半角错误。</explain>
      <paraID>1D63832B</paraID>
      <start>58</start>
      <end>59</end>
      <status>unmodified</status>
      <modifiedWord/>
      <trackRevisions>false</trackRevisions>
    </reviewItem>
    <reviewItem>
      <errorID>349936a8-bece-414c-8d93-d1f8e3e72269</errorID>
      <errorWord>其它</errorWord>
      <group>L1_Word</group>
      <groupName>字词问题</groupName>
      <ability>L2_Alias</ability>
      <abilityName>也作/曾用词</abilityName>
      <candidateList>
        <item>其他</item>
      </candidateList>
      <explain>词汇[其它]为不规范表述或旧称，其规范书面表述为[其他]。</explain>
      <paraID>4B500441</paraID>
      <start>34</start>
      <end>36</end>
      <status>modified</status>
      <modifiedWord>其他</modifiedWord>
      <trackRevisions>false</trackRevisions>
    </reviewItem>
    <reviewItem>
      <errorID>d4471bd5-87bf-4a70-a28f-96e2fef188f1</errorID>
      <errorWord>，</errorWord>
      <group>L1_Word</group>
      <groupName>字词问题</groupName>
      <ability>L2_Typo</ability>
      <abilityName>字词错误</abilityName>
      <candidateList>
        <item>，以</item>
      </candidateList>
      <explain/>
      <paraID>5CDB06A0</paraID>
      <start>44</start>
      <end>45</end>
      <status>unmodified</status>
      <modifiedWord/>
      <trackRevisions>false</trackRevisions>
    </reviewItem>
    <reviewItem>
      <errorID>fe652633-6482-473b-be7f-a747e72f0170</errorID>
      <errorWord>(</errorWord>
      <group>L1_Format</group>
      <groupName>格式问题</groupName>
      <ability>L2_HalfPunc</ability>
      <abilityName>全半角检查</abilityName>
      <candidateList>
        <item>（</item>
      </candidateList>
      <explain>文本全半角错误。</explain>
      <paraID>2632F8FF</paraID>
      <start>18</start>
      <end>19</end>
      <status>unmodified</status>
      <modifiedWord/>
      <trackRevisions>false</trackRevisions>
    </reviewItem>
    <reviewItem>
      <errorID>ee5e4edb-5a45-4ba1-865a-997a4c3ea68a</errorID>
      <errorWord>(</errorWord>
      <group>L1_Format</group>
      <groupName>格式问题</groupName>
      <ability>L2_HalfPunc</ability>
      <abilityName>全半角检查</abilityName>
      <candidateList>
        <item>（</item>
      </candidateList>
      <explain>文本全半角错误。</explain>
      <paraID>379048D9</paraID>
      <start>47</start>
      <end>48</end>
      <status>unmodified</status>
      <modifiedWord/>
      <trackRevisions>false</trackRevisions>
    </reviewItem>
    <reviewItem>
      <errorID>6dcec56d-8d90-43d5-a5cb-e78e90624c29</errorID>
      <errorWord>)</errorWord>
      <group>L1_Format</group>
      <groupName>格式问题</groupName>
      <ability>L2_HalfPunc</ability>
      <abilityName>全半角检查</abilityName>
      <candidateList>
        <item>）</item>
      </candidateList>
      <explain>文本全半角错误。</explain>
      <paraID>379048D9</paraID>
      <start>59</start>
      <end>60</end>
      <status>unmodified</status>
      <modifiedWord/>
      <trackRevisions>false</trackRevisions>
    </reviewItem>
    <reviewItem>
      <errorID>f6578f1a-af86-47a4-9e6c-0c5ca6d3bcf7</errorID>
      <errorWord>程</errorWord>
      <group>L1_Word</group>
      <groupName>字词问题</groupName>
      <ability>L2_Typo</ability>
      <abilityName>字词错误</abilityName>
      <candidateList>
        <item>程中</item>
      </candidateList>
      <explain/>
      <paraID>1CD348A1</paraID>
      <start>105</start>
      <end>106</end>
      <status>unmodified</status>
      <modifiedWord/>
      <trackRevisions>false</trackRevisions>
    </reviewItem>
    <reviewItem>
      <errorID>70ea6c01-1eec-4006-8e32-1bd4e9489857</errorID>
      <errorWord>国家发改委</errorWord>
      <group>L1_Knowledge</group>
      <groupName>知识性问题</groupName>
      <ability>L2_Knowledge</ability>
      <abilityName>其他知识</abilityName>
      <candidateList>
        <item>国家发展改革委</item>
      </candidateList>
      <explain/>
      <paraID>33F80051</paraID>
      <start>2</start>
      <end>9</end>
      <status>modified</status>
      <modifiedWord>国家发展改革委</modifiedWord>
      <trackRevisions>false</trackRevisions>
    </reviewItem>
    <reviewItem>
      <errorID>5ac92a21-fda6-409f-8961-9f18bab4c7a8</errorID>
      <errorWord>同时要</errorWord>
      <group>L1_Word</group>
      <groupName>字词问题</groupName>
      <ability>L2_Typo</ability>
      <abilityName>字词错误</abilityName>
      <candidateList>
        <item>同时</item>
      </candidateList>
      <explain>❶〈名〉同一个时候：他们俩是～复员的｜在抓紧工程进度的～，必须注意工程质量。❷〈连〉表示并列关系，常含有进一层的意味：这是非常重要的任务，～也是十分艰巨的任务。</explain>
      <paraID>57CCFD56</paraID>
      <start>128</start>
      <end>131</end>
      <status>unmodified</status>
      <modifiedWord/>
      <trackRevisions>false</trackRevisions>
    </reviewItem>
    <reviewItem>
      <errorID>50a8d300-eea9-4d90-b7cc-ed6dd4782b6e</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57CCFD56</paraID>
      <start>147</start>
      <end>148</end>
      <status>unmodified</status>
      <modifiedWord/>
      <trackRevisions>false</trackRevisions>
    </reviewItem>
    <reviewItem>
      <errorID>cc32a410-43b6-4616-8c46-d9d9b81f178c</errorID>
      <errorWord>法律、法规</errorWord>
      <group>L1_Word</group>
      <groupName>字词问题</groupName>
      <ability>L2_Typo</ability>
      <abilityName>字词错误</abilityName>
      <candidateList>
        <item>法律法规</item>
      </candidateList>
      <explain/>
      <paraID>505B6372</paraID>
      <start>55</start>
      <end>60</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06B8C5A-5011-48A6-B901-7D29124E02BE}">
  <ds:schemaRefs/>
</ds:datastoreItem>
</file>

<file path=customXml/itemProps3.xml><?xml version="1.0" encoding="utf-8"?>
<ds:datastoreItem xmlns:ds="http://schemas.openxmlformats.org/officeDocument/2006/customXml" ds:itemID="{ffcaa978-625b-43d5-ab2c-064a0c3afcb8}">
  <ds:schemaRefs/>
</ds:datastoreItem>
</file>

<file path=docProps/app.xml><?xml version="1.0" encoding="utf-8"?>
<Properties xmlns="http://schemas.openxmlformats.org/officeDocument/2006/extended-properties" xmlns:vt="http://schemas.openxmlformats.org/officeDocument/2006/docPropsVTypes">
  <Template>Normal</Template>
  <Company>Lenovo</Company>
  <Pages>275</Pages>
  <Words>18703</Words>
  <Characters>19775</Characters>
  <Lines>1572</Lines>
  <Paragraphs>442</Paragraphs>
  <TotalTime>21</TotalTime>
  <ScaleCrop>false</ScaleCrop>
  <LinksUpToDate>false</LinksUpToDate>
  <CharactersWithSpaces>19805</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2020-01-09T09:33:00Z</dcterms:created>
  <dc:creator>Administrator</dc:creator>
  <cp:lastModifiedBy>岁月如歌</cp:lastModifiedBy>
  <cp:lastPrinted>2021-10-13T06:47:00Z</cp:lastPrinted>
  <dcterms:modified xsi:type="dcterms:W3CDTF">2026-03-16T03:28:42Z</dcterms:modified>
  <dc:title>2</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99245C986C2540AEB1D02B900833F093_13</vt:lpwstr>
  </property>
  <property fmtid="{D5CDD505-2E9C-101B-9397-08002B2CF9AE}" pid="4" name="KSOTemplateDocerSaveRecord">
    <vt:lpwstr>eyJoZGlkIjoiNWYwYjdkYjZlZGM2NWFlNjkyM2U1MWM0ZTNmZWEwZTIiLCJ1c2VySWQiOiIxMDM3NjMxMjY0In0=</vt:lpwstr>
  </property>
</Properties>
</file>